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53D" w:rsidRDefault="00E3253D" w:rsidP="00E3253D">
      <w:pPr>
        <w:pStyle w:val="libNormal"/>
        <w:rPr>
          <w:rtl/>
        </w:rPr>
      </w:pPr>
      <w:bookmarkStart w:id="0" w:name="_Toc344647211"/>
      <w:r>
        <w:rPr>
          <w:rtl/>
        </w:rPr>
        <w:br w:type="page"/>
      </w:r>
    </w:p>
    <w:p w:rsidR="00E3253D" w:rsidRDefault="00E3253D" w:rsidP="00E3253D">
      <w:pPr>
        <w:pStyle w:val="libNormal"/>
      </w:pPr>
      <w:r w:rsidRPr="009874C9">
        <w:rPr>
          <w:rFonts w:hint="cs"/>
          <w:noProof/>
          <w:rtl/>
        </w:rPr>
        <w:lastRenderedPageBreak/>
        <w:drawing>
          <wp:inline distT="0" distB="0" distL="0" distR="0">
            <wp:extent cx="4674235" cy="7404100"/>
            <wp:effectExtent l="19050" t="0" r="0" b="0"/>
            <wp:docPr id="4"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E3253D" w:rsidRDefault="00E3253D" w:rsidP="00E3253D">
      <w:pPr>
        <w:pStyle w:val="libNormal"/>
        <w:rPr>
          <w:rtl/>
        </w:rPr>
      </w:pPr>
      <w:r>
        <w:rPr>
          <w:rtl/>
        </w:rPr>
        <w:br w:type="page"/>
      </w:r>
    </w:p>
    <w:p w:rsidR="00DC29FE" w:rsidRDefault="00DC29FE" w:rsidP="00DC29FE">
      <w:pPr>
        <w:pStyle w:val="libCenterBold2"/>
        <w:rPr>
          <w:rtl/>
        </w:rPr>
      </w:pPr>
      <w:r>
        <w:rPr>
          <w:rtl/>
        </w:rPr>
        <w:lastRenderedPageBreak/>
        <w:t>ملاحظة</w:t>
      </w:r>
    </w:p>
    <w:p w:rsidR="00DC29FE" w:rsidRDefault="00DC29FE" w:rsidP="00DC29FE">
      <w:pPr>
        <w:pStyle w:val="libCenterBold2"/>
        <w:rPr>
          <w:rtl/>
        </w:rPr>
      </w:pPr>
      <w:r>
        <w:rPr>
          <w:rtl/>
        </w:rPr>
        <w:t>هذا الكتاب</w:t>
      </w:r>
    </w:p>
    <w:p w:rsidR="00DC29FE" w:rsidRDefault="00DC29FE" w:rsidP="00DC29FE">
      <w:pPr>
        <w:pStyle w:val="libCenterBold2"/>
        <w:rPr>
          <w:rtl/>
        </w:rPr>
      </w:pPr>
      <w:r>
        <w:rPr>
          <w:rtl/>
        </w:rPr>
        <w:t>طبع ونشر الكترونياً وأخرج فنِيّاً برعاية وإشراف</w:t>
      </w:r>
    </w:p>
    <w:p w:rsidR="00DC29FE" w:rsidRDefault="00DC29FE" w:rsidP="00DC29FE">
      <w:pPr>
        <w:pStyle w:val="libCenterBold2"/>
        <w:rPr>
          <w:rtl/>
        </w:rPr>
      </w:pPr>
      <w:r>
        <w:rPr>
          <w:rtl/>
        </w:rPr>
        <w:t>شبكة الإمامين الحسنين (عليهما السلام) للتراث والفكر الإسلامي</w:t>
      </w:r>
    </w:p>
    <w:p w:rsidR="00DC29FE" w:rsidRDefault="00DC29FE" w:rsidP="00DC29FE">
      <w:pPr>
        <w:pStyle w:val="libCenterBold2"/>
        <w:rPr>
          <w:rtl/>
        </w:rPr>
      </w:pPr>
      <w:r>
        <w:rPr>
          <w:rtl/>
        </w:rPr>
        <w:t>وتولَّى العمل عليه ضبطاً وتصحيحاً وترقيماً</w:t>
      </w:r>
    </w:p>
    <w:p w:rsidR="00DC29FE" w:rsidRDefault="00DC29FE" w:rsidP="00DC29FE">
      <w:pPr>
        <w:pStyle w:val="libCenterBold2"/>
      </w:pPr>
      <w:r>
        <w:rPr>
          <w:rtl/>
        </w:rPr>
        <w:t>قسم اللجنة العلميّة في الشبكة</w:t>
      </w:r>
    </w:p>
    <w:p w:rsidR="00E3253D" w:rsidRDefault="00E3253D" w:rsidP="00E3253D">
      <w:pPr>
        <w:pStyle w:val="libNormal"/>
        <w:rPr>
          <w:rtl/>
        </w:rPr>
      </w:pPr>
      <w:r>
        <w:rPr>
          <w:rtl/>
        </w:rPr>
        <w:br w:type="page"/>
      </w:r>
    </w:p>
    <w:p w:rsidR="00E3253D" w:rsidRDefault="00E3253D" w:rsidP="00E3253D">
      <w:pPr>
        <w:pStyle w:val="libNormal"/>
      </w:pPr>
      <w:r w:rsidRPr="00BE661A">
        <w:rPr>
          <w:noProof/>
          <w:rtl/>
        </w:rPr>
        <w:lastRenderedPageBreak/>
        <w:drawing>
          <wp:inline distT="0" distB="0" distL="0" distR="0">
            <wp:extent cx="4674235" cy="7404100"/>
            <wp:effectExtent l="19050" t="0" r="0" b="0"/>
            <wp:docPr id="6" name="Picture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E3253D" w:rsidRDefault="00E3253D" w:rsidP="00E3253D">
      <w:pPr>
        <w:pStyle w:val="libNormal"/>
        <w:rPr>
          <w:rtl/>
        </w:rPr>
      </w:pPr>
      <w:r>
        <w:rPr>
          <w:rtl/>
        </w:rPr>
        <w:br w:type="page"/>
      </w:r>
    </w:p>
    <w:p w:rsidR="00E3253D" w:rsidRDefault="00E3253D" w:rsidP="00E3253D">
      <w:pPr>
        <w:pStyle w:val="libNormal"/>
        <w:rPr>
          <w:rtl/>
        </w:rPr>
      </w:pPr>
      <w:r>
        <w:rPr>
          <w:rtl/>
        </w:rPr>
        <w:lastRenderedPageBreak/>
        <w:br w:type="page"/>
      </w:r>
    </w:p>
    <w:p w:rsidR="00E3253D" w:rsidRPr="000C1F2C" w:rsidRDefault="00E3253D" w:rsidP="00E3253D">
      <w:pPr>
        <w:pStyle w:val="Heading1Center"/>
        <w:rPr>
          <w:rtl/>
        </w:rPr>
      </w:pPr>
      <w:bookmarkStart w:id="1" w:name="_Toc40975831"/>
      <w:r w:rsidRPr="000C1F2C">
        <w:rPr>
          <w:rtl/>
        </w:rPr>
        <w:lastRenderedPageBreak/>
        <w:t>(9)</w:t>
      </w:r>
      <w:bookmarkEnd w:id="0"/>
      <w:bookmarkEnd w:id="1"/>
    </w:p>
    <w:p w:rsidR="00E3253D" w:rsidRPr="000C1F2C" w:rsidRDefault="00E3253D" w:rsidP="00E3253D">
      <w:pPr>
        <w:pStyle w:val="Heading1Center"/>
        <w:rPr>
          <w:rtl/>
        </w:rPr>
      </w:pPr>
      <w:bookmarkStart w:id="2" w:name="_Toc344647212"/>
      <w:bookmarkStart w:id="3" w:name="_Toc462226726"/>
      <w:bookmarkStart w:id="4" w:name="_Toc40975832"/>
      <w:r w:rsidRPr="000C1F2C">
        <w:rPr>
          <w:rtl/>
        </w:rPr>
        <w:t>كتاب الطهارة‌</w:t>
      </w:r>
      <w:bookmarkEnd w:id="2"/>
      <w:bookmarkEnd w:id="3"/>
      <w:bookmarkEnd w:id="4"/>
    </w:p>
    <w:p w:rsidR="00E3253D" w:rsidRDefault="00E3253D" w:rsidP="00E3253D">
      <w:pPr>
        <w:pStyle w:val="libNormal"/>
        <w:rPr>
          <w:rtl/>
        </w:rPr>
      </w:pPr>
      <w:r>
        <w:rPr>
          <w:rtl/>
        </w:rPr>
        <w:br w:type="page"/>
      </w:r>
    </w:p>
    <w:p w:rsidR="00E3253D" w:rsidRPr="007C12DB" w:rsidRDefault="00E3253D" w:rsidP="00E3253D">
      <w:pPr>
        <w:pStyle w:val="libCenterBold2"/>
        <w:rPr>
          <w:rStyle w:val="libFootnotenumChar"/>
          <w:rtl/>
        </w:rPr>
      </w:pPr>
      <w:r w:rsidRPr="000C1F2C">
        <w:rPr>
          <w:rtl/>
        </w:rPr>
        <w:lastRenderedPageBreak/>
        <w:t>بِسْمِ اللهِ الرَّحْمنِ الرَّحيمِ‌</w:t>
      </w:r>
      <w:r>
        <w:rPr>
          <w:rFonts w:hint="cs"/>
          <w:rtl/>
        </w:rPr>
        <w:t xml:space="preserve"> </w:t>
      </w:r>
      <w:r w:rsidRPr="007C12DB">
        <w:rPr>
          <w:rStyle w:val="libFootnotenumChar"/>
          <w:rtl/>
        </w:rPr>
        <w:t>(1)</w:t>
      </w:r>
    </w:p>
    <w:p w:rsidR="00E3253D" w:rsidRPr="005D642E" w:rsidRDefault="00E3253D" w:rsidP="00E3253D">
      <w:pPr>
        <w:pStyle w:val="libNormal"/>
        <w:rPr>
          <w:rtl/>
          <w:lang w:bidi="fa-IR"/>
        </w:rPr>
      </w:pPr>
      <w:r w:rsidRPr="005D642E">
        <w:rPr>
          <w:rtl/>
          <w:lang w:bidi="fa-IR"/>
        </w:rPr>
        <w:t xml:space="preserve">الْحَمْدُ لِلّهِ رَبِّ الْعَالَمِينَ ، وَالْعَاقِبَةُ لِلْمُتَّقِينَ ، وَالصَّلَاةُ وَالسَّلَامُ عَلى خَيْرِ خَلْقِهِ مُحَمَّدٍ وَآلِهِ الطَّاهِرِينَ. </w:t>
      </w:r>
      <w:r w:rsidRPr="007C12DB">
        <w:rPr>
          <w:rStyle w:val="libFootnotenumChar"/>
          <w:rtl/>
        </w:rPr>
        <w:t>(2)</w:t>
      </w:r>
      <w:r w:rsidRPr="005D642E">
        <w:rPr>
          <w:rtl/>
          <w:lang w:bidi="fa-IR"/>
        </w:rPr>
        <w:t xml:space="preserve"> ‌</w:t>
      </w:r>
    </w:p>
    <w:p w:rsidR="00E3253D" w:rsidRDefault="00E3253D" w:rsidP="00E3253D">
      <w:pPr>
        <w:pStyle w:val="libCenterBold1"/>
        <w:rPr>
          <w:rtl/>
          <w:lang w:bidi="fa-IR"/>
        </w:rPr>
      </w:pPr>
      <w:r w:rsidRPr="005D642E">
        <w:rPr>
          <w:rtl/>
          <w:lang w:bidi="fa-IR"/>
        </w:rPr>
        <w:t>[9]</w:t>
      </w:r>
    </w:p>
    <w:p w:rsidR="00E3253D" w:rsidRPr="005D642E" w:rsidRDefault="00E3253D" w:rsidP="00E3253D">
      <w:pPr>
        <w:pStyle w:val="Heading1Center"/>
        <w:rPr>
          <w:rtl/>
          <w:lang w:bidi="fa-IR"/>
        </w:rPr>
      </w:pPr>
      <w:bookmarkStart w:id="5" w:name="_Toc462226727"/>
      <w:bookmarkStart w:id="6" w:name="_Toc40975833"/>
      <w:r w:rsidRPr="005D642E">
        <w:rPr>
          <w:rtl/>
          <w:lang w:bidi="fa-IR"/>
        </w:rPr>
        <w:t>كِتَابُ الطَّهَارَةِ‌</w:t>
      </w:r>
      <w:bookmarkEnd w:id="5"/>
      <w:bookmarkEnd w:id="6"/>
    </w:p>
    <w:p w:rsidR="00E3253D" w:rsidRPr="005D642E" w:rsidRDefault="00E3253D" w:rsidP="00E3253D">
      <w:pPr>
        <w:pStyle w:val="Heading2Center"/>
        <w:rPr>
          <w:rtl/>
          <w:lang w:bidi="fa-IR"/>
        </w:rPr>
      </w:pPr>
      <w:bookmarkStart w:id="7" w:name="_Toc344647213"/>
      <w:bookmarkStart w:id="8" w:name="_Toc462226728"/>
      <w:bookmarkStart w:id="9" w:name="_Toc40975834"/>
      <w:r w:rsidRPr="005D642E">
        <w:rPr>
          <w:rtl/>
          <w:lang w:bidi="fa-IR"/>
        </w:rPr>
        <w:t>1</w:t>
      </w:r>
      <w:r>
        <w:rPr>
          <w:rtl/>
          <w:lang w:bidi="fa-IR"/>
        </w:rPr>
        <w:t xml:space="preserve"> </w:t>
      </w:r>
      <w:r w:rsidR="007642BC">
        <w:rPr>
          <w:rtl/>
          <w:lang w:bidi="fa-IR"/>
        </w:rPr>
        <w:t>-</w:t>
      </w:r>
      <w:r>
        <w:rPr>
          <w:rtl/>
          <w:lang w:bidi="fa-IR"/>
        </w:rPr>
        <w:t xml:space="preserve"> </w:t>
      </w:r>
      <w:r w:rsidRPr="005D642E">
        <w:rPr>
          <w:rtl/>
          <w:lang w:bidi="fa-IR"/>
        </w:rPr>
        <w:t xml:space="preserve">بَابُ طَهُورِ </w:t>
      </w:r>
      <w:r w:rsidRPr="007C12DB">
        <w:rPr>
          <w:rStyle w:val="libFootnotenumChar"/>
          <w:rtl/>
        </w:rPr>
        <w:t>(3)</w:t>
      </w:r>
      <w:r>
        <w:rPr>
          <w:rtl/>
        </w:rPr>
        <w:t xml:space="preserve"> </w:t>
      </w:r>
      <w:r w:rsidRPr="005D642E">
        <w:rPr>
          <w:rtl/>
          <w:lang w:bidi="fa-IR"/>
        </w:rPr>
        <w:t>الْمَاءِ‌</w:t>
      </w:r>
      <w:bookmarkEnd w:id="7"/>
      <w:bookmarkEnd w:id="8"/>
      <w:bookmarkEnd w:id="9"/>
    </w:p>
    <w:p w:rsidR="00E3253D" w:rsidRPr="005D642E" w:rsidRDefault="00E3253D" w:rsidP="00E3253D">
      <w:pPr>
        <w:pStyle w:val="libNormal"/>
        <w:rPr>
          <w:rtl/>
          <w:lang w:bidi="fa-IR"/>
        </w:rPr>
      </w:pPr>
      <w:r w:rsidRPr="000C1F2C">
        <w:rPr>
          <w:rtl/>
        </w:rPr>
        <w:t>3802</w:t>
      </w:r>
      <w:r w:rsidRPr="00246318">
        <w:rPr>
          <w:rStyle w:val="libBold2Char"/>
          <w:rtl/>
        </w:rPr>
        <w:t xml:space="preserve"> / 1.</w:t>
      </w:r>
      <w:r w:rsidRPr="005D642E">
        <w:rPr>
          <w:rtl/>
          <w:lang w:bidi="fa-IR"/>
        </w:rPr>
        <w:t xml:space="preserve"> قَالَ أَبُو جَعْفَرٍ مُحَمَّدُ بْنُ يَعْقُوبَ الْكُلَيْنِيُّ رَحِمَهُ اللهُ </w:t>
      </w:r>
      <w:r w:rsidRPr="007C12DB">
        <w:rPr>
          <w:rStyle w:val="libFootnotenumChar"/>
          <w:rtl/>
        </w:rPr>
        <w:t>(4)</w:t>
      </w:r>
      <w:r w:rsidRPr="005D642E">
        <w:rPr>
          <w:rtl/>
          <w:lang w:bidi="fa-IR"/>
        </w:rPr>
        <w:t xml:space="preserve"> : حَدَّثَنِي عَلِيُّ بْنُ‌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بسم الله الرحمن الرحيم »</w:t>
      </w:r>
      <w:r w:rsidR="00E3253D">
        <w:rPr>
          <w:rtl/>
        </w:rPr>
        <w:t>.</w:t>
      </w:r>
      <w:r w:rsidR="00E3253D" w:rsidRPr="005D642E">
        <w:rPr>
          <w:rtl/>
        </w:rPr>
        <w:t xml:space="preserve"> وفي « جن » : + « وبه نستعين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جن » :</w:t>
      </w:r>
      <w:r w:rsidR="00E3253D">
        <w:rPr>
          <w:rtl/>
        </w:rPr>
        <w:t xml:space="preserve"> </w:t>
      </w:r>
      <w:r w:rsidR="007642BC">
        <w:rPr>
          <w:rtl/>
        </w:rPr>
        <w:t>-</w:t>
      </w:r>
      <w:r w:rsidR="00E3253D">
        <w:rPr>
          <w:rtl/>
        </w:rPr>
        <w:t xml:space="preserve"> </w:t>
      </w:r>
      <w:r w:rsidR="00E3253D" w:rsidRPr="005D642E">
        <w:rPr>
          <w:rtl/>
        </w:rPr>
        <w:t>« الحمدلله</w:t>
      </w:r>
      <w:r w:rsidR="00E3253D">
        <w:rPr>
          <w:rtl/>
        </w:rPr>
        <w:t xml:space="preserve"> ..</w:t>
      </w:r>
      <w:r w:rsidR="00E3253D" w:rsidRPr="005D642E">
        <w:rPr>
          <w:rtl/>
        </w:rPr>
        <w:t>. الطاهرين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بف ، جس » : « طهوريّة »</w:t>
      </w:r>
      <w:r w:rsidR="00E3253D">
        <w:rPr>
          <w:rtl/>
        </w:rPr>
        <w:t>.</w:t>
      </w:r>
      <w:r w:rsidR="00E3253D" w:rsidRPr="005D642E">
        <w:rPr>
          <w:rtl/>
        </w:rPr>
        <w:t xml:space="preserve"> والطهور</w:t>
      </w:r>
      <w:r w:rsidR="00E3253D">
        <w:rPr>
          <w:rtl/>
        </w:rPr>
        <w:t xml:space="preserve"> </w:t>
      </w:r>
      <w:r w:rsidR="007642BC">
        <w:rPr>
          <w:rtl/>
        </w:rPr>
        <w:t>-</w:t>
      </w:r>
      <w:r w:rsidR="00E3253D">
        <w:rPr>
          <w:rtl/>
        </w:rPr>
        <w:t xml:space="preserve"> </w:t>
      </w:r>
      <w:r w:rsidR="00E3253D" w:rsidRPr="005D642E">
        <w:rPr>
          <w:rtl/>
        </w:rPr>
        <w:t>بضمّ الطاء</w:t>
      </w:r>
      <w:r w:rsidR="00E3253D">
        <w:rPr>
          <w:rtl/>
        </w:rPr>
        <w:t xml:space="preserve"> </w:t>
      </w:r>
      <w:r w:rsidR="007642BC">
        <w:rPr>
          <w:rtl/>
        </w:rPr>
        <w:t>-</w:t>
      </w:r>
      <w:r w:rsidR="00E3253D">
        <w:rPr>
          <w:rtl/>
        </w:rPr>
        <w:t xml:space="preserve"> </w:t>
      </w:r>
      <w:r w:rsidR="00E3253D" w:rsidRPr="005D642E">
        <w:rPr>
          <w:rtl/>
        </w:rPr>
        <w:t>مصدر بمعنى التطهّر ، وبفتحها يكون مصدراً واسماً لما يتطهّر به وصفةً. واختلف فيه على الأخير هل هو مبالغة في الطاهر ، أو يراد به الطاهر في نفسه ال</w:t>
      </w:r>
      <w:r w:rsidR="007642BC">
        <w:rPr>
          <w:rFonts w:hint="cs"/>
          <w:rtl/>
        </w:rPr>
        <w:t>ـ</w:t>
      </w:r>
      <w:r w:rsidR="00E3253D" w:rsidRPr="005D642E">
        <w:rPr>
          <w:rtl/>
        </w:rPr>
        <w:t>مُطهِّر لغيره</w:t>
      </w:r>
      <w:r w:rsidR="00E3253D">
        <w:rPr>
          <w:rtl/>
        </w:rPr>
        <w:t>؟</w:t>
      </w:r>
      <w:r w:rsidR="00E3253D" w:rsidRPr="005D642E">
        <w:rPr>
          <w:rtl/>
        </w:rPr>
        <w:t xml:space="preserve"> حكى الثاني المطرزيُّ عن ثعلب وردّه ، حيث قال : « وما حكي عن ثعلب أنّ الطهور ما كان طاهراً في نفسه مطهّراً لغيره ، إن كان هذا زيادة بيان لنها</w:t>
      </w:r>
      <w:r w:rsidR="007642BC">
        <w:rPr>
          <w:rtl/>
        </w:rPr>
        <w:t>يته في الطهارة فصواب حسن ، وإل</w:t>
      </w:r>
      <w:r w:rsidR="007642BC">
        <w:rPr>
          <w:rFonts w:hint="cs"/>
          <w:rtl/>
        </w:rPr>
        <w:t>ّ</w:t>
      </w:r>
      <w:r w:rsidR="007642BC">
        <w:rPr>
          <w:rtl/>
        </w:rPr>
        <w:t>ا</w:t>
      </w:r>
      <w:r w:rsidR="00E3253D" w:rsidRPr="005D642E">
        <w:rPr>
          <w:rtl/>
        </w:rPr>
        <w:t xml:space="preserve"> فليس فَعُول من التفعيل في شي‌ء ، وقياسُ هذا على ما هو مشتقّ من الأفعال المتعدّية كقطوع ومنوع غيرُ سديد »</w:t>
      </w:r>
      <w:r w:rsidR="00E3253D">
        <w:rPr>
          <w:rtl/>
        </w:rPr>
        <w:t>.</w:t>
      </w:r>
      <w:r w:rsidR="007642BC">
        <w:rPr>
          <w:rtl/>
        </w:rPr>
        <w:t xml:space="preserve"> وأمّا العل</w:t>
      </w:r>
      <w:r w:rsidR="007642BC">
        <w:rPr>
          <w:rFonts w:hint="cs"/>
          <w:rtl/>
        </w:rPr>
        <w:t>ّ</w:t>
      </w:r>
      <w:r w:rsidR="007642BC">
        <w:rPr>
          <w:rtl/>
        </w:rPr>
        <w:t>ا</w:t>
      </w:r>
      <w:r w:rsidR="00E3253D" w:rsidRPr="005D642E">
        <w:rPr>
          <w:rtl/>
        </w:rPr>
        <w:t xml:space="preserve">مة المجلسي </w:t>
      </w:r>
      <w:r w:rsidR="00E3253D" w:rsidRPr="004A5F88">
        <w:rPr>
          <w:rStyle w:val="libFootnoteAlaemChar"/>
          <w:rtl/>
        </w:rPr>
        <w:t>رحمه‌الله</w:t>
      </w:r>
      <w:r w:rsidR="00E3253D" w:rsidRPr="005D642E">
        <w:rPr>
          <w:rtl/>
        </w:rPr>
        <w:t xml:space="preserve"> فإنّه قال : « وقياسهم</w:t>
      </w:r>
      <w:r w:rsidR="00E3253D">
        <w:rPr>
          <w:rtl/>
        </w:rPr>
        <w:t xml:space="preserve"> </w:t>
      </w:r>
      <w:r w:rsidR="007642BC">
        <w:rPr>
          <w:rtl/>
        </w:rPr>
        <w:t>-</w:t>
      </w:r>
      <w:r w:rsidR="00E3253D">
        <w:rPr>
          <w:rtl/>
        </w:rPr>
        <w:t xml:space="preserve"> </w:t>
      </w:r>
      <w:r w:rsidR="00E3253D" w:rsidRPr="005D642E">
        <w:rPr>
          <w:rtl/>
        </w:rPr>
        <w:t>أي العلماء واللغويّين</w:t>
      </w:r>
      <w:r w:rsidR="00E3253D">
        <w:rPr>
          <w:rtl/>
        </w:rPr>
        <w:t xml:space="preserve"> </w:t>
      </w:r>
      <w:r w:rsidR="007642BC">
        <w:rPr>
          <w:rtl/>
        </w:rPr>
        <w:t>-</w:t>
      </w:r>
      <w:r w:rsidR="00E3253D">
        <w:rPr>
          <w:rtl/>
        </w:rPr>
        <w:t xml:space="preserve"> </w:t>
      </w:r>
      <w:r w:rsidR="00E3253D" w:rsidRPr="005D642E">
        <w:rPr>
          <w:rtl/>
        </w:rPr>
        <w:t>يقتضي الأوّل ؛ لأنّ صيغة فعول يكون للمبالغة في الفاعل ، فإذا كان فاعل البناء لازماً يكون فعوله أيضاً مبالغة فيه ، فلايفيد التعدية. واستعمالاتهم تقتضي الثاني »</w:t>
      </w:r>
      <w:r w:rsidR="00E3253D">
        <w:rPr>
          <w:rtl/>
        </w:rPr>
        <w:t>.</w:t>
      </w:r>
      <w:r w:rsidR="00E3253D" w:rsidRPr="005D642E">
        <w:rPr>
          <w:rtl/>
        </w:rPr>
        <w:t xml:space="preserve"> ثمّ نقلها وقال : « فقد ظهرلك ممّا نقلنا أنّ ما في العنوان يحتمل الضمّ والفتح ، وأنّه وإن صحّت المناقشة في كون الطهور بمعنى المطهّر فيما استعمل فيه من الآيات والأخبار نظراً إلى قياس اللغة ، لكنّ الظاهر أنّه قد جعل اسماً لما يتطهّر به ، كما صرّح به المحقّقون</w:t>
      </w:r>
      <w:r w:rsidR="00E3253D">
        <w:rPr>
          <w:rtl/>
        </w:rPr>
        <w:t xml:space="preserve"> ..</w:t>
      </w:r>
      <w:r w:rsidR="00E3253D" w:rsidRPr="005D642E">
        <w:rPr>
          <w:rtl/>
        </w:rPr>
        <w:t>. وتتبّع الروايات ممّا يورث ظنّاً قويّاً بأنّ الطهور في إطلاقاتهم المراد منه المطهّر ، إمّا لكونه صفة بهذا المعنى ، أو اسماً لما يتطهّر به. وعلى التقديرين يتمّ استدلالات القوم على مطهّريّة المياه بأنواعها بالآيات والأخبار »</w:t>
      </w:r>
      <w:r w:rsidR="00E3253D">
        <w:rPr>
          <w:rtl/>
        </w:rPr>
        <w:t>.</w:t>
      </w:r>
      <w:r w:rsidR="00E3253D" w:rsidRPr="005D642E">
        <w:rPr>
          <w:rtl/>
        </w:rPr>
        <w:t xml:space="preserve"> راجع : </w:t>
      </w:r>
      <w:r w:rsidR="00E3253D" w:rsidRPr="002F4D34">
        <w:rPr>
          <w:rStyle w:val="libFootnoteBoldChar"/>
          <w:rtl/>
        </w:rPr>
        <w:t>مرآة العقول</w:t>
      </w:r>
      <w:r w:rsidR="00E3253D" w:rsidRPr="005D642E">
        <w:rPr>
          <w:rtl/>
        </w:rPr>
        <w:t xml:space="preserve"> ، ج 13 ، ص 2</w:t>
      </w:r>
      <w:r w:rsidR="00E3253D">
        <w:rPr>
          <w:rtl/>
        </w:rPr>
        <w:t xml:space="preserve"> </w:t>
      </w:r>
      <w:r w:rsidR="007642BC">
        <w:rPr>
          <w:rtl/>
        </w:rPr>
        <w:t>-</w:t>
      </w:r>
      <w:r w:rsidR="00E3253D">
        <w:rPr>
          <w:rtl/>
        </w:rPr>
        <w:t xml:space="preserve"> </w:t>
      </w:r>
      <w:r w:rsidR="00E3253D" w:rsidRPr="005D642E">
        <w:rPr>
          <w:rtl/>
        </w:rPr>
        <w:t xml:space="preserve">3 ؛ </w:t>
      </w:r>
      <w:r w:rsidR="00E3253D" w:rsidRPr="002F4D34">
        <w:rPr>
          <w:rStyle w:val="libFootnoteBoldChar"/>
          <w:rtl/>
        </w:rPr>
        <w:t>النهاية</w:t>
      </w:r>
      <w:r w:rsidR="00E3253D" w:rsidRPr="005D642E">
        <w:rPr>
          <w:rtl/>
        </w:rPr>
        <w:t xml:space="preserve"> ، ج 3 ، ص 147 ؛ </w:t>
      </w:r>
      <w:r w:rsidR="00E3253D" w:rsidRPr="002F4D34">
        <w:rPr>
          <w:rStyle w:val="libFootnoteBoldChar"/>
          <w:rtl/>
        </w:rPr>
        <w:t>المغرب</w:t>
      </w:r>
      <w:r w:rsidR="00E3253D" w:rsidRPr="005D642E">
        <w:rPr>
          <w:rtl/>
        </w:rPr>
        <w:t xml:space="preserve"> ، ص 295 ؛ </w:t>
      </w:r>
      <w:r w:rsidR="00E3253D" w:rsidRPr="002F4D34">
        <w:rPr>
          <w:rStyle w:val="libFootnoteBoldChar"/>
          <w:rtl/>
        </w:rPr>
        <w:t>القاموس المحيط</w:t>
      </w:r>
      <w:r w:rsidR="00E3253D" w:rsidRPr="005D642E">
        <w:rPr>
          <w:rtl/>
        </w:rPr>
        <w:t xml:space="preserve"> ، ج 1 ، ص 605 ( طهر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xml:space="preserve">« أبوجعفر محمّد بن يعقوب الكليني </w:t>
      </w:r>
      <w:r w:rsidR="00E3253D" w:rsidRPr="004A5F88">
        <w:rPr>
          <w:rStyle w:val="libFootnoteAlaemChar"/>
          <w:rtl/>
        </w:rPr>
        <w:t>رحمه‌الله</w:t>
      </w:r>
      <w:r w:rsidR="00E3253D" w:rsidRPr="005D642E">
        <w:rPr>
          <w:rtl/>
        </w:rPr>
        <w:t xml:space="preserve"> »</w:t>
      </w:r>
      <w:r w:rsidR="00E3253D">
        <w:rPr>
          <w:rtl/>
        </w:rPr>
        <w:t>.</w:t>
      </w:r>
      <w:r w:rsidR="00E3253D" w:rsidRPr="005D642E">
        <w:rPr>
          <w:rtl/>
        </w:rPr>
        <w:t xml:space="preserve"> وفي « بف » : « حدّثنا » بدل « قال أبوجعفر</w:t>
      </w:r>
      <w:r w:rsidR="00E3253D">
        <w:rPr>
          <w:rtl/>
        </w:rPr>
        <w:t xml:space="preserve"> ..</w:t>
      </w:r>
      <w:r w:rsidR="00E3253D" w:rsidRPr="005D642E">
        <w:rPr>
          <w:rtl/>
        </w:rPr>
        <w:t xml:space="preserve">. </w:t>
      </w:r>
      <w:r w:rsidR="004A5F88">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إِبْرَاهِيمَ بْنِ هَاشِمٍ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الْمَاءُ يُطَهِّرُ </w:t>
      </w:r>
      <w:r w:rsidRPr="007C12DB">
        <w:rPr>
          <w:rStyle w:val="libFootnotenumChar"/>
          <w:rtl/>
        </w:rPr>
        <w:t>(1)</w:t>
      </w:r>
      <w:r w:rsidRPr="005D642E">
        <w:rPr>
          <w:rtl/>
          <w:lang w:bidi="fa-IR"/>
        </w:rPr>
        <w:t xml:space="preserve"> ، وَلَايُطَهَّرُ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0C1F2C">
        <w:rPr>
          <w:rtl/>
        </w:rPr>
        <w:t>3803</w:t>
      </w:r>
      <w:r w:rsidRPr="00246318">
        <w:rPr>
          <w:rStyle w:val="libBold2Char"/>
          <w:rtl/>
        </w:rPr>
        <w:t xml:space="preserve"> / 2.</w:t>
      </w:r>
      <w:r w:rsidRPr="005D642E">
        <w:rPr>
          <w:rtl/>
          <w:lang w:bidi="fa-IR"/>
        </w:rPr>
        <w:t xml:space="preserve"> مُحَمَّدُ بْنُ يَحْيى وَغَيْرُهُ ، عَنْ مُحَمَّدِ بْنِ أَحْمَدَ ، عَنِ الْحَسَنِ بْنِ الْحُسَيْنِ اللُّؤْلُؤِيِّ بِإِسْنَادِهِ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الْمَاءُ كُلُّهُ طَاهِرٌ حَتّى يُعْلَمَ </w:t>
      </w:r>
      <w:r w:rsidRPr="007C12DB">
        <w:rPr>
          <w:rStyle w:val="libFootnotenumChar"/>
          <w:rtl/>
        </w:rPr>
        <w:t>(3)</w:t>
      </w:r>
      <w:r w:rsidRPr="005D642E">
        <w:rPr>
          <w:rtl/>
          <w:lang w:bidi="fa-IR"/>
        </w:rPr>
        <w:t xml:space="preserve"> أَنَّهُ قَذِرٌ </w:t>
      </w:r>
      <w:r w:rsidRPr="007C12DB">
        <w:rPr>
          <w:rStyle w:val="libFootnotenumChar"/>
          <w:rtl/>
        </w:rPr>
        <w:t>(4)</w:t>
      </w:r>
      <w:r w:rsidRPr="005D642E">
        <w:rPr>
          <w:rtl/>
          <w:lang w:bidi="fa-IR"/>
        </w:rPr>
        <w:t xml:space="preserve">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C337A8" w:rsidP="00E3253D">
      <w:pPr>
        <w:pStyle w:val="libFootnote0"/>
        <w:rPr>
          <w:rtl/>
          <w:lang w:bidi="fa-IR"/>
        </w:rPr>
      </w:pPr>
      <w:r>
        <w:rPr>
          <w:rFonts w:hint="cs"/>
          <w:rtl/>
        </w:rPr>
        <w:t xml:space="preserve">= </w:t>
      </w:r>
      <w:r w:rsidR="00E3253D" w:rsidRPr="005D642E">
        <w:rPr>
          <w:rtl/>
        </w:rPr>
        <w:t>حدّثني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 : « قوله : قال أبوجعفر ، الظاهر أنّه كلام تلامذته الذين رووا عنه هذا الكتاب ، ويؤيّده أنّا قد رأينا في بعض الكتب أنّهم ألحقوا أسناد بعض المشايخ إلى مؤلّف الكتاب في أوّله. ويحتمل أن يكون القائل هو المؤلّف </w:t>
      </w:r>
      <w:r w:rsidR="00E3253D" w:rsidRPr="00C337A8">
        <w:rPr>
          <w:rStyle w:val="libFootnoteAlaemChar"/>
          <w:rtl/>
        </w:rPr>
        <w:t>رحمه‌الله</w:t>
      </w:r>
      <w:r w:rsidR="00E3253D" w:rsidRPr="005D642E">
        <w:rPr>
          <w:rtl/>
        </w:rPr>
        <w:t xml:space="preserve"> ؛ ليعلم مؤلّف الكتاب ولتعليم من روى كتابه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حذف المفعول هنا يفيد العموم ، فيقع التعارض بين الصدر والذيل ؛ لأنّ أوّل الكلام يدلّ على أنّ الماء يُطهِّر كلّ شي‌ء حتّى نفسه ، وآخره يدلّ على أنّ الماء لايتطهّر من شي‌ء حتّى من نفسه. ورفع التعارض في المشهور بأنّ المراد أنّ الماء لايتطهّر من غيره ، وهو مؤيّد بأنّ صدر الكلام أولى بالتعمي</w:t>
      </w:r>
      <w:r w:rsidR="00C337A8">
        <w:rPr>
          <w:rtl/>
        </w:rPr>
        <w:t>م ، وآخره أولى بالتخصيص. والعل</w:t>
      </w:r>
      <w:r w:rsidR="00C337A8">
        <w:rPr>
          <w:rFonts w:hint="cs"/>
          <w:rtl/>
        </w:rPr>
        <w:t>ّ</w:t>
      </w:r>
      <w:r w:rsidR="00C337A8">
        <w:rPr>
          <w:rtl/>
        </w:rPr>
        <w:t>ا</w:t>
      </w:r>
      <w:r w:rsidR="00E3253D" w:rsidRPr="005D642E">
        <w:rPr>
          <w:rtl/>
        </w:rPr>
        <w:t>مة الفيض حمله على ظاهره حيث لايرى التعارض ، فإنّه قال : « إنّما لا يطهّر ؛ لأنّه إن غلب على النجاسة حتّى استهلكت فيه طهّرها ولم ينجّس حتّى يحتاج إلى التطهير ، وإن غلبت عليه النجاسة حتّى استهلك فيها صار في حكم ت</w:t>
      </w:r>
      <w:r w:rsidR="00211590">
        <w:rPr>
          <w:rtl/>
        </w:rPr>
        <w:t>لك النجاسة ولم يقبل التطهير إل</w:t>
      </w:r>
      <w:r w:rsidR="00211590">
        <w:rPr>
          <w:rFonts w:hint="cs"/>
          <w:rtl/>
        </w:rPr>
        <w:t>ّ</w:t>
      </w:r>
      <w:r w:rsidR="00211590">
        <w:rPr>
          <w:rtl/>
        </w:rPr>
        <w:t>ا</w:t>
      </w:r>
      <w:r w:rsidR="00E3253D" w:rsidRPr="005D642E">
        <w:rPr>
          <w:rtl/>
        </w:rPr>
        <w:t>بالاستهلاك في الماء الطاهر ، وحينئذٍ لم يبق منه شي‌ء »</w:t>
      </w:r>
      <w:r w:rsidR="00E3253D">
        <w:rPr>
          <w:rtl/>
        </w:rPr>
        <w:t>.</w:t>
      </w:r>
      <w:r w:rsidR="00F25401">
        <w:rPr>
          <w:rtl/>
        </w:rPr>
        <w:t xml:space="preserve"> وأمّا العل</w:t>
      </w:r>
      <w:r w:rsidR="00F25401">
        <w:rPr>
          <w:rFonts w:hint="cs"/>
          <w:rtl/>
        </w:rPr>
        <w:t>ّ</w:t>
      </w:r>
      <w:r w:rsidR="00F25401">
        <w:rPr>
          <w:rtl/>
        </w:rPr>
        <w:t>ا</w:t>
      </w:r>
      <w:r w:rsidR="00E3253D" w:rsidRPr="005D642E">
        <w:rPr>
          <w:rtl/>
        </w:rPr>
        <w:t xml:space="preserve">مة المجلسي </w:t>
      </w:r>
      <w:r w:rsidR="00E3253D" w:rsidRPr="00F25401">
        <w:rPr>
          <w:rStyle w:val="libFootnoteAlaemChar"/>
          <w:rtl/>
        </w:rPr>
        <w:t>رحمه‌الله</w:t>
      </w:r>
      <w:r w:rsidR="00E3253D" w:rsidRPr="005D642E">
        <w:rPr>
          <w:rtl/>
        </w:rPr>
        <w:t xml:space="preserve"> فإنّه ردّ حَمْلَ المشهور بقوله : « ولايخفى ما فيه » وحَمْلَ</w:t>
      </w:r>
      <w:r w:rsidR="00F25401">
        <w:rPr>
          <w:rtl/>
        </w:rPr>
        <w:t xml:space="preserve"> العل</w:t>
      </w:r>
      <w:r w:rsidR="00F25401">
        <w:rPr>
          <w:rFonts w:hint="cs"/>
          <w:rtl/>
        </w:rPr>
        <w:t>ّ</w:t>
      </w:r>
      <w:r w:rsidR="00F25401">
        <w:rPr>
          <w:rtl/>
        </w:rPr>
        <w:t>ا</w:t>
      </w:r>
      <w:r w:rsidR="00E3253D" w:rsidRPr="005D642E">
        <w:rPr>
          <w:rtl/>
        </w:rPr>
        <w:t>مة الفيض بأنّه مبنيّ على قوله بعدم انفعال القليل ، ثمّ قال : « والحقّ أنّ هذا الخبر بالنسبة إلى مطهرّيّة الماء للماء مجمل لايمكن الاستدلال به ، فينبغي الرجوع في ذلك إلى غيره من الدلائل والنصوص. وتكلّف متكلّف فقرأ كلايهما بالتخفيف على البناء للفاعل ، أي قد يكون الماء طاه</w:t>
      </w:r>
      <w:r w:rsidR="00F25401">
        <w:rPr>
          <w:rtl/>
        </w:rPr>
        <w:t>راً وقد لايكون ، ولايخفى ركاكته</w:t>
      </w:r>
      <w:r w:rsidR="00E3253D" w:rsidRPr="005D642E">
        <w:rPr>
          <w:rtl/>
        </w:rPr>
        <w:t>»</w:t>
      </w:r>
      <w:r w:rsidR="00E3253D">
        <w:rPr>
          <w:rtl/>
        </w:rPr>
        <w:t>.</w:t>
      </w:r>
    </w:p>
    <w:p w:rsidR="00E3253D" w:rsidRPr="005D642E" w:rsidRDefault="0042621E" w:rsidP="009F10EE">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215 ، ح 618 ، بسنده عن الكليني. </w:t>
      </w:r>
      <w:r w:rsidR="00E3253D" w:rsidRPr="002F4D34">
        <w:rPr>
          <w:rStyle w:val="libFootnoteBoldChar"/>
          <w:rtl/>
        </w:rPr>
        <w:t>المحاسن</w:t>
      </w:r>
      <w:r w:rsidR="00E3253D" w:rsidRPr="005D642E">
        <w:rPr>
          <w:rtl/>
        </w:rPr>
        <w:t xml:space="preserve"> ، ص 570 ، كتاب الماء ، ذيل ح 4 ، عن النوفلي ، عن السكوني ، عن أبي عبدالله ، عن آبائه </w:t>
      </w:r>
      <w:r w:rsidR="00E3253D" w:rsidRPr="00F25401">
        <w:rPr>
          <w:rStyle w:val="libFootnoteAlaemChar"/>
          <w:rtl/>
        </w:rPr>
        <w:t>عليهم‌السلام</w:t>
      </w:r>
      <w:r w:rsidR="00E3253D" w:rsidRPr="005D642E">
        <w:rPr>
          <w:rtl/>
        </w:rPr>
        <w:t xml:space="preserve"> عن النبيّ </w:t>
      </w:r>
      <w:r w:rsidRPr="009F10EE">
        <w:rPr>
          <w:rStyle w:val="libFootnoteAlaemChar"/>
          <w:rtl/>
        </w:rPr>
        <w:t>صلى‌الله‌عليه‌وآله</w:t>
      </w:r>
      <w:r w:rsidR="00E3253D" w:rsidRPr="005D642E">
        <w:rPr>
          <w:rtl/>
        </w:rPr>
        <w:t xml:space="preserve">. </w:t>
      </w:r>
      <w:r w:rsidR="00E3253D" w:rsidRPr="002F4D34">
        <w:rPr>
          <w:rStyle w:val="libFootnoteBoldChar"/>
          <w:rtl/>
        </w:rPr>
        <w:t>وفيه</w:t>
      </w:r>
      <w:r w:rsidR="00E3253D" w:rsidRPr="005D642E">
        <w:rPr>
          <w:rtl/>
        </w:rPr>
        <w:t xml:space="preserve"> ، صدر ح 4 ، بسند آخر عن أبي عبدالله ، عن عليّ </w:t>
      </w:r>
      <w:r w:rsidR="00E3253D" w:rsidRPr="00F25401">
        <w:rPr>
          <w:rStyle w:val="libFootnoteAlaemChar"/>
          <w:rtl/>
        </w:rPr>
        <w:t>عليهما‌السلام</w:t>
      </w:r>
      <w:r w:rsidR="00E3253D" w:rsidRPr="005D642E">
        <w:rPr>
          <w:rtl/>
        </w:rPr>
        <w:t xml:space="preserve"> ، من دون الإسناد إلى النبيّ </w:t>
      </w:r>
      <w:r w:rsidRPr="009F10EE">
        <w:rPr>
          <w:rStyle w:val="libFootnoteAlaemChar"/>
          <w:rtl/>
        </w:rPr>
        <w:t>صلى‌الله‌عليه‌وآله</w:t>
      </w:r>
      <w:r w:rsidR="00E3253D" w:rsidRPr="005D642E">
        <w:rPr>
          <w:rtl/>
        </w:rPr>
        <w:t xml:space="preserve"> ؛ </w:t>
      </w:r>
      <w:r w:rsidR="00E3253D" w:rsidRPr="002F4D34">
        <w:rPr>
          <w:rStyle w:val="libFootnoteBoldChar"/>
          <w:rtl/>
        </w:rPr>
        <w:t>الجعفريّات</w:t>
      </w:r>
      <w:r w:rsidR="00E3253D" w:rsidRPr="005D642E">
        <w:rPr>
          <w:rtl/>
        </w:rPr>
        <w:t xml:space="preserve"> ، ص 11 </w:t>
      </w:r>
      <w:r w:rsidR="00E3253D">
        <w:rPr>
          <w:rtl/>
        </w:rPr>
        <w:t>و 3</w:t>
      </w:r>
      <w:r w:rsidR="00E3253D" w:rsidRPr="005D642E">
        <w:rPr>
          <w:rtl/>
        </w:rPr>
        <w:t xml:space="preserve">9 بسند آخر عن جعفر بن محمّد ، عن آبائه </w:t>
      </w:r>
      <w:r w:rsidR="00E3253D" w:rsidRPr="00F25401">
        <w:rPr>
          <w:rStyle w:val="libFootnoteAlaemChar"/>
          <w:rtl/>
        </w:rPr>
        <w:t>عليهم‌السلام</w:t>
      </w:r>
      <w:r w:rsidR="00E3253D" w:rsidRPr="005D642E">
        <w:rPr>
          <w:rtl/>
        </w:rPr>
        <w:t xml:space="preserve"> عن النبيّ </w:t>
      </w:r>
      <w:r w:rsidR="009F10EE" w:rsidRPr="009F10EE">
        <w:rPr>
          <w:rStyle w:val="libFootnoteAlaemChar"/>
          <w:rtl/>
        </w:rPr>
        <w:t>صلى‌الله‌عليه‌وآله</w:t>
      </w:r>
      <w:r w:rsidR="009F10EE" w:rsidRPr="005D642E">
        <w:rPr>
          <w:rtl/>
        </w:rPr>
        <w:t xml:space="preserve"> </w:t>
      </w:r>
      <w:r w:rsidR="00E3253D" w:rsidRPr="005D642E">
        <w:rPr>
          <w:rtl/>
        </w:rPr>
        <w:t xml:space="preserve">، مع زيادة في أوّله. </w:t>
      </w:r>
      <w:r w:rsidR="00E3253D" w:rsidRPr="002F4D34">
        <w:rPr>
          <w:rStyle w:val="libFootnoteBoldChar"/>
          <w:rtl/>
        </w:rPr>
        <w:t>الفقيه</w:t>
      </w:r>
      <w:r w:rsidR="00E3253D" w:rsidRPr="005D642E">
        <w:rPr>
          <w:rtl/>
        </w:rPr>
        <w:t xml:space="preserve"> ، ج 1 ، ص 5 ، ح 2 ، مرسلاً عن أبي عبدالله </w:t>
      </w:r>
      <w:r w:rsidR="00E3253D" w:rsidRPr="00F25401">
        <w:rPr>
          <w:rStyle w:val="libFootnoteAlaemChar"/>
          <w:rtl/>
        </w:rPr>
        <w:t>عليه‌السلام</w:t>
      </w:r>
      <w:r w:rsidR="00E3253D" w:rsidRPr="005D642E">
        <w:rPr>
          <w:rtl/>
        </w:rPr>
        <w:t xml:space="preserve"> ، من دون الإسناد إلى النبيّ </w:t>
      </w:r>
      <w:r w:rsidRPr="009F10EE">
        <w:rPr>
          <w:rStyle w:val="libFootnoteAlaemChar"/>
          <w:rtl/>
        </w:rPr>
        <w:t>صلى‌الله‌عليه‌وآله</w:t>
      </w:r>
      <w:r w:rsidR="00E3253D" w:rsidRPr="005D642E">
        <w:rPr>
          <w:rtl/>
        </w:rPr>
        <w:t xml:space="preserve"> </w:t>
      </w:r>
      <w:r w:rsidR="00F25401">
        <w:rPr>
          <w:rFonts w:hint="cs"/>
          <w:rtl/>
        </w:rPr>
        <w:t>.</w:t>
      </w:r>
      <w:r w:rsidR="00E3253D" w:rsidRPr="002F4D34">
        <w:rPr>
          <w:rStyle w:val="libFootnoteBoldChar"/>
          <w:rtl/>
        </w:rPr>
        <w:t>الوافي</w:t>
      </w:r>
      <w:r w:rsidR="00E3253D" w:rsidRPr="005D642E">
        <w:rPr>
          <w:rtl/>
        </w:rPr>
        <w:t xml:space="preserve"> ، ج 6 ، ص 17 ، ح 3663 ؛ </w:t>
      </w:r>
      <w:r w:rsidR="00E3253D" w:rsidRPr="002F4D34">
        <w:rPr>
          <w:rStyle w:val="libFootnoteBoldChar"/>
          <w:rtl/>
        </w:rPr>
        <w:t>الوسائل</w:t>
      </w:r>
      <w:r w:rsidR="00E3253D" w:rsidRPr="005D642E">
        <w:rPr>
          <w:rtl/>
        </w:rPr>
        <w:t xml:space="preserve"> ، ج 1 ، ص 134 ، ح 327.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w:t>
      </w:r>
      <w:r w:rsidR="000D749A" w:rsidRPr="000D749A">
        <w:rPr>
          <w:rStyle w:val="libFootnoteBoldChar"/>
          <w:rtl/>
        </w:rPr>
        <w:t>والوافي</w:t>
      </w:r>
      <w:r w:rsidR="00E3253D" w:rsidRPr="005D642E">
        <w:rPr>
          <w:rtl/>
        </w:rPr>
        <w:t xml:space="preserve"> : « تعلم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أنّه قد قذر »</w:t>
      </w:r>
      <w:r w:rsidR="00E3253D">
        <w:rPr>
          <w:rtl/>
        </w:rPr>
        <w:t>.</w:t>
      </w:r>
      <w:r w:rsidR="00E3253D" w:rsidRPr="005D642E">
        <w:rPr>
          <w:rtl/>
        </w:rPr>
        <w:t xml:space="preserve"> والقَذر ، يجوز في ذاله السكون والحركات الثلاث ، وأصله من القَذَر ، وهو ضدُّ النظافة ، والوسخُ وما يستكرهه الطباع ، وقد يطلق على النجس ، و</w:t>
      </w:r>
      <w:r w:rsidR="00F25401">
        <w:rPr>
          <w:rtl/>
        </w:rPr>
        <w:t>هو المراد هنا كما صرّح به العل</w:t>
      </w:r>
      <w:r w:rsidR="00F25401">
        <w:rPr>
          <w:rFonts w:hint="cs"/>
          <w:rtl/>
        </w:rPr>
        <w:t>ّ</w:t>
      </w:r>
      <w:r w:rsidR="00F25401">
        <w:rPr>
          <w:rtl/>
        </w:rPr>
        <w:t>ا</w:t>
      </w:r>
      <w:r w:rsidR="00E3253D" w:rsidRPr="005D642E">
        <w:rPr>
          <w:rtl/>
        </w:rPr>
        <w:t xml:space="preserve">مة المجلسي </w:t>
      </w:r>
      <w:r w:rsidR="00E3253D" w:rsidRPr="00F25401">
        <w:rPr>
          <w:rStyle w:val="libFootnoteAlaemChar"/>
          <w:rtl/>
        </w:rPr>
        <w:t>رحمه‌الله</w:t>
      </w:r>
      <w:r w:rsidR="00E3253D" w:rsidRPr="005D642E">
        <w:rPr>
          <w:rtl/>
        </w:rPr>
        <w:t xml:space="preserve">. راجع : </w:t>
      </w:r>
      <w:r w:rsidR="00E3253D" w:rsidRPr="002F4D34">
        <w:rPr>
          <w:rStyle w:val="libFootnoteBoldChar"/>
          <w:rtl/>
        </w:rPr>
        <w:t>لسان العرب</w:t>
      </w:r>
      <w:r w:rsidR="00E3253D" w:rsidRPr="005D642E">
        <w:rPr>
          <w:rtl/>
        </w:rPr>
        <w:t xml:space="preserve"> ، ج 5 ، ص 80 ؛ </w:t>
      </w:r>
      <w:r w:rsidR="00E3253D" w:rsidRPr="002F4D34">
        <w:rPr>
          <w:rStyle w:val="libFootnoteBoldChar"/>
          <w:rtl/>
        </w:rPr>
        <w:t>المصباح المنير</w:t>
      </w:r>
      <w:r w:rsidR="00E3253D" w:rsidRPr="005D642E">
        <w:rPr>
          <w:rtl/>
        </w:rPr>
        <w:t xml:space="preserve"> ، ص 494 ( قذر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215 ، ح 619 ، بسنده عن الكليني. </w:t>
      </w:r>
      <w:r w:rsidR="00E3253D" w:rsidRPr="002F4D34">
        <w:rPr>
          <w:rStyle w:val="libFootnoteBoldChar"/>
          <w:rtl/>
        </w:rPr>
        <w:t>وفيه</w:t>
      </w:r>
      <w:r w:rsidR="00E3253D" w:rsidRPr="005D642E">
        <w:rPr>
          <w:rtl/>
        </w:rPr>
        <w:t xml:space="preserve"> ، ح 620 ، معلّقاً عن محمّد بن أحمد بن يحيى ، </w:t>
      </w:r>
      <w:r w:rsidR="00D71C38">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0C1F2C">
        <w:rPr>
          <w:rtl/>
        </w:rPr>
        <w:lastRenderedPageBreak/>
        <w:t>3804</w:t>
      </w:r>
      <w:r w:rsidRPr="00246318">
        <w:rPr>
          <w:rStyle w:val="libBold2Char"/>
          <w:rtl/>
        </w:rPr>
        <w:t xml:space="preserve"> / 3.</w:t>
      </w:r>
      <w:r w:rsidRPr="005D642E">
        <w:rPr>
          <w:rtl/>
          <w:lang w:bidi="fa-IR"/>
        </w:rPr>
        <w:t xml:space="preserve"> مُحَمَّدُ بْنُ يَحْيى ، عَنْ مُحَمَّدِ بْنِ الْحُسَيْنِ ، عَنْ أَبِي دَاوُدَ الْمُنْشِدِ ، عَنْ جَعْفَرِ بْنِ مُحَمَّدٍ ، عَنْ يُونُسَ </w:t>
      </w:r>
      <w:r w:rsidRPr="007C12DB">
        <w:rPr>
          <w:rStyle w:val="libFootnotenumChar"/>
          <w:rtl/>
        </w:rPr>
        <w:t>(1)</w:t>
      </w:r>
      <w:r w:rsidRPr="005D642E">
        <w:rPr>
          <w:rtl/>
          <w:lang w:bidi="fa-IR"/>
        </w:rPr>
        <w:t xml:space="preserve"> ، عَنْ حَمَّادِ بْنِ عُثْمَانَ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الْمَاءُ كُلُّهُ طَاهِرٌ حَتّى يُعْلَمَ أَنَّهُ قَذِرٌ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0C1F2C">
        <w:rPr>
          <w:rtl/>
        </w:rPr>
        <w:t>3805</w:t>
      </w:r>
      <w:r w:rsidRPr="00246318">
        <w:rPr>
          <w:rStyle w:val="libBold2Char"/>
          <w:rtl/>
        </w:rPr>
        <w:t xml:space="preserve"> / 4.</w:t>
      </w:r>
      <w:r w:rsidRPr="005D642E">
        <w:rPr>
          <w:rtl/>
          <w:lang w:bidi="fa-IR"/>
        </w:rPr>
        <w:t xml:space="preserve"> عَلِيُّ بْنُ إِبْرَاهِيمَ ، عَنْ مُحَمَّدِ بْنِ عِيسى ، عَنْ يُونُسَ بْنِ عَبْدِ الرَّحْمنِ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w:t>
      </w:r>
      <w:r>
        <w:rPr>
          <w:rtl/>
          <w:lang w:bidi="fa-IR"/>
        </w:rPr>
        <w:t>ْتُهُ عَنْ مَاءِ الْبَحْرِ : أَ</w:t>
      </w:r>
      <w:r w:rsidRPr="005D642E">
        <w:rPr>
          <w:rtl/>
          <w:lang w:bidi="fa-IR"/>
        </w:rPr>
        <w:t>طَهُورٌ هُوَ</w:t>
      </w:r>
      <w:r>
        <w:rPr>
          <w:rtl/>
          <w:lang w:bidi="fa-IR"/>
        </w:rPr>
        <w:t>؟</w:t>
      </w:r>
      <w:r w:rsidRPr="005D642E">
        <w:rPr>
          <w:rtl/>
          <w:lang w:bidi="fa-IR"/>
        </w:rPr>
        <w:t xml:space="preserve"> قَالَ : « نَعَمْ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0424CB" w:rsidP="00E3253D">
      <w:pPr>
        <w:pStyle w:val="libFootnote0"/>
        <w:rPr>
          <w:rtl/>
          <w:lang w:bidi="fa-IR"/>
        </w:rPr>
      </w:pPr>
      <w:r>
        <w:rPr>
          <w:rFonts w:hint="cs"/>
          <w:rtl/>
        </w:rPr>
        <w:t xml:space="preserve">= </w:t>
      </w:r>
      <w:r w:rsidR="00E3253D" w:rsidRPr="005D642E">
        <w:rPr>
          <w:rtl/>
        </w:rPr>
        <w:t xml:space="preserve">عن الحسن بن الحسين الؤلؤي ، عن أبي داود المنشد ، عن جعفر بن محمّد ، عن يونس ، عن حمّاد بن عيسى ، عن أبي عبدالله </w:t>
      </w:r>
      <w:r w:rsidR="00E3253D" w:rsidRPr="000424CB">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5 ، ح 1 ، مرسلاً ، وتمام ا</w:t>
      </w:r>
      <w:r>
        <w:rPr>
          <w:rtl/>
        </w:rPr>
        <w:t>لرواية فيه : « كلّ ماء طاهر إل</w:t>
      </w:r>
      <w:r>
        <w:rPr>
          <w:rFonts w:hint="cs"/>
          <w:rtl/>
        </w:rPr>
        <w:t>ّ</w:t>
      </w:r>
      <w:r>
        <w:rPr>
          <w:rtl/>
        </w:rPr>
        <w:t>ا</w:t>
      </w:r>
      <w:r w:rsidR="009F10EE">
        <w:rPr>
          <w:rtl/>
        </w:rPr>
        <w:t>ما علمت أنّه قذر</w:t>
      </w:r>
      <w:r w:rsidR="00E3253D" w:rsidRPr="005D642E">
        <w:rPr>
          <w:rtl/>
        </w:rPr>
        <w:t>»</w:t>
      </w:r>
      <w:r w:rsidR="00E3253D">
        <w:rPr>
          <w:rtl/>
        </w:rPr>
        <w:t>.</w:t>
      </w:r>
      <w:r w:rsidR="00E3253D" w:rsidRPr="005D642E">
        <w:rPr>
          <w:rtl/>
        </w:rPr>
        <w:t xml:space="preserve"> </w:t>
      </w:r>
      <w:r w:rsidR="000D749A" w:rsidRPr="000D749A">
        <w:rPr>
          <w:rStyle w:val="libFootnoteBoldChar"/>
          <w:rtl/>
        </w:rPr>
        <w:t>الأمالي للصدوق</w:t>
      </w:r>
      <w:r w:rsidR="00E3253D" w:rsidRPr="005D642E">
        <w:rPr>
          <w:rtl/>
        </w:rPr>
        <w:t xml:space="preserve"> ، ص 645 ، المجلس 93 ، ضمن إملاء الصدوق في وصف دين الإماميّة على الإيجاز والاختصار </w:t>
      </w:r>
      <w:r w:rsidR="00833D3C">
        <w:rPr>
          <w:rFonts w:hint="cs"/>
          <w:rtl/>
        </w:rPr>
        <w:t>.</w:t>
      </w:r>
      <w:r w:rsidR="00E3253D" w:rsidRPr="002F4D34">
        <w:rPr>
          <w:rStyle w:val="libFootnoteBoldChar"/>
          <w:rtl/>
        </w:rPr>
        <w:t>الوافي</w:t>
      </w:r>
      <w:r w:rsidR="00E3253D" w:rsidRPr="005D642E">
        <w:rPr>
          <w:rtl/>
        </w:rPr>
        <w:t xml:space="preserve"> ، ج 6 ، ص 15 ، ح 3657 ؛ </w:t>
      </w:r>
      <w:r w:rsidR="00E3253D" w:rsidRPr="002F4D34">
        <w:rPr>
          <w:rStyle w:val="libFootnoteBoldChar"/>
          <w:rtl/>
        </w:rPr>
        <w:t>الوسائل</w:t>
      </w:r>
      <w:r w:rsidR="00E3253D" w:rsidRPr="005D642E">
        <w:rPr>
          <w:rtl/>
        </w:rPr>
        <w:t xml:space="preserve"> ، ج 1 ، ص 134 ، ذيل ح 326.</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يونس الراوي عن حمّاد بن عثمان هو يونس بن عبدالرحمن ، كما في </w:t>
      </w:r>
      <w:r w:rsidR="00E3253D" w:rsidRPr="002F4D34">
        <w:rPr>
          <w:rStyle w:val="libFootnoteBoldChar"/>
          <w:rtl/>
        </w:rPr>
        <w:t>المحاسن</w:t>
      </w:r>
      <w:r w:rsidR="00E3253D" w:rsidRPr="005D642E">
        <w:rPr>
          <w:rtl/>
        </w:rPr>
        <w:t xml:space="preserve"> ، ص 276 ، ح 391 ؛ وص 318 ، ح 45 ؛ وفي </w:t>
      </w:r>
      <w:r w:rsidR="00E3253D" w:rsidRPr="002F4D34">
        <w:rPr>
          <w:rStyle w:val="libFootnoteBoldChar"/>
          <w:rtl/>
        </w:rPr>
        <w:t>رجال النجاشي</w:t>
      </w:r>
      <w:r w:rsidR="00E3253D" w:rsidRPr="005D642E">
        <w:rPr>
          <w:rtl/>
        </w:rPr>
        <w:t xml:space="preserve"> ، ص 413 ، الرقم 1101 ، في طريقه إلى كتاب منصور بن حازم. وتقدّم في </w:t>
      </w:r>
      <w:r w:rsidR="00E3253D" w:rsidRPr="002F4D34">
        <w:rPr>
          <w:rStyle w:val="libFootnoteBoldChar"/>
          <w:rtl/>
        </w:rPr>
        <w:t>الكافي</w:t>
      </w:r>
      <w:r w:rsidR="00E3253D" w:rsidRPr="005D642E">
        <w:rPr>
          <w:rtl/>
        </w:rPr>
        <w:t xml:space="preserve"> ، ذيل ح 383 ؛ أنّه لم يثبت رواية من يسمّى بجعفر بن محمّد ، عن يونس بن عبدالرحمن واستظهرنا أنّ الصواب هو « جعفر بن محمّد بن يونس »</w:t>
      </w:r>
      <w:r w:rsidR="00E3253D">
        <w:rPr>
          <w:rtl/>
        </w:rPr>
        <w:t xml:space="preserve"> </w:t>
      </w:r>
      <w:r w:rsidR="007642BC">
        <w:rPr>
          <w:rtl/>
        </w:rPr>
        <w:t>-</w:t>
      </w:r>
      <w:r w:rsidR="00E3253D">
        <w:rPr>
          <w:rtl/>
        </w:rPr>
        <w:t xml:space="preserve"> </w:t>
      </w:r>
      <w:r w:rsidR="00E3253D" w:rsidRPr="005D642E">
        <w:rPr>
          <w:rtl/>
        </w:rPr>
        <w:t>والمراد به جعفر بن محمّد بن يونس الأحول</w:t>
      </w:r>
      <w:r w:rsidR="00E3253D">
        <w:rPr>
          <w:rtl/>
        </w:rPr>
        <w:t xml:space="preserve"> </w:t>
      </w:r>
      <w:r w:rsidR="007642BC">
        <w:rPr>
          <w:rtl/>
        </w:rPr>
        <w:t>-</w:t>
      </w:r>
      <w:r w:rsidR="00E3253D">
        <w:rPr>
          <w:rtl/>
        </w:rPr>
        <w:t xml:space="preserve"> </w:t>
      </w:r>
      <w:r w:rsidR="00E3253D" w:rsidRPr="005D642E">
        <w:rPr>
          <w:rtl/>
        </w:rPr>
        <w:t xml:space="preserve">وأنّ ما ورد في بعض الأسناد من رواية جعفر بن محمّد ، عن يونس ، فهو إمّا محرّف أو مشكوك الصحّة ، كما في ما نحن فيه ؛ فقد وردت رواية جعفر بن محمّد بن يونس ، عن حمّاد بن عثمان ، في </w:t>
      </w:r>
      <w:r w:rsidR="00E3253D" w:rsidRPr="002F4D34">
        <w:rPr>
          <w:rStyle w:val="libFootnoteBoldChar"/>
          <w:rtl/>
        </w:rPr>
        <w:t>التهذيب</w:t>
      </w:r>
      <w:r w:rsidR="00E3253D" w:rsidRPr="005D642E">
        <w:rPr>
          <w:rtl/>
        </w:rPr>
        <w:t xml:space="preserve"> ، ج 4 ، ص 44 ، ح 114 ؛ </w:t>
      </w:r>
      <w:r w:rsidR="00E3253D" w:rsidRPr="00E678B5">
        <w:rPr>
          <w:rStyle w:val="libFootnoteBoldChar"/>
          <w:rtl/>
        </w:rPr>
        <w:t>والاستبصار</w:t>
      </w:r>
      <w:r w:rsidR="00E3253D" w:rsidRPr="005D642E">
        <w:rPr>
          <w:rtl/>
        </w:rPr>
        <w:t xml:space="preserve"> ، ج 2 ، ص 32 ، ح 96 ، والخبر المذكور في الموضعين واحد.</w:t>
      </w:r>
    </w:p>
    <w:p w:rsidR="00E3253D" w:rsidRPr="005D642E" w:rsidRDefault="00E3253D" w:rsidP="00E3253D">
      <w:pPr>
        <w:pStyle w:val="libFootnote0"/>
        <w:rPr>
          <w:rtl/>
          <w:lang w:bidi="fa-IR"/>
        </w:rPr>
      </w:pPr>
      <w:r w:rsidRPr="00B60612">
        <w:rPr>
          <w:rtl/>
        </w:rPr>
        <w:t xml:space="preserve">وأمّا ما ورد في </w:t>
      </w:r>
      <w:r w:rsidRPr="002F4D34">
        <w:rPr>
          <w:rStyle w:val="libFootnoteBoldChar"/>
          <w:rtl/>
        </w:rPr>
        <w:t>بصائر الدرجات</w:t>
      </w:r>
      <w:r w:rsidRPr="00B60612">
        <w:rPr>
          <w:rtl/>
        </w:rPr>
        <w:t xml:space="preserve"> ، ص 256 ، ح 9 ، من رواية جعفر بن محمّد ، عن يونس ، عن حمّاد بن عثمان ، فلا يعوّل عليه ؛ فإنّ المذكور في بعض نسخه المعتبرة « جعفر بن محمّد بن يونس » ، وكذا في </w:t>
      </w:r>
      <w:r w:rsidRPr="002F4D34">
        <w:rPr>
          <w:rStyle w:val="libFootnoteBoldChar"/>
          <w:rtl/>
        </w:rPr>
        <w:t>البحار</w:t>
      </w:r>
      <w:r w:rsidRPr="00B60612">
        <w:rPr>
          <w:rtl/>
        </w:rPr>
        <w:t xml:space="preserve"> ، ج 16 ، ص 223 ، ح 23 ؛ وج 17 ، ص 367 ، ح 15 ، نقلاً من </w:t>
      </w:r>
      <w:r w:rsidRPr="002F4D34">
        <w:rPr>
          <w:rStyle w:val="libFootnoteBoldChar"/>
          <w:rtl/>
        </w:rPr>
        <w:t>بصائر الدرجات</w:t>
      </w:r>
      <w:r w:rsidRPr="00B60612">
        <w:rPr>
          <w:rtl/>
        </w:rPr>
        <w:t>.</w:t>
      </w:r>
    </w:p>
    <w:p w:rsidR="00E3253D" w:rsidRPr="005D642E" w:rsidRDefault="00E3253D" w:rsidP="00AF3651">
      <w:pPr>
        <w:pStyle w:val="libFootnote0"/>
        <w:rPr>
          <w:rtl/>
          <w:lang w:bidi="fa-IR"/>
        </w:rPr>
      </w:pPr>
      <w:r w:rsidRPr="00B60612">
        <w:rPr>
          <w:rtl/>
        </w:rPr>
        <w:t xml:space="preserve">ثمّ اعلم أنّ ما تقدم في ذيل الحديث السابق نقلاً من </w:t>
      </w:r>
      <w:r w:rsidRPr="002F4D34">
        <w:rPr>
          <w:rStyle w:val="libFootnoteBoldChar"/>
          <w:rtl/>
        </w:rPr>
        <w:t>التهذيب</w:t>
      </w:r>
      <w:r w:rsidRPr="00B60612">
        <w:rPr>
          <w:rtl/>
        </w:rPr>
        <w:t xml:space="preserve"> ، ج 1 ، ح 620 ، من « حمّاد بن عيسى » بدل « حمّاد بن عثمان » ، فالمظنون وقوع التحريف فيه أيضاً ؛ فإنّه لم يعهد رواية جعفر بن محمّد بن يونس ، عن حمّاد بن عيسى. و</w:t>
      </w:r>
      <w:r w:rsidR="00AF3651" w:rsidRPr="00B60612">
        <w:rPr>
          <w:rFonts w:hint="cs"/>
          <w:rtl/>
        </w:rPr>
        <w:t xml:space="preserve"> </w:t>
      </w:r>
      <w:r w:rsidRPr="00B60612">
        <w:rPr>
          <w:rtl/>
        </w:rPr>
        <w:t>وجه التحريف لايخفى على من تتبّع النسخ ، من حذف « الألف » من لفظة « عثمان » كما كان شائعاً في بعض الخطوط القديمة.</w:t>
      </w:r>
      <w:r w:rsidR="00AF3651" w:rsidRPr="00B60612">
        <w:rPr>
          <w:rFonts w:hint="cs"/>
          <w:rtl/>
        </w:rPr>
        <w:t xml:space="preserve">                            </w:t>
      </w:r>
      <w:r w:rsidR="0042621E" w:rsidRPr="0042621E">
        <w:rPr>
          <w:rStyle w:val="libFootnote0Char"/>
          <w:rtl/>
        </w:rPr>
        <w:t>(2).</w:t>
      </w:r>
      <w:r w:rsidRPr="005D642E">
        <w:rPr>
          <w:rtl/>
        </w:rPr>
        <w:t xml:space="preserve"> لم ترد هذه الرواية في « جس »</w:t>
      </w:r>
      <w:r>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216 ، ح 621 ، بسنده عن محمّد بن الحسين بن أبي الخطّاب </w:t>
      </w:r>
      <w:r w:rsidR="00AF3651">
        <w:rPr>
          <w:rFonts w:hint="cs"/>
          <w:rtl/>
        </w:rPr>
        <w:t>.</w:t>
      </w:r>
      <w:r w:rsidR="00E3253D" w:rsidRPr="002F4D34">
        <w:rPr>
          <w:rStyle w:val="libFootnoteBoldChar"/>
          <w:rtl/>
        </w:rPr>
        <w:t>الوافي</w:t>
      </w:r>
      <w:r w:rsidR="00E3253D" w:rsidRPr="005D642E">
        <w:rPr>
          <w:rtl/>
        </w:rPr>
        <w:t xml:space="preserve"> ، ج 6 ، ص 15 ، ح 3658 ؛ </w:t>
      </w:r>
      <w:r w:rsidR="00E3253D" w:rsidRPr="002F4D34">
        <w:rPr>
          <w:rStyle w:val="libFootnoteBoldChar"/>
          <w:rtl/>
        </w:rPr>
        <w:t>الوسائل</w:t>
      </w:r>
      <w:r w:rsidR="00E3253D" w:rsidRPr="005D642E">
        <w:rPr>
          <w:rtl/>
        </w:rPr>
        <w:t xml:space="preserve"> ، ج 1 ، ص 134 ، ذيل ح 326.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216 ، ح 622 ، بسنده عن الكليني. راجع : </w:t>
      </w:r>
      <w:r w:rsidR="00E3253D" w:rsidRPr="002F4D34">
        <w:rPr>
          <w:rStyle w:val="libFootnoteBoldChar"/>
          <w:rtl/>
        </w:rPr>
        <w:t>الفقيه</w:t>
      </w:r>
      <w:r w:rsidR="00E3253D" w:rsidRPr="005D642E">
        <w:rPr>
          <w:rtl/>
        </w:rPr>
        <w:t xml:space="preserve"> ، ج 1 ، ص 5 ؛ و</w:t>
      </w:r>
      <w:r w:rsidR="00E3253D" w:rsidRPr="002F4D34">
        <w:rPr>
          <w:rStyle w:val="libFootnoteBoldChar"/>
          <w:rtl/>
        </w:rPr>
        <w:t>الأمالي</w:t>
      </w:r>
      <w:r w:rsidR="00E3253D" w:rsidRPr="005D642E">
        <w:rPr>
          <w:rtl/>
        </w:rPr>
        <w:t xml:space="preserve"> </w:t>
      </w:r>
      <w:r w:rsidR="00AF365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0C1F2C">
        <w:rPr>
          <w:rtl/>
        </w:rPr>
        <w:lastRenderedPageBreak/>
        <w:t>3806</w:t>
      </w:r>
      <w:r w:rsidRPr="00246318">
        <w:rPr>
          <w:rStyle w:val="libBold2Char"/>
          <w:rtl/>
        </w:rPr>
        <w:t xml:space="preserve"> / 5.</w:t>
      </w:r>
      <w:r w:rsidRPr="005D642E">
        <w:rPr>
          <w:rtl/>
          <w:lang w:bidi="fa-IR"/>
        </w:rPr>
        <w:t xml:space="preserve"> مُحَمَّدُ بْنُ يَحْيى ، عَنْ أَحْمَدَ بْنِ مُحَمَّدِ بْنِ عِيسى </w:t>
      </w:r>
      <w:r w:rsidRPr="007C12DB">
        <w:rPr>
          <w:rStyle w:val="libFootnotenumChar"/>
          <w:rtl/>
        </w:rPr>
        <w:t>(1)</w:t>
      </w:r>
      <w:r w:rsidRPr="005D642E">
        <w:rPr>
          <w:rtl/>
          <w:lang w:bidi="fa-IR"/>
        </w:rPr>
        <w:t xml:space="preserve"> ، عَنْ عُثْمَانَ بْنِ عِيسى ، عَنْ أَبِي بَكْرٍ الْحَضْرَمِيِّ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Pr>
          <w:rtl/>
          <w:lang w:bidi="fa-IR"/>
        </w:rPr>
        <w:t xml:space="preserve"> عَنْ مَاءِ الْبَحْرِ : أَ</w:t>
      </w:r>
      <w:r w:rsidRPr="005D642E">
        <w:rPr>
          <w:rtl/>
          <w:lang w:bidi="fa-IR"/>
        </w:rPr>
        <w:t xml:space="preserve">طَهُورٌ هُوَ </w:t>
      </w:r>
      <w:r w:rsidRPr="007C12DB">
        <w:rPr>
          <w:rStyle w:val="libFootnotenumChar"/>
          <w:rtl/>
        </w:rPr>
        <w:t>(2)</w:t>
      </w:r>
      <w:r>
        <w:rPr>
          <w:rtl/>
          <w:lang w:bidi="fa-IR"/>
        </w:rPr>
        <w:t>؟</w:t>
      </w:r>
      <w:r w:rsidRPr="005D642E">
        <w:rPr>
          <w:rtl/>
          <w:lang w:bidi="fa-IR"/>
        </w:rPr>
        <w:t xml:space="preserve"> قَالَ : « نَعَمْ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10" w:name="_Toc344647214"/>
      <w:bookmarkStart w:id="11" w:name="_Toc462226729"/>
      <w:bookmarkStart w:id="12" w:name="_Toc40975835"/>
      <w:r w:rsidRPr="005D642E">
        <w:rPr>
          <w:rtl/>
          <w:lang w:bidi="fa-IR"/>
        </w:rPr>
        <w:t>2</w:t>
      </w:r>
      <w:r>
        <w:rPr>
          <w:rtl/>
          <w:lang w:bidi="fa-IR"/>
        </w:rPr>
        <w:t xml:space="preserve"> </w:t>
      </w:r>
      <w:r w:rsidR="007642BC">
        <w:rPr>
          <w:rtl/>
          <w:lang w:bidi="fa-IR"/>
        </w:rPr>
        <w:t>-</w:t>
      </w:r>
      <w:r>
        <w:rPr>
          <w:rtl/>
          <w:lang w:bidi="fa-IR"/>
        </w:rPr>
        <w:t xml:space="preserve"> </w:t>
      </w:r>
      <w:r w:rsidRPr="005D642E">
        <w:rPr>
          <w:rtl/>
          <w:lang w:bidi="fa-IR"/>
        </w:rPr>
        <w:t>بَابُ الْمَاءِ الَّذِي لَايُنَجِّسُهُ شَيْ‌ءٌ‌</w:t>
      </w:r>
      <w:bookmarkEnd w:id="10"/>
      <w:bookmarkEnd w:id="11"/>
      <w:bookmarkEnd w:id="12"/>
    </w:p>
    <w:p w:rsidR="00E3253D" w:rsidRPr="005D642E" w:rsidRDefault="00E3253D" w:rsidP="00E3253D">
      <w:pPr>
        <w:pStyle w:val="libNormal"/>
        <w:rPr>
          <w:rtl/>
          <w:lang w:bidi="fa-IR"/>
        </w:rPr>
      </w:pPr>
      <w:r w:rsidRPr="000C1F2C">
        <w:rPr>
          <w:rtl/>
        </w:rPr>
        <w:t>3807</w:t>
      </w:r>
      <w:r w:rsidRPr="00246318">
        <w:rPr>
          <w:rStyle w:val="libBold2Char"/>
          <w:rtl/>
        </w:rPr>
        <w:t xml:space="preserve"> / 1.</w:t>
      </w:r>
      <w:r w:rsidRPr="005D642E">
        <w:rPr>
          <w:rtl/>
          <w:lang w:bidi="fa-IR"/>
        </w:rPr>
        <w:t xml:space="preserve"> مُحَمَّدُ بْنُ إِسْمَاعِيلَ ، عَنِ الْفَضْلِ بْنِ شَاذَانَ ، عَنْ صَفْوَانَ بْنِ يَحْيى </w:t>
      </w:r>
      <w:r w:rsidRPr="007C12DB">
        <w:rPr>
          <w:rStyle w:val="libFootnotenumChar"/>
          <w:rtl/>
        </w:rPr>
        <w:t>(4)</w:t>
      </w:r>
      <w:r w:rsidRPr="005D642E">
        <w:rPr>
          <w:rtl/>
          <w:lang w:bidi="fa-IR"/>
        </w:rPr>
        <w:t xml:space="preserve"> ؛ وَعَلِيُّ بْنُ إِبْرَاهِيمَ ، عَنْ أَبِيهِ ، عَنْ حَمَّادِ بْنِ عِيسى جَمِيعاً ، عَنْ مُعَاوِيَةَ بْنِ عَمَّارٍ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كَانَ الْمَاءُ قَدْرَ كُرٍّ ، لَمْ يُنَجِّسْهُ </w:t>
      </w:r>
      <w:r w:rsidRPr="007C12DB">
        <w:rPr>
          <w:rStyle w:val="libFootnotenumChar"/>
          <w:rtl/>
        </w:rPr>
        <w:t>(5)</w:t>
      </w:r>
      <w:r w:rsidRPr="005D642E">
        <w:rPr>
          <w:rtl/>
          <w:lang w:bidi="fa-IR"/>
        </w:rPr>
        <w:t xml:space="preserve"> شَيْ‌ءٌ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0C1F2C">
        <w:rPr>
          <w:rtl/>
        </w:rPr>
        <w:t>3808</w:t>
      </w:r>
      <w:r w:rsidRPr="00246318">
        <w:rPr>
          <w:rStyle w:val="libBold2Char"/>
          <w:rtl/>
        </w:rPr>
        <w:t xml:space="preserve"> / 2.</w:t>
      </w:r>
      <w:r w:rsidRPr="005D642E">
        <w:rPr>
          <w:rtl/>
          <w:lang w:bidi="fa-IR"/>
        </w:rPr>
        <w:t xml:space="preserve"> عِدَّةٌ مِنْ أَصْحَابِنَا ، عَنْ أَحْمَدَ بْنِ مُحَمَّدِ بْنِ عِيسى ، عَنْ عَلِيِّ بْنِ الْحَكَمِ ، عَنْ‌</w:t>
      </w:r>
    </w:p>
    <w:p w:rsidR="00E3253D" w:rsidRPr="005D642E" w:rsidRDefault="00E3253D" w:rsidP="00E3253D">
      <w:pPr>
        <w:pStyle w:val="libLine"/>
        <w:rPr>
          <w:rtl/>
          <w:lang w:bidi="fa-IR"/>
        </w:rPr>
      </w:pPr>
      <w:r w:rsidRPr="005D642E">
        <w:rPr>
          <w:rtl/>
          <w:lang w:bidi="fa-IR"/>
        </w:rPr>
        <w:t>__________________</w:t>
      </w:r>
    </w:p>
    <w:p w:rsidR="00E3253D" w:rsidRPr="005D642E" w:rsidRDefault="00217F99" w:rsidP="00E3253D">
      <w:pPr>
        <w:pStyle w:val="libFootnote0"/>
        <w:rPr>
          <w:rtl/>
          <w:lang w:bidi="fa-IR"/>
        </w:rPr>
      </w:pPr>
      <w:r>
        <w:rPr>
          <w:rFonts w:hint="cs"/>
          <w:rtl/>
        </w:rPr>
        <w:t xml:space="preserve">= </w:t>
      </w:r>
      <w:r w:rsidR="00E3253D" w:rsidRPr="005D642E">
        <w:rPr>
          <w:rtl/>
        </w:rPr>
        <w:t xml:space="preserve">للصدوق ، ص 656 ، المجلس 93 </w:t>
      </w:r>
      <w:r w:rsidR="00364717">
        <w:rPr>
          <w:rFonts w:hint="cs"/>
          <w:rtl/>
        </w:rPr>
        <w:t>.</w:t>
      </w:r>
      <w:r w:rsidR="00E3253D" w:rsidRPr="002F4D34">
        <w:rPr>
          <w:rStyle w:val="libFootnoteBoldChar"/>
          <w:rtl/>
        </w:rPr>
        <w:t>الوافي</w:t>
      </w:r>
      <w:r w:rsidR="00E3253D" w:rsidRPr="005D642E">
        <w:rPr>
          <w:rtl/>
        </w:rPr>
        <w:t xml:space="preserve"> ، ج 6 ، ص 16 ، ح 3660 ؛ </w:t>
      </w:r>
      <w:r w:rsidR="00E3253D" w:rsidRPr="002F4D34">
        <w:rPr>
          <w:rStyle w:val="libFootnoteBoldChar"/>
          <w:rtl/>
        </w:rPr>
        <w:t>الوسائل</w:t>
      </w:r>
      <w:r w:rsidR="00E3253D" w:rsidRPr="005D642E">
        <w:rPr>
          <w:rtl/>
        </w:rPr>
        <w:t xml:space="preserve"> ، ج 1 ، ص 136 ، ح 332.</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w:t>
      </w:r>
      <w:r w:rsidR="00E3253D">
        <w:rPr>
          <w:rtl/>
        </w:rPr>
        <w:t xml:space="preserve"> </w:t>
      </w:r>
      <w:r w:rsidR="007642BC">
        <w:rPr>
          <w:rtl/>
        </w:rPr>
        <w:t>-</w:t>
      </w:r>
      <w:r w:rsidR="00E3253D">
        <w:rPr>
          <w:rtl/>
        </w:rPr>
        <w:t xml:space="preserve"> </w:t>
      </w:r>
      <w:r w:rsidR="00E3253D" w:rsidRPr="005D642E">
        <w:rPr>
          <w:rtl/>
        </w:rPr>
        <w:t>« بن عيسى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هو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216 ، ح 623 ، بسنده عن الكليني </w:t>
      </w:r>
      <w:r w:rsidR="00364717">
        <w:rPr>
          <w:rFonts w:hint="cs"/>
          <w:rtl/>
        </w:rPr>
        <w:t>.</w:t>
      </w:r>
      <w:r w:rsidR="00E3253D" w:rsidRPr="002F4D34">
        <w:rPr>
          <w:rStyle w:val="libFootnoteBoldChar"/>
          <w:rtl/>
        </w:rPr>
        <w:t>الوافي</w:t>
      </w:r>
      <w:r w:rsidR="00E3253D" w:rsidRPr="005D642E">
        <w:rPr>
          <w:rtl/>
        </w:rPr>
        <w:t xml:space="preserve"> ، ج 6 ، ص 16 ، ح 3661 ؛ </w:t>
      </w:r>
      <w:r w:rsidR="00E3253D" w:rsidRPr="002F4D34">
        <w:rPr>
          <w:rStyle w:val="libFootnoteBoldChar"/>
          <w:rtl/>
        </w:rPr>
        <w:t>الوسائل</w:t>
      </w:r>
      <w:r w:rsidR="00E3253D" w:rsidRPr="005D642E">
        <w:rPr>
          <w:rtl/>
        </w:rPr>
        <w:t xml:space="preserve"> ، ج 1 ، ص 136 ، ح 333.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بف » </w:t>
      </w:r>
      <w:r w:rsidR="00B60612" w:rsidRPr="00B60612">
        <w:rPr>
          <w:rStyle w:val="libFootnoteBoldChar"/>
          <w:rtl/>
        </w:rPr>
        <w:t>والتهذيب</w:t>
      </w:r>
      <w:r w:rsidR="00E3253D" w:rsidRPr="005D642E">
        <w:rPr>
          <w:rtl/>
        </w:rPr>
        <w:t xml:space="preserve"> ، ح 109 </w:t>
      </w:r>
      <w:r w:rsidR="00E3253D" w:rsidRPr="00E678B5">
        <w:rPr>
          <w:rStyle w:val="libFootnoteBoldChar"/>
          <w:rtl/>
        </w:rPr>
        <w:t>والاستبصار</w:t>
      </w:r>
      <w:r w:rsidR="00E3253D" w:rsidRPr="005D642E">
        <w:rPr>
          <w:rtl/>
        </w:rPr>
        <w:t xml:space="preserve"> ، ح 3 :</w:t>
      </w:r>
      <w:r w:rsidR="00E3253D">
        <w:rPr>
          <w:rtl/>
        </w:rPr>
        <w:t xml:space="preserve"> </w:t>
      </w:r>
      <w:r w:rsidR="007642BC">
        <w:rPr>
          <w:rtl/>
        </w:rPr>
        <w:t>-</w:t>
      </w:r>
      <w:r w:rsidR="00E3253D">
        <w:rPr>
          <w:rtl/>
        </w:rPr>
        <w:t xml:space="preserve"> </w:t>
      </w:r>
      <w:r w:rsidR="00E3253D" w:rsidRPr="005D642E">
        <w:rPr>
          <w:rtl/>
        </w:rPr>
        <w:t>« بن يحيى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 « لاينجّسه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7 : « لا خلاف بين علماء الإسلام في عدم انفعال الكثير بالملاقاة ، وكذا لاخلاف في نجاسته بالتغيّر بالنجاسة ، وهذا الخبر يدلّ على عدم تنجّس الكثير بالتغيّر أيضاً ، وخصّص بعدم التغيّر للإجماع والأخبار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40 ، ح 109 ؛ </w:t>
      </w:r>
      <w:r w:rsidR="00E3253D" w:rsidRPr="00E678B5">
        <w:rPr>
          <w:rStyle w:val="libFootnoteBoldChar"/>
          <w:rtl/>
        </w:rPr>
        <w:t>والاستبصار</w:t>
      </w:r>
      <w:r w:rsidR="00E3253D" w:rsidRPr="005D642E">
        <w:rPr>
          <w:rtl/>
        </w:rPr>
        <w:t xml:space="preserve"> ، ج 1 ، ص 6 ، ح 3 ، بسندهما عن الكليني. </w:t>
      </w:r>
      <w:r w:rsidR="00E3253D" w:rsidRPr="002F4D34">
        <w:rPr>
          <w:rStyle w:val="libFootnoteBoldChar"/>
          <w:rtl/>
        </w:rPr>
        <w:t>وفيه</w:t>
      </w:r>
      <w:r w:rsidR="00E3253D" w:rsidRPr="005D642E">
        <w:rPr>
          <w:rtl/>
        </w:rPr>
        <w:t xml:space="preserve"> ، ح 2 ؛ </w:t>
      </w:r>
      <w:r w:rsidR="00B60612" w:rsidRPr="00B60612">
        <w:rPr>
          <w:rStyle w:val="libFootnoteBoldChar"/>
          <w:rtl/>
        </w:rPr>
        <w:t>والتهذيب</w:t>
      </w:r>
      <w:r w:rsidR="00E3253D" w:rsidRPr="005D642E">
        <w:rPr>
          <w:rtl/>
        </w:rPr>
        <w:t xml:space="preserve"> ، ج 1 ، ص 40 ، ح 108 ، بسند آخر عن حمّاد ، عن معاوية بن عمّار. </w:t>
      </w:r>
      <w:r w:rsidR="000D749A" w:rsidRPr="000D749A">
        <w:rPr>
          <w:rStyle w:val="libFootnoteBoldChar"/>
          <w:rtl/>
        </w:rPr>
        <w:t>الأمالي للصدوق</w:t>
      </w:r>
      <w:r w:rsidR="00E3253D" w:rsidRPr="005D642E">
        <w:rPr>
          <w:rtl/>
        </w:rPr>
        <w:t xml:space="preserve"> ، ص 645 ، المجلس 93 ، ضمن وصف دين الإماميّة عي الإيجاز والاختصار. راجع : </w:t>
      </w:r>
      <w:r w:rsidR="00E3253D" w:rsidRPr="002F4D34">
        <w:rPr>
          <w:rStyle w:val="libFootnoteBoldChar"/>
          <w:rtl/>
        </w:rPr>
        <w:t>قرب الإسناد</w:t>
      </w:r>
      <w:r w:rsidR="00E3253D" w:rsidRPr="005D642E">
        <w:rPr>
          <w:rtl/>
        </w:rPr>
        <w:t xml:space="preserve"> ، ص 178 ، ح 655 ؛ و</w:t>
      </w:r>
      <w:r w:rsidR="00E3253D" w:rsidRPr="002F4D34">
        <w:rPr>
          <w:rStyle w:val="libFootnoteBoldChar"/>
          <w:rtl/>
        </w:rPr>
        <w:t>مسائل عليّ بن جعفر</w:t>
      </w:r>
      <w:r w:rsidR="00E3253D" w:rsidRPr="005D642E">
        <w:rPr>
          <w:rtl/>
        </w:rPr>
        <w:t xml:space="preserve"> </w:t>
      </w:r>
      <w:r w:rsidR="00E3253D" w:rsidRPr="00513120">
        <w:rPr>
          <w:rStyle w:val="libFootnoteAlaemChar"/>
          <w:rtl/>
        </w:rPr>
        <w:t>عليه‌السلام</w:t>
      </w:r>
      <w:r w:rsidR="00E3253D" w:rsidRPr="005D642E">
        <w:rPr>
          <w:rtl/>
        </w:rPr>
        <w:t xml:space="preserve"> ، ص 193 ، ح 336 ؛ وص 205 ، ح 439 ؛ </w:t>
      </w:r>
      <w:r w:rsidR="009E68BB" w:rsidRPr="009E68BB">
        <w:rPr>
          <w:rStyle w:val="libFootnoteBoldChar"/>
          <w:rtl/>
        </w:rPr>
        <w:t>وتحف العقول</w:t>
      </w:r>
      <w:r w:rsidR="00E3253D" w:rsidRPr="002F4D34">
        <w:rPr>
          <w:rStyle w:val="libFootnoteBoldChar"/>
          <w:rtl/>
        </w:rPr>
        <w:t xml:space="preserve"> </w:t>
      </w:r>
      <w:r w:rsidR="00E3253D" w:rsidRPr="005D642E">
        <w:rPr>
          <w:rtl/>
        </w:rPr>
        <w:t xml:space="preserve">، ج 1 ، ص 6 ، ح 3 ؛ </w:t>
      </w:r>
      <w:r w:rsidR="00B60612" w:rsidRPr="00B60612">
        <w:rPr>
          <w:rStyle w:val="libFootnoteBoldChar"/>
          <w:rtl/>
        </w:rPr>
        <w:t>والتهذيب</w:t>
      </w:r>
      <w:r w:rsidR="00E3253D" w:rsidRPr="005D642E">
        <w:rPr>
          <w:rtl/>
        </w:rPr>
        <w:t xml:space="preserve"> ، ج 1 ، ص 415 ، ح 1309 ؛ </w:t>
      </w:r>
      <w:r w:rsidR="00E3253D" w:rsidRPr="00E678B5">
        <w:rPr>
          <w:rStyle w:val="libFootnoteBoldChar"/>
          <w:rtl/>
        </w:rPr>
        <w:t>والاستبصار</w:t>
      </w:r>
      <w:r w:rsidR="00E3253D" w:rsidRPr="005D642E">
        <w:rPr>
          <w:rtl/>
        </w:rPr>
        <w:t xml:space="preserve"> ، ج 1 ، ص 7 ، ح 6 </w:t>
      </w:r>
      <w:r w:rsidR="00513120">
        <w:rPr>
          <w:rFonts w:hint="cs"/>
          <w:rtl/>
        </w:rPr>
        <w:t>.</w:t>
      </w:r>
      <w:r w:rsidR="00E3253D" w:rsidRPr="002F4D34">
        <w:rPr>
          <w:rStyle w:val="libFootnoteBoldChar"/>
          <w:rtl/>
        </w:rPr>
        <w:t>الوافي</w:t>
      </w:r>
      <w:r w:rsidR="00E3253D" w:rsidRPr="005D642E">
        <w:rPr>
          <w:rtl/>
        </w:rPr>
        <w:t xml:space="preserve"> ، ج 6 ، ص 33 ، ح 3696 ؛ </w:t>
      </w:r>
      <w:r w:rsidR="00E3253D" w:rsidRPr="002F4D34">
        <w:rPr>
          <w:rStyle w:val="libFootnoteBoldChar"/>
          <w:rtl/>
        </w:rPr>
        <w:t>الوسائل</w:t>
      </w:r>
      <w:r w:rsidR="00E3253D" w:rsidRPr="005D642E">
        <w:rPr>
          <w:rtl/>
        </w:rPr>
        <w:t xml:space="preserve"> ، ج 1 ، ص 159 ، ح 396.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أَبِي أَيُّوبَ الْخَرَّازِ </w:t>
      </w:r>
      <w:r w:rsidRPr="007C12DB">
        <w:rPr>
          <w:rStyle w:val="libFootnotenumChar"/>
          <w:rtl/>
        </w:rPr>
        <w:t>(1)</w:t>
      </w:r>
      <w:r w:rsidRPr="005D642E">
        <w:rPr>
          <w:rtl/>
          <w:lang w:bidi="fa-IR"/>
        </w:rPr>
        <w:t xml:space="preserve"> ، عَنْ مُحَمَّدِ بْنِ مُسْلِمٍ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الْمَاءِ الَّذِي تَبُولُ </w:t>
      </w:r>
      <w:r w:rsidRPr="007C12DB">
        <w:rPr>
          <w:rStyle w:val="libFootnotenumChar"/>
          <w:rtl/>
        </w:rPr>
        <w:t>(2)</w:t>
      </w:r>
      <w:r w:rsidRPr="005D642E">
        <w:rPr>
          <w:rtl/>
          <w:lang w:bidi="fa-IR"/>
        </w:rPr>
        <w:t xml:space="preserve"> فِيهِ الدَّوَابُّ ، وَتَلَغُ </w:t>
      </w:r>
      <w:r w:rsidRPr="007C12DB">
        <w:rPr>
          <w:rStyle w:val="libFootnotenumChar"/>
          <w:rtl/>
        </w:rPr>
        <w:t>(3)</w:t>
      </w:r>
      <w:r w:rsidRPr="005D642E">
        <w:rPr>
          <w:rtl/>
          <w:lang w:bidi="fa-IR"/>
        </w:rPr>
        <w:t xml:space="preserve"> فِيهِ الْكِلابُ ، وَيَغْتَسِلُ فِيهِ الْجُنُبُ</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(4)</w:t>
      </w:r>
      <w:r w:rsidRPr="005D642E">
        <w:rPr>
          <w:rtl/>
          <w:lang w:bidi="fa-IR"/>
        </w:rPr>
        <w:t xml:space="preserve"> : « إِذَا كَانَ الْمَاءُ قَدْرَ كُرٍّ ، لَمْ يُنَجِّسْهُ </w:t>
      </w:r>
      <w:r w:rsidRPr="007C12DB">
        <w:rPr>
          <w:rStyle w:val="libFootnotenumChar"/>
          <w:rtl/>
        </w:rPr>
        <w:t>(5)</w:t>
      </w:r>
      <w:r w:rsidRPr="005D642E">
        <w:rPr>
          <w:rtl/>
          <w:lang w:bidi="fa-IR"/>
        </w:rPr>
        <w:t xml:space="preserve"> شَيْ‌ءٌ » </w:t>
      </w:r>
      <w:r w:rsidRPr="007C12DB">
        <w:rPr>
          <w:rStyle w:val="libFootnotenumChar"/>
          <w:rtl/>
        </w:rPr>
        <w:t>(6)</w:t>
      </w:r>
      <w:r w:rsidR="00513120" w:rsidRPr="00513120">
        <w:rPr>
          <w:rFonts w:hint="cs"/>
          <w:rtl/>
        </w:rPr>
        <w:t>.</w:t>
      </w:r>
    </w:p>
    <w:p w:rsidR="00513120" w:rsidRDefault="00E3253D" w:rsidP="00513120">
      <w:pPr>
        <w:pStyle w:val="libNormal"/>
        <w:rPr>
          <w:rtl/>
          <w:lang w:bidi="fa-IR"/>
        </w:rPr>
      </w:pPr>
      <w:r w:rsidRPr="000C1F2C">
        <w:rPr>
          <w:rtl/>
        </w:rPr>
        <w:t>3809</w:t>
      </w:r>
      <w:r w:rsidRPr="00246318">
        <w:rPr>
          <w:rStyle w:val="libBold2Char"/>
          <w:rtl/>
        </w:rPr>
        <w:t xml:space="preserve"> / 3.</w:t>
      </w:r>
      <w:r w:rsidRPr="005D642E">
        <w:rPr>
          <w:rtl/>
          <w:lang w:bidi="fa-IR"/>
        </w:rPr>
        <w:t xml:space="preserve"> عَلِيُّ بْنُ إِبْرَاهِيمَ ، عَنْ أَبِيهِ </w:t>
      </w:r>
      <w:r w:rsidRPr="007C12DB">
        <w:rPr>
          <w:rStyle w:val="libFootnotenumChar"/>
          <w:rtl/>
        </w:rPr>
        <w:t>(7)</w:t>
      </w:r>
      <w:r w:rsidRPr="005D642E">
        <w:rPr>
          <w:rtl/>
          <w:lang w:bidi="fa-IR"/>
        </w:rPr>
        <w:t xml:space="preserve"> ؛</w:t>
      </w:r>
    </w:p>
    <w:p w:rsidR="00E3253D" w:rsidRPr="005D642E" w:rsidRDefault="009F10EE" w:rsidP="00513120">
      <w:pPr>
        <w:pStyle w:val="libNormal"/>
        <w:rPr>
          <w:rtl/>
          <w:lang w:bidi="fa-IR"/>
        </w:rPr>
      </w:pPr>
      <w:r>
        <w:rPr>
          <w:rFonts w:hint="cs"/>
          <w:rtl/>
          <w:lang w:bidi="fa-IR"/>
        </w:rPr>
        <w:t xml:space="preserve">            </w:t>
      </w:r>
      <w:r w:rsidR="00513120">
        <w:rPr>
          <w:rFonts w:hint="cs"/>
          <w:rtl/>
          <w:lang w:bidi="fa-IR"/>
        </w:rPr>
        <w:t xml:space="preserve"> </w:t>
      </w:r>
      <w:r w:rsidR="00E3253D" w:rsidRPr="005D642E">
        <w:rPr>
          <w:rtl/>
          <w:lang w:bidi="fa-IR"/>
        </w:rPr>
        <w:t xml:space="preserve">وَمُحَمَّدُ بْنُ إِسْمَاعِيلَ ، عَنِ الْفَضْلِ بْنِ شَاذَانَ جَمِيعاً ، عَنْ حَمَّادِ بْنِ عِيسى ، عَنْ حَرِيزٍ ، عَنْ زُرَارَةَ </w:t>
      </w:r>
      <w:r w:rsidR="00E3253D" w:rsidRPr="007C12DB">
        <w:rPr>
          <w:rStyle w:val="libFootnotenumChar"/>
          <w:rtl/>
        </w:rPr>
        <w:t>(8)</w:t>
      </w:r>
      <w:r w:rsidR="00E3253D" w:rsidRPr="005D642E">
        <w:rPr>
          <w:rtl/>
          <w:lang w:bidi="fa-IR"/>
        </w:rPr>
        <w:t xml:space="preserve">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بث ، بح »</w:t>
      </w:r>
      <w:r w:rsidR="00E3253D">
        <w:rPr>
          <w:rtl/>
        </w:rPr>
        <w:t>.</w:t>
      </w:r>
      <w:r w:rsidR="00E3253D" w:rsidRPr="005D642E">
        <w:rPr>
          <w:rtl/>
        </w:rPr>
        <w:t xml:space="preserve"> وفي « بس ، بف ، جح ، جس ، جن » والمطبوع : « الخزّاز »</w:t>
      </w:r>
      <w:r w:rsidR="00E3253D">
        <w:rPr>
          <w:rtl/>
        </w:rPr>
        <w:t>.</w:t>
      </w:r>
      <w:r w:rsidR="00E3253D" w:rsidRPr="005D642E">
        <w:rPr>
          <w:rtl/>
        </w:rPr>
        <w:t xml:space="preserve"> والصواب ما أثبتناه ، كما تقدّم في </w:t>
      </w:r>
      <w:r w:rsidR="00E3253D" w:rsidRPr="002F4D34">
        <w:rPr>
          <w:rStyle w:val="libFootnoteBoldChar"/>
          <w:rtl/>
        </w:rPr>
        <w:t>الكافي</w:t>
      </w:r>
      <w:r w:rsidR="00E3253D" w:rsidRPr="005D642E">
        <w:rPr>
          <w:rtl/>
        </w:rPr>
        <w:t xml:space="preserve"> ، ح 75.</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بس ، جح ، جس » : « الذي يبول »</w:t>
      </w:r>
      <w:r w:rsidR="00E3253D">
        <w:rPr>
          <w:rtl/>
        </w:rPr>
        <w:t>.</w:t>
      </w:r>
      <w:r w:rsidR="00E3253D" w:rsidRPr="005D642E">
        <w:rPr>
          <w:rtl/>
        </w:rPr>
        <w:t xml:space="preserve"> وفي الوافي :</w:t>
      </w:r>
      <w:r w:rsidR="00E3253D">
        <w:rPr>
          <w:rtl/>
        </w:rPr>
        <w:t xml:space="preserve"> </w:t>
      </w:r>
      <w:r w:rsidR="007642BC">
        <w:rPr>
          <w:rtl/>
        </w:rPr>
        <w:t>-</w:t>
      </w:r>
      <w:r w:rsidR="00E3253D">
        <w:rPr>
          <w:rtl/>
        </w:rPr>
        <w:t xml:space="preserve"> </w:t>
      </w:r>
      <w:r w:rsidR="00E3253D" w:rsidRPr="005D642E">
        <w:rPr>
          <w:rtl/>
        </w:rPr>
        <w:t>« الذي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جح ، جس » : « ويلغ »</w:t>
      </w:r>
      <w:r w:rsidR="00E3253D">
        <w:rPr>
          <w:rtl/>
        </w:rPr>
        <w:t>.</w:t>
      </w:r>
      <w:r w:rsidR="00E3253D" w:rsidRPr="005D642E">
        <w:rPr>
          <w:rtl/>
        </w:rPr>
        <w:t xml:space="preserve"> ووُلُوغ الكلب : شربه من الإناء بلسانه ، أو لطمه له ، يقال : ولغ الكلب في الإناء وفي الشراب ومنه وبه ، كوهب وورث ووجل ، أي شرب ما فيه بأطراف لسانه ، أو أدخل لسانه فيه فحرّكه ، وأكثر ما يكون الولوغ في السباع ، ويقال : ليس شي‌ء من الطيور يلغ غير الذباب. راجع : </w:t>
      </w:r>
      <w:r w:rsidR="00E3253D" w:rsidRPr="002F4D34">
        <w:rPr>
          <w:rStyle w:val="libFootnoteBoldChar"/>
          <w:rtl/>
        </w:rPr>
        <w:t>الصحاح</w:t>
      </w:r>
      <w:r w:rsidR="00E3253D" w:rsidRPr="005D642E">
        <w:rPr>
          <w:rtl/>
        </w:rPr>
        <w:t xml:space="preserve"> ، ج 4 ، ص 1329 ؛ </w:t>
      </w:r>
      <w:r w:rsidR="00E3253D" w:rsidRPr="002F4D34">
        <w:rPr>
          <w:rStyle w:val="libFootnoteBoldChar"/>
          <w:rtl/>
        </w:rPr>
        <w:t>النهاية</w:t>
      </w:r>
      <w:r w:rsidR="00E3253D" w:rsidRPr="005D642E">
        <w:rPr>
          <w:rtl/>
        </w:rPr>
        <w:t xml:space="preserve"> ، ج 5 ، ص 226 ( ولغ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فقال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بس » : « فلا ينجّسه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226 ، ح 651 ؛ </w:t>
      </w:r>
      <w:r w:rsidR="00E3253D" w:rsidRPr="00E678B5">
        <w:rPr>
          <w:rStyle w:val="libFootnoteBoldChar"/>
          <w:rtl/>
        </w:rPr>
        <w:t>والاستبصار</w:t>
      </w:r>
      <w:r w:rsidR="00E3253D" w:rsidRPr="005D642E">
        <w:rPr>
          <w:rtl/>
        </w:rPr>
        <w:t xml:space="preserve"> ، ج 1 ، ص 20 ، ح 47 ، بسندهما عن أحمد بن محمّد ، عن عليّ بن الحكم. وفي </w:t>
      </w:r>
      <w:r w:rsidR="00E3253D" w:rsidRPr="002F4D34">
        <w:rPr>
          <w:rStyle w:val="libFootnoteBoldChar"/>
          <w:rtl/>
        </w:rPr>
        <w:t>التهذيب</w:t>
      </w:r>
      <w:r w:rsidR="00E3253D" w:rsidRPr="005D642E">
        <w:rPr>
          <w:rtl/>
        </w:rPr>
        <w:t xml:space="preserve"> ، ج 1 ، ص 39 ، ح 107 ؛ </w:t>
      </w:r>
      <w:r w:rsidR="00E3253D" w:rsidRPr="00E678B5">
        <w:rPr>
          <w:rStyle w:val="libFootnoteBoldChar"/>
          <w:rtl/>
        </w:rPr>
        <w:t>والاستبصار</w:t>
      </w:r>
      <w:r w:rsidR="00E3253D" w:rsidRPr="005D642E">
        <w:rPr>
          <w:rtl/>
        </w:rPr>
        <w:t xml:space="preserve"> ، ج 1 ، ص 6 ، ح 1 ؛ </w:t>
      </w:r>
      <w:r w:rsidR="00B60612" w:rsidRPr="00B60612">
        <w:rPr>
          <w:rStyle w:val="libFootnoteBoldChar"/>
          <w:rtl/>
        </w:rPr>
        <w:t>والتهذيب</w:t>
      </w:r>
      <w:r w:rsidR="00E3253D" w:rsidRPr="005D642E">
        <w:rPr>
          <w:rtl/>
        </w:rPr>
        <w:t xml:space="preserve"> ، ج 1 ، ص 414 ، ح 1308 ؛ </w:t>
      </w:r>
      <w:r w:rsidR="00E3253D" w:rsidRPr="00E678B5">
        <w:rPr>
          <w:rStyle w:val="libFootnoteBoldChar"/>
          <w:rtl/>
        </w:rPr>
        <w:t>والاستبصار</w:t>
      </w:r>
      <w:r w:rsidR="00E3253D" w:rsidRPr="005D642E">
        <w:rPr>
          <w:rtl/>
        </w:rPr>
        <w:t xml:space="preserve"> ، ج 1 ، ص 11 ، ح 17 ، بسند آخر عن أبي أيّوب ، عن محمّد بن مسلم ، وفي الأخيرين مع اختلاف يسير وزيادة في آخره. </w:t>
      </w:r>
      <w:r w:rsidR="00E3253D" w:rsidRPr="002F4D34">
        <w:rPr>
          <w:rStyle w:val="libFootnoteBoldChar"/>
          <w:rtl/>
        </w:rPr>
        <w:t>الفقيه</w:t>
      </w:r>
      <w:r w:rsidR="00E3253D" w:rsidRPr="005D642E">
        <w:rPr>
          <w:rtl/>
        </w:rPr>
        <w:t xml:space="preserve"> ، ج 1 ، ص 9 ، ح 12 ، مرسلاً </w:t>
      </w:r>
      <w:r w:rsidR="00513120">
        <w:rPr>
          <w:rFonts w:hint="cs"/>
          <w:rtl/>
        </w:rPr>
        <w:t>.</w:t>
      </w:r>
      <w:r w:rsidR="00E3253D" w:rsidRPr="002F4D34">
        <w:rPr>
          <w:rStyle w:val="libFootnoteBoldChar"/>
          <w:rtl/>
        </w:rPr>
        <w:t>الوافي</w:t>
      </w:r>
      <w:r w:rsidR="00E3253D" w:rsidRPr="005D642E">
        <w:rPr>
          <w:rtl/>
        </w:rPr>
        <w:t xml:space="preserve"> ، ج 6 ، ص 32 ، ح 3692 ؛ </w:t>
      </w:r>
      <w:r w:rsidR="00E3253D" w:rsidRPr="002F4D34">
        <w:rPr>
          <w:rStyle w:val="libFootnoteBoldChar"/>
          <w:rtl/>
        </w:rPr>
        <w:t>الوسائل</w:t>
      </w:r>
      <w:r w:rsidR="00E3253D" w:rsidRPr="005D642E">
        <w:rPr>
          <w:rtl/>
        </w:rPr>
        <w:t xml:space="preserve"> ، ج 1 ، ص 158 ، ح 391.</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 ح 117 : + « عن ابن أبي عمير »</w:t>
      </w:r>
      <w:r w:rsidR="00E3253D">
        <w:rPr>
          <w:rtl/>
        </w:rPr>
        <w:t>.</w:t>
      </w:r>
      <w:r w:rsidR="00E3253D" w:rsidRPr="005D642E">
        <w:rPr>
          <w:rtl/>
        </w:rPr>
        <w:t xml:space="preserve"> وفي الاستبصار ، ح 4 : + « عن محمّد بن أبي عمير »</w:t>
      </w:r>
      <w:r w:rsidR="00E3253D">
        <w:rPr>
          <w:rtl/>
        </w:rPr>
        <w:t>.</w:t>
      </w:r>
      <w:r w:rsidR="00E3253D" w:rsidRPr="005D642E">
        <w:rPr>
          <w:rtl/>
        </w:rPr>
        <w:t xml:space="preserve"> وكلاهماسهو ؛ فقد روى علي بن إبراهيم عن أبيه عن حمّاد ، كتب حريز بن عبدالله وتكرّر هذا الطريق في الأسناد. راجع : </w:t>
      </w:r>
      <w:r w:rsidR="0059794D" w:rsidRPr="0059794D">
        <w:rPr>
          <w:rStyle w:val="libFootnoteBoldChar"/>
          <w:rtl/>
        </w:rPr>
        <w:t>الفهرست للطوسي</w:t>
      </w:r>
      <w:r w:rsidR="00E3253D" w:rsidRPr="005D642E">
        <w:rPr>
          <w:rtl/>
        </w:rPr>
        <w:t xml:space="preserve"> ، ص 162 ، الرقم 249 ؛ </w:t>
      </w:r>
      <w:r w:rsidR="00E3253D" w:rsidRPr="002F4D34">
        <w:rPr>
          <w:rStyle w:val="libFootnoteBoldChar"/>
          <w:rtl/>
        </w:rPr>
        <w:t>معجم رجال الحديث</w:t>
      </w:r>
      <w:r w:rsidR="00E3253D" w:rsidRPr="005D642E">
        <w:rPr>
          <w:rtl/>
        </w:rPr>
        <w:t xml:space="preserve"> ، ج 6 ، ص 377</w:t>
      </w:r>
      <w:r w:rsidR="00E3253D">
        <w:rPr>
          <w:rtl/>
        </w:rPr>
        <w:t xml:space="preserve"> </w:t>
      </w:r>
      <w:r w:rsidR="007642BC">
        <w:rPr>
          <w:rtl/>
        </w:rPr>
        <w:t>-</w:t>
      </w:r>
      <w:r w:rsidR="00E3253D">
        <w:rPr>
          <w:rtl/>
        </w:rPr>
        <w:t xml:space="preserve"> </w:t>
      </w:r>
      <w:r w:rsidR="00E3253D" w:rsidRPr="005D642E">
        <w:rPr>
          <w:rtl/>
        </w:rPr>
        <w:t xml:space="preserve">380 </w:t>
      </w:r>
      <w:r w:rsidR="00E3253D">
        <w:rPr>
          <w:rtl/>
        </w:rPr>
        <w:t>و 4</w:t>
      </w:r>
      <w:r w:rsidR="00E3253D" w:rsidRPr="005D642E">
        <w:rPr>
          <w:rtl/>
        </w:rPr>
        <w:t>26</w:t>
      </w:r>
      <w:r w:rsidR="00E3253D">
        <w:rPr>
          <w:rtl/>
        </w:rPr>
        <w:t xml:space="preserve"> </w:t>
      </w:r>
      <w:r w:rsidR="007642BC">
        <w:rPr>
          <w:rtl/>
        </w:rPr>
        <w:t>-</w:t>
      </w:r>
      <w:r w:rsidR="00E3253D">
        <w:rPr>
          <w:rtl/>
        </w:rPr>
        <w:t xml:space="preserve"> </w:t>
      </w:r>
      <w:r w:rsidR="00E3253D" w:rsidRPr="005D642E">
        <w:rPr>
          <w:rtl/>
        </w:rPr>
        <w:t xml:space="preserve">429 </w:t>
      </w:r>
      <w:r w:rsidR="00E3253D">
        <w:rPr>
          <w:rtl/>
        </w:rPr>
        <w:t>و 4</w:t>
      </w:r>
      <w:r w:rsidR="00E3253D" w:rsidRPr="005D642E">
        <w:rPr>
          <w:rtl/>
        </w:rPr>
        <w:t>33.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الاستبصار ، ح 4 : + « عن أبي جعفر </w:t>
      </w:r>
      <w:r w:rsidR="00E3253D" w:rsidRPr="00513120">
        <w:rPr>
          <w:rStyle w:val="libFootnoteAlaemChar"/>
          <w:rtl/>
        </w:rPr>
        <w:t>عليه‌السلام</w:t>
      </w:r>
      <w:r w:rsidR="00E3253D" w:rsidRPr="005D642E">
        <w:rPr>
          <w:rtl/>
        </w:rPr>
        <w:t xml:space="preserve"> »</w:t>
      </w:r>
      <w:r w:rsidR="00E3253D">
        <w:rPr>
          <w:rtl/>
        </w:rPr>
        <w:t>.</w:t>
      </w:r>
      <w:r w:rsidR="00E3253D" w:rsidRPr="005D642E">
        <w:rPr>
          <w:rtl/>
        </w:rPr>
        <w:t xml:space="preserve"> وقد خلت بعض النسخ </w:t>
      </w:r>
      <w:r w:rsidR="00E3253D" w:rsidRPr="002F4D34">
        <w:rPr>
          <w:rStyle w:val="libFootnoteBoldChar"/>
          <w:rtl/>
        </w:rPr>
        <w:t>الاستبصار</w:t>
      </w:r>
      <w:r w:rsidR="00E3253D" w:rsidRPr="005D642E">
        <w:rPr>
          <w:rtl/>
        </w:rPr>
        <w:t xml:space="preserve"> من هذه العبارة.</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إِذَا كَانَ الْمَاءُ أَكْثَرَ مِنْ رَاوِيَةٍ </w:t>
      </w:r>
      <w:r w:rsidRPr="007C12DB">
        <w:rPr>
          <w:rStyle w:val="libFootnotenumChar"/>
          <w:rtl/>
        </w:rPr>
        <w:t>(1)</w:t>
      </w:r>
      <w:r w:rsidRPr="005D642E">
        <w:rPr>
          <w:rtl/>
          <w:lang w:bidi="fa-IR"/>
        </w:rPr>
        <w:t xml:space="preserve"> ، لَمْ يُنَجِّسْهُ شَيْ‌ءٌ ، تَفَسَّخَ فِيهِ </w:t>
      </w:r>
      <w:r w:rsidRPr="007C12DB">
        <w:rPr>
          <w:rStyle w:val="libFootnotenumChar"/>
          <w:rtl/>
        </w:rPr>
        <w:t>(2)</w:t>
      </w:r>
      <w:r w:rsidRPr="005D642E">
        <w:rPr>
          <w:rtl/>
          <w:lang w:bidi="fa-IR"/>
        </w:rPr>
        <w:t xml:space="preserve"> أَوْ لَمْ يَتَفَسَّخْ فِيهِ </w:t>
      </w:r>
      <w:r w:rsidRPr="007C12DB">
        <w:rPr>
          <w:rStyle w:val="libFootnotenumChar"/>
          <w:rtl/>
        </w:rPr>
        <w:t>(3)</w:t>
      </w:r>
      <w:r w:rsidR="00513120">
        <w:rPr>
          <w:rtl/>
          <w:lang w:bidi="fa-IR"/>
        </w:rPr>
        <w:t xml:space="preserve"> ، إِل</w:t>
      </w:r>
      <w:r w:rsidR="00513120">
        <w:rPr>
          <w:rFonts w:hint="cs"/>
          <w:rtl/>
          <w:lang w:bidi="fa-IR"/>
        </w:rPr>
        <w:t>َّ</w:t>
      </w:r>
      <w:r w:rsidR="00513120">
        <w:rPr>
          <w:rtl/>
          <w:lang w:bidi="fa-IR"/>
        </w:rPr>
        <w:t>ا</w:t>
      </w:r>
      <w:r w:rsidRPr="005D642E">
        <w:rPr>
          <w:rtl/>
          <w:lang w:bidi="fa-IR"/>
        </w:rPr>
        <w:t xml:space="preserve"> أَنْ يَجِي‌ءَ </w:t>
      </w:r>
      <w:r w:rsidRPr="007C12DB">
        <w:rPr>
          <w:rStyle w:val="libFootnotenumChar"/>
          <w:rtl/>
        </w:rPr>
        <w:t>(4)</w:t>
      </w:r>
      <w:r w:rsidRPr="005D642E">
        <w:rPr>
          <w:rtl/>
          <w:lang w:bidi="fa-IR"/>
        </w:rPr>
        <w:t xml:space="preserve"> لَهُ رِيحٌ يَغْلِبُ </w:t>
      </w:r>
      <w:r w:rsidRPr="007C12DB">
        <w:rPr>
          <w:rStyle w:val="libFootnotenumChar"/>
          <w:rtl/>
        </w:rPr>
        <w:t>(5)</w:t>
      </w:r>
      <w:r w:rsidRPr="005D642E">
        <w:rPr>
          <w:rtl/>
          <w:lang w:bidi="fa-IR"/>
        </w:rPr>
        <w:t xml:space="preserve"> عَلى رِيحِ الْمَاءِ.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134B62">
        <w:rPr>
          <w:rtl/>
        </w:rPr>
        <w:t>3810</w:t>
      </w:r>
      <w:r w:rsidRPr="00246318">
        <w:rPr>
          <w:rStyle w:val="libBold2Char"/>
          <w:rtl/>
        </w:rPr>
        <w:t xml:space="preserve"> / 4.</w:t>
      </w:r>
      <w:r w:rsidRPr="005D642E">
        <w:rPr>
          <w:rtl/>
          <w:lang w:bidi="fa-IR"/>
        </w:rPr>
        <w:t xml:space="preserve"> مُحَمَّدُ بْنُ يَحْيى ، عَنْ أَحْمَدَ بْنِ مُحَمَّدٍ ، عَنِ ابْنِ مَحْبُوبٍ ، عَنِ الْحَسَنِ بْنِ صَالِحٍ الثَّوْرِيِّ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Pr>
          <w:rtl/>
          <w:lang w:bidi="fa-IR"/>
        </w:rPr>
        <w:t>، قَالَ:«</w:t>
      </w:r>
      <w:r w:rsidRPr="005D642E">
        <w:rPr>
          <w:rtl/>
          <w:lang w:bidi="fa-IR"/>
        </w:rPr>
        <w:t xml:space="preserve">إِذَا كَانَ الْمَاءُ فِي الرَّكِيِّ </w:t>
      </w:r>
      <w:r w:rsidRPr="007C12DB">
        <w:rPr>
          <w:rStyle w:val="libFootnotenumChar"/>
          <w:rtl/>
        </w:rPr>
        <w:t>(7)</w:t>
      </w:r>
      <w:r w:rsidRPr="005D642E">
        <w:rPr>
          <w:rtl/>
          <w:lang w:bidi="fa-IR"/>
        </w:rPr>
        <w:t xml:space="preserve"> كُرّ</w:t>
      </w:r>
      <w:r>
        <w:rPr>
          <w:rtl/>
          <w:lang w:bidi="fa-IR"/>
        </w:rPr>
        <w:t>اً ، لَمْ يُنَجِّسْهُ شَيْ‌ءٌ»</w:t>
      </w:r>
      <w:r w:rsidRPr="005D642E">
        <w:rPr>
          <w:rtl/>
          <w:lang w:bidi="fa-IR"/>
        </w:rPr>
        <w:t>.</w:t>
      </w:r>
    </w:p>
    <w:p w:rsidR="00E3253D" w:rsidRPr="005D642E" w:rsidRDefault="00E3253D" w:rsidP="00E3253D">
      <w:pPr>
        <w:pStyle w:val="libNormal"/>
        <w:rPr>
          <w:rtl/>
          <w:lang w:bidi="fa-IR"/>
        </w:rPr>
      </w:pPr>
      <w:r w:rsidRPr="005D642E">
        <w:rPr>
          <w:rtl/>
          <w:lang w:bidi="fa-IR"/>
        </w:rPr>
        <w:t>قُلْتُ : وَكَمِ الْكُرُّ</w:t>
      </w:r>
      <w:r>
        <w:rPr>
          <w:rtl/>
          <w:lang w:bidi="fa-IR"/>
        </w:rPr>
        <w:t>؟</w:t>
      </w:r>
    </w:p>
    <w:p w:rsidR="00E3253D" w:rsidRPr="005D642E" w:rsidRDefault="00E3253D" w:rsidP="00E3253D">
      <w:pPr>
        <w:pStyle w:val="libNormal"/>
        <w:rPr>
          <w:rtl/>
          <w:lang w:bidi="fa-IR"/>
        </w:rPr>
      </w:pPr>
      <w:r w:rsidRPr="005D642E">
        <w:rPr>
          <w:rtl/>
          <w:lang w:bidi="fa-IR"/>
        </w:rPr>
        <w:t xml:space="preserve">قَالَ : « ثَلَاثَةُ أَشْبَارٍ </w:t>
      </w:r>
      <w:r w:rsidRPr="007C12DB">
        <w:rPr>
          <w:rStyle w:val="libFootnotenumChar"/>
          <w:rtl/>
        </w:rPr>
        <w:t>(8)</w:t>
      </w:r>
      <w:r w:rsidRPr="005D642E">
        <w:rPr>
          <w:rtl/>
          <w:lang w:bidi="fa-IR"/>
        </w:rPr>
        <w:t xml:space="preserve"> وَنِصْفٌ عُمْقُهَا فِي ثَلَاثَةِ أَشْبَارٍ وَنِصْفٍ عَرْضِهَا </w:t>
      </w:r>
      <w:r w:rsidRPr="007C12DB">
        <w:rPr>
          <w:rStyle w:val="libFootnotenumChar"/>
          <w:rtl/>
        </w:rPr>
        <w:t>(9)</w:t>
      </w:r>
      <w:r w:rsidRPr="005D642E">
        <w:rPr>
          <w:rtl/>
          <w:lang w:bidi="fa-IR"/>
        </w:rPr>
        <w:t xml:space="preserve"> » </w:t>
      </w:r>
      <w:r w:rsidRPr="007C12DB">
        <w:rPr>
          <w:rStyle w:val="libFootnotenumChar"/>
          <w:rtl/>
        </w:rPr>
        <w:t>(10)</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 الراوية » : البعير أو البغل أو الحمار الذي يستقى عليه الماء ، والرجل المستقي أيضاً راوية ، والهاء للمبالغة.</w:t>
      </w:r>
      <w:r w:rsidR="00E3253D">
        <w:rPr>
          <w:rtl/>
        </w:rPr>
        <w:t xml:space="preserve"> والعامّة تسمّي المَزادَة راوية، وذلك جائز على الاستعارة</w:t>
      </w:r>
      <w:r w:rsidR="00E3253D" w:rsidRPr="005D642E">
        <w:rPr>
          <w:rtl/>
        </w:rPr>
        <w:t>، والمزادة هي الوعاء الذي يكون فيه الماء ، سمّيت راوية لمكان البعير الذي يحملها. وقيل : الراوية : المزادة فيها الماء ، ويسمّى البعير راوية على تسمية ا</w:t>
      </w:r>
      <w:r w:rsidR="00E3253D">
        <w:rPr>
          <w:rtl/>
        </w:rPr>
        <w:t>لشي‌ء باسم غيره لقربه منه. راجع</w:t>
      </w:r>
      <w:r w:rsidR="00E3253D" w:rsidRPr="005D642E">
        <w:rPr>
          <w:rtl/>
        </w:rPr>
        <w:t xml:space="preserve">: </w:t>
      </w:r>
      <w:r w:rsidR="00E3253D" w:rsidRPr="002F4D34">
        <w:rPr>
          <w:rStyle w:val="libFootnoteBoldChar"/>
          <w:rtl/>
        </w:rPr>
        <w:t>الصحاح</w:t>
      </w:r>
      <w:r w:rsidR="00E3253D">
        <w:rPr>
          <w:rtl/>
        </w:rPr>
        <w:t>، ج 6، ص 2364</w:t>
      </w:r>
      <w:r w:rsidR="00E3253D" w:rsidRPr="005D642E">
        <w:rPr>
          <w:rtl/>
        </w:rPr>
        <w:t xml:space="preserve">؛ </w:t>
      </w:r>
      <w:r w:rsidR="00E3253D" w:rsidRPr="002F4D34">
        <w:rPr>
          <w:rStyle w:val="libFootnoteBoldChar"/>
          <w:rtl/>
        </w:rPr>
        <w:t>لسان العرب</w:t>
      </w:r>
      <w:r w:rsidR="00E3253D">
        <w:rPr>
          <w:rtl/>
        </w:rPr>
        <w:t xml:space="preserve"> ، ج 14، ص 346 ( روى)</w:t>
      </w:r>
      <w:r w:rsidR="00E3253D" w:rsidRPr="005D642E">
        <w:rPr>
          <w:rtl/>
        </w:rPr>
        <w:t>.</w:t>
      </w:r>
    </w:p>
    <w:p w:rsidR="00E3253D" w:rsidRPr="005D642E" w:rsidRDefault="0042621E" w:rsidP="00E3253D">
      <w:pPr>
        <w:pStyle w:val="libFootnote0"/>
        <w:rPr>
          <w:rtl/>
          <w:lang w:bidi="fa-IR"/>
        </w:rPr>
      </w:pPr>
      <w:r w:rsidRPr="0042621E">
        <w:rPr>
          <w:rStyle w:val="libFootnote0Char"/>
          <w:rtl/>
        </w:rPr>
        <w:t>(2).</w:t>
      </w:r>
      <w:r w:rsidR="00D95928">
        <w:rPr>
          <w:rtl/>
        </w:rPr>
        <w:t xml:space="preserve"> في « جس »</w:t>
      </w:r>
      <w:r w:rsidR="00E3253D" w:rsidRPr="005D642E">
        <w:rPr>
          <w:rtl/>
        </w:rPr>
        <w:t>:</w:t>
      </w:r>
      <w:r w:rsidR="007642BC">
        <w:rPr>
          <w:rtl/>
        </w:rPr>
        <w:t>-</w:t>
      </w:r>
      <w:r w:rsidR="00E3253D">
        <w:rPr>
          <w:rtl/>
        </w:rPr>
        <w:t>« فيه »</w:t>
      </w:r>
      <w:r w:rsidR="00E3253D" w:rsidRPr="005D642E">
        <w:rPr>
          <w:rtl/>
        </w:rPr>
        <w:t xml:space="preserve">. وتفسّخت الفأرة في الماء : تقطّعت. راجع : </w:t>
      </w:r>
      <w:r w:rsidR="00E3253D" w:rsidRPr="002F4D34">
        <w:rPr>
          <w:rStyle w:val="libFootnoteBoldChar"/>
          <w:rtl/>
        </w:rPr>
        <w:t>الصحاح</w:t>
      </w:r>
      <w:r w:rsidR="00D95928">
        <w:rPr>
          <w:rtl/>
        </w:rPr>
        <w:t xml:space="preserve"> ، ج 1 ، ص 429 ( فسخ</w:t>
      </w:r>
      <w:r w:rsidR="00E3253D" w:rsidRPr="005D642E">
        <w:rPr>
          <w:rtl/>
        </w:rPr>
        <w:t>)</w:t>
      </w:r>
      <w:r w:rsidR="00E3253D">
        <w:rPr>
          <w:rtl/>
        </w:rPr>
        <w:t>.</w:t>
      </w:r>
    </w:p>
    <w:p w:rsidR="00E3253D" w:rsidRPr="005D642E" w:rsidRDefault="0042621E" w:rsidP="00791727">
      <w:pPr>
        <w:pStyle w:val="libFootnote0"/>
        <w:rPr>
          <w:rtl/>
          <w:lang w:bidi="fa-IR"/>
        </w:rPr>
      </w:pPr>
      <w:r w:rsidRPr="0042621E">
        <w:rPr>
          <w:rStyle w:val="libFootnote0Char"/>
          <w:rtl/>
        </w:rPr>
        <w:t>(3).</w:t>
      </w:r>
      <w:r w:rsidR="00E3253D" w:rsidRPr="005D642E">
        <w:rPr>
          <w:rtl/>
        </w:rPr>
        <w:t xml:space="preserve"> في « بح » </w:t>
      </w:r>
      <w:r w:rsidR="00B60612" w:rsidRPr="00B60612">
        <w:rPr>
          <w:rStyle w:val="libFootnoteBoldChar"/>
          <w:rtl/>
        </w:rPr>
        <w:t>والتهذيب</w:t>
      </w:r>
      <w:r w:rsidR="00E3253D" w:rsidRPr="005D642E">
        <w:rPr>
          <w:rtl/>
        </w:rPr>
        <w:t xml:space="preserve"> ، ح 1298 </w:t>
      </w:r>
      <w:r w:rsidR="00E3253D" w:rsidRPr="00E678B5">
        <w:rPr>
          <w:rStyle w:val="libFootnoteBoldChar"/>
          <w:rtl/>
        </w:rPr>
        <w:t>والاستبصار</w:t>
      </w:r>
      <w:r w:rsidR="00E3253D" w:rsidRPr="005D642E">
        <w:rPr>
          <w:rtl/>
        </w:rPr>
        <w:t xml:space="preserve"> ، ح 7 :</w:t>
      </w:r>
      <w:r w:rsidR="00E3253D">
        <w:rPr>
          <w:rtl/>
        </w:rPr>
        <w:t xml:space="preserve"> </w:t>
      </w:r>
      <w:r w:rsidR="007642BC">
        <w:rPr>
          <w:rtl/>
        </w:rPr>
        <w:t>-</w:t>
      </w:r>
      <w:r w:rsidR="00E3253D">
        <w:rPr>
          <w:rtl/>
        </w:rPr>
        <w:t xml:space="preserve"> </w:t>
      </w:r>
      <w:r w:rsidR="00E3253D" w:rsidRPr="005D642E">
        <w:rPr>
          <w:rtl/>
        </w:rPr>
        <w:t>« فيه »</w:t>
      </w:r>
      <w:r w:rsidR="00E3253D">
        <w:rPr>
          <w:rtl/>
        </w:rPr>
        <w:t>.</w:t>
      </w:r>
      <w:r w:rsidR="00E3253D" w:rsidRPr="005D642E">
        <w:rPr>
          <w:rtl/>
        </w:rPr>
        <w:t xml:space="preserve"> وفي </w:t>
      </w:r>
      <w:r w:rsidR="00D95928">
        <w:rPr>
          <w:rtl/>
        </w:rPr>
        <w:t>« جس » : « لم تفسخ فيه » بدل «</w:t>
      </w:r>
      <w:r w:rsidR="00E3253D" w:rsidRPr="005D642E">
        <w:rPr>
          <w:rtl/>
        </w:rPr>
        <w:t>ل</w:t>
      </w:r>
      <w:r w:rsidR="00D95928">
        <w:rPr>
          <w:rtl/>
        </w:rPr>
        <w:t>م يتفسّخ فيه</w:t>
      </w:r>
      <w:r w:rsidR="00E3253D" w:rsidRPr="005D642E">
        <w:rPr>
          <w:rtl/>
        </w:rPr>
        <w:t>»</w:t>
      </w:r>
      <w:r w:rsidR="00E3253D">
        <w:rPr>
          <w:rtl/>
        </w:rPr>
        <w:t>.</w:t>
      </w:r>
      <w:r w:rsidR="00D95928">
        <w:rPr>
          <w:rtl/>
        </w:rPr>
        <w:t xml:space="preserve"> وفي «غ</w:t>
      </w:r>
      <w:r w:rsidR="00E3253D" w:rsidRPr="005D642E">
        <w:rPr>
          <w:rtl/>
        </w:rPr>
        <w:t>» :</w:t>
      </w:r>
      <w:r w:rsidR="00E3253D">
        <w:rPr>
          <w:rtl/>
        </w:rPr>
        <w:t xml:space="preserve"> </w:t>
      </w:r>
      <w:r w:rsidR="007642BC">
        <w:rPr>
          <w:rtl/>
        </w:rPr>
        <w:t>-</w:t>
      </w:r>
      <w:r w:rsidR="00E3253D">
        <w:rPr>
          <w:rtl/>
        </w:rPr>
        <w:t xml:space="preserve"> </w:t>
      </w:r>
      <w:r w:rsidR="00D95928">
        <w:rPr>
          <w:rtl/>
        </w:rPr>
        <w:t>«</w:t>
      </w:r>
      <w:r w:rsidR="00E3253D" w:rsidRPr="005D642E">
        <w:rPr>
          <w:rtl/>
        </w:rPr>
        <w:t>أولم يت</w:t>
      </w:r>
      <w:r w:rsidR="00D95928">
        <w:rPr>
          <w:rtl/>
        </w:rPr>
        <w:t>فسّخ فيه</w:t>
      </w:r>
      <w:r w:rsidR="00E3253D" w:rsidRPr="005D642E">
        <w:rPr>
          <w:rtl/>
        </w:rPr>
        <w:t>»</w:t>
      </w:r>
      <w:r w:rsidR="00E3253D">
        <w:rPr>
          <w:rtl/>
        </w:rPr>
        <w:t>.</w:t>
      </w:r>
      <w:r w:rsidR="00E3253D">
        <w:rPr>
          <w:rFonts w:hint="cs"/>
          <w:rtl/>
          <w:lang w:bidi="fa-IR"/>
        </w:rPr>
        <w:t xml:space="preserve"> </w:t>
      </w:r>
      <w:r w:rsidR="00791727">
        <w:rPr>
          <w:rFonts w:hint="cs"/>
          <w:rtl/>
          <w:lang w:bidi="fa-IR"/>
        </w:rPr>
        <w:t xml:space="preserve">              </w:t>
      </w:r>
      <w:r w:rsidRPr="0042621E">
        <w:rPr>
          <w:rStyle w:val="libFootnote0Char"/>
          <w:rtl/>
        </w:rPr>
        <w:t>(4).</w:t>
      </w:r>
      <w:r w:rsidR="00E3253D" w:rsidRPr="005D642E">
        <w:rPr>
          <w:rtl/>
        </w:rPr>
        <w:t xml:space="preserve"> في « بح ، جح ، جن » : « أن تجي‌ء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بح ، جح ، جس » </w:t>
      </w:r>
      <w:r w:rsidR="000D749A" w:rsidRPr="000D749A">
        <w:rPr>
          <w:rStyle w:val="libFootnoteBoldChar"/>
          <w:rtl/>
        </w:rPr>
        <w:t>والوافي</w:t>
      </w:r>
      <w:r w:rsidR="00E3253D" w:rsidRPr="005D642E">
        <w:rPr>
          <w:rtl/>
        </w:rPr>
        <w:t xml:space="preserve"> : « تغلب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42 ، ح 117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6 ، ح 4 ، بسندهما عن الكليني. وفي </w:t>
      </w:r>
      <w:r w:rsidR="00E3253D" w:rsidRPr="002F4D34">
        <w:rPr>
          <w:rStyle w:val="libFootnoteBoldChar"/>
          <w:rtl/>
        </w:rPr>
        <w:t>التهذيب</w:t>
      </w:r>
      <w:r w:rsidR="00E3253D" w:rsidRPr="005D642E">
        <w:rPr>
          <w:rtl/>
        </w:rPr>
        <w:t xml:space="preserve"> ، ج 1 ، ص 412 ، ذيل ح 1298 ؛ </w:t>
      </w:r>
      <w:r w:rsidR="00E3253D" w:rsidRPr="00E678B5">
        <w:rPr>
          <w:rStyle w:val="libFootnoteBoldChar"/>
          <w:rtl/>
        </w:rPr>
        <w:t>والاستبصار</w:t>
      </w:r>
      <w:r w:rsidR="00E3253D" w:rsidRPr="005D642E">
        <w:rPr>
          <w:rtl/>
        </w:rPr>
        <w:t xml:space="preserve"> ، ج 1 ، ص 7 ، ذيل ح 7 ، بسند آخر عن حمّاد بن عيسى ، عن حريز ، عن زرارة ، عن أبي جعفر </w:t>
      </w:r>
      <w:r w:rsidR="00E3253D" w:rsidRPr="00791727">
        <w:rPr>
          <w:rStyle w:val="libFootnoteAlaemChar"/>
          <w:rtl/>
        </w:rPr>
        <w:t>عليه‌السلام</w:t>
      </w:r>
      <w:r w:rsidR="00E3253D" w:rsidRPr="005D642E">
        <w:rPr>
          <w:rtl/>
        </w:rPr>
        <w:t xml:space="preserve"> </w:t>
      </w:r>
      <w:r w:rsidR="00791727">
        <w:rPr>
          <w:rFonts w:hint="cs"/>
          <w:rtl/>
        </w:rPr>
        <w:t>.</w:t>
      </w:r>
      <w:r w:rsidR="00E3253D" w:rsidRPr="002F4D34">
        <w:rPr>
          <w:rStyle w:val="libFootnoteBoldChar"/>
          <w:rtl/>
        </w:rPr>
        <w:t>الوافي</w:t>
      </w:r>
      <w:r w:rsidR="00E3253D" w:rsidRPr="005D642E">
        <w:rPr>
          <w:rtl/>
        </w:rPr>
        <w:t xml:space="preserve"> ، ج 6 ، ص 34 ، ح 3697 ؛ </w:t>
      </w:r>
      <w:r w:rsidR="00E3253D" w:rsidRPr="002F4D34">
        <w:rPr>
          <w:rStyle w:val="libFootnoteBoldChar"/>
          <w:rtl/>
        </w:rPr>
        <w:t>الوسائل</w:t>
      </w:r>
      <w:r w:rsidR="00E3253D" w:rsidRPr="005D642E">
        <w:rPr>
          <w:rtl/>
        </w:rPr>
        <w:t xml:space="preserve"> ، ج 1 ، ص 140 ، ح 344.</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الرَّكِيُّ » جمع الرَّكِيّة كرَكايا عند الجوهري ، أو جنسها والجمع : رَكايا عند ابن الأثير ، والرَكيّة هي البئر. راجع : </w:t>
      </w:r>
      <w:r w:rsidR="00E3253D" w:rsidRPr="002F4D34">
        <w:rPr>
          <w:rStyle w:val="libFootnoteBoldChar"/>
          <w:rtl/>
        </w:rPr>
        <w:t>الصحاح</w:t>
      </w:r>
      <w:r w:rsidR="00E3253D" w:rsidRPr="005D642E">
        <w:rPr>
          <w:rtl/>
        </w:rPr>
        <w:t xml:space="preserve"> ، ج 6 ، ص 2361 ؛ </w:t>
      </w:r>
      <w:r w:rsidR="00E3253D" w:rsidRPr="002F4D34">
        <w:rPr>
          <w:rStyle w:val="libFootnoteBoldChar"/>
          <w:rtl/>
        </w:rPr>
        <w:t>النهاية</w:t>
      </w:r>
      <w:r w:rsidR="00E3253D" w:rsidRPr="005D642E">
        <w:rPr>
          <w:rtl/>
        </w:rPr>
        <w:t xml:space="preserve"> ، ج 2 ، ص 261 ( ركا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الاستبصار : + « ونصف طولها في ثلاثة أشبار »</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مرآة العقول</w:t>
      </w:r>
      <w:r w:rsidRPr="00B60612">
        <w:rPr>
          <w:rtl/>
        </w:rPr>
        <w:t xml:space="preserve"> : « ... اعلم أنّ الظاهر من هذا الخبر اعتبار الكرّيّة في ماء البئر ، وهو خلاف المشهور ، وسيأتي القول فيه. وحمل على الغُدْران التي لم يكن لها منبع تجوّزاً ، وليس ببعيد ». والغُدْران : جمع الغدير ، وهي القطعة من الماء يغادرها السيل ، أي يتركها ، لادوام لها ، بل لها انقطاع. راجع : </w:t>
      </w:r>
      <w:r w:rsidRPr="002F4D34">
        <w:rPr>
          <w:rStyle w:val="libFootnoteBoldChar"/>
          <w:rtl/>
        </w:rPr>
        <w:t>الصحاح</w:t>
      </w:r>
      <w:r w:rsidRPr="00B60612">
        <w:rPr>
          <w:rtl/>
        </w:rPr>
        <w:t xml:space="preserve"> ، ج 2 ، ص 766 ؛ </w:t>
      </w:r>
      <w:r w:rsidRPr="002F4D34">
        <w:rPr>
          <w:rStyle w:val="libFootnoteBoldChar"/>
          <w:rtl/>
        </w:rPr>
        <w:t>لسان العرب</w:t>
      </w:r>
      <w:r w:rsidRPr="00B60612">
        <w:rPr>
          <w:rtl/>
        </w:rPr>
        <w:t xml:space="preserve"> ، ج 5 ، ص 9 ( غدر ).</w:t>
      </w:r>
      <w:r>
        <w:rPr>
          <w:rFonts w:hint="cs"/>
          <w:rtl/>
          <w:lang w:bidi="fa-IR"/>
        </w:rPr>
        <w:t xml:space="preserve"> </w:t>
      </w:r>
      <w:r w:rsidR="003B59E4">
        <w:rPr>
          <w:rFonts w:hint="cs"/>
          <w:rtl/>
          <w:lang w:bidi="fa-IR"/>
        </w:rPr>
        <w:t xml:space="preserve">                                  </w:t>
      </w:r>
      <w:r w:rsidR="0042621E" w:rsidRPr="0042621E">
        <w:rPr>
          <w:rStyle w:val="libFootnote0Char"/>
          <w:rtl/>
        </w:rPr>
        <w:t>(9).</w:t>
      </w:r>
      <w:r w:rsidRPr="005D642E">
        <w:rPr>
          <w:rtl/>
        </w:rPr>
        <w:t xml:space="preserve"> في </w:t>
      </w:r>
      <w:r w:rsidRPr="002F4D34">
        <w:rPr>
          <w:rStyle w:val="libFootnoteBoldChar"/>
          <w:rtl/>
        </w:rPr>
        <w:t>الوافي</w:t>
      </w:r>
      <w:r w:rsidRPr="005D642E">
        <w:rPr>
          <w:rtl/>
        </w:rPr>
        <w:t xml:space="preserve"> : « عرضها : قطرها »</w:t>
      </w:r>
      <w:r>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408 ، ح 1282 ؛ </w:t>
      </w:r>
      <w:r w:rsidR="00E3253D" w:rsidRPr="00E678B5">
        <w:rPr>
          <w:rStyle w:val="libFootnoteBoldChar"/>
          <w:rtl/>
        </w:rPr>
        <w:t>والاستبصار</w:t>
      </w:r>
      <w:r w:rsidR="00E3253D" w:rsidRPr="005D642E">
        <w:rPr>
          <w:rtl/>
        </w:rPr>
        <w:t xml:space="preserve"> ، ج 1 ، ص 33 ، ح 9 ، معلّقاً عن أحمد بن محمّد. </w:t>
      </w:r>
      <w:r w:rsidR="00E3253D" w:rsidRPr="002F4D34">
        <w:rPr>
          <w:rStyle w:val="libFootnoteBoldChar"/>
          <w:rtl/>
        </w:rPr>
        <w:t>الفقيه</w:t>
      </w:r>
      <w:r w:rsidR="00E3253D" w:rsidRPr="005D642E">
        <w:rPr>
          <w:rtl/>
        </w:rPr>
        <w:t xml:space="preserve"> ، ج 1 ، ص 5 ، ذيل ح 2 ، مع اختلاف يسير </w:t>
      </w:r>
      <w:r w:rsidR="003B59E4">
        <w:rPr>
          <w:rFonts w:hint="cs"/>
          <w:rtl/>
        </w:rPr>
        <w:t>.</w:t>
      </w:r>
      <w:r w:rsidR="00E3253D" w:rsidRPr="002F4D34">
        <w:rPr>
          <w:rStyle w:val="libFootnoteBoldChar"/>
          <w:rtl/>
        </w:rPr>
        <w:t>الوافي</w:t>
      </w:r>
      <w:r w:rsidR="00E3253D" w:rsidRPr="005D642E">
        <w:rPr>
          <w:rtl/>
        </w:rPr>
        <w:t xml:space="preserve"> ، ج 1 ، ص 34 ، ح 3699 ؛ </w:t>
      </w:r>
      <w:r w:rsidR="00E3253D" w:rsidRPr="002F4D34">
        <w:rPr>
          <w:rStyle w:val="libFootnoteBoldChar"/>
          <w:rtl/>
        </w:rPr>
        <w:t>الوسائل</w:t>
      </w:r>
      <w:r w:rsidR="00E3253D" w:rsidRPr="005D642E">
        <w:rPr>
          <w:rtl/>
        </w:rPr>
        <w:t xml:space="preserve"> ، ج 1 ، ص 160 ، ح 398.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AA19AE">
        <w:rPr>
          <w:rtl/>
        </w:rPr>
        <w:lastRenderedPageBreak/>
        <w:t>3811</w:t>
      </w:r>
      <w:r w:rsidRPr="00246318">
        <w:rPr>
          <w:rStyle w:val="libBold2Char"/>
          <w:rtl/>
        </w:rPr>
        <w:t xml:space="preserve"> / 5.</w:t>
      </w:r>
      <w:r w:rsidRPr="005D642E">
        <w:rPr>
          <w:rtl/>
          <w:lang w:bidi="fa-IR"/>
        </w:rPr>
        <w:t xml:space="preserve"> مُحَمَّدُ بْنُ يَحْيى </w:t>
      </w:r>
      <w:r w:rsidRPr="007C12DB">
        <w:rPr>
          <w:rStyle w:val="libFootnotenumChar"/>
          <w:rtl/>
        </w:rPr>
        <w:t>(1)</w:t>
      </w:r>
      <w:r w:rsidRPr="005D642E">
        <w:rPr>
          <w:rtl/>
          <w:lang w:bidi="fa-IR"/>
        </w:rPr>
        <w:t xml:space="preserve"> ، عَنْ أَحْمَدَ بْنِ مُحَمَّدٍ </w:t>
      </w:r>
      <w:r w:rsidRPr="007C12DB">
        <w:rPr>
          <w:rStyle w:val="libFootnotenumChar"/>
          <w:rtl/>
        </w:rPr>
        <w:t>(2)</w:t>
      </w:r>
      <w:r w:rsidRPr="005D642E">
        <w:rPr>
          <w:rtl/>
          <w:lang w:bidi="fa-IR"/>
        </w:rPr>
        <w:t xml:space="preserve"> ، عَنْ عُثْمَانَ بْنِ عِيسى ، عَنِ ابْنِ مُسْكَانَ ، عَنْ أَبِي بَصِيرٍ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الْكُرِّ مِنَ الْمَاءِ : كَمْ يَكُونُ قَدْرُهُ</w:t>
      </w:r>
      <w:r>
        <w:rPr>
          <w:rtl/>
          <w:lang w:bidi="fa-IR"/>
        </w:rPr>
        <w:t>؟</w:t>
      </w:r>
    </w:p>
    <w:p w:rsidR="00E3253D" w:rsidRPr="005D642E" w:rsidRDefault="00E3253D" w:rsidP="00E3253D">
      <w:pPr>
        <w:pStyle w:val="libNormal"/>
        <w:rPr>
          <w:rtl/>
          <w:lang w:bidi="fa-IR"/>
        </w:rPr>
      </w:pPr>
      <w:r w:rsidRPr="005D642E">
        <w:rPr>
          <w:rtl/>
          <w:lang w:bidi="fa-IR"/>
        </w:rPr>
        <w:t xml:space="preserve">قَالَ : « إِذَا كَانَ الْمَاءُ ثَلَاثَةَ أَشْبَارٍ وَنِصْفاً </w:t>
      </w:r>
      <w:r w:rsidRPr="007C12DB">
        <w:rPr>
          <w:rStyle w:val="libFootnotenumChar"/>
          <w:rtl/>
        </w:rPr>
        <w:t>(3)</w:t>
      </w:r>
      <w:r w:rsidRPr="005D642E">
        <w:rPr>
          <w:rtl/>
          <w:lang w:bidi="fa-IR"/>
        </w:rPr>
        <w:t xml:space="preserve"> فِي مِثْلِهِ ثَلَاثَةِ أَشْبَارٍ وَنِصْفٍ فِي عُمْقِهِ فِي </w:t>
      </w:r>
      <w:r w:rsidRPr="007C12DB">
        <w:rPr>
          <w:rStyle w:val="libFootnotenumChar"/>
          <w:rtl/>
        </w:rPr>
        <w:t>(4)</w:t>
      </w:r>
      <w:r w:rsidRPr="005D642E">
        <w:rPr>
          <w:rtl/>
          <w:lang w:bidi="fa-IR"/>
        </w:rPr>
        <w:t xml:space="preserve"> الْأَرْضِ ، فَذلِكَ الْكُرُّ مِنَ الْمَاءِ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AA19AE">
        <w:rPr>
          <w:rtl/>
        </w:rPr>
        <w:t>3812</w:t>
      </w:r>
      <w:r w:rsidRPr="00246318">
        <w:rPr>
          <w:rStyle w:val="libBold2Char"/>
          <w:rtl/>
        </w:rPr>
        <w:t xml:space="preserve"> / 6.</w:t>
      </w:r>
      <w:r w:rsidRPr="005D642E">
        <w:rPr>
          <w:rtl/>
          <w:lang w:bidi="fa-IR"/>
        </w:rPr>
        <w:t xml:space="preserve"> أَحْمَدُ بْنُ إِدْرِيسَ ، عَنْ مُحَمَّدِ بْنِ أَحْمَدَ ، عَنْ يَعْقُوبَ بْنِ يَزِيدَ ، عَنِ ابْنِ أَبِي عُمَيْرٍ ، عَنْ بَعْضِ أَصْحَابِنَا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بح » وحاشية « بخ » : « حدّثني محمّد بن يحيى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 « أحمد بن محمّد بن يحيى »</w:t>
      </w:r>
      <w:r w:rsidR="00E3253D">
        <w:rPr>
          <w:rtl/>
        </w:rPr>
        <w:t>.</w:t>
      </w:r>
      <w:r w:rsidR="00E3253D" w:rsidRPr="005D642E">
        <w:rPr>
          <w:rtl/>
        </w:rPr>
        <w:t xml:space="preserve"> وهو سهو ؛ فقد روى محمّد بن يحيى ، عن أحمد بن محمّد [ بن عيسى ] ، عن عثمان بن عيسى ، في أسناد عديدة ، ولم يعهد في مشايخ محمّد بن يحيى عنوان « أحمد بن محمد بن يحيى »</w:t>
      </w:r>
      <w:r w:rsidR="00E3253D">
        <w:rPr>
          <w:rtl/>
        </w:rPr>
        <w:t>.</w:t>
      </w:r>
      <w:r w:rsidR="00E3253D" w:rsidRPr="005D642E">
        <w:rPr>
          <w:rtl/>
        </w:rPr>
        <w:t xml:space="preserve"> راجع : </w:t>
      </w:r>
      <w:r w:rsidR="00E3253D" w:rsidRPr="002F4D34">
        <w:rPr>
          <w:rStyle w:val="libFootnoteBoldChar"/>
          <w:rtl/>
        </w:rPr>
        <w:t>معجم رجال الحديث</w:t>
      </w:r>
      <w:r w:rsidR="00E3253D" w:rsidRPr="005D642E">
        <w:rPr>
          <w:rtl/>
        </w:rPr>
        <w:t xml:space="preserve"> ، ج 2 ، ص 528</w:t>
      </w:r>
      <w:r w:rsidR="00E3253D">
        <w:rPr>
          <w:rtl/>
        </w:rPr>
        <w:t xml:space="preserve"> </w:t>
      </w:r>
      <w:r w:rsidR="007642BC">
        <w:rPr>
          <w:rtl/>
        </w:rPr>
        <w:t>-</w:t>
      </w:r>
      <w:r w:rsidR="00E3253D">
        <w:rPr>
          <w:rtl/>
        </w:rPr>
        <w:t xml:space="preserve"> </w:t>
      </w:r>
      <w:r w:rsidR="00E3253D" w:rsidRPr="005D642E">
        <w:rPr>
          <w:rtl/>
        </w:rPr>
        <w:t>531 ؛ وص 680.</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بح ، جح » </w:t>
      </w:r>
      <w:r w:rsidR="000D749A" w:rsidRPr="000D749A">
        <w:rPr>
          <w:rStyle w:val="libFootnoteBoldChar"/>
          <w:rtl/>
        </w:rPr>
        <w:t>والوافي</w:t>
      </w:r>
      <w:r w:rsidR="00E3253D" w:rsidRPr="005D642E">
        <w:rPr>
          <w:rtl/>
        </w:rPr>
        <w:t xml:space="preserve">. وفي سائر النسخ والمطبوع </w:t>
      </w:r>
      <w:r w:rsidR="000D749A" w:rsidRPr="000D749A">
        <w:rPr>
          <w:rStyle w:val="libFootnoteBoldChar"/>
          <w:rtl/>
        </w:rPr>
        <w:t>والمرآة</w:t>
      </w:r>
      <w:r w:rsidR="00E3253D" w:rsidRPr="005D642E">
        <w:rPr>
          <w:rtl/>
        </w:rPr>
        <w:t xml:space="preserve"> : « ونصف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عمقها من »</w:t>
      </w:r>
      <w:r w:rsidR="00E3253D">
        <w:rPr>
          <w:rtl/>
        </w:rPr>
        <w:t>.</w:t>
      </w:r>
      <w:r w:rsidR="00E3253D" w:rsidRPr="005D642E">
        <w:rPr>
          <w:rtl/>
        </w:rPr>
        <w:t xml:space="preserve"> وهذا الخبر هو العمدة في الاحتجاج على المذهب المشهور في تحديد الكرّ. وا</w:t>
      </w:r>
      <w:r w:rsidR="00973431">
        <w:rPr>
          <w:rFonts w:hint="cs"/>
          <w:rtl/>
        </w:rPr>
        <w:t>ُ</w:t>
      </w:r>
      <w:r w:rsidR="00E3253D" w:rsidRPr="005D642E">
        <w:rPr>
          <w:rtl/>
        </w:rPr>
        <w:t xml:space="preserve">ورد عليه بأنّه ليس فيه تحديد العرض ؛ فإنّ الظاهر أنّ « ثلاثة أشبار ونصف » بدلٌ من « مثله » </w:t>
      </w:r>
      <w:r w:rsidR="00E3253D">
        <w:rPr>
          <w:rtl/>
        </w:rPr>
        <w:t>و «</w:t>
      </w:r>
      <w:r w:rsidR="00E3253D" w:rsidRPr="005D642E">
        <w:rPr>
          <w:rtl/>
        </w:rPr>
        <w:t xml:space="preserve"> في عمقه » حالٌ من « مثله » أو بدله أو نعت لهما ، وحينئذٍ يكون العمق محدودا</w:t>
      </w:r>
      <w:r w:rsidR="00BE4D13">
        <w:rPr>
          <w:rtl/>
        </w:rPr>
        <w:t>ً والعرض مسكوتاً عنه. قال العل</w:t>
      </w:r>
      <w:r w:rsidR="00BE4D13">
        <w:rPr>
          <w:rFonts w:hint="cs"/>
          <w:rtl/>
        </w:rPr>
        <w:t>ّ</w:t>
      </w:r>
      <w:r w:rsidR="00BE4D13">
        <w:rPr>
          <w:rtl/>
        </w:rPr>
        <w:t>ا</w:t>
      </w:r>
      <w:r w:rsidR="00E3253D" w:rsidRPr="005D642E">
        <w:rPr>
          <w:rtl/>
        </w:rPr>
        <w:t xml:space="preserve">مة المجلسي : « وأقول : يمكن توجيه الخبر بوجوه : الأوّل : ما سنح لي وحلّ ببالي ، وهو أن يكون اسم كان ضمير شأن مستتر فيه ، وخبره جملة « الماء ثلاثة أشبار » ويكون المراد بها أحد طرفي الطول والعرض ، والمراد بقوله : « في مثله » الطرف الآخر ، ويكون قوله : « ثلاثة أشبار ونصف في عمقه » خبراً بعد خبر للماء ، أو بتقدير المبتدأ خبراً ثانياً لكان ، والمراد بقوله : « في عمقه » كائناً في عمقه لا مضروباً فيه ، وفي قوله : « في مثله » مضروباً في مثله. وهذا إنّما يستقيم على نسختي المتن </w:t>
      </w:r>
      <w:r w:rsidR="00E3253D" w:rsidRPr="00E678B5">
        <w:rPr>
          <w:rStyle w:val="libFootnoteBoldChar"/>
          <w:rtl/>
        </w:rPr>
        <w:t>والاستبصار</w:t>
      </w:r>
      <w:r w:rsidR="00E3253D" w:rsidRPr="005D642E">
        <w:rPr>
          <w:rtl/>
        </w:rPr>
        <w:t xml:space="preserve"> ، أي عدم نصب نصف في الموضعين »</w:t>
      </w:r>
      <w:r w:rsidR="00E3253D">
        <w:rPr>
          <w:rtl/>
        </w:rPr>
        <w:t>.</w:t>
      </w:r>
      <w:r w:rsidR="00E3253D" w:rsidRPr="005D642E">
        <w:rPr>
          <w:rtl/>
        </w:rPr>
        <w:t xml:space="preserve"> ثمّ ذكر سادس الوجوه</w:t>
      </w:r>
      <w:r w:rsidR="00E3253D">
        <w:rPr>
          <w:rtl/>
        </w:rPr>
        <w:t xml:space="preserve"> </w:t>
      </w:r>
      <w:r w:rsidR="007642BC">
        <w:rPr>
          <w:rtl/>
        </w:rPr>
        <w:t>-</w:t>
      </w:r>
      <w:r w:rsidR="00E3253D">
        <w:rPr>
          <w:rtl/>
        </w:rPr>
        <w:t xml:space="preserve"> </w:t>
      </w:r>
      <w:r w:rsidR="00E3253D" w:rsidRPr="005D642E">
        <w:rPr>
          <w:rtl/>
        </w:rPr>
        <w:t>وهو آخرها</w:t>
      </w:r>
      <w:r w:rsidR="00E3253D">
        <w:rPr>
          <w:rtl/>
        </w:rPr>
        <w:t xml:space="preserve"> </w:t>
      </w:r>
      <w:r w:rsidR="007642BC">
        <w:rPr>
          <w:rtl/>
        </w:rPr>
        <w:t>-</w:t>
      </w:r>
      <w:r w:rsidR="00E3253D">
        <w:rPr>
          <w:rtl/>
        </w:rPr>
        <w:t xml:space="preserve"> </w:t>
      </w:r>
      <w:r w:rsidR="00E3253D" w:rsidRPr="005D642E">
        <w:rPr>
          <w:rtl/>
        </w:rPr>
        <w:t>بقوله : « وهو أن يكون ثلاثة في قوله : « ثلاثة أشبار ونصف في عمقه » منصوباً على أنّه خبر ثان لكان لا مجروراً بالبدليّة من مثله. وهذا توجيه لما في نسخة التهذيب ، أي نصب النصف الأوّل. ويرد عليه أنّه يقتضي نصب النصف بالعطف على « ثلاثة » وهو في الرواية غير منصوب. وتقدير مبتدأ أو خبر نحو معها بعيد ، والعطف على « أشبار »</w:t>
      </w:r>
      <w:r w:rsidR="00E3253D">
        <w:rPr>
          <w:rtl/>
        </w:rPr>
        <w:t xml:space="preserve"> </w:t>
      </w:r>
      <w:r w:rsidR="007642BC">
        <w:rPr>
          <w:rtl/>
        </w:rPr>
        <w:t>-</w:t>
      </w:r>
      <w:r w:rsidR="00E3253D">
        <w:rPr>
          <w:rtl/>
        </w:rPr>
        <w:t xml:space="preserve"> </w:t>
      </w:r>
      <w:r w:rsidR="00E3253D" w:rsidRPr="005D642E">
        <w:rPr>
          <w:rtl/>
        </w:rPr>
        <w:t>كما قيل</w:t>
      </w:r>
      <w:r w:rsidR="00E3253D">
        <w:rPr>
          <w:rtl/>
        </w:rPr>
        <w:t xml:space="preserve"> </w:t>
      </w:r>
      <w:r w:rsidR="007642BC">
        <w:rPr>
          <w:rtl/>
        </w:rPr>
        <w:t>-</w:t>
      </w:r>
      <w:r w:rsidR="00E3253D">
        <w:rPr>
          <w:rtl/>
        </w:rPr>
        <w:t xml:space="preserve"> </w:t>
      </w:r>
      <w:r w:rsidR="00E3253D" w:rsidRPr="005D642E">
        <w:rPr>
          <w:rtl/>
        </w:rPr>
        <w:t>فاسد لفظاً ومعنىً</w:t>
      </w:r>
      <w:r w:rsidR="00E3253D">
        <w:rPr>
          <w:rtl/>
        </w:rPr>
        <w:t xml:space="preserve"> ..</w:t>
      </w:r>
      <w:r w:rsidR="00E3253D" w:rsidRPr="005D642E">
        <w:rPr>
          <w:rtl/>
        </w:rPr>
        <w:t>. »</w:t>
      </w:r>
      <w:r w:rsidR="00E3253D">
        <w:rPr>
          <w:rtl/>
        </w:rPr>
        <w:t>.</w:t>
      </w:r>
      <w:r w:rsidR="00E3253D" w:rsidRPr="005D642E">
        <w:rPr>
          <w:rtl/>
        </w:rPr>
        <w:t xml:space="preserve"> راجع : </w:t>
      </w:r>
      <w:r w:rsidR="00E3253D" w:rsidRPr="002F4D34">
        <w:rPr>
          <w:rStyle w:val="libFootnoteBoldChar"/>
          <w:rtl/>
        </w:rPr>
        <w:t>مرآة العقول</w:t>
      </w:r>
      <w:r w:rsidR="00E3253D" w:rsidRPr="005D642E">
        <w:rPr>
          <w:rtl/>
        </w:rPr>
        <w:t xml:space="preserve"> ، ج 13 ، ص 12</w:t>
      </w:r>
      <w:r w:rsidR="00E3253D">
        <w:rPr>
          <w:rtl/>
        </w:rPr>
        <w:t xml:space="preserve"> </w:t>
      </w:r>
      <w:r w:rsidR="007642BC">
        <w:rPr>
          <w:rtl/>
        </w:rPr>
        <w:t>-</w:t>
      </w:r>
      <w:r w:rsidR="00E3253D">
        <w:rPr>
          <w:rtl/>
        </w:rPr>
        <w:t xml:space="preserve"> </w:t>
      </w:r>
      <w:r w:rsidR="00E3253D" w:rsidRPr="005D642E">
        <w:rPr>
          <w:rtl/>
        </w:rPr>
        <w:t>14.</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42 ، ح 116 ؛ </w:t>
      </w:r>
      <w:r w:rsidR="00E3253D" w:rsidRPr="00E678B5">
        <w:rPr>
          <w:rStyle w:val="libFootnoteBoldChar"/>
          <w:rtl/>
        </w:rPr>
        <w:t>والاستبصار</w:t>
      </w:r>
      <w:r w:rsidR="00E3253D" w:rsidRPr="005D642E">
        <w:rPr>
          <w:rtl/>
        </w:rPr>
        <w:t xml:space="preserve"> ، ج 1 ، ص 10 ، ح 14 ، بسندهما عن الكليني </w:t>
      </w:r>
      <w:r w:rsidR="00025308">
        <w:rPr>
          <w:rFonts w:hint="cs"/>
          <w:rtl/>
        </w:rPr>
        <w:t>.</w:t>
      </w:r>
      <w:r w:rsidR="00E3253D" w:rsidRPr="002F4D34">
        <w:rPr>
          <w:rStyle w:val="libFootnoteBoldChar"/>
          <w:rtl/>
        </w:rPr>
        <w:t>الوافي</w:t>
      </w:r>
      <w:r w:rsidR="00E3253D" w:rsidRPr="005D642E">
        <w:rPr>
          <w:rtl/>
        </w:rPr>
        <w:t xml:space="preserve"> ، ج 6 ، ص 36 ، ح 3702 ؛ </w:t>
      </w:r>
      <w:r w:rsidR="00E3253D" w:rsidRPr="002F4D34">
        <w:rPr>
          <w:rStyle w:val="libFootnoteBoldChar"/>
          <w:rtl/>
        </w:rPr>
        <w:t>الوسائل</w:t>
      </w:r>
      <w:r w:rsidR="00E3253D" w:rsidRPr="005D642E">
        <w:rPr>
          <w:rtl/>
        </w:rPr>
        <w:t xml:space="preserve"> ، ج 1 ، ص 166 ، ح 413.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 الْكُرُّ مِنَ الْمَاءِ </w:t>
      </w:r>
      <w:r w:rsidRPr="007C12DB">
        <w:rPr>
          <w:rStyle w:val="libFootnotenumChar"/>
          <w:rtl/>
        </w:rPr>
        <w:t>(1)</w:t>
      </w:r>
      <w:r w:rsidRPr="005D642E">
        <w:rPr>
          <w:rtl/>
          <w:lang w:bidi="fa-IR"/>
        </w:rPr>
        <w:t xml:space="preserve"> أَلْفٌ وَمِائَتَا رِطْلٍ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AA19AE">
        <w:rPr>
          <w:rtl/>
        </w:rPr>
        <w:t>3813</w:t>
      </w:r>
      <w:r w:rsidRPr="00246318">
        <w:rPr>
          <w:rStyle w:val="libBold2Char"/>
          <w:rtl/>
        </w:rPr>
        <w:t xml:space="preserve"> / 7.</w:t>
      </w:r>
      <w:r w:rsidRPr="005D642E">
        <w:rPr>
          <w:rtl/>
          <w:lang w:bidi="fa-IR"/>
        </w:rPr>
        <w:t xml:space="preserve"> مُحَمَّدُ بْنُ يَحْيى ، عَنْ أَحْمَدَ بْنِ مُحَمَّدٍ ، عَنِ الْبَرْقِيِّ ، عَنِ ابْنِ سِنَانٍ </w:t>
      </w:r>
      <w:r w:rsidRPr="007C12DB">
        <w:rPr>
          <w:rStyle w:val="libFootnotenumChar"/>
          <w:rtl/>
        </w:rPr>
        <w:t>(4)</w:t>
      </w:r>
      <w:r w:rsidRPr="005D642E">
        <w:rPr>
          <w:rtl/>
          <w:lang w:bidi="fa-IR"/>
        </w:rPr>
        <w:t xml:space="preserve"> ، عَنْ إِسْمَاعِيلَ بْنِ جَابِرٍ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w:t>
      </w:r>
      <w:r w:rsidRPr="007C12DB">
        <w:rPr>
          <w:rStyle w:val="libFootnotenumChar"/>
          <w:rtl/>
        </w:rPr>
        <w:t>(5)</w:t>
      </w:r>
      <w:r w:rsidRPr="005D642E">
        <w:rPr>
          <w:rtl/>
          <w:lang w:bidi="fa-IR"/>
        </w:rPr>
        <w:t xml:space="preserve"> الْمَاءِ الَّذِي لَايُنَجِّسُهُ شَيْ‌ءٌ</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التهذيب </w:t>
      </w:r>
      <w:r w:rsidR="00E3253D" w:rsidRPr="00E678B5">
        <w:rPr>
          <w:rStyle w:val="libFootnoteBoldChar"/>
          <w:rtl/>
        </w:rPr>
        <w:t>والاستبصار</w:t>
      </w:r>
      <w:r w:rsidR="00E3253D" w:rsidRPr="005D642E">
        <w:rPr>
          <w:rtl/>
        </w:rPr>
        <w:t xml:space="preserve"> : + « الذي لاينجّسه شي‌ء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المراد بالرطل ، العراقيّ منه ؛ لموافقة أصل طهارة الماء ، ولكون الظاهر أنّه </w:t>
      </w:r>
      <w:r w:rsidR="00E3253D" w:rsidRPr="00025308">
        <w:rPr>
          <w:rStyle w:val="libFootnoteAlaemChar"/>
          <w:rtl/>
        </w:rPr>
        <w:t>عليه‌السلام</w:t>
      </w:r>
      <w:r w:rsidR="00E3253D" w:rsidRPr="005D642E">
        <w:rPr>
          <w:rtl/>
        </w:rPr>
        <w:t xml:space="preserve"> أجاب السائل على عادة بلد السائل ، وغالب الأصحاب كانوا من العراق ، ويؤيّده أنّ ابن أبي عمير أيضاً عراقيّ ، فلا ينافي هذا الخبر ما ورد من أنّ الكرّ ستّمائة رطل ؛ فإنّ المراد بذلك المكّيّ فإنّه ضِعْفه. راجع : </w:t>
      </w:r>
      <w:r w:rsidR="00E3253D" w:rsidRPr="002F4D34">
        <w:rPr>
          <w:rStyle w:val="libFootnoteBoldChar"/>
          <w:rtl/>
        </w:rPr>
        <w:t>الوافي</w:t>
      </w:r>
      <w:r w:rsidR="00E3253D" w:rsidRPr="005D642E">
        <w:rPr>
          <w:rtl/>
        </w:rPr>
        <w:t xml:space="preserve"> ، ج 6 ، ص 37 ؛ </w:t>
      </w:r>
      <w:r w:rsidR="00E3253D" w:rsidRPr="002F4D34">
        <w:rPr>
          <w:rStyle w:val="libFootnoteBoldChar"/>
          <w:rtl/>
        </w:rPr>
        <w:t>مرآة العقول</w:t>
      </w:r>
      <w:r w:rsidR="00E3253D" w:rsidRPr="005D642E">
        <w:rPr>
          <w:rtl/>
        </w:rPr>
        <w:t xml:space="preserve"> ، ج 13 ، ص 15.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41 ، ح 113 ، بسنده عن محمّد بن أحمد بن يحيى ، عن يعقوب بن يزيد ؛ </w:t>
      </w:r>
      <w:r w:rsidR="00E3253D" w:rsidRPr="002F4D34">
        <w:rPr>
          <w:rStyle w:val="libFootnoteBoldChar"/>
          <w:rtl/>
        </w:rPr>
        <w:t>الاستبصار</w:t>
      </w:r>
      <w:r w:rsidR="00E3253D" w:rsidRPr="005D642E">
        <w:rPr>
          <w:rtl/>
        </w:rPr>
        <w:t xml:space="preserve"> ، ج 1 ، ص 10 ، ح 15 ، معلّقاً عن محمّد بن أحمد بن يحيى ، عن يعقوب بن يزيد. </w:t>
      </w:r>
      <w:r w:rsidR="00E3253D" w:rsidRPr="002F4D34">
        <w:rPr>
          <w:rStyle w:val="libFootnoteBoldChar"/>
          <w:rtl/>
        </w:rPr>
        <w:t>الفقيه</w:t>
      </w:r>
      <w:r w:rsidR="00E3253D" w:rsidRPr="005D642E">
        <w:rPr>
          <w:rtl/>
        </w:rPr>
        <w:t xml:space="preserve"> ، ج 1 ، ص 5 ، ذيل ح 2 ، مع اختلاف يسير. راجع : </w:t>
      </w:r>
      <w:r w:rsidR="000D749A" w:rsidRPr="000D749A">
        <w:rPr>
          <w:rStyle w:val="libFootnoteBoldChar"/>
          <w:rtl/>
        </w:rPr>
        <w:t>الأمالي للصدوق</w:t>
      </w:r>
      <w:r w:rsidR="00E3253D" w:rsidRPr="005D642E">
        <w:rPr>
          <w:rtl/>
        </w:rPr>
        <w:t xml:space="preserve"> ، ص 645 ، المجلس 93 ؛ و</w:t>
      </w:r>
      <w:r w:rsidR="00E3253D" w:rsidRPr="002F4D34">
        <w:rPr>
          <w:rStyle w:val="libFootnoteBoldChar"/>
          <w:rtl/>
        </w:rPr>
        <w:t xml:space="preserve">المقنعة </w:t>
      </w:r>
      <w:r w:rsidR="00E3253D" w:rsidRPr="005D642E">
        <w:rPr>
          <w:rtl/>
        </w:rPr>
        <w:t xml:space="preserve">، ص 40 </w:t>
      </w:r>
      <w:r w:rsidR="00E3253D">
        <w:rPr>
          <w:rtl/>
        </w:rPr>
        <w:t>و 6</w:t>
      </w:r>
      <w:r w:rsidR="00E3253D" w:rsidRPr="005D642E">
        <w:rPr>
          <w:rtl/>
        </w:rPr>
        <w:t xml:space="preserve">3 </w:t>
      </w:r>
      <w:r w:rsidR="00025308">
        <w:rPr>
          <w:rFonts w:hint="cs"/>
          <w:rtl/>
        </w:rPr>
        <w:t>.</w:t>
      </w:r>
      <w:r w:rsidR="00E3253D" w:rsidRPr="002F4D34">
        <w:rPr>
          <w:rStyle w:val="libFootnoteBoldChar"/>
          <w:rtl/>
        </w:rPr>
        <w:t>الوافي</w:t>
      </w:r>
      <w:r w:rsidR="00E3253D" w:rsidRPr="005D642E">
        <w:rPr>
          <w:rtl/>
        </w:rPr>
        <w:t xml:space="preserve"> ، ج 6 ، ص 36 ، ح 3703 ؛ </w:t>
      </w:r>
      <w:r w:rsidR="00E3253D" w:rsidRPr="002F4D34">
        <w:rPr>
          <w:rStyle w:val="libFootnoteBoldChar"/>
          <w:rtl/>
        </w:rPr>
        <w:t>الوسائل</w:t>
      </w:r>
      <w:r w:rsidR="00E3253D" w:rsidRPr="005D642E">
        <w:rPr>
          <w:rtl/>
        </w:rPr>
        <w:t xml:space="preserve"> ، ج 1 ، ص 167 ، ذيل ح 416.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البرقي في مشايخ أحمد بن محمّد</w:t>
      </w:r>
      <w:r w:rsidR="00E3253D">
        <w:rPr>
          <w:rtl/>
        </w:rPr>
        <w:t xml:space="preserve"> </w:t>
      </w:r>
      <w:r w:rsidR="007642BC">
        <w:rPr>
          <w:rtl/>
        </w:rPr>
        <w:t>-</w:t>
      </w:r>
      <w:r w:rsidR="00E3253D">
        <w:rPr>
          <w:rtl/>
        </w:rPr>
        <w:t xml:space="preserve"> </w:t>
      </w:r>
      <w:r w:rsidR="00E3253D" w:rsidRPr="005D642E">
        <w:rPr>
          <w:rtl/>
        </w:rPr>
        <w:t>وهو ابن عيسى بقرينة رواية محمّد بن يحيى عنه</w:t>
      </w:r>
      <w:r w:rsidR="00E3253D">
        <w:rPr>
          <w:rtl/>
        </w:rPr>
        <w:t xml:space="preserve"> </w:t>
      </w:r>
      <w:r w:rsidR="007642BC">
        <w:rPr>
          <w:rtl/>
        </w:rPr>
        <w:t>-</w:t>
      </w:r>
      <w:r w:rsidR="00E3253D">
        <w:rPr>
          <w:rtl/>
        </w:rPr>
        <w:t xml:space="preserve"> </w:t>
      </w:r>
      <w:r w:rsidR="00E3253D" w:rsidRPr="005D642E">
        <w:rPr>
          <w:rtl/>
        </w:rPr>
        <w:t xml:space="preserve">محمّد بن خالد البرقي. وروى هو عن محمّد بن سنان في عددٍ من الأسناد. راجع : </w:t>
      </w:r>
      <w:r w:rsidR="00E3253D" w:rsidRPr="002F4D34">
        <w:rPr>
          <w:rStyle w:val="libFootnoteBoldChar"/>
          <w:rtl/>
        </w:rPr>
        <w:t>معجم رجال الحديث</w:t>
      </w:r>
      <w:r w:rsidR="00E3253D" w:rsidRPr="005D642E">
        <w:rPr>
          <w:rtl/>
        </w:rPr>
        <w:t xml:space="preserve"> ، ج 16 ، ص 363 </w:t>
      </w:r>
      <w:r w:rsidR="00E3253D">
        <w:rPr>
          <w:rtl/>
        </w:rPr>
        <w:t>و 3</w:t>
      </w:r>
      <w:r w:rsidR="00E3253D" w:rsidRPr="005D642E">
        <w:rPr>
          <w:rtl/>
        </w:rPr>
        <w:t>69.</w:t>
      </w:r>
    </w:p>
    <w:p w:rsidR="00E3253D" w:rsidRPr="005D642E" w:rsidRDefault="00E3253D" w:rsidP="00E3253D">
      <w:pPr>
        <w:pStyle w:val="libFootnote0"/>
        <w:rPr>
          <w:rtl/>
          <w:lang w:bidi="fa-IR"/>
        </w:rPr>
      </w:pPr>
      <w:r w:rsidRPr="00B60612">
        <w:rPr>
          <w:rtl/>
        </w:rPr>
        <w:t xml:space="preserve">هذا ، وقد ورد الخبر في </w:t>
      </w:r>
      <w:r w:rsidRPr="002F4D34">
        <w:rPr>
          <w:rStyle w:val="libFootnoteBoldChar"/>
          <w:rtl/>
        </w:rPr>
        <w:t>التهذيب</w:t>
      </w:r>
      <w:r w:rsidRPr="00B60612">
        <w:rPr>
          <w:rtl/>
        </w:rPr>
        <w:t xml:space="preserve"> ، ج 1 ، ص 37 ، ح 101 </w:t>
      </w:r>
      <w:r w:rsidR="007642BC" w:rsidRPr="00B60612">
        <w:rPr>
          <w:rtl/>
        </w:rPr>
        <w:t>-</w:t>
      </w:r>
      <w:r w:rsidRPr="00B60612">
        <w:rPr>
          <w:rtl/>
        </w:rPr>
        <w:t xml:space="preserve"> مع اختلاف يسير في الألفاظ </w:t>
      </w:r>
      <w:r w:rsidR="007642BC" w:rsidRPr="00B60612">
        <w:rPr>
          <w:rtl/>
        </w:rPr>
        <w:t>-</w:t>
      </w:r>
      <w:r w:rsidRPr="00B60612">
        <w:rPr>
          <w:rtl/>
        </w:rPr>
        <w:t xml:space="preserve"> بسنده عن أحمد بن محمّد ، عن محمّد بن خالد ، عن محمّد بن سنان ، عن إسماعيل بن جابر ، وورد أيضاً في ص 41 ، ح 115 من </w:t>
      </w:r>
      <w:r w:rsidRPr="002F4D34">
        <w:rPr>
          <w:rStyle w:val="libFootnoteBoldChar"/>
          <w:rtl/>
        </w:rPr>
        <w:t>التهذيب</w:t>
      </w:r>
      <w:r w:rsidRPr="00B60612">
        <w:rPr>
          <w:rtl/>
        </w:rPr>
        <w:t xml:space="preserve"> وفي </w:t>
      </w:r>
      <w:r w:rsidRPr="002F4D34">
        <w:rPr>
          <w:rStyle w:val="libFootnoteBoldChar"/>
          <w:rtl/>
        </w:rPr>
        <w:t>الاستبصار</w:t>
      </w:r>
      <w:r w:rsidRPr="00B60612">
        <w:rPr>
          <w:rtl/>
        </w:rPr>
        <w:t xml:space="preserve"> ، ج 1 ، ص 10 ، ح 13 </w:t>
      </w:r>
      <w:r w:rsidR="007642BC" w:rsidRPr="00B60612">
        <w:rPr>
          <w:rtl/>
        </w:rPr>
        <w:t>-</w:t>
      </w:r>
      <w:r w:rsidRPr="00B60612">
        <w:rPr>
          <w:rtl/>
        </w:rPr>
        <w:t xml:space="preserve"> بعين الألفاظ </w:t>
      </w:r>
      <w:r w:rsidR="007642BC" w:rsidRPr="00B60612">
        <w:rPr>
          <w:rtl/>
        </w:rPr>
        <w:t>-</w:t>
      </w:r>
      <w:r w:rsidRPr="00B60612">
        <w:rPr>
          <w:rtl/>
        </w:rPr>
        <w:t xml:space="preserve"> بسند آخر عن أحمد بن محمّد ، عن البرقي ، عن عبدالله بن سنان ، والظاهر عدم صحّة ذلك ، وأنّ الأصل في العنوان كان « ابن سنان » وفُسِّر في الهامش بعبدالله. ثمّ ا</w:t>
      </w:r>
      <w:r w:rsidR="00D16FFF" w:rsidRPr="00B60612">
        <w:rPr>
          <w:rFonts w:hint="cs"/>
          <w:rtl/>
        </w:rPr>
        <w:t>ُ</w:t>
      </w:r>
      <w:r w:rsidRPr="00B60612">
        <w:rPr>
          <w:rtl/>
        </w:rPr>
        <w:t>درجت لفظة « عبدالله ». في المتن ، بتوهّم سقوطها منه.</w:t>
      </w:r>
    </w:p>
    <w:p w:rsidR="00E3253D" w:rsidRPr="005D642E" w:rsidRDefault="00E3253D" w:rsidP="00E3253D">
      <w:pPr>
        <w:pStyle w:val="libFootnote0"/>
        <w:rPr>
          <w:rtl/>
          <w:lang w:bidi="fa-IR"/>
        </w:rPr>
      </w:pPr>
      <w:r w:rsidRPr="00B60612">
        <w:rPr>
          <w:rtl/>
        </w:rPr>
        <w:t xml:space="preserve">يؤيّد ذلك قلّة اجتماع العنوانين </w:t>
      </w:r>
      <w:r w:rsidR="007642BC" w:rsidRPr="00B60612">
        <w:rPr>
          <w:rtl/>
        </w:rPr>
        <w:t>-</w:t>
      </w:r>
      <w:r w:rsidRPr="00B60612">
        <w:rPr>
          <w:rtl/>
        </w:rPr>
        <w:t xml:space="preserve"> محمّد بن خالد وعبدالله بن سنان </w:t>
      </w:r>
      <w:r w:rsidR="007642BC" w:rsidRPr="00B60612">
        <w:rPr>
          <w:rtl/>
        </w:rPr>
        <w:t>-</w:t>
      </w:r>
      <w:r w:rsidRPr="00B60612">
        <w:rPr>
          <w:rtl/>
        </w:rPr>
        <w:t xml:space="preserve"> في سند واحد ، وعدم ثبوت رواية محمّد بن خالد ، عن عبدالله بن سنان مباشرةً ، بل الثابت روايته عنه بالتوسّط ، كما في </w:t>
      </w:r>
      <w:r w:rsidRPr="002F4D34">
        <w:rPr>
          <w:rStyle w:val="libFootnoteBoldChar"/>
          <w:rtl/>
        </w:rPr>
        <w:t>المحاسن</w:t>
      </w:r>
      <w:r w:rsidRPr="00B60612">
        <w:rPr>
          <w:rtl/>
        </w:rPr>
        <w:t xml:space="preserve"> ، ص 304 ، ح 13 ؛ وص 429 ، ح 247 ؛ وص 528 ، ح 766.</w:t>
      </w:r>
    </w:p>
    <w:p w:rsidR="00E3253D" w:rsidRPr="005D642E" w:rsidRDefault="00E3253D" w:rsidP="00D16FFF">
      <w:pPr>
        <w:pStyle w:val="libFootnote0"/>
        <w:rPr>
          <w:rtl/>
          <w:lang w:bidi="fa-IR"/>
        </w:rPr>
      </w:pPr>
      <w:r w:rsidRPr="00B60612">
        <w:rPr>
          <w:rtl/>
        </w:rPr>
        <w:t xml:space="preserve">ثمّ إنّ ما ورد في </w:t>
      </w:r>
      <w:r w:rsidRPr="002F4D34">
        <w:rPr>
          <w:rStyle w:val="libFootnoteBoldChar"/>
          <w:rtl/>
        </w:rPr>
        <w:t>معاني الأخبار</w:t>
      </w:r>
      <w:r w:rsidRPr="00B60612">
        <w:rPr>
          <w:rtl/>
        </w:rPr>
        <w:t xml:space="preserve"> ، ص 172 ، ح 1 ، من رواية أحمد بن محمّد بن خالد ، عن أبيه ، عن عبدالله بن سنان ، عن خلف بن حمّاد ، فالظاهر وقوع خللٍ فيه ؛ فقد روى محمّد بن خالد كتاب خلف بن حمّاد ، ووردت روايته عنه في عددٍ من الأسناد ، ووردت في </w:t>
      </w:r>
      <w:r w:rsidRPr="002F4D34">
        <w:rPr>
          <w:rStyle w:val="libFootnoteBoldChar"/>
          <w:rtl/>
        </w:rPr>
        <w:t>الكافي</w:t>
      </w:r>
      <w:r w:rsidRPr="00B60612">
        <w:rPr>
          <w:rtl/>
        </w:rPr>
        <w:t xml:space="preserve"> ، ح 14470 ؛ </w:t>
      </w:r>
      <w:r w:rsidR="00B60612" w:rsidRPr="00B60612">
        <w:rPr>
          <w:rStyle w:val="libFootnoteBoldChar"/>
          <w:rtl/>
        </w:rPr>
        <w:t>والتهذيب</w:t>
      </w:r>
      <w:r w:rsidRPr="002F4D34">
        <w:rPr>
          <w:rStyle w:val="libFootnoteBoldChar"/>
          <w:rtl/>
        </w:rPr>
        <w:t xml:space="preserve"> </w:t>
      </w:r>
      <w:r w:rsidRPr="00B60612">
        <w:rPr>
          <w:rtl/>
        </w:rPr>
        <w:t xml:space="preserve">، ج 3 ، ص 330 ، ح 1033 ، رواية محمّد بن خالد عن خلف بن حمّاد ، عن عبدالله بن سنان. راجع : </w:t>
      </w:r>
      <w:r w:rsidR="0059794D" w:rsidRPr="0059794D">
        <w:rPr>
          <w:rStyle w:val="libFootnoteBoldChar"/>
          <w:rtl/>
        </w:rPr>
        <w:t>الفهرست للطوسي</w:t>
      </w:r>
      <w:r w:rsidRPr="00B60612">
        <w:rPr>
          <w:rtl/>
        </w:rPr>
        <w:t xml:space="preserve"> ، ص 176 ، الرقم 272 ؛ </w:t>
      </w:r>
      <w:r w:rsidRPr="002F4D34">
        <w:rPr>
          <w:rStyle w:val="libFootnoteBoldChar"/>
          <w:rtl/>
        </w:rPr>
        <w:t>معجم رجال الحديث</w:t>
      </w:r>
      <w:r w:rsidRPr="00B60612">
        <w:rPr>
          <w:rtl/>
        </w:rPr>
        <w:t xml:space="preserve"> ، ج 16 ، ص 356.</w:t>
      </w:r>
      <w:r w:rsidR="00D16FFF" w:rsidRPr="00B60612">
        <w:rPr>
          <w:rFonts w:hint="cs"/>
          <w:rtl/>
        </w:rPr>
        <w:t xml:space="preserve">                  </w:t>
      </w:r>
      <w:r w:rsidR="0042621E" w:rsidRPr="0042621E">
        <w:rPr>
          <w:rStyle w:val="libFootnote0Char"/>
          <w:rtl/>
        </w:rPr>
        <w:t>(5).</w:t>
      </w:r>
      <w:r w:rsidRPr="005D642E">
        <w:rPr>
          <w:rtl/>
        </w:rPr>
        <w:t xml:space="preserve"> في الوافي </w:t>
      </w:r>
      <w:r w:rsidR="00B60612" w:rsidRPr="00B60612">
        <w:rPr>
          <w:rStyle w:val="libFootnoteBoldChar"/>
          <w:rtl/>
        </w:rPr>
        <w:t>والتهذيب</w:t>
      </w:r>
      <w:r w:rsidRPr="005D642E">
        <w:rPr>
          <w:rtl/>
        </w:rPr>
        <w:t xml:space="preserve"> ، ح 101 : + « قدر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w:t>
      </w:r>
      <w:r w:rsidRPr="007C12DB">
        <w:rPr>
          <w:rStyle w:val="libFootnotenumChar"/>
          <w:rtl/>
        </w:rPr>
        <w:t>(1)</w:t>
      </w:r>
      <w:r w:rsidRPr="005D642E">
        <w:rPr>
          <w:rtl/>
          <w:lang w:bidi="fa-IR"/>
        </w:rPr>
        <w:t xml:space="preserve"> : « كُرٌّ »</w:t>
      </w:r>
      <w:r>
        <w:rPr>
          <w:rtl/>
          <w:lang w:bidi="fa-IR"/>
        </w:rPr>
        <w:t>.</w:t>
      </w:r>
    </w:p>
    <w:p w:rsidR="00E3253D" w:rsidRPr="005D642E" w:rsidRDefault="00E3253D" w:rsidP="00E3253D">
      <w:pPr>
        <w:pStyle w:val="libNormal"/>
        <w:rPr>
          <w:rtl/>
          <w:lang w:bidi="fa-IR"/>
        </w:rPr>
      </w:pPr>
      <w:r w:rsidRPr="005D642E">
        <w:rPr>
          <w:rtl/>
          <w:lang w:bidi="fa-IR"/>
        </w:rPr>
        <w:t xml:space="preserve">قُلْتُ : وَمَا </w:t>
      </w:r>
      <w:r w:rsidRPr="007C12DB">
        <w:rPr>
          <w:rStyle w:val="libFootnotenumChar"/>
          <w:rtl/>
        </w:rPr>
        <w:t>(2)</w:t>
      </w:r>
      <w:r w:rsidRPr="005D642E">
        <w:rPr>
          <w:rtl/>
          <w:lang w:bidi="fa-IR"/>
        </w:rPr>
        <w:t xml:space="preserve"> الْكُرُّ</w:t>
      </w:r>
      <w:r>
        <w:rPr>
          <w:rtl/>
          <w:lang w:bidi="fa-IR"/>
        </w:rPr>
        <w:t>؟</w:t>
      </w:r>
      <w:r w:rsidRPr="005D642E">
        <w:rPr>
          <w:rtl/>
          <w:lang w:bidi="fa-IR"/>
        </w:rPr>
        <w:t xml:space="preserve"> قَالَ : « ثَلَاثَةُ أَشْبَارٍ فِي ثَلَاثَةِ أَشْبَارٍ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AA19AE">
        <w:rPr>
          <w:rtl/>
        </w:rPr>
        <w:t>3814</w:t>
      </w:r>
      <w:r w:rsidRPr="00246318">
        <w:rPr>
          <w:rStyle w:val="libBold2Char"/>
          <w:rtl/>
        </w:rPr>
        <w:t xml:space="preserve"> / 8.</w:t>
      </w:r>
      <w:r w:rsidRPr="005D642E">
        <w:rPr>
          <w:rtl/>
          <w:lang w:bidi="fa-IR"/>
        </w:rPr>
        <w:t xml:space="preserve"> عَلِيُّ بْنُ إِبْرَاهِيمَ ، عَنْ أَبِيهِ ، عَنْ عَبْدِ اللهِ بْنِ الْمُغِيرَةِ ، عَنْ بَعْضِ أَصْحَابِنَا :</w:t>
      </w:r>
    </w:p>
    <w:p w:rsidR="00E3253D" w:rsidRPr="005D642E" w:rsidRDefault="00E3253D" w:rsidP="00014A0B">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الْكُرُّ مِنَ الْمَاءِ نَحْوُ حُبِّي </w:t>
      </w:r>
      <w:r w:rsidRPr="007C12DB">
        <w:rPr>
          <w:rStyle w:val="libFootnotenumChar"/>
          <w:rtl/>
        </w:rPr>
        <w:t>(5)</w:t>
      </w:r>
      <w:r w:rsidRPr="005D642E">
        <w:rPr>
          <w:rtl/>
          <w:lang w:bidi="fa-IR"/>
        </w:rPr>
        <w:t xml:space="preserve"> هذَا » وَأَشَارَ بِيَدِهِ </w:t>
      </w:r>
      <w:r w:rsidRPr="007C12DB">
        <w:rPr>
          <w:rStyle w:val="libFootnotenumChar"/>
          <w:rtl/>
        </w:rPr>
        <w:t>(6)</w:t>
      </w:r>
      <w:r w:rsidRPr="005D642E">
        <w:rPr>
          <w:rtl/>
          <w:lang w:bidi="fa-IR"/>
        </w:rPr>
        <w:t xml:space="preserve"> إِلى حُبٍّ مِنْ تِلْكَ الْحِبَابِ الَّتِي تَكُونُ بِالْمَدِينَةِ </w:t>
      </w:r>
      <w:r w:rsidRPr="007C12DB">
        <w:rPr>
          <w:rStyle w:val="libFootnotenumChar"/>
          <w:rtl/>
        </w:rPr>
        <w:t>(7)</w:t>
      </w:r>
      <w:r w:rsidR="00014A0B">
        <w:rPr>
          <w:rFonts w:hint="cs"/>
          <w:rtl/>
          <w:lang w:bidi="fa-IR"/>
        </w:rPr>
        <w:t>.</w:t>
      </w:r>
      <w:r w:rsidRPr="007C12DB">
        <w:rPr>
          <w:rStyle w:val="libFootnotenumChar"/>
          <w:rtl/>
        </w:rPr>
        <w:t>(8)</w:t>
      </w:r>
      <w:r w:rsidRPr="005D642E">
        <w:rPr>
          <w:rtl/>
          <w:lang w:bidi="fa-IR"/>
        </w:rPr>
        <w:t xml:space="preserve"> ‌</w:t>
      </w:r>
    </w:p>
    <w:p w:rsidR="00E3253D" w:rsidRDefault="00E3253D" w:rsidP="00E3253D">
      <w:pPr>
        <w:pStyle w:val="Heading2Center"/>
        <w:rPr>
          <w:rtl/>
          <w:lang w:bidi="fa-IR"/>
        </w:rPr>
      </w:pPr>
      <w:bookmarkStart w:id="13" w:name="_Toc344647215"/>
      <w:bookmarkStart w:id="14" w:name="_Toc462226730"/>
      <w:bookmarkStart w:id="15" w:name="_Toc40975836"/>
      <w:r w:rsidRPr="005D642E">
        <w:rPr>
          <w:rtl/>
          <w:lang w:bidi="fa-IR"/>
        </w:rPr>
        <w:t>3</w:t>
      </w:r>
      <w:r>
        <w:rPr>
          <w:rtl/>
          <w:lang w:bidi="fa-IR"/>
        </w:rPr>
        <w:t xml:space="preserve"> </w:t>
      </w:r>
      <w:r w:rsidR="007642BC">
        <w:rPr>
          <w:rtl/>
          <w:lang w:bidi="fa-IR"/>
        </w:rPr>
        <w:t>-</w:t>
      </w:r>
      <w:r>
        <w:rPr>
          <w:rtl/>
          <w:lang w:bidi="fa-IR"/>
        </w:rPr>
        <w:t xml:space="preserve"> </w:t>
      </w:r>
      <w:r w:rsidRPr="005D642E">
        <w:rPr>
          <w:rtl/>
          <w:lang w:bidi="fa-IR"/>
        </w:rPr>
        <w:t xml:space="preserve">بَابُ الْمَاءِ الَّذِي تَكُونُ </w:t>
      </w:r>
      <w:r w:rsidRPr="007C12DB">
        <w:rPr>
          <w:rStyle w:val="libFootnotenumChar"/>
          <w:rtl/>
        </w:rPr>
        <w:t>(9)</w:t>
      </w:r>
      <w:r>
        <w:rPr>
          <w:rtl/>
        </w:rPr>
        <w:t xml:space="preserve"> </w:t>
      </w:r>
      <w:r w:rsidRPr="005D642E">
        <w:rPr>
          <w:rtl/>
          <w:lang w:bidi="fa-IR"/>
        </w:rPr>
        <w:t xml:space="preserve">فِيهِ قِلَّةٌ ، وَالْمَاءِ الَّذِي </w:t>
      </w:r>
      <w:r w:rsidRPr="007C12DB">
        <w:rPr>
          <w:rStyle w:val="libFootnotenumChar"/>
          <w:rtl/>
        </w:rPr>
        <w:t>(10)</w:t>
      </w:r>
      <w:r>
        <w:rPr>
          <w:rtl/>
        </w:rPr>
        <w:t xml:space="preserve"> </w:t>
      </w:r>
      <w:r w:rsidRPr="005D642E">
        <w:rPr>
          <w:rtl/>
          <w:lang w:bidi="fa-IR"/>
        </w:rPr>
        <w:t xml:space="preserve">فِيهِ الْجِيَفُ </w:t>
      </w:r>
      <w:r w:rsidRPr="007C12DB">
        <w:rPr>
          <w:rStyle w:val="libFootnotenumChar"/>
          <w:rtl/>
        </w:rPr>
        <w:t>(11)</w:t>
      </w:r>
      <w:r>
        <w:rPr>
          <w:rtl/>
        </w:rPr>
        <w:t xml:space="preserve"> </w:t>
      </w:r>
      <w:r w:rsidRPr="005D642E">
        <w:rPr>
          <w:rtl/>
          <w:lang w:bidi="fa-IR"/>
        </w:rPr>
        <w:t>،</w:t>
      </w:r>
      <w:bookmarkEnd w:id="13"/>
      <w:bookmarkEnd w:id="14"/>
      <w:bookmarkEnd w:id="15"/>
      <w:r w:rsidRPr="005D642E">
        <w:rPr>
          <w:rtl/>
          <w:lang w:bidi="fa-IR"/>
        </w:rPr>
        <w:t xml:space="preserve"> </w:t>
      </w:r>
    </w:p>
    <w:p w:rsidR="00E3253D" w:rsidRPr="005D642E" w:rsidRDefault="00E3253D" w:rsidP="00E3253D">
      <w:pPr>
        <w:pStyle w:val="Heading2Center"/>
        <w:rPr>
          <w:rtl/>
          <w:lang w:bidi="fa-IR"/>
        </w:rPr>
      </w:pPr>
      <w:bookmarkStart w:id="16" w:name="_Toc344647216"/>
      <w:bookmarkStart w:id="17" w:name="_Toc462226731"/>
      <w:bookmarkStart w:id="18" w:name="_Toc40975837"/>
      <w:r w:rsidRPr="005D642E">
        <w:rPr>
          <w:rtl/>
          <w:lang w:bidi="fa-IR"/>
        </w:rPr>
        <w:t xml:space="preserve">وَالرَّجُلُ </w:t>
      </w:r>
      <w:r w:rsidRPr="007C12DB">
        <w:rPr>
          <w:rStyle w:val="libFootnotenumChar"/>
          <w:rtl/>
        </w:rPr>
        <w:t>(12)</w:t>
      </w:r>
      <w:r>
        <w:rPr>
          <w:rtl/>
        </w:rPr>
        <w:t xml:space="preserve"> </w:t>
      </w:r>
      <w:r w:rsidRPr="005D642E">
        <w:rPr>
          <w:rtl/>
          <w:lang w:bidi="fa-IR"/>
        </w:rPr>
        <w:t>يَأْتِي الْمَاءَ وَيَدُهُ قَذِرَةٌ‌</w:t>
      </w:r>
      <w:bookmarkEnd w:id="16"/>
      <w:bookmarkEnd w:id="17"/>
      <w:bookmarkEnd w:id="18"/>
    </w:p>
    <w:p w:rsidR="00E3253D" w:rsidRPr="005D642E" w:rsidRDefault="00E3253D" w:rsidP="00E3253D">
      <w:pPr>
        <w:pStyle w:val="libNormal"/>
        <w:rPr>
          <w:rtl/>
          <w:lang w:bidi="fa-IR"/>
        </w:rPr>
      </w:pPr>
      <w:r w:rsidRPr="00AA19AE">
        <w:rPr>
          <w:rtl/>
        </w:rPr>
        <w:t>3815</w:t>
      </w:r>
      <w:r w:rsidRPr="00246318">
        <w:rPr>
          <w:rStyle w:val="libBold2Char"/>
          <w:rtl/>
        </w:rPr>
        <w:t xml:space="preserve"> / 1.</w:t>
      </w:r>
      <w:r w:rsidRPr="005D642E">
        <w:rPr>
          <w:rtl/>
          <w:lang w:bidi="fa-IR"/>
        </w:rPr>
        <w:t xml:space="preserve"> عِدَّةٌ مِنْ أَصْحَابِنَا ، عَنْ أَحْمَدَ بْنِ مُحَمَّدٍ ، عَنْ عَلِيِّ بْنِ الْحَكَمِ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الوافي والوسائل </w:t>
      </w:r>
      <w:r w:rsidR="00B60612" w:rsidRPr="00B60612">
        <w:rPr>
          <w:rStyle w:val="libFootnoteBoldChar"/>
          <w:rtl/>
        </w:rPr>
        <w:t>والتهذيب</w:t>
      </w:r>
      <w:r w:rsidR="00E3253D" w:rsidRPr="005D642E">
        <w:rPr>
          <w:rtl/>
        </w:rPr>
        <w:t xml:space="preserve"> ، ح 101 : « فقال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 ح 101 : « وكم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الوافي</w:t>
      </w:r>
      <w:r w:rsidR="00E3253D" w:rsidRPr="005D642E">
        <w:rPr>
          <w:rtl/>
        </w:rPr>
        <w:t xml:space="preserve"> : « لعلّ السكوت عن البعد الثالث لفرض المحلّ مستديراً بل بئراً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41 ، ح 115 ؛ </w:t>
      </w:r>
      <w:r w:rsidR="00E3253D" w:rsidRPr="00E678B5">
        <w:rPr>
          <w:rStyle w:val="libFootnoteBoldChar"/>
          <w:rtl/>
        </w:rPr>
        <w:t>والاستبصار</w:t>
      </w:r>
      <w:r w:rsidR="00E3253D" w:rsidRPr="005D642E">
        <w:rPr>
          <w:rtl/>
        </w:rPr>
        <w:t xml:space="preserve"> ، ج 1 ، ص 10 ، ح 13 ، بسندهما عن محمّد بن أحمد بن يحيى ، عن أحمد بن محمّد ؛ </w:t>
      </w:r>
      <w:r w:rsidR="00E3253D" w:rsidRPr="002F4D34">
        <w:rPr>
          <w:rStyle w:val="libFootnoteBoldChar"/>
          <w:rtl/>
        </w:rPr>
        <w:t>التهذيب</w:t>
      </w:r>
      <w:r w:rsidR="00E3253D" w:rsidRPr="005D642E">
        <w:rPr>
          <w:rtl/>
        </w:rPr>
        <w:t xml:space="preserve"> ، ج 1 ، ص 37 ، ح 101 ، بسنده عن أحمد بن محمّد ، عن محمّد بن خالد ، عن محمّد بن سنان </w:t>
      </w:r>
      <w:r w:rsidR="00014A0B">
        <w:rPr>
          <w:rFonts w:hint="cs"/>
          <w:rtl/>
        </w:rPr>
        <w:t>.</w:t>
      </w:r>
      <w:r w:rsidR="00E3253D" w:rsidRPr="002F4D34">
        <w:rPr>
          <w:rStyle w:val="libFootnoteBoldChar"/>
          <w:rtl/>
        </w:rPr>
        <w:t>الوافي</w:t>
      </w:r>
      <w:r w:rsidR="00E3253D" w:rsidRPr="005D642E">
        <w:rPr>
          <w:rtl/>
        </w:rPr>
        <w:t xml:space="preserve"> ، ج 6 ، ص 35 ، ح 3701 ؛ </w:t>
      </w:r>
      <w:r w:rsidR="00E3253D" w:rsidRPr="002F4D34">
        <w:rPr>
          <w:rStyle w:val="libFootnoteBoldChar"/>
          <w:rtl/>
        </w:rPr>
        <w:t>الوسائل</w:t>
      </w:r>
      <w:r w:rsidR="00E3253D" w:rsidRPr="005D642E">
        <w:rPr>
          <w:rtl/>
        </w:rPr>
        <w:t xml:space="preserve"> ، ج 1 ، ص 159 ، ح 397.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الحُبّ » : الجَرَّة الضخمة ، وهي إناء من خَزَف له بطن كبير وعروتان وفم واسع ، فارسيّ معرّب ، أصله حُنْب‌فعرّب. والخَزَف : الطين المعمول آنية قبل أن يطبخ وهو الصلصال. وقيل : الحُبّ هو الذي يجعل فيه الماء ، فلم ينوَّع. راجع : </w:t>
      </w:r>
      <w:r w:rsidR="00E3253D" w:rsidRPr="002F4D34">
        <w:rPr>
          <w:rStyle w:val="libFootnoteBoldChar"/>
          <w:rtl/>
        </w:rPr>
        <w:t>لسان العرب</w:t>
      </w:r>
      <w:r w:rsidR="00E3253D" w:rsidRPr="005D642E">
        <w:rPr>
          <w:rtl/>
        </w:rPr>
        <w:t xml:space="preserve"> ، ج 1 ، ص 295 ( حبب ) ؛ </w:t>
      </w:r>
      <w:r w:rsidR="00E3253D" w:rsidRPr="002F4D34">
        <w:rPr>
          <w:rStyle w:val="libFootnoteBoldChar"/>
          <w:rtl/>
        </w:rPr>
        <w:t>المصباح المنير</w:t>
      </w:r>
      <w:r w:rsidR="00E3253D" w:rsidRPr="005D642E">
        <w:rPr>
          <w:rtl/>
        </w:rPr>
        <w:t xml:space="preserve"> ، ص 168 ( خزف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بخ ، بس ، بف ، جح ، جس ، جن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بيده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في المدينة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42 ، ح 118 ؛ </w:t>
      </w:r>
      <w:r w:rsidR="00E3253D" w:rsidRPr="00E678B5">
        <w:rPr>
          <w:rStyle w:val="libFootnoteBoldChar"/>
          <w:rtl/>
        </w:rPr>
        <w:t>والاستبصار</w:t>
      </w:r>
      <w:r w:rsidR="00E3253D" w:rsidRPr="005D642E">
        <w:rPr>
          <w:rtl/>
        </w:rPr>
        <w:t xml:space="preserve"> ، ج 1 ، ص 7 ، ح 5 ، بسندهما عن الكليني </w:t>
      </w:r>
      <w:r w:rsidR="003863E4">
        <w:rPr>
          <w:rFonts w:hint="cs"/>
          <w:rtl/>
        </w:rPr>
        <w:t>.</w:t>
      </w:r>
      <w:r w:rsidR="00E3253D" w:rsidRPr="002F4D34">
        <w:rPr>
          <w:rStyle w:val="libFootnoteBoldChar"/>
          <w:rtl/>
        </w:rPr>
        <w:t>الوافي</w:t>
      </w:r>
      <w:r w:rsidR="00E3253D" w:rsidRPr="005D642E">
        <w:rPr>
          <w:rtl/>
        </w:rPr>
        <w:t xml:space="preserve"> ، ج 6 ، ص 37 ، ح 3705 ؛ </w:t>
      </w:r>
      <w:r w:rsidR="00E3253D" w:rsidRPr="002F4D34">
        <w:rPr>
          <w:rStyle w:val="libFootnoteBoldChar"/>
          <w:rtl/>
        </w:rPr>
        <w:t>الوسائل</w:t>
      </w:r>
      <w:r w:rsidR="00E3253D" w:rsidRPr="005D642E">
        <w:rPr>
          <w:rtl/>
        </w:rPr>
        <w:t xml:space="preserve"> ، ج 1 ، ص 166 ، ح 414.</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ى ، بح ، بخ ، جن » :</w:t>
      </w:r>
      <w:r w:rsidR="00E3253D">
        <w:rPr>
          <w:rtl/>
        </w:rPr>
        <w:t xml:space="preserve"> </w:t>
      </w:r>
      <w:r w:rsidR="007642BC">
        <w:rPr>
          <w:rtl/>
        </w:rPr>
        <w:t>-</w:t>
      </w:r>
      <w:r w:rsidR="00E3253D">
        <w:rPr>
          <w:rtl/>
        </w:rPr>
        <w:t xml:space="preserve"> </w:t>
      </w:r>
      <w:r w:rsidR="00E3253D" w:rsidRPr="005D642E">
        <w:rPr>
          <w:rtl/>
        </w:rPr>
        <w:t>« تكون »</w:t>
      </w:r>
      <w:r w:rsidR="00E3253D">
        <w:rPr>
          <w:rtl/>
        </w:rPr>
        <w:t>.</w:t>
      </w:r>
      <w:r w:rsidR="00E3253D" w:rsidRPr="005D642E">
        <w:rPr>
          <w:rtl/>
        </w:rPr>
        <w:t xml:space="preserve"> وفي « جس » : « يكون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بخ » : + « يكون »</w:t>
      </w:r>
      <w:r w:rsidR="00E3253D">
        <w:rPr>
          <w:rtl/>
        </w:rPr>
        <w:t>.</w:t>
      </w:r>
    </w:p>
    <w:p w:rsidR="00E3253D" w:rsidRPr="005D642E" w:rsidRDefault="0042621E" w:rsidP="00380455">
      <w:pPr>
        <w:pStyle w:val="libFootnote0"/>
        <w:rPr>
          <w:rtl/>
          <w:lang w:bidi="fa-IR"/>
        </w:rPr>
      </w:pPr>
      <w:r w:rsidRPr="0042621E">
        <w:rPr>
          <w:rStyle w:val="libFootnote0Char"/>
          <w:rtl/>
        </w:rPr>
        <w:t>(11).</w:t>
      </w:r>
      <w:r w:rsidR="00E3253D" w:rsidRPr="005D642E">
        <w:rPr>
          <w:rtl/>
        </w:rPr>
        <w:t xml:space="preserve"> الجِيَف : جمع الجِيفة ، وهي جثّة الميّت ، وقيل : هي جثّة الميّت إذا أنتنت ، وقيل : هي الميتة من الدوابّ والمواشي إذا أنتنت ، سمّيت بذلك لتغيّر ما في جوفها. راجع : </w:t>
      </w:r>
      <w:r w:rsidR="00E3253D" w:rsidRPr="002F4D34">
        <w:rPr>
          <w:rStyle w:val="libFootnoteBoldChar"/>
          <w:rtl/>
        </w:rPr>
        <w:t>لسان العرب</w:t>
      </w:r>
      <w:r w:rsidR="00E3253D" w:rsidRPr="005D642E">
        <w:rPr>
          <w:rtl/>
        </w:rPr>
        <w:t xml:space="preserve"> ، ج 9 ، ص 37 ؛ </w:t>
      </w:r>
      <w:r w:rsidR="00E3253D" w:rsidRPr="002F4D34">
        <w:rPr>
          <w:rStyle w:val="libFootnoteBoldChar"/>
          <w:rtl/>
        </w:rPr>
        <w:t>المصباح المنير</w:t>
      </w:r>
      <w:r w:rsidR="00E3253D" w:rsidRPr="005D642E">
        <w:rPr>
          <w:rtl/>
        </w:rPr>
        <w:t xml:space="preserve"> ، ص 116 ( جيف )</w:t>
      </w:r>
      <w:r w:rsidR="00E3253D">
        <w:rPr>
          <w:rtl/>
        </w:rPr>
        <w:t>.</w:t>
      </w:r>
      <w:r w:rsidR="00380455">
        <w:rPr>
          <w:rFonts w:hint="cs"/>
          <w:rtl/>
        </w:rPr>
        <w:t xml:space="preserve">                      </w:t>
      </w:r>
      <w:r w:rsidR="00504F0C">
        <w:rPr>
          <w:rFonts w:hint="cs"/>
          <w:rtl/>
        </w:rPr>
        <w:t xml:space="preserve">         </w:t>
      </w:r>
      <w:r w:rsidRPr="0042621E">
        <w:rPr>
          <w:rStyle w:val="libFootnote0Char"/>
          <w:rtl/>
        </w:rPr>
        <w:t>(12).</w:t>
      </w:r>
      <w:r w:rsidR="00E3253D" w:rsidRPr="005D642E">
        <w:rPr>
          <w:rtl/>
        </w:rPr>
        <w:t xml:space="preserve"> في « جس » : « ومَن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عَبْدِ اللهِ بْنِ يَحْيَى الْكَاهِلِيِّ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أَتَيْتَ مَاءً وَفِيهِ قِلَّةٌ ، فَانْضَحْ </w:t>
      </w:r>
      <w:r w:rsidRPr="007C12DB">
        <w:rPr>
          <w:rStyle w:val="libFootnotenumChar"/>
          <w:rtl/>
        </w:rPr>
        <w:t>(1)</w:t>
      </w:r>
      <w:r w:rsidRPr="005D642E">
        <w:rPr>
          <w:rtl/>
          <w:lang w:bidi="fa-IR"/>
        </w:rPr>
        <w:t xml:space="preserve"> عَنْ يَمِينِكَ ، وَعَنْ يَسَارِكَ ، وَبَيْنَ يَدَيْكَ ، وَتَوَضَّأْ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AA19AE">
        <w:rPr>
          <w:rtl/>
        </w:rPr>
        <w:t>3816</w:t>
      </w:r>
      <w:r w:rsidRPr="00246318">
        <w:rPr>
          <w:rStyle w:val="libBold2Char"/>
          <w:rtl/>
        </w:rPr>
        <w:t xml:space="preserve"> / 2.</w:t>
      </w:r>
      <w:r w:rsidRPr="005D642E">
        <w:rPr>
          <w:rtl/>
          <w:lang w:bidi="fa-IR"/>
        </w:rPr>
        <w:t xml:space="preserve"> عَلِيُّ بْنُ إِبْرَاهِيمَ ، عَنْ أَبِيهِ ، عَنْ عَبْدِ اللهِ بْنِ الْمُغِيرَةِ ، عَنِ ابْنِ مُسْكَانَ ، قَالَ :</w:t>
      </w:r>
      <w:r>
        <w:rPr>
          <w:rFonts w:hint="cs"/>
          <w:rtl/>
          <w:lang w:bidi="fa-IR"/>
        </w:rPr>
        <w:t xml:space="preserve"> </w:t>
      </w:r>
      <w:r w:rsidRPr="005D642E">
        <w:rPr>
          <w:rtl/>
          <w:lang w:bidi="fa-IR"/>
        </w:rPr>
        <w:t xml:space="preserve">حَدَّثَنِي مُحَمَّدُ بْنُ مُيَسِّرٍ </w:t>
      </w:r>
      <w:r w:rsidRPr="007C12DB">
        <w:rPr>
          <w:rStyle w:val="libFootnotenumChar"/>
          <w:rtl/>
        </w:rPr>
        <w:t>(4)</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الْجُنُبِ يَنْتَهِي إِلَى الْمَاءِ الْقَلِيلِ فِي الطَّرِيقِ ، وَيُرِيدُ أَنْ يَغْتَسِلَ مِنْهُ ، وَلَيْسَ مَعَهُ إِنَاءٌ يَغْرِفُ </w:t>
      </w:r>
      <w:r w:rsidRPr="007C12DB">
        <w:rPr>
          <w:rStyle w:val="libFootnotenumChar"/>
          <w:rtl/>
        </w:rPr>
        <w:t>(5)</w:t>
      </w:r>
      <w:r w:rsidRPr="005D642E">
        <w:rPr>
          <w:rtl/>
          <w:lang w:bidi="fa-IR"/>
        </w:rPr>
        <w:t xml:space="preserve"> بِهِ وَيَدَاهُ قَذِرَتَانِ </w:t>
      </w:r>
      <w:r w:rsidRPr="007C12DB">
        <w:rPr>
          <w:rStyle w:val="libFootnotenumChar"/>
          <w:rtl/>
        </w:rPr>
        <w:t>(6)</w:t>
      </w:r>
      <w:r>
        <w:rPr>
          <w:rtl/>
          <w:lang w:bidi="fa-IR"/>
        </w:rPr>
        <w:t>؟</w:t>
      </w:r>
    </w:p>
    <w:p w:rsidR="00E3253D" w:rsidRPr="005D642E" w:rsidRDefault="00E3253D" w:rsidP="00504F0C">
      <w:pPr>
        <w:pStyle w:val="libNormal"/>
        <w:rPr>
          <w:rtl/>
          <w:lang w:bidi="fa-IR"/>
        </w:rPr>
      </w:pPr>
      <w:r w:rsidRPr="005D642E">
        <w:rPr>
          <w:rtl/>
          <w:lang w:bidi="fa-IR"/>
        </w:rPr>
        <w:t xml:space="preserve">قَالَ : « يَضَعُ </w:t>
      </w:r>
      <w:r w:rsidRPr="007C12DB">
        <w:rPr>
          <w:rStyle w:val="libFootnotenumChar"/>
          <w:rtl/>
        </w:rPr>
        <w:t>(7)</w:t>
      </w:r>
      <w:r w:rsidRPr="005D642E">
        <w:rPr>
          <w:rtl/>
          <w:lang w:bidi="fa-IR"/>
        </w:rPr>
        <w:t xml:space="preserve"> يَدَهُ وَيَتَوَضَّأُ </w:t>
      </w:r>
      <w:r w:rsidRPr="007C12DB">
        <w:rPr>
          <w:rStyle w:val="libFootnotenumChar"/>
          <w:rtl/>
        </w:rPr>
        <w:t>(8)</w:t>
      </w:r>
      <w:r w:rsidRPr="005D642E">
        <w:rPr>
          <w:rtl/>
          <w:lang w:bidi="fa-IR"/>
        </w:rPr>
        <w:t xml:space="preserve"> ، ثُمَّ يَغْتَسِلُ </w:t>
      </w:r>
      <w:r w:rsidRPr="007C12DB">
        <w:rPr>
          <w:rStyle w:val="libFootnotenumChar"/>
          <w:rtl/>
        </w:rPr>
        <w:t>(9)</w:t>
      </w:r>
      <w:r w:rsidRPr="005D642E">
        <w:rPr>
          <w:rtl/>
          <w:lang w:bidi="fa-IR"/>
        </w:rPr>
        <w:t xml:space="preserve"> ، هذَا مِمَّا </w:t>
      </w:r>
      <w:r w:rsidRPr="007C12DB">
        <w:rPr>
          <w:rStyle w:val="libFootnotenumChar"/>
          <w:rtl/>
        </w:rPr>
        <w:t>(10)</w:t>
      </w:r>
      <w:r w:rsidRPr="005D642E">
        <w:rPr>
          <w:rtl/>
          <w:lang w:bidi="fa-IR"/>
        </w:rPr>
        <w:t xml:space="preserve"> قَالَ اللهُ عَزَّ وَجَلَّ : </w:t>
      </w:r>
      <w:r w:rsidR="00504F0C" w:rsidRPr="00504F0C">
        <w:rPr>
          <w:rStyle w:val="libAlaemChar"/>
          <w:rFonts w:hint="cs"/>
          <w:rtl/>
        </w:rPr>
        <w:t>(</w:t>
      </w:r>
      <w:r w:rsidRPr="00504F0C">
        <w:rPr>
          <w:rStyle w:val="libAieChar"/>
          <w:rtl/>
        </w:rPr>
        <w:t xml:space="preserve"> ما جَعَلَ‌</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النَضْح : الرَشّ ، يقال : نَضَح عليه الماءَ ونضحه به : إذا رشّه عليه. والظاهر أنّ هذا النضح لرفع ما يستقذر منه‌الطبع من الكثافات المجتمعة على وجه الماء بأن يأخذ من وجه الماء ثلاثة أكفّ وينضح على الأرض ، ويحتمل أن يراد بالماء الذي يكون في الغدير الذي له م</w:t>
      </w:r>
      <w:r w:rsidR="003E463A">
        <w:rPr>
          <w:rtl/>
        </w:rPr>
        <w:t>ادّة بالنبع من الأرض. قال العل</w:t>
      </w:r>
      <w:r w:rsidR="003E463A">
        <w:rPr>
          <w:rFonts w:hint="cs"/>
          <w:rtl/>
        </w:rPr>
        <w:t>ّ</w:t>
      </w:r>
      <w:r w:rsidR="003E463A">
        <w:rPr>
          <w:rtl/>
        </w:rPr>
        <w:t>ا</w:t>
      </w:r>
      <w:r w:rsidR="00E3253D" w:rsidRPr="005D642E">
        <w:rPr>
          <w:rtl/>
        </w:rPr>
        <w:t>مة الفيض : « وربّما يوجد في بعض النسخ : وفيه قذر ، ولعلّه هو الصواب وأنّه وقع التصحيف من النسّاخ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5 ، ص 69 ( نضح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بح ، بخ ، بف ، جح ، جن » : « وتَوضَّ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408 ، ح 1283 ، معلّقاً عن أحمد بن محمّد </w:t>
      </w:r>
      <w:r w:rsidR="00024A3E">
        <w:rPr>
          <w:rFonts w:hint="cs"/>
          <w:rtl/>
        </w:rPr>
        <w:t>.</w:t>
      </w:r>
      <w:r w:rsidR="00E3253D" w:rsidRPr="002F4D34">
        <w:rPr>
          <w:rStyle w:val="libFootnoteBoldChar"/>
          <w:rtl/>
        </w:rPr>
        <w:t>الوافي</w:t>
      </w:r>
      <w:r w:rsidR="00E3253D" w:rsidRPr="005D642E">
        <w:rPr>
          <w:rtl/>
        </w:rPr>
        <w:t xml:space="preserve"> ، ج 6 ، ص 77 ، ح 3804 ؛ </w:t>
      </w:r>
      <w:r w:rsidR="00E3253D" w:rsidRPr="002F4D34">
        <w:rPr>
          <w:rStyle w:val="libFootnoteBoldChar"/>
          <w:rtl/>
        </w:rPr>
        <w:t>الوسائل</w:t>
      </w:r>
      <w:r w:rsidR="00E3253D" w:rsidRPr="005D642E">
        <w:rPr>
          <w:rtl/>
        </w:rPr>
        <w:t xml:space="preserve"> ، ج 1 ، ص 218 ، ح 555 ؛ </w:t>
      </w:r>
      <w:r w:rsidR="00E3253D" w:rsidRPr="002F4D34">
        <w:rPr>
          <w:rStyle w:val="libFootnoteBoldChar"/>
          <w:rtl/>
        </w:rPr>
        <w:t>البحار</w:t>
      </w:r>
      <w:r w:rsidR="00E3253D" w:rsidRPr="005D642E">
        <w:rPr>
          <w:rtl/>
        </w:rPr>
        <w:t xml:space="preserve"> ، ج 80 ، ص 140.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جح ، جس ، جن » والوسائل </w:t>
      </w:r>
      <w:r w:rsidR="00B60612" w:rsidRPr="00B60612">
        <w:rPr>
          <w:rStyle w:val="libFootnoteBoldChar"/>
          <w:rtl/>
        </w:rPr>
        <w:t>والتهذيب</w:t>
      </w:r>
      <w:r w:rsidR="00E3253D" w:rsidRPr="005D642E">
        <w:rPr>
          <w:rtl/>
        </w:rPr>
        <w:t>. وفي « غ ، ى ، بث ، بح ، بخ ، بس ، بف » والمطبوع : « الميسّر »</w:t>
      </w:r>
      <w:r w:rsidR="00E3253D">
        <w:rPr>
          <w:rtl/>
        </w:rPr>
        <w:t>.</w:t>
      </w:r>
      <w:r w:rsidR="00E3253D" w:rsidRPr="005D642E">
        <w:rPr>
          <w:rtl/>
        </w:rPr>
        <w:t xml:space="preserve"> والصواب ما أثبتناه ؛ فإنّا لم نجد مع الفحص الأكيد في كتب التراجم والرجال مَنْ عنون « الميسّر »</w:t>
      </w:r>
      <w:r w:rsidR="00E3253D">
        <w:rPr>
          <w:rtl/>
        </w:rPr>
        <w:t xml:space="preserve"> </w:t>
      </w:r>
      <w:r w:rsidR="007642BC">
        <w:rPr>
          <w:rtl/>
        </w:rPr>
        <w:t>-</w:t>
      </w:r>
      <w:r w:rsidR="00E3253D">
        <w:rPr>
          <w:rtl/>
        </w:rPr>
        <w:t xml:space="preserve"> </w:t>
      </w:r>
      <w:r w:rsidR="00E3253D" w:rsidRPr="005D642E">
        <w:rPr>
          <w:rtl/>
        </w:rPr>
        <w:t>بالألف واللام</w:t>
      </w:r>
      <w:r w:rsidR="00E3253D">
        <w:rPr>
          <w:rtl/>
        </w:rPr>
        <w:t xml:space="preserve"> </w:t>
      </w:r>
      <w:r w:rsidR="007642BC">
        <w:rPr>
          <w:rtl/>
        </w:rPr>
        <w:t>-</w:t>
      </w:r>
      <w:r w:rsidR="00E3253D">
        <w:rPr>
          <w:rtl/>
        </w:rPr>
        <w:t xml:space="preserve"> </w:t>
      </w:r>
      <w:r w:rsidR="00E3253D" w:rsidRPr="005D642E">
        <w:rPr>
          <w:rtl/>
        </w:rPr>
        <w:t xml:space="preserve">لا في كتبنا ( كما يظهر لمن تتبّع </w:t>
      </w:r>
      <w:r w:rsidR="00E3253D" w:rsidRPr="002F4D34">
        <w:rPr>
          <w:rStyle w:val="libFootnoteBoldChar"/>
          <w:rtl/>
        </w:rPr>
        <w:t>رجال النجاشي</w:t>
      </w:r>
      <w:r w:rsidR="00E3253D" w:rsidRPr="005D642E">
        <w:rPr>
          <w:rtl/>
        </w:rPr>
        <w:t xml:space="preserve"> ؛ </w:t>
      </w:r>
      <w:r w:rsidR="00E3253D" w:rsidRPr="002C1AC8">
        <w:rPr>
          <w:rStyle w:val="libFootnoteBoldChar"/>
          <w:rtl/>
        </w:rPr>
        <w:t>و</w:t>
      </w:r>
      <w:r w:rsidR="0059794D" w:rsidRPr="0059794D">
        <w:rPr>
          <w:rStyle w:val="libFootnoteBoldChar"/>
          <w:rtl/>
        </w:rPr>
        <w:t>الفهرست للطوسي</w:t>
      </w:r>
      <w:r w:rsidR="00E3253D" w:rsidRPr="005D642E">
        <w:rPr>
          <w:rtl/>
        </w:rPr>
        <w:t xml:space="preserve"> ؛ و</w:t>
      </w:r>
      <w:r w:rsidR="00E3253D" w:rsidRPr="002F4D34">
        <w:rPr>
          <w:rStyle w:val="libFootnoteBoldChar"/>
          <w:rtl/>
        </w:rPr>
        <w:t>رجال الطوسي</w:t>
      </w:r>
      <w:r w:rsidR="00E3253D" w:rsidRPr="005D642E">
        <w:rPr>
          <w:rtl/>
        </w:rPr>
        <w:t xml:space="preserve"> وغيرها ) ولا في كتب غيرنا كما في </w:t>
      </w:r>
      <w:r w:rsidR="00E3253D" w:rsidRPr="002F4D34">
        <w:rPr>
          <w:rStyle w:val="libFootnoteBoldChar"/>
          <w:rtl/>
        </w:rPr>
        <w:t>المؤتلف</w:t>
      </w:r>
      <w:r w:rsidR="00E3253D" w:rsidRPr="005D642E">
        <w:rPr>
          <w:rtl/>
        </w:rPr>
        <w:t xml:space="preserve"> و</w:t>
      </w:r>
      <w:r w:rsidR="00E3253D" w:rsidRPr="002F4D34">
        <w:rPr>
          <w:rStyle w:val="libFootnoteBoldChar"/>
          <w:rtl/>
        </w:rPr>
        <w:t>المختلف</w:t>
      </w:r>
      <w:r w:rsidR="00E3253D" w:rsidRPr="005D642E">
        <w:rPr>
          <w:rtl/>
        </w:rPr>
        <w:t xml:space="preserve"> ، ج 4 ، ص 2007 </w:t>
      </w:r>
      <w:r w:rsidR="00E3253D">
        <w:rPr>
          <w:rtl/>
        </w:rPr>
        <w:t>و 2</w:t>
      </w:r>
      <w:r w:rsidR="00E3253D" w:rsidRPr="005D642E">
        <w:rPr>
          <w:rtl/>
        </w:rPr>
        <w:t>009 ؛ و</w:t>
      </w:r>
      <w:r w:rsidR="00E3253D" w:rsidRPr="002F4D34">
        <w:rPr>
          <w:rStyle w:val="libFootnoteBoldChar"/>
          <w:rtl/>
        </w:rPr>
        <w:t xml:space="preserve">توضيح المشتبه </w:t>
      </w:r>
      <w:r w:rsidR="00E3253D" w:rsidRPr="005D642E">
        <w:rPr>
          <w:rtl/>
        </w:rPr>
        <w:t>، ج 8 ، ص 29</w:t>
      </w:r>
      <w:r w:rsidR="00E3253D">
        <w:rPr>
          <w:rtl/>
        </w:rPr>
        <w:t xml:space="preserve"> </w:t>
      </w:r>
      <w:r w:rsidR="007642BC">
        <w:rPr>
          <w:rtl/>
        </w:rPr>
        <w:t>-</w:t>
      </w:r>
      <w:r w:rsidR="00E3253D">
        <w:rPr>
          <w:rtl/>
        </w:rPr>
        <w:t xml:space="preserve"> </w:t>
      </w:r>
      <w:r w:rsidR="00E3253D" w:rsidRPr="005D642E">
        <w:rPr>
          <w:rtl/>
        </w:rPr>
        <w:t>32.</w:t>
      </w:r>
    </w:p>
    <w:p w:rsidR="00E3253D" w:rsidRPr="005D642E" w:rsidRDefault="00E3253D" w:rsidP="000F4ECB">
      <w:pPr>
        <w:pStyle w:val="libFootnote0"/>
        <w:rPr>
          <w:rtl/>
          <w:lang w:bidi="fa-IR"/>
        </w:rPr>
      </w:pPr>
      <w:r w:rsidRPr="00B60612">
        <w:rPr>
          <w:rtl/>
        </w:rPr>
        <w:t xml:space="preserve">ثمّ إنّ تصحيف العنوان في </w:t>
      </w:r>
      <w:r w:rsidRPr="002F4D34">
        <w:rPr>
          <w:rStyle w:val="libFootnoteBoldChar"/>
          <w:rtl/>
        </w:rPr>
        <w:t>الاستبصار</w:t>
      </w:r>
      <w:r w:rsidRPr="00B60612">
        <w:rPr>
          <w:rtl/>
        </w:rPr>
        <w:t xml:space="preserve"> ، ج 1 ، ص 128 ، ح 436 ، بمحمّد بن عيسى ، مؤيّد لصحّة ما أثبتناه ، كما لايخفى.</w:t>
      </w:r>
      <w:r w:rsidR="000F4ECB" w:rsidRPr="00B60612">
        <w:rPr>
          <w:rFonts w:hint="cs"/>
          <w:rtl/>
        </w:rPr>
        <w:t xml:space="preserve">                                               </w:t>
      </w:r>
      <w:r w:rsidR="0042621E" w:rsidRPr="0042621E">
        <w:rPr>
          <w:rStyle w:val="libFootnote0Char"/>
          <w:rtl/>
        </w:rPr>
        <w:t>(5).</w:t>
      </w:r>
      <w:r w:rsidRPr="005D642E">
        <w:rPr>
          <w:rtl/>
        </w:rPr>
        <w:t xml:space="preserve"> في حاشية « بخ » : « يغترف »</w:t>
      </w:r>
      <w:r>
        <w:rPr>
          <w:rtl/>
        </w:rPr>
        <w:t>.</w:t>
      </w:r>
    </w:p>
    <w:p w:rsidR="00E3253D" w:rsidRPr="005D642E" w:rsidRDefault="0042621E" w:rsidP="000F4ECB">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 ينبغي إمّا حمل القليل على القليل العرفي ، أو القذر على الوسخ ، والمراد بالتوضّي غسل اليد »</w:t>
      </w:r>
      <w:r w:rsidR="00E3253D">
        <w:rPr>
          <w:rtl/>
        </w:rPr>
        <w:t>.</w:t>
      </w:r>
      <w:r w:rsidR="000F4ECB">
        <w:rPr>
          <w:rFonts w:hint="cs"/>
          <w:rtl/>
        </w:rPr>
        <w:t xml:space="preserve">                                                         </w:t>
      </w:r>
      <w:r w:rsidRPr="0042621E">
        <w:rPr>
          <w:rStyle w:val="libFootnote0Char"/>
          <w:rtl/>
        </w:rPr>
        <w:t>(7).</w:t>
      </w:r>
      <w:r w:rsidR="00E3253D" w:rsidRPr="005D642E">
        <w:rPr>
          <w:rtl/>
        </w:rPr>
        <w:t xml:space="preserve"> في « بف » : « يدع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بح ، جح ، جس » وحاشية « ى ، بخ » والوسائل : « ثمّ يتوضّأ »</w:t>
      </w:r>
      <w:r w:rsidR="00E3253D">
        <w:rPr>
          <w:rtl/>
        </w:rPr>
        <w:t>.</w:t>
      </w:r>
    </w:p>
    <w:tbl>
      <w:tblPr>
        <w:tblStyle w:val="TableGrid"/>
        <w:bidiVisual/>
        <w:tblW w:w="0" w:type="auto"/>
        <w:tblLook w:val="04A0" w:firstRow="1" w:lastRow="0" w:firstColumn="1" w:lastColumn="0" w:noHBand="0" w:noVBand="1"/>
      </w:tblPr>
      <w:tblGrid>
        <w:gridCol w:w="4006"/>
        <w:gridCol w:w="4006"/>
      </w:tblGrid>
      <w:tr w:rsidR="000F4ECB" w:rsidTr="000F4ECB">
        <w:tc>
          <w:tcPr>
            <w:tcW w:w="4006" w:type="dxa"/>
          </w:tcPr>
          <w:p w:rsidR="000F4ECB" w:rsidRDefault="0042621E" w:rsidP="00E3253D">
            <w:pPr>
              <w:pStyle w:val="libFootnote0"/>
              <w:rPr>
                <w:rtl/>
              </w:rPr>
            </w:pPr>
            <w:r w:rsidRPr="0042621E">
              <w:rPr>
                <w:rStyle w:val="libFootnote0Char"/>
                <w:rtl/>
              </w:rPr>
              <w:t>(9).</w:t>
            </w:r>
            <w:r w:rsidR="000F4ECB" w:rsidRPr="005D642E">
              <w:rPr>
                <w:rtl/>
              </w:rPr>
              <w:t xml:space="preserve"> في الاستبصار : « ويغتسل »</w:t>
            </w:r>
            <w:r w:rsidR="000F4ECB">
              <w:rPr>
                <w:rtl/>
              </w:rPr>
              <w:t>.</w:t>
            </w:r>
          </w:p>
        </w:tc>
        <w:tc>
          <w:tcPr>
            <w:tcW w:w="4006" w:type="dxa"/>
          </w:tcPr>
          <w:p w:rsidR="000F4ECB" w:rsidRDefault="0042621E" w:rsidP="00E3253D">
            <w:pPr>
              <w:pStyle w:val="libFootnote0"/>
              <w:rPr>
                <w:rtl/>
              </w:rPr>
            </w:pPr>
            <w:r w:rsidRPr="0042621E">
              <w:rPr>
                <w:rStyle w:val="libFootnote0Char"/>
                <w:rtl/>
              </w:rPr>
              <w:t>(10).</w:t>
            </w:r>
            <w:r w:rsidR="000F4ECB" w:rsidRPr="005D642E">
              <w:rPr>
                <w:rtl/>
              </w:rPr>
              <w:t xml:space="preserve"> في « جس » : « بما »</w:t>
            </w:r>
            <w:r w:rsidR="000F4ECB">
              <w:rPr>
                <w:rtl/>
              </w:rPr>
              <w:t>.</w:t>
            </w:r>
          </w:p>
        </w:tc>
      </w:tr>
    </w:tbl>
    <w:p w:rsidR="00E3253D" w:rsidRDefault="00E3253D" w:rsidP="00E3253D">
      <w:pPr>
        <w:pStyle w:val="libNormal"/>
        <w:rPr>
          <w:rtl/>
          <w:lang w:bidi="fa-IR"/>
        </w:rPr>
      </w:pPr>
      <w:r>
        <w:rPr>
          <w:rtl/>
          <w:lang w:bidi="fa-IR"/>
        </w:rPr>
        <w:br w:type="page"/>
      </w:r>
    </w:p>
    <w:p w:rsidR="00E3253D" w:rsidRPr="005D642E" w:rsidRDefault="00E3253D" w:rsidP="00C82907">
      <w:pPr>
        <w:pStyle w:val="libNormal0"/>
        <w:rPr>
          <w:rtl/>
          <w:lang w:bidi="fa-IR"/>
        </w:rPr>
      </w:pPr>
      <w:r w:rsidRPr="00C82907">
        <w:rPr>
          <w:rStyle w:val="libAieChar"/>
          <w:rtl/>
        </w:rPr>
        <w:lastRenderedPageBreak/>
        <w:t xml:space="preserve">عَلَيْكُمْ فِى الدِّينِ مِنْ حَرَجٍ </w:t>
      </w:r>
      <w:r w:rsidR="00C82907" w:rsidRPr="00C82907">
        <w:rPr>
          <w:rStyle w:val="libAlaemChar"/>
          <w:rFonts w:hint="cs"/>
          <w:rtl/>
        </w:rPr>
        <w:t>)</w:t>
      </w:r>
      <w:r w:rsidRPr="005D642E">
        <w:rPr>
          <w:rtl/>
          <w:lang w:bidi="fa-IR"/>
        </w:rPr>
        <w:t xml:space="preserve">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FE7D88" w:rsidRDefault="00E3253D" w:rsidP="00FE7D88">
      <w:pPr>
        <w:pStyle w:val="libNormal"/>
        <w:rPr>
          <w:rtl/>
          <w:lang w:bidi="fa-IR"/>
        </w:rPr>
      </w:pPr>
      <w:r w:rsidRPr="002A35A5">
        <w:rPr>
          <w:rtl/>
        </w:rPr>
        <w:t>3817</w:t>
      </w:r>
      <w:r w:rsidRPr="00246318">
        <w:rPr>
          <w:rStyle w:val="libBold2Char"/>
          <w:rtl/>
        </w:rPr>
        <w:t xml:space="preserve"> / 3.</w:t>
      </w:r>
      <w:r w:rsidRPr="005D642E">
        <w:rPr>
          <w:rtl/>
          <w:lang w:bidi="fa-IR"/>
        </w:rPr>
        <w:t xml:space="preserve"> عَلِيُّ بْنُ إِبْرَاهِيمَ ، عَنْ أَبِيهِ ؛</w:t>
      </w:r>
    </w:p>
    <w:p w:rsidR="00E3253D" w:rsidRPr="005D642E" w:rsidRDefault="00FE7D88" w:rsidP="00FE7D88">
      <w:pPr>
        <w:pStyle w:val="libNormal"/>
        <w:rPr>
          <w:rtl/>
          <w:lang w:bidi="fa-IR"/>
        </w:rPr>
      </w:pPr>
      <w:r>
        <w:rPr>
          <w:rFonts w:hint="cs"/>
          <w:rtl/>
          <w:lang w:bidi="fa-IR"/>
        </w:rPr>
        <w:t xml:space="preserve">              </w:t>
      </w:r>
      <w:r w:rsidR="00E3253D" w:rsidRPr="005D642E">
        <w:rPr>
          <w:rtl/>
          <w:lang w:bidi="fa-IR"/>
        </w:rPr>
        <w:t>وَمُحَمَّدُ بْنُ إِسْمَاعِيلَ ، عَنِ الْفَضْلِ بْنِ شَاذَانَ جَمِيعاً ، عَنْ حَمَّادٍ ، عَنْ حَرِيزٍ ، عَمَّنْ أَخْبَرَهُ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أَنَّهُ قَالَ : « كُلَّمَا غَلَبَ الْمَاءُ </w:t>
      </w:r>
      <w:r w:rsidRPr="007C12DB">
        <w:rPr>
          <w:rStyle w:val="libFootnotenumChar"/>
          <w:rtl/>
        </w:rPr>
        <w:t>(3)</w:t>
      </w:r>
      <w:r w:rsidRPr="005D642E">
        <w:rPr>
          <w:rtl/>
          <w:lang w:bidi="fa-IR"/>
        </w:rPr>
        <w:t xml:space="preserve"> رِيحَ الْجِيفَةِ ، فَتَوَضَّأْ </w:t>
      </w:r>
      <w:r w:rsidRPr="007C12DB">
        <w:rPr>
          <w:rStyle w:val="libFootnotenumChar"/>
          <w:rtl/>
        </w:rPr>
        <w:t>(4)</w:t>
      </w:r>
      <w:r w:rsidRPr="005D642E">
        <w:rPr>
          <w:rtl/>
          <w:lang w:bidi="fa-IR"/>
        </w:rPr>
        <w:t xml:space="preserve"> مِنَ الْمَاءِ </w:t>
      </w:r>
      <w:r w:rsidRPr="007C12DB">
        <w:rPr>
          <w:rStyle w:val="libFootnotenumChar"/>
          <w:rtl/>
        </w:rPr>
        <w:t>(5)</w:t>
      </w:r>
      <w:r w:rsidRPr="005D642E">
        <w:rPr>
          <w:rtl/>
          <w:lang w:bidi="fa-IR"/>
        </w:rPr>
        <w:t xml:space="preserve"> وَاشْرَبْ ، وَإِذَا </w:t>
      </w:r>
      <w:r w:rsidRPr="007C12DB">
        <w:rPr>
          <w:rStyle w:val="libFootnotenumChar"/>
          <w:rtl/>
        </w:rPr>
        <w:t>(6)</w:t>
      </w:r>
      <w:r w:rsidRPr="005D642E">
        <w:rPr>
          <w:rtl/>
          <w:lang w:bidi="fa-IR"/>
        </w:rPr>
        <w:t xml:space="preserve"> تَغَيَّرَ الْمَاءُ وَتَغَيَّرَ الطَّعْمُ </w:t>
      </w:r>
      <w:r w:rsidRPr="007C12DB">
        <w:rPr>
          <w:rStyle w:val="libFootnotenumChar"/>
          <w:rtl/>
        </w:rPr>
        <w:t>(7)</w:t>
      </w:r>
      <w:r w:rsidRPr="005D642E">
        <w:rPr>
          <w:rtl/>
          <w:lang w:bidi="fa-IR"/>
        </w:rPr>
        <w:t xml:space="preserve"> ، فَلَا تَتَوَضَّأْ </w:t>
      </w:r>
      <w:r w:rsidRPr="007C12DB">
        <w:rPr>
          <w:rStyle w:val="libFootnotenumChar"/>
          <w:rtl/>
        </w:rPr>
        <w:t>(8)</w:t>
      </w:r>
      <w:r w:rsidRPr="005D642E">
        <w:rPr>
          <w:rtl/>
          <w:lang w:bidi="fa-IR"/>
        </w:rPr>
        <w:t xml:space="preserve"> وَلَاتَشْرَبْ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2A35A5">
        <w:rPr>
          <w:rtl/>
        </w:rPr>
        <w:t>3818</w:t>
      </w:r>
      <w:r w:rsidRPr="00246318">
        <w:rPr>
          <w:rStyle w:val="libBold2Char"/>
          <w:rtl/>
        </w:rPr>
        <w:t xml:space="preserve"> / 4.</w:t>
      </w:r>
      <w:r w:rsidRPr="005D642E">
        <w:rPr>
          <w:rtl/>
          <w:lang w:bidi="fa-IR"/>
        </w:rPr>
        <w:t xml:space="preserve"> عَلِيُّ بْنُ إِبْرَاهِيمَ ، عَنْ مُحَمَّدِ بْنِ عِيسَى بْنِ عُبَيْدٍ ، عَنْ يُونُسَ بْنِ عَبْدِ الرَّحْمنِ ، عَنْ عَبْدِ اللهِ بْنِ سِنَانٍ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الحجّ (22) : 78.</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149 ، ح 425 ، معلّقاً عن الكليني ؛ </w:t>
      </w:r>
      <w:r w:rsidR="00E3253D" w:rsidRPr="002F4D34">
        <w:rPr>
          <w:rStyle w:val="libFootnoteBoldChar"/>
          <w:rtl/>
        </w:rPr>
        <w:t>الاستبصار</w:t>
      </w:r>
      <w:r w:rsidR="00E3253D" w:rsidRPr="005D642E">
        <w:rPr>
          <w:rtl/>
        </w:rPr>
        <w:t xml:space="preserve"> ، ج 1 ، ص 128 ، ح 436 ، معلّقاً عن عليّ بن إبراهيم ، عن أبيه ، عن عبدالله بن المغيرة ، عن ابن مسكان ، عن محمّد بن عيسي ، عن أبي عبدالله </w:t>
      </w:r>
      <w:r w:rsidR="00E3253D" w:rsidRPr="00FE7D88">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11 ، ذيل ح 15 ، مع اختلاف يسير </w:t>
      </w:r>
      <w:r w:rsidR="00FE7D88">
        <w:rPr>
          <w:rFonts w:hint="cs"/>
          <w:rtl/>
        </w:rPr>
        <w:t>.</w:t>
      </w:r>
      <w:r w:rsidR="00E3253D" w:rsidRPr="002F4D34">
        <w:rPr>
          <w:rStyle w:val="libFootnoteBoldChar"/>
          <w:rtl/>
        </w:rPr>
        <w:t>الوافي</w:t>
      </w:r>
      <w:r w:rsidR="00E3253D" w:rsidRPr="005D642E">
        <w:rPr>
          <w:rtl/>
        </w:rPr>
        <w:t xml:space="preserve"> ، ج 6 ، ص 21 ، ح 3670 ؛ </w:t>
      </w:r>
      <w:r w:rsidR="00E3253D" w:rsidRPr="002F4D34">
        <w:rPr>
          <w:rStyle w:val="libFootnoteBoldChar"/>
          <w:rtl/>
        </w:rPr>
        <w:t>الوسائل</w:t>
      </w:r>
      <w:r w:rsidR="00E3253D" w:rsidRPr="005D642E">
        <w:rPr>
          <w:rtl/>
        </w:rPr>
        <w:t xml:space="preserve"> ، ج 1 ، ص 152 ، ح 379.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على »</w:t>
      </w:r>
      <w:r w:rsidR="00E3253D">
        <w:rPr>
          <w:rtl/>
        </w:rPr>
        <w:t>.</w:t>
      </w:r>
    </w:p>
    <w:p w:rsidR="00E3253D" w:rsidRPr="005D642E" w:rsidRDefault="00E3253D" w:rsidP="00E3253D">
      <w:pPr>
        <w:pStyle w:val="libFootnote0"/>
        <w:rPr>
          <w:rtl/>
          <w:lang w:bidi="fa-IR"/>
        </w:rPr>
      </w:pPr>
      <w:r w:rsidRPr="00B60612">
        <w:rPr>
          <w:rtl/>
        </w:rPr>
        <w:t xml:space="preserve">ويدلّ هذا الحديث على نجاسة الماء القليل بالملاقاة بدون التغيّر ، وحمل على الماء الكرّ. وكذا الحديث الآتي فحمل فيه على القليل العرفي. راجع : </w:t>
      </w:r>
      <w:r w:rsidRPr="002F4D34">
        <w:rPr>
          <w:rStyle w:val="libFootnoteBoldChar"/>
          <w:rtl/>
        </w:rPr>
        <w:t>مرآة العقول</w:t>
      </w:r>
      <w:r w:rsidRPr="00B60612">
        <w:rPr>
          <w:rtl/>
        </w:rPr>
        <w:t xml:space="preserve"> ، ج 13 ، ص 19 </w:t>
      </w:r>
      <w:r w:rsidR="007642BC" w:rsidRPr="00B60612">
        <w:rPr>
          <w:rtl/>
        </w:rPr>
        <w:t>-</w:t>
      </w:r>
      <w:r w:rsidRPr="00B60612">
        <w:rPr>
          <w:rtl/>
        </w:rPr>
        <w:t xml:space="preserve"> 20.</w:t>
      </w:r>
    </w:p>
    <w:tbl>
      <w:tblPr>
        <w:tblStyle w:val="TableGrid"/>
        <w:bidiVisual/>
        <w:tblW w:w="0" w:type="auto"/>
        <w:tblLook w:val="04A0" w:firstRow="1" w:lastRow="0" w:firstColumn="1" w:lastColumn="0" w:noHBand="0" w:noVBand="1"/>
      </w:tblPr>
      <w:tblGrid>
        <w:gridCol w:w="4006"/>
        <w:gridCol w:w="4006"/>
      </w:tblGrid>
      <w:tr w:rsidR="00FE7D88" w:rsidTr="00FE7D88">
        <w:tc>
          <w:tcPr>
            <w:tcW w:w="4006" w:type="dxa"/>
          </w:tcPr>
          <w:p w:rsidR="00FE7D88" w:rsidRDefault="0042621E" w:rsidP="00E3253D">
            <w:pPr>
              <w:pStyle w:val="libFootnote0"/>
              <w:rPr>
                <w:rtl/>
              </w:rPr>
            </w:pPr>
            <w:r w:rsidRPr="0042621E">
              <w:rPr>
                <w:rStyle w:val="libFootnote0Char"/>
                <w:rtl/>
              </w:rPr>
              <w:t>(4).</w:t>
            </w:r>
            <w:r w:rsidR="00FE7D88" w:rsidRPr="005D642E">
              <w:rPr>
                <w:rtl/>
              </w:rPr>
              <w:t xml:space="preserve"> في « بخ ، بف ، جس » : « فتوضّ »</w:t>
            </w:r>
            <w:r w:rsidR="00FE7D88">
              <w:rPr>
                <w:rtl/>
              </w:rPr>
              <w:t>.</w:t>
            </w:r>
          </w:p>
        </w:tc>
        <w:tc>
          <w:tcPr>
            <w:tcW w:w="4006" w:type="dxa"/>
          </w:tcPr>
          <w:p w:rsidR="00FE7D88" w:rsidRDefault="0042621E" w:rsidP="00E3253D">
            <w:pPr>
              <w:pStyle w:val="libFootnote0"/>
              <w:rPr>
                <w:rtl/>
              </w:rPr>
            </w:pPr>
            <w:r w:rsidRPr="0042621E">
              <w:rPr>
                <w:rStyle w:val="libFootnote0Char"/>
                <w:rtl/>
              </w:rPr>
              <w:t>(5).</w:t>
            </w:r>
            <w:r w:rsidR="00FE7D88" w:rsidRPr="005D642E">
              <w:rPr>
                <w:rtl/>
              </w:rPr>
              <w:t xml:space="preserve"> في الاستبصار : « منه » بدل « من الماء »</w:t>
            </w:r>
            <w:r w:rsidR="00FE7D88">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فإذا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 « أو تغيّر الطعم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تغيّر الماء يش</w:t>
      </w:r>
      <w:r w:rsidR="00342864">
        <w:rPr>
          <w:rtl/>
        </w:rPr>
        <w:t>مل تغيّر رائحته ولونه وطعمه إل</w:t>
      </w:r>
      <w:r w:rsidR="00342864">
        <w:rPr>
          <w:rFonts w:hint="cs"/>
          <w:rtl/>
        </w:rPr>
        <w:t>ّ</w:t>
      </w:r>
      <w:r w:rsidR="00342864">
        <w:rPr>
          <w:rtl/>
        </w:rPr>
        <w:t>ا</w:t>
      </w:r>
      <w:r w:rsidR="00E3253D">
        <w:rPr>
          <w:rFonts w:hint="cs"/>
          <w:rtl/>
        </w:rPr>
        <w:t xml:space="preserve"> </w:t>
      </w:r>
      <w:r w:rsidR="00E3253D" w:rsidRPr="005D642E">
        <w:rPr>
          <w:rtl/>
        </w:rPr>
        <w:t>أنّ تعقيبه بذكر الطعم يخصّه بالأوّلين. ولعلّ الواو بمعنى أو ، كما يدلّ عليه الخبر السابق والأخبار الآتية وليكون الحكم شاملاً لجيمع الصور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ى ، بس » وحاشية « بح » </w:t>
      </w:r>
      <w:r w:rsidR="000D749A" w:rsidRPr="000D749A">
        <w:rPr>
          <w:rStyle w:val="libFootnoteBoldChar"/>
          <w:rtl/>
        </w:rPr>
        <w:t>والوافي</w:t>
      </w:r>
      <w:r w:rsidR="00E3253D" w:rsidRPr="002F4D34">
        <w:rPr>
          <w:rStyle w:val="libFootnoteBoldChar"/>
          <w:rtl/>
        </w:rPr>
        <w:t xml:space="preserve"> </w:t>
      </w:r>
      <w:r w:rsidR="00E3253D" w:rsidRPr="005D642E">
        <w:rPr>
          <w:rtl/>
        </w:rPr>
        <w:t>: « فلا توضّأ »</w:t>
      </w:r>
      <w:r w:rsidR="00E3253D">
        <w:rPr>
          <w:rtl/>
        </w:rPr>
        <w:t>.</w:t>
      </w:r>
      <w:r w:rsidR="00E3253D" w:rsidRPr="005D642E">
        <w:rPr>
          <w:rtl/>
        </w:rPr>
        <w:t xml:space="preserve"> وفي « بخ » : « فلا تتوضّ »</w:t>
      </w:r>
      <w:r w:rsidR="00E3253D">
        <w:rPr>
          <w:rtl/>
        </w:rPr>
        <w:t>.</w:t>
      </w:r>
      <w:r w:rsidR="00E3253D" w:rsidRPr="005D642E">
        <w:rPr>
          <w:rtl/>
        </w:rPr>
        <w:t xml:space="preserve"> وفي « جس » وحاشية « ى ، جن » : « فلا توضّ »</w:t>
      </w:r>
      <w:r w:rsidR="00E3253D">
        <w:rPr>
          <w:rtl/>
        </w:rPr>
        <w:t>.</w:t>
      </w:r>
      <w:r w:rsidR="00E3253D" w:rsidRPr="005D642E">
        <w:rPr>
          <w:rtl/>
        </w:rPr>
        <w:t xml:space="preserve"> وفي التهذيب : « فلا توضّأ منه »</w:t>
      </w:r>
      <w:r w:rsidR="00E3253D">
        <w:rPr>
          <w:rtl/>
        </w:rPr>
        <w:t>.</w:t>
      </w:r>
      <w:r w:rsidR="00E3253D" w:rsidRPr="005D642E">
        <w:rPr>
          <w:rtl/>
        </w:rPr>
        <w:t xml:space="preserve"> وفي الاستبصار : « فلا تتوضّأ منه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216 ، ح 625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12 ، ح 19 ، بسندهما عن حمّاد بن عيسى ، عن حريز بن عبدالله ، عن أبي عبدالله </w:t>
      </w:r>
      <w:r w:rsidR="00E3253D" w:rsidRPr="00494FEB">
        <w:rPr>
          <w:rStyle w:val="libFootnoteAlaemChar"/>
          <w:rtl/>
        </w:rPr>
        <w:t>عليه‌السلام</w:t>
      </w:r>
      <w:r w:rsidR="00E3253D" w:rsidRPr="005D642E">
        <w:rPr>
          <w:rtl/>
        </w:rPr>
        <w:t xml:space="preserve">. وفي </w:t>
      </w:r>
      <w:r w:rsidR="00E3253D" w:rsidRPr="002F4D34">
        <w:rPr>
          <w:rStyle w:val="libFootnoteBoldChar"/>
          <w:rtl/>
        </w:rPr>
        <w:t>التهذيب</w:t>
      </w:r>
      <w:r w:rsidR="00E3253D" w:rsidRPr="005D642E">
        <w:rPr>
          <w:rtl/>
        </w:rPr>
        <w:t xml:space="preserve"> ، ج 1 ، ص 40 ، ح 112 ؛ </w:t>
      </w:r>
      <w:r w:rsidR="00E3253D" w:rsidRPr="00E678B5">
        <w:rPr>
          <w:rStyle w:val="libFootnoteBoldChar"/>
          <w:rtl/>
        </w:rPr>
        <w:t>والاستبصار</w:t>
      </w:r>
      <w:r w:rsidR="00E3253D" w:rsidRPr="005D642E">
        <w:rPr>
          <w:rtl/>
        </w:rPr>
        <w:t xml:space="preserve"> ، ج 1 ، ص 9 ، ح 10 ، بسند آخر ، مع اختلاف </w:t>
      </w:r>
      <w:r w:rsidR="00494FEB">
        <w:rPr>
          <w:rFonts w:hint="cs"/>
          <w:rtl/>
        </w:rPr>
        <w:t>.</w:t>
      </w:r>
      <w:r w:rsidR="00E3253D" w:rsidRPr="002F4D34">
        <w:rPr>
          <w:rStyle w:val="libFootnoteBoldChar"/>
          <w:rtl/>
        </w:rPr>
        <w:t>الوافي</w:t>
      </w:r>
      <w:r w:rsidR="00E3253D" w:rsidRPr="005D642E">
        <w:rPr>
          <w:rtl/>
        </w:rPr>
        <w:t xml:space="preserve"> ، ج 6 ، ص 20 ، ح 3665 ؛ </w:t>
      </w:r>
      <w:r w:rsidR="00E3253D" w:rsidRPr="002F4D34">
        <w:rPr>
          <w:rStyle w:val="libFootnoteBoldChar"/>
          <w:rtl/>
        </w:rPr>
        <w:t>الوسائل</w:t>
      </w:r>
      <w:r w:rsidR="00E3253D" w:rsidRPr="005D642E">
        <w:rPr>
          <w:rtl/>
        </w:rPr>
        <w:t xml:space="preserve"> ، ج 1 ، ص 137 ، ذيل ح 336.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سَأَلَ رَجُلٌ أَبَا عَبْدِ اللهِ </w:t>
      </w:r>
      <w:r w:rsidRPr="00AC51C5">
        <w:rPr>
          <w:rStyle w:val="libAlaemChar"/>
          <w:rtl/>
        </w:rPr>
        <w:t>عليه‌السلام</w:t>
      </w:r>
      <w:r>
        <w:rPr>
          <w:rtl/>
          <w:lang w:bidi="fa-IR"/>
        </w:rPr>
        <w:t xml:space="preserve"> </w:t>
      </w:r>
      <w:r w:rsidR="007642BC">
        <w:rPr>
          <w:rtl/>
          <w:lang w:bidi="fa-IR"/>
        </w:rPr>
        <w:t>-</w:t>
      </w:r>
      <w:r>
        <w:rPr>
          <w:rtl/>
          <w:lang w:bidi="fa-IR"/>
        </w:rPr>
        <w:t xml:space="preserve"> </w:t>
      </w:r>
      <w:r w:rsidRPr="005D642E">
        <w:rPr>
          <w:rtl/>
          <w:lang w:bidi="fa-IR"/>
        </w:rPr>
        <w:t xml:space="preserve">وَأَنَا جَالِسٌ </w:t>
      </w:r>
      <w:r w:rsidRPr="007C12DB">
        <w:rPr>
          <w:rStyle w:val="libFootnotenumChar"/>
          <w:rtl/>
        </w:rPr>
        <w:t>(1)</w:t>
      </w:r>
      <w:r>
        <w:rPr>
          <w:rtl/>
          <w:lang w:bidi="fa-IR"/>
        </w:rPr>
        <w:t xml:space="preserve"> </w:t>
      </w:r>
      <w:r w:rsidR="007642BC">
        <w:rPr>
          <w:rtl/>
          <w:lang w:bidi="fa-IR"/>
        </w:rPr>
        <w:t>-</w:t>
      </w:r>
      <w:r>
        <w:rPr>
          <w:rtl/>
          <w:lang w:bidi="fa-IR"/>
        </w:rPr>
        <w:t xml:space="preserve"> </w:t>
      </w:r>
      <w:r w:rsidRPr="005D642E">
        <w:rPr>
          <w:rtl/>
          <w:lang w:bidi="fa-IR"/>
        </w:rPr>
        <w:t xml:space="preserve">عَنْ غَدِيرٍ أَتَوْهُ </w:t>
      </w:r>
      <w:r w:rsidRPr="007C12DB">
        <w:rPr>
          <w:rStyle w:val="libFootnotenumChar"/>
          <w:rtl/>
        </w:rPr>
        <w:t>(2)</w:t>
      </w:r>
      <w:r w:rsidRPr="005D642E">
        <w:rPr>
          <w:rtl/>
          <w:lang w:bidi="fa-IR"/>
        </w:rPr>
        <w:t xml:space="preserve"> وَفِيهِ جِيفَةٌ</w:t>
      </w:r>
      <w:r>
        <w:rPr>
          <w:rtl/>
          <w:lang w:bidi="fa-IR"/>
        </w:rPr>
        <w:t>؟</w:t>
      </w:r>
    </w:p>
    <w:p w:rsidR="00E3253D" w:rsidRPr="005D642E" w:rsidRDefault="00E3253D" w:rsidP="00E3253D">
      <w:pPr>
        <w:pStyle w:val="libNormal"/>
        <w:rPr>
          <w:rtl/>
          <w:lang w:bidi="fa-IR"/>
        </w:rPr>
      </w:pPr>
      <w:r w:rsidRPr="005D642E">
        <w:rPr>
          <w:rtl/>
          <w:lang w:bidi="fa-IR"/>
        </w:rPr>
        <w:t xml:space="preserve">فَقَالَ : « إِذَا </w:t>
      </w:r>
      <w:r w:rsidRPr="007C12DB">
        <w:rPr>
          <w:rStyle w:val="libFootnotenumChar"/>
          <w:rtl/>
        </w:rPr>
        <w:t>(3)</w:t>
      </w:r>
      <w:r w:rsidRPr="005D642E">
        <w:rPr>
          <w:rtl/>
          <w:lang w:bidi="fa-IR"/>
        </w:rPr>
        <w:t xml:space="preserve"> كَانَ الْمَاءُ قَاهِراً وَلَايُوجَدُ فِيهِ </w:t>
      </w:r>
      <w:r w:rsidRPr="007C12DB">
        <w:rPr>
          <w:rStyle w:val="libFootnotenumChar"/>
          <w:rtl/>
        </w:rPr>
        <w:t>(4)</w:t>
      </w:r>
      <w:r w:rsidRPr="005D642E">
        <w:rPr>
          <w:rtl/>
          <w:lang w:bidi="fa-IR"/>
        </w:rPr>
        <w:t xml:space="preserve"> الرِّيحُ ، فَتَوَضَّأْ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2A35A5">
        <w:rPr>
          <w:rtl/>
        </w:rPr>
        <w:t>3819</w:t>
      </w:r>
      <w:r w:rsidRPr="00246318">
        <w:rPr>
          <w:rStyle w:val="libBold2Char"/>
          <w:rtl/>
        </w:rPr>
        <w:t xml:space="preserve"> / 5.</w:t>
      </w:r>
      <w:r w:rsidRPr="005D642E">
        <w:rPr>
          <w:rtl/>
          <w:lang w:bidi="fa-IR"/>
        </w:rPr>
        <w:t xml:space="preserve"> عِدَّةٌ مِنْ أَصْحَابِنَا ، عَنْ أَحْمَدَ بْنِ مُحَمَّدٍ ، عَنِ الْحُسَيْنِ بْنِ سَعِيدٍ ، عَنِ الْقَاسِمِ بْنِ مُحَمَّدٍ ، عَنْ عَلِيِّ </w:t>
      </w:r>
      <w:r w:rsidRPr="007C12DB">
        <w:rPr>
          <w:rStyle w:val="libFootnotenumChar"/>
          <w:rtl/>
        </w:rPr>
        <w:t>(7)</w:t>
      </w:r>
      <w:r w:rsidRPr="005D642E">
        <w:rPr>
          <w:rtl/>
          <w:lang w:bidi="fa-IR"/>
        </w:rPr>
        <w:t xml:space="preserve"> بْنِ أَبِي حَمْزَةَ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الْمَاءِ السَّاكِنِ وَالاسْتِنْجَاءِ مِنْهُ وَالْجِيفَةُ فِيهِ </w:t>
      </w:r>
      <w:r w:rsidRPr="007C12DB">
        <w:rPr>
          <w:rStyle w:val="libFootnotenumChar"/>
          <w:rtl/>
        </w:rPr>
        <w:t>(8)</w:t>
      </w:r>
      <w:r>
        <w:rPr>
          <w:rtl/>
          <w:lang w:bidi="fa-IR"/>
        </w:rPr>
        <w:t>؟</w:t>
      </w:r>
    </w:p>
    <w:p w:rsidR="00E3253D" w:rsidRPr="005D642E" w:rsidRDefault="00E3253D" w:rsidP="00E3253D">
      <w:pPr>
        <w:pStyle w:val="libNormal"/>
        <w:rPr>
          <w:rtl/>
          <w:lang w:bidi="fa-IR"/>
        </w:rPr>
      </w:pPr>
      <w:r w:rsidRPr="005D642E">
        <w:rPr>
          <w:rtl/>
          <w:lang w:bidi="fa-IR"/>
        </w:rPr>
        <w:t xml:space="preserve">فَقَالَ : « تَوَضَّأْ </w:t>
      </w:r>
      <w:r w:rsidRPr="007C12DB">
        <w:rPr>
          <w:rStyle w:val="libFootnotenumChar"/>
          <w:rtl/>
        </w:rPr>
        <w:t>(9)</w:t>
      </w:r>
      <w:r w:rsidRPr="005D642E">
        <w:rPr>
          <w:rtl/>
          <w:lang w:bidi="fa-IR"/>
        </w:rPr>
        <w:t xml:space="preserve"> مِنَ الْجَانِبِ الْآخَرِ ، وَلَاتَوَضَّأْ </w:t>
      </w:r>
      <w:r w:rsidRPr="007C12DB">
        <w:rPr>
          <w:rStyle w:val="libFootnotenumChar"/>
          <w:rtl/>
        </w:rPr>
        <w:t>(10)</w:t>
      </w:r>
      <w:r w:rsidRPr="005D642E">
        <w:rPr>
          <w:rtl/>
          <w:lang w:bidi="fa-IR"/>
        </w:rPr>
        <w:t xml:space="preserve"> مِنْ جَانِبِ الْجِيفَةِ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2A35A5">
        <w:rPr>
          <w:rtl/>
        </w:rPr>
        <w:t>3820</w:t>
      </w:r>
      <w:r w:rsidRPr="00246318">
        <w:rPr>
          <w:rStyle w:val="libBold2Char"/>
          <w:rtl/>
        </w:rPr>
        <w:t xml:space="preserve"> / 6.</w:t>
      </w:r>
      <w:r w:rsidRPr="005D642E">
        <w:rPr>
          <w:rtl/>
          <w:lang w:bidi="fa-IR"/>
        </w:rPr>
        <w:t xml:space="preserve"> عَلِيُّ بْنُ إِبْرَاهِيمَ ، عَنْ أَبِيهِ ، عَنِ ابْنِ أَبِي عُمَيْرٍ ، عَنْ حَمَّادٍ </w:t>
      </w:r>
      <w:r w:rsidRPr="007C12DB">
        <w:rPr>
          <w:rStyle w:val="libFootnotenumChar"/>
          <w:rtl/>
        </w:rPr>
        <w:t>(12)</w:t>
      </w:r>
      <w:r w:rsidRPr="005D642E">
        <w:rPr>
          <w:rtl/>
          <w:lang w:bidi="fa-IR"/>
        </w:rPr>
        <w:t xml:space="preserve"> ، عَنِ الْحَلَبِيِّ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جس » والوسائل : « حاضر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أتوه »</w:t>
      </w:r>
      <w:r w:rsidR="00E3253D">
        <w:rPr>
          <w:rtl/>
        </w:rPr>
        <w:t>.</w:t>
      </w:r>
      <w:r w:rsidR="00E3253D" w:rsidRPr="005D642E">
        <w:rPr>
          <w:rtl/>
        </w:rPr>
        <w:t xml:space="preserve"> </w:t>
      </w:r>
      <w:r w:rsidR="00E3253D">
        <w:rPr>
          <w:rtl/>
        </w:rPr>
        <w:t>و «</w:t>
      </w:r>
      <w:r w:rsidR="00E3253D" w:rsidRPr="005D642E">
        <w:rPr>
          <w:rtl/>
        </w:rPr>
        <w:t xml:space="preserve"> الغَدير » : مُسْتَنْقَع ماء المطر ، أي مجتمعه صغيراً أو كبيراً. وقيل : هي القطعة من الماء يغادرها السيل ، أي يتركها لادوام لها بل لها انقطاع ، وهو فعيل بمعنى مفاعل ، أو فعيل بمعنى فاعل ؛ لأنّه يغدر بأهله ، أي ينقطع عند شدّة الحاجة إليه. راجع : </w:t>
      </w:r>
      <w:r w:rsidR="00E3253D" w:rsidRPr="002F4D34">
        <w:rPr>
          <w:rStyle w:val="libFootnoteBoldChar"/>
          <w:rtl/>
        </w:rPr>
        <w:t>الصحاح</w:t>
      </w:r>
      <w:r w:rsidR="00E3253D" w:rsidRPr="005D642E">
        <w:rPr>
          <w:rtl/>
        </w:rPr>
        <w:t xml:space="preserve"> ، ج 2 ، ص 766 ؛ </w:t>
      </w:r>
      <w:r w:rsidR="00E3253D" w:rsidRPr="002F4D34">
        <w:rPr>
          <w:rStyle w:val="libFootnoteBoldChar"/>
          <w:rtl/>
        </w:rPr>
        <w:t>مجمع البحرين</w:t>
      </w:r>
      <w:r w:rsidR="00E3253D" w:rsidRPr="005D642E">
        <w:rPr>
          <w:rtl/>
        </w:rPr>
        <w:t xml:space="preserve"> ، ج 3 ، ص 420 ( غدر )</w:t>
      </w:r>
      <w:r w:rsidR="00E3253D">
        <w:rPr>
          <w:rtl/>
        </w:rPr>
        <w:t>.</w:t>
      </w:r>
      <w:r w:rsidR="00E3253D">
        <w:rPr>
          <w:rFonts w:hint="cs"/>
          <w:rtl/>
          <w:lang w:bidi="fa-IR"/>
        </w:rPr>
        <w:t xml:space="preserve"> </w:t>
      </w:r>
      <w:r w:rsidR="00FE04DB">
        <w:rPr>
          <w:rFonts w:hint="cs"/>
          <w:rtl/>
          <w:lang w:bidi="fa-IR"/>
        </w:rPr>
        <w:t xml:space="preserve">                                                            </w:t>
      </w:r>
      <w:r w:rsidRPr="0042621E">
        <w:rPr>
          <w:rStyle w:val="libFootnote0Char"/>
          <w:rtl/>
        </w:rPr>
        <w:t>(3).</w:t>
      </w:r>
      <w:r w:rsidR="00E3253D" w:rsidRPr="005D642E">
        <w:rPr>
          <w:rtl/>
        </w:rPr>
        <w:t xml:space="preserve"> في « جس » والوسائل : « إن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 « لا توجد منه » بدل « لايوجد فيه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بح ، بخ ، بف ، جح » : « فتوضّ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الفقيه</w:t>
      </w:r>
      <w:r w:rsidR="00E3253D" w:rsidRPr="005D642E">
        <w:rPr>
          <w:rtl/>
        </w:rPr>
        <w:t xml:space="preserve"> ، ج 1 ، ص 16 ، ح 22 ، مرسلاً ، مع اختلاف يسير. وراجع : </w:t>
      </w:r>
      <w:r w:rsidR="00E3253D" w:rsidRPr="002F4D34">
        <w:rPr>
          <w:rStyle w:val="libFootnoteBoldChar"/>
          <w:rtl/>
        </w:rPr>
        <w:t>بصائر الدرجات</w:t>
      </w:r>
      <w:r w:rsidR="00E3253D" w:rsidRPr="005D642E">
        <w:rPr>
          <w:rtl/>
        </w:rPr>
        <w:t xml:space="preserve"> ، ص 238 ، ح 13 </w:t>
      </w:r>
      <w:r w:rsidR="00FE04DB">
        <w:rPr>
          <w:rFonts w:hint="cs"/>
          <w:rtl/>
        </w:rPr>
        <w:t>.</w:t>
      </w:r>
      <w:r w:rsidR="00E3253D" w:rsidRPr="002F4D34">
        <w:rPr>
          <w:rStyle w:val="libFootnoteBoldChar"/>
          <w:rtl/>
        </w:rPr>
        <w:t>الوافي</w:t>
      </w:r>
      <w:r w:rsidR="00E3253D" w:rsidRPr="005D642E">
        <w:rPr>
          <w:rtl/>
        </w:rPr>
        <w:t xml:space="preserve"> ، ج 6 ، ص 21 ، ح 3667 ؛ </w:t>
      </w:r>
      <w:r w:rsidR="00E3253D" w:rsidRPr="002F4D34">
        <w:rPr>
          <w:rStyle w:val="libFootnoteBoldChar"/>
          <w:rtl/>
        </w:rPr>
        <w:t>الوسائل</w:t>
      </w:r>
      <w:r w:rsidR="00E3253D" w:rsidRPr="005D642E">
        <w:rPr>
          <w:rtl/>
        </w:rPr>
        <w:t xml:space="preserve"> ، ج 1 ، ص 141 ، ح 346.</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عليّ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والجيفة فيه »</w:t>
      </w:r>
      <w:r w:rsidR="00E3253D">
        <w:rPr>
          <w:rtl/>
        </w:rPr>
        <w:t>.</w:t>
      </w:r>
    </w:p>
    <w:p w:rsidR="00E3253D" w:rsidRPr="005D642E" w:rsidRDefault="00E3253D" w:rsidP="00E3253D">
      <w:pPr>
        <w:pStyle w:val="libFootnote0"/>
        <w:rPr>
          <w:rtl/>
          <w:lang w:bidi="fa-IR"/>
        </w:rPr>
      </w:pPr>
      <w:r w:rsidRPr="00B60612">
        <w:rPr>
          <w:rtl/>
        </w:rPr>
        <w:t>ويدلّ هذا الحديث على عدم انفعال القليل بدون التغيّر ، أو على عدم نجاسة الميتة بدون التفسّخ وسراية النجاسات التي فيها إلى الماء ، فأمر باجتناب جانب الجيفة ؛ لأنّ جانب الجيفة قلّما يخلو عن الانفعال والتغيّر ، فا</w:t>
      </w:r>
      <w:r w:rsidR="0041759B" w:rsidRPr="00B60612">
        <w:rPr>
          <w:rFonts w:hint="cs"/>
          <w:rtl/>
        </w:rPr>
        <w:t>ُ</w:t>
      </w:r>
      <w:r w:rsidRPr="00B60612">
        <w:rPr>
          <w:rtl/>
        </w:rPr>
        <w:t xml:space="preserve">جيب بالحمل على الكثير ، وقيل غير ذلك. راجع : </w:t>
      </w:r>
      <w:r w:rsidRPr="002F4D34">
        <w:rPr>
          <w:rStyle w:val="libFootnoteBoldChar"/>
          <w:rtl/>
        </w:rPr>
        <w:t>الوافي</w:t>
      </w:r>
      <w:r w:rsidRPr="00B60612">
        <w:rPr>
          <w:rtl/>
        </w:rPr>
        <w:t xml:space="preserve"> ، ج 6 ، ص 27 ؛ </w:t>
      </w:r>
      <w:r w:rsidRPr="002F4D34">
        <w:rPr>
          <w:rStyle w:val="libFootnoteBoldChar"/>
          <w:rtl/>
        </w:rPr>
        <w:t>مرآة العقول</w:t>
      </w:r>
      <w:r w:rsidRPr="00B60612">
        <w:rPr>
          <w:rtl/>
        </w:rPr>
        <w:t xml:space="preserve"> ، ج 13 ، ص 20.</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ى ، بح ، بخ ، بف ، جح ، جس ، جن » : « توضّ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والتوضّؤ في الجواب بمعنى التنظيف بالاستنجاء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ى ، بخ ، بف ، جح ، جس » : « لاتوضّ »</w:t>
      </w:r>
      <w:r w:rsidR="00E3253D">
        <w:rPr>
          <w:rtl/>
        </w:rPr>
        <w:t>.</w:t>
      </w:r>
      <w:r w:rsidR="00E3253D" w:rsidRPr="005D642E">
        <w:rPr>
          <w:rtl/>
        </w:rPr>
        <w:t xml:space="preserve"> وفي « بح » : « ولا تتوضّ »</w:t>
      </w:r>
      <w:r w:rsidR="00E3253D">
        <w:rPr>
          <w:rtl/>
        </w:rPr>
        <w:t>.</w:t>
      </w:r>
      <w:r w:rsidR="00E3253D" w:rsidRPr="005D642E">
        <w:rPr>
          <w:rtl/>
        </w:rPr>
        <w:t xml:space="preserve"> وفي الاستبصار : « ولا تتوضّأ »</w:t>
      </w:r>
      <w:r w:rsidR="00E3253D">
        <w:rPr>
          <w:rtl/>
        </w:rPr>
        <w:t>.</w:t>
      </w:r>
    </w:p>
    <w:p w:rsidR="00E3253D" w:rsidRPr="005D642E" w:rsidRDefault="0042621E" w:rsidP="00010C0B">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408 ، ح 1284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21 ، ح 50 ، معلّقاً عن الحسين بن سعيد. </w:t>
      </w:r>
      <w:r w:rsidR="00E3253D" w:rsidRPr="002F4D34">
        <w:rPr>
          <w:rStyle w:val="libFootnoteBoldChar"/>
          <w:rtl/>
        </w:rPr>
        <w:t>الفقيه</w:t>
      </w:r>
      <w:r w:rsidR="00E3253D" w:rsidRPr="005D642E">
        <w:rPr>
          <w:rtl/>
        </w:rPr>
        <w:t xml:space="preserve"> ، ج 1 ، ص 16 ، ح 21 ، مرسلاً ، وفي الأخيرين مع اختلاف يسير </w:t>
      </w:r>
      <w:r w:rsidR="00010C0B">
        <w:rPr>
          <w:rFonts w:hint="cs"/>
          <w:rtl/>
        </w:rPr>
        <w:t>.</w:t>
      </w:r>
      <w:r w:rsidR="00E3253D" w:rsidRPr="002F4D34">
        <w:rPr>
          <w:rStyle w:val="libFootnoteBoldChar"/>
          <w:rtl/>
        </w:rPr>
        <w:t>الوافي</w:t>
      </w:r>
      <w:r w:rsidR="00E3253D" w:rsidRPr="005D642E">
        <w:rPr>
          <w:rtl/>
        </w:rPr>
        <w:t xml:space="preserve"> ، ج 6 ، ص 27 ، ح 3684 ؛ </w:t>
      </w:r>
      <w:r w:rsidR="00E3253D" w:rsidRPr="002F4D34">
        <w:rPr>
          <w:rStyle w:val="libFootnoteBoldChar"/>
          <w:rtl/>
        </w:rPr>
        <w:t>الوسائل</w:t>
      </w:r>
      <w:r w:rsidR="00E3253D" w:rsidRPr="005D642E">
        <w:rPr>
          <w:rtl/>
        </w:rPr>
        <w:t xml:space="preserve"> ، ج 1 ، ص 162 ، ذيل ح 403.</w:t>
      </w:r>
      <w:r w:rsidR="00E3253D">
        <w:rPr>
          <w:rFonts w:hint="cs"/>
          <w:rtl/>
          <w:lang w:bidi="fa-IR"/>
        </w:rPr>
        <w:t xml:space="preserve"> </w:t>
      </w:r>
      <w:r w:rsidR="00010C0B">
        <w:rPr>
          <w:rFonts w:hint="cs"/>
          <w:rtl/>
          <w:lang w:bidi="fa-IR"/>
        </w:rPr>
        <w:t xml:space="preserve">              </w:t>
      </w:r>
      <w:r w:rsidRPr="0042621E">
        <w:rPr>
          <w:rStyle w:val="libFootnote0Char"/>
          <w:rtl/>
        </w:rPr>
        <w:t>(12).</w:t>
      </w:r>
      <w:r w:rsidR="00E3253D">
        <w:rPr>
          <w:rtl/>
        </w:rPr>
        <w:t xml:space="preserve"> في الاستبصار : + « بن عثمان»</w:t>
      </w:r>
      <w:r w:rsidR="00E3253D" w:rsidRPr="005D642E">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w:t>
      </w:r>
      <w:r w:rsidRPr="007C12DB">
        <w:rPr>
          <w:rStyle w:val="libFootnotenumChar"/>
          <w:rtl/>
        </w:rPr>
        <w:t>(1)</w:t>
      </w:r>
      <w:r w:rsidRPr="005D642E">
        <w:rPr>
          <w:rtl/>
          <w:lang w:bidi="fa-IR"/>
        </w:rPr>
        <w:t xml:space="preserve"> فِي الْمَاءِ الْآجِنِ </w:t>
      </w:r>
      <w:r w:rsidRPr="007C12DB">
        <w:rPr>
          <w:rStyle w:val="libFootnotenumChar"/>
          <w:rtl/>
        </w:rPr>
        <w:t>(2)</w:t>
      </w:r>
      <w:r w:rsidRPr="005D642E">
        <w:rPr>
          <w:rtl/>
          <w:lang w:bidi="fa-IR"/>
        </w:rPr>
        <w:t xml:space="preserve"> : « تَتَوَضَّأُ </w:t>
      </w:r>
      <w:r w:rsidRPr="007C12DB">
        <w:rPr>
          <w:rStyle w:val="libFootnotenumChar"/>
          <w:rtl/>
        </w:rPr>
        <w:t>(3)</w:t>
      </w:r>
      <w:r w:rsidR="00987C2D">
        <w:rPr>
          <w:rtl/>
          <w:lang w:bidi="fa-IR"/>
        </w:rPr>
        <w:t xml:space="preserve"> مِنْهُ ، إِل</w:t>
      </w:r>
      <w:r w:rsidR="00987C2D">
        <w:rPr>
          <w:rFonts w:hint="cs"/>
          <w:rtl/>
          <w:lang w:bidi="fa-IR"/>
        </w:rPr>
        <w:t>َّ</w:t>
      </w:r>
      <w:r w:rsidR="00987C2D">
        <w:rPr>
          <w:rtl/>
          <w:lang w:bidi="fa-IR"/>
        </w:rPr>
        <w:t>ا</w:t>
      </w:r>
      <w:r w:rsidRPr="005D642E">
        <w:rPr>
          <w:rtl/>
          <w:lang w:bidi="fa-IR"/>
        </w:rPr>
        <w:t xml:space="preserve"> أَنْ تَجِدَ </w:t>
      </w:r>
      <w:r w:rsidRPr="007C12DB">
        <w:rPr>
          <w:rStyle w:val="libFootnotenumChar"/>
          <w:rtl/>
        </w:rPr>
        <w:t>(4)</w:t>
      </w:r>
      <w:r w:rsidRPr="005D642E">
        <w:rPr>
          <w:rtl/>
          <w:lang w:bidi="fa-IR"/>
        </w:rPr>
        <w:t xml:space="preserve"> مَاءً غَيْرَهُ ، فَتَنَزَّهُ مِنْهُ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2A35A5">
        <w:rPr>
          <w:rtl/>
        </w:rPr>
        <w:t>3821</w:t>
      </w:r>
      <w:r w:rsidRPr="00246318">
        <w:rPr>
          <w:rStyle w:val="libBold2Char"/>
          <w:rtl/>
        </w:rPr>
        <w:t xml:space="preserve"> / 7.</w:t>
      </w:r>
      <w:r w:rsidRPr="005D642E">
        <w:rPr>
          <w:rtl/>
          <w:lang w:bidi="fa-IR"/>
        </w:rPr>
        <w:t xml:space="preserve"> عَلِيُّ بْنُ مُحَمَّدٍ ، عَنْ سَهْلٍ </w:t>
      </w:r>
      <w:r w:rsidRPr="007C12DB">
        <w:rPr>
          <w:rStyle w:val="libFootnotenumChar"/>
          <w:rtl/>
        </w:rPr>
        <w:t>(7)</w:t>
      </w:r>
      <w:r w:rsidRPr="005D642E">
        <w:rPr>
          <w:rtl/>
          <w:lang w:bidi="fa-IR"/>
        </w:rPr>
        <w:t xml:space="preserve"> ، عَنْ أَحْمَدَ بْنِ مُحَمَّدِ بْنِ أَبِي نَصْرٍ ، عَنْ صَفْوَانَ الْجَمَّالِ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الْحِيَاضِ الَّتِي بَيْنَ مَكَّةَ وَالْمَدِينَةِ ، تَرِدُهَا السِّبَاعُ ، وَتَلَغُ فِيهَا </w:t>
      </w:r>
      <w:r w:rsidRPr="007C12DB">
        <w:rPr>
          <w:rStyle w:val="libFootnotenumChar"/>
          <w:rtl/>
        </w:rPr>
        <w:t>(8)</w:t>
      </w:r>
      <w:r w:rsidRPr="005D642E">
        <w:rPr>
          <w:rtl/>
          <w:lang w:bidi="fa-IR"/>
        </w:rPr>
        <w:t xml:space="preserve"> الْكِلَابُ </w:t>
      </w:r>
      <w:r w:rsidRPr="007C12DB">
        <w:rPr>
          <w:rStyle w:val="libFootnotenumChar"/>
          <w:rtl/>
        </w:rPr>
        <w:t>(9)</w:t>
      </w:r>
      <w:r w:rsidRPr="005D642E">
        <w:rPr>
          <w:rtl/>
          <w:lang w:bidi="fa-IR"/>
        </w:rPr>
        <w:t xml:space="preserve"> ، وَيَغ</w:t>
      </w:r>
      <w:r>
        <w:rPr>
          <w:rtl/>
          <w:lang w:bidi="fa-IR"/>
        </w:rPr>
        <w:t>ْتَسِلُ فِيهَا الْجُنُبُ : أَ</w:t>
      </w:r>
      <w:r w:rsidRPr="005D642E">
        <w:rPr>
          <w:rtl/>
          <w:lang w:bidi="fa-IR"/>
        </w:rPr>
        <w:t xml:space="preserve">يُتَوَضَّأُ مِنْهَا </w:t>
      </w:r>
      <w:r w:rsidRPr="007C12DB">
        <w:rPr>
          <w:rStyle w:val="libFootnotenumChar"/>
          <w:rtl/>
        </w:rPr>
        <w:t>(10)</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التهذيب </w:t>
      </w:r>
      <w:r w:rsidR="00E3253D" w:rsidRPr="00E678B5">
        <w:rPr>
          <w:rStyle w:val="libFootnoteBoldChar"/>
          <w:rtl/>
        </w:rPr>
        <w:t>والاستبصار</w:t>
      </w:r>
      <w:r w:rsidR="00E3253D" w:rsidRPr="005D642E">
        <w:rPr>
          <w:rtl/>
        </w:rPr>
        <w:t xml:space="preserve"> : + « قال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اللاجن » بمعنى المتّسخ ، وكلّ ما حِيسَ في الماء فقد لُجِنَ. </w:t>
      </w:r>
      <w:r w:rsidR="00E3253D">
        <w:rPr>
          <w:rtl/>
        </w:rPr>
        <w:t>و «</w:t>
      </w:r>
      <w:r w:rsidR="00E3253D" w:rsidRPr="005D642E">
        <w:rPr>
          <w:rtl/>
        </w:rPr>
        <w:t xml:space="preserve"> الآجن » : الماء المتغيّر الطعم واللون ، قيل : غير أنّه مشروب ؛ أو هو الماء المتغيّر الرائحة من القدم ؛ أو هو الماء الذي</w:t>
      </w:r>
      <w:r w:rsidR="00F447E3">
        <w:rPr>
          <w:rtl/>
        </w:rPr>
        <w:t xml:space="preserve"> غشيه الطحلب والورق. وقال العل</w:t>
      </w:r>
      <w:r w:rsidR="00F447E3">
        <w:rPr>
          <w:rFonts w:hint="cs"/>
          <w:rtl/>
        </w:rPr>
        <w:t>ّ</w:t>
      </w:r>
      <w:r w:rsidR="00F447E3">
        <w:rPr>
          <w:rtl/>
        </w:rPr>
        <w:t>ا</w:t>
      </w:r>
      <w:r w:rsidR="00E3253D" w:rsidRPr="005D642E">
        <w:rPr>
          <w:rtl/>
        </w:rPr>
        <w:t>مة المجلسي : « لكن نقل بعض مشايخنا عن بعض أهل اللغة أنّه الماء المتغيّر من قبل نفسه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5 ، ص 2067 ؛ </w:t>
      </w:r>
      <w:r w:rsidR="00E3253D" w:rsidRPr="002F4D34">
        <w:rPr>
          <w:rStyle w:val="libFootnoteBoldChar"/>
          <w:rtl/>
        </w:rPr>
        <w:t>النهاية</w:t>
      </w:r>
      <w:r w:rsidR="00E3253D" w:rsidRPr="005D642E">
        <w:rPr>
          <w:rtl/>
        </w:rPr>
        <w:t xml:space="preserve"> ، ج 1 ، ص 26 ( أجن ) ؛ </w:t>
      </w:r>
      <w:r w:rsidR="00E3253D" w:rsidRPr="002F4D34">
        <w:rPr>
          <w:rStyle w:val="libFootnoteBoldChar"/>
          <w:rtl/>
        </w:rPr>
        <w:t>لسان العرب</w:t>
      </w:r>
      <w:r w:rsidR="00E3253D" w:rsidRPr="005D642E">
        <w:rPr>
          <w:rtl/>
        </w:rPr>
        <w:t xml:space="preserve"> ، ج 13 ، ص 378 ( لجن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بخ ، بف ، جس » </w:t>
      </w:r>
      <w:r w:rsidR="00B60612" w:rsidRPr="00B60612">
        <w:rPr>
          <w:rStyle w:val="libFootnoteBoldChar"/>
          <w:rtl/>
        </w:rPr>
        <w:t>والتهذيب</w:t>
      </w:r>
      <w:r w:rsidR="00E3253D" w:rsidRPr="005D642E">
        <w:rPr>
          <w:rtl/>
        </w:rPr>
        <w:t xml:space="preserve"> ، ح 626 : « يتوضّأ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 ح 626 : « أن يجد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جس » : « فيتنزّه منه »</w:t>
      </w:r>
      <w:r w:rsidR="00E3253D">
        <w:rPr>
          <w:rtl/>
        </w:rPr>
        <w:t>.</w:t>
      </w:r>
      <w:r w:rsidR="00E3253D" w:rsidRPr="005D642E">
        <w:rPr>
          <w:rtl/>
        </w:rPr>
        <w:t xml:space="preserve"> وفي « بس » : « فتتنزّه منه »</w:t>
      </w:r>
      <w:r w:rsidR="00E3253D">
        <w:rPr>
          <w:rtl/>
        </w:rPr>
        <w:t>.</w:t>
      </w:r>
      <w:r w:rsidR="00E3253D" w:rsidRPr="005D642E">
        <w:rPr>
          <w:rtl/>
        </w:rPr>
        <w:t xml:space="preserve"> وفي « بح ، جن » </w:t>
      </w:r>
      <w:r w:rsidR="00B60612" w:rsidRPr="00B60612">
        <w:rPr>
          <w:rStyle w:val="libFootnoteBoldChar"/>
          <w:rtl/>
        </w:rPr>
        <w:t>والتهذيب</w:t>
      </w:r>
      <w:r w:rsidR="00E3253D" w:rsidRPr="005D642E">
        <w:rPr>
          <w:rtl/>
        </w:rPr>
        <w:t xml:space="preserve"> ، ح 1286 : « فتنزّه عنه »</w:t>
      </w:r>
      <w:r w:rsidR="00E3253D">
        <w:rPr>
          <w:rtl/>
        </w:rPr>
        <w:t>.</w:t>
      </w:r>
      <w:r w:rsidR="00E3253D" w:rsidRPr="005D642E">
        <w:rPr>
          <w:rtl/>
        </w:rPr>
        <w:t xml:space="preserve"> وفي التهذيب ح 626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فتنزّه منه »</w:t>
      </w:r>
      <w:r w:rsidR="00E3253D">
        <w:rPr>
          <w:rtl/>
        </w:rPr>
        <w:t>.</w:t>
      </w:r>
      <w:r w:rsidR="00E3253D" w:rsidRPr="005D642E">
        <w:rPr>
          <w:rtl/>
        </w:rPr>
        <w:t xml:space="preserve"> وقال الشيخ </w:t>
      </w:r>
      <w:r w:rsidR="00E3253D" w:rsidRPr="009A2AED">
        <w:rPr>
          <w:rStyle w:val="libFootnoteAlaemChar"/>
          <w:rtl/>
        </w:rPr>
        <w:t>قدس‌سره</w:t>
      </w:r>
      <w:r w:rsidR="00E3253D" w:rsidRPr="005D642E">
        <w:rPr>
          <w:rtl/>
        </w:rPr>
        <w:t xml:space="preserve"> في </w:t>
      </w:r>
      <w:r w:rsidR="00E3253D" w:rsidRPr="002F4D34">
        <w:rPr>
          <w:rStyle w:val="libFootnoteBoldChar"/>
          <w:rtl/>
        </w:rPr>
        <w:t>التهذيب</w:t>
      </w:r>
      <w:r w:rsidR="00E3253D" w:rsidRPr="005D642E">
        <w:rPr>
          <w:rtl/>
        </w:rPr>
        <w:t xml:space="preserve"> ، ص 217 : « هذا إذا كان الماء آجناً من قبل نفسه ؛ فإنّه لا بأس باستعماله ، وإذا حلّه من النجاسة ما غيّره فلا يجوز استعماله على وجه ألبتّة »</w:t>
      </w:r>
      <w:r w:rsidR="00E3253D">
        <w:rPr>
          <w:rtl/>
        </w:rPr>
        <w:t>.</w:t>
      </w:r>
      <w:r w:rsidR="00E3253D" w:rsidRPr="005D642E">
        <w:rPr>
          <w:rtl/>
        </w:rPr>
        <w:t xml:space="preserve"> ونحوه في </w:t>
      </w:r>
      <w:r w:rsidR="00E3253D" w:rsidRPr="002F4D34">
        <w:rPr>
          <w:rStyle w:val="libFootnoteBoldChar"/>
          <w:rtl/>
        </w:rPr>
        <w:t>الاستبصار</w:t>
      </w:r>
      <w:r w:rsidR="00E3253D" w:rsidRPr="005D642E">
        <w:rPr>
          <w:rtl/>
        </w:rPr>
        <w:t xml:space="preserve"> ، مع زيادة : « وعلى هذا الوجه لا تنافي بين الأخبار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217 ، ح 626 ؛ </w:t>
      </w:r>
      <w:r w:rsidR="00E3253D" w:rsidRPr="00E678B5">
        <w:rPr>
          <w:rStyle w:val="libFootnoteBoldChar"/>
          <w:rtl/>
        </w:rPr>
        <w:t>والاستبصار</w:t>
      </w:r>
      <w:r w:rsidR="00E3253D" w:rsidRPr="005D642E">
        <w:rPr>
          <w:rtl/>
        </w:rPr>
        <w:t xml:space="preserve"> ، ج 1 ، ص 12 ، ح 20 ، بسندهما عن الكليني. </w:t>
      </w:r>
      <w:r w:rsidR="00E3253D" w:rsidRPr="002F4D34">
        <w:rPr>
          <w:rStyle w:val="libFootnoteBoldChar"/>
          <w:rtl/>
        </w:rPr>
        <w:t>التهذيب</w:t>
      </w:r>
      <w:r w:rsidR="00E3253D" w:rsidRPr="005D642E">
        <w:rPr>
          <w:rtl/>
        </w:rPr>
        <w:t xml:space="preserve"> ، ج 1 ، ص 408 ، ح 1286 ، معلّقاً عن عليّ بن إبراهيم. </w:t>
      </w:r>
      <w:r w:rsidR="00E3253D" w:rsidRPr="002F4D34">
        <w:rPr>
          <w:rStyle w:val="libFootnoteBoldChar"/>
          <w:rtl/>
        </w:rPr>
        <w:t>الفقيه</w:t>
      </w:r>
      <w:r w:rsidR="00E3253D" w:rsidRPr="005D642E">
        <w:rPr>
          <w:rtl/>
        </w:rPr>
        <w:t xml:space="preserve"> ، ج 1 ، ص 8 ، ذيل ح 10 ، مع اختلاف يسير </w:t>
      </w:r>
      <w:r w:rsidR="009A2AED">
        <w:rPr>
          <w:rFonts w:hint="cs"/>
          <w:rtl/>
        </w:rPr>
        <w:t>.</w:t>
      </w:r>
      <w:r w:rsidR="00E3253D" w:rsidRPr="002F4D34">
        <w:rPr>
          <w:rStyle w:val="libFootnoteBoldChar"/>
          <w:rtl/>
        </w:rPr>
        <w:t>الوافي</w:t>
      </w:r>
      <w:r w:rsidR="00E3253D" w:rsidRPr="005D642E">
        <w:rPr>
          <w:rtl/>
        </w:rPr>
        <w:t xml:space="preserve"> ، ج 6 ، ص 63 ، ح 3768 ؛ </w:t>
      </w:r>
      <w:r w:rsidR="00E3253D" w:rsidRPr="002F4D34">
        <w:rPr>
          <w:rStyle w:val="libFootnoteBoldChar"/>
          <w:rtl/>
        </w:rPr>
        <w:t>الوسائل</w:t>
      </w:r>
      <w:r w:rsidR="00E3253D" w:rsidRPr="005D642E">
        <w:rPr>
          <w:rtl/>
        </w:rPr>
        <w:t xml:space="preserve"> ، ج 1 ، ص 138 ، ذيل ح 337.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بس » : + « بن زياد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بف ، جح ، جس » : « ويلغ فيها »</w:t>
      </w:r>
      <w:r w:rsidR="00E3253D">
        <w:rPr>
          <w:rtl/>
        </w:rPr>
        <w:t>.</w:t>
      </w:r>
      <w:r w:rsidR="00E3253D" w:rsidRPr="005D642E">
        <w:rPr>
          <w:rtl/>
        </w:rPr>
        <w:t xml:space="preserve"> و</w:t>
      </w:r>
      <w:r w:rsidR="00D47A73">
        <w:rPr>
          <w:rFonts w:hint="cs"/>
          <w:rtl/>
        </w:rPr>
        <w:t xml:space="preserve"> </w:t>
      </w:r>
      <w:r w:rsidR="00E3253D" w:rsidRPr="005D642E">
        <w:rPr>
          <w:rtl/>
        </w:rPr>
        <w:t xml:space="preserve">وُلُوغ الكلب : شربه من الإناء بلسانه ، أو لطمه له ، يقال : ولغ الكلب في الإناء وفي الشراب ومنه وبه ، كوهب وورث ووجل ، أي شرب ما فيه بأطراف لسانه ، أو أدخل لسانه فيه فحرّكه ، وأكثر ما يكون الولوغ في السباع ، ويقال : ليس شي‌ء من الطيور يلغ غير الذباب. راجع : </w:t>
      </w:r>
      <w:r w:rsidR="00E3253D" w:rsidRPr="002F4D34">
        <w:rPr>
          <w:rStyle w:val="libFootnoteBoldChar"/>
          <w:rtl/>
        </w:rPr>
        <w:t>الصحاح</w:t>
      </w:r>
      <w:r w:rsidR="00E3253D" w:rsidRPr="005D642E">
        <w:rPr>
          <w:rtl/>
        </w:rPr>
        <w:t xml:space="preserve"> ، ج 4 ، ص 1329 ؛ </w:t>
      </w:r>
      <w:r w:rsidR="00E3253D" w:rsidRPr="002F4D34">
        <w:rPr>
          <w:rStyle w:val="libFootnoteBoldChar"/>
          <w:rtl/>
        </w:rPr>
        <w:t>النهاية</w:t>
      </w:r>
      <w:r w:rsidR="00E3253D" w:rsidRPr="005D642E">
        <w:rPr>
          <w:rtl/>
        </w:rPr>
        <w:t xml:space="preserve"> ، ج 5 ، ص 226 ( ولغ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 « الكلب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ى ، بح ، بس ، بف ، جح ، جس ، جن » </w:t>
      </w:r>
      <w:r w:rsidR="000D749A" w:rsidRPr="000D749A">
        <w:rPr>
          <w:rStyle w:val="libFootnoteBoldChar"/>
          <w:rtl/>
        </w:rPr>
        <w:t>والوافي</w:t>
      </w:r>
      <w:r w:rsidR="00E3253D" w:rsidRPr="005D642E">
        <w:rPr>
          <w:rtl/>
        </w:rPr>
        <w:t xml:space="preserve"> : « منه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قَالَ : « وَكَمْ قَدْرُ الْمَاءِ</w:t>
      </w:r>
      <w:r>
        <w:rPr>
          <w:rtl/>
          <w:lang w:bidi="fa-IR"/>
        </w:rPr>
        <w:t>؟</w:t>
      </w:r>
      <w:r w:rsidRPr="005D642E">
        <w:rPr>
          <w:rtl/>
          <w:lang w:bidi="fa-IR"/>
        </w:rPr>
        <w:t xml:space="preserve"> » قُلْتُ : إِلى نِصْفِ السَّاقِ ، وَإِلَى </w:t>
      </w:r>
      <w:r w:rsidRPr="007C12DB">
        <w:rPr>
          <w:rStyle w:val="libFootnotenumChar"/>
          <w:rtl/>
        </w:rPr>
        <w:t>(1)</w:t>
      </w:r>
      <w:r w:rsidRPr="005D642E">
        <w:rPr>
          <w:rtl/>
          <w:lang w:bidi="fa-IR"/>
        </w:rPr>
        <w:t xml:space="preserve"> الرُّكْبَةِ ، وَأَقَلَّ ، قَالَ :</w:t>
      </w:r>
      <w:r>
        <w:rPr>
          <w:rFonts w:hint="cs"/>
          <w:rtl/>
          <w:lang w:bidi="fa-IR"/>
        </w:rPr>
        <w:t xml:space="preserve"> </w:t>
      </w:r>
      <w:r w:rsidRPr="005D642E">
        <w:rPr>
          <w:rtl/>
          <w:lang w:bidi="fa-IR"/>
        </w:rPr>
        <w:t xml:space="preserve">« تَوَضَّأْ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19" w:name="_Toc344647217"/>
      <w:bookmarkStart w:id="20" w:name="_Toc462226732"/>
      <w:bookmarkStart w:id="21" w:name="_Toc40975838"/>
      <w:r w:rsidRPr="005D642E">
        <w:rPr>
          <w:rtl/>
          <w:lang w:bidi="fa-IR"/>
        </w:rPr>
        <w:t>4</w:t>
      </w:r>
      <w:r>
        <w:rPr>
          <w:rtl/>
          <w:lang w:bidi="fa-IR"/>
        </w:rPr>
        <w:t xml:space="preserve"> </w:t>
      </w:r>
      <w:r w:rsidR="007642BC">
        <w:rPr>
          <w:rtl/>
          <w:lang w:bidi="fa-IR"/>
        </w:rPr>
        <w:t>-</w:t>
      </w:r>
      <w:r>
        <w:rPr>
          <w:rtl/>
          <w:lang w:bidi="fa-IR"/>
        </w:rPr>
        <w:t xml:space="preserve"> </w:t>
      </w:r>
      <w:r w:rsidRPr="005D642E">
        <w:rPr>
          <w:rtl/>
          <w:lang w:bidi="fa-IR"/>
        </w:rPr>
        <w:t xml:space="preserve">بَابُ الْبِئْرِ وَمَا يَقَعُ </w:t>
      </w:r>
      <w:r w:rsidRPr="007C12DB">
        <w:rPr>
          <w:rStyle w:val="libFootnotenumChar"/>
          <w:rtl/>
        </w:rPr>
        <w:t>(4)</w:t>
      </w:r>
      <w:r>
        <w:rPr>
          <w:rtl/>
        </w:rPr>
        <w:t xml:space="preserve"> </w:t>
      </w:r>
      <w:r w:rsidRPr="005D642E">
        <w:rPr>
          <w:rtl/>
          <w:lang w:bidi="fa-IR"/>
        </w:rPr>
        <w:t>فِيهَا‌</w:t>
      </w:r>
      <w:bookmarkEnd w:id="19"/>
      <w:bookmarkEnd w:id="20"/>
      <w:bookmarkEnd w:id="21"/>
    </w:p>
    <w:p w:rsidR="00E3253D" w:rsidRPr="005D642E" w:rsidRDefault="00E3253D" w:rsidP="00E3253D">
      <w:pPr>
        <w:pStyle w:val="libNormal"/>
        <w:rPr>
          <w:rtl/>
          <w:lang w:bidi="fa-IR"/>
        </w:rPr>
      </w:pPr>
      <w:r w:rsidRPr="00C26248">
        <w:rPr>
          <w:rtl/>
        </w:rPr>
        <w:t>3822</w:t>
      </w:r>
      <w:r w:rsidRPr="00246318">
        <w:rPr>
          <w:rStyle w:val="libBold2Char"/>
          <w:rtl/>
        </w:rPr>
        <w:t xml:space="preserve"> / 1.</w:t>
      </w:r>
      <w:r w:rsidRPr="005D642E">
        <w:rPr>
          <w:rtl/>
          <w:lang w:bidi="fa-IR"/>
        </w:rPr>
        <w:t xml:space="preserve"> عِدَّةٌ مِنْ أَصْحَابِنَا ، عَنْ أَحْمَدَ بْنِ مُحَمَّدٍ ، عَنْ مُحَمَّدِ بْنِ إِسْمَاعِيلَ بْنِ بَزِيعٍ ، قَالَ :</w:t>
      </w:r>
    </w:p>
    <w:p w:rsidR="00E3253D" w:rsidRPr="005D642E" w:rsidRDefault="00E3253D" w:rsidP="00E3253D">
      <w:pPr>
        <w:pStyle w:val="libNormal"/>
        <w:rPr>
          <w:rtl/>
          <w:lang w:bidi="fa-IR"/>
        </w:rPr>
      </w:pPr>
      <w:r w:rsidRPr="005D642E">
        <w:rPr>
          <w:rtl/>
          <w:lang w:bidi="fa-IR"/>
        </w:rPr>
        <w:t xml:space="preserve">كَتَبْتُ إِلى رَجُلٍ أَسْأَلُهُ : أَنْ يَسْأَلَ أَبَا الْحَسَنِ الرِّضَا </w:t>
      </w:r>
      <w:r w:rsidRPr="00AC51C5">
        <w:rPr>
          <w:rStyle w:val="libAlaemChar"/>
          <w:rtl/>
        </w:rPr>
        <w:t>عليه‌السلام</w:t>
      </w:r>
      <w:r w:rsidRPr="005D642E">
        <w:rPr>
          <w:rtl/>
          <w:lang w:bidi="fa-IR"/>
        </w:rPr>
        <w:t xml:space="preserve"> عَنِ الْبِئْرِ تَكُونُ </w:t>
      </w:r>
      <w:r w:rsidRPr="007C12DB">
        <w:rPr>
          <w:rStyle w:val="libFootnotenumChar"/>
          <w:rtl/>
        </w:rPr>
        <w:t>(5)</w:t>
      </w:r>
      <w:r w:rsidRPr="005D642E">
        <w:rPr>
          <w:rtl/>
          <w:lang w:bidi="fa-IR"/>
        </w:rPr>
        <w:t xml:space="preserve"> فِي الْمَنْزِلِ لِلْوُضُوءِ ، فَتَقْطُرُ </w:t>
      </w:r>
      <w:r w:rsidRPr="007C12DB">
        <w:rPr>
          <w:rStyle w:val="libFootnotenumChar"/>
          <w:rtl/>
        </w:rPr>
        <w:t>(6)</w:t>
      </w:r>
      <w:r w:rsidRPr="005D642E">
        <w:rPr>
          <w:rtl/>
          <w:lang w:bidi="fa-IR"/>
        </w:rPr>
        <w:t xml:space="preserve"> فِيهَا قَطَرَاتٌ </w:t>
      </w:r>
      <w:r w:rsidRPr="007C12DB">
        <w:rPr>
          <w:rStyle w:val="libFootnotenumChar"/>
          <w:rtl/>
        </w:rPr>
        <w:t>(7)</w:t>
      </w:r>
      <w:r w:rsidRPr="005D642E">
        <w:rPr>
          <w:rtl/>
          <w:lang w:bidi="fa-IR"/>
        </w:rPr>
        <w:t xml:space="preserve"> مِنْ </w:t>
      </w:r>
      <w:r w:rsidRPr="007C12DB">
        <w:rPr>
          <w:rStyle w:val="libFootnotenumChar"/>
          <w:rtl/>
        </w:rPr>
        <w:t>(8)</w:t>
      </w:r>
      <w:r w:rsidRPr="005D642E">
        <w:rPr>
          <w:rtl/>
          <w:lang w:bidi="fa-IR"/>
        </w:rPr>
        <w:t xml:space="preserve"> بَوْلٍ ، أَوْ دَمٍ ، أَوْ يَسْقُطُ فِيهَا </w:t>
      </w:r>
      <w:r w:rsidRPr="007C12DB">
        <w:rPr>
          <w:rStyle w:val="libFootnotenumChar"/>
          <w:rtl/>
        </w:rPr>
        <w:t>(9)</w:t>
      </w:r>
      <w:r w:rsidRPr="005D642E">
        <w:rPr>
          <w:rtl/>
          <w:lang w:bidi="fa-IR"/>
        </w:rPr>
        <w:t xml:space="preserve"> شَيْ‌ءٌ مِنْ عَذِرَةٍ كَالْبَعْرَةِ </w:t>
      </w:r>
      <w:r w:rsidRPr="007C12DB">
        <w:rPr>
          <w:rStyle w:val="libFootnotenumChar"/>
          <w:rtl/>
        </w:rPr>
        <w:t>(10)</w:t>
      </w:r>
      <w:r w:rsidRPr="005D642E">
        <w:rPr>
          <w:rtl/>
          <w:lang w:bidi="fa-IR"/>
        </w:rPr>
        <w:t xml:space="preserve"> وَنَحْوِهَا : مَا الَّذِي يُطَهِّرُهَا حَتّى يَحِلَّ الْوُضُوءُ مِنْهَا </w:t>
      </w:r>
      <w:r w:rsidRPr="007C12DB">
        <w:rPr>
          <w:rStyle w:val="libFootnotenumChar"/>
          <w:rtl/>
        </w:rPr>
        <w:t>(11)</w:t>
      </w:r>
      <w:r w:rsidRPr="005D642E">
        <w:rPr>
          <w:rtl/>
          <w:lang w:bidi="fa-IR"/>
        </w:rPr>
        <w:t xml:space="preserve"> لِلصَّلَاةِ</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إلى » بدون الواو.</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بح ، بخ ، بف ، جح » : « توضّ »</w:t>
      </w:r>
      <w:r w:rsidR="00E3253D">
        <w:rPr>
          <w:rtl/>
        </w:rPr>
        <w:t>.</w:t>
      </w:r>
      <w:r w:rsidR="00D47A73">
        <w:rPr>
          <w:rtl/>
        </w:rPr>
        <w:t xml:space="preserve"> واستدلّ به العل</w:t>
      </w:r>
      <w:r w:rsidR="00D47A73">
        <w:rPr>
          <w:rFonts w:hint="cs"/>
          <w:rtl/>
        </w:rPr>
        <w:t>ّ</w:t>
      </w:r>
      <w:r w:rsidR="00D47A73">
        <w:rPr>
          <w:rtl/>
        </w:rPr>
        <w:t>ا</w:t>
      </w:r>
      <w:r w:rsidR="00E3253D" w:rsidRPr="005D642E">
        <w:rPr>
          <w:rtl/>
        </w:rPr>
        <w:t xml:space="preserve">مة الفيض على عدم </w:t>
      </w:r>
      <w:r w:rsidR="008A1796">
        <w:rPr>
          <w:rtl/>
        </w:rPr>
        <w:t>انفعال القليل ، وأجاب عنه العل</w:t>
      </w:r>
      <w:r w:rsidR="008A1796">
        <w:rPr>
          <w:rFonts w:hint="cs"/>
          <w:rtl/>
        </w:rPr>
        <w:t>ّ</w:t>
      </w:r>
      <w:r w:rsidR="008A1796">
        <w:rPr>
          <w:rtl/>
        </w:rPr>
        <w:t>ا</w:t>
      </w:r>
      <w:r w:rsidR="00E3253D" w:rsidRPr="005D642E">
        <w:rPr>
          <w:rtl/>
        </w:rPr>
        <w:t>مة المجلسي بقوله : « وفيه نظر ظاهر ؛ لجواز أن يكون الحياض المذكورة إذا كان ماؤها بقدر نصف الساق يكون كرّاً ، بل الاست</w:t>
      </w:r>
      <w:r w:rsidR="00E77A7D">
        <w:rPr>
          <w:rtl/>
        </w:rPr>
        <w:t>دلال بالانفعال أظهر ؛ لئل</w:t>
      </w:r>
      <w:r w:rsidR="00E77A7D">
        <w:rPr>
          <w:rFonts w:hint="cs"/>
          <w:rtl/>
        </w:rPr>
        <w:t>ّ</w:t>
      </w:r>
      <w:r w:rsidR="00E77A7D">
        <w:rPr>
          <w:rtl/>
        </w:rPr>
        <w:t>ا</w:t>
      </w:r>
      <w:r w:rsidR="00E3253D" w:rsidRPr="005D642E">
        <w:rPr>
          <w:rtl/>
        </w:rPr>
        <w:t xml:space="preserve"> يلغو السؤال » ثمّ ذكر إشكالاً وأجاب عنه بقوله : « فإن قلت : قوله : وأقلّ</w:t>
      </w:r>
      <w:r w:rsidR="00E3253D">
        <w:rPr>
          <w:rtl/>
        </w:rPr>
        <w:t xml:space="preserve"> ..</w:t>
      </w:r>
      <w:r w:rsidR="00E3253D" w:rsidRPr="005D642E">
        <w:rPr>
          <w:rtl/>
        </w:rPr>
        <w:t xml:space="preserve">. على مطلوبنا أدلّ ، قلت : المراد بالأقلّ أقلّ من الركبة ، لا أقلّ من نصف الساق أيضاً ، أو المراد أقلّ بقليل ، وكان يعلم </w:t>
      </w:r>
      <w:r w:rsidR="00E3253D" w:rsidRPr="001C2F9E">
        <w:rPr>
          <w:rStyle w:val="libFootnoteAlaemChar"/>
          <w:rtl/>
        </w:rPr>
        <w:t>عليه‌السلام</w:t>
      </w:r>
      <w:r w:rsidR="00E3253D" w:rsidRPr="005D642E">
        <w:rPr>
          <w:rtl/>
        </w:rPr>
        <w:t xml:space="preserve"> أنّ ذلك الأقلّ أيضاً في تلك الحياض كرّ ، كيف لا</w:t>
      </w:r>
      <w:r w:rsidR="00E3253D">
        <w:rPr>
          <w:rtl/>
        </w:rPr>
        <w:t>؟</w:t>
      </w:r>
      <w:r w:rsidR="00E3253D" w:rsidRPr="005D642E">
        <w:rPr>
          <w:rtl/>
        </w:rPr>
        <w:t xml:space="preserve"> ولو لم يحمل على أحد هذين ، لم يكن لسؤاله </w:t>
      </w:r>
      <w:r w:rsidR="00E3253D" w:rsidRPr="001C2F9E">
        <w:rPr>
          <w:rStyle w:val="libFootnoteAlaemChar"/>
          <w:rtl/>
        </w:rPr>
        <w:t>عليه‌السلام</w:t>
      </w:r>
      <w:r w:rsidR="00E3253D" w:rsidRPr="005D642E">
        <w:rPr>
          <w:rtl/>
        </w:rPr>
        <w:t xml:space="preserve"> عن القدر ، ثمّ جوابه بما أجاب وجه وجيه ، فتأمّل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417 ، ح 1317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22 ، ح 54 ، بسندهما عن أحمد بن محمّد بن أبي نصر ، مع اختلاف يسير </w:t>
      </w:r>
      <w:r w:rsidR="001C2F9E">
        <w:rPr>
          <w:rFonts w:hint="cs"/>
          <w:rtl/>
        </w:rPr>
        <w:t>.</w:t>
      </w:r>
      <w:r w:rsidR="00E3253D" w:rsidRPr="002F4D34">
        <w:rPr>
          <w:rStyle w:val="libFootnoteBoldChar"/>
          <w:rtl/>
        </w:rPr>
        <w:t>الوافي</w:t>
      </w:r>
      <w:r w:rsidR="00E3253D" w:rsidRPr="005D642E">
        <w:rPr>
          <w:rtl/>
        </w:rPr>
        <w:t xml:space="preserve"> ، ج 6 ، ص 31 ، ح 3691 ؛ </w:t>
      </w:r>
      <w:r w:rsidR="00E3253D" w:rsidRPr="002F4D34">
        <w:rPr>
          <w:rStyle w:val="libFootnoteBoldChar"/>
          <w:rtl/>
        </w:rPr>
        <w:t>الوسائل</w:t>
      </w:r>
      <w:r w:rsidR="00E3253D" w:rsidRPr="005D642E">
        <w:rPr>
          <w:rtl/>
        </w:rPr>
        <w:t xml:space="preserve"> ، ج 1 ، ص 163 ، ذيل ح 403.</w:t>
      </w:r>
    </w:p>
    <w:tbl>
      <w:tblPr>
        <w:tblStyle w:val="TableGrid"/>
        <w:bidiVisual/>
        <w:tblW w:w="0" w:type="auto"/>
        <w:tblLook w:val="04A0" w:firstRow="1" w:lastRow="0" w:firstColumn="1" w:lastColumn="0" w:noHBand="0" w:noVBand="1"/>
      </w:tblPr>
      <w:tblGrid>
        <w:gridCol w:w="4006"/>
        <w:gridCol w:w="4006"/>
      </w:tblGrid>
      <w:tr w:rsidR="001C2F9E" w:rsidTr="001C2F9E">
        <w:tc>
          <w:tcPr>
            <w:tcW w:w="4006" w:type="dxa"/>
          </w:tcPr>
          <w:p w:rsidR="001C2F9E" w:rsidRDefault="0042621E" w:rsidP="00E3253D">
            <w:pPr>
              <w:pStyle w:val="libFootnote0"/>
              <w:rPr>
                <w:rtl/>
              </w:rPr>
            </w:pPr>
            <w:r w:rsidRPr="0042621E">
              <w:rPr>
                <w:rStyle w:val="libFootnote0Char"/>
                <w:rtl/>
              </w:rPr>
              <w:t>(4).</w:t>
            </w:r>
            <w:r w:rsidR="001C2F9E" w:rsidRPr="005D642E">
              <w:rPr>
                <w:rtl/>
              </w:rPr>
              <w:t xml:space="preserve"> في « جس » : « وما وقع »</w:t>
            </w:r>
            <w:r w:rsidR="001C2F9E">
              <w:rPr>
                <w:rtl/>
              </w:rPr>
              <w:t>.</w:t>
            </w:r>
          </w:p>
        </w:tc>
        <w:tc>
          <w:tcPr>
            <w:tcW w:w="4006" w:type="dxa"/>
          </w:tcPr>
          <w:p w:rsidR="001C2F9E" w:rsidRDefault="0042621E" w:rsidP="00E3253D">
            <w:pPr>
              <w:pStyle w:val="libFootnote0"/>
              <w:rPr>
                <w:rtl/>
              </w:rPr>
            </w:pPr>
            <w:r w:rsidRPr="0042621E">
              <w:rPr>
                <w:rStyle w:val="libFootnote0Char"/>
                <w:rtl/>
              </w:rPr>
              <w:t>(5).</w:t>
            </w:r>
            <w:r w:rsidR="00C75DB4">
              <w:rPr>
                <w:rtl/>
              </w:rPr>
              <w:t xml:space="preserve"> في«غ،بح،بخ،بف،جح،جن»</w:t>
            </w:r>
            <w:r w:rsidR="00B60612" w:rsidRPr="00B60612">
              <w:rPr>
                <w:rStyle w:val="libFootnoteBoldChar"/>
                <w:rtl/>
              </w:rPr>
              <w:t>والتهذيب</w:t>
            </w:r>
            <w:r w:rsidR="00C75DB4">
              <w:rPr>
                <w:rtl/>
              </w:rPr>
              <w:t>:</w:t>
            </w:r>
            <w:r w:rsidR="009F10EE">
              <w:rPr>
                <w:rtl/>
              </w:rPr>
              <w:t>«يكون</w:t>
            </w:r>
            <w:r w:rsidR="001C2F9E" w:rsidRPr="005D642E">
              <w:rPr>
                <w:rtl/>
              </w:rPr>
              <w:t>»</w:t>
            </w:r>
            <w:r w:rsidR="001C2F9E">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بخ ، بس ، جس ، جن » </w:t>
      </w:r>
      <w:r w:rsidR="000D749A" w:rsidRPr="000D749A">
        <w:rPr>
          <w:rStyle w:val="libFootnoteBoldChar"/>
          <w:rtl/>
        </w:rPr>
        <w:t>والوافي</w:t>
      </w:r>
      <w:r w:rsidR="00E3253D" w:rsidRPr="005D642E">
        <w:rPr>
          <w:rtl/>
        </w:rPr>
        <w:t xml:space="preserve"> والوسائل : « فيقطر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قطرات فيها » بدل « فيها قطرات »</w:t>
      </w:r>
      <w:r w:rsidR="00E3253D">
        <w:rPr>
          <w:rtl/>
        </w:rPr>
        <w:t>.</w:t>
      </w:r>
    </w:p>
    <w:tbl>
      <w:tblPr>
        <w:tblStyle w:val="TableGrid"/>
        <w:bidiVisual/>
        <w:tblW w:w="0" w:type="auto"/>
        <w:tblLook w:val="04A0" w:firstRow="1" w:lastRow="0" w:firstColumn="1" w:lastColumn="0" w:noHBand="0" w:noVBand="1"/>
      </w:tblPr>
      <w:tblGrid>
        <w:gridCol w:w="4006"/>
        <w:gridCol w:w="4006"/>
      </w:tblGrid>
      <w:tr w:rsidR="00375A60" w:rsidTr="00375A60">
        <w:tc>
          <w:tcPr>
            <w:tcW w:w="4006" w:type="dxa"/>
          </w:tcPr>
          <w:p w:rsidR="00375A60" w:rsidRDefault="0042621E" w:rsidP="00E3253D">
            <w:pPr>
              <w:pStyle w:val="libFootnote0"/>
              <w:rPr>
                <w:rtl/>
              </w:rPr>
            </w:pPr>
            <w:r w:rsidRPr="0042621E">
              <w:rPr>
                <w:rStyle w:val="libFootnote0Char"/>
                <w:rtl/>
              </w:rPr>
              <w:t>(8).</w:t>
            </w:r>
            <w:r w:rsidR="00375A60" w:rsidRPr="005D642E">
              <w:rPr>
                <w:rtl/>
              </w:rPr>
              <w:t xml:space="preserve"> في « ى » :</w:t>
            </w:r>
            <w:r w:rsidR="00375A60">
              <w:rPr>
                <w:rtl/>
              </w:rPr>
              <w:t xml:space="preserve"> - </w:t>
            </w:r>
            <w:r w:rsidR="00375A60" w:rsidRPr="005D642E">
              <w:rPr>
                <w:rtl/>
              </w:rPr>
              <w:t>« من »</w:t>
            </w:r>
            <w:r w:rsidR="00375A60">
              <w:rPr>
                <w:rtl/>
              </w:rPr>
              <w:t>.</w:t>
            </w:r>
          </w:p>
        </w:tc>
        <w:tc>
          <w:tcPr>
            <w:tcW w:w="4006" w:type="dxa"/>
          </w:tcPr>
          <w:p w:rsidR="00375A60" w:rsidRDefault="0042621E" w:rsidP="00E3253D">
            <w:pPr>
              <w:pStyle w:val="libFootnote0"/>
              <w:rPr>
                <w:rtl/>
              </w:rPr>
            </w:pPr>
            <w:r w:rsidRPr="0042621E">
              <w:rPr>
                <w:rStyle w:val="libFootnote0Char"/>
                <w:rtl/>
              </w:rPr>
              <w:t>(9).</w:t>
            </w:r>
            <w:r w:rsidR="00375A60" w:rsidRPr="005D642E">
              <w:rPr>
                <w:rtl/>
              </w:rPr>
              <w:t xml:space="preserve"> في « بح » : « سقط فيها »</w:t>
            </w:r>
            <w:r w:rsidR="00375A60">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البَعْرَةُ » : واحدة البعر. والبَعْر والبَعَر : سرجين ذوات الخفّ والظِلف من الإب</w:t>
      </w:r>
      <w:r w:rsidR="00A12E86">
        <w:rPr>
          <w:rtl/>
        </w:rPr>
        <w:t>ل والشاء وبقر الوحش والظباء إل</w:t>
      </w:r>
      <w:r w:rsidR="00A12E86">
        <w:rPr>
          <w:rFonts w:hint="cs"/>
          <w:rtl/>
        </w:rPr>
        <w:t>ّ</w:t>
      </w:r>
      <w:r w:rsidR="00A12E86">
        <w:rPr>
          <w:rtl/>
        </w:rPr>
        <w:t>ا</w:t>
      </w:r>
      <w:r w:rsidR="00E3253D">
        <w:rPr>
          <w:rFonts w:hint="cs"/>
          <w:rtl/>
        </w:rPr>
        <w:t xml:space="preserve"> </w:t>
      </w:r>
      <w:r w:rsidR="00E3253D" w:rsidRPr="005D642E">
        <w:rPr>
          <w:rtl/>
        </w:rPr>
        <w:t xml:space="preserve">البقر الأهليّة ؛ فإنّها تَخثي وهو خَثْيها. وقيل : هي من البعير والغنم بمنزلة العذرة من الإنسان. راجع : </w:t>
      </w:r>
      <w:r w:rsidR="00E3253D" w:rsidRPr="002F4D34">
        <w:rPr>
          <w:rStyle w:val="libFootnoteBoldChar"/>
          <w:rtl/>
        </w:rPr>
        <w:t>لسان العرب</w:t>
      </w:r>
      <w:r w:rsidR="00E3253D" w:rsidRPr="005D642E">
        <w:rPr>
          <w:rtl/>
        </w:rPr>
        <w:t xml:space="preserve"> ، ج 4 ، ص 71 ؛ </w:t>
      </w:r>
      <w:r w:rsidR="00E3253D" w:rsidRPr="002F4D34">
        <w:rPr>
          <w:rStyle w:val="libFootnoteBoldChar"/>
          <w:rtl/>
        </w:rPr>
        <w:t>مجمع البحرين</w:t>
      </w:r>
      <w:r w:rsidR="00E3253D" w:rsidRPr="005D642E">
        <w:rPr>
          <w:rtl/>
        </w:rPr>
        <w:t xml:space="preserve"> ، ج 3 ، ص 227 ( بعر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الوافي</w:t>
      </w:r>
      <w:r w:rsidR="00E3253D" w:rsidRPr="005D642E">
        <w:rPr>
          <w:rtl/>
        </w:rPr>
        <w:t xml:space="preserve"> : « أراد بالتطهير معناه اللغويّ أعني التطييب ، وإزالة النفرة والاستقذار الحاصلين من وقوع </w:t>
      </w:r>
      <w:r w:rsidR="00A12E8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فَوَقَّعَ </w:t>
      </w:r>
      <w:r w:rsidRPr="00AC51C5">
        <w:rPr>
          <w:rStyle w:val="libAlaemChar"/>
          <w:rtl/>
        </w:rPr>
        <w:t>عليه‌السلام</w:t>
      </w:r>
      <w:r w:rsidRPr="005D642E">
        <w:rPr>
          <w:rtl/>
          <w:lang w:bidi="fa-IR"/>
        </w:rPr>
        <w:t xml:space="preserve"> بِخَطِّهِ فِي كِتَابِي </w:t>
      </w:r>
      <w:r w:rsidRPr="007C12DB">
        <w:rPr>
          <w:rStyle w:val="libFootnotenumChar"/>
          <w:rtl/>
        </w:rPr>
        <w:t>(1)</w:t>
      </w:r>
      <w:r w:rsidRPr="005D642E">
        <w:rPr>
          <w:rtl/>
          <w:lang w:bidi="fa-IR"/>
        </w:rPr>
        <w:t xml:space="preserve"> : « تَنْزَحُ مِنْهَا دِلَاءً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246318">
        <w:rPr>
          <w:rStyle w:val="libBold2Char"/>
          <w:rtl/>
        </w:rPr>
        <w:t>3823 / 2.</w:t>
      </w:r>
      <w:r w:rsidRPr="005D642E">
        <w:rPr>
          <w:rtl/>
          <w:lang w:bidi="fa-IR"/>
        </w:rPr>
        <w:t xml:space="preserve"> وَبِهذَا الْإِسْنَادِ ، قَالَ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5D642E">
        <w:rPr>
          <w:rtl/>
          <w:lang w:bidi="fa-IR"/>
        </w:rPr>
        <w:t>« مَاءُ الْبِئْرِ وَاسِع</w:t>
      </w:r>
      <w:r w:rsidR="00AF090C">
        <w:rPr>
          <w:rtl/>
          <w:lang w:bidi="fa-IR"/>
        </w:rPr>
        <w:t>ٌ لَايُفْسِدُهُ شَيْ‌ءٌ ، إِل</w:t>
      </w:r>
      <w:r w:rsidR="00AF090C">
        <w:rPr>
          <w:rFonts w:hint="cs"/>
          <w:rtl/>
          <w:lang w:bidi="fa-IR"/>
        </w:rPr>
        <w:t>َّ</w:t>
      </w:r>
      <w:r w:rsidR="00AF090C">
        <w:rPr>
          <w:rtl/>
          <w:lang w:bidi="fa-IR"/>
        </w:rPr>
        <w:t>ا</w:t>
      </w:r>
      <w:r w:rsidRPr="005D642E">
        <w:rPr>
          <w:rtl/>
          <w:lang w:bidi="fa-IR"/>
        </w:rPr>
        <w:t xml:space="preserve"> أَنْ يَتَغَيَّرَ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246318">
        <w:rPr>
          <w:rStyle w:val="libBold2Char"/>
          <w:rtl/>
        </w:rPr>
        <w:t>3824 / 3.</w:t>
      </w:r>
      <w:r w:rsidRPr="005D642E">
        <w:rPr>
          <w:rtl/>
          <w:lang w:bidi="fa-IR"/>
        </w:rPr>
        <w:t xml:space="preserve"> عَلِيُّ بْنُ إِبْرَاهِيمَ ، عَنْ أَبِيهِ ، عَنِ ابْنِ أَبِي عُمَيْرٍ ، عَنْ جَمِيلِ بْنِ دَرَّاجٍ ، عَنْ أَبِي أُسَامَةَ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الْفَأْرَةِ وَالسِّنَّوْرِ وَالدَّجَاجَةِ وَالطَّيْرِ وَالْكَلْبِ </w:t>
      </w:r>
      <w:r w:rsidRPr="007C12DB">
        <w:rPr>
          <w:rStyle w:val="libFootnotenumChar"/>
          <w:rtl/>
        </w:rPr>
        <w:t>(7)</w:t>
      </w:r>
      <w:r w:rsidRPr="005D642E">
        <w:rPr>
          <w:rtl/>
          <w:lang w:bidi="fa-IR"/>
        </w:rPr>
        <w:t xml:space="preserve"> ، قَالَ : « مَا لَمْ‌</w:t>
      </w:r>
    </w:p>
    <w:p w:rsidR="00E3253D" w:rsidRPr="005D642E" w:rsidRDefault="00E3253D" w:rsidP="00E3253D">
      <w:pPr>
        <w:pStyle w:val="libLine"/>
        <w:rPr>
          <w:rtl/>
          <w:lang w:bidi="fa-IR"/>
        </w:rPr>
      </w:pPr>
      <w:r w:rsidRPr="005D642E">
        <w:rPr>
          <w:rtl/>
          <w:lang w:bidi="fa-IR"/>
        </w:rPr>
        <w:t>__________________</w:t>
      </w:r>
    </w:p>
    <w:p w:rsidR="00E3253D" w:rsidRPr="005D642E" w:rsidRDefault="00E038F6" w:rsidP="00E038F6">
      <w:pPr>
        <w:pStyle w:val="libFootnote0"/>
        <w:rPr>
          <w:rtl/>
          <w:lang w:bidi="fa-IR"/>
        </w:rPr>
      </w:pPr>
      <w:r>
        <w:rPr>
          <w:rFonts w:hint="cs"/>
          <w:rtl/>
        </w:rPr>
        <w:t xml:space="preserve">= </w:t>
      </w:r>
      <w:r w:rsidR="00E3253D" w:rsidRPr="005D642E">
        <w:rPr>
          <w:rtl/>
        </w:rPr>
        <w:t>تلك الأشياء فيها حتّى يصلح للوضوء ويباح به بلا كراهة ، كما يدلّ عليه قوله : حتّى يحلّ الوضوء منها ، وذلك لما عرفت أنّ الماء الذي يرفع به الحدث لابدّ له من مزيد اختصاص سوى ما يعتبر في الطهارة من الخبث</w:t>
      </w:r>
      <w:r w:rsidR="00E3253D">
        <w:rPr>
          <w:rtl/>
        </w:rPr>
        <w:t xml:space="preserve"> ..</w:t>
      </w:r>
      <w:r w:rsidR="00E3253D" w:rsidRPr="005D642E">
        <w:rPr>
          <w:rtl/>
        </w:rPr>
        <w:t xml:space="preserve">. وأكثر هذه الأبواب مبنيّ على هذه القاعدة التي غفل عنها الأكثرون حتّى زعم جماعة أنّ نزح مياه الآبار إنّما هو لتطهيرها من نجاسة الأخباث وإن لم يتغيّر </w:t>
      </w:r>
      <w:r>
        <w:rPr>
          <w:rtl/>
        </w:rPr>
        <w:t>بها ، وقد عرفت أنّها لاتنجس إل</w:t>
      </w:r>
      <w:r>
        <w:rPr>
          <w:rFonts w:hint="cs"/>
          <w:rtl/>
        </w:rPr>
        <w:t>ّ</w:t>
      </w:r>
      <w:r>
        <w:rPr>
          <w:rtl/>
        </w:rPr>
        <w:t>ا</w:t>
      </w:r>
      <w:r w:rsidR="00E3253D">
        <w:rPr>
          <w:rFonts w:hint="cs"/>
          <w:rtl/>
        </w:rPr>
        <w:t xml:space="preserve"> </w:t>
      </w:r>
      <w:r w:rsidR="00E3253D" w:rsidRPr="005D642E">
        <w:rPr>
          <w:rtl/>
        </w:rPr>
        <w:t>إذا تغيّرت كسائر المياه »</w:t>
      </w:r>
      <w:r w:rsidR="00E3253D">
        <w:rPr>
          <w:rtl/>
        </w:rPr>
        <w:t>.</w:t>
      </w:r>
      <w:r w:rsidR="00E3253D" w:rsidRPr="005D642E">
        <w:rPr>
          <w:rtl/>
        </w:rPr>
        <w:t xml:space="preserve"> وللمزيد راجع : </w:t>
      </w:r>
      <w:r w:rsidR="00E3253D" w:rsidRPr="002F4D34">
        <w:rPr>
          <w:rStyle w:val="libFootnoteBoldChar"/>
          <w:rtl/>
        </w:rPr>
        <w:t>مرآة العقول</w:t>
      </w:r>
      <w:r w:rsidR="00E3253D" w:rsidRPr="005D642E">
        <w:rPr>
          <w:rtl/>
        </w:rPr>
        <w:t xml:space="preserve"> ، ج 13 ، ص 22</w:t>
      </w:r>
      <w:r w:rsidR="00E3253D">
        <w:rPr>
          <w:rtl/>
        </w:rPr>
        <w:t xml:space="preserve"> </w:t>
      </w:r>
      <w:r w:rsidR="007642BC">
        <w:rPr>
          <w:rtl/>
        </w:rPr>
        <w:t>-</w:t>
      </w:r>
      <w:r w:rsidR="00E3253D">
        <w:rPr>
          <w:rtl/>
        </w:rPr>
        <w:t xml:space="preserve"> </w:t>
      </w:r>
      <w:r w:rsidR="00E3253D" w:rsidRPr="005D642E">
        <w:rPr>
          <w:rtl/>
        </w:rPr>
        <w:t>25.</w:t>
      </w:r>
      <w:r>
        <w:rPr>
          <w:rFonts w:hint="cs"/>
          <w:rtl/>
        </w:rPr>
        <w:t xml:space="preserve">                                      </w:t>
      </w:r>
      <w:r w:rsidR="0042621E" w:rsidRPr="0042621E">
        <w:rPr>
          <w:rStyle w:val="libFootnote0Char"/>
          <w:rtl/>
        </w:rPr>
        <w:t>(1).</w:t>
      </w:r>
      <w:r w:rsidR="00E3253D" w:rsidRPr="005D642E">
        <w:rPr>
          <w:rtl/>
        </w:rPr>
        <w:t xml:space="preserve"> في « جس » </w:t>
      </w:r>
      <w:r w:rsidR="00B60612" w:rsidRPr="00B60612">
        <w:rPr>
          <w:rStyle w:val="libFootnoteBoldChar"/>
          <w:rtl/>
        </w:rPr>
        <w:t>والتهذيب</w:t>
      </w:r>
      <w:r w:rsidR="00E3253D" w:rsidRPr="005D642E">
        <w:rPr>
          <w:rtl/>
        </w:rPr>
        <w:t xml:space="preserve"> : « في كتابي بخطّه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غ ، بخ ، بس ، بف ، جح ، جن » </w:t>
      </w:r>
      <w:r w:rsidR="000D749A" w:rsidRPr="000D749A">
        <w:rPr>
          <w:rStyle w:val="libFootnoteBoldChar"/>
          <w:rtl/>
        </w:rPr>
        <w:t>والوافي</w:t>
      </w:r>
      <w:r w:rsidR="00E3253D" w:rsidRPr="005D642E">
        <w:rPr>
          <w:rtl/>
        </w:rPr>
        <w:t xml:space="preserve"> : « ينزح دلاء منها »</w:t>
      </w:r>
      <w:r w:rsidR="00E3253D">
        <w:rPr>
          <w:rtl/>
        </w:rPr>
        <w:t>.</w:t>
      </w:r>
      <w:r w:rsidR="00E3253D" w:rsidRPr="005D642E">
        <w:rPr>
          <w:rtl/>
        </w:rPr>
        <w:t xml:space="preserve"> وفي « جح » : « ينزح منها دلاء »</w:t>
      </w:r>
      <w:r w:rsidR="00E3253D">
        <w:rPr>
          <w:rtl/>
        </w:rPr>
        <w:t>.</w:t>
      </w:r>
      <w:r w:rsidR="00E3253D" w:rsidRPr="005D642E">
        <w:rPr>
          <w:rtl/>
        </w:rPr>
        <w:t xml:space="preserve"> وفي‌حاشية « ى » : « ينزع » بدل « تنزح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244 ، ح 705 ، بسنده عن الكليني. </w:t>
      </w:r>
      <w:r w:rsidR="00E3253D" w:rsidRPr="002F4D34">
        <w:rPr>
          <w:rStyle w:val="libFootnoteBoldChar"/>
          <w:rtl/>
        </w:rPr>
        <w:t>الاستبصار</w:t>
      </w:r>
      <w:r w:rsidR="00E3253D" w:rsidRPr="005D642E">
        <w:rPr>
          <w:rtl/>
        </w:rPr>
        <w:t xml:space="preserve"> ، ج 1 ، ص 44 ، ح 124 ، معلّقاً عن أحمد بن محمّد </w:t>
      </w:r>
      <w:r w:rsidR="00E038F6">
        <w:rPr>
          <w:rFonts w:hint="cs"/>
          <w:rtl/>
        </w:rPr>
        <w:t>.</w:t>
      </w:r>
      <w:r w:rsidR="00E3253D" w:rsidRPr="002F4D34">
        <w:rPr>
          <w:rStyle w:val="libFootnoteBoldChar"/>
          <w:rtl/>
        </w:rPr>
        <w:t>الوافي</w:t>
      </w:r>
      <w:r w:rsidR="00E3253D" w:rsidRPr="005D642E">
        <w:rPr>
          <w:rtl/>
        </w:rPr>
        <w:t xml:space="preserve"> ، ج 6 ، ص 55 ، ح 3744 ؛ </w:t>
      </w:r>
      <w:r w:rsidR="00E3253D" w:rsidRPr="002F4D34">
        <w:rPr>
          <w:rStyle w:val="libFootnoteBoldChar"/>
          <w:rtl/>
        </w:rPr>
        <w:t>الوسائل</w:t>
      </w:r>
      <w:r w:rsidR="00E3253D" w:rsidRPr="005D642E">
        <w:rPr>
          <w:rtl/>
        </w:rPr>
        <w:t xml:space="preserve"> ، ج 1 ، ص 176 ، ذيل ح 442.</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الضمير المستتر في « قال » راجع إلى أبي الحسن الرضا </w:t>
      </w:r>
      <w:r w:rsidR="00E3253D" w:rsidRPr="00E038F6">
        <w:rPr>
          <w:rStyle w:val="libFootnoteAlaemChar"/>
          <w:rtl/>
        </w:rPr>
        <w:t>عليه‌السلام</w:t>
      </w:r>
      <w:r w:rsidR="00E3253D" w:rsidRPr="005D642E">
        <w:rPr>
          <w:rtl/>
        </w:rPr>
        <w:t xml:space="preserve"> ، والمراد من « بهذا الإسناد » السند المتقدّم عليه. ويؤيّد ذلك أنّ الخبر رواه الشيخ الطوسي في </w:t>
      </w:r>
      <w:r w:rsidR="00E3253D" w:rsidRPr="002F4D34">
        <w:rPr>
          <w:rStyle w:val="libFootnoteBoldChar"/>
          <w:rtl/>
        </w:rPr>
        <w:t>التهذيب</w:t>
      </w:r>
      <w:r w:rsidR="00E3253D" w:rsidRPr="005D642E">
        <w:rPr>
          <w:rtl/>
        </w:rPr>
        <w:t xml:space="preserve"> ، ج 1 ، ص 234 ، ح 676</w:t>
      </w:r>
      <w:r w:rsidR="00E3253D">
        <w:rPr>
          <w:rtl/>
        </w:rPr>
        <w:t xml:space="preserve"> </w:t>
      </w:r>
      <w:r w:rsidR="007642BC">
        <w:rPr>
          <w:rtl/>
        </w:rPr>
        <w:t>-</w:t>
      </w:r>
      <w:r w:rsidR="00E3253D">
        <w:rPr>
          <w:rtl/>
        </w:rPr>
        <w:t xml:space="preserve"> </w:t>
      </w:r>
      <w:r w:rsidR="00E3253D" w:rsidRPr="005D642E">
        <w:rPr>
          <w:rtl/>
        </w:rPr>
        <w:t>مع زيادة</w:t>
      </w:r>
      <w:r w:rsidR="00E3253D">
        <w:rPr>
          <w:rtl/>
        </w:rPr>
        <w:t xml:space="preserve"> </w:t>
      </w:r>
      <w:r w:rsidR="007642BC">
        <w:rPr>
          <w:rtl/>
        </w:rPr>
        <w:t>-</w:t>
      </w:r>
      <w:r w:rsidR="00E3253D">
        <w:rPr>
          <w:rtl/>
        </w:rPr>
        <w:t xml:space="preserve"> </w:t>
      </w:r>
      <w:r w:rsidR="00E3253D" w:rsidRPr="005D642E">
        <w:rPr>
          <w:rtl/>
        </w:rPr>
        <w:t>بسنده عن سعد بن عبدالله ، عن أحمد بن محمّد ، عن محمّد بن إسماعيل بن بزيع ، قال : كتبت إلى رجل أسأله أن يسأل أبا</w:t>
      </w:r>
      <w:r w:rsidR="00E3253D">
        <w:rPr>
          <w:rFonts w:hint="cs"/>
          <w:rtl/>
        </w:rPr>
        <w:t xml:space="preserve"> </w:t>
      </w:r>
      <w:r w:rsidR="00E3253D" w:rsidRPr="005D642E">
        <w:rPr>
          <w:rtl/>
        </w:rPr>
        <w:t xml:space="preserve">الحسن الرضا </w:t>
      </w:r>
      <w:r w:rsidR="00E3253D" w:rsidRPr="00E038F6">
        <w:rPr>
          <w:rStyle w:val="libFootnoteAlaemChar"/>
          <w:rtl/>
        </w:rPr>
        <w:t>عليه‌السلام</w:t>
      </w:r>
      <w:r w:rsidR="00E3253D" w:rsidRPr="005D642E">
        <w:rPr>
          <w:rtl/>
        </w:rPr>
        <w:t xml:space="preserve"> فقال.</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 ى ، بث ، بح ، بخ ، بس ، جس ، جن » </w:t>
      </w:r>
      <w:r w:rsidR="00B60612" w:rsidRPr="00B60612">
        <w:rPr>
          <w:rStyle w:val="libFootnoteBoldChar"/>
          <w:rtl/>
        </w:rPr>
        <w:t>والتهذيب</w:t>
      </w:r>
      <w:r w:rsidR="00E3253D" w:rsidRPr="005D642E">
        <w:rPr>
          <w:rtl/>
        </w:rPr>
        <w:t xml:space="preserve"> ، ص 409. وفي « غ ، بف ، جح » والمطبوع : + « به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409 ، ح 1287 ، معلّقاً عن أحمد بن محمّد ؛ </w:t>
      </w:r>
      <w:r w:rsidR="00E3253D" w:rsidRPr="002F4D34">
        <w:rPr>
          <w:rStyle w:val="libFootnoteBoldChar"/>
          <w:rtl/>
        </w:rPr>
        <w:t>فيه</w:t>
      </w:r>
      <w:r w:rsidR="00E3253D" w:rsidRPr="005D642E">
        <w:rPr>
          <w:rtl/>
        </w:rPr>
        <w:t xml:space="preserve"> ، ص 234 ، ح 676 ، بسنده عن أحمد بن محمّد ؛ </w:t>
      </w:r>
      <w:r w:rsidR="00E3253D" w:rsidRPr="002F4D34">
        <w:rPr>
          <w:rStyle w:val="libFootnoteBoldChar"/>
          <w:rtl/>
        </w:rPr>
        <w:t>الاستبصار</w:t>
      </w:r>
      <w:r w:rsidR="00E3253D" w:rsidRPr="005D642E">
        <w:rPr>
          <w:rtl/>
        </w:rPr>
        <w:t xml:space="preserve"> ، ج 1 ، ص 33 ، ح 87 ، معلّقاً عن أحمد بن محمّد ، وفيهما مع اختلاف يسير وزيادة في آخره </w:t>
      </w:r>
      <w:r w:rsidR="00E038F6">
        <w:rPr>
          <w:rFonts w:hint="cs"/>
          <w:rtl/>
        </w:rPr>
        <w:t>.</w:t>
      </w:r>
      <w:r w:rsidR="00E3253D" w:rsidRPr="002F4D34">
        <w:rPr>
          <w:rStyle w:val="libFootnoteBoldChar"/>
          <w:rtl/>
        </w:rPr>
        <w:t>الوافي</w:t>
      </w:r>
      <w:r w:rsidR="00E3253D" w:rsidRPr="005D642E">
        <w:rPr>
          <w:rtl/>
        </w:rPr>
        <w:t xml:space="preserve"> ، ج 6 ، ص 39 ، ح 3706 ؛ </w:t>
      </w:r>
      <w:r w:rsidR="00E3253D" w:rsidRPr="002F4D34">
        <w:rPr>
          <w:rStyle w:val="libFootnoteBoldChar"/>
          <w:rtl/>
        </w:rPr>
        <w:t>الوسائل</w:t>
      </w:r>
      <w:r w:rsidR="00E3253D" w:rsidRPr="005D642E">
        <w:rPr>
          <w:rtl/>
        </w:rPr>
        <w:t xml:space="preserve"> ، ج 1 ، ص 140 ، ح 345 ؛ وص 170 ، ح 422.</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قال في </w:t>
      </w:r>
      <w:r w:rsidR="00E3253D" w:rsidRPr="002F4D34">
        <w:rPr>
          <w:rStyle w:val="libFootnoteBoldChar"/>
          <w:rtl/>
        </w:rPr>
        <w:t>الحبل المتين</w:t>
      </w:r>
      <w:r w:rsidR="00E3253D" w:rsidRPr="005D642E">
        <w:rPr>
          <w:rtl/>
        </w:rPr>
        <w:t xml:space="preserve"> ، ص 400 : « ما تضمّنه الحديث الثاني</w:t>
      </w:r>
      <w:r w:rsidR="00E3253D">
        <w:rPr>
          <w:rtl/>
        </w:rPr>
        <w:t xml:space="preserve"> </w:t>
      </w:r>
      <w:r w:rsidR="007642BC">
        <w:rPr>
          <w:rtl/>
        </w:rPr>
        <w:t>-</w:t>
      </w:r>
      <w:r w:rsidR="00E3253D">
        <w:rPr>
          <w:rtl/>
        </w:rPr>
        <w:t xml:space="preserve"> </w:t>
      </w:r>
      <w:r w:rsidR="00E3253D" w:rsidRPr="005D642E">
        <w:rPr>
          <w:rtl/>
        </w:rPr>
        <w:t>وهو الثالث هاهنا</w:t>
      </w:r>
      <w:r w:rsidR="00E3253D">
        <w:rPr>
          <w:rtl/>
        </w:rPr>
        <w:t xml:space="preserve"> </w:t>
      </w:r>
      <w:r w:rsidR="007642BC">
        <w:rPr>
          <w:rtl/>
        </w:rPr>
        <w:t>-</w:t>
      </w:r>
      <w:r w:rsidR="00E3253D">
        <w:rPr>
          <w:rtl/>
        </w:rPr>
        <w:t xml:space="preserve"> </w:t>
      </w:r>
      <w:r w:rsidR="00E3253D" w:rsidRPr="005D642E">
        <w:rPr>
          <w:rtl/>
        </w:rPr>
        <w:t>من مساواة الكلب للفأرةوالسنّور والدجاجة فالمشهور خلافه ، وربّما حمل على خروجه حيّاً. وفيه ما فيه ؛ فإنّ التفصيل في الجواب يأباه ، كما لا يخفى ، والأحاديث في مقدار النزح لهذه الأشياء مختلفة جدّاً وسيّما السنّور » ثمّ عدّ المذاهب فيه وقال : « ولكلّ من هذه المذاهب رواية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يَتَفَسَّخْ </w:t>
      </w:r>
      <w:r w:rsidRPr="007C12DB">
        <w:rPr>
          <w:rStyle w:val="libFootnotenumChar"/>
          <w:rtl/>
        </w:rPr>
        <w:t>(1)</w:t>
      </w:r>
      <w:r w:rsidRPr="005D642E">
        <w:rPr>
          <w:rtl/>
          <w:lang w:bidi="fa-IR"/>
        </w:rPr>
        <w:t xml:space="preserve"> أَوْ يَتَغَيَّرْ طَعْمُ الْمَاءِ ، فَيَكْفِيكَ خَمْسُ </w:t>
      </w:r>
      <w:r w:rsidRPr="007C12DB">
        <w:rPr>
          <w:rStyle w:val="libFootnotenumChar"/>
          <w:rtl/>
        </w:rPr>
        <w:t>(2)</w:t>
      </w:r>
      <w:r w:rsidRPr="005D642E">
        <w:rPr>
          <w:rtl/>
          <w:lang w:bidi="fa-IR"/>
        </w:rPr>
        <w:t xml:space="preserve"> دِلَاءٍ ، فَإِنْ تَغَيَّرَ الْمَاءُ ، فَخُذْ مِنْهُ حَتّى يَذْهَبَ الرِّيحُ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C26248">
        <w:rPr>
          <w:rtl/>
        </w:rPr>
        <w:t>3825</w:t>
      </w:r>
      <w:r w:rsidRPr="00246318">
        <w:rPr>
          <w:rStyle w:val="libBold2Char"/>
          <w:rtl/>
        </w:rPr>
        <w:t xml:space="preserve"> / 4.</w:t>
      </w:r>
      <w:r w:rsidRPr="005D642E">
        <w:rPr>
          <w:rtl/>
          <w:lang w:bidi="fa-IR"/>
        </w:rPr>
        <w:t xml:space="preserve"> مُحَمَّدُ بْنُ يَحْيى رَفَعَهُ :</w:t>
      </w:r>
    </w:p>
    <w:p w:rsidR="00E3253D" w:rsidRPr="005D642E" w:rsidRDefault="00E3253D" w:rsidP="00E3253D">
      <w:pPr>
        <w:pStyle w:val="libNormal"/>
        <w:rPr>
          <w:rtl/>
          <w:lang w:bidi="fa-IR"/>
        </w:rPr>
      </w:pPr>
      <w:r w:rsidRPr="005D642E">
        <w:rPr>
          <w:rtl/>
          <w:lang w:bidi="fa-IR"/>
        </w:rPr>
        <w:t xml:space="preserve">عَنْ أَبِي عَبْدِ اللهِ </w:t>
      </w:r>
      <w:r w:rsidRPr="007C12DB">
        <w:rPr>
          <w:rStyle w:val="libFootnotenumChar"/>
          <w:rtl/>
        </w:rPr>
        <w:t>(5)</w:t>
      </w:r>
      <w:r w:rsidRPr="005D642E">
        <w:rPr>
          <w:rtl/>
          <w:lang w:bidi="fa-IR"/>
        </w:rPr>
        <w:t xml:space="preserve"> </w:t>
      </w:r>
      <w:r w:rsidRPr="00AC51C5">
        <w:rPr>
          <w:rStyle w:val="libAlaemChar"/>
          <w:rtl/>
        </w:rPr>
        <w:t>عليه‌السلام</w:t>
      </w:r>
      <w:r w:rsidRPr="005D642E">
        <w:rPr>
          <w:rtl/>
          <w:lang w:bidi="fa-IR"/>
        </w:rPr>
        <w:t xml:space="preserve"> ، قَالَ : « لَا يُفْسِدُ الْمَاءَ </w:t>
      </w:r>
      <w:r w:rsidR="00E038F6">
        <w:rPr>
          <w:rtl/>
          <w:lang w:bidi="fa-IR"/>
        </w:rPr>
        <w:t>إِل</w:t>
      </w:r>
      <w:r w:rsidR="00E038F6">
        <w:rPr>
          <w:rFonts w:hint="cs"/>
          <w:rtl/>
          <w:lang w:bidi="fa-IR"/>
        </w:rPr>
        <w:t>َّ</w:t>
      </w:r>
      <w:r w:rsidR="00E038F6">
        <w:rPr>
          <w:rtl/>
          <w:lang w:bidi="fa-IR"/>
        </w:rPr>
        <w:t>ا</w:t>
      </w:r>
      <w:r w:rsidRPr="005D642E">
        <w:rPr>
          <w:rtl/>
          <w:lang w:bidi="fa-IR"/>
        </w:rPr>
        <w:t xml:space="preserve"> مَا كَانَ لَهُ نَفْسٌ </w:t>
      </w:r>
      <w:r w:rsidRPr="007C12DB">
        <w:rPr>
          <w:rStyle w:val="libFootnotenumChar"/>
          <w:rtl/>
        </w:rPr>
        <w:t>(6)</w:t>
      </w:r>
      <w:r w:rsidRPr="005D642E">
        <w:rPr>
          <w:rtl/>
          <w:lang w:bidi="fa-IR"/>
        </w:rPr>
        <w:t xml:space="preserve"> سَائِلَةٌ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C26248">
        <w:rPr>
          <w:rtl/>
        </w:rPr>
        <w:t>3826</w:t>
      </w:r>
      <w:r w:rsidRPr="00246318">
        <w:rPr>
          <w:rStyle w:val="libBold2Char"/>
          <w:rtl/>
        </w:rPr>
        <w:t xml:space="preserve"> / 5.</w:t>
      </w:r>
      <w:r w:rsidRPr="005D642E">
        <w:rPr>
          <w:rtl/>
          <w:lang w:bidi="fa-IR"/>
        </w:rPr>
        <w:t xml:space="preserve"> أَحْمَدُ بْنُ إِدْرِيسَ ، عَنْ مُحَمَّدِ بْنِ سَالِمٍ ، عَنْ أَحْمَدَ بْنِ النَّضْرِ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w:t>
      </w:r>
      <w:r w:rsidRPr="007C12DB">
        <w:rPr>
          <w:rStyle w:val="libFootnotenumChar"/>
          <w:rtl/>
        </w:rPr>
        <w:t>(8)</w:t>
      </w:r>
      <w:r w:rsidRPr="005D642E">
        <w:rPr>
          <w:rtl/>
          <w:lang w:bidi="fa-IR"/>
        </w:rPr>
        <w:t xml:space="preserve"> فِي السَّامِّ أَبْرَصَ </w:t>
      </w:r>
      <w:r w:rsidRPr="007C12DB">
        <w:rPr>
          <w:rStyle w:val="libFootnotenumChar"/>
          <w:rtl/>
        </w:rPr>
        <w:t>(9)</w:t>
      </w:r>
      <w:r w:rsidRPr="005D642E">
        <w:rPr>
          <w:rtl/>
          <w:lang w:bidi="fa-IR"/>
        </w:rPr>
        <w:t xml:space="preserve"> يَقَعُ فِي الْبِئْرِ </w:t>
      </w:r>
      <w:r w:rsidRPr="007C12DB">
        <w:rPr>
          <w:rStyle w:val="libFootnotenumChar"/>
          <w:rtl/>
        </w:rPr>
        <w:t>(10)</w:t>
      </w:r>
      <w:r w:rsidRPr="005D642E">
        <w:rPr>
          <w:rtl/>
          <w:lang w:bidi="fa-IR"/>
        </w:rPr>
        <w:t xml:space="preserve"> ، قَالَ : « لَيْسَ بِشَيْ‌ءٍ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625D6" w:rsidTr="007625D6">
        <w:tc>
          <w:tcPr>
            <w:tcW w:w="4006" w:type="dxa"/>
          </w:tcPr>
          <w:p w:rsidR="007625D6" w:rsidRDefault="0042621E" w:rsidP="00E3253D">
            <w:pPr>
              <w:pStyle w:val="libFootnote0"/>
              <w:rPr>
                <w:rtl/>
              </w:rPr>
            </w:pPr>
            <w:r w:rsidRPr="0042621E">
              <w:rPr>
                <w:rStyle w:val="libFootnote0Char"/>
                <w:rtl/>
              </w:rPr>
              <w:t>(1).</w:t>
            </w:r>
            <w:r w:rsidR="007625D6">
              <w:rPr>
                <w:rtl/>
              </w:rPr>
              <w:t xml:space="preserve"> </w:t>
            </w:r>
            <w:r w:rsidR="007625D6" w:rsidRPr="005D642E">
              <w:rPr>
                <w:rtl/>
              </w:rPr>
              <w:t>في « بف ، جس » : « لم ينفسخ »</w:t>
            </w:r>
            <w:r w:rsidR="007625D6">
              <w:rPr>
                <w:rtl/>
              </w:rPr>
              <w:t>.</w:t>
            </w:r>
          </w:p>
        </w:tc>
        <w:tc>
          <w:tcPr>
            <w:tcW w:w="4006" w:type="dxa"/>
          </w:tcPr>
          <w:p w:rsidR="007625D6" w:rsidRDefault="0042621E" w:rsidP="00E3253D">
            <w:pPr>
              <w:pStyle w:val="libFootnote0"/>
              <w:rPr>
                <w:rtl/>
              </w:rPr>
            </w:pPr>
            <w:r w:rsidRPr="0042621E">
              <w:rPr>
                <w:rStyle w:val="libFootnote0Char"/>
                <w:rtl/>
              </w:rPr>
              <w:t>(2).</w:t>
            </w:r>
            <w:r w:rsidR="007625D6" w:rsidRPr="005D642E">
              <w:rPr>
                <w:rtl/>
              </w:rPr>
              <w:t xml:space="preserve"> في حاشية « بخ » : « سبع »</w:t>
            </w:r>
            <w:r w:rsidR="007625D6">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جح » </w:t>
      </w:r>
      <w:r w:rsidR="000D749A" w:rsidRPr="000D749A">
        <w:rPr>
          <w:rStyle w:val="libFootnoteBoldChar"/>
          <w:rtl/>
        </w:rPr>
        <w:t>والوافي</w:t>
      </w:r>
      <w:r w:rsidR="00E3253D" w:rsidRPr="005D642E">
        <w:rPr>
          <w:rtl/>
        </w:rPr>
        <w:t xml:space="preserve"> والوسائل : « تذهب الريح »</w:t>
      </w:r>
      <w:r w:rsidR="00E3253D">
        <w:rPr>
          <w:rtl/>
        </w:rPr>
        <w:t>.</w:t>
      </w:r>
      <w:r w:rsidR="00E3253D" w:rsidRPr="005D642E">
        <w:rPr>
          <w:rtl/>
        </w:rPr>
        <w:t xml:space="preserve"> وقال في </w:t>
      </w:r>
      <w:r w:rsidR="00E3253D" w:rsidRPr="002F4D34">
        <w:rPr>
          <w:rStyle w:val="libFootnoteBoldChar"/>
          <w:rtl/>
        </w:rPr>
        <w:t>الحبل المتين</w:t>
      </w:r>
      <w:r w:rsidR="00E3253D" w:rsidRPr="005D642E">
        <w:rPr>
          <w:rtl/>
        </w:rPr>
        <w:t xml:space="preserve"> ، ص 400 : « ولا يخفى أنّ سوق الحديث يقتضى اعتبار التلازم في هذه الأشيا</w:t>
      </w:r>
      <w:r w:rsidR="00164E6C">
        <w:rPr>
          <w:rtl/>
        </w:rPr>
        <w:t>ء بين تغيّر الطعم والريح ، وإل</w:t>
      </w:r>
      <w:r w:rsidR="00164E6C">
        <w:rPr>
          <w:rFonts w:hint="cs"/>
          <w:rtl/>
        </w:rPr>
        <w:t>ّ</w:t>
      </w:r>
      <w:r w:rsidR="00164E6C">
        <w:rPr>
          <w:rtl/>
        </w:rPr>
        <w:t>ا</w:t>
      </w:r>
      <w:r w:rsidR="00E3253D" w:rsidRPr="005D642E">
        <w:rPr>
          <w:rtl/>
        </w:rPr>
        <w:t xml:space="preserve"> فالظاهر : فخذ منه حتّى يذهب الطعم »</w:t>
      </w:r>
      <w:r w:rsidR="00E3253D">
        <w:rPr>
          <w:rtl/>
        </w:rPr>
        <w:t>.</w:t>
      </w:r>
    </w:p>
    <w:p w:rsidR="00E3253D" w:rsidRPr="005D642E" w:rsidRDefault="0042621E" w:rsidP="00164E6C">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233 ، ح 675 ، بسنده عن الكليني. </w:t>
      </w:r>
      <w:r w:rsidR="00E3253D" w:rsidRPr="002F4D34">
        <w:rPr>
          <w:rStyle w:val="libFootnoteBoldChar"/>
          <w:rtl/>
        </w:rPr>
        <w:t>وفيه</w:t>
      </w:r>
      <w:r w:rsidR="00E3253D" w:rsidRPr="005D642E">
        <w:rPr>
          <w:rtl/>
        </w:rPr>
        <w:t xml:space="preserve"> ، ص 237 ، ح 684 ؛ </w:t>
      </w:r>
      <w:r w:rsidR="00E3253D" w:rsidRPr="00E678B5">
        <w:rPr>
          <w:rStyle w:val="libFootnoteBoldChar"/>
          <w:rtl/>
        </w:rPr>
        <w:t>والاستبصار</w:t>
      </w:r>
      <w:r w:rsidR="00E3253D" w:rsidRPr="005D642E">
        <w:rPr>
          <w:rtl/>
        </w:rPr>
        <w:t xml:space="preserve"> ، ج 1 ، ص 37 ، ح 102 ، بسندهما عن ابن أبي عمير ، مع اختلاف يسير </w:t>
      </w:r>
      <w:r w:rsidR="00164E6C">
        <w:rPr>
          <w:rFonts w:hint="cs"/>
          <w:rtl/>
        </w:rPr>
        <w:t>.</w:t>
      </w:r>
      <w:r w:rsidR="00E3253D" w:rsidRPr="002F4D34">
        <w:rPr>
          <w:rStyle w:val="libFootnoteBoldChar"/>
          <w:rtl/>
        </w:rPr>
        <w:t>الوافي</w:t>
      </w:r>
      <w:r w:rsidR="00E3253D" w:rsidRPr="005D642E">
        <w:rPr>
          <w:rtl/>
        </w:rPr>
        <w:t xml:space="preserve"> ، ج 6 ، ص 84 ، ح 3810 ؛ </w:t>
      </w:r>
      <w:r w:rsidR="00E3253D" w:rsidRPr="002F4D34">
        <w:rPr>
          <w:rStyle w:val="libFootnoteBoldChar"/>
          <w:rtl/>
        </w:rPr>
        <w:t>الوسائل</w:t>
      </w:r>
      <w:r w:rsidR="00E3253D" w:rsidRPr="005D642E">
        <w:rPr>
          <w:rtl/>
        </w:rPr>
        <w:t xml:space="preserve"> ، ج 1 ، ص 184 ، ذيل ح 463.</w:t>
      </w:r>
      <w:r w:rsidR="00164E6C">
        <w:rPr>
          <w:rFonts w:hint="cs"/>
          <w:rtl/>
        </w:rPr>
        <w:t xml:space="preserve">              </w:t>
      </w:r>
      <w:r w:rsidRPr="0042621E">
        <w:rPr>
          <w:rStyle w:val="libFootnote0Char"/>
          <w:rtl/>
        </w:rPr>
        <w:t>(5).</w:t>
      </w:r>
      <w:r w:rsidR="00E3253D" w:rsidRPr="005D642E">
        <w:rPr>
          <w:rtl/>
        </w:rPr>
        <w:t xml:space="preserve"> في « جس » : + « عن أبيه </w:t>
      </w:r>
      <w:r w:rsidR="00E3253D" w:rsidRPr="00164E6C">
        <w:rPr>
          <w:rStyle w:val="libFootnoteAlaemChar"/>
          <w:rtl/>
        </w:rPr>
        <w:t>عليهما‌السلام</w:t>
      </w:r>
      <w:r w:rsidR="00E3253D" w:rsidRPr="005D642E">
        <w:rPr>
          <w:rtl/>
        </w:rPr>
        <w:t xml:space="preserve">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جح ، جن » وحاشية « بخ » والوسائل </w:t>
      </w:r>
      <w:r w:rsidR="00B60612" w:rsidRPr="00B60612">
        <w:rPr>
          <w:rStyle w:val="libFootnoteBoldChar"/>
          <w:rtl/>
        </w:rPr>
        <w:t>والتهذيب</w:t>
      </w:r>
      <w:r w:rsidR="00E3253D" w:rsidRPr="005D642E">
        <w:rPr>
          <w:rtl/>
        </w:rPr>
        <w:t xml:space="preserve"> والأمالي : « كانت » بدل « كان »</w:t>
      </w:r>
      <w:r w:rsidR="00E3253D">
        <w:rPr>
          <w:rtl/>
        </w:rPr>
        <w:t>.</w:t>
      </w:r>
      <w:r w:rsidR="00E3253D" w:rsidRPr="005D642E">
        <w:rPr>
          <w:rtl/>
        </w:rPr>
        <w:t xml:space="preserve"> </w:t>
      </w:r>
      <w:r w:rsidR="00E3253D">
        <w:rPr>
          <w:rtl/>
        </w:rPr>
        <w:t>و «</w:t>
      </w:r>
      <w:r w:rsidR="00E3253D" w:rsidRPr="005D642E">
        <w:rPr>
          <w:rtl/>
        </w:rPr>
        <w:t xml:space="preserve"> النَفْس » : الدم ، وإنّما سمّي الدم نفساً ؛ لأنّ النفس التي هي اسم لجملة الحيوان قوامها الدم فتخرج بخروجه. راجع : </w:t>
      </w:r>
      <w:r w:rsidR="00E3253D" w:rsidRPr="002F4D34">
        <w:rPr>
          <w:rStyle w:val="libFootnoteBoldChar"/>
          <w:rtl/>
        </w:rPr>
        <w:t>المغرب</w:t>
      </w:r>
      <w:r w:rsidR="00E3253D" w:rsidRPr="005D642E">
        <w:rPr>
          <w:rtl/>
        </w:rPr>
        <w:t xml:space="preserve"> ، ص 461 ؛ </w:t>
      </w:r>
      <w:r w:rsidR="00E3253D" w:rsidRPr="002F4D34">
        <w:rPr>
          <w:rStyle w:val="libFootnoteBoldChar"/>
          <w:rtl/>
        </w:rPr>
        <w:t>لسان العرب</w:t>
      </w:r>
      <w:r w:rsidR="00E3253D" w:rsidRPr="005D642E">
        <w:rPr>
          <w:rtl/>
        </w:rPr>
        <w:t xml:space="preserve"> ، ج 6 ، ص 34 ( نفس )</w:t>
      </w:r>
      <w:r w:rsidR="00E3253D">
        <w:rPr>
          <w:rtl/>
        </w:rPr>
        <w:t>.</w:t>
      </w:r>
    </w:p>
    <w:p w:rsidR="00E3253D" w:rsidRPr="005D642E" w:rsidRDefault="0042621E" w:rsidP="00164E6C">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231 ، ح 668 ، بسنده عن الكليني. </w:t>
      </w:r>
      <w:r w:rsidR="00E3253D" w:rsidRPr="002F4D34">
        <w:rPr>
          <w:rStyle w:val="libFootnoteBoldChar"/>
          <w:rtl/>
        </w:rPr>
        <w:t>وفيه</w:t>
      </w:r>
      <w:r w:rsidR="00E3253D" w:rsidRPr="005D642E">
        <w:rPr>
          <w:rtl/>
        </w:rPr>
        <w:t xml:space="preserve"> ، ح 669 ؛ </w:t>
      </w:r>
      <w:r w:rsidR="00E3253D" w:rsidRPr="00E678B5">
        <w:rPr>
          <w:rStyle w:val="libFootnoteBoldChar"/>
          <w:rtl/>
        </w:rPr>
        <w:t>والاستبصار</w:t>
      </w:r>
      <w:r w:rsidR="00E3253D" w:rsidRPr="005D642E">
        <w:rPr>
          <w:rtl/>
        </w:rPr>
        <w:t xml:space="preserve"> ، ج 1 ، ص 26 ، ح 68 ، بسند آخر. </w:t>
      </w:r>
      <w:r w:rsidR="00E3253D" w:rsidRPr="002F4D34">
        <w:rPr>
          <w:rStyle w:val="libFootnoteBoldChar"/>
          <w:rtl/>
        </w:rPr>
        <w:t>فقه الرضا</w:t>
      </w:r>
      <w:r w:rsidR="00E3253D" w:rsidRPr="005D642E">
        <w:rPr>
          <w:rtl/>
        </w:rPr>
        <w:t xml:space="preserve"> </w:t>
      </w:r>
      <w:r w:rsidR="00E3253D" w:rsidRPr="00164E6C">
        <w:rPr>
          <w:rStyle w:val="libFootnoteAlaemChar"/>
          <w:rtl/>
        </w:rPr>
        <w:t>عليه‌السلام</w:t>
      </w:r>
      <w:r w:rsidR="00E3253D" w:rsidRPr="005D642E">
        <w:rPr>
          <w:rtl/>
        </w:rPr>
        <w:t xml:space="preserve"> ، ص 91 ، وتمام ال</w:t>
      </w:r>
      <w:r w:rsidR="00164E6C">
        <w:rPr>
          <w:rtl/>
        </w:rPr>
        <w:t>رواية فيه : « لاينجّس الماء إل</w:t>
      </w:r>
      <w:r w:rsidR="00164E6C">
        <w:rPr>
          <w:rFonts w:hint="cs"/>
          <w:rtl/>
        </w:rPr>
        <w:t>ّ</w:t>
      </w:r>
      <w:r w:rsidR="00164E6C">
        <w:rPr>
          <w:rtl/>
        </w:rPr>
        <w:t>ا</w:t>
      </w:r>
      <w:r w:rsidR="00E3253D" w:rsidRPr="005D642E">
        <w:rPr>
          <w:rtl/>
        </w:rPr>
        <w:t>ذو نفس سائلة أو حيوان له دم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6 ، ذيل ح 3 ، مع اختلاف يسير. راجع : </w:t>
      </w:r>
      <w:r w:rsidR="000D749A" w:rsidRPr="000D749A">
        <w:rPr>
          <w:rStyle w:val="libFootnoteBoldChar"/>
          <w:rtl/>
        </w:rPr>
        <w:t>الأمالي للصدوق</w:t>
      </w:r>
      <w:r w:rsidR="00E3253D" w:rsidRPr="005D642E">
        <w:rPr>
          <w:rtl/>
        </w:rPr>
        <w:t xml:space="preserve"> ، ص 645 ، المجلس 93 ؛ </w:t>
      </w:r>
      <w:r w:rsidR="00B60612" w:rsidRPr="00B60612">
        <w:rPr>
          <w:rStyle w:val="libFootnoteBoldChar"/>
          <w:rtl/>
        </w:rPr>
        <w:t>والتهذيب</w:t>
      </w:r>
      <w:r w:rsidR="00E3253D" w:rsidRPr="005D642E">
        <w:rPr>
          <w:rtl/>
        </w:rPr>
        <w:t xml:space="preserve"> ، ج 1 ، ص 229 </w:t>
      </w:r>
      <w:r w:rsidR="00E3253D">
        <w:rPr>
          <w:rtl/>
        </w:rPr>
        <w:t>و 2</w:t>
      </w:r>
      <w:r w:rsidR="00E3253D" w:rsidRPr="005D642E">
        <w:rPr>
          <w:rtl/>
        </w:rPr>
        <w:t>78 ؛ و</w:t>
      </w:r>
      <w:r w:rsidR="00E3253D" w:rsidRPr="002F4D34">
        <w:rPr>
          <w:rStyle w:val="libFootnoteBoldChar"/>
          <w:rtl/>
        </w:rPr>
        <w:t xml:space="preserve">المقنعة </w:t>
      </w:r>
      <w:r w:rsidR="00E3253D" w:rsidRPr="005D642E">
        <w:rPr>
          <w:rtl/>
        </w:rPr>
        <w:t xml:space="preserve">، ص 63 ، 65 </w:t>
      </w:r>
      <w:r w:rsidR="00E3253D">
        <w:rPr>
          <w:rtl/>
        </w:rPr>
        <w:t>و 7</w:t>
      </w:r>
      <w:r w:rsidR="00E3253D" w:rsidRPr="005D642E">
        <w:rPr>
          <w:rtl/>
        </w:rPr>
        <w:t xml:space="preserve">2 </w:t>
      </w:r>
      <w:r w:rsidR="00164E6C">
        <w:rPr>
          <w:rFonts w:hint="cs"/>
          <w:rtl/>
        </w:rPr>
        <w:t>.</w:t>
      </w:r>
      <w:r w:rsidR="00E3253D" w:rsidRPr="002F4D34">
        <w:rPr>
          <w:rStyle w:val="libFootnoteBoldChar"/>
          <w:rtl/>
        </w:rPr>
        <w:t>الوافي</w:t>
      </w:r>
      <w:r w:rsidR="00E3253D" w:rsidRPr="005D642E">
        <w:rPr>
          <w:rtl/>
        </w:rPr>
        <w:t xml:space="preserve"> ، ج 6 ، ص 87 ، ح 3822 ؛ </w:t>
      </w:r>
      <w:r w:rsidR="00E3253D" w:rsidRPr="002F4D34">
        <w:rPr>
          <w:rStyle w:val="libFootnoteBoldChar"/>
          <w:rtl/>
        </w:rPr>
        <w:t>الوسائل</w:t>
      </w:r>
      <w:r w:rsidR="00E3253D" w:rsidRPr="005D642E">
        <w:rPr>
          <w:rtl/>
        </w:rPr>
        <w:t xml:space="preserve"> ، ج 1 ، ص 242 ، ح 626 ؛ وج 3 ، ص 464 ، ح 4187.</w:t>
      </w:r>
      <w:r w:rsidR="00164E6C">
        <w:rPr>
          <w:rFonts w:hint="cs"/>
          <w:rtl/>
        </w:rPr>
        <w:t xml:space="preserve">       </w:t>
      </w:r>
      <w:r w:rsidRPr="0042621E">
        <w:rPr>
          <w:rStyle w:val="libFootnote0Char"/>
          <w:rtl/>
        </w:rPr>
        <w:t>(8).</w:t>
      </w:r>
      <w:r w:rsidR="00E3253D" w:rsidRPr="005D642E">
        <w:rPr>
          <w:rtl/>
        </w:rPr>
        <w:t xml:space="preserve"> في حاشية « بح » : « أبي عبدالله </w:t>
      </w:r>
      <w:r w:rsidR="00E3253D" w:rsidRPr="00164E6C">
        <w:rPr>
          <w:rStyle w:val="libFootnoteAlaemChar"/>
          <w:rtl/>
        </w:rPr>
        <w:t>عليه‌السلام</w:t>
      </w:r>
      <w:r w:rsidR="00E3253D" w:rsidRPr="005D642E">
        <w:rPr>
          <w:rtl/>
        </w:rPr>
        <w:t xml:space="preserve">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سامّ أبرص » </w:t>
      </w:r>
      <w:r w:rsidR="00164E6C">
        <w:rPr>
          <w:rtl/>
        </w:rPr>
        <w:t>: من كبار الوزغ ، وهو معرفة إل</w:t>
      </w:r>
      <w:r w:rsidR="00164E6C">
        <w:rPr>
          <w:rFonts w:hint="cs"/>
          <w:rtl/>
        </w:rPr>
        <w:t>ّ</w:t>
      </w:r>
      <w:r w:rsidR="00164E6C">
        <w:rPr>
          <w:rtl/>
        </w:rPr>
        <w:t>ا</w:t>
      </w:r>
      <w:r w:rsidR="00E3253D">
        <w:rPr>
          <w:rFonts w:hint="cs"/>
          <w:rtl/>
        </w:rPr>
        <w:t xml:space="preserve"> </w:t>
      </w:r>
      <w:r w:rsidR="00E3253D" w:rsidRPr="005D642E">
        <w:rPr>
          <w:rtl/>
        </w:rPr>
        <w:t xml:space="preserve">أنّه تعريف جنس ، وهما اسمان جعلا واحداً ، إن شئت أعربت الأوّل وأضفته إلى الثاني ، وإن شئت بنيت الأوّل على الفتح وأعربت الثاني بإعراب مالاينصرف. راجع : </w:t>
      </w:r>
      <w:r w:rsidR="00E3253D" w:rsidRPr="002F4D34">
        <w:rPr>
          <w:rStyle w:val="libFootnoteBoldChar"/>
          <w:rtl/>
        </w:rPr>
        <w:t>الصحاح</w:t>
      </w:r>
      <w:r w:rsidR="00E3253D" w:rsidRPr="005D642E">
        <w:rPr>
          <w:rtl/>
        </w:rPr>
        <w:t xml:space="preserve"> ، ج 3 ، ص 1029 ؛ </w:t>
      </w:r>
      <w:r w:rsidR="00E3253D" w:rsidRPr="002F4D34">
        <w:rPr>
          <w:rStyle w:val="libFootnoteBoldChar"/>
          <w:rtl/>
        </w:rPr>
        <w:t>المصباح المنير</w:t>
      </w:r>
      <w:r w:rsidR="00E3253D" w:rsidRPr="005D642E">
        <w:rPr>
          <w:rtl/>
        </w:rPr>
        <w:t xml:space="preserve"> ، ص 44 ( برص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 « في الماء » بدل « يقع في البئر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حَرِّكِ الْمَاءَ بِالدَّلْوِ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C26248">
        <w:rPr>
          <w:rtl/>
        </w:rPr>
        <w:t>3827</w:t>
      </w:r>
      <w:r w:rsidRPr="00246318">
        <w:rPr>
          <w:rStyle w:val="libBold2Char"/>
          <w:rtl/>
        </w:rPr>
        <w:t xml:space="preserve"> / 6.</w:t>
      </w:r>
      <w:r w:rsidRPr="005D642E">
        <w:rPr>
          <w:rtl/>
          <w:lang w:bidi="fa-IR"/>
        </w:rPr>
        <w:t xml:space="preserve"> عِدَّةٌ مِنْ أَصْحَابِنَا ، عَنْ أَحْمَدَ بْنِ مُحَمَّدٍ ، عَنِ الْحُسَيْنِ بْنِ سَعِيدٍ ، عَنِ ابْنِ سِنَانٍ ، عَنِ ابْنِ مُسْكَانَ ، عَنْ أَبِي بَصِيرٍ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عَمَّا يَقَعُ فِي الْآبَارِ</w:t>
      </w:r>
      <w:r>
        <w:rPr>
          <w:rtl/>
          <w:lang w:bidi="fa-IR"/>
        </w:rPr>
        <w:t>؟</w:t>
      </w:r>
    </w:p>
    <w:p w:rsidR="00E3253D" w:rsidRPr="005D642E" w:rsidRDefault="00E3253D" w:rsidP="00E3253D">
      <w:pPr>
        <w:pStyle w:val="libNormal"/>
        <w:rPr>
          <w:rtl/>
          <w:lang w:bidi="fa-IR"/>
        </w:rPr>
      </w:pPr>
      <w:r w:rsidRPr="005D642E">
        <w:rPr>
          <w:rtl/>
          <w:lang w:bidi="fa-IR"/>
        </w:rPr>
        <w:t xml:space="preserve">فَقَالَ : « أَمَّا الْفَأْرَةُ وَأَشْبَاهُهَا ، فَيُنْزَحُ </w:t>
      </w:r>
      <w:r w:rsidRPr="007C12DB">
        <w:rPr>
          <w:rStyle w:val="libFootnotenumChar"/>
          <w:rtl/>
        </w:rPr>
        <w:t>(3)</w:t>
      </w:r>
      <w:r w:rsidRPr="005D642E">
        <w:rPr>
          <w:rtl/>
          <w:lang w:bidi="fa-IR"/>
        </w:rPr>
        <w:t xml:space="preserve"> مِنْهَا سَبْعُ دِلَاءٍ ، إِلاَّ أَنْ يَتَغَيَّرَ الْمَاءُ فَيُنْزَحُ </w:t>
      </w:r>
      <w:r w:rsidRPr="007C12DB">
        <w:rPr>
          <w:rStyle w:val="libFootnotenumChar"/>
          <w:rtl/>
        </w:rPr>
        <w:t>(4)</w:t>
      </w:r>
      <w:r w:rsidRPr="005D642E">
        <w:rPr>
          <w:rtl/>
          <w:lang w:bidi="fa-IR"/>
        </w:rPr>
        <w:t xml:space="preserve"> حَتّى يَطِيبَ </w:t>
      </w:r>
      <w:r w:rsidRPr="007C12DB">
        <w:rPr>
          <w:rStyle w:val="libFootnotenumChar"/>
          <w:rtl/>
        </w:rPr>
        <w:t>(5)</w:t>
      </w:r>
      <w:r w:rsidRPr="005D642E">
        <w:rPr>
          <w:rtl/>
          <w:lang w:bidi="fa-IR"/>
        </w:rPr>
        <w:t xml:space="preserve"> ، فَإِنْ سَقَطَ فِيهَا كَلْبٌ ، فَقَدَرْتَ أَنْ تَنْزَحَ مَاءَهَا فَافْعَلْ ؛ وَكُلُّ شَيْ‌ءٍ وَقَعَ </w:t>
      </w:r>
      <w:r w:rsidRPr="007C12DB">
        <w:rPr>
          <w:rStyle w:val="libFootnotenumChar"/>
          <w:rtl/>
        </w:rPr>
        <w:t>(6)</w:t>
      </w:r>
      <w:r w:rsidRPr="005D642E">
        <w:rPr>
          <w:rtl/>
          <w:lang w:bidi="fa-IR"/>
        </w:rPr>
        <w:t xml:space="preserve"> فِي الْبِئْرِ لَيْسَ لَهُ دَمٌ مِثْلُ الْعَقْرَبِ وَالْخَنَافِسِ </w:t>
      </w:r>
      <w:r w:rsidRPr="007C12DB">
        <w:rPr>
          <w:rStyle w:val="libFootnotenumChar"/>
          <w:rtl/>
        </w:rPr>
        <w:t>(7)</w:t>
      </w:r>
      <w:r w:rsidRPr="005D642E">
        <w:rPr>
          <w:rtl/>
          <w:lang w:bidi="fa-IR"/>
        </w:rPr>
        <w:t xml:space="preserve"> وَأَشْبَاهِ ذلِك ، فَلَا بَأْسَ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C26248">
        <w:rPr>
          <w:rtl/>
        </w:rPr>
        <w:t>3828</w:t>
      </w:r>
      <w:r w:rsidRPr="00246318">
        <w:rPr>
          <w:rStyle w:val="libBold2Char"/>
          <w:rtl/>
        </w:rPr>
        <w:t xml:space="preserve"> / 7.</w:t>
      </w:r>
      <w:r w:rsidRPr="005D642E">
        <w:rPr>
          <w:rtl/>
          <w:lang w:bidi="fa-IR"/>
        </w:rPr>
        <w:t xml:space="preserve"> أَحْمَدُ بْنُ إِدْرِيسَ ، عَنْ مُحَمَّدِ بْنِ عَبْدِ الْجَبَّارِ ، عَنْ صَفْوَانَ ، عَنِ ابْنِ مُسْكَانَ ، عَنِ الْحَلَبِيِّ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الاستبصار : + « في البئر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164E6C">
        <w:rPr>
          <w:rStyle w:val="libFootnoteAlaemChar"/>
          <w:rtl/>
        </w:rPr>
        <w:t>عليه‌السلام</w:t>
      </w:r>
      <w:r w:rsidR="00E3253D" w:rsidRPr="005D642E">
        <w:rPr>
          <w:rtl/>
        </w:rPr>
        <w:t xml:space="preserve"> : حرّك الماء بالدلو ، يحتمل أن يكون المراد معناه الحقيقي لانتشار سمّه في الماء ، أو يكون كناية عن النزح ، وحمله الشيخ في </w:t>
      </w:r>
      <w:r w:rsidR="00E3253D" w:rsidRPr="002F4D34">
        <w:rPr>
          <w:rStyle w:val="libFootnoteBoldChar"/>
          <w:rtl/>
        </w:rPr>
        <w:t>التهذيب</w:t>
      </w:r>
      <w:r w:rsidR="00E3253D" w:rsidRPr="005D642E">
        <w:rPr>
          <w:rtl/>
        </w:rPr>
        <w:t xml:space="preserve"> على عدم التفسّخ ، وقال : مع التفسّخ فيه سبع دلاء »</w:t>
      </w:r>
      <w:r w:rsidR="00E3253D">
        <w:rPr>
          <w:rtl/>
        </w:rPr>
        <w:t>.</w:t>
      </w:r>
      <w:r w:rsidR="00E3253D" w:rsidRPr="005D642E">
        <w:rPr>
          <w:rtl/>
        </w:rPr>
        <w:t xml:space="preserve"> وراجع : </w:t>
      </w:r>
      <w:r w:rsidR="00E3253D" w:rsidRPr="002F4D34">
        <w:rPr>
          <w:rStyle w:val="libFootnoteBoldChar"/>
          <w:rtl/>
        </w:rPr>
        <w:t>التهذيب</w:t>
      </w:r>
      <w:r w:rsidR="00E3253D" w:rsidRPr="005D642E">
        <w:rPr>
          <w:rtl/>
        </w:rPr>
        <w:t xml:space="preserve"> ، ج 1 ، ص 245 ، ذيل الحديث 708.</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الفقيه</w:t>
      </w:r>
      <w:r w:rsidR="00E3253D" w:rsidRPr="005D642E">
        <w:rPr>
          <w:rtl/>
        </w:rPr>
        <w:t xml:space="preserve"> ، ج 1 ، ص 21 ، ح 31 ؛ </w:t>
      </w:r>
      <w:r w:rsidR="00B60612" w:rsidRPr="00B60612">
        <w:rPr>
          <w:rStyle w:val="libFootnoteBoldChar"/>
          <w:rtl/>
        </w:rPr>
        <w:t>والتهذيب</w:t>
      </w:r>
      <w:r w:rsidR="00E3253D" w:rsidRPr="005D642E">
        <w:rPr>
          <w:rtl/>
        </w:rPr>
        <w:t xml:space="preserve"> ، ج 1 ، ص 245 ، ح 708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41 ، ح 115 ، معلّقاً عن جابر بن يزيد الجعفي ، عن أبي جعفر </w:t>
      </w:r>
      <w:r w:rsidR="00E3253D" w:rsidRPr="00164E6C">
        <w:rPr>
          <w:rStyle w:val="libFootnoteAlaemChar"/>
          <w:rtl/>
        </w:rPr>
        <w:t>عليه‌السلام</w:t>
      </w:r>
      <w:r w:rsidR="00E3253D" w:rsidRPr="005D642E">
        <w:rPr>
          <w:rtl/>
        </w:rPr>
        <w:t xml:space="preserve"> ، مع اختلاف يسير </w:t>
      </w:r>
      <w:r w:rsidR="00164E6C">
        <w:rPr>
          <w:rFonts w:hint="cs"/>
          <w:rtl/>
        </w:rPr>
        <w:t>.</w:t>
      </w:r>
      <w:r w:rsidR="00E3253D" w:rsidRPr="002F4D34">
        <w:rPr>
          <w:rStyle w:val="libFootnoteBoldChar"/>
          <w:rtl/>
        </w:rPr>
        <w:t>الوافي</w:t>
      </w:r>
      <w:r w:rsidR="00E3253D" w:rsidRPr="005D642E">
        <w:rPr>
          <w:rtl/>
        </w:rPr>
        <w:t xml:space="preserve"> ، ج 6 ، ص 86 ، ح 3820 ؛ </w:t>
      </w:r>
      <w:r w:rsidR="00E3253D" w:rsidRPr="002F4D34">
        <w:rPr>
          <w:rStyle w:val="libFootnoteBoldChar"/>
          <w:rtl/>
        </w:rPr>
        <w:t>الوسائل</w:t>
      </w:r>
      <w:r w:rsidR="00E3253D" w:rsidRPr="005D642E">
        <w:rPr>
          <w:rtl/>
        </w:rPr>
        <w:t xml:space="preserve"> ، ج 1 ، ص 189 ، ذيل ح 483.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بس ، جح ، جن » : « فتنزح »</w:t>
      </w:r>
      <w:r w:rsidR="00E3253D">
        <w:rPr>
          <w:rtl/>
        </w:rPr>
        <w:t>.</w:t>
      </w:r>
      <w:r w:rsidR="00E3253D" w:rsidRPr="005D642E">
        <w:rPr>
          <w:rtl/>
        </w:rPr>
        <w:t xml:space="preserve"> وفي حاشية « بث » : « فينزع »</w:t>
      </w:r>
      <w:r w:rsidR="00E3253D">
        <w:rPr>
          <w:rtl/>
        </w:rPr>
        <w:t>.</w:t>
      </w:r>
      <w:r w:rsidR="009F10EE">
        <w:rPr>
          <w:rtl/>
        </w:rPr>
        <w:t xml:space="preserve"> وفي حاشية « ى » : «فنزع</w:t>
      </w:r>
      <w:r w:rsidR="00E3253D" w:rsidRPr="005D642E">
        <w:rPr>
          <w:rtl/>
        </w:rPr>
        <w:t>»</w:t>
      </w:r>
      <w:r w:rsidR="00E3253D">
        <w:rPr>
          <w:rtl/>
        </w:rPr>
        <w:t>.</w:t>
      </w:r>
    </w:p>
    <w:tbl>
      <w:tblPr>
        <w:tblStyle w:val="TableGrid"/>
        <w:bidiVisual/>
        <w:tblW w:w="0" w:type="auto"/>
        <w:tblLook w:val="04A0" w:firstRow="1" w:lastRow="0" w:firstColumn="1" w:lastColumn="0" w:noHBand="0" w:noVBand="1"/>
      </w:tblPr>
      <w:tblGrid>
        <w:gridCol w:w="4006"/>
        <w:gridCol w:w="4006"/>
      </w:tblGrid>
      <w:tr w:rsidR="001C3A06" w:rsidTr="001C3A06">
        <w:tc>
          <w:tcPr>
            <w:tcW w:w="4006" w:type="dxa"/>
          </w:tcPr>
          <w:p w:rsidR="001C3A06" w:rsidRDefault="0042621E" w:rsidP="00E3253D">
            <w:pPr>
              <w:pStyle w:val="libFootnote0"/>
              <w:rPr>
                <w:rtl/>
              </w:rPr>
            </w:pPr>
            <w:r w:rsidRPr="0042621E">
              <w:rPr>
                <w:rStyle w:val="libFootnote0Char"/>
                <w:rtl/>
              </w:rPr>
              <w:t>(4).</w:t>
            </w:r>
            <w:r w:rsidR="001C3A06" w:rsidRPr="005D642E">
              <w:rPr>
                <w:rtl/>
              </w:rPr>
              <w:t xml:space="preserve"> في « ى ، بث ، بح ، بس » : « فتنزح »</w:t>
            </w:r>
            <w:r w:rsidR="001C3A06">
              <w:rPr>
                <w:rtl/>
              </w:rPr>
              <w:t>.</w:t>
            </w:r>
          </w:p>
        </w:tc>
        <w:tc>
          <w:tcPr>
            <w:tcW w:w="4006" w:type="dxa"/>
          </w:tcPr>
          <w:p w:rsidR="001C3A06" w:rsidRDefault="0042621E" w:rsidP="00E3253D">
            <w:pPr>
              <w:pStyle w:val="libFootnote0"/>
              <w:rPr>
                <w:rtl/>
              </w:rPr>
            </w:pPr>
            <w:r w:rsidRPr="0042621E">
              <w:rPr>
                <w:rStyle w:val="libFootnote0Char"/>
                <w:rtl/>
              </w:rPr>
              <w:t>(5).</w:t>
            </w:r>
            <w:r w:rsidR="00BC73D6">
              <w:rPr>
                <w:rtl/>
              </w:rPr>
              <w:t xml:space="preserve"> في «غ» : «يطيّب</w:t>
            </w:r>
            <w:r w:rsidR="00BC73D6" w:rsidRPr="005D642E">
              <w:rPr>
                <w:rtl/>
              </w:rPr>
              <w:t>»</w:t>
            </w:r>
            <w:r w:rsidR="00BC73D6">
              <w:rPr>
                <w:rtl/>
              </w:rPr>
              <w:t>.</w:t>
            </w:r>
            <w:r w:rsidR="00BC73D6" w:rsidRPr="005D642E">
              <w:rPr>
                <w:rtl/>
              </w:rPr>
              <w:t xml:space="preserve"> وفي « جن » : « تطيب »</w:t>
            </w:r>
            <w:r w:rsidR="00BC73D6">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 « يقع »</w:t>
      </w:r>
      <w:r w:rsidR="00E3253D">
        <w:rPr>
          <w:rtl/>
        </w:rPr>
        <w:t>.</w:t>
      </w:r>
      <w:r w:rsidR="00E3253D" w:rsidRPr="005D642E">
        <w:rPr>
          <w:rtl/>
        </w:rPr>
        <w:t xml:space="preserve"> وفي « جس » </w:t>
      </w:r>
      <w:r w:rsidR="00E3253D" w:rsidRPr="00E678B5">
        <w:rPr>
          <w:rStyle w:val="libFootnoteBoldChar"/>
          <w:rtl/>
        </w:rPr>
        <w:t>والاستبصار</w:t>
      </w:r>
      <w:r w:rsidR="00E3253D" w:rsidRPr="005D642E">
        <w:rPr>
          <w:rtl/>
        </w:rPr>
        <w:t xml:space="preserve"> : « يسقط »</w:t>
      </w:r>
      <w:r w:rsidR="00E3253D">
        <w:rPr>
          <w:rtl/>
        </w:rPr>
        <w:t>.</w:t>
      </w:r>
      <w:r w:rsidR="00E3253D" w:rsidRPr="005D642E">
        <w:rPr>
          <w:rtl/>
        </w:rPr>
        <w:t xml:space="preserve"> وفي التهذيب : « سقط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الخَنافِسُ » : جمع الخُنْفساء وضمّ الفاء أكثر من فتحها ، وهي دُوَيبّة سوداء أصغر من الجُعَل منتنة الريح. وقيل : هي دويّبة سوداء تكون في ا</w:t>
      </w:r>
      <w:r w:rsidR="003A66E3">
        <w:rPr>
          <w:rFonts w:hint="cs"/>
          <w:rtl/>
        </w:rPr>
        <w:t>ُ</w:t>
      </w:r>
      <w:r w:rsidR="00E3253D" w:rsidRPr="005D642E">
        <w:rPr>
          <w:rtl/>
        </w:rPr>
        <w:t xml:space="preserve">صول الحيطان. راجع : </w:t>
      </w:r>
      <w:r w:rsidR="00E3253D" w:rsidRPr="002F4D34">
        <w:rPr>
          <w:rStyle w:val="libFootnoteBoldChar"/>
          <w:rtl/>
        </w:rPr>
        <w:t>المغرب</w:t>
      </w:r>
      <w:r w:rsidR="00E3253D" w:rsidRPr="005D642E">
        <w:rPr>
          <w:rtl/>
        </w:rPr>
        <w:t xml:space="preserve"> ، ص 149 ؛ </w:t>
      </w:r>
      <w:r w:rsidR="00E3253D" w:rsidRPr="002F4D34">
        <w:rPr>
          <w:rStyle w:val="libFootnoteBoldChar"/>
          <w:rtl/>
        </w:rPr>
        <w:t>لسان العرب</w:t>
      </w:r>
      <w:r w:rsidR="007970F4">
        <w:rPr>
          <w:rtl/>
        </w:rPr>
        <w:t xml:space="preserve"> ، ج 6 ، ص 74 ( خنفس</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230 ، ح 666 ؛ </w:t>
      </w:r>
      <w:r w:rsidR="00E3253D" w:rsidRPr="00E678B5">
        <w:rPr>
          <w:rStyle w:val="libFootnoteBoldChar"/>
          <w:rtl/>
        </w:rPr>
        <w:t>والاستبصار</w:t>
      </w:r>
      <w:r w:rsidR="00E3253D" w:rsidRPr="005D642E">
        <w:rPr>
          <w:rtl/>
        </w:rPr>
        <w:t xml:space="preserve"> ، ج 1 ، ص 26 ، ح 68 ، بسند آخر عن الحسين بن سعيد ، عن ابن سنان ، عن ابن مسكان ، عن أبي عبدالله </w:t>
      </w:r>
      <w:r w:rsidR="00E3253D" w:rsidRPr="007970F4">
        <w:rPr>
          <w:rStyle w:val="libFootnoteAlaemChar"/>
          <w:rtl/>
        </w:rPr>
        <w:t>عليه‌السلام</w:t>
      </w:r>
      <w:r w:rsidR="00E3253D" w:rsidRPr="005D642E">
        <w:rPr>
          <w:rtl/>
        </w:rPr>
        <w:t xml:space="preserve"> ، مع اختلاف يسير. </w:t>
      </w:r>
      <w:r w:rsidR="00E3253D" w:rsidRPr="002F4D34">
        <w:rPr>
          <w:rStyle w:val="libFootnoteBoldChar"/>
          <w:rtl/>
        </w:rPr>
        <w:t>وفيه</w:t>
      </w:r>
      <w:r w:rsidR="00E3253D" w:rsidRPr="005D642E">
        <w:rPr>
          <w:rtl/>
        </w:rPr>
        <w:t xml:space="preserve"> ، ح 66 ؛ </w:t>
      </w:r>
      <w:r w:rsidR="00B60612" w:rsidRPr="00B60612">
        <w:rPr>
          <w:rStyle w:val="libFootnoteBoldChar"/>
          <w:rtl/>
        </w:rPr>
        <w:t>والتهذيب</w:t>
      </w:r>
      <w:r w:rsidR="00E3253D" w:rsidRPr="002F4D34">
        <w:rPr>
          <w:rStyle w:val="libFootnoteBoldChar"/>
          <w:rtl/>
        </w:rPr>
        <w:t xml:space="preserve"> </w:t>
      </w:r>
      <w:r w:rsidR="00E3253D" w:rsidRPr="005D642E">
        <w:rPr>
          <w:rtl/>
        </w:rPr>
        <w:t xml:space="preserve">، ج 1 ، ص 230 ، ح 665 ، بسند آخر ، مع اختلاف. </w:t>
      </w:r>
      <w:r w:rsidR="00E3253D" w:rsidRPr="002F4D34">
        <w:rPr>
          <w:rStyle w:val="libFootnoteBoldChar"/>
          <w:rtl/>
        </w:rPr>
        <w:t>فقه الرضا</w:t>
      </w:r>
      <w:r w:rsidR="00E3253D" w:rsidRPr="005D642E">
        <w:rPr>
          <w:rtl/>
        </w:rPr>
        <w:t xml:space="preserve"> </w:t>
      </w:r>
      <w:r w:rsidR="00E3253D" w:rsidRPr="007970F4">
        <w:rPr>
          <w:rStyle w:val="libFootnoteAlaemChar"/>
          <w:rtl/>
        </w:rPr>
        <w:t>عليه‌السلام</w:t>
      </w:r>
      <w:r w:rsidR="00E3253D" w:rsidRPr="005D642E">
        <w:rPr>
          <w:rtl/>
        </w:rPr>
        <w:t xml:space="preserve"> ، ص 93 ، ضمن الحديث ، وفي الأربعة الأخيرة من قوله : « كلّ شي‌ء وقع في البئر » </w:t>
      </w:r>
      <w:r w:rsidR="007970F4">
        <w:rPr>
          <w:rFonts w:hint="cs"/>
          <w:rtl/>
        </w:rPr>
        <w:t>.</w:t>
      </w:r>
      <w:r w:rsidR="00E3253D" w:rsidRPr="002F4D34">
        <w:rPr>
          <w:rStyle w:val="libFootnoteBoldChar"/>
          <w:rtl/>
        </w:rPr>
        <w:t>الوافي</w:t>
      </w:r>
      <w:r w:rsidR="00E3253D" w:rsidRPr="005D642E">
        <w:rPr>
          <w:rtl/>
        </w:rPr>
        <w:t xml:space="preserve"> ، ج 6 ، ص 84 ، ح 3813 ؛ </w:t>
      </w:r>
      <w:r w:rsidR="00E3253D" w:rsidRPr="002F4D34">
        <w:rPr>
          <w:rStyle w:val="libFootnoteBoldChar"/>
          <w:rtl/>
        </w:rPr>
        <w:t>الوسائل</w:t>
      </w:r>
      <w:r w:rsidR="00E3253D" w:rsidRPr="005D642E">
        <w:rPr>
          <w:rtl/>
        </w:rPr>
        <w:t xml:space="preserve"> ، ج 1 ، ص 185 ، ح 467.</w:t>
      </w:r>
    </w:p>
    <w:p w:rsidR="00E3253D" w:rsidRDefault="00E3253D" w:rsidP="00E3253D">
      <w:pPr>
        <w:pStyle w:val="libNormal"/>
        <w:rPr>
          <w:rtl/>
          <w:lang w:bidi="fa-IR"/>
        </w:rPr>
      </w:pPr>
      <w:r>
        <w:rPr>
          <w:rtl/>
          <w:lang w:bidi="fa-IR"/>
        </w:rPr>
        <w:br w:type="page"/>
      </w:r>
    </w:p>
    <w:p w:rsidR="00E3253D" w:rsidRPr="005D642E" w:rsidRDefault="00E3253D" w:rsidP="00DF5B6B">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 إِذَا سَقَطَ فِي الْبِئْرِ شَيْ‌ءٌ صَغِيرٌ فَمَاتَ فِيهَا ، فَانْزَحْ مِنْهَا </w:t>
      </w:r>
      <w:r w:rsidRPr="007C12DB">
        <w:rPr>
          <w:rStyle w:val="libFootnotenumChar"/>
          <w:rtl/>
        </w:rPr>
        <w:t>(1)</w:t>
      </w:r>
      <w:r w:rsidRPr="005D642E">
        <w:rPr>
          <w:rtl/>
          <w:lang w:bidi="fa-IR"/>
        </w:rPr>
        <w:t xml:space="preserve"> دِلَاءً </w:t>
      </w:r>
      <w:r w:rsidRPr="007C12DB">
        <w:rPr>
          <w:rStyle w:val="libFootnotenumChar"/>
          <w:rtl/>
        </w:rPr>
        <w:t>(2)</w:t>
      </w:r>
      <w:r w:rsidRPr="005D642E">
        <w:rPr>
          <w:rtl/>
          <w:lang w:bidi="fa-IR"/>
        </w:rPr>
        <w:t xml:space="preserve"> ؛ وَإِنْ </w:t>
      </w:r>
      <w:r w:rsidRPr="007C12DB">
        <w:rPr>
          <w:rStyle w:val="libFootnotenumChar"/>
          <w:rtl/>
        </w:rPr>
        <w:t>(3)</w:t>
      </w:r>
      <w:r w:rsidRPr="005D642E">
        <w:rPr>
          <w:rtl/>
          <w:lang w:bidi="fa-IR"/>
        </w:rPr>
        <w:t xml:space="preserve"> وَقَعَ فِيهَا جُنُبٌ </w:t>
      </w:r>
      <w:r w:rsidRPr="007C12DB">
        <w:rPr>
          <w:rStyle w:val="libFootnotenumChar"/>
          <w:rtl/>
        </w:rPr>
        <w:t>(4)</w:t>
      </w:r>
      <w:r w:rsidRPr="005D642E">
        <w:rPr>
          <w:rtl/>
          <w:lang w:bidi="fa-IR"/>
        </w:rPr>
        <w:t xml:space="preserve"> ، فَانْزَحْ مِنْهَا سَبْعَ دِلَاءٍ ؛ فَإِنْ </w:t>
      </w:r>
      <w:r w:rsidRPr="007C12DB">
        <w:rPr>
          <w:rStyle w:val="libFootnotenumChar"/>
          <w:rtl/>
        </w:rPr>
        <w:t>(5)</w:t>
      </w:r>
      <w:r w:rsidRPr="005D642E">
        <w:rPr>
          <w:rtl/>
          <w:lang w:bidi="fa-IR"/>
        </w:rPr>
        <w:t xml:space="preserve"> مَاتَ فِيهَا بَعِيرٌ ، أَوْ صُبَّ فِيهَا خَمْرٌ ، فَلْيُنْزَحْ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C26248">
        <w:rPr>
          <w:rtl/>
        </w:rPr>
        <w:t>3829</w:t>
      </w:r>
      <w:r w:rsidRPr="00246318">
        <w:rPr>
          <w:rStyle w:val="libBold2Char"/>
          <w:rtl/>
        </w:rPr>
        <w:t xml:space="preserve"> / 8.</w:t>
      </w:r>
      <w:r w:rsidRPr="005D642E">
        <w:rPr>
          <w:rtl/>
          <w:lang w:bidi="fa-IR"/>
        </w:rPr>
        <w:t xml:space="preserve"> مُحَمَّدُ بْنُ يَحْيى ، عَنِ الْعَمْرَكِيِّ بْنِ عَلِيٍّ ، عَنْ عَلِيِّ بْنِ جَعْفَرٍ :</w:t>
      </w:r>
    </w:p>
    <w:p w:rsidR="00E3253D" w:rsidRPr="005D642E" w:rsidRDefault="00E3253D" w:rsidP="00E3253D">
      <w:pPr>
        <w:pStyle w:val="libNormal"/>
        <w:rPr>
          <w:rtl/>
          <w:lang w:bidi="fa-IR"/>
        </w:rPr>
      </w:pPr>
      <w:r w:rsidRPr="005D642E">
        <w:rPr>
          <w:rtl/>
          <w:lang w:bidi="fa-IR"/>
        </w:rPr>
        <w:t xml:space="preserve">عَنْ أَخِيهِ أَبِي الْحَسَنِ </w:t>
      </w:r>
      <w:r w:rsidRPr="00AC51C5">
        <w:rPr>
          <w:rStyle w:val="libAlaemChar"/>
          <w:rtl/>
        </w:rPr>
        <w:t>عليه‌السلام</w:t>
      </w:r>
      <w:r w:rsidRPr="005D642E">
        <w:rPr>
          <w:rtl/>
          <w:lang w:bidi="fa-IR"/>
        </w:rPr>
        <w:t xml:space="preserve"> ، قَالَ : سَأَلْتُهُ عَنْ رَجُلٍ ذَبَحَ شَاةً ، فَاضْطَرَبَتْ فَوَقَعَتْ </w:t>
      </w:r>
      <w:r w:rsidRPr="007C12DB">
        <w:rPr>
          <w:rStyle w:val="libFootnotenumChar"/>
          <w:rtl/>
        </w:rPr>
        <w:t>(8)</w:t>
      </w:r>
      <w:r w:rsidRPr="005D642E">
        <w:rPr>
          <w:rtl/>
          <w:lang w:bidi="fa-IR"/>
        </w:rPr>
        <w:t xml:space="preserve"> فِي بِئْرِ مَاءٍ وَأَوْدَاجُهَا </w:t>
      </w:r>
      <w:r w:rsidRPr="007C12DB">
        <w:rPr>
          <w:rStyle w:val="libFootnotenumChar"/>
          <w:rtl/>
        </w:rPr>
        <w:t>(9)</w:t>
      </w:r>
      <w:r w:rsidRPr="005D642E">
        <w:rPr>
          <w:rtl/>
          <w:lang w:bidi="fa-IR"/>
        </w:rPr>
        <w:t xml:space="preserve"> تَشْخُبُ </w:t>
      </w:r>
      <w:r w:rsidRPr="007C12DB">
        <w:rPr>
          <w:rStyle w:val="libFootnotenumChar"/>
          <w:rtl/>
        </w:rPr>
        <w:t>(10)</w:t>
      </w:r>
      <w:r w:rsidRPr="005D642E">
        <w:rPr>
          <w:rtl/>
          <w:lang w:bidi="fa-IR"/>
        </w:rPr>
        <w:t xml:space="preserve"> دَماً ، هَلْ يُتَوَضَّأُ مِنْ تِلْكَ الْبِئْرِ</w:t>
      </w:r>
      <w:r>
        <w:rPr>
          <w:rtl/>
          <w:lang w:bidi="fa-IR"/>
        </w:rPr>
        <w:t>؟</w:t>
      </w:r>
    </w:p>
    <w:p w:rsidR="00E3253D" w:rsidRPr="005D642E" w:rsidRDefault="00E3253D" w:rsidP="00E3253D">
      <w:pPr>
        <w:pStyle w:val="libNormal"/>
        <w:rPr>
          <w:rtl/>
          <w:lang w:bidi="fa-IR"/>
        </w:rPr>
      </w:pPr>
      <w:r w:rsidRPr="005D642E">
        <w:rPr>
          <w:rtl/>
          <w:lang w:bidi="fa-IR"/>
        </w:rPr>
        <w:t xml:space="preserve">قَالَ : « يُنْزَحُ مِنْهَا مَا بَيْنَ الثَّلَاثِينَ إِلَى الْأَرْبَعِينَ دَلْواً ، ثُمَّ يُتَوَضَّأُ </w:t>
      </w:r>
      <w:r w:rsidRPr="007C12DB">
        <w:rPr>
          <w:rStyle w:val="libFootnotenumChar"/>
          <w:rtl/>
        </w:rPr>
        <w:t>(11)</w:t>
      </w:r>
      <w:r w:rsidRPr="005D642E">
        <w:rPr>
          <w:rtl/>
          <w:lang w:bidi="fa-IR"/>
        </w:rPr>
        <w:t xml:space="preserve"> مِنْهَا ، وَلَا‌</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81B59" w:rsidTr="00681B59">
        <w:tc>
          <w:tcPr>
            <w:tcW w:w="4006" w:type="dxa"/>
          </w:tcPr>
          <w:p w:rsidR="00681B59" w:rsidRDefault="0042621E" w:rsidP="00E3253D">
            <w:pPr>
              <w:pStyle w:val="libFootnote0"/>
              <w:rPr>
                <w:rtl/>
              </w:rPr>
            </w:pPr>
            <w:r w:rsidRPr="0042621E">
              <w:rPr>
                <w:rStyle w:val="libFootnote0Char"/>
                <w:rtl/>
              </w:rPr>
              <w:t>(1).</w:t>
            </w:r>
            <w:r w:rsidR="00681B59" w:rsidRPr="005D642E">
              <w:rPr>
                <w:rtl/>
              </w:rPr>
              <w:t xml:space="preserve"> في « جن » : « منه »</w:t>
            </w:r>
            <w:r w:rsidR="00681B59">
              <w:rPr>
                <w:rtl/>
              </w:rPr>
              <w:t>.</w:t>
            </w:r>
          </w:p>
        </w:tc>
        <w:tc>
          <w:tcPr>
            <w:tcW w:w="4006" w:type="dxa"/>
          </w:tcPr>
          <w:p w:rsidR="00681B59" w:rsidRDefault="0042621E" w:rsidP="00E3253D">
            <w:pPr>
              <w:pStyle w:val="libFootnote0"/>
              <w:rPr>
                <w:rtl/>
              </w:rPr>
            </w:pPr>
            <w:r w:rsidRPr="0042621E">
              <w:rPr>
                <w:rStyle w:val="libFootnote0Char"/>
                <w:rtl/>
              </w:rPr>
              <w:t>(2).</w:t>
            </w:r>
            <w:r w:rsidR="00681B59" w:rsidRPr="005D642E">
              <w:rPr>
                <w:rtl/>
              </w:rPr>
              <w:t xml:space="preserve"> في التهذيب : + « دلاء »</w:t>
            </w:r>
            <w:r w:rsidR="00681B59">
              <w:rPr>
                <w:rtl/>
              </w:rPr>
              <w:t>.</w:t>
            </w:r>
          </w:p>
        </w:tc>
      </w:tr>
      <w:tr w:rsidR="00681B59" w:rsidTr="00681B59">
        <w:tc>
          <w:tcPr>
            <w:tcW w:w="4006" w:type="dxa"/>
          </w:tcPr>
          <w:p w:rsidR="00681B59" w:rsidRDefault="0042621E" w:rsidP="00E3253D">
            <w:pPr>
              <w:pStyle w:val="libFootnote0"/>
              <w:rPr>
                <w:rtl/>
              </w:rPr>
            </w:pPr>
            <w:r w:rsidRPr="0042621E">
              <w:rPr>
                <w:rStyle w:val="libFootnote0Char"/>
                <w:rtl/>
              </w:rPr>
              <w:t>(3).</w:t>
            </w:r>
            <w:r w:rsidR="00681B59" w:rsidRPr="005D642E">
              <w:rPr>
                <w:rtl/>
              </w:rPr>
              <w:t xml:space="preserve"> في « ى » </w:t>
            </w:r>
            <w:r w:rsidR="000D749A" w:rsidRPr="000D749A">
              <w:rPr>
                <w:rStyle w:val="libFootnoteBoldChar"/>
                <w:rtl/>
              </w:rPr>
              <w:t>والوافي</w:t>
            </w:r>
            <w:r w:rsidR="00681B59" w:rsidRPr="005D642E">
              <w:rPr>
                <w:rtl/>
              </w:rPr>
              <w:t xml:space="preserve"> </w:t>
            </w:r>
            <w:r w:rsidR="00B60612" w:rsidRPr="00B60612">
              <w:rPr>
                <w:rStyle w:val="libFootnoteBoldChar"/>
                <w:rtl/>
              </w:rPr>
              <w:t>والتهذيب</w:t>
            </w:r>
            <w:r w:rsidR="00681B59" w:rsidRPr="005D642E">
              <w:rPr>
                <w:rtl/>
              </w:rPr>
              <w:t xml:space="preserve"> : « فإن »</w:t>
            </w:r>
            <w:r w:rsidR="00681B59">
              <w:rPr>
                <w:rtl/>
              </w:rPr>
              <w:t>.</w:t>
            </w:r>
          </w:p>
        </w:tc>
        <w:tc>
          <w:tcPr>
            <w:tcW w:w="4006" w:type="dxa"/>
          </w:tcPr>
          <w:p w:rsidR="00681B59" w:rsidRDefault="0042621E" w:rsidP="00E3253D">
            <w:pPr>
              <w:pStyle w:val="libFootnote0"/>
              <w:rPr>
                <w:rtl/>
              </w:rPr>
            </w:pPr>
            <w:r w:rsidRPr="0042621E">
              <w:rPr>
                <w:rStyle w:val="libFootnote0Char"/>
                <w:rtl/>
              </w:rPr>
              <w:t>(4).</w:t>
            </w:r>
            <w:r w:rsidR="00681B59" w:rsidRPr="005D642E">
              <w:rPr>
                <w:rtl/>
              </w:rPr>
              <w:t xml:space="preserve"> في « جس » : « خبث »</w:t>
            </w:r>
            <w:r w:rsidR="00681B59">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وحاشية « ت » والوسائل </w:t>
      </w:r>
      <w:r w:rsidR="00E3253D" w:rsidRPr="00E678B5">
        <w:rPr>
          <w:rStyle w:val="libFootnoteBoldChar"/>
          <w:rtl/>
        </w:rPr>
        <w:t>والاستبصار</w:t>
      </w:r>
      <w:r w:rsidR="00E3253D" w:rsidRPr="005D642E">
        <w:rPr>
          <w:rtl/>
        </w:rPr>
        <w:t xml:space="preserve"> : « وإن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ى ، جن » والوسائل : « فلتنزح »</w:t>
      </w:r>
      <w:r w:rsidR="00E3253D">
        <w:rPr>
          <w:rtl/>
        </w:rPr>
        <w:t>.</w:t>
      </w:r>
      <w:r w:rsidR="00E3253D" w:rsidRPr="005D642E">
        <w:rPr>
          <w:rtl/>
        </w:rPr>
        <w:t xml:space="preserve"> وفي المرآة : « فينزح »</w:t>
      </w:r>
      <w:r w:rsidR="00E3253D">
        <w:rPr>
          <w:rtl/>
        </w:rPr>
        <w:t>.</w:t>
      </w:r>
      <w:r w:rsidR="00E3253D" w:rsidRPr="005D642E">
        <w:rPr>
          <w:rtl/>
        </w:rPr>
        <w:t xml:space="preserve"> وفي التهذيب </w:t>
      </w:r>
      <w:r w:rsidR="00E3253D" w:rsidRPr="00E678B5">
        <w:rPr>
          <w:rStyle w:val="libFootnoteBoldChar"/>
          <w:rtl/>
        </w:rPr>
        <w:t>والاستبصار</w:t>
      </w:r>
      <w:r w:rsidR="00E3253D" w:rsidRPr="005D642E">
        <w:rPr>
          <w:rtl/>
        </w:rPr>
        <w:t xml:space="preserve"> : + « الماء كلّه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CB2A1E">
        <w:rPr>
          <w:rStyle w:val="libFootnoteAlaemChar"/>
          <w:rtl/>
        </w:rPr>
        <w:t>عليه‌السلام</w:t>
      </w:r>
      <w:r w:rsidR="00E3253D" w:rsidRPr="005D642E">
        <w:rPr>
          <w:rtl/>
        </w:rPr>
        <w:t xml:space="preserve"> : فينزح ، ظاهره جميع الماء وإن احتمل أن يكون المراد مطلق النزح ، لكن رواه الشيخ عن محمّد بن يعقوب وزاد فيه : فينزح الماء كلّه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240 ، ح 694 ؛ </w:t>
      </w:r>
      <w:r w:rsidR="00E3253D" w:rsidRPr="00E678B5">
        <w:rPr>
          <w:rStyle w:val="libFootnoteBoldChar"/>
          <w:rtl/>
        </w:rPr>
        <w:t>والاستبصار</w:t>
      </w:r>
      <w:r w:rsidR="00E3253D" w:rsidRPr="005D642E">
        <w:rPr>
          <w:rtl/>
        </w:rPr>
        <w:t xml:space="preserve"> ، ج 1 ، ص 34 ، ح 92 ، بسندهما عن الكليني. </w:t>
      </w:r>
      <w:r w:rsidR="00E3253D" w:rsidRPr="002F4D34">
        <w:rPr>
          <w:rStyle w:val="libFootnoteBoldChar"/>
          <w:rtl/>
        </w:rPr>
        <w:t>وفيه</w:t>
      </w:r>
      <w:r w:rsidR="00E3253D" w:rsidRPr="005D642E">
        <w:rPr>
          <w:rtl/>
        </w:rPr>
        <w:t xml:space="preserve"> ، ح 93 ؛ </w:t>
      </w:r>
      <w:r w:rsidR="00B60612" w:rsidRPr="00B60612">
        <w:rPr>
          <w:rStyle w:val="libFootnoteBoldChar"/>
          <w:rtl/>
        </w:rPr>
        <w:t>والتهذيب</w:t>
      </w:r>
      <w:r w:rsidR="00E3253D" w:rsidRPr="002F4D34">
        <w:rPr>
          <w:rStyle w:val="libFootnoteBoldChar"/>
          <w:rtl/>
        </w:rPr>
        <w:t xml:space="preserve"> </w:t>
      </w:r>
      <w:r w:rsidR="00E3253D" w:rsidRPr="005D642E">
        <w:rPr>
          <w:rtl/>
        </w:rPr>
        <w:t xml:space="preserve">، ج 1 ، ص 241 ، ح 695 ، بسند آخر ، مع اختلاف. </w:t>
      </w:r>
      <w:r w:rsidR="00E3253D" w:rsidRPr="002F4D34">
        <w:rPr>
          <w:rStyle w:val="libFootnoteBoldChar"/>
          <w:rtl/>
        </w:rPr>
        <w:t>فقه الرضا</w:t>
      </w:r>
      <w:r w:rsidR="00E3253D" w:rsidRPr="005D642E">
        <w:rPr>
          <w:rtl/>
        </w:rPr>
        <w:t xml:space="preserve"> </w:t>
      </w:r>
      <w:r w:rsidR="00E3253D" w:rsidRPr="009F10EE">
        <w:rPr>
          <w:rStyle w:val="libFootnoteAlaemChar"/>
          <w:rtl/>
        </w:rPr>
        <w:t>عليه‌السلام</w:t>
      </w:r>
      <w:r w:rsidR="00E3253D" w:rsidRPr="005D642E">
        <w:rPr>
          <w:rtl/>
        </w:rPr>
        <w:t xml:space="preserve"> ، ص 94 ، وتمام الرواية فيه : « إن مات فيها بعير أو صبّ فيها خمر فانزح منهما الماء كلّه »</w:t>
      </w:r>
      <w:r w:rsidR="00E3253D">
        <w:rPr>
          <w:rtl/>
        </w:rPr>
        <w:t>.</w:t>
      </w:r>
      <w:r w:rsidR="00E3253D" w:rsidRPr="005D642E">
        <w:rPr>
          <w:rtl/>
        </w:rPr>
        <w:t xml:space="preserve"> وراجع : </w:t>
      </w:r>
      <w:r w:rsidR="00E3253D" w:rsidRPr="002F4D34">
        <w:rPr>
          <w:rStyle w:val="libFootnoteBoldChar"/>
          <w:rtl/>
        </w:rPr>
        <w:t>الفقيه</w:t>
      </w:r>
      <w:r w:rsidR="00E3253D" w:rsidRPr="005D642E">
        <w:rPr>
          <w:rtl/>
        </w:rPr>
        <w:t xml:space="preserve"> ، ج 1 ، ص 16 ، ذيل ح 22 </w:t>
      </w:r>
      <w:r w:rsidR="00CB2A1E">
        <w:rPr>
          <w:rFonts w:hint="cs"/>
          <w:rtl/>
        </w:rPr>
        <w:t>.</w:t>
      </w:r>
      <w:r w:rsidR="00E3253D" w:rsidRPr="002F4D34">
        <w:rPr>
          <w:rStyle w:val="libFootnoteBoldChar"/>
          <w:rtl/>
        </w:rPr>
        <w:t>الوافي</w:t>
      </w:r>
      <w:r w:rsidR="00E3253D" w:rsidRPr="005D642E">
        <w:rPr>
          <w:rtl/>
        </w:rPr>
        <w:t xml:space="preserve"> ، ج 6 ، ص 85 ، ح 3815 ؛ </w:t>
      </w:r>
      <w:r w:rsidR="00E3253D" w:rsidRPr="002F4D34">
        <w:rPr>
          <w:rStyle w:val="libFootnoteBoldChar"/>
          <w:rtl/>
        </w:rPr>
        <w:t>الوسائل</w:t>
      </w:r>
      <w:r w:rsidR="00E3253D" w:rsidRPr="005D642E">
        <w:rPr>
          <w:rtl/>
        </w:rPr>
        <w:t xml:space="preserve"> ، ج 1 ، ص 180 ، ح 449.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ص 409 </w:t>
      </w:r>
      <w:r w:rsidR="00E3253D" w:rsidRPr="003B3913">
        <w:rPr>
          <w:rStyle w:val="libFootnoteBoldChar"/>
          <w:rtl/>
        </w:rPr>
        <w:t>وقرب الإسناد</w:t>
      </w:r>
      <w:r w:rsidR="009F10EE">
        <w:rPr>
          <w:rtl/>
        </w:rPr>
        <w:t>. وفي المطبوع : «ووقعت</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الأوْداجُ » : هي ما أحاط بالعنق من العروق التي يقطعها الذابح ، واحدها : وَدَج بالتحريك وكسر الدال لغة.</w:t>
      </w:r>
    </w:p>
    <w:p w:rsidR="00E3253D" w:rsidRPr="005D642E" w:rsidRDefault="00E3253D" w:rsidP="00E3253D">
      <w:pPr>
        <w:pStyle w:val="libFootnote0"/>
        <w:rPr>
          <w:rtl/>
          <w:lang w:bidi="fa-IR"/>
        </w:rPr>
      </w:pPr>
      <w:r w:rsidRPr="00B60612">
        <w:rPr>
          <w:rtl/>
        </w:rPr>
        <w:t xml:space="preserve">وقيل : الوَدَجان : عرقان غليظان يكتفنان الحلقوم وهو مجرى النفس ، فقوله </w:t>
      </w:r>
      <w:r w:rsidRPr="00CB2A1E">
        <w:rPr>
          <w:rStyle w:val="libFootnoteAlaemChar"/>
          <w:rtl/>
        </w:rPr>
        <w:t>عليه‌السلام</w:t>
      </w:r>
      <w:r w:rsidRPr="00B60612">
        <w:rPr>
          <w:rtl/>
        </w:rPr>
        <w:t xml:space="preserve"> : « وأوداجها » يمكن حمله على الحقيقة على الأوّل ، وعلى المجاز على الثاني بأن يراد بصيغة الجمع الاثنان على المشهور في المجازيّة. راجع : </w:t>
      </w:r>
      <w:r w:rsidRPr="002F4D34">
        <w:rPr>
          <w:rStyle w:val="libFootnoteBoldChar"/>
          <w:rtl/>
        </w:rPr>
        <w:t>النهاية</w:t>
      </w:r>
      <w:r w:rsidRPr="00B60612">
        <w:rPr>
          <w:rtl/>
        </w:rPr>
        <w:t xml:space="preserve"> ، ج 5 ، ص 165 ؛ </w:t>
      </w:r>
      <w:r w:rsidRPr="002F4D34">
        <w:rPr>
          <w:rStyle w:val="libFootnoteBoldChar"/>
          <w:rtl/>
        </w:rPr>
        <w:t>مجمع البحرين</w:t>
      </w:r>
      <w:r w:rsidRPr="00B60612">
        <w:rPr>
          <w:rtl/>
        </w:rPr>
        <w:t xml:space="preserve"> ، ج 2 ، ص 334 ( ودج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الشَخْب » : السيلان ، يقال : شَخَب يَشْخُب يَشْخَبُ شَخْباً وشخوباً ، وشخبتُه أنا. </w:t>
      </w:r>
      <w:r w:rsidR="00E3253D">
        <w:rPr>
          <w:rtl/>
        </w:rPr>
        <w:t>و «</w:t>
      </w:r>
      <w:r w:rsidR="00E3253D" w:rsidRPr="005D642E">
        <w:rPr>
          <w:rtl/>
        </w:rPr>
        <w:t xml:space="preserve"> دماً » على الأوّل نصب بالتمييز وعلى الثاني بالمفعوليّة ، والأوّل هو المشهور. وأصل الشخب ما يخرج من تحت يد الحالب عند كلّ غمزة وعصرة لضرع الشاة. راجع : </w:t>
      </w:r>
      <w:r w:rsidR="00E3253D" w:rsidRPr="002F4D34">
        <w:rPr>
          <w:rStyle w:val="libFootnoteBoldChar"/>
          <w:rtl/>
        </w:rPr>
        <w:t>النهاية</w:t>
      </w:r>
      <w:r w:rsidR="00E3253D" w:rsidRPr="005D642E">
        <w:rPr>
          <w:rtl/>
        </w:rPr>
        <w:t xml:space="preserve"> ، ج 2 ، ص 450 ؛ </w:t>
      </w:r>
      <w:r w:rsidR="00E3253D" w:rsidRPr="002F4D34">
        <w:rPr>
          <w:rStyle w:val="libFootnoteBoldChar"/>
          <w:rtl/>
        </w:rPr>
        <w:t>المغرب</w:t>
      </w:r>
      <w:r w:rsidR="00E3253D" w:rsidRPr="005D642E">
        <w:rPr>
          <w:rtl/>
        </w:rPr>
        <w:t xml:space="preserve"> ، ص 245 ( شخب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جح » : « ليتوضّأ » بدل « يتوضّأ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بَأْسَ </w:t>
      </w:r>
      <w:r w:rsidRPr="007C12DB">
        <w:rPr>
          <w:rStyle w:val="libFootnotenumChar"/>
          <w:rtl/>
        </w:rPr>
        <w:t>(1)</w:t>
      </w:r>
      <w:r w:rsidRPr="005D642E">
        <w:rPr>
          <w:rtl/>
          <w:lang w:bidi="fa-IR"/>
        </w:rPr>
        <w:t xml:space="preserve"> بِهِ »</w:t>
      </w:r>
      <w:r>
        <w:rPr>
          <w:rtl/>
          <w:lang w:bidi="fa-IR"/>
        </w:rPr>
        <w:t>.</w:t>
      </w:r>
    </w:p>
    <w:p w:rsidR="00E3253D" w:rsidRPr="005D642E" w:rsidRDefault="00E3253D" w:rsidP="00E3253D">
      <w:pPr>
        <w:pStyle w:val="libNormal"/>
        <w:rPr>
          <w:rtl/>
          <w:lang w:bidi="fa-IR"/>
        </w:rPr>
      </w:pPr>
      <w:r w:rsidRPr="005D642E">
        <w:rPr>
          <w:rtl/>
          <w:lang w:bidi="fa-IR"/>
        </w:rPr>
        <w:t>قَالَ : وَسَأَلْتُهُ عَنْ رَجُلٍ ذَبَحَ دَجَاجَةً ، أَوْ حَمَامَةً ، فَوَقَعَتْ فِي بِئْرٍ ، هَلْ يَصْلُحُ أَنْ يُتَوَضَّأَ مِنْهَا</w:t>
      </w:r>
      <w:r>
        <w:rPr>
          <w:rtl/>
          <w:lang w:bidi="fa-IR"/>
        </w:rPr>
        <w:t>؟</w:t>
      </w:r>
    </w:p>
    <w:p w:rsidR="00E3253D" w:rsidRPr="005D642E" w:rsidRDefault="00E3253D" w:rsidP="00E3253D">
      <w:pPr>
        <w:pStyle w:val="libNormal"/>
        <w:rPr>
          <w:rtl/>
          <w:lang w:bidi="fa-IR"/>
        </w:rPr>
      </w:pPr>
      <w:r w:rsidRPr="005D642E">
        <w:rPr>
          <w:rtl/>
          <w:lang w:bidi="fa-IR"/>
        </w:rPr>
        <w:t xml:space="preserve">قَالَ : « يُنْزَحُ </w:t>
      </w:r>
      <w:r w:rsidRPr="007C12DB">
        <w:rPr>
          <w:rStyle w:val="libFootnotenumChar"/>
          <w:rtl/>
        </w:rPr>
        <w:t>(2)</w:t>
      </w:r>
      <w:r w:rsidRPr="005D642E">
        <w:rPr>
          <w:rtl/>
          <w:lang w:bidi="fa-IR"/>
        </w:rPr>
        <w:t xml:space="preserve"> مِنْهَا دِلَاءٌ يَسِيرَةٌ ، ثُمَّ يُتَوَضَّأُ مِنْهَا »</w:t>
      </w:r>
      <w:r>
        <w:rPr>
          <w:rtl/>
          <w:lang w:bidi="fa-IR"/>
        </w:rPr>
        <w:t>.</w:t>
      </w:r>
    </w:p>
    <w:p w:rsidR="00E3253D" w:rsidRPr="005D642E" w:rsidRDefault="00E3253D" w:rsidP="00E3253D">
      <w:pPr>
        <w:pStyle w:val="libNormal"/>
        <w:rPr>
          <w:rtl/>
          <w:lang w:bidi="fa-IR"/>
        </w:rPr>
      </w:pPr>
      <w:r w:rsidRPr="005D642E">
        <w:rPr>
          <w:rtl/>
          <w:lang w:bidi="fa-IR"/>
        </w:rPr>
        <w:t xml:space="preserve">وَسَأَلْتُهُ عَنْ رَجُلٍ يَسْتَقِي مِنْ بِئْرٍ ، فَيَرْعُفُ </w:t>
      </w:r>
      <w:r w:rsidRPr="007C12DB">
        <w:rPr>
          <w:rStyle w:val="libFootnotenumChar"/>
          <w:rtl/>
        </w:rPr>
        <w:t>(3)</w:t>
      </w:r>
      <w:r w:rsidRPr="005D642E">
        <w:rPr>
          <w:rtl/>
          <w:lang w:bidi="fa-IR"/>
        </w:rPr>
        <w:t xml:space="preserve"> فِيهَا هَلْ يُتَوَضَّأُ مِنْهَا</w:t>
      </w:r>
      <w:r>
        <w:rPr>
          <w:rtl/>
          <w:lang w:bidi="fa-IR"/>
        </w:rPr>
        <w:t>؟</w:t>
      </w:r>
    </w:p>
    <w:p w:rsidR="00E3253D" w:rsidRPr="005D642E" w:rsidRDefault="00E3253D" w:rsidP="00E3253D">
      <w:pPr>
        <w:pStyle w:val="libNormal"/>
        <w:rPr>
          <w:rtl/>
          <w:lang w:bidi="fa-IR"/>
        </w:rPr>
      </w:pPr>
      <w:r w:rsidRPr="005D642E">
        <w:rPr>
          <w:rtl/>
          <w:lang w:bidi="fa-IR"/>
        </w:rPr>
        <w:t xml:space="preserve">قَالَ : « يُنْزَحُ مِنْهَا دِلَاءٌ يَسِيرَةٌ </w:t>
      </w:r>
      <w:r w:rsidRPr="007C12DB">
        <w:rPr>
          <w:rStyle w:val="libFootnotenumChar"/>
          <w:rtl/>
        </w:rPr>
        <w:t>(4)</w:t>
      </w:r>
      <w:r w:rsidRPr="005D642E">
        <w:rPr>
          <w:rtl/>
          <w:lang w:bidi="fa-IR"/>
        </w:rPr>
        <w:t xml:space="preserve">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47C1F">
        <w:rPr>
          <w:rtl/>
        </w:rPr>
        <w:t>3830</w:t>
      </w:r>
      <w:r w:rsidRPr="00246318">
        <w:rPr>
          <w:rStyle w:val="libBold2Char"/>
          <w:rtl/>
        </w:rPr>
        <w:t xml:space="preserve"> / 9.</w:t>
      </w:r>
      <w:r w:rsidRPr="005D642E">
        <w:rPr>
          <w:rtl/>
          <w:lang w:bidi="fa-IR"/>
        </w:rPr>
        <w:t xml:space="preserve"> عَلِيُّ بْنُ إِبْرَاهِيمَ ، عَنْ أَبِيهِ ، عَنْ عَبْدِ اللهِ بْنِ الْمُغِيرَةِ ، عَمَّنْ ذَكَرَهُ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 بِئْرٌ يُخْرَجُ </w:t>
      </w:r>
      <w:r w:rsidRPr="007C12DB">
        <w:rPr>
          <w:rStyle w:val="libFootnotenumChar"/>
          <w:rtl/>
        </w:rPr>
        <w:t>(6)</w:t>
      </w:r>
      <w:r w:rsidRPr="005D642E">
        <w:rPr>
          <w:rtl/>
          <w:lang w:bidi="fa-IR"/>
        </w:rPr>
        <w:t xml:space="preserve"> فِي مَائِهَا قِطَعُ جُلُودٍ</w:t>
      </w:r>
      <w:r>
        <w:rPr>
          <w:rtl/>
          <w:lang w:bidi="fa-IR"/>
        </w:rPr>
        <w:t>؟</w:t>
      </w:r>
    </w:p>
    <w:p w:rsidR="00E3253D" w:rsidRPr="005D642E" w:rsidRDefault="00E3253D" w:rsidP="00E3253D">
      <w:pPr>
        <w:pStyle w:val="libNormal"/>
        <w:rPr>
          <w:rtl/>
          <w:lang w:bidi="fa-IR"/>
        </w:rPr>
      </w:pPr>
      <w:r w:rsidRPr="005D642E">
        <w:rPr>
          <w:rtl/>
          <w:lang w:bidi="fa-IR"/>
        </w:rPr>
        <w:t xml:space="preserve">قَالَ : « لَيْسَ بِشَيْ‌ءٍ ؛ إِنَّ الْوَزَغَ رُبَّمَا طَرَحَ جِلْدَهُ » وَقَالَ : « يَكْفِيكَ دَلْوٌ مِنْ مَاءٍ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بس » : « فلا بأس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جن » : « تنزح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sidRPr="003B3913">
        <w:rPr>
          <w:rStyle w:val="libFootnoteBoldChar"/>
          <w:rtl/>
        </w:rPr>
        <w:t>وقرب الإسناد</w:t>
      </w:r>
      <w:r w:rsidR="00E3253D" w:rsidRPr="005D642E">
        <w:rPr>
          <w:rtl/>
        </w:rPr>
        <w:t xml:space="preserve"> : « فرعف »</w:t>
      </w:r>
      <w:r w:rsidR="00E3253D">
        <w:rPr>
          <w:rtl/>
        </w:rPr>
        <w:t>.</w:t>
      </w:r>
      <w:r w:rsidR="00E3253D" w:rsidRPr="005D642E">
        <w:rPr>
          <w:rtl/>
        </w:rPr>
        <w:t xml:space="preserve"> ورعف يرعف من بابي قتل ونفع ، والضمّ لغة : خرج الدم من أنفه ، ويقال : رعف أنفُه ، إذا سال رُعافه. والرُعاف : خروج الدم من الأنف ، وقيل : هو الدم نفسه. راجع : </w:t>
      </w:r>
      <w:r w:rsidR="00E3253D" w:rsidRPr="002F4D34">
        <w:rPr>
          <w:rStyle w:val="libFootnoteBoldChar"/>
          <w:rtl/>
        </w:rPr>
        <w:t>الصحاح</w:t>
      </w:r>
      <w:r w:rsidR="00E3253D" w:rsidRPr="005D642E">
        <w:rPr>
          <w:rtl/>
        </w:rPr>
        <w:t xml:space="preserve"> ، ج 4 ، ص 1365 ؛ </w:t>
      </w:r>
      <w:r w:rsidR="00E3253D" w:rsidRPr="002F4D34">
        <w:rPr>
          <w:rStyle w:val="libFootnoteBoldChar"/>
          <w:rtl/>
        </w:rPr>
        <w:t>المغرب</w:t>
      </w:r>
      <w:r w:rsidR="00E3253D" w:rsidRPr="005D642E">
        <w:rPr>
          <w:rtl/>
        </w:rPr>
        <w:t xml:space="preserve"> ، ص 191 ؛ </w:t>
      </w:r>
      <w:r w:rsidR="00E3253D" w:rsidRPr="002F4D34">
        <w:rPr>
          <w:rStyle w:val="libFootnoteBoldChar"/>
          <w:rtl/>
        </w:rPr>
        <w:t>المصباح المنير</w:t>
      </w:r>
      <w:r w:rsidR="00E3253D" w:rsidRPr="005D642E">
        <w:rPr>
          <w:rtl/>
        </w:rPr>
        <w:t xml:space="preserve"> ، ص 230 ( رعف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اختلف الأصحاب في حكم الدم ، فالمفيد </w:t>
      </w:r>
      <w:r w:rsidR="00E3253D" w:rsidRPr="00CB2A1E">
        <w:rPr>
          <w:rStyle w:val="libFootnoteAlaemChar"/>
          <w:rtl/>
        </w:rPr>
        <w:t>رحمه‌الله</w:t>
      </w:r>
      <w:r w:rsidR="00E3253D" w:rsidRPr="005D642E">
        <w:rPr>
          <w:rtl/>
        </w:rPr>
        <w:t xml:space="preserve"> ذهب إلى أنّ للقليل خمس دلاء ، وللكثير عشر دلاء » ثمّ ذكر أقوالاً اخر وقال : « ولعلّ الأظهر حمل ما زاد على أقلّ ما ورد في الأخبار على الاستحباب إن لم نحمل الجميع عليه »</w:t>
      </w:r>
      <w:r w:rsidR="00E3253D">
        <w:rPr>
          <w:rtl/>
        </w:rPr>
        <w:t>.</w:t>
      </w:r>
    </w:p>
    <w:p w:rsidR="00E3253D" w:rsidRPr="005D642E" w:rsidRDefault="0042621E" w:rsidP="00B247A1">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409 ، ح 1288 ، معلّقاً عن محمّد بن يحيى ؛ </w:t>
      </w:r>
      <w:r w:rsidR="00E3253D" w:rsidRPr="002F4D34">
        <w:rPr>
          <w:rStyle w:val="libFootnoteBoldChar"/>
          <w:rtl/>
        </w:rPr>
        <w:t>الاستبصار</w:t>
      </w:r>
      <w:r w:rsidR="00E3253D" w:rsidRPr="005D642E">
        <w:rPr>
          <w:rtl/>
        </w:rPr>
        <w:t xml:space="preserve"> ، ج 1 ، ص 44 ، ح 123 ، بسنده عن محمّد بن أحمد بن يحيى الأشعري ، عن العمركيّ. </w:t>
      </w:r>
      <w:r w:rsidR="00E3253D" w:rsidRPr="002F4D34">
        <w:rPr>
          <w:rStyle w:val="libFootnoteBoldChar"/>
          <w:rtl/>
        </w:rPr>
        <w:t>قرب الإسناد</w:t>
      </w:r>
      <w:r w:rsidR="00E3253D" w:rsidRPr="005D642E">
        <w:rPr>
          <w:rtl/>
        </w:rPr>
        <w:t xml:space="preserve"> ، ص 179 ، ح 661 ، 662 </w:t>
      </w:r>
      <w:r w:rsidR="00E3253D">
        <w:rPr>
          <w:rtl/>
        </w:rPr>
        <w:t>و 6</w:t>
      </w:r>
      <w:r w:rsidR="00E3253D" w:rsidRPr="005D642E">
        <w:rPr>
          <w:rtl/>
        </w:rPr>
        <w:t xml:space="preserve">63 ، بسند آخر عن عليّ بن جعفر ؛ </w:t>
      </w:r>
      <w:r w:rsidR="00E3253D" w:rsidRPr="002F4D34">
        <w:rPr>
          <w:rStyle w:val="libFootnoteBoldChar"/>
          <w:rtl/>
        </w:rPr>
        <w:t>الفقيه</w:t>
      </w:r>
      <w:r w:rsidR="00E3253D" w:rsidRPr="005D642E">
        <w:rPr>
          <w:rtl/>
        </w:rPr>
        <w:t xml:space="preserve"> ، ج 1 ، ص 20 ، ج 29 ، بسند آخر عن عليّ بن جعفر ، إلى قوله : « الأربعين دلواً ثمّ يتوضّأ منها » ؛ </w:t>
      </w:r>
      <w:r w:rsidR="00E3253D" w:rsidRPr="002F4D34">
        <w:rPr>
          <w:rStyle w:val="libFootnoteBoldChar"/>
          <w:rtl/>
        </w:rPr>
        <w:t>التهذيب</w:t>
      </w:r>
      <w:r w:rsidR="00E3253D" w:rsidRPr="005D642E">
        <w:rPr>
          <w:rtl/>
        </w:rPr>
        <w:t xml:space="preserve"> ، ج 1 ، ص 246 ، ذيل ح 709 ، بسند آخر عن عليّ بن جعفر ، من قوله : « وسألته عن رجل يستقي من بئر » وفي كلّ المصادر مع اختلاف يسير </w:t>
      </w:r>
      <w:r w:rsidR="00B247A1">
        <w:rPr>
          <w:rFonts w:hint="cs"/>
          <w:rtl/>
        </w:rPr>
        <w:t>.</w:t>
      </w:r>
      <w:r w:rsidR="00E3253D" w:rsidRPr="002F4D34">
        <w:rPr>
          <w:rStyle w:val="libFootnoteBoldChar"/>
          <w:rtl/>
        </w:rPr>
        <w:t>الوافي</w:t>
      </w:r>
      <w:r w:rsidR="00E3253D" w:rsidRPr="005D642E">
        <w:rPr>
          <w:rtl/>
        </w:rPr>
        <w:t xml:space="preserve"> ، ج 6 ، ص 83 ، ح 3809 ؛ </w:t>
      </w:r>
      <w:r w:rsidR="00E3253D" w:rsidRPr="002F4D34">
        <w:rPr>
          <w:rStyle w:val="libFootnoteBoldChar"/>
          <w:rtl/>
        </w:rPr>
        <w:t>الوسائل</w:t>
      </w:r>
      <w:r w:rsidR="00E3253D" w:rsidRPr="005D642E">
        <w:rPr>
          <w:rtl/>
        </w:rPr>
        <w:t xml:space="preserve"> ، ج 1 ، ص 193 ، ذيل ح 497.</w:t>
      </w:r>
      <w:r w:rsidR="009F10EE">
        <w:rPr>
          <w:rFonts w:hint="cs"/>
          <w:rtl/>
        </w:rPr>
        <w:t xml:space="preserve">                 </w:t>
      </w:r>
      <w:r w:rsidR="00B247A1">
        <w:rPr>
          <w:rFonts w:hint="cs"/>
          <w:rtl/>
        </w:rPr>
        <w:t xml:space="preserve">             </w:t>
      </w:r>
      <w:r w:rsidRPr="0042621E">
        <w:rPr>
          <w:rStyle w:val="libFootnote0Char"/>
          <w:rtl/>
        </w:rPr>
        <w:t>(6).</w:t>
      </w:r>
      <w:r w:rsidR="00E3253D" w:rsidRPr="005D642E">
        <w:rPr>
          <w:rtl/>
        </w:rPr>
        <w:t xml:space="preserve"> في « غ » : « تُخرَج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واحد » بدل « من ماء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الفقيه</w:t>
      </w:r>
      <w:r w:rsidR="00E3253D" w:rsidRPr="005D642E">
        <w:rPr>
          <w:rtl/>
        </w:rPr>
        <w:t xml:space="preserve"> ، ج 1 ، ص 21 ، ح 30 ؛ </w:t>
      </w:r>
      <w:r w:rsidR="00B60612" w:rsidRPr="00B60612">
        <w:rPr>
          <w:rStyle w:val="libFootnoteBoldChar"/>
          <w:rtl/>
        </w:rPr>
        <w:t>والتهذيب</w:t>
      </w:r>
      <w:r w:rsidR="00E3253D" w:rsidRPr="005D642E">
        <w:rPr>
          <w:rtl/>
        </w:rPr>
        <w:t xml:space="preserve"> ، ج 1 ، ص 419 ، ح 1325 ، معلّقاً عن يعقوب بن عثيم ، عن أبي عبدالله </w:t>
      </w:r>
      <w:r w:rsidR="00E3253D" w:rsidRPr="00B247A1">
        <w:rPr>
          <w:rStyle w:val="libFootnoteAlaemChar"/>
          <w:rtl/>
        </w:rPr>
        <w:t>عليه‌السلام</w:t>
      </w:r>
      <w:r w:rsidR="00E3253D" w:rsidRPr="005D642E">
        <w:rPr>
          <w:rtl/>
        </w:rPr>
        <w:t xml:space="preserve"> ، مع اختلاف يسير </w:t>
      </w:r>
      <w:r w:rsidR="00B247A1">
        <w:rPr>
          <w:rFonts w:hint="cs"/>
          <w:rtl/>
        </w:rPr>
        <w:t>.</w:t>
      </w:r>
      <w:r w:rsidR="00E3253D" w:rsidRPr="002F4D34">
        <w:rPr>
          <w:rStyle w:val="libFootnoteBoldChar"/>
          <w:rtl/>
        </w:rPr>
        <w:t>الوافي</w:t>
      </w:r>
      <w:r w:rsidR="00E3253D" w:rsidRPr="005D642E">
        <w:rPr>
          <w:rtl/>
        </w:rPr>
        <w:t xml:space="preserve"> ، ج 6 ، ص 86 ، ح 3818 ؛ </w:t>
      </w:r>
      <w:r w:rsidR="00E3253D" w:rsidRPr="002F4D34">
        <w:rPr>
          <w:rStyle w:val="libFootnoteBoldChar"/>
          <w:rtl/>
        </w:rPr>
        <w:t>الوسائل</w:t>
      </w:r>
      <w:r w:rsidR="00E3253D" w:rsidRPr="005D642E">
        <w:rPr>
          <w:rtl/>
        </w:rPr>
        <w:t xml:space="preserve"> ، ج 1 ، ص 189 ، ح 484.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347C1F">
        <w:rPr>
          <w:rtl/>
        </w:rPr>
        <w:lastRenderedPageBreak/>
        <w:t>3831</w:t>
      </w:r>
      <w:r w:rsidRPr="00246318">
        <w:rPr>
          <w:rStyle w:val="libBold2Char"/>
          <w:rtl/>
        </w:rPr>
        <w:t xml:space="preserve"> / 10.</w:t>
      </w:r>
      <w:r w:rsidRPr="005D642E">
        <w:rPr>
          <w:rtl/>
          <w:lang w:bidi="fa-IR"/>
        </w:rPr>
        <w:t xml:space="preserve"> مُحَمَّدُ بْنُ يَحْيى ، عَنْ أَحْمَدَ بْنِ مُحَمَّدٍ ، عَنِ ابْنِ مَحْبُوبٍ ، عَنِ ابْنِ رِئَابٍ ، عَنْ زُرَارَةَ :</w:t>
      </w:r>
    </w:p>
    <w:p w:rsidR="00E3253D" w:rsidRPr="005D642E" w:rsidRDefault="00E3253D" w:rsidP="00B247A1">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الْحَبْلِ يَكُونُ مِنْ شَعْرِ الْخِنْزِيرِ يُسْتَقى </w:t>
      </w:r>
      <w:r w:rsidRPr="007C12DB">
        <w:rPr>
          <w:rStyle w:val="libFootnotenumChar"/>
          <w:rtl/>
        </w:rPr>
        <w:t>(1)</w:t>
      </w:r>
      <w:r w:rsidRPr="005D642E">
        <w:rPr>
          <w:rtl/>
          <w:lang w:bidi="fa-IR"/>
        </w:rPr>
        <w:t xml:space="preserve"> بِهِ الْمَاءُ </w:t>
      </w:r>
      <w:r w:rsidRPr="007C12DB">
        <w:rPr>
          <w:rStyle w:val="libFootnotenumChar"/>
          <w:rtl/>
        </w:rPr>
        <w:t>(2)</w:t>
      </w:r>
      <w:r w:rsidRPr="005D642E">
        <w:rPr>
          <w:rtl/>
          <w:lang w:bidi="fa-IR"/>
        </w:rPr>
        <w:t xml:space="preserve"> مِنَ الْبِئْرِ ، هَلْ يُتَوَضَّأُ </w:t>
      </w:r>
      <w:r w:rsidRPr="007C12DB">
        <w:rPr>
          <w:rStyle w:val="libFootnotenumChar"/>
          <w:rtl/>
        </w:rPr>
        <w:t>(3)</w:t>
      </w:r>
      <w:r w:rsidRPr="005D642E">
        <w:rPr>
          <w:rtl/>
          <w:lang w:bidi="fa-IR"/>
        </w:rPr>
        <w:t xml:space="preserve"> مِنْ ذلِكَ الْمَاءِ</w:t>
      </w:r>
      <w:r>
        <w:rPr>
          <w:rtl/>
          <w:lang w:bidi="fa-IR"/>
        </w:rPr>
        <w:t>؟</w:t>
      </w:r>
      <w:r w:rsidRPr="005D642E">
        <w:rPr>
          <w:rtl/>
          <w:lang w:bidi="fa-IR"/>
        </w:rPr>
        <w:t xml:space="preserve"> قَالَ : « لَا بَأْسَ </w:t>
      </w:r>
      <w:r w:rsidRPr="007C12DB">
        <w:rPr>
          <w:rStyle w:val="libFootnotenumChar"/>
          <w:rtl/>
        </w:rPr>
        <w:t>(4)</w:t>
      </w:r>
      <w:r w:rsidRPr="005D642E">
        <w:rPr>
          <w:rtl/>
          <w:lang w:bidi="fa-IR"/>
        </w:rPr>
        <w:t xml:space="preserve">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47C1F">
        <w:rPr>
          <w:rtl/>
        </w:rPr>
        <w:t>3832</w:t>
      </w:r>
      <w:r w:rsidRPr="00246318">
        <w:rPr>
          <w:rStyle w:val="libBold2Char"/>
          <w:rtl/>
        </w:rPr>
        <w:t xml:space="preserve"> / 11.</w:t>
      </w:r>
      <w:r w:rsidRPr="005D642E">
        <w:rPr>
          <w:rtl/>
          <w:lang w:bidi="fa-IR"/>
        </w:rPr>
        <w:t xml:space="preserve"> مُحَمَّدُ بْنُ يَحْيى ، عَنْ أَحْمَدَ بْنِ مُحَمَّدٍ ، عَنِ الْحُسَيْنِ بْنِ سَعِيدٍ ، عَنِ الْقَاسِمِ بْنِ مُحَمَّدٍ ، عَنْ عَلِيِّ بْنِ أَبِي حَمْزَةَ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الْعَذِرَةِ تَقَعُ فِي الْبِئْرِ</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(6)</w:t>
      </w:r>
      <w:r w:rsidRPr="005D642E">
        <w:rPr>
          <w:rtl/>
          <w:lang w:bidi="fa-IR"/>
        </w:rPr>
        <w:t xml:space="preserve"> : « يُنْزَحُ </w:t>
      </w:r>
      <w:r w:rsidRPr="007C12DB">
        <w:rPr>
          <w:rStyle w:val="libFootnotenumChar"/>
          <w:rtl/>
        </w:rPr>
        <w:t>(7)</w:t>
      </w:r>
      <w:r w:rsidRPr="005D642E">
        <w:rPr>
          <w:rtl/>
          <w:lang w:bidi="fa-IR"/>
        </w:rPr>
        <w:t xml:space="preserve"> مِنْهَا عَشَرَةُ </w:t>
      </w:r>
      <w:r w:rsidRPr="007C12DB">
        <w:rPr>
          <w:rStyle w:val="libFootnotenumChar"/>
          <w:rtl/>
        </w:rPr>
        <w:t>(8)</w:t>
      </w:r>
      <w:r w:rsidRPr="005D642E">
        <w:rPr>
          <w:rtl/>
          <w:lang w:bidi="fa-IR"/>
        </w:rPr>
        <w:t xml:space="preserve"> دِلَاءٍ ؛ فَإِنْ ذَابَتْ ، فَأَرْبَعُونَ أَوْ خَمْسُونَ دَلْواً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347C1F">
        <w:rPr>
          <w:rtl/>
        </w:rPr>
        <w:t>3833</w:t>
      </w:r>
      <w:r w:rsidRPr="00246318">
        <w:rPr>
          <w:rStyle w:val="libBold2Char"/>
          <w:rtl/>
        </w:rPr>
        <w:t xml:space="preserve"> / 12.</w:t>
      </w:r>
      <w:r w:rsidRPr="005D642E">
        <w:rPr>
          <w:rtl/>
          <w:lang w:bidi="fa-IR"/>
        </w:rPr>
        <w:t xml:space="preserve"> عَلِيُّ بْنُ مُحَمَّدٍ ، عَنْ سَهْلٍ </w:t>
      </w:r>
      <w:r w:rsidRPr="007C12DB">
        <w:rPr>
          <w:rStyle w:val="libFootnotenumChar"/>
          <w:rtl/>
        </w:rPr>
        <w:t>(10)</w:t>
      </w:r>
      <w:r w:rsidRPr="005D642E">
        <w:rPr>
          <w:rtl/>
          <w:lang w:bidi="fa-IR"/>
        </w:rPr>
        <w:t xml:space="preserve"> ، عَنْ أَحْمَدَ بْنِ مُحَمَّدِ بْنِ أَبِي نَصْرٍ ، عَنْ عَبْدِ الْكَرِيمِ ، عَنْ أَبِي بَصِيرٍ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w:t>
      </w:r>
      <w:r w:rsidRPr="007C12DB">
        <w:rPr>
          <w:rStyle w:val="libFootnotenumChar"/>
          <w:rtl/>
        </w:rPr>
        <w:t>(11)</w:t>
      </w:r>
      <w:r w:rsidRPr="005D642E">
        <w:rPr>
          <w:rtl/>
          <w:lang w:bidi="fa-IR"/>
        </w:rPr>
        <w:t xml:space="preserve"> : بِئْرٌ يُسْتَقى مِنْهَا ، وَيُتَوَضَّأُ‌</w:t>
      </w:r>
      <w:r w:rsidR="00E653E7">
        <w:rPr>
          <w:rFonts w:hint="cs"/>
          <w:rtl/>
          <w:lang w:bidi="fa-IR"/>
        </w:rPr>
        <w:t>........................</w:t>
      </w:r>
      <w:r w:rsidR="00E653E7">
        <w:rPr>
          <w:rFonts w:hint="cs"/>
          <w:rtl/>
          <w:lang w:bidi="fa-IR"/>
        </w:rPr>
        <w:tab/>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35D8C" w:rsidTr="00735D8C">
        <w:tc>
          <w:tcPr>
            <w:tcW w:w="4006" w:type="dxa"/>
          </w:tcPr>
          <w:p w:rsidR="00735D8C" w:rsidRDefault="0042621E" w:rsidP="00E3253D">
            <w:pPr>
              <w:pStyle w:val="libFootnote0"/>
              <w:rPr>
                <w:rtl/>
              </w:rPr>
            </w:pPr>
            <w:r w:rsidRPr="0042621E">
              <w:rPr>
                <w:rStyle w:val="libFootnote0Char"/>
                <w:rtl/>
              </w:rPr>
              <w:t>(1).</w:t>
            </w:r>
            <w:r w:rsidR="00735D8C">
              <w:rPr>
                <w:rtl/>
              </w:rPr>
              <w:t xml:space="preserve"> </w:t>
            </w:r>
            <w:r w:rsidR="00735D8C" w:rsidRPr="005D642E">
              <w:rPr>
                <w:rtl/>
              </w:rPr>
              <w:t>في « بح » : « يستسقى »</w:t>
            </w:r>
            <w:r w:rsidR="00735D8C">
              <w:rPr>
                <w:rtl/>
              </w:rPr>
              <w:t>.</w:t>
            </w:r>
          </w:p>
        </w:tc>
        <w:tc>
          <w:tcPr>
            <w:tcW w:w="4006" w:type="dxa"/>
          </w:tcPr>
          <w:p w:rsidR="00735D8C" w:rsidRDefault="0042621E" w:rsidP="00E3253D">
            <w:pPr>
              <w:pStyle w:val="libFootnote0"/>
              <w:rPr>
                <w:rtl/>
              </w:rPr>
            </w:pPr>
            <w:r w:rsidRPr="0042621E">
              <w:rPr>
                <w:rStyle w:val="libFootnote0Char"/>
                <w:rtl/>
              </w:rPr>
              <w:t>(2).</w:t>
            </w:r>
            <w:r w:rsidR="00735D8C" w:rsidRPr="005D642E">
              <w:rPr>
                <w:rtl/>
              </w:rPr>
              <w:t xml:space="preserve"> في « بس » :</w:t>
            </w:r>
            <w:r w:rsidR="00735D8C">
              <w:rPr>
                <w:rtl/>
              </w:rPr>
              <w:t xml:space="preserve"> - </w:t>
            </w:r>
            <w:r w:rsidR="00735D8C" w:rsidRPr="005D642E">
              <w:rPr>
                <w:rtl/>
              </w:rPr>
              <w:t>« الماء »</w:t>
            </w:r>
            <w:r w:rsidR="00735D8C">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ج 1 : « أيتوضّأ » بدل « هل يتوضّأ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 + « به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قال في </w:t>
      </w:r>
      <w:r w:rsidR="00E3253D" w:rsidRPr="002F4D34">
        <w:rPr>
          <w:rStyle w:val="libFootnoteBoldChar"/>
          <w:rtl/>
        </w:rPr>
        <w:t>المختلف</w:t>
      </w:r>
      <w:r w:rsidR="00E3253D" w:rsidRPr="005D642E">
        <w:rPr>
          <w:rtl/>
        </w:rPr>
        <w:t xml:space="preserve"> : يمكن حمله على عدم ملاقاة الحبل الماء ، أو يقال بطهارة ما لا تحلّه الحياة من نجس العين ، كما ذهب إليه السيّد المرتضى </w:t>
      </w:r>
      <w:r w:rsidR="00E3253D" w:rsidRPr="00E14893">
        <w:rPr>
          <w:rStyle w:val="libFootnoteAlaemChar"/>
          <w:rtl/>
        </w:rPr>
        <w:t>رحمه‌الله</w:t>
      </w:r>
      <w:r w:rsidR="00E3253D" w:rsidRPr="005D642E">
        <w:rPr>
          <w:rtl/>
        </w:rPr>
        <w:t xml:space="preserve"> »</w:t>
      </w:r>
      <w:r w:rsidR="00E3253D">
        <w:rPr>
          <w:rtl/>
        </w:rPr>
        <w:t>.</w:t>
      </w:r>
    </w:p>
    <w:p w:rsidR="00E3253D" w:rsidRPr="005D642E" w:rsidRDefault="0042621E" w:rsidP="00E14893">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409 ، ح 1289 ، معلّقاً عن أحمد بن محمّد. </w:t>
      </w:r>
      <w:r w:rsidR="00E3253D" w:rsidRPr="002F4D34">
        <w:rPr>
          <w:rStyle w:val="libFootnoteBoldChar"/>
          <w:rtl/>
        </w:rPr>
        <w:t>الكافي</w:t>
      </w:r>
      <w:r w:rsidR="00E3253D" w:rsidRPr="005D642E">
        <w:rPr>
          <w:rtl/>
        </w:rPr>
        <w:t xml:space="preserve"> ، كتاب الأطعمة ، باب ما ينتفع به من الميتة و</w:t>
      </w:r>
      <w:r w:rsidR="00E3253D">
        <w:rPr>
          <w:rtl/>
        </w:rPr>
        <w:t xml:space="preserve"> ..</w:t>
      </w:r>
      <w:r w:rsidR="00E3253D" w:rsidRPr="005D642E">
        <w:rPr>
          <w:rtl/>
        </w:rPr>
        <w:t xml:space="preserve">. ، ح 11504 ؛ </w:t>
      </w:r>
      <w:r w:rsidR="00E3253D" w:rsidRPr="002F4D34">
        <w:rPr>
          <w:rStyle w:val="libFootnoteBoldChar"/>
          <w:rtl/>
        </w:rPr>
        <w:t>التهذيب</w:t>
      </w:r>
      <w:r w:rsidR="00E3253D" w:rsidRPr="005D642E">
        <w:rPr>
          <w:rtl/>
        </w:rPr>
        <w:t xml:space="preserve"> ، ج 9 ، ص 75 ، ح 320 ، وفيهما بسند آخر ، مع زيادة في أوّله وآخره ، واختلاف يسير. </w:t>
      </w:r>
      <w:r w:rsidR="00E3253D" w:rsidRPr="002F4D34">
        <w:rPr>
          <w:rStyle w:val="libFootnoteBoldChar"/>
          <w:rtl/>
        </w:rPr>
        <w:t>الفقيه</w:t>
      </w:r>
      <w:r w:rsidR="00E3253D" w:rsidRPr="005D642E">
        <w:rPr>
          <w:rtl/>
        </w:rPr>
        <w:t xml:space="preserve"> ، ج 1 ، ص 10 ، ذيل ح 13 ، مع اختلاف يسير </w:t>
      </w:r>
      <w:r w:rsidR="00E14893">
        <w:rPr>
          <w:rFonts w:hint="cs"/>
          <w:rtl/>
        </w:rPr>
        <w:t>.</w:t>
      </w:r>
      <w:r w:rsidR="00E3253D" w:rsidRPr="002F4D34">
        <w:rPr>
          <w:rStyle w:val="libFootnoteBoldChar"/>
          <w:rtl/>
        </w:rPr>
        <w:t>الوافي</w:t>
      </w:r>
      <w:r w:rsidR="00E3253D" w:rsidRPr="005D642E">
        <w:rPr>
          <w:rtl/>
        </w:rPr>
        <w:t xml:space="preserve"> ، ج 6 ، ص 40 ، ح 3710 ؛ </w:t>
      </w:r>
      <w:r w:rsidR="00E3253D" w:rsidRPr="002F4D34">
        <w:rPr>
          <w:rStyle w:val="libFootnoteBoldChar"/>
          <w:rtl/>
        </w:rPr>
        <w:t>الوسائل</w:t>
      </w:r>
      <w:r w:rsidR="00E3253D" w:rsidRPr="005D642E">
        <w:rPr>
          <w:rtl/>
        </w:rPr>
        <w:t xml:space="preserve"> ، ج 1 ، ص 170 ، ح 423.</w:t>
      </w:r>
      <w:r w:rsidR="00E14893">
        <w:rPr>
          <w:rFonts w:hint="cs"/>
          <w:rtl/>
        </w:rPr>
        <w:t xml:space="preserve">     </w:t>
      </w:r>
      <w:r w:rsidR="004142D6">
        <w:rPr>
          <w:rFonts w:hint="cs"/>
          <w:rtl/>
        </w:rPr>
        <w:t xml:space="preserve">  </w:t>
      </w:r>
      <w:r w:rsidR="00E14893">
        <w:rPr>
          <w:rFonts w:hint="cs"/>
          <w:rtl/>
        </w:rPr>
        <w:t xml:space="preserve"> </w:t>
      </w:r>
      <w:r w:rsidRPr="0042621E">
        <w:rPr>
          <w:rStyle w:val="libFootnote0Char"/>
          <w:rtl/>
        </w:rPr>
        <w:t>(6).</w:t>
      </w:r>
      <w:r w:rsidR="00E3253D" w:rsidRPr="005D642E">
        <w:rPr>
          <w:rtl/>
        </w:rPr>
        <w:t xml:space="preserve"> في الاستبصار </w:t>
      </w:r>
      <w:r w:rsidR="00B60612" w:rsidRPr="00B60612">
        <w:rPr>
          <w:rStyle w:val="libFootnoteBoldChar"/>
          <w:rtl/>
        </w:rPr>
        <w:t>والتهذيب</w:t>
      </w:r>
      <w:r w:rsidR="00E3253D" w:rsidRPr="005D642E">
        <w:rPr>
          <w:rtl/>
        </w:rPr>
        <w:t xml:space="preserve"> : « فقال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تنزح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ت ، بح ، جح ، جس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عشر »</w:t>
      </w:r>
      <w:r w:rsidR="00E3253D">
        <w:rPr>
          <w:rtl/>
        </w:rPr>
        <w:t>.</w:t>
      </w:r>
    </w:p>
    <w:p w:rsidR="00E3253D" w:rsidRPr="005D642E" w:rsidRDefault="0042621E" w:rsidP="000A7824">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244 ، ح 702 ، مع زيادة في أوّله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41 ، ح 116 ، بسند آخر. </w:t>
      </w:r>
      <w:r w:rsidR="00E3253D" w:rsidRPr="002F4D34">
        <w:rPr>
          <w:rStyle w:val="libFootnoteBoldChar"/>
          <w:rtl/>
        </w:rPr>
        <w:t>الفقيه</w:t>
      </w:r>
      <w:r w:rsidR="00E3253D" w:rsidRPr="005D642E">
        <w:rPr>
          <w:rtl/>
        </w:rPr>
        <w:t xml:space="preserve"> ، ج 1 ، ص 18 ، ذيل ح 22 ، مع اختلاف يسير </w:t>
      </w:r>
      <w:r w:rsidR="000A7824">
        <w:rPr>
          <w:rFonts w:hint="cs"/>
          <w:rtl/>
        </w:rPr>
        <w:t>.</w:t>
      </w:r>
      <w:r w:rsidR="00E3253D" w:rsidRPr="002F4D34">
        <w:rPr>
          <w:rStyle w:val="libFootnoteBoldChar"/>
          <w:rtl/>
        </w:rPr>
        <w:t>الوافي</w:t>
      </w:r>
      <w:r w:rsidR="00E3253D" w:rsidRPr="005D642E">
        <w:rPr>
          <w:rtl/>
        </w:rPr>
        <w:t xml:space="preserve"> ، ج 6 ، ص 86 ، ح 3817 ؛ </w:t>
      </w:r>
      <w:r w:rsidR="00E3253D" w:rsidRPr="002F4D34">
        <w:rPr>
          <w:rStyle w:val="libFootnoteBoldChar"/>
          <w:rtl/>
        </w:rPr>
        <w:t>الوسائل</w:t>
      </w:r>
      <w:r w:rsidR="00E3253D" w:rsidRPr="005D642E">
        <w:rPr>
          <w:rtl/>
        </w:rPr>
        <w:t xml:space="preserve"> ، ج 1 ، ص 191 ، ح 492.</w:t>
      </w:r>
      <w:r w:rsidR="000A7824">
        <w:rPr>
          <w:rFonts w:hint="cs"/>
          <w:rtl/>
        </w:rPr>
        <w:t xml:space="preserve">                          </w:t>
      </w:r>
      <w:r w:rsidRPr="0042621E">
        <w:rPr>
          <w:rStyle w:val="libFootnote0Char"/>
          <w:rtl/>
        </w:rPr>
        <w:t>(10).</w:t>
      </w:r>
      <w:r w:rsidR="00E3253D" w:rsidRPr="005D642E">
        <w:rPr>
          <w:rtl/>
        </w:rPr>
        <w:t xml:space="preserve"> في حاشية « بث » : + « بن زياد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جس » : + « ماء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بِهِ </w:t>
      </w:r>
      <w:r w:rsidRPr="007C12DB">
        <w:rPr>
          <w:rStyle w:val="libFootnotenumChar"/>
          <w:rtl/>
        </w:rPr>
        <w:t>(1)</w:t>
      </w:r>
      <w:r w:rsidRPr="005D642E">
        <w:rPr>
          <w:rtl/>
          <w:lang w:bidi="fa-IR"/>
        </w:rPr>
        <w:t xml:space="preserve"> ، وَيُغْسَلُ </w:t>
      </w:r>
      <w:r w:rsidRPr="007C12DB">
        <w:rPr>
          <w:rStyle w:val="libFootnotenumChar"/>
          <w:rtl/>
        </w:rPr>
        <w:t>(2)</w:t>
      </w:r>
      <w:r w:rsidRPr="005D642E">
        <w:rPr>
          <w:rtl/>
          <w:lang w:bidi="fa-IR"/>
        </w:rPr>
        <w:t xml:space="preserve"> مِنْهُ الثِّيَابُ ، وَيُعْجَنُ </w:t>
      </w:r>
      <w:r w:rsidRPr="007C12DB">
        <w:rPr>
          <w:rStyle w:val="libFootnotenumChar"/>
          <w:rtl/>
        </w:rPr>
        <w:t>(3)</w:t>
      </w:r>
      <w:r w:rsidRPr="005D642E">
        <w:rPr>
          <w:rtl/>
          <w:lang w:bidi="fa-IR"/>
        </w:rPr>
        <w:t xml:space="preserve"> بِهِ ، ثُمَّ يُعْلَمُ </w:t>
      </w:r>
      <w:r w:rsidRPr="007C12DB">
        <w:rPr>
          <w:rStyle w:val="libFootnotenumChar"/>
          <w:rtl/>
        </w:rPr>
        <w:t>(4)</w:t>
      </w:r>
      <w:r w:rsidRPr="005D642E">
        <w:rPr>
          <w:rtl/>
          <w:lang w:bidi="fa-IR"/>
        </w:rPr>
        <w:t xml:space="preserve"> أَنَّهُ كَانَ فِيهَا مَيِّتٌ</w:t>
      </w:r>
      <w:r>
        <w:rPr>
          <w:rtl/>
          <w:lang w:bidi="fa-IR"/>
        </w:rPr>
        <w:t>؟</w:t>
      </w:r>
    </w:p>
    <w:p w:rsidR="00E3253D" w:rsidRPr="005D642E" w:rsidRDefault="00E3253D" w:rsidP="00E3253D">
      <w:pPr>
        <w:pStyle w:val="libNormal"/>
        <w:rPr>
          <w:rtl/>
          <w:lang w:bidi="fa-IR"/>
        </w:rPr>
      </w:pPr>
      <w:r w:rsidRPr="005D642E">
        <w:rPr>
          <w:rtl/>
          <w:lang w:bidi="fa-IR"/>
        </w:rPr>
        <w:t xml:space="preserve">قَالَ : فَقَالَ </w:t>
      </w:r>
      <w:r w:rsidRPr="007C12DB">
        <w:rPr>
          <w:rStyle w:val="libFootnotenumChar"/>
          <w:rtl/>
        </w:rPr>
        <w:t>(5)</w:t>
      </w:r>
      <w:r w:rsidRPr="005D642E">
        <w:rPr>
          <w:rtl/>
          <w:lang w:bidi="fa-IR"/>
        </w:rPr>
        <w:t xml:space="preserve"> : « لَا بَأْسَ </w:t>
      </w:r>
      <w:r w:rsidRPr="007C12DB">
        <w:rPr>
          <w:rStyle w:val="libFootnotenumChar"/>
          <w:rtl/>
        </w:rPr>
        <w:t>(6)</w:t>
      </w:r>
      <w:r w:rsidRPr="005D642E">
        <w:rPr>
          <w:rtl/>
          <w:lang w:bidi="fa-IR"/>
        </w:rPr>
        <w:t xml:space="preserve"> ، وَلَايُغْسَلُ مِنْهُ الثَّوْبُ ، وَلَاتُعَادُ </w:t>
      </w:r>
      <w:r w:rsidRPr="007C12DB">
        <w:rPr>
          <w:rStyle w:val="libFootnotenumChar"/>
          <w:rtl/>
        </w:rPr>
        <w:t>(7)</w:t>
      </w:r>
      <w:r w:rsidRPr="005D642E">
        <w:rPr>
          <w:rtl/>
          <w:lang w:bidi="fa-IR"/>
        </w:rPr>
        <w:t xml:space="preserve"> مِنْهُ الصَّلَاةُ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22" w:name="_Toc344647218"/>
      <w:bookmarkStart w:id="23" w:name="_Toc462226733"/>
      <w:bookmarkStart w:id="24" w:name="_Toc40975839"/>
      <w:r w:rsidRPr="005D642E">
        <w:rPr>
          <w:rtl/>
          <w:lang w:bidi="fa-IR"/>
        </w:rPr>
        <w:t>5</w:t>
      </w:r>
      <w:r>
        <w:rPr>
          <w:rtl/>
          <w:lang w:bidi="fa-IR"/>
        </w:rPr>
        <w:t xml:space="preserve"> </w:t>
      </w:r>
      <w:r w:rsidR="007642BC">
        <w:rPr>
          <w:rtl/>
          <w:lang w:bidi="fa-IR"/>
        </w:rPr>
        <w:t>-</w:t>
      </w:r>
      <w:r>
        <w:rPr>
          <w:rtl/>
          <w:lang w:bidi="fa-IR"/>
        </w:rPr>
        <w:t xml:space="preserve"> </w:t>
      </w:r>
      <w:r w:rsidRPr="005D642E">
        <w:rPr>
          <w:rtl/>
          <w:lang w:bidi="fa-IR"/>
        </w:rPr>
        <w:t xml:space="preserve">بَابُ الْبِئْرِ تَكُونُ </w:t>
      </w:r>
      <w:r w:rsidRPr="007C12DB">
        <w:rPr>
          <w:rStyle w:val="libFootnotenumChar"/>
          <w:rtl/>
        </w:rPr>
        <w:t>(9)</w:t>
      </w:r>
      <w:r>
        <w:rPr>
          <w:rtl/>
        </w:rPr>
        <w:t xml:space="preserve"> </w:t>
      </w:r>
      <w:r w:rsidRPr="005D642E">
        <w:rPr>
          <w:rtl/>
          <w:lang w:bidi="fa-IR"/>
        </w:rPr>
        <w:t xml:space="preserve">إِلى جَنْبِ </w:t>
      </w:r>
      <w:r w:rsidRPr="007C12DB">
        <w:rPr>
          <w:rStyle w:val="libFootnotenumChar"/>
          <w:rtl/>
        </w:rPr>
        <w:t>(10)</w:t>
      </w:r>
      <w:r>
        <w:rPr>
          <w:rtl/>
        </w:rPr>
        <w:t xml:space="preserve"> </w:t>
      </w:r>
      <w:r w:rsidRPr="005D642E">
        <w:rPr>
          <w:rtl/>
          <w:lang w:bidi="fa-IR"/>
        </w:rPr>
        <w:t>الْبَالُوعَةِ‌</w:t>
      </w:r>
      <w:bookmarkEnd w:id="22"/>
      <w:bookmarkEnd w:id="23"/>
      <w:bookmarkEnd w:id="24"/>
    </w:p>
    <w:p w:rsidR="00E3253D" w:rsidRPr="005D642E" w:rsidRDefault="00E3253D" w:rsidP="00E3253D">
      <w:pPr>
        <w:pStyle w:val="libNormal"/>
        <w:rPr>
          <w:rtl/>
          <w:lang w:bidi="fa-IR"/>
        </w:rPr>
      </w:pPr>
      <w:r w:rsidRPr="00347C1F">
        <w:rPr>
          <w:rtl/>
        </w:rPr>
        <w:t>3834</w:t>
      </w:r>
      <w:r w:rsidRPr="00246318">
        <w:rPr>
          <w:rStyle w:val="libBold2Char"/>
          <w:rtl/>
        </w:rPr>
        <w:t xml:space="preserve"> / 1.</w:t>
      </w:r>
      <w:r w:rsidRPr="005D642E">
        <w:rPr>
          <w:rtl/>
          <w:lang w:bidi="fa-IR"/>
        </w:rPr>
        <w:t xml:space="preserve"> عِدَّةٌ مِنْ أَصْحَابِنَا ، عَنْ أَحْمَدَ بْنِ مُحَمَّدٍ ، عَنْ مُحَمَّدِ بْنِ سِنَانٍ ، عَنِ الْحَسَنِ بْنِ رِبَاطٍ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w:t>
      </w:r>
      <w:r w:rsidRPr="007C12DB">
        <w:rPr>
          <w:rStyle w:val="libFootnotenumChar"/>
          <w:rtl/>
        </w:rPr>
        <w:t>(11)</w:t>
      </w:r>
      <w:r w:rsidRPr="005D642E">
        <w:rPr>
          <w:rtl/>
          <w:lang w:bidi="fa-IR"/>
        </w:rPr>
        <w:t xml:space="preserve"> عَنِ الْبَالُوعَةِ </w:t>
      </w:r>
      <w:r w:rsidRPr="007C12DB">
        <w:rPr>
          <w:rStyle w:val="libFootnotenumChar"/>
          <w:rtl/>
        </w:rPr>
        <w:t>(12)</w:t>
      </w:r>
      <w:r w:rsidRPr="005D642E">
        <w:rPr>
          <w:rtl/>
          <w:lang w:bidi="fa-IR"/>
        </w:rPr>
        <w:t xml:space="preserve"> تَكُونُ فَوْقَ الْبِئْرِ</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به »</w:t>
      </w:r>
      <w:r w:rsidR="00E3253D">
        <w:rPr>
          <w:rtl/>
        </w:rPr>
        <w:t>.</w:t>
      </w:r>
      <w:r w:rsidR="00E3253D" w:rsidRPr="005D642E">
        <w:rPr>
          <w:rtl/>
        </w:rPr>
        <w:t xml:space="preserve"> وفي « جس » : « ويوضّى به »</w:t>
      </w:r>
      <w:r w:rsidR="00E3253D">
        <w:rPr>
          <w:rtl/>
        </w:rPr>
        <w:t>.</w:t>
      </w:r>
      <w:r w:rsidR="00E3253D" w:rsidRPr="005D642E">
        <w:rPr>
          <w:rtl/>
        </w:rPr>
        <w:t xml:space="preserve"> وفي التهذيب : « وتوضّى به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وغسل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وعجن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ت ، جس » وحاشية « بخ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ثمّ علم »</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مرآة العقول</w:t>
      </w:r>
      <w:r w:rsidRPr="00B60612">
        <w:rPr>
          <w:rtl/>
        </w:rPr>
        <w:t xml:space="preserve"> : « يحتمل أن يكون المراد بالعلم الظنّ ، ولاعبرة به ؛ أو يكون المراد أنّه يعلم أنّه كان فيها ميّت ولا يعلم أنّه وقع قبل الاستعمال أو بعده ، لكن ظاهره عدم انفعال البئر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فقال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وحاشية « جح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به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بح ، جس » : « ولايعاد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234 ، ح 677 ؛ </w:t>
      </w:r>
      <w:r w:rsidR="00E3253D" w:rsidRPr="00E678B5">
        <w:rPr>
          <w:rStyle w:val="libFootnoteBoldChar"/>
          <w:rtl/>
        </w:rPr>
        <w:t>والاستبصار</w:t>
      </w:r>
      <w:r w:rsidR="00E3253D" w:rsidRPr="005D642E">
        <w:rPr>
          <w:rtl/>
        </w:rPr>
        <w:t xml:space="preserve"> ، ج 1 ، ص 32 ، ح 85 ، معلّقاً عن أحمد بن محمّد بن أبي نصر. </w:t>
      </w:r>
      <w:r w:rsidR="00E3253D" w:rsidRPr="002F4D34">
        <w:rPr>
          <w:rStyle w:val="libFootnoteBoldChar"/>
          <w:rtl/>
        </w:rPr>
        <w:t>الفقيه</w:t>
      </w:r>
      <w:r w:rsidR="00E3253D" w:rsidRPr="005D642E">
        <w:rPr>
          <w:rtl/>
        </w:rPr>
        <w:t xml:space="preserve"> ، ج 1 ، ص 14 ، ح 20 ، مرسلاً ، مع اختلاف يسير </w:t>
      </w:r>
      <w:r w:rsidR="008344E6">
        <w:rPr>
          <w:rFonts w:hint="cs"/>
          <w:rtl/>
        </w:rPr>
        <w:t>.</w:t>
      </w:r>
      <w:r w:rsidR="00E3253D" w:rsidRPr="002F4D34">
        <w:rPr>
          <w:rStyle w:val="libFootnoteBoldChar"/>
          <w:rtl/>
        </w:rPr>
        <w:t>الوافي</w:t>
      </w:r>
      <w:r w:rsidR="00E3253D" w:rsidRPr="005D642E">
        <w:rPr>
          <w:rtl/>
        </w:rPr>
        <w:t xml:space="preserve"> ، ج 6 ، ص 39 ، ح 3708 ؛ </w:t>
      </w:r>
      <w:r w:rsidR="00E3253D" w:rsidRPr="002F4D34">
        <w:rPr>
          <w:rStyle w:val="libFootnoteBoldChar"/>
          <w:rtl/>
        </w:rPr>
        <w:t>الوسائل</w:t>
      </w:r>
      <w:r w:rsidR="00E3253D" w:rsidRPr="005D642E">
        <w:rPr>
          <w:rtl/>
        </w:rPr>
        <w:t xml:space="preserve"> ، ج 1 ، ص 171 ، ح 426.</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بح ، بس ، جس » : « يكون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 « جانب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 ت ، غ ، بث ، بح ، جس ، جن » </w:t>
      </w:r>
      <w:r w:rsidR="000D749A" w:rsidRPr="000D749A">
        <w:rPr>
          <w:rStyle w:val="libFootnoteBoldChar"/>
          <w:rtl/>
        </w:rPr>
        <w:t>والوافي</w:t>
      </w:r>
      <w:r w:rsidR="00E3253D" w:rsidRPr="005D642E">
        <w:rPr>
          <w:rtl/>
        </w:rPr>
        <w:t xml:space="preserve"> والوسائل. وفي « ى ، بخ ، بس ، بف ، جح » والمطبوع : « سألت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 البالوعة » : ثَقْب في وسط الدار ، وكذلك البلّوعة والبلاّعة. وقيل : بئر يحفر ضيّق الرأس يجري </w:t>
      </w:r>
      <w:r w:rsidR="008344E6">
        <w:rPr>
          <w:rtl/>
        </w:rPr>
        <w:t>فيها ماء المطر ونحوه. قال العل</w:t>
      </w:r>
      <w:r w:rsidR="008344E6">
        <w:rPr>
          <w:rFonts w:hint="cs"/>
          <w:rtl/>
        </w:rPr>
        <w:t>ّ</w:t>
      </w:r>
      <w:r w:rsidR="008344E6">
        <w:rPr>
          <w:rtl/>
        </w:rPr>
        <w:t>ا</w:t>
      </w:r>
      <w:r w:rsidR="00E3253D" w:rsidRPr="005D642E">
        <w:rPr>
          <w:rtl/>
        </w:rPr>
        <w:t>مة الفيض : « المراد بالبالوعة الكنيف</w:t>
      </w:r>
      <w:r w:rsidR="00E3253D">
        <w:rPr>
          <w:rtl/>
        </w:rPr>
        <w:t xml:space="preserve"> ..</w:t>
      </w:r>
      <w:r w:rsidR="00E3253D" w:rsidRPr="005D642E">
        <w:rPr>
          <w:rtl/>
        </w:rPr>
        <w:t>. أعني البئر التي وصلت إلى الماء ، أو لم تصل ، ويدخل فيها النجاسات ، وتكون مطرحاً للعذرة ونحوها ، لا ما يجري فيه ماء المطر من الآبار الضيّقة الرأس ، كما هو المفهوم من ظاهر لفظ البالوعة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3 ، ص 1188 ؛ </w:t>
      </w:r>
      <w:r w:rsidR="00E3253D" w:rsidRPr="002F4D34">
        <w:rPr>
          <w:rStyle w:val="libFootnoteBoldChar"/>
          <w:rtl/>
        </w:rPr>
        <w:t>القاموس المحيط</w:t>
      </w:r>
      <w:r w:rsidR="00E3253D" w:rsidRPr="005D642E">
        <w:rPr>
          <w:rtl/>
        </w:rPr>
        <w:t xml:space="preserve"> ، ج 2 ، ص 948 ( بلع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إِذَا كَانَتْ فَوْقَ الْبِئْرِ ، فَسَبْعَةُ </w:t>
      </w:r>
      <w:r w:rsidRPr="007C12DB">
        <w:rPr>
          <w:rStyle w:val="libFootnotenumChar"/>
          <w:rtl/>
        </w:rPr>
        <w:t>(1)</w:t>
      </w:r>
      <w:r w:rsidRPr="005D642E">
        <w:rPr>
          <w:rtl/>
          <w:lang w:bidi="fa-IR"/>
        </w:rPr>
        <w:t xml:space="preserve"> أَذْرُعٍ ، وَإِذَا </w:t>
      </w:r>
      <w:r w:rsidRPr="007C12DB">
        <w:rPr>
          <w:rStyle w:val="libFootnotenumChar"/>
          <w:rtl/>
        </w:rPr>
        <w:t>(2)</w:t>
      </w:r>
      <w:r w:rsidRPr="005D642E">
        <w:rPr>
          <w:rtl/>
          <w:lang w:bidi="fa-IR"/>
        </w:rPr>
        <w:t xml:space="preserve"> كَانَتْ أَسْفَلَ مِنَ الْبِئْرِ ، فَخَمْسَةُ </w:t>
      </w:r>
      <w:r w:rsidRPr="007C12DB">
        <w:rPr>
          <w:rStyle w:val="libFootnotenumChar"/>
          <w:rtl/>
        </w:rPr>
        <w:t>(3)</w:t>
      </w:r>
      <w:r w:rsidRPr="005D642E">
        <w:rPr>
          <w:rtl/>
          <w:lang w:bidi="fa-IR"/>
        </w:rPr>
        <w:t xml:space="preserve"> أَذْرُعٍ مِنْ كُلِّ نَاحِيَةٍ وَذلِكَ كَثِيرٌ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347C1F">
        <w:rPr>
          <w:rtl/>
        </w:rPr>
        <w:t>3835</w:t>
      </w:r>
      <w:r w:rsidRPr="00246318">
        <w:rPr>
          <w:rStyle w:val="libBold2Char"/>
          <w:rtl/>
        </w:rPr>
        <w:t xml:space="preserve"> / 2.</w:t>
      </w:r>
      <w:r w:rsidRPr="005D642E">
        <w:rPr>
          <w:rtl/>
          <w:lang w:bidi="fa-IR"/>
        </w:rPr>
        <w:t xml:space="preserve"> عَلِيُّ بْنُ إِبْرَاهِيمَ ، عَنْ أَبِيهِ ، عَنْ حَمَّادِ بْنِ عِيسى ، عَنْ حَرِيزٍ ، عَنْ زُرَارَةَ وَمُحَمَّدِ بْنِ مُسْلِمٍ وَأَبِي بَصِيرٍ ، قَالُوا :</w:t>
      </w:r>
    </w:p>
    <w:p w:rsidR="00E3253D" w:rsidRPr="005D642E" w:rsidRDefault="00E3253D" w:rsidP="00E3253D">
      <w:pPr>
        <w:pStyle w:val="libNormal"/>
        <w:rPr>
          <w:rtl/>
          <w:lang w:bidi="fa-IR"/>
        </w:rPr>
      </w:pPr>
      <w:r w:rsidRPr="005D642E">
        <w:rPr>
          <w:rtl/>
          <w:lang w:bidi="fa-IR"/>
        </w:rPr>
        <w:t xml:space="preserve">قُلْنَا لَهُ : بِئْرٌ يُتَوَضَّأُ مِنْهَا يَجْرِي </w:t>
      </w:r>
      <w:r w:rsidRPr="007C12DB">
        <w:rPr>
          <w:rStyle w:val="libFootnotenumChar"/>
          <w:rtl/>
        </w:rPr>
        <w:t>(5)</w:t>
      </w:r>
      <w:r w:rsidRPr="005D642E">
        <w:rPr>
          <w:rtl/>
          <w:lang w:bidi="fa-IR"/>
        </w:rPr>
        <w:t xml:space="preserve"> </w:t>
      </w:r>
      <w:r>
        <w:rPr>
          <w:rtl/>
          <w:lang w:bidi="fa-IR"/>
        </w:rPr>
        <w:t>الْبَوْلُ قَرِيباً مِنْهَا ، أَ</w:t>
      </w:r>
      <w:r w:rsidRPr="005D642E">
        <w:rPr>
          <w:rtl/>
          <w:lang w:bidi="fa-IR"/>
        </w:rPr>
        <w:t xml:space="preserve">يُنَجِّسُهَا </w:t>
      </w:r>
      <w:r w:rsidRPr="007C12DB">
        <w:rPr>
          <w:rStyle w:val="libFootnotenumChar"/>
          <w:rtl/>
        </w:rPr>
        <w:t>(6)</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(7)</w:t>
      </w:r>
      <w:r w:rsidRPr="005D642E">
        <w:rPr>
          <w:rtl/>
          <w:lang w:bidi="fa-IR"/>
        </w:rPr>
        <w:t xml:space="preserve"> : فَقَالَ : « إِنْ كَانَتِ الْبِئْرُ </w:t>
      </w:r>
      <w:r w:rsidRPr="007C12DB">
        <w:rPr>
          <w:rStyle w:val="libFootnotenumChar"/>
          <w:rtl/>
        </w:rPr>
        <w:t>(8)</w:t>
      </w:r>
      <w:r w:rsidRPr="005D642E">
        <w:rPr>
          <w:rtl/>
          <w:lang w:bidi="fa-IR"/>
        </w:rPr>
        <w:t xml:space="preserve"> فِي أَعْلَى الْوَادِي ، وَالْوَادِي </w:t>
      </w:r>
      <w:r w:rsidRPr="007C12DB">
        <w:rPr>
          <w:rStyle w:val="libFootnotenumChar"/>
          <w:rtl/>
        </w:rPr>
        <w:t>(9)</w:t>
      </w:r>
      <w:r w:rsidRPr="005D642E">
        <w:rPr>
          <w:rtl/>
          <w:lang w:bidi="fa-IR"/>
        </w:rPr>
        <w:t xml:space="preserve"> يَجْرِي فِيهِ </w:t>
      </w:r>
      <w:r w:rsidRPr="007C12DB">
        <w:rPr>
          <w:rStyle w:val="libFootnotenumChar"/>
          <w:rtl/>
        </w:rPr>
        <w:t>(10)</w:t>
      </w:r>
      <w:r w:rsidRPr="005D642E">
        <w:rPr>
          <w:rtl/>
          <w:lang w:bidi="fa-IR"/>
        </w:rPr>
        <w:t xml:space="preserve"> الْبَوْلُ مِنْ تَحْتِهَا ، وَكَانَ بَيْنَهُمَا قَدْرُ ثَلَاثَةِ </w:t>
      </w:r>
      <w:r w:rsidRPr="007C12DB">
        <w:rPr>
          <w:rStyle w:val="libFootnotenumChar"/>
          <w:rtl/>
        </w:rPr>
        <w:t>(11)</w:t>
      </w:r>
      <w:r w:rsidRPr="005D642E">
        <w:rPr>
          <w:rtl/>
          <w:lang w:bidi="fa-IR"/>
        </w:rPr>
        <w:t xml:space="preserve"> أَذْرُعٍ أَوْ أَرْبَعَةِ </w:t>
      </w:r>
      <w:r w:rsidRPr="007C12DB">
        <w:rPr>
          <w:rStyle w:val="libFootnotenumChar"/>
          <w:rtl/>
        </w:rPr>
        <w:t>(12)</w:t>
      </w:r>
      <w:r w:rsidRPr="005D642E">
        <w:rPr>
          <w:rtl/>
          <w:lang w:bidi="fa-IR"/>
        </w:rPr>
        <w:t xml:space="preserve"> أَذْرُعٍ ، لَمْ يُنَجِّسْ ذلِكَ </w:t>
      </w:r>
      <w:r w:rsidRPr="007C12DB">
        <w:rPr>
          <w:rStyle w:val="libFootnotenumChar"/>
          <w:rtl/>
        </w:rPr>
        <w:t>(13)</w:t>
      </w:r>
      <w:r w:rsidRPr="005D642E">
        <w:rPr>
          <w:rtl/>
          <w:lang w:bidi="fa-IR"/>
        </w:rPr>
        <w:t xml:space="preserve"> شَيْ‌ءٌ ، وَإِنْ كَانَ أَقَلَّ مِنْ ذلِكَ ، يُنَجِّسُهَا </w:t>
      </w:r>
      <w:r w:rsidRPr="007C12DB">
        <w:rPr>
          <w:rStyle w:val="libFootnotenumChar"/>
          <w:rtl/>
        </w:rPr>
        <w:t>(14)</w:t>
      </w:r>
      <w:r w:rsidRPr="005D642E">
        <w:rPr>
          <w:rtl/>
          <w:lang w:bidi="fa-IR"/>
        </w:rPr>
        <w:t xml:space="preserve"> ؛ وَإِنْ كَانَتِ الْبِئْرُ </w:t>
      </w:r>
      <w:r w:rsidRPr="007C12DB">
        <w:rPr>
          <w:rStyle w:val="libFootnotenumChar"/>
          <w:rtl/>
        </w:rPr>
        <w:t>(15)</w:t>
      </w:r>
      <w:r w:rsidRPr="005D642E">
        <w:rPr>
          <w:rtl/>
          <w:lang w:bidi="fa-IR"/>
        </w:rPr>
        <w:t xml:space="preserve"> فِي أَسْفَلِ الْوَادِي ، وَيَمُرُّ الْمَاءُ عَلَيْهَا ، وَكَانَ‌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جح ، جن » وحاشية « ت » : « فسبع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 « إذا » بدون الواو. وفي « جس » وحاشية « ى » : « وإن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وحاشية « ت ، بح ، بس ، جن » : « فخمس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410 ، ح 1290 ، معلّقاً عن أحمد بن محمّد ؛ </w:t>
      </w:r>
      <w:r w:rsidR="00E3253D" w:rsidRPr="002F4D34">
        <w:rPr>
          <w:rStyle w:val="libFootnoteBoldChar"/>
          <w:rtl/>
        </w:rPr>
        <w:t>الاستبصار</w:t>
      </w:r>
      <w:r w:rsidR="00E3253D" w:rsidRPr="005D642E">
        <w:rPr>
          <w:rtl/>
        </w:rPr>
        <w:t xml:space="preserve"> ، ج 1 ، ص 45 ، ح 126 ، بسنده عن أحمد بن محمّد ، وفيهما مع اختلاف يسير </w:t>
      </w:r>
      <w:r w:rsidR="00C6158C">
        <w:rPr>
          <w:rFonts w:hint="cs"/>
          <w:rtl/>
        </w:rPr>
        <w:t>.</w:t>
      </w:r>
      <w:r w:rsidR="00E3253D" w:rsidRPr="002F4D34">
        <w:rPr>
          <w:rStyle w:val="libFootnoteBoldChar"/>
          <w:rtl/>
        </w:rPr>
        <w:t>الوافي</w:t>
      </w:r>
      <w:r w:rsidR="00E3253D" w:rsidRPr="005D642E">
        <w:rPr>
          <w:rtl/>
        </w:rPr>
        <w:t xml:space="preserve"> ، ج 6 ، ص 95 ، ح 3848 ؛ </w:t>
      </w:r>
      <w:r w:rsidR="00E3253D" w:rsidRPr="002F4D34">
        <w:rPr>
          <w:rStyle w:val="libFootnoteBoldChar"/>
          <w:rtl/>
        </w:rPr>
        <w:t>الوسائل</w:t>
      </w:r>
      <w:r w:rsidR="00E3253D" w:rsidRPr="005D642E">
        <w:rPr>
          <w:rtl/>
        </w:rPr>
        <w:t xml:space="preserve"> ، ج 1 ، ص 199 ، ح 512.</w:t>
      </w:r>
    </w:p>
    <w:tbl>
      <w:tblPr>
        <w:tblStyle w:val="TableGrid"/>
        <w:bidiVisual/>
        <w:tblW w:w="0" w:type="auto"/>
        <w:tblLook w:val="04A0" w:firstRow="1" w:lastRow="0" w:firstColumn="1" w:lastColumn="0" w:noHBand="0" w:noVBand="1"/>
      </w:tblPr>
      <w:tblGrid>
        <w:gridCol w:w="4006"/>
        <w:gridCol w:w="4006"/>
      </w:tblGrid>
      <w:tr w:rsidR="00C6158C" w:rsidTr="00C6158C">
        <w:tc>
          <w:tcPr>
            <w:tcW w:w="4006" w:type="dxa"/>
          </w:tcPr>
          <w:p w:rsidR="00C6158C" w:rsidRDefault="0042621E" w:rsidP="00E3253D">
            <w:pPr>
              <w:pStyle w:val="libFootnote0"/>
              <w:rPr>
                <w:rtl/>
              </w:rPr>
            </w:pPr>
            <w:r w:rsidRPr="0042621E">
              <w:rPr>
                <w:rStyle w:val="libFootnote0Char"/>
                <w:rtl/>
              </w:rPr>
              <w:t>(5).</w:t>
            </w:r>
            <w:r w:rsidR="00C6158C" w:rsidRPr="005D642E">
              <w:rPr>
                <w:rtl/>
              </w:rPr>
              <w:t xml:space="preserve"> في « بس » : « ويجري »</w:t>
            </w:r>
            <w:r w:rsidR="00C6158C">
              <w:rPr>
                <w:rtl/>
              </w:rPr>
              <w:t>.</w:t>
            </w:r>
          </w:p>
        </w:tc>
        <w:tc>
          <w:tcPr>
            <w:tcW w:w="4006" w:type="dxa"/>
          </w:tcPr>
          <w:p w:rsidR="00C6158C" w:rsidRDefault="0042621E" w:rsidP="00E3253D">
            <w:pPr>
              <w:pStyle w:val="libFootnote0"/>
              <w:rPr>
                <w:rtl/>
              </w:rPr>
            </w:pPr>
            <w:r w:rsidRPr="0042621E">
              <w:rPr>
                <w:rStyle w:val="libFootnote0Char"/>
                <w:rtl/>
              </w:rPr>
              <w:t>(6).</w:t>
            </w:r>
            <w:r w:rsidR="00C6158C">
              <w:rPr>
                <w:rtl/>
              </w:rPr>
              <w:t xml:space="preserve"> في حاشية « جح » : « أ</w:t>
            </w:r>
            <w:r w:rsidR="00C6158C" w:rsidRPr="005D642E">
              <w:rPr>
                <w:rtl/>
              </w:rPr>
              <w:t>نجّسها »</w:t>
            </w:r>
            <w:r w:rsidR="00C6158C">
              <w:rPr>
                <w:rtl/>
              </w:rPr>
              <w:t>.</w:t>
            </w:r>
          </w:p>
        </w:tc>
      </w:tr>
      <w:tr w:rsidR="00C6158C" w:rsidTr="00C6158C">
        <w:tc>
          <w:tcPr>
            <w:tcW w:w="4006" w:type="dxa"/>
          </w:tcPr>
          <w:p w:rsidR="00C6158C" w:rsidRDefault="0042621E" w:rsidP="00E3253D">
            <w:pPr>
              <w:pStyle w:val="libFootnote0"/>
              <w:rPr>
                <w:rtl/>
              </w:rPr>
            </w:pPr>
            <w:r w:rsidRPr="0042621E">
              <w:rPr>
                <w:rStyle w:val="libFootnote0Char"/>
                <w:rtl/>
              </w:rPr>
              <w:t>(7).</w:t>
            </w:r>
            <w:r w:rsidR="00C6158C" w:rsidRPr="005D642E">
              <w:rPr>
                <w:rtl/>
              </w:rPr>
              <w:t xml:space="preserve"> في الاستبصار : « قالوا »</w:t>
            </w:r>
            <w:r w:rsidR="00C6158C">
              <w:rPr>
                <w:rtl/>
              </w:rPr>
              <w:t>.</w:t>
            </w:r>
          </w:p>
        </w:tc>
        <w:tc>
          <w:tcPr>
            <w:tcW w:w="4006" w:type="dxa"/>
          </w:tcPr>
          <w:p w:rsidR="00C6158C" w:rsidRDefault="0042621E" w:rsidP="00E3253D">
            <w:pPr>
              <w:pStyle w:val="libFootnote0"/>
              <w:rPr>
                <w:rtl/>
              </w:rPr>
            </w:pPr>
            <w:r w:rsidRPr="0042621E">
              <w:rPr>
                <w:rStyle w:val="libFootnote0Char"/>
                <w:rtl/>
              </w:rPr>
              <w:t>(8).</w:t>
            </w:r>
            <w:r w:rsidR="00960575">
              <w:rPr>
                <w:rtl/>
              </w:rPr>
              <w:t xml:space="preserve"> في«جس»</w:t>
            </w:r>
            <w:r w:rsidR="00C6158C" w:rsidRPr="005D642E">
              <w:rPr>
                <w:rtl/>
              </w:rPr>
              <w:t>:</w:t>
            </w:r>
            <w:r w:rsidR="00C6158C">
              <w:rPr>
                <w:rtl/>
              </w:rPr>
              <w:t xml:space="preserve"> - </w:t>
            </w:r>
            <w:r w:rsidR="00960575">
              <w:rPr>
                <w:rtl/>
              </w:rPr>
              <w:t>«البئر</w:t>
            </w:r>
            <w:r w:rsidR="00C6158C" w:rsidRPr="005D642E">
              <w:rPr>
                <w:rtl/>
              </w:rPr>
              <w:t>»</w:t>
            </w:r>
            <w:r w:rsidR="00C6158C">
              <w:rPr>
                <w:rtl/>
              </w:rPr>
              <w:t>.</w:t>
            </w:r>
            <w:r w:rsidR="00960575">
              <w:rPr>
                <w:rtl/>
              </w:rPr>
              <w:t>وفي التهذيب:«كان البئر</w:t>
            </w:r>
            <w:r w:rsidR="00C6158C" w:rsidRPr="005D642E">
              <w:rPr>
                <w:rtl/>
              </w:rPr>
              <w:t>»</w:t>
            </w:r>
            <w:r w:rsidR="00C6158C">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البحار :</w:t>
      </w:r>
      <w:r w:rsidR="00E3253D">
        <w:rPr>
          <w:rtl/>
        </w:rPr>
        <w:t xml:space="preserve"> </w:t>
      </w:r>
      <w:r w:rsidR="007642BC">
        <w:rPr>
          <w:rtl/>
        </w:rPr>
        <w:t>-</w:t>
      </w:r>
      <w:r w:rsidR="00E3253D">
        <w:rPr>
          <w:rtl/>
        </w:rPr>
        <w:t xml:space="preserve"> </w:t>
      </w:r>
      <w:r w:rsidR="00E3253D" w:rsidRPr="005D642E">
        <w:rPr>
          <w:rtl/>
        </w:rPr>
        <w:t>« والوادي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31 : « قوله </w:t>
      </w:r>
      <w:r w:rsidR="00E3253D" w:rsidRPr="00BE1170">
        <w:rPr>
          <w:rStyle w:val="libFootnoteAlaemChar"/>
          <w:rtl/>
        </w:rPr>
        <w:t>عليه‌السلام</w:t>
      </w:r>
      <w:r w:rsidR="00E3253D" w:rsidRPr="005D642E">
        <w:rPr>
          <w:rtl/>
        </w:rPr>
        <w:t xml:space="preserve"> : في أعلى الوادي ، ظاهره الفوقيّة بحسب القرار ، ويحتمل الجهة أيضاً ، والمراد أنّ البئر أعلى من الوادي التي تجري فيها البول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 « فيها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بح ، جح ، جس » : « ثلاث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بح ، جح ، جس » وحاشية « بس » : « أربع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في حاشية « ت ، جح ، جن » : « تلك »</w:t>
      </w:r>
      <w:r w:rsidR="00E3253D">
        <w:rPr>
          <w:rtl/>
        </w:rPr>
        <w:t>.</w:t>
      </w:r>
      <w:r w:rsidR="00E3253D" w:rsidRPr="005D642E">
        <w:rPr>
          <w:rtl/>
        </w:rPr>
        <w:t xml:space="preserve"> وفي الاستبصار : + « البئر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 xml:space="preserve">في « بث ، بخ ، بف » وحاشية « ت ، جن » </w:t>
      </w:r>
      <w:r w:rsidR="000D749A" w:rsidRPr="000D749A">
        <w:rPr>
          <w:rStyle w:val="libFootnoteBoldChar"/>
          <w:rtl/>
        </w:rPr>
        <w:t>والوافي</w:t>
      </w:r>
      <w:r w:rsidR="00E3253D" w:rsidRPr="005D642E">
        <w:rPr>
          <w:rtl/>
        </w:rPr>
        <w:t xml:space="preserve"> والبحار : « نجّسها »</w:t>
      </w:r>
      <w:r w:rsidR="00E3253D">
        <w:rPr>
          <w:rtl/>
        </w:rPr>
        <w:t>.</w:t>
      </w:r>
      <w:r w:rsidR="00E3253D" w:rsidRPr="005D642E">
        <w:rPr>
          <w:rtl/>
        </w:rPr>
        <w:t xml:space="preserve"> وفي « جس » : « أنجسها »</w:t>
      </w:r>
      <w:r w:rsidR="00E3253D">
        <w:rPr>
          <w:rtl/>
        </w:rPr>
        <w:t>.</w:t>
      </w:r>
      <w:r w:rsidR="00E3253D" w:rsidRPr="005D642E">
        <w:rPr>
          <w:rtl/>
        </w:rPr>
        <w:t xml:space="preserve"> وفي الوسائل : « نجّسها قال »</w:t>
      </w:r>
      <w:r w:rsidR="00E3253D">
        <w:rPr>
          <w:rtl/>
        </w:rPr>
        <w:t>.</w:t>
      </w:r>
      <w:r w:rsidR="00E3253D" w:rsidRPr="005D642E">
        <w:rPr>
          <w:rtl/>
        </w:rPr>
        <w:t xml:space="preserve"> وفي التهذيب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وإن كان أقلّ من ذلك ينجّسها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الوافي : « كان البئر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BE1170">
        <w:rPr>
          <w:rStyle w:val="libFootnoteAlaemChar"/>
          <w:rtl/>
        </w:rPr>
        <w:t>عليه‌السلام</w:t>
      </w:r>
      <w:r w:rsidR="00E3253D" w:rsidRPr="005D642E">
        <w:rPr>
          <w:rtl/>
        </w:rPr>
        <w:t xml:space="preserve"> : أسفل الوادي ، أي أسفل من الوادي ، « ويمرّ الماء » أي البول « عليها » أي مشرفاً عليها بعكس السابق ، والتعبير عن وادي البول بالماء يدلّ على أنّه قد وصل الوادي إلى الماء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بَيْنَ الْبِئْرِ وَبَيْنَهُ تِسْعَةُ </w:t>
      </w:r>
      <w:r w:rsidRPr="007C12DB">
        <w:rPr>
          <w:rStyle w:val="libFootnotenumChar"/>
          <w:rtl/>
        </w:rPr>
        <w:t>(1)</w:t>
      </w:r>
      <w:r w:rsidRPr="005D642E">
        <w:rPr>
          <w:rtl/>
          <w:lang w:bidi="fa-IR"/>
        </w:rPr>
        <w:t xml:space="preserve"> أَذْرُعٍ ، لَمْ يُنَجِّسْهَا ، وَمَا كَانَ أَقَلَّ مِنْ ذلِكَ ، فَلَا يُتَوَضَّأُ </w:t>
      </w:r>
      <w:r w:rsidRPr="007C12DB">
        <w:rPr>
          <w:rStyle w:val="libFootnotenumChar"/>
          <w:rtl/>
        </w:rPr>
        <w:t>(2)</w:t>
      </w:r>
      <w:r w:rsidRPr="005D642E">
        <w:rPr>
          <w:rtl/>
          <w:lang w:bidi="fa-IR"/>
        </w:rPr>
        <w:t xml:space="preserve"> مِنْهُ »</w:t>
      </w:r>
      <w:r>
        <w:rPr>
          <w:rtl/>
          <w:lang w:bidi="fa-IR"/>
        </w:rPr>
        <w:t>.</w:t>
      </w:r>
    </w:p>
    <w:p w:rsidR="00E3253D" w:rsidRPr="005D642E" w:rsidRDefault="00E3253D" w:rsidP="00E3253D">
      <w:pPr>
        <w:pStyle w:val="libNormal"/>
        <w:rPr>
          <w:rtl/>
          <w:lang w:bidi="fa-IR"/>
        </w:rPr>
      </w:pPr>
      <w:r w:rsidRPr="005D642E">
        <w:rPr>
          <w:rtl/>
          <w:lang w:bidi="fa-IR"/>
        </w:rPr>
        <w:t xml:space="preserve">قَالَ زُرَارَةُ </w:t>
      </w:r>
      <w:r w:rsidRPr="007C12DB">
        <w:rPr>
          <w:rStyle w:val="libFootnotenumChar"/>
          <w:rtl/>
        </w:rPr>
        <w:t>(3)</w:t>
      </w:r>
      <w:r w:rsidRPr="005D642E">
        <w:rPr>
          <w:rtl/>
          <w:lang w:bidi="fa-IR"/>
        </w:rPr>
        <w:t xml:space="preserve"> : فَقُلْتُ لَهُ : فَإِنْ كَانَ مَجْرَى الْبَوْلِ </w:t>
      </w:r>
      <w:r w:rsidRPr="007C12DB">
        <w:rPr>
          <w:rStyle w:val="libFootnotenumChar"/>
          <w:rtl/>
        </w:rPr>
        <w:t>(4)</w:t>
      </w:r>
      <w:r w:rsidRPr="005D642E">
        <w:rPr>
          <w:rtl/>
          <w:lang w:bidi="fa-IR"/>
        </w:rPr>
        <w:t xml:space="preserve"> بِلِزْقِهَا </w:t>
      </w:r>
      <w:r w:rsidRPr="007C12DB">
        <w:rPr>
          <w:rStyle w:val="libFootnotenumChar"/>
          <w:rtl/>
        </w:rPr>
        <w:t>(5)</w:t>
      </w:r>
      <w:r w:rsidRPr="005D642E">
        <w:rPr>
          <w:rtl/>
          <w:lang w:bidi="fa-IR"/>
        </w:rPr>
        <w:t xml:space="preserve"> ، وَكَانَ لَايَثْبُتُ </w:t>
      </w:r>
      <w:r w:rsidRPr="007C12DB">
        <w:rPr>
          <w:rStyle w:val="libFootnotenumChar"/>
          <w:rtl/>
        </w:rPr>
        <w:t>(6)</w:t>
      </w:r>
      <w:r w:rsidRPr="005D642E">
        <w:rPr>
          <w:rtl/>
          <w:lang w:bidi="fa-IR"/>
        </w:rPr>
        <w:t xml:space="preserve"> عَلَى الْأَرْضِ</w:t>
      </w:r>
      <w:r>
        <w:rPr>
          <w:rtl/>
          <w:lang w:bidi="fa-IR"/>
        </w:rPr>
        <w:t>؟</w:t>
      </w:r>
    </w:p>
    <w:p w:rsidR="00E3253D" w:rsidRPr="005D642E" w:rsidRDefault="00E3253D" w:rsidP="00BE1170">
      <w:pPr>
        <w:pStyle w:val="libNormal"/>
        <w:rPr>
          <w:rtl/>
          <w:lang w:bidi="fa-IR"/>
        </w:rPr>
      </w:pPr>
      <w:r w:rsidRPr="005D642E">
        <w:rPr>
          <w:rtl/>
          <w:lang w:bidi="fa-IR"/>
        </w:rPr>
        <w:t xml:space="preserve">فَقَالَ : « مَا لَمْ يَكُنْ لَهُ قَرَارٌ ، فَلَيْسَ بِهِ بَأْسٌ وَإِنِ </w:t>
      </w:r>
      <w:r w:rsidRPr="007C12DB">
        <w:rPr>
          <w:rStyle w:val="libFootnotenumChar"/>
          <w:rtl/>
        </w:rPr>
        <w:t>(7)</w:t>
      </w:r>
      <w:r w:rsidRPr="005D642E">
        <w:rPr>
          <w:rtl/>
          <w:lang w:bidi="fa-IR"/>
        </w:rPr>
        <w:t xml:space="preserve"> اسْتَقَرَّ مِنْهُ قَلِيلٌ ؛ فَإِنَّهُ لَا يَثْقُبُ </w:t>
      </w:r>
      <w:r w:rsidRPr="007C12DB">
        <w:rPr>
          <w:rStyle w:val="libFootnotenumChar"/>
          <w:rtl/>
        </w:rPr>
        <w:t>(8)</w:t>
      </w:r>
      <w:r w:rsidRPr="005D642E">
        <w:rPr>
          <w:rtl/>
          <w:lang w:bidi="fa-IR"/>
        </w:rPr>
        <w:t xml:space="preserve"> الْأَرْضَ ، وَلَاقَعْرَ لَهُ </w:t>
      </w:r>
      <w:r w:rsidRPr="007C12DB">
        <w:rPr>
          <w:rStyle w:val="libFootnotenumChar"/>
          <w:rtl/>
        </w:rPr>
        <w:t>(9)</w:t>
      </w:r>
      <w:r w:rsidRPr="005D642E">
        <w:rPr>
          <w:rtl/>
          <w:lang w:bidi="fa-IR"/>
        </w:rPr>
        <w:t xml:space="preserve"> حَتّى يَبْلُغَ الْبِئْرَ </w:t>
      </w:r>
      <w:r w:rsidRPr="007C12DB">
        <w:rPr>
          <w:rStyle w:val="libFootnotenumChar"/>
          <w:rtl/>
        </w:rPr>
        <w:t>(10)</w:t>
      </w:r>
      <w:r w:rsidRPr="005D642E">
        <w:rPr>
          <w:rtl/>
          <w:lang w:bidi="fa-IR"/>
        </w:rPr>
        <w:t xml:space="preserve"> ، وَلَيْسَ عَلَى الْبِئْرِ مِنْهُ بَأْسٌ ، فَيُتَوَضَّأُ </w:t>
      </w:r>
      <w:r w:rsidRPr="007C12DB">
        <w:rPr>
          <w:rStyle w:val="libFootnotenumChar"/>
          <w:rtl/>
        </w:rPr>
        <w:t>(11)</w:t>
      </w:r>
      <w:r w:rsidRPr="005D642E">
        <w:rPr>
          <w:rtl/>
          <w:lang w:bidi="fa-IR"/>
        </w:rPr>
        <w:t xml:space="preserve"> مِنْهُ ، إِنَّمَا ذلِكَ إِذَا اسْتَنْقَعَ </w:t>
      </w:r>
      <w:r w:rsidRPr="007C12DB">
        <w:rPr>
          <w:rStyle w:val="libFootnotenumChar"/>
          <w:rtl/>
        </w:rPr>
        <w:t>(12)</w:t>
      </w:r>
      <w:r w:rsidRPr="005D642E">
        <w:rPr>
          <w:rtl/>
          <w:lang w:bidi="fa-IR"/>
        </w:rPr>
        <w:t xml:space="preserve"> </w:t>
      </w:r>
      <w:r w:rsidR="00BE1170">
        <w:rPr>
          <w:rFonts w:hint="cs"/>
          <w:rtl/>
          <w:lang w:bidi="fa-IR"/>
        </w:rPr>
        <w:t>....................................................</w:t>
      </w:r>
      <w:r w:rsidR="00BE1170">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غ ، جح ، جس » : « تسع »</w:t>
      </w:r>
      <w:r w:rsidR="00E3253D">
        <w:rPr>
          <w:rtl/>
        </w:rPr>
        <w:t>.</w:t>
      </w:r>
      <w:r w:rsidR="00E3253D" w:rsidRPr="005D642E">
        <w:rPr>
          <w:rtl/>
        </w:rPr>
        <w:t xml:space="preserve"> وفي الوافي عن بعض النسخ : « تسعة »</w:t>
      </w:r>
      <w:r w:rsidR="00E3253D">
        <w:rPr>
          <w:rtl/>
        </w:rPr>
        <w:t>.</w:t>
      </w:r>
      <w:r w:rsidR="00E3253D" w:rsidRPr="005D642E">
        <w:rPr>
          <w:rtl/>
        </w:rPr>
        <w:t xml:space="preserve"> وفي الاستبصار : « سبعة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 « فلا تتوضّأ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معلّق على صدر السند. ويروى عن زرارة ، عليّ بن إبراهيم ، عن أبيه ، عن حمّاد بن عيسى ، عن حريز.</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بح » : « يجري البول »</w:t>
      </w:r>
      <w:r w:rsidR="00E3253D">
        <w:rPr>
          <w:rtl/>
        </w:rPr>
        <w:t>.</w:t>
      </w:r>
      <w:r w:rsidR="00E3253D" w:rsidRPr="005D642E">
        <w:rPr>
          <w:rtl/>
        </w:rPr>
        <w:t xml:space="preserve"> وفي التهذيب </w:t>
      </w:r>
      <w:r w:rsidR="00E3253D" w:rsidRPr="00E678B5">
        <w:rPr>
          <w:rStyle w:val="libFootnoteBoldChar"/>
          <w:rtl/>
        </w:rPr>
        <w:t>والاستبصار</w:t>
      </w:r>
      <w:r w:rsidR="00E3253D" w:rsidRPr="005D642E">
        <w:rPr>
          <w:rtl/>
        </w:rPr>
        <w:t xml:space="preserve"> : « يجري » بدون « البول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وحاشية « بث ، بس ، جح » : « يلصقها »</w:t>
      </w:r>
      <w:r w:rsidR="00E3253D">
        <w:rPr>
          <w:rtl/>
        </w:rPr>
        <w:t>.</w:t>
      </w:r>
      <w:r w:rsidR="00E3253D" w:rsidRPr="005D642E">
        <w:rPr>
          <w:rtl/>
        </w:rPr>
        <w:t xml:space="preserve"> وفي « غ ، ى ، بث ، بح ، بخ ، بس ، جح ، جن » : « يلزقها »</w:t>
      </w:r>
      <w:r w:rsidR="00E3253D">
        <w:rPr>
          <w:rtl/>
        </w:rPr>
        <w:t>.</w:t>
      </w:r>
      <w:r w:rsidR="00E3253D" w:rsidRPr="005D642E">
        <w:rPr>
          <w:rtl/>
        </w:rPr>
        <w:t xml:space="preserve"> وفي الوسائل : « بلصقها »</w:t>
      </w:r>
      <w:r w:rsidR="00E3253D">
        <w:rPr>
          <w:rtl/>
        </w:rPr>
        <w:t>.</w:t>
      </w:r>
      <w:r w:rsidR="00E3253D" w:rsidRPr="005D642E">
        <w:rPr>
          <w:rtl/>
        </w:rPr>
        <w:t xml:space="preserve"> وقوله : « بلزقها ، أي بجنبها ، يقال : فلان لِزْقي وبِلِزْقي ، أي بجنبي. راجع : </w:t>
      </w:r>
      <w:r w:rsidR="00E3253D" w:rsidRPr="002F4D34">
        <w:rPr>
          <w:rStyle w:val="libFootnoteBoldChar"/>
          <w:rtl/>
        </w:rPr>
        <w:t>الصحاح</w:t>
      </w:r>
      <w:r w:rsidR="00E3253D" w:rsidRPr="005D642E">
        <w:rPr>
          <w:rtl/>
        </w:rPr>
        <w:t xml:space="preserve"> ، ج 4 ، ص 1549 ( لزق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جس » والبحار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لايلبث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جن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فإن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بف » : « لايثبت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 « لايعوله »</w:t>
      </w:r>
      <w:r w:rsidR="00E3253D">
        <w:rPr>
          <w:rtl/>
        </w:rPr>
        <w:t>.</w:t>
      </w:r>
      <w:r w:rsidR="00E3253D" w:rsidRPr="005D642E">
        <w:rPr>
          <w:rtl/>
        </w:rPr>
        <w:t xml:space="preserve"> وفي الاستبصار : « لايغوله »</w:t>
      </w:r>
      <w:r w:rsidR="00E3253D">
        <w:rPr>
          <w:rtl/>
        </w:rPr>
        <w:t>.</w:t>
      </w:r>
      <w:r w:rsidR="00E3253D" w:rsidRPr="005D642E">
        <w:rPr>
          <w:rtl/>
        </w:rPr>
        <w:t xml:space="preserve"> وفي </w:t>
      </w:r>
      <w:r w:rsidR="00E3253D" w:rsidRPr="002F4D34">
        <w:rPr>
          <w:rStyle w:val="libFootnoteBoldChar"/>
          <w:rtl/>
        </w:rPr>
        <w:t>منتقى الجُمان</w:t>
      </w:r>
      <w:r w:rsidR="00E3253D" w:rsidRPr="005D642E">
        <w:rPr>
          <w:rtl/>
        </w:rPr>
        <w:t xml:space="preserve"> ، ج 1 ، ص 64 : « وأمّا قولهم في إحدى الروايتين : لايغوله ، وفي الا</w:t>
      </w:r>
      <w:r w:rsidR="00A7574F">
        <w:rPr>
          <w:rFonts w:hint="cs"/>
          <w:rtl/>
        </w:rPr>
        <w:t>ُ</w:t>
      </w:r>
      <w:r w:rsidR="00E3253D" w:rsidRPr="005D642E">
        <w:rPr>
          <w:rtl/>
        </w:rPr>
        <w:t>خرى : لاقعر له ، فمؤدّاهما واحد ؛ لأنّ وجود القعر</w:t>
      </w:r>
      <w:r w:rsidR="00E3253D">
        <w:rPr>
          <w:rtl/>
        </w:rPr>
        <w:t xml:space="preserve"> </w:t>
      </w:r>
      <w:r w:rsidR="007642BC">
        <w:rPr>
          <w:rtl/>
        </w:rPr>
        <w:t>-</w:t>
      </w:r>
      <w:r w:rsidR="00E3253D">
        <w:rPr>
          <w:rtl/>
        </w:rPr>
        <w:t xml:space="preserve"> </w:t>
      </w:r>
      <w:r w:rsidR="00E3253D" w:rsidRPr="005D642E">
        <w:rPr>
          <w:rtl/>
        </w:rPr>
        <w:t>وهو العمق</w:t>
      </w:r>
      <w:r w:rsidR="00E3253D">
        <w:rPr>
          <w:rtl/>
        </w:rPr>
        <w:t xml:space="preserve"> </w:t>
      </w:r>
      <w:r w:rsidR="007642BC">
        <w:rPr>
          <w:rtl/>
        </w:rPr>
        <w:t>-</w:t>
      </w:r>
      <w:r w:rsidR="00E3253D">
        <w:rPr>
          <w:rtl/>
        </w:rPr>
        <w:t xml:space="preserve"> </w:t>
      </w:r>
      <w:r w:rsidR="00E3253D" w:rsidRPr="005D642E">
        <w:rPr>
          <w:rtl/>
        </w:rPr>
        <w:t>مظنّة النفوذ إلى البئر ، وهو المراد بقوله : يغوله ، قال الجوهري : غاله الشي‌ء إذا أخذه من حيث لم يدر. وينبغي أن يعلم أن مرجع الضمير على التقديرين مختلف ، فعلى الأوّل هو موضع البول ، وعلى الثاني البئر ، ويقرب كون أحدهما تصحيفاً للآخر لما بينهما في الخطّ من التناسب. وقوله : « لايثقب » يحتمل أن يكون بالنون والثاء المثلّثة ، ففي القاموس : « النقب : الثقب »</w:t>
      </w:r>
      <w:r w:rsidR="00E3253D">
        <w:rPr>
          <w:rtl/>
        </w:rPr>
        <w:t>.</w:t>
      </w:r>
      <w:r w:rsidR="00E3253D" w:rsidRPr="005D642E">
        <w:rPr>
          <w:rtl/>
        </w:rPr>
        <w:t xml:space="preserve"> وراجع : </w:t>
      </w:r>
      <w:r w:rsidR="00E3253D" w:rsidRPr="002F4D34">
        <w:rPr>
          <w:rStyle w:val="libFootnoteBoldChar"/>
          <w:rtl/>
        </w:rPr>
        <w:t>الصحاح</w:t>
      </w:r>
      <w:r w:rsidR="00E3253D" w:rsidRPr="005D642E">
        <w:rPr>
          <w:rtl/>
        </w:rPr>
        <w:t xml:space="preserve"> ، ج 5 ، ص 1785 ( غول ) ؛ </w:t>
      </w:r>
      <w:r w:rsidR="00E3253D" w:rsidRPr="002F4D34">
        <w:rPr>
          <w:rStyle w:val="libFootnoteBoldChar"/>
          <w:rtl/>
        </w:rPr>
        <w:t>القاموس المحيط</w:t>
      </w:r>
      <w:r w:rsidR="00E3253D" w:rsidRPr="005D642E">
        <w:rPr>
          <w:rtl/>
        </w:rPr>
        <w:t xml:space="preserve"> ، ج 1 ، ص 231 ( نقب )</w:t>
      </w:r>
      <w:r w:rsidR="00E3253D">
        <w:rPr>
          <w:rtl/>
        </w:rPr>
        <w:t>.</w:t>
      </w:r>
      <w:r w:rsidR="00E3253D" w:rsidRPr="005D642E">
        <w:rPr>
          <w:rtl/>
        </w:rPr>
        <w:t xml:space="preserve"> وفي الوافي : « وفي التهذيبين : لايلبث ، مكان لايثبت ، ولا يغوله ، موضع لا قعر له ، أي لايبادره ولايسبقه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الاستبصار : « إليه » بدل « البئر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غ ، بح » وحاشية « ت ، بس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فتوضّأ »</w:t>
      </w:r>
      <w:r w:rsidR="00E3253D">
        <w:rPr>
          <w:rtl/>
        </w:rPr>
        <w:t>.</w:t>
      </w:r>
      <w:r w:rsidR="00E3253D" w:rsidRPr="005D642E">
        <w:rPr>
          <w:rtl/>
        </w:rPr>
        <w:t xml:space="preserve"> وفي « جس » : « فتوضّ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الاستبصار : + « الماء »</w:t>
      </w:r>
      <w:r w:rsidR="00E3253D">
        <w:rPr>
          <w:rtl/>
        </w:rPr>
        <w:t>.</w:t>
      </w:r>
      <w:r w:rsidR="00E3253D" w:rsidRPr="005D642E">
        <w:rPr>
          <w:rtl/>
        </w:rPr>
        <w:t xml:space="preserve"> واستنقاع الماء : اجتماعه وثبوته ، يقال : استنقع الماء في الغدير ، أي اجتمع وثبت. </w:t>
      </w:r>
      <w:r w:rsidR="00A7574F">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كُلُّهُ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FD53CE">
        <w:rPr>
          <w:rtl/>
        </w:rPr>
        <w:t>3836</w:t>
      </w:r>
      <w:r w:rsidRPr="00246318">
        <w:rPr>
          <w:rStyle w:val="libBold2Char"/>
          <w:rtl/>
        </w:rPr>
        <w:t xml:space="preserve"> / 3.</w:t>
      </w:r>
      <w:r w:rsidRPr="005D642E">
        <w:rPr>
          <w:rtl/>
          <w:lang w:bidi="fa-IR"/>
        </w:rPr>
        <w:t xml:space="preserve"> مُحَمَّدُ بْنُ يَحْيى ، عَنْ أَحْمَدَ بْنِ مُحَمَّدٍ ، عَنْ مُحَمَّدِ بْنِ إِسْمَاعِيلَ ، عَنْ أَبِي إِسْمَاعِيلَ السَّرَّاجِ </w:t>
      </w:r>
      <w:r w:rsidRPr="007C12DB">
        <w:rPr>
          <w:rStyle w:val="libFootnotenumChar"/>
          <w:rtl/>
        </w:rPr>
        <w:t>(2)</w:t>
      </w:r>
      <w:r w:rsidRPr="005D642E">
        <w:rPr>
          <w:rtl/>
          <w:lang w:bidi="fa-IR"/>
        </w:rPr>
        <w:t xml:space="preserve"> عَبْدِ اللهِ بْنِ عُثْمَانَ ، عَنْ قُدَامَةَ بْنِ أَبِي يَزِيدَ الْحَمَّارِ </w:t>
      </w:r>
      <w:r w:rsidRPr="007C12DB">
        <w:rPr>
          <w:rStyle w:val="libFootnotenumChar"/>
          <w:rtl/>
        </w:rPr>
        <w:t>(3)</w:t>
      </w:r>
      <w:r w:rsidRPr="005D642E">
        <w:rPr>
          <w:rtl/>
          <w:lang w:bidi="fa-IR"/>
        </w:rPr>
        <w:t xml:space="preserve">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 كَمْ أَدْنى مَا يَكُونُ بَيْنَ الْبِئْرِ </w:t>
      </w:r>
      <w:r w:rsidRPr="007C12DB">
        <w:rPr>
          <w:rStyle w:val="libFootnotenumChar"/>
          <w:rtl/>
        </w:rPr>
        <w:t>(4)</w:t>
      </w:r>
      <w:r>
        <w:rPr>
          <w:rtl/>
          <w:lang w:bidi="fa-IR"/>
        </w:rPr>
        <w:t xml:space="preserve"> </w:t>
      </w:r>
      <w:r w:rsidR="007642BC">
        <w:rPr>
          <w:rtl/>
          <w:lang w:bidi="fa-IR"/>
        </w:rPr>
        <w:t>-</w:t>
      </w:r>
      <w:r>
        <w:rPr>
          <w:rtl/>
          <w:lang w:bidi="fa-IR"/>
        </w:rPr>
        <w:t xml:space="preserve"> </w:t>
      </w:r>
      <w:r w:rsidRPr="005D642E">
        <w:rPr>
          <w:rtl/>
          <w:lang w:bidi="fa-IR"/>
        </w:rPr>
        <w:t xml:space="preserve">بِئْرِ الْمَاءِ </w:t>
      </w:r>
      <w:r w:rsidRPr="007C12DB">
        <w:rPr>
          <w:rStyle w:val="libFootnotenumChar"/>
          <w:rtl/>
        </w:rPr>
        <w:t>(5)</w:t>
      </w:r>
      <w:r>
        <w:rPr>
          <w:rtl/>
          <w:lang w:bidi="fa-IR"/>
        </w:rPr>
        <w:t xml:space="preserve"> </w:t>
      </w:r>
      <w:r w:rsidR="007642BC">
        <w:rPr>
          <w:rtl/>
          <w:lang w:bidi="fa-IR"/>
        </w:rPr>
        <w:t>-</w:t>
      </w:r>
      <w:r>
        <w:rPr>
          <w:rtl/>
          <w:lang w:bidi="fa-IR"/>
        </w:rPr>
        <w:t xml:space="preserve"> </w:t>
      </w:r>
      <w:r w:rsidRPr="005D642E">
        <w:rPr>
          <w:rtl/>
          <w:lang w:bidi="fa-IR"/>
        </w:rPr>
        <w:t>وَالْبَالُوعَةِ</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F20C57" w:rsidP="00E3253D">
      <w:pPr>
        <w:pStyle w:val="libFootnote0"/>
        <w:rPr>
          <w:rtl/>
          <w:lang w:bidi="fa-IR"/>
        </w:rPr>
      </w:pPr>
      <w:r>
        <w:rPr>
          <w:rFonts w:hint="cs"/>
          <w:rtl/>
        </w:rPr>
        <w:t xml:space="preserve">= </w:t>
      </w:r>
      <w:r w:rsidR="00731900">
        <w:rPr>
          <w:rtl/>
        </w:rPr>
        <w:t>قال العل</w:t>
      </w:r>
      <w:r w:rsidR="00731900">
        <w:rPr>
          <w:rFonts w:hint="cs"/>
          <w:rtl/>
        </w:rPr>
        <w:t>ّ</w:t>
      </w:r>
      <w:r w:rsidR="00731900">
        <w:rPr>
          <w:rtl/>
        </w:rPr>
        <w:t>ا</w:t>
      </w:r>
      <w:r w:rsidR="00E3253D" w:rsidRPr="005D642E">
        <w:rPr>
          <w:rtl/>
        </w:rPr>
        <w:t>مة المجلسي : « أي إذا كان له منافذ ومجاري إلى البئر ، فإنّه حينئذٍ يستنقع كلّه ، لكنّه بعيد كما لايخفى ، والأظهر أنّ الأوّل حكم ذي المجرى ، والثاني تفصيل في غيره بأنّه إن كان ما يستق</w:t>
      </w:r>
      <w:r w:rsidR="00731900">
        <w:rPr>
          <w:rtl/>
        </w:rPr>
        <w:t>رّ منه قليلاً ليس به بأس ، وإل</w:t>
      </w:r>
      <w:r w:rsidR="00731900">
        <w:rPr>
          <w:rFonts w:hint="cs"/>
          <w:rtl/>
        </w:rPr>
        <w:t>ّ</w:t>
      </w:r>
      <w:r w:rsidR="00731900">
        <w:rPr>
          <w:rtl/>
        </w:rPr>
        <w:t>ا</w:t>
      </w:r>
      <w:r w:rsidR="00E3253D" w:rsidRPr="005D642E">
        <w:rPr>
          <w:rtl/>
        </w:rPr>
        <w:t xml:space="preserve"> فلابدّ من التباعد فتأمّل »</w:t>
      </w:r>
      <w:r w:rsidR="00E3253D">
        <w:rPr>
          <w:rtl/>
        </w:rPr>
        <w:t>.</w:t>
      </w:r>
      <w:r w:rsidR="008B5F03">
        <w:rPr>
          <w:rtl/>
        </w:rPr>
        <w:t xml:space="preserve"> وقال العل</w:t>
      </w:r>
      <w:r w:rsidR="008B5F03">
        <w:rPr>
          <w:rFonts w:hint="cs"/>
          <w:rtl/>
        </w:rPr>
        <w:t>ّ</w:t>
      </w:r>
      <w:r w:rsidR="008B5F03">
        <w:rPr>
          <w:rtl/>
        </w:rPr>
        <w:t>ا</w:t>
      </w:r>
      <w:r w:rsidR="00E3253D" w:rsidRPr="005D642E">
        <w:rPr>
          <w:rtl/>
        </w:rPr>
        <w:t>مة الفيض : « الحديث ليس بصريح في علوّ القرار ، وفيه إجمال من وجوه ، ولعلّ المراد بالنجاسة معناها اللغوي ، وبالنهي عن الوضوء معناه التنزيهي</w:t>
      </w:r>
      <w:r w:rsidR="00E3253D">
        <w:rPr>
          <w:rtl/>
        </w:rPr>
        <w:t xml:space="preserve"> ..</w:t>
      </w:r>
      <w:r w:rsidR="00E3253D" w:rsidRPr="005D642E">
        <w:rPr>
          <w:rtl/>
        </w:rPr>
        <w:t>. أو المراد بالتنجيس سببه الذي هو التغيير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3 ، ص 1296 ( نقع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410 ، ح 1293 ، معلّقاً عن عليّ بن إبراهيم ؛ </w:t>
      </w:r>
      <w:r w:rsidR="00E3253D" w:rsidRPr="002F4D34">
        <w:rPr>
          <w:rStyle w:val="libFootnoteBoldChar"/>
          <w:rtl/>
        </w:rPr>
        <w:t>الاستبصار</w:t>
      </w:r>
      <w:r w:rsidR="00E3253D" w:rsidRPr="005D642E">
        <w:rPr>
          <w:rtl/>
        </w:rPr>
        <w:t xml:space="preserve"> ، ج 1 ، ص 46 ، ح 128 ، بسنده عن عليّ بن إبراهيم </w:t>
      </w:r>
      <w:r w:rsidR="008B5F03">
        <w:rPr>
          <w:rFonts w:hint="cs"/>
          <w:rtl/>
        </w:rPr>
        <w:t>.</w:t>
      </w:r>
      <w:r w:rsidR="00E3253D" w:rsidRPr="002F4D34">
        <w:rPr>
          <w:rStyle w:val="libFootnoteBoldChar"/>
          <w:rtl/>
        </w:rPr>
        <w:t>الوافي</w:t>
      </w:r>
      <w:r w:rsidR="00E3253D" w:rsidRPr="005D642E">
        <w:rPr>
          <w:rtl/>
        </w:rPr>
        <w:t xml:space="preserve"> ، ج 6 ، ص 97 ، ح 3851 ؛ </w:t>
      </w:r>
      <w:r w:rsidR="00E3253D" w:rsidRPr="002F4D34">
        <w:rPr>
          <w:rStyle w:val="libFootnoteBoldChar"/>
          <w:rtl/>
        </w:rPr>
        <w:t>الوسائل</w:t>
      </w:r>
      <w:r w:rsidR="00E3253D" w:rsidRPr="005D642E">
        <w:rPr>
          <w:rtl/>
        </w:rPr>
        <w:t xml:space="preserve"> ، ج 1 ، ص 197 ، ح 510 ؛ </w:t>
      </w:r>
      <w:r w:rsidR="00E3253D" w:rsidRPr="002F4D34">
        <w:rPr>
          <w:rStyle w:val="libFootnoteBoldChar"/>
          <w:rtl/>
        </w:rPr>
        <w:t>البحار</w:t>
      </w:r>
      <w:r w:rsidR="00E3253D" w:rsidRPr="005D642E">
        <w:rPr>
          <w:rtl/>
        </w:rPr>
        <w:t xml:space="preserve"> ، ج 80 ، ص 32 ، ذيل ح 1.</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بث ، بح ، بخ ، بس ، جس ، جن » : + « عن »</w:t>
      </w:r>
      <w:r w:rsidR="00E3253D">
        <w:rPr>
          <w:rtl/>
        </w:rPr>
        <w:t>.</w:t>
      </w:r>
    </w:p>
    <w:p w:rsidR="00E3253D" w:rsidRPr="005D642E" w:rsidRDefault="00E3253D" w:rsidP="00E3253D">
      <w:pPr>
        <w:pStyle w:val="libFootnote0"/>
        <w:rPr>
          <w:rtl/>
          <w:lang w:bidi="fa-IR"/>
        </w:rPr>
      </w:pPr>
      <w:r w:rsidRPr="00B60612">
        <w:rPr>
          <w:rtl/>
        </w:rPr>
        <w:t xml:space="preserve">والظاهر عدم ثبوت « عن » ، وأنّ أبا إسماعيل السرّاج هو عبدالله بن عثمان ؛ لما يأتي في ح 5676 من رواية محمّد بن يحيى ، عن أحمد بن محمّد ، عن محمّد بن إسماعيل ، عن عبدالله بن عثمان أبي إسماعيل السرّاج ، وكذا نقل العلاّمة المجلسي في </w:t>
      </w:r>
      <w:r w:rsidRPr="002F4D34">
        <w:rPr>
          <w:rStyle w:val="libFootnoteBoldChar"/>
          <w:rtl/>
        </w:rPr>
        <w:t>البحار</w:t>
      </w:r>
      <w:r w:rsidRPr="00B60612">
        <w:rPr>
          <w:rtl/>
        </w:rPr>
        <w:t xml:space="preserve"> ، ج 47 ، ص 304 ، ح 26.</w:t>
      </w:r>
    </w:p>
    <w:p w:rsidR="00E3253D" w:rsidRPr="005D642E" w:rsidRDefault="00E3253D" w:rsidP="00E3253D">
      <w:pPr>
        <w:pStyle w:val="libFootnote0"/>
        <w:rPr>
          <w:rtl/>
          <w:lang w:bidi="fa-IR"/>
        </w:rPr>
      </w:pPr>
      <w:r w:rsidRPr="00B60612">
        <w:rPr>
          <w:rtl/>
        </w:rPr>
        <w:t xml:space="preserve">وأمّا ما ورد في مطبوعة </w:t>
      </w:r>
      <w:r w:rsidRPr="002F4D34">
        <w:rPr>
          <w:rStyle w:val="libFootnoteBoldChar"/>
          <w:rtl/>
        </w:rPr>
        <w:t>التهذيب</w:t>
      </w:r>
      <w:r w:rsidRPr="00B60612">
        <w:rPr>
          <w:rtl/>
        </w:rPr>
        <w:t xml:space="preserve"> ، ج 1 ، ص 410 ، ح 1291 ؛ </w:t>
      </w:r>
      <w:r w:rsidRPr="00E678B5">
        <w:rPr>
          <w:rStyle w:val="libFootnoteBoldChar"/>
          <w:rtl/>
        </w:rPr>
        <w:t>والاستبصار</w:t>
      </w:r>
      <w:r w:rsidRPr="00B60612">
        <w:rPr>
          <w:rtl/>
        </w:rPr>
        <w:t xml:space="preserve"> ، ج 1 ، ص 45 ، ح 127 ، من زيادة « عن » بعد « أبي إسماعيل السرّاج » ففيه أيضاً سهو ، ولم ترد لفظة « عن » في بعض النسخ المعتبرة من </w:t>
      </w:r>
      <w:r w:rsidRPr="002F4D34">
        <w:rPr>
          <w:rStyle w:val="libFootnoteBoldChar"/>
          <w:rtl/>
        </w:rPr>
        <w:t>التهذيب</w:t>
      </w:r>
      <w:r w:rsidRPr="00B60612">
        <w:rPr>
          <w:rtl/>
        </w:rPr>
        <w:t xml:space="preserve"> ؛ ويؤيّد ذلك كثرة روايات محمّد بن إسماعيل [ بن بزيع ] ، عن أبي إسماعيل السرّاج مباشرة. راجع : </w:t>
      </w:r>
      <w:r w:rsidRPr="002F4D34">
        <w:rPr>
          <w:rStyle w:val="libFootnoteBoldChar"/>
          <w:rtl/>
        </w:rPr>
        <w:t>معجم رجال الحديث</w:t>
      </w:r>
      <w:r w:rsidRPr="00B60612">
        <w:rPr>
          <w:rtl/>
        </w:rPr>
        <w:t xml:space="preserve"> ، ج 21 ، ص 281 </w:t>
      </w:r>
      <w:r w:rsidR="007642BC" w:rsidRPr="00B60612">
        <w:rPr>
          <w:rtl/>
        </w:rPr>
        <w:t>-</w:t>
      </w:r>
      <w:r w:rsidRPr="00B60612">
        <w:rPr>
          <w:rtl/>
        </w:rPr>
        <w:t xml:space="preserve"> 283.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بس » : « قدامة بن أبي يزيد الحماز »</w:t>
      </w:r>
      <w:r w:rsidR="00E3253D">
        <w:rPr>
          <w:rtl/>
        </w:rPr>
        <w:t>.</w:t>
      </w:r>
      <w:r w:rsidR="00E3253D" w:rsidRPr="005D642E">
        <w:rPr>
          <w:rtl/>
        </w:rPr>
        <w:t xml:space="preserve"> وفي « بث ، بح ، جن » : « قدامة بن أبي يزيد الجمار »</w:t>
      </w:r>
      <w:r w:rsidR="00E3253D">
        <w:rPr>
          <w:rtl/>
        </w:rPr>
        <w:t>.</w:t>
      </w:r>
      <w:r w:rsidR="00E3253D" w:rsidRPr="005D642E">
        <w:rPr>
          <w:rtl/>
        </w:rPr>
        <w:t xml:space="preserve"> وفي حاشية « بس » والوسائل : « قدامة بن أبي زيد الجماز » ، ولم نجد للثلاثة الأخيرة ذكراً في كتب الأنساب والألقاب حسب تتّبعنا. وفي الاستبصار : « قدامة أبي زيد الجمّال »</w:t>
      </w:r>
      <w:r w:rsidR="00E3253D">
        <w:rPr>
          <w:rtl/>
        </w:rPr>
        <w:t>.</w:t>
      </w:r>
      <w:r w:rsidR="00E3253D" w:rsidRPr="005D642E">
        <w:rPr>
          <w:rtl/>
        </w:rPr>
        <w:t xml:space="preserve"> وفي التهذيب : « قدامة أبي زيد الحمار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 « من البئر »</w:t>
      </w:r>
      <w:r w:rsidR="00E3253D">
        <w:rPr>
          <w:rtl/>
        </w:rPr>
        <w:t>.</w:t>
      </w:r>
      <w:r w:rsidR="00E3253D" w:rsidRPr="005D642E">
        <w:rPr>
          <w:rtl/>
        </w:rPr>
        <w:t xml:space="preserve"> وفي « بس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البئر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بئر الماء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فَقَالَ : « إِنْ كَانَ سَهْلاً فَسَبْعَةُ </w:t>
      </w:r>
      <w:r w:rsidRPr="007C12DB">
        <w:rPr>
          <w:rStyle w:val="libFootnotenumChar"/>
          <w:rtl/>
        </w:rPr>
        <w:t>(1)</w:t>
      </w:r>
      <w:r w:rsidRPr="005D642E">
        <w:rPr>
          <w:rtl/>
          <w:lang w:bidi="fa-IR"/>
        </w:rPr>
        <w:t xml:space="preserve"> أَذْرُعٍ ، وَإِنْ كَانَ جَبَلاً فَخَمْسَةُ </w:t>
      </w:r>
      <w:r w:rsidRPr="007C12DB">
        <w:rPr>
          <w:rStyle w:val="libFootnotenumChar"/>
          <w:rtl/>
        </w:rPr>
        <w:t>(2)</w:t>
      </w:r>
      <w:r w:rsidRPr="005D642E">
        <w:rPr>
          <w:rtl/>
          <w:lang w:bidi="fa-IR"/>
        </w:rPr>
        <w:t xml:space="preserve"> أَذْرُعٍ »</w:t>
      </w:r>
      <w:r>
        <w:rPr>
          <w:rtl/>
          <w:lang w:bidi="fa-IR"/>
        </w:rPr>
        <w:t>.</w:t>
      </w:r>
    </w:p>
    <w:p w:rsidR="00E3253D" w:rsidRPr="005D642E" w:rsidRDefault="00E3253D" w:rsidP="00E3253D">
      <w:pPr>
        <w:pStyle w:val="libNormal"/>
        <w:rPr>
          <w:rtl/>
          <w:lang w:bidi="fa-IR"/>
        </w:rPr>
      </w:pPr>
      <w:r w:rsidRPr="005D642E">
        <w:rPr>
          <w:rtl/>
          <w:lang w:bidi="fa-IR"/>
        </w:rPr>
        <w:t xml:space="preserve">ثُمَّ قَالَ </w:t>
      </w:r>
      <w:r w:rsidRPr="007C12DB">
        <w:rPr>
          <w:rStyle w:val="libFootnotenumChar"/>
          <w:rtl/>
        </w:rPr>
        <w:t>(3)</w:t>
      </w:r>
      <w:r w:rsidRPr="005D642E">
        <w:rPr>
          <w:rtl/>
          <w:lang w:bidi="fa-IR"/>
        </w:rPr>
        <w:t xml:space="preserve"> : « الْمَاءُ يَجْرِي </w:t>
      </w:r>
      <w:r w:rsidRPr="007C12DB">
        <w:rPr>
          <w:rStyle w:val="libFootnotenumChar"/>
          <w:rtl/>
        </w:rPr>
        <w:t>(4)</w:t>
      </w:r>
      <w:r w:rsidRPr="005D642E">
        <w:rPr>
          <w:rtl/>
          <w:lang w:bidi="fa-IR"/>
        </w:rPr>
        <w:t xml:space="preserve"> إِلَى الْقِبْلَةِ إِلى يَمِينٍ ، وَيَجْرِي عَنْ يَمِينِ الْقِبْلَةِ إِلى يَسَارِ الْقِبْلَةِ ، وَيَجْرِي عَنْ يَسَارِ الْقِبْلَةِ إِلى يَمِينِ الْقِبْلَةِ ، وَلَايَجْرِي مِنَ الْقِبْلَةِ إِلى دُبُرِ الْقِبْلَةِ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FD53CE">
        <w:rPr>
          <w:rtl/>
        </w:rPr>
        <w:t>3837</w:t>
      </w:r>
      <w:r w:rsidRPr="00246318">
        <w:rPr>
          <w:rStyle w:val="libBold2Char"/>
          <w:rtl/>
        </w:rPr>
        <w:t xml:space="preserve"> / 4.</w:t>
      </w:r>
      <w:r w:rsidRPr="005D642E">
        <w:rPr>
          <w:rtl/>
          <w:lang w:bidi="fa-IR"/>
        </w:rPr>
        <w:t xml:space="preserve"> أَحْمَدُ بْنُ إِدْرِيسَ ، عَنْ مُحَمَّدِ بْنِ أَحْمَدَ ، عَنْ عَبَّادِ بْنِ سُلَيْمَانَ ، عَنْ سَعْدِ بْنِ سَعْدٍ ، عَنْ مُحَمَّدِ بْنِ الْقَاسِمِ :</w:t>
      </w:r>
    </w:p>
    <w:p w:rsidR="00E3253D" w:rsidRPr="005D642E" w:rsidRDefault="00E3253D" w:rsidP="00E3253D">
      <w:pPr>
        <w:pStyle w:val="libNormal"/>
        <w:rPr>
          <w:rtl/>
          <w:lang w:bidi="fa-IR"/>
        </w:rPr>
      </w:pPr>
      <w:r w:rsidRPr="005D642E">
        <w:rPr>
          <w:rtl/>
          <w:lang w:bidi="fa-IR"/>
        </w:rPr>
        <w:t xml:space="preserve">عَنْ أَبِي الْحَسَنِ </w:t>
      </w:r>
      <w:r w:rsidRPr="00AC51C5">
        <w:rPr>
          <w:rStyle w:val="libAlaemChar"/>
          <w:rtl/>
        </w:rPr>
        <w:t>عليه‌السلام</w:t>
      </w:r>
      <w:r w:rsidRPr="005D642E">
        <w:rPr>
          <w:rtl/>
          <w:lang w:bidi="fa-IR"/>
        </w:rPr>
        <w:t xml:space="preserve"> فِي الْبِئْرِ يَكُونُ بَيْنَهَا وَبَيْنَ الْكَنِيفِ خَمْسَةُ </w:t>
      </w:r>
      <w:r w:rsidRPr="007C12DB">
        <w:rPr>
          <w:rStyle w:val="libFootnotenumChar"/>
          <w:rtl/>
        </w:rPr>
        <w:t>(6)</w:t>
      </w:r>
      <w:r w:rsidRPr="005D642E">
        <w:rPr>
          <w:rtl/>
          <w:lang w:bidi="fa-IR"/>
        </w:rPr>
        <w:t xml:space="preserve"> أَذْرُعٍ ، أَوْ </w:t>
      </w:r>
      <w:r w:rsidRPr="007C12DB">
        <w:rPr>
          <w:rStyle w:val="libFootnotenumChar"/>
          <w:rtl/>
        </w:rPr>
        <w:t>(7)</w:t>
      </w:r>
      <w:r w:rsidRPr="005D642E">
        <w:rPr>
          <w:rtl/>
          <w:lang w:bidi="fa-IR"/>
        </w:rPr>
        <w:t xml:space="preserve"> أَقَلُّ أَوْ </w:t>
      </w:r>
      <w:r w:rsidRPr="007C12DB">
        <w:rPr>
          <w:rStyle w:val="libFootnotenumChar"/>
          <w:rtl/>
        </w:rPr>
        <w:t>(8)</w:t>
      </w:r>
      <w:r w:rsidRPr="005D642E">
        <w:rPr>
          <w:rtl/>
          <w:lang w:bidi="fa-IR"/>
        </w:rPr>
        <w:t xml:space="preserve"> أَكْثَرُ ، يُتَوَضَّأُ مِنْهَا</w:t>
      </w:r>
      <w:r>
        <w:rPr>
          <w:rtl/>
          <w:lang w:bidi="fa-IR"/>
        </w:rPr>
        <w:t>؟</w:t>
      </w:r>
    </w:p>
    <w:p w:rsidR="00E3253D" w:rsidRPr="005D642E" w:rsidRDefault="00E3253D" w:rsidP="00E3253D">
      <w:pPr>
        <w:pStyle w:val="libNormal"/>
        <w:rPr>
          <w:rtl/>
          <w:lang w:bidi="fa-IR"/>
        </w:rPr>
      </w:pPr>
      <w:r w:rsidRPr="005D642E">
        <w:rPr>
          <w:rtl/>
          <w:lang w:bidi="fa-IR"/>
        </w:rPr>
        <w:t xml:space="preserve">قَالَ : « لَيْسَ يُكْرَهُ مِنْ قُرْبٍ </w:t>
      </w:r>
      <w:r w:rsidRPr="007C12DB">
        <w:rPr>
          <w:rStyle w:val="libFootnotenumChar"/>
          <w:rtl/>
        </w:rPr>
        <w:t>(9)</w:t>
      </w:r>
      <w:r w:rsidRPr="005D642E">
        <w:rPr>
          <w:rtl/>
          <w:lang w:bidi="fa-IR"/>
        </w:rPr>
        <w:t xml:space="preserve"> وَلَابُعْدٍ ، يُتَوَضَّأُ مِنْهَا وَيُغْتَسَلُ </w:t>
      </w:r>
      <w:r w:rsidRPr="007C12DB">
        <w:rPr>
          <w:rStyle w:val="libFootnotenumChar"/>
          <w:rtl/>
        </w:rPr>
        <w:t>(10)</w:t>
      </w:r>
      <w:r w:rsidRPr="005D642E">
        <w:rPr>
          <w:rtl/>
          <w:lang w:bidi="fa-IR"/>
        </w:rPr>
        <w:t xml:space="preserve"> مَا لَمْ يَتَغَيَّرِ الْمَاءُ</w:t>
      </w:r>
      <w:r w:rsidRPr="007C12DB">
        <w:rPr>
          <w:rStyle w:val="libFootnotenumChar"/>
          <w:rtl/>
        </w:rPr>
        <w:t>(11)</w:t>
      </w:r>
      <w:r w:rsidRPr="005D642E">
        <w:rPr>
          <w:rtl/>
          <w:lang w:bidi="fa-IR"/>
        </w:rPr>
        <w:t xml:space="preserve"> »</w:t>
      </w:r>
      <w:r>
        <w:rPr>
          <w:rtl/>
          <w:lang w:bidi="fa-IR"/>
        </w:rPr>
        <w:t>.</w:t>
      </w:r>
      <w:r w:rsidRPr="007C12DB">
        <w:rPr>
          <w:rStyle w:val="libFootnotenumChar"/>
          <w:rtl/>
        </w:rPr>
        <w:t>(12)</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جح ، جس » وحاشية « ت ، بس ، جن » والوسائل : « فسبع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جح ، جس » وحاشية « ت ، بس » والوسائل : « فخمس »</w:t>
      </w:r>
      <w:r w:rsidR="00E3253D">
        <w:rPr>
          <w:rtl/>
        </w:rPr>
        <w:t>.</w:t>
      </w:r>
      <w:r w:rsidR="00E3253D" w:rsidRPr="005D642E">
        <w:rPr>
          <w:rtl/>
        </w:rPr>
        <w:t xml:space="preserve"> وفي حاشية « بخ » : « خمس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34 : « قوله </w:t>
      </w:r>
      <w:r w:rsidR="00E3253D" w:rsidRPr="008B5F03">
        <w:rPr>
          <w:rStyle w:val="libFootnoteAlaemChar"/>
          <w:rtl/>
        </w:rPr>
        <w:t>عليه‌السلام</w:t>
      </w:r>
      <w:r w:rsidR="00E3253D" w:rsidRPr="005D642E">
        <w:rPr>
          <w:rtl/>
        </w:rPr>
        <w:t xml:space="preserve"> : وإن كان جبلاً ، كأنّه ينبغي للأصحاب أن يعبّروا عن هذا الشقّ بالجبل ، كما هو المطابق للخبر ، لا الصلبة ؛ للفرق بينهما فتفطّن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ت ، بح ، جح » والوسائل : + « إنّ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يجري الماء » بدل « الماء يجري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410 ، ح 1291 ؛ </w:t>
      </w:r>
      <w:r w:rsidR="00E3253D" w:rsidRPr="00E678B5">
        <w:rPr>
          <w:rStyle w:val="libFootnoteBoldChar"/>
          <w:rtl/>
        </w:rPr>
        <w:t>والاستبصار</w:t>
      </w:r>
      <w:r w:rsidR="00E3253D" w:rsidRPr="005D642E">
        <w:rPr>
          <w:rtl/>
        </w:rPr>
        <w:t xml:space="preserve"> ، ج 1 ، ص 45 ، ح 127 ، معلّقاً عن أحمد بن محمّد </w:t>
      </w:r>
      <w:r w:rsidR="008B5F03">
        <w:rPr>
          <w:rFonts w:hint="cs"/>
          <w:rtl/>
        </w:rPr>
        <w:t>.</w:t>
      </w:r>
      <w:r w:rsidR="00E3253D" w:rsidRPr="002F4D34">
        <w:rPr>
          <w:rStyle w:val="libFootnoteBoldChar"/>
          <w:rtl/>
        </w:rPr>
        <w:t>الوافي</w:t>
      </w:r>
      <w:r w:rsidR="00E3253D" w:rsidRPr="005D642E">
        <w:rPr>
          <w:rtl/>
        </w:rPr>
        <w:t xml:space="preserve"> ، ج 6 ، ص 96 ، ح 3852 ؛ </w:t>
      </w:r>
      <w:r w:rsidR="00E3253D" w:rsidRPr="002F4D34">
        <w:rPr>
          <w:rStyle w:val="libFootnoteBoldChar"/>
          <w:rtl/>
        </w:rPr>
        <w:t>الوسائل</w:t>
      </w:r>
      <w:r w:rsidR="00E3253D" w:rsidRPr="005D642E">
        <w:rPr>
          <w:rtl/>
        </w:rPr>
        <w:t xml:space="preserve"> ، ج 1 ، ص 171 ، ح 425 ؛ وص 200 ، ح 516.</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جح » وحاشية « ت ، بس ، جن » : « خمس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والوسائل ، ح 516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w:t>
      </w:r>
      <w:r w:rsidR="00E3253D">
        <w:rPr>
          <w:rtl/>
        </w:rPr>
        <w:t>و ».</w:t>
      </w:r>
      <w:r w:rsidR="00E3253D" w:rsidRPr="005D642E">
        <w:rPr>
          <w:rtl/>
        </w:rPr>
        <w:t xml:space="preserve"> وفي « ت ، بث ، بس ، بف ، جن » والوسائل ، ح 425 :</w:t>
      </w:r>
      <w:r w:rsidR="00E3253D">
        <w:rPr>
          <w:rtl/>
        </w:rPr>
        <w:t xml:space="preserve"> </w:t>
      </w:r>
      <w:r w:rsidR="007642BC">
        <w:rPr>
          <w:rtl/>
        </w:rPr>
        <w:t>-</w:t>
      </w:r>
      <w:r w:rsidR="00E3253D">
        <w:rPr>
          <w:rtl/>
        </w:rPr>
        <w:t xml:space="preserve"> </w:t>
      </w:r>
      <w:r w:rsidR="00E3253D" w:rsidRPr="005D642E">
        <w:rPr>
          <w:rtl/>
        </w:rPr>
        <w:t>« أو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والوسائل ، ح 516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w:t>
      </w:r>
      <w:r w:rsidR="00E3253D">
        <w:rPr>
          <w:rtl/>
        </w:rPr>
        <w:t>و ».</w:t>
      </w:r>
    </w:p>
    <w:p w:rsidR="00E3253D" w:rsidRPr="005D642E" w:rsidRDefault="0042621E" w:rsidP="008B5F03">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8B5F03">
        <w:rPr>
          <w:rStyle w:val="libFootnoteAlaemChar"/>
          <w:rtl/>
        </w:rPr>
        <w:t>عليه‌السلام</w:t>
      </w:r>
      <w:r w:rsidR="00E3253D" w:rsidRPr="005D642E">
        <w:rPr>
          <w:rtl/>
        </w:rPr>
        <w:t xml:space="preserve"> : من قرب ، قال السيّد الداماد : أي من قرب الكنيف وبعده ، ومن فسّر بقرب قرارالماء وبعده ، لم يأت بما ينبغي »</w:t>
      </w:r>
      <w:r w:rsidR="00E3253D">
        <w:rPr>
          <w:rtl/>
        </w:rPr>
        <w:t>.</w:t>
      </w:r>
      <w:r w:rsidR="008B5F03">
        <w:rPr>
          <w:rFonts w:hint="cs"/>
          <w:rtl/>
        </w:rPr>
        <w:t xml:space="preserve">                            </w:t>
      </w:r>
      <w:r w:rsidRPr="0042621E">
        <w:rPr>
          <w:rStyle w:val="libFootnote0Char"/>
          <w:rtl/>
        </w:rPr>
        <w:t>(10).</w:t>
      </w:r>
      <w:r w:rsidR="00E3253D" w:rsidRPr="005D642E">
        <w:rPr>
          <w:rtl/>
        </w:rPr>
        <w:t xml:space="preserve"> في « جن » : « فيغتسل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الماء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411 ، ح 1294 ، معلّقاً عن أحمد بن إدريس ؛ </w:t>
      </w:r>
      <w:r w:rsidR="00E3253D" w:rsidRPr="002F4D34">
        <w:rPr>
          <w:rStyle w:val="libFootnoteBoldChar"/>
          <w:rtl/>
        </w:rPr>
        <w:t>الاستبصار</w:t>
      </w:r>
      <w:r w:rsidR="00E3253D" w:rsidRPr="005D642E">
        <w:rPr>
          <w:rtl/>
        </w:rPr>
        <w:t xml:space="preserve"> ، ج 1 ، ص 46 ، ح 129 ، بسنده عن </w:t>
      </w:r>
      <w:r w:rsidR="008B5F0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25" w:name="_Toc344647219"/>
      <w:bookmarkStart w:id="26" w:name="_Toc462226734"/>
      <w:bookmarkStart w:id="27" w:name="_Toc40975840"/>
      <w:r w:rsidRPr="005D642E">
        <w:rPr>
          <w:rtl/>
          <w:lang w:bidi="fa-IR"/>
        </w:rPr>
        <w:lastRenderedPageBreak/>
        <w:t>6</w:t>
      </w:r>
      <w:r>
        <w:rPr>
          <w:rtl/>
          <w:lang w:bidi="fa-IR"/>
        </w:rPr>
        <w:t xml:space="preserve"> </w:t>
      </w:r>
      <w:r w:rsidR="007642BC">
        <w:rPr>
          <w:rtl/>
          <w:lang w:bidi="fa-IR"/>
        </w:rPr>
        <w:t>-</w:t>
      </w:r>
      <w:r>
        <w:rPr>
          <w:rtl/>
          <w:lang w:bidi="fa-IR"/>
        </w:rPr>
        <w:t xml:space="preserve"> </w:t>
      </w:r>
      <w:r w:rsidRPr="005D642E">
        <w:rPr>
          <w:rtl/>
          <w:lang w:bidi="fa-IR"/>
        </w:rPr>
        <w:t xml:space="preserve">بَابُ الْوُضُوءِ مِنْ </w:t>
      </w:r>
      <w:r w:rsidRPr="007C12DB">
        <w:rPr>
          <w:rStyle w:val="libFootnotenumChar"/>
          <w:rtl/>
        </w:rPr>
        <w:t>(1)</w:t>
      </w:r>
      <w:r>
        <w:rPr>
          <w:rtl/>
        </w:rPr>
        <w:t xml:space="preserve"> </w:t>
      </w:r>
      <w:r w:rsidRPr="005D642E">
        <w:rPr>
          <w:rtl/>
          <w:lang w:bidi="fa-IR"/>
        </w:rPr>
        <w:t xml:space="preserve">سُؤْرِ الدَّوَابِّ وَالسِّبَاعِ وَالطَّيْرِ </w:t>
      </w:r>
      <w:r w:rsidRPr="007C12DB">
        <w:rPr>
          <w:rStyle w:val="libFootnotenumChar"/>
          <w:rtl/>
        </w:rPr>
        <w:t>(2)</w:t>
      </w:r>
      <w:r w:rsidRPr="005D642E">
        <w:rPr>
          <w:rtl/>
          <w:lang w:bidi="fa-IR"/>
        </w:rPr>
        <w:t xml:space="preserve"> ‌</w:t>
      </w:r>
      <w:bookmarkEnd w:id="25"/>
      <w:bookmarkEnd w:id="26"/>
      <w:bookmarkEnd w:id="27"/>
    </w:p>
    <w:p w:rsidR="00E3253D" w:rsidRPr="005D642E" w:rsidRDefault="00E3253D" w:rsidP="00E3253D">
      <w:pPr>
        <w:pStyle w:val="libNormal"/>
        <w:rPr>
          <w:rtl/>
          <w:lang w:bidi="fa-IR"/>
        </w:rPr>
      </w:pPr>
      <w:r w:rsidRPr="00FD53CE">
        <w:rPr>
          <w:rtl/>
        </w:rPr>
        <w:t>3838</w:t>
      </w:r>
      <w:r w:rsidRPr="00246318">
        <w:rPr>
          <w:rStyle w:val="libBold2Char"/>
          <w:rtl/>
        </w:rPr>
        <w:t xml:space="preserve"> / 1.</w:t>
      </w:r>
      <w:r w:rsidRPr="005D642E">
        <w:rPr>
          <w:rtl/>
          <w:lang w:bidi="fa-IR"/>
        </w:rPr>
        <w:t xml:space="preserve"> عَلِيُّ بْنُ إِبْرَاهِيمَ ، عَنْ مُحَمَّدِ بْنِ عِيسى ، عَنْ يُونُسَ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بَأْسَ بِأَنْ يُتَوَضَّأَ </w:t>
      </w:r>
      <w:r w:rsidRPr="007C12DB">
        <w:rPr>
          <w:rStyle w:val="libFootnotenumChar"/>
          <w:rtl/>
        </w:rPr>
        <w:t>(3)</w:t>
      </w:r>
      <w:r w:rsidRPr="005D642E">
        <w:rPr>
          <w:rtl/>
          <w:lang w:bidi="fa-IR"/>
        </w:rPr>
        <w:t xml:space="preserve"> مِمَّا شَرِبَ </w:t>
      </w:r>
      <w:r w:rsidRPr="007C12DB">
        <w:rPr>
          <w:rStyle w:val="libFootnotenumChar"/>
          <w:rtl/>
        </w:rPr>
        <w:t>(4)</w:t>
      </w:r>
      <w:r w:rsidRPr="005D642E">
        <w:rPr>
          <w:rtl/>
          <w:lang w:bidi="fa-IR"/>
        </w:rPr>
        <w:t xml:space="preserve"> مِنْهُ مَا يُؤْكَلُ لَحْمُهُ »</w:t>
      </w:r>
      <w:r>
        <w:rPr>
          <w:rtl/>
          <w:lang w:bidi="fa-IR"/>
        </w:rPr>
        <w:t>.</w:t>
      </w:r>
      <w:r w:rsidRPr="005D642E">
        <w:rPr>
          <w:rtl/>
          <w:lang w:bidi="fa-IR"/>
        </w:rPr>
        <w:t xml:space="preserve"> </w:t>
      </w:r>
      <w:r w:rsidRPr="007C12DB">
        <w:rPr>
          <w:rStyle w:val="libFootnotenumChar"/>
          <w:rtl/>
        </w:rPr>
        <w:t>(5)</w:t>
      </w:r>
      <w:r w:rsidRPr="005D642E">
        <w:rPr>
          <w:rtl/>
          <w:lang w:bidi="fa-IR"/>
        </w:rPr>
        <w:t>‌</w:t>
      </w:r>
    </w:p>
    <w:p w:rsidR="00E3253D" w:rsidRPr="005D642E" w:rsidRDefault="00E3253D" w:rsidP="00E3253D">
      <w:pPr>
        <w:pStyle w:val="libNormal"/>
        <w:rPr>
          <w:rtl/>
          <w:lang w:bidi="fa-IR"/>
        </w:rPr>
      </w:pPr>
      <w:r w:rsidRPr="00FD53CE">
        <w:rPr>
          <w:rtl/>
        </w:rPr>
        <w:t>3839</w:t>
      </w:r>
      <w:r w:rsidRPr="00246318">
        <w:rPr>
          <w:rStyle w:val="libBold2Char"/>
          <w:rtl/>
        </w:rPr>
        <w:t xml:space="preserve"> / 2.</w:t>
      </w:r>
      <w:r w:rsidRPr="005D642E">
        <w:rPr>
          <w:rtl/>
          <w:lang w:bidi="fa-IR"/>
        </w:rPr>
        <w:t xml:space="preserve"> مُحَمَّدُ بْنُ يَحْيى ، عَنْ أَحْمَدَ بْنِ مُحَمَّدٍ ، عَنْ مُحَمَّدِ بْنِ خَالِدٍ </w:t>
      </w:r>
      <w:r w:rsidRPr="007C12DB">
        <w:rPr>
          <w:rStyle w:val="libFootnotenumChar"/>
          <w:rtl/>
        </w:rPr>
        <w:t>(6)</w:t>
      </w:r>
      <w:r w:rsidRPr="005D642E">
        <w:rPr>
          <w:rtl/>
          <w:lang w:bidi="fa-IR"/>
        </w:rPr>
        <w:t xml:space="preserve"> وَالْحُسَيْنِ بْنِ سَعِيدٍ ، عَنِ الْقَاسِمِ بْنِ مُحَمَّدٍ ، عَنْ عَلِيِّ بْنِ أَبِي حَمْزَةَ ، عَنْ أَبِي بَصِيرٍ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Pr>
          <w:rtl/>
          <w:lang w:bidi="fa-IR"/>
        </w:rPr>
        <w:t>، قَالَ:«</w:t>
      </w:r>
      <w:r w:rsidRPr="005D642E">
        <w:rPr>
          <w:rtl/>
          <w:lang w:bidi="fa-IR"/>
        </w:rPr>
        <w:t xml:space="preserve">فَضْلُ الْحَمَامَةِ </w:t>
      </w:r>
      <w:r w:rsidRPr="007C12DB">
        <w:rPr>
          <w:rStyle w:val="libFootnotenumChar"/>
          <w:rtl/>
        </w:rPr>
        <w:t>(7)</w:t>
      </w:r>
      <w:r w:rsidRPr="005D642E">
        <w:rPr>
          <w:rtl/>
          <w:lang w:bidi="fa-IR"/>
        </w:rPr>
        <w:t xml:space="preserve"> وَالدَّجَاجِ </w:t>
      </w:r>
      <w:r w:rsidRPr="007C12DB">
        <w:rPr>
          <w:rStyle w:val="libFootnotenumChar"/>
          <w:rtl/>
        </w:rPr>
        <w:t>(8)</w:t>
      </w:r>
      <w:r>
        <w:rPr>
          <w:rtl/>
          <w:lang w:bidi="fa-IR"/>
        </w:rPr>
        <w:t xml:space="preserve"> لَابَأْسَ بِهِ وَالطَّيْرِ »</w:t>
      </w:r>
      <w:r w:rsidRPr="005D642E">
        <w:rPr>
          <w:rtl/>
          <w:lang w:bidi="fa-IR"/>
        </w:rPr>
        <w:t xml:space="preserve">. </w:t>
      </w:r>
      <w:r w:rsidRPr="007C12DB">
        <w:rPr>
          <w:rStyle w:val="libFootnotenumChar"/>
          <w:rtl/>
        </w:rPr>
        <w:t>(9)</w:t>
      </w:r>
      <w:r>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3B5E41" w:rsidP="00E3253D">
      <w:pPr>
        <w:pStyle w:val="libFootnote0"/>
        <w:rPr>
          <w:rtl/>
          <w:lang w:bidi="fa-IR"/>
        </w:rPr>
      </w:pPr>
      <w:r>
        <w:rPr>
          <w:rFonts w:hint="cs"/>
          <w:rtl/>
        </w:rPr>
        <w:t xml:space="preserve">= </w:t>
      </w:r>
      <w:r w:rsidR="00E3253D" w:rsidRPr="005D642E">
        <w:rPr>
          <w:rtl/>
        </w:rPr>
        <w:t xml:space="preserve">أحمد بن إدريس. </w:t>
      </w:r>
      <w:r w:rsidR="00E3253D" w:rsidRPr="002F4D34">
        <w:rPr>
          <w:rStyle w:val="libFootnoteBoldChar"/>
          <w:rtl/>
        </w:rPr>
        <w:t>الفقيه</w:t>
      </w:r>
      <w:r w:rsidR="00E3253D" w:rsidRPr="005D642E">
        <w:rPr>
          <w:rtl/>
        </w:rPr>
        <w:t xml:space="preserve"> ، ج 1 ، ص 18 ، ح 23 ، مرسلاً عن الرضا </w:t>
      </w:r>
      <w:r w:rsidR="00E3253D" w:rsidRPr="0063060B">
        <w:rPr>
          <w:rStyle w:val="libFootnoteAlaemChar"/>
          <w:rtl/>
        </w:rPr>
        <w:t>عليه‌السلام</w:t>
      </w:r>
      <w:r w:rsidR="00E3253D" w:rsidRPr="005D642E">
        <w:rPr>
          <w:rtl/>
        </w:rPr>
        <w:t xml:space="preserve"> ، من قوله : « ليس يكره من قرب ولابعد » مع اختلاف يسير </w:t>
      </w:r>
      <w:r w:rsidR="0063060B">
        <w:rPr>
          <w:rFonts w:hint="cs"/>
          <w:rtl/>
        </w:rPr>
        <w:t>.</w:t>
      </w:r>
      <w:r w:rsidR="00E3253D" w:rsidRPr="002F4D34">
        <w:rPr>
          <w:rStyle w:val="libFootnoteBoldChar"/>
          <w:rtl/>
        </w:rPr>
        <w:t>الوافي</w:t>
      </w:r>
      <w:r w:rsidR="00E3253D" w:rsidRPr="005D642E">
        <w:rPr>
          <w:rtl/>
        </w:rPr>
        <w:t xml:space="preserve"> ، ج 6 ، ص 98 ، ح 3852 ؛ </w:t>
      </w:r>
      <w:r w:rsidR="00E3253D" w:rsidRPr="002F4D34">
        <w:rPr>
          <w:rStyle w:val="libFootnoteBoldChar"/>
          <w:rtl/>
        </w:rPr>
        <w:t>الوسائل</w:t>
      </w:r>
      <w:r w:rsidR="00E3253D" w:rsidRPr="005D642E">
        <w:rPr>
          <w:rtl/>
        </w:rPr>
        <w:t xml:space="preserve"> ، ج 1 ، ص 171 ، ح 425 ؛ وص 200 ، ح 516.</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عن »</w:t>
      </w:r>
      <w:r w:rsidR="00E3253D">
        <w:rPr>
          <w:rtl/>
        </w:rPr>
        <w:t>.</w:t>
      </w:r>
      <w:r w:rsidR="00E3253D" w:rsidRPr="005D642E">
        <w:rPr>
          <w:rtl/>
        </w:rPr>
        <w:t xml:space="preserve"> </w:t>
      </w:r>
      <w:r w:rsidR="00E3253D">
        <w:rPr>
          <w:rtl/>
        </w:rPr>
        <w:t>و «</w:t>
      </w:r>
      <w:r w:rsidR="00E3253D" w:rsidRPr="005D642E">
        <w:rPr>
          <w:rtl/>
        </w:rPr>
        <w:t xml:space="preserve"> السُؤْر » : هو بقيّة الماء الذي يبقيها الشارب في الإناء وفي الحوض ، ثمّ استعير لبقيّة الطعام وغيره ، يقال : أسأر فلان من طعامه وشرابه سُؤراً ، وذلك إذا أبقى بقيّة. راجع : </w:t>
      </w:r>
      <w:r w:rsidR="00E3253D" w:rsidRPr="002F4D34">
        <w:rPr>
          <w:rStyle w:val="libFootnoteBoldChar"/>
          <w:rtl/>
        </w:rPr>
        <w:t>المغرب</w:t>
      </w:r>
      <w:r w:rsidR="00E3253D" w:rsidRPr="005D642E">
        <w:rPr>
          <w:rtl/>
        </w:rPr>
        <w:t xml:space="preserve"> ، ص 215 ؛ </w:t>
      </w:r>
      <w:r w:rsidR="00E3253D" w:rsidRPr="002F4D34">
        <w:rPr>
          <w:rStyle w:val="libFootnoteBoldChar"/>
          <w:rtl/>
        </w:rPr>
        <w:t>لسان العرب</w:t>
      </w:r>
      <w:r w:rsidR="00E3253D" w:rsidRPr="005D642E">
        <w:rPr>
          <w:rtl/>
        </w:rPr>
        <w:t xml:space="preserve"> ، ج 4 ، ص 340 ( سأر )</w:t>
      </w:r>
      <w:r w:rsidR="00E3253D">
        <w:rPr>
          <w:rtl/>
        </w:rPr>
        <w:t>.</w:t>
      </w:r>
      <w:r w:rsidR="00E3253D">
        <w:rPr>
          <w:rFonts w:hint="cs"/>
          <w:rtl/>
          <w:lang w:bidi="fa-IR"/>
        </w:rPr>
        <w:t xml:space="preserve"> </w:t>
      </w:r>
      <w:r w:rsidR="0063060B">
        <w:rPr>
          <w:rFonts w:hint="cs"/>
          <w:rtl/>
          <w:lang w:bidi="fa-IR"/>
        </w:rPr>
        <w:t xml:space="preserve">                             </w:t>
      </w:r>
      <w:r w:rsidRPr="0042621E">
        <w:rPr>
          <w:rStyle w:val="libFootnote0Char"/>
          <w:rtl/>
        </w:rPr>
        <w:t>(2).</w:t>
      </w:r>
      <w:r w:rsidR="00E3253D" w:rsidRPr="005D642E">
        <w:rPr>
          <w:rtl/>
        </w:rPr>
        <w:t xml:space="preserve"> في « جس » : « الطيور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ت ، ى ، بث ، بح ، بخ ، بس ، جح ، جن » : « أن يتوضّأ »</w:t>
      </w:r>
      <w:r w:rsidR="00E3253D">
        <w:rPr>
          <w:rtl/>
        </w:rPr>
        <w:t>.</w:t>
      </w:r>
      <w:r w:rsidR="00E3253D" w:rsidRPr="005D642E">
        <w:rPr>
          <w:rtl/>
        </w:rPr>
        <w:t xml:space="preserve"> وفي « بف » بالياء والتاء معاً.</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ى ، بث ، بح ، بف » وحاشية « بخ » </w:t>
      </w:r>
      <w:r w:rsidR="000D749A" w:rsidRPr="000D749A">
        <w:rPr>
          <w:rStyle w:val="libFootnoteBoldChar"/>
          <w:rtl/>
        </w:rPr>
        <w:t>والوافي</w:t>
      </w:r>
      <w:r w:rsidR="00E3253D" w:rsidRPr="005D642E">
        <w:rPr>
          <w:rtl/>
        </w:rPr>
        <w:t xml:space="preserve"> : « يشرب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6 ، ص 71 ، ح 3785 ؛ </w:t>
      </w:r>
      <w:r w:rsidR="00E3253D" w:rsidRPr="002F4D34">
        <w:rPr>
          <w:rStyle w:val="libFootnoteBoldChar"/>
          <w:rtl/>
        </w:rPr>
        <w:t>الوسائل</w:t>
      </w:r>
      <w:r w:rsidR="00E3253D" w:rsidRPr="005D642E">
        <w:rPr>
          <w:rtl/>
        </w:rPr>
        <w:t xml:space="preserve"> ، ج 1 ، ص 231 ، ح 593.</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النسخ. وفي المطبوع : « أحمد بن محمّد بن خالد » بدل « أحمد بن محمّد ، عن محمّد بن خالد »</w:t>
      </w:r>
      <w:r w:rsidR="00E3253D">
        <w:rPr>
          <w:rtl/>
        </w:rPr>
        <w:t>.</w:t>
      </w:r>
      <w:r w:rsidR="00E3253D" w:rsidRPr="005D642E">
        <w:rPr>
          <w:rtl/>
        </w:rPr>
        <w:t xml:space="preserve"> والصواب ما أثبتناه ؛ ويدلّ على ذلك مضافاً إلى ما تقدّم في </w:t>
      </w:r>
      <w:r w:rsidR="00E3253D" w:rsidRPr="002F4D34">
        <w:rPr>
          <w:rStyle w:val="libFootnoteBoldChar"/>
          <w:rtl/>
        </w:rPr>
        <w:t>الكافي</w:t>
      </w:r>
      <w:r w:rsidR="00E3253D" w:rsidRPr="005D642E">
        <w:rPr>
          <w:rtl/>
        </w:rPr>
        <w:t xml:space="preserve"> ، ذيل ح 3239 </w:t>
      </w:r>
      <w:r w:rsidR="00E3253D">
        <w:rPr>
          <w:rtl/>
        </w:rPr>
        <w:t>و 3</w:t>
      </w:r>
      <w:r w:rsidR="00E3253D" w:rsidRPr="005D642E">
        <w:rPr>
          <w:rtl/>
        </w:rPr>
        <w:t>398 ، من عدم رواية محمّد بن يحيى ، عن أحمد بن محمّد بن خالد في أسناد الكافي ، ومضافاً إلى أنّ لازم المطبوع رواية محمّد بن يحيى ، عن الحسين بن سعيد ، مباشرة ، وقد توسّط أحمد بن محمّد [ بن عيسى ] بين محمّد بن يحيى والحسين بن سعيد في كثيرٍ من الأسناد ، يدلّ عليه مضافاً إلى ما مرّ ، أنّ القاسم بن محمّد الراوي عن عليّ بن أبي حمزة ، هو القاسم بن محمّد الجوهري ، وقد روى أبوعبدالله البرقي</w:t>
      </w:r>
      <w:r w:rsidR="00E3253D">
        <w:rPr>
          <w:rtl/>
        </w:rPr>
        <w:t xml:space="preserve"> </w:t>
      </w:r>
      <w:r w:rsidR="007642BC">
        <w:rPr>
          <w:rtl/>
        </w:rPr>
        <w:t>-</w:t>
      </w:r>
      <w:r w:rsidR="00E3253D">
        <w:rPr>
          <w:rtl/>
        </w:rPr>
        <w:t xml:space="preserve"> </w:t>
      </w:r>
      <w:r w:rsidR="00E3253D" w:rsidRPr="005D642E">
        <w:rPr>
          <w:rtl/>
        </w:rPr>
        <w:t>وهو محمّد بن خالد</w:t>
      </w:r>
      <w:r w:rsidR="00E3253D">
        <w:rPr>
          <w:rtl/>
        </w:rPr>
        <w:t xml:space="preserve"> </w:t>
      </w:r>
      <w:r w:rsidR="007642BC">
        <w:rPr>
          <w:rtl/>
        </w:rPr>
        <w:t>-</w:t>
      </w:r>
      <w:r w:rsidR="00E3253D">
        <w:rPr>
          <w:rtl/>
        </w:rPr>
        <w:t xml:space="preserve"> </w:t>
      </w:r>
      <w:r w:rsidR="00E3253D" w:rsidRPr="005D642E">
        <w:rPr>
          <w:rtl/>
        </w:rPr>
        <w:t xml:space="preserve">والحسين بن سعيد كتابه عنه. راجع : </w:t>
      </w:r>
      <w:r w:rsidR="00E3253D" w:rsidRPr="002F4D34">
        <w:rPr>
          <w:rStyle w:val="libFootnoteBoldChar"/>
          <w:rtl/>
        </w:rPr>
        <w:t>معجم الرجال الحديث</w:t>
      </w:r>
      <w:r w:rsidR="00E3253D" w:rsidRPr="005D642E">
        <w:rPr>
          <w:rtl/>
        </w:rPr>
        <w:t xml:space="preserve"> ، ج 2 ، ص 504</w:t>
      </w:r>
      <w:r w:rsidR="00E3253D">
        <w:rPr>
          <w:rtl/>
        </w:rPr>
        <w:t xml:space="preserve"> </w:t>
      </w:r>
      <w:r w:rsidR="007642BC">
        <w:rPr>
          <w:rtl/>
        </w:rPr>
        <w:t>-</w:t>
      </w:r>
      <w:r w:rsidR="00E3253D">
        <w:rPr>
          <w:rtl/>
        </w:rPr>
        <w:t xml:space="preserve"> </w:t>
      </w:r>
      <w:r w:rsidR="00E3253D" w:rsidRPr="005D642E">
        <w:rPr>
          <w:rtl/>
        </w:rPr>
        <w:t>514 ، وص 670</w:t>
      </w:r>
      <w:r w:rsidR="00E3253D">
        <w:rPr>
          <w:rtl/>
        </w:rPr>
        <w:t xml:space="preserve"> </w:t>
      </w:r>
      <w:r w:rsidR="007642BC">
        <w:rPr>
          <w:rtl/>
        </w:rPr>
        <w:t>-</w:t>
      </w:r>
      <w:r w:rsidR="00E3253D">
        <w:rPr>
          <w:rtl/>
        </w:rPr>
        <w:t xml:space="preserve"> </w:t>
      </w:r>
      <w:r w:rsidR="00E3253D" w:rsidRPr="005D642E">
        <w:rPr>
          <w:rtl/>
        </w:rPr>
        <w:t xml:space="preserve">674 ؛ ج 14 ، ص 368 ؛ </w:t>
      </w:r>
      <w:r w:rsidR="0059794D" w:rsidRPr="0059794D">
        <w:rPr>
          <w:rStyle w:val="libFootnoteBoldChar"/>
          <w:rtl/>
        </w:rPr>
        <w:t>الفهرست للطوسي</w:t>
      </w:r>
      <w:r w:rsidR="00E3253D" w:rsidRPr="005D642E">
        <w:rPr>
          <w:rtl/>
        </w:rPr>
        <w:t xml:space="preserve"> ، ص 371 ، الرقم 576.</w:t>
      </w:r>
    </w:p>
    <w:p w:rsidR="00E3253D" w:rsidRPr="005D642E" w:rsidRDefault="00E3253D" w:rsidP="00E3253D">
      <w:pPr>
        <w:pStyle w:val="libFootnote0"/>
        <w:rPr>
          <w:rtl/>
          <w:lang w:bidi="fa-IR"/>
        </w:rPr>
      </w:pPr>
      <w:r w:rsidRPr="00B60612">
        <w:rPr>
          <w:rtl/>
        </w:rPr>
        <w:t xml:space="preserve">فتبيّن بذلك أنّ ما ورد في </w:t>
      </w:r>
      <w:r w:rsidRPr="002F4D34">
        <w:rPr>
          <w:rStyle w:val="libFootnoteBoldChar"/>
          <w:rtl/>
        </w:rPr>
        <w:t>التهذيب</w:t>
      </w:r>
      <w:r w:rsidRPr="00B60612">
        <w:rPr>
          <w:rtl/>
        </w:rPr>
        <w:t xml:space="preserve"> ، ج 1 ، ص 228 ، ح 659 و</w:t>
      </w:r>
      <w:r w:rsidRPr="002F4D34">
        <w:rPr>
          <w:rStyle w:val="libFootnoteBoldChar"/>
          <w:rtl/>
        </w:rPr>
        <w:t xml:space="preserve">الوسائل </w:t>
      </w:r>
      <w:r w:rsidRPr="00B60612">
        <w:rPr>
          <w:rtl/>
        </w:rPr>
        <w:t>، ج 1 ، ص 230 ، ح 589 من « محمّد بن يحيى ، عن أحمد بن محمّد بن خالد ، عن الحسين بن سعيد ، عن القاسم بن محمّد » مشتمل على تحريفين.</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بح » : « فضل الحمام »</w:t>
      </w:r>
      <w:r w:rsidR="00E3253D">
        <w:rPr>
          <w:rtl/>
        </w:rPr>
        <w:t>.</w:t>
      </w:r>
      <w:r w:rsidR="009F10EE">
        <w:rPr>
          <w:rFonts w:hint="cs"/>
          <w:rtl/>
        </w:rPr>
        <w:t xml:space="preserve">                    </w:t>
      </w:r>
      <w:r w:rsidR="0063060B">
        <w:rPr>
          <w:rFonts w:hint="cs"/>
          <w:rtl/>
        </w:rPr>
        <w:t xml:space="preserve"> </w:t>
      </w:r>
      <w:r w:rsidR="00E3253D">
        <w:rPr>
          <w:rFonts w:hint="cs"/>
          <w:rtl/>
          <w:lang w:bidi="fa-IR"/>
        </w:rPr>
        <w:t xml:space="preserve"> </w:t>
      </w:r>
      <w:r w:rsidRPr="0042621E">
        <w:rPr>
          <w:rStyle w:val="libFootnote0Char"/>
          <w:rtl/>
        </w:rPr>
        <w:t>(8).</w:t>
      </w:r>
      <w:r w:rsidR="00E3253D" w:rsidRPr="005D642E">
        <w:rPr>
          <w:rtl/>
        </w:rPr>
        <w:t xml:space="preserve"> في « ت ، جن » وحاشية « بح » : « الدجاجة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228 ، ح 659 ، بسنده عن الكليني </w:t>
      </w:r>
      <w:r w:rsidR="00560493">
        <w:rPr>
          <w:rFonts w:hint="cs"/>
          <w:rtl/>
        </w:rPr>
        <w:t>.</w:t>
      </w:r>
      <w:r w:rsidR="00E3253D" w:rsidRPr="002F4D34">
        <w:rPr>
          <w:rStyle w:val="libFootnoteBoldChar"/>
          <w:rtl/>
        </w:rPr>
        <w:t>الوافي</w:t>
      </w:r>
      <w:r w:rsidR="00E3253D" w:rsidRPr="005D642E">
        <w:rPr>
          <w:rtl/>
        </w:rPr>
        <w:t xml:space="preserve"> ، ج 6 ، ص 72 ، ح 3788 ؛ </w:t>
      </w:r>
      <w:r w:rsidR="00E3253D" w:rsidRPr="002F4D34">
        <w:rPr>
          <w:rStyle w:val="libFootnoteBoldChar"/>
          <w:rtl/>
        </w:rPr>
        <w:t>الوسائل</w:t>
      </w:r>
      <w:r w:rsidR="00E3253D" w:rsidRPr="005D642E">
        <w:rPr>
          <w:rtl/>
        </w:rPr>
        <w:t xml:space="preserve"> ، </w:t>
      </w:r>
      <w:r w:rsidR="0056049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FD53CE">
        <w:rPr>
          <w:rtl/>
        </w:rPr>
        <w:lastRenderedPageBreak/>
        <w:t>3840</w:t>
      </w:r>
      <w:r w:rsidRPr="00246318">
        <w:rPr>
          <w:rStyle w:val="libBold2Char"/>
          <w:rtl/>
        </w:rPr>
        <w:t xml:space="preserve"> / 3.</w:t>
      </w:r>
      <w:r w:rsidRPr="005D642E">
        <w:rPr>
          <w:rtl/>
          <w:lang w:bidi="fa-IR"/>
        </w:rPr>
        <w:t xml:space="preserve"> أَبُو دَاوُدَ </w:t>
      </w:r>
      <w:r w:rsidRPr="007C12DB">
        <w:rPr>
          <w:rStyle w:val="libFootnotenumChar"/>
          <w:rtl/>
        </w:rPr>
        <w:t>(1)</w:t>
      </w:r>
      <w:r w:rsidRPr="005D642E">
        <w:rPr>
          <w:rtl/>
          <w:lang w:bidi="fa-IR"/>
        </w:rPr>
        <w:t xml:space="preserve"> ، عَنِ الْحُسَيْنِ بْنِ سَعِيدٍ ، عَنْ أَخِيهِ الْحَسَنِ ، عَنْ زُرْعَةَ ، عَنْ سَمَاعَةَ ، قَالَ :</w:t>
      </w:r>
    </w:p>
    <w:p w:rsidR="00E3253D" w:rsidRPr="005D642E" w:rsidRDefault="00E3253D" w:rsidP="00E3253D">
      <w:pPr>
        <w:pStyle w:val="libNormal"/>
        <w:rPr>
          <w:rtl/>
          <w:lang w:bidi="fa-IR"/>
        </w:rPr>
      </w:pPr>
      <w:r w:rsidRPr="005D642E">
        <w:rPr>
          <w:rtl/>
          <w:lang w:bidi="fa-IR"/>
        </w:rPr>
        <w:t>سَأَلْتُهُ : هَلْ يُشْرَبُ سُؤْرُ شَيْ‌ءٍ مِنَ الدَّوَابِّ ، وَيُتَوَضَّأُ مِنْهُ</w:t>
      </w:r>
      <w:r>
        <w:rPr>
          <w:rtl/>
          <w:lang w:bidi="fa-IR"/>
        </w:rPr>
        <w:t>؟</w:t>
      </w:r>
    </w:p>
    <w:p w:rsidR="00E3253D" w:rsidRPr="005D642E" w:rsidRDefault="00E3253D" w:rsidP="00E3253D">
      <w:pPr>
        <w:pStyle w:val="libNormal"/>
        <w:rPr>
          <w:rtl/>
          <w:lang w:bidi="fa-IR"/>
        </w:rPr>
      </w:pPr>
      <w:r w:rsidRPr="005D642E">
        <w:rPr>
          <w:rtl/>
          <w:lang w:bidi="fa-IR"/>
        </w:rPr>
        <w:t xml:space="preserve">قَالَ : فَقَالَ </w:t>
      </w:r>
      <w:r w:rsidRPr="007C12DB">
        <w:rPr>
          <w:rStyle w:val="libFootnotenumChar"/>
          <w:rtl/>
        </w:rPr>
        <w:t>(2)</w:t>
      </w:r>
      <w:r w:rsidRPr="005D642E">
        <w:rPr>
          <w:rtl/>
          <w:lang w:bidi="fa-IR"/>
        </w:rPr>
        <w:t xml:space="preserve"> : « أَمَّا الْإِبِلُ وَالْبَقَرُ وَالْغَنَمُ </w:t>
      </w:r>
      <w:r w:rsidRPr="007C12DB">
        <w:rPr>
          <w:rStyle w:val="libFootnotenumChar"/>
          <w:rtl/>
        </w:rPr>
        <w:t>(3)</w:t>
      </w:r>
      <w:r w:rsidRPr="005D642E">
        <w:rPr>
          <w:rtl/>
          <w:lang w:bidi="fa-IR"/>
        </w:rPr>
        <w:t xml:space="preserve"> ، فَلَا بَأْسَ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F814ED" w:rsidP="00E3253D">
      <w:pPr>
        <w:pStyle w:val="libFootnote0"/>
        <w:rPr>
          <w:rtl/>
          <w:lang w:bidi="fa-IR"/>
        </w:rPr>
      </w:pPr>
      <w:r>
        <w:rPr>
          <w:rFonts w:hint="cs"/>
          <w:rtl/>
        </w:rPr>
        <w:t xml:space="preserve">= </w:t>
      </w:r>
      <w:r w:rsidR="00E3253D" w:rsidRPr="005D642E">
        <w:rPr>
          <w:rtl/>
        </w:rPr>
        <w:t>ج 1 ، ص 230 ، ح 589.</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w:t>
      </w:r>
      <w:r w:rsidR="00E3253D" w:rsidRPr="002F4D34">
        <w:rPr>
          <w:rStyle w:val="libFootnoteBoldChar"/>
          <w:rtl/>
        </w:rPr>
        <w:t>مرآة العقول</w:t>
      </w:r>
      <w:r w:rsidR="00E3253D" w:rsidRPr="005D642E">
        <w:rPr>
          <w:rtl/>
        </w:rPr>
        <w:t xml:space="preserve"> ، ج 13 ، ص 36 : « الحديث الثالث موثّق ، وف</w:t>
      </w:r>
      <w:r w:rsidR="003D3339">
        <w:rPr>
          <w:rtl/>
        </w:rPr>
        <w:t>يه شوب إرسال ، قال الوالد العل</w:t>
      </w:r>
      <w:r w:rsidR="003D3339">
        <w:rPr>
          <w:rFonts w:hint="cs"/>
          <w:rtl/>
        </w:rPr>
        <w:t>ّ</w:t>
      </w:r>
      <w:r w:rsidR="003D3339">
        <w:rPr>
          <w:rtl/>
        </w:rPr>
        <w:t>ا</w:t>
      </w:r>
      <w:r w:rsidR="00E3253D" w:rsidRPr="005D642E">
        <w:rPr>
          <w:rtl/>
        </w:rPr>
        <w:t xml:space="preserve">مة </w:t>
      </w:r>
      <w:r w:rsidR="00E3253D" w:rsidRPr="003D3339">
        <w:rPr>
          <w:rStyle w:val="libFootnoteAlaemChar"/>
          <w:rtl/>
        </w:rPr>
        <w:t>رحمه‌الله</w:t>
      </w:r>
      <w:r w:rsidR="00E3253D" w:rsidRPr="005D642E">
        <w:rPr>
          <w:rtl/>
        </w:rPr>
        <w:t xml:space="preserve"> : الظاهر أنّ أباداود هذا هو سليمان المسترقّ ، وكان له كتابه يروي الكليني عن كتابه ويروي عنه بواسطة الصفّار وغيره ، ويروي بواسطتين أيضاً عنه ، ول</w:t>
      </w:r>
      <w:r w:rsidR="000F6745">
        <w:rPr>
          <w:rFonts w:hint="cs"/>
          <w:rtl/>
        </w:rPr>
        <w:t>ـ</w:t>
      </w:r>
      <w:r w:rsidR="00E3253D" w:rsidRPr="005D642E">
        <w:rPr>
          <w:rtl/>
        </w:rPr>
        <w:t>مّا كان الكتاب معلوماً عنه ، يقول : أبو داود ، أي روى ، فالخبر ليس بمرسل. انتهى. وكونه المسترقّ عندي غير معلوم ، ولم يظهر لي من هو إلى الآن ففيه جهالة »</w:t>
      </w:r>
      <w:r w:rsidR="00E3253D">
        <w:rPr>
          <w:rtl/>
        </w:rPr>
        <w:t>.</w:t>
      </w:r>
    </w:p>
    <w:p w:rsidR="00E3253D" w:rsidRPr="005D642E" w:rsidRDefault="00E3253D" w:rsidP="00B60612">
      <w:pPr>
        <w:pStyle w:val="libFootnote0"/>
        <w:rPr>
          <w:rtl/>
          <w:lang w:bidi="fa-IR"/>
        </w:rPr>
      </w:pPr>
      <w:r w:rsidRPr="0095070A">
        <w:rPr>
          <w:rtl/>
        </w:rPr>
        <w:t xml:space="preserve">هذا ، والظاهر أنّ أبا داود هذا من مشايخ الكليني وليس هو سليمان بن سفيان ، فقد روى الكليني عن أبي داود هذا في سبعة عشر مورداً من المجلّد الخامس والسادس خاصّةً وإليك تفصيلها ، ح 3840 </w:t>
      </w:r>
      <w:r>
        <w:rPr>
          <w:rtl/>
        </w:rPr>
        <w:t>و 3</w:t>
      </w:r>
      <w:r w:rsidRPr="0095070A">
        <w:rPr>
          <w:rtl/>
        </w:rPr>
        <w:t xml:space="preserve">894 </w:t>
      </w:r>
      <w:r>
        <w:rPr>
          <w:rtl/>
        </w:rPr>
        <w:t>و 3</w:t>
      </w:r>
      <w:r w:rsidRPr="0095070A">
        <w:rPr>
          <w:rtl/>
        </w:rPr>
        <w:t xml:space="preserve">903 </w:t>
      </w:r>
      <w:r>
        <w:rPr>
          <w:rtl/>
        </w:rPr>
        <w:t>و 3</w:t>
      </w:r>
      <w:r w:rsidRPr="0095070A">
        <w:rPr>
          <w:rtl/>
        </w:rPr>
        <w:t xml:space="preserve">927 </w:t>
      </w:r>
      <w:r>
        <w:rPr>
          <w:rtl/>
        </w:rPr>
        <w:t>و 3</w:t>
      </w:r>
      <w:r w:rsidRPr="0095070A">
        <w:rPr>
          <w:rtl/>
        </w:rPr>
        <w:t xml:space="preserve">964 </w:t>
      </w:r>
      <w:r>
        <w:rPr>
          <w:rtl/>
        </w:rPr>
        <w:t>و 3</w:t>
      </w:r>
      <w:r w:rsidRPr="0095070A">
        <w:rPr>
          <w:rtl/>
        </w:rPr>
        <w:t xml:space="preserve">977 </w:t>
      </w:r>
      <w:r>
        <w:rPr>
          <w:rtl/>
        </w:rPr>
        <w:t>و 4</w:t>
      </w:r>
      <w:r w:rsidRPr="0095070A">
        <w:rPr>
          <w:rtl/>
        </w:rPr>
        <w:t xml:space="preserve">011 </w:t>
      </w:r>
      <w:r>
        <w:rPr>
          <w:rtl/>
        </w:rPr>
        <w:t>و 4</w:t>
      </w:r>
      <w:r w:rsidRPr="0095070A">
        <w:rPr>
          <w:rtl/>
        </w:rPr>
        <w:t xml:space="preserve">042 </w:t>
      </w:r>
      <w:r>
        <w:rPr>
          <w:rtl/>
        </w:rPr>
        <w:t>و 4</w:t>
      </w:r>
      <w:r w:rsidRPr="0095070A">
        <w:rPr>
          <w:rtl/>
        </w:rPr>
        <w:t xml:space="preserve">050 </w:t>
      </w:r>
      <w:r>
        <w:rPr>
          <w:rtl/>
        </w:rPr>
        <w:t>و 4</w:t>
      </w:r>
      <w:r w:rsidRPr="0095070A">
        <w:rPr>
          <w:rtl/>
        </w:rPr>
        <w:t xml:space="preserve">197 </w:t>
      </w:r>
      <w:r>
        <w:rPr>
          <w:rtl/>
        </w:rPr>
        <w:t>و 4</w:t>
      </w:r>
      <w:r w:rsidRPr="0095070A">
        <w:rPr>
          <w:rtl/>
        </w:rPr>
        <w:t xml:space="preserve">203 </w:t>
      </w:r>
      <w:r>
        <w:rPr>
          <w:rtl/>
        </w:rPr>
        <w:t>و 4</w:t>
      </w:r>
      <w:r w:rsidRPr="0095070A">
        <w:rPr>
          <w:rtl/>
        </w:rPr>
        <w:t xml:space="preserve">791 </w:t>
      </w:r>
      <w:r>
        <w:rPr>
          <w:rtl/>
        </w:rPr>
        <w:t>و 4</w:t>
      </w:r>
      <w:r w:rsidRPr="0095070A">
        <w:rPr>
          <w:rtl/>
        </w:rPr>
        <w:t xml:space="preserve">921 </w:t>
      </w:r>
      <w:r>
        <w:rPr>
          <w:rtl/>
        </w:rPr>
        <w:t>و 4</w:t>
      </w:r>
      <w:r w:rsidRPr="0095070A">
        <w:rPr>
          <w:rtl/>
        </w:rPr>
        <w:t xml:space="preserve">941 </w:t>
      </w:r>
      <w:r>
        <w:rPr>
          <w:rtl/>
        </w:rPr>
        <w:t>و 4</w:t>
      </w:r>
      <w:r w:rsidRPr="0095070A">
        <w:rPr>
          <w:rtl/>
        </w:rPr>
        <w:t xml:space="preserve">985 </w:t>
      </w:r>
      <w:r>
        <w:rPr>
          <w:rtl/>
        </w:rPr>
        <w:t>و 4</w:t>
      </w:r>
      <w:r w:rsidRPr="0095070A">
        <w:rPr>
          <w:rtl/>
        </w:rPr>
        <w:t xml:space="preserve">991 </w:t>
      </w:r>
      <w:r>
        <w:rPr>
          <w:rtl/>
        </w:rPr>
        <w:t>و 5</w:t>
      </w:r>
      <w:r w:rsidRPr="0095070A">
        <w:rPr>
          <w:rtl/>
        </w:rPr>
        <w:t>452 ، وروى أبو داود في جميع هذه الموارد عن الحسين بن سعيد ، إلاّ في ح 4991 ، فقد روى هناك عن عليّ بن مهزيار. والحسين بن سعيد وعليّ بن مهزيار يشتركان في بعض المشايخ ، كفضالة بن أيّوب ، وحمّاد بن عيسى ، وابن أبي عمير ، كما يشتركان في بعض رواتهما ، كأحمد بن محمّد بن عيسى.</w:t>
      </w:r>
    </w:p>
    <w:p w:rsidR="00E3253D" w:rsidRPr="005D642E" w:rsidRDefault="00E3253D" w:rsidP="00E3253D">
      <w:pPr>
        <w:pStyle w:val="libFootnote0"/>
        <w:rPr>
          <w:rtl/>
          <w:lang w:bidi="fa-IR"/>
        </w:rPr>
      </w:pPr>
      <w:r w:rsidRPr="00B60612">
        <w:rPr>
          <w:rtl/>
        </w:rPr>
        <w:t xml:space="preserve">هذا ، ولم نجد في شي‌ءٍ من أسناد </w:t>
      </w:r>
      <w:r w:rsidRPr="002F4D34">
        <w:rPr>
          <w:rStyle w:val="libFootnoteBoldChar"/>
          <w:rtl/>
        </w:rPr>
        <w:t>الكافي</w:t>
      </w:r>
      <w:r w:rsidRPr="00B60612">
        <w:rPr>
          <w:rtl/>
        </w:rPr>
        <w:t xml:space="preserve"> ولاغيرها رواية سليمان بن سفيان </w:t>
      </w:r>
      <w:r w:rsidR="007642BC" w:rsidRPr="00B60612">
        <w:rPr>
          <w:rtl/>
        </w:rPr>
        <w:t>-</w:t>
      </w:r>
      <w:r w:rsidRPr="00B60612">
        <w:rPr>
          <w:rtl/>
        </w:rPr>
        <w:t xml:space="preserve"> بأيِّ عنوان من عناوينه فُرِض </w:t>
      </w:r>
      <w:r w:rsidR="007642BC" w:rsidRPr="00B60612">
        <w:rPr>
          <w:rtl/>
        </w:rPr>
        <w:t>-</w:t>
      </w:r>
      <w:r w:rsidRPr="00B60612">
        <w:rPr>
          <w:rtl/>
        </w:rPr>
        <w:t xml:space="preserve"> عن الحسين بن سعيد وعليّ بن مهزيار ، كما لم نجد رواية الكليني عنه وقد صُرِّح باسمه أو لقبه.</w:t>
      </w:r>
    </w:p>
    <w:p w:rsidR="00E3253D" w:rsidRPr="005D642E" w:rsidRDefault="00E3253D" w:rsidP="00E3253D">
      <w:pPr>
        <w:pStyle w:val="libFootnote0"/>
        <w:rPr>
          <w:rtl/>
          <w:lang w:bidi="fa-IR"/>
        </w:rPr>
      </w:pPr>
      <w:r w:rsidRPr="00B60612">
        <w:rPr>
          <w:rtl/>
        </w:rPr>
        <w:t xml:space="preserve">والذي يخطر بالبال أنّ أبا داود هذا لقيه الكليني في بعض أسفارها العلميّه أو غير العلميّة وسمع منه بعض أجزاء كتب الحسين بن سعيد في الطهارة والصلاة ؛ وليس هو أبا داود المسترقّ ؛ فقد مات المسترقّ سنة إحدى وثلاثين ومائتين ، كما في </w:t>
      </w:r>
      <w:r w:rsidRPr="002F4D34">
        <w:rPr>
          <w:rStyle w:val="libFootnoteBoldChar"/>
          <w:rtl/>
        </w:rPr>
        <w:t>رجال النجاشي</w:t>
      </w:r>
      <w:r w:rsidRPr="00B60612">
        <w:rPr>
          <w:rtl/>
        </w:rPr>
        <w:t xml:space="preserve"> ، ص 183 ، الرقم 485 ، وقد توفيّ الكليني قريباً من مائة عام بعده.</w:t>
      </w:r>
    </w:p>
    <w:p w:rsidR="00E3253D" w:rsidRPr="005D642E" w:rsidRDefault="00E3253D" w:rsidP="00B60612">
      <w:pPr>
        <w:pStyle w:val="libFootnote0"/>
        <w:rPr>
          <w:rtl/>
          <w:lang w:bidi="fa-IR"/>
        </w:rPr>
      </w:pPr>
      <w:r w:rsidRPr="0095070A">
        <w:rPr>
          <w:rtl/>
        </w:rPr>
        <w:t xml:space="preserve">ثمّ إنّ الكليني روى عن أبي داود هذا في نوعين من الأسناد ؛ أسناد سازجة وقع أبو داود في صدرها ، وهي نفس سندنا هذا وما ورد في ح 4042 </w:t>
      </w:r>
      <w:r>
        <w:rPr>
          <w:rtl/>
        </w:rPr>
        <w:t>و 4</w:t>
      </w:r>
      <w:r w:rsidRPr="0095070A">
        <w:rPr>
          <w:rtl/>
        </w:rPr>
        <w:t xml:space="preserve">050 </w:t>
      </w:r>
      <w:r>
        <w:rPr>
          <w:rtl/>
        </w:rPr>
        <w:t>و 4</w:t>
      </w:r>
      <w:r w:rsidRPr="0095070A">
        <w:rPr>
          <w:rtl/>
        </w:rPr>
        <w:t xml:space="preserve">791 </w:t>
      </w:r>
      <w:r>
        <w:rPr>
          <w:rtl/>
        </w:rPr>
        <w:t>و 4</w:t>
      </w:r>
      <w:r w:rsidRPr="0095070A">
        <w:rPr>
          <w:rtl/>
        </w:rPr>
        <w:t xml:space="preserve">941 </w:t>
      </w:r>
      <w:r>
        <w:rPr>
          <w:rtl/>
        </w:rPr>
        <w:t>و 4</w:t>
      </w:r>
      <w:r w:rsidRPr="0095070A">
        <w:rPr>
          <w:rtl/>
        </w:rPr>
        <w:t>991. وأسناد تحويليّة يروي فيها الكليني عن الحسين بن سعيد بطريقين ، أحدهما : عدّة من أصحابنا عن أحمد بن محمّد [ بن عيسى ] ؛ والآخر : « أبو داود » ، وقد وقع في بعض هذه الأسناد خلل أشرنا إليها في مواضعها ، فلاحظ.</w:t>
      </w:r>
    </w:p>
    <w:p w:rsidR="00E3253D" w:rsidRPr="005D642E" w:rsidRDefault="0042621E" w:rsidP="000F6745">
      <w:pPr>
        <w:pStyle w:val="libFootnote0"/>
        <w:rPr>
          <w:rtl/>
          <w:lang w:bidi="fa-IR"/>
        </w:rPr>
      </w:pPr>
      <w:r w:rsidRPr="0042621E">
        <w:rPr>
          <w:rStyle w:val="libFootnote0Char"/>
          <w:rtl/>
        </w:rPr>
        <w:t>(2).</w:t>
      </w:r>
      <w:r w:rsidR="00E3253D" w:rsidRPr="005D642E">
        <w:rPr>
          <w:rtl/>
        </w:rPr>
        <w:t xml:space="preserve"> في « ت ، غ ، بح ، بس ، جح ، جس » : « قال » بدل « فقال »</w:t>
      </w:r>
      <w:r w:rsidR="00E3253D">
        <w:rPr>
          <w:rtl/>
        </w:rPr>
        <w:t>.</w:t>
      </w:r>
      <w:r w:rsidR="00E3253D" w:rsidRPr="005D642E">
        <w:rPr>
          <w:rtl/>
        </w:rPr>
        <w:t xml:space="preserve"> وفي « ى » :</w:t>
      </w:r>
      <w:r w:rsidR="00E3253D">
        <w:rPr>
          <w:rtl/>
        </w:rPr>
        <w:t xml:space="preserve"> </w:t>
      </w:r>
      <w:r w:rsidR="007642BC">
        <w:rPr>
          <w:rtl/>
        </w:rPr>
        <w:t>-</w:t>
      </w:r>
      <w:r w:rsidR="00E3253D">
        <w:rPr>
          <w:rtl/>
        </w:rPr>
        <w:t xml:space="preserve"> </w:t>
      </w:r>
      <w:r w:rsidR="00E3253D" w:rsidRPr="005D642E">
        <w:rPr>
          <w:rtl/>
        </w:rPr>
        <w:t>« قال »</w:t>
      </w:r>
      <w:r w:rsidR="00E3253D">
        <w:rPr>
          <w:rtl/>
        </w:rPr>
        <w:t>.</w:t>
      </w:r>
      <w:r w:rsidR="00E3253D" w:rsidRPr="005D642E">
        <w:rPr>
          <w:rtl/>
        </w:rPr>
        <w:t xml:space="preserve"> وفي الوسائل </w:t>
      </w:r>
      <w:r w:rsidR="00B60612" w:rsidRPr="00B60612">
        <w:rPr>
          <w:rStyle w:val="libFootnoteBoldChar"/>
          <w:rtl/>
        </w:rPr>
        <w:t>والتهذيب</w:t>
      </w:r>
      <w:r w:rsidR="00E3253D" w:rsidRPr="005D642E">
        <w:rPr>
          <w:rtl/>
        </w:rPr>
        <w:t xml:space="preserve"> ، ح 656 :</w:t>
      </w:r>
      <w:r w:rsidR="00E3253D">
        <w:rPr>
          <w:rtl/>
        </w:rPr>
        <w:t xml:space="preserve"> </w:t>
      </w:r>
      <w:r w:rsidR="007642BC">
        <w:rPr>
          <w:rtl/>
        </w:rPr>
        <w:t>-</w:t>
      </w:r>
      <w:r w:rsidR="00E3253D">
        <w:rPr>
          <w:rtl/>
        </w:rPr>
        <w:t xml:space="preserve"> </w:t>
      </w:r>
      <w:r w:rsidR="00E3253D" w:rsidRPr="005D642E">
        <w:rPr>
          <w:rtl/>
        </w:rPr>
        <w:t>« فقال »</w:t>
      </w:r>
      <w:r w:rsidR="00E3253D">
        <w:rPr>
          <w:rtl/>
        </w:rPr>
        <w:t>.</w:t>
      </w:r>
      <w:r w:rsidR="000F6745">
        <w:rPr>
          <w:rFonts w:hint="cs"/>
          <w:rtl/>
        </w:rPr>
        <w:t xml:space="preserve">                            </w:t>
      </w:r>
      <w:r w:rsidR="00586320">
        <w:rPr>
          <w:rFonts w:hint="cs"/>
          <w:rtl/>
        </w:rPr>
        <w:t xml:space="preserve">  </w:t>
      </w:r>
      <w:r w:rsidRPr="0042621E">
        <w:rPr>
          <w:rStyle w:val="libFootnote0Char"/>
          <w:rtl/>
        </w:rPr>
        <w:t>(3).</w:t>
      </w:r>
      <w:r w:rsidR="00E3253D" w:rsidRPr="005D642E">
        <w:rPr>
          <w:rtl/>
        </w:rPr>
        <w:t xml:space="preserve"> في التهذيب ، ح 656 :</w:t>
      </w:r>
      <w:r w:rsidR="00E3253D">
        <w:rPr>
          <w:rtl/>
        </w:rPr>
        <w:t xml:space="preserve"> </w:t>
      </w:r>
      <w:r w:rsidR="007642BC">
        <w:rPr>
          <w:rtl/>
        </w:rPr>
        <w:t>-</w:t>
      </w:r>
      <w:r w:rsidR="00E3253D">
        <w:rPr>
          <w:rtl/>
        </w:rPr>
        <w:t xml:space="preserve"> </w:t>
      </w:r>
      <w:r w:rsidR="00E3253D" w:rsidRPr="005D642E">
        <w:rPr>
          <w:rtl/>
        </w:rPr>
        <w:t>« والغنم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227 ، ح 656 ، بسنده عن الكليني. </w:t>
      </w:r>
      <w:r w:rsidR="00E3253D" w:rsidRPr="002F4D34">
        <w:rPr>
          <w:rStyle w:val="libFootnoteBoldChar"/>
          <w:rtl/>
        </w:rPr>
        <w:t>وفيه</w:t>
      </w:r>
      <w:r w:rsidR="00E3253D" w:rsidRPr="005D642E">
        <w:rPr>
          <w:rtl/>
        </w:rPr>
        <w:t xml:space="preserve"> ، ح 657 ، مع اختلاف يسير ؛ </w:t>
      </w:r>
      <w:r w:rsidR="00E3253D" w:rsidRPr="002F4D34">
        <w:rPr>
          <w:rStyle w:val="libFootnoteBoldChar"/>
          <w:rtl/>
        </w:rPr>
        <w:t>الاستبصار</w:t>
      </w:r>
      <w:r w:rsidR="00E3253D" w:rsidRPr="005D642E">
        <w:rPr>
          <w:rtl/>
        </w:rPr>
        <w:t xml:space="preserve"> ، ج 1 ، </w:t>
      </w:r>
      <w:r w:rsidR="00586320">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FD53CE">
        <w:rPr>
          <w:rtl/>
        </w:rPr>
        <w:lastRenderedPageBreak/>
        <w:t>3841</w:t>
      </w:r>
      <w:r w:rsidRPr="00246318">
        <w:rPr>
          <w:rStyle w:val="libBold2Char"/>
          <w:rtl/>
        </w:rPr>
        <w:t xml:space="preserve"> / 4.</w:t>
      </w:r>
      <w:r w:rsidRPr="005D642E">
        <w:rPr>
          <w:rtl/>
          <w:lang w:bidi="fa-IR"/>
        </w:rPr>
        <w:t xml:space="preserve"> عَلِيُّ بْنُ إِبْرَاهِيمَ ، عَنْ أَبِيهِ ، عَنِ ابْنِ أَبِي عُمَيْرٍ ، عَنْ عُمَرَ ب</w:t>
      </w:r>
      <w:r w:rsidR="001304D5">
        <w:rPr>
          <w:rtl/>
          <w:lang w:bidi="fa-IR"/>
        </w:rPr>
        <w:t>ْنِ أُذَيْنَةَ ، عَنْ زُرَارَةَ</w:t>
      </w:r>
      <w:r w:rsidRPr="005D642E">
        <w:rPr>
          <w:rtl/>
          <w:lang w:bidi="fa-IR"/>
        </w:rPr>
        <w:t>:</w:t>
      </w:r>
    </w:p>
    <w:p w:rsidR="00E3253D" w:rsidRPr="005D642E" w:rsidRDefault="00E3253D" w:rsidP="001304D5">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فِي كِتَابِ عَلِيٍّ </w:t>
      </w:r>
      <w:r w:rsidRPr="00AC51C5">
        <w:rPr>
          <w:rStyle w:val="libAlaemChar"/>
          <w:rtl/>
        </w:rPr>
        <w:t>عليه‌السلام</w:t>
      </w:r>
      <w:r w:rsidRPr="005D642E">
        <w:rPr>
          <w:rtl/>
          <w:lang w:bidi="fa-IR"/>
        </w:rPr>
        <w:t xml:space="preserve"> : أَنَّ الْهِرَّ سَبُعٌ ؛ فَلَا بَأْسَ </w:t>
      </w:r>
      <w:r w:rsidRPr="007C12DB">
        <w:rPr>
          <w:rStyle w:val="libFootnotenumChar"/>
          <w:rtl/>
        </w:rPr>
        <w:t>(1)</w:t>
      </w:r>
      <w:r w:rsidRPr="005D642E">
        <w:rPr>
          <w:rtl/>
          <w:lang w:bidi="fa-IR"/>
        </w:rPr>
        <w:t xml:space="preserve"> بِسُؤْرِهِ ، وَإِنِّي </w:t>
      </w:r>
      <w:r w:rsidRPr="007C12DB">
        <w:rPr>
          <w:rStyle w:val="libFootnotenumChar"/>
          <w:rtl/>
        </w:rPr>
        <w:t>(2)</w:t>
      </w:r>
      <w:r w:rsidRPr="005D642E">
        <w:rPr>
          <w:rtl/>
          <w:lang w:bidi="fa-IR"/>
        </w:rPr>
        <w:t xml:space="preserve"> لَأَسْتَحْيِي مِنَ اللهِ أَنْ أَدَعَ طَعَاماً لِأَنَّ هِرّاً </w:t>
      </w:r>
      <w:r w:rsidRPr="007C12DB">
        <w:rPr>
          <w:rStyle w:val="libFootnotenumChar"/>
          <w:rtl/>
        </w:rPr>
        <w:t>(3)</w:t>
      </w:r>
      <w:r w:rsidRPr="005D642E">
        <w:rPr>
          <w:rtl/>
          <w:lang w:bidi="fa-IR"/>
        </w:rPr>
        <w:t xml:space="preserve"> أَكَلَ مِنْهُ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FD53CE">
        <w:rPr>
          <w:rtl/>
        </w:rPr>
        <w:t>3842</w:t>
      </w:r>
      <w:r w:rsidRPr="00246318">
        <w:rPr>
          <w:rStyle w:val="libBold2Char"/>
          <w:rtl/>
        </w:rPr>
        <w:t xml:space="preserve"> / 5.</w:t>
      </w:r>
      <w:r w:rsidRPr="005D642E">
        <w:rPr>
          <w:rtl/>
          <w:lang w:bidi="fa-IR"/>
        </w:rPr>
        <w:t xml:space="preserve"> أَحْمَدُ بْنُ إِدْرِيسَ وَمُحَمَّدُ بْنُ يَحْيى ، عَنْ مُحَمَّدِ بْنِ أَحْمَدَ </w:t>
      </w:r>
      <w:r w:rsidRPr="007C12DB">
        <w:rPr>
          <w:rStyle w:val="libFootnotenumChar"/>
          <w:rtl/>
        </w:rPr>
        <w:t>(5)</w:t>
      </w:r>
      <w:r w:rsidRPr="005D642E">
        <w:rPr>
          <w:rtl/>
          <w:lang w:bidi="fa-IR"/>
        </w:rPr>
        <w:t xml:space="preserve"> ، عَنْ أَحْمَدَ بْنِ الْحَسَنِ </w:t>
      </w:r>
      <w:r w:rsidRPr="007C12DB">
        <w:rPr>
          <w:rStyle w:val="libFootnotenumChar"/>
          <w:rtl/>
        </w:rPr>
        <w:t>(6)</w:t>
      </w:r>
      <w:r w:rsidRPr="005D642E">
        <w:rPr>
          <w:rtl/>
          <w:lang w:bidi="fa-IR"/>
        </w:rPr>
        <w:t xml:space="preserve"> ، عَنْ عَمْرِو بْنِ سَعِيدٍ ، عَنْ مُصَدِّقِ بْنِ صَدَقَةَ ، عَنْ عَمَّارِ بْنِ مُوسى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عَمَّا تَشْرَبُ </w:t>
      </w:r>
      <w:r w:rsidRPr="007C12DB">
        <w:rPr>
          <w:rStyle w:val="libFootnotenumChar"/>
          <w:rtl/>
        </w:rPr>
        <w:t>(8)</w:t>
      </w:r>
      <w:r w:rsidRPr="005D642E">
        <w:rPr>
          <w:rtl/>
          <w:lang w:bidi="fa-IR"/>
        </w:rPr>
        <w:t xml:space="preserve"> مِنْهُ الْحَمَامَةُ </w:t>
      </w:r>
      <w:r w:rsidRPr="007C12DB">
        <w:rPr>
          <w:rStyle w:val="libFootnotenumChar"/>
          <w:rtl/>
        </w:rPr>
        <w:t>(9)</w:t>
      </w:r>
      <w:r w:rsidRPr="005D642E">
        <w:rPr>
          <w:rtl/>
          <w:lang w:bidi="fa-IR"/>
        </w:rPr>
        <w:t xml:space="preserve"> ، فَقَالَ : « كُلُّ مَا أُكِلَ‌</w:t>
      </w:r>
      <w:r>
        <w:rPr>
          <w:rFonts w:hint="cs"/>
          <w:rtl/>
          <w:lang w:bidi="fa-IR"/>
        </w:rPr>
        <w:t xml:space="preserve"> </w:t>
      </w:r>
      <w:r w:rsidRPr="005D642E">
        <w:rPr>
          <w:rtl/>
          <w:lang w:bidi="fa-IR"/>
        </w:rPr>
        <w:t xml:space="preserve">لَحْمُهُ ، فَتَوَضَّأْ </w:t>
      </w:r>
      <w:r w:rsidRPr="007C12DB">
        <w:rPr>
          <w:rStyle w:val="libFootnotenumChar"/>
          <w:rtl/>
        </w:rPr>
        <w:t>(10)</w:t>
      </w:r>
      <w:r w:rsidRPr="005D642E">
        <w:rPr>
          <w:rtl/>
          <w:lang w:bidi="fa-IR"/>
        </w:rPr>
        <w:t xml:space="preserve"> مِنْ سُؤْرِهِ وَاشْرَبْ » وَعَمَّا شَرِبَ </w:t>
      </w:r>
      <w:r w:rsidRPr="007C12DB">
        <w:rPr>
          <w:rStyle w:val="libFootnotenumChar"/>
          <w:rtl/>
        </w:rPr>
        <w:t>(11)</w:t>
      </w:r>
      <w:r w:rsidRPr="005D642E">
        <w:rPr>
          <w:rtl/>
          <w:lang w:bidi="fa-IR"/>
        </w:rPr>
        <w:t xml:space="preserve"> مِنْهُ بَازٌ ، أَوْ صَقْرٌ ، أَوْ عُقَابٌ </w:t>
      </w:r>
      <w:r w:rsidRPr="007C12DB">
        <w:rPr>
          <w:rStyle w:val="libFootnotenumChar"/>
          <w:rtl/>
        </w:rPr>
        <w:t>(12)</w:t>
      </w:r>
      <w:r w:rsidRPr="005D642E">
        <w:rPr>
          <w:rtl/>
          <w:lang w:bidi="fa-IR"/>
        </w:rPr>
        <w:t xml:space="preserve"> ، فَقَالَ :</w:t>
      </w:r>
    </w:p>
    <w:p w:rsidR="00E3253D" w:rsidRPr="005D642E" w:rsidRDefault="00E3253D" w:rsidP="00E3253D">
      <w:pPr>
        <w:pStyle w:val="libLine"/>
        <w:rPr>
          <w:rtl/>
          <w:lang w:bidi="fa-IR"/>
        </w:rPr>
      </w:pPr>
      <w:r w:rsidRPr="005D642E">
        <w:rPr>
          <w:rtl/>
          <w:lang w:bidi="fa-IR"/>
        </w:rPr>
        <w:t>__________________</w:t>
      </w:r>
    </w:p>
    <w:p w:rsidR="00E3253D" w:rsidRPr="005D642E" w:rsidRDefault="001F5653" w:rsidP="00E3253D">
      <w:pPr>
        <w:pStyle w:val="libFootnote0"/>
        <w:rPr>
          <w:rtl/>
          <w:lang w:bidi="fa-IR"/>
        </w:rPr>
      </w:pPr>
      <w:r>
        <w:rPr>
          <w:rFonts w:hint="cs"/>
          <w:rtl/>
        </w:rPr>
        <w:t xml:space="preserve">= </w:t>
      </w:r>
      <w:r w:rsidR="00E3253D" w:rsidRPr="005D642E">
        <w:rPr>
          <w:rtl/>
        </w:rPr>
        <w:t xml:space="preserve">ص 19 ، ح 41 ، مع زيادة في أوّله وآخره ، وفيهما بسند آخر عن أبي عبدالله </w:t>
      </w:r>
      <w:r w:rsidR="00E3253D" w:rsidRPr="009D688B">
        <w:rPr>
          <w:rStyle w:val="libFootnoteAlaemChar"/>
          <w:rtl/>
        </w:rPr>
        <w:t>عليه‌السلام</w:t>
      </w:r>
      <w:r w:rsidR="00E3253D" w:rsidRPr="005D642E">
        <w:rPr>
          <w:rtl/>
        </w:rPr>
        <w:t xml:space="preserve">. وفي </w:t>
      </w:r>
      <w:r w:rsidR="00E3253D" w:rsidRPr="002F4D34">
        <w:rPr>
          <w:rStyle w:val="libFootnoteBoldChar"/>
          <w:rtl/>
        </w:rPr>
        <w:t>قرب الإسناد</w:t>
      </w:r>
      <w:r w:rsidR="00E3253D" w:rsidRPr="005D642E">
        <w:rPr>
          <w:rtl/>
        </w:rPr>
        <w:t xml:space="preserve"> ، ص 179 ، ح 660 ؛ و</w:t>
      </w:r>
      <w:r w:rsidR="00E3253D" w:rsidRPr="002F4D34">
        <w:rPr>
          <w:rStyle w:val="libFootnoteBoldChar"/>
          <w:rtl/>
        </w:rPr>
        <w:t>مسائل عليّ بن جعفر</w:t>
      </w:r>
      <w:r w:rsidR="00E3253D" w:rsidRPr="005D642E">
        <w:rPr>
          <w:rtl/>
        </w:rPr>
        <w:t xml:space="preserve"> ، ص 191 </w:t>
      </w:r>
      <w:r w:rsidR="00E3253D">
        <w:rPr>
          <w:rtl/>
        </w:rPr>
        <w:t>و 1</w:t>
      </w:r>
      <w:r w:rsidR="00E3253D" w:rsidRPr="005D642E">
        <w:rPr>
          <w:rtl/>
        </w:rPr>
        <w:t xml:space="preserve">92 ، عن موسى‌بن جعفر </w:t>
      </w:r>
      <w:r w:rsidR="00E3253D" w:rsidRPr="009D688B">
        <w:rPr>
          <w:rStyle w:val="libFootnoteAlaemChar"/>
          <w:rtl/>
        </w:rPr>
        <w:t>عليهما‌السلام</w:t>
      </w:r>
      <w:r w:rsidR="00E3253D" w:rsidRPr="005D642E">
        <w:rPr>
          <w:rtl/>
        </w:rPr>
        <w:t xml:space="preserve"> ، وفي الأربعة الأخيرة مع اختلاف </w:t>
      </w:r>
      <w:r w:rsidR="009D688B">
        <w:rPr>
          <w:rFonts w:hint="cs"/>
          <w:rtl/>
        </w:rPr>
        <w:t>.</w:t>
      </w:r>
      <w:r w:rsidR="00E3253D" w:rsidRPr="002F4D34">
        <w:rPr>
          <w:rStyle w:val="libFootnoteBoldChar"/>
          <w:rtl/>
        </w:rPr>
        <w:t>الوافي</w:t>
      </w:r>
      <w:r w:rsidR="00E3253D" w:rsidRPr="005D642E">
        <w:rPr>
          <w:rtl/>
        </w:rPr>
        <w:t xml:space="preserve"> ، ج 6 ، ص 72 ، ح 3789 ؛ </w:t>
      </w:r>
      <w:r w:rsidR="00E3253D" w:rsidRPr="002F4D34">
        <w:rPr>
          <w:rStyle w:val="libFootnoteBoldChar"/>
          <w:rtl/>
        </w:rPr>
        <w:t>الوسائل</w:t>
      </w:r>
      <w:r w:rsidR="00E3253D" w:rsidRPr="005D642E">
        <w:rPr>
          <w:rtl/>
        </w:rPr>
        <w:t xml:space="preserve"> ، ج 1 ، ص 232 ، ح 595.</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بف » وحاشية « ى » </w:t>
      </w:r>
      <w:r w:rsidR="00B60612" w:rsidRPr="00B60612">
        <w:rPr>
          <w:rStyle w:val="libFootnoteBoldChar"/>
          <w:rtl/>
        </w:rPr>
        <w:t>والتهذيب</w:t>
      </w:r>
      <w:r w:rsidR="00E3253D" w:rsidRPr="005D642E">
        <w:rPr>
          <w:rtl/>
        </w:rPr>
        <w:t xml:space="preserve"> : « ولا بأس » بدل « فلا بأس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9D688B">
        <w:rPr>
          <w:rStyle w:val="libFootnoteAlaemChar"/>
          <w:rtl/>
        </w:rPr>
        <w:t>عليه‌السلام</w:t>
      </w:r>
      <w:r w:rsidR="00E3253D" w:rsidRPr="005D642E">
        <w:rPr>
          <w:rtl/>
        </w:rPr>
        <w:t xml:space="preserve"> </w:t>
      </w:r>
      <w:r w:rsidR="009D688B">
        <w:rPr>
          <w:rtl/>
        </w:rPr>
        <w:t>: سبع ، أي ليس‌فيه إل</w:t>
      </w:r>
      <w:r w:rsidR="009D688B">
        <w:rPr>
          <w:rFonts w:hint="cs"/>
          <w:rtl/>
        </w:rPr>
        <w:t>ّ</w:t>
      </w:r>
      <w:r w:rsidR="009D688B">
        <w:rPr>
          <w:rtl/>
        </w:rPr>
        <w:t>ا</w:t>
      </w:r>
      <w:r w:rsidR="00E3253D">
        <w:rPr>
          <w:rFonts w:hint="cs"/>
          <w:rtl/>
        </w:rPr>
        <w:t xml:space="preserve"> </w:t>
      </w:r>
      <w:r w:rsidR="00E3253D" w:rsidRPr="005D642E">
        <w:rPr>
          <w:rtl/>
        </w:rPr>
        <w:t>السبعيّة ، وهي لا تصير سبباً للنجاسة ما لم ينضمّ إليها خصوصيّة ا</w:t>
      </w:r>
      <w:r w:rsidR="00C32F47">
        <w:rPr>
          <w:rFonts w:hint="cs"/>
          <w:rtl/>
        </w:rPr>
        <w:t>ُ</w:t>
      </w:r>
      <w:r w:rsidR="00E3253D" w:rsidRPr="005D642E">
        <w:rPr>
          <w:rtl/>
        </w:rPr>
        <w:t>خرى ، كما في الكلب والخنزير. وفي بعض النسخ : ولا بأس ، بالواو فالمعنى أنّه مع كونه سبعاً طاهر »</w:t>
      </w:r>
      <w:r w:rsidR="00E3253D">
        <w:rPr>
          <w:rtl/>
        </w:rPr>
        <w:t>.</w:t>
      </w:r>
    </w:p>
    <w:p w:rsidR="00E3253D" w:rsidRPr="005D642E" w:rsidRDefault="0042621E" w:rsidP="00C32F47">
      <w:pPr>
        <w:pStyle w:val="libFootnote0"/>
        <w:rPr>
          <w:rtl/>
          <w:lang w:bidi="fa-IR"/>
        </w:rPr>
      </w:pPr>
      <w:r w:rsidRPr="0042621E">
        <w:rPr>
          <w:rStyle w:val="libFootnote0Char"/>
          <w:rtl/>
        </w:rPr>
        <w:t>(2).</w:t>
      </w:r>
      <w:r w:rsidR="00E3253D" w:rsidRPr="005D642E">
        <w:rPr>
          <w:rtl/>
        </w:rPr>
        <w:t xml:space="preserve"> في « جس » : « فإنّي »</w:t>
      </w:r>
      <w:r w:rsidR="00E3253D">
        <w:rPr>
          <w:rtl/>
        </w:rPr>
        <w:t>.</w:t>
      </w:r>
      <w:r w:rsidR="00E3253D" w:rsidRPr="005D642E">
        <w:rPr>
          <w:rtl/>
        </w:rPr>
        <w:t xml:space="preserve"> وفي حاشية « بح » : « وإنّه »</w:t>
      </w:r>
      <w:r w:rsidR="00E3253D">
        <w:rPr>
          <w:rtl/>
        </w:rPr>
        <w:t>.</w:t>
      </w:r>
      <w:r w:rsidR="00E3253D" w:rsidRPr="005D642E">
        <w:rPr>
          <w:rtl/>
        </w:rPr>
        <w:t xml:space="preserve"> وفي « ى ، جس ، جن » </w:t>
      </w:r>
      <w:r w:rsidR="00B60612" w:rsidRPr="00B60612">
        <w:rPr>
          <w:rStyle w:val="libFootnoteBoldChar"/>
          <w:rtl/>
        </w:rPr>
        <w:t>والتهذيب</w:t>
      </w:r>
      <w:r w:rsidR="00E3253D" w:rsidRPr="005D642E">
        <w:rPr>
          <w:rtl/>
        </w:rPr>
        <w:t xml:space="preserve"> : « لأستحي » بدل « لأستحيي »</w:t>
      </w:r>
      <w:r w:rsidR="00E3253D">
        <w:rPr>
          <w:rtl/>
        </w:rPr>
        <w:t>.</w:t>
      </w:r>
      <w:r w:rsidR="00C32F47">
        <w:rPr>
          <w:rFonts w:hint="cs"/>
          <w:rtl/>
        </w:rPr>
        <w:t xml:space="preserve">                                </w:t>
      </w:r>
      <w:r w:rsidR="00152F8C">
        <w:rPr>
          <w:rFonts w:hint="cs"/>
          <w:rtl/>
        </w:rPr>
        <w:t xml:space="preserve"> </w:t>
      </w:r>
      <w:r w:rsidRPr="0042621E">
        <w:rPr>
          <w:rStyle w:val="libFootnote0Char"/>
          <w:rtl/>
        </w:rPr>
        <w:t>(3).</w:t>
      </w:r>
      <w:r w:rsidR="00E3253D" w:rsidRPr="005D642E">
        <w:rPr>
          <w:rtl/>
        </w:rPr>
        <w:t xml:space="preserve"> في « بث » : « هذا »</w:t>
      </w:r>
      <w:r w:rsidR="00E3253D">
        <w:rPr>
          <w:rtl/>
        </w:rPr>
        <w:t>.</w:t>
      </w:r>
      <w:r w:rsidR="00E3253D" w:rsidRPr="005D642E">
        <w:rPr>
          <w:rtl/>
        </w:rPr>
        <w:t xml:space="preserve"> وفي التهذيب : « الهرّ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227 ، ح 655 ، بسنده عن ابن أبي عمير. راجع : </w:t>
      </w:r>
      <w:r w:rsidR="00E3253D" w:rsidRPr="002F4D34">
        <w:rPr>
          <w:rStyle w:val="libFootnoteBoldChar"/>
          <w:rtl/>
        </w:rPr>
        <w:t>الجعفريّات</w:t>
      </w:r>
      <w:r w:rsidR="00E3253D" w:rsidRPr="005D642E">
        <w:rPr>
          <w:rtl/>
        </w:rPr>
        <w:t xml:space="preserve"> ، ص 13 </w:t>
      </w:r>
      <w:r w:rsidR="00152F8C">
        <w:rPr>
          <w:rFonts w:hint="cs"/>
          <w:rtl/>
        </w:rPr>
        <w:t>.</w:t>
      </w:r>
      <w:r w:rsidR="00E3253D" w:rsidRPr="002F4D34">
        <w:rPr>
          <w:rStyle w:val="libFootnoteBoldChar"/>
          <w:rtl/>
        </w:rPr>
        <w:t>الوافي</w:t>
      </w:r>
      <w:r w:rsidR="00E3253D" w:rsidRPr="005D642E">
        <w:rPr>
          <w:rtl/>
        </w:rPr>
        <w:t xml:space="preserve"> ، ج 19 ، ص 121 ، ح 19056 ؛ </w:t>
      </w:r>
      <w:r w:rsidR="00E3253D" w:rsidRPr="002F4D34">
        <w:rPr>
          <w:rStyle w:val="libFootnoteBoldChar"/>
          <w:rtl/>
        </w:rPr>
        <w:t>الوسائل</w:t>
      </w:r>
      <w:r w:rsidR="00E3253D" w:rsidRPr="005D642E">
        <w:rPr>
          <w:rtl/>
        </w:rPr>
        <w:t xml:space="preserve"> ، ج 1 ، ص 227 ، ذيل ح 580.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الاستبصار : « عن محمّد بن أحمد بن يحيى » بدل « ومحمّد بن يحيى ، عن محمّد بن أحمد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ص 228 </w:t>
      </w:r>
      <w:r w:rsidR="00E3253D" w:rsidRPr="00E678B5">
        <w:rPr>
          <w:rStyle w:val="libFootnoteBoldChar"/>
          <w:rtl/>
        </w:rPr>
        <w:t>والاستبصار</w:t>
      </w:r>
      <w:r w:rsidR="00E3253D" w:rsidRPr="005D642E">
        <w:rPr>
          <w:rtl/>
        </w:rPr>
        <w:t xml:space="preserve"> : + « بن عليّ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ى » : + « الساباطي »</w:t>
      </w:r>
      <w:r w:rsidR="00E3253D">
        <w:rPr>
          <w:rtl/>
        </w:rPr>
        <w:t>.</w:t>
      </w:r>
      <w:r w:rsidR="00E3253D" w:rsidRPr="005D642E">
        <w:rPr>
          <w:rtl/>
        </w:rPr>
        <w:t xml:space="preserve"> وفي الاستبصار : « عمّار الساباطي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ت ، غ ، بح ، بخ ، بف » : « عمّا يشرب »</w:t>
      </w:r>
      <w:r w:rsidR="00E3253D">
        <w:rPr>
          <w:rtl/>
        </w:rPr>
        <w:t>.</w:t>
      </w:r>
      <w:r w:rsidR="00E3253D" w:rsidRPr="005D642E">
        <w:rPr>
          <w:rtl/>
        </w:rPr>
        <w:t xml:space="preserve"> وفي الوافي </w:t>
      </w:r>
      <w:r w:rsidR="00E3253D" w:rsidRPr="00E678B5">
        <w:rPr>
          <w:rStyle w:val="libFootnoteBoldChar"/>
          <w:rtl/>
        </w:rPr>
        <w:t>والاستبصار</w:t>
      </w:r>
      <w:r w:rsidR="00E3253D" w:rsidRPr="005D642E">
        <w:rPr>
          <w:rtl/>
        </w:rPr>
        <w:t xml:space="preserve"> : « عن ماء يشرب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الاستبصار : « الحمام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 « فتوضّ »</w:t>
      </w:r>
      <w:r w:rsidR="00E3253D">
        <w:rPr>
          <w:rtl/>
        </w:rPr>
        <w:t>.</w:t>
      </w:r>
      <w:r w:rsidR="00E3253D" w:rsidRPr="005D642E">
        <w:rPr>
          <w:rtl/>
        </w:rPr>
        <w:t xml:space="preserve"> وفي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228 </w:t>
      </w:r>
      <w:r w:rsidR="00E3253D" w:rsidRPr="00E678B5">
        <w:rPr>
          <w:rStyle w:val="libFootnoteBoldChar"/>
          <w:rtl/>
        </w:rPr>
        <w:t>والاستبصار</w:t>
      </w:r>
      <w:r w:rsidR="00E3253D" w:rsidRPr="005D642E">
        <w:rPr>
          <w:rtl/>
        </w:rPr>
        <w:t xml:space="preserve"> : « يتوضّأ »</w:t>
      </w:r>
      <w:r w:rsidR="00E3253D">
        <w:rPr>
          <w:rtl/>
        </w:rPr>
        <w:t>.</w:t>
      </w:r>
    </w:p>
    <w:p w:rsidR="00E3253D" w:rsidRPr="005D642E" w:rsidRDefault="0042621E" w:rsidP="005E1DDE">
      <w:pPr>
        <w:pStyle w:val="libFootnote0"/>
        <w:rPr>
          <w:rtl/>
          <w:lang w:bidi="fa-IR"/>
        </w:rPr>
      </w:pPr>
      <w:r w:rsidRPr="0042621E">
        <w:rPr>
          <w:rStyle w:val="libFootnote0Char"/>
          <w:rtl/>
        </w:rPr>
        <w:t>(11).</w:t>
      </w:r>
      <w:r w:rsidR="00E3253D" w:rsidRPr="005D642E">
        <w:rPr>
          <w:rtl/>
        </w:rPr>
        <w:t xml:space="preserve"> في « ت ، جح ، جن » وحاشية « ى ، بخ » : « والشرب وعمّا يشرب »</w:t>
      </w:r>
      <w:r w:rsidR="00E3253D">
        <w:rPr>
          <w:rtl/>
        </w:rPr>
        <w:t>.</w:t>
      </w:r>
      <w:r w:rsidR="00E3253D" w:rsidRPr="005D642E">
        <w:rPr>
          <w:rtl/>
        </w:rPr>
        <w:t xml:space="preserve"> وفي « بث » : « والشرب عمّا يشرب »</w:t>
      </w:r>
      <w:r w:rsidR="00E3253D">
        <w:rPr>
          <w:rtl/>
        </w:rPr>
        <w:t>.</w:t>
      </w:r>
      <w:r w:rsidR="00E3253D" w:rsidRPr="005D642E">
        <w:rPr>
          <w:rtl/>
        </w:rPr>
        <w:t xml:space="preserve"> وفي « بف » : « والشرب عمّا شرب »</w:t>
      </w:r>
      <w:r w:rsidR="00E3253D">
        <w:rPr>
          <w:rtl/>
        </w:rPr>
        <w:t>.</w:t>
      </w:r>
      <w:r w:rsidR="00E3253D" w:rsidRPr="005D642E">
        <w:rPr>
          <w:rtl/>
        </w:rPr>
        <w:t xml:space="preserve"> وفي « جس » </w:t>
      </w:r>
      <w:r w:rsidR="000D749A" w:rsidRPr="000D749A">
        <w:rPr>
          <w:rStyle w:val="libFootnoteBoldChar"/>
          <w:rtl/>
        </w:rPr>
        <w:t>والوافي</w:t>
      </w:r>
      <w:r w:rsidR="00E3253D" w:rsidRPr="005D642E">
        <w:rPr>
          <w:rtl/>
        </w:rPr>
        <w:t xml:space="preserve"> : « ويشرب وعن ماء شرب »</w:t>
      </w:r>
      <w:r w:rsidR="00E3253D">
        <w:rPr>
          <w:rtl/>
        </w:rPr>
        <w:t>.</w:t>
      </w:r>
      <w:r w:rsidR="00E3253D" w:rsidRPr="005D642E">
        <w:rPr>
          <w:rtl/>
        </w:rPr>
        <w:t xml:space="preserve"> وفي الوسائل : « والشرب وعن ماء شرب »</w:t>
      </w:r>
      <w:r w:rsidR="00E3253D">
        <w:rPr>
          <w:rtl/>
        </w:rPr>
        <w:t>.</w:t>
      </w:r>
      <w:r w:rsidR="00E3253D" w:rsidRPr="005D642E">
        <w:rPr>
          <w:rtl/>
        </w:rPr>
        <w:t xml:space="preserve"> وفي التهذيب ، ص 228 </w:t>
      </w:r>
      <w:r w:rsidR="00E3253D" w:rsidRPr="00E678B5">
        <w:rPr>
          <w:rStyle w:val="libFootnoteBoldChar"/>
          <w:rtl/>
        </w:rPr>
        <w:t>والاستبصار</w:t>
      </w:r>
      <w:r w:rsidR="00E3253D" w:rsidRPr="005D642E">
        <w:rPr>
          <w:rtl/>
        </w:rPr>
        <w:t xml:space="preserve"> : « ويشرب وعن ماء يشرب » كلّها بدل « واشرب وعمّا شرب »</w:t>
      </w:r>
      <w:r w:rsidR="00E3253D">
        <w:rPr>
          <w:rtl/>
        </w:rPr>
        <w:t>.</w:t>
      </w:r>
      <w:r w:rsidR="005E1DDE">
        <w:rPr>
          <w:rFonts w:hint="cs"/>
          <w:rtl/>
        </w:rPr>
        <w:t xml:space="preserve">                                    </w:t>
      </w:r>
      <w:r w:rsidRPr="0042621E">
        <w:rPr>
          <w:rStyle w:val="libFootnote0Char"/>
          <w:rtl/>
        </w:rPr>
        <w:t>(12).</w:t>
      </w:r>
      <w:r w:rsidR="00E3253D" w:rsidRPr="005D642E">
        <w:rPr>
          <w:rtl/>
        </w:rPr>
        <w:t xml:space="preserve"> في « بخ » : « وعقاب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 كُلُّ شَيْ‌ءٍ مِنَ الطَّيْرِ </w:t>
      </w:r>
      <w:r w:rsidRPr="007C12DB">
        <w:rPr>
          <w:rStyle w:val="libFootnotenumChar"/>
          <w:rtl/>
        </w:rPr>
        <w:t>(1)</w:t>
      </w:r>
      <w:r w:rsidRPr="005D642E">
        <w:rPr>
          <w:rtl/>
          <w:lang w:bidi="fa-IR"/>
        </w:rPr>
        <w:t xml:space="preserve"> يُتَوَضَّأُ </w:t>
      </w:r>
      <w:r w:rsidRPr="007C12DB">
        <w:rPr>
          <w:rStyle w:val="libFootnotenumChar"/>
          <w:rtl/>
        </w:rPr>
        <w:t>(2)</w:t>
      </w:r>
      <w:r w:rsidRPr="005D642E">
        <w:rPr>
          <w:rtl/>
          <w:lang w:bidi="fa-IR"/>
        </w:rPr>
        <w:t xml:space="preserve"> مِمَّا يَشْرَبُ </w:t>
      </w:r>
      <w:r w:rsidRPr="007C12DB">
        <w:rPr>
          <w:rStyle w:val="libFootnotenumChar"/>
          <w:rtl/>
        </w:rPr>
        <w:t>(3)</w:t>
      </w:r>
      <w:r w:rsidR="00AA733B">
        <w:rPr>
          <w:rtl/>
          <w:lang w:bidi="fa-IR"/>
        </w:rPr>
        <w:t xml:space="preserve"> مِنْهُ إِل</w:t>
      </w:r>
      <w:r w:rsidR="00AA733B">
        <w:rPr>
          <w:rFonts w:hint="cs"/>
          <w:rtl/>
          <w:lang w:bidi="fa-IR"/>
        </w:rPr>
        <w:t>َّ</w:t>
      </w:r>
      <w:r w:rsidR="00AA733B">
        <w:rPr>
          <w:rtl/>
          <w:lang w:bidi="fa-IR"/>
        </w:rPr>
        <w:t>ا</w:t>
      </w:r>
      <w:r w:rsidRPr="005D642E">
        <w:rPr>
          <w:rtl/>
          <w:lang w:bidi="fa-IR"/>
        </w:rPr>
        <w:t xml:space="preserve"> أَنْ تَرى فِي مِنْقَارِهِ دَماً ، فَإِنْ رَأَيْتَ فِي مِنْقَارِهِ دَماً ، فَلَا تَوَضَّأْ </w:t>
      </w:r>
      <w:r w:rsidRPr="007C12DB">
        <w:rPr>
          <w:rStyle w:val="libFootnotenumChar"/>
          <w:rtl/>
        </w:rPr>
        <w:t>(4)</w:t>
      </w:r>
      <w:r w:rsidRPr="005D642E">
        <w:rPr>
          <w:rtl/>
          <w:lang w:bidi="fa-IR"/>
        </w:rPr>
        <w:t xml:space="preserve"> مِنْهُ وَلَاتَشْرَبْ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A47CE3">
        <w:rPr>
          <w:rtl/>
        </w:rPr>
        <w:t>3843</w:t>
      </w:r>
      <w:r w:rsidRPr="00246318">
        <w:rPr>
          <w:rStyle w:val="libBold2Char"/>
          <w:rtl/>
        </w:rPr>
        <w:t xml:space="preserve"> / 6.</w:t>
      </w:r>
      <w:r w:rsidRPr="005D642E">
        <w:rPr>
          <w:rtl/>
          <w:lang w:bidi="fa-IR"/>
        </w:rPr>
        <w:t xml:space="preserve"> مُحَمَّدُ بْنُ يَحْيى ، عَنْ أَحْمَدَ بْنِ مُحَمَّدٍ ، عَنْ عُثْمَانَ بْنِ</w:t>
      </w:r>
      <w:r w:rsidR="005F1EB2">
        <w:rPr>
          <w:rtl/>
          <w:lang w:bidi="fa-IR"/>
        </w:rPr>
        <w:t xml:space="preserve"> عِيسى ، عَنْ سَمَاعَةَ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جَرَّةٍ </w:t>
      </w:r>
      <w:r w:rsidRPr="007C12DB">
        <w:rPr>
          <w:rStyle w:val="libFootnotenumChar"/>
          <w:rtl/>
        </w:rPr>
        <w:t>(7)</w:t>
      </w:r>
      <w:r w:rsidRPr="005D642E">
        <w:rPr>
          <w:rtl/>
          <w:lang w:bidi="fa-IR"/>
        </w:rPr>
        <w:t xml:space="preserve"> وُجِدَ فِيهَا خُنْفَسَاءُ </w:t>
      </w:r>
      <w:r w:rsidRPr="007C12DB">
        <w:rPr>
          <w:rStyle w:val="libFootnotenumChar"/>
          <w:rtl/>
        </w:rPr>
        <w:t>(8)</w:t>
      </w:r>
      <w:r w:rsidRPr="005D642E">
        <w:rPr>
          <w:rtl/>
          <w:lang w:bidi="fa-IR"/>
        </w:rPr>
        <w:t xml:space="preserve"> قَدْ مَاتَ </w:t>
      </w:r>
      <w:r w:rsidRPr="007C12DB">
        <w:rPr>
          <w:rStyle w:val="libFootnotenumChar"/>
          <w:rtl/>
        </w:rPr>
        <w:t>(9)</w:t>
      </w:r>
      <w:r>
        <w:rPr>
          <w:rtl/>
          <w:lang w:bidi="fa-IR"/>
        </w:rPr>
        <w:t>؟</w:t>
      </w:r>
    </w:p>
    <w:p w:rsidR="00E3253D" w:rsidRPr="005D642E" w:rsidRDefault="00E3253D" w:rsidP="00E3253D">
      <w:pPr>
        <w:pStyle w:val="libNormal"/>
        <w:rPr>
          <w:rtl/>
          <w:lang w:bidi="fa-IR"/>
        </w:rPr>
      </w:pPr>
      <w:r w:rsidRPr="005D642E">
        <w:rPr>
          <w:rtl/>
          <w:lang w:bidi="fa-IR"/>
        </w:rPr>
        <w:t xml:space="preserve">قَالَ : « أَلْقِهِ </w:t>
      </w:r>
      <w:r w:rsidRPr="007C12DB">
        <w:rPr>
          <w:rStyle w:val="libFootnotenumChar"/>
          <w:rtl/>
        </w:rPr>
        <w:t>(10)</w:t>
      </w:r>
      <w:r w:rsidRPr="005D642E">
        <w:rPr>
          <w:rtl/>
          <w:lang w:bidi="fa-IR"/>
        </w:rPr>
        <w:t xml:space="preserve"> وَتَوَضَّأْ </w:t>
      </w:r>
      <w:r w:rsidRPr="007C12DB">
        <w:rPr>
          <w:rStyle w:val="libFootnotenumChar"/>
          <w:rtl/>
        </w:rPr>
        <w:t>(11)</w:t>
      </w:r>
      <w:r w:rsidRPr="005D642E">
        <w:rPr>
          <w:rtl/>
          <w:lang w:bidi="fa-IR"/>
        </w:rPr>
        <w:t xml:space="preserve"> مِنْهُ ، وَإِنْ كَانَ عَقْرَباً فَأَرِقِ الْمَاءَ ،</w:t>
      </w:r>
      <w:r w:rsidR="005F1EB2">
        <w:rPr>
          <w:rFonts w:hint="cs"/>
          <w:rtl/>
          <w:lang w:bidi="fa-IR"/>
        </w:rPr>
        <w:t>...................</w:t>
      </w:r>
      <w:r w:rsidR="005F1EB2">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الاستبصار : « الطيور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غ ، ى ، بث ، بح ، بخ ، بس ، بف ، جس ، جن » </w:t>
      </w:r>
      <w:r w:rsidR="00B60612" w:rsidRPr="00B60612">
        <w:rPr>
          <w:rStyle w:val="libFootnoteBoldChar"/>
          <w:rtl/>
        </w:rPr>
        <w:t>والتهذيب</w:t>
      </w:r>
      <w:r w:rsidR="00E3253D" w:rsidRPr="005D642E">
        <w:rPr>
          <w:rtl/>
        </w:rPr>
        <w:t xml:space="preserve"> ، ص 228 </w:t>
      </w:r>
      <w:r w:rsidR="00E3253D" w:rsidRPr="00E678B5">
        <w:rPr>
          <w:rStyle w:val="libFootnoteBoldChar"/>
          <w:rtl/>
        </w:rPr>
        <w:t>والاستبصار</w:t>
      </w:r>
      <w:r w:rsidR="00E3253D" w:rsidRPr="005D642E">
        <w:rPr>
          <w:rtl/>
        </w:rPr>
        <w:t xml:space="preserve"> </w:t>
      </w:r>
      <w:r w:rsidR="000D749A" w:rsidRPr="000D749A">
        <w:rPr>
          <w:rStyle w:val="libFootnoteBoldChar"/>
          <w:rtl/>
        </w:rPr>
        <w:t>والوافي</w:t>
      </w:r>
      <w:r w:rsidR="00E3253D" w:rsidRPr="005D642E">
        <w:rPr>
          <w:rtl/>
        </w:rPr>
        <w:t xml:space="preserve"> والوسائل. وفي « ت ، جح » : « تتوضّأ »</w:t>
      </w:r>
      <w:r w:rsidR="00E3253D">
        <w:rPr>
          <w:rtl/>
        </w:rPr>
        <w:t>.</w:t>
      </w:r>
      <w:r w:rsidR="00E3253D" w:rsidRPr="005D642E">
        <w:rPr>
          <w:rtl/>
        </w:rPr>
        <w:t xml:space="preserve"> وفي المطبوع : « توضّأ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بخ » : « عمّا يشرب »</w:t>
      </w:r>
      <w:r w:rsidR="00E3253D">
        <w:rPr>
          <w:rtl/>
        </w:rPr>
        <w:t>.</w:t>
      </w:r>
      <w:r w:rsidR="00E3253D" w:rsidRPr="005D642E">
        <w:rPr>
          <w:rtl/>
        </w:rPr>
        <w:t xml:space="preserve"> وفي حاشية « بخ » : « ممّا شرب »</w:t>
      </w:r>
      <w:r w:rsidR="00E3253D">
        <w:rPr>
          <w:rtl/>
        </w:rPr>
        <w:t>.</w:t>
      </w:r>
      <w:r w:rsidR="00E3253D" w:rsidRPr="005D642E">
        <w:rPr>
          <w:rtl/>
        </w:rPr>
        <w:t xml:space="preserve"> وفي « جح » وحاشية « بس » : « ممّا تشرب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جن » </w:t>
      </w:r>
      <w:r w:rsidR="00E3253D" w:rsidRPr="00E678B5">
        <w:rPr>
          <w:rStyle w:val="libFootnoteBoldChar"/>
          <w:rtl/>
        </w:rPr>
        <w:t>والاستبصار</w:t>
      </w:r>
      <w:r w:rsidR="00E3253D" w:rsidRPr="005D642E">
        <w:rPr>
          <w:rtl/>
        </w:rPr>
        <w:t xml:space="preserve"> : « فلا تتوضّأ »</w:t>
      </w:r>
      <w:r w:rsidR="00E3253D">
        <w:rPr>
          <w:rtl/>
        </w:rPr>
        <w:t>.</w:t>
      </w:r>
      <w:r w:rsidR="00E3253D" w:rsidRPr="005D642E">
        <w:rPr>
          <w:rtl/>
        </w:rPr>
        <w:t xml:space="preserve"> وفي « ى ، جس » وحاشية « ت » : « فلا توضّ »</w:t>
      </w:r>
      <w:r w:rsidR="00E3253D">
        <w:rPr>
          <w:rtl/>
        </w:rPr>
        <w:t>.</w:t>
      </w:r>
      <w:r w:rsidR="00E3253D" w:rsidRPr="005D642E">
        <w:rPr>
          <w:rtl/>
        </w:rPr>
        <w:t xml:space="preserve"> وفي « ت ، بث ، بخ ، جح » : « فلا تتوضّ »</w:t>
      </w:r>
      <w:r w:rsidR="00E3253D">
        <w:rPr>
          <w:rtl/>
        </w:rPr>
        <w:t>.</w:t>
      </w:r>
      <w:r w:rsidR="00E3253D" w:rsidRPr="005D642E">
        <w:rPr>
          <w:rtl/>
        </w:rPr>
        <w:t xml:space="preserve"> وفي « بح » : « فلا يتوضّأ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 « لايشرب »</w:t>
      </w:r>
      <w:r w:rsidR="00E3253D">
        <w:rPr>
          <w:rtl/>
        </w:rPr>
        <w:t>.</w:t>
      </w:r>
      <w:r w:rsidR="00E3253D" w:rsidRPr="005D642E">
        <w:rPr>
          <w:rtl/>
        </w:rPr>
        <w:t xml:space="preserve"> وفي الاستبصار : + « منه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228 ، ح 660 ؛ </w:t>
      </w:r>
      <w:r w:rsidR="00E3253D" w:rsidRPr="00E678B5">
        <w:rPr>
          <w:rStyle w:val="libFootnoteBoldChar"/>
          <w:rtl/>
        </w:rPr>
        <w:t>والاستبصار</w:t>
      </w:r>
      <w:r w:rsidR="00E3253D" w:rsidRPr="005D642E">
        <w:rPr>
          <w:rtl/>
        </w:rPr>
        <w:t xml:space="preserve"> ، ج 1 ، ص 25 ، ح 64 ، بسندهما عن الكليني ، وفي الأخير مع زيادة في آخره. </w:t>
      </w:r>
      <w:r w:rsidR="00E3253D" w:rsidRPr="002F4D34">
        <w:rPr>
          <w:rStyle w:val="libFootnoteBoldChar"/>
          <w:rtl/>
        </w:rPr>
        <w:t>التهذيب</w:t>
      </w:r>
      <w:r w:rsidR="00E3253D" w:rsidRPr="005D642E">
        <w:rPr>
          <w:rtl/>
        </w:rPr>
        <w:t xml:space="preserve"> ، ج 1 ، ص 284 ، ضمن ح 832 ، معلّقاً عن محمّد بن أحمد بن يحيى ، عن أحمد بن يحيى ، عن أحمد بن الحسن بن عليّ بن فضّال ، عن عمرو بن سعيد ، مع اختلاف يسير. </w:t>
      </w:r>
      <w:r w:rsidR="00E3253D" w:rsidRPr="002F4D34">
        <w:rPr>
          <w:rStyle w:val="libFootnoteBoldChar"/>
          <w:rtl/>
        </w:rPr>
        <w:t>الفقيه</w:t>
      </w:r>
      <w:r w:rsidR="00E3253D" w:rsidRPr="005D642E">
        <w:rPr>
          <w:rtl/>
        </w:rPr>
        <w:t xml:space="preserve"> ، ج 1 ، ص 13 ، ذيل ح 18 ، مع اختلاف </w:t>
      </w:r>
      <w:r w:rsidR="00001888">
        <w:rPr>
          <w:rFonts w:hint="cs"/>
          <w:rtl/>
        </w:rPr>
        <w:t>.</w:t>
      </w:r>
      <w:r w:rsidR="00E3253D" w:rsidRPr="002F4D34">
        <w:rPr>
          <w:rStyle w:val="libFootnoteBoldChar"/>
          <w:rtl/>
        </w:rPr>
        <w:t>الوافي</w:t>
      </w:r>
      <w:r w:rsidR="00E3253D" w:rsidRPr="005D642E">
        <w:rPr>
          <w:rtl/>
        </w:rPr>
        <w:t xml:space="preserve"> ، ج 6 ، ص 71 ، ح 3786 ؛ </w:t>
      </w:r>
      <w:r w:rsidR="00E3253D" w:rsidRPr="002F4D34">
        <w:rPr>
          <w:rStyle w:val="libFootnoteBoldChar"/>
          <w:rtl/>
        </w:rPr>
        <w:t>الوسائل</w:t>
      </w:r>
      <w:r w:rsidR="00E3253D" w:rsidRPr="005D642E">
        <w:rPr>
          <w:rtl/>
        </w:rPr>
        <w:t xml:space="preserve"> ، ج 1 ، ص 230 ، ح 590.</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جح » : « جُرَّة » بضمّ الفاء. وهو المكّوكُ الذي يثقب أسفله يكون فيه البذر ويمشي به الأَكّارُ والفَدّان وهو يَنهالُ في الأرض. والجَرَّة بالفتح : إناء من خَزَف ، كالفَخّار ، وجمعها : جَرٌّ وجِرار. والخَزَفُ : الطين المعمول آنيةً قبل أن يطبخ ، وهو الصلصال ، فإذا شُوي فهو الفخّار. راجع : </w:t>
      </w:r>
      <w:r w:rsidR="00E3253D" w:rsidRPr="002F4D34">
        <w:rPr>
          <w:rStyle w:val="libFootnoteBoldChar"/>
          <w:rtl/>
        </w:rPr>
        <w:t>لسان العرب</w:t>
      </w:r>
      <w:r w:rsidR="00E3253D" w:rsidRPr="005D642E">
        <w:rPr>
          <w:rtl/>
        </w:rPr>
        <w:t xml:space="preserve"> ، ج 4 ، ص 129 </w:t>
      </w:r>
      <w:r w:rsidR="00E3253D">
        <w:rPr>
          <w:rtl/>
        </w:rPr>
        <w:t>و 1</w:t>
      </w:r>
      <w:r w:rsidR="00E3253D" w:rsidRPr="005D642E">
        <w:rPr>
          <w:rtl/>
        </w:rPr>
        <w:t xml:space="preserve">31 ( جرر ) ؛ </w:t>
      </w:r>
      <w:r w:rsidR="00E3253D" w:rsidRPr="002F4D34">
        <w:rPr>
          <w:rStyle w:val="libFootnoteBoldChar"/>
          <w:rtl/>
        </w:rPr>
        <w:t>المصباح المنير</w:t>
      </w:r>
      <w:r w:rsidR="00E3253D" w:rsidRPr="005D642E">
        <w:rPr>
          <w:rtl/>
        </w:rPr>
        <w:t xml:space="preserve"> ، ص 168 ( خزف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الخُنْفُساء ، وضمّ الفاء أكثر من فتحها ، وهي دويّبة سوداء أصغر من الجُعَل منتنة الريح. وقيل : هي دويّبة سوداء تكون في ا</w:t>
      </w:r>
      <w:r w:rsidR="00001888">
        <w:rPr>
          <w:rFonts w:hint="cs"/>
          <w:rtl/>
        </w:rPr>
        <w:t>ُ</w:t>
      </w:r>
      <w:r w:rsidR="00E3253D" w:rsidRPr="005D642E">
        <w:rPr>
          <w:rtl/>
        </w:rPr>
        <w:t xml:space="preserve">صول الحيطان. راجع : </w:t>
      </w:r>
      <w:r w:rsidR="00E3253D" w:rsidRPr="002F4D34">
        <w:rPr>
          <w:rStyle w:val="libFootnoteBoldChar"/>
          <w:rtl/>
        </w:rPr>
        <w:t>المغرب</w:t>
      </w:r>
      <w:r w:rsidR="00E3253D" w:rsidRPr="005D642E">
        <w:rPr>
          <w:rtl/>
        </w:rPr>
        <w:t xml:space="preserve"> ، ص 149 ؛ </w:t>
      </w:r>
      <w:r w:rsidR="00E3253D" w:rsidRPr="002F4D34">
        <w:rPr>
          <w:rStyle w:val="libFootnoteBoldChar"/>
          <w:rtl/>
        </w:rPr>
        <w:t>لسان العرب</w:t>
      </w:r>
      <w:r w:rsidR="00E3253D" w:rsidRPr="005D642E">
        <w:rPr>
          <w:rtl/>
        </w:rPr>
        <w:t xml:space="preserve"> ، ج 6 ، ص 74 ( خنفس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جميع النسخ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229 </w:t>
      </w:r>
      <w:r w:rsidR="00E3253D" w:rsidRPr="00E678B5">
        <w:rPr>
          <w:rStyle w:val="libFootnoteBoldChar"/>
          <w:rtl/>
        </w:rPr>
        <w:t>والاستبصار</w:t>
      </w:r>
      <w:r w:rsidR="00E3253D" w:rsidRPr="005D642E">
        <w:rPr>
          <w:rtl/>
        </w:rPr>
        <w:t>. وفي المطبوع : « قد ماتت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جميع النسخ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229 </w:t>
      </w:r>
      <w:r w:rsidR="00E3253D" w:rsidRPr="00E678B5">
        <w:rPr>
          <w:rStyle w:val="libFootnoteBoldChar"/>
          <w:rtl/>
        </w:rPr>
        <w:t>والاستبصار</w:t>
      </w:r>
      <w:r w:rsidR="00E3253D" w:rsidRPr="005D642E">
        <w:rPr>
          <w:rtl/>
        </w:rPr>
        <w:t xml:space="preserve">. وفي المطبوع </w:t>
      </w:r>
      <w:r w:rsidR="000D749A" w:rsidRPr="000D749A">
        <w:rPr>
          <w:rStyle w:val="libFootnoteBoldChar"/>
          <w:rtl/>
        </w:rPr>
        <w:t>والمرآة</w:t>
      </w:r>
      <w:r w:rsidR="00E3253D" w:rsidRPr="005D642E">
        <w:rPr>
          <w:rtl/>
        </w:rPr>
        <w:t xml:space="preserve"> : « ألقها »</w:t>
      </w:r>
      <w:r w:rsidR="00E3253D">
        <w:rPr>
          <w:rtl/>
        </w:rPr>
        <w:t>.</w:t>
      </w:r>
      <w:r w:rsidR="00E3253D" w:rsidRPr="005D642E">
        <w:rPr>
          <w:rtl/>
        </w:rPr>
        <w:t xml:space="preserve"> وقال </w:t>
      </w:r>
      <w:r w:rsidR="00E3253D" w:rsidRPr="00A47CE3">
        <w:rPr>
          <w:rtl/>
        </w:rPr>
        <w:t>في</w:t>
      </w:r>
      <w:r w:rsidR="00E3253D">
        <w:rPr>
          <w:rFonts w:hint="cs"/>
          <w:rtl/>
        </w:rPr>
        <w:t xml:space="preserve"> </w:t>
      </w:r>
      <w:r w:rsidR="00E3253D" w:rsidRPr="002F4D34">
        <w:rPr>
          <w:rStyle w:val="libFootnoteBoldChar"/>
          <w:rtl/>
        </w:rPr>
        <w:t>‌المرآة</w:t>
      </w:r>
      <w:r w:rsidR="00E3253D" w:rsidRPr="005D642E">
        <w:rPr>
          <w:rtl/>
        </w:rPr>
        <w:t xml:space="preserve"> : « الهاء للسكت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بخ ، بس ، جح ، جس » وحاشية « بح » : « توضّ »</w:t>
      </w:r>
      <w:r w:rsidR="00E3253D">
        <w:rPr>
          <w:rtl/>
        </w:rPr>
        <w:t>.</w:t>
      </w:r>
      <w:r w:rsidR="00E3253D" w:rsidRPr="005D642E">
        <w:rPr>
          <w:rtl/>
        </w:rPr>
        <w:t xml:space="preserve"> وفي « جن » : « يتوضّأ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وَتَوَضَّأْ </w:t>
      </w:r>
      <w:r w:rsidRPr="007C12DB">
        <w:rPr>
          <w:rStyle w:val="libFootnotenumChar"/>
          <w:rtl/>
        </w:rPr>
        <w:t>(1)</w:t>
      </w:r>
      <w:r w:rsidRPr="005D642E">
        <w:rPr>
          <w:rtl/>
          <w:lang w:bidi="fa-IR"/>
        </w:rPr>
        <w:t xml:space="preserve"> مِنْ مَاءٍ غَيْرِهِ »</w:t>
      </w:r>
      <w:r>
        <w:rPr>
          <w:rtl/>
          <w:lang w:bidi="fa-IR"/>
        </w:rPr>
        <w:t>.</w:t>
      </w:r>
    </w:p>
    <w:p w:rsidR="00E3253D" w:rsidRPr="005D642E" w:rsidRDefault="00E3253D" w:rsidP="00E3253D">
      <w:pPr>
        <w:pStyle w:val="libNormal"/>
        <w:rPr>
          <w:rtl/>
          <w:lang w:bidi="fa-IR"/>
        </w:rPr>
      </w:pPr>
      <w:r w:rsidRPr="005D642E">
        <w:rPr>
          <w:rtl/>
          <w:lang w:bidi="fa-IR"/>
        </w:rPr>
        <w:t xml:space="preserve">وَعَنْ رَجُلٍ مَعَهُ إِنَاءَانِ فِيهِمَا مَاءٌ وَقَعَ </w:t>
      </w:r>
      <w:r w:rsidRPr="007C12DB">
        <w:rPr>
          <w:rStyle w:val="libFootnotenumChar"/>
          <w:rtl/>
        </w:rPr>
        <w:t>(2)</w:t>
      </w:r>
      <w:r w:rsidRPr="005D642E">
        <w:rPr>
          <w:rtl/>
          <w:lang w:bidi="fa-IR"/>
        </w:rPr>
        <w:t xml:space="preserve"> فِي أَحَدِهِمَا قَذَرٌ </w:t>
      </w:r>
      <w:r w:rsidRPr="007C12DB">
        <w:rPr>
          <w:rStyle w:val="libFootnotenumChar"/>
          <w:rtl/>
        </w:rPr>
        <w:t>(3)</w:t>
      </w:r>
      <w:r w:rsidRPr="005D642E">
        <w:rPr>
          <w:rtl/>
          <w:lang w:bidi="fa-IR"/>
        </w:rPr>
        <w:t xml:space="preserve"> ، لَايَدْرِي </w:t>
      </w:r>
      <w:r w:rsidRPr="007C12DB">
        <w:rPr>
          <w:rStyle w:val="libFootnotenumChar"/>
          <w:rtl/>
        </w:rPr>
        <w:t>(4)</w:t>
      </w:r>
      <w:r w:rsidRPr="005D642E">
        <w:rPr>
          <w:rtl/>
          <w:lang w:bidi="fa-IR"/>
        </w:rPr>
        <w:t xml:space="preserve"> أَيُّهُمَا هُوَ ، وَلَيْسَ </w:t>
      </w:r>
      <w:r w:rsidRPr="007C12DB">
        <w:rPr>
          <w:rStyle w:val="libFootnotenumChar"/>
          <w:rtl/>
        </w:rPr>
        <w:t>(5)</w:t>
      </w:r>
      <w:r w:rsidRPr="005D642E">
        <w:rPr>
          <w:rtl/>
          <w:lang w:bidi="fa-IR"/>
        </w:rPr>
        <w:t xml:space="preserve"> يَقْدِرُ عَلى مَاءٍ غَيْرِهِ</w:t>
      </w:r>
      <w:r>
        <w:rPr>
          <w:rtl/>
          <w:lang w:bidi="fa-IR"/>
        </w:rPr>
        <w:t>؟</w:t>
      </w:r>
    </w:p>
    <w:p w:rsidR="00E3253D" w:rsidRPr="005D642E" w:rsidRDefault="00E3253D" w:rsidP="00E3253D">
      <w:pPr>
        <w:pStyle w:val="libNormal"/>
        <w:rPr>
          <w:rtl/>
          <w:lang w:bidi="fa-IR"/>
        </w:rPr>
      </w:pPr>
      <w:r w:rsidRPr="005D642E">
        <w:rPr>
          <w:rtl/>
          <w:lang w:bidi="fa-IR"/>
        </w:rPr>
        <w:t xml:space="preserve">قَالَ : « يُهَرِيقُهُمَا جَمِيعاً </w:t>
      </w:r>
      <w:r w:rsidRPr="007C12DB">
        <w:rPr>
          <w:rStyle w:val="libFootnotenumChar"/>
          <w:rtl/>
        </w:rPr>
        <w:t>(6)</w:t>
      </w:r>
      <w:r w:rsidRPr="005D642E">
        <w:rPr>
          <w:rtl/>
          <w:lang w:bidi="fa-IR"/>
        </w:rPr>
        <w:t xml:space="preserve"> وَيَتَيَمَّمُ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A47CE3">
        <w:rPr>
          <w:rtl/>
        </w:rPr>
        <w:t>3844</w:t>
      </w:r>
      <w:r w:rsidRPr="00246318">
        <w:rPr>
          <w:rStyle w:val="libBold2Char"/>
          <w:rtl/>
        </w:rPr>
        <w:t xml:space="preserve"> / 7.</w:t>
      </w:r>
      <w:r w:rsidRPr="005D642E">
        <w:rPr>
          <w:rtl/>
          <w:lang w:bidi="fa-IR"/>
        </w:rPr>
        <w:t xml:space="preserve"> أَحْمَدُ بْنُ إِدْرِيسَ ، عَنْ مُحَمَّدِ بْنِ أَحْمَدَ ، عَنْ أَيُّوبَ بْنِ نُوحٍ ، عَنِ الْوَشَّاءِ ، عَمَّنْ ذَكَرَهُ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أَنَّهُ كَانَ يَكْرَهُ سُؤْرَ كُلِّ شَيْ‌ءٍ </w:t>
      </w:r>
      <w:r w:rsidRPr="007C12DB">
        <w:rPr>
          <w:rStyle w:val="libFootnotenumChar"/>
          <w:rtl/>
        </w:rPr>
        <w:t>(8)</w:t>
      </w:r>
      <w:r w:rsidRPr="005D642E">
        <w:rPr>
          <w:rtl/>
          <w:lang w:bidi="fa-IR"/>
        </w:rPr>
        <w:t xml:space="preserve"> لَايُؤْكَلُ لَحْمُهُ.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ت ، ى ، بث ، بخ ، بف ، جح ، جس ، جن » : « توضّ »</w:t>
      </w:r>
      <w:r w:rsidR="00E3253D">
        <w:rPr>
          <w:rtl/>
        </w:rPr>
        <w:t>.</w:t>
      </w:r>
      <w:r w:rsidR="00E3253D" w:rsidRPr="005D642E">
        <w:rPr>
          <w:rtl/>
        </w:rPr>
        <w:t xml:space="preserve"> وفي الاستبصار : « فأهرق » بدل « فأرق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ت » </w:t>
      </w:r>
      <w:r w:rsidR="00B60612" w:rsidRPr="00B60612">
        <w:rPr>
          <w:rStyle w:val="libFootnoteBoldChar"/>
          <w:rtl/>
        </w:rPr>
        <w:t>والتهذيب</w:t>
      </w:r>
      <w:r w:rsidR="00E3253D" w:rsidRPr="005D642E">
        <w:rPr>
          <w:rtl/>
        </w:rPr>
        <w:t xml:space="preserve"> ، ص 407 : « ماء فوقع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القَذَر : مصدر وهو ضدُّ النظافة والوَسَخُ. وقيل أيضاً : هي النجاسة. راجع : </w:t>
      </w:r>
      <w:r w:rsidR="00E3253D" w:rsidRPr="002F4D34">
        <w:rPr>
          <w:rStyle w:val="libFootnoteBoldChar"/>
          <w:rtl/>
        </w:rPr>
        <w:t>الصحاح</w:t>
      </w:r>
      <w:r w:rsidR="00E3253D" w:rsidRPr="005D642E">
        <w:rPr>
          <w:rtl/>
        </w:rPr>
        <w:t xml:space="preserve"> ، ج 2 ، ص 787 ؛ </w:t>
      </w:r>
      <w:r w:rsidR="00E3253D" w:rsidRPr="002F4D34">
        <w:rPr>
          <w:rStyle w:val="libFootnoteBoldChar"/>
          <w:rtl/>
        </w:rPr>
        <w:t>مجمع البحرين</w:t>
      </w:r>
      <w:r w:rsidR="00E3253D" w:rsidRPr="005D642E">
        <w:rPr>
          <w:rtl/>
        </w:rPr>
        <w:t xml:space="preserve"> ، ج 3 ، ص 453 ( قذر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229 </w:t>
      </w:r>
      <w:r w:rsidR="00E3253D" w:rsidRPr="00E678B5">
        <w:rPr>
          <w:rStyle w:val="libFootnoteBoldChar"/>
          <w:rtl/>
        </w:rPr>
        <w:t>والاستبصار</w:t>
      </w:r>
      <w:r w:rsidR="00E3253D" w:rsidRPr="005D642E">
        <w:rPr>
          <w:rtl/>
        </w:rPr>
        <w:t>. وفي المطبوع : « ولا يدري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ت » : « ولا » بدل « وليس »</w:t>
      </w:r>
      <w:r w:rsidR="00E3253D">
        <w:rPr>
          <w:rtl/>
        </w:rPr>
        <w:t>.</w:t>
      </w:r>
      <w:r w:rsidR="00E3253D" w:rsidRPr="005D642E">
        <w:rPr>
          <w:rtl/>
        </w:rPr>
        <w:t xml:space="preserve"> وفي « جن » وحاشية « بح » : « لا » من دون الواو.</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ص 229 </w:t>
      </w:r>
      <w:r w:rsidR="00E3253D">
        <w:rPr>
          <w:rtl/>
        </w:rPr>
        <w:t>و 2</w:t>
      </w:r>
      <w:r w:rsidR="00E3253D" w:rsidRPr="005D642E">
        <w:rPr>
          <w:rtl/>
        </w:rPr>
        <w:t xml:space="preserve">49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جميعاً »</w:t>
      </w:r>
      <w:r w:rsidR="00E3253D">
        <w:rPr>
          <w:rtl/>
        </w:rPr>
        <w:t>.</w:t>
      </w:r>
      <w:r w:rsidR="00E3253D" w:rsidRPr="005D642E">
        <w:rPr>
          <w:rtl/>
        </w:rPr>
        <w:t xml:space="preserve"> وهَراقَ الماءَ يُهَرِيقُ</w:t>
      </w:r>
      <w:r w:rsidR="00E3253D">
        <w:rPr>
          <w:rtl/>
        </w:rPr>
        <w:t xml:space="preserve"> </w:t>
      </w:r>
      <w:r w:rsidR="007642BC">
        <w:rPr>
          <w:rtl/>
        </w:rPr>
        <w:t>-</w:t>
      </w:r>
      <w:r w:rsidR="00E3253D">
        <w:rPr>
          <w:rtl/>
        </w:rPr>
        <w:t xml:space="preserve"> </w:t>
      </w:r>
      <w:r w:rsidR="00E3253D" w:rsidRPr="005D642E">
        <w:rPr>
          <w:rtl/>
        </w:rPr>
        <w:t>بفتح الهاء</w:t>
      </w:r>
      <w:r w:rsidR="00E3253D">
        <w:rPr>
          <w:rtl/>
        </w:rPr>
        <w:t xml:space="preserve"> </w:t>
      </w:r>
      <w:r w:rsidR="007642BC">
        <w:rPr>
          <w:rtl/>
        </w:rPr>
        <w:t>-</w:t>
      </w:r>
      <w:r w:rsidR="00E3253D">
        <w:rPr>
          <w:rtl/>
        </w:rPr>
        <w:t xml:space="preserve"> </w:t>
      </w:r>
      <w:r w:rsidR="00E3253D" w:rsidRPr="005D642E">
        <w:rPr>
          <w:rtl/>
        </w:rPr>
        <w:t>هِراقَةً ، أي صَبَّهُ. وفيه لغة ا</w:t>
      </w:r>
      <w:r w:rsidR="00E42CD3">
        <w:rPr>
          <w:rFonts w:hint="cs"/>
          <w:rtl/>
        </w:rPr>
        <w:t>ُ</w:t>
      </w:r>
      <w:r w:rsidR="00E3253D" w:rsidRPr="005D642E">
        <w:rPr>
          <w:rtl/>
        </w:rPr>
        <w:t xml:space="preserve">خرى : أَهْرَقَ يُهْرِقُ إِهْراقاً ، على وزن أَفْعَلَ يُفْعِلُ فيجمع بين البدل والمبدل. وفيه لغة ثالثة : أَهْراقَ يُهْرِيق إِهْراقاً ، وهذا شاذّ. راجع : </w:t>
      </w:r>
      <w:r w:rsidR="00E3253D" w:rsidRPr="002F4D34">
        <w:rPr>
          <w:rStyle w:val="libFootnoteBoldChar"/>
          <w:rtl/>
        </w:rPr>
        <w:t>الصحاح</w:t>
      </w:r>
      <w:r w:rsidR="00E3253D" w:rsidRPr="005D642E">
        <w:rPr>
          <w:rtl/>
        </w:rPr>
        <w:t xml:space="preserve"> ، ج 4 ، ص 1569 ؛ </w:t>
      </w:r>
      <w:r w:rsidR="00E3253D" w:rsidRPr="002F4D34">
        <w:rPr>
          <w:rStyle w:val="libFootnoteBoldChar"/>
          <w:rtl/>
        </w:rPr>
        <w:t>النهاية</w:t>
      </w:r>
      <w:r w:rsidR="00E3253D" w:rsidRPr="005D642E">
        <w:rPr>
          <w:rtl/>
        </w:rPr>
        <w:t xml:space="preserve"> ، ج 5 ، ص 260 ( هرق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229 ، ح 662 ؛ </w:t>
      </w:r>
      <w:r w:rsidR="00E3253D" w:rsidRPr="00E678B5">
        <w:rPr>
          <w:rStyle w:val="libFootnoteBoldChar"/>
          <w:rtl/>
        </w:rPr>
        <w:t>والاستبصار</w:t>
      </w:r>
      <w:r w:rsidR="00E3253D" w:rsidRPr="005D642E">
        <w:rPr>
          <w:rtl/>
        </w:rPr>
        <w:t xml:space="preserve"> ، ج 1 ، ص 21 ، ح 48 ، بسندهما عن الكليني. وفي </w:t>
      </w:r>
      <w:r w:rsidR="00E3253D" w:rsidRPr="002F4D34">
        <w:rPr>
          <w:rStyle w:val="libFootnoteBoldChar"/>
          <w:rtl/>
        </w:rPr>
        <w:t>التهذيب</w:t>
      </w:r>
      <w:r w:rsidR="00E3253D" w:rsidRPr="005D642E">
        <w:rPr>
          <w:rtl/>
        </w:rPr>
        <w:t xml:space="preserve"> ، ص 249 ، ح 713 ، معلّقاً عن أحمد بن محمّد. </w:t>
      </w:r>
      <w:r w:rsidR="00E3253D" w:rsidRPr="002F4D34">
        <w:rPr>
          <w:rStyle w:val="libFootnoteBoldChar"/>
          <w:rtl/>
        </w:rPr>
        <w:t>وفيه</w:t>
      </w:r>
      <w:r w:rsidR="00E3253D" w:rsidRPr="005D642E">
        <w:rPr>
          <w:rtl/>
        </w:rPr>
        <w:t xml:space="preserve"> ، ص 248 ، ح 712 ؛ وص 407 ، ح 1281 ، بسند آخر. </w:t>
      </w:r>
      <w:r w:rsidR="00E3253D" w:rsidRPr="002F4D34">
        <w:rPr>
          <w:rStyle w:val="libFootnoteBoldChar"/>
          <w:rtl/>
        </w:rPr>
        <w:t>فقه الرضا</w:t>
      </w:r>
      <w:r w:rsidR="00E3253D" w:rsidRPr="005D642E">
        <w:rPr>
          <w:rtl/>
        </w:rPr>
        <w:t xml:space="preserve"> </w:t>
      </w:r>
      <w:r w:rsidR="00E3253D" w:rsidRPr="00E42CD3">
        <w:rPr>
          <w:rStyle w:val="libFootnoteAlaemChar"/>
          <w:rtl/>
        </w:rPr>
        <w:t>عليه‌السلام</w:t>
      </w:r>
      <w:r w:rsidR="00E3253D" w:rsidRPr="005D642E">
        <w:rPr>
          <w:rtl/>
        </w:rPr>
        <w:t xml:space="preserve"> ، ص 93 ، مع اختلاف يسير ، وفي الأربعة الأخيرة من قوله : « عن رجل معه إناءان » </w:t>
      </w:r>
      <w:r w:rsidR="00E42CD3">
        <w:rPr>
          <w:rFonts w:hint="cs"/>
          <w:rtl/>
        </w:rPr>
        <w:t>.</w:t>
      </w:r>
      <w:r w:rsidR="00E3253D" w:rsidRPr="002F4D34">
        <w:rPr>
          <w:rStyle w:val="libFootnoteBoldChar"/>
          <w:rtl/>
        </w:rPr>
        <w:t>الوافي</w:t>
      </w:r>
      <w:r w:rsidR="00E3253D" w:rsidRPr="005D642E">
        <w:rPr>
          <w:rtl/>
        </w:rPr>
        <w:t xml:space="preserve"> ، ج 6 ، ص 60 ، ح 3760 ؛ وفي </w:t>
      </w:r>
      <w:r w:rsidR="00E3253D" w:rsidRPr="002F4D34">
        <w:rPr>
          <w:rStyle w:val="libFootnoteBoldChar"/>
          <w:rtl/>
        </w:rPr>
        <w:t>الوسائل</w:t>
      </w:r>
      <w:r w:rsidR="00E3253D" w:rsidRPr="005D642E">
        <w:rPr>
          <w:rtl/>
        </w:rPr>
        <w:t xml:space="preserve"> ، ج 1 ، ص 240 ، ح 620 ؛ وج 3 ، ص 464 ، ح 4186 ، إلى قوله : « وتوضّأ من ماء غيره » ؛ </w:t>
      </w:r>
      <w:r w:rsidR="00E3253D" w:rsidRPr="002F4D34">
        <w:rPr>
          <w:rStyle w:val="libFootnoteBoldChar"/>
          <w:rtl/>
        </w:rPr>
        <w:t>وفيه</w:t>
      </w:r>
      <w:r w:rsidR="00E3253D" w:rsidRPr="005D642E">
        <w:rPr>
          <w:rtl/>
        </w:rPr>
        <w:t xml:space="preserve"> ، ج 1 ، ص 151 ، ح 376 ، من قوله : « عن رجل معه إناءان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 « ما » بدل « شي‌ء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الوافي</w:t>
      </w:r>
      <w:r w:rsidR="00E3253D" w:rsidRPr="005D642E">
        <w:rPr>
          <w:rtl/>
        </w:rPr>
        <w:t xml:space="preserve"> ، ج 6 ، ص 72 ، ح 3790 ؛ </w:t>
      </w:r>
      <w:r w:rsidR="00E3253D" w:rsidRPr="002F4D34">
        <w:rPr>
          <w:rStyle w:val="libFootnoteBoldChar"/>
          <w:rtl/>
        </w:rPr>
        <w:t>الوسائل</w:t>
      </w:r>
      <w:r w:rsidR="00E3253D" w:rsidRPr="005D642E">
        <w:rPr>
          <w:rtl/>
        </w:rPr>
        <w:t xml:space="preserve"> ، ج 1 ، ص 232 ، ح 594.</w:t>
      </w:r>
    </w:p>
    <w:p w:rsidR="00E3253D" w:rsidRDefault="00E3253D" w:rsidP="00E3253D">
      <w:pPr>
        <w:pStyle w:val="libNormal"/>
        <w:rPr>
          <w:rtl/>
          <w:lang w:bidi="fa-IR"/>
        </w:rPr>
      </w:pPr>
      <w:r>
        <w:rPr>
          <w:rtl/>
          <w:lang w:bidi="fa-IR"/>
        </w:rPr>
        <w:br w:type="page"/>
      </w:r>
    </w:p>
    <w:p w:rsidR="00E3253D" w:rsidRDefault="00E3253D" w:rsidP="00E3253D">
      <w:pPr>
        <w:pStyle w:val="Heading2Center"/>
        <w:rPr>
          <w:rtl/>
        </w:rPr>
      </w:pPr>
      <w:bookmarkStart w:id="28" w:name="_Toc344647220"/>
      <w:bookmarkStart w:id="29" w:name="_Toc462226735"/>
      <w:bookmarkStart w:id="30" w:name="_Toc40975841"/>
      <w:r w:rsidRPr="00A47CE3">
        <w:rPr>
          <w:rtl/>
        </w:rPr>
        <w:lastRenderedPageBreak/>
        <w:t xml:space="preserve">7 </w:t>
      </w:r>
      <w:r w:rsidR="007642BC">
        <w:rPr>
          <w:rtl/>
        </w:rPr>
        <w:t>-</w:t>
      </w:r>
      <w:r w:rsidRPr="00A47CE3">
        <w:rPr>
          <w:rtl/>
        </w:rPr>
        <w:t xml:space="preserve"> بَابُ الْوُضُوءِ مِنْ سُؤْرِ الْحَائِضِ وَالْجُنُبِ</w:t>
      </w:r>
      <w:bookmarkEnd w:id="28"/>
      <w:bookmarkEnd w:id="29"/>
      <w:bookmarkEnd w:id="30"/>
      <w:r w:rsidRPr="00A47CE3">
        <w:rPr>
          <w:rtl/>
        </w:rPr>
        <w:t xml:space="preserve"> </w:t>
      </w:r>
    </w:p>
    <w:p w:rsidR="00E3253D" w:rsidRPr="00A47CE3" w:rsidRDefault="00E3253D" w:rsidP="00E3253D">
      <w:pPr>
        <w:pStyle w:val="Heading2Center"/>
        <w:rPr>
          <w:rtl/>
        </w:rPr>
      </w:pPr>
      <w:bookmarkStart w:id="31" w:name="_Toc344647221"/>
      <w:bookmarkStart w:id="32" w:name="_Toc462226736"/>
      <w:bookmarkStart w:id="33" w:name="_Toc40975842"/>
      <w:r w:rsidRPr="00A47CE3">
        <w:rPr>
          <w:rtl/>
        </w:rPr>
        <w:t xml:space="preserve">وَالْيَهُودِيِّ وَالنَّصْرَانِيِّ وَالنَّاصِبِ </w:t>
      </w:r>
      <w:r w:rsidRPr="007C12DB">
        <w:rPr>
          <w:rStyle w:val="libFootnotenumChar"/>
          <w:rtl/>
        </w:rPr>
        <w:t>(1)</w:t>
      </w:r>
      <w:r w:rsidRPr="00A47CE3">
        <w:rPr>
          <w:rtl/>
        </w:rPr>
        <w:t xml:space="preserve"> ‌</w:t>
      </w:r>
      <w:bookmarkEnd w:id="31"/>
      <w:bookmarkEnd w:id="32"/>
      <w:bookmarkEnd w:id="33"/>
    </w:p>
    <w:p w:rsidR="00E42CD3" w:rsidRDefault="00E3253D" w:rsidP="00E42CD3">
      <w:pPr>
        <w:pStyle w:val="libNormal"/>
        <w:rPr>
          <w:rtl/>
          <w:lang w:bidi="fa-IR"/>
        </w:rPr>
      </w:pPr>
      <w:r w:rsidRPr="00A47CE3">
        <w:rPr>
          <w:rtl/>
        </w:rPr>
        <w:t>3845</w:t>
      </w:r>
      <w:r w:rsidRPr="00246318">
        <w:rPr>
          <w:rStyle w:val="libBold2Char"/>
          <w:rtl/>
        </w:rPr>
        <w:t xml:space="preserve"> / 1.</w:t>
      </w:r>
      <w:r w:rsidRPr="005D642E">
        <w:rPr>
          <w:rtl/>
          <w:lang w:bidi="fa-IR"/>
        </w:rPr>
        <w:t xml:space="preserve"> مُحَمَّدُ بْنُ يَحْيى ، عَنْ مُحَمَّدِ بْنِ الْحُسَيْنِ ؛</w:t>
      </w:r>
    </w:p>
    <w:p w:rsidR="00E3253D" w:rsidRPr="005D642E" w:rsidRDefault="00E42CD3" w:rsidP="00E42CD3">
      <w:pPr>
        <w:pStyle w:val="libNormal"/>
        <w:rPr>
          <w:rtl/>
          <w:lang w:bidi="fa-IR"/>
        </w:rPr>
      </w:pPr>
      <w:r>
        <w:rPr>
          <w:rFonts w:hint="cs"/>
          <w:rtl/>
          <w:lang w:bidi="fa-IR"/>
        </w:rPr>
        <w:t>............</w:t>
      </w:r>
      <w:r w:rsidR="00E3253D" w:rsidRPr="005D642E">
        <w:rPr>
          <w:rtl/>
          <w:lang w:bidi="fa-IR"/>
        </w:rPr>
        <w:t xml:space="preserve">وَمُحَمَّدُ بْنُ إِسْمَاعِيلَ ، عَنِ الْفَضْلِ بْنِ شَاذَانَ جَمِيعاً ، عَنْ صَفْوَانَ بْنِ يَحْيى ، عَنْ مَنْصُورِ بْنِ حَازِمٍ ، عَنْ عَنْبَسَةَ </w:t>
      </w:r>
      <w:r w:rsidR="00E3253D" w:rsidRPr="007C12DB">
        <w:rPr>
          <w:rStyle w:val="libFootnotenumChar"/>
          <w:rtl/>
        </w:rPr>
        <w:t>(2)</w:t>
      </w:r>
      <w:r w:rsidR="00E3253D"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اشْرَبْ مِنْ سُؤْرِ الْحَائِضِ ، وَلَاتَوَضَّأْ </w:t>
      </w:r>
      <w:r w:rsidRPr="007C12DB">
        <w:rPr>
          <w:rStyle w:val="libFootnotenumChar"/>
          <w:rtl/>
        </w:rPr>
        <w:t>(3)</w:t>
      </w:r>
      <w:r w:rsidRPr="005D642E">
        <w:rPr>
          <w:rtl/>
          <w:lang w:bidi="fa-IR"/>
        </w:rPr>
        <w:t xml:space="preserve"> مِنْهُ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A47CE3">
        <w:rPr>
          <w:rtl/>
        </w:rPr>
        <w:t>3846</w:t>
      </w:r>
      <w:r w:rsidRPr="00246318">
        <w:rPr>
          <w:rStyle w:val="libBold2Char"/>
          <w:rtl/>
        </w:rPr>
        <w:t xml:space="preserve"> / 2.</w:t>
      </w:r>
      <w:r w:rsidRPr="005D642E">
        <w:rPr>
          <w:rtl/>
          <w:lang w:bidi="fa-IR"/>
        </w:rPr>
        <w:t xml:space="preserve"> مُحَمَّدُ بْنُ إِسْمَاعِيلَ ، عَنِ الْفَضْلِ بْنِ شَاذَانَ ، عَنْ صَفْوَانَ بْنِ يَحْيى ، عَنِ الْعِيصِ بْنِ الْقَاسِمِ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 هَلْ يَغْتَسِلُ الرَّجُلُ وَالْمَرْأَةُ مِنْ إِنَاءٍ وَاحِدٍ</w:t>
      </w:r>
      <w:r>
        <w:rPr>
          <w:rtl/>
          <w:lang w:bidi="fa-IR"/>
        </w:rPr>
        <w:t>؟</w:t>
      </w:r>
    </w:p>
    <w:p w:rsidR="00E3253D" w:rsidRPr="005D642E" w:rsidRDefault="00E3253D" w:rsidP="00E3253D">
      <w:pPr>
        <w:pStyle w:val="libNormal"/>
        <w:rPr>
          <w:rtl/>
          <w:lang w:bidi="fa-IR"/>
        </w:rPr>
      </w:pPr>
      <w:r w:rsidRPr="005D642E">
        <w:rPr>
          <w:rtl/>
          <w:lang w:bidi="fa-IR"/>
        </w:rPr>
        <w:t>فَقَالَ : « نَعَمْ ، يُفْرِغَانِ عَلى أَيْدِيهِمَا قَبْلَ أَنْ يَضَعَا أَيْدِيَهُمَا فِي الْإِنَاءِ »</w:t>
      </w:r>
      <w:r>
        <w:rPr>
          <w:rtl/>
          <w:lang w:bidi="fa-IR"/>
        </w:rPr>
        <w:t>.</w:t>
      </w:r>
    </w:p>
    <w:p w:rsidR="00E3253D" w:rsidRPr="005D642E" w:rsidRDefault="00E3253D" w:rsidP="00E3253D">
      <w:pPr>
        <w:pStyle w:val="libNormal"/>
        <w:rPr>
          <w:rtl/>
          <w:lang w:bidi="fa-IR"/>
        </w:rPr>
      </w:pPr>
      <w:r w:rsidRPr="005D642E">
        <w:rPr>
          <w:rtl/>
          <w:lang w:bidi="fa-IR"/>
        </w:rPr>
        <w:t>قَالَ : وَسَأَلْتُهُ عَنْ سُؤْرِ الْحَائِضِ</w:t>
      </w:r>
      <w:r>
        <w:rPr>
          <w:rtl/>
          <w:lang w:bidi="fa-IR"/>
        </w:rPr>
        <w:t>؟</w:t>
      </w:r>
    </w:p>
    <w:p w:rsidR="00E3253D" w:rsidRPr="005D642E" w:rsidRDefault="00E3253D" w:rsidP="00E3253D">
      <w:pPr>
        <w:pStyle w:val="libNormal"/>
        <w:rPr>
          <w:rtl/>
          <w:lang w:bidi="fa-IR"/>
        </w:rPr>
      </w:pPr>
      <w:r w:rsidRPr="005D642E">
        <w:rPr>
          <w:rtl/>
          <w:lang w:bidi="fa-IR"/>
        </w:rPr>
        <w:t xml:space="preserve">فَقَالَ : « لَا تَوَضَّأْ مِنْهُ </w:t>
      </w:r>
      <w:r w:rsidRPr="007C12DB">
        <w:rPr>
          <w:rStyle w:val="libFootnotenumChar"/>
          <w:rtl/>
        </w:rPr>
        <w:t>(5)</w:t>
      </w:r>
      <w:r w:rsidRPr="005D642E">
        <w:rPr>
          <w:rtl/>
          <w:lang w:bidi="fa-IR"/>
        </w:rPr>
        <w:t xml:space="preserve"> ، وَتَوَضَّأْ </w:t>
      </w:r>
      <w:r w:rsidRPr="007C12DB">
        <w:rPr>
          <w:rStyle w:val="libFootnotenumChar"/>
          <w:rtl/>
        </w:rPr>
        <w:t>(6)</w:t>
      </w:r>
      <w:r w:rsidRPr="005D642E">
        <w:rPr>
          <w:rtl/>
          <w:lang w:bidi="fa-IR"/>
        </w:rPr>
        <w:t xml:space="preserve"> مِنْ سُؤْرِ الْجُنُبِ إِذَا كَانَتْ مَأْمُونَةً ، ثُمَّ تَغْسِلُ يَدَيْهَا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w:t>
      </w:r>
      <w:r w:rsidR="00E3253D">
        <w:rPr>
          <w:rtl/>
        </w:rPr>
        <w:t xml:space="preserve"> </w:t>
      </w:r>
      <w:r w:rsidR="007642BC">
        <w:rPr>
          <w:rtl/>
        </w:rPr>
        <w:t>-</w:t>
      </w:r>
      <w:r w:rsidR="00E3253D">
        <w:rPr>
          <w:rtl/>
        </w:rPr>
        <w:t xml:space="preserve"> </w:t>
      </w:r>
      <w:r w:rsidR="00E3253D" w:rsidRPr="005D642E">
        <w:rPr>
          <w:rtl/>
        </w:rPr>
        <w:t>« والنصراني والناصب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 ح 634 </w:t>
      </w:r>
      <w:r w:rsidR="00E3253D" w:rsidRPr="00E678B5">
        <w:rPr>
          <w:rStyle w:val="libFootnoteBoldChar"/>
          <w:rtl/>
        </w:rPr>
        <w:t>والاستبصار</w:t>
      </w:r>
      <w:r w:rsidR="00E3253D" w:rsidRPr="005D642E">
        <w:rPr>
          <w:rtl/>
        </w:rPr>
        <w:t xml:space="preserve"> ، ح 32 : + « بن مصعب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ت ، بث ، جح » وحاشية « بس » والوسائل : « ولا تتوضّ »</w:t>
      </w:r>
      <w:r w:rsidR="00E3253D">
        <w:rPr>
          <w:rtl/>
        </w:rPr>
        <w:t>.</w:t>
      </w:r>
      <w:r w:rsidR="00E3253D" w:rsidRPr="005D642E">
        <w:rPr>
          <w:rtl/>
        </w:rPr>
        <w:t xml:space="preserve"> وفي « بح ، بخ ، بف » : « ولا يتوضّأ »</w:t>
      </w:r>
      <w:r w:rsidR="00E3253D">
        <w:rPr>
          <w:rtl/>
        </w:rPr>
        <w:t>.</w:t>
      </w:r>
      <w:r w:rsidR="00E3253D" w:rsidRPr="005D642E">
        <w:rPr>
          <w:rtl/>
        </w:rPr>
        <w:t xml:space="preserve"> وفي « جن ، جس » </w:t>
      </w:r>
      <w:r w:rsidR="000D749A" w:rsidRPr="000D749A">
        <w:rPr>
          <w:rStyle w:val="libFootnoteBoldChar"/>
          <w:rtl/>
        </w:rPr>
        <w:t>والوافي</w:t>
      </w:r>
      <w:r w:rsidR="00E3253D" w:rsidRPr="005D642E">
        <w:rPr>
          <w:rtl/>
        </w:rPr>
        <w:t xml:space="preserve"> : « ولا تتوضّأ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222 ، ح 634 ؛ </w:t>
      </w:r>
      <w:r w:rsidR="00E3253D" w:rsidRPr="00E678B5">
        <w:rPr>
          <w:rStyle w:val="libFootnoteBoldChar"/>
          <w:rtl/>
        </w:rPr>
        <w:t>والاستبصار</w:t>
      </w:r>
      <w:r w:rsidR="00E3253D" w:rsidRPr="005D642E">
        <w:rPr>
          <w:rtl/>
        </w:rPr>
        <w:t xml:space="preserve"> ، ج 1 ، ص 17 ، ح 32 ، بسندهما عن صفوان بن يحيى ، وتمام الرواية فيهما : « سؤر الحائض تشرب [ في الاستبصار : يشرب ] منه ولاتوضّأ »</w:t>
      </w:r>
      <w:r w:rsidR="00E3253D">
        <w:rPr>
          <w:rtl/>
        </w:rPr>
        <w:t>.</w:t>
      </w:r>
      <w:r w:rsidR="00E3253D" w:rsidRPr="005D642E">
        <w:rPr>
          <w:rtl/>
        </w:rPr>
        <w:t xml:space="preserve"> وفي </w:t>
      </w:r>
      <w:r w:rsidR="00E3253D" w:rsidRPr="002F4D34">
        <w:rPr>
          <w:rStyle w:val="libFootnoteBoldChar"/>
          <w:rtl/>
        </w:rPr>
        <w:t>التهذيب</w:t>
      </w:r>
      <w:r w:rsidR="00E3253D" w:rsidRPr="005D642E">
        <w:rPr>
          <w:rtl/>
        </w:rPr>
        <w:t xml:space="preserve"> ، ح 636 </w:t>
      </w:r>
      <w:r w:rsidR="00E3253D">
        <w:rPr>
          <w:rtl/>
        </w:rPr>
        <w:t>و 6</w:t>
      </w:r>
      <w:r w:rsidR="00E3253D" w:rsidRPr="005D642E">
        <w:rPr>
          <w:rtl/>
        </w:rPr>
        <w:t xml:space="preserve">37 ؛ </w:t>
      </w:r>
      <w:r w:rsidR="00E3253D" w:rsidRPr="00E678B5">
        <w:rPr>
          <w:rStyle w:val="libFootnoteBoldChar"/>
          <w:rtl/>
        </w:rPr>
        <w:t>والاستبصار</w:t>
      </w:r>
      <w:r w:rsidR="00E3253D" w:rsidRPr="005D642E">
        <w:rPr>
          <w:rtl/>
        </w:rPr>
        <w:t xml:space="preserve"> ، ج 1 ، ص 17 ، ح 34 </w:t>
      </w:r>
      <w:r w:rsidR="00E3253D">
        <w:rPr>
          <w:rtl/>
        </w:rPr>
        <w:t>و 3</w:t>
      </w:r>
      <w:r w:rsidR="00E3253D" w:rsidRPr="005D642E">
        <w:rPr>
          <w:rtl/>
        </w:rPr>
        <w:t xml:space="preserve">5 ، بسند آخر ، مع اختلاف </w:t>
      </w:r>
      <w:r w:rsidR="00F4377B">
        <w:rPr>
          <w:rFonts w:hint="cs"/>
          <w:rtl/>
        </w:rPr>
        <w:t>.</w:t>
      </w:r>
      <w:r w:rsidR="00E3253D" w:rsidRPr="002F4D34">
        <w:rPr>
          <w:rStyle w:val="libFootnoteBoldChar"/>
          <w:rtl/>
        </w:rPr>
        <w:t>الوافي</w:t>
      </w:r>
      <w:r w:rsidR="00E3253D" w:rsidRPr="005D642E">
        <w:rPr>
          <w:rtl/>
        </w:rPr>
        <w:t xml:space="preserve"> ، ج 6 ، ص 56 ، ح 3745 ؛ </w:t>
      </w:r>
      <w:r w:rsidR="00E3253D" w:rsidRPr="002F4D34">
        <w:rPr>
          <w:rStyle w:val="libFootnoteBoldChar"/>
          <w:rtl/>
        </w:rPr>
        <w:t>الوسائل</w:t>
      </w:r>
      <w:r w:rsidR="00E3253D" w:rsidRPr="005D642E">
        <w:rPr>
          <w:rtl/>
        </w:rPr>
        <w:t xml:space="preserve"> ، ج 1 ، ص 236 ، ح 606 ؛ وص 237 ، ذيل ح 611.</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ت ، بث ، جح » : « لاتتوضّ »</w:t>
      </w:r>
      <w:r w:rsidR="00E3253D">
        <w:rPr>
          <w:rtl/>
        </w:rPr>
        <w:t>.</w:t>
      </w:r>
      <w:r w:rsidR="00E3253D" w:rsidRPr="005D642E">
        <w:rPr>
          <w:rtl/>
        </w:rPr>
        <w:t xml:space="preserve"> وفي « بح » : « لايتوضّأ »</w:t>
      </w:r>
      <w:r w:rsidR="00E3253D">
        <w:rPr>
          <w:rtl/>
        </w:rPr>
        <w:t>.</w:t>
      </w:r>
      <w:r w:rsidR="00E3253D" w:rsidRPr="005D642E">
        <w:rPr>
          <w:rtl/>
        </w:rPr>
        <w:t xml:space="preserve"> وفي « جس » : « لا يتوضّ » وفيه :</w:t>
      </w:r>
      <w:r w:rsidR="00E3253D">
        <w:rPr>
          <w:rtl/>
        </w:rPr>
        <w:t xml:space="preserve"> </w:t>
      </w:r>
      <w:r w:rsidR="007642BC">
        <w:rPr>
          <w:rtl/>
        </w:rPr>
        <w:t>-</w:t>
      </w:r>
      <w:r w:rsidR="00E3253D">
        <w:rPr>
          <w:rtl/>
        </w:rPr>
        <w:t xml:space="preserve"> </w:t>
      </w:r>
      <w:r w:rsidR="00E3253D" w:rsidRPr="005D642E">
        <w:rPr>
          <w:rtl/>
        </w:rPr>
        <w:t>« منه »</w:t>
      </w:r>
      <w:r w:rsidR="00E3253D">
        <w:rPr>
          <w:rtl/>
        </w:rPr>
        <w:t>.</w:t>
      </w:r>
      <w:r w:rsidR="00E3253D" w:rsidRPr="005D642E">
        <w:rPr>
          <w:rtl/>
        </w:rPr>
        <w:t xml:space="preserve"> وفي « ى ، بخ ، بف ، جن » وحاشية « ت » : « لا توضّ »</w:t>
      </w:r>
      <w:r w:rsidR="00E3253D">
        <w:rPr>
          <w:rtl/>
        </w:rPr>
        <w:t>.</w:t>
      </w:r>
      <w:r w:rsidR="00E3253D" w:rsidRPr="005D642E">
        <w:rPr>
          <w:rtl/>
        </w:rPr>
        <w:t xml:space="preserve"> وفي الاستبصار : « توضّأ به » بدل « لا توضّأ منه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ت ، ى ، بث ، بح ، بخ ، بف ، جح » : « وتوضّ »</w:t>
      </w:r>
      <w:r w:rsidR="00E3253D">
        <w:rPr>
          <w:rtl/>
        </w:rPr>
        <w:t>.</w:t>
      </w:r>
      <w:r w:rsidR="00E3253D" w:rsidRPr="005D642E">
        <w:rPr>
          <w:rtl/>
        </w:rPr>
        <w:t xml:space="preserve"> وفي « جس » : « ويتوضّ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 « ثمّ يغسل يديها »</w:t>
      </w:r>
      <w:r w:rsidR="00E3253D">
        <w:rPr>
          <w:rtl/>
        </w:rPr>
        <w:t>.</w:t>
      </w:r>
      <w:r w:rsidR="00E3253D" w:rsidRPr="005D642E">
        <w:rPr>
          <w:rtl/>
        </w:rPr>
        <w:t xml:space="preserve"> وفي « بث » : « ثمّ تغسّل يديها »</w:t>
      </w:r>
      <w:r w:rsidR="00E3253D">
        <w:rPr>
          <w:rtl/>
        </w:rPr>
        <w:t>.</w:t>
      </w:r>
      <w:r w:rsidR="00E3253D" w:rsidRPr="005D642E">
        <w:rPr>
          <w:rtl/>
        </w:rPr>
        <w:t xml:space="preserve"> وفي « جس » : « وتغسل أيديهما »</w:t>
      </w:r>
      <w:r w:rsidR="00E3253D">
        <w:rPr>
          <w:rtl/>
        </w:rPr>
        <w:t>.</w:t>
      </w:r>
      <w:r w:rsidR="00E3253D" w:rsidRPr="005D642E">
        <w:rPr>
          <w:rtl/>
        </w:rPr>
        <w:t xml:space="preserve"> وقال </w:t>
      </w:r>
      <w:r w:rsidR="00F4377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قَبْلَ أَنْ تُدْخِلَهُمَا فِي </w:t>
      </w:r>
      <w:r w:rsidRPr="007C12DB">
        <w:rPr>
          <w:rStyle w:val="libFootnotenumChar"/>
          <w:rtl/>
        </w:rPr>
        <w:t>(1)</w:t>
      </w:r>
      <w:r w:rsidRPr="005D642E">
        <w:rPr>
          <w:rtl/>
          <w:lang w:bidi="fa-IR"/>
        </w:rPr>
        <w:t xml:space="preserve"> الْإِنَاءِ ، وَكَانَ رَسُولُ اللهِ </w:t>
      </w:r>
      <w:r w:rsidR="0042621E" w:rsidRPr="0042621E">
        <w:rPr>
          <w:rStyle w:val="libAlaemChar"/>
          <w:rtl/>
        </w:rPr>
        <w:t>صلى‌الله‌عليه‌وآله</w:t>
      </w:r>
      <w:r w:rsidRPr="005D642E">
        <w:rPr>
          <w:rtl/>
          <w:lang w:bidi="fa-IR"/>
        </w:rPr>
        <w:t xml:space="preserve"> يَغْتَسِلُ هُوَ وَعَائِشَةُ فِي إِنَاءٍ وَاحِدٍ ، يَغْتَسِلَانِ </w:t>
      </w:r>
      <w:r w:rsidRPr="007C12DB">
        <w:rPr>
          <w:rStyle w:val="libFootnotenumChar"/>
          <w:rtl/>
        </w:rPr>
        <w:t>(2)</w:t>
      </w:r>
      <w:r w:rsidRPr="005D642E">
        <w:rPr>
          <w:rtl/>
          <w:lang w:bidi="fa-IR"/>
        </w:rPr>
        <w:t xml:space="preserve"> جَمِيعاً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A47CE3">
        <w:rPr>
          <w:rtl/>
        </w:rPr>
        <w:t>3847</w:t>
      </w:r>
      <w:r w:rsidRPr="00246318">
        <w:rPr>
          <w:rStyle w:val="libBold2Char"/>
          <w:rtl/>
        </w:rPr>
        <w:t xml:space="preserve"> / 3.</w:t>
      </w:r>
      <w:r w:rsidRPr="005D642E">
        <w:rPr>
          <w:rtl/>
          <w:lang w:bidi="fa-IR"/>
        </w:rPr>
        <w:t xml:space="preserve"> مُحَمَّدُ بْنُ يَحْيى ، عَنْ أَحْمَدَ بْنِ مُحَمَّدٍ ، عَنْ عَلِيِّ بْنِ الْحَكَمِ ، عَنِ‌</w:t>
      </w:r>
      <w:r>
        <w:rPr>
          <w:rFonts w:hint="cs"/>
          <w:rtl/>
          <w:lang w:bidi="fa-IR"/>
        </w:rPr>
        <w:t xml:space="preserve"> </w:t>
      </w:r>
      <w:r w:rsidRPr="005D642E">
        <w:rPr>
          <w:rtl/>
          <w:lang w:bidi="fa-IR"/>
        </w:rPr>
        <w:t>الْحُسَيْنِ بْنِ أَبِي الْعَلاءِ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الْحَائِضِ : يُشْرَبُ مِنْ سُؤْرِهَا</w:t>
      </w:r>
      <w:r>
        <w:rPr>
          <w:rtl/>
          <w:lang w:bidi="fa-IR"/>
        </w:rPr>
        <w:t>؟</w:t>
      </w:r>
    </w:p>
    <w:p w:rsidR="00E3253D" w:rsidRPr="005D642E" w:rsidRDefault="00E3253D" w:rsidP="00E3253D">
      <w:pPr>
        <w:pStyle w:val="libNormal"/>
        <w:rPr>
          <w:rtl/>
          <w:lang w:bidi="fa-IR"/>
        </w:rPr>
      </w:pPr>
      <w:r w:rsidRPr="005D642E">
        <w:rPr>
          <w:rtl/>
          <w:lang w:bidi="fa-IR"/>
        </w:rPr>
        <w:t xml:space="preserve">قَالَ : « نَعَمْ ، وَلَايُتَوَضَّأُ </w:t>
      </w:r>
      <w:r w:rsidRPr="007C12DB">
        <w:rPr>
          <w:rStyle w:val="libFootnotenumChar"/>
          <w:rtl/>
        </w:rPr>
        <w:t>(4)</w:t>
      </w:r>
      <w:r w:rsidRPr="005D642E">
        <w:rPr>
          <w:rtl/>
          <w:lang w:bidi="fa-IR"/>
        </w:rPr>
        <w:t xml:space="preserve"> مِنْهُ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A47CE3">
        <w:rPr>
          <w:rtl/>
        </w:rPr>
        <w:t>3848</w:t>
      </w:r>
      <w:r w:rsidRPr="00246318">
        <w:rPr>
          <w:rStyle w:val="libBold2Char"/>
          <w:rtl/>
        </w:rPr>
        <w:t xml:space="preserve"> / 4.</w:t>
      </w:r>
      <w:r w:rsidRPr="005D642E">
        <w:rPr>
          <w:rtl/>
          <w:lang w:bidi="fa-IR"/>
        </w:rPr>
        <w:t xml:space="preserve"> الْحُسَيْنُ بْنُ مُحَمَّدٍ ، عَنْ مُعَلَّى بْنِ مُحَمَّدٍ ، عَنِ الْوَشَّاءِ ، عَنْ حَمَّادِ بْنِ عُثْمَانَ ، عَنِ ابْنِ أَبِي يَعْفُورٍ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Pr>
          <w:rtl/>
          <w:lang w:bidi="fa-IR"/>
        </w:rPr>
        <w:t xml:space="preserve"> : أَ</w:t>
      </w:r>
      <w:r w:rsidRPr="005D642E">
        <w:rPr>
          <w:rtl/>
          <w:lang w:bidi="fa-IR"/>
        </w:rPr>
        <w:t>يَتَوَضَّأُ الرَّجُلُ مِنْ فَضْلِ الْمَرْأَةِ</w:t>
      </w:r>
      <w:r>
        <w:rPr>
          <w:rtl/>
          <w:lang w:bidi="fa-IR"/>
        </w:rPr>
        <w:t>؟</w:t>
      </w:r>
    </w:p>
    <w:p w:rsidR="00E3253D" w:rsidRPr="005D642E" w:rsidRDefault="00E3253D" w:rsidP="00E3253D">
      <w:pPr>
        <w:pStyle w:val="libNormal"/>
        <w:rPr>
          <w:rtl/>
          <w:lang w:bidi="fa-IR"/>
        </w:rPr>
      </w:pPr>
      <w:r w:rsidRPr="005D642E">
        <w:rPr>
          <w:rtl/>
          <w:lang w:bidi="fa-IR"/>
        </w:rPr>
        <w:t xml:space="preserve">قَالَ : « إِذَا كَانَتْ تَعْرِفُ الْوُضُوءَ ، وَلَايَتَوَضَّأْ </w:t>
      </w:r>
      <w:r w:rsidRPr="007C12DB">
        <w:rPr>
          <w:rStyle w:val="libFootnotenumChar"/>
          <w:rtl/>
        </w:rPr>
        <w:t>(6)</w:t>
      </w:r>
      <w:r w:rsidRPr="005D642E">
        <w:rPr>
          <w:rtl/>
          <w:lang w:bidi="fa-IR"/>
        </w:rPr>
        <w:t xml:space="preserve"> مِنْ‌</w:t>
      </w:r>
      <w:r w:rsidR="00B50FCF">
        <w:rPr>
          <w:rFonts w:hint="cs"/>
          <w:rtl/>
          <w:lang w:bidi="fa-IR"/>
        </w:rPr>
        <w:t>..............................</w:t>
      </w:r>
      <w:r w:rsidR="00B50FCF">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F1166A" w:rsidP="00E3253D">
      <w:pPr>
        <w:pStyle w:val="libFootnote0"/>
        <w:rPr>
          <w:rtl/>
          <w:lang w:bidi="fa-IR"/>
        </w:rPr>
      </w:pPr>
      <w:r>
        <w:rPr>
          <w:rFonts w:hint="cs"/>
          <w:rtl/>
        </w:rPr>
        <w:t xml:space="preserve">= </w:t>
      </w:r>
      <w:r w:rsidR="00E3253D" w:rsidRPr="005D642E">
        <w:rPr>
          <w:rtl/>
        </w:rPr>
        <w:t xml:space="preserve">في </w:t>
      </w:r>
      <w:r w:rsidR="00E3253D" w:rsidRPr="002F4D34">
        <w:rPr>
          <w:rStyle w:val="libFootnoteBoldChar"/>
          <w:rtl/>
        </w:rPr>
        <w:t>مشرق الشمسين</w:t>
      </w:r>
      <w:r w:rsidR="00E3253D" w:rsidRPr="005D642E">
        <w:rPr>
          <w:rtl/>
        </w:rPr>
        <w:t xml:space="preserve"> ، ص 403 : « قوله </w:t>
      </w:r>
      <w:r w:rsidR="00E3253D" w:rsidRPr="006F4B3D">
        <w:rPr>
          <w:rStyle w:val="libFootnoteAlaemChar"/>
          <w:rtl/>
        </w:rPr>
        <w:t>عليه‌السلام</w:t>
      </w:r>
      <w:r w:rsidR="00E3253D" w:rsidRPr="005D642E">
        <w:rPr>
          <w:rtl/>
        </w:rPr>
        <w:t xml:space="preserve"> : وتغسل يديها ، لعلّه كالتفسير للمأمونة ، ويحتمل جعله جملة برأسها يتضمّن أمر الحائض بغسل يديها قبل إدخالهما الإناء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39 : « ويحتمل أن يكون قيداً آخر لاستعمال سؤر الجنب أو بياناً لكونها مأمونة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يدخلاها » بدل « تدخلهما »</w:t>
      </w:r>
      <w:r w:rsidR="00E3253D">
        <w:rPr>
          <w:rtl/>
        </w:rPr>
        <w:t>.</w:t>
      </w:r>
      <w:r w:rsidR="00E3253D" w:rsidRPr="005D642E">
        <w:rPr>
          <w:rtl/>
        </w:rPr>
        <w:t xml:space="preserve"> وفي الوسائل ، ح 600 :</w:t>
      </w:r>
      <w:r w:rsidR="00E3253D">
        <w:rPr>
          <w:rtl/>
        </w:rPr>
        <w:t xml:space="preserve"> </w:t>
      </w:r>
      <w:r w:rsidR="007642BC">
        <w:rPr>
          <w:rtl/>
        </w:rPr>
        <w:t>-</w:t>
      </w:r>
      <w:r w:rsidR="00E3253D">
        <w:rPr>
          <w:rtl/>
        </w:rPr>
        <w:t xml:space="preserve"> </w:t>
      </w:r>
      <w:r w:rsidR="00E3253D" w:rsidRPr="005D642E">
        <w:rPr>
          <w:rtl/>
        </w:rPr>
        <w:t>« في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ت ، غ ، بس ، بف ، جح ، جن » </w:t>
      </w:r>
      <w:r w:rsidR="000D749A" w:rsidRPr="000D749A">
        <w:rPr>
          <w:rStyle w:val="libFootnoteBoldChar"/>
          <w:rtl/>
        </w:rPr>
        <w:t>والوافي</w:t>
      </w:r>
      <w:r w:rsidR="00E3253D" w:rsidRPr="005D642E">
        <w:rPr>
          <w:rtl/>
        </w:rPr>
        <w:t>. وفي « ى ، بح ، بخ ، بث » والمطبوع والوسائل : « ويغتسلان »</w:t>
      </w:r>
      <w:r w:rsidR="00E3253D">
        <w:rPr>
          <w:rtl/>
        </w:rPr>
        <w:t>.</w:t>
      </w:r>
      <w:r w:rsidR="00E3253D" w:rsidRPr="005D642E">
        <w:rPr>
          <w:rtl/>
        </w:rPr>
        <w:t xml:space="preserve"> وفي « جس » : « فيغتسلان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222 ، ح 633 ؛ </w:t>
      </w:r>
      <w:r w:rsidR="00E3253D" w:rsidRPr="00E678B5">
        <w:rPr>
          <w:rStyle w:val="libFootnoteBoldChar"/>
          <w:rtl/>
        </w:rPr>
        <w:t>والاستبصار</w:t>
      </w:r>
      <w:r w:rsidR="00E3253D" w:rsidRPr="005D642E">
        <w:rPr>
          <w:rtl/>
        </w:rPr>
        <w:t xml:space="preserve"> ، ج 1 ، ص 17 ، ح 31 ، بسندهما عن صفوان بن يحيى ، من قوله : « وسألته عن سؤر الحائض » مع اختلاف يسير </w:t>
      </w:r>
      <w:r w:rsidR="006F4B3D">
        <w:rPr>
          <w:rFonts w:hint="cs"/>
          <w:rtl/>
        </w:rPr>
        <w:t>.</w:t>
      </w:r>
      <w:r w:rsidR="00E3253D" w:rsidRPr="002F4D34">
        <w:rPr>
          <w:rStyle w:val="libFootnoteBoldChar"/>
          <w:rtl/>
        </w:rPr>
        <w:t>الوافي</w:t>
      </w:r>
      <w:r w:rsidR="00E3253D" w:rsidRPr="005D642E">
        <w:rPr>
          <w:rtl/>
        </w:rPr>
        <w:t xml:space="preserve"> ، ج 6 ، ص 57 ، ح 3748 ؛ </w:t>
      </w:r>
      <w:r w:rsidR="00E3253D" w:rsidRPr="002F4D34">
        <w:rPr>
          <w:rStyle w:val="libFootnoteBoldChar"/>
          <w:rtl/>
        </w:rPr>
        <w:t>الوسائل</w:t>
      </w:r>
      <w:r w:rsidR="00E3253D" w:rsidRPr="005D642E">
        <w:rPr>
          <w:rtl/>
        </w:rPr>
        <w:t xml:space="preserve"> ، ج 1 ، ص 234 ، ح 600 ، من قوله : « وسألته عن سؤر الحائض » ؛ </w:t>
      </w:r>
      <w:r w:rsidR="00E3253D" w:rsidRPr="002F4D34">
        <w:rPr>
          <w:rStyle w:val="libFootnoteBoldChar"/>
          <w:rtl/>
        </w:rPr>
        <w:t>وفيه</w:t>
      </w:r>
      <w:r w:rsidR="00E3253D" w:rsidRPr="005D642E">
        <w:rPr>
          <w:rtl/>
        </w:rPr>
        <w:t xml:space="preserve"> ، ج 2 ، ص 242 ، ح 2050 ، إلى قوله : « يضعا أيديهما في الإناء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بخ ، جح ، جس » : « ولا يتوضّ »</w:t>
      </w:r>
      <w:r w:rsidR="00E3253D">
        <w:rPr>
          <w:rtl/>
        </w:rPr>
        <w:t>.</w:t>
      </w:r>
      <w:r w:rsidR="00E3253D" w:rsidRPr="005D642E">
        <w:rPr>
          <w:rtl/>
        </w:rPr>
        <w:t xml:space="preserve"> وفي « بث » والوسائل : « ولا تتوضّ »</w:t>
      </w:r>
      <w:r w:rsidR="00E3253D">
        <w:rPr>
          <w:rtl/>
        </w:rPr>
        <w:t>.</w:t>
      </w:r>
      <w:r w:rsidR="00E3253D" w:rsidRPr="005D642E">
        <w:rPr>
          <w:rtl/>
        </w:rPr>
        <w:t xml:space="preserve"> وفي « بس » : « ولا تتوضّأ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222 ، ح 635 ؛ </w:t>
      </w:r>
      <w:r w:rsidR="00E3253D" w:rsidRPr="00E678B5">
        <w:rPr>
          <w:rStyle w:val="libFootnoteBoldChar"/>
          <w:rtl/>
        </w:rPr>
        <w:t>والاستبصار</w:t>
      </w:r>
      <w:r w:rsidR="00E3253D" w:rsidRPr="005D642E">
        <w:rPr>
          <w:rtl/>
        </w:rPr>
        <w:t xml:space="preserve"> ، ج 1 ، ص 17 ، ح 33 ، بسندهما عن الحسين بن أبي العلاء. </w:t>
      </w:r>
      <w:r w:rsidR="00E3253D" w:rsidRPr="002F4D34">
        <w:rPr>
          <w:rStyle w:val="libFootnoteBoldChar"/>
          <w:rtl/>
        </w:rPr>
        <w:t>مسائل عليّ بن جعفر</w:t>
      </w:r>
      <w:r w:rsidR="00E3253D" w:rsidRPr="005D642E">
        <w:rPr>
          <w:rtl/>
        </w:rPr>
        <w:t xml:space="preserve"> </w:t>
      </w:r>
      <w:r w:rsidR="00E3253D" w:rsidRPr="006F4B3D">
        <w:rPr>
          <w:rStyle w:val="libFootnoteAlaemChar"/>
          <w:rtl/>
        </w:rPr>
        <w:t>عليه‌السلام</w:t>
      </w:r>
      <w:r w:rsidR="00E3253D" w:rsidRPr="005D642E">
        <w:rPr>
          <w:rtl/>
        </w:rPr>
        <w:t xml:space="preserve"> ، ص 142 ، بسند آخر عن موسى‌بن جعفر </w:t>
      </w:r>
      <w:r w:rsidR="00E3253D" w:rsidRPr="006F4B3D">
        <w:rPr>
          <w:rStyle w:val="libFootnoteAlaemChar"/>
          <w:rtl/>
        </w:rPr>
        <w:t>عليهما‌السلام</w:t>
      </w:r>
      <w:r w:rsidR="00E3253D" w:rsidRPr="005D642E">
        <w:rPr>
          <w:rtl/>
        </w:rPr>
        <w:t xml:space="preserve"> ، وفي كلّها مع اختلاف يسير </w:t>
      </w:r>
      <w:r w:rsidR="006F4B3D">
        <w:rPr>
          <w:rFonts w:hint="cs"/>
          <w:rtl/>
        </w:rPr>
        <w:t>.</w:t>
      </w:r>
      <w:r w:rsidR="00E3253D" w:rsidRPr="002F4D34">
        <w:rPr>
          <w:rStyle w:val="libFootnoteBoldChar"/>
          <w:rtl/>
        </w:rPr>
        <w:t>الوافي</w:t>
      </w:r>
      <w:r w:rsidR="00E3253D" w:rsidRPr="005D642E">
        <w:rPr>
          <w:rtl/>
        </w:rPr>
        <w:t xml:space="preserve"> ، ج 6 ، ص 56 ، ح 3747 ؛ </w:t>
      </w:r>
      <w:r w:rsidR="00E3253D" w:rsidRPr="002F4D34">
        <w:rPr>
          <w:rStyle w:val="libFootnoteBoldChar"/>
          <w:rtl/>
        </w:rPr>
        <w:t>الوسائل</w:t>
      </w:r>
      <w:r w:rsidR="00E3253D" w:rsidRPr="005D642E">
        <w:rPr>
          <w:rtl/>
        </w:rPr>
        <w:t xml:space="preserve"> ، ج 1 ، ص 236 ، ح 607.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بح ، بس ، جس ، جن » : « ولا تتوضّأ »</w:t>
      </w:r>
      <w:r w:rsidR="00E3253D">
        <w:rPr>
          <w:rtl/>
        </w:rPr>
        <w:t>.</w:t>
      </w:r>
      <w:r w:rsidR="00E3253D" w:rsidRPr="005D642E">
        <w:rPr>
          <w:rtl/>
        </w:rPr>
        <w:t xml:space="preserve"> وفي « ى » : « ولا يتوضّ »</w:t>
      </w:r>
      <w:r w:rsidR="00E3253D">
        <w:rPr>
          <w:rtl/>
        </w:rPr>
        <w:t>.</w:t>
      </w:r>
      <w:r w:rsidR="009F10EE">
        <w:rPr>
          <w:rtl/>
        </w:rPr>
        <w:t xml:space="preserve"> وفي « بث ، بخ ، بف</w:t>
      </w:r>
      <w:r w:rsidR="00E3253D" w:rsidRPr="005D642E">
        <w:rPr>
          <w:rtl/>
        </w:rPr>
        <w:t xml:space="preserve">» والوسائل : </w:t>
      </w:r>
      <w:r w:rsidR="006F4B3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سُؤْرِ الْحَائِضِ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A47CE3">
        <w:rPr>
          <w:rtl/>
        </w:rPr>
        <w:t>3849</w:t>
      </w:r>
      <w:r w:rsidRPr="00246318">
        <w:rPr>
          <w:rStyle w:val="libBold2Char"/>
          <w:rtl/>
        </w:rPr>
        <w:t xml:space="preserve"> / 5.</w:t>
      </w:r>
      <w:r w:rsidRPr="005D642E">
        <w:rPr>
          <w:rtl/>
          <w:lang w:bidi="fa-IR"/>
        </w:rPr>
        <w:t xml:space="preserve"> عَلِيُّ بْنُ إِبْرَاهِيمَ ، عَنْ أَبِيهِ ، عَنْ عَبْدِ اللهِ بْنِ الْمُغِيرَةِ ، عَنْ سَعِيد</w:t>
      </w:r>
      <w:r w:rsidR="0046009A">
        <w:rPr>
          <w:rtl/>
          <w:lang w:bidi="fa-IR"/>
        </w:rPr>
        <w:t>ٍ الْأَعْرَجِ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سُؤْرِ الْيَهُودِيِّ وَالنَّصْرَانِيِّ</w:t>
      </w:r>
      <w:r>
        <w:rPr>
          <w:rtl/>
          <w:lang w:bidi="fa-IR"/>
        </w:rPr>
        <w:t>؟</w:t>
      </w:r>
      <w:r w:rsidRPr="005D642E">
        <w:rPr>
          <w:rtl/>
          <w:lang w:bidi="fa-IR"/>
        </w:rPr>
        <w:t xml:space="preserve"> فَقَالَ : « لَا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A47CE3">
        <w:rPr>
          <w:rtl/>
        </w:rPr>
        <w:t>3850</w:t>
      </w:r>
      <w:r w:rsidRPr="00246318">
        <w:rPr>
          <w:rStyle w:val="libBold2Char"/>
          <w:rtl/>
        </w:rPr>
        <w:t xml:space="preserve"> / 6.</w:t>
      </w:r>
      <w:r w:rsidRPr="005D642E">
        <w:rPr>
          <w:rtl/>
          <w:lang w:bidi="fa-IR"/>
        </w:rPr>
        <w:t xml:space="preserve"> أَحْمَدُ بْنُ إِدْرِيسَ ، عَنْ مُحَمَّدِ بْنِ أَحْمَدَ </w:t>
      </w:r>
      <w:r w:rsidRPr="007C12DB">
        <w:rPr>
          <w:rStyle w:val="libFootnotenumChar"/>
          <w:rtl/>
        </w:rPr>
        <w:t>(3)</w:t>
      </w:r>
      <w:r w:rsidRPr="005D642E">
        <w:rPr>
          <w:rtl/>
          <w:lang w:bidi="fa-IR"/>
        </w:rPr>
        <w:t xml:space="preserve"> ، عَنْ أَيُّوبَ بْنِ نُوحٍ ، عَنِ الْوَشَّاءِ ، عَمَّنْ ذَكَرَهُ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أَنَّهُ كَرِهَ </w:t>
      </w:r>
      <w:r w:rsidRPr="007C12DB">
        <w:rPr>
          <w:rStyle w:val="libFootnotenumChar"/>
          <w:rtl/>
        </w:rPr>
        <w:t>(4)</w:t>
      </w:r>
      <w:r w:rsidRPr="005D642E">
        <w:rPr>
          <w:rtl/>
          <w:lang w:bidi="fa-IR"/>
        </w:rPr>
        <w:t xml:space="preserve"> سُؤْرَ وَلَدِ الزِّنى وَسُؤْرَ </w:t>
      </w:r>
      <w:r w:rsidRPr="007C12DB">
        <w:rPr>
          <w:rStyle w:val="libFootnotenumChar"/>
          <w:rtl/>
        </w:rPr>
        <w:t>(5)</w:t>
      </w:r>
      <w:r w:rsidRPr="005D642E">
        <w:rPr>
          <w:rtl/>
          <w:lang w:bidi="fa-IR"/>
        </w:rPr>
        <w:t xml:space="preserve"> الْيَهُودِيِّ وَالنَّصْرَانِيِّ وَالْمُشْرِكِ وَكُلِّ مَا </w:t>
      </w:r>
      <w:r w:rsidRPr="007C12DB">
        <w:rPr>
          <w:rStyle w:val="libFootnotenumChar"/>
          <w:rtl/>
        </w:rPr>
        <w:t>(6)</w:t>
      </w:r>
      <w:r w:rsidRPr="005D642E">
        <w:rPr>
          <w:rtl/>
          <w:lang w:bidi="fa-IR"/>
        </w:rPr>
        <w:t xml:space="preserve"> خَالَفَ الْإِسْلَامَ ، وَكَانَ أَشَدَّ ذلِكَ </w:t>
      </w:r>
      <w:r w:rsidRPr="007C12DB">
        <w:rPr>
          <w:rStyle w:val="libFootnotenumChar"/>
          <w:rtl/>
        </w:rPr>
        <w:t>(7)</w:t>
      </w:r>
      <w:r w:rsidRPr="005D642E">
        <w:rPr>
          <w:rtl/>
          <w:lang w:bidi="fa-IR"/>
        </w:rPr>
        <w:t xml:space="preserve"> عِنْدَهُ سُؤْرُ النَّاصِبِ. </w:t>
      </w:r>
      <w:r w:rsidRPr="007C12DB">
        <w:rPr>
          <w:rStyle w:val="libFootnotenumChar"/>
          <w:rtl/>
        </w:rPr>
        <w:t>(8)</w:t>
      </w:r>
      <w:r w:rsidRPr="005D642E">
        <w:rPr>
          <w:rtl/>
          <w:lang w:bidi="fa-IR"/>
        </w:rPr>
        <w:t xml:space="preserve"> ‌</w:t>
      </w:r>
    </w:p>
    <w:p w:rsidR="00E3253D" w:rsidRDefault="00E3253D" w:rsidP="00E3253D">
      <w:pPr>
        <w:pStyle w:val="Heading2Center"/>
        <w:rPr>
          <w:rtl/>
          <w:lang w:bidi="fa-IR"/>
        </w:rPr>
      </w:pPr>
      <w:bookmarkStart w:id="34" w:name="_Toc344647222"/>
      <w:bookmarkStart w:id="35" w:name="_Toc462226737"/>
      <w:bookmarkStart w:id="36" w:name="_Toc40975843"/>
      <w:r w:rsidRPr="005D642E">
        <w:rPr>
          <w:rtl/>
          <w:lang w:bidi="fa-IR"/>
        </w:rPr>
        <w:t>8</w:t>
      </w:r>
      <w:r>
        <w:rPr>
          <w:rtl/>
          <w:lang w:bidi="fa-IR"/>
        </w:rPr>
        <w:t xml:space="preserve"> </w:t>
      </w:r>
      <w:r w:rsidR="007642BC">
        <w:rPr>
          <w:rtl/>
          <w:lang w:bidi="fa-IR"/>
        </w:rPr>
        <w:t>-</w:t>
      </w:r>
      <w:r>
        <w:rPr>
          <w:rtl/>
          <w:lang w:bidi="fa-IR"/>
        </w:rPr>
        <w:t xml:space="preserve"> </w:t>
      </w:r>
      <w:r w:rsidRPr="005D642E">
        <w:rPr>
          <w:rtl/>
          <w:lang w:bidi="fa-IR"/>
        </w:rPr>
        <w:t xml:space="preserve">بَابُ الرَّجُلِ يُدْخِلُ يَدَهُ فِي الْإِنَاءِ </w:t>
      </w:r>
      <w:r w:rsidRPr="007C12DB">
        <w:rPr>
          <w:rStyle w:val="libFootnotenumChar"/>
          <w:rtl/>
        </w:rPr>
        <w:t>(9)</w:t>
      </w:r>
      <w:r>
        <w:rPr>
          <w:rtl/>
        </w:rPr>
        <w:t xml:space="preserve"> </w:t>
      </w:r>
      <w:r w:rsidRPr="005D642E">
        <w:rPr>
          <w:rtl/>
          <w:lang w:bidi="fa-IR"/>
        </w:rPr>
        <w:t>قَبْلَ أَنْ يَغْسِلَهَا ، وَالْحَدِّ فِي غَسْلِ</w:t>
      </w:r>
      <w:bookmarkEnd w:id="34"/>
      <w:bookmarkEnd w:id="35"/>
      <w:bookmarkEnd w:id="36"/>
      <w:r w:rsidRPr="005D642E">
        <w:rPr>
          <w:rtl/>
          <w:lang w:bidi="fa-IR"/>
        </w:rPr>
        <w:t xml:space="preserve"> </w:t>
      </w:r>
    </w:p>
    <w:p w:rsidR="00E3253D" w:rsidRPr="005D642E" w:rsidRDefault="00E3253D" w:rsidP="00E3253D">
      <w:pPr>
        <w:pStyle w:val="Heading2Center"/>
        <w:rPr>
          <w:rtl/>
          <w:lang w:bidi="fa-IR"/>
        </w:rPr>
      </w:pPr>
      <w:bookmarkStart w:id="37" w:name="_Toc344647223"/>
      <w:bookmarkStart w:id="38" w:name="_Toc462226738"/>
      <w:bookmarkStart w:id="39" w:name="_Toc40975844"/>
      <w:r w:rsidRPr="005D642E">
        <w:rPr>
          <w:rtl/>
          <w:lang w:bidi="fa-IR"/>
        </w:rPr>
        <w:t>الْيَدَيْنِ مِنَ الْجَنَابَةِ وَالْبَوْلِ وَالْغَائِطِ وَالنَّوْمِ‌</w:t>
      </w:r>
      <w:bookmarkEnd w:id="37"/>
      <w:bookmarkEnd w:id="38"/>
      <w:bookmarkEnd w:id="39"/>
    </w:p>
    <w:p w:rsidR="00E3253D" w:rsidRPr="005D642E" w:rsidRDefault="00E3253D" w:rsidP="00E3253D">
      <w:pPr>
        <w:pStyle w:val="libNormal"/>
        <w:rPr>
          <w:rtl/>
          <w:lang w:bidi="fa-IR"/>
        </w:rPr>
      </w:pPr>
      <w:r w:rsidRPr="00A47CE3">
        <w:rPr>
          <w:rtl/>
        </w:rPr>
        <w:t>3851</w:t>
      </w:r>
      <w:r w:rsidRPr="00246318">
        <w:rPr>
          <w:rStyle w:val="libBold2Char"/>
          <w:rtl/>
        </w:rPr>
        <w:t xml:space="preserve"> / 1.</w:t>
      </w:r>
      <w:r w:rsidRPr="005D642E">
        <w:rPr>
          <w:rtl/>
          <w:lang w:bidi="fa-IR"/>
        </w:rPr>
        <w:t xml:space="preserve"> عَلِيُّ بْنُ إِبْرَاهِيمَ ، عَنْ أَبِيهِ ، عَنْ عَبْدِ اللهِ بْنِ الْمُغِيرَةِ ، عَنْ سَمَاعَةَ ، عَنْ‌</w:t>
      </w:r>
    </w:p>
    <w:p w:rsidR="00E3253D" w:rsidRPr="005D642E" w:rsidRDefault="00E3253D" w:rsidP="00E3253D">
      <w:pPr>
        <w:pStyle w:val="libLine"/>
        <w:rPr>
          <w:rtl/>
          <w:lang w:bidi="fa-IR"/>
        </w:rPr>
      </w:pPr>
      <w:r w:rsidRPr="005D642E">
        <w:rPr>
          <w:rtl/>
          <w:lang w:bidi="fa-IR"/>
        </w:rPr>
        <w:t>__________________</w:t>
      </w:r>
    </w:p>
    <w:p w:rsidR="00E3253D" w:rsidRPr="005D642E" w:rsidRDefault="009644FA" w:rsidP="00E3253D">
      <w:pPr>
        <w:pStyle w:val="libFootnote0"/>
        <w:rPr>
          <w:rtl/>
          <w:lang w:bidi="fa-IR"/>
        </w:rPr>
      </w:pPr>
      <w:r>
        <w:rPr>
          <w:rFonts w:hint="cs"/>
          <w:rtl/>
        </w:rPr>
        <w:t xml:space="preserve">= </w:t>
      </w:r>
      <w:r w:rsidR="00E3253D" w:rsidRPr="005D642E">
        <w:rPr>
          <w:rtl/>
        </w:rPr>
        <w:t>« ولا تتوضّ »</w:t>
      </w:r>
      <w:r w:rsidR="00E3253D">
        <w:rPr>
          <w:rtl/>
        </w:rPr>
        <w:t>.</w:t>
      </w:r>
      <w:r w:rsidR="00E3253D" w:rsidRPr="005D642E">
        <w:rPr>
          <w:rtl/>
        </w:rPr>
        <w:t xml:space="preserve"> ويعني بالوضوء الطهارة ، أي غسل الثياب والجسد من النجاسات. راجع : </w:t>
      </w:r>
      <w:r w:rsidR="00E3253D" w:rsidRPr="002F4D34">
        <w:rPr>
          <w:rStyle w:val="libFootnoteBoldChar"/>
          <w:rtl/>
        </w:rPr>
        <w:t>الوافي</w:t>
      </w:r>
      <w:r w:rsidR="00E3253D" w:rsidRPr="005D642E">
        <w:rPr>
          <w:rtl/>
        </w:rPr>
        <w:t xml:space="preserve"> ، ج 6 ، ص 58 ؛ </w:t>
      </w:r>
      <w:r w:rsidR="00E3253D" w:rsidRPr="002F4D34">
        <w:rPr>
          <w:rStyle w:val="libFootnoteBoldChar"/>
          <w:rtl/>
        </w:rPr>
        <w:t>مرآة العقول</w:t>
      </w:r>
      <w:r w:rsidR="00E3253D" w:rsidRPr="005D642E">
        <w:rPr>
          <w:rtl/>
        </w:rPr>
        <w:t xml:space="preserve"> ، ج 13 ، ص 40.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6 ، ص 57 ، ح 3750 ؛ </w:t>
      </w:r>
      <w:r w:rsidR="00E3253D" w:rsidRPr="002F4D34">
        <w:rPr>
          <w:rStyle w:val="libFootnoteBoldChar"/>
          <w:rtl/>
        </w:rPr>
        <w:t>الوسائل</w:t>
      </w:r>
      <w:r w:rsidR="00E3253D" w:rsidRPr="005D642E">
        <w:rPr>
          <w:rtl/>
        </w:rPr>
        <w:t xml:space="preserve"> ، ج 1 ، ص 236 ، ح 608.</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223 ، ح 638 ؛ </w:t>
      </w:r>
      <w:r w:rsidR="00E3253D" w:rsidRPr="00E678B5">
        <w:rPr>
          <w:rStyle w:val="libFootnoteBoldChar"/>
          <w:rtl/>
        </w:rPr>
        <w:t>والاستبصار</w:t>
      </w:r>
      <w:r w:rsidR="00E3253D" w:rsidRPr="005D642E">
        <w:rPr>
          <w:rtl/>
        </w:rPr>
        <w:t xml:space="preserve"> ، ج 1 ، ص 18 ، ح 36 ، بسندهما عن الكليني. </w:t>
      </w:r>
      <w:r w:rsidR="00E3253D" w:rsidRPr="002F4D34">
        <w:rPr>
          <w:rStyle w:val="libFootnoteBoldChar"/>
          <w:rtl/>
        </w:rPr>
        <w:t>الفقيه</w:t>
      </w:r>
      <w:r w:rsidR="00E3253D" w:rsidRPr="005D642E">
        <w:rPr>
          <w:rtl/>
        </w:rPr>
        <w:t xml:space="preserve"> ، ج 3 ، ص 347 ، ح 4220 ، معلّقاً عن سعيد الأعرج ، مع اختلاف يسير </w:t>
      </w:r>
      <w:r w:rsidR="009644FA">
        <w:rPr>
          <w:rFonts w:hint="cs"/>
          <w:rtl/>
        </w:rPr>
        <w:t>.</w:t>
      </w:r>
      <w:r w:rsidR="00E3253D" w:rsidRPr="002F4D34">
        <w:rPr>
          <w:rStyle w:val="libFootnoteBoldChar"/>
          <w:rtl/>
        </w:rPr>
        <w:t>الوافي</w:t>
      </w:r>
      <w:r w:rsidR="00E3253D" w:rsidRPr="005D642E">
        <w:rPr>
          <w:rtl/>
        </w:rPr>
        <w:t xml:space="preserve"> ، ج 6 ، ص 58 ، ح 3753 ؛ </w:t>
      </w:r>
      <w:r w:rsidR="00E3253D" w:rsidRPr="002F4D34">
        <w:rPr>
          <w:rStyle w:val="libFootnoteBoldChar"/>
          <w:rtl/>
        </w:rPr>
        <w:t>الوسائل</w:t>
      </w:r>
      <w:r w:rsidR="00E3253D" w:rsidRPr="005D642E">
        <w:rPr>
          <w:rtl/>
        </w:rPr>
        <w:t xml:space="preserve"> ، ج 1 ، ص 229 ، ح 586 ؛ وج 3 ، ص 421 ، ح 4047.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بن يحيى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 « كرّه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المراد بالكراهة هنا الحرمة »</w:t>
      </w:r>
      <w:r w:rsidR="00E3253D">
        <w:rPr>
          <w:rtl/>
        </w:rPr>
        <w:t>.</w:t>
      </w:r>
    </w:p>
    <w:tbl>
      <w:tblPr>
        <w:tblStyle w:val="TableGrid"/>
        <w:bidiVisual/>
        <w:tblW w:w="0" w:type="auto"/>
        <w:tblLook w:val="04A0" w:firstRow="1" w:lastRow="0" w:firstColumn="1" w:lastColumn="0" w:noHBand="0" w:noVBand="1"/>
      </w:tblPr>
      <w:tblGrid>
        <w:gridCol w:w="4006"/>
        <w:gridCol w:w="4006"/>
      </w:tblGrid>
      <w:tr w:rsidR="009644FA" w:rsidTr="009644FA">
        <w:tc>
          <w:tcPr>
            <w:tcW w:w="4006" w:type="dxa"/>
          </w:tcPr>
          <w:p w:rsidR="009644FA" w:rsidRDefault="0042621E" w:rsidP="00E3253D">
            <w:pPr>
              <w:pStyle w:val="libFootnote0"/>
              <w:rPr>
                <w:rtl/>
              </w:rPr>
            </w:pPr>
            <w:r w:rsidRPr="0042621E">
              <w:rPr>
                <w:rStyle w:val="libFootnote0Char"/>
                <w:rtl/>
              </w:rPr>
              <w:t>(5).</w:t>
            </w:r>
            <w:r w:rsidR="009644FA" w:rsidRPr="005D642E">
              <w:rPr>
                <w:rtl/>
              </w:rPr>
              <w:t xml:space="preserve"> في التهذيب </w:t>
            </w:r>
            <w:r w:rsidR="009644FA" w:rsidRPr="00E678B5">
              <w:rPr>
                <w:rStyle w:val="libFootnoteBoldChar"/>
                <w:rtl/>
              </w:rPr>
              <w:t>والاستبصار</w:t>
            </w:r>
            <w:r w:rsidR="009644FA" w:rsidRPr="005D642E">
              <w:rPr>
                <w:rtl/>
              </w:rPr>
              <w:t xml:space="preserve"> :</w:t>
            </w:r>
            <w:r w:rsidR="009644FA">
              <w:rPr>
                <w:rtl/>
              </w:rPr>
              <w:t xml:space="preserve"> - </w:t>
            </w:r>
            <w:r w:rsidR="009644FA" w:rsidRPr="005D642E">
              <w:rPr>
                <w:rtl/>
              </w:rPr>
              <w:t>« سؤر »</w:t>
            </w:r>
            <w:r w:rsidR="009644FA">
              <w:rPr>
                <w:rtl/>
              </w:rPr>
              <w:t>.</w:t>
            </w:r>
          </w:p>
        </w:tc>
        <w:tc>
          <w:tcPr>
            <w:tcW w:w="4006" w:type="dxa"/>
          </w:tcPr>
          <w:p w:rsidR="009644FA" w:rsidRDefault="0042621E" w:rsidP="00E3253D">
            <w:pPr>
              <w:pStyle w:val="libFootnote0"/>
              <w:rPr>
                <w:rtl/>
              </w:rPr>
            </w:pPr>
            <w:r w:rsidRPr="0042621E">
              <w:rPr>
                <w:rStyle w:val="libFootnote0Char"/>
                <w:rtl/>
              </w:rPr>
              <w:t>(6).</w:t>
            </w:r>
            <w:r w:rsidR="009644FA" w:rsidRPr="005D642E">
              <w:rPr>
                <w:rtl/>
              </w:rPr>
              <w:t xml:space="preserve"> في الاستبصار : « من »</w:t>
            </w:r>
            <w:r w:rsidR="009644FA">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ى ، بخ ، بف ، جس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ذلك »</w:t>
      </w:r>
      <w:r w:rsidR="00E3253D">
        <w:rPr>
          <w:rtl/>
        </w:rPr>
        <w:t>.</w:t>
      </w:r>
      <w:r w:rsidR="00E3253D" w:rsidRPr="005D642E">
        <w:rPr>
          <w:rtl/>
        </w:rPr>
        <w:t xml:space="preserve"> وفي حاشية « بح » : + « وفي الإناء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223 ، ح 639 ؛ </w:t>
      </w:r>
      <w:r w:rsidR="00E3253D" w:rsidRPr="00E678B5">
        <w:rPr>
          <w:rStyle w:val="libFootnoteBoldChar"/>
          <w:rtl/>
        </w:rPr>
        <w:t>والاستبصار</w:t>
      </w:r>
      <w:r w:rsidR="00E3253D" w:rsidRPr="005D642E">
        <w:rPr>
          <w:rtl/>
        </w:rPr>
        <w:t xml:space="preserve"> ، ج 1 ، ص 18 ، ح 37 ، بسندهما عن الكليني. </w:t>
      </w:r>
      <w:r w:rsidR="00E3253D" w:rsidRPr="002F4D34">
        <w:rPr>
          <w:rStyle w:val="libFootnoteBoldChar"/>
          <w:rtl/>
        </w:rPr>
        <w:t>الفقيه</w:t>
      </w:r>
      <w:r w:rsidR="00E3253D" w:rsidRPr="005D642E">
        <w:rPr>
          <w:rtl/>
        </w:rPr>
        <w:t xml:space="preserve"> ، ج 1 ، ص 9 ، ذيل ح 11 ، مع اختلاف يسير </w:t>
      </w:r>
      <w:r w:rsidR="009644FA">
        <w:rPr>
          <w:rFonts w:hint="cs"/>
          <w:rtl/>
        </w:rPr>
        <w:t>.</w:t>
      </w:r>
      <w:r w:rsidR="00E3253D" w:rsidRPr="002F4D34">
        <w:rPr>
          <w:rStyle w:val="libFootnoteBoldChar"/>
          <w:rtl/>
        </w:rPr>
        <w:t>الوافي</w:t>
      </w:r>
      <w:r w:rsidR="00E3253D" w:rsidRPr="005D642E">
        <w:rPr>
          <w:rtl/>
        </w:rPr>
        <w:t xml:space="preserve"> ، ج 6 ، ص 58 ، ح 3754 ؛ </w:t>
      </w:r>
      <w:r w:rsidR="00E3253D" w:rsidRPr="002F4D34">
        <w:rPr>
          <w:rStyle w:val="libFootnoteBoldChar"/>
          <w:rtl/>
        </w:rPr>
        <w:t>الوسائل</w:t>
      </w:r>
      <w:r w:rsidR="00E3253D" w:rsidRPr="005D642E">
        <w:rPr>
          <w:rtl/>
        </w:rPr>
        <w:t xml:space="preserve"> ، ج 1 ، ص 229 ، ح 587.</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ت ، بث ، بخ ، بف ، جح » </w:t>
      </w:r>
      <w:r w:rsidR="000D749A" w:rsidRPr="000D749A">
        <w:rPr>
          <w:rStyle w:val="libFootnoteBoldChar"/>
          <w:rtl/>
        </w:rPr>
        <w:t>والمرآة</w:t>
      </w:r>
      <w:r w:rsidR="00E3253D" w:rsidRPr="005D642E">
        <w:rPr>
          <w:rtl/>
        </w:rPr>
        <w:t xml:space="preserve"> : « في الماء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أَبِي بَصِيرٍ :</w:t>
      </w:r>
    </w:p>
    <w:p w:rsidR="00E3253D" w:rsidRPr="005D642E" w:rsidRDefault="00E3253D" w:rsidP="005D11CB">
      <w:pPr>
        <w:pStyle w:val="libNormal"/>
        <w:rPr>
          <w:rtl/>
          <w:lang w:bidi="fa-IR"/>
        </w:rPr>
      </w:pPr>
      <w:r w:rsidRPr="005D642E">
        <w:rPr>
          <w:rtl/>
          <w:lang w:bidi="fa-IR"/>
        </w:rPr>
        <w:t xml:space="preserve">عَنْهُمْ </w:t>
      </w:r>
      <w:r w:rsidRPr="00AC51C5">
        <w:rPr>
          <w:rStyle w:val="libAlaemChar"/>
          <w:rtl/>
        </w:rPr>
        <w:t>عليهم‌السلام</w:t>
      </w:r>
      <w:r w:rsidRPr="005D642E">
        <w:rPr>
          <w:rtl/>
          <w:lang w:bidi="fa-IR"/>
        </w:rPr>
        <w:t xml:space="preserve"> ، قَالَ : « إِذَا أَدْخَلْتَ </w:t>
      </w:r>
      <w:r w:rsidRPr="007C12DB">
        <w:rPr>
          <w:rStyle w:val="libFootnotenumChar"/>
          <w:rtl/>
        </w:rPr>
        <w:t>(1)</w:t>
      </w:r>
      <w:r w:rsidRPr="005D642E">
        <w:rPr>
          <w:rtl/>
          <w:lang w:bidi="fa-IR"/>
        </w:rPr>
        <w:t xml:space="preserve"> يَدَكَ فِي الْإِنَاءِ قَبْلَ أَنْ ت</w:t>
      </w:r>
      <w:r w:rsidR="009644FA">
        <w:rPr>
          <w:rtl/>
          <w:lang w:bidi="fa-IR"/>
        </w:rPr>
        <w:t>َغْسِلَهَا ، فَلَا بَأْسَ إِل</w:t>
      </w:r>
      <w:r w:rsidR="009644FA">
        <w:rPr>
          <w:rFonts w:hint="cs"/>
          <w:rtl/>
          <w:lang w:bidi="fa-IR"/>
        </w:rPr>
        <w:t>َّ</w:t>
      </w:r>
      <w:r w:rsidR="009644FA">
        <w:rPr>
          <w:rtl/>
          <w:lang w:bidi="fa-IR"/>
        </w:rPr>
        <w:t>ا</w:t>
      </w:r>
      <w:r w:rsidRPr="005D642E">
        <w:rPr>
          <w:rtl/>
          <w:lang w:bidi="fa-IR"/>
        </w:rPr>
        <w:t xml:space="preserve"> أَنْ يَكُونَ </w:t>
      </w:r>
      <w:r w:rsidRPr="007C12DB">
        <w:rPr>
          <w:rStyle w:val="libFootnotenumChar"/>
          <w:rtl/>
        </w:rPr>
        <w:t>(2)</w:t>
      </w:r>
      <w:r w:rsidRPr="005D642E">
        <w:rPr>
          <w:rtl/>
          <w:lang w:bidi="fa-IR"/>
        </w:rPr>
        <w:t xml:space="preserve"> أَصَابَهَا قَذَرُ </w:t>
      </w:r>
      <w:r w:rsidRPr="007C12DB">
        <w:rPr>
          <w:rStyle w:val="libFootnotenumChar"/>
          <w:rtl/>
        </w:rPr>
        <w:t>(3)</w:t>
      </w:r>
      <w:r w:rsidRPr="005D642E">
        <w:rPr>
          <w:rtl/>
          <w:lang w:bidi="fa-IR"/>
        </w:rPr>
        <w:t xml:space="preserve"> بَوْلٍ أَوْ جَنَابَةٍ ، فَإِنْ أَدْخَلْتَ </w:t>
      </w:r>
      <w:r w:rsidRPr="007C12DB">
        <w:rPr>
          <w:rStyle w:val="libFootnotenumChar"/>
          <w:rtl/>
        </w:rPr>
        <w:t>(4)</w:t>
      </w:r>
      <w:r w:rsidRPr="005D642E">
        <w:rPr>
          <w:rtl/>
          <w:lang w:bidi="fa-IR"/>
        </w:rPr>
        <w:t xml:space="preserve"> يَدَكَ فِي الْإِنَاءِ </w:t>
      </w:r>
      <w:r w:rsidRPr="007C12DB">
        <w:rPr>
          <w:rStyle w:val="libFootnotenumChar"/>
          <w:rtl/>
        </w:rPr>
        <w:t>(5)</w:t>
      </w:r>
      <w:r w:rsidRPr="005D642E">
        <w:rPr>
          <w:rtl/>
          <w:lang w:bidi="fa-IR"/>
        </w:rPr>
        <w:t xml:space="preserve"> وَفِيهَا شَيْ‌ءٌ مِنْ ذلِكَ ، فَأَهْرِقْ </w:t>
      </w:r>
      <w:r w:rsidRPr="007C12DB">
        <w:rPr>
          <w:rStyle w:val="libFootnotenumChar"/>
          <w:rtl/>
        </w:rPr>
        <w:t>(6)</w:t>
      </w:r>
      <w:r w:rsidRPr="005D642E">
        <w:rPr>
          <w:rtl/>
          <w:lang w:bidi="fa-IR"/>
        </w:rPr>
        <w:t xml:space="preserve"> ذلِكَ الْمَاءَ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A47CE3">
        <w:rPr>
          <w:rtl/>
        </w:rPr>
        <w:t>3852</w:t>
      </w:r>
      <w:r w:rsidRPr="00246318">
        <w:rPr>
          <w:rStyle w:val="libBold2Char"/>
          <w:rtl/>
        </w:rPr>
        <w:t xml:space="preserve"> / 2.</w:t>
      </w:r>
      <w:r w:rsidRPr="005D642E">
        <w:rPr>
          <w:rtl/>
          <w:lang w:bidi="fa-IR"/>
        </w:rPr>
        <w:t xml:space="preserve"> عِدَّةٌ مِنْ أَصْحَابِنَا ، عَنْ أَحْمَدَ بْنِ مُحَمَّدٍ ، عَنِ الْحُسَيْنِ بْنِ سَعِيدٍ ، عَنْ مُحَمَّدِ بْنِ سِنَانٍ ، عَنِ ابْنِ مُسْكَانَ ، عَنْ أَبِي بَصِيرٍ ، عَنْ عَبْدِ الْكَرِيمِ بْنِ عُتْبَةَ ، قَالَ :</w:t>
      </w:r>
    </w:p>
    <w:p w:rsidR="00E3253D" w:rsidRPr="005D642E" w:rsidRDefault="00E3253D" w:rsidP="00E3253D">
      <w:pPr>
        <w:pStyle w:val="libNormal"/>
        <w:rPr>
          <w:rtl/>
          <w:lang w:bidi="fa-IR"/>
        </w:rPr>
      </w:pPr>
      <w:r w:rsidRPr="005D642E">
        <w:rPr>
          <w:rtl/>
          <w:lang w:bidi="fa-IR"/>
        </w:rPr>
        <w:t xml:space="preserve">سَأَلْتُ الشَّيْخَ </w:t>
      </w:r>
      <w:r w:rsidRPr="007C12DB">
        <w:rPr>
          <w:rStyle w:val="libFootnotenumChar"/>
          <w:rtl/>
        </w:rPr>
        <w:t>(8)</w:t>
      </w:r>
      <w:r w:rsidRPr="005D642E">
        <w:rPr>
          <w:rtl/>
          <w:lang w:bidi="fa-IR"/>
        </w:rPr>
        <w:t xml:space="preserve"> عَنِ الرَّجُلِ </w:t>
      </w:r>
      <w:r w:rsidRPr="007C12DB">
        <w:rPr>
          <w:rStyle w:val="libFootnotenumChar"/>
          <w:rtl/>
        </w:rPr>
        <w:t>(9)</w:t>
      </w:r>
      <w:r w:rsidRPr="005D642E">
        <w:rPr>
          <w:rtl/>
          <w:lang w:bidi="fa-IR"/>
        </w:rPr>
        <w:t xml:space="preserve"> يَسْتَيْقِظُ مِنْ نَوْمِهِ </w:t>
      </w:r>
      <w:r w:rsidRPr="007C12DB">
        <w:rPr>
          <w:rStyle w:val="libFootnotenumChar"/>
          <w:rtl/>
        </w:rPr>
        <w:t>(10)</w:t>
      </w:r>
      <w:r>
        <w:rPr>
          <w:rtl/>
          <w:lang w:bidi="fa-IR"/>
        </w:rPr>
        <w:t xml:space="preserve"> وَلَمْ يَبُلْ : أَ</w:t>
      </w:r>
      <w:r w:rsidRPr="005D642E">
        <w:rPr>
          <w:rtl/>
          <w:lang w:bidi="fa-IR"/>
        </w:rPr>
        <w:t xml:space="preserve">يُدْخِلُ </w:t>
      </w:r>
      <w:r w:rsidRPr="007C12DB">
        <w:rPr>
          <w:rStyle w:val="libFootnotenumChar"/>
          <w:rtl/>
        </w:rPr>
        <w:t>(11)</w:t>
      </w:r>
      <w:r w:rsidRPr="005D642E">
        <w:rPr>
          <w:rtl/>
          <w:lang w:bidi="fa-IR"/>
        </w:rPr>
        <w:t xml:space="preserve"> يَدَهُ فِي الْإِنَاءِ قَبْلَ أَنْ يَغْسِلَهَا</w:t>
      </w:r>
      <w:r>
        <w:rPr>
          <w:rtl/>
          <w:lang w:bidi="fa-IR"/>
        </w:rPr>
        <w:t>؟</w:t>
      </w:r>
    </w:p>
    <w:p w:rsidR="00E3253D" w:rsidRPr="005D642E" w:rsidRDefault="00E3253D" w:rsidP="00E3253D">
      <w:pPr>
        <w:pStyle w:val="libNormal"/>
        <w:rPr>
          <w:rtl/>
          <w:lang w:bidi="fa-IR"/>
        </w:rPr>
      </w:pPr>
      <w:r w:rsidRPr="005D642E">
        <w:rPr>
          <w:rtl/>
          <w:lang w:bidi="fa-IR"/>
        </w:rPr>
        <w:t xml:space="preserve">قَالَ : « لَا ؛ لِأَنَّهُ لَايَدْرِي أَيْنَ كَانَتْ يَدُهُ ، فَلْيَغْسِلْهَا </w:t>
      </w:r>
      <w:r w:rsidRPr="007C12DB">
        <w:rPr>
          <w:rStyle w:val="libFootnotenumChar"/>
          <w:rtl/>
        </w:rPr>
        <w:t>(12)</w:t>
      </w:r>
      <w:r w:rsidRPr="005D642E">
        <w:rPr>
          <w:rtl/>
          <w:lang w:bidi="fa-IR"/>
        </w:rPr>
        <w:t xml:space="preserve"> »</w:t>
      </w:r>
      <w:r>
        <w:rPr>
          <w:rtl/>
          <w:lang w:bidi="fa-IR"/>
        </w:rPr>
        <w:t>.</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ت ، غ ، ى ، بث ، بخ ، بس ، جح ، جس ، جن »</w:t>
      </w:r>
      <w:r w:rsidR="00E3253D">
        <w:rPr>
          <w:rtl/>
        </w:rPr>
        <w:t>.</w:t>
      </w:r>
      <w:r w:rsidR="00E3253D" w:rsidRPr="005D642E">
        <w:rPr>
          <w:rtl/>
        </w:rPr>
        <w:t xml:space="preserve"> وف</w:t>
      </w:r>
      <w:r w:rsidR="009F10EE">
        <w:rPr>
          <w:rtl/>
        </w:rPr>
        <w:t>ي « بح ، بف » والمطبوع : «دخلت</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جس » : « أن تكون »</w:t>
      </w:r>
      <w:r w:rsidR="00E3253D">
        <w:rPr>
          <w:rtl/>
        </w:rPr>
        <w:t>.</w:t>
      </w:r>
    </w:p>
    <w:p w:rsidR="00E3253D" w:rsidRPr="005D642E" w:rsidRDefault="0042621E" w:rsidP="005A1D80">
      <w:pPr>
        <w:pStyle w:val="libFootnote0"/>
        <w:rPr>
          <w:rtl/>
          <w:lang w:bidi="fa-IR"/>
        </w:rPr>
      </w:pPr>
      <w:r w:rsidRPr="0042621E">
        <w:rPr>
          <w:rStyle w:val="libFootnote0Char"/>
          <w:rtl/>
        </w:rPr>
        <w:t>(3).</w:t>
      </w:r>
      <w:r w:rsidR="00E3253D" w:rsidRPr="005D642E">
        <w:rPr>
          <w:rtl/>
        </w:rPr>
        <w:t xml:space="preserve"> القَذَرُ : مصدر ، وهو ضدُّ النظافة والوسخُ. وقيل أيضاً : هو النجاسة. راجع : </w:t>
      </w:r>
      <w:r w:rsidR="00E3253D" w:rsidRPr="002F4D34">
        <w:rPr>
          <w:rStyle w:val="libFootnoteBoldChar"/>
          <w:rtl/>
        </w:rPr>
        <w:t>الصحاح</w:t>
      </w:r>
      <w:r w:rsidR="00E3253D" w:rsidRPr="005D642E">
        <w:rPr>
          <w:rtl/>
        </w:rPr>
        <w:t xml:space="preserve"> ، ج 2 ، ص 787 ؛ </w:t>
      </w:r>
      <w:r w:rsidR="00E3253D" w:rsidRPr="002F4D34">
        <w:rPr>
          <w:rStyle w:val="libFootnoteBoldChar"/>
          <w:rtl/>
        </w:rPr>
        <w:t>مجمع البحرين</w:t>
      </w:r>
      <w:r w:rsidR="00E3253D" w:rsidRPr="005D642E">
        <w:rPr>
          <w:rtl/>
        </w:rPr>
        <w:t xml:space="preserve"> ، ج 3 ، ص 453 ( قذر )</w:t>
      </w:r>
      <w:r w:rsidR="00E3253D">
        <w:rPr>
          <w:rtl/>
        </w:rPr>
        <w:t>.</w:t>
      </w:r>
      <w:r w:rsidR="005A1D80">
        <w:rPr>
          <w:rFonts w:hint="cs"/>
          <w:rtl/>
        </w:rPr>
        <w:t xml:space="preserve">                       </w:t>
      </w:r>
      <w:r w:rsidRPr="0042621E">
        <w:rPr>
          <w:rStyle w:val="libFootnote0Char"/>
          <w:rtl/>
        </w:rPr>
        <w:t>(4).</w:t>
      </w:r>
      <w:r w:rsidR="00E3253D" w:rsidRPr="005D642E">
        <w:rPr>
          <w:rtl/>
        </w:rPr>
        <w:t xml:space="preserve"> هكذا في النسخ. وفي المطبوع : « دخلت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بث » والوسائل : « في الماء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هَراقَ الماءَ يُهَرِيقُ</w:t>
      </w:r>
      <w:r w:rsidR="00E3253D">
        <w:rPr>
          <w:rtl/>
        </w:rPr>
        <w:t xml:space="preserve"> </w:t>
      </w:r>
      <w:r w:rsidR="007642BC">
        <w:rPr>
          <w:rtl/>
        </w:rPr>
        <w:t>-</w:t>
      </w:r>
      <w:r w:rsidR="00E3253D">
        <w:rPr>
          <w:rtl/>
        </w:rPr>
        <w:t xml:space="preserve"> </w:t>
      </w:r>
      <w:r w:rsidR="00E3253D" w:rsidRPr="005D642E">
        <w:rPr>
          <w:rtl/>
        </w:rPr>
        <w:t>بفتح الهاء</w:t>
      </w:r>
      <w:r w:rsidR="00E3253D">
        <w:rPr>
          <w:rtl/>
        </w:rPr>
        <w:t xml:space="preserve"> </w:t>
      </w:r>
      <w:r w:rsidR="007642BC">
        <w:rPr>
          <w:rtl/>
        </w:rPr>
        <w:t>-</w:t>
      </w:r>
      <w:r w:rsidR="00E3253D">
        <w:rPr>
          <w:rtl/>
        </w:rPr>
        <w:t xml:space="preserve"> </w:t>
      </w:r>
      <w:r w:rsidR="00E3253D" w:rsidRPr="005D642E">
        <w:rPr>
          <w:rtl/>
        </w:rPr>
        <w:t>هِراقَةً ، أي صبّه. وفيه لغة ا</w:t>
      </w:r>
      <w:r w:rsidR="00DD663F">
        <w:rPr>
          <w:rFonts w:hint="cs"/>
          <w:rtl/>
        </w:rPr>
        <w:t>ُ</w:t>
      </w:r>
      <w:r w:rsidR="00E3253D" w:rsidRPr="005D642E">
        <w:rPr>
          <w:rtl/>
        </w:rPr>
        <w:t xml:space="preserve">خرى : أَهْرَق يُهْرِقُ إِهْراقاً ، على وزن أَفْعَلَ يُفْعِلُ ، فيجمع بين البدل والمبدل. وفيه لغة ثالثة : أَهْراقَ يُهْرِيقُ إهْراقاً ، وهذا شاذّ. راجع : </w:t>
      </w:r>
      <w:r w:rsidR="00E3253D" w:rsidRPr="002F4D34">
        <w:rPr>
          <w:rStyle w:val="libFootnoteBoldChar"/>
          <w:rtl/>
        </w:rPr>
        <w:t>الصحاح</w:t>
      </w:r>
      <w:r w:rsidR="00E3253D" w:rsidRPr="005D642E">
        <w:rPr>
          <w:rtl/>
        </w:rPr>
        <w:t xml:space="preserve"> ، ج 4 ، ص 1569 ؛ </w:t>
      </w:r>
      <w:r w:rsidR="00E3253D" w:rsidRPr="002F4D34">
        <w:rPr>
          <w:rStyle w:val="libFootnoteBoldChar"/>
          <w:rtl/>
        </w:rPr>
        <w:t>النهاية</w:t>
      </w:r>
      <w:r w:rsidR="00E3253D" w:rsidRPr="005D642E">
        <w:rPr>
          <w:rtl/>
        </w:rPr>
        <w:t xml:space="preserve"> ، ج 5 ، ص 260 ( هرق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81 ، فيما نقله عن رسالة أبيه ، مع اختلاف يسير </w:t>
      </w:r>
      <w:r w:rsidR="00DD663F">
        <w:rPr>
          <w:rFonts w:hint="cs"/>
          <w:rtl/>
        </w:rPr>
        <w:t>.</w:t>
      </w:r>
      <w:r w:rsidR="00E3253D" w:rsidRPr="002F4D34">
        <w:rPr>
          <w:rStyle w:val="libFootnoteBoldChar"/>
          <w:rtl/>
        </w:rPr>
        <w:t>الوافي</w:t>
      </w:r>
      <w:r w:rsidR="00E3253D" w:rsidRPr="005D642E">
        <w:rPr>
          <w:rtl/>
        </w:rPr>
        <w:t xml:space="preserve"> ، ج 6 ، ص 64 ، ح 3769 ؛ </w:t>
      </w:r>
      <w:r w:rsidR="00E3253D" w:rsidRPr="002F4D34">
        <w:rPr>
          <w:rStyle w:val="libFootnoteBoldChar"/>
          <w:rtl/>
        </w:rPr>
        <w:t>الوسائل</w:t>
      </w:r>
      <w:r w:rsidR="00E3253D" w:rsidRPr="005D642E">
        <w:rPr>
          <w:rtl/>
        </w:rPr>
        <w:t xml:space="preserve"> ، ج 1 ، ص 152 ، ح 378.</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جن » </w:t>
      </w:r>
      <w:r w:rsidR="000D749A" w:rsidRPr="000D749A">
        <w:rPr>
          <w:rStyle w:val="libFootnoteBoldChar"/>
          <w:rtl/>
        </w:rPr>
        <w:t>والوافي</w:t>
      </w:r>
      <w:r w:rsidR="00E3253D" w:rsidRPr="005D642E">
        <w:rPr>
          <w:rtl/>
        </w:rPr>
        <w:t xml:space="preserve"> : + « </w:t>
      </w:r>
      <w:r w:rsidR="00E3253D" w:rsidRPr="00DD663F">
        <w:rPr>
          <w:rtl/>
        </w:rPr>
        <w:t>عليه‌</w:t>
      </w:r>
      <w:r w:rsidR="00DD663F">
        <w:rPr>
          <w:rFonts w:hint="cs"/>
          <w:rtl/>
        </w:rPr>
        <w:t xml:space="preserve"> </w:t>
      </w:r>
      <w:r w:rsidR="00E3253D" w:rsidRPr="00DD663F">
        <w:rPr>
          <w:rtl/>
        </w:rPr>
        <w:t>السلام</w:t>
      </w:r>
      <w:r w:rsidR="00E3253D" w:rsidRPr="005D642E">
        <w:rPr>
          <w:rtl/>
        </w:rPr>
        <w:t xml:space="preserve"> »</w:t>
      </w:r>
      <w:r w:rsidR="00E3253D">
        <w:rPr>
          <w:rtl/>
        </w:rPr>
        <w:t>.</w:t>
      </w:r>
      <w:r w:rsidR="00E3253D" w:rsidRPr="005D642E">
        <w:rPr>
          <w:rtl/>
        </w:rPr>
        <w:t xml:space="preserve"> وفي التهذيب </w:t>
      </w:r>
      <w:r w:rsidR="00E3253D" w:rsidRPr="00E678B5">
        <w:rPr>
          <w:rStyle w:val="libFootnoteBoldChar"/>
          <w:rtl/>
        </w:rPr>
        <w:t>والاستبصار</w:t>
      </w:r>
      <w:r w:rsidR="00E3253D" w:rsidRPr="005D642E">
        <w:rPr>
          <w:rtl/>
        </w:rPr>
        <w:t xml:space="preserve"> : « سألت أبا عبدالله </w:t>
      </w:r>
      <w:r w:rsidR="00E3253D" w:rsidRPr="00DD663F">
        <w:rPr>
          <w:rStyle w:val="libFootnoteAlaemChar"/>
          <w:rtl/>
        </w:rPr>
        <w:t>عليه‌السلام</w:t>
      </w:r>
      <w:r w:rsidR="00E3253D" w:rsidRPr="005D642E">
        <w:rPr>
          <w:rtl/>
        </w:rPr>
        <w:t xml:space="preserve"> »</w:t>
      </w:r>
      <w:r w:rsidR="00E3253D">
        <w:rPr>
          <w:rtl/>
        </w:rPr>
        <w:t>.</w:t>
      </w:r>
    </w:p>
    <w:tbl>
      <w:tblPr>
        <w:tblStyle w:val="TableGrid"/>
        <w:bidiVisual/>
        <w:tblW w:w="0" w:type="auto"/>
        <w:tblLook w:val="04A0" w:firstRow="1" w:lastRow="0" w:firstColumn="1" w:lastColumn="0" w:noHBand="0" w:noVBand="1"/>
      </w:tblPr>
      <w:tblGrid>
        <w:gridCol w:w="4006"/>
        <w:gridCol w:w="4006"/>
      </w:tblGrid>
      <w:tr w:rsidR="00DD663F" w:rsidTr="00DD663F">
        <w:tc>
          <w:tcPr>
            <w:tcW w:w="4006" w:type="dxa"/>
          </w:tcPr>
          <w:p w:rsidR="00DD663F" w:rsidRDefault="0042621E" w:rsidP="00E3253D">
            <w:pPr>
              <w:pStyle w:val="libFootnote0"/>
              <w:rPr>
                <w:rtl/>
                <w:lang w:bidi="fa-IR"/>
              </w:rPr>
            </w:pPr>
            <w:r w:rsidRPr="0042621E">
              <w:rPr>
                <w:rStyle w:val="libFootnote0Char"/>
                <w:rtl/>
              </w:rPr>
              <w:t>(9).</w:t>
            </w:r>
            <w:r w:rsidR="00DD663F" w:rsidRPr="005D642E">
              <w:rPr>
                <w:rtl/>
              </w:rPr>
              <w:t xml:space="preserve"> في حاشية « ت ، جن » : « رجل »</w:t>
            </w:r>
            <w:r w:rsidR="00DD663F">
              <w:rPr>
                <w:rtl/>
              </w:rPr>
              <w:t>.</w:t>
            </w:r>
          </w:p>
        </w:tc>
        <w:tc>
          <w:tcPr>
            <w:tcW w:w="4006" w:type="dxa"/>
          </w:tcPr>
          <w:p w:rsidR="00DD663F" w:rsidRDefault="0042621E" w:rsidP="00E3253D">
            <w:pPr>
              <w:pStyle w:val="libFootnote0"/>
              <w:rPr>
                <w:rtl/>
                <w:lang w:bidi="fa-IR"/>
              </w:rPr>
            </w:pPr>
            <w:r w:rsidRPr="0042621E">
              <w:rPr>
                <w:rStyle w:val="libFootnote0Char"/>
                <w:rtl/>
              </w:rPr>
              <w:t>(10).</w:t>
            </w:r>
            <w:r w:rsidR="00DD663F" w:rsidRPr="005D642E">
              <w:rPr>
                <w:rtl/>
              </w:rPr>
              <w:t xml:space="preserve"> في « بس » : « النوم »</w:t>
            </w:r>
            <w:r w:rsidR="00DD663F">
              <w:rPr>
                <w:rtl/>
              </w:rPr>
              <w:t>.</w:t>
            </w:r>
          </w:p>
        </w:tc>
      </w:tr>
    </w:tbl>
    <w:p w:rsidR="00E3253D" w:rsidRPr="005D642E" w:rsidRDefault="0042621E" w:rsidP="00E3253D">
      <w:pPr>
        <w:pStyle w:val="libFootnote0"/>
        <w:rPr>
          <w:rtl/>
          <w:lang w:bidi="fa-IR"/>
        </w:rPr>
      </w:pPr>
      <w:r w:rsidRPr="0042621E">
        <w:rPr>
          <w:rStyle w:val="libFootnote0Char"/>
          <w:rtl/>
        </w:rPr>
        <w:t>(11).</w:t>
      </w:r>
      <w:r w:rsidR="00E3253D">
        <w:rPr>
          <w:rtl/>
        </w:rPr>
        <w:t xml:space="preserve"> في « جس » : « أ</w:t>
      </w:r>
      <w:r w:rsidR="00E3253D" w:rsidRPr="005D642E">
        <w:rPr>
          <w:rtl/>
        </w:rPr>
        <w:t>ويدخل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ت ، بث » وحاشية « جن » </w:t>
      </w:r>
      <w:r w:rsidR="000D749A" w:rsidRPr="000D749A">
        <w:rPr>
          <w:rStyle w:val="libFootnoteBoldChar"/>
          <w:rtl/>
        </w:rPr>
        <w:t>والوافي</w:t>
      </w:r>
      <w:r w:rsidR="00E3253D" w:rsidRPr="005D642E">
        <w:rPr>
          <w:rtl/>
        </w:rPr>
        <w:t xml:space="preserve"> : « فيغسلها »</w:t>
      </w:r>
      <w:r w:rsidR="00E3253D">
        <w:rPr>
          <w:rtl/>
        </w:rPr>
        <w:t>.</w:t>
      </w:r>
      <w:r w:rsidR="00E3253D" w:rsidRPr="005D642E">
        <w:rPr>
          <w:rtl/>
        </w:rPr>
        <w:t xml:space="preserve"> وفي « بخ » : « يغسلها »</w:t>
      </w:r>
      <w:r w:rsidR="00E3253D">
        <w:rPr>
          <w:rtl/>
        </w:rPr>
        <w:t>.</w:t>
      </w:r>
      <w:r w:rsidR="00E3253D" w:rsidRPr="005D642E">
        <w:rPr>
          <w:rtl/>
        </w:rPr>
        <w:t xml:space="preserve"> وفي حاشية « ى » : « فليغسل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علل الشرائع</w:t>
      </w:r>
      <w:r w:rsidR="00E3253D" w:rsidRPr="005D642E">
        <w:rPr>
          <w:rtl/>
        </w:rPr>
        <w:t xml:space="preserve"> ، ص 282 ، ح 1 ، بسنده عن الحسين بن سعيد. وفي </w:t>
      </w:r>
      <w:r w:rsidR="00E3253D" w:rsidRPr="002F4D34">
        <w:rPr>
          <w:rStyle w:val="libFootnoteBoldChar"/>
          <w:rtl/>
        </w:rPr>
        <w:t>التهذيب</w:t>
      </w:r>
      <w:r w:rsidR="00E3253D" w:rsidRPr="005D642E">
        <w:rPr>
          <w:rtl/>
        </w:rPr>
        <w:t xml:space="preserve"> ، ج 1 ، ص 39 ، ح 106 ؛ </w:t>
      </w:r>
      <w:r w:rsidR="00E3253D" w:rsidRPr="00E678B5">
        <w:rPr>
          <w:rStyle w:val="libFootnoteBoldChar"/>
          <w:rtl/>
        </w:rPr>
        <w:t>والاستبصار</w:t>
      </w:r>
      <w:r w:rsidR="00E3253D" w:rsidRPr="005D642E">
        <w:rPr>
          <w:rtl/>
        </w:rPr>
        <w:t xml:space="preserve"> ، ج 1 ، ص 51 ، ح 145 ، معلّقاً عن الحسين بن سعيد ، عن ابن سنان وعثمان بن عيسى جميعاً ، عن </w:t>
      </w:r>
      <w:r w:rsidR="00AB134E">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4F093E">
        <w:rPr>
          <w:rtl/>
        </w:rPr>
        <w:lastRenderedPageBreak/>
        <w:t>3853</w:t>
      </w:r>
      <w:r w:rsidRPr="00246318">
        <w:rPr>
          <w:rStyle w:val="libBold2Char"/>
          <w:rtl/>
        </w:rPr>
        <w:t xml:space="preserve"> / 3.</w:t>
      </w:r>
      <w:r w:rsidRPr="005D642E">
        <w:rPr>
          <w:rtl/>
          <w:lang w:bidi="fa-IR"/>
        </w:rPr>
        <w:t xml:space="preserve"> مُحَمَّدُ بْنُ يَحْيى ، عَنْ مُحَمَّدِ بْنِ إِسْمَاعِيلَ ، عَنْ عَلِيِّ بْنِ الْحَكَمِ ، عَنْ شِهَابِ بْنِ عَبْدِ رَبِّهِ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الرَّجُلِ </w:t>
      </w:r>
      <w:r w:rsidRPr="007C12DB">
        <w:rPr>
          <w:rStyle w:val="libFootnotenumChar"/>
          <w:rtl/>
        </w:rPr>
        <w:t>(1)</w:t>
      </w:r>
      <w:r w:rsidRPr="005D642E">
        <w:rPr>
          <w:rtl/>
          <w:lang w:bidi="fa-IR"/>
        </w:rPr>
        <w:t xml:space="preserve"> الْجُنُبِ يَسْهُو ، فَيَغْمِسُ يَدَهُ فِي الْإِنَاءِ </w:t>
      </w:r>
      <w:r w:rsidRPr="007C12DB">
        <w:rPr>
          <w:rStyle w:val="libFootnotenumChar"/>
          <w:rtl/>
        </w:rPr>
        <w:t>(2)</w:t>
      </w:r>
      <w:r w:rsidRPr="005D642E">
        <w:rPr>
          <w:rtl/>
          <w:lang w:bidi="fa-IR"/>
        </w:rPr>
        <w:t xml:space="preserve"> قَبْلَ أَنْ يَغْسِلَهَا : « أَنَّهُ لَابَأْسَ إِذَا لَمْ يَكُنْ أَصَابَ يَدَهُ شَيْ‌ءٌ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4F093E">
        <w:rPr>
          <w:rtl/>
        </w:rPr>
        <w:t>3854</w:t>
      </w:r>
      <w:r w:rsidRPr="00246318">
        <w:rPr>
          <w:rStyle w:val="libBold2Char"/>
          <w:rtl/>
        </w:rPr>
        <w:t xml:space="preserve"> / 4.</w:t>
      </w:r>
      <w:r w:rsidRPr="005D642E">
        <w:rPr>
          <w:rtl/>
          <w:lang w:bidi="fa-IR"/>
        </w:rPr>
        <w:t xml:space="preserve"> مُحَمَّدُ بْنُ يَحْيى ، عَنْ مُحَمَّدِ بْنِ الْحُسَيْنِ ، عَنْ عَلِيِّ بْنِ الْحَكَمِ ، عَنِ الْعَلَاءِ بْنِ رَزِينٍ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عَنِ الرَّجُلِ يَبُولُ وَلَمْ يَمَسَّ يَدَهُ شَيْ‌ءٌ </w:t>
      </w:r>
      <w:r w:rsidRPr="007C12DB">
        <w:rPr>
          <w:rStyle w:val="libFootnotenumChar"/>
          <w:rtl/>
        </w:rPr>
        <w:t>(5)</w:t>
      </w:r>
      <w:r>
        <w:rPr>
          <w:rtl/>
          <w:lang w:bidi="fa-IR"/>
        </w:rPr>
        <w:t xml:space="preserve"> : أَ</w:t>
      </w:r>
      <w:r w:rsidRPr="005D642E">
        <w:rPr>
          <w:rtl/>
          <w:lang w:bidi="fa-IR"/>
        </w:rPr>
        <w:t xml:space="preserve">يَغْمِسُهَا </w:t>
      </w:r>
      <w:r w:rsidRPr="007C12DB">
        <w:rPr>
          <w:rStyle w:val="libFootnotenumChar"/>
          <w:rtl/>
        </w:rPr>
        <w:t>(6)</w:t>
      </w:r>
      <w:r w:rsidRPr="005D642E">
        <w:rPr>
          <w:rtl/>
          <w:lang w:bidi="fa-IR"/>
        </w:rPr>
        <w:t xml:space="preserve"> فِي الْمَاءِ </w:t>
      </w:r>
      <w:r w:rsidRPr="007C12DB">
        <w:rPr>
          <w:rStyle w:val="libFootnotenumChar"/>
          <w:rtl/>
        </w:rPr>
        <w:t>(7)</w:t>
      </w:r>
      <w:r>
        <w:rPr>
          <w:rtl/>
          <w:lang w:bidi="fa-IR"/>
        </w:rPr>
        <w:t>؟</w:t>
      </w:r>
    </w:p>
    <w:p w:rsidR="00E3253D" w:rsidRPr="005D642E" w:rsidRDefault="00E3253D" w:rsidP="00E3253D">
      <w:pPr>
        <w:pStyle w:val="libNormal"/>
        <w:rPr>
          <w:rtl/>
          <w:lang w:bidi="fa-IR"/>
        </w:rPr>
      </w:pPr>
      <w:r w:rsidRPr="005D642E">
        <w:rPr>
          <w:rtl/>
          <w:lang w:bidi="fa-IR"/>
        </w:rPr>
        <w:t>قَالَ : « نَعَمْ وَإِنْ كَانَ جُنُباً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4F093E">
        <w:rPr>
          <w:rtl/>
        </w:rPr>
        <w:t>3855</w:t>
      </w:r>
      <w:r w:rsidRPr="00246318">
        <w:rPr>
          <w:rStyle w:val="libBold2Char"/>
          <w:rtl/>
        </w:rPr>
        <w:t xml:space="preserve"> / 5.</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 كَمْ يُفْرِغُ الرَّجُلُ عَلى يَدِهِ </w:t>
      </w:r>
      <w:r w:rsidRPr="007C12DB">
        <w:rPr>
          <w:rStyle w:val="libFootnotenumChar"/>
          <w:rtl/>
        </w:rPr>
        <w:t>(9)</w:t>
      </w:r>
      <w:r w:rsidRPr="005D642E">
        <w:rPr>
          <w:rtl/>
          <w:lang w:bidi="fa-IR"/>
        </w:rPr>
        <w:t xml:space="preserve"> قَبْلَ أَنْ يُدْخِلَهَا فِي الْإِنَاءِ</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781D6D" w:rsidP="00E3253D">
      <w:pPr>
        <w:pStyle w:val="libFootnote0"/>
        <w:rPr>
          <w:rtl/>
          <w:lang w:bidi="fa-IR"/>
        </w:rPr>
      </w:pPr>
      <w:r>
        <w:rPr>
          <w:rFonts w:hint="cs"/>
          <w:rtl/>
        </w:rPr>
        <w:t xml:space="preserve">= </w:t>
      </w:r>
      <w:r w:rsidR="00E3253D" w:rsidRPr="005D642E">
        <w:rPr>
          <w:rtl/>
        </w:rPr>
        <w:t xml:space="preserve">ابن مسكان ، مع زيادة في أوّله. </w:t>
      </w:r>
      <w:r w:rsidR="00E3253D" w:rsidRPr="002F4D34">
        <w:rPr>
          <w:rStyle w:val="libFootnoteBoldChar"/>
          <w:rtl/>
        </w:rPr>
        <w:t>الفقيه</w:t>
      </w:r>
      <w:r w:rsidR="00E3253D" w:rsidRPr="005D642E">
        <w:rPr>
          <w:rtl/>
        </w:rPr>
        <w:t xml:space="preserve"> ، ج 1 ، ص 51 ، ذيل ح 107 ، وفي كلّ المصادر مع اختلاف يسير </w:t>
      </w:r>
      <w:r w:rsidR="001F3BFD">
        <w:rPr>
          <w:rFonts w:hint="cs"/>
          <w:rtl/>
        </w:rPr>
        <w:t>.</w:t>
      </w:r>
      <w:r w:rsidR="00E3253D" w:rsidRPr="002F4D34">
        <w:rPr>
          <w:rStyle w:val="libFootnoteBoldChar"/>
          <w:rtl/>
        </w:rPr>
        <w:t>الوافي</w:t>
      </w:r>
      <w:r w:rsidR="00E3253D" w:rsidRPr="005D642E">
        <w:rPr>
          <w:rtl/>
        </w:rPr>
        <w:t xml:space="preserve"> ، ج 6 ، ص 65 ، ح 3772 ؛ </w:t>
      </w:r>
      <w:r w:rsidR="00E3253D" w:rsidRPr="002F4D34">
        <w:rPr>
          <w:rStyle w:val="libFootnoteBoldChar"/>
          <w:rtl/>
        </w:rPr>
        <w:t>الوسائل</w:t>
      </w:r>
      <w:r w:rsidR="00E3253D" w:rsidRPr="005D642E">
        <w:rPr>
          <w:rtl/>
        </w:rPr>
        <w:t xml:space="preserve"> ، ج 1 ، ص 428 ، ذيل ح 1119.</w:t>
      </w:r>
    </w:p>
    <w:tbl>
      <w:tblPr>
        <w:tblStyle w:val="TableGrid"/>
        <w:bidiVisual/>
        <w:tblW w:w="0" w:type="auto"/>
        <w:tblLook w:val="04A0" w:firstRow="1" w:lastRow="0" w:firstColumn="1" w:lastColumn="0" w:noHBand="0" w:noVBand="1"/>
      </w:tblPr>
      <w:tblGrid>
        <w:gridCol w:w="4006"/>
        <w:gridCol w:w="4006"/>
      </w:tblGrid>
      <w:tr w:rsidR="00414A78" w:rsidTr="00414A78">
        <w:tc>
          <w:tcPr>
            <w:tcW w:w="4006" w:type="dxa"/>
          </w:tcPr>
          <w:p w:rsidR="00414A78" w:rsidRDefault="0042621E" w:rsidP="00E3253D">
            <w:pPr>
              <w:pStyle w:val="libFootnote0"/>
              <w:rPr>
                <w:rtl/>
              </w:rPr>
            </w:pPr>
            <w:r w:rsidRPr="0042621E">
              <w:rPr>
                <w:rStyle w:val="libFootnote0Char"/>
                <w:rtl/>
              </w:rPr>
              <w:t>(1).</w:t>
            </w:r>
            <w:r w:rsidR="00414A78">
              <w:rPr>
                <w:rtl/>
              </w:rPr>
              <w:t xml:space="preserve"> </w:t>
            </w:r>
            <w:r w:rsidR="00414A78" w:rsidRPr="005D642E">
              <w:rPr>
                <w:rtl/>
              </w:rPr>
              <w:t>في الوسائل ، ح 602 :</w:t>
            </w:r>
            <w:r w:rsidR="00414A78">
              <w:rPr>
                <w:rtl/>
              </w:rPr>
              <w:t xml:space="preserve"> - </w:t>
            </w:r>
            <w:r w:rsidR="00414A78" w:rsidRPr="005D642E">
              <w:rPr>
                <w:rtl/>
              </w:rPr>
              <w:t>« الرجل »</w:t>
            </w:r>
            <w:r w:rsidR="00414A78">
              <w:rPr>
                <w:rtl/>
              </w:rPr>
              <w:t>.</w:t>
            </w:r>
          </w:p>
        </w:tc>
        <w:tc>
          <w:tcPr>
            <w:tcW w:w="4006" w:type="dxa"/>
          </w:tcPr>
          <w:p w:rsidR="00414A78" w:rsidRDefault="0042621E" w:rsidP="00E3253D">
            <w:pPr>
              <w:pStyle w:val="libFootnote0"/>
              <w:rPr>
                <w:rtl/>
              </w:rPr>
            </w:pPr>
            <w:r w:rsidRPr="0042621E">
              <w:rPr>
                <w:rStyle w:val="libFootnote0Char"/>
                <w:rtl/>
              </w:rPr>
              <w:t>(2).</w:t>
            </w:r>
            <w:r w:rsidR="00414A78" w:rsidRPr="005D642E">
              <w:rPr>
                <w:rtl/>
              </w:rPr>
              <w:t xml:space="preserve"> في حاشية « بح » : « الماء »</w:t>
            </w:r>
            <w:r w:rsidR="00414A78">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 « شيئاً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بصائر الدرجات</w:t>
      </w:r>
      <w:r w:rsidR="00E3253D" w:rsidRPr="005D642E">
        <w:rPr>
          <w:rtl/>
        </w:rPr>
        <w:t xml:space="preserve"> ، ص 238 ، ضمن ح 13 ، عن محمّد بن إسماعيل. وفي </w:t>
      </w:r>
      <w:r w:rsidR="00E3253D" w:rsidRPr="002F4D34">
        <w:rPr>
          <w:rStyle w:val="libFootnoteBoldChar"/>
          <w:rtl/>
        </w:rPr>
        <w:t>التهذيب</w:t>
      </w:r>
      <w:r w:rsidR="00E3253D" w:rsidRPr="005D642E">
        <w:rPr>
          <w:rtl/>
        </w:rPr>
        <w:t xml:space="preserve"> ، ج 1 ، ص 37 ، ح 99 ؛ وص 38 ، ضمن ح 102 ؛ </w:t>
      </w:r>
      <w:r w:rsidR="00E3253D" w:rsidRPr="00E678B5">
        <w:rPr>
          <w:rStyle w:val="libFootnoteBoldChar"/>
          <w:rtl/>
        </w:rPr>
        <w:t>والاستبصار</w:t>
      </w:r>
      <w:r w:rsidR="00E3253D" w:rsidRPr="005D642E">
        <w:rPr>
          <w:rtl/>
        </w:rPr>
        <w:t xml:space="preserve"> ، ج 1 ، ص 20 ، ح 47 ؛ وص 50 ، ح 144 ، بسند آخر ، وفي كلّها مع اختلاف يسير </w:t>
      </w:r>
      <w:r w:rsidR="00A1376F">
        <w:rPr>
          <w:rFonts w:hint="cs"/>
          <w:rtl/>
        </w:rPr>
        <w:t>.</w:t>
      </w:r>
      <w:r w:rsidR="00E3253D" w:rsidRPr="002F4D34">
        <w:rPr>
          <w:rStyle w:val="libFootnoteBoldChar"/>
          <w:rtl/>
        </w:rPr>
        <w:t>الوافي</w:t>
      </w:r>
      <w:r w:rsidR="00E3253D" w:rsidRPr="005D642E">
        <w:rPr>
          <w:rtl/>
        </w:rPr>
        <w:t xml:space="preserve"> ، ج 6 ، ص 65 ، ح 3773 ؛ </w:t>
      </w:r>
      <w:r w:rsidR="00E3253D" w:rsidRPr="002F4D34">
        <w:rPr>
          <w:rStyle w:val="libFootnoteBoldChar"/>
          <w:rtl/>
        </w:rPr>
        <w:t>الوسائل</w:t>
      </w:r>
      <w:r w:rsidR="00E3253D" w:rsidRPr="005D642E">
        <w:rPr>
          <w:rtl/>
        </w:rPr>
        <w:t xml:space="preserve"> ، ج 1 ، ص 152 ، ح 337 ؛ وص 235 ، ح 602.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 لم تمسّ يده اليمني شيئاً » وفي الاستبصار : « لا يمسّ يده اليمنى شي‌ء »</w:t>
      </w:r>
      <w:r w:rsidR="00E3253D">
        <w:rPr>
          <w:rtl/>
        </w:rPr>
        <w:t>.</w:t>
      </w:r>
    </w:p>
    <w:tbl>
      <w:tblPr>
        <w:tblStyle w:val="TableGrid"/>
        <w:bidiVisual/>
        <w:tblW w:w="0" w:type="auto"/>
        <w:tblLook w:val="04A0" w:firstRow="1" w:lastRow="0" w:firstColumn="1" w:lastColumn="0" w:noHBand="0" w:noVBand="1"/>
      </w:tblPr>
      <w:tblGrid>
        <w:gridCol w:w="4006"/>
        <w:gridCol w:w="4006"/>
      </w:tblGrid>
      <w:tr w:rsidR="00A1376F" w:rsidTr="00A1376F">
        <w:tc>
          <w:tcPr>
            <w:tcW w:w="4006" w:type="dxa"/>
          </w:tcPr>
          <w:p w:rsidR="00A1376F" w:rsidRDefault="0042621E" w:rsidP="00E3253D">
            <w:pPr>
              <w:pStyle w:val="libFootnote0"/>
              <w:rPr>
                <w:rtl/>
              </w:rPr>
            </w:pPr>
            <w:r w:rsidRPr="0042621E">
              <w:rPr>
                <w:rStyle w:val="libFootnote0Char"/>
                <w:rtl/>
              </w:rPr>
              <w:t>(6).</w:t>
            </w:r>
            <w:r w:rsidR="00A1376F" w:rsidRPr="005D642E">
              <w:rPr>
                <w:rtl/>
              </w:rPr>
              <w:t xml:space="preserve"> في « بح » : « أيغسلها »</w:t>
            </w:r>
            <w:r w:rsidR="00A1376F">
              <w:rPr>
                <w:rtl/>
              </w:rPr>
              <w:t>.</w:t>
            </w:r>
          </w:p>
        </w:tc>
        <w:tc>
          <w:tcPr>
            <w:tcW w:w="4006" w:type="dxa"/>
          </w:tcPr>
          <w:p w:rsidR="00A1376F" w:rsidRDefault="0042621E" w:rsidP="00E3253D">
            <w:pPr>
              <w:pStyle w:val="libFootnote0"/>
              <w:rPr>
                <w:rtl/>
              </w:rPr>
            </w:pPr>
            <w:r w:rsidRPr="0042621E">
              <w:rPr>
                <w:rStyle w:val="libFootnote0Char"/>
                <w:rtl/>
              </w:rPr>
              <w:t>(7).</w:t>
            </w:r>
            <w:r w:rsidR="000537D9">
              <w:rPr>
                <w:rtl/>
              </w:rPr>
              <w:t xml:space="preserve"> في «بخ،بف»وحاشية«بث،جن</w:t>
            </w:r>
            <w:r w:rsidR="00A1376F" w:rsidRPr="005D642E">
              <w:rPr>
                <w:rtl/>
              </w:rPr>
              <w:t>» : « في الإناء »</w:t>
            </w:r>
            <w:r w:rsidR="00A1376F">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36 ، ح 98 ؛ </w:t>
      </w:r>
      <w:r w:rsidR="00E3253D" w:rsidRPr="00E678B5">
        <w:rPr>
          <w:rStyle w:val="libFootnoteBoldChar"/>
          <w:rtl/>
        </w:rPr>
        <w:t>والاستبصار</w:t>
      </w:r>
      <w:r w:rsidR="00E3253D" w:rsidRPr="005D642E">
        <w:rPr>
          <w:rtl/>
        </w:rPr>
        <w:t xml:space="preserve"> ، ج 1 ، ص 50 ، ح 143 ، بسندهما عن العلاء بن رزين </w:t>
      </w:r>
      <w:r w:rsidR="00A832EE">
        <w:rPr>
          <w:rFonts w:hint="cs"/>
          <w:rtl/>
        </w:rPr>
        <w:t>.</w:t>
      </w:r>
      <w:r w:rsidR="00E3253D" w:rsidRPr="002F4D34">
        <w:rPr>
          <w:rStyle w:val="libFootnoteBoldChar"/>
          <w:rtl/>
        </w:rPr>
        <w:t>الوافي</w:t>
      </w:r>
      <w:r w:rsidR="00E3253D" w:rsidRPr="005D642E">
        <w:rPr>
          <w:rtl/>
        </w:rPr>
        <w:t xml:space="preserve"> ، ج 6 ، ص 66 ، ح 3774 ؛ </w:t>
      </w:r>
      <w:r w:rsidR="00E3253D" w:rsidRPr="002F4D34">
        <w:rPr>
          <w:rStyle w:val="libFootnoteBoldChar"/>
          <w:rtl/>
        </w:rPr>
        <w:t>الوسائل</w:t>
      </w:r>
      <w:r w:rsidR="00E3253D" w:rsidRPr="005D642E">
        <w:rPr>
          <w:rtl/>
        </w:rPr>
        <w:t xml:space="preserve"> ، ج 1 ، ص 235 ، ح 603 ؛ وص 429 ، ذيل ح 1122.</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ح 96 </w:t>
      </w:r>
      <w:r w:rsidR="00E3253D" w:rsidRPr="00E678B5">
        <w:rPr>
          <w:rStyle w:val="libFootnoteBoldChar"/>
          <w:rtl/>
        </w:rPr>
        <w:t>والاستبصار</w:t>
      </w:r>
      <w:r w:rsidR="00E3253D" w:rsidRPr="005D642E">
        <w:rPr>
          <w:rtl/>
        </w:rPr>
        <w:t xml:space="preserve"> ، ح 141 : + « اليمنى »</w:t>
      </w:r>
      <w:r w:rsidR="00E3253D">
        <w:rPr>
          <w:rtl/>
        </w:rPr>
        <w:t>.</w:t>
      </w:r>
    </w:p>
    <w:p w:rsidR="00E3253D" w:rsidRDefault="00E3253D" w:rsidP="00E3253D">
      <w:pPr>
        <w:pStyle w:val="libNormal"/>
        <w:rPr>
          <w:rtl/>
          <w:lang w:bidi="fa-IR"/>
        </w:rPr>
      </w:pPr>
      <w:r>
        <w:rPr>
          <w:rtl/>
          <w:lang w:bidi="fa-IR"/>
        </w:rPr>
        <w:br w:type="page"/>
      </w:r>
    </w:p>
    <w:p w:rsidR="00E3253D" w:rsidRDefault="00E3253D" w:rsidP="00E3253D">
      <w:pPr>
        <w:pStyle w:val="libNormal"/>
        <w:rPr>
          <w:rtl/>
          <w:lang w:bidi="fa-IR"/>
        </w:rPr>
      </w:pPr>
      <w:r w:rsidRPr="005D642E">
        <w:rPr>
          <w:rtl/>
          <w:lang w:bidi="fa-IR"/>
        </w:rPr>
        <w:lastRenderedPageBreak/>
        <w:t xml:space="preserve">قَالَ : « وَاحِدَةً مِنْ حَدَثِ </w:t>
      </w:r>
      <w:r w:rsidRPr="007C12DB">
        <w:rPr>
          <w:rStyle w:val="libFootnotenumChar"/>
          <w:rtl/>
        </w:rPr>
        <w:t>(1)</w:t>
      </w:r>
      <w:r w:rsidRPr="005D642E">
        <w:rPr>
          <w:rtl/>
          <w:lang w:bidi="fa-IR"/>
        </w:rPr>
        <w:t xml:space="preserve"> الْبَوْلِ ، وَثِنْتَيْنِ </w:t>
      </w:r>
      <w:r w:rsidRPr="007C12DB">
        <w:rPr>
          <w:rStyle w:val="libFootnotenumChar"/>
          <w:rtl/>
        </w:rPr>
        <w:t>(2)</w:t>
      </w:r>
      <w:r w:rsidRPr="005D642E">
        <w:rPr>
          <w:rtl/>
          <w:lang w:bidi="fa-IR"/>
        </w:rPr>
        <w:t xml:space="preserve"> مِنَ الْغَائِطِ ، وَثَلَاثَةً </w:t>
      </w:r>
      <w:r w:rsidRPr="007C12DB">
        <w:rPr>
          <w:rStyle w:val="libFootnotenumChar"/>
          <w:rtl/>
        </w:rPr>
        <w:t>(3)</w:t>
      </w:r>
      <w:r w:rsidRPr="005D642E">
        <w:rPr>
          <w:rtl/>
          <w:lang w:bidi="fa-IR"/>
        </w:rPr>
        <w:t xml:space="preserve"> مِنَ الْجَنَابَةِ »</w:t>
      </w:r>
      <w:r>
        <w:rPr>
          <w:rtl/>
          <w:lang w:bidi="fa-IR"/>
        </w:rPr>
        <w:t>.</w:t>
      </w:r>
      <w:r w:rsidRPr="005D642E">
        <w:rPr>
          <w:rtl/>
          <w:lang w:bidi="fa-IR"/>
        </w:rPr>
        <w:t xml:space="preserve"> </w:t>
      </w:r>
      <w:r w:rsidRPr="007C12DB">
        <w:rPr>
          <w:rStyle w:val="libFootnotenumChar"/>
          <w:rtl/>
        </w:rPr>
        <w:t>(4)</w:t>
      </w:r>
    </w:p>
    <w:p w:rsidR="00E3253D" w:rsidRPr="005D642E" w:rsidRDefault="00E3253D" w:rsidP="00E3253D">
      <w:pPr>
        <w:pStyle w:val="libNormal"/>
        <w:rPr>
          <w:rtl/>
        </w:rPr>
      </w:pPr>
      <w:r w:rsidRPr="004F093E">
        <w:rPr>
          <w:rtl/>
        </w:rPr>
        <w:t>3856</w:t>
      </w:r>
      <w:r w:rsidRPr="00246318">
        <w:rPr>
          <w:rStyle w:val="libBold2Char"/>
          <w:rtl/>
        </w:rPr>
        <w:t xml:space="preserve"> / 6.</w:t>
      </w:r>
      <w:r w:rsidRPr="005D642E">
        <w:rPr>
          <w:rtl/>
          <w:lang w:bidi="fa-IR"/>
        </w:rPr>
        <w:t xml:space="preserve"> عَلِيُّ بْنُ مُحَمَّدٍ </w:t>
      </w:r>
      <w:r w:rsidRPr="007C12DB">
        <w:rPr>
          <w:rStyle w:val="libFootnotenumChar"/>
          <w:rtl/>
        </w:rPr>
        <w:t>(5)</w:t>
      </w:r>
      <w:r w:rsidRPr="005D642E">
        <w:rPr>
          <w:rtl/>
          <w:lang w:bidi="fa-IR"/>
        </w:rPr>
        <w:t xml:space="preserve"> ، عَنْ سَهْلٍ </w:t>
      </w:r>
      <w:r w:rsidRPr="007C12DB">
        <w:rPr>
          <w:rStyle w:val="libFootnotenumChar"/>
          <w:rtl/>
        </w:rPr>
        <w:t>(6)</w:t>
      </w:r>
      <w:r w:rsidRPr="005D642E">
        <w:rPr>
          <w:rtl/>
          <w:lang w:bidi="fa-IR"/>
        </w:rPr>
        <w:t xml:space="preserve"> ، عَمَّنْ ذَكَرَهُ ، عَنْ يُونُسَ ، عَنْ </w:t>
      </w:r>
      <w:r w:rsidRPr="007C12DB">
        <w:rPr>
          <w:rStyle w:val="libFootnotenumChar"/>
          <w:rtl/>
        </w:rPr>
        <w:t>(7)</w:t>
      </w:r>
      <w:r w:rsidRPr="005D642E">
        <w:rPr>
          <w:rtl/>
          <w:lang w:bidi="fa-IR"/>
        </w:rPr>
        <w:t xml:space="preserve"> بَكَّارِ بْنِ أَبِي بَكْرٍ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الرَّجُلُ يَضَعُ الْكُوزَ الَّذِي يَغْرِفُ بِهِ </w:t>
      </w:r>
      <w:r w:rsidRPr="007C12DB">
        <w:rPr>
          <w:rStyle w:val="libFootnotenumChar"/>
          <w:rtl/>
        </w:rPr>
        <w:t>(8)</w:t>
      </w:r>
      <w:r w:rsidRPr="005D642E">
        <w:rPr>
          <w:rtl/>
          <w:lang w:bidi="fa-IR"/>
        </w:rPr>
        <w:t xml:space="preserve"> مِنَ الْحُبِّ فِي مَكَانٍ </w:t>
      </w:r>
      <w:r w:rsidRPr="007C12DB">
        <w:rPr>
          <w:rStyle w:val="libFootnotenumChar"/>
          <w:rtl/>
        </w:rPr>
        <w:t>(9)</w:t>
      </w:r>
      <w:r w:rsidRPr="005D642E">
        <w:rPr>
          <w:rtl/>
          <w:lang w:bidi="fa-IR"/>
        </w:rPr>
        <w:t xml:space="preserve"> قَذِرٍ ، ثُمَّ يُدْخِلُهُ الْحُبَّ</w:t>
      </w:r>
      <w:r>
        <w:rPr>
          <w:rtl/>
          <w:lang w:bidi="fa-IR"/>
        </w:rPr>
        <w:t>؟</w:t>
      </w:r>
    </w:p>
    <w:p w:rsidR="00E3253D" w:rsidRPr="005D642E" w:rsidRDefault="00E3253D" w:rsidP="00E3253D">
      <w:pPr>
        <w:pStyle w:val="libNormal"/>
        <w:rPr>
          <w:rtl/>
          <w:lang w:bidi="fa-IR"/>
        </w:rPr>
      </w:pPr>
      <w:r w:rsidRPr="005D642E">
        <w:rPr>
          <w:rtl/>
          <w:lang w:bidi="fa-IR"/>
        </w:rPr>
        <w:t xml:space="preserve">قَالَ : « يَصُبُّ مِنَ الْمَاءِ ثَلَاثَةَ أَكُفٍّ </w:t>
      </w:r>
      <w:r w:rsidRPr="007C12DB">
        <w:rPr>
          <w:rStyle w:val="libFootnotenumChar"/>
          <w:rtl/>
        </w:rPr>
        <w:t>(10)</w:t>
      </w:r>
      <w:r w:rsidRPr="005D642E">
        <w:rPr>
          <w:rtl/>
          <w:lang w:bidi="fa-IR"/>
        </w:rPr>
        <w:t xml:space="preserve"> ، ثُمَّ‌</w:t>
      </w:r>
      <w:r w:rsidR="00A832EE">
        <w:rPr>
          <w:rFonts w:hint="cs"/>
          <w:rtl/>
          <w:lang w:bidi="fa-IR"/>
        </w:rPr>
        <w:t>......</w:t>
      </w:r>
      <w:r w:rsidR="009F10EE">
        <w:rPr>
          <w:rFonts w:hint="cs"/>
          <w:rtl/>
          <w:lang w:bidi="fa-IR"/>
        </w:rPr>
        <w:t>...</w:t>
      </w:r>
      <w:r w:rsidR="00A832EE">
        <w:rPr>
          <w:rFonts w:hint="cs"/>
          <w:rtl/>
          <w:lang w:bidi="fa-IR"/>
        </w:rPr>
        <w:t>........................</w:t>
      </w:r>
      <w:r w:rsidR="00A832EE">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التهذيب ، ح 96 : + « النوم </w:t>
      </w:r>
      <w:r w:rsidR="00E3253D">
        <w:rPr>
          <w:rtl/>
        </w:rPr>
        <w:t>و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 ثنتان »</w:t>
      </w:r>
      <w:r w:rsidR="00E3253D">
        <w:rPr>
          <w:rtl/>
        </w:rPr>
        <w:t>.</w:t>
      </w:r>
      <w:r w:rsidR="00E3253D" w:rsidRPr="005D642E">
        <w:rPr>
          <w:rtl/>
        </w:rPr>
        <w:t xml:space="preserve"> وفي التهذيب ، ح 96 </w:t>
      </w:r>
      <w:r w:rsidR="00E3253D" w:rsidRPr="00E678B5">
        <w:rPr>
          <w:rStyle w:val="libFootnoteBoldChar"/>
          <w:rtl/>
        </w:rPr>
        <w:t>والاستبصار</w:t>
      </w:r>
      <w:r w:rsidR="00E3253D" w:rsidRPr="005D642E">
        <w:rPr>
          <w:rtl/>
        </w:rPr>
        <w:t xml:space="preserve"> ، ح 141 : « اثنتان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w:t>
      </w:r>
      <w:r w:rsidR="00B60612" w:rsidRPr="00B60612">
        <w:rPr>
          <w:rStyle w:val="libFootnoteBoldChar"/>
          <w:rtl/>
        </w:rPr>
        <w:t>والتهذيب</w:t>
      </w:r>
      <w:r w:rsidR="00E3253D" w:rsidRPr="005D642E">
        <w:rPr>
          <w:rtl/>
        </w:rPr>
        <w:t xml:space="preserve"> ، ح 96 </w:t>
      </w:r>
      <w:r w:rsidR="00E3253D" w:rsidRPr="00E678B5">
        <w:rPr>
          <w:rStyle w:val="libFootnoteBoldChar"/>
          <w:rtl/>
        </w:rPr>
        <w:t>والاستبصار</w:t>
      </w:r>
      <w:r w:rsidR="00E3253D" w:rsidRPr="005D642E">
        <w:rPr>
          <w:rtl/>
        </w:rPr>
        <w:t xml:space="preserve"> ، ح 141 : « ثلاث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36 ، ح 96 ؛ </w:t>
      </w:r>
      <w:r w:rsidR="00E3253D" w:rsidRPr="00E678B5">
        <w:rPr>
          <w:rStyle w:val="libFootnoteBoldChar"/>
          <w:rtl/>
        </w:rPr>
        <w:t>والاستبصار</w:t>
      </w:r>
      <w:r w:rsidR="00E3253D" w:rsidRPr="005D642E">
        <w:rPr>
          <w:rtl/>
        </w:rPr>
        <w:t xml:space="preserve"> ، ج 1 ، ص 50 ، ح 141 ، بسندهما عن ابن أبي عمير. وفي </w:t>
      </w:r>
      <w:r w:rsidR="00E3253D" w:rsidRPr="002F4D34">
        <w:rPr>
          <w:rStyle w:val="libFootnoteBoldChar"/>
          <w:rtl/>
        </w:rPr>
        <w:t>التهذيب</w:t>
      </w:r>
      <w:r w:rsidR="00E3253D" w:rsidRPr="005D642E">
        <w:rPr>
          <w:rtl/>
        </w:rPr>
        <w:t xml:space="preserve"> ، ج 1 ، ص 36 ، ح 97 ؛ </w:t>
      </w:r>
      <w:r w:rsidR="00E3253D" w:rsidRPr="00E678B5">
        <w:rPr>
          <w:rStyle w:val="libFootnoteBoldChar"/>
          <w:rtl/>
        </w:rPr>
        <w:t>والاستبصار</w:t>
      </w:r>
      <w:r w:rsidR="00E3253D" w:rsidRPr="005D642E">
        <w:rPr>
          <w:rtl/>
        </w:rPr>
        <w:t xml:space="preserve"> ، ج 1 ، ص 50 ، ح 142 ، بسند آخر عن أبي جعفر </w:t>
      </w:r>
      <w:r w:rsidR="00E3253D" w:rsidRPr="00181987">
        <w:rPr>
          <w:rStyle w:val="libFootnoteAlaemChar"/>
          <w:rtl/>
        </w:rPr>
        <w:t>عليه‌السلام</w:t>
      </w:r>
      <w:r w:rsidR="00E3253D" w:rsidRPr="005D642E">
        <w:rPr>
          <w:rtl/>
        </w:rPr>
        <w:t xml:space="preserve"> ، وتمام الرواية هكذا : « يغسل الرجل يده من النوم مرّة ، ومن الغائط والبول مرّتين ، ومن الجنابة ثلاثاً » </w:t>
      </w:r>
      <w:r w:rsidR="00181987">
        <w:rPr>
          <w:rFonts w:hint="cs"/>
          <w:rtl/>
        </w:rPr>
        <w:t>.</w:t>
      </w:r>
      <w:r w:rsidR="00E3253D" w:rsidRPr="002F4D34">
        <w:rPr>
          <w:rStyle w:val="libFootnoteBoldChar"/>
          <w:rtl/>
        </w:rPr>
        <w:t>الوافي</w:t>
      </w:r>
      <w:r w:rsidR="00E3253D" w:rsidRPr="005D642E">
        <w:rPr>
          <w:rtl/>
        </w:rPr>
        <w:t xml:space="preserve"> ، ج 6 ، ص 331 ، ح 4400 ؛ </w:t>
      </w:r>
      <w:r w:rsidR="00E3253D" w:rsidRPr="002F4D34">
        <w:rPr>
          <w:rStyle w:val="libFootnoteBoldChar"/>
          <w:rtl/>
        </w:rPr>
        <w:t>الوسائل</w:t>
      </w:r>
      <w:r w:rsidR="00E3253D" w:rsidRPr="005D642E">
        <w:rPr>
          <w:rtl/>
        </w:rPr>
        <w:t xml:space="preserve"> ، ج 1 ، ص 427 ، ذيل ح 1117.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بخ ، بس ، جن » : « عليّ بن إبراهيم »</w:t>
      </w:r>
      <w:r w:rsidR="00E3253D">
        <w:rPr>
          <w:rtl/>
        </w:rPr>
        <w:t>.</w:t>
      </w:r>
      <w:r w:rsidR="00E3253D" w:rsidRPr="005D642E">
        <w:rPr>
          <w:rtl/>
        </w:rPr>
        <w:t xml:space="preserve"> هذا ، وقد أكثر عليّ بن محمّد شيخ المصنّف من الرواية عن سهل‌بن زياد ، ولم يثبت رواية عليّ بن إبراهيم عن سهل في أسناد </w:t>
      </w:r>
      <w:r w:rsidR="00E3253D" w:rsidRPr="002F4D34">
        <w:rPr>
          <w:rStyle w:val="libFootnoteBoldChar"/>
          <w:rtl/>
        </w:rPr>
        <w:t>الكافي</w:t>
      </w:r>
      <w:r w:rsidR="00181987">
        <w:rPr>
          <w:rtl/>
        </w:rPr>
        <w:t xml:space="preserve"> ، إل</w:t>
      </w:r>
      <w:r w:rsidR="00181987">
        <w:rPr>
          <w:rFonts w:hint="cs"/>
          <w:rtl/>
        </w:rPr>
        <w:t>ّ</w:t>
      </w:r>
      <w:r w:rsidR="00181987">
        <w:rPr>
          <w:rtl/>
        </w:rPr>
        <w:t>ا</w:t>
      </w:r>
      <w:r w:rsidR="00E3253D" w:rsidRPr="005D642E">
        <w:rPr>
          <w:rtl/>
        </w:rPr>
        <w:t xml:space="preserve">في الأحاديث 1877 إلى 1879. راجع : </w:t>
      </w:r>
      <w:r w:rsidR="00E3253D" w:rsidRPr="002F4D34">
        <w:rPr>
          <w:rStyle w:val="libFootnoteBoldChar"/>
          <w:rtl/>
        </w:rPr>
        <w:t>معجم رجال الحديث</w:t>
      </w:r>
      <w:r w:rsidR="00E3253D" w:rsidRPr="005D642E">
        <w:rPr>
          <w:rtl/>
        </w:rPr>
        <w:t xml:space="preserve"> ، ج 12 ، ص 319</w:t>
      </w:r>
      <w:r w:rsidR="00E3253D">
        <w:rPr>
          <w:rtl/>
        </w:rPr>
        <w:t xml:space="preserve"> </w:t>
      </w:r>
      <w:r w:rsidR="007642BC">
        <w:rPr>
          <w:rtl/>
        </w:rPr>
        <w:t>-</w:t>
      </w:r>
      <w:r w:rsidR="00E3253D">
        <w:rPr>
          <w:rtl/>
        </w:rPr>
        <w:t xml:space="preserve"> </w:t>
      </w:r>
      <w:r w:rsidR="00E3253D" w:rsidRPr="005D642E">
        <w:rPr>
          <w:rtl/>
        </w:rPr>
        <w:t>321.</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 + « بن زياد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بث ، بس ، جن » : « بن »</w:t>
      </w:r>
      <w:r w:rsidR="00E3253D">
        <w:rPr>
          <w:rtl/>
        </w:rPr>
        <w:t>.</w:t>
      </w:r>
    </w:p>
    <w:p w:rsidR="00E3253D" w:rsidRPr="005D642E" w:rsidRDefault="00E3253D" w:rsidP="00E3253D">
      <w:pPr>
        <w:pStyle w:val="libFootnote0"/>
        <w:rPr>
          <w:rtl/>
          <w:lang w:bidi="fa-IR"/>
        </w:rPr>
      </w:pPr>
      <w:r w:rsidRPr="00B60612">
        <w:rPr>
          <w:rtl/>
        </w:rPr>
        <w:t xml:space="preserve">والظاهر أنّ المراد من يونس ، هو يونس بن عبدالرحمن الراوي عن بكّار بن أبي بكر الحضرمي في </w:t>
      </w:r>
      <w:r w:rsidRPr="002F4D34">
        <w:rPr>
          <w:rStyle w:val="libFootnoteBoldChar"/>
          <w:rtl/>
        </w:rPr>
        <w:t>المحاسن</w:t>
      </w:r>
      <w:r w:rsidRPr="00B60612">
        <w:rPr>
          <w:rtl/>
        </w:rPr>
        <w:t xml:space="preserve"> ، ج 2 ، ص 320 ، ح 55 ؛ </w:t>
      </w:r>
      <w:r w:rsidRPr="002F4D34">
        <w:rPr>
          <w:rStyle w:val="libFootnoteBoldChar"/>
          <w:rtl/>
        </w:rPr>
        <w:t>بصائر الدرجات</w:t>
      </w:r>
      <w:r w:rsidRPr="00B60612">
        <w:rPr>
          <w:rtl/>
        </w:rPr>
        <w:t xml:space="preserve"> ، ص 385 ، ح 8 ؛ و</w:t>
      </w:r>
      <w:r w:rsidRPr="002F4D34">
        <w:rPr>
          <w:rStyle w:val="libFootnoteBoldChar"/>
          <w:rtl/>
        </w:rPr>
        <w:t xml:space="preserve">علل الشرائع </w:t>
      </w:r>
      <w:r w:rsidRPr="00B60612">
        <w:rPr>
          <w:rtl/>
        </w:rPr>
        <w:t>، ص 149 ، ح 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بث ، بح » : « منه »</w:t>
      </w:r>
      <w:r w:rsidR="00E3253D">
        <w:rPr>
          <w:rtl/>
        </w:rPr>
        <w:t>.</w:t>
      </w:r>
      <w:r w:rsidR="00E3253D" w:rsidRPr="005D642E">
        <w:rPr>
          <w:rtl/>
        </w:rPr>
        <w:t xml:space="preserve"> والحُبّ : الجَرَّة الضخمة ، وهي إناء من خَزَف له بطن كبير وعروتان وفم واسع ، فارسيّ معرّب أصله حُنْب فعرّب ، والخزف : الطين المعمول آنية قبل أن يطبخ وهو الصلصال. وقيل : الحُبِّ هو الذي يجعل فيه الماء ، فلم ينوَّع. راجع : </w:t>
      </w:r>
      <w:r w:rsidR="00E3253D" w:rsidRPr="002F4D34">
        <w:rPr>
          <w:rStyle w:val="libFootnoteBoldChar"/>
          <w:rtl/>
        </w:rPr>
        <w:t>لسان العرب</w:t>
      </w:r>
      <w:r w:rsidR="00E3253D" w:rsidRPr="005D642E">
        <w:rPr>
          <w:rtl/>
        </w:rPr>
        <w:t xml:space="preserve"> ، ج 1 ، ص 295 ( حبب ) ؛ </w:t>
      </w:r>
      <w:r w:rsidR="00E3253D" w:rsidRPr="002F4D34">
        <w:rPr>
          <w:rStyle w:val="libFootnoteBoldChar"/>
          <w:rtl/>
        </w:rPr>
        <w:t>المصباح المنير</w:t>
      </w:r>
      <w:r w:rsidR="00E3253D" w:rsidRPr="005D642E">
        <w:rPr>
          <w:rtl/>
        </w:rPr>
        <w:t xml:space="preserve"> ، ص 168 ( خزف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 + « موضع »</w:t>
      </w:r>
      <w:r w:rsidR="00E3253D">
        <w:rPr>
          <w:rtl/>
        </w:rPr>
        <w:t>.</w:t>
      </w:r>
      <w:r w:rsidR="00E3253D" w:rsidRPr="005D642E">
        <w:rPr>
          <w:rtl/>
        </w:rPr>
        <w:t xml:space="preserve"> والقَذِر ، يجوز في ذاله السكون والحركات الثلاث ، وأصله من القَذَر وهو ضدُّ النظافة والوسخُ. وقد يطلق على النجس. راجع : </w:t>
      </w:r>
      <w:r w:rsidR="00E3253D" w:rsidRPr="002F4D34">
        <w:rPr>
          <w:rStyle w:val="libFootnoteBoldChar"/>
          <w:rtl/>
        </w:rPr>
        <w:t>لسان العرب</w:t>
      </w:r>
      <w:r w:rsidR="00E3253D" w:rsidRPr="005D642E">
        <w:rPr>
          <w:rtl/>
        </w:rPr>
        <w:t xml:space="preserve"> ، ج 5 ، ص 80 ؛ </w:t>
      </w:r>
      <w:r w:rsidR="00E3253D" w:rsidRPr="002F4D34">
        <w:rPr>
          <w:rStyle w:val="libFootnoteBoldChar"/>
          <w:rtl/>
        </w:rPr>
        <w:t>المصباح المنير</w:t>
      </w:r>
      <w:r w:rsidR="00E3253D" w:rsidRPr="005D642E">
        <w:rPr>
          <w:rtl/>
        </w:rPr>
        <w:t xml:space="preserve"> ، ص 494 ( قذر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بث ، بح ، جح ، جس » وحاشية « ت ، بخ ، بس ، بف » : « ثلاثة أكواز »</w:t>
      </w:r>
      <w:r w:rsidR="00E3253D">
        <w:rPr>
          <w:rtl/>
        </w:rPr>
        <w:t>.</w:t>
      </w:r>
      <w:r w:rsidR="00E3253D" w:rsidRPr="005D642E">
        <w:rPr>
          <w:rtl/>
        </w:rPr>
        <w:t xml:space="preserve"> وفي « بث ، بح ، جح ، </w:t>
      </w:r>
      <w:r w:rsidR="002D2ABF">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يَدْلُكُ الْكُوزَ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B72691" w:rsidRDefault="00E3253D" w:rsidP="00B72691">
      <w:pPr>
        <w:pStyle w:val="Heading2Center"/>
        <w:rPr>
          <w:rtl/>
          <w:lang w:bidi="fa-IR"/>
        </w:rPr>
      </w:pPr>
      <w:bookmarkStart w:id="40" w:name="_Toc40975845"/>
      <w:bookmarkStart w:id="41" w:name="_Toc344647224"/>
      <w:bookmarkStart w:id="42" w:name="_Toc462226739"/>
      <w:r w:rsidRPr="005D642E">
        <w:rPr>
          <w:rtl/>
          <w:lang w:bidi="fa-IR"/>
        </w:rPr>
        <w:t>9</w:t>
      </w:r>
      <w:r>
        <w:rPr>
          <w:rtl/>
          <w:lang w:bidi="fa-IR"/>
        </w:rPr>
        <w:t xml:space="preserve"> </w:t>
      </w:r>
      <w:r w:rsidR="007642BC">
        <w:rPr>
          <w:rtl/>
          <w:lang w:bidi="fa-IR"/>
        </w:rPr>
        <w:t>-</w:t>
      </w:r>
      <w:r>
        <w:rPr>
          <w:rtl/>
          <w:lang w:bidi="fa-IR"/>
        </w:rPr>
        <w:t xml:space="preserve"> </w:t>
      </w:r>
      <w:r w:rsidRPr="005D642E">
        <w:rPr>
          <w:rtl/>
          <w:lang w:bidi="fa-IR"/>
        </w:rPr>
        <w:t>بَابُ اخْتِلَاطِ مَاءِ الْمَطَرِ بِالْبَوْلِ ، وَمَا يَرْجِعُ فِي الْإِنَاءِ مِنْ غُسَالَةِ</w:t>
      </w:r>
      <w:bookmarkEnd w:id="40"/>
    </w:p>
    <w:p w:rsidR="00E3253D" w:rsidRPr="005D642E" w:rsidRDefault="00E3253D" w:rsidP="00B72691">
      <w:pPr>
        <w:pStyle w:val="Heading2Center"/>
        <w:rPr>
          <w:rtl/>
          <w:lang w:bidi="fa-IR"/>
        </w:rPr>
      </w:pPr>
      <w:bookmarkStart w:id="43" w:name="_Toc40975846"/>
      <w:r w:rsidRPr="005D642E">
        <w:rPr>
          <w:rtl/>
          <w:lang w:bidi="fa-IR"/>
        </w:rPr>
        <w:t>الْجُنُبِ ، وَالرَّجُلِ يَقَعُ ثَوْبُهُ عَلَى الْمَاءِ الَّذِي يَسْتَنْجِي بِهِ‌</w:t>
      </w:r>
      <w:bookmarkEnd w:id="41"/>
      <w:bookmarkEnd w:id="42"/>
      <w:bookmarkEnd w:id="43"/>
    </w:p>
    <w:p w:rsidR="00E3253D" w:rsidRPr="005D642E" w:rsidRDefault="00E3253D" w:rsidP="00E3253D">
      <w:pPr>
        <w:pStyle w:val="libNormal"/>
        <w:rPr>
          <w:rtl/>
          <w:lang w:bidi="fa-IR"/>
        </w:rPr>
      </w:pPr>
      <w:r w:rsidRPr="004F093E">
        <w:rPr>
          <w:rtl/>
        </w:rPr>
        <w:t>3857</w:t>
      </w:r>
      <w:r w:rsidRPr="00246318">
        <w:rPr>
          <w:rStyle w:val="libBold2Char"/>
          <w:rtl/>
        </w:rPr>
        <w:t xml:space="preserve"> / 1.</w:t>
      </w:r>
      <w:r w:rsidRPr="005D642E">
        <w:rPr>
          <w:rtl/>
          <w:lang w:bidi="fa-IR"/>
        </w:rPr>
        <w:t xml:space="preserve"> عَلِيُّ بْنُ إِبْرَاهِيمَ ، عَنْ أَبِيهِ ، عَنِ ابْنِ أَبِي عُمَيْرٍ ، عَنْ هِشَامِ بْنِ الْحَكَمِ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مِيزَابَيْنِ </w:t>
      </w:r>
      <w:r w:rsidRPr="007C12DB">
        <w:rPr>
          <w:rStyle w:val="libFootnotenumChar"/>
          <w:rtl/>
        </w:rPr>
        <w:t>(3)</w:t>
      </w:r>
      <w:r w:rsidRPr="005D642E">
        <w:rPr>
          <w:rtl/>
          <w:lang w:bidi="fa-IR"/>
        </w:rPr>
        <w:t xml:space="preserve"> سَالَا ، أَحَدُهُمَا بَوْلٌ ، وَالْآخَرُ مَاءُ الْمَطَرِ ، فَاخْتَلَطَا ، فَأَصَابَ </w:t>
      </w:r>
      <w:r w:rsidRPr="007C12DB">
        <w:rPr>
          <w:rStyle w:val="libFootnotenumChar"/>
          <w:rtl/>
        </w:rPr>
        <w:t>(4)</w:t>
      </w:r>
      <w:r w:rsidRPr="005D642E">
        <w:rPr>
          <w:rtl/>
          <w:lang w:bidi="fa-IR"/>
        </w:rPr>
        <w:t xml:space="preserve"> ثَوْبَ رَجُلٍ : « لَمْ يَضُرَّهُ ذلِكَ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4F093E">
        <w:rPr>
          <w:rtl/>
        </w:rPr>
        <w:t>3858</w:t>
      </w:r>
      <w:r w:rsidRPr="00246318">
        <w:rPr>
          <w:rStyle w:val="libBold2Char"/>
          <w:rtl/>
        </w:rPr>
        <w:t xml:space="preserve"> / 2.</w:t>
      </w:r>
      <w:r w:rsidRPr="005D642E">
        <w:rPr>
          <w:rtl/>
          <w:lang w:bidi="fa-IR"/>
        </w:rPr>
        <w:t xml:space="preserve"> عِدَّةٌ مِنْ أَصْحَابِنَا ، عَنْ أَحْمَدَ بْنِ مُحَمَّدٍ ، عَنِ الْهَيْثَمِ بْنِ أَبِي مَسْرُوقٍ ، عَنِ</w:t>
      </w:r>
      <w:r>
        <w:rPr>
          <w:rFonts w:hint="cs"/>
          <w:rtl/>
          <w:lang w:bidi="fa-IR"/>
        </w:rPr>
        <w:t xml:space="preserve"> </w:t>
      </w:r>
      <w:r w:rsidRPr="005D642E">
        <w:rPr>
          <w:rtl/>
          <w:lang w:bidi="fa-IR"/>
        </w:rPr>
        <w:t>الْحَكَمِ بْنِ مِسْكِينٍ ، عَنْ مُحَمَّدِ بْنِ مَرْوَانَ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لَوْ أَنَّ مِيزَابَيْنِ سَالَا </w:t>
      </w:r>
      <w:r w:rsidRPr="007C12DB">
        <w:rPr>
          <w:rStyle w:val="libFootnotenumChar"/>
          <w:rtl/>
        </w:rPr>
        <w:t>(6)</w:t>
      </w:r>
      <w:r w:rsidRPr="005D642E">
        <w:rPr>
          <w:rtl/>
          <w:lang w:bidi="fa-IR"/>
        </w:rPr>
        <w:t xml:space="preserve"> ، أَحَدُهُمَا </w:t>
      </w:r>
      <w:r w:rsidRPr="007C12DB">
        <w:rPr>
          <w:rStyle w:val="libFootnotenumChar"/>
          <w:rtl/>
        </w:rPr>
        <w:t>(7)</w:t>
      </w:r>
      <w:r w:rsidRPr="005D642E">
        <w:rPr>
          <w:rtl/>
          <w:lang w:bidi="fa-IR"/>
        </w:rPr>
        <w:t xml:space="preserve"> ‌</w:t>
      </w:r>
      <w:r w:rsidR="00B72691" w:rsidRPr="00B72691">
        <w:rPr>
          <w:rtl/>
          <w:lang w:bidi="fa-IR"/>
        </w:rPr>
        <w:t xml:space="preserve"> </w:t>
      </w:r>
      <w:r w:rsidR="00B72691" w:rsidRPr="005D642E">
        <w:rPr>
          <w:rtl/>
          <w:lang w:bidi="fa-IR"/>
        </w:rPr>
        <w:t>مِيزَابُ بَوْلٍ ، وَالْآخَرُ</w:t>
      </w:r>
    </w:p>
    <w:p w:rsidR="00E3253D" w:rsidRPr="005D642E" w:rsidRDefault="00E3253D" w:rsidP="00E3253D">
      <w:pPr>
        <w:pStyle w:val="libLine"/>
        <w:rPr>
          <w:rtl/>
          <w:lang w:bidi="fa-IR"/>
        </w:rPr>
      </w:pPr>
      <w:r w:rsidRPr="005D642E">
        <w:rPr>
          <w:rtl/>
          <w:lang w:bidi="fa-IR"/>
        </w:rPr>
        <w:t>__________________</w:t>
      </w:r>
    </w:p>
    <w:p w:rsidR="00E3253D" w:rsidRPr="005D642E" w:rsidRDefault="00B72691" w:rsidP="00E3253D">
      <w:pPr>
        <w:pStyle w:val="libFootnote0"/>
        <w:rPr>
          <w:rtl/>
          <w:lang w:bidi="fa-IR"/>
        </w:rPr>
      </w:pPr>
      <w:r>
        <w:rPr>
          <w:rFonts w:hint="cs"/>
          <w:rtl/>
        </w:rPr>
        <w:t xml:space="preserve">= </w:t>
      </w:r>
      <w:r w:rsidR="00E3253D" w:rsidRPr="005D642E">
        <w:rPr>
          <w:rtl/>
        </w:rPr>
        <w:t>جس » :</w:t>
      </w:r>
      <w:r w:rsidR="00E3253D">
        <w:rPr>
          <w:rtl/>
        </w:rPr>
        <w:t xml:space="preserve"> </w:t>
      </w:r>
      <w:r w:rsidR="007642BC">
        <w:rPr>
          <w:rtl/>
        </w:rPr>
        <w:t>-</w:t>
      </w:r>
      <w:r w:rsidR="00E3253D">
        <w:rPr>
          <w:rtl/>
        </w:rPr>
        <w:t xml:space="preserve"> </w:t>
      </w:r>
      <w:r w:rsidR="00E3253D" w:rsidRPr="005D642E">
        <w:rPr>
          <w:rtl/>
        </w:rPr>
        <w:t>« ثمّ »</w:t>
      </w:r>
      <w:r w:rsidR="00E3253D">
        <w:rPr>
          <w:rtl/>
        </w:rPr>
        <w:t>.</w:t>
      </w:r>
      <w:r w:rsidR="00E3253D" w:rsidRPr="005D642E">
        <w:rPr>
          <w:rtl/>
        </w:rPr>
        <w:t xml:space="preserve"> وفي الوافي : « ثلاث أكفّ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بث ، بح ، جح ، جس » وحاشية « ت » : « بذلك » بدل « يدلك »</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مرآة العقول</w:t>
      </w:r>
      <w:r w:rsidRPr="00B60612">
        <w:rPr>
          <w:rtl/>
        </w:rPr>
        <w:t xml:space="preserve"> ، ج 13 ، ص 42 : « يحتمل أن يكون المراد أنّه يصبّ ثلاث أكفّ من الماء ، ثمّ بذلك الكوز أيضاً يصبّ ثلاثاً لدفع الاستقذار الذي حدث في النفس بذلك ، على أن يكون المراد من القذر الوسخ لا النجس » ثمّ ذكر احتمالاً ثانياً على فرض كون المراد من القذر النجس وقال : « وفي بعض النسخ : ثلاث أكواز بذلك الكوز ، فيتعيّن الأوّل ». وقيل غير ذلك من الوجوه. فراجع : </w:t>
      </w:r>
      <w:r w:rsidRPr="002F4D34">
        <w:rPr>
          <w:rStyle w:val="libFootnoteBoldChar"/>
          <w:rtl/>
        </w:rPr>
        <w:t>الوافي</w:t>
      </w:r>
      <w:r w:rsidRPr="00B60612">
        <w:rPr>
          <w:rtl/>
        </w:rPr>
        <w:t xml:space="preserve"> ، ج 6 ، ص 42.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6 ، ص 26 ، ح 3683 ؛ </w:t>
      </w:r>
      <w:r w:rsidR="00E3253D" w:rsidRPr="002F4D34">
        <w:rPr>
          <w:rStyle w:val="libFootnoteBoldChar"/>
          <w:rtl/>
        </w:rPr>
        <w:t>الوسائل</w:t>
      </w:r>
      <w:r w:rsidR="00E3253D" w:rsidRPr="005D642E">
        <w:rPr>
          <w:rtl/>
        </w:rPr>
        <w:t xml:space="preserve"> ، ج 1 ، ص 164 ، ح 407.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الميزابين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بث ، بح ، بس ، جن » وحاشية « ت » : « مطر » بدل « المطر »</w:t>
      </w:r>
      <w:r w:rsidR="00E3253D">
        <w:rPr>
          <w:rtl/>
        </w:rPr>
        <w:t>.</w:t>
      </w:r>
      <w:r w:rsidR="00E3253D" w:rsidRPr="005D642E">
        <w:rPr>
          <w:rtl/>
        </w:rPr>
        <w:t xml:space="preserve"> وفي « بح » : « وأصاب » بدل « فأصاب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حمل على ما إذا كان عند نزول المطر ولم يتغيّر الماء به ويكون في حال نزول الغيث. وما قيل من أنّ المراد من الاختلاط الاشتباه فاشتباه ظاهر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411 ، ح 1295 ، معلّقاً عن عليّ بن إبراهيم </w:t>
      </w:r>
      <w:r w:rsidR="00EF0F1C">
        <w:rPr>
          <w:rFonts w:hint="cs"/>
          <w:rtl/>
        </w:rPr>
        <w:t>.</w:t>
      </w:r>
      <w:r w:rsidR="00E3253D" w:rsidRPr="002F4D34">
        <w:rPr>
          <w:rStyle w:val="libFootnoteBoldChar"/>
          <w:rtl/>
        </w:rPr>
        <w:t>الوافي</w:t>
      </w:r>
      <w:r w:rsidR="00E3253D" w:rsidRPr="005D642E">
        <w:rPr>
          <w:rtl/>
        </w:rPr>
        <w:t xml:space="preserve"> ، ج 6 ، ص 45 ، ح 3724 ؛ </w:t>
      </w:r>
      <w:r w:rsidR="00E3253D" w:rsidRPr="002F4D34">
        <w:rPr>
          <w:rStyle w:val="libFootnoteBoldChar"/>
          <w:rtl/>
        </w:rPr>
        <w:t>الوسائل</w:t>
      </w:r>
      <w:r w:rsidR="00E3253D" w:rsidRPr="005D642E">
        <w:rPr>
          <w:rtl/>
        </w:rPr>
        <w:t xml:space="preserve"> ، ج 1 ، ص 145 ، ح 361.</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 + « ميزاب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أحدهما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مِيزَابُ مَاءٍ </w:t>
      </w:r>
      <w:r w:rsidRPr="007C12DB">
        <w:rPr>
          <w:rStyle w:val="libFootnotenumChar"/>
          <w:rtl/>
        </w:rPr>
        <w:t>(1)</w:t>
      </w:r>
      <w:r w:rsidRPr="005D642E">
        <w:rPr>
          <w:rtl/>
          <w:lang w:bidi="fa-IR"/>
        </w:rPr>
        <w:t xml:space="preserve"> ، فَاخْتَلَطَا ، ثُمَّ أَصَابَكَ ، مَا كَانَ بِهِ بَأْسٌ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4F093E">
        <w:rPr>
          <w:rtl/>
        </w:rPr>
        <w:t>3859</w:t>
      </w:r>
      <w:r w:rsidRPr="00246318">
        <w:rPr>
          <w:rStyle w:val="libBold2Char"/>
          <w:rtl/>
        </w:rPr>
        <w:t xml:space="preserve"> / 3.</w:t>
      </w:r>
      <w:r w:rsidRPr="005D642E">
        <w:rPr>
          <w:rtl/>
          <w:lang w:bidi="fa-IR"/>
        </w:rPr>
        <w:t xml:space="preserve"> أَحْمَدُ بْنُ مُحَمَّدٍ </w:t>
      </w:r>
      <w:r w:rsidRPr="007C12DB">
        <w:rPr>
          <w:rStyle w:val="libFootnotenumChar"/>
          <w:rtl/>
        </w:rPr>
        <w:t>(3)</w:t>
      </w:r>
      <w:r w:rsidRPr="005D642E">
        <w:rPr>
          <w:rtl/>
          <w:lang w:bidi="fa-IR"/>
        </w:rPr>
        <w:t xml:space="preserve"> ، عَنْ عَلِيِّ بْنِ الْحَكَمِ ، عَنِ الْكَاهِلِيِّ ، عَنْ رَجُلٍ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 أَمُرُّ فِي الطَّرِيقِ ، فَيَسِيلُ </w:t>
      </w:r>
      <w:r w:rsidRPr="007C12DB">
        <w:rPr>
          <w:rStyle w:val="libFootnotenumChar"/>
          <w:rtl/>
        </w:rPr>
        <w:t>(4)</w:t>
      </w:r>
      <w:r w:rsidRPr="005D642E">
        <w:rPr>
          <w:rtl/>
          <w:lang w:bidi="fa-IR"/>
        </w:rPr>
        <w:t xml:space="preserve"> عَلَيَّ الْمِيزَابُ فِي أَوْقَاتٍ أَعْلَمُ أَنَّ النَّاسَ يَتَوَضَّؤُونَ</w:t>
      </w:r>
      <w:r>
        <w:rPr>
          <w:rtl/>
          <w:lang w:bidi="fa-IR"/>
        </w:rPr>
        <w:t>؟</w:t>
      </w:r>
    </w:p>
    <w:p w:rsidR="00E3253D" w:rsidRPr="005D642E" w:rsidRDefault="00E3253D" w:rsidP="00E3253D">
      <w:pPr>
        <w:pStyle w:val="libNormal"/>
        <w:rPr>
          <w:rtl/>
          <w:lang w:bidi="fa-IR"/>
        </w:rPr>
      </w:pPr>
      <w:r w:rsidRPr="005D642E">
        <w:rPr>
          <w:rtl/>
          <w:lang w:bidi="fa-IR"/>
        </w:rPr>
        <w:t xml:space="preserve">قَالَ : قَالَ </w:t>
      </w:r>
      <w:r w:rsidRPr="007C12DB">
        <w:rPr>
          <w:rStyle w:val="libFootnotenumChar"/>
          <w:rtl/>
        </w:rPr>
        <w:t>(5)</w:t>
      </w:r>
      <w:r w:rsidRPr="005D642E">
        <w:rPr>
          <w:rtl/>
          <w:lang w:bidi="fa-IR"/>
        </w:rPr>
        <w:t xml:space="preserve"> : « لَيْسَ بِهِ بَأْسٌ لَاتَسْأَلْ عَنْهُ »</w:t>
      </w:r>
      <w:r>
        <w:rPr>
          <w:rtl/>
          <w:lang w:bidi="fa-IR"/>
        </w:rPr>
        <w:t>.</w:t>
      </w:r>
    </w:p>
    <w:p w:rsidR="00E3253D" w:rsidRPr="005D642E" w:rsidRDefault="00E3253D" w:rsidP="00E3253D">
      <w:pPr>
        <w:pStyle w:val="libNormal"/>
        <w:rPr>
          <w:rtl/>
          <w:lang w:bidi="fa-IR"/>
        </w:rPr>
      </w:pPr>
      <w:r w:rsidRPr="005D642E">
        <w:rPr>
          <w:rtl/>
          <w:lang w:bidi="fa-IR"/>
        </w:rPr>
        <w:t>قُلْتُ : وَ</w:t>
      </w:r>
      <w:r>
        <w:rPr>
          <w:rFonts w:hint="cs"/>
          <w:rtl/>
          <w:lang w:bidi="fa-IR"/>
        </w:rPr>
        <w:t xml:space="preserve"> </w:t>
      </w:r>
      <w:r w:rsidRPr="007C12DB">
        <w:rPr>
          <w:rStyle w:val="libFootnotenumChar"/>
          <w:rtl/>
        </w:rPr>
        <w:t>(6)</w:t>
      </w:r>
      <w:r w:rsidRPr="005D642E">
        <w:rPr>
          <w:rtl/>
          <w:lang w:bidi="fa-IR"/>
        </w:rPr>
        <w:t xml:space="preserve"> يَسِيلُ عَلَيَّ مِنْ مَاءِ الْمَطَرِ </w:t>
      </w:r>
      <w:r w:rsidRPr="007C12DB">
        <w:rPr>
          <w:rStyle w:val="libFootnotenumChar"/>
          <w:rtl/>
        </w:rPr>
        <w:t>(7)</w:t>
      </w:r>
      <w:r w:rsidRPr="005D642E">
        <w:rPr>
          <w:rtl/>
          <w:lang w:bidi="fa-IR"/>
        </w:rPr>
        <w:t xml:space="preserve"> أَرى فِيهِ التَّغَيُّرَ ، وَأرى فِيهِ </w:t>
      </w:r>
      <w:r w:rsidRPr="007C12DB">
        <w:rPr>
          <w:rStyle w:val="libFootnotenumChar"/>
          <w:rtl/>
        </w:rPr>
        <w:t>(8)</w:t>
      </w:r>
      <w:r w:rsidRPr="005D642E">
        <w:rPr>
          <w:rtl/>
          <w:lang w:bidi="fa-IR"/>
        </w:rPr>
        <w:t xml:space="preserve"> آثَارَ الْقَذَرِ ، فَتَقْطُرُ </w:t>
      </w:r>
      <w:r w:rsidRPr="007C12DB">
        <w:rPr>
          <w:rStyle w:val="libFootnotenumChar"/>
          <w:rtl/>
        </w:rPr>
        <w:t>(9)</w:t>
      </w:r>
      <w:r w:rsidRPr="005D642E">
        <w:rPr>
          <w:rtl/>
          <w:lang w:bidi="fa-IR"/>
        </w:rPr>
        <w:t xml:space="preserve"> الْقَطَرَاتُ عَلَيَّ ، وَيَنْتَضِحُ </w:t>
      </w:r>
      <w:r w:rsidRPr="007C12DB">
        <w:rPr>
          <w:rStyle w:val="libFootnotenumChar"/>
          <w:rtl/>
        </w:rPr>
        <w:t>(10)</w:t>
      </w:r>
      <w:r w:rsidRPr="005D642E">
        <w:rPr>
          <w:rtl/>
          <w:lang w:bidi="fa-IR"/>
        </w:rPr>
        <w:t xml:space="preserve"> عَلَيَّ مِنْهُ ، وَالْبَيْتُ يُتَوَضَّأُ عَلى سَطْحِهِ </w:t>
      </w:r>
      <w:r w:rsidRPr="007C12DB">
        <w:rPr>
          <w:rStyle w:val="libFootnotenumChar"/>
          <w:rtl/>
        </w:rPr>
        <w:t>(11)</w:t>
      </w:r>
      <w:r w:rsidRPr="005D642E">
        <w:rPr>
          <w:rtl/>
          <w:lang w:bidi="fa-IR"/>
        </w:rPr>
        <w:t xml:space="preserve"> ، فَيَكِفُ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بح » وحاشية « جح » : « ببول وميزاب بماء »</w:t>
      </w:r>
      <w:r w:rsidR="00E3253D">
        <w:rPr>
          <w:rtl/>
        </w:rPr>
        <w:t>.</w:t>
      </w:r>
      <w:r w:rsidR="00E3253D" w:rsidRPr="005D642E">
        <w:rPr>
          <w:rtl/>
        </w:rPr>
        <w:t xml:space="preserve"> وفي « بخ » : « ميزاب بول وميزاب ماء »</w:t>
      </w:r>
      <w:r w:rsidR="00E3253D">
        <w:rPr>
          <w:rtl/>
        </w:rPr>
        <w:t>.</w:t>
      </w:r>
      <w:r w:rsidR="00E3253D" w:rsidRPr="005D642E">
        <w:rPr>
          <w:rtl/>
        </w:rPr>
        <w:t xml:space="preserve"> وفي « بث » : « ميزاب ببول والآخر ميزاب بماء »</w:t>
      </w:r>
      <w:r w:rsidR="00E3253D">
        <w:rPr>
          <w:rtl/>
        </w:rPr>
        <w:t>.</w:t>
      </w:r>
      <w:r w:rsidR="00E3253D" w:rsidRPr="005D642E">
        <w:rPr>
          <w:rtl/>
        </w:rPr>
        <w:t xml:space="preserve"> وفي « بس » وحاشية « ت » </w:t>
      </w:r>
      <w:r w:rsidR="00B60612" w:rsidRPr="00B60612">
        <w:rPr>
          <w:rStyle w:val="libFootnoteBoldChar"/>
          <w:rtl/>
        </w:rPr>
        <w:t>والتهذيب</w:t>
      </w:r>
      <w:r w:rsidR="009F10EE">
        <w:rPr>
          <w:rtl/>
        </w:rPr>
        <w:t xml:space="preserve"> : « ميزاب ببول وميزاب بماء</w:t>
      </w:r>
      <w:r w:rsidR="00E3253D" w:rsidRPr="005D642E">
        <w:rPr>
          <w:rtl/>
        </w:rPr>
        <w:t>»</w:t>
      </w:r>
      <w:r w:rsidR="00E3253D">
        <w:rPr>
          <w:rtl/>
        </w:rPr>
        <w:t>.</w:t>
      </w:r>
      <w:r w:rsidR="00E3253D" w:rsidRPr="005D642E">
        <w:rPr>
          <w:rtl/>
        </w:rPr>
        <w:t xml:space="preserve"> وفي « بف » : « بول وميزاب ماء » وكلّها بدل « ميزاب بول والآخر ميزاب ماء »</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مرآة العقول</w:t>
      </w:r>
      <w:r w:rsidRPr="00B60612">
        <w:rPr>
          <w:rtl/>
        </w:rPr>
        <w:t xml:space="preserve"> : « ظاهره عدم انفعال القليل ، وحمل على ماء المطر بالشروط السابقة كما هو الغالب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411 ، ح 1256 ، معلّقاً عن أحمد بن محمّد بن الهيثم بن أبي مسروق. </w:t>
      </w:r>
      <w:r w:rsidR="00E3253D" w:rsidRPr="002F4D34">
        <w:rPr>
          <w:rStyle w:val="libFootnoteBoldChar"/>
          <w:rtl/>
        </w:rPr>
        <w:t>الفقيه</w:t>
      </w:r>
      <w:r w:rsidR="00E3253D" w:rsidRPr="005D642E">
        <w:rPr>
          <w:rtl/>
        </w:rPr>
        <w:t xml:space="preserve"> ، ج 1 ، ص 6 ، ذيل ح 3 ، مع اختلاف يسير </w:t>
      </w:r>
      <w:r w:rsidR="00EF0F1C">
        <w:rPr>
          <w:rFonts w:hint="cs"/>
          <w:rtl/>
        </w:rPr>
        <w:t>.</w:t>
      </w:r>
      <w:r w:rsidR="00E3253D" w:rsidRPr="002F4D34">
        <w:rPr>
          <w:rStyle w:val="libFootnoteBoldChar"/>
          <w:rtl/>
        </w:rPr>
        <w:t>الوافي</w:t>
      </w:r>
      <w:r w:rsidR="00E3253D" w:rsidRPr="005D642E">
        <w:rPr>
          <w:rtl/>
        </w:rPr>
        <w:t xml:space="preserve"> ، ج 6 ، ص 45 ، ح 3725 ؛ </w:t>
      </w:r>
      <w:r w:rsidR="00E3253D" w:rsidRPr="002F4D34">
        <w:rPr>
          <w:rStyle w:val="libFootnoteBoldChar"/>
          <w:rtl/>
        </w:rPr>
        <w:t>الوسائل</w:t>
      </w:r>
      <w:r w:rsidR="00E3253D" w:rsidRPr="005D642E">
        <w:rPr>
          <w:rtl/>
        </w:rPr>
        <w:t xml:space="preserve"> ، ج 1 ، ص 144 ، ح 357.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السند معلّق على سابقه. ويروي عن أحمد بن محمّد ، عدّة من أصحابنا.</w:t>
      </w:r>
    </w:p>
    <w:tbl>
      <w:tblPr>
        <w:tblStyle w:val="TableGrid"/>
        <w:bidiVisual/>
        <w:tblW w:w="0" w:type="auto"/>
        <w:tblLook w:val="04A0" w:firstRow="1" w:lastRow="0" w:firstColumn="1" w:lastColumn="0" w:noHBand="0" w:noVBand="1"/>
      </w:tblPr>
      <w:tblGrid>
        <w:gridCol w:w="4006"/>
        <w:gridCol w:w="4006"/>
      </w:tblGrid>
      <w:tr w:rsidR="00EF0F1C" w:rsidTr="00EF0F1C">
        <w:tc>
          <w:tcPr>
            <w:tcW w:w="4006" w:type="dxa"/>
          </w:tcPr>
          <w:p w:rsidR="00EF0F1C" w:rsidRDefault="0042621E" w:rsidP="00E3253D">
            <w:pPr>
              <w:pStyle w:val="libFootnote0"/>
              <w:rPr>
                <w:rtl/>
              </w:rPr>
            </w:pPr>
            <w:r w:rsidRPr="0042621E">
              <w:rPr>
                <w:rStyle w:val="libFootnote0Char"/>
                <w:rtl/>
              </w:rPr>
              <w:t>(4).</w:t>
            </w:r>
            <w:r w:rsidR="00EF0F1C" w:rsidRPr="005D642E">
              <w:rPr>
                <w:rtl/>
              </w:rPr>
              <w:t xml:space="preserve"> في « ى » : « فيصبّ »</w:t>
            </w:r>
            <w:r w:rsidR="00EF0F1C">
              <w:rPr>
                <w:rtl/>
              </w:rPr>
              <w:t>.</w:t>
            </w:r>
          </w:p>
        </w:tc>
        <w:tc>
          <w:tcPr>
            <w:tcW w:w="4006" w:type="dxa"/>
          </w:tcPr>
          <w:p w:rsidR="00EF0F1C" w:rsidRDefault="0042621E" w:rsidP="00E3253D">
            <w:pPr>
              <w:pStyle w:val="libFootnote0"/>
              <w:rPr>
                <w:rtl/>
              </w:rPr>
            </w:pPr>
            <w:r w:rsidRPr="0042621E">
              <w:rPr>
                <w:rStyle w:val="libFootnote0Char"/>
                <w:rtl/>
              </w:rPr>
              <w:t>(5).</w:t>
            </w:r>
            <w:r w:rsidR="00EF0F1C" w:rsidRPr="005D642E">
              <w:rPr>
                <w:rtl/>
              </w:rPr>
              <w:t xml:space="preserve"> في « جس » :</w:t>
            </w:r>
            <w:r w:rsidR="00EF0F1C">
              <w:rPr>
                <w:rtl/>
              </w:rPr>
              <w:t xml:space="preserve"> - </w:t>
            </w:r>
            <w:r w:rsidR="00EF0F1C" w:rsidRPr="005D642E">
              <w:rPr>
                <w:rtl/>
              </w:rPr>
              <w:t>« قال »</w:t>
            </w:r>
            <w:r w:rsidR="00EF0F1C">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xml:space="preserve">« </w:t>
      </w:r>
      <w:r w:rsidR="00E3253D">
        <w:rPr>
          <w:rtl/>
        </w:rPr>
        <w:t>و ».</w:t>
      </w:r>
    </w:p>
    <w:p w:rsidR="00E3253D" w:rsidRPr="005D642E" w:rsidRDefault="0042621E" w:rsidP="008C35ED">
      <w:pPr>
        <w:pStyle w:val="libFootnote0"/>
        <w:rPr>
          <w:rtl/>
          <w:lang w:bidi="fa-IR"/>
        </w:rPr>
      </w:pPr>
      <w:r w:rsidRPr="0042621E">
        <w:rPr>
          <w:rStyle w:val="libFootnote0Char"/>
          <w:rtl/>
        </w:rPr>
        <w:t>(7).</w:t>
      </w:r>
      <w:r w:rsidR="00E3253D" w:rsidRPr="005D642E">
        <w:rPr>
          <w:rtl/>
        </w:rPr>
        <w:t xml:space="preserve"> في « بف ، بخ » :</w:t>
      </w:r>
      <w:r w:rsidR="00E3253D">
        <w:rPr>
          <w:rtl/>
        </w:rPr>
        <w:t xml:space="preserve"> </w:t>
      </w:r>
      <w:r w:rsidR="007642BC">
        <w:rPr>
          <w:rtl/>
        </w:rPr>
        <w:t>-</w:t>
      </w:r>
      <w:r w:rsidR="00E3253D">
        <w:rPr>
          <w:rtl/>
        </w:rPr>
        <w:t xml:space="preserve"> </w:t>
      </w:r>
      <w:r w:rsidR="00E3253D" w:rsidRPr="005D642E">
        <w:rPr>
          <w:rtl/>
        </w:rPr>
        <w:t>« من »</w:t>
      </w:r>
      <w:r w:rsidR="00E3253D">
        <w:rPr>
          <w:rtl/>
        </w:rPr>
        <w:t>.</w:t>
      </w:r>
      <w:r w:rsidR="00E3253D" w:rsidRPr="005D642E">
        <w:rPr>
          <w:rtl/>
        </w:rPr>
        <w:t xml:space="preserve"> وفي الوافي : « على الماء المطر »</w:t>
      </w:r>
      <w:r w:rsidR="00E3253D">
        <w:rPr>
          <w:rtl/>
        </w:rPr>
        <w:t>.</w:t>
      </w:r>
      <w:r w:rsidR="00E3253D" w:rsidRPr="005D642E">
        <w:rPr>
          <w:rtl/>
        </w:rPr>
        <w:t xml:space="preserve"> فالظاهر أنّ الماء مجرور</w:t>
      </w:r>
      <w:r w:rsidR="00E3253D">
        <w:rPr>
          <w:rtl/>
        </w:rPr>
        <w:t xml:space="preserve"> ب</w:t>
      </w:r>
      <w:r w:rsidR="007642BC">
        <w:rPr>
          <w:rtl/>
        </w:rPr>
        <w:t>-</w:t>
      </w:r>
      <w:r w:rsidR="00E3253D">
        <w:rPr>
          <w:rtl/>
        </w:rPr>
        <w:t xml:space="preserve"> </w:t>
      </w:r>
      <w:r w:rsidR="00E3253D" w:rsidRPr="005D642E">
        <w:rPr>
          <w:rtl/>
        </w:rPr>
        <w:t>« على » والمطر فاعل الفعل.</w:t>
      </w:r>
      <w:r w:rsidR="008C35ED">
        <w:rPr>
          <w:rFonts w:hint="cs"/>
          <w:rtl/>
        </w:rPr>
        <w:t xml:space="preserve">                          </w:t>
      </w:r>
      <w:r w:rsidR="009F10EE">
        <w:rPr>
          <w:rFonts w:hint="cs"/>
          <w:rtl/>
        </w:rPr>
        <w:t xml:space="preserve">   </w:t>
      </w:r>
      <w:r w:rsidR="008C35ED">
        <w:rPr>
          <w:rFonts w:hint="cs"/>
          <w:rtl/>
        </w:rPr>
        <w:t xml:space="preserve">                  </w:t>
      </w:r>
      <w:r w:rsidRPr="0042621E">
        <w:rPr>
          <w:rStyle w:val="libFootnote0Char"/>
          <w:rtl/>
        </w:rPr>
        <w:t>(8).</w:t>
      </w:r>
      <w:r w:rsidR="00E3253D" w:rsidRPr="005D642E">
        <w:rPr>
          <w:rtl/>
        </w:rPr>
        <w:t xml:space="preserve"> في « بث ، جس » :</w:t>
      </w:r>
      <w:r w:rsidR="00E3253D">
        <w:rPr>
          <w:rtl/>
        </w:rPr>
        <w:t xml:space="preserve"> </w:t>
      </w:r>
      <w:r w:rsidR="007642BC">
        <w:rPr>
          <w:rtl/>
        </w:rPr>
        <w:t>-</w:t>
      </w:r>
      <w:r w:rsidR="00E3253D">
        <w:rPr>
          <w:rtl/>
        </w:rPr>
        <w:t xml:space="preserve"> </w:t>
      </w:r>
      <w:r w:rsidR="00E3253D" w:rsidRPr="005D642E">
        <w:rPr>
          <w:rtl/>
        </w:rPr>
        <w:t>« فيه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بس » وحاشية « ت ، ى » : « فتطفر » وكذا في </w:t>
      </w:r>
      <w:r w:rsidR="00E3253D" w:rsidRPr="002F4D34">
        <w:rPr>
          <w:rStyle w:val="libFootnoteBoldChar"/>
          <w:rtl/>
        </w:rPr>
        <w:t>المرآة</w:t>
      </w:r>
      <w:r w:rsidR="00E3253D" w:rsidRPr="005D642E">
        <w:rPr>
          <w:rtl/>
        </w:rPr>
        <w:t xml:space="preserve"> نقلاً عن نسخة بخطّ ابن المزيد ، وفي « ى ، جس » : « فيقطر »</w:t>
      </w:r>
      <w:r w:rsidR="00E3253D">
        <w:rPr>
          <w:rtl/>
        </w:rPr>
        <w:t>.</w:t>
      </w:r>
      <w:r w:rsidR="00E3253D" w:rsidRPr="005D642E">
        <w:rPr>
          <w:rtl/>
        </w:rPr>
        <w:t xml:space="preserve"> وفي « بف » : « فقطر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ينتضح » ، أي يترشّش ؛ من النضح بمعنى البلّ بالماء والرشّ. راجع : </w:t>
      </w:r>
      <w:r w:rsidR="00E3253D" w:rsidRPr="002F4D34">
        <w:rPr>
          <w:rStyle w:val="libFootnoteBoldChar"/>
          <w:rtl/>
        </w:rPr>
        <w:t>لسان العرب</w:t>
      </w:r>
      <w:r w:rsidR="00E3253D" w:rsidRPr="005D642E">
        <w:rPr>
          <w:rtl/>
        </w:rPr>
        <w:t xml:space="preserve"> ، ج 2 ، ص 618 ؛ </w:t>
      </w:r>
      <w:r w:rsidR="00E3253D" w:rsidRPr="002F4D34">
        <w:rPr>
          <w:rStyle w:val="libFootnoteBoldChar"/>
          <w:rtl/>
        </w:rPr>
        <w:t>المصباح المنير</w:t>
      </w:r>
      <w:r w:rsidR="00E3253D" w:rsidRPr="005D642E">
        <w:rPr>
          <w:rtl/>
        </w:rPr>
        <w:t xml:space="preserve"> ، ص 609 ( نضح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الوافي</w:t>
      </w:r>
      <w:r w:rsidR="00E3253D" w:rsidRPr="005D642E">
        <w:rPr>
          <w:rtl/>
        </w:rPr>
        <w:t xml:space="preserve"> : « كنى بالوضوء في الموضعين عمّا يوجبه ، ومثله كثير في كلامهم ومنه المتوضّي ، قول الرجل : « أين يتوضّأ الغرباء » ، كما يأتي ؛ أو اكتفى بذكر الوضوء عن مقدّماته</w:t>
      </w:r>
      <w:r w:rsidR="00FB24D9">
        <w:rPr>
          <w:rtl/>
        </w:rPr>
        <w:t xml:space="preserve"> ؛ أو عبّر به عن الاستنجاء وإل</w:t>
      </w:r>
      <w:r w:rsidR="00FB24D9">
        <w:rPr>
          <w:rFonts w:hint="cs"/>
          <w:rtl/>
        </w:rPr>
        <w:t>ّ</w:t>
      </w:r>
      <w:r w:rsidR="00FB24D9">
        <w:rPr>
          <w:rtl/>
        </w:rPr>
        <w:t>ا</w:t>
      </w:r>
      <w:r w:rsidR="00E3253D" w:rsidRPr="005D642E">
        <w:rPr>
          <w:rtl/>
        </w:rPr>
        <w:t xml:space="preserve"> فلا وجه للسؤال. والغرض من السؤال الثاني أنّ المطر يسيل على الماء المتغيّر أحدهما بالقذر ، فيثب من الماء القطرات وينتضح عليّ. وقوله : « والبيت يتوضّأ على سطحه » سؤال آخر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قوله : « فيكف » ، أي يتقاطر ويسيل قليلاً قليلاً ، يقال : وَكَفَ البيتُ والدمعُ ، إذا تقاطر. وأصل الوكف </w:t>
      </w:r>
      <w:r w:rsidR="00FB24D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عَلى ثِيَابِنَا</w:t>
      </w:r>
      <w:r>
        <w:rPr>
          <w:rtl/>
          <w:lang w:bidi="fa-IR"/>
        </w:rPr>
        <w:t>؟</w:t>
      </w:r>
    </w:p>
    <w:p w:rsidR="00E3253D" w:rsidRPr="005D642E" w:rsidRDefault="00E3253D" w:rsidP="00E3253D">
      <w:pPr>
        <w:pStyle w:val="libNormal"/>
        <w:rPr>
          <w:rtl/>
          <w:lang w:bidi="fa-IR"/>
        </w:rPr>
      </w:pPr>
      <w:r w:rsidRPr="005D642E">
        <w:rPr>
          <w:rtl/>
          <w:lang w:bidi="fa-IR"/>
        </w:rPr>
        <w:t xml:space="preserve">قَالَ : « مَا بِذَا بَأْسٌ </w:t>
      </w:r>
      <w:r w:rsidRPr="007C12DB">
        <w:rPr>
          <w:rStyle w:val="libFootnotenumChar"/>
          <w:rtl/>
        </w:rPr>
        <w:t>(1)</w:t>
      </w:r>
      <w:r w:rsidRPr="005D642E">
        <w:rPr>
          <w:rtl/>
          <w:lang w:bidi="fa-IR"/>
        </w:rPr>
        <w:t xml:space="preserve"> ، لَاتَغْسِلْهُ ؛ كُلُّ شَيْ‌ءٍ يَرَاهُ </w:t>
      </w:r>
      <w:r w:rsidRPr="007C12DB">
        <w:rPr>
          <w:rStyle w:val="libFootnotenumChar"/>
          <w:rtl/>
        </w:rPr>
        <w:t>(2)</w:t>
      </w:r>
      <w:r w:rsidRPr="005D642E">
        <w:rPr>
          <w:rtl/>
          <w:lang w:bidi="fa-IR"/>
        </w:rPr>
        <w:t xml:space="preserve"> مَاءُ الْمَطَرِ فَقَدْ طَهُرَ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4F093E">
        <w:rPr>
          <w:rtl/>
        </w:rPr>
        <w:t>3860</w:t>
      </w:r>
      <w:r w:rsidRPr="00246318">
        <w:rPr>
          <w:rStyle w:val="libBold2Char"/>
          <w:rtl/>
        </w:rPr>
        <w:t xml:space="preserve"> / 4.</w:t>
      </w:r>
      <w:r w:rsidRPr="005D642E">
        <w:rPr>
          <w:rtl/>
          <w:lang w:bidi="fa-IR"/>
        </w:rPr>
        <w:t xml:space="preserve"> مُحَمَّدُ بْنُ يَحْيى ، عَنْ أَحْمَدَ بْنِ مُحَمَّدٍ ، عَنْ مُحَمَّدِ بْنِ إِسْمَاعِيلَ ، عَنْ بَعْضِ أَصْحَابِنَا :</w:t>
      </w:r>
    </w:p>
    <w:p w:rsidR="00E3253D" w:rsidRPr="005D642E" w:rsidRDefault="00E3253D" w:rsidP="00E3253D">
      <w:pPr>
        <w:pStyle w:val="libNormal"/>
        <w:rPr>
          <w:rtl/>
          <w:lang w:bidi="fa-IR"/>
        </w:rPr>
      </w:pPr>
      <w:r w:rsidRPr="005D642E">
        <w:rPr>
          <w:rtl/>
          <w:lang w:bidi="fa-IR"/>
        </w:rPr>
        <w:t xml:space="preserve">عَنْ أَبِي الْحَسَنِ </w:t>
      </w:r>
      <w:r w:rsidRPr="00AC51C5">
        <w:rPr>
          <w:rStyle w:val="libAlaemChar"/>
          <w:rtl/>
        </w:rPr>
        <w:t>عليه‌السلام</w:t>
      </w:r>
      <w:r w:rsidRPr="005D642E">
        <w:rPr>
          <w:rtl/>
          <w:lang w:bidi="fa-IR"/>
        </w:rPr>
        <w:t xml:space="preserve"> فِي طِينِ الْمَطَرِ : « أَنَّهُ لَابَأْسَ بِهِ أَنْ يُصِيبَ الثَّوْبَ ثَلَاث</w:t>
      </w:r>
      <w:r w:rsidR="00D46397">
        <w:rPr>
          <w:rtl/>
          <w:lang w:bidi="fa-IR"/>
        </w:rPr>
        <w:t>َةَ أَيَّامٍ ، إِل</w:t>
      </w:r>
      <w:r w:rsidR="00D46397">
        <w:rPr>
          <w:rFonts w:hint="cs"/>
          <w:rtl/>
          <w:lang w:bidi="fa-IR"/>
        </w:rPr>
        <w:t>َّ</w:t>
      </w:r>
      <w:r w:rsidR="00D46397">
        <w:rPr>
          <w:rtl/>
          <w:lang w:bidi="fa-IR"/>
        </w:rPr>
        <w:t>ا</w:t>
      </w:r>
      <w:r w:rsidRPr="005D642E">
        <w:rPr>
          <w:rtl/>
          <w:lang w:bidi="fa-IR"/>
        </w:rPr>
        <w:t xml:space="preserve"> أَنْ يُعْلَمَ أَنَّهُ قَدْ نَجَّسَهُ شَيْ‌ءٌ بَعْدَ الْمَطَرِ ، فَإِنْ </w:t>
      </w:r>
      <w:r w:rsidRPr="007C12DB">
        <w:rPr>
          <w:rStyle w:val="libFootnotenumChar"/>
          <w:rtl/>
        </w:rPr>
        <w:t>(4)</w:t>
      </w:r>
      <w:r w:rsidRPr="005D642E">
        <w:rPr>
          <w:rtl/>
          <w:lang w:bidi="fa-IR"/>
        </w:rPr>
        <w:t xml:space="preserve"> أَصَابَهُ بَعْدَ ثَلَاثَةِ أَيَّامٍ فَاغْسِلْهُ ، وَإِنْ كَانَ الطَّرِيقُ نَظِيفاً لَمْ تَغْسِلْهُ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4F093E">
        <w:rPr>
          <w:rtl/>
        </w:rPr>
        <w:t>3861</w:t>
      </w:r>
      <w:r w:rsidRPr="00246318">
        <w:rPr>
          <w:rStyle w:val="libBold2Char"/>
          <w:rtl/>
        </w:rPr>
        <w:t xml:space="preserve"> / 5.</w:t>
      </w:r>
      <w:r w:rsidRPr="005D642E">
        <w:rPr>
          <w:rtl/>
          <w:lang w:bidi="fa-IR"/>
        </w:rPr>
        <w:t xml:space="preserve"> عَلِيُّ بْنُ إِبْرَاهِيمَ ، عَنْ أَبِيهِ ، عَنِ ابْنِ أَبِي عُمَيْرٍ ، عَنِ ابْنِ أُذَيْنَةَ ، عَنِ الْأَحْوَلِ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أَخْرُجُ مِنَ الْخَلَاءِ ، فَأَسْتَنْجِي بِالْمَاءِ ، فَيَقَعُ ثَوْبِي فِي ذلِكَ الْمَاءِ الَّذِي اسْتَنْجَيْتُ بِهِ</w:t>
      </w:r>
      <w:r>
        <w:rPr>
          <w:rtl/>
          <w:lang w:bidi="fa-IR"/>
        </w:rPr>
        <w:t>؟</w:t>
      </w:r>
    </w:p>
    <w:p w:rsidR="00E3253D" w:rsidRPr="005D642E" w:rsidRDefault="00E3253D" w:rsidP="00E3253D">
      <w:pPr>
        <w:pStyle w:val="libNormal"/>
        <w:rPr>
          <w:rtl/>
          <w:lang w:bidi="fa-IR"/>
        </w:rPr>
      </w:pPr>
      <w:r w:rsidRPr="005D642E">
        <w:rPr>
          <w:rtl/>
          <w:lang w:bidi="fa-IR"/>
        </w:rPr>
        <w:t xml:space="preserve">فَقَالَ : « لَا بَأْسَ بِهِ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E46BB6" w:rsidP="00171B0F">
      <w:pPr>
        <w:pStyle w:val="libFootnote0"/>
        <w:rPr>
          <w:rtl/>
          <w:lang w:bidi="fa-IR"/>
        </w:rPr>
      </w:pPr>
      <w:r>
        <w:rPr>
          <w:rFonts w:hint="cs"/>
          <w:rtl/>
        </w:rPr>
        <w:t xml:space="preserve">= </w:t>
      </w:r>
      <w:r w:rsidR="00E3253D" w:rsidRPr="005D642E">
        <w:rPr>
          <w:rtl/>
        </w:rPr>
        <w:t xml:space="preserve">في اللغة الميل والجور. راجع : </w:t>
      </w:r>
      <w:r w:rsidR="00E3253D" w:rsidRPr="002F4D34">
        <w:rPr>
          <w:rStyle w:val="libFootnoteBoldChar"/>
          <w:rtl/>
        </w:rPr>
        <w:t>النهاية</w:t>
      </w:r>
      <w:r w:rsidR="00E3253D" w:rsidRPr="005D642E">
        <w:rPr>
          <w:rtl/>
        </w:rPr>
        <w:t xml:space="preserve"> ، ج 5 ، ص 220 ؛ </w:t>
      </w:r>
      <w:r w:rsidR="00E3253D" w:rsidRPr="002F4D34">
        <w:rPr>
          <w:rStyle w:val="libFootnoteBoldChar"/>
          <w:rtl/>
        </w:rPr>
        <w:t>المصباح المنير</w:t>
      </w:r>
      <w:r w:rsidR="00E3253D" w:rsidRPr="005D642E">
        <w:rPr>
          <w:rtl/>
        </w:rPr>
        <w:t xml:space="preserve"> ، ص 670 ( وكف )</w:t>
      </w:r>
      <w:r w:rsidR="00E3253D">
        <w:rPr>
          <w:rtl/>
        </w:rPr>
        <w:t>.</w:t>
      </w:r>
    </w:p>
    <w:tbl>
      <w:tblPr>
        <w:tblStyle w:val="TableGrid"/>
        <w:bidiVisual/>
        <w:tblW w:w="0" w:type="auto"/>
        <w:tblLook w:val="04A0" w:firstRow="1" w:lastRow="0" w:firstColumn="1" w:lastColumn="0" w:noHBand="0" w:noVBand="1"/>
      </w:tblPr>
      <w:tblGrid>
        <w:gridCol w:w="4006"/>
        <w:gridCol w:w="4006"/>
      </w:tblGrid>
      <w:tr w:rsidR="00171B0F" w:rsidTr="00171B0F">
        <w:tc>
          <w:tcPr>
            <w:tcW w:w="4006" w:type="dxa"/>
          </w:tcPr>
          <w:p w:rsidR="00171B0F" w:rsidRDefault="0042621E" w:rsidP="00E3253D">
            <w:pPr>
              <w:pStyle w:val="libFootnote0"/>
              <w:rPr>
                <w:rtl/>
                <w:lang w:bidi="fa-IR"/>
              </w:rPr>
            </w:pPr>
            <w:r w:rsidRPr="0042621E">
              <w:rPr>
                <w:rStyle w:val="libFootnote0Char"/>
                <w:rtl/>
              </w:rPr>
              <w:t>(1).</w:t>
            </w:r>
            <w:r w:rsidR="00171B0F">
              <w:rPr>
                <w:rtl/>
              </w:rPr>
              <w:t xml:space="preserve"> </w:t>
            </w:r>
            <w:r w:rsidR="00171B0F" w:rsidRPr="005D642E">
              <w:rPr>
                <w:rtl/>
              </w:rPr>
              <w:t xml:space="preserve">في « بح » وحاشية « بخ » : + « </w:t>
            </w:r>
            <w:r w:rsidR="00171B0F">
              <w:rPr>
                <w:rtl/>
              </w:rPr>
              <w:t>و ».</w:t>
            </w:r>
          </w:p>
        </w:tc>
        <w:tc>
          <w:tcPr>
            <w:tcW w:w="4006" w:type="dxa"/>
          </w:tcPr>
          <w:p w:rsidR="00171B0F" w:rsidRDefault="0042621E" w:rsidP="00E3253D">
            <w:pPr>
              <w:pStyle w:val="libFootnote0"/>
              <w:rPr>
                <w:rtl/>
                <w:lang w:bidi="fa-IR"/>
              </w:rPr>
            </w:pPr>
            <w:r w:rsidRPr="0042621E">
              <w:rPr>
                <w:rStyle w:val="libFootnote0Char"/>
                <w:rtl/>
              </w:rPr>
              <w:t>(2).</w:t>
            </w:r>
            <w:r w:rsidR="00171B0F" w:rsidRPr="005D642E">
              <w:rPr>
                <w:rtl/>
              </w:rPr>
              <w:t xml:space="preserve"> في « ى ، جس » : « تراه »</w:t>
            </w:r>
            <w:r w:rsidR="00171B0F">
              <w:rPr>
                <w:rtl/>
              </w:rPr>
              <w:t>.</w:t>
            </w:r>
          </w:p>
        </w:tc>
      </w:tr>
    </w:tbl>
    <w:p w:rsidR="00E3253D" w:rsidRPr="005D642E" w:rsidRDefault="0042621E" w:rsidP="005D2C43">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46 ، ح 3726 ؛ </w:t>
      </w:r>
      <w:r w:rsidR="00E3253D" w:rsidRPr="002F4D34">
        <w:rPr>
          <w:rStyle w:val="libFootnoteBoldChar"/>
          <w:rtl/>
        </w:rPr>
        <w:t>الوسائل</w:t>
      </w:r>
      <w:r w:rsidR="00E3253D" w:rsidRPr="005D642E">
        <w:rPr>
          <w:rtl/>
        </w:rPr>
        <w:t xml:space="preserve"> ، ج 1 ، ص 146 ، ح 362 ، وفيه من قوله : « قلت : ويسيل عليّ من ماء المطر »</w:t>
      </w:r>
      <w:r w:rsidR="00E3253D">
        <w:rPr>
          <w:rtl/>
        </w:rPr>
        <w:t>.</w:t>
      </w:r>
      <w:r w:rsidR="005D2C43">
        <w:rPr>
          <w:rFonts w:hint="cs"/>
          <w:rtl/>
        </w:rPr>
        <w:t xml:space="preserve">                               </w:t>
      </w:r>
      <w:r w:rsidRPr="0042621E">
        <w:rPr>
          <w:rStyle w:val="libFootnote0Char"/>
          <w:rtl/>
        </w:rPr>
        <w:t>(4).</w:t>
      </w:r>
      <w:r w:rsidR="00E3253D" w:rsidRPr="005D642E">
        <w:rPr>
          <w:rtl/>
        </w:rPr>
        <w:t xml:space="preserve"> في التهديب : « وإن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جن » </w:t>
      </w:r>
      <w:r w:rsidR="009E68BB" w:rsidRPr="009E68BB">
        <w:rPr>
          <w:rStyle w:val="libFootnoteBoldChar"/>
          <w:rtl/>
        </w:rPr>
        <w:t>وتحف العقول</w:t>
      </w:r>
      <w:r w:rsidR="00E3253D" w:rsidRPr="005D642E">
        <w:rPr>
          <w:rtl/>
        </w:rPr>
        <w:t xml:space="preserve"> : « لم يغسله »</w:t>
      </w:r>
      <w:r w:rsidR="00E3253D">
        <w:rPr>
          <w:rtl/>
        </w:rPr>
        <w:t>.</w:t>
      </w:r>
      <w:r w:rsidR="00E3253D" w:rsidRPr="005D642E">
        <w:rPr>
          <w:rtl/>
        </w:rPr>
        <w:t xml:space="preserve"> وفي الوافي : « فلا تغسله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783 ، ح 70 ، معلّقاً عن أحمد بن محمّد. </w:t>
      </w:r>
      <w:r w:rsidR="00E3253D" w:rsidRPr="002F4D34">
        <w:rPr>
          <w:rStyle w:val="libFootnoteBoldChar"/>
          <w:rtl/>
        </w:rPr>
        <w:t>الفقيه</w:t>
      </w:r>
      <w:r w:rsidR="00E3253D" w:rsidRPr="005D642E">
        <w:rPr>
          <w:rtl/>
        </w:rPr>
        <w:t xml:space="preserve"> ، ج 1 ، ص 70 ، ح 163 ، مرسلاً عن موسى‌بن جعفر </w:t>
      </w:r>
      <w:r w:rsidR="00E3253D" w:rsidRPr="00171B0F">
        <w:rPr>
          <w:rStyle w:val="libFootnoteAlaemChar"/>
          <w:rtl/>
        </w:rPr>
        <w:t>عليهما‌السلام</w:t>
      </w:r>
      <w:r w:rsidR="00E3253D" w:rsidRPr="005D642E">
        <w:rPr>
          <w:rtl/>
        </w:rPr>
        <w:t xml:space="preserve"> </w:t>
      </w:r>
      <w:r w:rsidR="005D2C43">
        <w:rPr>
          <w:rFonts w:hint="cs"/>
          <w:rtl/>
        </w:rPr>
        <w:t>.</w:t>
      </w:r>
      <w:r w:rsidR="00E3253D" w:rsidRPr="002F4D34">
        <w:rPr>
          <w:rStyle w:val="libFootnoteBoldChar"/>
          <w:rtl/>
        </w:rPr>
        <w:t>الوافي</w:t>
      </w:r>
      <w:r w:rsidR="00E3253D" w:rsidRPr="005D642E">
        <w:rPr>
          <w:rtl/>
        </w:rPr>
        <w:t xml:space="preserve"> ، ج 6 ، ص 46 ، ح 3727 ؛ </w:t>
      </w:r>
      <w:r w:rsidR="00E3253D" w:rsidRPr="002F4D34">
        <w:rPr>
          <w:rStyle w:val="libFootnoteBoldChar"/>
          <w:rtl/>
        </w:rPr>
        <w:t>الوسائل</w:t>
      </w:r>
      <w:r w:rsidR="00E3253D" w:rsidRPr="005D642E">
        <w:rPr>
          <w:rtl/>
        </w:rPr>
        <w:t xml:space="preserve"> ، ج 1 ، ص 147 ، ح 363 ، إلى قوله : « قد نجسّه شي‌ء بعد المطر » ؛ وج 3 ، ص 522 ، ح 4351.</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الفقيه : + « وليس عليك شي‌ء »</w:t>
      </w:r>
      <w:r w:rsidR="00E3253D">
        <w:rPr>
          <w:rtl/>
        </w:rPr>
        <w:t>.</w:t>
      </w:r>
      <w:r w:rsidR="00E3253D" w:rsidRPr="005D642E">
        <w:rPr>
          <w:rtl/>
        </w:rPr>
        <w:t xml:space="preserve"> وقال في </w:t>
      </w:r>
      <w:r w:rsidR="00E3253D" w:rsidRPr="002F4D34">
        <w:rPr>
          <w:rStyle w:val="libFootnoteBoldChar"/>
          <w:rtl/>
        </w:rPr>
        <w:t>مرآة العقول</w:t>
      </w:r>
      <w:r w:rsidR="00E3253D" w:rsidRPr="005D642E">
        <w:rPr>
          <w:rtl/>
        </w:rPr>
        <w:t xml:space="preserve"> ، ج 13 ، ص 45 : « يستفاد من عدم البأس أنّه طاهر ، لا أنّه نجس معفوّ عنه ، كما نسبه في </w:t>
      </w:r>
      <w:r w:rsidR="00E3253D" w:rsidRPr="002F4D34">
        <w:rPr>
          <w:rStyle w:val="libFootnoteBoldChar"/>
          <w:rtl/>
        </w:rPr>
        <w:t>الذكرى</w:t>
      </w:r>
      <w:r w:rsidR="00E3253D" w:rsidRPr="005D642E">
        <w:rPr>
          <w:rtl/>
        </w:rPr>
        <w:t xml:space="preserve"> إلى المحقّق في </w:t>
      </w:r>
      <w:r w:rsidR="00E3253D" w:rsidRPr="002F4D34">
        <w:rPr>
          <w:rStyle w:val="libFootnoteBoldChar"/>
          <w:rtl/>
        </w:rPr>
        <w:t>المعتبر</w:t>
      </w:r>
      <w:r w:rsidR="00E3253D" w:rsidRPr="005D642E">
        <w:rPr>
          <w:rtl/>
        </w:rPr>
        <w:t xml:space="preserve"> » وذكر أنّ إطلاق الحديث يؤذن بعدم الفرق في ذلك بين المخرجَين المتعدّي وغيره ، ولا بين أن ينفصل مع الماء أجزاء من النجاسة مميّزة أو لا ، وذكر </w:t>
      </w:r>
      <w:r w:rsidR="005D2C4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4F093E">
        <w:rPr>
          <w:rtl/>
        </w:rPr>
        <w:lastRenderedPageBreak/>
        <w:t>3862</w:t>
      </w:r>
      <w:r w:rsidRPr="00246318">
        <w:rPr>
          <w:rStyle w:val="libBold2Char"/>
          <w:rtl/>
        </w:rPr>
        <w:t xml:space="preserve"> / 6.</w:t>
      </w:r>
      <w:r w:rsidRPr="005D642E">
        <w:rPr>
          <w:rtl/>
          <w:lang w:bidi="fa-IR"/>
        </w:rPr>
        <w:t xml:space="preserve"> مُحَمَّدُ بْنُ يَحْيى ، عَنْ أَحْمَدَ بْنِ مُحَمَّدٍ </w:t>
      </w:r>
      <w:r w:rsidRPr="007C12DB">
        <w:rPr>
          <w:rStyle w:val="libFootnotenumChar"/>
          <w:rtl/>
        </w:rPr>
        <w:t>(1)</w:t>
      </w:r>
      <w:r w:rsidRPr="005D642E">
        <w:rPr>
          <w:rtl/>
          <w:lang w:bidi="fa-IR"/>
        </w:rPr>
        <w:t xml:space="preserve"> ، عَنْ مُحَمَّدِ بْنِ إِسْمَاعِيلَ ، عَنْ عَلِيِّ بْنِ الْحَكَمِ ، عَنْ شِهَابِ بْنِ عَبْدِ رَبِّهِ :</w:t>
      </w:r>
    </w:p>
    <w:p w:rsidR="00E3253D" w:rsidRPr="005D642E" w:rsidRDefault="00E3253D" w:rsidP="00E3253D">
      <w:pPr>
        <w:pStyle w:val="libLine"/>
        <w:rPr>
          <w:rtl/>
          <w:lang w:bidi="fa-IR"/>
        </w:rPr>
      </w:pPr>
      <w:r w:rsidRPr="005D642E">
        <w:rPr>
          <w:rtl/>
          <w:lang w:bidi="fa-IR"/>
        </w:rPr>
        <w:t>__________________</w:t>
      </w:r>
    </w:p>
    <w:p w:rsidR="00E3253D" w:rsidRPr="005D642E" w:rsidRDefault="003E02C2" w:rsidP="00E3253D">
      <w:pPr>
        <w:pStyle w:val="libFootnote0"/>
        <w:rPr>
          <w:rtl/>
          <w:lang w:bidi="fa-IR"/>
        </w:rPr>
      </w:pPr>
      <w:r>
        <w:rPr>
          <w:rFonts w:hint="cs"/>
          <w:rtl/>
        </w:rPr>
        <w:t xml:space="preserve">= </w:t>
      </w:r>
      <w:r>
        <w:rPr>
          <w:rtl/>
        </w:rPr>
        <w:t>اشتراط العل</w:t>
      </w:r>
      <w:r>
        <w:rPr>
          <w:rFonts w:hint="cs"/>
          <w:rtl/>
        </w:rPr>
        <w:t>ّ</w:t>
      </w:r>
      <w:r>
        <w:rPr>
          <w:rtl/>
        </w:rPr>
        <w:t>ا</w:t>
      </w:r>
      <w:r w:rsidR="00E3253D" w:rsidRPr="005D642E">
        <w:rPr>
          <w:rtl/>
        </w:rPr>
        <w:t>مة عدم زيادة الوزن ، ثمّ قال : « نعم يشترط عدم تغيّره بالنجاسة ، وعدم وقوعه على نجاسة خارجة »</w:t>
      </w:r>
      <w:r w:rsidR="00E3253D">
        <w:rPr>
          <w:rtl/>
        </w:rPr>
        <w:t>.</w:t>
      </w:r>
      <w:r w:rsidR="00E3253D" w:rsidRPr="005D642E">
        <w:rPr>
          <w:rtl/>
        </w:rPr>
        <w:t xml:space="preserve"> وراجع : </w:t>
      </w:r>
      <w:r w:rsidR="00E3253D" w:rsidRPr="002F4D34">
        <w:rPr>
          <w:rStyle w:val="libFootnoteBoldChar"/>
          <w:rtl/>
        </w:rPr>
        <w:t>ذكرى الشيعة</w:t>
      </w:r>
      <w:r w:rsidR="00E3253D" w:rsidRPr="005D642E">
        <w:rPr>
          <w:rtl/>
        </w:rPr>
        <w:t xml:space="preserve"> ، ج 1 ، ص 83.</w:t>
      </w:r>
    </w:p>
    <w:p w:rsidR="00E3253D" w:rsidRDefault="0042621E" w:rsidP="00E3253D">
      <w:pPr>
        <w:pStyle w:val="libFootnote0"/>
        <w:rPr>
          <w:rtl/>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85 ، ح 223 ، بسنده عن الكليني. </w:t>
      </w:r>
      <w:r w:rsidR="00E3253D" w:rsidRPr="002F4D34">
        <w:rPr>
          <w:rStyle w:val="libFootnoteBoldChar"/>
          <w:rtl/>
        </w:rPr>
        <w:t>الفقيه</w:t>
      </w:r>
      <w:r w:rsidR="00E3253D" w:rsidRPr="005D642E">
        <w:rPr>
          <w:rtl/>
        </w:rPr>
        <w:t xml:space="preserve"> ، ج 1 ، ص 70 ، ح 162 ، معلّقاً عن محمّد بن النعمان ، عن أبي عبدالله </w:t>
      </w:r>
      <w:r w:rsidR="00E3253D" w:rsidRPr="00E83A60">
        <w:rPr>
          <w:rStyle w:val="libFootnoteAlaemChar"/>
          <w:rtl/>
        </w:rPr>
        <w:t>عليه‌السلام</w:t>
      </w:r>
      <w:r w:rsidR="00E3253D" w:rsidRPr="005D642E">
        <w:rPr>
          <w:rtl/>
        </w:rPr>
        <w:t xml:space="preserve"> </w:t>
      </w:r>
      <w:r w:rsidR="007F6E1A">
        <w:rPr>
          <w:rFonts w:hint="cs"/>
          <w:rtl/>
        </w:rPr>
        <w:t>.</w:t>
      </w:r>
      <w:r w:rsidR="00E3253D" w:rsidRPr="002F4D34">
        <w:rPr>
          <w:rStyle w:val="libFootnoteBoldChar"/>
          <w:rtl/>
        </w:rPr>
        <w:t>الوافي</w:t>
      </w:r>
      <w:r w:rsidR="00E3253D" w:rsidRPr="005D642E">
        <w:rPr>
          <w:rtl/>
        </w:rPr>
        <w:t xml:space="preserve"> ، ج 6 ، ص 23 ، ح 3675 ؛ </w:t>
      </w:r>
      <w:r w:rsidR="00E3253D" w:rsidRPr="002F4D34">
        <w:rPr>
          <w:rStyle w:val="libFootnoteBoldChar"/>
          <w:rtl/>
        </w:rPr>
        <w:t>الوسائل</w:t>
      </w:r>
      <w:r w:rsidR="00E3253D" w:rsidRPr="005D642E">
        <w:rPr>
          <w:rtl/>
        </w:rPr>
        <w:t xml:space="preserve"> ، ج 1 ، ص 221 ، ح 565.</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توسّط أحمد بن محمّد [ بن عيسى ] ب</w:t>
      </w:r>
      <w:r w:rsidR="00E3253D">
        <w:rPr>
          <w:rtl/>
        </w:rPr>
        <w:t>ين محمّد بن يحيى وبين عليّ بن ا</w:t>
      </w:r>
      <w:r w:rsidR="00E3253D" w:rsidRPr="005D642E">
        <w:rPr>
          <w:rtl/>
        </w:rPr>
        <w:t>لحكم في كثيرٍ من الأسناد جدّاً ، ولم‌يُعهَد توسّط محمّد بن إسماعيل</w:t>
      </w:r>
      <w:r w:rsidR="00E3253D">
        <w:rPr>
          <w:rtl/>
        </w:rPr>
        <w:t xml:space="preserve"> </w:t>
      </w:r>
      <w:r w:rsidR="007642BC">
        <w:rPr>
          <w:rtl/>
        </w:rPr>
        <w:t>-</w:t>
      </w:r>
      <w:r w:rsidR="00E3253D">
        <w:rPr>
          <w:rtl/>
        </w:rPr>
        <w:t xml:space="preserve"> </w:t>
      </w:r>
      <w:r w:rsidR="00E3253D" w:rsidRPr="005D642E">
        <w:rPr>
          <w:rtl/>
        </w:rPr>
        <w:t>المنصرف إلى محمّد بن إسماعيل بن بزيع</w:t>
      </w:r>
      <w:r w:rsidR="00E3253D">
        <w:rPr>
          <w:rtl/>
        </w:rPr>
        <w:t xml:space="preserve"> </w:t>
      </w:r>
      <w:r w:rsidR="007642BC">
        <w:rPr>
          <w:rtl/>
        </w:rPr>
        <w:t>-</w:t>
      </w:r>
      <w:r w:rsidR="00E3253D">
        <w:rPr>
          <w:rtl/>
        </w:rPr>
        <w:t xml:space="preserve"> </w:t>
      </w:r>
      <w:r w:rsidR="00E3253D" w:rsidRPr="005D642E">
        <w:rPr>
          <w:rtl/>
        </w:rPr>
        <w:t>بين أحمد بن محمّد وبين عليّ بن الحكم ، بل لم يُعهَد رواية محمّد بن إسماعيل بن بزيع ، عن عليّ بن الحكم ، ففى السند خلل لا محالة.</w:t>
      </w:r>
    </w:p>
    <w:p w:rsidR="00E3253D" w:rsidRPr="005D642E" w:rsidRDefault="00E3253D" w:rsidP="00E3253D">
      <w:pPr>
        <w:pStyle w:val="libFootnote0"/>
        <w:rPr>
          <w:rtl/>
          <w:lang w:bidi="fa-IR"/>
        </w:rPr>
      </w:pPr>
      <w:r w:rsidRPr="00B60612">
        <w:rPr>
          <w:rtl/>
        </w:rPr>
        <w:t xml:space="preserve">هذا ، وتقدّمت في </w:t>
      </w:r>
      <w:r w:rsidRPr="002F4D34">
        <w:rPr>
          <w:rStyle w:val="libFootnoteBoldChar"/>
          <w:rtl/>
        </w:rPr>
        <w:t>الكافي</w:t>
      </w:r>
      <w:r w:rsidRPr="00B60612">
        <w:rPr>
          <w:rtl/>
        </w:rPr>
        <w:t xml:space="preserve"> ، ح 750 و 1456 رواية محمّد بن يحيى ، عن محمّد بن إسماعيل ، عن عليّ بن الحكم. وتقدّمت أيضاً في الحديث 3853 رواية محمّد بن يحيى ، عن محمّد بن إسماعيل ، عن عليّ بن الحكم ، عن شهاب بن عبد ربّه. وموضوع ذاك الخبر قريب من موضوع خبرنا هذا ، ولا يبعد كون الخبرين جزءين من خبر واحد مقطّع ، وتأتي أيضاً في ح 4553 رواية محمّد بن يحيى ، عن محمّد بن إسماعيل ، عن عليّ بن الحكم.</w:t>
      </w:r>
    </w:p>
    <w:p w:rsidR="00E3253D" w:rsidRPr="005D642E" w:rsidRDefault="00E3253D" w:rsidP="00E3253D">
      <w:pPr>
        <w:pStyle w:val="libFootnote0"/>
        <w:rPr>
          <w:rtl/>
          <w:lang w:bidi="fa-IR"/>
        </w:rPr>
      </w:pPr>
      <w:r w:rsidRPr="00B60612">
        <w:rPr>
          <w:rtl/>
        </w:rPr>
        <w:t xml:space="preserve">والظاهر أنّ محمّد بن إسماعيل الراوي عن عليّ بن الحكم في هذه الأسناد هو محمّد بن إسماعيل الراوي لكتاب عليّ بن الحكم </w:t>
      </w:r>
      <w:r w:rsidR="007642BC" w:rsidRPr="00B60612">
        <w:rPr>
          <w:rtl/>
        </w:rPr>
        <w:t>-</w:t>
      </w:r>
      <w:r w:rsidRPr="00B60612">
        <w:rPr>
          <w:rtl/>
        </w:rPr>
        <w:t xml:space="preserve"> كما في </w:t>
      </w:r>
      <w:r w:rsidRPr="002F4D34">
        <w:rPr>
          <w:rStyle w:val="libFootnoteBoldChar"/>
          <w:rtl/>
        </w:rPr>
        <w:t>رجال النجاشي</w:t>
      </w:r>
      <w:r w:rsidRPr="00B60612">
        <w:rPr>
          <w:rtl/>
        </w:rPr>
        <w:t xml:space="preserve"> ، ص 274 ، الرقم 718 </w:t>
      </w:r>
      <w:r w:rsidR="007642BC" w:rsidRPr="00B60612">
        <w:rPr>
          <w:rtl/>
        </w:rPr>
        <w:t>-</w:t>
      </w:r>
      <w:r w:rsidRPr="00B60612">
        <w:rPr>
          <w:rtl/>
        </w:rPr>
        <w:t xml:space="preserve"> وهو متّحد مع محمّد بن إسماعيل القمّي الذي روى محمّد بن يحيى بتوسّطه عن عليّ بن الحكم في ح 5593 ، وهما متّحدان مع محمّد بن إسماعيل بن عيسى الذي روى عن عليّ بن الحكم في </w:t>
      </w:r>
      <w:r w:rsidRPr="002F4D34">
        <w:rPr>
          <w:rStyle w:val="libFootnoteBoldChar"/>
          <w:rtl/>
        </w:rPr>
        <w:t>الاختصاص</w:t>
      </w:r>
      <w:r w:rsidRPr="00B60612">
        <w:rPr>
          <w:rtl/>
        </w:rPr>
        <w:t xml:space="preserve"> ، ص 293 ؛ وص 315.</w:t>
      </w:r>
    </w:p>
    <w:p w:rsidR="00E3253D" w:rsidRPr="005D642E" w:rsidRDefault="00E3253D" w:rsidP="00B60612">
      <w:pPr>
        <w:pStyle w:val="libFootnote0"/>
        <w:rPr>
          <w:rtl/>
          <w:lang w:bidi="fa-IR"/>
        </w:rPr>
      </w:pPr>
      <w:r w:rsidRPr="0095070A">
        <w:rPr>
          <w:rtl/>
        </w:rPr>
        <w:t>إذا تبيّن هذا ، نقول : لحلّ المشكلة في سندنا هذا ثلاثة احتمالات :</w:t>
      </w:r>
    </w:p>
    <w:p w:rsidR="00E3253D" w:rsidRPr="005D642E" w:rsidRDefault="00E3253D" w:rsidP="00B60612">
      <w:pPr>
        <w:pStyle w:val="libFootnote0"/>
        <w:rPr>
          <w:rtl/>
          <w:lang w:bidi="fa-IR"/>
        </w:rPr>
      </w:pPr>
      <w:r w:rsidRPr="0095070A">
        <w:rPr>
          <w:rtl/>
        </w:rPr>
        <w:t>الأوّل : زيادة « عن أحمد بن محمّد » في السند رأساً ، كما لا يبعد بالنظر إلى الحديث 3853.</w:t>
      </w:r>
    </w:p>
    <w:p w:rsidR="00E3253D" w:rsidRPr="005D642E" w:rsidRDefault="00E3253D" w:rsidP="00E3253D">
      <w:pPr>
        <w:pStyle w:val="libFootnote0"/>
        <w:rPr>
          <w:rtl/>
          <w:lang w:bidi="fa-IR"/>
        </w:rPr>
      </w:pPr>
      <w:r w:rsidRPr="00B60612">
        <w:rPr>
          <w:rtl/>
        </w:rPr>
        <w:t xml:space="preserve">الثاني : وقوع التحريف في السند وأنّ الصواب هو « ومحمّد بن إسماعيل » ؛ لما يأتي في ح 5712 ؛ من رواية محمّد بن يحيى ، عن محمّد بن إسماعيل وأحمد بن محمّد ، عن عليّ بن الحكم ، ولما ورد في </w:t>
      </w:r>
      <w:r w:rsidRPr="002F4D34">
        <w:rPr>
          <w:rStyle w:val="libFootnoteBoldChar"/>
          <w:rtl/>
        </w:rPr>
        <w:t>الاختصاص</w:t>
      </w:r>
      <w:r w:rsidRPr="00B60612">
        <w:rPr>
          <w:rtl/>
        </w:rPr>
        <w:t xml:space="preserve"> ، ص 293 ؛ وص 315 ، من رواية أحمد بن محمّد بن عيسى ومحمّد بن إسماعيل بن عيسى ، عن عليّ بن الحكم.</w:t>
      </w:r>
    </w:p>
    <w:p w:rsidR="00E3253D" w:rsidRPr="005D642E" w:rsidRDefault="00E3253D" w:rsidP="00E3253D">
      <w:pPr>
        <w:pStyle w:val="libFootnote0"/>
        <w:rPr>
          <w:rtl/>
          <w:lang w:bidi="fa-IR"/>
        </w:rPr>
      </w:pPr>
      <w:r w:rsidRPr="00B60612">
        <w:rPr>
          <w:rtl/>
        </w:rPr>
        <w:t xml:space="preserve">الثالث : وقوع التحريف في عنوان « أحمد بن محمّد » وأنّ الصواب هو « محمّد بن أحمد » ؛ لما ورد في </w:t>
      </w:r>
      <w:r w:rsidRPr="002F4D34">
        <w:rPr>
          <w:rStyle w:val="libFootnoteBoldChar"/>
          <w:rtl/>
        </w:rPr>
        <w:t>الاستبصار</w:t>
      </w:r>
      <w:r w:rsidRPr="00B60612">
        <w:rPr>
          <w:rtl/>
        </w:rPr>
        <w:t xml:space="preserve"> ، ج 1 ، ص 282 ، ح 1025 ؛ من رواية الحسين بن عبيدالله ، عن أحمد بن محمّد ، عن محمّد بن يحيى أبيه </w:t>
      </w:r>
      <w:r w:rsidR="007642BC" w:rsidRPr="00B60612">
        <w:rPr>
          <w:rtl/>
        </w:rPr>
        <w:t>-</w:t>
      </w:r>
      <w:r w:rsidRPr="00B60612">
        <w:rPr>
          <w:rtl/>
        </w:rPr>
        <w:t xml:space="preserve"> كما في بعض النسخ المعتبرة </w:t>
      </w:r>
      <w:r w:rsidR="007642BC" w:rsidRPr="00B60612">
        <w:rPr>
          <w:rtl/>
        </w:rPr>
        <w:t>-</w:t>
      </w:r>
      <w:r w:rsidRPr="00B60612">
        <w:rPr>
          <w:rtl/>
        </w:rPr>
        <w:t xml:space="preserve"> عن محمّد بن أحمد بن يحيى ، عن محمّد بن إسماعيل ، عن عليّ بن الحكم. وهذا الاحتمال ضعيف جدّاً ؛ لعدم معهوديّة هذا الطريق في أسناد </w:t>
      </w:r>
      <w:r w:rsidRPr="002F4D34">
        <w:rPr>
          <w:rStyle w:val="libFootnoteBoldChar"/>
          <w:rtl/>
        </w:rPr>
        <w:t>الكافي</w:t>
      </w:r>
      <w:r w:rsidRPr="00B60612">
        <w:rPr>
          <w:rtl/>
        </w:rPr>
        <w:t>.</w:t>
      </w:r>
    </w:p>
    <w:p w:rsidR="00E3253D" w:rsidRPr="005D642E" w:rsidRDefault="00E3253D" w:rsidP="00E3253D">
      <w:pPr>
        <w:pStyle w:val="libFootnote0"/>
        <w:rPr>
          <w:rtl/>
          <w:lang w:bidi="fa-IR"/>
        </w:rPr>
      </w:pPr>
      <w:r w:rsidRPr="00B60612">
        <w:rPr>
          <w:rtl/>
        </w:rPr>
        <w:t xml:space="preserve">فتحصّل ممّا مرّ : أنّ ما ورد في </w:t>
      </w:r>
      <w:r w:rsidRPr="002F4D34">
        <w:rPr>
          <w:rStyle w:val="libFootnoteBoldChar"/>
          <w:rtl/>
        </w:rPr>
        <w:t>الوسائل</w:t>
      </w:r>
      <w:r w:rsidRPr="00B60612">
        <w:rPr>
          <w:rtl/>
        </w:rPr>
        <w:t xml:space="preserve"> ، ج 1 ، ص 212 ، ح 544 ؛ من زيادة « بن بزيع » بعد محمّد بن إسماعيل سهو.</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أَنَّهُ قَالَ فِي الْجُنُبِ يَغْتَسِلُ ، فَيَقْطُرُ </w:t>
      </w:r>
      <w:r w:rsidRPr="007C12DB">
        <w:rPr>
          <w:rStyle w:val="libFootnotenumChar"/>
          <w:rtl/>
        </w:rPr>
        <w:t>(1)</w:t>
      </w:r>
      <w:r w:rsidRPr="005D642E">
        <w:rPr>
          <w:rtl/>
          <w:lang w:bidi="fa-IR"/>
        </w:rPr>
        <w:t xml:space="preserve"> الْمَاءُ عَنْ جَسَدِهِ فِي الْإِنَاءِ ، وَيَنْتَضِحُ </w:t>
      </w:r>
      <w:r w:rsidRPr="007C12DB">
        <w:rPr>
          <w:rStyle w:val="libFootnotenumChar"/>
          <w:rtl/>
        </w:rPr>
        <w:t>(2)</w:t>
      </w:r>
      <w:r w:rsidRPr="005D642E">
        <w:rPr>
          <w:rtl/>
          <w:lang w:bidi="fa-IR"/>
        </w:rPr>
        <w:t xml:space="preserve"> الْمَاءُ مِنَ </w:t>
      </w:r>
      <w:r w:rsidRPr="007C12DB">
        <w:rPr>
          <w:rStyle w:val="libFootnotenumChar"/>
          <w:rtl/>
        </w:rPr>
        <w:t>(3)</w:t>
      </w:r>
      <w:r w:rsidRPr="005D642E">
        <w:rPr>
          <w:rtl/>
          <w:lang w:bidi="fa-IR"/>
        </w:rPr>
        <w:t xml:space="preserve"> الْأَرْضِ ، فَيَصِيرُ فِي الْإِنَاءِ : « إِنَّهُ لَابَأْسَ بِهذَا كُلِّهِ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1E243B">
        <w:rPr>
          <w:rtl/>
        </w:rPr>
        <w:t>3863</w:t>
      </w:r>
      <w:r w:rsidRPr="00246318">
        <w:rPr>
          <w:rStyle w:val="libBold2Char"/>
          <w:rtl/>
        </w:rPr>
        <w:t xml:space="preserve"> / 7.</w:t>
      </w:r>
      <w:r w:rsidRPr="005D642E">
        <w:rPr>
          <w:rtl/>
          <w:lang w:bidi="fa-IR"/>
        </w:rPr>
        <w:t xml:space="preserve"> مُحَمَّدُ بْنُ إِسْمَاعِيلَ ، عَنِ الْفَضْلِ بْنِ شَاذَانَ ، عَنْ حَمَّادِ بْنِ عِيسى ، عَنْ‌</w:t>
      </w:r>
      <w:r>
        <w:rPr>
          <w:rFonts w:hint="cs"/>
          <w:rtl/>
          <w:lang w:bidi="fa-IR"/>
        </w:rPr>
        <w:t xml:space="preserve"> </w:t>
      </w:r>
      <w:r w:rsidRPr="005D642E">
        <w:rPr>
          <w:rtl/>
          <w:lang w:bidi="fa-IR"/>
        </w:rPr>
        <w:t>رِبْعِيِّ بْنِ عَبْدِ اللهِ ، عَنِ الْفُضَيْلِ بْنِ يَسَارٍ :</w:t>
      </w:r>
    </w:p>
    <w:p w:rsidR="00E3253D" w:rsidRPr="005D642E" w:rsidRDefault="00E3253D" w:rsidP="00E83A60">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فِي الرَّجُلِ الْجُنُبِ يَغْتَسِلُ ، فَيَنْتَضِحُ مِنَ الْمَاءِ فِي الْإِنَاءِ </w:t>
      </w:r>
      <w:r w:rsidRPr="007C12DB">
        <w:rPr>
          <w:rStyle w:val="libFootnotenumChar"/>
          <w:rtl/>
        </w:rPr>
        <w:t>(5)</w:t>
      </w:r>
      <w:r w:rsidRPr="005D642E">
        <w:rPr>
          <w:rtl/>
          <w:lang w:bidi="fa-IR"/>
        </w:rPr>
        <w:t xml:space="preserve"> ، فَقَالَ : « لَا بَأْسَ </w:t>
      </w:r>
      <w:r w:rsidRPr="007C12DB">
        <w:rPr>
          <w:rStyle w:val="libFootnotenumChar"/>
          <w:rtl/>
        </w:rPr>
        <w:t>(6)</w:t>
      </w:r>
      <w:r w:rsidRPr="005D642E">
        <w:rPr>
          <w:rtl/>
          <w:lang w:bidi="fa-IR"/>
        </w:rPr>
        <w:t xml:space="preserve"> </w:t>
      </w:r>
      <w:r w:rsidRPr="00E83A60">
        <w:rPr>
          <w:rtl/>
        </w:rPr>
        <w:t>، ما جَعَلَ عَلَيْكُمْ فِي الدِّينِ مِنْ حَرَجٍ</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1E243B">
        <w:rPr>
          <w:rtl/>
        </w:rPr>
        <w:t>3864</w:t>
      </w:r>
      <w:r w:rsidRPr="00246318">
        <w:rPr>
          <w:rStyle w:val="libBold2Char"/>
          <w:rtl/>
        </w:rPr>
        <w:t xml:space="preserve"> / 8.</w:t>
      </w:r>
      <w:r w:rsidRPr="005D642E">
        <w:rPr>
          <w:rtl/>
          <w:lang w:bidi="fa-IR"/>
        </w:rPr>
        <w:t xml:space="preserve"> الْحُسَيْنُ بْنُ مُحَمَّدٍ ، عَنْ مُعَلَّى بْنِ مُحَمَّدٍ ، عَنِ الْوَشَّاءِ ، عَنْ حَمَّادِ بْنِ عُثْمَانَ ، عَنْ عُمَرَ بْنِ يَزِيدَ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أَغْتَسِلُ فِي مُغْتَسَلٍ يُبَالُ فِيهِ ، وَيُغْتَسَلُ مِنَ الْجَنَابَةِ </w:t>
      </w:r>
      <w:r w:rsidRPr="007C12DB">
        <w:rPr>
          <w:rStyle w:val="libFootnotenumChar"/>
          <w:rtl/>
        </w:rPr>
        <w:t>(8)</w:t>
      </w:r>
      <w:r w:rsidRPr="005D642E">
        <w:rPr>
          <w:rtl/>
          <w:lang w:bidi="fa-IR"/>
        </w:rPr>
        <w:t xml:space="preserve"> ، فَيَقَعُ فِي الْإِنَاءِ مَاءٌ يَنْزُو </w:t>
      </w:r>
      <w:r w:rsidRPr="007C12DB">
        <w:rPr>
          <w:rStyle w:val="libFootnotenumChar"/>
          <w:rtl/>
        </w:rPr>
        <w:t>(9)</w:t>
      </w:r>
      <w:r w:rsidRPr="005D642E">
        <w:rPr>
          <w:rtl/>
          <w:lang w:bidi="fa-IR"/>
        </w:rPr>
        <w:t xml:space="preserve"> مِنَ الْأَرْضِ</w:t>
      </w:r>
      <w:r>
        <w:rPr>
          <w:rtl/>
          <w:lang w:bidi="fa-IR"/>
        </w:rPr>
        <w:t>؟</w:t>
      </w:r>
    </w:p>
    <w:p w:rsidR="00E3253D" w:rsidRPr="005D642E" w:rsidRDefault="00E3253D" w:rsidP="00E3253D">
      <w:pPr>
        <w:pStyle w:val="libNormal"/>
        <w:rPr>
          <w:rtl/>
          <w:lang w:bidi="fa-IR"/>
        </w:rPr>
      </w:pPr>
      <w:r w:rsidRPr="005D642E">
        <w:rPr>
          <w:rtl/>
          <w:lang w:bidi="fa-IR"/>
        </w:rPr>
        <w:t xml:space="preserve">فَقَالَ : « لَا بَأْسَ بِهِ </w:t>
      </w:r>
      <w:r w:rsidRPr="007C12DB">
        <w:rPr>
          <w:rStyle w:val="libFootnotenumChar"/>
          <w:rtl/>
        </w:rPr>
        <w:t>(10)</w:t>
      </w:r>
      <w:r w:rsidRPr="005D642E">
        <w:rPr>
          <w:rtl/>
          <w:lang w:bidi="fa-IR"/>
        </w:rPr>
        <w:t xml:space="preserve">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5313D" w:rsidTr="00E5313D">
        <w:tc>
          <w:tcPr>
            <w:tcW w:w="4006" w:type="dxa"/>
          </w:tcPr>
          <w:p w:rsidR="00E5313D" w:rsidRDefault="0042621E" w:rsidP="00E3253D">
            <w:pPr>
              <w:pStyle w:val="libFootnote0"/>
              <w:rPr>
                <w:rtl/>
              </w:rPr>
            </w:pPr>
            <w:r w:rsidRPr="0042621E">
              <w:rPr>
                <w:rStyle w:val="libFootnote0Char"/>
                <w:rtl/>
              </w:rPr>
              <w:t>(1).</w:t>
            </w:r>
            <w:r w:rsidR="00E5313D">
              <w:rPr>
                <w:rtl/>
              </w:rPr>
              <w:t xml:space="preserve"> </w:t>
            </w:r>
            <w:r w:rsidR="00E5313D" w:rsidRPr="005D642E">
              <w:rPr>
                <w:rtl/>
              </w:rPr>
              <w:t>في « بح » : « يغسل ويقطر »</w:t>
            </w:r>
            <w:r w:rsidR="00E5313D">
              <w:rPr>
                <w:rtl/>
              </w:rPr>
              <w:t>.</w:t>
            </w:r>
          </w:p>
        </w:tc>
        <w:tc>
          <w:tcPr>
            <w:tcW w:w="4006" w:type="dxa"/>
          </w:tcPr>
          <w:p w:rsidR="00E5313D" w:rsidRDefault="0042621E" w:rsidP="00E3253D">
            <w:pPr>
              <w:pStyle w:val="libFootnote0"/>
              <w:rPr>
                <w:rtl/>
              </w:rPr>
            </w:pPr>
            <w:r w:rsidRPr="0042621E">
              <w:rPr>
                <w:rStyle w:val="libFootnote0Char"/>
                <w:rtl/>
              </w:rPr>
              <w:t>(2).</w:t>
            </w:r>
            <w:r w:rsidR="00E5313D" w:rsidRPr="005D642E">
              <w:rPr>
                <w:rtl/>
              </w:rPr>
              <w:t xml:space="preserve"> في « بث » : « ينضح »</w:t>
            </w:r>
            <w:r w:rsidR="00E5313D">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 « في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بصائر الدرجات</w:t>
      </w:r>
      <w:r w:rsidR="00E3253D" w:rsidRPr="005D642E">
        <w:rPr>
          <w:rtl/>
        </w:rPr>
        <w:t xml:space="preserve"> ، ص 238 ، ضمن ح 13 ، عن محمّد بن إسماعيل ، مع اختلاف يسير. </w:t>
      </w:r>
      <w:r w:rsidR="00E3253D" w:rsidRPr="002F4D34">
        <w:rPr>
          <w:rStyle w:val="libFootnoteBoldChar"/>
          <w:rtl/>
        </w:rPr>
        <w:t>الفقيه</w:t>
      </w:r>
      <w:r w:rsidR="00E3253D" w:rsidRPr="005D642E">
        <w:rPr>
          <w:rtl/>
        </w:rPr>
        <w:t xml:space="preserve"> ، ج 1 ، ص 16 ، ذيل ح 20 ، مع اختلاف </w:t>
      </w:r>
      <w:r w:rsidR="009D76CA">
        <w:rPr>
          <w:rFonts w:hint="cs"/>
          <w:rtl/>
        </w:rPr>
        <w:t>.</w:t>
      </w:r>
      <w:r w:rsidR="00E3253D" w:rsidRPr="002F4D34">
        <w:rPr>
          <w:rStyle w:val="libFootnoteBoldChar"/>
          <w:rtl/>
        </w:rPr>
        <w:t>الوافي</w:t>
      </w:r>
      <w:r w:rsidR="00E3253D" w:rsidRPr="005D642E">
        <w:rPr>
          <w:rtl/>
        </w:rPr>
        <w:t xml:space="preserve"> ، ج 6 ، ص 67 ، ح 3778 ؛ </w:t>
      </w:r>
      <w:r w:rsidR="00E3253D" w:rsidRPr="002F4D34">
        <w:rPr>
          <w:rStyle w:val="libFootnoteBoldChar"/>
          <w:rtl/>
        </w:rPr>
        <w:t>الوسائل</w:t>
      </w:r>
      <w:r w:rsidR="00E3253D" w:rsidRPr="005D642E">
        <w:rPr>
          <w:rtl/>
        </w:rPr>
        <w:t xml:space="preserve"> ، ج 1 ، ص 212 ، ح 544.</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ح 224 : « الماء في إنائه » بدل « من الماء في الإناء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ح 224 : + « به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86 ، ح 224 ، بسنده عن الكليني. </w:t>
      </w:r>
      <w:r w:rsidR="00E3253D" w:rsidRPr="002F4D34">
        <w:rPr>
          <w:rStyle w:val="libFootnoteBoldChar"/>
          <w:rtl/>
        </w:rPr>
        <w:t>وفيه</w:t>
      </w:r>
      <w:r w:rsidR="00E3253D" w:rsidRPr="005D642E">
        <w:rPr>
          <w:rtl/>
        </w:rPr>
        <w:t xml:space="preserve"> ، ح 225 ، بسنده عن الفضيل ، مع اختلاف يسير </w:t>
      </w:r>
      <w:r w:rsidR="00443482">
        <w:rPr>
          <w:rFonts w:hint="cs"/>
          <w:rtl/>
        </w:rPr>
        <w:t>.</w:t>
      </w:r>
      <w:r w:rsidR="00E3253D" w:rsidRPr="002F4D34">
        <w:rPr>
          <w:rStyle w:val="libFootnoteBoldChar"/>
          <w:rtl/>
        </w:rPr>
        <w:t>الوافي</w:t>
      </w:r>
      <w:r w:rsidR="00E3253D" w:rsidRPr="005D642E">
        <w:rPr>
          <w:rtl/>
        </w:rPr>
        <w:t xml:space="preserve"> ، ج 6 ، ص 67 ، ح 3779 ؛ </w:t>
      </w:r>
      <w:r w:rsidR="00E3253D" w:rsidRPr="002F4D34">
        <w:rPr>
          <w:rStyle w:val="libFootnoteBoldChar"/>
          <w:rtl/>
        </w:rPr>
        <w:t>الوسائل</w:t>
      </w:r>
      <w:r w:rsidR="00E3253D" w:rsidRPr="005D642E">
        <w:rPr>
          <w:rtl/>
        </w:rPr>
        <w:t xml:space="preserve"> ، ج 1 ، ص 212 ، ح 543.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 « جنابة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w:t>
      </w:r>
      <w:r w:rsidR="000D749A" w:rsidRPr="000D749A">
        <w:rPr>
          <w:rStyle w:val="libFootnoteBoldChar"/>
          <w:rtl/>
        </w:rPr>
        <w:t>والوافي</w:t>
      </w:r>
      <w:r w:rsidR="00E3253D" w:rsidRPr="005D642E">
        <w:rPr>
          <w:rtl/>
        </w:rPr>
        <w:t xml:space="preserve"> والوسائل : « ما ينزو » بدل « ماء ينزو »</w:t>
      </w:r>
      <w:r w:rsidR="00E3253D">
        <w:rPr>
          <w:rtl/>
        </w:rPr>
        <w:t>.</w:t>
      </w:r>
      <w:r w:rsidR="00E3253D" w:rsidRPr="005D642E">
        <w:rPr>
          <w:rtl/>
        </w:rPr>
        <w:t xml:space="preserve"> ويَنْزُو ، أي يثب ويَطْفر ، وبابه قتل. راجع : </w:t>
      </w:r>
      <w:r w:rsidR="00E3253D" w:rsidRPr="002F4D34">
        <w:rPr>
          <w:rStyle w:val="libFootnoteBoldChar"/>
          <w:rtl/>
        </w:rPr>
        <w:t>القاموس المحيط</w:t>
      </w:r>
      <w:r w:rsidR="00E3253D" w:rsidRPr="005D642E">
        <w:rPr>
          <w:rtl/>
        </w:rPr>
        <w:t xml:space="preserve"> ، ج 2 ، ص 1753 ؛ </w:t>
      </w:r>
      <w:r w:rsidR="00E3253D" w:rsidRPr="002F4D34">
        <w:rPr>
          <w:rStyle w:val="libFootnoteBoldChar"/>
          <w:rtl/>
        </w:rPr>
        <w:t>مجمع البحرين</w:t>
      </w:r>
      <w:r w:rsidR="00E3253D" w:rsidRPr="005D642E">
        <w:rPr>
          <w:rtl/>
        </w:rPr>
        <w:t xml:space="preserve"> ، ج 1 ، ص 413 ( نزو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جس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به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ينبغي حمله على ما إذا لم يقع على البول والنجس ، أو يكون المراد مغتسل الحمّام ؛ فإنّه يرد عليه تلك الأشياء والماء الذي يطهّره</w:t>
      </w:r>
      <w:r w:rsidR="00E3253D">
        <w:rPr>
          <w:rtl/>
        </w:rPr>
        <w:t xml:space="preserve"> ..</w:t>
      </w:r>
      <w:r w:rsidR="00E3253D" w:rsidRPr="005D642E">
        <w:rPr>
          <w:rtl/>
        </w:rPr>
        <w:t>. أو المراد أنّه يظنّ وقوع تلك الأشياء عليه غالباً فالجواب بعدم البأس لعدم العبرة بذلك الظنّ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الوافي</w:t>
      </w:r>
      <w:r w:rsidR="00E3253D" w:rsidRPr="005D642E">
        <w:rPr>
          <w:rtl/>
        </w:rPr>
        <w:t xml:space="preserve"> ، ج 6 ، ص 68 ، ح 3781 ؛ </w:t>
      </w:r>
      <w:r w:rsidR="00E3253D" w:rsidRPr="002F4D34">
        <w:rPr>
          <w:rStyle w:val="libFootnoteBoldChar"/>
          <w:rtl/>
        </w:rPr>
        <w:t>الوسائل</w:t>
      </w:r>
      <w:r w:rsidR="00E3253D" w:rsidRPr="005D642E">
        <w:rPr>
          <w:rtl/>
        </w:rPr>
        <w:t xml:space="preserve"> ، ج 1 ، ص 213 ، ح 545.</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44" w:name="_Toc344647225"/>
      <w:bookmarkStart w:id="45" w:name="_Toc462226740"/>
      <w:bookmarkStart w:id="46" w:name="_Toc40975847"/>
      <w:r w:rsidRPr="005D642E">
        <w:rPr>
          <w:rtl/>
          <w:lang w:bidi="fa-IR"/>
        </w:rPr>
        <w:lastRenderedPageBreak/>
        <w:t>10</w:t>
      </w:r>
      <w:r>
        <w:rPr>
          <w:rtl/>
          <w:lang w:bidi="fa-IR"/>
        </w:rPr>
        <w:t xml:space="preserve"> </w:t>
      </w:r>
      <w:r w:rsidR="007642BC">
        <w:rPr>
          <w:rtl/>
          <w:lang w:bidi="fa-IR"/>
        </w:rPr>
        <w:t>-</w:t>
      </w:r>
      <w:r>
        <w:rPr>
          <w:rtl/>
          <w:lang w:bidi="fa-IR"/>
        </w:rPr>
        <w:t xml:space="preserve"> </w:t>
      </w:r>
      <w:r w:rsidRPr="005D642E">
        <w:rPr>
          <w:rtl/>
          <w:lang w:bidi="fa-IR"/>
        </w:rPr>
        <w:t xml:space="preserve">بَابُ مَاءِ الْحَمَّامِ وَالْمَاءِ الَّذِي تُسَخِّنُهُ </w:t>
      </w:r>
      <w:r w:rsidRPr="007C12DB">
        <w:rPr>
          <w:rStyle w:val="libFootnotenumChar"/>
          <w:rtl/>
        </w:rPr>
        <w:t>(1)</w:t>
      </w:r>
      <w:r>
        <w:rPr>
          <w:rtl/>
        </w:rPr>
        <w:t xml:space="preserve"> </w:t>
      </w:r>
      <w:r w:rsidRPr="005D642E">
        <w:rPr>
          <w:rtl/>
          <w:lang w:bidi="fa-IR"/>
        </w:rPr>
        <w:t>الشَّمْسُ‌</w:t>
      </w:r>
      <w:bookmarkEnd w:id="44"/>
      <w:bookmarkEnd w:id="45"/>
      <w:bookmarkEnd w:id="46"/>
    </w:p>
    <w:p w:rsidR="00E3253D" w:rsidRPr="005D642E" w:rsidRDefault="00E3253D" w:rsidP="00E3253D">
      <w:pPr>
        <w:pStyle w:val="libNormal"/>
        <w:rPr>
          <w:rtl/>
          <w:lang w:bidi="fa-IR"/>
        </w:rPr>
      </w:pPr>
      <w:r w:rsidRPr="001E243B">
        <w:rPr>
          <w:rtl/>
        </w:rPr>
        <w:t>3865</w:t>
      </w:r>
      <w:r w:rsidRPr="00246318">
        <w:rPr>
          <w:rStyle w:val="libBold2Char"/>
          <w:rtl/>
        </w:rPr>
        <w:t xml:space="preserve"> / 1.</w:t>
      </w:r>
      <w:r w:rsidRPr="005D642E">
        <w:rPr>
          <w:rtl/>
          <w:lang w:bidi="fa-IR"/>
        </w:rPr>
        <w:t xml:space="preserve"> بَعْضُ أَصْحَابِنَا ، عَنِ ابْنِ جُمْهُورٍ ، عَنْ مُحَمَّدِ بْنِ الْقَاسِمِ ، عَنِ ابْنِ أَبِي يَعْفُورٍ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قَالَ </w:t>
      </w:r>
      <w:r w:rsidRPr="007C12DB">
        <w:rPr>
          <w:rStyle w:val="libFootnotenumChar"/>
          <w:rtl/>
        </w:rPr>
        <w:t>(2)</w:t>
      </w:r>
      <w:r w:rsidRPr="005D642E">
        <w:rPr>
          <w:rtl/>
          <w:lang w:bidi="fa-IR"/>
        </w:rPr>
        <w:t xml:space="preserve"> : « لَا تَغْتَسِلْ </w:t>
      </w:r>
      <w:r w:rsidRPr="007C12DB">
        <w:rPr>
          <w:rStyle w:val="libFootnotenumChar"/>
          <w:rtl/>
        </w:rPr>
        <w:t>(3)</w:t>
      </w:r>
      <w:r w:rsidRPr="005D642E">
        <w:rPr>
          <w:rtl/>
          <w:lang w:bidi="fa-IR"/>
        </w:rPr>
        <w:t xml:space="preserve"> مِنَ الْبِئْرِ الَّتِي تَجْتَمِعُ فِيهَا غُسَالَةُ الْحَمَّامِ </w:t>
      </w:r>
      <w:r w:rsidRPr="007C12DB">
        <w:rPr>
          <w:rStyle w:val="libFootnotenumChar"/>
          <w:rtl/>
        </w:rPr>
        <w:t>(4)</w:t>
      </w:r>
      <w:r w:rsidRPr="005D642E">
        <w:rPr>
          <w:rtl/>
          <w:lang w:bidi="fa-IR"/>
        </w:rPr>
        <w:t xml:space="preserve"> ؛ فَإِنَّ فِيهَا غُسَالَةَ وَلَدِ الزِّنى وَهُوَ لَايَطْهُرُ </w:t>
      </w:r>
      <w:r w:rsidRPr="007C12DB">
        <w:rPr>
          <w:rStyle w:val="libFootnotenumChar"/>
          <w:rtl/>
        </w:rPr>
        <w:t>(5)</w:t>
      </w:r>
      <w:r w:rsidRPr="005D642E">
        <w:rPr>
          <w:rtl/>
          <w:lang w:bidi="fa-IR"/>
        </w:rPr>
        <w:t xml:space="preserve"> إِلى سَبْعَةِ آبَاءٍ ، وَفِيهَا غُسَالَةَ النَّاصِبِ وَهُوَ شَرُّهُمَا ؛ إِنَّ اللهَ لَمْ يَخْلُقْ </w:t>
      </w:r>
      <w:r w:rsidRPr="007C12DB">
        <w:rPr>
          <w:rStyle w:val="libFootnotenumChar"/>
          <w:rtl/>
        </w:rPr>
        <w:t>(6)</w:t>
      </w:r>
      <w:r w:rsidRPr="005D642E">
        <w:rPr>
          <w:rtl/>
          <w:lang w:bidi="fa-IR"/>
        </w:rPr>
        <w:t xml:space="preserve"> خَلْقاً شَرّاً مِنَ الْكَلْبِ ، وَإِنَّ النَّاصِبَ </w:t>
      </w:r>
      <w:r w:rsidRPr="007C12DB">
        <w:rPr>
          <w:rStyle w:val="libFootnotenumChar"/>
          <w:rtl/>
        </w:rPr>
        <w:t>(7)</w:t>
      </w:r>
      <w:r w:rsidRPr="005D642E">
        <w:rPr>
          <w:rtl/>
          <w:lang w:bidi="fa-IR"/>
        </w:rPr>
        <w:t xml:space="preserve"> أَهْوَنُ عَلَى اللهِ مِنَ الْكَلْبِ »</w:t>
      </w:r>
      <w:r>
        <w:rPr>
          <w:rtl/>
          <w:lang w:bidi="fa-IR"/>
        </w:rPr>
        <w:t>.</w:t>
      </w:r>
    </w:p>
    <w:p w:rsidR="00E3253D" w:rsidRPr="005D642E" w:rsidRDefault="00E3253D" w:rsidP="00E3253D">
      <w:pPr>
        <w:pStyle w:val="libNormal"/>
        <w:rPr>
          <w:rtl/>
          <w:lang w:bidi="fa-IR"/>
        </w:rPr>
      </w:pPr>
      <w:r w:rsidRPr="005D642E">
        <w:rPr>
          <w:rtl/>
          <w:lang w:bidi="fa-IR"/>
        </w:rPr>
        <w:t xml:space="preserve">قٌلْتُ : أَخْبِرْنِي عَنْ مَاءِ الْحَمَّامِ يَغْتَسِلُ مِنْهُ الْجُنُبُ وَالصَّبِيُّ </w:t>
      </w:r>
      <w:r w:rsidRPr="007C12DB">
        <w:rPr>
          <w:rStyle w:val="libFootnotenumChar"/>
          <w:rtl/>
        </w:rPr>
        <w:t>(8)</w:t>
      </w:r>
      <w:r w:rsidRPr="005D642E">
        <w:rPr>
          <w:rtl/>
          <w:lang w:bidi="fa-IR"/>
        </w:rPr>
        <w:t xml:space="preserve"> وَالْيَهُودِيُّ وَالنَّصْرَانِيُّ وَالْمَجُوسِيُّ.</w:t>
      </w:r>
    </w:p>
    <w:p w:rsidR="00E3253D" w:rsidRPr="005D642E" w:rsidRDefault="00E3253D" w:rsidP="00E3253D">
      <w:pPr>
        <w:pStyle w:val="libNormal"/>
        <w:rPr>
          <w:rtl/>
          <w:lang w:bidi="fa-IR"/>
        </w:rPr>
      </w:pPr>
      <w:r w:rsidRPr="005D642E">
        <w:rPr>
          <w:rtl/>
          <w:lang w:bidi="fa-IR"/>
        </w:rPr>
        <w:t xml:space="preserve">فَقَالَ : « إِنَّ مَاءَ الْحَمَّامِ كَمَاءِ النَّهَرِ </w:t>
      </w:r>
      <w:r w:rsidRPr="007C12DB">
        <w:rPr>
          <w:rStyle w:val="libFootnotenumChar"/>
          <w:rtl/>
        </w:rPr>
        <w:t>(9)</w:t>
      </w:r>
      <w:r w:rsidRPr="005D642E">
        <w:rPr>
          <w:rtl/>
          <w:lang w:bidi="fa-IR"/>
        </w:rPr>
        <w:t xml:space="preserve"> ، يُطَهِّرُ بَعْضُهُ بَعْضاً »</w:t>
      </w:r>
      <w:r>
        <w:rPr>
          <w:rtl/>
          <w:lang w:bidi="fa-IR"/>
        </w:rPr>
        <w:t>.</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43482" w:rsidTr="00443482">
        <w:tc>
          <w:tcPr>
            <w:tcW w:w="4006" w:type="dxa"/>
          </w:tcPr>
          <w:p w:rsidR="00443482" w:rsidRDefault="0042621E" w:rsidP="00E3253D">
            <w:pPr>
              <w:pStyle w:val="libFootnote0"/>
              <w:rPr>
                <w:rtl/>
              </w:rPr>
            </w:pPr>
            <w:r w:rsidRPr="0042621E">
              <w:rPr>
                <w:rStyle w:val="libFootnote0Char"/>
                <w:rtl/>
              </w:rPr>
              <w:t>(1).</w:t>
            </w:r>
            <w:r w:rsidR="00443482">
              <w:rPr>
                <w:rtl/>
              </w:rPr>
              <w:t xml:space="preserve"> </w:t>
            </w:r>
            <w:r w:rsidR="00443482" w:rsidRPr="005D642E">
              <w:rPr>
                <w:rtl/>
              </w:rPr>
              <w:t>في « جس » : « يسخنه »</w:t>
            </w:r>
            <w:r w:rsidR="00443482">
              <w:rPr>
                <w:rtl/>
              </w:rPr>
              <w:t>.</w:t>
            </w:r>
          </w:p>
        </w:tc>
        <w:tc>
          <w:tcPr>
            <w:tcW w:w="4006" w:type="dxa"/>
          </w:tcPr>
          <w:p w:rsidR="00443482" w:rsidRDefault="0042621E" w:rsidP="00E3253D">
            <w:pPr>
              <w:pStyle w:val="libFootnote0"/>
              <w:rPr>
                <w:rtl/>
              </w:rPr>
            </w:pPr>
            <w:r w:rsidRPr="0042621E">
              <w:rPr>
                <w:rStyle w:val="libFootnote0Char"/>
                <w:rtl/>
              </w:rPr>
              <w:t>(2).</w:t>
            </w:r>
            <w:r w:rsidR="00443482" w:rsidRPr="005D642E">
              <w:rPr>
                <w:rtl/>
              </w:rPr>
              <w:t xml:space="preserve"> في « ى ، جس » </w:t>
            </w:r>
            <w:r w:rsidR="000D749A" w:rsidRPr="000D749A">
              <w:rPr>
                <w:rStyle w:val="libFootnoteBoldChar"/>
                <w:rtl/>
              </w:rPr>
              <w:t>والوافي</w:t>
            </w:r>
            <w:r w:rsidR="00443482" w:rsidRPr="005D642E">
              <w:rPr>
                <w:rtl/>
              </w:rPr>
              <w:t xml:space="preserve"> والوسائل :</w:t>
            </w:r>
            <w:r w:rsidR="00443482">
              <w:rPr>
                <w:rtl/>
              </w:rPr>
              <w:t xml:space="preserve"> - </w:t>
            </w:r>
            <w:r w:rsidR="009F10EE">
              <w:rPr>
                <w:rtl/>
              </w:rPr>
              <w:t>«قال</w:t>
            </w:r>
            <w:r w:rsidR="00443482" w:rsidRPr="005D642E">
              <w:rPr>
                <w:rtl/>
              </w:rPr>
              <w:t>»</w:t>
            </w:r>
            <w:r w:rsidR="00443482">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بف ، جس ، جن » : « لا يغتسل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بس ، جن » </w:t>
      </w:r>
      <w:r w:rsidR="000D749A" w:rsidRPr="000D749A">
        <w:rPr>
          <w:rStyle w:val="libFootnoteBoldChar"/>
          <w:rtl/>
        </w:rPr>
        <w:t>والوافي</w:t>
      </w:r>
      <w:r w:rsidR="00E3253D" w:rsidRPr="005D642E">
        <w:rPr>
          <w:rtl/>
        </w:rPr>
        <w:t xml:space="preserve"> : « يجتمع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46 : « يدلّ على وجوب الاحتراز عن‌غسالة الحمّام ، كما ذهب إليه بعض الأصحاب. وقال في </w:t>
      </w:r>
      <w:r w:rsidR="00E3253D" w:rsidRPr="002F4D34">
        <w:rPr>
          <w:rStyle w:val="libFootnoteBoldChar"/>
          <w:rtl/>
        </w:rPr>
        <w:t>المنتهى</w:t>
      </w:r>
      <w:r w:rsidR="00E3253D" w:rsidRPr="005D642E">
        <w:rPr>
          <w:rtl/>
        </w:rPr>
        <w:t xml:space="preserve"> :</w:t>
      </w:r>
      <w:r w:rsidR="00E3253D">
        <w:rPr>
          <w:rtl/>
        </w:rPr>
        <w:t xml:space="preserve"> ..</w:t>
      </w:r>
      <w:r w:rsidR="00E3253D" w:rsidRPr="005D642E">
        <w:rPr>
          <w:rtl/>
        </w:rPr>
        <w:t>. والأقوى عندي أنّها على أصل الطهارة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 « لا يُطَهّر »</w:t>
      </w:r>
      <w:r w:rsidR="00E3253D">
        <w:rPr>
          <w:rtl/>
        </w:rPr>
        <w:t>.</w:t>
      </w:r>
      <w:r w:rsidR="00E3253D" w:rsidRPr="005D642E">
        <w:rPr>
          <w:rtl/>
        </w:rPr>
        <w:t xml:space="preserve"> وفي « جس » : « إناء » بدل « آباء »</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مرآة العقول</w:t>
      </w:r>
      <w:r w:rsidRPr="00B60612">
        <w:rPr>
          <w:rtl/>
        </w:rPr>
        <w:t xml:space="preserve"> : « قوله </w:t>
      </w:r>
      <w:r w:rsidRPr="002463FE">
        <w:rPr>
          <w:rStyle w:val="libFootnoteAlaemChar"/>
          <w:rtl/>
        </w:rPr>
        <w:t>عليه‌السلام</w:t>
      </w:r>
      <w:r w:rsidRPr="00B60612">
        <w:rPr>
          <w:rtl/>
        </w:rPr>
        <w:t xml:space="preserve"> : إلى سبعة آباء ، أي من الأسفل ، ويحتمل الأعلى أيضاً على بعد ، ويدلّ على نجاسة ولد الزنى ، كما ذهب إليه المرتضى ويعزى إلى ابن إدريس وإلى الصدوق أيضاً ، لكن ينبغي حمل الطهارة في أولاده على الطهارة المعنويّة ؛ لعدم القول بنجاستهم ظاهراً ».</w:t>
      </w:r>
    </w:p>
    <w:tbl>
      <w:tblPr>
        <w:tblStyle w:val="TableGrid"/>
        <w:bidiVisual/>
        <w:tblW w:w="0" w:type="auto"/>
        <w:tblLook w:val="04A0" w:firstRow="1" w:lastRow="0" w:firstColumn="1" w:lastColumn="0" w:noHBand="0" w:noVBand="1"/>
      </w:tblPr>
      <w:tblGrid>
        <w:gridCol w:w="4006"/>
        <w:gridCol w:w="4006"/>
      </w:tblGrid>
      <w:tr w:rsidR="002463FE" w:rsidTr="002463FE">
        <w:tc>
          <w:tcPr>
            <w:tcW w:w="4006" w:type="dxa"/>
          </w:tcPr>
          <w:p w:rsidR="002463FE" w:rsidRDefault="0042621E" w:rsidP="00E3253D">
            <w:pPr>
              <w:pStyle w:val="libFootnote0"/>
              <w:rPr>
                <w:rtl/>
              </w:rPr>
            </w:pPr>
            <w:r w:rsidRPr="0042621E">
              <w:rPr>
                <w:rStyle w:val="libFootnote0Char"/>
                <w:rtl/>
              </w:rPr>
              <w:t>(6).</w:t>
            </w:r>
            <w:r w:rsidR="002463FE" w:rsidRPr="005D642E">
              <w:rPr>
                <w:rtl/>
              </w:rPr>
              <w:t xml:space="preserve"> في « بح » : « لايخلق »</w:t>
            </w:r>
            <w:r w:rsidR="002463FE">
              <w:rPr>
                <w:rtl/>
              </w:rPr>
              <w:t>.</w:t>
            </w:r>
          </w:p>
        </w:tc>
        <w:tc>
          <w:tcPr>
            <w:tcW w:w="4006" w:type="dxa"/>
          </w:tcPr>
          <w:p w:rsidR="002463FE" w:rsidRDefault="0042621E" w:rsidP="00E3253D">
            <w:pPr>
              <w:pStyle w:val="libFootnote0"/>
              <w:rPr>
                <w:rtl/>
              </w:rPr>
            </w:pPr>
            <w:r w:rsidRPr="0042621E">
              <w:rPr>
                <w:rStyle w:val="libFootnote0Char"/>
                <w:rtl/>
              </w:rPr>
              <w:t>(7).</w:t>
            </w:r>
            <w:r w:rsidR="002463FE" w:rsidRPr="005D642E">
              <w:rPr>
                <w:rtl/>
              </w:rPr>
              <w:t xml:space="preserve"> في « بف » :</w:t>
            </w:r>
            <w:r w:rsidR="002463FE">
              <w:rPr>
                <w:rtl/>
              </w:rPr>
              <w:t xml:space="preserve"> - </w:t>
            </w:r>
            <w:r w:rsidR="002463FE" w:rsidRPr="005D642E">
              <w:rPr>
                <w:rtl/>
              </w:rPr>
              <w:t>« إنّ »</w:t>
            </w:r>
            <w:r w:rsidR="002463FE">
              <w:rPr>
                <w:rtl/>
              </w:rPr>
              <w:t>.</w:t>
            </w:r>
          </w:p>
        </w:tc>
      </w:tr>
      <w:tr w:rsidR="002463FE" w:rsidTr="002463FE">
        <w:tc>
          <w:tcPr>
            <w:tcW w:w="4006" w:type="dxa"/>
          </w:tcPr>
          <w:p w:rsidR="002463FE" w:rsidRDefault="0042621E" w:rsidP="00E3253D">
            <w:pPr>
              <w:pStyle w:val="libFootnote0"/>
              <w:rPr>
                <w:rtl/>
              </w:rPr>
            </w:pPr>
            <w:r w:rsidRPr="0042621E">
              <w:rPr>
                <w:rStyle w:val="libFootnote0Char"/>
                <w:rtl/>
              </w:rPr>
              <w:t>(8).</w:t>
            </w:r>
            <w:r w:rsidR="002463FE" w:rsidRPr="005D642E">
              <w:rPr>
                <w:rtl/>
              </w:rPr>
              <w:t xml:space="preserve"> في حاشية « بح » : « الناصب »</w:t>
            </w:r>
            <w:r w:rsidR="002463FE">
              <w:rPr>
                <w:rtl/>
              </w:rPr>
              <w:t>.</w:t>
            </w:r>
          </w:p>
        </w:tc>
        <w:tc>
          <w:tcPr>
            <w:tcW w:w="4006" w:type="dxa"/>
          </w:tcPr>
          <w:p w:rsidR="002463FE" w:rsidRDefault="0042621E" w:rsidP="00E3253D">
            <w:pPr>
              <w:pStyle w:val="libFootnote0"/>
              <w:rPr>
                <w:rtl/>
              </w:rPr>
            </w:pPr>
            <w:r w:rsidRPr="0042621E">
              <w:rPr>
                <w:rStyle w:val="libFootnote0Char"/>
                <w:rtl/>
              </w:rPr>
              <w:t>(9).</w:t>
            </w:r>
            <w:r w:rsidR="002463FE" w:rsidRPr="005D642E">
              <w:rPr>
                <w:rtl/>
              </w:rPr>
              <w:t xml:space="preserve"> في « جح » : « كالنهر » بدل « كماء النهر »</w:t>
            </w:r>
            <w:r w:rsidR="002463FE">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علل الشرائع</w:t>
      </w:r>
      <w:r w:rsidR="00E3253D" w:rsidRPr="005D642E">
        <w:rPr>
          <w:rtl/>
        </w:rPr>
        <w:t xml:space="preserve"> ، ص 292 ، ذيل ح 1 ، بسند آخر عن عبدالله بن أبي يعفور ، إلى قوله : « أهون على الله من الكلب »</w:t>
      </w:r>
      <w:r w:rsidR="00E3253D">
        <w:rPr>
          <w:rtl/>
        </w:rPr>
        <w:t>.</w:t>
      </w:r>
      <w:r w:rsidR="00E3253D" w:rsidRPr="005D642E">
        <w:rPr>
          <w:rtl/>
        </w:rPr>
        <w:t xml:space="preserve"> وفي </w:t>
      </w:r>
      <w:r w:rsidR="00E3253D" w:rsidRPr="002F4D34">
        <w:rPr>
          <w:rStyle w:val="libFootnoteBoldChar"/>
          <w:rtl/>
        </w:rPr>
        <w:t>الكافي</w:t>
      </w:r>
      <w:r w:rsidR="00E3253D" w:rsidRPr="005D642E">
        <w:rPr>
          <w:rtl/>
        </w:rPr>
        <w:t xml:space="preserve"> ، كتاب الزىّ والتجمّل ، باب الحمّام ، ح 12773 ؛ </w:t>
      </w:r>
      <w:r w:rsidR="00B60612" w:rsidRPr="00B60612">
        <w:rPr>
          <w:rStyle w:val="libFootnoteBoldChar"/>
          <w:rtl/>
        </w:rPr>
        <w:t>والتهذيب</w:t>
      </w:r>
      <w:r w:rsidR="00E3253D" w:rsidRPr="005D642E">
        <w:rPr>
          <w:rtl/>
        </w:rPr>
        <w:t xml:space="preserve"> ، ج 1 ، ص 373 ، ح 1143 ، بسند آخر عن أبي الحسن </w:t>
      </w:r>
      <w:r w:rsidR="00E3253D" w:rsidRPr="007F3FB2">
        <w:rPr>
          <w:rStyle w:val="libFootnoteAlaemChar"/>
          <w:rtl/>
        </w:rPr>
        <w:t>عليه‌السلام</w:t>
      </w:r>
      <w:r w:rsidR="00E3253D" w:rsidRPr="005D642E">
        <w:rPr>
          <w:rtl/>
        </w:rPr>
        <w:t xml:space="preserve"> ، إلى قوله : « غسالة الناصب وهو شرّهما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12 ، ذيل ح 16 ، وفي كلّ المصادر مع اختلاف </w:t>
      </w:r>
      <w:r w:rsidR="007F3FB2">
        <w:rPr>
          <w:rFonts w:hint="cs"/>
          <w:rtl/>
        </w:rPr>
        <w:t>.</w:t>
      </w:r>
      <w:r w:rsidR="00E3253D" w:rsidRPr="002F4D34">
        <w:rPr>
          <w:rStyle w:val="libFootnoteBoldChar"/>
          <w:rtl/>
        </w:rPr>
        <w:t>الوافي</w:t>
      </w:r>
      <w:r w:rsidR="00E3253D" w:rsidRPr="005D642E">
        <w:rPr>
          <w:rtl/>
        </w:rPr>
        <w:t xml:space="preserve"> ، ج 2 ، ص 230 ، ح 692 ، إلى قوله : « أهون على الله من الكلب » ؛ وج 6 ، ص 49 ، </w:t>
      </w:r>
      <w:r w:rsidR="007F3FB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30AC3">
        <w:rPr>
          <w:rtl/>
        </w:rPr>
        <w:lastRenderedPageBreak/>
        <w:t>3866</w:t>
      </w:r>
      <w:r w:rsidRPr="00246318">
        <w:rPr>
          <w:rStyle w:val="libBold2Char"/>
          <w:rtl/>
        </w:rPr>
        <w:t xml:space="preserve"> / 2.</w:t>
      </w:r>
      <w:r w:rsidRPr="005D642E">
        <w:rPr>
          <w:rtl/>
          <w:lang w:bidi="fa-IR"/>
        </w:rPr>
        <w:t xml:space="preserve"> عِدَّةٌ مِنْ أَصْحَابِنَا ، عَنْ أَحْمَدَ بْنِ مُحَمَّدٍ ، عَنِ الْحُسَيْنِ بْنِ سَعِيدٍ ، عَنْ صَفْوَانَ بْنِ يَحْيى ، عَنْ مَنْصُورِ بْنِ حَازِمٍ ، عَنْ بَكْرِ بْنِ حَبِيبٍ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مَاءُ الْحَمَّامِ لَابَأْسَ بِهِ إِذَا كَانَتْ </w:t>
      </w:r>
      <w:r w:rsidRPr="007C12DB">
        <w:rPr>
          <w:rStyle w:val="libFootnotenumChar"/>
          <w:rtl/>
        </w:rPr>
        <w:t>(1)</w:t>
      </w:r>
      <w:r w:rsidRPr="005D642E">
        <w:rPr>
          <w:rtl/>
          <w:lang w:bidi="fa-IR"/>
        </w:rPr>
        <w:t xml:space="preserve"> لَهُ مَادَّةٌ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230AC3">
        <w:rPr>
          <w:rtl/>
        </w:rPr>
        <w:t>3867</w:t>
      </w:r>
      <w:r w:rsidRPr="00246318">
        <w:rPr>
          <w:rStyle w:val="libBold2Char"/>
          <w:rtl/>
        </w:rPr>
        <w:t xml:space="preserve"> / 3.</w:t>
      </w:r>
      <w:r w:rsidRPr="005D642E">
        <w:rPr>
          <w:rtl/>
          <w:lang w:bidi="fa-IR"/>
        </w:rPr>
        <w:t xml:space="preserve"> الْحُسَيْنُ بْنُ مُحَمَّدٍ ، عَنْ عَبْدِ اللهِ بْنِ عَامِرٍ ، عَنْ عَلِيِّ بْنِ مَهْزِيَارَ ، عَنْ مُحَمَّدِ بْنِ إِسْمَاعِيلَ ، عَنْ حَنَانٍ </w:t>
      </w:r>
      <w:r w:rsidRPr="007C12DB">
        <w:rPr>
          <w:rStyle w:val="libFootnotenumChar"/>
          <w:rtl/>
        </w:rPr>
        <w:t>(3)</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سَمِعْتُ رَجُلاً يَقُولُ لِأَبِي عَبْدِ اللهِ </w:t>
      </w:r>
      <w:r w:rsidRPr="00AC51C5">
        <w:rPr>
          <w:rStyle w:val="libAlaemChar"/>
          <w:rtl/>
        </w:rPr>
        <w:t>عليه‌السلام</w:t>
      </w:r>
      <w:r w:rsidRPr="005D642E">
        <w:rPr>
          <w:rtl/>
          <w:lang w:bidi="fa-IR"/>
        </w:rPr>
        <w:t xml:space="preserve"> : إِنِّي أَدْخُلُ الْحَمَّامَ فِي السَّحَرِ وَفِيهِ الْجُنُبُ وَغَيْرُ ذلِكَ ، فَأَقُومُ ، فَأَغْتَسِلُ ، فَيَنْتَضِحُ </w:t>
      </w:r>
      <w:r w:rsidRPr="007C12DB">
        <w:rPr>
          <w:rStyle w:val="libFootnotenumChar"/>
          <w:rtl/>
        </w:rPr>
        <w:t>(4)</w:t>
      </w:r>
      <w:r w:rsidRPr="005D642E">
        <w:rPr>
          <w:rtl/>
          <w:lang w:bidi="fa-IR"/>
        </w:rPr>
        <w:t xml:space="preserve"> عَلَيَّ بَعْدَ مَا أَفْرُغُ مِنْ مَائِهِمْ</w:t>
      </w:r>
      <w:r>
        <w:rPr>
          <w:rtl/>
          <w:lang w:bidi="fa-IR"/>
        </w:rPr>
        <w:t>؟</w:t>
      </w:r>
    </w:p>
    <w:p w:rsidR="00E3253D" w:rsidRPr="005D642E" w:rsidRDefault="00E3253D" w:rsidP="00E3253D">
      <w:pPr>
        <w:pStyle w:val="libNormal"/>
        <w:rPr>
          <w:rtl/>
          <w:lang w:bidi="fa-IR"/>
        </w:rPr>
      </w:pPr>
      <w:r>
        <w:rPr>
          <w:rtl/>
          <w:lang w:bidi="fa-IR"/>
        </w:rPr>
        <w:t>قَالَ : « أَ</w:t>
      </w:r>
      <w:r w:rsidRPr="005D642E">
        <w:rPr>
          <w:rtl/>
          <w:lang w:bidi="fa-IR"/>
        </w:rPr>
        <w:t>لَيْسَ هُوَ جَارٍ</w:t>
      </w:r>
      <w:r>
        <w:rPr>
          <w:rtl/>
          <w:lang w:bidi="fa-IR"/>
        </w:rPr>
        <w:t>؟</w:t>
      </w:r>
      <w:r w:rsidRPr="005D642E">
        <w:rPr>
          <w:rtl/>
          <w:lang w:bidi="fa-IR"/>
        </w:rPr>
        <w:t xml:space="preserve"> </w:t>
      </w:r>
      <w:r w:rsidRPr="007C12DB">
        <w:rPr>
          <w:rStyle w:val="libFootnotenumChar"/>
          <w:rtl/>
        </w:rPr>
        <w:t>(5)</w:t>
      </w:r>
      <w:r w:rsidRPr="005D642E">
        <w:rPr>
          <w:rtl/>
          <w:lang w:bidi="fa-IR"/>
        </w:rPr>
        <w:t xml:space="preserve"> » قُلْتُ : بَلى ،</w:t>
      </w:r>
      <w:r w:rsidR="00E34766">
        <w:rPr>
          <w:rFonts w:hint="cs"/>
          <w:rtl/>
          <w:lang w:bidi="fa-IR"/>
        </w:rPr>
        <w:t>....................................</w:t>
      </w:r>
      <w:r w:rsidR="00E34766">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C3561B" w:rsidP="00E3253D">
      <w:pPr>
        <w:pStyle w:val="libFootnote0"/>
        <w:rPr>
          <w:rtl/>
          <w:lang w:bidi="fa-IR"/>
        </w:rPr>
      </w:pPr>
      <w:r>
        <w:rPr>
          <w:rFonts w:hint="cs"/>
          <w:rtl/>
        </w:rPr>
        <w:t xml:space="preserve">= </w:t>
      </w:r>
      <w:r w:rsidR="00E3253D" w:rsidRPr="005D642E">
        <w:rPr>
          <w:rtl/>
        </w:rPr>
        <w:t xml:space="preserve">ح 3733 ؛ </w:t>
      </w:r>
      <w:r w:rsidR="00E3253D" w:rsidRPr="002F4D34">
        <w:rPr>
          <w:rStyle w:val="libFootnoteBoldChar"/>
          <w:rtl/>
        </w:rPr>
        <w:t>الوسائل</w:t>
      </w:r>
      <w:r w:rsidR="00E3253D" w:rsidRPr="005D642E">
        <w:rPr>
          <w:rtl/>
        </w:rPr>
        <w:t xml:space="preserve"> ، ج 1 ، ص 219 ، ح 559 ، إلى قوله : « أهون على الله من الكلب » ؛ </w:t>
      </w:r>
      <w:r w:rsidR="00E3253D" w:rsidRPr="002F4D34">
        <w:rPr>
          <w:rStyle w:val="libFootnoteBoldChar"/>
          <w:rtl/>
        </w:rPr>
        <w:t>وفيه</w:t>
      </w:r>
      <w:r w:rsidR="00E3253D" w:rsidRPr="005D642E">
        <w:rPr>
          <w:rtl/>
        </w:rPr>
        <w:t xml:space="preserve"> ، ص 150 ، ح 373 ، من قوله : « قلت : أخبرني عن ماء الحمّام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جن » : « كان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378 ، ح 1168 ، معلّقاً عن الحسين بن سعيد. </w:t>
      </w:r>
      <w:r w:rsidR="00E3253D" w:rsidRPr="002F4D34">
        <w:rPr>
          <w:rStyle w:val="libFootnoteBoldChar"/>
          <w:rtl/>
        </w:rPr>
        <w:t>فقه الرضا</w:t>
      </w:r>
      <w:r w:rsidR="00E3253D" w:rsidRPr="005D642E">
        <w:rPr>
          <w:rtl/>
        </w:rPr>
        <w:t xml:space="preserve"> </w:t>
      </w:r>
      <w:r w:rsidR="00E3253D" w:rsidRPr="004A0118">
        <w:rPr>
          <w:rStyle w:val="libFootnoteAlaemChar"/>
          <w:rtl/>
        </w:rPr>
        <w:t>عليه‌السلام</w:t>
      </w:r>
      <w:r w:rsidR="00E3253D" w:rsidRPr="005D642E">
        <w:rPr>
          <w:rtl/>
        </w:rPr>
        <w:t xml:space="preserve"> ، ص 86 ، ضمن الحديث ، وتمام الرواية فيه : « ماء الحمّام سبيله سبيل الماء الجاري إذا كانت له مادّة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9 ، ذيل ح 11 ، مع اختلاف يسير </w:t>
      </w:r>
      <w:r w:rsidR="004A0118">
        <w:rPr>
          <w:rFonts w:hint="cs"/>
          <w:rtl/>
        </w:rPr>
        <w:t>.</w:t>
      </w:r>
      <w:r w:rsidR="00E3253D" w:rsidRPr="002F4D34">
        <w:rPr>
          <w:rStyle w:val="libFootnoteBoldChar"/>
          <w:rtl/>
        </w:rPr>
        <w:t>الوافي</w:t>
      </w:r>
      <w:r w:rsidR="00E3253D" w:rsidRPr="005D642E">
        <w:rPr>
          <w:rtl/>
        </w:rPr>
        <w:t xml:space="preserve"> ، ج 6 ، ص 49 ، ح 3732 ؛ </w:t>
      </w:r>
      <w:r w:rsidR="00E3253D" w:rsidRPr="002F4D34">
        <w:rPr>
          <w:rStyle w:val="libFootnoteBoldChar"/>
          <w:rtl/>
        </w:rPr>
        <w:t>الوسائل</w:t>
      </w:r>
      <w:r w:rsidR="00E3253D" w:rsidRPr="005D642E">
        <w:rPr>
          <w:rtl/>
        </w:rPr>
        <w:t xml:space="preserve"> ، ج 1 ، ص 149 ، ذيل ح 370.</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الخبر رواه الشيخ </w:t>
      </w:r>
      <w:r w:rsidR="00E3253D" w:rsidRPr="004A0118">
        <w:rPr>
          <w:rStyle w:val="libFootnoteAlaemChar"/>
          <w:rtl/>
        </w:rPr>
        <w:t>رحمه‌الله</w:t>
      </w:r>
      <w:r w:rsidR="00E3253D" w:rsidRPr="005D642E">
        <w:rPr>
          <w:rtl/>
        </w:rPr>
        <w:t xml:space="preserve"> في </w:t>
      </w:r>
      <w:r w:rsidR="00E3253D" w:rsidRPr="002F4D34">
        <w:rPr>
          <w:rStyle w:val="libFootnoteBoldChar"/>
          <w:rtl/>
        </w:rPr>
        <w:t>التهذيب</w:t>
      </w:r>
      <w:r w:rsidR="00E3253D" w:rsidRPr="005D642E">
        <w:rPr>
          <w:rtl/>
        </w:rPr>
        <w:t xml:space="preserve"> ، ج 1 ، ص 378 ، ح 1169 ، بإسناده عن عليّ بن مهزيار ، عن محمّد بن إسماعيل ، قال : سمعت رجلاً يقول لأبي عبدالله </w:t>
      </w:r>
      <w:r w:rsidR="00E3253D" w:rsidRPr="004A0118">
        <w:rPr>
          <w:rStyle w:val="libFootnoteAlaemChar"/>
          <w:rtl/>
        </w:rPr>
        <w:t>عليه‌السلام</w:t>
      </w:r>
      <w:r w:rsidR="00E3253D" w:rsidRPr="005D642E">
        <w:rPr>
          <w:rtl/>
        </w:rPr>
        <w:t>.</w:t>
      </w:r>
    </w:p>
    <w:p w:rsidR="00E3253D" w:rsidRPr="005D642E" w:rsidRDefault="00E3253D" w:rsidP="00E3253D">
      <w:pPr>
        <w:pStyle w:val="libFootnote0"/>
        <w:rPr>
          <w:rtl/>
          <w:lang w:bidi="fa-IR"/>
        </w:rPr>
      </w:pPr>
      <w:r w:rsidRPr="00B60612">
        <w:rPr>
          <w:rtl/>
        </w:rPr>
        <w:t xml:space="preserve">والظاهر وقوع السقط في سند التهذيب ؛ فإنّ محمّد بن إسماعيل في مشايخ عليّ بن مهزيار ، هو محمّد بن إسماعيل بن بزيع ، وهو من أصحاب أبي الحسن موسى ، والرضا ، وأبي جعفر الثاني </w:t>
      </w:r>
      <w:r w:rsidRPr="004A0118">
        <w:rPr>
          <w:rStyle w:val="libFootnoteAlaemChar"/>
          <w:rtl/>
        </w:rPr>
        <w:t>عليهم‌السلام</w:t>
      </w:r>
      <w:r w:rsidRPr="00B60612">
        <w:rPr>
          <w:rtl/>
        </w:rPr>
        <w:t xml:space="preserve"> ، ووردت روايته عن حنان [ بن سدير ] ، عن أبي عبدالله </w:t>
      </w:r>
      <w:r w:rsidRPr="004A0118">
        <w:rPr>
          <w:rStyle w:val="libFootnoteAlaemChar"/>
          <w:rtl/>
        </w:rPr>
        <w:t>عليه‌السلام</w:t>
      </w:r>
      <w:r w:rsidRPr="00B60612">
        <w:rPr>
          <w:rtl/>
        </w:rPr>
        <w:t xml:space="preserve"> في عدّة من الأسناد. راجع : </w:t>
      </w:r>
      <w:r w:rsidRPr="002F4D34">
        <w:rPr>
          <w:rStyle w:val="libFootnoteBoldChar"/>
          <w:rtl/>
        </w:rPr>
        <w:t>معجم رجال الحديث</w:t>
      </w:r>
      <w:r w:rsidRPr="00B60612">
        <w:rPr>
          <w:rtl/>
        </w:rPr>
        <w:t xml:space="preserve"> ، ج 6 ، ص 464 </w:t>
      </w:r>
      <w:r w:rsidR="007642BC" w:rsidRPr="00B60612">
        <w:rPr>
          <w:rtl/>
        </w:rPr>
        <w:t>-</w:t>
      </w:r>
      <w:r w:rsidRPr="00B60612">
        <w:rPr>
          <w:rtl/>
        </w:rPr>
        <w:t xml:space="preserve"> 465 و 467 </w:t>
      </w:r>
      <w:r w:rsidR="007642BC" w:rsidRPr="00B60612">
        <w:rPr>
          <w:rtl/>
        </w:rPr>
        <w:t>-</w:t>
      </w:r>
      <w:r w:rsidRPr="00B60612">
        <w:rPr>
          <w:rtl/>
        </w:rPr>
        <w:t xml:space="preserve"> 468 ؛ ج 12 ، ص 350 ؛ </w:t>
      </w:r>
      <w:r w:rsidRPr="002F4D34">
        <w:rPr>
          <w:rStyle w:val="libFootnoteBoldChar"/>
          <w:rtl/>
        </w:rPr>
        <w:t>رجال النجاشي</w:t>
      </w:r>
      <w:r w:rsidRPr="00B60612">
        <w:rPr>
          <w:rtl/>
        </w:rPr>
        <w:t xml:space="preserve"> ، ص 330 ، الرقم 893 ؛ </w:t>
      </w:r>
      <w:r w:rsidRPr="002F4D34">
        <w:rPr>
          <w:rStyle w:val="libFootnoteBoldChar"/>
          <w:rtl/>
        </w:rPr>
        <w:t>رجال الطوسي</w:t>
      </w:r>
      <w:r w:rsidRPr="00B60612">
        <w:rPr>
          <w:rtl/>
        </w:rPr>
        <w:t xml:space="preserve"> ، ص 344 ، الرقم 5130 ؛ وص 364 ، الرقم 5393 ؛ وص 377 ، الرقم 5590.</w:t>
      </w:r>
    </w:p>
    <w:p w:rsidR="00E3253D" w:rsidRPr="005D642E" w:rsidRDefault="00E3253D" w:rsidP="00E3253D">
      <w:pPr>
        <w:pStyle w:val="libFootnote0"/>
        <w:rPr>
          <w:rtl/>
          <w:lang w:bidi="fa-IR"/>
        </w:rPr>
      </w:pPr>
      <w:r w:rsidRPr="00B60612">
        <w:rPr>
          <w:rtl/>
        </w:rPr>
        <w:t xml:space="preserve">ويؤيّد ذلك أنّ الخبر رواه الحميري في </w:t>
      </w:r>
      <w:r w:rsidRPr="002F4D34">
        <w:rPr>
          <w:rStyle w:val="libFootnoteBoldChar"/>
          <w:rtl/>
        </w:rPr>
        <w:t>قرب الإسناد</w:t>
      </w:r>
      <w:r w:rsidRPr="00B60612">
        <w:rPr>
          <w:rtl/>
        </w:rPr>
        <w:t xml:space="preserve"> ، ص 124 ، ح 437 ، عن محمّد بن عبدالحميد وعبدالصمد بن محمّد ، عن حنان بن سدير ، قال : سمعت رجلاً يقول لأبي عبدالله </w:t>
      </w:r>
      <w:r w:rsidRPr="004A0118">
        <w:rPr>
          <w:rStyle w:val="libFootnoteAlaemChar"/>
          <w:rtl/>
        </w:rPr>
        <w:t>عليه‌السلام</w:t>
      </w:r>
      <w:r w:rsidRPr="00B60612">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جح » : « وأغتسل » بدل « فأغتسل »</w:t>
      </w:r>
      <w:r w:rsidR="00E3253D">
        <w:rPr>
          <w:rtl/>
        </w:rPr>
        <w:t>.</w:t>
      </w:r>
      <w:r w:rsidR="00E3253D" w:rsidRPr="005D642E">
        <w:rPr>
          <w:rtl/>
        </w:rPr>
        <w:t xml:space="preserve"> وفي الوافي : « وأقوم » بدل « فأقوم »</w:t>
      </w:r>
      <w:r w:rsidR="00E3253D">
        <w:rPr>
          <w:rtl/>
        </w:rPr>
        <w:t>.</w:t>
      </w:r>
      <w:r w:rsidR="00E3253D" w:rsidRPr="005D642E">
        <w:rPr>
          <w:rtl/>
        </w:rPr>
        <w:t xml:space="preserve"> وقوله : « فينتضح » ، أي يترشّش ؛ من النَضْح بمعنى البلّ والرشّ. راجع : </w:t>
      </w:r>
      <w:r w:rsidR="00E3253D" w:rsidRPr="002F4D34">
        <w:rPr>
          <w:rStyle w:val="libFootnoteBoldChar"/>
          <w:rtl/>
        </w:rPr>
        <w:t>لسان العرب</w:t>
      </w:r>
      <w:r w:rsidR="00E3253D" w:rsidRPr="005D642E">
        <w:rPr>
          <w:rtl/>
        </w:rPr>
        <w:t xml:space="preserve"> ، ج 2 ، ص 618 ؛ المصباح المنير ، ص 609 ( نضح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الوافي</w:t>
      </w:r>
      <w:r w:rsidR="00E3253D" w:rsidRPr="005D642E">
        <w:rPr>
          <w:rtl/>
        </w:rPr>
        <w:t xml:space="preserve"> : « أليس هو جار ، استفهام إنكار ؛ يعني أنّ ماءهم جار على أبدانهم فلا بأس أن ينتضح منه </w:t>
      </w:r>
      <w:r w:rsidR="004A0118">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قَالَ : « لَا بَأْسَ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230AC3">
        <w:rPr>
          <w:rtl/>
        </w:rPr>
        <w:t>3868</w:t>
      </w:r>
      <w:r w:rsidRPr="00246318">
        <w:rPr>
          <w:rStyle w:val="libBold2Char"/>
          <w:rtl/>
        </w:rPr>
        <w:t xml:space="preserve"> / 4.</w:t>
      </w:r>
      <w:r w:rsidRPr="005D642E">
        <w:rPr>
          <w:rtl/>
          <w:lang w:bidi="fa-IR"/>
        </w:rPr>
        <w:t xml:space="preserve"> مُحَمَّدُ بْنُ يَحْيى ، عَنْ أَحْمَدَ بْنِ مُحَمَّدٍ ، عَنْ أَبِي يَحْيَى الْوَاسِطِيِّ ، عَنْ بَعْضِ أَصْحَابِنَا :</w:t>
      </w:r>
    </w:p>
    <w:p w:rsidR="00E3253D" w:rsidRPr="005D642E" w:rsidRDefault="00E3253D" w:rsidP="00E3253D">
      <w:pPr>
        <w:pStyle w:val="libNormal"/>
        <w:rPr>
          <w:rtl/>
          <w:lang w:bidi="fa-IR"/>
        </w:rPr>
      </w:pPr>
      <w:r w:rsidRPr="005D642E">
        <w:rPr>
          <w:rtl/>
          <w:lang w:bidi="fa-IR"/>
        </w:rPr>
        <w:t xml:space="preserve">عَنْ أَبِي الْحَسَنِ الْمَاضِي </w:t>
      </w:r>
      <w:r w:rsidRPr="00AC51C5">
        <w:rPr>
          <w:rStyle w:val="libAlaemChar"/>
          <w:rtl/>
        </w:rPr>
        <w:t>عليه‌السلام</w:t>
      </w:r>
      <w:r w:rsidRPr="005D642E">
        <w:rPr>
          <w:rtl/>
          <w:lang w:bidi="fa-IR"/>
        </w:rPr>
        <w:t xml:space="preserve"> ، قَالَ : سُئِلَ عَنْ مَجْمَعِ الْمَاءِ </w:t>
      </w:r>
      <w:r w:rsidRPr="007C12DB">
        <w:rPr>
          <w:rStyle w:val="libFootnotenumChar"/>
          <w:rtl/>
        </w:rPr>
        <w:t>(2)</w:t>
      </w:r>
      <w:r w:rsidRPr="005D642E">
        <w:rPr>
          <w:rtl/>
          <w:lang w:bidi="fa-IR"/>
        </w:rPr>
        <w:t xml:space="preserve"> فِي الْحَمَّامِ مِنْ غُسَالَةِ النَّاسِ يُصِيبُ الثَّوْبَ </w:t>
      </w:r>
      <w:r w:rsidRPr="007C12DB">
        <w:rPr>
          <w:rStyle w:val="libFootnotenumChar"/>
          <w:rtl/>
        </w:rPr>
        <w:t>(3)</w:t>
      </w:r>
      <w:r w:rsidRPr="005D642E">
        <w:rPr>
          <w:rtl/>
          <w:lang w:bidi="fa-IR"/>
        </w:rPr>
        <w:t xml:space="preserve"> ، قَالَ : « لَا بَأْسَ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230AC3">
        <w:rPr>
          <w:rtl/>
        </w:rPr>
        <w:t>3869</w:t>
      </w:r>
      <w:r w:rsidRPr="00246318">
        <w:rPr>
          <w:rStyle w:val="libBold2Char"/>
          <w:rtl/>
        </w:rPr>
        <w:t xml:space="preserve"> / 5.</w:t>
      </w:r>
      <w:r w:rsidRPr="005D642E">
        <w:rPr>
          <w:rtl/>
          <w:lang w:bidi="fa-IR"/>
        </w:rPr>
        <w:t xml:space="preserve"> عَلِيُّ بْنُ إِبْرَاهِيمَ ، عَنْ أَبِيهِ ، عَنِ الْحَسَنِ بْنِ أَبِي الْحُسَيْنِ </w:t>
      </w:r>
      <w:r w:rsidRPr="007C12DB">
        <w:rPr>
          <w:rStyle w:val="libFootnotenumChar"/>
          <w:rtl/>
        </w:rPr>
        <w:t>(5)</w:t>
      </w:r>
      <w:r w:rsidRPr="005D642E">
        <w:rPr>
          <w:rtl/>
          <w:lang w:bidi="fa-IR"/>
        </w:rPr>
        <w:t xml:space="preserve"> الْفَارِسِيِّ ، عَنْ سُلَيْمَانَ بْنِ جَعْفَرٍ ، عَنْ إِسْمَاعِيلَ بْنِ أَبِي زِيَادٍ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الْمَاءُ الَّذِي تُسَخِّنُهُ الشَّمْسُ لَا تَوَضَّؤُوا بِهِ ، وَلَاتَغْتَسِلُوا بِهِ ، وَلَاتَعْجِنُوا بِهِ ؛ فَإِنَّهُ يُورِثُ الْبَرَصَ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F1244B" w:rsidP="00E3253D">
      <w:pPr>
        <w:pStyle w:val="libFootnote0"/>
        <w:rPr>
          <w:rtl/>
          <w:lang w:bidi="fa-IR"/>
        </w:rPr>
      </w:pPr>
      <w:r>
        <w:rPr>
          <w:rFonts w:hint="cs"/>
          <w:rtl/>
        </w:rPr>
        <w:t xml:space="preserve">= </w:t>
      </w:r>
      <w:r w:rsidR="00E3253D" w:rsidRPr="005D642E">
        <w:rPr>
          <w:rtl/>
        </w:rPr>
        <w:t>عليك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49 : « قوله </w:t>
      </w:r>
      <w:r w:rsidR="00E3253D" w:rsidRPr="00377776">
        <w:rPr>
          <w:rStyle w:val="libFootnoteAlaemChar"/>
          <w:rtl/>
        </w:rPr>
        <w:t>عليه‌السلام</w:t>
      </w:r>
      <w:r w:rsidR="00E3253D" w:rsidRPr="005D642E">
        <w:rPr>
          <w:rtl/>
        </w:rPr>
        <w:t xml:space="preserve"> : أليس هو جار</w:t>
      </w:r>
      <w:r w:rsidR="00E3253D">
        <w:rPr>
          <w:rtl/>
        </w:rPr>
        <w:t>؟</w:t>
      </w:r>
      <w:r w:rsidR="00E3253D" w:rsidRPr="005D642E">
        <w:rPr>
          <w:rtl/>
        </w:rPr>
        <w:t xml:space="preserve"> يحتمل أن يكون المراد : أليس يجري الماء الجاري في صحن الحمّام</w:t>
      </w:r>
      <w:r w:rsidR="00E3253D">
        <w:rPr>
          <w:rtl/>
        </w:rPr>
        <w:t>؟ أو أ</w:t>
      </w:r>
      <w:r w:rsidR="00E3253D" w:rsidRPr="005D642E">
        <w:rPr>
          <w:rtl/>
        </w:rPr>
        <w:t>ليس المياه التي في تلك الحياض جارية على صحن الحمّام</w:t>
      </w:r>
      <w:r w:rsidR="00E3253D">
        <w:rPr>
          <w:rtl/>
        </w:rPr>
        <w:t>؟ أو أ</w:t>
      </w:r>
      <w:r w:rsidR="00E3253D" w:rsidRPr="005D642E">
        <w:rPr>
          <w:rtl/>
        </w:rPr>
        <w:t>ليس الماء جارياً من المادّة إلى الحياض الصغار التي يغتسلون منها ؛ إذ الماء يمكن أن يكون انتضح من أبدانهم</w:t>
      </w:r>
      <w:r w:rsidR="00E3253D">
        <w:rPr>
          <w:rtl/>
        </w:rPr>
        <w:t>؟</w:t>
      </w:r>
      <w:r w:rsidR="00E3253D" w:rsidRPr="005D642E">
        <w:rPr>
          <w:rtl/>
        </w:rPr>
        <w:t xml:space="preserve"> وقيل : المراد ما سمعت أنّ ماء الحمّام بحكم الجاري. ولا يخفى بعده. ولعلّ الثالث أظهر الوجوه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w:t>
      </w:r>
      <w:r w:rsidR="00E3253D" w:rsidRPr="002F4D34">
        <w:rPr>
          <w:rStyle w:val="libFootnoteBoldChar"/>
          <w:rtl/>
        </w:rPr>
        <w:t>التهذيب</w:t>
      </w:r>
      <w:r w:rsidR="00E3253D" w:rsidRPr="005D642E">
        <w:rPr>
          <w:rtl/>
        </w:rPr>
        <w:t xml:space="preserve"> ، ج 1 ، ص 378 ، ح 1169 ، معلّقاً عن عليّ بن مهزيار. </w:t>
      </w:r>
      <w:r w:rsidR="00E3253D" w:rsidRPr="002F4D34">
        <w:rPr>
          <w:rStyle w:val="libFootnoteBoldChar"/>
          <w:rtl/>
        </w:rPr>
        <w:t>قرب الإسناد</w:t>
      </w:r>
      <w:r w:rsidR="00E3253D" w:rsidRPr="005D642E">
        <w:rPr>
          <w:rtl/>
        </w:rPr>
        <w:t xml:space="preserve"> ، ص 124 ، ح 437 ، بسنده عن حنان بن سدير </w:t>
      </w:r>
      <w:r w:rsidR="00377776">
        <w:rPr>
          <w:rFonts w:hint="cs"/>
          <w:rtl/>
        </w:rPr>
        <w:t>.</w:t>
      </w:r>
      <w:r w:rsidR="00E3253D" w:rsidRPr="002F4D34">
        <w:rPr>
          <w:rStyle w:val="libFootnoteBoldChar"/>
          <w:rtl/>
        </w:rPr>
        <w:t>الوافي</w:t>
      </w:r>
      <w:r w:rsidR="00E3253D" w:rsidRPr="005D642E">
        <w:rPr>
          <w:rtl/>
        </w:rPr>
        <w:t xml:space="preserve"> ، ج 6 ، ص 51 ، ح 3736 ؛ </w:t>
      </w:r>
      <w:r w:rsidR="00E3253D" w:rsidRPr="002F4D34">
        <w:rPr>
          <w:rStyle w:val="libFootnoteBoldChar"/>
          <w:rtl/>
        </w:rPr>
        <w:t>الوسائل</w:t>
      </w:r>
      <w:r w:rsidR="00E3253D" w:rsidRPr="005D642E">
        <w:rPr>
          <w:rtl/>
        </w:rPr>
        <w:t xml:space="preserve"> ، ج 1 ، ص 213 ، ح 546.</w:t>
      </w:r>
    </w:p>
    <w:p w:rsidR="00E3253D" w:rsidRPr="005D642E" w:rsidRDefault="0042621E" w:rsidP="00377776">
      <w:pPr>
        <w:pStyle w:val="libFootnote0"/>
        <w:rPr>
          <w:rtl/>
          <w:lang w:bidi="fa-IR"/>
        </w:rPr>
      </w:pPr>
      <w:r w:rsidRPr="0042621E">
        <w:rPr>
          <w:rStyle w:val="libFootnote0Char"/>
          <w:rtl/>
        </w:rPr>
        <w:t>(2).</w:t>
      </w:r>
      <w:r w:rsidR="00E3253D" w:rsidRPr="005D642E">
        <w:rPr>
          <w:rtl/>
        </w:rPr>
        <w:t xml:space="preserve"> في « غ ، جن » وحاشية « بخ » والوسائل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 مجتمع الماء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لعلّه محمول‌على ما إذا لم يحصل العلم أو الظنّ بوقوع غسالة من مرّ ذكره في الخبر الأوّل فيها. ويمكن حمل الأوّل على الكراهة »</w:t>
      </w:r>
      <w:r w:rsidR="00E3253D">
        <w:rPr>
          <w:rtl/>
        </w:rPr>
        <w:t>.</w:t>
      </w:r>
      <w:r w:rsidR="00377776">
        <w:rPr>
          <w:rFonts w:hint="cs"/>
          <w:rtl/>
        </w:rPr>
        <w:t xml:space="preserve">                                               </w:t>
      </w:r>
      <w:r w:rsidRPr="0042621E">
        <w:rPr>
          <w:rStyle w:val="libFootnote0Char"/>
          <w:rtl/>
        </w:rPr>
        <w:t>(3).</w:t>
      </w:r>
      <w:r w:rsidR="00E3253D" w:rsidRPr="005D642E">
        <w:rPr>
          <w:rtl/>
        </w:rPr>
        <w:t xml:space="preserve"> في الفقيه : + « منه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379 ، ح 1176 ، معلّقاً عن أحمد بن محمّد. </w:t>
      </w:r>
      <w:r w:rsidR="00E3253D" w:rsidRPr="002F4D34">
        <w:rPr>
          <w:rStyle w:val="libFootnoteBoldChar"/>
          <w:rtl/>
        </w:rPr>
        <w:t>الفقيه</w:t>
      </w:r>
      <w:r w:rsidR="00E3253D" w:rsidRPr="005D642E">
        <w:rPr>
          <w:rtl/>
        </w:rPr>
        <w:t xml:space="preserve"> ، ج 1 ، ص 12 ، ح 17 ، مرسلاً عن أبي الحسن موسى بن جعفر </w:t>
      </w:r>
      <w:r w:rsidR="00E3253D" w:rsidRPr="00377776">
        <w:rPr>
          <w:rStyle w:val="libFootnoteAlaemChar"/>
          <w:rtl/>
        </w:rPr>
        <w:t>عليه‌السلام</w:t>
      </w:r>
      <w:r w:rsidR="00E3253D" w:rsidRPr="005D642E">
        <w:rPr>
          <w:rtl/>
        </w:rPr>
        <w:t xml:space="preserve"> </w:t>
      </w:r>
      <w:r w:rsidR="00E76E41">
        <w:rPr>
          <w:rFonts w:hint="cs"/>
          <w:rtl/>
        </w:rPr>
        <w:t>.</w:t>
      </w:r>
      <w:r w:rsidR="00E3253D" w:rsidRPr="002F4D34">
        <w:rPr>
          <w:rStyle w:val="libFootnoteBoldChar"/>
          <w:rtl/>
        </w:rPr>
        <w:t>الوافي</w:t>
      </w:r>
      <w:r w:rsidR="00E3253D" w:rsidRPr="005D642E">
        <w:rPr>
          <w:rtl/>
        </w:rPr>
        <w:t xml:space="preserve"> ، ج 6 ، ص 51 ، ح 3737 ؛ </w:t>
      </w:r>
      <w:r w:rsidR="00E3253D" w:rsidRPr="002F4D34">
        <w:rPr>
          <w:rStyle w:val="libFootnoteBoldChar"/>
          <w:rtl/>
        </w:rPr>
        <w:t>الوسائل</w:t>
      </w:r>
      <w:r w:rsidR="00E3253D" w:rsidRPr="005D642E">
        <w:rPr>
          <w:rtl/>
        </w:rPr>
        <w:t xml:space="preserve"> ، ج 1 ، ص 213 ، ح 547.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الحسن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379 ، ح 1177 ، معلّقاً عن عليّ بن إبراهيم. </w:t>
      </w:r>
      <w:r w:rsidR="00E3253D" w:rsidRPr="002F4D34">
        <w:rPr>
          <w:rStyle w:val="libFootnoteBoldChar"/>
          <w:rtl/>
        </w:rPr>
        <w:t>علل الشرائع</w:t>
      </w:r>
      <w:r w:rsidR="00E3253D" w:rsidRPr="005D642E">
        <w:rPr>
          <w:rtl/>
        </w:rPr>
        <w:t xml:space="preserve"> ، ص 281 ، ح 2 ، بسنده عن السكوني ، عن جعفر بن محمّد ، عن آبائه </w:t>
      </w:r>
      <w:r w:rsidR="00E3253D" w:rsidRPr="00E76E41">
        <w:rPr>
          <w:rStyle w:val="libFootnoteAlaemChar"/>
          <w:rtl/>
        </w:rPr>
        <w:t>عليهم‌السلام</w:t>
      </w:r>
      <w:r w:rsidR="00E3253D" w:rsidRPr="005D642E">
        <w:rPr>
          <w:rtl/>
        </w:rPr>
        <w:t xml:space="preserve"> عن رسول الله </w:t>
      </w:r>
      <w:r w:rsidRPr="009F10EE">
        <w:rPr>
          <w:rStyle w:val="libFootnoteAlaemChar"/>
          <w:rtl/>
        </w:rPr>
        <w:t>صلى‌الله‌عليه‌وآله</w:t>
      </w:r>
      <w:r w:rsidR="00E3253D" w:rsidRPr="005D642E">
        <w:rPr>
          <w:rtl/>
        </w:rPr>
        <w:t xml:space="preserve">. </w:t>
      </w:r>
      <w:r w:rsidR="00E3253D" w:rsidRPr="002F4D34">
        <w:rPr>
          <w:rStyle w:val="libFootnoteBoldChar"/>
          <w:rtl/>
        </w:rPr>
        <w:t>الفقيه</w:t>
      </w:r>
      <w:r w:rsidR="00E3253D" w:rsidRPr="005D642E">
        <w:rPr>
          <w:rtl/>
        </w:rPr>
        <w:t xml:space="preserve"> ، ج 1 ، ص 6 ، ذيل ح 3 ، مع اختلاف يسير. </w:t>
      </w:r>
      <w:r w:rsidR="000D749A" w:rsidRPr="000D749A">
        <w:rPr>
          <w:rStyle w:val="libFootnoteBoldChar"/>
          <w:rtl/>
        </w:rPr>
        <w:t>الأمالي للصدوق</w:t>
      </w:r>
      <w:r w:rsidR="00E3253D" w:rsidRPr="005D642E">
        <w:rPr>
          <w:rtl/>
        </w:rPr>
        <w:t xml:space="preserve"> ، ص 645 ، المجلس 93 ، ضمن إملاء الصدوق في وصف دين الإماميّة على الإيجاز والاختصار ، مع اختلاف. راجع : </w:t>
      </w:r>
      <w:r w:rsidR="00E3253D" w:rsidRPr="002F4D34">
        <w:rPr>
          <w:rStyle w:val="libFootnoteBoldChar"/>
          <w:rtl/>
        </w:rPr>
        <w:t>الخصال</w:t>
      </w:r>
      <w:r w:rsidR="00E3253D" w:rsidRPr="005D642E">
        <w:rPr>
          <w:rtl/>
        </w:rPr>
        <w:t xml:space="preserve"> ، ص 270 ، باب الخمسة ، ضمن ح 9 ؛ و</w:t>
      </w:r>
      <w:r w:rsidR="00E3253D" w:rsidRPr="002F4D34">
        <w:rPr>
          <w:rStyle w:val="libFootnoteBoldChar"/>
          <w:rtl/>
        </w:rPr>
        <w:t>علل الشرائع</w:t>
      </w:r>
      <w:r w:rsidR="00E3253D" w:rsidRPr="005D642E">
        <w:rPr>
          <w:rtl/>
        </w:rPr>
        <w:t xml:space="preserve"> ، ص 281 ، </w:t>
      </w:r>
      <w:r w:rsidR="00E76E4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47" w:name="_Toc344647226"/>
      <w:bookmarkStart w:id="48" w:name="_Toc462226741"/>
      <w:bookmarkStart w:id="49" w:name="_Toc40975848"/>
      <w:r w:rsidRPr="005D642E">
        <w:rPr>
          <w:rtl/>
          <w:lang w:bidi="fa-IR"/>
        </w:rPr>
        <w:lastRenderedPageBreak/>
        <w:t>11</w:t>
      </w:r>
      <w:r>
        <w:rPr>
          <w:rtl/>
          <w:lang w:bidi="fa-IR"/>
        </w:rPr>
        <w:t xml:space="preserve"> </w:t>
      </w:r>
      <w:r w:rsidR="007642BC">
        <w:rPr>
          <w:rtl/>
          <w:lang w:bidi="fa-IR"/>
        </w:rPr>
        <w:t>-</w:t>
      </w:r>
      <w:r>
        <w:rPr>
          <w:rtl/>
          <w:lang w:bidi="fa-IR"/>
        </w:rPr>
        <w:t xml:space="preserve"> </w:t>
      </w:r>
      <w:r w:rsidRPr="005D642E">
        <w:rPr>
          <w:rtl/>
          <w:lang w:bidi="fa-IR"/>
        </w:rPr>
        <w:t xml:space="preserve">بَابُ الْمَوْضِعِ الَّذِي يُكْرَهُ </w:t>
      </w:r>
      <w:r w:rsidRPr="007C12DB">
        <w:rPr>
          <w:rStyle w:val="libFootnotenumChar"/>
          <w:rtl/>
        </w:rPr>
        <w:t>(1)</w:t>
      </w:r>
      <w:r>
        <w:rPr>
          <w:rtl/>
        </w:rPr>
        <w:t xml:space="preserve"> </w:t>
      </w:r>
      <w:r w:rsidRPr="005D642E">
        <w:rPr>
          <w:rtl/>
          <w:lang w:bidi="fa-IR"/>
        </w:rPr>
        <w:t xml:space="preserve">أَنْ يُتَغَوَّطَ فِيهِ </w:t>
      </w:r>
      <w:r w:rsidRPr="007C12DB">
        <w:rPr>
          <w:rStyle w:val="libFootnotenumChar"/>
          <w:rtl/>
        </w:rPr>
        <w:t>(2)</w:t>
      </w:r>
      <w:r>
        <w:rPr>
          <w:rtl/>
        </w:rPr>
        <w:t xml:space="preserve"> </w:t>
      </w:r>
      <w:r w:rsidRPr="005D642E">
        <w:rPr>
          <w:rtl/>
          <w:lang w:bidi="fa-IR"/>
        </w:rPr>
        <w:t>أَوْ يُبَالَ‌</w:t>
      </w:r>
      <w:bookmarkEnd w:id="47"/>
      <w:bookmarkEnd w:id="48"/>
      <w:bookmarkEnd w:id="49"/>
    </w:p>
    <w:p w:rsidR="00E3253D" w:rsidRPr="005D642E" w:rsidRDefault="00E3253D" w:rsidP="00E3253D">
      <w:pPr>
        <w:pStyle w:val="libNormal"/>
        <w:rPr>
          <w:rtl/>
          <w:lang w:bidi="fa-IR"/>
        </w:rPr>
      </w:pPr>
      <w:r w:rsidRPr="00230AC3">
        <w:rPr>
          <w:rtl/>
        </w:rPr>
        <w:t>3870</w:t>
      </w:r>
      <w:r w:rsidRPr="00246318">
        <w:rPr>
          <w:rStyle w:val="libBold2Char"/>
          <w:rtl/>
        </w:rPr>
        <w:t xml:space="preserve"> / 1.</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مِنْ فِقْهِ الرَّجُلِ أَنْ يَرْتَادَ مَوْضِعاً لِبَوْلِهِ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230AC3">
        <w:rPr>
          <w:rtl/>
        </w:rPr>
        <w:t>3871</w:t>
      </w:r>
      <w:r w:rsidRPr="00246318">
        <w:rPr>
          <w:rStyle w:val="libBold2Char"/>
          <w:rtl/>
        </w:rPr>
        <w:t xml:space="preserve"> / 2.</w:t>
      </w:r>
      <w:r w:rsidRPr="005D642E">
        <w:rPr>
          <w:rtl/>
          <w:lang w:bidi="fa-IR"/>
        </w:rPr>
        <w:t xml:space="preserve"> أَحْمَدُ بْنُ إِدْرِيسَ ، عَنْ مُحَمَّدِ بْنِ عَبْدِ الْجَبَّارِ ، عَنْ صَفْوَانَ بْنِ يَحْيى ، عَنْ عَاصِمِ بْنِ حُمَيْدٍ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رَجُلٌ لِعَلِيِّ بْنِ الْحُسَيْنِ </w:t>
      </w:r>
      <w:r w:rsidRPr="00AC51C5">
        <w:rPr>
          <w:rStyle w:val="libAlaemChar"/>
          <w:rtl/>
        </w:rPr>
        <w:t>عليهما‌السلام</w:t>
      </w:r>
      <w:r w:rsidRPr="005D642E">
        <w:rPr>
          <w:rtl/>
          <w:lang w:bidi="fa-IR"/>
        </w:rPr>
        <w:t xml:space="preserve"> : أَيْنَ يَتَوَضَّأُ </w:t>
      </w:r>
      <w:r w:rsidRPr="007C12DB">
        <w:rPr>
          <w:rStyle w:val="libFootnotenumChar"/>
          <w:rtl/>
        </w:rPr>
        <w:t>(5)</w:t>
      </w:r>
      <w:r w:rsidRPr="005D642E">
        <w:rPr>
          <w:rtl/>
          <w:lang w:bidi="fa-IR"/>
        </w:rPr>
        <w:t xml:space="preserve"> الْغُرَبَاءُ</w:t>
      </w:r>
      <w:r>
        <w:rPr>
          <w:rtl/>
          <w:lang w:bidi="fa-IR"/>
        </w:rPr>
        <w:t>؟</w:t>
      </w:r>
      <w:r>
        <w:rPr>
          <w:rFonts w:hint="cs"/>
          <w:rtl/>
          <w:lang w:bidi="fa-IR"/>
        </w:rPr>
        <w:t xml:space="preserve"> </w:t>
      </w:r>
      <w:r w:rsidRPr="005D642E">
        <w:rPr>
          <w:rtl/>
          <w:lang w:bidi="fa-IR"/>
        </w:rPr>
        <w:t xml:space="preserve">قَالَ </w:t>
      </w:r>
      <w:r w:rsidRPr="007C12DB">
        <w:rPr>
          <w:rStyle w:val="libFootnotenumChar"/>
          <w:rtl/>
        </w:rPr>
        <w:t>(6)</w:t>
      </w:r>
      <w:r w:rsidRPr="005D642E">
        <w:rPr>
          <w:rtl/>
          <w:lang w:bidi="fa-IR"/>
        </w:rPr>
        <w:t xml:space="preserve"> : يَتَّقِي </w:t>
      </w:r>
      <w:r w:rsidRPr="007C12DB">
        <w:rPr>
          <w:rStyle w:val="libFootnotenumChar"/>
          <w:rtl/>
        </w:rPr>
        <w:t>(7)</w:t>
      </w:r>
      <w:r w:rsidRPr="005D642E">
        <w:rPr>
          <w:rtl/>
          <w:lang w:bidi="fa-IR"/>
        </w:rPr>
        <w:t xml:space="preserve"> شُطُوطَ الْأَنْهَارِ ، وَالطُّرُقَ النَّافِذَةَ </w:t>
      </w:r>
      <w:r w:rsidRPr="007C12DB">
        <w:rPr>
          <w:rStyle w:val="libFootnotenumChar"/>
          <w:rtl/>
        </w:rPr>
        <w:t>(8)</w:t>
      </w:r>
      <w:r w:rsidRPr="005D642E">
        <w:rPr>
          <w:rtl/>
          <w:lang w:bidi="fa-IR"/>
        </w:rPr>
        <w:t xml:space="preserve"> ، وَتَحْتَ الْأَشْجَارِ الْمُثْمِرَةِ ، وَمَوَاضِعَ‌</w:t>
      </w:r>
    </w:p>
    <w:p w:rsidR="00E3253D" w:rsidRPr="005D642E" w:rsidRDefault="00E3253D" w:rsidP="00E3253D">
      <w:pPr>
        <w:pStyle w:val="libLine"/>
        <w:rPr>
          <w:rtl/>
          <w:lang w:bidi="fa-IR"/>
        </w:rPr>
      </w:pPr>
      <w:r w:rsidRPr="005D642E">
        <w:rPr>
          <w:rtl/>
          <w:lang w:bidi="fa-IR"/>
        </w:rPr>
        <w:t>__________________</w:t>
      </w:r>
    </w:p>
    <w:p w:rsidR="00E3253D" w:rsidRPr="005D642E" w:rsidRDefault="006A5A3D" w:rsidP="00E3253D">
      <w:pPr>
        <w:pStyle w:val="libFootnote0"/>
        <w:rPr>
          <w:rtl/>
          <w:lang w:bidi="fa-IR"/>
        </w:rPr>
      </w:pPr>
      <w:r>
        <w:rPr>
          <w:rFonts w:hint="cs"/>
          <w:rtl/>
        </w:rPr>
        <w:t xml:space="preserve">= </w:t>
      </w:r>
      <w:r w:rsidR="00E3253D" w:rsidRPr="005D642E">
        <w:rPr>
          <w:rtl/>
        </w:rPr>
        <w:t xml:space="preserve">ح 1 ؛ </w:t>
      </w:r>
      <w:r w:rsidR="00B60612" w:rsidRPr="00B60612">
        <w:rPr>
          <w:rStyle w:val="libFootnoteBoldChar"/>
          <w:rtl/>
        </w:rPr>
        <w:t>والتهذيب</w:t>
      </w:r>
      <w:r w:rsidR="00E3253D" w:rsidRPr="005D642E">
        <w:rPr>
          <w:rtl/>
        </w:rPr>
        <w:t xml:space="preserve"> ، ج 1 ، ص 366 ، ح 1113.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30 ، ح 79 </w:t>
      </w:r>
      <w:r w:rsidR="00B54449">
        <w:rPr>
          <w:rFonts w:hint="cs"/>
          <w:rtl/>
        </w:rPr>
        <w:t>.</w:t>
      </w:r>
      <w:r w:rsidR="00E3253D" w:rsidRPr="002F4D34">
        <w:rPr>
          <w:rStyle w:val="libFootnoteBoldChar"/>
          <w:rtl/>
        </w:rPr>
        <w:t>الوافي</w:t>
      </w:r>
      <w:r w:rsidR="00E3253D" w:rsidRPr="005D642E">
        <w:rPr>
          <w:rtl/>
        </w:rPr>
        <w:t xml:space="preserve"> ، ج 6 ، ص 59 ، ح 3757 ؛ </w:t>
      </w:r>
      <w:r w:rsidR="00E3253D" w:rsidRPr="002F4D34">
        <w:rPr>
          <w:rStyle w:val="libFootnoteBoldChar"/>
          <w:rtl/>
        </w:rPr>
        <w:t>الوسائل</w:t>
      </w:r>
      <w:r w:rsidR="00E3253D" w:rsidRPr="005D642E">
        <w:rPr>
          <w:rtl/>
        </w:rPr>
        <w:t xml:space="preserve"> ، ج 1 ، ص 207 ، ح 531.</w:t>
      </w:r>
    </w:p>
    <w:tbl>
      <w:tblPr>
        <w:tblStyle w:val="TableGrid"/>
        <w:bidiVisual/>
        <w:tblW w:w="0" w:type="auto"/>
        <w:tblLook w:val="04A0" w:firstRow="1" w:lastRow="0" w:firstColumn="1" w:lastColumn="0" w:noHBand="0" w:noVBand="1"/>
      </w:tblPr>
      <w:tblGrid>
        <w:gridCol w:w="4006"/>
        <w:gridCol w:w="4006"/>
      </w:tblGrid>
      <w:tr w:rsidR="00B54449" w:rsidTr="00B54449">
        <w:tc>
          <w:tcPr>
            <w:tcW w:w="4006" w:type="dxa"/>
          </w:tcPr>
          <w:p w:rsidR="00B54449" w:rsidRDefault="0042621E" w:rsidP="00E3253D">
            <w:pPr>
              <w:pStyle w:val="libFootnote0"/>
              <w:rPr>
                <w:rtl/>
              </w:rPr>
            </w:pPr>
            <w:r w:rsidRPr="0042621E">
              <w:rPr>
                <w:rStyle w:val="libFootnote0Char"/>
                <w:rtl/>
              </w:rPr>
              <w:t>(1).</w:t>
            </w:r>
            <w:r w:rsidR="00B54449">
              <w:rPr>
                <w:rtl/>
              </w:rPr>
              <w:t xml:space="preserve"> </w:t>
            </w:r>
            <w:r w:rsidR="00B54449" w:rsidRPr="005D642E">
              <w:rPr>
                <w:rtl/>
              </w:rPr>
              <w:t>في « جس » : « المواضع التي تكره »</w:t>
            </w:r>
            <w:r w:rsidR="00B54449">
              <w:rPr>
                <w:rtl/>
              </w:rPr>
              <w:t>.</w:t>
            </w:r>
          </w:p>
        </w:tc>
        <w:tc>
          <w:tcPr>
            <w:tcW w:w="4006" w:type="dxa"/>
          </w:tcPr>
          <w:p w:rsidR="00B54449" w:rsidRDefault="0042621E" w:rsidP="00E3253D">
            <w:pPr>
              <w:pStyle w:val="libFootnote0"/>
              <w:rPr>
                <w:rtl/>
              </w:rPr>
            </w:pPr>
            <w:r w:rsidRPr="0042621E">
              <w:rPr>
                <w:rStyle w:val="libFootnote0Char"/>
                <w:rtl/>
              </w:rPr>
              <w:t>(2).</w:t>
            </w:r>
            <w:r w:rsidR="00B54449">
              <w:rPr>
                <w:rtl/>
              </w:rPr>
              <w:t xml:space="preserve"> في «بح</w:t>
            </w:r>
            <w:r w:rsidR="00B54449" w:rsidRPr="005D642E">
              <w:rPr>
                <w:rtl/>
              </w:rPr>
              <w:t>» :</w:t>
            </w:r>
            <w:r w:rsidR="00B54449">
              <w:rPr>
                <w:rtl/>
              </w:rPr>
              <w:t xml:space="preserve"> - </w:t>
            </w:r>
            <w:r w:rsidR="009F10EE">
              <w:rPr>
                <w:rtl/>
              </w:rPr>
              <w:t>«فيه</w:t>
            </w:r>
            <w:r w:rsidR="00B54449" w:rsidRPr="005D642E">
              <w:rPr>
                <w:rtl/>
              </w:rPr>
              <w:t>»</w:t>
            </w:r>
            <w:r w:rsidR="00B54449">
              <w:rPr>
                <w:rtl/>
              </w:rPr>
              <w:t>.</w:t>
            </w:r>
            <w:r w:rsidR="00B54449" w:rsidRPr="005D642E">
              <w:rPr>
                <w:rtl/>
              </w:rPr>
              <w:t xml:space="preserve"> وفي « جس » : « فيها »</w:t>
            </w:r>
            <w:r w:rsidR="00B54449">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أن يرتاد موضعاً لبوله » ، أي يطلب مكاناً ليّناً أو منحدراً ؛ لئلاّ يرجع عليه رشاش بوله ، يقال : رادَ الكَلَأَ يَرُودُهُ رَوْداً ورِياداً ، وارتاد ارتياداً بمعنى ، أي طلبه. راجع : </w:t>
      </w:r>
      <w:r w:rsidR="00E3253D" w:rsidRPr="002F4D34">
        <w:rPr>
          <w:rStyle w:val="libFootnoteBoldChar"/>
          <w:rtl/>
        </w:rPr>
        <w:t>الصحاح</w:t>
      </w:r>
      <w:r w:rsidR="00E3253D" w:rsidRPr="005D642E">
        <w:rPr>
          <w:rtl/>
        </w:rPr>
        <w:t xml:space="preserve"> ، ج 2 ، ص 478 ؛ </w:t>
      </w:r>
      <w:r w:rsidR="00E3253D" w:rsidRPr="002F4D34">
        <w:rPr>
          <w:rStyle w:val="libFootnoteBoldChar"/>
          <w:rtl/>
        </w:rPr>
        <w:t>النهاية</w:t>
      </w:r>
      <w:r w:rsidR="00E3253D" w:rsidRPr="005D642E">
        <w:rPr>
          <w:rtl/>
        </w:rPr>
        <w:t xml:space="preserve"> ، ج 2 ، ص 276 ؛ </w:t>
      </w:r>
      <w:r w:rsidR="00E3253D" w:rsidRPr="002F4D34">
        <w:rPr>
          <w:rStyle w:val="libFootnoteBoldChar"/>
          <w:rtl/>
        </w:rPr>
        <w:t>مجمع البحرين</w:t>
      </w:r>
      <w:r w:rsidR="00E3253D" w:rsidRPr="005D642E">
        <w:rPr>
          <w:rtl/>
        </w:rPr>
        <w:t xml:space="preserve"> ، ج 3 ، ص 56 ( رود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الجعفريّات</w:t>
      </w:r>
      <w:r w:rsidR="00E3253D" w:rsidRPr="005D642E">
        <w:rPr>
          <w:rtl/>
        </w:rPr>
        <w:t xml:space="preserve"> ، ص 13 ؛ </w:t>
      </w:r>
      <w:r w:rsidR="00E3253D">
        <w:rPr>
          <w:rtl/>
        </w:rPr>
        <w:t>و 3</w:t>
      </w:r>
      <w:r w:rsidR="00E3253D" w:rsidRPr="005D642E">
        <w:rPr>
          <w:rtl/>
        </w:rPr>
        <w:t xml:space="preserve">0 ، بسند آخر عن جعفر بن محمّد ، عن آبائه </w:t>
      </w:r>
      <w:r w:rsidR="00E3253D" w:rsidRPr="00921FDC">
        <w:rPr>
          <w:rStyle w:val="libFootnoteAlaemChar"/>
          <w:rtl/>
        </w:rPr>
        <w:t>عليهم‌السلام</w:t>
      </w:r>
      <w:r w:rsidR="00E3253D" w:rsidRPr="005D642E">
        <w:rPr>
          <w:rtl/>
        </w:rPr>
        <w:t xml:space="preserve"> عن رسول الله </w:t>
      </w:r>
      <w:r w:rsidRPr="009F10EE">
        <w:rPr>
          <w:rStyle w:val="libFootnoteAlaemChar"/>
          <w:rtl/>
        </w:rPr>
        <w:t>صلى‌الله‌عليه‌وآله</w:t>
      </w:r>
      <w:r w:rsidR="00E3253D" w:rsidRPr="005D642E">
        <w:rPr>
          <w:rtl/>
        </w:rPr>
        <w:t xml:space="preserve"> ؛ مع زيادة في آخره ؛ </w:t>
      </w:r>
      <w:r w:rsidR="00E3253D" w:rsidRPr="002F4D34">
        <w:rPr>
          <w:rStyle w:val="libFootnoteBoldChar"/>
          <w:rtl/>
        </w:rPr>
        <w:t>التهذيب</w:t>
      </w:r>
      <w:r w:rsidR="00E3253D" w:rsidRPr="005D642E">
        <w:rPr>
          <w:rtl/>
        </w:rPr>
        <w:t xml:space="preserve"> ، ج 1 ، ص 33 ، ضمن ح 86 ، بسند آخر عن الرضا </w:t>
      </w:r>
      <w:r w:rsidR="00E3253D" w:rsidRPr="00921FDC">
        <w:rPr>
          <w:rStyle w:val="libFootnoteAlaemChar"/>
          <w:rtl/>
        </w:rPr>
        <w:t>عليه‌السلام</w:t>
      </w:r>
      <w:r w:rsidR="00E3253D" w:rsidRPr="005D642E">
        <w:rPr>
          <w:rtl/>
        </w:rPr>
        <w:t xml:space="preserve"> ، من دون الإسناد إلى النبيّ </w:t>
      </w:r>
      <w:r w:rsidRPr="009F10EE">
        <w:rPr>
          <w:rStyle w:val="libFootnoteAlaemChar"/>
          <w:rtl/>
        </w:rPr>
        <w:t>صلى‌الله‌عليه‌وآله</w:t>
      </w:r>
      <w:r w:rsidR="00E3253D" w:rsidRPr="005D642E">
        <w:rPr>
          <w:rtl/>
        </w:rPr>
        <w:t xml:space="preserve"> ، وفي كلّها مع اختلاف يسير </w:t>
      </w:r>
      <w:r w:rsidR="00921FDC">
        <w:rPr>
          <w:rFonts w:hint="cs"/>
          <w:rtl/>
        </w:rPr>
        <w:t>.</w:t>
      </w:r>
      <w:r w:rsidR="00E3253D" w:rsidRPr="002F4D34">
        <w:rPr>
          <w:rStyle w:val="libFootnoteBoldChar"/>
          <w:rtl/>
        </w:rPr>
        <w:t>الوافي</w:t>
      </w:r>
      <w:r w:rsidR="00E3253D" w:rsidRPr="005D642E">
        <w:rPr>
          <w:rtl/>
        </w:rPr>
        <w:t xml:space="preserve"> ، ج 6 ، ص 105 ، ح 3854 ؛ </w:t>
      </w:r>
      <w:r w:rsidR="00E3253D" w:rsidRPr="002F4D34">
        <w:rPr>
          <w:rStyle w:val="libFootnoteBoldChar"/>
          <w:rtl/>
        </w:rPr>
        <w:t>الوسائل</w:t>
      </w:r>
      <w:r w:rsidR="00E3253D" w:rsidRPr="005D642E">
        <w:rPr>
          <w:rtl/>
        </w:rPr>
        <w:t xml:space="preserve"> ، ج 1 ، ص 338 ، ح 889.</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تتوضّأ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50 : « قوله </w:t>
      </w:r>
      <w:r w:rsidR="00E3253D" w:rsidRPr="00921FDC">
        <w:rPr>
          <w:rStyle w:val="libFootnoteAlaemChar"/>
          <w:rtl/>
        </w:rPr>
        <w:t>عليه‌السلام</w:t>
      </w:r>
      <w:r w:rsidR="00E3253D" w:rsidRPr="005D642E">
        <w:rPr>
          <w:rtl/>
        </w:rPr>
        <w:t xml:space="preserve"> : يتوضّأ الغرباء ، المراد إمّا التغوّط أو الأعمّ‌منه ومن البول ، والأوّل أظهر. والتخصيص بالغريب لأنّ البلدي يكون له مكان معدّ لذلك غالباً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بخ ، بف ، جس ، جن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 فقال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جح ، جس » </w:t>
      </w:r>
      <w:r w:rsidR="000D749A" w:rsidRPr="000D749A">
        <w:rPr>
          <w:rStyle w:val="libFootnoteBoldChar"/>
          <w:rtl/>
        </w:rPr>
        <w:t>والوافي</w:t>
      </w:r>
      <w:r w:rsidR="00E3253D" w:rsidRPr="005D642E">
        <w:rPr>
          <w:rtl/>
        </w:rPr>
        <w:t xml:space="preserve"> : « تتّقي »</w:t>
      </w:r>
      <w:r w:rsidR="00E3253D">
        <w:rPr>
          <w:rtl/>
        </w:rPr>
        <w:t>.</w:t>
      </w:r>
      <w:r w:rsidR="00E3253D" w:rsidRPr="005D642E">
        <w:rPr>
          <w:rtl/>
        </w:rPr>
        <w:t xml:space="preserve"> وفي الفقيه والمعاني : « يتّقون »</w:t>
      </w:r>
      <w:r w:rsidR="00E3253D">
        <w:rPr>
          <w:rtl/>
        </w:rPr>
        <w:t>.</w:t>
      </w:r>
      <w:r w:rsidR="00E3253D" w:rsidRPr="005D642E">
        <w:rPr>
          <w:rtl/>
        </w:rPr>
        <w:t xml:space="preserve"> والشُطُوط : جمع الشَطّ ، وهو جانب النهر الذي ينتهي إليه حدّ الماء ، وجانب الوادي والسنام ، وكلّ جانب من السنام شطّ. راجع : </w:t>
      </w:r>
      <w:r w:rsidR="00E3253D" w:rsidRPr="002F4D34">
        <w:rPr>
          <w:rStyle w:val="libFootnoteBoldChar"/>
          <w:rtl/>
        </w:rPr>
        <w:t>الصحاح</w:t>
      </w:r>
      <w:r w:rsidR="00E3253D" w:rsidRPr="005D642E">
        <w:rPr>
          <w:rtl/>
        </w:rPr>
        <w:t xml:space="preserve"> ، ج 3 ، ص 1137 ؛ </w:t>
      </w:r>
      <w:r w:rsidR="00E3253D" w:rsidRPr="002F4D34">
        <w:rPr>
          <w:rStyle w:val="libFootnoteBoldChar"/>
          <w:rtl/>
        </w:rPr>
        <w:t>مجمع البحرين</w:t>
      </w:r>
      <w:r w:rsidR="00E3253D" w:rsidRPr="005D642E">
        <w:rPr>
          <w:rtl/>
        </w:rPr>
        <w:t xml:space="preserve"> ، ج 4 ، ص 258 ( شطط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الطريق النافذ ، أي السالك ، من التعوّذ بمعنى القطع والسلوك. وقيل : الطريق النافذ : الذي يُسْلَك وليس </w:t>
      </w:r>
      <w:r w:rsidR="00921FDC">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اللَّعْنِ. فَقِيلَ </w:t>
      </w:r>
      <w:r w:rsidRPr="007C12DB">
        <w:rPr>
          <w:rStyle w:val="libFootnotenumChar"/>
          <w:rtl/>
        </w:rPr>
        <w:t>(1)</w:t>
      </w:r>
      <w:r w:rsidRPr="005D642E">
        <w:rPr>
          <w:rtl/>
          <w:lang w:bidi="fa-IR"/>
        </w:rPr>
        <w:t xml:space="preserve"> لَهُ : وَأَيْنَ مَوَاضِعُ اللَّعْنِ</w:t>
      </w:r>
      <w:r>
        <w:rPr>
          <w:rtl/>
          <w:lang w:bidi="fa-IR"/>
        </w:rPr>
        <w:t>؟</w:t>
      </w:r>
      <w:r w:rsidRPr="005D642E">
        <w:rPr>
          <w:rtl/>
          <w:lang w:bidi="fa-IR"/>
        </w:rPr>
        <w:t xml:space="preserve"> قَالَ : أَبْوَابُ الدُّورِ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B61067">
        <w:rPr>
          <w:rtl/>
        </w:rPr>
        <w:t>3872</w:t>
      </w:r>
      <w:r w:rsidRPr="00246318">
        <w:rPr>
          <w:rStyle w:val="libBold2Char"/>
          <w:rtl/>
        </w:rPr>
        <w:t xml:space="preserve"> / 3.</w:t>
      </w:r>
      <w:r w:rsidRPr="005D642E">
        <w:rPr>
          <w:rtl/>
          <w:lang w:bidi="fa-IR"/>
        </w:rPr>
        <w:t xml:space="preserve"> مُحَمَّدُ بْنُ يَحْيى بِإِسْنَادِهِ رَفَعَهُ ، قَالَ :</w:t>
      </w:r>
    </w:p>
    <w:p w:rsidR="00E3253D" w:rsidRPr="005D642E" w:rsidRDefault="00E3253D" w:rsidP="00E3253D">
      <w:pPr>
        <w:pStyle w:val="libNormal"/>
        <w:rPr>
          <w:rtl/>
          <w:lang w:bidi="fa-IR"/>
        </w:rPr>
      </w:pPr>
      <w:r w:rsidRPr="005D642E">
        <w:rPr>
          <w:rtl/>
          <w:lang w:bidi="fa-IR"/>
        </w:rPr>
        <w:t xml:space="preserve">سُئِلَ أَبُو الْحَسَنِ </w:t>
      </w:r>
      <w:r w:rsidRPr="00AC51C5">
        <w:rPr>
          <w:rStyle w:val="libAlaemChar"/>
          <w:rtl/>
        </w:rPr>
        <w:t>عليه‌السلام</w:t>
      </w:r>
      <w:r w:rsidRPr="005D642E">
        <w:rPr>
          <w:rtl/>
          <w:lang w:bidi="fa-IR"/>
        </w:rPr>
        <w:t xml:space="preserve"> : مَا حَدُّ الْغَائِطِ</w:t>
      </w:r>
      <w:r>
        <w:rPr>
          <w:rtl/>
          <w:lang w:bidi="fa-IR"/>
        </w:rPr>
        <w:t>؟</w:t>
      </w:r>
    </w:p>
    <w:p w:rsidR="00E3253D" w:rsidRPr="005D642E" w:rsidRDefault="00E3253D" w:rsidP="00E3253D">
      <w:pPr>
        <w:pStyle w:val="libNormal"/>
        <w:rPr>
          <w:rtl/>
          <w:lang w:bidi="fa-IR"/>
        </w:rPr>
      </w:pPr>
      <w:r w:rsidRPr="005D642E">
        <w:rPr>
          <w:rtl/>
          <w:lang w:bidi="fa-IR"/>
        </w:rPr>
        <w:t xml:space="preserve">قَالَ : « لَا تَسْتَقْبِلِ الْقِبْلَةَ وَلَاتَسْتَدْبِرْهَا </w:t>
      </w:r>
      <w:r w:rsidRPr="007C12DB">
        <w:rPr>
          <w:rStyle w:val="libFootnotenumChar"/>
          <w:rtl/>
        </w:rPr>
        <w:t>(4)</w:t>
      </w:r>
      <w:r w:rsidRPr="005D642E">
        <w:rPr>
          <w:rtl/>
          <w:lang w:bidi="fa-IR"/>
        </w:rPr>
        <w:t xml:space="preserve"> ، وَلَاتَسْتَقْبِلِ الرِّيحَ وَلَاتَسْتَدْبِرْهَا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322723" w:rsidP="00E3253D">
      <w:pPr>
        <w:pStyle w:val="libNormal"/>
        <w:rPr>
          <w:rtl/>
          <w:lang w:bidi="fa-IR"/>
        </w:rPr>
      </w:pPr>
      <w:r>
        <w:rPr>
          <w:rFonts w:hint="cs"/>
          <w:rtl/>
          <w:lang w:bidi="fa-IR"/>
        </w:rPr>
        <w:t xml:space="preserve">* </w:t>
      </w:r>
      <w:r w:rsidR="00E3253D" w:rsidRPr="005D642E">
        <w:rPr>
          <w:rtl/>
          <w:lang w:bidi="fa-IR"/>
        </w:rPr>
        <w:t xml:space="preserve">وَرُوِيَ أَيْضاً فِي حَدِيثٍ آخَرَ : « لَا تَسْتَقْبِلِ الشَّمْسَ </w:t>
      </w:r>
      <w:r w:rsidR="00E3253D" w:rsidRPr="007C12DB">
        <w:rPr>
          <w:rStyle w:val="libFootnotenumChar"/>
          <w:rtl/>
        </w:rPr>
        <w:t>(7)</w:t>
      </w:r>
      <w:r w:rsidR="00E3253D" w:rsidRPr="005D642E">
        <w:rPr>
          <w:rtl/>
          <w:lang w:bidi="fa-IR"/>
        </w:rPr>
        <w:t xml:space="preserve"> وَلَا</w:t>
      </w:r>
      <w:r w:rsidR="00E3253D">
        <w:rPr>
          <w:rFonts w:hint="cs"/>
          <w:rtl/>
          <w:lang w:bidi="fa-IR"/>
        </w:rPr>
        <w:t xml:space="preserve"> </w:t>
      </w:r>
      <w:r w:rsidR="00E3253D" w:rsidRPr="005D642E">
        <w:rPr>
          <w:rtl/>
          <w:lang w:bidi="fa-IR"/>
        </w:rPr>
        <w:t>الْقَمَرَ »</w:t>
      </w:r>
      <w:r w:rsidR="00E3253D">
        <w:rPr>
          <w:rtl/>
          <w:lang w:bidi="fa-IR"/>
        </w:rPr>
        <w:t>.</w:t>
      </w:r>
      <w:r w:rsidR="00E3253D" w:rsidRPr="005D642E">
        <w:rPr>
          <w:rtl/>
          <w:lang w:bidi="fa-IR"/>
        </w:rPr>
        <w:t xml:space="preserve"> </w:t>
      </w:r>
      <w:r w:rsidR="00E3253D" w:rsidRPr="007C12DB">
        <w:rPr>
          <w:rStyle w:val="libFootnotenumChar"/>
          <w:rtl/>
        </w:rPr>
        <w:t>(8)</w:t>
      </w:r>
      <w:r w:rsidR="00E3253D" w:rsidRPr="005D642E">
        <w:rPr>
          <w:rtl/>
          <w:lang w:bidi="fa-IR"/>
        </w:rPr>
        <w:t xml:space="preserve"> ‌</w:t>
      </w:r>
    </w:p>
    <w:p w:rsidR="00E3253D" w:rsidRPr="005D642E" w:rsidRDefault="00E3253D" w:rsidP="00E3253D">
      <w:pPr>
        <w:pStyle w:val="libNormal"/>
        <w:rPr>
          <w:rtl/>
          <w:lang w:bidi="fa-IR"/>
        </w:rPr>
      </w:pPr>
      <w:r w:rsidRPr="00B61067">
        <w:rPr>
          <w:rtl/>
        </w:rPr>
        <w:t>3873</w:t>
      </w:r>
      <w:r w:rsidRPr="00246318">
        <w:rPr>
          <w:rStyle w:val="libBold2Char"/>
          <w:rtl/>
        </w:rPr>
        <w:t xml:space="preserve"> / 4.</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نَهَى النَّبِيُّ </w:t>
      </w:r>
      <w:r w:rsidR="0042621E" w:rsidRPr="0042621E">
        <w:rPr>
          <w:rStyle w:val="libAlaemChar"/>
          <w:rtl/>
        </w:rPr>
        <w:t>صلى‌الله‌عليه‌وآله</w:t>
      </w:r>
      <w:r w:rsidRPr="005D642E">
        <w:rPr>
          <w:rtl/>
          <w:lang w:bidi="fa-IR"/>
        </w:rPr>
        <w:t xml:space="preserve"> أَنْ يُطَمِّحَ </w:t>
      </w:r>
      <w:r w:rsidRPr="007C12DB">
        <w:rPr>
          <w:rStyle w:val="libFootnotenumChar"/>
          <w:rtl/>
        </w:rPr>
        <w:t>(9)</w:t>
      </w:r>
      <w:r w:rsidRPr="005D642E">
        <w:rPr>
          <w:rtl/>
          <w:lang w:bidi="fa-IR"/>
        </w:rPr>
        <w:t xml:space="preserve"> الرَّجُلُ بِبَوْلِهِ مِنَ السَّطْحِ ،</w:t>
      </w:r>
    </w:p>
    <w:p w:rsidR="00E3253D" w:rsidRPr="005D642E" w:rsidRDefault="00E3253D" w:rsidP="00E3253D">
      <w:pPr>
        <w:pStyle w:val="libLine"/>
        <w:rPr>
          <w:rtl/>
          <w:lang w:bidi="fa-IR"/>
        </w:rPr>
      </w:pPr>
      <w:r w:rsidRPr="005D642E">
        <w:rPr>
          <w:rtl/>
          <w:lang w:bidi="fa-IR"/>
        </w:rPr>
        <w:t>__________________</w:t>
      </w:r>
    </w:p>
    <w:p w:rsidR="00E3253D" w:rsidRPr="005D642E" w:rsidRDefault="00322723" w:rsidP="00E3253D">
      <w:pPr>
        <w:pStyle w:val="libFootnote0"/>
        <w:rPr>
          <w:rtl/>
          <w:lang w:bidi="fa-IR"/>
        </w:rPr>
      </w:pPr>
      <w:r>
        <w:rPr>
          <w:rFonts w:hint="cs"/>
          <w:rtl/>
        </w:rPr>
        <w:t xml:space="preserve">= </w:t>
      </w:r>
      <w:r w:rsidR="00E3253D" w:rsidRPr="005D642E">
        <w:rPr>
          <w:rtl/>
        </w:rPr>
        <w:t>بمسدود بين خاصّة دون عامّة يسلكونه ، أي يجوزه كلّ أحد ليس بين</w:t>
      </w:r>
      <w:r w:rsidR="00DF77FC">
        <w:rPr>
          <w:rtl/>
        </w:rPr>
        <w:t xml:space="preserve"> قوم خاصّ دون عامّة. وقال العل</w:t>
      </w:r>
      <w:r w:rsidR="00DF77FC">
        <w:rPr>
          <w:rFonts w:hint="cs"/>
          <w:rtl/>
        </w:rPr>
        <w:t>ّ</w:t>
      </w:r>
      <w:r w:rsidR="00DF77FC">
        <w:rPr>
          <w:rtl/>
        </w:rPr>
        <w:t>ا</w:t>
      </w:r>
      <w:r w:rsidR="00E3253D" w:rsidRPr="005D642E">
        <w:rPr>
          <w:rtl/>
        </w:rPr>
        <w:t>مة المجلسي : « الطرق النافذة ، أي المسلوكة لا المتروكة »</w:t>
      </w:r>
      <w:r w:rsidR="00E3253D">
        <w:rPr>
          <w:rtl/>
        </w:rPr>
        <w:t>.</w:t>
      </w:r>
      <w:r w:rsidR="00E3253D" w:rsidRPr="005D642E">
        <w:rPr>
          <w:rtl/>
        </w:rPr>
        <w:t xml:space="preserve"> راجع : </w:t>
      </w:r>
      <w:r w:rsidR="00E3253D" w:rsidRPr="002F4D34">
        <w:rPr>
          <w:rStyle w:val="libFootnoteBoldChar"/>
          <w:rtl/>
        </w:rPr>
        <w:t>ترتيب كتاب العين</w:t>
      </w:r>
      <w:r w:rsidR="00E3253D" w:rsidRPr="005D642E">
        <w:rPr>
          <w:rtl/>
        </w:rPr>
        <w:t xml:space="preserve"> ، ج 3 ، ص 1821 ؛ </w:t>
      </w:r>
      <w:r w:rsidR="00E3253D" w:rsidRPr="002F4D34">
        <w:rPr>
          <w:rStyle w:val="libFootnoteBoldChar"/>
          <w:rtl/>
        </w:rPr>
        <w:t>لسان العرب</w:t>
      </w:r>
      <w:r w:rsidR="00E3253D" w:rsidRPr="005D642E">
        <w:rPr>
          <w:rtl/>
        </w:rPr>
        <w:t xml:space="preserve"> ، ج 3 ، ص 516</w:t>
      </w:r>
      <w:r w:rsidR="00E3253D">
        <w:rPr>
          <w:rtl/>
        </w:rPr>
        <w:t xml:space="preserve"> </w:t>
      </w:r>
      <w:r w:rsidR="007642BC">
        <w:rPr>
          <w:rtl/>
        </w:rPr>
        <w:t>-</w:t>
      </w:r>
      <w:r w:rsidR="00E3253D">
        <w:rPr>
          <w:rtl/>
        </w:rPr>
        <w:t xml:space="preserve"> </w:t>
      </w:r>
      <w:r w:rsidR="00E3253D" w:rsidRPr="005D642E">
        <w:rPr>
          <w:rtl/>
        </w:rPr>
        <w:t>517 ( نفذ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بف ، جس » </w:t>
      </w:r>
      <w:r w:rsidR="00B60612" w:rsidRPr="00B60612">
        <w:rPr>
          <w:rStyle w:val="libFootnoteBoldChar"/>
          <w:rtl/>
        </w:rPr>
        <w:t>والتهذيب</w:t>
      </w:r>
      <w:r w:rsidR="00E3253D" w:rsidRPr="005D642E">
        <w:rPr>
          <w:rtl/>
        </w:rPr>
        <w:t xml:space="preserve"> والمعاني : « قيل »</w:t>
      </w:r>
      <w:r w:rsidR="00E3253D">
        <w:rPr>
          <w:rtl/>
        </w:rPr>
        <w:t>.</w:t>
      </w:r>
      <w:r w:rsidR="00E3253D" w:rsidRPr="005D642E">
        <w:rPr>
          <w:rtl/>
        </w:rPr>
        <w:t xml:space="preserve"> وفي « جن » : « فقال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5C0FD7">
        <w:rPr>
          <w:rStyle w:val="libFootnoteAlaemChar"/>
          <w:rtl/>
        </w:rPr>
        <w:t>عليه‌السلام</w:t>
      </w:r>
      <w:r w:rsidR="00E3253D" w:rsidRPr="005D642E">
        <w:rPr>
          <w:rtl/>
        </w:rPr>
        <w:t xml:space="preserve"> : أبواب الدور ، يمكن أن يكون ذكر هذا على سبيل المثال ويكون عامّاً في كلّ ما يتأذّى به الناس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30 ، ح 78 ، بسنده عن الكليني. </w:t>
      </w:r>
      <w:r w:rsidR="00E3253D" w:rsidRPr="002F4D34">
        <w:rPr>
          <w:rStyle w:val="libFootnoteBoldChar"/>
          <w:rtl/>
        </w:rPr>
        <w:t>معاني الأخبار</w:t>
      </w:r>
      <w:r w:rsidR="00E3253D" w:rsidRPr="005D642E">
        <w:rPr>
          <w:rtl/>
        </w:rPr>
        <w:t xml:space="preserve"> ، ص 368 ، ح 1 ، بسند آخر عن عليّ بن الحسين </w:t>
      </w:r>
      <w:r w:rsidR="00E3253D" w:rsidRPr="005C0FD7">
        <w:rPr>
          <w:rStyle w:val="libFootnoteAlaemChar"/>
          <w:rtl/>
        </w:rPr>
        <w:t>عليهما‌السلام</w:t>
      </w:r>
      <w:r w:rsidR="00E3253D" w:rsidRPr="005D642E">
        <w:rPr>
          <w:rtl/>
        </w:rPr>
        <w:t xml:space="preserve">. </w:t>
      </w:r>
      <w:r w:rsidR="00E3253D" w:rsidRPr="002F4D34">
        <w:rPr>
          <w:rStyle w:val="libFootnoteBoldChar"/>
          <w:rtl/>
        </w:rPr>
        <w:t>الفقيه</w:t>
      </w:r>
      <w:r w:rsidR="00E3253D" w:rsidRPr="005D642E">
        <w:rPr>
          <w:rtl/>
        </w:rPr>
        <w:t xml:space="preserve"> ، ج 1 ، ص 25 ، ح 44 ، مرسلاً عن عليّ بن الحسين </w:t>
      </w:r>
      <w:r w:rsidR="00E3253D" w:rsidRPr="005C0FD7">
        <w:rPr>
          <w:rStyle w:val="libFootnoteAlaemChar"/>
          <w:rtl/>
        </w:rPr>
        <w:t>عليهما‌السلام</w:t>
      </w:r>
      <w:r w:rsidR="00E3253D" w:rsidRPr="005D642E">
        <w:rPr>
          <w:rtl/>
        </w:rPr>
        <w:t xml:space="preserve"> </w:t>
      </w:r>
      <w:r w:rsidR="005C0FD7">
        <w:rPr>
          <w:rFonts w:hint="cs"/>
          <w:rtl/>
        </w:rPr>
        <w:t>.</w:t>
      </w:r>
      <w:r w:rsidR="00E3253D" w:rsidRPr="002F4D34">
        <w:rPr>
          <w:rStyle w:val="libFootnoteBoldChar"/>
          <w:rtl/>
        </w:rPr>
        <w:t>الوافي</w:t>
      </w:r>
      <w:r w:rsidR="00E3253D" w:rsidRPr="005D642E">
        <w:rPr>
          <w:rtl/>
        </w:rPr>
        <w:t xml:space="preserve"> ، ج 6 ، ص 106 ، ح 3859 ؛ </w:t>
      </w:r>
      <w:r w:rsidR="00E3253D" w:rsidRPr="002F4D34">
        <w:rPr>
          <w:rStyle w:val="libFootnoteBoldChar"/>
          <w:rtl/>
        </w:rPr>
        <w:t>الوسائل</w:t>
      </w:r>
      <w:r w:rsidR="00E3253D" w:rsidRPr="005D642E">
        <w:rPr>
          <w:rtl/>
        </w:rPr>
        <w:t xml:space="preserve"> ، ج 1 ، ص 324 ، ح 852.</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جس » : « لا يستدبرها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اختلف الأصحاب في تحريم الاستقبال والاستدبار على المتخلّي</w:t>
      </w:r>
      <w:r w:rsidR="00E3253D">
        <w:rPr>
          <w:rtl/>
        </w:rPr>
        <w:t xml:space="preserve"> ..</w:t>
      </w:r>
      <w:r w:rsidR="00E3253D" w:rsidRPr="005D642E">
        <w:rPr>
          <w:rtl/>
        </w:rPr>
        <w:t>. ثمّ الخبر يدلّ على المنع من استقبال الريح واستدبارها وحمل على الكراهة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26 ، ح 4 ؛ وص 33 ، ح 88 ؛ </w:t>
      </w:r>
      <w:r w:rsidR="00E3253D" w:rsidRPr="00E678B5">
        <w:rPr>
          <w:rStyle w:val="libFootnoteBoldChar"/>
          <w:rtl/>
        </w:rPr>
        <w:t>والاستبصار</w:t>
      </w:r>
      <w:r w:rsidR="00E3253D" w:rsidRPr="005D642E">
        <w:rPr>
          <w:rtl/>
        </w:rPr>
        <w:t xml:space="preserve"> ، ج 1 ، ص 47 ، ح 131 ، بسند آخر عن الحسن بن عليّ </w:t>
      </w:r>
      <w:r w:rsidR="00E3253D" w:rsidRPr="005C0FD7">
        <w:rPr>
          <w:rStyle w:val="libFootnoteAlaemChar"/>
          <w:rtl/>
        </w:rPr>
        <w:t>عليهما‌السلام</w:t>
      </w:r>
      <w:r w:rsidR="00E3253D" w:rsidRPr="005D642E">
        <w:rPr>
          <w:rtl/>
        </w:rPr>
        <w:t xml:space="preserve">. </w:t>
      </w:r>
      <w:r w:rsidR="00E3253D" w:rsidRPr="002F4D34">
        <w:rPr>
          <w:rStyle w:val="libFootnoteBoldChar"/>
          <w:rtl/>
        </w:rPr>
        <w:t>الفقيه</w:t>
      </w:r>
      <w:r w:rsidR="00E3253D" w:rsidRPr="005D642E">
        <w:rPr>
          <w:rtl/>
        </w:rPr>
        <w:t xml:space="preserve"> ، ج 1 ، ص 26 ، ح 47 ، مرسلاً عن الحسن بن عليّ </w:t>
      </w:r>
      <w:r w:rsidR="00E3253D" w:rsidRPr="005C0FD7">
        <w:rPr>
          <w:rStyle w:val="libFootnoteAlaemChar"/>
          <w:rtl/>
        </w:rPr>
        <w:t>عليهما‌السلام</w:t>
      </w:r>
      <w:r w:rsidR="00E3253D" w:rsidRPr="005D642E">
        <w:rPr>
          <w:rtl/>
        </w:rPr>
        <w:t xml:space="preserve"> </w:t>
      </w:r>
      <w:r w:rsidR="005C0FD7">
        <w:rPr>
          <w:rFonts w:hint="cs"/>
          <w:rtl/>
        </w:rPr>
        <w:t>.</w:t>
      </w:r>
      <w:r w:rsidR="00E3253D" w:rsidRPr="002F4D34">
        <w:rPr>
          <w:rStyle w:val="libFootnoteBoldChar"/>
          <w:rtl/>
        </w:rPr>
        <w:t>الوافي</w:t>
      </w:r>
      <w:r w:rsidR="00E3253D" w:rsidRPr="005D642E">
        <w:rPr>
          <w:rtl/>
        </w:rPr>
        <w:t xml:space="preserve"> ، ج 6 ، ص 107 ، ح 3861 ؛ </w:t>
      </w:r>
      <w:r w:rsidR="00E3253D" w:rsidRPr="002F4D34">
        <w:rPr>
          <w:rStyle w:val="libFootnoteBoldChar"/>
          <w:rtl/>
        </w:rPr>
        <w:t>الوسائل</w:t>
      </w:r>
      <w:r w:rsidR="00E3253D" w:rsidRPr="005D642E">
        <w:rPr>
          <w:rtl/>
        </w:rPr>
        <w:t xml:space="preserve"> ، ج 1 ، ص 301 ، ح 791.</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 ولا تستدبرها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الفقيه</w:t>
      </w:r>
      <w:r w:rsidR="00E3253D" w:rsidRPr="005D642E">
        <w:rPr>
          <w:rtl/>
        </w:rPr>
        <w:t xml:space="preserve"> ، ج 1 ، ص 26 ، ح 48 ، تمام الرواية فيه : « وفي خبر آخر : لاتستقبل الهلال ولاتستدبره » </w:t>
      </w:r>
      <w:r w:rsidR="005C0FD7">
        <w:rPr>
          <w:rFonts w:hint="cs"/>
          <w:rtl/>
        </w:rPr>
        <w:t>.</w:t>
      </w:r>
      <w:r w:rsidR="00E3253D" w:rsidRPr="002F4D34">
        <w:rPr>
          <w:rStyle w:val="libFootnoteBoldChar"/>
          <w:rtl/>
        </w:rPr>
        <w:t>الوافي</w:t>
      </w:r>
      <w:r w:rsidR="00E3253D" w:rsidRPr="005D642E">
        <w:rPr>
          <w:rtl/>
        </w:rPr>
        <w:t xml:space="preserve"> ، ج 6 ، ص 107 ، ح 3862 ؛ </w:t>
      </w:r>
      <w:r w:rsidR="00E3253D" w:rsidRPr="002F4D34">
        <w:rPr>
          <w:rStyle w:val="libFootnoteBoldChar"/>
          <w:rtl/>
        </w:rPr>
        <w:t>الوسائل</w:t>
      </w:r>
      <w:r w:rsidR="00E3253D" w:rsidRPr="005D642E">
        <w:rPr>
          <w:rtl/>
        </w:rPr>
        <w:t xml:space="preserve"> ، ج 1 ، ص 343 ، ح 906.</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طَمَحَ ببوله ، كمنع ، وطَمَّحَ ببوله وبالشي‌ء تطميحاً في الهواء ، أي رمى به في الهواء ، وطَمَّحَ بولَه تطميحاً ، أي‌باله في الهواء. راجع : </w:t>
      </w:r>
      <w:r w:rsidR="00E3253D" w:rsidRPr="002F4D34">
        <w:rPr>
          <w:rStyle w:val="libFootnoteBoldChar"/>
          <w:rtl/>
        </w:rPr>
        <w:t>ترتيب كتاب العين</w:t>
      </w:r>
      <w:r w:rsidR="00E3253D" w:rsidRPr="005D642E">
        <w:rPr>
          <w:rtl/>
        </w:rPr>
        <w:t xml:space="preserve"> ، ج 2 ، ص 1093 ؛ </w:t>
      </w:r>
      <w:r w:rsidR="00E3253D" w:rsidRPr="002F4D34">
        <w:rPr>
          <w:rStyle w:val="libFootnoteBoldChar"/>
          <w:rtl/>
        </w:rPr>
        <w:t>الصحاح</w:t>
      </w:r>
      <w:r w:rsidR="00E3253D" w:rsidRPr="005D642E">
        <w:rPr>
          <w:rtl/>
        </w:rPr>
        <w:t xml:space="preserve"> ، ج 1 ، ص 389 ( طمح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أَوْ </w:t>
      </w:r>
      <w:r w:rsidRPr="007C12DB">
        <w:rPr>
          <w:rStyle w:val="libFootnotenumChar"/>
          <w:rtl/>
        </w:rPr>
        <w:t>(1)</w:t>
      </w:r>
      <w:r w:rsidRPr="005D642E">
        <w:rPr>
          <w:rtl/>
          <w:lang w:bidi="fa-IR"/>
        </w:rPr>
        <w:t xml:space="preserve"> مِنَ الشَّيْ‌ءِ الْمُرْتَفِعِ فِي الْهَوَاءِ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61067">
        <w:rPr>
          <w:rtl/>
        </w:rPr>
        <w:t>3874</w:t>
      </w:r>
      <w:r w:rsidRPr="00246318">
        <w:rPr>
          <w:rStyle w:val="libBold2Char"/>
          <w:rtl/>
        </w:rPr>
        <w:t xml:space="preserve"> / 5.</w:t>
      </w:r>
      <w:r w:rsidRPr="005D642E">
        <w:rPr>
          <w:rtl/>
          <w:lang w:bidi="fa-IR"/>
        </w:rPr>
        <w:t xml:space="preserve"> عَلِيُّ بْنِ إِبْرَاهِيمَ رَفَعَهُ ، قَالَ :</w:t>
      </w:r>
    </w:p>
    <w:p w:rsidR="00E3253D" w:rsidRPr="005D642E" w:rsidRDefault="00E3253D" w:rsidP="00E3253D">
      <w:pPr>
        <w:pStyle w:val="libNormal"/>
        <w:rPr>
          <w:rtl/>
          <w:lang w:bidi="fa-IR"/>
        </w:rPr>
      </w:pPr>
      <w:r w:rsidRPr="005D642E">
        <w:rPr>
          <w:rtl/>
          <w:lang w:bidi="fa-IR"/>
        </w:rPr>
        <w:t xml:space="preserve">خَرَجَ أَبُو حَنِيفَةَ مِنْ عِنْدِ أَبِي عَبْدِ اللهِ </w:t>
      </w:r>
      <w:r w:rsidRPr="00AC51C5">
        <w:rPr>
          <w:rStyle w:val="libAlaemChar"/>
          <w:rtl/>
        </w:rPr>
        <w:t>عليه‌السلام</w:t>
      </w:r>
      <w:r w:rsidRPr="005D642E">
        <w:rPr>
          <w:rtl/>
          <w:lang w:bidi="fa-IR"/>
        </w:rPr>
        <w:t xml:space="preserve"> وَأَبُو الْحَسَنِ مُوسى </w:t>
      </w:r>
      <w:r w:rsidRPr="00AC51C5">
        <w:rPr>
          <w:rStyle w:val="libAlaemChar"/>
          <w:rtl/>
        </w:rPr>
        <w:t>عليه‌السلام</w:t>
      </w:r>
      <w:r w:rsidRPr="005D642E">
        <w:rPr>
          <w:rtl/>
          <w:lang w:bidi="fa-IR"/>
        </w:rPr>
        <w:t xml:space="preserve"> قَائِمٌ وَهُوَ غُلَامٌ ، فَقَالَ لَهُ أَبُو حَنِيفَةَ : يَا غُلَامُ ، أَيْنَ يَضَعُ الْغَرِيبُ بِبَلَدِكُمْ</w:t>
      </w:r>
      <w:r>
        <w:rPr>
          <w:rtl/>
          <w:lang w:bidi="fa-IR"/>
        </w:rPr>
        <w:t>؟</w:t>
      </w:r>
    </w:p>
    <w:p w:rsidR="00E3253D" w:rsidRPr="005D642E" w:rsidRDefault="00E3253D" w:rsidP="00E3253D">
      <w:pPr>
        <w:pStyle w:val="libNormal"/>
        <w:rPr>
          <w:rtl/>
          <w:lang w:bidi="fa-IR"/>
        </w:rPr>
      </w:pPr>
      <w:r w:rsidRPr="005D642E">
        <w:rPr>
          <w:rtl/>
          <w:lang w:bidi="fa-IR"/>
        </w:rPr>
        <w:t xml:space="preserve">فَقَالَ : « اجْتَنِبْ </w:t>
      </w:r>
      <w:r w:rsidRPr="007C12DB">
        <w:rPr>
          <w:rStyle w:val="libFootnotenumChar"/>
          <w:rtl/>
        </w:rPr>
        <w:t>(3)</w:t>
      </w:r>
      <w:r w:rsidRPr="005D642E">
        <w:rPr>
          <w:rtl/>
          <w:lang w:bidi="fa-IR"/>
        </w:rPr>
        <w:t xml:space="preserve"> أَفْنِيَةَ الْمَسَاجِدِ </w:t>
      </w:r>
      <w:r w:rsidRPr="007C12DB">
        <w:rPr>
          <w:rStyle w:val="libFootnotenumChar"/>
          <w:rtl/>
        </w:rPr>
        <w:t>(4)</w:t>
      </w:r>
      <w:r w:rsidRPr="005D642E">
        <w:rPr>
          <w:rtl/>
          <w:lang w:bidi="fa-IR"/>
        </w:rPr>
        <w:t xml:space="preserve"> ، وَشُطُوطَ الْأَنْهَارِ ، وَمَسَاقِطَ الثِّمَارِ ، وَمَنَازِلَ النُّزَّالِ </w:t>
      </w:r>
      <w:r w:rsidRPr="007C12DB">
        <w:rPr>
          <w:rStyle w:val="libFootnotenumChar"/>
          <w:rtl/>
        </w:rPr>
        <w:t>(5)</w:t>
      </w:r>
      <w:r w:rsidRPr="005D642E">
        <w:rPr>
          <w:rtl/>
          <w:lang w:bidi="fa-IR"/>
        </w:rPr>
        <w:t xml:space="preserve"> ، وَلَاتَسْتَقْبِلِ الْقِبْلَةَ بِغَائِطٍ وَلَابَوْلٍ </w:t>
      </w:r>
      <w:r w:rsidRPr="007C12DB">
        <w:rPr>
          <w:rStyle w:val="libFootnotenumChar"/>
          <w:rtl/>
        </w:rPr>
        <w:t>(6)</w:t>
      </w:r>
      <w:r w:rsidRPr="005D642E">
        <w:rPr>
          <w:rtl/>
          <w:lang w:bidi="fa-IR"/>
        </w:rPr>
        <w:t xml:space="preserve"> ، وَارْفَعْ ثَوْبَكَ ، وَضَعْ حَيْثُ شِئْتَ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B61067">
        <w:rPr>
          <w:rtl/>
        </w:rPr>
        <w:t>3875</w:t>
      </w:r>
      <w:r w:rsidRPr="00246318">
        <w:rPr>
          <w:rStyle w:val="libBold2Char"/>
          <w:rtl/>
        </w:rPr>
        <w:t xml:space="preserve"> / 6.</w:t>
      </w:r>
      <w:r w:rsidRPr="005D642E">
        <w:rPr>
          <w:rtl/>
          <w:lang w:bidi="fa-IR"/>
        </w:rPr>
        <w:t xml:space="preserve"> مُحَمَّدُ بْنُ يَحْيى ، عَنْ مُحَمَّدِ بْنِ الْحُسَيْنِ ، عَنْ مُحَمَّدِ بْنِ إِسْمَاعِيلَ </w:t>
      </w:r>
      <w:r w:rsidRPr="007C12DB">
        <w:rPr>
          <w:rStyle w:val="libFootnotenumChar"/>
          <w:rtl/>
        </w:rPr>
        <w:t>(8)</w:t>
      </w:r>
      <w:r w:rsidRPr="005D642E">
        <w:rPr>
          <w:rtl/>
          <w:lang w:bidi="fa-IR"/>
        </w:rPr>
        <w:t xml:space="preserve"> ، عَنْ صَالِحِ بْنِ عُقْبَةَ ، عَنْ إِبْرَاهِيمَ الْكَرْخِيِّ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الوسائل : « </w:t>
      </w:r>
      <w:r w:rsidR="00E3253D">
        <w:rPr>
          <w:rtl/>
        </w:rPr>
        <w:t>و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الجعفريّات</w:t>
      </w:r>
      <w:r w:rsidR="00E3253D" w:rsidRPr="005D642E">
        <w:rPr>
          <w:rtl/>
        </w:rPr>
        <w:t xml:space="preserve"> ، ص 13 ، وص 30 ، بسند آخر عن جعفر بن محمّد ، عن آبائه </w:t>
      </w:r>
      <w:r w:rsidR="00E3253D" w:rsidRPr="005C0FD7">
        <w:rPr>
          <w:rStyle w:val="libFootnoteAlaemChar"/>
          <w:rtl/>
        </w:rPr>
        <w:t>عليهم‌السلام</w:t>
      </w:r>
      <w:r w:rsidR="00E3253D" w:rsidRPr="005D642E">
        <w:rPr>
          <w:rtl/>
        </w:rPr>
        <w:t xml:space="preserve"> عن رسول الله </w:t>
      </w:r>
      <w:r w:rsidRPr="009F10EE">
        <w:rPr>
          <w:rStyle w:val="libFootnoteAlaemChar"/>
          <w:rtl/>
        </w:rPr>
        <w:t>صلى‌الله‌عليه‌وآله</w:t>
      </w:r>
      <w:r w:rsidR="00E3253D" w:rsidRPr="005D642E">
        <w:rPr>
          <w:rtl/>
        </w:rPr>
        <w:t xml:space="preserve"> ؛ </w:t>
      </w:r>
      <w:r w:rsidR="00E3253D" w:rsidRPr="002F4D34">
        <w:rPr>
          <w:rStyle w:val="libFootnoteBoldChar"/>
          <w:rtl/>
        </w:rPr>
        <w:t>التهذيب</w:t>
      </w:r>
      <w:r w:rsidR="00E3253D" w:rsidRPr="005D642E">
        <w:rPr>
          <w:rtl/>
        </w:rPr>
        <w:t xml:space="preserve"> ، ج 1 ، ص 352 ، ح 1045 ، وفي كلّها مع اختلاف يسير ؛ </w:t>
      </w:r>
      <w:r w:rsidR="00E3253D" w:rsidRPr="002F4D34">
        <w:rPr>
          <w:rStyle w:val="libFootnoteBoldChar"/>
          <w:rtl/>
        </w:rPr>
        <w:t>الخصال</w:t>
      </w:r>
      <w:r w:rsidR="00E3253D" w:rsidRPr="005D642E">
        <w:rPr>
          <w:rtl/>
        </w:rPr>
        <w:t xml:space="preserve"> ، ص 612 ، أبواب الثمانين وما فوقه ، ضمن الحديث الطويل 10 ، مع اختلاف ، وفيهما بسند آخر عن أبي عبدالله ، عن أميرالمؤمنين </w:t>
      </w:r>
      <w:r w:rsidR="00E3253D" w:rsidRPr="005C0FD7">
        <w:rPr>
          <w:rStyle w:val="libFootnoteAlaemChar"/>
          <w:rtl/>
        </w:rPr>
        <w:t>عليهما‌السلام</w:t>
      </w:r>
      <w:r w:rsidR="00E3253D" w:rsidRPr="005D642E">
        <w:rPr>
          <w:rtl/>
        </w:rPr>
        <w:t xml:space="preserve"> عن رسول الله </w:t>
      </w:r>
      <w:r w:rsidRPr="009F10EE">
        <w:rPr>
          <w:rStyle w:val="libFootnoteAlaemChar"/>
          <w:rtl/>
        </w:rPr>
        <w:t>صلى‌الله‌عليه‌وآله</w:t>
      </w:r>
      <w:r w:rsidR="00E3253D" w:rsidRPr="005D642E">
        <w:rPr>
          <w:rtl/>
        </w:rPr>
        <w:t xml:space="preserve">. </w:t>
      </w:r>
      <w:r w:rsidR="00E3253D" w:rsidRPr="002F4D34">
        <w:rPr>
          <w:rStyle w:val="libFootnoteBoldChar"/>
          <w:rtl/>
        </w:rPr>
        <w:t>الفقيه</w:t>
      </w:r>
      <w:r w:rsidR="00E3253D" w:rsidRPr="005D642E">
        <w:rPr>
          <w:rtl/>
        </w:rPr>
        <w:t xml:space="preserve"> ، ج 1 ، ص 27 ، ح 50 ، مرسلاً عن رسول الله </w:t>
      </w:r>
      <w:r w:rsidRPr="009F10EE">
        <w:rPr>
          <w:rStyle w:val="libFootnoteAlaemChar"/>
          <w:rtl/>
        </w:rPr>
        <w:t>صلى‌الله‌عليه‌وآله</w:t>
      </w:r>
      <w:r w:rsidR="00E3253D" w:rsidRPr="005D642E">
        <w:rPr>
          <w:rtl/>
        </w:rPr>
        <w:t xml:space="preserve"> ، مع اختلاف يسير. </w:t>
      </w:r>
      <w:r w:rsidR="00E3253D" w:rsidRPr="002F4D34">
        <w:rPr>
          <w:rStyle w:val="libFootnoteBoldChar"/>
          <w:rtl/>
        </w:rPr>
        <w:t>تحف العقول</w:t>
      </w:r>
      <w:r w:rsidR="00E3253D" w:rsidRPr="005D642E">
        <w:rPr>
          <w:rtl/>
        </w:rPr>
        <w:t xml:space="preserve"> ، ص 100 ، ضمن الحديث الطويل ، عن أميرالمؤمنين </w:t>
      </w:r>
      <w:r w:rsidR="00E3253D" w:rsidRPr="005C0FD7">
        <w:rPr>
          <w:rStyle w:val="libFootnoteAlaemChar"/>
          <w:rtl/>
        </w:rPr>
        <w:t>عليه‌السلام</w:t>
      </w:r>
      <w:r w:rsidR="00E3253D" w:rsidRPr="005D642E">
        <w:rPr>
          <w:rtl/>
        </w:rPr>
        <w:t xml:space="preserve"> ، مع اختلاف </w:t>
      </w:r>
      <w:r w:rsidR="005C0FD7">
        <w:rPr>
          <w:rFonts w:hint="cs"/>
          <w:rtl/>
        </w:rPr>
        <w:t>.</w:t>
      </w:r>
      <w:r w:rsidR="00E3253D" w:rsidRPr="002F4D34">
        <w:rPr>
          <w:rStyle w:val="libFootnoteBoldChar"/>
          <w:rtl/>
        </w:rPr>
        <w:t>الوافي</w:t>
      </w:r>
      <w:r w:rsidR="00E3253D" w:rsidRPr="005D642E">
        <w:rPr>
          <w:rtl/>
        </w:rPr>
        <w:t xml:space="preserve"> ، ج 6 ، ص 106 ، ح 3857 ؛ </w:t>
      </w:r>
      <w:r w:rsidR="00E3253D" w:rsidRPr="002F4D34">
        <w:rPr>
          <w:rStyle w:val="libFootnoteBoldChar"/>
          <w:rtl/>
        </w:rPr>
        <w:t>الوسائل</w:t>
      </w:r>
      <w:r w:rsidR="00E3253D" w:rsidRPr="005D642E">
        <w:rPr>
          <w:rtl/>
        </w:rPr>
        <w:t xml:space="preserve"> ، ج 1 ، ص 351 ، ح 932.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بح » : « ا</w:t>
      </w:r>
      <w:r w:rsidR="005C0FD7">
        <w:rPr>
          <w:rFonts w:hint="cs"/>
          <w:rtl/>
        </w:rPr>
        <w:t>ُ</w:t>
      </w:r>
      <w:r w:rsidR="00E3253D" w:rsidRPr="005D642E">
        <w:rPr>
          <w:rtl/>
        </w:rPr>
        <w:t>جنب »</w:t>
      </w:r>
      <w:r w:rsidR="00E3253D">
        <w:rPr>
          <w:rtl/>
        </w:rPr>
        <w:t>.</w:t>
      </w:r>
      <w:r w:rsidR="00E3253D" w:rsidRPr="005D642E">
        <w:rPr>
          <w:rtl/>
        </w:rPr>
        <w:t xml:space="preserve"> يقال : جَنَبْتُهُ الشرَّ وأجْنَبْتُه وجَنَّبتُه ، بمعنى واحد. قاله الفرّاء والزجّاج. انظر : </w:t>
      </w:r>
      <w:r w:rsidR="00E3253D" w:rsidRPr="002F4D34">
        <w:rPr>
          <w:rStyle w:val="libFootnoteBoldChar"/>
          <w:rtl/>
        </w:rPr>
        <w:t>لسان‌العرب</w:t>
      </w:r>
      <w:r w:rsidR="00E3253D" w:rsidRPr="005D642E">
        <w:rPr>
          <w:rtl/>
        </w:rPr>
        <w:t xml:space="preserve"> ، ج 1 ، ص 278 ( جنب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ج 13 ، ص 52 : « قوله </w:t>
      </w:r>
      <w:r w:rsidR="00E3253D" w:rsidRPr="005C0FD7">
        <w:rPr>
          <w:rStyle w:val="libFootnoteAlaemChar"/>
          <w:rtl/>
        </w:rPr>
        <w:t>عليه‌السلام</w:t>
      </w:r>
      <w:r w:rsidR="00E3253D" w:rsidRPr="005D642E">
        <w:rPr>
          <w:rtl/>
        </w:rPr>
        <w:t xml:space="preserve"> : أفنية المساجد ، الظاهر أنّ المراد الساحة عند باب المسجد ، ويحتمل أن يكون المراد حريمها من كلّ جانب. والمعنيان مذكوران في اللغة ، وقال في </w:t>
      </w:r>
      <w:r w:rsidR="00E3253D" w:rsidRPr="002F4D34">
        <w:rPr>
          <w:rStyle w:val="libFootnoteBoldChar"/>
          <w:rtl/>
        </w:rPr>
        <w:t>القاموس</w:t>
      </w:r>
      <w:r w:rsidR="00E3253D" w:rsidRPr="005D642E">
        <w:rPr>
          <w:rtl/>
        </w:rPr>
        <w:t xml:space="preserve"> : فناء الدار ، ككساء : ما اتّسع من أمامها ، وقال في </w:t>
      </w:r>
      <w:r w:rsidR="00E3253D" w:rsidRPr="002F4D34">
        <w:rPr>
          <w:rStyle w:val="libFootnoteBoldChar"/>
          <w:rtl/>
        </w:rPr>
        <w:t>الصحاح</w:t>
      </w:r>
      <w:r w:rsidR="00E3253D" w:rsidRPr="005D642E">
        <w:rPr>
          <w:rtl/>
        </w:rPr>
        <w:t xml:space="preserve"> : فناء الدار : ما امتدّ من جوانبها »</w:t>
      </w:r>
      <w:r w:rsidR="00E3253D">
        <w:rPr>
          <w:rtl/>
        </w:rPr>
        <w:t>.</w:t>
      </w:r>
      <w:r w:rsidR="005C0FD7">
        <w:rPr>
          <w:rtl/>
        </w:rPr>
        <w:t xml:space="preserve"> وأمّا العل</w:t>
      </w:r>
      <w:r w:rsidR="005C0FD7">
        <w:rPr>
          <w:rFonts w:hint="cs"/>
          <w:rtl/>
        </w:rPr>
        <w:t>ّ</w:t>
      </w:r>
      <w:r w:rsidR="005C0FD7">
        <w:rPr>
          <w:rtl/>
        </w:rPr>
        <w:t>ا</w:t>
      </w:r>
      <w:r w:rsidR="00E3253D" w:rsidRPr="005D642E">
        <w:rPr>
          <w:rtl/>
        </w:rPr>
        <w:t xml:space="preserve">مة الفيض ، فاختار ما في </w:t>
      </w:r>
      <w:r w:rsidR="00E3253D" w:rsidRPr="002F4D34">
        <w:rPr>
          <w:rStyle w:val="libFootnoteBoldChar"/>
          <w:rtl/>
        </w:rPr>
        <w:t>القاموس</w:t>
      </w:r>
      <w:r w:rsidR="00E3253D" w:rsidRPr="005D642E">
        <w:rPr>
          <w:rtl/>
        </w:rPr>
        <w:t xml:space="preserve">. وراجع : </w:t>
      </w:r>
      <w:r w:rsidR="00E3253D" w:rsidRPr="002F4D34">
        <w:rPr>
          <w:rStyle w:val="libFootnoteBoldChar"/>
          <w:rtl/>
        </w:rPr>
        <w:t>الصحاح</w:t>
      </w:r>
      <w:r w:rsidR="00E3253D" w:rsidRPr="005D642E">
        <w:rPr>
          <w:rtl/>
        </w:rPr>
        <w:t xml:space="preserve"> ، ج 6 ، ص 2475 ؛ </w:t>
      </w:r>
      <w:r w:rsidR="00E3253D" w:rsidRPr="002F4D34">
        <w:rPr>
          <w:rStyle w:val="libFootnoteBoldChar"/>
          <w:rtl/>
        </w:rPr>
        <w:t>القاموس المحيط</w:t>
      </w:r>
      <w:r w:rsidR="00E3253D" w:rsidRPr="005D642E">
        <w:rPr>
          <w:rtl/>
        </w:rPr>
        <w:t xml:space="preserve"> ، ج 2 ، ص 1732 ( فنى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الوافي</w:t>
      </w:r>
      <w:r w:rsidR="00E3253D" w:rsidRPr="005D642E">
        <w:rPr>
          <w:rtl/>
        </w:rPr>
        <w:t xml:space="preserve"> : « منازل النزّال : الظِلال المعدَّة لنزول القوافل والمتردّدين من شجرة أو جبل أو جدار أو غيرها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بف » : « ولا ببول »</w:t>
      </w:r>
      <w:r w:rsidR="00E3253D">
        <w:rPr>
          <w:rtl/>
        </w:rPr>
        <w:t>.</w:t>
      </w:r>
    </w:p>
    <w:p w:rsidR="00E3253D" w:rsidRPr="005D642E" w:rsidRDefault="0042621E" w:rsidP="00427F80">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30 ، ح 79 ، بسنده عن الكليني. </w:t>
      </w:r>
      <w:r w:rsidR="00E3253D" w:rsidRPr="002F4D34">
        <w:rPr>
          <w:rStyle w:val="libFootnoteBoldChar"/>
          <w:rtl/>
        </w:rPr>
        <w:t>تحف العقول</w:t>
      </w:r>
      <w:r w:rsidR="00E3253D" w:rsidRPr="005D642E">
        <w:rPr>
          <w:rtl/>
        </w:rPr>
        <w:t xml:space="preserve"> ، ص 411 ، ضمن الحديث ، عن الكاظم </w:t>
      </w:r>
      <w:r w:rsidR="00E3253D" w:rsidRPr="005C0FD7">
        <w:rPr>
          <w:rStyle w:val="libFootnoteAlaemChar"/>
          <w:rtl/>
        </w:rPr>
        <w:t>عليه‌السلام</w:t>
      </w:r>
      <w:r w:rsidR="00E3253D" w:rsidRPr="005D642E">
        <w:rPr>
          <w:rtl/>
        </w:rPr>
        <w:t xml:space="preserve"> ، مع اختلاف يسير </w:t>
      </w:r>
      <w:r w:rsidR="00427F80">
        <w:rPr>
          <w:rFonts w:hint="cs"/>
          <w:rtl/>
        </w:rPr>
        <w:t>.</w:t>
      </w:r>
      <w:r w:rsidR="00E3253D" w:rsidRPr="002F4D34">
        <w:rPr>
          <w:rStyle w:val="libFootnoteBoldChar"/>
          <w:rtl/>
        </w:rPr>
        <w:t>الوافي</w:t>
      </w:r>
      <w:r w:rsidR="00E3253D" w:rsidRPr="005D642E">
        <w:rPr>
          <w:rtl/>
        </w:rPr>
        <w:t xml:space="preserve"> ، ج 6 ، ص 107 ، ح 3860 ؛ </w:t>
      </w:r>
      <w:r w:rsidR="00E3253D" w:rsidRPr="002F4D34">
        <w:rPr>
          <w:rStyle w:val="libFootnoteBoldChar"/>
          <w:rtl/>
        </w:rPr>
        <w:t>الوسائل</w:t>
      </w:r>
      <w:r w:rsidR="00E3253D" w:rsidRPr="005D642E">
        <w:rPr>
          <w:rtl/>
        </w:rPr>
        <w:t xml:space="preserve"> ، ج 1 ، ص 301 ، ح 790 ؛ وص 324 ، ح 853 ؛ </w:t>
      </w:r>
      <w:r w:rsidR="00E3253D" w:rsidRPr="002F4D34">
        <w:rPr>
          <w:rStyle w:val="libFootnoteBoldChar"/>
          <w:rtl/>
        </w:rPr>
        <w:t>البحار</w:t>
      </w:r>
      <w:r w:rsidR="00E3253D" w:rsidRPr="005D642E">
        <w:rPr>
          <w:rtl/>
        </w:rPr>
        <w:t xml:space="preserve"> ، ج 51 ، ص 114 ، ح 23.</w:t>
      </w:r>
      <w:r w:rsidR="00427F80">
        <w:rPr>
          <w:rFonts w:hint="cs"/>
          <w:rtl/>
        </w:rPr>
        <w:t xml:space="preserve">  </w:t>
      </w:r>
      <w:r w:rsidR="004076D8">
        <w:rPr>
          <w:rFonts w:hint="cs"/>
          <w:rtl/>
        </w:rPr>
        <w:t xml:space="preserve"> </w:t>
      </w:r>
      <w:r w:rsidRPr="0042621E">
        <w:rPr>
          <w:rStyle w:val="libFootnote0Char"/>
          <w:rtl/>
        </w:rPr>
        <w:t>(8).</w:t>
      </w:r>
      <w:r w:rsidR="00E3253D" w:rsidRPr="005D642E">
        <w:rPr>
          <w:rtl/>
        </w:rPr>
        <w:t xml:space="preserve"> في « جس » :</w:t>
      </w:r>
      <w:r w:rsidR="00E3253D">
        <w:rPr>
          <w:rtl/>
        </w:rPr>
        <w:t xml:space="preserve"> </w:t>
      </w:r>
      <w:r w:rsidR="007642BC">
        <w:rPr>
          <w:rtl/>
        </w:rPr>
        <w:t>-</w:t>
      </w:r>
      <w:r w:rsidR="00E3253D">
        <w:rPr>
          <w:rtl/>
        </w:rPr>
        <w:t xml:space="preserve"> </w:t>
      </w:r>
      <w:r w:rsidR="009F10EE">
        <w:rPr>
          <w:rtl/>
        </w:rPr>
        <w:t>« بن إسماعيل</w:t>
      </w:r>
      <w:r w:rsidR="00E3253D" w:rsidRPr="005D642E">
        <w:rPr>
          <w:rtl/>
        </w:rPr>
        <w:t>»</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ثَلَاثَةٌ </w:t>
      </w:r>
      <w:r w:rsidRPr="007C12DB">
        <w:rPr>
          <w:rStyle w:val="libFootnotenumChar"/>
          <w:rtl/>
        </w:rPr>
        <w:t>(1)</w:t>
      </w:r>
      <w:r w:rsidRPr="005D642E">
        <w:rPr>
          <w:rtl/>
          <w:lang w:bidi="fa-IR"/>
        </w:rPr>
        <w:t xml:space="preserve"> مَلْعُونٌ مَنْ فَعَلَهُنَّ : الْمُتَغَوِّطُ فِي ظِلِّ </w:t>
      </w:r>
      <w:r w:rsidRPr="007C12DB">
        <w:rPr>
          <w:rStyle w:val="libFootnotenumChar"/>
          <w:rtl/>
        </w:rPr>
        <w:t>(2)</w:t>
      </w:r>
      <w:r w:rsidRPr="005D642E">
        <w:rPr>
          <w:rtl/>
          <w:lang w:bidi="fa-IR"/>
        </w:rPr>
        <w:t xml:space="preserve"> النُّزَّالِ ، وَالْمَانِعُ الْمَاءَ الْمُنْتَابَ </w:t>
      </w:r>
      <w:r w:rsidRPr="007C12DB">
        <w:rPr>
          <w:rStyle w:val="libFootnotenumChar"/>
          <w:rtl/>
        </w:rPr>
        <w:t>(3)</w:t>
      </w:r>
      <w:r w:rsidRPr="005D642E">
        <w:rPr>
          <w:rtl/>
          <w:lang w:bidi="fa-IR"/>
        </w:rPr>
        <w:t xml:space="preserve"> ، وَسَادُّ الطَّرِيقِ الْمَسْلُوكِ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4076D8" w:rsidRDefault="00E3253D" w:rsidP="00E3253D">
      <w:pPr>
        <w:pStyle w:val="Heading2Center"/>
        <w:rPr>
          <w:rtl/>
          <w:lang w:bidi="fa-IR"/>
        </w:rPr>
      </w:pPr>
      <w:bookmarkStart w:id="50" w:name="_Toc40975849"/>
      <w:bookmarkStart w:id="51" w:name="_Toc344647227"/>
      <w:bookmarkStart w:id="52" w:name="_Toc462226742"/>
      <w:r w:rsidRPr="005D642E">
        <w:rPr>
          <w:rtl/>
          <w:lang w:bidi="fa-IR"/>
        </w:rPr>
        <w:t>12</w:t>
      </w:r>
      <w:r>
        <w:rPr>
          <w:rtl/>
          <w:lang w:bidi="fa-IR"/>
        </w:rPr>
        <w:t xml:space="preserve"> </w:t>
      </w:r>
      <w:r w:rsidR="007642BC">
        <w:rPr>
          <w:rtl/>
          <w:lang w:bidi="fa-IR"/>
        </w:rPr>
        <w:t>-</w:t>
      </w:r>
      <w:r>
        <w:rPr>
          <w:rtl/>
          <w:lang w:bidi="fa-IR"/>
        </w:rPr>
        <w:t xml:space="preserve"> </w:t>
      </w:r>
      <w:r w:rsidRPr="005D642E">
        <w:rPr>
          <w:rtl/>
          <w:lang w:bidi="fa-IR"/>
        </w:rPr>
        <w:t>بَابُ الْقَوْلِ عِنْدَ دُخُولِ الْخَلَاءِ وَعِنْدَ الْخُرُوجِ وَالاسْتِنْجَاءِ وَمَنْ</w:t>
      </w:r>
      <w:bookmarkEnd w:id="50"/>
      <w:r w:rsidRPr="005D642E">
        <w:rPr>
          <w:rtl/>
          <w:lang w:bidi="fa-IR"/>
        </w:rPr>
        <w:t xml:space="preserve"> </w:t>
      </w:r>
    </w:p>
    <w:p w:rsidR="00E3253D" w:rsidRPr="005D642E" w:rsidRDefault="00E3253D" w:rsidP="00E3253D">
      <w:pPr>
        <w:pStyle w:val="Heading2Center"/>
        <w:rPr>
          <w:rtl/>
          <w:lang w:bidi="fa-IR"/>
        </w:rPr>
      </w:pPr>
      <w:bookmarkStart w:id="53" w:name="_Toc40975850"/>
      <w:r w:rsidRPr="005D642E">
        <w:rPr>
          <w:rtl/>
          <w:lang w:bidi="fa-IR"/>
        </w:rPr>
        <w:t xml:space="preserve">نَسِيَهُ ، وَالتَّسْمِيَةِ </w:t>
      </w:r>
      <w:r w:rsidRPr="007C12DB">
        <w:rPr>
          <w:rStyle w:val="libFootnotenumChar"/>
          <w:rtl/>
        </w:rPr>
        <w:t>(5)</w:t>
      </w:r>
      <w:r>
        <w:rPr>
          <w:rtl/>
        </w:rPr>
        <w:t xml:space="preserve"> </w:t>
      </w:r>
      <w:r w:rsidRPr="005D642E">
        <w:rPr>
          <w:rtl/>
          <w:lang w:bidi="fa-IR"/>
        </w:rPr>
        <w:t>عِنْدَ الْوُضُوءِ‌</w:t>
      </w:r>
      <w:bookmarkEnd w:id="51"/>
      <w:bookmarkEnd w:id="52"/>
      <w:bookmarkEnd w:id="53"/>
    </w:p>
    <w:p w:rsidR="00E3253D" w:rsidRPr="005D642E" w:rsidRDefault="00E3253D" w:rsidP="00E3253D">
      <w:pPr>
        <w:pStyle w:val="libNormal"/>
        <w:rPr>
          <w:rtl/>
          <w:lang w:bidi="fa-IR"/>
        </w:rPr>
      </w:pPr>
      <w:r w:rsidRPr="00B61067">
        <w:rPr>
          <w:rtl/>
        </w:rPr>
        <w:t>3876</w:t>
      </w:r>
      <w:r w:rsidRPr="00246318">
        <w:rPr>
          <w:rStyle w:val="libBold2Char"/>
          <w:rtl/>
        </w:rPr>
        <w:t xml:space="preserve"> / 1.</w:t>
      </w:r>
      <w:r w:rsidRPr="005D642E">
        <w:rPr>
          <w:rtl/>
          <w:lang w:bidi="fa-IR"/>
        </w:rPr>
        <w:t xml:space="preserve"> عَلِيُّ بْنُ إِبْرَاهِيمَ ، عَنْ مُحَمَّدِ بْنِ عِيسى ، عَنْ يُونُسَ ، عَنْ مُعَاوِيَةَ بْنِ عَمَّارٍ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دَ</w:t>
      </w:r>
      <w:r>
        <w:rPr>
          <w:rtl/>
          <w:lang w:bidi="fa-IR"/>
        </w:rPr>
        <w:t>خَلْتَ الْمَخْرَجَ ، فَقُلْ : "</w:t>
      </w:r>
      <w:r w:rsidRPr="005D642E">
        <w:rPr>
          <w:rtl/>
          <w:lang w:bidi="fa-IR"/>
        </w:rPr>
        <w:t xml:space="preserve">بِسْمِ اللهِ </w:t>
      </w:r>
      <w:r w:rsidRPr="007C12DB">
        <w:rPr>
          <w:rStyle w:val="libFootnotenumChar"/>
          <w:rtl/>
        </w:rPr>
        <w:t>(6)</w:t>
      </w:r>
      <w:r w:rsidRPr="005D642E">
        <w:rPr>
          <w:rtl/>
          <w:lang w:bidi="fa-IR"/>
        </w:rPr>
        <w:t xml:space="preserve"> ، الل</w:t>
      </w:r>
      <w:r w:rsidR="004076D8">
        <w:rPr>
          <w:rFonts w:hint="cs"/>
          <w:rtl/>
          <w:lang w:bidi="fa-IR"/>
        </w:rPr>
        <w:t>ّ</w:t>
      </w:r>
      <w:r w:rsidRPr="005D642E">
        <w:rPr>
          <w:rtl/>
          <w:lang w:bidi="fa-IR"/>
        </w:rPr>
        <w:t xml:space="preserve">هُمَّ إِنِّي أَعُوذُ بِكَ مِنَ الْخَبِيثِ الْمُخْبِثِ </w:t>
      </w:r>
      <w:r w:rsidRPr="007C12DB">
        <w:rPr>
          <w:rStyle w:val="libFootnotenumChar"/>
          <w:rtl/>
        </w:rPr>
        <w:t>(7)</w:t>
      </w:r>
      <w:r w:rsidRPr="005D642E">
        <w:rPr>
          <w:rtl/>
          <w:lang w:bidi="fa-IR"/>
        </w:rPr>
        <w:t xml:space="preserve"> ، الرِّجْسِ النِّجْسِ ، الشَّيْطَانِ الرَّجِيمِ" ؛ فَإِذَا‌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4076D8">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معظم النسخ </w:t>
      </w:r>
      <w:r w:rsidR="000D749A" w:rsidRPr="000D749A">
        <w:rPr>
          <w:rStyle w:val="libFootnoteBoldChar"/>
          <w:rtl/>
        </w:rPr>
        <w:t>والوافي</w:t>
      </w:r>
      <w:r w:rsidR="00E3253D" w:rsidRPr="005D642E">
        <w:rPr>
          <w:rtl/>
        </w:rPr>
        <w:t>. وفي « جح » : « ثلاث »</w:t>
      </w:r>
      <w:r w:rsidR="00E3253D">
        <w:rPr>
          <w:rtl/>
        </w:rPr>
        <w:t>.</w:t>
      </w:r>
      <w:r w:rsidR="00E3253D" w:rsidRPr="005D642E">
        <w:rPr>
          <w:rtl/>
        </w:rPr>
        <w:t xml:space="preserve"> وفي المطبوع : « ثلاث خصال »</w:t>
      </w:r>
      <w:r w:rsidR="00E3253D">
        <w:rPr>
          <w:rtl/>
        </w:rPr>
        <w:t>.</w:t>
      </w:r>
      <w:r w:rsidR="00E3253D" w:rsidRPr="005D642E">
        <w:rPr>
          <w:rtl/>
        </w:rPr>
        <w:t xml:space="preserve"> وفي التهذيب : « ثلاثةخصال »</w:t>
      </w:r>
      <w:r w:rsidR="00E3253D">
        <w:rPr>
          <w:rtl/>
        </w:rPr>
        <w:t>.</w:t>
      </w:r>
      <w:r w:rsidR="004076D8">
        <w:rPr>
          <w:rFonts w:hint="cs"/>
          <w:rtl/>
        </w:rPr>
        <w:t xml:space="preserve">                                      </w:t>
      </w:r>
      <w:r w:rsidRPr="0042621E">
        <w:rPr>
          <w:rStyle w:val="libFootnote0Char"/>
          <w:rtl/>
        </w:rPr>
        <w:t>(2).</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ظلّ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الوافي</w:t>
      </w:r>
      <w:r w:rsidR="00E3253D" w:rsidRPr="005D642E">
        <w:rPr>
          <w:rtl/>
        </w:rPr>
        <w:t xml:space="preserve"> : « يعني بالمنتاب المباح الذي يعتوره المارّة على النوبة » ، وفي </w:t>
      </w:r>
      <w:r w:rsidR="00E3253D" w:rsidRPr="002F4D34">
        <w:rPr>
          <w:rStyle w:val="libFootnoteBoldChar"/>
          <w:rtl/>
        </w:rPr>
        <w:t>مرآة العقول</w:t>
      </w:r>
      <w:r w:rsidR="00E3253D" w:rsidRPr="005D642E">
        <w:rPr>
          <w:rtl/>
        </w:rPr>
        <w:t xml:space="preserve"> : « قوله </w:t>
      </w:r>
      <w:r w:rsidR="00E3253D" w:rsidRPr="007E25FD">
        <w:rPr>
          <w:rStyle w:val="libFootnoteAlaemChar"/>
          <w:rtl/>
        </w:rPr>
        <w:t>عليه‌السلام</w:t>
      </w:r>
      <w:r w:rsidR="00E3253D" w:rsidRPr="005D642E">
        <w:rPr>
          <w:rtl/>
        </w:rPr>
        <w:t xml:space="preserve"> : المنتاب ، قال شيخنا البهائي </w:t>
      </w:r>
      <w:r w:rsidR="00E3253D" w:rsidRPr="004076D8">
        <w:rPr>
          <w:rStyle w:val="libFootnoteAlaemChar"/>
          <w:rtl/>
        </w:rPr>
        <w:t>رحمه‌الله</w:t>
      </w:r>
      <w:r w:rsidR="00E3253D" w:rsidRPr="005D642E">
        <w:rPr>
          <w:rtl/>
        </w:rPr>
        <w:t xml:space="preserve"> : أي الذي يتناوب عليه الناس نوبةً بعد نوبة ، فالمنتاب صفة للماء ، ويمكن أن يراد به ذو النوبة فيكون مفعولاً ثانياً للمانع ، وقال في </w:t>
      </w:r>
      <w:r w:rsidR="00E3253D" w:rsidRPr="002F4D34">
        <w:rPr>
          <w:rStyle w:val="libFootnoteBoldChar"/>
          <w:rtl/>
        </w:rPr>
        <w:t>الصحاح</w:t>
      </w:r>
      <w:r w:rsidR="00E3253D" w:rsidRPr="005D642E">
        <w:rPr>
          <w:rtl/>
        </w:rPr>
        <w:t xml:space="preserve"> : انتاب فلان القومَ ، أي أتاهم مرّة بعد ا</w:t>
      </w:r>
      <w:r w:rsidR="007E25FD">
        <w:rPr>
          <w:rFonts w:hint="cs"/>
          <w:rtl/>
        </w:rPr>
        <w:t>ُ</w:t>
      </w:r>
      <w:r w:rsidR="00E3253D" w:rsidRPr="005D642E">
        <w:rPr>
          <w:rtl/>
        </w:rPr>
        <w:t>خرى »</w:t>
      </w:r>
      <w:r w:rsidR="00E3253D">
        <w:rPr>
          <w:rtl/>
        </w:rPr>
        <w:t>.</w:t>
      </w:r>
      <w:r w:rsidR="00E3253D" w:rsidRPr="005D642E">
        <w:rPr>
          <w:rtl/>
        </w:rPr>
        <w:t xml:space="preserve"> وراجع : </w:t>
      </w:r>
      <w:r w:rsidR="00E3253D" w:rsidRPr="002F4D34">
        <w:rPr>
          <w:rStyle w:val="libFootnoteBoldChar"/>
          <w:rtl/>
        </w:rPr>
        <w:t>الصحاح</w:t>
      </w:r>
      <w:r w:rsidR="00E3253D" w:rsidRPr="005D642E">
        <w:rPr>
          <w:rtl/>
        </w:rPr>
        <w:t xml:space="preserve"> ، ج 1 ، ص 229 ( نوب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الكافي</w:t>
      </w:r>
      <w:r w:rsidR="00E3253D" w:rsidRPr="005D642E">
        <w:rPr>
          <w:rtl/>
        </w:rPr>
        <w:t xml:space="preserve"> ، كتاب الإيمان والكفر ، باب في ا</w:t>
      </w:r>
      <w:r w:rsidR="007E25FD">
        <w:rPr>
          <w:rFonts w:hint="cs"/>
          <w:rtl/>
        </w:rPr>
        <w:t>ُ</w:t>
      </w:r>
      <w:r w:rsidR="00E3253D" w:rsidRPr="005D642E">
        <w:rPr>
          <w:rtl/>
        </w:rPr>
        <w:t xml:space="preserve">صول الكفر وأركانه ، ح 2483 </w:t>
      </w:r>
      <w:r w:rsidR="00E3253D">
        <w:rPr>
          <w:rtl/>
        </w:rPr>
        <w:t>و 2</w:t>
      </w:r>
      <w:r w:rsidR="00E3253D" w:rsidRPr="005D642E">
        <w:rPr>
          <w:rtl/>
        </w:rPr>
        <w:t xml:space="preserve">484 ؛ </w:t>
      </w:r>
      <w:r w:rsidR="00B60612" w:rsidRPr="00B60612">
        <w:rPr>
          <w:rStyle w:val="libFootnoteBoldChar"/>
          <w:rtl/>
        </w:rPr>
        <w:t>والتهذيب</w:t>
      </w:r>
      <w:r w:rsidR="00E3253D" w:rsidRPr="005D642E">
        <w:rPr>
          <w:rtl/>
        </w:rPr>
        <w:t xml:space="preserve"> ، ج 1 ، ص 30 ، ح 80 ، بسند آخر عن إبراهيم الكرخي. </w:t>
      </w:r>
      <w:r w:rsidR="00E3253D" w:rsidRPr="002F4D34">
        <w:rPr>
          <w:rStyle w:val="libFootnoteBoldChar"/>
          <w:rtl/>
        </w:rPr>
        <w:t>الفقيه</w:t>
      </w:r>
      <w:r w:rsidR="00E3253D" w:rsidRPr="005D642E">
        <w:rPr>
          <w:rtl/>
        </w:rPr>
        <w:t xml:space="preserve"> ، ج 1 ، ص 25 ، ح 45 ، مرسلاً ، وفي كلّها مع اختلاف يسير </w:t>
      </w:r>
      <w:r w:rsidR="007E25FD">
        <w:rPr>
          <w:rFonts w:hint="cs"/>
          <w:rtl/>
        </w:rPr>
        <w:t>.</w:t>
      </w:r>
      <w:r w:rsidR="00E3253D" w:rsidRPr="002F4D34">
        <w:rPr>
          <w:rStyle w:val="libFootnoteBoldChar"/>
          <w:rtl/>
        </w:rPr>
        <w:t>الوافي</w:t>
      </w:r>
      <w:r w:rsidR="00E3253D" w:rsidRPr="005D642E">
        <w:rPr>
          <w:rtl/>
        </w:rPr>
        <w:t xml:space="preserve"> ، ج 6 ، ص 107 ، ح 3863 ؛ </w:t>
      </w:r>
      <w:r w:rsidR="00E3253D" w:rsidRPr="002F4D34">
        <w:rPr>
          <w:rStyle w:val="libFootnoteBoldChar"/>
          <w:rtl/>
        </w:rPr>
        <w:t>الوسائل</w:t>
      </w:r>
      <w:r w:rsidR="00E3253D" w:rsidRPr="005D642E">
        <w:rPr>
          <w:rtl/>
        </w:rPr>
        <w:t xml:space="preserve"> ، ج 1 ، ص 325 ، ذيل ح 855.</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النسخ. وفي حاشية « بث » والمطبوع </w:t>
      </w:r>
      <w:r w:rsidR="000D749A" w:rsidRPr="000D749A">
        <w:rPr>
          <w:rStyle w:val="libFootnoteBoldChar"/>
          <w:rtl/>
        </w:rPr>
        <w:t>والمرآة</w:t>
      </w:r>
      <w:r w:rsidR="00E3253D" w:rsidRPr="005D642E">
        <w:rPr>
          <w:rtl/>
        </w:rPr>
        <w:t xml:space="preserve"> : + « عند الدخول </w:t>
      </w:r>
      <w:r w:rsidR="00E3253D">
        <w:rPr>
          <w:rtl/>
        </w:rPr>
        <w:t>و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 ص 114 </w:t>
      </w:r>
      <w:r w:rsidR="00B60612" w:rsidRPr="00B60612">
        <w:rPr>
          <w:rStyle w:val="libFootnoteBoldChar"/>
          <w:rtl/>
        </w:rPr>
        <w:t>والتهذيب</w:t>
      </w:r>
      <w:r w:rsidR="00E3253D" w:rsidRPr="005D642E">
        <w:rPr>
          <w:rtl/>
        </w:rPr>
        <w:t xml:space="preserve"> ، ص 25 : + « وبالله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الخبث » بدل « الخبيث »</w:t>
      </w:r>
      <w:r w:rsidR="00E3253D">
        <w:rPr>
          <w:rtl/>
        </w:rPr>
        <w:t>.</w:t>
      </w:r>
      <w:r w:rsidR="00E3253D" w:rsidRPr="005D642E">
        <w:rPr>
          <w:rtl/>
        </w:rPr>
        <w:t xml:space="preserve"> والخبيث : ذوالخبث في نفسه ، والمُخْبِثُ الذي أعوانه خُبثاءُ ، كما يقال‌للذي فرسه ضعيف : مُضعِف ، من قولهم : أخبث ، أي اتّخذ أصحاباً خبثاء ، فهو خبيث ، مُخْبِث ومَخْبَثانٌ. وقيل : الم</w:t>
      </w:r>
      <w:r w:rsidR="007E25FD">
        <w:rPr>
          <w:rFonts w:hint="cs"/>
          <w:rtl/>
        </w:rPr>
        <w:t>ـ</w:t>
      </w:r>
      <w:r w:rsidR="00E3253D" w:rsidRPr="005D642E">
        <w:rPr>
          <w:rtl/>
        </w:rPr>
        <w:t xml:space="preserve">ُخْبِث هو الذي يعلّمهم الخبث ويوقعهم فيه ، من قولهم : أخبثه غيره ، أي علّمه الخبث وأفسده. راجع : </w:t>
      </w:r>
      <w:r w:rsidR="00E3253D" w:rsidRPr="002F4D34">
        <w:rPr>
          <w:rStyle w:val="libFootnoteBoldChar"/>
          <w:rtl/>
        </w:rPr>
        <w:t>الصحاح</w:t>
      </w:r>
      <w:r w:rsidR="00E3253D" w:rsidRPr="005D642E">
        <w:rPr>
          <w:rtl/>
        </w:rPr>
        <w:t xml:space="preserve"> ، ج 1 ، ص 281 ؛ </w:t>
      </w:r>
      <w:r w:rsidR="00E3253D" w:rsidRPr="002F4D34">
        <w:rPr>
          <w:rStyle w:val="libFootnoteBoldChar"/>
          <w:rtl/>
        </w:rPr>
        <w:t>النهاية</w:t>
      </w:r>
      <w:r w:rsidR="00E3253D" w:rsidRPr="005D642E">
        <w:rPr>
          <w:rtl/>
        </w:rPr>
        <w:t xml:space="preserve"> ، ج 2 ، ص 6 ( خبث )</w:t>
      </w:r>
      <w:r w:rsidR="00E3253D">
        <w:rPr>
          <w:rtl/>
        </w:rPr>
        <w:t>.</w:t>
      </w:r>
      <w:r w:rsidR="007E25F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خَرَجْتَ </w:t>
      </w:r>
      <w:r w:rsidRPr="007C12DB">
        <w:rPr>
          <w:rStyle w:val="libFootnotenumChar"/>
          <w:rtl/>
        </w:rPr>
        <w:t>(1)</w:t>
      </w:r>
      <w:r>
        <w:rPr>
          <w:rtl/>
          <w:lang w:bidi="fa-IR"/>
        </w:rPr>
        <w:t xml:space="preserve"> ، فَقُلْ : "</w:t>
      </w:r>
      <w:r w:rsidRPr="005D642E">
        <w:rPr>
          <w:rtl/>
          <w:lang w:bidi="fa-IR"/>
        </w:rPr>
        <w:t xml:space="preserve">بِسْمِ اللهِ ، الْحَمْدُ </w:t>
      </w:r>
      <w:r w:rsidRPr="007C12DB">
        <w:rPr>
          <w:rStyle w:val="libFootnotenumChar"/>
          <w:rtl/>
        </w:rPr>
        <w:t>(2)</w:t>
      </w:r>
      <w:r w:rsidRPr="005D642E">
        <w:rPr>
          <w:rtl/>
          <w:lang w:bidi="fa-IR"/>
        </w:rPr>
        <w:t xml:space="preserve"> لِلّهِ الَّذِي عَافَانِي مِنَ الْخَبِيثِ الْمُخْبِثِ ، وَأَمَاطَ عَنِّي الْأَذى" ؛ وَإِذَا تَوَضَّأْتَ </w:t>
      </w:r>
      <w:r w:rsidRPr="007C12DB">
        <w:rPr>
          <w:rStyle w:val="libFootnotenumChar"/>
          <w:rtl/>
        </w:rPr>
        <w:t>(3)</w:t>
      </w:r>
      <w:r>
        <w:rPr>
          <w:rtl/>
          <w:lang w:bidi="fa-IR"/>
        </w:rPr>
        <w:t xml:space="preserve"> ، فَقُلْ : "</w:t>
      </w:r>
      <w:r w:rsidRPr="005D642E">
        <w:rPr>
          <w:rtl/>
          <w:lang w:bidi="fa-IR"/>
        </w:rPr>
        <w:t>أَشْهَدُ أَنْ لَا</w:t>
      </w:r>
      <w:r>
        <w:rPr>
          <w:rFonts w:hint="cs"/>
          <w:rtl/>
          <w:lang w:bidi="fa-IR"/>
        </w:rPr>
        <w:t xml:space="preserve"> </w:t>
      </w:r>
      <w:r w:rsidR="0079736B">
        <w:rPr>
          <w:rtl/>
          <w:lang w:bidi="fa-IR"/>
        </w:rPr>
        <w:t>إِلهَ إِل</w:t>
      </w:r>
      <w:r w:rsidR="0079736B">
        <w:rPr>
          <w:rFonts w:hint="cs"/>
          <w:rtl/>
          <w:lang w:bidi="fa-IR"/>
        </w:rPr>
        <w:t>َّ</w:t>
      </w:r>
      <w:r w:rsidR="0079736B">
        <w:rPr>
          <w:rtl/>
          <w:lang w:bidi="fa-IR"/>
        </w:rPr>
        <w:t>ا</w:t>
      </w:r>
      <w:r w:rsidRPr="005D642E">
        <w:rPr>
          <w:rtl/>
          <w:lang w:bidi="fa-IR"/>
        </w:rPr>
        <w:t xml:space="preserve"> اللهُ ، الل</w:t>
      </w:r>
      <w:r w:rsidR="00420F9C">
        <w:rPr>
          <w:rFonts w:hint="cs"/>
          <w:rtl/>
          <w:lang w:bidi="fa-IR"/>
        </w:rPr>
        <w:t>ّ</w:t>
      </w:r>
      <w:r w:rsidRPr="005D642E">
        <w:rPr>
          <w:rtl/>
          <w:lang w:bidi="fa-IR"/>
        </w:rPr>
        <w:t>هُمَّ اجْعَلْنِي مِنَ التَّوَّابِينَ ، وَاجْعَلْنِي مِنَ الْمُتَطَهِّرِينَ ، وَالْحَمْدُ لِلّهِ رَبِّ الْعَالَمِينَ"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382558">
        <w:rPr>
          <w:rtl/>
        </w:rPr>
        <w:t>3877</w:t>
      </w:r>
      <w:r w:rsidRPr="00246318">
        <w:rPr>
          <w:rStyle w:val="libBold2Char"/>
          <w:rtl/>
        </w:rPr>
        <w:t xml:space="preserve"> / 2.</w:t>
      </w:r>
      <w:r w:rsidRPr="005D642E">
        <w:rPr>
          <w:rtl/>
          <w:lang w:bidi="fa-IR"/>
        </w:rPr>
        <w:t xml:space="preserve"> عِدَّةٌ مِنْ أَصْحَابِنَا ، عَنْ أَحْمَدَ بْنِ مُحَمَّدٍ ، عَنِ الْحُسَيْنِ بْنِ سَعِيدٍ ، عَنِ ابْنِ أَبِي عُمَيْرٍ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سَمَّيْتَ فِي الْوُضُوءِ طَهُرَ جَسَدُكَ كُلُّهُ </w:t>
      </w:r>
      <w:r w:rsidRPr="007C12DB">
        <w:rPr>
          <w:rStyle w:val="libFootnotenumChar"/>
          <w:rtl/>
        </w:rPr>
        <w:t>(5)</w:t>
      </w:r>
      <w:r w:rsidRPr="005D642E">
        <w:rPr>
          <w:rtl/>
          <w:lang w:bidi="fa-IR"/>
        </w:rPr>
        <w:t xml:space="preserve"> ، وَإِذَا لَمْ تُسَمِّ‌</w:t>
      </w:r>
    </w:p>
    <w:p w:rsidR="00E3253D" w:rsidRPr="005D642E" w:rsidRDefault="00E3253D" w:rsidP="00E3253D">
      <w:pPr>
        <w:pStyle w:val="libLine"/>
        <w:rPr>
          <w:rtl/>
          <w:lang w:bidi="fa-IR"/>
        </w:rPr>
      </w:pPr>
      <w:r w:rsidRPr="005D642E">
        <w:rPr>
          <w:rtl/>
          <w:lang w:bidi="fa-IR"/>
        </w:rPr>
        <w:t>__________________</w:t>
      </w:r>
    </w:p>
    <w:p w:rsidR="00E3253D" w:rsidRPr="005D642E" w:rsidRDefault="00420F9C" w:rsidP="00E3253D">
      <w:pPr>
        <w:pStyle w:val="libFootnote0"/>
        <w:rPr>
          <w:rtl/>
          <w:lang w:bidi="fa-IR"/>
        </w:rPr>
      </w:pPr>
      <w:r w:rsidRPr="00B60612">
        <w:rPr>
          <w:rFonts w:hint="cs"/>
          <w:rtl/>
        </w:rPr>
        <w:t xml:space="preserve">= </w:t>
      </w:r>
      <w:r w:rsidR="00E3253D" w:rsidRPr="00B60612">
        <w:rPr>
          <w:rtl/>
        </w:rPr>
        <w:t xml:space="preserve">وقوله : « الرِجْسُ » : القَذَر ، وقد يعبّر به عن الحرام والفعل القبيح والعذاب واللعنة والكفر ، والمراد هنا الأوّل. قال الفرّاء : إذا بدأوا بالنجس ولم يذكروا معه الرجس فتحوا النون والجيم ، وإذا بدأوا بالرجس ثمّ أتبعوه النجس كسروا الجيم. ورُدّ بأنّهم إذا قالوه مع الرجس أتبعوه إيّاه وقالوا : رِجْسٌ نِجْسٌ ، كسروا لمكان رِجْس وثنّوا وجمعوا ، وكذلك يعكسون فيقولون : نِجْسٌ رِجْسٌ ، فيقولونها بالكسر لمكان رجس الذي بعده. وأما رِجْس مفرداً فمكسور على كلّ حال. راجع : </w:t>
      </w:r>
      <w:r w:rsidR="00E3253D" w:rsidRPr="002F4D34">
        <w:rPr>
          <w:rStyle w:val="libFootnoteBoldChar"/>
          <w:rtl/>
        </w:rPr>
        <w:t>النهاية</w:t>
      </w:r>
      <w:r w:rsidR="00E3253D" w:rsidRPr="00B60612">
        <w:rPr>
          <w:rtl/>
        </w:rPr>
        <w:t xml:space="preserve"> ، ج 2 ، ص 200 ( رجس ) ؛ </w:t>
      </w:r>
      <w:r w:rsidR="00E3253D" w:rsidRPr="002F4D34">
        <w:rPr>
          <w:rStyle w:val="libFootnoteBoldChar"/>
          <w:rtl/>
        </w:rPr>
        <w:t>لسان العرب</w:t>
      </w:r>
      <w:r w:rsidR="00E3253D" w:rsidRPr="00B60612">
        <w:rPr>
          <w:rtl/>
        </w:rPr>
        <w:t xml:space="preserve"> ، ج 6 ، ص 226 ( نجس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 « فإذا فرغت »</w:t>
      </w:r>
      <w:r w:rsidR="00E3253D">
        <w:rPr>
          <w:rtl/>
        </w:rPr>
        <w:t>.</w:t>
      </w:r>
      <w:r w:rsidR="00E3253D" w:rsidRPr="005D642E">
        <w:rPr>
          <w:rtl/>
        </w:rPr>
        <w:t xml:space="preserve"> وفي « جس » </w:t>
      </w:r>
      <w:r w:rsidR="00B60612" w:rsidRPr="00B60612">
        <w:rPr>
          <w:rStyle w:val="libFootnoteBoldChar"/>
          <w:rtl/>
        </w:rPr>
        <w:t>والتهذيب</w:t>
      </w:r>
      <w:r w:rsidR="00E3253D" w:rsidRPr="005D642E">
        <w:rPr>
          <w:rtl/>
        </w:rPr>
        <w:t xml:space="preserve"> ، ص 25 : « وإذا خرجت »</w:t>
      </w:r>
      <w:r w:rsidR="00E3253D">
        <w:rPr>
          <w:rtl/>
        </w:rPr>
        <w:t>.</w:t>
      </w:r>
      <w:r w:rsidR="00E3253D" w:rsidRPr="005D642E">
        <w:rPr>
          <w:rtl/>
        </w:rPr>
        <w:t xml:space="preserve"> وفي « جن » : « فإن خرجت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ص 114 </w:t>
      </w:r>
      <w:r w:rsidR="00B60612" w:rsidRPr="00B60612">
        <w:rPr>
          <w:rStyle w:val="libFootnoteBoldChar"/>
          <w:rtl/>
        </w:rPr>
        <w:t>والتهذيب</w:t>
      </w:r>
      <w:r w:rsidR="00E3253D" w:rsidRPr="005D642E">
        <w:rPr>
          <w:rtl/>
        </w:rPr>
        <w:t xml:space="preserve"> ، ص 25 : « والحمد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ح 1104 : « فإذا » بدل « وإذا »</w:t>
      </w:r>
      <w:r w:rsidR="00E3253D">
        <w:rPr>
          <w:rtl/>
        </w:rPr>
        <w:t>.</w:t>
      </w:r>
      <w:r w:rsidR="00E3253D" w:rsidRPr="005D642E">
        <w:rPr>
          <w:rtl/>
        </w:rPr>
        <w:t xml:space="preserve"> وقوله : « أماطَ عنّي الأذى » ، أي أبعده عنّي ونحّاه وأزاله‌وأذهبه ودفعه ، يقال : مِطْتُ غيري وأمطته ، أي نحّيته. قيل : مِ</w:t>
      </w:r>
      <w:r w:rsidR="00EC16BA">
        <w:rPr>
          <w:rtl/>
        </w:rPr>
        <w:t>طْتُ أنا وأمطت غيري. وقال العل</w:t>
      </w:r>
      <w:r w:rsidR="00EC16BA">
        <w:rPr>
          <w:rFonts w:hint="cs"/>
          <w:rtl/>
        </w:rPr>
        <w:t>ّ</w:t>
      </w:r>
      <w:r w:rsidR="00EC16BA">
        <w:rPr>
          <w:rtl/>
        </w:rPr>
        <w:t>ا</w:t>
      </w:r>
      <w:r w:rsidR="00E3253D" w:rsidRPr="005D642E">
        <w:rPr>
          <w:rtl/>
        </w:rPr>
        <w:t xml:space="preserve">مة المجلسي </w:t>
      </w:r>
      <w:r w:rsidR="00E3253D" w:rsidRPr="00EC16BA">
        <w:rPr>
          <w:rStyle w:val="libFootnoteAlaemChar"/>
          <w:rtl/>
        </w:rPr>
        <w:t>رحمه‌الله</w:t>
      </w:r>
      <w:r w:rsidR="00E3253D" w:rsidRPr="005D642E">
        <w:rPr>
          <w:rtl/>
        </w:rPr>
        <w:t xml:space="preserve"> : « لعلّ المراد بالتوضّي الاستنجاء »</w:t>
      </w:r>
      <w:r w:rsidR="00E3253D">
        <w:rPr>
          <w:rtl/>
        </w:rPr>
        <w:t>.</w:t>
      </w:r>
      <w:r w:rsidR="00E3253D" w:rsidRPr="005D642E">
        <w:rPr>
          <w:rtl/>
        </w:rPr>
        <w:t xml:space="preserve"> راجع : </w:t>
      </w:r>
      <w:r w:rsidR="00E3253D" w:rsidRPr="002F4D34">
        <w:rPr>
          <w:rStyle w:val="libFootnoteBoldChar"/>
          <w:rtl/>
        </w:rPr>
        <w:t>لسان العرب</w:t>
      </w:r>
      <w:r w:rsidR="00E3253D" w:rsidRPr="005D642E">
        <w:rPr>
          <w:rtl/>
        </w:rPr>
        <w:t xml:space="preserve"> ، ج 7 ، ص 409 ؛ </w:t>
      </w:r>
      <w:r w:rsidR="00E3253D" w:rsidRPr="002F4D34">
        <w:rPr>
          <w:rStyle w:val="libFootnoteBoldChar"/>
          <w:rtl/>
        </w:rPr>
        <w:t>مجمع البحرين</w:t>
      </w:r>
      <w:r w:rsidR="00E3253D" w:rsidRPr="005D642E">
        <w:rPr>
          <w:rtl/>
        </w:rPr>
        <w:t xml:space="preserve"> ، ج 4 ، ص 274 ( ميط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25 ، ح 63 ، بسنده عن الكليني. </w:t>
      </w:r>
      <w:r w:rsidR="00E3253D" w:rsidRPr="002F4D34">
        <w:rPr>
          <w:rStyle w:val="libFootnoteBoldChar"/>
          <w:rtl/>
        </w:rPr>
        <w:t>الفقيه</w:t>
      </w:r>
      <w:r w:rsidR="00E3253D" w:rsidRPr="005D642E">
        <w:rPr>
          <w:rtl/>
        </w:rPr>
        <w:t xml:space="preserve"> ، ج 1 ، ص 25 ، ح 42 ، بسند آخر ، مع زيادة في أوّله ؛ </w:t>
      </w:r>
      <w:r w:rsidR="00E3253D" w:rsidRPr="002F4D34">
        <w:rPr>
          <w:rStyle w:val="libFootnoteBoldChar"/>
          <w:rtl/>
        </w:rPr>
        <w:t>الجعفريّات</w:t>
      </w:r>
      <w:r w:rsidR="00E3253D" w:rsidRPr="005D642E">
        <w:rPr>
          <w:rtl/>
        </w:rPr>
        <w:t xml:space="preserve"> ، ص 13 ، بسند آخر عن جعفر بن محمّد ، عن آبائه </w:t>
      </w:r>
      <w:r w:rsidR="00E3253D" w:rsidRPr="00BB0BF4">
        <w:rPr>
          <w:rStyle w:val="libFootnoteAlaemChar"/>
          <w:rtl/>
        </w:rPr>
        <w:t>عليهم‌السلام</w:t>
      </w:r>
      <w:r w:rsidR="00E3253D" w:rsidRPr="005D642E">
        <w:rPr>
          <w:rtl/>
        </w:rPr>
        <w:t xml:space="preserve"> ، عن النبيّ </w:t>
      </w:r>
      <w:r w:rsidRPr="009F10EE">
        <w:rPr>
          <w:rStyle w:val="libFootnoteAlaemChar"/>
          <w:rtl/>
        </w:rPr>
        <w:t>صلى‌الله‌عليه‌وآله</w:t>
      </w:r>
      <w:r w:rsidR="00E3253D" w:rsidRPr="005D642E">
        <w:rPr>
          <w:rtl/>
        </w:rPr>
        <w:t xml:space="preserve"> ؛ وفيهما إلى قوله : « الشيطان الرجيم » ؛ </w:t>
      </w:r>
      <w:r w:rsidR="00E3253D" w:rsidRPr="002F4D34">
        <w:rPr>
          <w:rStyle w:val="libFootnoteBoldChar"/>
          <w:rtl/>
        </w:rPr>
        <w:t>التهذيب</w:t>
      </w:r>
      <w:r w:rsidR="00E3253D" w:rsidRPr="005D642E">
        <w:rPr>
          <w:rtl/>
        </w:rPr>
        <w:t xml:space="preserve"> ، ج 1 ، ص 351 ، ح 1038 ، بسند آخر عن أحدهما </w:t>
      </w:r>
      <w:r w:rsidR="00E3253D" w:rsidRPr="00EC16BA">
        <w:rPr>
          <w:rStyle w:val="libFootnoteAlaemChar"/>
          <w:rtl/>
        </w:rPr>
        <w:t>عليهما‌السلام</w:t>
      </w:r>
      <w:r w:rsidR="00E3253D" w:rsidRPr="005D642E">
        <w:rPr>
          <w:rtl/>
        </w:rPr>
        <w:t xml:space="preserve"> ، إلى قوله : « وأماط عنّي الأذى »</w:t>
      </w:r>
      <w:r w:rsidR="00E3253D">
        <w:rPr>
          <w:rtl/>
        </w:rPr>
        <w:t>.</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BB0BF4">
        <w:rPr>
          <w:rStyle w:val="libFootnoteAlaemChar"/>
          <w:rtl/>
        </w:rPr>
        <w:t>عليه‌السلام</w:t>
      </w:r>
      <w:r w:rsidR="00E3253D" w:rsidRPr="005D642E">
        <w:rPr>
          <w:rtl/>
        </w:rPr>
        <w:t xml:space="preserve"> ، ص 78 ، مع زيادة ، وفي الأربعة الأخيرة مع اختلاف يسير. </w:t>
      </w:r>
      <w:r w:rsidR="00E3253D" w:rsidRPr="002F4D34">
        <w:rPr>
          <w:rStyle w:val="libFootnoteBoldChar"/>
          <w:rtl/>
        </w:rPr>
        <w:t>الفقيه</w:t>
      </w:r>
      <w:r w:rsidR="00E3253D" w:rsidRPr="005D642E">
        <w:rPr>
          <w:rtl/>
        </w:rPr>
        <w:t xml:space="preserve"> ، ج 1 ، ص 23 ، ح 37 ، مرسلاً عن رسول الله </w:t>
      </w:r>
      <w:r w:rsidRPr="009F10EE">
        <w:rPr>
          <w:rStyle w:val="libFootnoteAlaemChar"/>
          <w:rtl/>
        </w:rPr>
        <w:t>صلى‌الله‌عليه‌وآله</w:t>
      </w:r>
      <w:r w:rsidR="00E3253D" w:rsidRPr="005D642E">
        <w:rPr>
          <w:rtl/>
        </w:rPr>
        <w:t xml:space="preserve"> ، مع اختلاف وزيادة. </w:t>
      </w:r>
      <w:r w:rsidR="00E3253D" w:rsidRPr="002F4D34">
        <w:rPr>
          <w:rStyle w:val="libFootnoteBoldChar"/>
          <w:rtl/>
        </w:rPr>
        <w:t>المقنعة</w:t>
      </w:r>
      <w:r w:rsidR="00E3253D" w:rsidRPr="005D642E">
        <w:rPr>
          <w:rtl/>
        </w:rPr>
        <w:t xml:space="preserve"> ، ص 39 ، من دون الإسناد إلى المعصوم </w:t>
      </w:r>
      <w:r w:rsidR="00E3253D" w:rsidRPr="00BB0BF4">
        <w:rPr>
          <w:rStyle w:val="libFootnoteAlaemChar"/>
          <w:rtl/>
        </w:rPr>
        <w:t>عليه‌السلام</w:t>
      </w:r>
      <w:r w:rsidR="00E3253D" w:rsidRPr="005D642E">
        <w:rPr>
          <w:rtl/>
        </w:rPr>
        <w:t xml:space="preserve"> ، إلى قوله : « الشيطان الرجيم » مع اختلاف يسير </w:t>
      </w:r>
      <w:r w:rsidR="00BB0BF4">
        <w:rPr>
          <w:rFonts w:hint="cs"/>
          <w:rtl/>
        </w:rPr>
        <w:t>.</w:t>
      </w:r>
      <w:r w:rsidR="00E3253D" w:rsidRPr="002F4D34">
        <w:rPr>
          <w:rStyle w:val="libFootnoteBoldChar"/>
          <w:rtl/>
        </w:rPr>
        <w:t>الوافي</w:t>
      </w:r>
      <w:r w:rsidR="00E3253D" w:rsidRPr="005D642E">
        <w:rPr>
          <w:rtl/>
        </w:rPr>
        <w:t xml:space="preserve"> ، ج 6 ، ص 114 ، ح 3885 ؛ وص 328 ، ح 4394 ؛ </w:t>
      </w:r>
      <w:r w:rsidR="00E3253D" w:rsidRPr="002F4D34">
        <w:rPr>
          <w:rStyle w:val="libFootnoteBoldChar"/>
          <w:rtl/>
        </w:rPr>
        <w:t>الوسائل</w:t>
      </w:r>
      <w:r w:rsidR="00E3253D" w:rsidRPr="005D642E">
        <w:rPr>
          <w:rtl/>
        </w:rPr>
        <w:t xml:space="preserve"> ، ج 1 ، ص 306 ، ح 805 ؛ وص 423 ، ح 1104 ، من قوله : « وإذا توضّأت فقل »</w:t>
      </w:r>
      <w:r w:rsidR="00E3253D">
        <w:rPr>
          <w:rtl/>
        </w:rPr>
        <w:t>.</w:t>
      </w:r>
    </w:p>
    <w:p w:rsidR="00E3253D" w:rsidRPr="005D642E" w:rsidRDefault="0042621E" w:rsidP="00E3253D">
      <w:pPr>
        <w:pStyle w:val="libFootnote0"/>
        <w:rPr>
          <w:rtl/>
          <w:lang w:bidi="fa-IR"/>
        </w:rPr>
      </w:pPr>
      <w:r w:rsidRPr="0042621E">
        <w:rPr>
          <w:rStyle w:val="libFootnote0Char"/>
          <w:rtl/>
        </w:rPr>
        <w:t>(5).</w:t>
      </w:r>
      <w:r w:rsidR="00BB0BF4">
        <w:rPr>
          <w:rtl/>
        </w:rPr>
        <w:t xml:space="preserve"> قال العل</w:t>
      </w:r>
      <w:r w:rsidR="00BB0BF4">
        <w:rPr>
          <w:rFonts w:hint="cs"/>
          <w:rtl/>
        </w:rPr>
        <w:t>ّ</w:t>
      </w:r>
      <w:r w:rsidR="00BB0BF4">
        <w:rPr>
          <w:rtl/>
        </w:rPr>
        <w:t>ا</w:t>
      </w:r>
      <w:r w:rsidR="00E3253D" w:rsidRPr="005D642E">
        <w:rPr>
          <w:rtl/>
        </w:rPr>
        <w:t>مة الفيض : « السرّ في ذلك أنّه إذا ذكر الله تعالى ، طهر قلبه من خبث الغفلة عن الله ؛ وإذا طهر قلبه ، طهر سائر جسده ؛ لأنّ البدن تابع للقلب »</w:t>
      </w:r>
      <w:r w:rsidR="00E3253D">
        <w:rPr>
          <w:rtl/>
        </w:rPr>
        <w:t>.</w:t>
      </w:r>
      <w:r w:rsidR="00E3253D" w:rsidRPr="005D642E">
        <w:rPr>
          <w:rtl/>
        </w:rPr>
        <w:t xml:space="preserve"> وقيل غير ذلك. راجع : </w:t>
      </w:r>
      <w:r w:rsidR="00E3253D" w:rsidRPr="002F4D34">
        <w:rPr>
          <w:rStyle w:val="libFootnoteBoldChar"/>
          <w:rtl/>
        </w:rPr>
        <w:t>مرآة العقول</w:t>
      </w:r>
      <w:r w:rsidR="00E3253D" w:rsidRPr="005D642E">
        <w:rPr>
          <w:rtl/>
        </w:rPr>
        <w:t xml:space="preserve"> ، ج 13 ، ص 54.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لَمْ يَطْهُرْ </w:t>
      </w:r>
      <w:r w:rsidRPr="007C12DB">
        <w:rPr>
          <w:rStyle w:val="libFootnotenumChar"/>
          <w:rtl/>
        </w:rPr>
        <w:t>(1)</w:t>
      </w:r>
      <w:r w:rsidR="00D55736">
        <w:rPr>
          <w:rtl/>
          <w:lang w:bidi="fa-IR"/>
        </w:rPr>
        <w:t xml:space="preserve"> مِنْ جَسَدِكَ إِل</w:t>
      </w:r>
      <w:r w:rsidR="00D55736">
        <w:rPr>
          <w:rFonts w:hint="cs"/>
          <w:rtl/>
          <w:lang w:bidi="fa-IR"/>
        </w:rPr>
        <w:t>َّ</w:t>
      </w:r>
      <w:r w:rsidR="00D55736">
        <w:rPr>
          <w:rtl/>
          <w:lang w:bidi="fa-IR"/>
        </w:rPr>
        <w:t>ا</w:t>
      </w:r>
      <w:r w:rsidRPr="005D642E">
        <w:rPr>
          <w:rtl/>
          <w:lang w:bidi="fa-IR"/>
        </w:rPr>
        <w:t xml:space="preserve"> مَا مَرَّ عَلَيْهِ الْمَاءُ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382558">
        <w:rPr>
          <w:rtl/>
        </w:rPr>
        <w:t>3878</w:t>
      </w:r>
      <w:r w:rsidRPr="00246318">
        <w:rPr>
          <w:rStyle w:val="libBold2Char"/>
          <w:rtl/>
        </w:rPr>
        <w:t xml:space="preserve"> / 3.</w:t>
      </w:r>
      <w:r w:rsidRPr="005D642E">
        <w:rPr>
          <w:rtl/>
          <w:lang w:bidi="fa-IR"/>
        </w:rPr>
        <w:t xml:space="preserve"> مُحَمَّدُ بْنُ يَحْيى ، عَنْ أَحْمَدَ بْنِ مُحَمَّدٍ ، عَنْ إِبْرَاهِيمَ بْنِ أَبِي مَحْمُودٍ ، قَالَ :</w:t>
      </w:r>
    </w:p>
    <w:p w:rsidR="00E3253D" w:rsidRPr="005D642E" w:rsidRDefault="00E3253D" w:rsidP="00E3253D">
      <w:pPr>
        <w:pStyle w:val="libNormal"/>
        <w:rPr>
          <w:rtl/>
          <w:lang w:bidi="fa-IR"/>
        </w:rPr>
      </w:pPr>
      <w:r w:rsidRPr="005D642E">
        <w:rPr>
          <w:rtl/>
          <w:lang w:bidi="fa-IR"/>
        </w:rPr>
        <w:t xml:space="preserve">سَمِعْتُ الرِّضَا </w:t>
      </w:r>
      <w:r w:rsidRPr="00AC51C5">
        <w:rPr>
          <w:rStyle w:val="libAlaemChar"/>
          <w:rtl/>
        </w:rPr>
        <w:t>عليه‌السلام</w:t>
      </w:r>
      <w:r w:rsidRPr="005D642E">
        <w:rPr>
          <w:rtl/>
          <w:lang w:bidi="fa-IR"/>
        </w:rPr>
        <w:t xml:space="preserve"> يَقُولُ : « يُسْتَنْجى </w:t>
      </w:r>
      <w:r w:rsidRPr="007C12DB">
        <w:rPr>
          <w:rStyle w:val="libFootnotenumChar"/>
          <w:rtl/>
        </w:rPr>
        <w:t>(3)</w:t>
      </w:r>
      <w:r w:rsidRPr="005D642E">
        <w:rPr>
          <w:rtl/>
          <w:lang w:bidi="fa-IR"/>
        </w:rPr>
        <w:t xml:space="preserve"> وَيُغْسَلُ مَا ظَهَرَ مِنْهُ </w:t>
      </w:r>
      <w:r w:rsidRPr="007C12DB">
        <w:rPr>
          <w:rStyle w:val="libFootnotenumChar"/>
          <w:rtl/>
        </w:rPr>
        <w:t>(4)</w:t>
      </w:r>
      <w:r w:rsidRPr="005D642E">
        <w:rPr>
          <w:rtl/>
          <w:lang w:bidi="fa-IR"/>
        </w:rPr>
        <w:t xml:space="preserve"> عَلَى الشَّرْجِ ، وَلَاتُدْخَلُ فِيهِ الْأَنْمُلَةُ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82558">
        <w:rPr>
          <w:rtl/>
        </w:rPr>
        <w:t>3879</w:t>
      </w:r>
      <w:r w:rsidRPr="00246318">
        <w:rPr>
          <w:rStyle w:val="libBold2Char"/>
          <w:rtl/>
        </w:rPr>
        <w:t xml:space="preserve"> / 4.</w:t>
      </w:r>
      <w:r w:rsidRPr="005D642E">
        <w:rPr>
          <w:rtl/>
          <w:lang w:bidi="fa-IR"/>
        </w:rPr>
        <w:t xml:space="preserve"> أَحْمَدُ بْنُ إِدْرِيسَ ، عَنْ مُحَمَّدِ بْنِ أَحْمَدَ ، عَنْ أَحْمَدَ بْنِ الْحَسَنِ بْنِ عَلِيٍّ ، عَنْ عَمْرِو بْنِ سَعِيدٍ ، عَنْ مُصَدِّقِ بْنِ صَدَقَةَ ، عَنْ عَمَّارٍ السَّابَاطِيِّ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الرَّجُلِ إِذَا أَرَادَ أَنْ يَسْتَنْجِيَ بِأَيِّمَا </w:t>
      </w:r>
      <w:r w:rsidRPr="007C12DB">
        <w:rPr>
          <w:rStyle w:val="libFootnotenumChar"/>
          <w:rtl/>
        </w:rPr>
        <w:t>(6)</w:t>
      </w:r>
      <w:r w:rsidRPr="005D642E">
        <w:rPr>
          <w:rtl/>
          <w:lang w:bidi="fa-IR"/>
        </w:rPr>
        <w:t xml:space="preserve"> يَبْدَأُ :</w:t>
      </w:r>
      <w:r>
        <w:rPr>
          <w:rFonts w:hint="cs"/>
          <w:rtl/>
          <w:lang w:bidi="fa-IR"/>
        </w:rPr>
        <w:t xml:space="preserve"> </w:t>
      </w:r>
      <w:r w:rsidRPr="005D642E">
        <w:rPr>
          <w:rtl/>
          <w:lang w:bidi="fa-IR"/>
        </w:rPr>
        <w:t xml:space="preserve">بِالْمَقْعَدَةِ </w:t>
      </w:r>
      <w:r w:rsidRPr="007C12DB">
        <w:rPr>
          <w:rStyle w:val="libFootnotenumChar"/>
          <w:rtl/>
        </w:rPr>
        <w:t>(7)</w:t>
      </w:r>
      <w:r w:rsidRPr="005D642E">
        <w:rPr>
          <w:rtl/>
          <w:lang w:bidi="fa-IR"/>
        </w:rPr>
        <w:t xml:space="preserve"> ، أَوْ بِالْإِحْلِيلِ</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لم تطهر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355 ، ح 1060 ؛ وص 358 ، ح 1074 ، معلّقاً عن الحسين بن سعيد ؛ </w:t>
      </w:r>
      <w:r w:rsidR="00E3253D" w:rsidRPr="002F4D34">
        <w:rPr>
          <w:rStyle w:val="libFootnoteBoldChar"/>
          <w:rtl/>
        </w:rPr>
        <w:t>الاستبصار</w:t>
      </w:r>
      <w:r w:rsidR="00E3253D" w:rsidRPr="005D642E">
        <w:rPr>
          <w:rtl/>
        </w:rPr>
        <w:t xml:space="preserve"> ، ج 1 ، ص 67 ، ح 204 ، بسنده عن الحسين بن سعيد. وفي </w:t>
      </w:r>
      <w:r w:rsidR="00E3253D" w:rsidRPr="002F4D34">
        <w:rPr>
          <w:rStyle w:val="libFootnoteBoldChar"/>
          <w:rtl/>
        </w:rPr>
        <w:t>التهذيب</w:t>
      </w:r>
      <w:r w:rsidR="00E3253D" w:rsidRPr="005D642E">
        <w:rPr>
          <w:rtl/>
        </w:rPr>
        <w:t xml:space="preserve"> ، ج 1 ، ص 358 ، ح 1076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68 ، ح 205 ، بسند آخر عن أبي بصير ، عن أبي عبدالله </w:t>
      </w:r>
      <w:r w:rsidR="00E3253D" w:rsidRPr="0053019A">
        <w:rPr>
          <w:rStyle w:val="libFootnoteAlaemChar"/>
          <w:rtl/>
        </w:rPr>
        <w:t>عليه‌السلام</w:t>
      </w:r>
      <w:r w:rsidR="00E3253D" w:rsidRPr="005D642E">
        <w:rPr>
          <w:rtl/>
        </w:rPr>
        <w:t xml:space="preserve"> ، مع اختلاف يسير </w:t>
      </w:r>
      <w:r w:rsidR="0053019A">
        <w:rPr>
          <w:rFonts w:hint="cs"/>
          <w:rtl/>
        </w:rPr>
        <w:t>.</w:t>
      </w:r>
      <w:r w:rsidR="00E3253D" w:rsidRPr="002F4D34">
        <w:rPr>
          <w:rStyle w:val="libFootnoteBoldChar"/>
          <w:rtl/>
        </w:rPr>
        <w:t>الوافي</w:t>
      </w:r>
      <w:r w:rsidR="00E3253D" w:rsidRPr="005D642E">
        <w:rPr>
          <w:rtl/>
        </w:rPr>
        <w:t xml:space="preserve"> ، ج 6 ، ص 327 ، ح 4390 ؛ </w:t>
      </w:r>
      <w:r w:rsidR="00E3253D" w:rsidRPr="002F4D34">
        <w:rPr>
          <w:rStyle w:val="libFootnoteBoldChar"/>
          <w:rtl/>
        </w:rPr>
        <w:t>الوسائل</w:t>
      </w:r>
      <w:r w:rsidR="00E3253D" w:rsidRPr="005D642E">
        <w:rPr>
          <w:rtl/>
        </w:rPr>
        <w:t xml:space="preserve"> ، ج 1 ، ص 424 ، ذيل ح 1108.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الاستنجاء : غسل موضع النَجْو ، وهو ما يخرج من البطن ، أو مسحه بحجر أو مدر ، والأوّل مأخوذ من‌استنجيت الشجرَ ، إذا قطعته من أصله ؛ لأنّ الغسل يزيل الأثر. والثاني من استنجيت النخلة ، إذا التقطتَ رُطَبَها ؛ لأنّ المسح لايقطع النجاسة بل يبقى أثرها. وبالجملة الاستنجاء : إزالة الخبث من المخرجين. راجع : </w:t>
      </w:r>
      <w:r w:rsidR="00E3253D" w:rsidRPr="002F4D34">
        <w:rPr>
          <w:rStyle w:val="libFootnoteBoldChar"/>
          <w:rtl/>
        </w:rPr>
        <w:t>الصحاح</w:t>
      </w:r>
      <w:r w:rsidR="00E3253D" w:rsidRPr="005D642E">
        <w:rPr>
          <w:rtl/>
        </w:rPr>
        <w:t xml:space="preserve"> ، ج 6 ، ص 2502 ؛ </w:t>
      </w:r>
      <w:r w:rsidR="00E3253D" w:rsidRPr="002F4D34">
        <w:rPr>
          <w:rStyle w:val="libFootnoteBoldChar"/>
          <w:rtl/>
        </w:rPr>
        <w:t>المصباح المنير</w:t>
      </w:r>
      <w:r w:rsidR="00E3253D" w:rsidRPr="005D642E">
        <w:rPr>
          <w:rtl/>
        </w:rPr>
        <w:t xml:space="preserve"> ، ص 594 ( نجا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الفقيه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منه »</w:t>
      </w:r>
      <w:r w:rsidR="00E3253D">
        <w:rPr>
          <w:rtl/>
        </w:rPr>
        <w:t>.</w:t>
      </w:r>
      <w:r w:rsidR="00E3253D" w:rsidRPr="005D642E">
        <w:rPr>
          <w:rtl/>
        </w:rPr>
        <w:t xml:space="preserve"> والشَرْج ، سكون الراء أفصح من فتحها : مجمع حلقة الدبر الذي ينطبق. وقيل : الشرج : ما بين الدبر والا</w:t>
      </w:r>
      <w:r w:rsidR="0053019A">
        <w:rPr>
          <w:rFonts w:hint="cs"/>
          <w:rtl/>
        </w:rPr>
        <w:t>ُ</w:t>
      </w:r>
      <w:r w:rsidR="00E3253D" w:rsidRPr="005D642E">
        <w:rPr>
          <w:rtl/>
        </w:rPr>
        <w:t xml:space="preserve">نثيين. وقيل غير ذلك. راجع : </w:t>
      </w:r>
      <w:r w:rsidR="00E3253D" w:rsidRPr="002F4D34">
        <w:rPr>
          <w:rStyle w:val="libFootnoteBoldChar"/>
          <w:rtl/>
        </w:rPr>
        <w:t>لسان العرب</w:t>
      </w:r>
      <w:r w:rsidR="00E3253D" w:rsidRPr="005D642E">
        <w:rPr>
          <w:rtl/>
        </w:rPr>
        <w:t xml:space="preserve"> ، ج 2 ، ص 307 ؛ </w:t>
      </w:r>
      <w:r w:rsidR="00E3253D" w:rsidRPr="002F4D34">
        <w:rPr>
          <w:rStyle w:val="libFootnoteBoldChar"/>
          <w:rtl/>
        </w:rPr>
        <w:t>المصباح المنير</w:t>
      </w:r>
      <w:r w:rsidR="00E3253D" w:rsidRPr="005D642E">
        <w:rPr>
          <w:rtl/>
        </w:rPr>
        <w:t xml:space="preserve"> ، ص 308 ( شرج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45 ، ح 128 ؛ </w:t>
      </w:r>
      <w:r w:rsidR="00E3253D" w:rsidRPr="00E678B5">
        <w:rPr>
          <w:rStyle w:val="libFootnoteBoldChar"/>
          <w:rtl/>
        </w:rPr>
        <w:t>والاستبصار</w:t>
      </w:r>
      <w:r w:rsidR="00E3253D" w:rsidRPr="005D642E">
        <w:rPr>
          <w:rtl/>
        </w:rPr>
        <w:t xml:space="preserve"> ، ج 1 ، ص 51 ، ح 146 ، بسنده عن أحمد بن محمّد. </w:t>
      </w:r>
      <w:r w:rsidR="00E3253D" w:rsidRPr="002F4D34">
        <w:rPr>
          <w:rStyle w:val="libFootnoteBoldChar"/>
          <w:rtl/>
        </w:rPr>
        <w:t>الفقيه</w:t>
      </w:r>
      <w:r w:rsidR="00E3253D" w:rsidRPr="005D642E">
        <w:rPr>
          <w:rtl/>
        </w:rPr>
        <w:t xml:space="preserve"> ، ج 1 ، ص 31 ، ح 60 ، مرسلاً ، وفي كلّها مع اختلاف يسير </w:t>
      </w:r>
      <w:r w:rsidR="0053019A">
        <w:rPr>
          <w:rFonts w:hint="cs"/>
          <w:rtl/>
        </w:rPr>
        <w:t>.</w:t>
      </w:r>
      <w:r w:rsidR="00E3253D" w:rsidRPr="002F4D34">
        <w:rPr>
          <w:rStyle w:val="libFootnoteBoldChar"/>
          <w:rtl/>
        </w:rPr>
        <w:t>الوافي</w:t>
      </w:r>
      <w:r w:rsidR="00E3253D" w:rsidRPr="005D642E">
        <w:rPr>
          <w:rtl/>
        </w:rPr>
        <w:t xml:space="preserve"> ، ج 6 ، ص 124 ، ح 3908 ؛ </w:t>
      </w:r>
      <w:r w:rsidR="00E3253D" w:rsidRPr="002F4D34">
        <w:rPr>
          <w:rStyle w:val="libFootnoteBoldChar"/>
          <w:rtl/>
        </w:rPr>
        <w:t>الوسائل</w:t>
      </w:r>
      <w:r w:rsidR="00E3253D" w:rsidRPr="005D642E">
        <w:rPr>
          <w:rtl/>
        </w:rPr>
        <w:t xml:space="preserve"> ، ج 1 ، ص 347 ، ح 919 ؛ وج 3 ، ص 437 ، ح 4094.</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ى ، بخ ، بس ، جن » وحاشية « بث ، بح ، جح » والوسائل : « بالماء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بح » : « المقعدة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فَقَالَ : « بِالْمَقْعَدَةِ ، ثُمَّ بِالْإِحْلِيلِ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ED2807">
        <w:rPr>
          <w:rtl/>
        </w:rPr>
        <w:t>3880</w:t>
      </w:r>
      <w:r w:rsidRPr="00246318">
        <w:rPr>
          <w:rStyle w:val="libBold2Char"/>
          <w:rtl/>
        </w:rPr>
        <w:t xml:space="preserve"> / 5.</w:t>
      </w:r>
      <w:r w:rsidRPr="005D642E">
        <w:rPr>
          <w:rtl/>
          <w:lang w:bidi="fa-IR"/>
        </w:rPr>
        <w:t xml:space="preserve"> عَلِيُّ بْنُ إِبْرَاهِيمَ ، عَنْ مُحَمَّدِ بْنِ عِيسى ، عَنْ يُونُسَ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نَهى رَسُولُ اللهِ </w:t>
      </w:r>
      <w:r w:rsidR="0042621E" w:rsidRPr="0042621E">
        <w:rPr>
          <w:rStyle w:val="libAlaemChar"/>
          <w:rtl/>
        </w:rPr>
        <w:t>صلى‌الله‌عليه‌وآله</w:t>
      </w:r>
      <w:r w:rsidRPr="005D642E">
        <w:rPr>
          <w:rtl/>
          <w:lang w:bidi="fa-IR"/>
        </w:rPr>
        <w:t xml:space="preserve"> أَنْ يَسْتَنْجِيَ الرَّجُلُ بِيَمِينِهِ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ED2807">
        <w:rPr>
          <w:rtl/>
        </w:rPr>
        <w:t>3881</w:t>
      </w:r>
      <w:r w:rsidRPr="00246318">
        <w:rPr>
          <w:rStyle w:val="libBold2Char"/>
          <w:rtl/>
        </w:rPr>
        <w:t xml:space="preserve"> / 6.</w:t>
      </w:r>
      <w:r w:rsidRPr="005D642E">
        <w:rPr>
          <w:rtl/>
          <w:lang w:bidi="fa-IR"/>
        </w:rPr>
        <w:t xml:space="preserve"> مُحَمَّدُ بْنُ يَحْيى ، عَنْ مُحَمَّدِ بْنِ أَحْمَدَ ، عَنْ مُحَمَّدِ بْنِ عِيسى ، عَنْ عَلِيِّ بْنِ الْحُسَيْنِ بْنِ عَبْدِ رَبِّهِ ، قَالَ :</w:t>
      </w:r>
    </w:p>
    <w:p w:rsidR="00E3253D" w:rsidRPr="005D642E" w:rsidRDefault="00E3253D" w:rsidP="00E3253D">
      <w:pPr>
        <w:pStyle w:val="libNormal"/>
        <w:rPr>
          <w:rtl/>
          <w:lang w:bidi="fa-IR"/>
        </w:rPr>
      </w:pPr>
      <w:r w:rsidRPr="005D642E">
        <w:rPr>
          <w:rtl/>
          <w:lang w:bidi="fa-IR"/>
        </w:rPr>
        <w:t xml:space="preserve">قُلْتُ لَهُ : مَا تَقُولُ فِي الْفَصِّ يُتَّخَذُ مِنْ حِجَارَةِ زُمُرُّدٍ </w:t>
      </w:r>
      <w:r w:rsidRPr="007C12DB">
        <w:rPr>
          <w:rStyle w:val="libFootnotenumChar"/>
          <w:rtl/>
        </w:rPr>
        <w:t>(3)</w:t>
      </w:r>
      <w:r>
        <w:rPr>
          <w:rtl/>
          <w:lang w:bidi="fa-IR"/>
        </w:rPr>
        <w:t>؟</w:t>
      </w:r>
    </w:p>
    <w:p w:rsidR="00E3253D" w:rsidRPr="005D642E" w:rsidRDefault="00E3253D" w:rsidP="00E3253D">
      <w:pPr>
        <w:pStyle w:val="libNormal"/>
        <w:rPr>
          <w:rtl/>
          <w:lang w:bidi="fa-IR"/>
        </w:rPr>
      </w:pPr>
      <w:r w:rsidRPr="005D642E">
        <w:rPr>
          <w:rtl/>
          <w:lang w:bidi="fa-IR"/>
        </w:rPr>
        <w:t xml:space="preserve">قَالَ : « لَا بَأْسَ بِهِ ، وَلكِنْ إِذَا أَرَادَ الاسْتِنْجَاءَ </w:t>
      </w:r>
      <w:r w:rsidRPr="007C12DB">
        <w:rPr>
          <w:rStyle w:val="libFootnotenumChar"/>
          <w:rtl/>
        </w:rPr>
        <w:t>(4)</w:t>
      </w:r>
      <w:r w:rsidRPr="005D642E">
        <w:rPr>
          <w:rtl/>
          <w:lang w:bidi="fa-IR"/>
        </w:rPr>
        <w:t xml:space="preserve"> نَزَعَهُ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D2807">
        <w:rPr>
          <w:rtl/>
        </w:rPr>
        <w:t>3882</w:t>
      </w:r>
      <w:r w:rsidRPr="00246318">
        <w:rPr>
          <w:rStyle w:val="libBold2Char"/>
          <w:rtl/>
        </w:rPr>
        <w:t xml:space="preserve"> / 7.</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الاسْتِنْجَاءُ بِالْيَمِينِ مِنَ الْجَفَاءِ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29 ، ح 76 ، بسنده عن الكليني </w:t>
      </w:r>
      <w:r w:rsidR="0053019A">
        <w:rPr>
          <w:rFonts w:hint="cs"/>
          <w:rtl/>
        </w:rPr>
        <w:t>.</w:t>
      </w:r>
      <w:r w:rsidR="00E3253D" w:rsidRPr="002F4D34">
        <w:rPr>
          <w:rStyle w:val="libFootnoteBoldChar"/>
          <w:rtl/>
        </w:rPr>
        <w:t>الوافي</w:t>
      </w:r>
      <w:r w:rsidR="00E3253D" w:rsidRPr="005D642E">
        <w:rPr>
          <w:rtl/>
        </w:rPr>
        <w:t xml:space="preserve"> ، ج 6 ، ص 123 ، ح 3905 ؛ </w:t>
      </w:r>
      <w:r w:rsidR="00E3253D" w:rsidRPr="002F4D34">
        <w:rPr>
          <w:rStyle w:val="libFootnoteBoldChar"/>
          <w:rtl/>
        </w:rPr>
        <w:t>الوسائل</w:t>
      </w:r>
      <w:r w:rsidR="00E3253D" w:rsidRPr="005D642E">
        <w:rPr>
          <w:rtl/>
        </w:rPr>
        <w:t xml:space="preserve"> ، ج 1 ، ص 323 ، ح 851.</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28 ، ح 73 ، بسنده عن الكليني </w:t>
      </w:r>
      <w:r w:rsidR="0053019A">
        <w:rPr>
          <w:rFonts w:hint="cs"/>
          <w:rtl/>
        </w:rPr>
        <w:t>.</w:t>
      </w:r>
      <w:r w:rsidR="00E3253D" w:rsidRPr="002F4D34">
        <w:rPr>
          <w:rStyle w:val="libFootnoteBoldChar"/>
          <w:rtl/>
        </w:rPr>
        <w:t>الوافي</w:t>
      </w:r>
      <w:r w:rsidR="00E3253D" w:rsidRPr="005D642E">
        <w:rPr>
          <w:rtl/>
        </w:rPr>
        <w:t xml:space="preserve"> ، ج 6 ، ص 124 ، ح 3911 ؛ </w:t>
      </w:r>
      <w:r w:rsidR="00E3253D" w:rsidRPr="002F4D34">
        <w:rPr>
          <w:rStyle w:val="libFootnoteBoldChar"/>
          <w:rtl/>
        </w:rPr>
        <w:t>الوسائل</w:t>
      </w:r>
      <w:r w:rsidR="00E3253D" w:rsidRPr="005D642E">
        <w:rPr>
          <w:rtl/>
        </w:rPr>
        <w:t xml:space="preserve"> ، ج 1 ، ص 321 ، ح 842.</w:t>
      </w:r>
    </w:p>
    <w:p w:rsidR="00E3253D" w:rsidRPr="005D642E" w:rsidRDefault="0042621E" w:rsidP="0010298D">
      <w:pPr>
        <w:pStyle w:val="libFootnote0"/>
        <w:rPr>
          <w:rtl/>
          <w:lang w:bidi="fa-IR"/>
        </w:rPr>
      </w:pPr>
      <w:r w:rsidRPr="0042621E">
        <w:rPr>
          <w:rStyle w:val="libFootnote0Char"/>
          <w:rtl/>
        </w:rPr>
        <w:t>(3).</w:t>
      </w:r>
      <w:r w:rsidR="00E3253D" w:rsidRPr="005D642E">
        <w:rPr>
          <w:rtl/>
        </w:rPr>
        <w:t xml:space="preserve"> في « ى ، بث ، بح ، جح ، جس » وحاشية « غ ، بخ ، بس ، بف ، بن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 « زمزم »</w:t>
      </w:r>
      <w:r w:rsidR="00E3253D">
        <w:rPr>
          <w:rtl/>
        </w:rPr>
        <w:t>.</w:t>
      </w:r>
      <w:r w:rsidR="00E3253D" w:rsidRPr="005D642E">
        <w:rPr>
          <w:rtl/>
        </w:rPr>
        <w:t xml:space="preserve"> وفي التهذيب : « أحجار زمزم » بدل « حجارة زمرّد »</w:t>
      </w:r>
      <w:r w:rsidR="00E3253D">
        <w:rPr>
          <w:rtl/>
        </w:rPr>
        <w:t>.</w:t>
      </w:r>
      <w:r w:rsidR="00E3253D" w:rsidRPr="005D642E">
        <w:rPr>
          <w:rtl/>
        </w:rPr>
        <w:t xml:space="preserve"> وقال في </w:t>
      </w:r>
      <w:r w:rsidR="00E3253D" w:rsidRPr="002F4D34">
        <w:rPr>
          <w:rStyle w:val="libFootnoteBoldChar"/>
          <w:rtl/>
        </w:rPr>
        <w:t>الوافي</w:t>
      </w:r>
      <w:r w:rsidR="00E3253D" w:rsidRPr="005D642E">
        <w:rPr>
          <w:rtl/>
        </w:rPr>
        <w:t xml:space="preserve"> : « في كثير من النسخ : زمرّد ، مكان زمزم ، وكأنّه الصواب ؛ إذ لا تعرف حجارة يؤتى بها من زمزم »</w:t>
      </w:r>
      <w:r w:rsidR="00E3253D">
        <w:rPr>
          <w:rtl/>
        </w:rPr>
        <w:t>.</w:t>
      </w:r>
      <w:r w:rsidR="00E3253D" w:rsidRPr="005D642E">
        <w:rPr>
          <w:rtl/>
        </w:rPr>
        <w:t xml:space="preserve"> وهاهنا كلام على الن</w:t>
      </w:r>
      <w:r w:rsidR="00E11C8F">
        <w:rPr>
          <w:rtl/>
        </w:rPr>
        <w:t>سختين ، الأنسب منهما ذكره العل</w:t>
      </w:r>
      <w:r w:rsidR="00E11C8F">
        <w:rPr>
          <w:rFonts w:hint="cs"/>
          <w:rtl/>
        </w:rPr>
        <w:t>ّ</w:t>
      </w:r>
      <w:r w:rsidR="00E11C8F">
        <w:rPr>
          <w:rtl/>
        </w:rPr>
        <w:t>ا</w:t>
      </w:r>
      <w:r w:rsidR="00E3253D" w:rsidRPr="005D642E">
        <w:rPr>
          <w:rtl/>
        </w:rPr>
        <w:t xml:space="preserve">مة المجلسي. راجع : </w:t>
      </w:r>
      <w:r w:rsidR="00E3253D" w:rsidRPr="002F4D34">
        <w:rPr>
          <w:rStyle w:val="libFootnoteBoldChar"/>
          <w:rtl/>
        </w:rPr>
        <w:t>مرآة العقول</w:t>
      </w:r>
      <w:r w:rsidR="00E3253D" w:rsidRPr="005D642E">
        <w:rPr>
          <w:rtl/>
        </w:rPr>
        <w:t xml:space="preserve"> ، ج 13 ، ص 55</w:t>
      </w:r>
      <w:r w:rsidR="00E3253D">
        <w:rPr>
          <w:rtl/>
        </w:rPr>
        <w:t xml:space="preserve"> </w:t>
      </w:r>
      <w:r w:rsidR="007642BC">
        <w:rPr>
          <w:rtl/>
        </w:rPr>
        <w:t>-</w:t>
      </w:r>
      <w:r w:rsidR="00E3253D">
        <w:rPr>
          <w:rtl/>
        </w:rPr>
        <w:t xml:space="preserve"> </w:t>
      </w:r>
      <w:r w:rsidR="00E3253D" w:rsidRPr="005D642E">
        <w:rPr>
          <w:rtl/>
        </w:rPr>
        <w:t>56.</w:t>
      </w:r>
      <w:r w:rsidR="0010298D">
        <w:rPr>
          <w:rFonts w:hint="cs"/>
          <w:rtl/>
        </w:rPr>
        <w:t xml:space="preserve">            </w:t>
      </w:r>
      <w:r w:rsidRPr="0042621E">
        <w:rPr>
          <w:rStyle w:val="libFootnote0Char"/>
          <w:rtl/>
        </w:rPr>
        <w:t>(4).</w:t>
      </w:r>
      <w:r w:rsidR="00E3253D" w:rsidRPr="005D642E">
        <w:rPr>
          <w:rtl/>
        </w:rPr>
        <w:t xml:space="preserve"> في « بف » : + « به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355 ، ح 1059 ، معلّقاً عن أحمد بن محمّد بن عيسى ، عن عليّ بن الحسين بن عبد ربّه. </w:t>
      </w:r>
      <w:r w:rsidR="00E3253D" w:rsidRPr="002F4D34">
        <w:rPr>
          <w:rStyle w:val="libFootnoteBoldChar"/>
          <w:rtl/>
        </w:rPr>
        <w:t>الفقيه</w:t>
      </w:r>
      <w:r w:rsidR="00E3253D" w:rsidRPr="005D642E">
        <w:rPr>
          <w:rtl/>
        </w:rPr>
        <w:t xml:space="preserve"> ، ج 1 ، ص 29 ، ذيل ح 58 ، مع اختلاف يسير </w:t>
      </w:r>
      <w:r>
        <w:rPr>
          <w:rFonts w:hint="cs"/>
          <w:rtl/>
        </w:rPr>
        <w:t>.</w:t>
      </w:r>
      <w:r w:rsidR="00E3253D" w:rsidRPr="002F4D34">
        <w:rPr>
          <w:rStyle w:val="libFootnoteBoldChar"/>
          <w:rtl/>
        </w:rPr>
        <w:t>الوافي</w:t>
      </w:r>
      <w:r w:rsidR="00E3253D" w:rsidRPr="005D642E">
        <w:rPr>
          <w:rtl/>
        </w:rPr>
        <w:t xml:space="preserve"> ، ج 6 ، ص 125 ، ح 3914 ؛ </w:t>
      </w:r>
      <w:r w:rsidR="00E3253D" w:rsidRPr="002F4D34">
        <w:rPr>
          <w:rStyle w:val="libFootnoteBoldChar"/>
          <w:rtl/>
        </w:rPr>
        <w:t>الوسائل</w:t>
      </w:r>
      <w:r w:rsidR="00E3253D" w:rsidRPr="005D642E">
        <w:rPr>
          <w:rtl/>
        </w:rPr>
        <w:t xml:space="preserve"> ، ج 1 ، ص 359 ، ذيل ح 953.</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28 ، ح 74 ، بسنده عن الكليني. </w:t>
      </w:r>
      <w:r w:rsidR="00E3253D" w:rsidRPr="002F4D34">
        <w:rPr>
          <w:rStyle w:val="libFootnoteBoldChar"/>
          <w:rtl/>
        </w:rPr>
        <w:t>الخصال</w:t>
      </w:r>
      <w:r w:rsidR="00E3253D" w:rsidRPr="005D642E">
        <w:rPr>
          <w:rtl/>
        </w:rPr>
        <w:t xml:space="preserve"> ، ص 54 ، باب الاثنين ، ح 72 ، بسنده عن عليّ بن إبراهيم بن هاشم ، عن أبيه ، عن النوفلي ، عن السكوني ، عن جعفر بن محمّد ، عن آبائه </w:t>
      </w:r>
      <w:r w:rsidR="00E3253D" w:rsidRPr="0042621E">
        <w:rPr>
          <w:rStyle w:val="libFootnoteAlaemChar"/>
          <w:rtl/>
        </w:rPr>
        <w:t>عليهم‌السلام</w:t>
      </w:r>
      <w:r w:rsidR="00E3253D" w:rsidRPr="005D642E">
        <w:rPr>
          <w:rtl/>
        </w:rPr>
        <w:t xml:space="preserve"> عن رسول الله </w:t>
      </w:r>
      <w:r w:rsidRPr="0042621E">
        <w:rPr>
          <w:rStyle w:val="libFootnoteAlaemChar"/>
          <w:rtl/>
        </w:rPr>
        <w:t>صلى‌الله‌عليه‌وآله</w:t>
      </w:r>
      <w:r w:rsidR="00E3253D" w:rsidRPr="005D642E">
        <w:rPr>
          <w:rtl/>
        </w:rPr>
        <w:t xml:space="preserve">. </w:t>
      </w:r>
      <w:r w:rsidR="00E3253D" w:rsidRPr="002F4D34">
        <w:rPr>
          <w:rStyle w:val="libFootnoteBoldChar"/>
          <w:rtl/>
        </w:rPr>
        <w:t>الجعفريّات</w:t>
      </w:r>
      <w:r w:rsidR="00E3253D" w:rsidRPr="005D642E">
        <w:rPr>
          <w:rtl/>
        </w:rPr>
        <w:t xml:space="preserve"> ، ص 17 ، بسند آخر عن جعفر بن محمّد ، عن آبائه </w:t>
      </w:r>
      <w:r w:rsidR="00E3253D" w:rsidRPr="0042621E">
        <w:rPr>
          <w:rStyle w:val="libFootnoteAlaemChar"/>
          <w:rtl/>
        </w:rPr>
        <w:t>عليهم‌السلام</w:t>
      </w:r>
      <w:r w:rsidR="00E3253D" w:rsidRPr="005D642E">
        <w:rPr>
          <w:rtl/>
        </w:rPr>
        <w:t xml:space="preserve"> ، عن رسول الله </w:t>
      </w:r>
      <w:r w:rsidRPr="0042621E">
        <w:rPr>
          <w:rStyle w:val="libFootnoteAlaemChar"/>
          <w:rtl/>
        </w:rPr>
        <w:t>صلى‌الله‌عليه‌وآله</w:t>
      </w:r>
      <w:r w:rsidR="00E3253D" w:rsidRPr="005D642E">
        <w:rPr>
          <w:rtl/>
        </w:rPr>
        <w:t xml:space="preserve">. </w:t>
      </w:r>
      <w:r w:rsidR="00E3253D" w:rsidRPr="002F4D34">
        <w:rPr>
          <w:rStyle w:val="libFootnoteBoldChar"/>
          <w:rtl/>
        </w:rPr>
        <w:t>الفقيه</w:t>
      </w:r>
      <w:r w:rsidR="00E3253D" w:rsidRPr="005D642E">
        <w:rPr>
          <w:rtl/>
        </w:rPr>
        <w:t xml:space="preserve"> ، ج 1 ، ص 27 ، ح 51 ، مرسلاً ، وفي الثلاثة الأخيرة مع زيادة في أوّله </w:t>
      </w:r>
      <w:r w:rsidR="00E3253D" w:rsidRPr="002F4D34">
        <w:rPr>
          <w:rStyle w:val="libFootnoteBoldChar"/>
          <w:rtl/>
        </w:rPr>
        <w:t>الوافي</w:t>
      </w:r>
      <w:r w:rsidR="00E3253D" w:rsidRPr="005D642E">
        <w:rPr>
          <w:rtl/>
        </w:rPr>
        <w:t xml:space="preserve"> ، ج 6 ، ص 125 ، ح 3912 ؛ </w:t>
      </w:r>
      <w:r w:rsidR="00E3253D" w:rsidRPr="002F4D34">
        <w:rPr>
          <w:rStyle w:val="libFootnoteBoldChar"/>
          <w:rtl/>
        </w:rPr>
        <w:t>الوسائل</w:t>
      </w:r>
      <w:r w:rsidR="00E3253D" w:rsidRPr="005D642E">
        <w:rPr>
          <w:rtl/>
        </w:rPr>
        <w:t xml:space="preserve"> ، ج 1 ، ص 321 ، ح 843.</w:t>
      </w:r>
    </w:p>
    <w:p w:rsidR="00E3253D" w:rsidRDefault="00E3253D" w:rsidP="00E3253D">
      <w:pPr>
        <w:pStyle w:val="libNormal"/>
        <w:rPr>
          <w:rtl/>
          <w:lang w:bidi="fa-IR"/>
        </w:rPr>
      </w:pPr>
      <w:r>
        <w:rPr>
          <w:rtl/>
          <w:lang w:bidi="fa-IR"/>
        </w:rPr>
        <w:br w:type="page"/>
      </w:r>
    </w:p>
    <w:p w:rsidR="00E3253D" w:rsidRPr="005D642E" w:rsidRDefault="0042621E" w:rsidP="00E3253D">
      <w:pPr>
        <w:pStyle w:val="libNormal"/>
        <w:rPr>
          <w:rtl/>
          <w:lang w:bidi="fa-IR"/>
        </w:rPr>
      </w:pPr>
      <w:r>
        <w:rPr>
          <w:rFonts w:hint="cs"/>
          <w:rtl/>
          <w:lang w:bidi="fa-IR"/>
        </w:rPr>
        <w:lastRenderedPageBreak/>
        <w:t xml:space="preserve">* </w:t>
      </w:r>
      <w:r w:rsidR="00E3253D" w:rsidRPr="005D642E">
        <w:rPr>
          <w:rtl/>
          <w:lang w:bidi="fa-IR"/>
        </w:rPr>
        <w:t xml:space="preserve">وَرُوِيَ « أَنَّهُ </w:t>
      </w:r>
      <w:r w:rsidR="00E3253D" w:rsidRPr="007C12DB">
        <w:rPr>
          <w:rStyle w:val="libFootnotenumChar"/>
          <w:rtl/>
        </w:rPr>
        <w:t>(1)</w:t>
      </w:r>
      <w:r w:rsidR="00E3253D" w:rsidRPr="005D642E">
        <w:rPr>
          <w:rtl/>
          <w:lang w:bidi="fa-IR"/>
        </w:rPr>
        <w:t xml:space="preserve"> إِذَا كَانَتْ بِالْيَسَارِ عِلَّةٌ »</w:t>
      </w:r>
      <w:r w:rsidR="00E3253D">
        <w:rPr>
          <w:rtl/>
          <w:lang w:bidi="fa-IR"/>
        </w:rPr>
        <w:t>.</w:t>
      </w:r>
      <w:r w:rsidR="00E3253D" w:rsidRPr="005D642E">
        <w:rPr>
          <w:rtl/>
          <w:lang w:bidi="fa-IR"/>
        </w:rPr>
        <w:t xml:space="preserve"> </w:t>
      </w:r>
      <w:r w:rsidR="00E3253D" w:rsidRPr="007C12DB">
        <w:rPr>
          <w:rStyle w:val="libFootnotenumChar"/>
          <w:rtl/>
        </w:rPr>
        <w:t>(2)</w:t>
      </w:r>
      <w:r w:rsidR="00E3253D" w:rsidRPr="005D642E">
        <w:rPr>
          <w:rtl/>
          <w:lang w:bidi="fa-IR"/>
        </w:rPr>
        <w:t xml:space="preserve"> ‌</w:t>
      </w:r>
    </w:p>
    <w:p w:rsidR="0042621E" w:rsidRDefault="00E3253D" w:rsidP="0042621E">
      <w:pPr>
        <w:pStyle w:val="libNormal"/>
        <w:rPr>
          <w:rtl/>
          <w:lang w:bidi="fa-IR"/>
        </w:rPr>
      </w:pPr>
      <w:r w:rsidRPr="00ED2807">
        <w:rPr>
          <w:rtl/>
        </w:rPr>
        <w:t>3883</w:t>
      </w:r>
      <w:r w:rsidRPr="00246318">
        <w:rPr>
          <w:rStyle w:val="libBold2Char"/>
          <w:rtl/>
        </w:rPr>
        <w:t xml:space="preserve"> / 8.</w:t>
      </w:r>
      <w:r w:rsidRPr="005D642E">
        <w:rPr>
          <w:rtl/>
          <w:lang w:bidi="fa-IR"/>
        </w:rPr>
        <w:t xml:space="preserve"> عَلِيُّ بْنُ إِبْرَاهِيمَ ، عَنْ أَبِيهِ ؛</w:t>
      </w:r>
    </w:p>
    <w:p w:rsidR="00E3253D" w:rsidRPr="005D642E" w:rsidRDefault="0042621E" w:rsidP="0042621E">
      <w:pPr>
        <w:pStyle w:val="libNormal"/>
        <w:rPr>
          <w:rtl/>
          <w:lang w:bidi="fa-IR"/>
        </w:rPr>
      </w:pPr>
      <w:r>
        <w:rPr>
          <w:rFonts w:hint="cs"/>
          <w:rtl/>
          <w:lang w:bidi="fa-IR"/>
        </w:rPr>
        <w:t xml:space="preserve">               </w:t>
      </w:r>
      <w:r w:rsidR="00E3253D" w:rsidRPr="005D642E">
        <w:rPr>
          <w:rtl/>
          <w:lang w:bidi="fa-IR"/>
        </w:rPr>
        <w:t xml:space="preserve">وَمُحَمَّدُ بْنُ إِسْمَاعِيلَ ، عَنِ الْفَضْلِ بْنِ شَاذَانَ جَمِيعاً ، عَنِ ابْنِ أَبِي عُمَيْرٍ ، عَنْ جَمِيلٍ </w:t>
      </w:r>
      <w:r w:rsidR="00E3253D" w:rsidRPr="007C12DB">
        <w:rPr>
          <w:rStyle w:val="libFootnotenumChar"/>
          <w:rtl/>
        </w:rPr>
        <w:t>(3)</w:t>
      </w:r>
      <w:r w:rsidR="00E3253D"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انْقَطَعَتْ دِرَّةُ الْبَوْلِ </w:t>
      </w:r>
      <w:r w:rsidRPr="007C12DB">
        <w:rPr>
          <w:rStyle w:val="libFootnotenumChar"/>
          <w:rtl/>
        </w:rPr>
        <w:t>(4)</w:t>
      </w:r>
      <w:r w:rsidRPr="005D642E">
        <w:rPr>
          <w:rtl/>
          <w:lang w:bidi="fa-IR"/>
        </w:rPr>
        <w:t xml:space="preserve"> ، فَصُبَّ الْمَاءَ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D2807">
        <w:rPr>
          <w:rtl/>
        </w:rPr>
        <w:t>3884</w:t>
      </w:r>
      <w:r w:rsidRPr="00246318">
        <w:rPr>
          <w:rStyle w:val="libBold2Char"/>
          <w:rtl/>
        </w:rPr>
        <w:t xml:space="preserve"> / 9.</w:t>
      </w:r>
      <w:r w:rsidRPr="005D642E">
        <w:rPr>
          <w:rtl/>
          <w:lang w:bidi="fa-IR"/>
        </w:rPr>
        <w:t xml:space="preserve"> عَلِيُّ بْنُ إِبْرَاهِيمَ ، عَنْ أَبِيهِ ، عَنِ ابْنِ الْمُغِيرَةِ :</w:t>
      </w:r>
    </w:p>
    <w:p w:rsidR="00E3253D" w:rsidRPr="005D642E" w:rsidRDefault="00E3253D" w:rsidP="00E3253D">
      <w:pPr>
        <w:pStyle w:val="libNormal"/>
        <w:rPr>
          <w:rtl/>
          <w:lang w:bidi="fa-IR"/>
        </w:rPr>
      </w:pPr>
      <w:r w:rsidRPr="005D642E">
        <w:rPr>
          <w:rtl/>
          <w:lang w:bidi="fa-IR"/>
        </w:rPr>
        <w:t xml:space="preserve">عَنْ أَبِي الْحَسَنِ </w:t>
      </w:r>
      <w:r w:rsidRPr="00AC51C5">
        <w:rPr>
          <w:rStyle w:val="libAlaemChar"/>
          <w:rtl/>
        </w:rPr>
        <w:t>عليه‌السلام</w:t>
      </w:r>
      <w:r w:rsidRPr="005D642E">
        <w:rPr>
          <w:rtl/>
          <w:lang w:bidi="fa-IR"/>
        </w:rPr>
        <w:t xml:space="preserve"> ، قَالَ : قُلْتُ لَهُ </w:t>
      </w:r>
      <w:r w:rsidRPr="007C12DB">
        <w:rPr>
          <w:rStyle w:val="libFootnotenumChar"/>
          <w:rtl/>
        </w:rPr>
        <w:t>(6)</w:t>
      </w:r>
      <w:r w:rsidRPr="005D642E">
        <w:rPr>
          <w:rtl/>
          <w:lang w:bidi="fa-IR"/>
        </w:rPr>
        <w:t xml:space="preserve"> : لِلِاسْتِنْجَاءِ حَدٌّ</w:t>
      </w:r>
      <w:r>
        <w:rPr>
          <w:rtl/>
          <w:lang w:bidi="fa-IR"/>
        </w:rPr>
        <w:t>؟</w:t>
      </w:r>
      <w:r w:rsidRPr="005D642E">
        <w:rPr>
          <w:rtl/>
          <w:lang w:bidi="fa-IR"/>
        </w:rPr>
        <w:t xml:space="preserve"> قَالَ : « لَا ، يُنَقّى </w:t>
      </w:r>
      <w:r w:rsidRPr="007C12DB">
        <w:rPr>
          <w:rStyle w:val="libFootnotenumChar"/>
          <w:rtl/>
        </w:rPr>
        <w:t>(7)</w:t>
      </w:r>
      <w:r w:rsidRPr="005D642E">
        <w:rPr>
          <w:rtl/>
          <w:lang w:bidi="fa-IR"/>
        </w:rPr>
        <w:t xml:space="preserve"> مَا ثَمَّةَ »</w:t>
      </w:r>
      <w:r>
        <w:rPr>
          <w:rtl/>
          <w:lang w:bidi="fa-IR"/>
        </w:rPr>
        <w:t>.</w:t>
      </w:r>
    </w:p>
    <w:p w:rsidR="00E3253D" w:rsidRPr="005D642E" w:rsidRDefault="00E3253D" w:rsidP="00E3253D">
      <w:pPr>
        <w:pStyle w:val="libNormal"/>
        <w:rPr>
          <w:rtl/>
          <w:lang w:bidi="fa-IR"/>
        </w:rPr>
      </w:pPr>
      <w:r w:rsidRPr="005D642E">
        <w:rPr>
          <w:rtl/>
          <w:lang w:bidi="fa-IR"/>
        </w:rPr>
        <w:t xml:space="preserve">قُلْتُ : فَإِنَّهُ يُنَقّى </w:t>
      </w:r>
      <w:r w:rsidRPr="007C12DB">
        <w:rPr>
          <w:rStyle w:val="libFootnotenumChar"/>
          <w:rtl/>
        </w:rPr>
        <w:t>(8)</w:t>
      </w:r>
      <w:r w:rsidRPr="005D642E">
        <w:rPr>
          <w:rtl/>
          <w:lang w:bidi="fa-IR"/>
        </w:rPr>
        <w:t xml:space="preserve"> مَا ثَمَّةَ ، وَيَبْقَى </w:t>
      </w:r>
      <w:r w:rsidRPr="007C12DB">
        <w:rPr>
          <w:rStyle w:val="libFootnotenumChar"/>
          <w:rtl/>
        </w:rPr>
        <w:t>(9)</w:t>
      </w:r>
      <w:r w:rsidRPr="005D642E">
        <w:rPr>
          <w:rtl/>
          <w:lang w:bidi="fa-IR"/>
        </w:rPr>
        <w:t xml:space="preserve"> الرِّيحُ</w:t>
      </w:r>
      <w:r>
        <w:rPr>
          <w:rtl/>
          <w:lang w:bidi="fa-IR"/>
        </w:rPr>
        <w:t>؟</w:t>
      </w:r>
      <w:r w:rsidRPr="005D642E">
        <w:rPr>
          <w:rtl/>
          <w:lang w:bidi="fa-IR"/>
        </w:rPr>
        <w:t xml:space="preserve"> قَالَ : « الرِّيحُ لَايُنْظَرُ إِلَيْهَا </w:t>
      </w:r>
      <w:r w:rsidRPr="007C12DB">
        <w:rPr>
          <w:rStyle w:val="libFootnotenumChar"/>
          <w:rtl/>
        </w:rPr>
        <w:t>(10)</w:t>
      </w:r>
      <w:r w:rsidRPr="005D642E">
        <w:rPr>
          <w:rtl/>
          <w:lang w:bidi="fa-IR"/>
        </w:rPr>
        <w:t xml:space="preserve">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جن » وحاشية « بح » : « كان » بدل « كانت »</w:t>
      </w:r>
      <w:r w:rsidR="00E3253D">
        <w:rPr>
          <w:rtl/>
        </w:rPr>
        <w:t>.</w:t>
      </w:r>
      <w:r w:rsidR="00E3253D" w:rsidRPr="005D642E">
        <w:rPr>
          <w:rtl/>
        </w:rPr>
        <w:t xml:space="preserve"> وفي الوافي : + « لا بأس »</w:t>
      </w:r>
      <w:r w:rsidR="00E3253D">
        <w:rPr>
          <w:rtl/>
        </w:rPr>
        <w:t>.</w:t>
      </w:r>
      <w:r w:rsidR="00E3253D" w:rsidRPr="005D642E">
        <w:rPr>
          <w:rtl/>
        </w:rPr>
        <w:t xml:space="preserve"> وفي مرآة العقول : « قوله : وروي ، أي تجويز الاستنجاء باليمين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الفقيه</w:t>
      </w:r>
      <w:r w:rsidR="00E3253D" w:rsidRPr="005D642E">
        <w:rPr>
          <w:rtl/>
        </w:rPr>
        <w:t xml:space="preserve"> ، ج 1 ، ص 27 ، ح 52 ، مرسلاً ، وتمام الرواية فيه : « وقد روي أنّه [ الاستنجاء باليمين ] لا بأس إذا كان اليسار معتلّة » </w:t>
      </w:r>
      <w:r>
        <w:rPr>
          <w:rFonts w:hint="cs"/>
          <w:rtl/>
        </w:rPr>
        <w:t>.</w:t>
      </w:r>
      <w:r w:rsidR="00E3253D" w:rsidRPr="002F4D34">
        <w:rPr>
          <w:rStyle w:val="libFootnoteBoldChar"/>
          <w:rtl/>
        </w:rPr>
        <w:t>الوافي</w:t>
      </w:r>
      <w:r w:rsidR="00E3253D" w:rsidRPr="005D642E">
        <w:rPr>
          <w:rtl/>
        </w:rPr>
        <w:t xml:space="preserve"> ، ج 6 ، ص 125 ، ح 3913 ؛ </w:t>
      </w:r>
      <w:r w:rsidR="00E3253D" w:rsidRPr="002F4D34">
        <w:rPr>
          <w:rStyle w:val="libFootnoteBoldChar"/>
          <w:rtl/>
        </w:rPr>
        <w:t>الوسائل</w:t>
      </w:r>
      <w:r w:rsidR="00E3253D" w:rsidRPr="005D642E">
        <w:rPr>
          <w:rtl/>
        </w:rPr>
        <w:t xml:space="preserve"> ، ج 1 ، ص 321 ، ح 844.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 « بن درّاج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دِرَّة البول : كثرته وسيلانه ، أو صبّه ، قال الجوهري : الدِرَّة : كثرة اللبن وسيلانه ، وللسحاب دِرَّة ، أي صَبٌّ ، والجمع : دِرَرٌ. وقال : « ويفهم منه أنّه مخيّر بين الاستبراء والصبر إلى انقطاع درّة البول. ويمكن أن </w:t>
      </w:r>
      <w:r>
        <w:rPr>
          <w:rtl/>
        </w:rPr>
        <w:t>يقال : انقطاع الدرّة لايحصل إل</w:t>
      </w:r>
      <w:r>
        <w:rPr>
          <w:rFonts w:hint="cs"/>
          <w:rtl/>
        </w:rPr>
        <w:t>ّ</w:t>
      </w:r>
      <w:r>
        <w:rPr>
          <w:rtl/>
        </w:rPr>
        <w:t>ا</w:t>
      </w:r>
      <w:r>
        <w:rPr>
          <w:rFonts w:hint="cs"/>
          <w:rtl/>
        </w:rPr>
        <w:t xml:space="preserve"> </w:t>
      </w:r>
      <w:r w:rsidR="00E3253D" w:rsidRPr="005D642E">
        <w:rPr>
          <w:rtl/>
        </w:rPr>
        <w:t>بالاستبراء ، لكنّه بعيد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2 ، ص 656 ( درر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356 ، ح 1065 ، بسنده عن ابن أبي عمير. </w:t>
      </w:r>
      <w:r w:rsidR="00E3253D" w:rsidRPr="002F4D34">
        <w:rPr>
          <w:rStyle w:val="libFootnoteBoldChar"/>
          <w:rtl/>
        </w:rPr>
        <w:t>الفقيه</w:t>
      </w:r>
      <w:r w:rsidR="00E3253D" w:rsidRPr="005D642E">
        <w:rPr>
          <w:rtl/>
        </w:rPr>
        <w:t xml:space="preserve"> ، ج 1 ، ص 30 ، ذيل ح 59 ، مع اختلاف يسير </w:t>
      </w:r>
      <w:r>
        <w:rPr>
          <w:rFonts w:hint="cs"/>
          <w:rtl/>
        </w:rPr>
        <w:t>.</w:t>
      </w:r>
      <w:r w:rsidR="00E3253D" w:rsidRPr="002F4D34">
        <w:rPr>
          <w:rStyle w:val="libFootnoteBoldChar"/>
          <w:rtl/>
        </w:rPr>
        <w:t>الوافي</w:t>
      </w:r>
      <w:r w:rsidR="00E3253D" w:rsidRPr="005D642E">
        <w:rPr>
          <w:rtl/>
        </w:rPr>
        <w:t xml:space="preserve"> ، ج 6 ، ص 126 ، ح 3918 ؛ </w:t>
      </w:r>
      <w:r w:rsidR="00E3253D" w:rsidRPr="002F4D34">
        <w:rPr>
          <w:rStyle w:val="libFootnoteBoldChar"/>
          <w:rtl/>
        </w:rPr>
        <w:t>الوسائل</w:t>
      </w:r>
      <w:r w:rsidR="00E3253D" w:rsidRPr="005D642E">
        <w:rPr>
          <w:rtl/>
        </w:rPr>
        <w:t xml:space="preserve"> ، ج 1 ، ص 349 ، ح 926.</w:t>
      </w:r>
    </w:p>
    <w:tbl>
      <w:tblPr>
        <w:tblStyle w:val="TableGrid"/>
        <w:bidiVisual/>
        <w:tblW w:w="0" w:type="auto"/>
        <w:tblLook w:val="04A0" w:firstRow="1" w:lastRow="0" w:firstColumn="1" w:lastColumn="0" w:noHBand="0" w:noVBand="1"/>
      </w:tblPr>
      <w:tblGrid>
        <w:gridCol w:w="4006"/>
        <w:gridCol w:w="4006"/>
      </w:tblGrid>
      <w:tr w:rsidR="0042621E" w:rsidTr="0042621E">
        <w:tc>
          <w:tcPr>
            <w:tcW w:w="4006" w:type="dxa"/>
          </w:tcPr>
          <w:p w:rsidR="0042621E" w:rsidRDefault="0042621E" w:rsidP="00E3253D">
            <w:pPr>
              <w:pStyle w:val="libFootnote0"/>
              <w:rPr>
                <w:rStyle w:val="libFootnote0Char"/>
                <w:rtl/>
              </w:rPr>
            </w:pPr>
            <w:r w:rsidRPr="0042621E">
              <w:rPr>
                <w:rStyle w:val="libFootnote0Char"/>
                <w:rtl/>
              </w:rPr>
              <w:t>(6).</w:t>
            </w:r>
            <w:r w:rsidRPr="005D642E">
              <w:rPr>
                <w:rtl/>
              </w:rPr>
              <w:t xml:space="preserve"> في التهذيب :</w:t>
            </w:r>
            <w:r>
              <w:rPr>
                <w:rtl/>
              </w:rPr>
              <w:t xml:space="preserve"> - </w:t>
            </w:r>
            <w:r w:rsidRPr="005D642E">
              <w:rPr>
                <w:rtl/>
              </w:rPr>
              <w:t>« له »</w:t>
            </w:r>
            <w:r>
              <w:rPr>
                <w:rtl/>
              </w:rPr>
              <w:t>.</w:t>
            </w:r>
          </w:p>
        </w:tc>
        <w:tc>
          <w:tcPr>
            <w:tcW w:w="4006" w:type="dxa"/>
          </w:tcPr>
          <w:p w:rsidR="0042621E" w:rsidRDefault="0042621E" w:rsidP="00E3253D">
            <w:pPr>
              <w:pStyle w:val="libFootnote0"/>
              <w:rPr>
                <w:rStyle w:val="libFootnote0Char"/>
                <w:rtl/>
              </w:rPr>
            </w:pPr>
            <w:r w:rsidRPr="0042621E">
              <w:rPr>
                <w:rStyle w:val="libFootnote0Char"/>
                <w:rtl/>
              </w:rPr>
              <w:t>(7).</w:t>
            </w:r>
            <w:r w:rsidRPr="005D642E">
              <w:rPr>
                <w:rtl/>
              </w:rPr>
              <w:t xml:space="preserve"> في التهذيب : « لا حتّى ينقّى »</w:t>
            </w:r>
            <w:r>
              <w:rPr>
                <w:rtl/>
              </w:rPr>
              <w:t>.</w:t>
            </w:r>
          </w:p>
        </w:tc>
      </w:tr>
      <w:tr w:rsidR="0042621E" w:rsidTr="0042621E">
        <w:tc>
          <w:tcPr>
            <w:tcW w:w="4006" w:type="dxa"/>
          </w:tcPr>
          <w:p w:rsidR="0042621E" w:rsidRDefault="0042621E" w:rsidP="00E3253D">
            <w:pPr>
              <w:pStyle w:val="libFootnote0"/>
              <w:rPr>
                <w:rStyle w:val="libFootnote0Char"/>
                <w:rtl/>
              </w:rPr>
            </w:pPr>
            <w:r w:rsidRPr="0042621E">
              <w:rPr>
                <w:rStyle w:val="libFootnote0Char"/>
                <w:rtl/>
              </w:rPr>
              <w:t>(8).</w:t>
            </w:r>
            <w:r w:rsidRPr="005D642E">
              <w:rPr>
                <w:rtl/>
              </w:rPr>
              <w:t xml:space="preserve"> في « جس » : « تنقى »</w:t>
            </w:r>
            <w:r>
              <w:rPr>
                <w:rtl/>
              </w:rPr>
              <w:t>.</w:t>
            </w:r>
          </w:p>
        </w:tc>
        <w:tc>
          <w:tcPr>
            <w:tcW w:w="4006" w:type="dxa"/>
          </w:tcPr>
          <w:p w:rsidR="0042621E" w:rsidRDefault="0042621E" w:rsidP="00E3253D">
            <w:pPr>
              <w:pStyle w:val="libFootnote0"/>
              <w:rPr>
                <w:rStyle w:val="libFootnote0Char"/>
                <w:rtl/>
              </w:rPr>
            </w:pPr>
            <w:r w:rsidRPr="0042621E">
              <w:rPr>
                <w:rStyle w:val="libFootnote0Char"/>
                <w:rtl/>
              </w:rPr>
              <w:t>(9).</w:t>
            </w:r>
            <w:r w:rsidRPr="005D642E">
              <w:rPr>
                <w:rtl/>
              </w:rPr>
              <w:t xml:space="preserve"> في « جس » </w:t>
            </w:r>
            <w:r w:rsidR="000D749A" w:rsidRPr="000D749A">
              <w:rPr>
                <w:rStyle w:val="libFootnoteBoldChar"/>
                <w:rtl/>
              </w:rPr>
              <w:t>والوافي</w:t>
            </w:r>
            <w:r w:rsidRPr="005D642E">
              <w:rPr>
                <w:rtl/>
              </w:rPr>
              <w:t xml:space="preserve"> : « وتبقى »</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قال الريح »</w:t>
      </w:r>
      <w:r w:rsidR="00E3253D">
        <w:rPr>
          <w:rtl/>
        </w:rPr>
        <w:t>.</w:t>
      </w:r>
      <w:r w:rsidR="00E3253D" w:rsidRPr="005D642E">
        <w:rPr>
          <w:rtl/>
        </w:rPr>
        <w:t xml:space="preserve"> وقال في </w:t>
      </w:r>
      <w:r w:rsidR="00E3253D" w:rsidRPr="002F4D34">
        <w:rPr>
          <w:rStyle w:val="libFootnoteBoldChar"/>
          <w:rtl/>
        </w:rPr>
        <w:t>حبل المتين</w:t>
      </w:r>
      <w:r w:rsidR="00E3253D" w:rsidRPr="005D642E">
        <w:rPr>
          <w:rtl/>
        </w:rPr>
        <w:t xml:space="preserve"> ، ص 129 : « الحديث</w:t>
      </w:r>
      <w:r w:rsidR="00E3253D">
        <w:rPr>
          <w:rtl/>
        </w:rPr>
        <w:t xml:space="preserve"> ..</w:t>
      </w:r>
      <w:r w:rsidR="00E3253D" w:rsidRPr="005D642E">
        <w:rPr>
          <w:rtl/>
        </w:rPr>
        <w:t xml:space="preserve">. يدلّ على عدم العبرة بالرائحة ، وقوله </w:t>
      </w:r>
      <w:r w:rsidR="00E3253D" w:rsidRPr="0042621E">
        <w:rPr>
          <w:rStyle w:val="libFootnoteAlaemChar"/>
          <w:rtl/>
        </w:rPr>
        <w:t>عليه‌السلام</w:t>
      </w:r>
      <w:r w:rsidR="00E3253D" w:rsidRPr="005D642E">
        <w:rPr>
          <w:rtl/>
        </w:rPr>
        <w:t xml:space="preserve"> : لاينظر إليها ، أي لا يلتفت إليها ، ويمكن أن يكون مراده </w:t>
      </w:r>
      <w:r w:rsidR="00E3253D" w:rsidRPr="0042621E">
        <w:rPr>
          <w:rStyle w:val="libFootnoteAlaemChar"/>
          <w:rtl/>
        </w:rPr>
        <w:t>عليه‌السلام</w:t>
      </w:r>
      <w:r w:rsidR="00E3253D" w:rsidRPr="005D642E">
        <w:rPr>
          <w:rtl/>
        </w:rPr>
        <w:t xml:space="preserve"> أنّ الرائحة ليست أمراً مدركاً بحسّ البصر فلا يعبأ به. ولشيخنا الشهيد طاب ثراه هنا كلام مشهور ، وهو أنّ وجود الرائحة يرفع أوصاف الماء ، وذلك يقتضي النجاسة. وأجاب عنه تارة بالعفو عن الرائحة للنصّ والإجماع ، وا</w:t>
      </w:r>
      <w:r>
        <w:rPr>
          <w:rFonts w:hint="cs"/>
          <w:rtl/>
        </w:rPr>
        <w:t>ُ</w:t>
      </w:r>
      <w:r w:rsidR="00E3253D" w:rsidRPr="005D642E">
        <w:rPr>
          <w:rtl/>
        </w:rPr>
        <w:t>خرى بأنّ الرائحة إن كان محلّها الماء نجس لانفعاله ، وإن كان محلّها اليد أو المخرج فلا حرج ، وهو كلام حسن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28 ، ح 75 ، بسنده عن الكليني. وراجع : </w:t>
      </w:r>
      <w:r w:rsidR="00E3253D" w:rsidRPr="002F4D34">
        <w:rPr>
          <w:rStyle w:val="libFootnoteBoldChar"/>
          <w:rtl/>
        </w:rPr>
        <w:t>الفقيه</w:t>
      </w:r>
      <w:r w:rsidR="00E3253D" w:rsidRPr="005D642E">
        <w:rPr>
          <w:rtl/>
        </w:rPr>
        <w:t xml:space="preserve"> ، ج 1 ، ص 30 ، ذيل ح 59 </w:t>
      </w:r>
      <w:r>
        <w:rPr>
          <w:rFonts w:hint="cs"/>
          <w:rtl/>
        </w:rPr>
        <w:t>.</w:t>
      </w:r>
      <w:r w:rsidR="00E3253D" w:rsidRPr="002F4D34">
        <w:rPr>
          <w:rStyle w:val="libFootnoteBoldChar"/>
          <w:rtl/>
        </w:rPr>
        <w:t>الوافي</w:t>
      </w:r>
      <w:r w:rsidR="00E3253D" w:rsidRPr="005D642E">
        <w:rPr>
          <w:rtl/>
        </w:rPr>
        <w:t xml:space="preserve"> ، </w:t>
      </w:r>
      <w:r>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D2807">
        <w:rPr>
          <w:rtl/>
        </w:rPr>
        <w:lastRenderedPageBreak/>
        <w:t>3885</w:t>
      </w:r>
      <w:r w:rsidRPr="00246318">
        <w:rPr>
          <w:rStyle w:val="libBold2Char"/>
          <w:rtl/>
        </w:rPr>
        <w:t xml:space="preserve"> / 10.</w:t>
      </w:r>
      <w:r w:rsidRPr="005D642E">
        <w:rPr>
          <w:rtl/>
          <w:lang w:bidi="fa-IR"/>
        </w:rPr>
        <w:t xml:space="preserve"> عَلِيُّ بْنُ مُحَمَّدٍ ، عَنْ سَهْلٍ </w:t>
      </w:r>
      <w:r w:rsidRPr="007C12DB">
        <w:rPr>
          <w:rStyle w:val="libFootnotenumChar"/>
          <w:rtl/>
        </w:rPr>
        <w:t>(1)</w:t>
      </w:r>
      <w:r w:rsidRPr="005D642E">
        <w:rPr>
          <w:rtl/>
          <w:lang w:bidi="fa-IR"/>
        </w:rPr>
        <w:t xml:space="preserve"> ، عَنْ أَحْمَدَ بْنِ مُحَمَّدِ بْنِ أَبِي نَصْرٍ ، عَنْ عَبْدِ الْكَرِيمِ بْنِ عَمْرٍو ، عَنِ الْحَسَنِ بْنِ زِيَادٍ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sidRPr="005D642E">
        <w:rPr>
          <w:rtl/>
          <w:lang w:bidi="fa-IR"/>
        </w:rPr>
        <w:t xml:space="preserve"> عَنِ الرَّجُلِ يَبُولُ ، فَيُصِيبُ فَخِذَهُ </w:t>
      </w:r>
      <w:r w:rsidRPr="007C12DB">
        <w:rPr>
          <w:rStyle w:val="libFootnotenumChar"/>
          <w:rtl/>
        </w:rPr>
        <w:t>(2)</w:t>
      </w:r>
      <w:r w:rsidRPr="005D642E">
        <w:rPr>
          <w:rtl/>
          <w:lang w:bidi="fa-IR"/>
        </w:rPr>
        <w:t xml:space="preserve"> قَدْرَ نُكْتَةٍ </w:t>
      </w:r>
      <w:r w:rsidRPr="007C12DB">
        <w:rPr>
          <w:rStyle w:val="libFootnotenumChar"/>
          <w:rtl/>
        </w:rPr>
        <w:t>(3)</w:t>
      </w:r>
      <w:r w:rsidRPr="005D642E">
        <w:rPr>
          <w:rtl/>
          <w:lang w:bidi="fa-IR"/>
        </w:rPr>
        <w:t xml:space="preserve"> مِنْ بَوْلِهِ </w:t>
      </w:r>
      <w:r w:rsidRPr="007C12DB">
        <w:rPr>
          <w:rStyle w:val="libFootnotenumChar"/>
          <w:rtl/>
        </w:rPr>
        <w:t>(4)</w:t>
      </w:r>
      <w:r w:rsidRPr="005D642E">
        <w:rPr>
          <w:rtl/>
          <w:lang w:bidi="fa-IR"/>
        </w:rPr>
        <w:t xml:space="preserve"> ، فَيُصَلِّي ، ثُمَّ يَذْكُرُ بَعْدُ أَنَّهُ لَمْ يَغْسِلْهُ</w:t>
      </w:r>
      <w:r>
        <w:rPr>
          <w:rtl/>
          <w:lang w:bidi="fa-IR"/>
        </w:rPr>
        <w:t>؟</w:t>
      </w:r>
    </w:p>
    <w:p w:rsidR="00E3253D" w:rsidRPr="005D642E" w:rsidRDefault="00E3253D" w:rsidP="00E3253D">
      <w:pPr>
        <w:pStyle w:val="libNormal"/>
        <w:rPr>
          <w:rtl/>
          <w:lang w:bidi="fa-IR"/>
        </w:rPr>
      </w:pPr>
      <w:r w:rsidRPr="005D642E">
        <w:rPr>
          <w:rtl/>
          <w:lang w:bidi="fa-IR"/>
        </w:rPr>
        <w:t>قَالَ : « يَغْسِلُهُ ، وَيُعِيدُ صَلَاتَهُ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D2807">
        <w:rPr>
          <w:rtl/>
        </w:rPr>
        <w:t>3886</w:t>
      </w:r>
      <w:r w:rsidRPr="00246318">
        <w:rPr>
          <w:rStyle w:val="libBold2Char"/>
          <w:rtl/>
        </w:rPr>
        <w:t xml:space="preserve"> / 11.</w:t>
      </w:r>
      <w:r w:rsidRPr="005D642E">
        <w:rPr>
          <w:rtl/>
          <w:lang w:bidi="fa-IR"/>
        </w:rPr>
        <w:t xml:space="preserve"> مُحَمَّدُ بْنُ الْحَسَنِ ، عَنْ سَهْلٍ </w:t>
      </w:r>
      <w:r w:rsidRPr="007C12DB">
        <w:rPr>
          <w:rStyle w:val="libFootnotenumChar"/>
          <w:rtl/>
        </w:rPr>
        <w:t>(6)</w:t>
      </w:r>
      <w:r w:rsidRPr="005D642E">
        <w:rPr>
          <w:rtl/>
          <w:lang w:bidi="fa-IR"/>
        </w:rPr>
        <w:t xml:space="preserve"> ، عَنْ مُوسَى بْنِ الْقَاسِمِ ، عَنْ عَمْرِو بْنِ سَعِيدٍ ، عَنْ مُصَدِّقِ بْنِ صَدَقَةَ ، عَنْ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لَهُ </w:t>
      </w:r>
      <w:r w:rsidRPr="007C12DB">
        <w:rPr>
          <w:rStyle w:val="libFootnotenumChar"/>
          <w:rtl/>
        </w:rPr>
        <w:t>(7)</w:t>
      </w:r>
      <w:r w:rsidRPr="005D642E">
        <w:rPr>
          <w:rtl/>
          <w:lang w:bidi="fa-IR"/>
        </w:rPr>
        <w:t xml:space="preserve"> : الرَّجُلُ يُرِيدُ أَنْ يَسْتَنْجِيَ كَيْفَ يَقْعُدُ</w:t>
      </w:r>
      <w:r>
        <w:rPr>
          <w:rtl/>
          <w:lang w:bidi="fa-IR"/>
        </w:rPr>
        <w:t>؟</w:t>
      </w:r>
    </w:p>
    <w:p w:rsidR="00E3253D" w:rsidRPr="005D642E" w:rsidRDefault="00E3253D" w:rsidP="00E3253D">
      <w:pPr>
        <w:pStyle w:val="libNormal"/>
        <w:rPr>
          <w:rtl/>
          <w:lang w:bidi="fa-IR"/>
        </w:rPr>
      </w:pPr>
      <w:r w:rsidRPr="005D642E">
        <w:rPr>
          <w:rtl/>
          <w:lang w:bidi="fa-IR"/>
        </w:rPr>
        <w:t xml:space="preserve">قَالَ : « كَمَا يَقْعُدُ لِلْغَائِطِ </w:t>
      </w:r>
      <w:r w:rsidRPr="007C12DB">
        <w:rPr>
          <w:rStyle w:val="libFootnotenumChar"/>
          <w:rtl/>
        </w:rPr>
        <w:t>(8)</w:t>
      </w:r>
      <w:r w:rsidRPr="005D642E">
        <w:rPr>
          <w:rtl/>
          <w:lang w:bidi="fa-IR"/>
        </w:rPr>
        <w:t xml:space="preserve"> » وَقَالَ : « إِنَّمَا عَلَيْهِ أَنْ يَغْسِلَ مَا ظَهَرَ مِنْهُ </w:t>
      </w:r>
      <w:r w:rsidRPr="007C12DB">
        <w:rPr>
          <w:rStyle w:val="libFootnotenumChar"/>
          <w:rtl/>
        </w:rPr>
        <w:t>(9)</w:t>
      </w:r>
      <w:r w:rsidRPr="005D642E">
        <w:rPr>
          <w:rtl/>
          <w:lang w:bidi="fa-IR"/>
        </w:rPr>
        <w:t xml:space="preserve"> ، وَلَيْسَ عَلَيْهِ أَنْ يَغْسِلَ بَاطِنَهُ </w:t>
      </w:r>
      <w:r w:rsidRPr="007C12DB">
        <w:rPr>
          <w:rStyle w:val="libFootnotenumChar"/>
          <w:rtl/>
        </w:rPr>
        <w:t>(10)</w:t>
      </w:r>
      <w:r w:rsidRPr="005D642E">
        <w:rPr>
          <w:rtl/>
          <w:lang w:bidi="fa-IR"/>
        </w:rPr>
        <w:t xml:space="preserve">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9D404E" w:rsidP="00E3253D">
      <w:pPr>
        <w:pStyle w:val="libFootnote0"/>
        <w:rPr>
          <w:rtl/>
          <w:lang w:bidi="fa-IR"/>
        </w:rPr>
      </w:pPr>
      <w:r>
        <w:rPr>
          <w:rFonts w:hint="cs"/>
          <w:rtl/>
        </w:rPr>
        <w:t xml:space="preserve">= </w:t>
      </w:r>
      <w:r w:rsidR="00E3253D" w:rsidRPr="005D642E">
        <w:rPr>
          <w:rtl/>
        </w:rPr>
        <w:t xml:space="preserve">ج 6 ، ص 124 ، ح 3910 ؛ </w:t>
      </w:r>
      <w:r w:rsidR="00E3253D" w:rsidRPr="002F4D34">
        <w:rPr>
          <w:rStyle w:val="libFootnoteBoldChar"/>
          <w:rtl/>
        </w:rPr>
        <w:t>الوسائل</w:t>
      </w:r>
      <w:r w:rsidR="00E3253D" w:rsidRPr="005D642E">
        <w:rPr>
          <w:rtl/>
        </w:rPr>
        <w:t xml:space="preserve"> ، ج 1 ، ص 322 ، ح 849 ؛ وص 358 ، ح 952 ؛ وج 3 ، ص 439 ، ح 4102.</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بن زياد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معظم النسخ </w:t>
      </w:r>
      <w:r w:rsidR="000D749A" w:rsidRPr="000D749A">
        <w:rPr>
          <w:rStyle w:val="libFootnoteBoldChar"/>
          <w:rtl/>
        </w:rPr>
        <w:t>والوافي</w:t>
      </w:r>
      <w:r w:rsidR="00E3253D" w:rsidRPr="005D642E">
        <w:rPr>
          <w:rtl/>
        </w:rPr>
        <w:t>. وفي التهذيب : « بعض فخذه »</w:t>
      </w:r>
      <w:r w:rsidR="00E3253D">
        <w:rPr>
          <w:rtl/>
        </w:rPr>
        <w:t>.</w:t>
      </w:r>
      <w:r w:rsidR="00E3253D" w:rsidRPr="005D642E">
        <w:rPr>
          <w:rtl/>
        </w:rPr>
        <w:t xml:space="preserve"> وفي المطبوع : + « وركبته »</w:t>
      </w:r>
      <w:r w:rsidR="00E3253D">
        <w:rPr>
          <w:rtl/>
        </w:rPr>
        <w:t>.</w:t>
      </w:r>
      <w:r w:rsidR="00E3253D" w:rsidRPr="005D642E">
        <w:rPr>
          <w:rtl/>
        </w:rPr>
        <w:t xml:space="preserve"> وفي « بح » : + « وركبتيه »</w:t>
      </w:r>
      <w:r w:rsidR="00E3253D">
        <w:rPr>
          <w:rtl/>
        </w:rPr>
        <w:t>.</w:t>
      </w:r>
      <w:r w:rsidR="00E3253D" w:rsidRPr="005D642E">
        <w:rPr>
          <w:rtl/>
        </w:rPr>
        <w:t xml:space="preserve"> وفي الوسائل ، ح 4069 : « بعض جسده » بدل « فخذه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جح » :</w:t>
      </w:r>
      <w:r w:rsidR="00E3253D">
        <w:rPr>
          <w:rtl/>
        </w:rPr>
        <w:t xml:space="preserve"> </w:t>
      </w:r>
      <w:r w:rsidR="007642BC">
        <w:rPr>
          <w:rtl/>
        </w:rPr>
        <w:t>-</w:t>
      </w:r>
      <w:r w:rsidR="00E3253D">
        <w:rPr>
          <w:rtl/>
        </w:rPr>
        <w:t xml:space="preserve"> </w:t>
      </w:r>
      <w:r w:rsidR="00E3253D" w:rsidRPr="005D642E">
        <w:rPr>
          <w:rtl/>
        </w:rPr>
        <w:t>« قدر نكتة »</w:t>
      </w:r>
      <w:r w:rsidR="00E3253D">
        <w:rPr>
          <w:rtl/>
        </w:rPr>
        <w:t>.</w:t>
      </w:r>
      <w:r w:rsidR="00E3253D" w:rsidRPr="005D642E">
        <w:rPr>
          <w:rtl/>
        </w:rPr>
        <w:t xml:space="preserve"> وفي الوافي :</w:t>
      </w:r>
      <w:r w:rsidR="00E3253D">
        <w:rPr>
          <w:rtl/>
        </w:rPr>
        <w:t xml:space="preserve"> </w:t>
      </w:r>
      <w:r w:rsidR="007642BC">
        <w:rPr>
          <w:rtl/>
        </w:rPr>
        <w:t>-</w:t>
      </w:r>
      <w:r w:rsidR="00E3253D">
        <w:rPr>
          <w:rtl/>
        </w:rPr>
        <w:t xml:space="preserve"> </w:t>
      </w:r>
      <w:r w:rsidR="00E3253D" w:rsidRPr="005D642E">
        <w:rPr>
          <w:rtl/>
        </w:rPr>
        <w:t>« قدر »</w:t>
      </w:r>
      <w:r w:rsidR="00E3253D">
        <w:rPr>
          <w:rtl/>
        </w:rPr>
        <w:t>.</w:t>
      </w:r>
      <w:r w:rsidR="00E3253D" w:rsidRPr="005D642E">
        <w:rPr>
          <w:rtl/>
        </w:rPr>
        <w:t xml:space="preserve"> والنكتة في الشي‌ء كالنقطة ، أي أثر قليل ، يقال : نَكَتَ عليّ نكتةٌ من بول ونقطة من بول. راجع : </w:t>
      </w:r>
      <w:r w:rsidR="00E3253D" w:rsidRPr="002F4D34">
        <w:rPr>
          <w:rStyle w:val="libFootnoteBoldChar"/>
          <w:rtl/>
        </w:rPr>
        <w:t>النهاية</w:t>
      </w:r>
      <w:r w:rsidR="00E3253D" w:rsidRPr="005D642E">
        <w:rPr>
          <w:rtl/>
        </w:rPr>
        <w:t xml:space="preserve"> ، ج 5 ، ص 114 ؛ </w:t>
      </w:r>
      <w:r w:rsidR="00E3253D" w:rsidRPr="002F4D34">
        <w:rPr>
          <w:rStyle w:val="libFootnoteBoldChar"/>
          <w:rtl/>
        </w:rPr>
        <w:t>مجمع البحرين</w:t>
      </w:r>
      <w:r w:rsidR="00E3253D" w:rsidRPr="005D642E">
        <w:rPr>
          <w:rtl/>
        </w:rPr>
        <w:t xml:space="preserve"> ، ج 2 ، ص 226 ( نكت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معظم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ى » والمطبوع : « بول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الكافي</w:t>
      </w:r>
      <w:r w:rsidR="00E3253D" w:rsidRPr="005D642E">
        <w:rPr>
          <w:rtl/>
        </w:rPr>
        <w:t xml:space="preserve"> ، كتاب الصلاة ، باب الرجل يصلّي في الثوب وهو</w:t>
      </w:r>
      <w:r w:rsidR="00E3253D">
        <w:rPr>
          <w:rtl/>
        </w:rPr>
        <w:t xml:space="preserve"> ..</w:t>
      </w:r>
      <w:r w:rsidR="00E3253D" w:rsidRPr="005D642E">
        <w:rPr>
          <w:rtl/>
        </w:rPr>
        <w:t xml:space="preserve">. ، ح 5396 ؛ </w:t>
      </w:r>
      <w:r w:rsidR="00B60612" w:rsidRPr="00B60612">
        <w:rPr>
          <w:rStyle w:val="libFootnoteBoldChar"/>
          <w:rtl/>
        </w:rPr>
        <w:t>والتهذيب</w:t>
      </w:r>
      <w:r w:rsidR="00E3253D" w:rsidRPr="005D642E">
        <w:rPr>
          <w:rtl/>
        </w:rPr>
        <w:t xml:space="preserve"> ، ج 1 ، ص 359 ، ح 1486 ؛ </w:t>
      </w:r>
      <w:r w:rsidR="00E3253D" w:rsidRPr="00E678B5">
        <w:rPr>
          <w:rStyle w:val="libFootnoteBoldChar"/>
          <w:rtl/>
        </w:rPr>
        <w:t>والاستبصار</w:t>
      </w:r>
      <w:r w:rsidR="00E3253D" w:rsidRPr="005D642E">
        <w:rPr>
          <w:rtl/>
        </w:rPr>
        <w:t xml:space="preserve"> ، ج 1 ، ص 181 ، ح 633 ، بسند آخر ، مع اختلاف يسير </w:t>
      </w:r>
      <w:r w:rsidR="009D404E">
        <w:rPr>
          <w:rFonts w:hint="cs"/>
          <w:rtl/>
        </w:rPr>
        <w:t>.</w:t>
      </w:r>
      <w:r w:rsidR="00E3253D" w:rsidRPr="002F4D34">
        <w:rPr>
          <w:rStyle w:val="libFootnoteBoldChar"/>
          <w:rtl/>
        </w:rPr>
        <w:t>الوافي</w:t>
      </w:r>
      <w:r w:rsidR="00E3253D" w:rsidRPr="005D642E">
        <w:rPr>
          <w:rtl/>
        </w:rPr>
        <w:t xml:space="preserve"> ، ج 6 ، ص 154 ، ح 3981 ؛ </w:t>
      </w:r>
      <w:r w:rsidR="00E3253D" w:rsidRPr="002F4D34">
        <w:rPr>
          <w:rStyle w:val="libFootnoteBoldChar"/>
          <w:rtl/>
        </w:rPr>
        <w:t>الوسائل</w:t>
      </w:r>
      <w:r w:rsidR="00E3253D" w:rsidRPr="005D642E">
        <w:rPr>
          <w:rtl/>
        </w:rPr>
        <w:t xml:space="preserve"> ، ج 3 ، ص 429 ، ح 4069 ؛ وص 481 ، ح 4233.</w:t>
      </w:r>
    </w:p>
    <w:tbl>
      <w:tblPr>
        <w:tblStyle w:val="TableGrid"/>
        <w:bidiVisual/>
        <w:tblW w:w="0" w:type="auto"/>
        <w:tblLook w:val="04A0" w:firstRow="1" w:lastRow="0" w:firstColumn="1" w:lastColumn="0" w:noHBand="0" w:noVBand="1"/>
      </w:tblPr>
      <w:tblGrid>
        <w:gridCol w:w="4006"/>
        <w:gridCol w:w="4006"/>
      </w:tblGrid>
      <w:tr w:rsidR="009D404E" w:rsidTr="009D404E">
        <w:tc>
          <w:tcPr>
            <w:tcW w:w="4006" w:type="dxa"/>
          </w:tcPr>
          <w:p w:rsidR="009D404E" w:rsidRDefault="009D404E" w:rsidP="00E3253D">
            <w:pPr>
              <w:pStyle w:val="libFootnote0"/>
              <w:rPr>
                <w:rStyle w:val="libFootnote0Char"/>
                <w:rtl/>
              </w:rPr>
            </w:pPr>
            <w:r w:rsidRPr="0042621E">
              <w:rPr>
                <w:rStyle w:val="libFootnote0Char"/>
                <w:rtl/>
              </w:rPr>
              <w:t>(6).</w:t>
            </w:r>
            <w:r w:rsidRPr="005D642E">
              <w:rPr>
                <w:rtl/>
              </w:rPr>
              <w:t xml:space="preserve"> في الوسائل : + « بن زياد »</w:t>
            </w:r>
            <w:r>
              <w:rPr>
                <w:rtl/>
              </w:rPr>
              <w:t>.</w:t>
            </w:r>
          </w:p>
        </w:tc>
        <w:tc>
          <w:tcPr>
            <w:tcW w:w="4006" w:type="dxa"/>
          </w:tcPr>
          <w:p w:rsidR="009D404E" w:rsidRDefault="009D404E" w:rsidP="00E3253D">
            <w:pPr>
              <w:pStyle w:val="libFootnote0"/>
              <w:rPr>
                <w:rStyle w:val="libFootnote0Char"/>
                <w:rtl/>
              </w:rPr>
            </w:pPr>
            <w:r w:rsidRPr="0042621E">
              <w:rPr>
                <w:rStyle w:val="libFootnote0Char"/>
                <w:rtl/>
              </w:rPr>
              <w:t>(7).</w:t>
            </w:r>
            <w:r w:rsidRPr="005D642E">
              <w:rPr>
                <w:rtl/>
              </w:rPr>
              <w:t xml:space="preserve"> في « جس » :</w:t>
            </w:r>
            <w:r>
              <w:rPr>
                <w:rtl/>
              </w:rPr>
              <w:t xml:space="preserve"> - </w:t>
            </w:r>
            <w:r w:rsidRPr="005D642E">
              <w:rPr>
                <w:rtl/>
              </w:rPr>
              <w:t>« له »</w:t>
            </w:r>
            <w:r>
              <w:rPr>
                <w:rtl/>
              </w:rPr>
              <w:t>.</w:t>
            </w:r>
          </w:p>
        </w:tc>
      </w:tr>
    </w:tbl>
    <w:p w:rsidR="00E3253D" w:rsidRPr="005D642E" w:rsidRDefault="0042621E" w:rsidP="003F44D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 يفهم منه أنّه ينبغي التنزّه عن استقبال القبلة واستدبارها حين الاستنجاء أيضاً ، ولم أر قائلاً</w:t>
      </w:r>
      <w:r w:rsidR="003F44DD">
        <w:rPr>
          <w:rFonts w:hint="cs"/>
          <w:rtl/>
        </w:rPr>
        <w:t xml:space="preserve"> </w:t>
      </w:r>
      <w:r w:rsidR="00E3253D" w:rsidRPr="005D642E">
        <w:rPr>
          <w:rtl/>
        </w:rPr>
        <w:t>بالوجوب هنا »</w:t>
      </w:r>
      <w:r w:rsidR="00E3253D">
        <w:rPr>
          <w:rtl/>
        </w:rPr>
        <w:t>.</w:t>
      </w:r>
      <w:r w:rsidR="003F44DD">
        <w:rPr>
          <w:rFonts w:hint="cs"/>
          <w:rtl/>
        </w:rPr>
        <w:t xml:space="preserve">                   </w:t>
      </w:r>
      <w:r w:rsidR="009F10EE">
        <w:rPr>
          <w:rFonts w:hint="cs"/>
          <w:rtl/>
        </w:rPr>
        <w:t xml:space="preserve">          </w:t>
      </w:r>
      <w:r w:rsidR="003F44DD">
        <w:rPr>
          <w:rFonts w:hint="cs"/>
          <w:rtl/>
        </w:rPr>
        <w:t xml:space="preserve">      </w:t>
      </w:r>
      <w:r w:rsidRPr="0042621E">
        <w:rPr>
          <w:rStyle w:val="libFootnote0Char"/>
          <w:rtl/>
        </w:rPr>
        <w:t>(9).</w:t>
      </w:r>
      <w:r w:rsidR="00E3253D" w:rsidRPr="005D642E">
        <w:rPr>
          <w:rtl/>
        </w:rPr>
        <w:t xml:space="preserve"> في التهذيب ، ص 45 </w:t>
      </w:r>
      <w:r w:rsidR="00E3253D">
        <w:rPr>
          <w:rtl/>
        </w:rPr>
        <w:t>و 5</w:t>
      </w:r>
      <w:r w:rsidR="00E3253D" w:rsidRPr="005D642E">
        <w:rPr>
          <w:rtl/>
        </w:rPr>
        <w:t xml:space="preserve">2 </w:t>
      </w:r>
      <w:r w:rsidR="00E3253D" w:rsidRPr="00E678B5">
        <w:rPr>
          <w:rStyle w:val="libFootnoteBoldChar"/>
          <w:rtl/>
        </w:rPr>
        <w:t>والاستبصار</w:t>
      </w:r>
      <w:r w:rsidR="00E3253D" w:rsidRPr="005D642E">
        <w:rPr>
          <w:rtl/>
        </w:rPr>
        <w:t xml:space="preserve"> : « منها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 ص 45 </w:t>
      </w:r>
      <w:r w:rsidR="00E3253D">
        <w:rPr>
          <w:rtl/>
        </w:rPr>
        <w:t>و 5</w:t>
      </w:r>
      <w:r w:rsidR="00E3253D" w:rsidRPr="005D642E">
        <w:rPr>
          <w:rtl/>
        </w:rPr>
        <w:t xml:space="preserve">2 </w:t>
      </w:r>
      <w:r w:rsidR="00E3253D" w:rsidRPr="00E678B5">
        <w:rPr>
          <w:rStyle w:val="libFootnoteBoldChar"/>
          <w:rtl/>
        </w:rPr>
        <w:t>والاستبصار</w:t>
      </w:r>
      <w:r w:rsidR="00E3253D" w:rsidRPr="005D642E">
        <w:rPr>
          <w:rtl/>
        </w:rPr>
        <w:t xml:space="preserve"> : « باطنها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355 ، ح 24 ؛ معلّقاً عن سهل بن زياد ، عن موسى بن القاسم. </w:t>
      </w:r>
      <w:r w:rsidR="00E3253D" w:rsidRPr="002F4D34">
        <w:rPr>
          <w:rStyle w:val="libFootnoteBoldChar"/>
          <w:rtl/>
        </w:rPr>
        <w:t>وفيه</w:t>
      </w:r>
      <w:r w:rsidR="00E3253D" w:rsidRPr="005D642E">
        <w:rPr>
          <w:rtl/>
        </w:rPr>
        <w:t xml:space="preserve"> ، ص 45 ، ضمن </w:t>
      </w:r>
      <w:r w:rsidR="003F44D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D2807">
        <w:rPr>
          <w:rtl/>
        </w:rPr>
        <w:lastRenderedPageBreak/>
        <w:t>3887</w:t>
      </w:r>
      <w:r w:rsidRPr="00246318">
        <w:rPr>
          <w:rStyle w:val="libBold2Char"/>
          <w:rtl/>
        </w:rPr>
        <w:t xml:space="preserve"> / 12.</w:t>
      </w:r>
      <w:r w:rsidRPr="005D642E">
        <w:rPr>
          <w:rtl/>
          <w:lang w:bidi="fa-IR"/>
        </w:rPr>
        <w:t xml:space="preserve"> عَلِيُّ بْنُ إِبْرَاهِيمَ ، عَنْ هَارُونَ بْنِ مُسْلِمٍ ، عَنْ مَسْعَدَةَ بْنِ زِيَادٍ :</w:t>
      </w:r>
    </w:p>
    <w:p w:rsidR="00E3253D" w:rsidRPr="005D642E" w:rsidRDefault="00E3253D" w:rsidP="003F44D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 أَنَّ النَّبِيَّ </w:t>
      </w:r>
      <w:r w:rsidR="003F44DD" w:rsidRPr="003F44DD">
        <w:rPr>
          <w:rStyle w:val="libAlaemChar"/>
          <w:rFonts w:eastAsiaTheme="minorHAnsi"/>
          <w:rtl/>
        </w:rPr>
        <w:t>صلى‌الله‌عليه‌وآله</w:t>
      </w:r>
      <w:r w:rsidR="003F44DD" w:rsidRPr="005D642E">
        <w:rPr>
          <w:rtl/>
          <w:lang w:bidi="fa-IR"/>
        </w:rPr>
        <w:t xml:space="preserve"> </w:t>
      </w:r>
      <w:r w:rsidRPr="005D642E">
        <w:rPr>
          <w:rtl/>
          <w:lang w:bidi="fa-IR"/>
        </w:rPr>
        <w:t xml:space="preserve">قَالَ لِبَعْضِ نِسَائِهِ : مُرِي نِسَاءَ الْمُؤْمِنِينَ </w:t>
      </w:r>
      <w:r w:rsidRPr="007C12DB">
        <w:rPr>
          <w:rStyle w:val="libFootnotenumChar"/>
          <w:rtl/>
        </w:rPr>
        <w:t>(1)</w:t>
      </w:r>
      <w:r w:rsidRPr="005D642E">
        <w:rPr>
          <w:rtl/>
          <w:lang w:bidi="fa-IR"/>
        </w:rPr>
        <w:t xml:space="preserve"> أَنْ يَسْتَنْجِينَ بِالْمَاءِ ، وَيُبَالِغْنَ ؛ فَإِنَّهُ مَطْهَرَةٌ </w:t>
      </w:r>
      <w:r w:rsidRPr="007C12DB">
        <w:rPr>
          <w:rStyle w:val="libFootnotenumChar"/>
          <w:rtl/>
        </w:rPr>
        <w:t>(2)</w:t>
      </w:r>
      <w:r w:rsidRPr="005D642E">
        <w:rPr>
          <w:rtl/>
          <w:lang w:bidi="fa-IR"/>
        </w:rPr>
        <w:t xml:space="preserve"> لِلْحَوَاشِي ، وَمَذْهَبَةٌ لِلْبَوَاسِيرِ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3F44DD" w:rsidRDefault="00E3253D" w:rsidP="003F44DD">
      <w:pPr>
        <w:pStyle w:val="libNormal"/>
        <w:rPr>
          <w:rtl/>
          <w:lang w:bidi="fa-IR"/>
        </w:rPr>
      </w:pPr>
      <w:r w:rsidRPr="00ED2807">
        <w:rPr>
          <w:rtl/>
        </w:rPr>
        <w:t>3888</w:t>
      </w:r>
      <w:r w:rsidRPr="00246318">
        <w:rPr>
          <w:rStyle w:val="libBold2Char"/>
          <w:rtl/>
        </w:rPr>
        <w:t xml:space="preserve"> / 13.</w:t>
      </w:r>
      <w:r w:rsidRPr="005D642E">
        <w:rPr>
          <w:rtl/>
          <w:lang w:bidi="fa-IR"/>
        </w:rPr>
        <w:t xml:space="preserve"> مُحَمَّدُ بْنُ إِسْمَاعِيلَ ، عَنِ الْفَضْلِ </w:t>
      </w:r>
      <w:r w:rsidRPr="007C12DB">
        <w:rPr>
          <w:rStyle w:val="libFootnotenumChar"/>
          <w:rtl/>
        </w:rPr>
        <w:t>(5)</w:t>
      </w:r>
      <w:r w:rsidRPr="005D642E">
        <w:rPr>
          <w:rtl/>
          <w:lang w:bidi="fa-IR"/>
        </w:rPr>
        <w:t xml:space="preserve"> ؛</w:t>
      </w:r>
    </w:p>
    <w:p w:rsidR="00E3253D" w:rsidRPr="005D642E" w:rsidRDefault="003F44DD" w:rsidP="003F44DD">
      <w:pPr>
        <w:pStyle w:val="libNormal"/>
        <w:rPr>
          <w:rtl/>
          <w:lang w:bidi="fa-IR"/>
        </w:rPr>
      </w:pPr>
      <w:r>
        <w:rPr>
          <w:rFonts w:hint="cs"/>
          <w:rtl/>
          <w:lang w:bidi="fa-IR"/>
        </w:rPr>
        <w:t xml:space="preserve">                </w:t>
      </w:r>
      <w:r w:rsidR="00E3253D" w:rsidRPr="005D642E">
        <w:rPr>
          <w:rtl/>
          <w:lang w:bidi="fa-IR"/>
        </w:rPr>
        <w:t>وَعَلِيُّ بْنُ إِبْرَاهِيمَ ، عَنْ أَبِيهِ ، عَنِ ابْنِ أَبِي عُمَيْرٍ ، عَنْ جَمِيلِ بْنِ دَرَّاجٍ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w:t>
      </w:r>
      <w:r w:rsidRPr="007C12DB">
        <w:rPr>
          <w:rStyle w:val="libFootnotenumChar"/>
          <w:rtl/>
        </w:rPr>
        <w:t>(6)</w:t>
      </w:r>
      <w:r w:rsidRPr="005D642E">
        <w:rPr>
          <w:rtl/>
          <w:lang w:bidi="fa-IR"/>
        </w:rPr>
        <w:t xml:space="preserve"> فِي قَوْلِ اللهِ عَزَّ وَجَلَّ : </w:t>
      </w:r>
      <w:r w:rsidRPr="00AC51C5">
        <w:rPr>
          <w:rStyle w:val="libAlaemChar"/>
          <w:rtl/>
        </w:rPr>
        <w:t>(</w:t>
      </w:r>
      <w:r w:rsidRPr="00AC51C5">
        <w:rPr>
          <w:rStyle w:val="libAieChar"/>
          <w:rtl/>
        </w:rPr>
        <w:t xml:space="preserve"> إِنَّ اللهَ يُحِبُّ التَّوّابِينَ وَيُحِبُّ الْمُتَطَهِّرِينَ </w:t>
      </w:r>
      <w:r w:rsidRPr="00AC51C5">
        <w:rPr>
          <w:rStyle w:val="libAlaemChar"/>
          <w:rtl/>
        </w:rPr>
        <w:t>)</w:t>
      </w:r>
      <w:r w:rsidRPr="005D642E">
        <w:rPr>
          <w:rtl/>
          <w:lang w:bidi="fa-IR"/>
        </w:rPr>
        <w:t xml:space="preserve"> </w:t>
      </w:r>
      <w:r w:rsidRPr="007C12DB">
        <w:rPr>
          <w:rStyle w:val="libFootnotenumChar"/>
          <w:rtl/>
        </w:rPr>
        <w:t>(7)</w:t>
      </w:r>
      <w:r w:rsidRPr="005D642E">
        <w:rPr>
          <w:rtl/>
          <w:lang w:bidi="fa-IR"/>
        </w:rPr>
        <w:t xml:space="preserve"> قَالَ : « كَانَ النَّاسُ يَسْتَنْجُونَ بِالْكُرْسُفِ </w:t>
      </w:r>
      <w:r w:rsidRPr="007C12DB">
        <w:rPr>
          <w:rStyle w:val="libFootnotenumChar"/>
          <w:rtl/>
        </w:rPr>
        <w:t>(8)</w:t>
      </w:r>
      <w:r w:rsidRPr="005D642E">
        <w:rPr>
          <w:rtl/>
          <w:lang w:bidi="fa-IR"/>
        </w:rPr>
        <w:t xml:space="preserve"> وَالْأَحْجَارِ ، ثُمَّ أُحْدِثَ‌</w:t>
      </w:r>
    </w:p>
    <w:p w:rsidR="00E3253D" w:rsidRPr="005D642E" w:rsidRDefault="00E3253D" w:rsidP="00E3253D">
      <w:pPr>
        <w:pStyle w:val="libLine"/>
        <w:rPr>
          <w:rtl/>
          <w:lang w:bidi="fa-IR"/>
        </w:rPr>
      </w:pPr>
      <w:r w:rsidRPr="005D642E">
        <w:rPr>
          <w:rtl/>
          <w:lang w:bidi="fa-IR"/>
        </w:rPr>
        <w:t>__________________</w:t>
      </w:r>
    </w:p>
    <w:p w:rsidR="00E3253D" w:rsidRPr="005D642E" w:rsidRDefault="003F44DD" w:rsidP="00E3253D">
      <w:pPr>
        <w:pStyle w:val="libFootnote0"/>
        <w:rPr>
          <w:rtl/>
          <w:lang w:bidi="fa-IR"/>
        </w:rPr>
      </w:pPr>
      <w:r>
        <w:rPr>
          <w:rFonts w:hint="cs"/>
          <w:rtl/>
        </w:rPr>
        <w:t xml:space="preserve">= </w:t>
      </w:r>
      <w:r w:rsidR="00E3253D" w:rsidRPr="005D642E">
        <w:rPr>
          <w:rtl/>
        </w:rPr>
        <w:t xml:space="preserve">ح 66 ؛ وص 52 ، ذيل ح 90 ؛ </w:t>
      </w:r>
      <w:r w:rsidR="00E3253D" w:rsidRPr="00E678B5">
        <w:rPr>
          <w:rStyle w:val="libFootnoteBoldChar"/>
          <w:rtl/>
        </w:rPr>
        <w:t>والاستبصار</w:t>
      </w:r>
      <w:r w:rsidR="00E3253D" w:rsidRPr="002F4D34">
        <w:rPr>
          <w:rStyle w:val="libFootnoteBoldChar"/>
          <w:rtl/>
        </w:rPr>
        <w:t xml:space="preserve"> </w:t>
      </w:r>
      <w:r w:rsidR="00E3253D" w:rsidRPr="005D642E">
        <w:rPr>
          <w:rtl/>
        </w:rPr>
        <w:t>، ج 1 ، ص 52 ، ذيل ح 149 ، بسنده عن عمرو بن سعيد ، من قوله : « وقال : إنّما عليه أن يغسل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28 ، ح 54 ، مرسلاً ، إلى قوله : « كما يقعد للغائط » مع اختلاف يسير </w:t>
      </w:r>
      <w:r w:rsidR="00D95928">
        <w:rPr>
          <w:rFonts w:hint="cs"/>
          <w:rtl/>
        </w:rPr>
        <w:t>.</w:t>
      </w:r>
      <w:r w:rsidR="00E3253D" w:rsidRPr="002F4D34">
        <w:rPr>
          <w:rStyle w:val="libFootnoteBoldChar"/>
          <w:rtl/>
        </w:rPr>
        <w:t>الوافي</w:t>
      </w:r>
      <w:r w:rsidR="00E3253D" w:rsidRPr="005D642E">
        <w:rPr>
          <w:rtl/>
        </w:rPr>
        <w:t xml:space="preserve"> ، ج 6 ، ص 123 ، ح 3906 ؛ </w:t>
      </w:r>
      <w:r w:rsidR="00E3253D" w:rsidRPr="002F4D34">
        <w:rPr>
          <w:rStyle w:val="libFootnoteBoldChar"/>
          <w:rtl/>
        </w:rPr>
        <w:t>الوسائل</w:t>
      </w:r>
      <w:r w:rsidR="00E3253D" w:rsidRPr="005D642E">
        <w:rPr>
          <w:rtl/>
        </w:rPr>
        <w:t xml:space="preserve"> ، ج 1 ، ص 360 ، ح 955.</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بف » </w:t>
      </w:r>
      <w:r w:rsidR="009E68BB" w:rsidRPr="009E68BB">
        <w:rPr>
          <w:rStyle w:val="libFootnoteBoldChar"/>
          <w:rtl/>
        </w:rPr>
        <w:t>وتحف العقول</w:t>
      </w:r>
      <w:r w:rsidR="00E3253D" w:rsidRPr="005D642E">
        <w:rPr>
          <w:rtl/>
        </w:rPr>
        <w:t xml:space="preserve"> : « النساء » بدل « نساء »</w:t>
      </w:r>
      <w:r w:rsidR="00E3253D">
        <w:rPr>
          <w:rtl/>
        </w:rPr>
        <w:t>.</w:t>
      </w:r>
      <w:r w:rsidR="00E3253D" w:rsidRPr="005D642E">
        <w:rPr>
          <w:rtl/>
        </w:rPr>
        <w:t xml:space="preserve"> وفي « غ ، ى ، ب</w:t>
      </w:r>
      <w:r w:rsidR="00D95928">
        <w:rPr>
          <w:rtl/>
        </w:rPr>
        <w:t>ث ، بح ، بخ ، بس ، بف ، جح ، جس</w:t>
      </w:r>
      <w:r w:rsidR="00E3253D" w:rsidRPr="005D642E">
        <w:rPr>
          <w:rtl/>
        </w:rPr>
        <w:t xml:space="preserve">» وحاشية « جن » </w:t>
      </w:r>
      <w:r w:rsidR="009E68BB" w:rsidRPr="009E68BB">
        <w:rPr>
          <w:rStyle w:val="libFootnoteBoldChar"/>
          <w:rtl/>
        </w:rPr>
        <w:t>وتحف العقول</w:t>
      </w:r>
      <w:r w:rsidR="00E3253D" w:rsidRPr="005D642E">
        <w:rPr>
          <w:rtl/>
        </w:rPr>
        <w:t xml:space="preserve"> : « المؤمنات » بدل « المؤمنين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المطهَرَةُ بكسر الميم وفتحها</w:t>
      </w:r>
      <w:r w:rsidR="00E3253D">
        <w:rPr>
          <w:rtl/>
        </w:rPr>
        <w:t xml:space="preserve"> </w:t>
      </w:r>
      <w:r w:rsidR="007642BC">
        <w:rPr>
          <w:rtl/>
        </w:rPr>
        <w:t>-</w:t>
      </w:r>
      <w:r w:rsidR="00E3253D">
        <w:rPr>
          <w:rtl/>
        </w:rPr>
        <w:t xml:space="preserve"> </w:t>
      </w:r>
      <w:r w:rsidR="00E3253D" w:rsidRPr="005D642E">
        <w:rPr>
          <w:rtl/>
        </w:rPr>
        <w:t>والفتح أعلى</w:t>
      </w:r>
      <w:r w:rsidR="00E3253D">
        <w:rPr>
          <w:rtl/>
        </w:rPr>
        <w:t xml:space="preserve"> </w:t>
      </w:r>
      <w:r w:rsidR="007642BC">
        <w:rPr>
          <w:rtl/>
        </w:rPr>
        <w:t>-</w:t>
      </w:r>
      <w:r w:rsidR="00E3253D">
        <w:rPr>
          <w:rtl/>
        </w:rPr>
        <w:t xml:space="preserve"> </w:t>
      </w:r>
      <w:r w:rsidR="00E3253D" w:rsidRPr="005D642E">
        <w:rPr>
          <w:rtl/>
        </w:rPr>
        <w:t>: الإداوة ، وهي إناء صغير من جلد يتّخذ للماء. وقيل : المطهرة : الإناء الذي يتوضّأ به ويتطهّر به. وقيل أيضاً : كلّ إناء يتطهّر به ، مثل سطل أو ركوة فهو مطهرة. هذا في الأصل ، والمراد ب</w:t>
      </w:r>
      <w:r w:rsidR="00D95928">
        <w:rPr>
          <w:rtl/>
        </w:rPr>
        <w:t>ها هاهنا الم</w:t>
      </w:r>
      <w:r w:rsidR="00D95928">
        <w:rPr>
          <w:rFonts w:hint="cs"/>
          <w:rtl/>
        </w:rPr>
        <w:t>ـُ</w:t>
      </w:r>
      <w:r w:rsidR="00E3253D" w:rsidRPr="005D642E">
        <w:rPr>
          <w:rtl/>
        </w:rPr>
        <w:t xml:space="preserve">زيلة للنجاسة. راجع : </w:t>
      </w:r>
      <w:r w:rsidR="00E3253D" w:rsidRPr="002F4D34">
        <w:rPr>
          <w:rStyle w:val="libFootnoteBoldChar"/>
          <w:rtl/>
        </w:rPr>
        <w:t>الصحاح</w:t>
      </w:r>
      <w:r w:rsidR="00E3253D" w:rsidRPr="005D642E">
        <w:rPr>
          <w:rtl/>
        </w:rPr>
        <w:t xml:space="preserve"> ، ج 2 ، ص 727 ؛ </w:t>
      </w:r>
      <w:r w:rsidR="00E3253D" w:rsidRPr="002F4D34">
        <w:rPr>
          <w:rStyle w:val="libFootnoteBoldChar"/>
          <w:rtl/>
        </w:rPr>
        <w:t>لسان العرب</w:t>
      </w:r>
      <w:r w:rsidR="00E3253D" w:rsidRPr="005D642E">
        <w:rPr>
          <w:rtl/>
        </w:rPr>
        <w:t xml:space="preserve"> ، ج 4 ، ص 506 ( طهر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 « مُذهبة »</w:t>
      </w:r>
      <w:r w:rsidR="00E3253D">
        <w:rPr>
          <w:rtl/>
        </w:rPr>
        <w:t>.</w:t>
      </w:r>
      <w:r w:rsidR="00E3253D" w:rsidRPr="005D642E">
        <w:rPr>
          <w:rtl/>
        </w:rPr>
        <w:t xml:space="preserve"> والبَواسير : جمع باسُور ، وهي علّة تحدث في المقعدة وفي داخل الأنف أيضاً والمراد هنا الأوّل. وقيل : ورم تدفعه الطبيعة إلى كلّ موضع من البدن ، يقبل الرطوبة من المقعدة والانثيين والأشفار وغير ذلك ، فإن كان في المقعدة لم يكن حدوثه دون انفتاح أفواه العروق ، وقد تبدّل السين صاداً فيقال : باصور. وقيل : غير عربيّ. راجع : </w:t>
      </w:r>
      <w:r w:rsidR="00E3253D" w:rsidRPr="002F4D34">
        <w:rPr>
          <w:rStyle w:val="libFootnoteBoldChar"/>
          <w:rtl/>
        </w:rPr>
        <w:t>الصحاح</w:t>
      </w:r>
      <w:r w:rsidR="00E3253D" w:rsidRPr="005D642E">
        <w:rPr>
          <w:rtl/>
        </w:rPr>
        <w:t xml:space="preserve"> ، ج 2 ، ص 589 ؛ </w:t>
      </w:r>
      <w:r w:rsidR="00E3253D" w:rsidRPr="002F4D34">
        <w:rPr>
          <w:rStyle w:val="libFootnoteBoldChar"/>
          <w:rtl/>
        </w:rPr>
        <w:t>المصباح المنير</w:t>
      </w:r>
      <w:r w:rsidR="00E3253D" w:rsidRPr="005D642E">
        <w:rPr>
          <w:rtl/>
        </w:rPr>
        <w:t xml:space="preserve"> ، ص 48 ( بسر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علل الشرائع</w:t>
      </w:r>
      <w:r w:rsidR="00E3253D" w:rsidRPr="005D642E">
        <w:rPr>
          <w:rtl/>
        </w:rPr>
        <w:t xml:space="preserve"> ، ص 286 ، ح 2 ، بسنده عن هارون بن مسلم. وفي </w:t>
      </w:r>
      <w:r w:rsidR="00E3253D" w:rsidRPr="002F4D34">
        <w:rPr>
          <w:rStyle w:val="libFootnoteBoldChar"/>
          <w:rtl/>
        </w:rPr>
        <w:t>التهذيب</w:t>
      </w:r>
      <w:r w:rsidR="00E3253D" w:rsidRPr="005D642E">
        <w:rPr>
          <w:rtl/>
        </w:rPr>
        <w:t xml:space="preserve"> ، ج 1 ، ص 44 ، ح 125 ؛ </w:t>
      </w:r>
      <w:r w:rsidR="00E3253D" w:rsidRPr="00E678B5">
        <w:rPr>
          <w:rStyle w:val="libFootnoteBoldChar"/>
          <w:rtl/>
        </w:rPr>
        <w:t>والاستبصار</w:t>
      </w:r>
      <w:r w:rsidR="00E3253D" w:rsidRPr="005D642E">
        <w:rPr>
          <w:rtl/>
        </w:rPr>
        <w:t xml:space="preserve"> ، ج 1 ، ص 51 ، ح 142 ، بسنده عن هارون بن مسلم ، عن مسعدة بن زياد ، عن جعفر بن محمّد ، عن آبائه </w:t>
      </w:r>
      <w:r w:rsidR="00E3253D" w:rsidRPr="00D95928">
        <w:rPr>
          <w:rStyle w:val="libFootnoteAlaemChar"/>
          <w:rtl/>
        </w:rPr>
        <w:t>عليهم‌السلام</w:t>
      </w:r>
      <w:r w:rsidR="00E3253D" w:rsidRPr="005D642E">
        <w:rPr>
          <w:rtl/>
        </w:rPr>
        <w:t xml:space="preserve"> ، عن النبيّ </w:t>
      </w:r>
      <w:r w:rsidRPr="00D95928">
        <w:rPr>
          <w:rStyle w:val="libFootnoteAlaemChar"/>
          <w:rtl/>
        </w:rPr>
        <w:t>صلى‌الله‌عليه‌وآله</w:t>
      </w:r>
      <w:r w:rsidR="00E3253D" w:rsidRPr="005D642E">
        <w:rPr>
          <w:rtl/>
        </w:rPr>
        <w:t xml:space="preserve">. </w:t>
      </w:r>
      <w:r w:rsidR="00E3253D" w:rsidRPr="002F4D34">
        <w:rPr>
          <w:rStyle w:val="libFootnoteBoldChar"/>
          <w:rtl/>
        </w:rPr>
        <w:t>الفقيه</w:t>
      </w:r>
      <w:r w:rsidR="00E3253D" w:rsidRPr="005D642E">
        <w:rPr>
          <w:rtl/>
        </w:rPr>
        <w:t xml:space="preserve"> ، ج 1 ، ص 32 ، ح 62 ، مرسلاً عن النبيّ </w:t>
      </w:r>
      <w:r w:rsidRPr="00D95928">
        <w:rPr>
          <w:rStyle w:val="libFootnoteAlaemChar"/>
          <w:rtl/>
        </w:rPr>
        <w:t>صلى‌الله‌عليه‌وآله</w:t>
      </w:r>
      <w:r w:rsidR="00E3253D" w:rsidRPr="005D642E">
        <w:rPr>
          <w:rtl/>
        </w:rPr>
        <w:t xml:space="preserve"> </w:t>
      </w:r>
      <w:r w:rsidR="00D95928">
        <w:rPr>
          <w:rFonts w:hint="cs"/>
          <w:rtl/>
        </w:rPr>
        <w:t>.</w:t>
      </w:r>
      <w:r w:rsidR="00E3253D" w:rsidRPr="002F4D34">
        <w:rPr>
          <w:rStyle w:val="libFootnoteBoldChar"/>
          <w:rtl/>
        </w:rPr>
        <w:t>الوافي</w:t>
      </w:r>
      <w:r w:rsidR="00E3253D" w:rsidRPr="005D642E">
        <w:rPr>
          <w:rtl/>
        </w:rPr>
        <w:t xml:space="preserve"> ، ج 6 ، ص 128 ، ح 3922 ؛ </w:t>
      </w:r>
      <w:r w:rsidR="00E3253D" w:rsidRPr="002F4D34">
        <w:rPr>
          <w:rStyle w:val="libFootnoteBoldChar"/>
          <w:rtl/>
        </w:rPr>
        <w:t>الوسائل</w:t>
      </w:r>
      <w:r w:rsidR="00E3253D" w:rsidRPr="005D642E">
        <w:rPr>
          <w:rtl/>
        </w:rPr>
        <w:t xml:space="preserve"> ، ج 1 ، ص 316 ، ذيل ح 831.</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 بث ، بح ، بخ ، بس ، بف ، جح ، جس ، جن »</w:t>
      </w:r>
      <w:r w:rsidR="00E3253D">
        <w:rPr>
          <w:rtl/>
        </w:rPr>
        <w:t>.</w:t>
      </w:r>
      <w:r w:rsidR="00E3253D" w:rsidRPr="005D642E">
        <w:rPr>
          <w:rtl/>
        </w:rPr>
        <w:t xml:space="preserve"> وفي « ى » والمطبوع والوسائل : + « بن شاذان »</w:t>
      </w:r>
      <w:r w:rsidR="00E3253D">
        <w:rPr>
          <w:rtl/>
        </w:rPr>
        <w:t>.</w:t>
      </w:r>
      <w:r w:rsidR="00E3253D" w:rsidRPr="005D642E">
        <w:rPr>
          <w:rtl/>
        </w:rPr>
        <w:t xml:space="preserve"> وفي‌السند تحويل بعطف « عليّ بن إبراهيم ، عن أبيه » على « محمّد بن إسماعيل ، عن الفضل »</w:t>
      </w:r>
      <w:r w:rsidR="00E3253D">
        <w:rPr>
          <w:rtl/>
        </w:rPr>
        <w:t>.</w:t>
      </w:r>
    </w:p>
    <w:tbl>
      <w:tblPr>
        <w:tblStyle w:val="TableGrid"/>
        <w:bidiVisual/>
        <w:tblW w:w="0" w:type="auto"/>
        <w:tblLook w:val="04A0" w:firstRow="1" w:lastRow="0" w:firstColumn="1" w:lastColumn="0" w:noHBand="0" w:noVBand="1"/>
      </w:tblPr>
      <w:tblGrid>
        <w:gridCol w:w="4006"/>
        <w:gridCol w:w="4006"/>
      </w:tblGrid>
      <w:tr w:rsidR="00D95928" w:rsidTr="00D95928">
        <w:tc>
          <w:tcPr>
            <w:tcW w:w="4006" w:type="dxa"/>
          </w:tcPr>
          <w:p w:rsidR="00D95928" w:rsidRDefault="00D95928" w:rsidP="00E3253D">
            <w:pPr>
              <w:pStyle w:val="libFootnote0"/>
              <w:rPr>
                <w:rStyle w:val="libFootnote0Char"/>
                <w:rtl/>
              </w:rPr>
            </w:pPr>
            <w:r w:rsidRPr="0042621E">
              <w:rPr>
                <w:rStyle w:val="libFootnote0Char"/>
                <w:rtl/>
              </w:rPr>
              <w:t>(6).</w:t>
            </w:r>
            <w:r w:rsidRPr="005D642E">
              <w:rPr>
                <w:rtl/>
              </w:rPr>
              <w:t xml:space="preserve"> في « بح » والوسائل :</w:t>
            </w:r>
            <w:r>
              <w:rPr>
                <w:rtl/>
              </w:rPr>
              <w:t xml:space="preserve"> - </w:t>
            </w:r>
            <w:r w:rsidRPr="005D642E">
              <w:rPr>
                <w:rtl/>
              </w:rPr>
              <w:t>« قال »</w:t>
            </w:r>
            <w:r>
              <w:rPr>
                <w:rtl/>
              </w:rPr>
              <w:t>.</w:t>
            </w:r>
          </w:p>
        </w:tc>
        <w:tc>
          <w:tcPr>
            <w:tcW w:w="4006" w:type="dxa"/>
          </w:tcPr>
          <w:p w:rsidR="00D95928" w:rsidRDefault="00D95928" w:rsidP="00E3253D">
            <w:pPr>
              <w:pStyle w:val="libFootnote0"/>
              <w:rPr>
                <w:rStyle w:val="libFootnote0Char"/>
                <w:rtl/>
              </w:rPr>
            </w:pPr>
            <w:r w:rsidRPr="0042621E">
              <w:rPr>
                <w:rStyle w:val="libFootnote0Char"/>
                <w:rtl/>
              </w:rPr>
              <w:t>(7).</w:t>
            </w:r>
            <w:r w:rsidRPr="005D642E">
              <w:rPr>
                <w:rtl/>
              </w:rPr>
              <w:t xml:space="preserve"> البقرة </w:t>
            </w:r>
            <w:r w:rsidRPr="0042621E">
              <w:rPr>
                <w:rStyle w:val="libFootnote0Char"/>
                <w:rtl/>
              </w:rPr>
              <w:t>(2)</w:t>
            </w:r>
            <w:r w:rsidRPr="005D642E">
              <w:rPr>
                <w:rtl/>
              </w:rPr>
              <w:t xml:space="preserve"> : 222.</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كرسف ، كعُصفر وزُنبور : القطن. </w:t>
      </w:r>
      <w:r w:rsidR="00E3253D" w:rsidRPr="002F4D34">
        <w:rPr>
          <w:rStyle w:val="libFootnoteBoldChar"/>
          <w:rtl/>
        </w:rPr>
        <w:t>الصحاح</w:t>
      </w:r>
      <w:r w:rsidR="00E3253D" w:rsidRPr="005D642E">
        <w:rPr>
          <w:rtl/>
        </w:rPr>
        <w:t xml:space="preserve"> ، ج 4 ، ص 1421 ( كرسف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الْوُضُوءُ </w:t>
      </w:r>
      <w:r w:rsidRPr="007C12DB">
        <w:rPr>
          <w:rStyle w:val="libFootnotenumChar"/>
          <w:rtl/>
        </w:rPr>
        <w:t>(1)</w:t>
      </w:r>
      <w:r w:rsidRPr="005D642E">
        <w:rPr>
          <w:rtl/>
          <w:lang w:bidi="fa-IR"/>
        </w:rPr>
        <w:t xml:space="preserve"> وَهُوَ خُلُقٌ كَرِيمٌ ، فَأَمَرَ بِهِ </w:t>
      </w:r>
      <w:r w:rsidRPr="007C12DB">
        <w:rPr>
          <w:rStyle w:val="libFootnotenumChar"/>
          <w:rtl/>
        </w:rPr>
        <w:t>(2)</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وَصَنَعَهُ ، وَأَنْزَلَ </w:t>
      </w:r>
      <w:r w:rsidRPr="007C12DB">
        <w:rPr>
          <w:rStyle w:val="libFootnotenumChar"/>
          <w:rtl/>
        </w:rPr>
        <w:t>(3)</w:t>
      </w:r>
      <w:r w:rsidRPr="005D642E">
        <w:rPr>
          <w:rtl/>
          <w:lang w:bidi="fa-IR"/>
        </w:rPr>
        <w:t xml:space="preserve"> اللهُ فِي كِتَابِهِ : </w:t>
      </w:r>
      <w:r w:rsidRPr="00AC51C5">
        <w:rPr>
          <w:rStyle w:val="libAlaemChar"/>
          <w:rtl/>
        </w:rPr>
        <w:t>(</w:t>
      </w:r>
      <w:r w:rsidRPr="00AC51C5">
        <w:rPr>
          <w:rStyle w:val="libAieChar"/>
          <w:rtl/>
        </w:rPr>
        <w:t xml:space="preserve"> إِنَّ اللهَ يُحِبُّ التَّوّابِينَ وَيُحِبُّ الْمُتَطَهِّرِينَ </w:t>
      </w:r>
      <w:r w:rsidRPr="00AC51C5">
        <w:rPr>
          <w:rStyle w:val="libAlaemChar"/>
          <w:rtl/>
        </w:rPr>
        <w:t>)</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8A27FE">
      <w:pPr>
        <w:pStyle w:val="libNormal"/>
        <w:rPr>
          <w:rtl/>
          <w:lang w:bidi="fa-IR"/>
        </w:rPr>
      </w:pPr>
      <w:r w:rsidRPr="00ED2807">
        <w:rPr>
          <w:rtl/>
        </w:rPr>
        <w:t>3889</w:t>
      </w:r>
      <w:r w:rsidRPr="00246318">
        <w:rPr>
          <w:rStyle w:val="libBold2Char"/>
          <w:rtl/>
        </w:rPr>
        <w:t xml:space="preserve"> / 14.</w:t>
      </w:r>
      <w:r w:rsidRPr="005D642E">
        <w:rPr>
          <w:rtl/>
          <w:lang w:bidi="fa-IR"/>
        </w:rPr>
        <w:t xml:space="preserve"> عَلِيُّ بْنُ إِبْرَاهِيمَ ، عَنْ أَبِيهِ ، عَنِ ابْنِ أَبِي عُمَيْرٍ ، عَنِ ابْنِ أُذَيْنَةَ ، عَنْ زُرَارَةَ ، قَالَ :</w:t>
      </w:r>
      <w:r w:rsidR="008A27FE">
        <w:rPr>
          <w:rFonts w:hint="cs"/>
          <w:rtl/>
          <w:lang w:bidi="fa-IR"/>
        </w:rPr>
        <w:t xml:space="preserve"> </w:t>
      </w:r>
      <w:r w:rsidRPr="005D642E">
        <w:rPr>
          <w:rtl/>
          <w:lang w:bidi="fa-IR"/>
        </w:rPr>
        <w:t xml:space="preserve">تَوَضَّأْتُ يَوْماً وَلَمْ أَغْسِلْ </w:t>
      </w:r>
      <w:r w:rsidRPr="007C12DB">
        <w:rPr>
          <w:rStyle w:val="libFootnotenumChar"/>
          <w:rtl/>
        </w:rPr>
        <w:t>(5)</w:t>
      </w:r>
      <w:r w:rsidRPr="005D642E">
        <w:rPr>
          <w:rtl/>
          <w:lang w:bidi="fa-IR"/>
        </w:rPr>
        <w:t xml:space="preserve"> ذَكَرِي ، ثُمَّ صَلَّيْتُ </w:t>
      </w:r>
      <w:r w:rsidRPr="007C12DB">
        <w:rPr>
          <w:rStyle w:val="libFootnotenumChar"/>
          <w:rtl/>
        </w:rPr>
        <w:t>(6)</w:t>
      </w:r>
      <w:r w:rsidRPr="005D642E">
        <w:rPr>
          <w:rtl/>
          <w:lang w:bidi="fa-IR"/>
        </w:rPr>
        <w:t xml:space="preserve"> ، فَسَأَلْتُ أَبَا عَبْدِ اللهِ </w:t>
      </w:r>
      <w:r w:rsidRPr="00AC51C5">
        <w:rPr>
          <w:rStyle w:val="libAlaemChar"/>
          <w:rtl/>
        </w:rPr>
        <w:t>عليه‌السلام</w:t>
      </w:r>
      <w:r w:rsidRPr="005D642E">
        <w:rPr>
          <w:rtl/>
          <w:lang w:bidi="fa-IR"/>
        </w:rPr>
        <w:t xml:space="preserve"> </w:t>
      </w:r>
      <w:r w:rsidRPr="007C12DB">
        <w:rPr>
          <w:rStyle w:val="libFootnotenumChar"/>
          <w:rtl/>
        </w:rPr>
        <w:t>(7)</w:t>
      </w:r>
      <w:r w:rsidRPr="005D642E">
        <w:rPr>
          <w:rtl/>
          <w:lang w:bidi="fa-IR"/>
        </w:rPr>
        <w:t xml:space="preserve"> ، فَقَالَ :</w:t>
      </w:r>
      <w:r>
        <w:rPr>
          <w:rFonts w:hint="cs"/>
          <w:rtl/>
          <w:lang w:bidi="fa-IR"/>
        </w:rPr>
        <w:t xml:space="preserve"> </w:t>
      </w:r>
      <w:r w:rsidRPr="005D642E">
        <w:rPr>
          <w:rtl/>
          <w:lang w:bidi="fa-IR"/>
        </w:rPr>
        <w:t xml:space="preserve">« اغْسِلْ ذَكَرَكَ ، وَأَعِدْ صَلَاتَكَ </w:t>
      </w:r>
      <w:r w:rsidRPr="007C12DB">
        <w:rPr>
          <w:rStyle w:val="libFootnotenumChar"/>
          <w:rtl/>
        </w:rPr>
        <w:t>(8)</w:t>
      </w:r>
      <w:r w:rsidRPr="005D642E">
        <w:rPr>
          <w:rtl/>
          <w:lang w:bidi="fa-IR"/>
        </w:rPr>
        <w:t xml:space="preserve">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ED2807">
        <w:rPr>
          <w:rtl/>
        </w:rPr>
        <w:t>3890</w:t>
      </w:r>
      <w:r w:rsidRPr="00246318">
        <w:rPr>
          <w:rStyle w:val="libBold2Char"/>
          <w:rtl/>
        </w:rPr>
        <w:t xml:space="preserve"> / 15.</w:t>
      </w:r>
      <w:r w:rsidRPr="005D642E">
        <w:rPr>
          <w:rtl/>
          <w:lang w:bidi="fa-IR"/>
        </w:rPr>
        <w:t xml:space="preserve"> مُحَمَّدُ بْنُ يَحْيى ، عَنْ أَحْمَدَ بْنِ مُحَمَّدِ بْنِ عِيسى ، عَنِ الْحَسَنِ بْنِ عَلِيِّ بْنِ يَقْطِينٍ ، عَنْ أَخِيهِ الْحُسَيْنِ ، عَنْ عَلِيِّ بْنِ يَقْطِينٍ :</w:t>
      </w:r>
    </w:p>
    <w:p w:rsidR="00E3253D" w:rsidRPr="005D642E" w:rsidRDefault="00E3253D" w:rsidP="00E3253D">
      <w:pPr>
        <w:pStyle w:val="libNormal"/>
        <w:rPr>
          <w:rtl/>
          <w:lang w:bidi="fa-IR"/>
        </w:rPr>
      </w:pPr>
      <w:r w:rsidRPr="005D642E">
        <w:rPr>
          <w:rtl/>
          <w:lang w:bidi="fa-IR"/>
        </w:rPr>
        <w:t xml:space="preserve">عَنْ أَبِي الْحَسَنِ </w:t>
      </w:r>
      <w:r w:rsidRPr="00AC51C5">
        <w:rPr>
          <w:rStyle w:val="libAlaemChar"/>
          <w:rtl/>
        </w:rPr>
        <w:t>عليه‌السلام</w:t>
      </w:r>
      <w:r w:rsidRPr="005D642E">
        <w:rPr>
          <w:rtl/>
          <w:lang w:bidi="fa-IR"/>
        </w:rPr>
        <w:t xml:space="preserve"> فِي </w:t>
      </w:r>
      <w:r w:rsidRPr="007C12DB">
        <w:rPr>
          <w:rStyle w:val="libFootnotenumChar"/>
          <w:rtl/>
        </w:rPr>
        <w:t>(10)</w:t>
      </w:r>
      <w:r w:rsidRPr="005D642E">
        <w:rPr>
          <w:rtl/>
          <w:lang w:bidi="fa-IR"/>
        </w:rPr>
        <w:t xml:space="preserve"> الرَّجُلِ يَبُولُ ، فَيَنْسى غَسْلَ ذَكَرِهِ ، ثُمَّ يَتَوَضَّأُ وُضُوءَ الصَّلَاةِ ، قَالَ : « يَغْسِلُ ذَكَرَهُ </w:t>
      </w:r>
      <w:r w:rsidRPr="007C12DB">
        <w:rPr>
          <w:rStyle w:val="libFootnotenumChar"/>
          <w:rtl/>
        </w:rPr>
        <w:t>(11)</w:t>
      </w:r>
      <w:r w:rsidRPr="005D642E">
        <w:rPr>
          <w:rtl/>
          <w:lang w:bidi="fa-IR"/>
        </w:rPr>
        <w:t xml:space="preserve"> ، وَلَايُعِيدُ الْوُضُوءَ »</w:t>
      </w:r>
      <w:r>
        <w:rPr>
          <w:rtl/>
          <w:lang w:bidi="fa-IR"/>
        </w:rPr>
        <w:t>.</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A27FE" w:rsidTr="008A27FE">
        <w:tc>
          <w:tcPr>
            <w:tcW w:w="4006" w:type="dxa"/>
          </w:tcPr>
          <w:p w:rsidR="008A27FE" w:rsidRDefault="008A27FE" w:rsidP="00E3253D">
            <w:pPr>
              <w:pStyle w:val="libFootnote0"/>
              <w:rPr>
                <w:rStyle w:val="libFootnote0Char"/>
                <w:rtl/>
              </w:rPr>
            </w:pPr>
            <w:r w:rsidRPr="0042621E">
              <w:rPr>
                <w:rStyle w:val="libFootnote0Char"/>
                <w:rtl/>
              </w:rPr>
              <w:t>(1).</w:t>
            </w:r>
            <w:r>
              <w:rPr>
                <w:rtl/>
              </w:rPr>
              <w:t xml:space="preserve"> </w:t>
            </w:r>
            <w:r w:rsidRPr="005D642E">
              <w:rPr>
                <w:rtl/>
              </w:rPr>
              <w:t xml:space="preserve">في </w:t>
            </w:r>
            <w:r w:rsidRPr="002F4D34">
              <w:rPr>
                <w:rStyle w:val="libFootnoteBoldChar"/>
                <w:rtl/>
              </w:rPr>
              <w:t>الوافي</w:t>
            </w:r>
            <w:r w:rsidRPr="005D642E">
              <w:rPr>
                <w:rtl/>
              </w:rPr>
              <w:t xml:space="preserve"> : « يعني بالوضوء الاستنجاء بالماء »</w:t>
            </w:r>
            <w:r>
              <w:rPr>
                <w:rtl/>
              </w:rPr>
              <w:t>.</w:t>
            </w:r>
          </w:p>
        </w:tc>
        <w:tc>
          <w:tcPr>
            <w:tcW w:w="4006" w:type="dxa"/>
          </w:tcPr>
          <w:p w:rsidR="008A27FE" w:rsidRDefault="008A27FE" w:rsidP="00E3253D">
            <w:pPr>
              <w:pStyle w:val="libFootnote0"/>
              <w:rPr>
                <w:rStyle w:val="libFootnote0Char"/>
                <w:rtl/>
              </w:rPr>
            </w:pPr>
            <w:r w:rsidRPr="0042621E">
              <w:rPr>
                <w:rStyle w:val="libFootnote0Char"/>
                <w:rtl/>
              </w:rPr>
              <w:t>(2).</w:t>
            </w:r>
            <w:r w:rsidRPr="005D642E">
              <w:rPr>
                <w:rtl/>
              </w:rPr>
              <w:t xml:space="preserve"> في « جس » :</w:t>
            </w:r>
            <w:r>
              <w:rPr>
                <w:rtl/>
              </w:rPr>
              <w:t xml:space="preserve"> - </w:t>
            </w:r>
            <w:r w:rsidRPr="005D642E">
              <w:rPr>
                <w:rtl/>
              </w:rPr>
              <w:t>« به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بث ، بخ ، بس ، بف ، جن » </w:t>
      </w:r>
      <w:r w:rsidR="009E68BB" w:rsidRPr="009E68BB">
        <w:rPr>
          <w:rStyle w:val="libFootnoteBoldChar"/>
          <w:rtl/>
        </w:rPr>
        <w:t>وتفسير العيّاشي</w:t>
      </w:r>
      <w:r w:rsidR="00E3253D" w:rsidRPr="005D642E">
        <w:rPr>
          <w:rtl/>
        </w:rPr>
        <w:t xml:space="preserve"> : « وأنزله »</w:t>
      </w:r>
      <w:r w:rsidR="00E3253D">
        <w:rPr>
          <w:rtl/>
        </w:rPr>
        <w:t>.</w:t>
      </w:r>
      <w:r w:rsidR="00E3253D" w:rsidRPr="005D642E">
        <w:rPr>
          <w:rtl/>
        </w:rPr>
        <w:t xml:space="preserve"> وفي « ى » وحاشية « بخ » والوسائل : « فأنزل »</w:t>
      </w:r>
      <w:r w:rsidR="00E3253D">
        <w:rPr>
          <w:rtl/>
        </w:rPr>
        <w:t>.</w:t>
      </w:r>
      <w:r w:rsidR="00E3253D" w:rsidRPr="005D642E">
        <w:rPr>
          <w:rtl/>
        </w:rPr>
        <w:t xml:space="preserve"> وفي « بح ، جح ، جس » : « فأنزله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تفسير العيّاشي</w:t>
      </w:r>
      <w:r w:rsidR="00E3253D" w:rsidRPr="005D642E">
        <w:rPr>
          <w:rtl/>
        </w:rPr>
        <w:t xml:space="preserve"> ، ج 1 ، ص 109 ، ح 326 ، عن جميل ، عن أبي عبدالله </w:t>
      </w:r>
      <w:r w:rsidR="00E3253D" w:rsidRPr="008A27FE">
        <w:rPr>
          <w:rStyle w:val="libFootnoteAlaemChar"/>
          <w:rtl/>
        </w:rPr>
        <w:t>عليه‌السلام</w:t>
      </w:r>
      <w:r w:rsidR="00E3253D" w:rsidRPr="005D642E">
        <w:rPr>
          <w:rtl/>
        </w:rPr>
        <w:t xml:space="preserve"> ، من قوله : « كان الناس يستنجون » ، مع اختلاف يسير. وراجع : </w:t>
      </w:r>
      <w:r w:rsidR="00E3253D" w:rsidRPr="002F4D34">
        <w:rPr>
          <w:rStyle w:val="libFootnoteBoldChar"/>
          <w:rtl/>
        </w:rPr>
        <w:t>الفقيه</w:t>
      </w:r>
      <w:r w:rsidR="00E3253D" w:rsidRPr="005D642E">
        <w:rPr>
          <w:rtl/>
        </w:rPr>
        <w:t xml:space="preserve"> ، ج 1 ، ص 30 ، ح 59 </w:t>
      </w:r>
      <w:r w:rsidR="008A27FE">
        <w:rPr>
          <w:rFonts w:hint="cs"/>
          <w:rtl/>
        </w:rPr>
        <w:t>.</w:t>
      </w:r>
      <w:r w:rsidR="00E3253D" w:rsidRPr="002F4D34">
        <w:rPr>
          <w:rStyle w:val="libFootnoteBoldChar"/>
          <w:rtl/>
        </w:rPr>
        <w:t>الوافي</w:t>
      </w:r>
      <w:r w:rsidR="00E3253D" w:rsidRPr="005D642E">
        <w:rPr>
          <w:rtl/>
        </w:rPr>
        <w:t xml:space="preserve"> ، ج 6 ، ص 129 ، ح 3923 ؛ </w:t>
      </w:r>
      <w:r w:rsidR="00E3253D" w:rsidRPr="002F4D34">
        <w:rPr>
          <w:rStyle w:val="libFootnoteBoldChar"/>
          <w:rtl/>
        </w:rPr>
        <w:t>الوسائل</w:t>
      </w:r>
      <w:r w:rsidR="00E3253D" w:rsidRPr="005D642E">
        <w:rPr>
          <w:rtl/>
        </w:rPr>
        <w:t xml:space="preserve"> ، ج 1 ، ص 355 ، ح 943.</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بح » : « ولم يغسل »</w:t>
      </w:r>
      <w:r w:rsidR="00E3253D">
        <w:rPr>
          <w:rtl/>
        </w:rPr>
        <w:t>.</w:t>
      </w:r>
      <w:r w:rsidR="00E3253D" w:rsidRPr="005D642E">
        <w:rPr>
          <w:rtl/>
        </w:rPr>
        <w:t xml:space="preserve"> وفي « جس » </w:t>
      </w:r>
      <w:r w:rsidR="00E3253D" w:rsidRPr="00E678B5">
        <w:rPr>
          <w:rStyle w:val="libFootnoteBoldChar"/>
          <w:rtl/>
        </w:rPr>
        <w:t>والاستبصار</w:t>
      </w:r>
      <w:r w:rsidR="00E3253D" w:rsidRPr="005D642E">
        <w:rPr>
          <w:rtl/>
        </w:rPr>
        <w:t xml:space="preserve"> ، ص 53 :</w:t>
      </w:r>
      <w:r w:rsidR="00E3253D">
        <w:rPr>
          <w:rtl/>
        </w:rPr>
        <w:t xml:space="preserve"> </w:t>
      </w:r>
      <w:r w:rsidR="007642BC">
        <w:rPr>
          <w:rtl/>
        </w:rPr>
        <w:t>-</w:t>
      </w:r>
      <w:r w:rsidR="00E3253D">
        <w:rPr>
          <w:rtl/>
        </w:rPr>
        <w:t xml:space="preserve"> </w:t>
      </w:r>
      <w:r w:rsidR="00E3253D" w:rsidRPr="005D642E">
        <w:rPr>
          <w:rtl/>
        </w:rPr>
        <w:t>« يوماً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ص 51 : + « فذكرت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w:t>
      </w:r>
      <w:r w:rsidR="00B60612" w:rsidRPr="00B60612">
        <w:rPr>
          <w:rStyle w:val="libFootnoteBoldChar"/>
          <w:rtl/>
        </w:rPr>
        <w:t>والتهذيب</w:t>
      </w:r>
      <w:r w:rsidR="00E3253D" w:rsidRPr="005D642E">
        <w:rPr>
          <w:rtl/>
        </w:rPr>
        <w:t xml:space="preserve"> ، ص 47 </w:t>
      </w:r>
      <w:r w:rsidR="00E3253D" w:rsidRPr="00E678B5">
        <w:rPr>
          <w:rStyle w:val="libFootnoteBoldChar"/>
          <w:rtl/>
        </w:rPr>
        <w:t>والاستبصار</w:t>
      </w:r>
      <w:r w:rsidR="00E3253D" w:rsidRPr="005D642E">
        <w:rPr>
          <w:rtl/>
        </w:rPr>
        <w:t xml:space="preserve"> ، ص 53 : + « عن ذلك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بح » : « صلواتك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47 ، ح 135 ؛ وص 51 ، ح 149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53 ، ح 152 ؛ وص 56 ، ح 164 ، بسند آخر عن ابن أبي عمير </w:t>
      </w:r>
      <w:r w:rsidR="008A27FE">
        <w:rPr>
          <w:rFonts w:hint="cs"/>
          <w:rtl/>
        </w:rPr>
        <w:t>.</w:t>
      </w:r>
      <w:r w:rsidR="00E3253D" w:rsidRPr="002F4D34">
        <w:rPr>
          <w:rStyle w:val="libFootnoteBoldChar"/>
          <w:rtl/>
        </w:rPr>
        <w:t>الوافي</w:t>
      </w:r>
      <w:r w:rsidR="00E3253D" w:rsidRPr="005D642E">
        <w:rPr>
          <w:rtl/>
        </w:rPr>
        <w:t xml:space="preserve"> ، ج 6 ، ص 155 ، ح 3983 ؛ </w:t>
      </w:r>
      <w:r w:rsidR="00E3253D" w:rsidRPr="002F4D34">
        <w:rPr>
          <w:rStyle w:val="libFootnoteBoldChar"/>
          <w:rtl/>
        </w:rPr>
        <w:t>الوسائل</w:t>
      </w:r>
      <w:r w:rsidR="00E3253D" w:rsidRPr="005D642E">
        <w:rPr>
          <w:rtl/>
        </w:rPr>
        <w:t xml:space="preserve"> ، ج 1 ، ص 295 ، ذيل ح 777.</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 « عن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 غ ، ى ، بث ، بخ ، بس ، بف ، جح ، جس ، جن » </w:t>
      </w:r>
      <w:r w:rsidR="000D749A" w:rsidRPr="000D749A">
        <w:rPr>
          <w:rStyle w:val="libFootnoteBoldChar"/>
          <w:rtl/>
        </w:rPr>
        <w:t>والوافي</w:t>
      </w:r>
      <w:r w:rsidR="00E3253D" w:rsidRPr="005D642E">
        <w:rPr>
          <w:rtl/>
        </w:rPr>
        <w:t xml:space="preserve"> والوسائل. وفي « بح » والمطبوع : + « ويعيد الصلاة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48 ، ح 138 ؛ </w:t>
      </w:r>
      <w:r w:rsidR="00E3253D" w:rsidRPr="00E678B5">
        <w:rPr>
          <w:rStyle w:val="libFootnoteBoldChar"/>
          <w:rtl/>
        </w:rPr>
        <w:t>والاستبصار</w:t>
      </w:r>
      <w:r w:rsidR="00E3253D" w:rsidRPr="005D642E">
        <w:rPr>
          <w:rtl/>
        </w:rPr>
        <w:t xml:space="preserve"> ، ج 1 ، ص 53 ، ح 155 ، بسند آخر عن عليّ بن يقطين ، عن أبي الحسن موسى </w:t>
      </w:r>
      <w:r w:rsidR="00E3253D" w:rsidRPr="009F10EE">
        <w:rPr>
          <w:rStyle w:val="libFootnoteAlaemChar"/>
          <w:rtl/>
        </w:rPr>
        <w:t>عليه‌السلام</w:t>
      </w:r>
      <w:r w:rsidR="00E3253D" w:rsidRPr="005D642E">
        <w:rPr>
          <w:rtl/>
        </w:rPr>
        <w:t xml:space="preserve">. </w:t>
      </w:r>
      <w:r w:rsidR="00B60612" w:rsidRPr="00B60612">
        <w:rPr>
          <w:rStyle w:val="libFootnoteBoldChar"/>
          <w:rtl/>
        </w:rPr>
        <w:t>والتهذيب</w:t>
      </w:r>
      <w:r w:rsidR="00E3253D" w:rsidRPr="002F4D34">
        <w:rPr>
          <w:rStyle w:val="libFootnoteBoldChar"/>
          <w:rtl/>
        </w:rPr>
        <w:t xml:space="preserve"> </w:t>
      </w:r>
      <w:r w:rsidR="00E3253D" w:rsidRPr="005D642E">
        <w:rPr>
          <w:rtl/>
        </w:rPr>
        <w:t xml:space="preserve">، ج 1 ، ص 48 ، ح 139 ؛ </w:t>
      </w:r>
      <w:r w:rsidR="00E3253D" w:rsidRPr="00E678B5">
        <w:rPr>
          <w:rStyle w:val="libFootnoteBoldChar"/>
          <w:rtl/>
        </w:rPr>
        <w:t>والاستبصار</w:t>
      </w:r>
      <w:r w:rsidR="00E3253D" w:rsidRPr="002F4D34">
        <w:rPr>
          <w:rStyle w:val="libFootnoteBoldChar"/>
          <w:rtl/>
        </w:rPr>
        <w:t xml:space="preserve"> </w:t>
      </w:r>
      <w:r w:rsidR="00E3253D">
        <w:rPr>
          <w:rtl/>
        </w:rPr>
        <w:t>، ج 1 ، ص 54 ، ح 156 ، بسند آ</w:t>
      </w:r>
      <w:r w:rsidR="00E3253D" w:rsidRPr="005D642E">
        <w:rPr>
          <w:rtl/>
        </w:rPr>
        <w:t xml:space="preserve">خر ، مع اختلاف يسير </w:t>
      </w:r>
      <w:r w:rsidR="008A27FE">
        <w:rPr>
          <w:rFonts w:hint="cs"/>
          <w:rtl/>
        </w:rPr>
        <w:t>.</w:t>
      </w:r>
      <w:r w:rsidR="00E3253D" w:rsidRPr="002F4D34">
        <w:rPr>
          <w:rStyle w:val="libFootnoteBoldChar"/>
          <w:rtl/>
        </w:rPr>
        <w:t>الوافي</w:t>
      </w:r>
      <w:r w:rsidR="00E3253D" w:rsidRPr="005D642E">
        <w:rPr>
          <w:rtl/>
        </w:rPr>
        <w:t xml:space="preserve"> ، ج 6 ، ص 155 ، ح 3984 ؛ </w:t>
      </w:r>
      <w:r w:rsidR="00E3253D" w:rsidRPr="002F4D34">
        <w:rPr>
          <w:rStyle w:val="libFootnoteBoldChar"/>
          <w:rtl/>
        </w:rPr>
        <w:t>الوسائل</w:t>
      </w:r>
      <w:r w:rsidR="00E3253D" w:rsidRPr="005D642E">
        <w:rPr>
          <w:rtl/>
        </w:rPr>
        <w:t xml:space="preserve"> ، ج 1 ، ص 294 ، ح 771.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A7550">
        <w:rPr>
          <w:rtl/>
        </w:rPr>
        <w:lastRenderedPageBreak/>
        <w:t>3891</w:t>
      </w:r>
      <w:r w:rsidRPr="00246318">
        <w:rPr>
          <w:rStyle w:val="libBold2Char"/>
          <w:rtl/>
        </w:rPr>
        <w:t xml:space="preserve"> / 16.</w:t>
      </w:r>
      <w:r w:rsidRPr="005D642E">
        <w:rPr>
          <w:rtl/>
          <w:lang w:bidi="fa-IR"/>
        </w:rPr>
        <w:t xml:space="preserve"> عَنْهُ ، عَنْ أَحْمَدَ ، عَنِ ابْنِ فَضَّالٍ ، عَنِ ابْنِ بُكَيْرٍ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الرَّجُلِ يَبُولُ ، وَيَنْسى أَنْ يَغْسِلَ ذَكَرَهُ حَتّى يَتَوَضَّأَ وَيُصَلِّيَ ، قَالَ : « يَغْسِلُ ذَكَرَهُ ، وَيُعِيدُ الصَّلَاةَ ، وَلَايُعِيدُ الْوُضُوءَ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6A7550">
        <w:rPr>
          <w:rtl/>
        </w:rPr>
        <w:t>3892</w:t>
      </w:r>
      <w:r w:rsidRPr="00246318">
        <w:rPr>
          <w:rStyle w:val="libBold2Char"/>
          <w:rtl/>
        </w:rPr>
        <w:t xml:space="preserve"> / 17.</w:t>
      </w:r>
      <w:r w:rsidRPr="005D642E">
        <w:rPr>
          <w:rtl/>
          <w:lang w:bidi="fa-IR"/>
        </w:rPr>
        <w:t xml:space="preserve"> عَلِيُّ بْنُ إِبْرَاهِيمَ ، عَنْ مُحَمَّدِ بْنِ عِيسى ، عَنْ يُونُسَ ، عَنْ زُرْعَةَ ، عَنْ سَمَاعَةَ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إِذَا دَخَلْتَ الْغَائِطَ ، فَقَضَيْتَ </w:t>
      </w:r>
      <w:r w:rsidRPr="007C12DB">
        <w:rPr>
          <w:rStyle w:val="libFootnotenumChar"/>
          <w:rtl/>
        </w:rPr>
        <w:t>(2)</w:t>
      </w:r>
      <w:r w:rsidRPr="005D642E">
        <w:rPr>
          <w:rtl/>
          <w:lang w:bidi="fa-IR"/>
        </w:rPr>
        <w:t xml:space="preserve"> الْحَاجَةَ ، فَلَمْ تُهْرِقِ </w:t>
      </w:r>
      <w:r w:rsidRPr="007C12DB">
        <w:rPr>
          <w:rStyle w:val="libFootnotenumChar"/>
          <w:rtl/>
        </w:rPr>
        <w:t>(3)</w:t>
      </w:r>
      <w:r w:rsidRPr="005D642E">
        <w:rPr>
          <w:rtl/>
          <w:lang w:bidi="fa-IR"/>
        </w:rPr>
        <w:t xml:space="preserve"> الْمَاءَ ، ثُمَّ تَوَضَّأْتَ ، وَنَسِيتَ </w:t>
      </w:r>
      <w:r w:rsidRPr="007C12DB">
        <w:rPr>
          <w:rStyle w:val="libFootnotenumChar"/>
          <w:rtl/>
        </w:rPr>
        <w:t>(4)</w:t>
      </w:r>
      <w:r w:rsidRPr="005D642E">
        <w:rPr>
          <w:rtl/>
          <w:lang w:bidi="fa-IR"/>
        </w:rPr>
        <w:t xml:space="preserve"> أَنْ تَسْتَنْجِيَ ، فَذَكَرْتَ بَعْدَ مَا صَلَّيْتَ ، فَعَلَيْكَ الْإِعَادَةُ ، وَإِنْ كُنْتَ أَهْرَقْتَ الْمَاءَ ، فَنَسِيتَ </w:t>
      </w:r>
      <w:r w:rsidRPr="007C12DB">
        <w:rPr>
          <w:rStyle w:val="libFootnotenumChar"/>
          <w:rtl/>
        </w:rPr>
        <w:t>(5)</w:t>
      </w:r>
      <w:r w:rsidRPr="005D642E">
        <w:rPr>
          <w:rtl/>
          <w:lang w:bidi="fa-IR"/>
        </w:rPr>
        <w:t xml:space="preserve"> أَنْ تَغْسِلَ ذَكَرَكَ حَتّى صَلَّيْتَ ، فَعَلَيْكَ إِعَادَةُ الْوُضُوءِ وَالصَّلَاةِ ، وَغَسْلُ ذَكَرِكَ ؛ لِأَنَّ الْبَوْلَ لَيْسَ </w:t>
      </w:r>
      <w:r w:rsidRPr="007C12DB">
        <w:rPr>
          <w:rStyle w:val="libFootnotenumChar"/>
          <w:rtl/>
        </w:rPr>
        <w:t>(6)</w:t>
      </w:r>
      <w:r w:rsidRPr="005D642E">
        <w:rPr>
          <w:rtl/>
          <w:lang w:bidi="fa-IR"/>
        </w:rPr>
        <w:t xml:space="preserve"> مِثْلَ الْبَرَازِ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6 ، ص 155 ، ح 3986 ؛ </w:t>
      </w:r>
      <w:r w:rsidR="00E3253D" w:rsidRPr="002F4D34">
        <w:rPr>
          <w:rStyle w:val="libFootnoteBoldChar"/>
          <w:rtl/>
        </w:rPr>
        <w:t>الوسائل</w:t>
      </w:r>
      <w:r w:rsidR="00E3253D" w:rsidRPr="005D642E">
        <w:rPr>
          <w:rtl/>
        </w:rPr>
        <w:t xml:space="preserve"> ، ج 1 ، ص 294 ، ح 772.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 « وقضيت »</w:t>
      </w:r>
      <w:r w:rsidR="00E3253D">
        <w:rPr>
          <w:rtl/>
        </w:rPr>
        <w:t>.</w:t>
      </w:r>
    </w:p>
    <w:p w:rsidR="00E3253D" w:rsidRPr="005D642E" w:rsidRDefault="0042621E" w:rsidP="00E678B5">
      <w:pPr>
        <w:pStyle w:val="libFootnote0"/>
        <w:rPr>
          <w:rtl/>
          <w:lang w:bidi="fa-IR"/>
        </w:rPr>
      </w:pPr>
      <w:r w:rsidRPr="0042621E">
        <w:rPr>
          <w:rStyle w:val="libFootnote0Char"/>
          <w:rtl/>
        </w:rPr>
        <w:t>(3).</w:t>
      </w:r>
      <w:r w:rsidR="00E3253D" w:rsidRPr="005D642E">
        <w:rPr>
          <w:rtl/>
        </w:rPr>
        <w:t xml:space="preserve"> في « بخ ، بس ، بف » وحاشية « بث ، بح » : « فلم تهريق »</w:t>
      </w:r>
      <w:r w:rsidR="00E3253D">
        <w:rPr>
          <w:rtl/>
        </w:rPr>
        <w:t>.</w:t>
      </w:r>
      <w:r w:rsidR="00E3253D" w:rsidRPr="005D642E">
        <w:rPr>
          <w:rtl/>
        </w:rPr>
        <w:t xml:space="preserve"> ويقال : هَراقَ الماءَ يُهَرِيق</w:t>
      </w:r>
      <w:r w:rsidR="00E3253D">
        <w:rPr>
          <w:rtl/>
        </w:rPr>
        <w:t xml:space="preserve"> </w:t>
      </w:r>
      <w:r w:rsidR="007642BC">
        <w:rPr>
          <w:rtl/>
        </w:rPr>
        <w:t>-</w:t>
      </w:r>
      <w:r w:rsidR="00E3253D">
        <w:rPr>
          <w:rtl/>
        </w:rPr>
        <w:t xml:space="preserve"> </w:t>
      </w:r>
      <w:r w:rsidR="00E3253D" w:rsidRPr="005D642E">
        <w:rPr>
          <w:rtl/>
        </w:rPr>
        <w:t>بفتح الهاء</w:t>
      </w:r>
      <w:r w:rsidR="00E3253D">
        <w:rPr>
          <w:rtl/>
        </w:rPr>
        <w:t xml:space="preserve"> </w:t>
      </w:r>
      <w:r w:rsidR="007642BC">
        <w:rPr>
          <w:rtl/>
        </w:rPr>
        <w:t>-</w:t>
      </w:r>
      <w:r w:rsidR="00E3253D">
        <w:rPr>
          <w:rtl/>
        </w:rPr>
        <w:t xml:space="preserve"> </w:t>
      </w:r>
      <w:r w:rsidR="00E3253D" w:rsidRPr="005D642E">
        <w:rPr>
          <w:rtl/>
        </w:rPr>
        <w:t>هِراقَةً ، أي صبّه. وفيه لغة ا</w:t>
      </w:r>
      <w:r w:rsidR="00E678B5">
        <w:rPr>
          <w:rFonts w:hint="cs"/>
          <w:rtl/>
        </w:rPr>
        <w:t>ُ</w:t>
      </w:r>
      <w:r w:rsidR="00E3253D" w:rsidRPr="005D642E">
        <w:rPr>
          <w:rtl/>
        </w:rPr>
        <w:t xml:space="preserve">خرى : أَهْرَقَ يُهْرِقُ إِهْراقاً ، على وزن أَفعل يُفعل فيجمع بين البدل والمبدل. وفيه لغة ثالثة : أهْراقَ يُهْرِيقُ إِهراقاً ، وهذا شاذّ. وإهراق الماء هاهنا كناية عن البول. راجع : </w:t>
      </w:r>
      <w:r w:rsidR="00E3253D" w:rsidRPr="002F4D34">
        <w:rPr>
          <w:rStyle w:val="libFootnoteBoldChar"/>
          <w:rtl/>
        </w:rPr>
        <w:t>الصحاح</w:t>
      </w:r>
      <w:r w:rsidR="00E3253D" w:rsidRPr="005D642E">
        <w:rPr>
          <w:rtl/>
        </w:rPr>
        <w:t xml:space="preserve"> ، ج 4 ، ص 1569 ؛ </w:t>
      </w:r>
      <w:r w:rsidR="00E3253D" w:rsidRPr="002F4D34">
        <w:rPr>
          <w:rStyle w:val="libFootnoteBoldChar"/>
          <w:rtl/>
        </w:rPr>
        <w:t>النهاية</w:t>
      </w:r>
      <w:r w:rsidR="00E3253D" w:rsidRPr="005D642E">
        <w:rPr>
          <w:rtl/>
        </w:rPr>
        <w:t xml:space="preserve"> ، ج 5 ، ص 260 ( هرق )</w:t>
      </w:r>
      <w:r w:rsidR="00E3253D">
        <w:rPr>
          <w:rtl/>
        </w:rPr>
        <w:t>.</w:t>
      </w:r>
      <w:r w:rsidR="00E678B5">
        <w:rPr>
          <w:rFonts w:hint="cs"/>
          <w:rtl/>
        </w:rPr>
        <w:t xml:space="preserve">                               </w:t>
      </w:r>
      <w:r w:rsidRPr="0042621E">
        <w:rPr>
          <w:rStyle w:val="libFootnote0Char"/>
          <w:rtl/>
        </w:rPr>
        <w:t>(4).</w:t>
      </w:r>
      <w:r w:rsidR="00E3253D" w:rsidRPr="005D642E">
        <w:rPr>
          <w:rtl/>
        </w:rPr>
        <w:t xml:space="preserve"> في « غ » : « فنسيت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ونسيت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ى ، بث ، بخ ، بس ، بف ، جح ، جس » </w:t>
      </w:r>
      <w:r w:rsidR="000D749A" w:rsidRPr="000D749A">
        <w:rPr>
          <w:rStyle w:val="libFootnoteBoldChar"/>
          <w:rtl/>
        </w:rPr>
        <w:t>والوافي</w:t>
      </w:r>
      <w:r w:rsidR="00E3253D" w:rsidRPr="005D642E">
        <w:rPr>
          <w:rtl/>
        </w:rPr>
        <w:t xml:space="preserve"> </w:t>
      </w:r>
      <w:r w:rsidR="000D749A" w:rsidRPr="000D749A">
        <w:rPr>
          <w:rStyle w:val="libFootnoteBoldChar"/>
          <w:rtl/>
        </w:rPr>
        <w:t>والمرآة</w:t>
      </w:r>
      <w:r w:rsidR="00E3253D" w:rsidRPr="005D642E">
        <w:rPr>
          <w:rtl/>
        </w:rPr>
        <w:t xml:space="preserve"> ، نقلاً من بعض النسخ :</w:t>
      </w:r>
      <w:r w:rsidR="00E3253D">
        <w:rPr>
          <w:rtl/>
        </w:rPr>
        <w:t xml:space="preserve"> </w:t>
      </w:r>
      <w:r w:rsidR="007642BC">
        <w:rPr>
          <w:rtl/>
        </w:rPr>
        <w:t>-</w:t>
      </w:r>
      <w:r w:rsidR="00E3253D">
        <w:rPr>
          <w:rtl/>
        </w:rPr>
        <w:t xml:space="preserve"> </w:t>
      </w:r>
      <w:r w:rsidR="009F10EE">
        <w:rPr>
          <w:rtl/>
        </w:rPr>
        <w:t>« ليس</w:t>
      </w:r>
      <w:r w:rsidR="00E3253D" w:rsidRPr="005D642E">
        <w:rPr>
          <w:rtl/>
        </w:rPr>
        <w:t>»</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مرآة العقول</w:t>
      </w:r>
      <w:r w:rsidRPr="00B60612">
        <w:rPr>
          <w:rtl/>
        </w:rPr>
        <w:t xml:space="preserve"> ، ج 13 ، ص 60 : « ليس في بعض النسخ « ليس » فقوله </w:t>
      </w:r>
      <w:r w:rsidRPr="00E678B5">
        <w:rPr>
          <w:rStyle w:val="libFootnoteAlaemChar"/>
          <w:rtl/>
        </w:rPr>
        <w:t>عليه‌السلام</w:t>
      </w:r>
      <w:r w:rsidRPr="00B60612">
        <w:rPr>
          <w:rtl/>
        </w:rPr>
        <w:t xml:space="preserve"> : فعليك الإعادة ، المراد به إعادة الوضوء والصلاة. وعلى النسخة الا</w:t>
      </w:r>
      <w:r w:rsidR="00E678B5" w:rsidRPr="00B60612">
        <w:rPr>
          <w:rFonts w:hint="cs"/>
          <w:rtl/>
        </w:rPr>
        <w:t>ُ</w:t>
      </w:r>
      <w:r w:rsidRPr="00B60612">
        <w:rPr>
          <w:rtl/>
        </w:rPr>
        <w:t>خرى المراد إعادة الصلاة حسب ، وإعادة الوضوء في الموضعين أوفي الثاني محمولة على الاستحباب أو التقيّة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قال ابن الأثير : « البَراز بالفتح : اسم للفضاء الواسع ، فكنّوا به عن قضاء الغائط ، كما كنّوا عنه بالغلاء ؛ لأنّهم كانوا يتبرّزون في الأمكنة الخالية من الناس. قال الخطّابيّ : المحدّثون يروونه بالكسر وهو خطأ ؛ لأنّه بالكسر مصدر من المبارزة في الحرب. وقال الجوهري بخلافه ، وهذا لفظه : البِراز : المبارزة في الحرب ، والبِراز أيضاً : كناية عن ثُفْل الغِذاء وهو الغائط ، ثمّ قال : والبَراز بالفتح : الفضاء الواسع ، وتبرّز الرجل ، أي خرج إلى البراز للحاجة »</w:t>
      </w:r>
      <w:r w:rsidR="00E3253D">
        <w:rPr>
          <w:rtl/>
        </w:rPr>
        <w:t>.</w:t>
      </w:r>
      <w:r w:rsidR="00E3253D" w:rsidRPr="005D642E">
        <w:rPr>
          <w:rtl/>
        </w:rPr>
        <w:t xml:space="preserve"> </w:t>
      </w:r>
      <w:r w:rsidR="00E3253D" w:rsidRPr="002F4D34">
        <w:rPr>
          <w:rStyle w:val="libFootnoteBoldChar"/>
          <w:rtl/>
        </w:rPr>
        <w:t>النهاية</w:t>
      </w:r>
      <w:r w:rsidR="00E3253D" w:rsidRPr="005D642E">
        <w:rPr>
          <w:rtl/>
        </w:rPr>
        <w:t xml:space="preserve"> ، ج 1 ، ص 118 ( برز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50 ، ح 146 ؛ </w:t>
      </w:r>
      <w:r w:rsidR="00E3253D" w:rsidRPr="00E678B5">
        <w:rPr>
          <w:rStyle w:val="libFootnoteBoldChar"/>
          <w:rtl/>
        </w:rPr>
        <w:t>والاستبصار</w:t>
      </w:r>
      <w:r w:rsidR="00E3253D" w:rsidRPr="005D642E">
        <w:rPr>
          <w:rtl/>
        </w:rPr>
        <w:t xml:space="preserve"> ، ج 1 ، ص 55 ، ح 162 ، معلّقاً عن الكليني. </w:t>
      </w:r>
      <w:r w:rsidR="00E3253D" w:rsidRPr="002F4D34">
        <w:rPr>
          <w:rStyle w:val="libFootnoteBoldChar"/>
          <w:rtl/>
        </w:rPr>
        <w:t>علل الشرائع</w:t>
      </w:r>
      <w:r w:rsidR="00E3253D" w:rsidRPr="005D642E">
        <w:rPr>
          <w:rtl/>
        </w:rPr>
        <w:t xml:space="preserve"> ، </w:t>
      </w:r>
      <w:r w:rsidR="00E678B5">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54" w:name="_Toc344647228"/>
      <w:bookmarkStart w:id="55" w:name="_Toc462226743"/>
      <w:bookmarkStart w:id="56" w:name="_Toc40975851"/>
      <w:r w:rsidRPr="005D642E">
        <w:rPr>
          <w:rtl/>
          <w:lang w:bidi="fa-IR"/>
        </w:rPr>
        <w:lastRenderedPageBreak/>
        <w:t>13</w:t>
      </w:r>
      <w:r>
        <w:rPr>
          <w:rtl/>
          <w:lang w:bidi="fa-IR"/>
        </w:rPr>
        <w:t xml:space="preserve"> </w:t>
      </w:r>
      <w:r w:rsidR="007642BC">
        <w:rPr>
          <w:rtl/>
          <w:lang w:bidi="fa-IR"/>
        </w:rPr>
        <w:t>-</w:t>
      </w:r>
      <w:r>
        <w:rPr>
          <w:rtl/>
          <w:lang w:bidi="fa-IR"/>
        </w:rPr>
        <w:t xml:space="preserve"> </w:t>
      </w:r>
      <w:r w:rsidRPr="005D642E">
        <w:rPr>
          <w:rtl/>
          <w:lang w:bidi="fa-IR"/>
        </w:rPr>
        <w:t>بَابُ الاسْتِبْرَاءِ مِنَ الْبَوْلِ وَغَسْلِهِ وَمَنْ لَمْ يَجِدِ الْمَاءَ‌</w:t>
      </w:r>
      <w:bookmarkEnd w:id="54"/>
      <w:bookmarkEnd w:id="55"/>
      <w:bookmarkEnd w:id="56"/>
    </w:p>
    <w:p w:rsidR="00E3253D" w:rsidRPr="005D642E" w:rsidRDefault="00E3253D" w:rsidP="00E3253D">
      <w:pPr>
        <w:pStyle w:val="libNormal"/>
        <w:rPr>
          <w:rtl/>
          <w:lang w:bidi="fa-IR"/>
        </w:rPr>
      </w:pPr>
      <w:r w:rsidRPr="006A7550">
        <w:rPr>
          <w:rtl/>
        </w:rPr>
        <w:t>3893</w:t>
      </w:r>
      <w:r w:rsidRPr="00246318">
        <w:rPr>
          <w:rStyle w:val="libBold2Char"/>
          <w:rtl/>
        </w:rPr>
        <w:t xml:space="preserve"> / 1.</w:t>
      </w:r>
      <w:r w:rsidRPr="005D642E">
        <w:rPr>
          <w:rtl/>
          <w:lang w:bidi="fa-IR"/>
        </w:rPr>
        <w:t xml:space="preserve"> عَلِيُّ بْنُ إِبْرَاهِيمَ ، عَنْ أَبِيهِ ، عَنْ حَمَّادٍ ، عَنْ حَرِيزٍ ، عَنْ </w:t>
      </w:r>
      <w:r w:rsidR="00E678B5">
        <w:rPr>
          <w:rtl/>
          <w:lang w:bidi="fa-IR"/>
        </w:rPr>
        <w:t>مُحَمَّدِ بْنِ مُسْلِمٍ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قُلْتُ لِأَبِي جَعْفَرٍ </w:t>
      </w:r>
      <w:r w:rsidRPr="00AC51C5">
        <w:rPr>
          <w:rStyle w:val="libAlaemChar"/>
          <w:rtl/>
        </w:rPr>
        <w:t>عليه‌السلام</w:t>
      </w:r>
      <w:r w:rsidRPr="005D642E">
        <w:rPr>
          <w:rtl/>
          <w:lang w:bidi="fa-IR"/>
        </w:rPr>
        <w:t xml:space="preserve"> : رَجُلٌ بَالَ ، وَلَمْ يَكُنْ مَعَهُ مَاءٌ</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(1)</w:t>
      </w:r>
      <w:r w:rsidRPr="005D642E">
        <w:rPr>
          <w:rtl/>
          <w:lang w:bidi="fa-IR"/>
        </w:rPr>
        <w:t xml:space="preserve"> : « يَعْصِرُ أَصْلَ </w:t>
      </w:r>
      <w:r w:rsidRPr="007C12DB">
        <w:rPr>
          <w:rStyle w:val="libFootnotenumChar"/>
          <w:rtl/>
        </w:rPr>
        <w:t>(2)</w:t>
      </w:r>
      <w:r w:rsidRPr="005D642E">
        <w:rPr>
          <w:rtl/>
          <w:lang w:bidi="fa-IR"/>
        </w:rPr>
        <w:t xml:space="preserve"> ذَكَرِهِ إِلى طَرَفِهِ </w:t>
      </w:r>
      <w:r w:rsidRPr="007C12DB">
        <w:rPr>
          <w:rStyle w:val="libFootnotenumChar"/>
          <w:rtl/>
        </w:rPr>
        <w:t>(3)</w:t>
      </w:r>
      <w:r w:rsidRPr="005D642E">
        <w:rPr>
          <w:rtl/>
          <w:lang w:bidi="fa-IR"/>
        </w:rPr>
        <w:t xml:space="preserve"> ثَلَاثَ عَصَرَاتٍ ، وَيَنْتُرُ </w:t>
      </w:r>
      <w:r w:rsidRPr="007C12DB">
        <w:rPr>
          <w:rStyle w:val="libFootnotenumChar"/>
          <w:rtl/>
        </w:rPr>
        <w:t>(4)</w:t>
      </w:r>
      <w:r w:rsidRPr="005D642E">
        <w:rPr>
          <w:rtl/>
          <w:lang w:bidi="fa-IR"/>
        </w:rPr>
        <w:t xml:space="preserve"> طَرَفَهُ ، فَإِنْ خَرَجَ بَعْدَ ذلِكَ </w:t>
      </w:r>
      <w:r w:rsidRPr="007C12DB">
        <w:rPr>
          <w:rStyle w:val="libFootnotenumChar"/>
          <w:rtl/>
        </w:rPr>
        <w:t>(5)</w:t>
      </w:r>
      <w:r w:rsidRPr="005D642E">
        <w:rPr>
          <w:rtl/>
          <w:lang w:bidi="fa-IR"/>
        </w:rPr>
        <w:t xml:space="preserve"> شَيْ‌ءٌ ، فَلَيْسَ مِنَ الْبَوْلِ ، وَلكِنَّهُ مِنَ الْحَبَائِلِ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6A7550">
        <w:rPr>
          <w:rtl/>
        </w:rPr>
        <w:t>3894</w:t>
      </w:r>
      <w:r w:rsidRPr="00246318">
        <w:rPr>
          <w:rStyle w:val="libBold2Char"/>
          <w:rtl/>
        </w:rPr>
        <w:t xml:space="preserve"> / 2.</w:t>
      </w:r>
      <w:r w:rsidRPr="005D642E">
        <w:rPr>
          <w:rtl/>
          <w:lang w:bidi="fa-IR"/>
        </w:rPr>
        <w:t xml:space="preserve"> عِدَّةٌ مِنْ أَصْحَابِنَا ، عَنْ أَحْمَدَ بْنِ مُحَمَّدٍ ؛</w:t>
      </w:r>
    </w:p>
    <w:p w:rsidR="00E3253D" w:rsidRPr="005D642E" w:rsidRDefault="00E3253D" w:rsidP="00E3253D">
      <w:pPr>
        <w:pStyle w:val="libLine"/>
        <w:rPr>
          <w:rtl/>
          <w:lang w:bidi="fa-IR"/>
        </w:rPr>
      </w:pPr>
      <w:r w:rsidRPr="005D642E">
        <w:rPr>
          <w:rtl/>
          <w:lang w:bidi="fa-IR"/>
        </w:rPr>
        <w:t>__________________</w:t>
      </w:r>
    </w:p>
    <w:p w:rsidR="00E3253D" w:rsidRPr="005D642E" w:rsidRDefault="00E678B5" w:rsidP="00E3253D">
      <w:pPr>
        <w:pStyle w:val="libFootnote0"/>
        <w:rPr>
          <w:rtl/>
          <w:lang w:bidi="fa-IR"/>
        </w:rPr>
      </w:pPr>
      <w:r>
        <w:rPr>
          <w:rFonts w:hint="cs"/>
          <w:rtl/>
        </w:rPr>
        <w:t xml:space="preserve">= </w:t>
      </w:r>
      <w:r w:rsidR="00E3253D" w:rsidRPr="005D642E">
        <w:rPr>
          <w:rtl/>
        </w:rPr>
        <w:t xml:space="preserve">ص 580 ، ح 12 ، بسنده عن يونس بن عبدالرحمن ، عن زرعة. وفي </w:t>
      </w:r>
      <w:r w:rsidR="00E3253D" w:rsidRPr="002F4D34">
        <w:rPr>
          <w:rStyle w:val="libFootnoteBoldChar"/>
          <w:rtl/>
        </w:rPr>
        <w:t>التهذيب</w:t>
      </w:r>
      <w:r w:rsidR="00E3253D" w:rsidRPr="005D642E">
        <w:rPr>
          <w:rtl/>
        </w:rPr>
        <w:t xml:space="preserve"> ، ج 1 ، ص 47 ، ح 136 ؛ </w:t>
      </w:r>
      <w:r w:rsidR="00E3253D" w:rsidRPr="00E678B5">
        <w:rPr>
          <w:rStyle w:val="libFootnoteBoldChar"/>
          <w:rtl/>
        </w:rPr>
        <w:t>والاستبصار</w:t>
      </w:r>
      <w:r w:rsidR="00E3253D">
        <w:rPr>
          <w:rtl/>
        </w:rPr>
        <w:t xml:space="preserve"> ، ج 1 ، ص 53 ، ح 153 ، بسند آ</w:t>
      </w:r>
      <w:r w:rsidR="00E3253D" w:rsidRPr="005D642E">
        <w:rPr>
          <w:rtl/>
        </w:rPr>
        <w:t xml:space="preserve">خر ، من قوله : « وإن كنت أهرقت الماء فنسيت » إلى قوله : « وغسل ذكرك » مع اختلاف يسير </w:t>
      </w:r>
      <w:r>
        <w:rPr>
          <w:rFonts w:hint="cs"/>
          <w:rtl/>
        </w:rPr>
        <w:t>.</w:t>
      </w:r>
      <w:r w:rsidR="00E3253D" w:rsidRPr="002F4D34">
        <w:rPr>
          <w:rStyle w:val="libFootnoteBoldChar"/>
          <w:rtl/>
        </w:rPr>
        <w:t>الوافي</w:t>
      </w:r>
      <w:r w:rsidR="00E3253D" w:rsidRPr="005D642E">
        <w:rPr>
          <w:rtl/>
        </w:rPr>
        <w:t xml:space="preserve"> ، ج 6 ، ص 157 ، ح 3991 ؛ </w:t>
      </w:r>
      <w:r w:rsidR="00E3253D" w:rsidRPr="002F4D34">
        <w:rPr>
          <w:rStyle w:val="libFootnoteBoldChar"/>
          <w:rtl/>
        </w:rPr>
        <w:t>الوسائل</w:t>
      </w:r>
      <w:r w:rsidR="00E3253D" w:rsidRPr="005D642E">
        <w:rPr>
          <w:rtl/>
        </w:rPr>
        <w:t xml:space="preserve"> ، ج 1 ، ص 319 ، ح 839.</w:t>
      </w:r>
    </w:p>
    <w:tbl>
      <w:tblPr>
        <w:tblStyle w:val="TableGrid"/>
        <w:bidiVisual/>
        <w:tblW w:w="0" w:type="auto"/>
        <w:tblLook w:val="04A0" w:firstRow="1" w:lastRow="0" w:firstColumn="1" w:lastColumn="0" w:noHBand="0" w:noVBand="1"/>
      </w:tblPr>
      <w:tblGrid>
        <w:gridCol w:w="4006"/>
        <w:gridCol w:w="4006"/>
      </w:tblGrid>
      <w:tr w:rsidR="00E678B5" w:rsidTr="00E678B5">
        <w:tc>
          <w:tcPr>
            <w:tcW w:w="4006" w:type="dxa"/>
          </w:tcPr>
          <w:p w:rsidR="00E678B5" w:rsidRDefault="00E678B5" w:rsidP="00E3253D">
            <w:pPr>
              <w:pStyle w:val="libFootnote0"/>
              <w:rPr>
                <w:rStyle w:val="libFootnote0Char"/>
                <w:rtl/>
              </w:rPr>
            </w:pPr>
            <w:r w:rsidRPr="0042621E">
              <w:rPr>
                <w:rStyle w:val="libFootnote0Char"/>
                <w:rtl/>
              </w:rPr>
              <w:t>(1).</w:t>
            </w:r>
            <w:r>
              <w:rPr>
                <w:rtl/>
              </w:rPr>
              <w:t xml:space="preserve"> </w:t>
            </w:r>
            <w:r w:rsidRPr="005D642E">
              <w:rPr>
                <w:rtl/>
              </w:rPr>
              <w:t xml:space="preserve">في الوسائل </w:t>
            </w:r>
            <w:r w:rsidR="00B60612" w:rsidRPr="00B60612">
              <w:rPr>
                <w:rStyle w:val="libFootnoteBoldChar"/>
                <w:rtl/>
              </w:rPr>
              <w:t>والتهذيب</w:t>
            </w:r>
            <w:r w:rsidRPr="005D642E">
              <w:rPr>
                <w:rtl/>
              </w:rPr>
              <w:t xml:space="preserve"> </w:t>
            </w:r>
            <w:r w:rsidRPr="00E678B5">
              <w:rPr>
                <w:rStyle w:val="libFootnoteBoldChar"/>
                <w:rtl/>
              </w:rPr>
              <w:t>والاستبصار</w:t>
            </w:r>
            <w:r w:rsidRPr="005D642E">
              <w:rPr>
                <w:rtl/>
              </w:rPr>
              <w:t xml:space="preserve"> : « قال »</w:t>
            </w:r>
            <w:r>
              <w:rPr>
                <w:rtl/>
              </w:rPr>
              <w:t>.</w:t>
            </w:r>
          </w:p>
        </w:tc>
        <w:tc>
          <w:tcPr>
            <w:tcW w:w="4006" w:type="dxa"/>
          </w:tcPr>
          <w:p w:rsidR="00E678B5" w:rsidRDefault="00E678B5" w:rsidP="00E3253D">
            <w:pPr>
              <w:pStyle w:val="libFootnote0"/>
              <w:rPr>
                <w:rStyle w:val="libFootnote0Char"/>
                <w:rtl/>
              </w:rPr>
            </w:pPr>
            <w:r w:rsidRPr="0042621E">
              <w:rPr>
                <w:rStyle w:val="libFootnote0Char"/>
                <w:rtl/>
              </w:rPr>
              <w:t>(2).</w:t>
            </w:r>
            <w:r w:rsidRPr="005D642E">
              <w:rPr>
                <w:rtl/>
              </w:rPr>
              <w:t xml:space="preserve"> في « جس » :</w:t>
            </w:r>
            <w:r>
              <w:rPr>
                <w:rtl/>
              </w:rPr>
              <w:t xml:space="preserve"> - </w:t>
            </w:r>
            <w:r w:rsidRPr="005D642E">
              <w:rPr>
                <w:rtl/>
              </w:rPr>
              <w:t>« أصل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6A7550">
        <w:rPr>
          <w:rtl/>
        </w:rPr>
        <w:t>التهذيب</w:t>
      </w:r>
      <w:r w:rsidR="00E3253D" w:rsidRPr="005D642E">
        <w:rPr>
          <w:rtl/>
        </w:rPr>
        <w:t xml:space="preserve"> : « طرف ذكره »</w:t>
      </w:r>
      <w:r w:rsidR="00E3253D">
        <w:rPr>
          <w:rtl/>
        </w:rPr>
        <w:t>.</w:t>
      </w:r>
      <w:r w:rsidR="00E3253D" w:rsidRPr="005D642E">
        <w:rPr>
          <w:rtl/>
        </w:rPr>
        <w:t xml:space="preserve"> وفي الاستبصار : « رأس ذكره » كلاهما بدل « طرفه »</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 xml:space="preserve">مرآة العقول </w:t>
      </w:r>
      <w:r w:rsidRPr="00B60612">
        <w:rPr>
          <w:rtl/>
        </w:rPr>
        <w:t xml:space="preserve">، ج 13 ، ص 60 : « قوله </w:t>
      </w:r>
      <w:r w:rsidRPr="00E678B5">
        <w:rPr>
          <w:rStyle w:val="libFootnoteAlaemChar"/>
          <w:rtl/>
        </w:rPr>
        <w:t>عليه‌السلام</w:t>
      </w:r>
      <w:r w:rsidRPr="00B60612">
        <w:rPr>
          <w:rtl/>
        </w:rPr>
        <w:t xml:space="preserve"> : إلى طرفه ، أي ذكره ؛ لأنّه يطلق الطرف على الذكر واللسان ، كما ورد في الخبر نقيّ الطرفين وفسّر بهما ، وقال في </w:t>
      </w:r>
      <w:r w:rsidRPr="002F4D34">
        <w:rPr>
          <w:rStyle w:val="libFootnoteBoldChar"/>
          <w:rtl/>
        </w:rPr>
        <w:t>الصحاح</w:t>
      </w:r>
      <w:r w:rsidRPr="00B60612">
        <w:rPr>
          <w:rtl/>
        </w:rPr>
        <w:t xml:space="preserve"> : قال ابن الأعرابي : قولهم : لا يدرى أيّ طرفيه أطول ، طرفاه : لسانه وذكره ، فيكون المراد عصر ما بين المقعدة إلى الانثيين ويكون المراد من نتر الطرف عصر أصل القضيب. ويحتمل أن يكون المراد عصر أصل الذكر إلى طرف الذكر ، أي ما بين المقعدة إلى رأس الذكر ، ويكون المراد به العصرين جميعاً ، والمراد من نتر الطرف نتر رأس الذكر فيوافق المشهور ... وينقل عن بعض الأفاضل أنّه قرأ : ذكره بضمّ الذال وسكون الكاف ، وفسّره بطرف الذكر ؛ لينطبق على ما ذكره الأصحاب من تثليث العصرات ». ثمّ ردّه. وراجع أيضاً : </w:t>
      </w:r>
      <w:r w:rsidRPr="002F4D34">
        <w:rPr>
          <w:rStyle w:val="libFootnoteBoldChar"/>
          <w:rtl/>
        </w:rPr>
        <w:t>الصحاح</w:t>
      </w:r>
      <w:r w:rsidRPr="00B60612">
        <w:rPr>
          <w:rtl/>
        </w:rPr>
        <w:t xml:space="preserve"> ، ج 4 ، ص 1394 ( طرف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النَتْر : جذب فيه شدّة وقوّة وجفوة ، يقال : استنتر من بوله ، أي اجتذبه واستخرج بقيّته من الذكر عند الاستنجاء حريصاً عليه مهتمّاً به. راجع : </w:t>
      </w:r>
      <w:r w:rsidR="00E3253D" w:rsidRPr="002F4D34">
        <w:rPr>
          <w:rStyle w:val="libFootnoteBoldChar"/>
          <w:rtl/>
        </w:rPr>
        <w:t>النهاية</w:t>
      </w:r>
      <w:r w:rsidR="00E3253D" w:rsidRPr="005D642E">
        <w:rPr>
          <w:rtl/>
        </w:rPr>
        <w:t xml:space="preserve"> ، ج 5 ، ص 12 ؛ </w:t>
      </w:r>
      <w:r w:rsidR="00E3253D" w:rsidRPr="002F4D34">
        <w:rPr>
          <w:rStyle w:val="libFootnoteBoldChar"/>
          <w:rtl/>
        </w:rPr>
        <w:t>القاموس المحيط</w:t>
      </w:r>
      <w:r w:rsidR="00E3253D" w:rsidRPr="005D642E">
        <w:rPr>
          <w:rtl/>
        </w:rPr>
        <w:t xml:space="preserve"> ، ج 1 ، ص 665 ( نتر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بعد ذلك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الحَبائل : جمع على غير قياس ، وهي عروق في ظهر الإنسان. وقيل : هي عروق الذَكَر. وقيل : حِبال الذكر : عروقه. راجع : </w:t>
      </w:r>
      <w:r w:rsidR="00E3253D" w:rsidRPr="002F4D34">
        <w:rPr>
          <w:rStyle w:val="libFootnoteBoldChar"/>
          <w:rtl/>
        </w:rPr>
        <w:t>لسان العرب</w:t>
      </w:r>
      <w:r w:rsidR="00E3253D" w:rsidRPr="005D642E">
        <w:rPr>
          <w:rtl/>
        </w:rPr>
        <w:t xml:space="preserve"> ، ج 11 ، ص 136 ؛ </w:t>
      </w:r>
      <w:r w:rsidR="00E3253D" w:rsidRPr="002F4D34">
        <w:rPr>
          <w:rStyle w:val="libFootnoteBoldChar"/>
          <w:rtl/>
        </w:rPr>
        <w:t>القاموس المحيط</w:t>
      </w:r>
      <w:r w:rsidR="00E3253D" w:rsidRPr="005D642E">
        <w:rPr>
          <w:rtl/>
        </w:rPr>
        <w:t xml:space="preserve"> ، ج 2 ، ص 1298 ( حبل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28 ، ح 71 ؛ </w:t>
      </w:r>
      <w:r w:rsidR="00E3253D" w:rsidRPr="00E678B5">
        <w:rPr>
          <w:rStyle w:val="libFootnoteBoldChar"/>
          <w:rtl/>
        </w:rPr>
        <w:t>والاستبصار</w:t>
      </w:r>
      <w:r w:rsidR="00E3253D" w:rsidRPr="005D642E">
        <w:rPr>
          <w:rtl/>
        </w:rPr>
        <w:t xml:space="preserve"> ، ج 1 ، ص 49 ، ح 137 ، بسندهما عن الكليني. </w:t>
      </w:r>
      <w:r w:rsidR="00E3253D" w:rsidRPr="002F4D34">
        <w:rPr>
          <w:rStyle w:val="libFootnoteBoldChar"/>
          <w:rtl/>
        </w:rPr>
        <w:t>التهذيب</w:t>
      </w:r>
      <w:r w:rsidR="00E3253D" w:rsidRPr="005D642E">
        <w:rPr>
          <w:rtl/>
        </w:rPr>
        <w:t xml:space="preserve"> ، ج 1 ، ص 356 ، ح 1063 ، معلّقاً عن عليّ بن إبراهيم </w:t>
      </w:r>
      <w:r w:rsidR="00E3253D" w:rsidRPr="002F4D34">
        <w:rPr>
          <w:rStyle w:val="libFootnoteBoldChar"/>
          <w:rtl/>
        </w:rPr>
        <w:t>الوافي</w:t>
      </w:r>
      <w:r w:rsidR="00E3253D" w:rsidRPr="005D642E">
        <w:rPr>
          <w:rtl/>
        </w:rPr>
        <w:t xml:space="preserve"> ، ج 6 ، ص 147 ، ح 3970 ؛ </w:t>
      </w:r>
      <w:r w:rsidR="00E3253D" w:rsidRPr="002F4D34">
        <w:rPr>
          <w:rStyle w:val="libFootnoteBoldChar"/>
          <w:rtl/>
        </w:rPr>
        <w:t>الوسائل</w:t>
      </w:r>
      <w:r w:rsidR="00E3253D" w:rsidRPr="005D642E">
        <w:rPr>
          <w:rtl/>
        </w:rPr>
        <w:t xml:space="preserve"> ، ج 1 ، ص 320 ، ح 841 ؛ </w:t>
      </w:r>
      <w:r w:rsidR="00E3253D" w:rsidRPr="002F4D34">
        <w:rPr>
          <w:rStyle w:val="libFootnoteBoldChar"/>
          <w:rtl/>
        </w:rPr>
        <w:t>البحار</w:t>
      </w:r>
      <w:r w:rsidR="00E3253D" w:rsidRPr="005D642E">
        <w:rPr>
          <w:rtl/>
        </w:rPr>
        <w:t xml:space="preserve"> ، ج 80 ، ص 205 ، ذيل ح 15.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وَابُو دَاوُدَ </w:t>
      </w:r>
      <w:r w:rsidRPr="007C12DB">
        <w:rPr>
          <w:rStyle w:val="libFootnotenumChar"/>
          <w:rtl/>
        </w:rPr>
        <w:t>(1)</w:t>
      </w:r>
      <w:r w:rsidRPr="005D642E">
        <w:rPr>
          <w:rtl/>
          <w:lang w:bidi="fa-IR"/>
        </w:rPr>
        <w:t xml:space="preserve"> جَمِيعاً ، عَنِ الْحُسَيْنِ بْنِ سَعِيدٍ ، عَنْ صَفْوَانَ بْنِ يَحْيى ، عَنِ الْعَلَاءِ ، عَنِ ابْنِ أَبِي يَعْفُورٍ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رَجُلٍ </w:t>
      </w:r>
      <w:r w:rsidRPr="007C12DB">
        <w:rPr>
          <w:rStyle w:val="libFootnotenumChar"/>
          <w:rtl/>
        </w:rPr>
        <w:t>(2)</w:t>
      </w:r>
      <w:r w:rsidRPr="005D642E">
        <w:rPr>
          <w:rtl/>
          <w:lang w:bidi="fa-IR"/>
        </w:rPr>
        <w:t xml:space="preserve"> بَالَ ، ثُمَّ </w:t>
      </w:r>
      <w:r w:rsidRPr="007C12DB">
        <w:rPr>
          <w:rStyle w:val="libFootnotenumChar"/>
          <w:rtl/>
        </w:rPr>
        <w:t>(3)</w:t>
      </w:r>
      <w:r w:rsidRPr="005D642E">
        <w:rPr>
          <w:rtl/>
          <w:lang w:bidi="fa-IR"/>
        </w:rPr>
        <w:t xml:space="preserve"> تَوَضَّأَ وَقَامَ </w:t>
      </w:r>
      <w:r w:rsidRPr="007C12DB">
        <w:rPr>
          <w:rStyle w:val="libFootnotenumChar"/>
          <w:rtl/>
        </w:rPr>
        <w:t>(4)</w:t>
      </w:r>
      <w:r w:rsidRPr="005D642E">
        <w:rPr>
          <w:rtl/>
          <w:lang w:bidi="fa-IR"/>
        </w:rPr>
        <w:t xml:space="preserve"> إِلَى الصَّلَاةِ ، فَوَجَدَ </w:t>
      </w:r>
      <w:r w:rsidRPr="007C12DB">
        <w:rPr>
          <w:rStyle w:val="libFootnotenumChar"/>
          <w:rtl/>
        </w:rPr>
        <w:t>(5)</w:t>
      </w:r>
      <w:r w:rsidRPr="005D642E">
        <w:rPr>
          <w:rtl/>
          <w:lang w:bidi="fa-IR"/>
        </w:rPr>
        <w:t xml:space="preserve"> بَلَلاً</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(6)</w:t>
      </w:r>
      <w:r w:rsidRPr="005D642E">
        <w:rPr>
          <w:rtl/>
          <w:lang w:bidi="fa-IR"/>
        </w:rPr>
        <w:t xml:space="preserve"> : « لَا يَتَوَضَّأُ ، إِنَّمَا ذلِكَ مِنَ الْحَبَائِلِ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6A7550">
        <w:rPr>
          <w:rtl/>
        </w:rPr>
        <w:t>3895</w:t>
      </w:r>
      <w:r w:rsidRPr="00246318">
        <w:rPr>
          <w:rStyle w:val="libBold2Char"/>
          <w:rtl/>
        </w:rPr>
        <w:t xml:space="preserve"> / 3.</w:t>
      </w:r>
      <w:r w:rsidRPr="005D642E">
        <w:rPr>
          <w:rtl/>
          <w:lang w:bidi="fa-IR"/>
        </w:rPr>
        <w:t xml:space="preserve"> مُحَمَّدُ بْنُ يَحْيى ، عَنْ أَحْمَدَ بْنِ مُحَمَّدٍ ، عَنْ عَلِيِّ بْنِ أَحْمَدَ بْنِ أَشْيَمَ ، عَنْ صَفْوَانَ ، قَالَ :</w:t>
      </w:r>
    </w:p>
    <w:p w:rsidR="00E3253D" w:rsidRPr="005D642E" w:rsidRDefault="00E3253D" w:rsidP="00E3253D">
      <w:pPr>
        <w:pStyle w:val="libNormal"/>
        <w:rPr>
          <w:rtl/>
          <w:lang w:bidi="fa-IR"/>
        </w:rPr>
      </w:pPr>
      <w:r w:rsidRPr="005D642E">
        <w:rPr>
          <w:rtl/>
          <w:lang w:bidi="fa-IR"/>
        </w:rPr>
        <w:t xml:space="preserve">سَأَلَ الرِّضَا </w:t>
      </w:r>
      <w:r w:rsidRPr="00AC51C5">
        <w:rPr>
          <w:rStyle w:val="libAlaemChar"/>
          <w:rtl/>
        </w:rPr>
        <w:t>عليه‌السلام</w:t>
      </w:r>
      <w:r w:rsidRPr="005D642E">
        <w:rPr>
          <w:rtl/>
          <w:lang w:bidi="fa-IR"/>
        </w:rPr>
        <w:t xml:space="preserve"> رَجُلٌ وَأَنَا حَاضِرٌ ، فَقَالَ : إِنَّ بِي جُرْحاً </w:t>
      </w:r>
      <w:r w:rsidRPr="007C12DB">
        <w:rPr>
          <w:rStyle w:val="libFootnotenumChar"/>
          <w:rtl/>
        </w:rPr>
        <w:t>(8)</w:t>
      </w:r>
      <w:r w:rsidRPr="005D642E">
        <w:rPr>
          <w:rtl/>
          <w:lang w:bidi="fa-IR"/>
        </w:rPr>
        <w:t xml:space="preserve"> فِي مَقْعَدَتِي ، فَأَتَوَضَّأُ </w:t>
      </w:r>
      <w:r w:rsidRPr="007C12DB">
        <w:rPr>
          <w:rStyle w:val="libFootnotenumChar"/>
          <w:rtl/>
        </w:rPr>
        <w:t>(9)</w:t>
      </w:r>
      <w:r w:rsidRPr="005D642E">
        <w:rPr>
          <w:rtl/>
          <w:lang w:bidi="fa-IR"/>
        </w:rPr>
        <w:t xml:space="preserve"> وَأَسْتَنْجِي </w:t>
      </w:r>
      <w:r w:rsidRPr="007C12DB">
        <w:rPr>
          <w:rStyle w:val="libFootnotenumChar"/>
          <w:rtl/>
        </w:rPr>
        <w:t>(10)</w:t>
      </w:r>
      <w:r w:rsidRPr="005D642E">
        <w:rPr>
          <w:rtl/>
          <w:lang w:bidi="fa-IR"/>
        </w:rPr>
        <w:t xml:space="preserve"> ، ثُمَّ أَجِدُ بَعْدَ ذلِكَ النَّدى </w:t>
      </w:r>
      <w:r w:rsidRPr="007C12DB">
        <w:rPr>
          <w:rStyle w:val="libFootnotenumChar"/>
          <w:rtl/>
        </w:rPr>
        <w:t>(11)</w:t>
      </w:r>
      <w:r w:rsidRPr="005D642E">
        <w:rPr>
          <w:rtl/>
          <w:lang w:bidi="fa-IR"/>
        </w:rPr>
        <w:t xml:space="preserve"> وَالصُّفْرَةَ </w:t>
      </w:r>
      <w:r w:rsidRPr="007C12DB">
        <w:rPr>
          <w:rStyle w:val="libFootnotenumChar"/>
          <w:rtl/>
        </w:rPr>
        <w:t>(12)</w:t>
      </w:r>
      <w:r w:rsidRPr="005D642E">
        <w:rPr>
          <w:rtl/>
          <w:lang w:bidi="fa-IR"/>
        </w:rPr>
        <w:t xml:space="preserve"> مِنَ الْمَقْعَدَةِ‌</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جن »</w:t>
      </w:r>
      <w:r w:rsidR="00E3253D">
        <w:rPr>
          <w:rtl/>
        </w:rPr>
        <w:t>.</w:t>
      </w:r>
      <w:r w:rsidR="00E3253D" w:rsidRPr="005D642E">
        <w:rPr>
          <w:rtl/>
        </w:rPr>
        <w:t xml:space="preserve"> وفي « ى ، بث ، بح ، بخ ، بس ، بف ، جح » والمطبوع : « أبي داود »</w:t>
      </w:r>
      <w:r w:rsidR="00E3253D">
        <w:rPr>
          <w:rtl/>
        </w:rPr>
        <w:t>.</w:t>
      </w:r>
      <w:r w:rsidR="00E3253D" w:rsidRPr="005D642E">
        <w:rPr>
          <w:rtl/>
        </w:rPr>
        <w:t xml:space="preserve"> والصواب ما أثبتناه ، كمايعلم ذلك ممّا قدّمناه في </w:t>
      </w:r>
      <w:r w:rsidR="00E3253D" w:rsidRPr="002F4D34">
        <w:rPr>
          <w:rStyle w:val="libFootnoteBoldChar"/>
          <w:rtl/>
        </w:rPr>
        <w:t>الكافي</w:t>
      </w:r>
      <w:r w:rsidR="00E3253D" w:rsidRPr="005D642E">
        <w:rPr>
          <w:rtl/>
        </w:rPr>
        <w:t xml:space="preserve"> ، ذيل ح 3840. فعليه في السند تحويل بعطف « أبو داود » على « عدّة من أصحابنا ، عن أحمد بن محمّد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Pr>
          <w:rtl/>
        </w:rPr>
        <w:t xml:space="preserve"> ف </w:t>
      </w:r>
      <w:r w:rsidR="00E3253D" w:rsidRPr="005D642E">
        <w:rPr>
          <w:rtl/>
        </w:rPr>
        <w:t>« جس » : « عن الرجل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بف » </w:t>
      </w:r>
      <w:r w:rsidR="000D749A" w:rsidRPr="000D749A">
        <w:rPr>
          <w:rStyle w:val="libFootnoteBoldChar"/>
          <w:rtl/>
        </w:rPr>
        <w:t>والوافي</w:t>
      </w:r>
      <w:r w:rsidR="00E3253D" w:rsidRPr="005D642E">
        <w:rPr>
          <w:rtl/>
        </w:rPr>
        <w:t xml:space="preserve"> : « </w:t>
      </w:r>
      <w:r w:rsidR="00E3253D">
        <w:rPr>
          <w:rtl/>
        </w:rPr>
        <w:t>و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 « ثمّ قام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 « ثمّ وجد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جن » : « فقال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ظاهره مذهب الصدوق من أنّه مع عدم الاستبراء أيضاً لايجب إعادة الوضوء وإن أمكن حمله عليه ، لكن حمل الأخبار الا</w:t>
      </w:r>
      <w:r w:rsidR="003B3913">
        <w:rPr>
          <w:rFonts w:hint="cs"/>
          <w:rtl/>
        </w:rPr>
        <w:t>ُ</w:t>
      </w:r>
      <w:r w:rsidR="00E3253D" w:rsidRPr="005D642E">
        <w:rPr>
          <w:rtl/>
        </w:rPr>
        <w:t>خرى على الاستحباب أظهر ، وهو موافق للأصل أيضاً وإن كان مخالفاً للمشهور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64 ، ح 147 ، معلّقاً عن عبدالله بن أبي يعفور ، مع اختلاف يسير. وفي </w:t>
      </w:r>
      <w:r w:rsidR="00E3253D" w:rsidRPr="002F4D34">
        <w:rPr>
          <w:rStyle w:val="libFootnoteBoldChar"/>
          <w:rtl/>
        </w:rPr>
        <w:t>الكافي</w:t>
      </w:r>
      <w:r w:rsidR="00E3253D" w:rsidRPr="005D642E">
        <w:rPr>
          <w:rtl/>
        </w:rPr>
        <w:t xml:space="preserve"> ، كتاب الطهارة ، باب المذي والوذي ، ضمن ح 3990 ؛ </w:t>
      </w:r>
      <w:r w:rsidR="00E3253D" w:rsidRPr="003B3913">
        <w:rPr>
          <w:rStyle w:val="libFootnoteBoldChar"/>
          <w:rtl/>
        </w:rPr>
        <w:t>وقرب الإسناد</w:t>
      </w:r>
      <w:r w:rsidR="00E3253D" w:rsidRPr="002F4D34">
        <w:rPr>
          <w:rStyle w:val="libFootnoteBoldChar"/>
          <w:rtl/>
        </w:rPr>
        <w:t xml:space="preserve"> </w:t>
      </w:r>
      <w:r w:rsidR="00E3253D" w:rsidRPr="005D642E">
        <w:rPr>
          <w:rtl/>
        </w:rPr>
        <w:t xml:space="preserve">، ص 126 ، ح 444 ، بسند آخر ، مع اختلاف </w:t>
      </w:r>
      <w:r w:rsidR="003B3913">
        <w:rPr>
          <w:rFonts w:hint="cs"/>
          <w:rtl/>
        </w:rPr>
        <w:t>.</w:t>
      </w:r>
      <w:r w:rsidR="00E3253D" w:rsidRPr="002F4D34">
        <w:rPr>
          <w:rStyle w:val="libFootnoteBoldChar"/>
          <w:rtl/>
        </w:rPr>
        <w:t>الوافي</w:t>
      </w:r>
      <w:r w:rsidR="00E3253D" w:rsidRPr="005D642E">
        <w:rPr>
          <w:rtl/>
        </w:rPr>
        <w:t xml:space="preserve"> ، ج 6 ، ص 266 ، ح 4261 ؛ </w:t>
      </w:r>
      <w:r w:rsidR="00E3253D" w:rsidRPr="002F4D34">
        <w:rPr>
          <w:rStyle w:val="libFootnoteBoldChar"/>
          <w:rtl/>
        </w:rPr>
        <w:t>الوسائل</w:t>
      </w:r>
      <w:r w:rsidR="00E3253D" w:rsidRPr="005D642E">
        <w:rPr>
          <w:rtl/>
        </w:rPr>
        <w:t xml:space="preserve"> ، ج 1 ، ص 282 ، ح 744.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جن » والبحار : « لي » بدل « بي »</w:t>
      </w:r>
      <w:r w:rsidR="00E3253D">
        <w:rPr>
          <w:rtl/>
        </w:rPr>
        <w:t>.</w:t>
      </w:r>
      <w:r w:rsidR="00E3253D" w:rsidRPr="005D642E">
        <w:rPr>
          <w:rtl/>
        </w:rPr>
        <w:t xml:space="preserve"> وفي الوافي عن بعض النسخ : + « خراجاً »</w:t>
      </w:r>
      <w:r w:rsidR="00E3253D">
        <w:rPr>
          <w:rtl/>
        </w:rPr>
        <w:t>.</w:t>
      </w:r>
      <w:r w:rsidR="00E3253D" w:rsidRPr="005D642E">
        <w:rPr>
          <w:rtl/>
        </w:rPr>
        <w:t xml:space="preserve"> وفي التهذيب ، ص 46 : « في‌خراجاً » بدل « بي جرحاً »</w:t>
      </w:r>
      <w:r w:rsidR="00E3253D">
        <w:rPr>
          <w:rtl/>
        </w:rPr>
        <w:t>.</w:t>
      </w:r>
    </w:p>
    <w:tbl>
      <w:tblPr>
        <w:tblStyle w:val="TableGrid"/>
        <w:bidiVisual/>
        <w:tblW w:w="0" w:type="auto"/>
        <w:tblLook w:val="04A0" w:firstRow="1" w:lastRow="0" w:firstColumn="1" w:lastColumn="0" w:noHBand="0" w:noVBand="1"/>
      </w:tblPr>
      <w:tblGrid>
        <w:gridCol w:w="4006"/>
        <w:gridCol w:w="4006"/>
      </w:tblGrid>
      <w:tr w:rsidR="003B3913" w:rsidTr="003B3913">
        <w:tc>
          <w:tcPr>
            <w:tcW w:w="4006" w:type="dxa"/>
          </w:tcPr>
          <w:p w:rsidR="003B3913" w:rsidRDefault="003B3913" w:rsidP="00E3253D">
            <w:pPr>
              <w:pStyle w:val="libFootnote0"/>
              <w:rPr>
                <w:rStyle w:val="libFootnote0Char"/>
                <w:rtl/>
              </w:rPr>
            </w:pPr>
            <w:r w:rsidRPr="0042621E">
              <w:rPr>
                <w:rStyle w:val="libFootnote0Char"/>
                <w:rtl/>
              </w:rPr>
              <w:t>(9).</w:t>
            </w:r>
            <w:r w:rsidRPr="005D642E">
              <w:rPr>
                <w:rtl/>
              </w:rPr>
              <w:t xml:space="preserve"> في « بث » </w:t>
            </w:r>
            <w:r w:rsidR="000D749A" w:rsidRPr="000D749A">
              <w:rPr>
                <w:rStyle w:val="libFootnoteBoldChar"/>
                <w:rtl/>
              </w:rPr>
              <w:t>والوافي</w:t>
            </w:r>
            <w:r w:rsidRPr="005D642E">
              <w:rPr>
                <w:rtl/>
              </w:rPr>
              <w:t xml:space="preserve"> : « وأتوضّأ »</w:t>
            </w:r>
            <w:r>
              <w:rPr>
                <w:rtl/>
              </w:rPr>
              <w:t>.</w:t>
            </w:r>
          </w:p>
        </w:tc>
        <w:tc>
          <w:tcPr>
            <w:tcW w:w="4006" w:type="dxa"/>
          </w:tcPr>
          <w:p w:rsidR="003B3913" w:rsidRDefault="003B3913" w:rsidP="00E3253D">
            <w:pPr>
              <w:pStyle w:val="libFootnote0"/>
              <w:rPr>
                <w:rStyle w:val="libFootnote0Char"/>
                <w:rtl/>
              </w:rPr>
            </w:pPr>
            <w:r w:rsidRPr="0042621E">
              <w:rPr>
                <w:rStyle w:val="libFootnote0Char"/>
                <w:rtl/>
              </w:rPr>
              <w:t>(10).</w:t>
            </w:r>
            <w:r w:rsidRPr="005D642E">
              <w:rPr>
                <w:rtl/>
              </w:rPr>
              <w:t xml:space="preserve"> في التهذيب ، ص 347 : « ثمّ أستنجي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جن » : « الندوة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غ ، بخ ، بس ، جن » والبحار : « الصفرة » بدون الواو. وفي الوافي : + « يخرج »</w:t>
      </w:r>
      <w:r w:rsidR="00E3253D">
        <w:rPr>
          <w:rtl/>
        </w:rPr>
        <w:t>.</w:t>
      </w:r>
      <w:r w:rsidR="00E3253D" w:rsidRPr="005D642E">
        <w:rPr>
          <w:rtl/>
        </w:rPr>
        <w:t xml:space="preserve"> وفي التهذيب ، </w:t>
      </w:r>
      <w:r w:rsidR="003B391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أَ فَأُعِيدُ </w:t>
      </w:r>
      <w:r w:rsidRPr="007C12DB">
        <w:rPr>
          <w:rStyle w:val="libFootnotenumChar"/>
          <w:rtl/>
        </w:rPr>
        <w:t>(1)</w:t>
      </w:r>
      <w:r w:rsidRPr="005D642E">
        <w:rPr>
          <w:rtl/>
          <w:lang w:bidi="fa-IR"/>
        </w:rPr>
        <w:t xml:space="preserve"> الْوُضُوءَ</w:t>
      </w:r>
      <w:r>
        <w:rPr>
          <w:rtl/>
          <w:lang w:bidi="fa-IR"/>
        </w:rPr>
        <w:t>؟</w:t>
      </w:r>
    </w:p>
    <w:p w:rsidR="00E3253D" w:rsidRPr="005D642E" w:rsidRDefault="00E3253D" w:rsidP="00E3253D">
      <w:pPr>
        <w:pStyle w:val="libNormal"/>
        <w:rPr>
          <w:rtl/>
          <w:lang w:bidi="fa-IR"/>
        </w:rPr>
      </w:pPr>
      <w:r w:rsidRPr="005D642E">
        <w:rPr>
          <w:rtl/>
          <w:lang w:bidi="fa-IR"/>
        </w:rPr>
        <w:t>فَقَالَ : « وَقَدْ أَنْقَيْتَ</w:t>
      </w:r>
      <w:r>
        <w:rPr>
          <w:rtl/>
          <w:lang w:bidi="fa-IR"/>
        </w:rPr>
        <w:t>؟</w:t>
      </w:r>
      <w:r w:rsidRPr="005D642E">
        <w:rPr>
          <w:rtl/>
          <w:lang w:bidi="fa-IR"/>
        </w:rPr>
        <w:t xml:space="preserve"> » فَقَالَ </w:t>
      </w:r>
      <w:r w:rsidRPr="007C12DB">
        <w:rPr>
          <w:rStyle w:val="libFootnotenumChar"/>
          <w:rtl/>
        </w:rPr>
        <w:t>(2)</w:t>
      </w:r>
      <w:r w:rsidRPr="005D642E">
        <w:rPr>
          <w:rtl/>
          <w:lang w:bidi="fa-IR"/>
        </w:rPr>
        <w:t xml:space="preserve"> : نَعَمْ ، قَالَ : « لَا ، وَلكِنْ رُشَّهُ بِال</w:t>
      </w:r>
      <w:r w:rsidR="003B3913">
        <w:rPr>
          <w:rtl/>
          <w:lang w:bidi="fa-IR"/>
        </w:rPr>
        <w:t>ْمَاءِ ، وَلَاتُعِدِ الْوُضُوءَ</w:t>
      </w:r>
      <w:r w:rsidRPr="005D642E">
        <w:rPr>
          <w:rtl/>
          <w:lang w:bidi="fa-IR"/>
        </w:rPr>
        <w:t>»</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587363" w:rsidP="00E3253D">
      <w:pPr>
        <w:pStyle w:val="libNormal"/>
        <w:rPr>
          <w:rtl/>
          <w:lang w:bidi="fa-IR"/>
        </w:rPr>
      </w:pPr>
      <w:r>
        <w:rPr>
          <w:rFonts w:hint="cs"/>
          <w:rtl/>
          <w:lang w:bidi="fa-IR"/>
        </w:rPr>
        <w:t xml:space="preserve">* </w:t>
      </w:r>
      <w:r w:rsidR="00E3253D" w:rsidRPr="005D642E">
        <w:rPr>
          <w:rtl/>
          <w:lang w:bidi="fa-IR"/>
        </w:rPr>
        <w:t xml:space="preserve">أَحْمَدُ ، عَنِ ابْنِ أَبِي نَصْرٍ </w:t>
      </w:r>
      <w:r w:rsidR="00E3253D" w:rsidRPr="007C12DB">
        <w:rPr>
          <w:rStyle w:val="libFootnotenumChar"/>
          <w:rtl/>
        </w:rPr>
        <w:t>(4)</w:t>
      </w:r>
      <w:r w:rsidR="00E3253D" w:rsidRPr="005D642E">
        <w:rPr>
          <w:rtl/>
          <w:lang w:bidi="fa-IR"/>
        </w:rPr>
        <w:t xml:space="preserve"> ، قَالَ : سَأَلَ الرِّضَا </w:t>
      </w:r>
      <w:r w:rsidR="00E3253D" w:rsidRPr="00AC51C5">
        <w:rPr>
          <w:rStyle w:val="libAlaemChar"/>
          <w:rtl/>
        </w:rPr>
        <w:t>عليه‌السلام</w:t>
      </w:r>
      <w:r w:rsidR="00E3253D" w:rsidRPr="005D642E">
        <w:rPr>
          <w:rtl/>
          <w:lang w:bidi="fa-IR"/>
        </w:rPr>
        <w:t xml:space="preserve"> </w:t>
      </w:r>
      <w:r w:rsidR="00E3253D" w:rsidRPr="007C12DB">
        <w:rPr>
          <w:rStyle w:val="libFootnotenumChar"/>
          <w:rtl/>
        </w:rPr>
        <w:t>(5)</w:t>
      </w:r>
      <w:r w:rsidR="00E3253D" w:rsidRPr="005D642E">
        <w:rPr>
          <w:rtl/>
          <w:lang w:bidi="fa-IR"/>
        </w:rPr>
        <w:t xml:space="preserve"> رَجُلٌ بِنَحْوِ حَدِيثِ صَفْوَانَ. </w:t>
      </w:r>
      <w:r w:rsidR="00E3253D" w:rsidRPr="007C12DB">
        <w:rPr>
          <w:rStyle w:val="libFootnotenumChar"/>
          <w:rtl/>
        </w:rPr>
        <w:t>(6)</w:t>
      </w:r>
      <w:r w:rsidR="00E3253D" w:rsidRPr="005D642E">
        <w:rPr>
          <w:rtl/>
          <w:lang w:bidi="fa-IR"/>
        </w:rPr>
        <w:t xml:space="preserve"> ‌</w:t>
      </w:r>
    </w:p>
    <w:p w:rsidR="00E3253D" w:rsidRPr="005D642E" w:rsidRDefault="00E3253D" w:rsidP="00E3253D">
      <w:pPr>
        <w:pStyle w:val="libNormal"/>
        <w:rPr>
          <w:rtl/>
          <w:lang w:bidi="fa-IR"/>
        </w:rPr>
      </w:pPr>
      <w:r w:rsidRPr="006A7550">
        <w:rPr>
          <w:rtl/>
        </w:rPr>
        <w:t>3896</w:t>
      </w:r>
      <w:r w:rsidRPr="00246318">
        <w:rPr>
          <w:rStyle w:val="libBold2Char"/>
          <w:rtl/>
        </w:rPr>
        <w:t xml:space="preserve"> / 4.</w:t>
      </w:r>
      <w:r w:rsidRPr="005D642E">
        <w:rPr>
          <w:rtl/>
          <w:lang w:bidi="fa-IR"/>
        </w:rPr>
        <w:t xml:space="preserve"> عَلِيُّ بْنُ إِبْرَاهِيمَ ، عَنْ أَبِيهِ ، عَنْ حَنَانِ بْنِ سَدِيرٍ ، قَالَ :</w:t>
      </w:r>
    </w:p>
    <w:p w:rsidR="00E3253D" w:rsidRPr="005D642E" w:rsidRDefault="00E3253D" w:rsidP="00E3253D">
      <w:pPr>
        <w:pStyle w:val="libNormal"/>
        <w:rPr>
          <w:rtl/>
          <w:lang w:bidi="fa-IR"/>
        </w:rPr>
      </w:pPr>
      <w:r w:rsidRPr="005D642E">
        <w:rPr>
          <w:rtl/>
          <w:lang w:bidi="fa-IR"/>
        </w:rPr>
        <w:t xml:space="preserve">سَمِعْتُ رَجُلاً سَأَلَ أَبَا عَبْدِ اللهِ </w:t>
      </w:r>
      <w:r w:rsidRPr="00AC51C5">
        <w:rPr>
          <w:rStyle w:val="libAlaemChar"/>
          <w:rtl/>
        </w:rPr>
        <w:t>عليه‌السلام</w:t>
      </w:r>
      <w:r w:rsidRPr="005D642E">
        <w:rPr>
          <w:rtl/>
          <w:lang w:bidi="fa-IR"/>
        </w:rPr>
        <w:t xml:space="preserve"> ، فَقَالَ </w:t>
      </w:r>
      <w:r w:rsidRPr="007C12DB">
        <w:rPr>
          <w:rStyle w:val="libFootnotenumChar"/>
          <w:rtl/>
        </w:rPr>
        <w:t>(7)</w:t>
      </w:r>
      <w:r w:rsidRPr="005D642E">
        <w:rPr>
          <w:rtl/>
          <w:lang w:bidi="fa-IR"/>
        </w:rPr>
        <w:t xml:space="preserve"> : رُبَّمَا بُلْتُ وَلَمْ أَقْدِرْ </w:t>
      </w:r>
      <w:r w:rsidRPr="007C12DB">
        <w:rPr>
          <w:rStyle w:val="libFootnotenumChar"/>
          <w:rtl/>
        </w:rPr>
        <w:t>(8)</w:t>
      </w:r>
      <w:r w:rsidRPr="005D642E">
        <w:rPr>
          <w:rtl/>
          <w:lang w:bidi="fa-IR"/>
        </w:rPr>
        <w:t xml:space="preserve"> عَلَى الْمَاءِ ، وَيَشْتَدُّ عَلَيَّ ذلِكَ </w:t>
      </w:r>
      <w:r w:rsidRPr="007C12DB">
        <w:rPr>
          <w:rStyle w:val="libFootnotenumChar"/>
          <w:rtl/>
        </w:rPr>
        <w:t>(9)</w:t>
      </w:r>
      <w:r>
        <w:rPr>
          <w:rtl/>
          <w:lang w:bidi="fa-IR"/>
        </w:rPr>
        <w:t>؟</w:t>
      </w:r>
    </w:p>
    <w:p w:rsidR="00E3253D" w:rsidRPr="005D642E" w:rsidRDefault="00E3253D" w:rsidP="00E3253D">
      <w:pPr>
        <w:pStyle w:val="libNormal"/>
        <w:rPr>
          <w:rtl/>
          <w:lang w:bidi="fa-IR"/>
        </w:rPr>
      </w:pPr>
      <w:r w:rsidRPr="005D642E">
        <w:rPr>
          <w:rtl/>
          <w:lang w:bidi="fa-IR"/>
        </w:rPr>
        <w:t xml:space="preserve">فَقَالَ : « إِذَا بُلْتَ وَتَمَسَّحْتَ ، فَامْسَحْ ذَكَرَكَ بِرِيقِكَ ، فَإِنْ وَجَدْتَ شَيْئاً ، فَقُلْ : هذَا مِنْ ذَاكَ </w:t>
      </w:r>
      <w:r w:rsidRPr="007C12DB">
        <w:rPr>
          <w:rStyle w:val="libFootnotenumChar"/>
          <w:rtl/>
        </w:rPr>
        <w:t>(10)</w:t>
      </w:r>
      <w:r w:rsidRPr="005D642E">
        <w:rPr>
          <w:rtl/>
          <w:lang w:bidi="fa-IR"/>
        </w:rPr>
        <w:t xml:space="preserve">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587363" w:rsidP="00E3253D">
      <w:pPr>
        <w:pStyle w:val="libFootnote0"/>
        <w:rPr>
          <w:rtl/>
          <w:lang w:bidi="fa-IR"/>
        </w:rPr>
      </w:pPr>
      <w:r>
        <w:rPr>
          <w:rFonts w:hint="cs"/>
          <w:rtl/>
        </w:rPr>
        <w:t xml:space="preserve">= </w:t>
      </w:r>
      <w:r w:rsidR="00E3253D" w:rsidRPr="005D642E">
        <w:rPr>
          <w:rtl/>
        </w:rPr>
        <w:t>ص 46 : + « تخرج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جس » </w:t>
      </w:r>
      <w:r w:rsidR="00B60612" w:rsidRPr="00B60612">
        <w:rPr>
          <w:rStyle w:val="libFootnoteBoldChar"/>
          <w:rtl/>
        </w:rPr>
        <w:t>والتهذيب</w:t>
      </w:r>
      <w:r w:rsidR="00E3253D" w:rsidRPr="005D642E">
        <w:rPr>
          <w:rtl/>
        </w:rPr>
        <w:t xml:space="preserve"> ، ص 347 : « فا</w:t>
      </w:r>
      <w:r w:rsidR="00587363">
        <w:rPr>
          <w:rFonts w:hint="cs"/>
          <w:rtl/>
        </w:rPr>
        <w:t>ُ</w:t>
      </w:r>
      <w:r w:rsidR="00E3253D" w:rsidRPr="005D642E">
        <w:rPr>
          <w:rtl/>
        </w:rPr>
        <w:t>عيد » بدون الهمزة.</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بس ، بف ، جس ، جن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46 : « قال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46 ، ح 131 ، بسنده عن أحمد بن محمّد ، عن عليّ بن أشيم ؛ </w:t>
      </w:r>
      <w:r w:rsidR="00E3253D" w:rsidRPr="002F4D34">
        <w:rPr>
          <w:rStyle w:val="libFootnoteBoldChar"/>
          <w:rtl/>
        </w:rPr>
        <w:t>فيه</w:t>
      </w:r>
      <w:r w:rsidR="00E3253D" w:rsidRPr="005D642E">
        <w:rPr>
          <w:rtl/>
        </w:rPr>
        <w:t xml:space="preserve"> ، ص 347 ، ح 1019 ، بسنده عن صفوان </w:t>
      </w:r>
      <w:r w:rsidR="00587363">
        <w:rPr>
          <w:rFonts w:hint="cs"/>
          <w:rtl/>
        </w:rPr>
        <w:t>.</w:t>
      </w:r>
      <w:r w:rsidR="00E3253D" w:rsidRPr="002F4D34">
        <w:rPr>
          <w:rStyle w:val="libFootnoteBoldChar"/>
          <w:rtl/>
        </w:rPr>
        <w:t>الوافي</w:t>
      </w:r>
      <w:r w:rsidR="00E3253D" w:rsidRPr="005D642E">
        <w:rPr>
          <w:rtl/>
        </w:rPr>
        <w:t xml:space="preserve"> ، ج 6 ، ص 267 ، ح 4264 ؛ </w:t>
      </w:r>
      <w:r w:rsidR="00E3253D" w:rsidRPr="002F4D34">
        <w:rPr>
          <w:rStyle w:val="libFootnoteBoldChar"/>
          <w:rtl/>
        </w:rPr>
        <w:t>الوسائل</w:t>
      </w:r>
      <w:r w:rsidR="00E3253D" w:rsidRPr="005D642E">
        <w:rPr>
          <w:rtl/>
        </w:rPr>
        <w:t xml:space="preserve"> ، ج 1 ، ص 292 ، ذيل ح 768 ؛ </w:t>
      </w:r>
      <w:r w:rsidR="00E3253D" w:rsidRPr="002F4D34">
        <w:rPr>
          <w:rStyle w:val="libFootnoteBoldChar"/>
          <w:rtl/>
        </w:rPr>
        <w:t>البحار</w:t>
      </w:r>
      <w:r w:rsidR="00E3253D" w:rsidRPr="005D642E">
        <w:rPr>
          <w:rtl/>
        </w:rPr>
        <w:t xml:space="preserve"> ، ج 80 ، ص 63.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ى ، بث ، بح ، بخ ، بف ، جح ، جن »</w:t>
      </w:r>
      <w:r w:rsidR="00E3253D">
        <w:rPr>
          <w:rtl/>
        </w:rPr>
        <w:t>.</w:t>
      </w:r>
      <w:r w:rsidR="00E3253D" w:rsidRPr="005D642E">
        <w:rPr>
          <w:rtl/>
        </w:rPr>
        <w:t xml:space="preserve"> وفي « بس ، جس » : « أحمد بن أبي نصر »</w:t>
      </w:r>
      <w:r w:rsidR="00E3253D">
        <w:rPr>
          <w:rtl/>
        </w:rPr>
        <w:t>.</w:t>
      </w:r>
      <w:r w:rsidR="00E3253D" w:rsidRPr="005D642E">
        <w:rPr>
          <w:rtl/>
        </w:rPr>
        <w:t xml:space="preserve"> وفي الوسائل : « أحمد بن محمّد عن ابن أبي نصر »</w:t>
      </w:r>
      <w:r w:rsidR="00E3253D">
        <w:rPr>
          <w:rtl/>
        </w:rPr>
        <w:t>.</w:t>
      </w:r>
      <w:r w:rsidR="00E3253D" w:rsidRPr="005D642E">
        <w:rPr>
          <w:rtl/>
        </w:rPr>
        <w:t xml:space="preserve"> وفي المطبوع : « أحمد عن أبي نصر »</w:t>
      </w:r>
      <w:r w:rsidR="00E3253D">
        <w:rPr>
          <w:rtl/>
        </w:rPr>
        <w:t>.</w:t>
      </w:r>
    </w:p>
    <w:p w:rsidR="00E3253D" w:rsidRPr="005D642E" w:rsidRDefault="00E3253D" w:rsidP="00E3253D">
      <w:pPr>
        <w:pStyle w:val="libFootnote0"/>
        <w:rPr>
          <w:rtl/>
          <w:lang w:bidi="fa-IR"/>
        </w:rPr>
      </w:pPr>
      <w:r w:rsidRPr="00B60612">
        <w:rPr>
          <w:rtl/>
        </w:rPr>
        <w:t xml:space="preserve">ثمّ إنّ المراد من أحمد ، هو أحمد بن محمّد المذكور في السند السابق ، فيكون السند معلّقاً. ويؤيّد ذلك توسّط أحمد بن محمّد [ بن عيسى ] بين محمّد بن يحيى وبين [ أحمد بن محمّد ] بن أبي نصر في عددٍ من الأسناد. راجع : </w:t>
      </w:r>
      <w:r w:rsidRPr="002F4D34">
        <w:rPr>
          <w:rStyle w:val="libFootnoteBoldChar"/>
          <w:rtl/>
        </w:rPr>
        <w:t>معجم رجال الحديث</w:t>
      </w:r>
      <w:r w:rsidRPr="00B60612">
        <w:rPr>
          <w:rtl/>
        </w:rPr>
        <w:t xml:space="preserve"> ، ج 2 ، ص 468 </w:t>
      </w:r>
      <w:r w:rsidR="007642BC" w:rsidRPr="00B60612">
        <w:rPr>
          <w:rtl/>
        </w:rPr>
        <w:t>-</w:t>
      </w:r>
      <w:r w:rsidRPr="00B60612">
        <w:rPr>
          <w:rtl/>
        </w:rPr>
        <w:t xml:space="preserve"> 470 ؛ وص 487 </w:t>
      </w:r>
      <w:r w:rsidR="007642BC" w:rsidRPr="00B60612">
        <w:rPr>
          <w:rtl/>
        </w:rPr>
        <w:t>-</w:t>
      </w:r>
      <w:r w:rsidRPr="00B60612">
        <w:rPr>
          <w:rtl/>
        </w:rPr>
        <w:t xml:space="preserve"> 489.</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 عن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6 ، ص 268 ، ح 4265 ؛ </w:t>
      </w:r>
      <w:r w:rsidR="00E3253D" w:rsidRPr="002F4D34">
        <w:rPr>
          <w:rStyle w:val="libFootnoteBoldChar"/>
          <w:rtl/>
        </w:rPr>
        <w:t>الوسائل</w:t>
      </w:r>
      <w:r w:rsidR="00E3253D" w:rsidRPr="005D642E">
        <w:rPr>
          <w:rtl/>
        </w:rPr>
        <w:t xml:space="preserve"> ، ج 1 ، ص 292 ، ح 769 ؛ </w:t>
      </w:r>
      <w:r w:rsidR="00E3253D" w:rsidRPr="002F4D34">
        <w:rPr>
          <w:rStyle w:val="libFootnoteBoldChar"/>
          <w:rtl/>
        </w:rPr>
        <w:t>البحار</w:t>
      </w:r>
      <w:r w:rsidR="00E3253D" w:rsidRPr="005D642E">
        <w:rPr>
          <w:rtl/>
        </w:rPr>
        <w:t xml:space="preserve"> ، ج 80 ، ص 63.</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ى ، بخ ، بس ، بف » : « قال »</w:t>
      </w:r>
      <w:r w:rsidR="00E3253D">
        <w:rPr>
          <w:rtl/>
        </w:rPr>
        <w:t>.</w:t>
      </w:r>
      <w:r w:rsidR="00E3253D" w:rsidRPr="005D642E">
        <w:rPr>
          <w:rtl/>
        </w:rPr>
        <w:t xml:space="preserve"> وفي الوافي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 « إنّي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 « ولا أقدر »</w:t>
      </w:r>
      <w:r w:rsidR="00E3253D">
        <w:rPr>
          <w:rtl/>
        </w:rPr>
        <w:t>.</w:t>
      </w:r>
      <w:r w:rsidR="00E3253D" w:rsidRPr="005D642E">
        <w:rPr>
          <w:rtl/>
        </w:rPr>
        <w:t xml:space="preserve"> وفي الوافي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 فلا أقدر »</w:t>
      </w:r>
      <w:r w:rsidR="00E3253D">
        <w:rPr>
          <w:rtl/>
        </w:rPr>
        <w:t>.</w:t>
      </w:r>
    </w:p>
    <w:tbl>
      <w:tblPr>
        <w:tblStyle w:val="TableGrid"/>
        <w:bidiVisual/>
        <w:tblW w:w="0" w:type="auto"/>
        <w:tblLook w:val="04A0" w:firstRow="1" w:lastRow="0" w:firstColumn="1" w:lastColumn="0" w:noHBand="0" w:noVBand="1"/>
      </w:tblPr>
      <w:tblGrid>
        <w:gridCol w:w="4214"/>
        <w:gridCol w:w="3798"/>
      </w:tblGrid>
      <w:tr w:rsidR="00587363" w:rsidTr="009F10EE">
        <w:tc>
          <w:tcPr>
            <w:tcW w:w="4214" w:type="dxa"/>
          </w:tcPr>
          <w:p w:rsidR="00587363" w:rsidRDefault="00587363" w:rsidP="00E3253D">
            <w:pPr>
              <w:pStyle w:val="libFootnote0"/>
              <w:rPr>
                <w:rStyle w:val="libFootnote0Char"/>
                <w:rtl/>
              </w:rPr>
            </w:pPr>
            <w:r w:rsidRPr="0042621E">
              <w:rPr>
                <w:rStyle w:val="libFootnote0Char"/>
                <w:rtl/>
              </w:rPr>
              <w:t>(9).</w:t>
            </w:r>
            <w:r w:rsidRPr="005D642E">
              <w:rPr>
                <w:rtl/>
              </w:rPr>
              <w:t xml:space="preserve"> في الوافي </w:t>
            </w:r>
            <w:r w:rsidR="009E68BB" w:rsidRPr="009E68BB">
              <w:rPr>
                <w:rStyle w:val="libFootnoteBoldChar"/>
                <w:rtl/>
              </w:rPr>
              <w:t>وتحف العقول</w:t>
            </w:r>
            <w:r w:rsidRPr="005D642E">
              <w:rPr>
                <w:rtl/>
              </w:rPr>
              <w:t xml:space="preserve"> </w:t>
            </w:r>
            <w:r w:rsidR="00B60612" w:rsidRPr="00B60612">
              <w:rPr>
                <w:rStyle w:val="libFootnoteBoldChar"/>
                <w:rtl/>
              </w:rPr>
              <w:t>والتهذيب</w:t>
            </w:r>
            <w:r w:rsidR="009F10EE">
              <w:rPr>
                <w:rtl/>
              </w:rPr>
              <w:t xml:space="preserve"> : «ذلك عليّ</w:t>
            </w:r>
            <w:r w:rsidRPr="005D642E">
              <w:rPr>
                <w:rtl/>
              </w:rPr>
              <w:t>»</w:t>
            </w:r>
            <w:r>
              <w:rPr>
                <w:rtl/>
              </w:rPr>
              <w:t>.</w:t>
            </w:r>
          </w:p>
        </w:tc>
        <w:tc>
          <w:tcPr>
            <w:tcW w:w="3798" w:type="dxa"/>
          </w:tcPr>
          <w:p w:rsidR="00587363" w:rsidRDefault="00587363" w:rsidP="00E3253D">
            <w:pPr>
              <w:pStyle w:val="libFootnote0"/>
              <w:rPr>
                <w:rStyle w:val="libFootnote0Char"/>
                <w:rtl/>
              </w:rPr>
            </w:pPr>
            <w:r w:rsidRPr="0042621E">
              <w:rPr>
                <w:rStyle w:val="libFootnote0Char"/>
                <w:rtl/>
              </w:rPr>
              <w:t>(10).</w:t>
            </w:r>
            <w:r w:rsidRPr="005D642E">
              <w:rPr>
                <w:rtl/>
              </w:rPr>
              <w:t xml:space="preserve"> في « غ ، بح ، جس » : « ذلك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الفقيه</w:t>
      </w:r>
      <w:r w:rsidR="00E3253D" w:rsidRPr="005D642E">
        <w:rPr>
          <w:rtl/>
        </w:rPr>
        <w:t xml:space="preserve"> ، ج 1 ، ص 69 ، ح 160 ، معلّقاً عن حنان بن سدير. وفي </w:t>
      </w:r>
      <w:r w:rsidR="00E3253D" w:rsidRPr="002F4D34">
        <w:rPr>
          <w:rStyle w:val="libFootnoteBoldChar"/>
          <w:rtl/>
        </w:rPr>
        <w:t>التهذيب</w:t>
      </w:r>
      <w:r w:rsidR="00E3253D" w:rsidRPr="005D642E">
        <w:rPr>
          <w:rtl/>
        </w:rPr>
        <w:t xml:space="preserve"> ، ج 1 ، ص 348 ، ح 1022 ؛ و</w:t>
      </w:r>
      <w:r w:rsidR="00E3253D">
        <w:rPr>
          <w:rFonts w:hint="cs"/>
          <w:rtl/>
        </w:rPr>
        <w:t xml:space="preserve"> </w:t>
      </w:r>
      <w:r w:rsidR="0058736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F13460">
        <w:rPr>
          <w:rtl/>
        </w:rPr>
        <w:lastRenderedPageBreak/>
        <w:t>3897</w:t>
      </w:r>
      <w:r w:rsidRPr="00246318">
        <w:rPr>
          <w:rStyle w:val="libBold2Char"/>
          <w:rtl/>
        </w:rPr>
        <w:t xml:space="preserve"> / 5.</w:t>
      </w:r>
      <w:r w:rsidRPr="005D642E">
        <w:rPr>
          <w:rtl/>
          <w:lang w:bidi="fa-IR"/>
        </w:rPr>
        <w:t xml:space="preserve"> عَلِيُّ بْنُ إِبْرَاهِيمَ ، عَنْ أَبِيهِ ، عَنْ عَبْدِ اللهِ بْنِ الْمُغِيرَةِ ، عَنْ مَنْصُورِ بْنِ حَازِمٍ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الرَّجُلُ يَعْتَرِيهِ الْبَوْلُ ، وَلَايَقْدِرُ عَلى حَبْسِهِ</w:t>
      </w:r>
      <w:r>
        <w:rPr>
          <w:rtl/>
          <w:lang w:bidi="fa-IR"/>
        </w:rPr>
        <w:t>؟</w:t>
      </w:r>
    </w:p>
    <w:p w:rsidR="00E3253D" w:rsidRPr="005D642E" w:rsidRDefault="00E3253D" w:rsidP="00E3253D">
      <w:pPr>
        <w:pStyle w:val="libNormal"/>
        <w:rPr>
          <w:rtl/>
          <w:lang w:bidi="fa-IR"/>
        </w:rPr>
      </w:pPr>
      <w:r w:rsidRPr="005D642E">
        <w:rPr>
          <w:rtl/>
          <w:lang w:bidi="fa-IR"/>
        </w:rPr>
        <w:t xml:space="preserve">قَالَ : فَقَالَ لِي : « إِذَا لَمْ يَقْدِرْ عَلى حَبْسِهِ ، فَاللهُ أَوْلى بِالْعُذْرِ ، يَجْعَلُ خَرِيطَةً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F13460">
        <w:rPr>
          <w:rtl/>
        </w:rPr>
        <w:t>3898</w:t>
      </w:r>
      <w:r w:rsidRPr="00246318">
        <w:rPr>
          <w:rStyle w:val="libBold2Char"/>
          <w:rtl/>
        </w:rPr>
        <w:t xml:space="preserve"> / 6.</w:t>
      </w:r>
      <w:r w:rsidRPr="005D642E">
        <w:rPr>
          <w:rtl/>
          <w:lang w:bidi="fa-IR"/>
        </w:rPr>
        <w:t xml:space="preserve"> الْحُسَيْنُ بْنُ مُحَمَّدٍ </w:t>
      </w:r>
      <w:r w:rsidRPr="007C12DB">
        <w:rPr>
          <w:rStyle w:val="libFootnotenumChar"/>
          <w:rtl/>
        </w:rPr>
        <w:t>(3)</w:t>
      </w:r>
      <w:r w:rsidRPr="005D642E">
        <w:rPr>
          <w:rtl/>
          <w:lang w:bidi="fa-IR"/>
        </w:rPr>
        <w:t xml:space="preserve"> ، عَنْ أَحْمَدَ بْنِ إِسْحَاقَ ، عَنْ سَعْدَانَ </w:t>
      </w:r>
      <w:r w:rsidRPr="007C12DB">
        <w:rPr>
          <w:rStyle w:val="libFootnotenumChar"/>
          <w:rtl/>
        </w:rPr>
        <w:t>(4)</w:t>
      </w:r>
      <w:r w:rsidR="002C1AC8">
        <w:rPr>
          <w:rtl/>
          <w:lang w:bidi="fa-IR"/>
        </w:rPr>
        <w:t xml:space="preserve"> عَبْدِ الرَّحْمنِ ، قَالَ</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2C1AC8" w:rsidP="00E3253D">
      <w:pPr>
        <w:pStyle w:val="libFootnote0"/>
        <w:rPr>
          <w:rtl/>
          <w:lang w:bidi="fa-IR"/>
        </w:rPr>
      </w:pPr>
      <w:r>
        <w:rPr>
          <w:rFonts w:hint="cs"/>
          <w:rtl/>
        </w:rPr>
        <w:t xml:space="preserve">= </w:t>
      </w:r>
      <w:r w:rsidR="00E3253D" w:rsidRPr="005D642E">
        <w:rPr>
          <w:rtl/>
        </w:rPr>
        <w:t xml:space="preserve">ص 353 ، ح 1050 ، بسند آخر عن حنان بن سدير </w:t>
      </w:r>
      <w:r>
        <w:rPr>
          <w:rFonts w:hint="cs"/>
          <w:rtl/>
        </w:rPr>
        <w:t>.</w:t>
      </w:r>
      <w:r w:rsidR="00E3253D" w:rsidRPr="002F4D34">
        <w:rPr>
          <w:rStyle w:val="libFootnoteBoldChar"/>
          <w:rtl/>
        </w:rPr>
        <w:t>الوافي</w:t>
      </w:r>
      <w:r w:rsidR="00E3253D" w:rsidRPr="005D642E">
        <w:rPr>
          <w:rtl/>
        </w:rPr>
        <w:t xml:space="preserve"> ، ج 6 ، ص 148 ، ح 3975 ؛ </w:t>
      </w:r>
      <w:r w:rsidR="00E3253D" w:rsidRPr="002F4D34">
        <w:rPr>
          <w:rStyle w:val="libFootnoteBoldChar"/>
          <w:rtl/>
        </w:rPr>
        <w:t>الوسائل</w:t>
      </w:r>
      <w:r w:rsidR="00E3253D" w:rsidRPr="005D642E">
        <w:rPr>
          <w:rtl/>
        </w:rPr>
        <w:t xml:space="preserve"> ، ج 1 ، ص 284 ، ذيل ح 750.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الخَريطَة » : وعاء من الكيس من أَدَمٍ وغيره يُشَدُّ ويُشْرَجُ ، أي يُجمَع على ما فيها. راجع : </w:t>
      </w:r>
      <w:r w:rsidR="00E3253D" w:rsidRPr="002F4D34">
        <w:rPr>
          <w:rStyle w:val="libFootnoteBoldChar"/>
          <w:rtl/>
        </w:rPr>
        <w:t>الصحاح</w:t>
      </w:r>
      <w:r w:rsidR="00E3253D" w:rsidRPr="005D642E">
        <w:rPr>
          <w:rtl/>
        </w:rPr>
        <w:t xml:space="preserve"> ، ج 3 ، ص 1123 ؛ </w:t>
      </w:r>
      <w:r w:rsidR="00E3253D" w:rsidRPr="002F4D34">
        <w:rPr>
          <w:rStyle w:val="libFootnoteBoldChar"/>
          <w:rtl/>
        </w:rPr>
        <w:t>لسان العرب</w:t>
      </w:r>
      <w:r w:rsidR="00E3253D" w:rsidRPr="005D642E">
        <w:rPr>
          <w:rtl/>
        </w:rPr>
        <w:t xml:space="preserve"> ، ج 7 ، ص 286 ( خرط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351 ، ح 1037 ؛ وج 3 ، ص 306 ، ح 943 ، بسند آخر عن أبي عبدالله </w:t>
      </w:r>
      <w:r w:rsidR="00E3253D" w:rsidRPr="002C1AC8">
        <w:rPr>
          <w:rStyle w:val="libFootnoteAlaemChar"/>
          <w:rtl/>
        </w:rPr>
        <w:t>عليه‌السلام</w:t>
      </w:r>
      <w:r w:rsidR="00E3253D" w:rsidRPr="005D642E">
        <w:rPr>
          <w:rtl/>
        </w:rPr>
        <w:t xml:space="preserve"> ، هكذا : « قال : سئل عن تقطير البول قال : يجعل خريطة إذا صلّى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32 ، ذيل ح 64 ، مع اختلاف يسير </w:t>
      </w:r>
      <w:r w:rsidR="002C1AC8">
        <w:rPr>
          <w:rFonts w:hint="cs"/>
          <w:rtl/>
        </w:rPr>
        <w:t>.</w:t>
      </w:r>
      <w:r w:rsidR="00E3253D" w:rsidRPr="002F4D34">
        <w:rPr>
          <w:rStyle w:val="libFootnoteBoldChar"/>
          <w:rtl/>
        </w:rPr>
        <w:t>الوافي</w:t>
      </w:r>
      <w:r w:rsidR="00E3253D" w:rsidRPr="005D642E">
        <w:rPr>
          <w:rtl/>
        </w:rPr>
        <w:t xml:space="preserve"> ، ج 6 ، ص 143 ، ح 3962 ؛ </w:t>
      </w:r>
      <w:r w:rsidR="00E3253D" w:rsidRPr="002F4D34">
        <w:rPr>
          <w:rStyle w:val="libFootnoteBoldChar"/>
          <w:rtl/>
        </w:rPr>
        <w:t>الوسائل</w:t>
      </w:r>
      <w:r w:rsidR="00E3253D" w:rsidRPr="005D642E">
        <w:rPr>
          <w:rtl/>
        </w:rPr>
        <w:t xml:space="preserve"> ، ج 1 ، ص 297 ، ح 781.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جس »</w:t>
      </w:r>
      <w:r w:rsidR="00E3253D">
        <w:rPr>
          <w:rtl/>
        </w:rPr>
        <w:t>.</w:t>
      </w:r>
      <w:r w:rsidR="00E3253D" w:rsidRPr="005D642E">
        <w:rPr>
          <w:rtl/>
        </w:rPr>
        <w:t xml:space="preserve"> وفي « ى ، بث ، بح ، بخ ، بس ، بف ، جح ، جن » والمطبوع : + « عن أحمد بن محمّد »</w:t>
      </w:r>
      <w:r w:rsidR="00E3253D">
        <w:rPr>
          <w:rtl/>
        </w:rPr>
        <w:t>.</w:t>
      </w:r>
    </w:p>
    <w:p w:rsidR="00E3253D" w:rsidRPr="005D642E" w:rsidRDefault="00E3253D" w:rsidP="00E3253D">
      <w:pPr>
        <w:pStyle w:val="libFootnote0"/>
        <w:rPr>
          <w:rtl/>
          <w:lang w:bidi="fa-IR"/>
        </w:rPr>
      </w:pPr>
      <w:r w:rsidRPr="00B60612">
        <w:rPr>
          <w:rtl/>
        </w:rPr>
        <w:t xml:space="preserve">والصواب ما أثبتناه ، كما تقدّم في </w:t>
      </w:r>
      <w:r w:rsidRPr="002F4D34">
        <w:rPr>
          <w:rStyle w:val="libFootnoteBoldChar"/>
          <w:rtl/>
        </w:rPr>
        <w:t>الكافي</w:t>
      </w:r>
      <w:r w:rsidRPr="00B60612">
        <w:rPr>
          <w:rtl/>
        </w:rPr>
        <w:t xml:space="preserve"> ، ذيل ح 2085 ، فلاحظ.</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بس ، بف ، جح ، جس ، جن » : + « عن »</w:t>
      </w:r>
      <w:r w:rsidR="00E3253D">
        <w:rPr>
          <w:rtl/>
        </w:rPr>
        <w:t>.</w:t>
      </w:r>
      <w:r w:rsidR="00E3253D" w:rsidRPr="005D642E">
        <w:rPr>
          <w:rtl/>
        </w:rPr>
        <w:t xml:space="preserve"> وفي « ى ، بح » والوسائل : + « بن »</w:t>
      </w:r>
      <w:r w:rsidR="00E3253D">
        <w:rPr>
          <w:rtl/>
        </w:rPr>
        <w:t>.</w:t>
      </w:r>
    </w:p>
    <w:p w:rsidR="00E3253D" w:rsidRPr="005D642E" w:rsidRDefault="00E3253D" w:rsidP="00E3253D">
      <w:pPr>
        <w:pStyle w:val="libFootnote0"/>
        <w:rPr>
          <w:rtl/>
          <w:lang w:bidi="fa-IR"/>
        </w:rPr>
      </w:pPr>
      <w:r w:rsidRPr="00B60612">
        <w:rPr>
          <w:rtl/>
        </w:rPr>
        <w:t xml:space="preserve">والصواب ما أثبتناه ، وسعدان هذا ، هو سعدان بن مسلم ، واسمه عبدالرحمن. وسعدان لقبه ، كما في </w:t>
      </w:r>
      <w:r w:rsidRPr="002F4D34">
        <w:rPr>
          <w:rStyle w:val="libFootnoteBoldChar"/>
          <w:rtl/>
        </w:rPr>
        <w:t>رجال النجاشي</w:t>
      </w:r>
      <w:r w:rsidRPr="00B60612">
        <w:rPr>
          <w:rtl/>
        </w:rPr>
        <w:t xml:space="preserve"> ، ص 192 ، الرقم 515 ؛ </w:t>
      </w:r>
      <w:r w:rsidRPr="002C1AC8">
        <w:rPr>
          <w:rStyle w:val="libFootnoteBoldChar"/>
          <w:rtl/>
        </w:rPr>
        <w:t>و</w:t>
      </w:r>
      <w:r w:rsidR="0059794D" w:rsidRPr="0059794D">
        <w:rPr>
          <w:rStyle w:val="libFootnoteBoldChar"/>
          <w:rtl/>
        </w:rPr>
        <w:t>الفهرست للطوسي</w:t>
      </w:r>
      <w:r w:rsidRPr="00B60612">
        <w:rPr>
          <w:rtl/>
        </w:rPr>
        <w:t xml:space="preserve"> ، ص 226 ، الرقم 336 ؛ فقد روى أحمد بن إسحاق ، عن سعدان [ بن مسلم ] في عددٍ من الأسناد ، والخبر رواه الحميري في </w:t>
      </w:r>
      <w:r w:rsidRPr="002F4D34">
        <w:rPr>
          <w:rStyle w:val="libFootnoteBoldChar"/>
          <w:rtl/>
        </w:rPr>
        <w:t>قرب الإسناد</w:t>
      </w:r>
      <w:r w:rsidRPr="00B60612">
        <w:rPr>
          <w:rtl/>
        </w:rPr>
        <w:t xml:space="preserve"> ، ص 316 ، ح 1225 ، عن محمّد بن عيسى وأحمد بن إسحاق جميعاً ، عن سعدان بن مسلم ، قال : كتبت إلى أبي الحسن موسى </w:t>
      </w:r>
      <w:r w:rsidRPr="002C1AC8">
        <w:rPr>
          <w:rStyle w:val="libFootnoteAlaemChar"/>
          <w:rtl/>
        </w:rPr>
        <w:t>عليه‌السلام</w:t>
      </w:r>
      <w:r w:rsidRPr="00B60612">
        <w:rPr>
          <w:rtl/>
        </w:rPr>
        <w:t xml:space="preserve"> .... راجع : </w:t>
      </w:r>
      <w:r w:rsidRPr="002F4D34">
        <w:rPr>
          <w:rStyle w:val="libFootnoteBoldChar"/>
          <w:rtl/>
        </w:rPr>
        <w:t>معجم رجال الحديث</w:t>
      </w:r>
      <w:r w:rsidRPr="00B60612">
        <w:rPr>
          <w:rtl/>
        </w:rPr>
        <w:t xml:space="preserve"> ، ج 2 ، ص 424 </w:t>
      </w:r>
      <w:r w:rsidR="007642BC" w:rsidRPr="00B60612">
        <w:rPr>
          <w:rtl/>
        </w:rPr>
        <w:t>-</w:t>
      </w:r>
      <w:r w:rsidRPr="00B60612">
        <w:rPr>
          <w:rtl/>
        </w:rPr>
        <w:t xml:space="preserve"> 426.</w:t>
      </w:r>
    </w:p>
    <w:p w:rsidR="00E3253D" w:rsidRPr="005D642E" w:rsidRDefault="00E3253D" w:rsidP="00E3253D">
      <w:pPr>
        <w:pStyle w:val="libFootnote0"/>
        <w:rPr>
          <w:rtl/>
          <w:lang w:bidi="fa-IR"/>
        </w:rPr>
      </w:pPr>
      <w:r w:rsidRPr="00B60612">
        <w:rPr>
          <w:rtl/>
        </w:rPr>
        <w:t xml:space="preserve">ثمّ إنّ الخبر رواه الشيخ الطوسي تارةً في </w:t>
      </w:r>
      <w:r w:rsidRPr="002F4D34">
        <w:rPr>
          <w:rStyle w:val="libFootnoteBoldChar"/>
          <w:rtl/>
        </w:rPr>
        <w:t>التهذيب</w:t>
      </w:r>
      <w:r w:rsidRPr="00B60612">
        <w:rPr>
          <w:rtl/>
        </w:rPr>
        <w:t xml:space="preserve"> ، ج 1 ، ص 353 ، ح 1051 ، بسنده عن سعدان بن مسلم ، عن عبدالرحيم ، وا</w:t>
      </w:r>
      <w:r w:rsidR="002C1AC8" w:rsidRPr="00B60612">
        <w:rPr>
          <w:rFonts w:hint="cs"/>
          <w:rtl/>
        </w:rPr>
        <w:t>ُ</w:t>
      </w:r>
      <w:r w:rsidRPr="00B60612">
        <w:rPr>
          <w:rtl/>
        </w:rPr>
        <w:t xml:space="preserve">خرى في ص 424 ، ح 1349 </w:t>
      </w:r>
      <w:r w:rsidR="007642BC" w:rsidRPr="00B60612">
        <w:rPr>
          <w:rtl/>
        </w:rPr>
        <w:t>-</w:t>
      </w:r>
      <w:r w:rsidRPr="00B60612">
        <w:rPr>
          <w:rtl/>
        </w:rPr>
        <w:t xml:space="preserve"> باختلاف يسير </w:t>
      </w:r>
      <w:r w:rsidR="007642BC" w:rsidRPr="00B60612">
        <w:rPr>
          <w:rtl/>
        </w:rPr>
        <w:t>-</w:t>
      </w:r>
      <w:r w:rsidRPr="00B60612">
        <w:rPr>
          <w:rtl/>
        </w:rPr>
        <w:t xml:space="preserve"> بسند آخر عن سعدان بن مسلم ، عن عبدالرحيم القصير.</w:t>
      </w:r>
    </w:p>
    <w:p w:rsidR="00E3253D" w:rsidRPr="005D642E" w:rsidRDefault="00E3253D" w:rsidP="002C1AC8">
      <w:pPr>
        <w:pStyle w:val="libFootnote0"/>
        <w:rPr>
          <w:rtl/>
          <w:lang w:bidi="fa-IR"/>
        </w:rPr>
      </w:pPr>
      <w:r w:rsidRPr="0095070A">
        <w:rPr>
          <w:rtl/>
        </w:rPr>
        <w:t>واتّضح ممّا تقدّم وقوع التحريف في كلا الموضعين ، بزيادة « عن » بعد « مسلم » ، وتصحيف « عبدالرحمن »</w:t>
      </w:r>
      <w:r>
        <w:rPr>
          <w:rtl/>
        </w:rPr>
        <w:t xml:space="preserve"> ب</w:t>
      </w:r>
      <w:r w:rsidR="002C1AC8">
        <w:rPr>
          <w:rFonts w:hint="cs"/>
          <w:rtl/>
        </w:rPr>
        <w:t>ـ</w:t>
      </w:r>
      <w:r>
        <w:rPr>
          <w:rtl/>
        </w:rPr>
        <w:t xml:space="preserve"> </w:t>
      </w:r>
      <w:r w:rsidRPr="0095070A">
        <w:rPr>
          <w:rtl/>
        </w:rPr>
        <w:t>« عبدالرحيم » وزيادة قيد « القصير » في الموضع الثاني ؛ والظاهر أنّ القصير زيادة تفسيريّة ا</w:t>
      </w:r>
      <w:r w:rsidR="002C1AC8">
        <w:rPr>
          <w:rFonts w:hint="cs"/>
          <w:rtl/>
        </w:rPr>
        <w:t>ُ</w:t>
      </w:r>
      <w:r w:rsidRPr="0095070A">
        <w:rPr>
          <w:rtl/>
        </w:rPr>
        <w:t>درجت في المتن سهواً.</w:t>
      </w:r>
    </w:p>
    <w:p w:rsidR="00E3253D" w:rsidRPr="005D642E" w:rsidRDefault="00E3253D" w:rsidP="002C1AC8">
      <w:pPr>
        <w:pStyle w:val="libFootnote0"/>
        <w:rPr>
          <w:rtl/>
          <w:lang w:bidi="fa-IR"/>
        </w:rPr>
      </w:pPr>
      <w:r w:rsidRPr="0095070A">
        <w:rPr>
          <w:rtl/>
        </w:rPr>
        <w:t>يؤيّد ذلك أنّا لم نجد رواية سعدان بن مسلم ، عن عبدالرحيم القصير ، في موضع.</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كَتَبْتُ إِلى أَبِي الْحَسَنِ </w:t>
      </w:r>
      <w:r w:rsidRPr="00AC51C5">
        <w:rPr>
          <w:rStyle w:val="libAlaemChar"/>
          <w:rtl/>
        </w:rPr>
        <w:t>عليه‌السلام</w:t>
      </w:r>
      <w:r w:rsidRPr="005D642E">
        <w:rPr>
          <w:rtl/>
          <w:lang w:bidi="fa-IR"/>
        </w:rPr>
        <w:t xml:space="preserve"> فِي خَصِيٍّ </w:t>
      </w:r>
      <w:r w:rsidRPr="007C12DB">
        <w:rPr>
          <w:rStyle w:val="libFootnotenumChar"/>
          <w:rtl/>
        </w:rPr>
        <w:t>(1)</w:t>
      </w:r>
      <w:r w:rsidRPr="005D642E">
        <w:rPr>
          <w:rtl/>
          <w:lang w:bidi="fa-IR"/>
        </w:rPr>
        <w:t xml:space="preserve"> يَبُولُ ، فَيَلْقى مِنْ ذلِكَ شِدَّةً ، وَيَرَى الْبَلَلَ بَعْدَ الْبَلَلِ</w:t>
      </w:r>
      <w:r>
        <w:rPr>
          <w:rtl/>
          <w:lang w:bidi="fa-IR"/>
        </w:rPr>
        <w:t>؟</w:t>
      </w:r>
    </w:p>
    <w:p w:rsidR="00E3253D" w:rsidRPr="005D642E" w:rsidRDefault="00E3253D" w:rsidP="00E3253D">
      <w:pPr>
        <w:pStyle w:val="libNormal"/>
        <w:rPr>
          <w:rtl/>
          <w:lang w:bidi="fa-IR"/>
        </w:rPr>
      </w:pPr>
      <w:r w:rsidRPr="005D642E">
        <w:rPr>
          <w:rtl/>
          <w:lang w:bidi="fa-IR"/>
        </w:rPr>
        <w:t xml:space="preserve">قَالَ : « يَتَوَضَّأُ </w:t>
      </w:r>
      <w:r w:rsidRPr="007C12DB">
        <w:rPr>
          <w:rStyle w:val="libFootnotenumChar"/>
          <w:rtl/>
        </w:rPr>
        <w:t>(2)</w:t>
      </w:r>
      <w:r w:rsidRPr="005D642E">
        <w:rPr>
          <w:rtl/>
          <w:lang w:bidi="fa-IR"/>
        </w:rPr>
        <w:t xml:space="preserve"> ، ثُمَّ يَنْتَضِحُ </w:t>
      </w:r>
      <w:r w:rsidRPr="007C12DB">
        <w:rPr>
          <w:rStyle w:val="libFootnotenumChar"/>
          <w:rtl/>
        </w:rPr>
        <w:t>(3)</w:t>
      </w:r>
      <w:r w:rsidRPr="005D642E">
        <w:rPr>
          <w:rtl/>
          <w:lang w:bidi="fa-IR"/>
        </w:rPr>
        <w:t xml:space="preserve"> فِي النَّهَارِ مَرَّةً وَاحِدَةً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F13460">
        <w:rPr>
          <w:rtl/>
        </w:rPr>
        <w:t>3899</w:t>
      </w:r>
      <w:r w:rsidRPr="00246318">
        <w:rPr>
          <w:rStyle w:val="libBold2Char"/>
          <w:rtl/>
        </w:rPr>
        <w:t xml:space="preserve"> / 7.</w:t>
      </w:r>
      <w:r w:rsidRPr="005D642E">
        <w:rPr>
          <w:rtl/>
          <w:lang w:bidi="fa-IR"/>
        </w:rPr>
        <w:t xml:space="preserve"> مُحَمَّدُ بْنُ يَحْيى ، عَنْ أَحْمَدَ بْنِ مُحَمَّدٍ ، عَنْ عَلِيِّ بْنِ الْحَكَمِ ، عَنِ الْحُسَيْنِ بْنِ أَبِي الْعَلَاءِ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الْبَوْلِ يُصِيبُ الْجَسَدَ</w:t>
      </w:r>
      <w:r>
        <w:rPr>
          <w:rtl/>
          <w:lang w:bidi="fa-IR"/>
        </w:rPr>
        <w:t>؟</w:t>
      </w:r>
    </w:p>
    <w:p w:rsidR="00E3253D" w:rsidRPr="005D642E" w:rsidRDefault="00E3253D" w:rsidP="00E3253D">
      <w:pPr>
        <w:pStyle w:val="libNormal"/>
        <w:rPr>
          <w:rtl/>
          <w:lang w:bidi="fa-IR"/>
        </w:rPr>
      </w:pPr>
      <w:r w:rsidRPr="005D642E">
        <w:rPr>
          <w:rtl/>
          <w:lang w:bidi="fa-IR"/>
        </w:rPr>
        <w:t xml:space="preserve">قَالَ : « صُبَّ عَلَيْهِ الْمَاءَ مَرَّتَيْنِ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الخَصِىُّ » : من سُلَّت خصيتاه ونُزعتا ، فعيل بمعنى مفعول ، من قولهم : خَصِيتُ العبدَ أَخْصِيهِ خِصاءً بالكسر</w:t>
      </w:r>
      <w:r w:rsidR="00B60612">
        <w:rPr>
          <w:rFonts w:hint="cs"/>
          <w:rtl/>
        </w:rPr>
        <w:t xml:space="preserve"> </w:t>
      </w:r>
      <w:r w:rsidR="00E3253D" w:rsidRPr="005D642E">
        <w:rPr>
          <w:rtl/>
        </w:rPr>
        <w:t xml:space="preserve">والمدّ : سللت خصييه. راجع : </w:t>
      </w:r>
      <w:r w:rsidR="00E3253D" w:rsidRPr="002F4D34">
        <w:rPr>
          <w:rStyle w:val="libFootnoteBoldChar"/>
          <w:rtl/>
        </w:rPr>
        <w:t>المصباح المنير</w:t>
      </w:r>
      <w:r w:rsidR="00E3253D" w:rsidRPr="005D642E">
        <w:rPr>
          <w:rtl/>
        </w:rPr>
        <w:t xml:space="preserve"> ، ص 171 ؛ </w:t>
      </w:r>
      <w:r w:rsidR="00E3253D" w:rsidRPr="002F4D34">
        <w:rPr>
          <w:rStyle w:val="libFootnoteBoldChar"/>
          <w:rtl/>
        </w:rPr>
        <w:t>القاموس المحيط</w:t>
      </w:r>
      <w:r w:rsidR="00E3253D" w:rsidRPr="005D642E">
        <w:rPr>
          <w:rtl/>
        </w:rPr>
        <w:t xml:space="preserve"> ، ج 2 ، ص 1678 ( خصى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الوافي</w:t>
      </w:r>
      <w:r w:rsidR="00E3253D" w:rsidRPr="005D642E">
        <w:rPr>
          <w:rtl/>
        </w:rPr>
        <w:t xml:space="preserve"> : « يتوضّأ ، أي يتطهّر من البول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قرب الإسناد : « ثمّ ينضح »</w:t>
      </w:r>
      <w:r w:rsidR="00E3253D">
        <w:rPr>
          <w:rtl/>
        </w:rPr>
        <w:t>.</w:t>
      </w:r>
      <w:r w:rsidR="00E3253D" w:rsidRPr="005D642E">
        <w:rPr>
          <w:rtl/>
        </w:rPr>
        <w:t xml:space="preserve"> وفي الفقيه : « ثمّ ينضح ثوبه »</w:t>
      </w:r>
      <w:r w:rsidR="00E3253D">
        <w:rPr>
          <w:rtl/>
        </w:rPr>
        <w:t>.</w:t>
      </w:r>
      <w:r w:rsidR="00E3253D" w:rsidRPr="005D642E">
        <w:rPr>
          <w:rtl/>
        </w:rPr>
        <w:t xml:space="preserve"> وفي </w:t>
      </w:r>
      <w:r w:rsidR="00E3253D" w:rsidRPr="00F13460">
        <w:rPr>
          <w:rtl/>
        </w:rPr>
        <w:t>التهذيب</w:t>
      </w:r>
      <w:r w:rsidR="00E3253D" w:rsidRPr="005D642E">
        <w:rPr>
          <w:rtl/>
        </w:rPr>
        <w:t xml:space="preserve"> ، ص 353 : « وينضح »</w:t>
      </w:r>
      <w:r w:rsidR="00E3253D">
        <w:rPr>
          <w:rtl/>
        </w:rPr>
        <w:t>.</w:t>
      </w:r>
      <w:r w:rsidR="00E3253D" w:rsidRPr="005D642E">
        <w:rPr>
          <w:rtl/>
        </w:rPr>
        <w:t xml:space="preserve"> </w:t>
      </w:r>
      <w:r w:rsidR="00E3253D" w:rsidRPr="00F13460">
        <w:rPr>
          <w:rtl/>
        </w:rPr>
        <w:t>وفيه</w:t>
      </w:r>
      <w:r w:rsidR="00E3253D" w:rsidRPr="005D642E">
        <w:rPr>
          <w:rtl/>
        </w:rPr>
        <w:t xml:space="preserve"> ، ص 424 : « وينضح ثوبه »</w:t>
      </w:r>
      <w:r w:rsidR="00E3253D">
        <w:rPr>
          <w:rtl/>
        </w:rPr>
        <w:t>.</w:t>
      </w:r>
      <w:r w:rsidR="00E3253D" w:rsidRPr="005D642E">
        <w:rPr>
          <w:rtl/>
        </w:rPr>
        <w:t xml:space="preserve"> وقوله : « ينتضح » ، أي يترشّش ، من النَضْح </w:t>
      </w:r>
      <w:r w:rsidR="00B60612">
        <w:rPr>
          <w:rtl/>
        </w:rPr>
        <w:t>بمعنى البَلّ والرَشّ. قال العل</w:t>
      </w:r>
      <w:r w:rsidR="00B60612">
        <w:rPr>
          <w:rFonts w:hint="cs"/>
          <w:rtl/>
        </w:rPr>
        <w:t>ّ</w:t>
      </w:r>
      <w:r w:rsidR="00B60612">
        <w:rPr>
          <w:rtl/>
        </w:rPr>
        <w:t>ا</w:t>
      </w:r>
      <w:r w:rsidR="00E3253D" w:rsidRPr="005D642E">
        <w:rPr>
          <w:rtl/>
        </w:rPr>
        <w:t>مة الفيض : « وإنّما أمره برشّه بالماء ؛ لأنّه مطهّر للنجاسة المظنونة والموهومة ، وله فائدة اخرى وهي تجويز أن يكون البلل من ماء الرشّ فيصير توهّم النجاسة أبعد »</w:t>
      </w:r>
      <w:r w:rsidR="00E3253D">
        <w:rPr>
          <w:rtl/>
        </w:rPr>
        <w:t>.</w:t>
      </w:r>
      <w:r w:rsidR="00E3253D" w:rsidRPr="005D642E">
        <w:rPr>
          <w:rtl/>
        </w:rPr>
        <w:t xml:space="preserve"> وقال العلاّمة المجلسي : « يمكن أن يحمل على أنّه لايعلم أنّه بول فيحمل النضح على الاستحباب ، كما في أكثر موارد النضح ، وظاهر الأصحاب حمل النضح على الغسل ، وربّما يق</w:t>
      </w:r>
      <w:r w:rsidR="00B60612">
        <w:rPr>
          <w:rtl/>
        </w:rPr>
        <w:t>يّد الحكم بما إذا لم يكن له إل</w:t>
      </w:r>
      <w:r w:rsidR="00B60612">
        <w:rPr>
          <w:rFonts w:hint="cs"/>
          <w:rtl/>
        </w:rPr>
        <w:t>ّ</w:t>
      </w:r>
      <w:r w:rsidR="00B60612">
        <w:rPr>
          <w:rtl/>
        </w:rPr>
        <w:t>ا</w:t>
      </w:r>
      <w:r w:rsidR="00B60612">
        <w:rPr>
          <w:rFonts w:hint="cs"/>
          <w:rtl/>
        </w:rPr>
        <w:t xml:space="preserve"> </w:t>
      </w:r>
      <w:r w:rsidR="00E3253D" w:rsidRPr="005D642E">
        <w:rPr>
          <w:rtl/>
        </w:rPr>
        <w:t>ثوب واحد »</w:t>
      </w:r>
      <w:r w:rsidR="00E3253D">
        <w:rPr>
          <w:rtl/>
        </w:rPr>
        <w:t>.</w:t>
      </w:r>
      <w:r w:rsidR="00E3253D" w:rsidRPr="005D642E">
        <w:rPr>
          <w:rtl/>
        </w:rPr>
        <w:t xml:space="preserve"> راجع : </w:t>
      </w:r>
      <w:r w:rsidR="00E3253D" w:rsidRPr="002F4D34">
        <w:rPr>
          <w:rStyle w:val="libFootnoteBoldChar"/>
          <w:rtl/>
        </w:rPr>
        <w:t>لسان العرب</w:t>
      </w:r>
      <w:r w:rsidR="00E3253D" w:rsidRPr="005D642E">
        <w:rPr>
          <w:rtl/>
        </w:rPr>
        <w:t xml:space="preserve"> ، ج 2 ، ص 618 ؛ </w:t>
      </w:r>
      <w:r w:rsidR="00E3253D" w:rsidRPr="002F4D34">
        <w:rPr>
          <w:rStyle w:val="libFootnoteBoldChar"/>
          <w:rtl/>
        </w:rPr>
        <w:t>المصباح المنير</w:t>
      </w:r>
      <w:r w:rsidR="00B60612">
        <w:rPr>
          <w:rtl/>
        </w:rPr>
        <w:t xml:space="preserve"> ، ص 609 (نضح</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قرب الإسناد</w:t>
      </w:r>
      <w:r w:rsidR="00E3253D" w:rsidRPr="005D642E">
        <w:rPr>
          <w:rtl/>
        </w:rPr>
        <w:t xml:space="preserve"> ، ص 316 ، ح 1225 ، عن محمّد بن عيسى وأحمد بن إسحاق جميعاً ، عن سعدان بن مسلم ، عن أبي الحسن موسى </w:t>
      </w:r>
      <w:r w:rsidR="00E3253D" w:rsidRPr="00B60612">
        <w:rPr>
          <w:rStyle w:val="libFootnoteAlaemChar"/>
          <w:rtl/>
        </w:rPr>
        <w:t>عليه‌السلام</w:t>
      </w:r>
      <w:r w:rsidR="00E3253D" w:rsidRPr="005D642E">
        <w:rPr>
          <w:rtl/>
        </w:rPr>
        <w:t xml:space="preserve">. وفي </w:t>
      </w:r>
      <w:r w:rsidR="00E3253D" w:rsidRPr="002F4D34">
        <w:rPr>
          <w:rStyle w:val="libFootnoteBoldChar"/>
          <w:rtl/>
        </w:rPr>
        <w:t>التهذيب</w:t>
      </w:r>
      <w:r w:rsidR="00E3253D" w:rsidRPr="005D642E">
        <w:rPr>
          <w:rtl/>
        </w:rPr>
        <w:t xml:space="preserve"> ، ج 1 ، ص 353 ، ح 1051 ؛ وص 424 ، ح 1349 ، بسند آخر ، عن سعدان بن مسلم ، عن عبدالرحيم [ ص 424 : + « القصير » ] عن أبي الحسن [ ص 424 : + « الأوّل » ] </w:t>
      </w:r>
      <w:r w:rsidR="00E3253D" w:rsidRPr="00B60612">
        <w:rPr>
          <w:rStyle w:val="libFootnoteAlaemChar"/>
          <w:rtl/>
        </w:rPr>
        <w:t>عليه‌السلام</w:t>
      </w:r>
      <w:r w:rsidR="00E3253D" w:rsidRPr="005D642E">
        <w:rPr>
          <w:rtl/>
        </w:rPr>
        <w:t xml:space="preserve"> </w:t>
      </w:r>
      <w:r w:rsidR="00B60612">
        <w:rPr>
          <w:rFonts w:hint="cs"/>
          <w:rtl/>
        </w:rPr>
        <w:t>.</w:t>
      </w:r>
      <w:r w:rsidR="00E3253D" w:rsidRPr="002F4D34">
        <w:rPr>
          <w:rStyle w:val="libFootnoteBoldChar"/>
          <w:rtl/>
        </w:rPr>
        <w:t>الوافي</w:t>
      </w:r>
      <w:r w:rsidR="00E3253D" w:rsidRPr="005D642E">
        <w:rPr>
          <w:rtl/>
        </w:rPr>
        <w:t xml:space="preserve"> ، ج 6 ، ص 143 ، ح 3961 ؛ </w:t>
      </w:r>
      <w:r w:rsidR="00E3253D" w:rsidRPr="002F4D34">
        <w:rPr>
          <w:rStyle w:val="libFootnoteBoldChar"/>
          <w:rtl/>
        </w:rPr>
        <w:t>الوسائل</w:t>
      </w:r>
      <w:r w:rsidR="00E3253D" w:rsidRPr="005D642E">
        <w:rPr>
          <w:rtl/>
        </w:rPr>
        <w:t xml:space="preserve"> ، ج 1 ، ص 285 ، ذيل ح 751.</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جن » : « الماء عليه » بدل « عليه الماء »</w:t>
      </w:r>
      <w:r w:rsidR="00E3253D">
        <w:rPr>
          <w:rtl/>
        </w:rPr>
        <w:t>.</w:t>
      </w:r>
      <w:r w:rsidR="00E3253D" w:rsidRPr="005D642E">
        <w:rPr>
          <w:rtl/>
        </w:rPr>
        <w:t xml:space="preserve"> وفي الكافي ، ح 4068 </w:t>
      </w:r>
      <w:r w:rsidR="00B60612" w:rsidRPr="00B60612">
        <w:rPr>
          <w:rStyle w:val="libFootnoteBoldChar"/>
          <w:rtl/>
        </w:rPr>
        <w:t>والتهذيب</w:t>
      </w:r>
      <w:r w:rsidR="00E3253D" w:rsidRPr="005D642E">
        <w:rPr>
          <w:rtl/>
        </w:rPr>
        <w:t xml:space="preserve"> ، ح 714 : + « فإنّما هو ماء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البول يصيب الثوب أو الجسد ، صدر ح 4068. </w:t>
      </w:r>
      <w:r w:rsidR="00E3253D" w:rsidRPr="002F4D34">
        <w:rPr>
          <w:rStyle w:val="libFootnoteBoldChar"/>
          <w:rtl/>
        </w:rPr>
        <w:t>التهذيب</w:t>
      </w:r>
      <w:r w:rsidR="00E3253D" w:rsidRPr="005D642E">
        <w:rPr>
          <w:rtl/>
        </w:rPr>
        <w:t xml:space="preserve"> ، ج 1 ، ص 249 ، صدر ح 714 ، بسنده عن الكليني. </w:t>
      </w:r>
      <w:r w:rsidR="00E3253D" w:rsidRPr="002F4D34">
        <w:rPr>
          <w:rStyle w:val="libFootnoteBoldChar"/>
          <w:rtl/>
        </w:rPr>
        <w:t>وفيه</w:t>
      </w:r>
      <w:r w:rsidR="00E3253D" w:rsidRPr="005D642E">
        <w:rPr>
          <w:rtl/>
        </w:rPr>
        <w:t xml:space="preserve"> ، ص 269 ، ح 790 ، معلّقاً عن أحمد بن محمّد. </w:t>
      </w:r>
      <w:r w:rsidR="00E3253D" w:rsidRPr="002F4D34">
        <w:rPr>
          <w:rStyle w:val="libFootnoteBoldChar"/>
          <w:rtl/>
        </w:rPr>
        <w:t>وفيه</w:t>
      </w:r>
      <w:r w:rsidR="00E3253D" w:rsidRPr="005D642E">
        <w:rPr>
          <w:rtl/>
        </w:rPr>
        <w:t xml:space="preserve"> ، ص 249 ، ح 716 معلّقاً عن أحمد بن محمّد ، عن عليّ بن الحكم ، عن أبي إسحاق النحوي ، عن أبي عبدالله </w:t>
      </w:r>
      <w:r w:rsidR="00E3253D" w:rsidRPr="00B60612">
        <w:rPr>
          <w:rStyle w:val="libFootnoteAlaemChar"/>
          <w:rtl/>
        </w:rPr>
        <w:t>عليه‌السلام</w:t>
      </w:r>
      <w:r w:rsidR="00E3253D" w:rsidRPr="005D642E">
        <w:rPr>
          <w:rtl/>
        </w:rPr>
        <w:t xml:space="preserve">. راجع : </w:t>
      </w:r>
      <w:r w:rsidR="00E3253D" w:rsidRPr="002F4D34">
        <w:rPr>
          <w:rStyle w:val="libFootnoteBoldChar"/>
          <w:rtl/>
        </w:rPr>
        <w:t>التهذيب</w:t>
      </w:r>
      <w:r w:rsidR="00E3253D" w:rsidRPr="005D642E">
        <w:rPr>
          <w:rtl/>
        </w:rPr>
        <w:t xml:space="preserve"> ، ص 36 ، ح 97 ؛ </w:t>
      </w:r>
      <w:r w:rsidR="00E3253D" w:rsidRPr="00E678B5">
        <w:rPr>
          <w:rStyle w:val="libFootnoteBoldChar"/>
          <w:rtl/>
        </w:rPr>
        <w:t>والاستبصار</w:t>
      </w:r>
      <w:r w:rsidR="00E3253D" w:rsidRPr="005D642E">
        <w:rPr>
          <w:rtl/>
        </w:rPr>
        <w:t xml:space="preserve"> ، ج 1 ، ص 50 ، ح 142 </w:t>
      </w:r>
      <w:r w:rsidR="00E3253D" w:rsidRPr="002F4D34">
        <w:rPr>
          <w:rStyle w:val="libFootnoteBoldChar"/>
          <w:rtl/>
        </w:rPr>
        <w:t>الوافي</w:t>
      </w:r>
      <w:r w:rsidR="00E3253D" w:rsidRPr="005D642E">
        <w:rPr>
          <w:rtl/>
        </w:rPr>
        <w:t xml:space="preserve"> ، ج 6 ، ص 138 ، ح 3945 ؛ </w:t>
      </w:r>
      <w:r w:rsidR="00E3253D" w:rsidRPr="002F4D34">
        <w:rPr>
          <w:rStyle w:val="libFootnoteBoldChar"/>
          <w:rtl/>
        </w:rPr>
        <w:t>الوسائل</w:t>
      </w:r>
      <w:r w:rsidR="00E3253D" w:rsidRPr="005D642E">
        <w:rPr>
          <w:rtl/>
        </w:rPr>
        <w:t xml:space="preserve"> ، ج 1 ، ص 343 ، ح 907.</w:t>
      </w:r>
    </w:p>
    <w:p w:rsidR="00E3253D" w:rsidRDefault="00E3253D" w:rsidP="00E3253D">
      <w:pPr>
        <w:pStyle w:val="libNormal"/>
        <w:rPr>
          <w:rtl/>
          <w:lang w:bidi="fa-IR"/>
        </w:rPr>
      </w:pPr>
      <w:r>
        <w:rPr>
          <w:rtl/>
          <w:lang w:bidi="fa-IR"/>
        </w:rPr>
        <w:br w:type="page"/>
      </w:r>
    </w:p>
    <w:p w:rsidR="00E3253D" w:rsidRPr="005D642E" w:rsidRDefault="00B60612" w:rsidP="00E3253D">
      <w:pPr>
        <w:pStyle w:val="libNormal"/>
        <w:rPr>
          <w:rtl/>
          <w:lang w:bidi="fa-IR"/>
        </w:rPr>
      </w:pPr>
      <w:r>
        <w:rPr>
          <w:rFonts w:hint="cs"/>
          <w:rtl/>
          <w:lang w:bidi="fa-IR"/>
        </w:rPr>
        <w:lastRenderedPageBreak/>
        <w:t xml:space="preserve">* </w:t>
      </w:r>
      <w:r w:rsidR="00E3253D" w:rsidRPr="005D642E">
        <w:rPr>
          <w:rtl/>
          <w:lang w:bidi="fa-IR"/>
        </w:rPr>
        <w:t xml:space="preserve">وَرُوِيَ : « أَنَّهُ يُجْزِئُ أَنْ يَغْسِلَ بِمِثْلِهِ </w:t>
      </w:r>
      <w:r w:rsidR="00E3253D" w:rsidRPr="007C12DB">
        <w:rPr>
          <w:rStyle w:val="libFootnotenumChar"/>
          <w:rtl/>
        </w:rPr>
        <w:t>(1)</w:t>
      </w:r>
      <w:r w:rsidR="00E3253D" w:rsidRPr="005D642E">
        <w:rPr>
          <w:rtl/>
          <w:lang w:bidi="fa-IR"/>
        </w:rPr>
        <w:t xml:space="preserve"> مِنَ الْمَاءِ إِذَا كَانَ عَلى رَأْسِ الْحَشَفَةِ وَغَيْرِهِ </w:t>
      </w:r>
      <w:r w:rsidR="00E3253D" w:rsidRPr="007C12DB">
        <w:rPr>
          <w:rStyle w:val="libFootnotenumChar"/>
          <w:rtl/>
        </w:rPr>
        <w:t>(2)</w:t>
      </w:r>
      <w:r w:rsidR="00E3253D" w:rsidRPr="005D642E">
        <w:rPr>
          <w:rtl/>
          <w:lang w:bidi="fa-IR"/>
        </w:rPr>
        <w:t xml:space="preserve"> »</w:t>
      </w:r>
      <w:r w:rsidR="00E3253D">
        <w:rPr>
          <w:rtl/>
          <w:lang w:bidi="fa-IR"/>
        </w:rPr>
        <w:t>.</w:t>
      </w:r>
      <w:r w:rsidR="00E3253D" w:rsidRPr="005D642E">
        <w:rPr>
          <w:rtl/>
          <w:lang w:bidi="fa-IR"/>
        </w:rPr>
        <w:t xml:space="preserve"> </w:t>
      </w:r>
      <w:r w:rsidR="00E3253D" w:rsidRPr="007C12DB">
        <w:rPr>
          <w:rStyle w:val="libFootnotenumChar"/>
          <w:rtl/>
        </w:rPr>
        <w:t>(3)</w:t>
      </w:r>
      <w:r w:rsidR="00E3253D" w:rsidRPr="005D642E">
        <w:rPr>
          <w:rtl/>
          <w:lang w:bidi="fa-IR"/>
        </w:rPr>
        <w:t xml:space="preserve"> ‌</w:t>
      </w:r>
    </w:p>
    <w:p w:rsidR="00E3253D" w:rsidRPr="005D642E" w:rsidRDefault="00B60612" w:rsidP="00E3253D">
      <w:pPr>
        <w:pStyle w:val="libNormal"/>
        <w:rPr>
          <w:rtl/>
          <w:lang w:bidi="fa-IR"/>
        </w:rPr>
      </w:pPr>
      <w:r>
        <w:rPr>
          <w:rFonts w:hint="cs"/>
          <w:rtl/>
          <w:lang w:bidi="fa-IR"/>
        </w:rPr>
        <w:t xml:space="preserve">* </w:t>
      </w:r>
      <w:r w:rsidR="00E3253D" w:rsidRPr="005D642E">
        <w:rPr>
          <w:rtl/>
          <w:lang w:bidi="fa-IR"/>
        </w:rPr>
        <w:t xml:space="preserve">وَرُوِيَ « أَنَّهُ مَاءٌ </w:t>
      </w:r>
      <w:r w:rsidR="00E3253D" w:rsidRPr="007C12DB">
        <w:rPr>
          <w:rStyle w:val="libFootnotenumChar"/>
          <w:rtl/>
        </w:rPr>
        <w:t>(4)</w:t>
      </w:r>
      <w:r w:rsidR="00E3253D" w:rsidRPr="005D642E">
        <w:rPr>
          <w:rtl/>
          <w:lang w:bidi="fa-IR"/>
        </w:rPr>
        <w:t xml:space="preserve"> لَيْسَ بِوَسَخٍ </w:t>
      </w:r>
      <w:r w:rsidR="00E3253D" w:rsidRPr="007C12DB">
        <w:rPr>
          <w:rStyle w:val="libFootnotenumChar"/>
          <w:rtl/>
        </w:rPr>
        <w:t>(5)</w:t>
      </w:r>
      <w:r w:rsidR="00E3253D" w:rsidRPr="005D642E">
        <w:rPr>
          <w:rtl/>
          <w:lang w:bidi="fa-IR"/>
        </w:rPr>
        <w:t xml:space="preserve"> فَيَحْتَاجَ أَنْ يُدْلَكَ </w:t>
      </w:r>
      <w:r w:rsidR="00E3253D" w:rsidRPr="007C12DB">
        <w:rPr>
          <w:rStyle w:val="libFootnotenumChar"/>
          <w:rtl/>
        </w:rPr>
        <w:t>(6)</w:t>
      </w:r>
      <w:r w:rsidR="00E3253D" w:rsidRPr="005D642E">
        <w:rPr>
          <w:rtl/>
          <w:lang w:bidi="fa-IR"/>
        </w:rPr>
        <w:t xml:space="preserve"> »</w:t>
      </w:r>
      <w:r w:rsidR="00E3253D">
        <w:rPr>
          <w:rtl/>
          <w:lang w:bidi="fa-IR"/>
        </w:rPr>
        <w:t>.</w:t>
      </w:r>
      <w:r w:rsidR="00E3253D" w:rsidRPr="005D642E">
        <w:rPr>
          <w:rtl/>
          <w:lang w:bidi="fa-IR"/>
        </w:rPr>
        <w:t xml:space="preserve"> </w:t>
      </w:r>
      <w:r w:rsidR="00E3253D" w:rsidRPr="007C12DB">
        <w:rPr>
          <w:rStyle w:val="libFootnotenumChar"/>
          <w:rtl/>
        </w:rPr>
        <w:t>(7)</w:t>
      </w:r>
      <w:r w:rsidR="00E3253D" w:rsidRPr="005D642E">
        <w:rPr>
          <w:rtl/>
          <w:lang w:bidi="fa-IR"/>
        </w:rPr>
        <w:t xml:space="preserve"> ‌</w:t>
      </w:r>
    </w:p>
    <w:p w:rsidR="00E3253D" w:rsidRPr="005D642E" w:rsidRDefault="00E3253D" w:rsidP="00E3253D">
      <w:pPr>
        <w:pStyle w:val="libNormal"/>
        <w:rPr>
          <w:rtl/>
          <w:lang w:bidi="fa-IR"/>
        </w:rPr>
      </w:pPr>
      <w:r w:rsidRPr="007C246F">
        <w:rPr>
          <w:rtl/>
        </w:rPr>
        <w:t>3900</w:t>
      </w:r>
      <w:r w:rsidRPr="00246318">
        <w:rPr>
          <w:rStyle w:val="libBold2Char"/>
          <w:rtl/>
        </w:rPr>
        <w:t xml:space="preserve"> / 8.</w:t>
      </w:r>
      <w:r w:rsidRPr="005D642E">
        <w:rPr>
          <w:rtl/>
          <w:lang w:bidi="fa-IR"/>
        </w:rPr>
        <w:t xml:space="preserve"> مُحَمَّدُ بْنُ يَحْيى ، عَنْ مُحَمَّدِ بْنِ الْحُسَيْنِ ، عَنِ ابْنِ فَضَّالٍ ، عَنْ غَالِبِ </w:t>
      </w:r>
      <w:r w:rsidRPr="007C12DB">
        <w:rPr>
          <w:rStyle w:val="libFootnotenumChar"/>
          <w:rtl/>
        </w:rPr>
        <w:t>(8)</w:t>
      </w:r>
      <w:r w:rsidRPr="005D642E">
        <w:rPr>
          <w:rtl/>
          <w:lang w:bidi="fa-IR"/>
        </w:rPr>
        <w:t xml:space="preserve"> بْنِ عُثْمَانَ ، عَنْ رَوْحِ بْنِ عَبْدِ الرَّحِيمِ ، قَالَ :</w:t>
      </w:r>
    </w:p>
    <w:p w:rsidR="00E3253D" w:rsidRPr="005D642E" w:rsidRDefault="00E3253D" w:rsidP="00E3253D">
      <w:pPr>
        <w:pStyle w:val="libNormal"/>
        <w:rPr>
          <w:rtl/>
          <w:lang w:bidi="fa-IR"/>
        </w:rPr>
      </w:pPr>
      <w:r w:rsidRPr="005D642E">
        <w:rPr>
          <w:rtl/>
          <w:lang w:bidi="fa-IR"/>
        </w:rPr>
        <w:t xml:space="preserve">بَالَ أَبُو عَبْدِ اللهِ </w:t>
      </w:r>
      <w:r w:rsidRPr="00AC51C5">
        <w:rPr>
          <w:rStyle w:val="libAlaemChar"/>
          <w:rtl/>
        </w:rPr>
        <w:t>عليه‌السلام</w:t>
      </w:r>
      <w:r w:rsidRPr="005D642E">
        <w:rPr>
          <w:rtl/>
          <w:lang w:bidi="fa-IR"/>
        </w:rPr>
        <w:t xml:space="preserve"> وَأَنَا قَائِمٌ عَلى رَأْسِهِ ، وَمَعِي إِدَاوَةٌ </w:t>
      </w:r>
      <w:r w:rsidRPr="007C12DB">
        <w:rPr>
          <w:rStyle w:val="libFootnotenumChar"/>
          <w:rtl/>
        </w:rPr>
        <w:t>(9)</w:t>
      </w:r>
      <w:r>
        <w:rPr>
          <w:rtl/>
          <w:lang w:bidi="fa-IR"/>
        </w:rPr>
        <w:t xml:space="preserve"> </w:t>
      </w:r>
      <w:r w:rsidR="007642BC">
        <w:rPr>
          <w:rtl/>
          <w:lang w:bidi="fa-IR"/>
        </w:rPr>
        <w:t>-</w:t>
      </w:r>
      <w:r>
        <w:rPr>
          <w:rtl/>
          <w:lang w:bidi="fa-IR"/>
        </w:rPr>
        <w:t xml:space="preserve"> </w:t>
      </w:r>
      <w:r w:rsidRPr="005D642E">
        <w:rPr>
          <w:rtl/>
          <w:lang w:bidi="fa-IR"/>
        </w:rPr>
        <w:t>أَوْ قَالَ : كُوزٌ</w:t>
      </w:r>
      <w:r>
        <w:rPr>
          <w:rtl/>
          <w:lang w:bidi="fa-IR"/>
        </w:rPr>
        <w:t xml:space="preserve"> </w:t>
      </w:r>
      <w:r w:rsidR="007642BC">
        <w:rPr>
          <w:rtl/>
          <w:lang w:bidi="fa-IR"/>
        </w:rPr>
        <w:t>-</w:t>
      </w:r>
      <w:r>
        <w:rPr>
          <w:rtl/>
          <w:lang w:bidi="fa-IR"/>
        </w:rPr>
        <w:t xml:space="preserve"> </w:t>
      </w:r>
      <w:r w:rsidRPr="005D642E">
        <w:rPr>
          <w:rtl/>
          <w:lang w:bidi="fa-IR"/>
        </w:rPr>
        <w:t xml:space="preserve">فَلَمَّا انْقَطَعَ شَخْبُ </w:t>
      </w:r>
      <w:r w:rsidRPr="007C12DB">
        <w:rPr>
          <w:rStyle w:val="libFootnotenumChar"/>
          <w:rtl/>
        </w:rPr>
        <w:t>(10)</w:t>
      </w:r>
      <w:r w:rsidRPr="005D642E">
        <w:rPr>
          <w:rtl/>
          <w:lang w:bidi="fa-IR"/>
        </w:rPr>
        <w:t xml:space="preserve"> الْبَوْلِ ، قَالَ بِيَدِهِ هكَذَا إِلَيَّ ، فَنَاوَلْتُهُ‌</w:t>
      </w:r>
      <w:r w:rsidR="00B60612">
        <w:rPr>
          <w:rFonts w:hint="cs"/>
          <w:rtl/>
          <w:lang w:bidi="fa-IR"/>
        </w:rPr>
        <w:t xml:space="preserve"> .................................</w:t>
      </w:r>
      <w:r w:rsidR="00B60612">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جن » : « أن يغتسل »</w:t>
      </w:r>
      <w:r w:rsidR="00E3253D">
        <w:rPr>
          <w:rtl/>
        </w:rPr>
        <w:t>.</w:t>
      </w:r>
      <w:r w:rsidR="00E3253D" w:rsidRPr="005D642E">
        <w:rPr>
          <w:rtl/>
        </w:rPr>
        <w:t xml:space="preserve"> وقال الشيخ : « لو سلّم وصحّ</w:t>
      </w:r>
      <w:r w:rsidR="00E3253D">
        <w:rPr>
          <w:rtl/>
        </w:rPr>
        <w:t xml:space="preserve"> </w:t>
      </w:r>
      <w:r w:rsidR="007642BC">
        <w:rPr>
          <w:rtl/>
        </w:rPr>
        <w:t>-</w:t>
      </w:r>
      <w:r w:rsidR="00E3253D">
        <w:rPr>
          <w:rtl/>
        </w:rPr>
        <w:t xml:space="preserve"> </w:t>
      </w:r>
      <w:r w:rsidR="00E3253D" w:rsidRPr="005D642E">
        <w:rPr>
          <w:rtl/>
        </w:rPr>
        <w:t>أي الخبر</w:t>
      </w:r>
      <w:r w:rsidR="00E3253D">
        <w:rPr>
          <w:rtl/>
        </w:rPr>
        <w:t xml:space="preserve"> </w:t>
      </w:r>
      <w:r w:rsidR="007642BC">
        <w:rPr>
          <w:rtl/>
        </w:rPr>
        <w:t>-</w:t>
      </w:r>
      <w:r w:rsidR="00E3253D">
        <w:rPr>
          <w:rtl/>
        </w:rPr>
        <w:t xml:space="preserve"> </w:t>
      </w:r>
      <w:r w:rsidR="00E3253D" w:rsidRPr="005D642E">
        <w:rPr>
          <w:rtl/>
        </w:rPr>
        <w:t>لاحتمل أن يكون أراد بقوله : بمثله ؛ يعني بمثل ما خرج من البول وهو أكثر من مثلَيْ ما يبقى على رأس الحشفة »</w:t>
      </w:r>
      <w:r w:rsidR="00E3253D">
        <w:rPr>
          <w:rtl/>
        </w:rPr>
        <w:t>.</w:t>
      </w:r>
      <w:r w:rsidR="00B60612">
        <w:rPr>
          <w:rtl/>
        </w:rPr>
        <w:t xml:space="preserve"> وقال العل</w:t>
      </w:r>
      <w:r w:rsidR="00B60612">
        <w:rPr>
          <w:rFonts w:hint="cs"/>
          <w:rtl/>
        </w:rPr>
        <w:t>ّ</w:t>
      </w:r>
      <w:r w:rsidR="00B60612">
        <w:rPr>
          <w:rtl/>
        </w:rPr>
        <w:t>امة المجلسي : « أقول</w:t>
      </w:r>
      <w:r w:rsidR="00E3253D" w:rsidRPr="005D642E">
        <w:rPr>
          <w:rtl/>
        </w:rPr>
        <w:t xml:space="preserve">: ويحتمل أن يكون المراد بمثله </w:t>
      </w:r>
      <w:r w:rsidR="00B60612">
        <w:rPr>
          <w:rtl/>
        </w:rPr>
        <w:t>الجنس ، أي لايكفي في إزالته إل</w:t>
      </w:r>
      <w:r w:rsidR="00B60612">
        <w:rPr>
          <w:rFonts w:hint="cs"/>
          <w:rtl/>
        </w:rPr>
        <w:t>ّ</w:t>
      </w:r>
      <w:r w:rsidR="00B60612">
        <w:rPr>
          <w:rtl/>
        </w:rPr>
        <w:t>ا</w:t>
      </w:r>
      <w:r w:rsidR="00E3253D">
        <w:rPr>
          <w:rFonts w:hint="cs"/>
          <w:rtl/>
        </w:rPr>
        <w:t xml:space="preserve"> </w:t>
      </w:r>
      <w:r w:rsidR="00E3253D" w:rsidRPr="005D642E">
        <w:rPr>
          <w:rtl/>
        </w:rPr>
        <w:t>الماء ولا يجوز الاستنجاء بالأحجار كما في الغائط »</w:t>
      </w:r>
      <w:r w:rsidR="00E3253D">
        <w:rPr>
          <w:rtl/>
        </w:rPr>
        <w:t>.</w:t>
      </w:r>
      <w:r w:rsidR="00E3253D" w:rsidRPr="005D642E">
        <w:rPr>
          <w:rtl/>
        </w:rPr>
        <w:t xml:space="preserve"> راجع : </w:t>
      </w:r>
      <w:r w:rsidR="00E3253D" w:rsidRPr="002F4D34">
        <w:rPr>
          <w:rStyle w:val="libFootnoteBoldChar"/>
          <w:rtl/>
        </w:rPr>
        <w:t>التهذيب</w:t>
      </w:r>
      <w:r w:rsidR="00E3253D" w:rsidRPr="005D642E">
        <w:rPr>
          <w:rtl/>
        </w:rPr>
        <w:t xml:space="preserve"> ، ج 1 ، ص 35 ، ذيل الحديث 94 ؛ </w:t>
      </w:r>
      <w:r w:rsidR="00E3253D" w:rsidRPr="002F4D34">
        <w:rPr>
          <w:rStyle w:val="libFootnoteBoldChar"/>
          <w:rtl/>
        </w:rPr>
        <w:t>مرآة العقول</w:t>
      </w:r>
      <w:r w:rsidR="00E3253D" w:rsidRPr="005D642E">
        <w:rPr>
          <w:rtl/>
        </w:rPr>
        <w:t xml:space="preserve"> ، ج 13 ، ص 65.</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 ح 3963 : « أو غيره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138 ، ح 3946 ؛ </w:t>
      </w:r>
      <w:r w:rsidR="00E3253D" w:rsidRPr="002F4D34">
        <w:rPr>
          <w:rStyle w:val="libFootnoteBoldChar"/>
          <w:rtl/>
        </w:rPr>
        <w:t>الوسائل</w:t>
      </w:r>
      <w:r w:rsidR="00E3253D" w:rsidRPr="005D642E">
        <w:rPr>
          <w:rtl/>
        </w:rPr>
        <w:t xml:space="preserve"> ، ج 1 ، ص 343 ، ح 908 ؛ وج 3 ، ص 395 ، ح 3963.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بس ، بف » :</w:t>
      </w:r>
      <w:r w:rsidR="00E3253D">
        <w:rPr>
          <w:rtl/>
        </w:rPr>
        <w:t xml:space="preserve"> </w:t>
      </w:r>
      <w:r w:rsidR="007642BC">
        <w:rPr>
          <w:rtl/>
        </w:rPr>
        <w:t>-</w:t>
      </w:r>
      <w:r w:rsidR="00E3253D">
        <w:rPr>
          <w:rtl/>
        </w:rPr>
        <w:t xml:space="preserve"> </w:t>
      </w:r>
      <w:r w:rsidR="00E3253D" w:rsidRPr="005D642E">
        <w:rPr>
          <w:rtl/>
        </w:rPr>
        <w:t>« ماء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الوَسَخ : الدَرَن ، وهو ما يعلو الثوب والجلد من قلّة التعهّد بالماء. راجع : </w:t>
      </w:r>
      <w:r w:rsidR="00E3253D" w:rsidRPr="002F4D34">
        <w:rPr>
          <w:rStyle w:val="libFootnoteBoldChar"/>
          <w:rtl/>
        </w:rPr>
        <w:t>لسان العرب</w:t>
      </w:r>
      <w:r w:rsidR="00E3253D" w:rsidRPr="005D642E">
        <w:rPr>
          <w:rtl/>
        </w:rPr>
        <w:t xml:space="preserve"> ، ج 3 ، ص 66 ؛ </w:t>
      </w:r>
      <w:r w:rsidR="00E3253D" w:rsidRPr="002F4D34">
        <w:rPr>
          <w:rStyle w:val="libFootnoteBoldChar"/>
          <w:rtl/>
        </w:rPr>
        <w:t>المصباح المنير</w:t>
      </w:r>
      <w:r w:rsidR="00E3253D" w:rsidRPr="005D642E">
        <w:rPr>
          <w:rtl/>
        </w:rPr>
        <w:t xml:space="preserve"> ، ص 658 ( وسخ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هذا إذا كان رطباً طريّاً ، كما يكون على رأس الحشفة حين الفراغ ، وأمّا إذا كان جافّاً متراكماً فلابدّ من تعدّد الصبّ والدلك في البين ليزول العين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6 ، ص 138 ، ح 3974 ؛ </w:t>
      </w:r>
      <w:r w:rsidR="00E3253D" w:rsidRPr="002F4D34">
        <w:rPr>
          <w:rStyle w:val="libFootnoteBoldChar"/>
          <w:rtl/>
        </w:rPr>
        <w:t>الوسائل</w:t>
      </w:r>
      <w:r w:rsidR="00E3253D" w:rsidRPr="005D642E">
        <w:rPr>
          <w:rtl/>
        </w:rPr>
        <w:t xml:space="preserve"> ، ج 1 ، ص 343 ، ح 909 ؛ وج 3 ، ص 395 ، ح 3964.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بس ، بف ، جن » وحاشية « بث ، بح ، جح » : « عبدالله »</w:t>
      </w:r>
      <w:r w:rsidR="00E3253D">
        <w:rPr>
          <w:rtl/>
        </w:rPr>
        <w:t>.</w:t>
      </w:r>
      <w:r w:rsidR="00E3253D" w:rsidRPr="005D642E">
        <w:rPr>
          <w:rtl/>
        </w:rPr>
        <w:t xml:space="preserve"> ولم نجد رواية عبدالله بن عثمان عن روح بن‌عبدالرحيم في موضع ، وقد روى غالب بن عثمان كتابه ، ووردت روايته عنه في بعض الأسناد. راجع : </w:t>
      </w:r>
      <w:r w:rsidR="00E3253D" w:rsidRPr="002F4D34">
        <w:rPr>
          <w:rStyle w:val="libFootnoteBoldChar"/>
          <w:rtl/>
        </w:rPr>
        <w:t>رجال النجاشي</w:t>
      </w:r>
      <w:r w:rsidR="00E3253D" w:rsidRPr="005D642E">
        <w:rPr>
          <w:rtl/>
        </w:rPr>
        <w:t xml:space="preserve"> ، ص 168 ، الرقم 444 ؛ </w:t>
      </w:r>
      <w:r w:rsidR="00E3253D" w:rsidRPr="002F4D34">
        <w:rPr>
          <w:rStyle w:val="libFootnoteBoldChar"/>
          <w:rtl/>
        </w:rPr>
        <w:t>معجم رجال الحديث</w:t>
      </w:r>
      <w:r w:rsidR="00E3253D" w:rsidRPr="005D642E">
        <w:rPr>
          <w:rtl/>
        </w:rPr>
        <w:t xml:space="preserve"> ، ج 13 ، ص 422.</w:t>
      </w:r>
    </w:p>
    <w:p w:rsidR="00E3253D" w:rsidRPr="005D642E" w:rsidRDefault="0042621E" w:rsidP="00E3253D">
      <w:pPr>
        <w:pStyle w:val="libFootnote0"/>
        <w:rPr>
          <w:rtl/>
          <w:lang w:bidi="fa-IR"/>
        </w:rPr>
      </w:pPr>
      <w:r w:rsidRPr="0042621E">
        <w:rPr>
          <w:rStyle w:val="libFootnote0Char"/>
          <w:rtl/>
        </w:rPr>
        <w:t>(9).</w:t>
      </w:r>
      <w:r w:rsidR="00B60612">
        <w:rPr>
          <w:rtl/>
        </w:rPr>
        <w:t xml:space="preserve"> « الإِداوَة » : الم</w:t>
      </w:r>
      <w:r w:rsidR="00B60612">
        <w:rPr>
          <w:rFonts w:hint="cs"/>
          <w:rtl/>
        </w:rPr>
        <w:t>ـِ</w:t>
      </w:r>
      <w:r w:rsidR="00E3253D" w:rsidRPr="005D642E">
        <w:rPr>
          <w:rtl/>
        </w:rPr>
        <w:t xml:space="preserve">طْهَرةُ ، وهي إناء صغير من جلد يتّخذ للماء. وقيل : هي الإناء الذي يتوضّأ به ويتطهّر به. وقيل‌أيضاً : كلّ إناء يتطهّر به مثل سطل أو رَكوة فهو مطهرة. راجع : </w:t>
      </w:r>
      <w:r w:rsidR="00E3253D" w:rsidRPr="002F4D34">
        <w:rPr>
          <w:rStyle w:val="libFootnoteBoldChar"/>
          <w:rtl/>
        </w:rPr>
        <w:t>الصحاح</w:t>
      </w:r>
      <w:r w:rsidR="00E3253D" w:rsidRPr="005D642E">
        <w:rPr>
          <w:rtl/>
        </w:rPr>
        <w:t xml:space="preserve"> ، ج 2 ، ص 727 ؛ </w:t>
      </w:r>
      <w:r w:rsidR="00E3253D" w:rsidRPr="002F4D34">
        <w:rPr>
          <w:rStyle w:val="libFootnoteBoldChar"/>
          <w:rtl/>
        </w:rPr>
        <w:t>النهاية</w:t>
      </w:r>
      <w:r w:rsidR="00E3253D" w:rsidRPr="005D642E">
        <w:rPr>
          <w:rtl/>
        </w:rPr>
        <w:t xml:space="preserve"> ، ج 1 ، ص 33 ( أدا ) ؛ </w:t>
      </w:r>
      <w:r w:rsidR="00E3253D" w:rsidRPr="002F4D34">
        <w:rPr>
          <w:rStyle w:val="libFootnoteBoldChar"/>
          <w:rtl/>
        </w:rPr>
        <w:t>لسان العرب</w:t>
      </w:r>
      <w:r w:rsidR="00E3253D" w:rsidRPr="005D642E">
        <w:rPr>
          <w:rtl/>
        </w:rPr>
        <w:t xml:space="preserve"> ، ج 4 ، ص 506 ( طهر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الشَخْب » : السيلان ، وأصل الشخب : ما يخرج من تحت يد الحالب عند كلّ غمزة وعصرة لضرع الشاة. راجع : </w:t>
      </w:r>
      <w:r w:rsidR="00E3253D" w:rsidRPr="002F4D34">
        <w:rPr>
          <w:rStyle w:val="libFootnoteBoldChar"/>
          <w:rtl/>
        </w:rPr>
        <w:t>النهاية</w:t>
      </w:r>
      <w:r w:rsidR="00E3253D" w:rsidRPr="005D642E">
        <w:rPr>
          <w:rtl/>
        </w:rPr>
        <w:t xml:space="preserve"> ، ج 2 ، ص 450 ؛ </w:t>
      </w:r>
      <w:r w:rsidR="00E3253D" w:rsidRPr="002F4D34">
        <w:rPr>
          <w:rStyle w:val="libFootnoteBoldChar"/>
          <w:rtl/>
        </w:rPr>
        <w:t>المصباح المنير</w:t>
      </w:r>
      <w:r w:rsidR="00E3253D" w:rsidRPr="005D642E">
        <w:rPr>
          <w:rtl/>
        </w:rPr>
        <w:t xml:space="preserve"> ، ص 306 ( شخب )</w:t>
      </w:r>
      <w:r w:rsidR="00E3253D">
        <w:rPr>
          <w:rtl/>
        </w:rPr>
        <w:t>.</w:t>
      </w:r>
    </w:p>
    <w:p w:rsidR="00E3253D" w:rsidRDefault="00E3253D" w:rsidP="00E3253D">
      <w:pPr>
        <w:pStyle w:val="libNormal"/>
        <w:rPr>
          <w:rtl/>
          <w:lang w:bidi="fa-IR"/>
        </w:rPr>
      </w:pPr>
      <w:r>
        <w:rPr>
          <w:rtl/>
          <w:lang w:bidi="fa-IR"/>
        </w:rPr>
        <w:br w:type="page"/>
      </w:r>
    </w:p>
    <w:p w:rsidR="00E3253D" w:rsidRPr="005D642E" w:rsidRDefault="00B60612" w:rsidP="00E3253D">
      <w:pPr>
        <w:pStyle w:val="libNormal0"/>
        <w:rPr>
          <w:rtl/>
          <w:lang w:bidi="fa-IR"/>
        </w:rPr>
      </w:pPr>
      <w:r>
        <w:rPr>
          <w:rtl/>
          <w:lang w:bidi="fa-IR"/>
        </w:rPr>
        <w:lastRenderedPageBreak/>
        <w:t>الم</w:t>
      </w:r>
      <w:r>
        <w:rPr>
          <w:rFonts w:hint="cs"/>
          <w:rtl/>
          <w:lang w:bidi="fa-IR"/>
        </w:rPr>
        <w:t>ـَ</w:t>
      </w:r>
      <w:r w:rsidR="00E3253D" w:rsidRPr="005D642E">
        <w:rPr>
          <w:rtl/>
          <w:lang w:bidi="fa-IR"/>
        </w:rPr>
        <w:t xml:space="preserve">اءَ </w:t>
      </w:r>
      <w:r w:rsidR="00E3253D" w:rsidRPr="007C12DB">
        <w:rPr>
          <w:rStyle w:val="libFootnotenumChar"/>
          <w:rtl/>
        </w:rPr>
        <w:t>(1)</w:t>
      </w:r>
      <w:r w:rsidR="00E3253D" w:rsidRPr="005D642E">
        <w:rPr>
          <w:rtl/>
          <w:lang w:bidi="fa-IR"/>
        </w:rPr>
        <w:t xml:space="preserve"> ، فَتَوَضَّأَ مَكَانَهُ. </w:t>
      </w:r>
      <w:r w:rsidR="00E3253D" w:rsidRPr="007C12DB">
        <w:rPr>
          <w:rStyle w:val="libFootnotenumChar"/>
          <w:rtl/>
        </w:rPr>
        <w:t>(2)</w:t>
      </w:r>
      <w:r w:rsidR="00E3253D" w:rsidRPr="005D642E">
        <w:rPr>
          <w:rtl/>
          <w:lang w:bidi="fa-IR"/>
        </w:rPr>
        <w:t xml:space="preserve"> ‌</w:t>
      </w:r>
    </w:p>
    <w:p w:rsidR="00E3253D" w:rsidRDefault="00E3253D" w:rsidP="00E3253D">
      <w:pPr>
        <w:pStyle w:val="Heading2Center"/>
        <w:rPr>
          <w:rtl/>
          <w:lang w:bidi="fa-IR"/>
        </w:rPr>
      </w:pPr>
      <w:bookmarkStart w:id="57" w:name="_Toc344647229"/>
      <w:bookmarkStart w:id="58" w:name="_Toc462226744"/>
      <w:bookmarkStart w:id="59" w:name="_Toc40975852"/>
      <w:r w:rsidRPr="005D642E">
        <w:rPr>
          <w:rtl/>
          <w:lang w:bidi="fa-IR"/>
        </w:rPr>
        <w:t>14</w:t>
      </w:r>
      <w:r>
        <w:rPr>
          <w:rtl/>
          <w:lang w:bidi="fa-IR"/>
        </w:rPr>
        <w:t xml:space="preserve"> </w:t>
      </w:r>
      <w:r w:rsidR="007642BC">
        <w:rPr>
          <w:rtl/>
          <w:lang w:bidi="fa-IR"/>
        </w:rPr>
        <w:t>-</w:t>
      </w:r>
      <w:r>
        <w:rPr>
          <w:rtl/>
          <w:lang w:bidi="fa-IR"/>
        </w:rPr>
        <w:t xml:space="preserve"> </w:t>
      </w:r>
      <w:r w:rsidRPr="005D642E">
        <w:rPr>
          <w:rtl/>
          <w:lang w:bidi="fa-IR"/>
        </w:rPr>
        <w:t xml:space="preserve">بَابُ مِقْدَارِ الْمَاءِ الَّذِي يُجْزِئُ لِلْوُضُوءِ </w:t>
      </w:r>
      <w:r w:rsidRPr="007C12DB">
        <w:rPr>
          <w:rStyle w:val="libFootnotenumChar"/>
          <w:rtl/>
        </w:rPr>
        <w:t>(3)</w:t>
      </w:r>
      <w:r>
        <w:rPr>
          <w:rtl/>
        </w:rPr>
        <w:t xml:space="preserve"> </w:t>
      </w:r>
      <w:r w:rsidRPr="005D642E">
        <w:rPr>
          <w:rtl/>
          <w:lang w:bidi="fa-IR"/>
        </w:rPr>
        <w:t xml:space="preserve">وَالْغُسْلِ </w:t>
      </w:r>
      <w:r w:rsidRPr="007C12DB">
        <w:rPr>
          <w:rStyle w:val="libFootnotenumChar"/>
          <w:rtl/>
        </w:rPr>
        <w:t>(4)</w:t>
      </w:r>
      <w:r>
        <w:rPr>
          <w:rtl/>
        </w:rPr>
        <w:t xml:space="preserve"> </w:t>
      </w:r>
      <w:r w:rsidRPr="005D642E">
        <w:rPr>
          <w:rtl/>
          <w:lang w:bidi="fa-IR"/>
        </w:rPr>
        <w:t>،</w:t>
      </w:r>
      <w:bookmarkEnd w:id="57"/>
      <w:bookmarkEnd w:id="58"/>
      <w:bookmarkEnd w:id="59"/>
      <w:r w:rsidRPr="005D642E">
        <w:rPr>
          <w:rtl/>
          <w:lang w:bidi="fa-IR"/>
        </w:rPr>
        <w:t xml:space="preserve"> </w:t>
      </w:r>
    </w:p>
    <w:p w:rsidR="00E3253D" w:rsidRPr="005D642E" w:rsidRDefault="00E3253D" w:rsidP="00E3253D">
      <w:pPr>
        <w:pStyle w:val="Heading2Center"/>
        <w:rPr>
          <w:rtl/>
          <w:lang w:bidi="fa-IR"/>
        </w:rPr>
      </w:pPr>
      <w:bookmarkStart w:id="60" w:name="_Toc344647230"/>
      <w:bookmarkStart w:id="61" w:name="_Toc462226745"/>
      <w:bookmarkStart w:id="62" w:name="_Toc40975853"/>
      <w:r w:rsidRPr="005D642E">
        <w:rPr>
          <w:rtl/>
          <w:lang w:bidi="fa-IR"/>
        </w:rPr>
        <w:t>وَمَنْ تَعَدّى فِي الْوُضُوءِ‌</w:t>
      </w:r>
      <w:bookmarkEnd w:id="60"/>
      <w:bookmarkEnd w:id="61"/>
      <w:bookmarkEnd w:id="62"/>
    </w:p>
    <w:p w:rsidR="00E3253D" w:rsidRPr="005D642E" w:rsidRDefault="00E3253D" w:rsidP="00E3253D">
      <w:pPr>
        <w:pStyle w:val="libNormal"/>
        <w:rPr>
          <w:rtl/>
          <w:lang w:bidi="fa-IR"/>
        </w:rPr>
      </w:pPr>
      <w:r w:rsidRPr="007C246F">
        <w:rPr>
          <w:rtl/>
        </w:rPr>
        <w:t>3901</w:t>
      </w:r>
      <w:r w:rsidRPr="00246318">
        <w:rPr>
          <w:rStyle w:val="libBold2Char"/>
          <w:rtl/>
        </w:rPr>
        <w:t xml:space="preserve"> / 1.</w:t>
      </w:r>
      <w:r w:rsidRPr="005D642E">
        <w:rPr>
          <w:rtl/>
          <w:lang w:bidi="fa-IR"/>
        </w:rPr>
        <w:t xml:space="preserve"> عَلِيُّ بْنُ إِبْرَاهِيمَ ، عَنْ مُحَمَّدِ بْنِ عِيسى ، عَنْ يُونُسَ ، عَنِ الْعَلَاءِ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يَأْخُذُ أَحَدُكُمُ الرَّاحَةَ مِنَ الدُّهْنِ ، فَيَمْلَأُ بِهَا جَسَدَهُ ، وَالْمَاءُ أَوْسَعُ مِنْ ذلِكَ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B60612" w:rsidRDefault="00E3253D" w:rsidP="00B60612">
      <w:pPr>
        <w:pStyle w:val="libNormal"/>
        <w:rPr>
          <w:rtl/>
          <w:lang w:bidi="fa-IR"/>
        </w:rPr>
      </w:pPr>
      <w:r w:rsidRPr="007C246F">
        <w:rPr>
          <w:rtl/>
        </w:rPr>
        <w:t>3902</w:t>
      </w:r>
      <w:r w:rsidRPr="00246318">
        <w:rPr>
          <w:rStyle w:val="libBold2Char"/>
          <w:rtl/>
        </w:rPr>
        <w:t xml:space="preserve"> / 2.</w:t>
      </w:r>
      <w:r w:rsidRPr="005D642E">
        <w:rPr>
          <w:rtl/>
          <w:lang w:bidi="fa-IR"/>
        </w:rPr>
        <w:t xml:space="preserve"> عَلِيُّ بْنُ إِبْرَاهِيمَ ، عَنْ أَبِيهِ ؛</w:t>
      </w:r>
    </w:p>
    <w:p w:rsidR="00E3253D" w:rsidRPr="005D642E" w:rsidRDefault="00B60612" w:rsidP="00B60612">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(7)</w:t>
      </w:r>
      <w:r w:rsidR="00E3253D" w:rsidRPr="005D642E">
        <w:rPr>
          <w:rtl/>
          <w:lang w:bidi="fa-IR"/>
        </w:rPr>
        <w:t xml:space="preserve"> مُحَمَّدُ بْنُ إِسْمَاعِيلَ </w:t>
      </w:r>
      <w:r w:rsidR="00E3253D" w:rsidRPr="007C12DB">
        <w:rPr>
          <w:rStyle w:val="libFootnotenumChar"/>
          <w:rtl/>
        </w:rPr>
        <w:t>(8)</w:t>
      </w:r>
      <w:r w:rsidR="00E3253D" w:rsidRPr="005D642E">
        <w:rPr>
          <w:rtl/>
          <w:lang w:bidi="fa-IR"/>
        </w:rPr>
        <w:t xml:space="preserve"> ، عَنِ الْفَضْلِ بْنِ شَاذَانَ ، عَنْ حَمَّادٍ ، عَنْ حَرِيزٍ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بالماء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ظاهره</w:t>
      </w:r>
      <w:r w:rsidR="00E3253D">
        <w:rPr>
          <w:rtl/>
        </w:rPr>
        <w:t xml:space="preserve"> </w:t>
      </w:r>
      <w:r w:rsidR="007642BC">
        <w:rPr>
          <w:rtl/>
        </w:rPr>
        <w:t>-</w:t>
      </w:r>
      <w:r w:rsidR="00E3253D">
        <w:rPr>
          <w:rtl/>
        </w:rPr>
        <w:t xml:space="preserve"> </w:t>
      </w:r>
      <w:r w:rsidR="00E3253D" w:rsidRPr="005D642E">
        <w:rPr>
          <w:rtl/>
        </w:rPr>
        <w:t>أي الحديث</w:t>
      </w:r>
      <w:r w:rsidR="00E3253D">
        <w:rPr>
          <w:rtl/>
        </w:rPr>
        <w:t xml:space="preserve"> </w:t>
      </w:r>
      <w:r w:rsidR="007642BC">
        <w:rPr>
          <w:rtl/>
        </w:rPr>
        <w:t>-</w:t>
      </w:r>
      <w:r w:rsidR="00E3253D">
        <w:rPr>
          <w:rtl/>
        </w:rPr>
        <w:t xml:space="preserve"> </w:t>
      </w:r>
      <w:r w:rsidR="00E3253D" w:rsidRPr="005D642E">
        <w:rPr>
          <w:rtl/>
        </w:rPr>
        <w:t>عدم الاستبراء ، وقال</w:t>
      </w:r>
      <w:r w:rsidR="00B60612">
        <w:rPr>
          <w:rtl/>
        </w:rPr>
        <w:t xml:space="preserve"> الوالد العل</w:t>
      </w:r>
      <w:r w:rsidR="00B60612">
        <w:rPr>
          <w:rFonts w:hint="cs"/>
          <w:rtl/>
        </w:rPr>
        <w:t>ّ</w:t>
      </w:r>
      <w:r w:rsidR="00B60612">
        <w:rPr>
          <w:rtl/>
        </w:rPr>
        <w:t>ا</w:t>
      </w:r>
      <w:r w:rsidR="00E3253D" w:rsidRPr="005D642E">
        <w:rPr>
          <w:rtl/>
        </w:rPr>
        <w:t>مة : الذي يظهر من بعض الأخبار جواز الاكتفاء بالانقطاع عن الاستبراء ، والأولى الاستبراء بعد انقطاع السيلان. والتوضّي في آخر الخبر يحتمل الاستنجاء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355 ، ح 1062 ، معلّقاً عن محمّد بن يحيى </w:t>
      </w:r>
      <w:r w:rsidR="00B60612">
        <w:rPr>
          <w:rFonts w:hint="cs"/>
          <w:rtl/>
        </w:rPr>
        <w:t>.</w:t>
      </w:r>
      <w:r w:rsidR="00E3253D" w:rsidRPr="002F4D34">
        <w:rPr>
          <w:rStyle w:val="libFootnoteBoldChar"/>
          <w:rtl/>
        </w:rPr>
        <w:t>الوافي</w:t>
      </w:r>
      <w:r w:rsidR="00E3253D" w:rsidRPr="005D642E">
        <w:rPr>
          <w:rtl/>
        </w:rPr>
        <w:t xml:space="preserve"> ، ج 6 ، ص 127 ، ح 3919 ؛ </w:t>
      </w:r>
      <w:r w:rsidR="00E3253D" w:rsidRPr="002F4D34">
        <w:rPr>
          <w:rStyle w:val="libFootnoteBoldChar"/>
          <w:rtl/>
        </w:rPr>
        <w:t>الوسائل</w:t>
      </w:r>
      <w:r w:rsidR="00E3253D" w:rsidRPr="005D642E">
        <w:rPr>
          <w:rtl/>
        </w:rPr>
        <w:t xml:space="preserve"> ، ج 1 ، ص 350 ، ذيل ح 929.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 « الوضوء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ى ، بث ، بح ، بخ ، جن » : « وللغسل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الكافي</w:t>
      </w:r>
      <w:r w:rsidR="00E3253D" w:rsidRPr="005D642E">
        <w:rPr>
          <w:rtl/>
        </w:rPr>
        <w:t xml:space="preserve"> ، ح 3923 :</w:t>
      </w:r>
      <w:r w:rsidR="00E3253D">
        <w:rPr>
          <w:rtl/>
        </w:rPr>
        <w:t xml:space="preserve"> </w:t>
      </w:r>
      <w:r w:rsidR="007642BC">
        <w:rPr>
          <w:rtl/>
        </w:rPr>
        <w:t>-</w:t>
      </w:r>
      <w:r w:rsidR="00E3253D">
        <w:rPr>
          <w:rtl/>
        </w:rPr>
        <w:t xml:space="preserve"> </w:t>
      </w:r>
      <w:r w:rsidR="00E3253D" w:rsidRPr="005D642E">
        <w:rPr>
          <w:rtl/>
        </w:rPr>
        <w:t>« من ذلك »</w:t>
      </w:r>
      <w:r w:rsidR="00E3253D">
        <w:rPr>
          <w:rtl/>
        </w:rPr>
        <w:t>.</w:t>
      </w:r>
      <w:r w:rsidR="00E3253D" w:rsidRPr="005D642E">
        <w:rPr>
          <w:rtl/>
        </w:rPr>
        <w:t xml:space="preserve"> قال في </w:t>
      </w:r>
      <w:r w:rsidR="00E3253D" w:rsidRPr="002F4D34">
        <w:rPr>
          <w:rStyle w:val="libFootnoteBoldChar"/>
          <w:rtl/>
        </w:rPr>
        <w:t>حبل المتين</w:t>
      </w:r>
      <w:r w:rsidR="00E3253D" w:rsidRPr="005D642E">
        <w:rPr>
          <w:rtl/>
        </w:rPr>
        <w:t xml:space="preserve"> ، ص 100 : « وما تضّمنه رواية محمّد بن مسلم</w:t>
      </w:r>
      <w:r w:rsidR="00E3253D">
        <w:rPr>
          <w:rtl/>
        </w:rPr>
        <w:t xml:space="preserve"> ..</w:t>
      </w:r>
      <w:r w:rsidR="00E3253D" w:rsidRPr="005D642E">
        <w:rPr>
          <w:rtl/>
        </w:rPr>
        <w:t>. معلوم أنّه ورد على سبيل المبالغة ، مع أنّ الرواية ضعيفة ، ولو عمل بظاه</w:t>
      </w:r>
      <w:r w:rsidR="00B60612">
        <w:rPr>
          <w:rtl/>
        </w:rPr>
        <w:t>رها لم يبق فرق بين الغسل والمسح</w:t>
      </w:r>
      <w:r w:rsidR="00E3253D" w:rsidRPr="005D642E">
        <w:rPr>
          <w:rtl/>
        </w:rPr>
        <w:t>»</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B60612">
        <w:rPr>
          <w:rStyle w:val="libFootnoteAlaemChar"/>
          <w:rtl/>
        </w:rPr>
        <w:t>عليه‌السلام</w:t>
      </w:r>
      <w:r w:rsidR="00E3253D" w:rsidRPr="005D642E">
        <w:rPr>
          <w:rtl/>
        </w:rPr>
        <w:t xml:space="preserve"> : أوسع من ذلك ، إمّا محمول على المبالغة أو الضرورة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صفة الوضوء ، صدر ح 3923. راجع : </w:t>
      </w:r>
      <w:r w:rsidR="00E3253D" w:rsidRPr="002F4D34">
        <w:rPr>
          <w:rStyle w:val="libFootnoteBoldChar"/>
          <w:rtl/>
        </w:rPr>
        <w:t>التهذيب</w:t>
      </w:r>
      <w:r w:rsidR="00E3253D" w:rsidRPr="005D642E">
        <w:rPr>
          <w:rtl/>
        </w:rPr>
        <w:t xml:space="preserve"> ، ج 1 ، ص 138 ، ح 385 ؛ </w:t>
      </w:r>
      <w:r w:rsidR="00E3253D" w:rsidRPr="002F4D34">
        <w:rPr>
          <w:rStyle w:val="libFootnoteBoldChar"/>
          <w:rtl/>
        </w:rPr>
        <w:t>الاستبصار</w:t>
      </w:r>
      <w:r w:rsidR="00E3253D" w:rsidRPr="005D642E">
        <w:rPr>
          <w:rtl/>
        </w:rPr>
        <w:t xml:space="preserve"> ، ج 1 ، ص 122 ، ح 414 </w:t>
      </w:r>
      <w:r w:rsidR="00B60612">
        <w:rPr>
          <w:rFonts w:hint="cs"/>
          <w:rtl/>
        </w:rPr>
        <w:t>.</w:t>
      </w:r>
      <w:r w:rsidR="00E3253D" w:rsidRPr="002F4D34">
        <w:rPr>
          <w:rStyle w:val="libFootnoteBoldChar"/>
          <w:rtl/>
        </w:rPr>
        <w:t>الوافي</w:t>
      </w:r>
      <w:r w:rsidR="00E3253D" w:rsidRPr="005D642E">
        <w:rPr>
          <w:rtl/>
        </w:rPr>
        <w:t xml:space="preserve"> ، ج 6 ، ص 309 ، ح 4354.</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السند تحويل بعطف « محمّد بن إسماعيل ، عن الفضل بن شاذان » على « عليّ بن إبراهيم ، عن أبيه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البحار : « وعليّ بن إسماعيل »</w:t>
      </w:r>
      <w:r w:rsidR="00E3253D">
        <w:rPr>
          <w:rtl/>
        </w:rPr>
        <w:t>.</w:t>
      </w:r>
      <w:r w:rsidR="00E3253D" w:rsidRPr="005D642E">
        <w:rPr>
          <w:rtl/>
        </w:rPr>
        <w:t xml:space="preserve"> وهو سهو واضح ؛ فإنّه لايروي الكليني عن الفضل بن شا</w:t>
      </w:r>
      <w:r w:rsidR="00B60612">
        <w:rPr>
          <w:rtl/>
        </w:rPr>
        <w:t>ذان إل</w:t>
      </w:r>
      <w:r w:rsidR="00B60612">
        <w:rPr>
          <w:rFonts w:hint="cs"/>
          <w:rtl/>
        </w:rPr>
        <w:t>ّ</w:t>
      </w:r>
      <w:r w:rsidR="00B60612">
        <w:rPr>
          <w:rtl/>
        </w:rPr>
        <w:t>ا</w:t>
      </w:r>
      <w:r w:rsidR="00E3253D" w:rsidRPr="005D642E">
        <w:rPr>
          <w:rtl/>
        </w:rPr>
        <w:t xml:space="preserve"> بتوسّط محمّد بن إسماعيل.</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عَنْ زُرَارَةَ وَمُحَمَّدِ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إِنَّمَا الْوُضُوءُ حَدٌّ مِنْ حُدُودِ اللهِ لِيَعْلَمَ اللهُ مَنْ يُطِيعُهُ وَمَنْ يَعْصِيهِ ، وَإِنَّ </w:t>
      </w:r>
      <w:r w:rsidRPr="007C12DB">
        <w:rPr>
          <w:rStyle w:val="libFootnotenumChar"/>
          <w:rtl/>
        </w:rPr>
        <w:t>(1)</w:t>
      </w:r>
      <w:r w:rsidRPr="005D642E">
        <w:rPr>
          <w:rtl/>
          <w:lang w:bidi="fa-IR"/>
        </w:rPr>
        <w:t xml:space="preserve"> الْمُؤْمِنَ لَايُنَجِّسُهُ شَيْ‌ءٌ </w:t>
      </w:r>
      <w:r w:rsidRPr="007C12DB">
        <w:rPr>
          <w:rStyle w:val="libFootnotenumChar"/>
          <w:rtl/>
        </w:rPr>
        <w:t>(2)</w:t>
      </w:r>
      <w:r w:rsidRPr="005D642E">
        <w:rPr>
          <w:rtl/>
          <w:lang w:bidi="fa-IR"/>
        </w:rPr>
        <w:t xml:space="preserve"> ، إِنَّمَا يَكْفِيهِ مِثْلُ الدَّهْنِ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B60612" w:rsidRDefault="00E3253D" w:rsidP="00B60612">
      <w:pPr>
        <w:pStyle w:val="libNormal"/>
        <w:rPr>
          <w:rtl/>
          <w:lang w:bidi="fa-IR"/>
        </w:rPr>
      </w:pPr>
      <w:r w:rsidRPr="007C246F">
        <w:rPr>
          <w:rtl/>
        </w:rPr>
        <w:t>3903</w:t>
      </w:r>
      <w:r w:rsidRPr="00246318">
        <w:rPr>
          <w:rStyle w:val="libBold2Char"/>
          <w:rtl/>
        </w:rPr>
        <w:t xml:space="preserve"> / 3.</w:t>
      </w:r>
      <w:r w:rsidRPr="005D642E">
        <w:rPr>
          <w:rtl/>
          <w:lang w:bidi="fa-IR"/>
        </w:rPr>
        <w:t xml:space="preserve"> عِدَّةٌ مِنْ أَصْحَابِنَا ، عَنْ أَحْمَدَ بْنِ مُحَمَّدٍ ؛</w:t>
      </w:r>
    </w:p>
    <w:p w:rsidR="00E3253D" w:rsidRPr="005D642E" w:rsidRDefault="00B60612" w:rsidP="00B60612">
      <w:pPr>
        <w:pStyle w:val="libNormal"/>
        <w:rPr>
          <w:rtl/>
          <w:lang w:bidi="fa-IR"/>
        </w:rPr>
      </w:pPr>
      <w:r>
        <w:rPr>
          <w:rFonts w:hint="cs"/>
          <w:rtl/>
          <w:lang w:bidi="fa-IR"/>
        </w:rPr>
        <w:t xml:space="preserve">              </w:t>
      </w:r>
      <w:r w:rsidR="00E3253D" w:rsidRPr="005D642E">
        <w:rPr>
          <w:rtl/>
          <w:lang w:bidi="fa-IR"/>
        </w:rPr>
        <w:t>وَأَبُو دَاوُدَ جَمِيعاً ، عَنِ الْحُسَيْنِ بْنِ سَعِيدٍ ، عَنْ فَضَالَةَ ، عَن</w:t>
      </w:r>
      <w:r>
        <w:rPr>
          <w:rtl/>
          <w:lang w:bidi="fa-IR"/>
        </w:rPr>
        <w:t>ْ دَاوُدَ بْنِ فَرْقَدٍ ، قَالَ</w:t>
      </w:r>
      <w:r w:rsidR="00E3253D" w:rsidRPr="005D642E">
        <w:rPr>
          <w:rtl/>
          <w:lang w:bidi="fa-IR"/>
        </w:rPr>
        <w:t>:</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إِنَّ أَبِي كَانَ يَقُولُ : إِنَّ لِلْوُضُوءِ حَدّاً مَنْ تَعَدَّاهُ لَمْ يُؤْجَرْ. وَكَانَ أَبِي يَقُولُ : إِنَّمَا يَتَلَدَّدُ </w:t>
      </w:r>
      <w:r w:rsidRPr="007C12DB">
        <w:rPr>
          <w:rStyle w:val="libFootnotenumChar"/>
          <w:rtl/>
        </w:rPr>
        <w:t>(4)</w:t>
      </w:r>
      <w:r w:rsidRPr="005D642E">
        <w:rPr>
          <w:rtl/>
          <w:lang w:bidi="fa-IR"/>
        </w:rPr>
        <w:t xml:space="preserve"> ، فَقَالَ لَهُ رَجُلٌ :</w:t>
      </w:r>
      <w:r w:rsidR="00B60612">
        <w:rPr>
          <w:rFonts w:hint="cs"/>
          <w:rtl/>
          <w:lang w:bidi="fa-IR"/>
        </w:rPr>
        <w:t xml:space="preserve"> ..................................</w:t>
      </w:r>
      <w:r w:rsidR="00B60612">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 « فإنّ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w:t>
      </w:r>
      <w:r w:rsidR="009E68BB" w:rsidRPr="009E68BB">
        <w:rPr>
          <w:rStyle w:val="libFootnoteBoldChar"/>
          <w:rtl/>
        </w:rPr>
        <w:t>وتحف العقول</w:t>
      </w:r>
      <w:r w:rsidR="00E3253D" w:rsidRPr="005D642E">
        <w:rPr>
          <w:rtl/>
        </w:rPr>
        <w:t xml:space="preserve"> والعلل : + « </w:t>
      </w:r>
      <w:r w:rsidR="00E3253D">
        <w:rPr>
          <w:rtl/>
        </w:rPr>
        <w:t>و ».</w:t>
      </w:r>
      <w:r w:rsidR="00E3253D" w:rsidRPr="005D642E">
        <w:rPr>
          <w:rtl/>
        </w:rPr>
        <w:t xml:space="preserve"> وقوله </w:t>
      </w:r>
      <w:r w:rsidR="00E3253D" w:rsidRPr="00B60612">
        <w:rPr>
          <w:rStyle w:val="libFootnoteAlaemChar"/>
          <w:rtl/>
        </w:rPr>
        <w:t>عليه‌السلام</w:t>
      </w:r>
      <w:r w:rsidR="00E3253D" w:rsidRPr="005D642E">
        <w:rPr>
          <w:rtl/>
        </w:rPr>
        <w:t xml:space="preserve"> : « لاينجّسه شي‌ء » ؛ يعني لاينجّسه شي‌ء من أعضائه ، ولايتنجّس بشي‌ء من الأحداث الخبيثة بحيث يحتاج في إزالته إلى صبّ الماء الزائد على الدهن ، كما هو الواقع في أغلب النجاسات الخبيثة ، بل يكفي أدنى ما يحصل به الجريان ولو باستعانة اليد. والعلاّمة المجلسي نقل انتساب الاكتفاء بالمسح في الغسل عند الضرورة عن بعض الأصحاب ، واتّفاق الأصحاب على لزوم الجريان في غير حال الضرورة ، ثمّ قال : « ولايخفى عليك أنّ ظاهر الأخبار الاكتفاء بالمسح كالدهن ، وحمل الأصحاب تلك الأخبار على أقلّ مراتب الجريان مبالغة »</w:t>
      </w:r>
      <w:r w:rsidR="00E3253D">
        <w:rPr>
          <w:rtl/>
        </w:rPr>
        <w:t>.</w:t>
      </w:r>
      <w:r w:rsidR="00E3253D" w:rsidRPr="005D642E">
        <w:rPr>
          <w:rtl/>
        </w:rPr>
        <w:t xml:space="preserve"> راجع : </w:t>
      </w:r>
      <w:r w:rsidR="00E3253D" w:rsidRPr="002F4D34">
        <w:rPr>
          <w:rStyle w:val="libFootnoteBoldChar"/>
          <w:rtl/>
        </w:rPr>
        <w:t>الحبل المتين</w:t>
      </w:r>
      <w:r w:rsidR="00E3253D" w:rsidRPr="005D642E">
        <w:rPr>
          <w:rtl/>
        </w:rPr>
        <w:t xml:space="preserve"> ، ص 100 ؛ </w:t>
      </w:r>
      <w:r w:rsidR="00E3253D" w:rsidRPr="002F4D34">
        <w:rPr>
          <w:rStyle w:val="libFootnoteBoldChar"/>
          <w:rtl/>
        </w:rPr>
        <w:t>الوافي</w:t>
      </w:r>
      <w:r w:rsidR="00E3253D" w:rsidRPr="005D642E">
        <w:rPr>
          <w:rtl/>
        </w:rPr>
        <w:t xml:space="preserve"> ، ج 6 ، ص 309 ؛ </w:t>
      </w:r>
      <w:r w:rsidR="00E3253D" w:rsidRPr="002F4D34">
        <w:rPr>
          <w:rStyle w:val="libFootnoteBoldChar"/>
          <w:rtl/>
        </w:rPr>
        <w:t>مرآة العقول</w:t>
      </w:r>
      <w:r w:rsidR="00E3253D" w:rsidRPr="005D642E">
        <w:rPr>
          <w:rtl/>
        </w:rPr>
        <w:t xml:space="preserve"> ، ج 13 ، ص 66.</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138 ، ح 387 ، معلّقاً عن عليّ بن إبراهيم ، عن أبيه ، عن حمّاد. </w:t>
      </w:r>
      <w:r w:rsidR="00E3253D" w:rsidRPr="002F4D34">
        <w:rPr>
          <w:rStyle w:val="libFootnoteBoldChar"/>
          <w:rtl/>
        </w:rPr>
        <w:t>المحاسن</w:t>
      </w:r>
      <w:r w:rsidR="00E3253D" w:rsidRPr="005D642E">
        <w:rPr>
          <w:rtl/>
        </w:rPr>
        <w:t xml:space="preserve"> ، ص 133 ، كتاب الصفوة ، ح 9 ، بسنده عن حمّاد بن عيسى ، وتمام الرواية فيه : « المؤمن لاينجّسه شي‌ء » ؛ </w:t>
      </w:r>
      <w:r w:rsidR="00E3253D" w:rsidRPr="002F4D34">
        <w:rPr>
          <w:rStyle w:val="libFootnoteBoldChar"/>
          <w:rtl/>
        </w:rPr>
        <w:t>علل الشرائع</w:t>
      </w:r>
      <w:r w:rsidR="00E3253D" w:rsidRPr="005D642E">
        <w:rPr>
          <w:rtl/>
        </w:rPr>
        <w:t xml:space="preserve"> ، ص 279 ، ح 1 ، بسنده عن حمّاد بن عيسى ؛ </w:t>
      </w:r>
      <w:r w:rsidR="00E3253D" w:rsidRPr="002F4D34">
        <w:rPr>
          <w:rStyle w:val="libFootnoteBoldChar"/>
          <w:rtl/>
        </w:rPr>
        <w:t>الفقيه</w:t>
      </w:r>
      <w:r w:rsidR="00E3253D" w:rsidRPr="005D642E">
        <w:rPr>
          <w:rtl/>
        </w:rPr>
        <w:t xml:space="preserve"> ، ج 1 ، ص 38 ، ح 78 ، مرسلاً </w:t>
      </w:r>
      <w:r w:rsidR="00B60612">
        <w:rPr>
          <w:rFonts w:hint="cs"/>
          <w:rtl/>
        </w:rPr>
        <w:t>.</w:t>
      </w:r>
      <w:r w:rsidR="00E3253D" w:rsidRPr="002F4D34">
        <w:rPr>
          <w:rStyle w:val="libFootnoteBoldChar"/>
          <w:rtl/>
        </w:rPr>
        <w:t>الوافي</w:t>
      </w:r>
      <w:r w:rsidR="00E3253D" w:rsidRPr="005D642E">
        <w:rPr>
          <w:rtl/>
        </w:rPr>
        <w:t xml:space="preserve"> ، ج 6 ، ص 309 ، ح 4352 ؛ </w:t>
      </w:r>
      <w:r w:rsidR="00E3253D" w:rsidRPr="002F4D34">
        <w:rPr>
          <w:rStyle w:val="libFootnoteBoldChar"/>
          <w:rtl/>
        </w:rPr>
        <w:t>الوسائل</w:t>
      </w:r>
      <w:r w:rsidR="00E3253D" w:rsidRPr="005D642E">
        <w:rPr>
          <w:rtl/>
        </w:rPr>
        <w:t xml:space="preserve"> ، ج 1 ، ص 484 ، ح 1282 ؛ </w:t>
      </w:r>
      <w:r w:rsidR="00E3253D" w:rsidRPr="002F4D34">
        <w:rPr>
          <w:rStyle w:val="libFootnoteBoldChar"/>
          <w:rtl/>
        </w:rPr>
        <w:t>البحار</w:t>
      </w:r>
      <w:r w:rsidR="00E3253D" w:rsidRPr="005D642E">
        <w:rPr>
          <w:rtl/>
        </w:rPr>
        <w:t xml:space="preserve"> ، ج 80 ، ص 127 ، ذيل ح 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بخ ، بف ، جس ، جن » : « يتلذّذ »</w:t>
      </w:r>
      <w:r w:rsidR="00E3253D">
        <w:rPr>
          <w:rtl/>
        </w:rPr>
        <w:t>.</w:t>
      </w:r>
      <w:r w:rsidR="00E3253D" w:rsidRPr="005D642E">
        <w:rPr>
          <w:rtl/>
        </w:rPr>
        <w:t xml:space="preserve"> والتلدّد : التلفّت يميناً وشمالاً تحيّراً ، والتحيّر متلبّداً ، أي متردّداً ، مأخوذ من لَدِيدَي العنق وهما صفحتاه. هذا في اللغة ، وأ</w:t>
      </w:r>
      <w:r w:rsidR="00B60612">
        <w:rPr>
          <w:rtl/>
        </w:rPr>
        <w:t>مّا المراد هاهنا فقال فيه العل</w:t>
      </w:r>
      <w:r w:rsidR="00B60612">
        <w:rPr>
          <w:rFonts w:hint="cs"/>
          <w:rtl/>
        </w:rPr>
        <w:t>ّ</w:t>
      </w:r>
      <w:r w:rsidR="00B60612">
        <w:rPr>
          <w:rtl/>
        </w:rPr>
        <w:t>ا</w:t>
      </w:r>
      <w:r w:rsidR="00E3253D" w:rsidRPr="005D642E">
        <w:rPr>
          <w:rtl/>
        </w:rPr>
        <w:t>مة الفيض : « التلدّد بالمهملتين من اللداد بمعنى المخاصمة والمجادلة ، أشار به إلى مخاصمة العامّة معهم في نهيهم عن الغسلات الثلاث التي يست</w:t>
      </w:r>
      <w:r w:rsidR="00B60612">
        <w:rPr>
          <w:rtl/>
        </w:rPr>
        <w:t>حبّونها وغير ذلك » ، وذكر العل</w:t>
      </w:r>
      <w:r w:rsidR="00B60612">
        <w:rPr>
          <w:rFonts w:hint="cs"/>
          <w:rtl/>
        </w:rPr>
        <w:t>ّ</w:t>
      </w:r>
      <w:r w:rsidR="00B60612">
        <w:rPr>
          <w:rtl/>
        </w:rPr>
        <w:t>ا</w:t>
      </w:r>
      <w:r w:rsidR="00E3253D" w:rsidRPr="005D642E">
        <w:rPr>
          <w:rtl/>
        </w:rPr>
        <w:t xml:space="preserve">مة المجلسي فيه وجوهاً خمسة ، منها أن يكون المراد أنّه </w:t>
      </w:r>
      <w:r w:rsidR="00E3253D" w:rsidRPr="00B60612">
        <w:rPr>
          <w:rStyle w:val="libFootnoteAlaemChar"/>
          <w:rtl/>
        </w:rPr>
        <w:t>عليه‌السلام</w:t>
      </w:r>
      <w:r w:rsidR="00E3253D" w:rsidRPr="005D642E">
        <w:rPr>
          <w:rtl/>
        </w:rPr>
        <w:t xml:space="preserve"> كان يلتفت عند قوله ذلك يميناً وشمالاً تقيّة ، ثمّ قال : « وقد يقرأ : أيّما بالياء المثنّاة من تحت ، والمراد أنّه كان </w:t>
      </w:r>
      <w:r w:rsidR="00B6061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وَمَا </w:t>
      </w:r>
      <w:r w:rsidRPr="007C12DB">
        <w:rPr>
          <w:rStyle w:val="libFootnotenumChar"/>
          <w:rtl/>
        </w:rPr>
        <w:t>(1)</w:t>
      </w:r>
      <w:r w:rsidRPr="005D642E">
        <w:rPr>
          <w:rtl/>
          <w:lang w:bidi="fa-IR"/>
        </w:rPr>
        <w:t xml:space="preserve"> حَدُّهُ</w:t>
      </w:r>
      <w:r>
        <w:rPr>
          <w:rtl/>
          <w:lang w:bidi="fa-IR"/>
        </w:rPr>
        <w:t>؟</w:t>
      </w:r>
      <w:r w:rsidRPr="005D642E">
        <w:rPr>
          <w:rtl/>
          <w:lang w:bidi="fa-IR"/>
        </w:rPr>
        <w:t xml:space="preserve"> قَالَ : تَغْسِلُ </w:t>
      </w:r>
      <w:r w:rsidRPr="007C12DB">
        <w:rPr>
          <w:rStyle w:val="libFootnotenumChar"/>
          <w:rtl/>
        </w:rPr>
        <w:t>(2)</w:t>
      </w:r>
      <w:r w:rsidRPr="005D642E">
        <w:rPr>
          <w:rtl/>
          <w:lang w:bidi="fa-IR"/>
        </w:rPr>
        <w:t xml:space="preserve"> وَجْهَكَ وَيَدَيْكَ ، وَتَمْسَحُ رَأْسَكَ وَرِجْلَيْكَ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7C246F">
        <w:rPr>
          <w:rtl/>
        </w:rPr>
        <w:t>3904</w:t>
      </w:r>
      <w:r w:rsidRPr="00246318">
        <w:rPr>
          <w:rStyle w:val="libBold2Char"/>
          <w:rtl/>
        </w:rPr>
        <w:t xml:space="preserve"> / 4.</w:t>
      </w:r>
      <w:r w:rsidRPr="005D642E">
        <w:rPr>
          <w:rtl/>
          <w:lang w:bidi="fa-IR"/>
        </w:rPr>
        <w:t xml:space="preserve"> عَلِيُّ بْنُ إِبْرَاهِيمَ ، عَنْ أَبِيهِ ، عَنِ ابْنِ أَبِي عُمَيْرٍ ، عَنْ جَمِيلٍ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الْجُنُبُ مَا جَرى عَلَيْهِ الْمَاءُ مِنْ جَسَدِهِ قَلِيلُهُ وَكَثِيرُهُ ، فَقَدْ أَجْزَأَهُ </w:t>
      </w:r>
      <w:r w:rsidRPr="007C12DB">
        <w:rPr>
          <w:rStyle w:val="libFootnotenumChar"/>
          <w:rtl/>
        </w:rPr>
        <w:t>(4)</w:t>
      </w:r>
      <w:r w:rsidRPr="005D642E">
        <w:rPr>
          <w:rtl/>
          <w:lang w:bidi="fa-IR"/>
        </w:rPr>
        <w:t xml:space="preserve">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7C246F">
        <w:rPr>
          <w:rtl/>
        </w:rPr>
        <w:t>3905</w:t>
      </w:r>
      <w:r w:rsidRPr="00246318">
        <w:rPr>
          <w:rStyle w:val="libBold2Char"/>
          <w:rtl/>
        </w:rPr>
        <w:t xml:space="preserve"> / 5.</w:t>
      </w:r>
      <w:r w:rsidRPr="005D642E">
        <w:rPr>
          <w:rtl/>
          <w:lang w:bidi="fa-IR"/>
        </w:rPr>
        <w:t xml:space="preserve"> مُحَمَّدُ بْنُ يَحْيى ، عَنْ مُحَمَّدِ بْنِ الْحُسَيْنِ ، عَنْ صَفْوَانَ ، عَنِ الْعَلَاءِ بْنِ رَزِينٍ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عَنْ </w:t>
      </w:r>
      <w:r w:rsidRPr="007C12DB">
        <w:rPr>
          <w:rStyle w:val="libFootnotenumChar"/>
          <w:rtl/>
        </w:rPr>
        <w:t>(6)</w:t>
      </w:r>
      <w:r w:rsidRPr="005D642E">
        <w:rPr>
          <w:rtl/>
          <w:lang w:bidi="fa-IR"/>
        </w:rPr>
        <w:t xml:space="preserve"> غُسْلِ الْجَنَابَةِ : كَمْ يُجْزِئُ مِنَ الْمَاءِ</w:t>
      </w:r>
      <w:r>
        <w:rPr>
          <w:rtl/>
          <w:lang w:bidi="fa-IR"/>
        </w:rPr>
        <w:t>؟</w:t>
      </w:r>
    </w:p>
    <w:p w:rsidR="00E3253D" w:rsidRPr="005D642E" w:rsidRDefault="00E3253D" w:rsidP="00E3253D">
      <w:pPr>
        <w:pStyle w:val="libNormal"/>
        <w:rPr>
          <w:rtl/>
          <w:lang w:bidi="fa-IR"/>
        </w:rPr>
      </w:pPr>
      <w:r w:rsidRPr="005D642E">
        <w:rPr>
          <w:rtl/>
          <w:lang w:bidi="fa-IR"/>
        </w:rPr>
        <w:t xml:space="preserve">فَقَالَ : « كَانَ رَسُولُ اللهِ </w:t>
      </w:r>
      <w:r w:rsidR="0042621E" w:rsidRPr="0042621E">
        <w:rPr>
          <w:rStyle w:val="libAlaemChar"/>
          <w:rtl/>
        </w:rPr>
        <w:t>صلى‌الله‌عليه‌وآله</w:t>
      </w:r>
      <w:r w:rsidRPr="005D642E">
        <w:rPr>
          <w:rtl/>
          <w:lang w:bidi="fa-IR"/>
        </w:rPr>
        <w:t xml:space="preserve"> يَغْتَسِلُ بِخَمْسَةِ أَمْدَادٍ بَيْنَهُ وَبَيْنَ صَاحِبَتِهِ ، وَيَغْتَسِلَانِ جَمِيعاً مِنْ إِنَاءٍ وَاحِدٍ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Line"/>
        <w:rPr>
          <w:rtl/>
          <w:lang w:bidi="fa-IR"/>
        </w:rPr>
      </w:pPr>
      <w:r w:rsidRPr="005D642E">
        <w:rPr>
          <w:rtl/>
          <w:lang w:bidi="fa-IR"/>
        </w:rPr>
        <w:t>__________________</w:t>
      </w:r>
    </w:p>
    <w:p w:rsidR="00E3253D" w:rsidRPr="005D642E" w:rsidRDefault="00B60612" w:rsidP="00E3253D">
      <w:pPr>
        <w:pStyle w:val="libFootnote0"/>
        <w:rPr>
          <w:rtl/>
          <w:lang w:bidi="fa-IR"/>
        </w:rPr>
      </w:pPr>
      <w:r>
        <w:rPr>
          <w:rFonts w:hint="cs"/>
          <w:rtl/>
        </w:rPr>
        <w:t xml:space="preserve">= </w:t>
      </w:r>
      <w:r w:rsidR="00E3253D" w:rsidRPr="005D642E">
        <w:rPr>
          <w:rtl/>
        </w:rPr>
        <w:t>يقول ذلك كلّما يتلدّد ويختصم »</w:t>
      </w:r>
      <w:r w:rsidR="00E3253D">
        <w:rPr>
          <w:rtl/>
        </w:rPr>
        <w:t>.</w:t>
      </w:r>
      <w:r>
        <w:rPr>
          <w:rtl/>
        </w:rPr>
        <w:t xml:space="preserve"> هذا ، وما قاله العل</w:t>
      </w:r>
      <w:r>
        <w:rPr>
          <w:rFonts w:hint="cs"/>
          <w:rtl/>
        </w:rPr>
        <w:t>ّ</w:t>
      </w:r>
      <w:r>
        <w:rPr>
          <w:rtl/>
        </w:rPr>
        <w:t>ا</w:t>
      </w:r>
      <w:r w:rsidR="00E3253D" w:rsidRPr="005D642E">
        <w:rPr>
          <w:rtl/>
        </w:rPr>
        <w:t>مة الفيض لاتسا</w:t>
      </w:r>
      <w:r>
        <w:rPr>
          <w:rtl/>
        </w:rPr>
        <w:t>عده اللغة ، كما أشار إليه العل</w:t>
      </w:r>
      <w:r>
        <w:rPr>
          <w:rFonts w:hint="cs"/>
          <w:rtl/>
        </w:rPr>
        <w:t>ّ</w:t>
      </w:r>
      <w:r>
        <w:rPr>
          <w:rtl/>
        </w:rPr>
        <w:t>ا</w:t>
      </w:r>
      <w:r w:rsidR="00E3253D" w:rsidRPr="005D642E">
        <w:rPr>
          <w:rtl/>
        </w:rPr>
        <w:t xml:space="preserve">مة المجلسي. راجع : </w:t>
      </w:r>
      <w:r w:rsidR="00E3253D" w:rsidRPr="002F4D34">
        <w:rPr>
          <w:rStyle w:val="libFootnoteBoldChar"/>
          <w:rtl/>
        </w:rPr>
        <w:t>الصحاح</w:t>
      </w:r>
      <w:r w:rsidR="00E3253D" w:rsidRPr="005D642E">
        <w:rPr>
          <w:rtl/>
        </w:rPr>
        <w:t xml:space="preserve"> ، ج 2 ، ص 535 ؛ </w:t>
      </w:r>
      <w:r w:rsidR="00E3253D" w:rsidRPr="002F4D34">
        <w:rPr>
          <w:rStyle w:val="libFootnoteBoldChar"/>
          <w:rtl/>
        </w:rPr>
        <w:t>النهاية</w:t>
      </w:r>
      <w:r w:rsidR="00E3253D" w:rsidRPr="005D642E">
        <w:rPr>
          <w:rtl/>
        </w:rPr>
        <w:t xml:space="preserve"> ، ج 4 ، ص 245 ( لبد )</w:t>
      </w:r>
      <w:r w:rsidR="00E3253D">
        <w:rPr>
          <w:rtl/>
        </w:rPr>
        <w:t>.</w:t>
      </w:r>
    </w:p>
    <w:tbl>
      <w:tblPr>
        <w:tblStyle w:val="TableGrid"/>
        <w:bidiVisual/>
        <w:tblW w:w="0" w:type="auto"/>
        <w:tblLook w:val="04A0" w:firstRow="1" w:lastRow="0" w:firstColumn="1" w:lastColumn="0" w:noHBand="0" w:noVBand="1"/>
      </w:tblPr>
      <w:tblGrid>
        <w:gridCol w:w="4006"/>
        <w:gridCol w:w="4006"/>
      </w:tblGrid>
      <w:tr w:rsidR="00B60612" w:rsidTr="00B60612">
        <w:tc>
          <w:tcPr>
            <w:tcW w:w="4006" w:type="dxa"/>
          </w:tcPr>
          <w:p w:rsidR="00B60612" w:rsidRDefault="00B60612" w:rsidP="00E3253D">
            <w:pPr>
              <w:pStyle w:val="libFootnote0"/>
              <w:rPr>
                <w:rStyle w:val="libFootnote0Char"/>
                <w:rtl/>
              </w:rPr>
            </w:pPr>
            <w:r w:rsidRPr="0042621E">
              <w:rPr>
                <w:rStyle w:val="libFootnote0Char"/>
                <w:rtl/>
              </w:rPr>
              <w:t>(1).</w:t>
            </w:r>
            <w:r>
              <w:rPr>
                <w:rtl/>
              </w:rPr>
              <w:t xml:space="preserve"> </w:t>
            </w:r>
            <w:r w:rsidRPr="005D642E">
              <w:rPr>
                <w:rtl/>
              </w:rPr>
              <w:t xml:space="preserve">في « بخ ، جس » </w:t>
            </w:r>
            <w:r w:rsidR="000D749A" w:rsidRPr="000D749A">
              <w:rPr>
                <w:rStyle w:val="libFootnoteBoldChar"/>
                <w:rtl/>
              </w:rPr>
              <w:t>والوافي</w:t>
            </w:r>
            <w:r w:rsidRPr="005D642E">
              <w:rPr>
                <w:rtl/>
              </w:rPr>
              <w:t xml:space="preserve"> : « ما » بدون الواو.</w:t>
            </w:r>
          </w:p>
        </w:tc>
        <w:tc>
          <w:tcPr>
            <w:tcW w:w="4006" w:type="dxa"/>
          </w:tcPr>
          <w:p w:rsidR="00B60612" w:rsidRDefault="00B60612" w:rsidP="00E3253D">
            <w:pPr>
              <w:pStyle w:val="libFootnote0"/>
              <w:rPr>
                <w:rStyle w:val="libFootnote0Char"/>
                <w:rtl/>
              </w:rPr>
            </w:pPr>
            <w:r w:rsidRPr="0042621E">
              <w:rPr>
                <w:rStyle w:val="libFootnote0Char"/>
                <w:rtl/>
              </w:rPr>
              <w:t>(2).</w:t>
            </w:r>
            <w:r w:rsidRPr="005D642E">
              <w:rPr>
                <w:rtl/>
              </w:rPr>
              <w:t xml:space="preserve"> في « بف » : « أن تغسل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310 ، ح 4357 ؛ </w:t>
      </w:r>
      <w:r w:rsidR="00E3253D" w:rsidRPr="002F4D34">
        <w:rPr>
          <w:rStyle w:val="libFootnoteBoldChar"/>
          <w:rtl/>
        </w:rPr>
        <w:t>الوسائل</w:t>
      </w:r>
      <w:r w:rsidR="00E3253D" w:rsidRPr="005D642E">
        <w:rPr>
          <w:rtl/>
        </w:rPr>
        <w:t xml:space="preserve"> ، ج 1 ، ص 387 ، ح 1020.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جن » : « فقد أجزأ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ظاهره</w:t>
      </w:r>
      <w:r w:rsidR="00E3253D">
        <w:rPr>
          <w:rtl/>
        </w:rPr>
        <w:t xml:space="preserve"> </w:t>
      </w:r>
      <w:r w:rsidR="007642BC">
        <w:rPr>
          <w:rtl/>
        </w:rPr>
        <w:t>-</w:t>
      </w:r>
      <w:r w:rsidR="00E3253D">
        <w:rPr>
          <w:rtl/>
        </w:rPr>
        <w:t xml:space="preserve"> </w:t>
      </w:r>
      <w:r w:rsidR="00E3253D" w:rsidRPr="005D642E">
        <w:rPr>
          <w:rtl/>
        </w:rPr>
        <w:t>أي الحديث</w:t>
      </w:r>
      <w:r w:rsidR="00E3253D">
        <w:rPr>
          <w:rtl/>
        </w:rPr>
        <w:t xml:space="preserve"> </w:t>
      </w:r>
      <w:r w:rsidR="007642BC">
        <w:rPr>
          <w:rtl/>
        </w:rPr>
        <w:t>-</w:t>
      </w:r>
      <w:r w:rsidR="00E3253D">
        <w:rPr>
          <w:rtl/>
        </w:rPr>
        <w:t xml:space="preserve"> </w:t>
      </w:r>
      <w:r w:rsidR="00E3253D" w:rsidRPr="005D642E">
        <w:rPr>
          <w:rtl/>
        </w:rPr>
        <w:t>أنّه لبيان أنّ أقلّ الجريان كاف سواء كان الماء قليلاً أو كثيراً ، ويحتمل أن يكون لبيان تبعيض الغسل وتوزيعه على الأعضاء</w:t>
      </w:r>
      <w:r w:rsidR="00E3253D">
        <w:rPr>
          <w:rtl/>
        </w:rPr>
        <w:t xml:space="preserve"> ..</w:t>
      </w:r>
      <w:r w:rsidR="00E3253D" w:rsidRPr="005D642E">
        <w:rPr>
          <w:rtl/>
        </w:rPr>
        <w:t>. ويكون المراد بالقليل والكثير قليل الجسد وكثيره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137 ، ح 380 ؛ </w:t>
      </w:r>
      <w:r w:rsidR="00E3253D" w:rsidRPr="00E678B5">
        <w:rPr>
          <w:rStyle w:val="libFootnoteBoldChar"/>
          <w:rtl/>
        </w:rPr>
        <w:t>والاستبصار</w:t>
      </w:r>
      <w:r w:rsidR="00E3253D" w:rsidRPr="005D642E">
        <w:rPr>
          <w:rtl/>
        </w:rPr>
        <w:t xml:space="preserve"> ، ج 1 ، ص 123 ، ح 416 ، معلّقاً عن عليّ بن إبراهيم. راجع : </w:t>
      </w:r>
      <w:r w:rsidR="00E3253D" w:rsidRPr="002F4D34">
        <w:rPr>
          <w:rStyle w:val="libFootnoteBoldChar"/>
          <w:rtl/>
        </w:rPr>
        <w:t>الكافي</w:t>
      </w:r>
      <w:r w:rsidR="00E3253D" w:rsidRPr="005D642E">
        <w:rPr>
          <w:rtl/>
        </w:rPr>
        <w:t xml:space="preserve"> ، كتاب الطهارة ، باب صفة الغسل والوضوء</w:t>
      </w:r>
      <w:r w:rsidR="00E3253D">
        <w:rPr>
          <w:rtl/>
        </w:rPr>
        <w:t xml:space="preserve"> ..</w:t>
      </w:r>
      <w:r w:rsidR="00E3253D" w:rsidRPr="005D642E">
        <w:rPr>
          <w:rtl/>
        </w:rPr>
        <w:t xml:space="preserve">. ، ح 4007 ؛ </w:t>
      </w:r>
      <w:r w:rsidR="00B60612" w:rsidRPr="00B60612">
        <w:rPr>
          <w:rStyle w:val="libFootnoteBoldChar"/>
          <w:rtl/>
        </w:rPr>
        <w:t>والتهذيب</w:t>
      </w:r>
      <w:r w:rsidR="00E3253D" w:rsidRPr="002F4D34">
        <w:rPr>
          <w:rStyle w:val="libFootnoteBoldChar"/>
          <w:rtl/>
        </w:rPr>
        <w:t xml:space="preserve"> </w:t>
      </w:r>
      <w:r w:rsidR="00E3253D" w:rsidRPr="005D642E">
        <w:rPr>
          <w:rtl/>
        </w:rPr>
        <w:t xml:space="preserve">، ج 1 ، ص 133 ، ح 368 </w:t>
      </w:r>
      <w:r w:rsidR="00E3253D" w:rsidRPr="002F4D34">
        <w:rPr>
          <w:rStyle w:val="libFootnoteBoldChar"/>
          <w:rtl/>
        </w:rPr>
        <w:t>الوافي</w:t>
      </w:r>
      <w:r w:rsidR="00E3253D" w:rsidRPr="005D642E">
        <w:rPr>
          <w:rtl/>
        </w:rPr>
        <w:t xml:space="preserve"> ، ج 6 ، ص 522 ، ح 4841 ؛ </w:t>
      </w:r>
      <w:r w:rsidR="00E3253D" w:rsidRPr="002F4D34">
        <w:rPr>
          <w:rStyle w:val="libFootnoteBoldChar"/>
          <w:rtl/>
        </w:rPr>
        <w:t>الوسائل</w:t>
      </w:r>
      <w:r w:rsidR="00E3253D" w:rsidRPr="005D642E">
        <w:rPr>
          <w:rtl/>
        </w:rPr>
        <w:t xml:space="preserve"> ، ج 2 ، ص 240 ، ح 2045.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ى ، بث ، بس ، جس ، جن » وحاشية « بح ، جح » </w:t>
      </w:r>
      <w:r w:rsidR="000D749A" w:rsidRPr="000D749A">
        <w:rPr>
          <w:rStyle w:val="libFootnoteBoldChar"/>
          <w:rtl/>
        </w:rPr>
        <w:t>والوافي</w:t>
      </w:r>
      <w:r w:rsidR="00E3253D" w:rsidRPr="005D642E">
        <w:rPr>
          <w:rtl/>
        </w:rPr>
        <w:t xml:space="preserve"> </w:t>
      </w:r>
      <w:r w:rsidR="000D749A" w:rsidRPr="000D749A">
        <w:rPr>
          <w:rStyle w:val="libFootnoteBoldChar"/>
          <w:rtl/>
        </w:rPr>
        <w:t>والمرآة</w:t>
      </w:r>
      <w:r w:rsidR="00E3253D" w:rsidRPr="005D642E">
        <w:rPr>
          <w:rtl/>
        </w:rPr>
        <w:t xml:space="preserve"> والوسائل والبحار </w:t>
      </w:r>
      <w:r w:rsidR="00B60612" w:rsidRPr="00B60612">
        <w:rPr>
          <w:rStyle w:val="libFootnoteBoldChar"/>
          <w:rtl/>
        </w:rPr>
        <w:t>والتهذيب</w:t>
      </w:r>
      <w:r w:rsidR="00E3253D" w:rsidRPr="005D642E">
        <w:rPr>
          <w:rtl/>
        </w:rPr>
        <w:t xml:space="preserve"> ، ص 137 </w:t>
      </w:r>
      <w:r w:rsidR="00E3253D" w:rsidRPr="00E678B5">
        <w:rPr>
          <w:rStyle w:val="libFootnoteBoldChar"/>
          <w:rtl/>
        </w:rPr>
        <w:t>والاستبصار</w:t>
      </w:r>
      <w:r w:rsidR="00E3253D" w:rsidRPr="005D642E">
        <w:rPr>
          <w:rtl/>
        </w:rPr>
        <w:t xml:space="preserve"> : + « وقت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137 ، ح 382 ، معلّقاً عن محمّد بن يحيى ؛ </w:t>
      </w:r>
      <w:r w:rsidR="00E3253D" w:rsidRPr="002F4D34">
        <w:rPr>
          <w:rStyle w:val="libFootnoteBoldChar"/>
          <w:rtl/>
        </w:rPr>
        <w:t>الاستبصار</w:t>
      </w:r>
      <w:r w:rsidR="00E3253D" w:rsidRPr="005D642E">
        <w:rPr>
          <w:rtl/>
        </w:rPr>
        <w:t xml:space="preserve"> ، ج 1 ، ص 122 ، ح 412 ، معلّقاً عن محمّد بن أحمد بن يحيى ، عن محمّد بن الحسين. </w:t>
      </w:r>
      <w:r w:rsidR="00E3253D" w:rsidRPr="002F4D34">
        <w:rPr>
          <w:rStyle w:val="libFootnoteBoldChar"/>
          <w:rtl/>
        </w:rPr>
        <w:t>التهذيب</w:t>
      </w:r>
      <w:r w:rsidR="00E3253D" w:rsidRPr="005D642E">
        <w:rPr>
          <w:rtl/>
        </w:rPr>
        <w:t xml:space="preserve"> ، ج 1 ، ص 370 ، ضمن ح 1130 ، بسند آخر عن محمّد بن مسلم ، عن أبي جعفر وأبي عبدالله </w:t>
      </w:r>
      <w:r w:rsidR="00E3253D" w:rsidRPr="00B60612">
        <w:rPr>
          <w:rStyle w:val="libFootnoteAlaemChar"/>
          <w:rtl/>
        </w:rPr>
        <w:t>عليهما‌السلام</w:t>
      </w:r>
      <w:r w:rsidR="00E3253D" w:rsidRPr="005D642E">
        <w:rPr>
          <w:rtl/>
        </w:rPr>
        <w:t xml:space="preserve">. </w:t>
      </w:r>
      <w:r w:rsidR="00E3253D" w:rsidRPr="002F4D34">
        <w:rPr>
          <w:rStyle w:val="libFootnoteBoldChar"/>
          <w:rtl/>
        </w:rPr>
        <w:t>الفقيه</w:t>
      </w:r>
      <w:r w:rsidR="00E3253D" w:rsidRPr="005D642E">
        <w:rPr>
          <w:rtl/>
        </w:rPr>
        <w:t xml:space="preserve"> ، ج 1 ، ص 35 ، صدر ح 72 ، مرسلاً عن أبي جعفر </w:t>
      </w:r>
      <w:r w:rsidR="00E3253D" w:rsidRPr="00B60612">
        <w:rPr>
          <w:rStyle w:val="libFootnoteAlaemChar"/>
          <w:rtl/>
        </w:rPr>
        <w:t>عليه‌السلام</w:t>
      </w:r>
      <w:r w:rsidR="00E3253D" w:rsidRPr="005D642E">
        <w:rPr>
          <w:rtl/>
        </w:rPr>
        <w:t xml:space="preserve"> ، وفيهما من قوله : « كان رسول الله </w:t>
      </w:r>
      <w:r w:rsidRPr="00B60612">
        <w:rPr>
          <w:rStyle w:val="libFootnoteAlaemChar"/>
          <w:rtl/>
        </w:rPr>
        <w:t>صلى‌الله‌عليه‌وآله</w:t>
      </w:r>
      <w:r w:rsidR="00E3253D" w:rsidRPr="005D642E">
        <w:rPr>
          <w:rtl/>
        </w:rPr>
        <w:t xml:space="preserve"> يغتسل » مع اختلاف يسير </w:t>
      </w:r>
      <w:r w:rsidR="00B60612">
        <w:rPr>
          <w:rFonts w:hint="cs"/>
          <w:rtl/>
        </w:rPr>
        <w:t>.</w:t>
      </w:r>
      <w:r w:rsidR="00E3253D" w:rsidRPr="002F4D34">
        <w:rPr>
          <w:rStyle w:val="libFootnoteBoldChar"/>
          <w:rtl/>
        </w:rPr>
        <w:t>الوافي</w:t>
      </w:r>
      <w:r w:rsidR="00E3253D" w:rsidRPr="005D642E">
        <w:rPr>
          <w:rtl/>
        </w:rPr>
        <w:t xml:space="preserve"> ، ج 6 ، ص 523 ، ح 4842 ؛ </w:t>
      </w:r>
      <w:r w:rsidR="00E3253D" w:rsidRPr="002F4D34">
        <w:rPr>
          <w:rStyle w:val="libFootnoteBoldChar"/>
          <w:rtl/>
        </w:rPr>
        <w:t>الوسائل</w:t>
      </w:r>
      <w:r w:rsidR="00E3253D" w:rsidRPr="005D642E">
        <w:rPr>
          <w:rtl/>
        </w:rPr>
        <w:t xml:space="preserve"> ، ج 2 ، ص 242 ، ح 2049 ؛ </w:t>
      </w:r>
      <w:r w:rsidR="00E3253D" w:rsidRPr="002F4D34">
        <w:rPr>
          <w:rStyle w:val="libFootnoteBoldChar"/>
          <w:rtl/>
        </w:rPr>
        <w:t>البحار</w:t>
      </w:r>
      <w:r w:rsidR="00E3253D" w:rsidRPr="005D642E">
        <w:rPr>
          <w:rtl/>
        </w:rPr>
        <w:t xml:space="preserve"> ، ج 80 ، ص 356.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7C246F">
        <w:rPr>
          <w:rtl/>
        </w:rPr>
        <w:lastRenderedPageBreak/>
        <w:t>3906</w:t>
      </w:r>
      <w:r w:rsidRPr="00246318">
        <w:rPr>
          <w:rStyle w:val="libBold2Char"/>
          <w:rtl/>
        </w:rPr>
        <w:t xml:space="preserve"> / 6.</w:t>
      </w:r>
      <w:r w:rsidRPr="005D642E">
        <w:rPr>
          <w:rtl/>
          <w:lang w:bidi="fa-IR"/>
        </w:rPr>
        <w:t xml:space="preserve"> مُحَمَّدُ بْنُ يَحْيى ، عَنْ مُحَمَّدِ بْنِ الْحُسَيْنِ ، عَنْ يَزِيدَ بْنِ إِسْحَاقَ </w:t>
      </w:r>
      <w:r w:rsidRPr="007C12DB">
        <w:rPr>
          <w:rStyle w:val="libFootnotenumChar"/>
          <w:rtl/>
        </w:rPr>
        <w:t>(1)</w:t>
      </w:r>
      <w:r w:rsidRPr="005D642E">
        <w:rPr>
          <w:rtl/>
          <w:lang w:bidi="fa-IR"/>
        </w:rPr>
        <w:t xml:space="preserve"> ، عَنْ هَارُونَ بْنِ حَمْزَةَ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يُجْزِئُكَ مِنَ الْغُسْلِ وَالاسْتِنْجَاءِ </w:t>
      </w:r>
      <w:r w:rsidRPr="007C12DB">
        <w:rPr>
          <w:rStyle w:val="libFootnotenumChar"/>
          <w:rtl/>
        </w:rPr>
        <w:t>(2)</w:t>
      </w:r>
      <w:r w:rsidRPr="005D642E">
        <w:rPr>
          <w:rtl/>
          <w:lang w:bidi="fa-IR"/>
        </w:rPr>
        <w:t xml:space="preserve"> مَا بَلَّتْ </w:t>
      </w:r>
      <w:r w:rsidRPr="007C12DB">
        <w:rPr>
          <w:rStyle w:val="libFootnotenumChar"/>
          <w:rtl/>
        </w:rPr>
        <w:t>(3)</w:t>
      </w:r>
      <w:r w:rsidRPr="005D642E">
        <w:rPr>
          <w:rtl/>
          <w:lang w:bidi="fa-IR"/>
        </w:rPr>
        <w:t xml:space="preserve"> يَمِينُكَ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7C246F">
        <w:rPr>
          <w:rtl/>
        </w:rPr>
        <w:t>3907</w:t>
      </w:r>
      <w:r w:rsidRPr="00246318">
        <w:rPr>
          <w:rStyle w:val="libBold2Char"/>
          <w:rtl/>
        </w:rPr>
        <w:t xml:space="preserve"> / 7.</w:t>
      </w:r>
      <w:r w:rsidRPr="005D642E">
        <w:rPr>
          <w:rtl/>
          <w:lang w:bidi="fa-IR"/>
        </w:rPr>
        <w:t xml:space="preserve"> عِدَّةٌ مِنْ أَصْحَابِنَا ، عَنْ أَحْمَدَ بْنِ مُحَمَّدٍ ، عَنِ الْحُسَيْنِ بْنِ سَعِيدٍ ، عَنْ فَضَالَةَ بْنِ أَيُّوبَ ، عَنْ جَمِيلٍ ، عَنْ زُرَارَةَ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ورد الخبر في </w:t>
      </w:r>
      <w:r w:rsidR="00E3253D" w:rsidRPr="002F4D34">
        <w:rPr>
          <w:rStyle w:val="libFootnoteBoldChar"/>
          <w:rtl/>
        </w:rPr>
        <w:t>الاستبصار</w:t>
      </w:r>
      <w:r w:rsidR="00E3253D" w:rsidRPr="005D642E">
        <w:rPr>
          <w:rtl/>
        </w:rPr>
        <w:t xml:space="preserve"> ، ج 1 ، ص 122 ، ح 415 ، بسنده عن يزيد بن إسحاق ، عن إسحاق ، عن هارون بن‌حمزة الغنوي. ولم يرد « عن إسحاق » في بعض نسخه ، وهو الصواب ؛ فقد روى يزيد بن إسحاق شعر كتاب هارون بن حمزة الغنوي ، وتكرّرت روايته عنه في الأسناد. راجع : </w:t>
      </w:r>
      <w:r w:rsidR="00E3253D" w:rsidRPr="002F4D34">
        <w:rPr>
          <w:rStyle w:val="libFootnoteBoldChar"/>
          <w:rtl/>
        </w:rPr>
        <w:t>رجال النجاشي</w:t>
      </w:r>
      <w:r w:rsidR="00E3253D" w:rsidRPr="005D642E">
        <w:rPr>
          <w:rtl/>
        </w:rPr>
        <w:t xml:space="preserve"> ، ص 437 ، الرقم 1177 ؛ </w:t>
      </w:r>
      <w:r w:rsidR="0059794D" w:rsidRPr="0059794D">
        <w:rPr>
          <w:rStyle w:val="libFootnoteBoldChar"/>
          <w:rtl/>
        </w:rPr>
        <w:t>الفهرست للطوسي</w:t>
      </w:r>
      <w:r w:rsidR="00E3253D" w:rsidRPr="005D642E">
        <w:rPr>
          <w:rtl/>
        </w:rPr>
        <w:t xml:space="preserve"> ، ص 469 ، الرقم 1886 ؛ </w:t>
      </w:r>
      <w:r w:rsidR="00E3253D" w:rsidRPr="002F4D34">
        <w:rPr>
          <w:rStyle w:val="libFootnoteBoldChar"/>
          <w:rtl/>
        </w:rPr>
        <w:t>معجم رجال الحديث</w:t>
      </w:r>
      <w:r w:rsidR="00E3253D" w:rsidRPr="005D642E">
        <w:rPr>
          <w:rtl/>
        </w:rPr>
        <w:t xml:space="preserve"> ، ج 20 ، ص 258</w:t>
      </w:r>
      <w:r w:rsidR="00E3253D">
        <w:rPr>
          <w:rtl/>
        </w:rPr>
        <w:t xml:space="preserve"> </w:t>
      </w:r>
      <w:r w:rsidR="007642BC">
        <w:rPr>
          <w:rtl/>
        </w:rPr>
        <w:t>-</w:t>
      </w:r>
      <w:r w:rsidR="00E3253D">
        <w:rPr>
          <w:rtl/>
        </w:rPr>
        <w:t xml:space="preserve"> </w:t>
      </w:r>
      <w:r w:rsidR="00E3253D" w:rsidRPr="005D642E">
        <w:rPr>
          <w:rtl/>
        </w:rPr>
        <w:t>260.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يمكن قراءة « الغسل » بفتح الغين وضمّها ، وعلى الأوّل يشمل الوضوء والغسل ، والثاني يخصّ الغسل. والاستنجاء : غسل موضع النجو ، وهو ما يخرج من البطن ، أو مسحه بحجر أو مدر ، والأوّل مأخوذ من استنجيتُ الشجر إذا قطعته من أصله ؛ لأنّ الغسل يزيل الأثر. والثاني من استنجيتُ النخلة إذا التقطتَ رطبتها ؛ لأنّ المسح لايقطع النجاسة بل يبقى أثرها. وبالجملة الاستنجاء : إزالة الخبث من المخرجين. وقال في </w:t>
      </w:r>
      <w:r w:rsidR="00E3253D" w:rsidRPr="002F4D34">
        <w:rPr>
          <w:rStyle w:val="libFootnoteBoldChar"/>
          <w:rtl/>
        </w:rPr>
        <w:t>الوافي</w:t>
      </w:r>
      <w:r w:rsidR="00E3253D" w:rsidRPr="005D642E">
        <w:rPr>
          <w:rtl/>
        </w:rPr>
        <w:t xml:space="preserve"> : « واريد بالاستنجاء تطهير الفرج من النجاسة سواء كانت البول أو المنيّ أو الغائط ؛ وذلك لأنّ إزالة العين لايتعيّن أن تكون بالماء ، بل يكفي فيه الخرقة ونحوها ، فيجزي للتطهير جريان أدنى ماء عليه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68 : « لعلّ المراد بالاستنجاء الاستنجاء من البول بقرينة اليمين »</w:t>
      </w:r>
      <w:r w:rsidR="00E3253D">
        <w:rPr>
          <w:rtl/>
        </w:rPr>
        <w:t>.</w:t>
      </w:r>
      <w:r w:rsidR="00E3253D" w:rsidRPr="005D642E">
        <w:rPr>
          <w:rtl/>
        </w:rPr>
        <w:t xml:space="preserve"> وانظر : </w:t>
      </w:r>
      <w:r w:rsidR="00E3253D" w:rsidRPr="002F4D34">
        <w:rPr>
          <w:rStyle w:val="libFootnoteBoldChar"/>
          <w:rtl/>
        </w:rPr>
        <w:t>الصحاح</w:t>
      </w:r>
      <w:r w:rsidR="00E3253D" w:rsidRPr="005D642E">
        <w:rPr>
          <w:rtl/>
        </w:rPr>
        <w:t xml:space="preserve"> ، ج 6 ، ص 2502 ؛ </w:t>
      </w:r>
      <w:r w:rsidR="00E3253D" w:rsidRPr="002F4D34">
        <w:rPr>
          <w:rStyle w:val="libFootnoteBoldChar"/>
          <w:rtl/>
        </w:rPr>
        <w:t>المصباح المنير</w:t>
      </w:r>
      <w:r w:rsidR="00E3253D" w:rsidRPr="005D642E">
        <w:rPr>
          <w:rtl/>
        </w:rPr>
        <w:t xml:space="preserve"> ، ص 514 ( نجا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w:t>
      </w:r>
      <w:r w:rsidR="000D749A" w:rsidRPr="000D749A">
        <w:rPr>
          <w:rStyle w:val="libFootnoteBoldChar"/>
          <w:rtl/>
        </w:rPr>
        <w:t>والمرآة</w:t>
      </w:r>
      <w:r w:rsidR="00E3253D" w:rsidRPr="005D642E">
        <w:rPr>
          <w:rtl/>
        </w:rPr>
        <w:t xml:space="preserve"> والوسائل. وفي المطبوع : « ملئت »</w:t>
      </w:r>
      <w:r w:rsidR="00E3253D">
        <w:rPr>
          <w:rtl/>
        </w:rPr>
        <w:t>.</w:t>
      </w:r>
      <w:r w:rsidR="00E3253D" w:rsidRPr="005D642E">
        <w:rPr>
          <w:rtl/>
        </w:rPr>
        <w:t xml:space="preserve"> وفي التهذيب </w:t>
      </w:r>
      <w:r w:rsidR="00E3253D" w:rsidRPr="00E678B5">
        <w:rPr>
          <w:rStyle w:val="libFootnoteBoldChar"/>
          <w:rtl/>
        </w:rPr>
        <w:t>والاستبصار</w:t>
      </w:r>
      <w:r w:rsidR="00E3253D" w:rsidRPr="005D642E">
        <w:rPr>
          <w:rtl/>
        </w:rPr>
        <w:t xml:space="preserve"> : « بللت يدك » بدل « بلّت يمينك »</w:t>
      </w:r>
      <w:r w:rsidR="00E3253D">
        <w:rPr>
          <w:rtl/>
        </w:rPr>
        <w:t>.</w:t>
      </w:r>
      <w:r w:rsidR="0059794D">
        <w:rPr>
          <w:rtl/>
        </w:rPr>
        <w:t xml:space="preserve"> وقال العل</w:t>
      </w:r>
      <w:r w:rsidR="0059794D">
        <w:rPr>
          <w:rFonts w:hint="cs"/>
          <w:rtl/>
        </w:rPr>
        <w:t>ّ</w:t>
      </w:r>
      <w:r w:rsidR="0059794D">
        <w:rPr>
          <w:rtl/>
        </w:rPr>
        <w:t>ا</w:t>
      </w:r>
      <w:r w:rsidR="00E3253D" w:rsidRPr="005D642E">
        <w:rPr>
          <w:rtl/>
        </w:rPr>
        <w:t>مة المجلسي في المرآة : « لعلّ المراد ببللها أخذ ماء قليل بها مرّة واحدة ، ويؤيّده أنّ في بعض النسخ القديمة : ما ملّت يمينك ، فيكون أصله ملأت فخفّف وحذف ، وعلى التقديرين يدلّ على عدم وجوب التعدّد في الاستنجاء. وقد يقرأ على النسخة الا</w:t>
      </w:r>
      <w:r w:rsidR="0059794D">
        <w:rPr>
          <w:rFonts w:hint="cs"/>
          <w:rtl/>
        </w:rPr>
        <w:t>ُ</w:t>
      </w:r>
      <w:r w:rsidR="00E3253D" w:rsidRPr="005D642E">
        <w:rPr>
          <w:rtl/>
        </w:rPr>
        <w:t>ولى : بلت ، بالتخفيف أي عملت ، كما يقال : لله</w:t>
      </w:r>
      <w:r w:rsidR="0059794D">
        <w:rPr>
          <w:rFonts w:hint="cs"/>
          <w:rtl/>
        </w:rPr>
        <w:t xml:space="preserve"> </w:t>
      </w:r>
      <w:r w:rsidR="00E3253D" w:rsidRPr="005D642E">
        <w:rPr>
          <w:rtl/>
        </w:rPr>
        <w:t>‌بلاء فلان ، أي لا يشترط في الغسل والاستنجاء استعمال ظرف ، بل يكفي الصبّ باليد ، ولا يخفى ما فيه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138 ، ح 386 ، بسنده عن محمّد بن أحمد بن يحيى ، عن محمّد بن الحسين بن أبي الخطّاب والحسن بن موسى الخشّاب ، عن يزيد بن إسحاق. </w:t>
      </w:r>
      <w:r w:rsidR="00E3253D" w:rsidRPr="002F4D34">
        <w:rPr>
          <w:rStyle w:val="libFootnoteBoldChar"/>
          <w:rtl/>
        </w:rPr>
        <w:t>الاستبصار</w:t>
      </w:r>
      <w:r w:rsidR="00E3253D" w:rsidRPr="005D642E">
        <w:rPr>
          <w:rtl/>
        </w:rPr>
        <w:t xml:space="preserve"> ، ج 1 ، ص 122 ، ح 415 ، معلّقاً عن محمّد بن الحسين بن أبي الخطّاب والحسن بن موسى الخشّاب ، عن يزيد بن إسحاق ، عن إسحاق ، عن هارون بن حمزة الغنوي. راجع : </w:t>
      </w:r>
      <w:r w:rsidR="00E3253D" w:rsidRPr="002F4D34">
        <w:rPr>
          <w:rStyle w:val="libFootnoteBoldChar"/>
          <w:rtl/>
        </w:rPr>
        <w:t>فقه الرضا</w:t>
      </w:r>
      <w:r w:rsidR="00E3253D" w:rsidRPr="005D642E">
        <w:rPr>
          <w:rtl/>
        </w:rPr>
        <w:t xml:space="preserve"> </w:t>
      </w:r>
      <w:r w:rsidR="00E3253D" w:rsidRPr="0059794D">
        <w:rPr>
          <w:rStyle w:val="libFootnoteAlaemChar"/>
          <w:rtl/>
        </w:rPr>
        <w:t>عليه‌السلام</w:t>
      </w:r>
      <w:r w:rsidR="00E3253D" w:rsidRPr="005D642E">
        <w:rPr>
          <w:rtl/>
        </w:rPr>
        <w:t xml:space="preserve"> ، ص 81 </w:t>
      </w:r>
      <w:r w:rsidR="0059794D">
        <w:rPr>
          <w:rFonts w:hint="cs"/>
          <w:rtl/>
        </w:rPr>
        <w:t>.</w:t>
      </w:r>
      <w:r w:rsidR="00E3253D" w:rsidRPr="002F4D34">
        <w:rPr>
          <w:rStyle w:val="libFootnoteBoldChar"/>
          <w:rtl/>
        </w:rPr>
        <w:t>الوافي</w:t>
      </w:r>
      <w:r w:rsidR="00E3253D" w:rsidRPr="005D642E">
        <w:rPr>
          <w:rtl/>
        </w:rPr>
        <w:t xml:space="preserve"> ، ج 6 ، ص 311 ، ح 4360 ؛ </w:t>
      </w:r>
      <w:r w:rsidR="00E3253D" w:rsidRPr="002F4D34">
        <w:rPr>
          <w:rStyle w:val="libFootnoteBoldChar"/>
          <w:rtl/>
        </w:rPr>
        <w:t>الوسائل</w:t>
      </w:r>
      <w:r w:rsidR="00E3253D" w:rsidRPr="005D642E">
        <w:rPr>
          <w:rtl/>
        </w:rPr>
        <w:t xml:space="preserve"> ، ج 1 ، ص 322 ، ح 850 ؛ وج 2 ، ص 241 ، ح 2047.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جَعْفَرٍ </w:t>
      </w:r>
      <w:r w:rsidRPr="00AC51C5">
        <w:rPr>
          <w:rStyle w:val="libAlaemChar"/>
          <w:rtl/>
        </w:rPr>
        <w:t>عليه‌السلام</w:t>
      </w:r>
      <w:r w:rsidRPr="005D642E">
        <w:rPr>
          <w:rtl/>
          <w:lang w:bidi="fa-IR"/>
        </w:rPr>
        <w:t xml:space="preserve"> فِي الْوُضُوءِ ، قَالَ : « إِذَا مَسَّ جِلْدَكَ الْمَاءُ ، فَحَسْبُكَ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7C246F">
        <w:rPr>
          <w:rtl/>
        </w:rPr>
        <w:t>3908</w:t>
      </w:r>
      <w:r w:rsidRPr="00246318">
        <w:rPr>
          <w:rStyle w:val="libBold2Char"/>
          <w:rtl/>
        </w:rPr>
        <w:t xml:space="preserve"> / 8.</w:t>
      </w:r>
      <w:r w:rsidRPr="005D642E">
        <w:rPr>
          <w:rtl/>
          <w:lang w:bidi="fa-IR"/>
        </w:rPr>
        <w:t xml:space="preserve"> عَلِيٌّ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لَهُ : الرَّجُلُ يُجْنِبُ ، فَيَرْتَمِسُ فِي الْمَاءِ ارْتِمَاسَةً وَاحِدَةً وَيَخْرُجُ </w:t>
      </w:r>
      <w:r w:rsidRPr="007C12DB">
        <w:rPr>
          <w:rStyle w:val="libFootnotenumChar"/>
          <w:rtl/>
        </w:rPr>
        <w:t>(3)</w:t>
      </w:r>
      <w:r w:rsidRPr="005D642E">
        <w:rPr>
          <w:rtl/>
          <w:lang w:bidi="fa-IR"/>
        </w:rPr>
        <w:t xml:space="preserve"> ، يُجْزِئُهُ </w:t>
      </w:r>
      <w:r w:rsidRPr="007C12DB">
        <w:rPr>
          <w:rStyle w:val="libFootnotenumChar"/>
          <w:rtl/>
        </w:rPr>
        <w:t>(4)</w:t>
      </w:r>
      <w:r w:rsidRPr="005D642E">
        <w:rPr>
          <w:rtl/>
          <w:lang w:bidi="fa-IR"/>
        </w:rPr>
        <w:t xml:space="preserve"> ذلِكَ مِنْ </w:t>
      </w:r>
      <w:r w:rsidRPr="007C12DB">
        <w:rPr>
          <w:rStyle w:val="libFootnotenumChar"/>
          <w:rtl/>
        </w:rPr>
        <w:t>(5)</w:t>
      </w:r>
      <w:r w:rsidRPr="005D642E">
        <w:rPr>
          <w:rtl/>
          <w:lang w:bidi="fa-IR"/>
        </w:rPr>
        <w:t xml:space="preserve"> غُسْلِهِ</w:t>
      </w:r>
      <w:r>
        <w:rPr>
          <w:rtl/>
          <w:lang w:bidi="fa-IR"/>
        </w:rPr>
        <w:t>؟</w:t>
      </w:r>
      <w:r w:rsidRPr="005D642E">
        <w:rPr>
          <w:rtl/>
          <w:lang w:bidi="fa-IR"/>
        </w:rPr>
        <w:t xml:space="preserve"> قَالَ : « نَعَمْ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7C246F">
        <w:rPr>
          <w:rtl/>
        </w:rPr>
        <w:t>3909</w:t>
      </w:r>
      <w:r w:rsidRPr="00246318">
        <w:rPr>
          <w:rStyle w:val="libBold2Char"/>
          <w:rtl/>
        </w:rPr>
        <w:t xml:space="preserve"> / 9.</w:t>
      </w:r>
      <w:r w:rsidRPr="005D642E">
        <w:rPr>
          <w:rtl/>
          <w:lang w:bidi="fa-IR"/>
        </w:rPr>
        <w:t xml:space="preserve"> عَلِيُّ بْنُ مُحَمَّدٍ وَغَيْرُهُ ، عَنْ سَهْلِ بْنِ زِيَادٍ ، عَنْ مُحَمَّدِ بْنِ الْحَسَنِ بْنِ شَمُّونٍ ، عَنْ حَمَّادِ بْنِ عِيسى ، عَنْ حَرِيزٍ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لِلّهِ مَلَكاً يَكْتُبُ سَرَفَ الْوَضُوءِ كَمَا يَكْتُبُ عُدْوَانَهُ</w:t>
      </w:r>
      <w:r w:rsidRPr="007C12DB">
        <w:rPr>
          <w:rStyle w:val="libFootnotenumChar"/>
          <w:rtl/>
        </w:rPr>
        <w:t>(7)</w:t>
      </w:r>
      <w:r w:rsidRPr="005D642E">
        <w:rPr>
          <w:rtl/>
          <w:lang w:bidi="fa-IR"/>
        </w:rPr>
        <w:t>»</w:t>
      </w:r>
      <w:r>
        <w:rPr>
          <w:rtl/>
          <w:lang w:bidi="fa-IR"/>
        </w:rPr>
        <w:t>.</w:t>
      </w:r>
      <w:r w:rsidRPr="007C12DB">
        <w:rPr>
          <w:rStyle w:val="libFootnotenumChar"/>
          <w:rtl/>
        </w:rPr>
        <w:t>(8)</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واستدلّ به</w:t>
      </w:r>
      <w:r w:rsidR="00E3253D">
        <w:rPr>
          <w:rtl/>
        </w:rPr>
        <w:t xml:space="preserve"> </w:t>
      </w:r>
      <w:r w:rsidR="007642BC">
        <w:rPr>
          <w:rtl/>
        </w:rPr>
        <w:t>-</w:t>
      </w:r>
      <w:r w:rsidR="00E3253D">
        <w:rPr>
          <w:rtl/>
        </w:rPr>
        <w:t xml:space="preserve"> </w:t>
      </w:r>
      <w:r w:rsidR="00E3253D" w:rsidRPr="005D642E">
        <w:rPr>
          <w:rtl/>
        </w:rPr>
        <w:t>أي بهذا الحديث</w:t>
      </w:r>
      <w:r w:rsidR="00E3253D">
        <w:rPr>
          <w:rtl/>
        </w:rPr>
        <w:t xml:space="preserve"> </w:t>
      </w:r>
      <w:r w:rsidR="007642BC">
        <w:rPr>
          <w:rtl/>
        </w:rPr>
        <w:t>-</w:t>
      </w:r>
      <w:r w:rsidR="00E3253D">
        <w:rPr>
          <w:rtl/>
        </w:rPr>
        <w:t xml:space="preserve"> </w:t>
      </w:r>
      <w:r w:rsidR="00E3253D" w:rsidRPr="005D642E">
        <w:rPr>
          <w:rtl/>
        </w:rPr>
        <w:t>على عدم وجود الدلك وإمرار اليد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137 ، ح 381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123 ، ح 417 ، معلّقاً عن الحسين بن سعيد </w:t>
      </w:r>
      <w:r w:rsidR="0059794D">
        <w:rPr>
          <w:rFonts w:hint="cs"/>
          <w:rtl/>
        </w:rPr>
        <w:t>.</w:t>
      </w:r>
      <w:r w:rsidR="00E3253D" w:rsidRPr="002F4D34">
        <w:rPr>
          <w:rStyle w:val="libFootnoteBoldChar"/>
          <w:rtl/>
        </w:rPr>
        <w:t>الوافي</w:t>
      </w:r>
      <w:r w:rsidR="00E3253D" w:rsidRPr="005D642E">
        <w:rPr>
          <w:rtl/>
        </w:rPr>
        <w:t xml:space="preserve"> ، ج 6 ، ص 310 ، ح 4355 ؛ </w:t>
      </w:r>
      <w:r w:rsidR="00E3253D" w:rsidRPr="002F4D34">
        <w:rPr>
          <w:rStyle w:val="libFootnoteBoldChar"/>
          <w:rtl/>
        </w:rPr>
        <w:t>الوسائل</w:t>
      </w:r>
      <w:r w:rsidR="00E3253D" w:rsidRPr="005D642E">
        <w:rPr>
          <w:rtl/>
        </w:rPr>
        <w:t xml:space="preserve"> ، ج 1 ، ص 485 ، ح 1284.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وفي المطبوع : « فيخرج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 « أيجزئه »</w:t>
      </w:r>
      <w:r w:rsidR="00E3253D">
        <w:rPr>
          <w:rtl/>
        </w:rPr>
        <w:t>.</w:t>
      </w:r>
      <w:r w:rsidR="00E3253D" w:rsidRPr="005D642E">
        <w:rPr>
          <w:rtl/>
        </w:rPr>
        <w:t xml:space="preserve"> وفي « بخ » : « فيجزئه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 « عن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صفة الغسل والوضوء</w:t>
      </w:r>
      <w:r w:rsidR="00E3253D">
        <w:rPr>
          <w:rtl/>
        </w:rPr>
        <w:t xml:space="preserve"> ..</w:t>
      </w:r>
      <w:r w:rsidR="00E3253D" w:rsidRPr="005D642E">
        <w:rPr>
          <w:rtl/>
        </w:rPr>
        <w:t xml:space="preserve">. ، ح 4009 ؛ </w:t>
      </w:r>
      <w:r w:rsidR="00E3253D" w:rsidRPr="002F4D34">
        <w:rPr>
          <w:rStyle w:val="libFootnoteBoldChar"/>
          <w:rtl/>
        </w:rPr>
        <w:t>الفقيه</w:t>
      </w:r>
      <w:r w:rsidR="00E3253D" w:rsidRPr="005D642E">
        <w:rPr>
          <w:rtl/>
        </w:rPr>
        <w:t xml:space="preserve"> ، ج 1 ، ص 86 ، ح 191 ؛ </w:t>
      </w:r>
      <w:r w:rsidR="00E3253D" w:rsidRPr="002F4D34">
        <w:rPr>
          <w:rStyle w:val="libFootnoteBoldChar"/>
          <w:rtl/>
        </w:rPr>
        <w:t>التهذيب</w:t>
      </w:r>
      <w:r w:rsidR="00E3253D" w:rsidRPr="005D642E">
        <w:rPr>
          <w:rtl/>
        </w:rPr>
        <w:t xml:space="preserve"> ، ج 1 ، ص 148 ، ح 423 وضمن ح 422 ؛ وص 370 ، ضمن ح 1131 ؛ </w:t>
      </w:r>
      <w:r w:rsidR="00E3253D" w:rsidRPr="002F4D34">
        <w:rPr>
          <w:rStyle w:val="libFootnoteBoldChar"/>
          <w:rtl/>
        </w:rPr>
        <w:t>الاستبصار</w:t>
      </w:r>
      <w:r w:rsidR="00E3253D" w:rsidRPr="005D642E">
        <w:rPr>
          <w:rtl/>
        </w:rPr>
        <w:t xml:space="preserve"> ، ج 1 ، ص 125 ، ح 424. وفي كلّها بسند آخر ، مع اختلاف. </w:t>
      </w:r>
      <w:r w:rsidR="000D749A" w:rsidRPr="000D749A">
        <w:rPr>
          <w:rStyle w:val="libFootnoteBoldChar"/>
          <w:rtl/>
        </w:rPr>
        <w:t>الأمالي للصدوق</w:t>
      </w:r>
      <w:r w:rsidR="00E3253D" w:rsidRPr="005D642E">
        <w:rPr>
          <w:rtl/>
        </w:rPr>
        <w:t xml:space="preserve"> ، ص 647 ، المجلس 93 ، ضمن إملاء الصدوق في وصف دين الإماميّة على الإيجاز والاختصار ، مع اختلاف </w:t>
      </w:r>
      <w:r w:rsidR="000D749A">
        <w:rPr>
          <w:rFonts w:hint="cs"/>
          <w:rtl/>
        </w:rPr>
        <w:t>.</w:t>
      </w:r>
      <w:r w:rsidR="00E3253D" w:rsidRPr="002F4D34">
        <w:rPr>
          <w:rStyle w:val="libFootnoteBoldChar"/>
          <w:rtl/>
        </w:rPr>
        <w:t>الوافي</w:t>
      </w:r>
      <w:r w:rsidR="00E3253D" w:rsidRPr="005D642E">
        <w:rPr>
          <w:rtl/>
        </w:rPr>
        <w:t xml:space="preserve"> ، ج 6 ، ص 521 ، ح 4836 ؛ </w:t>
      </w:r>
      <w:r w:rsidR="00E3253D" w:rsidRPr="002F4D34">
        <w:rPr>
          <w:rStyle w:val="libFootnoteBoldChar"/>
          <w:rtl/>
        </w:rPr>
        <w:t>الوسائل</w:t>
      </w:r>
      <w:r w:rsidR="00E3253D" w:rsidRPr="005D642E">
        <w:rPr>
          <w:rtl/>
        </w:rPr>
        <w:t xml:space="preserve"> ، ج 2 ، ص 232 ، ح 2025.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ى ، بث ، بح ، بخ ، بف ، جس ، جن » : « عذاوته »</w:t>
      </w:r>
      <w:r w:rsidR="00E3253D">
        <w:rPr>
          <w:rtl/>
        </w:rPr>
        <w:t>.</w:t>
      </w:r>
      <w:r w:rsidR="00E3253D" w:rsidRPr="005D642E">
        <w:rPr>
          <w:rtl/>
        </w:rPr>
        <w:t xml:space="preserve"> وفي « بس » : « عذاوته »</w:t>
      </w:r>
      <w:r w:rsidR="00E3253D">
        <w:rPr>
          <w:rtl/>
        </w:rPr>
        <w:t>.</w:t>
      </w:r>
      <w:r w:rsidR="00E3253D" w:rsidRPr="005D642E">
        <w:rPr>
          <w:rtl/>
        </w:rPr>
        <w:t xml:space="preserve"> ويعني بالسرف صرف الماء أكثر ممّا ينبغي في ما حدّ الله ، كما يفعله العامّة من الغسل ثلاثاً ، وبالعدوان التجاوز عمّا حدّ الله كغسل الرجلين مكان المسح ، أو يكون المراد بالعدوان التقصير فيه بأن لا يحصل الجريان أو غسل عضو زائد على المفروض. راجع : </w:t>
      </w:r>
      <w:r w:rsidR="000D749A" w:rsidRPr="000D749A">
        <w:rPr>
          <w:rStyle w:val="libFootnoteBoldChar"/>
          <w:rtl/>
        </w:rPr>
        <w:t>والوافي</w:t>
      </w:r>
      <w:r w:rsidR="00E3253D" w:rsidRPr="002F4D34">
        <w:rPr>
          <w:rStyle w:val="libFootnoteBoldChar"/>
          <w:rtl/>
        </w:rPr>
        <w:t xml:space="preserve"> </w:t>
      </w:r>
      <w:r w:rsidR="00E3253D" w:rsidRPr="005D642E">
        <w:rPr>
          <w:rtl/>
        </w:rPr>
        <w:t xml:space="preserve">؛ </w:t>
      </w:r>
      <w:r w:rsidR="00E3253D" w:rsidRPr="002F4D34">
        <w:rPr>
          <w:rStyle w:val="libFootnoteBoldChar"/>
          <w:rtl/>
        </w:rPr>
        <w:t>مرآة العقول</w:t>
      </w:r>
      <w:r w:rsidR="00E3253D" w:rsidRPr="005D642E">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6 ، ص 310 ، ح 4356 ؛ </w:t>
      </w:r>
      <w:r w:rsidR="00E3253D" w:rsidRPr="002F4D34">
        <w:rPr>
          <w:rStyle w:val="libFootnoteBoldChar"/>
          <w:rtl/>
        </w:rPr>
        <w:t>الوسائل</w:t>
      </w:r>
      <w:r w:rsidR="00E3253D" w:rsidRPr="005D642E">
        <w:rPr>
          <w:rtl/>
        </w:rPr>
        <w:t xml:space="preserve"> ، ج 1 ، ص 485 ، ح 1283.</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63" w:name="_Toc344647231"/>
      <w:bookmarkStart w:id="64" w:name="_Toc462226746"/>
      <w:bookmarkStart w:id="65" w:name="_Toc40975854"/>
      <w:r w:rsidRPr="005D642E">
        <w:rPr>
          <w:rtl/>
          <w:lang w:bidi="fa-IR"/>
        </w:rPr>
        <w:lastRenderedPageBreak/>
        <w:t>15</w:t>
      </w:r>
      <w:r>
        <w:rPr>
          <w:rtl/>
          <w:lang w:bidi="fa-IR"/>
        </w:rPr>
        <w:t xml:space="preserve"> </w:t>
      </w:r>
      <w:r w:rsidR="007642BC">
        <w:rPr>
          <w:rtl/>
          <w:lang w:bidi="fa-IR"/>
        </w:rPr>
        <w:t>-</w:t>
      </w:r>
      <w:r>
        <w:rPr>
          <w:rtl/>
          <w:lang w:bidi="fa-IR"/>
        </w:rPr>
        <w:t xml:space="preserve"> </w:t>
      </w:r>
      <w:r w:rsidRPr="005D642E">
        <w:rPr>
          <w:rtl/>
          <w:lang w:bidi="fa-IR"/>
        </w:rPr>
        <w:t xml:space="preserve">بَابُ السِّوَاكِ </w:t>
      </w:r>
      <w:r w:rsidRPr="007C12DB">
        <w:rPr>
          <w:rStyle w:val="libFootnotenumChar"/>
          <w:rtl/>
        </w:rPr>
        <w:t>(1)</w:t>
      </w:r>
      <w:r w:rsidRPr="005D642E">
        <w:rPr>
          <w:rtl/>
          <w:lang w:bidi="fa-IR"/>
        </w:rPr>
        <w:t xml:space="preserve"> ‌</w:t>
      </w:r>
      <w:bookmarkEnd w:id="63"/>
      <w:bookmarkEnd w:id="64"/>
      <w:bookmarkEnd w:id="65"/>
    </w:p>
    <w:p w:rsidR="000D749A" w:rsidRDefault="00E3253D" w:rsidP="000D749A">
      <w:pPr>
        <w:pStyle w:val="libNormal"/>
        <w:rPr>
          <w:rtl/>
          <w:lang w:bidi="fa-IR"/>
        </w:rPr>
      </w:pPr>
      <w:r w:rsidRPr="00EF2456">
        <w:rPr>
          <w:rtl/>
        </w:rPr>
        <w:t>3910</w:t>
      </w:r>
      <w:r w:rsidRPr="00246318">
        <w:rPr>
          <w:rStyle w:val="libBold2Char"/>
          <w:rtl/>
        </w:rPr>
        <w:t xml:space="preserve"> / 1.</w:t>
      </w:r>
      <w:r w:rsidRPr="005D642E">
        <w:rPr>
          <w:rtl/>
          <w:lang w:bidi="fa-IR"/>
        </w:rPr>
        <w:t xml:space="preserve"> عَلِيُّ بْنُ مُحَمَّدٍ ، عَنْ سَهْلٍ ؛</w:t>
      </w:r>
    </w:p>
    <w:p w:rsidR="00E3253D" w:rsidRPr="005D642E" w:rsidRDefault="000D749A" w:rsidP="000D749A">
      <w:pPr>
        <w:pStyle w:val="libNormal"/>
        <w:rPr>
          <w:rtl/>
          <w:lang w:bidi="fa-IR"/>
        </w:rPr>
      </w:pPr>
      <w:r>
        <w:rPr>
          <w:rFonts w:hint="cs"/>
          <w:rtl/>
          <w:lang w:bidi="fa-IR"/>
        </w:rPr>
        <w:t xml:space="preserve">              </w:t>
      </w:r>
      <w:r w:rsidR="00E3253D" w:rsidRPr="005D642E">
        <w:rPr>
          <w:rtl/>
          <w:lang w:bidi="fa-IR"/>
        </w:rPr>
        <w:t>وَعَلِيُّ بْنُ إِبْرَاهِيمَ ، عَنْ أَبِيهِ جَمِيعاً ، عَنْ جَعْفَرِ بْنِ مُحَمَّدٍ الْأَشْعَرِيِّ ، عَنْ عَبْدِ اللهِ بْنِ مَيْمُونٍ الْقَدَّاحِ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رَكْعَتَانِ بِالسِّوَاكِ أَفْضَلُ مِنْ سَبْعِينَ رَكْعَةً بِغَيْرِ سِوَاكٍ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قَالَ : « وَقَالَ </w:t>
      </w:r>
      <w:r w:rsidRPr="007C12DB">
        <w:rPr>
          <w:rStyle w:val="libFootnotenumChar"/>
          <w:rtl/>
        </w:rPr>
        <w:t>(4)</w:t>
      </w:r>
      <w:r w:rsidRPr="005D642E">
        <w:rPr>
          <w:rtl/>
          <w:lang w:bidi="fa-IR"/>
        </w:rPr>
        <w:t xml:space="preserve"> رَسُولُ اللهِ </w:t>
      </w:r>
      <w:r w:rsidRPr="007C12DB">
        <w:rPr>
          <w:rStyle w:val="libFootnotenumChar"/>
          <w:rtl/>
        </w:rPr>
        <w:t>(5)</w:t>
      </w:r>
      <w:r w:rsidRPr="005D642E">
        <w:rPr>
          <w:rtl/>
          <w:lang w:bidi="fa-IR"/>
        </w:rPr>
        <w:t xml:space="preserve"> </w:t>
      </w:r>
      <w:r w:rsidR="0042621E" w:rsidRPr="0042621E">
        <w:rPr>
          <w:rStyle w:val="libAlaemChar"/>
          <w:rtl/>
        </w:rPr>
        <w:t>صلى‌الله‌عليه‌وآله</w:t>
      </w:r>
      <w:r w:rsidRPr="005D642E">
        <w:rPr>
          <w:rtl/>
          <w:lang w:bidi="fa-IR"/>
        </w:rPr>
        <w:t xml:space="preserve"> : لَوْ لَا</w:t>
      </w:r>
      <w:r>
        <w:rPr>
          <w:rFonts w:hint="cs"/>
          <w:rtl/>
          <w:lang w:bidi="fa-IR"/>
        </w:rPr>
        <w:t xml:space="preserve"> </w:t>
      </w:r>
      <w:r w:rsidRPr="005D642E">
        <w:rPr>
          <w:rtl/>
          <w:lang w:bidi="fa-IR"/>
        </w:rPr>
        <w:t>أَنْ أَشُقَّ عَلى أُمَّتِي ، لَأَمَرْتُهُمْ بِالسِّوَاكِ مَعَ كُلِّ صَلَاةٍ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EF2456">
        <w:rPr>
          <w:rtl/>
        </w:rPr>
        <w:t>3911</w:t>
      </w:r>
      <w:r w:rsidRPr="00246318">
        <w:rPr>
          <w:rStyle w:val="libBold2Char"/>
          <w:rtl/>
        </w:rPr>
        <w:t xml:space="preserve"> / 2.</w:t>
      </w:r>
      <w:r w:rsidRPr="005D642E">
        <w:rPr>
          <w:rtl/>
          <w:lang w:bidi="fa-IR"/>
        </w:rPr>
        <w:t xml:space="preserve"> عِدَّةٌ مِنْ أَصْحَابِنَا ، عَنْ أَحْمَدَ بْنِ مُحَمَّدٍ ، عَنِ ابْنِ مَحْبُوبٍ ، عَنْ يُونُسَ بْنِ يَعْقُوبَ ، عَنْ أَبِي أُسَامَةَ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سُنَنِ الْمُرْسَلِينَ السِّوَاكُ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D749A" w:rsidTr="000D749A">
        <w:tc>
          <w:tcPr>
            <w:tcW w:w="4006" w:type="dxa"/>
          </w:tcPr>
          <w:p w:rsidR="000D749A" w:rsidRDefault="000D749A" w:rsidP="00E3253D">
            <w:pPr>
              <w:pStyle w:val="libFootnote0"/>
              <w:rPr>
                <w:rStyle w:val="libFootnote0Char"/>
                <w:rtl/>
              </w:rPr>
            </w:pPr>
            <w:r w:rsidRPr="0042621E">
              <w:rPr>
                <w:rStyle w:val="libFootnote0Char"/>
                <w:rtl/>
              </w:rPr>
              <w:t>(1).</w:t>
            </w:r>
            <w:r>
              <w:rPr>
                <w:rtl/>
              </w:rPr>
              <w:t xml:space="preserve"> </w:t>
            </w:r>
            <w:r w:rsidRPr="005D642E">
              <w:rPr>
                <w:rtl/>
              </w:rPr>
              <w:t>في « جس » : « المسواك »</w:t>
            </w:r>
            <w:r>
              <w:rPr>
                <w:rtl/>
              </w:rPr>
              <w:t>.</w:t>
            </w:r>
          </w:p>
        </w:tc>
        <w:tc>
          <w:tcPr>
            <w:tcW w:w="4006" w:type="dxa"/>
          </w:tcPr>
          <w:p w:rsidR="000D749A" w:rsidRDefault="000D749A" w:rsidP="00E3253D">
            <w:pPr>
              <w:pStyle w:val="libFootnote0"/>
              <w:rPr>
                <w:rStyle w:val="libFootnote0Char"/>
                <w:rtl/>
              </w:rPr>
            </w:pPr>
            <w:r w:rsidRPr="0042621E">
              <w:rPr>
                <w:rStyle w:val="libFootnote0Char"/>
                <w:rtl/>
              </w:rPr>
              <w:t>(2).</w:t>
            </w:r>
            <w:r w:rsidRPr="005D642E">
              <w:rPr>
                <w:rtl/>
              </w:rPr>
              <w:t xml:space="preserve"> في « جس » </w:t>
            </w:r>
            <w:r>
              <w:rPr>
                <w:rtl/>
              </w:rPr>
              <w:t>: «بلا مسواك» بدل «بغير سواك</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المحاسن</w:t>
      </w:r>
      <w:r w:rsidR="00E3253D" w:rsidRPr="005D642E">
        <w:rPr>
          <w:rtl/>
        </w:rPr>
        <w:t xml:space="preserve"> ، ص 561 ، كتاب المآكل ، ح 949 ، عن جعفر بن محمّد ، عن ابن القدّاح ، عن أبي عبدالله ، عن آبائه </w:t>
      </w:r>
      <w:r w:rsidR="00E3253D" w:rsidRPr="000D749A">
        <w:rPr>
          <w:rStyle w:val="libFootnoteAlaemChar"/>
          <w:rtl/>
        </w:rPr>
        <w:t>عليهم‌السلام</w:t>
      </w:r>
      <w:r w:rsidR="00E3253D" w:rsidRPr="005D642E">
        <w:rPr>
          <w:rtl/>
        </w:rPr>
        <w:t xml:space="preserve"> عن رسول الله </w:t>
      </w:r>
      <w:r w:rsidRPr="000D749A">
        <w:rPr>
          <w:rStyle w:val="libFootnoteAlaemChar"/>
          <w:rtl/>
        </w:rPr>
        <w:t>صلى‌الله‌عليه‌وآله</w:t>
      </w:r>
      <w:r w:rsidR="00E3253D" w:rsidRPr="005D642E">
        <w:rPr>
          <w:rtl/>
        </w:rPr>
        <w:t xml:space="preserve">. </w:t>
      </w:r>
      <w:r w:rsidR="00E3253D" w:rsidRPr="002F4D34">
        <w:rPr>
          <w:rStyle w:val="libFootnoteBoldChar"/>
          <w:rtl/>
        </w:rPr>
        <w:t>وفيه</w:t>
      </w:r>
      <w:r w:rsidR="00E3253D" w:rsidRPr="005D642E">
        <w:rPr>
          <w:rtl/>
        </w:rPr>
        <w:t xml:space="preserve"> ، ص 562 ، ح 950 ، بسند آخر ، مع اختلاف ؛ </w:t>
      </w:r>
      <w:r w:rsidR="00E3253D" w:rsidRPr="002F4D34">
        <w:rPr>
          <w:rStyle w:val="libFootnoteBoldChar"/>
          <w:rtl/>
        </w:rPr>
        <w:t>الخصال</w:t>
      </w:r>
      <w:r w:rsidR="00E3253D" w:rsidRPr="005D642E">
        <w:rPr>
          <w:rtl/>
        </w:rPr>
        <w:t xml:space="preserve"> ، ص 480 ، أبواب الاثني عشر ، ذيل ح 52 ، بسند آخر عن النبيّ </w:t>
      </w:r>
      <w:r w:rsidRPr="000D749A">
        <w:rPr>
          <w:rStyle w:val="libFootnoteAlaemChar"/>
          <w:rtl/>
        </w:rPr>
        <w:t>صلى‌الله‌عليه‌وآله</w:t>
      </w:r>
      <w:r w:rsidR="00E3253D" w:rsidRPr="005D642E">
        <w:rPr>
          <w:rtl/>
        </w:rPr>
        <w:t xml:space="preserve">. </w:t>
      </w:r>
      <w:r w:rsidR="00E3253D" w:rsidRPr="002F4D34">
        <w:rPr>
          <w:rStyle w:val="libFootnoteBoldChar"/>
          <w:rtl/>
        </w:rPr>
        <w:t>الفقيه</w:t>
      </w:r>
      <w:r w:rsidR="00E3253D" w:rsidRPr="005D642E">
        <w:rPr>
          <w:rtl/>
        </w:rPr>
        <w:t xml:space="preserve"> ، ج 1 ، ص 54 ، ح 118 ، مرسلاً عن الباقر والصادق </w:t>
      </w:r>
      <w:r w:rsidR="00E3253D" w:rsidRPr="000D749A">
        <w:rPr>
          <w:rStyle w:val="libFootnoteAlaemChar"/>
          <w:rtl/>
        </w:rPr>
        <w:t>عليهما‌السلام</w:t>
      </w:r>
      <w:r w:rsidR="00E3253D" w:rsidRPr="005D642E">
        <w:rPr>
          <w:rtl/>
        </w:rPr>
        <w:t xml:space="preserve"> ، وفيهما مع اختلاف يسير </w:t>
      </w:r>
      <w:r w:rsidR="000D749A">
        <w:rPr>
          <w:rFonts w:hint="cs"/>
          <w:rtl/>
        </w:rPr>
        <w:t>.</w:t>
      </w:r>
      <w:r w:rsidR="00E3253D" w:rsidRPr="002F4D34">
        <w:rPr>
          <w:rStyle w:val="libFootnoteBoldChar"/>
          <w:rtl/>
        </w:rPr>
        <w:t>الوافي</w:t>
      </w:r>
      <w:r w:rsidR="00E3253D" w:rsidRPr="005D642E">
        <w:rPr>
          <w:rtl/>
        </w:rPr>
        <w:t xml:space="preserve"> ، ج 6 ، ص 673 ، ح 5224 ؛ </w:t>
      </w:r>
      <w:r w:rsidR="00E3253D" w:rsidRPr="002F4D34">
        <w:rPr>
          <w:rStyle w:val="libFootnoteBoldChar"/>
          <w:rtl/>
        </w:rPr>
        <w:t>الوسائل</w:t>
      </w:r>
      <w:r w:rsidR="00E3253D" w:rsidRPr="005D642E">
        <w:rPr>
          <w:rtl/>
        </w:rPr>
        <w:t xml:space="preserve"> ، ج 2 ، ص 19 ، ح 1353.</w:t>
      </w:r>
    </w:p>
    <w:p w:rsidR="00E3253D" w:rsidRPr="005D642E" w:rsidRDefault="0042621E" w:rsidP="000D749A">
      <w:pPr>
        <w:pStyle w:val="libFootnote0"/>
        <w:rPr>
          <w:rtl/>
          <w:lang w:bidi="fa-IR"/>
        </w:rPr>
      </w:pPr>
      <w:r w:rsidRPr="0042621E">
        <w:rPr>
          <w:rStyle w:val="libFootnote0Char"/>
          <w:rtl/>
        </w:rPr>
        <w:t>(4).</w:t>
      </w:r>
      <w:r w:rsidR="00E3253D" w:rsidRPr="005D642E">
        <w:rPr>
          <w:rtl/>
        </w:rPr>
        <w:t xml:space="preserve"> هكذا في معظم النسخ والوسائل. وفي « بح » والمطبوع : « قال » بدون الواو. وفي « بف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قال » الأوّل.</w:t>
      </w:r>
      <w:r w:rsidR="000D749A">
        <w:rPr>
          <w:rFonts w:hint="cs"/>
          <w:rtl/>
        </w:rPr>
        <w:t xml:space="preserve">                                            </w:t>
      </w:r>
      <w:r w:rsidRPr="0042621E">
        <w:rPr>
          <w:rStyle w:val="libFootnote0Char"/>
          <w:rtl/>
        </w:rPr>
        <w:t>(5).</w:t>
      </w:r>
      <w:r w:rsidR="00E3253D" w:rsidRPr="005D642E">
        <w:rPr>
          <w:rtl/>
        </w:rPr>
        <w:t xml:space="preserve"> في « جن » : « النبيّ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المحاسن</w:t>
      </w:r>
      <w:r w:rsidR="00E3253D" w:rsidRPr="005D642E">
        <w:rPr>
          <w:rtl/>
        </w:rPr>
        <w:t xml:space="preserve"> ، ص 561 ، كتاب المآكل ، ح 946 ، عن جعفر بن محمّد ، عن ابن القدّاح. </w:t>
      </w:r>
      <w:r w:rsidR="00E3253D" w:rsidRPr="002F4D34">
        <w:rPr>
          <w:rStyle w:val="libFootnoteBoldChar"/>
          <w:rtl/>
        </w:rPr>
        <w:t>علل الشرائع</w:t>
      </w:r>
      <w:r w:rsidR="00E3253D" w:rsidRPr="005D642E">
        <w:rPr>
          <w:rtl/>
        </w:rPr>
        <w:t xml:space="preserve"> ، ص 293 ، ح 1 ، بسنده عن عبدالله بن ميمون ، عن أبي جعفر </w:t>
      </w:r>
      <w:r w:rsidR="00E3253D" w:rsidRPr="000D749A">
        <w:rPr>
          <w:rStyle w:val="libFootnoteAlaemChar"/>
          <w:rtl/>
        </w:rPr>
        <w:t>عليه‌السلام</w:t>
      </w:r>
      <w:r w:rsidR="00E3253D" w:rsidRPr="005D642E">
        <w:rPr>
          <w:rtl/>
        </w:rPr>
        <w:t xml:space="preserve"> عن رسول الله </w:t>
      </w:r>
      <w:r w:rsidRPr="000D749A">
        <w:rPr>
          <w:rStyle w:val="libFootnoteAlaemChar"/>
          <w:rtl/>
        </w:rPr>
        <w:t>صلى‌الله‌عليه‌وآله</w:t>
      </w:r>
      <w:r w:rsidR="00E3253D" w:rsidRPr="005D642E">
        <w:rPr>
          <w:rtl/>
        </w:rPr>
        <w:t xml:space="preserve">. </w:t>
      </w:r>
      <w:r w:rsidR="00E3253D" w:rsidRPr="002F4D34">
        <w:rPr>
          <w:rStyle w:val="libFootnoteBoldChar"/>
          <w:rtl/>
        </w:rPr>
        <w:t>الفقيه</w:t>
      </w:r>
      <w:r w:rsidR="00E3253D" w:rsidRPr="005D642E">
        <w:rPr>
          <w:rtl/>
        </w:rPr>
        <w:t xml:space="preserve"> ، ج 1 ، ص 55 ، ح 123 ، مرسلاً عن النبيّ </w:t>
      </w:r>
      <w:r w:rsidRPr="000D749A">
        <w:rPr>
          <w:rStyle w:val="libFootnoteAlaemChar"/>
          <w:rtl/>
        </w:rPr>
        <w:t>صلى‌الله‌عليه‌وآله</w:t>
      </w:r>
      <w:r w:rsidR="00E3253D" w:rsidRPr="005D642E">
        <w:rPr>
          <w:rtl/>
        </w:rPr>
        <w:t xml:space="preserve">. وراجع : </w:t>
      </w:r>
      <w:r w:rsidR="00E3253D" w:rsidRPr="002F4D34">
        <w:rPr>
          <w:rStyle w:val="libFootnoteBoldChar"/>
          <w:rtl/>
        </w:rPr>
        <w:t>الكافي</w:t>
      </w:r>
      <w:r w:rsidR="00E3253D" w:rsidRPr="005D642E">
        <w:rPr>
          <w:rtl/>
        </w:rPr>
        <w:t xml:space="preserve"> ، كتاب الزيّ والتجمّل والمروءة ، باب السواك ، ح 12763 </w:t>
      </w:r>
      <w:r w:rsidR="000D749A">
        <w:rPr>
          <w:rFonts w:hint="cs"/>
          <w:rtl/>
        </w:rPr>
        <w:t>.</w:t>
      </w:r>
      <w:r w:rsidR="00E3253D" w:rsidRPr="002F4D34">
        <w:rPr>
          <w:rStyle w:val="libFootnoteBoldChar"/>
          <w:rtl/>
        </w:rPr>
        <w:t>الوافي</w:t>
      </w:r>
      <w:r w:rsidR="00E3253D" w:rsidRPr="005D642E">
        <w:rPr>
          <w:rtl/>
        </w:rPr>
        <w:t xml:space="preserve"> ، ج 6 ، ص 673 ، ح 5224 ؛ </w:t>
      </w:r>
      <w:r w:rsidR="00E3253D" w:rsidRPr="002F4D34">
        <w:rPr>
          <w:rStyle w:val="libFootnoteBoldChar"/>
          <w:rtl/>
        </w:rPr>
        <w:t>الوسائل</w:t>
      </w:r>
      <w:r w:rsidR="00E3253D" w:rsidRPr="005D642E">
        <w:rPr>
          <w:rtl/>
        </w:rPr>
        <w:t xml:space="preserve"> ، ج 2 ، ص 19 ، ح 1354.</w:t>
      </w:r>
    </w:p>
    <w:p w:rsidR="00E3253D" w:rsidRPr="005D642E" w:rsidRDefault="0042621E" w:rsidP="000D749A">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الكافي</w:t>
      </w:r>
      <w:r w:rsidR="00E3253D" w:rsidRPr="005D642E">
        <w:rPr>
          <w:rtl/>
        </w:rPr>
        <w:t xml:space="preserve"> ، كتاب الزيّ والتجمّل والمروءة ، باب السواك ، ح 12754 </w:t>
      </w:r>
      <w:r w:rsidR="00E3253D">
        <w:rPr>
          <w:rtl/>
        </w:rPr>
        <w:t>و 1</w:t>
      </w:r>
      <w:r w:rsidR="00E3253D" w:rsidRPr="005D642E">
        <w:rPr>
          <w:rtl/>
        </w:rPr>
        <w:t xml:space="preserve">2755 ؛ </w:t>
      </w:r>
      <w:r w:rsidR="000D749A" w:rsidRPr="000D749A">
        <w:rPr>
          <w:rStyle w:val="libFootnoteBoldChar"/>
          <w:rtl/>
        </w:rPr>
        <w:t>والمحاسن</w:t>
      </w:r>
      <w:r w:rsidR="00E3253D" w:rsidRPr="005D642E">
        <w:rPr>
          <w:rtl/>
        </w:rPr>
        <w:t xml:space="preserve"> ، ص 560 ، كتاب </w:t>
      </w:r>
      <w:r w:rsidR="000D749A">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F2456">
        <w:rPr>
          <w:rtl/>
        </w:rPr>
        <w:lastRenderedPageBreak/>
        <w:t>3912</w:t>
      </w:r>
      <w:r w:rsidRPr="00246318">
        <w:rPr>
          <w:rStyle w:val="libBold2Char"/>
          <w:rtl/>
        </w:rPr>
        <w:t xml:space="preserve"> / 3.</w:t>
      </w:r>
      <w:r w:rsidRPr="005D642E">
        <w:rPr>
          <w:rtl/>
          <w:lang w:bidi="fa-IR"/>
        </w:rPr>
        <w:t xml:space="preserve"> أَحْمَدُ بْنُ مُحَمَّدٍ </w:t>
      </w:r>
      <w:r w:rsidRPr="007C12DB">
        <w:rPr>
          <w:rStyle w:val="libFootnotenumChar"/>
          <w:rtl/>
        </w:rPr>
        <w:t>(1)</w:t>
      </w:r>
      <w:r w:rsidRPr="005D642E">
        <w:rPr>
          <w:rtl/>
          <w:lang w:bidi="fa-IR"/>
        </w:rPr>
        <w:t xml:space="preserve"> ، عَنِ ابْنِ مَحْبُوبٍ ، عَنِ الْعَلَاءِ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النَّبِيُّ </w:t>
      </w:r>
      <w:r w:rsidR="0042621E" w:rsidRPr="0042621E">
        <w:rPr>
          <w:rStyle w:val="libAlaemChar"/>
          <w:rtl/>
        </w:rPr>
        <w:t>صلى‌الله‌عليه‌وآله</w:t>
      </w:r>
      <w:r w:rsidRPr="005D642E">
        <w:rPr>
          <w:rtl/>
          <w:lang w:bidi="fa-IR"/>
        </w:rPr>
        <w:t xml:space="preserve"> : مَا زَالَ جَبْرَئِيلُ </w:t>
      </w:r>
      <w:r w:rsidRPr="00AC51C5">
        <w:rPr>
          <w:rStyle w:val="libAlaemChar"/>
          <w:rtl/>
        </w:rPr>
        <w:t>عليه‌السلام</w:t>
      </w:r>
      <w:r w:rsidRPr="005D642E">
        <w:rPr>
          <w:rtl/>
          <w:lang w:bidi="fa-IR"/>
        </w:rPr>
        <w:t xml:space="preserve"> يُوصِينِي بِالسِّوَاكِ حَتّى خِفْتُ </w:t>
      </w:r>
      <w:r w:rsidRPr="007C12DB">
        <w:rPr>
          <w:rStyle w:val="libFootnotenumChar"/>
          <w:rtl/>
        </w:rPr>
        <w:t>(2)</w:t>
      </w:r>
      <w:r w:rsidRPr="005D642E">
        <w:rPr>
          <w:rtl/>
          <w:lang w:bidi="fa-IR"/>
        </w:rPr>
        <w:t xml:space="preserve"> أَنْ أُحْفِيَ أَوْ أَدْرَدَ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EF2456">
        <w:rPr>
          <w:rtl/>
        </w:rPr>
        <w:t>3913</w:t>
      </w:r>
      <w:r w:rsidRPr="00246318">
        <w:rPr>
          <w:rStyle w:val="libBold2Char"/>
          <w:rtl/>
        </w:rPr>
        <w:t xml:space="preserve"> / 4.</w:t>
      </w:r>
      <w:r w:rsidRPr="005D642E">
        <w:rPr>
          <w:rtl/>
          <w:lang w:bidi="fa-IR"/>
        </w:rPr>
        <w:t xml:space="preserve"> عَلِيُّ بْنُ إِبْرَاهِيمَ ، عَنْ أَبِيهِ ، عَنِ ابْنِ أَبِي عُمَيْرٍ ، عَنِ ابْنِ بُكَيْرٍ ، عَمَّنْ ذَكَرَهُ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فِي السِّوَاكِ ، قَالَ : « لَا تَدَعْهُ فِي كُلِّ ثَلَاثٍ </w:t>
      </w:r>
      <w:r w:rsidRPr="007C12DB">
        <w:rPr>
          <w:rStyle w:val="libFootnotenumChar"/>
          <w:rtl/>
        </w:rPr>
        <w:t>(5)</w:t>
      </w:r>
      <w:r w:rsidRPr="005D642E">
        <w:rPr>
          <w:rtl/>
          <w:lang w:bidi="fa-IR"/>
        </w:rPr>
        <w:t xml:space="preserve"> ، وَلَوْ أَنْ تُمِرَّهُ مَرَّةً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EF2456">
        <w:rPr>
          <w:rtl/>
        </w:rPr>
        <w:t>3914</w:t>
      </w:r>
      <w:r w:rsidRPr="00246318">
        <w:rPr>
          <w:rStyle w:val="libBold2Char"/>
          <w:rtl/>
        </w:rPr>
        <w:t xml:space="preserve"> / 5.</w:t>
      </w:r>
      <w:r w:rsidRPr="005D642E">
        <w:rPr>
          <w:rtl/>
          <w:lang w:bidi="fa-IR"/>
        </w:rPr>
        <w:t xml:space="preserve"> عَلِيٌّ بِإِسْنَادِهِ ، قَالَ :</w:t>
      </w:r>
    </w:p>
    <w:p w:rsidR="00E3253D" w:rsidRPr="005D642E" w:rsidRDefault="00E3253D" w:rsidP="00E3253D">
      <w:pPr>
        <w:pStyle w:val="libNormal"/>
        <w:rPr>
          <w:rtl/>
          <w:lang w:bidi="fa-IR"/>
        </w:rPr>
      </w:pPr>
      <w:r w:rsidRPr="005D642E">
        <w:rPr>
          <w:rtl/>
          <w:lang w:bidi="fa-IR"/>
        </w:rPr>
        <w:t xml:space="preserve">« أَدْنَى السِّوَاكِ أَنْ تَدْلُكَ </w:t>
      </w:r>
      <w:r w:rsidRPr="007C12DB">
        <w:rPr>
          <w:rStyle w:val="libFootnotenumChar"/>
          <w:rtl/>
        </w:rPr>
        <w:t>(7)</w:t>
      </w:r>
      <w:r w:rsidRPr="005D642E">
        <w:rPr>
          <w:rtl/>
          <w:lang w:bidi="fa-IR"/>
        </w:rPr>
        <w:t xml:space="preserve"> بِإِصْبَعِكَ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0D749A" w:rsidRPr="005D642E" w:rsidRDefault="000D749A" w:rsidP="000D749A">
      <w:pPr>
        <w:pStyle w:val="libFootnote0"/>
        <w:rPr>
          <w:rtl/>
          <w:lang w:bidi="fa-IR"/>
        </w:rPr>
      </w:pPr>
      <w:r>
        <w:rPr>
          <w:rFonts w:hint="cs"/>
          <w:rtl/>
        </w:rPr>
        <w:t xml:space="preserve">= </w:t>
      </w:r>
      <w:r w:rsidRPr="005D642E">
        <w:rPr>
          <w:rtl/>
        </w:rPr>
        <w:t xml:space="preserve">المآكل ، ح 939 ، بسند آخر ، مع اختلاف يسير ؛ </w:t>
      </w:r>
      <w:r w:rsidRPr="002F4D34">
        <w:rPr>
          <w:rStyle w:val="libFootnoteBoldChar"/>
          <w:rtl/>
        </w:rPr>
        <w:t>الخصال</w:t>
      </w:r>
      <w:r w:rsidRPr="005D642E">
        <w:rPr>
          <w:rtl/>
        </w:rPr>
        <w:t xml:space="preserve"> ، ص 242 ، باب الأربعة ، ح 93 ، بسند آخر عن جعفر بن محمّد ، عن آبائه </w:t>
      </w:r>
      <w:r w:rsidRPr="000D749A">
        <w:rPr>
          <w:rStyle w:val="libFootnoteAlaemChar"/>
          <w:rtl/>
        </w:rPr>
        <w:t>عليهم‌السلام</w:t>
      </w:r>
      <w:r w:rsidRPr="005D642E">
        <w:rPr>
          <w:rtl/>
        </w:rPr>
        <w:t xml:space="preserve"> عن رسول الله </w:t>
      </w:r>
      <w:r w:rsidRPr="000D749A">
        <w:rPr>
          <w:rStyle w:val="libFootnoteAlaemChar"/>
          <w:rtl/>
        </w:rPr>
        <w:t>صلى‌الله‌عليه‌وآله</w:t>
      </w:r>
      <w:r w:rsidRPr="005D642E">
        <w:rPr>
          <w:rtl/>
        </w:rPr>
        <w:t xml:space="preserve">. </w:t>
      </w:r>
      <w:r w:rsidRPr="002F4D34">
        <w:rPr>
          <w:rStyle w:val="libFootnoteBoldChar"/>
          <w:rtl/>
        </w:rPr>
        <w:t>الفقيه</w:t>
      </w:r>
      <w:r w:rsidRPr="005D642E">
        <w:rPr>
          <w:rtl/>
        </w:rPr>
        <w:t xml:space="preserve"> ، ج 1 ، ص 52 ، ح 111 ، مرسلاً ، وتمام الرواية فيهما : « أربع من سنن المرسلين : التعطّر والسواك والنساء والحنّاء » </w:t>
      </w:r>
      <w:r>
        <w:rPr>
          <w:rFonts w:hint="cs"/>
          <w:rtl/>
        </w:rPr>
        <w:t>.</w:t>
      </w:r>
      <w:r w:rsidRPr="002F4D34">
        <w:rPr>
          <w:rStyle w:val="libFootnoteBoldChar"/>
          <w:rtl/>
        </w:rPr>
        <w:t>الوافي</w:t>
      </w:r>
      <w:r w:rsidRPr="005D642E">
        <w:rPr>
          <w:rtl/>
        </w:rPr>
        <w:t xml:space="preserve"> ، ج 6 ، ص 671 ، ح 5218 ؛ </w:t>
      </w:r>
      <w:r w:rsidRPr="002F4D34">
        <w:rPr>
          <w:rStyle w:val="libFootnoteBoldChar"/>
          <w:rtl/>
        </w:rPr>
        <w:t>الوسائل</w:t>
      </w:r>
      <w:r w:rsidRPr="005D642E">
        <w:rPr>
          <w:rtl/>
        </w:rPr>
        <w:t xml:space="preserve"> ، ج 2 ، ص 5 ، ح 1301.</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أحمد بن محمّد ، عدّة من أصحابنا.</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الكافي ، ح 12756 </w:t>
      </w:r>
      <w:r w:rsidR="009E68BB" w:rsidRPr="009E68BB">
        <w:rPr>
          <w:rStyle w:val="libFootnoteBoldChar"/>
          <w:rtl/>
        </w:rPr>
        <w:t>وتحف العقول</w:t>
      </w:r>
      <w:r w:rsidR="00E3253D" w:rsidRPr="005D642E">
        <w:rPr>
          <w:rtl/>
        </w:rPr>
        <w:t xml:space="preserve"> </w:t>
      </w:r>
      <w:r w:rsidR="000D749A" w:rsidRPr="000D749A">
        <w:rPr>
          <w:rStyle w:val="libFootnoteBoldChar"/>
          <w:rtl/>
        </w:rPr>
        <w:t>والمحاسن</w:t>
      </w:r>
      <w:r w:rsidR="00E3253D" w:rsidRPr="005D642E">
        <w:rPr>
          <w:rtl/>
        </w:rPr>
        <w:t xml:space="preserve"> ، ح 940 </w:t>
      </w:r>
      <w:r w:rsidR="009E68BB" w:rsidRPr="009E68BB">
        <w:rPr>
          <w:rStyle w:val="libFootnoteBoldChar"/>
          <w:rtl/>
        </w:rPr>
        <w:t>وتحف العقول</w:t>
      </w:r>
      <w:r w:rsidR="00E3253D" w:rsidRPr="005D642E">
        <w:rPr>
          <w:rtl/>
        </w:rPr>
        <w:t xml:space="preserve"> : « خشيت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ا</w:t>
      </w:r>
      <w:r w:rsidR="000D749A">
        <w:rPr>
          <w:rFonts w:hint="cs"/>
          <w:rtl/>
        </w:rPr>
        <w:t>ُ</w:t>
      </w:r>
      <w:r w:rsidR="00E3253D" w:rsidRPr="005D642E">
        <w:rPr>
          <w:rtl/>
        </w:rPr>
        <w:t>حفي أو »</w:t>
      </w:r>
      <w:r w:rsidR="00E3253D">
        <w:rPr>
          <w:rtl/>
        </w:rPr>
        <w:t>.</w:t>
      </w:r>
      <w:r w:rsidR="00E3253D" w:rsidRPr="005D642E">
        <w:rPr>
          <w:rtl/>
        </w:rPr>
        <w:t xml:space="preserve"> وفي « بخ » : « </w:t>
      </w:r>
      <w:r w:rsidR="00E3253D">
        <w:rPr>
          <w:rtl/>
        </w:rPr>
        <w:t>و »</w:t>
      </w:r>
      <w:r w:rsidR="00E3253D" w:rsidRPr="005D642E">
        <w:rPr>
          <w:rtl/>
        </w:rPr>
        <w:t xml:space="preserve"> بدل « أو »</w:t>
      </w:r>
      <w:r w:rsidR="00E3253D">
        <w:rPr>
          <w:rtl/>
        </w:rPr>
        <w:t>.</w:t>
      </w:r>
      <w:r w:rsidR="00E3253D" w:rsidRPr="005D642E">
        <w:rPr>
          <w:rtl/>
        </w:rPr>
        <w:t xml:space="preserve"> والإحفاء : المبالغة والاستقصاء ، أي أستقصي على أسناني فأُذهبها بالتسّوك. وأدرد ، أي أذهب بأسناني ، من الدَرَد بمعنى ذهاب الأسنان ، يقال : دَرَدَ دَرَداً من باب تعب : سقطت أسنانه وبقيت ا</w:t>
      </w:r>
      <w:r w:rsidR="000D749A">
        <w:rPr>
          <w:rFonts w:hint="cs"/>
          <w:rtl/>
        </w:rPr>
        <w:t>ُ</w:t>
      </w:r>
      <w:r w:rsidR="00E3253D" w:rsidRPr="005D642E">
        <w:rPr>
          <w:rtl/>
        </w:rPr>
        <w:t>صولها ، فالفعلان متقاربان في المعنى ، والمراد حتّى خفّت ذهاب أس</w:t>
      </w:r>
      <w:r w:rsidR="000D749A">
        <w:rPr>
          <w:rtl/>
        </w:rPr>
        <w:t>ناني من كثرة السواك. وقال العل</w:t>
      </w:r>
      <w:r w:rsidR="000D749A">
        <w:rPr>
          <w:rFonts w:hint="cs"/>
          <w:rtl/>
        </w:rPr>
        <w:t>ّ</w:t>
      </w:r>
      <w:r w:rsidR="000D749A">
        <w:rPr>
          <w:rtl/>
        </w:rPr>
        <w:t>ا</w:t>
      </w:r>
      <w:r w:rsidR="00E3253D" w:rsidRPr="005D642E">
        <w:rPr>
          <w:rtl/>
        </w:rPr>
        <w:t>مة الفيض : « ويحتمل أن يكون الترديد من بعض الرواة »</w:t>
      </w:r>
      <w:r w:rsidR="00E3253D">
        <w:rPr>
          <w:rtl/>
        </w:rPr>
        <w:t>.</w:t>
      </w:r>
      <w:r w:rsidR="00E3253D" w:rsidRPr="005D642E">
        <w:rPr>
          <w:rtl/>
        </w:rPr>
        <w:t xml:space="preserve"> </w:t>
      </w:r>
      <w:r w:rsidR="000D749A">
        <w:rPr>
          <w:rtl/>
        </w:rPr>
        <w:t>والفعلان معلومان ، واحتمل العل</w:t>
      </w:r>
      <w:r w:rsidR="000D749A">
        <w:rPr>
          <w:rFonts w:hint="cs"/>
          <w:rtl/>
        </w:rPr>
        <w:t>ّ</w:t>
      </w:r>
      <w:r w:rsidR="000D749A">
        <w:rPr>
          <w:rtl/>
        </w:rPr>
        <w:t>ا</w:t>
      </w:r>
      <w:r w:rsidR="00E3253D" w:rsidRPr="005D642E">
        <w:rPr>
          <w:rtl/>
        </w:rPr>
        <w:t xml:space="preserve">مة المجلسي كونهما مجهولين أيضاً. راجع : </w:t>
      </w:r>
      <w:r w:rsidR="00E3253D" w:rsidRPr="002F4D34">
        <w:rPr>
          <w:rStyle w:val="libFootnoteBoldChar"/>
          <w:rtl/>
        </w:rPr>
        <w:t>النهاية</w:t>
      </w:r>
      <w:r w:rsidR="00E3253D" w:rsidRPr="005D642E">
        <w:rPr>
          <w:rtl/>
        </w:rPr>
        <w:t xml:space="preserve"> ، ج 1 ، ص 410 ( حفا ) ؛ </w:t>
      </w:r>
      <w:r w:rsidR="00E3253D" w:rsidRPr="002F4D34">
        <w:rPr>
          <w:rStyle w:val="libFootnoteBoldChar"/>
          <w:rtl/>
        </w:rPr>
        <w:t>وفيه</w:t>
      </w:r>
      <w:r w:rsidR="00E3253D" w:rsidRPr="005D642E">
        <w:rPr>
          <w:rtl/>
        </w:rPr>
        <w:t xml:space="preserve"> ، ج 2 ، ص 112 ؛ </w:t>
      </w:r>
      <w:r w:rsidR="00E3253D" w:rsidRPr="002F4D34">
        <w:rPr>
          <w:rStyle w:val="libFootnoteBoldChar"/>
          <w:rtl/>
        </w:rPr>
        <w:t>المصباح المنير</w:t>
      </w:r>
      <w:r w:rsidR="00E3253D" w:rsidRPr="005D642E">
        <w:rPr>
          <w:rtl/>
        </w:rPr>
        <w:t xml:space="preserve"> ، ص 191 ( درد ) </w:t>
      </w:r>
      <w:r w:rsidR="00E3253D" w:rsidRPr="002F4D34">
        <w:rPr>
          <w:rStyle w:val="libFootnoteBoldChar"/>
          <w:rtl/>
        </w:rPr>
        <w:t>مرآة العقول</w:t>
      </w:r>
      <w:r w:rsidR="00E3253D" w:rsidRPr="005D642E">
        <w:rPr>
          <w:rtl/>
        </w:rPr>
        <w:t xml:space="preserve"> ، ج 13 ، ص 70.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الكافي</w:t>
      </w:r>
      <w:r w:rsidR="00E3253D" w:rsidRPr="005D642E">
        <w:rPr>
          <w:rtl/>
        </w:rPr>
        <w:t xml:space="preserve"> ، كتاب الزيّ والتجمّل ، باب السواك ، ح 12756 ؛ </w:t>
      </w:r>
      <w:r w:rsidR="000D749A" w:rsidRPr="000D749A">
        <w:rPr>
          <w:rStyle w:val="libFootnoteBoldChar"/>
          <w:rtl/>
        </w:rPr>
        <w:t>والمحاسن</w:t>
      </w:r>
      <w:r w:rsidR="00E3253D" w:rsidRPr="002F4D34">
        <w:rPr>
          <w:rStyle w:val="libFootnoteBoldChar"/>
          <w:rtl/>
        </w:rPr>
        <w:t xml:space="preserve"> </w:t>
      </w:r>
      <w:r w:rsidR="00E3253D" w:rsidRPr="005D642E">
        <w:rPr>
          <w:rtl/>
        </w:rPr>
        <w:t xml:space="preserve">، ص 560 ، كتاب المآكل ، ح 941 </w:t>
      </w:r>
      <w:r w:rsidR="00E3253D">
        <w:rPr>
          <w:rtl/>
        </w:rPr>
        <w:t>و 9</w:t>
      </w:r>
      <w:r w:rsidR="00E3253D" w:rsidRPr="005D642E">
        <w:rPr>
          <w:rtl/>
        </w:rPr>
        <w:t xml:space="preserve">42 ، بسند آخر عن أبي عبدالله </w:t>
      </w:r>
      <w:r w:rsidR="00E3253D" w:rsidRPr="000D749A">
        <w:rPr>
          <w:rStyle w:val="libFootnoteAlaemChar"/>
          <w:rtl/>
        </w:rPr>
        <w:t>عليه‌السلام</w:t>
      </w:r>
      <w:r w:rsidR="00E3253D" w:rsidRPr="005D642E">
        <w:rPr>
          <w:rtl/>
        </w:rPr>
        <w:t xml:space="preserve"> عن رسول الله </w:t>
      </w:r>
      <w:r w:rsidRPr="000D749A">
        <w:rPr>
          <w:rStyle w:val="libFootnoteAlaemChar"/>
          <w:rtl/>
        </w:rPr>
        <w:t>صلى‌الله‌عليه‌وآله</w:t>
      </w:r>
      <w:r w:rsidR="00E3253D" w:rsidRPr="005D642E">
        <w:rPr>
          <w:rtl/>
        </w:rPr>
        <w:t xml:space="preserve"> ، وفي الأخيرين مع اختلاف. </w:t>
      </w:r>
      <w:r w:rsidR="00E3253D" w:rsidRPr="002F4D34">
        <w:rPr>
          <w:rStyle w:val="libFootnoteBoldChar"/>
          <w:rtl/>
        </w:rPr>
        <w:t>وفيه</w:t>
      </w:r>
      <w:r w:rsidR="00E3253D" w:rsidRPr="005D642E">
        <w:rPr>
          <w:rtl/>
        </w:rPr>
        <w:t xml:space="preserve"> ، ح 940 ؛ </w:t>
      </w:r>
      <w:r w:rsidR="000D749A" w:rsidRPr="000D749A">
        <w:rPr>
          <w:rStyle w:val="libFootnoteBoldChar"/>
          <w:rtl/>
        </w:rPr>
        <w:t>والجعفريّات</w:t>
      </w:r>
      <w:r w:rsidR="00E3253D" w:rsidRPr="002F4D34">
        <w:rPr>
          <w:rStyle w:val="libFootnoteBoldChar"/>
          <w:rtl/>
        </w:rPr>
        <w:t xml:space="preserve"> </w:t>
      </w:r>
      <w:r w:rsidR="00E3253D" w:rsidRPr="005D642E">
        <w:rPr>
          <w:rtl/>
        </w:rPr>
        <w:t xml:space="preserve">، ص 15 ، بسند آخر عن جعفر بن محمّد ، عن آبائه </w:t>
      </w:r>
      <w:r w:rsidR="00E3253D" w:rsidRPr="000D749A">
        <w:rPr>
          <w:rStyle w:val="libFootnoteAlaemChar"/>
          <w:rtl/>
        </w:rPr>
        <w:t>عليهم‌السلام</w:t>
      </w:r>
      <w:r w:rsidR="00E3253D" w:rsidRPr="005D642E">
        <w:rPr>
          <w:rtl/>
        </w:rPr>
        <w:t xml:space="preserve"> عن رسول الله </w:t>
      </w:r>
      <w:r w:rsidRPr="000D749A">
        <w:rPr>
          <w:rStyle w:val="libFootnoteAlaemChar"/>
          <w:rtl/>
        </w:rPr>
        <w:t>صلى‌الله‌عليه‌وآله</w:t>
      </w:r>
      <w:r w:rsidR="00E3253D" w:rsidRPr="005D642E">
        <w:rPr>
          <w:rtl/>
        </w:rPr>
        <w:t xml:space="preserve"> ، وفي الأخير مع اختلاف وزيادة في أوّله. </w:t>
      </w:r>
      <w:r w:rsidR="00E3253D" w:rsidRPr="002F4D34">
        <w:rPr>
          <w:rStyle w:val="libFootnoteBoldChar"/>
          <w:rtl/>
        </w:rPr>
        <w:t>الفقيه</w:t>
      </w:r>
      <w:r w:rsidR="00E3253D" w:rsidRPr="005D642E">
        <w:rPr>
          <w:rtl/>
        </w:rPr>
        <w:t xml:space="preserve"> ، ج 1 ، ص 52 ، ح 10 ، مرسلاً عن رسول الله </w:t>
      </w:r>
      <w:r w:rsidRPr="000D749A">
        <w:rPr>
          <w:rStyle w:val="libFootnoteAlaemChar"/>
          <w:rtl/>
        </w:rPr>
        <w:t>صلى‌الله‌عليه‌وآله</w:t>
      </w:r>
      <w:r w:rsidR="00E3253D" w:rsidRPr="005D642E">
        <w:rPr>
          <w:rtl/>
        </w:rPr>
        <w:t xml:space="preserve"> ، مع زيادة في آخره </w:t>
      </w:r>
      <w:r w:rsidR="00E3253D" w:rsidRPr="002F4D34">
        <w:rPr>
          <w:rStyle w:val="libFootnoteBoldChar"/>
          <w:rtl/>
        </w:rPr>
        <w:t>الوافي</w:t>
      </w:r>
      <w:r w:rsidR="00E3253D" w:rsidRPr="005D642E">
        <w:rPr>
          <w:rtl/>
        </w:rPr>
        <w:t xml:space="preserve"> ، ج 6 ، ص 671 ، ح 5219 ؛ </w:t>
      </w:r>
      <w:r w:rsidR="00E3253D" w:rsidRPr="002F4D34">
        <w:rPr>
          <w:rStyle w:val="libFootnoteBoldChar"/>
          <w:rtl/>
        </w:rPr>
        <w:t>الوسائل</w:t>
      </w:r>
      <w:r w:rsidR="00E3253D" w:rsidRPr="005D642E">
        <w:rPr>
          <w:rtl/>
        </w:rPr>
        <w:t xml:space="preserve"> ، ج 2 ، ص 5 ، ح 1300.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 « ثلاثة »</w:t>
      </w:r>
      <w:r w:rsidR="00E3253D">
        <w:rPr>
          <w:rtl/>
        </w:rPr>
        <w:t>.</w:t>
      </w:r>
    </w:p>
    <w:p w:rsidR="00E3253D" w:rsidRPr="005D642E" w:rsidRDefault="0042621E" w:rsidP="000D749A">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الفقيه</w:t>
      </w:r>
      <w:r w:rsidR="00E3253D" w:rsidRPr="005D642E">
        <w:rPr>
          <w:rtl/>
        </w:rPr>
        <w:t xml:space="preserve"> ، ج 1 ، ص 54 ، ح 119 ، مرسلاً ، مع اختلاف يسير </w:t>
      </w:r>
      <w:r w:rsidR="000D749A">
        <w:rPr>
          <w:rFonts w:hint="cs"/>
          <w:rtl/>
        </w:rPr>
        <w:t>.</w:t>
      </w:r>
      <w:r w:rsidR="00E3253D" w:rsidRPr="002F4D34">
        <w:rPr>
          <w:rStyle w:val="libFootnoteBoldChar"/>
          <w:rtl/>
        </w:rPr>
        <w:t>الوافي</w:t>
      </w:r>
      <w:r w:rsidR="00E3253D" w:rsidRPr="005D642E">
        <w:rPr>
          <w:rtl/>
        </w:rPr>
        <w:t xml:space="preserve"> ، ج 6 ، ص 673 ، ح 5225 ؛ </w:t>
      </w:r>
      <w:r w:rsidR="00E3253D" w:rsidRPr="002F4D34">
        <w:rPr>
          <w:rStyle w:val="libFootnoteBoldChar"/>
          <w:rtl/>
        </w:rPr>
        <w:t>الوسائل</w:t>
      </w:r>
      <w:r w:rsidR="00E3253D" w:rsidRPr="005D642E">
        <w:rPr>
          <w:rtl/>
        </w:rPr>
        <w:t xml:space="preserve"> ، ج 2 ، ص 15 ، ح 1340 ؛ وص 24 ، ح 1373.</w:t>
      </w:r>
      <w:r w:rsidR="000D749A">
        <w:rPr>
          <w:rFonts w:hint="cs"/>
          <w:rtl/>
        </w:rPr>
        <w:t xml:space="preserve">      </w:t>
      </w:r>
      <w:r w:rsidRPr="0042621E">
        <w:rPr>
          <w:rStyle w:val="libFootnote0Char"/>
          <w:rtl/>
        </w:rPr>
        <w:t>(7).</w:t>
      </w:r>
      <w:r w:rsidR="00E3253D" w:rsidRPr="005D642E">
        <w:rPr>
          <w:rtl/>
        </w:rPr>
        <w:t xml:space="preserve"> في الوسائل : « تدلكه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6 ، ص 678 ، ح 5246 ؛ </w:t>
      </w:r>
      <w:r w:rsidR="00E3253D" w:rsidRPr="002F4D34">
        <w:rPr>
          <w:rStyle w:val="libFootnoteBoldChar"/>
          <w:rtl/>
        </w:rPr>
        <w:t>الوسائل</w:t>
      </w:r>
      <w:r w:rsidR="00E3253D" w:rsidRPr="005D642E">
        <w:rPr>
          <w:rtl/>
        </w:rPr>
        <w:t xml:space="preserve"> ، ج 2 ، ص 24 ، ح 1374.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F2456">
        <w:rPr>
          <w:rtl/>
        </w:rPr>
        <w:lastRenderedPageBreak/>
        <w:t>3915</w:t>
      </w:r>
      <w:r w:rsidRPr="00246318">
        <w:rPr>
          <w:rStyle w:val="libBold2Char"/>
          <w:rtl/>
        </w:rPr>
        <w:t xml:space="preserve"> / 6.</w:t>
      </w:r>
      <w:r w:rsidRPr="005D642E">
        <w:rPr>
          <w:rtl/>
          <w:lang w:bidi="fa-IR"/>
        </w:rPr>
        <w:t xml:space="preserve"> أَحْمَدُ بْنُ إِدْرِيسَ ، عَنْ مُحَمَّدِ بْنِ عَبْدِ الْجَبَّارِ ، عَنْ صَفْوَانَ ، عَنِ الْمُعَلّى أَبِي </w:t>
      </w:r>
      <w:r w:rsidRPr="007C12DB">
        <w:rPr>
          <w:rStyle w:val="libFootnotenumChar"/>
          <w:rtl/>
        </w:rPr>
        <w:t>(1)</w:t>
      </w:r>
      <w:r w:rsidRPr="005D642E">
        <w:rPr>
          <w:rtl/>
          <w:lang w:bidi="fa-IR"/>
        </w:rPr>
        <w:t xml:space="preserve"> عُثْمَانَ ، عَنْ الْمُعَلَّى </w:t>
      </w:r>
      <w:r w:rsidRPr="007C12DB">
        <w:rPr>
          <w:rStyle w:val="libFootnotenumChar"/>
          <w:rtl/>
        </w:rPr>
        <w:t>(2)</w:t>
      </w:r>
      <w:r w:rsidRPr="005D642E">
        <w:rPr>
          <w:rtl/>
          <w:lang w:bidi="fa-IR"/>
        </w:rPr>
        <w:t xml:space="preserve"> بْنِ خُنَيْسٍ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السِّوَاكِ بَعْدَ الْوُضُوءِ</w:t>
      </w:r>
      <w:r>
        <w:rPr>
          <w:rtl/>
          <w:lang w:bidi="fa-IR"/>
        </w:rPr>
        <w:t>؟</w:t>
      </w:r>
    </w:p>
    <w:p w:rsidR="00E3253D" w:rsidRPr="005D642E" w:rsidRDefault="00E3253D" w:rsidP="00E3253D">
      <w:pPr>
        <w:pStyle w:val="libNormal"/>
        <w:rPr>
          <w:rtl/>
          <w:lang w:bidi="fa-IR"/>
        </w:rPr>
      </w:pPr>
      <w:r w:rsidRPr="005D642E">
        <w:rPr>
          <w:rtl/>
          <w:lang w:bidi="fa-IR"/>
        </w:rPr>
        <w:t>فَقَالَ : « الا</w:t>
      </w:r>
      <w:r w:rsidR="000D749A">
        <w:rPr>
          <w:rFonts w:hint="cs"/>
          <w:rtl/>
          <w:lang w:bidi="fa-IR"/>
        </w:rPr>
        <w:t>ِ</w:t>
      </w:r>
      <w:r w:rsidRPr="005D642E">
        <w:rPr>
          <w:rtl/>
          <w:lang w:bidi="fa-IR"/>
        </w:rPr>
        <w:t xml:space="preserve">سْتِيَاكُ قَبْلَ أَنْ تَتَوَضَّأَ </w:t>
      </w:r>
      <w:r w:rsidRPr="007C12DB">
        <w:rPr>
          <w:rStyle w:val="libFootnotenumChar"/>
          <w:rtl/>
        </w:rPr>
        <w:t>(3)</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قُلْتُ :</w:t>
      </w:r>
      <w:r>
        <w:rPr>
          <w:rtl/>
          <w:lang w:bidi="fa-IR"/>
        </w:rPr>
        <w:t xml:space="preserve"> أَ</w:t>
      </w:r>
      <w:r w:rsidRPr="005D642E">
        <w:rPr>
          <w:rtl/>
          <w:lang w:bidi="fa-IR"/>
        </w:rPr>
        <w:t xml:space="preserve">رَأَيْتَ إِنْ نَسِيَ حَتّى يَتَوَضَّأَ </w:t>
      </w:r>
      <w:r w:rsidRPr="007C12DB">
        <w:rPr>
          <w:rStyle w:val="libFootnotenumChar"/>
          <w:rtl/>
        </w:rPr>
        <w:t>(4)</w:t>
      </w:r>
      <w:r>
        <w:rPr>
          <w:rtl/>
          <w:lang w:bidi="fa-IR"/>
        </w:rPr>
        <w:t>؟</w:t>
      </w:r>
    </w:p>
    <w:p w:rsidR="00E3253D" w:rsidRPr="005D642E" w:rsidRDefault="00E3253D" w:rsidP="00E3253D">
      <w:pPr>
        <w:pStyle w:val="libNormal"/>
        <w:rPr>
          <w:rtl/>
          <w:lang w:bidi="fa-IR"/>
        </w:rPr>
      </w:pPr>
      <w:r w:rsidRPr="005D642E">
        <w:rPr>
          <w:rtl/>
          <w:lang w:bidi="fa-IR"/>
        </w:rPr>
        <w:t>قَالَ : « يَسْتَاكُ ، ثُمَّ يَتَمَضْمَضُ ثَلَاثَ مَرَّاتٍ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F2456">
        <w:rPr>
          <w:rtl/>
        </w:rPr>
        <w:t>3916</w:t>
      </w:r>
      <w:r w:rsidRPr="00246318">
        <w:rPr>
          <w:rStyle w:val="libBold2Char"/>
          <w:rtl/>
        </w:rPr>
        <w:t xml:space="preserve"> / 7.</w:t>
      </w:r>
      <w:r w:rsidRPr="005D642E">
        <w:rPr>
          <w:rtl/>
          <w:lang w:bidi="fa-IR"/>
        </w:rPr>
        <w:t xml:space="preserve"> وَرُوِيَ : « أَنَّ السُّنَّةَ فِي السِّوَاكِ فِي </w:t>
      </w:r>
      <w:r w:rsidRPr="007C12DB">
        <w:rPr>
          <w:rStyle w:val="libFootnotenumChar"/>
          <w:rtl/>
        </w:rPr>
        <w:t>(6)</w:t>
      </w:r>
      <w:r w:rsidRPr="005D642E">
        <w:rPr>
          <w:rtl/>
          <w:lang w:bidi="fa-IR"/>
        </w:rPr>
        <w:t xml:space="preserve"> وَقْتِ السَّحَرِ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EF2456">
        <w:rPr>
          <w:rtl/>
        </w:rPr>
        <w:t>3917</w:t>
      </w:r>
      <w:r w:rsidRPr="00246318">
        <w:rPr>
          <w:rStyle w:val="libBold2Char"/>
          <w:rtl/>
        </w:rPr>
        <w:t xml:space="preserve"> / 8.</w:t>
      </w:r>
      <w:r w:rsidRPr="005D642E">
        <w:rPr>
          <w:rtl/>
          <w:lang w:bidi="fa-IR"/>
        </w:rPr>
        <w:t xml:space="preserve"> عَلِيُّ بْنُ مُحَمَّدِ بْنِ بُنْدَارَ ، عَنْ إِبْرَاهِيمَ بْنِ إِسْحَاقَ الْأَحْمَرِ ، عَنْ عَبْدِ اللهِ بْنِ حَمَّادٍ ، عَنْ أَبِي بَكْرِ بْنِ أَبِي سَمَّالٍ </w:t>
      </w:r>
      <w:r w:rsidRPr="007C12DB">
        <w:rPr>
          <w:rStyle w:val="libFootnotenumChar"/>
          <w:rtl/>
        </w:rPr>
        <w:t>(8)</w:t>
      </w:r>
      <w:r w:rsidRPr="005D642E">
        <w:rPr>
          <w:rtl/>
          <w:lang w:bidi="fa-IR"/>
        </w:rPr>
        <w:t xml:space="preserve">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بس ، جح » وحاشية « بث » : « بن »</w:t>
      </w:r>
      <w:r w:rsidR="00E3253D">
        <w:rPr>
          <w:rtl/>
        </w:rPr>
        <w:t>.</w:t>
      </w:r>
      <w:r w:rsidR="00E3253D" w:rsidRPr="005D642E">
        <w:rPr>
          <w:rtl/>
        </w:rPr>
        <w:t xml:space="preserve"> والمعلّى هذا ، هو المعلّى بن عثمان أبو عثمان الأحول. راجع : </w:t>
      </w:r>
      <w:r w:rsidR="00E3253D" w:rsidRPr="002F4D34">
        <w:rPr>
          <w:rStyle w:val="libFootnoteBoldChar"/>
          <w:rtl/>
        </w:rPr>
        <w:t xml:space="preserve">رجال‌النجاشي </w:t>
      </w:r>
      <w:r w:rsidR="00E3253D" w:rsidRPr="005D642E">
        <w:rPr>
          <w:rtl/>
        </w:rPr>
        <w:t xml:space="preserve">، ص 417 ، الرقم 1115 ؛ </w:t>
      </w:r>
      <w:r w:rsidR="00E3253D" w:rsidRPr="002F4D34">
        <w:rPr>
          <w:rStyle w:val="libFootnoteBoldChar"/>
          <w:rtl/>
        </w:rPr>
        <w:t>رجال الطوسي</w:t>
      </w:r>
      <w:r w:rsidR="00E3253D" w:rsidRPr="005D642E">
        <w:rPr>
          <w:rtl/>
        </w:rPr>
        <w:t xml:space="preserve"> ، ص 304 ، الرقم 4476.</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بث ، بح ، بخ ، بس ، بف ، جح ، جس »</w:t>
      </w:r>
      <w:r w:rsidR="00E3253D">
        <w:rPr>
          <w:rtl/>
        </w:rPr>
        <w:t>.</w:t>
      </w:r>
      <w:r w:rsidR="00E3253D" w:rsidRPr="005D642E">
        <w:rPr>
          <w:rtl/>
        </w:rPr>
        <w:t xml:space="preserve"> وفي « ى ، جن » والمطبوع : « معلّى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بث ، بح ، جح ، جس » </w:t>
      </w:r>
      <w:r w:rsidR="000D749A" w:rsidRPr="000D749A">
        <w:rPr>
          <w:rStyle w:val="libFootnoteBoldChar"/>
          <w:rtl/>
        </w:rPr>
        <w:t>والوافي</w:t>
      </w:r>
      <w:r w:rsidR="00E3253D" w:rsidRPr="005D642E">
        <w:rPr>
          <w:rtl/>
        </w:rPr>
        <w:t xml:space="preserve"> </w:t>
      </w:r>
      <w:r w:rsidR="000D749A" w:rsidRPr="000D749A">
        <w:rPr>
          <w:rStyle w:val="libFootnoteBoldChar"/>
          <w:rtl/>
        </w:rPr>
        <w:t>والمحاسن</w:t>
      </w:r>
      <w:r w:rsidR="00E3253D" w:rsidRPr="005D642E">
        <w:rPr>
          <w:rtl/>
        </w:rPr>
        <w:t xml:space="preserve"> : « أن يتوضّأ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جح » : « حتّى توضّأ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المحاسن</w:t>
      </w:r>
      <w:r w:rsidR="00E3253D" w:rsidRPr="005D642E">
        <w:rPr>
          <w:rtl/>
        </w:rPr>
        <w:t xml:space="preserve"> ، ص 561 ، كتاب المآكل ، ح 947 ، عن أبيه ، عن صفوان ، عن معلّى بن عثمان. </w:t>
      </w:r>
      <w:r w:rsidR="00E3253D" w:rsidRPr="002F4D34">
        <w:rPr>
          <w:rStyle w:val="libFootnoteBoldChar"/>
          <w:rtl/>
        </w:rPr>
        <w:t>وفيه</w:t>
      </w:r>
      <w:r w:rsidR="00E3253D" w:rsidRPr="005D642E">
        <w:rPr>
          <w:rtl/>
        </w:rPr>
        <w:t xml:space="preserve"> ، ص 563 ، ح 961 ، عن بعض من رواه ، عن أبي عبدالله </w:t>
      </w:r>
      <w:r w:rsidR="00E3253D" w:rsidRPr="000D749A">
        <w:rPr>
          <w:rStyle w:val="libFootnoteAlaemChar"/>
          <w:rtl/>
        </w:rPr>
        <w:t>عليه‌السلام</w:t>
      </w:r>
      <w:r w:rsidR="00E3253D" w:rsidRPr="005D642E">
        <w:rPr>
          <w:rtl/>
        </w:rPr>
        <w:t xml:space="preserve"> ، وتمام الرواية فيه : « من استاك فليتمضمض » </w:t>
      </w:r>
      <w:r w:rsidR="000D749A">
        <w:rPr>
          <w:rFonts w:hint="cs"/>
          <w:rtl/>
        </w:rPr>
        <w:t>.</w:t>
      </w:r>
      <w:r w:rsidR="00E3253D" w:rsidRPr="002F4D34">
        <w:rPr>
          <w:rStyle w:val="libFootnoteBoldChar"/>
          <w:rtl/>
        </w:rPr>
        <w:t>الوافي</w:t>
      </w:r>
      <w:r w:rsidR="00E3253D" w:rsidRPr="005D642E">
        <w:rPr>
          <w:rtl/>
        </w:rPr>
        <w:t xml:space="preserve"> ، ج 6 ، ص 332 ، ح 5225 ؛ وص 675 ، ح 5231 ؛ </w:t>
      </w:r>
      <w:r w:rsidR="00E3253D" w:rsidRPr="002F4D34">
        <w:rPr>
          <w:rStyle w:val="libFootnoteBoldChar"/>
          <w:rtl/>
        </w:rPr>
        <w:t>الوسائل</w:t>
      </w:r>
      <w:r w:rsidR="00E3253D" w:rsidRPr="005D642E">
        <w:rPr>
          <w:rtl/>
        </w:rPr>
        <w:t xml:space="preserve"> ، ج 2 ، ص 18 ، ذيل ح 1350.</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في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481 ، ذيل ح 1390 ، مع اختلاف يسير </w:t>
      </w:r>
      <w:r w:rsidR="000D749A">
        <w:rPr>
          <w:rFonts w:hint="cs"/>
          <w:rtl/>
        </w:rPr>
        <w:t>.</w:t>
      </w:r>
      <w:r w:rsidR="00E3253D" w:rsidRPr="002F4D34">
        <w:rPr>
          <w:rStyle w:val="libFootnoteBoldChar"/>
          <w:rtl/>
        </w:rPr>
        <w:t>الوافي</w:t>
      </w:r>
      <w:r w:rsidR="00E3253D" w:rsidRPr="005D642E">
        <w:rPr>
          <w:rtl/>
        </w:rPr>
        <w:t xml:space="preserve"> ، ج 6 ، ص 675 ، ح 5232 ؛ </w:t>
      </w:r>
      <w:r w:rsidR="00E3253D" w:rsidRPr="002F4D34">
        <w:rPr>
          <w:rStyle w:val="libFootnoteBoldChar"/>
          <w:rtl/>
        </w:rPr>
        <w:t>الوسائل</w:t>
      </w:r>
      <w:r w:rsidR="00E3253D" w:rsidRPr="005D642E">
        <w:rPr>
          <w:rtl/>
        </w:rPr>
        <w:t xml:space="preserve"> ، ج 2 ، ص 21 ، ح 1363.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 جح » وحاشية الوسائل. وفي « ى ، بث ، بح ، بخ ، بس ، بف ، جس » والمطبوع </w:t>
      </w:r>
      <w:r w:rsidR="000D749A" w:rsidRPr="000D749A">
        <w:rPr>
          <w:rStyle w:val="libFootnoteBoldChar"/>
          <w:rtl/>
        </w:rPr>
        <w:t>والوافي</w:t>
      </w:r>
      <w:r w:rsidR="00E3253D" w:rsidRPr="005D642E">
        <w:rPr>
          <w:rtl/>
        </w:rPr>
        <w:t xml:space="preserve"> والوسائل : « سمّاك »</w:t>
      </w:r>
      <w:r w:rsidR="00E3253D">
        <w:rPr>
          <w:rtl/>
        </w:rPr>
        <w:t>.</w:t>
      </w:r>
      <w:r w:rsidR="00E3253D" w:rsidRPr="005D642E">
        <w:rPr>
          <w:rtl/>
        </w:rPr>
        <w:t xml:space="preserve"> وفي « جن » : « السمّاك »</w:t>
      </w:r>
      <w:r w:rsidR="00E3253D">
        <w:rPr>
          <w:rtl/>
        </w:rPr>
        <w:t>.</w:t>
      </w:r>
      <w:r w:rsidR="00E3253D" w:rsidRPr="005D642E">
        <w:rPr>
          <w:rtl/>
        </w:rPr>
        <w:t xml:space="preserve"> والظاهر أنّ أبابكر بن أبي سمّال ، هو والد إبراهيم بن أبي بكر محمّد بن الربيع بن أبي السمّال سِمعان بن هبيرة الذي ترجم له النجاشي في رجاله ، ص 21 ، الرقم 30 ، وذكره كأحد الرواة لكتاب داود بن فرقد ، في ص 158 ، الرقم 418.</w:t>
      </w:r>
    </w:p>
    <w:p w:rsidR="00E3253D" w:rsidRPr="005D642E" w:rsidRDefault="00E3253D" w:rsidP="00E3253D">
      <w:pPr>
        <w:pStyle w:val="libFootnote0"/>
        <w:rPr>
          <w:rtl/>
          <w:lang w:bidi="fa-IR"/>
        </w:rPr>
      </w:pPr>
      <w:r w:rsidRPr="00B60612">
        <w:rPr>
          <w:rtl/>
        </w:rPr>
        <w:t xml:space="preserve">وأبو سمّال ، سمعان بن هبيرة ، ذكره ابن ماكولا في </w:t>
      </w:r>
      <w:r w:rsidRPr="002F4D34">
        <w:rPr>
          <w:rStyle w:val="libFootnoteBoldChar"/>
          <w:rtl/>
        </w:rPr>
        <w:t>الإكمال</w:t>
      </w:r>
      <w:r w:rsidRPr="00B60612">
        <w:rPr>
          <w:rtl/>
        </w:rPr>
        <w:t xml:space="preserve"> ، ج 4 ، ص 353 ، وكذا الدارقطني في </w:t>
      </w:r>
      <w:r w:rsidRPr="002F4D34">
        <w:rPr>
          <w:rStyle w:val="libFootnoteBoldChar"/>
          <w:rtl/>
        </w:rPr>
        <w:t xml:space="preserve">المؤتلف </w:t>
      </w:r>
      <w:r w:rsidR="000D749A">
        <w:rPr>
          <w:rStyle w:val="libFootnoteBoldCha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أَبُو عَبْدِ اللهِ </w:t>
      </w:r>
      <w:r w:rsidRPr="00AC51C5">
        <w:rPr>
          <w:rStyle w:val="libAlaemChar"/>
          <w:rtl/>
        </w:rPr>
        <w:t>عليه‌السلام</w:t>
      </w:r>
      <w:r w:rsidRPr="005D642E">
        <w:rPr>
          <w:rtl/>
          <w:lang w:bidi="fa-IR"/>
        </w:rPr>
        <w:t xml:space="preserve"> : « إِذَا قُمْتَ بِاللَّيْلِ ، فَاسْتَكْ ؛ فَإِنَّ الْمَلَكَ يَأْتِيكَ ، فَيَضَعُ فَاهُ عَلى فِيكَ ، وَلَيْسَ </w:t>
      </w:r>
      <w:r w:rsidRPr="007C12DB">
        <w:rPr>
          <w:rStyle w:val="libFootnotenumChar"/>
          <w:rtl/>
        </w:rPr>
        <w:t>(1)</w:t>
      </w:r>
      <w:r w:rsidRPr="005D642E">
        <w:rPr>
          <w:rtl/>
          <w:lang w:bidi="fa-IR"/>
        </w:rPr>
        <w:t xml:space="preserve"> مِنْ حَرْفٍ تَتْلُوهُ وَتَنْطِقُ </w:t>
      </w:r>
      <w:r w:rsidRPr="007C12DB">
        <w:rPr>
          <w:rStyle w:val="libFootnotenumChar"/>
          <w:rtl/>
        </w:rPr>
        <w:t>(2)</w:t>
      </w:r>
      <w:r w:rsidR="000D749A">
        <w:rPr>
          <w:rtl/>
          <w:lang w:bidi="fa-IR"/>
        </w:rPr>
        <w:t xml:space="preserve"> بِهِ إِل</w:t>
      </w:r>
      <w:r w:rsidR="000D749A">
        <w:rPr>
          <w:rFonts w:hint="cs"/>
          <w:rtl/>
          <w:lang w:bidi="fa-IR"/>
        </w:rPr>
        <w:t>َّ</w:t>
      </w:r>
      <w:r w:rsidR="000D749A">
        <w:rPr>
          <w:rtl/>
          <w:lang w:bidi="fa-IR"/>
        </w:rPr>
        <w:t>ا</w:t>
      </w:r>
      <w:r w:rsidRPr="005D642E">
        <w:rPr>
          <w:rtl/>
          <w:lang w:bidi="fa-IR"/>
        </w:rPr>
        <w:t xml:space="preserve"> صَعِدَ بِهِ إِلَى السَّمَاءِ ، فَلْيَكُنْ </w:t>
      </w:r>
      <w:r w:rsidRPr="007C12DB">
        <w:rPr>
          <w:rStyle w:val="libFootnotenumChar"/>
          <w:rtl/>
        </w:rPr>
        <w:t>(3)</w:t>
      </w:r>
      <w:r w:rsidRPr="005D642E">
        <w:rPr>
          <w:rtl/>
          <w:lang w:bidi="fa-IR"/>
        </w:rPr>
        <w:t xml:space="preserve"> فُوكَ طَيِّبَ الرِّيحِ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66" w:name="_Toc344647232"/>
      <w:bookmarkStart w:id="67" w:name="_Toc462226747"/>
      <w:bookmarkStart w:id="68" w:name="_Toc40975855"/>
      <w:r w:rsidRPr="005D642E">
        <w:rPr>
          <w:rtl/>
          <w:lang w:bidi="fa-IR"/>
        </w:rPr>
        <w:t>16</w:t>
      </w:r>
      <w:r>
        <w:rPr>
          <w:rtl/>
          <w:lang w:bidi="fa-IR"/>
        </w:rPr>
        <w:t xml:space="preserve"> </w:t>
      </w:r>
      <w:r w:rsidR="007642BC">
        <w:rPr>
          <w:rtl/>
          <w:lang w:bidi="fa-IR"/>
        </w:rPr>
        <w:t>-</w:t>
      </w:r>
      <w:r>
        <w:rPr>
          <w:rtl/>
          <w:lang w:bidi="fa-IR"/>
        </w:rPr>
        <w:t xml:space="preserve"> </w:t>
      </w:r>
      <w:r w:rsidRPr="005D642E">
        <w:rPr>
          <w:rtl/>
          <w:lang w:bidi="fa-IR"/>
        </w:rPr>
        <w:t xml:space="preserve">بَابُ الْمَضْمَضَةِ </w:t>
      </w:r>
      <w:r w:rsidRPr="007C12DB">
        <w:rPr>
          <w:rStyle w:val="libFootnotenumChar"/>
          <w:rtl/>
        </w:rPr>
        <w:t>(5)</w:t>
      </w:r>
      <w:r>
        <w:rPr>
          <w:rtl/>
        </w:rPr>
        <w:t xml:space="preserve"> </w:t>
      </w:r>
      <w:r w:rsidRPr="005D642E">
        <w:rPr>
          <w:rtl/>
          <w:lang w:bidi="fa-IR"/>
        </w:rPr>
        <w:t xml:space="preserve">وَالاسْتِنْشَاقِ </w:t>
      </w:r>
      <w:r w:rsidRPr="007C12DB">
        <w:rPr>
          <w:rStyle w:val="libFootnotenumChar"/>
          <w:rtl/>
        </w:rPr>
        <w:t>(6)</w:t>
      </w:r>
      <w:r w:rsidRPr="005D642E">
        <w:rPr>
          <w:rtl/>
          <w:lang w:bidi="fa-IR"/>
        </w:rPr>
        <w:t xml:space="preserve"> ‌</w:t>
      </w:r>
      <w:bookmarkEnd w:id="66"/>
      <w:bookmarkEnd w:id="67"/>
      <w:bookmarkEnd w:id="68"/>
    </w:p>
    <w:p w:rsidR="00E3253D" w:rsidRPr="005D642E" w:rsidRDefault="00E3253D" w:rsidP="00E3253D">
      <w:pPr>
        <w:pStyle w:val="libNormal"/>
        <w:rPr>
          <w:rtl/>
          <w:lang w:bidi="fa-IR"/>
        </w:rPr>
      </w:pPr>
      <w:r w:rsidRPr="00EF2456">
        <w:rPr>
          <w:rtl/>
        </w:rPr>
        <w:t>3918</w:t>
      </w:r>
      <w:r w:rsidRPr="00246318">
        <w:rPr>
          <w:rStyle w:val="libBold2Char"/>
          <w:rtl/>
        </w:rPr>
        <w:t xml:space="preserve"> / 1.</w:t>
      </w:r>
      <w:r w:rsidRPr="005D642E">
        <w:rPr>
          <w:rtl/>
          <w:lang w:bidi="fa-IR"/>
        </w:rPr>
        <w:t xml:space="preserve"> الْحُسَيْنُ بْنُ مُحَمَّدٍ ، عَنْ مُعَلَّى بْنِ مُحَمَّدٍ ، عَنِ الْوَشَّاءِ ، عَنْ حَمَّادِ بْنِ عُثْمَانَ ، عَنْ حَكَمِ بْنِ حُكَيْمٍ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الْم</w:t>
      </w:r>
      <w:r>
        <w:rPr>
          <w:rtl/>
          <w:lang w:bidi="fa-IR"/>
        </w:rPr>
        <w:t>َضْمَضَةِ وَالاسْتِنْشَاقِ : أَ</w:t>
      </w:r>
      <w:r w:rsidRPr="005D642E">
        <w:rPr>
          <w:rtl/>
          <w:lang w:bidi="fa-IR"/>
        </w:rPr>
        <w:t xml:space="preserve">مِنَ </w:t>
      </w:r>
      <w:r w:rsidRPr="007C12DB">
        <w:rPr>
          <w:rStyle w:val="libFootnotenumChar"/>
          <w:rtl/>
        </w:rPr>
        <w:t>(7)</w:t>
      </w:r>
      <w:r w:rsidRPr="005D642E">
        <w:rPr>
          <w:rtl/>
          <w:lang w:bidi="fa-IR"/>
        </w:rPr>
        <w:t xml:space="preserve"> الْوُضُوءِ هِيَ</w:t>
      </w:r>
      <w:r>
        <w:rPr>
          <w:rtl/>
          <w:lang w:bidi="fa-IR"/>
        </w:rPr>
        <w:t>؟</w:t>
      </w:r>
      <w:r>
        <w:rPr>
          <w:rFonts w:hint="cs"/>
          <w:rtl/>
          <w:lang w:bidi="fa-IR"/>
        </w:rPr>
        <w:t xml:space="preserve"> </w:t>
      </w:r>
      <w:r w:rsidRPr="005D642E">
        <w:rPr>
          <w:rtl/>
          <w:lang w:bidi="fa-IR"/>
        </w:rPr>
        <w:t>قَالَ : « لَا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0D749A" w:rsidP="00E3253D">
      <w:pPr>
        <w:pStyle w:val="libFootnote0"/>
        <w:rPr>
          <w:rtl/>
          <w:lang w:bidi="fa-IR"/>
        </w:rPr>
      </w:pPr>
      <w:r>
        <w:rPr>
          <w:rStyle w:val="libFootnoteBoldChar"/>
          <w:rFonts w:hint="cs"/>
          <w:rtl/>
        </w:rPr>
        <w:t xml:space="preserve">= </w:t>
      </w:r>
      <w:r w:rsidR="00E3253D" w:rsidRPr="002F4D34">
        <w:rPr>
          <w:rStyle w:val="libFootnoteBoldChar"/>
          <w:rtl/>
        </w:rPr>
        <w:t>والمختلف</w:t>
      </w:r>
      <w:r w:rsidR="00E3253D" w:rsidRPr="00B60612">
        <w:rPr>
          <w:rtl/>
        </w:rPr>
        <w:t xml:space="preserve"> ، ج 3 ، ص 1240.</w:t>
      </w:r>
    </w:p>
    <w:p w:rsidR="00E3253D" w:rsidRPr="005D642E" w:rsidRDefault="00E3253D" w:rsidP="00E3253D">
      <w:pPr>
        <w:pStyle w:val="libFootnote0"/>
        <w:rPr>
          <w:rtl/>
          <w:lang w:bidi="fa-IR"/>
        </w:rPr>
      </w:pPr>
      <w:r w:rsidRPr="00B60612">
        <w:rPr>
          <w:rtl/>
        </w:rPr>
        <w:t xml:space="preserve">وما ورد في </w:t>
      </w:r>
      <w:r w:rsidRPr="002F4D34">
        <w:rPr>
          <w:rStyle w:val="libFootnoteBoldChar"/>
          <w:rtl/>
        </w:rPr>
        <w:t>علل الشرائع</w:t>
      </w:r>
      <w:r w:rsidRPr="00B60612">
        <w:rPr>
          <w:rtl/>
        </w:rPr>
        <w:t xml:space="preserve"> ، ص 293 ، ح 1 ، من نقل الخبر بسنده عن عبدالله بن حمّاد ، عن أبي بكر بن أبي سماك ، أورده ا</w:t>
      </w:r>
      <w:r w:rsidR="000D749A">
        <w:rPr>
          <w:rtl/>
        </w:rPr>
        <w:t>لعل</w:t>
      </w:r>
      <w:r w:rsidR="000D749A">
        <w:rPr>
          <w:rFonts w:hint="cs"/>
          <w:rtl/>
        </w:rPr>
        <w:t>ّ</w:t>
      </w:r>
      <w:r w:rsidR="000D749A">
        <w:rPr>
          <w:rtl/>
        </w:rPr>
        <w:t>ا</w:t>
      </w:r>
      <w:r w:rsidRPr="00B60612">
        <w:rPr>
          <w:rtl/>
        </w:rPr>
        <w:t xml:space="preserve">مة المجلسي نقلاً من </w:t>
      </w:r>
      <w:r w:rsidRPr="002F4D34">
        <w:rPr>
          <w:rStyle w:val="libFootnoteBoldChar"/>
          <w:rtl/>
        </w:rPr>
        <w:t>العلل</w:t>
      </w:r>
      <w:r w:rsidRPr="00B60612">
        <w:rPr>
          <w:rtl/>
        </w:rPr>
        <w:t xml:space="preserve"> في </w:t>
      </w:r>
      <w:r w:rsidRPr="002F4D34">
        <w:rPr>
          <w:rStyle w:val="libFootnoteBoldChar"/>
          <w:rtl/>
        </w:rPr>
        <w:t>البحار</w:t>
      </w:r>
      <w:r w:rsidRPr="00B60612">
        <w:rPr>
          <w:rtl/>
        </w:rPr>
        <w:t xml:space="preserve"> ، ج 73 ، ص 126 ، ح 4 ؛ وج 77 ، ص 341 ، ح 19 ؛ وج 84 ، ص 207 ، ح 19 والمذكور في المواضع الثلاثة هو « أبي بكر بن أبي سمّال ».</w:t>
      </w:r>
    </w:p>
    <w:p w:rsidR="00E3253D" w:rsidRDefault="00E3253D" w:rsidP="00E3253D">
      <w:pPr>
        <w:pStyle w:val="libFootnote0"/>
        <w:rPr>
          <w:rtl/>
        </w:rPr>
      </w:pPr>
      <w:r w:rsidRPr="00B60612">
        <w:rPr>
          <w:rtl/>
        </w:rPr>
        <w:t xml:space="preserve">وتبيّن ممّا مرّ أنّ ما ورد في </w:t>
      </w:r>
      <w:r w:rsidRPr="002F4D34">
        <w:rPr>
          <w:rStyle w:val="libFootnoteBoldChar"/>
          <w:rtl/>
        </w:rPr>
        <w:t>رجال الطوسي</w:t>
      </w:r>
      <w:r w:rsidRPr="00B60612">
        <w:rPr>
          <w:rtl/>
        </w:rPr>
        <w:t xml:space="preserve"> ، ص 285 ، الرقم 4144 من « محمّد بن أبي السمان النجاشي واسم أبي السمان سمعان بن هبيرة النجاشي الأسدي » ، فهو محرّف.</w:t>
      </w:r>
    </w:p>
    <w:tbl>
      <w:tblPr>
        <w:tblStyle w:val="TableGrid"/>
        <w:bidiVisual/>
        <w:tblW w:w="0" w:type="auto"/>
        <w:tblLook w:val="04A0" w:firstRow="1" w:lastRow="0" w:firstColumn="1" w:lastColumn="0" w:noHBand="0" w:noVBand="1"/>
      </w:tblPr>
      <w:tblGrid>
        <w:gridCol w:w="4006"/>
        <w:gridCol w:w="4006"/>
      </w:tblGrid>
      <w:tr w:rsidR="000D749A" w:rsidTr="000D749A">
        <w:tc>
          <w:tcPr>
            <w:tcW w:w="4006" w:type="dxa"/>
          </w:tcPr>
          <w:p w:rsidR="000D749A" w:rsidRDefault="000D749A" w:rsidP="00E3253D">
            <w:pPr>
              <w:pStyle w:val="libFootnote0"/>
              <w:rPr>
                <w:rStyle w:val="libFootnote0Char"/>
                <w:rtl/>
              </w:rPr>
            </w:pPr>
            <w:r w:rsidRPr="0042621E">
              <w:rPr>
                <w:rStyle w:val="libFootnote0Char"/>
                <w:rtl/>
              </w:rPr>
              <w:t>(1).</w:t>
            </w:r>
            <w:r>
              <w:rPr>
                <w:rtl/>
              </w:rPr>
              <w:t xml:space="preserve"> </w:t>
            </w:r>
            <w:r w:rsidRPr="005D642E">
              <w:rPr>
                <w:rtl/>
              </w:rPr>
              <w:t>في « بح ، جس » والوسائل والعلل : « فليس »</w:t>
            </w:r>
            <w:r>
              <w:rPr>
                <w:rtl/>
              </w:rPr>
              <w:t>.</w:t>
            </w:r>
          </w:p>
        </w:tc>
        <w:tc>
          <w:tcPr>
            <w:tcW w:w="4006" w:type="dxa"/>
          </w:tcPr>
          <w:p w:rsidR="000D749A" w:rsidRDefault="000D749A" w:rsidP="00E3253D">
            <w:pPr>
              <w:pStyle w:val="libFootnote0"/>
              <w:rPr>
                <w:rStyle w:val="libFootnote0Char"/>
                <w:rtl/>
              </w:rPr>
            </w:pPr>
            <w:r w:rsidRPr="0042621E">
              <w:rPr>
                <w:rStyle w:val="libFootnote0Char"/>
                <w:rtl/>
              </w:rPr>
              <w:t>(2).</w:t>
            </w:r>
            <w:r w:rsidRPr="005D642E">
              <w:rPr>
                <w:rtl/>
              </w:rPr>
              <w:t xml:space="preserve"> في « بس » : « يتلوه وينطق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فيكون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علل الشرائع</w:t>
      </w:r>
      <w:r w:rsidR="00E3253D" w:rsidRPr="005D642E">
        <w:rPr>
          <w:rtl/>
        </w:rPr>
        <w:t xml:space="preserve"> ، ص 293 ، ح 1 ، بسنده عن عبدالله بن حمّاد. </w:t>
      </w:r>
      <w:r w:rsidR="00E3253D" w:rsidRPr="002F4D34">
        <w:rPr>
          <w:rStyle w:val="libFootnoteBoldChar"/>
          <w:rtl/>
        </w:rPr>
        <w:t>المحاسن</w:t>
      </w:r>
      <w:r w:rsidR="00E3253D" w:rsidRPr="005D642E">
        <w:rPr>
          <w:rtl/>
        </w:rPr>
        <w:t xml:space="preserve"> ، ص 559 ، كتاب المآكل ، ح 930 ، بسند آخر ، مع اختلاف </w:t>
      </w:r>
      <w:r w:rsidR="000D749A">
        <w:rPr>
          <w:rFonts w:hint="cs"/>
          <w:rtl/>
        </w:rPr>
        <w:t>.</w:t>
      </w:r>
      <w:r w:rsidR="00E3253D" w:rsidRPr="002F4D34">
        <w:rPr>
          <w:rStyle w:val="libFootnoteBoldChar"/>
          <w:rtl/>
        </w:rPr>
        <w:t>الوافي</w:t>
      </w:r>
      <w:r w:rsidR="00E3253D" w:rsidRPr="005D642E">
        <w:rPr>
          <w:rtl/>
        </w:rPr>
        <w:t xml:space="preserve"> ، ج 6 ، ص 675 ، ح 5233 ؛ </w:t>
      </w:r>
      <w:r w:rsidR="00E3253D" w:rsidRPr="002F4D34">
        <w:rPr>
          <w:rStyle w:val="libFootnoteBoldChar"/>
          <w:rtl/>
        </w:rPr>
        <w:t>الوسائل</w:t>
      </w:r>
      <w:r w:rsidR="00E3253D" w:rsidRPr="005D642E">
        <w:rPr>
          <w:rtl/>
        </w:rPr>
        <w:t xml:space="preserve"> ، ج 2 ، ص 21 ، ح 1362.</w:t>
      </w:r>
    </w:p>
    <w:p w:rsidR="00E3253D" w:rsidRPr="005D642E" w:rsidRDefault="0042621E" w:rsidP="00E3253D">
      <w:pPr>
        <w:pStyle w:val="libFootnote0"/>
        <w:rPr>
          <w:rtl/>
          <w:lang w:bidi="fa-IR"/>
        </w:rPr>
      </w:pPr>
      <w:r w:rsidRPr="0042621E">
        <w:rPr>
          <w:rStyle w:val="libFootnote0Char"/>
          <w:rtl/>
        </w:rPr>
        <w:t>(5).</w:t>
      </w:r>
      <w:r w:rsidR="000D749A">
        <w:rPr>
          <w:rtl/>
        </w:rPr>
        <w:t xml:space="preserve"> « الم</w:t>
      </w:r>
      <w:r w:rsidR="000D749A">
        <w:rPr>
          <w:rFonts w:hint="cs"/>
          <w:rtl/>
        </w:rPr>
        <w:t>ـَ</w:t>
      </w:r>
      <w:r w:rsidR="00E3253D" w:rsidRPr="005D642E">
        <w:rPr>
          <w:rtl/>
        </w:rPr>
        <w:t xml:space="preserve">ضْمَضَةُ » : تحريك الماء بالإدارة في الفم. راجع : </w:t>
      </w:r>
      <w:r w:rsidR="00E3253D" w:rsidRPr="002F4D34">
        <w:rPr>
          <w:rStyle w:val="libFootnoteBoldChar"/>
          <w:rtl/>
        </w:rPr>
        <w:t>الصحاح</w:t>
      </w:r>
      <w:r w:rsidR="00E3253D" w:rsidRPr="005D642E">
        <w:rPr>
          <w:rtl/>
        </w:rPr>
        <w:t xml:space="preserve"> ، ج 3 ، ص 1106 ؛ </w:t>
      </w:r>
      <w:r w:rsidR="00E3253D" w:rsidRPr="002F4D34">
        <w:rPr>
          <w:rStyle w:val="libFootnoteBoldChar"/>
          <w:rtl/>
        </w:rPr>
        <w:t>المصباح المنير</w:t>
      </w:r>
      <w:r w:rsidR="00E3253D" w:rsidRPr="005D642E">
        <w:rPr>
          <w:rtl/>
        </w:rPr>
        <w:t xml:space="preserve"> ، ص 575 ( مضض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الاستنشاق » : جعل الماء في الأنف وجذبه بالنَفَس لينزل ما في الأنف ، فكأنّ الماء مجعول للاشتمام مجاز ، فهو من استنشاق الريح إذا شممتها مع قوّة. راجع : </w:t>
      </w:r>
      <w:r w:rsidR="00E3253D" w:rsidRPr="002F4D34">
        <w:rPr>
          <w:rStyle w:val="libFootnoteBoldChar"/>
          <w:rtl/>
        </w:rPr>
        <w:t>النهاية</w:t>
      </w:r>
      <w:r w:rsidR="00E3253D" w:rsidRPr="005D642E">
        <w:rPr>
          <w:rtl/>
        </w:rPr>
        <w:t xml:space="preserve"> ، ج 5 ، ص 59 ؛ </w:t>
      </w:r>
      <w:r w:rsidR="00E3253D" w:rsidRPr="002F4D34">
        <w:rPr>
          <w:rStyle w:val="libFootnoteBoldChar"/>
          <w:rtl/>
        </w:rPr>
        <w:t>المصباح المنير</w:t>
      </w:r>
      <w:r w:rsidR="000D749A">
        <w:rPr>
          <w:rtl/>
        </w:rPr>
        <w:t xml:space="preserve"> ، ص 606 (نشق</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من » بدون الهمزة.</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78 ، ح 199 ؛ </w:t>
      </w:r>
      <w:r w:rsidR="00E3253D" w:rsidRPr="00E678B5">
        <w:rPr>
          <w:rStyle w:val="libFootnoteBoldChar"/>
          <w:rtl/>
        </w:rPr>
        <w:t>والاستبصار</w:t>
      </w:r>
      <w:r w:rsidR="00E3253D" w:rsidRPr="005D642E">
        <w:rPr>
          <w:rtl/>
        </w:rPr>
        <w:t xml:space="preserve"> ، ج 1 ، ص 66 ، ح 199 ، بسند آخر عن أبي جعفر </w:t>
      </w:r>
      <w:r w:rsidR="00E3253D" w:rsidRPr="000D749A">
        <w:rPr>
          <w:rStyle w:val="libFootnoteAlaemChar"/>
          <w:rtl/>
        </w:rPr>
        <w:t>عليه‌السلام</w:t>
      </w:r>
      <w:r w:rsidR="00E3253D" w:rsidRPr="005D642E">
        <w:rPr>
          <w:rtl/>
        </w:rPr>
        <w:t xml:space="preserve"> ، وتمام </w:t>
      </w:r>
      <w:r w:rsidR="000D749A">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F2456">
        <w:rPr>
          <w:rtl/>
        </w:rPr>
        <w:lastRenderedPageBreak/>
        <w:t>3919</w:t>
      </w:r>
      <w:r w:rsidRPr="00246318">
        <w:rPr>
          <w:rStyle w:val="libBold2Char"/>
          <w:rtl/>
        </w:rPr>
        <w:t xml:space="preserve"> / 2.</w:t>
      </w:r>
      <w:r w:rsidRPr="005D642E">
        <w:rPr>
          <w:rtl/>
          <w:lang w:bidi="fa-IR"/>
        </w:rPr>
        <w:t xml:space="preserve"> مُحَمَّدُ بْنُ يَحْيى ، عَنْ أَحْمَدَ بْنِ مُحَمَّدٍ ، عَنْ شَاذَانَ بْنِ الْخَلِيلِ ، عَنْ يُونُسَ بْنِ عَبْدِ الرَّحْمنِ ، عَنْ حَمَّادٍ ، عَنْ أَبِي بَصِيرٍ :</w:t>
      </w:r>
    </w:p>
    <w:p w:rsidR="00E3253D" w:rsidRPr="005D642E" w:rsidRDefault="00E3253D" w:rsidP="00E3253D">
      <w:pPr>
        <w:pStyle w:val="libNormal"/>
        <w:rPr>
          <w:rtl/>
          <w:lang w:bidi="fa-IR"/>
        </w:rPr>
      </w:pPr>
      <w:r w:rsidRPr="005D642E">
        <w:rPr>
          <w:rtl/>
          <w:lang w:bidi="fa-IR"/>
        </w:rPr>
        <w:t xml:space="preserve">عَنْ‌أَبِي عَبْدِ اللهِ </w:t>
      </w:r>
      <w:r w:rsidRPr="00AC51C5">
        <w:rPr>
          <w:rStyle w:val="libAlaemChar"/>
          <w:rtl/>
        </w:rPr>
        <w:t>عليه‌السلام</w:t>
      </w:r>
      <w:r w:rsidRPr="005D642E">
        <w:rPr>
          <w:rtl/>
          <w:lang w:bidi="fa-IR"/>
        </w:rPr>
        <w:t xml:space="preserve"> ، قَالَ : سَأَلْتُهُ عَنِ الْمَضْمَضَةِ وَالاسْتِنْشَاقِ</w:t>
      </w:r>
      <w:r>
        <w:rPr>
          <w:rtl/>
          <w:lang w:bidi="fa-IR"/>
        </w:rPr>
        <w:t>؟</w:t>
      </w:r>
    </w:p>
    <w:p w:rsidR="00E3253D" w:rsidRPr="005D642E" w:rsidRDefault="00E3253D" w:rsidP="00E3253D">
      <w:pPr>
        <w:pStyle w:val="libNormal"/>
        <w:rPr>
          <w:rtl/>
          <w:lang w:bidi="fa-IR"/>
        </w:rPr>
      </w:pPr>
      <w:r w:rsidRPr="005D642E">
        <w:rPr>
          <w:rtl/>
          <w:lang w:bidi="fa-IR"/>
        </w:rPr>
        <w:t xml:space="preserve">قَالَ : « لَيْسَ هُمَا مِنَ الْوُضُوءِ ، هُمَا مِنَ الْجَوْفِ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p>
    <w:p w:rsidR="00E3253D" w:rsidRPr="005D642E" w:rsidRDefault="00E3253D" w:rsidP="00E3253D">
      <w:pPr>
        <w:pStyle w:val="libNormal"/>
        <w:rPr>
          <w:rtl/>
          <w:lang w:bidi="fa-IR"/>
        </w:rPr>
      </w:pPr>
      <w:r w:rsidRPr="00EF2456">
        <w:rPr>
          <w:rtl/>
        </w:rPr>
        <w:t>3920</w:t>
      </w:r>
      <w:r w:rsidRPr="00246318">
        <w:rPr>
          <w:rStyle w:val="libBold2Char"/>
          <w:rtl/>
        </w:rPr>
        <w:t xml:space="preserve"> / 3.</w:t>
      </w:r>
      <w:r w:rsidRPr="005D642E">
        <w:rPr>
          <w:rtl/>
          <w:lang w:bidi="fa-IR"/>
        </w:rPr>
        <w:t xml:space="preserve"> مُحَمَّدُ بْنُ يَحْيى ، عَنْ أَحْمَدَ بْنِ مُحَمَّدٍ ، عَنْ عَلِيِّ بْنِ الْحَكَمِ ، عَنْ سَيْفِ بْنِ عَمِيرَةَ ، عَنْ أَبِي بَكْرٍ الْحَضْرَمِيِّ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لَيْسَ عَلَيْكَ مَضْمَضَةٌ وَلَا</w:t>
      </w:r>
      <w:r>
        <w:rPr>
          <w:rFonts w:hint="cs"/>
          <w:rtl/>
          <w:lang w:bidi="fa-IR"/>
        </w:rPr>
        <w:t xml:space="preserve"> </w:t>
      </w:r>
      <w:r w:rsidRPr="005D642E">
        <w:rPr>
          <w:rtl/>
          <w:lang w:bidi="fa-IR"/>
        </w:rPr>
        <w:t xml:space="preserve">اسْتِنْشَاقٌ </w:t>
      </w:r>
      <w:r w:rsidRPr="007C12DB">
        <w:rPr>
          <w:rStyle w:val="libFootnotenumChar"/>
          <w:rtl/>
        </w:rPr>
        <w:t>(3)</w:t>
      </w:r>
      <w:r w:rsidR="000D749A">
        <w:rPr>
          <w:rtl/>
          <w:lang w:bidi="fa-IR"/>
        </w:rPr>
        <w:t xml:space="preserve"> ؛ لِأَنَّهُمَا مِنَ الْجَوْفِ</w:t>
      </w:r>
      <w:r w:rsidRPr="005D642E">
        <w:rPr>
          <w:rtl/>
          <w:lang w:bidi="fa-IR"/>
        </w:rPr>
        <w:t>»</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69" w:name="_Toc344647233"/>
      <w:bookmarkStart w:id="70" w:name="_Toc462226748"/>
      <w:bookmarkStart w:id="71" w:name="_Toc40975856"/>
      <w:r w:rsidRPr="005D642E">
        <w:rPr>
          <w:rtl/>
          <w:lang w:bidi="fa-IR"/>
        </w:rPr>
        <w:t>17</w:t>
      </w:r>
      <w:r>
        <w:rPr>
          <w:rtl/>
          <w:lang w:bidi="fa-IR"/>
        </w:rPr>
        <w:t xml:space="preserve"> </w:t>
      </w:r>
      <w:r w:rsidR="007642BC">
        <w:rPr>
          <w:rtl/>
          <w:lang w:bidi="fa-IR"/>
        </w:rPr>
        <w:t>-</w:t>
      </w:r>
      <w:r>
        <w:rPr>
          <w:rtl/>
          <w:lang w:bidi="fa-IR"/>
        </w:rPr>
        <w:t xml:space="preserve"> </w:t>
      </w:r>
      <w:r w:rsidRPr="005D642E">
        <w:rPr>
          <w:rtl/>
          <w:lang w:bidi="fa-IR"/>
        </w:rPr>
        <w:t>بَابُ صِفَةِ الْوُضُوءِ‌</w:t>
      </w:r>
      <w:bookmarkEnd w:id="69"/>
      <w:bookmarkEnd w:id="70"/>
      <w:bookmarkEnd w:id="71"/>
    </w:p>
    <w:p w:rsidR="00E3253D" w:rsidRPr="005D642E" w:rsidRDefault="00E3253D" w:rsidP="00E3253D">
      <w:pPr>
        <w:pStyle w:val="libNormal"/>
        <w:rPr>
          <w:rtl/>
          <w:lang w:bidi="fa-IR"/>
        </w:rPr>
      </w:pPr>
      <w:r w:rsidRPr="00EF2456">
        <w:rPr>
          <w:rtl/>
        </w:rPr>
        <w:t>3921</w:t>
      </w:r>
      <w:r w:rsidRPr="00246318">
        <w:rPr>
          <w:rStyle w:val="libBold2Char"/>
          <w:rtl/>
        </w:rPr>
        <w:t xml:space="preserve"> / 1.</w:t>
      </w:r>
      <w:r w:rsidRPr="005D642E">
        <w:rPr>
          <w:rtl/>
          <w:lang w:bidi="fa-IR"/>
        </w:rPr>
        <w:t xml:space="preserve"> عَلِيُّ بْنُ إِبْرَاهِيمَ ، عَنْ مُحَمَّدِ بْنِ عِيسى ، عَنْ يُونُسَ بْنِ عَبْدِ الرَّحْمنِ ، عَنْ أَبَانٍ وَجَمِيلٍ ، عَنْ زُرَارَةَ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0D749A" w:rsidP="00E3253D">
      <w:pPr>
        <w:pStyle w:val="libFootnote0"/>
        <w:rPr>
          <w:rtl/>
          <w:lang w:bidi="fa-IR"/>
        </w:rPr>
      </w:pPr>
      <w:r>
        <w:rPr>
          <w:rFonts w:hint="cs"/>
          <w:rtl/>
        </w:rPr>
        <w:t xml:space="preserve">= </w:t>
      </w:r>
      <w:r w:rsidR="00E3253D" w:rsidRPr="005D642E">
        <w:rPr>
          <w:rtl/>
        </w:rPr>
        <w:t>الرواية فيهما : « المضمضة والاستنشاق ليسا من الوضوء »</w:t>
      </w:r>
      <w:r w:rsidR="00E3253D">
        <w:rPr>
          <w:rtl/>
        </w:rPr>
        <w:t>.</w:t>
      </w:r>
      <w:r w:rsidR="00E3253D" w:rsidRPr="005D642E">
        <w:rPr>
          <w:rtl/>
        </w:rPr>
        <w:t xml:space="preserve"> </w:t>
      </w:r>
      <w:r w:rsidR="00E3253D" w:rsidRPr="002F4D34">
        <w:rPr>
          <w:rStyle w:val="libFootnoteBoldChar"/>
          <w:rtl/>
        </w:rPr>
        <w:t>وفيه</w:t>
      </w:r>
      <w:r w:rsidR="00E3253D" w:rsidRPr="005D642E">
        <w:rPr>
          <w:rtl/>
        </w:rPr>
        <w:t xml:space="preserve"> ، ص 131 ، ح 361 ، بسند آخر عن العسكري </w:t>
      </w:r>
      <w:r w:rsidR="00E3253D" w:rsidRPr="000D749A">
        <w:rPr>
          <w:rStyle w:val="libFootnoteAlaemChar"/>
          <w:rtl/>
        </w:rPr>
        <w:t>عليه‌السلام</w:t>
      </w:r>
      <w:r w:rsidR="00E3253D" w:rsidRPr="005D642E">
        <w:rPr>
          <w:rtl/>
        </w:rPr>
        <w:t xml:space="preserve"> ، مع اختلاف يسير </w:t>
      </w:r>
      <w:r>
        <w:rPr>
          <w:rFonts w:hint="cs"/>
          <w:rtl/>
        </w:rPr>
        <w:t>.</w:t>
      </w:r>
      <w:r w:rsidR="00E3253D" w:rsidRPr="002F4D34">
        <w:rPr>
          <w:rStyle w:val="libFootnoteBoldChar"/>
          <w:rtl/>
        </w:rPr>
        <w:t>الوافي</w:t>
      </w:r>
      <w:r w:rsidR="00E3253D" w:rsidRPr="005D642E">
        <w:rPr>
          <w:rtl/>
        </w:rPr>
        <w:t xml:space="preserve"> ، ج 6 ، ص 336 ، ح 4411 ؛ </w:t>
      </w:r>
      <w:r w:rsidR="00E3253D" w:rsidRPr="002F4D34">
        <w:rPr>
          <w:rStyle w:val="libFootnoteBoldChar"/>
          <w:rtl/>
        </w:rPr>
        <w:t>الوسائل</w:t>
      </w:r>
      <w:r w:rsidR="00E3253D" w:rsidRPr="005D642E">
        <w:rPr>
          <w:rtl/>
        </w:rPr>
        <w:t xml:space="preserve"> ، ج 1 ، ص 432 ، ح 1131.</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ج 13 ، ص 72 : « قوله </w:t>
      </w:r>
      <w:r w:rsidR="00E3253D" w:rsidRPr="000D749A">
        <w:rPr>
          <w:rStyle w:val="libFootnoteAlaemChar"/>
          <w:rtl/>
        </w:rPr>
        <w:t>عليه‌السلام</w:t>
      </w:r>
      <w:r w:rsidR="00E3253D" w:rsidRPr="005D642E">
        <w:rPr>
          <w:rtl/>
        </w:rPr>
        <w:t xml:space="preserve"> : من الجوف ؛ يعني أنّ الوجه المأمور بغسله في الآية هو الظاهر منه لا البواطن. وقال الشيخ البهائي </w:t>
      </w:r>
      <w:r w:rsidR="00E3253D" w:rsidRPr="000D749A">
        <w:rPr>
          <w:rStyle w:val="libFootnoteAlaemChar"/>
          <w:rtl/>
        </w:rPr>
        <w:t>رحمه‌الله</w:t>
      </w:r>
      <w:r w:rsidR="00E3253D" w:rsidRPr="005D642E">
        <w:rPr>
          <w:rtl/>
        </w:rPr>
        <w:t xml:space="preserve"> : يمكن أن يكون الكلام وارداً في غسل الميّت وليس فيه مضمضة ولا استنشاق عندنا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علل الشرائع</w:t>
      </w:r>
      <w:r w:rsidR="00E3253D" w:rsidRPr="005D642E">
        <w:rPr>
          <w:rtl/>
        </w:rPr>
        <w:t xml:space="preserve"> ، ص 286 ، ح 1 ، بسنده عن يونس بن عبدالرحمن ، عمّن أخبره ، عن أبي بصير ، عن أبي جعفر وأبي عبدالله </w:t>
      </w:r>
      <w:r w:rsidR="00E3253D" w:rsidRPr="000D749A">
        <w:rPr>
          <w:rStyle w:val="libFootnoteAlaemChar"/>
          <w:rtl/>
        </w:rPr>
        <w:t>عليهما‌السلام</w:t>
      </w:r>
      <w:r w:rsidR="00E3253D" w:rsidRPr="005D642E">
        <w:rPr>
          <w:rtl/>
        </w:rPr>
        <w:t xml:space="preserve"> ، مع اختلاف يسير </w:t>
      </w:r>
      <w:r w:rsidR="000D749A">
        <w:rPr>
          <w:rFonts w:hint="cs"/>
          <w:rtl/>
        </w:rPr>
        <w:t>.</w:t>
      </w:r>
      <w:r w:rsidR="00E3253D" w:rsidRPr="002F4D34">
        <w:rPr>
          <w:rStyle w:val="libFootnoteBoldChar"/>
          <w:rtl/>
        </w:rPr>
        <w:t>الوافي</w:t>
      </w:r>
      <w:r w:rsidR="00E3253D" w:rsidRPr="005D642E">
        <w:rPr>
          <w:rtl/>
        </w:rPr>
        <w:t xml:space="preserve"> ، ج 6 ، ص 337 ، ح 4413 ؛ </w:t>
      </w:r>
      <w:r w:rsidR="00E3253D" w:rsidRPr="002F4D34">
        <w:rPr>
          <w:rStyle w:val="libFootnoteBoldChar"/>
          <w:rtl/>
        </w:rPr>
        <w:t>الوسائل</w:t>
      </w:r>
      <w:r w:rsidR="00E3253D" w:rsidRPr="005D642E">
        <w:rPr>
          <w:rtl/>
        </w:rPr>
        <w:t xml:space="preserve"> ، ج 1 ، ص 432 ، ح 1132.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w:t>
      </w:r>
      <w:r w:rsidR="00B60612" w:rsidRPr="00B60612">
        <w:rPr>
          <w:rStyle w:val="libFootnoteBoldChar"/>
          <w:rtl/>
        </w:rPr>
        <w:t>والتهذيب</w:t>
      </w:r>
      <w:r w:rsidR="00E3253D" w:rsidRPr="005D642E">
        <w:rPr>
          <w:rtl/>
        </w:rPr>
        <w:t xml:space="preserve"> ، ح 201 : « استنشاق ولا مضمضة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78 ، ح 201 ، بسنده عن الكليني. </w:t>
      </w:r>
      <w:r w:rsidR="00E3253D" w:rsidRPr="002F4D34">
        <w:rPr>
          <w:rStyle w:val="libFootnoteBoldChar"/>
          <w:rtl/>
        </w:rPr>
        <w:t>وفيه</w:t>
      </w:r>
      <w:r w:rsidR="00E3253D" w:rsidRPr="005D642E">
        <w:rPr>
          <w:rtl/>
        </w:rPr>
        <w:t xml:space="preserve"> ، ص 131 ، ح 359 ، معلّقاً عن عليّ بن الحكم ؛ </w:t>
      </w:r>
      <w:r w:rsidR="00E3253D" w:rsidRPr="002F4D34">
        <w:rPr>
          <w:rStyle w:val="libFootnoteBoldChar"/>
          <w:rtl/>
        </w:rPr>
        <w:t>الاستبصار</w:t>
      </w:r>
      <w:r w:rsidR="00E3253D" w:rsidRPr="005D642E">
        <w:rPr>
          <w:rtl/>
        </w:rPr>
        <w:t xml:space="preserve"> ، ج 1 ، ص 117 ، ح 395 ، بسنده عن عليّ بن الحكم. </w:t>
      </w:r>
      <w:r w:rsidR="00E3253D" w:rsidRPr="002F4D34">
        <w:rPr>
          <w:rStyle w:val="libFootnoteBoldChar"/>
          <w:rtl/>
        </w:rPr>
        <w:t>التهذيب</w:t>
      </w:r>
      <w:r w:rsidR="00E3253D" w:rsidRPr="005D642E">
        <w:rPr>
          <w:rtl/>
        </w:rPr>
        <w:t xml:space="preserve"> ، ج 1 ، ص 78 ، ح 202 ، بسند آخر عن أبي جعفر </w:t>
      </w:r>
      <w:r w:rsidR="00E3253D" w:rsidRPr="000D749A">
        <w:rPr>
          <w:rStyle w:val="libFootnoteAlaemChar"/>
          <w:rtl/>
        </w:rPr>
        <w:t>عليه‌السلام</w:t>
      </w:r>
      <w:r w:rsidR="00E3253D" w:rsidRPr="005D642E">
        <w:rPr>
          <w:rtl/>
        </w:rPr>
        <w:t xml:space="preserve"> ، مع اختلاف وزيادة </w:t>
      </w:r>
      <w:r w:rsidR="000D749A">
        <w:rPr>
          <w:rFonts w:hint="cs"/>
          <w:rtl/>
        </w:rPr>
        <w:t>.</w:t>
      </w:r>
      <w:r w:rsidR="00E3253D" w:rsidRPr="002F4D34">
        <w:rPr>
          <w:rStyle w:val="libFootnoteBoldChar"/>
          <w:rtl/>
        </w:rPr>
        <w:t>الوافي</w:t>
      </w:r>
      <w:r w:rsidR="00E3253D" w:rsidRPr="005D642E">
        <w:rPr>
          <w:rtl/>
        </w:rPr>
        <w:t xml:space="preserve"> ، ج 6 ، ص 337 ، ح 4414 ؛ </w:t>
      </w:r>
      <w:r w:rsidR="00E3253D" w:rsidRPr="002F4D34">
        <w:rPr>
          <w:rStyle w:val="libFootnoteBoldChar"/>
          <w:rtl/>
        </w:rPr>
        <w:t>الوسائل</w:t>
      </w:r>
      <w:r w:rsidR="00E3253D" w:rsidRPr="005D642E">
        <w:rPr>
          <w:rtl/>
        </w:rPr>
        <w:t xml:space="preserve"> ، ج 1 ، ص 432 ، ح 1133.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حَكى لَنَا أَبُو جَعْفَرٍ </w:t>
      </w:r>
      <w:r w:rsidRPr="00AC51C5">
        <w:rPr>
          <w:rStyle w:val="libAlaemChar"/>
          <w:rtl/>
        </w:rPr>
        <w:t>عليه‌السلام</w:t>
      </w:r>
      <w:r w:rsidRPr="005D642E">
        <w:rPr>
          <w:rtl/>
          <w:lang w:bidi="fa-IR"/>
        </w:rPr>
        <w:t xml:space="preserve"> وُضُوءَ رَسُولِ اللهِ </w:t>
      </w:r>
      <w:r w:rsidR="0042621E" w:rsidRPr="0042621E">
        <w:rPr>
          <w:rStyle w:val="libAlaemChar"/>
          <w:rtl/>
        </w:rPr>
        <w:t>صلى‌الله‌عليه‌وآله</w:t>
      </w:r>
      <w:r w:rsidRPr="005D642E">
        <w:rPr>
          <w:rtl/>
          <w:lang w:bidi="fa-IR"/>
        </w:rPr>
        <w:t xml:space="preserve"> ، فَدَعَا بِقَدَحٍ ، وَأَخَذَ </w:t>
      </w:r>
      <w:r w:rsidRPr="007C12DB">
        <w:rPr>
          <w:rStyle w:val="libFootnotenumChar"/>
          <w:rtl/>
        </w:rPr>
        <w:t>(1)</w:t>
      </w:r>
      <w:r w:rsidRPr="005D642E">
        <w:rPr>
          <w:rtl/>
          <w:lang w:bidi="fa-IR"/>
        </w:rPr>
        <w:t xml:space="preserve"> كَفّاً مِنْ مَاءٍ </w:t>
      </w:r>
      <w:r w:rsidRPr="007C12DB">
        <w:rPr>
          <w:rStyle w:val="libFootnotenumChar"/>
          <w:rtl/>
        </w:rPr>
        <w:t>(2)</w:t>
      </w:r>
      <w:r w:rsidRPr="005D642E">
        <w:rPr>
          <w:rtl/>
          <w:lang w:bidi="fa-IR"/>
        </w:rPr>
        <w:t xml:space="preserve"> ، فَأَسْدَلَهُ عَلى وَجْهِهِ ، ثُمَّ مَسَحَ وَجْهَهُ مِنَ الْجَانِبَيْنِ جَمِيعاً ، ثُمَّ أَعَادَ يَدَهُ الْيُسْرى </w:t>
      </w:r>
      <w:r w:rsidRPr="007C12DB">
        <w:rPr>
          <w:rStyle w:val="libFootnotenumChar"/>
          <w:rtl/>
        </w:rPr>
        <w:t>(3)</w:t>
      </w:r>
      <w:r w:rsidRPr="005D642E">
        <w:rPr>
          <w:rtl/>
          <w:lang w:bidi="fa-IR"/>
        </w:rPr>
        <w:t xml:space="preserve"> فِي الْإِنَاءِ ، فَأَسْدَلَهَا </w:t>
      </w:r>
      <w:r w:rsidRPr="007C12DB">
        <w:rPr>
          <w:rStyle w:val="libFootnotenumChar"/>
          <w:rtl/>
        </w:rPr>
        <w:t>(4)</w:t>
      </w:r>
      <w:r w:rsidRPr="005D642E">
        <w:rPr>
          <w:rtl/>
          <w:lang w:bidi="fa-IR"/>
        </w:rPr>
        <w:t xml:space="preserve"> عَلى يَدِهِ الْيُمْنى ، ثُمَّ مَسَحَ جَوَانِبَهَا ، ثُمَّ أَعَادَ الْيُمْنى فِي الا</w:t>
      </w:r>
      <w:r w:rsidR="000D749A">
        <w:rPr>
          <w:rFonts w:hint="cs"/>
          <w:rtl/>
          <w:lang w:bidi="fa-IR"/>
        </w:rPr>
        <w:t>ِ</w:t>
      </w:r>
      <w:r w:rsidRPr="005D642E">
        <w:rPr>
          <w:rtl/>
          <w:lang w:bidi="fa-IR"/>
        </w:rPr>
        <w:t xml:space="preserve">نَاءِ ، فَصَبَّهَا عَلَى الْيُسْرى ، ثُمَّ صَنَعَ بِهَا كَمَا صَنَعَ بِالْيُمْنى ، ثُمَّ مَسَحَ بِمَا بَقِيَ فِي يَدِهِ </w:t>
      </w:r>
      <w:r w:rsidRPr="007C12DB">
        <w:rPr>
          <w:rStyle w:val="libFootnotenumChar"/>
          <w:rtl/>
        </w:rPr>
        <w:t>(5)</w:t>
      </w:r>
      <w:r w:rsidRPr="005D642E">
        <w:rPr>
          <w:rtl/>
          <w:lang w:bidi="fa-IR"/>
        </w:rPr>
        <w:t xml:space="preserve"> رَأْسَهُ وَرِجْلَيْهِ ، وَلَمْ يُعِدْهُمَا </w:t>
      </w:r>
      <w:r w:rsidRPr="007C12DB">
        <w:rPr>
          <w:rStyle w:val="libFootnotenumChar"/>
          <w:rtl/>
        </w:rPr>
        <w:t>(6)</w:t>
      </w:r>
      <w:r w:rsidRPr="005D642E">
        <w:rPr>
          <w:rtl/>
          <w:lang w:bidi="fa-IR"/>
        </w:rPr>
        <w:t xml:space="preserve"> فِي الْإِنَاءِ.</w:t>
      </w:r>
      <w:r w:rsidRPr="007C12DB">
        <w:rPr>
          <w:rStyle w:val="libFootnotenumChar"/>
          <w:rtl/>
        </w:rPr>
        <w:t>(7)</w:t>
      </w:r>
      <w:r w:rsidR="000D749A">
        <w:rPr>
          <w:rtl/>
          <w:lang w:bidi="fa-IR"/>
        </w:rPr>
        <w:t xml:space="preserve"> </w:t>
      </w:r>
    </w:p>
    <w:p w:rsidR="00E3253D" w:rsidRPr="005D642E" w:rsidRDefault="00E3253D" w:rsidP="00E3253D">
      <w:pPr>
        <w:pStyle w:val="libNormal"/>
        <w:rPr>
          <w:rtl/>
          <w:lang w:bidi="fa-IR"/>
        </w:rPr>
      </w:pPr>
      <w:r w:rsidRPr="00EF2456">
        <w:rPr>
          <w:rtl/>
        </w:rPr>
        <w:t>3922</w:t>
      </w:r>
      <w:r w:rsidRPr="00246318">
        <w:rPr>
          <w:rStyle w:val="libBold2Char"/>
          <w:rtl/>
        </w:rPr>
        <w:t xml:space="preserve"> / 2.</w:t>
      </w:r>
      <w:r w:rsidRPr="005D642E">
        <w:rPr>
          <w:rtl/>
          <w:lang w:bidi="fa-IR"/>
        </w:rPr>
        <w:t xml:space="preserve"> عِدَّةٌ مِنْ أَصْحَابِنَا ، عَنْ أَحْمَدَ بْنِ مُحَمَّدٍ ، عَنْ عَلِيِّ بْنِ الْحَكَمِ ، عَنْ دَاوُدَ بْنِ النُّعْمَانِ ، عَنْ أَبِي أَيُّوبَ ، عَنْ بُكَيْرِ بْنِ أَعْيَنَ :</w:t>
      </w:r>
    </w:p>
    <w:p w:rsidR="00E3253D" w:rsidRPr="005D642E" w:rsidRDefault="00E3253D" w:rsidP="00365424">
      <w:pPr>
        <w:pStyle w:val="libNormal"/>
        <w:rPr>
          <w:rtl/>
          <w:lang w:bidi="fa-IR"/>
        </w:rPr>
      </w:pPr>
      <w:r w:rsidRPr="005D642E">
        <w:rPr>
          <w:rtl/>
          <w:lang w:bidi="fa-IR"/>
        </w:rPr>
        <w:t xml:space="preserve">عَنْ أَبِي جَعْفَرٍ </w:t>
      </w:r>
      <w:r w:rsidR="00365424" w:rsidRPr="00AC51C5">
        <w:rPr>
          <w:rStyle w:val="libAlaemChar"/>
          <w:rtl/>
        </w:rPr>
        <w:t>عليه‌السلام</w:t>
      </w:r>
      <w:r w:rsidR="00365424" w:rsidRPr="005D642E">
        <w:rPr>
          <w:rtl/>
          <w:lang w:bidi="fa-IR"/>
        </w:rPr>
        <w:t xml:space="preserve"> </w:t>
      </w:r>
      <w:r w:rsidRPr="005D642E">
        <w:rPr>
          <w:rtl/>
          <w:lang w:bidi="fa-IR"/>
        </w:rPr>
        <w:t xml:space="preserve">، قَالَ : قَالَ </w:t>
      </w:r>
      <w:r w:rsidRPr="007C12DB">
        <w:rPr>
          <w:rStyle w:val="libFootnotenumChar"/>
          <w:rtl/>
        </w:rPr>
        <w:t>(8)</w:t>
      </w:r>
      <w:r>
        <w:rPr>
          <w:rtl/>
          <w:lang w:bidi="fa-IR"/>
        </w:rPr>
        <w:t xml:space="preserve"> : « أَ</w:t>
      </w:r>
      <w:r w:rsidRPr="005D642E">
        <w:rPr>
          <w:rtl/>
          <w:lang w:bidi="fa-IR"/>
        </w:rPr>
        <w:t xml:space="preserve">لَا </w:t>
      </w:r>
      <w:r w:rsidRPr="007C12DB">
        <w:rPr>
          <w:rStyle w:val="libFootnotenumChar"/>
          <w:rtl/>
        </w:rPr>
        <w:t>(9)</w:t>
      </w:r>
      <w:r w:rsidRPr="005D642E">
        <w:rPr>
          <w:rtl/>
          <w:lang w:bidi="fa-IR"/>
        </w:rPr>
        <w:t xml:space="preserve"> أَحْكِي لَكُمْ وُضُوءَ رَسُولِ اللهِ </w:t>
      </w:r>
      <w:r w:rsidR="0042621E" w:rsidRPr="0042621E">
        <w:rPr>
          <w:rStyle w:val="libAlaemChar"/>
          <w:rtl/>
        </w:rPr>
        <w:t>صلى‌الله‌عليه‌وآله</w:t>
      </w:r>
      <w:r>
        <w:rPr>
          <w:rtl/>
          <w:lang w:bidi="fa-IR"/>
        </w:rPr>
        <w:t>؟</w:t>
      </w:r>
      <w:r w:rsidRPr="005D642E">
        <w:rPr>
          <w:rtl/>
          <w:lang w:bidi="fa-IR"/>
        </w:rPr>
        <w:t xml:space="preserve"> » فَأَخَذَ بِكَفِّهِ </w:t>
      </w:r>
      <w:r w:rsidRPr="007C12DB">
        <w:rPr>
          <w:rStyle w:val="libFootnotenumChar"/>
          <w:rtl/>
        </w:rPr>
        <w:t>(10)</w:t>
      </w:r>
      <w:r w:rsidRPr="005D642E">
        <w:rPr>
          <w:rtl/>
          <w:lang w:bidi="fa-IR"/>
        </w:rPr>
        <w:t xml:space="preserve"> الْيُمْنى كَفّاً مِنْ مَاءٍ </w:t>
      </w:r>
      <w:r w:rsidRPr="007C12DB">
        <w:rPr>
          <w:rStyle w:val="libFootnotenumChar"/>
          <w:rtl/>
        </w:rPr>
        <w:t>(11)</w:t>
      </w:r>
      <w:r w:rsidRPr="005D642E">
        <w:rPr>
          <w:rtl/>
          <w:lang w:bidi="fa-IR"/>
        </w:rPr>
        <w:t xml:space="preserve"> ، فَغَسَلَ بِهِ </w:t>
      </w:r>
      <w:r w:rsidRPr="007C12DB">
        <w:rPr>
          <w:rStyle w:val="libFootnotenumChar"/>
          <w:rtl/>
        </w:rPr>
        <w:t>(12)</w:t>
      </w:r>
      <w:r w:rsidRPr="005D642E">
        <w:rPr>
          <w:rtl/>
          <w:lang w:bidi="fa-IR"/>
        </w:rPr>
        <w:t xml:space="preserve"> وَجْهَهُ ، ثُمَّ أَخَذَ بِيَدِهِ الْيُسْرى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معظم النسخ. وفي « بح ، جس ، جن » والمطبوع والوسائل : « فأخذ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بث » </w:t>
      </w:r>
      <w:r w:rsidR="000D749A" w:rsidRPr="000D749A">
        <w:rPr>
          <w:rStyle w:val="libFootnoteBoldChar"/>
          <w:rtl/>
        </w:rPr>
        <w:t>والمرآة</w:t>
      </w:r>
      <w:r w:rsidR="00E3253D" w:rsidRPr="005D642E">
        <w:rPr>
          <w:rtl/>
        </w:rPr>
        <w:t xml:space="preserve"> : « من الماء »</w:t>
      </w:r>
      <w:r w:rsidR="00E3253D">
        <w:rPr>
          <w:rtl/>
        </w:rPr>
        <w:t>.</w:t>
      </w:r>
      <w:r w:rsidR="00E3253D" w:rsidRPr="005D642E">
        <w:rPr>
          <w:rtl/>
        </w:rPr>
        <w:t xml:space="preserve"> والإسدال في اللغة : الإرخاء والإرسال ، يقال : سَدَلَ الثوب وأسدله : أرخاه وأرسله. والمراد هنا الصبّ. قال المطرزي : « أسدل خطأ وإن كنت قرأته في </w:t>
      </w:r>
      <w:r w:rsidR="00E3253D" w:rsidRPr="002F4D34">
        <w:rPr>
          <w:rStyle w:val="libFootnoteBoldChar"/>
          <w:rtl/>
        </w:rPr>
        <w:t>نهج البلاغة</w:t>
      </w:r>
      <w:r w:rsidR="00E3253D" w:rsidRPr="005D642E">
        <w:rPr>
          <w:rtl/>
        </w:rPr>
        <w:t xml:space="preserve"> ؛ لأنّي كنت استقريت الكتب فلم أجده ، وإنّما الاعتماد على الشائع المستفيض المحفوظ من الثقات »</w:t>
      </w:r>
      <w:r w:rsidR="00E3253D">
        <w:rPr>
          <w:rtl/>
        </w:rPr>
        <w:t>.</w:t>
      </w:r>
      <w:r w:rsidR="00E3253D" w:rsidRPr="005D642E">
        <w:rPr>
          <w:rtl/>
        </w:rPr>
        <w:t xml:space="preserve"> راجع : </w:t>
      </w:r>
      <w:r w:rsidR="00E3253D" w:rsidRPr="002F4D34">
        <w:rPr>
          <w:rStyle w:val="libFootnoteBoldChar"/>
          <w:rtl/>
        </w:rPr>
        <w:t>المغرب</w:t>
      </w:r>
      <w:r w:rsidR="00E3253D" w:rsidRPr="005D642E">
        <w:rPr>
          <w:rtl/>
        </w:rPr>
        <w:t xml:space="preserve"> ، ص 221 ؛ </w:t>
      </w:r>
      <w:r w:rsidR="00E3253D" w:rsidRPr="002F4D34">
        <w:rPr>
          <w:rStyle w:val="libFootnoteBoldChar"/>
          <w:rtl/>
        </w:rPr>
        <w:t>لسان العرب</w:t>
      </w:r>
      <w:r w:rsidR="00E3253D" w:rsidRPr="005D642E">
        <w:rPr>
          <w:rtl/>
        </w:rPr>
        <w:t xml:space="preserve"> ، ج 11 ، ص 333 ( سدل ) ؛ </w:t>
      </w:r>
      <w:r w:rsidR="00E3253D" w:rsidRPr="002F4D34">
        <w:rPr>
          <w:rStyle w:val="libFootnoteBoldChar"/>
          <w:rtl/>
        </w:rPr>
        <w:t>مرآة العقول</w:t>
      </w:r>
      <w:r w:rsidR="00E3253D" w:rsidRPr="005D642E">
        <w:rPr>
          <w:rtl/>
        </w:rPr>
        <w:t xml:space="preserve"> ، ج 13 ، ص 73.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قال الشيخ البهائي : « قوله : ثمّ أعاد اليسرى في الإناء ، كأنّ الظاهر أن يقول : ثمّ أدخل اليسرى ، ولعلّه أطلق‌</w:t>
      </w:r>
      <w:r w:rsidR="000D749A">
        <w:rPr>
          <w:rFonts w:hint="cs"/>
          <w:rtl/>
        </w:rPr>
        <w:t xml:space="preserve"> </w:t>
      </w:r>
      <w:r w:rsidR="00E3253D" w:rsidRPr="005D642E">
        <w:rPr>
          <w:rtl/>
        </w:rPr>
        <w:t>الإعادة على الإدخال الابتدائي لمشاكلة قوله فيما بعد : ثمّ أعاد اليمنى</w:t>
      </w:r>
      <w:r w:rsidR="00E3253D">
        <w:rPr>
          <w:rtl/>
        </w:rPr>
        <w:t xml:space="preserve"> ..</w:t>
      </w:r>
      <w:r w:rsidR="00E3253D" w:rsidRPr="005D642E">
        <w:rPr>
          <w:rtl/>
        </w:rPr>
        <w:t>. ويمكن أن يقال : إنّه أطلق الإعادة باعتبار كونها يداً لا باعتبار كونها يسرى »</w:t>
      </w:r>
      <w:r w:rsidR="00E3253D">
        <w:rPr>
          <w:rtl/>
        </w:rPr>
        <w:t>.</w:t>
      </w:r>
      <w:r w:rsidR="000D749A">
        <w:rPr>
          <w:rtl/>
        </w:rPr>
        <w:t xml:space="preserve"> وذكر العل</w:t>
      </w:r>
      <w:r w:rsidR="000D749A">
        <w:rPr>
          <w:rFonts w:hint="cs"/>
          <w:rtl/>
        </w:rPr>
        <w:t>ّ</w:t>
      </w:r>
      <w:r w:rsidR="000D749A">
        <w:rPr>
          <w:rtl/>
        </w:rPr>
        <w:t>ا</w:t>
      </w:r>
      <w:r w:rsidR="00E3253D" w:rsidRPr="005D642E">
        <w:rPr>
          <w:rtl/>
        </w:rPr>
        <w:t>مة الفيض ما يقرب من الأخير ، ثمّ قال : « وكذا الضمير في « لم يعدها » يرجع إلى مطلق اليد ، وفي بعض النسخ : ولم يعدهما ، وهو أوضح »</w:t>
      </w:r>
      <w:r w:rsidR="00E3253D">
        <w:rPr>
          <w:rtl/>
        </w:rPr>
        <w:t>.</w:t>
      </w:r>
      <w:r w:rsidR="00E3253D" w:rsidRPr="005D642E">
        <w:rPr>
          <w:rtl/>
        </w:rPr>
        <w:t xml:space="preserve"> راجع : </w:t>
      </w:r>
      <w:r w:rsidR="00E3253D" w:rsidRPr="002F4D34">
        <w:rPr>
          <w:rStyle w:val="libFootnoteBoldChar"/>
          <w:rtl/>
        </w:rPr>
        <w:t>الحبل المتين</w:t>
      </w:r>
      <w:r w:rsidR="00E3253D" w:rsidRPr="005D642E">
        <w:rPr>
          <w:rtl/>
        </w:rPr>
        <w:t xml:space="preserve"> ، ص 54.</w:t>
      </w:r>
    </w:p>
    <w:tbl>
      <w:tblPr>
        <w:tblStyle w:val="TableGrid"/>
        <w:bidiVisual/>
        <w:tblW w:w="0" w:type="auto"/>
        <w:tblLook w:val="04A0" w:firstRow="1" w:lastRow="0" w:firstColumn="1" w:lastColumn="0" w:noHBand="0" w:noVBand="1"/>
      </w:tblPr>
      <w:tblGrid>
        <w:gridCol w:w="4006"/>
        <w:gridCol w:w="4006"/>
      </w:tblGrid>
      <w:tr w:rsidR="000D749A" w:rsidTr="000D749A">
        <w:tc>
          <w:tcPr>
            <w:tcW w:w="4006" w:type="dxa"/>
          </w:tcPr>
          <w:p w:rsidR="000D749A" w:rsidRDefault="000D749A" w:rsidP="00E3253D">
            <w:pPr>
              <w:pStyle w:val="libFootnote0"/>
              <w:rPr>
                <w:rStyle w:val="libFootnote0Char"/>
                <w:rtl/>
              </w:rPr>
            </w:pPr>
            <w:r w:rsidRPr="0042621E">
              <w:rPr>
                <w:rStyle w:val="libFootnote0Char"/>
                <w:rtl/>
              </w:rPr>
              <w:t>(4).</w:t>
            </w:r>
            <w:r w:rsidRPr="005D642E">
              <w:rPr>
                <w:rtl/>
              </w:rPr>
              <w:t xml:space="preserve"> في « بح » : « فأسدل »</w:t>
            </w:r>
            <w:r>
              <w:rPr>
                <w:rtl/>
              </w:rPr>
              <w:t>.</w:t>
            </w:r>
          </w:p>
        </w:tc>
        <w:tc>
          <w:tcPr>
            <w:tcW w:w="4006" w:type="dxa"/>
          </w:tcPr>
          <w:p w:rsidR="000D749A" w:rsidRDefault="000D749A" w:rsidP="00E3253D">
            <w:pPr>
              <w:pStyle w:val="libFootnote0"/>
              <w:rPr>
                <w:rStyle w:val="libFootnote0Char"/>
                <w:rtl/>
              </w:rPr>
            </w:pPr>
            <w:r w:rsidRPr="0042621E">
              <w:rPr>
                <w:rStyle w:val="libFootnote0Char"/>
                <w:rtl/>
              </w:rPr>
              <w:t>(5).</w:t>
            </w:r>
            <w:r w:rsidRPr="005D642E">
              <w:rPr>
                <w:rtl/>
              </w:rPr>
              <w:t xml:space="preserve"> في الوافي </w:t>
            </w:r>
            <w:r w:rsidRPr="00B60612">
              <w:rPr>
                <w:rStyle w:val="libFootnoteBoldChar"/>
                <w:rtl/>
              </w:rPr>
              <w:t>والتهذيب</w:t>
            </w:r>
            <w:r w:rsidRPr="005D642E">
              <w:rPr>
                <w:rtl/>
              </w:rPr>
              <w:t xml:space="preserve"> </w:t>
            </w:r>
            <w:r w:rsidRPr="00E678B5">
              <w:rPr>
                <w:rStyle w:val="libFootnoteBoldChar"/>
                <w:rtl/>
              </w:rPr>
              <w:t>والاستبصار</w:t>
            </w:r>
            <w:r w:rsidRPr="005D642E">
              <w:rPr>
                <w:rtl/>
              </w:rPr>
              <w:t xml:space="preserve"> : « يديه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w:t>
      </w:r>
      <w:r w:rsidR="00B60612" w:rsidRPr="00B60612">
        <w:rPr>
          <w:rStyle w:val="libFootnoteBoldChar"/>
          <w:rtl/>
        </w:rPr>
        <w:t>والتهذيب</w:t>
      </w:r>
      <w:r w:rsidR="00E3253D" w:rsidRPr="005D642E">
        <w:rPr>
          <w:rtl/>
        </w:rPr>
        <w:t xml:space="preserve"> : « لم يعدها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55 ، ح 157 ؛ </w:t>
      </w:r>
      <w:r w:rsidR="00E3253D" w:rsidRPr="002F4D34">
        <w:rPr>
          <w:rStyle w:val="libFootnoteBoldChar"/>
          <w:rtl/>
        </w:rPr>
        <w:t>الاستبصار</w:t>
      </w:r>
      <w:r w:rsidR="00E3253D" w:rsidRPr="005D642E">
        <w:rPr>
          <w:rtl/>
        </w:rPr>
        <w:t xml:space="preserve"> ، ج 1 ، ص 58 ، ح 171 ، بسندهما عن جميل ، مع اختلاف يسير </w:t>
      </w:r>
      <w:r w:rsidR="000D749A">
        <w:rPr>
          <w:rFonts w:hint="cs"/>
          <w:rtl/>
        </w:rPr>
        <w:t>.</w:t>
      </w:r>
      <w:r w:rsidR="00E3253D" w:rsidRPr="002F4D34">
        <w:rPr>
          <w:rStyle w:val="libFootnoteBoldChar"/>
          <w:rtl/>
        </w:rPr>
        <w:t>الوافي</w:t>
      </w:r>
      <w:r w:rsidR="00E3253D" w:rsidRPr="005D642E">
        <w:rPr>
          <w:rtl/>
        </w:rPr>
        <w:t xml:space="preserve"> ، ج 6 ، ص 273 ، ح 4278 ؛ </w:t>
      </w:r>
      <w:r w:rsidR="00E3253D" w:rsidRPr="002F4D34">
        <w:rPr>
          <w:rStyle w:val="libFootnoteBoldChar"/>
          <w:rtl/>
        </w:rPr>
        <w:t>الوسائل</w:t>
      </w:r>
      <w:r w:rsidR="00E3253D" w:rsidRPr="005D642E">
        <w:rPr>
          <w:rtl/>
        </w:rPr>
        <w:t xml:space="preserve"> ، ج 1 ، ص 390 ، ح 1025.</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وفي المطبوع :</w:t>
      </w:r>
      <w:r w:rsidR="00E3253D">
        <w:rPr>
          <w:rtl/>
        </w:rPr>
        <w:t xml:space="preserve"> </w:t>
      </w:r>
      <w:r w:rsidR="007642BC">
        <w:rPr>
          <w:rtl/>
        </w:rPr>
        <w:t>-</w:t>
      </w:r>
      <w:r w:rsidR="00E3253D">
        <w:rPr>
          <w:rtl/>
        </w:rPr>
        <w:t xml:space="preserve"> </w:t>
      </w:r>
      <w:r w:rsidR="00E3253D" w:rsidRPr="005D642E">
        <w:rPr>
          <w:rtl/>
        </w:rPr>
        <w:t>« قال »</w:t>
      </w:r>
      <w:r w:rsidR="00E3253D">
        <w:rPr>
          <w:rtl/>
        </w:rPr>
        <w:t>.</w:t>
      </w:r>
    </w:p>
    <w:tbl>
      <w:tblPr>
        <w:tblStyle w:val="TableGrid"/>
        <w:bidiVisual/>
        <w:tblW w:w="0" w:type="auto"/>
        <w:tblLook w:val="04A0" w:firstRow="1" w:lastRow="0" w:firstColumn="1" w:lastColumn="0" w:noHBand="0" w:noVBand="1"/>
      </w:tblPr>
      <w:tblGrid>
        <w:gridCol w:w="4006"/>
        <w:gridCol w:w="4006"/>
      </w:tblGrid>
      <w:tr w:rsidR="000D749A" w:rsidTr="000D749A">
        <w:tc>
          <w:tcPr>
            <w:tcW w:w="4006" w:type="dxa"/>
          </w:tcPr>
          <w:p w:rsidR="000D749A" w:rsidRDefault="000D749A" w:rsidP="00E3253D">
            <w:pPr>
              <w:pStyle w:val="libFootnote0"/>
              <w:rPr>
                <w:rStyle w:val="libFootnote0Char"/>
                <w:rtl/>
              </w:rPr>
            </w:pPr>
            <w:r w:rsidRPr="0042621E">
              <w:rPr>
                <w:rStyle w:val="libFootnote0Char"/>
                <w:rtl/>
              </w:rPr>
              <w:t>(9).</w:t>
            </w:r>
            <w:r w:rsidRPr="005D642E">
              <w:rPr>
                <w:rtl/>
              </w:rPr>
              <w:t xml:space="preserve"> في « بث » : « لا » من دون الهمزة.</w:t>
            </w:r>
          </w:p>
        </w:tc>
        <w:tc>
          <w:tcPr>
            <w:tcW w:w="4006" w:type="dxa"/>
          </w:tcPr>
          <w:p w:rsidR="000D749A" w:rsidRDefault="000D749A" w:rsidP="00E3253D">
            <w:pPr>
              <w:pStyle w:val="libFootnote0"/>
              <w:rPr>
                <w:rStyle w:val="libFootnote0Char"/>
                <w:rtl/>
              </w:rPr>
            </w:pPr>
            <w:r w:rsidRPr="0042621E">
              <w:rPr>
                <w:rStyle w:val="libFootnote0Char"/>
                <w:rtl/>
              </w:rPr>
              <w:t>(10).</w:t>
            </w:r>
            <w:r w:rsidRPr="005D642E">
              <w:rPr>
                <w:rtl/>
              </w:rPr>
              <w:t xml:space="preserve"> في حاشية « بح » : « بيده »</w:t>
            </w:r>
            <w:r>
              <w:rPr>
                <w:rtl/>
              </w:rPr>
              <w:t>.</w:t>
            </w:r>
          </w:p>
        </w:tc>
      </w:tr>
      <w:tr w:rsidR="000D749A" w:rsidTr="000D749A">
        <w:tc>
          <w:tcPr>
            <w:tcW w:w="4006" w:type="dxa"/>
          </w:tcPr>
          <w:p w:rsidR="000D749A" w:rsidRDefault="000D749A" w:rsidP="00E3253D">
            <w:pPr>
              <w:pStyle w:val="libFootnote0"/>
              <w:rPr>
                <w:rStyle w:val="libFootnote0Char"/>
                <w:rtl/>
              </w:rPr>
            </w:pPr>
            <w:r w:rsidRPr="0042621E">
              <w:rPr>
                <w:rStyle w:val="libFootnote0Char"/>
                <w:rtl/>
              </w:rPr>
              <w:t>(11).</w:t>
            </w:r>
            <w:r w:rsidRPr="005D642E">
              <w:rPr>
                <w:rtl/>
              </w:rPr>
              <w:t xml:space="preserve"> في الوسائل :</w:t>
            </w:r>
            <w:r>
              <w:rPr>
                <w:rtl/>
              </w:rPr>
              <w:t xml:space="preserve"> - </w:t>
            </w:r>
            <w:r w:rsidRPr="005D642E">
              <w:rPr>
                <w:rtl/>
              </w:rPr>
              <w:t>« من ماء »</w:t>
            </w:r>
            <w:r>
              <w:rPr>
                <w:rtl/>
              </w:rPr>
              <w:t>.</w:t>
            </w:r>
          </w:p>
        </w:tc>
        <w:tc>
          <w:tcPr>
            <w:tcW w:w="4006" w:type="dxa"/>
          </w:tcPr>
          <w:p w:rsidR="000D749A" w:rsidRDefault="000D749A" w:rsidP="00E3253D">
            <w:pPr>
              <w:pStyle w:val="libFootnote0"/>
              <w:rPr>
                <w:rStyle w:val="libFootnote0Char"/>
                <w:rtl/>
              </w:rPr>
            </w:pPr>
            <w:r w:rsidRPr="0042621E">
              <w:rPr>
                <w:rStyle w:val="libFootnote0Char"/>
                <w:rtl/>
              </w:rPr>
              <w:t>(12).</w:t>
            </w:r>
            <w:r w:rsidRPr="005D642E">
              <w:rPr>
                <w:rtl/>
              </w:rPr>
              <w:t xml:space="preserve"> </w:t>
            </w:r>
            <w:r>
              <w:rPr>
                <w:rtl/>
              </w:rPr>
              <w:t>في « بث » : «وصبّه على» بدل «فغسل به</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بث » : « ومسح جانبيه حتّى مسحه كلّه وأخذ » بدل « ثمّ أخذ بيده اليسرى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كَفّاً </w:t>
      </w:r>
      <w:r w:rsidRPr="007C12DB">
        <w:rPr>
          <w:rStyle w:val="libFootnotenumChar"/>
          <w:rtl/>
        </w:rPr>
        <w:t>(1)</w:t>
      </w:r>
      <w:r w:rsidRPr="005D642E">
        <w:rPr>
          <w:rtl/>
          <w:lang w:bidi="fa-IR"/>
        </w:rPr>
        <w:t xml:space="preserve"> ، فَغَسَلَ بِهِ يَدَهُ </w:t>
      </w:r>
      <w:r w:rsidRPr="007C12DB">
        <w:rPr>
          <w:rStyle w:val="libFootnotenumChar"/>
          <w:rtl/>
        </w:rPr>
        <w:t>(2)</w:t>
      </w:r>
      <w:r w:rsidRPr="005D642E">
        <w:rPr>
          <w:rtl/>
          <w:lang w:bidi="fa-IR"/>
        </w:rPr>
        <w:t xml:space="preserve"> الْيُمْنى ، ثُمَّ أَخَذَ </w:t>
      </w:r>
      <w:r w:rsidRPr="007C12DB">
        <w:rPr>
          <w:rStyle w:val="libFootnotenumChar"/>
          <w:rtl/>
        </w:rPr>
        <w:t>(3)</w:t>
      </w:r>
      <w:r w:rsidRPr="005D642E">
        <w:rPr>
          <w:rtl/>
          <w:lang w:bidi="fa-IR"/>
        </w:rPr>
        <w:t xml:space="preserve"> بِيَدِهِ الْيُمْنى كَفّاً مِنْ مَاءٍ ، فَغَسَلَ بِهِ يَدَهُ </w:t>
      </w:r>
      <w:r w:rsidRPr="007C12DB">
        <w:rPr>
          <w:rStyle w:val="libFootnotenumChar"/>
          <w:rtl/>
        </w:rPr>
        <w:t>(4)</w:t>
      </w:r>
      <w:r w:rsidRPr="005D642E">
        <w:rPr>
          <w:rtl/>
          <w:lang w:bidi="fa-IR"/>
        </w:rPr>
        <w:t xml:space="preserve"> الْيُسْرى ، ثُمَّ مَسَحَ بِفَضْلِ يَدَيْهِ </w:t>
      </w:r>
      <w:r w:rsidRPr="007C12DB">
        <w:rPr>
          <w:rStyle w:val="libFootnotenumChar"/>
          <w:rtl/>
        </w:rPr>
        <w:t>(5)</w:t>
      </w:r>
      <w:r w:rsidRPr="005D642E">
        <w:rPr>
          <w:rtl/>
          <w:lang w:bidi="fa-IR"/>
        </w:rPr>
        <w:t xml:space="preserve"> رَأْسَهُ وَرِجْلَيْهِ.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17280F">
        <w:rPr>
          <w:rtl/>
        </w:rPr>
        <w:t>3923</w:t>
      </w:r>
      <w:r w:rsidRPr="00246318">
        <w:rPr>
          <w:rStyle w:val="libBold2Char"/>
          <w:rtl/>
        </w:rPr>
        <w:t xml:space="preserve"> / 3.</w:t>
      </w:r>
      <w:r w:rsidRPr="005D642E">
        <w:rPr>
          <w:rtl/>
          <w:lang w:bidi="fa-IR"/>
        </w:rPr>
        <w:t xml:space="preserve"> عَلِيُّ بْنُ إِبْرَاهِيمَ ، عَنْ مُحَمَّدِ بْنِ عِيسى ، عَنْ يُونُسَ ، عَنِ الْعَلَاءِ بْنِ رَزِينٍ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يَأْخُذُ أَحَدُكُمُ الرَّاحَةَ مِنَ الدُّهْنِ ، فَيَمْلَأُ بِهَا جَسَدَهُ ،</w:t>
      </w:r>
      <w:r>
        <w:rPr>
          <w:rFonts w:hint="cs"/>
          <w:rtl/>
          <w:lang w:bidi="fa-IR"/>
        </w:rPr>
        <w:t xml:space="preserve"> </w:t>
      </w:r>
      <w:r w:rsidRPr="005D642E">
        <w:rPr>
          <w:rtl/>
          <w:lang w:bidi="fa-IR"/>
        </w:rPr>
        <w:t xml:space="preserve">وَالْمَاءُ أَوْسَعُ </w:t>
      </w:r>
      <w:r w:rsidRPr="007C12DB">
        <w:rPr>
          <w:rStyle w:val="libFootnotenumChar"/>
          <w:rtl/>
        </w:rPr>
        <w:t>(7)</w:t>
      </w:r>
      <w:r>
        <w:rPr>
          <w:rtl/>
          <w:lang w:bidi="fa-IR"/>
        </w:rPr>
        <w:t xml:space="preserve"> ، أَ</w:t>
      </w:r>
      <w:r w:rsidRPr="005D642E">
        <w:rPr>
          <w:rtl/>
          <w:lang w:bidi="fa-IR"/>
        </w:rPr>
        <w:t>لَا</w:t>
      </w:r>
      <w:r>
        <w:rPr>
          <w:rFonts w:hint="cs"/>
          <w:rtl/>
          <w:lang w:bidi="fa-IR"/>
        </w:rPr>
        <w:t xml:space="preserve"> </w:t>
      </w:r>
      <w:r w:rsidRPr="005D642E">
        <w:rPr>
          <w:rtl/>
          <w:lang w:bidi="fa-IR"/>
        </w:rPr>
        <w:t xml:space="preserve">أَحْكِي لَكُمْ وُضُوءَ رَسُولِ اللهِ </w:t>
      </w:r>
      <w:r w:rsidR="0042621E" w:rsidRPr="0042621E">
        <w:rPr>
          <w:rStyle w:val="libAlaemChar"/>
          <w:rtl/>
        </w:rPr>
        <w:t>صلى‌الله‌عليه‌وآله</w:t>
      </w:r>
      <w:r>
        <w:rPr>
          <w:rtl/>
          <w:lang w:bidi="fa-IR"/>
        </w:rPr>
        <w:t>؟</w:t>
      </w:r>
      <w:r w:rsidRPr="005D642E">
        <w:rPr>
          <w:rtl/>
          <w:lang w:bidi="fa-IR"/>
        </w:rPr>
        <w:t xml:space="preserve"> » قُلْتُ : بَلى ، قَالَ : فَأَدْخَلَ يَدَهُ فِي الْإِنَاءِ ، وَلَمْ يَغْسِلْ يَدَهُ ، فَأَخَذَ </w:t>
      </w:r>
      <w:r w:rsidRPr="007C12DB">
        <w:rPr>
          <w:rStyle w:val="libFootnotenumChar"/>
          <w:rtl/>
        </w:rPr>
        <w:t>(8)</w:t>
      </w:r>
      <w:r w:rsidRPr="005D642E">
        <w:rPr>
          <w:rtl/>
          <w:lang w:bidi="fa-IR"/>
        </w:rPr>
        <w:t xml:space="preserve"> كَفّاً مِنْ مَاءٍ </w:t>
      </w:r>
      <w:r w:rsidRPr="007C12DB">
        <w:rPr>
          <w:rStyle w:val="libFootnotenumChar"/>
          <w:rtl/>
        </w:rPr>
        <w:t>(9)</w:t>
      </w:r>
      <w:r w:rsidRPr="005D642E">
        <w:rPr>
          <w:rtl/>
          <w:lang w:bidi="fa-IR"/>
        </w:rPr>
        <w:t xml:space="preserve"> ، فَصَبَّهُ عَلى وَجْهِهِ ، ثُمَّ مَسَحَ جَانِبَيْهِ حَتّى مَسَحَهُ كُلَّهُ ، ثُمَّ أَخَذَ كَفّاً آخَرَ بِيَمِينِهِ ، فَصَبَّهُ عَلى يَسَارِهِ ، ثُمَّ غَسَلَ بِهِ ذِرَاعَهُ الْأَيْمَنَ ، ثُمَّ أَخَذَ كَفّاً آخَرَ ، فَغَسَلَ بِهِ ذِرَاعَهُ الْأَيْسَرَ ، ثُمَّ مَسَحَ رَأْسَهُ وَرِجْلَيْهِ بِمَا بَقِيَ فِي يَدَيْهِ. </w:t>
      </w:r>
      <w:r w:rsidRPr="007C12DB">
        <w:rPr>
          <w:rStyle w:val="libFootnotenumChar"/>
          <w:rtl/>
        </w:rPr>
        <w:t>(10)</w:t>
      </w:r>
      <w:r w:rsidRPr="005D642E">
        <w:rPr>
          <w:rtl/>
          <w:lang w:bidi="fa-IR"/>
        </w:rPr>
        <w:t xml:space="preserve"> ‌</w:t>
      </w:r>
    </w:p>
    <w:p w:rsidR="000D749A" w:rsidRDefault="00E3253D" w:rsidP="000D749A">
      <w:pPr>
        <w:pStyle w:val="libNormal"/>
        <w:rPr>
          <w:rtl/>
          <w:lang w:bidi="fa-IR"/>
        </w:rPr>
      </w:pPr>
      <w:r w:rsidRPr="0017280F">
        <w:rPr>
          <w:rtl/>
        </w:rPr>
        <w:t>3924</w:t>
      </w:r>
      <w:r w:rsidRPr="00246318">
        <w:rPr>
          <w:rStyle w:val="libBold2Char"/>
          <w:rtl/>
        </w:rPr>
        <w:t xml:space="preserve"> / 4.</w:t>
      </w:r>
      <w:r w:rsidRPr="005D642E">
        <w:rPr>
          <w:rtl/>
          <w:lang w:bidi="fa-IR"/>
        </w:rPr>
        <w:t xml:space="preserve"> عَلِيٌّ </w:t>
      </w:r>
      <w:r w:rsidRPr="007C12DB">
        <w:rPr>
          <w:rStyle w:val="libFootnotenumChar"/>
          <w:rtl/>
        </w:rPr>
        <w:t>(11)</w:t>
      </w:r>
      <w:r w:rsidRPr="005D642E">
        <w:rPr>
          <w:rtl/>
          <w:lang w:bidi="fa-IR"/>
        </w:rPr>
        <w:t xml:space="preserve"> ، عَنْ أَبِيهِ ؛</w:t>
      </w:r>
    </w:p>
    <w:p w:rsidR="00E3253D" w:rsidRPr="005D642E" w:rsidRDefault="000D749A" w:rsidP="000D749A">
      <w:pPr>
        <w:pStyle w:val="libNormal"/>
        <w:rPr>
          <w:rtl/>
          <w:lang w:bidi="fa-IR"/>
        </w:rPr>
      </w:pPr>
      <w:r>
        <w:rPr>
          <w:rFonts w:hint="cs"/>
          <w:rtl/>
          <w:lang w:bidi="fa-IR"/>
        </w:rPr>
        <w:t xml:space="preserve">              </w:t>
      </w:r>
      <w:r w:rsidR="00E3253D" w:rsidRPr="005D642E">
        <w:rPr>
          <w:rtl/>
          <w:lang w:bidi="fa-IR"/>
        </w:rPr>
        <w:t>وَمُحَمَّدُ بْنُ إِسْمَاعِيلَ ، عَنِ الْفَضْلِ بْنِ شَاذَانَ جَمِيعاً ، عَنْ حَمَّادِ بْنِ‌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0D749A">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معظم النسخ </w:t>
      </w:r>
      <w:r w:rsidR="000D749A" w:rsidRPr="000D749A">
        <w:rPr>
          <w:rStyle w:val="libFootnoteBoldChar"/>
          <w:rtl/>
        </w:rPr>
        <w:t>والوافي</w:t>
      </w:r>
      <w:r w:rsidR="00E3253D" w:rsidRPr="005D642E">
        <w:rPr>
          <w:rtl/>
        </w:rPr>
        <w:t xml:space="preserve"> والوسائل. وفي « بث » : + « من ماء بيده اليمنى وصبّه على يساره »</w:t>
      </w:r>
      <w:r w:rsidR="00E3253D">
        <w:rPr>
          <w:rtl/>
        </w:rPr>
        <w:t>.</w:t>
      </w:r>
      <w:r w:rsidR="00E3253D" w:rsidRPr="005D642E">
        <w:rPr>
          <w:rtl/>
        </w:rPr>
        <w:t xml:space="preserve"> وفي‌المطبوع : + « من ماء »</w:t>
      </w:r>
      <w:r w:rsidR="00E3253D">
        <w:rPr>
          <w:rtl/>
        </w:rPr>
        <w:t>.</w:t>
      </w:r>
      <w:r w:rsidR="009F10EE">
        <w:rPr>
          <w:rFonts w:hint="cs"/>
          <w:rtl/>
        </w:rPr>
        <w:t xml:space="preserve">                   </w:t>
      </w:r>
      <w:r w:rsidR="000D749A">
        <w:rPr>
          <w:rFonts w:hint="cs"/>
          <w:rtl/>
        </w:rPr>
        <w:t xml:space="preserve">           </w:t>
      </w:r>
      <w:r w:rsidRPr="0042621E">
        <w:rPr>
          <w:rStyle w:val="libFootnote0Char"/>
          <w:rtl/>
        </w:rPr>
        <w:t>(2).</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يده »</w:t>
      </w:r>
      <w:r w:rsidR="00E3253D">
        <w:rPr>
          <w:rtl/>
        </w:rPr>
        <w:t>.</w:t>
      </w:r>
    </w:p>
    <w:tbl>
      <w:tblPr>
        <w:tblStyle w:val="TableGrid"/>
        <w:bidiVisual/>
        <w:tblW w:w="0" w:type="auto"/>
        <w:tblLook w:val="04A0" w:firstRow="1" w:lastRow="0" w:firstColumn="1" w:lastColumn="0" w:noHBand="0" w:noVBand="1"/>
      </w:tblPr>
      <w:tblGrid>
        <w:gridCol w:w="4006"/>
        <w:gridCol w:w="4006"/>
      </w:tblGrid>
      <w:tr w:rsidR="000D749A" w:rsidTr="000D749A">
        <w:tc>
          <w:tcPr>
            <w:tcW w:w="4006" w:type="dxa"/>
          </w:tcPr>
          <w:p w:rsidR="000D749A" w:rsidRDefault="000D749A" w:rsidP="00E3253D">
            <w:pPr>
              <w:pStyle w:val="libFootnote0"/>
              <w:rPr>
                <w:rStyle w:val="libFootnote0Char"/>
                <w:rtl/>
              </w:rPr>
            </w:pPr>
            <w:r w:rsidRPr="0042621E">
              <w:rPr>
                <w:rStyle w:val="libFootnote0Char"/>
                <w:rtl/>
              </w:rPr>
              <w:t>(3).</w:t>
            </w:r>
            <w:r w:rsidRPr="005D642E">
              <w:rPr>
                <w:rtl/>
              </w:rPr>
              <w:t xml:space="preserve"> في « بث » : « وأخذ »</w:t>
            </w:r>
            <w:r>
              <w:rPr>
                <w:rtl/>
              </w:rPr>
              <w:t>.</w:t>
            </w:r>
          </w:p>
        </w:tc>
        <w:tc>
          <w:tcPr>
            <w:tcW w:w="4006" w:type="dxa"/>
          </w:tcPr>
          <w:p w:rsidR="000D749A" w:rsidRDefault="000D749A" w:rsidP="00E3253D">
            <w:pPr>
              <w:pStyle w:val="libFootnote0"/>
              <w:rPr>
                <w:rStyle w:val="libFootnote0Char"/>
                <w:rtl/>
              </w:rPr>
            </w:pPr>
            <w:r w:rsidRPr="0042621E">
              <w:rPr>
                <w:rStyle w:val="libFootnote0Char"/>
                <w:rtl/>
              </w:rPr>
              <w:t>(4).</w:t>
            </w:r>
            <w:r>
              <w:rPr>
                <w:rtl/>
              </w:rPr>
              <w:t xml:space="preserve"> في «بح»</w:t>
            </w:r>
            <w:r w:rsidRPr="005D642E">
              <w:rPr>
                <w:rtl/>
              </w:rPr>
              <w:t>:</w:t>
            </w:r>
            <w:r>
              <w:rPr>
                <w:rtl/>
              </w:rPr>
              <w:t>-«به</w:t>
            </w:r>
            <w:r w:rsidRPr="005D642E">
              <w:rPr>
                <w:rtl/>
              </w:rPr>
              <w:t>»</w:t>
            </w:r>
            <w:r>
              <w:rPr>
                <w:rtl/>
              </w:rPr>
              <w:t>. وفي«بف</w:t>
            </w:r>
            <w:r w:rsidRPr="005D642E">
              <w:rPr>
                <w:rtl/>
              </w:rPr>
              <w:t xml:space="preserve">» </w:t>
            </w:r>
            <w:r w:rsidRPr="000D749A">
              <w:rPr>
                <w:rStyle w:val="libFootnoteBoldChar"/>
                <w:rtl/>
              </w:rPr>
              <w:t>والوافي</w:t>
            </w:r>
            <w:r w:rsidRPr="005D642E">
              <w:rPr>
                <w:rtl/>
              </w:rPr>
              <w:t xml:space="preserve"> :</w:t>
            </w:r>
            <w:r>
              <w:rPr>
                <w:rtl/>
              </w:rPr>
              <w:t>-«يده</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جن » : « يده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الاستبصار</w:t>
      </w:r>
      <w:r w:rsidR="00E3253D" w:rsidRPr="005D642E">
        <w:rPr>
          <w:rtl/>
        </w:rPr>
        <w:t xml:space="preserve"> ، ج 1 ، ص 69 ، ح 209 ، بسند آخر ، مع اختلاف. </w:t>
      </w:r>
      <w:r w:rsidR="00E3253D" w:rsidRPr="002F4D34">
        <w:rPr>
          <w:rStyle w:val="libFootnoteBoldChar"/>
          <w:rtl/>
        </w:rPr>
        <w:t>تفسير العيّاشي</w:t>
      </w:r>
      <w:r w:rsidR="00E3253D" w:rsidRPr="005D642E">
        <w:rPr>
          <w:rtl/>
        </w:rPr>
        <w:t xml:space="preserve"> ، ج 1 ، ص 300 ، ح 56 ، عن عبدالله بن سليمان ، عن أبي جعفر </w:t>
      </w:r>
      <w:r w:rsidR="00E3253D" w:rsidRPr="000D749A">
        <w:rPr>
          <w:rStyle w:val="libFootnoteAlaemChar"/>
          <w:rtl/>
        </w:rPr>
        <w:t>عليه‌السلام</w:t>
      </w:r>
      <w:r w:rsidR="00E3253D" w:rsidRPr="005D642E">
        <w:rPr>
          <w:rtl/>
        </w:rPr>
        <w:t xml:space="preserve"> ، مع اختلاف يسير وزيادة في آخره </w:t>
      </w:r>
      <w:r w:rsidR="000D749A">
        <w:rPr>
          <w:rFonts w:hint="cs"/>
          <w:rtl/>
        </w:rPr>
        <w:t>.</w:t>
      </w:r>
      <w:r w:rsidR="00E3253D" w:rsidRPr="002F4D34">
        <w:rPr>
          <w:rStyle w:val="libFootnoteBoldChar"/>
          <w:rtl/>
        </w:rPr>
        <w:t>الوافي</w:t>
      </w:r>
      <w:r w:rsidR="00E3253D" w:rsidRPr="005D642E">
        <w:rPr>
          <w:rtl/>
        </w:rPr>
        <w:t xml:space="preserve"> ، ج 6 ، ص 274 ، ح 4279 ؛ </w:t>
      </w:r>
      <w:r w:rsidR="00E3253D" w:rsidRPr="002F4D34">
        <w:rPr>
          <w:rStyle w:val="libFootnoteBoldChar"/>
          <w:rtl/>
        </w:rPr>
        <w:t>الوسائل</w:t>
      </w:r>
      <w:r w:rsidR="00E3253D" w:rsidRPr="005D642E">
        <w:rPr>
          <w:rtl/>
        </w:rPr>
        <w:t xml:space="preserve"> ، ج 1 ، ص 389 ، ح 1023.</w:t>
      </w:r>
    </w:p>
    <w:p w:rsidR="00E3253D" w:rsidRPr="005D642E" w:rsidRDefault="0042621E" w:rsidP="000D749A">
      <w:pPr>
        <w:pStyle w:val="libFootnote0"/>
        <w:rPr>
          <w:rtl/>
          <w:lang w:bidi="fa-IR"/>
        </w:rPr>
      </w:pPr>
      <w:r w:rsidRPr="0042621E">
        <w:rPr>
          <w:rStyle w:val="libFootnote0Char"/>
          <w:rtl/>
        </w:rPr>
        <w:t>(7).</w:t>
      </w:r>
      <w:r w:rsidR="00E3253D" w:rsidRPr="005D642E">
        <w:rPr>
          <w:rtl/>
        </w:rPr>
        <w:t xml:space="preserve"> هكذا في معظم النسخ </w:t>
      </w:r>
      <w:r w:rsidR="000D749A" w:rsidRPr="000D749A">
        <w:rPr>
          <w:rStyle w:val="libFootnoteBoldChar"/>
          <w:rtl/>
        </w:rPr>
        <w:t>والوافي</w:t>
      </w:r>
      <w:r w:rsidR="00E3253D" w:rsidRPr="005D642E">
        <w:rPr>
          <w:rtl/>
        </w:rPr>
        <w:t xml:space="preserve"> والوسائل. وفي « بف » وحاشية « بخ » والمطبوع والكافي ، ح 3901 : + « من‌ذلك »</w:t>
      </w:r>
      <w:r w:rsidR="00E3253D">
        <w:rPr>
          <w:rtl/>
        </w:rPr>
        <w:t>.</w:t>
      </w:r>
      <w:r w:rsidR="000D749A">
        <w:rPr>
          <w:rFonts w:hint="cs"/>
          <w:rtl/>
        </w:rPr>
        <w:t xml:space="preserve">                </w:t>
      </w:r>
      <w:r w:rsidR="00EC62F1">
        <w:rPr>
          <w:rFonts w:hint="cs"/>
          <w:rtl/>
        </w:rPr>
        <w:t xml:space="preserve">                             </w:t>
      </w:r>
      <w:r w:rsidR="000D749A">
        <w:rPr>
          <w:rFonts w:hint="cs"/>
          <w:rtl/>
        </w:rPr>
        <w:t xml:space="preserve">    </w:t>
      </w:r>
      <w:r w:rsidRPr="0042621E">
        <w:rPr>
          <w:rStyle w:val="libFootnote0Char"/>
          <w:rtl/>
        </w:rPr>
        <w:t>(8).</w:t>
      </w:r>
      <w:r w:rsidR="00E3253D" w:rsidRPr="005D642E">
        <w:rPr>
          <w:rtl/>
        </w:rPr>
        <w:t xml:space="preserve"> في الوافي : « وأخذ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حاشية « بث » : « من الماء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مقدار الماء الذي يجزي الوضوء والغسل ، ح </w:t>
      </w:r>
      <w:r w:rsidR="000D749A">
        <w:rPr>
          <w:rtl/>
        </w:rPr>
        <w:t>3901 ، إلى قوله : « والماء أوسع</w:t>
      </w:r>
      <w:r w:rsidR="00E3253D" w:rsidRPr="005D642E">
        <w:rPr>
          <w:rtl/>
        </w:rPr>
        <w:t xml:space="preserve">» </w:t>
      </w:r>
      <w:r w:rsidR="000D749A">
        <w:rPr>
          <w:rFonts w:hint="cs"/>
          <w:rtl/>
        </w:rPr>
        <w:t>.</w:t>
      </w:r>
      <w:r w:rsidR="00E3253D" w:rsidRPr="002F4D34">
        <w:rPr>
          <w:rStyle w:val="libFootnoteBoldChar"/>
          <w:rtl/>
        </w:rPr>
        <w:t>الوافي</w:t>
      </w:r>
      <w:r w:rsidR="00E3253D" w:rsidRPr="005D642E">
        <w:rPr>
          <w:rtl/>
        </w:rPr>
        <w:t xml:space="preserve"> ، ج 6 ، ص 274 ، ح 4280 ؛ </w:t>
      </w:r>
      <w:r w:rsidR="00E3253D" w:rsidRPr="002F4D34">
        <w:rPr>
          <w:rStyle w:val="libFootnoteBoldChar"/>
          <w:rtl/>
        </w:rPr>
        <w:t>الوسائل</w:t>
      </w:r>
      <w:r w:rsidR="00E3253D" w:rsidRPr="005D642E">
        <w:rPr>
          <w:rtl/>
        </w:rPr>
        <w:t xml:space="preserve"> ، ج 1 ، ص 391 ، ح 1026.</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الوسائل : + « بن إبراهيم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عِيسى ، عَنْ حَرِيزٍ ، عَنْ زُرَارَةَ ، قَالَ :</w:t>
      </w:r>
    </w:p>
    <w:p w:rsidR="00E3253D" w:rsidRPr="005D642E" w:rsidRDefault="00E3253D" w:rsidP="00E3253D">
      <w:pPr>
        <w:pStyle w:val="libNormal"/>
        <w:rPr>
          <w:rtl/>
          <w:lang w:bidi="fa-IR"/>
        </w:rPr>
      </w:pPr>
      <w:r w:rsidRPr="005D642E">
        <w:rPr>
          <w:rtl/>
          <w:lang w:bidi="fa-IR"/>
        </w:rPr>
        <w:t xml:space="preserve">قَالَ أَبُو جَعْفَرٍ </w:t>
      </w:r>
      <w:r w:rsidRPr="00AC51C5">
        <w:rPr>
          <w:rStyle w:val="libAlaemChar"/>
          <w:rtl/>
        </w:rPr>
        <w:t>عليه‌السلام</w:t>
      </w:r>
      <w:r>
        <w:rPr>
          <w:rtl/>
          <w:lang w:bidi="fa-IR"/>
        </w:rPr>
        <w:t xml:space="preserve"> : « أَ</w:t>
      </w:r>
      <w:r w:rsidRPr="005D642E">
        <w:rPr>
          <w:rtl/>
          <w:lang w:bidi="fa-IR"/>
        </w:rPr>
        <w:t>لَا</w:t>
      </w:r>
      <w:r>
        <w:rPr>
          <w:rFonts w:hint="cs"/>
          <w:rtl/>
          <w:lang w:bidi="fa-IR"/>
        </w:rPr>
        <w:t xml:space="preserve"> </w:t>
      </w:r>
      <w:r w:rsidRPr="005D642E">
        <w:rPr>
          <w:rtl/>
          <w:lang w:bidi="fa-IR"/>
        </w:rPr>
        <w:t xml:space="preserve">أَحْكِي لَكُمْ وُضُوءَ رَسُولِ اللهِ </w:t>
      </w:r>
      <w:r w:rsidR="0042621E" w:rsidRPr="0042621E">
        <w:rPr>
          <w:rStyle w:val="libAlaemChar"/>
          <w:rtl/>
        </w:rPr>
        <w:t>صلى‌الله‌عليه‌وآله</w:t>
      </w:r>
      <w:r>
        <w:rPr>
          <w:rtl/>
          <w:lang w:bidi="fa-IR"/>
        </w:rPr>
        <w:t>؟</w:t>
      </w:r>
      <w:r w:rsidRPr="005D642E">
        <w:rPr>
          <w:rtl/>
          <w:lang w:bidi="fa-IR"/>
        </w:rPr>
        <w:t xml:space="preserve"> » فَقُلْنَا </w:t>
      </w:r>
      <w:r w:rsidRPr="007C12DB">
        <w:rPr>
          <w:rStyle w:val="libFootnotenumChar"/>
          <w:rtl/>
        </w:rPr>
        <w:t>(1)</w:t>
      </w:r>
      <w:r w:rsidRPr="005D642E">
        <w:rPr>
          <w:rtl/>
          <w:lang w:bidi="fa-IR"/>
        </w:rPr>
        <w:t xml:space="preserve"> : بَلى ، فَدَعَا بِقَعْبٍ </w:t>
      </w:r>
      <w:r w:rsidRPr="007C12DB">
        <w:rPr>
          <w:rStyle w:val="libFootnotenumChar"/>
          <w:rtl/>
        </w:rPr>
        <w:t>(2)</w:t>
      </w:r>
      <w:r w:rsidRPr="005D642E">
        <w:rPr>
          <w:rtl/>
          <w:lang w:bidi="fa-IR"/>
        </w:rPr>
        <w:t xml:space="preserve"> فِيهِ شَيْ‌ءٌ مِنْ مَاءٍ ، ثُمَّ وَضَعَهُ </w:t>
      </w:r>
      <w:r w:rsidRPr="007C12DB">
        <w:rPr>
          <w:rStyle w:val="libFootnotenumChar"/>
          <w:rtl/>
        </w:rPr>
        <w:t>(3)</w:t>
      </w:r>
      <w:r w:rsidRPr="005D642E">
        <w:rPr>
          <w:rtl/>
          <w:lang w:bidi="fa-IR"/>
        </w:rPr>
        <w:t xml:space="preserve"> بَيْنَ يَدَيْهِ ، ثُمَّ حَسَرَ عَنْ ذِرَاعَيْهِ </w:t>
      </w:r>
      <w:r w:rsidRPr="007C12DB">
        <w:rPr>
          <w:rStyle w:val="libFootnotenumChar"/>
          <w:rtl/>
        </w:rPr>
        <w:t>(4)</w:t>
      </w:r>
      <w:r w:rsidRPr="005D642E">
        <w:rPr>
          <w:rtl/>
          <w:lang w:bidi="fa-IR"/>
        </w:rPr>
        <w:t xml:space="preserve"> ، ثُمَّ غَمَسَ فِيهِ كَفَّهُ الْيُمْنى ، ثُمَّ قَالَ : « هكَذَا إِذَا كَانَتِ الْكَفُّ طَاهِرَةً » ثُمَّ غَرَفَ فَمَلَأَهَا </w:t>
      </w:r>
      <w:r w:rsidRPr="007C12DB">
        <w:rPr>
          <w:rStyle w:val="libFootnotenumChar"/>
          <w:rtl/>
        </w:rPr>
        <w:t>(5)</w:t>
      </w:r>
      <w:r w:rsidRPr="005D642E">
        <w:rPr>
          <w:rtl/>
          <w:lang w:bidi="fa-IR"/>
        </w:rPr>
        <w:t xml:space="preserve"> مَاءً ، فَوَضَعَهَا عَلى جَبِينِهِ </w:t>
      </w:r>
      <w:r w:rsidRPr="007C12DB">
        <w:rPr>
          <w:rStyle w:val="libFootnotenumChar"/>
          <w:rtl/>
        </w:rPr>
        <w:t>(6)</w:t>
      </w:r>
      <w:r w:rsidRPr="005D642E">
        <w:rPr>
          <w:rtl/>
          <w:lang w:bidi="fa-IR"/>
        </w:rPr>
        <w:t xml:space="preserve"> ، ثُمَّ قَالَ : « بِسْمِ اللهِ » وَسَدَلَهُ عَلى أَطْرَافِ لِحْيَتِهِ ، ثُمَّ أَمَرَّ </w:t>
      </w:r>
      <w:r w:rsidRPr="007C12DB">
        <w:rPr>
          <w:rStyle w:val="libFootnotenumChar"/>
          <w:rtl/>
        </w:rPr>
        <w:t>(7)</w:t>
      </w:r>
      <w:r w:rsidRPr="005D642E">
        <w:rPr>
          <w:rtl/>
          <w:lang w:bidi="fa-IR"/>
        </w:rPr>
        <w:t xml:space="preserve"> يَدَهُ عَلى وَجْهِهِ وَظَاهِرِ جَبِينِهِ </w:t>
      </w:r>
      <w:r w:rsidRPr="007C12DB">
        <w:rPr>
          <w:rStyle w:val="libFootnotenumChar"/>
          <w:rtl/>
        </w:rPr>
        <w:t>(8)</w:t>
      </w:r>
      <w:r w:rsidRPr="005D642E">
        <w:rPr>
          <w:rtl/>
          <w:lang w:bidi="fa-IR"/>
        </w:rPr>
        <w:t xml:space="preserve"> مَرَّةً وَاحِدَةً ، ثُمَّ غَمَسَ يَدَهُ الْيُسْرى ، فَغَرَفَ بِهَا مِلْأَهَا </w:t>
      </w:r>
      <w:r w:rsidRPr="007C12DB">
        <w:rPr>
          <w:rStyle w:val="libFootnotenumChar"/>
          <w:rtl/>
        </w:rPr>
        <w:t>(9)</w:t>
      </w:r>
      <w:r w:rsidRPr="005D642E">
        <w:rPr>
          <w:rtl/>
          <w:lang w:bidi="fa-IR"/>
        </w:rPr>
        <w:t xml:space="preserve"> ، ثُمَّ وَضَعَهُ </w:t>
      </w:r>
      <w:r w:rsidRPr="007C12DB">
        <w:rPr>
          <w:rStyle w:val="libFootnotenumChar"/>
          <w:rtl/>
        </w:rPr>
        <w:t>(10)</w:t>
      </w:r>
      <w:r w:rsidRPr="005D642E">
        <w:rPr>
          <w:rtl/>
          <w:lang w:bidi="fa-IR"/>
        </w:rPr>
        <w:t xml:space="preserve"> عَلى مِرْفَقِهِ الْيُمْنى ، وَأَمَرَّ </w:t>
      </w:r>
      <w:r w:rsidRPr="007C12DB">
        <w:rPr>
          <w:rStyle w:val="libFootnotenumChar"/>
          <w:rtl/>
        </w:rPr>
        <w:t>(11)</w:t>
      </w:r>
      <w:r w:rsidRPr="005D642E">
        <w:rPr>
          <w:rtl/>
          <w:lang w:bidi="fa-IR"/>
        </w:rPr>
        <w:t xml:space="preserve"> كَفَّهُ عَلى سَاعِدِهِ حَتّى جَرَى الْمَاءُ عَلى أَطْرَافِ أَصَابِعِهِ ، ثُمَّ غَرَفَ بِيَمِينِهِ مِلْأَهَا ، فَوَضَعَهُ </w:t>
      </w:r>
      <w:r w:rsidRPr="007C12DB">
        <w:rPr>
          <w:rStyle w:val="libFootnotenumChar"/>
          <w:rtl/>
        </w:rPr>
        <w:t>(12)</w:t>
      </w:r>
      <w:r w:rsidRPr="005D642E">
        <w:rPr>
          <w:rtl/>
          <w:lang w:bidi="fa-IR"/>
        </w:rPr>
        <w:t xml:space="preserve"> عَلى مِرْفَقِهِ الْيُسْرى ، وَأَمَرَّ </w:t>
      </w:r>
      <w:r w:rsidRPr="007C12DB">
        <w:rPr>
          <w:rStyle w:val="libFootnotenumChar"/>
          <w:rtl/>
        </w:rPr>
        <w:t>(13)</w:t>
      </w:r>
      <w:r w:rsidRPr="005D642E">
        <w:rPr>
          <w:rtl/>
          <w:lang w:bidi="fa-IR"/>
        </w:rPr>
        <w:t xml:space="preserve"> كَفَّهُ عَلى سَاعِدِهِ حَتّى جَرَى الْمَاءُ عَلى أَطْرَافِ أَصَابِعِهِ ، وَمَسَحَ مُقَدَّمَ رَأْسِهِ وَظَهْرَ قَدَمَيْهِ بِبِلَّةِ يَسَارِهِ </w:t>
      </w:r>
      <w:r w:rsidRPr="007C12DB">
        <w:rPr>
          <w:rStyle w:val="libFootnotenumChar"/>
          <w:rtl/>
        </w:rPr>
        <w:t>(14)</w:t>
      </w:r>
      <w:r w:rsidRPr="005D642E">
        <w:rPr>
          <w:rtl/>
          <w:lang w:bidi="fa-IR"/>
        </w:rPr>
        <w:t xml:space="preserve"> وَبَقِيَّةِ بِلَّةِ يُمْنَاهُ.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 « قلت »</w:t>
      </w:r>
      <w:r w:rsidR="00E3253D">
        <w:rPr>
          <w:rtl/>
        </w:rPr>
        <w:t>.</w:t>
      </w:r>
      <w:r w:rsidR="00E3253D" w:rsidRPr="005D642E">
        <w:rPr>
          <w:rtl/>
        </w:rPr>
        <w:t xml:space="preserve"> وفي « بح ، جح » : « قلنا »</w:t>
      </w:r>
      <w:r w:rsidR="00E3253D">
        <w:rPr>
          <w:rtl/>
        </w:rPr>
        <w:t>.</w:t>
      </w:r>
      <w:r w:rsidR="00E3253D" w:rsidRPr="005D642E">
        <w:rPr>
          <w:rtl/>
        </w:rPr>
        <w:t xml:space="preserve"> وفي « بف » : « فقلت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القَعْب » : قَدَحٌ من خشب مُقعَّرٌ. وقيل : هو القدح الضخم الغليظ الجافي. وقيل غير ذلك. راجع : </w:t>
      </w:r>
      <w:r w:rsidR="00E3253D" w:rsidRPr="002F4D34">
        <w:rPr>
          <w:rStyle w:val="libFootnoteBoldChar"/>
          <w:rtl/>
        </w:rPr>
        <w:t>الصحاح</w:t>
      </w:r>
      <w:r w:rsidR="00E3253D" w:rsidRPr="005D642E">
        <w:rPr>
          <w:rtl/>
        </w:rPr>
        <w:t xml:space="preserve"> ، ج 1 ، ص 204 ؛ </w:t>
      </w:r>
      <w:r w:rsidR="00E3253D" w:rsidRPr="002F4D34">
        <w:rPr>
          <w:rStyle w:val="libFootnoteBoldChar"/>
          <w:rtl/>
        </w:rPr>
        <w:t>لسان العرب</w:t>
      </w:r>
      <w:r w:rsidR="00E3253D" w:rsidRPr="005D642E">
        <w:rPr>
          <w:rtl/>
        </w:rPr>
        <w:t xml:space="preserve"> ، ج 1 ، ص 683 ( قعب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ى ، بث ، جس » </w:t>
      </w:r>
      <w:r w:rsidR="000D749A" w:rsidRPr="000D749A">
        <w:rPr>
          <w:rStyle w:val="libFootnoteBoldChar"/>
          <w:rtl/>
        </w:rPr>
        <w:t>والمرآة</w:t>
      </w:r>
      <w:r w:rsidR="00E3253D" w:rsidRPr="005D642E">
        <w:rPr>
          <w:rtl/>
        </w:rPr>
        <w:t xml:space="preserve"> والوسائل : « فوضعه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حَسَرَ عن ذراعيه » ، أي كشف كُمّيه عن ذراعيه وأخرج ذراعيه عن كمّيه ، فالمفعول محذوف. راجع : </w:t>
      </w:r>
      <w:r w:rsidR="00E3253D" w:rsidRPr="002F4D34">
        <w:rPr>
          <w:rStyle w:val="libFootnoteBoldChar"/>
          <w:rtl/>
        </w:rPr>
        <w:t>الصحاح</w:t>
      </w:r>
      <w:r w:rsidR="00E3253D" w:rsidRPr="005D642E">
        <w:rPr>
          <w:rtl/>
        </w:rPr>
        <w:t xml:space="preserve"> ، ج 2 ، ص 629 ؛ </w:t>
      </w:r>
      <w:r w:rsidR="00E3253D" w:rsidRPr="002F4D34">
        <w:rPr>
          <w:rStyle w:val="libFootnoteBoldChar"/>
          <w:rtl/>
        </w:rPr>
        <w:t>النهاية</w:t>
      </w:r>
      <w:r w:rsidR="00E3253D" w:rsidRPr="005D642E">
        <w:rPr>
          <w:rtl/>
        </w:rPr>
        <w:t xml:space="preserve"> ، ج 1 ، ص 383 ( حسر )</w:t>
      </w:r>
      <w:r w:rsidR="00E3253D">
        <w:rPr>
          <w:rtl/>
        </w:rPr>
        <w:t>.</w:t>
      </w:r>
    </w:p>
    <w:tbl>
      <w:tblPr>
        <w:tblStyle w:val="TableGrid"/>
        <w:bidiVisual/>
        <w:tblW w:w="0" w:type="auto"/>
        <w:tblLook w:val="04A0" w:firstRow="1" w:lastRow="0" w:firstColumn="1" w:lastColumn="0" w:noHBand="0" w:noVBand="1"/>
      </w:tblPr>
      <w:tblGrid>
        <w:gridCol w:w="4006"/>
        <w:gridCol w:w="4006"/>
      </w:tblGrid>
      <w:tr w:rsidR="000D749A" w:rsidTr="000D749A">
        <w:tc>
          <w:tcPr>
            <w:tcW w:w="4006" w:type="dxa"/>
          </w:tcPr>
          <w:p w:rsidR="000D749A" w:rsidRDefault="000D749A" w:rsidP="00E3253D">
            <w:pPr>
              <w:pStyle w:val="libFootnote0"/>
              <w:rPr>
                <w:rStyle w:val="libFootnote0Char"/>
                <w:rtl/>
              </w:rPr>
            </w:pPr>
            <w:r w:rsidRPr="0042621E">
              <w:rPr>
                <w:rStyle w:val="libFootnote0Char"/>
                <w:rtl/>
              </w:rPr>
              <w:t>(5).</w:t>
            </w:r>
            <w:r w:rsidRPr="005D642E">
              <w:rPr>
                <w:rtl/>
              </w:rPr>
              <w:t xml:space="preserve"> في الوسائل : « ملأها »</w:t>
            </w:r>
            <w:r>
              <w:rPr>
                <w:rtl/>
              </w:rPr>
              <w:t>.</w:t>
            </w:r>
          </w:p>
        </w:tc>
        <w:tc>
          <w:tcPr>
            <w:tcW w:w="4006" w:type="dxa"/>
          </w:tcPr>
          <w:p w:rsidR="000D749A" w:rsidRDefault="000D749A" w:rsidP="00E3253D">
            <w:pPr>
              <w:pStyle w:val="libFootnote0"/>
              <w:rPr>
                <w:rStyle w:val="libFootnote0Char"/>
                <w:rtl/>
              </w:rPr>
            </w:pPr>
            <w:r w:rsidRPr="0042621E">
              <w:rPr>
                <w:rStyle w:val="libFootnote0Char"/>
                <w:rtl/>
              </w:rPr>
              <w:t>(6).</w:t>
            </w:r>
            <w:r w:rsidRPr="005D642E">
              <w:rPr>
                <w:rtl/>
              </w:rPr>
              <w:t xml:space="preserve"> في « ظ » : « جبهته »</w:t>
            </w:r>
            <w:r>
              <w:rPr>
                <w:rtl/>
              </w:rPr>
              <w:t>.</w:t>
            </w:r>
          </w:p>
        </w:tc>
      </w:tr>
      <w:tr w:rsidR="000D749A" w:rsidTr="000D749A">
        <w:tc>
          <w:tcPr>
            <w:tcW w:w="4006" w:type="dxa"/>
          </w:tcPr>
          <w:p w:rsidR="000D749A" w:rsidRDefault="000D749A" w:rsidP="00E3253D">
            <w:pPr>
              <w:pStyle w:val="libFootnote0"/>
              <w:rPr>
                <w:rStyle w:val="libFootnote0Char"/>
                <w:rtl/>
              </w:rPr>
            </w:pPr>
            <w:r w:rsidRPr="0042621E">
              <w:rPr>
                <w:rStyle w:val="libFootnote0Char"/>
                <w:rtl/>
              </w:rPr>
              <w:t>(7).</w:t>
            </w:r>
            <w:r w:rsidRPr="005D642E">
              <w:rPr>
                <w:rtl/>
              </w:rPr>
              <w:t xml:space="preserve"> في « جن » : « ثمّ مرّ »</w:t>
            </w:r>
            <w:r>
              <w:rPr>
                <w:rtl/>
              </w:rPr>
              <w:t>.</w:t>
            </w:r>
          </w:p>
        </w:tc>
        <w:tc>
          <w:tcPr>
            <w:tcW w:w="4006" w:type="dxa"/>
          </w:tcPr>
          <w:p w:rsidR="000D749A" w:rsidRDefault="000D749A" w:rsidP="00E3253D">
            <w:pPr>
              <w:pStyle w:val="libFootnote0"/>
              <w:rPr>
                <w:rStyle w:val="libFootnote0Char"/>
                <w:rtl/>
              </w:rPr>
            </w:pPr>
            <w:r w:rsidRPr="0042621E">
              <w:rPr>
                <w:rStyle w:val="libFootnote0Char"/>
                <w:rtl/>
              </w:rPr>
              <w:t>(8).</w:t>
            </w:r>
            <w:r w:rsidRPr="005D642E">
              <w:rPr>
                <w:rtl/>
              </w:rPr>
              <w:t xml:space="preserve"> في « ى » وحاشية « بح ، جن » : « جبينيه »</w:t>
            </w:r>
            <w:r>
              <w:rPr>
                <w:rtl/>
              </w:rPr>
              <w:t>.</w:t>
            </w:r>
          </w:p>
        </w:tc>
      </w:tr>
      <w:tr w:rsidR="000D749A" w:rsidTr="000D749A">
        <w:tc>
          <w:tcPr>
            <w:tcW w:w="4006" w:type="dxa"/>
          </w:tcPr>
          <w:p w:rsidR="000D749A" w:rsidRDefault="000D749A" w:rsidP="00E3253D">
            <w:pPr>
              <w:pStyle w:val="libFootnote0"/>
              <w:rPr>
                <w:rStyle w:val="libFootnote0Char"/>
                <w:rtl/>
              </w:rPr>
            </w:pPr>
            <w:r w:rsidRPr="0042621E">
              <w:rPr>
                <w:rStyle w:val="libFootnote0Char"/>
                <w:rtl/>
              </w:rPr>
              <w:t>(9).</w:t>
            </w:r>
            <w:r w:rsidRPr="005D642E">
              <w:rPr>
                <w:rtl/>
              </w:rPr>
              <w:t xml:space="preserve"> في « جس » : + « ماء »</w:t>
            </w:r>
            <w:r>
              <w:rPr>
                <w:rtl/>
              </w:rPr>
              <w:t>.</w:t>
            </w:r>
          </w:p>
        </w:tc>
        <w:tc>
          <w:tcPr>
            <w:tcW w:w="4006" w:type="dxa"/>
          </w:tcPr>
          <w:p w:rsidR="000D749A" w:rsidRDefault="000D749A" w:rsidP="00E3253D">
            <w:pPr>
              <w:pStyle w:val="libFootnote0"/>
              <w:rPr>
                <w:rStyle w:val="libFootnote0Char"/>
                <w:rtl/>
              </w:rPr>
            </w:pPr>
            <w:r w:rsidRPr="0042621E">
              <w:rPr>
                <w:rStyle w:val="libFootnote0Char"/>
                <w:rtl/>
              </w:rPr>
              <w:t>(10).</w:t>
            </w:r>
            <w:r w:rsidRPr="005D642E">
              <w:rPr>
                <w:rtl/>
              </w:rPr>
              <w:t xml:space="preserve"> في « ى » : « ثمّ وضعها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جس » وحاشية « بح » والوسائل : « فأمرّ »</w:t>
      </w:r>
      <w:r w:rsidR="00E3253D">
        <w:rPr>
          <w:rtl/>
        </w:rPr>
        <w:t>.</w:t>
      </w:r>
      <w:r w:rsidR="00E3253D" w:rsidRPr="005D642E">
        <w:rPr>
          <w:rtl/>
        </w:rPr>
        <w:t xml:space="preserve"> وفي « جن » : « ومرّ »</w:t>
      </w:r>
      <w:r w:rsidR="00E3253D">
        <w:rPr>
          <w:rtl/>
        </w:rPr>
        <w:t>.</w:t>
      </w:r>
    </w:p>
    <w:tbl>
      <w:tblPr>
        <w:tblStyle w:val="TableGrid"/>
        <w:bidiVisual/>
        <w:tblW w:w="0" w:type="auto"/>
        <w:tblLook w:val="04A0" w:firstRow="1" w:lastRow="0" w:firstColumn="1" w:lastColumn="0" w:noHBand="0" w:noVBand="1"/>
      </w:tblPr>
      <w:tblGrid>
        <w:gridCol w:w="4006"/>
        <w:gridCol w:w="4006"/>
      </w:tblGrid>
      <w:tr w:rsidR="000D749A" w:rsidTr="000D749A">
        <w:tc>
          <w:tcPr>
            <w:tcW w:w="4006" w:type="dxa"/>
          </w:tcPr>
          <w:p w:rsidR="000D749A" w:rsidRDefault="000D749A" w:rsidP="00E3253D">
            <w:pPr>
              <w:pStyle w:val="libFootnote0"/>
              <w:rPr>
                <w:rStyle w:val="libFootnote0Char"/>
                <w:rtl/>
                <w:lang w:bidi="fa-IR"/>
              </w:rPr>
            </w:pPr>
            <w:r w:rsidRPr="0042621E">
              <w:rPr>
                <w:rStyle w:val="libFootnote0Char"/>
                <w:rtl/>
              </w:rPr>
              <w:t>(12).</w:t>
            </w:r>
            <w:r w:rsidRPr="005D642E">
              <w:rPr>
                <w:rtl/>
              </w:rPr>
              <w:t xml:space="preserve"> في « ى » وحاشية « جن » : « فوضعها »</w:t>
            </w:r>
            <w:r>
              <w:rPr>
                <w:rtl/>
              </w:rPr>
              <w:t>.</w:t>
            </w:r>
          </w:p>
        </w:tc>
        <w:tc>
          <w:tcPr>
            <w:tcW w:w="4006" w:type="dxa"/>
          </w:tcPr>
          <w:p w:rsidR="000D749A" w:rsidRDefault="000D749A" w:rsidP="00E3253D">
            <w:pPr>
              <w:pStyle w:val="libFootnote0"/>
              <w:rPr>
                <w:rStyle w:val="libFootnote0Char"/>
                <w:rtl/>
                <w:lang w:bidi="fa-IR"/>
              </w:rPr>
            </w:pPr>
            <w:r w:rsidRPr="0042621E">
              <w:rPr>
                <w:rStyle w:val="libFootnote0Char"/>
                <w:rtl/>
              </w:rPr>
              <w:t>(13).</w:t>
            </w:r>
            <w:r>
              <w:rPr>
                <w:rtl/>
              </w:rPr>
              <w:t xml:space="preserve"> في «ى ،بح ،بخ ،جس » والوسائل : «فأمرّ</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w:t>
      </w:r>
      <w:r w:rsidR="00E3253D" w:rsidRPr="002F4D34">
        <w:rPr>
          <w:rStyle w:val="libFootnoteBoldChar"/>
          <w:rtl/>
        </w:rPr>
        <w:t>مرآة العقول</w:t>
      </w:r>
      <w:r w:rsidR="00E3253D" w:rsidRPr="005D642E">
        <w:rPr>
          <w:rtl/>
        </w:rPr>
        <w:t xml:space="preserve"> ، ج 13 ، ص 75 : « قوله </w:t>
      </w:r>
      <w:r w:rsidR="00E3253D" w:rsidRPr="000D749A">
        <w:rPr>
          <w:rStyle w:val="libFootnoteAlaemChar"/>
          <w:rtl/>
        </w:rPr>
        <w:t>عليه‌السلام</w:t>
      </w:r>
      <w:r w:rsidR="00E3253D" w:rsidRPr="005D642E">
        <w:rPr>
          <w:rtl/>
        </w:rPr>
        <w:t xml:space="preserve"> : ببلّة يساره ، حمل هذا الكلام على اللفّ والنشر المرتّب يقتضي</w:t>
      </w:r>
      <w:r w:rsidR="000D749A">
        <w:rPr>
          <w:rFonts w:hint="cs"/>
          <w:rtl/>
        </w:rPr>
        <w:t xml:space="preserve"> </w:t>
      </w:r>
      <w:r w:rsidR="00E3253D" w:rsidRPr="005D642E">
        <w:rPr>
          <w:rtl/>
        </w:rPr>
        <w:t xml:space="preserve">‌مسحه </w:t>
      </w:r>
      <w:r w:rsidR="00E3253D" w:rsidRPr="000D749A">
        <w:rPr>
          <w:rStyle w:val="libFootnoteAlaemChar"/>
          <w:rtl/>
        </w:rPr>
        <w:t>عليه‌السلام</w:t>
      </w:r>
      <w:r w:rsidR="00E3253D" w:rsidRPr="005D642E">
        <w:rPr>
          <w:rtl/>
        </w:rPr>
        <w:t xml:space="preserve"> رأسه بيساره ، وهو في غاية البعد. وحمله على المشوّش أيضاً بعيد ، وذكر البقيّة في اليمنى دون اليسرى لا يساعده ، فالأظهر أن يكون قوله </w:t>
      </w:r>
      <w:r w:rsidR="00E3253D" w:rsidRPr="000D749A">
        <w:rPr>
          <w:rStyle w:val="libFootnoteAlaemChar"/>
          <w:rtl/>
        </w:rPr>
        <w:t>عليه‌السلام</w:t>
      </w:r>
      <w:r w:rsidR="00E3253D" w:rsidRPr="005D642E">
        <w:rPr>
          <w:rtl/>
        </w:rPr>
        <w:t xml:space="preserve"> : « ببلّة يساره » مع ما عطف عليه من متعلّقات مسح القدمين فقط ، وعود القيد إلى كلا المتعاطفين غير لازم</w:t>
      </w:r>
      <w:r w:rsidR="00E3253D">
        <w:rPr>
          <w:rtl/>
        </w:rPr>
        <w:t xml:space="preserve"> ..</w:t>
      </w:r>
      <w:r w:rsidR="00E3253D" w:rsidRPr="005D642E">
        <w:rPr>
          <w:rtl/>
        </w:rPr>
        <w:t xml:space="preserve">. وحينئذٍ يكون في إدراج لفظ البقيّة إشعار بأنّه </w:t>
      </w:r>
      <w:r w:rsidR="00E3253D" w:rsidRPr="000D749A">
        <w:rPr>
          <w:rStyle w:val="libFootnoteAlaemChar"/>
          <w:rtl/>
        </w:rPr>
        <w:t>عليه‌السلام</w:t>
      </w:r>
      <w:r w:rsidR="00E3253D">
        <w:rPr>
          <w:rtl/>
        </w:rPr>
        <w:t xml:space="preserve"> مسح رأسه بيمناه »</w:t>
      </w:r>
      <w:r w:rsidR="00E3253D" w:rsidRPr="005D642E">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w:t>
      </w:r>
      <w:r w:rsidRPr="007C12DB">
        <w:rPr>
          <w:rStyle w:val="libFootnotenumChar"/>
          <w:rtl/>
        </w:rPr>
        <w:t>(1)</w:t>
      </w:r>
      <w:r w:rsidRPr="005D642E">
        <w:rPr>
          <w:rtl/>
          <w:lang w:bidi="fa-IR"/>
        </w:rPr>
        <w:t xml:space="preserve"> : وَقَالَ أَبُو جَعْفَرٍ </w:t>
      </w:r>
      <w:r w:rsidRPr="00AC51C5">
        <w:rPr>
          <w:rStyle w:val="libAlaemChar"/>
          <w:rtl/>
        </w:rPr>
        <w:t>عليه‌السلام</w:t>
      </w:r>
      <w:r w:rsidRPr="005D642E">
        <w:rPr>
          <w:rtl/>
          <w:lang w:bidi="fa-IR"/>
        </w:rPr>
        <w:t xml:space="preserve"> : « إِنَّ اللهَ وَتْرٌ </w:t>
      </w:r>
      <w:r w:rsidRPr="007C12DB">
        <w:rPr>
          <w:rStyle w:val="libFootnotenumChar"/>
          <w:rtl/>
        </w:rPr>
        <w:t>(2)</w:t>
      </w:r>
      <w:r w:rsidRPr="005D642E">
        <w:rPr>
          <w:rtl/>
          <w:lang w:bidi="fa-IR"/>
        </w:rPr>
        <w:t xml:space="preserve"> يُحِبُّ الْوَتْرَ ، فَقَدْ يُجْزِئُكَ مِنَ الْوُضُوءِ ثَلَاثُ غُرَفَاتٍ : وَاحِدَةٌ لِلْوَجْهِ ، وَاثْنَتَانِ </w:t>
      </w:r>
      <w:r w:rsidRPr="007C12DB">
        <w:rPr>
          <w:rStyle w:val="libFootnotenumChar"/>
          <w:rtl/>
        </w:rPr>
        <w:t>(3)</w:t>
      </w:r>
      <w:r w:rsidRPr="005D642E">
        <w:rPr>
          <w:rtl/>
          <w:lang w:bidi="fa-IR"/>
        </w:rPr>
        <w:t xml:space="preserve"> لِلذِّرَاعَيْنِ ، وَتَمْسَحُ </w:t>
      </w:r>
      <w:r w:rsidRPr="007C12DB">
        <w:rPr>
          <w:rStyle w:val="libFootnotenumChar"/>
          <w:rtl/>
        </w:rPr>
        <w:t>(4)</w:t>
      </w:r>
      <w:r w:rsidRPr="005D642E">
        <w:rPr>
          <w:rtl/>
          <w:lang w:bidi="fa-IR"/>
        </w:rPr>
        <w:t xml:space="preserve"> بِبِلَّةِ </w:t>
      </w:r>
      <w:r w:rsidRPr="007C12DB">
        <w:rPr>
          <w:rStyle w:val="libFootnotenumChar"/>
          <w:rtl/>
        </w:rPr>
        <w:t>(5)</w:t>
      </w:r>
      <w:r w:rsidRPr="005D642E">
        <w:rPr>
          <w:rtl/>
          <w:lang w:bidi="fa-IR"/>
        </w:rPr>
        <w:t xml:space="preserve"> يُمْنَاكَ </w:t>
      </w:r>
      <w:r w:rsidRPr="007C12DB">
        <w:rPr>
          <w:rStyle w:val="libFootnotenumChar"/>
          <w:rtl/>
        </w:rPr>
        <w:t>(6)</w:t>
      </w:r>
      <w:r w:rsidRPr="005D642E">
        <w:rPr>
          <w:rtl/>
          <w:lang w:bidi="fa-IR"/>
        </w:rPr>
        <w:t xml:space="preserve"> نَاصِيَتَكَ </w:t>
      </w:r>
      <w:r w:rsidRPr="007C12DB">
        <w:rPr>
          <w:rStyle w:val="libFootnotenumChar"/>
          <w:rtl/>
        </w:rPr>
        <w:t>(7)</w:t>
      </w:r>
      <w:r w:rsidRPr="005D642E">
        <w:rPr>
          <w:rtl/>
          <w:lang w:bidi="fa-IR"/>
        </w:rPr>
        <w:t xml:space="preserve"> ، وَمَا بَقِيَ مِنْ بِلَّةِ يَمِينِكَ ظَهْرَ قَدَمِكَ الْيُمْنى ، وَتَمْسَحُ </w:t>
      </w:r>
      <w:r w:rsidRPr="007C12DB">
        <w:rPr>
          <w:rStyle w:val="libFootnotenumChar"/>
          <w:rtl/>
        </w:rPr>
        <w:t>(8)</w:t>
      </w:r>
      <w:r w:rsidRPr="005D642E">
        <w:rPr>
          <w:rtl/>
          <w:lang w:bidi="fa-IR"/>
        </w:rPr>
        <w:t xml:space="preserve"> بِبِلَّةِ يَسَارِكَ ظَهْرَ قَدَمِكَ الْيُسْرى »</w:t>
      </w:r>
      <w:r>
        <w:rPr>
          <w:rtl/>
          <w:lang w:bidi="fa-IR"/>
        </w:rPr>
        <w:t>.</w:t>
      </w:r>
    </w:p>
    <w:p w:rsidR="00E3253D" w:rsidRPr="005D642E" w:rsidRDefault="00E3253D" w:rsidP="00E3253D">
      <w:pPr>
        <w:pStyle w:val="libNormal"/>
        <w:rPr>
          <w:rtl/>
          <w:lang w:bidi="fa-IR"/>
        </w:rPr>
      </w:pPr>
      <w:r w:rsidRPr="005D642E">
        <w:rPr>
          <w:rtl/>
          <w:lang w:bidi="fa-IR"/>
        </w:rPr>
        <w:t xml:space="preserve">قَالَ زُرَارَةُ : قَالَ أَبُو جَعْفَرٍ </w:t>
      </w:r>
      <w:r w:rsidRPr="00AC51C5">
        <w:rPr>
          <w:rStyle w:val="libAlaemChar"/>
          <w:rtl/>
        </w:rPr>
        <w:t>عليه‌السلام</w:t>
      </w:r>
      <w:r w:rsidRPr="005D642E">
        <w:rPr>
          <w:rtl/>
          <w:lang w:bidi="fa-IR"/>
        </w:rPr>
        <w:t xml:space="preserve"> : « سَأَلَ رَجُلٌ أَمِيرَ الْمُؤْمِنِينَ </w:t>
      </w:r>
      <w:r w:rsidRPr="00AC51C5">
        <w:rPr>
          <w:rStyle w:val="libAlaemChar"/>
          <w:rtl/>
        </w:rPr>
        <w:t>عليه‌السلام</w:t>
      </w:r>
      <w:r w:rsidRPr="005D642E">
        <w:rPr>
          <w:rtl/>
          <w:lang w:bidi="fa-IR"/>
        </w:rPr>
        <w:t xml:space="preserve"> عَنْ وُضُوءِ رَسُولِ اللهِ </w:t>
      </w:r>
      <w:r w:rsidR="0042621E" w:rsidRPr="0042621E">
        <w:rPr>
          <w:rStyle w:val="libAlaemChar"/>
          <w:rtl/>
        </w:rPr>
        <w:t>صلى‌الله‌عليه‌وآله</w:t>
      </w:r>
      <w:r w:rsidRPr="005D642E">
        <w:rPr>
          <w:rtl/>
          <w:lang w:bidi="fa-IR"/>
        </w:rPr>
        <w:t xml:space="preserve"> ، فَحَكى لَهُ مِثْلَ ذلِكَ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5A56D3">
        <w:rPr>
          <w:rtl/>
        </w:rPr>
        <w:t>3925</w:t>
      </w:r>
      <w:r w:rsidRPr="00246318">
        <w:rPr>
          <w:rStyle w:val="libBold2Char"/>
          <w:rtl/>
        </w:rPr>
        <w:t xml:space="preserve"> / 5.</w:t>
      </w:r>
      <w:r w:rsidRPr="005D642E">
        <w:rPr>
          <w:rtl/>
          <w:lang w:bidi="fa-IR"/>
        </w:rPr>
        <w:t xml:space="preserve"> عَلِيُّ بْنُ إِبْرَاهِيمَ ، عَنْ أَبِيهِ ، عَنِ ابْنِ أَبِي عُمَيْرٍ ، عَنْ عُمَرَ بْنِ أُذَيْنَةَ ، عَنْ زُرَارَةَ</w:t>
      </w:r>
      <w:r>
        <w:rPr>
          <w:rFonts w:hint="cs"/>
          <w:rtl/>
          <w:lang w:bidi="fa-IR"/>
        </w:rPr>
        <w:t xml:space="preserve"> </w:t>
      </w:r>
      <w:r w:rsidRPr="005D642E">
        <w:rPr>
          <w:rtl/>
          <w:lang w:bidi="fa-IR"/>
        </w:rPr>
        <w:t>وَبُكَيْرٍ :</w:t>
      </w:r>
    </w:p>
    <w:p w:rsidR="00E3253D" w:rsidRPr="005D642E" w:rsidRDefault="00E3253D" w:rsidP="00E3253D">
      <w:pPr>
        <w:pStyle w:val="libNormal"/>
        <w:rPr>
          <w:rtl/>
          <w:lang w:bidi="fa-IR"/>
        </w:rPr>
      </w:pPr>
      <w:r w:rsidRPr="005D642E">
        <w:rPr>
          <w:rtl/>
          <w:lang w:bidi="fa-IR"/>
        </w:rPr>
        <w:t xml:space="preserve">أَنَّهُمَا سَأَلَا أَبَا جَعْفَرٍ </w:t>
      </w:r>
      <w:r w:rsidRPr="00AC51C5">
        <w:rPr>
          <w:rStyle w:val="libAlaemChar"/>
          <w:rtl/>
        </w:rPr>
        <w:t>عليه‌السلام</w:t>
      </w:r>
      <w:r w:rsidRPr="005D642E">
        <w:rPr>
          <w:rtl/>
          <w:lang w:bidi="fa-IR"/>
        </w:rPr>
        <w:t xml:space="preserve"> عَنْ وُضُوءِ رَسُولِ اللهِ </w:t>
      </w:r>
      <w:r w:rsidR="0042621E" w:rsidRPr="0042621E">
        <w:rPr>
          <w:rStyle w:val="libAlaemChar"/>
          <w:rtl/>
        </w:rPr>
        <w:t>صلى‌الله‌عليه‌وآله</w:t>
      </w:r>
      <w:r w:rsidRPr="005D642E">
        <w:rPr>
          <w:rtl/>
          <w:lang w:bidi="fa-IR"/>
        </w:rPr>
        <w:t xml:space="preserve"> ، فَدَعَا بِطَسْتٍ </w:t>
      </w:r>
      <w:r w:rsidRPr="007C12DB">
        <w:rPr>
          <w:rStyle w:val="libFootnotenumChar"/>
          <w:rtl/>
        </w:rPr>
        <w:t>(10)</w:t>
      </w:r>
      <w:r w:rsidRPr="005D642E">
        <w:rPr>
          <w:rtl/>
          <w:lang w:bidi="fa-IR"/>
        </w:rPr>
        <w:t xml:space="preserve"> ، أَوْ تَوْرٍ </w:t>
      </w:r>
      <w:r w:rsidRPr="007C12DB">
        <w:rPr>
          <w:rStyle w:val="libFootnotenumChar"/>
          <w:rtl/>
        </w:rPr>
        <w:t>(11)</w:t>
      </w:r>
      <w:r w:rsidRPr="005D642E">
        <w:rPr>
          <w:rtl/>
          <w:lang w:bidi="fa-IR"/>
        </w:rPr>
        <w:t xml:space="preserve"> فِيهِ مَاءٌ ، فَغَمَسَ يَدَهُ </w:t>
      </w:r>
      <w:r w:rsidRPr="007C12DB">
        <w:rPr>
          <w:rStyle w:val="libFootnotenumChar"/>
          <w:rtl/>
        </w:rPr>
        <w:t>(12)</w:t>
      </w:r>
      <w:r w:rsidRPr="005D642E">
        <w:rPr>
          <w:rtl/>
          <w:lang w:bidi="fa-IR"/>
        </w:rPr>
        <w:t xml:space="preserve"> الْيُمْنى ، فَغَرَفَ بِهَا غُرْفَةً ، فَصَبَّهَا </w:t>
      </w:r>
      <w:r w:rsidRPr="007C12DB">
        <w:rPr>
          <w:rStyle w:val="libFootnotenumChar"/>
          <w:rtl/>
        </w:rPr>
        <w:t>(13)</w:t>
      </w:r>
      <w:r w:rsidRPr="005D642E">
        <w:rPr>
          <w:rtl/>
          <w:lang w:bidi="fa-IR"/>
        </w:rPr>
        <w:t xml:space="preserve"> عَلى وَجْهِهِ ، فَغَسَلَ بِهَا وَجْهَهُ ، ثُمَّ غَمَسَ كَفَّهُ الْيُسْرى ، فَغَرَفَ بِهَا غُرْفَةً </w:t>
      </w:r>
      <w:r w:rsidRPr="007C12DB">
        <w:rPr>
          <w:rStyle w:val="libFootnotenumChar"/>
          <w:rtl/>
        </w:rPr>
        <w:t>(14)</w:t>
      </w:r>
      <w:r w:rsidRPr="005D642E">
        <w:rPr>
          <w:rtl/>
          <w:lang w:bidi="fa-IR"/>
        </w:rPr>
        <w:t xml:space="preserve"> ، فَأَفْرَغَ عَلى ذِرَاعِهِ الْيُمْنى ، فَغَسَلَ </w:t>
      </w:r>
      <w:r w:rsidRPr="007C12DB">
        <w:rPr>
          <w:rStyle w:val="libFootnotenumChar"/>
          <w:rtl/>
        </w:rPr>
        <w:t>(15)</w:t>
      </w:r>
      <w:r w:rsidRPr="005D642E">
        <w:rPr>
          <w:rtl/>
          <w:lang w:bidi="fa-IR"/>
        </w:rPr>
        <w:t xml:space="preserve"> بِهَا ذِرَاعَهُ‌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الضمير المستتر في « قال » راجع إلى زرارة ، فينسحب إليه الطريقان المذكوران في صدر الخبر.</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الوتر »</w:t>
      </w:r>
      <w:r w:rsidR="00E3253D">
        <w:rPr>
          <w:rtl/>
        </w:rPr>
        <w:t>.</w:t>
      </w:r>
      <w:r w:rsidR="00E3253D" w:rsidRPr="005D642E">
        <w:rPr>
          <w:rtl/>
        </w:rPr>
        <w:t xml:space="preserve"> </w:t>
      </w:r>
      <w:r w:rsidR="00E3253D">
        <w:rPr>
          <w:rtl/>
        </w:rPr>
        <w:t>و «</w:t>
      </w:r>
      <w:r w:rsidR="00E3253D" w:rsidRPr="005D642E">
        <w:rPr>
          <w:rtl/>
        </w:rPr>
        <w:t xml:space="preserve"> الوتر » : الفرد ، وتكسر واوه وتفتح ، فالله واحد في ذاته فلا يقبل الانقسام والتجزئة ، واحد في صفاته فلا شبه له ولا مثل ، واحد في أفعاله فلا شريك له ولا معين. </w:t>
      </w:r>
      <w:r w:rsidR="00E3253D">
        <w:rPr>
          <w:rtl/>
        </w:rPr>
        <w:t>و «</w:t>
      </w:r>
      <w:r w:rsidR="00E3253D" w:rsidRPr="005D642E">
        <w:rPr>
          <w:rtl/>
        </w:rPr>
        <w:t xml:space="preserve"> يحبّ الوتر » أي يثيب عليه ويقبله من عامله ويرضى به عن العبد. راجع : </w:t>
      </w:r>
      <w:r w:rsidR="00E3253D" w:rsidRPr="002F4D34">
        <w:rPr>
          <w:rStyle w:val="libFootnoteBoldChar"/>
          <w:rtl/>
        </w:rPr>
        <w:t>النهاية</w:t>
      </w:r>
      <w:r w:rsidR="00E3253D" w:rsidRPr="005D642E">
        <w:rPr>
          <w:rtl/>
        </w:rPr>
        <w:t xml:space="preserve"> ، ج 5 ، ص 147 ؛ </w:t>
      </w:r>
      <w:r w:rsidR="00E3253D" w:rsidRPr="002F4D34">
        <w:rPr>
          <w:rStyle w:val="libFootnoteBoldChar"/>
          <w:rtl/>
        </w:rPr>
        <w:t>مجمع البحرين</w:t>
      </w:r>
      <w:r w:rsidR="00E3253D" w:rsidRPr="005D642E">
        <w:rPr>
          <w:rtl/>
        </w:rPr>
        <w:t xml:space="preserve"> ، ج 3 ، ص 509 ( وتر )</w:t>
      </w:r>
      <w:r w:rsidR="00E3253D">
        <w:rPr>
          <w:rtl/>
        </w:rPr>
        <w:t>.</w:t>
      </w:r>
    </w:p>
    <w:tbl>
      <w:tblPr>
        <w:tblStyle w:val="TableGrid"/>
        <w:bidiVisual/>
        <w:tblW w:w="0" w:type="auto"/>
        <w:tblLook w:val="04A0" w:firstRow="1" w:lastRow="0" w:firstColumn="1" w:lastColumn="0" w:noHBand="0" w:noVBand="1"/>
      </w:tblPr>
      <w:tblGrid>
        <w:gridCol w:w="4006"/>
        <w:gridCol w:w="4006"/>
      </w:tblGrid>
      <w:tr w:rsidR="009B40EB" w:rsidTr="009B40EB">
        <w:tc>
          <w:tcPr>
            <w:tcW w:w="4006" w:type="dxa"/>
          </w:tcPr>
          <w:p w:rsidR="009B40EB" w:rsidRDefault="009B40EB" w:rsidP="00E3253D">
            <w:pPr>
              <w:pStyle w:val="libFootnote0"/>
              <w:rPr>
                <w:rStyle w:val="libFootnote0Char"/>
                <w:rtl/>
              </w:rPr>
            </w:pPr>
            <w:r w:rsidRPr="0042621E">
              <w:rPr>
                <w:rStyle w:val="libFootnote0Char"/>
                <w:rtl/>
              </w:rPr>
              <w:t>(3).</w:t>
            </w:r>
            <w:r w:rsidRPr="005D642E">
              <w:rPr>
                <w:rtl/>
              </w:rPr>
              <w:t xml:space="preserve"> في « غ ، بح » : « واثنان »</w:t>
            </w:r>
            <w:r>
              <w:rPr>
                <w:rtl/>
              </w:rPr>
              <w:t>.</w:t>
            </w:r>
          </w:p>
        </w:tc>
        <w:tc>
          <w:tcPr>
            <w:tcW w:w="4006" w:type="dxa"/>
          </w:tcPr>
          <w:p w:rsidR="009B40EB" w:rsidRDefault="009B40EB" w:rsidP="00E3253D">
            <w:pPr>
              <w:pStyle w:val="libFootnote0"/>
              <w:rPr>
                <w:rStyle w:val="libFootnote0Char"/>
                <w:rtl/>
              </w:rPr>
            </w:pPr>
            <w:r w:rsidRPr="0042621E">
              <w:rPr>
                <w:rStyle w:val="libFootnote0Char"/>
                <w:rtl/>
              </w:rPr>
              <w:t>(4).</w:t>
            </w:r>
            <w:r w:rsidRPr="005D642E">
              <w:rPr>
                <w:rtl/>
              </w:rPr>
              <w:t xml:space="preserve"> في « بس ، جس » : « ويمسح »</w:t>
            </w:r>
            <w:r>
              <w:rPr>
                <w:rtl/>
              </w:rPr>
              <w:t>.</w:t>
            </w:r>
          </w:p>
        </w:tc>
      </w:tr>
      <w:tr w:rsidR="009B40EB" w:rsidTr="009B40EB">
        <w:tc>
          <w:tcPr>
            <w:tcW w:w="4006" w:type="dxa"/>
          </w:tcPr>
          <w:p w:rsidR="009B40EB" w:rsidRDefault="009B40EB" w:rsidP="00E3253D">
            <w:pPr>
              <w:pStyle w:val="libFootnote0"/>
              <w:rPr>
                <w:rStyle w:val="libFootnote0Char"/>
                <w:rtl/>
              </w:rPr>
            </w:pPr>
            <w:r w:rsidRPr="0042621E">
              <w:rPr>
                <w:rStyle w:val="libFootnote0Char"/>
                <w:rtl/>
              </w:rPr>
              <w:t>(5).</w:t>
            </w:r>
            <w:r w:rsidRPr="005D642E">
              <w:rPr>
                <w:rtl/>
              </w:rPr>
              <w:t xml:space="preserve"> في « بف » : « بلّة »</w:t>
            </w:r>
            <w:r>
              <w:rPr>
                <w:rtl/>
              </w:rPr>
              <w:t>.</w:t>
            </w:r>
          </w:p>
        </w:tc>
        <w:tc>
          <w:tcPr>
            <w:tcW w:w="4006" w:type="dxa"/>
          </w:tcPr>
          <w:p w:rsidR="009B40EB" w:rsidRDefault="009B40EB" w:rsidP="00E3253D">
            <w:pPr>
              <w:pStyle w:val="libFootnote0"/>
              <w:rPr>
                <w:rStyle w:val="libFootnote0Char"/>
                <w:rtl/>
              </w:rPr>
            </w:pPr>
            <w:r w:rsidRPr="0042621E">
              <w:rPr>
                <w:rStyle w:val="libFootnote0Char"/>
                <w:rtl/>
              </w:rPr>
              <w:t>(6).</w:t>
            </w:r>
            <w:r w:rsidRPr="005D642E">
              <w:rPr>
                <w:rtl/>
              </w:rPr>
              <w:t xml:space="preserve"> في « جن » : « يمينك »</w:t>
            </w:r>
            <w:r>
              <w:rPr>
                <w:rtl/>
              </w:rPr>
              <w:t>.</w:t>
            </w:r>
          </w:p>
        </w:tc>
      </w:tr>
      <w:tr w:rsidR="009B40EB" w:rsidTr="009B40EB">
        <w:tc>
          <w:tcPr>
            <w:tcW w:w="4006" w:type="dxa"/>
          </w:tcPr>
          <w:p w:rsidR="009B40EB" w:rsidRDefault="009B40EB" w:rsidP="00E3253D">
            <w:pPr>
              <w:pStyle w:val="libFootnote0"/>
              <w:rPr>
                <w:rStyle w:val="libFootnote0Char"/>
                <w:rtl/>
              </w:rPr>
            </w:pPr>
            <w:r w:rsidRPr="0042621E">
              <w:rPr>
                <w:rStyle w:val="libFootnote0Char"/>
                <w:rtl/>
              </w:rPr>
              <w:t>(7).</w:t>
            </w:r>
            <w:r>
              <w:rPr>
                <w:rtl/>
              </w:rPr>
              <w:t xml:space="preserve"> في «بف» وحاشية «ى ، جح» : «بناصيتك</w:t>
            </w:r>
            <w:r w:rsidRPr="005D642E">
              <w:rPr>
                <w:rtl/>
              </w:rPr>
              <w:t>»</w:t>
            </w:r>
            <w:r>
              <w:rPr>
                <w:rtl/>
              </w:rPr>
              <w:t>.</w:t>
            </w:r>
          </w:p>
        </w:tc>
        <w:tc>
          <w:tcPr>
            <w:tcW w:w="4006" w:type="dxa"/>
          </w:tcPr>
          <w:p w:rsidR="009B40EB" w:rsidRDefault="009B40EB" w:rsidP="00E3253D">
            <w:pPr>
              <w:pStyle w:val="libFootnote0"/>
              <w:rPr>
                <w:rStyle w:val="libFootnote0Char"/>
                <w:rtl/>
              </w:rPr>
            </w:pPr>
            <w:r w:rsidRPr="0042621E">
              <w:rPr>
                <w:rStyle w:val="libFootnote0Char"/>
                <w:rtl/>
              </w:rPr>
              <w:t>(8).</w:t>
            </w:r>
            <w:r w:rsidRPr="005D642E">
              <w:rPr>
                <w:rtl/>
              </w:rPr>
              <w:t xml:space="preserve"> في « بس » : « ويمسح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الفقيه</w:t>
      </w:r>
      <w:r w:rsidR="00E3253D" w:rsidRPr="005D642E">
        <w:rPr>
          <w:rtl/>
        </w:rPr>
        <w:t xml:space="preserve"> ، ج 1 ، ص 36 ، ح 74 ، مرسلاً ، إلى قوله : « ظهر قدميه ببلّة يساره وبقيّة بلّة يمناه » مع اختلاف يسير </w:t>
      </w:r>
      <w:r w:rsidR="009B40EB">
        <w:rPr>
          <w:rFonts w:hint="cs"/>
          <w:rtl/>
        </w:rPr>
        <w:t>.</w:t>
      </w:r>
      <w:r w:rsidR="00E3253D" w:rsidRPr="002F4D34">
        <w:rPr>
          <w:rStyle w:val="libFootnoteBoldChar"/>
          <w:rtl/>
        </w:rPr>
        <w:t>الوافي</w:t>
      </w:r>
      <w:r w:rsidR="00E3253D" w:rsidRPr="005D642E">
        <w:rPr>
          <w:rtl/>
        </w:rPr>
        <w:t xml:space="preserve"> ، ج 6 ، ص 274 ، ح 4281 ؛ </w:t>
      </w:r>
      <w:r w:rsidR="00E3253D" w:rsidRPr="002F4D34">
        <w:rPr>
          <w:rStyle w:val="libFootnoteBoldChar"/>
          <w:rtl/>
        </w:rPr>
        <w:t>الوسائل</w:t>
      </w:r>
      <w:r w:rsidR="00E3253D" w:rsidRPr="005D642E">
        <w:rPr>
          <w:rtl/>
        </w:rPr>
        <w:t xml:space="preserve"> ، ج 1 ، ص 387 ، ح 1021.</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ى ، بح ، بخ ، بس ، بف ، جح ، جس ، جن » والوسائل </w:t>
      </w:r>
      <w:r w:rsidR="009E68BB" w:rsidRPr="009E68BB">
        <w:rPr>
          <w:rStyle w:val="libFootnoteBoldChar"/>
          <w:rtl/>
        </w:rPr>
        <w:t>وتفسير العيّاشي</w:t>
      </w:r>
      <w:r w:rsidR="00E3253D" w:rsidRPr="005D642E">
        <w:rPr>
          <w:rtl/>
        </w:rPr>
        <w:t xml:space="preserve"> ، ح 51 : « بطشت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بس » : « كوز »</w:t>
      </w:r>
      <w:r w:rsidR="00E3253D">
        <w:rPr>
          <w:rtl/>
        </w:rPr>
        <w:t>.</w:t>
      </w:r>
      <w:r w:rsidR="00E3253D" w:rsidRPr="005D642E">
        <w:rPr>
          <w:rtl/>
        </w:rPr>
        <w:t xml:space="preserve"> </w:t>
      </w:r>
      <w:r w:rsidR="00E3253D">
        <w:rPr>
          <w:rtl/>
        </w:rPr>
        <w:t>و «</w:t>
      </w:r>
      <w:r w:rsidR="00E3253D" w:rsidRPr="005D642E">
        <w:rPr>
          <w:rtl/>
        </w:rPr>
        <w:t xml:space="preserve"> التَوْرُ » : إناء من صُفْرٍ وهو النحاس الأصفر ، أو حجارةٍ يشرب ف</w:t>
      </w:r>
      <w:r w:rsidR="009B40EB">
        <w:rPr>
          <w:rtl/>
        </w:rPr>
        <w:t>يه ، وقد يتوضّأ منه. وقال العل</w:t>
      </w:r>
      <w:r w:rsidR="009B40EB">
        <w:rPr>
          <w:rFonts w:hint="cs"/>
          <w:rtl/>
        </w:rPr>
        <w:t>ّ</w:t>
      </w:r>
      <w:r w:rsidR="009B40EB">
        <w:rPr>
          <w:rtl/>
        </w:rPr>
        <w:t>ا</w:t>
      </w:r>
      <w:r w:rsidR="00E3253D" w:rsidRPr="005D642E">
        <w:rPr>
          <w:rtl/>
        </w:rPr>
        <w:t xml:space="preserve">مة المجلسي : « الترديد من الراوي ، أو منه </w:t>
      </w:r>
      <w:r w:rsidR="00E3253D" w:rsidRPr="009B40EB">
        <w:rPr>
          <w:rStyle w:val="libFootnoteAlaemChar"/>
          <w:rtl/>
        </w:rPr>
        <w:t>عليه‌السلام</w:t>
      </w:r>
      <w:r w:rsidR="00E3253D" w:rsidRPr="005D642E">
        <w:rPr>
          <w:rtl/>
        </w:rPr>
        <w:t xml:space="preserve"> للتخيير بين إحضار أيّهما تيسّر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1 ، ص 199 ؛ </w:t>
      </w:r>
      <w:r w:rsidR="00E3253D" w:rsidRPr="002F4D34">
        <w:rPr>
          <w:rStyle w:val="libFootnoteBoldChar"/>
          <w:rtl/>
        </w:rPr>
        <w:t>المغرب</w:t>
      </w:r>
      <w:r w:rsidR="00E3253D" w:rsidRPr="005D642E">
        <w:rPr>
          <w:rtl/>
        </w:rPr>
        <w:t xml:space="preserve"> ، ص 63 ( تور )</w:t>
      </w:r>
      <w:r w:rsidR="009B40EB">
        <w:rPr>
          <w:rFonts w:hint="cs"/>
          <w:rtl/>
          <w:lang w:bidi="fa-IR"/>
        </w:rPr>
        <w:t xml:space="preserve">     </w:t>
      </w:r>
      <w:r w:rsidRPr="0042621E">
        <w:rPr>
          <w:rStyle w:val="libFootnote0Char"/>
          <w:rtl/>
        </w:rPr>
        <w:t>(12).</w:t>
      </w:r>
      <w:r w:rsidR="00E3253D" w:rsidRPr="005D642E">
        <w:rPr>
          <w:rtl/>
        </w:rPr>
        <w:t xml:space="preserve"> في « ظ ، جس » : « بيده »</w:t>
      </w:r>
      <w:r w:rsidR="00E3253D">
        <w:rPr>
          <w:rtl/>
        </w:rPr>
        <w:t>.</w:t>
      </w:r>
    </w:p>
    <w:tbl>
      <w:tblPr>
        <w:tblStyle w:val="TableGrid"/>
        <w:bidiVisual/>
        <w:tblW w:w="0" w:type="auto"/>
        <w:tblLook w:val="04A0" w:firstRow="1" w:lastRow="0" w:firstColumn="1" w:lastColumn="0" w:noHBand="0" w:noVBand="1"/>
      </w:tblPr>
      <w:tblGrid>
        <w:gridCol w:w="4006"/>
        <w:gridCol w:w="4006"/>
      </w:tblGrid>
      <w:tr w:rsidR="009B40EB" w:rsidTr="009B40EB">
        <w:tc>
          <w:tcPr>
            <w:tcW w:w="4006" w:type="dxa"/>
          </w:tcPr>
          <w:p w:rsidR="009B40EB" w:rsidRDefault="009B40EB" w:rsidP="00E3253D">
            <w:pPr>
              <w:pStyle w:val="libFootnote0"/>
              <w:rPr>
                <w:rStyle w:val="libFootnote0Char"/>
                <w:rtl/>
              </w:rPr>
            </w:pPr>
            <w:r w:rsidRPr="0042621E">
              <w:rPr>
                <w:rStyle w:val="libFootnote0Char"/>
                <w:rtl/>
              </w:rPr>
              <w:t>(13).</w:t>
            </w:r>
            <w:r>
              <w:rPr>
                <w:rtl/>
              </w:rPr>
              <w:t xml:space="preserve"> في «بح»:«فصبّه</w:t>
            </w:r>
            <w:r w:rsidRPr="005D642E">
              <w:rPr>
                <w:rtl/>
              </w:rPr>
              <w:t>»</w:t>
            </w:r>
            <w:r>
              <w:rPr>
                <w:rtl/>
              </w:rPr>
              <w:t>.وفي «جس</w:t>
            </w:r>
            <w:r w:rsidRPr="005D642E">
              <w:rPr>
                <w:rtl/>
              </w:rPr>
              <w:t>» : « صبّه »</w:t>
            </w:r>
            <w:r>
              <w:rPr>
                <w:rtl/>
              </w:rPr>
              <w:t>.</w:t>
            </w:r>
          </w:p>
        </w:tc>
        <w:tc>
          <w:tcPr>
            <w:tcW w:w="4006" w:type="dxa"/>
          </w:tcPr>
          <w:p w:rsidR="009B40EB" w:rsidRDefault="009B40EB" w:rsidP="00E3253D">
            <w:pPr>
              <w:pStyle w:val="libFootnote0"/>
              <w:rPr>
                <w:rStyle w:val="libFootnote0Char"/>
                <w:rtl/>
              </w:rPr>
            </w:pPr>
            <w:r w:rsidRPr="0042621E">
              <w:rPr>
                <w:rStyle w:val="libFootnote0Char"/>
                <w:rtl/>
              </w:rPr>
              <w:t>(14).</w:t>
            </w:r>
            <w:r w:rsidRPr="005D642E">
              <w:rPr>
                <w:rtl/>
              </w:rPr>
              <w:t xml:space="preserve"> في « جس » :</w:t>
            </w:r>
            <w:r>
              <w:rPr>
                <w:rtl/>
              </w:rPr>
              <w:t xml:space="preserve"> - </w:t>
            </w:r>
            <w:r w:rsidRPr="005D642E">
              <w:rPr>
                <w:rtl/>
              </w:rPr>
              <w:t>« غرفة »</w:t>
            </w:r>
            <w:r>
              <w:rPr>
                <w:rtl/>
              </w:rPr>
              <w:t>.</w:t>
            </w:r>
          </w:p>
        </w:tc>
      </w:tr>
    </w:tbl>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في « غ » : « وغسل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مِنَ الْمِرْفَقِ إِلَى الْكَفِّ لَايَرُدُّهَا </w:t>
      </w:r>
      <w:r w:rsidRPr="007C12DB">
        <w:rPr>
          <w:rStyle w:val="libFootnotenumChar"/>
          <w:rtl/>
        </w:rPr>
        <w:t>(1)</w:t>
      </w:r>
      <w:r w:rsidRPr="005D642E">
        <w:rPr>
          <w:rtl/>
          <w:lang w:bidi="fa-IR"/>
        </w:rPr>
        <w:t xml:space="preserve"> إِلَى الْمِرْفَقِ ، ثُمَّ غَمَسَ كَفَّهُ الْيُمْنى ، فَأَفْرَغَ بِهَا عَلى ذِرَاعِهِ الْيُسْرى مِنَ الْمِرْفَقِ ، وَصَنَعَ بِهَا مِثْلَ </w:t>
      </w:r>
      <w:r w:rsidRPr="007C12DB">
        <w:rPr>
          <w:rStyle w:val="libFootnotenumChar"/>
          <w:rtl/>
        </w:rPr>
        <w:t>(2)</w:t>
      </w:r>
      <w:r w:rsidRPr="005D642E">
        <w:rPr>
          <w:rtl/>
          <w:lang w:bidi="fa-IR"/>
        </w:rPr>
        <w:t xml:space="preserve"> مَا صَنَعَ بِالْيُمْنى ، ثُمَّ مَسَحَ رَأْسَهُ وَقَدَمَيْهِ بِبَلَلِ كَفِّهِ ، لَمْ يُحْدِثْ لَهُمَا مَاءً جَدِيداً ، ثُمَّ قَالَ : « وَلَايُدْخِلُ أَصَابِعَهُ تَحْتَ الشِّرَاكِ </w:t>
      </w:r>
      <w:r w:rsidRPr="007C12DB">
        <w:rPr>
          <w:rStyle w:val="libFootnotenumChar"/>
          <w:rtl/>
        </w:rPr>
        <w:t>(3)</w:t>
      </w:r>
      <w:r w:rsidRPr="005D642E">
        <w:rPr>
          <w:rtl/>
          <w:lang w:bidi="fa-IR"/>
        </w:rPr>
        <w:t xml:space="preserve"> »</w:t>
      </w:r>
      <w:r>
        <w:rPr>
          <w:rtl/>
          <w:lang w:bidi="fa-IR"/>
        </w:rPr>
        <w:t>.</w:t>
      </w:r>
    </w:p>
    <w:p w:rsidR="00E3253D" w:rsidRPr="005D642E" w:rsidRDefault="00E3253D" w:rsidP="009B40EB">
      <w:pPr>
        <w:pStyle w:val="libNormal"/>
        <w:rPr>
          <w:rtl/>
          <w:lang w:bidi="fa-IR"/>
        </w:rPr>
      </w:pPr>
      <w:r w:rsidRPr="005D642E">
        <w:rPr>
          <w:rtl/>
          <w:lang w:bidi="fa-IR"/>
        </w:rPr>
        <w:t>قَالَ : ثُمَّ قَالَ : « 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يَقُولُ : </w:t>
      </w:r>
      <w:r w:rsidRPr="00AC51C5">
        <w:rPr>
          <w:rStyle w:val="libAlaemChar"/>
          <w:rtl/>
        </w:rPr>
        <w:t>(</w:t>
      </w:r>
      <w:r w:rsidRPr="00AC51C5">
        <w:rPr>
          <w:rStyle w:val="libAieChar"/>
          <w:rtl/>
        </w:rPr>
        <w:t xml:space="preserve"> يا أَيُّهَا الَّذِينَ آمَنُوا </w:t>
      </w:r>
      <w:r w:rsidRPr="007C12DB">
        <w:rPr>
          <w:rStyle w:val="libFootnotenumChar"/>
          <w:rtl/>
        </w:rPr>
        <w:t>(4)</w:t>
      </w:r>
      <w:r w:rsidRPr="00AC51C5">
        <w:rPr>
          <w:rStyle w:val="libAieChar"/>
          <w:rtl/>
        </w:rPr>
        <w:t xml:space="preserve"> إِذا قُمْتُمْ إِلَى الصَّلاةِ فَاغْسِلُوا وُجُوهَكُمْ وَأَيْدِيَكُمْ </w:t>
      </w:r>
      <w:r w:rsidRPr="00AC51C5">
        <w:rPr>
          <w:rStyle w:val="libAlaemChar"/>
          <w:rtl/>
        </w:rPr>
        <w:t>)</w:t>
      </w:r>
      <w:r w:rsidRPr="005D642E">
        <w:rPr>
          <w:rtl/>
          <w:lang w:bidi="fa-IR"/>
        </w:rPr>
        <w:t xml:space="preserve"> </w:t>
      </w:r>
      <w:r w:rsidRPr="007C12DB">
        <w:rPr>
          <w:rStyle w:val="libFootnotenumChar"/>
          <w:rtl/>
        </w:rPr>
        <w:t>(5)</w:t>
      </w:r>
      <w:r w:rsidRPr="005D642E">
        <w:rPr>
          <w:rtl/>
          <w:lang w:bidi="fa-IR"/>
        </w:rPr>
        <w:t xml:space="preserve"> فَلَيْسَ لَهُ أَنْ يَد</w:t>
      </w:r>
      <w:r w:rsidR="009B40EB">
        <w:rPr>
          <w:rtl/>
          <w:lang w:bidi="fa-IR"/>
        </w:rPr>
        <w:t>َعَ شَيْئاً مِنْ وَجْهِهِ إِل</w:t>
      </w:r>
      <w:r w:rsidR="009B40EB">
        <w:rPr>
          <w:rFonts w:hint="cs"/>
          <w:rtl/>
          <w:lang w:bidi="fa-IR"/>
        </w:rPr>
        <w:t>َّ</w:t>
      </w:r>
      <w:r w:rsidR="009B40EB">
        <w:rPr>
          <w:rtl/>
          <w:lang w:bidi="fa-IR"/>
        </w:rPr>
        <w:t>ا</w:t>
      </w:r>
      <w:r w:rsidRPr="005D642E">
        <w:rPr>
          <w:rtl/>
          <w:lang w:bidi="fa-IR"/>
        </w:rPr>
        <w:t xml:space="preserve"> غَسَلَهُ ، وَأَمَرَ بِغَسْلِ </w:t>
      </w:r>
      <w:r w:rsidRPr="007C12DB">
        <w:rPr>
          <w:rStyle w:val="libFootnotenumChar"/>
          <w:rtl/>
        </w:rPr>
        <w:t>(6)</w:t>
      </w:r>
      <w:r w:rsidRPr="005D642E">
        <w:rPr>
          <w:rtl/>
          <w:lang w:bidi="fa-IR"/>
        </w:rPr>
        <w:t xml:space="preserve"> الْيَدَيْنِ إِلَى الْمِرْفَقَيْنِ ، فَلَيْسَ لَهُ أَنْ يَدَعَ شَيْئاً </w:t>
      </w:r>
      <w:r w:rsidRPr="007C12DB">
        <w:rPr>
          <w:rStyle w:val="libFootnotenumChar"/>
          <w:rtl/>
        </w:rPr>
        <w:t>(7)</w:t>
      </w:r>
      <w:r w:rsidRPr="005D642E">
        <w:rPr>
          <w:rtl/>
          <w:lang w:bidi="fa-IR"/>
        </w:rPr>
        <w:t xml:space="preserve"> مِنْ يَدَيْهِ إِلَى الْمِرْفَقَيْنِ </w:t>
      </w:r>
      <w:r w:rsidRPr="007C12DB">
        <w:rPr>
          <w:rStyle w:val="libFootnotenumChar"/>
          <w:rtl/>
        </w:rPr>
        <w:t>(8)</w:t>
      </w:r>
      <w:r w:rsidR="009B40EB">
        <w:rPr>
          <w:rtl/>
          <w:lang w:bidi="fa-IR"/>
        </w:rPr>
        <w:t xml:space="preserve"> إِل</w:t>
      </w:r>
      <w:r w:rsidR="009B40EB">
        <w:rPr>
          <w:rFonts w:hint="cs"/>
          <w:rtl/>
          <w:lang w:bidi="fa-IR"/>
        </w:rPr>
        <w:t>َّ</w:t>
      </w:r>
      <w:r w:rsidR="009B40EB">
        <w:rPr>
          <w:rtl/>
          <w:lang w:bidi="fa-IR"/>
        </w:rPr>
        <w:t>ا</w:t>
      </w:r>
      <w:r w:rsidRPr="005D642E">
        <w:rPr>
          <w:rtl/>
          <w:lang w:bidi="fa-IR"/>
        </w:rPr>
        <w:t xml:space="preserve"> غَسَلَهُ </w:t>
      </w:r>
      <w:r w:rsidRPr="007C12DB">
        <w:rPr>
          <w:rStyle w:val="libFootnotenumChar"/>
          <w:rtl/>
        </w:rPr>
        <w:t>(9)</w:t>
      </w:r>
      <w:r w:rsidRPr="005D642E">
        <w:rPr>
          <w:rtl/>
          <w:lang w:bidi="fa-IR"/>
        </w:rPr>
        <w:t xml:space="preserve"> ؛ لِأَنَّ اللهَ يَقُولُ : </w:t>
      </w:r>
      <w:r w:rsidRPr="00AC51C5">
        <w:rPr>
          <w:rStyle w:val="libAlaemChar"/>
          <w:rtl/>
        </w:rPr>
        <w:t>(</w:t>
      </w:r>
      <w:r w:rsidRPr="00AC51C5">
        <w:rPr>
          <w:rStyle w:val="libAieChar"/>
          <w:rtl/>
        </w:rPr>
        <w:t xml:space="preserve"> فَاغْسِلُوا </w:t>
      </w:r>
      <w:r w:rsidRPr="00AC51C5">
        <w:rPr>
          <w:rStyle w:val="libAlaemChar"/>
          <w:rtl/>
        </w:rPr>
        <w:t>)</w:t>
      </w:r>
      <w:r w:rsidRPr="005D642E">
        <w:rPr>
          <w:rtl/>
          <w:lang w:bidi="fa-IR"/>
        </w:rPr>
        <w:t xml:space="preserve"> </w:t>
      </w:r>
      <w:r w:rsidRPr="007C12DB">
        <w:rPr>
          <w:rStyle w:val="libFootnotenumChar"/>
          <w:rtl/>
        </w:rPr>
        <w:t>(10)</w:t>
      </w:r>
      <w:r w:rsidRPr="005D642E">
        <w:rPr>
          <w:rtl/>
          <w:lang w:bidi="fa-IR"/>
        </w:rPr>
        <w:t xml:space="preserve"> </w:t>
      </w:r>
      <w:r w:rsidRPr="00AC51C5">
        <w:rPr>
          <w:rStyle w:val="libAlaemChar"/>
          <w:rtl/>
        </w:rPr>
        <w:t>(</w:t>
      </w:r>
      <w:r w:rsidRPr="00AC51C5">
        <w:rPr>
          <w:rStyle w:val="libAieChar"/>
          <w:rtl/>
        </w:rPr>
        <w:t xml:space="preserve"> وُجُوهَكُمْ وَأَيْدِيَكُمْ إِلَى الْمَرافِقِ </w:t>
      </w:r>
      <w:r w:rsidRPr="00AC51C5">
        <w:rPr>
          <w:rStyle w:val="libAlaemChar"/>
          <w:rtl/>
        </w:rPr>
        <w:t>)</w:t>
      </w:r>
      <w:r w:rsidRPr="005D642E">
        <w:rPr>
          <w:rtl/>
          <w:lang w:bidi="fa-IR"/>
        </w:rPr>
        <w:t xml:space="preserve"> ثُمَّ قَالَ : </w:t>
      </w:r>
      <w:r w:rsidRPr="00AC51C5">
        <w:rPr>
          <w:rStyle w:val="libAlaemChar"/>
          <w:rtl/>
        </w:rPr>
        <w:t>(</w:t>
      </w:r>
      <w:r w:rsidRPr="00AC51C5">
        <w:rPr>
          <w:rStyle w:val="libAieChar"/>
          <w:rtl/>
        </w:rPr>
        <w:t xml:space="preserve"> وَامْسَحُوا بِرُؤُسِكُمْ وَأَرْجُلَكُمْ إِلَى الْكَعْبَيْنِ </w:t>
      </w:r>
      <w:r w:rsidRPr="00AC51C5">
        <w:rPr>
          <w:rStyle w:val="libAlaemChar"/>
          <w:rtl/>
        </w:rPr>
        <w:t>)</w:t>
      </w:r>
      <w:r w:rsidRPr="005D642E">
        <w:rPr>
          <w:rtl/>
          <w:lang w:bidi="fa-IR"/>
        </w:rPr>
        <w:t xml:space="preserve"> </w:t>
      </w:r>
      <w:r w:rsidRPr="007C12DB">
        <w:rPr>
          <w:rStyle w:val="libFootnotenumChar"/>
          <w:rtl/>
        </w:rPr>
        <w:t>(11)</w:t>
      </w:r>
      <w:r w:rsidRPr="005D642E">
        <w:rPr>
          <w:rtl/>
          <w:lang w:bidi="fa-IR"/>
        </w:rPr>
        <w:t xml:space="preserve"> فَإِذَا مَسَحَ بِشَيْ‌ءٍ مِنْ رَأْسِهِ ، أَوْ بِشَيْ‌ءٍ مِنْ قَدَمَيْهِ مَا بَيْنَ الْكَعْبَيْنِ إِلى أَطْرَافِ الْأَصَابِعِ ، فَقَدْ أَجْزَأَهُ »</w:t>
      </w:r>
      <w:r>
        <w:rPr>
          <w:rtl/>
          <w:lang w:bidi="fa-IR"/>
        </w:rPr>
        <w:t>.</w:t>
      </w:r>
    </w:p>
    <w:p w:rsidR="00E3253D" w:rsidRPr="005D642E" w:rsidRDefault="00E3253D" w:rsidP="00E3253D">
      <w:pPr>
        <w:pStyle w:val="libNormal"/>
        <w:rPr>
          <w:rtl/>
          <w:lang w:bidi="fa-IR"/>
        </w:rPr>
      </w:pPr>
      <w:r w:rsidRPr="005D642E">
        <w:rPr>
          <w:rtl/>
          <w:lang w:bidi="fa-IR"/>
        </w:rPr>
        <w:t>قَالَ : فَقُلْنَا : أَيْنَ الْكَعْبَانِ</w:t>
      </w:r>
      <w:r>
        <w:rPr>
          <w:rtl/>
          <w:lang w:bidi="fa-IR"/>
        </w:rPr>
        <w:t>؟</w:t>
      </w:r>
      <w:r w:rsidRPr="005D642E">
        <w:rPr>
          <w:rtl/>
          <w:lang w:bidi="fa-IR"/>
        </w:rPr>
        <w:t xml:space="preserve"> قَالَ </w:t>
      </w:r>
      <w:r w:rsidRPr="007C12DB">
        <w:rPr>
          <w:rStyle w:val="libFootnotenumChar"/>
          <w:rtl/>
        </w:rPr>
        <w:t>(12)</w:t>
      </w:r>
      <w:r w:rsidRPr="005D642E">
        <w:rPr>
          <w:rtl/>
          <w:lang w:bidi="fa-IR"/>
        </w:rPr>
        <w:t xml:space="preserve"> : « هَاهُنَا » يَعْنِي الْمَفْصِلَ </w:t>
      </w:r>
      <w:r w:rsidRPr="007C12DB">
        <w:rPr>
          <w:rStyle w:val="libFootnotenumChar"/>
          <w:rtl/>
        </w:rPr>
        <w:t>(13)</w:t>
      </w:r>
      <w:r w:rsidRPr="005D642E">
        <w:rPr>
          <w:rtl/>
          <w:lang w:bidi="fa-IR"/>
        </w:rPr>
        <w:t xml:space="preserve"> دُونَ عَظْمِ‌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فلا يردّها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 « فصنع » بدل « وصنع »</w:t>
      </w:r>
      <w:r w:rsidR="00E3253D">
        <w:rPr>
          <w:rtl/>
        </w:rPr>
        <w:t>.</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بها »</w:t>
      </w:r>
      <w:r w:rsidR="00E3253D">
        <w:rPr>
          <w:rtl/>
        </w:rPr>
        <w:t>.</w:t>
      </w:r>
      <w:r w:rsidR="00E3253D" w:rsidRPr="005D642E">
        <w:rPr>
          <w:rtl/>
        </w:rPr>
        <w:t xml:space="preserve"> وفي « ظ » :</w:t>
      </w:r>
      <w:r w:rsidR="00E3253D">
        <w:rPr>
          <w:rtl/>
        </w:rPr>
        <w:t xml:space="preserve"> </w:t>
      </w:r>
      <w:r w:rsidR="007642BC">
        <w:rPr>
          <w:rtl/>
        </w:rPr>
        <w:t>-</w:t>
      </w:r>
      <w:r w:rsidR="00E3253D">
        <w:rPr>
          <w:rtl/>
        </w:rPr>
        <w:t xml:space="preserve"> </w:t>
      </w:r>
      <w:r w:rsidR="00E3253D" w:rsidRPr="005D642E">
        <w:rPr>
          <w:rtl/>
        </w:rPr>
        <w:t>« مثل »</w:t>
      </w:r>
      <w:r w:rsidR="00E3253D">
        <w:rPr>
          <w:rtl/>
        </w:rPr>
        <w:t>.</w:t>
      </w:r>
    </w:p>
    <w:p w:rsidR="00E3253D" w:rsidRPr="005D642E" w:rsidRDefault="0042621E" w:rsidP="009B40EB">
      <w:pPr>
        <w:pStyle w:val="libFootnote0"/>
        <w:rPr>
          <w:rtl/>
          <w:lang w:bidi="fa-IR"/>
        </w:rPr>
      </w:pPr>
      <w:r w:rsidRPr="0042621E">
        <w:rPr>
          <w:rStyle w:val="libFootnote0Char"/>
          <w:rtl/>
        </w:rPr>
        <w:t>(3).</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ثمّ قال : ولا يدخل أصابعه تحت الشراك. قال »</w:t>
      </w:r>
      <w:r w:rsidR="00E3253D">
        <w:rPr>
          <w:rtl/>
        </w:rPr>
        <w:t>.</w:t>
      </w:r>
      <w:r w:rsidR="00E3253D" w:rsidRPr="005D642E">
        <w:rPr>
          <w:rtl/>
        </w:rPr>
        <w:t xml:space="preserve"> وقوله : « الشِراك » : أحد سيور النعل التي تكون على وجهها ، والسَيْر : قطعة من الجلد ونحوه مستطيلة. راجع : </w:t>
      </w:r>
      <w:r w:rsidR="00E3253D" w:rsidRPr="002F4D34">
        <w:rPr>
          <w:rStyle w:val="libFootnoteBoldChar"/>
          <w:rtl/>
        </w:rPr>
        <w:t>النهاية</w:t>
      </w:r>
      <w:r w:rsidR="00E3253D" w:rsidRPr="005D642E">
        <w:rPr>
          <w:rtl/>
        </w:rPr>
        <w:t xml:space="preserve"> ، ج 2 ، ص 467 ؛ </w:t>
      </w:r>
      <w:r w:rsidR="00E3253D" w:rsidRPr="002F4D34">
        <w:rPr>
          <w:rStyle w:val="libFootnoteBoldChar"/>
          <w:rtl/>
        </w:rPr>
        <w:t>المصباح المنير</w:t>
      </w:r>
      <w:r w:rsidR="00E3253D" w:rsidRPr="005D642E">
        <w:rPr>
          <w:rtl/>
        </w:rPr>
        <w:t xml:space="preserve"> ، ص 311 ( شرك )</w:t>
      </w:r>
      <w:r w:rsidR="00E3253D">
        <w:rPr>
          <w:rtl/>
        </w:rPr>
        <w:t>.</w:t>
      </w:r>
      <w:r w:rsidR="009B40EB">
        <w:rPr>
          <w:rFonts w:hint="cs"/>
          <w:rtl/>
        </w:rPr>
        <w:t xml:space="preserve">         </w:t>
      </w:r>
      <w:r w:rsidR="00EC62F1">
        <w:rPr>
          <w:rFonts w:hint="cs"/>
          <w:rtl/>
        </w:rPr>
        <w:t xml:space="preserve">                  </w:t>
      </w:r>
      <w:r w:rsidR="009B40EB">
        <w:rPr>
          <w:rFonts w:hint="cs"/>
          <w:rtl/>
        </w:rPr>
        <w:t xml:space="preserve">   </w:t>
      </w:r>
      <w:r w:rsidRPr="0042621E">
        <w:rPr>
          <w:rStyle w:val="libFootnote0Char"/>
          <w:rtl/>
        </w:rPr>
        <w:t>(4).</w:t>
      </w:r>
      <w:r w:rsidR="00E3253D" w:rsidRPr="005D642E">
        <w:rPr>
          <w:rtl/>
        </w:rPr>
        <w:t xml:space="preserve"> في « بف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sidRPr="005D642E">
        <w:rPr>
          <w:rtl/>
        </w:rPr>
        <w:t xml:space="preserve"> </w:t>
      </w:r>
      <w:r w:rsidR="00E3253D" w:rsidRPr="009B40EB">
        <w:rPr>
          <w:rStyle w:val="libFootnoteAlaemChar"/>
          <w:rtl/>
        </w:rPr>
        <w:t>(</w:t>
      </w:r>
      <w:r w:rsidR="00E3253D" w:rsidRPr="00EB702D">
        <w:rPr>
          <w:rStyle w:val="libFootnoteAieChar"/>
          <w:rtl/>
        </w:rPr>
        <w:t xml:space="preserve"> يا أَيُّهَا الَّذِينَ آمَنُوا </w:t>
      </w:r>
      <w:r w:rsidR="00E3253D" w:rsidRPr="009B40EB">
        <w:rPr>
          <w:rStyle w:val="libFootnoteAlaemChar"/>
          <w:rtl/>
        </w:rPr>
        <w:t>)</w:t>
      </w:r>
      <w:r w:rsidR="00E3253D" w:rsidRPr="005D642E">
        <w:rPr>
          <w:rtl/>
        </w:rPr>
        <w:t>.</w:t>
      </w:r>
    </w:p>
    <w:tbl>
      <w:tblPr>
        <w:tblStyle w:val="TableGrid"/>
        <w:bidiVisual/>
        <w:tblW w:w="0" w:type="auto"/>
        <w:tblLook w:val="04A0" w:firstRow="1" w:lastRow="0" w:firstColumn="1" w:lastColumn="0" w:noHBand="0" w:noVBand="1"/>
      </w:tblPr>
      <w:tblGrid>
        <w:gridCol w:w="4006"/>
        <w:gridCol w:w="4006"/>
      </w:tblGrid>
      <w:tr w:rsidR="009B40EB" w:rsidTr="009B40EB">
        <w:tc>
          <w:tcPr>
            <w:tcW w:w="4006" w:type="dxa"/>
          </w:tcPr>
          <w:p w:rsidR="009B40EB" w:rsidRDefault="009B40EB" w:rsidP="00E3253D">
            <w:pPr>
              <w:pStyle w:val="libFootnote0"/>
              <w:rPr>
                <w:rStyle w:val="libFootnote0Char"/>
                <w:rtl/>
              </w:rPr>
            </w:pPr>
            <w:r w:rsidRPr="0042621E">
              <w:rPr>
                <w:rStyle w:val="libFootnote0Char"/>
                <w:rtl/>
              </w:rPr>
              <w:t>(5).</w:t>
            </w:r>
            <w:r w:rsidRPr="005D642E">
              <w:rPr>
                <w:rtl/>
              </w:rPr>
              <w:t xml:space="preserve"> في « غ » : +</w:t>
            </w:r>
            <w:r>
              <w:rPr>
                <w:rFonts w:hint="cs"/>
                <w:rtl/>
              </w:rPr>
              <w:t xml:space="preserve"> </w:t>
            </w:r>
            <w:r w:rsidRPr="009B40EB">
              <w:rPr>
                <w:rStyle w:val="libFootnoteAlaemChar"/>
                <w:rtl/>
              </w:rPr>
              <w:t>(</w:t>
            </w:r>
            <w:r w:rsidRPr="00EB702D">
              <w:rPr>
                <w:rStyle w:val="libFootnoteAieChar"/>
                <w:rtl/>
              </w:rPr>
              <w:t xml:space="preserve"> إِلَى الْمَر</w:t>
            </w:r>
            <w:r>
              <w:rPr>
                <w:rStyle w:val="libFootnoteAieChar"/>
                <w:rFonts w:hint="cs"/>
                <w:rtl/>
              </w:rPr>
              <w:t>َ</w:t>
            </w:r>
            <w:r w:rsidRPr="00EB702D">
              <w:rPr>
                <w:rStyle w:val="libFootnoteAieChar"/>
                <w:rtl/>
              </w:rPr>
              <w:t xml:space="preserve">افِقِ </w:t>
            </w:r>
            <w:r w:rsidRPr="009B40EB">
              <w:rPr>
                <w:rStyle w:val="libFootnoteAlaemChar"/>
                <w:rtl/>
              </w:rPr>
              <w:t>)</w:t>
            </w:r>
            <w:r w:rsidRPr="005D642E">
              <w:rPr>
                <w:rtl/>
              </w:rPr>
              <w:t>.</w:t>
            </w:r>
          </w:p>
        </w:tc>
        <w:tc>
          <w:tcPr>
            <w:tcW w:w="4006" w:type="dxa"/>
          </w:tcPr>
          <w:p w:rsidR="009B40EB" w:rsidRDefault="009B40EB" w:rsidP="00E3253D">
            <w:pPr>
              <w:pStyle w:val="libFootnote0"/>
              <w:rPr>
                <w:rStyle w:val="libFootnote0Char"/>
                <w:rtl/>
              </w:rPr>
            </w:pPr>
            <w:r w:rsidRPr="0042621E">
              <w:rPr>
                <w:rStyle w:val="libFootnote0Char"/>
                <w:rtl/>
              </w:rPr>
              <w:t>(6).</w:t>
            </w:r>
            <w:r w:rsidRPr="005D642E">
              <w:rPr>
                <w:rtl/>
              </w:rPr>
              <w:t xml:space="preserve"> في « جح » : « أن يغسل » بدل « بغسل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والوسائل </w:t>
      </w:r>
      <w:r w:rsidR="009E68BB" w:rsidRPr="009E68BB">
        <w:rPr>
          <w:rStyle w:val="libFootnoteBoldChar"/>
          <w:rtl/>
        </w:rPr>
        <w:t>وتفسير العيّاشي</w:t>
      </w:r>
      <w:r w:rsidR="00E3253D" w:rsidRPr="005D642E">
        <w:rPr>
          <w:rtl/>
        </w:rPr>
        <w:t xml:space="preserve"> ، ح 51 :</w:t>
      </w:r>
      <w:r w:rsidR="00E3253D">
        <w:rPr>
          <w:rtl/>
        </w:rPr>
        <w:t xml:space="preserve"> </w:t>
      </w:r>
      <w:r w:rsidR="007642BC">
        <w:rPr>
          <w:rtl/>
        </w:rPr>
        <w:t>-</w:t>
      </w:r>
      <w:r w:rsidR="00E3253D">
        <w:rPr>
          <w:rtl/>
        </w:rPr>
        <w:t xml:space="preserve"> </w:t>
      </w:r>
      <w:r w:rsidR="00E3253D" w:rsidRPr="005D642E">
        <w:rPr>
          <w:rtl/>
        </w:rPr>
        <w:t>« شيئاً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والوسائل </w:t>
      </w:r>
      <w:r w:rsidR="009E68BB" w:rsidRPr="009E68BB">
        <w:rPr>
          <w:rStyle w:val="libFootnoteBoldChar"/>
          <w:rtl/>
        </w:rPr>
        <w:t>وتفسير العيّاشي</w:t>
      </w:r>
      <w:r w:rsidR="00E3253D" w:rsidRPr="005D642E">
        <w:rPr>
          <w:rtl/>
        </w:rPr>
        <w:t xml:space="preserve"> ، ح 51 : + « شيئاً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وأمر بغسل اليدين</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9B40EB">
        <w:rPr>
          <w:rtl/>
        </w:rPr>
        <w:t>إل</w:t>
      </w:r>
      <w:r w:rsidR="009B40EB">
        <w:rPr>
          <w:rFonts w:hint="cs"/>
          <w:rtl/>
        </w:rPr>
        <w:t>ّ</w:t>
      </w:r>
      <w:r w:rsidR="009B40EB">
        <w:rPr>
          <w:rtl/>
        </w:rPr>
        <w:t>ا</w:t>
      </w:r>
      <w:r w:rsidR="00E3253D" w:rsidRPr="005D642E">
        <w:rPr>
          <w:rtl/>
        </w:rPr>
        <w:t xml:space="preserve"> غسله »</w:t>
      </w:r>
      <w:r w:rsidR="00E3253D">
        <w:rPr>
          <w:rtl/>
        </w:rPr>
        <w:t>.</w:t>
      </w:r>
    </w:p>
    <w:p w:rsidR="00E3253D" w:rsidRPr="005D642E" w:rsidRDefault="0042621E" w:rsidP="00581DA1">
      <w:pPr>
        <w:pStyle w:val="libFootnote0"/>
        <w:rPr>
          <w:rtl/>
          <w:lang w:bidi="fa-IR"/>
        </w:rPr>
      </w:pPr>
      <w:r w:rsidRPr="0042621E">
        <w:rPr>
          <w:rStyle w:val="libFootnote0Char"/>
          <w:rtl/>
        </w:rPr>
        <w:t>(10).</w:t>
      </w:r>
      <w:r w:rsidR="00E3253D" w:rsidRPr="005D642E">
        <w:rPr>
          <w:rtl/>
        </w:rPr>
        <w:t xml:space="preserve"> هكذا في القرآن </w:t>
      </w:r>
      <w:r w:rsidR="00E3253D">
        <w:rPr>
          <w:rtl/>
        </w:rPr>
        <w:t>و «</w:t>
      </w:r>
      <w:r w:rsidR="00E3253D" w:rsidRPr="005D642E">
        <w:rPr>
          <w:rtl/>
        </w:rPr>
        <w:t xml:space="preserve"> ظ ، غ ، بث ، بح ، بس ، بف ، جح ، جس ، جن »</w:t>
      </w:r>
      <w:r w:rsidR="00E3253D">
        <w:rPr>
          <w:rtl/>
        </w:rPr>
        <w:t>.</w:t>
      </w:r>
      <w:r w:rsidR="00E3253D" w:rsidRPr="005D642E">
        <w:rPr>
          <w:rtl/>
        </w:rPr>
        <w:t xml:space="preserve"> وفي « بخ ، ى » : « واغسلوا »</w:t>
      </w:r>
      <w:r w:rsidR="00E3253D">
        <w:rPr>
          <w:rtl/>
        </w:rPr>
        <w:t>.</w:t>
      </w:r>
      <w:r w:rsidR="00E3253D" w:rsidRPr="005D642E">
        <w:rPr>
          <w:rtl/>
        </w:rPr>
        <w:t xml:space="preserve"> وفي المطبوع : « اغسلوا »</w:t>
      </w:r>
      <w:r w:rsidR="00E3253D">
        <w:rPr>
          <w:rtl/>
        </w:rPr>
        <w:t>.</w:t>
      </w:r>
      <w:r w:rsidR="00581DA1">
        <w:rPr>
          <w:rFonts w:hint="cs"/>
          <w:rtl/>
        </w:rPr>
        <w:t xml:space="preserve">                              </w:t>
      </w:r>
      <w:r w:rsidRPr="0042621E">
        <w:rPr>
          <w:rStyle w:val="libFootnote0Char"/>
          <w:rtl/>
        </w:rPr>
        <w:t>(11).</w:t>
      </w:r>
      <w:r w:rsidR="00E3253D" w:rsidRPr="005D642E">
        <w:rPr>
          <w:rtl/>
        </w:rPr>
        <w:t xml:space="preserve"> المائدة </w:t>
      </w:r>
      <w:r w:rsidRPr="0042621E">
        <w:rPr>
          <w:rStyle w:val="libFootnote0Char"/>
          <w:rtl/>
        </w:rPr>
        <w:t>(5)</w:t>
      </w:r>
      <w:r w:rsidR="00E3253D" w:rsidRPr="005D642E">
        <w:rPr>
          <w:rtl/>
        </w:rPr>
        <w:t xml:space="preserve"> : 6.</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بث » : + « هما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ظاهر هذا الخبر أو صريحه يدلّ على أنّ الكعب هو المفصل ، وتساعده اللغة ، دون العظم المرتفع في ظهر القدم الواقع بين المفصل والمشط ، كما قاله بعض الأصحاب ، ولا أحد الناتئين عن يمين القدم وشماله ، كما ذهب إليه بعض العامّة. راجع : </w:t>
      </w:r>
      <w:r w:rsidR="00E3253D" w:rsidRPr="002F4D34">
        <w:rPr>
          <w:rStyle w:val="libFootnoteBoldChar"/>
          <w:rtl/>
        </w:rPr>
        <w:t>الوافي</w:t>
      </w:r>
      <w:r w:rsidR="00E3253D" w:rsidRPr="005D642E">
        <w:rPr>
          <w:rtl/>
        </w:rPr>
        <w:t xml:space="preserve"> ، ج 6 ، ص 277 ؛ </w:t>
      </w:r>
      <w:r w:rsidR="00E3253D" w:rsidRPr="002F4D34">
        <w:rPr>
          <w:rStyle w:val="libFootnoteBoldChar"/>
          <w:rtl/>
        </w:rPr>
        <w:t>المصباح المنير</w:t>
      </w:r>
      <w:r w:rsidR="00E3253D" w:rsidRPr="005D642E">
        <w:rPr>
          <w:rtl/>
        </w:rPr>
        <w:t xml:space="preserve"> ، ص 534 ؛ </w:t>
      </w:r>
      <w:r w:rsidR="00E3253D" w:rsidRPr="002F4D34">
        <w:rPr>
          <w:rStyle w:val="libFootnoteBoldChar"/>
          <w:rtl/>
        </w:rPr>
        <w:t>القاموس المحيط</w:t>
      </w:r>
      <w:r w:rsidR="00581DA1">
        <w:rPr>
          <w:rtl/>
        </w:rPr>
        <w:t xml:space="preserve"> ، ج 1 ، ص 221 (</w:t>
      </w:r>
      <w:r w:rsidR="00E3253D" w:rsidRPr="005D642E">
        <w:rPr>
          <w:rtl/>
        </w:rPr>
        <w:t>كعب )</w:t>
      </w:r>
      <w:r w:rsidR="00E3253D">
        <w:rPr>
          <w:rtl/>
        </w:rPr>
        <w:t>.</w:t>
      </w:r>
      <w:r w:rsidR="00E3253D" w:rsidRPr="005D642E">
        <w:rPr>
          <w:rtl/>
        </w:rPr>
        <w:t xml:space="preserve"> ولتحقيق الحال في المسألة راجع : </w:t>
      </w:r>
      <w:r w:rsidR="00E3253D" w:rsidRPr="002F4D34">
        <w:rPr>
          <w:rStyle w:val="libFootnoteBoldChar"/>
          <w:rtl/>
        </w:rPr>
        <w:t>الحبل المتين</w:t>
      </w:r>
      <w:r w:rsidR="00E3253D" w:rsidRPr="005D642E">
        <w:rPr>
          <w:rtl/>
        </w:rPr>
        <w:t xml:space="preserve"> ، ص 74</w:t>
      </w:r>
      <w:r w:rsidR="00E3253D">
        <w:rPr>
          <w:rtl/>
        </w:rPr>
        <w:t xml:space="preserve"> </w:t>
      </w:r>
      <w:r w:rsidR="007642BC">
        <w:rPr>
          <w:rtl/>
        </w:rPr>
        <w:t>-</w:t>
      </w:r>
      <w:r w:rsidR="00E3253D">
        <w:rPr>
          <w:rtl/>
        </w:rPr>
        <w:t xml:space="preserve"> </w:t>
      </w:r>
      <w:r w:rsidR="00E3253D" w:rsidRPr="005D642E">
        <w:rPr>
          <w:rtl/>
        </w:rPr>
        <w:t>84.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السَّاقِ </w:t>
      </w:r>
      <w:r w:rsidRPr="007C12DB">
        <w:rPr>
          <w:rStyle w:val="libFootnotenumChar"/>
          <w:rtl/>
        </w:rPr>
        <w:t>(1)</w:t>
      </w:r>
      <w:r w:rsidRPr="005D642E">
        <w:rPr>
          <w:rtl/>
          <w:lang w:bidi="fa-IR"/>
        </w:rPr>
        <w:t xml:space="preserve"> ، فَقُلْنَا : هذَا مَا هُوَ</w:t>
      </w:r>
      <w:r>
        <w:rPr>
          <w:rtl/>
          <w:lang w:bidi="fa-IR"/>
        </w:rPr>
        <w:t>؟</w:t>
      </w:r>
      <w:r w:rsidRPr="005D642E">
        <w:rPr>
          <w:rtl/>
          <w:lang w:bidi="fa-IR"/>
        </w:rPr>
        <w:t xml:space="preserve"> فَقَالَ : « هذَا مِنْ عَظْمِ السَّاقِ </w:t>
      </w:r>
      <w:r w:rsidRPr="007C12DB">
        <w:rPr>
          <w:rStyle w:val="libFootnotenumChar"/>
          <w:rtl/>
        </w:rPr>
        <w:t>(2)</w:t>
      </w:r>
      <w:r w:rsidRPr="005D642E">
        <w:rPr>
          <w:rtl/>
          <w:lang w:bidi="fa-IR"/>
        </w:rPr>
        <w:t xml:space="preserve"> ، </w:t>
      </w:r>
      <w:r w:rsidR="00581DA1">
        <w:rPr>
          <w:rtl/>
          <w:lang w:bidi="fa-IR"/>
        </w:rPr>
        <w:t>وَالْكَعْبُ أَسْفَلُ مِنْ ذلِكَ</w:t>
      </w:r>
      <w:r w:rsidRPr="005D642E">
        <w:rPr>
          <w:rtl/>
          <w:lang w:bidi="fa-IR"/>
        </w:rPr>
        <w:t>»</w:t>
      </w:r>
      <w:r>
        <w:rPr>
          <w:rtl/>
          <w:lang w:bidi="fa-IR"/>
        </w:rPr>
        <w:t>.</w:t>
      </w:r>
    </w:p>
    <w:p w:rsidR="00E3253D" w:rsidRPr="005D642E" w:rsidRDefault="00E3253D" w:rsidP="00E3253D">
      <w:pPr>
        <w:pStyle w:val="libNormal"/>
        <w:rPr>
          <w:rtl/>
          <w:lang w:bidi="fa-IR"/>
        </w:rPr>
      </w:pPr>
      <w:r w:rsidRPr="005D642E">
        <w:rPr>
          <w:rtl/>
          <w:lang w:bidi="fa-IR"/>
        </w:rPr>
        <w:t xml:space="preserve">فَقُلْنَا </w:t>
      </w:r>
      <w:r w:rsidRPr="007C12DB">
        <w:rPr>
          <w:rStyle w:val="libFootnotenumChar"/>
          <w:rtl/>
        </w:rPr>
        <w:t>(3)</w:t>
      </w:r>
      <w:r w:rsidRPr="005D642E">
        <w:rPr>
          <w:rtl/>
          <w:lang w:bidi="fa-IR"/>
        </w:rPr>
        <w:t xml:space="preserve"> : أَصْلَحَكَ اللهُ ، فَالْغُرْفَةُ الْوَاحِدَةُ تُجْزِئُ لِلْوَجْهِ وَغُرْفَةٌ لِلذِّرَاعِ</w:t>
      </w:r>
      <w:r>
        <w:rPr>
          <w:rtl/>
          <w:lang w:bidi="fa-IR"/>
        </w:rPr>
        <w:t>؟</w:t>
      </w:r>
    </w:p>
    <w:p w:rsidR="00E3253D" w:rsidRPr="005D642E" w:rsidRDefault="00E3253D" w:rsidP="00E3253D">
      <w:pPr>
        <w:pStyle w:val="libNormal"/>
        <w:rPr>
          <w:rtl/>
          <w:lang w:bidi="fa-IR"/>
        </w:rPr>
      </w:pPr>
      <w:r w:rsidRPr="005D642E">
        <w:rPr>
          <w:rtl/>
          <w:lang w:bidi="fa-IR"/>
        </w:rPr>
        <w:t>قَالَ : « نَعَمْ ، إِذَا بَالَغْتَ فِيهَا ، وَالثِّنْتَانِ تَأْتِيَانِ عَلى ذلِكَ كُلِّهِ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0234C0">
        <w:rPr>
          <w:rtl/>
        </w:rPr>
        <w:t>3926</w:t>
      </w:r>
      <w:r w:rsidRPr="00246318">
        <w:rPr>
          <w:rStyle w:val="libBold2Char"/>
          <w:rtl/>
        </w:rPr>
        <w:t xml:space="preserve"> / 6.</w:t>
      </w:r>
      <w:r w:rsidRPr="005D642E">
        <w:rPr>
          <w:rtl/>
          <w:lang w:bidi="fa-IR"/>
        </w:rPr>
        <w:t xml:space="preserve"> مُحَمَّدُ بْنُ الْحَسَنِ </w:t>
      </w:r>
      <w:r w:rsidRPr="007C12DB">
        <w:rPr>
          <w:rStyle w:val="libFootnotenumChar"/>
          <w:rtl/>
        </w:rPr>
        <w:t>(5)</w:t>
      </w:r>
      <w:r w:rsidRPr="005D642E">
        <w:rPr>
          <w:rtl/>
          <w:lang w:bidi="fa-IR"/>
        </w:rPr>
        <w:t xml:space="preserve"> وَغَيْرُهُ ، عَنْ سَهْلِ بْنِ زِيَادٍ ، عَنِ ابْنِ مَحْبُوبٍ ، عَنِ ابْنِ رِبَاطٍ ، عَنْ يُونُسَ بْنِ عَمَّارٍ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الْوُضُوءِ لِلصَّلَاةِ</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(6)</w:t>
      </w:r>
      <w:r w:rsidRPr="005D642E">
        <w:rPr>
          <w:rtl/>
          <w:lang w:bidi="fa-IR"/>
        </w:rPr>
        <w:t xml:space="preserve"> : « مَرَّةٌ مَرَّةٌ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0234C0">
        <w:rPr>
          <w:rtl/>
        </w:rPr>
        <w:t>3927</w:t>
      </w:r>
      <w:r w:rsidRPr="00246318">
        <w:rPr>
          <w:rStyle w:val="libBold2Char"/>
          <w:rtl/>
        </w:rPr>
        <w:t xml:space="preserve"> / 7.</w:t>
      </w:r>
      <w:r w:rsidRPr="005D642E">
        <w:rPr>
          <w:rtl/>
          <w:lang w:bidi="fa-IR"/>
        </w:rPr>
        <w:t xml:space="preserve"> عِدَّةٌ مِنْ أَصْحَابِنَا ، عَنْ أَحْمَدَ بْنِ مُحَمَّدٍ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الحبل المتين</w:t>
      </w:r>
      <w:r w:rsidR="00E3253D" w:rsidRPr="005D642E">
        <w:rPr>
          <w:rtl/>
        </w:rPr>
        <w:t xml:space="preserve"> ، ص 73 : « ولفظة دون</w:t>
      </w:r>
      <w:r w:rsidR="00E3253D">
        <w:rPr>
          <w:rtl/>
        </w:rPr>
        <w:t xml:space="preserve"> ..</w:t>
      </w:r>
      <w:r w:rsidR="00E3253D" w:rsidRPr="005D642E">
        <w:rPr>
          <w:rtl/>
        </w:rPr>
        <w:t>. إمّا بمعنى تحت ، أو بمعنى عند ، أو بمعنى غير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فقلنا هذا</w:t>
      </w:r>
      <w:r w:rsidR="00E3253D">
        <w:rPr>
          <w:rtl/>
        </w:rPr>
        <w:t xml:space="preserve"> ..</w:t>
      </w:r>
      <w:r w:rsidR="00E3253D" w:rsidRPr="005D642E">
        <w:rPr>
          <w:rtl/>
        </w:rPr>
        <w:t>. عظم الساق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 « قلنا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81 ، ح 211 ؛ </w:t>
      </w:r>
      <w:r w:rsidR="00E3253D" w:rsidRPr="00E678B5">
        <w:rPr>
          <w:rStyle w:val="libFootnoteBoldChar"/>
          <w:rtl/>
        </w:rPr>
        <w:t>والاستبصار</w:t>
      </w:r>
      <w:r w:rsidR="00E3253D" w:rsidRPr="005D642E">
        <w:rPr>
          <w:rtl/>
        </w:rPr>
        <w:t xml:space="preserve"> ، ج 1 ، ص 71 ح 216 ، بسندهما عن الكليني ، من قوله : « فقلنا : أصلحك الله »</w:t>
      </w:r>
      <w:r w:rsidR="00E3253D">
        <w:rPr>
          <w:rtl/>
        </w:rPr>
        <w:t>.</w:t>
      </w:r>
      <w:r w:rsidR="00E3253D" w:rsidRPr="005D642E">
        <w:rPr>
          <w:rtl/>
        </w:rPr>
        <w:t xml:space="preserve"> </w:t>
      </w:r>
      <w:r w:rsidR="00E3253D" w:rsidRPr="002F4D34">
        <w:rPr>
          <w:rStyle w:val="libFootnoteBoldChar"/>
          <w:rtl/>
        </w:rPr>
        <w:t>وفيه</w:t>
      </w:r>
      <w:r w:rsidR="00E3253D" w:rsidRPr="005D642E">
        <w:rPr>
          <w:rtl/>
        </w:rPr>
        <w:t xml:space="preserve"> ، ص 76 ، ح 191 ، بسنده عن ابن أبي عمير ، من قوله : </w:t>
      </w:r>
      <w:r w:rsidR="00E3253D" w:rsidRPr="00581DA1">
        <w:rPr>
          <w:rStyle w:val="libFootnoteAlaemChar"/>
          <w:rtl/>
        </w:rPr>
        <w:t>(</w:t>
      </w:r>
      <w:r w:rsidR="00E3253D" w:rsidRPr="00EB702D">
        <w:rPr>
          <w:rStyle w:val="libFootnoteAieChar"/>
          <w:rtl/>
        </w:rPr>
        <w:t xml:space="preserve"> وَامْسَحُوا بِرُؤُسِكُمْ وَأَرْجُلَكُمْ </w:t>
      </w:r>
      <w:r w:rsidR="00E3253D" w:rsidRPr="00581DA1">
        <w:rPr>
          <w:rStyle w:val="libFootnoteAlaemChar"/>
          <w:rtl/>
        </w:rPr>
        <w:t>)</w:t>
      </w:r>
      <w:r w:rsidR="00E3253D" w:rsidRPr="005D642E">
        <w:rPr>
          <w:rtl/>
        </w:rPr>
        <w:t xml:space="preserve"> إلى قوله : « فقال : هذا من عظم الساق » مع اختلاف يسير. </w:t>
      </w:r>
      <w:r w:rsidR="00E3253D" w:rsidRPr="002F4D34">
        <w:rPr>
          <w:rStyle w:val="libFootnoteBoldChar"/>
          <w:rtl/>
        </w:rPr>
        <w:t>وفيه</w:t>
      </w:r>
      <w:r w:rsidR="00E3253D" w:rsidRPr="005D642E">
        <w:rPr>
          <w:rtl/>
        </w:rPr>
        <w:t xml:space="preserve"> ، ص 56 ، ح 158 ، بسنده عن ابن اذينة ، إلى قوله : « لم يحدث لهما ماءاً جديداً » مع اختلاف. </w:t>
      </w:r>
      <w:r w:rsidR="00E3253D" w:rsidRPr="002F4D34">
        <w:rPr>
          <w:rStyle w:val="libFootnoteBoldChar"/>
          <w:rtl/>
        </w:rPr>
        <w:t>تفسير العيّاشي</w:t>
      </w:r>
      <w:r w:rsidR="00E3253D" w:rsidRPr="005D642E">
        <w:rPr>
          <w:rtl/>
        </w:rPr>
        <w:t xml:space="preserve"> ، ج 1 ، ص 298 ، ح 51 ، عن زرارة وبكير بن أعين ، مع اختلاف يسير ؛ </w:t>
      </w:r>
      <w:r w:rsidR="00E3253D" w:rsidRPr="002F4D34">
        <w:rPr>
          <w:rStyle w:val="libFootnoteBoldChar"/>
          <w:rtl/>
        </w:rPr>
        <w:t>وفيه</w:t>
      </w:r>
      <w:r w:rsidR="00E3253D" w:rsidRPr="005D642E">
        <w:rPr>
          <w:rtl/>
        </w:rPr>
        <w:t xml:space="preserve"> ، ح 50 ، عن زرارة ، عن أبي جعفر </w:t>
      </w:r>
      <w:r w:rsidR="00E3253D" w:rsidRPr="00581DA1">
        <w:rPr>
          <w:rStyle w:val="libFootnoteAlaemChar"/>
          <w:rtl/>
        </w:rPr>
        <w:t>عليه‌السلام</w:t>
      </w:r>
      <w:r w:rsidR="00E3253D" w:rsidRPr="005D642E">
        <w:rPr>
          <w:rtl/>
        </w:rPr>
        <w:t xml:space="preserve"> ، من قوله : « إنّ الله عزّوجلّ يقول : </w:t>
      </w:r>
      <w:r w:rsidR="00E3253D" w:rsidRPr="00581DA1">
        <w:rPr>
          <w:rStyle w:val="libFootnoteAlaemChar"/>
          <w:rtl/>
        </w:rPr>
        <w:t>(</w:t>
      </w:r>
      <w:r w:rsidR="00E3253D" w:rsidRPr="00EB702D">
        <w:rPr>
          <w:rStyle w:val="libFootnoteAieChar"/>
          <w:rtl/>
        </w:rPr>
        <w:t xml:space="preserve"> يا أَيُّهَا الَّذِينَ </w:t>
      </w:r>
      <w:r w:rsidR="00E3253D" w:rsidRPr="00581DA1">
        <w:rPr>
          <w:rStyle w:val="libFootnoteAlaemChar"/>
          <w:rtl/>
        </w:rPr>
        <w:t>)</w:t>
      </w:r>
      <w:r w:rsidR="00E3253D" w:rsidRPr="005D642E">
        <w:rPr>
          <w:rtl/>
        </w:rPr>
        <w:t xml:space="preserve"> إلى قوله : « يعني المفصل دون عظم الساق » مع اختلاف </w:t>
      </w:r>
      <w:r w:rsidR="00581DA1">
        <w:rPr>
          <w:rFonts w:hint="cs"/>
          <w:rtl/>
        </w:rPr>
        <w:t>.</w:t>
      </w:r>
      <w:r w:rsidR="00E3253D" w:rsidRPr="002F4D34">
        <w:rPr>
          <w:rStyle w:val="libFootnoteBoldChar"/>
          <w:rtl/>
        </w:rPr>
        <w:t>الوافي</w:t>
      </w:r>
      <w:r w:rsidR="00E3253D" w:rsidRPr="005D642E">
        <w:rPr>
          <w:rtl/>
        </w:rPr>
        <w:t xml:space="preserve"> ، ج 6 ، ص 276 ، ح 4284 ؛ </w:t>
      </w:r>
      <w:r w:rsidR="00E3253D" w:rsidRPr="002F4D34">
        <w:rPr>
          <w:rStyle w:val="libFootnoteBoldChar"/>
          <w:rtl/>
        </w:rPr>
        <w:t>الوسائل</w:t>
      </w:r>
      <w:r w:rsidR="00E3253D" w:rsidRPr="005D642E">
        <w:rPr>
          <w:rtl/>
        </w:rPr>
        <w:t xml:space="preserve"> ، ج 1 ، ص 388 ، ح 1022.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ى ، بث ، بح ، بخ ، بس ، بف ، جح ، جس » وحاشية « جن » : « الحسين »</w:t>
      </w:r>
      <w:r w:rsidR="00E3253D">
        <w:rPr>
          <w:rtl/>
        </w:rPr>
        <w:t>.</w:t>
      </w:r>
      <w:r w:rsidR="00E3253D" w:rsidRPr="005D642E">
        <w:rPr>
          <w:rtl/>
        </w:rPr>
        <w:t xml:space="preserve"> وهو سهو ؛ فقد أكثر محمّد بن‌الحسن شيخ المصنّف من الرواية عن سهل [ بن زياد ]</w:t>
      </w:r>
      <w:r w:rsidR="00E3253D">
        <w:rPr>
          <w:rtl/>
        </w:rPr>
        <w:t>.</w:t>
      </w:r>
      <w:r w:rsidR="00E3253D" w:rsidRPr="005D642E">
        <w:rPr>
          <w:rtl/>
        </w:rPr>
        <w:t xml:space="preserve"> راجع : </w:t>
      </w:r>
      <w:r w:rsidR="00E3253D" w:rsidRPr="002F4D34">
        <w:rPr>
          <w:rStyle w:val="libFootnoteBoldChar"/>
          <w:rtl/>
        </w:rPr>
        <w:t>معجم رجال الحديث</w:t>
      </w:r>
      <w:r w:rsidR="00E3253D" w:rsidRPr="005D642E">
        <w:rPr>
          <w:rtl/>
        </w:rPr>
        <w:t xml:space="preserve"> ، ج 15 ، ص 374</w:t>
      </w:r>
      <w:r w:rsidR="00E3253D">
        <w:rPr>
          <w:rtl/>
        </w:rPr>
        <w:t xml:space="preserve"> </w:t>
      </w:r>
      <w:r w:rsidR="007642BC">
        <w:rPr>
          <w:rtl/>
        </w:rPr>
        <w:t>-</w:t>
      </w:r>
      <w:r w:rsidR="00E3253D">
        <w:rPr>
          <w:rtl/>
        </w:rPr>
        <w:t xml:space="preserve"> </w:t>
      </w:r>
      <w:r w:rsidR="00E3253D" w:rsidRPr="005D642E">
        <w:rPr>
          <w:rtl/>
        </w:rPr>
        <w:t>375.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 « قال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والوسائل : + « هو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80 ، ح 206 ؛ </w:t>
      </w:r>
      <w:r w:rsidR="00E3253D" w:rsidRPr="00E678B5">
        <w:rPr>
          <w:rStyle w:val="libFootnoteBoldChar"/>
          <w:rtl/>
        </w:rPr>
        <w:t>والاستبصار</w:t>
      </w:r>
      <w:r w:rsidR="00E3253D" w:rsidRPr="005D642E">
        <w:rPr>
          <w:rtl/>
        </w:rPr>
        <w:t xml:space="preserve"> ، ج 1 ، ص 69 ، ح 211 ، بسندهما عن الكليني. </w:t>
      </w:r>
      <w:r w:rsidR="00E3253D" w:rsidRPr="002F4D34">
        <w:rPr>
          <w:rStyle w:val="libFootnoteBoldChar"/>
          <w:rtl/>
        </w:rPr>
        <w:t>عيون الأخبار</w:t>
      </w:r>
      <w:r w:rsidR="00E3253D" w:rsidRPr="005D642E">
        <w:rPr>
          <w:rtl/>
        </w:rPr>
        <w:t xml:space="preserve"> ، ج 2 ، ص 127 ، ضمن ح 2 ، بسند آخر عن الرضا </w:t>
      </w:r>
      <w:r w:rsidR="00E3253D" w:rsidRPr="00581DA1">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47 ، ذيل ح 92. </w:t>
      </w:r>
      <w:r w:rsidR="000D749A" w:rsidRPr="000D749A">
        <w:rPr>
          <w:rStyle w:val="libFootnoteBoldChar"/>
          <w:rtl/>
        </w:rPr>
        <w:t>الأمالي للصدوق</w:t>
      </w:r>
      <w:r w:rsidR="00E3253D" w:rsidRPr="005D642E">
        <w:rPr>
          <w:rtl/>
        </w:rPr>
        <w:t xml:space="preserve"> ، ص 645 ، المجلس 93 ، ضمن وصف دين الإماميّة على الإيجاز والاختصار ، وفي الثلاثة الأخيرة مع اختلاف يسير </w:t>
      </w:r>
      <w:r w:rsidR="00581DA1">
        <w:rPr>
          <w:rFonts w:hint="cs"/>
          <w:rtl/>
        </w:rPr>
        <w:t>.</w:t>
      </w:r>
      <w:r w:rsidR="00E3253D" w:rsidRPr="002F4D34">
        <w:rPr>
          <w:rStyle w:val="libFootnoteBoldChar"/>
          <w:rtl/>
        </w:rPr>
        <w:t>الوافي</w:t>
      </w:r>
      <w:r w:rsidR="00E3253D" w:rsidRPr="005D642E">
        <w:rPr>
          <w:rtl/>
        </w:rPr>
        <w:t xml:space="preserve"> ، ج 6 ، ص 317 ، ح 4373 ؛ </w:t>
      </w:r>
      <w:r w:rsidR="00E3253D" w:rsidRPr="002F4D34">
        <w:rPr>
          <w:rStyle w:val="libFootnoteBoldChar"/>
          <w:rtl/>
        </w:rPr>
        <w:t>الوسائل</w:t>
      </w:r>
      <w:r w:rsidR="00E3253D" w:rsidRPr="005D642E">
        <w:rPr>
          <w:rtl/>
        </w:rPr>
        <w:t xml:space="preserve"> ، ج 1 ، ص 437 ، ح 1146.</w:t>
      </w:r>
    </w:p>
    <w:p w:rsidR="00E3253D" w:rsidRDefault="00E3253D" w:rsidP="00E3253D">
      <w:pPr>
        <w:pStyle w:val="libNormal"/>
        <w:rPr>
          <w:rtl/>
          <w:lang w:bidi="fa-IR"/>
        </w:rPr>
      </w:pPr>
      <w:r>
        <w:rPr>
          <w:rtl/>
          <w:lang w:bidi="fa-IR"/>
        </w:rPr>
        <w:br w:type="page"/>
      </w:r>
    </w:p>
    <w:p w:rsidR="00E3253D" w:rsidRPr="005D642E" w:rsidRDefault="00581DA1" w:rsidP="00E3253D">
      <w:pPr>
        <w:pStyle w:val="libNormal0"/>
        <w:rPr>
          <w:rtl/>
          <w:lang w:bidi="fa-IR"/>
        </w:rPr>
      </w:pPr>
      <w:r>
        <w:rPr>
          <w:rFonts w:hint="cs"/>
          <w:rtl/>
          <w:lang w:bidi="fa-IR"/>
        </w:rPr>
        <w:lastRenderedPageBreak/>
        <w:t xml:space="preserve">                 </w:t>
      </w:r>
      <w:r w:rsidR="00E3253D" w:rsidRPr="005D642E">
        <w:rPr>
          <w:rtl/>
          <w:lang w:bidi="fa-IR"/>
        </w:rPr>
        <w:t xml:space="preserve">وَأَبُو دَاوُدَ </w:t>
      </w:r>
      <w:r w:rsidR="00E3253D" w:rsidRPr="007C12DB">
        <w:rPr>
          <w:rStyle w:val="libFootnotenumChar"/>
          <w:rtl/>
        </w:rPr>
        <w:t>(1)</w:t>
      </w:r>
      <w:r w:rsidR="00E3253D" w:rsidRPr="005D642E">
        <w:rPr>
          <w:rtl/>
          <w:lang w:bidi="fa-IR"/>
        </w:rPr>
        <w:t xml:space="preserve"> جَمِيعاً ، عَنِ الْحُسَيْنِ بْنِ سَعِيدٍ ، عَنْ فَضَالَةَ بْنِ أَيُّوبَ ، عَنْ حَمَّادِ بْنِ عُثْمَانَ ، عَنْ عَلِيِّ بْنِ أبِي الْمُغِيرَةِ </w:t>
      </w:r>
      <w:r w:rsidR="00E3253D" w:rsidRPr="007C12DB">
        <w:rPr>
          <w:rStyle w:val="libFootnotenumChar"/>
          <w:rtl/>
        </w:rPr>
        <w:t>(2)</w:t>
      </w:r>
      <w:r w:rsidR="00E3253D" w:rsidRPr="005D642E">
        <w:rPr>
          <w:rtl/>
          <w:lang w:bidi="fa-IR"/>
        </w:rPr>
        <w:t xml:space="preserve"> ، عَنْ مُيَسِّرٍ </w:t>
      </w:r>
      <w:r w:rsidR="00E3253D" w:rsidRPr="007C12DB">
        <w:rPr>
          <w:rStyle w:val="libFootnotenumChar"/>
          <w:rtl/>
        </w:rPr>
        <w:t>(3)</w:t>
      </w:r>
      <w:r w:rsidR="00E3253D"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الْوُضُوءُ وَاحِدَةٌ وَاحِدَةٌ » وَوَصَفَ الْكَعْبَ فِي </w:t>
      </w:r>
      <w:r w:rsidRPr="007C12DB">
        <w:rPr>
          <w:rStyle w:val="libFootnotenumChar"/>
          <w:rtl/>
        </w:rPr>
        <w:t>(4)</w:t>
      </w:r>
      <w:r w:rsidRPr="005D642E">
        <w:rPr>
          <w:rtl/>
          <w:lang w:bidi="fa-IR"/>
        </w:rPr>
        <w:t xml:space="preserve"> ظَهْرِ‌</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ظ ، ى ، بث ، بح ، بف ، جح ، جس ، جن »</w:t>
      </w:r>
      <w:r w:rsidR="00E3253D">
        <w:rPr>
          <w:rtl/>
        </w:rPr>
        <w:t>.</w:t>
      </w:r>
      <w:r w:rsidR="00E3253D" w:rsidRPr="005D642E">
        <w:rPr>
          <w:rtl/>
        </w:rPr>
        <w:t xml:space="preserve"> وفي « بخ ، بس » والمطبوع : « أبي داود »</w:t>
      </w:r>
      <w:r w:rsidR="00E3253D">
        <w:rPr>
          <w:rtl/>
        </w:rPr>
        <w:t>.</w:t>
      </w:r>
      <w:r w:rsidR="00E3253D" w:rsidRPr="005D642E">
        <w:rPr>
          <w:rtl/>
        </w:rPr>
        <w:t xml:space="preserve"> وما أثبتناه هوالصواب ، كما تقدّم في ذيل ح 2840.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بف »</w:t>
      </w:r>
      <w:r w:rsidR="00E3253D">
        <w:rPr>
          <w:rtl/>
        </w:rPr>
        <w:t>.</w:t>
      </w:r>
      <w:r w:rsidR="00E3253D" w:rsidRPr="005D642E">
        <w:rPr>
          <w:rtl/>
        </w:rPr>
        <w:t xml:space="preserve"> وفي « ظ ، ى ، بث ، بح ، بخ ، بس ، جح ، جن » والمطبوع : « عليّ بن المغيرة »</w:t>
      </w:r>
      <w:r w:rsidR="00E3253D">
        <w:rPr>
          <w:rtl/>
        </w:rPr>
        <w:t>.</w:t>
      </w:r>
      <w:r w:rsidR="00E3253D" w:rsidRPr="005D642E">
        <w:rPr>
          <w:rtl/>
        </w:rPr>
        <w:t xml:space="preserve"> والظاهر أنّ عليّاً هذا هو والد الحسن بن عليّ بن أبي المغيرة الزبيدي ، الذي ترجم له النجاشي في رجاله ، ص 49 ، الرقم 106 ، وقال : « ثقة هو وأبوه »</w:t>
      </w:r>
      <w:r w:rsidR="00E3253D">
        <w:rPr>
          <w:rtl/>
        </w:rPr>
        <w:t>.</w:t>
      </w:r>
    </w:p>
    <w:p w:rsidR="00E3253D" w:rsidRPr="005D642E" w:rsidRDefault="00E3253D" w:rsidP="00E3253D">
      <w:pPr>
        <w:pStyle w:val="libFootnote0"/>
        <w:rPr>
          <w:rtl/>
          <w:lang w:bidi="fa-IR"/>
        </w:rPr>
      </w:pPr>
      <w:r w:rsidRPr="00B60612">
        <w:rPr>
          <w:rtl/>
        </w:rPr>
        <w:t xml:space="preserve">واسم أبي المغيرة هو حسّان ؛ فقد ذكر الشيخ الطوسي تارة عليّ بن أبي المغيرة الزبيدي الأزرق في أصحاب محمّد بن عليّ بن الحسين </w:t>
      </w:r>
      <w:r w:rsidRPr="00581DA1">
        <w:rPr>
          <w:rStyle w:val="libFootnoteAlaemChar"/>
          <w:rtl/>
        </w:rPr>
        <w:t>عليه‌السلام</w:t>
      </w:r>
      <w:r w:rsidRPr="00B60612">
        <w:rPr>
          <w:rtl/>
        </w:rPr>
        <w:t xml:space="preserve"> ، وا</w:t>
      </w:r>
      <w:r w:rsidR="00581DA1">
        <w:rPr>
          <w:rFonts w:hint="cs"/>
          <w:rtl/>
        </w:rPr>
        <w:t>ُ</w:t>
      </w:r>
      <w:r w:rsidRPr="00B60612">
        <w:rPr>
          <w:rtl/>
        </w:rPr>
        <w:t xml:space="preserve">خرى عليّ بن أبي المغيرة حسّان الزُبَيدي في أصحاب الصادق </w:t>
      </w:r>
      <w:r w:rsidRPr="00581DA1">
        <w:rPr>
          <w:rStyle w:val="libFootnoteAlaemChar"/>
          <w:rtl/>
        </w:rPr>
        <w:t>عليه‌السلام</w:t>
      </w:r>
      <w:r w:rsidRPr="00B60612">
        <w:rPr>
          <w:rtl/>
        </w:rPr>
        <w:t xml:space="preserve">. راجع : </w:t>
      </w:r>
      <w:r w:rsidRPr="002F4D34">
        <w:rPr>
          <w:rStyle w:val="libFootnoteBoldChar"/>
          <w:rtl/>
        </w:rPr>
        <w:t>رجال الطوسي</w:t>
      </w:r>
      <w:r w:rsidRPr="00B60612">
        <w:rPr>
          <w:rtl/>
        </w:rPr>
        <w:t xml:space="preserve"> ، ص 142 ، الرقم 1530 ؛ وص 244 ، الرقم 3383.</w:t>
      </w:r>
    </w:p>
    <w:p w:rsidR="00E3253D" w:rsidRPr="005D642E" w:rsidRDefault="00E3253D" w:rsidP="00E3253D">
      <w:pPr>
        <w:pStyle w:val="libFootnote0"/>
        <w:rPr>
          <w:rtl/>
          <w:lang w:bidi="fa-IR"/>
        </w:rPr>
      </w:pPr>
      <w:r w:rsidRPr="00B60612">
        <w:rPr>
          <w:rtl/>
        </w:rPr>
        <w:t xml:space="preserve">وأمّا عليّ بن المغيرة ، فقد ذكر البرقي في رجاله ، ص 18 ، عليّ بن المغيرة الزبيدي الأزرق ، في أصحاب الصادق </w:t>
      </w:r>
      <w:r w:rsidRPr="00581DA1">
        <w:rPr>
          <w:rStyle w:val="libFootnoteAlaemChar"/>
          <w:rtl/>
        </w:rPr>
        <w:t>عليه‌السلام</w:t>
      </w:r>
      <w:r w:rsidRPr="00B60612">
        <w:rPr>
          <w:rtl/>
        </w:rPr>
        <w:t xml:space="preserve"> من أدركه من أصحاب أبي جعفر </w:t>
      </w:r>
      <w:r w:rsidRPr="00581DA1">
        <w:rPr>
          <w:rStyle w:val="libFootnoteAlaemChar"/>
          <w:rtl/>
        </w:rPr>
        <w:t>عليه‌السلام</w:t>
      </w:r>
      <w:r w:rsidRPr="00B60612">
        <w:rPr>
          <w:rtl/>
        </w:rPr>
        <w:t xml:space="preserve"> ، وهو متّحد مع المذكور في </w:t>
      </w:r>
      <w:r w:rsidRPr="002F4D34">
        <w:rPr>
          <w:rStyle w:val="libFootnoteBoldChar"/>
          <w:rtl/>
        </w:rPr>
        <w:t>رجال الطوسي</w:t>
      </w:r>
      <w:r w:rsidRPr="00B60612">
        <w:rPr>
          <w:rtl/>
        </w:rPr>
        <w:t xml:space="preserve"> والمشار إليه في </w:t>
      </w:r>
      <w:r w:rsidRPr="002F4D34">
        <w:rPr>
          <w:rStyle w:val="libFootnoteBoldChar"/>
          <w:rtl/>
        </w:rPr>
        <w:t>رجال النجاشي</w:t>
      </w:r>
      <w:r w:rsidRPr="00B60612">
        <w:rPr>
          <w:rtl/>
        </w:rPr>
        <w:t xml:space="preserve"> ، كما هو ظاهر. وذكر أيضاً في ص 25 ، عليّ بن المغيرة في أصحاب الصادق </w:t>
      </w:r>
      <w:r w:rsidRPr="00581DA1">
        <w:rPr>
          <w:rStyle w:val="libFootnoteAlaemChar"/>
          <w:rtl/>
        </w:rPr>
        <w:t>عليه‌السلام</w:t>
      </w:r>
      <w:r w:rsidRPr="00B60612">
        <w:rPr>
          <w:rtl/>
        </w:rPr>
        <w:t xml:space="preserve">. وهل هو متّحد مع السابق أو هو شخص آخر؟ لايُعلم بالجزم جواب هذا السؤال ، ولكن لايحصل الاطمئنان بصحّة العنوان بعد وقوع التحريف في من ذكره سابقاً. ويؤيّد ما أثبتناه أنّ الخبر رواه الشيخ في </w:t>
      </w:r>
      <w:r w:rsidRPr="002F4D34">
        <w:rPr>
          <w:rStyle w:val="libFootnoteBoldChar"/>
          <w:rtl/>
        </w:rPr>
        <w:t>التهذيب</w:t>
      </w:r>
      <w:r w:rsidRPr="00B60612">
        <w:rPr>
          <w:rtl/>
        </w:rPr>
        <w:t xml:space="preserve"> ، ج 1 ، ص 75 ، ح 189 ؛ وص 80 ، ح 205 ؛ </w:t>
      </w:r>
      <w:r w:rsidRPr="00E678B5">
        <w:rPr>
          <w:rStyle w:val="libFootnoteBoldChar"/>
          <w:rtl/>
        </w:rPr>
        <w:t>والاستبصار</w:t>
      </w:r>
      <w:r w:rsidRPr="00B60612">
        <w:rPr>
          <w:rtl/>
        </w:rPr>
        <w:t xml:space="preserve"> ، ج 1 ، ص 69 ، ح 210 ، ونقله عنه الشيخ الحرّ في </w:t>
      </w:r>
      <w:r w:rsidRPr="002F4D34">
        <w:rPr>
          <w:rStyle w:val="libFootnoteBoldChar"/>
          <w:rtl/>
        </w:rPr>
        <w:t>الوسائل</w:t>
      </w:r>
      <w:r w:rsidRPr="00B60612">
        <w:rPr>
          <w:rtl/>
        </w:rPr>
        <w:t xml:space="preserve"> ، ج 1 ، ص 435 ، ح 1141 ، والمذكور في جميع المواضع هو « عليّ بن أبي المغيرة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حاشية « ى ، جش »</w:t>
      </w:r>
      <w:r w:rsidR="00E3253D">
        <w:rPr>
          <w:rtl/>
        </w:rPr>
        <w:t>.</w:t>
      </w:r>
      <w:r w:rsidR="00E3253D" w:rsidRPr="005D642E">
        <w:rPr>
          <w:rtl/>
        </w:rPr>
        <w:t xml:space="preserve"> وفي « ظ ، ى ، بح ، بخ ، بس ، بف ، جح ، جش ، جن » والمطبوع : « ميسرة »</w:t>
      </w:r>
      <w:r w:rsidR="00E3253D">
        <w:rPr>
          <w:rtl/>
        </w:rPr>
        <w:t>.</w:t>
      </w:r>
    </w:p>
    <w:p w:rsidR="00E3253D" w:rsidRPr="005D642E" w:rsidRDefault="00E3253D" w:rsidP="00E3253D">
      <w:pPr>
        <w:pStyle w:val="libFootnote0"/>
        <w:rPr>
          <w:rtl/>
          <w:lang w:bidi="fa-IR"/>
        </w:rPr>
      </w:pPr>
      <w:r w:rsidRPr="00B60612">
        <w:rPr>
          <w:rtl/>
        </w:rPr>
        <w:t xml:space="preserve">وما اثبتناه هو الظاهر ؛ فإنّه لم يثبت في رواة أبي جعفر </w:t>
      </w:r>
      <w:r w:rsidRPr="00581DA1">
        <w:rPr>
          <w:rStyle w:val="libFootnoteAlaemChar"/>
          <w:rtl/>
        </w:rPr>
        <w:t>عليه‌السلام</w:t>
      </w:r>
      <w:r w:rsidRPr="00B60612">
        <w:rPr>
          <w:rtl/>
        </w:rPr>
        <w:t xml:space="preserve"> من يسمّى بميسرة. والمراد من ميسِّر هذا ، هو ميسِّر بن عبدالعزيز ، الراوي عن أبي جعفر وأبي عبدالله </w:t>
      </w:r>
      <w:r w:rsidRPr="00581DA1">
        <w:rPr>
          <w:rStyle w:val="libFootnoteAlaemChar"/>
          <w:rtl/>
        </w:rPr>
        <w:t>عليهما‌السلام</w:t>
      </w:r>
      <w:r w:rsidRPr="00B60612">
        <w:rPr>
          <w:rtl/>
        </w:rPr>
        <w:t xml:space="preserve"> الذي مات في حياة أبي عبدالله </w:t>
      </w:r>
      <w:r w:rsidRPr="00581DA1">
        <w:rPr>
          <w:rStyle w:val="libFootnoteAlaemChar"/>
          <w:rtl/>
        </w:rPr>
        <w:t>عليه‌السلام</w:t>
      </w:r>
      <w:r w:rsidRPr="00B60612">
        <w:rPr>
          <w:rtl/>
        </w:rPr>
        <w:t xml:space="preserve">. وهو والد علي بن ميسِّر ، كما أشرنا إليه في </w:t>
      </w:r>
      <w:r w:rsidRPr="002F4D34">
        <w:rPr>
          <w:rStyle w:val="libFootnoteBoldChar"/>
          <w:rtl/>
        </w:rPr>
        <w:t>الكافي</w:t>
      </w:r>
      <w:r w:rsidRPr="00B60612">
        <w:rPr>
          <w:rtl/>
        </w:rPr>
        <w:t xml:space="preserve"> ، ذيل ح 1471. راجع : </w:t>
      </w:r>
      <w:r w:rsidRPr="002F4D34">
        <w:rPr>
          <w:rStyle w:val="libFootnoteBoldChar"/>
          <w:rtl/>
        </w:rPr>
        <w:t>رجال البرقي</w:t>
      </w:r>
      <w:r w:rsidRPr="00B60612">
        <w:rPr>
          <w:rtl/>
        </w:rPr>
        <w:t xml:space="preserve"> ، ص 15 ؛ وص 42 ؛ </w:t>
      </w:r>
      <w:r w:rsidRPr="002F4D34">
        <w:rPr>
          <w:rStyle w:val="libFootnoteBoldChar"/>
          <w:rtl/>
        </w:rPr>
        <w:t>رجال الكشي</w:t>
      </w:r>
      <w:r w:rsidRPr="00B60612">
        <w:rPr>
          <w:rtl/>
        </w:rPr>
        <w:t xml:space="preserve"> ، ص 242 ، الرقم 443 ، و 444 ؛ </w:t>
      </w:r>
      <w:r w:rsidRPr="002F4D34">
        <w:rPr>
          <w:rStyle w:val="libFootnoteBoldChar"/>
          <w:rtl/>
        </w:rPr>
        <w:t>رجال الطوسي</w:t>
      </w:r>
      <w:r w:rsidRPr="00B60612">
        <w:rPr>
          <w:rtl/>
        </w:rPr>
        <w:t xml:space="preserve"> ، ص 145 ، الرقم 1581 ؛ وص 309 ، الرقم 4572 ؛ </w:t>
      </w:r>
      <w:r w:rsidRPr="002F4D34">
        <w:rPr>
          <w:rStyle w:val="libFootnoteBoldChar"/>
          <w:rtl/>
        </w:rPr>
        <w:t>رجال النجاشي</w:t>
      </w:r>
      <w:r w:rsidRPr="00B60612">
        <w:rPr>
          <w:rtl/>
        </w:rPr>
        <w:t xml:space="preserve"> ، ص 368 ، الرقم 997.</w:t>
      </w:r>
    </w:p>
    <w:p w:rsidR="00E3253D" w:rsidRPr="005D642E" w:rsidRDefault="00E3253D" w:rsidP="00E3253D">
      <w:pPr>
        <w:pStyle w:val="libFootnote0"/>
        <w:rPr>
          <w:rtl/>
          <w:lang w:bidi="fa-IR"/>
        </w:rPr>
      </w:pPr>
      <w:r w:rsidRPr="00B60612">
        <w:rPr>
          <w:rtl/>
        </w:rPr>
        <w:t xml:space="preserve">ويوكِّد ذلك ما ورد في </w:t>
      </w:r>
      <w:r w:rsidRPr="002F4D34">
        <w:rPr>
          <w:rStyle w:val="libFootnoteBoldChar"/>
          <w:rtl/>
        </w:rPr>
        <w:t>التهذيب</w:t>
      </w:r>
      <w:r w:rsidRPr="00B60612">
        <w:rPr>
          <w:rtl/>
        </w:rPr>
        <w:t xml:space="preserve"> ، ج 1 ، ص 75 ، ح 190 ، من الخبر الدالّ على كيفيّة كون الوضوء واحدة ووصفِ الكعب بالتفضيل ، عن أبان بن عثمان ، عن ميسِّر عن أبي جعفر </w:t>
      </w:r>
      <w:r w:rsidRPr="00581DA1">
        <w:rPr>
          <w:rStyle w:val="libFootnoteAlaemChar"/>
          <w:rtl/>
        </w:rPr>
        <w:t>عليه‌السلام</w:t>
      </w:r>
      <w:r w:rsidRPr="00B60612">
        <w:rPr>
          <w:rtl/>
        </w:rPr>
        <w:t>.</w:t>
      </w:r>
    </w:p>
    <w:p w:rsidR="00E3253D" w:rsidRPr="005D642E" w:rsidRDefault="00E3253D" w:rsidP="00581DA1">
      <w:pPr>
        <w:pStyle w:val="libFootnote0"/>
        <w:rPr>
          <w:rtl/>
          <w:lang w:bidi="fa-IR"/>
        </w:rPr>
      </w:pPr>
      <w:r w:rsidRPr="00B60612">
        <w:rPr>
          <w:rtl/>
        </w:rPr>
        <w:t xml:space="preserve">هذا ، وما ورد في </w:t>
      </w:r>
      <w:r w:rsidRPr="002F4D34">
        <w:rPr>
          <w:rStyle w:val="libFootnoteBoldChar"/>
          <w:rtl/>
        </w:rPr>
        <w:t>رجال البرقي</w:t>
      </w:r>
      <w:r w:rsidRPr="00B60612">
        <w:rPr>
          <w:rtl/>
        </w:rPr>
        <w:t xml:space="preserve"> ، ص 15 ، من عدّ ميسرة في أصحاب أبي جعفر </w:t>
      </w:r>
      <w:r w:rsidRPr="00581DA1">
        <w:rPr>
          <w:rStyle w:val="libFootnoteAlaemChar"/>
          <w:rtl/>
        </w:rPr>
        <w:t>عليه‌السلام</w:t>
      </w:r>
      <w:r w:rsidRPr="00B60612">
        <w:rPr>
          <w:rtl/>
        </w:rPr>
        <w:t xml:space="preserve"> ثمّ عدّه في ص 18 ، من أصحاب أبي عبدالله </w:t>
      </w:r>
      <w:r w:rsidRPr="00581DA1">
        <w:rPr>
          <w:rStyle w:val="libFootnoteAlaemChar"/>
          <w:rtl/>
        </w:rPr>
        <w:t>عليه‌السلام</w:t>
      </w:r>
      <w:r w:rsidRPr="00B60612">
        <w:rPr>
          <w:rtl/>
        </w:rPr>
        <w:t xml:space="preserve"> من أدرك من أصحاب أبي جعفر </w:t>
      </w:r>
      <w:r w:rsidRPr="00581DA1">
        <w:rPr>
          <w:rStyle w:val="libFootnoteAlaemChar"/>
          <w:rtl/>
        </w:rPr>
        <w:t>عليه‌السلام</w:t>
      </w:r>
      <w:r w:rsidRPr="00B60612">
        <w:rPr>
          <w:rtl/>
        </w:rPr>
        <w:t xml:space="preserve"> ، ولايعتمد عليه لاحتمال كونه مأخوذاً من الأسناد المحرّفة.</w:t>
      </w:r>
      <w:r w:rsidR="00581DA1">
        <w:rPr>
          <w:rFonts w:hint="cs"/>
          <w:rtl/>
        </w:rPr>
        <w:t xml:space="preserve">                                                        </w:t>
      </w:r>
      <w:r w:rsidR="0042621E" w:rsidRPr="0042621E">
        <w:rPr>
          <w:rStyle w:val="libFootnote0Char"/>
          <w:rtl/>
        </w:rPr>
        <w:t>(4).</w:t>
      </w:r>
      <w:r w:rsidRPr="005D642E">
        <w:rPr>
          <w:rtl/>
        </w:rPr>
        <w:t xml:space="preserve"> في « جس » : « على »</w:t>
      </w:r>
      <w:r>
        <w:rPr>
          <w:rtl/>
        </w:rPr>
        <w:t>.</w:t>
      </w:r>
    </w:p>
    <w:p w:rsidR="00E3253D" w:rsidRDefault="00E3253D" w:rsidP="00E3253D">
      <w:pPr>
        <w:pStyle w:val="libNormal"/>
        <w:rPr>
          <w:rtl/>
          <w:lang w:bidi="fa-IR"/>
        </w:rPr>
      </w:pPr>
      <w:r>
        <w:rPr>
          <w:rtl/>
          <w:lang w:bidi="fa-IR"/>
        </w:rPr>
        <w:br w:type="page"/>
      </w:r>
    </w:p>
    <w:p w:rsidR="00E3253D" w:rsidRPr="005D642E" w:rsidRDefault="00E3253D" w:rsidP="00581DA1">
      <w:pPr>
        <w:pStyle w:val="libNormal0"/>
        <w:rPr>
          <w:rtl/>
          <w:lang w:bidi="fa-IR"/>
        </w:rPr>
      </w:pPr>
      <w:r w:rsidRPr="005D642E">
        <w:rPr>
          <w:rtl/>
          <w:lang w:bidi="fa-IR"/>
        </w:rPr>
        <w:lastRenderedPageBreak/>
        <w:t xml:space="preserve">الْقَدَمِ </w:t>
      </w:r>
      <w:r w:rsidRPr="007C12DB">
        <w:rPr>
          <w:rStyle w:val="libFootnotenumChar"/>
          <w:rtl/>
        </w:rPr>
        <w:t>(1)</w:t>
      </w:r>
      <w:r w:rsidR="00581DA1">
        <w:rPr>
          <w:rStyle w:val="libNormalChar"/>
          <w:rFonts w:hint="cs"/>
          <w:rtl/>
        </w:rPr>
        <w:t>.</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DE6699">
        <w:rPr>
          <w:rtl/>
        </w:rPr>
        <w:t>3928</w:t>
      </w:r>
      <w:r w:rsidRPr="00246318">
        <w:rPr>
          <w:rStyle w:val="libBold2Char"/>
          <w:rtl/>
        </w:rPr>
        <w:t xml:space="preserve"> / 8.</w:t>
      </w:r>
      <w:r w:rsidRPr="005D642E">
        <w:rPr>
          <w:rtl/>
          <w:lang w:bidi="fa-IR"/>
        </w:rPr>
        <w:t xml:space="preserve"> الْحُسَيْنُ بْنُ مُحَمَّدٍ ، عَنْ عَبْدِ اللهِ بْنِ عَامِرٍ ، عَنْ عَلِيِّ بْنِ مَهْزِيَارَ ، عَنْ مُحَمَّدِ بْنِ يَحْيى ، عَنْ حَمَّادِ بْنِ عُثْمَانَ ، قَالَ :</w:t>
      </w:r>
    </w:p>
    <w:p w:rsidR="00E3253D" w:rsidRPr="005D642E" w:rsidRDefault="00E3253D" w:rsidP="00E3253D">
      <w:pPr>
        <w:pStyle w:val="libNormal"/>
        <w:rPr>
          <w:rtl/>
          <w:lang w:bidi="fa-IR"/>
        </w:rPr>
      </w:pPr>
      <w:r w:rsidRPr="005D642E">
        <w:rPr>
          <w:rtl/>
          <w:lang w:bidi="fa-IR"/>
        </w:rPr>
        <w:t xml:space="preserve">كُنْتُ قَاعِداً عِنْدَ أَبِي عَبْدِ اللهِ </w:t>
      </w:r>
      <w:r w:rsidRPr="00AC51C5">
        <w:rPr>
          <w:rStyle w:val="libAlaemChar"/>
          <w:rtl/>
        </w:rPr>
        <w:t>عليه‌السلام</w:t>
      </w:r>
      <w:r w:rsidRPr="005D642E">
        <w:rPr>
          <w:rtl/>
          <w:lang w:bidi="fa-IR"/>
        </w:rPr>
        <w:t xml:space="preserve"> ، فَدَعَا بِمَاءٍ ، فَمَلَأَ </w:t>
      </w:r>
      <w:r w:rsidRPr="007C12DB">
        <w:rPr>
          <w:rStyle w:val="libFootnotenumChar"/>
          <w:rtl/>
        </w:rPr>
        <w:t>(3)</w:t>
      </w:r>
      <w:r w:rsidRPr="005D642E">
        <w:rPr>
          <w:rtl/>
          <w:lang w:bidi="fa-IR"/>
        </w:rPr>
        <w:t xml:space="preserve"> بِهِ كَفَّهُ ، فَعَمَّ بِهِ وَجْهَهُ ، ثُمَّ مَلَأَ كَفَّهُ ، فَعَمَّ بِهِ يَدَهُ الْيُمْنى ، ثُمَّ مَلَأَ كَفَّهُ ، فَعَمَّ بِهِ </w:t>
      </w:r>
      <w:r w:rsidRPr="007C12DB">
        <w:rPr>
          <w:rStyle w:val="libFootnotenumChar"/>
          <w:rtl/>
        </w:rPr>
        <w:t>(4)</w:t>
      </w:r>
      <w:r w:rsidRPr="005D642E">
        <w:rPr>
          <w:rtl/>
          <w:lang w:bidi="fa-IR"/>
        </w:rPr>
        <w:t xml:space="preserve"> الْيُسْرى ، ثُمَّ مَسَحَ عَلى رَأْسِهِ وَرِجْلَيْهِ ، وَقَالَ : « هذَا وُضُوءُ مَنْ لَمْ يُحْدِثْ حَدَثاً » يَعْنِي بِهِ التَّعَدِّيَ فِي الْوُضُوءِ. </w:t>
      </w:r>
      <w:r w:rsidRPr="007C12DB">
        <w:rPr>
          <w:rStyle w:val="libFootnotenumChar"/>
          <w:rtl/>
        </w:rPr>
        <w:t>(5)</w:t>
      </w:r>
      <w:r w:rsidRPr="005D642E">
        <w:rPr>
          <w:rtl/>
          <w:lang w:bidi="fa-IR"/>
        </w:rPr>
        <w:t xml:space="preserve"> ‌</w:t>
      </w:r>
    </w:p>
    <w:p w:rsidR="00581DA1" w:rsidRDefault="00E3253D" w:rsidP="00581DA1">
      <w:pPr>
        <w:pStyle w:val="libNormal"/>
        <w:rPr>
          <w:rtl/>
          <w:lang w:bidi="fa-IR"/>
        </w:rPr>
      </w:pPr>
      <w:r w:rsidRPr="00DE6699">
        <w:rPr>
          <w:rtl/>
        </w:rPr>
        <w:t>3929</w:t>
      </w:r>
      <w:r w:rsidRPr="00246318">
        <w:rPr>
          <w:rStyle w:val="libBold2Char"/>
          <w:rtl/>
        </w:rPr>
        <w:t xml:space="preserve"> / 9.</w:t>
      </w:r>
      <w:r w:rsidRPr="005D642E">
        <w:rPr>
          <w:rtl/>
          <w:lang w:bidi="fa-IR"/>
        </w:rPr>
        <w:t xml:space="preserve"> عَلِيُّ بْنُ مُحَمَّدٍ وَمُحَمَّدُ بْنُ الْحَسَنِ </w:t>
      </w:r>
      <w:r w:rsidRPr="007C12DB">
        <w:rPr>
          <w:rStyle w:val="libFootnotenumChar"/>
          <w:rtl/>
        </w:rPr>
        <w:t>(6)</w:t>
      </w:r>
      <w:r w:rsidRPr="005D642E">
        <w:rPr>
          <w:rtl/>
          <w:lang w:bidi="fa-IR"/>
        </w:rPr>
        <w:t xml:space="preserve"> ، عَنْ سَهْلِ بْنِ زِيَادٍ ؛</w:t>
      </w:r>
    </w:p>
    <w:p w:rsidR="00581DA1" w:rsidRDefault="00581DA1" w:rsidP="00581DA1">
      <w:pPr>
        <w:pStyle w:val="libNormal"/>
        <w:rPr>
          <w:rtl/>
          <w:lang w:bidi="fa-IR"/>
        </w:rPr>
      </w:pPr>
      <w:r>
        <w:rPr>
          <w:rFonts w:hint="cs"/>
          <w:rtl/>
          <w:lang w:bidi="fa-IR"/>
        </w:rPr>
        <w:t xml:space="preserve">              </w:t>
      </w:r>
      <w:r w:rsidR="00E3253D" w:rsidRPr="005D642E">
        <w:rPr>
          <w:rtl/>
          <w:lang w:bidi="fa-IR"/>
        </w:rPr>
        <w:t>وَعَلِيُّ بْنُ إِبْرَاهِيمَ ، عَنْ أَبِيهِ ؛</w:t>
      </w:r>
    </w:p>
    <w:p w:rsidR="00E3253D" w:rsidRPr="005D642E" w:rsidRDefault="00581DA1" w:rsidP="00581DA1">
      <w:pPr>
        <w:pStyle w:val="libNormal"/>
        <w:rPr>
          <w:rtl/>
          <w:lang w:bidi="fa-IR"/>
        </w:rPr>
      </w:pPr>
      <w:r>
        <w:rPr>
          <w:rFonts w:hint="cs"/>
          <w:rtl/>
          <w:lang w:bidi="fa-IR"/>
        </w:rPr>
        <w:t xml:space="preserve">              </w:t>
      </w:r>
      <w:r w:rsidR="00E3253D" w:rsidRPr="005D642E">
        <w:rPr>
          <w:rtl/>
          <w:lang w:bidi="fa-IR"/>
        </w:rPr>
        <w:t>وَمُحَمَّدُ بْنُ يَحْيى ، عَنْ أَحْمَدَ بْنِ مُحَمَّدٍ جَمِيعاً ، عَنْ أَحْمَدَ بْنِ مُحَمَّدِ بْنِ أَبِي نَصْرٍ ، عَنْ عَبْدِ الْكَرِيمِ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الْوُضُوءِ</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قال ابن الأثير في </w:t>
      </w:r>
      <w:r w:rsidR="00E3253D" w:rsidRPr="002F4D34">
        <w:rPr>
          <w:rStyle w:val="libFootnoteBoldChar"/>
          <w:rtl/>
        </w:rPr>
        <w:t>النهاية</w:t>
      </w:r>
      <w:r w:rsidR="00E3253D" w:rsidRPr="005D642E">
        <w:rPr>
          <w:rtl/>
        </w:rPr>
        <w:t xml:space="preserve"> ، ج 4 ، ص 178 : « الكعبان : العظمان الناتئان عند مفصل الساق والقدم عن الجنبين ، وذهب قوم إلى أنّهما العظمان اللذان في ظهر القدم ، وهو مذهب الشيعة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وَصْفُ الكعب في ظهر القدم لا ينافي كونها المفصل ؛ لأنّه في ظهرها ومنتهاها ، وإنّما قال ذلك ردّاً على المخالفين ؛ حيث جعلوها في طرفي القدم وجانبيها »</w:t>
      </w:r>
      <w:r w:rsidR="00E3253D">
        <w:rPr>
          <w:rtl/>
        </w:rPr>
        <w:t>.</w:t>
      </w:r>
    </w:p>
    <w:p w:rsidR="00E3253D" w:rsidRPr="005D642E" w:rsidRDefault="00E3253D" w:rsidP="00E3253D">
      <w:pPr>
        <w:pStyle w:val="libFootnote0"/>
        <w:rPr>
          <w:rtl/>
          <w:lang w:bidi="fa-IR"/>
        </w:rPr>
      </w:pPr>
      <w:r w:rsidRPr="00B60612">
        <w:rPr>
          <w:rtl/>
        </w:rPr>
        <w:t xml:space="preserve">وللشيخ البهائي </w:t>
      </w:r>
      <w:r w:rsidRPr="00581DA1">
        <w:rPr>
          <w:rStyle w:val="libFootnoteAlaemChar"/>
          <w:rtl/>
        </w:rPr>
        <w:t>قدس‌سره</w:t>
      </w:r>
      <w:r w:rsidRPr="00B60612">
        <w:rPr>
          <w:rtl/>
        </w:rPr>
        <w:t xml:space="preserve"> هاهنا بحث مفصّل مفيد ، إن شئت فراجع : </w:t>
      </w:r>
      <w:r w:rsidRPr="002F4D34">
        <w:rPr>
          <w:rStyle w:val="libFootnoteBoldChar"/>
          <w:rtl/>
        </w:rPr>
        <w:t>الحبل المتين</w:t>
      </w:r>
      <w:r w:rsidRPr="00B60612">
        <w:rPr>
          <w:rtl/>
        </w:rPr>
        <w:t xml:space="preserve"> ، ص 18 </w:t>
      </w:r>
      <w:r w:rsidR="007642BC" w:rsidRPr="00B60612">
        <w:rPr>
          <w:rtl/>
        </w:rPr>
        <w:t>-</w:t>
      </w:r>
      <w:r w:rsidRPr="00B60612">
        <w:rPr>
          <w:rtl/>
        </w:rPr>
        <w:t xml:space="preserve"> 23.</w:t>
      </w:r>
    </w:p>
    <w:p w:rsidR="00E3253D" w:rsidRPr="005D642E" w:rsidRDefault="0042621E" w:rsidP="00581DA1">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75 ، ح 189 ؛ وص 80 ، ح 205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69 ، ح 210 ، بسند آخر عن الحسين بن سعيد. </w:t>
      </w:r>
      <w:r w:rsidR="00E3253D" w:rsidRPr="002F4D34">
        <w:rPr>
          <w:rStyle w:val="libFootnoteBoldChar"/>
          <w:rtl/>
        </w:rPr>
        <w:t>التهذيب</w:t>
      </w:r>
      <w:r w:rsidR="00E3253D" w:rsidRPr="005D642E">
        <w:rPr>
          <w:rtl/>
        </w:rPr>
        <w:t xml:space="preserve"> ، ج 1 ، ص 75 ، ضمن ح 190 ، بسنده عن ميسّر ، وتمام الرواية فيه : « ثمّ وضع يده على ظهر القدم ، ثمّ قال : هذا هو الكعب »</w:t>
      </w:r>
      <w:r w:rsidR="00E3253D">
        <w:rPr>
          <w:rtl/>
        </w:rPr>
        <w:t>.</w:t>
      </w:r>
      <w:r w:rsidR="00E3253D" w:rsidRPr="005D642E">
        <w:rPr>
          <w:rtl/>
        </w:rPr>
        <w:t xml:space="preserve"> </w:t>
      </w:r>
      <w:r w:rsidR="00E3253D" w:rsidRPr="002F4D34">
        <w:rPr>
          <w:rStyle w:val="libFootnoteBoldChar"/>
          <w:rtl/>
        </w:rPr>
        <w:t>تفسير العيّاشي</w:t>
      </w:r>
      <w:r w:rsidR="00E3253D" w:rsidRPr="005D642E">
        <w:rPr>
          <w:rtl/>
        </w:rPr>
        <w:t xml:space="preserve"> ، ج 1 ، ص 300 ، ح 55 ، عن ميسّر. </w:t>
      </w:r>
      <w:r w:rsidR="00E3253D" w:rsidRPr="002F4D34">
        <w:rPr>
          <w:rStyle w:val="libFootnoteBoldChar"/>
          <w:rtl/>
        </w:rPr>
        <w:t>الفقيه</w:t>
      </w:r>
      <w:r w:rsidR="00E3253D" w:rsidRPr="005D642E">
        <w:rPr>
          <w:rtl/>
        </w:rPr>
        <w:t xml:space="preserve"> ، ج 1 ، ص 38 ، صدر ح 77 ، وتمام الرواية فيه هكذا : « بإسناد منقطع يرويه أبو جعفر الأحول ذكره عمّن رواه ، عن أبي عبدالله </w:t>
      </w:r>
      <w:r w:rsidR="00E3253D" w:rsidRPr="00581DA1">
        <w:rPr>
          <w:rStyle w:val="libFootnoteAlaemChar"/>
          <w:rtl/>
        </w:rPr>
        <w:t>عليه‌السلام</w:t>
      </w:r>
      <w:r w:rsidR="00E3253D" w:rsidRPr="005D642E">
        <w:rPr>
          <w:rtl/>
        </w:rPr>
        <w:t xml:space="preserve"> قال : فرض الله الوضوء واحدة واحدة » </w:t>
      </w:r>
      <w:r w:rsidR="00581DA1">
        <w:rPr>
          <w:rFonts w:hint="cs"/>
          <w:rtl/>
        </w:rPr>
        <w:t>.</w:t>
      </w:r>
      <w:r w:rsidR="00E3253D" w:rsidRPr="002F4D34">
        <w:rPr>
          <w:rStyle w:val="libFootnoteBoldChar"/>
          <w:rtl/>
        </w:rPr>
        <w:t>الوافي</w:t>
      </w:r>
      <w:r w:rsidR="00E3253D" w:rsidRPr="005D642E">
        <w:rPr>
          <w:rtl/>
        </w:rPr>
        <w:t xml:space="preserve"> ، ج 6 ، ص 317 ، ح 4372 ؛ </w:t>
      </w:r>
      <w:r w:rsidR="00E3253D" w:rsidRPr="002F4D34">
        <w:rPr>
          <w:rStyle w:val="libFootnoteBoldChar"/>
          <w:rtl/>
        </w:rPr>
        <w:t>الوسائل</w:t>
      </w:r>
      <w:r w:rsidR="00E3253D" w:rsidRPr="005D642E">
        <w:rPr>
          <w:rtl/>
        </w:rPr>
        <w:t xml:space="preserve"> ، ج 1 ، ص 435 ، ذيل ح 1141.</w:t>
      </w:r>
      <w:r w:rsidR="00581DA1">
        <w:rPr>
          <w:rFonts w:hint="cs"/>
          <w:rtl/>
        </w:rPr>
        <w:t xml:space="preserve">  </w:t>
      </w:r>
      <w:r w:rsidRPr="0042621E">
        <w:rPr>
          <w:rStyle w:val="libFootnote0Char"/>
          <w:rtl/>
        </w:rPr>
        <w:t>(3).</w:t>
      </w:r>
      <w:r w:rsidR="00E3253D" w:rsidRPr="005D642E">
        <w:rPr>
          <w:rtl/>
        </w:rPr>
        <w:t xml:space="preserve"> في « جس » : « وملأ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معظم النسخ </w:t>
      </w:r>
      <w:r w:rsidR="000D749A" w:rsidRPr="000D749A">
        <w:rPr>
          <w:rStyle w:val="libFootnoteBoldChar"/>
          <w:rtl/>
        </w:rPr>
        <w:t>والوافي</w:t>
      </w:r>
      <w:r w:rsidR="00E3253D" w:rsidRPr="005D642E">
        <w:rPr>
          <w:rtl/>
        </w:rPr>
        <w:t>. وفي « بس » والمطبوع والوسائل : + « يده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6 ، ص 311 ، ح 4358 ؛ </w:t>
      </w:r>
      <w:r w:rsidR="00E3253D" w:rsidRPr="002F4D34">
        <w:rPr>
          <w:rStyle w:val="libFootnoteBoldChar"/>
          <w:rtl/>
        </w:rPr>
        <w:t>الوسائل</w:t>
      </w:r>
      <w:r w:rsidR="00E3253D" w:rsidRPr="005D642E">
        <w:rPr>
          <w:rtl/>
        </w:rPr>
        <w:t xml:space="preserve"> ، ج 1 ، ص 437 ، ح 1148.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w:t>
      </w:r>
      <w:r w:rsidR="00E3253D" w:rsidRPr="009E68BB">
        <w:rPr>
          <w:rtl/>
        </w:rPr>
        <w:t>والاستبصار</w:t>
      </w:r>
      <w:r w:rsidR="00E3253D" w:rsidRPr="005D642E">
        <w:rPr>
          <w:rtl/>
        </w:rPr>
        <w:t xml:space="preserve"> : « محمّد بن الحسن وغيره » بدل « عليّ بن محمّد ومحمّد بن الحسن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فَقَالَ : « مَا كَانَ وُضُوءُ عَلِيٍّ </w:t>
      </w:r>
      <w:r w:rsidRPr="00AC51C5">
        <w:rPr>
          <w:rStyle w:val="libAlaemChar"/>
          <w:rtl/>
        </w:rPr>
        <w:t>عليه‌السلام</w:t>
      </w:r>
      <w:r w:rsidRPr="005D642E">
        <w:rPr>
          <w:rtl/>
          <w:lang w:bidi="fa-IR"/>
        </w:rPr>
        <w:t xml:space="preserve"> </w:t>
      </w:r>
      <w:r w:rsidRPr="007C12DB">
        <w:rPr>
          <w:rStyle w:val="libFootnotenumChar"/>
          <w:rtl/>
        </w:rPr>
        <w:t>(1)</w:t>
      </w:r>
      <w:r w:rsidR="009E68BB">
        <w:rPr>
          <w:rtl/>
          <w:lang w:bidi="fa-IR"/>
        </w:rPr>
        <w:t xml:space="preserve"> إِل</w:t>
      </w:r>
      <w:r w:rsidR="009E68BB">
        <w:rPr>
          <w:rFonts w:hint="cs"/>
          <w:rtl/>
          <w:lang w:bidi="fa-IR"/>
        </w:rPr>
        <w:t>َّ</w:t>
      </w:r>
      <w:r w:rsidR="009E68BB">
        <w:rPr>
          <w:rtl/>
          <w:lang w:bidi="fa-IR"/>
        </w:rPr>
        <w:t>ا</w:t>
      </w:r>
      <w:r w:rsidRPr="005D642E">
        <w:rPr>
          <w:rtl/>
          <w:lang w:bidi="fa-IR"/>
        </w:rPr>
        <w:t xml:space="preserve"> مَرَّةً مَرَّةً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tbl>
      <w:tblPr>
        <w:bidiVisual/>
        <w:tblW w:w="0" w:type="auto"/>
        <w:tblLook w:val="01E0" w:firstRow="1" w:lastRow="1" w:firstColumn="1" w:lastColumn="1" w:noHBand="0" w:noVBand="0"/>
      </w:tblPr>
      <w:tblGrid>
        <w:gridCol w:w="459"/>
        <w:gridCol w:w="7128"/>
      </w:tblGrid>
      <w:tr w:rsidR="00E3253D" w:rsidTr="00164E6C">
        <w:tc>
          <w:tcPr>
            <w:tcW w:w="459" w:type="dxa"/>
            <w:shd w:val="clear" w:color="auto" w:fill="auto"/>
          </w:tcPr>
          <w:p w:rsidR="00E3253D" w:rsidRDefault="00E3253D" w:rsidP="00164E6C">
            <w:pPr>
              <w:rPr>
                <w:rtl/>
                <w:lang w:bidi="fa-IR"/>
              </w:rPr>
            </w:pPr>
          </w:p>
        </w:tc>
        <w:tc>
          <w:tcPr>
            <w:tcW w:w="7128" w:type="dxa"/>
            <w:shd w:val="clear" w:color="auto" w:fill="auto"/>
          </w:tcPr>
          <w:p w:rsidR="00E3253D" w:rsidRPr="009E68BB" w:rsidRDefault="00E3253D" w:rsidP="00164E6C">
            <w:pPr>
              <w:pStyle w:val="libNormal0"/>
              <w:rPr>
                <w:rStyle w:val="libNormalChar"/>
                <w:rtl/>
              </w:rPr>
            </w:pPr>
            <w:r w:rsidRPr="005D642E">
              <w:rPr>
                <w:rtl/>
                <w:lang w:bidi="fa-IR"/>
              </w:rPr>
              <w:t xml:space="preserve">هذَا دَلِيلٌ عَلى </w:t>
            </w:r>
            <w:r w:rsidRPr="007C12DB">
              <w:rPr>
                <w:rStyle w:val="libFootnotenumChar"/>
                <w:rtl/>
              </w:rPr>
              <w:t>(3)</w:t>
            </w:r>
            <w:r w:rsidRPr="005D642E">
              <w:rPr>
                <w:rtl/>
                <w:lang w:bidi="fa-IR"/>
              </w:rPr>
              <w:t xml:space="preserve"> أَنَّ الْوُضُوءَ إِنَّمَا هُوَ مَرَّةٌ </w:t>
            </w:r>
            <w:r w:rsidRPr="007C12DB">
              <w:rPr>
                <w:rStyle w:val="libFootnotenumChar"/>
                <w:rtl/>
              </w:rPr>
              <w:t>(4)</w:t>
            </w:r>
            <w:r w:rsidRPr="005D642E">
              <w:rPr>
                <w:rtl/>
                <w:lang w:bidi="fa-IR"/>
              </w:rPr>
              <w:t xml:space="preserve"> مَرَّةٌ ؛ لِأَنَّهُ </w:t>
            </w:r>
            <w:r w:rsidR="0042621E" w:rsidRPr="0042621E">
              <w:rPr>
                <w:rStyle w:val="libAlaemChar"/>
                <w:rtl/>
              </w:rPr>
              <w:t>صلى‌الله‌عليه‌وآله</w:t>
            </w:r>
            <w:r w:rsidRPr="005D642E">
              <w:rPr>
                <w:rtl/>
                <w:lang w:bidi="fa-IR"/>
              </w:rPr>
              <w:t xml:space="preserve"> كَانَ </w:t>
            </w:r>
            <w:r w:rsidRPr="007C12DB">
              <w:rPr>
                <w:rStyle w:val="libFootnotenumChar"/>
                <w:rtl/>
              </w:rPr>
              <w:t>(5)</w:t>
            </w:r>
            <w:r w:rsidRPr="005D642E">
              <w:rPr>
                <w:rtl/>
                <w:lang w:bidi="fa-IR"/>
              </w:rPr>
              <w:t xml:space="preserve"> إِذَا وَرَدَ </w:t>
            </w:r>
            <w:r w:rsidRPr="007C12DB">
              <w:rPr>
                <w:rStyle w:val="libFootnotenumChar"/>
                <w:rtl/>
              </w:rPr>
              <w:t>(6)</w:t>
            </w:r>
            <w:r w:rsidRPr="005D642E">
              <w:rPr>
                <w:rtl/>
                <w:lang w:bidi="fa-IR"/>
              </w:rPr>
              <w:t xml:space="preserve"> عَلَيْهِ أَمْرَانِ كِلَاهُمَا لِلّهِ طَاعَةٌ ، أَخَذَ بِأَحْوَطِهِمَا ، وَأَشَدِّهِمَا عَلى بَدَنِهِ. </w:t>
            </w:r>
            <w:r w:rsidRPr="007C12DB">
              <w:rPr>
                <w:rStyle w:val="libFootnotenumChar"/>
                <w:rtl/>
              </w:rPr>
              <w:t>(7)</w:t>
            </w:r>
          </w:p>
          <w:p w:rsidR="00E3253D" w:rsidRPr="009E68BB" w:rsidRDefault="00E3253D" w:rsidP="00164E6C">
            <w:pPr>
              <w:pStyle w:val="libNormal0"/>
              <w:rPr>
                <w:rStyle w:val="libNormalChar"/>
                <w:rtl/>
              </w:rPr>
            </w:pPr>
            <w:r w:rsidRPr="005D642E">
              <w:rPr>
                <w:rtl/>
                <w:lang w:bidi="fa-IR"/>
              </w:rPr>
              <w:t xml:space="preserve">وَإِنَّ الَّذِي جَاءَ عَنْهُمْ </w:t>
            </w:r>
            <w:r w:rsidRPr="00AC51C5">
              <w:rPr>
                <w:rStyle w:val="libAlaemChar"/>
                <w:rtl/>
              </w:rPr>
              <w:t>عليهم‌السلام</w:t>
            </w:r>
            <w:r w:rsidRPr="005D642E">
              <w:rPr>
                <w:rtl/>
                <w:lang w:bidi="fa-IR"/>
              </w:rPr>
              <w:t xml:space="preserve"> أَنَّهُ قَالَ : « الْوُضُوءُ مَرَّتَانِ » إِنَّهُ </w:t>
            </w:r>
            <w:r w:rsidRPr="007C12DB">
              <w:rPr>
                <w:rStyle w:val="libFootnotenumChar"/>
                <w:rtl/>
              </w:rPr>
              <w:t>(8)</w:t>
            </w:r>
            <w:r w:rsidRPr="005D642E">
              <w:rPr>
                <w:rtl/>
                <w:lang w:bidi="fa-IR"/>
              </w:rPr>
              <w:t xml:space="preserve"> هُوَ لِمَنْ </w:t>
            </w:r>
            <w:r w:rsidRPr="007C12DB">
              <w:rPr>
                <w:rStyle w:val="libFootnotenumChar"/>
                <w:rtl/>
              </w:rPr>
              <w:t>(9)</w:t>
            </w:r>
            <w:r w:rsidRPr="005D642E">
              <w:rPr>
                <w:rtl/>
                <w:lang w:bidi="fa-IR"/>
              </w:rPr>
              <w:t xml:space="preserve"> لَمْ يُقْنِعْهُ مَرَّةٌ وَاسْتَزَادَهُ ، فَقَالَ : « مَرَّتَانِ » ثُمَّ قَالَ : « وَمَنْ زَادَ عَلى مَرَّتَيْنِ لَم</w:t>
            </w:r>
            <w:r>
              <w:rPr>
                <w:rtl/>
                <w:lang w:bidi="fa-IR"/>
              </w:rPr>
              <w:t>ْ يُؤْجَرْ ».</w:t>
            </w:r>
            <w:r w:rsidRPr="007C12DB">
              <w:rPr>
                <w:rStyle w:val="libFootnotenumChar"/>
                <w:rtl/>
              </w:rPr>
              <w:t>(10)</w:t>
            </w:r>
          </w:p>
          <w:p w:rsidR="00E3253D" w:rsidRDefault="00E3253D" w:rsidP="00164E6C">
            <w:pPr>
              <w:pStyle w:val="libNormal0"/>
              <w:rPr>
                <w:rtl/>
                <w:lang w:bidi="fa-IR"/>
              </w:rPr>
            </w:pPr>
            <w:r w:rsidRPr="005D642E">
              <w:rPr>
                <w:rtl/>
                <w:lang w:bidi="fa-IR"/>
              </w:rPr>
              <w:t xml:space="preserve">وَهُوَ </w:t>
            </w:r>
            <w:r w:rsidRPr="007C12DB">
              <w:rPr>
                <w:rStyle w:val="libFootnotenumChar"/>
                <w:rtl/>
              </w:rPr>
              <w:t>(11)</w:t>
            </w:r>
            <w:r w:rsidRPr="005D642E">
              <w:rPr>
                <w:rtl/>
                <w:lang w:bidi="fa-IR"/>
              </w:rPr>
              <w:t xml:space="preserve"> أَقْصى </w:t>
            </w:r>
            <w:r w:rsidRPr="007C12DB">
              <w:rPr>
                <w:rStyle w:val="libFootnotenumChar"/>
                <w:rtl/>
              </w:rPr>
              <w:t>(12)</w:t>
            </w:r>
            <w:r w:rsidRPr="005D642E">
              <w:rPr>
                <w:rtl/>
                <w:lang w:bidi="fa-IR"/>
              </w:rPr>
              <w:t xml:space="preserve"> غَايَةِ الْحَدِّ فِي الْوُضُوءِ الَّذِي مَنْ تَجَاوَزَهُ أَثِمَ ، وَلَمْ يَكُنْ لَهُ وُضُوءٌ ، وَكَانَ كَمَنْ </w:t>
            </w:r>
            <w:r w:rsidRPr="007C12DB">
              <w:rPr>
                <w:rStyle w:val="libFootnotenumChar"/>
                <w:rtl/>
              </w:rPr>
              <w:t>(13)</w:t>
            </w:r>
            <w:r w:rsidRPr="005D642E">
              <w:rPr>
                <w:rtl/>
                <w:lang w:bidi="fa-IR"/>
              </w:rPr>
              <w:t xml:space="preserve"> صَلَّى الظُّهْرَ خَمْسَ رَكَعَاتٍ ، وَلَوْ لَمْ يُطْلِقْ </w:t>
            </w:r>
            <w:r w:rsidRPr="00AC51C5">
              <w:rPr>
                <w:rStyle w:val="libAlaemChar"/>
                <w:rtl/>
              </w:rPr>
              <w:t>عليه‌السلام</w:t>
            </w:r>
            <w:r w:rsidRPr="005D642E">
              <w:rPr>
                <w:rtl/>
                <w:lang w:bidi="fa-IR"/>
              </w:rPr>
              <w:t xml:space="preserve"> فِي الْمَرّ</w:t>
            </w:r>
            <w:r>
              <w:rPr>
                <w:rtl/>
                <w:lang w:bidi="fa-IR"/>
              </w:rPr>
              <w:t>َتَيْنِ ، لَكَانَ سَبِيلُهُمَا‌</w:t>
            </w:r>
          </w:p>
        </w:tc>
      </w:tr>
    </w:tbl>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الفقيه </w:t>
      </w:r>
      <w:r w:rsidR="00E3253D" w:rsidRPr="009E68BB">
        <w:rPr>
          <w:rtl/>
        </w:rPr>
        <w:t>والاستبصار</w:t>
      </w:r>
      <w:r w:rsidR="00E3253D" w:rsidRPr="005D642E">
        <w:rPr>
          <w:rtl/>
        </w:rPr>
        <w:t xml:space="preserve"> : « رسول الله </w:t>
      </w:r>
      <w:r w:rsidRPr="009E68BB">
        <w:rPr>
          <w:rStyle w:val="libFootnoteAlaemChar"/>
          <w:rtl/>
        </w:rPr>
        <w:t>صلى‌الله‌عليه‌وآله</w:t>
      </w:r>
      <w:r w:rsidR="00E3253D" w:rsidRPr="005D642E">
        <w:rPr>
          <w:rtl/>
        </w:rPr>
        <w:t xml:space="preserve"> » بدل « عليّ </w:t>
      </w:r>
      <w:r w:rsidR="00E3253D" w:rsidRPr="009E68BB">
        <w:rPr>
          <w:rStyle w:val="libFootnoteAlaemChar"/>
          <w:rtl/>
        </w:rPr>
        <w:t>عليه‌السلام</w:t>
      </w:r>
      <w:r w:rsidR="00E3253D" w:rsidRPr="005D642E">
        <w:rPr>
          <w:rtl/>
        </w:rPr>
        <w:t xml:space="preserve"> »</w:t>
      </w:r>
      <w:r w:rsidR="00E3253D">
        <w:rPr>
          <w:rtl/>
        </w:rPr>
        <w:t>.</w:t>
      </w:r>
    </w:p>
    <w:p w:rsidR="00E3253D"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80 ، ح 207 ؛ </w:t>
      </w:r>
      <w:r w:rsidR="00E3253D" w:rsidRPr="00E678B5">
        <w:rPr>
          <w:rStyle w:val="libFootnoteBoldChar"/>
          <w:rtl/>
        </w:rPr>
        <w:t>والاستبصار</w:t>
      </w:r>
      <w:r w:rsidR="00E3253D" w:rsidRPr="005D642E">
        <w:rPr>
          <w:rtl/>
        </w:rPr>
        <w:t xml:space="preserve"> ، ج 1 ، ص 70 ، ح 212 ، بسندهما عن الكليني. </w:t>
      </w:r>
      <w:r w:rsidR="00E3253D" w:rsidRPr="002F4D34">
        <w:rPr>
          <w:rStyle w:val="libFootnoteBoldChar"/>
          <w:rtl/>
        </w:rPr>
        <w:t>الخصال</w:t>
      </w:r>
      <w:r w:rsidR="00E3253D" w:rsidRPr="005D642E">
        <w:rPr>
          <w:rtl/>
        </w:rPr>
        <w:t xml:space="preserve"> ، ص 28 ، باب الواحد ، ح 101 ، بسند آخر عن ابن عمر ، وفيه : «</w:t>
      </w:r>
      <w:r w:rsidR="00E3253D">
        <w:rPr>
          <w:rtl/>
        </w:rPr>
        <w:t xml:space="preserve"> ..</w:t>
      </w:r>
      <w:r w:rsidR="00E3253D" w:rsidRPr="005D642E">
        <w:rPr>
          <w:rtl/>
        </w:rPr>
        <w:t xml:space="preserve">. عن ابن عمر أنّ رسول الله </w:t>
      </w:r>
      <w:r w:rsidRPr="009E68BB">
        <w:rPr>
          <w:rStyle w:val="libFootnoteAlaemChar"/>
          <w:rtl/>
        </w:rPr>
        <w:t>صلى‌الله‌عليه‌وآله</w:t>
      </w:r>
      <w:r w:rsidR="00E3253D" w:rsidRPr="005D642E">
        <w:rPr>
          <w:rtl/>
        </w:rPr>
        <w:t xml:space="preserve"> توضّأ مرّة مرّة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38 ، ح 76 ، مرسلاً ، مع اختلاف يسير وزيادة في آخره </w:t>
      </w:r>
      <w:r w:rsidR="009E68BB">
        <w:rPr>
          <w:rFonts w:hint="cs"/>
          <w:rtl/>
        </w:rPr>
        <w:t>.</w:t>
      </w:r>
      <w:r w:rsidR="00E3253D" w:rsidRPr="002F4D34">
        <w:rPr>
          <w:rStyle w:val="libFootnoteBoldChar"/>
          <w:rtl/>
        </w:rPr>
        <w:t>الوافي</w:t>
      </w:r>
      <w:r w:rsidR="00E3253D" w:rsidRPr="005D642E">
        <w:rPr>
          <w:rtl/>
        </w:rPr>
        <w:t xml:space="preserve"> ، ج 6 ، ص 318 ، ح 4374 ؛ </w:t>
      </w:r>
      <w:r w:rsidR="00E3253D" w:rsidRPr="002F4D34">
        <w:rPr>
          <w:rStyle w:val="libFootnoteBoldChar"/>
          <w:rtl/>
        </w:rPr>
        <w:t>الوسائل</w:t>
      </w:r>
      <w:r w:rsidR="00E3253D" w:rsidRPr="005D642E">
        <w:rPr>
          <w:rtl/>
        </w:rPr>
        <w:t xml:space="preserve"> ، ج 1 ، ص 437 ، ح 1147.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ى ، بث ، بس ، بف ، جس » :</w:t>
      </w:r>
      <w:r w:rsidR="00E3253D">
        <w:rPr>
          <w:rtl/>
        </w:rPr>
        <w:t xml:space="preserve"> </w:t>
      </w:r>
      <w:r w:rsidR="007642BC">
        <w:rPr>
          <w:rtl/>
        </w:rPr>
        <w:t>-</w:t>
      </w:r>
      <w:r w:rsidR="00E3253D">
        <w:rPr>
          <w:rtl/>
        </w:rPr>
        <w:t xml:space="preserve"> </w:t>
      </w:r>
      <w:r w:rsidR="00E3253D" w:rsidRPr="005D642E">
        <w:rPr>
          <w:rtl/>
        </w:rPr>
        <w:t>« على »</w:t>
      </w:r>
      <w:r w:rsidR="00E3253D">
        <w:rPr>
          <w:rtl/>
        </w:rPr>
        <w:t>.</w:t>
      </w:r>
    </w:p>
    <w:tbl>
      <w:tblPr>
        <w:tblStyle w:val="TableGrid"/>
        <w:bidiVisual/>
        <w:tblW w:w="0" w:type="auto"/>
        <w:tblLook w:val="04A0" w:firstRow="1" w:lastRow="0" w:firstColumn="1" w:lastColumn="0" w:noHBand="0" w:noVBand="1"/>
      </w:tblPr>
      <w:tblGrid>
        <w:gridCol w:w="4006"/>
        <w:gridCol w:w="4006"/>
      </w:tblGrid>
      <w:tr w:rsidR="009E68BB" w:rsidTr="009E68BB">
        <w:tc>
          <w:tcPr>
            <w:tcW w:w="4006" w:type="dxa"/>
          </w:tcPr>
          <w:p w:rsidR="009E68BB" w:rsidRDefault="009E68BB" w:rsidP="00E3253D">
            <w:pPr>
              <w:pStyle w:val="libFootnote0"/>
              <w:rPr>
                <w:rStyle w:val="libFootnote0Char"/>
                <w:rtl/>
              </w:rPr>
            </w:pPr>
            <w:r w:rsidRPr="0042621E">
              <w:rPr>
                <w:rStyle w:val="libFootnote0Char"/>
                <w:rtl/>
              </w:rPr>
              <w:t>(4).</w:t>
            </w:r>
            <w:r w:rsidRPr="005D642E">
              <w:rPr>
                <w:rtl/>
              </w:rPr>
              <w:t xml:space="preserve"> في « غ ، جس » :</w:t>
            </w:r>
            <w:r>
              <w:rPr>
                <w:rtl/>
              </w:rPr>
              <w:t xml:space="preserve"> - </w:t>
            </w:r>
            <w:r w:rsidRPr="005D642E">
              <w:rPr>
                <w:rtl/>
              </w:rPr>
              <w:t>« مرّة »</w:t>
            </w:r>
            <w:r>
              <w:rPr>
                <w:rtl/>
              </w:rPr>
              <w:t>.</w:t>
            </w:r>
          </w:p>
        </w:tc>
        <w:tc>
          <w:tcPr>
            <w:tcW w:w="4006" w:type="dxa"/>
          </w:tcPr>
          <w:p w:rsidR="009E68BB" w:rsidRDefault="009E68BB" w:rsidP="00E3253D">
            <w:pPr>
              <w:pStyle w:val="libFootnote0"/>
              <w:rPr>
                <w:rStyle w:val="libFootnote0Char"/>
                <w:rtl/>
              </w:rPr>
            </w:pPr>
            <w:r w:rsidRPr="0042621E">
              <w:rPr>
                <w:rStyle w:val="libFootnote0Char"/>
                <w:rtl/>
              </w:rPr>
              <w:t>(5).</w:t>
            </w:r>
            <w:r w:rsidRPr="005D642E">
              <w:rPr>
                <w:rtl/>
              </w:rPr>
              <w:t xml:space="preserve"> في « جس » :</w:t>
            </w:r>
            <w:r>
              <w:rPr>
                <w:rtl/>
              </w:rPr>
              <w:t xml:space="preserve"> - </w:t>
            </w:r>
            <w:r w:rsidRPr="005D642E">
              <w:rPr>
                <w:rtl/>
              </w:rPr>
              <w:t>« كان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جن » : « إذا أورِدَ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الكافي</w:t>
      </w:r>
      <w:r w:rsidR="00E3253D" w:rsidRPr="005D642E">
        <w:rPr>
          <w:rtl/>
        </w:rPr>
        <w:t xml:space="preserve"> ، كتاب الروضة ، ضمن ح 14915 ؛ </w:t>
      </w:r>
      <w:r w:rsidR="009E68BB" w:rsidRPr="009E68BB">
        <w:rPr>
          <w:rStyle w:val="libFootnoteBoldChar"/>
          <w:rtl/>
        </w:rPr>
        <w:t>و</w:t>
      </w:r>
      <w:r w:rsidR="009E68BB" w:rsidRPr="0035521A">
        <w:rPr>
          <w:rStyle w:val="libFootnoteBoldChar"/>
          <w:rtl/>
        </w:rPr>
        <w:t>الأمالي للطوسي</w:t>
      </w:r>
      <w:r w:rsidR="00E3253D" w:rsidRPr="005D642E">
        <w:rPr>
          <w:rtl/>
        </w:rPr>
        <w:t xml:space="preserve"> ، ص 692 ، المجلس 39 ، ضمن ح 13 ، بسندهما عن أبي جعفر </w:t>
      </w:r>
      <w:r w:rsidR="00E3253D" w:rsidRPr="009E68BB">
        <w:rPr>
          <w:rStyle w:val="libFootnoteAlaemChar"/>
          <w:rtl/>
        </w:rPr>
        <w:t>عليه‌السلام</w:t>
      </w:r>
      <w:r w:rsidR="00E3253D" w:rsidRPr="005D642E">
        <w:rPr>
          <w:rtl/>
        </w:rPr>
        <w:t xml:space="preserve">. </w:t>
      </w:r>
      <w:r w:rsidR="00E3253D" w:rsidRPr="002F4D34">
        <w:rPr>
          <w:rStyle w:val="libFootnoteBoldChar"/>
          <w:rtl/>
        </w:rPr>
        <w:t>الكافي</w:t>
      </w:r>
      <w:r w:rsidR="00E3253D" w:rsidRPr="005D642E">
        <w:rPr>
          <w:rtl/>
        </w:rPr>
        <w:t xml:space="preserve"> ، نفس الكتاب ، ضمن ح 14988 ، بسنده عن أبي عبدالله </w:t>
      </w:r>
      <w:r w:rsidR="00E3253D" w:rsidRPr="009E68BB">
        <w:rPr>
          <w:rStyle w:val="libFootnoteAlaemChar"/>
          <w:rtl/>
        </w:rPr>
        <w:t>عليه‌السلام</w:t>
      </w:r>
      <w:r w:rsidR="00E3253D" w:rsidRPr="005D642E">
        <w:rPr>
          <w:rtl/>
        </w:rPr>
        <w:t xml:space="preserve"> ؛ </w:t>
      </w:r>
      <w:r w:rsidR="000D749A" w:rsidRPr="009E68BB">
        <w:rPr>
          <w:rtl/>
        </w:rPr>
        <w:t>الأمالي للصدوق</w:t>
      </w:r>
      <w:r w:rsidR="00E3253D" w:rsidRPr="005D642E">
        <w:rPr>
          <w:rtl/>
        </w:rPr>
        <w:t xml:space="preserve"> ، ص 281 المجلس 47 ، ضمن ح 14 ، بسنده عن أبي جعفر </w:t>
      </w:r>
      <w:r w:rsidR="00E3253D" w:rsidRPr="009E68BB">
        <w:rPr>
          <w:rStyle w:val="libFootnoteAlaemChar"/>
          <w:rtl/>
        </w:rPr>
        <w:t>عليه‌السلام</w:t>
      </w:r>
      <w:r w:rsidR="00E3253D" w:rsidRPr="005D642E">
        <w:rPr>
          <w:rtl/>
        </w:rPr>
        <w:t xml:space="preserve"> ، والأخيران في شأن عليّ </w:t>
      </w:r>
      <w:r w:rsidR="00E3253D" w:rsidRPr="009E68BB">
        <w:rPr>
          <w:rStyle w:val="libFootnoteAlaemChar"/>
          <w:rtl/>
        </w:rPr>
        <w:t>عليه‌السلام</w:t>
      </w:r>
      <w:r w:rsidR="00E3253D" w:rsidRPr="005D642E">
        <w:rPr>
          <w:rtl/>
        </w:rPr>
        <w:t xml:space="preserve"> ، وفي كلّها مع اختلاف يسير </w:t>
      </w:r>
      <w:r w:rsidR="009E68BB">
        <w:rPr>
          <w:rFonts w:hint="cs"/>
          <w:rtl/>
        </w:rPr>
        <w:t>.</w:t>
      </w:r>
      <w:r w:rsidR="00E3253D" w:rsidRPr="002F4D34">
        <w:rPr>
          <w:rStyle w:val="libFootnoteBoldChar"/>
          <w:rtl/>
        </w:rPr>
        <w:t>الوسائل</w:t>
      </w:r>
      <w:r w:rsidR="00E3253D" w:rsidRPr="005D642E">
        <w:rPr>
          <w:rtl/>
        </w:rPr>
        <w:t xml:space="preserve"> ، ج 1 ، ص 441 ، ذيل ح 1166.</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بح ، بخ » : « إنّما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غ ، بح ، بخ ، بس ، جح ، جس » :</w:t>
      </w:r>
      <w:r w:rsidR="00E3253D">
        <w:rPr>
          <w:rtl/>
        </w:rPr>
        <w:t xml:space="preserve"> </w:t>
      </w:r>
      <w:r w:rsidR="007642BC">
        <w:rPr>
          <w:rtl/>
        </w:rPr>
        <w:t>-</w:t>
      </w:r>
      <w:r w:rsidR="00E3253D">
        <w:rPr>
          <w:rtl/>
        </w:rPr>
        <w:t xml:space="preserve"> </w:t>
      </w:r>
      <w:r w:rsidR="00E3253D" w:rsidRPr="005D642E">
        <w:rPr>
          <w:rtl/>
        </w:rPr>
        <w:t>« لمن »</w:t>
      </w:r>
      <w:r w:rsidR="00E3253D">
        <w:rPr>
          <w:rtl/>
        </w:rPr>
        <w:t>.</w:t>
      </w:r>
      <w:r w:rsidR="00E3253D" w:rsidRPr="005D642E">
        <w:rPr>
          <w:rtl/>
        </w:rPr>
        <w:t xml:space="preserve"> وفي الوسائل </w:t>
      </w:r>
      <w:r w:rsidR="009E68BB">
        <w:rPr>
          <w:rtl/>
        </w:rPr>
        <w:t>: « هو أنّه » بدل « إنّه هو لمن</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80 ، صدر ح 210 ؛ </w:t>
      </w:r>
      <w:r w:rsidR="00E3253D" w:rsidRPr="00E678B5">
        <w:rPr>
          <w:rStyle w:val="libFootnoteBoldChar"/>
          <w:rtl/>
        </w:rPr>
        <w:t>والاستبصار</w:t>
      </w:r>
      <w:r w:rsidR="00E3253D" w:rsidRPr="005D642E">
        <w:rPr>
          <w:rtl/>
        </w:rPr>
        <w:t xml:space="preserve"> ، ج 1 ، ص 70 ، صدر ح 215 ، بسندهما عن أبي عبدالله </w:t>
      </w:r>
      <w:r w:rsidR="00E3253D" w:rsidRPr="009E68BB">
        <w:rPr>
          <w:rStyle w:val="libFootnoteAlaemChar"/>
          <w:rtl/>
        </w:rPr>
        <w:t>عليه‌السلام</w:t>
      </w:r>
      <w:r w:rsidR="00E3253D" w:rsidRPr="005D642E">
        <w:rPr>
          <w:rtl/>
        </w:rPr>
        <w:t xml:space="preserve"> ، وفيهما : « الوضوء مثنى مثنى ، من زاد لم يؤجر عليه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39 ، ذيل ح 80 ، مرسلاً ، وتمام الرواية فيه : « إنّ من زاد على مرّتين لم يؤجر »</w:t>
      </w:r>
      <w:r w:rsidR="00E3253D">
        <w:rPr>
          <w:rtl/>
        </w:rPr>
        <w:t>.</w:t>
      </w:r>
      <w:r w:rsidR="00E3253D" w:rsidRPr="005D642E">
        <w:rPr>
          <w:rtl/>
        </w:rPr>
        <w:t xml:space="preserve"> راجع : </w:t>
      </w:r>
      <w:r w:rsidR="000D749A" w:rsidRPr="000D749A">
        <w:rPr>
          <w:rStyle w:val="libFootnoteBoldChar"/>
          <w:rtl/>
        </w:rPr>
        <w:t>الأمالي للصدوق</w:t>
      </w:r>
      <w:r w:rsidR="00E3253D" w:rsidRPr="005D642E">
        <w:rPr>
          <w:rtl/>
        </w:rPr>
        <w:t xml:space="preserve"> ، ص 645 ، المجلس 93 ؛ </w:t>
      </w:r>
      <w:r w:rsidR="009E68BB" w:rsidRPr="009E68BB">
        <w:rPr>
          <w:rStyle w:val="libFootnoteBoldChar"/>
          <w:rtl/>
        </w:rPr>
        <w:t>والخصال</w:t>
      </w:r>
      <w:r w:rsidR="00E3253D" w:rsidRPr="002F4D34">
        <w:rPr>
          <w:rStyle w:val="libFootnoteBoldChar"/>
          <w:rtl/>
        </w:rPr>
        <w:t xml:space="preserve"> </w:t>
      </w:r>
      <w:r w:rsidR="00E3253D" w:rsidRPr="005D642E">
        <w:rPr>
          <w:rtl/>
        </w:rPr>
        <w:t xml:space="preserve">، ص 603 ، أبواب الثمانين ومافوقه ، ح 9 ؛ </w:t>
      </w:r>
      <w:r w:rsidR="009E68BB" w:rsidRPr="009E68BB">
        <w:rPr>
          <w:rStyle w:val="libFootnoteBoldChar"/>
          <w:rtl/>
        </w:rPr>
        <w:t>وتحف العقول</w:t>
      </w:r>
      <w:r w:rsidR="00E3253D" w:rsidRPr="002F4D34">
        <w:rPr>
          <w:rStyle w:val="libFootnoteBoldChar"/>
          <w:rtl/>
        </w:rPr>
        <w:t xml:space="preserve"> </w:t>
      </w:r>
      <w:r w:rsidR="00E3253D" w:rsidRPr="005D642E">
        <w:rPr>
          <w:rtl/>
        </w:rPr>
        <w:t xml:space="preserve">، ج 1 ، ص 41 ، ح 83 ؛ وص 47 ، ذيل ح 92 ؛ </w:t>
      </w:r>
      <w:r w:rsidR="009E68BB" w:rsidRPr="009E68BB">
        <w:rPr>
          <w:rStyle w:val="libFootnoteBoldChar"/>
          <w:rtl/>
        </w:rPr>
        <w:t>وتفسير العيّاشي</w:t>
      </w:r>
      <w:r w:rsidR="00E3253D" w:rsidRPr="005D642E">
        <w:rPr>
          <w:rtl/>
        </w:rPr>
        <w:t xml:space="preserve"> ، ج 1 ، ص 301 ، ح 58 ؛ </w:t>
      </w:r>
      <w:r w:rsidR="00E3253D" w:rsidRPr="003F0267">
        <w:rPr>
          <w:rtl/>
        </w:rPr>
        <w:t>و</w:t>
      </w:r>
      <w:r w:rsidR="00E3253D" w:rsidRPr="002F4D34">
        <w:rPr>
          <w:rStyle w:val="libFootnoteBoldChar"/>
          <w:rtl/>
        </w:rPr>
        <w:t xml:space="preserve">تحف العقول </w:t>
      </w:r>
      <w:r w:rsidR="00E3253D" w:rsidRPr="005D642E">
        <w:rPr>
          <w:rtl/>
        </w:rPr>
        <w:t xml:space="preserve">، ص 415 </w:t>
      </w:r>
      <w:r w:rsidR="00E3253D" w:rsidRPr="002F4D34">
        <w:rPr>
          <w:rStyle w:val="libFootnoteBoldChar"/>
          <w:rtl/>
        </w:rPr>
        <w:t>الوسائل</w:t>
      </w:r>
      <w:r w:rsidR="00E3253D" w:rsidRPr="005D642E">
        <w:rPr>
          <w:rtl/>
        </w:rPr>
        <w:t xml:space="preserve"> ، ج 1 ، ص 442 ، ح 1170.</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أكثر النسخ. وفي « ظ » والمطبوع : « وهذا »</w:t>
      </w:r>
      <w:r w:rsidR="00E3253D">
        <w:rPr>
          <w:rtl/>
        </w:rPr>
        <w:t>.</w:t>
      </w:r>
      <w:r w:rsidR="00E3253D" w:rsidRPr="005D642E">
        <w:rPr>
          <w:rtl/>
        </w:rPr>
        <w:t xml:space="preserve"> وفي « جس » : « وهي »</w:t>
      </w:r>
      <w:r w:rsidR="00E3253D">
        <w:rPr>
          <w:rtl/>
        </w:rPr>
        <w:t>.</w:t>
      </w:r>
    </w:p>
    <w:tbl>
      <w:tblPr>
        <w:tblStyle w:val="TableGrid"/>
        <w:bidiVisual/>
        <w:tblW w:w="0" w:type="auto"/>
        <w:tblLook w:val="04A0" w:firstRow="1" w:lastRow="0" w:firstColumn="1" w:lastColumn="0" w:noHBand="0" w:noVBand="1"/>
      </w:tblPr>
      <w:tblGrid>
        <w:gridCol w:w="4006"/>
        <w:gridCol w:w="4006"/>
      </w:tblGrid>
      <w:tr w:rsidR="009E68BB" w:rsidTr="009E68BB">
        <w:tc>
          <w:tcPr>
            <w:tcW w:w="4006" w:type="dxa"/>
          </w:tcPr>
          <w:p w:rsidR="009E68BB" w:rsidRDefault="009E68BB" w:rsidP="00E3253D">
            <w:pPr>
              <w:pStyle w:val="libFootnote0"/>
              <w:rPr>
                <w:rStyle w:val="libFootnote0Char"/>
                <w:rtl/>
              </w:rPr>
            </w:pPr>
            <w:r w:rsidRPr="0042621E">
              <w:rPr>
                <w:rStyle w:val="libFootnote0Char"/>
                <w:rtl/>
              </w:rPr>
              <w:t>(12).</w:t>
            </w:r>
            <w:r w:rsidRPr="005D642E">
              <w:rPr>
                <w:rtl/>
              </w:rPr>
              <w:t xml:space="preserve"> في « ظ » :</w:t>
            </w:r>
            <w:r>
              <w:rPr>
                <w:rtl/>
              </w:rPr>
              <w:t xml:space="preserve"> - </w:t>
            </w:r>
            <w:r w:rsidRPr="005D642E">
              <w:rPr>
                <w:rtl/>
              </w:rPr>
              <w:t>« أقصى »</w:t>
            </w:r>
            <w:r>
              <w:rPr>
                <w:rtl/>
              </w:rPr>
              <w:t>.</w:t>
            </w:r>
          </w:p>
        </w:tc>
        <w:tc>
          <w:tcPr>
            <w:tcW w:w="4006" w:type="dxa"/>
          </w:tcPr>
          <w:p w:rsidR="009E68BB" w:rsidRDefault="009E68BB" w:rsidP="00E3253D">
            <w:pPr>
              <w:pStyle w:val="libFootnote0"/>
              <w:rPr>
                <w:rStyle w:val="libFootnote0Char"/>
                <w:rtl/>
              </w:rPr>
            </w:pPr>
            <w:r w:rsidRPr="0042621E">
              <w:rPr>
                <w:rStyle w:val="libFootnote0Char"/>
                <w:rtl/>
              </w:rPr>
              <w:t>(13).</w:t>
            </w:r>
            <w:r>
              <w:rPr>
                <w:rtl/>
              </w:rPr>
              <w:t xml:space="preserve"> </w:t>
            </w:r>
            <w:r w:rsidRPr="005D642E">
              <w:rPr>
                <w:rtl/>
              </w:rPr>
              <w:t>في « ظ ، بث ، بف ، جس » : + « قد »</w:t>
            </w:r>
            <w:r>
              <w:rPr>
                <w:rtl/>
              </w:rPr>
              <w:t>.</w:t>
            </w:r>
          </w:p>
        </w:tc>
      </w:tr>
    </w:tbl>
    <w:p w:rsidR="00E3253D" w:rsidRDefault="00E3253D" w:rsidP="00E3253D">
      <w:pPr>
        <w:pStyle w:val="libNormal"/>
        <w:rPr>
          <w:rtl/>
          <w:lang w:bidi="fa-IR"/>
        </w:rPr>
      </w:pPr>
      <w:r>
        <w:rPr>
          <w:rtl/>
          <w:lang w:bidi="fa-IR"/>
        </w:rPr>
        <w:br w:type="page"/>
      </w:r>
    </w:p>
    <w:tbl>
      <w:tblPr>
        <w:bidiVisual/>
        <w:tblW w:w="0" w:type="auto"/>
        <w:tblLook w:val="01E0" w:firstRow="1" w:lastRow="1" w:firstColumn="1" w:lastColumn="1" w:noHBand="0" w:noVBand="0"/>
      </w:tblPr>
      <w:tblGrid>
        <w:gridCol w:w="459"/>
        <w:gridCol w:w="7128"/>
      </w:tblGrid>
      <w:tr w:rsidR="00E3253D" w:rsidTr="00164E6C">
        <w:tc>
          <w:tcPr>
            <w:tcW w:w="459" w:type="dxa"/>
            <w:shd w:val="clear" w:color="auto" w:fill="auto"/>
          </w:tcPr>
          <w:p w:rsidR="00E3253D" w:rsidRDefault="00E3253D" w:rsidP="00164E6C">
            <w:pPr>
              <w:rPr>
                <w:rtl/>
                <w:lang w:bidi="fa-IR"/>
              </w:rPr>
            </w:pPr>
          </w:p>
        </w:tc>
        <w:tc>
          <w:tcPr>
            <w:tcW w:w="7128" w:type="dxa"/>
            <w:shd w:val="clear" w:color="auto" w:fill="auto"/>
          </w:tcPr>
          <w:p w:rsidR="00E3253D" w:rsidRDefault="00E3253D" w:rsidP="00164E6C">
            <w:pPr>
              <w:pStyle w:val="libNormal0"/>
              <w:rPr>
                <w:rtl/>
                <w:lang w:bidi="fa-IR"/>
              </w:rPr>
            </w:pPr>
            <w:r w:rsidRPr="005D642E">
              <w:rPr>
                <w:rtl/>
                <w:lang w:bidi="fa-IR"/>
              </w:rPr>
              <w:t xml:space="preserve">سَبِيلَ الثَّلَاثِ </w:t>
            </w:r>
            <w:r w:rsidRPr="007C12DB">
              <w:rPr>
                <w:rStyle w:val="libFootnotenumChar"/>
                <w:rtl/>
              </w:rPr>
              <w:t>(1)</w:t>
            </w:r>
            <w:r>
              <w:rPr>
                <w:rFonts w:hint="cs"/>
                <w:rtl/>
                <w:lang w:bidi="fa-IR"/>
              </w:rPr>
              <w:t>.</w:t>
            </w:r>
          </w:p>
        </w:tc>
      </w:tr>
    </w:tbl>
    <w:p w:rsidR="00E3253D" w:rsidRPr="005D642E" w:rsidRDefault="00E3253D" w:rsidP="00E3253D">
      <w:pPr>
        <w:pStyle w:val="libNormal"/>
        <w:rPr>
          <w:rtl/>
          <w:lang w:bidi="fa-IR"/>
        </w:rPr>
      </w:pPr>
      <w:r w:rsidRPr="003F0267">
        <w:rPr>
          <w:rtl/>
        </w:rPr>
        <w:t>3930</w:t>
      </w:r>
      <w:r w:rsidRPr="00246318">
        <w:rPr>
          <w:rStyle w:val="libBold2Char"/>
          <w:rtl/>
        </w:rPr>
        <w:t xml:space="preserve"> / 10.</w:t>
      </w:r>
      <w:r w:rsidRPr="005D642E">
        <w:rPr>
          <w:rtl/>
          <w:lang w:bidi="fa-IR"/>
        </w:rPr>
        <w:t xml:space="preserve"> وَرُوِيَ فِي رَجُلٍ كَانَ مَعَهُ مِنَ الْمَاءِ مِقْدَارُ كَفٍّ وَحَضَرَتِ الصَّلَاةُ ، قَالَ :</w:t>
      </w:r>
    </w:p>
    <w:p w:rsidR="00E3253D" w:rsidRPr="005D642E" w:rsidRDefault="00E3253D" w:rsidP="00E3253D">
      <w:pPr>
        <w:pStyle w:val="libNormal"/>
        <w:rPr>
          <w:rtl/>
          <w:lang w:bidi="fa-IR"/>
        </w:rPr>
      </w:pPr>
      <w:r w:rsidRPr="005D642E">
        <w:rPr>
          <w:rtl/>
          <w:lang w:bidi="fa-IR"/>
        </w:rPr>
        <w:t xml:space="preserve">فَقَالَ : « يَقْسِمُهُ أَثْلَاثاً </w:t>
      </w:r>
      <w:r w:rsidRPr="007C12DB">
        <w:rPr>
          <w:rStyle w:val="libFootnotenumChar"/>
          <w:rtl/>
        </w:rPr>
        <w:t>(2)</w:t>
      </w:r>
      <w:r w:rsidRPr="005D642E">
        <w:rPr>
          <w:rtl/>
          <w:lang w:bidi="fa-IR"/>
        </w:rPr>
        <w:t xml:space="preserve"> : ثُلُثٌ لِلْوَجْهِ ، وَثُلُثٌ لِلْيَدِ الْيُمْنى ، وَثُلُثٌ لِلْيُسْرى ، </w:t>
      </w:r>
      <w:r w:rsidRPr="007C12DB">
        <w:rPr>
          <w:rStyle w:val="libFootnotenumChar"/>
          <w:rtl/>
        </w:rPr>
        <w:t>(3)</w:t>
      </w:r>
      <w:r w:rsidRPr="005D642E">
        <w:rPr>
          <w:rtl/>
          <w:lang w:bidi="fa-IR"/>
        </w:rPr>
        <w:t xml:space="preserve"> وَيَمْسَحُ بِالْبِلَّةِ رَأْسَهُ وَرِجْلَيْهِ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72" w:name="_Toc344647234"/>
      <w:bookmarkStart w:id="73" w:name="_Toc462226749"/>
      <w:bookmarkStart w:id="74" w:name="_Toc40975857"/>
      <w:r w:rsidRPr="005D642E">
        <w:rPr>
          <w:rtl/>
          <w:lang w:bidi="fa-IR"/>
        </w:rPr>
        <w:t>18</w:t>
      </w:r>
      <w:r>
        <w:rPr>
          <w:rtl/>
          <w:lang w:bidi="fa-IR"/>
        </w:rPr>
        <w:t xml:space="preserve"> </w:t>
      </w:r>
      <w:r w:rsidR="007642BC">
        <w:rPr>
          <w:rtl/>
          <w:lang w:bidi="fa-IR"/>
        </w:rPr>
        <w:t>-</w:t>
      </w:r>
      <w:r>
        <w:rPr>
          <w:rtl/>
          <w:lang w:bidi="fa-IR"/>
        </w:rPr>
        <w:t xml:space="preserve"> </w:t>
      </w:r>
      <w:r w:rsidRPr="005D642E">
        <w:rPr>
          <w:rtl/>
          <w:lang w:bidi="fa-IR"/>
        </w:rPr>
        <w:t>بَابُ حَدِّ الْوَجْهِ الَّذِي يُغْسَلُ وَالذِّرَاعَيْنِ وَكَيْفَ يُغْسَلُ‌</w:t>
      </w:r>
      <w:bookmarkEnd w:id="72"/>
      <w:bookmarkEnd w:id="73"/>
      <w:bookmarkEnd w:id="74"/>
    </w:p>
    <w:p w:rsidR="009E68BB" w:rsidRDefault="00E3253D" w:rsidP="009E68BB">
      <w:pPr>
        <w:pStyle w:val="libNormal"/>
        <w:rPr>
          <w:rtl/>
          <w:lang w:bidi="fa-IR"/>
        </w:rPr>
      </w:pPr>
      <w:r w:rsidRPr="003F0267">
        <w:rPr>
          <w:rtl/>
        </w:rPr>
        <w:t>3931</w:t>
      </w:r>
      <w:r w:rsidRPr="00246318">
        <w:rPr>
          <w:rStyle w:val="libBold2Char"/>
          <w:rtl/>
        </w:rPr>
        <w:t xml:space="preserve"> / 1.</w:t>
      </w:r>
      <w:r w:rsidRPr="005D642E">
        <w:rPr>
          <w:rtl/>
          <w:lang w:bidi="fa-IR"/>
        </w:rPr>
        <w:t xml:space="preserve"> عَلِيُّ بْنُ إِبْرَاهِيمَ ، عَنْ أَبِيهِ ؛</w:t>
      </w:r>
    </w:p>
    <w:p w:rsidR="00E3253D" w:rsidRPr="005D642E" w:rsidRDefault="009E68BB" w:rsidP="009E68BB">
      <w:pPr>
        <w:pStyle w:val="libNormal"/>
        <w:rPr>
          <w:rtl/>
          <w:lang w:bidi="fa-IR"/>
        </w:rPr>
      </w:pPr>
      <w:r>
        <w:rPr>
          <w:rFonts w:hint="cs"/>
          <w:rtl/>
          <w:lang w:bidi="fa-IR"/>
        </w:rPr>
        <w:t xml:space="preserve">              </w:t>
      </w:r>
      <w:r w:rsidR="00E3253D" w:rsidRPr="005D642E">
        <w:rPr>
          <w:rtl/>
          <w:lang w:bidi="fa-IR"/>
        </w:rPr>
        <w:t>وَمُحَمَّدُ بْنُ إِسْمَاعِيلَ ، عَنِ الْفَضْلِ بْنِ شَاذَانَ جَمِيعاً ، عَنْ حَمَّادِ بْنِ عِيسى ، عَنْ حَرِيزٍ ، عَنْ زُرَارَةَ ، قَالَ :</w:t>
      </w:r>
    </w:p>
    <w:p w:rsidR="00E3253D" w:rsidRPr="005D642E" w:rsidRDefault="00E3253D" w:rsidP="00E3253D">
      <w:pPr>
        <w:pStyle w:val="libNormal"/>
        <w:rPr>
          <w:rtl/>
          <w:lang w:bidi="fa-IR"/>
        </w:rPr>
      </w:pPr>
      <w:r w:rsidRPr="005D642E">
        <w:rPr>
          <w:rtl/>
          <w:lang w:bidi="fa-IR"/>
        </w:rPr>
        <w:t xml:space="preserve">قُلْتُ لَهُ </w:t>
      </w:r>
      <w:r w:rsidRPr="007C12DB">
        <w:rPr>
          <w:rStyle w:val="libFootnotenumChar"/>
          <w:rtl/>
        </w:rPr>
        <w:t>(5)</w:t>
      </w:r>
      <w:r w:rsidRPr="005D642E">
        <w:rPr>
          <w:rtl/>
          <w:lang w:bidi="fa-IR"/>
        </w:rPr>
        <w:t xml:space="preserve"> : أَخْبِرْنِي عَنْ حَدِّ الْوَجْهِ الَّذِي يَنْبَغِي لَهُ </w:t>
      </w:r>
      <w:r w:rsidRPr="007C12DB">
        <w:rPr>
          <w:rStyle w:val="libFootnotenumChar"/>
          <w:rtl/>
        </w:rPr>
        <w:t>(6)</w:t>
      </w:r>
      <w:r w:rsidRPr="005D642E">
        <w:rPr>
          <w:rtl/>
          <w:lang w:bidi="fa-IR"/>
        </w:rPr>
        <w:t xml:space="preserve"> أَنْ يُوَضَّأَ </w:t>
      </w:r>
      <w:r w:rsidRPr="007C12DB">
        <w:rPr>
          <w:rStyle w:val="libFootnotenumChar"/>
          <w:rtl/>
        </w:rPr>
        <w:t>(7)</w:t>
      </w:r>
      <w:r w:rsidRPr="005D642E">
        <w:rPr>
          <w:rtl/>
          <w:lang w:bidi="fa-IR"/>
        </w:rPr>
        <w:t xml:space="preserve"> ، الَّذِي قَالَ اللهُ عَزَّ وَجَلَّ.</w:t>
      </w:r>
    </w:p>
    <w:p w:rsidR="00E3253D" w:rsidRPr="005D642E" w:rsidRDefault="00E3253D" w:rsidP="00E3253D">
      <w:pPr>
        <w:pStyle w:val="libNormal"/>
        <w:rPr>
          <w:rtl/>
          <w:lang w:bidi="fa-IR"/>
        </w:rPr>
      </w:pPr>
      <w:r w:rsidRPr="005D642E">
        <w:rPr>
          <w:rtl/>
          <w:lang w:bidi="fa-IR"/>
        </w:rPr>
        <w:t>فَقَالَ : « الْوَجْهُ الَّذِي أَمَرَ اللهُ تَعَالى بِغَسْلِهِ</w:t>
      </w:r>
      <w:r>
        <w:rPr>
          <w:rtl/>
          <w:lang w:bidi="fa-IR"/>
        </w:rPr>
        <w:t xml:space="preserve"> </w:t>
      </w:r>
      <w:r w:rsidR="007642BC">
        <w:rPr>
          <w:rtl/>
          <w:lang w:bidi="fa-IR"/>
        </w:rPr>
        <w:t>-</w:t>
      </w:r>
      <w:r>
        <w:rPr>
          <w:rtl/>
          <w:lang w:bidi="fa-IR"/>
        </w:rPr>
        <w:t xml:space="preserve"> </w:t>
      </w:r>
      <w:r w:rsidRPr="005D642E">
        <w:rPr>
          <w:rtl/>
          <w:lang w:bidi="fa-IR"/>
        </w:rPr>
        <w:t xml:space="preserve">الَّذِي لَايَنْبَغِي لِأَحَدٍ أَنْ يَزِيدَ عَلَيْهِ وَلَا يَنْقُصَ مِنْهُ ، إِنْ </w:t>
      </w:r>
      <w:r w:rsidRPr="007C12DB">
        <w:rPr>
          <w:rStyle w:val="libFootnotenumChar"/>
          <w:rtl/>
        </w:rPr>
        <w:t>(8)</w:t>
      </w:r>
      <w:r w:rsidRPr="005D642E">
        <w:rPr>
          <w:rtl/>
          <w:lang w:bidi="fa-IR"/>
        </w:rPr>
        <w:t xml:space="preserve"> زَادَ عَلَيْهِ لَمْ يُؤْجَرْ ، وَإِنْ نَقَصَ مِنْهُ أَثِمَ</w:t>
      </w:r>
      <w:r>
        <w:rPr>
          <w:rtl/>
          <w:lang w:bidi="fa-IR"/>
        </w:rPr>
        <w:t xml:space="preserve"> </w:t>
      </w:r>
      <w:r w:rsidR="007642BC">
        <w:rPr>
          <w:rtl/>
          <w:lang w:bidi="fa-IR"/>
        </w:rPr>
        <w:t>-</w:t>
      </w:r>
      <w:r>
        <w:rPr>
          <w:rtl/>
          <w:lang w:bidi="fa-IR"/>
        </w:rPr>
        <w:t xml:space="preserve"> </w:t>
      </w:r>
      <w:r w:rsidRPr="005D642E">
        <w:rPr>
          <w:rtl/>
          <w:lang w:bidi="fa-IR"/>
        </w:rPr>
        <w:t xml:space="preserve">مَا دَارَتْ عَلَيْهِ السَّبَّابَةُ </w:t>
      </w:r>
      <w:r w:rsidRPr="007C12DB">
        <w:rPr>
          <w:rStyle w:val="libFootnotenumChar"/>
          <w:rtl/>
        </w:rPr>
        <w:t>(9)</w:t>
      </w:r>
      <w:r w:rsidRPr="005D642E">
        <w:rPr>
          <w:rtl/>
          <w:lang w:bidi="fa-IR"/>
        </w:rPr>
        <w:t xml:space="preserve"> وَ‌</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E68BB" w:rsidTr="009E68BB">
        <w:tc>
          <w:tcPr>
            <w:tcW w:w="4006" w:type="dxa"/>
          </w:tcPr>
          <w:p w:rsidR="009E68BB" w:rsidRDefault="009E68BB" w:rsidP="00E3253D">
            <w:pPr>
              <w:pStyle w:val="libFootnote0"/>
              <w:rPr>
                <w:rStyle w:val="libFootnote0Char"/>
                <w:rtl/>
              </w:rPr>
            </w:pPr>
            <w:r w:rsidRPr="0042621E">
              <w:rPr>
                <w:rStyle w:val="libFootnote0Char"/>
                <w:rtl/>
              </w:rPr>
              <w:t>(1).</w:t>
            </w:r>
            <w:r>
              <w:rPr>
                <w:rtl/>
              </w:rPr>
              <w:t xml:space="preserve"> </w:t>
            </w:r>
            <w:r w:rsidRPr="005D642E">
              <w:rPr>
                <w:rtl/>
              </w:rPr>
              <w:t>في « جس » : « الثلاثة »</w:t>
            </w:r>
            <w:r>
              <w:rPr>
                <w:rtl/>
              </w:rPr>
              <w:t>.</w:t>
            </w:r>
          </w:p>
        </w:tc>
        <w:tc>
          <w:tcPr>
            <w:tcW w:w="4006" w:type="dxa"/>
          </w:tcPr>
          <w:p w:rsidR="009E68BB" w:rsidRDefault="009E68BB" w:rsidP="00E3253D">
            <w:pPr>
              <w:pStyle w:val="libFootnote0"/>
              <w:rPr>
                <w:rStyle w:val="libFootnote0Char"/>
                <w:rtl/>
              </w:rPr>
            </w:pPr>
            <w:r w:rsidRPr="0042621E">
              <w:rPr>
                <w:rStyle w:val="libFootnote0Char"/>
                <w:rtl/>
              </w:rPr>
              <w:t>(2).</w:t>
            </w:r>
            <w:r w:rsidRPr="005D642E">
              <w:rPr>
                <w:rtl/>
              </w:rPr>
              <w:t xml:space="preserve"> في « جس » وحاشية « بس » : « ثلاثاً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w:t>
      </w:r>
      <w:r w:rsidR="000D749A" w:rsidRPr="009E68BB">
        <w:rPr>
          <w:rtl/>
        </w:rPr>
        <w:t>والوافي</w:t>
      </w:r>
      <w:r w:rsidR="00E3253D" w:rsidRPr="009E68BB">
        <w:rPr>
          <w:rtl/>
        </w:rPr>
        <w:t xml:space="preserve"> </w:t>
      </w:r>
      <w:r w:rsidR="00E3253D" w:rsidRPr="005D642E">
        <w:rPr>
          <w:rtl/>
        </w:rPr>
        <w:t>والوسائل. وفي « بح » والمطبوع : « وثلث لليد اليسرى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راجع : </w:t>
      </w:r>
      <w:r w:rsidR="00E3253D" w:rsidRPr="002F4D34">
        <w:rPr>
          <w:rStyle w:val="libFootnoteBoldChar"/>
          <w:rtl/>
        </w:rPr>
        <w:t>الفقيه</w:t>
      </w:r>
      <w:r w:rsidR="00E3253D" w:rsidRPr="005D642E">
        <w:rPr>
          <w:rtl/>
        </w:rPr>
        <w:t xml:space="preserve"> ، ج 1 ، ص 36 ، ذيل ح 72 </w:t>
      </w:r>
      <w:r w:rsidR="009E68BB">
        <w:rPr>
          <w:rFonts w:hint="cs"/>
          <w:rtl/>
        </w:rPr>
        <w:t>.</w:t>
      </w:r>
      <w:r w:rsidR="00E3253D" w:rsidRPr="002F4D34">
        <w:rPr>
          <w:rStyle w:val="libFootnoteBoldChar"/>
          <w:rtl/>
        </w:rPr>
        <w:t>الوافي</w:t>
      </w:r>
      <w:r w:rsidR="00E3253D" w:rsidRPr="005D642E">
        <w:rPr>
          <w:rtl/>
        </w:rPr>
        <w:t xml:space="preserve"> ، ج 6 ، ص 311 ، ح 4359 ؛ </w:t>
      </w:r>
      <w:r w:rsidR="00E3253D" w:rsidRPr="002F4D34">
        <w:rPr>
          <w:rStyle w:val="libFootnoteBoldChar"/>
          <w:rtl/>
        </w:rPr>
        <w:t>الوسائل</w:t>
      </w:r>
      <w:r w:rsidR="00E3253D" w:rsidRPr="005D642E">
        <w:rPr>
          <w:rtl/>
        </w:rPr>
        <w:t xml:space="preserve"> ، ج 1 ، ص 438 ، ح 1149.</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ورد الخبر في </w:t>
      </w:r>
      <w:r w:rsidR="00E3253D" w:rsidRPr="002F4D34">
        <w:rPr>
          <w:rStyle w:val="libFootnoteBoldChar"/>
          <w:rtl/>
        </w:rPr>
        <w:t>تفسير العيّاشي</w:t>
      </w:r>
      <w:r w:rsidR="00E3253D" w:rsidRPr="005D642E">
        <w:rPr>
          <w:rtl/>
        </w:rPr>
        <w:t xml:space="preserve"> ، ج 1 ، ص 299 ، ح 52 ؛ </w:t>
      </w:r>
      <w:r w:rsidR="009E68BB" w:rsidRPr="009E68BB">
        <w:rPr>
          <w:rStyle w:val="libFootnoteBoldChar"/>
          <w:rtl/>
        </w:rPr>
        <w:t>وتحف العقول</w:t>
      </w:r>
      <w:r w:rsidR="00E3253D" w:rsidRPr="005D642E">
        <w:rPr>
          <w:rtl/>
        </w:rPr>
        <w:t xml:space="preserve"> ، ج 1 ، ص 44 ، ح 88 ، وقد رواه زرارة عن أبي‌جعفر </w:t>
      </w:r>
      <w:r w:rsidR="00E3253D" w:rsidRPr="009E68BB">
        <w:rPr>
          <w:rStyle w:val="libFootnoteAlaemChar"/>
          <w:rtl/>
        </w:rPr>
        <w:t>عليه‌السلام</w:t>
      </w:r>
      <w:r w:rsidR="00E3253D" w:rsidRPr="005D642E">
        <w:rPr>
          <w:rtl/>
        </w:rPr>
        <w:t>. فيُعلَم المراد من المسؤول في ما نحن فيه.</w:t>
      </w:r>
    </w:p>
    <w:tbl>
      <w:tblPr>
        <w:tblStyle w:val="TableGrid"/>
        <w:bidiVisual/>
        <w:tblW w:w="0" w:type="auto"/>
        <w:tblLook w:val="04A0" w:firstRow="1" w:lastRow="0" w:firstColumn="1" w:lastColumn="0" w:noHBand="0" w:noVBand="1"/>
      </w:tblPr>
      <w:tblGrid>
        <w:gridCol w:w="4006"/>
        <w:gridCol w:w="4006"/>
      </w:tblGrid>
      <w:tr w:rsidR="009E68BB" w:rsidTr="009E68BB">
        <w:tc>
          <w:tcPr>
            <w:tcW w:w="4006" w:type="dxa"/>
          </w:tcPr>
          <w:p w:rsidR="009E68BB" w:rsidRDefault="009E68BB" w:rsidP="00E3253D">
            <w:pPr>
              <w:pStyle w:val="libFootnote0"/>
              <w:rPr>
                <w:rStyle w:val="libFootnote0Char"/>
                <w:rtl/>
              </w:rPr>
            </w:pPr>
            <w:r w:rsidRPr="0042621E">
              <w:rPr>
                <w:rStyle w:val="libFootnote0Char"/>
                <w:rtl/>
              </w:rPr>
              <w:t>(6).</w:t>
            </w:r>
            <w:r w:rsidRPr="005D642E">
              <w:rPr>
                <w:rtl/>
              </w:rPr>
              <w:t xml:space="preserve"> في « جس » </w:t>
            </w:r>
            <w:r w:rsidRPr="009E68BB">
              <w:rPr>
                <w:rStyle w:val="libFootnoteBoldChar"/>
                <w:rtl/>
              </w:rPr>
              <w:t>وتحف العقول</w:t>
            </w:r>
            <w:r w:rsidRPr="005D642E">
              <w:rPr>
                <w:rtl/>
              </w:rPr>
              <w:t xml:space="preserve"> :</w:t>
            </w:r>
            <w:r>
              <w:rPr>
                <w:rtl/>
              </w:rPr>
              <w:t xml:space="preserve"> - </w:t>
            </w:r>
            <w:r w:rsidRPr="005D642E">
              <w:rPr>
                <w:rtl/>
              </w:rPr>
              <w:t>« له »</w:t>
            </w:r>
            <w:r>
              <w:rPr>
                <w:rtl/>
              </w:rPr>
              <w:t>.</w:t>
            </w:r>
          </w:p>
        </w:tc>
        <w:tc>
          <w:tcPr>
            <w:tcW w:w="4006" w:type="dxa"/>
          </w:tcPr>
          <w:p w:rsidR="009E68BB" w:rsidRDefault="009E68BB" w:rsidP="00E3253D">
            <w:pPr>
              <w:pStyle w:val="libFootnote0"/>
              <w:rPr>
                <w:rStyle w:val="libFootnote0Char"/>
                <w:rtl/>
              </w:rPr>
            </w:pPr>
            <w:r w:rsidRPr="0042621E">
              <w:rPr>
                <w:rStyle w:val="libFootnote0Char"/>
                <w:rtl/>
              </w:rPr>
              <w:t>(7).</w:t>
            </w:r>
            <w:r>
              <w:rPr>
                <w:rtl/>
              </w:rPr>
              <w:t>في«بح،جس»:«أن يتوضّأ</w:t>
            </w:r>
            <w:r w:rsidRPr="005D642E">
              <w:rPr>
                <w:rtl/>
              </w:rPr>
              <w:t>»</w:t>
            </w:r>
            <w:r>
              <w:rPr>
                <w:rtl/>
              </w:rPr>
              <w:t>.وفي«جح»:«أن توضّأ</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عنه مَن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80 : « جملة « لاينقص منه » عطف على جملة « لاينبغي » ، أويكون عطفاً على « يزيد » وتكون لفظة « لا » نافية على الأوّل وزائدة لتأكيد النفي على الثاني. ويحتمل أن تكون « لا » ناهية ويكون حينئذٍ معطوفاً على الموصول ، والجملة صفة للوجه بتقدير : المقول في حقّه ، كما هو الشائع في تصحيح الجمل الإنشائيّة الواقعة حالاً بعد حال أو صفة على ما قيل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w:t>
      </w:r>
      <w:r w:rsidR="009E68BB" w:rsidRPr="009E68BB">
        <w:rPr>
          <w:rStyle w:val="libFootnoteBoldChar"/>
          <w:rtl/>
        </w:rPr>
        <w:t>وتحف العقول</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xml:space="preserve">« السبّابة </w:t>
      </w:r>
      <w:r w:rsidR="00E3253D">
        <w:rPr>
          <w:rtl/>
        </w:rPr>
        <w:t>و ».</w:t>
      </w:r>
      <w:r w:rsidR="00E3253D" w:rsidRPr="005D642E">
        <w:rPr>
          <w:rtl/>
        </w:rPr>
        <w:t xml:space="preserve"> وفي « بث ، بس ، جس » </w:t>
      </w:r>
      <w:r w:rsidR="000D749A" w:rsidRPr="000D749A">
        <w:rPr>
          <w:rStyle w:val="libFootnoteBoldChar"/>
          <w:rtl/>
        </w:rPr>
        <w:t>والمرآة</w:t>
      </w:r>
      <w:r w:rsidR="00E3253D" w:rsidRPr="005D642E">
        <w:rPr>
          <w:rtl/>
        </w:rPr>
        <w:t xml:space="preserve"> </w:t>
      </w:r>
      <w:r w:rsidR="009E68BB" w:rsidRPr="009E68BB">
        <w:rPr>
          <w:rStyle w:val="libFootnoteBoldChar"/>
          <w:rtl/>
        </w:rPr>
        <w:t>وتفسير العيّاشي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عليه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الْوُسْطى وَالْإِبْهَامُ </w:t>
      </w:r>
      <w:r w:rsidRPr="007C12DB">
        <w:rPr>
          <w:rStyle w:val="libFootnotenumChar"/>
          <w:rtl/>
        </w:rPr>
        <w:t>(1)</w:t>
      </w:r>
      <w:r w:rsidRPr="005D642E">
        <w:rPr>
          <w:rtl/>
          <w:lang w:bidi="fa-IR"/>
        </w:rPr>
        <w:t xml:space="preserve"> مِنْ قُصَاصِ </w:t>
      </w:r>
      <w:r w:rsidRPr="007C12DB">
        <w:rPr>
          <w:rStyle w:val="libFootnotenumChar"/>
          <w:rtl/>
        </w:rPr>
        <w:t>(2)</w:t>
      </w:r>
      <w:r w:rsidRPr="005D642E">
        <w:rPr>
          <w:rtl/>
          <w:lang w:bidi="fa-IR"/>
        </w:rPr>
        <w:t xml:space="preserve"> الرَّأْسِ إِلَى الذَّقَنِ ؛ وَمَا جَرَتْ </w:t>
      </w:r>
      <w:r w:rsidRPr="007C12DB">
        <w:rPr>
          <w:rStyle w:val="libFootnotenumChar"/>
          <w:rtl/>
        </w:rPr>
        <w:t>(3)</w:t>
      </w:r>
      <w:r w:rsidRPr="005D642E">
        <w:rPr>
          <w:rtl/>
          <w:lang w:bidi="fa-IR"/>
        </w:rPr>
        <w:t xml:space="preserve"> عَلَيْهِ الْإِصْبَعَانِ مِنَ الْوَجْهِ مُسْتَدِيراً ، فَهُوَ مِنَ الْوَجْهِ ؛ وَمَا سِوى ذلِكَ فَلَيْسَ مِنَ الْوَجْهِ »</w:t>
      </w:r>
      <w:r>
        <w:rPr>
          <w:rtl/>
          <w:lang w:bidi="fa-IR"/>
        </w:rPr>
        <w:t>.</w:t>
      </w:r>
    </w:p>
    <w:p w:rsidR="00E3253D" w:rsidRPr="005D642E" w:rsidRDefault="00E3253D" w:rsidP="00E3253D">
      <w:pPr>
        <w:pStyle w:val="libNormal"/>
        <w:rPr>
          <w:rtl/>
          <w:lang w:bidi="fa-IR"/>
        </w:rPr>
      </w:pPr>
      <w:r w:rsidRPr="005D642E">
        <w:rPr>
          <w:rtl/>
          <w:lang w:bidi="fa-IR"/>
        </w:rPr>
        <w:t xml:space="preserve">قُلْتُ : الصُّدْغُ </w:t>
      </w:r>
      <w:r w:rsidRPr="007C12DB">
        <w:rPr>
          <w:rStyle w:val="libFootnotenumChar"/>
          <w:rtl/>
        </w:rPr>
        <w:t>(4)</w:t>
      </w:r>
      <w:r w:rsidRPr="005D642E">
        <w:rPr>
          <w:rtl/>
          <w:lang w:bidi="fa-IR"/>
        </w:rPr>
        <w:t xml:space="preserve"> لَيْسَ مِنَ الْوَجْهِ</w:t>
      </w:r>
      <w:r>
        <w:rPr>
          <w:rtl/>
          <w:lang w:bidi="fa-IR"/>
        </w:rPr>
        <w:t>؟</w:t>
      </w:r>
      <w:r w:rsidRPr="005D642E">
        <w:rPr>
          <w:rtl/>
          <w:lang w:bidi="fa-IR"/>
        </w:rPr>
        <w:t xml:space="preserve"> قَالَ : « لَا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3F0267">
        <w:rPr>
          <w:rtl/>
        </w:rPr>
        <w:t>3932</w:t>
      </w:r>
      <w:r w:rsidRPr="00246318">
        <w:rPr>
          <w:rStyle w:val="libBold2Char"/>
          <w:rtl/>
        </w:rPr>
        <w:t xml:space="preserve"> / 2.</w:t>
      </w:r>
      <w:r w:rsidRPr="005D642E">
        <w:rPr>
          <w:rtl/>
          <w:lang w:bidi="fa-IR"/>
        </w:rPr>
        <w:t xml:space="preserve"> مُحَمَّدُ بْنُ يَحْيى ، عَنْ أَحْمَدَ بْنِ مُحَمَّدٍ وَ</w:t>
      </w:r>
      <w:r>
        <w:rPr>
          <w:rFonts w:hint="cs"/>
          <w:rtl/>
          <w:lang w:bidi="fa-IR"/>
        </w:rPr>
        <w:t xml:space="preserve"> </w:t>
      </w:r>
      <w:r w:rsidRPr="007C12DB">
        <w:rPr>
          <w:rStyle w:val="libFootnotenumChar"/>
          <w:rtl/>
        </w:rPr>
        <w:t>(6)</w:t>
      </w:r>
      <w:r w:rsidRPr="005D642E">
        <w:rPr>
          <w:rtl/>
          <w:lang w:bidi="fa-IR"/>
        </w:rPr>
        <w:t xml:space="preserve"> مُحَمَّدِ بْنِ الْحُسَيْنِ ، عَنْ صَفْوَانَ ، عَنِ الْعَلَاءِ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عَنِ الرَّجُلِ </w:t>
      </w:r>
      <w:r w:rsidRPr="007C12DB">
        <w:rPr>
          <w:rStyle w:val="libFootnotenumChar"/>
          <w:rtl/>
        </w:rPr>
        <w:t>(7)</w:t>
      </w:r>
      <w:r>
        <w:rPr>
          <w:rtl/>
          <w:lang w:bidi="fa-IR"/>
        </w:rPr>
        <w:t xml:space="preserve"> يَتَوَضَّأُ أَ</w:t>
      </w:r>
      <w:r w:rsidRPr="005D642E">
        <w:rPr>
          <w:rtl/>
          <w:lang w:bidi="fa-IR"/>
        </w:rPr>
        <w:t xml:space="preserve">يُبَطِّنُ </w:t>
      </w:r>
      <w:r w:rsidRPr="007C12DB">
        <w:rPr>
          <w:rStyle w:val="libFootnotenumChar"/>
          <w:rtl/>
        </w:rPr>
        <w:t>(8)</w:t>
      </w:r>
      <w:r w:rsidRPr="005D642E">
        <w:rPr>
          <w:rtl/>
          <w:lang w:bidi="fa-IR"/>
        </w:rPr>
        <w:t xml:space="preserve"> لِحْيَتَهُ</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 « الإبهام والوسطى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w:t>
      </w:r>
      <w:r w:rsidR="00B60612" w:rsidRPr="009E68BB">
        <w:rPr>
          <w:rtl/>
        </w:rPr>
        <w:t>والتهذيب</w:t>
      </w:r>
      <w:r w:rsidR="00E3253D" w:rsidRPr="009E68BB">
        <w:rPr>
          <w:rtl/>
        </w:rPr>
        <w:t xml:space="preserve"> والاستبصار</w:t>
      </w:r>
      <w:r w:rsidR="00E3253D" w:rsidRPr="005D642E">
        <w:rPr>
          <w:rtl/>
        </w:rPr>
        <w:t xml:space="preserve"> : + « شعر »</w:t>
      </w:r>
      <w:r w:rsidR="00E3253D">
        <w:rPr>
          <w:rtl/>
        </w:rPr>
        <w:t>.</w:t>
      </w:r>
      <w:r w:rsidR="00E3253D" w:rsidRPr="005D642E">
        <w:rPr>
          <w:rtl/>
        </w:rPr>
        <w:t xml:space="preserve"> </w:t>
      </w:r>
      <w:r w:rsidR="00E3253D">
        <w:rPr>
          <w:rtl/>
        </w:rPr>
        <w:t>و «</w:t>
      </w:r>
      <w:r w:rsidR="00E3253D" w:rsidRPr="005D642E">
        <w:rPr>
          <w:rtl/>
        </w:rPr>
        <w:t xml:space="preserve"> القصاص » مثلّثة القاف : منتهى منبت شعر الرأس من مقدّمه ومؤخّره ، والمراد هنا المقدّم. وقيل غير ذلك. راجع : </w:t>
      </w:r>
      <w:r w:rsidR="00E3253D" w:rsidRPr="002F4D34">
        <w:rPr>
          <w:rStyle w:val="libFootnoteBoldChar"/>
          <w:rtl/>
        </w:rPr>
        <w:t>الصحاح</w:t>
      </w:r>
      <w:r w:rsidR="00E3253D" w:rsidRPr="005D642E">
        <w:rPr>
          <w:rtl/>
        </w:rPr>
        <w:t xml:space="preserve"> ، ج 3 ، ص 1052 ؛ </w:t>
      </w:r>
      <w:r w:rsidR="00E3253D" w:rsidRPr="002F4D34">
        <w:rPr>
          <w:rStyle w:val="libFootnoteBoldChar"/>
          <w:rtl/>
        </w:rPr>
        <w:t>لسان العرب</w:t>
      </w:r>
      <w:r w:rsidR="00E3253D" w:rsidRPr="005D642E">
        <w:rPr>
          <w:rtl/>
        </w:rPr>
        <w:t xml:space="preserve"> ، ج 7 ، ص 73 ( قصص ) ؛ </w:t>
      </w:r>
      <w:r w:rsidR="00E3253D" w:rsidRPr="002F4D34">
        <w:rPr>
          <w:rStyle w:val="libFootnoteBoldChar"/>
          <w:rtl/>
        </w:rPr>
        <w:t>الوافي</w:t>
      </w:r>
      <w:r w:rsidR="00E3253D" w:rsidRPr="005D642E">
        <w:rPr>
          <w:rtl/>
        </w:rPr>
        <w:t xml:space="preserve"> ، ج 6 ، ص 278 ؛ </w:t>
      </w:r>
      <w:r w:rsidR="00E3253D" w:rsidRPr="002F4D34">
        <w:rPr>
          <w:rStyle w:val="libFootnoteBoldChar"/>
          <w:rtl/>
        </w:rPr>
        <w:t>مرآة العقول</w:t>
      </w:r>
      <w:r w:rsidR="00E3253D" w:rsidRPr="005D642E">
        <w:rPr>
          <w:rtl/>
        </w:rPr>
        <w:t xml:space="preserve"> ، ج 13 ، ص 79.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جح » : « حَوَط »</w:t>
      </w:r>
      <w:r w:rsidR="00E3253D">
        <w:rPr>
          <w:rtl/>
        </w:rPr>
        <w:t>.</w:t>
      </w:r>
      <w:r w:rsidR="00E3253D" w:rsidRPr="005D642E">
        <w:rPr>
          <w:rtl/>
        </w:rPr>
        <w:t xml:space="preserve"> وفي المرآة : « حوت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جس » : « الصدع »</w:t>
      </w:r>
      <w:r w:rsidR="00E3253D">
        <w:rPr>
          <w:rtl/>
        </w:rPr>
        <w:t>.</w:t>
      </w:r>
      <w:r w:rsidR="00E3253D" w:rsidRPr="005D642E">
        <w:rPr>
          <w:rtl/>
        </w:rPr>
        <w:t xml:space="preserve"> </w:t>
      </w:r>
      <w:r w:rsidR="00E3253D">
        <w:rPr>
          <w:rtl/>
        </w:rPr>
        <w:t>و «</w:t>
      </w:r>
      <w:r w:rsidR="00E3253D" w:rsidRPr="005D642E">
        <w:rPr>
          <w:rtl/>
        </w:rPr>
        <w:t xml:space="preserve"> الصُدْغ » : ما بين العين والاذن ، ويسمّى أيضاً الشعر المتدلّي عليها صُدْغاً. وقيل غير ذلك. </w:t>
      </w:r>
      <w:r w:rsidR="00E3253D" w:rsidRPr="002F4D34">
        <w:rPr>
          <w:rStyle w:val="libFootnoteBoldChar"/>
          <w:rtl/>
        </w:rPr>
        <w:t>الصحاح</w:t>
      </w:r>
      <w:r w:rsidR="00E3253D" w:rsidRPr="005D642E">
        <w:rPr>
          <w:rtl/>
        </w:rPr>
        <w:t xml:space="preserve"> ، ج 4 ، ص 1323 ؛ </w:t>
      </w:r>
      <w:r w:rsidR="00E3253D" w:rsidRPr="002F4D34">
        <w:rPr>
          <w:rStyle w:val="libFootnoteBoldChar"/>
          <w:rtl/>
        </w:rPr>
        <w:t>لسان العرب</w:t>
      </w:r>
      <w:r w:rsidR="00E3253D" w:rsidRPr="005D642E">
        <w:rPr>
          <w:rtl/>
        </w:rPr>
        <w:t xml:space="preserve"> ، ج 8 ، ص 439 ( صدغ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54 ، ح 154 ، بسنده عن الكليني. </w:t>
      </w:r>
      <w:r w:rsidR="00E3253D" w:rsidRPr="002F4D34">
        <w:rPr>
          <w:rStyle w:val="libFootnoteBoldChar"/>
          <w:rtl/>
        </w:rPr>
        <w:t>الفقيه</w:t>
      </w:r>
      <w:r w:rsidR="00E3253D" w:rsidRPr="005D642E">
        <w:rPr>
          <w:rtl/>
        </w:rPr>
        <w:t xml:space="preserve"> ، ج 1 ، ص 44 ، ح 88 ، معلّقاً عن زرارة بن أعين ، عن أبي جعفر الباقر </w:t>
      </w:r>
      <w:r w:rsidR="00E3253D" w:rsidRPr="009E68BB">
        <w:rPr>
          <w:rStyle w:val="libFootnoteAlaemChar"/>
          <w:rtl/>
        </w:rPr>
        <w:t>عليه‌السلام</w:t>
      </w:r>
      <w:r w:rsidR="00E3253D" w:rsidRPr="005D642E">
        <w:rPr>
          <w:rtl/>
        </w:rPr>
        <w:t xml:space="preserve"> ، مع اختلاف يسير وزيادة في آخره. </w:t>
      </w:r>
      <w:r w:rsidR="00E3253D" w:rsidRPr="002F4D34">
        <w:rPr>
          <w:rStyle w:val="libFootnoteBoldChar"/>
          <w:rtl/>
        </w:rPr>
        <w:t>تفسير العيّاشي</w:t>
      </w:r>
      <w:r w:rsidR="00E3253D" w:rsidRPr="005D642E">
        <w:rPr>
          <w:rtl/>
        </w:rPr>
        <w:t xml:space="preserve"> ، ج 1 ، ص 299 ، صدر ح 52 ، عن زرارة ، عن أبي جعفر </w:t>
      </w:r>
      <w:r w:rsidR="00E3253D" w:rsidRPr="009E68BB">
        <w:rPr>
          <w:rStyle w:val="libFootnoteAlaemChar"/>
          <w:rtl/>
        </w:rPr>
        <w:t>عليه‌السلام</w:t>
      </w:r>
      <w:r w:rsidR="00E3253D" w:rsidRPr="005D642E">
        <w:rPr>
          <w:rtl/>
        </w:rPr>
        <w:t xml:space="preserve"> </w:t>
      </w:r>
      <w:r w:rsidR="00E3253D" w:rsidRPr="002F4D34">
        <w:rPr>
          <w:rStyle w:val="libFootnoteBoldChar"/>
          <w:rtl/>
        </w:rPr>
        <w:t>الوافي</w:t>
      </w:r>
      <w:r w:rsidR="00E3253D" w:rsidRPr="005D642E">
        <w:rPr>
          <w:rtl/>
        </w:rPr>
        <w:t xml:space="preserve"> ، ج 6 ، ص 277 ، ح 4286 ؛ </w:t>
      </w:r>
      <w:r w:rsidR="00E3253D" w:rsidRPr="002F4D34">
        <w:rPr>
          <w:rStyle w:val="libFootnoteBoldChar"/>
          <w:rtl/>
        </w:rPr>
        <w:t>الوسائل</w:t>
      </w:r>
      <w:r w:rsidR="00E3253D" w:rsidRPr="005D642E">
        <w:rPr>
          <w:rtl/>
        </w:rPr>
        <w:t xml:space="preserve"> ، ج 1 ، ص 403 ، ذيل ح 1048.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ى ، بث ، بح ، بخ ، بس » : « عن »</w:t>
      </w:r>
      <w:r w:rsidR="00E3253D">
        <w:rPr>
          <w:rtl/>
        </w:rPr>
        <w:t>.</w:t>
      </w:r>
      <w:r w:rsidR="00E3253D" w:rsidRPr="005D642E">
        <w:rPr>
          <w:rtl/>
        </w:rPr>
        <w:t xml:space="preserve"> وهو سهو ؛ فإنّ صفوان الراوي عن العلاء</w:t>
      </w:r>
      <w:r w:rsidR="00E3253D">
        <w:rPr>
          <w:rtl/>
        </w:rPr>
        <w:t xml:space="preserve"> </w:t>
      </w:r>
      <w:r w:rsidR="007642BC">
        <w:rPr>
          <w:rtl/>
        </w:rPr>
        <w:t>-</w:t>
      </w:r>
      <w:r w:rsidR="00E3253D">
        <w:rPr>
          <w:rtl/>
        </w:rPr>
        <w:t xml:space="preserve"> </w:t>
      </w:r>
      <w:r w:rsidR="00E3253D" w:rsidRPr="005D642E">
        <w:rPr>
          <w:rtl/>
        </w:rPr>
        <w:t>وهو ابن رزين</w:t>
      </w:r>
      <w:r w:rsidR="00E3253D">
        <w:rPr>
          <w:rtl/>
        </w:rPr>
        <w:t xml:space="preserve"> </w:t>
      </w:r>
      <w:r w:rsidR="007642BC">
        <w:rPr>
          <w:rtl/>
        </w:rPr>
        <w:t>-</w:t>
      </w:r>
      <w:r w:rsidR="00E3253D">
        <w:rPr>
          <w:rtl/>
        </w:rPr>
        <w:t xml:space="preserve"> </w:t>
      </w:r>
      <w:r w:rsidR="00E3253D" w:rsidRPr="005D642E">
        <w:rPr>
          <w:rtl/>
        </w:rPr>
        <w:t xml:space="preserve">صفوان بن‌يحيى ، وقد روى محمّد بن يحيى ، عن محمّد بن الحسين ، عن صفوان [ بن يحيى ] ، في كثيرٍ من الأسناد ، كما روى عن أحمد بن محمّد [ بن عيسى ] ، عن صفوان [ بن يحيى ] في بعض الأسناد. راجع : </w:t>
      </w:r>
      <w:r w:rsidR="00E3253D" w:rsidRPr="002F4D34">
        <w:rPr>
          <w:rStyle w:val="libFootnoteBoldChar"/>
          <w:rtl/>
        </w:rPr>
        <w:t>معجم رجال الحديث</w:t>
      </w:r>
      <w:r w:rsidR="00E3253D" w:rsidRPr="005D642E">
        <w:rPr>
          <w:rtl/>
        </w:rPr>
        <w:t xml:space="preserve"> ، ج 2 ، ص 520</w:t>
      </w:r>
      <w:r w:rsidR="00E3253D">
        <w:rPr>
          <w:rtl/>
        </w:rPr>
        <w:t xml:space="preserve"> </w:t>
      </w:r>
      <w:r w:rsidR="007642BC">
        <w:rPr>
          <w:rtl/>
        </w:rPr>
        <w:t>-</w:t>
      </w:r>
      <w:r w:rsidR="00E3253D">
        <w:rPr>
          <w:rtl/>
        </w:rPr>
        <w:t xml:space="preserve"> </w:t>
      </w:r>
      <w:r w:rsidR="00E3253D" w:rsidRPr="005D642E">
        <w:rPr>
          <w:rtl/>
        </w:rPr>
        <w:t xml:space="preserve">521 ، </w:t>
      </w:r>
      <w:r w:rsidR="00E3253D">
        <w:rPr>
          <w:rtl/>
        </w:rPr>
        <w:t>و 6</w:t>
      </w:r>
      <w:r w:rsidR="00E3253D" w:rsidRPr="005D642E">
        <w:rPr>
          <w:rtl/>
        </w:rPr>
        <w:t>72 ؛ وج 15 ، ص 408</w:t>
      </w:r>
      <w:r w:rsidR="00E3253D">
        <w:rPr>
          <w:rtl/>
        </w:rPr>
        <w:t xml:space="preserve"> </w:t>
      </w:r>
      <w:r w:rsidR="007642BC">
        <w:rPr>
          <w:rtl/>
        </w:rPr>
        <w:t>-</w:t>
      </w:r>
      <w:r w:rsidR="00E3253D">
        <w:rPr>
          <w:rtl/>
        </w:rPr>
        <w:t xml:space="preserve"> </w:t>
      </w:r>
      <w:r w:rsidR="00E3253D" w:rsidRPr="005D642E">
        <w:rPr>
          <w:rtl/>
        </w:rPr>
        <w:t>412.</w:t>
      </w:r>
    </w:p>
    <w:p w:rsidR="00E3253D" w:rsidRPr="005D642E" w:rsidRDefault="00E3253D" w:rsidP="00E3253D">
      <w:pPr>
        <w:pStyle w:val="libFootnote0"/>
        <w:rPr>
          <w:rtl/>
          <w:lang w:bidi="fa-IR"/>
        </w:rPr>
      </w:pPr>
      <w:r w:rsidRPr="00B60612">
        <w:rPr>
          <w:rtl/>
        </w:rPr>
        <w:t xml:space="preserve">ويويّد ذلك ما ورد في </w:t>
      </w:r>
      <w:r w:rsidRPr="002F4D34">
        <w:rPr>
          <w:rStyle w:val="libFootnoteBoldChar"/>
          <w:rtl/>
        </w:rPr>
        <w:t>الكافي</w:t>
      </w:r>
      <w:r w:rsidRPr="00B60612">
        <w:rPr>
          <w:rtl/>
        </w:rPr>
        <w:t xml:space="preserve"> ، ح 10050 ، من رواية محمّد بن يحيى ، عن محمّد بن الحسين وأحمد بن محمّد ، عن على بن الحكم وصفوان ، عن العلاء بن رزين ، عن محمّد بن مسلم.</w:t>
      </w:r>
    </w:p>
    <w:p w:rsidR="00E3253D" w:rsidRPr="005D642E" w:rsidRDefault="00E3253D" w:rsidP="00E3253D">
      <w:pPr>
        <w:pStyle w:val="libFootnote0"/>
        <w:rPr>
          <w:rtl/>
          <w:lang w:bidi="fa-IR"/>
        </w:rPr>
      </w:pPr>
      <w:r w:rsidRPr="00B60612">
        <w:rPr>
          <w:rtl/>
        </w:rPr>
        <w:t xml:space="preserve">وأضف إلى ذلك أنّ الخبر ورد في </w:t>
      </w:r>
      <w:r w:rsidRPr="002F4D34">
        <w:rPr>
          <w:rStyle w:val="libFootnoteBoldChar"/>
          <w:rtl/>
        </w:rPr>
        <w:t>التهذيب</w:t>
      </w:r>
      <w:r w:rsidRPr="00B60612">
        <w:rPr>
          <w:rtl/>
        </w:rPr>
        <w:t xml:space="preserve"> ، ج 1 ، ص 360 ، ح 1084 ، عن أحمد بن محمّد ، عن صفوان.</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جن » : « عن رجل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جن » : « يبطّن » بلا همزة. وفي </w:t>
      </w:r>
      <w:r w:rsidR="00E3253D" w:rsidRPr="002F4D34">
        <w:rPr>
          <w:rStyle w:val="libFootnoteBoldChar"/>
          <w:rtl/>
        </w:rPr>
        <w:t>مرآة العقول</w:t>
      </w:r>
      <w:r w:rsidR="00E3253D" w:rsidRPr="005D642E">
        <w:rPr>
          <w:rtl/>
        </w:rPr>
        <w:t xml:space="preserve"> : « قوله </w:t>
      </w:r>
      <w:r w:rsidR="00E3253D" w:rsidRPr="009E68BB">
        <w:rPr>
          <w:rStyle w:val="libFootnoteAlaemChar"/>
          <w:rtl/>
        </w:rPr>
        <w:t>عليه‌السلام</w:t>
      </w:r>
      <w:r w:rsidR="00E3253D" w:rsidRPr="005D642E">
        <w:rPr>
          <w:rtl/>
        </w:rPr>
        <w:t xml:space="preserve"> : أيبطّن بتشديد الطاء ، والمراد يدخل الماء إلى باطن لحيته ، أي إلى ما تحتها ممّا هو مستور بشعرها ، وقال في </w:t>
      </w:r>
      <w:r w:rsidR="00E3253D" w:rsidRPr="002F4D34">
        <w:rPr>
          <w:rStyle w:val="libFootnoteBoldChar"/>
          <w:rtl/>
        </w:rPr>
        <w:t>النهاية</w:t>
      </w:r>
      <w:r w:rsidR="00E3253D" w:rsidRPr="005D642E">
        <w:rPr>
          <w:rtl/>
        </w:rPr>
        <w:t xml:space="preserve"> : بَطَنت بك الحمّى ، أي أثّرت في باطنك ، يقال : بطنه الداء يبطنه »</w:t>
      </w:r>
      <w:r w:rsidR="00E3253D">
        <w:rPr>
          <w:rtl/>
        </w:rPr>
        <w:t>.</w:t>
      </w:r>
      <w:r w:rsidR="00E3253D" w:rsidRPr="005D642E">
        <w:rPr>
          <w:rtl/>
        </w:rPr>
        <w:t xml:space="preserve"> وراجع : </w:t>
      </w:r>
      <w:r w:rsidR="00E3253D" w:rsidRPr="002F4D34">
        <w:rPr>
          <w:rStyle w:val="libFootnoteBoldChar"/>
          <w:rtl/>
        </w:rPr>
        <w:t>النهاية</w:t>
      </w:r>
      <w:r w:rsidR="00E3253D" w:rsidRPr="005D642E">
        <w:rPr>
          <w:rtl/>
        </w:rPr>
        <w:t xml:space="preserve"> ، ج 1 ، ص 136 ؛ </w:t>
      </w:r>
      <w:r w:rsidR="00E3253D" w:rsidRPr="002F4D34">
        <w:rPr>
          <w:rStyle w:val="libFootnoteBoldChar"/>
          <w:rtl/>
        </w:rPr>
        <w:t>مجمع البحرين</w:t>
      </w:r>
      <w:r w:rsidR="00E3253D" w:rsidRPr="005D642E">
        <w:rPr>
          <w:rtl/>
        </w:rPr>
        <w:t xml:space="preserve"> ، ج 6</w:t>
      </w:r>
      <w:r w:rsidR="009E68BB">
        <w:rPr>
          <w:rtl/>
        </w:rPr>
        <w:t xml:space="preserve"> ، ص 215 (</w:t>
      </w:r>
      <w:r w:rsidR="00E3253D" w:rsidRPr="005D642E">
        <w:rPr>
          <w:rtl/>
        </w:rPr>
        <w:t>بطن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قَالَ : « لَا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A3C24">
        <w:rPr>
          <w:rtl/>
        </w:rPr>
        <w:t>3933</w:t>
      </w:r>
      <w:r w:rsidRPr="00246318">
        <w:rPr>
          <w:rStyle w:val="libBold2Char"/>
          <w:rtl/>
        </w:rPr>
        <w:t xml:space="preserve"> / 3.</w:t>
      </w:r>
      <w:r w:rsidRPr="005D642E">
        <w:rPr>
          <w:rtl/>
          <w:lang w:bidi="fa-IR"/>
        </w:rPr>
        <w:t xml:space="preserve"> مُحَمَّدُ بْنُ يَحْيى ، عَنْ عَبْدِ اللهِ بْنِ مُحَمَّدِ بْنِ عِيسى ، عَنْ أَبِيهِ ، عَنِ ابْنِ الْمُغِيرَةِ </w:t>
      </w:r>
      <w:r w:rsidRPr="007C12DB">
        <w:rPr>
          <w:rStyle w:val="libFootnotenumChar"/>
          <w:rtl/>
        </w:rPr>
        <w:t>(3)</w:t>
      </w:r>
      <w:r w:rsidRPr="005D642E">
        <w:rPr>
          <w:rtl/>
          <w:lang w:bidi="fa-IR"/>
        </w:rPr>
        <w:t xml:space="preserve">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لَاتَضْرِبُوا وُجُوهَكُمْ بِالْمَاءِ </w:t>
      </w:r>
      <w:r w:rsidRPr="007C12DB">
        <w:rPr>
          <w:rStyle w:val="libFootnotenumChar"/>
          <w:rtl/>
        </w:rPr>
        <w:t>(4)</w:t>
      </w:r>
      <w:r w:rsidRPr="005D642E">
        <w:rPr>
          <w:rtl/>
          <w:lang w:bidi="fa-IR"/>
        </w:rPr>
        <w:t xml:space="preserve"> إِذَا تَوَضَّأْتُمْ ، وَلكِنْ شُنُّوا </w:t>
      </w:r>
      <w:r w:rsidRPr="007C12DB">
        <w:rPr>
          <w:rStyle w:val="libFootnotenumChar"/>
          <w:rtl/>
        </w:rPr>
        <w:t>(5)</w:t>
      </w:r>
      <w:r w:rsidRPr="005D642E">
        <w:rPr>
          <w:rtl/>
          <w:lang w:bidi="fa-IR"/>
        </w:rPr>
        <w:t xml:space="preserve"> الْمَاءَ شَنّاً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BA3C24">
        <w:rPr>
          <w:rtl/>
        </w:rPr>
        <w:t>3934</w:t>
      </w:r>
      <w:r w:rsidRPr="00246318">
        <w:rPr>
          <w:rStyle w:val="libBold2Char"/>
          <w:rtl/>
        </w:rPr>
        <w:t xml:space="preserve"> / 4.</w:t>
      </w:r>
      <w:r w:rsidRPr="005D642E">
        <w:rPr>
          <w:rtl/>
          <w:lang w:bidi="fa-IR"/>
        </w:rPr>
        <w:t xml:space="preserve"> عَلِيُّ بْنُ مُحَمَّدٍ ، عَنْ سَهْلِ بْنِ زِيَادٍ ، عَنْ إِسْمَاعِيلَ بْنِ مِهْرَانَ ، قَالَ :</w:t>
      </w:r>
    </w:p>
    <w:p w:rsidR="00E3253D" w:rsidRPr="005D642E" w:rsidRDefault="00E3253D" w:rsidP="00E3253D">
      <w:pPr>
        <w:pStyle w:val="libNormal"/>
        <w:rPr>
          <w:rtl/>
          <w:lang w:bidi="fa-IR"/>
        </w:rPr>
      </w:pPr>
      <w:r w:rsidRPr="005D642E">
        <w:rPr>
          <w:rtl/>
          <w:lang w:bidi="fa-IR"/>
        </w:rPr>
        <w:t xml:space="preserve">كَتَبْتُ إِلَى الرِّضَا </w:t>
      </w:r>
      <w:r w:rsidRPr="00AC51C5">
        <w:rPr>
          <w:rStyle w:val="libAlaemChar"/>
          <w:rtl/>
        </w:rPr>
        <w:t>عليه‌السلام</w:t>
      </w:r>
      <w:r w:rsidRPr="005D642E">
        <w:rPr>
          <w:rtl/>
          <w:lang w:bidi="fa-IR"/>
        </w:rPr>
        <w:t xml:space="preserve"> ، أَسْأَلُهُ عَنْ حَدِّ الْوَجْهِ</w:t>
      </w:r>
      <w:r>
        <w:rPr>
          <w:rtl/>
          <w:lang w:bidi="fa-IR"/>
        </w:rPr>
        <w:t>؟</w:t>
      </w:r>
    </w:p>
    <w:p w:rsidR="00E3253D" w:rsidRPr="005D642E" w:rsidRDefault="00E3253D" w:rsidP="00E3253D">
      <w:pPr>
        <w:pStyle w:val="libNormal"/>
        <w:rPr>
          <w:rtl/>
          <w:lang w:bidi="fa-IR"/>
        </w:rPr>
      </w:pPr>
      <w:r w:rsidRPr="005D642E">
        <w:rPr>
          <w:rtl/>
          <w:lang w:bidi="fa-IR"/>
        </w:rPr>
        <w:t xml:space="preserve">فَكَتَبَ </w:t>
      </w:r>
      <w:r w:rsidRPr="007C12DB">
        <w:rPr>
          <w:rStyle w:val="libFootnotenumChar"/>
          <w:rtl/>
        </w:rPr>
        <w:t>(7)</w:t>
      </w:r>
      <w:r w:rsidRPr="005D642E">
        <w:rPr>
          <w:rtl/>
          <w:lang w:bidi="fa-IR"/>
        </w:rPr>
        <w:t xml:space="preserve"> : « مِنْ أَوَّلِ الشَّعْرِ إِلى آخِرِ الْوَجْهِ ، وَكَذلِكَ‌</w:t>
      </w:r>
      <w:r w:rsidR="009E68BB">
        <w:rPr>
          <w:rFonts w:hint="cs"/>
          <w:rtl/>
          <w:lang w:bidi="fa-IR"/>
        </w:rPr>
        <w:t xml:space="preserve"> .........................</w:t>
      </w:r>
      <w:r w:rsidR="009E68BB">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جن » وردت هذه الرواية بعد الرواية الآتية.</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360 ، ح 1084 ، معلّقاً عن أحمد بن محمّد ، عن صفوان </w:t>
      </w:r>
      <w:r w:rsidR="009E68BB">
        <w:rPr>
          <w:rFonts w:hint="cs"/>
          <w:rtl/>
        </w:rPr>
        <w:t>.</w:t>
      </w:r>
      <w:r w:rsidR="00E3253D" w:rsidRPr="002F4D34">
        <w:rPr>
          <w:rStyle w:val="libFootnoteBoldChar"/>
          <w:rtl/>
        </w:rPr>
        <w:t>الوافي</w:t>
      </w:r>
      <w:r w:rsidR="00E3253D" w:rsidRPr="005D642E">
        <w:rPr>
          <w:rtl/>
        </w:rPr>
        <w:t xml:space="preserve"> ، ج 6 ، ص 279 ، ح 4288 ؛ </w:t>
      </w:r>
      <w:r w:rsidR="00E3253D" w:rsidRPr="002F4D34">
        <w:rPr>
          <w:rStyle w:val="libFootnoteBoldChar"/>
          <w:rtl/>
        </w:rPr>
        <w:t>الوسائل</w:t>
      </w:r>
      <w:r w:rsidR="00E3253D" w:rsidRPr="005D642E">
        <w:rPr>
          <w:rtl/>
        </w:rPr>
        <w:t xml:space="preserve"> ، ج 1 ، ص 476 ، ح 1263.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ورد الخبر في </w:t>
      </w:r>
      <w:r w:rsidR="00E3253D" w:rsidRPr="002F4D34">
        <w:rPr>
          <w:rStyle w:val="libFootnoteBoldChar"/>
          <w:rtl/>
        </w:rPr>
        <w:t>التهذيب</w:t>
      </w:r>
      <w:r w:rsidR="00E3253D" w:rsidRPr="005D642E">
        <w:rPr>
          <w:rtl/>
        </w:rPr>
        <w:t xml:space="preserve"> ، ج 1 ، ص 357 ، ح 1072 ، </w:t>
      </w:r>
      <w:r w:rsidR="00E3253D" w:rsidRPr="00E678B5">
        <w:rPr>
          <w:rStyle w:val="libFootnoteBoldChar"/>
          <w:rtl/>
        </w:rPr>
        <w:t>والاستبصار</w:t>
      </w:r>
      <w:r w:rsidR="00E3253D" w:rsidRPr="005D642E">
        <w:rPr>
          <w:rtl/>
        </w:rPr>
        <w:t xml:space="preserve"> ، ج 1 ، ص 69 ، ح 208 ، بإسناده عن محمّد بن أحمد بن يحيى ، عن أبيه ، عن ابن المغيرة ، عن السكوني ، والمذكور في بعض النسخ المعتبرة من التهذيب « محمّد بن أحمد بن يحيى ، عن أحمد ، عن أبيه » وهو الظاهر ؛ فإنّه مضافاً إلى ما ورد في بعض الأسناد من رواية محمّد بن أحمد بن يحيى ، عن بنان بن محمّد</w:t>
      </w:r>
      <w:r w:rsidR="00E3253D">
        <w:rPr>
          <w:rtl/>
        </w:rPr>
        <w:t xml:space="preserve"> </w:t>
      </w:r>
      <w:r w:rsidR="007642BC">
        <w:rPr>
          <w:rtl/>
        </w:rPr>
        <w:t>-</w:t>
      </w:r>
      <w:r w:rsidR="00E3253D">
        <w:rPr>
          <w:rtl/>
        </w:rPr>
        <w:t xml:space="preserve"> </w:t>
      </w:r>
      <w:r w:rsidR="00E3253D" w:rsidRPr="005D642E">
        <w:rPr>
          <w:rtl/>
        </w:rPr>
        <w:t>وبنان لقب عبدالله بن محمّد بن عيسى</w:t>
      </w:r>
      <w:r w:rsidR="00E3253D">
        <w:rPr>
          <w:rtl/>
        </w:rPr>
        <w:t xml:space="preserve"> </w:t>
      </w:r>
      <w:r w:rsidR="007642BC">
        <w:rPr>
          <w:rtl/>
        </w:rPr>
        <w:t>-</w:t>
      </w:r>
      <w:r w:rsidR="00E3253D">
        <w:rPr>
          <w:rtl/>
        </w:rPr>
        <w:t xml:space="preserve"> </w:t>
      </w:r>
      <w:r w:rsidR="00E3253D" w:rsidRPr="005D642E">
        <w:rPr>
          <w:rtl/>
        </w:rPr>
        <w:t xml:space="preserve">، عن أبيه ، عن ابن المغيرة ، روى محمّد بن أحمد [ بن يحيى ] ، عن أحمد بن محمّد ، عن أبيه ، عن [ عبدالله ] بن المغيرة ، في </w:t>
      </w:r>
      <w:r w:rsidR="00E3253D" w:rsidRPr="002F4D34">
        <w:rPr>
          <w:rStyle w:val="libFootnoteBoldChar"/>
          <w:rtl/>
        </w:rPr>
        <w:t>التهذيب</w:t>
      </w:r>
      <w:r w:rsidR="00E3253D" w:rsidRPr="005D642E">
        <w:rPr>
          <w:rtl/>
        </w:rPr>
        <w:t xml:space="preserve"> ، ج 1 ، ص 88 ، ح 232 ؛ وج 2 ، ص 373 ، ح 1550 ؛ وج 3 ، ص 18 ، ح 65. راجع : </w:t>
      </w:r>
      <w:r w:rsidR="00E3253D" w:rsidRPr="002F4D34">
        <w:rPr>
          <w:rStyle w:val="libFootnoteBoldChar"/>
          <w:rtl/>
        </w:rPr>
        <w:t>رجال الكشي</w:t>
      </w:r>
      <w:r w:rsidR="00E3253D" w:rsidRPr="005D642E">
        <w:rPr>
          <w:rtl/>
        </w:rPr>
        <w:t xml:space="preserve"> ، ص 512 ، الرقم 989. وانظر علي سبيل المثال : </w:t>
      </w:r>
      <w:r w:rsidR="00E3253D" w:rsidRPr="002F4D34">
        <w:rPr>
          <w:rStyle w:val="libFootnoteBoldChar"/>
          <w:rtl/>
        </w:rPr>
        <w:t>التهذيب</w:t>
      </w:r>
      <w:r w:rsidR="00E3253D" w:rsidRPr="005D642E">
        <w:rPr>
          <w:rtl/>
        </w:rPr>
        <w:t xml:space="preserve"> ، ج 3 ، ص 166 ، ح 362 ؛ وج 5 ، ص 225 ، ح 761 ؛ وج 6 ، ص 145 ، ح 252 ؛ وص 157 ، ح 278 ؛ وص 190 ، ح 408 ؛ وص 282 ، ح 775 ؛ وج 7 ، ص 332 ، ح 1367.</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معظم النسخ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 جح ، جن » والمطبوع : + « ضرباً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 « شنّ »</w:t>
      </w:r>
      <w:r w:rsidR="00E3253D">
        <w:rPr>
          <w:rtl/>
        </w:rPr>
        <w:t>.</w:t>
      </w:r>
      <w:r w:rsidR="00E3253D" w:rsidRPr="005D642E">
        <w:rPr>
          <w:rtl/>
        </w:rPr>
        <w:t xml:space="preserve"> وقوله : « شُنّو الماء شَنّاً » أي رُشّوا الماء رشّاً متفرّقاً ، من الشَنّ وهو الصبّ المنقطع. وقيل : هو صبّ شبيه بالنضح. راجع : </w:t>
      </w:r>
      <w:r w:rsidR="00E3253D" w:rsidRPr="002F4D34">
        <w:rPr>
          <w:rStyle w:val="libFootnoteBoldChar"/>
          <w:rtl/>
        </w:rPr>
        <w:t>النهاية</w:t>
      </w:r>
      <w:r w:rsidR="00E3253D" w:rsidRPr="005D642E">
        <w:rPr>
          <w:rtl/>
        </w:rPr>
        <w:t xml:space="preserve"> ، ج 2 ، ص 506 ؛ </w:t>
      </w:r>
      <w:r w:rsidR="00E3253D" w:rsidRPr="002F4D34">
        <w:rPr>
          <w:rStyle w:val="libFootnoteBoldChar"/>
          <w:rtl/>
        </w:rPr>
        <w:t>لسان العرب</w:t>
      </w:r>
      <w:r w:rsidR="00E3253D" w:rsidRPr="005D642E">
        <w:rPr>
          <w:rtl/>
        </w:rPr>
        <w:t xml:space="preserve"> ، ج 13 ، ص 242 ( شنن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357 ، ح 1072 ؛ </w:t>
      </w:r>
      <w:r w:rsidR="00E3253D" w:rsidRPr="00E678B5">
        <w:rPr>
          <w:rStyle w:val="libFootnoteBoldChar"/>
          <w:rtl/>
        </w:rPr>
        <w:t>والاستبصار</w:t>
      </w:r>
      <w:r w:rsidR="00E3253D" w:rsidRPr="005D642E">
        <w:rPr>
          <w:rtl/>
        </w:rPr>
        <w:t xml:space="preserve"> ، ج 1 ، ص 69 ، ح 208 ، معلّقاً عن محمّد بن أحمد بن يحيى ، عن أبيه ، عن ابن المغيرة ، عن السكوني ، عن جعفر </w:t>
      </w:r>
      <w:r w:rsidR="00E3253D" w:rsidRPr="009E68BB">
        <w:rPr>
          <w:rStyle w:val="libFootnoteAlaemChar"/>
          <w:rtl/>
        </w:rPr>
        <w:t>عليه‌السلام</w:t>
      </w:r>
      <w:r w:rsidR="00E3253D" w:rsidRPr="005D642E">
        <w:rPr>
          <w:rtl/>
        </w:rPr>
        <w:t xml:space="preserve"> عن رسول الله </w:t>
      </w:r>
      <w:r w:rsidRPr="009E68BB">
        <w:rPr>
          <w:rStyle w:val="libFootnoteAlaemChar"/>
          <w:rtl/>
        </w:rPr>
        <w:t>صلى‌الله‌عليه‌وآله</w:t>
      </w:r>
      <w:r w:rsidR="00E3253D" w:rsidRPr="005D642E">
        <w:rPr>
          <w:rtl/>
        </w:rPr>
        <w:t xml:space="preserve"> </w:t>
      </w:r>
      <w:r w:rsidR="00E3253D" w:rsidRPr="002F4D34">
        <w:rPr>
          <w:rStyle w:val="libFootnoteBoldChar"/>
          <w:rtl/>
        </w:rPr>
        <w:t>الوافي</w:t>
      </w:r>
      <w:r w:rsidR="00E3253D" w:rsidRPr="005D642E">
        <w:rPr>
          <w:rtl/>
        </w:rPr>
        <w:t xml:space="preserve"> ، ج 6 ، ص 333 ، ح 4406 ؛ </w:t>
      </w:r>
      <w:r w:rsidR="00E3253D" w:rsidRPr="002F4D34">
        <w:rPr>
          <w:rStyle w:val="libFootnoteBoldChar"/>
          <w:rtl/>
        </w:rPr>
        <w:t>الوسائل</w:t>
      </w:r>
      <w:r w:rsidR="00E3253D" w:rsidRPr="005D642E">
        <w:rPr>
          <w:rtl/>
        </w:rPr>
        <w:t xml:space="preserve"> ، ج 1 ، ص 434 ، ذيل ح 1139.</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 + « إليّ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الْجَبِينَيْنِ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A3C24">
        <w:rPr>
          <w:rtl/>
        </w:rPr>
        <w:t>3935</w:t>
      </w:r>
      <w:r w:rsidRPr="00246318">
        <w:rPr>
          <w:rStyle w:val="libBold2Char"/>
          <w:rtl/>
        </w:rPr>
        <w:t xml:space="preserve"> / 5.</w:t>
      </w:r>
      <w:r w:rsidRPr="005D642E">
        <w:rPr>
          <w:rtl/>
          <w:lang w:bidi="fa-IR"/>
        </w:rPr>
        <w:t xml:space="preserve"> مُحَمَّدُ بْنُ الْحَسَنِ </w:t>
      </w:r>
      <w:r w:rsidRPr="007C12DB">
        <w:rPr>
          <w:rStyle w:val="libFootnotenumChar"/>
          <w:rtl/>
        </w:rPr>
        <w:t>(3)</w:t>
      </w:r>
      <w:r w:rsidRPr="005D642E">
        <w:rPr>
          <w:rtl/>
          <w:lang w:bidi="fa-IR"/>
        </w:rPr>
        <w:t xml:space="preserve"> وَغَيْرُهُ ، عَنْ سَهْلِ بْنِ زِيَادٍ ، عَنْ عَلِيِّ بْنِ الْحَكَمِ ، عَنِ الْهَيْثَمِ بْنِ عُرْوَةَ التَّمِيمِيِّ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قَوْلِ اللهِ </w:t>
      </w:r>
      <w:r w:rsidRPr="007C12DB">
        <w:rPr>
          <w:rStyle w:val="libFootnotenumChar"/>
          <w:rtl/>
        </w:rPr>
        <w:t>(4)</w:t>
      </w:r>
      <w:r w:rsidRPr="005D642E">
        <w:rPr>
          <w:rtl/>
          <w:lang w:bidi="fa-IR"/>
        </w:rPr>
        <w:t xml:space="preserve"> عَزَّ وَجَلَّ : </w:t>
      </w:r>
      <w:r w:rsidRPr="00AC51C5">
        <w:rPr>
          <w:rStyle w:val="libAlaemChar"/>
          <w:rtl/>
        </w:rPr>
        <w:t>(</w:t>
      </w:r>
      <w:r w:rsidRPr="00AC51C5">
        <w:rPr>
          <w:rStyle w:val="libAieChar"/>
          <w:rtl/>
        </w:rPr>
        <w:t xml:space="preserve"> فَاغْسِلُوا وُجُوهَكُمْ وَأَيْدِيَكُمْ إِلَى الْمَرافِقِ </w:t>
      </w:r>
      <w:r w:rsidRPr="00AC51C5">
        <w:rPr>
          <w:rStyle w:val="libAlaemChar"/>
          <w:rtl/>
        </w:rPr>
        <w:t>)</w:t>
      </w:r>
      <w:r w:rsidRPr="005D642E">
        <w:rPr>
          <w:rtl/>
          <w:lang w:bidi="fa-IR"/>
        </w:rPr>
        <w:t xml:space="preserve"> </w:t>
      </w:r>
      <w:r w:rsidRPr="007C12DB">
        <w:rPr>
          <w:rStyle w:val="libFootnotenumChar"/>
          <w:rtl/>
        </w:rPr>
        <w:t>(5)</w:t>
      </w:r>
      <w:r w:rsidRPr="005D642E">
        <w:rPr>
          <w:rtl/>
          <w:lang w:bidi="fa-IR"/>
        </w:rPr>
        <w:t xml:space="preserve"> فَقُلْتُ : هكَذَا</w:t>
      </w:r>
      <w:r>
        <w:rPr>
          <w:rtl/>
          <w:lang w:bidi="fa-IR"/>
        </w:rPr>
        <w:t xml:space="preserve"> </w:t>
      </w:r>
      <w:r w:rsidR="007642BC">
        <w:rPr>
          <w:rtl/>
          <w:lang w:bidi="fa-IR"/>
        </w:rPr>
        <w:t>-</w:t>
      </w:r>
      <w:r>
        <w:rPr>
          <w:rtl/>
          <w:lang w:bidi="fa-IR"/>
        </w:rPr>
        <w:t xml:space="preserve"> </w:t>
      </w:r>
      <w:r w:rsidRPr="005D642E">
        <w:rPr>
          <w:rtl/>
          <w:lang w:bidi="fa-IR"/>
        </w:rPr>
        <w:t xml:space="preserve">وَمَسَحْتُ </w:t>
      </w:r>
      <w:r w:rsidRPr="007C12DB">
        <w:rPr>
          <w:rStyle w:val="libFootnotenumChar"/>
          <w:rtl/>
        </w:rPr>
        <w:t>(6)</w:t>
      </w:r>
      <w:r w:rsidRPr="005D642E">
        <w:rPr>
          <w:rtl/>
          <w:lang w:bidi="fa-IR"/>
        </w:rPr>
        <w:t xml:space="preserve"> مِنْ ظَهْرِ كَفِّي إِلَى الْمِرْفَقِ </w:t>
      </w:r>
      <w:r w:rsidRPr="007C12DB">
        <w:rPr>
          <w:rStyle w:val="libFootnotenumChar"/>
          <w:rtl/>
        </w:rPr>
        <w:t>(7)</w:t>
      </w:r>
      <w:r>
        <w:rPr>
          <w:rtl/>
          <w:lang w:bidi="fa-IR"/>
        </w:rPr>
        <w:t xml:space="preserve"> </w:t>
      </w:r>
      <w:r w:rsidR="007642BC">
        <w:rPr>
          <w:rtl/>
          <w:lang w:bidi="fa-IR"/>
        </w:rPr>
        <w:t>-</w:t>
      </w:r>
      <w:r>
        <w:rPr>
          <w:rtl/>
          <w:lang w:bidi="fa-IR"/>
        </w:rPr>
        <w:t>؟</w:t>
      </w:r>
    </w:p>
    <w:p w:rsidR="00E3253D" w:rsidRPr="005D642E" w:rsidRDefault="00E3253D" w:rsidP="00E3253D">
      <w:pPr>
        <w:pStyle w:val="libNormal"/>
        <w:rPr>
          <w:rtl/>
          <w:lang w:bidi="fa-IR"/>
        </w:rPr>
      </w:pPr>
      <w:r w:rsidRPr="005D642E">
        <w:rPr>
          <w:rtl/>
          <w:lang w:bidi="fa-IR"/>
        </w:rPr>
        <w:t xml:space="preserve">فَقَالَ : « لَيْسَ هكَذَا تَنْزِيلُهَا </w:t>
      </w:r>
      <w:r w:rsidRPr="007C12DB">
        <w:rPr>
          <w:rStyle w:val="libFootnotenumChar"/>
          <w:rtl/>
        </w:rPr>
        <w:t>(8)</w:t>
      </w:r>
      <w:r w:rsidRPr="005D642E">
        <w:rPr>
          <w:rtl/>
          <w:lang w:bidi="fa-IR"/>
        </w:rPr>
        <w:t xml:space="preserve"> ، إِنَّمَا هِيَ </w:t>
      </w:r>
      <w:r w:rsidRPr="007C12DB">
        <w:rPr>
          <w:rStyle w:val="libFootnotenumChar"/>
          <w:rtl/>
        </w:rPr>
        <w:t>(9)</w:t>
      </w:r>
      <w:r w:rsidRPr="005D642E">
        <w:rPr>
          <w:rtl/>
          <w:lang w:bidi="fa-IR"/>
        </w:rPr>
        <w:t xml:space="preserve"> : فَاغْسِلُوا وُجُوهَكُمْ وَأَيْدِيَكُمْ مِنَ </w:t>
      </w:r>
      <w:r w:rsidRPr="007C12DB">
        <w:rPr>
          <w:rStyle w:val="libFootnotenumChar"/>
          <w:rtl/>
        </w:rPr>
        <w:t>(10)</w:t>
      </w:r>
      <w:r w:rsidRPr="005D642E">
        <w:rPr>
          <w:rtl/>
          <w:lang w:bidi="fa-IR"/>
        </w:rPr>
        <w:t xml:space="preserve"> الْمَرَافِقِ » ثُمَّ أَمَرَّ يَدَهُ مِنْ مِرْفَقِهِ إِلى أَصَابِعِهِ.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BA3C24">
        <w:rPr>
          <w:rtl/>
        </w:rPr>
        <w:t>3936</w:t>
      </w:r>
      <w:r w:rsidRPr="00246318">
        <w:rPr>
          <w:rStyle w:val="libBold2Char"/>
          <w:rtl/>
        </w:rPr>
        <w:t xml:space="preserve"> / 6.</w:t>
      </w:r>
      <w:r w:rsidRPr="005D642E">
        <w:rPr>
          <w:rtl/>
          <w:lang w:bidi="fa-IR"/>
        </w:rPr>
        <w:t xml:space="preserve"> عَلِيُّ بْنُ إِبْرَاهِيمَ ، عَنْ أَخِيهِ إِسْحَاقَ بْنِ إِبْرَاهِيمَ ، عَنْ مُحَمَّدِ بْنِ إِسْمَاعِيلَ بْنِ</w:t>
      </w:r>
      <w:r>
        <w:rPr>
          <w:rFonts w:hint="cs"/>
          <w:rtl/>
          <w:lang w:bidi="fa-IR"/>
        </w:rPr>
        <w:t xml:space="preserve"> </w:t>
      </w:r>
      <w:r w:rsidR="009E68BB">
        <w:rPr>
          <w:rtl/>
          <w:lang w:bidi="fa-IR"/>
        </w:rPr>
        <w:t>بَزِيعٍ</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وحاشية « جح » : « الجنبين »</w:t>
      </w:r>
      <w:r w:rsidR="00E3253D">
        <w:rPr>
          <w:rtl/>
        </w:rPr>
        <w:t>.</w:t>
      </w:r>
      <w:r w:rsidR="00E3253D" w:rsidRPr="005D642E">
        <w:rPr>
          <w:rtl/>
        </w:rPr>
        <w:t xml:space="preserve"> وفي التهذيب : + « حينئذٍ »</w:t>
      </w:r>
      <w:r w:rsidR="00E3253D">
        <w:rPr>
          <w:rtl/>
        </w:rPr>
        <w:t>.</w:t>
      </w:r>
    </w:p>
    <w:p w:rsidR="00E3253D" w:rsidRPr="005D642E" w:rsidRDefault="00E3253D" w:rsidP="00E3253D">
      <w:pPr>
        <w:pStyle w:val="libFootnote0"/>
        <w:rPr>
          <w:rtl/>
          <w:lang w:bidi="fa-IR"/>
        </w:rPr>
      </w:pPr>
      <w:r w:rsidRPr="00B60612">
        <w:rPr>
          <w:rtl/>
        </w:rPr>
        <w:t xml:space="preserve">في </w:t>
      </w:r>
      <w:r w:rsidRPr="002F4D34">
        <w:rPr>
          <w:rStyle w:val="libFootnoteBoldChar"/>
          <w:rtl/>
        </w:rPr>
        <w:t>مرآة العقول</w:t>
      </w:r>
      <w:r w:rsidRPr="00B60612">
        <w:rPr>
          <w:rtl/>
        </w:rPr>
        <w:t xml:space="preserve"> : « قوله </w:t>
      </w:r>
      <w:r w:rsidRPr="009E68BB">
        <w:rPr>
          <w:rStyle w:val="libFootnoteAlaemChar"/>
          <w:rtl/>
        </w:rPr>
        <w:t>عليه‌السلام</w:t>
      </w:r>
      <w:r w:rsidRPr="00B60612">
        <w:rPr>
          <w:rtl/>
        </w:rPr>
        <w:t xml:space="preserve"> : وكذلك الجبينين ، الظاهر الجبينان ، ولعلّه على الحكاية ، ويحتمل أن يكون المراد أنّ الجبينين أيضاً داخلان في حدّ الوجه ، أو من جهة الجبينين أيضاً الابتداء من الشعر والانتهاء إلى آخر الوجه ، فيكون المراد من أوّل الشعر في الأوّل </w:t>
      </w:r>
      <w:r w:rsidR="009E68BB">
        <w:rPr>
          <w:rtl/>
        </w:rPr>
        <w:t>من الجبهة ». والأخير ذكره العل</w:t>
      </w:r>
      <w:r w:rsidR="009E68BB">
        <w:rPr>
          <w:rFonts w:hint="cs"/>
          <w:rtl/>
        </w:rPr>
        <w:t>ّ</w:t>
      </w:r>
      <w:r w:rsidR="009E68BB">
        <w:rPr>
          <w:rtl/>
        </w:rPr>
        <w:t>ا</w:t>
      </w:r>
      <w:r w:rsidRPr="00B60612">
        <w:rPr>
          <w:rtl/>
        </w:rPr>
        <w:t xml:space="preserve">مة الفيض في </w:t>
      </w:r>
      <w:r w:rsidRPr="002F4D34">
        <w:rPr>
          <w:rStyle w:val="libFootnoteBoldChar"/>
          <w:rtl/>
        </w:rPr>
        <w:t>الوافي</w:t>
      </w:r>
      <w:r w:rsidRPr="00B60612">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55 ، ح 155 ، بسنده عن الكليني </w:t>
      </w:r>
      <w:r w:rsidR="009E68BB">
        <w:rPr>
          <w:rFonts w:hint="cs"/>
          <w:rtl/>
        </w:rPr>
        <w:t>.</w:t>
      </w:r>
      <w:r w:rsidR="00E3253D" w:rsidRPr="002F4D34">
        <w:rPr>
          <w:rStyle w:val="libFootnoteBoldChar"/>
          <w:rtl/>
        </w:rPr>
        <w:t>الوافي</w:t>
      </w:r>
      <w:r w:rsidR="00E3253D" w:rsidRPr="005D642E">
        <w:rPr>
          <w:rtl/>
        </w:rPr>
        <w:t xml:space="preserve"> ، ج 6 ، ص 279 ، ح 4289 ؛ </w:t>
      </w:r>
      <w:r w:rsidR="00E3253D" w:rsidRPr="002F4D34">
        <w:rPr>
          <w:rStyle w:val="libFootnoteBoldChar"/>
          <w:rtl/>
        </w:rPr>
        <w:t>الوسائل</w:t>
      </w:r>
      <w:r w:rsidR="00E3253D" w:rsidRPr="005D642E">
        <w:rPr>
          <w:rtl/>
        </w:rPr>
        <w:t xml:space="preserve"> ، ج 1 ، ص 404 ، ح 1049.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 الحسين »</w:t>
      </w:r>
      <w:r w:rsidR="00E3253D">
        <w:rPr>
          <w:rtl/>
        </w:rPr>
        <w:t>.</w:t>
      </w:r>
      <w:r w:rsidR="00E3253D" w:rsidRPr="005D642E">
        <w:rPr>
          <w:rtl/>
        </w:rPr>
        <w:t xml:space="preserve"> والمذكور في بعض نسخه المعتبرة « الحسن » وهو الصواب.</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قوله » بدل « قول الله »</w:t>
      </w:r>
      <w:r w:rsidR="00E3253D">
        <w:rPr>
          <w:rtl/>
        </w:rPr>
        <w:t>.</w:t>
      </w:r>
    </w:p>
    <w:tbl>
      <w:tblPr>
        <w:tblStyle w:val="TableGrid"/>
        <w:bidiVisual/>
        <w:tblW w:w="0" w:type="auto"/>
        <w:tblLook w:val="04A0" w:firstRow="1" w:lastRow="0" w:firstColumn="1" w:lastColumn="0" w:noHBand="0" w:noVBand="1"/>
      </w:tblPr>
      <w:tblGrid>
        <w:gridCol w:w="4006"/>
        <w:gridCol w:w="4006"/>
      </w:tblGrid>
      <w:tr w:rsidR="009E68BB" w:rsidTr="009E68BB">
        <w:tc>
          <w:tcPr>
            <w:tcW w:w="4006" w:type="dxa"/>
          </w:tcPr>
          <w:p w:rsidR="009E68BB" w:rsidRDefault="009E68BB" w:rsidP="00E3253D">
            <w:pPr>
              <w:pStyle w:val="libFootnote0"/>
              <w:rPr>
                <w:rStyle w:val="libFootnote0Char"/>
                <w:rtl/>
              </w:rPr>
            </w:pPr>
            <w:r w:rsidRPr="0042621E">
              <w:rPr>
                <w:rStyle w:val="libFootnote0Char"/>
                <w:rtl/>
              </w:rPr>
              <w:t>(5).</w:t>
            </w:r>
            <w:r w:rsidRPr="005D642E">
              <w:rPr>
                <w:rtl/>
              </w:rPr>
              <w:t xml:space="preserve"> المائدة </w:t>
            </w:r>
            <w:r w:rsidRPr="0042621E">
              <w:rPr>
                <w:rStyle w:val="libFootnote0Char"/>
                <w:rtl/>
              </w:rPr>
              <w:t>(5)</w:t>
            </w:r>
            <w:r w:rsidRPr="005D642E">
              <w:rPr>
                <w:rtl/>
              </w:rPr>
              <w:t xml:space="preserve"> : 6.</w:t>
            </w:r>
          </w:p>
        </w:tc>
        <w:tc>
          <w:tcPr>
            <w:tcW w:w="4006" w:type="dxa"/>
          </w:tcPr>
          <w:p w:rsidR="009E68BB" w:rsidRDefault="009E68BB" w:rsidP="00E3253D">
            <w:pPr>
              <w:pStyle w:val="libFootnote0"/>
              <w:rPr>
                <w:rStyle w:val="libFootnote0Char"/>
                <w:rtl/>
              </w:rPr>
            </w:pPr>
            <w:r w:rsidRPr="0042621E">
              <w:rPr>
                <w:rStyle w:val="libFootnote0Char"/>
                <w:rtl/>
              </w:rPr>
              <w:t>(6).</w:t>
            </w:r>
            <w:r w:rsidRPr="005D642E">
              <w:rPr>
                <w:rtl/>
              </w:rPr>
              <w:t xml:space="preserve"> في « جس » : + « به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فقلت هكذا</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المرفق »</w:t>
      </w:r>
      <w:r w:rsidR="00E3253D">
        <w:rPr>
          <w:rtl/>
        </w:rPr>
        <w:t>.</w:t>
      </w:r>
    </w:p>
    <w:p w:rsidR="00E3253D" w:rsidRPr="005D642E" w:rsidRDefault="0042621E" w:rsidP="001E5325">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9E68BB">
        <w:rPr>
          <w:rStyle w:val="libFootnoteAlaemChar"/>
          <w:rtl/>
        </w:rPr>
        <w:t>عليه‌السلام</w:t>
      </w:r>
      <w:r w:rsidR="00E3253D" w:rsidRPr="005D642E">
        <w:rPr>
          <w:rtl/>
        </w:rPr>
        <w:t xml:space="preserve"> : هكذا تنزيلها ، أي مفادها ومعناها بأن يكون المراد بلفظة « إلى » : « مِنْ » ، أو المعنى‌أنّ « إلى » في الآية غاية للمغسول لا</w:t>
      </w:r>
      <w:r w:rsidR="00E3253D">
        <w:rPr>
          <w:rFonts w:hint="cs"/>
          <w:rtl/>
        </w:rPr>
        <w:t xml:space="preserve"> </w:t>
      </w:r>
      <w:r w:rsidR="00E3253D" w:rsidRPr="005D642E">
        <w:rPr>
          <w:rtl/>
        </w:rPr>
        <w:t>الغسل ، فلايفهم الابتداء من الآية ، وظهر من السنّة أنّ الابتداءمن المرفق ، فالمعنى أنّه لاينافي الابتداء من المرفق لا أنّه يفيده ، وفيه بعد »</w:t>
      </w:r>
      <w:r w:rsidR="00E3253D">
        <w:rPr>
          <w:rtl/>
        </w:rPr>
        <w:t>.</w:t>
      </w:r>
      <w:r w:rsidR="001E5325">
        <w:rPr>
          <w:rtl/>
        </w:rPr>
        <w:t xml:space="preserve"> والذي استبعده هو قول العل</w:t>
      </w:r>
      <w:r w:rsidR="001E5325">
        <w:rPr>
          <w:rFonts w:hint="cs"/>
          <w:rtl/>
        </w:rPr>
        <w:t>ّ</w:t>
      </w:r>
      <w:r w:rsidR="001E5325">
        <w:rPr>
          <w:rtl/>
        </w:rPr>
        <w:t>ا</w:t>
      </w:r>
      <w:r w:rsidR="00E3253D" w:rsidRPr="005D642E">
        <w:rPr>
          <w:rtl/>
        </w:rPr>
        <w:t xml:space="preserve">مة الفيض في </w:t>
      </w:r>
      <w:r w:rsidR="00E3253D" w:rsidRPr="002F4D34">
        <w:rPr>
          <w:rStyle w:val="libFootnoteBoldChar"/>
          <w:rtl/>
        </w:rPr>
        <w:t>الوافي</w:t>
      </w:r>
      <w:r w:rsidR="00E3253D" w:rsidRPr="005D642E">
        <w:rPr>
          <w:rtl/>
        </w:rPr>
        <w:t>.</w:t>
      </w:r>
      <w:r w:rsidR="001E5325">
        <w:rPr>
          <w:rFonts w:hint="cs"/>
          <w:rtl/>
        </w:rPr>
        <w:t xml:space="preserve">                                                      </w:t>
      </w:r>
      <w:r w:rsidRPr="0042621E">
        <w:rPr>
          <w:rStyle w:val="libFootnote0Char"/>
          <w:rtl/>
        </w:rPr>
        <w:t>(9).</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هي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 « إلى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57 ، ح 159 ، بسنده عن الكليني </w:t>
      </w:r>
      <w:r w:rsidR="00E3253D" w:rsidRPr="002F4D34">
        <w:rPr>
          <w:rStyle w:val="libFootnoteBoldChar"/>
          <w:rtl/>
        </w:rPr>
        <w:t>الوافي</w:t>
      </w:r>
      <w:r w:rsidR="00E3253D" w:rsidRPr="005D642E">
        <w:rPr>
          <w:rtl/>
        </w:rPr>
        <w:t xml:space="preserve"> ، ج 6 ، ص 280 ، ح 4292 ؛ </w:t>
      </w:r>
      <w:r w:rsidR="00E3253D" w:rsidRPr="002F4D34">
        <w:rPr>
          <w:rStyle w:val="libFootnoteBoldChar"/>
          <w:rtl/>
        </w:rPr>
        <w:t>الوسائل</w:t>
      </w:r>
      <w:r w:rsidR="00E3253D" w:rsidRPr="005D642E">
        <w:rPr>
          <w:rtl/>
        </w:rPr>
        <w:t xml:space="preserve"> ، ج 1 ، ص 405 ، ح 1053.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الْحَسَنِ الرِّضَا </w:t>
      </w:r>
      <w:r w:rsidRPr="00AC51C5">
        <w:rPr>
          <w:rStyle w:val="libAlaemChar"/>
          <w:rtl/>
        </w:rPr>
        <w:t>عليه‌السلام</w:t>
      </w:r>
      <w:r w:rsidRPr="005D642E">
        <w:rPr>
          <w:rtl/>
          <w:lang w:bidi="fa-IR"/>
        </w:rPr>
        <w:t xml:space="preserve"> ، قَالَ : « فَرَضَ اللهُ عَلَى النِّسَاءِ فِي الْوُضُوءِ لِلصَّلَاةِ </w:t>
      </w:r>
      <w:r w:rsidRPr="007C12DB">
        <w:rPr>
          <w:rStyle w:val="libFootnotenumChar"/>
          <w:rtl/>
        </w:rPr>
        <w:t>(1)</w:t>
      </w:r>
      <w:r w:rsidRPr="005D642E">
        <w:rPr>
          <w:rtl/>
          <w:lang w:bidi="fa-IR"/>
        </w:rPr>
        <w:t xml:space="preserve"> أَنْ يَبْتَدِئْنَ </w:t>
      </w:r>
      <w:r w:rsidRPr="007C12DB">
        <w:rPr>
          <w:rStyle w:val="libFootnotenumChar"/>
          <w:rtl/>
        </w:rPr>
        <w:t>(2)</w:t>
      </w:r>
      <w:r w:rsidRPr="005D642E">
        <w:rPr>
          <w:rtl/>
          <w:lang w:bidi="fa-IR"/>
        </w:rPr>
        <w:t xml:space="preserve"> بِبَاطِنِ </w:t>
      </w:r>
      <w:r w:rsidRPr="007C12DB">
        <w:rPr>
          <w:rStyle w:val="libFootnotenumChar"/>
          <w:rtl/>
        </w:rPr>
        <w:t>(3)</w:t>
      </w:r>
      <w:r w:rsidRPr="005D642E">
        <w:rPr>
          <w:rtl/>
          <w:lang w:bidi="fa-IR"/>
        </w:rPr>
        <w:t xml:space="preserve"> أَذْرُعِهِنَّ </w:t>
      </w:r>
      <w:r w:rsidRPr="007C12DB">
        <w:rPr>
          <w:rStyle w:val="libFootnotenumChar"/>
          <w:rtl/>
        </w:rPr>
        <w:t>(4)</w:t>
      </w:r>
      <w:r w:rsidRPr="005D642E">
        <w:rPr>
          <w:rtl/>
          <w:lang w:bidi="fa-IR"/>
        </w:rPr>
        <w:t xml:space="preserve"> ، وَفِي الرِّجَالِ بِظَاهِرِ الذِّرَاعِ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BA3C24">
        <w:rPr>
          <w:rtl/>
        </w:rPr>
        <w:t>3937</w:t>
      </w:r>
      <w:r w:rsidRPr="00246318">
        <w:rPr>
          <w:rStyle w:val="libBold2Char"/>
          <w:rtl/>
        </w:rPr>
        <w:t xml:space="preserve"> / 7.</w:t>
      </w:r>
      <w:r w:rsidRPr="005D642E">
        <w:rPr>
          <w:rtl/>
          <w:lang w:bidi="fa-IR"/>
        </w:rPr>
        <w:t xml:space="preserve"> عَلِيُّ بْنُ إِبْرَاهِيمَ ، عَنْ أَبِيهِ </w:t>
      </w:r>
      <w:r w:rsidRPr="007C12DB">
        <w:rPr>
          <w:rStyle w:val="libFootnotenumChar"/>
          <w:rtl/>
        </w:rPr>
        <w:t>(6)</w:t>
      </w:r>
      <w:r w:rsidRPr="005D642E">
        <w:rPr>
          <w:rtl/>
          <w:lang w:bidi="fa-IR"/>
        </w:rPr>
        <w:t xml:space="preserve"> ، عَنِ ابْنِ أَبِي نَجْرَانَ ، عَنْ عَاصِمِ بْنِ حُمَيْدٍ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سَأَلْتُهُ عَنِ الْأَقْطَعِ الْيَدِ وَالرِّجْلِ</w:t>
      </w:r>
      <w:r>
        <w:rPr>
          <w:rtl/>
          <w:lang w:bidi="fa-IR"/>
        </w:rPr>
        <w:t>؟</w:t>
      </w:r>
      <w:r w:rsidRPr="005D642E">
        <w:rPr>
          <w:rtl/>
          <w:lang w:bidi="fa-IR"/>
        </w:rPr>
        <w:t xml:space="preserve"> قَالَ : « يَغْسِلُهُمَا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4B1AA9" w:rsidRDefault="00E3253D" w:rsidP="004B1AA9">
      <w:pPr>
        <w:pStyle w:val="libNormal"/>
        <w:rPr>
          <w:rtl/>
          <w:lang w:bidi="fa-IR"/>
        </w:rPr>
      </w:pPr>
      <w:r w:rsidRPr="00BA3C24">
        <w:rPr>
          <w:rtl/>
        </w:rPr>
        <w:t>3938</w:t>
      </w:r>
      <w:r w:rsidRPr="00246318">
        <w:rPr>
          <w:rStyle w:val="libBold2Char"/>
          <w:rtl/>
        </w:rPr>
        <w:t xml:space="preserve"> / 8.</w:t>
      </w:r>
      <w:r w:rsidRPr="005D642E">
        <w:rPr>
          <w:rtl/>
          <w:lang w:bidi="fa-IR"/>
        </w:rPr>
        <w:t xml:space="preserve"> عَنْهُ </w:t>
      </w:r>
      <w:r w:rsidRPr="007C12DB">
        <w:rPr>
          <w:rStyle w:val="libFootnotenumChar"/>
          <w:rtl/>
        </w:rPr>
        <w:t>(9)</w:t>
      </w:r>
      <w:r w:rsidRPr="005D642E">
        <w:rPr>
          <w:rtl/>
          <w:lang w:bidi="fa-IR"/>
        </w:rPr>
        <w:t xml:space="preserve"> ، عَنْ أَبِيهِ ، عَنِ ابْنِ أَبِي عُمَيْرٍ ، عَنْ رِفَاعَةَ ؛</w:t>
      </w:r>
    </w:p>
    <w:p w:rsidR="00E3253D" w:rsidRPr="005D642E" w:rsidRDefault="004B1AA9" w:rsidP="004B1AA9">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(10)</w:t>
      </w:r>
      <w:r w:rsidR="00E3253D" w:rsidRPr="005D642E">
        <w:rPr>
          <w:rtl/>
          <w:lang w:bidi="fa-IR"/>
        </w:rPr>
        <w:t xml:space="preserve"> مُحَمَّدُ بْنُ يَحْيى ، عَنْ أَحْمَدَ بْنِ مُحَمَّدٍ ، عَنِ الْحَسَنِ بْنِ عَلِيٍّ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بف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للصلاة »</w:t>
      </w:r>
      <w:r w:rsidR="00E3253D">
        <w:rPr>
          <w:rtl/>
        </w:rPr>
        <w:t>.</w:t>
      </w:r>
    </w:p>
    <w:tbl>
      <w:tblPr>
        <w:tblStyle w:val="TableGrid"/>
        <w:bidiVisual/>
        <w:tblW w:w="0" w:type="auto"/>
        <w:tblLook w:val="04A0" w:firstRow="1" w:lastRow="0" w:firstColumn="1" w:lastColumn="0" w:noHBand="0" w:noVBand="1"/>
      </w:tblPr>
      <w:tblGrid>
        <w:gridCol w:w="4006"/>
        <w:gridCol w:w="4006"/>
      </w:tblGrid>
      <w:tr w:rsidR="001B4DA9" w:rsidTr="001B4DA9">
        <w:tc>
          <w:tcPr>
            <w:tcW w:w="4006" w:type="dxa"/>
          </w:tcPr>
          <w:p w:rsidR="001B4DA9" w:rsidRDefault="001B4DA9" w:rsidP="00E3253D">
            <w:pPr>
              <w:pStyle w:val="libFootnote0"/>
              <w:rPr>
                <w:rStyle w:val="libFootnote0Char"/>
                <w:rtl/>
              </w:rPr>
            </w:pPr>
            <w:r w:rsidRPr="0042621E">
              <w:rPr>
                <w:rStyle w:val="libFootnote0Char"/>
                <w:rtl/>
              </w:rPr>
              <w:t>(2).</w:t>
            </w:r>
            <w:r w:rsidRPr="005D642E">
              <w:rPr>
                <w:rtl/>
              </w:rPr>
              <w:t xml:space="preserve"> في الوسائل </w:t>
            </w:r>
            <w:r w:rsidRPr="00B60612">
              <w:rPr>
                <w:rStyle w:val="libFootnoteBoldChar"/>
                <w:rtl/>
              </w:rPr>
              <w:t>والتهذيب</w:t>
            </w:r>
            <w:r w:rsidRPr="005D642E">
              <w:rPr>
                <w:rtl/>
              </w:rPr>
              <w:t xml:space="preserve"> : « يبدأن »</w:t>
            </w:r>
            <w:r>
              <w:rPr>
                <w:rtl/>
              </w:rPr>
              <w:t>.</w:t>
            </w:r>
          </w:p>
        </w:tc>
        <w:tc>
          <w:tcPr>
            <w:tcW w:w="4006" w:type="dxa"/>
          </w:tcPr>
          <w:p w:rsidR="001B4DA9" w:rsidRDefault="001B4DA9" w:rsidP="00E3253D">
            <w:pPr>
              <w:pStyle w:val="libFootnote0"/>
              <w:rPr>
                <w:rStyle w:val="libFootnote0Char"/>
                <w:rtl/>
              </w:rPr>
            </w:pPr>
            <w:r w:rsidRPr="0042621E">
              <w:rPr>
                <w:rStyle w:val="libFootnote0Char"/>
                <w:rtl/>
              </w:rPr>
              <w:t>(3).</w:t>
            </w:r>
            <w:r w:rsidRPr="005D642E">
              <w:rPr>
                <w:rtl/>
              </w:rPr>
              <w:t xml:space="preserve"> في « جس » : « باطن »</w:t>
            </w:r>
            <w:r>
              <w:rPr>
                <w:rtl/>
              </w:rPr>
              <w:t>.</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بس » وحاشية « بث » والوسائل : « أذرعتهنّ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76 ، ، ح 193 ، بسنده عن الكليني. </w:t>
      </w:r>
      <w:r w:rsidR="00E3253D" w:rsidRPr="002F4D34">
        <w:rPr>
          <w:rStyle w:val="libFootnoteBoldChar"/>
          <w:rtl/>
        </w:rPr>
        <w:t>الخصال</w:t>
      </w:r>
      <w:r w:rsidR="00E3253D" w:rsidRPr="005D642E">
        <w:rPr>
          <w:rtl/>
        </w:rPr>
        <w:t xml:space="preserve"> ، ص 585 ، أبواب السبعين ومافوقه ، ضمن الحديث الطويل 12 ، بسند آخر عن أبي جعفر </w:t>
      </w:r>
      <w:r w:rsidR="00E3253D" w:rsidRPr="00685A04">
        <w:rPr>
          <w:rStyle w:val="libFootnoteAlaemChar"/>
          <w:rtl/>
        </w:rPr>
        <w:t>عليه‌السلام</w:t>
      </w:r>
      <w:r w:rsidR="00E3253D" w:rsidRPr="005D642E">
        <w:rPr>
          <w:rtl/>
        </w:rPr>
        <w:t xml:space="preserve">. </w:t>
      </w:r>
      <w:r w:rsidR="00E3253D" w:rsidRPr="002F4D34">
        <w:rPr>
          <w:rStyle w:val="libFootnoteBoldChar"/>
          <w:rtl/>
        </w:rPr>
        <w:t>المقنعة</w:t>
      </w:r>
      <w:r w:rsidR="00E3253D" w:rsidRPr="005D642E">
        <w:rPr>
          <w:rtl/>
        </w:rPr>
        <w:t xml:space="preserve"> ، ص 45 ، من دون الإسناد إلى المعصوم </w:t>
      </w:r>
      <w:r w:rsidR="00E3253D" w:rsidRPr="00685A04">
        <w:rPr>
          <w:rStyle w:val="libFootnoteAlaemChar"/>
          <w:rtl/>
        </w:rPr>
        <w:t>عليه‌السلام</w:t>
      </w:r>
      <w:r w:rsidR="00E3253D" w:rsidRPr="005D642E">
        <w:rPr>
          <w:rtl/>
        </w:rPr>
        <w:t xml:space="preserve"> ، وفيهما مع اختلاف </w:t>
      </w:r>
      <w:r w:rsidR="00685A04">
        <w:rPr>
          <w:rFonts w:hint="cs"/>
          <w:rtl/>
        </w:rPr>
        <w:t>.</w:t>
      </w:r>
      <w:r w:rsidR="00E3253D" w:rsidRPr="002F4D34">
        <w:rPr>
          <w:rStyle w:val="libFootnoteBoldChar"/>
          <w:rtl/>
        </w:rPr>
        <w:t>الوافي</w:t>
      </w:r>
      <w:r w:rsidR="00E3253D" w:rsidRPr="005D642E">
        <w:rPr>
          <w:rtl/>
        </w:rPr>
        <w:t xml:space="preserve"> ، ج 6 ، ص 334 ، ح 4409 ؛ </w:t>
      </w:r>
      <w:r w:rsidR="00E3253D" w:rsidRPr="002F4D34">
        <w:rPr>
          <w:rStyle w:val="libFootnoteBoldChar"/>
          <w:rtl/>
        </w:rPr>
        <w:t>الوسائل</w:t>
      </w:r>
      <w:r w:rsidR="00E3253D" w:rsidRPr="005D642E">
        <w:rPr>
          <w:rtl/>
        </w:rPr>
        <w:t xml:space="preserve"> ، ج 1 ، ص 466 ، ح 1238.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 + « عن ابن أبي عمير » ، لكنّه سهو ؛ فقد روى إبراهيم بن هاشم ، عن [ عبدالرحمن ] بن أبي نجران‌مباشرةً في أسنادٍ عديدة ، ولم نجد روايته عنه بالواسطة في شي‌ءٍ من الأسناد. راجع : </w:t>
      </w:r>
      <w:r w:rsidR="00E3253D" w:rsidRPr="002F4D34">
        <w:rPr>
          <w:rStyle w:val="libFootnoteBoldChar"/>
          <w:rtl/>
        </w:rPr>
        <w:t>معجم رجال الحديث</w:t>
      </w:r>
      <w:r w:rsidR="00E3253D" w:rsidRPr="005D642E">
        <w:rPr>
          <w:rtl/>
        </w:rPr>
        <w:t xml:space="preserve"> ، ج 1 ، ص 493</w:t>
      </w:r>
      <w:r w:rsidR="00E3253D">
        <w:rPr>
          <w:rtl/>
        </w:rPr>
        <w:t xml:space="preserve"> </w:t>
      </w:r>
      <w:r w:rsidR="007642BC">
        <w:rPr>
          <w:rtl/>
        </w:rPr>
        <w:t>-</w:t>
      </w:r>
      <w:r w:rsidR="00E3253D">
        <w:rPr>
          <w:rtl/>
        </w:rPr>
        <w:t xml:space="preserve"> </w:t>
      </w:r>
      <w:r w:rsidR="00E3253D" w:rsidRPr="005D642E">
        <w:rPr>
          <w:rtl/>
        </w:rPr>
        <w:t xml:space="preserve">494 ، </w:t>
      </w:r>
      <w:r w:rsidR="00E3253D">
        <w:rPr>
          <w:rtl/>
        </w:rPr>
        <w:t>و 5</w:t>
      </w:r>
      <w:r w:rsidR="00E3253D" w:rsidRPr="005D642E">
        <w:rPr>
          <w:rtl/>
        </w:rPr>
        <w:t>23.</w:t>
      </w:r>
    </w:p>
    <w:p w:rsidR="00E3253D" w:rsidRPr="005D642E" w:rsidRDefault="00E3253D" w:rsidP="00B60612">
      <w:pPr>
        <w:pStyle w:val="libFootnote0"/>
        <w:rPr>
          <w:rtl/>
          <w:lang w:bidi="fa-IR"/>
        </w:rPr>
      </w:pPr>
      <w:r w:rsidRPr="0095070A">
        <w:rPr>
          <w:rtl/>
        </w:rPr>
        <w:t>والظاهر أنّ الجمع بين ابن أبي عمير وابن أبي نجران من باب الجمع بين النسخة وبدلها. ويؤيّد ذلك ما ورد في حاشية « بح » نقلاً من بعض النسخ من « عمير » بدل « نجران »</w:t>
      </w:r>
      <w:r>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يغسلها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قال بعض الأصحاب : إنّ المراد ما بقي من المرفق إن لم يقطع منه ، وبعضهم : وإن قطع منه أيضاً ، وابن الجنيد : ما بقي من </w:t>
      </w:r>
      <w:r w:rsidR="00C55A5F">
        <w:rPr>
          <w:rtl/>
        </w:rPr>
        <w:t>العضد. والذي أفاده الوالد العل</w:t>
      </w:r>
      <w:r w:rsidR="00C55A5F">
        <w:rPr>
          <w:rFonts w:hint="cs"/>
          <w:rtl/>
        </w:rPr>
        <w:t>ّ</w:t>
      </w:r>
      <w:r w:rsidR="00C55A5F">
        <w:rPr>
          <w:rtl/>
        </w:rPr>
        <w:t>ا</w:t>
      </w:r>
      <w:r w:rsidR="00E3253D" w:rsidRPr="005D642E">
        <w:rPr>
          <w:rtl/>
        </w:rPr>
        <w:t xml:space="preserve">مة </w:t>
      </w:r>
      <w:r w:rsidR="00E3253D" w:rsidRPr="00C55A5F">
        <w:rPr>
          <w:rStyle w:val="libFootnoteAlaemChar"/>
          <w:rtl/>
        </w:rPr>
        <w:t>رحمه‌الله</w:t>
      </w:r>
      <w:r w:rsidR="00E3253D" w:rsidRPr="005D642E">
        <w:rPr>
          <w:rtl/>
        </w:rPr>
        <w:t xml:space="preserve"> أنّ السؤال عن حكم الأقطع اليد والرجل وأنّه كيف يصنع بهما ، فأجاب </w:t>
      </w:r>
      <w:r w:rsidR="00E3253D" w:rsidRPr="00C55A5F">
        <w:rPr>
          <w:rStyle w:val="libFootnoteAlaemChar"/>
          <w:rtl/>
        </w:rPr>
        <w:t>عليه‌السلام</w:t>
      </w:r>
      <w:r w:rsidR="00E3253D" w:rsidRPr="005D642E">
        <w:rPr>
          <w:rtl/>
        </w:rPr>
        <w:t xml:space="preserve"> بأنّه يغسّلهما من التغسيل ؛ لأنّهما عضوان مشتملان على العظم ، ولايخفى لطفه ودقّته. ويؤيّد ما أفاده </w:t>
      </w:r>
      <w:r w:rsidR="00E3253D" w:rsidRPr="00C55A5F">
        <w:rPr>
          <w:rStyle w:val="libFootnoteAlaemChar"/>
          <w:rtl/>
        </w:rPr>
        <w:t>رحمه‌الله</w:t>
      </w:r>
      <w:r w:rsidR="00E3253D" w:rsidRPr="005D642E">
        <w:rPr>
          <w:rtl/>
        </w:rPr>
        <w:t xml:space="preserve"> أنّه يحتاج غيره إلى تكلّف في نسبة الغسل إلى الرجل إمّا تغليب أو غيره ، فلا تغفل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360 ، ح 1085 ، معلّقاً عن عليّ بن إبراهيم </w:t>
      </w:r>
      <w:r w:rsidR="001A0E7D">
        <w:rPr>
          <w:rFonts w:hint="cs"/>
          <w:rtl/>
        </w:rPr>
        <w:t>.</w:t>
      </w:r>
      <w:r w:rsidR="00E3253D" w:rsidRPr="002F4D34">
        <w:rPr>
          <w:rStyle w:val="libFootnoteBoldChar"/>
          <w:rtl/>
        </w:rPr>
        <w:t>الوافي</w:t>
      </w:r>
      <w:r w:rsidR="00E3253D" w:rsidRPr="005D642E">
        <w:rPr>
          <w:rtl/>
        </w:rPr>
        <w:t xml:space="preserve"> ، ج 6 ، ص 362 ، ح 4472 ؛ </w:t>
      </w:r>
      <w:r w:rsidR="00E3253D" w:rsidRPr="002F4D34">
        <w:rPr>
          <w:rStyle w:val="libFootnoteBoldChar"/>
          <w:rtl/>
        </w:rPr>
        <w:t>الوسائل</w:t>
      </w:r>
      <w:r w:rsidR="00E3253D" w:rsidRPr="005D642E">
        <w:rPr>
          <w:rtl/>
        </w:rPr>
        <w:t xml:space="preserve"> ، ج 1 ، ص 480 ، ح 1273.</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أكثر النسخ. وفي « ظ ، ى » : « عليّ »</w:t>
      </w:r>
      <w:r w:rsidR="00E3253D">
        <w:rPr>
          <w:rtl/>
        </w:rPr>
        <w:t>.</w:t>
      </w:r>
      <w:r w:rsidR="00E3253D" w:rsidRPr="005D642E">
        <w:rPr>
          <w:rtl/>
        </w:rPr>
        <w:t xml:space="preserve"> وفي المطبوع : « [ و ] عنه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السند تحويل بعطف « محمّد بن يحيى ، عن أحمد بن محمّد ، عن الحسن بن عليّ ، عن رفاعة » على </w:t>
      </w:r>
      <w:r w:rsidR="001A0E7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رِفَاعَةَ ، قَالَ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الْأَقْطَعِ</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(2)</w:t>
      </w:r>
      <w:r w:rsidRPr="005D642E">
        <w:rPr>
          <w:rtl/>
          <w:lang w:bidi="fa-IR"/>
        </w:rPr>
        <w:t xml:space="preserve"> : « يَغْسِلُ مَا قُطِعَ مِنْهُ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8A6CA7">
        <w:rPr>
          <w:rtl/>
        </w:rPr>
        <w:t>3939</w:t>
      </w:r>
      <w:r w:rsidRPr="00246318">
        <w:rPr>
          <w:rStyle w:val="libBold2Char"/>
          <w:rtl/>
        </w:rPr>
        <w:t xml:space="preserve"> / 9.</w:t>
      </w:r>
      <w:r w:rsidRPr="005D642E">
        <w:rPr>
          <w:rtl/>
          <w:lang w:bidi="fa-IR"/>
        </w:rPr>
        <w:t xml:space="preserve"> مُحَمَّدُ بْنُ يَحْيى ، عَنِ الْعَمْرَكِيِّ ، عَنْ عَلِيِّ بْنِ جَعْفَرٍ :</w:t>
      </w:r>
    </w:p>
    <w:p w:rsidR="00E3253D" w:rsidRPr="005D642E" w:rsidRDefault="00E3253D" w:rsidP="00365424">
      <w:pPr>
        <w:pStyle w:val="libNormal"/>
        <w:rPr>
          <w:rtl/>
          <w:lang w:bidi="fa-IR"/>
        </w:rPr>
      </w:pPr>
      <w:r w:rsidRPr="005D642E">
        <w:rPr>
          <w:rtl/>
          <w:lang w:bidi="fa-IR"/>
        </w:rPr>
        <w:t xml:space="preserve">عَنْ أَخِيهِ مُوسَى بْنِ جَعْفَرٍ </w:t>
      </w:r>
      <w:r w:rsidRPr="007C12DB">
        <w:rPr>
          <w:rStyle w:val="libFootnotenumChar"/>
          <w:rtl/>
        </w:rPr>
        <w:t>(5)</w:t>
      </w:r>
      <w:r w:rsidRPr="005D642E">
        <w:rPr>
          <w:rtl/>
          <w:lang w:bidi="fa-IR"/>
        </w:rPr>
        <w:t xml:space="preserve"> </w:t>
      </w:r>
      <w:r w:rsidR="00365424" w:rsidRPr="00365424">
        <w:rPr>
          <w:rStyle w:val="libAlaemChar"/>
          <w:rFonts w:eastAsiaTheme="minorHAnsi"/>
          <w:rtl/>
        </w:rPr>
        <w:t>عليهما‌السلام</w:t>
      </w:r>
      <w:r w:rsidR="00365424" w:rsidRPr="005D642E">
        <w:rPr>
          <w:rtl/>
          <w:lang w:bidi="fa-IR"/>
        </w:rPr>
        <w:t xml:space="preserve"> </w:t>
      </w:r>
      <w:r w:rsidRPr="005D642E">
        <w:rPr>
          <w:rtl/>
          <w:lang w:bidi="fa-IR"/>
        </w:rPr>
        <w:t>، قَالَ : سَأَلْتُهُ عَنْ رَجُلٍ قُطِعَتْ يَدُهُ مِنَ الْمِرْفَقِ :</w:t>
      </w:r>
      <w:r>
        <w:rPr>
          <w:rFonts w:hint="cs"/>
          <w:rtl/>
          <w:lang w:bidi="fa-IR"/>
        </w:rPr>
        <w:t xml:space="preserve"> </w:t>
      </w:r>
      <w:r w:rsidRPr="005D642E">
        <w:rPr>
          <w:rtl/>
          <w:lang w:bidi="fa-IR"/>
        </w:rPr>
        <w:t>كَيْفَ يَتَوَضَّأُ</w:t>
      </w:r>
      <w:r>
        <w:rPr>
          <w:rtl/>
          <w:lang w:bidi="fa-IR"/>
        </w:rPr>
        <w:t>؟</w:t>
      </w:r>
    </w:p>
    <w:p w:rsidR="00E3253D" w:rsidRPr="005D642E" w:rsidRDefault="00E3253D" w:rsidP="00E3253D">
      <w:pPr>
        <w:pStyle w:val="libNormal"/>
        <w:rPr>
          <w:rtl/>
          <w:lang w:bidi="fa-IR"/>
        </w:rPr>
      </w:pPr>
      <w:r w:rsidRPr="005D642E">
        <w:rPr>
          <w:rtl/>
          <w:lang w:bidi="fa-IR"/>
        </w:rPr>
        <w:t xml:space="preserve">قَالَ : « يَغْسِلُ مَا بَقِيَ مِنْ عَضُدِهِ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8A6CA7">
        <w:rPr>
          <w:rtl/>
        </w:rPr>
        <w:t>3940</w:t>
      </w:r>
      <w:r w:rsidRPr="00246318">
        <w:rPr>
          <w:rStyle w:val="libBold2Char"/>
          <w:rtl/>
        </w:rPr>
        <w:t xml:space="preserve"> / 10.</w:t>
      </w:r>
      <w:r w:rsidRPr="005D642E">
        <w:rPr>
          <w:rtl/>
          <w:lang w:bidi="fa-IR"/>
        </w:rPr>
        <w:t xml:space="preserve"> مُحَمَّدُ بْنُ يَحْيى ، عَنْ أَحْمَدَ بْنِ مُحَمَّدٍ ، عَنِ ابْنِ فَضَّالٍ ، عَنِ ابْنِ بُكَيْرٍ ، عَنْ زُرَارَةَ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أَنَّ أُنَاساً يَقُولُونَ : إِنَّ بَطْنَ الْأُذُنَيْنِ مِنَ الْوَجْهِ ، وَظَهْرَهُمَا مِنَ الرَّأْسِ</w:t>
      </w:r>
      <w:r>
        <w:rPr>
          <w:rtl/>
          <w:lang w:bidi="fa-IR"/>
        </w:rPr>
        <w:t>؟</w:t>
      </w:r>
    </w:p>
    <w:p w:rsidR="00E3253D" w:rsidRPr="005D642E" w:rsidRDefault="00E3253D" w:rsidP="00E3253D">
      <w:pPr>
        <w:pStyle w:val="libNormal"/>
        <w:rPr>
          <w:rtl/>
          <w:lang w:bidi="fa-IR"/>
        </w:rPr>
      </w:pPr>
      <w:r w:rsidRPr="005D642E">
        <w:rPr>
          <w:rtl/>
          <w:lang w:bidi="fa-IR"/>
        </w:rPr>
        <w:t>فَقَالَ : « لَيْسَ عَلَيْهِمَا غَسْلٌ وَلَامَسْحٌ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064E2E" w:rsidP="00E3253D">
      <w:pPr>
        <w:pStyle w:val="libFootnote0"/>
        <w:rPr>
          <w:rtl/>
          <w:lang w:bidi="fa-IR"/>
        </w:rPr>
      </w:pPr>
      <w:r>
        <w:rPr>
          <w:rFonts w:hint="cs"/>
          <w:rtl/>
        </w:rPr>
        <w:t xml:space="preserve">= </w:t>
      </w:r>
      <w:r w:rsidR="00E3253D" w:rsidRPr="005D642E">
        <w:rPr>
          <w:rtl/>
        </w:rPr>
        <w:t>« عليّ بن إبراهيم</w:t>
      </w:r>
      <w:r w:rsidR="00E3253D">
        <w:rPr>
          <w:rtl/>
        </w:rPr>
        <w:t xml:space="preserve"> </w:t>
      </w:r>
      <w:r w:rsidR="007642BC">
        <w:rPr>
          <w:rtl/>
        </w:rPr>
        <w:t>-</w:t>
      </w:r>
      <w:r w:rsidR="00E3253D">
        <w:rPr>
          <w:rtl/>
        </w:rPr>
        <w:t xml:space="preserve"> </w:t>
      </w:r>
      <w:r w:rsidR="00E3253D" w:rsidRPr="005D642E">
        <w:rPr>
          <w:rtl/>
        </w:rPr>
        <w:t>وهوالمرجع للضمير</w:t>
      </w:r>
      <w:r w:rsidR="00E3253D">
        <w:rPr>
          <w:rtl/>
        </w:rPr>
        <w:t xml:space="preserve"> </w:t>
      </w:r>
      <w:r w:rsidR="007642BC">
        <w:rPr>
          <w:rtl/>
        </w:rPr>
        <w:t>-</w:t>
      </w:r>
      <w:r w:rsidR="00E3253D">
        <w:rPr>
          <w:rtl/>
        </w:rPr>
        <w:t xml:space="preserve"> </w:t>
      </w:r>
      <w:r w:rsidR="00E3253D" w:rsidRPr="005D642E">
        <w:rPr>
          <w:rtl/>
        </w:rPr>
        <w:t>عن أبيه ، عن ابن أبي عمير ، عن رفاعة »</w:t>
      </w:r>
      <w:r w:rsidR="00E3253D">
        <w:rPr>
          <w:rtl/>
        </w:rPr>
        <w:t>.</w:t>
      </w:r>
    </w:p>
    <w:tbl>
      <w:tblPr>
        <w:tblStyle w:val="TableGrid"/>
        <w:bidiVisual/>
        <w:tblW w:w="0" w:type="auto"/>
        <w:tblLook w:val="04A0" w:firstRow="1" w:lastRow="0" w:firstColumn="1" w:lastColumn="0" w:noHBand="0" w:noVBand="1"/>
      </w:tblPr>
      <w:tblGrid>
        <w:gridCol w:w="4006"/>
        <w:gridCol w:w="4006"/>
      </w:tblGrid>
      <w:tr w:rsidR="00137BB3" w:rsidTr="00137BB3">
        <w:tc>
          <w:tcPr>
            <w:tcW w:w="4006" w:type="dxa"/>
          </w:tcPr>
          <w:p w:rsidR="00137BB3" w:rsidRDefault="00137BB3" w:rsidP="00E3253D">
            <w:pPr>
              <w:pStyle w:val="libFootnote0"/>
              <w:rPr>
                <w:rStyle w:val="libFootnote0Char"/>
                <w:rtl/>
              </w:rPr>
            </w:pPr>
            <w:r w:rsidRPr="0042621E">
              <w:rPr>
                <w:rStyle w:val="libFootnote0Char"/>
                <w:rtl/>
              </w:rPr>
              <w:t>(1).</w:t>
            </w:r>
            <w:r>
              <w:rPr>
                <w:rtl/>
              </w:rPr>
              <w:t xml:space="preserve"> </w:t>
            </w:r>
            <w:r w:rsidRPr="005D642E">
              <w:rPr>
                <w:rtl/>
              </w:rPr>
              <w:t>في « بح » وحاشية « ى » : + « قال »</w:t>
            </w:r>
            <w:r>
              <w:rPr>
                <w:rtl/>
              </w:rPr>
              <w:t>.</w:t>
            </w:r>
          </w:p>
        </w:tc>
        <w:tc>
          <w:tcPr>
            <w:tcW w:w="4006" w:type="dxa"/>
          </w:tcPr>
          <w:p w:rsidR="00137BB3" w:rsidRDefault="00137BB3" w:rsidP="00E3253D">
            <w:pPr>
              <w:pStyle w:val="libFootnote0"/>
              <w:rPr>
                <w:rStyle w:val="libFootnote0Char"/>
                <w:rtl/>
              </w:rPr>
            </w:pPr>
            <w:r w:rsidRPr="0042621E">
              <w:rPr>
                <w:rStyle w:val="libFootnote0Char"/>
                <w:rtl/>
              </w:rPr>
              <w:t>(2).</w:t>
            </w:r>
            <w:r w:rsidRPr="005D642E">
              <w:rPr>
                <w:rtl/>
              </w:rPr>
              <w:t xml:space="preserve"> في الوسائل : « فقال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الوافي</w:t>
      </w:r>
      <w:r w:rsidR="00E3253D" w:rsidRPr="005D642E">
        <w:rPr>
          <w:rtl/>
        </w:rPr>
        <w:t xml:space="preserve"> : « يعني ما بقي من العضو الذي قطع منه »</w:t>
      </w:r>
      <w:r w:rsidR="00E3253D">
        <w:rPr>
          <w:rtl/>
        </w:rPr>
        <w:t>.</w:t>
      </w:r>
      <w:r w:rsidR="00E3253D" w:rsidRPr="005D642E">
        <w:rPr>
          <w:rtl/>
        </w:rPr>
        <w:t xml:space="preserve"> وفي </w:t>
      </w:r>
      <w:r w:rsidR="00E3253D" w:rsidRPr="002F4D34">
        <w:rPr>
          <w:rStyle w:val="libFootnoteBoldChar"/>
          <w:rtl/>
        </w:rPr>
        <w:t>مرآةالعقول</w:t>
      </w:r>
      <w:r w:rsidR="00E3253D" w:rsidRPr="005D642E">
        <w:rPr>
          <w:rtl/>
        </w:rPr>
        <w:t xml:space="preserve"> : « وحمل الوالد </w:t>
      </w:r>
      <w:r w:rsidR="00E3253D" w:rsidRPr="00AC51C5">
        <w:rPr>
          <w:rStyle w:val="libAlaemChar"/>
          <w:rtl/>
        </w:rPr>
        <w:t>رحمه‌الله</w:t>
      </w:r>
      <w:r w:rsidR="00E3253D" w:rsidRPr="005D642E">
        <w:rPr>
          <w:rtl/>
        </w:rPr>
        <w:t xml:space="preserve"> بهذا الخبر ألصق ، وفيه أظهر وأبين كما لايخفى »</w:t>
      </w:r>
      <w:r w:rsidR="00E3253D">
        <w:rPr>
          <w:rtl/>
        </w:rPr>
        <w:t>.</w:t>
      </w:r>
    </w:p>
    <w:p w:rsidR="00E3253D" w:rsidRPr="005D642E" w:rsidRDefault="0042621E" w:rsidP="00881B20">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359 ، ح 1078 ، بسنده عن رفاعة ، مع اختلاف وزيادة </w:t>
      </w:r>
      <w:r w:rsidR="00881B20">
        <w:rPr>
          <w:rFonts w:hint="cs"/>
          <w:rtl/>
        </w:rPr>
        <w:t>.</w:t>
      </w:r>
      <w:r w:rsidR="00E3253D" w:rsidRPr="002F4D34">
        <w:rPr>
          <w:rStyle w:val="libFootnoteBoldChar"/>
          <w:rtl/>
        </w:rPr>
        <w:t>الوافي</w:t>
      </w:r>
      <w:r w:rsidR="006346C1">
        <w:rPr>
          <w:rtl/>
        </w:rPr>
        <w:t xml:space="preserve"> ، ج 6 ، ص 362،ح 4470</w:t>
      </w:r>
      <w:r w:rsidR="00E3253D" w:rsidRPr="005D642E">
        <w:rPr>
          <w:rtl/>
        </w:rPr>
        <w:t>؛</w:t>
      </w:r>
      <w:r w:rsidR="00E3253D" w:rsidRPr="002F4D34">
        <w:rPr>
          <w:rStyle w:val="libFootnoteBoldChar"/>
          <w:rtl/>
        </w:rPr>
        <w:t>الوسائل</w:t>
      </w:r>
      <w:r w:rsidR="006346C1">
        <w:rPr>
          <w:rtl/>
        </w:rPr>
        <w:t>،ج 1،</w:t>
      </w:r>
      <w:r w:rsidR="00E3253D" w:rsidRPr="005D642E">
        <w:rPr>
          <w:rtl/>
        </w:rPr>
        <w:t>ص 479 ، ح 1271.</w:t>
      </w:r>
      <w:r w:rsidR="00881B20">
        <w:rPr>
          <w:rFonts w:hint="cs"/>
          <w:rtl/>
        </w:rPr>
        <w:t xml:space="preserve">         </w:t>
      </w:r>
      <w:r w:rsidRPr="0042621E">
        <w:rPr>
          <w:rStyle w:val="libFootnote0Char"/>
          <w:rtl/>
        </w:rPr>
        <w:t>(5).</w:t>
      </w:r>
      <w:r w:rsidR="00E3253D" w:rsidRPr="005D642E">
        <w:rPr>
          <w:rtl/>
        </w:rPr>
        <w:t xml:space="preserve"> في « ظ ، بس ، بف » :</w:t>
      </w:r>
      <w:r w:rsidR="00E3253D">
        <w:rPr>
          <w:rtl/>
        </w:rPr>
        <w:t xml:space="preserve"> </w:t>
      </w:r>
      <w:r w:rsidR="007642BC">
        <w:rPr>
          <w:rtl/>
        </w:rPr>
        <w:t>-</w:t>
      </w:r>
      <w:r w:rsidR="00E3253D">
        <w:rPr>
          <w:rtl/>
        </w:rPr>
        <w:t xml:space="preserve"> </w:t>
      </w:r>
      <w:r w:rsidR="00E3253D" w:rsidRPr="005D642E">
        <w:rPr>
          <w:rtl/>
        </w:rPr>
        <w:t>« بن جعفر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إنّ العلاّمة المجلسي ذكر أقوال العلماء في المراد من قوله </w:t>
      </w:r>
      <w:r w:rsidR="00E3253D" w:rsidRPr="006346C1">
        <w:rPr>
          <w:rStyle w:val="libFootnoteAlaemChar"/>
          <w:rtl/>
        </w:rPr>
        <w:t>عليه‌السلام</w:t>
      </w:r>
      <w:r w:rsidR="00E3253D" w:rsidRPr="005D642E">
        <w:rPr>
          <w:rtl/>
        </w:rPr>
        <w:t xml:space="preserve"> : « ما بقي من عضده » ثمّ قال : « وجملة القول في ذلك أنّه لايخلو أن يكون قطع اليد إمّا من تحت المرفق فيجب غسل الباقي إجماعاً ، أو من فوقه فيسقط الغسل</w:t>
      </w:r>
      <w:r w:rsidR="00E3253D">
        <w:rPr>
          <w:rtl/>
        </w:rPr>
        <w:t xml:space="preserve"> ..</w:t>
      </w:r>
      <w:r w:rsidR="00365424">
        <w:rPr>
          <w:rtl/>
        </w:rPr>
        <w:t>.</w:t>
      </w:r>
      <w:r w:rsidR="00E3253D" w:rsidRPr="005D642E">
        <w:rPr>
          <w:rtl/>
        </w:rPr>
        <w:t>»</w:t>
      </w:r>
      <w:r w:rsidR="00E3253D">
        <w:rPr>
          <w:rtl/>
        </w:rPr>
        <w:t>.</w:t>
      </w:r>
      <w:r w:rsidR="00E3253D" w:rsidRPr="005D642E">
        <w:rPr>
          <w:rtl/>
        </w:rPr>
        <w:t xml:space="preserve"> راجع : </w:t>
      </w:r>
      <w:r w:rsidR="00E3253D" w:rsidRPr="002F4D34">
        <w:rPr>
          <w:rStyle w:val="libFootnoteBoldChar"/>
          <w:rtl/>
        </w:rPr>
        <w:t>مرآة العقول</w:t>
      </w:r>
      <w:r w:rsidR="00E3253D" w:rsidRPr="005D642E">
        <w:rPr>
          <w:rtl/>
        </w:rPr>
        <w:t xml:space="preserve"> ، ج 13 ، ص 94.</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360 ، ح 1086 ، معلّقاً عن محمّد بن يحيى. </w:t>
      </w:r>
      <w:r w:rsidR="00E3253D" w:rsidRPr="002F4D34">
        <w:rPr>
          <w:rStyle w:val="libFootnoteBoldChar"/>
          <w:rtl/>
        </w:rPr>
        <w:t>الفقيه</w:t>
      </w:r>
      <w:r w:rsidR="00E3253D" w:rsidRPr="005D642E">
        <w:rPr>
          <w:rtl/>
        </w:rPr>
        <w:t xml:space="preserve"> ، ج 1 ، ص 48 ، ح 99 ، مرسلاً </w:t>
      </w:r>
      <w:r w:rsidR="006C22BD">
        <w:rPr>
          <w:rFonts w:hint="cs"/>
          <w:rtl/>
        </w:rPr>
        <w:t>.</w:t>
      </w:r>
      <w:r w:rsidR="00E3253D" w:rsidRPr="002F4D34">
        <w:rPr>
          <w:rStyle w:val="libFootnoteBoldChar"/>
          <w:rtl/>
        </w:rPr>
        <w:t>الوافي</w:t>
      </w:r>
      <w:r w:rsidR="00E3253D" w:rsidRPr="005D642E">
        <w:rPr>
          <w:rtl/>
        </w:rPr>
        <w:t xml:space="preserve"> ، ج 6 ، ص 363 ، ح 4473 ؛ </w:t>
      </w:r>
      <w:r w:rsidR="00E3253D" w:rsidRPr="002F4D34">
        <w:rPr>
          <w:rStyle w:val="libFootnoteBoldChar"/>
          <w:rtl/>
        </w:rPr>
        <w:t>الوسائل</w:t>
      </w:r>
      <w:r w:rsidR="00E3253D" w:rsidRPr="005D642E">
        <w:rPr>
          <w:rtl/>
        </w:rPr>
        <w:t xml:space="preserve"> ، ج 1 ، ص 479 ، ح 1272.</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94 ، ح 249 ؛ </w:t>
      </w:r>
      <w:r w:rsidR="00E3253D" w:rsidRPr="00E678B5">
        <w:rPr>
          <w:rStyle w:val="libFootnoteBoldChar"/>
          <w:rtl/>
        </w:rPr>
        <w:t>والاستبصار</w:t>
      </w:r>
      <w:r w:rsidR="00E3253D" w:rsidRPr="005D642E">
        <w:rPr>
          <w:rtl/>
        </w:rPr>
        <w:t xml:space="preserve"> ، ج 1 ، ص 63 ، ح 187 ، معلّقاً عن الكليني. </w:t>
      </w:r>
      <w:r w:rsidR="00E3253D" w:rsidRPr="002F4D34">
        <w:rPr>
          <w:rStyle w:val="libFootnoteBoldChar"/>
          <w:rtl/>
        </w:rPr>
        <w:t>وفيه</w:t>
      </w:r>
      <w:r w:rsidR="00E3253D" w:rsidRPr="005D642E">
        <w:rPr>
          <w:rtl/>
        </w:rPr>
        <w:t xml:space="preserve"> ، </w:t>
      </w:r>
      <w:r w:rsidR="006C22B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75" w:name="_Toc344647235"/>
      <w:bookmarkStart w:id="76" w:name="_Toc462226750"/>
      <w:bookmarkStart w:id="77" w:name="_Toc40975858"/>
      <w:r w:rsidRPr="005D642E">
        <w:rPr>
          <w:rtl/>
          <w:lang w:bidi="fa-IR"/>
        </w:rPr>
        <w:lastRenderedPageBreak/>
        <w:t>19</w:t>
      </w:r>
      <w:r>
        <w:rPr>
          <w:rtl/>
          <w:lang w:bidi="fa-IR"/>
        </w:rPr>
        <w:t xml:space="preserve"> </w:t>
      </w:r>
      <w:r w:rsidR="007642BC">
        <w:rPr>
          <w:rtl/>
          <w:lang w:bidi="fa-IR"/>
        </w:rPr>
        <w:t>-</w:t>
      </w:r>
      <w:r>
        <w:rPr>
          <w:rtl/>
          <w:lang w:bidi="fa-IR"/>
        </w:rPr>
        <w:t xml:space="preserve"> </w:t>
      </w:r>
      <w:r w:rsidRPr="005D642E">
        <w:rPr>
          <w:rtl/>
          <w:lang w:bidi="fa-IR"/>
        </w:rPr>
        <w:t>بَابُ مَسْحِ الرَّأْسِ وَالْقَدَمَيْنِ‌</w:t>
      </w:r>
      <w:bookmarkEnd w:id="75"/>
      <w:bookmarkEnd w:id="76"/>
      <w:bookmarkEnd w:id="77"/>
    </w:p>
    <w:p w:rsidR="00E3253D" w:rsidRPr="005D642E" w:rsidRDefault="00E3253D" w:rsidP="00E3253D">
      <w:pPr>
        <w:pStyle w:val="libNormal"/>
        <w:rPr>
          <w:rtl/>
          <w:lang w:bidi="fa-IR"/>
        </w:rPr>
      </w:pPr>
      <w:r w:rsidRPr="008A6CA7">
        <w:rPr>
          <w:rtl/>
        </w:rPr>
        <w:t>3941</w:t>
      </w:r>
      <w:r w:rsidRPr="00246318">
        <w:rPr>
          <w:rStyle w:val="libBold2Char"/>
          <w:rtl/>
        </w:rPr>
        <w:t xml:space="preserve"> / 1.</w:t>
      </w:r>
      <w:r w:rsidRPr="005D642E">
        <w:rPr>
          <w:rtl/>
          <w:lang w:bidi="fa-IR"/>
        </w:rPr>
        <w:t xml:space="preserve"> عِدَّةٌ مِنْ أَصْحَابِنَا ، عَنْ أَحْمَدَ بْنِ مُحَمَّدٍ ، عَنْ شَاذَانَ بْنِ الْخَلِيلِ النَّيْسَابُورِيِّ </w:t>
      </w:r>
      <w:r w:rsidRPr="007C12DB">
        <w:rPr>
          <w:rStyle w:val="libFootnotenumChar"/>
          <w:rtl/>
        </w:rPr>
        <w:t>(1)</w:t>
      </w:r>
      <w:r w:rsidRPr="005D642E">
        <w:rPr>
          <w:rtl/>
          <w:lang w:bidi="fa-IR"/>
        </w:rPr>
        <w:t xml:space="preserve"> ، عَنْ مَعْمَرِ بْنِ عُمَرَ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يُجْزِئُ مِنَ </w:t>
      </w:r>
      <w:r w:rsidRPr="007C12DB">
        <w:rPr>
          <w:rStyle w:val="libFootnotenumChar"/>
          <w:rtl/>
        </w:rPr>
        <w:t>(2)</w:t>
      </w:r>
      <w:r w:rsidRPr="005D642E">
        <w:rPr>
          <w:rtl/>
          <w:lang w:bidi="fa-IR"/>
        </w:rPr>
        <w:t xml:space="preserve"> الْمَسْحِ عَلَى الرَّأْسِ </w:t>
      </w:r>
      <w:r w:rsidRPr="007C12DB">
        <w:rPr>
          <w:rStyle w:val="libFootnotenumChar"/>
          <w:rtl/>
        </w:rPr>
        <w:t>(3)</w:t>
      </w:r>
      <w:r w:rsidRPr="005D642E">
        <w:rPr>
          <w:rtl/>
          <w:lang w:bidi="fa-IR"/>
        </w:rPr>
        <w:t xml:space="preserve"> مَوْضِعُ ثَلَاثِ أَصَابِعَ ، وَكَذلِكَ الرِّجْلُ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8A6CA7">
        <w:rPr>
          <w:rtl/>
        </w:rPr>
        <w:t>3942</w:t>
      </w:r>
      <w:r w:rsidRPr="00246318">
        <w:rPr>
          <w:rStyle w:val="libBold2Char"/>
          <w:rtl/>
        </w:rPr>
        <w:t xml:space="preserve"> / 2.</w:t>
      </w:r>
      <w:r w:rsidRPr="005D642E">
        <w:rPr>
          <w:rtl/>
          <w:lang w:bidi="fa-IR"/>
        </w:rPr>
        <w:t xml:space="preserve"> عَلِيُّ بْنُ إِبْرَاهِيمَ ، عَنْ أَبِيهِ ، عَنِ ابْنِ أَبِي عُمَيْرٍ ، عَنْ أَبِي أَيُّوبَ ، عَنْ مُحَمَّدِ بْنِ مُسْلِمٍ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الْأُذُنَانِ لَيْسَا مِنَ الْوَجْهِ ، وَلَامِنَ الرَّأْسِ »</w:t>
      </w:r>
      <w:r>
        <w:rPr>
          <w:rtl/>
          <w:lang w:bidi="fa-IR"/>
        </w:rPr>
        <w:t>.</w:t>
      </w:r>
    </w:p>
    <w:p w:rsidR="00E3253D" w:rsidRPr="005D642E" w:rsidRDefault="00E3253D" w:rsidP="00E3253D">
      <w:pPr>
        <w:pStyle w:val="libNormal"/>
        <w:rPr>
          <w:rtl/>
          <w:lang w:bidi="fa-IR"/>
        </w:rPr>
      </w:pPr>
      <w:r w:rsidRPr="005D642E">
        <w:rPr>
          <w:rtl/>
          <w:lang w:bidi="fa-IR"/>
        </w:rPr>
        <w:t>قَالَ : وَذُكِرَ الْمَسْحُ ، فَقَالَ : « امْسَحْ عَلى مُقَدَّمِ رَأْسِكَ ، وَامْسَحْ عَلَى الْقَدَمَيْنِ ، وَابْدَأْ بِالشِّقِّ الْأَيْمَنِ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8A6CA7">
        <w:rPr>
          <w:rtl/>
        </w:rPr>
        <w:t>3943</w:t>
      </w:r>
      <w:r w:rsidRPr="00246318">
        <w:rPr>
          <w:rStyle w:val="libBold2Char"/>
          <w:rtl/>
        </w:rPr>
        <w:t xml:space="preserve"> / 3.</w:t>
      </w:r>
      <w:r w:rsidRPr="005D642E">
        <w:rPr>
          <w:rtl/>
          <w:lang w:bidi="fa-IR"/>
        </w:rPr>
        <w:t xml:space="preserve"> مُحَمَّدُ بْنُ يَحْيى ، عَنْ أَحْمَدَ بْنِ مُحَمَّدٍ ، عَنْ شَاذَانَ بْنِ الْخَلِيلِ </w:t>
      </w:r>
      <w:r w:rsidRPr="007C12DB">
        <w:rPr>
          <w:rStyle w:val="libFootnotenumChar"/>
          <w:rtl/>
        </w:rPr>
        <w:t>(6)</w:t>
      </w:r>
      <w:r w:rsidRPr="005D642E">
        <w:rPr>
          <w:rtl/>
          <w:lang w:bidi="fa-IR"/>
        </w:rPr>
        <w:t xml:space="preserve"> ، عَنْ يُونُسَ ، عَنْ حَمَّادٍ ، عَنِ الْحُسَيْنِ ، قَالَ :</w:t>
      </w:r>
    </w:p>
    <w:p w:rsidR="00E3253D" w:rsidRPr="005D642E" w:rsidRDefault="00E3253D" w:rsidP="00E3253D">
      <w:pPr>
        <w:pStyle w:val="libLine"/>
        <w:rPr>
          <w:rtl/>
          <w:lang w:bidi="fa-IR"/>
        </w:rPr>
      </w:pPr>
      <w:r w:rsidRPr="005D642E">
        <w:rPr>
          <w:rtl/>
          <w:lang w:bidi="fa-IR"/>
        </w:rPr>
        <w:t>__________________</w:t>
      </w:r>
    </w:p>
    <w:p w:rsidR="00E3253D" w:rsidRDefault="00DD6FBB" w:rsidP="00E3253D">
      <w:pPr>
        <w:pStyle w:val="libFootnote0"/>
        <w:rPr>
          <w:rtl/>
        </w:rPr>
      </w:pPr>
      <w:r>
        <w:rPr>
          <w:rFonts w:hint="cs"/>
          <w:rtl/>
        </w:rPr>
        <w:t xml:space="preserve">= </w:t>
      </w:r>
      <w:r w:rsidR="00E3253D" w:rsidRPr="005D642E">
        <w:rPr>
          <w:rtl/>
        </w:rPr>
        <w:t xml:space="preserve">ص 55 ، ح 156 ، معلّقاً عن محمّد بن يحيى </w:t>
      </w:r>
      <w:r w:rsidR="00082C66">
        <w:rPr>
          <w:rFonts w:hint="cs"/>
          <w:rtl/>
        </w:rPr>
        <w:t>.</w:t>
      </w:r>
      <w:r w:rsidR="00E3253D" w:rsidRPr="002F4D34">
        <w:rPr>
          <w:rStyle w:val="libFootnoteBoldChar"/>
          <w:rtl/>
        </w:rPr>
        <w:t>الوافي</w:t>
      </w:r>
      <w:r w:rsidR="00E3253D" w:rsidRPr="005D642E">
        <w:rPr>
          <w:rtl/>
        </w:rPr>
        <w:t xml:space="preserve"> ، ج 6 ، ص 301 ، ح 4335 ؛ </w:t>
      </w:r>
      <w:r w:rsidR="00E3253D" w:rsidRPr="002F4D34">
        <w:rPr>
          <w:rStyle w:val="libFootnoteBoldChar"/>
          <w:rtl/>
        </w:rPr>
        <w:t>الوسائل</w:t>
      </w:r>
      <w:r w:rsidR="00E3253D" w:rsidRPr="005D642E">
        <w:rPr>
          <w:rtl/>
        </w:rPr>
        <w:t xml:space="preserve"> ، ج 1 ، ص 404 ، ح 1051.</w:t>
      </w:r>
    </w:p>
    <w:p w:rsidR="00E3253D" w:rsidRPr="005D642E" w:rsidRDefault="0042621E" w:rsidP="00082C66">
      <w:pPr>
        <w:pStyle w:val="libFootnote0"/>
        <w:rPr>
          <w:rtl/>
          <w:lang w:bidi="fa-IR"/>
        </w:rPr>
      </w:pPr>
      <w:r w:rsidRPr="0042621E">
        <w:rPr>
          <w:rStyle w:val="libFootnote0Char"/>
          <w:rtl/>
        </w:rPr>
        <w:t>(1).</w:t>
      </w:r>
      <w:r w:rsidR="00E3253D">
        <w:rPr>
          <w:rtl/>
        </w:rPr>
        <w:t xml:space="preserve"> </w:t>
      </w:r>
      <w:r w:rsidR="00E3253D" w:rsidRPr="005D642E">
        <w:rPr>
          <w:rtl/>
        </w:rPr>
        <w:t>في « ظ ، جح ، جس » : « النيشابوري »</w:t>
      </w:r>
      <w:r w:rsidR="00E3253D">
        <w:rPr>
          <w:rtl/>
        </w:rPr>
        <w:t>.</w:t>
      </w:r>
      <w:r w:rsidR="00E3253D" w:rsidRPr="005D642E">
        <w:rPr>
          <w:rtl/>
        </w:rPr>
        <w:t xml:space="preserve"> ثمّ إنّ في « بح ، بخ ، بف » : + « عن العمركي » ، ولكن لم نجد رواية شاذان بن الخليل عن العمركي في موضع.</w:t>
      </w:r>
      <w:r w:rsidR="00082C66">
        <w:rPr>
          <w:rFonts w:hint="cs"/>
          <w:rtl/>
        </w:rPr>
        <w:t xml:space="preserve">                 </w:t>
      </w:r>
      <w:r w:rsidRPr="0042621E">
        <w:rPr>
          <w:rStyle w:val="libFootnote0Char"/>
          <w:rtl/>
        </w:rPr>
        <w:t>(2).</w:t>
      </w:r>
      <w:r w:rsidR="00E3253D" w:rsidRPr="005D642E">
        <w:rPr>
          <w:rtl/>
        </w:rPr>
        <w:t xml:space="preserve"> في « ى ، بح » وحاشية « بخ » : « في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مسح الرأس » بدل « المسح على الرأس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60 ، ح 167 ؛ </w:t>
      </w:r>
      <w:r w:rsidR="00E3253D" w:rsidRPr="00E678B5">
        <w:rPr>
          <w:rStyle w:val="libFootnoteBoldChar"/>
          <w:rtl/>
        </w:rPr>
        <w:t>والاستبصار</w:t>
      </w:r>
      <w:r w:rsidR="00E3253D" w:rsidRPr="005D642E">
        <w:rPr>
          <w:rtl/>
        </w:rPr>
        <w:t xml:space="preserve"> ، ج 1 ، ص 60 ، ح 177 ، معلقاً عن الكليني </w:t>
      </w:r>
      <w:r w:rsidR="0083352A">
        <w:rPr>
          <w:rFonts w:hint="cs"/>
          <w:rtl/>
        </w:rPr>
        <w:t>.</w:t>
      </w:r>
      <w:r w:rsidR="00E3253D" w:rsidRPr="002F4D34">
        <w:rPr>
          <w:rStyle w:val="libFootnoteBoldChar"/>
          <w:rtl/>
        </w:rPr>
        <w:t>الوافي</w:t>
      </w:r>
      <w:r w:rsidR="00E3253D" w:rsidRPr="005D642E">
        <w:rPr>
          <w:rtl/>
        </w:rPr>
        <w:t xml:space="preserve"> ، ج 6 ، ص 281 ، ح 4295 ؛ </w:t>
      </w:r>
      <w:r w:rsidR="00E3253D" w:rsidRPr="002F4D34">
        <w:rPr>
          <w:rStyle w:val="libFootnoteBoldChar"/>
          <w:rtl/>
        </w:rPr>
        <w:t>الوسائل</w:t>
      </w:r>
      <w:r w:rsidR="00E3253D" w:rsidRPr="005D642E">
        <w:rPr>
          <w:rtl/>
        </w:rPr>
        <w:t xml:space="preserve"> ، ج 1 ، ص 417 ، ح 1086.</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6 ، ص 281 ، ح 4296 ؛ </w:t>
      </w:r>
      <w:r w:rsidR="00E3253D" w:rsidRPr="002F4D34">
        <w:rPr>
          <w:rStyle w:val="libFootnoteBoldChar"/>
          <w:rtl/>
        </w:rPr>
        <w:t>الوسائل</w:t>
      </w:r>
      <w:r w:rsidR="00E3253D" w:rsidRPr="005D642E">
        <w:rPr>
          <w:rtl/>
        </w:rPr>
        <w:t xml:space="preserve"> ، ج 1 ، ص 404 ، ح 1050 ، إلى قوله : « ولا من الرأس » ؛ </w:t>
      </w:r>
      <w:r w:rsidR="00E3253D" w:rsidRPr="002F4D34">
        <w:rPr>
          <w:rStyle w:val="libFootnoteBoldChar"/>
          <w:rtl/>
        </w:rPr>
        <w:t>وفيه</w:t>
      </w:r>
      <w:r w:rsidR="00E3253D" w:rsidRPr="005D642E">
        <w:rPr>
          <w:rtl/>
        </w:rPr>
        <w:t xml:space="preserve"> ، ص 418 ، ح 1088 ، من قوله : « قال : وذكر المسح » ؛ </w:t>
      </w:r>
      <w:r w:rsidR="00E3253D" w:rsidRPr="002F4D34">
        <w:rPr>
          <w:rStyle w:val="libFootnoteBoldChar"/>
          <w:rtl/>
        </w:rPr>
        <w:t>وفيه</w:t>
      </w:r>
      <w:r w:rsidR="00E3253D" w:rsidRPr="005D642E">
        <w:rPr>
          <w:rtl/>
        </w:rPr>
        <w:t xml:space="preserve"> ، ص 449 ، ح 1182 ، من قوله : « امسح على القدمين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 « النيسابوري »</w:t>
      </w:r>
      <w:r w:rsidR="00E3253D">
        <w:rPr>
          <w:rtl/>
        </w:rPr>
        <w:t>.</w:t>
      </w:r>
      <w:r w:rsidR="00E3253D" w:rsidRPr="005D642E">
        <w:rPr>
          <w:rtl/>
        </w:rPr>
        <w:t xml:space="preserve"> وفي الاستبصار : + « النيشابوري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قُلْتُ لِأَبِي عَبْدِ اللهِ </w:t>
      </w:r>
      <w:r w:rsidRPr="00AC51C5">
        <w:rPr>
          <w:rStyle w:val="libAlaemChar"/>
          <w:rtl/>
        </w:rPr>
        <w:t>عليه‌السلام</w:t>
      </w:r>
      <w:r w:rsidRPr="005D642E">
        <w:rPr>
          <w:rtl/>
          <w:lang w:bidi="fa-IR"/>
        </w:rPr>
        <w:t xml:space="preserve"> : رَجُلٌ تَوَضَّأَ وَهُوَ مُعْتَمٌّ ، فَثَقُلَ </w:t>
      </w:r>
      <w:r w:rsidRPr="007C12DB">
        <w:rPr>
          <w:rStyle w:val="libFootnotenumChar"/>
          <w:rtl/>
        </w:rPr>
        <w:t>(1)</w:t>
      </w:r>
      <w:r w:rsidRPr="005D642E">
        <w:rPr>
          <w:rtl/>
          <w:lang w:bidi="fa-IR"/>
        </w:rPr>
        <w:t xml:space="preserve"> عَلَيْهِ نَزْعُ الْعِمَامَةِ ؛ لِمَكَانِ الْبَرْدِ</w:t>
      </w:r>
      <w:r>
        <w:rPr>
          <w:rtl/>
          <w:lang w:bidi="fa-IR"/>
        </w:rPr>
        <w:t>؟</w:t>
      </w:r>
    </w:p>
    <w:p w:rsidR="00E3253D" w:rsidRPr="005D642E" w:rsidRDefault="00E3253D" w:rsidP="00E3253D">
      <w:pPr>
        <w:pStyle w:val="libNormal"/>
        <w:rPr>
          <w:rtl/>
          <w:lang w:bidi="fa-IR"/>
        </w:rPr>
      </w:pPr>
      <w:r w:rsidRPr="005D642E">
        <w:rPr>
          <w:rtl/>
          <w:lang w:bidi="fa-IR"/>
        </w:rPr>
        <w:t>فَقَالَ : « لِيُدْخِلْ إِصْبَعَهُ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BA33B5" w:rsidRDefault="00E3253D" w:rsidP="00BA33B5">
      <w:pPr>
        <w:pStyle w:val="libNormal"/>
        <w:rPr>
          <w:rtl/>
          <w:lang w:bidi="fa-IR"/>
        </w:rPr>
      </w:pPr>
      <w:r w:rsidRPr="008A6CA7">
        <w:rPr>
          <w:rtl/>
        </w:rPr>
        <w:t>3944</w:t>
      </w:r>
      <w:r w:rsidRPr="00246318">
        <w:rPr>
          <w:rStyle w:val="libBold2Char"/>
          <w:rtl/>
        </w:rPr>
        <w:t xml:space="preserve"> / 4.</w:t>
      </w:r>
      <w:r w:rsidRPr="005D642E">
        <w:rPr>
          <w:rtl/>
          <w:lang w:bidi="fa-IR"/>
        </w:rPr>
        <w:t xml:space="preserve"> عَلِيُّ بْنُ إِبْرَاهِيمَ ، عَنْ أَبِيهِ ؛</w:t>
      </w:r>
    </w:p>
    <w:p w:rsidR="00E3253D" w:rsidRPr="005D642E" w:rsidRDefault="00E3253D" w:rsidP="00BA33B5">
      <w:pPr>
        <w:pStyle w:val="libNormal"/>
        <w:rPr>
          <w:rtl/>
          <w:lang w:bidi="fa-IR"/>
        </w:rPr>
      </w:pPr>
      <w:r w:rsidRPr="005D642E">
        <w:rPr>
          <w:rtl/>
          <w:lang w:bidi="fa-IR"/>
        </w:rPr>
        <w:t>وَمُحَمَّدُ بْنُ إِسْمَاعِيلَ ، عَنِ الْفَضْلِ بْنِ شَاذَانَ جَمِيعاً ، عَنْ حَمَّادِ بْنِ عِيسى ، عَنْ حَرِيزٍ ، عَنْ زُرَارَةَ ، قَالَ :</w:t>
      </w:r>
    </w:p>
    <w:p w:rsidR="00E3253D" w:rsidRPr="005D642E" w:rsidRDefault="00E3253D" w:rsidP="00E3253D">
      <w:pPr>
        <w:pStyle w:val="libNormal"/>
        <w:rPr>
          <w:rtl/>
          <w:lang w:bidi="fa-IR"/>
        </w:rPr>
      </w:pPr>
      <w:r w:rsidRPr="005D642E">
        <w:rPr>
          <w:rtl/>
          <w:lang w:bidi="fa-IR"/>
        </w:rPr>
        <w:t xml:space="preserve">قُلْتُ لِأَبِي جَعْفَرٍ </w:t>
      </w:r>
      <w:r w:rsidRPr="00AC51C5">
        <w:rPr>
          <w:rStyle w:val="libAlaemChar"/>
          <w:rtl/>
        </w:rPr>
        <w:t>عليه‌السلام</w:t>
      </w:r>
      <w:r>
        <w:rPr>
          <w:rtl/>
          <w:lang w:bidi="fa-IR"/>
        </w:rPr>
        <w:t xml:space="preserve"> : أَ</w:t>
      </w:r>
      <w:r w:rsidRPr="005D642E">
        <w:rPr>
          <w:rtl/>
          <w:lang w:bidi="fa-IR"/>
        </w:rPr>
        <w:t>لَا</w:t>
      </w:r>
      <w:r>
        <w:rPr>
          <w:rFonts w:hint="cs"/>
          <w:rtl/>
          <w:lang w:bidi="fa-IR"/>
        </w:rPr>
        <w:t xml:space="preserve"> </w:t>
      </w:r>
      <w:r w:rsidRPr="005D642E">
        <w:rPr>
          <w:rtl/>
          <w:lang w:bidi="fa-IR"/>
        </w:rPr>
        <w:t xml:space="preserve">تُخْبِرُنِي مِنْ أَيْنَ عَلِمْتَ </w:t>
      </w:r>
      <w:r w:rsidRPr="007C12DB">
        <w:rPr>
          <w:rStyle w:val="libFootnotenumChar"/>
          <w:rtl/>
        </w:rPr>
        <w:t>(3)</w:t>
      </w:r>
      <w:r w:rsidRPr="005D642E">
        <w:rPr>
          <w:rtl/>
          <w:lang w:bidi="fa-IR"/>
        </w:rPr>
        <w:t xml:space="preserve"> ، وَقُلْتَ : « إِنَّ الْمَسْحَ بِبَعْضِ الرَّأْسِ ، وَبَعْضِ الرِّجْلَيْنِ</w:t>
      </w:r>
      <w:r>
        <w:rPr>
          <w:rtl/>
          <w:lang w:bidi="fa-IR"/>
        </w:rPr>
        <w:t>؟</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فَضَحِكَ ، ثُمَّ قَالَ : « يَا زُرَارَةُ ، قَالَ </w:t>
      </w:r>
      <w:r w:rsidRPr="007C12DB">
        <w:rPr>
          <w:rStyle w:val="libFootnotenumChar"/>
          <w:rtl/>
        </w:rPr>
        <w:t>(4)</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 وَنَزَلَ بِهِ الْكِتَابُ مِنَ اللهِ ؛ لِأَنَّ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يَقُولُ : </w:t>
      </w:r>
      <w:r w:rsidRPr="00AC51C5">
        <w:rPr>
          <w:rStyle w:val="libAlaemChar"/>
          <w:rtl/>
        </w:rPr>
        <w:t>(</w:t>
      </w:r>
      <w:r w:rsidRPr="00AC51C5">
        <w:rPr>
          <w:rStyle w:val="libAieChar"/>
          <w:rtl/>
        </w:rPr>
        <w:t xml:space="preserve"> فَاغْسِلُوا وُجُوهَكُمْ </w:t>
      </w:r>
      <w:r w:rsidRPr="00AC51C5">
        <w:rPr>
          <w:rStyle w:val="libAlaemChar"/>
          <w:rtl/>
        </w:rPr>
        <w:t>)</w:t>
      </w:r>
      <w:r w:rsidRPr="005D642E">
        <w:rPr>
          <w:rtl/>
          <w:lang w:bidi="fa-IR"/>
        </w:rPr>
        <w:t xml:space="preserve"> فَعَرَفْنَا أَنَّ الْوَجْهَ كُلَّهُ يَنْبَغِي </w:t>
      </w:r>
      <w:r w:rsidRPr="007C12DB">
        <w:rPr>
          <w:rStyle w:val="libFootnotenumChar"/>
          <w:rtl/>
        </w:rPr>
        <w:t>(5)</w:t>
      </w:r>
      <w:r w:rsidRPr="005D642E">
        <w:rPr>
          <w:rtl/>
          <w:lang w:bidi="fa-IR"/>
        </w:rPr>
        <w:t xml:space="preserve"> أَنْ يُغْسَلَ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التهذيب </w:t>
      </w:r>
      <w:r w:rsidR="00E3253D" w:rsidRPr="00E678B5">
        <w:rPr>
          <w:rStyle w:val="libFootnoteBoldChar"/>
          <w:rtl/>
        </w:rPr>
        <w:t>والاستبصار</w:t>
      </w:r>
      <w:r w:rsidR="00E3253D" w:rsidRPr="005D642E">
        <w:rPr>
          <w:rtl/>
        </w:rPr>
        <w:t xml:space="preserve"> : « وثقل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90 ، ح 239 ؛ </w:t>
      </w:r>
      <w:r w:rsidR="00E3253D" w:rsidRPr="00E678B5">
        <w:rPr>
          <w:rStyle w:val="libFootnoteBoldChar"/>
          <w:rtl/>
        </w:rPr>
        <w:t>والاستبصار</w:t>
      </w:r>
      <w:r w:rsidR="00E3253D" w:rsidRPr="005D642E">
        <w:rPr>
          <w:rtl/>
        </w:rPr>
        <w:t xml:space="preserve"> ، ج 1 ، ص 61 ، ح 183 ، معلّقاً عن الكليني. </w:t>
      </w:r>
      <w:r w:rsidR="00E3253D" w:rsidRPr="002F4D34">
        <w:rPr>
          <w:rStyle w:val="libFootnoteBoldChar"/>
          <w:rtl/>
        </w:rPr>
        <w:t>التهذيب</w:t>
      </w:r>
      <w:r w:rsidR="00E3253D" w:rsidRPr="005D642E">
        <w:rPr>
          <w:rtl/>
        </w:rPr>
        <w:t xml:space="preserve"> ، ج 1 ، ص 90 ، ح 238 ، معلّقاً عن حمّاد بن عيسى ، عن بعض أصحابه ، عن أحدهما </w:t>
      </w:r>
      <w:r w:rsidR="00E3253D" w:rsidRPr="0016107C">
        <w:rPr>
          <w:rStyle w:val="libFootnoteAlaemChar"/>
          <w:rtl/>
        </w:rPr>
        <w:t>عليهما‌السلام</w:t>
      </w:r>
      <w:r w:rsidR="00E3253D" w:rsidRPr="005D642E">
        <w:rPr>
          <w:rtl/>
        </w:rPr>
        <w:t xml:space="preserve"> ، مع اختلاف يسير </w:t>
      </w:r>
      <w:r w:rsidR="0016107C">
        <w:rPr>
          <w:rFonts w:hint="cs"/>
          <w:rtl/>
        </w:rPr>
        <w:t>.</w:t>
      </w:r>
      <w:r w:rsidR="00E3253D" w:rsidRPr="002F4D34">
        <w:rPr>
          <w:rStyle w:val="libFootnoteBoldChar"/>
          <w:rtl/>
        </w:rPr>
        <w:t>الوافي</w:t>
      </w:r>
      <w:r w:rsidR="00E3253D" w:rsidRPr="005D642E">
        <w:rPr>
          <w:rtl/>
        </w:rPr>
        <w:t xml:space="preserve"> ، ج 6 ، ص 282 ، ح 4297 ؛ </w:t>
      </w:r>
      <w:r w:rsidR="00E3253D" w:rsidRPr="002F4D34">
        <w:rPr>
          <w:rStyle w:val="libFootnoteBoldChar"/>
          <w:rtl/>
        </w:rPr>
        <w:t>الوسائل</w:t>
      </w:r>
      <w:r w:rsidR="00E3253D" w:rsidRPr="005D642E">
        <w:rPr>
          <w:rtl/>
        </w:rPr>
        <w:t xml:space="preserve"> ، ج 1 ، ص 416 ، ح 1083.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الحبل المتين</w:t>
      </w:r>
      <w:r w:rsidR="00E3253D" w:rsidRPr="005D642E">
        <w:rPr>
          <w:rtl/>
        </w:rPr>
        <w:t xml:space="preserve"> ، ص 67 : « أقول : وقد يظنّ أنّ</w:t>
      </w:r>
      <w:r w:rsidR="00E3253D">
        <w:rPr>
          <w:rtl/>
        </w:rPr>
        <w:t xml:space="preserve"> ..</w:t>
      </w:r>
      <w:r w:rsidR="00E3253D" w:rsidRPr="005D642E">
        <w:rPr>
          <w:rtl/>
        </w:rPr>
        <w:t xml:space="preserve">. قول زرارة للباقر </w:t>
      </w:r>
      <w:r w:rsidR="00E3253D" w:rsidRPr="0016107C">
        <w:rPr>
          <w:rStyle w:val="libFootnoteAlaemChar"/>
          <w:rtl/>
        </w:rPr>
        <w:t>عليه‌السلام</w:t>
      </w:r>
      <w:r w:rsidR="00E3253D" w:rsidRPr="005D642E">
        <w:rPr>
          <w:rtl/>
        </w:rPr>
        <w:t xml:space="preserve"> : ألا تخبرني من أين علمت ، يُنبئ عن‌سوء أدبه وقلّة احترامه للإمام </w:t>
      </w:r>
      <w:r w:rsidR="00E3253D" w:rsidRPr="0016107C">
        <w:rPr>
          <w:rStyle w:val="libFootnoteAlaemChar"/>
          <w:rtl/>
        </w:rPr>
        <w:t>عليه‌السلام</w:t>
      </w:r>
      <w:r w:rsidR="00E3253D" w:rsidRPr="005D642E">
        <w:rPr>
          <w:rtl/>
        </w:rPr>
        <w:t xml:space="preserve"> ، وهو قدح عظيم في شأنه. وجوابه أنّ زرارة رضى الله عنه أوضح حالاً وأرفع قدراً من أن يظنّ به ذلك ، ولكنّه كان ممتحناً بمخالطة علماء العامّة ، وكانوا ربّما بحثوا معه في بعض المسائل وطالبوه عليها بالدلائل التي ربّما عجز عنها فأراد أن يستفيد من الإمام </w:t>
      </w:r>
      <w:r w:rsidR="00E3253D" w:rsidRPr="0016107C">
        <w:rPr>
          <w:rStyle w:val="libFootnoteAlaemChar"/>
          <w:rtl/>
        </w:rPr>
        <w:t>عليه‌السلام</w:t>
      </w:r>
      <w:r w:rsidR="00E3253D" w:rsidRPr="005D642E">
        <w:rPr>
          <w:rtl/>
        </w:rPr>
        <w:t xml:space="preserve"> ما يسكتهم به ويردّ شبهاتهم ويخلص من تعجيزهم فعبّر بتلك العبارة من دون تأمّل معتمداً على رسوخ عقيدته واثقاً بعلم الإمام </w:t>
      </w:r>
      <w:r w:rsidR="00E3253D" w:rsidRPr="0016107C">
        <w:rPr>
          <w:rStyle w:val="libFootnoteAlaemChar"/>
          <w:rtl/>
        </w:rPr>
        <w:t>عليه‌السلام</w:t>
      </w:r>
      <w:r w:rsidR="00E3253D" w:rsidRPr="005D642E">
        <w:rPr>
          <w:rtl/>
        </w:rPr>
        <w:t xml:space="preserve">. وربّما قرئ قوله : من أين علمت وقلت ، بتاء المتكلّم ، أي أخبرني بمستند علمي بذلك ودليل قولي به ؛ فإنّي جازم بالمدّعى غير عالم بدليله. وعلى هذا فلا إشكال ، وفي ضحكه </w:t>
      </w:r>
      <w:r w:rsidR="00E3253D" w:rsidRPr="0016107C">
        <w:rPr>
          <w:rStyle w:val="libFootnoteAlaemChar"/>
          <w:rtl/>
        </w:rPr>
        <w:t>عليه‌السلام</w:t>
      </w:r>
      <w:r w:rsidR="00E3253D" w:rsidRPr="005D642E">
        <w:rPr>
          <w:rtl/>
        </w:rPr>
        <w:t xml:space="preserve"> عند سماع كلامه هذا ، نوع تأييد لهذا الوجه »</w:t>
      </w:r>
      <w:r w:rsidR="00E3253D">
        <w:rPr>
          <w:rtl/>
        </w:rPr>
        <w:t>.</w:t>
      </w:r>
      <w:r w:rsidR="00E3253D" w:rsidRPr="005D642E">
        <w:rPr>
          <w:rtl/>
        </w:rPr>
        <w:t xml:space="preserve"> وراجع أيضاً : </w:t>
      </w:r>
      <w:r w:rsidR="00E3253D" w:rsidRPr="002F4D34">
        <w:rPr>
          <w:rStyle w:val="libFootnoteBoldChar"/>
          <w:rtl/>
        </w:rPr>
        <w:t>الوافي</w:t>
      </w:r>
      <w:r w:rsidR="00E3253D" w:rsidRPr="005D642E">
        <w:rPr>
          <w:rtl/>
        </w:rPr>
        <w:t xml:space="preserve"> ، ج 6 ، ص 283 ؛ </w:t>
      </w:r>
      <w:r w:rsidR="00E3253D" w:rsidRPr="002F4D34">
        <w:rPr>
          <w:rStyle w:val="libFootnoteBoldChar"/>
          <w:rtl/>
        </w:rPr>
        <w:t>مرآة العقول</w:t>
      </w:r>
      <w:r w:rsidR="00E3253D" w:rsidRPr="005D642E">
        <w:rPr>
          <w:rtl/>
        </w:rPr>
        <w:t xml:space="preserve"> ، ج 13 ، ص 96.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والعلل : « قاله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جس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9E68BB" w:rsidRPr="009E68BB">
        <w:rPr>
          <w:rStyle w:val="libFootnoteBoldChar"/>
          <w:rtl/>
        </w:rPr>
        <w:t>وتفسير العيّاشي</w:t>
      </w:r>
      <w:r w:rsidR="00E3253D" w:rsidRPr="005D642E">
        <w:rPr>
          <w:rtl/>
        </w:rPr>
        <w:t xml:space="preserve"> والعلل : + « له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الاستبصار : « أن يغسله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16107C">
      <w:pPr>
        <w:pStyle w:val="libNormal0"/>
        <w:rPr>
          <w:rtl/>
          <w:lang w:bidi="fa-IR"/>
        </w:rPr>
      </w:pPr>
      <w:r w:rsidRPr="005D642E">
        <w:rPr>
          <w:rtl/>
          <w:lang w:bidi="fa-IR"/>
        </w:rPr>
        <w:lastRenderedPageBreak/>
        <w:t xml:space="preserve">ثُمَّ قَالَ : </w:t>
      </w:r>
      <w:r w:rsidRPr="00AC51C5">
        <w:rPr>
          <w:rStyle w:val="libAlaemChar"/>
          <w:rtl/>
        </w:rPr>
        <w:t>(</w:t>
      </w:r>
      <w:r w:rsidRPr="00AC51C5">
        <w:rPr>
          <w:rStyle w:val="libAieChar"/>
          <w:rtl/>
        </w:rPr>
        <w:t xml:space="preserve"> وَأَيْدِيَكُمْ إِلَى الْمَرافِقِ </w:t>
      </w:r>
      <w:r w:rsidRPr="00AC51C5">
        <w:rPr>
          <w:rStyle w:val="libAlaemChar"/>
          <w:rtl/>
        </w:rPr>
        <w:t>)</w:t>
      </w:r>
      <w:r w:rsidRPr="005D642E">
        <w:rPr>
          <w:rtl/>
          <w:lang w:bidi="fa-IR"/>
        </w:rPr>
        <w:t xml:space="preserve"> ثُمَّ فَصَّلَ بَيْنَ الْكَلَامِ </w:t>
      </w:r>
      <w:r w:rsidRPr="007C12DB">
        <w:rPr>
          <w:rStyle w:val="libFootnotenumChar"/>
          <w:rtl/>
        </w:rPr>
        <w:t>(1)</w:t>
      </w:r>
      <w:r w:rsidRPr="005D642E">
        <w:rPr>
          <w:rtl/>
          <w:lang w:bidi="fa-IR"/>
        </w:rPr>
        <w:t xml:space="preserve"> ، فَقَالَ : </w:t>
      </w:r>
      <w:r w:rsidRPr="00AC51C5">
        <w:rPr>
          <w:rStyle w:val="libAlaemChar"/>
          <w:rtl/>
        </w:rPr>
        <w:t>(</w:t>
      </w:r>
      <w:r w:rsidRPr="00AC51C5">
        <w:rPr>
          <w:rStyle w:val="libAieChar"/>
          <w:rtl/>
        </w:rPr>
        <w:t xml:space="preserve"> وَامْسَحُوا بِرُؤُسِكُمْ</w:t>
      </w:r>
      <w:r w:rsidRPr="00AC51C5">
        <w:rPr>
          <w:rStyle w:val="libAlaemChar"/>
          <w:rtl/>
        </w:rPr>
        <w:t>)</w:t>
      </w:r>
      <w:r w:rsidRPr="005D642E">
        <w:rPr>
          <w:rtl/>
          <w:lang w:bidi="fa-IR"/>
        </w:rPr>
        <w:t xml:space="preserve"> فَعَرَفْنَا حِينَ قَالَ : </w:t>
      </w:r>
      <w:r w:rsidRPr="00AC51C5">
        <w:rPr>
          <w:rStyle w:val="libAlaemChar"/>
          <w:rtl/>
        </w:rPr>
        <w:t>(</w:t>
      </w:r>
      <w:r w:rsidRPr="00AC51C5">
        <w:rPr>
          <w:rStyle w:val="libAieChar"/>
          <w:rtl/>
        </w:rPr>
        <w:t xml:space="preserve"> بِرُؤُسِكُمْ </w:t>
      </w:r>
      <w:r w:rsidRPr="00AC51C5">
        <w:rPr>
          <w:rStyle w:val="libAlaemChar"/>
          <w:rtl/>
        </w:rPr>
        <w:t>)</w:t>
      </w:r>
      <w:r w:rsidRPr="005D642E">
        <w:rPr>
          <w:rtl/>
          <w:lang w:bidi="fa-IR"/>
        </w:rPr>
        <w:t xml:space="preserve"> أَنَّ الْمَسْحَ بِبَعْضِ الرَّأْسِ </w:t>
      </w:r>
      <w:r w:rsidRPr="007C12DB">
        <w:rPr>
          <w:rStyle w:val="libFootnotenumChar"/>
          <w:rtl/>
        </w:rPr>
        <w:t>(2)</w:t>
      </w:r>
      <w:r w:rsidRPr="005D642E">
        <w:rPr>
          <w:rtl/>
          <w:lang w:bidi="fa-IR"/>
        </w:rPr>
        <w:t xml:space="preserve"> ؛ لِمَكَانِ الْبَاءِ ، ثُمَّ وَصَلَ الرِّجْلَيْنِ بِالرَّأْسِ ، كَمَا وَصَلَ الْيَدَيْنِ بِالْوَجْهِ ، فَقَالَ : </w:t>
      </w:r>
      <w:r w:rsidRPr="00AC51C5">
        <w:rPr>
          <w:rStyle w:val="libAlaemChar"/>
          <w:rtl/>
        </w:rPr>
        <w:t>(</w:t>
      </w:r>
      <w:r w:rsidRPr="00AC51C5">
        <w:rPr>
          <w:rStyle w:val="libAieChar"/>
          <w:rtl/>
        </w:rPr>
        <w:t xml:space="preserve"> وَأَرْجُلَكُمْ إِلَى الْكَعْبَيْنِ </w:t>
      </w:r>
      <w:r w:rsidRPr="00AC51C5">
        <w:rPr>
          <w:rStyle w:val="libAlaemChar"/>
          <w:rtl/>
        </w:rPr>
        <w:t>)</w:t>
      </w:r>
      <w:r w:rsidRPr="005D642E">
        <w:rPr>
          <w:rtl/>
          <w:lang w:bidi="fa-IR"/>
        </w:rPr>
        <w:t xml:space="preserve"> فَعَرَفْنَا حِينَ وَصَلَهَا </w:t>
      </w:r>
      <w:r w:rsidRPr="007C12DB">
        <w:rPr>
          <w:rStyle w:val="libFootnotenumChar"/>
          <w:rtl/>
        </w:rPr>
        <w:t>(3)</w:t>
      </w:r>
      <w:r w:rsidRPr="005D642E">
        <w:rPr>
          <w:rtl/>
          <w:lang w:bidi="fa-IR"/>
        </w:rPr>
        <w:t xml:space="preserve"> بِالرَّأْسِ أَنَّ الْمَسْحَ عَلى بَعْضِهَا </w:t>
      </w:r>
      <w:r w:rsidRPr="007C12DB">
        <w:rPr>
          <w:rStyle w:val="libFootnotenumChar"/>
          <w:rtl/>
        </w:rPr>
        <w:t>(4)</w:t>
      </w:r>
      <w:r w:rsidRPr="005D642E">
        <w:rPr>
          <w:rtl/>
          <w:lang w:bidi="fa-IR"/>
        </w:rPr>
        <w:t xml:space="preserve"> ، ثُمَّ فَسَّرَ </w:t>
      </w:r>
      <w:r w:rsidRPr="007C12DB">
        <w:rPr>
          <w:rStyle w:val="libFootnotenumChar"/>
          <w:rtl/>
        </w:rPr>
        <w:t>(5)</w:t>
      </w:r>
      <w:r w:rsidRPr="005D642E">
        <w:rPr>
          <w:rtl/>
          <w:lang w:bidi="fa-IR"/>
        </w:rPr>
        <w:t xml:space="preserve"> ذلِكَ رَسُولُ اللهِ </w:t>
      </w:r>
      <w:r w:rsidR="0042621E" w:rsidRPr="0042621E">
        <w:rPr>
          <w:rStyle w:val="libAlaemChar"/>
          <w:rtl/>
        </w:rPr>
        <w:t>صلى‌الله‌عليه‌وآله</w:t>
      </w:r>
      <w:r w:rsidRPr="005D642E">
        <w:rPr>
          <w:rtl/>
          <w:lang w:bidi="fa-IR"/>
        </w:rPr>
        <w:t xml:space="preserve"> لِلنَّاسِ ، فَضَيَّعُوهُ </w:t>
      </w:r>
      <w:r w:rsidRPr="007C12DB">
        <w:rPr>
          <w:rStyle w:val="libFootnotenumChar"/>
          <w:rtl/>
        </w:rPr>
        <w:t>(6)</w:t>
      </w:r>
      <w:r w:rsidRPr="005D642E">
        <w:rPr>
          <w:rtl/>
          <w:lang w:bidi="fa-IR"/>
        </w:rPr>
        <w:t xml:space="preserve"> ، ثُمَّ قَالَ : </w:t>
      </w:r>
      <w:r w:rsidRPr="00AC51C5">
        <w:rPr>
          <w:rStyle w:val="libAlaemChar"/>
          <w:rtl/>
        </w:rPr>
        <w:t>(</w:t>
      </w:r>
      <w:r w:rsidRPr="00AC51C5">
        <w:rPr>
          <w:rStyle w:val="libAieChar"/>
          <w:rtl/>
        </w:rPr>
        <w:t xml:space="preserve"> فَلَمْ تَجِدُوا </w:t>
      </w:r>
      <w:r w:rsidRPr="007C12DB">
        <w:rPr>
          <w:rStyle w:val="libFootnotenumChar"/>
          <w:rtl/>
        </w:rPr>
        <w:t>(7)</w:t>
      </w:r>
      <w:r w:rsidRPr="00AC51C5">
        <w:rPr>
          <w:rStyle w:val="libAieChar"/>
          <w:rtl/>
        </w:rPr>
        <w:t xml:space="preserve">ماءً فَتَيَمَّمُوا صَعِيداً طَيِّباً فَامْسَحُوا بِوُجُوهِكُمْ وَأَيْدِيكُمْ مِنْهُ </w:t>
      </w:r>
      <w:r w:rsidRPr="00AC51C5">
        <w:rPr>
          <w:rStyle w:val="libAlaemChar"/>
          <w:rtl/>
        </w:rPr>
        <w:t>)</w:t>
      </w:r>
      <w:r w:rsidRPr="005D642E">
        <w:rPr>
          <w:rtl/>
          <w:lang w:bidi="fa-IR"/>
        </w:rPr>
        <w:t xml:space="preserve"> فَلَمَّا </w:t>
      </w:r>
      <w:r w:rsidRPr="007C12DB">
        <w:rPr>
          <w:rStyle w:val="libFootnotenumChar"/>
          <w:rtl/>
        </w:rPr>
        <w:t>(8)</w:t>
      </w:r>
      <w:r w:rsidRPr="005D642E">
        <w:rPr>
          <w:rtl/>
          <w:lang w:bidi="fa-IR"/>
        </w:rPr>
        <w:t xml:space="preserve"> وَضَعَ الْوُضُوءَ </w:t>
      </w:r>
      <w:r w:rsidRPr="007C12DB">
        <w:rPr>
          <w:rStyle w:val="libFootnotenumChar"/>
          <w:rtl/>
        </w:rPr>
        <w:t>(9)</w:t>
      </w:r>
      <w:r w:rsidRPr="005D642E">
        <w:rPr>
          <w:rtl/>
          <w:lang w:bidi="fa-IR"/>
        </w:rPr>
        <w:t xml:space="preserve"> إِنْ لَمْ تَجِدُوا </w:t>
      </w:r>
      <w:r w:rsidRPr="007C12DB">
        <w:rPr>
          <w:rStyle w:val="libFootnotenumChar"/>
          <w:rtl/>
        </w:rPr>
        <w:t>(10)</w:t>
      </w:r>
      <w:r w:rsidRPr="005D642E">
        <w:rPr>
          <w:rtl/>
          <w:lang w:bidi="fa-IR"/>
        </w:rPr>
        <w:t xml:space="preserve"> الْمَاءَ </w:t>
      </w:r>
      <w:r w:rsidRPr="007C12DB">
        <w:rPr>
          <w:rStyle w:val="libFootnotenumChar"/>
          <w:rtl/>
        </w:rPr>
        <w:t>(11)</w:t>
      </w:r>
      <w:r w:rsidRPr="005D642E">
        <w:rPr>
          <w:rtl/>
          <w:lang w:bidi="fa-IR"/>
        </w:rPr>
        <w:t xml:space="preserve"> ، أَثْبَتَ بَعْضَ </w:t>
      </w:r>
      <w:r w:rsidRPr="007C12DB">
        <w:rPr>
          <w:rStyle w:val="libFootnotenumChar"/>
          <w:rtl/>
        </w:rPr>
        <w:t>(12)</w:t>
      </w:r>
      <w:r w:rsidRPr="005D642E">
        <w:rPr>
          <w:rtl/>
          <w:lang w:bidi="fa-IR"/>
        </w:rPr>
        <w:t xml:space="preserve"> الْغَسْلِ مَسْحاً ؛ لِأَنَّهُ قَالَ : </w:t>
      </w:r>
      <w:r w:rsidRPr="00AC51C5">
        <w:rPr>
          <w:rStyle w:val="libAlaemChar"/>
          <w:rtl/>
        </w:rPr>
        <w:t>(</w:t>
      </w:r>
      <w:r w:rsidRPr="00AC51C5">
        <w:rPr>
          <w:rStyle w:val="libAieChar"/>
          <w:rtl/>
        </w:rPr>
        <w:t xml:space="preserve">بِوُجُوهِكُمْ </w:t>
      </w:r>
      <w:r w:rsidRPr="00AC51C5">
        <w:rPr>
          <w:rStyle w:val="libAlaemChar"/>
          <w:rtl/>
        </w:rPr>
        <w:t>)</w:t>
      </w:r>
      <w:r w:rsidRPr="005D642E">
        <w:rPr>
          <w:rtl/>
          <w:lang w:bidi="fa-IR"/>
        </w:rPr>
        <w:t xml:space="preserve"> </w:t>
      </w:r>
      <w:r w:rsidRPr="007C12DB">
        <w:rPr>
          <w:rStyle w:val="libFootnotenumChar"/>
          <w:rtl/>
        </w:rPr>
        <w:t>(13)</w:t>
      </w:r>
      <w:r>
        <w:rPr>
          <w:rtl/>
          <w:lang w:bidi="fa-IR"/>
        </w:rPr>
        <w:t xml:space="preserve"> </w:t>
      </w:r>
      <w:r w:rsidRPr="005D642E">
        <w:rPr>
          <w:rtl/>
          <w:lang w:bidi="fa-IR"/>
        </w:rPr>
        <w:t>ثُمَّ وَصَلَ بِهَا</w:t>
      </w:r>
      <w:r w:rsidRPr="00AC51C5">
        <w:rPr>
          <w:rStyle w:val="libAlaemChar"/>
          <w:rtl/>
        </w:rPr>
        <w:t>(</w:t>
      </w:r>
      <w:r w:rsidRPr="00AC51C5">
        <w:rPr>
          <w:rStyle w:val="libAieChar"/>
          <w:rtl/>
        </w:rPr>
        <w:t xml:space="preserve"> وَأَيْدِيَكُمْ </w:t>
      </w:r>
      <w:r w:rsidRPr="00AC51C5">
        <w:rPr>
          <w:rStyle w:val="libAlaemChar"/>
          <w:rtl/>
        </w:rPr>
        <w:t>)</w:t>
      </w:r>
      <w:r w:rsidRPr="005D642E">
        <w:rPr>
          <w:rtl/>
          <w:lang w:bidi="fa-IR"/>
        </w:rPr>
        <w:t xml:space="preserve"> ثُمَّ قَالَ : </w:t>
      </w:r>
      <w:r w:rsidRPr="00AC51C5">
        <w:rPr>
          <w:rStyle w:val="libAlaemChar"/>
          <w:rtl/>
        </w:rPr>
        <w:t>(</w:t>
      </w:r>
      <w:r w:rsidRPr="00AC51C5">
        <w:rPr>
          <w:rStyle w:val="libAieChar"/>
          <w:rtl/>
        </w:rPr>
        <w:t xml:space="preserve"> مِنْهُ </w:t>
      </w:r>
      <w:r w:rsidRPr="00AC51C5">
        <w:rPr>
          <w:rStyle w:val="libAlaemChar"/>
          <w:rtl/>
        </w:rPr>
        <w:t>)</w:t>
      </w:r>
      <w:r w:rsidRPr="005D642E">
        <w:rPr>
          <w:rtl/>
          <w:lang w:bidi="fa-IR"/>
        </w:rPr>
        <w:t xml:space="preserve"> أَيْ مِنْ ذلِكَ التَّيَمُّمِ ؛ لِأَنَّهُ عَلِمَ أَنَّ ذلِكَ أَجْمَعَ </w:t>
      </w:r>
      <w:r w:rsidRPr="007C12DB">
        <w:rPr>
          <w:rStyle w:val="libFootnotenumChar"/>
          <w:rtl/>
        </w:rPr>
        <w:t>(</w:t>
      </w:r>
      <w:r w:rsidRPr="007C12DB">
        <w:rPr>
          <w:rStyle w:val="libFootnotenumChar"/>
          <w:rFonts w:hint="cs"/>
          <w:rtl/>
        </w:rPr>
        <w:t>14</w:t>
      </w:r>
      <w:r w:rsidRPr="007C12DB">
        <w:rPr>
          <w:rStyle w:val="libFootnotenumChar"/>
          <w:rtl/>
        </w:rPr>
        <w:t>)</w:t>
      </w:r>
      <w:r w:rsidRPr="005D642E">
        <w:rPr>
          <w:rtl/>
          <w:lang w:bidi="fa-IR"/>
        </w:rPr>
        <w:t xml:space="preserve"> لَمْ يَجْرِ </w:t>
      </w:r>
      <w:r w:rsidRPr="007C12DB">
        <w:rPr>
          <w:rStyle w:val="libFootnotenumChar"/>
          <w:rtl/>
        </w:rPr>
        <w:t>(</w:t>
      </w:r>
      <w:r w:rsidRPr="007C12DB">
        <w:rPr>
          <w:rStyle w:val="libFootnotenumChar"/>
          <w:rFonts w:hint="cs"/>
          <w:rtl/>
        </w:rPr>
        <w:t>15</w:t>
      </w:r>
      <w:r w:rsidRPr="007C12DB">
        <w:rPr>
          <w:rStyle w:val="libFootnotenumChar"/>
          <w:rtl/>
        </w:rPr>
        <w:t>)</w:t>
      </w:r>
      <w:r w:rsidRPr="005D642E">
        <w:rPr>
          <w:rtl/>
          <w:lang w:bidi="fa-IR"/>
        </w:rPr>
        <w:t xml:space="preserve"> عَلَى الْوَجْهِ ؛ لِأَنَّهُ يَعْلَقُ </w:t>
      </w:r>
      <w:r w:rsidRPr="007C12DB">
        <w:rPr>
          <w:rStyle w:val="libFootnotenumChar"/>
          <w:rtl/>
        </w:rPr>
        <w:t>(</w:t>
      </w:r>
      <w:r w:rsidRPr="007C12DB">
        <w:rPr>
          <w:rStyle w:val="libFootnotenumChar"/>
          <w:rFonts w:hint="cs"/>
          <w:rtl/>
        </w:rPr>
        <w:t>16</w:t>
      </w:r>
      <w:r w:rsidRPr="007C12DB">
        <w:rPr>
          <w:rStyle w:val="libFootnotenumChar"/>
          <w:rtl/>
        </w:rPr>
        <w:t>)</w:t>
      </w:r>
      <w:r w:rsidRPr="005D642E">
        <w:rPr>
          <w:rtl/>
          <w:lang w:bidi="fa-IR"/>
        </w:rPr>
        <w:t xml:space="preserve"> مِنْ ذلِكَ </w:t>
      </w:r>
      <w:r w:rsidRPr="007C12DB">
        <w:rPr>
          <w:rStyle w:val="libFootnotenumChar"/>
          <w:rtl/>
        </w:rPr>
        <w:t>(</w:t>
      </w:r>
      <w:r w:rsidRPr="007C12DB">
        <w:rPr>
          <w:rStyle w:val="libFootnotenumChar"/>
          <w:rFonts w:hint="cs"/>
          <w:rtl/>
        </w:rPr>
        <w:t>17</w:t>
      </w:r>
      <w:r w:rsidRPr="007C12DB">
        <w:rPr>
          <w:rStyle w:val="libFootnotenumChar"/>
          <w:rtl/>
        </w:rPr>
        <w:t>)</w:t>
      </w:r>
      <w:r w:rsidRPr="005D642E">
        <w:rPr>
          <w:rtl/>
          <w:lang w:bidi="fa-IR"/>
        </w:rPr>
        <w:t xml:space="preserve"> الصَّعِيدِ بِبَعْضِ الْكَفِّ ، وَلَايَعْلَقُ بِبَعْضِهَا </w:t>
      </w:r>
      <w:r w:rsidRPr="007C12DB">
        <w:rPr>
          <w:rStyle w:val="libFootnotenumChar"/>
          <w:rtl/>
        </w:rPr>
        <w:t>(</w:t>
      </w:r>
      <w:r w:rsidRPr="007C12DB">
        <w:rPr>
          <w:rStyle w:val="libFootnotenumChar"/>
          <w:rFonts w:hint="cs"/>
          <w:rtl/>
        </w:rPr>
        <w:t>18</w:t>
      </w:r>
      <w:r w:rsidRPr="007C12DB">
        <w:rPr>
          <w:rStyle w:val="libFootnotenumChar"/>
          <w:rtl/>
        </w:rPr>
        <w:t>)</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بح ، جح » وحاشية « بث » </w:t>
      </w:r>
      <w:r w:rsidR="000D749A" w:rsidRPr="000D749A">
        <w:rPr>
          <w:rStyle w:val="libFootnoteBoldChar"/>
          <w:rtl/>
        </w:rPr>
        <w:t>والمرآة</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والعلل : « الكلامين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الرأس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9E68BB" w:rsidRPr="009E68BB">
        <w:rPr>
          <w:rStyle w:val="libFootnoteBoldChar"/>
          <w:rtl/>
        </w:rPr>
        <w:t>وتفسير العيّاشي</w:t>
      </w:r>
      <w:r w:rsidR="00E3253D" w:rsidRPr="005D642E">
        <w:rPr>
          <w:rtl/>
        </w:rPr>
        <w:t xml:space="preserve"> : « وصلهما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w:t>
      </w:r>
      <w:r w:rsidR="009E68BB" w:rsidRPr="009E68BB">
        <w:rPr>
          <w:rStyle w:val="libFootnoteBoldChar"/>
          <w:rtl/>
        </w:rPr>
        <w:t>وتفسير العيّاشي</w:t>
      </w:r>
      <w:r w:rsidR="00E3253D" w:rsidRPr="005D642E">
        <w:rPr>
          <w:rtl/>
        </w:rPr>
        <w:t xml:space="preserve"> : « بعضهما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الاستبصار : « ببعضهما ثمّ سنّ » بدل « على بعضها ثمّ فسّر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بف ، جس » وحاشية « بث » : « فصنعوه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فإن لم تجدوا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المرآة : + « أن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مرآة العقول</w:t>
      </w:r>
      <w:r w:rsidR="00E3253D" w:rsidRPr="005D642E">
        <w:rPr>
          <w:rtl/>
        </w:rPr>
        <w:t xml:space="preserve"> : « الظاهر أنّ المراد بالوضوء هنا معناه اللغوي أعمّ من الوضوء والغسل الشرعي بقرينة المقام ، أي ل</w:t>
      </w:r>
      <w:r w:rsidR="000F2084">
        <w:rPr>
          <w:rFonts w:hint="cs"/>
          <w:rtl/>
        </w:rPr>
        <w:t>ـ</w:t>
      </w:r>
      <w:r w:rsidR="00E3253D" w:rsidRPr="005D642E">
        <w:rPr>
          <w:rtl/>
        </w:rPr>
        <w:t>مّا أسقط الله عزّوجلّ تكليف الوضوء والغسل عمّن لم يجد الماء ، أثبت مسح بعض من بعض مواضع الغسل التي هي الوجه واليدان للتخفيف »</w:t>
      </w:r>
      <w:r w:rsidR="00E3253D">
        <w:rPr>
          <w:rtl/>
        </w:rPr>
        <w:t>.</w:t>
      </w:r>
    </w:p>
    <w:p w:rsidR="00E3253D" w:rsidRPr="005D642E" w:rsidRDefault="0042621E" w:rsidP="000F2084">
      <w:pPr>
        <w:pStyle w:val="libFootnote0"/>
        <w:rPr>
          <w:rtl/>
          <w:lang w:bidi="fa-IR"/>
        </w:rPr>
      </w:pPr>
      <w:r w:rsidRPr="0042621E">
        <w:rPr>
          <w:rStyle w:val="libFootnote0Char"/>
          <w:rtl/>
        </w:rPr>
        <w:t>(10).</w:t>
      </w:r>
      <w:r w:rsidR="00E3253D" w:rsidRPr="005D642E">
        <w:rPr>
          <w:rtl/>
        </w:rPr>
        <w:t xml:space="preserve"> في « بث ، بخ » : « إن لم يجدوا »</w:t>
      </w:r>
      <w:r w:rsidR="00E3253D">
        <w:rPr>
          <w:rtl/>
        </w:rPr>
        <w:t>.</w:t>
      </w:r>
      <w:r w:rsidR="00E3253D" w:rsidRPr="005D642E">
        <w:rPr>
          <w:rtl/>
        </w:rPr>
        <w:t xml:space="preserve"> وفي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9E68BB" w:rsidRPr="009E68BB">
        <w:rPr>
          <w:rStyle w:val="libFootnoteBoldChar"/>
          <w:rtl/>
        </w:rPr>
        <w:t>وتفسير العيّاشي</w:t>
      </w:r>
      <w:r w:rsidR="00E3253D" w:rsidRPr="005D642E">
        <w:rPr>
          <w:rtl/>
        </w:rPr>
        <w:t xml:space="preserve"> : « عمّن لم تجدوا » بدل « إن لم تجدوا »</w:t>
      </w:r>
      <w:r w:rsidR="00E3253D">
        <w:rPr>
          <w:rtl/>
        </w:rPr>
        <w:t>.</w:t>
      </w:r>
      <w:r w:rsidR="000F2084">
        <w:rPr>
          <w:rFonts w:hint="cs"/>
          <w:rtl/>
        </w:rPr>
        <w:t xml:space="preserve">                         </w:t>
      </w:r>
      <w:r w:rsidR="00947156">
        <w:rPr>
          <w:rFonts w:hint="cs"/>
          <w:rtl/>
        </w:rPr>
        <w:t xml:space="preserve">         </w:t>
      </w:r>
      <w:r w:rsidR="000F2084">
        <w:rPr>
          <w:rFonts w:hint="cs"/>
          <w:rtl/>
        </w:rPr>
        <w:t xml:space="preserve">   </w:t>
      </w:r>
      <w:r w:rsidRPr="0042621E">
        <w:rPr>
          <w:rStyle w:val="libFootnote0Char"/>
          <w:rtl/>
        </w:rPr>
        <w:t>(11).</w:t>
      </w:r>
      <w:r w:rsidR="00947156">
        <w:rPr>
          <w:rtl/>
        </w:rPr>
        <w:t xml:space="preserve"> في«جس»:</w:t>
      </w:r>
      <w:r w:rsidR="000F2084" w:rsidRPr="005D642E">
        <w:rPr>
          <w:rtl/>
        </w:rPr>
        <w:t>«</w:t>
      </w:r>
      <w:r w:rsidR="00E3253D" w:rsidRPr="000F2084">
        <w:rPr>
          <w:rtl/>
        </w:rPr>
        <w:t>ماءً فَتَيَمَّمُوا</w:t>
      </w:r>
      <w:r w:rsidR="000F2084" w:rsidRPr="005D642E">
        <w:rPr>
          <w:rtl/>
        </w:rPr>
        <w:t>»</w:t>
      </w:r>
      <w:r w:rsidR="00947156">
        <w:rPr>
          <w:rtl/>
        </w:rPr>
        <w:t>بدل«الماء</w:t>
      </w:r>
      <w:r w:rsidR="00E3253D" w:rsidRPr="005D642E">
        <w:rPr>
          <w:rtl/>
        </w:rPr>
        <w:t>»</w:t>
      </w:r>
      <w:r w:rsidR="00E3253D">
        <w:rPr>
          <w:rtl/>
        </w:rPr>
        <w:t>.</w:t>
      </w:r>
    </w:p>
    <w:tbl>
      <w:tblPr>
        <w:tblStyle w:val="TableGrid"/>
        <w:bidiVisual/>
        <w:tblW w:w="0" w:type="auto"/>
        <w:tblLook w:val="04A0" w:firstRow="1" w:lastRow="0" w:firstColumn="1" w:lastColumn="0" w:noHBand="0" w:noVBand="1"/>
      </w:tblPr>
      <w:tblGrid>
        <w:gridCol w:w="4006"/>
        <w:gridCol w:w="4006"/>
      </w:tblGrid>
      <w:tr w:rsidR="0095649A" w:rsidTr="0095649A">
        <w:tc>
          <w:tcPr>
            <w:tcW w:w="4006" w:type="dxa"/>
          </w:tcPr>
          <w:p w:rsidR="0095649A" w:rsidRDefault="0095649A" w:rsidP="00E3253D">
            <w:pPr>
              <w:pStyle w:val="libFootnote0"/>
              <w:rPr>
                <w:rStyle w:val="libFootnote0Char"/>
                <w:rtl/>
              </w:rPr>
            </w:pPr>
            <w:r w:rsidRPr="0042621E">
              <w:rPr>
                <w:rStyle w:val="libFootnote0Char"/>
                <w:rtl/>
              </w:rPr>
              <w:t>(12).</w:t>
            </w:r>
            <w:r w:rsidRPr="005D642E">
              <w:rPr>
                <w:rtl/>
              </w:rPr>
              <w:t xml:space="preserve"> في التهذيب : « بعوض »</w:t>
            </w:r>
            <w:r>
              <w:rPr>
                <w:rtl/>
              </w:rPr>
              <w:t>.</w:t>
            </w:r>
          </w:p>
        </w:tc>
        <w:tc>
          <w:tcPr>
            <w:tcW w:w="4006" w:type="dxa"/>
          </w:tcPr>
          <w:p w:rsidR="0095649A" w:rsidRDefault="0095649A" w:rsidP="00E3253D">
            <w:pPr>
              <w:pStyle w:val="libFootnote0"/>
              <w:rPr>
                <w:rStyle w:val="libFootnote0Char"/>
                <w:rtl/>
              </w:rPr>
            </w:pPr>
            <w:r w:rsidRPr="0042621E">
              <w:rPr>
                <w:rStyle w:val="libFootnote0Char"/>
                <w:rtl/>
              </w:rPr>
              <w:t>(13).</w:t>
            </w:r>
            <w:r w:rsidRPr="005D642E">
              <w:rPr>
                <w:rtl/>
              </w:rPr>
              <w:t xml:space="preserve"> في الاستبصار : +</w:t>
            </w:r>
            <w:r w:rsidRPr="00365424">
              <w:rPr>
                <w:rStyle w:val="libFootnoteAlaemChar"/>
                <w:rtl/>
              </w:rPr>
              <w:t>(</w:t>
            </w:r>
            <w:r w:rsidRPr="00EB702D">
              <w:rPr>
                <w:rStyle w:val="libFootnoteAieChar"/>
                <w:rtl/>
              </w:rPr>
              <w:t xml:space="preserve"> وَأَيْدِيكُمْ مِنْهُ </w:t>
            </w:r>
            <w:r w:rsidRPr="00365424">
              <w:rPr>
                <w:rStyle w:val="libFootnoteAlaemChar"/>
                <w:rtl/>
              </w:rPr>
              <w:t>)</w:t>
            </w:r>
            <w:r w:rsidRPr="005D642E">
              <w:rPr>
                <w:rtl/>
              </w:rPr>
              <w:t>.</w:t>
            </w:r>
          </w:p>
        </w:tc>
      </w:tr>
    </w:tbl>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في حاشية « ظ ، جن » : « الجمع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w:t>
      </w:r>
      <w:r w:rsidR="009E68BB" w:rsidRPr="009E68BB">
        <w:rPr>
          <w:rStyle w:val="libFootnoteBoldChar"/>
          <w:rtl/>
        </w:rPr>
        <w:t>وتفسير العيّاشي</w:t>
      </w:r>
      <w:r w:rsidR="00E3253D" w:rsidRPr="005D642E">
        <w:rPr>
          <w:rtl/>
        </w:rPr>
        <w:t xml:space="preserve"> : « لايجري »</w:t>
      </w:r>
      <w:r w:rsidR="00E3253D">
        <w:rPr>
          <w:rtl/>
        </w:rPr>
        <w:t>.</w:t>
      </w:r>
    </w:p>
    <w:tbl>
      <w:tblPr>
        <w:tblStyle w:val="TableGrid"/>
        <w:bidiVisual/>
        <w:tblW w:w="0" w:type="auto"/>
        <w:tblLook w:val="04A0" w:firstRow="1" w:lastRow="0" w:firstColumn="1" w:lastColumn="0" w:noHBand="0" w:noVBand="1"/>
      </w:tblPr>
      <w:tblGrid>
        <w:gridCol w:w="4006"/>
        <w:gridCol w:w="4006"/>
      </w:tblGrid>
      <w:tr w:rsidR="007A79DC" w:rsidTr="007A79DC">
        <w:tc>
          <w:tcPr>
            <w:tcW w:w="4006" w:type="dxa"/>
          </w:tcPr>
          <w:p w:rsidR="007A79DC" w:rsidRDefault="007A79DC" w:rsidP="00E3253D">
            <w:pPr>
              <w:pStyle w:val="libFootnote0"/>
              <w:rPr>
                <w:rtl/>
              </w:rPr>
            </w:pPr>
            <w:r>
              <w:rPr>
                <w:rtl/>
              </w:rPr>
              <w:t>(</w:t>
            </w:r>
            <w:r>
              <w:rPr>
                <w:rFonts w:hint="cs"/>
                <w:rtl/>
              </w:rPr>
              <w:t>16</w:t>
            </w:r>
            <w:r>
              <w:rPr>
                <w:rtl/>
              </w:rPr>
              <w:t>) في «بح» : «تعلّق</w:t>
            </w:r>
            <w:r w:rsidRPr="005D642E">
              <w:rPr>
                <w:rtl/>
              </w:rPr>
              <w:t>»</w:t>
            </w:r>
            <w:r>
              <w:rPr>
                <w:rtl/>
              </w:rPr>
              <w:t>.</w:t>
            </w:r>
            <w:r w:rsidRPr="005D642E">
              <w:rPr>
                <w:rtl/>
              </w:rPr>
              <w:t xml:space="preserve"> وفي « جن » : « لايعلّق »</w:t>
            </w:r>
            <w:r>
              <w:rPr>
                <w:rtl/>
              </w:rPr>
              <w:t>.</w:t>
            </w:r>
          </w:p>
        </w:tc>
        <w:tc>
          <w:tcPr>
            <w:tcW w:w="4006" w:type="dxa"/>
          </w:tcPr>
          <w:p w:rsidR="007A79DC" w:rsidRDefault="007A79DC" w:rsidP="00E3253D">
            <w:pPr>
              <w:pStyle w:val="libFootnote0"/>
              <w:rPr>
                <w:rtl/>
              </w:rPr>
            </w:pPr>
            <w:r>
              <w:rPr>
                <w:rtl/>
              </w:rPr>
              <w:t>(</w:t>
            </w:r>
            <w:r>
              <w:rPr>
                <w:rFonts w:hint="cs"/>
                <w:rtl/>
              </w:rPr>
              <w:t>17</w:t>
            </w:r>
            <w:r>
              <w:rPr>
                <w:rtl/>
              </w:rPr>
              <w:t>)</w:t>
            </w:r>
            <w:r w:rsidRPr="005D642E">
              <w:rPr>
                <w:rtl/>
              </w:rPr>
              <w:t xml:space="preserve"> في « جن » : « قدر »</w:t>
            </w:r>
            <w:r>
              <w:rPr>
                <w:rtl/>
              </w:rPr>
              <w:t>.</w:t>
            </w:r>
          </w:p>
        </w:tc>
      </w:tr>
    </w:tbl>
    <w:p w:rsidR="00E3253D" w:rsidRPr="005D642E" w:rsidRDefault="00E3253D" w:rsidP="00E3253D">
      <w:pPr>
        <w:pStyle w:val="libFootnote0"/>
        <w:rPr>
          <w:rtl/>
          <w:lang w:bidi="fa-IR"/>
        </w:rPr>
      </w:pPr>
      <w:r>
        <w:rPr>
          <w:rtl/>
        </w:rPr>
        <w:t>(</w:t>
      </w:r>
      <w:r>
        <w:rPr>
          <w:rFonts w:hint="cs"/>
          <w:rtl/>
        </w:rPr>
        <w:t>18</w:t>
      </w:r>
      <w:r>
        <w:rPr>
          <w:rtl/>
        </w:rPr>
        <w:t>)</w:t>
      </w:r>
      <w:r w:rsidRPr="005D642E">
        <w:rPr>
          <w:rtl/>
        </w:rPr>
        <w:t xml:space="preserve"> في « ى » : « ولا يعلّق ببعضها »</w:t>
      </w:r>
      <w:r>
        <w:rPr>
          <w:rtl/>
        </w:rPr>
        <w:t>.</w:t>
      </w:r>
      <w:r w:rsidRPr="005D642E">
        <w:rPr>
          <w:rtl/>
        </w:rPr>
        <w:t xml:space="preserve"> وفي « جس » : « ولا تعلّق ببعضهما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Pr>
          <w:rtl/>
          <w:lang w:bidi="fa-IR"/>
        </w:rPr>
        <w:lastRenderedPageBreak/>
        <w:t>ث</w:t>
      </w:r>
      <w:r w:rsidRPr="005D642E">
        <w:rPr>
          <w:rtl/>
          <w:lang w:bidi="fa-IR"/>
        </w:rPr>
        <w:t xml:space="preserve">مَّ قَالَ : </w:t>
      </w:r>
      <w:r w:rsidRPr="00AC51C5">
        <w:rPr>
          <w:rStyle w:val="libAlaemChar"/>
          <w:rtl/>
        </w:rPr>
        <w:t>(</w:t>
      </w:r>
      <w:r w:rsidRPr="00AC51C5">
        <w:rPr>
          <w:rStyle w:val="libAieChar"/>
          <w:rtl/>
        </w:rPr>
        <w:t xml:space="preserve"> ما يُرِيدُ اللهُ لِيَجْعَلَ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w:t>
      </w:r>
      <w:r w:rsidRPr="00AC51C5">
        <w:rPr>
          <w:rStyle w:val="libAieChar"/>
          <w:rtl/>
        </w:rPr>
        <w:t>عَلَيْكُمْ</w:t>
      </w:r>
      <w:r w:rsidRPr="005D642E">
        <w:rPr>
          <w:rtl/>
          <w:lang w:bidi="fa-IR"/>
        </w:rPr>
        <w:t xml:space="preserve"> </w:t>
      </w:r>
      <w:r w:rsidRPr="007C12DB">
        <w:rPr>
          <w:rStyle w:val="libFootnotenumChar"/>
          <w:rtl/>
        </w:rPr>
        <w:t>(</w:t>
      </w:r>
      <w:r w:rsidRPr="007C12DB">
        <w:rPr>
          <w:rStyle w:val="libFootnotenumChar"/>
          <w:rFonts w:hint="cs"/>
          <w:rtl/>
        </w:rPr>
        <w:t>2</w:t>
      </w:r>
      <w:r w:rsidRPr="007C12DB">
        <w:rPr>
          <w:rStyle w:val="libFootnotenumChar"/>
          <w:rtl/>
        </w:rPr>
        <w:t>)</w:t>
      </w:r>
      <w:r w:rsidRPr="00AC51C5">
        <w:rPr>
          <w:rStyle w:val="libAieChar"/>
          <w:rtl/>
        </w:rPr>
        <w:t xml:space="preserve"> مِنْ حَرَجٍ </w:t>
      </w:r>
      <w:r w:rsidRPr="00AC51C5">
        <w:rPr>
          <w:rStyle w:val="libAlaemChar"/>
          <w:rtl/>
        </w:rPr>
        <w:t>)</w:t>
      </w:r>
      <w:r w:rsidRPr="005D642E">
        <w:rPr>
          <w:rtl/>
          <w:lang w:bidi="fa-IR"/>
        </w:rPr>
        <w:t xml:space="preserve">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وَالْحَرَجُ الضِّيقُ »</w:t>
      </w:r>
      <w:r>
        <w:rPr>
          <w:rtl/>
          <w:lang w:bidi="fa-IR"/>
        </w:rPr>
        <w:t>.</w:t>
      </w:r>
      <w:r w:rsidRPr="005D642E">
        <w:rPr>
          <w:rtl/>
          <w:lang w:bidi="fa-IR"/>
        </w:rPr>
        <w:t xml:space="preserve">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8A6CA7">
        <w:rPr>
          <w:rtl/>
        </w:rPr>
        <w:t>3945</w:t>
      </w:r>
      <w:r w:rsidRPr="00246318">
        <w:rPr>
          <w:rStyle w:val="libBold2Char"/>
          <w:rtl/>
        </w:rPr>
        <w:t xml:space="preserve"> / 5.</w:t>
      </w:r>
      <w:r w:rsidRPr="005D642E">
        <w:rPr>
          <w:rtl/>
          <w:lang w:bidi="fa-IR"/>
        </w:rPr>
        <w:t xml:space="preserve"> عَلِيٌّ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 عَنْ أَبِيهِ ، عَنْ حَمَّادٍ ، عَنْ حَرِيزٍ ، عَنْ زُرَارَةَ ، قَالَ :</w:t>
      </w:r>
    </w:p>
    <w:p w:rsidR="00E3253D" w:rsidRPr="005D642E" w:rsidRDefault="00E3253D" w:rsidP="00E3253D">
      <w:pPr>
        <w:pStyle w:val="libNormal"/>
        <w:rPr>
          <w:rtl/>
          <w:lang w:bidi="fa-IR"/>
        </w:rPr>
      </w:pPr>
      <w:r w:rsidRPr="005D642E">
        <w:rPr>
          <w:rtl/>
          <w:lang w:bidi="fa-IR"/>
        </w:rPr>
        <w:t xml:space="preserve">قَالَ أَبُو جَعْفَرٍ </w:t>
      </w:r>
      <w:r w:rsidRPr="00AC51C5">
        <w:rPr>
          <w:rStyle w:val="libAlaemChar"/>
          <w:rtl/>
        </w:rPr>
        <w:t>عليه‌السلام</w:t>
      </w:r>
      <w:r w:rsidRPr="005D642E">
        <w:rPr>
          <w:rtl/>
          <w:lang w:bidi="fa-IR"/>
        </w:rPr>
        <w:t xml:space="preserve"> : « الْمَرْأَةُ يُجْزِئُهَا مِنْ مَسْحِ الرَّأْسِ أَنْ تَمْسَحَ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مُقَدَّمَهُ قَدْرَ ثَلَاثِ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أَصَابِعَ ، وَلَاتُلْقِيَ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عَنْهَا خِمَارَهَا </w:t>
      </w:r>
      <w:r w:rsidRPr="007C12DB">
        <w:rPr>
          <w:rStyle w:val="libFootnotenumChar"/>
          <w:rtl/>
        </w:rPr>
        <w:t>(</w:t>
      </w:r>
      <w:r w:rsidRPr="007C12DB">
        <w:rPr>
          <w:rStyle w:val="libFootnotenumChar"/>
          <w:rFonts w:hint="cs"/>
          <w:rtl/>
        </w:rPr>
        <w:t>9</w:t>
      </w:r>
      <w:r w:rsidRPr="007C12DB">
        <w:rPr>
          <w:rStyle w:val="libFootnotenumChar"/>
          <w:rtl/>
        </w:rPr>
        <w:t>)</w:t>
      </w:r>
      <w:r w:rsidRPr="005D642E">
        <w:rPr>
          <w:rtl/>
          <w:lang w:bidi="fa-IR"/>
        </w:rPr>
        <w:t xml:space="preserve"> »</w:t>
      </w:r>
      <w:r>
        <w:rPr>
          <w:rtl/>
          <w:lang w:bidi="fa-IR"/>
        </w:rPr>
        <w:t>.</w:t>
      </w:r>
      <w:r w:rsidRPr="005D642E">
        <w:rPr>
          <w:rtl/>
          <w:lang w:bidi="fa-IR"/>
        </w:rPr>
        <w:t xml:space="preserve">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8A6CA7">
        <w:rPr>
          <w:rtl/>
        </w:rPr>
        <w:t>3946</w:t>
      </w:r>
      <w:r w:rsidRPr="00246318">
        <w:rPr>
          <w:rStyle w:val="libBold2Char"/>
          <w:rtl/>
        </w:rPr>
        <w:t xml:space="preserve"> / 6.</w:t>
      </w:r>
      <w:r w:rsidRPr="005D642E">
        <w:rPr>
          <w:rtl/>
          <w:lang w:bidi="fa-IR"/>
        </w:rPr>
        <w:t xml:space="preserve"> عِدَّةٌ مِنْ أَصْحَابِنَا ، عَنْ أَحْمَدَ بْنِ مُحَمَّدٍ ، عَنْ أَحْمَدَ بْنِ مُحَمَّدِ بْنِ أَبِي نَصْرٍ :</w:t>
      </w:r>
    </w:p>
    <w:p w:rsidR="00E3253D" w:rsidRPr="005D642E" w:rsidRDefault="00E3253D" w:rsidP="00E3253D">
      <w:pPr>
        <w:pStyle w:val="libNormal"/>
        <w:rPr>
          <w:rtl/>
          <w:lang w:bidi="fa-IR"/>
        </w:rPr>
      </w:pPr>
      <w:r w:rsidRPr="005D642E">
        <w:rPr>
          <w:rtl/>
          <w:lang w:bidi="fa-IR"/>
        </w:rPr>
        <w:t xml:space="preserve">عَنْ أَبِي الْحَسَنِ الرِّضَا </w:t>
      </w:r>
      <w:r w:rsidRPr="00AC51C5">
        <w:rPr>
          <w:rStyle w:val="libAlaemChar"/>
          <w:rtl/>
        </w:rPr>
        <w:t>عليه‌السلام</w:t>
      </w:r>
      <w:r w:rsidRPr="005D642E">
        <w:rPr>
          <w:rtl/>
          <w:lang w:bidi="fa-IR"/>
        </w:rPr>
        <w:t xml:space="preserve"> ، قَالَ : سَأَلْتُهُ عَنِ الْمَسْحِ عَلَى </w:t>
      </w:r>
      <w:r w:rsidRPr="007C12DB">
        <w:rPr>
          <w:rStyle w:val="libFootnotenumChar"/>
          <w:rtl/>
        </w:rPr>
        <w:t>(</w:t>
      </w:r>
      <w:r w:rsidRPr="007C12DB">
        <w:rPr>
          <w:rStyle w:val="libFootnotenumChar"/>
          <w:rFonts w:hint="cs"/>
          <w:rtl/>
        </w:rPr>
        <w:t>11</w:t>
      </w:r>
      <w:r w:rsidRPr="007C12DB">
        <w:rPr>
          <w:rStyle w:val="libFootnotenumChar"/>
          <w:rtl/>
        </w:rPr>
        <w:t>)</w:t>
      </w:r>
      <w:r w:rsidRPr="005D642E">
        <w:rPr>
          <w:rtl/>
          <w:lang w:bidi="fa-IR"/>
        </w:rPr>
        <w:t xml:space="preserve"> الْقَدَمَيْنِ : كَيْفَ هُوَ</w:t>
      </w:r>
      <w:r>
        <w:rPr>
          <w:rtl/>
          <w:lang w:bidi="fa-IR"/>
        </w:rPr>
        <w:t>؟</w:t>
      </w:r>
    </w:p>
    <w:p w:rsidR="00E3253D" w:rsidRPr="005D642E" w:rsidRDefault="00E3253D" w:rsidP="00E3253D">
      <w:pPr>
        <w:pStyle w:val="libNormal"/>
        <w:rPr>
          <w:rtl/>
          <w:lang w:bidi="fa-IR"/>
        </w:rPr>
      </w:pPr>
      <w:r w:rsidRPr="005D642E">
        <w:rPr>
          <w:rtl/>
          <w:lang w:bidi="fa-IR"/>
        </w:rPr>
        <w:t xml:space="preserve">فَوَضَعَ كَفَّهُ عَلَى الْأَصَابِعِ ، فَمَسَحَهَا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إِلَى الْكَعْبَيْنِ إِلى ظَاهِرِ الْقَدَمِ </w:t>
      </w:r>
      <w:r w:rsidRPr="007C12DB">
        <w:rPr>
          <w:rStyle w:val="libFootnotenumChar"/>
          <w:rtl/>
        </w:rPr>
        <w:t>(</w:t>
      </w:r>
      <w:r w:rsidRPr="007C12DB">
        <w:rPr>
          <w:rStyle w:val="libFootnotenumChar"/>
          <w:rFonts w:hint="cs"/>
          <w:rtl/>
        </w:rPr>
        <w:t>13</w:t>
      </w:r>
      <w:r w:rsidRPr="007C12DB">
        <w:rPr>
          <w:rStyle w:val="libFootnotenumChar"/>
          <w:rtl/>
        </w:rPr>
        <w:t>)</w:t>
      </w:r>
      <w:r w:rsidR="00B75FEF" w:rsidRPr="00B75FEF">
        <w:rPr>
          <w:rFonts w:hint="cs"/>
          <w:rtl/>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B75FEF">
      <w:pPr>
        <w:pStyle w:val="libFootnote0"/>
        <w:rPr>
          <w:rtl/>
          <w:lang w:bidi="fa-IR"/>
        </w:rPr>
      </w:pPr>
      <w:r w:rsidRPr="0042621E">
        <w:rPr>
          <w:rStyle w:val="libFootnote0Char"/>
          <w:rtl/>
        </w:rPr>
        <w:t>(1).</w:t>
      </w:r>
      <w:r w:rsidR="00E3253D" w:rsidRPr="005D642E">
        <w:rPr>
          <w:rtl/>
        </w:rPr>
        <w:t xml:space="preserve"> في « جس » : « أن يجعل » بدل </w:t>
      </w:r>
      <w:r w:rsidR="00B75FEF" w:rsidRPr="00B75FEF">
        <w:rPr>
          <w:rStyle w:val="libFootnoteAlaemChar"/>
          <w:rFonts w:hint="cs"/>
          <w:rtl/>
        </w:rPr>
        <w:t>(</w:t>
      </w:r>
      <w:r w:rsidR="00E3253D" w:rsidRPr="00B75FEF">
        <w:rPr>
          <w:rStyle w:val="libFootnoteAieChar"/>
          <w:rtl/>
        </w:rPr>
        <w:t xml:space="preserve"> اللهُ لِيَجْعَلَ </w:t>
      </w:r>
      <w:r w:rsidR="00B75FEF" w:rsidRPr="00B75FEF">
        <w:rPr>
          <w:rStyle w:val="libFootnoteAlaemChar"/>
          <w:rFonts w:hint="cs"/>
          <w:rtl/>
        </w:rPr>
        <w:t>)</w:t>
      </w:r>
      <w:r w:rsidR="00E3253D">
        <w:rPr>
          <w:rtl/>
        </w:rPr>
        <w:t>.</w:t>
      </w:r>
    </w:p>
    <w:p w:rsidR="00E3253D" w:rsidRPr="005D642E" w:rsidRDefault="0042621E" w:rsidP="009251C3">
      <w:pPr>
        <w:pStyle w:val="libFootnote0"/>
        <w:rPr>
          <w:rtl/>
          <w:lang w:bidi="fa-IR"/>
        </w:rPr>
      </w:pPr>
      <w:r w:rsidRPr="0042621E">
        <w:rPr>
          <w:rStyle w:val="libFootnote0Char"/>
          <w:rtl/>
        </w:rPr>
        <w:t>(2).</w:t>
      </w:r>
      <w:r w:rsidR="00E3253D" w:rsidRPr="005D642E">
        <w:rPr>
          <w:rtl/>
        </w:rPr>
        <w:t xml:space="preserve"> هكذا في القرآن </w:t>
      </w:r>
      <w:r w:rsidR="00E3253D">
        <w:rPr>
          <w:rtl/>
        </w:rPr>
        <w:t>و «</w:t>
      </w:r>
      <w:r w:rsidR="00E3253D" w:rsidRPr="005D642E">
        <w:rPr>
          <w:rtl/>
        </w:rPr>
        <w:t xml:space="preserve"> بف ، بخ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وفي باقي النسخ والمطبوع : +</w:t>
      </w:r>
      <w:r w:rsidR="009251C3" w:rsidRPr="005D642E">
        <w:rPr>
          <w:rtl/>
        </w:rPr>
        <w:t>«</w:t>
      </w:r>
      <w:r w:rsidR="00E3253D" w:rsidRPr="009251C3">
        <w:rPr>
          <w:rtl/>
        </w:rPr>
        <w:t xml:space="preserve"> فِي الدِّينِ </w:t>
      </w:r>
      <w:r w:rsidR="009251C3" w:rsidRPr="005D642E">
        <w:rPr>
          <w:rtl/>
        </w:rPr>
        <w:t>»</w:t>
      </w:r>
      <w:r w:rsidR="00E3253D" w:rsidRPr="005D642E">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المائدة </w:t>
      </w:r>
      <w:r w:rsidRPr="0042621E">
        <w:rPr>
          <w:rStyle w:val="libFootnote0Char"/>
          <w:rtl/>
        </w:rPr>
        <w:t>(5)</w:t>
      </w:r>
      <w:r w:rsidR="00E3253D" w:rsidRPr="005D642E">
        <w:rPr>
          <w:rtl/>
        </w:rPr>
        <w:t xml:space="preserve"> : 6.</w:t>
      </w:r>
    </w:p>
    <w:p w:rsidR="00E3253D" w:rsidRPr="005D642E" w:rsidRDefault="0042621E" w:rsidP="00436ACE">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61 ، ح 168 ، بسنده عن الكليني ؛ </w:t>
      </w:r>
      <w:r w:rsidR="00E3253D" w:rsidRPr="002F4D34">
        <w:rPr>
          <w:rStyle w:val="libFootnoteBoldChar"/>
          <w:rtl/>
        </w:rPr>
        <w:t>الاستبصار</w:t>
      </w:r>
      <w:r w:rsidR="00E3253D" w:rsidRPr="005D642E">
        <w:rPr>
          <w:rtl/>
        </w:rPr>
        <w:t xml:space="preserve"> ، ج 1 ، ص 62 ، ح 186 معلّقاً عن الكليني. </w:t>
      </w:r>
      <w:r w:rsidR="00E3253D" w:rsidRPr="002F4D34">
        <w:rPr>
          <w:rStyle w:val="libFootnoteBoldChar"/>
          <w:rtl/>
        </w:rPr>
        <w:t>علل الشرائع</w:t>
      </w:r>
      <w:r w:rsidR="00E3253D" w:rsidRPr="005D642E">
        <w:rPr>
          <w:rtl/>
        </w:rPr>
        <w:t xml:space="preserve"> ، ص 279 ، ح 1 ، بسنده عن حمّاد ، عن حريز. </w:t>
      </w:r>
      <w:r w:rsidR="00E3253D" w:rsidRPr="002F4D34">
        <w:rPr>
          <w:rStyle w:val="libFootnoteBoldChar"/>
          <w:rtl/>
        </w:rPr>
        <w:t>الفقيه</w:t>
      </w:r>
      <w:r w:rsidR="00E3253D" w:rsidRPr="005D642E">
        <w:rPr>
          <w:rtl/>
        </w:rPr>
        <w:t xml:space="preserve"> ، ج 1 ، ص 103 ، ح 212 ، معلّقاً عن زرارة. </w:t>
      </w:r>
      <w:r w:rsidR="00E3253D" w:rsidRPr="002F4D34">
        <w:rPr>
          <w:rStyle w:val="libFootnoteBoldChar"/>
          <w:rtl/>
        </w:rPr>
        <w:t>تفسير العيّاشي</w:t>
      </w:r>
      <w:r w:rsidR="00E3253D" w:rsidRPr="005D642E">
        <w:rPr>
          <w:rtl/>
        </w:rPr>
        <w:t xml:space="preserve"> ، ج 1 ، ص 299 ، ذيل ح 52 ، عن زرارة ، إلى قوله : « ببعض الكفّ ولا يعلّق ببعضها » والثلاثة الأخيرة مع اختلاف يسير </w:t>
      </w:r>
      <w:r w:rsidR="00436ACE">
        <w:rPr>
          <w:rFonts w:hint="cs"/>
          <w:rtl/>
        </w:rPr>
        <w:t>.</w:t>
      </w:r>
      <w:r w:rsidR="00E3253D" w:rsidRPr="002F4D34">
        <w:rPr>
          <w:rStyle w:val="libFootnoteBoldChar"/>
          <w:rtl/>
        </w:rPr>
        <w:t>الوافي</w:t>
      </w:r>
      <w:r w:rsidR="00E3253D" w:rsidRPr="005D642E">
        <w:rPr>
          <w:rtl/>
        </w:rPr>
        <w:t xml:space="preserve"> ، ج 6 ، ص 282 ، ح 4298 ؛ </w:t>
      </w:r>
      <w:r w:rsidR="00E3253D" w:rsidRPr="002F4D34">
        <w:rPr>
          <w:rStyle w:val="libFootnoteBoldChar"/>
          <w:rtl/>
        </w:rPr>
        <w:t>الوسائل</w:t>
      </w:r>
      <w:r w:rsidR="00E3253D" w:rsidRPr="005D642E">
        <w:rPr>
          <w:rtl/>
        </w:rPr>
        <w:t xml:space="preserve"> ، ج 1 ، ص </w:t>
      </w:r>
      <w:r w:rsidR="00436ACE">
        <w:rPr>
          <w:rtl/>
        </w:rPr>
        <w:t>412 ،ذيل ح 1073؛وج 3،ص 364،</w:t>
      </w:r>
      <w:r w:rsidR="00E3253D" w:rsidRPr="005D642E">
        <w:rPr>
          <w:rtl/>
        </w:rPr>
        <w:t>ذيل ح 3878.</w:t>
      </w:r>
      <w:r w:rsidR="00365424">
        <w:rPr>
          <w:rFonts w:hint="cs"/>
          <w:rtl/>
        </w:rPr>
        <w:t xml:space="preserve">      </w:t>
      </w:r>
      <w:r w:rsidR="00436ACE">
        <w:rPr>
          <w:rFonts w:hint="cs"/>
          <w:rtl/>
        </w:rPr>
        <w:t xml:space="preserve">   </w:t>
      </w:r>
      <w:r w:rsidRPr="0042621E">
        <w:rPr>
          <w:rStyle w:val="libFootnote0Char"/>
          <w:rtl/>
        </w:rPr>
        <w:t>(5).</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 بن إبراهيم »</w:t>
      </w:r>
      <w:r w:rsidR="00E3253D">
        <w:rPr>
          <w:rtl/>
        </w:rPr>
        <w:t>.</w:t>
      </w:r>
    </w:p>
    <w:tbl>
      <w:tblPr>
        <w:tblStyle w:val="TableGrid"/>
        <w:bidiVisual/>
        <w:tblW w:w="0" w:type="auto"/>
        <w:tblLook w:val="04A0" w:firstRow="1" w:lastRow="0" w:firstColumn="1" w:lastColumn="0" w:noHBand="0" w:noVBand="1"/>
      </w:tblPr>
      <w:tblGrid>
        <w:gridCol w:w="4006"/>
        <w:gridCol w:w="4006"/>
      </w:tblGrid>
      <w:tr w:rsidR="00436ACE" w:rsidTr="00436ACE">
        <w:tc>
          <w:tcPr>
            <w:tcW w:w="4006" w:type="dxa"/>
          </w:tcPr>
          <w:p w:rsidR="00436ACE" w:rsidRDefault="00436ACE" w:rsidP="00E3253D">
            <w:pPr>
              <w:pStyle w:val="libFootnote0"/>
              <w:rPr>
                <w:rStyle w:val="libFootnote0Char"/>
                <w:rtl/>
              </w:rPr>
            </w:pPr>
            <w:r w:rsidRPr="0042621E">
              <w:rPr>
                <w:rStyle w:val="libFootnote0Char"/>
                <w:rtl/>
              </w:rPr>
              <w:t>(6).</w:t>
            </w:r>
            <w:r w:rsidRPr="005D642E">
              <w:rPr>
                <w:rtl/>
              </w:rPr>
              <w:t xml:space="preserve"> في « بخ » : + « من »</w:t>
            </w:r>
            <w:r>
              <w:rPr>
                <w:rtl/>
              </w:rPr>
              <w:t>.</w:t>
            </w:r>
          </w:p>
        </w:tc>
        <w:tc>
          <w:tcPr>
            <w:tcW w:w="4006" w:type="dxa"/>
          </w:tcPr>
          <w:p w:rsidR="00436ACE" w:rsidRDefault="00436ACE" w:rsidP="00E3253D">
            <w:pPr>
              <w:pStyle w:val="libFootnote0"/>
              <w:rPr>
                <w:rStyle w:val="libFootnote0Char"/>
                <w:rtl/>
              </w:rPr>
            </w:pPr>
            <w:r w:rsidRPr="0042621E">
              <w:rPr>
                <w:rStyle w:val="libFootnote0Char"/>
                <w:rtl/>
              </w:rPr>
              <w:t>(7).</w:t>
            </w:r>
            <w:r w:rsidRPr="005D642E">
              <w:rPr>
                <w:rtl/>
              </w:rPr>
              <w:t xml:space="preserve"> في « ى ، بث ، بح ، بخ ، بس » : « ثلاثة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بف ، جس » : « يلقى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الخِمار : ثوب تغطّي به المرأة رأسها ، وكلّ ما ستر شيئاً فهو خِماره. راجع : </w:t>
      </w:r>
      <w:r w:rsidR="00E3253D" w:rsidRPr="002F4D34">
        <w:rPr>
          <w:rStyle w:val="libFootnoteBoldChar"/>
          <w:rtl/>
        </w:rPr>
        <w:t>المصباح المنير</w:t>
      </w:r>
      <w:r w:rsidR="00E3253D" w:rsidRPr="005D642E">
        <w:rPr>
          <w:rtl/>
        </w:rPr>
        <w:t xml:space="preserve"> ، ص 181 ؛ </w:t>
      </w:r>
      <w:r w:rsidR="00E3253D" w:rsidRPr="002F4D34">
        <w:rPr>
          <w:rStyle w:val="libFootnoteBoldChar"/>
          <w:rtl/>
        </w:rPr>
        <w:t>القاموس المحيط</w:t>
      </w:r>
      <w:r w:rsidR="00E3253D" w:rsidRPr="005D642E">
        <w:rPr>
          <w:rtl/>
        </w:rPr>
        <w:t xml:space="preserve"> ، ج 1 ، ص 548 ( خمر )</w:t>
      </w:r>
      <w:r w:rsidR="00E3253D">
        <w:rPr>
          <w:rtl/>
        </w:rPr>
        <w:t>.</w:t>
      </w:r>
    </w:p>
    <w:p w:rsidR="00E3253D" w:rsidRPr="005D642E" w:rsidRDefault="0042621E" w:rsidP="002A384E">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77 ، ح 195 ، بسنده عن الكليني </w:t>
      </w:r>
      <w:r w:rsidR="002A384E">
        <w:rPr>
          <w:rFonts w:hint="cs"/>
          <w:rtl/>
        </w:rPr>
        <w:t>.</w:t>
      </w:r>
      <w:r w:rsidR="00E3253D" w:rsidRPr="002F4D34">
        <w:rPr>
          <w:rStyle w:val="libFootnoteBoldChar"/>
          <w:rtl/>
        </w:rPr>
        <w:t>الوافي</w:t>
      </w:r>
      <w:r w:rsidR="00E3253D" w:rsidRPr="005D642E">
        <w:rPr>
          <w:rtl/>
        </w:rPr>
        <w:t xml:space="preserve"> ، ج 6 ، ص 284 ، ح 4299 ؛ </w:t>
      </w:r>
      <w:r w:rsidR="00E3253D" w:rsidRPr="002F4D34">
        <w:rPr>
          <w:rStyle w:val="libFootnoteBoldChar"/>
          <w:rtl/>
        </w:rPr>
        <w:t>الوسائل</w:t>
      </w:r>
      <w:r w:rsidR="00E3253D" w:rsidRPr="005D642E">
        <w:rPr>
          <w:rtl/>
        </w:rPr>
        <w:t xml:space="preserve"> ، ج 1 ، ص 416 ، ح 1084.</w:t>
      </w:r>
      <w:r w:rsidR="002A384E">
        <w:rPr>
          <w:rFonts w:hint="cs"/>
          <w:rtl/>
        </w:rPr>
        <w:t xml:space="preserve">                 </w:t>
      </w:r>
      <w:r w:rsidRPr="0042621E">
        <w:rPr>
          <w:rStyle w:val="libFootnote0Char"/>
          <w:rtl/>
        </w:rPr>
        <w:t>(11).</w:t>
      </w:r>
      <w:r w:rsidR="00E3253D" w:rsidRPr="005D642E">
        <w:rPr>
          <w:rtl/>
        </w:rPr>
        <w:t xml:space="preserve"> في « بس » : « إلى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التهذيب ، ص 91 : « فمسحهما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حاشية « بح » : « على ظاهر القدم »</w:t>
      </w:r>
      <w:r w:rsidR="00E3253D">
        <w:rPr>
          <w:rtl/>
        </w:rPr>
        <w:t>.</w:t>
      </w:r>
      <w:r w:rsidR="00E3253D" w:rsidRPr="005D642E">
        <w:rPr>
          <w:rtl/>
        </w:rPr>
        <w:t xml:space="preserve"> وفي حاشية « بخ » : « إلى ظاهر القدمين »</w:t>
      </w:r>
      <w:r w:rsidR="00E3253D">
        <w:rPr>
          <w:rtl/>
        </w:rPr>
        <w:t>.</w:t>
      </w:r>
      <w:r w:rsidR="00E3253D" w:rsidRPr="005D642E">
        <w:rPr>
          <w:rtl/>
        </w:rPr>
        <w:t xml:space="preserve"> وفي التهذيب ، ص 64 </w:t>
      </w:r>
      <w:r w:rsidR="00E3253D" w:rsidRPr="003B3913">
        <w:rPr>
          <w:rStyle w:val="libFootnoteBoldChar"/>
          <w:rtl/>
        </w:rPr>
        <w:t>وقرب الإسناد</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إلى ظاهر القدم »</w:t>
      </w:r>
      <w:r w:rsidR="00E3253D">
        <w:rPr>
          <w:rtl/>
        </w:rPr>
        <w:t>.</w:t>
      </w:r>
      <w:r w:rsidR="00E3253D" w:rsidRPr="005D642E">
        <w:rPr>
          <w:rtl/>
        </w:rPr>
        <w:t xml:space="preserve"> في مرآة العقول : « قوله </w:t>
      </w:r>
      <w:r w:rsidR="00E3253D" w:rsidRPr="002A384E">
        <w:rPr>
          <w:rStyle w:val="libFootnoteAlaemChar"/>
          <w:rtl/>
        </w:rPr>
        <w:t>عليه‌السلام</w:t>
      </w:r>
      <w:r w:rsidR="00E3253D" w:rsidRPr="005D642E">
        <w:rPr>
          <w:rtl/>
        </w:rPr>
        <w:t xml:space="preserve"> : إلى ظاهر القدم ، إمّا بدل أو عطف بيان لقوله </w:t>
      </w:r>
      <w:r w:rsidR="00E3253D" w:rsidRPr="002A384E">
        <w:rPr>
          <w:rStyle w:val="libFootnoteAlaemChar"/>
          <w:rtl/>
        </w:rPr>
        <w:t>عليه‌السلام</w:t>
      </w:r>
      <w:r w:rsidR="00E3253D" w:rsidRPr="005D642E">
        <w:rPr>
          <w:rtl/>
        </w:rPr>
        <w:t xml:space="preserve"> : إلى الكعبين ، لبيان أنّ الكعب في ظهر القدم. ويحتمل أن يكون لبيان أنّ المسح من الأصابع إلى الكعبين كان من جهة ظاهر القدم لا من جهة باطنها ، أي متوجّهاً إلى جانب ظهر القدم ، والله يعلم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فَقُلْتُ </w:t>
      </w:r>
      <w:r w:rsidRPr="007C12DB">
        <w:rPr>
          <w:rStyle w:val="libFootnotenumChar"/>
          <w:rtl/>
        </w:rPr>
        <w:t>(1)</w:t>
      </w:r>
      <w:r w:rsidRPr="005D642E">
        <w:rPr>
          <w:rtl/>
          <w:lang w:bidi="fa-IR"/>
        </w:rPr>
        <w:t xml:space="preserve"> : جُعِلْتُ فِدَاكَ ، لَوْ أَنَّ رَجُلاً قَالَ : بِإِصْبَعَيْنِ مِنْ أَصَابِعِهِ هكَذَا </w:t>
      </w:r>
      <w:r w:rsidRPr="007C12DB">
        <w:rPr>
          <w:rStyle w:val="libFootnotenumChar"/>
          <w:rtl/>
        </w:rPr>
        <w:t>(2)</w:t>
      </w:r>
      <w:r>
        <w:rPr>
          <w:rtl/>
          <w:lang w:bidi="fa-IR"/>
        </w:rPr>
        <w:t>؟</w:t>
      </w:r>
    </w:p>
    <w:p w:rsidR="00E3253D" w:rsidRPr="005D642E" w:rsidRDefault="002A384E" w:rsidP="00E3253D">
      <w:pPr>
        <w:pStyle w:val="libNormal"/>
        <w:rPr>
          <w:rtl/>
          <w:lang w:bidi="fa-IR"/>
        </w:rPr>
      </w:pPr>
      <w:r>
        <w:rPr>
          <w:rtl/>
          <w:lang w:bidi="fa-IR"/>
        </w:rPr>
        <w:t>فَقَالَ : « لَا ، إِل</w:t>
      </w:r>
      <w:r>
        <w:rPr>
          <w:rFonts w:hint="cs"/>
          <w:rtl/>
          <w:lang w:bidi="fa-IR"/>
        </w:rPr>
        <w:t>َّ</w:t>
      </w:r>
      <w:r>
        <w:rPr>
          <w:rtl/>
          <w:lang w:bidi="fa-IR"/>
        </w:rPr>
        <w:t>ا</w:t>
      </w:r>
      <w:r w:rsidR="00E3253D" w:rsidRPr="005D642E">
        <w:rPr>
          <w:rtl/>
          <w:lang w:bidi="fa-IR"/>
        </w:rPr>
        <w:t xml:space="preserve"> بِكَفِّهِ </w:t>
      </w:r>
      <w:r w:rsidR="00E3253D" w:rsidRPr="007C12DB">
        <w:rPr>
          <w:rStyle w:val="libFootnotenumChar"/>
          <w:rtl/>
        </w:rPr>
        <w:t>(3)</w:t>
      </w:r>
      <w:r w:rsidR="00E3253D" w:rsidRPr="005D642E">
        <w:rPr>
          <w:rtl/>
          <w:lang w:bidi="fa-IR"/>
        </w:rPr>
        <w:t xml:space="preserve"> »</w:t>
      </w:r>
      <w:r w:rsidR="00E3253D">
        <w:rPr>
          <w:rtl/>
          <w:lang w:bidi="fa-IR"/>
        </w:rPr>
        <w:t>.</w:t>
      </w:r>
      <w:r w:rsidR="00E3253D" w:rsidRPr="005D642E">
        <w:rPr>
          <w:rtl/>
          <w:lang w:bidi="fa-IR"/>
        </w:rPr>
        <w:t xml:space="preserve"> </w:t>
      </w:r>
      <w:r w:rsidR="00E3253D" w:rsidRPr="007C12DB">
        <w:rPr>
          <w:rStyle w:val="libFootnotenumChar"/>
          <w:rtl/>
        </w:rPr>
        <w:t>(4)</w:t>
      </w:r>
      <w:r w:rsidR="00E3253D" w:rsidRPr="005D642E">
        <w:rPr>
          <w:rtl/>
          <w:lang w:bidi="fa-IR"/>
        </w:rPr>
        <w:t xml:space="preserve"> ‌</w:t>
      </w:r>
    </w:p>
    <w:p w:rsidR="00E3253D" w:rsidRPr="005D642E" w:rsidRDefault="00E3253D" w:rsidP="00E3253D">
      <w:pPr>
        <w:pStyle w:val="libNormal"/>
        <w:rPr>
          <w:rtl/>
          <w:lang w:bidi="fa-IR"/>
        </w:rPr>
      </w:pPr>
      <w:r w:rsidRPr="008A6CA7">
        <w:rPr>
          <w:rtl/>
        </w:rPr>
        <w:t>3947</w:t>
      </w:r>
      <w:r w:rsidRPr="00246318">
        <w:rPr>
          <w:rStyle w:val="libBold2Char"/>
          <w:rtl/>
        </w:rPr>
        <w:t xml:space="preserve"> / 7.</w:t>
      </w:r>
      <w:r w:rsidRPr="005D642E">
        <w:rPr>
          <w:rtl/>
          <w:lang w:bidi="fa-IR"/>
        </w:rPr>
        <w:t xml:space="preserve"> أَحْمَدُ بْنُ إِدْرِيسَ ، عَنْ مُحَمَّدِ بْنِ أَحْمَدَ ، عَنْ مُحَمَّدِ بْ</w:t>
      </w:r>
      <w:r w:rsidR="00DE5B5D">
        <w:rPr>
          <w:rtl/>
          <w:lang w:bidi="fa-IR"/>
        </w:rPr>
        <w:t>نِ عِيسى ، عَنْ يُونُسَ،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أَخْبَرَنِي مَنْ رَأى أَبَا الْحَسَنِ </w:t>
      </w:r>
      <w:r w:rsidRPr="00AC51C5">
        <w:rPr>
          <w:rStyle w:val="libAlaemChar"/>
          <w:rtl/>
        </w:rPr>
        <w:t>عليه‌السلام</w:t>
      </w:r>
      <w:r w:rsidRPr="005D642E">
        <w:rPr>
          <w:rtl/>
          <w:lang w:bidi="fa-IR"/>
        </w:rPr>
        <w:t xml:space="preserve"> بِمِنًى </w:t>
      </w:r>
      <w:r w:rsidRPr="007C12DB">
        <w:rPr>
          <w:rStyle w:val="libFootnotenumChar"/>
          <w:rtl/>
        </w:rPr>
        <w:t>(5)</w:t>
      </w:r>
      <w:r w:rsidRPr="005D642E">
        <w:rPr>
          <w:rtl/>
          <w:lang w:bidi="fa-IR"/>
        </w:rPr>
        <w:t xml:space="preserve"> يَمْسَحُ ظَهْرَ </w:t>
      </w:r>
      <w:r w:rsidRPr="007C12DB">
        <w:rPr>
          <w:rStyle w:val="libFootnotenumChar"/>
          <w:rtl/>
        </w:rPr>
        <w:t>(6)</w:t>
      </w:r>
      <w:r w:rsidRPr="005D642E">
        <w:rPr>
          <w:rtl/>
          <w:lang w:bidi="fa-IR"/>
        </w:rPr>
        <w:t xml:space="preserve"> قَدَمَيْهِ مِنْ أَعْلَى الْقَدَمِ إِلَى الْكَعْبِ ، وَمِنَ الْكَعْبِ إِلَى أَعْلَى الْقَدَمِ ، وَيَقُولُ : « الْأَمْرُ فِي مَسْحِ الرِّجْلَيْنِ مُوَسَّعٌ ، مَنْ شَاءَ مَسَحَ مُقْبِلاً ، وَمَنْ شَاءَ مَسَحَ مُدْبِراً </w:t>
      </w:r>
      <w:r w:rsidRPr="007C12DB">
        <w:rPr>
          <w:rStyle w:val="libFootnotenumChar"/>
          <w:rtl/>
        </w:rPr>
        <w:t>(7)</w:t>
      </w:r>
      <w:r w:rsidRPr="005D642E">
        <w:rPr>
          <w:rtl/>
          <w:lang w:bidi="fa-IR"/>
        </w:rPr>
        <w:t xml:space="preserve"> ؛ فَإِنَّهُ مِنَ الْأَمْرِ الْمُوَسَّعِ إِنْ شَاءَ اللهُ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8A6CA7">
        <w:rPr>
          <w:rtl/>
        </w:rPr>
        <w:t>3948</w:t>
      </w:r>
      <w:r w:rsidRPr="00246318">
        <w:rPr>
          <w:rStyle w:val="libBold2Char"/>
          <w:rtl/>
        </w:rPr>
        <w:t xml:space="preserve"> / 8.</w:t>
      </w:r>
      <w:r w:rsidRPr="005D642E">
        <w:rPr>
          <w:rtl/>
          <w:lang w:bidi="fa-IR"/>
        </w:rPr>
        <w:t xml:space="preserve"> عَلِيُّ بْنُ إِبْرَاهِيمَ ، عَنْ أَبِيهِ ، عَنْ حَمَّادٍ ، عَنْ حَرِيزٍ ، عَنْ زُرَارَةَ ، قَالَ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(9)</w:t>
      </w:r>
      <w:r w:rsidRPr="005D642E">
        <w:rPr>
          <w:rtl/>
          <w:lang w:bidi="fa-IR"/>
        </w:rPr>
        <w:t xml:space="preserve"> : « لَوْ أَنَّكَ تَوَضَّأْتَ ، فَجَعَلْتَ مَسْحَ الرِّجْلَيْنِ غَسْلاً ، ثُمَّ أَضْمَرْتَ أَنَّ ذلِكَ هُوَ الْمُفْتَرَضُ ، لَمْ يَكُنْ ذلِكَ بِوُضُوءٍ »</w:t>
      </w:r>
      <w:r>
        <w:rPr>
          <w:rtl/>
          <w:lang w:bidi="fa-IR"/>
        </w:rPr>
        <w:t>.</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E5B5D" w:rsidTr="00DE5B5D">
        <w:tc>
          <w:tcPr>
            <w:tcW w:w="4006" w:type="dxa"/>
          </w:tcPr>
          <w:p w:rsidR="00DE5B5D" w:rsidRDefault="00DE5B5D" w:rsidP="00E3253D">
            <w:pPr>
              <w:pStyle w:val="libFootnote0"/>
              <w:rPr>
                <w:rStyle w:val="libFootnote0Char"/>
                <w:rtl/>
              </w:rPr>
            </w:pPr>
            <w:r w:rsidRPr="0042621E">
              <w:rPr>
                <w:rStyle w:val="libFootnote0Char"/>
                <w:rtl/>
              </w:rPr>
              <w:t>(1).</w:t>
            </w:r>
            <w:r>
              <w:rPr>
                <w:rtl/>
              </w:rPr>
              <w:t xml:space="preserve"> </w:t>
            </w:r>
            <w:r w:rsidR="00602204">
              <w:rPr>
                <w:rtl/>
              </w:rPr>
              <w:t>في«بح</w:t>
            </w:r>
            <w:r w:rsidRPr="005D642E">
              <w:rPr>
                <w:rtl/>
              </w:rPr>
              <w:t xml:space="preserve">، بخ ، بس ، جح » </w:t>
            </w:r>
            <w:r w:rsidRPr="000D749A">
              <w:rPr>
                <w:rStyle w:val="libFootnoteBoldChar"/>
                <w:rtl/>
              </w:rPr>
              <w:t>والوافي</w:t>
            </w:r>
            <w:r w:rsidRPr="005D642E">
              <w:rPr>
                <w:rtl/>
              </w:rPr>
              <w:t xml:space="preserve"> : « قلت »</w:t>
            </w:r>
            <w:r>
              <w:rPr>
                <w:rtl/>
              </w:rPr>
              <w:t>.</w:t>
            </w:r>
          </w:p>
        </w:tc>
        <w:tc>
          <w:tcPr>
            <w:tcW w:w="4006" w:type="dxa"/>
          </w:tcPr>
          <w:p w:rsidR="00DE5B5D" w:rsidRDefault="00602204" w:rsidP="00E3253D">
            <w:pPr>
              <w:pStyle w:val="libFootnote0"/>
              <w:rPr>
                <w:rStyle w:val="libFootnote0Char"/>
                <w:rtl/>
              </w:rPr>
            </w:pPr>
            <w:r w:rsidRPr="0042621E">
              <w:rPr>
                <w:rStyle w:val="libFootnote0Char"/>
                <w:rtl/>
              </w:rPr>
              <w:t>(2).</w:t>
            </w:r>
            <w:r w:rsidRPr="005D642E">
              <w:rPr>
                <w:rtl/>
              </w:rPr>
              <w:t xml:space="preserve"> في التهذيب ، ص 91 :</w:t>
            </w:r>
            <w:r>
              <w:rPr>
                <w:rtl/>
              </w:rPr>
              <w:t xml:space="preserve"> - </w:t>
            </w:r>
            <w:r w:rsidRPr="005D642E">
              <w:rPr>
                <w:rtl/>
              </w:rPr>
              <w:t>« هكذا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w:t>
      </w:r>
      <w:r w:rsidR="00B60612" w:rsidRPr="00B60612">
        <w:rPr>
          <w:rStyle w:val="libFootnoteBoldChar"/>
          <w:rtl/>
        </w:rPr>
        <w:t>والتهذيب</w:t>
      </w:r>
      <w:r w:rsidR="00E3253D" w:rsidRPr="005D642E">
        <w:rPr>
          <w:rtl/>
        </w:rPr>
        <w:t xml:space="preserve"> ، ص 64 : + « كلّها »</w:t>
      </w:r>
      <w:r w:rsidR="00E3253D">
        <w:rPr>
          <w:rtl/>
        </w:rPr>
        <w:t>.</w:t>
      </w:r>
      <w:r w:rsidR="00E3253D" w:rsidRPr="005D642E">
        <w:rPr>
          <w:rtl/>
        </w:rPr>
        <w:t xml:space="preserve"> وفي الاستبصار : « ألا يكفيه فقال : لا ، لا ي</w:t>
      </w:r>
      <w:r w:rsidR="004330A0">
        <w:rPr>
          <w:rtl/>
        </w:rPr>
        <w:t>كفيه » بدل « هكذا فقال : لا إل</w:t>
      </w:r>
      <w:r w:rsidR="004330A0">
        <w:rPr>
          <w:rFonts w:hint="cs"/>
          <w:rtl/>
        </w:rPr>
        <w:t>ّ</w:t>
      </w:r>
      <w:r w:rsidR="004330A0">
        <w:rPr>
          <w:rtl/>
        </w:rPr>
        <w:t>ا</w:t>
      </w:r>
      <w:r w:rsidR="00E3253D" w:rsidRPr="005D642E">
        <w:rPr>
          <w:rtl/>
        </w:rPr>
        <w:t>بكفّه »</w:t>
      </w:r>
      <w:r w:rsidR="00E3253D">
        <w:rPr>
          <w:rtl/>
        </w:rPr>
        <w:t>.</w:t>
      </w:r>
      <w:r w:rsidR="00E3253D" w:rsidRPr="005D642E">
        <w:rPr>
          <w:rtl/>
        </w:rPr>
        <w:t xml:space="preserve"> وظاهر الحديث وجوب استيعاب الممسوح طولاً وعرضاً ، والأجماع قام على الاجتزاء بمسمّى المسح ولو بإصبع واحدة ، فحمله على الاستحباب لا بأس به. راجع : </w:t>
      </w:r>
      <w:r w:rsidR="00E3253D" w:rsidRPr="002F4D34">
        <w:rPr>
          <w:rStyle w:val="libFootnoteBoldChar"/>
          <w:rtl/>
        </w:rPr>
        <w:t>الحبل المتين</w:t>
      </w:r>
      <w:r w:rsidR="00E3253D" w:rsidRPr="005D642E">
        <w:rPr>
          <w:rtl/>
        </w:rPr>
        <w:t xml:space="preserve"> ، ص 69</w:t>
      </w:r>
      <w:r w:rsidR="00E3253D">
        <w:rPr>
          <w:rtl/>
        </w:rPr>
        <w:t xml:space="preserve"> </w:t>
      </w:r>
      <w:r w:rsidR="007642BC">
        <w:rPr>
          <w:rtl/>
        </w:rPr>
        <w:t>-</w:t>
      </w:r>
      <w:r w:rsidR="00E3253D">
        <w:rPr>
          <w:rtl/>
        </w:rPr>
        <w:t xml:space="preserve"> </w:t>
      </w:r>
      <w:r w:rsidR="00E3253D" w:rsidRPr="005D642E">
        <w:rPr>
          <w:rtl/>
        </w:rPr>
        <w:t xml:space="preserve">70 ؛ </w:t>
      </w:r>
      <w:r w:rsidR="00E3253D" w:rsidRPr="002F4D34">
        <w:rPr>
          <w:rStyle w:val="libFootnoteBoldChar"/>
          <w:rtl/>
        </w:rPr>
        <w:t>الوافي</w:t>
      </w:r>
      <w:r w:rsidR="00E3253D" w:rsidRPr="005D642E">
        <w:rPr>
          <w:rtl/>
        </w:rPr>
        <w:t xml:space="preserve"> ، ج 6 ، ص 284 ؛ </w:t>
      </w:r>
      <w:r w:rsidR="00E3253D" w:rsidRPr="002F4D34">
        <w:rPr>
          <w:rStyle w:val="libFootnoteBoldChar"/>
          <w:rtl/>
        </w:rPr>
        <w:t>مرآة العقول</w:t>
      </w:r>
      <w:r w:rsidR="00E3253D" w:rsidRPr="005D642E">
        <w:rPr>
          <w:rtl/>
        </w:rPr>
        <w:t xml:space="preserve"> ، ج 13 ، ص 102.</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91 ، ح 243 ؛ </w:t>
      </w:r>
      <w:r w:rsidR="00E3253D" w:rsidRPr="00E678B5">
        <w:rPr>
          <w:rStyle w:val="libFootnoteBoldChar"/>
          <w:rtl/>
        </w:rPr>
        <w:t>والاستبصار</w:t>
      </w:r>
      <w:r w:rsidR="00E3253D" w:rsidRPr="005D642E">
        <w:rPr>
          <w:rtl/>
        </w:rPr>
        <w:t xml:space="preserve"> ، ج 1 ، ص 62 ، ح 184 ، معلّقاً عن الكليني. </w:t>
      </w:r>
      <w:r w:rsidR="00E3253D" w:rsidRPr="002F4D34">
        <w:rPr>
          <w:rStyle w:val="libFootnoteBoldChar"/>
          <w:rtl/>
        </w:rPr>
        <w:t>قرب الإسناد</w:t>
      </w:r>
      <w:r w:rsidR="00E3253D" w:rsidRPr="005D642E">
        <w:rPr>
          <w:rtl/>
        </w:rPr>
        <w:t xml:space="preserve"> ، ص 368 ، ح 1318 ، عن أحمد بن محمّد. </w:t>
      </w:r>
      <w:r w:rsidR="00E3253D" w:rsidRPr="002F4D34">
        <w:rPr>
          <w:rStyle w:val="libFootnoteBoldChar"/>
          <w:rtl/>
        </w:rPr>
        <w:t>التهذيب</w:t>
      </w:r>
      <w:r w:rsidR="00E3253D" w:rsidRPr="005D642E">
        <w:rPr>
          <w:rtl/>
        </w:rPr>
        <w:t xml:space="preserve"> ، ج 1 ، ص 64 ، ح 180 ، بسنده عن أحمد بن محمّد ، عن أبي الحسن </w:t>
      </w:r>
      <w:r w:rsidR="00E3253D" w:rsidRPr="004330A0">
        <w:rPr>
          <w:rStyle w:val="libFootnoteAlaemChar"/>
          <w:rtl/>
        </w:rPr>
        <w:t>عليه‌السلام</w:t>
      </w:r>
      <w:r w:rsidR="00E3253D" w:rsidRPr="005D642E">
        <w:rPr>
          <w:rtl/>
        </w:rPr>
        <w:t xml:space="preserve"> ، مع اختلاف يسير </w:t>
      </w:r>
      <w:r w:rsidR="004330A0">
        <w:rPr>
          <w:rFonts w:hint="cs"/>
          <w:rtl/>
        </w:rPr>
        <w:t>.</w:t>
      </w:r>
      <w:r w:rsidR="00E3253D" w:rsidRPr="002F4D34">
        <w:rPr>
          <w:rStyle w:val="libFootnoteBoldChar"/>
          <w:rtl/>
        </w:rPr>
        <w:t>الوافي</w:t>
      </w:r>
      <w:r w:rsidR="00E3253D" w:rsidRPr="005D642E">
        <w:rPr>
          <w:rtl/>
        </w:rPr>
        <w:t xml:space="preserve"> ، ج 6 ، ص 284 ، ح 4300 ؛ </w:t>
      </w:r>
      <w:r w:rsidR="00E3253D" w:rsidRPr="002F4D34">
        <w:rPr>
          <w:rStyle w:val="libFootnoteBoldChar"/>
          <w:rtl/>
        </w:rPr>
        <w:t>الوسائل</w:t>
      </w:r>
      <w:r w:rsidR="00E3253D" w:rsidRPr="005D642E">
        <w:rPr>
          <w:rtl/>
        </w:rPr>
        <w:t xml:space="preserve"> ، ج 1 ، ص 417 ، ح 1085.</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قرب الإسناد : « أبا الحسن الأوّل </w:t>
      </w:r>
      <w:r w:rsidR="00E3253D" w:rsidRPr="004330A0">
        <w:rPr>
          <w:rStyle w:val="libFootnoteAlaemChar"/>
          <w:rtl/>
        </w:rPr>
        <w:t>عليه‌السلام</w:t>
      </w:r>
      <w:r w:rsidR="00E3253D" w:rsidRPr="005D642E">
        <w:rPr>
          <w:rtl/>
        </w:rPr>
        <w:t xml:space="preserve"> بمنى وهو » بدل « أبا الحسن </w:t>
      </w:r>
      <w:r w:rsidR="00E3253D" w:rsidRPr="004330A0">
        <w:rPr>
          <w:rStyle w:val="libFootnoteAlaemChar"/>
          <w:rtl/>
        </w:rPr>
        <w:t>عليه‌السلام</w:t>
      </w:r>
      <w:r w:rsidR="00E3253D" w:rsidRPr="005D642E">
        <w:rPr>
          <w:rtl/>
        </w:rPr>
        <w:t xml:space="preserve"> بمنى »</w:t>
      </w:r>
      <w:r w:rsidR="00E3253D">
        <w:rPr>
          <w:rtl/>
        </w:rPr>
        <w:t>.</w:t>
      </w:r>
    </w:p>
    <w:tbl>
      <w:tblPr>
        <w:tblStyle w:val="TableGrid"/>
        <w:bidiVisual/>
        <w:tblW w:w="0" w:type="auto"/>
        <w:tblLook w:val="04A0" w:firstRow="1" w:lastRow="0" w:firstColumn="1" w:lastColumn="0" w:noHBand="0" w:noVBand="1"/>
      </w:tblPr>
      <w:tblGrid>
        <w:gridCol w:w="4006"/>
        <w:gridCol w:w="4006"/>
      </w:tblGrid>
      <w:tr w:rsidR="004330A0" w:rsidTr="004330A0">
        <w:tc>
          <w:tcPr>
            <w:tcW w:w="4006" w:type="dxa"/>
          </w:tcPr>
          <w:p w:rsidR="004330A0" w:rsidRDefault="004330A0" w:rsidP="00E3253D">
            <w:pPr>
              <w:pStyle w:val="libFootnote0"/>
              <w:rPr>
                <w:rStyle w:val="libFootnote0Char"/>
                <w:rtl/>
              </w:rPr>
            </w:pPr>
            <w:r w:rsidRPr="0042621E">
              <w:rPr>
                <w:rStyle w:val="libFootnote0Char"/>
                <w:rtl/>
              </w:rPr>
              <w:t>(6).</w:t>
            </w:r>
            <w:r w:rsidRPr="005D642E">
              <w:rPr>
                <w:rtl/>
              </w:rPr>
              <w:t xml:space="preserve"> في حاشية « بخ » : « على »</w:t>
            </w:r>
            <w:r>
              <w:rPr>
                <w:rtl/>
              </w:rPr>
              <w:t>.</w:t>
            </w:r>
          </w:p>
        </w:tc>
        <w:tc>
          <w:tcPr>
            <w:tcW w:w="4006" w:type="dxa"/>
          </w:tcPr>
          <w:p w:rsidR="004330A0" w:rsidRDefault="004330A0" w:rsidP="00E3253D">
            <w:pPr>
              <w:pStyle w:val="libFootnote0"/>
              <w:rPr>
                <w:rStyle w:val="libFootnote0Char"/>
                <w:rtl/>
              </w:rPr>
            </w:pPr>
            <w:r w:rsidRPr="0042621E">
              <w:rPr>
                <w:rStyle w:val="libFootnote0Char"/>
                <w:rtl/>
              </w:rPr>
              <w:t>(7).</w:t>
            </w:r>
            <w:r w:rsidR="00584FB9">
              <w:rPr>
                <w:rtl/>
              </w:rPr>
              <w:t xml:space="preserve"> في«بح»:«من شاء</w:t>
            </w:r>
            <w:r w:rsidR="00584FB9">
              <w:rPr>
                <w:rFonts w:hint="cs"/>
                <w:rtl/>
              </w:rPr>
              <w:t xml:space="preserve"> </w:t>
            </w:r>
            <w:r w:rsidR="00584FB9">
              <w:rPr>
                <w:rtl/>
              </w:rPr>
              <w:t>مسح مدبراً،ومن شاء</w:t>
            </w:r>
            <w:r w:rsidR="00584FB9">
              <w:rPr>
                <w:rFonts w:hint="cs"/>
                <w:rtl/>
              </w:rPr>
              <w:t xml:space="preserve"> </w:t>
            </w:r>
            <w:r w:rsidR="00584FB9">
              <w:rPr>
                <w:rtl/>
              </w:rPr>
              <w:t>مسح مقبلاً</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57 ، ح 160 ؛ </w:t>
      </w:r>
      <w:r w:rsidR="00E3253D" w:rsidRPr="00E678B5">
        <w:rPr>
          <w:rStyle w:val="libFootnoteBoldChar"/>
          <w:rtl/>
        </w:rPr>
        <w:t>والاستبصار</w:t>
      </w:r>
      <w:r w:rsidR="00E3253D" w:rsidRPr="005D642E">
        <w:rPr>
          <w:rtl/>
        </w:rPr>
        <w:t xml:space="preserve"> ، ج 1 ، ص 58 ، ح 170 ، معلّقاً عن الكليني. </w:t>
      </w:r>
      <w:r w:rsidR="00E3253D" w:rsidRPr="002F4D34">
        <w:rPr>
          <w:rStyle w:val="libFootnoteBoldChar"/>
          <w:rtl/>
        </w:rPr>
        <w:t>التهذيب</w:t>
      </w:r>
      <w:r w:rsidR="00E3253D" w:rsidRPr="005D642E">
        <w:rPr>
          <w:rtl/>
        </w:rPr>
        <w:t xml:space="preserve"> ، ج 1 ، ص 65 ، ح 193 ؛ وص 83 ، ح 216 ، بسندهما عن الكليني. </w:t>
      </w:r>
      <w:r w:rsidR="00E3253D" w:rsidRPr="002F4D34">
        <w:rPr>
          <w:rStyle w:val="libFootnoteBoldChar"/>
          <w:rtl/>
        </w:rPr>
        <w:t>قرب الإسناد</w:t>
      </w:r>
      <w:r w:rsidR="00E3253D" w:rsidRPr="005D642E">
        <w:rPr>
          <w:rtl/>
        </w:rPr>
        <w:t xml:space="preserve"> ، ص 306 ، ح 1200 ، عن محمّد بن عيسى ، عن يونس بن عبدالرحمن ، وفي الأربعة الأخيرة إلى قوله : « ومن الكعب إلى أعلى القدم » </w:t>
      </w:r>
      <w:r w:rsidR="001D1A13">
        <w:rPr>
          <w:rFonts w:hint="cs"/>
          <w:rtl/>
        </w:rPr>
        <w:t>.</w:t>
      </w:r>
      <w:r w:rsidR="00E3253D" w:rsidRPr="002F4D34">
        <w:rPr>
          <w:rStyle w:val="libFootnoteBoldChar"/>
          <w:rtl/>
        </w:rPr>
        <w:t>الوافي</w:t>
      </w:r>
      <w:r w:rsidR="00E3253D" w:rsidRPr="005D642E">
        <w:rPr>
          <w:rtl/>
        </w:rPr>
        <w:t xml:space="preserve"> ، ج 6 ، ص 285 ، ح 4301 ؛ </w:t>
      </w:r>
      <w:r w:rsidR="00E3253D" w:rsidRPr="002F4D34">
        <w:rPr>
          <w:rStyle w:val="libFootnoteBoldChar"/>
          <w:rtl/>
        </w:rPr>
        <w:t>الوسائل</w:t>
      </w:r>
      <w:r w:rsidR="00E3253D" w:rsidRPr="005D642E">
        <w:rPr>
          <w:rtl/>
        </w:rPr>
        <w:t xml:space="preserve"> ، ج 1 ، ص 407 ، ح 1056.</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ص 65 </w:t>
      </w:r>
      <w:r w:rsidR="00E3253D" w:rsidRPr="00E678B5">
        <w:rPr>
          <w:rStyle w:val="libFootnoteBoldChar"/>
          <w:rtl/>
        </w:rPr>
        <w:t>والاستبصار</w:t>
      </w:r>
      <w:r w:rsidR="00E3253D" w:rsidRPr="005D642E">
        <w:rPr>
          <w:rtl/>
        </w:rPr>
        <w:t xml:space="preserve"> : + « لي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ثُمَّ قَالَ : « ابْدَأْ بِالْمَسْحِ عَلَى الرِّجْلَيْنِ ، فَإِنْ بَدَا لَكَ غَسْلٌ </w:t>
      </w:r>
      <w:r w:rsidRPr="007C12DB">
        <w:rPr>
          <w:rStyle w:val="libFootnotenumChar"/>
          <w:rtl/>
        </w:rPr>
        <w:t>(1)</w:t>
      </w:r>
      <w:r w:rsidRPr="005D642E">
        <w:rPr>
          <w:rtl/>
          <w:lang w:bidi="fa-IR"/>
        </w:rPr>
        <w:t xml:space="preserve"> ، فَغَسَلْتَ ، فَامْسَحْ بَعْدَهُ لِيَكُونَ آخِرَ ذلِكَ الْمُفْتَرَضِ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8A6CA7">
        <w:rPr>
          <w:rtl/>
        </w:rPr>
        <w:t>3949</w:t>
      </w:r>
      <w:r w:rsidRPr="00246318">
        <w:rPr>
          <w:rStyle w:val="libBold2Char"/>
          <w:rtl/>
        </w:rPr>
        <w:t xml:space="preserve"> / 9.</w:t>
      </w:r>
      <w:r w:rsidRPr="005D642E">
        <w:rPr>
          <w:rtl/>
          <w:lang w:bidi="fa-IR"/>
        </w:rPr>
        <w:t xml:space="preserve"> مُحَمَّدُ بْنُ يَحْيى ، عَنْ مُحَمَّدِ بْنِ الْحُسَيْنِ ، عَنِ الْحَكَمِ بْنِ مِسْكِينٍ ، عَنْ مُحَمَّدِ بْنِ مَرْوَانَ </w:t>
      </w:r>
      <w:r w:rsidRPr="007C12DB">
        <w:rPr>
          <w:rStyle w:val="libFootnotenumChar"/>
          <w:rtl/>
        </w:rPr>
        <w:t>(3)</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إِنَّهُ </w:t>
      </w:r>
      <w:r w:rsidRPr="007C12DB">
        <w:rPr>
          <w:rStyle w:val="libFootnotenumChar"/>
          <w:rtl/>
        </w:rPr>
        <w:t>(4)</w:t>
      </w:r>
      <w:r w:rsidRPr="005D642E">
        <w:rPr>
          <w:rtl/>
          <w:lang w:bidi="fa-IR"/>
        </w:rPr>
        <w:t xml:space="preserve"> يَأْتِي عَلَى الرَّجُلِ سِتُّونَ وَسَبْعُونَ سَنَةً مَا قَبِلَ اللهُ مِنْهُ صَلَاةً »</w:t>
      </w:r>
      <w:r>
        <w:rPr>
          <w:rtl/>
          <w:lang w:bidi="fa-IR"/>
        </w:rPr>
        <w:t>.</w:t>
      </w:r>
      <w:r w:rsidRPr="005D642E">
        <w:rPr>
          <w:rtl/>
          <w:lang w:bidi="fa-IR"/>
        </w:rPr>
        <w:t xml:space="preserve"> قُلْتُ : وَكَيْفَ </w:t>
      </w:r>
      <w:r w:rsidRPr="007C12DB">
        <w:rPr>
          <w:rStyle w:val="libFootnotenumChar"/>
          <w:rtl/>
        </w:rPr>
        <w:t>(5)</w:t>
      </w:r>
      <w:r w:rsidRPr="005D642E">
        <w:rPr>
          <w:rtl/>
          <w:lang w:bidi="fa-IR"/>
        </w:rPr>
        <w:t xml:space="preserve"> ذَاكَ </w:t>
      </w:r>
      <w:r w:rsidRPr="007C12DB">
        <w:rPr>
          <w:rStyle w:val="libFootnotenumChar"/>
          <w:rtl/>
        </w:rPr>
        <w:t>(6)</w:t>
      </w:r>
      <w:r>
        <w:rPr>
          <w:rtl/>
          <w:lang w:bidi="fa-IR"/>
        </w:rPr>
        <w:t>؟</w:t>
      </w:r>
      <w:r w:rsidRPr="005D642E">
        <w:rPr>
          <w:rtl/>
          <w:lang w:bidi="fa-IR"/>
        </w:rPr>
        <w:t xml:space="preserve"> قَالَ : « لِأَنَّهُ يَغْسِلُ مَا أَمَرَ اللهُ بِمَسْحِهِ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8A6CA7">
        <w:rPr>
          <w:rtl/>
        </w:rPr>
        <w:t>3950</w:t>
      </w:r>
      <w:r w:rsidRPr="00246318">
        <w:rPr>
          <w:rStyle w:val="libBold2Char"/>
          <w:rtl/>
        </w:rPr>
        <w:t xml:space="preserve"> / 10.</w:t>
      </w:r>
      <w:r w:rsidRPr="005D642E">
        <w:rPr>
          <w:rtl/>
          <w:lang w:bidi="fa-IR"/>
        </w:rPr>
        <w:t xml:space="preserve"> مُحَمَّدُ بْنُ يَحْيى ، عَنْ عَلِيِّ </w:t>
      </w:r>
      <w:r w:rsidRPr="007C12DB">
        <w:rPr>
          <w:rStyle w:val="libFootnotenumChar"/>
          <w:rtl/>
        </w:rPr>
        <w:t>(8)</w:t>
      </w:r>
      <w:r w:rsidRPr="005D642E">
        <w:rPr>
          <w:rtl/>
          <w:lang w:bidi="fa-IR"/>
        </w:rPr>
        <w:t xml:space="preserve"> بْنِ إِسْمَاعِيلَ ، عَنْ عَلِيِّ بْنِ النُّعْمَانِ ، عَنِ الْقَاسِمِ بْنِ مُحَمَّدٍ ، عَنْ جَعْفَرِ بْنِ سُلَيْمَانَ </w:t>
      </w:r>
      <w:r w:rsidRPr="007C12DB">
        <w:rPr>
          <w:rStyle w:val="libFootnotenumChar"/>
          <w:rtl/>
        </w:rPr>
        <w:t>(9)</w:t>
      </w:r>
      <w:r w:rsidRPr="005D642E">
        <w:rPr>
          <w:rtl/>
          <w:lang w:bidi="fa-IR"/>
        </w:rPr>
        <w:t xml:space="preserve"> عَمِّهِ ، قَالَ :</w:t>
      </w:r>
    </w:p>
    <w:p w:rsidR="00E3253D" w:rsidRPr="005D642E" w:rsidRDefault="00E3253D" w:rsidP="00E3253D">
      <w:pPr>
        <w:pStyle w:val="libNormal"/>
        <w:rPr>
          <w:rtl/>
          <w:lang w:bidi="fa-IR"/>
        </w:rPr>
      </w:pPr>
      <w:r w:rsidRPr="005D642E">
        <w:rPr>
          <w:rtl/>
          <w:lang w:bidi="fa-IR"/>
        </w:rPr>
        <w:t xml:space="preserve">سَأَلْتُ أَبَا الْحَسَنِ مُوسى </w:t>
      </w:r>
      <w:r w:rsidRPr="00AC51C5">
        <w:rPr>
          <w:rStyle w:val="libAlaemChar"/>
          <w:rtl/>
        </w:rPr>
        <w:t>عليه‌السلام</w:t>
      </w:r>
      <w:r w:rsidRPr="005D642E">
        <w:rPr>
          <w:rtl/>
          <w:lang w:bidi="fa-IR"/>
        </w:rPr>
        <w:t xml:space="preserve"> : قُلْتُ </w:t>
      </w:r>
      <w:r w:rsidRPr="007C12DB">
        <w:rPr>
          <w:rStyle w:val="libFootnotenumChar"/>
          <w:rtl/>
        </w:rPr>
        <w:t>(10)</w:t>
      </w:r>
      <w:r w:rsidRPr="005D642E">
        <w:rPr>
          <w:rtl/>
          <w:lang w:bidi="fa-IR"/>
        </w:rPr>
        <w:t xml:space="preserve"> : جُعِلْتُ فِدَاكَ ، يَكُونُ خُفُّ الرَّجُلِ مُخَرَّقاً ، فَيُدْخِلُ يَدَهُ ، فَيَمْسَحُ ظَهْرَ قَدَمِهِ </w:t>
      </w:r>
      <w:r w:rsidRPr="007C12DB">
        <w:rPr>
          <w:rStyle w:val="libFootnotenumChar"/>
          <w:rtl/>
        </w:rPr>
        <w:t>(11)</w:t>
      </w:r>
      <w:r>
        <w:rPr>
          <w:rtl/>
          <w:lang w:bidi="fa-IR"/>
        </w:rPr>
        <w:t xml:space="preserve"> أَ</w:t>
      </w:r>
      <w:r w:rsidRPr="005D642E">
        <w:rPr>
          <w:rtl/>
          <w:lang w:bidi="fa-IR"/>
        </w:rPr>
        <w:t>يُجْزِئُهُ‌</w:t>
      </w:r>
      <w:r w:rsidR="00016119">
        <w:rPr>
          <w:rFonts w:hint="cs"/>
          <w:rtl/>
          <w:lang w:bidi="fa-IR"/>
        </w:rPr>
        <w:t>.......................................</w:t>
      </w:r>
      <w:r w:rsidR="00016119">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بس » :</w:t>
      </w:r>
      <w:r w:rsidR="00E3253D">
        <w:rPr>
          <w:rtl/>
        </w:rPr>
        <w:t xml:space="preserve"> </w:t>
      </w:r>
      <w:r w:rsidR="007642BC">
        <w:rPr>
          <w:rtl/>
        </w:rPr>
        <w:t>-</w:t>
      </w:r>
      <w:r w:rsidR="00E3253D">
        <w:rPr>
          <w:rtl/>
        </w:rPr>
        <w:t xml:space="preserve"> </w:t>
      </w:r>
      <w:r w:rsidR="00E3253D" w:rsidRPr="005D642E">
        <w:rPr>
          <w:rtl/>
        </w:rPr>
        <w:t>« غسل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65 ، ح 186 ؛ </w:t>
      </w:r>
      <w:r w:rsidR="00E3253D" w:rsidRPr="00E678B5">
        <w:rPr>
          <w:rStyle w:val="libFootnoteBoldChar"/>
          <w:rtl/>
        </w:rPr>
        <w:t>والاستبصار</w:t>
      </w:r>
      <w:r w:rsidR="00E3253D" w:rsidRPr="005D642E">
        <w:rPr>
          <w:rtl/>
        </w:rPr>
        <w:t xml:space="preserve"> ، ج 1 ، ص 65 ، ح 193 ، معلّقاً عن الحسين بن سعيد ، عن حمّاد. </w:t>
      </w:r>
      <w:r w:rsidR="00E3253D" w:rsidRPr="002F4D34">
        <w:rPr>
          <w:rStyle w:val="libFootnoteBoldChar"/>
          <w:rtl/>
        </w:rPr>
        <w:t>التهذيب</w:t>
      </w:r>
      <w:r w:rsidR="00E3253D" w:rsidRPr="005D642E">
        <w:rPr>
          <w:rtl/>
        </w:rPr>
        <w:t xml:space="preserve"> ، ج 1 ، ص 93 ، ح 274 ، بسنده عن الحسين بن سعيد ، عن حمّاد ، عن حريز ، عن زرارة ، عن أبي عبدالله ، عن أبيه </w:t>
      </w:r>
      <w:r w:rsidR="00E3253D" w:rsidRPr="00984289">
        <w:rPr>
          <w:rStyle w:val="libFootnoteAlaemChar"/>
          <w:rtl/>
        </w:rPr>
        <w:t>عليهما‌السلام</w:t>
      </w:r>
      <w:r w:rsidR="00E3253D" w:rsidRPr="005D642E">
        <w:rPr>
          <w:rtl/>
        </w:rPr>
        <w:t xml:space="preserve"> ، وفي كلّ المصادر مع اختلاف يسير </w:t>
      </w:r>
      <w:r w:rsidR="00984289">
        <w:rPr>
          <w:rFonts w:hint="cs"/>
          <w:rtl/>
        </w:rPr>
        <w:t>.</w:t>
      </w:r>
      <w:r w:rsidR="00E3253D" w:rsidRPr="002F4D34">
        <w:rPr>
          <w:rStyle w:val="libFootnoteBoldChar"/>
          <w:rtl/>
        </w:rPr>
        <w:t>الوافي</w:t>
      </w:r>
      <w:r w:rsidR="00E3253D" w:rsidRPr="005D642E">
        <w:rPr>
          <w:rtl/>
        </w:rPr>
        <w:t xml:space="preserve"> ، ج 6 ، ص 295 ، ح 4326 ؛ </w:t>
      </w:r>
      <w:r w:rsidR="00E3253D" w:rsidRPr="002F4D34">
        <w:rPr>
          <w:rStyle w:val="libFootnoteBoldChar"/>
          <w:rtl/>
        </w:rPr>
        <w:t>الوسائل</w:t>
      </w:r>
      <w:r w:rsidR="00E3253D" w:rsidRPr="005D642E">
        <w:rPr>
          <w:rtl/>
        </w:rPr>
        <w:t xml:space="preserve"> ، ج 1 ، ص 420 ، ذيل ح 1099.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الاستبصار : « محمّد بن سهل » بدل « محمّد بن مروان »</w:t>
      </w:r>
      <w:r w:rsidR="00E3253D">
        <w:rPr>
          <w:rtl/>
        </w:rPr>
        <w:t>.</w:t>
      </w:r>
    </w:p>
    <w:tbl>
      <w:tblPr>
        <w:tblStyle w:val="TableGrid"/>
        <w:bidiVisual/>
        <w:tblW w:w="0" w:type="auto"/>
        <w:tblLook w:val="04A0" w:firstRow="1" w:lastRow="0" w:firstColumn="1" w:lastColumn="0" w:noHBand="0" w:noVBand="1"/>
      </w:tblPr>
      <w:tblGrid>
        <w:gridCol w:w="4006"/>
        <w:gridCol w:w="4006"/>
      </w:tblGrid>
      <w:tr w:rsidR="00984289" w:rsidTr="00984289">
        <w:tc>
          <w:tcPr>
            <w:tcW w:w="4006" w:type="dxa"/>
          </w:tcPr>
          <w:p w:rsidR="00984289" w:rsidRDefault="00984289" w:rsidP="00E3253D">
            <w:pPr>
              <w:pStyle w:val="libFootnote0"/>
              <w:rPr>
                <w:rStyle w:val="libFootnote0Char"/>
                <w:rtl/>
              </w:rPr>
            </w:pPr>
            <w:r w:rsidRPr="0042621E">
              <w:rPr>
                <w:rStyle w:val="libFootnote0Char"/>
                <w:rtl/>
              </w:rPr>
              <w:t>(4).</w:t>
            </w:r>
            <w:r w:rsidRPr="005D642E">
              <w:rPr>
                <w:rtl/>
              </w:rPr>
              <w:t xml:space="preserve"> في الاستبصار والعلل ، ح 2 :</w:t>
            </w:r>
            <w:r>
              <w:rPr>
                <w:rtl/>
              </w:rPr>
              <w:t xml:space="preserve"> - </w:t>
            </w:r>
            <w:r w:rsidRPr="005D642E">
              <w:rPr>
                <w:rtl/>
              </w:rPr>
              <w:t>« إنّه »</w:t>
            </w:r>
            <w:r>
              <w:rPr>
                <w:rtl/>
              </w:rPr>
              <w:t>.</w:t>
            </w:r>
          </w:p>
        </w:tc>
        <w:tc>
          <w:tcPr>
            <w:tcW w:w="4006" w:type="dxa"/>
          </w:tcPr>
          <w:p w:rsidR="00984289" w:rsidRDefault="00984289" w:rsidP="00E3253D">
            <w:pPr>
              <w:pStyle w:val="libFootnote0"/>
              <w:rPr>
                <w:rStyle w:val="libFootnote0Char"/>
                <w:rtl/>
              </w:rPr>
            </w:pPr>
            <w:r w:rsidRPr="0042621E">
              <w:rPr>
                <w:rStyle w:val="libFootnote0Char"/>
                <w:rtl/>
              </w:rPr>
              <w:t>(5).</w:t>
            </w:r>
            <w:r w:rsidRPr="005D642E">
              <w:rPr>
                <w:rtl/>
              </w:rPr>
              <w:t xml:space="preserve"> في الوسائل : « كيف » من دون الواو.</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وحاشية « بخ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ذلك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65 ، ح 184 ؛ وص 92 ، ح 246 ؛ </w:t>
      </w:r>
      <w:r w:rsidR="00E3253D" w:rsidRPr="00E678B5">
        <w:rPr>
          <w:rStyle w:val="libFootnoteBoldChar"/>
          <w:rtl/>
        </w:rPr>
        <w:t>والاستبصار</w:t>
      </w:r>
      <w:r w:rsidR="00E3253D" w:rsidRPr="005D642E">
        <w:rPr>
          <w:rtl/>
        </w:rPr>
        <w:t xml:space="preserve"> ، ج 1 ، ص 64 ، ح 191 ، بسندهم عن الكليني. </w:t>
      </w:r>
      <w:r w:rsidR="00E3253D" w:rsidRPr="002F4D34">
        <w:rPr>
          <w:rStyle w:val="libFootnoteBoldChar"/>
          <w:rtl/>
        </w:rPr>
        <w:t>علل الشرائع</w:t>
      </w:r>
      <w:r w:rsidR="00E3253D" w:rsidRPr="005D642E">
        <w:rPr>
          <w:rtl/>
        </w:rPr>
        <w:t xml:space="preserve"> ، ص 289 ، ح 2 ، بسنده عن محمّد بن الحسين بن أبي الخطّاب ، مع اختلاف يسير. </w:t>
      </w:r>
      <w:r w:rsidR="00E3253D" w:rsidRPr="002F4D34">
        <w:rPr>
          <w:rStyle w:val="libFootnoteBoldChar"/>
          <w:rtl/>
        </w:rPr>
        <w:t>وفيه</w:t>
      </w:r>
      <w:r w:rsidR="00E3253D" w:rsidRPr="005D642E">
        <w:rPr>
          <w:rtl/>
        </w:rPr>
        <w:t xml:space="preserve"> ، ح 1 ، بسند آخر ، إلى قوله : « قبل الله منه صلاة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36 ، ح 73 ، مرسلاً ، وفيهما مع اختلاف يسير </w:t>
      </w:r>
      <w:r w:rsidR="00E3253D" w:rsidRPr="002F4D34">
        <w:rPr>
          <w:rStyle w:val="libFootnoteBoldChar"/>
          <w:rtl/>
        </w:rPr>
        <w:t>الوافي</w:t>
      </w:r>
      <w:r w:rsidR="00E3253D" w:rsidRPr="005D642E">
        <w:rPr>
          <w:rtl/>
        </w:rPr>
        <w:t xml:space="preserve"> ، ج 6 ، ص 295 ، ح 4324 ؛ </w:t>
      </w:r>
      <w:r w:rsidR="00E3253D" w:rsidRPr="002F4D34">
        <w:rPr>
          <w:rStyle w:val="libFootnoteBoldChar"/>
          <w:rtl/>
        </w:rPr>
        <w:t>الوسائل</w:t>
      </w:r>
      <w:r w:rsidR="00E3253D" w:rsidRPr="005D642E">
        <w:rPr>
          <w:rtl/>
        </w:rPr>
        <w:t xml:space="preserve"> ، ج 1 ، ص 418 ، ح 1089.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بف » : « محمّد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بح ، بخ ، بف ، جن » وحاشية « بث » </w:t>
      </w:r>
      <w:r w:rsidR="000D749A" w:rsidRPr="000D749A">
        <w:rPr>
          <w:rStyle w:val="libFootnoteBoldChar"/>
          <w:rtl/>
        </w:rPr>
        <w:t>والوافي</w:t>
      </w:r>
      <w:r w:rsidR="00E3253D" w:rsidRPr="005D642E">
        <w:rPr>
          <w:rtl/>
        </w:rPr>
        <w:t xml:space="preserve"> : + « عن »</w:t>
      </w:r>
      <w:r w:rsidR="00E3253D">
        <w:rPr>
          <w:rtl/>
        </w:rPr>
        <w:t>.</w:t>
      </w:r>
    </w:p>
    <w:tbl>
      <w:tblPr>
        <w:tblStyle w:val="TableGrid"/>
        <w:bidiVisual/>
        <w:tblW w:w="0" w:type="auto"/>
        <w:tblLook w:val="04A0" w:firstRow="1" w:lastRow="0" w:firstColumn="1" w:lastColumn="0" w:noHBand="0" w:noVBand="1"/>
      </w:tblPr>
      <w:tblGrid>
        <w:gridCol w:w="4006"/>
        <w:gridCol w:w="4006"/>
      </w:tblGrid>
      <w:tr w:rsidR="00D56EBC" w:rsidTr="00D56EBC">
        <w:tc>
          <w:tcPr>
            <w:tcW w:w="4006" w:type="dxa"/>
          </w:tcPr>
          <w:p w:rsidR="00D56EBC" w:rsidRDefault="00D56EBC" w:rsidP="00E3253D">
            <w:pPr>
              <w:pStyle w:val="libFootnote0"/>
              <w:rPr>
                <w:rStyle w:val="libFootnote0Char"/>
                <w:rtl/>
              </w:rPr>
            </w:pPr>
            <w:r w:rsidRPr="0042621E">
              <w:rPr>
                <w:rStyle w:val="libFootnote0Char"/>
                <w:rtl/>
              </w:rPr>
              <w:t>(10).</w:t>
            </w:r>
            <w:r w:rsidRPr="005D642E">
              <w:rPr>
                <w:rtl/>
              </w:rPr>
              <w:t xml:space="preserve"> في التهذيب : « فقلت »</w:t>
            </w:r>
            <w:r>
              <w:rPr>
                <w:rtl/>
              </w:rPr>
              <w:t>.</w:t>
            </w:r>
          </w:p>
        </w:tc>
        <w:tc>
          <w:tcPr>
            <w:tcW w:w="4006" w:type="dxa"/>
          </w:tcPr>
          <w:p w:rsidR="00D56EBC" w:rsidRDefault="00D56EBC" w:rsidP="00E3253D">
            <w:pPr>
              <w:pStyle w:val="libFootnote0"/>
              <w:rPr>
                <w:rStyle w:val="libFootnote0Char"/>
                <w:rtl/>
              </w:rPr>
            </w:pPr>
            <w:r w:rsidRPr="0042621E">
              <w:rPr>
                <w:rStyle w:val="libFootnote0Char"/>
                <w:rtl/>
              </w:rPr>
              <w:t>(11).</w:t>
            </w:r>
            <w:r w:rsidRPr="005D642E">
              <w:rPr>
                <w:rtl/>
              </w:rPr>
              <w:t xml:space="preserve"> في « بح » </w:t>
            </w:r>
            <w:r w:rsidRPr="00B60612">
              <w:rPr>
                <w:rStyle w:val="libFootnoteBoldChar"/>
                <w:rtl/>
              </w:rPr>
              <w:t>والتهذيب</w:t>
            </w:r>
            <w:r w:rsidRPr="005D642E">
              <w:rPr>
                <w:rtl/>
              </w:rPr>
              <w:t xml:space="preserve"> : « قدميه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ذلِكَ </w:t>
      </w:r>
      <w:r w:rsidRPr="007C12DB">
        <w:rPr>
          <w:rStyle w:val="libFootnotenumChar"/>
          <w:rtl/>
        </w:rPr>
        <w:t>(1)</w:t>
      </w:r>
      <w:r>
        <w:rPr>
          <w:rtl/>
          <w:lang w:bidi="fa-IR"/>
        </w:rPr>
        <w:t>؟</w:t>
      </w:r>
      <w:r w:rsidRPr="005D642E">
        <w:rPr>
          <w:rtl/>
          <w:lang w:bidi="fa-IR"/>
        </w:rPr>
        <w:t xml:space="preserve"> قَالَ : « نَعَمْ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8A6CA7">
        <w:rPr>
          <w:rtl/>
        </w:rPr>
        <w:t>3951</w:t>
      </w:r>
      <w:r w:rsidRPr="00246318">
        <w:rPr>
          <w:rStyle w:val="libBold2Char"/>
          <w:rtl/>
        </w:rPr>
        <w:t xml:space="preserve"> / 11.</w:t>
      </w:r>
      <w:r w:rsidRPr="005D642E">
        <w:rPr>
          <w:rtl/>
          <w:lang w:bidi="fa-IR"/>
        </w:rPr>
        <w:t xml:space="preserve"> الْحُسَيْنُ بْنُ مُحَمَّدٍ ، عَنْ مُعَلَّى بْنِ مُحَمَّدٍ ، عَنِ الْوَشَّاءِ ، عَنْ أَبَانٍ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تَوَضَّأَ عَلِيٌّ </w:t>
      </w:r>
      <w:r w:rsidRPr="00AC51C5">
        <w:rPr>
          <w:rStyle w:val="libAlaemChar"/>
          <w:rtl/>
        </w:rPr>
        <w:t>عليه‌السلام</w:t>
      </w:r>
      <w:r w:rsidRPr="005D642E">
        <w:rPr>
          <w:rtl/>
          <w:lang w:bidi="fa-IR"/>
        </w:rPr>
        <w:t xml:space="preserve"> ، فَغَسَلَ وَجْهَهُ وَذِرَاعَيْهِ ، ثُمَّ مَسَحَ عَلى رَأْسِهِ وَعَلى نَعْلَيْهِ ، وَلَمْ يُدْخِلْ يَدَهُ تَحْتَ الشِّرَاكِ </w:t>
      </w:r>
      <w:r w:rsidRPr="007C12DB">
        <w:rPr>
          <w:rStyle w:val="libFootnotenumChar"/>
          <w:rtl/>
        </w:rPr>
        <w:t>(4)</w:t>
      </w:r>
      <w:r w:rsidRPr="005D642E">
        <w:rPr>
          <w:rtl/>
          <w:lang w:bidi="fa-IR"/>
        </w:rPr>
        <w:t xml:space="preserve">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8A6CA7">
        <w:rPr>
          <w:rtl/>
        </w:rPr>
        <w:t>3952</w:t>
      </w:r>
      <w:r w:rsidRPr="00246318">
        <w:rPr>
          <w:rStyle w:val="libBold2Char"/>
          <w:rtl/>
        </w:rPr>
        <w:t xml:space="preserve"> / 12.</w:t>
      </w:r>
      <w:r w:rsidRPr="005D642E">
        <w:rPr>
          <w:rtl/>
          <w:lang w:bidi="fa-IR"/>
        </w:rPr>
        <w:t xml:space="preserve"> مُحَمَّدُ بْنُ يَحْيى رَفَعَهُ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الَّذِي </w:t>
      </w:r>
      <w:r w:rsidRPr="007C12DB">
        <w:rPr>
          <w:rStyle w:val="libFootnotenumChar"/>
          <w:rtl/>
        </w:rPr>
        <w:t>(6)</w:t>
      </w:r>
      <w:r w:rsidRPr="005D642E">
        <w:rPr>
          <w:rtl/>
          <w:lang w:bidi="fa-IR"/>
        </w:rPr>
        <w:t xml:space="preserve"> يَخْضِبُ رَأْسَهُ بِالْحِنَّاءِ ، ثُمَّ يَبْدُو لَهُ فِي الْوُضُوءِ </w:t>
      </w:r>
      <w:r w:rsidRPr="007C12DB">
        <w:rPr>
          <w:rStyle w:val="libFootnotenumChar"/>
          <w:rtl/>
        </w:rPr>
        <w:t>(7)</w:t>
      </w:r>
      <w:r w:rsidRPr="005D642E">
        <w:rPr>
          <w:rtl/>
          <w:lang w:bidi="fa-IR"/>
        </w:rPr>
        <w:t xml:space="preserve"> ، قَالَ : « لَا يَجُوزُ </w:t>
      </w:r>
      <w:r w:rsidRPr="007C12DB">
        <w:rPr>
          <w:rStyle w:val="libFootnotenumChar"/>
          <w:rtl/>
        </w:rPr>
        <w:t>(8)</w:t>
      </w:r>
      <w:r w:rsidRPr="005D642E">
        <w:rPr>
          <w:rtl/>
          <w:lang w:bidi="fa-IR"/>
        </w:rPr>
        <w:t xml:space="preserve"> حَتّى يُصِيبَ بَشَرَةَ رَأْسِهِ </w:t>
      </w:r>
      <w:r w:rsidRPr="007C12DB">
        <w:rPr>
          <w:rStyle w:val="libFootnotenumChar"/>
          <w:rtl/>
        </w:rPr>
        <w:t>(9)</w:t>
      </w:r>
      <w:r w:rsidRPr="005D642E">
        <w:rPr>
          <w:rtl/>
          <w:lang w:bidi="fa-IR"/>
        </w:rPr>
        <w:t xml:space="preserve"> بِالْمَاءِ </w:t>
      </w:r>
      <w:r w:rsidRPr="007C12DB">
        <w:rPr>
          <w:rStyle w:val="libFootnotenumChar"/>
          <w:rtl/>
        </w:rPr>
        <w:t>(10)</w:t>
      </w:r>
      <w:r w:rsidRPr="005D642E">
        <w:rPr>
          <w:rtl/>
          <w:lang w:bidi="fa-IR"/>
        </w:rPr>
        <w:t xml:space="preserve">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غ » : « يجزيه ذلك » من دون همزة الاستفهام. وفي « جس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ذلك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ظاهره عدم وجوب الاستيعاب مطلقاً. ويمكن حمله على الضرورة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65 ، ح 185 ، بسنده عن الكليني. </w:t>
      </w:r>
      <w:r w:rsidR="00E3253D" w:rsidRPr="002F4D34">
        <w:rPr>
          <w:rStyle w:val="libFootnoteBoldChar"/>
          <w:rtl/>
        </w:rPr>
        <w:t>الفقيه</w:t>
      </w:r>
      <w:r w:rsidR="00E3253D" w:rsidRPr="005D642E">
        <w:rPr>
          <w:rtl/>
        </w:rPr>
        <w:t xml:space="preserve"> ، ج 1 ، ص 48 ، ح 98 ، مرسلاً ، مع اختلاف يسير </w:t>
      </w:r>
      <w:r w:rsidR="00C55ED6">
        <w:rPr>
          <w:rFonts w:hint="cs"/>
          <w:rtl/>
        </w:rPr>
        <w:t>.</w:t>
      </w:r>
      <w:r w:rsidR="00E3253D" w:rsidRPr="002F4D34">
        <w:rPr>
          <w:rStyle w:val="libFootnoteBoldChar"/>
          <w:rtl/>
        </w:rPr>
        <w:t>الوافي</w:t>
      </w:r>
      <w:r w:rsidR="00E3253D" w:rsidRPr="005D642E">
        <w:rPr>
          <w:rtl/>
        </w:rPr>
        <w:t xml:space="preserve"> ، ج 6 ، ص 285 ، ح 4304 ؛ </w:t>
      </w:r>
      <w:r w:rsidR="00E3253D" w:rsidRPr="002F4D34">
        <w:rPr>
          <w:rStyle w:val="libFootnoteBoldChar"/>
          <w:rtl/>
        </w:rPr>
        <w:t>الوسائل</w:t>
      </w:r>
      <w:r w:rsidR="00E3253D" w:rsidRPr="005D642E">
        <w:rPr>
          <w:rtl/>
        </w:rPr>
        <w:t xml:space="preserve"> ، ج 1 ، ص 414 ، ح 1074.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الشراك » أحد سَيور النعل التي تكون على وجهها ، والسَيْر : قطعة من الجلد ونحوه مستطيلة. راجع : </w:t>
      </w:r>
      <w:r w:rsidR="00E3253D" w:rsidRPr="002F4D34">
        <w:rPr>
          <w:rStyle w:val="libFootnoteBoldChar"/>
          <w:rtl/>
        </w:rPr>
        <w:t>النهاية</w:t>
      </w:r>
      <w:r w:rsidR="00E3253D" w:rsidRPr="005D642E">
        <w:rPr>
          <w:rtl/>
        </w:rPr>
        <w:t xml:space="preserve"> ، ج 2 ، ص 467 ؛ </w:t>
      </w:r>
      <w:r w:rsidR="00E3253D" w:rsidRPr="002F4D34">
        <w:rPr>
          <w:rStyle w:val="libFootnoteBoldChar"/>
          <w:rtl/>
        </w:rPr>
        <w:t>المصباح المنير</w:t>
      </w:r>
      <w:r w:rsidR="00E3253D" w:rsidRPr="005D642E">
        <w:rPr>
          <w:rtl/>
        </w:rPr>
        <w:t xml:space="preserve"> ، ص 311 ( شرك )</w:t>
      </w:r>
      <w:r w:rsidR="00E3253D">
        <w:rPr>
          <w:rtl/>
        </w:rPr>
        <w:t>.</w:t>
      </w:r>
      <w:r w:rsidR="00E3253D" w:rsidRPr="005D642E">
        <w:rPr>
          <w:rtl/>
        </w:rPr>
        <w:t xml:space="preserve"> وقال الشيخ في </w:t>
      </w:r>
      <w:r w:rsidR="00E3253D" w:rsidRPr="002F4D34">
        <w:rPr>
          <w:rStyle w:val="libFootnoteBoldChar"/>
          <w:rtl/>
        </w:rPr>
        <w:t>التهذيب</w:t>
      </w:r>
      <w:r w:rsidR="00E3253D" w:rsidRPr="005D642E">
        <w:rPr>
          <w:rtl/>
        </w:rPr>
        <w:t xml:space="preserve"> ، ج 1 ، ص 65 ، ذيل ح 183 ، في معنى نظير هذا الحديث : « يعني إذا كانا عربييّن ؛ لأنّهما لايمنعان من وصول الماء إلى الرجل بقدر ما يجب فيه عليه المسح »</w:t>
      </w:r>
      <w:r w:rsidR="00E3253D">
        <w:rPr>
          <w:rtl/>
        </w:rPr>
        <w:t>.</w:t>
      </w:r>
      <w:r w:rsidR="00E3253D" w:rsidRPr="005D642E">
        <w:rPr>
          <w:rtl/>
        </w:rPr>
        <w:t xml:space="preserve"> وقال </w:t>
      </w:r>
      <w:r w:rsidR="00C55ED6">
        <w:rPr>
          <w:rtl/>
        </w:rPr>
        <w:t>العل</w:t>
      </w:r>
      <w:r w:rsidR="00C55ED6">
        <w:rPr>
          <w:rFonts w:hint="cs"/>
          <w:rtl/>
        </w:rPr>
        <w:t>ّ</w:t>
      </w:r>
      <w:r w:rsidR="00C55ED6">
        <w:rPr>
          <w:rtl/>
        </w:rPr>
        <w:t>ا</w:t>
      </w:r>
      <w:r w:rsidR="00E3253D" w:rsidRPr="005D642E">
        <w:rPr>
          <w:rtl/>
        </w:rPr>
        <w:t>مة الفيض : « وبناء هذا الحديث على عدم وجوب استيعاب ظهر القدم بالمسح وإن استحبّ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6 ، ص 285 ، ح 4306 ؛ </w:t>
      </w:r>
      <w:r w:rsidR="00E3253D" w:rsidRPr="002F4D34">
        <w:rPr>
          <w:rStyle w:val="libFootnoteBoldChar"/>
          <w:rtl/>
        </w:rPr>
        <w:t>الوسائل</w:t>
      </w:r>
      <w:r w:rsidR="00E3253D" w:rsidRPr="005D642E">
        <w:rPr>
          <w:rtl/>
        </w:rPr>
        <w:t xml:space="preserve"> ، ج 1 ، ص 414 ، ح 1075.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الاستبصار : « الرجل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 « بالوضوء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يجوز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0033C5">
        <w:rPr>
          <w:rStyle w:val="libFootnoteAlaemChar"/>
          <w:rtl/>
        </w:rPr>
        <w:t>عليه‌السلام</w:t>
      </w:r>
      <w:r w:rsidR="00E3253D" w:rsidRPr="005D642E">
        <w:rPr>
          <w:rtl/>
        </w:rPr>
        <w:t xml:space="preserve"> : بشرة رأسه ، ينبغي حمله على ما يشمل الشعر أيضاً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الوافي : « الماء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359 ، ح 1080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75 ، ح 234 ، معلّقاً عن محمّد بن يحيى. راجع : </w:t>
      </w:r>
      <w:r w:rsidR="00E3253D" w:rsidRPr="002F4D34">
        <w:rPr>
          <w:rStyle w:val="libFootnoteBoldChar"/>
          <w:rtl/>
        </w:rPr>
        <w:t>التهذيب</w:t>
      </w:r>
      <w:r w:rsidR="00E3253D" w:rsidRPr="005D642E">
        <w:rPr>
          <w:rtl/>
        </w:rPr>
        <w:t xml:space="preserve"> ، ج 1 ، ص 359 ، ح 1079 ؛ </w:t>
      </w:r>
      <w:r w:rsidR="00E3253D" w:rsidRPr="00E678B5">
        <w:rPr>
          <w:rStyle w:val="libFootnoteBoldChar"/>
          <w:rtl/>
        </w:rPr>
        <w:t>والاستبصار</w:t>
      </w:r>
      <w:r w:rsidR="00E3253D" w:rsidRPr="005D642E">
        <w:rPr>
          <w:rtl/>
        </w:rPr>
        <w:t xml:space="preserve"> ، ج 1 ، ص 75 ، ح 232 </w:t>
      </w:r>
      <w:r w:rsidR="000033C5">
        <w:rPr>
          <w:rFonts w:hint="cs"/>
          <w:rtl/>
        </w:rPr>
        <w:t>.</w:t>
      </w:r>
      <w:r w:rsidR="00E3253D" w:rsidRPr="002F4D34">
        <w:rPr>
          <w:rStyle w:val="libFootnoteBoldChar"/>
          <w:rtl/>
        </w:rPr>
        <w:t>الوافي</w:t>
      </w:r>
      <w:r w:rsidR="00E3253D" w:rsidRPr="005D642E">
        <w:rPr>
          <w:rtl/>
        </w:rPr>
        <w:t xml:space="preserve"> ، ج 6 ، ص 307 ، ح 4349 ؛ </w:t>
      </w:r>
      <w:r w:rsidR="00E3253D" w:rsidRPr="002F4D34">
        <w:rPr>
          <w:rStyle w:val="libFootnoteBoldChar"/>
          <w:rtl/>
        </w:rPr>
        <w:t>الوسائل</w:t>
      </w:r>
      <w:r w:rsidR="00E3253D" w:rsidRPr="005D642E">
        <w:rPr>
          <w:rtl/>
        </w:rPr>
        <w:t xml:space="preserve"> ، ج 1 ، ص 455 ، ح 1202.</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78" w:name="_Toc344647236"/>
      <w:bookmarkStart w:id="79" w:name="_Toc462226751"/>
      <w:bookmarkStart w:id="80" w:name="_Toc40975859"/>
      <w:r w:rsidRPr="005D642E">
        <w:rPr>
          <w:rtl/>
          <w:lang w:bidi="fa-IR"/>
        </w:rPr>
        <w:lastRenderedPageBreak/>
        <w:t>20</w:t>
      </w:r>
      <w:r>
        <w:rPr>
          <w:rtl/>
          <w:lang w:bidi="fa-IR"/>
        </w:rPr>
        <w:t xml:space="preserve"> </w:t>
      </w:r>
      <w:r w:rsidR="007642BC">
        <w:rPr>
          <w:rtl/>
          <w:lang w:bidi="fa-IR"/>
        </w:rPr>
        <w:t>-</w:t>
      </w:r>
      <w:r>
        <w:rPr>
          <w:rtl/>
          <w:lang w:bidi="fa-IR"/>
        </w:rPr>
        <w:t xml:space="preserve"> </w:t>
      </w:r>
      <w:r w:rsidRPr="005D642E">
        <w:rPr>
          <w:rtl/>
          <w:lang w:bidi="fa-IR"/>
        </w:rPr>
        <w:t xml:space="preserve">بَابُ مَسْحِ الْخُفِّ </w:t>
      </w:r>
      <w:r w:rsidRPr="007C12DB">
        <w:rPr>
          <w:rStyle w:val="libFootnotenumChar"/>
          <w:rtl/>
        </w:rPr>
        <w:t>(1)</w:t>
      </w:r>
      <w:r w:rsidRPr="005D642E">
        <w:rPr>
          <w:rtl/>
          <w:lang w:bidi="fa-IR"/>
        </w:rPr>
        <w:t xml:space="preserve"> ‌</w:t>
      </w:r>
      <w:bookmarkEnd w:id="78"/>
      <w:bookmarkEnd w:id="79"/>
      <w:bookmarkEnd w:id="80"/>
    </w:p>
    <w:p w:rsidR="00E3253D" w:rsidRPr="005D642E" w:rsidRDefault="00E3253D" w:rsidP="00E3253D">
      <w:pPr>
        <w:pStyle w:val="libNormal"/>
        <w:rPr>
          <w:rtl/>
          <w:lang w:bidi="fa-IR"/>
        </w:rPr>
      </w:pPr>
      <w:r w:rsidRPr="008A6CA7">
        <w:rPr>
          <w:rtl/>
        </w:rPr>
        <w:t>3953</w:t>
      </w:r>
      <w:r w:rsidRPr="00246318">
        <w:rPr>
          <w:rStyle w:val="libBold2Char"/>
          <w:rtl/>
        </w:rPr>
        <w:t xml:space="preserve"> / 1.</w:t>
      </w:r>
      <w:r w:rsidRPr="005D642E">
        <w:rPr>
          <w:rtl/>
          <w:lang w:bidi="fa-IR"/>
        </w:rPr>
        <w:t xml:space="preserve"> عِدَّةٌ مِنْ أَصْحَابِنَا ، عَنْ أَحْمَدَ بْنِ مُحَمَّدٍ ، عَنِ الْحُسَيْنِ بْنِ سَعِيدٍ ، عَنْ فَضَالَةَ بْنِ أَيُّوبَ ، عَنْ أَبَانٍ ، عَنْ إِسْحَاقَ بْنِ عَمَّارٍ </w:t>
      </w:r>
      <w:r w:rsidRPr="007C12DB">
        <w:rPr>
          <w:rStyle w:val="libFootnotenumChar"/>
          <w:rtl/>
        </w:rPr>
        <w:t>(2)</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الْمَرِيضِ : هَلْ لَهُ رُخْصَةٌ فِي الْمَسْحِ </w:t>
      </w:r>
      <w:r w:rsidRPr="007C12DB">
        <w:rPr>
          <w:rStyle w:val="libFootnotenumChar"/>
          <w:rtl/>
        </w:rPr>
        <w:t>(3)</w:t>
      </w:r>
      <w:r>
        <w:rPr>
          <w:rtl/>
          <w:lang w:bidi="fa-IR"/>
        </w:rPr>
        <w:t>؟</w:t>
      </w:r>
      <w:r w:rsidRPr="005D642E">
        <w:rPr>
          <w:rtl/>
          <w:lang w:bidi="fa-IR"/>
        </w:rPr>
        <w:t xml:space="preserve"> قَالَ </w:t>
      </w:r>
      <w:r w:rsidRPr="007C12DB">
        <w:rPr>
          <w:rStyle w:val="libFootnotenumChar"/>
          <w:rtl/>
        </w:rPr>
        <w:t>(4)</w:t>
      </w:r>
      <w:r w:rsidRPr="005D642E">
        <w:rPr>
          <w:rtl/>
          <w:lang w:bidi="fa-IR"/>
        </w:rPr>
        <w:t xml:space="preserve"> : « لَا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8A6CA7">
        <w:rPr>
          <w:rtl/>
        </w:rPr>
        <w:t>3954</w:t>
      </w:r>
      <w:r w:rsidRPr="00246318">
        <w:rPr>
          <w:rStyle w:val="libBold2Char"/>
          <w:rtl/>
        </w:rPr>
        <w:t xml:space="preserve"> / 2.</w:t>
      </w:r>
      <w:r w:rsidRPr="005D642E">
        <w:rPr>
          <w:rtl/>
          <w:lang w:bidi="fa-IR"/>
        </w:rPr>
        <w:t xml:space="preserve"> عَلِيُّ بْنُ إِبْرَاهِيمَ ، عَنْ أَبِيهِ ، عَنْ حَمَّادٍ ، عَنْ حَرِيزٍ ، عَنْ زُرَارَةَ ، قَالَ :</w:t>
      </w:r>
    </w:p>
    <w:p w:rsidR="00E3253D" w:rsidRPr="005D642E" w:rsidRDefault="00E3253D" w:rsidP="00E3253D">
      <w:pPr>
        <w:pStyle w:val="libNormal"/>
        <w:rPr>
          <w:rtl/>
          <w:lang w:bidi="fa-IR"/>
        </w:rPr>
      </w:pPr>
      <w:r w:rsidRPr="005D642E">
        <w:rPr>
          <w:rtl/>
          <w:lang w:bidi="fa-IR"/>
        </w:rPr>
        <w:t xml:space="preserve">قُلْتُ لَهُ </w:t>
      </w:r>
      <w:r w:rsidRPr="007C12DB">
        <w:rPr>
          <w:rStyle w:val="libFootnotenumChar"/>
          <w:rtl/>
        </w:rPr>
        <w:t>(6)</w:t>
      </w:r>
      <w:r w:rsidRPr="005D642E">
        <w:rPr>
          <w:rtl/>
          <w:lang w:bidi="fa-IR"/>
        </w:rPr>
        <w:t xml:space="preserve"> : فِي مَسْحِ </w:t>
      </w:r>
      <w:r w:rsidRPr="007C12DB">
        <w:rPr>
          <w:rStyle w:val="libFootnotenumChar"/>
          <w:rtl/>
        </w:rPr>
        <w:t>(7)</w:t>
      </w:r>
      <w:r w:rsidRPr="005D642E">
        <w:rPr>
          <w:rtl/>
          <w:lang w:bidi="fa-IR"/>
        </w:rPr>
        <w:t xml:space="preserve"> الْخُفَّيْنِ تَقِيَّةٌ</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(8)</w:t>
      </w:r>
      <w:r w:rsidRPr="005D642E">
        <w:rPr>
          <w:rtl/>
          <w:lang w:bidi="fa-IR"/>
        </w:rPr>
        <w:t xml:space="preserve"> : « ثَلَاثَةٌ </w:t>
      </w:r>
      <w:r w:rsidRPr="007C12DB">
        <w:rPr>
          <w:rStyle w:val="libFootnotenumChar"/>
          <w:rtl/>
        </w:rPr>
        <w:t>(9)</w:t>
      </w:r>
      <w:r w:rsidRPr="005D642E">
        <w:rPr>
          <w:rtl/>
          <w:lang w:bidi="fa-IR"/>
        </w:rPr>
        <w:t xml:space="preserve"> لَا</w:t>
      </w:r>
      <w:r>
        <w:rPr>
          <w:rFonts w:hint="cs"/>
          <w:rtl/>
          <w:lang w:bidi="fa-IR"/>
        </w:rPr>
        <w:t xml:space="preserve"> </w:t>
      </w:r>
      <w:r w:rsidRPr="005D642E">
        <w:rPr>
          <w:rtl/>
          <w:lang w:bidi="fa-IR"/>
        </w:rPr>
        <w:t xml:space="preserve">أَتَّقِي فِيهِنَّ أَحَداً : شُرْبُ الْمُسْكِرِ </w:t>
      </w:r>
      <w:r w:rsidRPr="007C12DB">
        <w:rPr>
          <w:rStyle w:val="libFootnotenumChar"/>
          <w:rtl/>
        </w:rPr>
        <w:t>(10)</w:t>
      </w:r>
      <w:r w:rsidRPr="005D642E">
        <w:rPr>
          <w:rtl/>
          <w:lang w:bidi="fa-IR"/>
        </w:rPr>
        <w:t xml:space="preserve"> ، وَمَسْحُ الْخُفَّيْنِ </w:t>
      </w:r>
      <w:r w:rsidRPr="007C12DB">
        <w:rPr>
          <w:rStyle w:val="libFootnotenumChar"/>
          <w:rtl/>
        </w:rPr>
        <w:t>(11)</w:t>
      </w:r>
      <w:r w:rsidRPr="005D642E">
        <w:rPr>
          <w:rtl/>
          <w:lang w:bidi="fa-IR"/>
        </w:rPr>
        <w:t xml:space="preserve"> ، وَمُتْعَةُ الْحَجِّ »</w:t>
      </w:r>
      <w:r>
        <w:rPr>
          <w:rtl/>
          <w:lang w:bidi="fa-IR"/>
        </w:rPr>
        <w:t>.</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033C5" w:rsidTr="000033C5">
        <w:tc>
          <w:tcPr>
            <w:tcW w:w="4006" w:type="dxa"/>
          </w:tcPr>
          <w:p w:rsidR="000033C5" w:rsidRDefault="000033C5" w:rsidP="00E3253D">
            <w:pPr>
              <w:pStyle w:val="libFootnote0"/>
              <w:rPr>
                <w:rStyle w:val="libFootnote0Char"/>
                <w:rtl/>
              </w:rPr>
            </w:pPr>
            <w:r w:rsidRPr="0042621E">
              <w:rPr>
                <w:rStyle w:val="libFootnote0Char"/>
                <w:rtl/>
              </w:rPr>
              <w:t>(1).</w:t>
            </w:r>
            <w:r>
              <w:rPr>
                <w:rtl/>
              </w:rPr>
              <w:t xml:space="preserve"> </w:t>
            </w:r>
            <w:r w:rsidRPr="005D642E">
              <w:rPr>
                <w:rtl/>
              </w:rPr>
              <w:t>في « جس » : « الخفّين »</w:t>
            </w:r>
            <w:r>
              <w:rPr>
                <w:rtl/>
              </w:rPr>
              <w:t>.</w:t>
            </w:r>
          </w:p>
        </w:tc>
        <w:tc>
          <w:tcPr>
            <w:tcW w:w="4006" w:type="dxa"/>
          </w:tcPr>
          <w:p w:rsidR="000033C5" w:rsidRDefault="000033C5" w:rsidP="00E3253D">
            <w:pPr>
              <w:pStyle w:val="libFootnote0"/>
              <w:rPr>
                <w:rStyle w:val="libFootnote0Char"/>
                <w:rtl/>
              </w:rPr>
            </w:pPr>
            <w:r w:rsidRPr="0042621E">
              <w:rPr>
                <w:rStyle w:val="libFootnote0Char"/>
                <w:rtl/>
              </w:rPr>
              <w:t>(2).</w:t>
            </w:r>
            <w:r w:rsidRPr="005D642E">
              <w:rPr>
                <w:rtl/>
              </w:rPr>
              <w:t xml:space="preserve"> في « بث » وحاشية « ى » :</w:t>
            </w:r>
            <w:r>
              <w:rPr>
                <w:rtl/>
              </w:rPr>
              <w:t xml:space="preserve"> - </w:t>
            </w:r>
            <w:r w:rsidRPr="005D642E">
              <w:rPr>
                <w:rtl/>
              </w:rPr>
              <w:t>« بن عمّار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الوافي</w:t>
      </w:r>
      <w:r w:rsidR="00E3253D" w:rsidRPr="005D642E">
        <w:rPr>
          <w:rtl/>
        </w:rPr>
        <w:t xml:space="preserve"> : « يعني بالمسح المسح على الخفّين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106 : « قوله </w:t>
      </w:r>
      <w:r w:rsidR="00E3253D" w:rsidRPr="00876F25">
        <w:rPr>
          <w:rStyle w:val="libFootnoteAlaemChar"/>
          <w:rtl/>
        </w:rPr>
        <w:t>عليه‌السلام</w:t>
      </w:r>
      <w:r w:rsidR="00E3253D" w:rsidRPr="005D642E">
        <w:rPr>
          <w:rtl/>
        </w:rPr>
        <w:t xml:space="preserve"> : هل له رخصة ، بأن يتركه أو يوقعه فوق الخفّ ، والمؤلّف فهم منه الثاني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 « فقال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6 ، ص 307 ، ح 4348 ؛ </w:t>
      </w:r>
      <w:r w:rsidR="00E3253D" w:rsidRPr="002F4D34">
        <w:rPr>
          <w:rStyle w:val="libFootnoteBoldChar"/>
          <w:rtl/>
        </w:rPr>
        <w:t>الوسائل</w:t>
      </w:r>
      <w:r w:rsidR="00E3253D" w:rsidRPr="005D642E">
        <w:rPr>
          <w:rtl/>
        </w:rPr>
        <w:t xml:space="preserve"> ، ج 1 ، ص 457 ، ح 1208.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w:t>
      </w:r>
      <w:r w:rsidR="00B60612" w:rsidRPr="00B60612">
        <w:rPr>
          <w:rStyle w:val="libFootnoteBoldChar"/>
          <w:rtl/>
        </w:rPr>
        <w:t>والتهذيب</w:t>
      </w:r>
      <w:r w:rsidR="00E3253D" w:rsidRPr="005D642E">
        <w:rPr>
          <w:rtl/>
        </w:rPr>
        <w:t xml:space="preserve"> ، ج 1 </w:t>
      </w:r>
      <w:r w:rsidR="00E3253D" w:rsidRPr="00E678B5">
        <w:rPr>
          <w:rStyle w:val="libFootnoteBoldChar"/>
          <w:rtl/>
        </w:rPr>
        <w:t>والاستبصار</w:t>
      </w:r>
      <w:r w:rsidR="00E3253D" w:rsidRPr="005D642E">
        <w:rPr>
          <w:rtl/>
        </w:rPr>
        <w:t xml:space="preserve"> : + « هل »</w:t>
      </w:r>
      <w:r w:rsidR="00E3253D">
        <w:rPr>
          <w:rtl/>
        </w:rPr>
        <w:t>.</w:t>
      </w:r>
      <w:r w:rsidR="00E3253D" w:rsidRPr="005D642E">
        <w:rPr>
          <w:rtl/>
        </w:rPr>
        <w:t xml:space="preserve"> وفي التهذيب ، ج 9 :</w:t>
      </w:r>
      <w:r w:rsidR="00E3253D">
        <w:rPr>
          <w:rtl/>
        </w:rPr>
        <w:t xml:space="preserve"> </w:t>
      </w:r>
      <w:r w:rsidR="007642BC">
        <w:rPr>
          <w:rtl/>
        </w:rPr>
        <w:t>-</w:t>
      </w:r>
      <w:r w:rsidR="00E3253D">
        <w:rPr>
          <w:rtl/>
        </w:rPr>
        <w:t xml:space="preserve"> </w:t>
      </w:r>
      <w:r w:rsidR="00E3253D" w:rsidRPr="005D642E">
        <w:rPr>
          <w:rtl/>
        </w:rPr>
        <w:t>« له في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المسح على »</w:t>
      </w:r>
      <w:r w:rsidR="00E3253D">
        <w:rPr>
          <w:rtl/>
        </w:rPr>
        <w:t>.</w:t>
      </w:r>
      <w:r w:rsidR="00E3253D" w:rsidRPr="005D642E">
        <w:rPr>
          <w:rtl/>
        </w:rPr>
        <w:t xml:space="preserve"> وفي التهذيب ، ج 9 : « أمسح على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 « قال : فقال »</w:t>
      </w:r>
      <w:r w:rsidR="00E3253D">
        <w:rPr>
          <w:rtl/>
        </w:rPr>
        <w:t>.</w:t>
      </w:r>
      <w:r w:rsidR="00E3253D" w:rsidRPr="005D642E">
        <w:rPr>
          <w:rtl/>
        </w:rPr>
        <w:t xml:space="preserve"> وفي « بث ، بخ ، بس ، بف » </w:t>
      </w:r>
      <w:r w:rsidR="00B60612" w:rsidRPr="00B60612">
        <w:rPr>
          <w:rStyle w:val="libFootnoteBoldChar"/>
          <w:rtl/>
        </w:rPr>
        <w:t>والتهذيب</w:t>
      </w:r>
      <w:r w:rsidR="00E3253D" w:rsidRPr="005D642E">
        <w:rPr>
          <w:rtl/>
        </w:rPr>
        <w:t xml:space="preserve"> ، ج 9 : « قال »</w:t>
      </w:r>
      <w:r w:rsidR="00E3253D">
        <w:rPr>
          <w:rtl/>
        </w:rPr>
        <w:t>.</w:t>
      </w:r>
    </w:p>
    <w:tbl>
      <w:tblPr>
        <w:tblStyle w:val="TableGrid"/>
        <w:bidiVisual/>
        <w:tblW w:w="0" w:type="auto"/>
        <w:tblLook w:val="04A0" w:firstRow="1" w:lastRow="0" w:firstColumn="1" w:lastColumn="0" w:noHBand="0" w:noVBand="1"/>
      </w:tblPr>
      <w:tblGrid>
        <w:gridCol w:w="4006"/>
        <w:gridCol w:w="4006"/>
      </w:tblGrid>
      <w:tr w:rsidR="00876F25" w:rsidTr="00876F25">
        <w:tc>
          <w:tcPr>
            <w:tcW w:w="4006" w:type="dxa"/>
          </w:tcPr>
          <w:p w:rsidR="00876F25" w:rsidRDefault="00876F25" w:rsidP="00E3253D">
            <w:pPr>
              <w:pStyle w:val="libFootnote0"/>
              <w:rPr>
                <w:rStyle w:val="libFootnote0Char"/>
                <w:rtl/>
              </w:rPr>
            </w:pPr>
            <w:r w:rsidRPr="0042621E">
              <w:rPr>
                <w:rStyle w:val="libFootnote0Char"/>
                <w:rtl/>
              </w:rPr>
              <w:t>(9).</w:t>
            </w:r>
            <w:r w:rsidRPr="005D642E">
              <w:rPr>
                <w:rtl/>
              </w:rPr>
              <w:t xml:space="preserve"> في التهذيب ، ج 9 : « ثلاث »</w:t>
            </w:r>
            <w:r>
              <w:rPr>
                <w:rtl/>
              </w:rPr>
              <w:t>.</w:t>
            </w:r>
          </w:p>
        </w:tc>
        <w:tc>
          <w:tcPr>
            <w:tcW w:w="4006" w:type="dxa"/>
          </w:tcPr>
          <w:p w:rsidR="00876F25" w:rsidRDefault="00876F25" w:rsidP="00E3253D">
            <w:pPr>
              <w:pStyle w:val="libFootnote0"/>
              <w:rPr>
                <w:rStyle w:val="libFootnote0Char"/>
                <w:rtl/>
              </w:rPr>
            </w:pPr>
            <w:r w:rsidRPr="0042621E">
              <w:rPr>
                <w:rStyle w:val="libFootnote0Char"/>
                <w:rtl/>
              </w:rPr>
              <w:t>(10).</w:t>
            </w:r>
            <w:r w:rsidRPr="005D642E">
              <w:rPr>
                <w:rtl/>
              </w:rPr>
              <w:t xml:space="preserve"> في حاشية « ظ » : « الخمر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الفقيه </w:t>
      </w:r>
      <w:r w:rsidR="00B60612" w:rsidRPr="00B60612">
        <w:rPr>
          <w:rStyle w:val="libFootnoteBoldChar"/>
          <w:rtl/>
        </w:rPr>
        <w:t>والتهذيب</w:t>
      </w:r>
      <w:r w:rsidR="00E3253D" w:rsidRPr="005D642E">
        <w:rPr>
          <w:rtl/>
        </w:rPr>
        <w:t xml:space="preserve"> ، ج 9 : « والمسح على الخفّين » بدل « ومسح الخفّين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9 ، ص 114 ، ح 495 ، معلّقاً عن الكليني. </w:t>
      </w:r>
      <w:r w:rsidR="00E3253D" w:rsidRPr="002F4D34">
        <w:rPr>
          <w:rStyle w:val="libFootnoteBoldChar"/>
          <w:rtl/>
        </w:rPr>
        <w:t>الكافي</w:t>
      </w:r>
      <w:r w:rsidR="00E3253D" w:rsidRPr="005D642E">
        <w:rPr>
          <w:rtl/>
        </w:rPr>
        <w:t xml:space="preserve"> ، كتاب الأشربة ، باب من اضطرّ إلى الخمر للدواء</w:t>
      </w:r>
      <w:r w:rsidR="00E3253D">
        <w:rPr>
          <w:rtl/>
        </w:rPr>
        <w:t xml:space="preserve"> ..</w:t>
      </w:r>
      <w:r w:rsidR="00E3253D" w:rsidRPr="005D642E">
        <w:rPr>
          <w:rtl/>
        </w:rPr>
        <w:t xml:space="preserve">. ، ح 12319 ، عن عليّ بن إبراهيم ، عن أبيه ، عن حمّاد ، عن حريز ، عن زرارة ، عن غير واحد ، عن أبي جعفر </w:t>
      </w:r>
      <w:r w:rsidR="00E3253D" w:rsidRPr="00B6287E">
        <w:rPr>
          <w:rStyle w:val="libFootnoteAlaemChar"/>
          <w:rtl/>
        </w:rPr>
        <w:t>عليه‌السلام</w:t>
      </w:r>
      <w:r w:rsidR="00E3253D" w:rsidRPr="005D642E">
        <w:rPr>
          <w:rtl/>
        </w:rPr>
        <w:t xml:space="preserve"> ، مع اختلاف يسير. وفي </w:t>
      </w:r>
      <w:r w:rsidR="00E3253D" w:rsidRPr="002F4D34">
        <w:rPr>
          <w:rStyle w:val="libFootnoteBoldChar"/>
          <w:rtl/>
        </w:rPr>
        <w:t>التهذيب</w:t>
      </w:r>
      <w:r w:rsidR="00E3253D" w:rsidRPr="005D642E">
        <w:rPr>
          <w:rtl/>
        </w:rPr>
        <w:t xml:space="preserve"> ، ج 1 ، ص 362 ، ح 1093 ؛ </w:t>
      </w:r>
      <w:r w:rsidR="00E3253D" w:rsidRPr="00E678B5">
        <w:rPr>
          <w:rStyle w:val="libFootnoteBoldChar"/>
          <w:rtl/>
        </w:rPr>
        <w:t>والاستبصار</w:t>
      </w:r>
      <w:r w:rsidR="00E3253D" w:rsidRPr="005D642E">
        <w:rPr>
          <w:rtl/>
        </w:rPr>
        <w:t xml:space="preserve"> ، ج 1 ، ص 76 ، ح 237 ، معلّقاً عن الحسين بن سعيد ، عن حمّاد. </w:t>
      </w:r>
      <w:r w:rsidR="00E3253D" w:rsidRPr="002F4D34">
        <w:rPr>
          <w:rStyle w:val="libFootnoteBoldChar"/>
          <w:rtl/>
        </w:rPr>
        <w:t>الخصال</w:t>
      </w:r>
      <w:r w:rsidR="00E3253D" w:rsidRPr="005D642E">
        <w:rPr>
          <w:rtl/>
        </w:rPr>
        <w:t xml:space="preserve"> ، ص 614 ، أبواب الثمانين ومافوقه ، ضمن الحديث الطويل 10 ، بسند آخر عن أبي عبدالله ، عن آبائه ، عن أمير المؤمنين </w:t>
      </w:r>
      <w:r w:rsidR="00E3253D" w:rsidRPr="00365424">
        <w:rPr>
          <w:rStyle w:val="libFootnoteAlaemChar"/>
          <w:rtl/>
        </w:rPr>
        <w:t>عليهم‌السلام</w:t>
      </w:r>
      <w:r w:rsidR="00E3253D" w:rsidRPr="005D642E">
        <w:rPr>
          <w:rtl/>
        </w:rPr>
        <w:t xml:space="preserve">. </w:t>
      </w:r>
      <w:r w:rsidR="00E3253D" w:rsidRPr="002F4D34">
        <w:rPr>
          <w:rStyle w:val="libFootnoteBoldChar"/>
          <w:rtl/>
        </w:rPr>
        <w:t>الفقيه</w:t>
      </w:r>
      <w:r w:rsidR="00E3253D" w:rsidRPr="005D642E">
        <w:rPr>
          <w:rtl/>
        </w:rPr>
        <w:t xml:space="preserve"> ، ج 1 ، ص 48 ، ح 95 ، مرسلاً عن العالم </w:t>
      </w:r>
      <w:r w:rsidR="00E3253D" w:rsidRPr="00B6287E">
        <w:rPr>
          <w:rStyle w:val="libFootnoteAlaemChar"/>
          <w:rtl/>
        </w:rPr>
        <w:t>عليه‌السلام</w:t>
      </w:r>
      <w:r w:rsidR="00E3253D" w:rsidRPr="005D642E">
        <w:rPr>
          <w:rtl/>
        </w:rPr>
        <w:t xml:space="preserve"> ؛ </w:t>
      </w:r>
      <w:r w:rsidR="00E3253D" w:rsidRPr="002F4D34">
        <w:rPr>
          <w:rStyle w:val="libFootnoteBoldChar"/>
          <w:rtl/>
        </w:rPr>
        <w:t>تحف العقول</w:t>
      </w:r>
      <w:r w:rsidR="00E3253D" w:rsidRPr="005D642E">
        <w:rPr>
          <w:rtl/>
        </w:rPr>
        <w:t xml:space="preserve"> ، ص 104 ، ضمن حديث أربعمائة ، عن أميرالمؤمنين </w:t>
      </w:r>
      <w:r w:rsidR="00E3253D" w:rsidRPr="00365424">
        <w:rPr>
          <w:rStyle w:val="libFootnoteAlaemChar"/>
          <w:rtl/>
        </w:rPr>
        <w:t>عليه‌السلام</w:t>
      </w:r>
      <w:r w:rsidR="00E3253D" w:rsidRPr="005D642E">
        <w:rPr>
          <w:rtl/>
        </w:rPr>
        <w:t xml:space="preserve"> ، وفي الثلاثة الأخيرة مع </w:t>
      </w:r>
      <w:r w:rsidR="00B6287E">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w:t>
      </w:r>
      <w:r w:rsidRPr="007C12DB">
        <w:rPr>
          <w:rStyle w:val="libFootnotenumChar"/>
          <w:rtl/>
        </w:rPr>
        <w:t>(1)</w:t>
      </w:r>
      <w:r w:rsidRPr="005D642E">
        <w:rPr>
          <w:rtl/>
          <w:lang w:bidi="fa-IR"/>
        </w:rPr>
        <w:t xml:space="preserve"> زُرَارَةُ : وَلَمْ يَقُلْ </w:t>
      </w:r>
      <w:r w:rsidRPr="007C12DB">
        <w:rPr>
          <w:rStyle w:val="libFootnotenumChar"/>
          <w:rtl/>
        </w:rPr>
        <w:t>(2)</w:t>
      </w:r>
      <w:r w:rsidR="001507E4">
        <w:rPr>
          <w:rtl/>
          <w:lang w:bidi="fa-IR"/>
        </w:rPr>
        <w:t xml:space="preserve"> الْوَاجِبُ عَلَيْكُمْ أَل</w:t>
      </w:r>
      <w:r w:rsidR="001507E4">
        <w:rPr>
          <w:rFonts w:hint="cs"/>
          <w:rtl/>
          <w:lang w:bidi="fa-IR"/>
        </w:rPr>
        <w:t>َّ</w:t>
      </w:r>
      <w:r w:rsidR="001507E4">
        <w:rPr>
          <w:rtl/>
          <w:lang w:bidi="fa-IR"/>
        </w:rPr>
        <w:t>ا</w:t>
      </w:r>
      <w:r w:rsidRPr="005D642E">
        <w:rPr>
          <w:rtl/>
          <w:lang w:bidi="fa-IR"/>
        </w:rPr>
        <w:t xml:space="preserve"> تَتَّقُوا فِيهِنَّ أَحَداً. </w:t>
      </w:r>
      <w:r w:rsidRPr="007C12DB">
        <w:rPr>
          <w:rStyle w:val="libFootnotenumChar"/>
          <w:rtl/>
        </w:rPr>
        <w:t>(3)</w:t>
      </w:r>
      <w:r w:rsidRPr="005D642E">
        <w:rPr>
          <w:rtl/>
          <w:lang w:bidi="fa-IR"/>
        </w:rPr>
        <w:t xml:space="preserve"> ‌</w:t>
      </w:r>
    </w:p>
    <w:p w:rsidR="00E3253D" w:rsidRPr="008A6CA7" w:rsidRDefault="00E3253D" w:rsidP="00E3253D">
      <w:pPr>
        <w:pStyle w:val="Heading2Center"/>
        <w:rPr>
          <w:rtl/>
        </w:rPr>
      </w:pPr>
      <w:bookmarkStart w:id="81" w:name="_Toc344647237"/>
      <w:bookmarkStart w:id="82" w:name="_Toc462226752"/>
      <w:bookmarkStart w:id="83" w:name="_Toc40975860"/>
      <w:r w:rsidRPr="008A6CA7">
        <w:rPr>
          <w:rtl/>
        </w:rPr>
        <w:t xml:space="preserve">21 </w:t>
      </w:r>
      <w:r w:rsidR="007642BC">
        <w:rPr>
          <w:rtl/>
        </w:rPr>
        <w:t>-</w:t>
      </w:r>
      <w:r w:rsidRPr="008A6CA7">
        <w:rPr>
          <w:rtl/>
        </w:rPr>
        <w:t xml:space="preserve"> بَابُ الْجَبَائِرِ </w:t>
      </w:r>
      <w:r w:rsidRPr="007C12DB">
        <w:rPr>
          <w:rStyle w:val="libFootnotenumChar"/>
          <w:rtl/>
        </w:rPr>
        <w:t>(4)</w:t>
      </w:r>
      <w:r w:rsidRPr="008A6CA7">
        <w:rPr>
          <w:rtl/>
        </w:rPr>
        <w:t xml:space="preserve"> وَالْقُرُوحِ </w:t>
      </w:r>
      <w:r w:rsidRPr="007C12DB">
        <w:rPr>
          <w:rStyle w:val="libFootnotenumChar"/>
          <w:rtl/>
        </w:rPr>
        <w:t>(5)</w:t>
      </w:r>
      <w:r w:rsidRPr="008A6CA7">
        <w:rPr>
          <w:rtl/>
        </w:rPr>
        <w:t xml:space="preserve"> وَالْجِرَاحَاتِ‌</w:t>
      </w:r>
      <w:bookmarkEnd w:id="81"/>
      <w:bookmarkEnd w:id="82"/>
      <w:bookmarkEnd w:id="83"/>
    </w:p>
    <w:p w:rsidR="003B52A1" w:rsidRDefault="00E3253D" w:rsidP="003B52A1">
      <w:pPr>
        <w:pStyle w:val="libNormal"/>
        <w:rPr>
          <w:rtl/>
          <w:lang w:bidi="fa-IR"/>
        </w:rPr>
      </w:pPr>
      <w:r w:rsidRPr="008A6CA7">
        <w:rPr>
          <w:rtl/>
        </w:rPr>
        <w:t>3955</w:t>
      </w:r>
      <w:r w:rsidRPr="00246318">
        <w:rPr>
          <w:rStyle w:val="libBold2Char"/>
          <w:rtl/>
        </w:rPr>
        <w:t xml:space="preserve"> / 1.</w:t>
      </w:r>
      <w:r w:rsidRPr="005D642E">
        <w:rPr>
          <w:rtl/>
          <w:lang w:bidi="fa-IR"/>
        </w:rPr>
        <w:t xml:space="preserve"> مُحَمَّدُ بْنُ يَحْيى ، عَنْ مُحَمَّدِ بْنِ الْحُسَيْنِ ؛</w:t>
      </w:r>
    </w:p>
    <w:p w:rsidR="00E3253D" w:rsidRPr="005D642E" w:rsidRDefault="003B52A1" w:rsidP="003B52A1">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(6)</w:t>
      </w:r>
      <w:r w:rsidR="00E3253D" w:rsidRPr="005D642E">
        <w:rPr>
          <w:rtl/>
          <w:lang w:bidi="fa-IR"/>
        </w:rPr>
        <w:t xml:space="preserve"> مُحَمَّدُ بْنُ إِسْمَاعِيلَ ، عَنِ الْفَضْلِ بْنِ شَاذَانَ ، عَنْ صَفْوَانَ بْنِ يَحْيى ، عَنْ عَبْدِ الرَّحْمنِ بْنِ الْحَجَّاجِ ، قَالَ :</w:t>
      </w:r>
    </w:p>
    <w:p w:rsidR="00E3253D" w:rsidRPr="005D642E" w:rsidRDefault="00E3253D" w:rsidP="00E3253D">
      <w:pPr>
        <w:pStyle w:val="libNormal"/>
        <w:rPr>
          <w:rtl/>
          <w:lang w:bidi="fa-IR"/>
        </w:rPr>
      </w:pPr>
      <w:r w:rsidRPr="005D642E">
        <w:rPr>
          <w:rtl/>
          <w:lang w:bidi="fa-IR"/>
        </w:rPr>
        <w:t xml:space="preserve">سَأَلْتُ أَبَا الْحَسَنِ </w:t>
      </w:r>
      <w:r w:rsidRPr="007C12DB">
        <w:rPr>
          <w:rStyle w:val="libFootnotenumChar"/>
          <w:rtl/>
        </w:rPr>
        <w:t>(7)</w:t>
      </w:r>
      <w:r w:rsidRPr="005D642E">
        <w:rPr>
          <w:rtl/>
          <w:lang w:bidi="fa-IR"/>
        </w:rPr>
        <w:t xml:space="preserve"> </w:t>
      </w:r>
      <w:r w:rsidRPr="00AC51C5">
        <w:rPr>
          <w:rStyle w:val="libAlaemChar"/>
          <w:rtl/>
        </w:rPr>
        <w:t>عليه‌السلام</w:t>
      </w:r>
      <w:r w:rsidRPr="005D642E">
        <w:rPr>
          <w:rtl/>
          <w:lang w:bidi="fa-IR"/>
        </w:rPr>
        <w:t xml:space="preserve"> عَنِ‌</w:t>
      </w:r>
      <w:r w:rsidR="000D3CC1">
        <w:rPr>
          <w:rFonts w:hint="cs"/>
          <w:rtl/>
          <w:lang w:bidi="fa-IR"/>
        </w:rPr>
        <w:t>..............................</w:t>
      </w:r>
      <w:r w:rsidR="00365424">
        <w:rPr>
          <w:rFonts w:hint="cs"/>
          <w:rtl/>
          <w:lang w:bidi="fa-IR"/>
        </w:rPr>
        <w:t>...</w:t>
      </w:r>
      <w:r w:rsidR="000D3CC1">
        <w:rPr>
          <w:rFonts w:hint="cs"/>
          <w:rtl/>
          <w:lang w:bidi="fa-IR"/>
        </w:rPr>
        <w:t>.............</w:t>
      </w:r>
      <w:r w:rsidR="000D3CC1">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D435BA" w:rsidP="00E3253D">
      <w:pPr>
        <w:pStyle w:val="libFootnote0"/>
        <w:rPr>
          <w:rtl/>
          <w:lang w:bidi="fa-IR"/>
        </w:rPr>
      </w:pPr>
      <w:r>
        <w:rPr>
          <w:rFonts w:hint="cs"/>
          <w:rtl/>
        </w:rPr>
        <w:t xml:space="preserve">= </w:t>
      </w:r>
      <w:r w:rsidR="00E3253D" w:rsidRPr="005D642E">
        <w:rPr>
          <w:rtl/>
        </w:rPr>
        <w:t xml:space="preserve">اختلاف يسير </w:t>
      </w:r>
      <w:r w:rsidR="00420429">
        <w:rPr>
          <w:rFonts w:hint="cs"/>
          <w:rtl/>
        </w:rPr>
        <w:t>.</w:t>
      </w:r>
      <w:r w:rsidR="00E3253D" w:rsidRPr="002F4D34">
        <w:rPr>
          <w:rStyle w:val="libFootnoteBoldChar"/>
          <w:rtl/>
        </w:rPr>
        <w:t>الوافي</w:t>
      </w:r>
      <w:r w:rsidR="00E3253D" w:rsidRPr="005D642E">
        <w:rPr>
          <w:rtl/>
        </w:rPr>
        <w:t xml:space="preserve"> ، ج 6 ، ص 306 ، ح 4346 ؛ </w:t>
      </w:r>
      <w:r w:rsidR="00E3253D" w:rsidRPr="002F4D34">
        <w:rPr>
          <w:rStyle w:val="libFootnoteBoldChar"/>
          <w:rtl/>
        </w:rPr>
        <w:t>الوسائل</w:t>
      </w:r>
      <w:r w:rsidR="00E3253D" w:rsidRPr="005D642E">
        <w:rPr>
          <w:rtl/>
        </w:rPr>
        <w:t xml:space="preserve"> ، ج 1 ، ص 457 ، ح 1207 ؛ وج 16 ، ص 215 ، ح 21396.</w:t>
      </w:r>
    </w:p>
    <w:tbl>
      <w:tblPr>
        <w:tblStyle w:val="TableGrid"/>
        <w:bidiVisual/>
        <w:tblW w:w="0" w:type="auto"/>
        <w:tblLook w:val="04A0" w:firstRow="1" w:lastRow="0" w:firstColumn="1" w:lastColumn="0" w:noHBand="0" w:noVBand="1"/>
      </w:tblPr>
      <w:tblGrid>
        <w:gridCol w:w="4006"/>
        <w:gridCol w:w="4006"/>
      </w:tblGrid>
      <w:tr w:rsidR="00E647B5" w:rsidTr="00E647B5">
        <w:tc>
          <w:tcPr>
            <w:tcW w:w="4006" w:type="dxa"/>
          </w:tcPr>
          <w:p w:rsidR="00E647B5" w:rsidRDefault="00E647B5" w:rsidP="00E3253D">
            <w:pPr>
              <w:pStyle w:val="libFootnote0"/>
              <w:rPr>
                <w:rStyle w:val="libFootnote0Char"/>
                <w:rtl/>
              </w:rPr>
            </w:pPr>
            <w:r w:rsidRPr="0042621E">
              <w:rPr>
                <w:rStyle w:val="libFootnote0Char"/>
                <w:rtl/>
              </w:rPr>
              <w:t>(1).</w:t>
            </w:r>
            <w:r>
              <w:rPr>
                <w:rtl/>
              </w:rPr>
              <w:t xml:space="preserve"> </w:t>
            </w:r>
            <w:r w:rsidRPr="005D642E">
              <w:rPr>
                <w:rtl/>
              </w:rPr>
              <w:t>في « جس » : + « قال »</w:t>
            </w:r>
            <w:r>
              <w:rPr>
                <w:rtl/>
              </w:rPr>
              <w:t>.</w:t>
            </w:r>
          </w:p>
        </w:tc>
        <w:tc>
          <w:tcPr>
            <w:tcW w:w="4006" w:type="dxa"/>
          </w:tcPr>
          <w:p w:rsidR="00E647B5" w:rsidRDefault="00E647B5" w:rsidP="00E3253D">
            <w:pPr>
              <w:pStyle w:val="libFootnote0"/>
              <w:rPr>
                <w:rStyle w:val="libFootnote0Char"/>
                <w:rtl/>
              </w:rPr>
            </w:pPr>
            <w:r w:rsidRPr="0042621E">
              <w:rPr>
                <w:rStyle w:val="libFootnote0Char"/>
                <w:rtl/>
              </w:rPr>
              <w:t>(2).</w:t>
            </w:r>
            <w:r w:rsidRPr="005D642E">
              <w:rPr>
                <w:rtl/>
              </w:rPr>
              <w:t xml:space="preserve"> في « ظ » : « لم يقل » بدون الواو.</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362 ، ذيل ح 1093 </w:t>
      </w:r>
      <w:r w:rsidR="00330756">
        <w:rPr>
          <w:rFonts w:hint="cs"/>
          <w:rtl/>
        </w:rPr>
        <w:t>.</w:t>
      </w:r>
      <w:r w:rsidR="00E3253D" w:rsidRPr="002F4D34">
        <w:rPr>
          <w:rStyle w:val="libFootnoteBoldChar"/>
          <w:rtl/>
        </w:rPr>
        <w:t>الوافي</w:t>
      </w:r>
      <w:r w:rsidR="00E3253D" w:rsidRPr="005D642E">
        <w:rPr>
          <w:rtl/>
        </w:rPr>
        <w:t xml:space="preserve"> ، ج 6 ، ص 306 ، ح 4346 ؛ </w:t>
      </w:r>
      <w:r w:rsidR="00E3253D" w:rsidRPr="002F4D34">
        <w:rPr>
          <w:rStyle w:val="libFootnoteBoldChar"/>
          <w:rtl/>
        </w:rPr>
        <w:t>الوسائل</w:t>
      </w:r>
      <w:r w:rsidR="00E3253D" w:rsidRPr="005D642E">
        <w:rPr>
          <w:rtl/>
        </w:rPr>
        <w:t xml:space="preserve"> ، ج 1 ، ص 457 ، ح 1207 ؛ وج 16 ، ص 215 ، ح 21396.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الجَبائر » : جمع الجبيرة ، وهي الخرقة مع العيدان التي تجبر بها العظام المكسورة وتشدّ عليها. قال الشيخ البهائي : « والفقهاء يطلقونها على ما يشدّ به القروح والجروح أيضاً ويساوون بينهما في الأحكام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2 ، ص 608 ؛ </w:t>
      </w:r>
      <w:r w:rsidR="00E3253D" w:rsidRPr="002F4D34">
        <w:rPr>
          <w:rStyle w:val="libFootnoteBoldChar"/>
          <w:rtl/>
        </w:rPr>
        <w:t>القاموس المحيط</w:t>
      </w:r>
      <w:r w:rsidR="00E3253D" w:rsidRPr="005D642E">
        <w:rPr>
          <w:rtl/>
        </w:rPr>
        <w:t xml:space="preserve"> ، ج 1 ، ص 514 ( جبر ) ؛ </w:t>
      </w:r>
      <w:r w:rsidR="00E3253D" w:rsidRPr="002F4D34">
        <w:rPr>
          <w:rStyle w:val="libFootnoteBoldChar"/>
          <w:rtl/>
        </w:rPr>
        <w:t>الحبل المتين</w:t>
      </w:r>
      <w:r w:rsidR="00E3253D" w:rsidRPr="005D642E">
        <w:rPr>
          <w:rtl/>
        </w:rPr>
        <w:t xml:space="preserve"> ، ص 100.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القُرُوح » : جمع القَرْح ، وهي حبّة تخرج في البدن. وقيل : القرح أيضاً : البَثْر إذا ترامى إلى فساد ، والبثر : الخُراج ، وهو كلّ ما يخرج بالبدن كالدمل. راجع : </w:t>
      </w:r>
      <w:r w:rsidR="00E3253D" w:rsidRPr="002F4D34">
        <w:rPr>
          <w:rStyle w:val="libFootnoteBoldChar"/>
          <w:rtl/>
        </w:rPr>
        <w:t>لسان العرب</w:t>
      </w:r>
      <w:r w:rsidR="00E3253D" w:rsidRPr="005D642E">
        <w:rPr>
          <w:rtl/>
        </w:rPr>
        <w:t xml:space="preserve"> ، ج 2 ، ص 557 ؛ </w:t>
      </w:r>
      <w:r w:rsidR="00E3253D" w:rsidRPr="002F4D34">
        <w:rPr>
          <w:rStyle w:val="libFootnoteBoldChar"/>
          <w:rtl/>
        </w:rPr>
        <w:t>مجمع البحرين</w:t>
      </w:r>
      <w:r w:rsidR="00E3253D" w:rsidRPr="005D642E">
        <w:rPr>
          <w:rtl/>
        </w:rPr>
        <w:t xml:space="preserve"> ، ج 2 ، ص 403 ( قرح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السند تحويل بعطف « محمّد بن إسماعيل ، عن الفضل بن شاذان » على « محمّد بن يحيى ، عن محمّد بن‌الحسين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 ى ، بث ، بخ ، بس ، بف » </w:t>
      </w:r>
      <w:r w:rsidR="000D749A" w:rsidRPr="000D749A">
        <w:rPr>
          <w:rStyle w:val="libFootnoteBoldChar"/>
          <w:rtl/>
        </w:rPr>
        <w:t>والوافي</w:t>
      </w:r>
      <w:r w:rsidR="00E3253D" w:rsidRPr="005D642E">
        <w:rPr>
          <w:rtl/>
        </w:rPr>
        <w:t xml:space="preserve"> </w:t>
      </w:r>
      <w:r w:rsidR="00E3253D" w:rsidRPr="00E678B5">
        <w:rPr>
          <w:rStyle w:val="libFootnoteBoldChar"/>
          <w:rtl/>
        </w:rPr>
        <w:t>والاستبصار</w:t>
      </w:r>
      <w:r w:rsidR="00E3253D" w:rsidRPr="005D642E">
        <w:rPr>
          <w:rtl/>
        </w:rPr>
        <w:t>. وفي « ظ ، غ ، بح ، جح ، جس ، جن » وحاشية « بث ، بف » والمطبوع والوسائل : + « الرضا »</w:t>
      </w:r>
      <w:r w:rsidR="00E3253D">
        <w:rPr>
          <w:rtl/>
        </w:rPr>
        <w:t>.</w:t>
      </w:r>
      <w:r w:rsidR="00E3253D" w:rsidRPr="005D642E">
        <w:rPr>
          <w:rtl/>
        </w:rPr>
        <w:t xml:space="preserve"> والظاهر صحّة ما أثبتناه ، وأنّ لفظة « الرضا » كانت زيادة تفسيريّة ا</w:t>
      </w:r>
      <w:r w:rsidR="00330756">
        <w:rPr>
          <w:rFonts w:hint="cs"/>
          <w:rtl/>
        </w:rPr>
        <w:t>ُ</w:t>
      </w:r>
      <w:r w:rsidR="00E3253D" w:rsidRPr="005D642E">
        <w:rPr>
          <w:rtl/>
        </w:rPr>
        <w:t xml:space="preserve">درجت في متن بعض النسخ سهواً ، وأنّ المراد من « أبي الحسن </w:t>
      </w:r>
      <w:r w:rsidR="00E3253D" w:rsidRPr="00330756">
        <w:rPr>
          <w:rStyle w:val="libFootnoteAlaemChar"/>
          <w:rtl/>
        </w:rPr>
        <w:t>عليه‌السلام</w:t>
      </w:r>
      <w:r w:rsidR="00E3253D" w:rsidRPr="005D642E">
        <w:rPr>
          <w:rtl/>
        </w:rPr>
        <w:t xml:space="preserve"> هو أبوالحسن موسى بن جعفر </w:t>
      </w:r>
      <w:r w:rsidR="00E3253D" w:rsidRPr="00330756">
        <w:rPr>
          <w:rStyle w:val="libFootnoteAlaemChar"/>
          <w:rtl/>
        </w:rPr>
        <w:t>عليه‌السلام</w:t>
      </w:r>
      <w:r w:rsidR="00E3253D" w:rsidRPr="005D642E">
        <w:rPr>
          <w:rtl/>
        </w:rPr>
        <w:t xml:space="preserve"> ؛ فإنّه لم يُعْهَد رواية عبدالرحمن بن الحجّاج ، عن مولانا الرضا </w:t>
      </w:r>
      <w:r w:rsidR="00E3253D" w:rsidRPr="00330756">
        <w:rPr>
          <w:rStyle w:val="libFootnoteAlaemChar"/>
          <w:rtl/>
        </w:rPr>
        <w:t>عليه‌السلام</w:t>
      </w:r>
      <w:r w:rsidR="00E3253D" w:rsidRPr="005D642E">
        <w:rPr>
          <w:rtl/>
        </w:rPr>
        <w:t xml:space="preserve"> </w:t>
      </w:r>
      <w:r w:rsidR="00330756">
        <w:rPr>
          <w:rtl/>
        </w:rPr>
        <w:t>إل</w:t>
      </w:r>
      <w:r w:rsidR="00330756">
        <w:rPr>
          <w:rFonts w:hint="cs"/>
          <w:rtl/>
        </w:rPr>
        <w:t>ّ</w:t>
      </w:r>
      <w:r w:rsidR="00330756">
        <w:rPr>
          <w:rtl/>
        </w:rPr>
        <w:t>ا</w:t>
      </w:r>
      <w:r w:rsidR="00E3253D" w:rsidRPr="005D642E">
        <w:rPr>
          <w:rtl/>
        </w:rPr>
        <w:t xml:space="preserve">في هذا الخبر وما رواه الشيخ الطوسي في </w:t>
      </w:r>
      <w:r w:rsidR="00E3253D" w:rsidRPr="002F4D34">
        <w:rPr>
          <w:rStyle w:val="libFootnoteBoldChar"/>
          <w:rtl/>
        </w:rPr>
        <w:t>الاستبصار</w:t>
      </w:r>
      <w:r w:rsidR="00E3253D" w:rsidRPr="005D642E">
        <w:rPr>
          <w:rtl/>
        </w:rPr>
        <w:t xml:space="preserve"> ، ج 2 ، ص 93 ، ح 297 ، بسنده عن عبدالرحمن بن الحجّاج ، قال : سألت أبا</w:t>
      </w:r>
      <w:r w:rsidR="00E3253D">
        <w:rPr>
          <w:rFonts w:hint="cs"/>
          <w:rtl/>
        </w:rPr>
        <w:t xml:space="preserve"> </w:t>
      </w:r>
      <w:r w:rsidR="00E3253D" w:rsidRPr="005D642E">
        <w:rPr>
          <w:rtl/>
        </w:rPr>
        <w:t xml:space="preserve">الحسن الرضا </w:t>
      </w:r>
      <w:r w:rsidR="00E3253D" w:rsidRPr="00330756">
        <w:rPr>
          <w:rStyle w:val="libFootnoteAlaemChar"/>
          <w:rtl/>
        </w:rPr>
        <w:t>عليه‌السلام</w:t>
      </w:r>
      <w:r w:rsidR="00E3253D" w:rsidRPr="005D642E">
        <w:rPr>
          <w:rtl/>
        </w:rPr>
        <w:t xml:space="preserve"> ، لكن لفظة « الرضا » غير مذكورة في بعض النسخ المعتبرة من </w:t>
      </w:r>
      <w:r w:rsidR="00E3253D" w:rsidRPr="002F4D34">
        <w:rPr>
          <w:rStyle w:val="libFootnoteBoldChar"/>
          <w:rtl/>
        </w:rPr>
        <w:t>الاستبصار</w:t>
      </w:r>
      <w:r w:rsidR="00E3253D" w:rsidRPr="005D642E">
        <w:rPr>
          <w:rtl/>
        </w:rPr>
        <w:t xml:space="preserve"> ، وورد الخبر في </w:t>
      </w:r>
      <w:r w:rsidR="00E3253D" w:rsidRPr="002F4D34">
        <w:rPr>
          <w:rStyle w:val="libFootnoteBoldChar"/>
          <w:rtl/>
        </w:rPr>
        <w:t>التهذيب</w:t>
      </w:r>
      <w:r w:rsidR="00E3253D" w:rsidRPr="005D642E">
        <w:rPr>
          <w:rtl/>
        </w:rPr>
        <w:t xml:space="preserve"> ، ج 4 ، ص 266 ، </w:t>
      </w:r>
      <w:r w:rsidR="00972C0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الْكَسِيرِ </w:t>
      </w:r>
      <w:r w:rsidRPr="007C12DB">
        <w:rPr>
          <w:rStyle w:val="libFootnotenumChar"/>
          <w:rtl/>
        </w:rPr>
        <w:t>(1)</w:t>
      </w:r>
      <w:r w:rsidRPr="005D642E">
        <w:rPr>
          <w:rtl/>
          <w:lang w:bidi="fa-IR"/>
        </w:rPr>
        <w:t xml:space="preserve"> تَكُونُ </w:t>
      </w:r>
      <w:r w:rsidRPr="007C12DB">
        <w:rPr>
          <w:rStyle w:val="libFootnotenumChar"/>
          <w:rtl/>
        </w:rPr>
        <w:t>(2)</w:t>
      </w:r>
      <w:r w:rsidRPr="005D642E">
        <w:rPr>
          <w:rtl/>
          <w:lang w:bidi="fa-IR"/>
        </w:rPr>
        <w:t xml:space="preserve"> عَلَيْهِ الْجَبَائِرُ ، أَوْ تَكُونُ </w:t>
      </w:r>
      <w:r w:rsidRPr="007C12DB">
        <w:rPr>
          <w:rStyle w:val="libFootnotenumChar"/>
          <w:rtl/>
        </w:rPr>
        <w:t>(3)</w:t>
      </w:r>
      <w:r w:rsidRPr="005D642E">
        <w:rPr>
          <w:rtl/>
          <w:lang w:bidi="fa-IR"/>
        </w:rPr>
        <w:t xml:space="preserve"> بِهِ الْجِرَاحَةُ : كَيْفَ يَصْنَعُ بِالْوُضُوءِ ، وَعِنْدَ غُسْلِ الْجَنَابَةِ ، وَغُسْلِ الْجُمُعَةِ</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(4)</w:t>
      </w:r>
      <w:r w:rsidRPr="005D642E">
        <w:rPr>
          <w:rtl/>
          <w:lang w:bidi="fa-IR"/>
        </w:rPr>
        <w:t xml:space="preserve"> : « يَغْسِلُ مَا وَصَلَ إِلَيْهِ الْغُسْلُ </w:t>
      </w:r>
      <w:r w:rsidRPr="007C12DB">
        <w:rPr>
          <w:rStyle w:val="libFootnotenumChar"/>
          <w:rtl/>
        </w:rPr>
        <w:t>(5)</w:t>
      </w:r>
      <w:r w:rsidRPr="005D642E">
        <w:rPr>
          <w:rtl/>
          <w:lang w:bidi="fa-IR"/>
        </w:rPr>
        <w:t xml:space="preserve"> مِمَّا ظَهَرَ مِمَّا لَيْسَ عَلَيْهِ الْجَبَائِرُ ، وَيَدَعُ مَا سِوى ذلِكَ </w:t>
      </w:r>
      <w:r w:rsidRPr="007C12DB">
        <w:rPr>
          <w:rStyle w:val="libFootnotenumChar"/>
          <w:rtl/>
        </w:rPr>
        <w:t>(6)</w:t>
      </w:r>
      <w:r w:rsidRPr="005D642E">
        <w:rPr>
          <w:rtl/>
          <w:lang w:bidi="fa-IR"/>
        </w:rPr>
        <w:t xml:space="preserve"> مِمَّا لَايَسْتَطِيعُ غَسْلَهُ ، وَلَايَنْزِعُ </w:t>
      </w:r>
      <w:r w:rsidRPr="007C12DB">
        <w:rPr>
          <w:rStyle w:val="libFootnotenumChar"/>
          <w:rtl/>
        </w:rPr>
        <w:t>(7)</w:t>
      </w:r>
      <w:r w:rsidRPr="005D642E">
        <w:rPr>
          <w:rtl/>
          <w:lang w:bidi="fa-IR"/>
        </w:rPr>
        <w:t xml:space="preserve"> الْجَبَائِرَ ، وَلَايَعْبَثُ </w:t>
      </w:r>
      <w:r w:rsidRPr="007C12DB">
        <w:rPr>
          <w:rStyle w:val="libFootnotenumChar"/>
          <w:rtl/>
        </w:rPr>
        <w:t>(8)</w:t>
      </w:r>
      <w:r w:rsidRPr="005D642E">
        <w:rPr>
          <w:rtl/>
          <w:lang w:bidi="fa-IR"/>
        </w:rPr>
        <w:t xml:space="preserve"> بِجِرَاحَتِهِ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5B05C5">
        <w:rPr>
          <w:rtl/>
        </w:rPr>
        <w:t>3956</w:t>
      </w:r>
      <w:r w:rsidRPr="00246318">
        <w:rPr>
          <w:rStyle w:val="libBold2Char"/>
          <w:rtl/>
        </w:rPr>
        <w:t xml:space="preserve"> / 2.</w:t>
      </w:r>
      <w:r w:rsidRPr="005D642E">
        <w:rPr>
          <w:rtl/>
          <w:lang w:bidi="fa-IR"/>
        </w:rPr>
        <w:t xml:space="preserve"> عَلِيُّ بْنُ إِبْرَاهِيمَ ، عَنْ مُحَمَّدِ بْنِ عِيسى ، عَنْ يُونُسَ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الْجُرْحِ : كَيْفَ يَصْنَعُ بِهِ </w:t>
      </w:r>
      <w:r w:rsidRPr="007C12DB">
        <w:rPr>
          <w:rStyle w:val="libFootnotenumChar"/>
          <w:rtl/>
        </w:rPr>
        <w:t>(10)</w:t>
      </w:r>
      <w:r w:rsidRPr="005D642E">
        <w:rPr>
          <w:rtl/>
          <w:lang w:bidi="fa-IR"/>
        </w:rPr>
        <w:t xml:space="preserve"> صَاحِبُهُ</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27246A" w:rsidP="00E3253D">
      <w:pPr>
        <w:pStyle w:val="libFootnote0"/>
        <w:rPr>
          <w:rtl/>
          <w:lang w:bidi="fa-IR"/>
        </w:rPr>
      </w:pPr>
      <w:r>
        <w:rPr>
          <w:rFonts w:hint="cs"/>
          <w:rtl/>
        </w:rPr>
        <w:t xml:space="preserve">= </w:t>
      </w:r>
      <w:r w:rsidR="00E3253D" w:rsidRPr="005D642E">
        <w:rPr>
          <w:rtl/>
        </w:rPr>
        <w:t xml:space="preserve">ح 802 ، بنفس سند </w:t>
      </w:r>
      <w:r w:rsidR="00E3253D" w:rsidRPr="002F4D34">
        <w:rPr>
          <w:rStyle w:val="libFootnoteBoldChar"/>
          <w:rtl/>
        </w:rPr>
        <w:t>الاستبصار</w:t>
      </w:r>
      <w:r w:rsidR="00E3253D" w:rsidRPr="005D642E">
        <w:rPr>
          <w:rtl/>
        </w:rPr>
        <w:t xml:space="preserve"> ، وفيه أيضاً « أبا الحسن </w:t>
      </w:r>
      <w:r w:rsidR="00E3253D" w:rsidRPr="00A851B4">
        <w:rPr>
          <w:rStyle w:val="libFootnoteAlaemChar"/>
          <w:rtl/>
        </w:rPr>
        <w:t>عليه‌السلام</w:t>
      </w:r>
      <w:r w:rsidR="00E3253D" w:rsidRPr="005D642E">
        <w:rPr>
          <w:rtl/>
        </w:rPr>
        <w:t xml:space="preserve"> »</w:t>
      </w:r>
      <w:r w:rsidR="00E3253D">
        <w:rPr>
          <w:rtl/>
        </w:rPr>
        <w:t>.</w:t>
      </w:r>
    </w:p>
    <w:p w:rsidR="00E3253D" w:rsidRDefault="00E3253D" w:rsidP="00E3253D">
      <w:pPr>
        <w:pStyle w:val="libFootnote0"/>
        <w:rPr>
          <w:rtl/>
        </w:rPr>
      </w:pPr>
      <w:r w:rsidRPr="00B60612">
        <w:rPr>
          <w:rtl/>
        </w:rPr>
        <w:t xml:space="preserve">ويؤيّد ذلك أنّ خبرنا هذا رواه الشيخ في </w:t>
      </w:r>
      <w:r w:rsidRPr="002F4D34">
        <w:rPr>
          <w:rStyle w:val="libFootnoteBoldChar"/>
          <w:rtl/>
        </w:rPr>
        <w:t>التهذيب</w:t>
      </w:r>
      <w:r w:rsidRPr="00B60612">
        <w:rPr>
          <w:rtl/>
        </w:rPr>
        <w:t xml:space="preserve"> ، ج 1 ، ص 362 ، ح 1094 ؛ </w:t>
      </w:r>
      <w:r w:rsidRPr="00E678B5">
        <w:rPr>
          <w:rStyle w:val="libFootnoteBoldChar"/>
          <w:rtl/>
        </w:rPr>
        <w:t>والاستبصار</w:t>
      </w:r>
      <w:r w:rsidRPr="00B60612">
        <w:rPr>
          <w:rtl/>
        </w:rPr>
        <w:t xml:space="preserve"> ، ج 1 ، ص 77 ، ح 238 بالطريق الأوّل من طريقَيِ </w:t>
      </w:r>
      <w:r w:rsidRPr="002F4D34">
        <w:rPr>
          <w:rStyle w:val="libFootnoteBoldChar"/>
          <w:rtl/>
        </w:rPr>
        <w:t>الكافي</w:t>
      </w:r>
      <w:r w:rsidRPr="00B60612">
        <w:rPr>
          <w:rtl/>
        </w:rPr>
        <w:t xml:space="preserve"> ، وفي الموضعين « أبالحسن </w:t>
      </w:r>
      <w:r w:rsidRPr="00A851B4">
        <w:rPr>
          <w:rStyle w:val="libFootnoteAlaemChar"/>
          <w:rtl/>
        </w:rPr>
        <w:t>عليه‌السلام</w:t>
      </w:r>
      <w:r w:rsidRPr="00B60612">
        <w:rPr>
          <w:rtl/>
        </w:rPr>
        <w:t xml:space="preserve"> ». وكذا روى الخبر </w:t>
      </w:r>
      <w:r w:rsidR="007642BC" w:rsidRPr="00B60612">
        <w:rPr>
          <w:rtl/>
        </w:rPr>
        <w:t>-</w:t>
      </w:r>
      <w:r w:rsidRPr="00B60612">
        <w:rPr>
          <w:rtl/>
        </w:rPr>
        <w:t xml:space="preserve"> باختلاف يسير </w:t>
      </w:r>
      <w:r w:rsidR="007642BC" w:rsidRPr="00B60612">
        <w:rPr>
          <w:rtl/>
        </w:rPr>
        <w:t>-</w:t>
      </w:r>
      <w:r w:rsidRPr="00B60612">
        <w:rPr>
          <w:rtl/>
        </w:rPr>
        <w:t xml:space="preserve"> في </w:t>
      </w:r>
      <w:r w:rsidRPr="002F4D34">
        <w:rPr>
          <w:rStyle w:val="libFootnoteBoldChar"/>
          <w:rtl/>
        </w:rPr>
        <w:t>التهذيب</w:t>
      </w:r>
      <w:r w:rsidRPr="00B60612">
        <w:rPr>
          <w:rtl/>
        </w:rPr>
        <w:t xml:space="preserve"> ، ج 1 ، ص 363 ، ح 1098 ، بسند آخر عن عبدالرحمن بن الحجّاج ، قال : سألت أبا إبراهيم </w:t>
      </w:r>
      <w:r w:rsidRPr="00A851B4">
        <w:rPr>
          <w:rStyle w:val="libFootnoteAlaemChar"/>
          <w:rtl/>
        </w:rPr>
        <w:t>عليه‌السلام</w:t>
      </w:r>
      <w:r w:rsidRPr="00B60612">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قال في الحبل المتين ، ص 100 : « الكسير</w:t>
      </w:r>
      <w:r w:rsidR="00E3253D">
        <w:rPr>
          <w:rtl/>
        </w:rPr>
        <w:t xml:space="preserve"> ..</w:t>
      </w:r>
      <w:r w:rsidR="00E3253D" w:rsidRPr="005D642E">
        <w:rPr>
          <w:rtl/>
        </w:rPr>
        <w:t>. فعيل بمعنى المفعول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بس » : « يكون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بس ، بف ، جن » </w:t>
      </w:r>
      <w:r w:rsidR="000D749A" w:rsidRPr="000D749A">
        <w:rPr>
          <w:rStyle w:val="libFootnoteBoldChar"/>
          <w:rtl/>
        </w:rPr>
        <w:t>والوافي</w:t>
      </w:r>
      <w:r w:rsidR="00E3253D" w:rsidRPr="005D642E">
        <w:rPr>
          <w:rtl/>
        </w:rPr>
        <w:t xml:space="preserve"> : « يكون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 « فقال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الغسل في قوله </w:t>
      </w:r>
      <w:r w:rsidR="00E3253D" w:rsidRPr="00A851B4">
        <w:rPr>
          <w:rStyle w:val="libFootnoteAlaemChar"/>
          <w:rtl/>
        </w:rPr>
        <w:t>عليه‌السلام</w:t>
      </w:r>
      <w:r w:rsidR="00E3253D" w:rsidRPr="005D642E">
        <w:rPr>
          <w:rtl/>
        </w:rPr>
        <w:t xml:space="preserve"> : يغسل ما وصل إليه الغسل ، بكسر الغين : الماء الذي يغسل به. وربّما جاء فيه الضمّ أيضاً. هذا ما قاله في </w:t>
      </w:r>
      <w:r w:rsidR="00E3253D" w:rsidRPr="002F4D34">
        <w:rPr>
          <w:rStyle w:val="libFootnoteBoldChar"/>
          <w:rtl/>
        </w:rPr>
        <w:t>الحبل المتين</w:t>
      </w:r>
      <w:r w:rsidR="00E3253D" w:rsidRPr="005D642E">
        <w:rPr>
          <w:rtl/>
        </w:rPr>
        <w:t xml:space="preserve"> ، ص 101. وراجع أيضاً : </w:t>
      </w:r>
      <w:r w:rsidR="00E3253D" w:rsidRPr="002F4D34">
        <w:rPr>
          <w:rStyle w:val="libFootnoteBoldChar"/>
          <w:rtl/>
        </w:rPr>
        <w:t>الوافي</w:t>
      </w:r>
      <w:r w:rsidR="00E3253D" w:rsidRPr="005D642E">
        <w:rPr>
          <w:rtl/>
        </w:rPr>
        <w:t xml:space="preserve"> ، ج 6 ، ص 359 ، ومرآة العقول ، ج 13 ، ص 107.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ظاهر قوله </w:t>
      </w:r>
      <w:r w:rsidR="00E3253D" w:rsidRPr="00A851B4">
        <w:rPr>
          <w:rStyle w:val="libFootnoteAlaemChar"/>
          <w:rtl/>
        </w:rPr>
        <w:t>عليه‌السلام</w:t>
      </w:r>
      <w:r w:rsidR="00E3253D" w:rsidRPr="005D642E">
        <w:rPr>
          <w:rtl/>
        </w:rPr>
        <w:t xml:space="preserve"> : « ويدع ما سوى ذلك » عدم وجوب المسح على الجبيرة ، والمعروف بل المجمع عليها وجوب المسح عليها ؛ قال صاحب </w:t>
      </w:r>
      <w:r w:rsidR="00E3253D" w:rsidRPr="002F4D34">
        <w:rPr>
          <w:rStyle w:val="libFootnoteBoldChar"/>
          <w:rtl/>
        </w:rPr>
        <w:t>المدارك</w:t>
      </w:r>
      <w:r w:rsidR="00E3253D" w:rsidRPr="005D642E">
        <w:rPr>
          <w:rtl/>
        </w:rPr>
        <w:t xml:space="preserve"> : « لولا الإجماع المدّعى على وجوب المسح على الجبيرة لأمكن القول بالاستحباب والاكتفاء بغسل ما حولها</w:t>
      </w:r>
      <w:r w:rsidR="00E3253D">
        <w:rPr>
          <w:rtl/>
        </w:rPr>
        <w:t xml:space="preserve"> ..</w:t>
      </w:r>
      <w:r w:rsidR="00E3253D" w:rsidRPr="005D642E">
        <w:rPr>
          <w:rtl/>
        </w:rPr>
        <w:t>. وينبغي القطع بالسقوط في غير الجبيرة ، وأمّا فيها فالمسح عليها أحوط »</w:t>
      </w:r>
      <w:r w:rsidR="00E3253D">
        <w:rPr>
          <w:rtl/>
        </w:rPr>
        <w:t>.</w:t>
      </w:r>
      <w:r w:rsidR="00E3253D" w:rsidRPr="005D642E">
        <w:rPr>
          <w:rtl/>
        </w:rPr>
        <w:t xml:space="preserve"> راجع : </w:t>
      </w:r>
      <w:r w:rsidR="00E3253D" w:rsidRPr="002F4D34">
        <w:rPr>
          <w:rStyle w:val="libFootnoteBoldChar"/>
          <w:rtl/>
        </w:rPr>
        <w:t>مدارك الأحكام</w:t>
      </w:r>
      <w:r w:rsidR="00E3253D" w:rsidRPr="005D642E">
        <w:rPr>
          <w:rtl/>
        </w:rPr>
        <w:t xml:space="preserve"> ، ج 1 ، ص 238 ؛ </w:t>
      </w:r>
      <w:r w:rsidR="00E3253D" w:rsidRPr="002F4D34">
        <w:rPr>
          <w:rStyle w:val="libFootnoteBoldChar"/>
          <w:rtl/>
        </w:rPr>
        <w:t>مرآة العقول</w:t>
      </w:r>
      <w:r w:rsidR="00E3253D" w:rsidRPr="005D642E">
        <w:rPr>
          <w:rtl/>
        </w:rPr>
        <w:t xml:space="preserve"> ، ج 13 ، ص 107.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ولا تنزع »</w:t>
      </w:r>
      <w:r w:rsidR="00E3253D">
        <w:rPr>
          <w:rtl/>
        </w:rPr>
        <w:t>.</w:t>
      </w:r>
      <w:r w:rsidR="00E3253D" w:rsidRPr="005D642E">
        <w:rPr>
          <w:rtl/>
        </w:rPr>
        <w:t xml:space="preserve"> وفي « جس » : « ولا ينزعه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ى ، بث ، بخ ، بس ، بف ، جس ، جن » : « ويعبث »</w:t>
      </w:r>
      <w:r w:rsidR="00E3253D">
        <w:rPr>
          <w:rtl/>
        </w:rPr>
        <w:t>.</w:t>
      </w:r>
      <w:r w:rsidR="00E3253D" w:rsidRPr="005D642E">
        <w:rPr>
          <w:rtl/>
        </w:rPr>
        <w:t xml:space="preserve"> وفي « بح » : « ويعيب »</w:t>
      </w:r>
      <w:r w:rsidR="00E3253D">
        <w:rPr>
          <w:rtl/>
        </w:rPr>
        <w:t>.</w:t>
      </w:r>
    </w:p>
    <w:p w:rsidR="00E3253D" w:rsidRPr="005D642E" w:rsidRDefault="0042621E" w:rsidP="000E5994">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362 ، ح 1094 ، معلّقاً عن الكليني عن محمّد بن يحيى ، عن محمّد بن الحسين ، عن صفوان بن يحيى ؛ </w:t>
      </w:r>
      <w:r w:rsidR="00E3253D" w:rsidRPr="002F4D34">
        <w:rPr>
          <w:rStyle w:val="libFootnoteBoldChar"/>
          <w:rtl/>
        </w:rPr>
        <w:t>الاستبصار</w:t>
      </w:r>
      <w:r w:rsidR="00E3253D" w:rsidRPr="005D642E">
        <w:rPr>
          <w:rtl/>
        </w:rPr>
        <w:t xml:space="preserve"> ، ج 1 ، ص 77 ، ح 238 ، بسنده عن الكليني ، عن محمّد بن يحيى ، عن محمّد بن الحسين ، عن صفوان بن يحيى. </w:t>
      </w:r>
      <w:r w:rsidR="00E3253D" w:rsidRPr="002F4D34">
        <w:rPr>
          <w:rStyle w:val="libFootnoteBoldChar"/>
          <w:rtl/>
        </w:rPr>
        <w:t>التهذيب</w:t>
      </w:r>
      <w:r w:rsidR="00E3253D" w:rsidRPr="005D642E">
        <w:rPr>
          <w:rtl/>
        </w:rPr>
        <w:t xml:space="preserve"> ، ج 1 ، ص 263 ، ح 1098 ، معلّقاً عن الحسين بن سعيد ، عن صفوان ، عن عبدالرحمن بن الحجّاج ، عن أبي إبراهيم </w:t>
      </w:r>
      <w:r w:rsidR="00E3253D" w:rsidRPr="000E5994">
        <w:rPr>
          <w:rStyle w:val="libFootnoteAlaemChar"/>
          <w:rtl/>
        </w:rPr>
        <w:t>عليه‌السلام</w:t>
      </w:r>
      <w:r w:rsidR="00E3253D" w:rsidRPr="005D642E">
        <w:rPr>
          <w:rtl/>
        </w:rPr>
        <w:t xml:space="preserve"> </w:t>
      </w:r>
      <w:r w:rsidR="00A851B4">
        <w:rPr>
          <w:rFonts w:hint="cs"/>
          <w:rtl/>
        </w:rPr>
        <w:t>.</w:t>
      </w:r>
      <w:r w:rsidR="00E3253D" w:rsidRPr="002F4D34">
        <w:rPr>
          <w:rStyle w:val="libFootnoteBoldChar"/>
          <w:rtl/>
        </w:rPr>
        <w:t>الوافي</w:t>
      </w:r>
      <w:r w:rsidR="00E3253D" w:rsidRPr="005D642E">
        <w:rPr>
          <w:rtl/>
        </w:rPr>
        <w:t xml:space="preserve"> ، ج 6 ، ص 359 ، ح 4461 ؛ </w:t>
      </w:r>
      <w:r w:rsidR="00E3253D" w:rsidRPr="002F4D34">
        <w:rPr>
          <w:rStyle w:val="libFootnoteBoldChar"/>
          <w:rtl/>
        </w:rPr>
        <w:t>الوسائل</w:t>
      </w:r>
      <w:r w:rsidR="00E3253D" w:rsidRPr="005D642E">
        <w:rPr>
          <w:rtl/>
        </w:rPr>
        <w:t xml:space="preserve"> ، ج 1 ، ص 463 ، ح 1227.</w:t>
      </w:r>
      <w:r w:rsidR="000E5994">
        <w:rPr>
          <w:rFonts w:hint="cs"/>
          <w:rtl/>
        </w:rPr>
        <w:t xml:space="preserve">                                  </w:t>
      </w:r>
      <w:r w:rsidRPr="0042621E">
        <w:rPr>
          <w:rStyle w:val="libFootnote0Char"/>
          <w:rtl/>
        </w:rPr>
        <w:t>(10).</w:t>
      </w:r>
      <w:r w:rsidR="00E3253D" w:rsidRPr="005D642E">
        <w:rPr>
          <w:rtl/>
        </w:rPr>
        <w:t xml:space="preserve"> في الوسائل ، ح 1229 :</w:t>
      </w:r>
      <w:r w:rsidR="00E3253D">
        <w:rPr>
          <w:rtl/>
        </w:rPr>
        <w:t xml:space="preserve"> </w:t>
      </w:r>
      <w:r w:rsidR="007642BC">
        <w:rPr>
          <w:rtl/>
        </w:rPr>
        <w:t>-</w:t>
      </w:r>
      <w:r w:rsidR="00E3253D">
        <w:rPr>
          <w:rtl/>
        </w:rPr>
        <w:t xml:space="preserve"> </w:t>
      </w:r>
      <w:r w:rsidR="00E3253D" w:rsidRPr="005D642E">
        <w:rPr>
          <w:rtl/>
        </w:rPr>
        <w:t>« به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قَالَ : « يَغْسِلُ مَا حَوْلَهُ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1475D4">
        <w:rPr>
          <w:rtl/>
        </w:rPr>
        <w:t>3957</w:t>
      </w:r>
      <w:r w:rsidRPr="00246318">
        <w:rPr>
          <w:rStyle w:val="libBold2Char"/>
          <w:rtl/>
        </w:rPr>
        <w:t xml:space="preserve"> / 3.</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أَنَّهُ سُئِلَ عَنِ الرَّجُلِ يَكُونُ بِهِ </w:t>
      </w:r>
      <w:r w:rsidRPr="007C12DB">
        <w:rPr>
          <w:rStyle w:val="libFootnotenumChar"/>
          <w:rtl/>
        </w:rPr>
        <w:t>(2)</w:t>
      </w:r>
      <w:r w:rsidRPr="005D642E">
        <w:rPr>
          <w:rtl/>
          <w:lang w:bidi="fa-IR"/>
        </w:rPr>
        <w:t xml:space="preserve"> الْقَرْحَةُ فِي ذِرَاعِهِ ، أَوْ نَحْوِ ذلِكَ فِي </w:t>
      </w:r>
      <w:r w:rsidRPr="007C12DB">
        <w:rPr>
          <w:rStyle w:val="libFootnotenumChar"/>
          <w:rtl/>
        </w:rPr>
        <w:t>(3)</w:t>
      </w:r>
      <w:r w:rsidRPr="005D642E">
        <w:rPr>
          <w:rtl/>
          <w:lang w:bidi="fa-IR"/>
        </w:rPr>
        <w:t xml:space="preserve"> مَوْضِعِ الْوُضُوءِ ، فَيُعَصِّبُهَا بِالْخِرْقَةِ ، وَيَتَوَضَّأُ ، وَيَمْسَحُ عَلَيْهَا إِذَا تَوَضَّأَ</w:t>
      </w:r>
      <w:r>
        <w:rPr>
          <w:rtl/>
          <w:lang w:bidi="fa-IR"/>
        </w:rPr>
        <w:t>؟</w:t>
      </w:r>
    </w:p>
    <w:p w:rsidR="00E3253D" w:rsidRPr="005D642E" w:rsidRDefault="00E3253D" w:rsidP="00E3253D">
      <w:pPr>
        <w:pStyle w:val="libNormal"/>
        <w:rPr>
          <w:rtl/>
          <w:lang w:bidi="fa-IR"/>
        </w:rPr>
      </w:pPr>
      <w:r w:rsidRPr="005D642E">
        <w:rPr>
          <w:rtl/>
          <w:lang w:bidi="fa-IR"/>
        </w:rPr>
        <w:t xml:space="preserve">فَقَالَ : « إِنْ كَانَ يُؤْذِيهِ الْمَاءُ ، فَلْيَمْسَحْ عَلَى الْخِرْقَةِ ، وَإِنْ كَانَ لَايُؤْذِيهِ الْمَاءُ ، فَلْيَنْزِعِ الْخِرْقَةَ ، ثُمَّ لْيَغْسِلْهَا </w:t>
      </w:r>
      <w:r w:rsidRPr="007C12DB">
        <w:rPr>
          <w:rStyle w:val="libFootnotenumChar"/>
          <w:rtl/>
        </w:rPr>
        <w:t>(4)</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قَالَ : وَسَأَلْتُهُ عَنِ الْجُرْحِ : كَيْفَ أَصْنَعُ </w:t>
      </w:r>
      <w:r w:rsidRPr="007C12DB">
        <w:rPr>
          <w:rStyle w:val="libFootnotenumChar"/>
          <w:rtl/>
        </w:rPr>
        <w:t>(5)</w:t>
      </w:r>
      <w:r w:rsidRPr="005D642E">
        <w:rPr>
          <w:rtl/>
          <w:lang w:bidi="fa-IR"/>
        </w:rPr>
        <w:t xml:space="preserve"> بِهِ فِي غَسْلِهِ</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(6)</w:t>
      </w:r>
      <w:r w:rsidRPr="005D642E">
        <w:rPr>
          <w:rtl/>
          <w:lang w:bidi="fa-IR"/>
        </w:rPr>
        <w:t xml:space="preserve"> : « اغْسِلْ مَا حَوْلَهُ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0E5994" w:rsidRPr="005D642E" w:rsidRDefault="00E3253D" w:rsidP="000E5994">
      <w:pPr>
        <w:pStyle w:val="libNormal0"/>
        <w:rPr>
          <w:rtl/>
          <w:lang w:bidi="fa-IR"/>
        </w:rPr>
      </w:pPr>
      <w:r w:rsidRPr="001475D4">
        <w:rPr>
          <w:rtl/>
        </w:rPr>
        <w:t>3958</w:t>
      </w:r>
      <w:r w:rsidRPr="00246318">
        <w:rPr>
          <w:rStyle w:val="libBold2Char"/>
          <w:rtl/>
        </w:rPr>
        <w:t xml:space="preserve"> / 4.</w:t>
      </w:r>
      <w:r w:rsidRPr="005D642E">
        <w:rPr>
          <w:rtl/>
          <w:lang w:bidi="fa-IR"/>
        </w:rPr>
        <w:t xml:space="preserve"> عِدَّةٌ مِنْ أَصْحَابِنَا ، عَنْ أَحْمَدَ بْنِ مُحَمَّدٍ ، عَنِ ابْنِ مَحْبُوبٍ ، عَنْ عَلِيِّ بْنِ‌</w:t>
      </w:r>
      <w:r w:rsidR="000E5994" w:rsidRPr="000E5994">
        <w:rPr>
          <w:rtl/>
          <w:lang w:bidi="fa-IR"/>
        </w:rPr>
        <w:t xml:space="preserve"> </w:t>
      </w:r>
      <w:r w:rsidR="000E5994" w:rsidRPr="005D642E">
        <w:rPr>
          <w:rtl/>
          <w:lang w:bidi="fa-IR"/>
        </w:rPr>
        <w:t>الْحَسَنِ بْنِ رِبَاطٍ ، عَنْ عَبْدِ الْأَعْلى مَوْلى آلِ سَامٍ ، قَالَ :</w:t>
      </w:r>
    </w:p>
    <w:p w:rsidR="00E3253D" w:rsidRPr="005D642E" w:rsidRDefault="000E5994" w:rsidP="000E5994">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عَثَرْتُ ، فَانْقَطَعَ ظُفُرِي ، فَجَعَلْتُ عَلى إِصْبَعِي مَرَارَةً ، فَكَيْفَ</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363 ، ح 1096 ، معلّقاً عن عليّ بن إبراهيم </w:t>
      </w:r>
      <w:r w:rsidR="000E5994">
        <w:rPr>
          <w:rFonts w:hint="cs"/>
          <w:rtl/>
        </w:rPr>
        <w:t>.</w:t>
      </w:r>
      <w:r w:rsidR="00E3253D" w:rsidRPr="002F4D34">
        <w:rPr>
          <w:rStyle w:val="libFootnoteBoldChar"/>
          <w:rtl/>
        </w:rPr>
        <w:t>الوافي</w:t>
      </w:r>
      <w:r w:rsidR="00E3253D" w:rsidRPr="005D642E">
        <w:rPr>
          <w:rtl/>
        </w:rPr>
        <w:t xml:space="preserve"> ، ج 6 ، ص 359 ، ح 4462 ؛ </w:t>
      </w:r>
      <w:r w:rsidR="00E3253D" w:rsidRPr="002F4D34">
        <w:rPr>
          <w:rStyle w:val="libFootnoteBoldChar"/>
          <w:rtl/>
        </w:rPr>
        <w:t>الوسائل</w:t>
      </w:r>
      <w:r w:rsidR="00E3253D" w:rsidRPr="005D642E">
        <w:rPr>
          <w:rtl/>
        </w:rPr>
        <w:t xml:space="preserve"> ، ج 1 ، ص 464 ، ح 1229 ؛ وج 3 ، ص 438 ، ح 4097.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يكون فيه »</w:t>
      </w:r>
      <w:r w:rsidR="00E3253D">
        <w:rPr>
          <w:rtl/>
        </w:rPr>
        <w:t>.</w:t>
      </w:r>
      <w:r w:rsidR="00E3253D" w:rsidRPr="005D642E">
        <w:rPr>
          <w:rtl/>
        </w:rPr>
        <w:t xml:space="preserve"> وفي الوسائل ، ح 1228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تكون به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جس » </w:t>
      </w:r>
      <w:r w:rsidR="000D749A" w:rsidRPr="000D749A">
        <w:rPr>
          <w:rStyle w:val="libFootnoteBoldChar"/>
          <w:rtl/>
        </w:rPr>
        <w:t>والوافي</w:t>
      </w:r>
      <w:r w:rsidR="00E3253D" w:rsidRPr="005D642E">
        <w:rPr>
          <w:rtl/>
        </w:rPr>
        <w:t xml:space="preserve"> والوسائل ، ح 1228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من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الاستبصار : « ثمّ يغسلها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 ح 4096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يصنع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وحاشية « بخ » : « فقال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الأمر بغسل ما حول الجراحة لا ينافي ثبوت المسح على الخرقة ، فلا دلالة في الحديث على الفر</w:t>
      </w:r>
      <w:r w:rsidR="004138E3">
        <w:rPr>
          <w:rtl/>
        </w:rPr>
        <w:t>ق بين القرح والجرح في الحكم إل</w:t>
      </w:r>
      <w:r w:rsidR="004138E3">
        <w:rPr>
          <w:rFonts w:hint="cs"/>
          <w:rtl/>
        </w:rPr>
        <w:t>ّ</w:t>
      </w:r>
      <w:r w:rsidR="004138E3">
        <w:rPr>
          <w:rtl/>
        </w:rPr>
        <w:t>ا</w:t>
      </w:r>
      <w:r w:rsidR="00E3253D">
        <w:rPr>
          <w:rFonts w:hint="cs"/>
          <w:rtl/>
        </w:rPr>
        <w:t xml:space="preserve"> </w:t>
      </w:r>
      <w:r w:rsidR="00E3253D" w:rsidRPr="005D642E">
        <w:rPr>
          <w:rtl/>
        </w:rPr>
        <w:t>أنّ الظاهر من الاكتفاء بذكر غسل ما حول الكسر والجرح في بعض الأخبار عدم وجوب المسح على الخرقة مع أنّها خارجة عن مواضع الوضوء ، فينبغي حمله على الاستحباب »</w:t>
      </w:r>
      <w:r w:rsidR="00E3253D">
        <w:rPr>
          <w:rtl/>
        </w:rPr>
        <w:t>.</w:t>
      </w:r>
      <w:r w:rsidR="00E3253D" w:rsidRPr="005D642E">
        <w:rPr>
          <w:rtl/>
        </w:rPr>
        <w:t xml:space="preserve"> وراجع أيضاً : </w:t>
      </w:r>
      <w:r w:rsidR="00E3253D" w:rsidRPr="002F4D34">
        <w:rPr>
          <w:rStyle w:val="libFootnoteBoldChar"/>
          <w:rtl/>
        </w:rPr>
        <w:t>مرآة العقول</w:t>
      </w:r>
      <w:r w:rsidR="00E3253D" w:rsidRPr="005D642E">
        <w:rPr>
          <w:rtl/>
        </w:rPr>
        <w:t xml:space="preserve"> ، ج 13 ، ص 108.</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الاستبصار</w:t>
      </w:r>
      <w:r w:rsidR="00E3253D" w:rsidRPr="005D642E">
        <w:rPr>
          <w:rtl/>
        </w:rPr>
        <w:t xml:space="preserve"> ، ج 1 ، ص 77 ، ح 239 ، بسنده عن الكليني. </w:t>
      </w:r>
      <w:r w:rsidR="00E3253D" w:rsidRPr="002F4D34">
        <w:rPr>
          <w:rStyle w:val="libFootnoteBoldChar"/>
          <w:rtl/>
        </w:rPr>
        <w:t>التهذيب</w:t>
      </w:r>
      <w:r w:rsidR="00E3253D" w:rsidRPr="005D642E">
        <w:rPr>
          <w:rtl/>
        </w:rPr>
        <w:t xml:space="preserve"> ، ج 1 ، ص 362 ، ح 1095 ، معلّقاً عن عليّ بن إبراهيم </w:t>
      </w:r>
      <w:r w:rsidR="006D19C3">
        <w:rPr>
          <w:rFonts w:hint="cs"/>
          <w:rtl/>
        </w:rPr>
        <w:t>.</w:t>
      </w:r>
      <w:r w:rsidR="00E3253D" w:rsidRPr="002F4D34">
        <w:rPr>
          <w:rStyle w:val="libFootnoteBoldChar"/>
          <w:rtl/>
        </w:rPr>
        <w:t>الوافي</w:t>
      </w:r>
      <w:r w:rsidR="00E3253D" w:rsidRPr="005D642E">
        <w:rPr>
          <w:rtl/>
        </w:rPr>
        <w:t xml:space="preserve"> ، ج 6 ، ص 360 ، ح 4464 ؛ </w:t>
      </w:r>
      <w:r w:rsidR="00E3253D" w:rsidRPr="002F4D34">
        <w:rPr>
          <w:rStyle w:val="libFootnoteBoldChar"/>
          <w:rtl/>
        </w:rPr>
        <w:t>الوسائل</w:t>
      </w:r>
      <w:r w:rsidR="00E3253D" w:rsidRPr="005D642E">
        <w:rPr>
          <w:rtl/>
        </w:rPr>
        <w:t xml:space="preserve"> ، ج 1 ، ص 463 ، ح 1228 ؛ </w:t>
      </w:r>
      <w:r w:rsidR="00E3253D" w:rsidRPr="002F4D34">
        <w:rPr>
          <w:rStyle w:val="libFootnoteBoldChar"/>
          <w:rtl/>
        </w:rPr>
        <w:t>وفيه</w:t>
      </w:r>
      <w:r w:rsidR="00E3253D" w:rsidRPr="005D642E">
        <w:rPr>
          <w:rtl/>
        </w:rPr>
        <w:t xml:space="preserve"> ، ج 3 ، ص 437 ، ح 4096 ، من قوله : « قال : وسألته عن الجرح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أَصْنَعُ بِالْوُضُوءِ</w:t>
      </w:r>
      <w:r>
        <w:rPr>
          <w:rtl/>
          <w:lang w:bidi="fa-IR"/>
        </w:rPr>
        <w:t>؟</w:t>
      </w:r>
    </w:p>
    <w:p w:rsidR="00E3253D" w:rsidRPr="005D642E" w:rsidRDefault="00E3253D" w:rsidP="006D19C3">
      <w:pPr>
        <w:pStyle w:val="libNormal"/>
        <w:rPr>
          <w:rtl/>
          <w:lang w:bidi="fa-IR"/>
        </w:rPr>
      </w:pPr>
      <w:r w:rsidRPr="005D642E">
        <w:rPr>
          <w:rtl/>
          <w:lang w:bidi="fa-IR"/>
        </w:rPr>
        <w:t xml:space="preserve">قَالَ </w:t>
      </w:r>
      <w:r w:rsidRPr="007C12DB">
        <w:rPr>
          <w:rStyle w:val="libFootnotenumChar"/>
          <w:rtl/>
        </w:rPr>
        <w:t>(1)</w:t>
      </w:r>
      <w:r w:rsidRPr="005D642E">
        <w:rPr>
          <w:rtl/>
          <w:lang w:bidi="fa-IR"/>
        </w:rPr>
        <w:t xml:space="preserve"> : « يُعْرَفُ </w:t>
      </w:r>
      <w:r w:rsidRPr="007C12DB">
        <w:rPr>
          <w:rStyle w:val="libFootnotenumChar"/>
          <w:rtl/>
        </w:rPr>
        <w:t>(2)</w:t>
      </w:r>
      <w:r w:rsidRPr="005D642E">
        <w:rPr>
          <w:rtl/>
          <w:lang w:bidi="fa-IR"/>
        </w:rPr>
        <w:t xml:space="preserve"> هذَا وَأَشْبَاهُهُ مِنْ كِتَابِ اللهِ عَزَّ وَجَلَّ </w:t>
      </w:r>
      <w:r w:rsidRPr="007C12DB">
        <w:rPr>
          <w:rStyle w:val="libFootnotenumChar"/>
          <w:rtl/>
        </w:rPr>
        <w:t>(3)</w:t>
      </w:r>
      <w:r w:rsidRPr="005D642E">
        <w:rPr>
          <w:rtl/>
          <w:lang w:bidi="fa-IR"/>
        </w:rPr>
        <w:t xml:space="preserve"> : </w:t>
      </w:r>
      <w:r w:rsidRPr="00AC51C5">
        <w:rPr>
          <w:rStyle w:val="libAlaemChar"/>
          <w:rtl/>
        </w:rPr>
        <w:t>(</w:t>
      </w:r>
      <w:r w:rsidRPr="00AC51C5">
        <w:rPr>
          <w:rStyle w:val="libAieChar"/>
          <w:rtl/>
        </w:rPr>
        <w:t xml:space="preserve"> ما جَعَلَ</w:t>
      </w:r>
      <w:r w:rsidRPr="005D642E">
        <w:rPr>
          <w:rtl/>
          <w:lang w:bidi="fa-IR"/>
        </w:rPr>
        <w:t xml:space="preserve"> </w:t>
      </w:r>
      <w:r w:rsidRPr="007C12DB">
        <w:rPr>
          <w:rStyle w:val="libFootnotenumChar"/>
          <w:rtl/>
        </w:rPr>
        <w:t>(4)</w:t>
      </w:r>
      <w:r w:rsidRPr="005D642E">
        <w:rPr>
          <w:rtl/>
          <w:lang w:bidi="fa-IR"/>
        </w:rPr>
        <w:t xml:space="preserve"> </w:t>
      </w:r>
      <w:r w:rsidRPr="00AC51C5">
        <w:rPr>
          <w:rStyle w:val="libAieChar"/>
          <w:rtl/>
        </w:rPr>
        <w:t xml:space="preserve">عَلَيْكُمْ فِي الدِّينِ مِنْ حَرَجٍ </w:t>
      </w:r>
      <w:r w:rsidRPr="00AC51C5">
        <w:rPr>
          <w:rStyle w:val="libAlaemChar"/>
          <w:rtl/>
        </w:rPr>
        <w:t>)</w:t>
      </w:r>
      <w:r w:rsidRPr="005D642E">
        <w:rPr>
          <w:rtl/>
          <w:lang w:bidi="fa-IR"/>
        </w:rPr>
        <w:t xml:space="preserve"> </w:t>
      </w:r>
      <w:r w:rsidRPr="007C12DB">
        <w:rPr>
          <w:rStyle w:val="libFootnotenumChar"/>
          <w:rtl/>
        </w:rPr>
        <w:t>(5)</w:t>
      </w:r>
      <w:r w:rsidRPr="005D642E">
        <w:rPr>
          <w:rtl/>
          <w:lang w:bidi="fa-IR"/>
        </w:rPr>
        <w:t xml:space="preserve"> امْسَحْ عَلَيْهِ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84" w:name="_Toc344647238"/>
      <w:bookmarkStart w:id="85" w:name="_Toc462226753"/>
      <w:bookmarkStart w:id="86" w:name="_Toc40975861"/>
      <w:r w:rsidRPr="005D642E">
        <w:rPr>
          <w:rtl/>
          <w:lang w:bidi="fa-IR"/>
        </w:rPr>
        <w:t>22</w:t>
      </w:r>
      <w:r>
        <w:rPr>
          <w:rtl/>
          <w:lang w:bidi="fa-IR"/>
        </w:rPr>
        <w:t xml:space="preserve"> </w:t>
      </w:r>
      <w:r w:rsidR="007642BC">
        <w:rPr>
          <w:rtl/>
          <w:lang w:bidi="fa-IR"/>
        </w:rPr>
        <w:t>-</w:t>
      </w:r>
      <w:r>
        <w:rPr>
          <w:rtl/>
          <w:lang w:bidi="fa-IR"/>
        </w:rPr>
        <w:t xml:space="preserve"> </w:t>
      </w:r>
      <w:r w:rsidRPr="005D642E">
        <w:rPr>
          <w:rtl/>
          <w:lang w:bidi="fa-IR"/>
        </w:rPr>
        <w:t xml:space="preserve">بَابُ الشَّكِّ </w:t>
      </w:r>
      <w:r w:rsidRPr="007C12DB">
        <w:rPr>
          <w:rStyle w:val="libFootnotenumChar"/>
          <w:rtl/>
        </w:rPr>
        <w:t>(7)</w:t>
      </w:r>
      <w:r>
        <w:rPr>
          <w:rtl/>
        </w:rPr>
        <w:t xml:space="preserve"> </w:t>
      </w:r>
      <w:r w:rsidRPr="005D642E">
        <w:rPr>
          <w:rtl/>
          <w:lang w:bidi="fa-IR"/>
        </w:rPr>
        <w:t xml:space="preserve">فِي الْوُضُوءِ وَ </w:t>
      </w:r>
      <w:r w:rsidRPr="007C12DB">
        <w:rPr>
          <w:rStyle w:val="libFootnotenumChar"/>
          <w:rtl/>
        </w:rPr>
        <w:t>(8)</w:t>
      </w:r>
      <w:r>
        <w:rPr>
          <w:rtl/>
        </w:rPr>
        <w:t xml:space="preserve"> </w:t>
      </w:r>
      <w:r w:rsidRPr="005D642E">
        <w:rPr>
          <w:rtl/>
          <w:lang w:bidi="fa-IR"/>
        </w:rPr>
        <w:t xml:space="preserve">مَنْ نَسِيَهُ أَوْ </w:t>
      </w:r>
      <w:r w:rsidRPr="007C12DB">
        <w:rPr>
          <w:rStyle w:val="libFootnotenumChar"/>
          <w:rtl/>
        </w:rPr>
        <w:t>(9)</w:t>
      </w:r>
      <w:r>
        <w:rPr>
          <w:rtl/>
        </w:rPr>
        <w:t xml:space="preserve"> </w:t>
      </w:r>
      <w:r w:rsidRPr="005D642E">
        <w:rPr>
          <w:rtl/>
          <w:lang w:bidi="fa-IR"/>
        </w:rPr>
        <w:t>قَدَّمَ أَوْ أَخَّرَ‌</w:t>
      </w:r>
      <w:bookmarkEnd w:id="84"/>
      <w:bookmarkEnd w:id="85"/>
      <w:bookmarkEnd w:id="86"/>
    </w:p>
    <w:p w:rsidR="00E3253D" w:rsidRPr="005D642E" w:rsidRDefault="00E3253D" w:rsidP="00E3253D">
      <w:pPr>
        <w:pStyle w:val="libNormal"/>
        <w:rPr>
          <w:rtl/>
          <w:lang w:bidi="fa-IR"/>
        </w:rPr>
      </w:pPr>
      <w:r w:rsidRPr="001475D4">
        <w:rPr>
          <w:rtl/>
        </w:rPr>
        <w:t>3959</w:t>
      </w:r>
      <w:r w:rsidRPr="00246318">
        <w:rPr>
          <w:rStyle w:val="libBold2Char"/>
          <w:rtl/>
        </w:rPr>
        <w:t xml:space="preserve"> / 1.</w:t>
      </w:r>
      <w:r w:rsidRPr="005D642E">
        <w:rPr>
          <w:rtl/>
          <w:lang w:bidi="fa-IR"/>
        </w:rPr>
        <w:t xml:space="preserve"> عِدَّةٌ مِنْ أَصْحَابِنَا ، عَنْ أَحْمَدَ بْنِ مُحَمَّدٍ ، عَنِ الْعَبَّاسِ بْنِ عَامِرٍ </w:t>
      </w:r>
      <w:r w:rsidRPr="007C12DB">
        <w:rPr>
          <w:rStyle w:val="libFootnotenumChar"/>
          <w:rtl/>
        </w:rPr>
        <w:t>(10)</w:t>
      </w:r>
      <w:r w:rsidRPr="005D642E">
        <w:rPr>
          <w:rtl/>
          <w:lang w:bidi="fa-IR"/>
        </w:rPr>
        <w:t xml:space="preserve"> ، عَنْ عَبْدِ اللهِ بْنِ بُكَيْرٍ ، عَنْ أَبِيهِ ، قَالَ :</w:t>
      </w:r>
    </w:p>
    <w:p w:rsidR="00E3253D" w:rsidRPr="005D642E" w:rsidRDefault="00E3253D" w:rsidP="00E3253D">
      <w:pPr>
        <w:pStyle w:val="libNormal"/>
        <w:rPr>
          <w:rtl/>
          <w:lang w:bidi="fa-IR"/>
        </w:rPr>
      </w:pPr>
      <w:r w:rsidRPr="005D642E">
        <w:rPr>
          <w:rtl/>
          <w:lang w:bidi="fa-IR"/>
        </w:rPr>
        <w:t xml:space="preserve">قَالَ لِي </w:t>
      </w:r>
      <w:r w:rsidRPr="007C12DB">
        <w:rPr>
          <w:rStyle w:val="libFootnotenumChar"/>
          <w:rtl/>
        </w:rPr>
        <w:t>(11)</w:t>
      </w:r>
      <w:r w:rsidRPr="005D642E">
        <w:rPr>
          <w:rtl/>
          <w:lang w:bidi="fa-IR"/>
        </w:rPr>
        <w:t xml:space="preserve"> أَبُو عَبْدِ اللهِ </w:t>
      </w:r>
      <w:r w:rsidRPr="00AC51C5">
        <w:rPr>
          <w:rStyle w:val="libAlaemChar"/>
          <w:rtl/>
        </w:rPr>
        <w:t>عليه‌السلام</w:t>
      </w:r>
      <w:r w:rsidRPr="005D642E">
        <w:rPr>
          <w:rtl/>
          <w:lang w:bidi="fa-IR"/>
        </w:rPr>
        <w:t xml:space="preserve"> : « إِذَا اسْتَيْقَنْتَ أَنَّكَ قَدْ أَحْدَثْتَ </w:t>
      </w:r>
      <w:r w:rsidRPr="007C12DB">
        <w:rPr>
          <w:rStyle w:val="libFootnotenumChar"/>
          <w:rtl/>
        </w:rPr>
        <w:t>(12)</w:t>
      </w:r>
      <w:r w:rsidRPr="005D642E">
        <w:rPr>
          <w:rtl/>
          <w:lang w:bidi="fa-IR"/>
        </w:rPr>
        <w:t xml:space="preserve"> ، فَتَوَضَّأْ ؛ وَإِيَّاكَ </w:t>
      </w:r>
      <w:r w:rsidRPr="007C12DB">
        <w:rPr>
          <w:rStyle w:val="libFootnotenumChar"/>
          <w:rtl/>
        </w:rPr>
        <w:t>(13)</w:t>
      </w:r>
      <w:r w:rsidRPr="005D642E">
        <w:rPr>
          <w:rtl/>
          <w:lang w:bidi="fa-IR"/>
        </w:rPr>
        <w:t xml:space="preserve"> أَنْ تُحْدِثَ وُضُوءاً أَبَداً حَتّى تَسْتَيْقِنَ أَنَّكَ </w:t>
      </w:r>
      <w:r w:rsidRPr="007C12DB">
        <w:rPr>
          <w:rStyle w:val="libFootnotenumChar"/>
          <w:rtl/>
        </w:rPr>
        <w:t>(14)</w:t>
      </w:r>
      <w:r w:rsidRPr="005D642E">
        <w:rPr>
          <w:rtl/>
          <w:lang w:bidi="fa-IR"/>
        </w:rPr>
        <w:t xml:space="preserve"> قَدْ أَحْدَثْتَ »</w:t>
      </w:r>
      <w:r>
        <w:rPr>
          <w:rtl/>
          <w:lang w:bidi="fa-IR"/>
        </w:rPr>
        <w:t>.</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 « فقال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بح ، بخ ، بس ، بف » </w:t>
      </w:r>
      <w:r w:rsidR="000D749A" w:rsidRPr="000D749A">
        <w:rPr>
          <w:rStyle w:val="libFootnoteBoldChar"/>
          <w:rtl/>
        </w:rPr>
        <w:t>والوافي</w:t>
      </w:r>
      <w:r w:rsidR="00E3253D" w:rsidRPr="005D642E">
        <w:rPr>
          <w:rtl/>
        </w:rPr>
        <w:t xml:space="preserve"> والبحار </w:t>
      </w:r>
      <w:r w:rsidR="00E3253D" w:rsidRPr="00E678B5">
        <w:rPr>
          <w:rStyle w:val="libFootnoteBoldChar"/>
          <w:rtl/>
        </w:rPr>
        <w:t>والاستبصار</w:t>
      </w:r>
      <w:r w:rsidR="00E3253D" w:rsidRPr="005D642E">
        <w:rPr>
          <w:rtl/>
        </w:rPr>
        <w:t xml:space="preserve"> : « تعرف »</w:t>
      </w:r>
      <w:r w:rsidR="00E3253D">
        <w:rPr>
          <w:rtl/>
        </w:rPr>
        <w:t>.</w:t>
      </w:r>
      <w:r w:rsidR="00E3253D" w:rsidRPr="005D642E">
        <w:rPr>
          <w:rtl/>
        </w:rPr>
        <w:t xml:space="preserve"> وليقرأ بصيغة المعلوم.</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جح ، جس ، جن » : + « قال الله عزّوجلّ »</w:t>
      </w:r>
      <w:r w:rsidR="00E3253D">
        <w:rPr>
          <w:rtl/>
        </w:rPr>
        <w:t>.</w:t>
      </w:r>
      <w:r w:rsidR="00E3253D" w:rsidRPr="005D642E">
        <w:rPr>
          <w:rtl/>
        </w:rPr>
        <w:t xml:space="preserve"> وفي حاشية « غ » </w:t>
      </w:r>
      <w:r w:rsidR="00B60612" w:rsidRPr="00B60612">
        <w:rPr>
          <w:rStyle w:val="libFootnoteBoldChar"/>
          <w:rtl/>
        </w:rPr>
        <w:t>والتهذيب</w:t>
      </w:r>
      <w:r w:rsidR="00E3253D" w:rsidRPr="005D642E">
        <w:rPr>
          <w:rtl/>
        </w:rPr>
        <w:t xml:space="preserve"> : + « قال الله »</w:t>
      </w:r>
      <w:r w:rsidR="00E3253D">
        <w:rPr>
          <w:rtl/>
        </w:rPr>
        <w:t>.</w:t>
      </w:r>
      <w:r w:rsidR="00E3253D" w:rsidRPr="005D642E">
        <w:rPr>
          <w:rtl/>
        </w:rPr>
        <w:t xml:space="preserve"> وفي البحار : « قال الله عزّوجلّ » بدل « عزّوجلّ »</w:t>
      </w:r>
      <w:r w:rsidR="00E3253D">
        <w:rPr>
          <w:rtl/>
        </w:rPr>
        <w:t>.</w:t>
      </w:r>
      <w:r w:rsidR="00E3253D" w:rsidRPr="005D642E">
        <w:rPr>
          <w:rtl/>
        </w:rPr>
        <w:t xml:space="preserve"> وفي الاستبصار : + « قال الله تعالى </w:t>
      </w:r>
      <w:r w:rsidR="00E3253D">
        <w:rPr>
          <w:rtl/>
        </w:rPr>
        <w:t>و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بف » : + « الله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الحجّ (22) : 78.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363 ، ح 1097 ؛ </w:t>
      </w:r>
      <w:r w:rsidR="00E3253D" w:rsidRPr="00E678B5">
        <w:rPr>
          <w:rStyle w:val="libFootnoteBoldChar"/>
          <w:rtl/>
        </w:rPr>
        <w:t>والاستبصار</w:t>
      </w:r>
      <w:r w:rsidR="00E3253D" w:rsidRPr="005D642E">
        <w:rPr>
          <w:rtl/>
        </w:rPr>
        <w:t xml:space="preserve"> ، ج 1 ، ص 77 ، ح 240 ، معلّقاً عن أحمد بن محمّد. </w:t>
      </w:r>
      <w:r w:rsidR="00E3253D" w:rsidRPr="002F4D34">
        <w:rPr>
          <w:rStyle w:val="libFootnoteBoldChar"/>
          <w:rtl/>
        </w:rPr>
        <w:t>تفسير العيّاشي</w:t>
      </w:r>
      <w:r w:rsidR="00E3253D" w:rsidRPr="005D642E">
        <w:rPr>
          <w:rtl/>
        </w:rPr>
        <w:t xml:space="preserve"> ، ج 1 ، ص 302 ، ح 66 ، عن عبدالأعلى مولى آل سام ، مع اختلاف يسير </w:t>
      </w:r>
      <w:r w:rsidR="006D19C3">
        <w:rPr>
          <w:rFonts w:hint="cs"/>
          <w:rtl/>
        </w:rPr>
        <w:t>.</w:t>
      </w:r>
      <w:r w:rsidR="00E3253D" w:rsidRPr="002F4D34">
        <w:rPr>
          <w:rStyle w:val="libFootnoteBoldChar"/>
          <w:rtl/>
        </w:rPr>
        <w:t>الوافي</w:t>
      </w:r>
      <w:r w:rsidR="00E3253D" w:rsidRPr="005D642E">
        <w:rPr>
          <w:rtl/>
        </w:rPr>
        <w:t xml:space="preserve"> ، ج 6 ، ص 360 ، ح 4465 ؛ </w:t>
      </w:r>
      <w:r w:rsidR="00E3253D" w:rsidRPr="002F4D34">
        <w:rPr>
          <w:rStyle w:val="libFootnoteBoldChar"/>
          <w:rtl/>
        </w:rPr>
        <w:t>الوسائل</w:t>
      </w:r>
      <w:r w:rsidR="00E3253D" w:rsidRPr="005D642E">
        <w:rPr>
          <w:rtl/>
        </w:rPr>
        <w:t xml:space="preserve"> ، ج 1 ، ص 464 ، ذيل ح 1231 ؛ </w:t>
      </w:r>
      <w:r w:rsidR="00E3253D" w:rsidRPr="002F4D34">
        <w:rPr>
          <w:rStyle w:val="libFootnoteBoldChar"/>
          <w:rtl/>
        </w:rPr>
        <w:t>البحار</w:t>
      </w:r>
      <w:r w:rsidR="00E3253D" w:rsidRPr="005D642E">
        <w:rPr>
          <w:rtl/>
        </w:rPr>
        <w:t xml:space="preserve"> ، ج 2 ، ص 277 ح 32.</w:t>
      </w:r>
    </w:p>
    <w:tbl>
      <w:tblPr>
        <w:tblStyle w:val="TableGrid"/>
        <w:bidiVisual/>
        <w:tblW w:w="0" w:type="auto"/>
        <w:tblLook w:val="04A0" w:firstRow="1" w:lastRow="0" w:firstColumn="1" w:lastColumn="0" w:noHBand="0" w:noVBand="1"/>
      </w:tblPr>
      <w:tblGrid>
        <w:gridCol w:w="4006"/>
        <w:gridCol w:w="4006"/>
      </w:tblGrid>
      <w:tr w:rsidR="00512B3A" w:rsidTr="00512B3A">
        <w:tc>
          <w:tcPr>
            <w:tcW w:w="4006" w:type="dxa"/>
          </w:tcPr>
          <w:p w:rsidR="00512B3A" w:rsidRDefault="00512B3A" w:rsidP="00E3253D">
            <w:pPr>
              <w:pStyle w:val="libFootnote0"/>
              <w:rPr>
                <w:rStyle w:val="libFootnote0Char"/>
                <w:rtl/>
              </w:rPr>
            </w:pPr>
            <w:r w:rsidRPr="0042621E">
              <w:rPr>
                <w:rStyle w:val="libFootnote0Char"/>
                <w:rtl/>
              </w:rPr>
              <w:t>(7).</w:t>
            </w:r>
            <w:r w:rsidRPr="005D642E">
              <w:rPr>
                <w:rtl/>
              </w:rPr>
              <w:t xml:space="preserve"> في « بخ » : « باب من شكّ »</w:t>
            </w:r>
            <w:r>
              <w:rPr>
                <w:rtl/>
              </w:rPr>
              <w:t>.</w:t>
            </w:r>
          </w:p>
        </w:tc>
        <w:tc>
          <w:tcPr>
            <w:tcW w:w="4006" w:type="dxa"/>
          </w:tcPr>
          <w:p w:rsidR="00512B3A" w:rsidRDefault="00512B3A" w:rsidP="00E3253D">
            <w:pPr>
              <w:pStyle w:val="libFootnote0"/>
              <w:rPr>
                <w:rStyle w:val="libFootnote0Char"/>
                <w:rtl/>
              </w:rPr>
            </w:pPr>
            <w:r w:rsidRPr="0042621E">
              <w:rPr>
                <w:rStyle w:val="libFootnote0Char"/>
                <w:rtl/>
              </w:rPr>
              <w:t>(8).</w:t>
            </w:r>
            <w:r w:rsidRPr="005D642E">
              <w:rPr>
                <w:rtl/>
              </w:rPr>
              <w:t xml:space="preserve"> في « بخ » : « أو »</w:t>
            </w:r>
            <w:r>
              <w:rPr>
                <w:rtl/>
              </w:rPr>
              <w:t>.</w:t>
            </w:r>
          </w:p>
        </w:tc>
      </w:tr>
      <w:tr w:rsidR="00512B3A" w:rsidTr="00512B3A">
        <w:tc>
          <w:tcPr>
            <w:tcW w:w="4006" w:type="dxa"/>
          </w:tcPr>
          <w:p w:rsidR="00512B3A" w:rsidRDefault="00512B3A" w:rsidP="00E3253D">
            <w:pPr>
              <w:pStyle w:val="libFootnote0"/>
              <w:rPr>
                <w:rStyle w:val="libFootnote0Char"/>
                <w:rtl/>
              </w:rPr>
            </w:pPr>
            <w:r w:rsidRPr="0042621E">
              <w:rPr>
                <w:rStyle w:val="libFootnote0Char"/>
                <w:rtl/>
              </w:rPr>
              <w:t>(9).</w:t>
            </w:r>
            <w:r w:rsidRPr="005D642E">
              <w:rPr>
                <w:rtl/>
              </w:rPr>
              <w:t xml:space="preserve"> في « جح » : « </w:t>
            </w:r>
            <w:r>
              <w:rPr>
                <w:rtl/>
              </w:rPr>
              <w:t>و ».</w:t>
            </w:r>
          </w:p>
        </w:tc>
        <w:tc>
          <w:tcPr>
            <w:tcW w:w="4006" w:type="dxa"/>
          </w:tcPr>
          <w:p w:rsidR="00512B3A" w:rsidRDefault="00512B3A" w:rsidP="00E3253D">
            <w:pPr>
              <w:pStyle w:val="libFootnote0"/>
              <w:rPr>
                <w:rStyle w:val="libFootnote0Char"/>
                <w:rtl/>
              </w:rPr>
            </w:pPr>
            <w:r w:rsidRPr="0042621E">
              <w:rPr>
                <w:rStyle w:val="libFootnote0Char"/>
                <w:rtl/>
              </w:rPr>
              <w:t>(10).</w:t>
            </w:r>
            <w:r w:rsidRPr="005D642E">
              <w:rPr>
                <w:rtl/>
              </w:rPr>
              <w:t xml:space="preserve"> في التهذيب : + « القَصَباني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w:t>
      </w:r>
      <w:r w:rsidR="000D749A" w:rsidRPr="000D749A">
        <w:rPr>
          <w:rStyle w:val="libFootnoteBoldChar"/>
          <w:rtl/>
        </w:rPr>
        <w:t>والوافي</w:t>
      </w:r>
      <w:r w:rsidR="00E3253D" w:rsidRPr="005D642E">
        <w:rPr>
          <w:rtl/>
        </w:rPr>
        <w:t xml:space="preserve"> والبحار :</w:t>
      </w:r>
      <w:r w:rsidR="00E3253D">
        <w:rPr>
          <w:rtl/>
        </w:rPr>
        <w:t xml:space="preserve"> </w:t>
      </w:r>
      <w:r w:rsidR="007642BC">
        <w:rPr>
          <w:rtl/>
        </w:rPr>
        <w:t>-</w:t>
      </w:r>
      <w:r w:rsidR="00E3253D">
        <w:rPr>
          <w:rtl/>
        </w:rPr>
        <w:t xml:space="preserve"> </w:t>
      </w:r>
      <w:r w:rsidR="00E3253D" w:rsidRPr="005D642E">
        <w:rPr>
          <w:rtl/>
        </w:rPr>
        <w:t>« لي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ى ، بث ، بح ، جس » :</w:t>
      </w:r>
      <w:r w:rsidR="00E3253D">
        <w:rPr>
          <w:rtl/>
        </w:rPr>
        <w:t xml:space="preserve"> </w:t>
      </w:r>
      <w:r w:rsidR="007642BC">
        <w:rPr>
          <w:rtl/>
        </w:rPr>
        <w:t>-</w:t>
      </w:r>
      <w:r w:rsidR="00E3253D">
        <w:rPr>
          <w:rtl/>
        </w:rPr>
        <w:t xml:space="preserve"> </w:t>
      </w:r>
      <w:r w:rsidR="00E3253D" w:rsidRPr="005D642E">
        <w:rPr>
          <w:rtl/>
        </w:rPr>
        <w:t>« قد »</w:t>
      </w:r>
      <w:r w:rsidR="00E3253D">
        <w:rPr>
          <w:rtl/>
        </w:rPr>
        <w:t>.</w:t>
      </w:r>
      <w:r w:rsidR="00E3253D" w:rsidRPr="005D642E">
        <w:rPr>
          <w:rtl/>
        </w:rPr>
        <w:t xml:space="preserve"> وفي « جس » </w:t>
      </w:r>
      <w:r w:rsidR="00B60612" w:rsidRPr="00B60612">
        <w:rPr>
          <w:rStyle w:val="libFootnoteBoldChar"/>
          <w:rtl/>
        </w:rPr>
        <w:t>والتهذيب</w:t>
      </w:r>
      <w:r w:rsidR="00E3253D" w:rsidRPr="005D642E">
        <w:rPr>
          <w:rtl/>
        </w:rPr>
        <w:t xml:space="preserve"> : « توضّأت » بدل « أحدثت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جس » </w:t>
      </w:r>
      <w:r w:rsidR="00B60612" w:rsidRPr="00B60612">
        <w:rPr>
          <w:rStyle w:val="libFootnoteBoldChar"/>
          <w:rtl/>
        </w:rPr>
        <w:t>والتهذيب</w:t>
      </w:r>
      <w:r w:rsidR="00E3253D" w:rsidRPr="005D642E">
        <w:rPr>
          <w:rtl/>
        </w:rPr>
        <w:t xml:space="preserve"> : « فإيّاك » بدل « فتوضّأ وإيّاك »</w:t>
      </w:r>
      <w:r w:rsidR="00E3253D">
        <w:rPr>
          <w:rtl/>
        </w:rPr>
        <w:t>.</w:t>
      </w:r>
      <w:r w:rsidR="00E3253D" w:rsidRPr="005D642E">
        <w:rPr>
          <w:rtl/>
        </w:rPr>
        <w:t xml:space="preserve"> وفي « غ » : + « </w:t>
      </w:r>
      <w:r w:rsidR="00E3253D">
        <w:rPr>
          <w:rtl/>
        </w:rPr>
        <w:t>و ».</w:t>
      </w:r>
    </w:p>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في « جس » :</w:t>
      </w:r>
      <w:r w:rsidR="00E3253D">
        <w:rPr>
          <w:rtl/>
        </w:rPr>
        <w:t xml:space="preserve"> </w:t>
      </w:r>
      <w:r w:rsidR="007642BC">
        <w:rPr>
          <w:rtl/>
        </w:rPr>
        <w:t>-</w:t>
      </w:r>
      <w:r w:rsidR="00E3253D">
        <w:rPr>
          <w:rtl/>
        </w:rPr>
        <w:t xml:space="preserve"> </w:t>
      </w:r>
      <w:r w:rsidR="00E3253D" w:rsidRPr="005D642E">
        <w:rPr>
          <w:rtl/>
        </w:rPr>
        <w:t>« أنّك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التهذيب</w:t>
      </w:r>
      <w:r w:rsidR="00E3253D" w:rsidRPr="005D642E">
        <w:rPr>
          <w:rtl/>
        </w:rPr>
        <w:t xml:space="preserve"> ، ج 1 ، ص 102 ، ح 268 ، بسنده عن الكليني </w:t>
      </w:r>
      <w:r w:rsidR="004900A6">
        <w:rPr>
          <w:rFonts w:hint="cs"/>
          <w:rtl/>
        </w:rPr>
        <w:t>.</w:t>
      </w:r>
      <w:r w:rsidR="00E3253D" w:rsidRPr="002F4D34">
        <w:rPr>
          <w:rStyle w:val="libFootnoteBoldChar"/>
          <w:rtl/>
        </w:rPr>
        <w:t>الوافي</w:t>
      </w:r>
      <w:r w:rsidR="00E3253D" w:rsidRPr="005D642E">
        <w:rPr>
          <w:rtl/>
        </w:rPr>
        <w:t xml:space="preserve"> ، ج 6 ، ص 355 ، ح 4459 ؛ </w:t>
      </w:r>
      <w:r w:rsidR="00E3253D" w:rsidRPr="002F4D34">
        <w:rPr>
          <w:rStyle w:val="libFootnoteBoldChar"/>
          <w:rtl/>
        </w:rPr>
        <w:t>الوسائل</w:t>
      </w:r>
      <w:r w:rsidR="00E3253D" w:rsidRPr="005D642E">
        <w:rPr>
          <w:rtl/>
        </w:rPr>
        <w:t xml:space="preserve"> ، ج 1 ، ص 247 ، ح 637 ؛ وص 472 ، ح 1252 ؛ </w:t>
      </w:r>
      <w:r w:rsidR="00E3253D" w:rsidRPr="002F4D34">
        <w:rPr>
          <w:rStyle w:val="libFootnoteBoldChar"/>
          <w:rtl/>
        </w:rPr>
        <w:t>البحار</w:t>
      </w:r>
      <w:r w:rsidR="00E3253D" w:rsidRPr="005D642E">
        <w:rPr>
          <w:rtl/>
        </w:rPr>
        <w:t xml:space="preserve"> ، ج 2 ، ص 281 ، ح 52.</w:t>
      </w:r>
    </w:p>
    <w:p w:rsidR="00E3253D" w:rsidRDefault="00E3253D" w:rsidP="00E3253D">
      <w:pPr>
        <w:pStyle w:val="libNormal"/>
        <w:rPr>
          <w:rtl/>
          <w:lang w:bidi="fa-IR"/>
        </w:rPr>
      </w:pPr>
      <w:r>
        <w:rPr>
          <w:rtl/>
          <w:lang w:bidi="fa-IR"/>
        </w:rPr>
        <w:br w:type="page"/>
      </w:r>
    </w:p>
    <w:p w:rsidR="004900A6" w:rsidRDefault="00E3253D" w:rsidP="004900A6">
      <w:pPr>
        <w:pStyle w:val="libNormal"/>
        <w:rPr>
          <w:rtl/>
          <w:lang w:bidi="fa-IR"/>
        </w:rPr>
      </w:pPr>
      <w:r w:rsidRPr="003913CB">
        <w:rPr>
          <w:rtl/>
        </w:rPr>
        <w:lastRenderedPageBreak/>
        <w:t>3960</w:t>
      </w:r>
      <w:r w:rsidRPr="00246318">
        <w:rPr>
          <w:rStyle w:val="libBold2Char"/>
          <w:rtl/>
        </w:rPr>
        <w:t xml:space="preserve"> / 2.</w:t>
      </w:r>
      <w:r w:rsidRPr="005D642E">
        <w:rPr>
          <w:rtl/>
          <w:lang w:bidi="fa-IR"/>
        </w:rPr>
        <w:t xml:space="preserve"> عَلِيُّ بْنُ إِبْرَاهِيمَ ، عَنْ أَبِيهِ ؛</w:t>
      </w:r>
    </w:p>
    <w:p w:rsidR="00E3253D" w:rsidRPr="005D642E" w:rsidRDefault="004900A6" w:rsidP="004900A6">
      <w:pPr>
        <w:pStyle w:val="libNormal"/>
        <w:rPr>
          <w:rtl/>
          <w:lang w:bidi="fa-IR"/>
        </w:rPr>
      </w:pPr>
      <w:r>
        <w:rPr>
          <w:rFonts w:hint="cs"/>
          <w:rtl/>
          <w:lang w:bidi="fa-IR"/>
        </w:rPr>
        <w:t xml:space="preserve">              </w:t>
      </w:r>
      <w:r w:rsidR="00E3253D" w:rsidRPr="005D642E">
        <w:rPr>
          <w:rtl/>
          <w:lang w:bidi="fa-IR"/>
        </w:rPr>
        <w:t>وَمُحَمَّدُ بْنُ إِسْمَاعِيلَ ، عَنِ الْفَضْلِ بْنِ شَاذَانَ جَمِيعاً ، عَنْ حَمَّادِ بْنِ عِيسى ، عَنْ حَرِيزٍ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إِذَا كُنْتَ قَاعِداً عَلى وُضُوءٍ وَلَمْ تَدْرِ </w:t>
      </w:r>
      <w:r w:rsidRPr="007C12DB">
        <w:rPr>
          <w:rStyle w:val="libFootnotenumChar"/>
          <w:rtl/>
        </w:rPr>
        <w:t>(1)</w:t>
      </w:r>
      <w:r>
        <w:rPr>
          <w:rtl/>
          <w:lang w:bidi="fa-IR"/>
        </w:rPr>
        <w:t xml:space="preserve"> أَ</w:t>
      </w:r>
      <w:r w:rsidRPr="005D642E">
        <w:rPr>
          <w:rtl/>
          <w:lang w:bidi="fa-IR"/>
        </w:rPr>
        <w:t xml:space="preserve">غَسَلْتَ ذِرَاعَكَ </w:t>
      </w:r>
      <w:r w:rsidRPr="007C12DB">
        <w:rPr>
          <w:rStyle w:val="libFootnotenumChar"/>
          <w:rtl/>
        </w:rPr>
        <w:t>(2)</w:t>
      </w:r>
      <w:r w:rsidRPr="005D642E">
        <w:rPr>
          <w:rtl/>
          <w:lang w:bidi="fa-IR"/>
        </w:rPr>
        <w:t xml:space="preserve"> أَمْ لَا ، فَأَعِدْ عَلَيْهَا </w:t>
      </w:r>
      <w:r w:rsidRPr="007C12DB">
        <w:rPr>
          <w:rStyle w:val="libFootnotenumChar"/>
          <w:rtl/>
        </w:rPr>
        <w:t>(3)</w:t>
      </w:r>
      <w:r w:rsidRPr="005D642E">
        <w:rPr>
          <w:rtl/>
          <w:lang w:bidi="fa-IR"/>
        </w:rPr>
        <w:t xml:space="preserve"> وَعَلى جَمِيعِ مَا شَكَكْتَ فِيهِ أَنَّكَ لَمْ تَغْسِلْهُ أَوْ تَمْسَحْهُ مِمَّا </w:t>
      </w:r>
      <w:r w:rsidRPr="007C12DB">
        <w:rPr>
          <w:rStyle w:val="libFootnotenumChar"/>
          <w:rtl/>
        </w:rPr>
        <w:t>(4)</w:t>
      </w:r>
      <w:r w:rsidRPr="005D642E">
        <w:rPr>
          <w:rtl/>
          <w:lang w:bidi="fa-IR"/>
        </w:rPr>
        <w:t xml:space="preserve"> سَمَّى اللهُ مَا دُمْتَ فِي حَالِ الْوُضُوءِ ، فَإِذَا </w:t>
      </w:r>
      <w:r w:rsidRPr="007C12DB">
        <w:rPr>
          <w:rStyle w:val="libFootnotenumChar"/>
          <w:rtl/>
        </w:rPr>
        <w:t>(5)</w:t>
      </w:r>
      <w:r w:rsidRPr="005D642E">
        <w:rPr>
          <w:rtl/>
          <w:lang w:bidi="fa-IR"/>
        </w:rPr>
        <w:t xml:space="preserve"> قُمْتَ مِنَ </w:t>
      </w:r>
      <w:r w:rsidRPr="007C12DB">
        <w:rPr>
          <w:rStyle w:val="libFootnotenumChar"/>
          <w:rtl/>
        </w:rPr>
        <w:t>(6)</w:t>
      </w:r>
      <w:r w:rsidRPr="005D642E">
        <w:rPr>
          <w:rtl/>
          <w:lang w:bidi="fa-IR"/>
        </w:rPr>
        <w:t xml:space="preserve"> الْوُضُوءِ وَفَرَغْتَ </w:t>
      </w:r>
      <w:r w:rsidRPr="007C12DB">
        <w:rPr>
          <w:rStyle w:val="libFootnotenumChar"/>
          <w:rtl/>
        </w:rPr>
        <w:t>(7)</w:t>
      </w:r>
      <w:r w:rsidRPr="005D642E">
        <w:rPr>
          <w:rtl/>
          <w:lang w:bidi="fa-IR"/>
        </w:rPr>
        <w:t xml:space="preserve"> ، فَقَدْ </w:t>
      </w:r>
      <w:r w:rsidRPr="007C12DB">
        <w:rPr>
          <w:rStyle w:val="libFootnotenumChar"/>
          <w:rtl/>
        </w:rPr>
        <w:t>(8)</w:t>
      </w:r>
      <w:r w:rsidRPr="005D642E">
        <w:rPr>
          <w:rtl/>
          <w:lang w:bidi="fa-IR"/>
        </w:rPr>
        <w:t xml:space="preserve"> صِرْتَ فِي </w:t>
      </w:r>
      <w:r w:rsidRPr="007C12DB">
        <w:rPr>
          <w:rStyle w:val="libFootnotenumChar"/>
          <w:rtl/>
        </w:rPr>
        <w:t>(9)</w:t>
      </w:r>
      <w:r w:rsidRPr="005D642E">
        <w:rPr>
          <w:rtl/>
          <w:lang w:bidi="fa-IR"/>
        </w:rPr>
        <w:t xml:space="preserve"> حَالٍ أُخْرى فِي صَلَاةٍ </w:t>
      </w:r>
      <w:r w:rsidRPr="007C12DB">
        <w:rPr>
          <w:rStyle w:val="libFootnotenumChar"/>
          <w:rtl/>
        </w:rPr>
        <w:t>(10)</w:t>
      </w:r>
      <w:r w:rsidRPr="005D642E">
        <w:rPr>
          <w:rtl/>
          <w:lang w:bidi="fa-IR"/>
        </w:rPr>
        <w:t xml:space="preserve"> أَوْ غَيْرِ صَلَاةٍ </w:t>
      </w:r>
      <w:r w:rsidRPr="007C12DB">
        <w:rPr>
          <w:rStyle w:val="libFootnotenumChar"/>
          <w:rFonts w:hint="cs"/>
          <w:rtl/>
        </w:rPr>
        <w:t>(</w:t>
      </w:r>
      <w:r w:rsidRPr="007C12DB">
        <w:rPr>
          <w:rStyle w:val="libFootnotenumChar"/>
          <w:rtl/>
        </w:rPr>
        <w:t>11</w:t>
      </w:r>
      <w:r w:rsidRPr="007C12DB">
        <w:rPr>
          <w:rStyle w:val="libFootnotenumChar"/>
          <w:rFonts w:hint="cs"/>
          <w:rtl/>
        </w:rPr>
        <w:t>)</w:t>
      </w:r>
      <w:r w:rsidRPr="005D642E">
        <w:rPr>
          <w:rtl/>
          <w:lang w:bidi="fa-IR"/>
        </w:rPr>
        <w:t xml:space="preserve"> ، فَشَكَكْتَ فِي بَعْضِ مَا سَمَّى </w:t>
      </w:r>
      <w:r w:rsidRPr="007C12DB">
        <w:rPr>
          <w:rStyle w:val="libFootnotenumChar"/>
          <w:rtl/>
        </w:rPr>
        <w:t>(12)</w:t>
      </w:r>
      <w:r w:rsidRPr="005D642E">
        <w:rPr>
          <w:rtl/>
          <w:lang w:bidi="fa-IR"/>
        </w:rPr>
        <w:t xml:space="preserve"> اللهُ </w:t>
      </w:r>
      <w:r w:rsidRPr="007C12DB">
        <w:rPr>
          <w:rStyle w:val="libFootnotenumChar"/>
          <w:rtl/>
        </w:rPr>
        <w:t>(13)</w:t>
      </w:r>
      <w:r w:rsidRPr="005D642E">
        <w:rPr>
          <w:rtl/>
          <w:lang w:bidi="fa-IR"/>
        </w:rPr>
        <w:t xml:space="preserve"> مِمَّا أَوْجَبَ اللهُ تَعَالى عَلَيْكَ فِيهِ وُضُوءاً ، فَلَا شَيْ‌ءَ عَلَيْكَ.</w:t>
      </w:r>
    </w:p>
    <w:p w:rsidR="00E3253D" w:rsidRPr="005D642E" w:rsidRDefault="00E3253D" w:rsidP="00E3253D">
      <w:pPr>
        <w:pStyle w:val="libNormal"/>
        <w:rPr>
          <w:rtl/>
          <w:lang w:bidi="fa-IR"/>
        </w:rPr>
      </w:pPr>
      <w:r w:rsidRPr="005D642E">
        <w:rPr>
          <w:rtl/>
          <w:lang w:bidi="fa-IR"/>
        </w:rPr>
        <w:t xml:space="preserve">وَإِنْ </w:t>
      </w:r>
      <w:r w:rsidRPr="007C12DB">
        <w:rPr>
          <w:rStyle w:val="libFootnotenumChar"/>
          <w:rtl/>
        </w:rPr>
        <w:t>(14)</w:t>
      </w:r>
      <w:r w:rsidRPr="005D642E">
        <w:rPr>
          <w:rtl/>
          <w:lang w:bidi="fa-IR"/>
        </w:rPr>
        <w:t xml:space="preserve"> شَكَكْتَ فِي مَسْحِ رَأْسِكَ وَأَصَبْتَ </w:t>
      </w:r>
      <w:r w:rsidRPr="007C12DB">
        <w:rPr>
          <w:rStyle w:val="libFootnotenumChar"/>
          <w:rtl/>
        </w:rPr>
        <w:t>(15)</w:t>
      </w:r>
      <w:r w:rsidRPr="005D642E">
        <w:rPr>
          <w:rtl/>
          <w:lang w:bidi="fa-IR"/>
        </w:rPr>
        <w:t xml:space="preserve"> فِي لِحْيَتِكَ بِلَّةً </w:t>
      </w:r>
      <w:r w:rsidRPr="007C12DB">
        <w:rPr>
          <w:rStyle w:val="libFootnotenumChar"/>
          <w:rtl/>
        </w:rPr>
        <w:t>(16)</w:t>
      </w:r>
      <w:r w:rsidRPr="005D642E">
        <w:rPr>
          <w:rtl/>
          <w:lang w:bidi="fa-IR"/>
        </w:rPr>
        <w:t xml:space="preserve"> ، فَامْسَحْ بِهَا عَلَيْهِ ، وَعَلى ظَهْرِ قَدَمَيْكَ </w:t>
      </w:r>
      <w:r w:rsidRPr="007C12DB">
        <w:rPr>
          <w:rStyle w:val="libFootnotenumChar"/>
          <w:rtl/>
        </w:rPr>
        <w:t>(17)</w:t>
      </w:r>
      <w:r w:rsidRPr="005D642E">
        <w:rPr>
          <w:rtl/>
          <w:lang w:bidi="fa-IR"/>
        </w:rPr>
        <w:t xml:space="preserve"> ، وَإِنْ </w:t>
      </w:r>
      <w:r w:rsidRPr="007C12DB">
        <w:rPr>
          <w:rStyle w:val="libFootnotenumChar"/>
          <w:rtl/>
        </w:rPr>
        <w:t>(18)</w:t>
      </w:r>
      <w:r w:rsidRPr="005D642E">
        <w:rPr>
          <w:rtl/>
          <w:lang w:bidi="fa-IR"/>
        </w:rPr>
        <w:t xml:space="preserve"> لَمْ تُصِبْ </w:t>
      </w:r>
      <w:r w:rsidRPr="007C12DB">
        <w:rPr>
          <w:rStyle w:val="libFootnotenumChar"/>
          <w:rtl/>
        </w:rPr>
        <w:t>(19)</w:t>
      </w:r>
      <w:r w:rsidRPr="005D642E">
        <w:rPr>
          <w:rtl/>
          <w:lang w:bidi="fa-IR"/>
        </w:rPr>
        <w:t xml:space="preserve"> بِلَّةً </w:t>
      </w:r>
      <w:r w:rsidRPr="007C12DB">
        <w:rPr>
          <w:rStyle w:val="libFootnotenumChar"/>
          <w:rtl/>
        </w:rPr>
        <w:t>(20)</w:t>
      </w:r>
      <w:r w:rsidRPr="005D642E">
        <w:rPr>
          <w:rtl/>
          <w:lang w:bidi="fa-IR"/>
        </w:rPr>
        <w:t xml:space="preserve"> ، فَلَا‌</w:t>
      </w:r>
      <w:r w:rsidR="007E2946">
        <w:rPr>
          <w:rFonts w:hint="cs"/>
          <w:rtl/>
          <w:lang w:bidi="fa-IR"/>
        </w:rPr>
        <w:t>........................</w:t>
      </w:r>
      <w:r w:rsidR="007E2946">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 « على وضوئك فلم تدر » بدل « على وضوء ولم تدر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بف ، جس » وحاشية « غ ، بث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ذراعيك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ى ، بث ، جس » وحاشية « غ ، بح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عليهما »</w:t>
      </w:r>
      <w:r w:rsidR="00E3253D">
        <w:rPr>
          <w:rtl/>
        </w:rPr>
        <w:t>.</w:t>
      </w:r>
    </w:p>
    <w:tbl>
      <w:tblPr>
        <w:tblStyle w:val="TableGrid"/>
        <w:bidiVisual/>
        <w:tblW w:w="0" w:type="auto"/>
        <w:tblLook w:val="04A0" w:firstRow="1" w:lastRow="0" w:firstColumn="1" w:lastColumn="0" w:noHBand="0" w:noVBand="1"/>
      </w:tblPr>
      <w:tblGrid>
        <w:gridCol w:w="4006"/>
        <w:gridCol w:w="4006"/>
      </w:tblGrid>
      <w:tr w:rsidR="00321CC0" w:rsidTr="00321CC0">
        <w:tc>
          <w:tcPr>
            <w:tcW w:w="4006" w:type="dxa"/>
          </w:tcPr>
          <w:p w:rsidR="00321CC0" w:rsidRDefault="00321CC0" w:rsidP="00E3253D">
            <w:pPr>
              <w:pStyle w:val="libFootnote0"/>
              <w:rPr>
                <w:rStyle w:val="libFootnote0Char"/>
                <w:rtl/>
              </w:rPr>
            </w:pPr>
            <w:r w:rsidRPr="0042621E">
              <w:rPr>
                <w:rStyle w:val="libFootnote0Char"/>
                <w:rtl/>
              </w:rPr>
              <w:t>(4).</w:t>
            </w:r>
            <w:r w:rsidRPr="005D642E">
              <w:rPr>
                <w:rtl/>
              </w:rPr>
              <w:t xml:space="preserve"> في « بخ » : « بما »</w:t>
            </w:r>
            <w:r>
              <w:rPr>
                <w:rtl/>
              </w:rPr>
              <w:t>.</w:t>
            </w:r>
          </w:p>
        </w:tc>
        <w:tc>
          <w:tcPr>
            <w:tcW w:w="4006" w:type="dxa"/>
          </w:tcPr>
          <w:p w:rsidR="00321CC0" w:rsidRDefault="00321CC0" w:rsidP="00E3253D">
            <w:pPr>
              <w:pStyle w:val="libFootnote0"/>
              <w:rPr>
                <w:rStyle w:val="libFootnote0Char"/>
                <w:rtl/>
              </w:rPr>
            </w:pPr>
            <w:r w:rsidRPr="0042621E">
              <w:rPr>
                <w:rStyle w:val="libFootnote0Char"/>
                <w:rtl/>
              </w:rPr>
              <w:t>(5).</w:t>
            </w:r>
            <w:r w:rsidRPr="005D642E">
              <w:rPr>
                <w:rtl/>
              </w:rPr>
              <w:t xml:space="preserve"> في حاشية « بث » : « وإذا »</w:t>
            </w:r>
            <w:r>
              <w:rPr>
                <w:rtl/>
              </w:rPr>
              <w:t>.</w:t>
            </w:r>
          </w:p>
        </w:tc>
      </w:tr>
      <w:tr w:rsidR="00321CC0" w:rsidTr="00321CC0">
        <w:tc>
          <w:tcPr>
            <w:tcW w:w="4006" w:type="dxa"/>
          </w:tcPr>
          <w:p w:rsidR="00321CC0" w:rsidRDefault="00321CC0" w:rsidP="00E3253D">
            <w:pPr>
              <w:pStyle w:val="libFootnote0"/>
              <w:rPr>
                <w:rStyle w:val="libFootnote0Char"/>
                <w:rtl/>
              </w:rPr>
            </w:pPr>
            <w:r w:rsidRPr="0042621E">
              <w:rPr>
                <w:rStyle w:val="libFootnote0Char"/>
                <w:rtl/>
              </w:rPr>
              <w:t>(6).</w:t>
            </w:r>
            <w:r w:rsidRPr="005D642E">
              <w:rPr>
                <w:rtl/>
              </w:rPr>
              <w:t xml:space="preserve"> في التهذيب : « عن »</w:t>
            </w:r>
            <w:r>
              <w:rPr>
                <w:rtl/>
              </w:rPr>
              <w:t>.</w:t>
            </w:r>
          </w:p>
        </w:tc>
        <w:tc>
          <w:tcPr>
            <w:tcW w:w="4006" w:type="dxa"/>
          </w:tcPr>
          <w:p w:rsidR="00321CC0" w:rsidRDefault="00321CC0" w:rsidP="00E3253D">
            <w:pPr>
              <w:pStyle w:val="libFootnote0"/>
              <w:rPr>
                <w:rStyle w:val="libFootnote0Char"/>
                <w:rtl/>
              </w:rPr>
            </w:pPr>
            <w:r w:rsidRPr="0042621E">
              <w:rPr>
                <w:rStyle w:val="libFootnote0Char"/>
                <w:rtl/>
              </w:rPr>
              <w:t>(7).</w:t>
            </w:r>
            <w:r w:rsidRPr="005D642E">
              <w:rPr>
                <w:rtl/>
              </w:rPr>
              <w:t xml:space="preserve"> في المرآة </w:t>
            </w:r>
            <w:r w:rsidRPr="00B60612">
              <w:rPr>
                <w:rStyle w:val="libFootnoteBoldChar"/>
                <w:rtl/>
              </w:rPr>
              <w:t>والتهذيب</w:t>
            </w:r>
            <w:r w:rsidRPr="005D642E">
              <w:rPr>
                <w:rtl/>
              </w:rPr>
              <w:t xml:space="preserve"> : + « منه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جس » : « قد »</w:t>
      </w:r>
      <w:r w:rsidR="00E3253D">
        <w:rPr>
          <w:rtl/>
        </w:rPr>
        <w:t>.</w:t>
      </w:r>
      <w:r w:rsidR="00E3253D" w:rsidRPr="005D642E">
        <w:rPr>
          <w:rtl/>
        </w:rPr>
        <w:t xml:space="preserve"> وفي الوافي </w:t>
      </w:r>
      <w:r w:rsidR="00B60612" w:rsidRPr="00B60612">
        <w:rPr>
          <w:rStyle w:val="libFootnoteBoldChar"/>
          <w:rtl/>
        </w:rPr>
        <w:t>والتهذيب</w:t>
      </w:r>
      <w:r w:rsidR="00E3253D" w:rsidRPr="005D642E">
        <w:rPr>
          <w:rtl/>
        </w:rPr>
        <w:t xml:space="preserve"> : « وقد »</w:t>
      </w:r>
      <w:r w:rsidR="00E3253D">
        <w:rPr>
          <w:rtl/>
        </w:rPr>
        <w:t>.</w:t>
      </w:r>
    </w:p>
    <w:tbl>
      <w:tblPr>
        <w:tblStyle w:val="TableGrid"/>
        <w:bidiVisual/>
        <w:tblW w:w="0" w:type="auto"/>
        <w:tblLook w:val="04A0" w:firstRow="1" w:lastRow="0" w:firstColumn="1" w:lastColumn="0" w:noHBand="0" w:noVBand="1"/>
      </w:tblPr>
      <w:tblGrid>
        <w:gridCol w:w="4006"/>
        <w:gridCol w:w="4006"/>
      </w:tblGrid>
      <w:tr w:rsidR="001604CF" w:rsidTr="001604CF">
        <w:tc>
          <w:tcPr>
            <w:tcW w:w="4006" w:type="dxa"/>
          </w:tcPr>
          <w:p w:rsidR="001604CF" w:rsidRDefault="001604CF" w:rsidP="00E3253D">
            <w:pPr>
              <w:pStyle w:val="libFootnote0"/>
              <w:rPr>
                <w:rStyle w:val="libFootnote0Char"/>
                <w:rtl/>
                <w:lang w:bidi="fa-IR"/>
              </w:rPr>
            </w:pPr>
            <w:r w:rsidRPr="0042621E">
              <w:rPr>
                <w:rStyle w:val="libFootnote0Char"/>
                <w:rtl/>
              </w:rPr>
              <w:t>(9).</w:t>
            </w:r>
            <w:r w:rsidR="00C357C2">
              <w:rPr>
                <w:rtl/>
              </w:rPr>
              <w:t xml:space="preserve"> في «بخ»وحاشية</w:t>
            </w:r>
            <w:r w:rsidRPr="005D642E">
              <w:rPr>
                <w:rtl/>
              </w:rPr>
              <w:t xml:space="preserve">« ظ ، جن » </w:t>
            </w:r>
            <w:r w:rsidRPr="000D749A">
              <w:rPr>
                <w:rStyle w:val="libFootnoteBoldChar"/>
                <w:rtl/>
              </w:rPr>
              <w:t>والوافي</w:t>
            </w:r>
            <w:r w:rsidRPr="005D642E">
              <w:rPr>
                <w:rtl/>
              </w:rPr>
              <w:t xml:space="preserve"> : « إلى »</w:t>
            </w:r>
            <w:r>
              <w:rPr>
                <w:rtl/>
              </w:rPr>
              <w:t>.</w:t>
            </w:r>
          </w:p>
        </w:tc>
        <w:tc>
          <w:tcPr>
            <w:tcW w:w="4006" w:type="dxa"/>
          </w:tcPr>
          <w:p w:rsidR="001604CF" w:rsidRDefault="001604CF" w:rsidP="00E3253D">
            <w:pPr>
              <w:pStyle w:val="libFootnote0"/>
              <w:rPr>
                <w:rStyle w:val="libFootnote0Char"/>
                <w:rtl/>
                <w:lang w:bidi="fa-IR"/>
              </w:rPr>
            </w:pPr>
            <w:r w:rsidRPr="0042621E">
              <w:rPr>
                <w:rStyle w:val="libFootnote0Char"/>
                <w:rtl/>
              </w:rPr>
              <w:t>(10).</w:t>
            </w:r>
            <w:r w:rsidRPr="005D642E">
              <w:rPr>
                <w:rtl/>
              </w:rPr>
              <w:t xml:space="preserve"> في التهذيب : « الصلاة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التهذيب : « أو في غيرها » بدل « أو غير صلاة »</w:t>
      </w:r>
      <w:r w:rsidR="00E3253D">
        <w:rPr>
          <w:rtl/>
        </w:rPr>
        <w:t>.</w:t>
      </w:r>
    </w:p>
    <w:tbl>
      <w:tblPr>
        <w:tblStyle w:val="TableGrid"/>
        <w:bidiVisual/>
        <w:tblW w:w="0" w:type="auto"/>
        <w:tblLook w:val="04A0" w:firstRow="1" w:lastRow="0" w:firstColumn="1" w:lastColumn="0" w:noHBand="0" w:noVBand="1"/>
      </w:tblPr>
      <w:tblGrid>
        <w:gridCol w:w="4006"/>
        <w:gridCol w:w="4006"/>
      </w:tblGrid>
      <w:tr w:rsidR="006912BC" w:rsidTr="006912BC">
        <w:tc>
          <w:tcPr>
            <w:tcW w:w="4006" w:type="dxa"/>
          </w:tcPr>
          <w:p w:rsidR="006912BC" w:rsidRDefault="006912BC" w:rsidP="00E3253D">
            <w:pPr>
              <w:pStyle w:val="libFootnote0"/>
              <w:rPr>
                <w:rStyle w:val="libFootnote0Char"/>
                <w:rtl/>
                <w:lang w:bidi="fa-IR"/>
              </w:rPr>
            </w:pPr>
            <w:r w:rsidRPr="0042621E">
              <w:rPr>
                <w:rStyle w:val="libFootnote0Char"/>
                <w:rtl/>
              </w:rPr>
              <w:t>(12).</w:t>
            </w:r>
            <w:r w:rsidRPr="005D642E">
              <w:rPr>
                <w:rtl/>
              </w:rPr>
              <w:t xml:space="preserve"> في التهذيب : « قد سمّى »</w:t>
            </w:r>
            <w:r>
              <w:rPr>
                <w:rtl/>
              </w:rPr>
              <w:t>.</w:t>
            </w:r>
          </w:p>
        </w:tc>
        <w:tc>
          <w:tcPr>
            <w:tcW w:w="4006" w:type="dxa"/>
          </w:tcPr>
          <w:p w:rsidR="006912BC" w:rsidRDefault="006912BC" w:rsidP="00E3253D">
            <w:pPr>
              <w:pStyle w:val="libFootnote0"/>
              <w:rPr>
                <w:rStyle w:val="libFootnote0Char"/>
                <w:rtl/>
                <w:lang w:bidi="fa-IR"/>
              </w:rPr>
            </w:pPr>
            <w:r w:rsidRPr="0042621E">
              <w:rPr>
                <w:rStyle w:val="libFootnote0Char"/>
                <w:rtl/>
              </w:rPr>
              <w:t>(13).</w:t>
            </w:r>
            <w:r>
              <w:rPr>
                <w:rtl/>
              </w:rPr>
              <w:t xml:space="preserve"> </w:t>
            </w:r>
            <w:r w:rsidRPr="005D642E">
              <w:rPr>
                <w:rtl/>
              </w:rPr>
              <w:t>في « ظ » : + « وضوء »</w:t>
            </w:r>
            <w:r>
              <w:rPr>
                <w:rtl/>
              </w:rPr>
              <w:t>.</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التهذيب : « وضوءه لاشي‌ء عليك فيه فإن » بدل « وضوءاً فلا شي‌ء عليك وإن »</w:t>
      </w:r>
      <w:r w:rsidR="00E3253D">
        <w:rPr>
          <w:rtl/>
        </w:rPr>
        <w:t>.</w:t>
      </w:r>
    </w:p>
    <w:tbl>
      <w:tblPr>
        <w:tblStyle w:val="TableGrid"/>
        <w:bidiVisual/>
        <w:tblW w:w="0" w:type="auto"/>
        <w:tblLook w:val="04A0" w:firstRow="1" w:lastRow="0" w:firstColumn="1" w:lastColumn="0" w:noHBand="0" w:noVBand="1"/>
      </w:tblPr>
      <w:tblGrid>
        <w:gridCol w:w="4006"/>
        <w:gridCol w:w="4006"/>
      </w:tblGrid>
      <w:tr w:rsidR="00B80C49" w:rsidTr="00B80C49">
        <w:tc>
          <w:tcPr>
            <w:tcW w:w="4006" w:type="dxa"/>
          </w:tcPr>
          <w:p w:rsidR="00B80C49" w:rsidRDefault="00B80C49" w:rsidP="00E3253D">
            <w:pPr>
              <w:pStyle w:val="libFootnote0"/>
              <w:rPr>
                <w:rStyle w:val="libFootnote0Char"/>
                <w:rtl/>
                <w:lang w:bidi="fa-IR"/>
              </w:rPr>
            </w:pPr>
            <w:r w:rsidRPr="0042621E">
              <w:rPr>
                <w:rStyle w:val="libFootnote0Char"/>
                <w:rtl/>
              </w:rPr>
              <w:t>(15).</w:t>
            </w:r>
            <w:r w:rsidRPr="005D642E">
              <w:rPr>
                <w:rtl/>
              </w:rPr>
              <w:t xml:space="preserve"> في التهذيب : « فأصبت »</w:t>
            </w:r>
            <w:r>
              <w:rPr>
                <w:rtl/>
              </w:rPr>
              <w:t>.</w:t>
            </w:r>
          </w:p>
        </w:tc>
        <w:tc>
          <w:tcPr>
            <w:tcW w:w="4006" w:type="dxa"/>
          </w:tcPr>
          <w:p w:rsidR="00B80C49" w:rsidRDefault="00B80C49" w:rsidP="00E3253D">
            <w:pPr>
              <w:pStyle w:val="libFootnote0"/>
              <w:rPr>
                <w:rStyle w:val="libFootnote0Char"/>
                <w:rtl/>
                <w:lang w:bidi="fa-IR"/>
              </w:rPr>
            </w:pPr>
            <w:r w:rsidRPr="005D642E">
              <w:rPr>
                <w:rtl/>
              </w:rPr>
              <w:t>(1</w:t>
            </w:r>
            <w:r>
              <w:rPr>
                <w:rtl/>
              </w:rPr>
              <w:t>6)</w:t>
            </w:r>
            <w:r w:rsidRPr="005D642E">
              <w:rPr>
                <w:rtl/>
              </w:rPr>
              <w:t xml:space="preserve"> في التهذيب : « بللاً »</w:t>
            </w:r>
            <w:r>
              <w:rPr>
                <w:rtl/>
              </w:rPr>
              <w:t>.</w:t>
            </w:r>
          </w:p>
        </w:tc>
      </w:tr>
    </w:tbl>
    <w:p w:rsidR="00E3253D" w:rsidRPr="005D642E" w:rsidRDefault="00E3253D" w:rsidP="006740DC">
      <w:pPr>
        <w:pStyle w:val="libFootnote0"/>
        <w:rPr>
          <w:rtl/>
          <w:lang w:bidi="fa-IR"/>
        </w:rPr>
      </w:pPr>
      <w:r w:rsidRPr="005D642E">
        <w:rPr>
          <w:rtl/>
        </w:rPr>
        <w:t>(1</w:t>
      </w:r>
      <w:r>
        <w:rPr>
          <w:rtl/>
        </w:rPr>
        <w:t>7)</w:t>
      </w:r>
      <w:r w:rsidRPr="005D642E">
        <w:rPr>
          <w:rtl/>
        </w:rPr>
        <w:t xml:space="preserve"> في </w:t>
      </w:r>
      <w:r w:rsidRPr="002F4D34">
        <w:rPr>
          <w:rStyle w:val="libFootnoteBoldChar"/>
          <w:rtl/>
        </w:rPr>
        <w:t>مشرق الشمسين</w:t>
      </w:r>
      <w:r w:rsidRPr="005D642E">
        <w:rPr>
          <w:rtl/>
        </w:rPr>
        <w:t xml:space="preserve"> ، ص 165 : « قد دلّ هذا الحديث على أنّ من شكّ بعد انصرافه في مسح رأسه وقد بقي في‌شعره بلل فعليه مسح الرأس والرجلين بذلك البلل ، والظاهر حمل هذا على الاستحباب ، والله أعلم »</w:t>
      </w:r>
      <w:r>
        <w:rPr>
          <w:rtl/>
        </w:rPr>
        <w:t>.</w:t>
      </w:r>
      <w:r w:rsidRPr="005D642E">
        <w:rPr>
          <w:rtl/>
        </w:rPr>
        <w:t xml:space="preserve"> وقال في </w:t>
      </w:r>
      <w:r w:rsidRPr="002F4D34">
        <w:rPr>
          <w:rStyle w:val="libFootnoteBoldChar"/>
          <w:rtl/>
        </w:rPr>
        <w:t>الوافي</w:t>
      </w:r>
      <w:r w:rsidRPr="005D642E">
        <w:rPr>
          <w:rtl/>
        </w:rPr>
        <w:t xml:space="preserve"> : «</w:t>
      </w:r>
      <w:r>
        <w:rPr>
          <w:rtl/>
        </w:rPr>
        <w:t xml:space="preserve"> ..</w:t>
      </w:r>
      <w:r w:rsidRPr="005D642E">
        <w:rPr>
          <w:rtl/>
        </w:rPr>
        <w:t>. ينبغي حمله على الاستحباب وتحصيل الاطمينان دون الإيجاب ، وكذلك في الغسل إذا شكّ بعد الانصراف »</w:t>
      </w:r>
      <w:r>
        <w:rPr>
          <w:rtl/>
        </w:rPr>
        <w:t>.</w:t>
      </w:r>
      <w:r w:rsidR="006740DC">
        <w:rPr>
          <w:rFonts w:hint="cs"/>
          <w:rtl/>
        </w:rPr>
        <w:t xml:space="preserve">            </w:t>
      </w:r>
      <w:r w:rsidR="00365424">
        <w:rPr>
          <w:rFonts w:hint="cs"/>
          <w:rtl/>
        </w:rPr>
        <w:t xml:space="preserve">                                </w:t>
      </w:r>
      <w:r w:rsidR="006740DC">
        <w:rPr>
          <w:rFonts w:hint="cs"/>
          <w:rtl/>
        </w:rPr>
        <w:t xml:space="preserve">  </w:t>
      </w:r>
      <w:r w:rsidRPr="005D642E">
        <w:rPr>
          <w:rtl/>
        </w:rPr>
        <w:t>(1</w:t>
      </w:r>
      <w:r>
        <w:rPr>
          <w:rtl/>
        </w:rPr>
        <w:t>8)</w:t>
      </w:r>
      <w:r w:rsidRPr="005D642E">
        <w:rPr>
          <w:rtl/>
        </w:rPr>
        <w:t xml:space="preserve"> في « جس » </w:t>
      </w:r>
      <w:r w:rsidR="00B60612" w:rsidRPr="00B60612">
        <w:rPr>
          <w:rStyle w:val="libFootnoteBoldChar"/>
          <w:rtl/>
        </w:rPr>
        <w:t>والتهذيب</w:t>
      </w:r>
      <w:r w:rsidRPr="005D642E">
        <w:rPr>
          <w:rtl/>
        </w:rPr>
        <w:t xml:space="preserve"> : « فإن »</w:t>
      </w:r>
      <w:r>
        <w:rPr>
          <w:rtl/>
        </w:rPr>
        <w:t>.</w:t>
      </w:r>
    </w:p>
    <w:tbl>
      <w:tblPr>
        <w:tblStyle w:val="TableGrid"/>
        <w:bidiVisual/>
        <w:tblW w:w="0" w:type="auto"/>
        <w:tblLook w:val="04A0" w:firstRow="1" w:lastRow="0" w:firstColumn="1" w:lastColumn="0" w:noHBand="0" w:noVBand="1"/>
      </w:tblPr>
      <w:tblGrid>
        <w:gridCol w:w="4006"/>
        <w:gridCol w:w="4006"/>
      </w:tblGrid>
      <w:tr w:rsidR="006740DC" w:rsidTr="006740DC">
        <w:tc>
          <w:tcPr>
            <w:tcW w:w="4006" w:type="dxa"/>
          </w:tcPr>
          <w:p w:rsidR="006740DC" w:rsidRDefault="006740DC" w:rsidP="00E3253D">
            <w:pPr>
              <w:pStyle w:val="libFootnote0"/>
              <w:rPr>
                <w:rtl/>
              </w:rPr>
            </w:pPr>
            <w:r w:rsidRPr="005D642E">
              <w:rPr>
                <w:rtl/>
              </w:rPr>
              <w:t>(1</w:t>
            </w:r>
            <w:r>
              <w:rPr>
                <w:rtl/>
              </w:rPr>
              <w:t>9)</w:t>
            </w:r>
            <w:r w:rsidRPr="005D642E">
              <w:rPr>
                <w:rtl/>
              </w:rPr>
              <w:t xml:space="preserve"> في « بح » : « لم تصبه »</w:t>
            </w:r>
            <w:r>
              <w:rPr>
                <w:rtl/>
              </w:rPr>
              <w:t>.</w:t>
            </w:r>
          </w:p>
        </w:tc>
        <w:tc>
          <w:tcPr>
            <w:tcW w:w="4006" w:type="dxa"/>
          </w:tcPr>
          <w:p w:rsidR="006740DC" w:rsidRDefault="006740DC" w:rsidP="00E3253D">
            <w:pPr>
              <w:pStyle w:val="libFootnote0"/>
              <w:rPr>
                <w:rtl/>
              </w:rPr>
            </w:pPr>
            <w:r>
              <w:rPr>
                <w:rtl/>
              </w:rPr>
              <w:t>(20)</w:t>
            </w:r>
            <w:r w:rsidRPr="005D642E">
              <w:rPr>
                <w:rtl/>
              </w:rPr>
              <w:t xml:space="preserve"> في التهذيب : « بللاً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تَنْقُضِ </w:t>
      </w:r>
      <w:r w:rsidRPr="007C12DB">
        <w:rPr>
          <w:rStyle w:val="libFootnotenumChar"/>
          <w:rtl/>
        </w:rPr>
        <w:t>(1)</w:t>
      </w:r>
      <w:r w:rsidRPr="005D642E">
        <w:rPr>
          <w:rtl/>
          <w:lang w:bidi="fa-IR"/>
        </w:rPr>
        <w:t xml:space="preserve"> الْوُضُوءَ بِالشَّكِّ ، وَامْضِ فِي صَلَاتِكَ ، وَإِنْ تَيَقَّنْتَ أَنَّكَ لَمْ تُتِمَّ وُضُوءَكَ ، فَأَعِدْ عَلى مَا تَرَكْتَ يَقِيناً حَتّى تَأْتِيَ عَلَى الْوُضُوءِ »</w:t>
      </w:r>
      <w:r>
        <w:rPr>
          <w:rtl/>
          <w:lang w:bidi="fa-IR"/>
        </w:rPr>
        <w:t>.</w:t>
      </w:r>
    </w:p>
    <w:p w:rsidR="00E3253D" w:rsidRPr="005D642E" w:rsidRDefault="00E3253D" w:rsidP="00E3253D">
      <w:pPr>
        <w:pStyle w:val="libNormal"/>
        <w:rPr>
          <w:rtl/>
          <w:lang w:bidi="fa-IR"/>
        </w:rPr>
      </w:pPr>
      <w:r w:rsidRPr="005D642E">
        <w:rPr>
          <w:rtl/>
          <w:lang w:bidi="fa-IR"/>
        </w:rPr>
        <w:t xml:space="preserve">قَالَ حَمَّادٌ </w:t>
      </w:r>
      <w:r w:rsidRPr="007C12DB">
        <w:rPr>
          <w:rStyle w:val="libFootnotenumChar"/>
          <w:rtl/>
        </w:rPr>
        <w:t>(2)</w:t>
      </w:r>
      <w:r w:rsidRPr="005D642E">
        <w:rPr>
          <w:rtl/>
          <w:lang w:bidi="fa-IR"/>
        </w:rPr>
        <w:t xml:space="preserve"> وَقَالَ </w:t>
      </w:r>
      <w:r w:rsidRPr="007C12DB">
        <w:rPr>
          <w:rStyle w:val="libFootnotenumChar"/>
          <w:rtl/>
        </w:rPr>
        <w:t>(3)</w:t>
      </w:r>
      <w:r w:rsidRPr="005D642E">
        <w:rPr>
          <w:rtl/>
          <w:lang w:bidi="fa-IR"/>
        </w:rPr>
        <w:t xml:space="preserve"> حَرِيزٌ : قَالَ زُرَارَةُ : قُلْتُ لَهُ : رَجُلٌ تَرَكَ بَعْضَ ذِرَاعِهِ </w:t>
      </w:r>
      <w:r w:rsidRPr="007C12DB">
        <w:rPr>
          <w:rStyle w:val="libFootnotenumChar"/>
          <w:rtl/>
        </w:rPr>
        <w:t>(4)</w:t>
      </w:r>
      <w:r w:rsidRPr="005D642E">
        <w:rPr>
          <w:rtl/>
          <w:lang w:bidi="fa-IR"/>
        </w:rPr>
        <w:t xml:space="preserve"> ، أَوْ بَعْضَ جَسَدِهِ فِي </w:t>
      </w:r>
      <w:r w:rsidRPr="007C12DB">
        <w:rPr>
          <w:rStyle w:val="libFootnotenumChar"/>
          <w:rtl/>
        </w:rPr>
        <w:t>(5)</w:t>
      </w:r>
      <w:r w:rsidRPr="005D642E">
        <w:rPr>
          <w:rtl/>
          <w:lang w:bidi="fa-IR"/>
        </w:rPr>
        <w:t xml:space="preserve"> غُسْلِ الْجَنَابَةِ</w:t>
      </w:r>
      <w:r>
        <w:rPr>
          <w:rtl/>
          <w:lang w:bidi="fa-IR"/>
        </w:rPr>
        <w:t>؟</w:t>
      </w:r>
    </w:p>
    <w:p w:rsidR="00E3253D" w:rsidRPr="005D642E" w:rsidRDefault="00E3253D" w:rsidP="00E3253D">
      <w:pPr>
        <w:pStyle w:val="libNormal"/>
        <w:rPr>
          <w:rtl/>
          <w:lang w:bidi="fa-IR"/>
        </w:rPr>
      </w:pPr>
      <w:r w:rsidRPr="005D642E">
        <w:rPr>
          <w:rtl/>
          <w:lang w:bidi="fa-IR"/>
        </w:rPr>
        <w:t xml:space="preserve">فَقَالَ : « إِذَا شَكَّ ، ثُمَّ </w:t>
      </w:r>
      <w:r w:rsidRPr="007C12DB">
        <w:rPr>
          <w:rStyle w:val="libFootnotenumChar"/>
          <w:rtl/>
        </w:rPr>
        <w:t>(6)</w:t>
      </w:r>
      <w:r w:rsidRPr="005D642E">
        <w:rPr>
          <w:rtl/>
          <w:lang w:bidi="fa-IR"/>
        </w:rPr>
        <w:t xml:space="preserve"> كَانَتْ بِهِ بِلَّةٌ وَهُوَ فِي صَلَاتِهِ ، مَسَحَ بِهَا عَلَيْهِ ، وَإِنْ كَانَ اسْتَيْقَنَ </w:t>
      </w:r>
      <w:r w:rsidRPr="007C12DB">
        <w:rPr>
          <w:rStyle w:val="libFootnotenumChar"/>
          <w:rtl/>
        </w:rPr>
        <w:t>(7)</w:t>
      </w:r>
      <w:r w:rsidRPr="005D642E">
        <w:rPr>
          <w:rtl/>
          <w:lang w:bidi="fa-IR"/>
        </w:rPr>
        <w:t xml:space="preserve"> ، رَجَعَ وَأَعَادَ </w:t>
      </w:r>
      <w:r w:rsidRPr="007C12DB">
        <w:rPr>
          <w:rStyle w:val="libFootnotenumChar"/>
          <w:rtl/>
        </w:rPr>
        <w:t>(8)</w:t>
      </w:r>
      <w:r w:rsidRPr="005D642E">
        <w:rPr>
          <w:rtl/>
          <w:lang w:bidi="fa-IR"/>
        </w:rPr>
        <w:t xml:space="preserve"> عَلَيْهِ الْمَاءَ </w:t>
      </w:r>
      <w:r w:rsidRPr="007C12DB">
        <w:rPr>
          <w:rStyle w:val="libFootnotenumChar"/>
          <w:rtl/>
        </w:rPr>
        <w:t>(9)</w:t>
      </w:r>
      <w:r w:rsidRPr="005D642E">
        <w:rPr>
          <w:rtl/>
          <w:lang w:bidi="fa-IR"/>
        </w:rPr>
        <w:t xml:space="preserve"> مَا لَمْ يُصِبْ بِلَّةً ، فَإِنْ دَخَلَهُ الشَّكُّ وَقَدْ دَخَلَ فِي حَالٍ أُخْرى </w:t>
      </w:r>
      <w:r w:rsidRPr="007C12DB">
        <w:rPr>
          <w:rStyle w:val="libFootnotenumChar"/>
          <w:rtl/>
        </w:rPr>
        <w:t>(10)</w:t>
      </w:r>
      <w:r w:rsidRPr="005D642E">
        <w:rPr>
          <w:rtl/>
          <w:lang w:bidi="fa-IR"/>
        </w:rPr>
        <w:t xml:space="preserve"> ، فَلْيَمْضِ فِي صَلَاتِهِ ، وَلَاشَيْ‌ءَ عَلَيْهِ ، وَإِنِ اسْتَبَانَ </w:t>
      </w:r>
      <w:r w:rsidRPr="007C12DB">
        <w:rPr>
          <w:rStyle w:val="libFootnotenumChar"/>
          <w:rtl/>
        </w:rPr>
        <w:t>(11)</w:t>
      </w:r>
      <w:r w:rsidRPr="005D642E">
        <w:rPr>
          <w:rtl/>
          <w:lang w:bidi="fa-IR"/>
        </w:rPr>
        <w:t xml:space="preserve"> ، رَجَعَ وَأَعَادَ </w:t>
      </w:r>
      <w:r w:rsidRPr="007C12DB">
        <w:rPr>
          <w:rStyle w:val="libFootnotenumChar"/>
          <w:rtl/>
        </w:rPr>
        <w:t>(12)</w:t>
      </w:r>
      <w:r w:rsidRPr="005D642E">
        <w:rPr>
          <w:rtl/>
          <w:lang w:bidi="fa-IR"/>
        </w:rPr>
        <w:t xml:space="preserve"> الْمَاءَ عَلَيْهِ </w:t>
      </w:r>
      <w:r w:rsidRPr="007C12DB">
        <w:rPr>
          <w:rStyle w:val="libFootnotenumChar"/>
          <w:rtl/>
        </w:rPr>
        <w:t>(13)</w:t>
      </w:r>
      <w:r w:rsidRPr="005D642E">
        <w:rPr>
          <w:rtl/>
          <w:lang w:bidi="fa-IR"/>
        </w:rPr>
        <w:t xml:space="preserve"> ، وَإِنْ </w:t>
      </w:r>
      <w:r w:rsidRPr="007C12DB">
        <w:rPr>
          <w:rStyle w:val="libFootnotenumChar"/>
          <w:rtl/>
        </w:rPr>
        <w:t>(14)</w:t>
      </w:r>
      <w:r w:rsidRPr="005D642E">
        <w:rPr>
          <w:rtl/>
          <w:lang w:bidi="fa-IR"/>
        </w:rPr>
        <w:t xml:space="preserve"> رَآهُ وَبِهِ بِلَّةٌ ، مَسَحَ عَلَيْهِ ، وَأَعَادَ الصَّلَاةَ بِاسْتِيقَانٍ ، وَإِنْ كَانَ شَاكّاً ، فَلَيْسَ عَلَيْهِ فِي شَكِّهِ شَيْ‌ءٌ ، فَلْيَمْضِ فِي صَلَاتِهِ »</w:t>
      </w:r>
      <w:r>
        <w:rPr>
          <w:rtl/>
          <w:lang w:bidi="fa-IR"/>
        </w:rPr>
        <w:t>.</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Normal"/>
        <w:rPr>
          <w:rtl/>
          <w:lang w:bidi="fa-IR"/>
        </w:rPr>
      </w:pPr>
      <w:r w:rsidRPr="003913CB">
        <w:rPr>
          <w:rtl/>
        </w:rPr>
        <w:t>3961</w:t>
      </w:r>
      <w:r w:rsidRPr="00246318">
        <w:rPr>
          <w:rStyle w:val="libBold2Char"/>
          <w:rtl/>
        </w:rPr>
        <w:t xml:space="preserve"> / 3.</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w:t>
      </w:r>
      <w:r w:rsidRPr="007C12DB">
        <w:rPr>
          <w:rStyle w:val="libFootnotenumChar"/>
          <w:rtl/>
        </w:rPr>
        <w:t>(16)</w:t>
      </w:r>
      <w:r w:rsidRPr="005D642E">
        <w:rPr>
          <w:rtl/>
          <w:lang w:bidi="fa-IR"/>
        </w:rPr>
        <w:t xml:space="preserve"> ذَكَرْتَ</w:t>
      </w:r>
      <w:r>
        <w:rPr>
          <w:rtl/>
          <w:lang w:bidi="fa-IR"/>
        </w:rPr>
        <w:t xml:space="preserve"> </w:t>
      </w:r>
      <w:r w:rsidR="007642BC">
        <w:rPr>
          <w:rtl/>
          <w:lang w:bidi="fa-IR"/>
        </w:rPr>
        <w:t>-</w:t>
      </w:r>
      <w:r>
        <w:rPr>
          <w:rtl/>
          <w:lang w:bidi="fa-IR"/>
        </w:rPr>
        <w:t xml:space="preserve"> </w:t>
      </w:r>
      <w:r w:rsidRPr="005D642E">
        <w:rPr>
          <w:rtl/>
          <w:lang w:bidi="fa-IR"/>
        </w:rPr>
        <w:t>وَأَنْتَ فِي صَلَاتِكَ</w:t>
      </w:r>
      <w:r>
        <w:rPr>
          <w:rtl/>
          <w:lang w:bidi="fa-IR"/>
        </w:rPr>
        <w:t xml:space="preserve"> </w:t>
      </w:r>
      <w:r w:rsidR="007642BC">
        <w:rPr>
          <w:rtl/>
          <w:lang w:bidi="fa-IR"/>
        </w:rPr>
        <w:t>-</w:t>
      </w:r>
      <w:r>
        <w:rPr>
          <w:rtl/>
          <w:lang w:bidi="fa-IR"/>
        </w:rPr>
        <w:t xml:space="preserve"> </w:t>
      </w:r>
      <w:r w:rsidRPr="005D642E">
        <w:rPr>
          <w:rtl/>
          <w:lang w:bidi="fa-IR"/>
        </w:rPr>
        <w:t xml:space="preserve">أَنَّكَ قَدْ </w:t>
      </w:r>
      <w:r w:rsidRPr="007C12DB">
        <w:rPr>
          <w:rStyle w:val="libFootnotenumChar"/>
          <w:rtl/>
        </w:rPr>
        <w:t>(17)</w:t>
      </w:r>
      <w:r w:rsidRPr="005D642E">
        <w:rPr>
          <w:rtl/>
          <w:lang w:bidi="fa-IR"/>
        </w:rPr>
        <w:t xml:space="preserve"> تَرَكْتَ شَيْئاً‌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 « فلا يُنقص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معلّق على صدر السند ، وينسحب إليه الطريقان المتقدّمان.</w:t>
      </w:r>
    </w:p>
    <w:tbl>
      <w:tblPr>
        <w:tblStyle w:val="TableGrid"/>
        <w:bidiVisual/>
        <w:tblW w:w="0" w:type="auto"/>
        <w:tblLook w:val="04A0" w:firstRow="1" w:lastRow="0" w:firstColumn="1" w:lastColumn="0" w:noHBand="0" w:noVBand="1"/>
      </w:tblPr>
      <w:tblGrid>
        <w:gridCol w:w="4006"/>
        <w:gridCol w:w="4006"/>
      </w:tblGrid>
      <w:tr w:rsidR="006768C3" w:rsidTr="006768C3">
        <w:tc>
          <w:tcPr>
            <w:tcW w:w="4006" w:type="dxa"/>
          </w:tcPr>
          <w:p w:rsidR="006768C3" w:rsidRDefault="006768C3" w:rsidP="00E3253D">
            <w:pPr>
              <w:pStyle w:val="libFootnote0"/>
              <w:rPr>
                <w:rStyle w:val="libFootnote0Char"/>
                <w:rtl/>
              </w:rPr>
            </w:pPr>
            <w:r w:rsidRPr="0042621E">
              <w:rPr>
                <w:rStyle w:val="libFootnote0Char"/>
                <w:rtl/>
              </w:rPr>
              <w:t>(3).</w:t>
            </w:r>
            <w:r w:rsidRPr="005D642E">
              <w:rPr>
                <w:rtl/>
              </w:rPr>
              <w:t xml:space="preserve"> في التهذيب : « قال » من دون الواو.</w:t>
            </w:r>
          </w:p>
        </w:tc>
        <w:tc>
          <w:tcPr>
            <w:tcW w:w="4006" w:type="dxa"/>
          </w:tcPr>
          <w:p w:rsidR="006768C3" w:rsidRDefault="006768C3" w:rsidP="00E3253D">
            <w:pPr>
              <w:pStyle w:val="libFootnote0"/>
              <w:rPr>
                <w:rStyle w:val="libFootnote0Char"/>
                <w:rtl/>
              </w:rPr>
            </w:pPr>
            <w:r w:rsidRPr="0042621E">
              <w:rPr>
                <w:rStyle w:val="libFootnote0Char"/>
                <w:rtl/>
              </w:rPr>
              <w:t>(4).</w:t>
            </w:r>
            <w:r w:rsidRPr="005D642E">
              <w:rPr>
                <w:rtl/>
              </w:rPr>
              <w:t xml:space="preserve"> في « جس » : « ذراعيه »</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وحاشية « ظ ، بح » </w:t>
      </w:r>
      <w:r w:rsidR="00B60612" w:rsidRPr="00B60612">
        <w:rPr>
          <w:rStyle w:val="libFootnoteBoldChar"/>
          <w:rtl/>
        </w:rPr>
        <w:t>والتهذيب</w:t>
      </w:r>
      <w:r w:rsidR="00E3253D" w:rsidRPr="005D642E">
        <w:rPr>
          <w:rtl/>
        </w:rPr>
        <w:t xml:space="preserve"> : « من »</w:t>
      </w:r>
      <w:r w:rsidR="00E3253D">
        <w:rPr>
          <w:rtl/>
        </w:rPr>
        <w:t>.</w:t>
      </w:r>
    </w:p>
    <w:tbl>
      <w:tblPr>
        <w:tblStyle w:val="TableGrid"/>
        <w:bidiVisual/>
        <w:tblW w:w="0" w:type="auto"/>
        <w:tblLook w:val="04A0" w:firstRow="1" w:lastRow="0" w:firstColumn="1" w:lastColumn="0" w:noHBand="0" w:noVBand="1"/>
      </w:tblPr>
      <w:tblGrid>
        <w:gridCol w:w="4006"/>
        <w:gridCol w:w="4006"/>
      </w:tblGrid>
      <w:tr w:rsidR="008D5DE0" w:rsidTr="008D5DE0">
        <w:tc>
          <w:tcPr>
            <w:tcW w:w="4006" w:type="dxa"/>
          </w:tcPr>
          <w:p w:rsidR="008D5DE0" w:rsidRDefault="008D5DE0" w:rsidP="00E3253D">
            <w:pPr>
              <w:pStyle w:val="libFootnote0"/>
              <w:rPr>
                <w:rStyle w:val="libFootnote0Char"/>
                <w:rtl/>
                <w:lang w:bidi="fa-IR"/>
              </w:rPr>
            </w:pPr>
            <w:r w:rsidRPr="0042621E">
              <w:rPr>
                <w:rStyle w:val="libFootnote0Char"/>
                <w:rtl/>
              </w:rPr>
              <w:t>(6).</w:t>
            </w:r>
            <w:r w:rsidRPr="005D642E">
              <w:rPr>
                <w:rtl/>
              </w:rPr>
              <w:t xml:space="preserve"> في « جس » </w:t>
            </w:r>
            <w:r w:rsidRPr="00B60612">
              <w:rPr>
                <w:rStyle w:val="libFootnoteBoldChar"/>
                <w:rtl/>
              </w:rPr>
              <w:t>والتهذيب</w:t>
            </w:r>
            <w:r w:rsidRPr="005D642E">
              <w:rPr>
                <w:rtl/>
              </w:rPr>
              <w:t xml:space="preserve"> : « </w:t>
            </w:r>
            <w:r>
              <w:rPr>
                <w:rtl/>
              </w:rPr>
              <w:t>و »</w:t>
            </w:r>
          </w:p>
        </w:tc>
        <w:tc>
          <w:tcPr>
            <w:tcW w:w="4006" w:type="dxa"/>
          </w:tcPr>
          <w:p w:rsidR="008D5DE0" w:rsidRDefault="00D35D35" w:rsidP="00E3253D">
            <w:pPr>
              <w:pStyle w:val="libFootnote0"/>
              <w:rPr>
                <w:rStyle w:val="libFootnote0Char"/>
                <w:rtl/>
                <w:lang w:bidi="fa-IR"/>
              </w:rPr>
            </w:pPr>
            <w:r w:rsidRPr="0042621E">
              <w:rPr>
                <w:rStyle w:val="libFootnote0Char"/>
                <w:rtl/>
              </w:rPr>
              <w:t>(7).</w:t>
            </w:r>
            <w:r w:rsidRPr="005D642E">
              <w:rPr>
                <w:rtl/>
              </w:rPr>
              <w:t xml:space="preserve"> في « بف » : « قد استيقن »</w:t>
            </w:r>
            <w:r>
              <w:rPr>
                <w:rtl/>
              </w:rPr>
              <w:t>.</w:t>
            </w:r>
          </w:p>
        </w:tc>
      </w:tr>
      <w:tr w:rsidR="008D5DE0" w:rsidTr="008D5DE0">
        <w:tc>
          <w:tcPr>
            <w:tcW w:w="4006" w:type="dxa"/>
          </w:tcPr>
          <w:p w:rsidR="008D5DE0" w:rsidRDefault="00D35D35" w:rsidP="00E3253D">
            <w:pPr>
              <w:pStyle w:val="libFootnote0"/>
              <w:rPr>
                <w:rStyle w:val="libFootnote0Char"/>
                <w:rtl/>
                <w:lang w:bidi="fa-IR"/>
              </w:rPr>
            </w:pPr>
            <w:r w:rsidRPr="0042621E">
              <w:rPr>
                <w:rStyle w:val="libFootnote0Char"/>
                <w:rtl/>
              </w:rPr>
              <w:t>(8).</w:t>
            </w:r>
            <w:r>
              <w:rPr>
                <w:rtl/>
              </w:rPr>
              <w:t xml:space="preserve"> في «</w:t>
            </w:r>
            <w:r>
              <w:rPr>
                <w:rFonts w:hint="cs"/>
                <w:rtl/>
              </w:rPr>
              <w:t xml:space="preserve"> </w:t>
            </w:r>
            <w:r>
              <w:rPr>
                <w:rtl/>
              </w:rPr>
              <w:t>ظ،بح،جح،</w:t>
            </w:r>
            <w:r w:rsidRPr="005D642E">
              <w:rPr>
                <w:rtl/>
              </w:rPr>
              <w:t xml:space="preserve">جس » </w:t>
            </w:r>
            <w:r w:rsidRPr="00B60612">
              <w:rPr>
                <w:rStyle w:val="libFootnoteBoldChar"/>
                <w:rtl/>
              </w:rPr>
              <w:t>والتهذيب</w:t>
            </w:r>
            <w:r w:rsidRPr="005D642E">
              <w:rPr>
                <w:rtl/>
              </w:rPr>
              <w:t xml:space="preserve"> : « فأعاد »</w:t>
            </w:r>
            <w:r>
              <w:rPr>
                <w:rtl/>
              </w:rPr>
              <w:t>.</w:t>
            </w:r>
          </w:p>
        </w:tc>
        <w:tc>
          <w:tcPr>
            <w:tcW w:w="4006" w:type="dxa"/>
          </w:tcPr>
          <w:p w:rsidR="008D5DE0" w:rsidRDefault="00D35D35" w:rsidP="00E3253D">
            <w:pPr>
              <w:pStyle w:val="libFootnote0"/>
              <w:rPr>
                <w:rStyle w:val="libFootnote0Char"/>
                <w:rtl/>
                <w:lang w:bidi="fa-IR"/>
              </w:rPr>
            </w:pPr>
            <w:r w:rsidRPr="0042621E">
              <w:rPr>
                <w:rStyle w:val="libFootnote0Char"/>
                <w:rtl/>
              </w:rPr>
              <w:t>(9).</w:t>
            </w:r>
            <w:r w:rsidRPr="005D642E">
              <w:rPr>
                <w:rtl/>
              </w:rPr>
              <w:t xml:space="preserve"> في التهذيب : « عليهما » بدل « عليه الماء »</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ا</w:t>
      </w:r>
      <w:r w:rsidR="00F109EA">
        <w:rPr>
          <w:rFonts w:hint="cs"/>
          <w:rtl/>
        </w:rPr>
        <w:t>ُ</w:t>
      </w:r>
      <w:r w:rsidR="00E3253D" w:rsidRPr="005D642E">
        <w:rPr>
          <w:rtl/>
        </w:rPr>
        <w:t>خرى »</w:t>
      </w:r>
      <w:r w:rsidR="00E3253D">
        <w:rPr>
          <w:rtl/>
        </w:rPr>
        <w:t>.</w:t>
      </w:r>
      <w:r w:rsidR="00E3253D" w:rsidRPr="005D642E">
        <w:rPr>
          <w:rtl/>
        </w:rPr>
        <w:t xml:space="preserve"> وفي التهذيب : « في صلاته » بدل « في حال ا</w:t>
      </w:r>
      <w:r w:rsidR="00E71FCC">
        <w:rPr>
          <w:rFonts w:hint="cs"/>
          <w:rtl/>
        </w:rPr>
        <w:t>ُ</w:t>
      </w:r>
      <w:r w:rsidR="00E3253D" w:rsidRPr="005D642E">
        <w:rPr>
          <w:rtl/>
        </w:rPr>
        <w:t>خرى »</w:t>
      </w:r>
      <w:r w:rsidR="00E3253D">
        <w:rPr>
          <w:rtl/>
        </w:rPr>
        <w:t>.</w:t>
      </w:r>
    </w:p>
    <w:p w:rsidR="00E3253D" w:rsidRPr="005D642E" w:rsidRDefault="0042621E" w:rsidP="00E71FCC">
      <w:pPr>
        <w:pStyle w:val="libFootnote0"/>
        <w:rPr>
          <w:rtl/>
          <w:lang w:bidi="fa-IR"/>
        </w:rPr>
      </w:pPr>
      <w:r w:rsidRPr="0042621E">
        <w:rPr>
          <w:rStyle w:val="libFootnote0Char"/>
          <w:rtl/>
        </w:rPr>
        <w:t>(11).</w:t>
      </w:r>
      <w:r w:rsidR="00E3253D" w:rsidRPr="005D642E">
        <w:rPr>
          <w:rtl/>
        </w:rPr>
        <w:t xml:space="preserve"> في « جس » وحاشية « ظ ، بث ، بس ، جح ، جن » </w:t>
      </w:r>
      <w:r w:rsidR="00B60612" w:rsidRPr="00B60612">
        <w:rPr>
          <w:rStyle w:val="libFootnoteBoldChar"/>
          <w:rtl/>
        </w:rPr>
        <w:t>والتهذيب</w:t>
      </w:r>
      <w:r w:rsidR="00E3253D" w:rsidRPr="005D642E">
        <w:rPr>
          <w:rtl/>
        </w:rPr>
        <w:t xml:space="preserve"> : « وإن استيقن »</w:t>
      </w:r>
      <w:r w:rsidR="00E3253D">
        <w:rPr>
          <w:rtl/>
        </w:rPr>
        <w:t>.</w:t>
      </w:r>
      <w:r w:rsidR="00E71FCC">
        <w:rPr>
          <w:rtl/>
        </w:rPr>
        <w:t xml:space="preserve"> وفي حاشية « ى » : «فإن استيقن</w:t>
      </w:r>
      <w:r w:rsidR="00E3253D" w:rsidRPr="005D642E">
        <w:rPr>
          <w:rtl/>
        </w:rPr>
        <w:t>»</w:t>
      </w:r>
      <w:r w:rsidR="00E3253D">
        <w:rPr>
          <w:rtl/>
        </w:rPr>
        <w:t>.</w:t>
      </w:r>
      <w:r w:rsidR="00E71FCC">
        <w:rPr>
          <w:rtl/>
        </w:rPr>
        <w:t xml:space="preserve"> وفي حاشية« بخ »: «وإن كان استيقن</w:t>
      </w:r>
      <w:r w:rsidR="00E3253D" w:rsidRPr="005D642E">
        <w:rPr>
          <w:rtl/>
        </w:rPr>
        <w:t>»</w:t>
      </w:r>
      <w:r w:rsidR="00E3253D">
        <w:rPr>
          <w:rtl/>
        </w:rPr>
        <w:t>.</w:t>
      </w:r>
      <w:r w:rsidR="00E71FCC">
        <w:rPr>
          <w:rFonts w:hint="cs"/>
          <w:rtl/>
        </w:rPr>
        <w:t xml:space="preserve">    </w:t>
      </w:r>
      <w:r w:rsidRPr="0042621E">
        <w:rPr>
          <w:rStyle w:val="libFootnote0Char"/>
          <w:rtl/>
        </w:rPr>
        <w:t>(12).</w:t>
      </w:r>
      <w:r w:rsidR="00E71FCC">
        <w:rPr>
          <w:rtl/>
        </w:rPr>
        <w:t xml:space="preserve"> في «ظ،بث،بح،جح،جس</w:t>
      </w:r>
      <w:r w:rsidR="00E3253D" w:rsidRPr="005D642E">
        <w:rPr>
          <w:rtl/>
        </w:rPr>
        <w:t>»</w:t>
      </w:r>
      <w:r w:rsidR="00B60612" w:rsidRPr="00B60612">
        <w:rPr>
          <w:rStyle w:val="libFootnoteBoldChar"/>
          <w:rtl/>
        </w:rPr>
        <w:t>والتهذيب</w:t>
      </w:r>
      <w:r w:rsidR="00E71FCC">
        <w:rPr>
          <w:rtl/>
        </w:rPr>
        <w:t>:«فأعاد</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بح » :</w:t>
      </w:r>
      <w:r w:rsidR="00E3253D">
        <w:rPr>
          <w:rtl/>
        </w:rPr>
        <w:t xml:space="preserve"> </w:t>
      </w:r>
      <w:r w:rsidR="007642BC">
        <w:rPr>
          <w:rtl/>
        </w:rPr>
        <w:t>-</w:t>
      </w:r>
      <w:r w:rsidR="00E3253D">
        <w:rPr>
          <w:rtl/>
        </w:rPr>
        <w:t xml:space="preserve"> </w:t>
      </w:r>
      <w:r w:rsidR="00E3253D" w:rsidRPr="005D642E">
        <w:rPr>
          <w:rtl/>
        </w:rPr>
        <w:t>« عليه »</w:t>
      </w:r>
      <w:r w:rsidR="00E3253D">
        <w:rPr>
          <w:rtl/>
        </w:rPr>
        <w:t>.</w:t>
      </w:r>
      <w:r w:rsidR="00E3253D" w:rsidRPr="005D642E">
        <w:rPr>
          <w:rtl/>
        </w:rPr>
        <w:t xml:space="preserve"> وفي التهذيب : « عليه الماء » بدل « الماء عليه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غ ، بح » : « فإن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التهذيب</w:t>
      </w:r>
      <w:r w:rsidR="00E3253D" w:rsidRPr="005D642E">
        <w:rPr>
          <w:rtl/>
        </w:rPr>
        <w:t xml:space="preserve"> ، ج 1 ، ص 100 ، ح 261 ، بطريقين : أحدهما معلّقاً عن الكليني ، والآخر بسنده عن حمّاد </w:t>
      </w:r>
      <w:r w:rsidR="00E71FCC">
        <w:rPr>
          <w:rFonts w:hint="cs"/>
          <w:rtl/>
        </w:rPr>
        <w:t>.</w:t>
      </w:r>
      <w:r w:rsidR="00E3253D" w:rsidRPr="002F4D34">
        <w:rPr>
          <w:rStyle w:val="libFootnoteBoldChar"/>
          <w:rtl/>
        </w:rPr>
        <w:t>الوافي</w:t>
      </w:r>
      <w:r w:rsidR="00E3253D" w:rsidRPr="005D642E">
        <w:rPr>
          <w:rtl/>
        </w:rPr>
        <w:t xml:space="preserve"> ، ج 6 ، ص 344 ، ح 4432 ؛ </w:t>
      </w:r>
      <w:r w:rsidR="00E3253D" w:rsidRPr="002F4D34">
        <w:rPr>
          <w:rStyle w:val="libFootnoteBoldChar"/>
          <w:rtl/>
        </w:rPr>
        <w:t>الوسائل</w:t>
      </w:r>
      <w:r w:rsidR="00E3253D" w:rsidRPr="005D642E">
        <w:rPr>
          <w:rtl/>
        </w:rPr>
        <w:t xml:space="preserve"> ، ج 1 ، ص 469 ، ذيل ح 1243.</w:t>
      </w:r>
    </w:p>
    <w:tbl>
      <w:tblPr>
        <w:tblStyle w:val="TableGrid"/>
        <w:bidiVisual/>
        <w:tblW w:w="0" w:type="auto"/>
        <w:tblLook w:val="04A0" w:firstRow="1" w:lastRow="0" w:firstColumn="1" w:lastColumn="0" w:noHBand="0" w:noVBand="1"/>
      </w:tblPr>
      <w:tblGrid>
        <w:gridCol w:w="4006"/>
        <w:gridCol w:w="4006"/>
      </w:tblGrid>
      <w:tr w:rsidR="000373F5" w:rsidTr="000373F5">
        <w:tc>
          <w:tcPr>
            <w:tcW w:w="4006" w:type="dxa"/>
          </w:tcPr>
          <w:p w:rsidR="000373F5" w:rsidRDefault="000373F5" w:rsidP="00E3253D">
            <w:pPr>
              <w:pStyle w:val="libFootnote0"/>
              <w:rPr>
                <w:rtl/>
              </w:rPr>
            </w:pPr>
            <w:r w:rsidRPr="005D642E">
              <w:rPr>
                <w:rtl/>
              </w:rPr>
              <w:t>(1</w:t>
            </w:r>
            <w:r>
              <w:rPr>
                <w:rtl/>
              </w:rPr>
              <w:t>6)</w:t>
            </w:r>
            <w:r w:rsidRPr="005D642E">
              <w:rPr>
                <w:rtl/>
              </w:rPr>
              <w:t xml:space="preserve"> في « ى ، بف » </w:t>
            </w:r>
            <w:r w:rsidRPr="000D749A">
              <w:rPr>
                <w:rStyle w:val="libFootnoteBoldChar"/>
                <w:rtl/>
              </w:rPr>
              <w:t>والوافي</w:t>
            </w:r>
            <w:r w:rsidRPr="005D642E">
              <w:rPr>
                <w:rtl/>
              </w:rPr>
              <w:t xml:space="preserve"> : « إذا »</w:t>
            </w:r>
            <w:r>
              <w:rPr>
                <w:rtl/>
              </w:rPr>
              <w:t>.</w:t>
            </w:r>
          </w:p>
        </w:tc>
        <w:tc>
          <w:tcPr>
            <w:tcW w:w="4006" w:type="dxa"/>
          </w:tcPr>
          <w:p w:rsidR="000373F5" w:rsidRDefault="000373F5" w:rsidP="00E3253D">
            <w:pPr>
              <w:pStyle w:val="libFootnote0"/>
              <w:rPr>
                <w:rtl/>
              </w:rPr>
            </w:pPr>
            <w:r w:rsidRPr="005D642E">
              <w:rPr>
                <w:rtl/>
              </w:rPr>
              <w:t>(1</w:t>
            </w:r>
            <w:r>
              <w:rPr>
                <w:rtl/>
              </w:rPr>
              <w:t>7)</w:t>
            </w:r>
            <w:r w:rsidRPr="005D642E">
              <w:rPr>
                <w:rtl/>
              </w:rPr>
              <w:t xml:space="preserve"> في « بخ » :</w:t>
            </w:r>
            <w:r>
              <w:rPr>
                <w:rtl/>
              </w:rPr>
              <w:t xml:space="preserve"> - </w:t>
            </w:r>
            <w:r w:rsidRPr="005D642E">
              <w:rPr>
                <w:rtl/>
              </w:rPr>
              <w:t>« قد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مِنْ وُضُوئِكَ الْمَفْرُوضِ عَلَيْكَ ، فَانْصَرِفْ ، وَأَتِمَّ الَّذِي نَسِيتَهُ مِنْ وُضُوئِكَ ، وَأَعِدْ صَلَاتَكَ ، وَيَكْفِيكَ مِنْ مَسْحِ رَأْسِكَ أَنْ تَأْخُذَ </w:t>
      </w:r>
      <w:r w:rsidRPr="007C12DB">
        <w:rPr>
          <w:rStyle w:val="libFootnotenumChar"/>
          <w:rtl/>
        </w:rPr>
        <w:t>(1)</w:t>
      </w:r>
      <w:r w:rsidRPr="005D642E">
        <w:rPr>
          <w:rtl/>
          <w:lang w:bidi="fa-IR"/>
        </w:rPr>
        <w:t xml:space="preserve"> مِنْ لِحْيَتِكَ بَلَلَهَا إِذَا نَسِيتَ أَنْ تَمْسَحَ رَأْسَكَ ، فَتَمْسَحَ بِهِ مُقَدَّمَ رَأْسِكَ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3913CB">
        <w:rPr>
          <w:rtl/>
        </w:rPr>
        <w:t>3962</w:t>
      </w:r>
      <w:r w:rsidRPr="00246318">
        <w:rPr>
          <w:rStyle w:val="libBold2Char"/>
          <w:rtl/>
        </w:rPr>
        <w:t xml:space="preserve"> / 4.</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نَسِيَ الرَّجُلُ أَنْ يَغْسِلَ يَمِينَهُ ، فَغَسَلَ شِمَالَهُ ، وَمَسَحَ رَأْسَهُ وَرِجْلَيْهِ ، وَذَكَرَ </w:t>
      </w:r>
      <w:r w:rsidRPr="007C12DB">
        <w:rPr>
          <w:rStyle w:val="libFootnotenumChar"/>
          <w:rtl/>
        </w:rPr>
        <w:t>(3)</w:t>
      </w:r>
      <w:r w:rsidRPr="005D642E">
        <w:rPr>
          <w:rtl/>
          <w:lang w:bidi="fa-IR"/>
        </w:rPr>
        <w:t xml:space="preserve"> بَعْدَ ذلِكَ ، غَسَلَ يَمِينَهُ وَشِمَالَهُ ، وَمَسَحَ </w:t>
      </w:r>
      <w:r w:rsidRPr="007C12DB">
        <w:rPr>
          <w:rStyle w:val="libFootnotenumChar"/>
          <w:rtl/>
        </w:rPr>
        <w:t>(4)</w:t>
      </w:r>
      <w:r w:rsidRPr="005D642E">
        <w:rPr>
          <w:rtl/>
          <w:lang w:bidi="fa-IR"/>
        </w:rPr>
        <w:t xml:space="preserve"> رَأْسَهُ وَرِجْلَيْهِ </w:t>
      </w:r>
      <w:r w:rsidRPr="007C12DB">
        <w:rPr>
          <w:rStyle w:val="libFootnotenumChar"/>
          <w:rtl/>
        </w:rPr>
        <w:t>(5)</w:t>
      </w:r>
      <w:r w:rsidRPr="005D642E">
        <w:rPr>
          <w:rtl/>
          <w:lang w:bidi="fa-IR"/>
        </w:rPr>
        <w:t xml:space="preserve"> ، وَإِنْ كَانَ إِنَّمَا نَسِيَ شِمَالَهُ ، فَلْيَغْسِلِ الشِّمَالَ </w:t>
      </w:r>
      <w:r w:rsidRPr="007C12DB">
        <w:rPr>
          <w:rStyle w:val="libFootnotenumChar"/>
          <w:rtl/>
        </w:rPr>
        <w:t>(6)</w:t>
      </w:r>
      <w:r w:rsidRPr="005D642E">
        <w:rPr>
          <w:rtl/>
          <w:lang w:bidi="fa-IR"/>
        </w:rPr>
        <w:t xml:space="preserve"> ، وَلَايُعِيدُ </w:t>
      </w:r>
      <w:r w:rsidRPr="007C12DB">
        <w:rPr>
          <w:rStyle w:val="libFootnotenumChar"/>
          <w:rtl/>
        </w:rPr>
        <w:t>(7)</w:t>
      </w:r>
      <w:r w:rsidRPr="005D642E">
        <w:rPr>
          <w:rtl/>
          <w:lang w:bidi="fa-IR"/>
        </w:rPr>
        <w:t xml:space="preserve"> عَلى مَا كَانَ تَوَضَّأَ </w:t>
      </w:r>
      <w:r w:rsidRPr="007C12DB">
        <w:rPr>
          <w:rStyle w:val="libFootnotenumChar"/>
          <w:rtl/>
        </w:rPr>
        <w:t>(8)</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وَقَالَ : « أَتْبِعْ وُضُوءَكَ بَعْضَهُ بَعْضاً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3913CB">
        <w:rPr>
          <w:rtl/>
        </w:rPr>
        <w:t>3963</w:t>
      </w:r>
      <w:r w:rsidRPr="00246318">
        <w:rPr>
          <w:rStyle w:val="libBold2Char"/>
          <w:rtl/>
        </w:rPr>
        <w:t xml:space="preserve"> / 5.</w:t>
      </w:r>
      <w:r w:rsidRPr="005D642E">
        <w:rPr>
          <w:rtl/>
          <w:lang w:bidi="fa-IR"/>
        </w:rPr>
        <w:t xml:space="preserve"> عَلِيٌّ </w:t>
      </w:r>
      <w:r w:rsidRPr="007C12DB">
        <w:rPr>
          <w:rStyle w:val="libFootnotenumChar"/>
          <w:rtl/>
        </w:rPr>
        <w:t>(10)</w:t>
      </w:r>
      <w:r w:rsidRPr="005D642E">
        <w:rPr>
          <w:rtl/>
          <w:lang w:bidi="fa-IR"/>
        </w:rPr>
        <w:t xml:space="preserve"> ، عَنْ أَبِيهِ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 « بأن تأخذ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101 ، ح 263 ، معلّقاً عن عليّ بن إبراهيم ، عن ابن أبي عمير </w:t>
      </w:r>
      <w:r w:rsidR="004D317B">
        <w:rPr>
          <w:rFonts w:hint="cs"/>
          <w:rtl/>
        </w:rPr>
        <w:t>.</w:t>
      </w:r>
      <w:r w:rsidR="00E3253D" w:rsidRPr="002F4D34">
        <w:rPr>
          <w:rStyle w:val="libFootnoteBoldChar"/>
          <w:rtl/>
        </w:rPr>
        <w:t>الوافي</w:t>
      </w:r>
      <w:r w:rsidR="00E3253D" w:rsidRPr="005D642E">
        <w:rPr>
          <w:rtl/>
        </w:rPr>
        <w:t xml:space="preserve"> ، ج 6 ، ص 346 ، ح 4433 ؛ </w:t>
      </w:r>
      <w:r w:rsidR="00E3253D" w:rsidRPr="002F4D34">
        <w:rPr>
          <w:rStyle w:val="libFootnoteBoldChar"/>
          <w:rtl/>
        </w:rPr>
        <w:t>الوسائل</w:t>
      </w:r>
      <w:r w:rsidR="00E3253D" w:rsidRPr="005D642E">
        <w:rPr>
          <w:rtl/>
        </w:rPr>
        <w:t xml:space="preserve"> ، ج 1 ، ص 371 ، ذيل ح 978 ؛ وص 470 ، ذيل ح 1245 ، وفيهما إلى قوله : « وأعد صلاتك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ح 1194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فذكر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وحاشية « ى » : « ويمسح »</w:t>
      </w:r>
      <w:r w:rsidR="00E3253D">
        <w:rPr>
          <w:rtl/>
        </w:rPr>
        <w:t>.</w:t>
      </w:r>
      <w:r w:rsidR="00E3253D" w:rsidRPr="005D642E">
        <w:rPr>
          <w:rtl/>
        </w:rPr>
        <w:t xml:space="preserve"> وفي التهذيب : « فمسح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رجليه ورأسه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الشمال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الاستبصار : « ولا يعد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الحبل المتين</w:t>
      </w:r>
      <w:r w:rsidR="00E3253D" w:rsidRPr="005D642E">
        <w:rPr>
          <w:rtl/>
        </w:rPr>
        <w:t xml:space="preserve"> ، ص 86 : « قوله </w:t>
      </w:r>
      <w:r w:rsidR="00E3253D" w:rsidRPr="00F77D63">
        <w:rPr>
          <w:rStyle w:val="libFootnoteAlaemChar"/>
          <w:rtl/>
        </w:rPr>
        <w:t>عليه‌السلام</w:t>
      </w:r>
      <w:r w:rsidR="00E3253D">
        <w:rPr>
          <w:rtl/>
        </w:rPr>
        <w:t xml:space="preserve"> ..</w:t>
      </w:r>
      <w:r w:rsidR="00E3253D" w:rsidRPr="005D642E">
        <w:rPr>
          <w:rtl/>
        </w:rPr>
        <w:t>. : ولا يعيد على ما كان قد توضّأ ، يراد منه أنّه لايعيد على العضو الذي كان قد وضّأه قبل العضو المنسيّ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ولا يعيد على ما كان توضّأ ، أي غَسَلَ ، فالوضوء بمعنى الغسل ، وأمّا المسحتان فلابدّ من الإتيان بهما بعد ذلك ليحصل الترتيب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الاستبصار</w:t>
      </w:r>
      <w:r w:rsidR="00E3253D" w:rsidRPr="005D642E">
        <w:rPr>
          <w:rtl/>
        </w:rPr>
        <w:t xml:space="preserve"> ، ج 1 ، ص 74 ، ح 228 ، معلّقاً عن الكليني. </w:t>
      </w:r>
      <w:r w:rsidR="00E3253D" w:rsidRPr="002F4D34">
        <w:rPr>
          <w:rStyle w:val="libFootnoteBoldChar"/>
          <w:rtl/>
        </w:rPr>
        <w:t>التهذيب</w:t>
      </w:r>
      <w:r w:rsidR="00E3253D" w:rsidRPr="005D642E">
        <w:rPr>
          <w:rtl/>
        </w:rPr>
        <w:t xml:space="preserve"> ، ج 1 ، ص 99 ، ح 259 ، معلّقاً عن عليّ بن إبراهيم </w:t>
      </w:r>
      <w:r w:rsidR="00F77D63">
        <w:rPr>
          <w:rFonts w:hint="cs"/>
          <w:rtl/>
        </w:rPr>
        <w:t>.</w:t>
      </w:r>
      <w:r w:rsidR="00E3253D" w:rsidRPr="002F4D34">
        <w:rPr>
          <w:rStyle w:val="libFootnoteBoldChar"/>
          <w:rtl/>
        </w:rPr>
        <w:t>الوافي</w:t>
      </w:r>
      <w:r w:rsidR="00E3253D" w:rsidRPr="005D642E">
        <w:rPr>
          <w:rtl/>
        </w:rPr>
        <w:t xml:space="preserve"> ، ج 6 ، ص 346 ، ح 4434 ؛ </w:t>
      </w:r>
      <w:r w:rsidR="00E3253D" w:rsidRPr="002F4D34">
        <w:rPr>
          <w:rStyle w:val="libFootnoteBoldChar"/>
          <w:rtl/>
        </w:rPr>
        <w:t>الوسائل</w:t>
      </w:r>
      <w:r w:rsidR="00E3253D" w:rsidRPr="005D642E">
        <w:rPr>
          <w:rtl/>
        </w:rPr>
        <w:t xml:space="preserve"> ، ج 1 ، ص 446 ، ح 1175 ، من قوله : « وقال : أتبع » ؛ وص 452 ، ح 1194.</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بن إبراهيم »</w:t>
      </w:r>
      <w:r w:rsidR="00E3253D">
        <w:rPr>
          <w:rtl/>
        </w:rPr>
        <w:t>.</w:t>
      </w:r>
    </w:p>
    <w:p w:rsidR="00E3253D" w:rsidRDefault="00E3253D" w:rsidP="00E3253D">
      <w:pPr>
        <w:pStyle w:val="libNormal"/>
        <w:rPr>
          <w:rtl/>
          <w:lang w:bidi="fa-IR"/>
        </w:rPr>
      </w:pPr>
      <w:r>
        <w:rPr>
          <w:rtl/>
          <w:lang w:bidi="fa-IR"/>
        </w:rPr>
        <w:br w:type="page"/>
      </w:r>
    </w:p>
    <w:p w:rsidR="00E3253D" w:rsidRPr="005D642E" w:rsidRDefault="00365424" w:rsidP="00E3253D">
      <w:pPr>
        <w:pStyle w:val="libNormal0"/>
        <w:rPr>
          <w:rtl/>
          <w:lang w:bidi="fa-IR"/>
        </w:rPr>
      </w:pPr>
      <w:r>
        <w:rPr>
          <w:rFonts w:hint="cs"/>
          <w:rtl/>
          <w:lang w:bidi="fa-IR"/>
        </w:rPr>
        <w:lastRenderedPageBreak/>
        <w:t xml:space="preserve">             </w:t>
      </w:r>
      <w:r w:rsidR="000D09C5">
        <w:rPr>
          <w:rFonts w:hint="cs"/>
          <w:rtl/>
          <w:lang w:bidi="fa-IR"/>
        </w:rPr>
        <w:t xml:space="preserve">  </w:t>
      </w:r>
      <w:r w:rsidR="00E3253D" w:rsidRPr="005D642E">
        <w:rPr>
          <w:rtl/>
          <w:lang w:bidi="fa-IR"/>
        </w:rPr>
        <w:t xml:space="preserve">وَمُحَمَّدُ بْنُ إِسْمَاعِيلَ ، عَنِ الْفَضْلِ بْنِ شَاذَانَ </w:t>
      </w:r>
      <w:r w:rsidR="00E3253D" w:rsidRPr="007C12DB">
        <w:rPr>
          <w:rStyle w:val="libFootnotenumChar"/>
          <w:rtl/>
        </w:rPr>
        <w:t>(1)</w:t>
      </w:r>
      <w:r w:rsidR="00E3253D" w:rsidRPr="005D642E">
        <w:rPr>
          <w:rtl/>
          <w:lang w:bidi="fa-IR"/>
        </w:rPr>
        <w:t xml:space="preserve"> جَمِيعاً ، عَنْ حَمَّادٍ </w:t>
      </w:r>
      <w:r w:rsidR="00E3253D" w:rsidRPr="007C12DB">
        <w:rPr>
          <w:rStyle w:val="libFootnotenumChar"/>
          <w:rtl/>
        </w:rPr>
        <w:t>(2)</w:t>
      </w:r>
      <w:r w:rsidR="00E3253D" w:rsidRPr="005D642E">
        <w:rPr>
          <w:rtl/>
          <w:lang w:bidi="fa-IR"/>
        </w:rPr>
        <w:t xml:space="preserve"> ، عَنْ حَرِيزٍ ، عَنْ زُرَارَةَ ، قَالَ :</w:t>
      </w:r>
    </w:p>
    <w:p w:rsidR="00E3253D" w:rsidRPr="005D642E" w:rsidRDefault="00E3253D" w:rsidP="00E3253D">
      <w:pPr>
        <w:pStyle w:val="libNormal"/>
        <w:rPr>
          <w:rtl/>
          <w:lang w:bidi="fa-IR"/>
        </w:rPr>
      </w:pPr>
      <w:r w:rsidRPr="005D642E">
        <w:rPr>
          <w:rtl/>
          <w:lang w:bidi="fa-IR"/>
        </w:rPr>
        <w:t xml:space="preserve">قَالَ أَبُو جَعْفَرٍ </w:t>
      </w:r>
      <w:r w:rsidRPr="00AC51C5">
        <w:rPr>
          <w:rStyle w:val="libAlaemChar"/>
          <w:rtl/>
        </w:rPr>
        <w:t>عليه‌السلام</w:t>
      </w:r>
      <w:r w:rsidRPr="005D642E">
        <w:rPr>
          <w:rtl/>
          <w:lang w:bidi="fa-IR"/>
        </w:rPr>
        <w:t xml:space="preserve"> : « تَابِعْ </w:t>
      </w:r>
      <w:r w:rsidRPr="007C12DB">
        <w:rPr>
          <w:rStyle w:val="libFootnotenumChar"/>
          <w:rtl/>
        </w:rPr>
        <w:t>(3)</w:t>
      </w:r>
      <w:r w:rsidRPr="005D642E">
        <w:rPr>
          <w:rtl/>
          <w:lang w:bidi="fa-IR"/>
        </w:rPr>
        <w:t xml:space="preserve"> بَيْنَ الْوُضُوءِ كَمَا قَالَ اللهُ عَزَّ وَجَلَّ </w:t>
      </w:r>
      <w:r w:rsidRPr="007C12DB">
        <w:rPr>
          <w:rStyle w:val="libFootnotenumChar"/>
          <w:rtl/>
        </w:rPr>
        <w:t>(4)</w:t>
      </w:r>
      <w:r w:rsidRPr="005D642E">
        <w:rPr>
          <w:rtl/>
          <w:lang w:bidi="fa-IR"/>
        </w:rPr>
        <w:t xml:space="preserve"> ، ابْدَأْ بِالْوَجْهِ ، ثُمَّ بِالْيَدَيْنِ ، ثُمَّ امْسَحِ الرَّأْسَ </w:t>
      </w:r>
      <w:r w:rsidRPr="007C12DB">
        <w:rPr>
          <w:rStyle w:val="libFootnotenumChar"/>
          <w:rtl/>
        </w:rPr>
        <w:t>(5)</w:t>
      </w:r>
      <w:r w:rsidRPr="005D642E">
        <w:rPr>
          <w:rtl/>
          <w:lang w:bidi="fa-IR"/>
        </w:rPr>
        <w:t xml:space="preserve"> وَالرِّجْلَيْنِ </w:t>
      </w:r>
      <w:r w:rsidRPr="007C12DB">
        <w:rPr>
          <w:rStyle w:val="libFootnotenumChar"/>
          <w:rtl/>
        </w:rPr>
        <w:t>(6)</w:t>
      </w:r>
      <w:r w:rsidRPr="005D642E">
        <w:rPr>
          <w:rtl/>
          <w:lang w:bidi="fa-IR"/>
        </w:rPr>
        <w:t xml:space="preserve"> ، وَلَاتُقَدِّمَنَّ شَيْئاً بَيْنَ يَدَيْ شَيْ‌ءٍ ؛ تُخَالِفْ </w:t>
      </w:r>
      <w:r w:rsidRPr="007C12DB">
        <w:rPr>
          <w:rStyle w:val="libFootnotenumChar"/>
          <w:rtl/>
        </w:rPr>
        <w:t>(7)</w:t>
      </w:r>
      <w:r w:rsidRPr="005D642E">
        <w:rPr>
          <w:rtl/>
          <w:lang w:bidi="fa-IR"/>
        </w:rPr>
        <w:t xml:space="preserve"> مَا أُمِرْتَ بِهِ ، وَإِنْ </w:t>
      </w:r>
      <w:r w:rsidRPr="007C12DB">
        <w:rPr>
          <w:rStyle w:val="libFootnotenumChar"/>
          <w:rtl/>
        </w:rPr>
        <w:t>(8)</w:t>
      </w:r>
      <w:r w:rsidRPr="005D642E">
        <w:rPr>
          <w:rtl/>
          <w:lang w:bidi="fa-IR"/>
        </w:rPr>
        <w:t xml:space="preserve"> غَسَلْتَ الذِّرَاعَ قَبْلَ الْوَجْهِ ، فَابْدَأْ بِالْوَجْهِ ، وَأَعِدْ عَلَى الذِّرَاعِ ، وَإِنْ </w:t>
      </w:r>
      <w:r w:rsidRPr="007C12DB">
        <w:rPr>
          <w:rStyle w:val="libFootnotenumChar"/>
          <w:rtl/>
        </w:rPr>
        <w:t>(9)</w:t>
      </w:r>
      <w:r w:rsidRPr="005D642E">
        <w:rPr>
          <w:rtl/>
          <w:lang w:bidi="fa-IR"/>
        </w:rPr>
        <w:t xml:space="preserve"> مَسَحْتَ الرِّجْلَ قَبْلَ الرَّأْسِ ، فَامْسَحْ عَلَى الرَّأْسِ قَبْلَ الرِّجْلِ </w:t>
      </w:r>
      <w:r w:rsidRPr="007C12DB">
        <w:rPr>
          <w:rStyle w:val="libFootnotenumChar"/>
          <w:rtl/>
        </w:rPr>
        <w:t>(10)</w:t>
      </w:r>
      <w:r w:rsidRPr="005D642E">
        <w:rPr>
          <w:rtl/>
          <w:lang w:bidi="fa-IR"/>
        </w:rPr>
        <w:t xml:space="preserve"> ، ثُمَّ أَعِدْ عَلَى الرِّجْلِ ، ابْدَأْ بِمَا بَدَأَ اللهُ بِهِ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بح ، بخ ، بس ، بف ، جس ، جن » :</w:t>
      </w:r>
      <w:r w:rsidR="00E3253D">
        <w:rPr>
          <w:rtl/>
        </w:rPr>
        <w:t xml:space="preserve"> </w:t>
      </w:r>
      <w:r w:rsidR="007642BC">
        <w:rPr>
          <w:rtl/>
        </w:rPr>
        <w:t>-</w:t>
      </w:r>
      <w:r w:rsidR="00E3253D">
        <w:rPr>
          <w:rtl/>
        </w:rPr>
        <w:t xml:space="preserve"> </w:t>
      </w:r>
      <w:r w:rsidR="00E3253D" w:rsidRPr="005D642E">
        <w:rPr>
          <w:rtl/>
        </w:rPr>
        <w:t>« بن شاذان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بن عيسى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الحبل المتين</w:t>
      </w:r>
      <w:r w:rsidR="00E3253D" w:rsidRPr="005D642E">
        <w:rPr>
          <w:rtl/>
        </w:rPr>
        <w:t xml:space="preserve"> ، ص 85 : « المراد بالمتابعة بين الوضوء</w:t>
      </w:r>
      <w:r w:rsidR="00E3253D">
        <w:rPr>
          <w:rtl/>
        </w:rPr>
        <w:t xml:space="preserve"> ..</w:t>
      </w:r>
      <w:r w:rsidR="00E3253D" w:rsidRPr="005D642E">
        <w:rPr>
          <w:rtl/>
        </w:rPr>
        <w:t>. المتابعة بين أفعاله على حذف مضاف ، أي اجعل‌بعض أفعاله تابعاً ، أي مؤخّراً وبعضها متبوعاً ، أي مقدّماً ، من قولهم : تبع فلان فلاناً ، أي مشى خلفه ، وليس المراد المتابعة بالمعنى المتعارف بين الفقهاء ، أعني أحد فردي الموالاة الذي جعلوه قسيماً لمراعاة الجفاف »</w:t>
      </w:r>
      <w:r w:rsidR="00E3253D">
        <w:rPr>
          <w:rtl/>
        </w:rPr>
        <w:t>.</w:t>
      </w:r>
      <w:r w:rsidR="00E3253D" w:rsidRPr="005D642E">
        <w:rPr>
          <w:rtl/>
        </w:rPr>
        <w:t xml:space="preserve"> وقال في </w:t>
      </w:r>
      <w:r w:rsidR="00E3253D" w:rsidRPr="002F4D34">
        <w:rPr>
          <w:rStyle w:val="libFootnoteBoldChar"/>
          <w:rtl/>
        </w:rPr>
        <w:t>الوافي</w:t>
      </w:r>
      <w:r w:rsidR="00E3253D" w:rsidRPr="005D642E">
        <w:rPr>
          <w:rtl/>
        </w:rPr>
        <w:t xml:space="preserve"> بعد قوله : « مشى خلفه » : « فيدلّ على وجوب الترتيب ، لا على ترك الفصل والانقطاع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إشارة إلى الآية 6 من سورة المائدة </w:t>
      </w:r>
      <w:r w:rsidRPr="0042621E">
        <w:rPr>
          <w:rStyle w:val="libFootnote0Char"/>
          <w:rtl/>
        </w:rPr>
        <w:t>(5).</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الفقيه </w:t>
      </w:r>
      <w:r w:rsidR="00B60612" w:rsidRPr="00B60612">
        <w:rPr>
          <w:rStyle w:val="libFootnoteBoldChar"/>
          <w:rtl/>
        </w:rPr>
        <w:t>والتهذيب</w:t>
      </w:r>
      <w:r w:rsidR="00E3253D" w:rsidRPr="005D642E">
        <w:rPr>
          <w:rtl/>
        </w:rPr>
        <w:t xml:space="preserve"> : « بالرأس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بح ، بس » وحاشية « جح ، جن » : + « ولاء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بث ، بح ، بس ، بخ ، جح ، جس » : « يخالف »</w:t>
      </w:r>
      <w:r w:rsidR="00E3253D">
        <w:rPr>
          <w:rtl/>
        </w:rPr>
        <w:t>.</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شي‌ء »</w:t>
      </w:r>
      <w:r w:rsidR="00E3253D">
        <w:rPr>
          <w:rtl/>
        </w:rPr>
        <w:t>.</w:t>
      </w:r>
      <w:r w:rsidR="00E3253D" w:rsidRPr="005D642E">
        <w:rPr>
          <w:rtl/>
        </w:rPr>
        <w:t xml:space="preserve"> وقال في </w:t>
      </w:r>
      <w:r w:rsidR="00E3253D" w:rsidRPr="002F4D34">
        <w:rPr>
          <w:rStyle w:val="libFootnoteBoldChar"/>
          <w:rtl/>
        </w:rPr>
        <w:t>الحبل المتين</w:t>
      </w:r>
      <w:r w:rsidR="00E3253D" w:rsidRPr="005D642E">
        <w:rPr>
          <w:rtl/>
        </w:rPr>
        <w:t xml:space="preserve"> ، ص 85 : « ينبغي أن يقرأ قوله </w:t>
      </w:r>
      <w:r w:rsidR="00E3253D" w:rsidRPr="00157F0B">
        <w:rPr>
          <w:rStyle w:val="libFootnoteAlaemChar"/>
          <w:rtl/>
        </w:rPr>
        <w:t>عليه‌السلام</w:t>
      </w:r>
      <w:r w:rsidR="00E3253D" w:rsidRPr="005D642E">
        <w:rPr>
          <w:rtl/>
        </w:rPr>
        <w:t xml:space="preserve"> : تخالف ما ا</w:t>
      </w:r>
      <w:r w:rsidR="00D570FD">
        <w:rPr>
          <w:rFonts w:hint="cs"/>
          <w:rtl/>
        </w:rPr>
        <w:t>ُ</w:t>
      </w:r>
      <w:r w:rsidR="00E3253D" w:rsidRPr="005D642E">
        <w:rPr>
          <w:rtl/>
        </w:rPr>
        <w:t>مرت به ، بالرفع على أنّ الجملة حال من فاعل تقدّمنّ</w:t>
      </w:r>
      <w:r w:rsidR="00E3253D">
        <w:rPr>
          <w:rtl/>
        </w:rPr>
        <w:t xml:space="preserve"> ..</w:t>
      </w:r>
      <w:r w:rsidR="00E3253D" w:rsidRPr="005D642E">
        <w:rPr>
          <w:rtl/>
        </w:rPr>
        <w:t>. أو على أنّها مستأنفة</w:t>
      </w:r>
      <w:r w:rsidR="00E3253D">
        <w:rPr>
          <w:rtl/>
        </w:rPr>
        <w:t xml:space="preserve"> ..</w:t>
      </w:r>
      <w:r w:rsidR="00E3253D" w:rsidRPr="005D642E">
        <w:rPr>
          <w:rtl/>
        </w:rPr>
        <w:t>. وأمّا قراءته مجزوماً على أنّه جواب النهي ، كما في نحو : لا تكفر تدخل الجنّة ، فممنوع عند جمهور النحاة ؛ لأنّ الجزم في الحقيقة إنّما هو بإن الشرطيّة المقدّرة ، ولا يجوز أن يكون التقدير : أن لا تقدّمنّ شيئاً بين يدي شي‌ء تخالف ما ا</w:t>
      </w:r>
      <w:r w:rsidR="00D570FD">
        <w:rPr>
          <w:rFonts w:hint="cs"/>
          <w:rtl/>
        </w:rPr>
        <w:t>ُ</w:t>
      </w:r>
      <w:r w:rsidR="00E3253D" w:rsidRPr="005D642E">
        <w:rPr>
          <w:rtl/>
        </w:rPr>
        <w:t>مرت به ؛ لأنّه من قبيل : لاتكفر تدخل النار ، وهو ممتنع عندهم ، ولا عبرة بخلاف الكسائي في ذلك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غ ، ى ، بث ، بح ، جح ، جس ، جن » والوسائل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فإن »</w:t>
      </w:r>
      <w:r w:rsidR="00E3253D">
        <w:rPr>
          <w:rtl/>
        </w:rPr>
        <w:t>.</w:t>
      </w:r>
    </w:p>
    <w:tbl>
      <w:tblPr>
        <w:tblStyle w:val="TableGrid"/>
        <w:bidiVisual/>
        <w:tblW w:w="0" w:type="auto"/>
        <w:tblLook w:val="04A0" w:firstRow="1" w:lastRow="0" w:firstColumn="1" w:lastColumn="0" w:noHBand="0" w:noVBand="1"/>
      </w:tblPr>
      <w:tblGrid>
        <w:gridCol w:w="4006"/>
        <w:gridCol w:w="4006"/>
      </w:tblGrid>
      <w:tr w:rsidR="00D570FD" w:rsidTr="00D570FD">
        <w:tc>
          <w:tcPr>
            <w:tcW w:w="4006" w:type="dxa"/>
          </w:tcPr>
          <w:p w:rsidR="00D570FD" w:rsidRDefault="00D570FD" w:rsidP="00E3253D">
            <w:pPr>
              <w:pStyle w:val="libFootnote0"/>
              <w:rPr>
                <w:rStyle w:val="libFootnote0Char"/>
                <w:rtl/>
              </w:rPr>
            </w:pPr>
            <w:r w:rsidRPr="0042621E">
              <w:rPr>
                <w:rStyle w:val="libFootnote0Char"/>
                <w:rtl/>
              </w:rPr>
              <w:t>(9).</w:t>
            </w:r>
            <w:r>
              <w:rPr>
                <w:rtl/>
              </w:rPr>
              <w:t xml:space="preserve"> في «بح ، بخ، جح، جس</w:t>
            </w:r>
            <w:r w:rsidRPr="005D642E">
              <w:rPr>
                <w:rtl/>
              </w:rPr>
              <w:t xml:space="preserve">» </w:t>
            </w:r>
            <w:r w:rsidRPr="00B60612">
              <w:rPr>
                <w:rStyle w:val="libFootnoteBoldChar"/>
                <w:rtl/>
              </w:rPr>
              <w:t>والتهذيب</w:t>
            </w:r>
            <w:r w:rsidRPr="005D642E">
              <w:rPr>
                <w:rtl/>
              </w:rPr>
              <w:t xml:space="preserve"> : « فإن »</w:t>
            </w:r>
            <w:r>
              <w:rPr>
                <w:rtl/>
              </w:rPr>
              <w:t>.</w:t>
            </w:r>
          </w:p>
        </w:tc>
        <w:tc>
          <w:tcPr>
            <w:tcW w:w="4006" w:type="dxa"/>
          </w:tcPr>
          <w:p w:rsidR="00D570FD" w:rsidRDefault="00D570FD" w:rsidP="00E3253D">
            <w:pPr>
              <w:pStyle w:val="libFootnote0"/>
              <w:rPr>
                <w:rStyle w:val="libFootnote0Char"/>
                <w:rtl/>
              </w:rPr>
            </w:pPr>
            <w:r w:rsidRPr="0042621E">
              <w:rPr>
                <w:rStyle w:val="libFootnote0Char"/>
                <w:rtl/>
              </w:rPr>
              <w:t>(10).</w:t>
            </w:r>
            <w:r w:rsidRPr="005D642E">
              <w:rPr>
                <w:rtl/>
              </w:rPr>
              <w:t xml:space="preserve"> في الوافي </w:t>
            </w:r>
            <w:r w:rsidRPr="009E68BB">
              <w:rPr>
                <w:rStyle w:val="libFootnoteBoldChar"/>
                <w:rtl/>
              </w:rPr>
              <w:t>وتحف العقول</w:t>
            </w:r>
            <w:r w:rsidRPr="005D642E">
              <w:rPr>
                <w:rtl/>
              </w:rPr>
              <w:t xml:space="preserve"> :</w:t>
            </w:r>
            <w:r>
              <w:rPr>
                <w:rtl/>
              </w:rPr>
              <w:t xml:space="preserve"> - </w:t>
            </w:r>
            <w:r w:rsidRPr="005D642E">
              <w:rPr>
                <w:rtl/>
              </w:rPr>
              <w:t>« قبل الرجل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97 ، ح 251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73 ، ح 223 ، بسندهما عن الكليني. </w:t>
      </w:r>
      <w:r w:rsidR="00E3253D" w:rsidRPr="002F4D34">
        <w:rPr>
          <w:rStyle w:val="libFootnoteBoldChar"/>
          <w:rtl/>
        </w:rPr>
        <w:t>الفقيه</w:t>
      </w:r>
      <w:r w:rsidR="00E3253D" w:rsidRPr="005D642E">
        <w:rPr>
          <w:rtl/>
        </w:rPr>
        <w:t xml:space="preserve"> ، ج 1 ، ص 45 ، ح 89 ، مرسلاً </w:t>
      </w:r>
      <w:r w:rsidR="005500A8">
        <w:rPr>
          <w:rFonts w:hint="cs"/>
          <w:rtl/>
        </w:rPr>
        <w:t>.</w:t>
      </w:r>
      <w:r w:rsidR="00E3253D" w:rsidRPr="002F4D34">
        <w:rPr>
          <w:rStyle w:val="libFootnoteBoldChar"/>
          <w:rtl/>
        </w:rPr>
        <w:t>الوافي</w:t>
      </w:r>
      <w:r w:rsidR="00E3253D" w:rsidRPr="005D642E">
        <w:rPr>
          <w:rtl/>
        </w:rPr>
        <w:t xml:space="preserve"> ، ج 6 ، ص 343 ، ح 4428 ؛ </w:t>
      </w:r>
      <w:r w:rsidR="00E3253D" w:rsidRPr="002F4D34">
        <w:rPr>
          <w:rStyle w:val="libFootnoteBoldChar"/>
          <w:rtl/>
        </w:rPr>
        <w:t>الوسائل</w:t>
      </w:r>
      <w:r w:rsidR="00E3253D" w:rsidRPr="005D642E">
        <w:rPr>
          <w:rtl/>
        </w:rPr>
        <w:t xml:space="preserve"> ، ج 1 ، ص 448 ، ح 1181 ؛ </w:t>
      </w:r>
      <w:r w:rsidR="00E3253D" w:rsidRPr="002F4D34">
        <w:rPr>
          <w:rStyle w:val="libFootnoteBoldChar"/>
          <w:rtl/>
        </w:rPr>
        <w:t>البحار</w:t>
      </w:r>
      <w:r w:rsidR="00E3253D" w:rsidRPr="005D642E">
        <w:rPr>
          <w:rtl/>
        </w:rPr>
        <w:t xml:space="preserve"> ، ج 2 ، ص 274 ، ح 16.</w:t>
      </w:r>
    </w:p>
    <w:p w:rsidR="00E3253D" w:rsidRDefault="00E3253D" w:rsidP="00E3253D">
      <w:pPr>
        <w:pStyle w:val="libNormal"/>
        <w:rPr>
          <w:rtl/>
          <w:lang w:bidi="fa-IR"/>
        </w:rPr>
      </w:pPr>
      <w:r>
        <w:rPr>
          <w:rtl/>
          <w:lang w:bidi="fa-IR"/>
        </w:rPr>
        <w:br w:type="page"/>
      </w:r>
    </w:p>
    <w:p w:rsidR="005500A8" w:rsidRDefault="00E3253D" w:rsidP="005500A8">
      <w:pPr>
        <w:pStyle w:val="libNormal"/>
        <w:rPr>
          <w:rtl/>
          <w:lang w:bidi="fa-IR"/>
        </w:rPr>
      </w:pPr>
      <w:r w:rsidRPr="00A25800">
        <w:rPr>
          <w:rtl/>
        </w:rPr>
        <w:lastRenderedPageBreak/>
        <w:t>3964</w:t>
      </w:r>
      <w:r w:rsidRPr="00246318">
        <w:rPr>
          <w:rStyle w:val="libBold2Char"/>
          <w:rtl/>
        </w:rPr>
        <w:t xml:space="preserve"> / 6.</w:t>
      </w:r>
      <w:r w:rsidRPr="005D642E">
        <w:rPr>
          <w:rtl/>
          <w:lang w:bidi="fa-IR"/>
        </w:rPr>
        <w:t xml:space="preserve"> عِدَّةٌ مِنْ أَصْحَابِنَا ، عَنْ أَحْمَدَ بْنِ مُحَمَّدٍ ؛</w:t>
      </w:r>
    </w:p>
    <w:p w:rsidR="00E3253D" w:rsidRPr="005D642E" w:rsidRDefault="005500A8" w:rsidP="005500A8">
      <w:pPr>
        <w:pStyle w:val="libNormal"/>
        <w:rPr>
          <w:rtl/>
          <w:lang w:bidi="fa-IR"/>
        </w:rPr>
      </w:pPr>
      <w:r>
        <w:rPr>
          <w:rFonts w:hint="cs"/>
          <w:rtl/>
          <w:lang w:bidi="fa-IR"/>
        </w:rPr>
        <w:t xml:space="preserve">               </w:t>
      </w:r>
      <w:r w:rsidR="00E3253D" w:rsidRPr="005D642E">
        <w:rPr>
          <w:rtl/>
          <w:lang w:bidi="fa-IR"/>
        </w:rPr>
        <w:t xml:space="preserve">وَأَبُو دَاوُدَ </w:t>
      </w:r>
      <w:r w:rsidR="00E3253D" w:rsidRPr="007C12DB">
        <w:rPr>
          <w:rStyle w:val="libFootnotenumChar"/>
          <w:rtl/>
        </w:rPr>
        <w:t>(1)</w:t>
      </w:r>
      <w:r w:rsidR="00E3253D" w:rsidRPr="005D642E">
        <w:rPr>
          <w:rtl/>
          <w:lang w:bidi="fa-IR"/>
        </w:rPr>
        <w:t xml:space="preserve"> جَمِيعاً </w:t>
      </w:r>
      <w:r w:rsidR="00E3253D" w:rsidRPr="007C12DB">
        <w:rPr>
          <w:rStyle w:val="libFootnotenumChar"/>
          <w:rtl/>
        </w:rPr>
        <w:t>(2)</w:t>
      </w:r>
      <w:r w:rsidR="00E3253D" w:rsidRPr="005D642E">
        <w:rPr>
          <w:rtl/>
          <w:lang w:bidi="fa-IR"/>
        </w:rPr>
        <w:t xml:space="preserve"> ، عَنِ الْحُسَيْنِ بْنِ سَعِيدٍ ، عَنْ فَضَالَةَ بْنِ أَيُّوبَ ، عَنِ الْحُسَيْنِ بْنِ عُثْمَانَ ، عَنْ سَمَاعَةَ ، عَنْ أَبِي بَصِيرٍ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w:t>
      </w:r>
      <w:r w:rsidRPr="007C12DB">
        <w:rPr>
          <w:rStyle w:val="libFootnotenumChar"/>
          <w:rtl/>
        </w:rPr>
        <w:t>(3)</w:t>
      </w:r>
      <w:r w:rsidRPr="005D642E">
        <w:rPr>
          <w:rtl/>
          <w:lang w:bidi="fa-IR"/>
        </w:rPr>
        <w:t xml:space="preserve"> نَسِيتَ فَغَسَلْتَ ذِرَاعَكَ </w:t>
      </w:r>
      <w:r w:rsidRPr="007C12DB">
        <w:rPr>
          <w:rStyle w:val="libFootnotenumChar"/>
          <w:rtl/>
        </w:rPr>
        <w:t>(4)</w:t>
      </w:r>
      <w:r w:rsidRPr="005D642E">
        <w:rPr>
          <w:rtl/>
          <w:lang w:bidi="fa-IR"/>
        </w:rPr>
        <w:t xml:space="preserve"> قَبْلَ وَجْهِكَ ، فَأَعِدْ غَسْلَ وَجْهِكَ </w:t>
      </w:r>
      <w:r w:rsidRPr="007C12DB">
        <w:rPr>
          <w:rStyle w:val="libFootnotenumChar"/>
          <w:rtl/>
        </w:rPr>
        <w:t>(5)</w:t>
      </w:r>
      <w:r w:rsidRPr="005D642E">
        <w:rPr>
          <w:rtl/>
          <w:lang w:bidi="fa-IR"/>
        </w:rPr>
        <w:t xml:space="preserve"> ، ثُمَّ اغْسِلْ </w:t>
      </w:r>
      <w:r w:rsidRPr="007C12DB">
        <w:rPr>
          <w:rStyle w:val="libFootnotenumChar"/>
          <w:rtl/>
        </w:rPr>
        <w:t>(6)</w:t>
      </w:r>
      <w:r w:rsidRPr="005D642E">
        <w:rPr>
          <w:rtl/>
          <w:lang w:bidi="fa-IR"/>
        </w:rPr>
        <w:t xml:space="preserve"> ذِرَاعَيْكَ بَعْدَ الْوَجْهِ ، فَإِنْ </w:t>
      </w:r>
      <w:r w:rsidRPr="007C12DB">
        <w:rPr>
          <w:rStyle w:val="libFootnotenumChar"/>
          <w:rtl/>
        </w:rPr>
        <w:t>(7)</w:t>
      </w:r>
      <w:r w:rsidRPr="005D642E">
        <w:rPr>
          <w:rtl/>
          <w:lang w:bidi="fa-IR"/>
        </w:rPr>
        <w:t xml:space="preserve"> بَدَأْتَ بِذِرَاعِكَ الْأَيْسَرِ قَبْلَ الْأَيْمَنِ </w:t>
      </w:r>
      <w:r w:rsidRPr="007C12DB">
        <w:rPr>
          <w:rStyle w:val="libFootnotenumChar"/>
          <w:rtl/>
        </w:rPr>
        <w:t>(8)</w:t>
      </w:r>
      <w:r w:rsidRPr="005D642E">
        <w:rPr>
          <w:rtl/>
          <w:lang w:bidi="fa-IR"/>
        </w:rPr>
        <w:t xml:space="preserve"> ، فَأَعِدْ غَسْلَ </w:t>
      </w:r>
      <w:r w:rsidRPr="007C12DB">
        <w:rPr>
          <w:rStyle w:val="libFootnotenumChar"/>
          <w:rtl/>
        </w:rPr>
        <w:t>(9)</w:t>
      </w:r>
      <w:r w:rsidRPr="005D642E">
        <w:rPr>
          <w:rtl/>
          <w:lang w:bidi="fa-IR"/>
        </w:rPr>
        <w:t xml:space="preserve"> الْأَيْمَنِ ، ثُمَّ اغْسِلِ الْيَسَارَ ، وَإِنْ نَسِيتَ مَسْحَ رَأْسِكَ حَتّى تَغْسِلَ رِجْلَيْكَ ، فَامْسَحْ رَأْسَكَ ، ثُمَّ اغْسِلْ رِجْلَيْكَ »</w:t>
      </w:r>
      <w:r>
        <w:rPr>
          <w:rtl/>
          <w:lang w:bidi="fa-IR"/>
        </w:rPr>
        <w:t>.</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A25800">
        <w:rPr>
          <w:rtl/>
        </w:rPr>
        <w:t>3965</w:t>
      </w:r>
      <w:r w:rsidRPr="00246318">
        <w:rPr>
          <w:rStyle w:val="libBold2Char"/>
          <w:rtl/>
        </w:rPr>
        <w:t xml:space="preserve"> / 7.</w:t>
      </w:r>
      <w:r w:rsidRPr="005D642E">
        <w:rPr>
          <w:rtl/>
          <w:lang w:bidi="fa-IR"/>
        </w:rPr>
        <w:t xml:space="preserve"> وَبِهذَا الْإِسْنَادِ ، قَالَ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إِذَا تَوَضَّأْتَ بَعْضَ وُضُوئِكَ ، فَعَرَضَتْ لَكَ حَاجَةٌ حَتّى يَنْشَفَ </w:t>
      </w:r>
      <w:r w:rsidRPr="007C12DB">
        <w:rPr>
          <w:rStyle w:val="libFootnotenumChar"/>
          <w:rtl/>
        </w:rPr>
        <w:t>(12)</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263FA8">
      <w:pPr>
        <w:pStyle w:val="libFootnote0"/>
        <w:rPr>
          <w:rtl/>
          <w:lang w:bidi="fa-IR"/>
        </w:rPr>
      </w:pPr>
      <w:r w:rsidRPr="0042621E">
        <w:rPr>
          <w:rStyle w:val="libFootnote0Char"/>
          <w:rtl/>
        </w:rPr>
        <w:t>(1).</w:t>
      </w:r>
      <w:r w:rsidR="00E3253D">
        <w:rPr>
          <w:rtl/>
        </w:rPr>
        <w:t xml:space="preserve"> </w:t>
      </w:r>
      <w:r w:rsidR="00E3253D" w:rsidRPr="005D642E">
        <w:rPr>
          <w:rtl/>
        </w:rPr>
        <w:t>هكذا في « ظ »</w:t>
      </w:r>
      <w:r w:rsidR="00E3253D">
        <w:rPr>
          <w:rtl/>
        </w:rPr>
        <w:t>.</w:t>
      </w:r>
      <w:r w:rsidR="00E3253D" w:rsidRPr="005D642E">
        <w:rPr>
          <w:rtl/>
        </w:rPr>
        <w:t xml:space="preserve"> وفي « ى ، بث ، بح ، بخ ، بس ، بف ، جح ، جس ، جن » والمطبوع : « أبي داود »</w:t>
      </w:r>
      <w:r w:rsidR="00E3253D">
        <w:rPr>
          <w:rtl/>
        </w:rPr>
        <w:t>.</w:t>
      </w:r>
      <w:r w:rsidR="00E3253D" w:rsidRPr="005D642E">
        <w:rPr>
          <w:rtl/>
        </w:rPr>
        <w:t xml:space="preserve"> والصواب ما</w:t>
      </w:r>
      <w:r w:rsidR="00E3253D">
        <w:rPr>
          <w:rFonts w:hint="cs"/>
          <w:rtl/>
        </w:rPr>
        <w:t xml:space="preserve"> </w:t>
      </w:r>
      <w:r w:rsidR="00E3253D" w:rsidRPr="005D642E">
        <w:rPr>
          <w:rtl/>
        </w:rPr>
        <w:t>أثبتناه ، كما تقدّم ذيل ح 3840.</w:t>
      </w:r>
      <w:r w:rsidR="00263FA8">
        <w:rPr>
          <w:rFonts w:hint="cs"/>
          <w:rtl/>
        </w:rPr>
        <w:t xml:space="preserve">                   </w:t>
      </w:r>
      <w:r w:rsidRPr="0042621E">
        <w:rPr>
          <w:rStyle w:val="libFootnote0Char"/>
          <w:rtl/>
        </w:rPr>
        <w:t>(2).</w:t>
      </w:r>
      <w:r w:rsidR="00E3253D" w:rsidRPr="005D642E">
        <w:rPr>
          <w:rtl/>
        </w:rPr>
        <w:t xml:space="preserve"> في الاستبصار :</w:t>
      </w:r>
      <w:r w:rsidR="00E3253D">
        <w:rPr>
          <w:rtl/>
        </w:rPr>
        <w:t xml:space="preserve"> </w:t>
      </w:r>
      <w:r w:rsidR="007642BC">
        <w:rPr>
          <w:rtl/>
        </w:rPr>
        <w:t>-</w:t>
      </w:r>
      <w:r w:rsidR="00E3253D">
        <w:rPr>
          <w:rtl/>
        </w:rPr>
        <w:t xml:space="preserve"> </w:t>
      </w:r>
      <w:r w:rsidR="00E3253D" w:rsidRPr="005D642E">
        <w:rPr>
          <w:rtl/>
        </w:rPr>
        <w:t>« وأبو داود جميعاً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المطبوع : « إذا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جن » وحاشية « بح ، بخ ، بس ، بف ، جح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365424">
        <w:rPr>
          <w:rtl/>
        </w:rPr>
        <w:t xml:space="preserve"> : «ذراعيك</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ج 13 ، ص 113 : « قوله </w:t>
      </w:r>
      <w:r w:rsidR="00E3253D" w:rsidRPr="00365424">
        <w:rPr>
          <w:rStyle w:val="libFootnoteAlaemChar"/>
          <w:rtl/>
        </w:rPr>
        <w:t>عليه‌السلام</w:t>
      </w:r>
      <w:r w:rsidR="00E3253D" w:rsidRPr="005D642E">
        <w:rPr>
          <w:rtl/>
        </w:rPr>
        <w:t xml:space="preserve"> : فأعد غسل وجهك ، ظاهر الإعادة أنّه كان غسل الوجه ويمكن أن‌يكون لمقارنة النيّة. وأمّا الإعادة في غسل الأيمن فيمكن أن يكون باعتبار مطلق الغسل ، أو المراد أصل الفعل بمجاز المشاكلة</w:t>
      </w:r>
      <w:r w:rsidR="00E3253D">
        <w:rPr>
          <w:rtl/>
        </w:rPr>
        <w:t xml:space="preserve"> ..</w:t>
      </w:r>
      <w:r w:rsidR="00E3253D" w:rsidRPr="005D642E">
        <w:rPr>
          <w:rtl/>
        </w:rPr>
        <w:t>. وما يتوهّم من بطلان غسل اليمين لكونه بعد غسل الشمال ، ففساده ظاهر »</w:t>
      </w:r>
      <w:r w:rsidR="00E3253D">
        <w:rPr>
          <w:rtl/>
        </w:rPr>
        <w:t>.</w:t>
      </w:r>
    </w:p>
    <w:tbl>
      <w:tblPr>
        <w:tblStyle w:val="TableGrid"/>
        <w:bidiVisual/>
        <w:tblW w:w="0" w:type="auto"/>
        <w:tblLook w:val="04A0" w:firstRow="1" w:lastRow="0" w:firstColumn="1" w:lastColumn="0" w:noHBand="0" w:noVBand="1"/>
      </w:tblPr>
      <w:tblGrid>
        <w:gridCol w:w="4006"/>
        <w:gridCol w:w="4006"/>
      </w:tblGrid>
      <w:tr w:rsidR="00312A89" w:rsidTr="00312A89">
        <w:tc>
          <w:tcPr>
            <w:tcW w:w="4006" w:type="dxa"/>
          </w:tcPr>
          <w:p w:rsidR="00312A89" w:rsidRDefault="00312A89" w:rsidP="00E3253D">
            <w:pPr>
              <w:pStyle w:val="libFootnote0"/>
              <w:rPr>
                <w:rStyle w:val="libFootnote0Char"/>
                <w:rtl/>
              </w:rPr>
            </w:pPr>
            <w:r w:rsidRPr="0042621E">
              <w:rPr>
                <w:rStyle w:val="libFootnote0Char"/>
                <w:rtl/>
              </w:rPr>
              <w:t>(6).</w:t>
            </w:r>
            <w:r w:rsidRPr="005D642E">
              <w:rPr>
                <w:rtl/>
              </w:rPr>
              <w:t xml:space="preserve"> في « بف » : « ثمّ أعد »</w:t>
            </w:r>
            <w:r>
              <w:rPr>
                <w:rtl/>
              </w:rPr>
              <w:t>.</w:t>
            </w:r>
          </w:p>
        </w:tc>
        <w:tc>
          <w:tcPr>
            <w:tcW w:w="4006" w:type="dxa"/>
          </w:tcPr>
          <w:p w:rsidR="00312A89" w:rsidRDefault="00312A89" w:rsidP="00E3253D">
            <w:pPr>
              <w:pStyle w:val="libFootnote0"/>
              <w:rPr>
                <w:rStyle w:val="libFootnote0Char"/>
                <w:rtl/>
              </w:rPr>
            </w:pPr>
            <w:r w:rsidRPr="0042621E">
              <w:rPr>
                <w:rStyle w:val="libFootnote0Char"/>
                <w:rtl/>
              </w:rPr>
              <w:t>(7).</w:t>
            </w:r>
            <w:r w:rsidRPr="005D642E">
              <w:rPr>
                <w:rtl/>
              </w:rPr>
              <w:t xml:space="preserve"> في « جس » : « وإن »</w:t>
            </w:r>
            <w:r>
              <w:rPr>
                <w:rtl/>
              </w:rPr>
              <w:t>.</w:t>
            </w:r>
          </w:p>
        </w:tc>
      </w:tr>
      <w:tr w:rsidR="00312A89" w:rsidTr="00312A89">
        <w:tc>
          <w:tcPr>
            <w:tcW w:w="4006" w:type="dxa"/>
          </w:tcPr>
          <w:p w:rsidR="00312A89" w:rsidRDefault="00034AEE" w:rsidP="00E3253D">
            <w:pPr>
              <w:pStyle w:val="libFootnote0"/>
              <w:rPr>
                <w:rStyle w:val="libFootnote0Char"/>
                <w:rtl/>
              </w:rPr>
            </w:pPr>
            <w:r w:rsidRPr="0042621E">
              <w:rPr>
                <w:rStyle w:val="libFootnote0Char"/>
                <w:rtl/>
              </w:rPr>
              <w:t>(8).</w:t>
            </w:r>
            <w:r w:rsidRPr="005D642E">
              <w:rPr>
                <w:rtl/>
              </w:rPr>
              <w:t xml:space="preserve"> في الاستبصار :</w:t>
            </w:r>
            <w:r>
              <w:rPr>
                <w:rtl/>
              </w:rPr>
              <w:t xml:space="preserve"> - </w:t>
            </w:r>
            <w:r w:rsidRPr="005D642E">
              <w:rPr>
                <w:rtl/>
              </w:rPr>
              <w:t>« قبل الأيمن »</w:t>
            </w:r>
            <w:r>
              <w:rPr>
                <w:rtl/>
              </w:rPr>
              <w:t>.</w:t>
            </w:r>
          </w:p>
        </w:tc>
        <w:tc>
          <w:tcPr>
            <w:tcW w:w="4006" w:type="dxa"/>
          </w:tcPr>
          <w:p w:rsidR="00312A89" w:rsidRDefault="00034AEE" w:rsidP="00E3253D">
            <w:pPr>
              <w:pStyle w:val="libFootnote0"/>
              <w:rPr>
                <w:rStyle w:val="libFootnote0Char"/>
                <w:rtl/>
              </w:rPr>
            </w:pPr>
            <w:r w:rsidRPr="0042621E">
              <w:rPr>
                <w:rStyle w:val="libFootnote0Char"/>
                <w:rtl/>
              </w:rPr>
              <w:t>(9).</w:t>
            </w:r>
            <w:r w:rsidRPr="005D642E">
              <w:rPr>
                <w:rtl/>
              </w:rPr>
              <w:t xml:space="preserve"> في التهذيب </w:t>
            </w:r>
            <w:r w:rsidRPr="00E678B5">
              <w:rPr>
                <w:rStyle w:val="libFootnoteBoldChar"/>
                <w:rtl/>
              </w:rPr>
              <w:t>والاستبصار</w:t>
            </w:r>
            <w:r w:rsidR="00E20794">
              <w:rPr>
                <w:rtl/>
              </w:rPr>
              <w:t xml:space="preserve"> :«على</w:t>
            </w:r>
            <w:r w:rsidRPr="005D642E">
              <w:rPr>
                <w:rtl/>
              </w:rPr>
              <w:t>» بدل « غسل »</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99 ، ح 258 ، بسنده عن الكليني ؛ </w:t>
      </w:r>
      <w:r w:rsidR="00E3253D" w:rsidRPr="002F4D34">
        <w:rPr>
          <w:rStyle w:val="libFootnoteBoldChar"/>
          <w:rtl/>
        </w:rPr>
        <w:t>الاستبصار</w:t>
      </w:r>
      <w:r w:rsidR="00E3253D" w:rsidRPr="005D642E">
        <w:rPr>
          <w:rtl/>
        </w:rPr>
        <w:t xml:space="preserve"> ، ج 1 ، ص 74 ، ح 227 ، معلّقاً عن الكليني </w:t>
      </w:r>
      <w:r w:rsidR="00861BF3">
        <w:rPr>
          <w:rFonts w:hint="cs"/>
          <w:rtl/>
        </w:rPr>
        <w:t>.</w:t>
      </w:r>
      <w:r w:rsidR="00E3253D" w:rsidRPr="002F4D34">
        <w:rPr>
          <w:rStyle w:val="libFootnoteBoldChar"/>
          <w:rtl/>
        </w:rPr>
        <w:t>الوافي</w:t>
      </w:r>
      <w:r w:rsidR="00E3253D" w:rsidRPr="005D642E">
        <w:rPr>
          <w:rtl/>
        </w:rPr>
        <w:t xml:space="preserve"> ، ج 6 ، ص 347 ، ح 4436 ؛ </w:t>
      </w:r>
      <w:r w:rsidR="00E3253D" w:rsidRPr="002F4D34">
        <w:rPr>
          <w:rStyle w:val="libFootnoteBoldChar"/>
          <w:rtl/>
        </w:rPr>
        <w:t>الوسائل</w:t>
      </w:r>
      <w:r w:rsidR="00E3253D" w:rsidRPr="005D642E">
        <w:rPr>
          <w:rtl/>
        </w:rPr>
        <w:t xml:space="preserve"> ، ج 1 ، ص 452 ، ح 1193.</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قال »</w:t>
      </w:r>
      <w:r w:rsidR="00E3253D">
        <w:rPr>
          <w:rtl/>
        </w:rPr>
        <w:t>.</w:t>
      </w:r>
      <w:r w:rsidR="00E3253D" w:rsidRPr="005D642E">
        <w:rPr>
          <w:rtl/>
        </w:rPr>
        <w:t xml:space="preserve"> والضمير المستتر في « قال » راجع إلى أبي بصير ، والمراد من « بهذا الإسناد » السند التحويلي المتقدّم المذكور إليه.</w:t>
      </w:r>
    </w:p>
    <w:p w:rsidR="00E3253D" w:rsidRPr="005D642E" w:rsidRDefault="0042621E" w:rsidP="008D7ADB">
      <w:pPr>
        <w:pStyle w:val="libFootnote0"/>
        <w:rPr>
          <w:rtl/>
          <w:lang w:bidi="fa-IR"/>
        </w:rPr>
      </w:pPr>
      <w:r w:rsidRPr="0042621E">
        <w:rPr>
          <w:rStyle w:val="libFootnote0Char"/>
          <w:rtl/>
        </w:rPr>
        <w:t>(12).</w:t>
      </w:r>
      <w:r w:rsidR="00E3253D" w:rsidRPr="005D642E">
        <w:rPr>
          <w:rtl/>
        </w:rPr>
        <w:t xml:space="preserve"> في « ى ، جح » وحاشية « ظ ، بخ ، بس ، بف ، جن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والعلل : « يبس »</w:t>
      </w:r>
      <w:r w:rsidR="00E3253D">
        <w:rPr>
          <w:rtl/>
        </w:rPr>
        <w:t>.</w:t>
      </w:r>
      <w:r w:rsidR="00E3253D" w:rsidRPr="005D642E">
        <w:rPr>
          <w:rtl/>
        </w:rPr>
        <w:t xml:space="preserve"> وفي‌حاشية « بف » : « نشف »</w:t>
      </w:r>
      <w:r w:rsidR="00E3253D">
        <w:rPr>
          <w:rtl/>
        </w:rPr>
        <w:t>.</w:t>
      </w:r>
      <w:r w:rsidR="00E3253D" w:rsidRPr="005D642E">
        <w:rPr>
          <w:rtl/>
        </w:rPr>
        <w:t xml:space="preserve"> وفي حاشية « بث » : « يبست »</w:t>
      </w:r>
      <w:r w:rsidR="00E3253D">
        <w:rPr>
          <w:rtl/>
        </w:rPr>
        <w:t>.</w:t>
      </w:r>
      <w:r w:rsidR="00E3253D" w:rsidRPr="005D642E">
        <w:rPr>
          <w:rtl/>
        </w:rPr>
        <w:t xml:space="preserve"> وفي الوافي : « تنشّف »</w:t>
      </w:r>
      <w:r w:rsidR="00E3253D">
        <w:rPr>
          <w:rtl/>
        </w:rPr>
        <w:t>.</w:t>
      </w:r>
      <w:r w:rsidR="00E3253D" w:rsidRPr="005D642E">
        <w:rPr>
          <w:rtl/>
        </w:rPr>
        <w:t xml:space="preserve"> وقوله : « ينشف وضوؤك » ، أي يبس ، يقال : نَشِفَ الماءُ : يبس. وأصل النشف دخول الماء في الأرض والثوب ، يقال : نشف الثوبُ الماءَ من </w:t>
      </w:r>
      <w:r w:rsidR="00861BF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وَضُوؤُكَ </w:t>
      </w:r>
      <w:r w:rsidRPr="007C12DB">
        <w:rPr>
          <w:rStyle w:val="libFootnotenumChar"/>
          <w:rtl/>
        </w:rPr>
        <w:t>(1)</w:t>
      </w:r>
      <w:r w:rsidRPr="005D642E">
        <w:rPr>
          <w:rtl/>
          <w:lang w:bidi="fa-IR"/>
        </w:rPr>
        <w:t xml:space="preserve"> ، فَأَعِدْ وُضُوءَكَ ؛ فَإِنَّ </w:t>
      </w:r>
      <w:r w:rsidRPr="007C12DB">
        <w:rPr>
          <w:rStyle w:val="libFootnotenumChar"/>
          <w:rtl/>
        </w:rPr>
        <w:t>(2)</w:t>
      </w:r>
      <w:r w:rsidRPr="005D642E">
        <w:rPr>
          <w:rtl/>
          <w:lang w:bidi="fa-IR"/>
        </w:rPr>
        <w:t xml:space="preserve"> الْوُضُوءَ لَايَتَبَعَّضُ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A25800">
        <w:rPr>
          <w:rtl/>
        </w:rPr>
        <w:t>3966</w:t>
      </w:r>
      <w:r w:rsidRPr="00246318">
        <w:rPr>
          <w:rStyle w:val="libBold2Char"/>
          <w:rtl/>
        </w:rPr>
        <w:t xml:space="preserve"> / 8.</w:t>
      </w:r>
      <w:r w:rsidRPr="005D642E">
        <w:rPr>
          <w:rtl/>
          <w:lang w:bidi="fa-IR"/>
        </w:rPr>
        <w:t xml:space="preserve"> عَلِيُّ بْنُ إِبْرَاهِيمَ ، عَنْ صَالِحِ بْنِ السِّنْدِيِّ ، عَنْ جَعْفَرِ بْنِ بَشِيرٍ ، عَنْ مُحَمَّدِ بْنِ أَبِي حَمْزَةَ ، عَنْ مُعَاوِيَةَ بْنِ عَمَّارٍ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رُبَّمَا تَوَضَّأْتُ ، فَنَفِدَ الْمَاءُ ، فَدَعَوْتُ الْجَارِيَةَ ، فَأَبْطَأَتْ عَلَيَّ بِالْمَاءِ ، فَيَجِفُّ وَضُوئِي</w:t>
      </w:r>
      <w:r>
        <w:rPr>
          <w:rtl/>
          <w:lang w:bidi="fa-IR"/>
        </w:rPr>
        <w:t>؟</w:t>
      </w:r>
      <w:r w:rsidRPr="005D642E">
        <w:rPr>
          <w:rtl/>
          <w:lang w:bidi="fa-IR"/>
        </w:rPr>
        <w:t xml:space="preserve"> فَقَالَ : « أَعِدْ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A25800">
        <w:rPr>
          <w:rtl/>
        </w:rPr>
        <w:t>3967</w:t>
      </w:r>
      <w:r w:rsidRPr="00246318">
        <w:rPr>
          <w:rStyle w:val="libBold2Char"/>
          <w:rtl/>
        </w:rPr>
        <w:t xml:space="preserve"> / 9.</w:t>
      </w:r>
      <w:r w:rsidRPr="005D642E">
        <w:rPr>
          <w:rtl/>
          <w:lang w:bidi="fa-IR"/>
        </w:rPr>
        <w:t xml:space="preserve"> الْحُسَيْنُ بْنُ مُحَمَّدٍ ، عَنْ مُعَلَّى بْنِ مُحَمَّدٍ ، عَنِ الْحَسَنِ بْنِ عَلِيٍّ الْوَشَّاءِ ، عَنْ حَمَّادِ بْنِ عُثْمَانَ ، عَنْ حَكَمِ بْنِ حُكَيْمٍ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رَجُلٍ نَسِيَ مِنَ الْوُضُوءِ الذِّرَاعَ وَالرَّأْسَ</w:t>
      </w:r>
      <w:r>
        <w:rPr>
          <w:rtl/>
          <w:lang w:bidi="fa-IR"/>
        </w:rPr>
        <w:t>؟</w:t>
      </w:r>
    </w:p>
    <w:p w:rsidR="00E3253D" w:rsidRPr="005D642E" w:rsidRDefault="00E3253D" w:rsidP="00E3253D">
      <w:pPr>
        <w:pStyle w:val="libNormal"/>
        <w:rPr>
          <w:rtl/>
          <w:lang w:bidi="fa-IR"/>
        </w:rPr>
      </w:pPr>
      <w:r w:rsidRPr="005D642E">
        <w:rPr>
          <w:rtl/>
          <w:lang w:bidi="fa-IR"/>
        </w:rPr>
        <w:t>قَالَ : « يُعِيدُ الْوُضُوءَ ؛ إِنَّ الْوُضُوءَ يُتْبَعُ بَعْضُهُ بَعْضاً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504823" w:rsidP="00E3253D">
      <w:pPr>
        <w:pStyle w:val="libFootnote0"/>
        <w:rPr>
          <w:rtl/>
          <w:lang w:bidi="fa-IR"/>
        </w:rPr>
      </w:pPr>
      <w:r>
        <w:rPr>
          <w:rFonts w:hint="cs"/>
          <w:rtl/>
        </w:rPr>
        <w:t xml:space="preserve">= </w:t>
      </w:r>
      <w:r w:rsidR="008D7ADB" w:rsidRPr="005D642E">
        <w:rPr>
          <w:rtl/>
        </w:rPr>
        <w:t xml:space="preserve">باب تعب ، أي شربه ونشفتُ الماءَ من </w:t>
      </w:r>
      <w:r w:rsidR="00E3253D" w:rsidRPr="005D642E">
        <w:rPr>
          <w:rtl/>
        </w:rPr>
        <w:t xml:space="preserve">باب ضرب ، إذا أخذته من غدير أو أرض بخرقة ونحوها ، ونشّفته بالتثقيل مبالغة ، وتَنَشَّفَ الرجلُ : مسح الماءَ عن جسده بخرقة ونحوها. راجع : </w:t>
      </w:r>
      <w:r w:rsidR="00E3253D" w:rsidRPr="002F4D34">
        <w:rPr>
          <w:rStyle w:val="libFootnoteBoldChar"/>
          <w:rtl/>
        </w:rPr>
        <w:t>النهاية</w:t>
      </w:r>
      <w:r w:rsidR="00E3253D" w:rsidRPr="005D642E">
        <w:rPr>
          <w:rtl/>
        </w:rPr>
        <w:t xml:space="preserve"> ، ج 5 ، ص 58 ؛ </w:t>
      </w:r>
      <w:r w:rsidR="00E3253D" w:rsidRPr="002F4D34">
        <w:rPr>
          <w:rStyle w:val="libFootnoteBoldChar"/>
          <w:rtl/>
        </w:rPr>
        <w:t>لسان العرب</w:t>
      </w:r>
      <w:r w:rsidR="00E3253D" w:rsidRPr="005D642E">
        <w:rPr>
          <w:rtl/>
        </w:rPr>
        <w:t xml:space="preserve"> ، ج 9 ، ص 329 ؛ </w:t>
      </w:r>
      <w:r w:rsidR="00E3253D" w:rsidRPr="002F4D34">
        <w:rPr>
          <w:rStyle w:val="libFootnoteBoldChar"/>
          <w:rtl/>
        </w:rPr>
        <w:t>المصباح المنير</w:t>
      </w:r>
      <w:r w:rsidR="00E3253D" w:rsidRPr="005D642E">
        <w:rPr>
          <w:rtl/>
        </w:rPr>
        <w:t xml:space="preserve"> ، ص 606 ( نشف )</w:t>
      </w:r>
      <w:r w:rsidR="00E3253D">
        <w:rPr>
          <w:rtl/>
        </w:rPr>
        <w:t>.</w:t>
      </w:r>
    </w:p>
    <w:p w:rsidR="00E3253D" w:rsidRPr="005D642E" w:rsidRDefault="0042621E" w:rsidP="006A6DBA">
      <w:pPr>
        <w:pStyle w:val="libFootnote0"/>
        <w:rPr>
          <w:rtl/>
          <w:lang w:bidi="fa-IR"/>
        </w:rPr>
      </w:pPr>
      <w:r w:rsidRPr="0042621E">
        <w:rPr>
          <w:rStyle w:val="libFootnote0Char"/>
          <w:rtl/>
        </w:rPr>
        <w:t>(1).</w:t>
      </w:r>
      <w:r w:rsidR="00E3253D">
        <w:rPr>
          <w:rtl/>
        </w:rPr>
        <w:t xml:space="preserve"> </w:t>
      </w:r>
      <w:r w:rsidR="00E3253D" w:rsidRPr="005D642E">
        <w:rPr>
          <w:rtl/>
        </w:rPr>
        <w:t>الوَضوء بفتح الواو : الماء الذي</w:t>
      </w:r>
      <w:r w:rsidR="0013377A">
        <w:rPr>
          <w:rtl/>
        </w:rPr>
        <w:t xml:space="preserve"> يتوضّأ به. قال العل</w:t>
      </w:r>
      <w:r w:rsidR="0013377A">
        <w:rPr>
          <w:rFonts w:hint="cs"/>
          <w:rtl/>
        </w:rPr>
        <w:t>ّ</w:t>
      </w:r>
      <w:r w:rsidR="0013377A">
        <w:rPr>
          <w:rtl/>
        </w:rPr>
        <w:t>ا</w:t>
      </w:r>
      <w:r w:rsidR="00E3253D" w:rsidRPr="005D642E">
        <w:rPr>
          <w:rtl/>
        </w:rPr>
        <w:t>مة الفيض : « وكذا في الخبر الآتي ، ويحتمل الضمّ فيهما بمعنى الغَ</w:t>
      </w:r>
      <w:r w:rsidR="00167D73">
        <w:rPr>
          <w:rtl/>
        </w:rPr>
        <w:t>سل أو معناه العرفي » وقال العل</w:t>
      </w:r>
      <w:r w:rsidR="00167D73">
        <w:rPr>
          <w:rFonts w:hint="cs"/>
          <w:rtl/>
        </w:rPr>
        <w:t>ّ</w:t>
      </w:r>
      <w:r w:rsidR="00167D73">
        <w:rPr>
          <w:rtl/>
        </w:rPr>
        <w:t>ا</w:t>
      </w:r>
      <w:r w:rsidR="00E3253D" w:rsidRPr="005D642E">
        <w:rPr>
          <w:rtl/>
        </w:rPr>
        <w:t xml:space="preserve">مة المجلسي : « قوله </w:t>
      </w:r>
      <w:r w:rsidR="00E3253D" w:rsidRPr="00167D73">
        <w:rPr>
          <w:rStyle w:val="libFootnoteAlaemChar"/>
          <w:rtl/>
        </w:rPr>
        <w:t>عليه‌السلام</w:t>
      </w:r>
      <w:r w:rsidR="00E3253D" w:rsidRPr="005D642E">
        <w:rPr>
          <w:rtl/>
        </w:rPr>
        <w:t xml:space="preserve"> : حتّى ينشف</w:t>
      </w:r>
      <w:r w:rsidR="00E3253D">
        <w:rPr>
          <w:rtl/>
        </w:rPr>
        <w:t xml:space="preserve"> ..</w:t>
      </w:r>
      <w:r w:rsidR="00E3253D" w:rsidRPr="005D642E">
        <w:rPr>
          <w:rtl/>
        </w:rPr>
        <w:t xml:space="preserve">. بناء على كون الجنس المضاف مفيداً للعموم ، يدلّ على جفاف الجميع ، والتعليل يدلّ على الاكتفاء بالبعض » ثمّ ذكر أنّ المبطل هو جفاف الجميع عند الأكثر واستظهره ، وجفاف البعض عند بعض. راجع : </w:t>
      </w:r>
      <w:r w:rsidR="00E3253D" w:rsidRPr="002F4D34">
        <w:rPr>
          <w:rStyle w:val="libFootnoteBoldChar"/>
          <w:rtl/>
        </w:rPr>
        <w:t>الصحاح</w:t>
      </w:r>
      <w:r w:rsidR="00E3253D" w:rsidRPr="005D642E">
        <w:rPr>
          <w:rtl/>
        </w:rPr>
        <w:t xml:space="preserve"> ، ج 1 ، ص 81 ؛ </w:t>
      </w:r>
      <w:r w:rsidR="00E3253D" w:rsidRPr="002F4D34">
        <w:rPr>
          <w:rStyle w:val="libFootnoteBoldChar"/>
          <w:rtl/>
        </w:rPr>
        <w:t>النهاية</w:t>
      </w:r>
      <w:r w:rsidR="00E3253D" w:rsidRPr="005D642E">
        <w:rPr>
          <w:rtl/>
        </w:rPr>
        <w:t xml:space="preserve"> ، ج 5 ، ص 195 ( وضأ )</w:t>
      </w:r>
      <w:r w:rsidR="00E3253D">
        <w:rPr>
          <w:rtl/>
        </w:rPr>
        <w:t>.</w:t>
      </w:r>
      <w:r w:rsidR="006A6DBA">
        <w:rPr>
          <w:rFonts w:hint="cs"/>
          <w:rtl/>
        </w:rPr>
        <w:t xml:space="preserve">                                                        </w:t>
      </w:r>
      <w:r w:rsidRPr="0042621E">
        <w:rPr>
          <w:rStyle w:val="libFootnote0Char"/>
          <w:rtl/>
        </w:rPr>
        <w:t>(2).</w:t>
      </w:r>
      <w:r w:rsidR="00E3253D" w:rsidRPr="005D642E">
        <w:rPr>
          <w:rtl/>
        </w:rPr>
        <w:t xml:space="preserve"> في « جس » : « لأنّ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وحاشية « ى » والوسائل </w:t>
      </w:r>
      <w:r w:rsidR="00B60612" w:rsidRPr="00B60612">
        <w:rPr>
          <w:rStyle w:val="libFootnoteBoldChar"/>
          <w:rtl/>
        </w:rPr>
        <w:t>والتهذيب</w:t>
      </w:r>
      <w:r w:rsidR="00E3253D" w:rsidRPr="005D642E">
        <w:rPr>
          <w:rtl/>
        </w:rPr>
        <w:t xml:space="preserve"> والعلل : « لا يبعّض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98 ، ح 255 ، بسنده عن الكليني. </w:t>
      </w:r>
      <w:r w:rsidR="00E3253D" w:rsidRPr="002F4D34">
        <w:rPr>
          <w:rStyle w:val="libFootnoteBoldChar"/>
          <w:rtl/>
        </w:rPr>
        <w:t>وفيه</w:t>
      </w:r>
      <w:r w:rsidR="00E3253D" w:rsidRPr="005D642E">
        <w:rPr>
          <w:rtl/>
        </w:rPr>
        <w:t xml:space="preserve"> ، ص 87 ، ح 230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72 ، ح 220 ، بسندهما عن أحمد بن محمّد ، عن الحسين بن سعيد. </w:t>
      </w:r>
      <w:r w:rsidR="00E3253D" w:rsidRPr="002F4D34">
        <w:rPr>
          <w:rStyle w:val="libFootnoteBoldChar"/>
          <w:rtl/>
        </w:rPr>
        <w:t>علل الشرائع</w:t>
      </w:r>
      <w:r w:rsidR="00E3253D" w:rsidRPr="005D642E">
        <w:rPr>
          <w:rtl/>
        </w:rPr>
        <w:t xml:space="preserve"> ، ص 289 ، ح 2 ، بسنده عن أحمد بن محمّد ، عن الحسين بن سعيد ، عن فضالة بن أيّوب ، عن سماعة </w:t>
      </w:r>
      <w:r w:rsidR="00317CCE">
        <w:rPr>
          <w:rFonts w:hint="cs"/>
          <w:rtl/>
        </w:rPr>
        <w:t>.</w:t>
      </w:r>
      <w:r w:rsidR="00E3253D" w:rsidRPr="002F4D34">
        <w:rPr>
          <w:rStyle w:val="libFootnoteBoldChar"/>
          <w:rtl/>
        </w:rPr>
        <w:t>الوافي</w:t>
      </w:r>
      <w:r w:rsidR="00E3253D" w:rsidRPr="005D642E">
        <w:rPr>
          <w:rtl/>
        </w:rPr>
        <w:t xml:space="preserve"> ، ج 6 ، ص 347 ، ح 4437 ؛ </w:t>
      </w:r>
      <w:r w:rsidR="00E3253D" w:rsidRPr="002F4D34">
        <w:rPr>
          <w:rStyle w:val="libFootnoteBoldChar"/>
          <w:rtl/>
        </w:rPr>
        <w:t>الوسائل</w:t>
      </w:r>
      <w:r w:rsidR="00E3253D" w:rsidRPr="005D642E">
        <w:rPr>
          <w:rtl/>
        </w:rPr>
        <w:t xml:space="preserve"> ، ج 1 ، ص 446 ، ح 1176.</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98 ، ح 256 ، معلّقاً عن عليّ بن إبراهيم ، عن أبيه ، عن صالح بن السندي. </w:t>
      </w:r>
      <w:r w:rsidR="00E3253D" w:rsidRPr="002F4D34">
        <w:rPr>
          <w:rStyle w:val="libFootnoteBoldChar"/>
          <w:rtl/>
        </w:rPr>
        <w:t>وفيه</w:t>
      </w:r>
      <w:r w:rsidR="00E3253D" w:rsidRPr="005D642E">
        <w:rPr>
          <w:rtl/>
        </w:rPr>
        <w:t xml:space="preserve"> ، ص 87 ، ح 231 ؛ </w:t>
      </w:r>
      <w:r w:rsidR="00E3253D" w:rsidRPr="00E678B5">
        <w:rPr>
          <w:rStyle w:val="libFootnoteBoldChar"/>
          <w:rtl/>
        </w:rPr>
        <w:t>والاستبصار</w:t>
      </w:r>
      <w:r w:rsidR="00E3253D" w:rsidRPr="005D642E">
        <w:rPr>
          <w:rtl/>
        </w:rPr>
        <w:t xml:space="preserve"> ، ج 1 ، ص 72 ، ح 221 ، بسند آخر عن معاوية بن عمّار </w:t>
      </w:r>
      <w:r w:rsidR="00317CCE">
        <w:rPr>
          <w:rFonts w:hint="cs"/>
          <w:rtl/>
        </w:rPr>
        <w:t>.</w:t>
      </w:r>
      <w:r w:rsidR="00E3253D" w:rsidRPr="002F4D34">
        <w:rPr>
          <w:rStyle w:val="libFootnoteBoldChar"/>
          <w:rtl/>
        </w:rPr>
        <w:t>الوافي</w:t>
      </w:r>
      <w:r w:rsidR="00E3253D" w:rsidRPr="005D642E">
        <w:rPr>
          <w:rtl/>
        </w:rPr>
        <w:t xml:space="preserve"> ، ج 6 ، ص 347 ، ح 4438 ؛ </w:t>
      </w:r>
      <w:r w:rsidR="00E3253D" w:rsidRPr="002F4D34">
        <w:rPr>
          <w:rStyle w:val="libFootnoteBoldChar"/>
          <w:rtl/>
        </w:rPr>
        <w:t>الوسائل</w:t>
      </w:r>
      <w:r w:rsidR="00E3253D" w:rsidRPr="005D642E">
        <w:rPr>
          <w:rtl/>
        </w:rPr>
        <w:t xml:space="preserve"> ، ج 1 ، ص 447 ، ذيل ح 1177.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علل الشرائع</w:t>
      </w:r>
      <w:r w:rsidR="00E3253D" w:rsidRPr="005D642E">
        <w:rPr>
          <w:rtl/>
        </w:rPr>
        <w:t xml:space="preserve"> ، ص 289 ، ح 1 ، عن أبيه ، عن الحسين بن محمّد بن عامر ، عن معلّى بن محمّد. راجع : </w:t>
      </w:r>
      <w:r w:rsidR="00EF19F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87" w:name="_Toc344647239"/>
      <w:bookmarkStart w:id="88" w:name="_Toc462226754"/>
      <w:bookmarkStart w:id="89" w:name="_Toc40975862"/>
      <w:r w:rsidRPr="005D642E">
        <w:rPr>
          <w:rtl/>
          <w:lang w:bidi="fa-IR"/>
        </w:rPr>
        <w:lastRenderedPageBreak/>
        <w:t>23</w:t>
      </w:r>
      <w:r>
        <w:rPr>
          <w:rtl/>
          <w:lang w:bidi="fa-IR"/>
        </w:rPr>
        <w:t xml:space="preserve"> </w:t>
      </w:r>
      <w:r w:rsidR="007642BC">
        <w:rPr>
          <w:rtl/>
          <w:lang w:bidi="fa-IR"/>
        </w:rPr>
        <w:t>-</w:t>
      </w:r>
      <w:r>
        <w:rPr>
          <w:rtl/>
          <w:lang w:bidi="fa-IR"/>
        </w:rPr>
        <w:t xml:space="preserve"> </w:t>
      </w:r>
      <w:r w:rsidRPr="005D642E">
        <w:rPr>
          <w:rtl/>
          <w:lang w:bidi="fa-IR"/>
        </w:rPr>
        <w:t>بَابُ مَا يَنْقُضُ الْوُضُوءَ وَمَا لَايَنْقُضُهُ‌</w:t>
      </w:r>
      <w:bookmarkEnd w:id="87"/>
      <w:bookmarkEnd w:id="88"/>
      <w:bookmarkEnd w:id="89"/>
    </w:p>
    <w:p w:rsidR="00D943B5" w:rsidRDefault="00E3253D" w:rsidP="00D943B5">
      <w:pPr>
        <w:pStyle w:val="libNormal"/>
        <w:rPr>
          <w:rtl/>
          <w:lang w:bidi="fa-IR"/>
        </w:rPr>
      </w:pPr>
      <w:r w:rsidRPr="00AB1D37">
        <w:rPr>
          <w:rtl/>
        </w:rPr>
        <w:t>3968</w:t>
      </w:r>
      <w:r w:rsidRPr="00246318">
        <w:rPr>
          <w:rStyle w:val="libBold2Char"/>
          <w:rtl/>
        </w:rPr>
        <w:t xml:space="preserve"> / 1.</w:t>
      </w:r>
      <w:r w:rsidRPr="005D642E">
        <w:rPr>
          <w:rtl/>
          <w:lang w:bidi="fa-IR"/>
        </w:rPr>
        <w:t xml:space="preserve"> مُحَمَّدُ بْنُ إِسْمَاعِيلَ ، عَنِ الْفَضْلِ بْنِ شَاذَانَ ؛</w:t>
      </w:r>
    </w:p>
    <w:p w:rsidR="00E3253D" w:rsidRPr="005D642E" w:rsidRDefault="00D943B5" w:rsidP="00D943B5">
      <w:pPr>
        <w:pStyle w:val="libNormal"/>
        <w:rPr>
          <w:rtl/>
          <w:lang w:bidi="fa-IR"/>
        </w:rPr>
      </w:pPr>
      <w:r>
        <w:rPr>
          <w:rFonts w:hint="cs"/>
          <w:rtl/>
          <w:lang w:bidi="fa-IR"/>
        </w:rPr>
        <w:t xml:space="preserve">              </w:t>
      </w:r>
      <w:r w:rsidR="00E3253D" w:rsidRPr="005D642E">
        <w:rPr>
          <w:rtl/>
          <w:lang w:bidi="fa-IR"/>
        </w:rPr>
        <w:t>وَأَحْمَدُ بْنُ إِدْرِيسَ ، عَنْ مُحَمَّدِ بْنِ عَبْدِ الْجَبَّارِ جَمِيعاً ، عَنْ صَفْوَانَ بْنِ يَحْيى ، عَنْ سَالِمٍ أَبِي الْفَضْلِ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w:t>
      </w:r>
      <w:r w:rsidR="00FB467E">
        <w:rPr>
          <w:rtl/>
          <w:lang w:bidi="fa-IR"/>
        </w:rPr>
        <w:t>َيْسَ يَنْقُضُ الْوُضُوءَ إِل</w:t>
      </w:r>
      <w:r w:rsidR="00FB467E">
        <w:rPr>
          <w:rFonts w:hint="cs"/>
          <w:rtl/>
          <w:lang w:bidi="fa-IR"/>
        </w:rPr>
        <w:t>ٍّ</w:t>
      </w:r>
      <w:r w:rsidR="00FB467E">
        <w:rPr>
          <w:rtl/>
          <w:lang w:bidi="fa-IR"/>
        </w:rPr>
        <w:t>ا</w:t>
      </w:r>
      <w:r w:rsidRPr="005D642E">
        <w:rPr>
          <w:rtl/>
          <w:lang w:bidi="fa-IR"/>
        </w:rPr>
        <w:t xml:space="preserve"> مَا خَرَجَ مِنْ طَرَفَيْكَ الْأَسْفَلَيْنِ </w:t>
      </w:r>
      <w:r w:rsidRPr="007C12DB">
        <w:rPr>
          <w:rStyle w:val="libFootnotenumChar"/>
          <w:rtl/>
        </w:rPr>
        <w:t>(1)</w:t>
      </w:r>
      <w:r w:rsidRPr="005D642E">
        <w:rPr>
          <w:rtl/>
          <w:lang w:bidi="fa-IR"/>
        </w:rPr>
        <w:t xml:space="preserve"> اللَّذَيْنِ أَنْعَمَ اللهُ عَلَيْكَ بِهِمَا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AB1D37">
        <w:rPr>
          <w:rtl/>
        </w:rPr>
        <w:t>3969</w:t>
      </w:r>
      <w:r w:rsidRPr="00246318">
        <w:rPr>
          <w:rStyle w:val="libBold2Char"/>
          <w:rtl/>
        </w:rPr>
        <w:t xml:space="preserve"> / 2.</w:t>
      </w:r>
      <w:r w:rsidRPr="005D642E">
        <w:rPr>
          <w:rtl/>
          <w:lang w:bidi="fa-IR"/>
        </w:rPr>
        <w:t xml:space="preserve"> مُحَمَّدُ بْنُ يَحْيى ، عَنْ أَحْمَدَ بْنِ مُحَمَّدٍ ، عَنْ مُحَمَّدِ بْنِ سَهْلٍ ، عَنْ زَكَرِيَّا بْنِ آدَمَ ، قَالَ :</w:t>
      </w:r>
    </w:p>
    <w:p w:rsidR="00E3253D" w:rsidRPr="005D642E" w:rsidRDefault="00E3253D" w:rsidP="00E3253D">
      <w:pPr>
        <w:pStyle w:val="libNormal"/>
        <w:rPr>
          <w:rtl/>
          <w:lang w:bidi="fa-IR"/>
        </w:rPr>
      </w:pPr>
      <w:r w:rsidRPr="005D642E">
        <w:rPr>
          <w:rtl/>
          <w:lang w:bidi="fa-IR"/>
        </w:rPr>
        <w:t xml:space="preserve">سَأَلْتُ الرِّضَا </w:t>
      </w:r>
      <w:r w:rsidRPr="00AC51C5">
        <w:rPr>
          <w:rStyle w:val="libAlaemChar"/>
          <w:rtl/>
        </w:rPr>
        <w:t>عليه‌السلام</w:t>
      </w:r>
      <w:r w:rsidRPr="005D642E">
        <w:rPr>
          <w:rtl/>
          <w:lang w:bidi="fa-IR"/>
        </w:rPr>
        <w:t xml:space="preserve"> عَنِ النَّاسُورِ </w:t>
      </w:r>
      <w:r w:rsidRPr="007C12DB">
        <w:rPr>
          <w:rStyle w:val="libFootnotenumChar"/>
          <w:rtl/>
        </w:rPr>
        <w:t>(4)</w:t>
      </w:r>
      <w:r>
        <w:rPr>
          <w:rtl/>
          <w:lang w:bidi="fa-IR"/>
        </w:rPr>
        <w:t xml:space="preserve"> : أَ</w:t>
      </w:r>
      <w:r w:rsidRPr="005D642E">
        <w:rPr>
          <w:rtl/>
          <w:lang w:bidi="fa-IR"/>
        </w:rPr>
        <w:t>يَنْقُضُ الْوُضُوءَ</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3E2FC3" w:rsidP="00E3253D">
      <w:pPr>
        <w:pStyle w:val="libFootnote0"/>
        <w:rPr>
          <w:rtl/>
          <w:lang w:bidi="fa-IR"/>
        </w:rPr>
      </w:pPr>
      <w:r w:rsidRPr="00365424">
        <w:rPr>
          <w:rFonts w:hint="cs"/>
          <w:rtl/>
        </w:rPr>
        <w:t xml:space="preserve">= </w:t>
      </w:r>
      <w:r w:rsidR="00E3253D" w:rsidRPr="002F4D34">
        <w:rPr>
          <w:rStyle w:val="libFootnoteBoldChar"/>
          <w:rtl/>
        </w:rPr>
        <w:t>التهذيب</w:t>
      </w:r>
      <w:r w:rsidR="00E3253D" w:rsidRPr="005D642E">
        <w:rPr>
          <w:rtl/>
        </w:rPr>
        <w:t xml:space="preserve"> ، ج 1 ، ص 88 ، ح 223 ؛ وص 89 ، ح 224 ، 225 </w:t>
      </w:r>
      <w:r w:rsidR="00E3253D">
        <w:rPr>
          <w:rtl/>
        </w:rPr>
        <w:t>و 2</w:t>
      </w:r>
      <w:r w:rsidR="00E3253D" w:rsidRPr="005D642E">
        <w:rPr>
          <w:rtl/>
        </w:rPr>
        <w:t xml:space="preserve">26 ؛ وص 99 ، ح 259 ؛ </w:t>
      </w:r>
      <w:r w:rsidR="00E3253D" w:rsidRPr="00E678B5">
        <w:rPr>
          <w:rStyle w:val="libFootnoteBoldChar"/>
          <w:rtl/>
        </w:rPr>
        <w:t>والاستبصار</w:t>
      </w:r>
      <w:r w:rsidR="00E3253D" w:rsidRPr="005D642E">
        <w:rPr>
          <w:rtl/>
        </w:rPr>
        <w:t xml:space="preserve"> ، ج 1 ، ص 74 ، ح 229 </w:t>
      </w:r>
      <w:r w:rsidR="00276ECC">
        <w:rPr>
          <w:rFonts w:hint="cs"/>
          <w:rtl/>
        </w:rPr>
        <w:t>.</w:t>
      </w:r>
      <w:r w:rsidR="00E3253D" w:rsidRPr="002F4D34">
        <w:rPr>
          <w:rStyle w:val="libFootnoteBoldChar"/>
          <w:rtl/>
        </w:rPr>
        <w:t>الوافي</w:t>
      </w:r>
      <w:r w:rsidR="00E3253D" w:rsidRPr="005D642E">
        <w:rPr>
          <w:rtl/>
        </w:rPr>
        <w:t xml:space="preserve"> ، ج 6 ، ص 346 ، ح 4435 ؛ </w:t>
      </w:r>
      <w:r w:rsidR="00E3253D" w:rsidRPr="002F4D34">
        <w:rPr>
          <w:rStyle w:val="libFootnoteBoldChar"/>
          <w:rtl/>
        </w:rPr>
        <w:t>الوسائل</w:t>
      </w:r>
      <w:r w:rsidR="00E3253D" w:rsidRPr="005D642E">
        <w:rPr>
          <w:rtl/>
        </w:rPr>
        <w:t xml:space="preserve"> ، ج 1 ، ص 448 ، ذيل ح 1180.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يعني أنّ الذي هو الأصل في النقض ينحصر في الخارج من الأسفلين ، وأمّا النوم ومزيل العقل‌فإنّما ينقضان بتبعيّة الخارج ولكونهما مظنّة له. أو أنّ الحصر إضافي بالنسبة إلى ما يخرج من غير الأسفلين كالرُعاف والقي‌ء ونحوهما ممّا قال بنقضه المخالفون ، فهو ردّ عليهم »</w:t>
      </w:r>
      <w:r w:rsidR="00E3253D">
        <w:rPr>
          <w:rtl/>
        </w:rPr>
        <w:t>.</w:t>
      </w:r>
    </w:p>
    <w:p w:rsidR="00E3253D" w:rsidRPr="005D642E" w:rsidRDefault="00E3253D" w:rsidP="00E3253D">
      <w:pPr>
        <w:pStyle w:val="libFootnote0"/>
        <w:rPr>
          <w:rtl/>
          <w:lang w:bidi="fa-IR"/>
        </w:rPr>
      </w:pPr>
      <w:r w:rsidRPr="00B60612">
        <w:rPr>
          <w:rtl/>
        </w:rPr>
        <w:t>وال</w:t>
      </w:r>
      <w:r w:rsidR="00276ECC">
        <w:rPr>
          <w:rtl/>
        </w:rPr>
        <w:t>عل</w:t>
      </w:r>
      <w:r w:rsidR="00276ECC">
        <w:rPr>
          <w:rFonts w:hint="cs"/>
          <w:rtl/>
        </w:rPr>
        <w:t>ّ</w:t>
      </w:r>
      <w:r w:rsidR="00276ECC">
        <w:rPr>
          <w:rtl/>
        </w:rPr>
        <w:t>ا</w:t>
      </w:r>
      <w:r w:rsidRPr="00B60612">
        <w:rPr>
          <w:rtl/>
        </w:rPr>
        <w:t xml:space="preserve">مة المجلسي ذكر الأخير فقط في </w:t>
      </w:r>
      <w:r w:rsidRPr="002F4D34">
        <w:rPr>
          <w:rStyle w:val="libFootnoteBoldChar"/>
          <w:rtl/>
        </w:rPr>
        <w:t>مرآة العقول</w:t>
      </w:r>
      <w:r w:rsidRPr="00B60612">
        <w:rPr>
          <w:rtl/>
        </w:rPr>
        <w:t xml:space="preserve"> ، ج 13 ، ص 115 ، ثمّ قال : « وإن كان المراد بالخطاب صنف المخاطب يكون المرا</w:t>
      </w:r>
      <w:r w:rsidR="003970F8">
        <w:rPr>
          <w:rtl/>
        </w:rPr>
        <w:t>د الناقض بالنسبة إلى الرجل وإل</w:t>
      </w:r>
      <w:r w:rsidR="003970F8">
        <w:rPr>
          <w:rFonts w:hint="cs"/>
          <w:rtl/>
        </w:rPr>
        <w:t>ّ</w:t>
      </w:r>
      <w:r w:rsidR="003970F8">
        <w:rPr>
          <w:rtl/>
        </w:rPr>
        <w:t>ا</w:t>
      </w:r>
      <w:r w:rsidRPr="00B60612">
        <w:rPr>
          <w:rtl/>
        </w:rPr>
        <w:t xml:space="preserve"> فمطلقاً ؛ ليشمل الدماء الثلاثة أيضاً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بهما عليك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10 ، ح 17 ، بسنده عن الكليني ؛ </w:t>
      </w:r>
      <w:r w:rsidR="00E3253D" w:rsidRPr="002F4D34">
        <w:rPr>
          <w:rStyle w:val="libFootnoteBoldChar"/>
          <w:rtl/>
        </w:rPr>
        <w:t>الاستبصار</w:t>
      </w:r>
      <w:r w:rsidR="00E3253D" w:rsidRPr="005D642E">
        <w:rPr>
          <w:rtl/>
        </w:rPr>
        <w:t xml:space="preserve"> ، ج 1 ، ص 85 ، ح 271 ، بسنده عن الكليني ، بالطريق الأوّل. </w:t>
      </w:r>
      <w:r w:rsidR="00E3253D" w:rsidRPr="002F4D34">
        <w:rPr>
          <w:rStyle w:val="libFootnoteBoldChar"/>
          <w:rtl/>
        </w:rPr>
        <w:t>التهذيب</w:t>
      </w:r>
      <w:r w:rsidR="00E3253D" w:rsidRPr="005D642E">
        <w:rPr>
          <w:rtl/>
        </w:rPr>
        <w:t xml:space="preserve"> ، ج 1 ، ص 16 ، ح 36 ، بسند آخر ، إلى قوله : « من طرفيك الأسفلين »</w:t>
      </w:r>
      <w:r w:rsidR="00E3253D">
        <w:rPr>
          <w:rtl/>
        </w:rPr>
        <w:t>.</w:t>
      </w:r>
      <w:r w:rsidR="00E3253D" w:rsidRPr="005D642E">
        <w:rPr>
          <w:rtl/>
        </w:rPr>
        <w:t xml:space="preserve"> </w:t>
      </w:r>
      <w:r w:rsidR="00E3253D" w:rsidRPr="002F4D34">
        <w:rPr>
          <w:rStyle w:val="libFootnoteBoldChar"/>
          <w:rtl/>
        </w:rPr>
        <w:t>عيون الأخبار</w:t>
      </w:r>
      <w:r w:rsidR="00E3253D" w:rsidRPr="005D642E">
        <w:rPr>
          <w:rtl/>
        </w:rPr>
        <w:t xml:space="preserve"> ، ج 2 ، ص 18 ، ضمن الحديث الطويل 44 ، بسند آخر عن الرضا ، عن أبي جعفر </w:t>
      </w:r>
      <w:r w:rsidR="00E3253D" w:rsidRPr="009A4368">
        <w:rPr>
          <w:rStyle w:val="libFootnoteAlaemChar"/>
          <w:rtl/>
        </w:rPr>
        <w:t>عليهما‌السلام</w:t>
      </w:r>
      <w:r w:rsidR="00E3253D" w:rsidRPr="005D642E">
        <w:rPr>
          <w:rtl/>
        </w:rPr>
        <w:t xml:space="preserve"> ، مع اختلاف يسير </w:t>
      </w:r>
      <w:r w:rsidR="009A4368">
        <w:rPr>
          <w:rFonts w:hint="cs"/>
          <w:rtl/>
        </w:rPr>
        <w:t>.</w:t>
      </w:r>
      <w:r w:rsidR="00E3253D" w:rsidRPr="002F4D34">
        <w:rPr>
          <w:rStyle w:val="libFootnoteBoldChar"/>
          <w:rtl/>
        </w:rPr>
        <w:t>الوافي</w:t>
      </w:r>
      <w:r w:rsidR="00E3253D" w:rsidRPr="005D642E">
        <w:rPr>
          <w:rtl/>
        </w:rPr>
        <w:t xml:space="preserve"> ، ج 6 ، ص 247 ، ح 4200 ؛ </w:t>
      </w:r>
      <w:r w:rsidR="00E3253D" w:rsidRPr="002F4D34">
        <w:rPr>
          <w:rStyle w:val="libFootnoteBoldChar"/>
          <w:rtl/>
        </w:rPr>
        <w:t>الوسائل</w:t>
      </w:r>
      <w:r w:rsidR="00E3253D" w:rsidRPr="005D642E">
        <w:rPr>
          <w:rtl/>
        </w:rPr>
        <w:t xml:space="preserve"> ، ج 1 ، ص 249 ، ح 644.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جس » وحاشية « ى ، بث ، بح ، جح » والوسائل : « الناصور »</w:t>
      </w:r>
      <w:r w:rsidR="00E3253D">
        <w:rPr>
          <w:rtl/>
        </w:rPr>
        <w:t>.</w:t>
      </w:r>
      <w:r w:rsidR="00E3253D" w:rsidRPr="005D642E">
        <w:rPr>
          <w:rtl/>
        </w:rPr>
        <w:t xml:space="preserve"> </w:t>
      </w:r>
      <w:r w:rsidR="00E3253D">
        <w:rPr>
          <w:rtl/>
        </w:rPr>
        <w:t>و «</w:t>
      </w:r>
      <w:r w:rsidR="00E3253D" w:rsidRPr="005D642E">
        <w:rPr>
          <w:rtl/>
        </w:rPr>
        <w:t xml:space="preserve"> الناسور » بالسين والصاد جميعاً : علّة تحدث في مآقي العين</w:t>
      </w:r>
      <w:r w:rsidR="00E3253D">
        <w:rPr>
          <w:rtl/>
        </w:rPr>
        <w:t xml:space="preserve"> </w:t>
      </w:r>
      <w:r w:rsidR="007642BC">
        <w:rPr>
          <w:rtl/>
        </w:rPr>
        <w:t>-</w:t>
      </w:r>
      <w:r w:rsidR="00E3253D">
        <w:rPr>
          <w:rtl/>
        </w:rPr>
        <w:t xml:space="preserve"> </w:t>
      </w:r>
      <w:r w:rsidR="00E3253D" w:rsidRPr="005D642E">
        <w:rPr>
          <w:rtl/>
        </w:rPr>
        <w:t>أي مجاري الدمع منها ، وهي أطرافها ممّا يلي الأنف</w:t>
      </w:r>
      <w:r w:rsidR="00E3253D">
        <w:rPr>
          <w:rtl/>
        </w:rPr>
        <w:t xml:space="preserve"> </w:t>
      </w:r>
      <w:r w:rsidR="007642BC">
        <w:rPr>
          <w:rtl/>
        </w:rPr>
        <w:t>-</w:t>
      </w:r>
      <w:r w:rsidR="00E3253D">
        <w:rPr>
          <w:rtl/>
        </w:rPr>
        <w:t xml:space="preserve"> </w:t>
      </w:r>
      <w:r w:rsidR="00E3253D" w:rsidRPr="005D642E">
        <w:rPr>
          <w:rtl/>
        </w:rPr>
        <w:t xml:space="preserve">يسقي فلا ينقطع. وقد يحدث أيضاً في حوالي المقعدة ، وفي اللثة ، وهو معرّب ، هكذا قال الجوهري. وقيل : هو عِرْقٌ غَبِرٌ ، وهو عرق في </w:t>
      </w:r>
      <w:r w:rsidR="00F7136E">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إِنَّمَا يَنْقُضُ الْوُضُوءَ ثَلَاثٌ </w:t>
      </w:r>
      <w:r w:rsidRPr="007C12DB">
        <w:rPr>
          <w:rStyle w:val="libFootnotenumChar"/>
          <w:rtl/>
        </w:rPr>
        <w:t>(1)</w:t>
      </w:r>
      <w:r w:rsidRPr="005D642E">
        <w:rPr>
          <w:rtl/>
          <w:lang w:bidi="fa-IR"/>
        </w:rPr>
        <w:t xml:space="preserve"> : الْبَوْلُ ، وَالْغَائِطُ ، وَالرِّيحُ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AB1D37">
        <w:rPr>
          <w:rtl/>
        </w:rPr>
        <w:t>3970</w:t>
      </w:r>
      <w:r w:rsidRPr="00246318">
        <w:rPr>
          <w:rStyle w:val="libBold2Char"/>
          <w:rtl/>
        </w:rPr>
        <w:t xml:space="preserve"> / 3.</w:t>
      </w:r>
      <w:r w:rsidRPr="005D642E">
        <w:rPr>
          <w:rtl/>
          <w:lang w:bidi="fa-IR"/>
        </w:rPr>
        <w:t xml:space="preserve"> عَلِيُّ بْنُ إِبْرَاهِيمَ ، عَنْ أَبِيهِ ، عَنِ ابْنِ أَبِي عُمَيْرٍ ، عَنْ مُعَاوِيَةَ بْنِ عَمَّارٍ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إِنَّ </w:t>
      </w:r>
      <w:r w:rsidRPr="007C12DB">
        <w:rPr>
          <w:rStyle w:val="libFootnotenumChar"/>
          <w:rtl/>
        </w:rPr>
        <w:t>(3)</w:t>
      </w:r>
      <w:r w:rsidRPr="005D642E">
        <w:rPr>
          <w:rtl/>
          <w:lang w:bidi="fa-IR"/>
        </w:rPr>
        <w:t xml:space="preserve"> الشَّيْطَانَ يَنْفُخُ فِي دُبُرِ الْإِنْسَانِ حَتّى يُخَيَّلَ إِلَيْهِ أَنَّهُ قَدْ خَرَجَ مِنْهُ رِيحٌ ، فَلَا يَنْقُضُ </w:t>
      </w:r>
      <w:r w:rsidRPr="007C12DB">
        <w:rPr>
          <w:rStyle w:val="libFootnotenumChar"/>
          <w:rtl/>
        </w:rPr>
        <w:t>(4)</w:t>
      </w:r>
      <w:r w:rsidR="009E23E7">
        <w:rPr>
          <w:rtl/>
          <w:lang w:bidi="fa-IR"/>
        </w:rPr>
        <w:t xml:space="preserve"> الْوُضُوءَ إِل</w:t>
      </w:r>
      <w:r w:rsidR="009E23E7">
        <w:rPr>
          <w:rFonts w:hint="cs"/>
          <w:rtl/>
          <w:lang w:bidi="fa-IR"/>
        </w:rPr>
        <w:t>َّ</w:t>
      </w:r>
      <w:r w:rsidR="009E23E7">
        <w:rPr>
          <w:rtl/>
          <w:lang w:bidi="fa-IR"/>
        </w:rPr>
        <w:t>ا</w:t>
      </w:r>
      <w:r w:rsidRPr="005D642E">
        <w:rPr>
          <w:rtl/>
          <w:lang w:bidi="fa-IR"/>
        </w:rPr>
        <w:t xml:space="preserve"> رِيحٌ تَسْمَعُهَا ، أَوْ تَجِدُ </w:t>
      </w:r>
      <w:r w:rsidRPr="007C12DB">
        <w:rPr>
          <w:rStyle w:val="libFootnotenumChar"/>
          <w:rtl/>
        </w:rPr>
        <w:t>(5)</w:t>
      </w:r>
      <w:r w:rsidRPr="005D642E">
        <w:rPr>
          <w:rtl/>
          <w:lang w:bidi="fa-IR"/>
        </w:rPr>
        <w:t xml:space="preserve"> رِيحَهَا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AB1D37">
        <w:rPr>
          <w:rtl/>
        </w:rPr>
        <w:t>3971</w:t>
      </w:r>
      <w:r w:rsidRPr="00246318">
        <w:rPr>
          <w:rStyle w:val="libBold2Char"/>
          <w:rtl/>
        </w:rPr>
        <w:t xml:space="preserve"> / 4.</w:t>
      </w:r>
      <w:r w:rsidRPr="005D642E">
        <w:rPr>
          <w:rtl/>
          <w:lang w:bidi="fa-IR"/>
        </w:rPr>
        <w:t xml:space="preserve"> عِدَّةٌ مِنْ أَصْحَابِنَا ، عَنْ أَحْمَدَ بْنِ مُحَمَّدٍ ، عَنْ مُحَمَّدِ بْنِ إِسْمَاعِيلَ ، عَنْ ظَرِيفٍ </w:t>
      </w:r>
      <w:r w:rsidRPr="007C12DB">
        <w:rPr>
          <w:rStyle w:val="libFootnotenumChar"/>
          <w:rtl/>
        </w:rPr>
        <w:t>(8)</w:t>
      </w:r>
      <w:r w:rsidRPr="005D642E">
        <w:rPr>
          <w:rtl/>
          <w:lang w:bidi="fa-IR"/>
        </w:rPr>
        <w:t xml:space="preserve"> ، عَنْ ثَعْلَبَةَ بْنِ مَيْمُونٍ ، عَنْ عَبْدِ اللهِ بْنِ يَزِيدَ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لَيْسَ فِي حَبِّ الْقَرْعِ </w:t>
      </w:r>
      <w:r w:rsidRPr="007C12DB">
        <w:rPr>
          <w:rStyle w:val="libFootnotenumChar"/>
          <w:rtl/>
        </w:rPr>
        <w:t>(9)</w:t>
      </w:r>
      <w:r w:rsidRPr="005D642E">
        <w:rPr>
          <w:rtl/>
          <w:lang w:bidi="fa-IR"/>
        </w:rPr>
        <w:t xml:space="preserve"> وَالدِّيدَانِ الصِّغَارِ وُضُوءٌ ، إِنَّمَا‌</w:t>
      </w:r>
    </w:p>
    <w:p w:rsidR="00E3253D" w:rsidRPr="005D642E" w:rsidRDefault="00E3253D" w:rsidP="00E3253D">
      <w:pPr>
        <w:pStyle w:val="libLine"/>
        <w:rPr>
          <w:rtl/>
          <w:lang w:bidi="fa-IR"/>
        </w:rPr>
      </w:pPr>
      <w:r w:rsidRPr="005D642E">
        <w:rPr>
          <w:rtl/>
          <w:lang w:bidi="fa-IR"/>
        </w:rPr>
        <w:t>__________________</w:t>
      </w:r>
    </w:p>
    <w:p w:rsidR="00E3253D" w:rsidRPr="005D642E" w:rsidRDefault="00E773D4" w:rsidP="00E3253D">
      <w:pPr>
        <w:pStyle w:val="libFootnote0"/>
        <w:rPr>
          <w:rtl/>
          <w:lang w:bidi="fa-IR"/>
        </w:rPr>
      </w:pPr>
      <w:r>
        <w:rPr>
          <w:rFonts w:hint="cs"/>
          <w:rtl/>
        </w:rPr>
        <w:t xml:space="preserve">= </w:t>
      </w:r>
      <w:r w:rsidR="00E3253D" w:rsidRPr="005D642E">
        <w:rPr>
          <w:rtl/>
        </w:rPr>
        <w:t>باطنه فساد ، فكلّما بدا أعلاه رجع غبراً فاسداً. وقيل</w:t>
      </w:r>
      <w:r w:rsidR="00016D3D">
        <w:rPr>
          <w:rtl/>
        </w:rPr>
        <w:t xml:space="preserve"> غير ذلك. وقال العل</w:t>
      </w:r>
      <w:r w:rsidR="00016D3D">
        <w:rPr>
          <w:rFonts w:hint="cs"/>
          <w:rtl/>
        </w:rPr>
        <w:t>ّ</w:t>
      </w:r>
      <w:r w:rsidR="00016D3D">
        <w:rPr>
          <w:rtl/>
        </w:rPr>
        <w:t>ا</w:t>
      </w:r>
      <w:r w:rsidR="00E3253D" w:rsidRPr="005D642E">
        <w:rPr>
          <w:rtl/>
        </w:rPr>
        <w:t>مة الفيض : « كأنّه أراد بنقضه الوضوء نقض الدم الذي يسيل منه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2 ، ص 827 ؛ </w:t>
      </w:r>
      <w:r w:rsidR="00E3253D" w:rsidRPr="002F4D34">
        <w:rPr>
          <w:rStyle w:val="libFootnoteBoldChar"/>
          <w:rtl/>
        </w:rPr>
        <w:t>لسان العرب</w:t>
      </w:r>
      <w:r w:rsidR="00E3253D" w:rsidRPr="005D642E">
        <w:rPr>
          <w:rtl/>
        </w:rPr>
        <w:t xml:space="preserve"> ، ج 5 ، ص 205 ( نسر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كأنّ الحصر إضافيّ ، أي ما يخرج من الأسفلين ، ولايوجب</w:t>
      </w:r>
      <w:r w:rsidR="00365424">
        <w:rPr>
          <w:rtl/>
        </w:rPr>
        <w:t xml:space="preserve"> الغسل بقرينة السؤال عن الناسور</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10 ، ح 18 ، </w:t>
      </w:r>
      <w:r w:rsidR="00E3253D" w:rsidRPr="00E678B5">
        <w:rPr>
          <w:rStyle w:val="libFootnoteBoldChar"/>
          <w:rtl/>
        </w:rPr>
        <w:t>والاستبصار</w:t>
      </w:r>
      <w:r w:rsidR="00E3253D" w:rsidRPr="005D642E">
        <w:rPr>
          <w:rtl/>
        </w:rPr>
        <w:t xml:space="preserve"> ، ج 1 ، ص 86 ، ح 272 ؛ و</w:t>
      </w:r>
      <w:r w:rsidR="00E3253D" w:rsidRPr="002F4D34">
        <w:rPr>
          <w:rStyle w:val="libFootnoteBoldChar"/>
          <w:rtl/>
        </w:rPr>
        <w:t>عيون الأخبار</w:t>
      </w:r>
      <w:r w:rsidR="00E3253D" w:rsidRPr="005D642E">
        <w:rPr>
          <w:rtl/>
        </w:rPr>
        <w:t xml:space="preserve"> ، ج 2 ، ص 22 ، ح 47 ، بسند آخر عن أحمد بن محمّد بن عيسى ، [ في الاستبصار :</w:t>
      </w:r>
      <w:r w:rsidR="00E3253D">
        <w:rPr>
          <w:rtl/>
        </w:rPr>
        <w:t xml:space="preserve"> </w:t>
      </w:r>
      <w:r w:rsidR="007642BC">
        <w:rPr>
          <w:rtl/>
        </w:rPr>
        <w:t>-</w:t>
      </w:r>
      <w:r w:rsidR="00E3253D">
        <w:rPr>
          <w:rtl/>
        </w:rPr>
        <w:t xml:space="preserve"> </w:t>
      </w:r>
      <w:r w:rsidR="00E3253D" w:rsidRPr="005D642E">
        <w:rPr>
          <w:rtl/>
        </w:rPr>
        <w:t xml:space="preserve">« بن عيسى » ] عن محمّد بن سهل ، مع اختلاف يسير. </w:t>
      </w:r>
      <w:r w:rsidR="00E3253D" w:rsidRPr="002F4D34">
        <w:rPr>
          <w:rStyle w:val="libFootnoteBoldChar"/>
          <w:rtl/>
        </w:rPr>
        <w:t>الخصال</w:t>
      </w:r>
      <w:r w:rsidR="00E3253D" w:rsidRPr="005D642E">
        <w:rPr>
          <w:rtl/>
        </w:rPr>
        <w:t xml:space="preserve"> ، ص 603 ، أبواب الثمانين ومافوقه ، ضمن الحديث الطويل 9 ، بسند آخر عن جعفر بن محمّد </w:t>
      </w:r>
      <w:r w:rsidR="00E3253D" w:rsidRPr="00DF3D01">
        <w:rPr>
          <w:rStyle w:val="libFootnoteAlaemChar"/>
          <w:rtl/>
        </w:rPr>
        <w:t>عليهما‌السلام</w:t>
      </w:r>
      <w:r w:rsidR="00E3253D" w:rsidRPr="005D642E">
        <w:rPr>
          <w:rtl/>
        </w:rPr>
        <w:t xml:space="preserve"> ، مع اختلاف يسير وزيادة ؛ </w:t>
      </w:r>
      <w:r w:rsidR="00E3253D" w:rsidRPr="002F4D34">
        <w:rPr>
          <w:rStyle w:val="libFootnoteBoldChar"/>
          <w:rtl/>
        </w:rPr>
        <w:t>التهذيب</w:t>
      </w:r>
      <w:r w:rsidR="00E3253D" w:rsidRPr="005D642E">
        <w:rPr>
          <w:rtl/>
        </w:rPr>
        <w:t xml:space="preserve"> ، ج 1 ، ص 9 ، ح 15 ، بسند آخر عن أبي جعفر وأبي عبدالله </w:t>
      </w:r>
      <w:r w:rsidR="00E3253D" w:rsidRPr="00DF3D01">
        <w:rPr>
          <w:rStyle w:val="libFootnoteAlaemChar"/>
          <w:rtl/>
        </w:rPr>
        <w:t>عليهما‌السلام</w:t>
      </w:r>
      <w:r w:rsidR="00E3253D" w:rsidRPr="005D642E">
        <w:rPr>
          <w:rtl/>
        </w:rPr>
        <w:t xml:space="preserve"> ، مع اختلاف وزيادة </w:t>
      </w:r>
      <w:r w:rsidR="00DF3D01">
        <w:rPr>
          <w:rFonts w:hint="cs"/>
          <w:rtl/>
        </w:rPr>
        <w:t>.</w:t>
      </w:r>
      <w:r w:rsidR="00E3253D" w:rsidRPr="002F4D34">
        <w:rPr>
          <w:rStyle w:val="libFootnoteBoldChar"/>
          <w:rtl/>
        </w:rPr>
        <w:t>الوافي</w:t>
      </w:r>
      <w:r w:rsidR="00E3253D" w:rsidRPr="005D642E">
        <w:rPr>
          <w:rtl/>
        </w:rPr>
        <w:t xml:space="preserve"> ، ج 6 ، ص 247 ، ح 4201 ؛ </w:t>
      </w:r>
      <w:r w:rsidR="00E3253D" w:rsidRPr="002F4D34">
        <w:rPr>
          <w:rStyle w:val="libFootnoteBoldChar"/>
          <w:rtl/>
        </w:rPr>
        <w:t>الوسائل</w:t>
      </w:r>
      <w:r w:rsidR="00E3253D" w:rsidRPr="005D642E">
        <w:rPr>
          <w:rtl/>
        </w:rPr>
        <w:t xml:space="preserve"> ، ج 1 ، ص 450 ، ح 646 ؛ وص 292 ، ح 767.</w:t>
      </w:r>
    </w:p>
    <w:tbl>
      <w:tblPr>
        <w:tblStyle w:val="TableGrid"/>
        <w:bidiVisual/>
        <w:tblW w:w="0" w:type="auto"/>
        <w:tblLook w:val="04A0" w:firstRow="1" w:lastRow="0" w:firstColumn="1" w:lastColumn="0" w:noHBand="0" w:noVBand="1"/>
      </w:tblPr>
      <w:tblGrid>
        <w:gridCol w:w="4006"/>
        <w:gridCol w:w="4006"/>
      </w:tblGrid>
      <w:tr w:rsidR="005519D1" w:rsidTr="005519D1">
        <w:tc>
          <w:tcPr>
            <w:tcW w:w="4006" w:type="dxa"/>
          </w:tcPr>
          <w:p w:rsidR="005519D1" w:rsidRDefault="005519D1" w:rsidP="00E3253D">
            <w:pPr>
              <w:pStyle w:val="libFootnote0"/>
              <w:rPr>
                <w:rStyle w:val="libFootnote0Char"/>
                <w:rtl/>
              </w:rPr>
            </w:pPr>
            <w:r w:rsidRPr="0042621E">
              <w:rPr>
                <w:rStyle w:val="libFootnote0Char"/>
                <w:rtl/>
              </w:rPr>
              <w:t>(3).</w:t>
            </w:r>
            <w:r w:rsidRPr="005D642E">
              <w:rPr>
                <w:rtl/>
              </w:rPr>
              <w:t xml:space="preserve"> في « جس » :</w:t>
            </w:r>
            <w:r>
              <w:rPr>
                <w:rtl/>
              </w:rPr>
              <w:t xml:space="preserve"> - </w:t>
            </w:r>
            <w:r w:rsidRPr="005D642E">
              <w:rPr>
                <w:rtl/>
              </w:rPr>
              <w:t>« إنّ »</w:t>
            </w:r>
            <w:r>
              <w:rPr>
                <w:rtl/>
              </w:rPr>
              <w:t>.</w:t>
            </w:r>
          </w:p>
        </w:tc>
        <w:tc>
          <w:tcPr>
            <w:tcW w:w="4006" w:type="dxa"/>
          </w:tcPr>
          <w:p w:rsidR="005519D1" w:rsidRDefault="005519D1" w:rsidP="00E3253D">
            <w:pPr>
              <w:pStyle w:val="libFootnote0"/>
              <w:rPr>
                <w:rStyle w:val="libFootnote0Char"/>
                <w:rtl/>
              </w:rPr>
            </w:pPr>
            <w:r w:rsidRPr="0042621E">
              <w:rPr>
                <w:rStyle w:val="libFootnote0Char"/>
                <w:rtl/>
              </w:rPr>
              <w:t>(4).</w:t>
            </w:r>
            <w:r w:rsidRPr="005D642E">
              <w:rPr>
                <w:rtl/>
              </w:rPr>
              <w:t xml:space="preserve"> في « جس » </w:t>
            </w:r>
            <w:r w:rsidRPr="000D749A">
              <w:rPr>
                <w:rStyle w:val="libFootnoteBoldChar"/>
                <w:rtl/>
              </w:rPr>
              <w:t>والوافي</w:t>
            </w:r>
            <w:r w:rsidRPr="005D642E">
              <w:rPr>
                <w:rtl/>
              </w:rPr>
              <w:t xml:space="preserve"> </w:t>
            </w:r>
            <w:r w:rsidRPr="00B60612">
              <w:rPr>
                <w:rStyle w:val="libFootnoteBoldChar"/>
                <w:rtl/>
              </w:rPr>
              <w:t>والتهذيب</w:t>
            </w:r>
            <w:r w:rsidRPr="005D642E">
              <w:rPr>
                <w:rtl/>
              </w:rPr>
              <w:t xml:space="preserve"> : « ولا ينقض »</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يسمعها أو يجد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023A70">
        <w:rPr>
          <w:rStyle w:val="libFootnoteAlaemChar"/>
          <w:rtl/>
        </w:rPr>
        <w:t>عليه‌السلام</w:t>
      </w:r>
      <w:r w:rsidR="00E3253D" w:rsidRPr="005D642E">
        <w:rPr>
          <w:rtl/>
        </w:rPr>
        <w:t xml:space="preserve"> : أو تجد ريحها ، المراد إمّا رائحتها بالشمّ ، أو إحساس ريحها بالخروج وهو بعيد ، ولعلّه محمول على صورة الشكّ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347 ، ح 1017 ؛ </w:t>
      </w:r>
      <w:r w:rsidR="00E3253D" w:rsidRPr="00E678B5">
        <w:rPr>
          <w:rStyle w:val="libFootnoteBoldChar"/>
          <w:rtl/>
        </w:rPr>
        <w:t>والاستبصار</w:t>
      </w:r>
      <w:r w:rsidR="00E3253D" w:rsidRPr="005D642E">
        <w:rPr>
          <w:rtl/>
        </w:rPr>
        <w:t xml:space="preserve"> ، ج 1 ، ص 90 ، ح 289 ، بسندهما عن معاوية بن عمّار ، مع اختلاف يسير </w:t>
      </w:r>
      <w:r w:rsidR="00023A70">
        <w:rPr>
          <w:rFonts w:hint="cs"/>
          <w:rtl/>
        </w:rPr>
        <w:t>.</w:t>
      </w:r>
      <w:r w:rsidR="00E3253D" w:rsidRPr="002F4D34">
        <w:rPr>
          <w:rStyle w:val="libFootnoteBoldChar"/>
          <w:rtl/>
        </w:rPr>
        <w:t>الوافي</w:t>
      </w:r>
      <w:r w:rsidR="00E3253D" w:rsidRPr="005D642E">
        <w:rPr>
          <w:rtl/>
        </w:rPr>
        <w:t xml:space="preserve"> ، ج 6 ، ص 248 ، ح 4202 ؛ </w:t>
      </w:r>
      <w:r w:rsidR="00E3253D" w:rsidRPr="002F4D34">
        <w:rPr>
          <w:rStyle w:val="libFootnoteBoldChar"/>
          <w:rtl/>
        </w:rPr>
        <w:t>الوسائل</w:t>
      </w:r>
      <w:r w:rsidR="00E3253D" w:rsidRPr="005D642E">
        <w:rPr>
          <w:rtl/>
        </w:rPr>
        <w:t xml:space="preserve"> ، ج 1 ، ص 246 ، ذيل ح 633 ؛ </w:t>
      </w:r>
      <w:r w:rsidR="00E3253D" w:rsidRPr="002F4D34">
        <w:rPr>
          <w:rStyle w:val="libFootnoteBoldChar"/>
          <w:rtl/>
        </w:rPr>
        <w:t>البحار</w:t>
      </w:r>
      <w:r w:rsidR="00E3253D" w:rsidRPr="005D642E">
        <w:rPr>
          <w:rtl/>
        </w:rPr>
        <w:t xml:space="preserve"> ، ج 80 ، ص 213 ، ذيل ح 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ى » </w:t>
      </w:r>
      <w:r w:rsidR="000D749A" w:rsidRPr="000D749A">
        <w:rPr>
          <w:rStyle w:val="libFootnoteBoldChar"/>
          <w:rtl/>
        </w:rPr>
        <w:t>والوافي</w:t>
      </w:r>
      <w:r w:rsidR="00E3253D" w:rsidRPr="005D642E">
        <w:rPr>
          <w:rtl/>
        </w:rPr>
        <w:t xml:space="preserve"> : + « ابن ناصح »</w:t>
      </w:r>
      <w:r w:rsidR="00E3253D">
        <w:rPr>
          <w:rtl/>
        </w:rPr>
        <w:t>.</w:t>
      </w:r>
      <w:r w:rsidR="00E3253D" w:rsidRPr="005D642E">
        <w:rPr>
          <w:rtl/>
        </w:rPr>
        <w:t xml:space="preserve"> وفي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يعني ابن ناصح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القَرْع » بفتح الراء وسكونها : المأكول وهو الدُبّاء ، ويقال له بالفارسيّة : كدو تنبل. وحبّ القرع : دود عريض‌قصير يتولّد في الأمعاء ، سمّي به لشبهه به. قال الطريحي : « والأشبه أنّه ليس بدود ، بل هو الحبّة السوداء </w:t>
      </w:r>
      <w:r w:rsidR="00023A70">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هُوَ </w:t>
      </w:r>
      <w:r w:rsidRPr="007C12DB">
        <w:rPr>
          <w:rStyle w:val="libFootnotenumChar"/>
          <w:rtl/>
        </w:rPr>
        <w:t>(1)</w:t>
      </w:r>
      <w:r w:rsidRPr="005D642E">
        <w:rPr>
          <w:rtl/>
          <w:lang w:bidi="fa-IR"/>
        </w:rPr>
        <w:t xml:space="preserve"> بِمَنْزِلَةِ الْقَمْلِ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393C08">
        <w:rPr>
          <w:rtl/>
        </w:rPr>
        <w:t>3972</w:t>
      </w:r>
      <w:r w:rsidRPr="00246318">
        <w:rPr>
          <w:rStyle w:val="libBold2Char"/>
          <w:rtl/>
        </w:rPr>
        <w:t xml:space="preserve"> / 5.</w:t>
      </w:r>
      <w:r w:rsidRPr="005D642E">
        <w:rPr>
          <w:rtl/>
          <w:lang w:bidi="fa-IR"/>
        </w:rPr>
        <w:t xml:space="preserve"> عَلِيُّ بْنُ إِبْرَاهِيمَ ، عَنْ أَبِيهِ ، عَنِ ابْنِ أَبِي عُمَيْرٍ ، عَنِ الْحَسَنِ </w:t>
      </w:r>
      <w:r w:rsidRPr="007C12DB">
        <w:rPr>
          <w:rStyle w:val="libFootnotenumChar"/>
          <w:rtl/>
        </w:rPr>
        <w:t>(4)</w:t>
      </w:r>
      <w:r w:rsidRPr="005D642E">
        <w:rPr>
          <w:rtl/>
          <w:lang w:bidi="fa-IR"/>
        </w:rPr>
        <w:t xml:space="preserve"> ابْنِ أَخِي فُضَيْلٍ ، عَنْ فُضَيْلٍ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الرَّجُلِ يَخْرُجُ مِنْهُ مِثْلُ حَبِّ الْقَرْعِ</w:t>
      </w:r>
      <w:r>
        <w:rPr>
          <w:rtl/>
          <w:lang w:bidi="fa-IR"/>
        </w:rPr>
        <w:t>؟</w:t>
      </w:r>
    </w:p>
    <w:p w:rsidR="00E3253D" w:rsidRPr="005D642E" w:rsidRDefault="00E3253D" w:rsidP="00E3253D">
      <w:pPr>
        <w:pStyle w:val="libNormal"/>
        <w:rPr>
          <w:rtl/>
          <w:lang w:bidi="fa-IR"/>
        </w:rPr>
      </w:pPr>
      <w:r w:rsidRPr="005D642E">
        <w:rPr>
          <w:rtl/>
          <w:lang w:bidi="fa-IR"/>
        </w:rPr>
        <w:t>قَالَ : « لَيْسَ عَلَيْهِ وُضُوءٌ »</w:t>
      </w:r>
      <w:r>
        <w:rPr>
          <w:rtl/>
          <w:lang w:bidi="fa-IR"/>
        </w:rPr>
        <w:t>.</w:t>
      </w:r>
    </w:p>
    <w:p w:rsidR="00E3253D" w:rsidRPr="005D642E" w:rsidRDefault="00682B8B" w:rsidP="00E3253D">
      <w:pPr>
        <w:pStyle w:val="libNormal"/>
        <w:rPr>
          <w:rtl/>
          <w:lang w:bidi="fa-IR"/>
        </w:rPr>
      </w:pPr>
      <w:r>
        <w:rPr>
          <w:rFonts w:hint="cs"/>
          <w:rtl/>
          <w:lang w:bidi="fa-IR"/>
        </w:rPr>
        <w:t xml:space="preserve">* </w:t>
      </w:r>
      <w:r w:rsidR="00E3253D" w:rsidRPr="005D642E">
        <w:rPr>
          <w:rtl/>
          <w:lang w:bidi="fa-IR"/>
        </w:rPr>
        <w:t xml:space="preserve">وَرُوِيَ « إِذَا كَانَتْ مُلَطَّخَةً </w:t>
      </w:r>
      <w:r w:rsidR="00E3253D" w:rsidRPr="007C12DB">
        <w:rPr>
          <w:rStyle w:val="libFootnotenumChar"/>
          <w:rtl/>
        </w:rPr>
        <w:t>(6)</w:t>
      </w:r>
      <w:r w:rsidR="00E3253D" w:rsidRPr="005D642E">
        <w:rPr>
          <w:rtl/>
          <w:lang w:bidi="fa-IR"/>
        </w:rPr>
        <w:t xml:space="preserve"> بِالْعَذِرَةِ ، أَعَادَ الْوُضُوءَ »</w:t>
      </w:r>
      <w:r w:rsidR="00E3253D">
        <w:rPr>
          <w:rtl/>
          <w:lang w:bidi="fa-IR"/>
        </w:rPr>
        <w:t>.</w:t>
      </w:r>
      <w:r w:rsidR="00E3253D" w:rsidRPr="005D642E">
        <w:rPr>
          <w:rtl/>
          <w:lang w:bidi="fa-IR"/>
        </w:rPr>
        <w:t xml:space="preserve"> </w:t>
      </w:r>
      <w:r w:rsidR="00E3253D" w:rsidRPr="007C12DB">
        <w:rPr>
          <w:rStyle w:val="libFootnotenumChar"/>
          <w:rtl/>
        </w:rPr>
        <w:t>(7)</w:t>
      </w:r>
      <w:r w:rsidR="00E3253D" w:rsidRPr="005D642E">
        <w:rPr>
          <w:rtl/>
          <w:lang w:bidi="fa-IR"/>
        </w:rPr>
        <w:t xml:space="preserve"> ‌</w:t>
      </w:r>
    </w:p>
    <w:p w:rsidR="00E3253D" w:rsidRPr="005D642E" w:rsidRDefault="00E3253D" w:rsidP="00E3253D">
      <w:pPr>
        <w:pStyle w:val="libNormal"/>
        <w:rPr>
          <w:rtl/>
          <w:lang w:bidi="fa-IR"/>
        </w:rPr>
      </w:pPr>
      <w:r w:rsidRPr="00393C08">
        <w:rPr>
          <w:rtl/>
        </w:rPr>
        <w:t>3973</w:t>
      </w:r>
      <w:r w:rsidRPr="00246318">
        <w:rPr>
          <w:rStyle w:val="libBold2Char"/>
          <w:rtl/>
        </w:rPr>
        <w:t xml:space="preserve"> / 6.</w:t>
      </w:r>
      <w:r w:rsidRPr="005D642E">
        <w:rPr>
          <w:rtl/>
          <w:lang w:bidi="fa-IR"/>
        </w:rPr>
        <w:t xml:space="preserve"> عَلِيُّ بْنُ إِبْرَاهِيمَ ، عَنْ أَبِيهِ ، عَنْ حَمَّادٍ ، عَنْ حَرِيزٍ ، عَنْ زُرَارَةَ ، قَالَ :</w:t>
      </w:r>
    </w:p>
    <w:p w:rsidR="00E3253D" w:rsidRPr="005D642E" w:rsidRDefault="00E3253D" w:rsidP="00E3253D">
      <w:pPr>
        <w:pStyle w:val="libNormal"/>
        <w:rPr>
          <w:rtl/>
          <w:lang w:bidi="fa-IR"/>
        </w:rPr>
      </w:pPr>
      <w:r w:rsidRPr="005D642E">
        <w:rPr>
          <w:rtl/>
          <w:lang w:bidi="fa-IR"/>
        </w:rPr>
        <w:t xml:space="preserve">قُلْتُ لِأَبِي جَعْفَرٍ وَلِأَبِي </w:t>
      </w:r>
      <w:r w:rsidRPr="007C12DB">
        <w:rPr>
          <w:rStyle w:val="libFootnotenumChar"/>
          <w:rtl/>
        </w:rPr>
        <w:t>(8)</w:t>
      </w:r>
      <w:r w:rsidRPr="005D642E">
        <w:rPr>
          <w:rtl/>
          <w:lang w:bidi="fa-IR"/>
        </w:rPr>
        <w:t xml:space="preserve"> عَبْدِ اللهِ </w:t>
      </w:r>
      <w:r w:rsidRPr="00AC51C5">
        <w:rPr>
          <w:rStyle w:val="libAlaemChar"/>
          <w:rtl/>
        </w:rPr>
        <w:t>عليهما‌السلام</w:t>
      </w:r>
      <w:r w:rsidRPr="005D642E">
        <w:rPr>
          <w:rtl/>
          <w:lang w:bidi="fa-IR"/>
        </w:rPr>
        <w:t xml:space="preserve"> : مَا يَنْقُضُ الْوُضُوءَ</w:t>
      </w:r>
      <w:r>
        <w:rPr>
          <w:rtl/>
          <w:lang w:bidi="fa-IR"/>
        </w:rPr>
        <w:t>؟</w:t>
      </w:r>
    </w:p>
    <w:p w:rsidR="00E3253D" w:rsidRPr="005D642E" w:rsidRDefault="00E3253D" w:rsidP="00E3253D">
      <w:pPr>
        <w:pStyle w:val="libNormal"/>
        <w:rPr>
          <w:rtl/>
          <w:lang w:bidi="fa-IR"/>
        </w:rPr>
      </w:pPr>
      <w:r w:rsidRPr="005D642E">
        <w:rPr>
          <w:rtl/>
          <w:lang w:bidi="fa-IR"/>
        </w:rPr>
        <w:t xml:space="preserve">فَقَالَا </w:t>
      </w:r>
      <w:r w:rsidRPr="007C12DB">
        <w:rPr>
          <w:rStyle w:val="libFootnotenumChar"/>
          <w:rtl/>
        </w:rPr>
        <w:t>(9)</w:t>
      </w:r>
      <w:r w:rsidRPr="005D642E">
        <w:rPr>
          <w:rtl/>
          <w:lang w:bidi="fa-IR"/>
        </w:rPr>
        <w:t xml:space="preserve"> : « مَا يَخْرُجُ مِنْ طَرَفَيْكَ الْأَسْفَلَيْنِ</w:t>
      </w:r>
      <w:r>
        <w:rPr>
          <w:rtl/>
          <w:lang w:bidi="fa-IR"/>
        </w:rPr>
        <w:t xml:space="preserve"> </w:t>
      </w:r>
      <w:r w:rsidR="007642BC">
        <w:rPr>
          <w:rtl/>
          <w:lang w:bidi="fa-IR"/>
        </w:rPr>
        <w:t>-</w:t>
      </w:r>
      <w:r>
        <w:rPr>
          <w:rtl/>
          <w:lang w:bidi="fa-IR"/>
        </w:rPr>
        <w:t xml:space="preserve"> </w:t>
      </w:r>
      <w:r w:rsidRPr="005D642E">
        <w:rPr>
          <w:rtl/>
          <w:lang w:bidi="fa-IR"/>
        </w:rPr>
        <w:t>مِنَ الدُّبُرِ وَالذَّكَرِ : غَائِطٌ ، أَوْ بَوْلٌ ، أَوْ‌</w:t>
      </w:r>
    </w:p>
    <w:p w:rsidR="00E3253D" w:rsidRPr="005D642E" w:rsidRDefault="00E3253D" w:rsidP="00E3253D">
      <w:pPr>
        <w:pStyle w:val="libLine"/>
        <w:rPr>
          <w:rtl/>
          <w:lang w:bidi="fa-IR"/>
        </w:rPr>
      </w:pPr>
      <w:r w:rsidRPr="005D642E">
        <w:rPr>
          <w:rtl/>
          <w:lang w:bidi="fa-IR"/>
        </w:rPr>
        <w:t>__________________</w:t>
      </w:r>
    </w:p>
    <w:p w:rsidR="00E3253D" w:rsidRPr="005D642E" w:rsidRDefault="00816065" w:rsidP="00E3253D">
      <w:pPr>
        <w:pStyle w:val="libFootnote0"/>
        <w:rPr>
          <w:rtl/>
          <w:lang w:bidi="fa-IR"/>
        </w:rPr>
      </w:pPr>
      <w:r>
        <w:rPr>
          <w:rFonts w:hint="cs"/>
          <w:rtl/>
        </w:rPr>
        <w:t xml:space="preserve">= </w:t>
      </w:r>
      <w:r w:rsidR="00E3253D" w:rsidRPr="005D642E">
        <w:rPr>
          <w:rtl/>
        </w:rPr>
        <w:t>الشونيز في المشهور ، وهو حبّ معروف. وقيل : الخَرْدَل. وقيل : الحبّة الخضراء وهو البُطم »</w:t>
      </w:r>
      <w:r w:rsidR="00E3253D">
        <w:rPr>
          <w:rtl/>
        </w:rPr>
        <w:t>.</w:t>
      </w:r>
      <w:r w:rsidR="00E3253D" w:rsidRPr="005D642E">
        <w:rPr>
          <w:rtl/>
        </w:rPr>
        <w:t xml:space="preserve"> وكأنّه أخذه من القرع ، وهو بَثْر أبيض ، يخرج بالفُصلان وحشو الإبل يُسقط وَبَرَها ، ولايخفى أنّ المعنى الأوّل مناسب في المقام ، كما هو الظاهر من الشروح. راجع : </w:t>
      </w:r>
      <w:r w:rsidR="00E3253D" w:rsidRPr="002F4D34">
        <w:rPr>
          <w:rStyle w:val="libFootnoteBoldChar"/>
          <w:rtl/>
        </w:rPr>
        <w:t>لسان العرب</w:t>
      </w:r>
      <w:r w:rsidR="00E3253D" w:rsidRPr="005D642E">
        <w:rPr>
          <w:rtl/>
        </w:rPr>
        <w:t xml:space="preserve"> ، ج 8 ، ص 262 </w:t>
      </w:r>
      <w:r w:rsidR="00E3253D">
        <w:rPr>
          <w:rtl/>
        </w:rPr>
        <w:t>و 2</w:t>
      </w:r>
      <w:r w:rsidR="00E3253D" w:rsidRPr="005D642E">
        <w:rPr>
          <w:rtl/>
        </w:rPr>
        <w:t xml:space="preserve">69 ؛ </w:t>
      </w:r>
      <w:r w:rsidR="00E3253D" w:rsidRPr="002F4D34">
        <w:rPr>
          <w:rStyle w:val="libFootnoteBoldChar"/>
          <w:rtl/>
        </w:rPr>
        <w:t>المصباح المنير</w:t>
      </w:r>
      <w:r w:rsidR="00E3253D" w:rsidRPr="005D642E">
        <w:rPr>
          <w:rtl/>
        </w:rPr>
        <w:t xml:space="preserve"> ، ص 499 ( قرع ) ؛ </w:t>
      </w:r>
      <w:r w:rsidR="00E3253D" w:rsidRPr="002F4D34">
        <w:rPr>
          <w:rStyle w:val="libFootnoteBoldChar"/>
          <w:rtl/>
        </w:rPr>
        <w:t>مجمع البحرين</w:t>
      </w:r>
      <w:r w:rsidR="00E3253D" w:rsidRPr="005D642E">
        <w:rPr>
          <w:rtl/>
        </w:rPr>
        <w:t xml:space="preserve"> ، ج 2 ، ص 33 ( حبب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التهذيب </w:t>
      </w:r>
      <w:r w:rsidR="00E3253D" w:rsidRPr="00E678B5">
        <w:rPr>
          <w:rStyle w:val="libFootnoteBoldChar"/>
          <w:rtl/>
        </w:rPr>
        <w:t>والاستبصار</w:t>
      </w:r>
      <w:r w:rsidR="009856F4">
        <w:rPr>
          <w:rtl/>
        </w:rPr>
        <w:t xml:space="preserve"> : « ما هو إل</w:t>
      </w:r>
      <w:r w:rsidR="009856F4">
        <w:rPr>
          <w:rFonts w:hint="cs"/>
          <w:rtl/>
        </w:rPr>
        <w:t>ّ</w:t>
      </w:r>
      <w:r w:rsidR="009856F4">
        <w:rPr>
          <w:rtl/>
        </w:rPr>
        <w:t>ا</w:t>
      </w:r>
      <w:r w:rsidR="00E3253D" w:rsidRPr="005D642E">
        <w:rPr>
          <w:rtl/>
        </w:rPr>
        <w:t xml:space="preserve"> » بدل « إنّما هو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 « القمّل » بالتضعيف. وفي </w:t>
      </w:r>
      <w:r w:rsidR="00E3253D" w:rsidRPr="002F4D34">
        <w:rPr>
          <w:rStyle w:val="libFootnoteBoldChar"/>
          <w:rtl/>
        </w:rPr>
        <w:t>مرآة العقول</w:t>
      </w:r>
      <w:r w:rsidR="00E3253D" w:rsidRPr="005D642E">
        <w:rPr>
          <w:rtl/>
        </w:rPr>
        <w:t xml:space="preserve"> : « قوله </w:t>
      </w:r>
      <w:r w:rsidR="00E3253D" w:rsidRPr="00AE7CA6">
        <w:rPr>
          <w:rStyle w:val="libFootnoteAlaemChar"/>
          <w:rtl/>
        </w:rPr>
        <w:t>عليه‌السلام</w:t>
      </w:r>
      <w:r w:rsidR="00E3253D" w:rsidRPr="005D642E">
        <w:rPr>
          <w:rtl/>
        </w:rPr>
        <w:t xml:space="preserve"> : بمنزلة القمل ؛ يعني كما أنّ القمل يحصل من البدن ولا ينقض الوضوء كذلك الديدان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12 ، ح 22 ؛ </w:t>
      </w:r>
      <w:r w:rsidR="00E3253D" w:rsidRPr="00E678B5">
        <w:rPr>
          <w:rStyle w:val="libFootnoteBoldChar"/>
          <w:rtl/>
        </w:rPr>
        <w:t>والاستبصار</w:t>
      </w:r>
      <w:r w:rsidR="00E3253D" w:rsidRPr="005D642E">
        <w:rPr>
          <w:rtl/>
        </w:rPr>
        <w:t xml:space="preserve"> ، ج 1 ، ص 82 ، ح 256 ، بسندهما عن الكليني. </w:t>
      </w:r>
      <w:r w:rsidR="00E3253D" w:rsidRPr="002F4D34">
        <w:rPr>
          <w:rStyle w:val="libFootnoteBoldChar"/>
          <w:rtl/>
        </w:rPr>
        <w:t>الفقيه</w:t>
      </w:r>
      <w:r w:rsidR="00E3253D" w:rsidRPr="005D642E">
        <w:rPr>
          <w:rtl/>
        </w:rPr>
        <w:t xml:space="preserve"> ، ج 1 ، ص 62 ، ح 138 ، مرسلاً </w:t>
      </w:r>
      <w:r w:rsidR="00AE7CA6">
        <w:rPr>
          <w:rFonts w:hint="cs"/>
          <w:rtl/>
        </w:rPr>
        <w:t>.</w:t>
      </w:r>
      <w:r w:rsidR="00E3253D" w:rsidRPr="002F4D34">
        <w:rPr>
          <w:rStyle w:val="libFootnoteBoldChar"/>
          <w:rtl/>
        </w:rPr>
        <w:t>الوافي</w:t>
      </w:r>
      <w:r w:rsidR="00E3253D" w:rsidRPr="005D642E">
        <w:rPr>
          <w:rtl/>
        </w:rPr>
        <w:t xml:space="preserve"> ، ج 6 ، ص 248 ، ح 4203 ؛ </w:t>
      </w:r>
      <w:r w:rsidR="00E3253D" w:rsidRPr="002F4D34">
        <w:rPr>
          <w:rStyle w:val="libFootnoteBoldChar"/>
          <w:rtl/>
        </w:rPr>
        <w:t>الوسائل</w:t>
      </w:r>
      <w:r w:rsidR="00E3253D" w:rsidRPr="005D642E">
        <w:rPr>
          <w:rtl/>
        </w:rPr>
        <w:t xml:space="preserve"> ، ج 1 ، ص 258 ، ح 670.</w:t>
      </w:r>
    </w:p>
    <w:tbl>
      <w:tblPr>
        <w:tblStyle w:val="TableGrid"/>
        <w:bidiVisual/>
        <w:tblW w:w="0" w:type="auto"/>
        <w:tblLook w:val="04A0" w:firstRow="1" w:lastRow="0" w:firstColumn="1" w:lastColumn="0" w:noHBand="0" w:noVBand="1"/>
      </w:tblPr>
      <w:tblGrid>
        <w:gridCol w:w="4006"/>
        <w:gridCol w:w="4006"/>
      </w:tblGrid>
      <w:tr w:rsidR="00A216BE" w:rsidTr="00A216BE">
        <w:tc>
          <w:tcPr>
            <w:tcW w:w="4006" w:type="dxa"/>
          </w:tcPr>
          <w:p w:rsidR="00A216BE" w:rsidRDefault="00A216BE" w:rsidP="00E3253D">
            <w:pPr>
              <w:pStyle w:val="libFootnote0"/>
              <w:rPr>
                <w:rStyle w:val="libFootnote0Char"/>
                <w:rtl/>
              </w:rPr>
            </w:pPr>
            <w:r w:rsidRPr="0042621E">
              <w:rPr>
                <w:rStyle w:val="libFootnote0Char"/>
                <w:rtl/>
              </w:rPr>
              <w:t>(4).</w:t>
            </w:r>
            <w:r w:rsidRPr="005D642E">
              <w:rPr>
                <w:rtl/>
              </w:rPr>
              <w:t xml:space="preserve"> في « بخ » : « الحسين »</w:t>
            </w:r>
            <w:r>
              <w:rPr>
                <w:rtl/>
              </w:rPr>
              <w:t>.</w:t>
            </w:r>
          </w:p>
        </w:tc>
        <w:tc>
          <w:tcPr>
            <w:tcW w:w="4006" w:type="dxa"/>
          </w:tcPr>
          <w:p w:rsidR="00A216BE" w:rsidRDefault="00A216BE" w:rsidP="00E3253D">
            <w:pPr>
              <w:pStyle w:val="libFootnote0"/>
              <w:rPr>
                <w:rStyle w:val="libFootnote0Char"/>
                <w:rtl/>
              </w:rPr>
            </w:pPr>
            <w:r w:rsidRPr="0042621E">
              <w:rPr>
                <w:rStyle w:val="libFootnote0Char"/>
                <w:rtl/>
              </w:rPr>
              <w:t>(5).</w:t>
            </w:r>
            <w:r w:rsidRPr="005D642E">
              <w:rPr>
                <w:rtl/>
              </w:rPr>
              <w:t xml:space="preserve"> في الوافي :</w:t>
            </w:r>
            <w:r>
              <w:rPr>
                <w:rtl/>
              </w:rPr>
              <w:t xml:space="preserve"> - </w:t>
            </w:r>
            <w:r w:rsidRPr="005D642E">
              <w:rPr>
                <w:rtl/>
              </w:rPr>
              <w:t>« عن فضيل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جس » وحاشية « جن » والوسائل : « متلطّخة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11 ، ح 19 ؛ </w:t>
      </w:r>
      <w:r w:rsidR="00E3253D" w:rsidRPr="00E678B5">
        <w:rPr>
          <w:rStyle w:val="libFootnoteBoldChar"/>
          <w:rtl/>
        </w:rPr>
        <w:t>والاستبصار</w:t>
      </w:r>
      <w:r w:rsidR="00E3253D" w:rsidRPr="005D642E">
        <w:rPr>
          <w:rtl/>
        </w:rPr>
        <w:t xml:space="preserve"> ، ج 1 ، ص 82 ، ح 257 ، بسندهما عن ابن أبي عمير ، عن ابن أخي فضيل ، عن أبي عبدالله </w:t>
      </w:r>
      <w:r w:rsidR="00E3253D" w:rsidRPr="00AE7CA6">
        <w:rPr>
          <w:rStyle w:val="libFootnoteAlaemChar"/>
          <w:rtl/>
        </w:rPr>
        <w:t>عليه‌السلام</w:t>
      </w:r>
      <w:r w:rsidR="00E3253D" w:rsidRPr="005D642E">
        <w:rPr>
          <w:rtl/>
        </w:rPr>
        <w:t xml:space="preserve"> ، وتمام الرواية فيهما : « قال : قال في الرجل يخرج منه مثل حبّ القرع ، قال : عليه وضوء [ في الاستبصار : الوضوء ] »</w:t>
      </w:r>
      <w:r w:rsidR="00E3253D">
        <w:rPr>
          <w:rtl/>
        </w:rPr>
        <w:t>.</w:t>
      </w:r>
      <w:r w:rsidR="00E3253D" w:rsidRPr="005D642E">
        <w:rPr>
          <w:rtl/>
        </w:rPr>
        <w:t xml:space="preserve"> وفي </w:t>
      </w:r>
      <w:r w:rsidR="00E3253D" w:rsidRPr="002F4D34">
        <w:rPr>
          <w:rStyle w:val="libFootnoteBoldChar"/>
          <w:rtl/>
        </w:rPr>
        <w:t>التهذيب</w:t>
      </w:r>
      <w:r w:rsidR="00E3253D" w:rsidRPr="005D642E">
        <w:rPr>
          <w:rtl/>
        </w:rPr>
        <w:t xml:space="preserve"> ، ج 1 ، ص 11 ، ح 20 ؛ وص 206 ، ح 597 ؛ </w:t>
      </w:r>
      <w:r w:rsidR="00E3253D" w:rsidRPr="00E678B5">
        <w:rPr>
          <w:rStyle w:val="libFootnoteBoldChar"/>
          <w:rtl/>
        </w:rPr>
        <w:t>والاستبصار</w:t>
      </w:r>
      <w:r w:rsidR="00E3253D" w:rsidRPr="005D642E">
        <w:rPr>
          <w:rtl/>
        </w:rPr>
        <w:t xml:space="preserve"> ، ج 1 ، ص 82 ، ح 258 ؛ وص 401 ، ح 1532 ، بسند آخر ، مع اختلاف يسير وزيادة </w:t>
      </w:r>
      <w:r w:rsidR="001C7797">
        <w:rPr>
          <w:rFonts w:hint="cs"/>
          <w:rtl/>
        </w:rPr>
        <w:t>.</w:t>
      </w:r>
      <w:r w:rsidR="00E3253D" w:rsidRPr="002F4D34">
        <w:rPr>
          <w:rStyle w:val="libFootnoteBoldChar"/>
          <w:rtl/>
        </w:rPr>
        <w:t>الوافي</w:t>
      </w:r>
      <w:r w:rsidR="00E3253D" w:rsidRPr="005D642E">
        <w:rPr>
          <w:rtl/>
        </w:rPr>
        <w:t xml:space="preserve"> ، ج 6 ، ص 249 ، ح 4204 </w:t>
      </w:r>
      <w:r w:rsidR="00E3253D">
        <w:rPr>
          <w:rtl/>
        </w:rPr>
        <w:t>و 4</w:t>
      </w:r>
      <w:r w:rsidR="00E3253D" w:rsidRPr="005D642E">
        <w:rPr>
          <w:rtl/>
        </w:rPr>
        <w:t xml:space="preserve">205 ؛ </w:t>
      </w:r>
      <w:r w:rsidR="00E3253D" w:rsidRPr="002F4D34">
        <w:rPr>
          <w:rStyle w:val="libFootnoteBoldChar"/>
          <w:rtl/>
        </w:rPr>
        <w:t>الوسائل</w:t>
      </w:r>
      <w:r w:rsidR="00E3253D" w:rsidRPr="005D642E">
        <w:rPr>
          <w:rtl/>
        </w:rPr>
        <w:t xml:space="preserve"> ، ج 1 ، ص 258 ، ح 668 </w:t>
      </w:r>
      <w:r w:rsidR="00E3253D">
        <w:rPr>
          <w:rtl/>
        </w:rPr>
        <w:t>و 6</w:t>
      </w:r>
      <w:r w:rsidR="00E3253D" w:rsidRPr="005D642E">
        <w:rPr>
          <w:rtl/>
        </w:rPr>
        <w:t>69.</w:t>
      </w:r>
    </w:p>
    <w:tbl>
      <w:tblPr>
        <w:tblStyle w:val="TableGrid"/>
        <w:bidiVisual/>
        <w:tblW w:w="0" w:type="auto"/>
        <w:tblLook w:val="04A0" w:firstRow="1" w:lastRow="0" w:firstColumn="1" w:lastColumn="0" w:noHBand="0" w:noVBand="1"/>
      </w:tblPr>
      <w:tblGrid>
        <w:gridCol w:w="4006"/>
        <w:gridCol w:w="4006"/>
      </w:tblGrid>
      <w:tr w:rsidR="001C7797" w:rsidTr="001C7797">
        <w:tc>
          <w:tcPr>
            <w:tcW w:w="4006" w:type="dxa"/>
          </w:tcPr>
          <w:p w:rsidR="001C7797" w:rsidRDefault="001C7797" w:rsidP="00E3253D">
            <w:pPr>
              <w:pStyle w:val="libFootnote0"/>
              <w:rPr>
                <w:rStyle w:val="libFootnote0Char"/>
                <w:rtl/>
              </w:rPr>
            </w:pPr>
            <w:r w:rsidRPr="0042621E">
              <w:rPr>
                <w:rStyle w:val="libFootnote0Char"/>
                <w:rtl/>
              </w:rPr>
              <w:t>(8).</w:t>
            </w:r>
            <w:r w:rsidRPr="005D642E">
              <w:rPr>
                <w:rtl/>
              </w:rPr>
              <w:t xml:space="preserve"> في الوافي </w:t>
            </w:r>
            <w:r w:rsidRPr="00B60612">
              <w:rPr>
                <w:rStyle w:val="libFootnoteBoldChar"/>
                <w:rtl/>
              </w:rPr>
              <w:t>والتهذيب</w:t>
            </w:r>
            <w:r w:rsidRPr="005D642E">
              <w:rPr>
                <w:rtl/>
              </w:rPr>
              <w:t xml:space="preserve"> ، ص 8 </w:t>
            </w:r>
            <w:r>
              <w:rPr>
                <w:rtl/>
              </w:rPr>
              <w:t>و 9</w:t>
            </w:r>
            <w:r w:rsidRPr="005D642E">
              <w:rPr>
                <w:rtl/>
              </w:rPr>
              <w:t xml:space="preserve"> : « وأبي »</w:t>
            </w:r>
            <w:r>
              <w:rPr>
                <w:rtl/>
              </w:rPr>
              <w:t>.</w:t>
            </w:r>
          </w:p>
        </w:tc>
        <w:tc>
          <w:tcPr>
            <w:tcW w:w="4006" w:type="dxa"/>
          </w:tcPr>
          <w:p w:rsidR="001C7797" w:rsidRDefault="001C7797" w:rsidP="00E3253D">
            <w:pPr>
              <w:pStyle w:val="libFootnote0"/>
              <w:rPr>
                <w:rStyle w:val="libFootnote0Char"/>
                <w:rtl/>
              </w:rPr>
            </w:pPr>
            <w:r w:rsidRPr="0042621E">
              <w:rPr>
                <w:rStyle w:val="libFootnote0Char"/>
                <w:rtl/>
              </w:rPr>
              <w:t>(9).</w:t>
            </w:r>
            <w:r w:rsidRPr="005D642E">
              <w:rPr>
                <w:rtl/>
              </w:rPr>
              <w:t xml:space="preserve"> في « بث ، جس » : « فقال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مَنِيٌّ ، أَوْ رِيحٌ </w:t>
      </w:r>
      <w:r w:rsidRPr="007C12DB">
        <w:rPr>
          <w:rStyle w:val="libFootnotenumChar"/>
          <w:rtl/>
        </w:rPr>
        <w:t>(1)</w:t>
      </w:r>
      <w:r>
        <w:rPr>
          <w:rtl/>
          <w:lang w:bidi="fa-IR"/>
        </w:rPr>
        <w:t xml:space="preserve"> </w:t>
      </w:r>
      <w:r w:rsidR="007642BC">
        <w:rPr>
          <w:rtl/>
          <w:lang w:bidi="fa-IR"/>
        </w:rPr>
        <w:t>-</w:t>
      </w:r>
      <w:r>
        <w:rPr>
          <w:rtl/>
          <w:lang w:bidi="fa-IR"/>
        </w:rPr>
        <w:t xml:space="preserve"> </w:t>
      </w:r>
      <w:r w:rsidRPr="005D642E">
        <w:rPr>
          <w:rtl/>
          <w:lang w:bidi="fa-IR"/>
        </w:rPr>
        <w:t xml:space="preserve">وَالنَّوْمُ حَتّى يُذْهِبَ الْعَقْلَ ، وَكُلُّ النَّوْمِ يُكْرَهُ </w:t>
      </w:r>
      <w:r w:rsidRPr="007C12DB">
        <w:rPr>
          <w:rStyle w:val="libFootnotenumChar"/>
          <w:rtl/>
        </w:rPr>
        <w:t>(2)</w:t>
      </w:r>
      <w:r w:rsidR="0061070B">
        <w:rPr>
          <w:rtl/>
          <w:lang w:bidi="fa-IR"/>
        </w:rPr>
        <w:t xml:space="preserve"> إِل</w:t>
      </w:r>
      <w:r w:rsidR="0061070B">
        <w:rPr>
          <w:rFonts w:hint="cs"/>
          <w:rtl/>
          <w:lang w:bidi="fa-IR"/>
        </w:rPr>
        <w:t>َّ</w:t>
      </w:r>
      <w:r w:rsidR="0061070B">
        <w:rPr>
          <w:rtl/>
          <w:lang w:bidi="fa-IR"/>
        </w:rPr>
        <w:t>ا</w:t>
      </w:r>
      <w:r w:rsidRPr="005D642E">
        <w:rPr>
          <w:rtl/>
          <w:lang w:bidi="fa-IR"/>
        </w:rPr>
        <w:t xml:space="preserve"> أَنْ تَكُونَ </w:t>
      </w:r>
      <w:r w:rsidRPr="007C12DB">
        <w:rPr>
          <w:rStyle w:val="libFootnotenumChar"/>
          <w:rtl/>
        </w:rPr>
        <w:t>(3)</w:t>
      </w:r>
      <w:r w:rsidRPr="005D642E">
        <w:rPr>
          <w:rtl/>
          <w:lang w:bidi="fa-IR"/>
        </w:rPr>
        <w:t xml:space="preserve"> تَسْمَعُ </w:t>
      </w:r>
      <w:r w:rsidRPr="007C12DB">
        <w:rPr>
          <w:rStyle w:val="libFootnotenumChar"/>
          <w:rtl/>
        </w:rPr>
        <w:t>(4)</w:t>
      </w:r>
      <w:r w:rsidRPr="005D642E">
        <w:rPr>
          <w:rtl/>
          <w:lang w:bidi="fa-IR"/>
        </w:rPr>
        <w:t xml:space="preserve"> الصَّوْتَ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93C08">
        <w:rPr>
          <w:rtl/>
        </w:rPr>
        <w:t>3974</w:t>
      </w:r>
      <w:r w:rsidRPr="00246318">
        <w:rPr>
          <w:rStyle w:val="libBold2Char"/>
          <w:rtl/>
        </w:rPr>
        <w:t xml:space="preserve"> / 7.</w:t>
      </w:r>
      <w:r w:rsidRPr="005D642E">
        <w:rPr>
          <w:rtl/>
          <w:lang w:bidi="fa-IR"/>
        </w:rPr>
        <w:t xml:space="preserve"> مُحَمَّدُ بْنُ يَحْيى ، عَنْ الْعَمْرَكِيِّ ، عَنْ عَلِيِّ بْنِ جَعْفَرٍ :</w:t>
      </w:r>
    </w:p>
    <w:p w:rsidR="00E3253D" w:rsidRPr="005D642E" w:rsidRDefault="00E3253D" w:rsidP="00E3253D">
      <w:pPr>
        <w:pStyle w:val="libNormal"/>
        <w:rPr>
          <w:rtl/>
          <w:lang w:bidi="fa-IR"/>
        </w:rPr>
      </w:pPr>
      <w:r w:rsidRPr="005D642E">
        <w:rPr>
          <w:rtl/>
          <w:lang w:bidi="fa-IR"/>
        </w:rPr>
        <w:t xml:space="preserve">عَنْ أَخِيهِ مُوسى </w:t>
      </w:r>
      <w:r w:rsidRPr="007C12DB">
        <w:rPr>
          <w:rStyle w:val="libFootnotenumChar"/>
          <w:rtl/>
        </w:rPr>
        <w:t>(6)</w:t>
      </w:r>
      <w:r w:rsidRPr="005D642E">
        <w:rPr>
          <w:rtl/>
          <w:lang w:bidi="fa-IR"/>
        </w:rPr>
        <w:t xml:space="preserve"> </w:t>
      </w:r>
      <w:r w:rsidRPr="00AC51C5">
        <w:rPr>
          <w:rStyle w:val="libAlaemChar"/>
          <w:rtl/>
        </w:rPr>
        <w:t>عليه‌السلام</w:t>
      </w:r>
      <w:r w:rsidRPr="005D642E">
        <w:rPr>
          <w:rtl/>
          <w:lang w:bidi="fa-IR"/>
        </w:rPr>
        <w:t xml:space="preserve"> ، قَالَ : سَأَلْتُهُ عَنِ الرَّجُلِ : هَلْ يَصْلُحُ لَهُ </w:t>
      </w:r>
      <w:r w:rsidRPr="007C12DB">
        <w:rPr>
          <w:rStyle w:val="libFootnotenumChar"/>
          <w:rtl/>
        </w:rPr>
        <w:t>(7)</w:t>
      </w:r>
      <w:r w:rsidRPr="005D642E">
        <w:rPr>
          <w:rtl/>
          <w:lang w:bidi="fa-IR"/>
        </w:rPr>
        <w:t xml:space="preserve"> أَنْ يَسْتَدْخِلَ الدَّوَاءَ ، ثُمَّ يُصَلِّيَ وَهُوَ مَعَهُ</w:t>
      </w:r>
      <w:r>
        <w:rPr>
          <w:rtl/>
          <w:lang w:bidi="fa-IR"/>
        </w:rPr>
        <w:t>؟ أَ</w:t>
      </w:r>
      <w:r w:rsidRPr="005D642E">
        <w:rPr>
          <w:rtl/>
          <w:lang w:bidi="fa-IR"/>
        </w:rPr>
        <w:t>يَنْقُضُ الْوُضُوءَ</w:t>
      </w:r>
      <w:r>
        <w:rPr>
          <w:rtl/>
          <w:lang w:bidi="fa-IR"/>
        </w:rPr>
        <w:t>؟</w:t>
      </w:r>
    </w:p>
    <w:p w:rsidR="00E3253D" w:rsidRPr="005D642E" w:rsidRDefault="00E3253D" w:rsidP="00821996">
      <w:pPr>
        <w:pStyle w:val="libNormal"/>
        <w:rPr>
          <w:rtl/>
          <w:lang w:bidi="fa-IR"/>
        </w:rPr>
      </w:pPr>
      <w:r w:rsidRPr="005D642E">
        <w:rPr>
          <w:rtl/>
          <w:lang w:bidi="fa-IR"/>
        </w:rPr>
        <w:t>قَالَ : « لَا يَنْقُضُ الْوُضُوءَ ، وَلَايُصَلِّي حَتّى يَطْرَحَهُ »</w:t>
      </w:r>
      <w:r>
        <w:rPr>
          <w:rtl/>
          <w:lang w:bidi="fa-IR"/>
        </w:rPr>
        <w:t>.</w:t>
      </w:r>
      <w:r w:rsidRPr="005D642E">
        <w:rPr>
          <w:rtl/>
          <w:lang w:bidi="fa-IR"/>
        </w:rPr>
        <w:t xml:space="preserve"> </w:t>
      </w:r>
      <w:r w:rsidRPr="007C12DB">
        <w:rPr>
          <w:rStyle w:val="libFootnotenumChar"/>
          <w:rtl/>
        </w:rPr>
        <w:t>(8)</w:t>
      </w:r>
    </w:p>
    <w:p w:rsidR="00E3253D" w:rsidRPr="005D642E" w:rsidRDefault="00E3253D" w:rsidP="00E3253D">
      <w:pPr>
        <w:pStyle w:val="libNormal"/>
        <w:rPr>
          <w:rtl/>
          <w:lang w:bidi="fa-IR"/>
        </w:rPr>
      </w:pPr>
      <w:r w:rsidRPr="00246318">
        <w:rPr>
          <w:rStyle w:val="libBold2Char"/>
          <w:rtl/>
        </w:rPr>
        <w:t>3975 / 8.</w:t>
      </w:r>
      <w:r w:rsidRPr="005D642E">
        <w:rPr>
          <w:rtl/>
          <w:lang w:bidi="fa-IR"/>
        </w:rPr>
        <w:t xml:space="preserve"> عِدَّةٌ مِنْ أَصْحَابِنَا ، عَنْ أَحْمَدَ بْنِ مُحَمَّدٍ ، عَنْ عَلِيِّ بْنِ الْحَكَمِ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 « غائطاً أو بولاً أو منيّاً أو ريحاً »</w:t>
      </w:r>
      <w:r w:rsidR="00E3253D">
        <w:rPr>
          <w:rtl/>
        </w:rPr>
        <w:t>.</w:t>
      </w:r>
      <w:r w:rsidR="00E3253D" w:rsidRPr="005D642E">
        <w:rPr>
          <w:rtl/>
        </w:rPr>
        <w:t xml:space="preserve"> وفي </w:t>
      </w:r>
      <w:r w:rsidR="00E3253D" w:rsidRPr="002F4D34">
        <w:rPr>
          <w:rStyle w:val="libFootnoteBoldChar"/>
          <w:rtl/>
        </w:rPr>
        <w:t>الحبل المتين</w:t>
      </w:r>
      <w:r w:rsidR="00E3253D" w:rsidRPr="005D642E">
        <w:rPr>
          <w:rtl/>
        </w:rPr>
        <w:t xml:space="preserve"> ، ص 107 : « وأمّا الدماء الثلاثة ، فلعلّه </w:t>
      </w:r>
      <w:r w:rsidR="00E3253D" w:rsidRPr="00343EDB">
        <w:rPr>
          <w:rStyle w:val="libFootnoteAlaemChar"/>
          <w:rtl/>
        </w:rPr>
        <w:t>عليه‌السلام</w:t>
      </w:r>
      <w:r w:rsidR="00E3253D" w:rsidRPr="005D642E">
        <w:rPr>
          <w:rtl/>
        </w:rPr>
        <w:t xml:space="preserve"> إنّما لم‌يذكرها ، لأنّ الكلام في ما يخرج من طرفي الرجل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الحبل المتين</w:t>
      </w:r>
      <w:r w:rsidR="00E3253D" w:rsidRPr="005D642E">
        <w:rPr>
          <w:rtl/>
        </w:rPr>
        <w:t xml:space="preserve"> ، ص 106 : « ما تضمّنه الحديث من قوله </w:t>
      </w:r>
      <w:r w:rsidR="00E3253D" w:rsidRPr="00343EDB">
        <w:rPr>
          <w:rStyle w:val="libFootnoteAlaemChar"/>
          <w:rtl/>
        </w:rPr>
        <w:t>عليه‌السلام</w:t>
      </w:r>
      <w:r w:rsidR="00E3253D" w:rsidRPr="005D642E">
        <w:rPr>
          <w:rtl/>
        </w:rPr>
        <w:t xml:space="preserve"> : وكلّ النوم يكره إلخ ، مع</w:t>
      </w:r>
      <w:r w:rsidR="00343EDB">
        <w:rPr>
          <w:rtl/>
        </w:rPr>
        <w:t>ناه أنّ كلّ نوم يفسد الوضوء إل</w:t>
      </w:r>
      <w:r w:rsidR="00343EDB">
        <w:rPr>
          <w:rFonts w:hint="cs"/>
          <w:rtl/>
        </w:rPr>
        <w:t>ّ</w:t>
      </w:r>
      <w:r w:rsidR="00343EDB">
        <w:rPr>
          <w:rtl/>
        </w:rPr>
        <w:t>ا</w:t>
      </w:r>
      <w:r w:rsidR="00E3253D" w:rsidRPr="005D642E">
        <w:rPr>
          <w:rtl/>
        </w:rPr>
        <w:t xml:space="preserve">نوماً يسمع معه الصوت ، فعبّر </w:t>
      </w:r>
      <w:r w:rsidR="00E3253D" w:rsidRPr="00343EDB">
        <w:rPr>
          <w:rStyle w:val="libFootnoteAlaemChar"/>
          <w:rtl/>
        </w:rPr>
        <w:t>عليه‌السلام</w:t>
      </w:r>
      <w:r w:rsidR="00E3253D" w:rsidRPr="005D642E">
        <w:rPr>
          <w:rtl/>
        </w:rPr>
        <w:t xml:space="preserve"> عن الإفساد بالكراهة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إنّما عبّر عن نقض الوضوء بالكراهية ؛ لأنّ النواقض ممّا يستكره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ى ، بث ، بخ ، بس ، بف ، جح ، جس ، جن » : « أن يكون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ى ، بث ، بخ ، بس ، بف ، جس » : « يسمع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8 ، ح 12 ، بسنده عن الكليني. </w:t>
      </w:r>
      <w:r w:rsidR="00E3253D" w:rsidRPr="002F4D34">
        <w:rPr>
          <w:rStyle w:val="libFootnoteBoldChar"/>
          <w:rtl/>
        </w:rPr>
        <w:t>وفيه</w:t>
      </w:r>
      <w:r w:rsidR="00E3253D" w:rsidRPr="005D642E">
        <w:rPr>
          <w:rtl/>
        </w:rPr>
        <w:t xml:space="preserve"> ، ص 9 ، ح 15 ، بسنده عن حمّاد ، مع اختلاف يسير. </w:t>
      </w:r>
      <w:r w:rsidR="00E3253D" w:rsidRPr="002F4D34">
        <w:rPr>
          <w:rStyle w:val="libFootnoteBoldChar"/>
          <w:rtl/>
        </w:rPr>
        <w:t>وفيه</w:t>
      </w:r>
      <w:r w:rsidR="00E3253D" w:rsidRPr="005D642E">
        <w:rPr>
          <w:rtl/>
        </w:rPr>
        <w:t xml:space="preserve"> ، ص 6 ، ح 6 ؛ </w:t>
      </w:r>
      <w:r w:rsidR="00E3253D" w:rsidRPr="00E678B5">
        <w:rPr>
          <w:rStyle w:val="libFootnoteBoldChar"/>
          <w:rtl/>
        </w:rPr>
        <w:t>والاستبصار</w:t>
      </w:r>
      <w:r w:rsidR="00E3253D" w:rsidRPr="002F4D34">
        <w:rPr>
          <w:rStyle w:val="libFootnoteBoldChar"/>
          <w:rtl/>
        </w:rPr>
        <w:t xml:space="preserve"> </w:t>
      </w:r>
      <w:r w:rsidR="00E3253D" w:rsidRPr="005D642E">
        <w:rPr>
          <w:rtl/>
        </w:rPr>
        <w:t>، ج 1 ، ص 79 ، ح 244 ، بسند آخر عن حمّاد ، عن عمر بن ا</w:t>
      </w:r>
      <w:r w:rsidR="00372326">
        <w:rPr>
          <w:rFonts w:hint="cs"/>
          <w:rtl/>
        </w:rPr>
        <w:t>ُ</w:t>
      </w:r>
      <w:r w:rsidR="00E3253D" w:rsidRPr="005D642E">
        <w:rPr>
          <w:rtl/>
        </w:rPr>
        <w:t xml:space="preserve">ذينة وحريز ، عن زرارة ، عن أحدهما </w:t>
      </w:r>
      <w:r w:rsidR="00E3253D" w:rsidRPr="00343EDB">
        <w:rPr>
          <w:rStyle w:val="libFootnoteAlaemChar"/>
          <w:rtl/>
        </w:rPr>
        <w:t>عليهما‌السلام</w:t>
      </w:r>
      <w:r w:rsidR="00E3253D" w:rsidRPr="005D642E">
        <w:rPr>
          <w:rtl/>
        </w:rPr>
        <w:t xml:space="preserve"> ، وتمام الرواية في</w:t>
      </w:r>
      <w:r w:rsidR="00B43155">
        <w:rPr>
          <w:rtl/>
        </w:rPr>
        <w:t>هما : « قال : لاينقض الوضوء إل</w:t>
      </w:r>
      <w:r w:rsidR="00B43155">
        <w:rPr>
          <w:rFonts w:hint="cs"/>
          <w:rtl/>
        </w:rPr>
        <w:t>ّ</w:t>
      </w:r>
      <w:r w:rsidR="00B43155">
        <w:rPr>
          <w:rtl/>
        </w:rPr>
        <w:t>ا</w:t>
      </w:r>
      <w:r w:rsidR="00E3253D" w:rsidRPr="005D642E">
        <w:rPr>
          <w:rtl/>
        </w:rPr>
        <w:t>ما خرج من طرفيك أو النوم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61 ، ح 137 ، معلّقاً عن زرارة ، مع اختلاف يسير. </w:t>
      </w:r>
      <w:r w:rsidR="00E3253D" w:rsidRPr="002F4D34">
        <w:rPr>
          <w:rStyle w:val="libFootnoteBoldChar"/>
          <w:rtl/>
        </w:rPr>
        <w:t>الخصال</w:t>
      </w:r>
      <w:r w:rsidR="00E3253D" w:rsidRPr="005D642E">
        <w:rPr>
          <w:rtl/>
        </w:rPr>
        <w:t xml:space="preserve"> ، ص 603 أبواب الثمانين ومافوقه ، ضمن الحديث الطويل 9 ، بسند آخر عن أبي عبدالله </w:t>
      </w:r>
      <w:r w:rsidR="00E3253D" w:rsidRPr="00343EDB">
        <w:rPr>
          <w:rStyle w:val="libFootnoteAlaemChar"/>
          <w:rtl/>
        </w:rPr>
        <w:t>عليه‌السلام</w:t>
      </w:r>
      <w:r w:rsidR="00E3253D" w:rsidRPr="005D642E">
        <w:rPr>
          <w:rtl/>
        </w:rPr>
        <w:t xml:space="preserve"> ؛ </w:t>
      </w:r>
      <w:r w:rsidR="00E3253D" w:rsidRPr="002F4D34">
        <w:rPr>
          <w:rStyle w:val="libFootnoteBoldChar"/>
          <w:rtl/>
        </w:rPr>
        <w:t>عيون الأخبار</w:t>
      </w:r>
      <w:r w:rsidR="00E3253D" w:rsidRPr="005D642E">
        <w:rPr>
          <w:rtl/>
        </w:rPr>
        <w:t xml:space="preserve"> ، ج 2 ، ص 123 ، ضمن الحديث الطويل 1 ، بسند آخر عن الرضا </w:t>
      </w:r>
      <w:r w:rsidR="00E3253D" w:rsidRPr="00372326">
        <w:rPr>
          <w:rStyle w:val="libFootnoteAlaemChar"/>
          <w:rtl/>
        </w:rPr>
        <w:t>عليه‌السلام</w:t>
      </w:r>
      <w:r w:rsidR="00E3253D" w:rsidRPr="005D642E">
        <w:rPr>
          <w:rtl/>
        </w:rPr>
        <w:t xml:space="preserve">. </w:t>
      </w:r>
      <w:r w:rsidR="000D749A" w:rsidRPr="000D749A">
        <w:rPr>
          <w:rStyle w:val="libFootnoteBoldChar"/>
          <w:rtl/>
        </w:rPr>
        <w:t>الأمالي للصدوق</w:t>
      </w:r>
      <w:r w:rsidR="00E3253D" w:rsidRPr="005D642E">
        <w:rPr>
          <w:rtl/>
        </w:rPr>
        <w:t xml:space="preserve"> ، ص 646 ، المجلس 93 ، ضمن وصف دين الإماميّة على الإيجاز والاختصار ؛ </w:t>
      </w:r>
      <w:r w:rsidR="00E3253D" w:rsidRPr="002F4D34">
        <w:rPr>
          <w:rStyle w:val="libFootnoteBoldChar"/>
          <w:rtl/>
        </w:rPr>
        <w:t>تحف العقول</w:t>
      </w:r>
      <w:r w:rsidR="00E3253D" w:rsidRPr="005D642E">
        <w:rPr>
          <w:rtl/>
        </w:rPr>
        <w:t xml:space="preserve"> ، ص 415 ، عن الرضا </w:t>
      </w:r>
      <w:r w:rsidR="00E3253D" w:rsidRPr="00372326">
        <w:rPr>
          <w:rStyle w:val="libFootnoteAlaemChar"/>
          <w:rtl/>
        </w:rPr>
        <w:t>عليه‌السلام</w:t>
      </w:r>
      <w:r w:rsidR="00E3253D" w:rsidRPr="005D642E">
        <w:rPr>
          <w:rtl/>
        </w:rPr>
        <w:t xml:space="preserve"> ، وفي الأربعة الأخيرة مع اختلاف </w:t>
      </w:r>
      <w:r w:rsidR="002209DC">
        <w:rPr>
          <w:rFonts w:hint="cs"/>
          <w:rtl/>
        </w:rPr>
        <w:t>.</w:t>
      </w:r>
      <w:r w:rsidR="00E3253D" w:rsidRPr="002F4D34">
        <w:rPr>
          <w:rStyle w:val="libFootnoteBoldChar"/>
          <w:rtl/>
        </w:rPr>
        <w:t>الوافي</w:t>
      </w:r>
      <w:r w:rsidR="00E3253D" w:rsidRPr="005D642E">
        <w:rPr>
          <w:rtl/>
        </w:rPr>
        <w:t xml:space="preserve"> ، ج 6 ، ص 250 ، ح 4208 ؛ </w:t>
      </w:r>
      <w:r w:rsidR="00E3253D" w:rsidRPr="002F4D34">
        <w:rPr>
          <w:rStyle w:val="libFootnoteBoldChar"/>
          <w:rtl/>
        </w:rPr>
        <w:t>الوسائل</w:t>
      </w:r>
      <w:r w:rsidR="00E3253D" w:rsidRPr="005D642E">
        <w:rPr>
          <w:rtl/>
        </w:rPr>
        <w:t xml:space="preserve"> ، ج 1 ، ص 249 ، ذيل ح 642.</w:t>
      </w:r>
    </w:p>
    <w:tbl>
      <w:tblPr>
        <w:tblStyle w:val="TableGrid"/>
        <w:bidiVisual/>
        <w:tblW w:w="0" w:type="auto"/>
        <w:tblLook w:val="04A0" w:firstRow="1" w:lastRow="0" w:firstColumn="1" w:lastColumn="0" w:noHBand="0" w:noVBand="1"/>
      </w:tblPr>
      <w:tblGrid>
        <w:gridCol w:w="4006"/>
        <w:gridCol w:w="4006"/>
      </w:tblGrid>
      <w:tr w:rsidR="008C1387" w:rsidTr="008C1387">
        <w:tc>
          <w:tcPr>
            <w:tcW w:w="4006" w:type="dxa"/>
          </w:tcPr>
          <w:p w:rsidR="008C1387" w:rsidRDefault="008C1387" w:rsidP="00E3253D">
            <w:pPr>
              <w:pStyle w:val="libFootnote0"/>
              <w:rPr>
                <w:rStyle w:val="libFootnote0Char"/>
                <w:rtl/>
              </w:rPr>
            </w:pPr>
            <w:r w:rsidRPr="0042621E">
              <w:rPr>
                <w:rStyle w:val="libFootnote0Char"/>
                <w:rtl/>
              </w:rPr>
              <w:t>(6).</w:t>
            </w:r>
            <w:r w:rsidRPr="005D642E">
              <w:rPr>
                <w:rtl/>
              </w:rPr>
              <w:t xml:space="preserve"> في « ظ » </w:t>
            </w:r>
            <w:r w:rsidRPr="00B60612">
              <w:rPr>
                <w:rStyle w:val="libFootnoteBoldChar"/>
                <w:rtl/>
              </w:rPr>
              <w:t>والتهذيب</w:t>
            </w:r>
            <w:r w:rsidRPr="005D642E">
              <w:rPr>
                <w:rtl/>
              </w:rPr>
              <w:t xml:space="preserve"> : + « بن جعفر »</w:t>
            </w:r>
            <w:r>
              <w:rPr>
                <w:rtl/>
              </w:rPr>
              <w:t>.</w:t>
            </w:r>
          </w:p>
        </w:tc>
        <w:tc>
          <w:tcPr>
            <w:tcW w:w="4006" w:type="dxa"/>
          </w:tcPr>
          <w:p w:rsidR="008C1387" w:rsidRDefault="008C1387" w:rsidP="00E3253D">
            <w:pPr>
              <w:pStyle w:val="libFootnote0"/>
              <w:rPr>
                <w:rStyle w:val="libFootnote0Char"/>
                <w:rtl/>
              </w:rPr>
            </w:pPr>
            <w:r w:rsidRPr="0042621E">
              <w:rPr>
                <w:rStyle w:val="libFootnote0Char"/>
                <w:rtl/>
              </w:rPr>
              <w:t>(7).</w:t>
            </w:r>
            <w:r w:rsidRPr="005D642E">
              <w:rPr>
                <w:rtl/>
              </w:rPr>
              <w:t xml:space="preserve"> في الوسائل </w:t>
            </w:r>
            <w:r w:rsidRPr="00B60612">
              <w:rPr>
                <w:rStyle w:val="libFootnoteBoldChar"/>
                <w:rtl/>
              </w:rPr>
              <w:t>والتهذيب</w:t>
            </w:r>
            <w:r w:rsidRPr="005D642E">
              <w:rPr>
                <w:rtl/>
              </w:rPr>
              <w:t xml:space="preserve"> :</w:t>
            </w:r>
            <w:r>
              <w:rPr>
                <w:rtl/>
              </w:rPr>
              <w:t xml:space="preserve"> - </w:t>
            </w:r>
            <w:r w:rsidRPr="005D642E">
              <w:rPr>
                <w:rtl/>
              </w:rPr>
              <w:t>« له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345 ، ح 1009 ، معلّقاً عن الكليني. </w:t>
      </w:r>
      <w:r w:rsidR="00E3253D" w:rsidRPr="002F4D34">
        <w:rPr>
          <w:rStyle w:val="libFootnoteBoldChar"/>
          <w:rtl/>
        </w:rPr>
        <w:t>قرب الإسناد</w:t>
      </w:r>
      <w:r w:rsidR="00E3253D" w:rsidRPr="005D642E">
        <w:rPr>
          <w:rtl/>
        </w:rPr>
        <w:t xml:space="preserve"> ، ص 189 ، ح 707 ، عن عبدالله بن الحسن العلوي ، عن عليّ بن جعفر ، عن أخيه موسى بن جعفر </w:t>
      </w:r>
      <w:r w:rsidR="00E3253D" w:rsidRPr="00372326">
        <w:rPr>
          <w:rStyle w:val="libFootnoteAlaemChar"/>
          <w:rtl/>
        </w:rPr>
        <w:t>عليهما‌السلام</w:t>
      </w:r>
      <w:r w:rsidR="00E3253D" w:rsidRPr="005D642E">
        <w:rPr>
          <w:rtl/>
        </w:rPr>
        <w:t xml:space="preserve"> ، مع اختلاف يسير </w:t>
      </w:r>
      <w:r w:rsidR="00B92ADE">
        <w:rPr>
          <w:rFonts w:hint="cs"/>
          <w:rtl/>
        </w:rPr>
        <w:t>.</w:t>
      </w:r>
      <w:r w:rsidR="00E3253D" w:rsidRPr="002F4D34">
        <w:rPr>
          <w:rStyle w:val="libFootnoteBoldChar"/>
          <w:rtl/>
        </w:rPr>
        <w:t>الوافي</w:t>
      </w:r>
      <w:r w:rsidR="00E3253D" w:rsidRPr="005D642E">
        <w:rPr>
          <w:rtl/>
        </w:rPr>
        <w:t xml:space="preserve"> ، ج 6 ، ص 251 ، ح 4209 ؛ </w:t>
      </w:r>
      <w:r w:rsidR="00E3253D" w:rsidRPr="002F4D34">
        <w:rPr>
          <w:rStyle w:val="libFootnoteBoldChar"/>
          <w:rtl/>
        </w:rPr>
        <w:t>الوسائل</w:t>
      </w:r>
      <w:r w:rsidR="00E3253D" w:rsidRPr="005D642E">
        <w:rPr>
          <w:rtl/>
        </w:rPr>
        <w:t xml:space="preserve"> ، ج 1 ، ص 291 ، ح 766 ؛ وج 7 ، ص 289 ، ح 9368.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الْحُسَيْنِ بْنِ أَبِي الْعَلَاءِ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يَتَجَشَّأُ </w:t>
      </w:r>
      <w:r w:rsidRPr="007C12DB">
        <w:rPr>
          <w:rStyle w:val="libFootnotenumChar"/>
          <w:rtl/>
        </w:rPr>
        <w:t>(1)</w:t>
      </w:r>
      <w:r w:rsidRPr="005D642E">
        <w:rPr>
          <w:rtl/>
          <w:lang w:bidi="fa-IR"/>
        </w:rPr>
        <w:t xml:space="preserve"> ،</w:t>
      </w:r>
      <w:r>
        <w:rPr>
          <w:rtl/>
          <w:lang w:bidi="fa-IR"/>
        </w:rPr>
        <w:t xml:space="preserve"> فَيَخْرُجُ مِنْهُ شَيْ‌ءٌ : أَ</w:t>
      </w:r>
      <w:r w:rsidRPr="005D642E">
        <w:rPr>
          <w:rtl/>
          <w:lang w:bidi="fa-IR"/>
        </w:rPr>
        <w:t>يُعِيدُ الْوُضُوءَ</w:t>
      </w:r>
      <w:r>
        <w:rPr>
          <w:rtl/>
          <w:lang w:bidi="fa-IR"/>
        </w:rPr>
        <w:t>؟</w:t>
      </w:r>
      <w:r>
        <w:rPr>
          <w:rFonts w:hint="cs"/>
          <w:rtl/>
          <w:lang w:bidi="fa-IR"/>
        </w:rPr>
        <w:t xml:space="preserve"> </w:t>
      </w:r>
      <w:r w:rsidRPr="005D642E">
        <w:rPr>
          <w:rtl/>
          <w:lang w:bidi="fa-IR"/>
        </w:rPr>
        <w:t>قَالَ : « لَا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393C08">
        <w:rPr>
          <w:rtl/>
        </w:rPr>
        <w:t>3976</w:t>
      </w:r>
      <w:r w:rsidRPr="00246318">
        <w:rPr>
          <w:rStyle w:val="libBold2Char"/>
          <w:rtl/>
        </w:rPr>
        <w:t xml:space="preserve"> / 9.</w:t>
      </w:r>
      <w:r w:rsidRPr="005D642E">
        <w:rPr>
          <w:rtl/>
          <w:lang w:bidi="fa-IR"/>
        </w:rPr>
        <w:t xml:space="preserve"> عَلِيُّ بْنُ إِبْرَاهِيمَ ، عَنْ أَبِيهِ ، عَنِ ابْنِ أَبِي عُمَيْرٍ ، عَنِ ابْنِ أُذَيْنَةَ ، عَنْ أَبِي أُسَامَةَ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الْقَيْ‌ءِ : هَلْ يَنْقُضُ الْوُضُوءَ</w:t>
      </w:r>
      <w:r>
        <w:rPr>
          <w:rtl/>
          <w:lang w:bidi="fa-IR"/>
        </w:rPr>
        <w:t>؟</w:t>
      </w:r>
      <w:r w:rsidRPr="005D642E">
        <w:rPr>
          <w:rtl/>
          <w:lang w:bidi="fa-IR"/>
        </w:rPr>
        <w:t xml:space="preserve"> قَالَ : « لَا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FD7F56" w:rsidRDefault="00E3253D" w:rsidP="00FD7F56">
      <w:pPr>
        <w:pStyle w:val="libNormal"/>
        <w:rPr>
          <w:rtl/>
          <w:lang w:bidi="fa-IR"/>
        </w:rPr>
      </w:pPr>
      <w:r w:rsidRPr="00393C08">
        <w:rPr>
          <w:rtl/>
        </w:rPr>
        <w:t>3977</w:t>
      </w:r>
      <w:r w:rsidRPr="00246318">
        <w:rPr>
          <w:rStyle w:val="libBold2Char"/>
          <w:rtl/>
        </w:rPr>
        <w:t xml:space="preserve"> / 10.</w:t>
      </w:r>
      <w:r w:rsidRPr="005D642E">
        <w:rPr>
          <w:rtl/>
          <w:lang w:bidi="fa-IR"/>
        </w:rPr>
        <w:t xml:space="preserve"> عِدَّةٌ مِنْ أَصْحَابِنَا ، عَنْ أَحْمَدَ بْنِ مُحَمَّدٍ ؛</w:t>
      </w:r>
    </w:p>
    <w:p w:rsidR="00E3253D" w:rsidRPr="005D642E" w:rsidRDefault="00365424" w:rsidP="00FD7F56">
      <w:pPr>
        <w:pStyle w:val="libNormal"/>
        <w:rPr>
          <w:rtl/>
          <w:lang w:bidi="fa-IR"/>
        </w:rPr>
      </w:pPr>
      <w:r>
        <w:rPr>
          <w:rFonts w:hint="cs"/>
          <w:rtl/>
          <w:lang w:bidi="fa-IR"/>
        </w:rPr>
        <w:t xml:space="preserve">             </w:t>
      </w:r>
      <w:r w:rsidR="00FD7F56">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(4)</w:t>
      </w:r>
      <w:r w:rsidR="00E3253D" w:rsidRPr="005D642E">
        <w:rPr>
          <w:rtl/>
          <w:lang w:bidi="fa-IR"/>
        </w:rPr>
        <w:t xml:space="preserve"> أَبُو دَاوُدَ ، عَنِ الْحُسَيْنِ بْنِ سَعِيدٍ ، عَنْ فَضَالَةَ ، عَنْ أَبَانٍ ، عَنْ عُبَيْدِ بْنِ زُرَارَةَ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قَاءَ الرَّجُلُ وَهُوَ عَلى طُهْرٍ </w:t>
      </w:r>
      <w:r w:rsidRPr="007C12DB">
        <w:rPr>
          <w:rStyle w:val="libFootnotenumChar"/>
          <w:rtl/>
        </w:rPr>
        <w:t>(5)</w:t>
      </w:r>
      <w:r w:rsidRPr="005D642E">
        <w:rPr>
          <w:rtl/>
          <w:lang w:bidi="fa-IR"/>
        </w:rPr>
        <w:t xml:space="preserve"> ، فَلْيَتَمَضْمَضْ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393C08">
        <w:rPr>
          <w:rtl/>
        </w:rPr>
        <w:t>3978</w:t>
      </w:r>
      <w:r w:rsidRPr="00246318">
        <w:rPr>
          <w:rStyle w:val="libBold2Char"/>
          <w:rtl/>
        </w:rPr>
        <w:t xml:space="preserve"> / 11.</w:t>
      </w:r>
      <w:r w:rsidRPr="005D642E">
        <w:rPr>
          <w:rtl/>
          <w:lang w:bidi="fa-IR"/>
        </w:rPr>
        <w:t xml:space="preserve"> مُحَمَّدُ بْنُ إِسْمَاعِيلَ ، عَنِ الْفَضْلِ بْنِ شَاذَانَ ، عَنْ صَفْوَانَ بْنِ يَحْيى ، عَنِ ابْنِ‌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التجشّؤ : تنفّس المعدة عند الامتلاء. وقيل : التجشّؤ : تكلّف الجُشاء ، وهو صوت مع ريح يخرج من الفم عندحصول الشبع. راجع : </w:t>
      </w:r>
      <w:r w:rsidR="00E3253D" w:rsidRPr="002F4D34">
        <w:rPr>
          <w:rStyle w:val="libFootnoteBoldChar"/>
          <w:rtl/>
        </w:rPr>
        <w:t>المغرب</w:t>
      </w:r>
      <w:r w:rsidR="00E3253D" w:rsidRPr="005D642E">
        <w:rPr>
          <w:rtl/>
        </w:rPr>
        <w:t xml:space="preserve"> ، ص 83 ؛ </w:t>
      </w:r>
      <w:r w:rsidR="00E3253D" w:rsidRPr="002F4D34">
        <w:rPr>
          <w:rStyle w:val="libFootnoteBoldChar"/>
          <w:rtl/>
        </w:rPr>
        <w:t>لسان العرب</w:t>
      </w:r>
      <w:r w:rsidR="00E3253D" w:rsidRPr="005D642E">
        <w:rPr>
          <w:rtl/>
        </w:rPr>
        <w:t xml:space="preserve"> ، ج 1 ، ص 48 ؛ </w:t>
      </w:r>
      <w:r w:rsidR="00E3253D" w:rsidRPr="002F4D34">
        <w:rPr>
          <w:rStyle w:val="libFootnoteBoldChar"/>
          <w:rtl/>
        </w:rPr>
        <w:t>المصباح المنير</w:t>
      </w:r>
      <w:r w:rsidR="00E3253D" w:rsidRPr="005D642E">
        <w:rPr>
          <w:rtl/>
        </w:rPr>
        <w:t xml:space="preserve"> ، ص 102 ( جشأ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6 ، ص 251 ، ح 4210 ؛ </w:t>
      </w:r>
      <w:r w:rsidR="00E3253D" w:rsidRPr="002F4D34">
        <w:rPr>
          <w:rStyle w:val="libFootnoteBoldChar"/>
          <w:rtl/>
        </w:rPr>
        <w:t>الوسائل</w:t>
      </w:r>
      <w:r w:rsidR="00E3253D" w:rsidRPr="005D642E">
        <w:rPr>
          <w:rtl/>
        </w:rPr>
        <w:t xml:space="preserve"> ، ج 1 ، ص 260 ، ح 674.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13 ، ح 25 ؛ </w:t>
      </w:r>
      <w:r w:rsidR="00E3253D" w:rsidRPr="00E678B5">
        <w:rPr>
          <w:rStyle w:val="libFootnoteBoldChar"/>
          <w:rtl/>
        </w:rPr>
        <w:t>والاستبصار</w:t>
      </w:r>
      <w:r w:rsidR="00E3253D" w:rsidRPr="005D642E">
        <w:rPr>
          <w:rtl/>
        </w:rPr>
        <w:t xml:space="preserve"> ، ج 1 ، ص 83 ، ح 259 ، بسندهما عن الكليني. </w:t>
      </w:r>
      <w:r w:rsidR="00E3253D" w:rsidRPr="002F4D34">
        <w:rPr>
          <w:rStyle w:val="libFootnoteBoldChar"/>
          <w:rtl/>
        </w:rPr>
        <w:t>التهذيب</w:t>
      </w:r>
      <w:r w:rsidR="00E3253D" w:rsidRPr="005D642E">
        <w:rPr>
          <w:rtl/>
        </w:rPr>
        <w:t xml:space="preserve"> ، ج 1 ، ص 16 ، ح 34 ، بسند آخر عن الرضا </w:t>
      </w:r>
      <w:r w:rsidR="00E3253D" w:rsidRPr="00772A2F">
        <w:rPr>
          <w:rStyle w:val="libFootnoteAlaemChar"/>
          <w:rtl/>
        </w:rPr>
        <w:t>عليه‌السلام</w:t>
      </w:r>
      <w:r w:rsidR="00E3253D" w:rsidRPr="005D642E">
        <w:rPr>
          <w:rtl/>
        </w:rPr>
        <w:t xml:space="preserve"> ، مع اختلاف يسير وزيادة. راجع : </w:t>
      </w:r>
      <w:r w:rsidR="00E3253D" w:rsidRPr="002F4D34">
        <w:rPr>
          <w:rStyle w:val="libFootnoteBoldChar"/>
          <w:rtl/>
        </w:rPr>
        <w:t>التهذيب</w:t>
      </w:r>
      <w:r w:rsidR="00E3253D" w:rsidRPr="005D642E">
        <w:rPr>
          <w:rtl/>
        </w:rPr>
        <w:t xml:space="preserve"> ، ج 1 ، ص 13 ، ح 27 </w:t>
      </w:r>
      <w:r w:rsidR="00E3253D">
        <w:rPr>
          <w:rtl/>
        </w:rPr>
        <w:t>و 2</w:t>
      </w:r>
      <w:r w:rsidR="00E3253D" w:rsidRPr="005D642E">
        <w:rPr>
          <w:rtl/>
        </w:rPr>
        <w:t xml:space="preserve">8 ؛ وص 349 ، ح 1026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83 ، ح 2 </w:t>
      </w:r>
      <w:r w:rsidR="00E3253D">
        <w:rPr>
          <w:rtl/>
        </w:rPr>
        <w:t>و 3</w:t>
      </w:r>
      <w:r w:rsidR="00E3253D" w:rsidRPr="005D642E">
        <w:rPr>
          <w:rtl/>
        </w:rPr>
        <w:t xml:space="preserve"> ؛ وص 84 ، ح 3 ؛ و</w:t>
      </w:r>
      <w:r w:rsidR="00E3253D" w:rsidRPr="002F4D34">
        <w:rPr>
          <w:rStyle w:val="libFootnoteBoldChar"/>
          <w:rtl/>
        </w:rPr>
        <w:t>عيون الأخبار</w:t>
      </w:r>
      <w:r w:rsidR="00E3253D" w:rsidRPr="005D642E">
        <w:rPr>
          <w:rtl/>
        </w:rPr>
        <w:t xml:space="preserve"> ، ج 2 ، ص 22 ، ح 46 </w:t>
      </w:r>
      <w:r w:rsidR="00772A2F">
        <w:rPr>
          <w:rFonts w:hint="cs"/>
          <w:rtl/>
        </w:rPr>
        <w:t>.</w:t>
      </w:r>
      <w:r w:rsidR="00E3253D" w:rsidRPr="002F4D34">
        <w:rPr>
          <w:rStyle w:val="libFootnoteBoldChar"/>
          <w:rtl/>
        </w:rPr>
        <w:t>الوافي</w:t>
      </w:r>
      <w:r w:rsidR="00E3253D" w:rsidRPr="005D642E">
        <w:rPr>
          <w:rtl/>
        </w:rPr>
        <w:t xml:space="preserve"> ، ج 6 ، ص 251 ، ح 4211 ؛ </w:t>
      </w:r>
      <w:r w:rsidR="00E3253D" w:rsidRPr="002F4D34">
        <w:rPr>
          <w:rStyle w:val="libFootnoteBoldChar"/>
          <w:rtl/>
        </w:rPr>
        <w:t>الوسائل</w:t>
      </w:r>
      <w:r w:rsidR="00E3253D" w:rsidRPr="005D642E">
        <w:rPr>
          <w:rtl/>
        </w:rPr>
        <w:t xml:space="preserve"> ، ج 1 ، ص 260 ، ح 676.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السند تحويل بعطف « أبوداود » على « عدّة من أصحابنا ، عن أحمد بن محمّد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ى ، بح ، بخ » : « طهره »</w:t>
      </w:r>
      <w:r w:rsidR="00E3253D">
        <w:rPr>
          <w:rtl/>
        </w:rPr>
        <w:t>.</w:t>
      </w:r>
      <w:r w:rsidR="00E3253D" w:rsidRPr="005D642E">
        <w:rPr>
          <w:rtl/>
        </w:rPr>
        <w:t xml:space="preserve"> وفي حاشية « بح » : « وضوئه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فليتمضمض » ، فليفعل المضمضة ، وهو تحريك الماء بالإدارة في الفم. راجع : </w:t>
      </w:r>
      <w:r w:rsidR="00E3253D" w:rsidRPr="002F4D34">
        <w:rPr>
          <w:rStyle w:val="libFootnoteBoldChar"/>
          <w:rtl/>
        </w:rPr>
        <w:t>الصحاح</w:t>
      </w:r>
      <w:r w:rsidR="00E3253D" w:rsidRPr="005D642E">
        <w:rPr>
          <w:rtl/>
        </w:rPr>
        <w:t xml:space="preserve"> ، ج 3 ، ص 1106 ؛ </w:t>
      </w:r>
      <w:r w:rsidR="00E3253D" w:rsidRPr="002F4D34">
        <w:rPr>
          <w:rStyle w:val="libFootnoteBoldChar"/>
          <w:rtl/>
        </w:rPr>
        <w:t>المصباح المنير</w:t>
      </w:r>
      <w:r w:rsidR="00E3253D" w:rsidRPr="005D642E">
        <w:rPr>
          <w:rtl/>
        </w:rPr>
        <w:t xml:space="preserve"> ، ص 575 ( مضمض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15 ، ح 31 ؛ </w:t>
      </w:r>
      <w:r w:rsidR="00E3253D" w:rsidRPr="00E678B5">
        <w:rPr>
          <w:rStyle w:val="libFootnoteBoldChar"/>
          <w:rtl/>
        </w:rPr>
        <w:t>والاستبصار</w:t>
      </w:r>
      <w:r w:rsidR="00E3253D" w:rsidRPr="005D642E">
        <w:rPr>
          <w:rtl/>
        </w:rPr>
        <w:t xml:space="preserve"> ، ج 1 ، ص 85 ، ح 270 ، معلّقاً عن أبي بصير ، مضمراً ، مع زيادة في آخره </w:t>
      </w:r>
      <w:r w:rsidR="007122C1">
        <w:rPr>
          <w:rFonts w:hint="cs"/>
          <w:rtl/>
        </w:rPr>
        <w:t>.</w:t>
      </w:r>
      <w:r w:rsidR="00E3253D" w:rsidRPr="002F4D34">
        <w:rPr>
          <w:rStyle w:val="libFootnoteBoldChar"/>
          <w:rtl/>
        </w:rPr>
        <w:t>الوافي</w:t>
      </w:r>
      <w:r w:rsidR="00E3253D" w:rsidRPr="005D642E">
        <w:rPr>
          <w:rtl/>
        </w:rPr>
        <w:t xml:space="preserve"> ، ج 6 ، ص 251 ، ح 4212 ؛ </w:t>
      </w:r>
      <w:r w:rsidR="00E3253D" w:rsidRPr="002F4D34">
        <w:rPr>
          <w:rStyle w:val="libFootnoteBoldChar"/>
          <w:rtl/>
        </w:rPr>
        <w:t>الوسائل</w:t>
      </w:r>
      <w:r w:rsidR="00E3253D" w:rsidRPr="005D642E">
        <w:rPr>
          <w:rtl/>
        </w:rPr>
        <w:t xml:space="preserve"> ، ج 1 ، ص 260 ، ح 675.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مُسْكَانَ ، عَنْ مُحَمَّدٍ الْحَلَبِيِّ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يَكُونُ عَلى طُهْرٍ ، فَيَأْخُذُ </w:t>
      </w:r>
      <w:r w:rsidRPr="007C12DB">
        <w:rPr>
          <w:rStyle w:val="libFootnotenumChar"/>
          <w:rtl/>
        </w:rPr>
        <w:t>(1)</w:t>
      </w:r>
      <w:r w:rsidRPr="005D642E">
        <w:rPr>
          <w:rtl/>
          <w:lang w:bidi="fa-IR"/>
        </w:rPr>
        <w:t xml:space="preserve"> مِنْ أَظْفَارِهِ ، أَوْ شَعْرِهِ :</w:t>
      </w:r>
      <w:r>
        <w:rPr>
          <w:rFonts w:hint="cs"/>
          <w:rtl/>
          <w:lang w:bidi="fa-IR"/>
        </w:rPr>
        <w:t xml:space="preserve"> </w:t>
      </w:r>
      <w:r w:rsidRPr="005D642E">
        <w:rPr>
          <w:rtl/>
          <w:lang w:bidi="fa-IR"/>
        </w:rPr>
        <w:t xml:space="preserve">أَيُعِيدُ </w:t>
      </w:r>
      <w:r w:rsidRPr="007C12DB">
        <w:rPr>
          <w:rStyle w:val="libFootnotenumChar"/>
          <w:rtl/>
        </w:rPr>
        <w:t>(2)</w:t>
      </w:r>
      <w:r w:rsidRPr="005D642E">
        <w:rPr>
          <w:rtl/>
          <w:lang w:bidi="fa-IR"/>
        </w:rPr>
        <w:t xml:space="preserve"> الْوُضُوءَ</w:t>
      </w:r>
      <w:r>
        <w:rPr>
          <w:rtl/>
          <w:lang w:bidi="fa-IR"/>
        </w:rPr>
        <w:t>؟</w:t>
      </w:r>
    </w:p>
    <w:p w:rsidR="00E3253D" w:rsidRPr="005D642E" w:rsidRDefault="00E3253D" w:rsidP="00E3253D">
      <w:pPr>
        <w:pStyle w:val="libNormal"/>
        <w:rPr>
          <w:rtl/>
          <w:lang w:bidi="fa-IR"/>
        </w:rPr>
      </w:pPr>
      <w:r w:rsidRPr="005D642E">
        <w:rPr>
          <w:rtl/>
          <w:lang w:bidi="fa-IR"/>
        </w:rPr>
        <w:t xml:space="preserve">فَقَالَ : « لَا ، وَلكِنْ يَمْسَحُ رَأْسَهُ وَأَظْفَارَهُ بِالْمَاءِ </w:t>
      </w:r>
      <w:r w:rsidRPr="007C12DB">
        <w:rPr>
          <w:rStyle w:val="libFootnotenumChar"/>
          <w:rtl/>
        </w:rPr>
        <w:t>(3)</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قَالَ : قُلْتُ : فَإِنَّهُمْ يَزْعُمُونَ أَنَّ فِيهِ الْوُضُوءَ</w:t>
      </w:r>
      <w:r>
        <w:rPr>
          <w:rtl/>
          <w:lang w:bidi="fa-IR"/>
        </w:rPr>
        <w:t>؟</w:t>
      </w:r>
    </w:p>
    <w:p w:rsidR="00E3253D" w:rsidRPr="005D642E" w:rsidRDefault="00E3253D" w:rsidP="00E3253D">
      <w:pPr>
        <w:pStyle w:val="libNormal"/>
        <w:rPr>
          <w:rtl/>
          <w:lang w:bidi="fa-IR"/>
        </w:rPr>
      </w:pPr>
      <w:r w:rsidRPr="005D642E">
        <w:rPr>
          <w:rtl/>
          <w:lang w:bidi="fa-IR"/>
        </w:rPr>
        <w:t xml:space="preserve">فَقَالَ : « إِنْ خَاصَمُوكُمْ ، فَلَا تُخَاصِمُوهُمْ وَقُولُوا </w:t>
      </w:r>
      <w:r w:rsidRPr="007C12DB">
        <w:rPr>
          <w:rStyle w:val="libFootnotenumChar"/>
          <w:rtl/>
        </w:rPr>
        <w:t>(4)</w:t>
      </w:r>
      <w:r w:rsidRPr="005D642E">
        <w:rPr>
          <w:rtl/>
          <w:lang w:bidi="fa-IR"/>
        </w:rPr>
        <w:t xml:space="preserve"> : هكَذَا السُّنَّةُ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93C08">
        <w:rPr>
          <w:rtl/>
        </w:rPr>
        <w:t>3979</w:t>
      </w:r>
      <w:r w:rsidRPr="00246318">
        <w:rPr>
          <w:rStyle w:val="libBold2Char"/>
          <w:rtl/>
        </w:rPr>
        <w:t xml:space="preserve"> / 12.</w:t>
      </w:r>
      <w:r w:rsidRPr="005D642E">
        <w:rPr>
          <w:rtl/>
          <w:lang w:bidi="fa-IR"/>
        </w:rPr>
        <w:t xml:space="preserve"> عَلِيُّ بْنُ إِبْرَاهِيمَ ، عَنْ أَبِيهِ ، عَنِ ابْنِ أَبِي عُمَيْرٍ ، عَنْ جَمِيلٍ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لَيْسَ فِي الْقُبْلَةِ ، وَلَامَسِّ الْفَرْجِ ، وَلَا</w:t>
      </w:r>
      <w:r>
        <w:rPr>
          <w:rFonts w:hint="cs"/>
          <w:rtl/>
          <w:lang w:bidi="fa-IR"/>
        </w:rPr>
        <w:t xml:space="preserve"> </w:t>
      </w:r>
      <w:r w:rsidRPr="005D642E">
        <w:rPr>
          <w:rtl/>
          <w:lang w:bidi="fa-IR"/>
        </w:rPr>
        <w:t xml:space="preserve">الْمُبَاشَرَةِ </w:t>
      </w:r>
      <w:r w:rsidRPr="007C12DB">
        <w:rPr>
          <w:rStyle w:val="libFootnotenumChar"/>
          <w:rtl/>
        </w:rPr>
        <w:t>(6)</w:t>
      </w:r>
      <w:r w:rsidRPr="005D642E">
        <w:rPr>
          <w:rtl/>
          <w:lang w:bidi="fa-IR"/>
        </w:rPr>
        <w:t xml:space="preserve"> وُضُوءٌ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393C08">
        <w:rPr>
          <w:rtl/>
        </w:rPr>
        <w:t>3980</w:t>
      </w:r>
      <w:r w:rsidRPr="00246318">
        <w:rPr>
          <w:rStyle w:val="libBold2Char"/>
          <w:rtl/>
        </w:rPr>
        <w:t xml:space="preserve"> / 13.</w:t>
      </w:r>
      <w:r w:rsidRPr="005D642E">
        <w:rPr>
          <w:rtl/>
          <w:lang w:bidi="fa-IR"/>
        </w:rPr>
        <w:t xml:space="preserve"> مُحَمَّدُ بْنُ الْحَسَنِ ، عَنْ سَهْلِ بْنِ زِيَادٍ ، عَنْ مُحَمَّدِ بْنِ سِنَانٍ ، عَنِ ابْنِ مُسْكَانَ ، عَنْ أَبِي بَصِيرٍ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الاستبصار : « يأخذ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أفيعيد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والمسح بالماء محمول على الاستحباب لكراهة الحديد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 « قولوا » من دون الواو.</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345 ، ح 1010 ؛ </w:t>
      </w:r>
      <w:r w:rsidR="00E3253D" w:rsidRPr="00E678B5">
        <w:rPr>
          <w:rStyle w:val="libFootnoteBoldChar"/>
          <w:rtl/>
        </w:rPr>
        <w:t>والاستبصار</w:t>
      </w:r>
      <w:r w:rsidR="00E3253D" w:rsidRPr="005D642E">
        <w:rPr>
          <w:rtl/>
        </w:rPr>
        <w:t xml:space="preserve"> ، ج 1 ، ص 95 ، ح 307 ، بسندهما عن الكليني </w:t>
      </w:r>
      <w:r w:rsidR="00C74481">
        <w:rPr>
          <w:rFonts w:hint="cs"/>
          <w:rtl/>
        </w:rPr>
        <w:t>.</w:t>
      </w:r>
      <w:r w:rsidR="00E3253D" w:rsidRPr="002F4D34">
        <w:rPr>
          <w:rStyle w:val="libFootnoteBoldChar"/>
          <w:rtl/>
        </w:rPr>
        <w:t>الوافي</w:t>
      </w:r>
      <w:r w:rsidR="00E3253D" w:rsidRPr="005D642E">
        <w:rPr>
          <w:rtl/>
        </w:rPr>
        <w:t xml:space="preserve"> ، ج 6 ، ص 251 ، ح 4213 ؛ </w:t>
      </w:r>
      <w:r w:rsidR="00E3253D" w:rsidRPr="002F4D34">
        <w:rPr>
          <w:rStyle w:val="libFootnoteBoldChar"/>
          <w:rtl/>
        </w:rPr>
        <w:t>الوسائل</w:t>
      </w:r>
      <w:r w:rsidR="00E3253D" w:rsidRPr="005D642E">
        <w:rPr>
          <w:rtl/>
        </w:rPr>
        <w:t xml:space="preserve"> ، ج 1 ، ص 286 ، ح 754.</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ص 21 </w:t>
      </w:r>
      <w:r w:rsidR="00E3253D" w:rsidRPr="00E678B5">
        <w:rPr>
          <w:rStyle w:val="libFootnoteBoldChar"/>
          <w:rtl/>
        </w:rPr>
        <w:t>والاستبصار</w:t>
      </w:r>
      <w:r w:rsidR="00E3253D" w:rsidRPr="005D642E">
        <w:rPr>
          <w:rtl/>
        </w:rPr>
        <w:t xml:space="preserve"> ، ص 87 : « ولا المباشرة ولا مسّ الفرج »</w:t>
      </w:r>
      <w:r w:rsidR="00E3253D">
        <w:rPr>
          <w:rtl/>
        </w:rPr>
        <w:t>.</w:t>
      </w:r>
      <w:r w:rsidR="00E3253D" w:rsidRPr="005D642E">
        <w:rPr>
          <w:rtl/>
        </w:rPr>
        <w:t xml:space="preserve"> وفي التهذيب ، ص 23 : « الملامسة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21 ، ح 54 ؛ </w:t>
      </w:r>
      <w:r w:rsidR="00E3253D" w:rsidRPr="00E678B5">
        <w:rPr>
          <w:rStyle w:val="libFootnoteBoldChar"/>
          <w:rtl/>
        </w:rPr>
        <w:t>والاستبصار</w:t>
      </w:r>
      <w:r w:rsidR="00E3253D" w:rsidRPr="005D642E">
        <w:rPr>
          <w:rtl/>
        </w:rPr>
        <w:t xml:space="preserve"> ، ج 1 ، ص 87 ، ح 277 ، بسندهما عن فضالة بن أيّوب ومحمّد بن أبي عمير ، عن جميل بن درّاج وحمّاد بن عثمان ، عن زرارة. </w:t>
      </w:r>
      <w:r w:rsidR="00E3253D" w:rsidRPr="002F4D34">
        <w:rPr>
          <w:rStyle w:val="libFootnoteBoldChar"/>
          <w:rtl/>
        </w:rPr>
        <w:t>التهذيب</w:t>
      </w:r>
      <w:r w:rsidR="00E3253D" w:rsidRPr="005D642E">
        <w:rPr>
          <w:rtl/>
        </w:rPr>
        <w:t xml:space="preserve"> ، ج 1 ، ص 23 ، ح 59 ، بسنده عن فضالة ، عن جميل ، عن زرارة. </w:t>
      </w:r>
      <w:r w:rsidR="00E3253D" w:rsidRPr="002F4D34">
        <w:rPr>
          <w:rStyle w:val="libFootnoteBoldChar"/>
          <w:rtl/>
        </w:rPr>
        <w:t>الفقيه</w:t>
      </w:r>
      <w:r w:rsidR="00E3253D" w:rsidRPr="005D642E">
        <w:rPr>
          <w:rtl/>
        </w:rPr>
        <w:t xml:space="preserve"> ، ج 1 ، ص 64 ، ح 145 ، مرسلاً. راجع : </w:t>
      </w:r>
      <w:r w:rsidR="00E3253D" w:rsidRPr="002F4D34">
        <w:rPr>
          <w:rStyle w:val="libFootnoteBoldChar"/>
          <w:rtl/>
        </w:rPr>
        <w:t>التهذيب</w:t>
      </w:r>
      <w:r w:rsidR="00E3253D" w:rsidRPr="005D642E">
        <w:rPr>
          <w:rtl/>
        </w:rPr>
        <w:t xml:space="preserve"> ، ج 1 ، ص 19 ، ح 47 ؛ وص 22 ، ح 57 </w:t>
      </w:r>
      <w:r w:rsidR="00E3253D">
        <w:rPr>
          <w:rtl/>
        </w:rPr>
        <w:t>و 5</w:t>
      </w:r>
      <w:r w:rsidR="00E3253D" w:rsidRPr="005D642E">
        <w:rPr>
          <w:rtl/>
        </w:rPr>
        <w:t xml:space="preserve">8 ؛ وص 253 ، ح 21 ؛ </w:t>
      </w:r>
      <w:r w:rsidR="00E3253D" w:rsidRPr="00E678B5">
        <w:rPr>
          <w:rStyle w:val="libFootnoteBoldChar"/>
          <w:rtl/>
        </w:rPr>
        <w:t>والاستبصار</w:t>
      </w:r>
      <w:r w:rsidR="00E3253D" w:rsidRPr="005D642E">
        <w:rPr>
          <w:rtl/>
        </w:rPr>
        <w:t xml:space="preserve"> ، ج 1 ، ص 88 ، ح 279 ؛ وص 93 ، ح 300 ؛ وص 174 ، ح 605 ؛ و</w:t>
      </w:r>
      <w:r w:rsidR="00E3253D" w:rsidRPr="002F4D34">
        <w:rPr>
          <w:rStyle w:val="libFootnoteBoldChar"/>
          <w:rtl/>
        </w:rPr>
        <w:t>فقه الرضا</w:t>
      </w:r>
      <w:r w:rsidR="00E3253D" w:rsidRPr="005D642E">
        <w:rPr>
          <w:rtl/>
        </w:rPr>
        <w:t xml:space="preserve"> </w:t>
      </w:r>
      <w:r w:rsidR="00E3253D" w:rsidRPr="00E178FC">
        <w:rPr>
          <w:rStyle w:val="libFootnoteAlaemChar"/>
          <w:rtl/>
        </w:rPr>
        <w:t>عليه‌السلام</w:t>
      </w:r>
      <w:r w:rsidR="00E3253D" w:rsidRPr="005D642E">
        <w:rPr>
          <w:rtl/>
        </w:rPr>
        <w:t xml:space="preserve"> ، ص 78 </w:t>
      </w:r>
      <w:r w:rsidR="00E178FC">
        <w:rPr>
          <w:rFonts w:hint="cs"/>
          <w:rtl/>
        </w:rPr>
        <w:t>.</w:t>
      </w:r>
      <w:r w:rsidR="00E3253D" w:rsidRPr="002F4D34">
        <w:rPr>
          <w:rStyle w:val="libFootnoteBoldChar"/>
          <w:rtl/>
        </w:rPr>
        <w:t>الوافي</w:t>
      </w:r>
      <w:r w:rsidR="00E3253D" w:rsidRPr="005D642E">
        <w:rPr>
          <w:rtl/>
        </w:rPr>
        <w:t xml:space="preserve"> ، ج 6 ، ص 268 ، ح 4267 ؛ </w:t>
      </w:r>
      <w:r w:rsidR="00E3253D" w:rsidRPr="002F4D34">
        <w:rPr>
          <w:rStyle w:val="libFootnoteBoldChar"/>
          <w:rtl/>
        </w:rPr>
        <w:t>الوسائل</w:t>
      </w:r>
      <w:r w:rsidR="00E3253D" w:rsidRPr="005D642E">
        <w:rPr>
          <w:rtl/>
        </w:rPr>
        <w:t xml:space="preserve"> ، ج 1 ، ص 270 ، ذيل ح 706.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سَأَلْتُهُ عَنِ الرُّعَافِ </w:t>
      </w:r>
      <w:r w:rsidRPr="007C12DB">
        <w:rPr>
          <w:rStyle w:val="libFootnotenumChar"/>
          <w:rtl/>
        </w:rPr>
        <w:t>(1)</w:t>
      </w:r>
      <w:r w:rsidRPr="005D642E">
        <w:rPr>
          <w:rtl/>
          <w:lang w:bidi="fa-IR"/>
        </w:rPr>
        <w:t xml:space="preserve"> وَالْحِجَامَةِ وَكُلِّ دَمٍ سَائِلٍ</w:t>
      </w:r>
      <w:r>
        <w:rPr>
          <w:rtl/>
          <w:lang w:bidi="fa-IR"/>
        </w:rPr>
        <w:t>؟</w:t>
      </w:r>
    </w:p>
    <w:p w:rsidR="00E3253D" w:rsidRPr="005D642E" w:rsidRDefault="00E3253D" w:rsidP="00E3253D">
      <w:pPr>
        <w:pStyle w:val="libNormal"/>
        <w:rPr>
          <w:rtl/>
          <w:lang w:bidi="fa-IR"/>
        </w:rPr>
      </w:pPr>
      <w:r w:rsidRPr="005D642E">
        <w:rPr>
          <w:rtl/>
          <w:lang w:bidi="fa-IR"/>
        </w:rPr>
        <w:t xml:space="preserve">فَقَالَ : « لَيْسَ فِي هذَا وُضُوءٌ ، إِنَّمَا الْوُضُوءُ مِنْ </w:t>
      </w:r>
      <w:r w:rsidRPr="007C12DB">
        <w:rPr>
          <w:rStyle w:val="libFootnotenumChar"/>
          <w:rtl/>
        </w:rPr>
        <w:t>(2)</w:t>
      </w:r>
      <w:r w:rsidRPr="005D642E">
        <w:rPr>
          <w:rtl/>
          <w:lang w:bidi="fa-IR"/>
        </w:rPr>
        <w:t xml:space="preserve"> طَرَفَيْكَ اللَّذَيْنِ أَنْعَمَ</w:t>
      </w:r>
      <w:r w:rsidR="00365424">
        <w:rPr>
          <w:rtl/>
          <w:lang w:bidi="fa-IR"/>
        </w:rPr>
        <w:t xml:space="preserve"> اللهُ تَعَالى بِهِمَا عَلَيْكَ</w:t>
      </w:r>
      <w:r w:rsidRPr="005D642E">
        <w:rPr>
          <w:rtl/>
          <w:lang w:bidi="fa-IR"/>
        </w:rPr>
        <w:t>»</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393C08">
        <w:rPr>
          <w:rtl/>
        </w:rPr>
        <w:t>3981</w:t>
      </w:r>
      <w:r w:rsidRPr="00246318">
        <w:rPr>
          <w:rStyle w:val="libBold2Char"/>
          <w:rtl/>
        </w:rPr>
        <w:t xml:space="preserve"> / 14.</w:t>
      </w:r>
      <w:r w:rsidRPr="005D642E">
        <w:rPr>
          <w:rtl/>
          <w:lang w:bidi="fa-IR"/>
        </w:rPr>
        <w:t xml:space="preserve"> مُحَمَّدُ بْنُ يَحْيى ، عَنْ أَحْمَدَ بْنِ مُحَمَّدٍ </w:t>
      </w:r>
      <w:r w:rsidR="00C93FA8">
        <w:rPr>
          <w:rtl/>
          <w:lang w:bidi="fa-IR"/>
        </w:rPr>
        <w:t>، عَنْ مُعَمَّرِ بْنِ خَل</w:t>
      </w:r>
      <w:r w:rsidR="00C93FA8">
        <w:rPr>
          <w:rFonts w:hint="cs"/>
          <w:rtl/>
          <w:lang w:bidi="fa-IR"/>
        </w:rPr>
        <w:t>َّ</w:t>
      </w:r>
      <w:r w:rsidR="00C93FA8">
        <w:rPr>
          <w:rtl/>
          <w:lang w:bidi="fa-IR"/>
        </w:rPr>
        <w:t>ا</w:t>
      </w:r>
      <w:r w:rsidRPr="005D642E">
        <w:rPr>
          <w:rtl/>
          <w:lang w:bidi="fa-IR"/>
        </w:rPr>
        <w:t>دٍ ، قَالَ :</w:t>
      </w:r>
    </w:p>
    <w:p w:rsidR="00E3253D" w:rsidRPr="005D642E" w:rsidRDefault="00E3253D" w:rsidP="00E3253D">
      <w:pPr>
        <w:pStyle w:val="libNormal"/>
        <w:rPr>
          <w:rtl/>
          <w:lang w:bidi="fa-IR"/>
        </w:rPr>
      </w:pPr>
      <w:r w:rsidRPr="005D642E">
        <w:rPr>
          <w:rtl/>
          <w:lang w:bidi="fa-IR"/>
        </w:rPr>
        <w:t xml:space="preserve">سَأَلْتُ أَبَا الْحَسَنِ </w:t>
      </w:r>
      <w:r w:rsidRPr="00AC51C5">
        <w:rPr>
          <w:rStyle w:val="libAlaemChar"/>
          <w:rtl/>
        </w:rPr>
        <w:t>عليه‌السلام</w:t>
      </w:r>
      <w:r w:rsidRPr="005D642E">
        <w:rPr>
          <w:rtl/>
          <w:lang w:bidi="fa-IR"/>
        </w:rPr>
        <w:t xml:space="preserve"> عَنْ رَجُلٍ </w:t>
      </w:r>
      <w:r w:rsidRPr="007C12DB">
        <w:rPr>
          <w:rStyle w:val="libFootnotenumChar"/>
          <w:rtl/>
        </w:rPr>
        <w:t>(4)</w:t>
      </w:r>
      <w:r w:rsidRPr="005D642E">
        <w:rPr>
          <w:rtl/>
          <w:lang w:bidi="fa-IR"/>
        </w:rPr>
        <w:t xml:space="preserve"> بِهِ عِلَّةٌ لَايَقْدِرُ عَلَى الاضْطِجَاعِ ، وَالْوُضُوءُ يَشْتَدُّ عَلَيْهِ وَهُوَ قَاعِدٌ مُسْتَنِدٌ بِالْوَسَائِدِ </w:t>
      </w:r>
      <w:r w:rsidRPr="007C12DB">
        <w:rPr>
          <w:rStyle w:val="libFootnotenumChar"/>
          <w:rtl/>
        </w:rPr>
        <w:t>(5)</w:t>
      </w:r>
      <w:r w:rsidRPr="005D642E">
        <w:rPr>
          <w:rtl/>
          <w:lang w:bidi="fa-IR"/>
        </w:rPr>
        <w:t xml:space="preserve"> ، فَرُبَّمَا </w:t>
      </w:r>
      <w:r w:rsidRPr="007C12DB">
        <w:rPr>
          <w:rStyle w:val="libFootnotenumChar"/>
          <w:rtl/>
        </w:rPr>
        <w:t>(6)</w:t>
      </w:r>
      <w:r w:rsidRPr="005D642E">
        <w:rPr>
          <w:rtl/>
          <w:lang w:bidi="fa-IR"/>
        </w:rPr>
        <w:t xml:space="preserve"> أَغْفى </w:t>
      </w:r>
      <w:r w:rsidRPr="007C12DB">
        <w:rPr>
          <w:rStyle w:val="libFootnotenumChar"/>
          <w:rtl/>
        </w:rPr>
        <w:t>(7)</w:t>
      </w:r>
      <w:r w:rsidRPr="005D642E">
        <w:rPr>
          <w:rtl/>
          <w:lang w:bidi="fa-IR"/>
        </w:rPr>
        <w:t xml:space="preserve"> وَهُوَ قَاعِدٌ عَلى تِلْكَ الْحَالِ</w:t>
      </w:r>
      <w:r>
        <w:rPr>
          <w:rtl/>
          <w:lang w:bidi="fa-IR"/>
        </w:rPr>
        <w:t>؟</w:t>
      </w:r>
    </w:p>
    <w:p w:rsidR="00E3253D" w:rsidRPr="005D642E" w:rsidRDefault="00E3253D" w:rsidP="00E3253D">
      <w:pPr>
        <w:pStyle w:val="libNormal"/>
        <w:rPr>
          <w:rtl/>
          <w:lang w:bidi="fa-IR"/>
        </w:rPr>
      </w:pPr>
      <w:r w:rsidRPr="005D642E">
        <w:rPr>
          <w:rtl/>
          <w:lang w:bidi="fa-IR"/>
        </w:rPr>
        <w:t>قَالَ : « يَتَوَضَّأُ »</w:t>
      </w:r>
      <w:r>
        <w:rPr>
          <w:rtl/>
          <w:lang w:bidi="fa-IR"/>
        </w:rPr>
        <w:t>.</w:t>
      </w:r>
    </w:p>
    <w:p w:rsidR="00E3253D" w:rsidRPr="005D642E" w:rsidRDefault="00E3253D" w:rsidP="00E3253D">
      <w:pPr>
        <w:pStyle w:val="libNormal"/>
        <w:rPr>
          <w:rtl/>
          <w:lang w:bidi="fa-IR"/>
        </w:rPr>
      </w:pPr>
      <w:r w:rsidRPr="005D642E">
        <w:rPr>
          <w:rtl/>
          <w:lang w:bidi="fa-IR"/>
        </w:rPr>
        <w:t xml:space="preserve">قُلْتُ لَهُ : إِنَّ </w:t>
      </w:r>
      <w:r w:rsidRPr="007C12DB">
        <w:rPr>
          <w:rStyle w:val="libFootnotenumChar"/>
          <w:rtl/>
        </w:rPr>
        <w:t>(8)</w:t>
      </w:r>
      <w:r w:rsidRPr="005D642E">
        <w:rPr>
          <w:rtl/>
          <w:lang w:bidi="fa-IR"/>
        </w:rPr>
        <w:t xml:space="preserve"> الْوُضُوءَ يَشْتَدُّ عَلَيْهِ ؛ لِحَالِ عِلَّتِهِ</w:t>
      </w:r>
      <w:r>
        <w:rPr>
          <w:rtl/>
          <w:lang w:bidi="fa-IR"/>
        </w:rPr>
        <w:t>؟</w:t>
      </w:r>
    </w:p>
    <w:p w:rsidR="00E3253D" w:rsidRPr="005D642E" w:rsidRDefault="00E3253D" w:rsidP="00E3253D">
      <w:pPr>
        <w:pStyle w:val="libNormal"/>
        <w:rPr>
          <w:rtl/>
          <w:lang w:bidi="fa-IR"/>
        </w:rPr>
      </w:pPr>
      <w:r w:rsidRPr="005D642E">
        <w:rPr>
          <w:rtl/>
          <w:lang w:bidi="fa-IR"/>
        </w:rPr>
        <w:t xml:space="preserve">فَقَالَ : « إِذَا خَفِيَ عَلَيْهِ </w:t>
      </w:r>
      <w:r w:rsidRPr="007C12DB">
        <w:rPr>
          <w:rStyle w:val="libFootnotenumChar"/>
          <w:rtl/>
        </w:rPr>
        <w:t>(9)</w:t>
      </w:r>
      <w:r w:rsidRPr="005D642E">
        <w:rPr>
          <w:rtl/>
          <w:lang w:bidi="fa-IR"/>
        </w:rPr>
        <w:t xml:space="preserve"> الصَّوْتُ ، فَقَدْ وَجَبَ الْوُضُوءُ عَلَيْهِ </w:t>
      </w:r>
      <w:r w:rsidRPr="007C12DB">
        <w:rPr>
          <w:rStyle w:val="libFootnotenumChar"/>
          <w:rtl/>
        </w:rPr>
        <w:t>(10)</w:t>
      </w:r>
      <w:r w:rsidRPr="005D642E">
        <w:rPr>
          <w:rtl/>
          <w:lang w:bidi="fa-IR"/>
        </w:rPr>
        <w:t xml:space="preserve"> »</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الرُعاف : خروج الدم من الأنف ، وقيل : هو الدم نفسه ؛ يقال : رعف يرعف من بابي نفع وقتل ، والضمّ لغة : خرج الدم من أنفه ، ويقال : رعف أنفُه ، إذا سال رُعافُه. ا</w:t>
      </w:r>
      <w:r w:rsidR="008C10CD">
        <w:rPr>
          <w:rFonts w:hint="cs"/>
          <w:rtl/>
        </w:rPr>
        <w:t>ُ</w:t>
      </w:r>
      <w:r w:rsidR="00E3253D" w:rsidRPr="005D642E">
        <w:rPr>
          <w:rtl/>
        </w:rPr>
        <w:t xml:space="preserve">نظر : </w:t>
      </w:r>
      <w:r w:rsidR="00E3253D" w:rsidRPr="002F4D34">
        <w:rPr>
          <w:rStyle w:val="libFootnoteBoldChar"/>
          <w:rtl/>
        </w:rPr>
        <w:t>لسان العرب</w:t>
      </w:r>
      <w:r w:rsidR="00E3253D" w:rsidRPr="005D642E">
        <w:rPr>
          <w:rtl/>
        </w:rPr>
        <w:t xml:space="preserve"> ، ج 9 ، ص 123 ؛ </w:t>
      </w:r>
      <w:r w:rsidR="00E3253D" w:rsidRPr="002F4D34">
        <w:rPr>
          <w:rStyle w:val="libFootnoteBoldChar"/>
          <w:rtl/>
        </w:rPr>
        <w:t>مجمع البحرين</w:t>
      </w:r>
      <w:r w:rsidR="00E3253D" w:rsidRPr="005D642E">
        <w:rPr>
          <w:rtl/>
        </w:rPr>
        <w:t xml:space="preserve"> ، ج 5 ، ص 63 ( رعف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جس » : « في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15 ، ح 33 ؛ </w:t>
      </w:r>
      <w:r w:rsidR="00E3253D" w:rsidRPr="00E678B5">
        <w:rPr>
          <w:rStyle w:val="libFootnoteBoldChar"/>
          <w:rtl/>
        </w:rPr>
        <w:t>والاستبصار</w:t>
      </w:r>
      <w:r w:rsidR="00E3253D" w:rsidRPr="005D642E">
        <w:rPr>
          <w:rtl/>
        </w:rPr>
        <w:t xml:space="preserve"> ، ج 1 ، ص 84 ، ح 264 ، بسندهما عن الكليني. </w:t>
      </w:r>
      <w:r w:rsidR="00E3253D" w:rsidRPr="002F4D34">
        <w:rPr>
          <w:rStyle w:val="libFootnoteBoldChar"/>
          <w:rtl/>
        </w:rPr>
        <w:t>الخصال</w:t>
      </w:r>
      <w:r w:rsidR="00E3253D" w:rsidRPr="005D642E">
        <w:rPr>
          <w:rtl/>
        </w:rPr>
        <w:t xml:space="preserve"> ، ص 34 ، باب الاثنين ، ح 4 ، بسنده عن عبدالله بن مسكان ، مع اختلاف يسير. وفي </w:t>
      </w:r>
      <w:r w:rsidR="00E3253D" w:rsidRPr="002F4D34">
        <w:rPr>
          <w:rStyle w:val="libFootnoteBoldChar"/>
          <w:rtl/>
        </w:rPr>
        <w:t>التهذيب</w:t>
      </w:r>
      <w:r w:rsidR="00E3253D" w:rsidRPr="005D642E">
        <w:rPr>
          <w:rtl/>
        </w:rPr>
        <w:t xml:space="preserve"> ، ج 2 ، ص 328 ، ح 1346 ؛ </w:t>
      </w:r>
      <w:r w:rsidR="00E3253D" w:rsidRPr="00E678B5">
        <w:rPr>
          <w:rStyle w:val="libFootnoteBoldChar"/>
          <w:rtl/>
        </w:rPr>
        <w:t>والاستبصار</w:t>
      </w:r>
      <w:r w:rsidR="00E3253D" w:rsidRPr="005D642E">
        <w:rPr>
          <w:rtl/>
        </w:rPr>
        <w:t xml:space="preserve"> ، ج 1 ، ص 403 ، ح 1538 ، بسند آخر عن أبي الحسن </w:t>
      </w:r>
      <w:r w:rsidR="00E3253D" w:rsidRPr="008C10CD">
        <w:rPr>
          <w:rStyle w:val="libFootnoteAlaemChar"/>
          <w:rtl/>
        </w:rPr>
        <w:t>عليه‌السلام</w:t>
      </w:r>
      <w:r w:rsidR="00E3253D" w:rsidRPr="005D642E">
        <w:rPr>
          <w:rtl/>
        </w:rPr>
        <w:t xml:space="preserve"> ، إلى قوله : « ليس في هذا وضوء » مع اختلاف يسير. راجع : </w:t>
      </w:r>
      <w:r w:rsidR="00E3253D" w:rsidRPr="002F4D34">
        <w:rPr>
          <w:rStyle w:val="libFootnoteBoldChar"/>
          <w:rtl/>
        </w:rPr>
        <w:t>عيون الأخبار</w:t>
      </w:r>
      <w:r w:rsidR="00E3253D" w:rsidRPr="005D642E">
        <w:rPr>
          <w:rtl/>
        </w:rPr>
        <w:t xml:space="preserve"> ، ج 2 ، ص 22 ، ح 46 ؛ </w:t>
      </w:r>
      <w:r w:rsidR="00E3253D" w:rsidRPr="002F4D34">
        <w:rPr>
          <w:rStyle w:val="libFootnoteBoldChar"/>
          <w:rtl/>
        </w:rPr>
        <w:t>التهذيب</w:t>
      </w:r>
      <w:r w:rsidR="00E3253D" w:rsidRPr="005D642E">
        <w:rPr>
          <w:rtl/>
        </w:rPr>
        <w:t xml:space="preserve"> ، ج 1 ، ص 16 ، ح 34 ؛ وص 349 ، ح 1031 ؛ </w:t>
      </w:r>
      <w:r w:rsidR="00E3253D" w:rsidRPr="00E678B5">
        <w:rPr>
          <w:rStyle w:val="libFootnoteBoldChar"/>
          <w:rtl/>
        </w:rPr>
        <w:t>والاستبصار</w:t>
      </w:r>
      <w:r w:rsidR="00E3253D" w:rsidRPr="002F4D34">
        <w:rPr>
          <w:rStyle w:val="libFootnoteBoldChar"/>
          <w:rtl/>
        </w:rPr>
        <w:t xml:space="preserve"> </w:t>
      </w:r>
      <w:r w:rsidR="00E3253D" w:rsidRPr="005D642E">
        <w:rPr>
          <w:rtl/>
        </w:rPr>
        <w:t>، ج 1 ، ص 84 ، ح 266 ؛ و</w:t>
      </w:r>
      <w:r w:rsidR="00E3253D" w:rsidRPr="002F4D34">
        <w:rPr>
          <w:rStyle w:val="libFootnoteBoldChar"/>
          <w:rtl/>
        </w:rPr>
        <w:t>فقه الرضا</w:t>
      </w:r>
      <w:r w:rsidR="00E3253D" w:rsidRPr="005D642E">
        <w:rPr>
          <w:rtl/>
        </w:rPr>
        <w:t xml:space="preserve"> </w:t>
      </w:r>
      <w:r w:rsidR="00E3253D" w:rsidRPr="008C10CD">
        <w:rPr>
          <w:rStyle w:val="libFootnoteAlaemChar"/>
          <w:rtl/>
        </w:rPr>
        <w:t>عليه‌السلام</w:t>
      </w:r>
      <w:r w:rsidR="00E3253D" w:rsidRPr="005D642E">
        <w:rPr>
          <w:rtl/>
        </w:rPr>
        <w:t xml:space="preserve"> ، ص 65 </w:t>
      </w:r>
      <w:r w:rsidR="008C10CD">
        <w:rPr>
          <w:rFonts w:hint="cs"/>
          <w:rtl/>
        </w:rPr>
        <w:t>.</w:t>
      </w:r>
      <w:r w:rsidR="00E3253D" w:rsidRPr="005D642E">
        <w:rPr>
          <w:rtl/>
        </w:rPr>
        <w:t xml:space="preserve">الوافي ، ج 6 ، ص 252 ، ح 4216 ؛ </w:t>
      </w:r>
      <w:r w:rsidR="00E3253D" w:rsidRPr="002F4D34">
        <w:rPr>
          <w:rStyle w:val="libFootnoteBoldChar"/>
          <w:rtl/>
        </w:rPr>
        <w:t>الوسائل</w:t>
      </w:r>
      <w:r w:rsidR="00E3253D" w:rsidRPr="005D642E">
        <w:rPr>
          <w:rtl/>
        </w:rPr>
        <w:t xml:space="preserve"> ، ج 1 ، ص 250 ، ح 645 ؛ وص 267 ، ذيل ح 696.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بف » : « الرجل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 « بالوسادة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 « وربّما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أَغْفى : نام نومة خفيفة ، قال ابن سكّيت وغيره : ولا يقال : غَفَا ، وقال الأزهري : كلام العرب أغفى ، وقلّما يقال : غفا. راجع : </w:t>
      </w:r>
      <w:r w:rsidR="00E3253D" w:rsidRPr="002F4D34">
        <w:rPr>
          <w:rStyle w:val="libFootnoteBoldChar"/>
          <w:rtl/>
        </w:rPr>
        <w:t>النهاية</w:t>
      </w:r>
      <w:r w:rsidR="00E3253D" w:rsidRPr="005D642E">
        <w:rPr>
          <w:rtl/>
        </w:rPr>
        <w:t xml:space="preserve"> ، ج 3 ، ص 376 ؛ </w:t>
      </w:r>
      <w:r w:rsidR="00E3253D" w:rsidRPr="002F4D34">
        <w:rPr>
          <w:rStyle w:val="libFootnoteBoldChar"/>
          <w:rtl/>
        </w:rPr>
        <w:t>المصباح المنير</w:t>
      </w:r>
      <w:r w:rsidR="00E3253D" w:rsidRPr="005D642E">
        <w:rPr>
          <w:rtl/>
        </w:rPr>
        <w:t xml:space="preserve"> ، ص 450 ( غفا )</w:t>
      </w:r>
      <w:r w:rsidR="00E3253D">
        <w:rPr>
          <w:rtl/>
        </w:rPr>
        <w:t>.</w:t>
      </w:r>
    </w:p>
    <w:tbl>
      <w:tblPr>
        <w:tblStyle w:val="TableGrid"/>
        <w:bidiVisual/>
        <w:tblW w:w="0" w:type="auto"/>
        <w:tblLook w:val="04A0" w:firstRow="1" w:lastRow="0" w:firstColumn="1" w:lastColumn="0" w:noHBand="0" w:noVBand="1"/>
      </w:tblPr>
      <w:tblGrid>
        <w:gridCol w:w="4006"/>
        <w:gridCol w:w="4006"/>
      </w:tblGrid>
      <w:tr w:rsidR="007E6C7F" w:rsidTr="007E6C7F">
        <w:tc>
          <w:tcPr>
            <w:tcW w:w="4006" w:type="dxa"/>
          </w:tcPr>
          <w:p w:rsidR="007E6C7F" w:rsidRDefault="007E6C7F" w:rsidP="00E3253D">
            <w:pPr>
              <w:pStyle w:val="libFootnote0"/>
              <w:rPr>
                <w:rStyle w:val="libFootnote0Char"/>
                <w:rtl/>
              </w:rPr>
            </w:pPr>
            <w:r w:rsidRPr="0042621E">
              <w:rPr>
                <w:rStyle w:val="libFootnote0Char"/>
                <w:rtl/>
              </w:rPr>
              <w:t>(8).</w:t>
            </w:r>
            <w:r w:rsidRPr="005D642E">
              <w:rPr>
                <w:rtl/>
              </w:rPr>
              <w:t xml:space="preserve"> في « بف » :</w:t>
            </w:r>
            <w:r>
              <w:rPr>
                <w:rtl/>
              </w:rPr>
              <w:t xml:space="preserve"> - </w:t>
            </w:r>
            <w:r w:rsidRPr="005D642E">
              <w:rPr>
                <w:rtl/>
              </w:rPr>
              <w:t>« إنّ »</w:t>
            </w:r>
            <w:r>
              <w:rPr>
                <w:rtl/>
              </w:rPr>
              <w:t>.</w:t>
            </w:r>
          </w:p>
        </w:tc>
        <w:tc>
          <w:tcPr>
            <w:tcW w:w="4006" w:type="dxa"/>
          </w:tcPr>
          <w:p w:rsidR="007E6C7F" w:rsidRDefault="007E6C7F" w:rsidP="00E3253D">
            <w:pPr>
              <w:pStyle w:val="libFootnote0"/>
              <w:rPr>
                <w:rStyle w:val="libFootnote0Char"/>
                <w:rtl/>
              </w:rPr>
            </w:pPr>
            <w:r w:rsidRPr="0042621E">
              <w:rPr>
                <w:rStyle w:val="libFootnote0Char"/>
                <w:rtl/>
              </w:rPr>
              <w:t>(9).</w:t>
            </w:r>
            <w:r w:rsidRPr="005D642E">
              <w:rPr>
                <w:rtl/>
              </w:rPr>
              <w:t xml:space="preserve"> في التهذيب : « عنه »</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عليه »</w:t>
      </w:r>
      <w:r w:rsidR="00E3253D">
        <w:rPr>
          <w:rtl/>
        </w:rPr>
        <w:t>.</w:t>
      </w:r>
      <w:r w:rsidR="00E3253D" w:rsidRPr="005D642E">
        <w:rPr>
          <w:rtl/>
        </w:rPr>
        <w:t xml:space="preserve"> وفي مرآة العقول : « عليه الوضوء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وَقَالَ : « يُؤَخِّرُ الظُّهْرَ ، وَيُصَلِّيهَا مَعَ الْعَصْرِ يَجْمَعُ بَيْنَهُمَا ، وَكَذلِكَ الْمَغْرِبُ وَالْعِشَاءُ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6837A1" w:rsidRDefault="00E3253D" w:rsidP="006837A1">
      <w:pPr>
        <w:pStyle w:val="libNormal"/>
        <w:rPr>
          <w:rtl/>
          <w:lang w:bidi="fa-IR"/>
        </w:rPr>
      </w:pPr>
      <w:r w:rsidRPr="00393C08">
        <w:rPr>
          <w:rtl/>
        </w:rPr>
        <w:t>3982</w:t>
      </w:r>
      <w:r w:rsidRPr="00246318">
        <w:rPr>
          <w:rStyle w:val="libBold2Char"/>
          <w:rtl/>
        </w:rPr>
        <w:t xml:space="preserve"> / 15.</w:t>
      </w:r>
      <w:r w:rsidRPr="005D642E">
        <w:rPr>
          <w:rtl/>
          <w:lang w:bidi="fa-IR"/>
        </w:rPr>
        <w:t xml:space="preserve"> مُحَمَّدُ بْنُ إِسْمَاعِيلَ ، عَنِ الْفَضْلِ بْنِ شَاذَانَ ؛</w:t>
      </w:r>
    </w:p>
    <w:p w:rsidR="00E3253D" w:rsidRPr="005D642E" w:rsidRDefault="00EA72EF" w:rsidP="006837A1">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(2)</w:t>
      </w:r>
      <w:r w:rsidR="00E3253D" w:rsidRPr="005D642E">
        <w:rPr>
          <w:rtl/>
          <w:lang w:bidi="fa-IR"/>
        </w:rPr>
        <w:t xml:space="preserve"> مُحَمَّدُ بْنُ يَحْيى ، عَنْ مُحَمَّدِ بْنِ الْحُسَيْنِ ، عَنْ صَفْوَانَ بْنِ يَحْيى ، عَنْ عَبْدِ الرَّحْمنِ بْنِ الْحَجَّاجِ </w:t>
      </w:r>
      <w:r w:rsidR="00E3253D" w:rsidRPr="007C12DB">
        <w:rPr>
          <w:rStyle w:val="libFootnotenumChar"/>
          <w:rtl/>
        </w:rPr>
        <w:t>(3)</w:t>
      </w:r>
      <w:r w:rsidR="00E3253D"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الْخَفْقَةِ </w:t>
      </w:r>
      <w:r w:rsidRPr="007C12DB">
        <w:rPr>
          <w:rStyle w:val="libFootnotenumChar"/>
          <w:rtl/>
        </w:rPr>
        <w:t>(4)</w:t>
      </w:r>
      <w:r w:rsidRPr="005D642E">
        <w:rPr>
          <w:rtl/>
          <w:lang w:bidi="fa-IR"/>
        </w:rPr>
        <w:t xml:space="preserve"> وَالْخَفْقَتَيْنِ</w:t>
      </w:r>
      <w:r>
        <w:rPr>
          <w:rtl/>
          <w:lang w:bidi="fa-IR"/>
        </w:rPr>
        <w:t>؟</w:t>
      </w:r>
    </w:p>
    <w:p w:rsidR="00E3253D" w:rsidRPr="005D642E" w:rsidRDefault="00E3253D" w:rsidP="00E3253D">
      <w:pPr>
        <w:pStyle w:val="libNormal"/>
        <w:rPr>
          <w:rtl/>
          <w:lang w:bidi="fa-IR"/>
        </w:rPr>
      </w:pPr>
      <w:r w:rsidRPr="005D642E">
        <w:rPr>
          <w:rtl/>
          <w:lang w:bidi="fa-IR"/>
        </w:rPr>
        <w:t xml:space="preserve">فَقَالَ : « مَا أَدْرِي مَا الْخَفْقَةُ وَالْخَفْقَتَانِ ؛ إِنَّ اللهَ يَقُولُ : </w:t>
      </w:r>
      <w:r w:rsidRPr="00AC51C5">
        <w:rPr>
          <w:rStyle w:val="libAlaemChar"/>
          <w:rtl/>
        </w:rPr>
        <w:t>(</w:t>
      </w:r>
      <w:r w:rsidRPr="00AC51C5">
        <w:rPr>
          <w:rStyle w:val="libAieChar"/>
          <w:rtl/>
        </w:rPr>
        <w:t xml:space="preserve"> بَلِ الْإِنْسانُ عَلى نَفْسِهِ بَصِيرَةٌ </w:t>
      </w:r>
      <w:r w:rsidRPr="00AC51C5">
        <w:rPr>
          <w:rStyle w:val="libAlaemChar"/>
          <w:rtl/>
        </w:rPr>
        <w:t>)</w:t>
      </w:r>
      <w:r w:rsidRPr="005D642E">
        <w:rPr>
          <w:rtl/>
          <w:lang w:bidi="fa-IR"/>
        </w:rPr>
        <w:t xml:space="preserve"> </w:t>
      </w:r>
      <w:r w:rsidRPr="007C12DB">
        <w:rPr>
          <w:rStyle w:val="libFootnotenumChar"/>
          <w:rtl/>
        </w:rPr>
        <w:t>(5)</w:t>
      </w:r>
      <w:r w:rsidRPr="005D642E">
        <w:rPr>
          <w:rtl/>
          <w:lang w:bidi="fa-IR"/>
        </w:rPr>
        <w:t xml:space="preserve"> إِنَّ عَلِيّاً </w:t>
      </w:r>
      <w:r w:rsidRPr="00AC51C5">
        <w:rPr>
          <w:rStyle w:val="libAlaemChar"/>
          <w:rtl/>
        </w:rPr>
        <w:t>عليه‌السلام</w:t>
      </w:r>
      <w:r w:rsidRPr="005D642E">
        <w:rPr>
          <w:rtl/>
          <w:lang w:bidi="fa-IR"/>
        </w:rPr>
        <w:t xml:space="preserve"> كَانَ يَقُولُ : مَنْ وَجَدَ طَعْمَ النَّوْمِ قَائِماً أَوْ قَاعِداً ، فَقَدْ وَجَبَ عَلَيْهِ الْوُضُوءُ »</w:t>
      </w:r>
      <w:r>
        <w:rPr>
          <w:rtl/>
          <w:lang w:bidi="fa-IR"/>
        </w:rPr>
        <w:t>.</w:t>
      </w:r>
      <w:r w:rsidRPr="007C12DB">
        <w:rPr>
          <w:rStyle w:val="libFootnotenumChar"/>
          <w:rtl/>
        </w:rPr>
        <w:t>(6)</w:t>
      </w:r>
    </w:p>
    <w:p w:rsidR="00E3253D" w:rsidRPr="005D642E" w:rsidRDefault="00E3253D" w:rsidP="00E3253D">
      <w:pPr>
        <w:pStyle w:val="libNormal"/>
        <w:rPr>
          <w:rtl/>
          <w:lang w:bidi="fa-IR"/>
        </w:rPr>
      </w:pPr>
      <w:r w:rsidRPr="00393C08">
        <w:rPr>
          <w:rtl/>
        </w:rPr>
        <w:t>3983</w:t>
      </w:r>
      <w:r w:rsidRPr="00246318">
        <w:rPr>
          <w:rStyle w:val="libBold2Char"/>
          <w:rtl/>
        </w:rPr>
        <w:t xml:space="preserve"> / 16.</w:t>
      </w:r>
      <w:r w:rsidRPr="005D642E">
        <w:rPr>
          <w:rtl/>
          <w:lang w:bidi="fa-IR"/>
        </w:rPr>
        <w:t xml:space="preserve"> عَلِيُّ بْنُ مُحَمَّدٍ ، عَنِ ابْنِ جُمْهُورٍ ، عَمَّنْ ذَكَرَهُ ، عَنْ أَحْمَدَ بْنِ مُحَمَّدٍ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9 ، ح 14 ، بسنده عن الكليني ، إلى قوله : « فقد وجب الوضوء عليه » </w:t>
      </w:r>
      <w:r w:rsidR="00191EC4">
        <w:rPr>
          <w:rFonts w:hint="cs"/>
          <w:rtl/>
        </w:rPr>
        <w:t>.</w:t>
      </w:r>
      <w:r w:rsidR="00E3253D" w:rsidRPr="002F4D34">
        <w:rPr>
          <w:rStyle w:val="libFootnoteBoldChar"/>
          <w:rtl/>
        </w:rPr>
        <w:t>الوافي</w:t>
      </w:r>
      <w:r w:rsidR="00E3253D" w:rsidRPr="005D642E">
        <w:rPr>
          <w:rtl/>
        </w:rPr>
        <w:t xml:space="preserve"> ، ج 6 ، ص 253 ، ح 4218 ؛ </w:t>
      </w:r>
      <w:r w:rsidR="00E3253D" w:rsidRPr="002F4D34">
        <w:rPr>
          <w:rStyle w:val="libFootnoteBoldChar"/>
          <w:rtl/>
        </w:rPr>
        <w:t>الوسائل</w:t>
      </w:r>
      <w:r w:rsidR="00E3253D" w:rsidRPr="005D642E">
        <w:rPr>
          <w:rtl/>
        </w:rPr>
        <w:t xml:space="preserve"> ، ج 1 ، ص 257 ، ح 667.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السند تحويل بعطف « محمّد بن يحيى ، عن محمّد بن الحسين » على « محمّد بن إسماعيل ، عن الفضل بن‌شاذان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lang w:bidi="fa-IR"/>
        </w:rPr>
        <w:t xml:space="preserve"> ورد الخبر في </w:t>
      </w:r>
      <w:r w:rsidR="00E3253D" w:rsidRPr="002F4D34">
        <w:rPr>
          <w:rStyle w:val="libFootnoteBoldChar"/>
          <w:rtl/>
        </w:rPr>
        <w:t>التهذيب</w:t>
      </w:r>
      <w:r w:rsidR="00E3253D" w:rsidRPr="005D642E">
        <w:rPr>
          <w:rtl/>
          <w:lang w:bidi="fa-IR"/>
        </w:rPr>
        <w:t xml:space="preserve"> ، ج 1 ، ص 8 ، ح 10 ؛ </w:t>
      </w:r>
      <w:r w:rsidR="00E3253D" w:rsidRPr="00E678B5">
        <w:rPr>
          <w:rStyle w:val="libFootnoteBoldChar"/>
          <w:rtl/>
        </w:rPr>
        <w:t>والاستبصار</w:t>
      </w:r>
      <w:r w:rsidR="00E3253D" w:rsidRPr="005D642E">
        <w:rPr>
          <w:rtl/>
          <w:lang w:bidi="fa-IR"/>
        </w:rPr>
        <w:t xml:space="preserve"> ، ج 1 ، ص 80 ، ح 252 ، بسند آخر عن عبدالرحمن بن الحجّاج ، عن زيد الشحّام ، قال سألت أبا عبدالله </w:t>
      </w:r>
      <w:r w:rsidR="00E3253D" w:rsidRPr="00F36F24">
        <w:rPr>
          <w:rStyle w:val="libFootnoteAlaemChar"/>
          <w:rtl/>
        </w:rPr>
        <w:t>عليه‌السلام</w:t>
      </w:r>
      <w:r w:rsidR="00E3253D" w:rsidRPr="005D642E">
        <w:rPr>
          <w:rtl/>
          <w:lang w:bidi="fa-IR"/>
        </w:rPr>
        <w:t>. ولايبعد زيادة « عن زيد الشحّام » في سند التهذيبن ؛ فإنّا لم نجد رواية عبدالرحمن بن الحجّاج عن زيد الشّحام</w:t>
      </w:r>
      <w:r w:rsidR="00E3253D">
        <w:rPr>
          <w:rtl/>
          <w:lang w:bidi="fa-IR"/>
        </w:rPr>
        <w:t xml:space="preserve"> </w:t>
      </w:r>
      <w:r w:rsidR="007642BC">
        <w:rPr>
          <w:rtl/>
          <w:lang w:bidi="fa-IR"/>
        </w:rPr>
        <w:t>-</w:t>
      </w:r>
      <w:r w:rsidR="00E3253D">
        <w:rPr>
          <w:rtl/>
          <w:lang w:bidi="fa-IR"/>
        </w:rPr>
        <w:t xml:space="preserve"> </w:t>
      </w:r>
      <w:r w:rsidR="00E3253D" w:rsidRPr="005D642E">
        <w:rPr>
          <w:rtl/>
          <w:lang w:bidi="fa-IR"/>
        </w:rPr>
        <w:t>بمختلف عناوينه</w:t>
      </w:r>
      <w:r w:rsidR="00E3253D">
        <w:rPr>
          <w:rtl/>
          <w:lang w:bidi="fa-IR"/>
        </w:rPr>
        <w:t xml:space="preserve"> </w:t>
      </w:r>
      <w:r w:rsidR="007642BC">
        <w:rPr>
          <w:rtl/>
          <w:lang w:bidi="fa-IR"/>
        </w:rPr>
        <w:t>-</w:t>
      </w:r>
      <w:r w:rsidR="00E3253D">
        <w:rPr>
          <w:rtl/>
          <w:lang w:bidi="fa-IR"/>
        </w:rPr>
        <w:t xml:space="preserve"> </w:t>
      </w:r>
      <w:r w:rsidR="00E3253D" w:rsidRPr="005D642E">
        <w:rPr>
          <w:rtl/>
          <w:lang w:bidi="fa-IR"/>
        </w:rPr>
        <w:t>في غير سند هذا الخبر.</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الخفقة : تحريك الرأس بسبب النعاس ، يقال : خفق الرجل ، أي حرّك رأسه وهو ناعس ، وخفق برأسه من النعاس : أماله وهو إذا أخذته سنة من النعاس فمال رأسه دون سائر جسده. وقيل : يقال : خفق فلان خفقة إذا نام نومة خفيفة. وقيل غير ذلك. راجع : </w:t>
      </w:r>
      <w:r w:rsidR="00E3253D" w:rsidRPr="002F4D34">
        <w:rPr>
          <w:rStyle w:val="libFootnoteBoldChar"/>
          <w:rtl/>
        </w:rPr>
        <w:t>الصحاح</w:t>
      </w:r>
      <w:r w:rsidR="00E3253D" w:rsidRPr="005D642E">
        <w:rPr>
          <w:rtl/>
        </w:rPr>
        <w:t xml:space="preserve"> ، ج 4 ، ص 1469 ؛ </w:t>
      </w:r>
      <w:r w:rsidR="00E3253D" w:rsidRPr="002F4D34">
        <w:rPr>
          <w:rStyle w:val="libFootnoteBoldChar"/>
          <w:rtl/>
        </w:rPr>
        <w:t>لسان العرب</w:t>
      </w:r>
      <w:r w:rsidR="00E3253D" w:rsidRPr="005D642E">
        <w:rPr>
          <w:rtl/>
        </w:rPr>
        <w:t xml:space="preserve"> ، ج 10 ، ص 80 ؛ </w:t>
      </w:r>
      <w:r w:rsidR="00E3253D" w:rsidRPr="002F4D34">
        <w:rPr>
          <w:rStyle w:val="libFootnoteBoldChar"/>
          <w:rtl/>
        </w:rPr>
        <w:t>المصباح المنير</w:t>
      </w:r>
      <w:r w:rsidR="00E3253D" w:rsidRPr="005D642E">
        <w:rPr>
          <w:rtl/>
        </w:rPr>
        <w:t xml:space="preserve"> ، ص 176 ( خفق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القيامة (75) : 14.</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8 ، ح 10 ؛ </w:t>
      </w:r>
      <w:r w:rsidR="00E3253D" w:rsidRPr="00E678B5">
        <w:rPr>
          <w:rStyle w:val="libFootnoteBoldChar"/>
          <w:rtl/>
        </w:rPr>
        <w:t>والاستبصار</w:t>
      </w:r>
      <w:r w:rsidR="00E3253D" w:rsidRPr="005D642E">
        <w:rPr>
          <w:rtl/>
        </w:rPr>
        <w:t xml:space="preserve"> ، ج 1 ، ص 80 ، ح 252 ، بسند آخر عن عبدالرحمن بن الحجّاج ، عن زيد الشحّام ، عن أبي عبدالله </w:t>
      </w:r>
      <w:r w:rsidR="00E3253D" w:rsidRPr="00F36F24">
        <w:rPr>
          <w:rStyle w:val="libFootnoteAlaemChar"/>
          <w:rtl/>
        </w:rPr>
        <w:t>عليه‌السلام</w:t>
      </w:r>
      <w:r w:rsidR="00E3253D" w:rsidRPr="005D642E">
        <w:rPr>
          <w:rtl/>
        </w:rPr>
        <w:t xml:space="preserve"> ، مع اختلاف يسير </w:t>
      </w:r>
      <w:r w:rsidR="00F36F24">
        <w:rPr>
          <w:rFonts w:hint="cs"/>
          <w:rtl/>
        </w:rPr>
        <w:t>.</w:t>
      </w:r>
      <w:r w:rsidR="00E3253D" w:rsidRPr="002F4D34">
        <w:rPr>
          <w:rStyle w:val="libFootnoteBoldChar"/>
          <w:rtl/>
        </w:rPr>
        <w:t>الوافي</w:t>
      </w:r>
      <w:r w:rsidR="00E3253D" w:rsidRPr="005D642E">
        <w:rPr>
          <w:rtl/>
        </w:rPr>
        <w:t xml:space="preserve"> ، ج 6 ، ص 253 ، ح 4219 ؛ </w:t>
      </w:r>
      <w:r w:rsidR="00E3253D" w:rsidRPr="002F4D34">
        <w:rPr>
          <w:rStyle w:val="libFootnoteBoldChar"/>
          <w:rtl/>
        </w:rPr>
        <w:t>الوسائل</w:t>
      </w:r>
      <w:r w:rsidR="00E3253D" w:rsidRPr="005D642E">
        <w:rPr>
          <w:rtl/>
        </w:rPr>
        <w:t xml:space="preserve"> ، ج 1 ، ص 254 ، ح 659.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سَعْدٍ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أُذُنَانِ وَعَيْنَانِ ، تَنَامُ </w:t>
      </w:r>
      <w:r w:rsidRPr="007C12DB">
        <w:rPr>
          <w:rStyle w:val="libFootnotenumChar"/>
          <w:rtl/>
        </w:rPr>
        <w:t>(2)</w:t>
      </w:r>
      <w:r w:rsidRPr="005D642E">
        <w:rPr>
          <w:rtl/>
          <w:lang w:bidi="fa-IR"/>
        </w:rPr>
        <w:t xml:space="preserve"> الْعَيْنَانِ وَلَاتَنَامُ </w:t>
      </w:r>
      <w:r w:rsidRPr="007C12DB">
        <w:rPr>
          <w:rStyle w:val="libFootnotenumChar"/>
          <w:rtl/>
        </w:rPr>
        <w:t>(3)</w:t>
      </w:r>
      <w:r w:rsidRPr="005D642E">
        <w:rPr>
          <w:rtl/>
          <w:lang w:bidi="fa-IR"/>
        </w:rPr>
        <w:t xml:space="preserve"> الْأُذُنَانِ ،</w:t>
      </w:r>
      <w:r>
        <w:rPr>
          <w:rFonts w:hint="cs"/>
          <w:rtl/>
          <w:lang w:bidi="fa-IR"/>
        </w:rPr>
        <w:t xml:space="preserve"> </w:t>
      </w:r>
      <w:r w:rsidRPr="005D642E">
        <w:rPr>
          <w:rtl/>
          <w:lang w:bidi="fa-IR"/>
        </w:rPr>
        <w:t xml:space="preserve">وَذلِكَ </w:t>
      </w:r>
      <w:r w:rsidRPr="007C12DB">
        <w:rPr>
          <w:rStyle w:val="libFootnotenumChar"/>
          <w:rtl/>
        </w:rPr>
        <w:t>(4)</w:t>
      </w:r>
      <w:r w:rsidRPr="005D642E">
        <w:rPr>
          <w:rtl/>
          <w:lang w:bidi="fa-IR"/>
        </w:rPr>
        <w:t xml:space="preserve"> لَايَنْقُضُ الْوُضُوءَ ، فَإِذَا نَامَتِ الْعَيْنَانِ وَالْأُذُنَانِ ، انْتَقَضَ الْوُضُوءُ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393C08">
        <w:rPr>
          <w:rtl/>
        </w:rPr>
        <w:t>3984</w:t>
      </w:r>
      <w:r w:rsidRPr="00246318">
        <w:rPr>
          <w:rStyle w:val="libBold2Char"/>
          <w:rtl/>
        </w:rPr>
        <w:t xml:space="preserve"> / 17.</w:t>
      </w:r>
      <w:r w:rsidRPr="005D642E">
        <w:rPr>
          <w:rtl/>
          <w:lang w:bidi="fa-IR"/>
        </w:rPr>
        <w:t xml:space="preserve"> أَحْمَدُ بْنُ إِدْرِيسَ وَمُحَمَّدُ بْنُ يَحْيى ، عَنْ مُحَمَّدِ بْنِ أَحْمَدَ </w:t>
      </w:r>
      <w:r w:rsidRPr="007C12DB">
        <w:rPr>
          <w:rStyle w:val="libFootnotenumChar"/>
          <w:rtl/>
        </w:rPr>
        <w:t>(7)</w:t>
      </w:r>
      <w:r w:rsidRPr="005D642E">
        <w:rPr>
          <w:rtl/>
          <w:lang w:bidi="fa-IR"/>
        </w:rPr>
        <w:t xml:space="preserve"> ، عَنْ أَحْمَدَ بْنِ الْحَسَنِ </w:t>
      </w:r>
      <w:r w:rsidRPr="007C12DB">
        <w:rPr>
          <w:rStyle w:val="libFootnotenumChar"/>
          <w:rtl/>
        </w:rPr>
        <w:t>(8)</w:t>
      </w:r>
      <w:r w:rsidRPr="005D642E">
        <w:rPr>
          <w:rtl/>
          <w:lang w:bidi="fa-IR"/>
        </w:rPr>
        <w:t xml:space="preserve"> ، عَنْ عَمْرِو بْنِ سَعِيدٍ ، عَنْ مُصَدِّقِ بْنِ صَدَقَةَ ، عَنْ عَمَّارٍ السَّابَاطِيِّ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الرَّجُلُ يَقْرِضُ م</w:t>
      </w:r>
      <w:r>
        <w:rPr>
          <w:rtl/>
          <w:lang w:bidi="fa-IR"/>
        </w:rPr>
        <w:t>ِنْ شَعْرِهِ بِأَسْنَانِهِ : أَ</w:t>
      </w:r>
      <w:r w:rsidRPr="005D642E">
        <w:rPr>
          <w:rtl/>
          <w:lang w:bidi="fa-IR"/>
        </w:rPr>
        <w:t xml:space="preserve">يَمْسَحُهُ </w:t>
      </w:r>
      <w:r w:rsidRPr="007C12DB">
        <w:rPr>
          <w:rStyle w:val="libFootnotenumChar"/>
          <w:rtl/>
        </w:rPr>
        <w:t>(9)</w:t>
      </w:r>
      <w:r w:rsidRPr="005D642E">
        <w:rPr>
          <w:rtl/>
          <w:lang w:bidi="fa-IR"/>
        </w:rPr>
        <w:t xml:space="preserve"> بِالْمَاءِ قَبْلَ أَنْ يُصَلِّيَ</w:t>
      </w:r>
      <w:r>
        <w:rPr>
          <w:rtl/>
          <w:lang w:bidi="fa-IR"/>
        </w:rPr>
        <w:t>؟</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E6A79" w:rsidTr="008E6A79">
        <w:tc>
          <w:tcPr>
            <w:tcW w:w="4006" w:type="dxa"/>
          </w:tcPr>
          <w:p w:rsidR="008E6A79" w:rsidRDefault="008E6A79" w:rsidP="00E3253D">
            <w:pPr>
              <w:pStyle w:val="libFootnote0"/>
              <w:rPr>
                <w:rStyle w:val="libFootnote0Char"/>
                <w:rtl/>
              </w:rPr>
            </w:pPr>
            <w:r w:rsidRPr="0042621E">
              <w:rPr>
                <w:rStyle w:val="libFootnote0Char"/>
                <w:rtl/>
              </w:rPr>
              <w:t>(1).</w:t>
            </w:r>
            <w:r>
              <w:rPr>
                <w:rtl/>
              </w:rPr>
              <w:t xml:space="preserve"> </w:t>
            </w:r>
            <w:r w:rsidRPr="005D642E">
              <w:rPr>
                <w:rtl/>
              </w:rPr>
              <w:t>في « جس » : « سعيد »</w:t>
            </w:r>
            <w:r>
              <w:rPr>
                <w:rtl/>
              </w:rPr>
              <w:t>.</w:t>
            </w:r>
          </w:p>
        </w:tc>
        <w:tc>
          <w:tcPr>
            <w:tcW w:w="4006" w:type="dxa"/>
          </w:tcPr>
          <w:p w:rsidR="008E6A79" w:rsidRDefault="008E6A79" w:rsidP="00E3253D">
            <w:pPr>
              <w:pStyle w:val="libFootnote0"/>
              <w:rPr>
                <w:rStyle w:val="libFootnote0Char"/>
                <w:rtl/>
              </w:rPr>
            </w:pPr>
            <w:r w:rsidRPr="0042621E">
              <w:rPr>
                <w:rStyle w:val="libFootnote0Char"/>
                <w:rtl/>
              </w:rPr>
              <w:t>(2).</w:t>
            </w:r>
            <w:r w:rsidR="001B2A3D">
              <w:rPr>
                <w:rtl/>
              </w:rPr>
              <w:t xml:space="preserve"> في «بس،جح» :«ينام</w:t>
            </w:r>
            <w:r w:rsidRPr="005D642E">
              <w:rPr>
                <w:rtl/>
              </w:rPr>
              <w:t>»</w:t>
            </w:r>
            <w:r>
              <w:rPr>
                <w:rtl/>
              </w:rPr>
              <w:t>.</w:t>
            </w:r>
            <w:r w:rsidRPr="005D642E">
              <w:rPr>
                <w:rtl/>
              </w:rPr>
              <w:t xml:space="preserve"> وفي « غ » : « فنام »</w:t>
            </w:r>
            <w:r>
              <w:rPr>
                <w:rtl/>
              </w:rPr>
              <w:t>.</w:t>
            </w:r>
          </w:p>
        </w:tc>
      </w:tr>
      <w:tr w:rsidR="008E6A79" w:rsidTr="008E6A79">
        <w:tc>
          <w:tcPr>
            <w:tcW w:w="4006" w:type="dxa"/>
          </w:tcPr>
          <w:p w:rsidR="008E6A79" w:rsidRDefault="001B2A3D" w:rsidP="00E3253D">
            <w:pPr>
              <w:pStyle w:val="libFootnote0"/>
              <w:rPr>
                <w:rStyle w:val="libFootnote0Char"/>
                <w:rtl/>
              </w:rPr>
            </w:pPr>
            <w:r w:rsidRPr="0042621E">
              <w:rPr>
                <w:rStyle w:val="libFootnote0Char"/>
                <w:rtl/>
              </w:rPr>
              <w:t>(3).</w:t>
            </w:r>
            <w:r w:rsidRPr="005D642E">
              <w:rPr>
                <w:rtl/>
              </w:rPr>
              <w:t xml:space="preserve"> في « جح ، جس » : « ولا ينام »</w:t>
            </w:r>
            <w:r>
              <w:rPr>
                <w:rtl/>
              </w:rPr>
              <w:t>.</w:t>
            </w:r>
          </w:p>
        </w:tc>
        <w:tc>
          <w:tcPr>
            <w:tcW w:w="4006" w:type="dxa"/>
          </w:tcPr>
          <w:p w:rsidR="008E6A79" w:rsidRDefault="001B2A3D" w:rsidP="00E3253D">
            <w:pPr>
              <w:pStyle w:val="libFootnote0"/>
              <w:rPr>
                <w:rStyle w:val="libFootnote0Char"/>
                <w:rtl/>
              </w:rPr>
            </w:pPr>
            <w:r w:rsidRPr="0042621E">
              <w:rPr>
                <w:rStyle w:val="libFootnote0Char"/>
                <w:rtl/>
              </w:rPr>
              <w:t>(4).</w:t>
            </w:r>
            <w:r w:rsidRPr="005D642E">
              <w:rPr>
                <w:rtl/>
              </w:rPr>
              <w:t xml:space="preserve"> في « جس » : « وكذلك »</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 « انقض » بدل « انتقض الوضوء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8 ، صدر ح 11 ، معلّقاً عن زرارة ، مضمراً ، مع اختلاف </w:t>
      </w:r>
      <w:r w:rsidR="002D4786">
        <w:rPr>
          <w:rFonts w:hint="cs"/>
          <w:rtl/>
        </w:rPr>
        <w:t>.</w:t>
      </w:r>
      <w:r w:rsidR="00E3253D" w:rsidRPr="002F4D34">
        <w:rPr>
          <w:rStyle w:val="libFootnoteBoldChar"/>
          <w:rtl/>
        </w:rPr>
        <w:t>الوافي</w:t>
      </w:r>
      <w:r w:rsidR="00E3253D" w:rsidRPr="005D642E">
        <w:rPr>
          <w:rtl/>
        </w:rPr>
        <w:t xml:space="preserve"> ، ج 6 ، ص 254 ، ح 4221 ؛ </w:t>
      </w:r>
      <w:r w:rsidR="00E3253D" w:rsidRPr="002F4D34">
        <w:rPr>
          <w:rStyle w:val="libFootnoteBoldChar"/>
          <w:rtl/>
        </w:rPr>
        <w:t>الوسائل</w:t>
      </w:r>
      <w:r w:rsidR="00E3253D" w:rsidRPr="005D642E">
        <w:rPr>
          <w:rtl/>
        </w:rPr>
        <w:t xml:space="preserve"> ، ج 1 ، ص 247 ، ح 638.</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جس » والوسائل : « أحمد بن محمّد » ، وهو سهو ؛ فقد روى أحمد بن إدريس ومحمّد بن يحيى</w:t>
      </w:r>
      <w:r w:rsidR="00E3253D">
        <w:rPr>
          <w:rtl/>
        </w:rPr>
        <w:t xml:space="preserve"> </w:t>
      </w:r>
      <w:r w:rsidR="007642BC">
        <w:rPr>
          <w:rtl/>
        </w:rPr>
        <w:t>-</w:t>
      </w:r>
      <w:r w:rsidR="00E3253D">
        <w:rPr>
          <w:rtl/>
        </w:rPr>
        <w:t xml:space="preserve"> </w:t>
      </w:r>
      <w:r w:rsidR="00E3253D" w:rsidRPr="005D642E">
        <w:rPr>
          <w:rtl/>
        </w:rPr>
        <w:t>وكلاهما من مشايخ الكليني</w:t>
      </w:r>
      <w:r w:rsidR="00E3253D">
        <w:rPr>
          <w:rtl/>
        </w:rPr>
        <w:t xml:space="preserve"> </w:t>
      </w:r>
      <w:r w:rsidR="007642BC">
        <w:rPr>
          <w:rtl/>
        </w:rPr>
        <w:t>-</w:t>
      </w:r>
      <w:r w:rsidR="00E3253D">
        <w:rPr>
          <w:rtl/>
        </w:rPr>
        <w:t xml:space="preserve"> </w:t>
      </w:r>
      <w:r w:rsidR="00E3253D" w:rsidRPr="005D642E">
        <w:rPr>
          <w:rtl/>
        </w:rPr>
        <w:t>متعاطفين وغير متعاطفين عن محمّد بن أحمد ، عن أحمد بن الحسن [ بن عليّ بن فضّال ] عن عمروبن سعيد ، عن مصدّق بن صدقة ، عن عمّار في أسناد عديدة. ا</w:t>
      </w:r>
      <w:r w:rsidR="002D4786">
        <w:rPr>
          <w:rFonts w:hint="cs"/>
          <w:rtl/>
        </w:rPr>
        <w:t>ُ</w:t>
      </w:r>
      <w:r w:rsidR="00E3253D" w:rsidRPr="005D642E">
        <w:rPr>
          <w:rtl/>
        </w:rPr>
        <w:t xml:space="preserve">نظر على سبيل المثال : الكافي ، ح 3842 </w:t>
      </w:r>
      <w:r w:rsidR="00E3253D">
        <w:rPr>
          <w:rtl/>
        </w:rPr>
        <w:t>و 3</w:t>
      </w:r>
      <w:r w:rsidR="00E3253D" w:rsidRPr="005D642E">
        <w:rPr>
          <w:rtl/>
        </w:rPr>
        <w:t xml:space="preserve">879 </w:t>
      </w:r>
      <w:r w:rsidR="00E3253D">
        <w:rPr>
          <w:rtl/>
        </w:rPr>
        <w:t>و 4</w:t>
      </w:r>
      <w:r w:rsidR="00E3253D" w:rsidRPr="005D642E">
        <w:rPr>
          <w:rtl/>
        </w:rPr>
        <w:t xml:space="preserve">090 </w:t>
      </w:r>
      <w:r w:rsidR="00E3253D">
        <w:rPr>
          <w:rtl/>
        </w:rPr>
        <w:t>و 4</w:t>
      </w:r>
      <w:r w:rsidR="00E3253D" w:rsidRPr="005D642E">
        <w:rPr>
          <w:rtl/>
        </w:rPr>
        <w:t xml:space="preserve">176 </w:t>
      </w:r>
      <w:r w:rsidR="00E3253D">
        <w:rPr>
          <w:rtl/>
        </w:rPr>
        <w:t>و 4</w:t>
      </w:r>
      <w:r w:rsidR="00E3253D" w:rsidRPr="005D642E">
        <w:rPr>
          <w:rtl/>
        </w:rPr>
        <w:t xml:space="preserve">207 </w:t>
      </w:r>
      <w:r w:rsidR="00E3253D">
        <w:rPr>
          <w:rtl/>
        </w:rPr>
        <w:t>و 4</w:t>
      </w:r>
      <w:r w:rsidR="00E3253D" w:rsidRPr="005D642E">
        <w:rPr>
          <w:rtl/>
        </w:rPr>
        <w:t xml:space="preserve">217 </w:t>
      </w:r>
      <w:r w:rsidR="00E3253D">
        <w:rPr>
          <w:rtl/>
        </w:rPr>
        <w:t>و 4</w:t>
      </w:r>
      <w:r w:rsidR="00E3253D" w:rsidRPr="005D642E">
        <w:rPr>
          <w:rtl/>
        </w:rPr>
        <w:t xml:space="preserve">370 </w:t>
      </w:r>
      <w:r w:rsidR="00E3253D">
        <w:rPr>
          <w:rtl/>
        </w:rPr>
        <w:t>و 4</w:t>
      </w:r>
      <w:r w:rsidR="00E3253D" w:rsidRPr="005D642E">
        <w:rPr>
          <w:rtl/>
        </w:rPr>
        <w:t xml:space="preserve">391 </w:t>
      </w:r>
      <w:r w:rsidR="00E3253D">
        <w:rPr>
          <w:rtl/>
        </w:rPr>
        <w:t>و 4</w:t>
      </w:r>
      <w:r w:rsidR="00E3253D" w:rsidRPr="005D642E">
        <w:rPr>
          <w:rtl/>
        </w:rPr>
        <w:t xml:space="preserve">414 </w:t>
      </w:r>
      <w:r w:rsidR="00E3253D">
        <w:rPr>
          <w:rtl/>
        </w:rPr>
        <w:t>و 4</w:t>
      </w:r>
      <w:r w:rsidR="00E3253D" w:rsidRPr="005D642E">
        <w:rPr>
          <w:rtl/>
        </w:rPr>
        <w:t xml:space="preserve">472 </w:t>
      </w:r>
      <w:r w:rsidR="00E3253D">
        <w:rPr>
          <w:rtl/>
        </w:rPr>
        <w:t>و 4</w:t>
      </w:r>
      <w:r w:rsidR="00E3253D" w:rsidRPr="005D642E">
        <w:rPr>
          <w:rtl/>
        </w:rPr>
        <w:t xml:space="preserve">870 </w:t>
      </w:r>
      <w:r w:rsidR="00E3253D">
        <w:rPr>
          <w:rtl/>
        </w:rPr>
        <w:t>و 4</w:t>
      </w:r>
      <w:r w:rsidR="00E3253D" w:rsidRPr="005D642E">
        <w:rPr>
          <w:rtl/>
        </w:rPr>
        <w:t xml:space="preserve">996 </w:t>
      </w:r>
      <w:r w:rsidR="00E3253D">
        <w:rPr>
          <w:rtl/>
        </w:rPr>
        <w:t>و 5</w:t>
      </w:r>
      <w:r w:rsidR="00E3253D" w:rsidRPr="005D642E">
        <w:rPr>
          <w:rtl/>
        </w:rPr>
        <w:t xml:space="preserve">343 </w:t>
      </w:r>
      <w:r w:rsidR="00E3253D">
        <w:rPr>
          <w:rtl/>
        </w:rPr>
        <w:t>و 5</w:t>
      </w:r>
      <w:r w:rsidR="00E3253D" w:rsidRPr="005D642E">
        <w:rPr>
          <w:rtl/>
        </w:rPr>
        <w:t xml:space="preserve">399 </w:t>
      </w:r>
      <w:r w:rsidR="00E3253D">
        <w:rPr>
          <w:rtl/>
        </w:rPr>
        <w:t>و 7</w:t>
      </w:r>
      <w:r w:rsidR="00E3253D" w:rsidRPr="005D642E">
        <w:rPr>
          <w:rtl/>
        </w:rPr>
        <w:t>341.</w:t>
      </w:r>
    </w:p>
    <w:p w:rsidR="00E3253D" w:rsidRPr="005D642E" w:rsidRDefault="00E3253D" w:rsidP="00B60612">
      <w:pPr>
        <w:pStyle w:val="libFootnote0"/>
        <w:rPr>
          <w:rtl/>
          <w:lang w:bidi="fa-IR"/>
        </w:rPr>
      </w:pPr>
      <w:r w:rsidRPr="0095070A">
        <w:rPr>
          <w:rtl/>
        </w:rPr>
        <w:t>ويظهر بذلك وقوع سهو آخر في سند الوسائل ؛ من « أحمد بن إدريس ، عن محمّد بن يحيى »</w:t>
      </w:r>
      <w:r>
        <w:rPr>
          <w:rtl/>
        </w:rPr>
        <w:t>.</w:t>
      </w:r>
    </w:p>
    <w:p w:rsidR="00E3253D" w:rsidRPr="005D642E" w:rsidRDefault="00E3253D" w:rsidP="00E3253D">
      <w:pPr>
        <w:pStyle w:val="libFootnote0"/>
        <w:rPr>
          <w:rtl/>
          <w:lang w:bidi="fa-IR"/>
        </w:rPr>
      </w:pPr>
      <w:r w:rsidRPr="00B60612">
        <w:rPr>
          <w:rtl/>
        </w:rPr>
        <w:t xml:space="preserve">ويؤكّد ذلك مضافاً إلى ما أشرنا إليه من الأسناد ، عدم ثبوت رواية أحمد بن إدريس ، عن محمّد بن أحمد بالتوسّط ، وأنّ أحمد بن إدريس ومحمّد بن يحيى رويا جميع روايات محمّد بن أحمد بن يحيى. راجع : </w:t>
      </w:r>
      <w:r w:rsidR="0059794D" w:rsidRPr="0059794D">
        <w:rPr>
          <w:rStyle w:val="libFootnoteBoldChar"/>
          <w:rtl/>
        </w:rPr>
        <w:t>الفهرست للطوسي</w:t>
      </w:r>
      <w:r w:rsidRPr="00B60612">
        <w:rPr>
          <w:rtl/>
        </w:rPr>
        <w:t xml:space="preserve"> ، ص 408 ، الرقم 623.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بث ، بخ ، بس » وحاشية « جن » : « الحسين » ، وهذا أيضاً سهو تبيّن أمره ممّا تقدّم آنفاً.</w:t>
      </w:r>
    </w:p>
    <w:p w:rsidR="00E3253D" w:rsidRPr="005D642E" w:rsidRDefault="00E3253D" w:rsidP="00E3253D">
      <w:pPr>
        <w:pStyle w:val="libFootnote0"/>
        <w:rPr>
          <w:rtl/>
          <w:lang w:bidi="fa-IR"/>
        </w:rPr>
      </w:pPr>
      <w:r w:rsidRPr="00B60612">
        <w:rPr>
          <w:rtl/>
        </w:rPr>
        <w:t xml:space="preserve">ويؤيّد ذلك أنّ أحمد بن الحسن بن عليّ بن فضّال روى عن عمرو بن سعيد المدائني ، عن مصدّق بن صدقة كتاب عمّار بن موسى الساباطي. راجع : </w:t>
      </w:r>
      <w:r w:rsidR="0059794D" w:rsidRPr="0059794D">
        <w:rPr>
          <w:rStyle w:val="libFootnoteBoldChar"/>
          <w:rtl/>
        </w:rPr>
        <w:t>الفهرست للطوسي</w:t>
      </w:r>
      <w:r w:rsidRPr="00B60612">
        <w:rPr>
          <w:rtl/>
        </w:rPr>
        <w:t xml:space="preserve"> ، ص 335 ، الرقم 527.</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بخ ، بف ، جح ، جس » </w:t>
      </w:r>
      <w:r w:rsidR="00E3253D" w:rsidRPr="00E678B5">
        <w:rPr>
          <w:rStyle w:val="libFootnoteBoldChar"/>
          <w:rtl/>
        </w:rPr>
        <w:t>والاستبصار</w:t>
      </w:r>
      <w:r w:rsidR="00E3253D" w:rsidRPr="005D642E">
        <w:rPr>
          <w:rtl/>
        </w:rPr>
        <w:t xml:space="preserve"> : « يمسحه » من دون همزة الاستفهام. وفي « ى ، بث ، جن » وحاشية « بح ، بس » : « ويمسحه »</w:t>
      </w:r>
      <w:r w:rsidR="00E3253D">
        <w:rPr>
          <w:rtl/>
        </w:rPr>
        <w:t>.</w:t>
      </w:r>
      <w:r w:rsidR="00E3253D" w:rsidRPr="005D642E">
        <w:rPr>
          <w:rtl/>
        </w:rPr>
        <w:t xml:space="preserve"> وفي « بح ، بس » وحاشية « ى » : « ويمسح »</w:t>
      </w:r>
      <w:r w:rsidR="00E3253D">
        <w:rPr>
          <w:rtl/>
        </w:rPr>
        <w:t>.</w:t>
      </w:r>
      <w:r w:rsidR="00365424">
        <w:rPr>
          <w:rtl/>
        </w:rPr>
        <w:t xml:space="preserve"> وفي حاشية « بخ</w:t>
      </w:r>
      <w:r w:rsidR="00E3253D" w:rsidRPr="005D642E">
        <w:rPr>
          <w:rtl/>
        </w:rPr>
        <w:t>» : « يمسح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قَالَ : « لَا بَأْسَ ، إِنَّمَا ذلِكَ فِي الْحَدِيدِ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Heading2Center"/>
        <w:rPr>
          <w:rtl/>
          <w:lang w:bidi="fa-IR"/>
        </w:rPr>
      </w:pPr>
      <w:bookmarkStart w:id="90" w:name="_Toc344647240"/>
      <w:bookmarkStart w:id="91" w:name="_Toc462226755"/>
      <w:bookmarkStart w:id="92" w:name="_Toc40975863"/>
      <w:r w:rsidRPr="005D642E">
        <w:rPr>
          <w:rtl/>
          <w:lang w:bidi="fa-IR"/>
        </w:rPr>
        <w:t>24</w:t>
      </w:r>
      <w:r>
        <w:rPr>
          <w:rtl/>
          <w:lang w:bidi="fa-IR"/>
        </w:rPr>
        <w:t xml:space="preserve"> </w:t>
      </w:r>
      <w:r w:rsidR="007642BC">
        <w:rPr>
          <w:rtl/>
          <w:lang w:bidi="fa-IR"/>
        </w:rPr>
        <w:t>-</w:t>
      </w:r>
      <w:r>
        <w:rPr>
          <w:rtl/>
          <w:lang w:bidi="fa-IR"/>
        </w:rPr>
        <w:t xml:space="preserve"> </w:t>
      </w:r>
      <w:r w:rsidRPr="005D642E">
        <w:rPr>
          <w:rtl/>
          <w:lang w:bidi="fa-IR"/>
        </w:rPr>
        <w:t xml:space="preserve">بَابُ الرَّجُلِ يَطَأُ عَلَى الْعَذِرَةِ أَوْ غَيْرِهَا مِنَ الْقَذَرِ </w:t>
      </w:r>
      <w:r w:rsidRPr="007C12DB">
        <w:rPr>
          <w:rStyle w:val="libFootnotenumChar"/>
          <w:rtl/>
        </w:rPr>
        <w:t>(2)</w:t>
      </w:r>
      <w:r w:rsidRPr="005D642E">
        <w:rPr>
          <w:rtl/>
          <w:lang w:bidi="fa-IR"/>
        </w:rPr>
        <w:t xml:space="preserve"> ‌</w:t>
      </w:r>
      <w:bookmarkEnd w:id="90"/>
      <w:bookmarkEnd w:id="91"/>
      <w:bookmarkEnd w:id="92"/>
    </w:p>
    <w:p w:rsidR="00E3253D" w:rsidRPr="005D642E" w:rsidRDefault="00E3253D" w:rsidP="00E3253D">
      <w:pPr>
        <w:pStyle w:val="libNormal"/>
        <w:rPr>
          <w:rtl/>
          <w:lang w:bidi="fa-IR"/>
        </w:rPr>
      </w:pPr>
      <w:r w:rsidRPr="00D947E0">
        <w:rPr>
          <w:rtl/>
        </w:rPr>
        <w:t>3985</w:t>
      </w:r>
      <w:r w:rsidRPr="00246318">
        <w:rPr>
          <w:rStyle w:val="libBold2Char"/>
          <w:rtl/>
        </w:rPr>
        <w:t xml:space="preserve"> / 1.</w:t>
      </w:r>
      <w:r w:rsidRPr="005D642E">
        <w:rPr>
          <w:rtl/>
          <w:lang w:bidi="fa-IR"/>
        </w:rPr>
        <w:t xml:space="preserve"> مُحَمَّدُ بْنُ يَحْيى ، عَنْ أَحْمَدَ بْنِ مُحَمَّدٍ ، عَنِ ابْنِ أَبِي عُمَيْرٍ ، عَنْ جَمِيلِ بْنِ صَالِحٍ ، عَنِ الْأَحْوَلِ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w:t>
      </w:r>
      <w:r w:rsidRPr="007C12DB">
        <w:rPr>
          <w:rStyle w:val="libFootnotenumChar"/>
          <w:rtl/>
        </w:rPr>
        <w:t>(3)</w:t>
      </w:r>
      <w:r w:rsidRPr="005D642E">
        <w:rPr>
          <w:rtl/>
          <w:lang w:bidi="fa-IR"/>
        </w:rPr>
        <w:t xml:space="preserve"> : فِي الرَّجُلِ يَطَأُ عَلَى </w:t>
      </w:r>
      <w:r w:rsidRPr="007C12DB">
        <w:rPr>
          <w:rStyle w:val="libFootnotenumChar"/>
          <w:rtl/>
        </w:rPr>
        <w:t>(4)</w:t>
      </w:r>
      <w:r w:rsidRPr="005D642E">
        <w:rPr>
          <w:rtl/>
          <w:lang w:bidi="fa-IR"/>
        </w:rPr>
        <w:t xml:space="preserve"> الْمَوْضِعِ الَّذِي لَيْسَ بِنَظِيفٍ ، ثُمَّ يَطَأُ بَعْدَهُ مَكَاناً نَظِيفاً</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(5)</w:t>
      </w:r>
      <w:r w:rsidRPr="005D642E">
        <w:rPr>
          <w:rtl/>
          <w:lang w:bidi="fa-IR"/>
        </w:rPr>
        <w:t xml:space="preserve"> : « لَا بَأْسَ إِذَا كَانَ خَمْسَةَ </w:t>
      </w:r>
      <w:r w:rsidRPr="007C12DB">
        <w:rPr>
          <w:rStyle w:val="libFootnotenumChar"/>
          <w:rtl/>
        </w:rPr>
        <w:t>(6)</w:t>
      </w:r>
      <w:r w:rsidRPr="005D642E">
        <w:rPr>
          <w:rtl/>
          <w:lang w:bidi="fa-IR"/>
        </w:rPr>
        <w:t xml:space="preserve"> عَشَرَ ذِرَاعاً ، أَوْ نَحْوَ ذلِكَ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D947E0">
        <w:rPr>
          <w:rtl/>
        </w:rPr>
        <w:t>3986</w:t>
      </w:r>
      <w:r w:rsidRPr="00246318">
        <w:rPr>
          <w:rStyle w:val="libBold2Char"/>
          <w:rtl/>
        </w:rPr>
        <w:t xml:space="preserve"> / 2.</w:t>
      </w:r>
      <w:r w:rsidRPr="005D642E">
        <w:rPr>
          <w:rtl/>
          <w:lang w:bidi="fa-IR"/>
        </w:rPr>
        <w:t xml:space="preserve"> عَلِيُّ بْنُ إِبْرَاهِيمَ ، عَنْ أَبِيهِ ، عَنْ حَمَّادٍ ، عَنْ حَرِيزٍ ، عَنْ </w:t>
      </w:r>
      <w:r w:rsidR="00574BDD">
        <w:rPr>
          <w:rtl/>
          <w:lang w:bidi="fa-IR"/>
        </w:rPr>
        <w:t>مُحَمَّدِ بْنِ مُسْلِمٍ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كُنْتُ مَعَ أَبِي جَعْفَرٍ </w:t>
      </w:r>
      <w:r w:rsidRPr="007C12DB">
        <w:rPr>
          <w:rStyle w:val="libFootnotenumChar"/>
          <w:rtl/>
        </w:rPr>
        <w:t>(9)</w:t>
      </w:r>
      <w:r w:rsidRPr="005D642E">
        <w:rPr>
          <w:rtl/>
          <w:lang w:bidi="fa-IR"/>
        </w:rPr>
        <w:t xml:space="preserve"> </w:t>
      </w:r>
      <w:r w:rsidRPr="00AC51C5">
        <w:rPr>
          <w:rStyle w:val="libAlaemChar"/>
          <w:rtl/>
        </w:rPr>
        <w:t>عليه‌السلام</w:t>
      </w:r>
      <w:r w:rsidRPr="005D642E">
        <w:rPr>
          <w:rtl/>
          <w:lang w:bidi="fa-IR"/>
        </w:rPr>
        <w:t xml:space="preserve"> إِذْ مَرَّ عَلى عَذِرَةٍ يَابِسَةٍ ، فَوَطِئَ عَلَيْهَا ، فَأَصَابَتْ </w:t>
      </w:r>
      <w:r w:rsidRPr="007C12DB">
        <w:rPr>
          <w:rStyle w:val="libFootnotenumChar"/>
          <w:rtl/>
        </w:rPr>
        <w:t>(10)</w:t>
      </w:r>
      <w:r w:rsidRPr="005D642E">
        <w:rPr>
          <w:rtl/>
          <w:lang w:bidi="fa-IR"/>
        </w:rPr>
        <w:t xml:space="preserve"> ثَوْبَهُ ، فَقُلْتُ : جُعِلْتُ فِدَاكَ ، قَدْ وَطِئْتَ عَلى عَذِرَةٍ ، فَأَصَابَتْ </w:t>
      </w:r>
      <w:r w:rsidRPr="007C12DB">
        <w:rPr>
          <w:rStyle w:val="libFootnotenumChar"/>
          <w:rtl/>
        </w:rPr>
        <w:t>(11)</w:t>
      </w:r>
      <w:r w:rsidRPr="005D642E">
        <w:rPr>
          <w:rtl/>
          <w:lang w:bidi="fa-IR"/>
        </w:rPr>
        <w:t xml:space="preserve"> ثَوْبَ</w:t>
      </w:r>
      <w:r>
        <w:rPr>
          <w:rtl/>
          <w:lang w:bidi="fa-IR"/>
        </w:rPr>
        <w:t>كَ ، فَقَالَ : « أَ</w:t>
      </w:r>
      <w:r w:rsidRPr="005D642E">
        <w:rPr>
          <w:rtl/>
          <w:lang w:bidi="fa-IR"/>
        </w:rPr>
        <w:t>لَيْسَ هِيَ يَابِسَةً</w:t>
      </w:r>
      <w:r>
        <w:rPr>
          <w:rtl/>
          <w:lang w:bidi="fa-IR"/>
        </w:rPr>
        <w:t>؟</w:t>
      </w:r>
      <w:r w:rsidRPr="005D642E">
        <w:rPr>
          <w:rtl/>
          <w:lang w:bidi="fa-IR"/>
        </w:rPr>
        <w:t xml:space="preserve"> »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345 ، ح 1011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96 ، ح 310 ، معلّقاً عن محمّد بن أحمد بن يحيى ، عن أحمد بن الحسن </w:t>
      </w:r>
      <w:r w:rsidR="00F34032">
        <w:rPr>
          <w:rFonts w:hint="cs"/>
          <w:rtl/>
        </w:rPr>
        <w:t>.</w:t>
      </w:r>
      <w:r w:rsidR="00E3253D" w:rsidRPr="002F4D34">
        <w:rPr>
          <w:rStyle w:val="libFootnoteBoldChar"/>
          <w:rtl/>
        </w:rPr>
        <w:t>الوافي</w:t>
      </w:r>
      <w:r w:rsidR="00E3253D" w:rsidRPr="005D642E">
        <w:rPr>
          <w:rtl/>
        </w:rPr>
        <w:t xml:space="preserve"> ، ج 6 ، ص 237 ، ح 4196 ؛ </w:t>
      </w:r>
      <w:r w:rsidR="00E3253D" w:rsidRPr="002F4D34">
        <w:rPr>
          <w:rStyle w:val="libFootnoteBoldChar"/>
          <w:rtl/>
        </w:rPr>
        <w:t>الوسائل</w:t>
      </w:r>
      <w:r w:rsidR="00E3253D" w:rsidRPr="005D642E">
        <w:rPr>
          <w:rtl/>
        </w:rPr>
        <w:t xml:space="preserve"> ، ج 1 ، ص 288 ، ذيل ح 757 ؛ وج 3 ، ص 530 ، ح 4373.</w:t>
      </w:r>
    </w:p>
    <w:p w:rsidR="00E3253D" w:rsidRPr="005D642E" w:rsidRDefault="0042621E" w:rsidP="00F34032">
      <w:pPr>
        <w:pStyle w:val="libFootnote0"/>
        <w:rPr>
          <w:rtl/>
          <w:lang w:bidi="fa-IR"/>
        </w:rPr>
      </w:pPr>
      <w:r w:rsidRPr="0042621E">
        <w:rPr>
          <w:rStyle w:val="libFootnote0Char"/>
          <w:rtl/>
        </w:rPr>
        <w:t>(2).</w:t>
      </w:r>
      <w:r w:rsidR="00E3253D" w:rsidRPr="005D642E">
        <w:rPr>
          <w:rtl/>
        </w:rPr>
        <w:t xml:space="preserve"> القَذَر : ضدُّ النظافة ، والوسخُ وما يستكرهه الطباع. وقد يطلق على النجس. راجع : </w:t>
      </w:r>
      <w:r w:rsidR="00E3253D" w:rsidRPr="002F4D34">
        <w:rPr>
          <w:rStyle w:val="libFootnoteBoldChar"/>
          <w:rtl/>
        </w:rPr>
        <w:t>لسان العرب</w:t>
      </w:r>
      <w:r w:rsidR="00E3253D" w:rsidRPr="005D642E">
        <w:rPr>
          <w:rtl/>
        </w:rPr>
        <w:t xml:space="preserve"> ، ج 5 ، ص 80 ؛ </w:t>
      </w:r>
      <w:r w:rsidR="00E3253D" w:rsidRPr="002F4D34">
        <w:rPr>
          <w:rStyle w:val="libFootnoteBoldChar"/>
          <w:rtl/>
        </w:rPr>
        <w:t>المصباح المنير</w:t>
      </w:r>
      <w:r w:rsidR="00E3253D" w:rsidRPr="005D642E">
        <w:rPr>
          <w:rtl/>
        </w:rPr>
        <w:t xml:space="preserve"> ، ص 494 ( قذر )</w:t>
      </w:r>
      <w:r w:rsidR="00E3253D">
        <w:rPr>
          <w:rtl/>
        </w:rPr>
        <w:t>.</w:t>
      </w:r>
      <w:r w:rsidR="00F34032">
        <w:rPr>
          <w:rFonts w:hint="cs"/>
          <w:rtl/>
        </w:rPr>
        <w:t xml:space="preserve">               </w:t>
      </w:r>
      <w:r w:rsidRPr="0042621E">
        <w:rPr>
          <w:rStyle w:val="libFootnote0Char"/>
          <w:rtl/>
        </w:rPr>
        <w:t>(3).</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قال »</w:t>
      </w:r>
      <w:r w:rsidR="00E3253D">
        <w:rPr>
          <w:rtl/>
        </w:rPr>
        <w:t>.</w:t>
      </w:r>
    </w:p>
    <w:tbl>
      <w:tblPr>
        <w:tblStyle w:val="TableGrid"/>
        <w:bidiVisual/>
        <w:tblW w:w="0" w:type="auto"/>
        <w:tblLook w:val="04A0" w:firstRow="1" w:lastRow="0" w:firstColumn="1" w:lastColumn="0" w:noHBand="0" w:noVBand="1"/>
      </w:tblPr>
      <w:tblGrid>
        <w:gridCol w:w="4006"/>
        <w:gridCol w:w="4006"/>
      </w:tblGrid>
      <w:tr w:rsidR="00F34032" w:rsidTr="00F34032">
        <w:tc>
          <w:tcPr>
            <w:tcW w:w="4006" w:type="dxa"/>
          </w:tcPr>
          <w:p w:rsidR="00F34032" w:rsidRDefault="00F34032" w:rsidP="00E3253D">
            <w:pPr>
              <w:pStyle w:val="libFootnote0"/>
              <w:rPr>
                <w:rStyle w:val="libFootnote0Char"/>
                <w:rtl/>
              </w:rPr>
            </w:pPr>
            <w:r w:rsidRPr="0042621E">
              <w:rPr>
                <w:rStyle w:val="libFootnote0Char"/>
                <w:rtl/>
              </w:rPr>
              <w:t>(4).</w:t>
            </w:r>
            <w:r w:rsidRPr="005D642E">
              <w:rPr>
                <w:rtl/>
              </w:rPr>
              <w:t xml:space="preserve"> في الوافي : « في »</w:t>
            </w:r>
            <w:r>
              <w:rPr>
                <w:rtl/>
              </w:rPr>
              <w:t>.</w:t>
            </w:r>
          </w:p>
        </w:tc>
        <w:tc>
          <w:tcPr>
            <w:tcW w:w="4006" w:type="dxa"/>
          </w:tcPr>
          <w:p w:rsidR="00F34032" w:rsidRDefault="00F34032" w:rsidP="00E3253D">
            <w:pPr>
              <w:pStyle w:val="libFootnote0"/>
              <w:rPr>
                <w:rStyle w:val="libFootnote0Char"/>
                <w:rtl/>
              </w:rPr>
            </w:pPr>
            <w:r w:rsidRPr="0042621E">
              <w:rPr>
                <w:rStyle w:val="libFootnote0Char"/>
                <w:rtl/>
              </w:rPr>
              <w:t>(5).</w:t>
            </w:r>
            <w:r w:rsidR="00A840CE">
              <w:rPr>
                <w:rtl/>
              </w:rPr>
              <w:t xml:space="preserve"> في «ى،بث،جح»وحاشية«بخ»والوسائل:«فقال</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 « خمس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مشرق الشمسين</w:t>
      </w:r>
      <w:r w:rsidR="00E3253D" w:rsidRPr="005D642E">
        <w:rPr>
          <w:rtl/>
        </w:rPr>
        <w:t xml:space="preserve"> ، ص 459 : « اسم كان يعود بقرينة السياق إلى ما بين المكانين ، والظاهر أنّ المراد ما يحصل بالمشي عليه زوال عين النجاسة ، كما يشعر به قوله </w:t>
      </w:r>
      <w:r w:rsidR="00E3253D" w:rsidRPr="00F34032">
        <w:rPr>
          <w:rStyle w:val="libFootnoteAlaemChar"/>
          <w:rtl/>
        </w:rPr>
        <w:t>عليه‌السلام</w:t>
      </w:r>
      <w:r w:rsidR="00E3253D" w:rsidRPr="005D642E">
        <w:rPr>
          <w:rtl/>
        </w:rPr>
        <w:t xml:space="preserve"> : أو نحو ذلك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ا</w:t>
      </w:r>
      <w:r w:rsidR="005756A6">
        <w:rPr>
          <w:rFonts w:hint="cs"/>
          <w:rtl/>
        </w:rPr>
        <w:t>ُ</w:t>
      </w:r>
      <w:r w:rsidR="00E3253D" w:rsidRPr="005D642E">
        <w:rPr>
          <w:rtl/>
        </w:rPr>
        <w:t>ريد</w:t>
      </w:r>
      <w:r w:rsidR="00E3253D">
        <w:rPr>
          <w:rtl/>
        </w:rPr>
        <w:t xml:space="preserve"> ب</w:t>
      </w:r>
      <w:r w:rsidR="005756A6">
        <w:rPr>
          <w:rFonts w:hint="cs"/>
          <w:rtl/>
        </w:rPr>
        <w:t>ـ</w:t>
      </w:r>
      <w:r w:rsidR="00E3253D">
        <w:rPr>
          <w:rtl/>
        </w:rPr>
        <w:t xml:space="preserve"> </w:t>
      </w:r>
      <w:r w:rsidR="00E3253D" w:rsidRPr="005D642E">
        <w:rPr>
          <w:rtl/>
        </w:rPr>
        <w:t>« نحو ذلك » ما يحصل بالمشي عليه زوال عين النجاسة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6 ، ص 225 ، ح 4159 ؛ </w:t>
      </w:r>
      <w:r w:rsidR="00E3253D" w:rsidRPr="002F4D34">
        <w:rPr>
          <w:rStyle w:val="libFootnoteBoldChar"/>
          <w:rtl/>
        </w:rPr>
        <w:t>الوسائل</w:t>
      </w:r>
      <w:r w:rsidR="00E3253D" w:rsidRPr="005D642E">
        <w:rPr>
          <w:rtl/>
        </w:rPr>
        <w:t xml:space="preserve"> ، ج 3 ، ص 457 ، ح 4165.</w:t>
      </w:r>
    </w:p>
    <w:tbl>
      <w:tblPr>
        <w:tblStyle w:val="TableGrid"/>
        <w:bidiVisual/>
        <w:tblW w:w="0" w:type="auto"/>
        <w:tblLook w:val="04A0" w:firstRow="1" w:lastRow="0" w:firstColumn="1" w:lastColumn="0" w:noHBand="0" w:noVBand="1"/>
      </w:tblPr>
      <w:tblGrid>
        <w:gridCol w:w="4006"/>
        <w:gridCol w:w="4006"/>
      </w:tblGrid>
      <w:tr w:rsidR="00FA72D6" w:rsidTr="00FA72D6">
        <w:tc>
          <w:tcPr>
            <w:tcW w:w="4006" w:type="dxa"/>
          </w:tcPr>
          <w:p w:rsidR="00FA72D6" w:rsidRDefault="00FA72D6" w:rsidP="00E3253D">
            <w:pPr>
              <w:pStyle w:val="libFootnote0"/>
              <w:rPr>
                <w:rStyle w:val="libFootnote0Char"/>
                <w:rtl/>
              </w:rPr>
            </w:pPr>
            <w:r w:rsidRPr="0042621E">
              <w:rPr>
                <w:rStyle w:val="libFootnote0Char"/>
                <w:rtl/>
              </w:rPr>
              <w:t>(9).</w:t>
            </w:r>
            <w:r w:rsidRPr="005D642E">
              <w:rPr>
                <w:rtl/>
              </w:rPr>
              <w:t xml:space="preserve"> في « جن » : « أبي عبدالله »</w:t>
            </w:r>
            <w:r>
              <w:rPr>
                <w:rtl/>
              </w:rPr>
              <w:t>.</w:t>
            </w:r>
          </w:p>
        </w:tc>
        <w:tc>
          <w:tcPr>
            <w:tcW w:w="4006" w:type="dxa"/>
          </w:tcPr>
          <w:p w:rsidR="00FA72D6" w:rsidRDefault="00FA72D6" w:rsidP="00E3253D">
            <w:pPr>
              <w:pStyle w:val="libFootnote0"/>
              <w:rPr>
                <w:rStyle w:val="libFootnote0Char"/>
                <w:rtl/>
              </w:rPr>
            </w:pPr>
            <w:r w:rsidRPr="0042621E">
              <w:rPr>
                <w:rStyle w:val="libFootnote0Char"/>
                <w:rtl/>
              </w:rPr>
              <w:t>(10).</w:t>
            </w:r>
            <w:r w:rsidRPr="005D642E">
              <w:rPr>
                <w:rtl/>
              </w:rPr>
              <w:t xml:space="preserve"> في « بخ » : « وأصابت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بخ ، بس » وحاشية « بح » </w:t>
      </w:r>
      <w:r w:rsidR="000D749A" w:rsidRPr="000D749A">
        <w:rPr>
          <w:rStyle w:val="libFootnoteBoldChar"/>
          <w:rtl/>
        </w:rPr>
        <w:t>والوافي</w:t>
      </w:r>
      <w:r w:rsidR="00E3253D" w:rsidRPr="005D642E">
        <w:rPr>
          <w:rtl/>
        </w:rPr>
        <w:t xml:space="preserve"> : « وأصابت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فَقُلْتُ : بَلى ، فَقَالَ : « لَا بَأْسَ ؛ إِنَّ الْأَرْضَ يُطَهِّرُ </w:t>
      </w:r>
      <w:r w:rsidRPr="007C12DB">
        <w:rPr>
          <w:rStyle w:val="libFootnotenumChar"/>
          <w:rtl/>
        </w:rPr>
        <w:t>(1)</w:t>
      </w:r>
      <w:r w:rsidRPr="005D642E">
        <w:rPr>
          <w:rtl/>
          <w:lang w:bidi="fa-IR"/>
        </w:rPr>
        <w:t xml:space="preserve"> بَعْضُهَا بَعْضاً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D947E0">
        <w:rPr>
          <w:rtl/>
        </w:rPr>
        <w:t>3987</w:t>
      </w:r>
      <w:r w:rsidRPr="00246318">
        <w:rPr>
          <w:rStyle w:val="libBold2Char"/>
          <w:rtl/>
        </w:rPr>
        <w:t xml:space="preserve"> / 3.</w:t>
      </w:r>
      <w:r w:rsidRPr="005D642E">
        <w:rPr>
          <w:rtl/>
          <w:lang w:bidi="fa-IR"/>
        </w:rPr>
        <w:t xml:space="preserve"> مُحَمَّدُ بْنُ إِسْمَاعِيلَ ، عَنِ الْفَضْلِ بْنِ شَاذَانَ ، عَنْ صَفْوَانَ ، عَنْ إِسْحَاقَ بْنِ عَمَّارٍ ، عَنْ مُحَمَّدٍ الْحَلَبِيِّ ، قَالَ :</w:t>
      </w:r>
    </w:p>
    <w:p w:rsidR="00E3253D" w:rsidRPr="005D642E" w:rsidRDefault="00E3253D" w:rsidP="00E3253D">
      <w:pPr>
        <w:pStyle w:val="libNormal"/>
        <w:rPr>
          <w:rtl/>
          <w:lang w:bidi="fa-IR"/>
        </w:rPr>
      </w:pPr>
      <w:r w:rsidRPr="005D642E">
        <w:rPr>
          <w:rtl/>
          <w:lang w:bidi="fa-IR"/>
        </w:rPr>
        <w:t xml:space="preserve">نَزَلْنَا فِي مَكَانٍ </w:t>
      </w:r>
      <w:r w:rsidRPr="007C12DB">
        <w:rPr>
          <w:rStyle w:val="libFootnotenumChar"/>
          <w:rtl/>
        </w:rPr>
        <w:t>(4)</w:t>
      </w:r>
      <w:r w:rsidRPr="005D642E">
        <w:rPr>
          <w:rtl/>
          <w:lang w:bidi="fa-IR"/>
        </w:rPr>
        <w:t xml:space="preserve"> بَيْنَنَا وَبَيْنَ الْمَسْجِدِ زُقَاقٌ قَذَرٌ ، فَدَخَلْتُ عَلى أَبِي عَبْدِ اللهِ </w:t>
      </w:r>
      <w:r w:rsidRPr="00AC51C5">
        <w:rPr>
          <w:rStyle w:val="libAlaemChar"/>
          <w:rtl/>
        </w:rPr>
        <w:t>عليه‌السلام</w:t>
      </w:r>
      <w:r w:rsidRPr="005D642E">
        <w:rPr>
          <w:rtl/>
          <w:lang w:bidi="fa-IR"/>
        </w:rPr>
        <w:t xml:space="preserve"> ، فَقَالَ : « أَيْنَ نَزَلْتُمْ » فَقُلْتُ : نَزَلْنَا فِي دَارِ فُلَانٍ ، فَقَالَ : « إِنَّ بَيْنَكُمْ وَبَيْنَ الْمَسْجِدِ زُقَاقاً قَذَراً » أَوْ قُلْنَا لَهُ </w:t>
      </w:r>
      <w:r w:rsidRPr="007C12DB">
        <w:rPr>
          <w:rStyle w:val="libFootnotenumChar"/>
          <w:rtl/>
        </w:rPr>
        <w:t>(5)</w:t>
      </w:r>
      <w:r w:rsidRPr="005D642E">
        <w:rPr>
          <w:rtl/>
          <w:lang w:bidi="fa-IR"/>
        </w:rPr>
        <w:t xml:space="preserve"> : إِنَّ بَيْنَنَا وَبَيْنَ الْمَسْجِدِ زُقَاقاً </w:t>
      </w:r>
      <w:r w:rsidRPr="007C12DB">
        <w:rPr>
          <w:rStyle w:val="libFootnotenumChar"/>
          <w:rtl/>
        </w:rPr>
        <w:t>(6)</w:t>
      </w:r>
      <w:r w:rsidRPr="005D642E">
        <w:rPr>
          <w:rtl/>
          <w:lang w:bidi="fa-IR"/>
        </w:rPr>
        <w:t xml:space="preserve"> قَذَراً ، فَقَالَ : « لَا بَأْسَ </w:t>
      </w:r>
      <w:r w:rsidRPr="007C12DB">
        <w:rPr>
          <w:rStyle w:val="libFootnotenumChar"/>
          <w:rtl/>
        </w:rPr>
        <w:t>(7)</w:t>
      </w:r>
      <w:r w:rsidRPr="005D642E">
        <w:rPr>
          <w:rtl/>
          <w:lang w:bidi="fa-IR"/>
        </w:rPr>
        <w:t xml:space="preserve"> ، الْأَرْضُ تُطَهِّرُ </w:t>
      </w:r>
      <w:r w:rsidRPr="007C12DB">
        <w:rPr>
          <w:rStyle w:val="libFootnotenumChar"/>
          <w:rtl/>
        </w:rPr>
        <w:t>(8)</w:t>
      </w:r>
      <w:r w:rsidRPr="005D642E">
        <w:rPr>
          <w:rtl/>
          <w:lang w:bidi="fa-IR"/>
        </w:rPr>
        <w:t xml:space="preserve"> بَعْضُهَا بَعْضاً »</w:t>
      </w:r>
      <w:r>
        <w:rPr>
          <w:rtl/>
          <w:lang w:bidi="fa-IR"/>
        </w:rPr>
        <w:t>.</w:t>
      </w:r>
    </w:p>
    <w:p w:rsidR="00E3253D" w:rsidRPr="005D642E" w:rsidRDefault="00E3253D" w:rsidP="00E3253D">
      <w:pPr>
        <w:pStyle w:val="libNormal"/>
        <w:rPr>
          <w:rtl/>
          <w:lang w:bidi="fa-IR"/>
        </w:rPr>
      </w:pPr>
      <w:r w:rsidRPr="005D642E">
        <w:rPr>
          <w:rtl/>
          <w:lang w:bidi="fa-IR"/>
        </w:rPr>
        <w:t xml:space="preserve">قُلْتُ : وَالسِّرْقِينُ </w:t>
      </w:r>
      <w:r w:rsidRPr="007C12DB">
        <w:rPr>
          <w:rStyle w:val="libFootnotenumChar"/>
          <w:rtl/>
        </w:rPr>
        <w:t>(9)</w:t>
      </w:r>
      <w:r w:rsidRPr="005D642E">
        <w:rPr>
          <w:rtl/>
          <w:lang w:bidi="fa-IR"/>
        </w:rPr>
        <w:t xml:space="preserve"> الرَّطْبُ أَطَأُ عَلَيْهِ</w:t>
      </w:r>
      <w:r>
        <w:rPr>
          <w:rtl/>
          <w:lang w:bidi="fa-IR"/>
        </w:rPr>
        <w:t>؟</w:t>
      </w:r>
      <w:r w:rsidRPr="005D642E">
        <w:rPr>
          <w:rtl/>
          <w:lang w:bidi="fa-IR"/>
        </w:rPr>
        <w:t xml:space="preserve"> فَقَالَ : « لَا يَضُرُّكَ مِثْلُهُ »</w:t>
      </w:r>
      <w:r>
        <w:rPr>
          <w:rtl/>
          <w:lang w:bidi="fa-IR"/>
        </w:rPr>
        <w:t>.</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D947E0">
        <w:rPr>
          <w:rtl/>
        </w:rPr>
        <w:t>3988</w:t>
      </w:r>
      <w:r w:rsidRPr="00246318">
        <w:rPr>
          <w:rStyle w:val="libBold2Char"/>
          <w:rtl/>
        </w:rPr>
        <w:t xml:space="preserve"> / 4.</w:t>
      </w:r>
      <w:r w:rsidRPr="005D642E">
        <w:rPr>
          <w:rtl/>
          <w:lang w:bidi="fa-IR"/>
        </w:rPr>
        <w:t xml:space="preserve"> عَلِيُّ بْنُ مُحَمَّدٍ ، عَنْ سَهْلِ بْنِ زِيَادٍ </w:t>
      </w:r>
      <w:r w:rsidRPr="007C12DB">
        <w:rPr>
          <w:rStyle w:val="libFootnotenumChar"/>
          <w:rtl/>
        </w:rPr>
        <w:t>(11)</w:t>
      </w:r>
      <w:r w:rsidRPr="005D642E">
        <w:rPr>
          <w:rtl/>
          <w:lang w:bidi="fa-IR"/>
        </w:rPr>
        <w:t xml:space="preserve"> ، عَنْ مُحَمَّدِ بْنِ سِنَانٍ ، عَنِ ابْنِ مُسْكَانَ ، عَنِ الْحَلَبِيِّ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 ى ، بح ، بس ، بف ، جن » </w:t>
      </w:r>
      <w:r w:rsidR="000D749A" w:rsidRPr="000D749A">
        <w:rPr>
          <w:rStyle w:val="libFootnoteBoldChar"/>
          <w:rtl/>
        </w:rPr>
        <w:t>والوافي</w:t>
      </w:r>
      <w:r w:rsidR="00E3253D" w:rsidRPr="005D642E">
        <w:rPr>
          <w:rtl/>
        </w:rPr>
        <w:t xml:space="preserve"> والوسائل وفي سائر النسخ والمطبوع : « تطهّر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الحبل المتين</w:t>
      </w:r>
      <w:r w:rsidR="00E3253D" w:rsidRPr="005D642E">
        <w:rPr>
          <w:rtl/>
        </w:rPr>
        <w:t xml:space="preserve"> ، ص 416 : « لعلّ المراد بالأرض</w:t>
      </w:r>
      <w:r w:rsidR="00E3253D">
        <w:rPr>
          <w:rtl/>
        </w:rPr>
        <w:t xml:space="preserve"> ..</w:t>
      </w:r>
      <w:r w:rsidR="00E3253D" w:rsidRPr="005D642E">
        <w:rPr>
          <w:rtl/>
        </w:rPr>
        <w:t>. ما يشمل نفس الأرض وما عليها من القدم والنعل والخفّ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الوجه في هذا التطهير انتقال النجاسة بالوطي عليها من موضع إلى آخر مرّة بعد ا</w:t>
      </w:r>
      <w:r w:rsidR="00F36F8C">
        <w:rPr>
          <w:rFonts w:hint="cs"/>
          <w:rtl/>
        </w:rPr>
        <w:t>ُ</w:t>
      </w:r>
      <w:r w:rsidR="00E3253D" w:rsidRPr="005D642E">
        <w:rPr>
          <w:rtl/>
        </w:rPr>
        <w:t xml:space="preserve">خرى ، حتّى يستحيل ولا يبقى منها شي‌ء » ، وقيل غير ذلك. وكذا الكلام في الحديث الآتي. راجع : </w:t>
      </w:r>
      <w:r w:rsidR="00E3253D" w:rsidRPr="002F4D34">
        <w:rPr>
          <w:rStyle w:val="libFootnoteBoldChar"/>
          <w:rtl/>
        </w:rPr>
        <w:t>مرآة العقول</w:t>
      </w:r>
      <w:r w:rsidR="00E3253D" w:rsidRPr="005D642E">
        <w:rPr>
          <w:rtl/>
        </w:rPr>
        <w:t xml:space="preserve"> ، ج 13 ، ص 122.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225 ، ح 4160 ؛ </w:t>
      </w:r>
      <w:r w:rsidR="00E3253D" w:rsidRPr="002F4D34">
        <w:rPr>
          <w:rStyle w:val="libFootnoteBoldChar"/>
          <w:rtl/>
        </w:rPr>
        <w:t>الوسائل</w:t>
      </w:r>
      <w:r w:rsidR="00E3253D" w:rsidRPr="005D642E">
        <w:rPr>
          <w:rtl/>
        </w:rPr>
        <w:t xml:space="preserve"> ، ج 3 ، ص 457 ، ح 4166.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مكاناً » بدل « في مكان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له »</w:t>
      </w:r>
      <w:r w:rsidR="00E3253D">
        <w:rPr>
          <w:rtl/>
        </w:rPr>
        <w:t>.</w:t>
      </w:r>
    </w:p>
    <w:p w:rsidR="00E3253D" w:rsidRPr="005D642E" w:rsidRDefault="0042621E" w:rsidP="00875540">
      <w:pPr>
        <w:pStyle w:val="libFootnote0"/>
        <w:rPr>
          <w:rtl/>
          <w:lang w:bidi="fa-IR"/>
        </w:rPr>
      </w:pPr>
      <w:r w:rsidRPr="0042621E">
        <w:rPr>
          <w:rStyle w:val="libFootnote0Char"/>
          <w:rtl/>
        </w:rPr>
        <w:t>(6).</w:t>
      </w:r>
      <w:r w:rsidR="00E3253D" w:rsidRPr="005D642E">
        <w:rPr>
          <w:rtl/>
        </w:rPr>
        <w:t xml:space="preserve"> الزُقاق : السِكّة يذكّر ويؤنّث ، والسِكّة هي الطريقة المصطفّة من النخل. وقيل : الزقاق : طريق دون السكّة ، ضيّق نافذ أو غير نافذ. راجع : </w:t>
      </w:r>
      <w:r w:rsidR="00E3253D" w:rsidRPr="002F4D34">
        <w:rPr>
          <w:rStyle w:val="libFootnoteBoldChar"/>
          <w:rtl/>
        </w:rPr>
        <w:t>ترتيب كتاب العين</w:t>
      </w:r>
      <w:r w:rsidR="00E3253D" w:rsidRPr="005D642E">
        <w:rPr>
          <w:rtl/>
        </w:rPr>
        <w:t xml:space="preserve"> ، ج 2 ، ص 756 ؛ </w:t>
      </w:r>
      <w:r w:rsidR="00E3253D" w:rsidRPr="002F4D34">
        <w:rPr>
          <w:rStyle w:val="libFootnoteBoldChar"/>
          <w:rtl/>
        </w:rPr>
        <w:t>الصحاح</w:t>
      </w:r>
      <w:r w:rsidR="00E3253D" w:rsidRPr="005D642E">
        <w:rPr>
          <w:rtl/>
        </w:rPr>
        <w:t xml:space="preserve"> ، ج 4 ، ص 1491 ( زقق ) ؛ وص 1591 ( سكك )</w:t>
      </w:r>
      <w:r w:rsidR="00E3253D">
        <w:rPr>
          <w:rtl/>
        </w:rPr>
        <w:t>.</w:t>
      </w:r>
      <w:r w:rsidR="00875540">
        <w:rPr>
          <w:rFonts w:hint="cs"/>
          <w:rtl/>
        </w:rPr>
        <w:t xml:space="preserve">                                   </w:t>
      </w:r>
      <w:r w:rsidRPr="0042621E">
        <w:rPr>
          <w:rStyle w:val="libFootnote0Char"/>
          <w:rtl/>
        </w:rPr>
        <w:t>(7).</w:t>
      </w:r>
      <w:r w:rsidR="00E3253D" w:rsidRPr="005D642E">
        <w:rPr>
          <w:rtl/>
        </w:rPr>
        <w:t xml:space="preserve"> في « بخ ، جس » : + « إنّ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 ظ ، ى ، بح ، بخ ، بس ، بف ، جح ، جس » </w:t>
      </w:r>
      <w:r w:rsidR="000D749A" w:rsidRPr="000D749A">
        <w:rPr>
          <w:rStyle w:val="libFootnoteBoldChar"/>
          <w:rtl/>
        </w:rPr>
        <w:t>والوافي</w:t>
      </w:r>
      <w:r w:rsidR="00E3253D" w:rsidRPr="005D642E">
        <w:rPr>
          <w:rtl/>
        </w:rPr>
        <w:t xml:space="preserve"> وفي سائر النسخ والمطبوع : « تطهّر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والوسائل ، ص 4168 : « فالسرقين »</w:t>
      </w:r>
      <w:r w:rsidR="00E3253D">
        <w:rPr>
          <w:rtl/>
        </w:rPr>
        <w:t>.</w:t>
      </w:r>
    </w:p>
    <w:p w:rsidR="00E3253D" w:rsidRPr="005D642E" w:rsidRDefault="0042621E" w:rsidP="00875540">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6 ، ص 226 ، ح 4161 ؛ </w:t>
      </w:r>
      <w:r w:rsidR="00E3253D" w:rsidRPr="002F4D34">
        <w:rPr>
          <w:rStyle w:val="libFootnoteBoldChar"/>
          <w:rtl/>
        </w:rPr>
        <w:t>الوسائل</w:t>
      </w:r>
      <w:r w:rsidR="00E3253D" w:rsidRPr="005D642E">
        <w:rPr>
          <w:rtl/>
        </w:rPr>
        <w:t xml:space="preserve"> ، ج 3 ، ص 407 ، ح 3996 ، من قوله : « السرقين الرطب » ؛ وص 458 ، ح 4168.</w:t>
      </w:r>
      <w:r w:rsidR="00875540">
        <w:rPr>
          <w:rFonts w:hint="cs"/>
          <w:rtl/>
        </w:rPr>
        <w:t xml:space="preserve">                       </w:t>
      </w:r>
      <w:r w:rsidRPr="0042621E">
        <w:rPr>
          <w:rStyle w:val="libFootnote0Char"/>
          <w:rtl/>
        </w:rPr>
        <w:t>(11).</w:t>
      </w:r>
      <w:r w:rsidR="00E3253D" w:rsidRPr="005D642E">
        <w:rPr>
          <w:rtl/>
        </w:rPr>
        <w:t xml:space="preserve"> في « ظ » :</w:t>
      </w:r>
      <w:r w:rsidR="00E3253D">
        <w:rPr>
          <w:rtl/>
        </w:rPr>
        <w:t xml:space="preserve"> </w:t>
      </w:r>
      <w:r w:rsidR="007642BC">
        <w:rPr>
          <w:rtl/>
        </w:rPr>
        <w:t>-</w:t>
      </w:r>
      <w:r w:rsidR="00E3253D">
        <w:rPr>
          <w:rtl/>
        </w:rPr>
        <w:t xml:space="preserve"> </w:t>
      </w:r>
      <w:r w:rsidR="00E3253D" w:rsidRPr="005D642E">
        <w:rPr>
          <w:rtl/>
        </w:rPr>
        <w:t>« بن زياد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فِي الرَّجُلِ يَطَأُ فِي الْعَذِرَةِ أَوِ </w:t>
      </w:r>
      <w:r w:rsidRPr="007C12DB">
        <w:rPr>
          <w:rStyle w:val="libFootnotenumChar"/>
          <w:rtl/>
        </w:rPr>
        <w:t>(1)</w:t>
      </w:r>
      <w:r>
        <w:rPr>
          <w:rtl/>
          <w:lang w:bidi="fa-IR"/>
        </w:rPr>
        <w:t xml:space="preserve"> الْبَوْلِ ، أَ</w:t>
      </w:r>
      <w:r w:rsidRPr="005D642E">
        <w:rPr>
          <w:rtl/>
          <w:lang w:bidi="fa-IR"/>
        </w:rPr>
        <w:t>يُعِيدُ الْوُضُوءَ</w:t>
      </w:r>
      <w:r>
        <w:rPr>
          <w:rtl/>
          <w:lang w:bidi="fa-IR"/>
        </w:rPr>
        <w:t>؟</w:t>
      </w:r>
    </w:p>
    <w:p w:rsidR="00E3253D" w:rsidRPr="005D642E" w:rsidRDefault="00E3253D" w:rsidP="00E3253D">
      <w:pPr>
        <w:pStyle w:val="libNormal"/>
        <w:rPr>
          <w:rtl/>
          <w:lang w:bidi="fa-IR"/>
        </w:rPr>
      </w:pPr>
      <w:r w:rsidRPr="005D642E">
        <w:rPr>
          <w:rtl/>
          <w:lang w:bidi="fa-IR"/>
        </w:rPr>
        <w:t>قَالَ : « لَا ، وَلكِنْ يَغْسِلُ مَا أَصَابَهُ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D37307" w:rsidP="009B389D">
      <w:pPr>
        <w:pStyle w:val="libNormal"/>
        <w:rPr>
          <w:rtl/>
          <w:lang w:bidi="fa-IR"/>
        </w:rPr>
      </w:pPr>
      <w:r>
        <w:rPr>
          <w:rFonts w:hint="cs"/>
          <w:rtl/>
          <w:lang w:bidi="fa-IR"/>
        </w:rPr>
        <w:t xml:space="preserve">* </w:t>
      </w:r>
      <w:r w:rsidR="00E3253D" w:rsidRPr="005D642E">
        <w:rPr>
          <w:rtl/>
          <w:lang w:bidi="fa-IR"/>
        </w:rPr>
        <w:t xml:space="preserve">وَفِي رِوَايَةٍ أُخْرى « إِذَا كَانَ جَافّاً فَلَا يَغْسِلُهُ </w:t>
      </w:r>
      <w:r w:rsidR="00E3253D" w:rsidRPr="007C12DB">
        <w:rPr>
          <w:rStyle w:val="libFootnotenumChar"/>
          <w:rtl/>
        </w:rPr>
        <w:t>(3)</w:t>
      </w:r>
      <w:r w:rsidR="00E3253D" w:rsidRPr="005D642E">
        <w:rPr>
          <w:rtl/>
          <w:lang w:bidi="fa-IR"/>
        </w:rPr>
        <w:t xml:space="preserve"> »</w:t>
      </w:r>
      <w:r w:rsidR="00E3253D">
        <w:rPr>
          <w:rtl/>
          <w:lang w:bidi="fa-IR"/>
        </w:rPr>
        <w:t>.</w:t>
      </w:r>
      <w:r w:rsidR="00E3253D" w:rsidRPr="005D642E">
        <w:rPr>
          <w:rtl/>
          <w:lang w:bidi="fa-IR"/>
        </w:rPr>
        <w:t xml:space="preserve"> </w:t>
      </w:r>
      <w:r w:rsidR="00E3253D" w:rsidRPr="007C12DB">
        <w:rPr>
          <w:rStyle w:val="libFootnotenumChar"/>
          <w:rtl/>
        </w:rPr>
        <w:t>(4)</w:t>
      </w:r>
      <w:r w:rsidR="00E3253D" w:rsidRPr="005D642E">
        <w:rPr>
          <w:rtl/>
          <w:lang w:bidi="fa-IR"/>
        </w:rPr>
        <w:t xml:space="preserve"> </w:t>
      </w:r>
    </w:p>
    <w:p w:rsidR="00E3253D" w:rsidRPr="005D642E" w:rsidRDefault="00E3253D" w:rsidP="00E3253D">
      <w:pPr>
        <w:pStyle w:val="libNormal"/>
        <w:rPr>
          <w:rtl/>
          <w:lang w:bidi="fa-IR"/>
        </w:rPr>
      </w:pPr>
      <w:r w:rsidRPr="00D947E0">
        <w:rPr>
          <w:rtl/>
        </w:rPr>
        <w:t>3989</w:t>
      </w:r>
      <w:r w:rsidRPr="00246318">
        <w:rPr>
          <w:rStyle w:val="libBold2Char"/>
          <w:rtl/>
        </w:rPr>
        <w:t xml:space="preserve"> / 5.</w:t>
      </w:r>
      <w:r w:rsidRPr="005D642E">
        <w:rPr>
          <w:rtl/>
          <w:lang w:bidi="fa-IR"/>
        </w:rPr>
        <w:t xml:space="preserve"> عَلِيُّ بْنُ إِبْرَاهِيمَ ، عَنْ أَبِيهِ ، عَنِ ابْنِ أَبِي عُمَيْرٍ ، عَنْ جَمِيلِ بْنِ دَرَّاجٍ ، عَنِ الْمُعَلَّى بْنِ خُنَيْسٍ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الْخِنْزِيرِ يَخْرُجُ مِنَ الْمَاءِ ، فَيَمُرُّ عَلَى </w:t>
      </w:r>
      <w:r w:rsidRPr="007C12DB">
        <w:rPr>
          <w:rStyle w:val="libFootnotenumChar"/>
          <w:rtl/>
        </w:rPr>
        <w:t>(5)</w:t>
      </w:r>
      <w:r w:rsidRPr="005D642E">
        <w:rPr>
          <w:rtl/>
          <w:lang w:bidi="fa-IR"/>
        </w:rPr>
        <w:t xml:space="preserve"> الطَّرِيقِ ، فَيَسِيلُ مِنْهُ الْمَاءُ </w:t>
      </w:r>
      <w:r w:rsidRPr="007C12DB">
        <w:rPr>
          <w:rStyle w:val="libFootnotenumChar"/>
          <w:rtl/>
        </w:rPr>
        <w:t>(6)</w:t>
      </w:r>
      <w:r w:rsidRPr="005D642E">
        <w:rPr>
          <w:rtl/>
          <w:lang w:bidi="fa-IR"/>
        </w:rPr>
        <w:t xml:space="preserve"> أَمُرُّ عَلَيْهِ حَافِياً</w:t>
      </w:r>
      <w:r>
        <w:rPr>
          <w:rtl/>
          <w:lang w:bidi="fa-IR"/>
        </w:rPr>
        <w:t>؟</w:t>
      </w:r>
    </w:p>
    <w:p w:rsidR="00E3253D" w:rsidRPr="005D642E" w:rsidRDefault="00E3253D" w:rsidP="00E3253D">
      <w:pPr>
        <w:pStyle w:val="libNormal"/>
        <w:rPr>
          <w:rtl/>
          <w:lang w:bidi="fa-IR"/>
        </w:rPr>
      </w:pPr>
      <w:r w:rsidRPr="005D642E">
        <w:rPr>
          <w:rtl/>
          <w:lang w:bidi="fa-IR"/>
        </w:rPr>
        <w:t xml:space="preserve">فَقَالَ </w:t>
      </w:r>
      <w:r>
        <w:rPr>
          <w:rtl/>
          <w:lang w:bidi="fa-IR"/>
        </w:rPr>
        <w:t>: « أَ</w:t>
      </w:r>
      <w:r w:rsidRPr="005D642E">
        <w:rPr>
          <w:rtl/>
          <w:lang w:bidi="fa-IR"/>
        </w:rPr>
        <w:t>لَيْسَ وَرَاءَهُ شَيْ‌ءٌ جَافٌّ</w:t>
      </w:r>
      <w:r>
        <w:rPr>
          <w:rtl/>
          <w:lang w:bidi="fa-IR"/>
        </w:rPr>
        <w:t>؟</w:t>
      </w:r>
      <w:r w:rsidRPr="005D642E">
        <w:rPr>
          <w:rtl/>
          <w:lang w:bidi="fa-IR"/>
        </w:rPr>
        <w:t xml:space="preserve"> » قُلْتُ : بَلى ، قَالَ : « فَلَا بَأْسَ ؛ إِنَّ الْأَرْضَ يُطَهِّرُ </w:t>
      </w:r>
      <w:r w:rsidRPr="007C12DB">
        <w:rPr>
          <w:rStyle w:val="libFootnotenumChar"/>
          <w:rtl/>
        </w:rPr>
        <w:t>(7)</w:t>
      </w:r>
      <w:r w:rsidRPr="005D642E">
        <w:rPr>
          <w:rtl/>
          <w:lang w:bidi="fa-IR"/>
        </w:rPr>
        <w:t xml:space="preserve"> بَعْضُهَا بَعْضاً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93" w:name="_Toc344647241"/>
      <w:bookmarkStart w:id="94" w:name="_Toc462226756"/>
      <w:bookmarkStart w:id="95" w:name="_Toc40975864"/>
      <w:r w:rsidRPr="005D642E">
        <w:rPr>
          <w:rtl/>
          <w:lang w:bidi="fa-IR"/>
        </w:rPr>
        <w:t>25</w:t>
      </w:r>
      <w:r>
        <w:rPr>
          <w:rtl/>
          <w:lang w:bidi="fa-IR"/>
        </w:rPr>
        <w:t xml:space="preserve"> </w:t>
      </w:r>
      <w:r w:rsidR="007642BC">
        <w:rPr>
          <w:rtl/>
          <w:lang w:bidi="fa-IR"/>
        </w:rPr>
        <w:t>-</w:t>
      </w:r>
      <w:r>
        <w:rPr>
          <w:rtl/>
          <w:lang w:bidi="fa-IR"/>
        </w:rPr>
        <w:t xml:space="preserve"> </w:t>
      </w:r>
      <w:r w:rsidRPr="005D642E">
        <w:rPr>
          <w:rtl/>
          <w:lang w:bidi="fa-IR"/>
        </w:rPr>
        <w:t xml:space="preserve">بَابُ الْمَذْيِ وَالْوَدْيِ </w:t>
      </w:r>
      <w:r w:rsidRPr="007C12DB">
        <w:rPr>
          <w:rStyle w:val="libFootnotenumChar"/>
          <w:rtl/>
        </w:rPr>
        <w:t>(9)</w:t>
      </w:r>
      <w:r w:rsidRPr="005D642E">
        <w:rPr>
          <w:rtl/>
          <w:lang w:bidi="fa-IR"/>
        </w:rPr>
        <w:t xml:space="preserve"> ‌</w:t>
      </w:r>
      <w:bookmarkEnd w:id="93"/>
      <w:bookmarkEnd w:id="94"/>
      <w:bookmarkEnd w:id="95"/>
    </w:p>
    <w:p w:rsidR="00E3253D" w:rsidRPr="005D642E" w:rsidRDefault="00E3253D" w:rsidP="00E3253D">
      <w:pPr>
        <w:pStyle w:val="libNormal"/>
        <w:rPr>
          <w:rtl/>
          <w:lang w:bidi="fa-IR"/>
        </w:rPr>
      </w:pPr>
      <w:r w:rsidRPr="00D947E0">
        <w:rPr>
          <w:rtl/>
        </w:rPr>
        <w:t>3990</w:t>
      </w:r>
      <w:r w:rsidRPr="00246318">
        <w:rPr>
          <w:rStyle w:val="libBold2Char"/>
          <w:rtl/>
        </w:rPr>
        <w:t xml:space="preserve"> / 1.</w:t>
      </w:r>
      <w:r w:rsidRPr="005D642E">
        <w:rPr>
          <w:rtl/>
          <w:lang w:bidi="fa-IR"/>
        </w:rPr>
        <w:t xml:space="preserve"> عَلِيُّ بْنُ إِبْرَاهِيمَ ، عَنْ أَبِيهِ ، عَنْ حَمَّادٍ ، عَنْ حَرِيزٍ ، عَنْ زُرَارَةَ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سَالَ مِنْ ذَكَرِكَ شَيْ‌ءٌ </w:t>
      </w:r>
      <w:r w:rsidRPr="007C12DB">
        <w:rPr>
          <w:rStyle w:val="libFootnotenumChar"/>
          <w:rtl/>
        </w:rPr>
        <w:t>(10)</w:t>
      </w:r>
      <w:r w:rsidRPr="005D642E">
        <w:rPr>
          <w:rtl/>
          <w:lang w:bidi="fa-IR"/>
        </w:rPr>
        <w:t xml:space="preserve"> مِنْ </w:t>
      </w:r>
      <w:r w:rsidRPr="007C12DB">
        <w:rPr>
          <w:rStyle w:val="libFootnotenumChar"/>
          <w:rtl/>
        </w:rPr>
        <w:t>(11)</w:t>
      </w:r>
      <w:r w:rsidRPr="005D642E">
        <w:rPr>
          <w:rtl/>
          <w:lang w:bidi="fa-IR"/>
        </w:rPr>
        <w:t xml:space="preserve"> مَذْيٍ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 « </w:t>
      </w:r>
      <w:r w:rsidR="00E3253D">
        <w:rPr>
          <w:rtl/>
        </w:rPr>
        <w:t>و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6 ، ص 226 ، ح 4162 ؛ </w:t>
      </w:r>
      <w:r w:rsidR="00E3253D" w:rsidRPr="002F4D34">
        <w:rPr>
          <w:rStyle w:val="libFootnoteBoldChar"/>
          <w:rtl/>
        </w:rPr>
        <w:t>الوسائل</w:t>
      </w:r>
      <w:r w:rsidR="00E3253D" w:rsidRPr="005D642E">
        <w:rPr>
          <w:rtl/>
        </w:rPr>
        <w:t xml:space="preserve"> ، ج 1 ، ص 274 ، ح 719 ؛ وج 3 ، ص 444 ، ح 4121.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 فلا تغسله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6 ، ص 226 ، ح 4163 ؛ </w:t>
      </w:r>
      <w:r w:rsidR="00E3253D" w:rsidRPr="002F4D34">
        <w:rPr>
          <w:rStyle w:val="libFootnoteBoldChar"/>
          <w:rtl/>
        </w:rPr>
        <w:t>الوسائل</w:t>
      </w:r>
      <w:r w:rsidR="00E3253D" w:rsidRPr="005D642E">
        <w:rPr>
          <w:rtl/>
        </w:rPr>
        <w:t xml:space="preserve"> ، ج 3 ، ص 444 ، ح 4122.</w:t>
      </w:r>
    </w:p>
    <w:tbl>
      <w:tblPr>
        <w:tblStyle w:val="TableGrid"/>
        <w:bidiVisual/>
        <w:tblW w:w="0" w:type="auto"/>
        <w:tblLook w:val="04A0" w:firstRow="1" w:lastRow="0" w:firstColumn="1" w:lastColumn="0" w:noHBand="0" w:noVBand="1"/>
      </w:tblPr>
      <w:tblGrid>
        <w:gridCol w:w="4006"/>
        <w:gridCol w:w="4006"/>
      </w:tblGrid>
      <w:tr w:rsidR="009B389D" w:rsidTr="009B389D">
        <w:tc>
          <w:tcPr>
            <w:tcW w:w="4006" w:type="dxa"/>
          </w:tcPr>
          <w:p w:rsidR="009B389D" w:rsidRDefault="009B389D" w:rsidP="00E3253D">
            <w:pPr>
              <w:pStyle w:val="libFootnote0"/>
              <w:rPr>
                <w:rStyle w:val="libFootnote0Char"/>
                <w:rtl/>
              </w:rPr>
            </w:pPr>
            <w:r w:rsidRPr="0042621E">
              <w:rPr>
                <w:rStyle w:val="libFootnote0Char"/>
                <w:rtl/>
              </w:rPr>
              <w:t>(5).</w:t>
            </w:r>
            <w:r w:rsidRPr="005D642E">
              <w:rPr>
                <w:rtl/>
              </w:rPr>
              <w:t xml:space="preserve"> في « جس » وحاشية « جح » : « في »</w:t>
            </w:r>
            <w:r>
              <w:rPr>
                <w:rtl/>
              </w:rPr>
              <w:t>.</w:t>
            </w:r>
          </w:p>
        </w:tc>
        <w:tc>
          <w:tcPr>
            <w:tcW w:w="4006" w:type="dxa"/>
          </w:tcPr>
          <w:p w:rsidR="009B389D" w:rsidRDefault="009B389D" w:rsidP="00E3253D">
            <w:pPr>
              <w:pStyle w:val="libFootnote0"/>
              <w:rPr>
                <w:rStyle w:val="libFootnote0Char"/>
                <w:rtl/>
              </w:rPr>
            </w:pPr>
            <w:r w:rsidRPr="0042621E">
              <w:rPr>
                <w:rStyle w:val="libFootnote0Char"/>
                <w:rtl/>
              </w:rPr>
              <w:t>(6).</w:t>
            </w:r>
            <w:r w:rsidRPr="005D642E">
              <w:rPr>
                <w:rtl/>
              </w:rPr>
              <w:t xml:space="preserve"> في « بح ، جن » : + « </w:t>
            </w:r>
            <w:r>
              <w:rPr>
                <w:rtl/>
              </w:rPr>
              <w:t>و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 ى ، بث ، بح ، بخ ، بس ، بف ، جح ، جس » </w:t>
      </w:r>
      <w:r w:rsidR="000D749A" w:rsidRPr="000D749A">
        <w:rPr>
          <w:rStyle w:val="libFootnoteBoldChar"/>
          <w:rtl/>
        </w:rPr>
        <w:t>والوافي</w:t>
      </w:r>
      <w:r w:rsidR="00E3253D" w:rsidRPr="005D642E">
        <w:rPr>
          <w:rtl/>
        </w:rPr>
        <w:t xml:space="preserve"> والوسائل وفي سائرالنسخ والمطبوع : « تطهّر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6 ، ص 226 ، ح 4164 ؛ </w:t>
      </w:r>
      <w:r w:rsidR="00E3253D" w:rsidRPr="002F4D34">
        <w:rPr>
          <w:rStyle w:val="libFootnoteBoldChar"/>
          <w:rtl/>
        </w:rPr>
        <w:t>الوسائل</w:t>
      </w:r>
      <w:r w:rsidR="00E3253D" w:rsidRPr="005D642E">
        <w:rPr>
          <w:rtl/>
        </w:rPr>
        <w:t xml:space="preserve"> ، ج 3 ، ص 458 ، ح 4167.</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ى ، بث ، بس ، جح ، جس ، جن » : « والوذي » بالذال المعجمة. قال في </w:t>
      </w:r>
      <w:r w:rsidR="00E3253D" w:rsidRPr="002F4D34">
        <w:rPr>
          <w:rStyle w:val="libFootnoteBoldChar"/>
          <w:rtl/>
        </w:rPr>
        <w:t>لسان العرب</w:t>
      </w:r>
      <w:r w:rsidR="00E3253D" w:rsidRPr="005D642E">
        <w:rPr>
          <w:rtl/>
        </w:rPr>
        <w:t xml:space="preserve"> ، ج 15 ، ص 386 ( وذي ) : « هو ال</w:t>
      </w:r>
      <w:r w:rsidR="00DD6D97">
        <w:rPr>
          <w:rFonts w:hint="cs"/>
          <w:rtl/>
        </w:rPr>
        <w:t>ـ</w:t>
      </w:r>
      <w:r w:rsidR="00E3253D" w:rsidRPr="005D642E">
        <w:rPr>
          <w:rtl/>
        </w:rPr>
        <w:t>مَنْيُ وال</w:t>
      </w:r>
      <w:r w:rsidR="00DD6D97">
        <w:rPr>
          <w:rFonts w:hint="cs"/>
          <w:rtl/>
        </w:rPr>
        <w:t>ـ</w:t>
      </w:r>
      <w:r w:rsidR="00E3253D" w:rsidRPr="005D642E">
        <w:rPr>
          <w:rtl/>
        </w:rPr>
        <w:t>مَنيُّ »</w:t>
      </w:r>
      <w:r w:rsidR="00E3253D">
        <w:rPr>
          <w:rtl/>
        </w:rPr>
        <w:t>.</w:t>
      </w:r>
      <w:r w:rsidR="00E3253D" w:rsidRPr="005D642E">
        <w:rPr>
          <w:rtl/>
        </w:rPr>
        <w:t xml:space="preserve"> وفي </w:t>
      </w:r>
      <w:r w:rsidR="00E3253D" w:rsidRPr="002F4D34">
        <w:rPr>
          <w:rStyle w:val="libFootnoteBoldChar"/>
          <w:rtl/>
        </w:rPr>
        <w:t>مجمع البحرين</w:t>
      </w:r>
      <w:r w:rsidR="00E3253D" w:rsidRPr="005D642E">
        <w:rPr>
          <w:rtl/>
        </w:rPr>
        <w:t xml:space="preserve"> ، ج 1 ، ص 433 ( وذي ) : « ماء يخرج عقيب إنزال المني »</w:t>
      </w:r>
      <w:r w:rsidR="00E3253D">
        <w:rPr>
          <w:rtl/>
        </w:rPr>
        <w:t>.</w:t>
      </w:r>
    </w:p>
    <w:tbl>
      <w:tblPr>
        <w:tblStyle w:val="TableGrid"/>
        <w:bidiVisual/>
        <w:tblW w:w="0" w:type="auto"/>
        <w:tblLook w:val="04A0" w:firstRow="1" w:lastRow="0" w:firstColumn="1" w:lastColumn="0" w:noHBand="0" w:noVBand="1"/>
      </w:tblPr>
      <w:tblGrid>
        <w:gridCol w:w="4006"/>
        <w:gridCol w:w="4006"/>
      </w:tblGrid>
      <w:tr w:rsidR="007A7852" w:rsidTr="007A7852">
        <w:tc>
          <w:tcPr>
            <w:tcW w:w="4006" w:type="dxa"/>
          </w:tcPr>
          <w:p w:rsidR="007A7852" w:rsidRDefault="007A7852" w:rsidP="00E3253D">
            <w:pPr>
              <w:pStyle w:val="libFootnote0"/>
              <w:rPr>
                <w:rStyle w:val="libFootnote0Char"/>
                <w:rtl/>
              </w:rPr>
            </w:pPr>
            <w:r w:rsidRPr="0042621E">
              <w:rPr>
                <w:rStyle w:val="libFootnote0Char"/>
                <w:rtl/>
              </w:rPr>
              <w:t>(10).</w:t>
            </w:r>
            <w:r w:rsidRPr="005D642E">
              <w:rPr>
                <w:rtl/>
              </w:rPr>
              <w:t xml:space="preserve"> في « بح ، جح » : « شي‌ء من ذكرك »</w:t>
            </w:r>
            <w:r>
              <w:rPr>
                <w:rtl/>
              </w:rPr>
              <w:t>.</w:t>
            </w:r>
          </w:p>
        </w:tc>
        <w:tc>
          <w:tcPr>
            <w:tcW w:w="4006" w:type="dxa"/>
          </w:tcPr>
          <w:p w:rsidR="007A7852" w:rsidRDefault="007A7852" w:rsidP="00E3253D">
            <w:pPr>
              <w:pStyle w:val="libFootnote0"/>
              <w:rPr>
                <w:rStyle w:val="libFootnote0Char"/>
                <w:rtl/>
              </w:rPr>
            </w:pPr>
            <w:r w:rsidRPr="0042621E">
              <w:rPr>
                <w:rStyle w:val="libFootnote0Char"/>
                <w:rtl/>
              </w:rPr>
              <w:t>(11).</w:t>
            </w:r>
            <w:r w:rsidRPr="005D642E">
              <w:rPr>
                <w:rtl/>
              </w:rPr>
              <w:t xml:space="preserve"> في « بح ، جس » :</w:t>
            </w:r>
            <w:r>
              <w:rPr>
                <w:rtl/>
              </w:rPr>
              <w:t xml:space="preserve"> - </w:t>
            </w:r>
            <w:r w:rsidRPr="005D642E">
              <w:rPr>
                <w:rtl/>
              </w:rPr>
              <w:t>« من »</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 « وذي »</w:t>
      </w:r>
      <w:r w:rsidR="00E3253D">
        <w:rPr>
          <w:rtl/>
        </w:rPr>
        <w:t>.</w:t>
      </w:r>
      <w:r w:rsidR="00E3253D" w:rsidRPr="005D642E">
        <w:rPr>
          <w:rtl/>
        </w:rPr>
        <w:t xml:space="preserve"> </w:t>
      </w:r>
      <w:r w:rsidR="00E3253D">
        <w:rPr>
          <w:rtl/>
        </w:rPr>
        <w:t>و «</w:t>
      </w:r>
      <w:r w:rsidR="00E3253D" w:rsidRPr="005D642E">
        <w:rPr>
          <w:rtl/>
        </w:rPr>
        <w:t xml:space="preserve"> ال</w:t>
      </w:r>
      <w:r w:rsidR="00341306">
        <w:rPr>
          <w:rFonts w:hint="cs"/>
          <w:rtl/>
        </w:rPr>
        <w:t>ـ</w:t>
      </w:r>
      <w:r w:rsidR="00E3253D" w:rsidRPr="005D642E">
        <w:rPr>
          <w:rtl/>
        </w:rPr>
        <w:t xml:space="preserve">مَذْي » : الماء الرقيق اللزج الذي يخرج من الذكر عند الملاعبة والتقبيل. وفيه </w:t>
      </w:r>
      <w:r w:rsidR="0034130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أَوْ وَدْيٍ </w:t>
      </w:r>
      <w:r w:rsidRPr="007C12DB">
        <w:rPr>
          <w:rStyle w:val="libFootnotenumChar"/>
          <w:rtl/>
        </w:rPr>
        <w:t>(1)</w:t>
      </w:r>
      <w:r w:rsidRPr="005D642E">
        <w:rPr>
          <w:rtl/>
          <w:lang w:bidi="fa-IR"/>
        </w:rPr>
        <w:t xml:space="preserve"> وَأَنْتَ فِي الصَّلَاةِ </w:t>
      </w:r>
      <w:r w:rsidRPr="007C12DB">
        <w:rPr>
          <w:rStyle w:val="libFootnotenumChar"/>
          <w:rtl/>
        </w:rPr>
        <w:t>(2)</w:t>
      </w:r>
      <w:r w:rsidRPr="005D642E">
        <w:rPr>
          <w:rtl/>
          <w:lang w:bidi="fa-IR"/>
        </w:rPr>
        <w:t xml:space="preserve"> ، فَلَا تَغْسِلْهُ ، وَلَاتَقْطَعِ </w:t>
      </w:r>
      <w:r w:rsidRPr="007C12DB">
        <w:rPr>
          <w:rStyle w:val="libFootnotenumChar"/>
          <w:rtl/>
        </w:rPr>
        <w:t>(3)</w:t>
      </w:r>
      <w:r w:rsidRPr="005D642E">
        <w:rPr>
          <w:rtl/>
          <w:lang w:bidi="fa-IR"/>
        </w:rPr>
        <w:t xml:space="preserve"> الصَّلَاةَ ، وَلَاتَنْقُضْ لَهُ </w:t>
      </w:r>
      <w:r w:rsidRPr="007C12DB">
        <w:rPr>
          <w:rStyle w:val="libFootnotenumChar"/>
          <w:rtl/>
        </w:rPr>
        <w:t>(4)</w:t>
      </w:r>
      <w:r w:rsidRPr="005D642E">
        <w:rPr>
          <w:rtl/>
          <w:lang w:bidi="fa-IR"/>
        </w:rPr>
        <w:t xml:space="preserve"> الْوُضُوءَ وَإِنْ بَلَغَ عَقِيبَكَ </w:t>
      </w:r>
      <w:r w:rsidRPr="007C12DB">
        <w:rPr>
          <w:rStyle w:val="libFootnotenumChar"/>
          <w:rtl/>
        </w:rPr>
        <w:t>(5)</w:t>
      </w:r>
      <w:r w:rsidRPr="005D642E">
        <w:rPr>
          <w:rtl/>
          <w:lang w:bidi="fa-IR"/>
        </w:rPr>
        <w:t xml:space="preserve"> ، فَإِنَّمَا </w:t>
      </w:r>
      <w:r w:rsidRPr="007C12DB">
        <w:rPr>
          <w:rStyle w:val="libFootnotenumChar"/>
          <w:rtl/>
        </w:rPr>
        <w:t>(6)</w:t>
      </w:r>
      <w:r w:rsidRPr="005D642E">
        <w:rPr>
          <w:rtl/>
          <w:lang w:bidi="fa-IR"/>
        </w:rPr>
        <w:t xml:space="preserve"> ذلِكَ بِمَنْزِلَةِ النُّخَامَةِ </w:t>
      </w:r>
      <w:r w:rsidRPr="007C12DB">
        <w:rPr>
          <w:rStyle w:val="libFootnotenumChar"/>
          <w:rtl/>
        </w:rPr>
        <w:t>(7)</w:t>
      </w:r>
      <w:r w:rsidRPr="005D642E">
        <w:rPr>
          <w:rtl/>
          <w:lang w:bidi="fa-IR"/>
        </w:rPr>
        <w:t xml:space="preserve"> ، وَكُلُّ شَيْ‌ءٍ يَخْرُجُ </w:t>
      </w:r>
      <w:r w:rsidRPr="007C12DB">
        <w:rPr>
          <w:rStyle w:val="libFootnotenumChar"/>
          <w:rtl/>
        </w:rPr>
        <w:t>(8)</w:t>
      </w:r>
      <w:r w:rsidRPr="005D642E">
        <w:rPr>
          <w:rtl/>
          <w:lang w:bidi="fa-IR"/>
        </w:rPr>
        <w:t xml:space="preserve"> مِنْكَ بَعْدَ الْوُضُوءِ </w:t>
      </w:r>
      <w:r w:rsidRPr="007C12DB">
        <w:rPr>
          <w:rStyle w:val="libFootnotenumChar"/>
          <w:rtl/>
        </w:rPr>
        <w:t>(9)</w:t>
      </w:r>
      <w:r w:rsidRPr="005D642E">
        <w:rPr>
          <w:rtl/>
          <w:lang w:bidi="fa-IR"/>
        </w:rPr>
        <w:t xml:space="preserve"> فَإِنَّهُ مِنَ الْحَبَائِلِ </w:t>
      </w:r>
      <w:r w:rsidRPr="007C12DB">
        <w:rPr>
          <w:rStyle w:val="libFootnotenumChar"/>
          <w:rtl/>
        </w:rPr>
        <w:t>(10)</w:t>
      </w:r>
      <w:r w:rsidRPr="005D642E">
        <w:rPr>
          <w:rtl/>
          <w:lang w:bidi="fa-IR"/>
        </w:rPr>
        <w:t xml:space="preserve"> ، أَوْ مِنَ الْبَوَاسِيرِ ، وَلَيْسَ </w:t>
      </w:r>
      <w:r w:rsidRPr="007C12DB">
        <w:rPr>
          <w:rStyle w:val="libFootnotenumChar"/>
          <w:rtl/>
        </w:rPr>
        <w:t>(11)</w:t>
      </w:r>
      <w:r w:rsidRPr="005D642E">
        <w:rPr>
          <w:rtl/>
          <w:lang w:bidi="fa-IR"/>
        </w:rPr>
        <w:t xml:space="preserve"> بِشَيْ‌ءٍ ، فَلَا</w:t>
      </w:r>
      <w:r w:rsidR="003131A2">
        <w:rPr>
          <w:rtl/>
          <w:lang w:bidi="fa-IR"/>
        </w:rPr>
        <w:t xml:space="preserve"> تَغْسِلْهُ مِنْ ثَوْبِكَ إِل</w:t>
      </w:r>
      <w:r w:rsidR="003131A2">
        <w:rPr>
          <w:rFonts w:hint="cs"/>
          <w:rtl/>
          <w:lang w:bidi="fa-IR"/>
        </w:rPr>
        <w:t>َّ</w:t>
      </w:r>
      <w:r w:rsidR="003131A2">
        <w:rPr>
          <w:rtl/>
          <w:lang w:bidi="fa-IR"/>
        </w:rPr>
        <w:t>ا</w:t>
      </w:r>
      <w:r w:rsidRPr="005D642E">
        <w:rPr>
          <w:rtl/>
          <w:lang w:bidi="fa-IR"/>
        </w:rPr>
        <w:t xml:space="preserve"> أَنْ تُقْذِرَهُ </w:t>
      </w:r>
      <w:r w:rsidRPr="007C12DB">
        <w:rPr>
          <w:rStyle w:val="libFootnotenumChar"/>
          <w:rtl/>
        </w:rPr>
        <w:t>(12)</w:t>
      </w:r>
      <w:r w:rsidRPr="005D642E">
        <w:rPr>
          <w:rtl/>
          <w:lang w:bidi="fa-IR"/>
        </w:rPr>
        <w:t>»</w:t>
      </w:r>
      <w:r>
        <w:rPr>
          <w:rtl/>
          <w:lang w:bidi="fa-IR"/>
        </w:rPr>
        <w:t>.</w:t>
      </w:r>
      <w:r w:rsidRPr="007C12DB">
        <w:rPr>
          <w:rStyle w:val="libFootnotenumChar"/>
          <w:rtl/>
        </w:rPr>
        <w:t>(13)</w:t>
      </w:r>
    </w:p>
    <w:p w:rsidR="00E3253D" w:rsidRPr="005D642E" w:rsidRDefault="00E3253D" w:rsidP="00E3253D">
      <w:pPr>
        <w:pStyle w:val="libLine"/>
        <w:rPr>
          <w:rtl/>
          <w:lang w:bidi="fa-IR"/>
        </w:rPr>
      </w:pPr>
      <w:r w:rsidRPr="005D642E">
        <w:rPr>
          <w:rtl/>
          <w:lang w:bidi="fa-IR"/>
        </w:rPr>
        <w:t>__________________</w:t>
      </w:r>
    </w:p>
    <w:p w:rsidR="00E3253D" w:rsidRPr="005D642E" w:rsidRDefault="00C55306" w:rsidP="00E3253D">
      <w:pPr>
        <w:pStyle w:val="libFootnote0"/>
        <w:rPr>
          <w:rtl/>
          <w:lang w:bidi="fa-IR"/>
        </w:rPr>
      </w:pPr>
      <w:r>
        <w:rPr>
          <w:rFonts w:hint="cs"/>
          <w:rtl/>
        </w:rPr>
        <w:t xml:space="preserve">= </w:t>
      </w:r>
      <w:r w:rsidR="00E3253D" w:rsidRPr="005D642E">
        <w:rPr>
          <w:rtl/>
        </w:rPr>
        <w:t xml:space="preserve">ثلاث لغات : سكون الذال مع تخفيف الياء ، وكسرها مع تثقيل الياء ، أو تخفيفها. راجع : </w:t>
      </w:r>
      <w:r w:rsidR="00E3253D" w:rsidRPr="002F4D34">
        <w:rPr>
          <w:rStyle w:val="libFootnoteBoldChar"/>
          <w:rtl/>
        </w:rPr>
        <w:t>الصحاح</w:t>
      </w:r>
      <w:r w:rsidR="00E3253D" w:rsidRPr="005D642E">
        <w:rPr>
          <w:rtl/>
        </w:rPr>
        <w:t xml:space="preserve"> ، ج 6 ، ص 2490 ؛ </w:t>
      </w:r>
      <w:r w:rsidR="00E3253D" w:rsidRPr="002F4D34">
        <w:rPr>
          <w:rStyle w:val="libFootnoteBoldChar"/>
          <w:rtl/>
        </w:rPr>
        <w:t>النهاية</w:t>
      </w:r>
      <w:r w:rsidR="00E3253D" w:rsidRPr="005D642E">
        <w:rPr>
          <w:rtl/>
        </w:rPr>
        <w:t xml:space="preserve"> ، ج 4 ، ص 312 ؛ </w:t>
      </w:r>
      <w:r w:rsidR="00E3253D" w:rsidRPr="002F4D34">
        <w:rPr>
          <w:rStyle w:val="libFootnoteBoldChar"/>
          <w:rtl/>
        </w:rPr>
        <w:t>المصباح المنير</w:t>
      </w:r>
      <w:r w:rsidR="00E3253D" w:rsidRPr="005D642E">
        <w:rPr>
          <w:rtl/>
        </w:rPr>
        <w:t xml:space="preserve"> ، ص 567 ( مذى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غ ، ى ، بث ، بح ، بس ، بف ، جح ، جس ، جن » </w:t>
      </w:r>
      <w:r w:rsidR="00E3253D" w:rsidRPr="00E678B5">
        <w:rPr>
          <w:rStyle w:val="libFootnoteBoldChar"/>
          <w:rtl/>
        </w:rPr>
        <w:t>والاستبصار</w:t>
      </w:r>
      <w:r w:rsidR="00E3253D" w:rsidRPr="005D642E">
        <w:rPr>
          <w:rtl/>
        </w:rPr>
        <w:t xml:space="preserve"> : « وذي »</w:t>
      </w:r>
      <w:r w:rsidR="00E3253D">
        <w:rPr>
          <w:rtl/>
        </w:rPr>
        <w:t>.</w:t>
      </w:r>
      <w:r w:rsidR="00E3253D" w:rsidRPr="005D642E">
        <w:rPr>
          <w:rtl/>
        </w:rPr>
        <w:t xml:space="preserve"> وفي « ظ » : « مذي »</w:t>
      </w:r>
      <w:r w:rsidR="00E3253D">
        <w:rPr>
          <w:rtl/>
        </w:rPr>
        <w:t>.</w:t>
      </w:r>
      <w:r w:rsidR="00E3253D" w:rsidRPr="005D642E">
        <w:rPr>
          <w:rtl/>
        </w:rPr>
        <w:t xml:space="preserve"> </w:t>
      </w:r>
      <w:r w:rsidR="00E3253D">
        <w:rPr>
          <w:rtl/>
        </w:rPr>
        <w:t>و «</w:t>
      </w:r>
      <w:r w:rsidR="00E3253D" w:rsidRPr="005D642E">
        <w:rPr>
          <w:rtl/>
        </w:rPr>
        <w:t xml:space="preserve"> الوَدْي » ، بسكون الدال ، وبكسرها وتشديد الياء : البلل اللزج الذي يخرج من الذكر بعد البول. وقيل : التشديد أصحّ وأفصح من السكون. راجع : </w:t>
      </w:r>
      <w:r w:rsidR="00E3253D" w:rsidRPr="002F4D34">
        <w:rPr>
          <w:rStyle w:val="libFootnoteBoldChar"/>
          <w:rtl/>
        </w:rPr>
        <w:t>الصحاح</w:t>
      </w:r>
      <w:r w:rsidR="00E3253D" w:rsidRPr="005D642E">
        <w:rPr>
          <w:rtl/>
        </w:rPr>
        <w:t xml:space="preserve"> ، ج 6 ، ص 2521 ؛ </w:t>
      </w:r>
      <w:r w:rsidR="00E3253D" w:rsidRPr="002F4D34">
        <w:rPr>
          <w:rStyle w:val="libFootnoteBoldChar"/>
          <w:rtl/>
        </w:rPr>
        <w:t>النهاية</w:t>
      </w:r>
      <w:r w:rsidR="00E3253D" w:rsidRPr="005D642E">
        <w:rPr>
          <w:rtl/>
        </w:rPr>
        <w:t xml:space="preserve"> ، ج 5 ، ص 169 ( ودا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وأنت في الصلاة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له »</w:t>
      </w:r>
      <w:r w:rsidR="00E3253D">
        <w:rPr>
          <w:rtl/>
        </w:rPr>
        <w:t>.</w:t>
      </w:r>
      <w:r w:rsidR="00E3253D" w:rsidRPr="005D642E">
        <w:rPr>
          <w:rtl/>
        </w:rPr>
        <w:t xml:space="preserve"> وفي العلل : « فلا تقطع » بدل « فلا تغسله ولا تقطع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 « ولا تنقض له »</w:t>
      </w:r>
      <w:r w:rsidR="00E3253D">
        <w:rPr>
          <w:rtl/>
        </w:rPr>
        <w:t>.</w:t>
      </w:r>
      <w:r w:rsidR="00E3253D" w:rsidRPr="005D642E">
        <w:rPr>
          <w:rtl/>
        </w:rPr>
        <w:t xml:space="preserve"> وفي « بث ، بخ » : « ولا ينقض له »</w:t>
      </w:r>
      <w:r w:rsidR="00E3253D">
        <w:rPr>
          <w:rtl/>
        </w:rPr>
        <w:t>.</w:t>
      </w:r>
      <w:r w:rsidR="00E3253D" w:rsidRPr="005D642E">
        <w:rPr>
          <w:rtl/>
        </w:rPr>
        <w:t xml:space="preserve"> وفي الوافي :</w:t>
      </w:r>
      <w:r w:rsidR="00E3253D">
        <w:rPr>
          <w:rtl/>
        </w:rPr>
        <w:t xml:space="preserve"> </w:t>
      </w:r>
      <w:r w:rsidR="007642BC">
        <w:rPr>
          <w:rtl/>
        </w:rPr>
        <w:t>-</w:t>
      </w:r>
      <w:r w:rsidR="00E3253D">
        <w:rPr>
          <w:rtl/>
        </w:rPr>
        <w:t xml:space="preserve"> </w:t>
      </w:r>
      <w:r w:rsidR="00E3253D" w:rsidRPr="005D642E">
        <w:rPr>
          <w:rtl/>
        </w:rPr>
        <w:t>« له »</w:t>
      </w:r>
      <w:r w:rsidR="00E3253D">
        <w:rPr>
          <w:rtl/>
        </w:rPr>
        <w:t>.</w:t>
      </w:r>
    </w:p>
    <w:p w:rsidR="00E3253D" w:rsidRPr="005D642E" w:rsidRDefault="0042621E" w:rsidP="00CA50EB">
      <w:pPr>
        <w:pStyle w:val="libFootnote0"/>
        <w:rPr>
          <w:rtl/>
          <w:lang w:bidi="fa-IR"/>
        </w:rPr>
      </w:pPr>
      <w:r w:rsidRPr="0042621E">
        <w:rPr>
          <w:rStyle w:val="libFootnote0Char"/>
          <w:rtl/>
        </w:rPr>
        <w:t>(5).</w:t>
      </w:r>
      <w:r w:rsidR="00E3253D" w:rsidRPr="005D642E">
        <w:rPr>
          <w:rtl/>
        </w:rPr>
        <w:t xml:space="preserve"> في « غ ، بث ، بخ ، بس ، بف » </w:t>
      </w:r>
      <w:r w:rsidR="000D749A" w:rsidRPr="000D749A">
        <w:rPr>
          <w:rStyle w:val="libFootnoteBoldChar"/>
          <w:rtl/>
        </w:rPr>
        <w:t>والوافي</w:t>
      </w:r>
      <w:r w:rsidR="00E3253D" w:rsidRPr="005D642E">
        <w:rPr>
          <w:rtl/>
        </w:rPr>
        <w:t xml:space="preserve"> والوسائل : « عقبيك »</w:t>
      </w:r>
      <w:r w:rsidR="00E3253D">
        <w:rPr>
          <w:rtl/>
        </w:rPr>
        <w:t>.</w:t>
      </w:r>
      <w:r w:rsidR="00E3253D" w:rsidRPr="005D642E">
        <w:rPr>
          <w:rtl/>
        </w:rPr>
        <w:t xml:space="preserve"> وفي « بح ، جن » والعلل : « عقبك »</w:t>
      </w:r>
      <w:r w:rsidR="00E3253D">
        <w:rPr>
          <w:rtl/>
        </w:rPr>
        <w:t>.</w:t>
      </w:r>
      <w:r w:rsidR="00E3253D" w:rsidRPr="005D642E">
        <w:rPr>
          <w:rtl/>
        </w:rPr>
        <w:t xml:space="preserve"> وفي التهذيب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وإن بلغ عقيبك »</w:t>
      </w:r>
      <w:r w:rsidR="00E3253D">
        <w:rPr>
          <w:rtl/>
        </w:rPr>
        <w:t>.</w:t>
      </w:r>
      <w:r w:rsidR="00CA50EB">
        <w:rPr>
          <w:rFonts w:hint="cs"/>
          <w:rtl/>
        </w:rPr>
        <w:t xml:space="preserve">     </w:t>
      </w:r>
      <w:r w:rsidR="00C63DB3">
        <w:rPr>
          <w:rFonts w:hint="cs"/>
          <w:rtl/>
        </w:rPr>
        <w:t xml:space="preserve">    </w:t>
      </w:r>
      <w:r w:rsidR="00CA50EB">
        <w:rPr>
          <w:rFonts w:hint="cs"/>
          <w:rtl/>
        </w:rPr>
        <w:t xml:space="preserve"> </w:t>
      </w:r>
      <w:r w:rsidRPr="0042621E">
        <w:rPr>
          <w:rStyle w:val="libFootnote0Char"/>
          <w:rtl/>
        </w:rPr>
        <w:t>(6).</w:t>
      </w:r>
      <w:r w:rsidR="00E3253D" w:rsidRPr="005D642E">
        <w:rPr>
          <w:rtl/>
        </w:rPr>
        <w:t xml:space="preserve"> في « جن » : « فإنّ »</w:t>
      </w:r>
      <w:r w:rsidR="00E3253D">
        <w:rPr>
          <w:rtl/>
        </w:rPr>
        <w:t>.</w:t>
      </w:r>
    </w:p>
    <w:p w:rsidR="00E3253D" w:rsidRPr="005D642E" w:rsidRDefault="0042621E" w:rsidP="00CA50EB">
      <w:pPr>
        <w:pStyle w:val="libFootnote0"/>
        <w:rPr>
          <w:rtl/>
          <w:lang w:bidi="fa-IR"/>
        </w:rPr>
      </w:pPr>
      <w:r w:rsidRPr="0042621E">
        <w:rPr>
          <w:rStyle w:val="libFootnote0Char"/>
          <w:rtl/>
        </w:rPr>
        <w:t>(7).</w:t>
      </w:r>
      <w:r w:rsidR="00E3253D" w:rsidRPr="005D642E">
        <w:rPr>
          <w:rtl/>
        </w:rPr>
        <w:t xml:space="preserve"> « النُخامَةُ » : البزقة التي تخرج من أقصى الحلق ومن مخرج الخاء المعجمة. وقيل : النخامة ما يخرج من الخيشوم</w:t>
      </w:r>
      <w:r w:rsidR="00E3253D">
        <w:rPr>
          <w:rtl/>
        </w:rPr>
        <w:t xml:space="preserve"> </w:t>
      </w:r>
      <w:r w:rsidR="007642BC">
        <w:rPr>
          <w:rtl/>
        </w:rPr>
        <w:t>-</w:t>
      </w:r>
      <w:r w:rsidR="00E3253D">
        <w:rPr>
          <w:rtl/>
        </w:rPr>
        <w:t xml:space="preserve"> </w:t>
      </w:r>
      <w:r w:rsidR="00E3253D" w:rsidRPr="005D642E">
        <w:rPr>
          <w:rtl/>
        </w:rPr>
        <w:t>وهو أقصى الأنف</w:t>
      </w:r>
      <w:r w:rsidR="00E3253D">
        <w:rPr>
          <w:rtl/>
        </w:rPr>
        <w:t xml:space="preserve"> </w:t>
      </w:r>
      <w:r w:rsidR="007642BC">
        <w:rPr>
          <w:rtl/>
        </w:rPr>
        <w:t>-</w:t>
      </w:r>
      <w:r w:rsidR="00E3253D">
        <w:rPr>
          <w:rtl/>
        </w:rPr>
        <w:t xml:space="preserve"> </w:t>
      </w:r>
      <w:r w:rsidR="00E3253D" w:rsidRPr="005D642E">
        <w:rPr>
          <w:rtl/>
        </w:rPr>
        <w:t xml:space="preserve">عند التنخّم ، وهو دفع شي‌ء من الصدر أو الأنف. راجع : </w:t>
      </w:r>
      <w:r w:rsidR="00E3253D" w:rsidRPr="002F4D34">
        <w:rPr>
          <w:rStyle w:val="libFootnoteBoldChar"/>
          <w:rtl/>
        </w:rPr>
        <w:t>النهاية</w:t>
      </w:r>
      <w:r w:rsidR="00E3253D" w:rsidRPr="005D642E">
        <w:rPr>
          <w:rtl/>
        </w:rPr>
        <w:t xml:space="preserve"> ، ج 5 ، ص 34 ؛ </w:t>
      </w:r>
      <w:r w:rsidR="00E3253D" w:rsidRPr="002F4D34">
        <w:rPr>
          <w:rStyle w:val="libFootnoteBoldChar"/>
          <w:rtl/>
        </w:rPr>
        <w:t>لسان العرب</w:t>
      </w:r>
      <w:r w:rsidR="00E3253D" w:rsidRPr="005D642E">
        <w:rPr>
          <w:rtl/>
        </w:rPr>
        <w:t xml:space="preserve"> ، ج 12 ، ص 572 ( نخم )</w:t>
      </w:r>
      <w:r w:rsidR="00E3253D">
        <w:rPr>
          <w:rtl/>
        </w:rPr>
        <w:t>.</w:t>
      </w:r>
      <w:r w:rsidR="00CA50EB">
        <w:rPr>
          <w:rFonts w:hint="cs"/>
          <w:rtl/>
        </w:rPr>
        <w:t xml:space="preserve">                         </w:t>
      </w:r>
      <w:r w:rsidRPr="0042621E">
        <w:rPr>
          <w:rStyle w:val="libFootnote0Char"/>
          <w:rtl/>
        </w:rPr>
        <w:t>(8).</w:t>
      </w:r>
      <w:r w:rsidR="00E3253D" w:rsidRPr="005D642E">
        <w:rPr>
          <w:rtl/>
        </w:rPr>
        <w:t xml:space="preserve">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CA50EB">
        <w:rPr>
          <w:rtl/>
        </w:rPr>
        <w:t>والعلل:«خرج</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الوافي</w:t>
      </w:r>
      <w:r w:rsidR="00E3253D" w:rsidRPr="005D642E">
        <w:rPr>
          <w:rtl/>
        </w:rPr>
        <w:t xml:space="preserve"> : « الأظهر أنّ المراد بالوضوء ثانياً الاستنجاء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الحبائل » : جمع على غير قياس ، وهي عروق في ظهر الإنسان. وقيل : هي عروق الذَكَر. وقيل : حبال الذكرعروقه. راجع : </w:t>
      </w:r>
      <w:r w:rsidR="00E3253D" w:rsidRPr="002F4D34">
        <w:rPr>
          <w:rStyle w:val="libFootnoteBoldChar"/>
          <w:rtl/>
        </w:rPr>
        <w:t>لسان العرب</w:t>
      </w:r>
      <w:r w:rsidR="00E3253D" w:rsidRPr="005D642E">
        <w:rPr>
          <w:rtl/>
        </w:rPr>
        <w:t xml:space="preserve"> ، ج 11 ، ص 136 ؛ </w:t>
      </w:r>
      <w:r w:rsidR="00E3253D" w:rsidRPr="002F4D34">
        <w:rPr>
          <w:rStyle w:val="libFootnoteBoldChar"/>
          <w:rtl/>
        </w:rPr>
        <w:t>القاموس المحيط</w:t>
      </w:r>
      <w:r w:rsidR="00E3253D" w:rsidRPr="005D642E">
        <w:rPr>
          <w:rtl/>
        </w:rPr>
        <w:t xml:space="preserve"> ، ج 2 ، ص 1298 ( حبل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جس ، جن » والعلل : « فليس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ى ، بخ » : « تقذّره »</w:t>
      </w:r>
      <w:r w:rsidR="00E3253D">
        <w:rPr>
          <w:rtl/>
        </w:rPr>
        <w:t>.</w:t>
      </w:r>
      <w:r w:rsidR="00E3253D" w:rsidRPr="005D642E">
        <w:rPr>
          <w:rtl/>
        </w:rPr>
        <w:t xml:space="preserve"> يقال : قذره كسمعه ونصره : جعله وصيّره قذراً ، وكرهه واجتنبه ، وقذّر الشي‌ءَ : جعله وصيّره قذراً. وأقذره : وجده قذراً. وتقذّر الشي‌ءَ ومنه : كرهه لوسخه. واستقذر الشي‌ءَ : عدّه </w:t>
      </w:r>
      <w:r w:rsidR="00C63DB3">
        <w:rPr>
          <w:rtl/>
        </w:rPr>
        <w:t>قذراً ، وكرهه لوسخه. وقال العل</w:t>
      </w:r>
      <w:r w:rsidR="00C63DB3">
        <w:rPr>
          <w:rFonts w:hint="cs"/>
          <w:rtl/>
        </w:rPr>
        <w:t>ّ</w:t>
      </w:r>
      <w:r w:rsidR="00C63DB3">
        <w:rPr>
          <w:rtl/>
        </w:rPr>
        <w:t>ا</w:t>
      </w:r>
      <w:r w:rsidR="00E3253D" w:rsidRPr="005D642E">
        <w:rPr>
          <w:rtl/>
        </w:rPr>
        <w:t xml:space="preserve">مة المجلسي : « ينبغي أن يحمل البواسير على ما إذا كان الخارج منها غير الدم ، أو يكون عدم الغسل لأنّه معفوّ عنه لا طاهراً ، ويكون المراد من قوله : « تقذره » تجده قذراً ، أي نجساً فيدخل الدم فيه ، وفيه </w:t>
      </w:r>
      <w:r w:rsidR="0032411A">
        <w:rPr>
          <w:rtl/>
        </w:rPr>
        <w:t>بُعد ، والأظهر أنّ المعنى : إل</w:t>
      </w:r>
      <w:r w:rsidR="0032411A">
        <w:rPr>
          <w:rFonts w:hint="cs"/>
          <w:rtl/>
        </w:rPr>
        <w:t>ّ</w:t>
      </w:r>
      <w:r w:rsidR="0032411A">
        <w:rPr>
          <w:rtl/>
        </w:rPr>
        <w:t>ا</w:t>
      </w:r>
      <w:r w:rsidR="00E3253D">
        <w:rPr>
          <w:rFonts w:hint="cs"/>
          <w:rtl/>
        </w:rPr>
        <w:t xml:space="preserve"> </w:t>
      </w:r>
      <w:r w:rsidR="00E3253D" w:rsidRPr="005D642E">
        <w:rPr>
          <w:rtl/>
        </w:rPr>
        <w:t>أن يستقذره طبعك وتستنكف عنه »</w:t>
      </w:r>
      <w:r w:rsidR="00E3253D">
        <w:rPr>
          <w:rtl/>
        </w:rPr>
        <w:t>.</w:t>
      </w:r>
      <w:r w:rsidR="00E3253D" w:rsidRPr="005D642E">
        <w:rPr>
          <w:rtl/>
        </w:rPr>
        <w:t xml:space="preserve"> راجع : </w:t>
      </w:r>
      <w:r w:rsidR="00E3253D" w:rsidRPr="002F4D34">
        <w:rPr>
          <w:rStyle w:val="libFootnoteBoldChar"/>
          <w:rtl/>
        </w:rPr>
        <w:t>لسان العرب</w:t>
      </w:r>
      <w:r w:rsidR="00E3253D" w:rsidRPr="005D642E">
        <w:rPr>
          <w:rtl/>
        </w:rPr>
        <w:t xml:space="preserve"> ، ج 5 ، ص 80</w:t>
      </w:r>
      <w:r w:rsidR="00E3253D">
        <w:rPr>
          <w:rtl/>
        </w:rPr>
        <w:t xml:space="preserve"> </w:t>
      </w:r>
      <w:r w:rsidR="007642BC">
        <w:rPr>
          <w:rtl/>
        </w:rPr>
        <w:t>-</w:t>
      </w:r>
      <w:r w:rsidR="00E3253D">
        <w:rPr>
          <w:rtl/>
        </w:rPr>
        <w:t xml:space="preserve"> </w:t>
      </w:r>
      <w:r w:rsidR="00E3253D" w:rsidRPr="005D642E">
        <w:rPr>
          <w:rtl/>
        </w:rPr>
        <w:t xml:space="preserve">81 ؛ </w:t>
      </w:r>
      <w:r w:rsidR="00E3253D" w:rsidRPr="002F4D34">
        <w:rPr>
          <w:rStyle w:val="libFootnoteBoldChar"/>
          <w:rtl/>
        </w:rPr>
        <w:t>المصباح المنير</w:t>
      </w:r>
      <w:r w:rsidR="00E3253D" w:rsidRPr="005D642E">
        <w:rPr>
          <w:rtl/>
        </w:rPr>
        <w:t xml:space="preserve"> ، ص 494 ؛ أقرب الموارد ، ج 2 ، ص 975 ( قذر ) ؛ </w:t>
      </w:r>
      <w:r w:rsidR="00E3253D" w:rsidRPr="002F4D34">
        <w:rPr>
          <w:rStyle w:val="libFootnoteBoldChar"/>
          <w:rtl/>
        </w:rPr>
        <w:t>مرآة العقول</w:t>
      </w:r>
      <w:r w:rsidR="00E3253D" w:rsidRPr="005D642E">
        <w:rPr>
          <w:rtl/>
        </w:rPr>
        <w:t xml:space="preserve"> ، ج 13 ، ص 124.</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علل الشرائع</w:t>
      </w:r>
      <w:r w:rsidR="00E3253D" w:rsidRPr="005D642E">
        <w:rPr>
          <w:rtl/>
        </w:rPr>
        <w:t xml:space="preserve"> ، ص 295 ، ح 1 ، عن أبيه ، عن عليّ بن إبراهيم ، عن أبيه. وفي </w:t>
      </w:r>
      <w:r w:rsidR="00E3253D" w:rsidRPr="002F4D34">
        <w:rPr>
          <w:rStyle w:val="libFootnoteBoldChar"/>
          <w:rtl/>
        </w:rPr>
        <w:t>التهذيب</w:t>
      </w:r>
      <w:r w:rsidR="00E3253D" w:rsidRPr="005D642E">
        <w:rPr>
          <w:rtl/>
        </w:rPr>
        <w:t xml:space="preserve"> ، ج 1 ، ص 21 ، </w:t>
      </w:r>
      <w:r w:rsidR="00D8541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947E0">
        <w:rPr>
          <w:rtl/>
        </w:rPr>
        <w:lastRenderedPageBreak/>
        <w:t>3991</w:t>
      </w:r>
      <w:r w:rsidRPr="00246318">
        <w:rPr>
          <w:rStyle w:val="libBold2Char"/>
          <w:rtl/>
        </w:rPr>
        <w:t xml:space="preserve"> / 2.</w:t>
      </w:r>
      <w:r w:rsidRPr="005D642E">
        <w:rPr>
          <w:rtl/>
          <w:lang w:bidi="fa-IR"/>
        </w:rPr>
        <w:t xml:space="preserve"> مُحَمَّدُ بْنُ يَحْيى ، عَنْ أَحْمَدَ بْنِ مُحَمَّدٍ ، عَنِ ابْنِ فَضَّالٍ ، عَنِ ابْنِ بُكَيْرٍ ، عَنْ عُمَرَ بْنِ حَنْظَلَةَ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الْمَذْيِ</w:t>
      </w:r>
      <w:r>
        <w:rPr>
          <w:rtl/>
          <w:lang w:bidi="fa-IR"/>
        </w:rPr>
        <w:t>؟</w:t>
      </w:r>
    </w:p>
    <w:p w:rsidR="00E3253D" w:rsidRPr="005D642E" w:rsidRDefault="00E3253D" w:rsidP="00E3253D">
      <w:pPr>
        <w:pStyle w:val="libNormal"/>
        <w:rPr>
          <w:rtl/>
          <w:lang w:bidi="fa-IR"/>
        </w:rPr>
      </w:pPr>
      <w:r w:rsidRPr="005D642E">
        <w:rPr>
          <w:rtl/>
          <w:lang w:bidi="fa-IR"/>
        </w:rPr>
        <w:t xml:space="preserve">فَقَالَ : </w:t>
      </w:r>
      <w:r w:rsidR="00022842">
        <w:rPr>
          <w:rtl/>
          <w:lang w:bidi="fa-IR"/>
        </w:rPr>
        <w:t>« مَا هُوَ وَالنُّخَامَةُ إِل</w:t>
      </w:r>
      <w:r w:rsidR="00022842">
        <w:rPr>
          <w:rFonts w:hint="cs"/>
          <w:rtl/>
          <w:lang w:bidi="fa-IR"/>
        </w:rPr>
        <w:t>َّ</w:t>
      </w:r>
      <w:r w:rsidR="00022842">
        <w:rPr>
          <w:rtl/>
          <w:lang w:bidi="fa-IR"/>
        </w:rPr>
        <w:t>ا</w:t>
      </w:r>
      <w:r w:rsidRPr="005D642E">
        <w:rPr>
          <w:rtl/>
          <w:lang w:bidi="fa-IR"/>
        </w:rPr>
        <w:t xml:space="preserve"> سَوَاءٌ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D947E0">
        <w:rPr>
          <w:rtl/>
        </w:rPr>
        <w:t>3992</w:t>
      </w:r>
      <w:r w:rsidRPr="00246318">
        <w:rPr>
          <w:rStyle w:val="libBold2Char"/>
          <w:rtl/>
        </w:rPr>
        <w:t xml:space="preserve"> / 3.</w:t>
      </w:r>
      <w:r w:rsidRPr="005D642E">
        <w:rPr>
          <w:rtl/>
          <w:lang w:bidi="fa-IR"/>
        </w:rPr>
        <w:t xml:space="preserve"> عَلِيُّ بْنُ إِبْرَاهِيمَ ، عَنْ أَبِيهِ ، عَنِ ابْنِ أَبِي عُمَيْرٍ ، عَنْ عُمَرَ بْنِ أُذَيْنَةَ ، عَنْ بُرَيْدِ </w:t>
      </w:r>
      <w:r w:rsidRPr="007C12DB">
        <w:rPr>
          <w:rStyle w:val="libFootnotenumChar"/>
          <w:rtl/>
        </w:rPr>
        <w:t>(3)</w:t>
      </w:r>
      <w:r w:rsidRPr="005D642E">
        <w:rPr>
          <w:rtl/>
          <w:lang w:bidi="fa-IR"/>
        </w:rPr>
        <w:t xml:space="preserve"> بْنِ مُعَاوِيَةَ ، قَالَ :</w:t>
      </w:r>
    </w:p>
    <w:p w:rsidR="00E3253D" w:rsidRPr="005D642E" w:rsidRDefault="00E3253D" w:rsidP="00E3253D">
      <w:pPr>
        <w:pStyle w:val="libNormal"/>
        <w:rPr>
          <w:rtl/>
          <w:lang w:bidi="fa-IR"/>
        </w:rPr>
      </w:pPr>
      <w:r w:rsidRPr="005D642E">
        <w:rPr>
          <w:rtl/>
          <w:lang w:bidi="fa-IR"/>
        </w:rPr>
        <w:t xml:space="preserve">سَأَلْتُ أَحَدَهُمَا </w:t>
      </w:r>
      <w:r w:rsidRPr="007C12DB">
        <w:rPr>
          <w:rStyle w:val="libFootnotenumChar"/>
          <w:rtl/>
        </w:rPr>
        <w:t>(4)</w:t>
      </w:r>
      <w:r w:rsidRPr="005D642E">
        <w:rPr>
          <w:rtl/>
          <w:lang w:bidi="fa-IR"/>
        </w:rPr>
        <w:t xml:space="preserve"> </w:t>
      </w:r>
      <w:r w:rsidRPr="00AC51C5">
        <w:rPr>
          <w:rStyle w:val="libAlaemChar"/>
          <w:rtl/>
        </w:rPr>
        <w:t>عليهما‌السلام</w:t>
      </w:r>
      <w:r w:rsidRPr="005D642E">
        <w:rPr>
          <w:rtl/>
          <w:lang w:bidi="fa-IR"/>
        </w:rPr>
        <w:t xml:space="preserve"> عَنِ الْمَذْيِ</w:t>
      </w:r>
      <w:r>
        <w:rPr>
          <w:rtl/>
          <w:lang w:bidi="fa-IR"/>
        </w:rPr>
        <w:t>؟</w:t>
      </w:r>
    </w:p>
    <w:p w:rsidR="00E3253D" w:rsidRPr="005D642E" w:rsidRDefault="00E3253D" w:rsidP="00E3253D">
      <w:pPr>
        <w:pStyle w:val="libNormal"/>
        <w:rPr>
          <w:rtl/>
          <w:lang w:bidi="fa-IR"/>
        </w:rPr>
      </w:pPr>
      <w:r w:rsidRPr="005D642E">
        <w:rPr>
          <w:rtl/>
          <w:lang w:bidi="fa-IR"/>
        </w:rPr>
        <w:t xml:space="preserve">فَقَالَ : « لَا يَنْقُضُ الْوُضُوءَ ، وَلَايُغْسَلُ مِنْهُ ثَوْبٌ وَلَاجَسَدٌ ، إِنَّمَا هُوَ بِمَنْزِلَةِ الْمُخَاطِ </w:t>
      </w:r>
      <w:r w:rsidRPr="007C12DB">
        <w:rPr>
          <w:rStyle w:val="libFootnotenumChar"/>
          <w:rtl/>
        </w:rPr>
        <w:t>(5)</w:t>
      </w:r>
      <w:r w:rsidRPr="005D642E">
        <w:rPr>
          <w:rtl/>
          <w:lang w:bidi="fa-IR"/>
        </w:rPr>
        <w:t xml:space="preserve"> وَالْبُزَاقِ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C629D7" w:rsidP="00E3253D">
      <w:pPr>
        <w:pStyle w:val="libFootnote0"/>
        <w:rPr>
          <w:rtl/>
          <w:lang w:bidi="fa-IR"/>
        </w:rPr>
      </w:pPr>
      <w:r>
        <w:rPr>
          <w:rFonts w:hint="cs"/>
          <w:rtl/>
        </w:rPr>
        <w:t xml:space="preserve">= </w:t>
      </w:r>
      <w:r w:rsidR="00E3253D" w:rsidRPr="005D642E">
        <w:rPr>
          <w:rtl/>
        </w:rPr>
        <w:t xml:space="preserve">ح 52 ؛ </w:t>
      </w:r>
      <w:r w:rsidR="00E3253D" w:rsidRPr="00E678B5">
        <w:rPr>
          <w:rStyle w:val="libFootnoteBoldChar"/>
          <w:rtl/>
        </w:rPr>
        <w:t>والاستبصار</w:t>
      </w:r>
      <w:r w:rsidR="00E3253D" w:rsidRPr="005D642E">
        <w:rPr>
          <w:rtl/>
        </w:rPr>
        <w:t xml:space="preserve"> ، ج 1 ، ص 94 ، ح 205 ، بسند آخر عن حمّاد ، عن حريز ، عن زيد الشحّام وزرارة ومحمّد بن مسلم ، عن أبي عبدالله </w:t>
      </w:r>
      <w:r w:rsidR="00E3253D" w:rsidRPr="00C629D7">
        <w:rPr>
          <w:rStyle w:val="libFootnoteAlaemChar"/>
          <w:rtl/>
        </w:rPr>
        <w:t>عليه‌السلام</w:t>
      </w:r>
      <w:r w:rsidR="00E3253D" w:rsidRPr="005D642E">
        <w:rPr>
          <w:rtl/>
        </w:rPr>
        <w:t xml:space="preserve"> ، إلى قوله : « فإنّه من الحبائل »</w:t>
      </w:r>
      <w:r w:rsidR="00E3253D">
        <w:rPr>
          <w:rtl/>
        </w:rPr>
        <w:t>.</w:t>
      </w:r>
      <w:r w:rsidR="00E3253D" w:rsidRPr="005D642E">
        <w:rPr>
          <w:rtl/>
        </w:rPr>
        <w:t xml:space="preserve"> وفي </w:t>
      </w:r>
      <w:r w:rsidR="00E3253D" w:rsidRPr="002F4D34">
        <w:rPr>
          <w:rStyle w:val="libFootnoteBoldChar"/>
          <w:rtl/>
        </w:rPr>
        <w:t>التهذيب</w:t>
      </w:r>
      <w:r w:rsidR="00E3253D" w:rsidRPr="005D642E">
        <w:rPr>
          <w:rtl/>
        </w:rPr>
        <w:t xml:space="preserve"> ، ج 1 ، ص 20 ، ح 51 ؛ </w:t>
      </w:r>
      <w:r w:rsidR="00E3253D" w:rsidRPr="00E678B5">
        <w:rPr>
          <w:rStyle w:val="libFootnoteBoldChar"/>
          <w:rtl/>
        </w:rPr>
        <w:t>والاستبصار</w:t>
      </w:r>
      <w:r w:rsidR="00E3253D" w:rsidRPr="005D642E">
        <w:rPr>
          <w:rtl/>
        </w:rPr>
        <w:t xml:space="preserve"> ، ج 1 ، ص 94 ، ح 304 ، بسند آخر عن حمّاد ، عن حريز ، عمّن أخبره ، عن أبي عبدالله </w:t>
      </w:r>
      <w:r w:rsidR="00E3253D" w:rsidRPr="00C629D7">
        <w:rPr>
          <w:rStyle w:val="libFootnoteAlaemChar"/>
          <w:rtl/>
        </w:rPr>
        <w:t>عليه‌السلام</w:t>
      </w:r>
      <w:r w:rsidR="00E3253D" w:rsidRPr="005D642E">
        <w:rPr>
          <w:rtl/>
        </w:rPr>
        <w:t xml:space="preserve"> ، وتمام الرواية فيهما : « الودى [ : « الوذي » ] لاينقض الوضوء ، إنّما هو بمنزلة المخاط والبزاق »</w:t>
      </w:r>
      <w:r w:rsidR="00E3253D">
        <w:rPr>
          <w:rtl/>
        </w:rPr>
        <w:t>.</w:t>
      </w:r>
      <w:r w:rsidR="00E3253D" w:rsidRPr="005D642E">
        <w:rPr>
          <w:rtl/>
        </w:rPr>
        <w:t xml:space="preserve"> راجع : </w:t>
      </w:r>
      <w:r w:rsidR="00E3253D" w:rsidRPr="002F4D34">
        <w:rPr>
          <w:rStyle w:val="libFootnoteBoldChar"/>
          <w:rtl/>
        </w:rPr>
        <w:t>قرب الإسناد</w:t>
      </w:r>
      <w:r w:rsidR="00E3253D" w:rsidRPr="005D642E">
        <w:rPr>
          <w:rtl/>
        </w:rPr>
        <w:t xml:space="preserve"> ، ص 126 ، ح 444 ؛ و</w:t>
      </w:r>
      <w:r w:rsidR="00E3253D" w:rsidRPr="002F4D34">
        <w:rPr>
          <w:rStyle w:val="libFootnoteBoldChar"/>
          <w:rtl/>
        </w:rPr>
        <w:t>الكافي</w:t>
      </w:r>
      <w:r w:rsidR="00E3253D" w:rsidRPr="005D642E">
        <w:rPr>
          <w:rtl/>
        </w:rPr>
        <w:t xml:space="preserve"> ، كتاب الطهارة ، باب الاستبراء من البول وغسله ومن لم يجد الماء ، ح 3894 </w:t>
      </w:r>
      <w:r w:rsidR="00BD40BD">
        <w:rPr>
          <w:rFonts w:hint="cs"/>
          <w:rtl/>
        </w:rPr>
        <w:t>.</w:t>
      </w:r>
      <w:r w:rsidR="00E3253D" w:rsidRPr="002F4D34">
        <w:rPr>
          <w:rStyle w:val="libFootnoteBoldChar"/>
          <w:rtl/>
        </w:rPr>
        <w:t>الوافي</w:t>
      </w:r>
      <w:r w:rsidR="00E3253D" w:rsidRPr="005D642E">
        <w:rPr>
          <w:rtl/>
        </w:rPr>
        <w:t xml:space="preserve"> ، ج 6 ، ص 175 ، ح 4035 ؛ </w:t>
      </w:r>
      <w:r w:rsidR="00E3253D" w:rsidRPr="002F4D34">
        <w:rPr>
          <w:rStyle w:val="libFootnoteBoldChar"/>
          <w:rtl/>
        </w:rPr>
        <w:t>الوسائل</w:t>
      </w:r>
      <w:r w:rsidR="00E3253D" w:rsidRPr="005D642E">
        <w:rPr>
          <w:rtl/>
        </w:rPr>
        <w:t xml:space="preserve"> ، ج 1 ، ص 276 ، ح 726.</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ى ، بث ، بح</w:t>
      </w:r>
      <w:r w:rsidR="00BD40BD">
        <w:rPr>
          <w:rtl/>
        </w:rPr>
        <w:t xml:space="preserve"> ، بخ ، بس ، جن » : « ما هو إل</w:t>
      </w:r>
      <w:r w:rsidR="00BD40BD">
        <w:rPr>
          <w:rFonts w:hint="cs"/>
          <w:rtl/>
        </w:rPr>
        <w:t>ّ</w:t>
      </w:r>
      <w:r w:rsidR="00BD40BD">
        <w:rPr>
          <w:rtl/>
        </w:rPr>
        <w:t>ا</w:t>
      </w:r>
      <w:r w:rsidR="00E3253D" w:rsidRPr="005D642E">
        <w:rPr>
          <w:rtl/>
        </w:rPr>
        <w:t xml:space="preserve"> والنخامة سواء »</w:t>
      </w:r>
      <w:r w:rsidR="00E3253D">
        <w:rPr>
          <w:rtl/>
        </w:rPr>
        <w:t>.</w:t>
      </w:r>
      <w:r w:rsidR="00E3253D" w:rsidRPr="005D642E">
        <w:rPr>
          <w:rtl/>
        </w:rPr>
        <w:t xml:space="preserve"> و</w:t>
      </w:r>
      <w:r w:rsidR="00BD40BD">
        <w:rPr>
          <w:rtl/>
        </w:rPr>
        <w:t>في « جس » : « ما هو النخامة إل</w:t>
      </w:r>
      <w:r w:rsidR="00BD40BD">
        <w:rPr>
          <w:rFonts w:hint="cs"/>
          <w:rtl/>
        </w:rPr>
        <w:t>ّ</w:t>
      </w:r>
      <w:r w:rsidR="00BD40BD">
        <w:rPr>
          <w:rtl/>
        </w:rPr>
        <w:t>ا</w:t>
      </w:r>
      <w:r w:rsidR="00E3253D" w:rsidRPr="005D642E">
        <w:rPr>
          <w:rtl/>
        </w:rPr>
        <w:t>سواء »</w:t>
      </w:r>
      <w:r w:rsidR="00E3253D">
        <w:rPr>
          <w:rtl/>
        </w:rPr>
        <w:t>.</w:t>
      </w:r>
      <w:r w:rsidR="00E3253D" w:rsidRPr="005D642E">
        <w:rPr>
          <w:rtl/>
        </w:rPr>
        <w:t xml:space="preserve"> وفي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BD40BD">
        <w:rPr>
          <w:rtl/>
        </w:rPr>
        <w:t xml:space="preserve"> : « ما هو عندي إل</w:t>
      </w:r>
      <w:r w:rsidR="00BD40BD">
        <w:rPr>
          <w:rFonts w:hint="cs"/>
          <w:rtl/>
        </w:rPr>
        <w:t>ّ</w:t>
      </w:r>
      <w:r w:rsidR="00BD40BD">
        <w:rPr>
          <w:rtl/>
        </w:rPr>
        <w:t>ا</w:t>
      </w:r>
      <w:r w:rsidR="00E3253D" w:rsidRPr="005D642E">
        <w:rPr>
          <w:rtl/>
        </w:rPr>
        <w:t>كالنخامة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علل الشرائع</w:t>
      </w:r>
      <w:r w:rsidR="00E3253D" w:rsidRPr="005D642E">
        <w:rPr>
          <w:rtl/>
        </w:rPr>
        <w:t xml:space="preserve"> ، ص 296 ، ح 4 ، عن أبيه ، عن محمّد بن يحيى. وفي </w:t>
      </w:r>
      <w:r w:rsidR="00E3253D" w:rsidRPr="002F4D34">
        <w:rPr>
          <w:rStyle w:val="libFootnoteBoldChar"/>
          <w:rtl/>
        </w:rPr>
        <w:t>التهذيب</w:t>
      </w:r>
      <w:r w:rsidR="00E3253D" w:rsidRPr="005D642E">
        <w:rPr>
          <w:rtl/>
        </w:rPr>
        <w:t xml:space="preserve"> ، ج 1 ، ص 17 ، ح 38 ؛ </w:t>
      </w:r>
      <w:r w:rsidR="00E3253D" w:rsidRPr="00E678B5">
        <w:rPr>
          <w:rStyle w:val="libFootnoteBoldChar"/>
          <w:rtl/>
        </w:rPr>
        <w:t>والاستبصار</w:t>
      </w:r>
      <w:r w:rsidR="00E3253D" w:rsidRPr="005D642E">
        <w:rPr>
          <w:rtl/>
        </w:rPr>
        <w:t xml:space="preserve"> ، ج 1 ، ص 91 ، ح 291 ، بسند آخر عن أحمد بن محمّد بن عيسى ، عن الحسن بن عليّ بن فضّال ، عن عبدالله بن بكير </w:t>
      </w:r>
      <w:r w:rsidR="001A11DF">
        <w:rPr>
          <w:rFonts w:hint="cs"/>
          <w:rtl/>
        </w:rPr>
        <w:t>.</w:t>
      </w:r>
      <w:r w:rsidR="00E3253D" w:rsidRPr="002F4D34">
        <w:rPr>
          <w:rStyle w:val="libFootnoteBoldChar"/>
          <w:rtl/>
        </w:rPr>
        <w:t>الوافي</w:t>
      </w:r>
      <w:r w:rsidR="00E3253D" w:rsidRPr="005D642E">
        <w:rPr>
          <w:rtl/>
        </w:rPr>
        <w:t xml:space="preserve"> ، ج 6 ، ص 176 ، ح 4039 ؛ </w:t>
      </w:r>
      <w:r w:rsidR="00E3253D" w:rsidRPr="002F4D34">
        <w:rPr>
          <w:rStyle w:val="libFootnoteBoldChar"/>
          <w:rtl/>
        </w:rPr>
        <w:t>الوسائل</w:t>
      </w:r>
      <w:r w:rsidR="00E3253D" w:rsidRPr="005D642E">
        <w:rPr>
          <w:rtl/>
        </w:rPr>
        <w:t xml:space="preserve"> ، ج 1 ، ص 278 ، ذيل ح 732.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العلل : « يزيد »</w:t>
      </w:r>
      <w:r w:rsidR="00E3253D">
        <w:rPr>
          <w:rtl/>
        </w:rPr>
        <w:t>.</w:t>
      </w:r>
      <w:r w:rsidR="00E3253D" w:rsidRPr="005D642E">
        <w:rPr>
          <w:rtl/>
        </w:rPr>
        <w:t xml:space="preserve"> وهو سهو ، وابن معاوية هذا ، هو بريد بن معاوية العجلي ، روى عنه [ عمر ] بن أذينة في‌كثيرٍ من الأسناد. راجع : </w:t>
      </w:r>
      <w:r w:rsidR="00E3253D" w:rsidRPr="002F4D34">
        <w:rPr>
          <w:rStyle w:val="libFootnoteBoldChar"/>
          <w:rtl/>
        </w:rPr>
        <w:t>معجم الرجال الحديث</w:t>
      </w:r>
      <w:r w:rsidR="00E3253D" w:rsidRPr="005D642E">
        <w:rPr>
          <w:rtl/>
        </w:rPr>
        <w:t xml:space="preserve"> ، ج 13 ، ص 364</w:t>
      </w:r>
      <w:r w:rsidR="00E3253D">
        <w:rPr>
          <w:rtl/>
        </w:rPr>
        <w:t xml:space="preserve"> </w:t>
      </w:r>
      <w:r w:rsidR="007642BC">
        <w:rPr>
          <w:rtl/>
        </w:rPr>
        <w:t>-</w:t>
      </w:r>
      <w:r w:rsidR="00E3253D">
        <w:rPr>
          <w:rtl/>
        </w:rPr>
        <w:t xml:space="preserve"> </w:t>
      </w:r>
      <w:r w:rsidR="00E3253D" w:rsidRPr="005D642E">
        <w:rPr>
          <w:rtl/>
        </w:rPr>
        <w:t>366 ؛ ج 22 ، ص 356.</w:t>
      </w:r>
    </w:p>
    <w:tbl>
      <w:tblPr>
        <w:tblStyle w:val="TableGrid"/>
        <w:bidiVisual/>
        <w:tblW w:w="0" w:type="auto"/>
        <w:tblLook w:val="04A0" w:firstRow="1" w:lastRow="0" w:firstColumn="1" w:lastColumn="0" w:noHBand="0" w:noVBand="1"/>
      </w:tblPr>
      <w:tblGrid>
        <w:gridCol w:w="4006"/>
        <w:gridCol w:w="4006"/>
      </w:tblGrid>
      <w:tr w:rsidR="007146BA" w:rsidTr="007146BA">
        <w:tc>
          <w:tcPr>
            <w:tcW w:w="4006" w:type="dxa"/>
          </w:tcPr>
          <w:p w:rsidR="007146BA" w:rsidRDefault="007146BA" w:rsidP="00E3253D">
            <w:pPr>
              <w:pStyle w:val="libFootnote0"/>
              <w:rPr>
                <w:rStyle w:val="libFootnote0Char"/>
                <w:rtl/>
              </w:rPr>
            </w:pPr>
            <w:r w:rsidRPr="0042621E">
              <w:rPr>
                <w:rStyle w:val="libFootnote0Char"/>
                <w:rtl/>
              </w:rPr>
              <w:t>(4).</w:t>
            </w:r>
            <w:r w:rsidRPr="005D642E">
              <w:rPr>
                <w:rtl/>
              </w:rPr>
              <w:t xml:space="preserve"> في « بخ » وحاشية « بح » : « أباعبدالله »</w:t>
            </w:r>
            <w:r>
              <w:rPr>
                <w:rtl/>
              </w:rPr>
              <w:t>.</w:t>
            </w:r>
          </w:p>
        </w:tc>
        <w:tc>
          <w:tcPr>
            <w:tcW w:w="4006" w:type="dxa"/>
          </w:tcPr>
          <w:p w:rsidR="007146BA" w:rsidRDefault="00930FE7" w:rsidP="00E3253D">
            <w:pPr>
              <w:pStyle w:val="libFootnote0"/>
              <w:rPr>
                <w:rStyle w:val="libFootnote0Char"/>
                <w:rtl/>
              </w:rPr>
            </w:pPr>
            <w:r w:rsidRPr="0042621E">
              <w:rPr>
                <w:rStyle w:val="libFootnote0Char"/>
                <w:rtl/>
              </w:rPr>
              <w:t>(5).</w:t>
            </w:r>
            <w:r w:rsidRPr="005D642E">
              <w:rPr>
                <w:rtl/>
              </w:rPr>
              <w:t xml:space="preserve"> في « بح » وحاشية « ظ » : « النخامة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وحاشية « ظ ، بث ، بخ » والوسائل والعلل : « والبصاق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علل الشرائع</w:t>
      </w:r>
      <w:r w:rsidR="00E3253D" w:rsidRPr="005D642E">
        <w:rPr>
          <w:rtl/>
        </w:rPr>
        <w:t xml:space="preserve"> ، ص 296 ، ح 3 ، بسنده عن إبراهيم بن هاشم ، عن ابن أبي عمير. وفي </w:t>
      </w:r>
      <w:r w:rsidR="00E3253D" w:rsidRPr="002F4D34">
        <w:rPr>
          <w:rStyle w:val="libFootnoteBoldChar"/>
          <w:rtl/>
        </w:rPr>
        <w:t>التهذيب</w:t>
      </w:r>
      <w:r w:rsidR="00E3253D" w:rsidRPr="005D642E">
        <w:rPr>
          <w:rtl/>
        </w:rPr>
        <w:t xml:space="preserve"> ، ج 1 ، ص 17 ، </w:t>
      </w:r>
      <w:r w:rsidR="00B76F3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947E0">
        <w:rPr>
          <w:rtl/>
        </w:rPr>
        <w:lastRenderedPageBreak/>
        <w:t>3993</w:t>
      </w:r>
      <w:r w:rsidRPr="00246318">
        <w:rPr>
          <w:rStyle w:val="libBold2Char"/>
          <w:rtl/>
        </w:rPr>
        <w:t xml:space="preserve"> / 4.</w:t>
      </w:r>
      <w:r w:rsidRPr="005D642E">
        <w:rPr>
          <w:rtl/>
          <w:lang w:bidi="fa-IR"/>
        </w:rPr>
        <w:t xml:space="preserve"> عَلِيُّ بْنُ إِبْرَاهِيمَ ، عَنْ أَبِيهِ ، عَنْ حَمَّادٍ ، عَنْ حَرِيزٍ ، عَنْ </w:t>
      </w:r>
      <w:r w:rsidR="00985CEF">
        <w:rPr>
          <w:rtl/>
          <w:lang w:bidi="fa-IR"/>
        </w:rPr>
        <w:t>مُحَمَّدِ بْنِ مُسْلِمٍ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عَنِ الْمَذْيِ يَسِيلُ حَتّى يُصِيبَ الْفَخِذَ</w:t>
      </w:r>
      <w:r>
        <w:rPr>
          <w:rtl/>
          <w:lang w:bidi="fa-IR"/>
        </w:rPr>
        <w:t>؟</w:t>
      </w:r>
    </w:p>
    <w:p w:rsidR="00E3253D" w:rsidRPr="005D642E" w:rsidRDefault="00E3253D" w:rsidP="00E3253D">
      <w:pPr>
        <w:pStyle w:val="libNormal"/>
        <w:rPr>
          <w:rtl/>
          <w:lang w:bidi="fa-IR"/>
        </w:rPr>
      </w:pPr>
      <w:r w:rsidRPr="005D642E">
        <w:rPr>
          <w:rtl/>
          <w:lang w:bidi="fa-IR"/>
        </w:rPr>
        <w:t xml:space="preserve">فَقَالَ : « لَا يَقْطَعُ صَلَاتَهُ ، وَلَايَغْسِلُهُ مِنْ فَخِذِهِ ؛ إِنَّهُ </w:t>
      </w:r>
      <w:r w:rsidRPr="007C12DB">
        <w:rPr>
          <w:rStyle w:val="libFootnotenumChar"/>
          <w:rtl/>
        </w:rPr>
        <w:t>(1)</w:t>
      </w:r>
      <w:r w:rsidRPr="005D642E">
        <w:rPr>
          <w:rtl/>
          <w:lang w:bidi="fa-IR"/>
        </w:rPr>
        <w:t xml:space="preserve"> لَمْ يَخْرُجْ مِنْ مَخْرَجِ الْمَنِيِّ ، إِنَّمَا هُوَ بِمَنْزِلَةِ النُّخَامَةِ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96" w:name="_Toc344647242"/>
      <w:bookmarkStart w:id="97" w:name="_Toc462226757"/>
      <w:bookmarkStart w:id="98" w:name="_Toc40975865"/>
      <w:r w:rsidRPr="005D642E">
        <w:rPr>
          <w:rtl/>
          <w:lang w:bidi="fa-IR"/>
        </w:rPr>
        <w:t>26</w:t>
      </w:r>
      <w:r>
        <w:rPr>
          <w:rtl/>
          <w:lang w:bidi="fa-IR"/>
        </w:rPr>
        <w:t xml:space="preserve"> </w:t>
      </w:r>
      <w:r w:rsidR="007642BC">
        <w:rPr>
          <w:rtl/>
          <w:lang w:bidi="fa-IR"/>
        </w:rPr>
        <w:t>-</w:t>
      </w:r>
      <w:r>
        <w:rPr>
          <w:rtl/>
          <w:lang w:bidi="fa-IR"/>
        </w:rPr>
        <w:t xml:space="preserve"> </w:t>
      </w:r>
      <w:r w:rsidRPr="005D642E">
        <w:rPr>
          <w:rtl/>
          <w:lang w:bidi="fa-IR"/>
        </w:rPr>
        <w:t>بَابُ أَنْوَاعِ الْغُسْلِ‌</w:t>
      </w:r>
      <w:bookmarkEnd w:id="96"/>
      <w:bookmarkEnd w:id="97"/>
      <w:bookmarkEnd w:id="98"/>
    </w:p>
    <w:p w:rsidR="00E3253D" w:rsidRPr="005D642E" w:rsidRDefault="00E3253D" w:rsidP="00E3253D">
      <w:pPr>
        <w:pStyle w:val="libNormal"/>
        <w:rPr>
          <w:rtl/>
          <w:lang w:bidi="fa-IR"/>
        </w:rPr>
      </w:pPr>
      <w:r w:rsidRPr="00D947E0">
        <w:rPr>
          <w:rtl/>
        </w:rPr>
        <w:t>3994</w:t>
      </w:r>
      <w:r w:rsidRPr="00246318">
        <w:rPr>
          <w:rStyle w:val="libBold2Char"/>
          <w:rtl/>
        </w:rPr>
        <w:t xml:space="preserve"> / 1.</w:t>
      </w:r>
      <w:r w:rsidRPr="005D642E">
        <w:rPr>
          <w:rtl/>
          <w:lang w:bidi="fa-IR"/>
        </w:rPr>
        <w:t xml:space="preserve"> مُحَمَّدُ بْنُ إِسْمَاعِيلَ ، عَنِ الْفَضْلِ بْنِ شَاذَانَ ، عَنْ صَفْوَانَ بْنِ يَحْيى وَابْنِ أَبِي عُمَيْرٍ ، عَنْ مُعَاوِيَةَ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سَمِعْتُهُ يَقُولُ : « الْغُسْلُ مِنَ الْجَنَابَةِ ، وَيَوْمَ الْجُمُعَةِ وَالْعِيدَيْنِ ، وَحِينَ </w:t>
      </w:r>
      <w:r w:rsidRPr="007C12DB">
        <w:rPr>
          <w:rStyle w:val="libFootnotenumChar"/>
          <w:rtl/>
        </w:rPr>
        <w:t>(4)</w:t>
      </w:r>
      <w:r w:rsidRPr="005D642E">
        <w:rPr>
          <w:rtl/>
          <w:lang w:bidi="fa-IR"/>
        </w:rPr>
        <w:t xml:space="preserve"> تُحْرِمُ </w:t>
      </w:r>
      <w:r w:rsidRPr="007C12DB">
        <w:rPr>
          <w:rStyle w:val="libFootnotenumChar"/>
          <w:rtl/>
        </w:rPr>
        <w:t>(5)</w:t>
      </w:r>
      <w:r w:rsidRPr="005D642E">
        <w:rPr>
          <w:rtl/>
          <w:lang w:bidi="fa-IR"/>
        </w:rPr>
        <w:t xml:space="preserve"> ، وَحِينَ تَدْخُلُ </w:t>
      </w:r>
      <w:r w:rsidRPr="007C12DB">
        <w:rPr>
          <w:rStyle w:val="libFootnotenumChar"/>
          <w:rtl/>
        </w:rPr>
        <w:t>(6)</w:t>
      </w:r>
      <w:r w:rsidRPr="005D642E">
        <w:rPr>
          <w:rtl/>
          <w:lang w:bidi="fa-IR"/>
        </w:rPr>
        <w:t xml:space="preserve"> مَكَّةَ وَالْمَدِينَةَ ، وَيَوْمَ عَرَفَةَ ، وَيَوْمَ تَزُورُ </w:t>
      </w:r>
      <w:r w:rsidRPr="007C12DB">
        <w:rPr>
          <w:rStyle w:val="libFootnotenumChar"/>
          <w:rtl/>
        </w:rPr>
        <w:t>(7)</w:t>
      </w:r>
      <w:r w:rsidRPr="005D642E">
        <w:rPr>
          <w:rtl/>
          <w:lang w:bidi="fa-IR"/>
        </w:rPr>
        <w:t xml:space="preserve"> الْبَيْتَ ، وَحِينَ تَدْخُلُ الْكَعْبَةَ ، وَفِي لَيْلَةِ تِسْعَ عَشْرَةَ ، وَإِحْدى وَعِشْرِينَ ، وَثَلَاثٍ وَعِشْرِينَ مِنْ شَهْرِ رَمَضَانَ ، وَمَنْ غَسَّلَ مَيِّتاً </w:t>
      </w:r>
      <w:r w:rsidRPr="007C12DB">
        <w:rPr>
          <w:rStyle w:val="libFootnotenumChar"/>
          <w:rtl/>
        </w:rPr>
        <w:t>(8)</w:t>
      </w:r>
      <w:r w:rsidRPr="005D642E">
        <w:rPr>
          <w:rtl/>
          <w:lang w:bidi="fa-IR"/>
        </w:rPr>
        <w:t xml:space="preserve">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8A6A0E" w:rsidP="00E3253D">
      <w:pPr>
        <w:pStyle w:val="libFootnote0"/>
        <w:rPr>
          <w:rtl/>
          <w:lang w:bidi="fa-IR"/>
        </w:rPr>
      </w:pPr>
      <w:r>
        <w:rPr>
          <w:rFonts w:hint="cs"/>
          <w:rtl/>
        </w:rPr>
        <w:t>=</w:t>
      </w:r>
      <w:r w:rsidR="00E3253D" w:rsidRPr="005D642E">
        <w:rPr>
          <w:rtl/>
        </w:rPr>
        <w:t xml:space="preserve">ح 40 ؛ </w:t>
      </w:r>
      <w:r w:rsidR="00E3253D" w:rsidRPr="00E678B5">
        <w:rPr>
          <w:rStyle w:val="libFootnoteBoldChar"/>
          <w:rtl/>
        </w:rPr>
        <w:t>والاستبصار</w:t>
      </w:r>
      <w:r w:rsidR="00E3253D" w:rsidRPr="005D642E">
        <w:rPr>
          <w:rtl/>
        </w:rPr>
        <w:t xml:space="preserve"> ، ج 1 ، ص 91 ، ح 293 ، بسند آخر عن أبي عبدالله </w:t>
      </w:r>
      <w:r w:rsidR="00E3253D" w:rsidRPr="00B403E7">
        <w:rPr>
          <w:rStyle w:val="libFootnoteAlaemChar"/>
          <w:rtl/>
        </w:rPr>
        <w:t>عليه‌السلام</w:t>
      </w:r>
      <w:r w:rsidR="00E3253D" w:rsidRPr="005D642E">
        <w:rPr>
          <w:rtl/>
        </w:rPr>
        <w:t xml:space="preserve"> ، مع اختلاف يسير. </w:t>
      </w:r>
      <w:r w:rsidR="00E3253D" w:rsidRPr="002F4D34">
        <w:rPr>
          <w:rStyle w:val="libFootnoteBoldChar"/>
          <w:rtl/>
        </w:rPr>
        <w:t>الفقيه</w:t>
      </w:r>
      <w:r w:rsidR="00E3253D" w:rsidRPr="005D642E">
        <w:rPr>
          <w:rtl/>
        </w:rPr>
        <w:t xml:space="preserve"> ، ج 1 ، ص 66 ، ح 150 ، مرسلاً ، مع اختلاف يسير. راجع : </w:t>
      </w:r>
      <w:r w:rsidR="00E3253D" w:rsidRPr="002F4D34">
        <w:rPr>
          <w:rStyle w:val="libFootnoteBoldChar"/>
          <w:rtl/>
        </w:rPr>
        <w:t>الفقيه</w:t>
      </w:r>
      <w:r w:rsidR="00E3253D" w:rsidRPr="005D642E">
        <w:rPr>
          <w:rtl/>
        </w:rPr>
        <w:t xml:space="preserve"> ، ج 1 ، ص 65 ، ح 149 ؛ و</w:t>
      </w:r>
      <w:r w:rsidR="00E3253D" w:rsidRPr="002F4D34">
        <w:rPr>
          <w:rStyle w:val="libFootnoteBoldChar"/>
          <w:rtl/>
        </w:rPr>
        <w:t xml:space="preserve">فقه الرضا </w:t>
      </w:r>
      <w:r w:rsidR="00E3253D" w:rsidRPr="00B403E7">
        <w:rPr>
          <w:rStyle w:val="libFootnoteAlaemChar"/>
          <w:rtl/>
        </w:rPr>
        <w:t>عليه‌السلام</w:t>
      </w:r>
      <w:r w:rsidR="00E3253D" w:rsidRPr="005D642E">
        <w:rPr>
          <w:rtl/>
        </w:rPr>
        <w:t xml:space="preserve"> ، ص 65 </w:t>
      </w:r>
      <w:r w:rsidR="00B403E7">
        <w:rPr>
          <w:rFonts w:hint="cs"/>
          <w:rtl/>
        </w:rPr>
        <w:t>.</w:t>
      </w:r>
      <w:r w:rsidR="00E3253D" w:rsidRPr="002F4D34">
        <w:rPr>
          <w:rStyle w:val="libFootnoteBoldChar"/>
          <w:rtl/>
        </w:rPr>
        <w:t>الوافي</w:t>
      </w:r>
      <w:r w:rsidR="00E3253D" w:rsidRPr="005D642E">
        <w:rPr>
          <w:rtl/>
        </w:rPr>
        <w:t xml:space="preserve"> ، ج 6 ، ص 176 ، ح 4036 ؛ </w:t>
      </w:r>
      <w:r w:rsidR="00E3253D" w:rsidRPr="002F4D34">
        <w:rPr>
          <w:rStyle w:val="libFootnoteBoldChar"/>
          <w:rtl/>
        </w:rPr>
        <w:t>الوسائل</w:t>
      </w:r>
      <w:r w:rsidR="00E3253D" w:rsidRPr="005D642E">
        <w:rPr>
          <w:rtl/>
        </w:rPr>
        <w:t xml:space="preserve"> ، ج 1 ، ص 276 ، ح 725.</w:t>
      </w:r>
    </w:p>
    <w:tbl>
      <w:tblPr>
        <w:tblStyle w:val="TableGrid"/>
        <w:bidiVisual/>
        <w:tblW w:w="0" w:type="auto"/>
        <w:tblLook w:val="04A0" w:firstRow="1" w:lastRow="0" w:firstColumn="1" w:lastColumn="0" w:noHBand="0" w:noVBand="1"/>
      </w:tblPr>
      <w:tblGrid>
        <w:gridCol w:w="4006"/>
        <w:gridCol w:w="4006"/>
      </w:tblGrid>
      <w:tr w:rsidR="00B403E7" w:rsidTr="00B403E7">
        <w:tc>
          <w:tcPr>
            <w:tcW w:w="4006" w:type="dxa"/>
          </w:tcPr>
          <w:p w:rsidR="00B403E7" w:rsidRDefault="00B403E7" w:rsidP="00E3253D">
            <w:pPr>
              <w:pStyle w:val="libFootnote0"/>
              <w:rPr>
                <w:rStyle w:val="libFootnote0Char"/>
                <w:rtl/>
              </w:rPr>
            </w:pPr>
            <w:r w:rsidRPr="0042621E">
              <w:rPr>
                <w:rStyle w:val="libFootnote0Char"/>
                <w:rtl/>
              </w:rPr>
              <w:t>(1).</w:t>
            </w:r>
            <w:r>
              <w:rPr>
                <w:rtl/>
              </w:rPr>
              <w:t xml:space="preserve"> </w:t>
            </w:r>
            <w:r w:rsidRPr="005D642E">
              <w:rPr>
                <w:rtl/>
              </w:rPr>
              <w:t>في العلل : « لأنّه »</w:t>
            </w:r>
            <w:r>
              <w:rPr>
                <w:rtl/>
              </w:rPr>
              <w:t>.</w:t>
            </w:r>
          </w:p>
        </w:tc>
        <w:tc>
          <w:tcPr>
            <w:tcW w:w="4006" w:type="dxa"/>
          </w:tcPr>
          <w:p w:rsidR="00B403E7" w:rsidRDefault="00B403E7" w:rsidP="00E3253D">
            <w:pPr>
              <w:pStyle w:val="libFootnote0"/>
              <w:rPr>
                <w:rStyle w:val="libFootnote0Char"/>
                <w:rtl/>
              </w:rPr>
            </w:pPr>
            <w:r w:rsidRPr="0042621E">
              <w:rPr>
                <w:rStyle w:val="libFootnote0Char"/>
                <w:rtl/>
              </w:rPr>
              <w:t>(2).</w:t>
            </w:r>
            <w:r w:rsidRPr="005D642E">
              <w:rPr>
                <w:rtl/>
              </w:rPr>
              <w:t xml:space="preserve"> لم ترد هذه الرواية في « بح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علل الشرائع</w:t>
      </w:r>
      <w:r w:rsidR="00E3253D" w:rsidRPr="005D642E">
        <w:rPr>
          <w:rtl/>
        </w:rPr>
        <w:t xml:space="preserve"> ، ص 296 ، ح 2 ، عن أبيه ، عن عليّ بن إبراهيم ، عن حمّاد ، عن حريز ، عن زرارة ، عن أبي عبدالله </w:t>
      </w:r>
      <w:r w:rsidR="00E3253D" w:rsidRPr="00B403E7">
        <w:rPr>
          <w:rStyle w:val="libFootnoteAlaemChar"/>
          <w:rtl/>
        </w:rPr>
        <w:t>عليه‌السلام</w:t>
      </w:r>
      <w:r w:rsidR="00E3253D" w:rsidRPr="005D642E">
        <w:rPr>
          <w:rtl/>
        </w:rPr>
        <w:t xml:space="preserve"> </w:t>
      </w:r>
      <w:r w:rsidR="0033330E">
        <w:rPr>
          <w:rFonts w:hint="cs"/>
          <w:rtl/>
        </w:rPr>
        <w:t>.</w:t>
      </w:r>
      <w:r w:rsidR="00E3253D" w:rsidRPr="002F4D34">
        <w:rPr>
          <w:rStyle w:val="libFootnoteBoldChar"/>
          <w:rtl/>
        </w:rPr>
        <w:t>الوافي</w:t>
      </w:r>
      <w:r w:rsidR="00E3253D" w:rsidRPr="005D642E">
        <w:rPr>
          <w:rtl/>
        </w:rPr>
        <w:t xml:space="preserve"> ، ج 6 ، ص 176 ، ح 4037 ؛ </w:t>
      </w:r>
      <w:r w:rsidR="00E3253D" w:rsidRPr="002F4D34">
        <w:rPr>
          <w:rStyle w:val="libFootnoteBoldChar"/>
          <w:rtl/>
        </w:rPr>
        <w:t>الوسائل</w:t>
      </w:r>
      <w:r w:rsidR="00E3253D" w:rsidRPr="005D642E">
        <w:rPr>
          <w:rtl/>
        </w:rPr>
        <w:t xml:space="preserve"> ، ج 1 ، ص 277 ، ح 727.</w:t>
      </w:r>
    </w:p>
    <w:tbl>
      <w:tblPr>
        <w:tblStyle w:val="TableGrid"/>
        <w:bidiVisual/>
        <w:tblW w:w="0" w:type="auto"/>
        <w:tblLook w:val="04A0" w:firstRow="1" w:lastRow="0" w:firstColumn="1" w:lastColumn="0" w:noHBand="0" w:noVBand="1"/>
      </w:tblPr>
      <w:tblGrid>
        <w:gridCol w:w="4006"/>
        <w:gridCol w:w="4006"/>
      </w:tblGrid>
      <w:tr w:rsidR="0033330E" w:rsidTr="0033330E">
        <w:tc>
          <w:tcPr>
            <w:tcW w:w="4006" w:type="dxa"/>
          </w:tcPr>
          <w:p w:rsidR="0033330E" w:rsidRDefault="0033330E" w:rsidP="00E3253D">
            <w:pPr>
              <w:pStyle w:val="libFootnote0"/>
              <w:rPr>
                <w:rStyle w:val="libFootnote0Char"/>
                <w:rtl/>
              </w:rPr>
            </w:pPr>
            <w:r w:rsidRPr="0042621E">
              <w:rPr>
                <w:rStyle w:val="libFootnote0Char"/>
                <w:rtl/>
              </w:rPr>
              <w:t>(4).</w:t>
            </w:r>
            <w:r w:rsidRPr="005D642E">
              <w:rPr>
                <w:rtl/>
              </w:rPr>
              <w:t xml:space="preserve"> في « ى » : « ويوم »</w:t>
            </w:r>
            <w:r>
              <w:rPr>
                <w:rtl/>
              </w:rPr>
              <w:t>.</w:t>
            </w:r>
          </w:p>
        </w:tc>
        <w:tc>
          <w:tcPr>
            <w:tcW w:w="4006" w:type="dxa"/>
          </w:tcPr>
          <w:p w:rsidR="0033330E" w:rsidRDefault="0033330E" w:rsidP="00E3253D">
            <w:pPr>
              <w:pStyle w:val="libFootnote0"/>
              <w:rPr>
                <w:rStyle w:val="libFootnote0Char"/>
                <w:rtl/>
              </w:rPr>
            </w:pPr>
            <w:r w:rsidRPr="0042621E">
              <w:rPr>
                <w:rStyle w:val="libFootnote0Char"/>
                <w:rtl/>
              </w:rPr>
              <w:t>(5).</w:t>
            </w:r>
            <w:r w:rsidRPr="005D642E">
              <w:rPr>
                <w:rtl/>
              </w:rPr>
              <w:t xml:space="preserve"> في « بح ، جس ، جن » : « يحرم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جح ، جس ، جن » : « يدخل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يزور » بدل « ويوم تزور »</w:t>
      </w:r>
      <w:r w:rsidR="00E3253D">
        <w:rPr>
          <w:rtl/>
        </w:rPr>
        <w:t>.</w:t>
      </w:r>
      <w:r w:rsidR="00E3253D" w:rsidRPr="005D642E">
        <w:rPr>
          <w:rtl/>
        </w:rPr>
        <w:t xml:space="preserve"> وفي حاشية « بح » : « ويوم تروية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B403E7">
        <w:rPr>
          <w:rStyle w:val="libFootnoteAlaemChar"/>
          <w:rtl/>
        </w:rPr>
        <w:t>عليه‌السلام</w:t>
      </w:r>
      <w:r w:rsidR="00E3253D" w:rsidRPr="005D642E">
        <w:rPr>
          <w:rtl/>
        </w:rPr>
        <w:t xml:space="preserve"> : ومن غسّل ميّتاً ، ظاهره غسل المسّ لا غسل الميّت ، كما فهمه الشيخ </w:t>
      </w:r>
      <w:r w:rsidR="00E3253D" w:rsidRPr="000145A7">
        <w:rPr>
          <w:rStyle w:val="libFootnoteAlaemChar"/>
          <w:rtl/>
        </w:rPr>
        <w:t>رحمه‌الله</w:t>
      </w:r>
      <w:r w:rsidR="00E3253D" w:rsidRPr="005D642E">
        <w:rPr>
          <w:rtl/>
        </w:rPr>
        <w:t xml:space="preserve">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الخصال</w:t>
      </w:r>
      <w:r w:rsidR="00E3253D" w:rsidRPr="005D642E">
        <w:rPr>
          <w:rtl/>
        </w:rPr>
        <w:t xml:space="preserve"> ، ص 498 ، أبواب الأربعة عشر ، ح 5 ؛ </w:t>
      </w:r>
      <w:r w:rsidR="00B60612" w:rsidRPr="00B60612">
        <w:rPr>
          <w:rStyle w:val="libFootnoteBoldChar"/>
          <w:rtl/>
        </w:rPr>
        <w:t>والتهذيب</w:t>
      </w:r>
      <w:r w:rsidR="00E3253D" w:rsidRPr="005D642E">
        <w:rPr>
          <w:rtl/>
        </w:rPr>
        <w:t xml:space="preserve"> ، ج 1 ، ص 110 ، ح 290 ، بسند آخر. </w:t>
      </w:r>
      <w:r w:rsidR="00E3253D" w:rsidRPr="002F4D34">
        <w:rPr>
          <w:rStyle w:val="libFootnoteBoldChar"/>
          <w:rtl/>
        </w:rPr>
        <w:t>وفيه</w:t>
      </w:r>
      <w:r w:rsidR="00E3253D" w:rsidRPr="005D642E">
        <w:rPr>
          <w:rtl/>
        </w:rPr>
        <w:t xml:space="preserve"> ، ص 105 ، ح 272 ، بسند آخر عن أبي جعفر </w:t>
      </w:r>
      <w:r w:rsidR="00E3253D" w:rsidRPr="000145A7">
        <w:rPr>
          <w:rStyle w:val="libFootnoteAlaemChar"/>
          <w:rtl/>
        </w:rPr>
        <w:t>عليه‌السلام</w:t>
      </w:r>
      <w:r w:rsidR="00E3253D" w:rsidRPr="005D642E">
        <w:rPr>
          <w:rtl/>
        </w:rPr>
        <w:t xml:space="preserve">. راجع : </w:t>
      </w:r>
      <w:r w:rsidR="000D749A" w:rsidRPr="000D749A">
        <w:rPr>
          <w:rStyle w:val="libFootnoteBoldChar"/>
          <w:rtl/>
        </w:rPr>
        <w:t>الأمالي للصدوق</w:t>
      </w:r>
      <w:r w:rsidR="00E3253D" w:rsidRPr="005D642E">
        <w:rPr>
          <w:rtl/>
        </w:rPr>
        <w:t xml:space="preserve"> ، ص 647 ، المجلس 93 ؛ </w:t>
      </w:r>
      <w:r w:rsidR="009E68BB" w:rsidRPr="009E68BB">
        <w:rPr>
          <w:rStyle w:val="libFootnoteBoldChar"/>
          <w:rtl/>
        </w:rPr>
        <w:t>والخصال</w:t>
      </w:r>
      <w:r w:rsidR="00E3253D" w:rsidRPr="005D642E">
        <w:rPr>
          <w:rtl/>
        </w:rPr>
        <w:t xml:space="preserve"> ، ص 603 ، أبواب الثمانين ومافوقه ، ح 9 </w:t>
      </w:r>
      <w:r w:rsidR="000145A7">
        <w:rPr>
          <w:rFonts w:hint="cs"/>
          <w:rtl/>
        </w:rPr>
        <w:t>.</w:t>
      </w:r>
      <w:r w:rsidR="00E3253D" w:rsidRPr="002F4D34">
        <w:rPr>
          <w:rStyle w:val="libFootnoteBoldChar"/>
          <w:rtl/>
        </w:rPr>
        <w:t>الوافي</w:t>
      </w:r>
      <w:r w:rsidR="00E3253D" w:rsidRPr="005D642E">
        <w:rPr>
          <w:rtl/>
        </w:rPr>
        <w:t xml:space="preserve"> ، ج 6 ، ص 377 ، ح 4488 ؛ </w:t>
      </w:r>
      <w:r w:rsidR="00E3253D" w:rsidRPr="002F4D34">
        <w:rPr>
          <w:rStyle w:val="libFootnoteBoldChar"/>
          <w:rtl/>
        </w:rPr>
        <w:t>الوسائل</w:t>
      </w:r>
      <w:r w:rsidR="00E3253D" w:rsidRPr="005D642E">
        <w:rPr>
          <w:rtl/>
        </w:rPr>
        <w:t xml:space="preserve"> ، ج 3 ، ص 303 ، ح 3708.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947E0">
        <w:rPr>
          <w:rtl/>
        </w:rPr>
        <w:lastRenderedPageBreak/>
        <w:t>3995</w:t>
      </w:r>
      <w:r w:rsidRPr="00246318">
        <w:rPr>
          <w:rStyle w:val="libBold2Char"/>
          <w:rtl/>
        </w:rPr>
        <w:t xml:space="preserve"> / 2.</w:t>
      </w:r>
      <w:r w:rsidRPr="005D642E">
        <w:rPr>
          <w:rtl/>
          <w:lang w:bidi="fa-IR"/>
        </w:rPr>
        <w:t xml:space="preserve"> مُحَمَّدُ بْنُ يَحْيى ، عَنْ أَحْمَدَ بْنِ مُحَمَّدٍ ، عَنْ عُثْمَانَ بْنِ</w:t>
      </w:r>
      <w:r w:rsidR="00A32B62">
        <w:rPr>
          <w:rtl/>
          <w:lang w:bidi="fa-IR"/>
        </w:rPr>
        <w:t xml:space="preserve"> عِيسى ، عَنْ سَمَاعَةَ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غُسْلِ </w:t>
      </w:r>
      <w:r w:rsidRPr="007C12DB">
        <w:rPr>
          <w:rStyle w:val="libFootnotenumChar"/>
          <w:rtl/>
        </w:rPr>
        <w:t>(1)</w:t>
      </w:r>
      <w:r w:rsidRPr="005D642E">
        <w:rPr>
          <w:rtl/>
          <w:lang w:bidi="fa-IR"/>
        </w:rPr>
        <w:t xml:space="preserve"> الْجُمُعَةِ</w:t>
      </w:r>
      <w:r>
        <w:rPr>
          <w:rtl/>
          <w:lang w:bidi="fa-IR"/>
        </w:rPr>
        <w:t>؟</w:t>
      </w:r>
    </w:p>
    <w:p w:rsidR="00E3253D" w:rsidRPr="005D642E" w:rsidRDefault="00E3253D" w:rsidP="00E3253D">
      <w:pPr>
        <w:pStyle w:val="libNormal"/>
        <w:rPr>
          <w:rtl/>
          <w:lang w:bidi="fa-IR"/>
        </w:rPr>
      </w:pPr>
      <w:r w:rsidRPr="005D642E">
        <w:rPr>
          <w:rtl/>
          <w:lang w:bidi="fa-IR"/>
        </w:rPr>
        <w:t xml:space="preserve">فَقَالَ : « وَاجِبٌ </w:t>
      </w:r>
      <w:r w:rsidR="00D3727B">
        <w:rPr>
          <w:rtl/>
          <w:lang w:bidi="fa-IR"/>
        </w:rPr>
        <w:t>فِي السَّفَرِ وَالْحَضَرِ إِل</w:t>
      </w:r>
      <w:r w:rsidR="00D3727B">
        <w:rPr>
          <w:rFonts w:hint="cs"/>
          <w:rtl/>
          <w:lang w:bidi="fa-IR"/>
        </w:rPr>
        <w:t>َّ</w:t>
      </w:r>
      <w:r w:rsidR="00D3727B">
        <w:rPr>
          <w:rtl/>
          <w:lang w:bidi="fa-IR"/>
        </w:rPr>
        <w:t>ا</w:t>
      </w:r>
      <w:r w:rsidRPr="005D642E">
        <w:rPr>
          <w:rtl/>
          <w:lang w:bidi="fa-IR"/>
        </w:rPr>
        <w:t xml:space="preserve"> أَنَّهُ رُخِّصَ </w:t>
      </w:r>
      <w:r w:rsidRPr="007C12DB">
        <w:rPr>
          <w:rStyle w:val="libFootnotenumChar"/>
          <w:rtl/>
        </w:rPr>
        <w:t>(2)</w:t>
      </w:r>
      <w:r w:rsidRPr="005D642E">
        <w:rPr>
          <w:rtl/>
          <w:lang w:bidi="fa-IR"/>
        </w:rPr>
        <w:t xml:space="preserve"> لِلنِّسَاءِ فِي السَّفَرِ ، وَقِلَّةِ </w:t>
      </w:r>
      <w:r w:rsidRPr="007C12DB">
        <w:rPr>
          <w:rStyle w:val="libFootnotenumChar"/>
          <w:rtl/>
        </w:rPr>
        <w:t>(3)</w:t>
      </w:r>
      <w:r w:rsidRPr="005D642E">
        <w:rPr>
          <w:rtl/>
          <w:lang w:bidi="fa-IR"/>
        </w:rPr>
        <w:t xml:space="preserve"> الْمَاءِ »</w:t>
      </w:r>
      <w:r>
        <w:rPr>
          <w:rtl/>
          <w:lang w:bidi="fa-IR"/>
        </w:rPr>
        <w:t>.</w:t>
      </w:r>
    </w:p>
    <w:p w:rsidR="00E3253D" w:rsidRPr="005D642E" w:rsidRDefault="00E3253D" w:rsidP="00E3253D">
      <w:pPr>
        <w:pStyle w:val="libNormal"/>
        <w:rPr>
          <w:rtl/>
          <w:lang w:bidi="fa-IR"/>
        </w:rPr>
      </w:pPr>
      <w:r w:rsidRPr="005D642E">
        <w:rPr>
          <w:rtl/>
          <w:lang w:bidi="fa-IR"/>
        </w:rPr>
        <w:t xml:space="preserve">وَقَالَ : « غُسْلُ الْجَنَابَةِ وَاجِبٌ ، وَغُسْلُ الْحَائِضِ إِذَا طَهُرَتْ وَاجِبٌ ، وَغُسْلُ الْمُسْتَحَاضَةِ </w:t>
      </w:r>
      <w:r w:rsidRPr="007C12DB">
        <w:rPr>
          <w:rStyle w:val="libFootnotenumChar"/>
          <w:rtl/>
        </w:rPr>
        <w:t>(4)</w:t>
      </w:r>
      <w:r w:rsidRPr="005D642E">
        <w:rPr>
          <w:rtl/>
          <w:lang w:bidi="fa-IR"/>
        </w:rPr>
        <w:t xml:space="preserve"> وَاجِبٌ إِذَا احْتَشَتْ </w:t>
      </w:r>
      <w:r w:rsidRPr="007C12DB">
        <w:rPr>
          <w:rStyle w:val="libFootnotenumChar"/>
          <w:rtl/>
        </w:rPr>
        <w:t>(5)</w:t>
      </w:r>
      <w:r w:rsidRPr="005D642E">
        <w:rPr>
          <w:rtl/>
          <w:lang w:bidi="fa-IR"/>
        </w:rPr>
        <w:t xml:space="preserve"> بِالْكُرْسُفِ ، فَجَازَ </w:t>
      </w:r>
      <w:r w:rsidRPr="007C12DB">
        <w:rPr>
          <w:rStyle w:val="libFootnotenumChar"/>
          <w:rtl/>
        </w:rPr>
        <w:t>(6)</w:t>
      </w:r>
      <w:r w:rsidRPr="005D642E">
        <w:rPr>
          <w:rtl/>
          <w:lang w:bidi="fa-IR"/>
        </w:rPr>
        <w:t xml:space="preserve"> الدَّمُ الْكُرْسُفَ ، فَعَلَيْهَا الْغُسْلُ لِكُلِّ صَلَاتَيْنِ ، وَلِلْفَجْرِ </w:t>
      </w:r>
      <w:r w:rsidRPr="007C12DB">
        <w:rPr>
          <w:rStyle w:val="libFootnotenumChar"/>
          <w:rtl/>
        </w:rPr>
        <w:t>(7)</w:t>
      </w:r>
      <w:r w:rsidRPr="005D642E">
        <w:rPr>
          <w:rtl/>
          <w:lang w:bidi="fa-IR"/>
        </w:rPr>
        <w:t xml:space="preserve"> غُسْلٌ ، وَإِنْ لَمْ يَجُزِ الدَّمُ الْكُرْسُفَ ، فَعَلَيْهَا الْغُسْلُ كُلَّ </w:t>
      </w:r>
      <w:r w:rsidRPr="007C12DB">
        <w:rPr>
          <w:rStyle w:val="libFootnotenumChar"/>
          <w:rtl/>
        </w:rPr>
        <w:t>(8)</w:t>
      </w:r>
      <w:r w:rsidRPr="005D642E">
        <w:rPr>
          <w:rtl/>
          <w:lang w:bidi="fa-IR"/>
        </w:rPr>
        <w:t xml:space="preserve"> يَوْمٍ مَرَّةً ، وَالْوُضُوءُ لِكُلِّ صَلَاةٍ ، وَغُسْلُ النُّفَسَاءِ وَاجِبٌ ، وَغُسْلُ الْمَوْلُودِ وَاجِبٌ </w:t>
      </w:r>
      <w:r w:rsidRPr="007C12DB">
        <w:rPr>
          <w:rStyle w:val="libFootnotenumChar"/>
          <w:rtl/>
        </w:rPr>
        <w:t>(9)</w:t>
      </w:r>
      <w:r w:rsidRPr="005D642E">
        <w:rPr>
          <w:rtl/>
          <w:lang w:bidi="fa-IR"/>
        </w:rPr>
        <w:t xml:space="preserve"> ، وَغُسْلُ الْمَيِّتِ وَاجِبٌ ، وَغُسْلُ الزِّيَارَةِ وَاجِبٌ </w:t>
      </w:r>
      <w:r w:rsidRPr="007C12DB">
        <w:rPr>
          <w:rStyle w:val="libFootnotenumChar"/>
          <w:rtl/>
        </w:rPr>
        <w:t>(10)</w:t>
      </w:r>
      <w:r w:rsidRPr="005D642E">
        <w:rPr>
          <w:rtl/>
          <w:lang w:bidi="fa-IR"/>
        </w:rPr>
        <w:t xml:space="preserve"> ، وَغُسْلُ دُخُولِ الْبَيْتِ وَاجِبٌ ، وَغُسْلُ الِاسْتِسْقَاءِ وَاجِبٌ ، وَغُسْلُ أَوَّلِ لَيْلَةٍ مِنْ شَهْرِ رَمَضَانَ يُسْتَحَبُّ </w:t>
      </w:r>
      <w:r w:rsidRPr="007C12DB">
        <w:rPr>
          <w:rStyle w:val="libFootnotenumChar"/>
          <w:rtl/>
        </w:rPr>
        <w:t>(11)</w:t>
      </w:r>
      <w:r w:rsidRPr="005D642E">
        <w:rPr>
          <w:rtl/>
          <w:lang w:bidi="fa-IR"/>
        </w:rPr>
        <w:t xml:space="preserve"> ، وَغُسْلُ لَيْلَةِ إِحْدى وَعِشْرِينَ وَغُسْلُ لَيْلَةِ ثَلَاثٍ وَعِشْرِينَ سُنَّةٌ </w:t>
      </w:r>
      <w:r w:rsidRPr="007C12DB">
        <w:rPr>
          <w:rStyle w:val="libFootnotenumChar"/>
          <w:rtl/>
        </w:rPr>
        <w:t>(12)</w:t>
      </w:r>
      <w:r w:rsidRPr="005D642E">
        <w:rPr>
          <w:rtl/>
          <w:lang w:bidi="fa-IR"/>
        </w:rPr>
        <w:t xml:space="preserve"> لَاتَتْرُكْهَا </w:t>
      </w:r>
      <w:r w:rsidRPr="007C12DB">
        <w:rPr>
          <w:rStyle w:val="libFootnotenumChar"/>
          <w:rtl/>
        </w:rPr>
        <w:t>(13)</w:t>
      </w:r>
      <w:r w:rsidRPr="005D642E">
        <w:rPr>
          <w:rtl/>
          <w:lang w:bidi="fa-IR"/>
        </w:rPr>
        <w:t xml:space="preserve"> ؛ فَإِنَّهُ يُرْجى فِي إِحْدَاهُنَّ لَيْلَةُ الْقَدْرِ ، وَغُسْلُ يَوْمِ الْفِطْرِ وَغُسْلُ يَوْمِ الْأَضْحى سُنَّةٌ لَا</w:t>
      </w:r>
      <w:r>
        <w:rPr>
          <w:rFonts w:hint="cs"/>
          <w:rtl/>
          <w:lang w:bidi="fa-IR"/>
        </w:rPr>
        <w:t xml:space="preserve"> </w:t>
      </w:r>
      <w:r w:rsidRPr="005D642E">
        <w:rPr>
          <w:rtl/>
          <w:lang w:bidi="fa-IR"/>
        </w:rPr>
        <w:t>أُحِبُّ تَرْكَهَا ، وَغُسْلُ الِاسْتِخَارَةِ‌</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56532" w:rsidTr="00F56532">
        <w:tc>
          <w:tcPr>
            <w:tcW w:w="4006" w:type="dxa"/>
          </w:tcPr>
          <w:p w:rsidR="00F56532" w:rsidRDefault="00F56532" w:rsidP="00E3253D">
            <w:pPr>
              <w:pStyle w:val="libFootnote0"/>
              <w:rPr>
                <w:rStyle w:val="libFootnote0Char"/>
                <w:rtl/>
              </w:rPr>
            </w:pPr>
            <w:r w:rsidRPr="0042621E">
              <w:rPr>
                <w:rStyle w:val="libFootnote0Char"/>
                <w:rtl/>
              </w:rPr>
              <w:t>(1).</w:t>
            </w:r>
            <w:r>
              <w:rPr>
                <w:rtl/>
              </w:rPr>
              <w:t xml:space="preserve"> </w:t>
            </w:r>
            <w:r w:rsidRPr="005D642E">
              <w:rPr>
                <w:rtl/>
              </w:rPr>
              <w:t>في « ى » وحاشية « بخ » : + « يوم »</w:t>
            </w:r>
            <w:r>
              <w:rPr>
                <w:rtl/>
              </w:rPr>
              <w:t>.</w:t>
            </w:r>
          </w:p>
        </w:tc>
        <w:tc>
          <w:tcPr>
            <w:tcW w:w="4006" w:type="dxa"/>
          </w:tcPr>
          <w:p w:rsidR="00F56532" w:rsidRDefault="00F56532" w:rsidP="00E3253D">
            <w:pPr>
              <w:pStyle w:val="libFootnote0"/>
              <w:rPr>
                <w:rStyle w:val="libFootnote0Char"/>
                <w:rtl/>
              </w:rPr>
            </w:pPr>
            <w:r w:rsidRPr="0042621E">
              <w:rPr>
                <w:rStyle w:val="libFootnote0Char"/>
                <w:rtl/>
              </w:rPr>
              <w:t>(2).</w:t>
            </w:r>
            <w:r w:rsidRPr="005D642E">
              <w:rPr>
                <w:rtl/>
              </w:rPr>
              <w:t xml:space="preserve"> في </w:t>
            </w:r>
            <w:r>
              <w:rPr>
                <w:rtl/>
              </w:rPr>
              <w:t>« جس » : « أنّ به رُخصة »بدل«أنّه رخّص</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w:t>
      </w:r>
      <w:r w:rsidR="000D749A" w:rsidRPr="000D749A">
        <w:rPr>
          <w:rStyle w:val="libFootnoteBoldChar"/>
          <w:rtl/>
        </w:rPr>
        <w:t>والوافي</w:t>
      </w:r>
      <w:r w:rsidR="00E3253D" w:rsidRPr="005D642E">
        <w:rPr>
          <w:rtl/>
        </w:rPr>
        <w:t xml:space="preserve"> ومرآة العقول. وفي « بح » والمطبوع : « لقلّة » بدل « وقلّة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بح ، جن » : « الاستحاضة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احتشت بالكرسف » ، أي استدخلته ، يقال : احتشت ، أي استدخلت شيئاً يمنع الدم من القطر. والكرسف : القطن. راجع : </w:t>
      </w:r>
      <w:r w:rsidR="00E3253D" w:rsidRPr="002F4D34">
        <w:rPr>
          <w:rStyle w:val="libFootnoteBoldChar"/>
          <w:rtl/>
        </w:rPr>
        <w:t>الصحاح</w:t>
      </w:r>
      <w:r w:rsidR="00E3253D" w:rsidRPr="005D642E">
        <w:rPr>
          <w:rtl/>
        </w:rPr>
        <w:t xml:space="preserve"> ، ج 4 ، ص 1421 ( كرسف ) ؛ </w:t>
      </w:r>
      <w:r w:rsidR="00E3253D" w:rsidRPr="002F4D34">
        <w:rPr>
          <w:rStyle w:val="libFootnoteBoldChar"/>
          <w:rtl/>
        </w:rPr>
        <w:t>النهاية</w:t>
      </w:r>
      <w:r w:rsidR="00E3253D" w:rsidRPr="005D642E">
        <w:rPr>
          <w:rtl/>
        </w:rPr>
        <w:t xml:space="preserve"> ، ج 1 ، ص 392 ( حشا )</w:t>
      </w:r>
      <w:r w:rsidR="00E3253D">
        <w:rPr>
          <w:rtl/>
        </w:rPr>
        <w:t>.</w:t>
      </w:r>
    </w:p>
    <w:tbl>
      <w:tblPr>
        <w:tblStyle w:val="TableGrid"/>
        <w:bidiVisual/>
        <w:tblW w:w="0" w:type="auto"/>
        <w:tblLook w:val="04A0" w:firstRow="1" w:lastRow="0" w:firstColumn="1" w:lastColumn="0" w:noHBand="0" w:noVBand="1"/>
      </w:tblPr>
      <w:tblGrid>
        <w:gridCol w:w="4006"/>
        <w:gridCol w:w="4006"/>
      </w:tblGrid>
      <w:tr w:rsidR="00DE42B9" w:rsidTr="00DE42B9">
        <w:tc>
          <w:tcPr>
            <w:tcW w:w="4006" w:type="dxa"/>
          </w:tcPr>
          <w:p w:rsidR="00DE42B9" w:rsidRDefault="00DE42B9" w:rsidP="00E3253D">
            <w:pPr>
              <w:pStyle w:val="libFootnote0"/>
              <w:rPr>
                <w:rStyle w:val="libFootnote0Char"/>
                <w:rtl/>
              </w:rPr>
            </w:pPr>
            <w:r w:rsidRPr="0042621E">
              <w:rPr>
                <w:rStyle w:val="libFootnote0Char"/>
                <w:rtl/>
              </w:rPr>
              <w:t>(6).</w:t>
            </w:r>
            <w:r w:rsidRPr="005D642E">
              <w:rPr>
                <w:rtl/>
              </w:rPr>
              <w:t xml:space="preserve"> في الوسائل ، ح 1854 : « وجاز »</w:t>
            </w:r>
            <w:r>
              <w:rPr>
                <w:rtl/>
              </w:rPr>
              <w:t>.</w:t>
            </w:r>
          </w:p>
        </w:tc>
        <w:tc>
          <w:tcPr>
            <w:tcW w:w="4006" w:type="dxa"/>
          </w:tcPr>
          <w:p w:rsidR="00DE42B9" w:rsidRDefault="00DE42B9" w:rsidP="00E3253D">
            <w:pPr>
              <w:pStyle w:val="libFootnote0"/>
              <w:rPr>
                <w:rStyle w:val="libFootnote0Char"/>
                <w:rtl/>
              </w:rPr>
            </w:pPr>
            <w:r w:rsidRPr="0042621E">
              <w:rPr>
                <w:rStyle w:val="libFootnote0Char"/>
                <w:rtl/>
              </w:rPr>
              <w:t>(7).</w:t>
            </w:r>
            <w:r w:rsidRPr="005D642E">
              <w:rPr>
                <w:rtl/>
              </w:rPr>
              <w:t xml:space="preserve"> في « غ » وحاشية « بث » : « والفجر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 « لكلّ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غ ، ى ، بث ، بح ، بس ، بف ، جس » :</w:t>
      </w:r>
      <w:r w:rsidR="00E3253D">
        <w:rPr>
          <w:rtl/>
        </w:rPr>
        <w:t xml:space="preserve"> </w:t>
      </w:r>
      <w:r w:rsidR="007642BC">
        <w:rPr>
          <w:rtl/>
        </w:rPr>
        <w:t>-</w:t>
      </w:r>
      <w:r w:rsidR="00E3253D">
        <w:rPr>
          <w:rtl/>
        </w:rPr>
        <w:t xml:space="preserve"> </w:t>
      </w:r>
      <w:r w:rsidR="00E3253D" w:rsidRPr="005D642E">
        <w:rPr>
          <w:rtl/>
        </w:rPr>
        <w:t>« واجب »</w:t>
      </w:r>
      <w:r w:rsidR="00E3253D">
        <w:rPr>
          <w:rtl/>
        </w:rPr>
        <w:t>.</w:t>
      </w:r>
      <w:r w:rsidR="00E3253D" w:rsidRPr="005D642E">
        <w:rPr>
          <w:rtl/>
        </w:rPr>
        <w:t xml:space="preserve"> وفي الوسائل ، ح 1854 :</w:t>
      </w:r>
      <w:r w:rsidR="00E3253D">
        <w:rPr>
          <w:rtl/>
        </w:rPr>
        <w:t xml:space="preserve"> </w:t>
      </w:r>
      <w:r w:rsidR="007642BC">
        <w:rPr>
          <w:rtl/>
        </w:rPr>
        <w:t>-</w:t>
      </w:r>
      <w:r w:rsidR="00E3253D">
        <w:rPr>
          <w:rtl/>
        </w:rPr>
        <w:t xml:space="preserve"> </w:t>
      </w:r>
      <w:r w:rsidR="00E3253D" w:rsidRPr="005D642E">
        <w:rPr>
          <w:rtl/>
        </w:rPr>
        <w:t>« وغسل المولود واجب »</w:t>
      </w:r>
      <w:r w:rsidR="00E3253D">
        <w:rPr>
          <w:rtl/>
        </w:rPr>
        <w:t>.</w:t>
      </w:r>
    </w:p>
    <w:tbl>
      <w:tblPr>
        <w:tblStyle w:val="TableGrid"/>
        <w:bidiVisual/>
        <w:tblW w:w="0" w:type="auto"/>
        <w:tblLook w:val="04A0" w:firstRow="1" w:lastRow="0" w:firstColumn="1" w:lastColumn="0" w:noHBand="0" w:noVBand="1"/>
      </w:tblPr>
      <w:tblGrid>
        <w:gridCol w:w="4006"/>
        <w:gridCol w:w="4006"/>
      </w:tblGrid>
      <w:tr w:rsidR="00D91EF5" w:rsidTr="00D91EF5">
        <w:tc>
          <w:tcPr>
            <w:tcW w:w="4006" w:type="dxa"/>
          </w:tcPr>
          <w:p w:rsidR="00D91EF5" w:rsidRDefault="00D91EF5" w:rsidP="00E3253D">
            <w:pPr>
              <w:pStyle w:val="libFootnote0"/>
              <w:rPr>
                <w:rStyle w:val="libFootnote0Char"/>
                <w:rtl/>
                <w:lang w:bidi="fa-IR"/>
              </w:rPr>
            </w:pPr>
            <w:r w:rsidRPr="0042621E">
              <w:rPr>
                <w:rStyle w:val="libFootnote0Char"/>
                <w:rtl/>
              </w:rPr>
              <w:t>(10).</w:t>
            </w:r>
            <w:r>
              <w:rPr>
                <w:rtl/>
              </w:rPr>
              <w:t xml:space="preserve"> في « جس » : + « إل</w:t>
            </w:r>
            <w:r>
              <w:rPr>
                <w:rFonts w:hint="cs"/>
                <w:rtl/>
              </w:rPr>
              <w:t>ّ</w:t>
            </w:r>
            <w:r>
              <w:rPr>
                <w:rtl/>
              </w:rPr>
              <w:t>ا</w:t>
            </w:r>
            <w:r w:rsidRPr="005D642E">
              <w:rPr>
                <w:rtl/>
              </w:rPr>
              <w:t xml:space="preserve"> أنّ من علّة »</w:t>
            </w:r>
            <w:r>
              <w:rPr>
                <w:rtl/>
              </w:rPr>
              <w:t>.</w:t>
            </w:r>
          </w:p>
        </w:tc>
        <w:tc>
          <w:tcPr>
            <w:tcW w:w="4006" w:type="dxa"/>
          </w:tcPr>
          <w:p w:rsidR="00D91EF5" w:rsidRDefault="00D91EF5" w:rsidP="00E3253D">
            <w:pPr>
              <w:pStyle w:val="libFootnote0"/>
              <w:rPr>
                <w:rStyle w:val="libFootnote0Char"/>
                <w:rtl/>
                <w:lang w:bidi="fa-IR"/>
              </w:rPr>
            </w:pPr>
            <w:r w:rsidRPr="0042621E">
              <w:rPr>
                <w:rStyle w:val="libFootnote0Char"/>
                <w:rtl/>
              </w:rPr>
              <w:t>(11).</w:t>
            </w:r>
            <w:r w:rsidRPr="005D642E">
              <w:rPr>
                <w:rtl/>
              </w:rPr>
              <w:t xml:space="preserve"> في حاشية « بخ » : « مستحبّ »</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w:t>
      </w:r>
      <w:r w:rsidR="00E3253D" w:rsidRPr="002F4D34">
        <w:rPr>
          <w:rStyle w:val="libFootnoteBoldChar"/>
          <w:rtl/>
        </w:rPr>
        <w:t>الوافي</w:t>
      </w:r>
      <w:r w:rsidR="00E3253D" w:rsidRPr="005D642E">
        <w:rPr>
          <w:rtl/>
        </w:rPr>
        <w:t xml:space="preserve"> : « لعلّ المراد بالواجب المهمّ الذي لايترك على حال ودونه السنّة ، ودون السنّة المستحبّ ، وقدتطلق السنّة على ما يقابل الفريضة فتشمل الجميع ، وهو المراد بها في الخبرين الآتيين. وأمّا ترتّب العقوبة على الترك وعدمه فلا يدخل في مفهوم شي‌ء منها وإنّما يستفاد من خارج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ى » : « لا تركها »</w:t>
      </w:r>
      <w:r w:rsidR="00E3253D">
        <w:rPr>
          <w:rtl/>
        </w:rPr>
        <w:t>.</w:t>
      </w:r>
      <w:r w:rsidR="00E3253D" w:rsidRPr="005D642E">
        <w:rPr>
          <w:rtl/>
        </w:rPr>
        <w:t xml:space="preserve"> وفي « جس » : « لا يتركها »</w:t>
      </w:r>
      <w:r w:rsidR="00E3253D">
        <w:rPr>
          <w:rtl/>
        </w:rPr>
        <w:t>.</w:t>
      </w:r>
      <w:r w:rsidR="00E3253D" w:rsidRPr="005D642E">
        <w:rPr>
          <w:rtl/>
        </w:rPr>
        <w:t xml:space="preserve"> وفي الوافي : « لا تتركهما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يُسْتَحَبُّ </w:t>
      </w:r>
      <w:r w:rsidRPr="007C12DB">
        <w:rPr>
          <w:rStyle w:val="libFootnotenumChar"/>
          <w:rtl/>
        </w:rPr>
        <w:t>(1)</w:t>
      </w:r>
      <w:r w:rsidRPr="005D642E">
        <w:rPr>
          <w:rtl/>
          <w:lang w:bidi="fa-IR"/>
        </w:rPr>
        <w:t xml:space="preserve"> ، الْعَمَلُ </w:t>
      </w:r>
      <w:r w:rsidRPr="007C12DB">
        <w:rPr>
          <w:rStyle w:val="libFootnotenumChar"/>
          <w:rtl/>
        </w:rPr>
        <w:t>(2)</w:t>
      </w:r>
      <w:r w:rsidRPr="005D642E">
        <w:rPr>
          <w:rtl/>
          <w:lang w:bidi="fa-IR"/>
        </w:rPr>
        <w:t xml:space="preserve"> فِي غُسْلِ الثَّلَاثِ اللَّيَالِي </w:t>
      </w:r>
      <w:r w:rsidRPr="007C12DB">
        <w:rPr>
          <w:rStyle w:val="libFootnotenumChar"/>
          <w:rtl/>
        </w:rPr>
        <w:t>(3)</w:t>
      </w:r>
      <w:r w:rsidRPr="005D642E">
        <w:rPr>
          <w:rtl/>
          <w:lang w:bidi="fa-IR"/>
        </w:rPr>
        <w:t xml:space="preserve"> مِنْ شَهْرِ رَمَضَانَ : لَيْلَةَ تِسْعَ </w:t>
      </w:r>
      <w:r w:rsidRPr="007C12DB">
        <w:rPr>
          <w:rStyle w:val="libFootnotenumChar"/>
          <w:rtl/>
        </w:rPr>
        <w:t>(4)</w:t>
      </w:r>
      <w:r w:rsidRPr="005D642E">
        <w:rPr>
          <w:rtl/>
          <w:lang w:bidi="fa-IR"/>
        </w:rPr>
        <w:t xml:space="preserve"> عَشْرَةَ ، وَإِحْدى وَعِشْرِينَ ، وَثَلَاثٍ وَعِشْرِينَ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99" w:name="_Toc344647243"/>
      <w:bookmarkStart w:id="100" w:name="_Toc462226758"/>
      <w:bookmarkStart w:id="101" w:name="_Toc40975866"/>
      <w:r w:rsidRPr="005D642E">
        <w:rPr>
          <w:rtl/>
          <w:lang w:bidi="fa-IR"/>
        </w:rPr>
        <w:t>27</w:t>
      </w:r>
      <w:r>
        <w:rPr>
          <w:rtl/>
          <w:lang w:bidi="fa-IR"/>
        </w:rPr>
        <w:t xml:space="preserve"> </w:t>
      </w:r>
      <w:r w:rsidR="007642BC">
        <w:rPr>
          <w:rtl/>
          <w:lang w:bidi="fa-IR"/>
        </w:rPr>
        <w:t>-</w:t>
      </w:r>
      <w:r>
        <w:rPr>
          <w:rtl/>
          <w:lang w:bidi="fa-IR"/>
        </w:rPr>
        <w:t xml:space="preserve"> </w:t>
      </w:r>
      <w:r w:rsidRPr="005D642E">
        <w:rPr>
          <w:rtl/>
          <w:lang w:bidi="fa-IR"/>
        </w:rPr>
        <w:t xml:space="preserve">بَابُ مَا يُجْزِئُ الْغُسْلُ مِنْهُ </w:t>
      </w:r>
      <w:r w:rsidRPr="007C12DB">
        <w:rPr>
          <w:rStyle w:val="libFootnotenumChar"/>
          <w:rtl/>
        </w:rPr>
        <w:t>(6)</w:t>
      </w:r>
      <w:r>
        <w:rPr>
          <w:rtl/>
        </w:rPr>
        <w:t xml:space="preserve"> </w:t>
      </w:r>
      <w:r w:rsidRPr="005D642E">
        <w:rPr>
          <w:rtl/>
          <w:lang w:bidi="fa-IR"/>
        </w:rPr>
        <w:t>إِذَا اجْتَمَعَ‌</w:t>
      </w:r>
      <w:bookmarkEnd w:id="99"/>
      <w:bookmarkEnd w:id="100"/>
      <w:bookmarkEnd w:id="101"/>
    </w:p>
    <w:p w:rsidR="00E3253D" w:rsidRPr="005D642E" w:rsidRDefault="00E3253D" w:rsidP="00E3253D">
      <w:pPr>
        <w:pStyle w:val="libNormal"/>
        <w:rPr>
          <w:rtl/>
          <w:lang w:bidi="fa-IR"/>
        </w:rPr>
      </w:pPr>
      <w:r w:rsidRPr="00D947E0">
        <w:rPr>
          <w:rtl/>
        </w:rPr>
        <w:t>3996</w:t>
      </w:r>
      <w:r w:rsidRPr="00246318">
        <w:rPr>
          <w:rStyle w:val="libBold2Char"/>
          <w:rtl/>
        </w:rPr>
        <w:t xml:space="preserve"> / 1.</w:t>
      </w:r>
      <w:r w:rsidRPr="005D642E">
        <w:rPr>
          <w:rtl/>
          <w:lang w:bidi="fa-IR"/>
        </w:rPr>
        <w:t xml:space="preserve"> عَلِيُّ بْنُ إِبْرَاهِيمَ ، عَنْ أَبِيهِ ، عَنْ حَمَّادِ بْنِ عِيسى ، عَنْ ح</w:t>
      </w:r>
      <w:r w:rsidR="00DF067F">
        <w:rPr>
          <w:rtl/>
          <w:lang w:bidi="fa-IR"/>
        </w:rPr>
        <w:t>َرِيزٍ ، عَنْ زُرَارَةَ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 إِذَا اغْتَسَلْتَ بَعْدَ طُلُوعِ الْفَجْرِ ، أَجْزَأَكَ غُسْلُكَ ذلِكَ لِلْجَنَابَةِ وَالْجُمُعَةِ </w:t>
      </w:r>
      <w:r w:rsidRPr="007C12DB">
        <w:rPr>
          <w:rStyle w:val="libFootnotenumChar"/>
          <w:rtl/>
        </w:rPr>
        <w:t>(7)</w:t>
      </w:r>
      <w:r w:rsidRPr="005D642E">
        <w:rPr>
          <w:rtl/>
          <w:lang w:bidi="fa-IR"/>
        </w:rPr>
        <w:t xml:space="preserve"> وَعَرَفَةَ وَالنَّحْرِ وَالْحَلْقِ </w:t>
      </w:r>
      <w:r w:rsidRPr="007C12DB">
        <w:rPr>
          <w:rStyle w:val="libFootnotenumChar"/>
          <w:rtl/>
        </w:rPr>
        <w:t>(8)</w:t>
      </w:r>
      <w:r w:rsidRPr="005D642E">
        <w:rPr>
          <w:rtl/>
          <w:lang w:bidi="fa-IR"/>
        </w:rPr>
        <w:t xml:space="preserve"> وَالذَّبْحِ وَالزِّيَارَةِ ، وَإِذَا </w:t>
      </w:r>
      <w:r w:rsidRPr="007C12DB">
        <w:rPr>
          <w:rStyle w:val="libFootnotenumChar"/>
          <w:rtl/>
        </w:rPr>
        <w:t>(9)</w:t>
      </w:r>
      <w:r w:rsidRPr="005D642E">
        <w:rPr>
          <w:rtl/>
          <w:lang w:bidi="fa-IR"/>
        </w:rPr>
        <w:t xml:space="preserve"> اجْتَمَعَتْ </w:t>
      </w:r>
      <w:r w:rsidRPr="007C12DB">
        <w:rPr>
          <w:rStyle w:val="libFootnotenumChar"/>
          <w:rtl/>
        </w:rPr>
        <w:t>(10)</w:t>
      </w:r>
      <w:r w:rsidRPr="005D642E">
        <w:rPr>
          <w:rtl/>
          <w:lang w:bidi="fa-IR"/>
        </w:rPr>
        <w:t xml:space="preserve"> عَلَيْكَ حُقُوقٌ ، أَجْزَأَهَا عَنْكَ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A0154C">
      <w:pPr>
        <w:pStyle w:val="libFootnote0"/>
        <w:rPr>
          <w:rtl/>
          <w:lang w:bidi="fa-IR"/>
        </w:rPr>
      </w:pPr>
      <w:r w:rsidRPr="0042621E">
        <w:rPr>
          <w:rStyle w:val="libFootnote0Char"/>
          <w:rtl/>
        </w:rPr>
        <w:t>(1).</w:t>
      </w:r>
      <w:r w:rsidR="00E3253D">
        <w:rPr>
          <w:rtl/>
        </w:rPr>
        <w:t xml:space="preserve"> </w:t>
      </w:r>
      <w:r w:rsidR="00E3253D" w:rsidRPr="005D642E">
        <w:rPr>
          <w:rtl/>
        </w:rPr>
        <w:t>في مرآة العقول : « ويستحبّ » ، وقال : « كأنّ في هذه العبارة سهواً ، ويمكن أن يكون المراد أنّ غسل هذه الليالي‌لأجل العمل »</w:t>
      </w:r>
      <w:r w:rsidR="00E3253D">
        <w:rPr>
          <w:rtl/>
        </w:rPr>
        <w:t>.</w:t>
      </w:r>
      <w:r w:rsidR="00A0154C">
        <w:rPr>
          <w:rFonts w:hint="cs"/>
          <w:rtl/>
        </w:rPr>
        <w:t xml:space="preserve">                                         </w:t>
      </w:r>
      <w:r w:rsidRPr="0042621E">
        <w:rPr>
          <w:rStyle w:val="libFootnote0Char"/>
          <w:rtl/>
        </w:rPr>
        <w:t>(2).</w:t>
      </w:r>
      <w:r w:rsidR="00E3253D" w:rsidRPr="005D642E">
        <w:rPr>
          <w:rtl/>
        </w:rPr>
        <w:t xml:space="preserve"> في « جن » : « والعمل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ى ، بح ، جح » وحاشية « بف » : « ليالي »</w:t>
      </w:r>
      <w:r w:rsidR="00E3253D">
        <w:rPr>
          <w:rtl/>
        </w:rPr>
        <w:t>.</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والليالي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أكثر النسخ. وفي « بث ، بح ، جح » والمطبوع : « تسعة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104 ، ح 270 ، إلى قوله : « وغسل الاستخارة يستحبّ » ؛ </w:t>
      </w:r>
      <w:r w:rsidR="00E3253D" w:rsidRPr="002F4D34">
        <w:rPr>
          <w:rStyle w:val="libFootnoteBoldChar"/>
          <w:rtl/>
        </w:rPr>
        <w:t>الاستبصار</w:t>
      </w:r>
      <w:r w:rsidR="00E3253D" w:rsidRPr="005D642E">
        <w:rPr>
          <w:rtl/>
        </w:rPr>
        <w:t xml:space="preserve"> ، ج 1 ، ص 97 ، ح 315 ، إلى قوله : « وغسل الميّت واجب » وفيهما بسند آخر عن عثمان بن عيسى. </w:t>
      </w:r>
      <w:r w:rsidR="00E3253D" w:rsidRPr="002F4D34">
        <w:rPr>
          <w:rStyle w:val="libFootnoteBoldChar"/>
          <w:rtl/>
        </w:rPr>
        <w:t>الفقيه</w:t>
      </w:r>
      <w:r w:rsidR="00E3253D" w:rsidRPr="005D642E">
        <w:rPr>
          <w:rtl/>
        </w:rPr>
        <w:t xml:space="preserve"> ، ج 1 ، ص 78 ، ح 176 ، معلّقاً عن سماعة بن مهران. وفي </w:t>
      </w:r>
      <w:r w:rsidR="00E3253D" w:rsidRPr="002F4D34">
        <w:rPr>
          <w:rStyle w:val="libFootnoteBoldChar"/>
          <w:rtl/>
        </w:rPr>
        <w:t>الكافي</w:t>
      </w:r>
      <w:r w:rsidR="00E3253D" w:rsidRPr="005D642E">
        <w:rPr>
          <w:rtl/>
        </w:rPr>
        <w:t xml:space="preserve"> ، كتاب الطهارة ، باب وجوب الغسل يوم الجمعة ، ح 4000 ؛ وكتاب الصلاة ، باب التزيّن يوم الجمعة ، ح 5447 ؛ وعلل الشرائع ، ص 286 ، ح 1 ، بسند آخر. </w:t>
      </w:r>
      <w:r w:rsidR="00E3253D" w:rsidRPr="002F4D34">
        <w:rPr>
          <w:rStyle w:val="libFootnoteBoldChar"/>
          <w:rtl/>
        </w:rPr>
        <w:t>المحاسن</w:t>
      </w:r>
      <w:r w:rsidR="00E3253D" w:rsidRPr="005D642E">
        <w:rPr>
          <w:rtl/>
        </w:rPr>
        <w:t xml:space="preserve"> ، ص 313 ، كتاب العلل ، صدر ح 30 ، بسند آخر عن أبي الحسن موسى </w:t>
      </w:r>
      <w:r w:rsidR="00E3253D" w:rsidRPr="00410D59">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111 ، ذيل ح 226 ، وفي الخمسة الأخيرة إلى قوله : « رخّص للنساء في السفر لقلّة الماء » مع اختلاف يسير. وفي </w:t>
      </w:r>
      <w:r w:rsidR="00E3253D" w:rsidRPr="002F4D34">
        <w:rPr>
          <w:rStyle w:val="libFootnoteBoldChar"/>
          <w:rtl/>
        </w:rPr>
        <w:t>المقنعة</w:t>
      </w:r>
      <w:r w:rsidR="00E3253D" w:rsidRPr="005D642E">
        <w:rPr>
          <w:rtl/>
        </w:rPr>
        <w:t xml:space="preserve"> ، ص 158 ، مرسلاً. </w:t>
      </w:r>
      <w:r w:rsidR="00E3253D" w:rsidRPr="002F4D34">
        <w:rPr>
          <w:rStyle w:val="libFootnoteBoldChar"/>
          <w:rtl/>
        </w:rPr>
        <w:t>فقه الرضا</w:t>
      </w:r>
      <w:r w:rsidR="00E3253D" w:rsidRPr="005D642E">
        <w:rPr>
          <w:rtl/>
        </w:rPr>
        <w:t xml:space="preserve"> </w:t>
      </w:r>
      <w:r w:rsidR="00E3253D" w:rsidRPr="00410D59">
        <w:rPr>
          <w:rStyle w:val="libFootnoteAlaemChar"/>
          <w:rtl/>
        </w:rPr>
        <w:t>عليه‌السلام</w:t>
      </w:r>
      <w:r w:rsidR="00E3253D" w:rsidRPr="005D642E">
        <w:rPr>
          <w:rtl/>
        </w:rPr>
        <w:t xml:space="preserve"> ، ص 174 ، إلى قوله : « واجب في السفر والحضر » مع اختلاف يسير </w:t>
      </w:r>
      <w:r w:rsidR="00410D59">
        <w:rPr>
          <w:rFonts w:hint="cs"/>
          <w:rtl/>
        </w:rPr>
        <w:t>.</w:t>
      </w:r>
      <w:r w:rsidR="00E3253D" w:rsidRPr="002F4D34">
        <w:rPr>
          <w:rStyle w:val="libFootnoteBoldChar"/>
          <w:rtl/>
        </w:rPr>
        <w:t>الوافي</w:t>
      </w:r>
      <w:r w:rsidR="00E3253D" w:rsidRPr="005D642E">
        <w:rPr>
          <w:rtl/>
        </w:rPr>
        <w:t xml:space="preserve"> ، ج 6 ، ص 377 ، ح 4489 ؛ </w:t>
      </w:r>
      <w:r w:rsidR="00E3253D" w:rsidRPr="002F4D34">
        <w:rPr>
          <w:rStyle w:val="libFootnoteBoldChar"/>
          <w:rtl/>
        </w:rPr>
        <w:t>الوسائل</w:t>
      </w:r>
      <w:r w:rsidR="00E3253D" w:rsidRPr="005D642E">
        <w:rPr>
          <w:rtl/>
        </w:rPr>
        <w:t xml:space="preserve"> ، ج 2 ، ص 173 ، ح 1854 ، إلى قوله : « وغسل الميّت واجب » ؛ وص 477 ، ح 2690 ، وتمام الرواية هكذا : « قال : غسل الجنابة واجب ، إلى أن قال : وغسل الميّت واجب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 « منه الغسل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بث ، بح ، بخ ، بس ، جح ، جس » وحاشية « جن » والوسائل : « والحجامة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 ص 107 :</w:t>
      </w:r>
      <w:r w:rsidR="00E3253D">
        <w:rPr>
          <w:rtl/>
        </w:rPr>
        <w:t xml:space="preserve"> </w:t>
      </w:r>
      <w:r w:rsidR="007642BC">
        <w:rPr>
          <w:rtl/>
        </w:rPr>
        <w:t>-</w:t>
      </w:r>
      <w:r w:rsidR="00E3253D">
        <w:rPr>
          <w:rtl/>
        </w:rPr>
        <w:t xml:space="preserve"> </w:t>
      </w:r>
      <w:r w:rsidR="00E3253D" w:rsidRPr="005D642E">
        <w:rPr>
          <w:rtl/>
        </w:rPr>
        <w:t>« والحلق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جس ، جن » وحاشية « بث » والوسائل </w:t>
      </w:r>
      <w:r w:rsidR="00B60612" w:rsidRPr="00B60612">
        <w:rPr>
          <w:rStyle w:val="libFootnoteBoldChar"/>
          <w:rtl/>
        </w:rPr>
        <w:t>والتهذيب</w:t>
      </w:r>
      <w:r w:rsidR="00E3253D" w:rsidRPr="005D642E">
        <w:rPr>
          <w:rtl/>
        </w:rPr>
        <w:t xml:space="preserve"> ، ص 107 : « فإذا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الوافي : + « لله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جن » : « أجزأها عنها »</w:t>
      </w:r>
      <w:r w:rsidR="00E3253D">
        <w:rPr>
          <w:rtl/>
        </w:rPr>
        <w:t>.</w:t>
      </w:r>
      <w:r w:rsidR="00E3253D" w:rsidRPr="005D642E">
        <w:rPr>
          <w:rtl/>
        </w:rPr>
        <w:t xml:space="preserve"> وفي حاشية « جح » : « أجزأك عنها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غُسْلٌ وَاحِدٌ </w:t>
      </w:r>
      <w:r w:rsidRPr="007C12DB">
        <w:rPr>
          <w:rStyle w:val="libFootnotenumChar"/>
          <w:rtl/>
        </w:rPr>
        <w:t>(1)</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قَالَ : ثُمَّ قَالَ : « وَكَذلِكَ الْمَرْأَةُ يُجْزِئُهَا غُسْلٌ وَاحِدٌ لِجَنَابَتِهَا وَإِحْرَامِهَا وَجُمُعَتِهَا وَغُسْلِهَا مِنْ حَيْضِهَا وَعِيدِهَا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02164E">
        <w:rPr>
          <w:rtl/>
        </w:rPr>
        <w:t>3997</w:t>
      </w:r>
      <w:r w:rsidRPr="00246318">
        <w:rPr>
          <w:rStyle w:val="libBold2Char"/>
          <w:rtl/>
        </w:rPr>
        <w:t xml:space="preserve"> / 2.</w:t>
      </w:r>
      <w:r w:rsidRPr="005D642E">
        <w:rPr>
          <w:rtl/>
          <w:lang w:bidi="fa-IR"/>
        </w:rPr>
        <w:t xml:space="preserve"> مُحَمَّدُ بْنُ يَحْيى ، عَنْ أَحْمَدَ بْنِ مُحَمَّدٍ ، عَنْ عَلِيِّ بْنِ حَدِيدٍ ، عَنْ جَمِيلِ بْنِ دَرَّاجٍ ، عَنْ بَعْضِ أَصْحَابِنَا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أَنَّهُ قَالَ : « إِذَا اغْتَسَلَ الْجُنُبُ بَعْدَ طُلُوعِ الْفَجْرِ ، أَجْزَأَ عَنْهُ ذلِكَ الْغُسْلُ مِنْ كُلِّ غُسْلٍ يَلْزَمُهُ فِي ذلِكَ الْيَوْمِ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102" w:name="_Toc344647244"/>
      <w:bookmarkStart w:id="103" w:name="_Toc462226759"/>
      <w:bookmarkStart w:id="104" w:name="_Toc40975867"/>
      <w:r w:rsidRPr="005D642E">
        <w:rPr>
          <w:rtl/>
          <w:lang w:bidi="fa-IR"/>
        </w:rPr>
        <w:t>28</w:t>
      </w:r>
      <w:r>
        <w:rPr>
          <w:rtl/>
          <w:lang w:bidi="fa-IR"/>
        </w:rPr>
        <w:t xml:space="preserve"> </w:t>
      </w:r>
      <w:r w:rsidR="007642BC">
        <w:rPr>
          <w:rtl/>
          <w:lang w:bidi="fa-IR"/>
        </w:rPr>
        <w:t>-</w:t>
      </w:r>
      <w:r>
        <w:rPr>
          <w:rtl/>
          <w:lang w:bidi="fa-IR"/>
        </w:rPr>
        <w:t xml:space="preserve"> </w:t>
      </w:r>
      <w:r w:rsidRPr="005D642E">
        <w:rPr>
          <w:rtl/>
          <w:lang w:bidi="fa-IR"/>
        </w:rPr>
        <w:t>بَابُ وُجُوبِ الْغُسْلِ يَوْمَ الْجُمُعَةِ‌</w:t>
      </w:r>
      <w:bookmarkEnd w:id="102"/>
      <w:bookmarkEnd w:id="103"/>
      <w:bookmarkEnd w:id="104"/>
    </w:p>
    <w:p w:rsidR="00E3253D" w:rsidRPr="005D642E" w:rsidRDefault="00E3253D" w:rsidP="00E3253D">
      <w:pPr>
        <w:pStyle w:val="libNormal"/>
        <w:rPr>
          <w:rtl/>
          <w:lang w:bidi="fa-IR"/>
        </w:rPr>
      </w:pPr>
      <w:r w:rsidRPr="0002164E">
        <w:rPr>
          <w:rtl/>
        </w:rPr>
        <w:t>3998</w:t>
      </w:r>
      <w:r w:rsidRPr="00246318">
        <w:rPr>
          <w:rStyle w:val="libBold2Char"/>
          <w:rtl/>
        </w:rPr>
        <w:t xml:space="preserve"> / 1.</w:t>
      </w:r>
      <w:r w:rsidRPr="005D642E">
        <w:rPr>
          <w:rtl/>
          <w:lang w:bidi="fa-IR"/>
        </w:rPr>
        <w:t xml:space="preserve"> عَلِيُّ بْنُ إِبْرَاهِيمَ ، عَنْ أَبِيهِ ، عَنْ عَبْدِ اللهِ بْنِ الْمُغِيرَةِ :</w:t>
      </w:r>
    </w:p>
    <w:p w:rsidR="00E3253D" w:rsidRPr="005D642E" w:rsidRDefault="00E3253D" w:rsidP="00E3253D">
      <w:pPr>
        <w:pStyle w:val="libNormal"/>
        <w:rPr>
          <w:rtl/>
          <w:lang w:bidi="fa-IR"/>
        </w:rPr>
      </w:pPr>
      <w:r w:rsidRPr="005D642E">
        <w:rPr>
          <w:rtl/>
          <w:lang w:bidi="fa-IR"/>
        </w:rPr>
        <w:t xml:space="preserve">عَنْ أَبِي الْحَسَنِ الرِّضَا </w:t>
      </w:r>
      <w:r w:rsidRPr="00AC51C5">
        <w:rPr>
          <w:rStyle w:val="libAlaemChar"/>
          <w:rtl/>
        </w:rPr>
        <w:t>عليه‌السلام</w:t>
      </w:r>
      <w:r w:rsidRPr="005D642E">
        <w:rPr>
          <w:rtl/>
          <w:lang w:bidi="fa-IR"/>
        </w:rPr>
        <w:t xml:space="preserve"> ، قَالَ : سَأَلْتُهُ عَنِ الْغُسْلِ يَوْمَ الْجُمُعَةِ</w:t>
      </w:r>
      <w:r>
        <w:rPr>
          <w:rtl/>
          <w:lang w:bidi="fa-IR"/>
        </w:rPr>
        <w:t>؟</w:t>
      </w:r>
    </w:p>
    <w:p w:rsidR="00E3253D" w:rsidRPr="005D642E" w:rsidRDefault="00E3253D" w:rsidP="00E3253D">
      <w:pPr>
        <w:pStyle w:val="libNormal"/>
        <w:rPr>
          <w:rtl/>
          <w:lang w:bidi="fa-IR"/>
        </w:rPr>
      </w:pPr>
      <w:r w:rsidRPr="005D642E">
        <w:rPr>
          <w:rtl/>
          <w:lang w:bidi="fa-IR"/>
        </w:rPr>
        <w:t xml:space="preserve">فَقَالَ : « وَاجِبٌ عَلى كُلِّ ذَكَرٍ وَأُنْثى </w:t>
      </w:r>
      <w:r w:rsidRPr="007C12DB">
        <w:rPr>
          <w:rStyle w:val="libFootnotenumChar"/>
          <w:rtl/>
        </w:rPr>
        <w:t>(4)</w:t>
      </w:r>
      <w:r w:rsidRPr="005D642E">
        <w:rPr>
          <w:rtl/>
          <w:lang w:bidi="fa-IR"/>
        </w:rPr>
        <w:t xml:space="preserve"> ، عَبْدٍ أَوْ حُرٍّ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بس » :</w:t>
      </w:r>
      <w:r w:rsidR="00E3253D">
        <w:rPr>
          <w:rtl/>
        </w:rPr>
        <w:t xml:space="preserve"> </w:t>
      </w:r>
      <w:r w:rsidR="007642BC">
        <w:rPr>
          <w:rtl/>
        </w:rPr>
        <w:t>-</w:t>
      </w:r>
      <w:r w:rsidR="00E3253D">
        <w:rPr>
          <w:rtl/>
        </w:rPr>
        <w:t xml:space="preserve"> </w:t>
      </w:r>
      <w:r w:rsidR="00E3253D" w:rsidRPr="005D642E">
        <w:rPr>
          <w:rtl/>
        </w:rPr>
        <w:t>« واحد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الكافي</w:t>
      </w:r>
      <w:r w:rsidR="00E3253D" w:rsidRPr="005D642E">
        <w:rPr>
          <w:rtl/>
        </w:rPr>
        <w:t xml:space="preserve"> ، كتاب الصلاة ، باب التزيّن يوم الجمعة ، ح 5452 ؛ </w:t>
      </w:r>
      <w:r w:rsidR="00B60612" w:rsidRPr="00B60612">
        <w:rPr>
          <w:rStyle w:val="libFootnoteBoldChar"/>
          <w:rtl/>
        </w:rPr>
        <w:t>والتهذيب</w:t>
      </w:r>
      <w:r w:rsidR="00E3253D" w:rsidRPr="005D642E">
        <w:rPr>
          <w:rtl/>
        </w:rPr>
        <w:t xml:space="preserve"> ، ج 3 ، ص 236 ، ح 621 ، بسندهما عن عليّ بن إبراهيم ، عن أبيه [ في الكافي : + ومحمّد بن إسماعيل ، عن الفضل بن شاذان جميعاً ] ، عن حمّاد بن عيسى ، عن حريز ، عن زرارة والفضيل ، عنه </w:t>
      </w:r>
      <w:r w:rsidR="00E3253D" w:rsidRPr="00D60D46">
        <w:rPr>
          <w:rStyle w:val="libFootnoteAlaemChar"/>
          <w:rtl/>
        </w:rPr>
        <w:t>عليه‌السلام</w:t>
      </w:r>
      <w:r w:rsidR="00E3253D" w:rsidRPr="005D642E">
        <w:rPr>
          <w:rtl/>
        </w:rPr>
        <w:t xml:space="preserve"> ، إلى قوله : « أجزأك غسلك ذلك للجنابة والجمعة » مع اختلاف يسير ؛ وفي </w:t>
      </w:r>
      <w:r w:rsidR="00E3253D" w:rsidRPr="002F4D34">
        <w:rPr>
          <w:rStyle w:val="libFootnoteBoldChar"/>
          <w:rtl/>
        </w:rPr>
        <w:t>التهذيب</w:t>
      </w:r>
      <w:r w:rsidR="00E3253D" w:rsidRPr="005D642E">
        <w:rPr>
          <w:rtl/>
        </w:rPr>
        <w:t xml:space="preserve"> ، ج 1 ، ص 107 ، ح 279 ، بسنده عن حمّاد بن عيسى ، عن حريز ، عن زرارة ، عن أحدهما </w:t>
      </w:r>
      <w:r w:rsidR="00E3253D" w:rsidRPr="00D60D46">
        <w:rPr>
          <w:rStyle w:val="libFootnoteAlaemChar"/>
          <w:rtl/>
        </w:rPr>
        <w:t>عليهما‌السلام</w:t>
      </w:r>
      <w:r w:rsidR="00E3253D" w:rsidRPr="005D642E">
        <w:rPr>
          <w:rtl/>
        </w:rPr>
        <w:t xml:space="preserve">. </w:t>
      </w:r>
      <w:r w:rsidR="00E3253D" w:rsidRPr="002F4D34">
        <w:rPr>
          <w:rStyle w:val="libFootnoteBoldChar"/>
          <w:rtl/>
        </w:rPr>
        <w:t>وفيه</w:t>
      </w:r>
      <w:r w:rsidR="00E3253D" w:rsidRPr="005D642E">
        <w:rPr>
          <w:rtl/>
        </w:rPr>
        <w:t xml:space="preserve"> أيضاً ، ص 395 ، ح 1225 ؛ </w:t>
      </w:r>
      <w:r w:rsidR="00E3253D" w:rsidRPr="00E678B5">
        <w:rPr>
          <w:rStyle w:val="libFootnoteBoldChar"/>
          <w:rtl/>
        </w:rPr>
        <w:t>والاستبصار</w:t>
      </w:r>
      <w:r w:rsidR="00E3253D" w:rsidRPr="005D642E">
        <w:rPr>
          <w:rtl/>
        </w:rPr>
        <w:t xml:space="preserve"> ، ج 1 ، ص 146 ، ح 502 ، بسند آخر عن حمّاد بن عيسى ، عن حريز ، عن زرارة ، عن أبي جعفر </w:t>
      </w:r>
      <w:r w:rsidR="00E3253D" w:rsidRPr="00D60D46">
        <w:rPr>
          <w:rStyle w:val="libFootnoteAlaemChar"/>
          <w:rtl/>
        </w:rPr>
        <w:t>عليه‌السلام</w:t>
      </w:r>
      <w:r w:rsidR="00E3253D" w:rsidRPr="005D642E">
        <w:rPr>
          <w:rtl/>
        </w:rPr>
        <w:t xml:space="preserve"> ، هكذا : « إذا حاضت المرأة وهي جنب أجزأها غسل واحد »</w:t>
      </w:r>
      <w:r w:rsidR="00E3253D">
        <w:rPr>
          <w:rtl/>
        </w:rPr>
        <w:t>.</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D60D46">
        <w:rPr>
          <w:rStyle w:val="libFootnoteAlaemChar"/>
          <w:rtl/>
        </w:rPr>
        <w:t>عليه‌السلام</w:t>
      </w:r>
      <w:r w:rsidR="00E3253D" w:rsidRPr="005D642E">
        <w:rPr>
          <w:rtl/>
        </w:rPr>
        <w:t xml:space="preserve"> ، ص 175 ، إلى قوله : « أجزأك غسلك » مع اختلاف يسير. وراجع : </w:t>
      </w:r>
      <w:r w:rsidR="00E3253D" w:rsidRPr="002F4D34">
        <w:rPr>
          <w:rStyle w:val="libFootnoteBoldChar"/>
          <w:rtl/>
        </w:rPr>
        <w:t>قرب الإسناد</w:t>
      </w:r>
      <w:r w:rsidR="00E3253D" w:rsidRPr="005D642E">
        <w:rPr>
          <w:rtl/>
        </w:rPr>
        <w:t xml:space="preserve"> ، ص 168 ، ح 614 ؛ وص 181 ، ح 669 </w:t>
      </w:r>
      <w:r w:rsidR="00D60D46">
        <w:rPr>
          <w:rFonts w:hint="cs"/>
          <w:rtl/>
        </w:rPr>
        <w:t>.</w:t>
      </w:r>
      <w:r w:rsidR="00E3253D" w:rsidRPr="005D642E">
        <w:rPr>
          <w:rtl/>
        </w:rPr>
        <w:t xml:space="preserve">الوافي ، ج 6 ، ص 533 ، ح 4869 ؛ </w:t>
      </w:r>
      <w:r w:rsidR="00E3253D" w:rsidRPr="002F4D34">
        <w:rPr>
          <w:rStyle w:val="libFootnoteBoldChar"/>
          <w:rtl/>
        </w:rPr>
        <w:t>الوسائل</w:t>
      </w:r>
      <w:r w:rsidR="00E3253D" w:rsidRPr="005D642E">
        <w:rPr>
          <w:rtl/>
        </w:rPr>
        <w:t xml:space="preserve"> ، ج 2 ، ص 261 ، ح 2107.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533 ، ح 4871 ؛ </w:t>
      </w:r>
      <w:r w:rsidR="00E3253D" w:rsidRPr="002F4D34">
        <w:rPr>
          <w:rStyle w:val="libFootnoteBoldChar"/>
          <w:rtl/>
        </w:rPr>
        <w:t>الوسائل</w:t>
      </w:r>
      <w:r w:rsidR="00E3253D" w:rsidRPr="005D642E">
        <w:rPr>
          <w:rtl/>
        </w:rPr>
        <w:t xml:space="preserve"> ، ج 2 ، ص 263 ، ح 2108.</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بث ، بس ، جح ، جس » وحاشية « بخ » والوسائل : « أو ا</w:t>
      </w:r>
      <w:r w:rsidR="00C36C36">
        <w:rPr>
          <w:rFonts w:hint="cs"/>
          <w:rtl/>
        </w:rPr>
        <w:t>ُ</w:t>
      </w:r>
      <w:r w:rsidR="00E3253D" w:rsidRPr="005D642E">
        <w:rPr>
          <w:rtl/>
        </w:rPr>
        <w:t>نثى »</w:t>
      </w:r>
      <w:r w:rsidR="00E3253D">
        <w:rPr>
          <w:rtl/>
        </w:rPr>
        <w:t>.</w:t>
      </w:r>
      <w:r w:rsidR="00E3253D" w:rsidRPr="005D642E">
        <w:rPr>
          <w:rtl/>
        </w:rPr>
        <w:t xml:space="preserve"> وفي التهذيب </w:t>
      </w:r>
      <w:r w:rsidR="00E3253D" w:rsidRPr="00E678B5">
        <w:rPr>
          <w:rStyle w:val="libFootnoteBoldChar"/>
          <w:rtl/>
        </w:rPr>
        <w:t>والاستبصار</w:t>
      </w:r>
      <w:r w:rsidR="00E3253D" w:rsidRPr="005D642E">
        <w:rPr>
          <w:rtl/>
        </w:rPr>
        <w:t xml:space="preserve"> : + « من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 « عبداً أو حرّاً »</w:t>
      </w:r>
      <w:r w:rsidR="00E3253D">
        <w:rPr>
          <w:rtl/>
        </w:rPr>
        <w:t>.</w:t>
      </w:r>
      <w:r w:rsidR="00E3253D" w:rsidRPr="005D642E">
        <w:rPr>
          <w:rtl/>
        </w:rPr>
        <w:t xml:space="preserve"> وفي « بخ » وحاشية « بث » : « حرّ أو عبد »</w:t>
      </w:r>
      <w:r w:rsidR="00E3253D">
        <w:rPr>
          <w:rtl/>
        </w:rPr>
        <w:t>.</w:t>
      </w:r>
      <w:r w:rsidR="00E3253D" w:rsidRPr="005D642E">
        <w:rPr>
          <w:rtl/>
        </w:rPr>
        <w:t xml:space="preserve"> وفي الاستبصار : « وحرّ » بدل « أو حرّ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111 ، ح 291 ، بسنده عن الكليني ؛ </w:t>
      </w:r>
      <w:r w:rsidR="00E3253D" w:rsidRPr="002F4D34">
        <w:rPr>
          <w:rStyle w:val="libFootnoteBoldChar"/>
          <w:rtl/>
        </w:rPr>
        <w:t>الاستبصار</w:t>
      </w:r>
      <w:r w:rsidR="00E3253D" w:rsidRPr="005D642E">
        <w:rPr>
          <w:rtl/>
        </w:rPr>
        <w:t xml:space="preserve"> ، ج 1 ، ص 103 ، ح 336 ، معلّقاً عن </w:t>
      </w:r>
      <w:r w:rsidR="00C36C36">
        <w:rPr>
          <w:rFonts w:hint="cs"/>
          <w:rtl/>
        </w:rPr>
        <w:t>=</w:t>
      </w:r>
    </w:p>
    <w:p w:rsidR="00E3253D" w:rsidRDefault="00E3253D" w:rsidP="00E3253D">
      <w:pPr>
        <w:pStyle w:val="libNormal"/>
        <w:rPr>
          <w:rtl/>
          <w:lang w:bidi="fa-IR"/>
        </w:rPr>
      </w:pPr>
      <w:r>
        <w:rPr>
          <w:rtl/>
          <w:lang w:bidi="fa-IR"/>
        </w:rPr>
        <w:br w:type="page"/>
      </w:r>
    </w:p>
    <w:p w:rsidR="0053516D" w:rsidRDefault="00E3253D" w:rsidP="0053516D">
      <w:pPr>
        <w:pStyle w:val="libNormal"/>
        <w:rPr>
          <w:rtl/>
          <w:lang w:bidi="fa-IR"/>
        </w:rPr>
      </w:pPr>
      <w:r w:rsidRPr="00FC6C5A">
        <w:rPr>
          <w:rtl/>
        </w:rPr>
        <w:lastRenderedPageBreak/>
        <w:t>3999</w:t>
      </w:r>
      <w:r w:rsidRPr="00246318">
        <w:rPr>
          <w:rStyle w:val="libBold2Char"/>
          <w:rtl/>
        </w:rPr>
        <w:t xml:space="preserve"> / 2.</w:t>
      </w:r>
      <w:r w:rsidRPr="005D642E">
        <w:rPr>
          <w:rtl/>
          <w:lang w:bidi="fa-IR"/>
        </w:rPr>
        <w:t xml:space="preserve"> عَلِيُّ بْنُ مُحَمَّدٍ ، عَنْ سَهْلِ بْنِ زِيَادٍ ؛</w:t>
      </w:r>
    </w:p>
    <w:p w:rsidR="00E3253D" w:rsidRPr="005D642E" w:rsidRDefault="00365424" w:rsidP="0053516D">
      <w:pPr>
        <w:pStyle w:val="libNormal"/>
        <w:rPr>
          <w:rtl/>
          <w:lang w:bidi="fa-IR"/>
        </w:rPr>
      </w:pPr>
      <w:r>
        <w:rPr>
          <w:rFonts w:hint="cs"/>
          <w:rtl/>
          <w:lang w:bidi="fa-IR"/>
        </w:rPr>
        <w:t xml:space="preserve">           </w:t>
      </w:r>
      <w:r w:rsidR="0053516D">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(1)</w:t>
      </w:r>
      <w:r w:rsidR="00E3253D" w:rsidRPr="005D642E">
        <w:rPr>
          <w:rtl/>
          <w:lang w:bidi="fa-IR"/>
        </w:rPr>
        <w:t xml:space="preserve"> مُحَمَّدُ بْنُ يَحْيى ، عَنْ أَحْمَدَ بْنِ مُحَمَّدٍ ، عَنِ </w:t>
      </w:r>
      <w:r w:rsidR="00E3253D" w:rsidRPr="007C12DB">
        <w:rPr>
          <w:rStyle w:val="libFootnotenumChar"/>
          <w:rtl/>
        </w:rPr>
        <w:t>(2)</w:t>
      </w:r>
      <w:r w:rsidR="00E3253D" w:rsidRPr="005D642E">
        <w:rPr>
          <w:rtl/>
          <w:lang w:bidi="fa-IR"/>
        </w:rPr>
        <w:t xml:space="preserve"> ابْنِ أَبِي نَصْرٍ ، عَنْ مُحَمَّدِ بْنِ عَبْدِ اللهِ </w:t>
      </w:r>
      <w:r w:rsidR="00E3253D" w:rsidRPr="007C12DB">
        <w:rPr>
          <w:rStyle w:val="libFootnotenumChar"/>
          <w:rtl/>
        </w:rPr>
        <w:t>(3)</w:t>
      </w:r>
      <w:r w:rsidR="00E3253D">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الرِّضَا </w:t>
      </w:r>
      <w:r w:rsidRPr="00AC51C5">
        <w:rPr>
          <w:rStyle w:val="libAlaemChar"/>
          <w:rtl/>
        </w:rPr>
        <w:t>عليه‌السلام</w:t>
      </w:r>
      <w:r w:rsidRPr="005D642E">
        <w:rPr>
          <w:rtl/>
          <w:lang w:bidi="fa-IR"/>
        </w:rPr>
        <w:t xml:space="preserve"> عَنْ غُسْلِ </w:t>
      </w:r>
      <w:r w:rsidRPr="007C12DB">
        <w:rPr>
          <w:rStyle w:val="libFootnotenumChar"/>
          <w:rtl/>
        </w:rPr>
        <w:t>(4)</w:t>
      </w:r>
      <w:r w:rsidRPr="005D642E">
        <w:rPr>
          <w:rtl/>
          <w:lang w:bidi="fa-IR"/>
        </w:rPr>
        <w:t xml:space="preserve"> يَوْمِ الْجُمُعَةِ</w:t>
      </w:r>
      <w:r>
        <w:rPr>
          <w:rtl/>
          <w:lang w:bidi="fa-IR"/>
        </w:rPr>
        <w:t>؟</w:t>
      </w:r>
    </w:p>
    <w:p w:rsidR="00E3253D" w:rsidRPr="005D642E" w:rsidRDefault="00E3253D" w:rsidP="00E3253D">
      <w:pPr>
        <w:pStyle w:val="libNormal"/>
        <w:rPr>
          <w:rtl/>
          <w:lang w:bidi="fa-IR"/>
        </w:rPr>
      </w:pPr>
      <w:r w:rsidRPr="005D642E">
        <w:rPr>
          <w:rtl/>
          <w:lang w:bidi="fa-IR"/>
        </w:rPr>
        <w:t xml:space="preserve">فَقَالَ : « وَاجِبٌ عَلى كُلِّ ذَكَرٍ وَأُنْثى </w:t>
      </w:r>
      <w:r w:rsidRPr="007C12DB">
        <w:rPr>
          <w:rStyle w:val="libFootnotenumChar"/>
          <w:rtl/>
        </w:rPr>
        <w:t>(5)</w:t>
      </w:r>
      <w:r w:rsidRPr="005D642E">
        <w:rPr>
          <w:rtl/>
          <w:lang w:bidi="fa-IR"/>
        </w:rPr>
        <w:t xml:space="preserve"> ، عَبْدٍ أَوْ حُرٍّ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FC6C5A">
        <w:rPr>
          <w:rtl/>
        </w:rPr>
        <w:t>4000</w:t>
      </w:r>
      <w:r w:rsidRPr="00246318">
        <w:rPr>
          <w:rStyle w:val="libBold2Char"/>
          <w:rtl/>
        </w:rPr>
        <w:t xml:space="preserve"> / 3.</w:t>
      </w:r>
      <w:r w:rsidRPr="005D642E">
        <w:rPr>
          <w:rtl/>
          <w:lang w:bidi="fa-IR"/>
        </w:rPr>
        <w:t xml:space="preserve"> مُحَمَّدُ بْنُ يَحْيى ، عَنْ مُحَمَّدِ بْنِ الْحُسَيْنِ ، عَنْ صَفْوَانَ ، عَنْ مَنْصُورِ بْنِ‌حَازِمٍ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الْغُسْلُ يَوْمَ الْجُمُعَةِ </w:t>
      </w:r>
      <w:r w:rsidRPr="007C12DB">
        <w:rPr>
          <w:rStyle w:val="libFootnotenumChar"/>
          <w:rtl/>
        </w:rPr>
        <w:t>(8)</w:t>
      </w:r>
      <w:r w:rsidRPr="005D642E">
        <w:rPr>
          <w:rtl/>
          <w:lang w:bidi="fa-IR"/>
        </w:rPr>
        <w:t xml:space="preserve"> عَلَى الرِّجَالِ وَالنِّسَاءِ فِي الْحَضَرِ ، وَعَلَى الرِّجَالِ فِي السَّفَرِ ، وَلَيْسَ عَلَى النِّسَاءِ فِي السَّفَرِ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53516D" w:rsidP="00E3253D">
      <w:pPr>
        <w:pStyle w:val="libFootnote0"/>
        <w:rPr>
          <w:rtl/>
          <w:lang w:bidi="fa-IR"/>
        </w:rPr>
      </w:pPr>
      <w:r>
        <w:rPr>
          <w:rFonts w:hint="cs"/>
          <w:rtl/>
        </w:rPr>
        <w:t xml:space="preserve">= </w:t>
      </w:r>
      <w:r w:rsidR="00E3253D" w:rsidRPr="005D642E">
        <w:rPr>
          <w:rtl/>
        </w:rPr>
        <w:t xml:space="preserve">الكليني. </w:t>
      </w:r>
      <w:r w:rsidR="00E3253D" w:rsidRPr="002F4D34">
        <w:rPr>
          <w:rStyle w:val="libFootnoteBoldChar"/>
          <w:rtl/>
        </w:rPr>
        <w:t>التهذيب</w:t>
      </w:r>
      <w:r w:rsidR="00E3253D" w:rsidRPr="005D642E">
        <w:rPr>
          <w:rtl/>
        </w:rPr>
        <w:t xml:space="preserve"> ، ج 3 ، ص 9 ، ح 28 ، بسنده عن محمّد بن عبدالله وعبدالله بن المغيرة ، عن الرضا </w:t>
      </w:r>
      <w:r w:rsidR="00E3253D" w:rsidRPr="009E7C1A">
        <w:rPr>
          <w:rStyle w:val="libFootnoteAlaemChar"/>
          <w:rtl/>
        </w:rPr>
        <w:t>عليه‌السلام</w:t>
      </w:r>
      <w:r w:rsidR="00E3253D" w:rsidRPr="005D642E">
        <w:rPr>
          <w:rtl/>
        </w:rPr>
        <w:t xml:space="preserve">. </w:t>
      </w:r>
      <w:r w:rsidR="00E3253D" w:rsidRPr="002F4D34">
        <w:rPr>
          <w:rStyle w:val="libFootnoteBoldChar"/>
          <w:rtl/>
        </w:rPr>
        <w:t>المقنعة</w:t>
      </w:r>
      <w:r w:rsidR="00E3253D" w:rsidRPr="005D642E">
        <w:rPr>
          <w:rtl/>
        </w:rPr>
        <w:t xml:space="preserve"> ، ص 158 ، مرسلاً عن العبد الصالح </w:t>
      </w:r>
      <w:r w:rsidR="00E3253D" w:rsidRPr="009E7C1A">
        <w:rPr>
          <w:rStyle w:val="libFootnoteAlaemChar"/>
          <w:rtl/>
        </w:rPr>
        <w:t>عليه‌السلام</w:t>
      </w:r>
      <w:r w:rsidR="00E3253D" w:rsidRPr="005D642E">
        <w:rPr>
          <w:rtl/>
        </w:rPr>
        <w:t xml:space="preserve"> ، وفيهما مع اختلاف يسير </w:t>
      </w:r>
      <w:r w:rsidR="009E7C1A">
        <w:rPr>
          <w:rFonts w:hint="cs"/>
          <w:rtl/>
        </w:rPr>
        <w:t>.</w:t>
      </w:r>
      <w:r w:rsidR="00E3253D" w:rsidRPr="002F4D34">
        <w:rPr>
          <w:rStyle w:val="libFootnoteBoldChar"/>
          <w:rtl/>
        </w:rPr>
        <w:t>الوافي</w:t>
      </w:r>
      <w:r w:rsidR="00E3253D" w:rsidRPr="005D642E">
        <w:rPr>
          <w:rtl/>
        </w:rPr>
        <w:t xml:space="preserve"> ، ج 6 ، ص 389 ، ح 4513 ؛ </w:t>
      </w:r>
      <w:r w:rsidR="00E3253D" w:rsidRPr="002F4D34">
        <w:rPr>
          <w:rStyle w:val="libFootnoteBoldChar"/>
          <w:rtl/>
        </w:rPr>
        <w:t>الوسائل</w:t>
      </w:r>
      <w:r w:rsidR="00E3253D" w:rsidRPr="005D642E">
        <w:rPr>
          <w:rtl/>
        </w:rPr>
        <w:t xml:space="preserve"> ، ج 3 ، ص 312 ، ح 3730.</w:t>
      </w:r>
    </w:p>
    <w:p w:rsidR="00E3253D" w:rsidRPr="005D642E" w:rsidRDefault="0042621E" w:rsidP="00EB05D4">
      <w:pPr>
        <w:pStyle w:val="libFootnote0"/>
        <w:rPr>
          <w:rtl/>
          <w:lang w:bidi="fa-IR"/>
        </w:rPr>
      </w:pPr>
      <w:r w:rsidRPr="0042621E">
        <w:rPr>
          <w:rStyle w:val="libFootnote0Char"/>
          <w:rtl/>
        </w:rPr>
        <w:t>(1).</w:t>
      </w:r>
      <w:r w:rsidR="00E3253D">
        <w:rPr>
          <w:rtl/>
        </w:rPr>
        <w:t xml:space="preserve"> </w:t>
      </w:r>
      <w:r w:rsidR="00E3253D" w:rsidRPr="005D642E">
        <w:rPr>
          <w:rtl/>
        </w:rPr>
        <w:t>في الاستبصار :</w:t>
      </w:r>
      <w:r w:rsidR="00E3253D">
        <w:rPr>
          <w:rtl/>
        </w:rPr>
        <w:t xml:space="preserve"> </w:t>
      </w:r>
      <w:r w:rsidR="007642BC">
        <w:rPr>
          <w:rtl/>
        </w:rPr>
        <w:t>-</w:t>
      </w:r>
      <w:r w:rsidR="00E3253D">
        <w:rPr>
          <w:rtl/>
        </w:rPr>
        <w:t xml:space="preserve"> </w:t>
      </w:r>
      <w:r w:rsidR="00E3253D" w:rsidRPr="005D642E">
        <w:rPr>
          <w:rtl/>
        </w:rPr>
        <w:t>« ومحمّد بن يحيى »</w:t>
      </w:r>
      <w:r w:rsidR="00E3253D">
        <w:rPr>
          <w:rtl/>
        </w:rPr>
        <w:t>.</w:t>
      </w:r>
      <w:r w:rsidR="00E3253D" w:rsidRPr="005D642E">
        <w:rPr>
          <w:rtl/>
        </w:rPr>
        <w:t xml:space="preserve"> وفي السند تحويل بعطف « محمّد بن يحيى ، عن أحمد بن محمّد » على « عليّ بن محمّد ، عن سهل بن زياد »</w:t>
      </w:r>
      <w:r w:rsidR="00E3253D">
        <w:rPr>
          <w:rtl/>
        </w:rPr>
        <w:t>.</w:t>
      </w:r>
      <w:r w:rsidR="00EB05D4">
        <w:rPr>
          <w:rFonts w:hint="cs"/>
          <w:rtl/>
        </w:rPr>
        <w:t xml:space="preserve">                                  </w:t>
      </w:r>
      <w:r w:rsidRPr="0042621E">
        <w:rPr>
          <w:rStyle w:val="libFootnote0Char"/>
          <w:rtl/>
        </w:rPr>
        <w:t>(2).</w:t>
      </w:r>
      <w:r w:rsidR="00E3253D" w:rsidRPr="005D642E">
        <w:rPr>
          <w:rtl/>
        </w:rPr>
        <w:t xml:space="preserve"> في الاستبصار :</w:t>
      </w:r>
      <w:r w:rsidR="00E3253D">
        <w:rPr>
          <w:rtl/>
        </w:rPr>
        <w:t xml:space="preserve"> </w:t>
      </w:r>
      <w:r w:rsidR="007642BC">
        <w:rPr>
          <w:rtl/>
        </w:rPr>
        <w:t>-</w:t>
      </w:r>
      <w:r w:rsidR="00E3253D">
        <w:rPr>
          <w:rtl/>
        </w:rPr>
        <w:t xml:space="preserve"> </w:t>
      </w:r>
      <w:r w:rsidR="00E3253D" w:rsidRPr="005D642E">
        <w:rPr>
          <w:rtl/>
        </w:rPr>
        <w:t>« عن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بث ، بح ، بس ، بف ، جح » وحاشية المطبوع </w:t>
      </w:r>
      <w:r w:rsidR="00B60612" w:rsidRPr="00B60612">
        <w:rPr>
          <w:rStyle w:val="libFootnoteBoldChar"/>
          <w:rtl/>
        </w:rPr>
        <w:t>والتهذيب</w:t>
      </w:r>
      <w:r w:rsidR="00E3253D" w:rsidRPr="005D642E">
        <w:rPr>
          <w:rtl/>
        </w:rPr>
        <w:t xml:space="preserve"> : « عبيدالله »</w:t>
      </w:r>
      <w:r w:rsidR="00E3253D">
        <w:rPr>
          <w:rtl/>
        </w:rPr>
        <w:t>.</w:t>
      </w:r>
    </w:p>
    <w:p w:rsidR="00E3253D" w:rsidRPr="005D642E" w:rsidRDefault="00E3253D" w:rsidP="00EB05D4">
      <w:pPr>
        <w:pStyle w:val="libFootnote0"/>
        <w:rPr>
          <w:rtl/>
          <w:lang w:bidi="fa-IR"/>
        </w:rPr>
      </w:pPr>
      <w:r w:rsidRPr="00B60612">
        <w:rPr>
          <w:rtl/>
        </w:rPr>
        <w:t xml:space="preserve">والظاهر أنّ محمّداً هذا ، هو محمّد بن عبدالله بن عيسى الأشعري القمّي الذي ذكره الشيخ الطوسي في رجاله ، ص 365 ، الرقم 5419 ، في أصحاب الرضا </w:t>
      </w:r>
      <w:r w:rsidRPr="009E7C1A">
        <w:rPr>
          <w:rStyle w:val="libFootnoteAlaemChar"/>
          <w:rtl/>
        </w:rPr>
        <w:t>عليه‌السلام</w:t>
      </w:r>
      <w:r w:rsidRPr="00B60612">
        <w:rPr>
          <w:rtl/>
        </w:rPr>
        <w:t xml:space="preserve"> ، وروى عنه أحمد بن محمّد بن أبي نصر في </w:t>
      </w:r>
      <w:r w:rsidRPr="002F4D34">
        <w:rPr>
          <w:rStyle w:val="libFootnoteBoldChar"/>
          <w:rtl/>
        </w:rPr>
        <w:t>الكافي</w:t>
      </w:r>
      <w:r w:rsidRPr="00B60612">
        <w:rPr>
          <w:rtl/>
        </w:rPr>
        <w:t xml:space="preserve"> ، ح 7100 بعنوان محمّد بن عبدالله القمّي ، عن أبي الحسن الرضا </w:t>
      </w:r>
      <w:r w:rsidRPr="009E7C1A">
        <w:rPr>
          <w:rStyle w:val="libFootnoteAlaemChar"/>
          <w:rtl/>
        </w:rPr>
        <w:t>عليه‌السلام</w:t>
      </w:r>
      <w:r w:rsidRPr="00B60612">
        <w:rPr>
          <w:rtl/>
        </w:rPr>
        <w:t xml:space="preserve"> ، وفي </w:t>
      </w:r>
      <w:r w:rsidRPr="002F4D34">
        <w:rPr>
          <w:rStyle w:val="libFootnoteBoldChar"/>
          <w:rtl/>
        </w:rPr>
        <w:t>التهذيب</w:t>
      </w:r>
      <w:r w:rsidRPr="00B60612">
        <w:rPr>
          <w:rtl/>
        </w:rPr>
        <w:t xml:space="preserve"> ، ج 7 ، ص 253 ، ح 1094 بعنوان محمّد بن عبدالله الأشعري عن الرضا </w:t>
      </w:r>
      <w:r w:rsidRPr="009E7C1A">
        <w:rPr>
          <w:rStyle w:val="libFootnoteAlaemChar"/>
          <w:rtl/>
        </w:rPr>
        <w:t>عليه‌السلام</w:t>
      </w:r>
      <w:r w:rsidRPr="00B60612">
        <w:rPr>
          <w:rtl/>
        </w:rPr>
        <w:t>.</w:t>
      </w:r>
      <w:r w:rsidR="00EB05D4">
        <w:rPr>
          <w:rFonts w:hint="cs"/>
          <w:rtl/>
        </w:rPr>
        <w:t xml:space="preserve">                </w:t>
      </w:r>
      <w:r w:rsidR="0035526B">
        <w:rPr>
          <w:rFonts w:hint="cs"/>
          <w:rtl/>
        </w:rPr>
        <w:t xml:space="preserve"> </w:t>
      </w:r>
      <w:r w:rsidR="0042621E" w:rsidRPr="0042621E">
        <w:rPr>
          <w:rStyle w:val="libFootnote0Char"/>
          <w:rtl/>
        </w:rPr>
        <w:t>(4).</w:t>
      </w:r>
      <w:r w:rsidRPr="005D642E">
        <w:rPr>
          <w:rtl/>
        </w:rPr>
        <w:t xml:space="preserve"> في حاشية « بث » : « الغسل »</w:t>
      </w:r>
      <w:r>
        <w:rPr>
          <w:rtl/>
        </w:rPr>
        <w:t>.</w:t>
      </w:r>
    </w:p>
    <w:p w:rsidR="00E3253D" w:rsidRPr="005D642E" w:rsidRDefault="0042621E" w:rsidP="00F66908">
      <w:pPr>
        <w:pStyle w:val="libFootnote0"/>
        <w:rPr>
          <w:rtl/>
          <w:lang w:bidi="fa-IR"/>
        </w:rPr>
      </w:pPr>
      <w:r w:rsidRPr="0042621E">
        <w:rPr>
          <w:rStyle w:val="libFootnote0Char"/>
          <w:rtl/>
        </w:rPr>
        <w:t>(5).</w:t>
      </w:r>
      <w:r w:rsidR="00E3253D" w:rsidRPr="005D642E">
        <w:rPr>
          <w:rtl/>
        </w:rPr>
        <w:t xml:space="preserve"> في « بث ، بخ ، بس ، جح ، جس » : « أو ا</w:t>
      </w:r>
      <w:r w:rsidR="0035526B">
        <w:rPr>
          <w:rFonts w:hint="cs"/>
          <w:rtl/>
        </w:rPr>
        <w:t>ُ</w:t>
      </w:r>
      <w:r w:rsidR="00E3253D" w:rsidRPr="005D642E">
        <w:rPr>
          <w:rtl/>
        </w:rPr>
        <w:t>نثى »</w:t>
      </w:r>
      <w:r w:rsidR="00E3253D">
        <w:rPr>
          <w:rtl/>
        </w:rPr>
        <w:t>.</w:t>
      </w:r>
      <w:r w:rsidR="00E3253D" w:rsidRPr="005D642E">
        <w:rPr>
          <w:rtl/>
        </w:rPr>
        <w:t xml:space="preserve"> وفي « بف ، جس » وحاشية « غ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من »</w:t>
      </w:r>
      <w:r w:rsidR="00E3253D">
        <w:rPr>
          <w:rtl/>
        </w:rPr>
        <w:t>.</w:t>
      </w:r>
      <w:r w:rsidR="00F66908">
        <w:rPr>
          <w:rFonts w:hint="cs"/>
          <w:rtl/>
        </w:rPr>
        <w:t xml:space="preserve">                     </w:t>
      </w:r>
      <w:r w:rsidRPr="0042621E">
        <w:rPr>
          <w:rStyle w:val="libFootnote0Char"/>
          <w:rtl/>
        </w:rPr>
        <w:t>(6).</w:t>
      </w:r>
      <w:r w:rsidR="00F66908">
        <w:rPr>
          <w:rtl/>
        </w:rPr>
        <w:t xml:space="preserve"> في «</w:t>
      </w:r>
      <w:r w:rsidR="00E3253D" w:rsidRPr="005D642E">
        <w:rPr>
          <w:rtl/>
        </w:rPr>
        <w:t>ب</w:t>
      </w:r>
      <w:r w:rsidR="00F66908">
        <w:rPr>
          <w:rtl/>
        </w:rPr>
        <w:t>ح»:«عبداً أو حرّاً</w:t>
      </w:r>
      <w:r w:rsidR="00E3253D" w:rsidRPr="005D642E">
        <w:rPr>
          <w:rtl/>
        </w:rPr>
        <w:t>»</w:t>
      </w:r>
      <w:r w:rsidR="00E3253D">
        <w:rPr>
          <w:rtl/>
        </w:rPr>
        <w:t>.</w:t>
      </w:r>
      <w:r w:rsidR="00F66908">
        <w:rPr>
          <w:rtl/>
        </w:rPr>
        <w:t>وفي الاستبصار:«حرّوعبد</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111 ، ح 292 ؛ </w:t>
      </w:r>
      <w:r w:rsidR="00E3253D" w:rsidRPr="00E678B5">
        <w:rPr>
          <w:rStyle w:val="libFootnoteBoldChar"/>
          <w:rtl/>
        </w:rPr>
        <w:t>والاستبصار</w:t>
      </w:r>
      <w:r w:rsidR="00E3253D" w:rsidRPr="005D642E">
        <w:rPr>
          <w:rtl/>
        </w:rPr>
        <w:t xml:space="preserve"> ، ج 1 ، ص 103 ، ح 337 ، بسندهما عن الكليني </w:t>
      </w:r>
      <w:r w:rsidR="006B7A2B">
        <w:rPr>
          <w:rFonts w:hint="cs"/>
          <w:rtl/>
        </w:rPr>
        <w:t>.</w:t>
      </w:r>
      <w:r w:rsidR="00E3253D" w:rsidRPr="002F4D34">
        <w:rPr>
          <w:rStyle w:val="libFootnoteBoldChar"/>
          <w:rtl/>
        </w:rPr>
        <w:t>الوافي</w:t>
      </w:r>
      <w:r w:rsidR="00E3253D" w:rsidRPr="005D642E">
        <w:rPr>
          <w:rtl/>
        </w:rPr>
        <w:t xml:space="preserve"> ، ج 6 ، ص 389 ، ح 4514 ؛ </w:t>
      </w:r>
      <w:r w:rsidR="00E3253D" w:rsidRPr="002F4D34">
        <w:rPr>
          <w:rStyle w:val="libFootnoteBoldChar"/>
          <w:rtl/>
        </w:rPr>
        <w:t>الوسائل</w:t>
      </w:r>
      <w:r w:rsidR="00E3253D" w:rsidRPr="005D642E">
        <w:rPr>
          <w:rtl/>
        </w:rPr>
        <w:t xml:space="preserve"> ، ج 3 ، ص 312 ، ح 3733.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 واجب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الكافي</w:t>
      </w:r>
      <w:r w:rsidR="00E3253D" w:rsidRPr="005D642E">
        <w:rPr>
          <w:rtl/>
        </w:rPr>
        <w:t xml:space="preserve"> ، كتاب الصلاة ، باب التزيّن يوم الجمعة ، ح 5447 ، إلى قوله : « وعلى الرجال في السفر »</w:t>
      </w:r>
      <w:r w:rsidR="00E3253D">
        <w:rPr>
          <w:rtl/>
        </w:rPr>
        <w:t>.</w:t>
      </w:r>
      <w:r w:rsidR="00E3253D" w:rsidRPr="005D642E">
        <w:rPr>
          <w:rtl/>
        </w:rPr>
        <w:t xml:space="preserve"> وراجع : </w:t>
      </w:r>
      <w:r w:rsidR="00E3253D" w:rsidRPr="002F4D34">
        <w:rPr>
          <w:rStyle w:val="libFootnoteBoldChar"/>
          <w:rtl/>
        </w:rPr>
        <w:t>الكافي</w:t>
      </w:r>
      <w:r w:rsidR="00E3253D" w:rsidRPr="005D642E">
        <w:rPr>
          <w:rtl/>
        </w:rPr>
        <w:t xml:space="preserve"> ، ح 3995 ومصادره </w:t>
      </w:r>
      <w:r w:rsidR="00181F5E">
        <w:rPr>
          <w:rFonts w:hint="cs"/>
          <w:rtl/>
        </w:rPr>
        <w:t>.</w:t>
      </w:r>
      <w:r w:rsidR="00E3253D" w:rsidRPr="002F4D34">
        <w:rPr>
          <w:rStyle w:val="libFootnoteBoldChar"/>
          <w:rtl/>
        </w:rPr>
        <w:t>الوافي</w:t>
      </w:r>
      <w:r w:rsidR="00E3253D" w:rsidRPr="005D642E">
        <w:rPr>
          <w:rtl/>
        </w:rPr>
        <w:t xml:space="preserve"> ، ج 6 ، ص 389 ، ح 4515 ؛ </w:t>
      </w:r>
      <w:r w:rsidR="00E3253D" w:rsidRPr="002F4D34">
        <w:rPr>
          <w:rStyle w:val="libFootnoteBoldChar"/>
          <w:rtl/>
        </w:rPr>
        <w:t>الوسائل</w:t>
      </w:r>
      <w:r w:rsidR="00E3253D" w:rsidRPr="005D642E">
        <w:rPr>
          <w:rtl/>
        </w:rPr>
        <w:t xml:space="preserve"> ، ج 3 ، ص 312 ، ح 3728.</w:t>
      </w:r>
    </w:p>
    <w:p w:rsidR="00E3253D" w:rsidRDefault="00E3253D" w:rsidP="00E3253D">
      <w:pPr>
        <w:pStyle w:val="libNormal"/>
        <w:rPr>
          <w:rtl/>
          <w:lang w:bidi="fa-IR"/>
        </w:rPr>
      </w:pPr>
      <w:r>
        <w:rPr>
          <w:rtl/>
          <w:lang w:bidi="fa-IR"/>
        </w:rPr>
        <w:br w:type="page"/>
      </w:r>
    </w:p>
    <w:p w:rsidR="00E3253D" w:rsidRPr="005D642E" w:rsidRDefault="00DE1D96" w:rsidP="00E3253D">
      <w:pPr>
        <w:pStyle w:val="libNormal"/>
        <w:rPr>
          <w:rtl/>
          <w:lang w:bidi="fa-IR"/>
        </w:rPr>
      </w:pPr>
      <w:r>
        <w:rPr>
          <w:rFonts w:hint="cs"/>
          <w:rtl/>
          <w:lang w:bidi="fa-IR"/>
        </w:rPr>
        <w:lastRenderedPageBreak/>
        <w:t xml:space="preserve">* </w:t>
      </w:r>
      <w:r w:rsidR="00E3253D" w:rsidRPr="005D642E">
        <w:rPr>
          <w:rtl/>
          <w:lang w:bidi="fa-IR"/>
        </w:rPr>
        <w:t>وَفِي رِوَايَةٍ أُخْرى : « أَنَّهُ رُخِّصَ لِلنِّسَاءِ فِي السَّفَرِ ؛ لِقِلَّةِ الْمَاءِ »</w:t>
      </w:r>
      <w:r w:rsidR="00E3253D">
        <w:rPr>
          <w:rtl/>
          <w:lang w:bidi="fa-IR"/>
        </w:rPr>
        <w:t>.</w:t>
      </w:r>
      <w:r w:rsidR="00E3253D" w:rsidRPr="005D642E">
        <w:rPr>
          <w:rtl/>
          <w:lang w:bidi="fa-IR"/>
        </w:rPr>
        <w:t xml:space="preserve"> </w:t>
      </w:r>
      <w:r w:rsidR="00E3253D" w:rsidRPr="007C12DB">
        <w:rPr>
          <w:rStyle w:val="libFootnotenumChar"/>
          <w:rtl/>
        </w:rPr>
        <w:t>(1)</w:t>
      </w:r>
      <w:r w:rsidR="00E3253D" w:rsidRPr="005D642E">
        <w:rPr>
          <w:rtl/>
          <w:lang w:bidi="fa-IR"/>
        </w:rPr>
        <w:t xml:space="preserve"> ‌</w:t>
      </w:r>
    </w:p>
    <w:p w:rsidR="00E3253D" w:rsidRPr="005D642E" w:rsidRDefault="00E3253D" w:rsidP="00E3253D">
      <w:pPr>
        <w:pStyle w:val="libNormal"/>
        <w:rPr>
          <w:rtl/>
          <w:lang w:bidi="fa-IR"/>
        </w:rPr>
      </w:pPr>
      <w:r w:rsidRPr="00FC6C5A">
        <w:rPr>
          <w:rtl/>
        </w:rPr>
        <w:t>4001</w:t>
      </w:r>
      <w:r w:rsidRPr="00246318">
        <w:rPr>
          <w:rStyle w:val="libBold2Char"/>
          <w:rtl/>
        </w:rPr>
        <w:t xml:space="preserve"> / 4.</w:t>
      </w:r>
      <w:r w:rsidRPr="005D642E">
        <w:rPr>
          <w:rtl/>
          <w:lang w:bidi="fa-IR"/>
        </w:rPr>
        <w:t xml:space="preserve"> عِدَّةٌ مِنْ أَصْحَابِنَا ، عَنْ أَحْمَدَ بْنِ مُحَمَّدٍ ، عَنْ عَلِيِّ بْنِ سَيْفٍ </w:t>
      </w:r>
      <w:r w:rsidRPr="007C12DB">
        <w:rPr>
          <w:rStyle w:val="libFootnotenumChar"/>
          <w:rtl/>
        </w:rPr>
        <w:t>(2)</w:t>
      </w:r>
      <w:r w:rsidRPr="005D642E">
        <w:rPr>
          <w:rtl/>
          <w:lang w:bidi="fa-IR"/>
        </w:rPr>
        <w:t xml:space="preserve"> ، عَنْ أَبِيهِ سَيْفِ بْنِ عَمِيرَةَ ، عَنِ الْحُسَيْنِ بْنِ خَالِدٍ ، قَالَ :</w:t>
      </w:r>
    </w:p>
    <w:p w:rsidR="00E3253D" w:rsidRPr="005D642E" w:rsidRDefault="00E3253D" w:rsidP="00E3253D">
      <w:pPr>
        <w:pStyle w:val="libNormal"/>
        <w:rPr>
          <w:rtl/>
          <w:lang w:bidi="fa-IR"/>
        </w:rPr>
      </w:pPr>
      <w:r w:rsidRPr="005D642E">
        <w:rPr>
          <w:rtl/>
          <w:lang w:bidi="fa-IR"/>
        </w:rPr>
        <w:t xml:space="preserve">سَأَلْتُ أَبَا الْحَسَنِ الْأَوَّلَ </w:t>
      </w:r>
      <w:r w:rsidRPr="00AC51C5">
        <w:rPr>
          <w:rStyle w:val="libAlaemChar"/>
          <w:rtl/>
        </w:rPr>
        <w:t>عليه‌السلام</w:t>
      </w:r>
      <w:r w:rsidRPr="005D642E">
        <w:rPr>
          <w:rtl/>
          <w:lang w:bidi="fa-IR"/>
        </w:rPr>
        <w:t xml:space="preserve"> : كَيْفَ صَارَ غُسْلُ يَوْمِ الْجُمُعَةِ وَاجِباً</w:t>
      </w:r>
      <w:r>
        <w:rPr>
          <w:rtl/>
          <w:lang w:bidi="fa-IR"/>
        </w:rPr>
        <w:t>؟</w:t>
      </w:r>
    </w:p>
    <w:p w:rsidR="00E3253D" w:rsidRPr="005D642E" w:rsidRDefault="00E3253D" w:rsidP="00E3253D">
      <w:pPr>
        <w:pStyle w:val="libNormal"/>
        <w:rPr>
          <w:rtl/>
          <w:lang w:bidi="fa-IR"/>
        </w:rPr>
      </w:pPr>
      <w:r w:rsidRPr="005D642E">
        <w:rPr>
          <w:rtl/>
          <w:lang w:bidi="fa-IR"/>
        </w:rPr>
        <w:t>فَقَالَ : « إِنَّ اللهَ</w:t>
      </w:r>
      <w:r>
        <w:rPr>
          <w:rtl/>
          <w:lang w:bidi="fa-IR"/>
        </w:rPr>
        <w:t xml:space="preserve"> </w:t>
      </w:r>
      <w:r w:rsidR="007642BC">
        <w:rPr>
          <w:rtl/>
          <w:lang w:bidi="fa-IR"/>
        </w:rPr>
        <w:t>-</w:t>
      </w:r>
      <w:r>
        <w:rPr>
          <w:rtl/>
          <w:lang w:bidi="fa-IR"/>
        </w:rPr>
        <w:t xml:space="preserve"> </w:t>
      </w:r>
      <w:r w:rsidRPr="005D642E">
        <w:rPr>
          <w:rtl/>
          <w:lang w:bidi="fa-IR"/>
        </w:rPr>
        <w:t>تَبَارَكَ وَتَعَالى</w:t>
      </w:r>
      <w:r>
        <w:rPr>
          <w:rtl/>
          <w:lang w:bidi="fa-IR"/>
        </w:rPr>
        <w:t xml:space="preserve"> </w:t>
      </w:r>
      <w:r w:rsidR="007642BC">
        <w:rPr>
          <w:rtl/>
          <w:lang w:bidi="fa-IR"/>
        </w:rPr>
        <w:t>-</w:t>
      </w:r>
      <w:r>
        <w:rPr>
          <w:rtl/>
          <w:lang w:bidi="fa-IR"/>
        </w:rPr>
        <w:t xml:space="preserve"> </w:t>
      </w:r>
      <w:r w:rsidRPr="005D642E">
        <w:rPr>
          <w:rtl/>
          <w:lang w:bidi="fa-IR"/>
        </w:rPr>
        <w:t xml:space="preserve">أَتَمَّ صَلَاةَ الْفَرِيضَةِ بِصَلَاةِ النَّافِلَةِ ، وَأَتَمَّ صِيَامَ الْفَرِيضَةِ بِصِيَامِ النَّافِلَةِ ، وَأَتَمَّ وُضُوءَ الْفَرِيضَةِ </w:t>
      </w:r>
      <w:r w:rsidRPr="007C12DB">
        <w:rPr>
          <w:rStyle w:val="libFootnotenumChar"/>
          <w:rtl/>
        </w:rPr>
        <w:t>(3)</w:t>
      </w:r>
      <w:r w:rsidRPr="005D642E">
        <w:rPr>
          <w:rtl/>
          <w:lang w:bidi="fa-IR"/>
        </w:rPr>
        <w:t xml:space="preserve"> بِغُسْلِ يَوْمِ </w:t>
      </w:r>
      <w:r w:rsidRPr="007C12DB">
        <w:rPr>
          <w:rStyle w:val="libFootnotenumChar"/>
          <w:rtl/>
        </w:rPr>
        <w:t>(4)</w:t>
      </w:r>
      <w:r w:rsidRPr="005D642E">
        <w:rPr>
          <w:rtl/>
          <w:lang w:bidi="fa-IR"/>
        </w:rPr>
        <w:t xml:space="preserve"> الْجُمُعَةِ مَا كَانَ فِي </w:t>
      </w:r>
      <w:r w:rsidRPr="007C12DB">
        <w:rPr>
          <w:rStyle w:val="libFootnotenumChar"/>
          <w:rtl/>
        </w:rPr>
        <w:t>(5)</w:t>
      </w:r>
      <w:r w:rsidRPr="005D642E">
        <w:rPr>
          <w:rtl/>
          <w:lang w:bidi="fa-IR"/>
        </w:rPr>
        <w:t xml:space="preserve"> ذلِكَ مِنْ سَهْوٍ ، أَوْ تَقْصِيرٍ </w:t>
      </w:r>
      <w:r w:rsidRPr="007C12DB">
        <w:rPr>
          <w:rStyle w:val="libFootnotenumChar"/>
          <w:rtl/>
        </w:rPr>
        <w:t>(6)</w:t>
      </w:r>
      <w:r w:rsidRPr="005D642E">
        <w:rPr>
          <w:rtl/>
          <w:lang w:bidi="fa-IR"/>
        </w:rPr>
        <w:t xml:space="preserve"> ، أَوْ نِسْيَانٍ </w:t>
      </w:r>
      <w:r w:rsidRPr="007C12DB">
        <w:rPr>
          <w:rStyle w:val="libFootnotenumChar"/>
          <w:rtl/>
        </w:rPr>
        <w:t>(7)</w:t>
      </w:r>
      <w:r w:rsidRPr="005D642E">
        <w:rPr>
          <w:rtl/>
          <w:lang w:bidi="fa-IR"/>
        </w:rPr>
        <w:t xml:space="preserve"> ، أَوْ نُقْصَانٍ </w:t>
      </w:r>
      <w:r w:rsidRPr="007C12DB">
        <w:rPr>
          <w:rStyle w:val="libFootnotenumChar"/>
          <w:rtl/>
        </w:rPr>
        <w:t>(8)</w:t>
      </w:r>
      <w:r w:rsidRPr="005D642E">
        <w:rPr>
          <w:rtl/>
          <w:lang w:bidi="fa-IR"/>
        </w:rPr>
        <w:t xml:space="preserve">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FC6C5A">
        <w:rPr>
          <w:rtl/>
        </w:rPr>
        <w:t>4002</w:t>
      </w:r>
      <w:r w:rsidRPr="00246318">
        <w:rPr>
          <w:rStyle w:val="libBold2Char"/>
          <w:rtl/>
        </w:rPr>
        <w:t xml:space="preserve"> / 5.</w:t>
      </w:r>
      <w:r w:rsidRPr="005D642E">
        <w:rPr>
          <w:rtl/>
          <w:lang w:bidi="fa-IR"/>
        </w:rPr>
        <w:t xml:space="preserve"> عِدَّةٌ مِنْ </w:t>
      </w:r>
      <w:r w:rsidRPr="007C12DB">
        <w:rPr>
          <w:rStyle w:val="libFootnotenumChar"/>
          <w:rtl/>
        </w:rPr>
        <w:t>(10)</w:t>
      </w:r>
      <w:r w:rsidRPr="005D642E">
        <w:rPr>
          <w:rtl/>
          <w:lang w:bidi="fa-IR"/>
        </w:rPr>
        <w:t xml:space="preserve"> أَصْحَابِنَا ، عَنْ إِبْرَاهِيمَ بْنِ إِسْحَاقَ الْأَحْمَرِ ، عَنْ عَبْدِ اللهِ بْنِ حَمَّادٍ الْأَنْصَارِيِّ ، عَنْ صَبَّاحٍ الْمُزَنِيِّ ، عَنِ الْحَارِثِ بْنِ حَصِيرَةَ </w:t>
      </w:r>
      <w:r w:rsidRPr="007C12DB">
        <w:rPr>
          <w:rStyle w:val="libFootnotenumChar"/>
          <w:rtl/>
        </w:rPr>
        <w:t>(11)</w:t>
      </w:r>
      <w:r w:rsidRPr="005D642E">
        <w:rPr>
          <w:rtl/>
          <w:lang w:bidi="fa-IR"/>
        </w:rPr>
        <w:t xml:space="preserve"> ، عَنِ الْأَصْبَغِ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6 ، ص 389 ، ح 4516 ؛ </w:t>
      </w:r>
      <w:r w:rsidR="00E3253D" w:rsidRPr="002F4D34">
        <w:rPr>
          <w:rStyle w:val="libFootnoteBoldChar"/>
          <w:rtl/>
        </w:rPr>
        <w:t>الوسائل</w:t>
      </w:r>
      <w:r w:rsidR="00E3253D" w:rsidRPr="005D642E">
        <w:rPr>
          <w:rtl/>
        </w:rPr>
        <w:t xml:space="preserve"> ، ج 3 ، ص 312 ، ح 3729.</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بن سيف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أكثر النسخ </w:t>
      </w:r>
      <w:r w:rsidR="000D749A" w:rsidRPr="000D749A">
        <w:rPr>
          <w:rStyle w:val="libFootnoteBoldChar"/>
          <w:rtl/>
        </w:rPr>
        <w:t>والمرآة</w:t>
      </w:r>
      <w:r w:rsidR="00E3253D" w:rsidRPr="005D642E">
        <w:rPr>
          <w:rtl/>
        </w:rPr>
        <w:t xml:space="preserve"> والوسائل </w:t>
      </w:r>
      <w:r w:rsidR="00B60612" w:rsidRPr="00B60612">
        <w:rPr>
          <w:rStyle w:val="libFootnoteBoldChar"/>
          <w:rtl/>
        </w:rPr>
        <w:t>والتهذيب</w:t>
      </w:r>
      <w:r w:rsidR="00E3253D" w:rsidRPr="005D642E">
        <w:rPr>
          <w:rtl/>
        </w:rPr>
        <w:t xml:space="preserve"> ، ص 111 : « النافلة »</w:t>
      </w:r>
      <w:r w:rsidR="00E3253D">
        <w:rPr>
          <w:rtl/>
        </w:rPr>
        <w:t>.</w:t>
      </w:r>
      <w:r w:rsidR="00E3253D" w:rsidRPr="005D642E">
        <w:rPr>
          <w:rtl/>
        </w:rPr>
        <w:t xml:space="preserve"> وما في المتن هو الظاهر.</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 ص 111 :</w:t>
      </w:r>
      <w:r w:rsidR="00E3253D">
        <w:rPr>
          <w:rtl/>
        </w:rPr>
        <w:t xml:space="preserve"> </w:t>
      </w:r>
      <w:r w:rsidR="007642BC">
        <w:rPr>
          <w:rtl/>
        </w:rPr>
        <w:t>-</w:t>
      </w:r>
      <w:r w:rsidR="00E3253D">
        <w:rPr>
          <w:rtl/>
        </w:rPr>
        <w:t xml:space="preserve"> </w:t>
      </w:r>
      <w:r w:rsidR="00E3253D" w:rsidRPr="005D642E">
        <w:rPr>
          <w:rtl/>
        </w:rPr>
        <w:t>« يوم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ص 111 وج 3 : « من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حاشية « بث » : « أو نقصان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بخ ، بس ، بف ، جس » </w:t>
      </w:r>
      <w:r w:rsidR="00B60612" w:rsidRPr="00B60612">
        <w:rPr>
          <w:rStyle w:val="libFootnoteBoldChar"/>
          <w:rtl/>
        </w:rPr>
        <w:t>والتهذيب</w:t>
      </w:r>
      <w:r w:rsidR="00E3253D" w:rsidRPr="005D642E">
        <w:rPr>
          <w:rtl/>
        </w:rPr>
        <w:t xml:space="preserve"> ، ص 111 وج 3 :</w:t>
      </w:r>
      <w:r w:rsidR="00E3253D">
        <w:rPr>
          <w:rtl/>
        </w:rPr>
        <w:t xml:space="preserve"> </w:t>
      </w:r>
      <w:r w:rsidR="007642BC">
        <w:rPr>
          <w:rtl/>
        </w:rPr>
        <w:t>-</w:t>
      </w:r>
      <w:r w:rsidR="00E3253D">
        <w:rPr>
          <w:rtl/>
        </w:rPr>
        <w:t xml:space="preserve"> </w:t>
      </w:r>
      <w:r w:rsidR="00E3253D" w:rsidRPr="005D642E">
        <w:rPr>
          <w:rtl/>
        </w:rPr>
        <w:t>« أو نسيان »</w:t>
      </w:r>
      <w:r w:rsidR="00E3253D">
        <w:rPr>
          <w:rtl/>
        </w:rPr>
        <w:t>.</w:t>
      </w:r>
      <w:r w:rsidR="00E3253D" w:rsidRPr="005D642E">
        <w:rPr>
          <w:rtl/>
        </w:rPr>
        <w:t xml:space="preserve"> وفي حاشية « جح » : « أو نقصان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بح ، جح » </w:t>
      </w:r>
      <w:r w:rsidR="00B60612" w:rsidRPr="00B60612">
        <w:rPr>
          <w:rStyle w:val="libFootnoteBoldChar"/>
          <w:rtl/>
        </w:rPr>
        <w:t>والتهذيب</w:t>
      </w:r>
      <w:r w:rsidR="00E3253D" w:rsidRPr="005D642E">
        <w:rPr>
          <w:rtl/>
        </w:rPr>
        <w:t xml:space="preserve"> ، ص 366 والعلل :</w:t>
      </w:r>
      <w:r w:rsidR="00E3253D">
        <w:rPr>
          <w:rtl/>
        </w:rPr>
        <w:t xml:space="preserve"> </w:t>
      </w:r>
      <w:r w:rsidR="007642BC">
        <w:rPr>
          <w:rtl/>
        </w:rPr>
        <w:t>-</w:t>
      </w:r>
      <w:r w:rsidR="00E3253D">
        <w:rPr>
          <w:rtl/>
        </w:rPr>
        <w:t xml:space="preserve"> </w:t>
      </w:r>
      <w:r w:rsidR="00E3253D" w:rsidRPr="005D642E">
        <w:rPr>
          <w:rtl/>
        </w:rPr>
        <w:t>« أو نقصان »</w:t>
      </w:r>
      <w:r w:rsidR="00E3253D">
        <w:rPr>
          <w:rtl/>
        </w:rPr>
        <w:t>.</w:t>
      </w:r>
      <w:r w:rsidR="00E3253D" w:rsidRPr="005D642E">
        <w:rPr>
          <w:rtl/>
        </w:rPr>
        <w:t xml:space="preserve"> وفي حاشية « بخ ، بف » : « أو نسيان »</w:t>
      </w:r>
      <w:r w:rsidR="00E3253D">
        <w:rPr>
          <w:rtl/>
        </w:rPr>
        <w:t>.</w:t>
      </w:r>
    </w:p>
    <w:p w:rsidR="00E3253D" w:rsidRPr="005D642E" w:rsidRDefault="0042621E" w:rsidP="00A16CDC">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111 ، ح 293 ، بسنده عن الكليني. </w:t>
      </w:r>
      <w:r w:rsidR="00E3253D" w:rsidRPr="002F4D34">
        <w:rPr>
          <w:rStyle w:val="libFootnoteBoldChar"/>
          <w:rtl/>
        </w:rPr>
        <w:t>وفيه</w:t>
      </w:r>
      <w:r w:rsidR="00E3253D" w:rsidRPr="005D642E">
        <w:rPr>
          <w:rtl/>
        </w:rPr>
        <w:t xml:space="preserve"> ، ص 366 ، ح 1111 ، بسنده عن أحمد ، عن عليّ بن سيف ؛ </w:t>
      </w:r>
      <w:r w:rsidR="00E3253D" w:rsidRPr="002F4D34">
        <w:rPr>
          <w:rStyle w:val="libFootnoteBoldChar"/>
          <w:rtl/>
        </w:rPr>
        <w:t>وفيه</w:t>
      </w:r>
      <w:r w:rsidR="00E3253D" w:rsidRPr="005D642E">
        <w:rPr>
          <w:rtl/>
        </w:rPr>
        <w:t xml:space="preserve"> ، ج 3 ، ص 9 ، ح 29 ، معلّقاً عن أحمد بن محمّد بن عيسى ، عن عليّ بن سيف ؛ </w:t>
      </w:r>
      <w:r w:rsidR="00E3253D" w:rsidRPr="002F4D34">
        <w:rPr>
          <w:rStyle w:val="libFootnoteBoldChar"/>
          <w:rtl/>
        </w:rPr>
        <w:t>علل الشرائع</w:t>
      </w:r>
      <w:r w:rsidR="00E3253D" w:rsidRPr="005D642E">
        <w:rPr>
          <w:rtl/>
        </w:rPr>
        <w:t xml:space="preserve"> ، ص 285 ، ح 1 ، بسنده عن الحسين بن خالد الصيرفي ؛ </w:t>
      </w:r>
      <w:r w:rsidR="00E3253D" w:rsidRPr="002F4D34">
        <w:rPr>
          <w:rStyle w:val="libFootnoteBoldChar"/>
          <w:rtl/>
        </w:rPr>
        <w:t>المحاسن</w:t>
      </w:r>
      <w:r w:rsidR="00E3253D" w:rsidRPr="005D642E">
        <w:rPr>
          <w:rtl/>
        </w:rPr>
        <w:t xml:space="preserve"> ، ص 313 ، كتاب العلل ، ضمن ح 30 ، بسنده عن الحسين بن خالد ، عن أبي الحسن موسى </w:t>
      </w:r>
      <w:r w:rsidR="00E3253D" w:rsidRPr="00A16CDC">
        <w:rPr>
          <w:rStyle w:val="libFootnoteAlaemChar"/>
          <w:rtl/>
        </w:rPr>
        <w:t>عليه‌السلام</w:t>
      </w:r>
      <w:r w:rsidR="00E3253D" w:rsidRPr="005D642E">
        <w:rPr>
          <w:rtl/>
        </w:rPr>
        <w:t xml:space="preserve"> ، مع اختلاف </w:t>
      </w:r>
      <w:r w:rsidR="00A16CDC">
        <w:rPr>
          <w:rFonts w:hint="cs"/>
          <w:rtl/>
        </w:rPr>
        <w:t>.</w:t>
      </w:r>
      <w:r w:rsidR="00E3253D" w:rsidRPr="002F4D34">
        <w:rPr>
          <w:rStyle w:val="libFootnoteBoldChar"/>
          <w:rtl/>
        </w:rPr>
        <w:t>الوافي</w:t>
      </w:r>
      <w:r w:rsidR="00E3253D" w:rsidRPr="005D642E">
        <w:rPr>
          <w:rtl/>
        </w:rPr>
        <w:t xml:space="preserve"> ، ج 6 ، ص 390 ، ح 4517 ؛ </w:t>
      </w:r>
      <w:r w:rsidR="00E3253D" w:rsidRPr="002F4D34">
        <w:rPr>
          <w:rStyle w:val="libFootnoteBoldChar"/>
          <w:rtl/>
        </w:rPr>
        <w:t>الوسائل</w:t>
      </w:r>
      <w:r w:rsidR="00E3253D" w:rsidRPr="005D642E">
        <w:rPr>
          <w:rtl/>
        </w:rPr>
        <w:t xml:space="preserve"> ، ج 3 ، ص 313 ، ح 3734.</w:t>
      </w:r>
      <w:r w:rsidR="00A16CDC">
        <w:rPr>
          <w:rFonts w:hint="cs"/>
          <w:rtl/>
        </w:rPr>
        <w:t xml:space="preserve">   </w:t>
      </w:r>
      <w:r w:rsidRPr="0042621E">
        <w:rPr>
          <w:rStyle w:val="libFootnote0Char"/>
          <w:rtl/>
        </w:rPr>
        <w:t>(10).</w:t>
      </w:r>
      <w:r w:rsidR="00E3253D" w:rsidRPr="005D642E">
        <w:rPr>
          <w:rtl/>
        </w:rPr>
        <w:t xml:space="preserve"> في الوسائل والبحار : « بعض » بدل « عدّة من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جح ، جن » : « حضيرة »</w:t>
      </w:r>
      <w:r w:rsidR="00E3253D">
        <w:rPr>
          <w:rtl/>
        </w:rPr>
        <w:t>.</w:t>
      </w:r>
      <w:r w:rsidR="00E3253D" w:rsidRPr="005D642E">
        <w:rPr>
          <w:rtl/>
        </w:rPr>
        <w:t xml:space="preserve"> وفي « بث ، بخ ، بس ، بف » : « خضيرة »</w:t>
      </w:r>
      <w:r w:rsidR="00E3253D">
        <w:rPr>
          <w:rtl/>
        </w:rPr>
        <w:t>.</w:t>
      </w:r>
    </w:p>
    <w:p w:rsidR="00E3253D" w:rsidRPr="005D642E" w:rsidRDefault="00E3253D" w:rsidP="00E3253D">
      <w:pPr>
        <w:pStyle w:val="libFootnote0"/>
        <w:rPr>
          <w:rtl/>
          <w:lang w:bidi="fa-IR"/>
        </w:rPr>
      </w:pPr>
      <w:r w:rsidRPr="00B60612">
        <w:rPr>
          <w:rtl/>
        </w:rPr>
        <w:t>والحارث هذا ، هو الحارث بن حَصِيرة الأزدي ، روى عنه الصبّاح بن يحيى ال</w:t>
      </w:r>
      <w:r w:rsidR="00A16CDC">
        <w:rPr>
          <w:rFonts w:hint="cs"/>
          <w:rtl/>
        </w:rPr>
        <w:t>ـ</w:t>
      </w:r>
      <w:r w:rsidRPr="00B60612">
        <w:rPr>
          <w:rtl/>
        </w:rPr>
        <w:t xml:space="preserve">مُزَني. راجع </w:t>
      </w:r>
      <w:r w:rsidRPr="002F4D34">
        <w:rPr>
          <w:rStyle w:val="libFootnoteBoldChar"/>
          <w:rtl/>
        </w:rPr>
        <w:t>: الجرح والتعديل</w:t>
      </w:r>
      <w:r w:rsidRPr="00B60612">
        <w:rPr>
          <w:rtl/>
        </w:rPr>
        <w:t xml:space="preserve"> ، ج 3 ، ص 81 ، الرقم 2624 ؛ </w:t>
      </w:r>
      <w:r w:rsidRPr="002F4D34">
        <w:rPr>
          <w:rStyle w:val="libFootnoteBoldChar"/>
          <w:rtl/>
        </w:rPr>
        <w:t>تهذيب الكمال</w:t>
      </w:r>
      <w:r w:rsidRPr="00B60612">
        <w:rPr>
          <w:rtl/>
        </w:rPr>
        <w:t xml:space="preserve"> ، ج 5 ، ص 224 ، الرقم 1015.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كَانَ أَمِيرُ الْمُؤْمِنِينَ </w:t>
      </w:r>
      <w:r w:rsidRPr="00AC51C5">
        <w:rPr>
          <w:rStyle w:val="libAlaemChar"/>
          <w:rtl/>
        </w:rPr>
        <w:t>عليه‌السلام</w:t>
      </w:r>
      <w:r w:rsidRPr="005D642E">
        <w:rPr>
          <w:rtl/>
          <w:lang w:bidi="fa-IR"/>
        </w:rPr>
        <w:t xml:space="preserve"> إِذَا أَرَادَ أَنْ يُوَبِّخَ الرَّجُلَ ، يَقُولُ </w:t>
      </w:r>
      <w:r w:rsidRPr="007C12DB">
        <w:rPr>
          <w:rStyle w:val="libFootnotenumChar"/>
          <w:rtl/>
        </w:rPr>
        <w:t>(1)</w:t>
      </w:r>
      <w:r w:rsidRPr="005D642E">
        <w:rPr>
          <w:rtl/>
          <w:lang w:bidi="fa-IR"/>
        </w:rPr>
        <w:t xml:space="preserve"> : « وَاللهِ </w:t>
      </w:r>
      <w:r w:rsidRPr="007C12DB">
        <w:rPr>
          <w:rStyle w:val="libFootnotenumChar"/>
          <w:rtl/>
        </w:rPr>
        <w:t>(2)</w:t>
      </w:r>
      <w:r w:rsidRPr="005D642E">
        <w:rPr>
          <w:rtl/>
          <w:lang w:bidi="fa-IR"/>
        </w:rPr>
        <w:t xml:space="preserve"> ، لَأَنْتَ أَعْجَزُ </w:t>
      </w:r>
      <w:r w:rsidRPr="007C12DB">
        <w:rPr>
          <w:rStyle w:val="libFootnotenumChar"/>
          <w:rtl/>
        </w:rPr>
        <w:t>(3)</w:t>
      </w:r>
      <w:r w:rsidRPr="005D642E">
        <w:rPr>
          <w:rtl/>
          <w:lang w:bidi="fa-IR"/>
        </w:rPr>
        <w:t xml:space="preserve"> مِنَ التَّارِكِ </w:t>
      </w:r>
      <w:r w:rsidRPr="007C12DB">
        <w:rPr>
          <w:rStyle w:val="libFootnotenumChar"/>
          <w:rtl/>
        </w:rPr>
        <w:t>(4)</w:t>
      </w:r>
      <w:r w:rsidRPr="005D642E">
        <w:rPr>
          <w:rtl/>
          <w:lang w:bidi="fa-IR"/>
        </w:rPr>
        <w:t xml:space="preserve"> الْغُسْلَ يَوْمَ الْجُمُعَةِ ، وَإِنَّهُ </w:t>
      </w:r>
      <w:r w:rsidRPr="007C12DB">
        <w:rPr>
          <w:rStyle w:val="libFootnotenumChar"/>
          <w:rtl/>
        </w:rPr>
        <w:t>(5)</w:t>
      </w:r>
      <w:r w:rsidRPr="005D642E">
        <w:rPr>
          <w:rtl/>
          <w:lang w:bidi="fa-IR"/>
        </w:rPr>
        <w:t xml:space="preserve"> لَايَزَالُ فِي طُهْرٍ إِلَى </w:t>
      </w:r>
      <w:r w:rsidRPr="007C12DB">
        <w:rPr>
          <w:rStyle w:val="libFootnotenumChar"/>
          <w:rtl/>
        </w:rPr>
        <w:t>(6)</w:t>
      </w:r>
      <w:r w:rsidRPr="005D642E">
        <w:rPr>
          <w:rtl/>
          <w:lang w:bidi="fa-IR"/>
        </w:rPr>
        <w:t xml:space="preserve"> الْجُمُعَةِ الْأُخْرى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D3FE2">
        <w:rPr>
          <w:rtl/>
        </w:rPr>
        <w:t>4003</w:t>
      </w:r>
      <w:r w:rsidRPr="00246318">
        <w:rPr>
          <w:rStyle w:val="libBold2Char"/>
          <w:rtl/>
        </w:rPr>
        <w:t xml:space="preserve"> / 6.</w:t>
      </w:r>
      <w:r w:rsidRPr="005D642E">
        <w:rPr>
          <w:rtl/>
          <w:lang w:bidi="fa-IR"/>
        </w:rPr>
        <w:t xml:space="preserve"> عِدَّةٌ مِنْ أَصْحَابِنَا ، عَنْ أَحْمَدَ بْنِ مُحَمَّدٍ ، عَنِ الْحُسَيْنِ بْنِ مُوسى ، عَنْ أُمِّهِ وَأُمِّ أَحْمَدَ بِنْتِ مُوسى </w:t>
      </w:r>
      <w:r w:rsidRPr="007C12DB">
        <w:rPr>
          <w:rStyle w:val="libFootnotenumChar"/>
          <w:rtl/>
        </w:rPr>
        <w:t>(8)</w:t>
      </w:r>
      <w:r w:rsidRPr="005D642E">
        <w:rPr>
          <w:rtl/>
          <w:lang w:bidi="fa-IR"/>
        </w:rPr>
        <w:t xml:space="preserve"> ، قَالَتَا :</w:t>
      </w:r>
    </w:p>
    <w:p w:rsidR="00E3253D" w:rsidRPr="005D642E" w:rsidRDefault="00E3253D" w:rsidP="00E3253D">
      <w:pPr>
        <w:pStyle w:val="libNormal"/>
        <w:rPr>
          <w:rtl/>
          <w:lang w:bidi="fa-IR"/>
        </w:rPr>
      </w:pPr>
      <w:r w:rsidRPr="005D642E">
        <w:rPr>
          <w:rtl/>
          <w:lang w:bidi="fa-IR"/>
        </w:rPr>
        <w:t xml:space="preserve">كُنَّا مَعَ أَبِي الْحَسَنِ </w:t>
      </w:r>
      <w:r w:rsidRPr="00AC51C5">
        <w:rPr>
          <w:rStyle w:val="libAlaemChar"/>
          <w:rtl/>
        </w:rPr>
        <w:t>عليه‌السلام</w:t>
      </w:r>
      <w:r w:rsidRPr="005D642E">
        <w:rPr>
          <w:rtl/>
          <w:lang w:bidi="fa-IR"/>
        </w:rPr>
        <w:t xml:space="preserve"> بِالْبَادِيَةِ وَنَحْنُ نُرِيدُ بَغْدَادَ ، فَقَالَ لَنَا يَوْمَ الْخَمِيسِ : « اغْتَسِلَا الْيَوْمَ لِغَدٍ يَوْمِ الْجُمُعَةِ ؛ فَإِنَّ الْمَاءَ بِهَا غَداً قَلِيلٌ </w:t>
      </w:r>
      <w:r w:rsidRPr="007C12DB">
        <w:rPr>
          <w:rStyle w:val="libFootnotenumChar"/>
          <w:rtl/>
        </w:rPr>
        <w:t>(9)</w:t>
      </w:r>
      <w:r w:rsidRPr="005D642E">
        <w:rPr>
          <w:rtl/>
          <w:lang w:bidi="fa-IR"/>
        </w:rPr>
        <w:t xml:space="preserve"> » فَاغْتَسَلْنَا يَوْمَ الْخَمِيسِ لِيَوْمِ الْجُمُعَةِ.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5D3FE2">
        <w:rPr>
          <w:rtl/>
        </w:rPr>
        <w:t>4004</w:t>
      </w:r>
      <w:r w:rsidRPr="00246318">
        <w:rPr>
          <w:rStyle w:val="libBold2Char"/>
          <w:rtl/>
        </w:rPr>
        <w:t xml:space="preserve"> / 7.</w:t>
      </w:r>
      <w:r w:rsidRPr="005D642E">
        <w:rPr>
          <w:rtl/>
          <w:lang w:bidi="fa-IR"/>
        </w:rPr>
        <w:t xml:space="preserve"> عَلِيُّ بْنُ إِبْرَاهِيمَ ، عَنْ أَبِيهِ ، عَنْ حَمَّادٍ ، عَنْ حَرِيزٍ ، عَنْ بَعْضِ أَصْحَابِنَا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لَا بُدَّ مِنْ غُسْلِ يَوْمِ الْجُمُعَةِ فِي السَّفَرِ وَالْحَضَرِ ، فَمَنْ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63241" w:rsidTr="00963241">
        <w:tc>
          <w:tcPr>
            <w:tcW w:w="4006" w:type="dxa"/>
          </w:tcPr>
          <w:p w:rsidR="00963241" w:rsidRDefault="00963241" w:rsidP="00E3253D">
            <w:pPr>
              <w:pStyle w:val="libFootnote0"/>
              <w:rPr>
                <w:rStyle w:val="libFootnote0Char"/>
                <w:rtl/>
              </w:rPr>
            </w:pPr>
            <w:r w:rsidRPr="0042621E">
              <w:rPr>
                <w:rStyle w:val="libFootnote0Char"/>
                <w:rtl/>
              </w:rPr>
              <w:t>(1).</w:t>
            </w:r>
            <w:r>
              <w:rPr>
                <w:rtl/>
              </w:rPr>
              <w:t xml:space="preserve"> </w:t>
            </w:r>
            <w:r w:rsidRPr="005D642E">
              <w:rPr>
                <w:rtl/>
              </w:rPr>
              <w:t xml:space="preserve">في الوافي </w:t>
            </w:r>
            <w:r w:rsidRPr="00B60612">
              <w:rPr>
                <w:rStyle w:val="libFootnoteBoldChar"/>
                <w:rtl/>
              </w:rPr>
              <w:t>والتهذيب</w:t>
            </w:r>
            <w:r w:rsidRPr="005D642E">
              <w:rPr>
                <w:rtl/>
              </w:rPr>
              <w:t xml:space="preserve"> والعلل : + « له »</w:t>
            </w:r>
            <w:r>
              <w:rPr>
                <w:rtl/>
              </w:rPr>
              <w:t>.</w:t>
            </w:r>
          </w:p>
        </w:tc>
        <w:tc>
          <w:tcPr>
            <w:tcW w:w="4006" w:type="dxa"/>
          </w:tcPr>
          <w:p w:rsidR="00963241" w:rsidRDefault="00963241" w:rsidP="00E3253D">
            <w:pPr>
              <w:pStyle w:val="libFootnote0"/>
              <w:rPr>
                <w:rStyle w:val="libFootnote0Char"/>
                <w:rtl/>
              </w:rPr>
            </w:pPr>
            <w:r w:rsidRPr="0042621E">
              <w:rPr>
                <w:rStyle w:val="libFootnote0Char"/>
                <w:rtl/>
              </w:rPr>
              <w:t>(2).</w:t>
            </w:r>
            <w:r w:rsidRPr="005D642E">
              <w:rPr>
                <w:rtl/>
              </w:rPr>
              <w:t xml:space="preserve"> في العلل :</w:t>
            </w:r>
            <w:r>
              <w:rPr>
                <w:rtl/>
              </w:rPr>
              <w:t xml:space="preserve"> - </w:t>
            </w:r>
            <w:r w:rsidRPr="005D642E">
              <w:rPr>
                <w:rtl/>
              </w:rPr>
              <w:t>« والله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بس » : « لأعجز »</w:t>
      </w:r>
      <w:r w:rsidR="00E3253D">
        <w:rPr>
          <w:rtl/>
        </w:rPr>
        <w:t>.</w:t>
      </w:r>
      <w:r w:rsidR="00E3253D" w:rsidRPr="005D642E">
        <w:rPr>
          <w:rtl/>
        </w:rPr>
        <w:t xml:space="preserve"> وفي « جس » والعلل : « أنت » بدل « لأنت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w:t>
      </w:r>
      <w:r w:rsidR="00B60612" w:rsidRPr="00B60612">
        <w:rPr>
          <w:rStyle w:val="libFootnoteBoldChar"/>
          <w:rtl/>
        </w:rPr>
        <w:t>والتهذيب</w:t>
      </w:r>
      <w:r w:rsidR="00E3253D" w:rsidRPr="005D642E">
        <w:rPr>
          <w:rtl/>
        </w:rPr>
        <w:t xml:space="preserve"> والعلل : « من تارك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والعلل والمقنعة : « فإنّه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بس » </w:t>
      </w:r>
      <w:r w:rsidR="00B60612" w:rsidRPr="00B60612">
        <w:rPr>
          <w:rStyle w:val="libFootnoteBoldChar"/>
          <w:rtl/>
        </w:rPr>
        <w:t>والتهذيب</w:t>
      </w:r>
      <w:r w:rsidR="00E3253D" w:rsidRPr="005D642E">
        <w:rPr>
          <w:rtl/>
        </w:rPr>
        <w:t xml:space="preserve"> : + « يوم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3 ، ص 9 ، ح 30 ؛ و</w:t>
      </w:r>
      <w:r w:rsidR="00E3253D" w:rsidRPr="002F4D34">
        <w:rPr>
          <w:rStyle w:val="libFootnoteBoldChar"/>
          <w:rtl/>
        </w:rPr>
        <w:t>علل الشرائع</w:t>
      </w:r>
      <w:r w:rsidR="00E3253D" w:rsidRPr="005D642E">
        <w:rPr>
          <w:rtl/>
        </w:rPr>
        <w:t xml:space="preserve"> ، ص 285 ، ح 2 ، بسندهما عن إبراهيم بن إسحاق. </w:t>
      </w:r>
      <w:r w:rsidR="00E3253D" w:rsidRPr="002F4D34">
        <w:rPr>
          <w:rStyle w:val="libFootnoteBoldChar"/>
          <w:rtl/>
        </w:rPr>
        <w:t>المقنعة</w:t>
      </w:r>
      <w:r w:rsidR="00E3253D" w:rsidRPr="005D642E">
        <w:rPr>
          <w:rtl/>
        </w:rPr>
        <w:t xml:space="preserve"> ، ص 158 ، مرسلاً ، مع اختلاف يسير </w:t>
      </w:r>
      <w:r w:rsidR="004C7C8D">
        <w:rPr>
          <w:rFonts w:hint="cs"/>
          <w:rtl/>
        </w:rPr>
        <w:t>.</w:t>
      </w:r>
      <w:r w:rsidR="00E3253D" w:rsidRPr="002F4D34">
        <w:rPr>
          <w:rStyle w:val="libFootnoteBoldChar"/>
          <w:rtl/>
        </w:rPr>
        <w:t>الوافي</w:t>
      </w:r>
      <w:r w:rsidR="00E3253D" w:rsidRPr="005D642E">
        <w:rPr>
          <w:rtl/>
        </w:rPr>
        <w:t xml:space="preserve"> ، ج 6 ، ص 390 ، ح 4519 ؛ </w:t>
      </w:r>
      <w:r w:rsidR="00E3253D" w:rsidRPr="002F4D34">
        <w:rPr>
          <w:rStyle w:val="libFootnoteBoldChar"/>
          <w:rtl/>
        </w:rPr>
        <w:t>الوسائل</w:t>
      </w:r>
      <w:r w:rsidR="00E3253D" w:rsidRPr="005D642E">
        <w:rPr>
          <w:rtl/>
        </w:rPr>
        <w:t xml:space="preserve"> ، ج 3 ، ص 318 ، ح 3751 ؛ </w:t>
      </w:r>
      <w:r w:rsidR="00E3253D" w:rsidRPr="002F4D34">
        <w:rPr>
          <w:rStyle w:val="libFootnoteBoldChar"/>
          <w:rtl/>
        </w:rPr>
        <w:t>البحار</w:t>
      </w:r>
      <w:r w:rsidR="00E3253D" w:rsidRPr="005D642E">
        <w:rPr>
          <w:rtl/>
        </w:rPr>
        <w:t xml:space="preserve"> ، ج 41 ، ص 123 ، ح 31.</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عدّ الشيخ المفيد في </w:t>
      </w:r>
      <w:r w:rsidR="00E3253D" w:rsidRPr="002F4D34">
        <w:rPr>
          <w:rStyle w:val="libFootnoteBoldChar"/>
          <w:rtl/>
        </w:rPr>
        <w:t>الإرشاد</w:t>
      </w:r>
      <w:r w:rsidR="00E3253D" w:rsidRPr="005D642E">
        <w:rPr>
          <w:rtl/>
        </w:rPr>
        <w:t xml:space="preserve"> ، ج 2 ، ص 244 ، وابن شهر آشوب في </w:t>
      </w:r>
      <w:r w:rsidR="00E3253D" w:rsidRPr="002F4D34">
        <w:rPr>
          <w:rStyle w:val="libFootnoteBoldChar"/>
          <w:rtl/>
        </w:rPr>
        <w:t>مناقب آل أبي طالب</w:t>
      </w:r>
      <w:r w:rsidR="00E3253D" w:rsidRPr="005D642E">
        <w:rPr>
          <w:rtl/>
        </w:rPr>
        <w:t xml:space="preserve"> ، ج 4 ، ص 350 ، بنات موسى بن جعفر </w:t>
      </w:r>
      <w:r w:rsidR="00E3253D" w:rsidRPr="004C7C8D">
        <w:rPr>
          <w:rStyle w:val="libFootnoteAlaemChar"/>
          <w:rtl/>
        </w:rPr>
        <w:t>عليه‌السلام</w:t>
      </w:r>
      <w:r w:rsidR="00E3253D">
        <w:rPr>
          <w:rtl/>
        </w:rPr>
        <w:t xml:space="preserve"> </w:t>
      </w:r>
      <w:r w:rsidR="007642BC">
        <w:rPr>
          <w:rtl/>
        </w:rPr>
        <w:t>-</w:t>
      </w:r>
      <w:r w:rsidR="00E3253D">
        <w:rPr>
          <w:rtl/>
        </w:rPr>
        <w:t xml:space="preserve"> </w:t>
      </w:r>
      <w:r w:rsidR="00E3253D" w:rsidRPr="005D642E">
        <w:rPr>
          <w:rtl/>
        </w:rPr>
        <w:t>وهو المراد من أبي الحسن</w:t>
      </w:r>
      <w:r w:rsidR="00E3253D">
        <w:rPr>
          <w:rtl/>
        </w:rPr>
        <w:t xml:space="preserve"> </w:t>
      </w:r>
      <w:r w:rsidR="007642BC">
        <w:rPr>
          <w:rtl/>
        </w:rPr>
        <w:t>-</w:t>
      </w:r>
      <w:r w:rsidR="00E3253D">
        <w:rPr>
          <w:rtl/>
        </w:rPr>
        <w:t xml:space="preserve"> </w:t>
      </w:r>
      <w:r w:rsidR="00E3253D" w:rsidRPr="005D642E">
        <w:rPr>
          <w:rtl/>
        </w:rPr>
        <w:t>ولم يذكرا ا</w:t>
      </w:r>
      <w:r w:rsidR="004C7C8D">
        <w:rPr>
          <w:rFonts w:hint="cs"/>
          <w:rtl/>
        </w:rPr>
        <w:t>ُ</w:t>
      </w:r>
      <w:r w:rsidR="00E3253D" w:rsidRPr="005D642E">
        <w:rPr>
          <w:rtl/>
        </w:rPr>
        <w:t>مّ أحمد في جملتهنّ ، بل امّ أحمد ، إحدى ا</w:t>
      </w:r>
      <w:r w:rsidR="004C7C8D">
        <w:rPr>
          <w:rFonts w:hint="cs"/>
          <w:rtl/>
        </w:rPr>
        <w:t>ُ</w:t>
      </w:r>
      <w:r w:rsidR="00E3253D" w:rsidRPr="005D642E">
        <w:rPr>
          <w:rtl/>
        </w:rPr>
        <w:t xml:space="preserve">مّهات أولاد موسى‌بن جعفر </w:t>
      </w:r>
      <w:r w:rsidR="00E3253D" w:rsidRPr="004C7C8D">
        <w:rPr>
          <w:rStyle w:val="libFootnoteAlaemChar"/>
          <w:rtl/>
        </w:rPr>
        <w:t>عليه‌السلام</w:t>
      </w:r>
      <w:r w:rsidR="00E3253D" w:rsidRPr="005D642E">
        <w:rPr>
          <w:rtl/>
        </w:rPr>
        <w:t xml:space="preserve"> ، وهو والدة أحمد ومحمّد وحمزة بني موسى بن جعفر </w:t>
      </w:r>
      <w:r w:rsidR="00E3253D" w:rsidRPr="004C7C8D">
        <w:rPr>
          <w:rStyle w:val="libFootnoteAlaemChar"/>
          <w:rtl/>
        </w:rPr>
        <w:t>عليه‌السلام</w:t>
      </w:r>
      <w:r w:rsidR="00E3253D" w:rsidRPr="005D642E">
        <w:rPr>
          <w:rtl/>
        </w:rPr>
        <w:t xml:space="preserve"> ، كما في </w:t>
      </w:r>
      <w:r w:rsidR="00E3253D" w:rsidRPr="002F4D34">
        <w:rPr>
          <w:rStyle w:val="libFootnoteBoldChar"/>
          <w:rtl/>
        </w:rPr>
        <w:t>الإرشاد</w:t>
      </w:r>
      <w:r w:rsidR="00E3253D" w:rsidRPr="005D642E">
        <w:rPr>
          <w:rtl/>
        </w:rPr>
        <w:t>.</w:t>
      </w:r>
    </w:p>
    <w:p w:rsidR="00E3253D" w:rsidRPr="005D642E" w:rsidRDefault="00E3253D" w:rsidP="00E3253D">
      <w:pPr>
        <w:pStyle w:val="libFootnote0"/>
        <w:rPr>
          <w:rtl/>
          <w:lang w:bidi="fa-IR"/>
        </w:rPr>
      </w:pPr>
      <w:r w:rsidRPr="00B60612">
        <w:rPr>
          <w:rtl/>
        </w:rPr>
        <w:t>والظاهر وقوع التحريف في العنوان ، والصواب : « ا</w:t>
      </w:r>
      <w:r w:rsidR="004C7C8D">
        <w:rPr>
          <w:rFonts w:hint="cs"/>
          <w:rtl/>
        </w:rPr>
        <w:t>ُ</w:t>
      </w:r>
      <w:r w:rsidRPr="00B60612">
        <w:rPr>
          <w:rtl/>
        </w:rPr>
        <w:t xml:space="preserve">مّ أحمد بن موسى » ، كما في </w:t>
      </w:r>
      <w:r w:rsidRPr="002F4D34">
        <w:rPr>
          <w:rStyle w:val="libFootnoteBoldChar"/>
          <w:rtl/>
        </w:rPr>
        <w:t>الفقيه</w:t>
      </w:r>
      <w:r w:rsidRPr="00B60612">
        <w:rPr>
          <w:rtl/>
        </w:rPr>
        <w:t xml:space="preserve"> ، ج 1 ، ص 111 ، ح 227. وفي </w:t>
      </w:r>
      <w:r w:rsidRPr="002F4D34">
        <w:rPr>
          <w:rStyle w:val="libFootnoteBoldChar"/>
          <w:rtl/>
        </w:rPr>
        <w:t>التهذيب</w:t>
      </w:r>
      <w:r w:rsidRPr="00B60612">
        <w:rPr>
          <w:rtl/>
        </w:rPr>
        <w:t xml:space="preserve"> ، ج 1 ، ص 365 ، ح 1110 : « ا</w:t>
      </w:r>
      <w:r w:rsidR="004C7C8D">
        <w:rPr>
          <w:rFonts w:hint="cs"/>
          <w:rtl/>
        </w:rPr>
        <w:t>ُ</w:t>
      </w:r>
      <w:r w:rsidRPr="00B60612">
        <w:rPr>
          <w:rtl/>
        </w:rPr>
        <w:t>مّ أحمد بن موسى بن جعفر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w:t>
      </w:r>
      <w:r w:rsidR="009E68BB" w:rsidRPr="009E68BB">
        <w:rPr>
          <w:rStyle w:val="libFootnoteBoldChar"/>
          <w:rtl/>
        </w:rPr>
        <w:t>وتحف العقول</w:t>
      </w:r>
      <w:r w:rsidR="00E3253D" w:rsidRPr="005D642E">
        <w:rPr>
          <w:rtl/>
        </w:rPr>
        <w:t xml:space="preserve"> : + « قالتا »</w:t>
      </w:r>
      <w:r w:rsidR="00E3253D">
        <w:rPr>
          <w:rtl/>
        </w:rPr>
        <w:t>.</w:t>
      </w:r>
    </w:p>
    <w:p w:rsidR="00E3253D" w:rsidRPr="005D642E" w:rsidRDefault="0042621E" w:rsidP="00A22541">
      <w:pPr>
        <w:pStyle w:val="libFootnote0"/>
        <w:rPr>
          <w:rtl/>
          <w:lang w:bidi="fa-IR"/>
        </w:rPr>
      </w:pPr>
      <w:r w:rsidRPr="00A22541">
        <w:rP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365 ، ح 1110 ، معلّقاً عن أحمد بن محمّد. </w:t>
      </w:r>
      <w:r w:rsidR="00E3253D" w:rsidRPr="002F4D34">
        <w:rPr>
          <w:rStyle w:val="libFootnoteBoldChar"/>
          <w:rtl/>
        </w:rPr>
        <w:t>الفقيه</w:t>
      </w:r>
      <w:r w:rsidR="00E3253D" w:rsidRPr="005D642E">
        <w:rPr>
          <w:rtl/>
        </w:rPr>
        <w:t xml:space="preserve"> ، ج 1 ، ص 111 ، ح 227 ، معلقاً عن الحسن بن موسى بن جعفر ، عن ا</w:t>
      </w:r>
      <w:r w:rsidR="004C7C8D">
        <w:rPr>
          <w:rFonts w:hint="cs"/>
          <w:rtl/>
        </w:rPr>
        <w:t>ُ</w:t>
      </w:r>
      <w:r w:rsidR="00E3253D" w:rsidRPr="005D642E">
        <w:rPr>
          <w:rtl/>
        </w:rPr>
        <w:t>مّه وا</w:t>
      </w:r>
      <w:r w:rsidR="004C7C8D">
        <w:rPr>
          <w:rFonts w:hint="cs"/>
          <w:rtl/>
        </w:rPr>
        <w:t>ُ</w:t>
      </w:r>
      <w:r w:rsidR="00E3253D" w:rsidRPr="005D642E">
        <w:rPr>
          <w:rtl/>
        </w:rPr>
        <w:t xml:space="preserve">مّ أحمد بن موسى ، مع اختلاف يسير </w:t>
      </w:r>
      <w:r w:rsidR="004C7C8D">
        <w:rPr>
          <w:rFonts w:hint="cs"/>
          <w:rtl/>
        </w:rPr>
        <w:t>.</w:t>
      </w:r>
      <w:r w:rsidR="00E3253D" w:rsidRPr="002F4D34">
        <w:rPr>
          <w:rStyle w:val="libFootnoteBoldChar"/>
          <w:rtl/>
        </w:rPr>
        <w:t>الوافي</w:t>
      </w:r>
      <w:r w:rsidR="00E3253D" w:rsidRPr="005D642E">
        <w:rPr>
          <w:rtl/>
        </w:rPr>
        <w:t xml:space="preserve"> ، ج 6 ، ص 391 ، ح 4521 ؛ </w:t>
      </w:r>
      <w:r w:rsidR="00E3253D" w:rsidRPr="002F4D34">
        <w:rPr>
          <w:rStyle w:val="libFootnoteBoldChar"/>
          <w:rtl/>
        </w:rPr>
        <w:t>الوسائل</w:t>
      </w:r>
      <w:r w:rsidR="00E3253D" w:rsidRPr="005D642E">
        <w:rPr>
          <w:rtl/>
        </w:rPr>
        <w:t xml:space="preserve"> ، ج 3 ، ص 320 ، ذيل ح 3756.</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جس » : « فمتى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نَسِيَ فَلْيُعِدْ مِنَ الْغَدِ »</w:t>
      </w:r>
      <w:r>
        <w:rPr>
          <w:rtl/>
          <w:lang w:bidi="fa-IR"/>
        </w:rPr>
        <w:t>.</w:t>
      </w:r>
    </w:p>
    <w:p w:rsidR="00E3253D" w:rsidRPr="005D642E" w:rsidRDefault="00A22541" w:rsidP="00E3253D">
      <w:pPr>
        <w:pStyle w:val="libNormal"/>
        <w:rPr>
          <w:rtl/>
          <w:lang w:bidi="fa-IR"/>
        </w:rPr>
      </w:pPr>
      <w:r>
        <w:rPr>
          <w:rFonts w:hint="cs"/>
          <w:rtl/>
          <w:lang w:bidi="fa-IR"/>
        </w:rPr>
        <w:t xml:space="preserve">* </w:t>
      </w:r>
      <w:r w:rsidR="00E3253D" w:rsidRPr="005D642E">
        <w:rPr>
          <w:rtl/>
          <w:lang w:bidi="fa-IR"/>
        </w:rPr>
        <w:t xml:space="preserve">وَرُوِيَ </w:t>
      </w:r>
      <w:r w:rsidR="00E3253D" w:rsidRPr="007C12DB">
        <w:rPr>
          <w:rStyle w:val="libFootnotenumChar"/>
          <w:rtl/>
        </w:rPr>
        <w:t>(1)</w:t>
      </w:r>
      <w:r w:rsidR="00E3253D" w:rsidRPr="005D642E">
        <w:rPr>
          <w:rtl/>
          <w:lang w:bidi="fa-IR"/>
        </w:rPr>
        <w:t xml:space="preserve"> : « فِيهِ رُخْصَةٌ لِلْعَلِيلِ »</w:t>
      </w:r>
      <w:r w:rsidR="00E3253D">
        <w:rPr>
          <w:rtl/>
          <w:lang w:bidi="fa-IR"/>
        </w:rPr>
        <w:t>.</w:t>
      </w:r>
      <w:r w:rsidR="00E3253D" w:rsidRPr="005D642E">
        <w:rPr>
          <w:rtl/>
          <w:lang w:bidi="fa-IR"/>
        </w:rPr>
        <w:t xml:space="preserve"> </w:t>
      </w:r>
      <w:r w:rsidR="00E3253D" w:rsidRPr="007C12DB">
        <w:rPr>
          <w:rStyle w:val="libFootnotenumChar"/>
          <w:rtl/>
        </w:rPr>
        <w:t>(2)</w:t>
      </w:r>
      <w:r w:rsidR="00E3253D" w:rsidRPr="005D642E">
        <w:rPr>
          <w:rtl/>
          <w:lang w:bidi="fa-IR"/>
        </w:rPr>
        <w:t xml:space="preserve"> ‌</w:t>
      </w:r>
    </w:p>
    <w:p w:rsidR="00E3253D" w:rsidRPr="005D642E" w:rsidRDefault="00E3253D" w:rsidP="00E3253D">
      <w:pPr>
        <w:pStyle w:val="Heading2Center"/>
        <w:rPr>
          <w:rtl/>
          <w:lang w:bidi="fa-IR"/>
        </w:rPr>
      </w:pPr>
      <w:bookmarkStart w:id="105" w:name="_Toc344647245"/>
      <w:bookmarkStart w:id="106" w:name="_Toc462226760"/>
      <w:bookmarkStart w:id="107" w:name="_Toc40975868"/>
      <w:r w:rsidRPr="005D642E">
        <w:rPr>
          <w:rtl/>
          <w:lang w:bidi="fa-IR"/>
        </w:rPr>
        <w:t>29</w:t>
      </w:r>
      <w:r>
        <w:rPr>
          <w:rtl/>
          <w:lang w:bidi="fa-IR"/>
        </w:rPr>
        <w:t xml:space="preserve"> </w:t>
      </w:r>
      <w:r w:rsidR="007642BC">
        <w:rPr>
          <w:rtl/>
          <w:lang w:bidi="fa-IR"/>
        </w:rPr>
        <w:t>-</w:t>
      </w:r>
      <w:r>
        <w:rPr>
          <w:rtl/>
          <w:lang w:bidi="fa-IR"/>
        </w:rPr>
        <w:t xml:space="preserve"> </w:t>
      </w:r>
      <w:r w:rsidRPr="005D642E">
        <w:rPr>
          <w:rtl/>
          <w:lang w:bidi="fa-IR"/>
        </w:rPr>
        <w:t xml:space="preserve">بَابُ صِفَةِ الْغُسْلِ وَالْوُضُوءِ قَبْلَهُ وَبَعْدَهُ ، وَالرَّجُلِ يَغْتَسِلُ </w:t>
      </w:r>
      <w:r w:rsidRPr="007C12DB">
        <w:rPr>
          <w:rStyle w:val="libFootnotenumChar"/>
          <w:rtl/>
        </w:rPr>
        <w:t>(3)</w:t>
      </w:r>
      <w:r>
        <w:rPr>
          <w:rtl/>
        </w:rPr>
        <w:t xml:space="preserve"> </w:t>
      </w:r>
      <w:r w:rsidRPr="005D642E">
        <w:rPr>
          <w:rtl/>
          <w:lang w:bidi="fa-IR"/>
        </w:rPr>
        <w:t>فِي مَكَانٍ غَيْرِ طَيِّبٍ ، وَمَا يُقَالُ عِنْدَ الْغُسْلِ ، وَتَحْوِيلِ الْخَاتَمِ عِنْدَ الْغُسْلِ‌</w:t>
      </w:r>
      <w:bookmarkEnd w:id="105"/>
      <w:bookmarkEnd w:id="106"/>
      <w:bookmarkEnd w:id="107"/>
    </w:p>
    <w:p w:rsidR="00A22541" w:rsidRDefault="00E3253D" w:rsidP="00A22541">
      <w:pPr>
        <w:pStyle w:val="libNormal"/>
        <w:rPr>
          <w:rtl/>
          <w:lang w:bidi="fa-IR"/>
        </w:rPr>
      </w:pPr>
      <w:r w:rsidRPr="005D3FE2">
        <w:rPr>
          <w:rtl/>
        </w:rPr>
        <w:t>4005</w:t>
      </w:r>
      <w:r w:rsidRPr="00246318">
        <w:rPr>
          <w:rStyle w:val="libBold2Char"/>
          <w:rtl/>
        </w:rPr>
        <w:t xml:space="preserve"> / 1.</w:t>
      </w:r>
      <w:r w:rsidRPr="005D642E">
        <w:rPr>
          <w:rtl/>
          <w:lang w:bidi="fa-IR"/>
        </w:rPr>
        <w:t xml:space="preserve"> مُحَمَّدُ بْنُ يَحْيى ، عَنْ مُحَمَّدِ بْنِ الْحُسَيْنِ ؛</w:t>
      </w:r>
    </w:p>
    <w:p w:rsidR="00E3253D" w:rsidRPr="005D642E" w:rsidRDefault="00A22541" w:rsidP="00A22541">
      <w:pPr>
        <w:pStyle w:val="libNormal"/>
        <w:rPr>
          <w:rtl/>
          <w:lang w:bidi="fa-IR"/>
        </w:rPr>
      </w:pPr>
      <w:r>
        <w:rPr>
          <w:rFonts w:hint="cs"/>
          <w:rtl/>
          <w:lang w:bidi="fa-IR"/>
        </w:rPr>
        <w:t xml:space="preserve">              </w:t>
      </w:r>
      <w:r w:rsidR="00E3253D" w:rsidRPr="005D642E">
        <w:rPr>
          <w:rtl/>
          <w:lang w:bidi="fa-IR"/>
        </w:rPr>
        <w:t>وَمُحَمَّدُ بْنُ إِسْمَاعِيلَ ، عَنِ الْفَضْلِ بْنِ شَاذَانَ جَمِيعاً ، عَنْ صَفْوَانَ بْنِ يَحْيى ، عَنِ الْعَلَاءِ بْنِ رَزِينٍ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قَالَ : سَأَلْتُهُ عَنْ غُسْلِ الْجَنَابَةِ</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(4)</w:t>
      </w:r>
      <w:r w:rsidRPr="005D642E">
        <w:rPr>
          <w:rtl/>
          <w:lang w:bidi="fa-IR"/>
        </w:rPr>
        <w:t xml:space="preserve"> : « تَبْدَأُ بِكَفَّيْكَ ، فَتَغْسِلُهُمَا </w:t>
      </w:r>
      <w:r w:rsidRPr="007C12DB">
        <w:rPr>
          <w:rStyle w:val="libFootnotenumChar"/>
          <w:rtl/>
        </w:rPr>
        <w:t>(5)</w:t>
      </w:r>
      <w:r w:rsidRPr="005D642E">
        <w:rPr>
          <w:rtl/>
          <w:lang w:bidi="fa-IR"/>
        </w:rPr>
        <w:t xml:space="preserve"> ، ثُمَّ تَغْسِلُ فَرْجَكَ ، ثُمَّ تَصُبُّ </w:t>
      </w:r>
      <w:r w:rsidRPr="007C12DB">
        <w:rPr>
          <w:rStyle w:val="libFootnotenumChar"/>
          <w:rtl/>
        </w:rPr>
        <w:t>(6)</w:t>
      </w:r>
      <w:r w:rsidRPr="005D642E">
        <w:rPr>
          <w:rtl/>
          <w:lang w:bidi="fa-IR"/>
        </w:rPr>
        <w:t xml:space="preserve"> عَلى رَأْسِكَ ثَلَاثاً ، ثُمَّ تَصُبُّ </w:t>
      </w:r>
      <w:r w:rsidRPr="007C12DB">
        <w:rPr>
          <w:rStyle w:val="libFootnotenumChar"/>
          <w:rtl/>
        </w:rPr>
        <w:t>(7)</w:t>
      </w:r>
      <w:r w:rsidRPr="005D642E">
        <w:rPr>
          <w:rtl/>
          <w:lang w:bidi="fa-IR"/>
        </w:rPr>
        <w:t xml:space="preserve"> عَلى سَائِرِ جَسَدِكَ مَرَّتَيْنِ ، فَمَا جَرى عَلَيْهِ الْمَاءُ فَقَدْ طَهُرَ </w:t>
      </w:r>
      <w:r w:rsidRPr="007C12DB">
        <w:rPr>
          <w:rStyle w:val="libFootnotenumChar"/>
          <w:rtl/>
        </w:rPr>
        <w:t>(8)</w:t>
      </w:r>
      <w:r w:rsidRPr="005D642E">
        <w:rPr>
          <w:rtl/>
          <w:lang w:bidi="fa-IR"/>
        </w:rPr>
        <w:t xml:space="preserve">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جن » : « فروي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الكافي</w:t>
      </w:r>
      <w:r w:rsidR="00E3253D" w:rsidRPr="005D642E">
        <w:rPr>
          <w:rtl/>
        </w:rPr>
        <w:t xml:space="preserve"> ، كتاب الصلاة ، باب التزيّن يوم الجمعة ، ح 5453 ، عن عليّ بن إبراهيم ، عن أبيه ومحمّد بن إسماعيل ، عن الفضل بن شاذان جميعاً ، عن حمّاد. راجع : </w:t>
      </w:r>
      <w:r w:rsidR="00E3253D" w:rsidRPr="002F4D34">
        <w:rPr>
          <w:rStyle w:val="libFootnoteBoldChar"/>
          <w:rtl/>
        </w:rPr>
        <w:t>فقه الرضا</w:t>
      </w:r>
      <w:r w:rsidR="00E3253D" w:rsidRPr="005D642E">
        <w:rPr>
          <w:rtl/>
        </w:rPr>
        <w:t xml:space="preserve"> </w:t>
      </w:r>
      <w:r w:rsidR="00E3253D" w:rsidRPr="00A22541">
        <w:rPr>
          <w:rStyle w:val="libFootnoteAlaemChar"/>
          <w:rtl/>
        </w:rPr>
        <w:t>عليه‌السلام</w:t>
      </w:r>
      <w:r w:rsidR="00E3253D" w:rsidRPr="005D642E">
        <w:rPr>
          <w:rtl/>
        </w:rPr>
        <w:t xml:space="preserve"> ، ص 174 </w:t>
      </w:r>
      <w:r w:rsidR="00A22541">
        <w:rPr>
          <w:rFonts w:hint="cs"/>
          <w:rtl/>
        </w:rPr>
        <w:t>.</w:t>
      </w:r>
      <w:r w:rsidR="00E3253D" w:rsidRPr="002F4D34">
        <w:rPr>
          <w:rStyle w:val="libFootnoteBoldChar"/>
          <w:rtl/>
        </w:rPr>
        <w:t>الوافي</w:t>
      </w:r>
      <w:r w:rsidR="00E3253D" w:rsidRPr="005D642E">
        <w:rPr>
          <w:rtl/>
        </w:rPr>
        <w:t xml:space="preserve"> ، ج 6 ، ص 392 ، ح 4523 </w:t>
      </w:r>
      <w:r w:rsidR="00E3253D">
        <w:rPr>
          <w:rtl/>
        </w:rPr>
        <w:t>و 4</w:t>
      </w:r>
      <w:r w:rsidR="00E3253D" w:rsidRPr="005D642E">
        <w:rPr>
          <w:rtl/>
        </w:rPr>
        <w:t xml:space="preserve">524 ؛ </w:t>
      </w:r>
      <w:r w:rsidR="00E3253D" w:rsidRPr="002F4D34">
        <w:rPr>
          <w:rStyle w:val="libFootnoteBoldChar"/>
          <w:rtl/>
        </w:rPr>
        <w:t>الوسائل</w:t>
      </w:r>
      <w:r w:rsidR="00E3253D" w:rsidRPr="005D642E">
        <w:rPr>
          <w:rtl/>
        </w:rPr>
        <w:t xml:space="preserve"> ، ج 3 ، ص 320 ، ح 3757 </w:t>
      </w:r>
      <w:r w:rsidR="00E3253D">
        <w:rPr>
          <w:rtl/>
        </w:rPr>
        <w:t>و 3</w:t>
      </w:r>
      <w:r w:rsidR="00E3253D" w:rsidRPr="005D642E">
        <w:rPr>
          <w:rtl/>
        </w:rPr>
        <w:t>758.</w:t>
      </w:r>
    </w:p>
    <w:tbl>
      <w:tblPr>
        <w:tblStyle w:val="TableGrid"/>
        <w:bidiVisual/>
        <w:tblW w:w="0" w:type="auto"/>
        <w:tblLook w:val="04A0" w:firstRow="1" w:lastRow="0" w:firstColumn="1" w:lastColumn="0" w:noHBand="0" w:noVBand="1"/>
      </w:tblPr>
      <w:tblGrid>
        <w:gridCol w:w="4006"/>
        <w:gridCol w:w="4006"/>
      </w:tblGrid>
      <w:tr w:rsidR="00A22541" w:rsidTr="00A22541">
        <w:tc>
          <w:tcPr>
            <w:tcW w:w="4006" w:type="dxa"/>
          </w:tcPr>
          <w:p w:rsidR="00A22541" w:rsidRDefault="00A22541" w:rsidP="00E3253D">
            <w:pPr>
              <w:pStyle w:val="libFootnote0"/>
              <w:rPr>
                <w:rStyle w:val="libFootnote0Char"/>
                <w:rtl/>
              </w:rPr>
            </w:pPr>
            <w:r w:rsidRPr="0042621E">
              <w:rPr>
                <w:rStyle w:val="libFootnote0Char"/>
                <w:rtl/>
              </w:rPr>
              <w:t>(3).</w:t>
            </w:r>
            <w:r w:rsidRPr="005D642E">
              <w:rPr>
                <w:rtl/>
              </w:rPr>
              <w:t xml:space="preserve"> في « ظ » : « يغسل »</w:t>
            </w:r>
            <w:r>
              <w:rPr>
                <w:rtl/>
              </w:rPr>
              <w:t>.</w:t>
            </w:r>
          </w:p>
        </w:tc>
        <w:tc>
          <w:tcPr>
            <w:tcW w:w="4006" w:type="dxa"/>
          </w:tcPr>
          <w:p w:rsidR="00A22541" w:rsidRDefault="00A22541" w:rsidP="00E3253D">
            <w:pPr>
              <w:pStyle w:val="libFootnote0"/>
              <w:rPr>
                <w:rStyle w:val="libFootnote0Char"/>
                <w:rtl/>
              </w:rPr>
            </w:pPr>
            <w:r w:rsidRPr="0042621E">
              <w:rPr>
                <w:rStyle w:val="libFootnote0Char"/>
                <w:rtl/>
              </w:rPr>
              <w:t>(4).</w:t>
            </w:r>
            <w:r w:rsidR="00A54D57">
              <w:rPr>
                <w:rtl/>
              </w:rPr>
              <w:t xml:space="preserve"> في «ى»وحاشية«بث،</w:t>
            </w:r>
            <w:r w:rsidRPr="005D642E">
              <w:rPr>
                <w:rtl/>
              </w:rPr>
              <w:t xml:space="preserve">بخ » </w:t>
            </w:r>
            <w:r w:rsidRPr="00B60612">
              <w:rPr>
                <w:rStyle w:val="libFootnoteBoldChar"/>
                <w:rtl/>
              </w:rPr>
              <w:t>والتهذيب</w:t>
            </w:r>
            <w:r w:rsidRPr="005D642E">
              <w:rPr>
                <w:rtl/>
              </w:rPr>
              <w:t xml:space="preserve"> : « قال »</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فتغسلها »</w:t>
      </w:r>
      <w:r w:rsidR="00E3253D">
        <w:rPr>
          <w:rtl/>
        </w:rPr>
        <w:t>.</w:t>
      </w:r>
      <w:r w:rsidR="00E3253D" w:rsidRPr="005D642E">
        <w:rPr>
          <w:rtl/>
        </w:rPr>
        <w:t xml:space="preserve"> وفي التهذيب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فتغسلهما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أكثر النسخ </w:t>
      </w:r>
      <w:r w:rsidR="000D749A" w:rsidRPr="000D749A">
        <w:rPr>
          <w:rStyle w:val="libFootnoteBoldChar"/>
          <w:rtl/>
        </w:rPr>
        <w:t>والوافي</w:t>
      </w:r>
      <w:r w:rsidR="00E3253D" w:rsidRPr="005D642E">
        <w:rPr>
          <w:rtl/>
        </w:rPr>
        <w:t xml:space="preserve"> ومرآة العقول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w:t>
      </w:r>
      <w:r w:rsidR="00365424">
        <w:rPr>
          <w:rtl/>
        </w:rPr>
        <w:t xml:space="preserve"> وفي « ى » والمطبوع : + «الماء</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أكثر النسخ. وفي « ى ، بح » والمطبوع : + « الماء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 « طهره »</w:t>
      </w:r>
      <w:r w:rsidR="00E3253D">
        <w:rPr>
          <w:rtl/>
        </w:rPr>
        <w:t>.</w:t>
      </w:r>
      <w:r w:rsidR="00E3253D" w:rsidRPr="005D642E">
        <w:rPr>
          <w:rtl/>
        </w:rPr>
        <w:t xml:space="preserve"> وقال في </w:t>
      </w:r>
      <w:r w:rsidR="00E3253D" w:rsidRPr="002F4D34">
        <w:rPr>
          <w:rStyle w:val="libFootnoteBoldChar"/>
          <w:rtl/>
        </w:rPr>
        <w:t>مرآة العقول</w:t>
      </w:r>
      <w:r w:rsidR="00E3253D" w:rsidRPr="005D642E">
        <w:rPr>
          <w:rtl/>
        </w:rPr>
        <w:t xml:space="preserve"> ، ج 13 ، ص 132 : « قوله </w:t>
      </w:r>
      <w:r w:rsidR="00E3253D" w:rsidRPr="00365424">
        <w:rPr>
          <w:rStyle w:val="libFootnoteAlaemChar"/>
          <w:rtl/>
        </w:rPr>
        <w:t>عليه‌السلام</w:t>
      </w:r>
      <w:r w:rsidR="00E3253D" w:rsidRPr="005D642E">
        <w:rPr>
          <w:rtl/>
        </w:rPr>
        <w:t xml:space="preserve"> : فماجرى عليه الماء فقد طهر ، يحتمل أن يكون المراد منه محض اشتراط الجريان ، أو مع تبعّض الغسل أيضاً بمعنى أنّ كلّ عضو تحقّق غسله ، فهو بحكم الطاهر في جواز المسّ به وإدخاله المسجد ، وغير ذلك من الأحكام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132 ، ح 365 ؛ </w:t>
      </w:r>
      <w:r w:rsidR="00E3253D" w:rsidRPr="00E678B5">
        <w:rPr>
          <w:rStyle w:val="libFootnoteBoldChar"/>
          <w:rtl/>
        </w:rPr>
        <w:t>والاستبصار</w:t>
      </w:r>
      <w:r w:rsidR="00E3253D" w:rsidRPr="005D642E">
        <w:rPr>
          <w:rtl/>
        </w:rPr>
        <w:t xml:space="preserve"> ، ج 1 ، ص 123 ، ح 420 ، بسند آخر عن صفوان وفضالة ، عن العلاء </w:t>
      </w:r>
      <w:r w:rsidR="00E07062">
        <w:rPr>
          <w:rFonts w:hint="cs"/>
          <w:rtl/>
        </w:rPr>
        <w:t>.</w:t>
      </w:r>
      <w:r w:rsidR="00E3253D" w:rsidRPr="002F4D34">
        <w:rPr>
          <w:rStyle w:val="libFootnoteBoldChar"/>
          <w:rtl/>
        </w:rPr>
        <w:t>الوافي</w:t>
      </w:r>
      <w:r w:rsidR="00E3253D" w:rsidRPr="005D642E">
        <w:rPr>
          <w:rtl/>
        </w:rPr>
        <w:t xml:space="preserve"> ، ج 6 ، ص 503 ، ح 4792 ؛ </w:t>
      </w:r>
      <w:r w:rsidR="00E3253D" w:rsidRPr="002F4D34">
        <w:rPr>
          <w:rStyle w:val="libFootnoteBoldChar"/>
          <w:rtl/>
        </w:rPr>
        <w:t>الوسائل</w:t>
      </w:r>
      <w:r w:rsidR="00E3253D" w:rsidRPr="005D642E">
        <w:rPr>
          <w:rtl/>
        </w:rPr>
        <w:t xml:space="preserve"> ، ج 2 ، ص 229 ، ح 2013.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B04BBB">
        <w:rPr>
          <w:rtl/>
        </w:rPr>
        <w:lastRenderedPageBreak/>
        <w:t>4006</w:t>
      </w:r>
      <w:r w:rsidRPr="00246318">
        <w:rPr>
          <w:rStyle w:val="libBold2Char"/>
          <w:rtl/>
        </w:rPr>
        <w:t xml:space="preserve"> / 2.</w:t>
      </w:r>
      <w:r w:rsidRPr="005D642E">
        <w:rPr>
          <w:rtl/>
          <w:lang w:bidi="fa-IR"/>
        </w:rPr>
        <w:t xml:space="preserve"> مُحَمَّدُ بْنُ إِسْمَاعِيلَ ، عَنِ الْفَضْلِ بْنِ شَاذَانَ ، عَنْ حَمَّادِ بْنِ عِيسى ، عَنْ رِبْعِيِّ بْنِ عَبْدِ اللهِ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يُفِيضُ الْجُنُبُ عَلى رَأْسِهِ الْمَاءَ ثَلَاثاً ، ل</w:t>
      </w:r>
      <w:r w:rsidR="00365424">
        <w:rPr>
          <w:rtl/>
          <w:lang w:bidi="fa-IR"/>
        </w:rPr>
        <w:t>َايُجْزِئُهُ أَقَلُّ مِنْ ذلِكَ</w:t>
      </w:r>
      <w:r w:rsidRPr="005D642E">
        <w:rPr>
          <w:rtl/>
          <w:lang w:bidi="fa-IR"/>
        </w:rPr>
        <w:t>»</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B04BBB">
        <w:rPr>
          <w:rtl/>
        </w:rPr>
        <w:t>4007</w:t>
      </w:r>
      <w:r w:rsidRPr="00246318">
        <w:rPr>
          <w:rStyle w:val="libBold2Char"/>
          <w:rtl/>
        </w:rPr>
        <w:t xml:space="preserve"> / 3.</w:t>
      </w:r>
      <w:r w:rsidRPr="005D642E">
        <w:rPr>
          <w:rtl/>
          <w:lang w:bidi="fa-IR"/>
        </w:rPr>
        <w:t xml:space="preserve"> عَلِيُّ بْنُ إِبْرَاهِيمَ ، عَنْ أَبِيهِ ، عَنْ حَمَّادِ بْنِ عِيسى ، عَنْ ح</w:t>
      </w:r>
      <w:r w:rsidR="00E07062">
        <w:rPr>
          <w:rtl/>
          <w:lang w:bidi="fa-IR"/>
        </w:rPr>
        <w:t>َرِيزٍ ، عَنْ زُرَارَةَ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قُلْتُ </w:t>
      </w:r>
      <w:r w:rsidRPr="007C12DB">
        <w:rPr>
          <w:rStyle w:val="libFootnotenumChar"/>
          <w:rtl/>
        </w:rPr>
        <w:t>(2)</w:t>
      </w:r>
      <w:r w:rsidRPr="005D642E">
        <w:rPr>
          <w:rtl/>
          <w:lang w:bidi="fa-IR"/>
        </w:rPr>
        <w:t xml:space="preserve"> : كَيْفَ يَغْتَسِلُ الْجُنُبُ</w:t>
      </w:r>
      <w:r>
        <w:rPr>
          <w:rtl/>
          <w:lang w:bidi="fa-IR"/>
        </w:rPr>
        <w:t>؟</w:t>
      </w:r>
    </w:p>
    <w:p w:rsidR="00E3253D" w:rsidRPr="005D642E" w:rsidRDefault="00E3253D" w:rsidP="00E3253D">
      <w:pPr>
        <w:pStyle w:val="libNormal"/>
        <w:rPr>
          <w:rtl/>
          <w:lang w:bidi="fa-IR"/>
        </w:rPr>
      </w:pPr>
      <w:r w:rsidRPr="005D642E">
        <w:rPr>
          <w:rtl/>
          <w:lang w:bidi="fa-IR"/>
        </w:rPr>
        <w:t xml:space="preserve">فَقَالَ : « إِنْ لَمْ يَكُنْ أَصَابَ كَفَّهُ شَيْ‌ءٌ </w:t>
      </w:r>
      <w:r w:rsidRPr="007C12DB">
        <w:rPr>
          <w:rStyle w:val="libFootnotenumChar"/>
          <w:rtl/>
        </w:rPr>
        <w:t>(3)</w:t>
      </w:r>
      <w:r w:rsidRPr="005D642E">
        <w:rPr>
          <w:rtl/>
          <w:lang w:bidi="fa-IR"/>
        </w:rPr>
        <w:t xml:space="preserve"> ، غَمَسَهَا فِي الْمَاءِ ، ثُمَّ بَدَأَ </w:t>
      </w:r>
      <w:r w:rsidRPr="007C12DB">
        <w:rPr>
          <w:rStyle w:val="libFootnotenumChar"/>
          <w:rtl/>
        </w:rPr>
        <w:t>(4)</w:t>
      </w:r>
      <w:r w:rsidRPr="005D642E">
        <w:rPr>
          <w:rtl/>
          <w:lang w:bidi="fa-IR"/>
        </w:rPr>
        <w:t xml:space="preserve"> بِفَرْجِهِ ، فَأَنْقَاهُ </w:t>
      </w:r>
      <w:r w:rsidRPr="007C12DB">
        <w:rPr>
          <w:rStyle w:val="libFootnotenumChar"/>
          <w:rtl/>
        </w:rPr>
        <w:t>(5)</w:t>
      </w:r>
      <w:r w:rsidRPr="005D642E">
        <w:rPr>
          <w:rtl/>
          <w:lang w:bidi="fa-IR"/>
        </w:rPr>
        <w:t xml:space="preserve"> بِثَلَاثِ غُرَفٍ </w:t>
      </w:r>
      <w:r w:rsidRPr="007C12DB">
        <w:rPr>
          <w:rStyle w:val="libFootnotenumChar"/>
          <w:rtl/>
        </w:rPr>
        <w:t>(6)</w:t>
      </w:r>
      <w:r w:rsidRPr="005D642E">
        <w:rPr>
          <w:rtl/>
          <w:lang w:bidi="fa-IR"/>
        </w:rPr>
        <w:t xml:space="preserve"> ، ثُمَّ صَبَّ عَلى رَأْسِهِ ثَلَاثَ </w:t>
      </w:r>
      <w:r w:rsidRPr="007C12DB">
        <w:rPr>
          <w:rStyle w:val="libFootnotenumChar"/>
          <w:rtl/>
        </w:rPr>
        <w:t>(7)</w:t>
      </w:r>
      <w:r w:rsidRPr="005D642E">
        <w:rPr>
          <w:rtl/>
          <w:lang w:bidi="fa-IR"/>
        </w:rPr>
        <w:t xml:space="preserve"> أَكُفٍّ ، ثُمَّ صَبَّ عَلى مَنْكِبِهِ الْأَيْمَنِ مَرَّتَيْنِ ، وَعَلى مَنْكِبِهِ الْأَيْسَرِ مَرَّتَيْنِ ، فَمَا جَرى عَلَيْهِ الْمَاءُ فَقَدْ أَجْزَأَهُ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B04BBB">
        <w:rPr>
          <w:rtl/>
        </w:rPr>
        <w:t>4008</w:t>
      </w:r>
      <w:r w:rsidRPr="00246318">
        <w:rPr>
          <w:rStyle w:val="libBold2Char"/>
          <w:rtl/>
        </w:rPr>
        <w:t xml:space="preserve"> / 4.</w:t>
      </w:r>
      <w:r w:rsidRPr="005D642E">
        <w:rPr>
          <w:rtl/>
          <w:lang w:bidi="fa-IR"/>
        </w:rPr>
        <w:t xml:space="preserve"> عِدَّةٌ مِنْ أَصْحَابِنَا ، عَنْ أَحْمَدَ بْنِ مُحَمَّدٍ ، عَنْ عَلِيِّ بْنِ الْحَكَمِ ، عَنْ بَعْضِ أَصْحَابِنَا ، قَالَ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(9)</w:t>
      </w:r>
      <w:r w:rsidRPr="005D642E">
        <w:rPr>
          <w:rtl/>
          <w:lang w:bidi="fa-IR"/>
        </w:rPr>
        <w:t xml:space="preserve"> : « تَقُولُ </w:t>
      </w:r>
      <w:r w:rsidRPr="007C12DB">
        <w:rPr>
          <w:rStyle w:val="libFootnotenumChar"/>
          <w:rtl/>
        </w:rPr>
        <w:t>(10)</w:t>
      </w:r>
      <w:r w:rsidRPr="005D642E">
        <w:rPr>
          <w:rtl/>
          <w:lang w:bidi="fa-IR"/>
        </w:rPr>
        <w:t xml:space="preserve"> فِي غُسْلِ </w:t>
      </w:r>
      <w:r w:rsidRPr="007C12DB">
        <w:rPr>
          <w:rStyle w:val="libFootnotenumChar"/>
          <w:rtl/>
        </w:rPr>
        <w:t>(11)</w:t>
      </w:r>
      <w:r>
        <w:rPr>
          <w:rtl/>
          <w:lang w:bidi="fa-IR"/>
        </w:rPr>
        <w:t xml:space="preserve"> الْجُمُعَةِ : "</w:t>
      </w:r>
      <w:r w:rsidRPr="005D642E">
        <w:rPr>
          <w:rtl/>
          <w:lang w:bidi="fa-IR"/>
        </w:rPr>
        <w:t>الل</w:t>
      </w:r>
      <w:r w:rsidR="00E07062">
        <w:rPr>
          <w:rFonts w:hint="cs"/>
          <w:rtl/>
          <w:lang w:bidi="fa-IR"/>
        </w:rPr>
        <w:t>ّ</w:t>
      </w:r>
      <w:r w:rsidRPr="005D642E">
        <w:rPr>
          <w:rtl/>
          <w:lang w:bidi="fa-IR"/>
        </w:rPr>
        <w:t>هُمَّ طَهِّرْ قَلْبِي مِنْ كُلِّ آفَةٍ تَمْحَقُ‌</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6 ، ص 503 ، ح 4793 ؛ </w:t>
      </w:r>
      <w:r w:rsidR="00E3253D" w:rsidRPr="002F4D34">
        <w:rPr>
          <w:rStyle w:val="libFootnoteBoldChar"/>
          <w:rtl/>
        </w:rPr>
        <w:t>الوسائل</w:t>
      </w:r>
      <w:r w:rsidR="00E3253D" w:rsidRPr="005D642E">
        <w:rPr>
          <w:rtl/>
        </w:rPr>
        <w:t xml:space="preserve"> ، ج 2 ، ص 230 ، ح 2016 ؛ وص 259 ، ح 2102.</w:t>
      </w:r>
    </w:p>
    <w:tbl>
      <w:tblPr>
        <w:tblStyle w:val="TableGrid"/>
        <w:bidiVisual/>
        <w:tblW w:w="0" w:type="auto"/>
        <w:tblLook w:val="04A0" w:firstRow="1" w:lastRow="0" w:firstColumn="1" w:lastColumn="0" w:noHBand="0" w:noVBand="1"/>
      </w:tblPr>
      <w:tblGrid>
        <w:gridCol w:w="4006"/>
        <w:gridCol w:w="4006"/>
      </w:tblGrid>
      <w:tr w:rsidR="00E07062" w:rsidTr="00E07062">
        <w:tc>
          <w:tcPr>
            <w:tcW w:w="4006" w:type="dxa"/>
          </w:tcPr>
          <w:p w:rsidR="00E07062" w:rsidRDefault="00E07062" w:rsidP="00E3253D">
            <w:pPr>
              <w:pStyle w:val="libFootnote0"/>
              <w:rPr>
                <w:rStyle w:val="libFootnote0Char"/>
                <w:rtl/>
              </w:rPr>
            </w:pPr>
            <w:r w:rsidRPr="0042621E">
              <w:rPr>
                <w:rStyle w:val="libFootnote0Char"/>
                <w:rtl/>
              </w:rPr>
              <w:t>(2).</w:t>
            </w:r>
            <w:r w:rsidRPr="005D642E">
              <w:rPr>
                <w:rtl/>
              </w:rPr>
              <w:t xml:space="preserve"> في التهذيب : + « له »</w:t>
            </w:r>
            <w:r>
              <w:rPr>
                <w:rtl/>
              </w:rPr>
              <w:t>.</w:t>
            </w:r>
          </w:p>
        </w:tc>
        <w:tc>
          <w:tcPr>
            <w:tcW w:w="4006" w:type="dxa"/>
          </w:tcPr>
          <w:p w:rsidR="00E07062" w:rsidRDefault="00E07062" w:rsidP="00E3253D">
            <w:pPr>
              <w:pStyle w:val="libFootnote0"/>
              <w:rPr>
                <w:rStyle w:val="libFootnote0Char"/>
                <w:rtl/>
              </w:rPr>
            </w:pPr>
            <w:r w:rsidRPr="0042621E">
              <w:rPr>
                <w:rStyle w:val="libFootnote0Char"/>
                <w:rtl/>
              </w:rPr>
              <w:t>(3).</w:t>
            </w:r>
            <w:r w:rsidRPr="005D642E">
              <w:rPr>
                <w:rtl/>
              </w:rPr>
              <w:t xml:space="preserve"> في التهذيب : « مني »</w:t>
            </w:r>
            <w:r>
              <w:rPr>
                <w:rtl/>
              </w:rPr>
              <w:t>.</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فبدأ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فأنقاه » أي نظّفه وطهّره. راجع : </w:t>
      </w:r>
      <w:r w:rsidR="00E3253D" w:rsidRPr="002F4D34">
        <w:rPr>
          <w:rStyle w:val="libFootnoteBoldChar"/>
          <w:rtl/>
        </w:rPr>
        <w:t>لسان العرب</w:t>
      </w:r>
      <w:r w:rsidR="00E3253D" w:rsidRPr="005D642E">
        <w:rPr>
          <w:rtl/>
        </w:rPr>
        <w:t xml:space="preserve"> ، ج 15 ، ص 339 ؛ </w:t>
      </w:r>
      <w:r w:rsidR="00E3253D" w:rsidRPr="002F4D34">
        <w:rPr>
          <w:rStyle w:val="libFootnoteBoldChar"/>
          <w:rtl/>
        </w:rPr>
        <w:t>مجمع البحرين</w:t>
      </w:r>
      <w:r w:rsidR="00E3253D" w:rsidRPr="005D642E">
        <w:rPr>
          <w:rtl/>
        </w:rPr>
        <w:t xml:space="preserve"> ، ج 1 ، ص 420 ( نقا )</w:t>
      </w:r>
      <w:r w:rsidR="00E3253D">
        <w:rPr>
          <w:rtl/>
        </w:rPr>
        <w:t>.</w:t>
      </w:r>
    </w:p>
    <w:tbl>
      <w:tblPr>
        <w:tblStyle w:val="TableGrid"/>
        <w:bidiVisual/>
        <w:tblW w:w="0" w:type="auto"/>
        <w:tblLook w:val="04A0" w:firstRow="1" w:lastRow="0" w:firstColumn="1" w:lastColumn="0" w:noHBand="0" w:noVBand="1"/>
      </w:tblPr>
      <w:tblGrid>
        <w:gridCol w:w="4006"/>
        <w:gridCol w:w="4006"/>
      </w:tblGrid>
      <w:tr w:rsidR="00A2456E" w:rsidTr="00A2456E">
        <w:tc>
          <w:tcPr>
            <w:tcW w:w="4006" w:type="dxa"/>
          </w:tcPr>
          <w:p w:rsidR="00A2456E" w:rsidRDefault="00A2456E" w:rsidP="00E3253D">
            <w:pPr>
              <w:pStyle w:val="libFootnote0"/>
              <w:rPr>
                <w:rStyle w:val="libFootnote0Char"/>
                <w:rtl/>
              </w:rPr>
            </w:pPr>
            <w:r w:rsidRPr="0042621E">
              <w:rPr>
                <w:rStyle w:val="libFootnote0Char"/>
                <w:rtl/>
              </w:rPr>
              <w:t>(6).</w:t>
            </w:r>
            <w:r w:rsidRPr="005D642E">
              <w:rPr>
                <w:rtl/>
              </w:rPr>
              <w:t xml:space="preserve"> في التهذيب :</w:t>
            </w:r>
            <w:r>
              <w:rPr>
                <w:rtl/>
              </w:rPr>
              <w:t xml:space="preserve"> - </w:t>
            </w:r>
            <w:r w:rsidRPr="005D642E">
              <w:rPr>
                <w:rtl/>
              </w:rPr>
              <w:t>« بثلاث غرف »</w:t>
            </w:r>
            <w:r>
              <w:rPr>
                <w:rtl/>
              </w:rPr>
              <w:t>.</w:t>
            </w:r>
          </w:p>
        </w:tc>
        <w:tc>
          <w:tcPr>
            <w:tcW w:w="4006" w:type="dxa"/>
          </w:tcPr>
          <w:p w:rsidR="00A2456E" w:rsidRDefault="00A2456E" w:rsidP="00E3253D">
            <w:pPr>
              <w:pStyle w:val="libFootnote0"/>
              <w:rPr>
                <w:rStyle w:val="libFootnote0Char"/>
                <w:rtl/>
              </w:rPr>
            </w:pPr>
            <w:r w:rsidRPr="0042621E">
              <w:rPr>
                <w:rStyle w:val="libFootnote0Char"/>
                <w:rtl/>
              </w:rPr>
              <w:t>(7).</w:t>
            </w:r>
            <w:r w:rsidR="009D4471">
              <w:rPr>
                <w:rtl/>
              </w:rPr>
              <w:t xml:space="preserve"> في «ى،بث،بح،</w:t>
            </w:r>
            <w:r w:rsidRPr="005D642E">
              <w:rPr>
                <w:rtl/>
              </w:rPr>
              <w:t>بف ، جح ، جن » : « ثلاثة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133 ، ح 368 ، بسنده عن الكليني. وفي </w:t>
      </w:r>
      <w:r w:rsidR="00E3253D" w:rsidRPr="002F4D34">
        <w:rPr>
          <w:rStyle w:val="libFootnoteBoldChar"/>
          <w:rtl/>
        </w:rPr>
        <w:t>الكافي</w:t>
      </w:r>
      <w:r w:rsidR="00E3253D" w:rsidRPr="005D642E">
        <w:rPr>
          <w:rtl/>
        </w:rPr>
        <w:t xml:space="preserve"> ، كتاب الطهارة ، باب مقدار الماء الذي يجزئ للوضوء</w:t>
      </w:r>
      <w:r w:rsidR="00E3253D">
        <w:rPr>
          <w:rtl/>
        </w:rPr>
        <w:t xml:space="preserve"> ..</w:t>
      </w:r>
      <w:r w:rsidR="00E3253D" w:rsidRPr="005D642E">
        <w:rPr>
          <w:rtl/>
        </w:rPr>
        <w:t xml:space="preserve">. ، ح 3904 ؛ </w:t>
      </w:r>
      <w:r w:rsidR="00B60612" w:rsidRPr="00B60612">
        <w:rPr>
          <w:rStyle w:val="libFootnoteBoldChar"/>
          <w:rtl/>
        </w:rPr>
        <w:t>والتهذيب</w:t>
      </w:r>
      <w:r w:rsidR="00E3253D" w:rsidRPr="005D642E">
        <w:rPr>
          <w:rtl/>
        </w:rPr>
        <w:t xml:space="preserve"> ، ج 1 ، ص 137 ، ح 71 ؛ </w:t>
      </w:r>
      <w:r w:rsidR="00E3253D" w:rsidRPr="00E678B5">
        <w:rPr>
          <w:rStyle w:val="libFootnoteBoldChar"/>
          <w:rtl/>
        </w:rPr>
        <w:t>والاستبصار</w:t>
      </w:r>
      <w:r w:rsidR="00E3253D" w:rsidRPr="005D642E">
        <w:rPr>
          <w:rtl/>
        </w:rPr>
        <w:t xml:space="preserve"> ، ج 1 ، ص 123 ، ح 416 ، عن عليّ بن إبراهيم ، عن أبيه ، عن ابن أبي عمير ، عن جميل ، عن زرارة ، عن أبي جعفر </w:t>
      </w:r>
      <w:r w:rsidR="00E3253D" w:rsidRPr="00C46494">
        <w:rPr>
          <w:rStyle w:val="libFootnoteAlaemChar"/>
          <w:rtl/>
        </w:rPr>
        <w:t>عليه‌السلام</w:t>
      </w:r>
      <w:r w:rsidR="00E3253D" w:rsidRPr="005D642E">
        <w:rPr>
          <w:rtl/>
        </w:rPr>
        <w:t xml:space="preserve"> ، هكذا : « الجنب ما جرى عليه الماء من جسده قليله وكثيره فقد أجزأه » </w:t>
      </w:r>
      <w:r w:rsidR="00C46494">
        <w:rPr>
          <w:rFonts w:hint="cs"/>
          <w:rtl/>
        </w:rPr>
        <w:t>.</w:t>
      </w:r>
      <w:r w:rsidR="00E3253D" w:rsidRPr="002F4D34">
        <w:rPr>
          <w:rStyle w:val="libFootnoteBoldChar"/>
          <w:rtl/>
        </w:rPr>
        <w:t>الوافي</w:t>
      </w:r>
      <w:r w:rsidR="00E3253D" w:rsidRPr="005D642E">
        <w:rPr>
          <w:rtl/>
        </w:rPr>
        <w:t xml:space="preserve"> ، ج 6 ، ص 503 ، ح 4794 ؛ </w:t>
      </w:r>
      <w:r w:rsidR="00E3253D" w:rsidRPr="002F4D34">
        <w:rPr>
          <w:rStyle w:val="libFootnoteBoldChar"/>
          <w:rtl/>
        </w:rPr>
        <w:t>الوسائل</w:t>
      </w:r>
      <w:r w:rsidR="00E3253D" w:rsidRPr="005D642E">
        <w:rPr>
          <w:rtl/>
        </w:rPr>
        <w:t xml:space="preserve"> ، ج 2 ، ص 229 ، ح 2014 ؛ </w:t>
      </w:r>
      <w:r w:rsidR="00E3253D" w:rsidRPr="002F4D34">
        <w:rPr>
          <w:rStyle w:val="libFootnoteBoldChar"/>
          <w:rtl/>
        </w:rPr>
        <w:t>وفيه</w:t>
      </w:r>
      <w:r w:rsidR="00E3253D" w:rsidRPr="005D642E">
        <w:rPr>
          <w:rtl/>
        </w:rPr>
        <w:t xml:space="preserve"> ، ص 235 ، ح 2033 ، من قوله : « ثمّ بدأ بفرجه » إلى قوله : « على منكبه الأيسر مرّتين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بث ، بخ ، بس ، بف ، جن » </w:t>
      </w:r>
      <w:r w:rsidR="000D749A" w:rsidRPr="000D749A">
        <w:rPr>
          <w:rStyle w:val="libFootnoteBoldChar"/>
          <w:rtl/>
        </w:rPr>
        <w:t>والوافي</w:t>
      </w:r>
      <w:r w:rsidR="00E3253D" w:rsidRPr="005D642E">
        <w:rPr>
          <w:rtl/>
        </w:rPr>
        <w:t xml:space="preserve"> والوسائل والبحار ، ص 130 :</w:t>
      </w:r>
      <w:r w:rsidR="00E3253D">
        <w:rPr>
          <w:rtl/>
        </w:rPr>
        <w:t xml:space="preserve"> </w:t>
      </w:r>
      <w:r w:rsidR="007642BC">
        <w:rPr>
          <w:rtl/>
        </w:rPr>
        <w:t>-</w:t>
      </w:r>
      <w:r w:rsidR="00E3253D">
        <w:rPr>
          <w:rtl/>
        </w:rPr>
        <w:t xml:space="preserve"> </w:t>
      </w:r>
      <w:r w:rsidR="00E3253D" w:rsidRPr="005D642E">
        <w:rPr>
          <w:rtl/>
        </w:rPr>
        <w:t>« قال »</w:t>
      </w:r>
      <w:r w:rsidR="00E3253D">
        <w:rPr>
          <w:rtl/>
        </w:rPr>
        <w:t>.</w:t>
      </w:r>
    </w:p>
    <w:tbl>
      <w:tblPr>
        <w:tblStyle w:val="TableGrid"/>
        <w:bidiVisual/>
        <w:tblW w:w="0" w:type="auto"/>
        <w:tblLook w:val="04A0" w:firstRow="1" w:lastRow="0" w:firstColumn="1" w:lastColumn="0" w:noHBand="0" w:noVBand="1"/>
      </w:tblPr>
      <w:tblGrid>
        <w:gridCol w:w="4006"/>
        <w:gridCol w:w="4006"/>
      </w:tblGrid>
      <w:tr w:rsidR="00C46494" w:rsidTr="00C46494">
        <w:tc>
          <w:tcPr>
            <w:tcW w:w="4006" w:type="dxa"/>
          </w:tcPr>
          <w:p w:rsidR="00C46494" w:rsidRDefault="00C46494" w:rsidP="00E3253D">
            <w:pPr>
              <w:pStyle w:val="libFootnote0"/>
              <w:rPr>
                <w:rStyle w:val="libFootnote0Char"/>
                <w:rtl/>
              </w:rPr>
            </w:pPr>
            <w:r w:rsidRPr="0042621E">
              <w:rPr>
                <w:rStyle w:val="libFootnote0Char"/>
                <w:rtl/>
              </w:rPr>
              <w:t>(10).</w:t>
            </w:r>
            <w:r w:rsidRPr="005D642E">
              <w:rPr>
                <w:rtl/>
              </w:rPr>
              <w:t xml:space="preserve"> في « بس » : « يقول »</w:t>
            </w:r>
            <w:r>
              <w:rPr>
                <w:rtl/>
              </w:rPr>
              <w:t>.</w:t>
            </w:r>
          </w:p>
        </w:tc>
        <w:tc>
          <w:tcPr>
            <w:tcW w:w="4006" w:type="dxa"/>
          </w:tcPr>
          <w:p w:rsidR="00C46494" w:rsidRDefault="00C46494" w:rsidP="00E3253D">
            <w:pPr>
              <w:pStyle w:val="libFootnote0"/>
              <w:rPr>
                <w:rStyle w:val="libFootnote0Char"/>
                <w:rtl/>
              </w:rPr>
            </w:pPr>
            <w:r w:rsidRPr="0042621E">
              <w:rPr>
                <w:rStyle w:val="libFootnote0Char"/>
                <w:rtl/>
              </w:rPr>
              <w:t>(11).</w:t>
            </w:r>
            <w:r w:rsidRPr="005D642E">
              <w:rPr>
                <w:rtl/>
              </w:rPr>
              <w:t xml:space="preserve"> في « ى » : + « يوم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بِهَا </w:t>
      </w:r>
      <w:r w:rsidRPr="007C12DB">
        <w:rPr>
          <w:rStyle w:val="libFootnotenumChar"/>
          <w:rtl/>
        </w:rPr>
        <w:t>(1)</w:t>
      </w:r>
      <w:r w:rsidRPr="005D642E">
        <w:rPr>
          <w:rtl/>
          <w:lang w:bidi="fa-IR"/>
        </w:rPr>
        <w:t xml:space="preserve"> دِينِي ، وَتُبْطِلُ </w:t>
      </w:r>
      <w:r w:rsidRPr="007C12DB">
        <w:rPr>
          <w:rStyle w:val="libFootnotenumChar"/>
          <w:rtl/>
        </w:rPr>
        <w:t>(2)</w:t>
      </w:r>
      <w:r w:rsidRPr="005D642E">
        <w:rPr>
          <w:rtl/>
          <w:lang w:bidi="fa-IR"/>
        </w:rPr>
        <w:t xml:space="preserve"> عَمَلِي" ، وَتَقُولُ فِي غُسْلِ الْجَنَابَةِ : الل</w:t>
      </w:r>
      <w:r w:rsidR="006349E1">
        <w:rPr>
          <w:rFonts w:hint="cs"/>
          <w:rtl/>
          <w:lang w:bidi="fa-IR"/>
        </w:rPr>
        <w:t>ّ</w:t>
      </w:r>
      <w:r w:rsidRPr="005D642E">
        <w:rPr>
          <w:rtl/>
          <w:lang w:bidi="fa-IR"/>
        </w:rPr>
        <w:t xml:space="preserve">هُمَّ طَهِّرْ قَلْبِي ، وَزَكِّ عَمَلِي ، وَتَقَبَّلْ سَعْيِي ، وَاجْعَلْ </w:t>
      </w:r>
      <w:r w:rsidRPr="007C12DB">
        <w:rPr>
          <w:rStyle w:val="libFootnotenumChar"/>
          <w:rtl/>
        </w:rPr>
        <w:t>(3)</w:t>
      </w:r>
      <w:r w:rsidRPr="005D642E">
        <w:rPr>
          <w:rtl/>
          <w:lang w:bidi="fa-IR"/>
        </w:rPr>
        <w:t xml:space="preserve"> مَا عِنْدَكَ خَيْراً لِي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B04BBB">
        <w:rPr>
          <w:rtl/>
        </w:rPr>
        <w:t>4009</w:t>
      </w:r>
      <w:r w:rsidRPr="00246318">
        <w:rPr>
          <w:rStyle w:val="libBold2Char"/>
          <w:rtl/>
        </w:rPr>
        <w:t xml:space="preserve"> / 5.</w:t>
      </w:r>
      <w:r w:rsidRPr="005D642E">
        <w:rPr>
          <w:rtl/>
          <w:lang w:bidi="fa-IR"/>
        </w:rPr>
        <w:t xml:space="preserve"> عَلِيُّ بْنُ إِبْرَاهِيمَ ، عَنْ أَبِيهِ ، عَنِ ابْنِ أَبِي عُمَيْرٍ ، عَنْ حَمَّادٍ ، عَنِ الْحَلَبِيِّ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ارْتَمَسَ الْجُنُبُ فِي الْمَاءِ ارْتِمَاسَةً وَاحِدَةً ، أَجْزَأَهُ ذلِكَ </w:t>
      </w:r>
      <w:r w:rsidRPr="007C12DB">
        <w:rPr>
          <w:rStyle w:val="libFootnotenumChar"/>
          <w:rtl/>
        </w:rPr>
        <w:t>(5)</w:t>
      </w:r>
      <w:r w:rsidRPr="005D642E">
        <w:rPr>
          <w:rtl/>
          <w:lang w:bidi="fa-IR"/>
        </w:rPr>
        <w:t xml:space="preserve"> مِنْ </w:t>
      </w:r>
      <w:r w:rsidRPr="007C12DB">
        <w:rPr>
          <w:rStyle w:val="libFootnotenumChar"/>
          <w:rtl/>
        </w:rPr>
        <w:t>(6)</w:t>
      </w:r>
      <w:r w:rsidRPr="005D642E">
        <w:rPr>
          <w:rtl/>
          <w:lang w:bidi="fa-IR"/>
        </w:rPr>
        <w:t xml:space="preserve"> غُسْلِهِ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B04BBB">
        <w:rPr>
          <w:rtl/>
        </w:rPr>
        <w:t>4010</w:t>
      </w:r>
      <w:r w:rsidRPr="00246318">
        <w:rPr>
          <w:rStyle w:val="libBold2Char"/>
          <w:rtl/>
        </w:rPr>
        <w:t xml:space="preserve"> / 6.</w:t>
      </w:r>
      <w:r w:rsidRPr="005D642E">
        <w:rPr>
          <w:rtl/>
          <w:lang w:bidi="fa-IR"/>
        </w:rPr>
        <w:t xml:space="preserve"> مُحَمَّدُ بْنُ يَحْيى ، عَنِ الْعَمْرَكِيِّ ، عَنْ عَلِيِّ بْنِ جَعْفَرٍ :</w:t>
      </w:r>
    </w:p>
    <w:p w:rsidR="00E3253D" w:rsidRPr="005D642E" w:rsidRDefault="00E3253D" w:rsidP="00E3253D">
      <w:pPr>
        <w:pStyle w:val="libNormal"/>
        <w:rPr>
          <w:rtl/>
          <w:lang w:bidi="fa-IR"/>
        </w:rPr>
      </w:pPr>
      <w:r w:rsidRPr="005D642E">
        <w:rPr>
          <w:rtl/>
          <w:lang w:bidi="fa-IR"/>
        </w:rPr>
        <w:t xml:space="preserve">عَنْ أَخِيهِ مُوسَى بْنِ جَعْفَرٍ </w:t>
      </w:r>
      <w:r w:rsidRPr="00AC51C5">
        <w:rPr>
          <w:rStyle w:val="libAlaemChar"/>
          <w:rtl/>
        </w:rPr>
        <w:t>عليه‌السلام</w:t>
      </w:r>
      <w:r w:rsidRPr="005D642E">
        <w:rPr>
          <w:rtl/>
          <w:lang w:bidi="fa-IR"/>
        </w:rPr>
        <w:t xml:space="preserve"> ، قَالَ : سَأَلْتُهُ عَنِ الْمَرْأَةِ عَلَيْهَا السِّوَارُ </w:t>
      </w:r>
      <w:r w:rsidRPr="007C12DB">
        <w:rPr>
          <w:rStyle w:val="libFootnotenumChar"/>
          <w:rtl/>
        </w:rPr>
        <w:t>(8)</w:t>
      </w:r>
      <w:r w:rsidRPr="005D642E">
        <w:rPr>
          <w:rtl/>
          <w:lang w:bidi="fa-IR"/>
        </w:rPr>
        <w:t xml:space="preserve"> وَالدُّمْلُجُ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349E1" w:rsidTr="006349E1">
        <w:tc>
          <w:tcPr>
            <w:tcW w:w="4006" w:type="dxa"/>
          </w:tcPr>
          <w:p w:rsidR="006349E1" w:rsidRDefault="006349E1" w:rsidP="00E3253D">
            <w:pPr>
              <w:pStyle w:val="libFootnote0"/>
              <w:rPr>
                <w:rStyle w:val="libFootnote0Char"/>
                <w:rtl/>
              </w:rPr>
            </w:pPr>
            <w:r w:rsidRPr="0042621E">
              <w:rPr>
                <w:rStyle w:val="libFootnote0Char"/>
                <w:rtl/>
              </w:rPr>
              <w:t>(1).</w:t>
            </w:r>
            <w:r>
              <w:rPr>
                <w:rtl/>
              </w:rPr>
              <w:t xml:space="preserve"> </w:t>
            </w:r>
            <w:r w:rsidRPr="005D642E">
              <w:rPr>
                <w:rtl/>
              </w:rPr>
              <w:t>في الوافي والوسائل :</w:t>
            </w:r>
            <w:r>
              <w:rPr>
                <w:rtl/>
              </w:rPr>
              <w:t xml:space="preserve"> - </w:t>
            </w:r>
            <w:r w:rsidRPr="005D642E">
              <w:rPr>
                <w:rtl/>
              </w:rPr>
              <w:t>« بها »</w:t>
            </w:r>
            <w:r>
              <w:rPr>
                <w:rtl/>
              </w:rPr>
              <w:t>.</w:t>
            </w:r>
          </w:p>
        </w:tc>
        <w:tc>
          <w:tcPr>
            <w:tcW w:w="4006" w:type="dxa"/>
          </w:tcPr>
          <w:p w:rsidR="006349E1" w:rsidRDefault="006349E1" w:rsidP="00E3253D">
            <w:pPr>
              <w:pStyle w:val="libFootnote0"/>
              <w:rPr>
                <w:rStyle w:val="libFootnote0Char"/>
                <w:rtl/>
              </w:rPr>
            </w:pPr>
            <w:r w:rsidRPr="0042621E">
              <w:rPr>
                <w:rStyle w:val="libFootnote0Char"/>
                <w:rtl/>
              </w:rPr>
              <w:t>(2).</w:t>
            </w:r>
            <w:r w:rsidRPr="005D642E">
              <w:rPr>
                <w:rtl/>
              </w:rPr>
              <w:t xml:space="preserve"> هكذا ف</w:t>
            </w:r>
            <w:r>
              <w:rPr>
                <w:rtl/>
              </w:rPr>
              <w:t>ي النسخ التي قوبلت. وفي المطبوع: +</w:t>
            </w:r>
            <w:r w:rsidRPr="005D642E">
              <w:rPr>
                <w:rtl/>
              </w:rPr>
              <w:t>«</w:t>
            </w:r>
            <w:r>
              <w:rPr>
                <w:rtl/>
              </w:rPr>
              <w:t>بها</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 « لي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146 ، ح 414 ؛ وص 367 ، ح 1116 ، بسند آخر عن أبي عبدالله </w:t>
      </w:r>
      <w:r w:rsidR="00E3253D" w:rsidRPr="003B5807">
        <w:rPr>
          <w:rStyle w:val="libFootnoteAlaemChar"/>
          <w:rtl/>
        </w:rPr>
        <w:t>عليه‌السلام</w:t>
      </w:r>
      <w:r w:rsidR="00E3253D" w:rsidRPr="005D642E">
        <w:rPr>
          <w:rtl/>
        </w:rPr>
        <w:t xml:space="preserve"> ، مع اختلاف يسير وزيادة. </w:t>
      </w:r>
      <w:r w:rsidR="00E3253D" w:rsidRPr="002F4D34">
        <w:rPr>
          <w:rStyle w:val="libFootnoteBoldChar"/>
          <w:rtl/>
        </w:rPr>
        <w:t>المقنعة</w:t>
      </w:r>
      <w:r w:rsidR="00E3253D" w:rsidRPr="005D642E">
        <w:rPr>
          <w:rtl/>
        </w:rPr>
        <w:t xml:space="preserve"> ، ص 54 ، من دون الإسناد إلى المعصوم </w:t>
      </w:r>
      <w:r w:rsidR="00E3253D" w:rsidRPr="003B5807">
        <w:rPr>
          <w:rStyle w:val="libFootnoteAlaemChar"/>
          <w:rtl/>
        </w:rPr>
        <w:t>عليه‌السلام</w:t>
      </w:r>
      <w:r w:rsidR="00E3253D" w:rsidRPr="005D642E">
        <w:rPr>
          <w:rtl/>
        </w:rPr>
        <w:t xml:space="preserve"> ، من قوله : « تقول في غسل الجنابة » مع اختلاف يسير </w:t>
      </w:r>
      <w:r w:rsidR="003B5807">
        <w:rPr>
          <w:rFonts w:hint="cs"/>
          <w:rtl/>
        </w:rPr>
        <w:t>.</w:t>
      </w:r>
      <w:r w:rsidR="00E3253D" w:rsidRPr="002F4D34">
        <w:rPr>
          <w:rStyle w:val="libFootnoteBoldChar"/>
          <w:rtl/>
        </w:rPr>
        <w:t>الوافي</w:t>
      </w:r>
      <w:r w:rsidR="00E3253D" w:rsidRPr="005D642E">
        <w:rPr>
          <w:rtl/>
        </w:rPr>
        <w:t xml:space="preserve"> ، ج 6 ، ص 512 ، ح 4820 ؛ </w:t>
      </w:r>
      <w:r w:rsidR="00E3253D" w:rsidRPr="002F4D34">
        <w:rPr>
          <w:rStyle w:val="libFootnoteBoldChar"/>
          <w:rtl/>
        </w:rPr>
        <w:t>الوسائل</w:t>
      </w:r>
      <w:r w:rsidR="00E3253D" w:rsidRPr="005D642E">
        <w:rPr>
          <w:rtl/>
        </w:rPr>
        <w:t xml:space="preserve"> ، ج 2 ، ص 253 ، ح 2089 ؛ </w:t>
      </w:r>
      <w:r w:rsidR="00E3253D" w:rsidRPr="002F4D34">
        <w:rPr>
          <w:rStyle w:val="libFootnoteBoldChar"/>
          <w:rtl/>
        </w:rPr>
        <w:t>البحار</w:t>
      </w:r>
      <w:r w:rsidR="00E3253D" w:rsidRPr="005D642E">
        <w:rPr>
          <w:rtl/>
        </w:rPr>
        <w:t xml:space="preserve"> ، ج 81 ، ص 40 ، من قوله : « تقول في غسل الجنابة » ؛ </w:t>
      </w:r>
      <w:r w:rsidR="00E3253D" w:rsidRPr="002F4D34">
        <w:rPr>
          <w:rStyle w:val="libFootnoteBoldChar"/>
          <w:rtl/>
        </w:rPr>
        <w:t>وفيه</w:t>
      </w:r>
      <w:r w:rsidR="00E3253D" w:rsidRPr="005D642E">
        <w:rPr>
          <w:rtl/>
        </w:rPr>
        <w:t xml:space="preserve"> ، ص 130 ، ح 22 ، إلى قوله : « وتبطل بها عملي »</w:t>
      </w:r>
      <w:r w:rsidR="00E3253D">
        <w:rPr>
          <w:rtl/>
        </w:rPr>
        <w:t>.</w:t>
      </w:r>
    </w:p>
    <w:tbl>
      <w:tblPr>
        <w:tblStyle w:val="TableGrid"/>
        <w:bidiVisual/>
        <w:tblW w:w="0" w:type="auto"/>
        <w:tblLook w:val="04A0" w:firstRow="1" w:lastRow="0" w:firstColumn="1" w:lastColumn="0" w:noHBand="0" w:noVBand="1"/>
      </w:tblPr>
      <w:tblGrid>
        <w:gridCol w:w="4006"/>
        <w:gridCol w:w="4006"/>
      </w:tblGrid>
      <w:tr w:rsidR="003B5807" w:rsidTr="003B5807">
        <w:tc>
          <w:tcPr>
            <w:tcW w:w="4006" w:type="dxa"/>
          </w:tcPr>
          <w:p w:rsidR="003B5807" w:rsidRDefault="003B5807" w:rsidP="00E3253D">
            <w:pPr>
              <w:pStyle w:val="libFootnote0"/>
              <w:rPr>
                <w:rStyle w:val="libFootnote0Char"/>
                <w:rtl/>
              </w:rPr>
            </w:pPr>
            <w:r w:rsidRPr="0042621E">
              <w:rPr>
                <w:rStyle w:val="libFootnote0Char"/>
                <w:rtl/>
              </w:rPr>
              <w:t>(5).</w:t>
            </w:r>
            <w:r w:rsidRPr="005D642E">
              <w:rPr>
                <w:rtl/>
              </w:rPr>
              <w:t xml:space="preserve"> في « جس » :</w:t>
            </w:r>
            <w:r>
              <w:rPr>
                <w:rtl/>
              </w:rPr>
              <w:t xml:space="preserve"> - </w:t>
            </w:r>
            <w:r w:rsidRPr="005D642E">
              <w:rPr>
                <w:rtl/>
              </w:rPr>
              <w:t>« ذلك »</w:t>
            </w:r>
            <w:r>
              <w:rPr>
                <w:rtl/>
              </w:rPr>
              <w:t>.</w:t>
            </w:r>
          </w:p>
        </w:tc>
        <w:tc>
          <w:tcPr>
            <w:tcW w:w="4006" w:type="dxa"/>
          </w:tcPr>
          <w:p w:rsidR="003B5807" w:rsidRDefault="003B5807" w:rsidP="00E3253D">
            <w:pPr>
              <w:pStyle w:val="libFootnote0"/>
              <w:rPr>
                <w:rStyle w:val="libFootnote0Char"/>
                <w:rtl/>
              </w:rPr>
            </w:pPr>
            <w:r w:rsidRPr="0042621E">
              <w:rPr>
                <w:rStyle w:val="libFootnote0Char"/>
                <w:rtl/>
              </w:rPr>
              <w:t>(6).</w:t>
            </w:r>
            <w:r w:rsidRPr="005D642E">
              <w:rPr>
                <w:rtl/>
              </w:rPr>
              <w:t xml:space="preserve"> في « ظ ، غ » : « عن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148 ، ح 423 ، بسنده عن الكليني ؛ </w:t>
      </w:r>
      <w:r w:rsidR="00E3253D" w:rsidRPr="002F4D34">
        <w:rPr>
          <w:rStyle w:val="libFootnoteBoldChar"/>
          <w:rtl/>
        </w:rPr>
        <w:t>الاستبصار</w:t>
      </w:r>
      <w:r w:rsidR="00E3253D" w:rsidRPr="005D642E">
        <w:rPr>
          <w:rtl/>
        </w:rPr>
        <w:t xml:space="preserve"> ، ج 1 ، ص 125 ، ح 424 ، معلّقاً عن الكليني. </w:t>
      </w:r>
      <w:r w:rsidR="00E3253D" w:rsidRPr="002F4D34">
        <w:rPr>
          <w:rStyle w:val="libFootnoteBoldChar"/>
          <w:rtl/>
        </w:rPr>
        <w:t>الفقيه</w:t>
      </w:r>
      <w:r w:rsidR="00E3253D" w:rsidRPr="005D642E">
        <w:rPr>
          <w:rtl/>
        </w:rPr>
        <w:t xml:space="preserve"> ، ج 1 ، ص 8 ، ح 191 ، معلّقاً عن الحلبي ، عمّن سمعه ، مع اختلاف يسير. وفي </w:t>
      </w:r>
      <w:r w:rsidR="00E3253D" w:rsidRPr="002F4D34">
        <w:rPr>
          <w:rStyle w:val="libFootnoteBoldChar"/>
          <w:rtl/>
        </w:rPr>
        <w:t>الكافى</w:t>
      </w:r>
      <w:r w:rsidR="00E3253D" w:rsidRPr="005D642E">
        <w:rPr>
          <w:rtl/>
        </w:rPr>
        <w:t xml:space="preserve"> ، كتاب الطهارة ، باب مقدار الماء الذي يجزئ للوضوء</w:t>
      </w:r>
      <w:r w:rsidR="00E3253D">
        <w:rPr>
          <w:rtl/>
        </w:rPr>
        <w:t xml:space="preserve"> ..</w:t>
      </w:r>
      <w:r w:rsidR="00E3253D" w:rsidRPr="005D642E">
        <w:rPr>
          <w:rtl/>
        </w:rPr>
        <w:t xml:space="preserve">. ، ح 3908 ؛ </w:t>
      </w:r>
      <w:r w:rsidR="00B60612" w:rsidRPr="00B60612">
        <w:rPr>
          <w:rStyle w:val="libFootnoteBoldChar"/>
          <w:rtl/>
        </w:rPr>
        <w:t>والتهذيب</w:t>
      </w:r>
      <w:r w:rsidR="00E3253D" w:rsidRPr="005D642E">
        <w:rPr>
          <w:rtl/>
        </w:rPr>
        <w:t xml:space="preserve"> ، ج 1 ، ص 148 ، ضمن ح 422 ؛ وص 370 ، ضمن ح 1131 ، بسند آخر ، مع اختلاف يسير. وفي </w:t>
      </w:r>
      <w:r w:rsidR="000D749A" w:rsidRPr="000D749A">
        <w:rPr>
          <w:rStyle w:val="libFootnoteBoldChar"/>
          <w:rtl/>
        </w:rPr>
        <w:t>الأمالي للصدوق</w:t>
      </w:r>
      <w:r w:rsidR="00E3253D" w:rsidRPr="005D642E">
        <w:rPr>
          <w:rtl/>
        </w:rPr>
        <w:t xml:space="preserve"> ، ص 647 ، المجلس 93 ، ضمن إملاء الصدوق في وصف دين الإماميّة على الإيجاز والاختصار ؛ و</w:t>
      </w:r>
      <w:r w:rsidR="00E3253D" w:rsidRPr="002F4D34">
        <w:rPr>
          <w:rStyle w:val="libFootnoteBoldChar"/>
          <w:rtl/>
        </w:rPr>
        <w:t xml:space="preserve">المقنعة </w:t>
      </w:r>
      <w:r w:rsidR="00E3253D" w:rsidRPr="005D642E">
        <w:rPr>
          <w:rtl/>
        </w:rPr>
        <w:t xml:space="preserve">، ص 54 ، من دون الإسناد إلى المعصوم </w:t>
      </w:r>
      <w:r w:rsidR="00E3253D" w:rsidRPr="00E364F3">
        <w:rPr>
          <w:rStyle w:val="libFootnoteAlaemChar"/>
          <w:rtl/>
        </w:rPr>
        <w:t>عليه‌السلام</w:t>
      </w:r>
      <w:r w:rsidR="00E3253D" w:rsidRPr="005D642E">
        <w:rPr>
          <w:rtl/>
        </w:rPr>
        <w:t xml:space="preserve"> ، وفيهما مع اختلاف يسير </w:t>
      </w:r>
      <w:r w:rsidR="00E364F3">
        <w:rPr>
          <w:rFonts w:hint="cs"/>
          <w:rtl/>
        </w:rPr>
        <w:t>.</w:t>
      </w:r>
      <w:r w:rsidR="00E3253D" w:rsidRPr="002F4D34">
        <w:rPr>
          <w:rStyle w:val="libFootnoteBoldChar"/>
          <w:rtl/>
        </w:rPr>
        <w:t>الوافي</w:t>
      </w:r>
      <w:r w:rsidR="00E3253D" w:rsidRPr="005D642E">
        <w:rPr>
          <w:rtl/>
        </w:rPr>
        <w:t xml:space="preserve"> ، ج 6 ، ص 521 ، ح 4835 ؛ </w:t>
      </w:r>
      <w:r w:rsidR="00E3253D" w:rsidRPr="002F4D34">
        <w:rPr>
          <w:rStyle w:val="libFootnoteBoldChar"/>
          <w:rtl/>
        </w:rPr>
        <w:t>الوسائل</w:t>
      </w:r>
      <w:r w:rsidR="00E3253D" w:rsidRPr="005D642E">
        <w:rPr>
          <w:rtl/>
        </w:rPr>
        <w:t xml:space="preserve"> ، ج 2 ، ص 232 ، ح 2024.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السِوار » : القُلْب ، هو حلية كالطوق تلبسه المرأة في زندها. راجع : </w:t>
      </w:r>
      <w:r w:rsidR="00E3253D" w:rsidRPr="002F4D34">
        <w:rPr>
          <w:rStyle w:val="libFootnoteBoldChar"/>
          <w:rtl/>
        </w:rPr>
        <w:t>لسان العرب</w:t>
      </w:r>
      <w:r w:rsidR="00E3253D" w:rsidRPr="005D642E">
        <w:rPr>
          <w:rtl/>
        </w:rPr>
        <w:t xml:space="preserve"> ، ج 4 ، ص 387 ؛ </w:t>
      </w:r>
      <w:r w:rsidR="00E3253D" w:rsidRPr="002F4D34">
        <w:rPr>
          <w:rStyle w:val="libFootnoteBoldChar"/>
          <w:rtl/>
        </w:rPr>
        <w:t xml:space="preserve">أقرب‌الموارد </w:t>
      </w:r>
      <w:r w:rsidR="00E3253D" w:rsidRPr="005D642E">
        <w:rPr>
          <w:rtl/>
        </w:rPr>
        <w:t>، ج 1 ، ص 556 ( سور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الدُملج » كدرهم وقنفذ وجندب ، والدُملوج : المِعْضَدُ. وقيل : هو حليّ يلبس في المِعْصَم. قال الشيخ البهائي </w:t>
      </w:r>
      <w:r w:rsidR="00E3253D" w:rsidRPr="00E364F3">
        <w:rPr>
          <w:rStyle w:val="libFootnoteAlaemChar"/>
          <w:rtl/>
        </w:rPr>
        <w:t>رحمه‌الله</w:t>
      </w:r>
      <w:r w:rsidR="00E3253D" w:rsidRPr="005D642E">
        <w:rPr>
          <w:rtl/>
        </w:rPr>
        <w:t xml:space="preserve"> : « السوار بكسر السين ، والدملج بالدال واللام المضمومتين وآخره جيم : شبيه بالسوار تلبسه المرأة في عضدها ويسمّى المعضد ، ولعلّ عليّ بن جعفر أطلق الذراع على مجموع اليد تجوّزاً »</w:t>
      </w:r>
      <w:r w:rsidR="00E3253D">
        <w:rPr>
          <w:rtl/>
        </w:rPr>
        <w:t>.</w:t>
      </w:r>
      <w:r w:rsidR="00E3253D" w:rsidRPr="005D642E">
        <w:rPr>
          <w:rtl/>
        </w:rPr>
        <w:t xml:space="preserve"> راجع : </w:t>
      </w:r>
      <w:r w:rsidR="00E3253D" w:rsidRPr="002F4D34">
        <w:rPr>
          <w:rStyle w:val="libFootnoteBoldChar"/>
          <w:rtl/>
        </w:rPr>
        <w:t>القاموس المحيط</w:t>
      </w:r>
      <w:r w:rsidR="00E3253D" w:rsidRPr="005D642E">
        <w:rPr>
          <w:rtl/>
        </w:rPr>
        <w:t xml:space="preserve"> ، ج 1 ، ص 295 ؛ </w:t>
      </w:r>
      <w:r w:rsidR="00E3253D" w:rsidRPr="002F4D34">
        <w:rPr>
          <w:rStyle w:val="libFootnoteBoldChar"/>
          <w:rtl/>
        </w:rPr>
        <w:t>أقرب الموارد</w:t>
      </w:r>
      <w:r w:rsidR="00E3253D" w:rsidRPr="005D642E">
        <w:rPr>
          <w:rtl/>
        </w:rPr>
        <w:t xml:space="preserve"> ، ج 1 ، ص 350 ( دملج ) ؛ </w:t>
      </w:r>
      <w:r w:rsidR="00E3253D" w:rsidRPr="002F4D34">
        <w:rPr>
          <w:rStyle w:val="libFootnoteBoldChar"/>
          <w:rtl/>
        </w:rPr>
        <w:t>مشرق الشمسين</w:t>
      </w:r>
      <w:r w:rsidR="00E3253D" w:rsidRPr="005D642E">
        <w:rPr>
          <w:rtl/>
        </w:rPr>
        <w:t xml:space="preserve"> ، ص 148.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فِي بَعْضِ ذِرَاعِهَا </w:t>
      </w:r>
      <w:r w:rsidRPr="007C12DB">
        <w:rPr>
          <w:rStyle w:val="libFootnotenumChar"/>
          <w:rtl/>
        </w:rPr>
        <w:t>(1)</w:t>
      </w:r>
      <w:r w:rsidRPr="005D642E">
        <w:rPr>
          <w:rtl/>
          <w:lang w:bidi="fa-IR"/>
        </w:rPr>
        <w:t xml:space="preserve"> لَاتَدْرِي يَجْرِي الْمَاءُ تَحْتَهُ </w:t>
      </w:r>
      <w:r w:rsidRPr="007C12DB">
        <w:rPr>
          <w:rStyle w:val="libFootnotenumChar"/>
          <w:rtl/>
        </w:rPr>
        <w:t>(2)</w:t>
      </w:r>
      <w:r w:rsidRPr="005D642E">
        <w:rPr>
          <w:rtl/>
          <w:lang w:bidi="fa-IR"/>
        </w:rPr>
        <w:t xml:space="preserve"> أَمْ لَا : كَيْفَ تَصْنَعُ </w:t>
      </w:r>
      <w:r w:rsidRPr="007C12DB">
        <w:rPr>
          <w:rStyle w:val="libFootnotenumChar"/>
          <w:rtl/>
        </w:rPr>
        <w:t>(3)</w:t>
      </w:r>
      <w:r w:rsidRPr="005D642E">
        <w:rPr>
          <w:rtl/>
          <w:lang w:bidi="fa-IR"/>
        </w:rPr>
        <w:t xml:space="preserve"> إِذَا تَوَضَّأَتْ ، أَوِ </w:t>
      </w:r>
      <w:r w:rsidRPr="007C12DB">
        <w:rPr>
          <w:rStyle w:val="libFootnotenumChar"/>
          <w:rtl/>
        </w:rPr>
        <w:t>(4)</w:t>
      </w:r>
      <w:r w:rsidRPr="005D642E">
        <w:rPr>
          <w:rtl/>
          <w:lang w:bidi="fa-IR"/>
        </w:rPr>
        <w:t xml:space="preserve"> اغْتَسَلَتْ</w:t>
      </w:r>
      <w:r>
        <w:rPr>
          <w:rtl/>
          <w:lang w:bidi="fa-IR"/>
        </w:rPr>
        <w:t>؟</w:t>
      </w:r>
    </w:p>
    <w:p w:rsidR="00E3253D" w:rsidRPr="005D642E" w:rsidRDefault="00E3253D" w:rsidP="00E3253D">
      <w:pPr>
        <w:pStyle w:val="libNormal"/>
        <w:rPr>
          <w:rtl/>
          <w:lang w:bidi="fa-IR"/>
        </w:rPr>
      </w:pPr>
      <w:r w:rsidRPr="005D642E">
        <w:rPr>
          <w:rtl/>
          <w:lang w:bidi="fa-IR"/>
        </w:rPr>
        <w:t xml:space="preserve">قَالَ : « تُحَرِّكُهُ </w:t>
      </w:r>
      <w:r w:rsidRPr="007C12DB">
        <w:rPr>
          <w:rStyle w:val="libFootnotenumChar"/>
          <w:rtl/>
        </w:rPr>
        <w:t>(5)</w:t>
      </w:r>
      <w:r w:rsidRPr="005D642E">
        <w:rPr>
          <w:rtl/>
          <w:lang w:bidi="fa-IR"/>
        </w:rPr>
        <w:t xml:space="preserve"> حَتّى يَدْخُلَ </w:t>
      </w:r>
      <w:r w:rsidRPr="007C12DB">
        <w:rPr>
          <w:rStyle w:val="libFootnotenumChar"/>
          <w:rtl/>
        </w:rPr>
        <w:t>(6)</w:t>
      </w:r>
      <w:r w:rsidRPr="005D642E">
        <w:rPr>
          <w:rtl/>
          <w:lang w:bidi="fa-IR"/>
        </w:rPr>
        <w:t xml:space="preserve"> الْمَاءُ تَحْتَهُ ، أَوْ تَنْزِعُهُ »</w:t>
      </w:r>
      <w:r>
        <w:rPr>
          <w:rtl/>
          <w:lang w:bidi="fa-IR"/>
        </w:rPr>
        <w:t>.</w:t>
      </w:r>
    </w:p>
    <w:p w:rsidR="00E3253D" w:rsidRPr="005D642E" w:rsidRDefault="00E3253D" w:rsidP="00E3253D">
      <w:pPr>
        <w:pStyle w:val="libNormal"/>
        <w:rPr>
          <w:rtl/>
          <w:lang w:bidi="fa-IR"/>
        </w:rPr>
      </w:pPr>
      <w:r w:rsidRPr="005D642E">
        <w:rPr>
          <w:rtl/>
          <w:lang w:bidi="fa-IR"/>
        </w:rPr>
        <w:t xml:space="preserve">وَعَنِ الْخَاتَمِ الضَّيِّقِ لَايَدْرِي هَلْ يَجْرِي الْمَاءُ تَحْتَهُ إِذَا تَوَضَّأَ </w:t>
      </w:r>
      <w:r w:rsidRPr="007C12DB">
        <w:rPr>
          <w:rStyle w:val="libFootnotenumChar"/>
          <w:rtl/>
        </w:rPr>
        <w:t>(7)</w:t>
      </w:r>
      <w:r w:rsidRPr="005D642E">
        <w:rPr>
          <w:rtl/>
          <w:lang w:bidi="fa-IR"/>
        </w:rPr>
        <w:t xml:space="preserve"> أَمْ لَا : كَيْفَ يَصْنَعُ</w:t>
      </w:r>
      <w:r>
        <w:rPr>
          <w:rtl/>
          <w:lang w:bidi="fa-IR"/>
        </w:rPr>
        <w:t>؟</w:t>
      </w:r>
    </w:p>
    <w:p w:rsidR="00E3253D" w:rsidRPr="005D642E" w:rsidRDefault="00E3253D" w:rsidP="00E3253D">
      <w:pPr>
        <w:pStyle w:val="libNormal"/>
        <w:rPr>
          <w:rtl/>
          <w:lang w:bidi="fa-IR"/>
        </w:rPr>
      </w:pPr>
      <w:r w:rsidRPr="005D642E">
        <w:rPr>
          <w:rtl/>
          <w:lang w:bidi="fa-IR"/>
        </w:rPr>
        <w:t xml:space="preserve">قَالَ : « إِنْ عَلِمَ أَنَّ الْمَاءَ لَايَدْخُلُهُ </w:t>
      </w:r>
      <w:r w:rsidRPr="007C12DB">
        <w:rPr>
          <w:rStyle w:val="libFootnotenumChar"/>
          <w:rtl/>
        </w:rPr>
        <w:t>(8)</w:t>
      </w:r>
      <w:r w:rsidRPr="005D642E">
        <w:rPr>
          <w:rtl/>
          <w:lang w:bidi="fa-IR"/>
        </w:rPr>
        <w:t xml:space="preserve"> ، فَلْيُخْرِجْهُ إِذَا تَوَضَّأَ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64F3" w:rsidRDefault="00E3253D" w:rsidP="00E364F3">
      <w:pPr>
        <w:pStyle w:val="libNormal"/>
        <w:rPr>
          <w:rtl/>
          <w:lang w:bidi="fa-IR"/>
        </w:rPr>
      </w:pPr>
      <w:r w:rsidRPr="00B04BBB">
        <w:rPr>
          <w:rtl/>
        </w:rPr>
        <w:t>4011</w:t>
      </w:r>
      <w:r w:rsidRPr="00246318">
        <w:rPr>
          <w:rStyle w:val="libBold2Char"/>
          <w:rtl/>
        </w:rPr>
        <w:t xml:space="preserve"> / 7.</w:t>
      </w:r>
      <w:r w:rsidRPr="005D642E">
        <w:rPr>
          <w:rtl/>
          <w:lang w:bidi="fa-IR"/>
        </w:rPr>
        <w:t xml:space="preserve"> عِدَّةٌ مِنْ أَصْحَابِنَا ، عَنْ أَحْمَدَ بْنِ مُحَمَّدِ بْنِ عِيسى ؛</w:t>
      </w:r>
    </w:p>
    <w:p w:rsidR="00E3253D" w:rsidRPr="005D642E" w:rsidRDefault="00DC110A" w:rsidP="00E364F3">
      <w:pPr>
        <w:pStyle w:val="libNormal"/>
        <w:rPr>
          <w:rtl/>
          <w:lang w:bidi="fa-IR"/>
        </w:rPr>
      </w:pPr>
      <w:r>
        <w:rPr>
          <w:rFonts w:hint="cs"/>
          <w:rtl/>
          <w:lang w:bidi="fa-IR"/>
        </w:rPr>
        <w:t xml:space="preserve">             </w:t>
      </w:r>
      <w:r w:rsidR="00E3253D" w:rsidRPr="005D642E">
        <w:rPr>
          <w:rtl/>
          <w:lang w:bidi="fa-IR"/>
        </w:rPr>
        <w:t xml:space="preserve">وَأَبُو دَاوُدَ </w:t>
      </w:r>
      <w:r w:rsidR="00E3253D" w:rsidRPr="007C12DB">
        <w:rPr>
          <w:rStyle w:val="libFootnotenumChar"/>
          <w:rtl/>
        </w:rPr>
        <w:t>(10)</w:t>
      </w:r>
      <w:r w:rsidR="00E3253D" w:rsidRPr="005D642E">
        <w:rPr>
          <w:rtl/>
          <w:lang w:bidi="fa-IR"/>
        </w:rPr>
        <w:t xml:space="preserve"> جَمِيعاً ، عَنِ الْحُسَيْنِ بْنِ سَعِيدٍ ، عَنْ مُحَمَّدِ بْ</w:t>
      </w:r>
      <w:r>
        <w:rPr>
          <w:rtl/>
          <w:lang w:bidi="fa-IR"/>
        </w:rPr>
        <w:t>نِ أَبِي حَمْزَةَ ، عَنْ رَجُلٍ</w:t>
      </w:r>
      <w:r w:rsidR="00E3253D" w:rsidRPr="005D642E">
        <w:rPr>
          <w:rtl/>
          <w:lang w:bidi="fa-IR"/>
        </w:rPr>
        <w:t>:</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رَجُلٍ أَصَابَتْهُ جَنَابَةٌ ، فَقَامَ فِي الْمَطَرِ</w:t>
      </w:r>
      <w:r>
        <w:rPr>
          <w:rtl/>
          <w:lang w:bidi="fa-IR"/>
        </w:rPr>
        <w:t xml:space="preserve"> حَتّى سَالَ عَلى جَسَدِهِ : أَ</w:t>
      </w:r>
      <w:r w:rsidRPr="005D642E">
        <w:rPr>
          <w:rtl/>
          <w:lang w:bidi="fa-IR"/>
        </w:rPr>
        <w:t>يُجْزِئُهُ ذلِكَ مِنَ الْغُسْلِ</w:t>
      </w:r>
      <w:r>
        <w:rPr>
          <w:rtl/>
          <w:lang w:bidi="fa-IR"/>
        </w:rPr>
        <w:t>؟</w:t>
      </w:r>
      <w:r w:rsidRPr="005D642E">
        <w:rPr>
          <w:rtl/>
          <w:lang w:bidi="fa-IR"/>
        </w:rPr>
        <w:t xml:space="preserve"> قَالَ : « نَعَمْ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C110A" w:rsidTr="00DC110A">
        <w:tc>
          <w:tcPr>
            <w:tcW w:w="4006" w:type="dxa"/>
          </w:tcPr>
          <w:p w:rsidR="00DC110A" w:rsidRDefault="00DC110A" w:rsidP="00E3253D">
            <w:pPr>
              <w:pStyle w:val="libFootnote0"/>
              <w:rPr>
                <w:rStyle w:val="libFootnote0Char"/>
                <w:rtl/>
              </w:rPr>
            </w:pPr>
            <w:r w:rsidRPr="0042621E">
              <w:rPr>
                <w:rStyle w:val="libFootnote0Char"/>
                <w:rtl/>
              </w:rPr>
              <w:t>(1).</w:t>
            </w:r>
            <w:r>
              <w:rPr>
                <w:rtl/>
              </w:rPr>
              <w:t xml:space="preserve"> </w:t>
            </w:r>
            <w:r w:rsidRPr="005D642E">
              <w:rPr>
                <w:rtl/>
              </w:rPr>
              <w:t>في « ظ » : « ذراعيها »</w:t>
            </w:r>
            <w:r>
              <w:rPr>
                <w:rtl/>
              </w:rPr>
              <w:t>.</w:t>
            </w:r>
          </w:p>
        </w:tc>
        <w:tc>
          <w:tcPr>
            <w:tcW w:w="4006" w:type="dxa"/>
          </w:tcPr>
          <w:p w:rsidR="00DC110A" w:rsidRDefault="00DC110A" w:rsidP="00E3253D">
            <w:pPr>
              <w:pStyle w:val="libFootnote0"/>
              <w:rPr>
                <w:rStyle w:val="libFootnote0Char"/>
                <w:rtl/>
              </w:rPr>
            </w:pPr>
            <w:r w:rsidRPr="0042621E">
              <w:rPr>
                <w:rStyle w:val="libFootnote0Char"/>
                <w:rtl/>
              </w:rPr>
              <w:t>(2).</w:t>
            </w:r>
            <w:r w:rsidRPr="005D642E">
              <w:rPr>
                <w:rtl/>
              </w:rPr>
              <w:t xml:space="preserve"> في الوافي </w:t>
            </w:r>
            <w:r w:rsidRPr="00B60612">
              <w:rPr>
                <w:rStyle w:val="libFootnoteBoldChar"/>
                <w:rtl/>
              </w:rPr>
              <w:t>والتهذيب</w:t>
            </w:r>
            <w:r w:rsidRPr="005D642E">
              <w:rPr>
                <w:rtl/>
              </w:rPr>
              <w:t xml:space="preserve"> ، ح 222 : « تحتهما »</w:t>
            </w:r>
            <w:r>
              <w:rPr>
                <w:rtl/>
              </w:rPr>
              <w:t>.</w:t>
            </w:r>
          </w:p>
        </w:tc>
      </w:tr>
      <w:tr w:rsidR="00DC110A" w:rsidTr="00DC110A">
        <w:tc>
          <w:tcPr>
            <w:tcW w:w="4006" w:type="dxa"/>
          </w:tcPr>
          <w:p w:rsidR="00DC110A" w:rsidRDefault="005652F1" w:rsidP="00E3253D">
            <w:pPr>
              <w:pStyle w:val="libFootnote0"/>
              <w:rPr>
                <w:rStyle w:val="libFootnote0Char"/>
                <w:rtl/>
              </w:rPr>
            </w:pPr>
            <w:r w:rsidRPr="0042621E">
              <w:rPr>
                <w:rStyle w:val="libFootnote0Char"/>
                <w:rtl/>
              </w:rPr>
              <w:t>(3).</w:t>
            </w:r>
            <w:r w:rsidRPr="005D642E">
              <w:rPr>
                <w:rtl/>
              </w:rPr>
              <w:t xml:space="preserve"> في « جس » : « يصنع »</w:t>
            </w:r>
            <w:r>
              <w:rPr>
                <w:rtl/>
              </w:rPr>
              <w:t>.</w:t>
            </w:r>
          </w:p>
        </w:tc>
        <w:tc>
          <w:tcPr>
            <w:tcW w:w="4006" w:type="dxa"/>
          </w:tcPr>
          <w:p w:rsidR="00DC110A" w:rsidRDefault="005652F1" w:rsidP="00E3253D">
            <w:pPr>
              <w:pStyle w:val="libFootnote0"/>
              <w:rPr>
                <w:rStyle w:val="libFootnote0Char"/>
                <w:rtl/>
              </w:rPr>
            </w:pPr>
            <w:r w:rsidRPr="0042621E">
              <w:rPr>
                <w:rStyle w:val="libFootnote0Char"/>
                <w:rtl/>
              </w:rPr>
              <w:t>(4).</w:t>
            </w:r>
            <w:r w:rsidRPr="005D642E">
              <w:rPr>
                <w:rtl/>
              </w:rPr>
              <w:t xml:space="preserve"> في « بث ، بف » : « </w:t>
            </w:r>
            <w:r>
              <w:rPr>
                <w:rtl/>
              </w:rPr>
              <w:t>و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جن » : « تحرّك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ح 222 : « حتّى تدخل »</w:t>
      </w:r>
      <w:r w:rsidR="00E3253D">
        <w:rPr>
          <w:rtl/>
        </w:rPr>
        <w:t>.</w:t>
      </w:r>
      <w:r w:rsidR="00E3253D" w:rsidRPr="005D642E">
        <w:rPr>
          <w:rtl/>
        </w:rPr>
        <w:t xml:space="preserve"> وفي قرب الإسناد : « حتّى يجري »</w:t>
      </w:r>
      <w:r w:rsidR="00E3253D">
        <w:rPr>
          <w:rtl/>
        </w:rPr>
        <w:t>.</w:t>
      </w:r>
    </w:p>
    <w:tbl>
      <w:tblPr>
        <w:tblStyle w:val="TableGrid"/>
        <w:bidiVisual/>
        <w:tblW w:w="0" w:type="auto"/>
        <w:tblLook w:val="04A0" w:firstRow="1" w:lastRow="0" w:firstColumn="1" w:lastColumn="0" w:noHBand="0" w:noVBand="1"/>
      </w:tblPr>
      <w:tblGrid>
        <w:gridCol w:w="4006"/>
        <w:gridCol w:w="4006"/>
      </w:tblGrid>
      <w:tr w:rsidR="00BE3CB8" w:rsidTr="00BE3CB8">
        <w:tc>
          <w:tcPr>
            <w:tcW w:w="4006" w:type="dxa"/>
          </w:tcPr>
          <w:p w:rsidR="00BE3CB8" w:rsidRDefault="00BE3CB8" w:rsidP="00E3253D">
            <w:pPr>
              <w:pStyle w:val="libFootnote0"/>
              <w:rPr>
                <w:rStyle w:val="libFootnote0Char"/>
                <w:rtl/>
              </w:rPr>
            </w:pPr>
            <w:r w:rsidRPr="0042621E">
              <w:rPr>
                <w:rStyle w:val="libFootnote0Char"/>
                <w:rtl/>
              </w:rPr>
              <w:t>(7).</w:t>
            </w:r>
            <w:r w:rsidRPr="005D642E">
              <w:rPr>
                <w:rtl/>
              </w:rPr>
              <w:t xml:space="preserve"> في التهذيب ، ح 221 :</w:t>
            </w:r>
            <w:r>
              <w:rPr>
                <w:rtl/>
              </w:rPr>
              <w:t xml:space="preserve"> - </w:t>
            </w:r>
            <w:r w:rsidRPr="005D642E">
              <w:rPr>
                <w:rtl/>
              </w:rPr>
              <w:t>« إذا توضّأ »</w:t>
            </w:r>
            <w:r>
              <w:rPr>
                <w:rtl/>
              </w:rPr>
              <w:t>.</w:t>
            </w:r>
          </w:p>
        </w:tc>
        <w:tc>
          <w:tcPr>
            <w:tcW w:w="4006" w:type="dxa"/>
          </w:tcPr>
          <w:p w:rsidR="00BE3CB8" w:rsidRDefault="00BE3CB8" w:rsidP="00E3253D">
            <w:pPr>
              <w:pStyle w:val="libFootnote0"/>
              <w:rPr>
                <w:rStyle w:val="libFootnote0Char"/>
                <w:rtl/>
              </w:rPr>
            </w:pPr>
            <w:r w:rsidRPr="0042621E">
              <w:rPr>
                <w:rStyle w:val="libFootnote0Char"/>
                <w:rtl/>
              </w:rPr>
              <w:t>(8).</w:t>
            </w:r>
            <w:r w:rsidRPr="005D642E">
              <w:rPr>
                <w:rtl/>
              </w:rPr>
              <w:t xml:space="preserve"> في « جن » : « لا يدخل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85 ، ح 222 ، بسنده عن الكليني. </w:t>
      </w:r>
      <w:r w:rsidR="00E3253D" w:rsidRPr="002F4D34">
        <w:rPr>
          <w:rStyle w:val="libFootnoteBoldChar"/>
          <w:rtl/>
        </w:rPr>
        <w:t>وفيه</w:t>
      </w:r>
      <w:r w:rsidR="00E3253D" w:rsidRPr="005D642E">
        <w:rPr>
          <w:rtl/>
        </w:rPr>
        <w:t xml:space="preserve"> ، ح 221 ، بسنده عن محمّد بن أحمد بن يحيى ، عن العمركي ، من قوله : « عن الخاتم الضيّق »</w:t>
      </w:r>
      <w:r w:rsidR="00E3253D">
        <w:rPr>
          <w:rtl/>
        </w:rPr>
        <w:t>.</w:t>
      </w:r>
      <w:r w:rsidR="00E3253D" w:rsidRPr="005D642E">
        <w:rPr>
          <w:rtl/>
        </w:rPr>
        <w:t xml:space="preserve"> </w:t>
      </w:r>
      <w:r w:rsidR="00E3253D" w:rsidRPr="002F4D34">
        <w:rPr>
          <w:rStyle w:val="libFootnoteBoldChar"/>
          <w:rtl/>
        </w:rPr>
        <w:t>قرب الإسناد</w:t>
      </w:r>
      <w:r w:rsidR="00E3253D" w:rsidRPr="005D642E">
        <w:rPr>
          <w:rtl/>
        </w:rPr>
        <w:t xml:space="preserve"> ، ص 176 ، ح 645 ، عن عبدالله بن الحسن العلوي ، عن جدّه عليّ بن جعفر ، إلى قوله : « حتّى يدخل الماء تحته أو تنزعه » </w:t>
      </w:r>
      <w:r w:rsidR="00733774">
        <w:rPr>
          <w:rFonts w:hint="cs"/>
          <w:rtl/>
        </w:rPr>
        <w:t>.</w:t>
      </w:r>
      <w:r w:rsidR="00E3253D" w:rsidRPr="002F4D34">
        <w:rPr>
          <w:rStyle w:val="libFootnoteBoldChar"/>
          <w:rtl/>
        </w:rPr>
        <w:t>الوافي</w:t>
      </w:r>
      <w:r w:rsidR="00E3253D" w:rsidRPr="005D642E">
        <w:rPr>
          <w:rtl/>
        </w:rPr>
        <w:t xml:space="preserve"> ، ج 6 ، ص 280 ، ح 4293 ؛ </w:t>
      </w:r>
      <w:r w:rsidR="00E3253D" w:rsidRPr="002F4D34">
        <w:rPr>
          <w:rStyle w:val="libFootnoteBoldChar"/>
          <w:rtl/>
        </w:rPr>
        <w:t>الوسائل</w:t>
      </w:r>
      <w:r w:rsidR="00E3253D" w:rsidRPr="005D642E">
        <w:rPr>
          <w:rtl/>
        </w:rPr>
        <w:t xml:space="preserve"> ، ج 1 ، ص 467 ، ح 1240.</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 ظ ، بف »</w:t>
      </w:r>
      <w:r w:rsidR="00E3253D">
        <w:rPr>
          <w:rtl/>
        </w:rPr>
        <w:t>.</w:t>
      </w:r>
      <w:r w:rsidR="00E3253D" w:rsidRPr="005D642E">
        <w:rPr>
          <w:rtl/>
        </w:rPr>
        <w:t xml:space="preserve"> وفي « ى ، بث ، بح ، بخ ، بس ، جح ، جس ، جن » والمطبوع : « أبي داود »</w:t>
      </w:r>
      <w:r w:rsidR="00E3253D">
        <w:rPr>
          <w:rtl/>
        </w:rPr>
        <w:t>.</w:t>
      </w:r>
      <w:r w:rsidR="00E3253D" w:rsidRPr="005D642E">
        <w:rPr>
          <w:rtl/>
        </w:rPr>
        <w:t xml:space="preserve"> والضواب ما</w:t>
      </w:r>
      <w:r w:rsidR="00E3253D">
        <w:rPr>
          <w:rFonts w:hint="cs"/>
          <w:rtl/>
        </w:rPr>
        <w:t xml:space="preserve"> </w:t>
      </w:r>
      <w:r w:rsidR="00E3253D" w:rsidRPr="005D642E">
        <w:rPr>
          <w:rtl/>
        </w:rPr>
        <w:t xml:space="preserve">أثبتناه كما تقدّم في </w:t>
      </w:r>
      <w:r w:rsidR="00E3253D" w:rsidRPr="002F4D34">
        <w:rPr>
          <w:rStyle w:val="libFootnoteBoldChar"/>
          <w:rtl/>
        </w:rPr>
        <w:t>الكافي</w:t>
      </w:r>
      <w:r w:rsidR="00E3253D" w:rsidRPr="005D642E">
        <w:rPr>
          <w:rtl/>
        </w:rPr>
        <w:t xml:space="preserve"> ، ذيل ح 3840.</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149 ، ح 424 ؛ </w:t>
      </w:r>
      <w:r w:rsidR="00E3253D" w:rsidRPr="00E678B5">
        <w:rPr>
          <w:rStyle w:val="libFootnoteBoldChar"/>
          <w:rtl/>
        </w:rPr>
        <w:t>والاستبصار</w:t>
      </w:r>
      <w:r w:rsidR="00E3253D" w:rsidRPr="005D642E">
        <w:rPr>
          <w:rtl/>
        </w:rPr>
        <w:t xml:space="preserve"> ، ج 1 ، ص 125 ، ح 425 ؛ </w:t>
      </w:r>
      <w:r w:rsidR="00E3253D" w:rsidRPr="00B04BBB">
        <w:rPr>
          <w:rtl/>
        </w:rPr>
        <w:t>و</w:t>
      </w:r>
      <w:r w:rsidR="00E3253D" w:rsidRPr="002F4D34">
        <w:rPr>
          <w:rStyle w:val="libFootnoteBoldChar"/>
          <w:rtl/>
        </w:rPr>
        <w:t>مسائل عليّ بن جعفر</w:t>
      </w:r>
      <w:r w:rsidR="00E3253D" w:rsidRPr="005D642E">
        <w:rPr>
          <w:rtl/>
        </w:rPr>
        <w:t xml:space="preserve"> </w:t>
      </w:r>
      <w:r w:rsidR="00E3253D" w:rsidRPr="00733774">
        <w:rPr>
          <w:rStyle w:val="libFootnoteAlaemChar"/>
          <w:rtl/>
        </w:rPr>
        <w:t>عليه‌السلام</w:t>
      </w:r>
      <w:r w:rsidR="00E3253D" w:rsidRPr="005D642E">
        <w:rPr>
          <w:rtl/>
        </w:rPr>
        <w:t xml:space="preserve"> ، ص 183 ؛ </w:t>
      </w:r>
      <w:r w:rsidR="00E3253D" w:rsidRPr="003B3913">
        <w:rPr>
          <w:rStyle w:val="libFootnoteBoldChar"/>
          <w:rtl/>
        </w:rPr>
        <w:t>وقرب الإسناد</w:t>
      </w:r>
      <w:r w:rsidR="00E3253D" w:rsidRPr="005D642E">
        <w:rPr>
          <w:rtl/>
        </w:rPr>
        <w:t xml:space="preserve"> ، ص 182 ، ح 672 ؛ </w:t>
      </w:r>
      <w:r w:rsidR="00E3253D" w:rsidRPr="002F4D34">
        <w:rPr>
          <w:rStyle w:val="libFootnoteBoldChar"/>
          <w:rtl/>
        </w:rPr>
        <w:t>الفقيه</w:t>
      </w:r>
      <w:r w:rsidR="00E3253D" w:rsidRPr="005D642E">
        <w:rPr>
          <w:rtl/>
        </w:rPr>
        <w:t xml:space="preserve"> ، ج 1 ، ص 20 ، ح 27 بسند آخر عن موسى بن جعفر </w:t>
      </w:r>
      <w:r w:rsidR="00E3253D" w:rsidRPr="00733774">
        <w:rPr>
          <w:rStyle w:val="libFootnoteAlaemChar"/>
          <w:rtl/>
        </w:rPr>
        <w:t>عليه‌السلام</w:t>
      </w:r>
      <w:r w:rsidR="00E3253D" w:rsidRPr="005D642E">
        <w:rPr>
          <w:rtl/>
        </w:rPr>
        <w:t xml:space="preserve">. </w:t>
      </w:r>
      <w:r w:rsidR="000D749A" w:rsidRPr="000D749A">
        <w:rPr>
          <w:rStyle w:val="libFootnoteBoldChar"/>
          <w:rtl/>
        </w:rPr>
        <w:t>الأمالي للصدوق</w:t>
      </w:r>
      <w:r w:rsidR="00E3253D" w:rsidRPr="005D642E">
        <w:rPr>
          <w:rtl/>
        </w:rPr>
        <w:t xml:space="preserve"> ، ص 647 ، المجلس 93 ، ضمن إملاء الصدوق في وصف دين الإماميّة على وجه الإيجاز </w:t>
      </w:r>
      <w:r w:rsidR="00733774">
        <w:rPr>
          <w:rFonts w:hint="cs"/>
          <w:rtl/>
        </w:rPr>
        <w:t>=</w:t>
      </w:r>
    </w:p>
    <w:p w:rsidR="00E3253D" w:rsidRDefault="00E3253D" w:rsidP="00E3253D">
      <w:pPr>
        <w:pStyle w:val="libNormal"/>
        <w:rPr>
          <w:rtl/>
          <w:lang w:bidi="fa-IR"/>
        </w:rPr>
      </w:pPr>
      <w:r>
        <w:rPr>
          <w:rtl/>
          <w:lang w:bidi="fa-IR"/>
        </w:rPr>
        <w:br w:type="page"/>
      </w:r>
    </w:p>
    <w:p w:rsidR="00026384" w:rsidRDefault="00E3253D" w:rsidP="00026384">
      <w:pPr>
        <w:pStyle w:val="libNormal"/>
        <w:rPr>
          <w:rtl/>
          <w:lang w:bidi="fa-IR"/>
        </w:rPr>
      </w:pPr>
      <w:r w:rsidRPr="00B04BBB">
        <w:rPr>
          <w:rtl/>
        </w:rPr>
        <w:lastRenderedPageBreak/>
        <w:t>4012</w:t>
      </w:r>
      <w:r w:rsidRPr="00246318">
        <w:rPr>
          <w:rStyle w:val="libBold2Char"/>
          <w:rtl/>
        </w:rPr>
        <w:t xml:space="preserve"> / 8.</w:t>
      </w:r>
      <w:r w:rsidRPr="005D642E">
        <w:rPr>
          <w:rtl/>
          <w:lang w:bidi="fa-IR"/>
        </w:rPr>
        <w:t xml:space="preserve"> عَلِيُّ بْنُ إِبْرَاهِيمَ ، عَنْ أَبِيهِ ؛</w:t>
      </w:r>
    </w:p>
    <w:p w:rsidR="00E3253D" w:rsidRPr="005D642E" w:rsidRDefault="00026384" w:rsidP="00026384">
      <w:pPr>
        <w:pStyle w:val="libNormal"/>
        <w:rPr>
          <w:rtl/>
          <w:lang w:bidi="fa-IR"/>
        </w:rPr>
      </w:pPr>
      <w:r>
        <w:rPr>
          <w:rFonts w:hint="cs"/>
          <w:rtl/>
          <w:lang w:bidi="fa-IR"/>
        </w:rPr>
        <w:t xml:space="preserve">              </w:t>
      </w:r>
      <w:r w:rsidR="00E3253D" w:rsidRPr="005D642E">
        <w:rPr>
          <w:rtl/>
          <w:lang w:bidi="fa-IR"/>
        </w:rPr>
        <w:t xml:space="preserve">وَمُحَمَّدُ بْنُ إِسْمَاعِيلَ ، عَنِ الْفَضْلِ بْنِ شَاذَانَ جَمِيعاً </w:t>
      </w:r>
      <w:r w:rsidR="00E3253D" w:rsidRPr="007C12DB">
        <w:rPr>
          <w:rStyle w:val="libFootnotenumChar"/>
          <w:rtl/>
        </w:rPr>
        <w:t>(1)</w:t>
      </w:r>
      <w:r w:rsidR="00E3253D" w:rsidRPr="005D642E">
        <w:rPr>
          <w:rtl/>
          <w:lang w:bidi="fa-IR"/>
        </w:rPr>
        <w:t xml:space="preserve"> ، عَنْ حَمَّادِ بْنِ عِيسى ، عَنْ إِبْرَاهِيمَ بْنِ عُمَرَ الْيَمَانِيِّ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عَلِيّاً </w:t>
      </w:r>
      <w:r w:rsidRPr="00AC51C5">
        <w:rPr>
          <w:rStyle w:val="libAlaemChar"/>
          <w:rtl/>
        </w:rPr>
        <w:t>عليه‌السلام</w:t>
      </w:r>
      <w:r w:rsidRPr="005D642E">
        <w:rPr>
          <w:rtl/>
          <w:lang w:bidi="fa-IR"/>
        </w:rPr>
        <w:t xml:space="preserve"> لَمْ يَرَ بَأْساً أَنْ يَغْسِلَ الْجُنُبُ رَأْسَهُ غُدْوَةً ، وَيَغْسِلَ سَائِرَ جَسَدِهِ عِنْدَ الصَّلَاةِ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04BBB">
        <w:rPr>
          <w:rtl/>
        </w:rPr>
        <w:t>4013</w:t>
      </w:r>
      <w:r w:rsidRPr="00246318">
        <w:rPr>
          <w:rStyle w:val="libBold2Char"/>
          <w:rtl/>
        </w:rPr>
        <w:t xml:space="preserve"> / 9.</w:t>
      </w:r>
      <w:r w:rsidRPr="005D642E">
        <w:rPr>
          <w:rtl/>
          <w:lang w:bidi="fa-IR"/>
        </w:rPr>
        <w:t xml:space="preserve"> عَلِيُّ بْنُ إِبْرَاهِيمَ ، عَنْ أَبِيهِ ، عَنْ حَمَّادٍ ، عَنْ حَرِيزٍ ، عَنْ زُرَارَةَ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اغْتَسَلَ مِنْ جَنَابَةٍ ، فَلَمْ يَغْسِلْ </w:t>
      </w:r>
      <w:r w:rsidRPr="007C12DB">
        <w:rPr>
          <w:rStyle w:val="libFootnotenumChar"/>
          <w:rtl/>
        </w:rPr>
        <w:t>(3)</w:t>
      </w:r>
      <w:r w:rsidRPr="005D642E">
        <w:rPr>
          <w:rtl/>
          <w:lang w:bidi="fa-IR"/>
        </w:rPr>
        <w:t xml:space="preserve"> رَأْسَهُ ، ثُمَّ بَدَا لَهُ أَنْ يَغْسِلَ رَأْسَهُ ، لَمْ يَجِدْ بُدّاً </w:t>
      </w:r>
      <w:r w:rsidRPr="007C12DB">
        <w:rPr>
          <w:rStyle w:val="libFootnotenumChar"/>
          <w:rtl/>
        </w:rPr>
        <w:t>(4)</w:t>
      </w:r>
      <w:r w:rsidRPr="005D642E">
        <w:rPr>
          <w:rtl/>
          <w:lang w:bidi="fa-IR"/>
        </w:rPr>
        <w:t xml:space="preserve"> مِنْ إِعَادَةِ الْغُسْلِ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B04BBB">
        <w:rPr>
          <w:rtl/>
        </w:rPr>
        <w:t>4014</w:t>
      </w:r>
      <w:r w:rsidRPr="00246318">
        <w:rPr>
          <w:rStyle w:val="libBold2Char"/>
          <w:rtl/>
        </w:rPr>
        <w:t xml:space="preserve"> / 10.</w:t>
      </w:r>
      <w:r w:rsidRPr="005D642E">
        <w:rPr>
          <w:rtl/>
          <w:lang w:bidi="fa-IR"/>
        </w:rPr>
        <w:t xml:space="preserve"> مُحَمَّدُ بْنُ يَحْيى ، عَنْ مُحَمَّدِ بْنِ الْحُسَيْنِ ، عَنْ حَمَّادٍ ، عَنْ بَكْرِ </w:t>
      </w:r>
      <w:r w:rsidRPr="007C12DB">
        <w:rPr>
          <w:rStyle w:val="libFootnotenumChar"/>
          <w:rtl/>
        </w:rPr>
        <w:t>(7)</w:t>
      </w:r>
      <w:r w:rsidRPr="005D642E">
        <w:rPr>
          <w:rtl/>
          <w:lang w:bidi="fa-IR"/>
        </w:rPr>
        <w:t xml:space="preserve"> بْنِ كَرِبٍ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يَ</w:t>
      </w:r>
      <w:r>
        <w:rPr>
          <w:rtl/>
          <w:lang w:bidi="fa-IR"/>
        </w:rPr>
        <w:t>غْتَسِلُ مِنَ الْجَنَابَةِ : أَ</w:t>
      </w:r>
      <w:r w:rsidRPr="005D642E">
        <w:rPr>
          <w:rtl/>
          <w:lang w:bidi="fa-IR"/>
        </w:rPr>
        <w:t>يَغْسِلُ رِجْلَيْهِ بَعْدَ الْغُسْلِ</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C80418" w:rsidP="00E3253D">
      <w:pPr>
        <w:pStyle w:val="libFootnote0"/>
        <w:rPr>
          <w:rtl/>
          <w:lang w:bidi="fa-IR"/>
        </w:rPr>
      </w:pPr>
      <w:r>
        <w:rPr>
          <w:rFonts w:hint="cs"/>
          <w:rtl/>
        </w:rPr>
        <w:t xml:space="preserve">= </w:t>
      </w:r>
      <w:r w:rsidR="00E3253D" w:rsidRPr="005D642E">
        <w:rPr>
          <w:rtl/>
        </w:rPr>
        <w:t xml:space="preserve">والاختصار ، وفي كلّ المصادر مع اختلاف يسير وزيادة </w:t>
      </w:r>
      <w:r w:rsidR="008231DE">
        <w:rPr>
          <w:rFonts w:hint="cs"/>
          <w:rtl/>
        </w:rPr>
        <w:t>.</w:t>
      </w:r>
      <w:r w:rsidR="00E3253D" w:rsidRPr="002F4D34">
        <w:rPr>
          <w:rStyle w:val="libFootnoteBoldChar"/>
          <w:rtl/>
        </w:rPr>
        <w:t>الوافي</w:t>
      </w:r>
      <w:r w:rsidR="00E3253D" w:rsidRPr="005D642E">
        <w:rPr>
          <w:rtl/>
        </w:rPr>
        <w:t xml:space="preserve"> ، ج 6 ، ص 521 ، ح 4838 ؛ </w:t>
      </w:r>
      <w:r w:rsidR="00E3253D" w:rsidRPr="002F4D34">
        <w:rPr>
          <w:rStyle w:val="libFootnoteBoldChar"/>
          <w:rtl/>
        </w:rPr>
        <w:t>الوسائل</w:t>
      </w:r>
      <w:r w:rsidR="00E3253D" w:rsidRPr="005D642E">
        <w:rPr>
          <w:rtl/>
        </w:rPr>
        <w:t xml:space="preserve"> ، ج 2 ، ص 232 ، ح 2026.</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ى ، بث ، بس ، جح » :</w:t>
      </w:r>
      <w:r w:rsidR="00E3253D">
        <w:rPr>
          <w:rtl/>
        </w:rPr>
        <w:t xml:space="preserve"> </w:t>
      </w:r>
      <w:r w:rsidR="007642BC">
        <w:rPr>
          <w:rtl/>
        </w:rPr>
        <w:t>-</w:t>
      </w:r>
      <w:r w:rsidR="00E3253D">
        <w:rPr>
          <w:rtl/>
        </w:rPr>
        <w:t xml:space="preserve"> </w:t>
      </w:r>
      <w:r w:rsidR="00E3253D" w:rsidRPr="005D642E">
        <w:rPr>
          <w:rtl/>
        </w:rPr>
        <w:t>« جميعاً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134 ، ح 372 ، معلّقاً عن الكليني </w:t>
      </w:r>
      <w:r w:rsidR="008231DE">
        <w:rPr>
          <w:rFonts w:hint="cs"/>
          <w:rtl/>
        </w:rPr>
        <w:t>.</w:t>
      </w:r>
      <w:r w:rsidR="00E3253D" w:rsidRPr="002F4D34">
        <w:rPr>
          <w:rStyle w:val="libFootnoteBoldChar"/>
          <w:rtl/>
        </w:rPr>
        <w:t>الوافي</w:t>
      </w:r>
      <w:r w:rsidR="00E3253D" w:rsidRPr="005D642E">
        <w:rPr>
          <w:rtl/>
        </w:rPr>
        <w:t xml:space="preserve"> ، ج 6 ، ص 518 ، ح 4832 ؛ </w:t>
      </w:r>
      <w:r w:rsidR="00E3253D" w:rsidRPr="002F4D34">
        <w:rPr>
          <w:rStyle w:val="libFootnoteBoldChar"/>
          <w:rtl/>
        </w:rPr>
        <w:t>الوسائل</w:t>
      </w:r>
      <w:r w:rsidR="00E3253D" w:rsidRPr="005D642E">
        <w:rPr>
          <w:rtl/>
        </w:rPr>
        <w:t xml:space="preserve"> ، ج 2 ، ص 238 ، ح 2038.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w:t>
      </w:r>
      <w:r w:rsidR="00E3253D" w:rsidRPr="00E678B5">
        <w:rPr>
          <w:rStyle w:val="libFootnoteBoldChar"/>
          <w:rtl/>
        </w:rPr>
        <w:t>والإستبصار</w:t>
      </w:r>
      <w:r w:rsidR="00E3253D" w:rsidRPr="005D642E">
        <w:rPr>
          <w:rtl/>
        </w:rPr>
        <w:t xml:space="preserve"> : « ولم يغسل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 + « له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قال في </w:t>
      </w:r>
      <w:r w:rsidR="00E3253D" w:rsidRPr="002F4D34">
        <w:rPr>
          <w:rStyle w:val="libFootnoteBoldChar"/>
          <w:rtl/>
        </w:rPr>
        <w:t>الوافي</w:t>
      </w:r>
      <w:r w:rsidR="00E3253D" w:rsidRPr="005D642E">
        <w:rPr>
          <w:rtl/>
        </w:rPr>
        <w:t xml:space="preserve"> : « هذا الخبر إنّما يدلّ على وجوب تقديم الرأس على سائر الجسد ، وأمّا تقديم اليمين على الشمال فلا ، وهو ممّا لا دليل عليه ، وإنّما القول به مجرّد شهرة بلا مستند »</w:t>
      </w:r>
      <w:r w:rsidR="00E3253D">
        <w:rPr>
          <w:rtl/>
        </w:rPr>
        <w:t>.</w:t>
      </w:r>
      <w:r w:rsidR="00E3253D" w:rsidRPr="005D642E">
        <w:rPr>
          <w:rtl/>
        </w:rPr>
        <w:t xml:space="preserve"> ثمّ ذكر تقديم الأيمن على الأيسر في بعض الروايات </w:t>
      </w:r>
      <w:r w:rsidR="008231DE">
        <w:rPr>
          <w:rtl/>
        </w:rPr>
        <w:t>وقال : « وليس ذلك إل</w:t>
      </w:r>
      <w:r w:rsidR="008231DE">
        <w:rPr>
          <w:rFonts w:hint="cs"/>
          <w:rtl/>
        </w:rPr>
        <w:t>ّ</w:t>
      </w:r>
      <w:r w:rsidR="008231DE">
        <w:rPr>
          <w:rtl/>
        </w:rPr>
        <w:t>ا</w:t>
      </w:r>
      <w:r w:rsidR="00E3253D">
        <w:rPr>
          <w:rFonts w:hint="cs"/>
          <w:rtl/>
        </w:rPr>
        <w:t xml:space="preserve"> </w:t>
      </w:r>
      <w:r w:rsidR="00E3253D" w:rsidRPr="005D642E">
        <w:rPr>
          <w:rtl/>
        </w:rPr>
        <w:t>التيامن المستحبّ في كلّ شي‌ء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133 ، ح 369 ؛ </w:t>
      </w:r>
      <w:r w:rsidR="00E3253D" w:rsidRPr="00E678B5">
        <w:rPr>
          <w:rStyle w:val="libFootnoteBoldChar"/>
          <w:rtl/>
        </w:rPr>
        <w:t>والاستبصار</w:t>
      </w:r>
      <w:r w:rsidR="00E3253D" w:rsidRPr="005D642E">
        <w:rPr>
          <w:rtl/>
        </w:rPr>
        <w:t xml:space="preserve"> ، ج 1 ، ص 124 ، ح 421 ، بسند آخر عن حمّاد بن عيسى ، عن حريز ، عن أبي عبدالله </w:t>
      </w:r>
      <w:r w:rsidR="00E3253D" w:rsidRPr="008231DE">
        <w:rPr>
          <w:rStyle w:val="libFootnoteAlaemChar"/>
          <w:rtl/>
        </w:rPr>
        <w:t>عليه‌السلام</w:t>
      </w:r>
      <w:r w:rsidR="00E3253D" w:rsidRPr="005D642E">
        <w:rPr>
          <w:rtl/>
        </w:rPr>
        <w:t xml:space="preserve"> </w:t>
      </w:r>
      <w:r w:rsidR="008231DE">
        <w:rPr>
          <w:rFonts w:hint="cs"/>
          <w:rtl/>
        </w:rPr>
        <w:t>.</w:t>
      </w:r>
      <w:r w:rsidR="00E3253D" w:rsidRPr="002F4D34">
        <w:rPr>
          <w:rStyle w:val="libFootnoteBoldChar"/>
          <w:rtl/>
        </w:rPr>
        <w:t>الوافي</w:t>
      </w:r>
      <w:r w:rsidR="00E3253D" w:rsidRPr="005D642E">
        <w:rPr>
          <w:rtl/>
        </w:rPr>
        <w:t xml:space="preserve"> ، ج 6 ، ص 517 ، ح 4831 ؛ </w:t>
      </w:r>
      <w:r w:rsidR="00E3253D" w:rsidRPr="002F4D34">
        <w:rPr>
          <w:rStyle w:val="libFootnoteBoldChar"/>
          <w:rtl/>
        </w:rPr>
        <w:t>الوسائل</w:t>
      </w:r>
      <w:r w:rsidR="00E3253D" w:rsidRPr="005D642E">
        <w:rPr>
          <w:rtl/>
        </w:rPr>
        <w:t xml:space="preserve"> ، ج 2 ، ص 235 ، ح 2032.</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بح ، بخ ، بس ، جح » وحاشية « ظ » : « بكير »</w:t>
      </w:r>
      <w:r w:rsidR="00E3253D">
        <w:rPr>
          <w:rtl/>
        </w:rPr>
        <w:t>.</w:t>
      </w:r>
      <w:r w:rsidR="00E3253D" w:rsidRPr="005D642E">
        <w:rPr>
          <w:rtl/>
        </w:rPr>
        <w:t xml:space="preserve"> والظاهر أنّ ابن كرب هذا ، هو بكر بن كرب الصيرفي الذي‌عدّه الشيخ الطوسي من أصحاب الصادق </w:t>
      </w:r>
      <w:r w:rsidR="00E3253D" w:rsidRPr="008231DE">
        <w:rPr>
          <w:rStyle w:val="libFootnoteAlaemChar"/>
          <w:rtl/>
        </w:rPr>
        <w:t>عليه‌السلام</w:t>
      </w:r>
      <w:r w:rsidR="00E3253D" w:rsidRPr="005D642E">
        <w:rPr>
          <w:rtl/>
        </w:rPr>
        <w:t xml:space="preserve">. راجع : </w:t>
      </w:r>
      <w:r w:rsidR="00E3253D" w:rsidRPr="002F4D34">
        <w:rPr>
          <w:rStyle w:val="libFootnoteBoldChar"/>
          <w:rtl/>
        </w:rPr>
        <w:t>رجال الطوسي</w:t>
      </w:r>
      <w:r w:rsidR="00E3253D" w:rsidRPr="005D642E">
        <w:rPr>
          <w:rtl/>
        </w:rPr>
        <w:t xml:space="preserve"> ، ص 170 ، الرقم 1978.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فَقَالَ : « إِنْ كَانَ يَغْتَسِلُ فِي </w:t>
      </w:r>
      <w:r w:rsidRPr="007C12DB">
        <w:rPr>
          <w:rStyle w:val="libFootnotenumChar"/>
          <w:rtl/>
        </w:rPr>
        <w:t>(1)</w:t>
      </w:r>
      <w:r w:rsidRPr="005D642E">
        <w:rPr>
          <w:rtl/>
          <w:lang w:bidi="fa-IR"/>
        </w:rPr>
        <w:t xml:space="preserve"> مَكَانٍ يَسِيلُ الْمَاءُ عَلى رِجْلَيْهِ بَعْدَ الْغُسْلِ </w:t>
      </w:r>
      <w:r w:rsidRPr="007C12DB">
        <w:rPr>
          <w:rStyle w:val="libFootnotenumChar"/>
          <w:rtl/>
        </w:rPr>
        <w:t>(2)</w:t>
      </w:r>
      <w:r w:rsidRPr="005D642E">
        <w:rPr>
          <w:rtl/>
          <w:lang w:bidi="fa-IR"/>
        </w:rPr>
        <w:t xml:space="preserve"> ، فَلَا عَلَيْهِ أَنْ يَغْسِلَهُمَا </w:t>
      </w:r>
      <w:r w:rsidRPr="007C12DB">
        <w:rPr>
          <w:rStyle w:val="libFootnotenumChar"/>
          <w:rtl/>
        </w:rPr>
        <w:t>(3)</w:t>
      </w:r>
      <w:r w:rsidRPr="005D642E">
        <w:rPr>
          <w:rtl/>
          <w:lang w:bidi="fa-IR"/>
        </w:rPr>
        <w:t xml:space="preserve"> ، وَإِنْ كَانَ يَغْتَسِلُ </w:t>
      </w:r>
      <w:r w:rsidRPr="007C12DB">
        <w:rPr>
          <w:rStyle w:val="libFootnotenumChar"/>
          <w:rtl/>
        </w:rPr>
        <w:t>(4)</w:t>
      </w:r>
      <w:r w:rsidRPr="005D642E">
        <w:rPr>
          <w:rtl/>
          <w:lang w:bidi="fa-IR"/>
        </w:rPr>
        <w:t xml:space="preserve"> فِي مَكَانٍ يَسْتَنْقِعُ </w:t>
      </w:r>
      <w:r w:rsidRPr="007C12DB">
        <w:rPr>
          <w:rStyle w:val="libFootnotenumChar"/>
          <w:rtl/>
        </w:rPr>
        <w:t>(5)</w:t>
      </w:r>
      <w:r w:rsidRPr="005D642E">
        <w:rPr>
          <w:rtl/>
          <w:lang w:bidi="fa-IR"/>
        </w:rPr>
        <w:t xml:space="preserve"> رِجْلَاهُ فِي الْمَاءِ ، فَلْيَغْسِلْهُمَا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B04BBB">
        <w:rPr>
          <w:rtl/>
        </w:rPr>
        <w:t>4015</w:t>
      </w:r>
      <w:r w:rsidRPr="00246318">
        <w:rPr>
          <w:rStyle w:val="libBold2Char"/>
          <w:rtl/>
        </w:rPr>
        <w:t xml:space="preserve"> / 11.</w:t>
      </w:r>
      <w:r w:rsidRPr="005D642E">
        <w:rPr>
          <w:rtl/>
          <w:lang w:bidi="fa-IR"/>
        </w:rPr>
        <w:t xml:space="preserve"> مُحَمَّدُ بْنُ يَحْيى ، عَنْ أَحْمَدَ بْنِ مُحَمَّدٍ ، عَنْ أَبِي يَحْيَى الْوَاسِطِيِّ ، عَنْ‌</w:t>
      </w:r>
      <w:r>
        <w:rPr>
          <w:rFonts w:hint="cs"/>
          <w:rtl/>
          <w:lang w:bidi="fa-IR"/>
        </w:rPr>
        <w:t xml:space="preserve"> </w:t>
      </w:r>
      <w:r w:rsidRPr="005D642E">
        <w:rPr>
          <w:rtl/>
          <w:lang w:bidi="fa-IR"/>
        </w:rPr>
        <w:t>هِشَامِ بْنِ سَالِمٍ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لَهُ : جُعِلْتُ فِدَاكَ ، أَغْتَسِلُ فِي الْكَنِيفِ الَّذِي يُبَالُ فِيهِ وَعَلَيَّ نَعْلٌ سِنْدِيَّةٌ</w:t>
      </w:r>
      <w:r>
        <w:rPr>
          <w:rtl/>
          <w:lang w:bidi="fa-IR"/>
        </w:rPr>
        <w:t>؟</w:t>
      </w:r>
    </w:p>
    <w:p w:rsidR="00E3253D" w:rsidRPr="005D642E" w:rsidRDefault="00E3253D" w:rsidP="00E3253D">
      <w:pPr>
        <w:pStyle w:val="libNormal"/>
        <w:rPr>
          <w:rtl/>
          <w:lang w:bidi="fa-IR"/>
        </w:rPr>
      </w:pPr>
      <w:r w:rsidRPr="005D642E">
        <w:rPr>
          <w:rtl/>
          <w:lang w:bidi="fa-IR"/>
        </w:rPr>
        <w:t>فَقَالَ : « إِنْ كَانَ الْمَاءُ الَّذِي يَسِيلُ مِنْ جَسَدِكَ يُصِيبُ أَسْفَلَ قَدَمَي</w:t>
      </w:r>
      <w:r w:rsidR="00365424">
        <w:rPr>
          <w:rtl/>
          <w:lang w:bidi="fa-IR"/>
        </w:rPr>
        <w:t>ْكَ ، فَلَا تَغْسِلْ قَدَمَيْكَ</w:t>
      </w:r>
      <w:r w:rsidRPr="005D642E">
        <w:rPr>
          <w:rtl/>
          <w:lang w:bidi="fa-IR"/>
        </w:rPr>
        <w:t>»</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B04BBB">
        <w:rPr>
          <w:rtl/>
        </w:rPr>
        <w:t>4016</w:t>
      </w:r>
      <w:r w:rsidRPr="00246318">
        <w:rPr>
          <w:rStyle w:val="libBold2Char"/>
          <w:rtl/>
        </w:rPr>
        <w:t xml:space="preserve"> / 12.</w:t>
      </w:r>
      <w:r w:rsidRPr="005D642E">
        <w:rPr>
          <w:rtl/>
          <w:lang w:bidi="fa-IR"/>
        </w:rPr>
        <w:t xml:space="preserve"> عِدَّةٌ مِنْ أَصْحَابِنَا ، عَنْ أَحْمَدَ بْنِ مُحَمَّدٍ ، عَنْ شَاذَانَ بْنِ الْخَلِيلِ ، عَنْ يُونُسَ ، عَنْ يَحْيَى بْنِ طَلْحَةَ ، عَنْ أَبِيهِ ، عَنْ عَبْدِ اللهِ بْنِ سُلَيْمَانَ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الْوُضُوءُ بَعْدَ الْغُسْلِ بِدْعَةٌ </w:t>
      </w:r>
      <w:r w:rsidRPr="007C12DB">
        <w:rPr>
          <w:rStyle w:val="libFootnotenumChar"/>
          <w:rtl/>
        </w:rPr>
        <w:t>(8)</w:t>
      </w:r>
      <w:r w:rsidRPr="005D642E">
        <w:rPr>
          <w:rtl/>
          <w:lang w:bidi="fa-IR"/>
        </w:rPr>
        <w:t xml:space="preserve">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وحاشية « بخ » : « من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جح وجس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بعد الغسل »</w:t>
      </w:r>
      <w:r w:rsidR="00E3253D">
        <w:rPr>
          <w:rtl/>
        </w:rPr>
        <w:t>.</w:t>
      </w:r>
    </w:p>
    <w:p w:rsidR="00E3253D" w:rsidRPr="005D642E" w:rsidRDefault="0042621E" w:rsidP="00E06BFB">
      <w:pPr>
        <w:pStyle w:val="libFootnote0"/>
        <w:rPr>
          <w:rtl/>
          <w:lang w:bidi="fa-IR"/>
        </w:rPr>
      </w:pPr>
      <w:r w:rsidRPr="0042621E">
        <w:rPr>
          <w:rStyle w:val="libFootnote0Char"/>
          <w:rtl/>
        </w:rPr>
        <w:t>(3).</w:t>
      </w:r>
      <w:r w:rsidR="00E3253D" w:rsidRPr="005D642E">
        <w:rPr>
          <w:rtl/>
        </w:rPr>
        <w:t xml:space="preserve"> هكذا في « ظ ، جس » : وفي سائر النسخ والمطبوع </w:t>
      </w:r>
      <w:r w:rsidR="000D749A" w:rsidRPr="000D749A">
        <w:rPr>
          <w:rStyle w:val="libFootnoteBoldChar"/>
          <w:rtl/>
        </w:rPr>
        <w:t>والوافي</w:t>
      </w:r>
      <w:r w:rsidR="00E3253D" w:rsidRPr="005D642E">
        <w:rPr>
          <w:rtl/>
        </w:rPr>
        <w:t xml:space="preserve"> والوسائل : « أن لايغسلهما »</w:t>
      </w:r>
      <w:r w:rsidR="00E3253D">
        <w:rPr>
          <w:rtl/>
        </w:rPr>
        <w:t>.</w:t>
      </w:r>
      <w:r w:rsidR="00E3253D" w:rsidRPr="005D642E">
        <w:rPr>
          <w:rtl/>
        </w:rPr>
        <w:t xml:space="preserve"> وفي البحار </w:t>
      </w:r>
      <w:r w:rsidR="00B60612" w:rsidRPr="00B60612">
        <w:rPr>
          <w:rStyle w:val="libFootnoteBoldChar"/>
          <w:rtl/>
        </w:rPr>
        <w:t>والتهذيب</w:t>
      </w:r>
      <w:r w:rsidR="00E3253D" w:rsidRPr="005D642E">
        <w:rPr>
          <w:rtl/>
        </w:rPr>
        <w:t xml:space="preserve"> : « إن لم يغسلهما »</w:t>
      </w:r>
      <w:r w:rsidR="00E3253D">
        <w:rPr>
          <w:rtl/>
        </w:rPr>
        <w:t>.</w:t>
      </w:r>
      <w:r w:rsidR="00E06BFB">
        <w:rPr>
          <w:rFonts w:hint="cs"/>
          <w:rtl/>
        </w:rPr>
        <w:t xml:space="preserve">                               </w:t>
      </w:r>
      <w:r w:rsidRPr="0042621E">
        <w:rPr>
          <w:rStyle w:val="libFootnote0Char"/>
          <w:rtl/>
        </w:rPr>
        <w:t>(4).</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يغتسل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جح » </w:t>
      </w:r>
      <w:r w:rsidR="00B60612" w:rsidRPr="00B60612">
        <w:rPr>
          <w:rStyle w:val="libFootnoteBoldChar"/>
          <w:rtl/>
        </w:rPr>
        <w:t>والتهذيب</w:t>
      </w:r>
      <w:r w:rsidR="00E3253D" w:rsidRPr="005D642E">
        <w:rPr>
          <w:rtl/>
        </w:rPr>
        <w:t xml:space="preserve"> : « تستنقع »</w:t>
      </w:r>
      <w:r w:rsidR="00E3253D">
        <w:rPr>
          <w:rtl/>
        </w:rPr>
        <w:t>.</w:t>
      </w:r>
      <w:r w:rsidR="00E3253D" w:rsidRPr="005D642E">
        <w:rPr>
          <w:rtl/>
        </w:rPr>
        <w:t xml:space="preserve"> وقوله : « يستنقع رجلاه » ، أي ثبتا ، يقال : استنقع في الماء : إذا ثبت فيه يتبرّد. راجع : </w:t>
      </w:r>
      <w:r w:rsidR="00E3253D" w:rsidRPr="002F4D34">
        <w:rPr>
          <w:rStyle w:val="libFootnoteBoldChar"/>
          <w:rtl/>
        </w:rPr>
        <w:t>الصحاح</w:t>
      </w:r>
      <w:r w:rsidR="00E3253D" w:rsidRPr="005D642E">
        <w:rPr>
          <w:rtl/>
        </w:rPr>
        <w:t xml:space="preserve"> ، ج 3 ، ص 1294 ؛ </w:t>
      </w:r>
      <w:r w:rsidR="00E3253D" w:rsidRPr="002F4D34">
        <w:rPr>
          <w:rStyle w:val="libFootnoteBoldChar"/>
          <w:rtl/>
        </w:rPr>
        <w:t>لسان العرب</w:t>
      </w:r>
      <w:r w:rsidR="00E3253D" w:rsidRPr="005D642E">
        <w:rPr>
          <w:rtl/>
        </w:rPr>
        <w:t xml:space="preserve"> ، ج 8 ، ص 360 ( نقع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132 ، ح 366 ، معلّقاً عن الكليني </w:t>
      </w:r>
      <w:r w:rsidR="00E06BFB">
        <w:rPr>
          <w:rFonts w:hint="cs"/>
          <w:rtl/>
        </w:rPr>
        <w:t>.</w:t>
      </w:r>
      <w:r w:rsidR="00E3253D" w:rsidRPr="002F4D34">
        <w:rPr>
          <w:rStyle w:val="libFootnoteBoldChar"/>
          <w:rtl/>
        </w:rPr>
        <w:t>الوافي</w:t>
      </w:r>
      <w:r w:rsidR="00E3253D" w:rsidRPr="005D642E">
        <w:rPr>
          <w:rtl/>
        </w:rPr>
        <w:t xml:space="preserve"> ، ج 6 ، ص 506 ، ح 4800 ؛ </w:t>
      </w:r>
      <w:r w:rsidR="00E3253D" w:rsidRPr="002F4D34">
        <w:rPr>
          <w:rStyle w:val="libFootnoteBoldChar"/>
          <w:rtl/>
        </w:rPr>
        <w:t>الوسائل</w:t>
      </w:r>
      <w:r w:rsidR="00E3253D" w:rsidRPr="005D642E">
        <w:rPr>
          <w:rtl/>
        </w:rPr>
        <w:t xml:space="preserve"> ، ج 2 ، ص 234 ، ح 2031 ؛ </w:t>
      </w:r>
      <w:r w:rsidR="00E3253D" w:rsidRPr="002F4D34">
        <w:rPr>
          <w:rStyle w:val="libFootnoteBoldChar"/>
          <w:rtl/>
        </w:rPr>
        <w:t>البحار</w:t>
      </w:r>
      <w:r w:rsidR="00E3253D" w:rsidRPr="005D642E">
        <w:rPr>
          <w:rtl/>
        </w:rPr>
        <w:t xml:space="preserve"> ، ج 81 ، ص 55 ، ذيل ح 23.</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133 ، ح 367 ، معلّقاً عن أحمد بن محمّد. </w:t>
      </w:r>
      <w:r w:rsidR="00E3253D" w:rsidRPr="002F4D34">
        <w:rPr>
          <w:rStyle w:val="libFootnoteBoldChar"/>
          <w:rtl/>
        </w:rPr>
        <w:t>الفقيه</w:t>
      </w:r>
      <w:r w:rsidR="00E3253D" w:rsidRPr="005D642E">
        <w:rPr>
          <w:rtl/>
        </w:rPr>
        <w:t xml:space="preserve"> ، ج 1 ، ص 27 ، ح 53 ، معلّقاً عن هشام بن سالم ، مع اختلاف يسير </w:t>
      </w:r>
      <w:r w:rsidR="00E06BFB">
        <w:rPr>
          <w:rFonts w:hint="cs"/>
          <w:rtl/>
        </w:rPr>
        <w:t>.</w:t>
      </w:r>
      <w:r w:rsidR="00E3253D" w:rsidRPr="002F4D34">
        <w:rPr>
          <w:rStyle w:val="libFootnoteBoldChar"/>
          <w:rtl/>
        </w:rPr>
        <w:t>الوافي</w:t>
      </w:r>
      <w:r w:rsidR="00E3253D" w:rsidRPr="005D642E">
        <w:rPr>
          <w:rtl/>
        </w:rPr>
        <w:t xml:space="preserve"> ، ج 6 ، ص 506 ، ح 4801 ؛ </w:t>
      </w:r>
      <w:r w:rsidR="00E3253D" w:rsidRPr="002F4D34">
        <w:rPr>
          <w:rStyle w:val="libFootnoteBoldChar"/>
          <w:rtl/>
        </w:rPr>
        <w:t>الوسائل</w:t>
      </w:r>
      <w:r w:rsidR="00E3253D" w:rsidRPr="005D642E">
        <w:rPr>
          <w:rtl/>
        </w:rPr>
        <w:t xml:space="preserve"> ، ج 2 ، ص 234 ، ذيل ح 2030.</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ج 13 ، ص 137 : « قوله </w:t>
      </w:r>
      <w:r w:rsidR="00E3253D" w:rsidRPr="00E06BFB">
        <w:rPr>
          <w:rStyle w:val="libFootnoteAlaemChar"/>
          <w:rtl/>
        </w:rPr>
        <w:t>عليه‌السلام</w:t>
      </w:r>
      <w:r w:rsidR="00E3253D" w:rsidRPr="005D642E">
        <w:rPr>
          <w:rtl/>
        </w:rPr>
        <w:t xml:space="preserve"> : بدعة ، ظاهره أنّ البدعة باعتبار البعديّة ، ومنهم من حمل على غسل الجنابة ولا حاجة إليه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140 ، ح 395 ، معلّقاً عن أحمد بن محمّد. </w:t>
      </w:r>
      <w:r w:rsidR="00E3253D" w:rsidRPr="002F4D34">
        <w:rPr>
          <w:rStyle w:val="libFootnoteBoldChar"/>
          <w:rtl/>
        </w:rPr>
        <w:t>وفيه</w:t>
      </w:r>
      <w:r w:rsidR="00E3253D" w:rsidRPr="005D642E">
        <w:rPr>
          <w:rtl/>
        </w:rPr>
        <w:t xml:space="preserve"> ، ح 396 ، بسند آخر عن أبي جعفر </w:t>
      </w:r>
      <w:r w:rsidR="00E3253D" w:rsidRPr="00E06BFB">
        <w:rPr>
          <w:rStyle w:val="libFootnoteAlaemChar"/>
          <w:rtl/>
        </w:rPr>
        <w:t>عليه‌السلام</w:t>
      </w:r>
      <w:r w:rsidR="00E3253D" w:rsidRPr="005D642E">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46A35">
        <w:rPr>
          <w:rtl/>
        </w:rPr>
        <w:lastRenderedPageBreak/>
        <w:t>4017</w:t>
      </w:r>
      <w:r w:rsidRPr="00246318">
        <w:rPr>
          <w:rStyle w:val="libBold2Char"/>
          <w:rtl/>
        </w:rPr>
        <w:t xml:space="preserve"> / 13.</w:t>
      </w:r>
      <w:r w:rsidRPr="005D642E">
        <w:rPr>
          <w:rtl/>
          <w:lang w:bidi="fa-IR"/>
        </w:rPr>
        <w:t xml:space="preserve"> مُحَمَّدُ بْنُ يَحْيى وَغَيْرُهُ ، </w:t>
      </w:r>
      <w:r w:rsidRPr="007C12DB">
        <w:rPr>
          <w:rStyle w:val="libFootnotenumChar"/>
          <w:rtl/>
        </w:rPr>
        <w:t>(1)</w:t>
      </w:r>
      <w:r w:rsidRPr="005D642E">
        <w:rPr>
          <w:rtl/>
          <w:lang w:bidi="fa-IR"/>
        </w:rPr>
        <w:t xml:space="preserve"> عَنْ مُحَمَّدِ بْنِ أَحْمَدَ ، عَنْ يَعْقُوبَ بْنِ يَزِيدَ ، عَنِ ابْنِ أَبِي عُمَيْرٍ ، عَنْ رَجُلٍ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كُلُّ غُسْلٍ قَبْلَهُ </w:t>
      </w:r>
      <w:r w:rsidRPr="007C12DB">
        <w:rPr>
          <w:rStyle w:val="libFootnotenumChar"/>
          <w:rtl/>
        </w:rPr>
        <w:t>(2)</w:t>
      </w:r>
      <w:r w:rsidRPr="005D642E">
        <w:rPr>
          <w:rtl/>
          <w:lang w:bidi="fa-IR"/>
        </w:rPr>
        <w:t xml:space="preserve"> وُضُوءٌ </w:t>
      </w:r>
      <w:r w:rsidRPr="007C12DB">
        <w:rPr>
          <w:rStyle w:val="libFootnotenumChar"/>
          <w:rtl/>
        </w:rPr>
        <w:t>(3)</w:t>
      </w:r>
      <w:r w:rsidR="00E06BFB">
        <w:rPr>
          <w:rtl/>
          <w:lang w:bidi="fa-IR"/>
        </w:rPr>
        <w:t xml:space="preserve"> إِل</w:t>
      </w:r>
      <w:r w:rsidR="00E06BFB">
        <w:rPr>
          <w:rFonts w:hint="cs"/>
          <w:rtl/>
          <w:lang w:bidi="fa-IR"/>
        </w:rPr>
        <w:t>َّ</w:t>
      </w:r>
      <w:r w:rsidR="00E06BFB">
        <w:rPr>
          <w:rtl/>
          <w:lang w:bidi="fa-IR"/>
        </w:rPr>
        <w:t>ا</w:t>
      </w:r>
      <w:r w:rsidRPr="005D642E">
        <w:rPr>
          <w:rtl/>
          <w:lang w:bidi="fa-IR"/>
        </w:rPr>
        <w:t xml:space="preserve"> غُسْلَ الْجَنَابَةِ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D46A35">
        <w:rPr>
          <w:rtl/>
        </w:rPr>
        <w:t>4018</w:t>
      </w:r>
      <w:r w:rsidRPr="00246318">
        <w:rPr>
          <w:rStyle w:val="libBold2Char"/>
          <w:rtl/>
        </w:rPr>
        <w:t xml:space="preserve"> / 14.</w:t>
      </w:r>
      <w:r w:rsidRPr="005D642E">
        <w:rPr>
          <w:rtl/>
          <w:lang w:bidi="fa-IR"/>
        </w:rPr>
        <w:t xml:space="preserve"> وَرُوِيَ : « أَنَّهُ لَيْسَ شَيْ‌ءٌ مِن</w:t>
      </w:r>
      <w:r w:rsidR="00AA227B">
        <w:rPr>
          <w:rtl/>
          <w:lang w:bidi="fa-IR"/>
        </w:rPr>
        <w:t>َ الْغُسْلِ فِيهِ وُضُوءٌ إِل</w:t>
      </w:r>
      <w:r w:rsidR="00AA227B">
        <w:rPr>
          <w:rFonts w:hint="cs"/>
          <w:rtl/>
          <w:lang w:bidi="fa-IR"/>
        </w:rPr>
        <w:t>َّ</w:t>
      </w:r>
      <w:r w:rsidR="00AA227B">
        <w:rPr>
          <w:rtl/>
          <w:lang w:bidi="fa-IR"/>
        </w:rPr>
        <w:t>ا</w:t>
      </w:r>
      <w:r w:rsidRPr="005D642E">
        <w:rPr>
          <w:rtl/>
          <w:lang w:bidi="fa-IR"/>
        </w:rPr>
        <w:t xml:space="preserve"> غُسْلُ يَوْمِ الْجُمُعَةِ ؛ فَإِنَّ قَبْلَهُ وُضُوءاً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D46A35">
        <w:rPr>
          <w:rtl/>
        </w:rPr>
        <w:t>4019</w:t>
      </w:r>
      <w:r w:rsidRPr="00246318">
        <w:rPr>
          <w:rStyle w:val="libBold2Char"/>
          <w:rtl/>
        </w:rPr>
        <w:t xml:space="preserve"> / 15.</w:t>
      </w:r>
      <w:r w:rsidRPr="005D642E">
        <w:rPr>
          <w:rtl/>
          <w:lang w:bidi="fa-IR"/>
        </w:rPr>
        <w:t xml:space="preserve"> وَرُوِيَ : « أَيُّ وُضُوءٍ أَطْهَرُ مِنَ الْغُسْلِ</w:t>
      </w:r>
      <w:r>
        <w:rPr>
          <w:rtl/>
          <w:lang w:bidi="fa-IR"/>
        </w:rPr>
        <w:t>؟</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D46A35">
        <w:rPr>
          <w:rtl/>
        </w:rPr>
        <w:t>4020</w:t>
      </w:r>
      <w:r w:rsidRPr="00246318">
        <w:rPr>
          <w:rStyle w:val="libBold2Char"/>
          <w:rtl/>
        </w:rPr>
        <w:t xml:space="preserve"> / 16.</w:t>
      </w:r>
      <w:r w:rsidRPr="005D642E">
        <w:rPr>
          <w:rtl/>
          <w:lang w:bidi="fa-IR"/>
        </w:rPr>
        <w:t xml:space="preserve"> عِدَّةٌ مِنْ أَصْحَابِنَا ، عَنْ أَحْمَدَ بْنِ مُحَمَّدٍ ، عَنْ عَلِيِّ بْنِ الْحَكَمِ ، عَنِ الْحُسَيْنِ بْنِ أَبِي الْعَلَاءِ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الْخَاتَمِ إِذَا اغْتَسَلْتُ </w:t>
      </w:r>
      <w:r w:rsidRPr="007C12DB">
        <w:rPr>
          <w:rStyle w:val="libFootnotenumChar"/>
          <w:rtl/>
        </w:rPr>
        <w:t>(8)</w:t>
      </w:r>
      <w:r w:rsidRPr="005D642E">
        <w:rPr>
          <w:rtl/>
          <w:lang w:bidi="fa-IR"/>
        </w:rPr>
        <w:t xml:space="preserve"> ، قَالَ : « حَوِّلْهُ مِنْ مَكَانِهِ » وَقَالَ فِي‌</w:t>
      </w:r>
    </w:p>
    <w:p w:rsidR="00E3253D" w:rsidRPr="005D642E" w:rsidRDefault="00E3253D" w:rsidP="00E3253D">
      <w:pPr>
        <w:pStyle w:val="libLine"/>
        <w:rPr>
          <w:rtl/>
          <w:lang w:bidi="fa-IR"/>
        </w:rPr>
      </w:pPr>
      <w:r w:rsidRPr="005D642E">
        <w:rPr>
          <w:rtl/>
          <w:lang w:bidi="fa-IR"/>
        </w:rPr>
        <w:t>__________________</w:t>
      </w:r>
    </w:p>
    <w:p w:rsidR="00E3253D" w:rsidRPr="005D642E" w:rsidRDefault="00947D98" w:rsidP="00E3253D">
      <w:pPr>
        <w:pStyle w:val="libFootnote0"/>
        <w:rPr>
          <w:rtl/>
          <w:lang w:bidi="fa-IR"/>
        </w:rPr>
      </w:pPr>
      <w:r w:rsidRPr="00947D98">
        <w:rPr>
          <w:rFonts w:hint="cs"/>
          <w:rtl/>
        </w:rPr>
        <w:t>=</w:t>
      </w:r>
      <w:r w:rsidRPr="00225AEA">
        <w:rPr>
          <w:rFonts w:hint="cs"/>
          <w:rtl/>
        </w:rPr>
        <w:t xml:space="preserve"> </w:t>
      </w:r>
      <w:r w:rsidR="00E3253D" w:rsidRPr="002F4D34">
        <w:rPr>
          <w:rStyle w:val="libFootnoteBoldChar"/>
          <w:rtl/>
        </w:rPr>
        <w:t>وفيه</w:t>
      </w:r>
      <w:r w:rsidR="00E3253D" w:rsidRPr="005D642E">
        <w:rPr>
          <w:rtl/>
        </w:rPr>
        <w:t xml:space="preserve"> أيضاً ، ح 394 ؛ </w:t>
      </w:r>
      <w:r w:rsidR="00E3253D" w:rsidRPr="00E678B5">
        <w:rPr>
          <w:rStyle w:val="libFootnoteBoldChar"/>
          <w:rtl/>
        </w:rPr>
        <w:t>والاستبصار</w:t>
      </w:r>
      <w:r w:rsidR="00E3253D" w:rsidRPr="005D642E">
        <w:rPr>
          <w:rtl/>
        </w:rPr>
        <w:t xml:space="preserve"> ، ج 1 ، ص 126 ، ح 430 ، من دون الإسناد إلى المعصوم </w:t>
      </w:r>
      <w:r w:rsidR="00E3253D" w:rsidRPr="00225AEA">
        <w:rPr>
          <w:rStyle w:val="libFootnoteAlaemChar"/>
          <w:rtl/>
        </w:rPr>
        <w:t>عليه‌السلام</w:t>
      </w:r>
      <w:r w:rsidR="00E3253D" w:rsidRPr="005D642E">
        <w:rPr>
          <w:rtl/>
        </w:rPr>
        <w:t xml:space="preserve"> </w:t>
      </w:r>
      <w:r w:rsidR="00225AEA">
        <w:rPr>
          <w:rtl/>
        </w:rPr>
        <w:t>، هكذا</w:t>
      </w:r>
      <w:r w:rsidR="00E3253D" w:rsidRPr="005D642E">
        <w:rPr>
          <w:rtl/>
        </w:rPr>
        <w:t xml:space="preserve">: « الوضوء قبل الغسل وبعده بدعة » </w:t>
      </w:r>
      <w:r w:rsidR="00225AEA">
        <w:rPr>
          <w:rFonts w:hint="cs"/>
          <w:rtl/>
        </w:rPr>
        <w:t>.</w:t>
      </w:r>
      <w:r w:rsidR="00E3253D" w:rsidRPr="002F4D34">
        <w:rPr>
          <w:rStyle w:val="libFootnoteBoldChar"/>
          <w:rtl/>
        </w:rPr>
        <w:t>الوافي</w:t>
      </w:r>
      <w:r w:rsidR="00E3253D" w:rsidRPr="005D642E">
        <w:rPr>
          <w:rtl/>
        </w:rPr>
        <w:t xml:space="preserve"> ، ج 6 ، ص 527 ، ح 4853 ؛ </w:t>
      </w:r>
      <w:r w:rsidR="00E3253D" w:rsidRPr="002F4D34">
        <w:rPr>
          <w:rStyle w:val="libFootnoteBoldChar"/>
          <w:rtl/>
        </w:rPr>
        <w:t>الوسائل</w:t>
      </w:r>
      <w:r w:rsidR="00E3253D" w:rsidRPr="005D642E">
        <w:rPr>
          <w:rtl/>
        </w:rPr>
        <w:t xml:space="preserve"> ، ج 2 ، ص 245 ، ذيل ح 2060.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الاستبصار ، ص 126 :</w:t>
      </w:r>
      <w:r w:rsidR="00E3253D">
        <w:rPr>
          <w:rtl/>
        </w:rPr>
        <w:t xml:space="preserve"> </w:t>
      </w:r>
      <w:r w:rsidR="007642BC">
        <w:rPr>
          <w:rtl/>
        </w:rPr>
        <w:t>-</w:t>
      </w:r>
      <w:r w:rsidR="00E3253D">
        <w:rPr>
          <w:rtl/>
        </w:rPr>
        <w:t xml:space="preserve"> </w:t>
      </w:r>
      <w:r w:rsidR="00E3253D" w:rsidRPr="005D642E">
        <w:rPr>
          <w:rtl/>
        </w:rPr>
        <w:t>« وغيره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D46A35">
        <w:rPr>
          <w:rtl/>
        </w:rPr>
        <w:t>التهذيب</w:t>
      </w:r>
      <w:r w:rsidR="00E3253D" w:rsidRPr="005D642E">
        <w:rPr>
          <w:rtl/>
        </w:rPr>
        <w:t xml:space="preserve"> ، ص 143 وص 303 </w:t>
      </w:r>
      <w:r w:rsidR="00E3253D" w:rsidRPr="00E678B5">
        <w:rPr>
          <w:rStyle w:val="libFootnoteBoldChar"/>
          <w:rtl/>
        </w:rPr>
        <w:t>والاستبصار</w:t>
      </w:r>
      <w:r w:rsidR="00E3253D" w:rsidRPr="005D642E">
        <w:rPr>
          <w:rtl/>
        </w:rPr>
        <w:t xml:space="preserve"> ، ص 209 : « في كلّ غسل » بدل « كلّ غسل قبله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 « الوضوء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139 ، ح 391 ؛ </w:t>
      </w:r>
      <w:r w:rsidR="00E3253D" w:rsidRPr="00E678B5">
        <w:rPr>
          <w:rStyle w:val="libFootnoteBoldChar"/>
          <w:rtl/>
        </w:rPr>
        <w:t>والاستبصار</w:t>
      </w:r>
      <w:r w:rsidR="00E3253D" w:rsidRPr="005D642E">
        <w:rPr>
          <w:rtl/>
        </w:rPr>
        <w:t xml:space="preserve"> ، ج 1 ، ص 126 ، ح 428 ، بسندهما عن الكليني. وفي </w:t>
      </w:r>
      <w:r w:rsidR="00E3253D" w:rsidRPr="002F4D34">
        <w:rPr>
          <w:rStyle w:val="libFootnoteBoldChar"/>
          <w:rtl/>
        </w:rPr>
        <w:t>التهذيب</w:t>
      </w:r>
      <w:r w:rsidR="00E3253D" w:rsidRPr="005D642E">
        <w:rPr>
          <w:rtl/>
        </w:rPr>
        <w:t xml:space="preserve"> ، ج 1 ، ص 143 ، ح 94 ؛ وص 303 ، ح 881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209 ، ح 733 ، معلّقاً عن محمّد بن الحسن الصفّار ، عن يعقوب بن يزيد ، عن ابن أبي عمير ، عن حمّاد بن عثمان أو غيره ، عن أبي عبدالله </w:t>
      </w:r>
      <w:r w:rsidR="00E3253D" w:rsidRPr="00225AEA">
        <w:rPr>
          <w:rStyle w:val="libFootnoteAlaemChar"/>
          <w:rtl/>
        </w:rPr>
        <w:t>عليه‌السلام</w:t>
      </w:r>
      <w:r w:rsidR="00E3253D" w:rsidRPr="005D642E">
        <w:rPr>
          <w:rtl/>
        </w:rPr>
        <w:t xml:space="preserve">. وفي </w:t>
      </w:r>
      <w:r w:rsidR="00E3253D" w:rsidRPr="002F4D34">
        <w:rPr>
          <w:rStyle w:val="libFootnoteBoldChar"/>
          <w:rtl/>
        </w:rPr>
        <w:t>فقه الرضا</w:t>
      </w:r>
      <w:r w:rsidR="00E3253D" w:rsidRPr="005D642E">
        <w:rPr>
          <w:rtl/>
        </w:rPr>
        <w:t xml:space="preserve"> </w:t>
      </w:r>
      <w:r w:rsidR="00E3253D" w:rsidRPr="00225AEA">
        <w:rPr>
          <w:rStyle w:val="libFootnoteAlaemChar"/>
          <w:rtl/>
        </w:rPr>
        <w:t>عليه‌السلام</w:t>
      </w:r>
      <w:r w:rsidR="00E3253D" w:rsidRPr="005D642E">
        <w:rPr>
          <w:rtl/>
        </w:rPr>
        <w:t xml:space="preserve"> ، ص 81 ؛ و</w:t>
      </w:r>
      <w:r w:rsidR="000D749A" w:rsidRPr="000D749A">
        <w:rPr>
          <w:rStyle w:val="libFootnoteBoldChar"/>
          <w:rtl/>
        </w:rPr>
        <w:t>الأمالي للصدوق</w:t>
      </w:r>
      <w:r w:rsidR="00E3253D" w:rsidRPr="005D642E">
        <w:rPr>
          <w:rtl/>
        </w:rPr>
        <w:t xml:space="preserve"> ، ص 647 ، المجلس 93 ، ضمن إملاء الصدوق في وصف دين الإماميّة على الإيجاز والاختصار ، مع اختلاف يسير </w:t>
      </w:r>
      <w:r w:rsidR="00225AEA">
        <w:rPr>
          <w:rFonts w:hint="cs"/>
          <w:rtl/>
        </w:rPr>
        <w:t>.</w:t>
      </w:r>
      <w:r w:rsidR="00E3253D" w:rsidRPr="002F4D34">
        <w:rPr>
          <w:rStyle w:val="libFootnoteBoldChar"/>
          <w:rtl/>
        </w:rPr>
        <w:t>الوافي</w:t>
      </w:r>
      <w:r w:rsidR="00E3253D" w:rsidRPr="005D642E">
        <w:rPr>
          <w:rtl/>
        </w:rPr>
        <w:t xml:space="preserve"> ، ج 6 ، ص 529 ، ح 4863 ؛ </w:t>
      </w:r>
      <w:r w:rsidR="00E3253D" w:rsidRPr="002F4D34">
        <w:rPr>
          <w:rStyle w:val="libFootnoteBoldChar"/>
          <w:rtl/>
        </w:rPr>
        <w:t>الوسائل</w:t>
      </w:r>
      <w:r w:rsidR="00E3253D" w:rsidRPr="005D642E">
        <w:rPr>
          <w:rtl/>
        </w:rPr>
        <w:t xml:space="preserve"> ، ج 2 ، ص 248 ، ح 2072.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بث ، بس ، بف ، جح ، جس » : « وضوء »</w:t>
      </w:r>
      <w:r w:rsidR="00E3253D">
        <w:rPr>
          <w:rtl/>
        </w:rPr>
        <w:t>.</w:t>
      </w:r>
      <w:r w:rsidR="00E3253D" w:rsidRPr="005D642E">
        <w:rPr>
          <w:rtl/>
        </w:rPr>
        <w:t xml:space="preserve"> وفي « بح » : « وضوءه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6 ، ص 529 ، ح 4864 ؛ </w:t>
      </w:r>
      <w:r w:rsidR="00E3253D" w:rsidRPr="002F4D34">
        <w:rPr>
          <w:rStyle w:val="libFootnoteBoldChar"/>
          <w:rtl/>
        </w:rPr>
        <w:t>الوسائل</w:t>
      </w:r>
      <w:r w:rsidR="00E3253D" w:rsidRPr="005D642E">
        <w:rPr>
          <w:rtl/>
        </w:rPr>
        <w:t xml:space="preserve"> ، ج 2 ، ص 245 ، ح 2061.</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139 ، ح 390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126 ، ح 427 ، بسند آخر عن أبي جعفر </w:t>
      </w:r>
      <w:r w:rsidR="00E3253D" w:rsidRPr="00225AEA">
        <w:rPr>
          <w:rStyle w:val="libFootnoteAlaemChar"/>
          <w:rtl/>
        </w:rPr>
        <w:t>عليه‌السلام</w:t>
      </w:r>
      <w:r w:rsidR="00E3253D" w:rsidRPr="005D642E">
        <w:rPr>
          <w:rtl/>
        </w:rPr>
        <w:t xml:space="preserve">. وفي </w:t>
      </w:r>
      <w:r w:rsidR="00E3253D" w:rsidRPr="002F4D34">
        <w:rPr>
          <w:rStyle w:val="libFootnoteBoldChar"/>
          <w:rtl/>
        </w:rPr>
        <w:t>التهذيب</w:t>
      </w:r>
      <w:r w:rsidR="00E3253D" w:rsidRPr="005D642E">
        <w:rPr>
          <w:rtl/>
        </w:rPr>
        <w:t xml:space="preserve"> ، ج 1 ، ص 141 ، ح 399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127 ، ح 433 ، بسند آخر عن أبي عبدالله </w:t>
      </w:r>
      <w:r w:rsidR="00E3253D" w:rsidRPr="00225AEA">
        <w:rPr>
          <w:rStyle w:val="libFootnoteAlaemChar"/>
          <w:rtl/>
        </w:rPr>
        <w:t>عليه‌السلام</w:t>
      </w:r>
      <w:r w:rsidR="00E3253D" w:rsidRPr="005D642E">
        <w:rPr>
          <w:rtl/>
        </w:rPr>
        <w:t xml:space="preserve"> ، وفي كلّها مع زيادة في أوّله </w:t>
      </w:r>
      <w:r w:rsidR="00225AEA">
        <w:rPr>
          <w:rFonts w:hint="cs"/>
          <w:rtl/>
        </w:rPr>
        <w:t>.</w:t>
      </w:r>
      <w:r w:rsidR="00E3253D" w:rsidRPr="002F4D34">
        <w:rPr>
          <w:rStyle w:val="libFootnoteBoldChar"/>
          <w:rtl/>
        </w:rPr>
        <w:t>الوافي</w:t>
      </w:r>
      <w:r w:rsidR="00E3253D" w:rsidRPr="005D642E">
        <w:rPr>
          <w:rtl/>
        </w:rPr>
        <w:t xml:space="preserve"> ، ج 6 ، ص 530 ، ح 4865 ؛ </w:t>
      </w:r>
      <w:r w:rsidR="00E3253D" w:rsidRPr="002F4D34">
        <w:rPr>
          <w:rStyle w:val="libFootnoteBoldChar"/>
          <w:rtl/>
        </w:rPr>
        <w:t>الوسائل</w:t>
      </w:r>
      <w:r w:rsidR="00E3253D" w:rsidRPr="005D642E">
        <w:rPr>
          <w:rtl/>
        </w:rPr>
        <w:t xml:space="preserve"> ، ج 2 ، ص 245 ، ح 2062.</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 « اغتسل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الْوُضُوءِ : « تُدِيرُهُ ، وَإِنْ </w:t>
      </w:r>
      <w:r w:rsidRPr="007C12DB">
        <w:rPr>
          <w:rStyle w:val="libFootnotenumChar"/>
          <w:rtl/>
        </w:rPr>
        <w:t>(1)</w:t>
      </w:r>
      <w:r w:rsidRPr="005D642E">
        <w:rPr>
          <w:rtl/>
          <w:lang w:bidi="fa-IR"/>
        </w:rPr>
        <w:t xml:space="preserve"> نَسِيتَ حَتّى تَقُومَ فِي </w:t>
      </w:r>
      <w:r w:rsidRPr="007C12DB">
        <w:rPr>
          <w:rStyle w:val="libFootnotenumChar"/>
          <w:rtl/>
        </w:rPr>
        <w:t>(2)</w:t>
      </w:r>
      <w:r w:rsidRPr="005D642E">
        <w:rPr>
          <w:rtl/>
          <w:lang w:bidi="fa-IR"/>
        </w:rPr>
        <w:t xml:space="preserve"> الصَّلَاةِ ، فَلَا آمُرُكَ أَنْ تُعِيدَ الصَّلَاةَ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D46A35">
        <w:rPr>
          <w:rtl/>
        </w:rPr>
        <w:t>4021</w:t>
      </w:r>
      <w:r w:rsidRPr="00246318">
        <w:rPr>
          <w:rStyle w:val="libBold2Char"/>
          <w:rtl/>
        </w:rPr>
        <w:t xml:space="preserve"> / 17.</w:t>
      </w:r>
      <w:r w:rsidRPr="005D642E">
        <w:rPr>
          <w:rtl/>
          <w:lang w:bidi="fa-IR"/>
        </w:rPr>
        <w:t xml:space="preserve"> عِدَّةٌ مِنْ أَصْحَابِنَا ، عَنْ أَحْمَدَ بْنِ مُحَمَّدٍ ، عَنِ الْحُسَيْنِ بْنِ سَعِيدٍ ، عَنْ فَضَالَةَ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اغْتَسَلَ أَبِي مِنَ الْجَنَابَةِ ، فَقِيلَ لَهُ : قَدْ أَبْقَيْتَ لُمْعَةً </w:t>
      </w:r>
      <w:r w:rsidRPr="007C12DB">
        <w:rPr>
          <w:rStyle w:val="libFootnotenumChar"/>
          <w:rtl/>
        </w:rPr>
        <w:t>(4)</w:t>
      </w:r>
      <w:r w:rsidRPr="005D642E">
        <w:rPr>
          <w:rtl/>
          <w:lang w:bidi="fa-IR"/>
        </w:rPr>
        <w:t xml:space="preserve"> فِي ظَهْرِكَ لَمْ يُصِبْهَا الْمَاءُ ، فَقَالَ لَهُ </w:t>
      </w:r>
      <w:r w:rsidRPr="007C12DB">
        <w:rPr>
          <w:rStyle w:val="libFootnotenumChar"/>
          <w:rtl/>
        </w:rPr>
        <w:t>(5)</w:t>
      </w:r>
      <w:r w:rsidRPr="005D642E">
        <w:rPr>
          <w:rtl/>
          <w:lang w:bidi="fa-IR"/>
        </w:rPr>
        <w:t xml:space="preserve"> : مَا كَانَ عَلَيْكَ لَوْ سَكَتَّ ، ثُمَّ مَسَحَ تِلْكَ اللُّمْعَةَ بِيَدِهِ</w:t>
      </w:r>
      <w:r w:rsidRPr="007C12DB">
        <w:rPr>
          <w:rStyle w:val="libFootnotenumChar"/>
          <w:rtl/>
        </w:rPr>
        <w:t>(6)</w:t>
      </w:r>
      <w:r w:rsidRPr="005D642E">
        <w:rPr>
          <w:rtl/>
          <w:lang w:bidi="fa-IR"/>
        </w:rPr>
        <w:t>»</w:t>
      </w:r>
      <w:r>
        <w:rPr>
          <w:rtl/>
          <w:lang w:bidi="fa-IR"/>
        </w:rPr>
        <w:t>.</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D46A35">
        <w:rPr>
          <w:rtl/>
        </w:rPr>
        <w:t>4022</w:t>
      </w:r>
      <w:r w:rsidRPr="00246318">
        <w:rPr>
          <w:rStyle w:val="libBold2Char"/>
          <w:rtl/>
        </w:rPr>
        <w:t xml:space="preserve"> / 18.</w:t>
      </w:r>
      <w:r w:rsidRPr="005D642E">
        <w:rPr>
          <w:rtl/>
          <w:lang w:bidi="fa-IR"/>
        </w:rPr>
        <w:t xml:space="preserve"> عَلِيُّ بْنُ إِبْرَاهِيمَ ، عَنْ أَبِيهِ ، عَنْ عَبْدِ اللهِ بْنِ الْمُغِيرَةِ ، عَنِ ابْنِ مُسْكَانَ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بح ، جس ، جن » والوسائل : « فإن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الفقيه : « من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مسائل عليّ بن جعفر</w:t>
      </w:r>
      <w:r w:rsidR="00E3253D" w:rsidRPr="005D642E">
        <w:rPr>
          <w:rtl/>
        </w:rPr>
        <w:t xml:space="preserve"> ، ص 143 ، بسند آخر عن موسى بن جعفر </w:t>
      </w:r>
      <w:r w:rsidR="00E3253D" w:rsidRPr="00225AEA">
        <w:rPr>
          <w:rStyle w:val="libFootnoteAlaemChar"/>
          <w:rtl/>
        </w:rPr>
        <w:t>عليهما‌السلام</w:t>
      </w:r>
      <w:r w:rsidR="00E3253D" w:rsidRPr="005D642E">
        <w:rPr>
          <w:rtl/>
        </w:rPr>
        <w:t xml:space="preserve"> ، مع اختلاف يسير. </w:t>
      </w:r>
      <w:r w:rsidR="00E3253D" w:rsidRPr="002F4D34">
        <w:rPr>
          <w:rStyle w:val="libFootnoteBoldChar"/>
          <w:rtl/>
        </w:rPr>
        <w:t>الفقيه</w:t>
      </w:r>
      <w:r w:rsidR="00E3253D" w:rsidRPr="005D642E">
        <w:rPr>
          <w:rtl/>
        </w:rPr>
        <w:t xml:space="preserve"> ، ج 1 ، ص 51 ، ح 107 ، مرسلاً ، من قوله : « وإن نسيت حتّى تقوم »</w:t>
      </w:r>
      <w:r w:rsidR="00E3253D">
        <w:rPr>
          <w:rtl/>
        </w:rPr>
        <w:t>.</w:t>
      </w:r>
      <w:r w:rsidR="00E3253D" w:rsidRPr="005D642E">
        <w:rPr>
          <w:rtl/>
        </w:rPr>
        <w:t xml:space="preserve"> راجع : </w:t>
      </w:r>
      <w:r w:rsidR="00E3253D" w:rsidRPr="002F4D34">
        <w:rPr>
          <w:rStyle w:val="libFootnoteBoldChar"/>
          <w:rtl/>
        </w:rPr>
        <w:t>الفقيه</w:t>
      </w:r>
      <w:r w:rsidR="00E3253D" w:rsidRPr="005D642E">
        <w:rPr>
          <w:rtl/>
        </w:rPr>
        <w:t xml:space="preserve"> ، ج 1 ، ص 107 ، ذيل ح 106 </w:t>
      </w:r>
      <w:r w:rsidR="00225AEA">
        <w:rPr>
          <w:rFonts w:hint="cs"/>
          <w:rtl/>
        </w:rPr>
        <w:t>.</w:t>
      </w:r>
      <w:r w:rsidR="00E3253D" w:rsidRPr="002F4D34">
        <w:rPr>
          <w:rStyle w:val="libFootnoteBoldChar"/>
          <w:rtl/>
        </w:rPr>
        <w:t>الوافي</w:t>
      </w:r>
      <w:r w:rsidR="00E3253D" w:rsidRPr="005D642E">
        <w:rPr>
          <w:rtl/>
        </w:rPr>
        <w:t xml:space="preserve"> ، ج 6 ، ص 506 ، ح 4802 ؛ </w:t>
      </w:r>
      <w:r w:rsidR="00E3253D" w:rsidRPr="002F4D34">
        <w:rPr>
          <w:rStyle w:val="libFootnoteBoldChar"/>
          <w:rtl/>
        </w:rPr>
        <w:t>الوسائل</w:t>
      </w:r>
      <w:r w:rsidR="00E3253D" w:rsidRPr="005D642E">
        <w:rPr>
          <w:rtl/>
        </w:rPr>
        <w:t xml:space="preserve"> ، ج 1 ، ص 468 ، ح 1241.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لمعةً » أي بقعة يسيرة من جسده لم ينلها الماء ، واللمعة في الأصل قطعة من النبت إذا أخذت في اليبس. وقيل : هي القطعة من الأرض اليابسة العشب التي صارت بيضاء كأنّها تلمع وسط الخضرة ، استعيرت للموضع الذي لايصيبه الماء في الغسل والوضوء من الجسد ، حيث خالف ما حولها في بعض الصفات. راجع : </w:t>
      </w:r>
      <w:r w:rsidR="00E3253D" w:rsidRPr="002F4D34">
        <w:rPr>
          <w:rStyle w:val="libFootnoteBoldChar"/>
          <w:rtl/>
        </w:rPr>
        <w:t>النهاية</w:t>
      </w:r>
      <w:r w:rsidR="00E3253D" w:rsidRPr="005D642E">
        <w:rPr>
          <w:rtl/>
        </w:rPr>
        <w:t xml:space="preserve"> ، ج 4 ، ص 272 ؛ </w:t>
      </w:r>
      <w:r w:rsidR="00E3253D" w:rsidRPr="002F4D34">
        <w:rPr>
          <w:rStyle w:val="libFootnoteBoldChar"/>
          <w:rtl/>
        </w:rPr>
        <w:t>مجمع البحرين</w:t>
      </w:r>
      <w:r w:rsidR="00E3253D" w:rsidRPr="005D642E">
        <w:rPr>
          <w:rtl/>
        </w:rPr>
        <w:t xml:space="preserve"> ، ج 4 ، ص 388 ( لمع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له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ظاهر الحديث ينافي العصمة ؛ فإنّها لاتجامع السهو والنسيان قال في </w:t>
      </w:r>
      <w:r w:rsidR="00E3253D" w:rsidRPr="002F4D34">
        <w:rPr>
          <w:rStyle w:val="libFootnoteBoldChar"/>
          <w:rtl/>
        </w:rPr>
        <w:t>حبل المتين</w:t>
      </w:r>
      <w:r w:rsidR="00E3253D" w:rsidRPr="005D642E">
        <w:rPr>
          <w:rtl/>
        </w:rPr>
        <w:t xml:space="preserve"> ، ص 153 : « فلعلّ الإمام </w:t>
      </w:r>
      <w:r w:rsidR="00E3253D" w:rsidRPr="00225AEA">
        <w:rPr>
          <w:rStyle w:val="libFootnoteAlaemChar"/>
          <w:rtl/>
        </w:rPr>
        <w:t>عليه‌السلام</w:t>
      </w:r>
      <w:r w:rsidR="00E3253D" w:rsidRPr="005D642E">
        <w:rPr>
          <w:rtl/>
        </w:rPr>
        <w:t xml:space="preserve"> أبقى تلك اللمعة لغرض التعليم والتنبيه على عدم وجوب التنبيه المذكور بأكمل الوجوه وأبلغها. ويمكن أيضاً أن يكون ذلك القائل في نفس الأمر مخطئاً في ظنّه عدم إصابة الماء تلك اللمعة ويكون قول الإمام </w:t>
      </w:r>
      <w:r w:rsidR="00E3253D" w:rsidRPr="00225AEA">
        <w:rPr>
          <w:rStyle w:val="libFootnoteAlaemChar"/>
          <w:rtl/>
        </w:rPr>
        <w:t>عليه‌السلام</w:t>
      </w:r>
      <w:r w:rsidR="00E3253D" w:rsidRPr="005D642E">
        <w:rPr>
          <w:rtl/>
        </w:rPr>
        <w:t xml:space="preserve"> له : « ما عليك لو سكت » ومسحه </w:t>
      </w:r>
      <w:r w:rsidR="00E3253D" w:rsidRPr="00225AEA">
        <w:rPr>
          <w:rStyle w:val="libFootnoteAlaemChar"/>
          <w:rtl/>
        </w:rPr>
        <w:t>عليه‌السلام</w:t>
      </w:r>
      <w:r w:rsidR="00E3253D" w:rsidRPr="005D642E">
        <w:rPr>
          <w:rtl/>
        </w:rPr>
        <w:t xml:space="preserve"> إنّما صدر لمجرّد التعليم والتنبيه المذكورين ، والله تعالى أعلم بمقاصد أوليائه. ولعلّ اللمعة كانت من الجانب الأيسر فلم يفت الترتيب. والمسح في قول الراوي : ثمّ مسح تلك اللمعة بيده ، الظاهر أنّ المراد به ما كان معه جريان في الجملة ، وإطلاق المسح على مثل ذلك مجاز ؛ إذ الحقّ أنّ المسح والغسل حقيقتان متخالفتان لا يصدق شي‌ء منهما على شي‌ء من أفراد الآخر »</w:t>
      </w:r>
      <w:r w:rsidR="00E3253D">
        <w:rPr>
          <w:rtl/>
        </w:rPr>
        <w:t>.</w:t>
      </w:r>
      <w:r w:rsidR="00E3253D" w:rsidRPr="005D642E">
        <w:rPr>
          <w:rtl/>
        </w:rPr>
        <w:t xml:space="preserve"> وقيل غير ذلك من الوجوه وراجع أيضاً : </w:t>
      </w:r>
      <w:r w:rsidR="00E3253D" w:rsidRPr="002F4D34">
        <w:rPr>
          <w:rStyle w:val="libFootnoteBoldChar"/>
          <w:rtl/>
        </w:rPr>
        <w:t>مشرق الشمسين</w:t>
      </w:r>
      <w:r w:rsidR="00E3253D" w:rsidRPr="005D642E">
        <w:rPr>
          <w:rtl/>
        </w:rPr>
        <w:t xml:space="preserve"> ، ص 230 ؛ </w:t>
      </w:r>
      <w:r w:rsidR="00E3253D" w:rsidRPr="002F4D34">
        <w:rPr>
          <w:rStyle w:val="libFootnoteBoldChar"/>
          <w:rtl/>
        </w:rPr>
        <w:t>مرآة العقول</w:t>
      </w:r>
      <w:r w:rsidR="00E3253D" w:rsidRPr="005D642E">
        <w:rPr>
          <w:rtl/>
        </w:rPr>
        <w:t xml:space="preserve"> ، ج 13 ، ص 138.</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365 ، ح 1108 ، معلّقاً عن محمّد بن عليّ بن محبوب ، عن أحمد ، عن الحسين ، عن فضالة ، عن ابن مسكان ، عن أبي بصير ، عن أبي عبدالله </w:t>
      </w:r>
      <w:r w:rsidR="00E3253D" w:rsidRPr="00225AEA">
        <w:rPr>
          <w:rStyle w:val="libFootnoteAlaemChar"/>
          <w:rtl/>
        </w:rPr>
        <w:t>عليه‌السلام</w:t>
      </w:r>
      <w:r w:rsidR="00E3253D" w:rsidRPr="005D642E">
        <w:rPr>
          <w:rtl/>
        </w:rPr>
        <w:t xml:space="preserve"> </w:t>
      </w:r>
      <w:r w:rsidR="00225AEA">
        <w:rPr>
          <w:rFonts w:hint="cs"/>
          <w:rtl/>
        </w:rPr>
        <w:t>.</w:t>
      </w:r>
      <w:r w:rsidR="00E3253D" w:rsidRPr="002F4D34">
        <w:rPr>
          <w:rStyle w:val="libFootnoteBoldChar"/>
          <w:rtl/>
        </w:rPr>
        <w:t>الوافي</w:t>
      </w:r>
      <w:r w:rsidR="00E3253D" w:rsidRPr="005D642E">
        <w:rPr>
          <w:rtl/>
        </w:rPr>
        <w:t xml:space="preserve"> ، ج 6 ، ص 507 ، ح 4804 ؛ </w:t>
      </w:r>
      <w:r w:rsidR="00E3253D" w:rsidRPr="002F4D34">
        <w:rPr>
          <w:rStyle w:val="libFootnoteBoldChar"/>
          <w:rtl/>
        </w:rPr>
        <w:t>الوسائل</w:t>
      </w:r>
      <w:r w:rsidR="00E3253D" w:rsidRPr="005D642E">
        <w:rPr>
          <w:rtl/>
        </w:rPr>
        <w:t xml:space="preserve"> ، ج 2 ، ص 259 ، ح 2103 ؛ وج 3 ، ص 487 ، ح 4253.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عَنْ مُحَمَّدٍ الْحَلَبِيِّ ، عَنْ رَجُلٍ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تَنْقُضُ الْمَرْأَةُ شَعْرَهَا إِذَا اغْتَسَلَتْ مِنَ الْجَنَابَةِ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D46A35">
        <w:rPr>
          <w:rtl/>
        </w:rPr>
        <w:t>4023</w:t>
      </w:r>
      <w:r w:rsidRPr="00246318">
        <w:rPr>
          <w:rStyle w:val="libBold2Char"/>
          <w:rtl/>
        </w:rPr>
        <w:t xml:space="preserve"> / 19.</w:t>
      </w:r>
      <w:r w:rsidRPr="005D642E">
        <w:rPr>
          <w:rtl/>
          <w:lang w:bidi="fa-IR"/>
        </w:rPr>
        <w:t xml:space="preserve"> عَلِيُّ بْنُ إِبْرَاهِيمَ ، عَنْ أَبِيهِ ، عَنِ ابْنِ أَبِي عُمَيْرٍ ، عَنْ جَمِيلٍ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عَمَّا تَصْنَعُ </w:t>
      </w:r>
      <w:r w:rsidRPr="007C12DB">
        <w:rPr>
          <w:rStyle w:val="libFootnotenumChar"/>
          <w:rtl/>
        </w:rPr>
        <w:t>(3)</w:t>
      </w:r>
      <w:r w:rsidRPr="005D642E">
        <w:rPr>
          <w:rtl/>
          <w:lang w:bidi="fa-IR"/>
        </w:rPr>
        <w:t xml:space="preserve"> النِّسَاءُ فِي الشَّعْرِ وَالْقُرُونِ </w:t>
      </w:r>
      <w:r w:rsidRPr="007C12DB">
        <w:rPr>
          <w:rStyle w:val="libFootnotenumChar"/>
          <w:rtl/>
        </w:rPr>
        <w:t>(4)</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(5)</w:t>
      </w:r>
      <w:r w:rsidRPr="005D642E">
        <w:rPr>
          <w:rtl/>
          <w:lang w:bidi="fa-IR"/>
        </w:rPr>
        <w:t xml:space="preserve"> : « لَمْ تَكُنْ هذِهِ الْمِشْطَةُ </w:t>
      </w:r>
      <w:r w:rsidRPr="007C12DB">
        <w:rPr>
          <w:rStyle w:val="libFootnotenumChar"/>
          <w:rtl/>
        </w:rPr>
        <w:t>(6)</w:t>
      </w:r>
      <w:r w:rsidRPr="005D642E">
        <w:rPr>
          <w:rtl/>
          <w:lang w:bidi="fa-IR"/>
        </w:rPr>
        <w:t xml:space="preserve"> ، إِنَّمَا كُنَّ يَجْمَعْنَهُ » ثُمَّ وَصَفَ أَرْبَعَةَ أَمْكِنَةٍ </w:t>
      </w:r>
      <w:r w:rsidRPr="007C12DB">
        <w:rPr>
          <w:rStyle w:val="libFootnotenumChar"/>
          <w:rtl/>
        </w:rPr>
        <w:t>(7)</w:t>
      </w:r>
      <w:r w:rsidR="000F1CE3">
        <w:rPr>
          <w:rtl/>
          <w:lang w:bidi="fa-IR"/>
        </w:rPr>
        <w:t xml:space="preserve"> ، ثُمَّ قَالَ</w:t>
      </w:r>
      <w:r w:rsidRPr="005D642E">
        <w:rPr>
          <w:rtl/>
          <w:lang w:bidi="fa-IR"/>
        </w:rPr>
        <w:t xml:space="preserve">: « يُبَالِغْنَ </w:t>
      </w:r>
      <w:r w:rsidRPr="007C12DB">
        <w:rPr>
          <w:rStyle w:val="libFootnotenumChar"/>
          <w:rtl/>
        </w:rPr>
        <w:t>(8)</w:t>
      </w:r>
      <w:r w:rsidRPr="005D642E">
        <w:rPr>
          <w:rtl/>
          <w:lang w:bidi="fa-IR"/>
        </w:rPr>
        <w:t xml:space="preserve"> فِي الْغَسْلِ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عن رجل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147 ، ح 416 ، بسنده عن الكليني. </w:t>
      </w:r>
      <w:r w:rsidR="00E3253D" w:rsidRPr="002F4D34">
        <w:rPr>
          <w:rStyle w:val="libFootnoteBoldChar"/>
          <w:rtl/>
        </w:rPr>
        <w:t>وفيه</w:t>
      </w:r>
      <w:r w:rsidR="00E3253D" w:rsidRPr="005D642E">
        <w:rPr>
          <w:rtl/>
        </w:rPr>
        <w:t xml:space="preserve"> ، ح 417 ، بسنده عن عبدالله بن المغيرة ، عن عبدالله بن مسكان ، عن محمّد بن عليّ الحلبى ، عن رجل ، عن أبي عبدالله ، عن أبيه ، عن عليّ </w:t>
      </w:r>
      <w:r w:rsidR="00E3253D" w:rsidRPr="000F1CE3">
        <w:rPr>
          <w:rStyle w:val="libFootnoteAlaemChar"/>
          <w:rtl/>
        </w:rPr>
        <w:t>عليهم‌السلام</w:t>
      </w:r>
      <w:r w:rsidR="00E3253D" w:rsidRPr="005D642E">
        <w:rPr>
          <w:rtl/>
        </w:rPr>
        <w:t xml:space="preserve">. </w:t>
      </w:r>
      <w:r w:rsidR="00E3253D" w:rsidRPr="002F4D34">
        <w:rPr>
          <w:rStyle w:val="libFootnoteBoldChar"/>
          <w:rtl/>
        </w:rPr>
        <w:t>وفيه</w:t>
      </w:r>
      <w:r w:rsidR="00E3253D" w:rsidRPr="005D642E">
        <w:rPr>
          <w:rtl/>
        </w:rPr>
        <w:t xml:space="preserve"> أيضاً ، ص 162 ، ح 466 ، بسند آخر عن أبي عبدالله ، عن أبيه ، عن عليّ </w:t>
      </w:r>
      <w:r w:rsidR="00E3253D" w:rsidRPr="000F1CE3">
        <w:rPr>
          <w:rStyle w:val="libFootnoteAlaemChar"/>
          <w:rtl/>
        </w:rPr>
        <w:t>عليهم‌السلام</w:t>
      </w:r>
      <w:r w:rsidR="00E3253D" w:rsidRPr="005D642E">
        <w:rPr>
          <w:rtl/>
        </w:rPr>
        <w:t xml:space="preserve">. وراجع : </w:t>
      </w:r>
      <w:r w:rsidR="00E3253D" w:rsidRPr="002F4D34">
        <w:rPr>
          <w:rStyle w:val="libFootnoteBoldChar"/>
          <w:rtl/>
        </w:rPr>
        <w:t>الجعفريّات</w:t>
      </w:r>
      <w:r w:rsidR="00E3253D" w:rsidRPr="005D642E">
        <w:rPr>
          <w:rtl/>
        </w:rPr>
        <w:t xml:space="preserve"> ، ص 22 </w:t>
      </w:r>
      <w:r w:rsidR="000F1CE3">
        <w:rPr>
          <w:rFonts w:hint="cs"/>
          <w:rtl/>
        </w:rPr>
        <w:t>.</w:t>
      </w:r>
      <w:r w:rsidR="00E3253D" w:rsidRPr="002F4D34">
        <w:rPr>
          <w:rStyle w:val="libFootnoteBoldChar"/>
          <w:rtl/>
        </w:rPr>
        <w:t>الوافي</w:t>
      </w:r>
      <w:r w:rsidR="00E3253D" w:rsidRPr="005D642E">
        <w:rPr>
          <w:rtl/>
        </w:rPr>
        <w:t xml:space="preserve"> ، ج 6 ، ص 507 ، ح 4806 ؛ </w:t>
      </w:r>
      <w:r w:rsidR="00E3253D" w:rsidRPr="002F4D34">
        <w:rPr>
          <w:rStyle w:val="libFootnoteBoldChar"/>
          <w:rtl/>
        </w:rPr>
        <w:t>الوسائل</w:t>
      </w:r>
      <w:r w:rsidR="00E3253D" w:rsidRPr="005D642E">
        <w:rPr>
          <w:rtl/>
        </w:rPr>
        <w:t xml:space="preserve"> ، ج 2 ، ص 255 ، ح 2095.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بث ، بخ ، بس ، جح ، جس » : « يصنع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القُرُون » : جمع القَرْن ، وهي الخُصلة من الشعر ، أي لفيفة ومجتمعة منه. وقيل : هو شعر المرأة خاصّة ، وخصّ بعضهم به ذؤابة المرأة وضفيرتها. راجع : </w:t>
      </w:r>
      <w:r w:rsidR="00E3253D" w:rsidRPr="002F4D34">
        <w:rPr>
          <w:rStyle w:val="libFootnoteBoldChar"/>
          <w:rtl/>
        </w:rPr>
        <w:t>الصحاح</w:t>
      </w:r>
      <w:r w:rsidR="00E3253D" w:rsidRPr="005D642E">
        <w:rPr>
          <w:rtl/>
        </w:rPr>
        <w:t xml:space="preserve"> ، ج 6 ، ص 2179 ؛ </w:t>
      </w:r>
      <w:r w:rsidR="00E3253D" w:rsidRPr="002F4D34">
        <w:rPr>
          <w:rStyle w:val="libFootnoteBoldChar"/>
          <w:rtl/>
        </w:rPr>
        <w:t>المغرب</w:t>
      </w:r>
      <w:r w:rsidR="00E3253D" w:rsidRPr="005D642E">
        <w:rPr>
          <w:rtl/>
        </w:rPr>
        <w:t xml:space="preserve"> ، ص 380 ( قرن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ى ، جح ، جس » وحاشية « غ ، بخ » : « قال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ال</w:t>
      </w:r>
      <w:r w:rsidR="000F1CE3">
        <w:rPr>
          <w:rFonts w:hint="cs"/>
          <w:rtl/>
        </w:rPr>
        <w:t>ـ</w:t>
      </w:r>
      <w:r w:rsidR="00E3253D" w:rsidRPr="005D642E">
        <w:rPr>
          <w:rtl/>
        </w:rPr>
        <w:t>مِشْطَةُ » : نوع من ال</w:t>
      </w:r>
      <w:r w:rsidR="000F1CE3">
        <w:rPr>
          <w:rFonts w:hint="cs"/>
          <w:rtl/>
        </w:rPr>
        <w:t>ـ</w:t>
      </w:r>
      <w:r w:rsidR="00E3253D" w:rsidRPr="005D642E">
        <w:rPr>
          <w:rtl/>
        </w:rPr>
        <w:t>مَشْط وهو ترجيل ال</w:t>
      </w:r>
      <w:r w:rsidR="008242CC">
        <w:rPr>
          <w:rtl/>
        </w:rPr>
        <w:t>شعر وتسريحه وإرساله. وقال العل</w:t>
      </w:r>
      <w:r w:rsidR="008242CC">
        <w:rPr>
          <w:rFonts w:hint="cs"/>
          <w:rtl/>
        </w:rPr>
        <w:t>ّ</w:t>
      </w:r>
      <w:r w:rsidR="008242CC">
        <w:rPr>
          <w:rtl/>
        </w:rPr>
        <w:t>ا</w:t>
      </w:r>
      <w:r w:rsidR="00E3253D" w:rsidRPr="005D642E">
        <w:rPr>
          <w:rtl/>
        </w:rPr>
        <w:t xml:space="preserve">مة المجلسي : « قوله </w:t>
      </w:r>
      <w:r w:rsidR="00E3253D" w:rsidRPr="000F1CE3">
        <w:rPr>
          <w:rStyle w:val="libFootnoteAlaemChar"/>
          <w:rtl/>
        </w:rPr>
        <w:t>عليه‌السلام</w:t>
      </w:r>
      <w:r w:rsidR="00E3253D" w:rsidRPr="005D642E">
        <w:rPr>
          <w:rtl/>
        </w:rPr>
        <w:t xml:space="preserve"> : هذه المشطة ، بالجمع أو المصدر ، والثاني أظهر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3 ، ص 1160 ؛ </w:t>
      </w:r>
      <w:r w:rsidR="00E3253D" w:rsidRPr="002F4D34">
        <w:rPr>
          <w:rStyle w:val="libFootnoteBoldChar"/>
          <w:rtl/>
        </w:rPr>
        <w:t>لسان العرب</w:t>
      </w:r>
      <w:r w:rsidR="00E3253D" w:rsidRPr="005D642E">
        <w:rPr>
          <w:rtl/>
        </w:rPr>
        <w:t xml:space="preserve"> ، ج 7 ، ص 403 ( مشط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مرآة العقول</w:t>
      </w:r>
      <w:r w:rsidR="00E3253D" w:rsidRPr="005D642E">
        <w:rPr>
          <w:rtl/>
        </w:rPr>
        <w:t xml:space="preserve"> ، ج 13 ، ص 139 : « قال الوالد العلاّمة </w:t>
      </w:r>
      <w:r w:rsidR="00E3253D" w:rsidRPr="00365424">
        <w:rPr>
          <w:rStyle w:val="libFootnoteAlaemChar"/>
          <w:rtl/>
        </w:rPr>
        <w:t>رحمه‌الله</w:t>
      </w:r>
      <w:r w:rsidR="00E3253D" w:rsidRPr="005D642E">
        <w:rPr>
          <w:rtl/>
        </w:rPr>
        <w:t xml:space="preserve"> : يعني لم يكن في زمان رسول الله </w:t>
      </w:r>
      <w:r w:rsidRPr="000F1CE3">
        <w:rPr>
          <w:rStyle w:val="libFootnoteAlaemChar"/>
          <w:rtl/>
        </w:rPr>
        <w:t>صلى‌الله‌عليه‌وآله</w:t>
      </w:r>
      <w:r w:rsidR="00E3253D" w:rsidRPr="005D642E">
        <w:rPr>
          <w:rtl/>
        </w:rPr>
        <w:t xml:space="preserve"> هذه الضفائر ، بل كنّ يغرّقن أشعار رؤوسهنّ في أربعة أمكنة ، وكان إيصال الماء إلى ما تحت الشعر سهلاً ، وأمّا الآن فيلزم أن يبالغن حتّى يصل الماء إلى البشرة. وقال الفاضل التستري : كانت هذه الأمكنة مواضع الشعر المجموع ولعلّها المقدّم والمؤخّر واليمين واليسار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 « يبالغ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147 ، ح 418 ، معلّقاً عن عليّ بن إبراهيم </w:t>
      </w:r>
      <w:r w:rsidR="008242CC">
        <w:rPr>
          <w:rFonts w:hint="cs"/>
          <w:rtl/>
        </w:rPr>
        <w:t>.</w:t>
      </w:r>
      <w:r w:rsidR="00E3253D" w:rsidRPr="002F4D34">
        <w:rPr>
          <w:rStyle w:val="libFootnoteBoldChar"/>
          <w:rtl/>
        </w:rPr>
        <w:t>الوافي</w:t>
      </w:r>
      <w:r w:rsidR="00E3253D" w:rsidRPr="005D642E">
        <w:rPr>
          <w:rtl/>
        </w:rPr>
        <w:t xml:space="preserve"> ، ج 6 ، ص 509 ، ح 4809 ؛ </w:t>
      </w:r>
      <w:r w:rsidR="00E3253D" w:rsidRPr="002F4D34">
        <w:rPr>
          <w:rStyle w:val="libFootnoteBoldChar"/>
          <w:rtl/>
        </w:rPr>
        <w:t>الوسائل</w:t>
      </w:r>
      <w:r w:rsidR="00E3253D" w:rsidRPr="005D642E">
        <w:rPr>
          <w:rtl/>
        </w:rPr>
        <w:t xml:space="preserve"> ، ج 2 ، ص 255 ، ذيل ح 2093.</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108" w:name="_Toc344647246"/>
      <w:bookmarkStart w:id="109" w:name="_Toc462226761"/>
      <w:bookmarkStart w:id="110" w:name="_Toc40975869"/>
      <w:r w:rsidRPr="005D642E">
        <w:rPr>
          <w:rtl/>
          <w:lang w:bidi="fa-IR"/>
        </w:rPr>
        <w:lastRenderedPageBreak/>
        <w:t>30</w:t>
      </w:r>
      <w:r>
        <w:rPr>
          <w:rtl/>
          <w:lang w:bidi="fa-IR"/>
        </w:rPr>
        <w:t xml:space="preserve"> </w:t>
      </w:r>
      <w:r w:rsidR="007642BC">
        <w:rPr>
          <w:rtl/>
          <w:lang w:bidi="fa-IR"/>
        </w:rPr>
        <w:t>-</w:t>
      </w:r>
      <w:r>
        <w:rPr>
          <w:rtl/>
          <w:lang w:bidi="fa-IR"/>
        </w:rPr>
        <w:t xml:space="preserve"> </w:t>
      </w:r>
      <w:r w:rsidRPr="005D642E">
        <w:rPr>
          <w:rtl/>
          <w:lang w:bidi="fa-IR"/>
        </w:rPr>
        <w:t>بَابُ مَا يُوجِبُ الْغُسْلَ عَلَى الرَّجُلِ وَالْمَرْأَةِ‌</w:t>
      </w:r>
      <w:bookmarkEnd w:id="108"/>
      <w:bookmarkEnd w:id="109"/>
      <w:bookmarkEnd w:id="110"/>
    </w:p>
    <w:p w:rsidR="00E3253D" w:rsidRPr="005D642E" w:rsidRDefault="00E3253D" w:rsidP="00E3253D">
      <w:pPr>
        <w:pStyle w:val="libNormal"/>
        <w:rPr>
          <w:rtl/>
          <w:lang w:bidi="fa-IR"/>
        </w:rPr>
      </w:pPr>
      <w:r w:rsidRPr="007121C6">
        <w:rPr>
          <w:rtl/>
        </w:rPr>
        <w:t>4024</w:t>
      </w:r>
      <w:r w:rsidRPr="00246318">
        <w:rPr>
          <w:rStyle w:val="libBold2Char"/>
          <w:rtl/>
        </w:rPr>
        <w:t xml:space="preserve"> / 1.</w:t>
      </w:r>
      <w:r w:rsidRPr="005D642E">
        <w:rPr>
          <w:rtl/>
          <w:lang w:bidi="fa-IR"/>
        </w:rPr>
        <w:t xml:space="preserve"> مُحَمَّدُ بْنُ يَحْيى ، عَنْ مُحَمَّدِ بْنِ الْحُسَيْنِ ، عَنْ صَفْوَانَ بْنِ يَحْيى ، عَنِ الْعَلَاءِ بْنِ رَزِينٍ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 مَتى يَجِبُ </w:t>
      </w:r>
      <w:r w:rsidRPr="007C12DB">
        <w:rPr>
          <w:rStyle w:val="libFootnotenumChar"/>
          <w:rtl/>
        </w:rPr>
        <w:t>(1)</w:t>
      </w:r>
      <w:r w:rsidRPr="005D642E">
        <w:rPr>
          <w:rtl/>
          <w:lang w:bidi="fa-IR"/>
        </w:rPr>
        <w:t xml:space="preserve"> الْغُسْلُ عَلَى الرَّجُلِ وَالْمَرْأَةِ</w:t>
      </w:r>
      <w:r>
        <w:rPr>
          <w:rtl/>
          <w:lang w:bidi="fa-IR"/>
        </w:rPr>
        <w:t>؟</w:t>
      </w:r>
    </w:p>
    <w:p w:rsidR="00E3253D" w:rsidRPr="005D642E" w:rsidRDefault="00E3253D" w:rsidP="00E3253D">
      <w:pPr>
        <w:pStyle w:val="libNormal"/>
        <w:rPr>
          <w:rtl/>
          <w:lang w:bidi="fa-IR"/>
        </w:rPr>
      </w:pPr>
      <w:r w:rsidRPr="005D642E">
        <w:rPr>
          <w:rtl/>
          <w:lang w:bidi="fa-IR"/>
        </w:rPr>
        <w:t>فَقَالَ : « إِذَا أَدْخَلَهُ ، فَقَدْ وَجَبَ الْغُسْلُ وَالْمَهْرُ وَالرَّجْمُ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7121C6">
        <w:rPr>
          <w:rtl/>
        </w:rPr>
        <w:t>4025</w:t>
      </w:r>
      <w:r w:rsidRPr="00246318">
        <w:rPr>
          <w:rStyle w:val="libBold2Char"/>
          <w:rtl/>
        </w:rPr>
        <w:t xml:space="preserve"> / 2.</w:t>
      </w:r>
      <w:r w:rsidRPr="005D642E">
        <w:rPr>
          <w:rtl/>
          <w:lang w:bidi="fa-IR"/>
        </w:rPr>
        <w:t xml:space="preserve"> عِدَّةٌ مِنْ أَصْحَابِنَا ، عَنْ أَحْمَدَ بْنِ مُحَمَّدِ بْنِ عِيسى ، عَنْ مُحَ</w:t>
      </w:r>
      <w:r w:rsidR="00F56BE2">
        <w:rPr>
          <w:rtl/>
          <w:lang w:bidi="fa-IR"/>
        </w:rPr>
        <w:t>مَّدِ بْنِ إِسْمَاعِيلَ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الرِّضَا </w:t>
      </w:r>
      <w:r w:rsidRPr="00AC51C5">
        <w:rPr>
          <w:rStyle w:val="libAlaemChar"/>
          <w:rtl/>
        </w:rPr>
        <w:t>عليه‌السلام</w:t>
      </w:r>
      <w:r w:rsidRPr="005D642E">
        <w:rPr>
          <w:rtl/>
          <w:lang w:bidi="fa-IR"/>
        </w:rPr>
        <w:t xml:space="preserve"> عَنِ الرَّجُلِ يُجَامِعُ الْمَرْأَةَ قَرِيباً مِنَ الْفَرْجِ فَلَا يُنْزِلَانِ : مَتى يَجِبُ الْغُسْلُ</w:t>
      </w:r>
      <w:r>
        <w:rPr>
          <w:rtl/>
          <w:lang w:bidi="fa-IR"/>
        </w:rPr>
        <w:t>؟</w:t>
      </w:r>
    </w:p>
    <w:p w:rsidR="00E3253D" w:rsidRPr="005D642E" w:rsidRDefault="00E3253D" w:rsidP="00E3253D">
      <w:pPr>
        <w:pStyle w:val="libNormal"/>
        <w:rPr>
          <w:rtl/>
          <w:lang w:bidi="fa-IR"/>
        </w:rPr>
      </w:pPr>
      <w:r w:rsidRPr="005D642E">
        <w:rPr>
          <w:rtl/>
          <w:lang w:bidi="fa-IR"/>
        </w:rPr>
        <w:t>فَقَالَ : « إِذَا الْتَقَى الْخِتَانَانِ ، فَقَدْ وَجَبَ الْغُسْلُ »</w:t>
      </w:r>
      <w:r>
        <w:rPr>
          <w:rtl/>
          <w:lang w:bidi="fa-IR"/>
        </w:rPr>
        <w:t>.</w:t>
      </w:r>
    </w:p>
    <w:p w:rsidR="00E3253D" w:rsidRPr="005D642E" w:rsidRDefault="00E3253D" w:rsidP="00E3253D">
      <w:pPr>
        <w:pStyle w:val="libNormal"/>
        <w:rPr>
          <w:rtl/>
          <w:lang w:bidi="fa-IR"/>
        </w:rPr>
      </w:pPr>
      <w:r w:rsidRPr="005D642E">
        <w:rPr>
          <w:rtl/>
          <w:lang w:bidi="fa-IR"/>
        </w:rPr>
        <w:t xml:space="preserve">فَقُلْتُ : الْتِقَاءُ الْخِتَانَيْنِ هُوَ غَيْبُوبَةُ الْحَشَفَةِ </w:t>
      </w:r>
      <w:r w:rsidRPr="007C12DB">
        <w:rPr>
          <w:rStyle w:val="libFootnotenumChar"/>
          <w:rtl/>
        </w:rPr>
        <w:t>(3)</w:t>
      </w:r>
      <w:r>
        <w:rPr>
          <w:rtl/>
          <w:lang w:bidi="fa-IR"/>
        </w:rPr>
        <w:t>؟</w:t>
      </w:r>
      <w:r w:rsidRPr="005D642E">
        <w:rPr>
          <w:rtl/>
          <w:lang w:bidi="fa-IR"/>
        </w:rPr>
        <w:t xml:space="preserve"> قَالَ « نَعَمْ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تجب »</w:t>
      </w:r>
      <w:r w:rsidR="00E3253D">
        <w:rPr>
          <w:rtl/>
        </w:rPr>
        <w:t>.</w:t>
      </w:r>
      <w:r w:rsidR="00E3253D" w:rsidRPr="005D642E">
        <w:rPr>
          <w:rtl/>
        </w:rPr>
        <w:t xml:space="preserve"> وفي الاستبصار ، ج 1 : « يوجب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118 ، ح 310 ؛ </w:t>
      </w:r>
      <w:r w:rsidR="00E3253D" w:rsidRPr="00E678B5">
        <w:rPr>
          <w:rStyle w:val="libFootnoteBoldChar"/>
          <w:rtl/>
        </w:rPr>
        <w:t>والاستبصار</w:t>
      </w:r>
      <w:r w:rsidR="00E3253D" w:rsidRPr="005D642E">
        <w:rPr>
          <w:rtl/>
        </w:rPr>
        <w:t xml:space="preserve"> ، ج 1 ، ص 108 ، ح 358 ، بسندهما عن الكليني. وفي </w:t>
      </w:r>
      <w:r w:rsidR="00E3253D" w:rsidRPr="002F4D34">
        <w:rPr>
          <w:rStyle w:val="libFootnoteBoldChar"/>
          <w:rtl/>
        </w:rPr>
        <w:t>التهذيب</w:t>
      </w:r>
      <w:r w:rsidR="00E3253D" w:rsidRPr="005D642E">
        <w:rPr>
          <w:rtl/>
        </w:rPr>
        <w:t xml:space="preserve"> ، ج 7 ، ص 464 ، ح 1862 ؛ </w:t>
      </w:r>
      <w:r w:rsidR="00E3253D" w:rsidRPr="00E678B5">
        <w:rPr>
          <w:rStyle w:val="libFootnoteBoldChar"/>
          <w:rtl/>
        </w:rPr>
        <w:t>والاستبصار</w:t>
      </w:r>
      <w:r w:rsidR="00E3253D" w:rsidRPr="005D642E">
        <w:rPr>
          <w:rtl/>
        </w:rPr>
        <w:t xml:space="preserve"> ، ج 3 ، ص 226 ، ح 840 ، بسند آخر عن علاء بن رزين ، عن محمّد بن مسلم ، عن أبي عبدالله </w:t>
      </w:r>
      <w:r w:rsidR="00E3253D" w:rsidRPr="00A85BE5">
        <w:rPr>
          <w:rStyle w:val="libFootnoteAlaemChar"/>
          <w:rtl/>
        </w:rPr>
        <w:t>عليه‌السلام</w:t>
      </w:r>
      <w:r w:rsidR="00E3253D" w:rsidRPr="005D642E">
        <w:rPr>
          <w:rtl/>
        </w:rPr>
        <w:t xml:space="preserve"> ، مع اختلاف يسير. </w:t>
      </w:r>
      <w:r w:rsidR="00E3253D" w:rsidRPr="002F4D34">
        <w:rPr>
          <w:rStyle w:val="libFootnoteBoldChar"/>
          <w:rtl/>
        </w:rPr>
        <w:t>الكافي</w:t>
      </w:r>
      <w:r w:rsidR="00E3253D" w:rsidRPr="005D642E">
        <w:rPr>
          <w:rtl/>
        </w:rPr>
        <w:t xml:space="preserve"> ، كتاب الطلاق ، باب ما يوجب المهر كملاً ، ح 10848 ، بسند آخر عن أبي عبدالله </w:t>
      </w:r>
      <w:r w:rsidR="00E3253D" w:rsidRPr="008821E0">
        <w:rPr>
          <w:rStyle w:val="libFootnoteAlaemChar"/>
          <w:rtl/>
        </w:rPr>
        <w:t>عليه‌السلام</w:t>
      </w:r>
      <w:r w:rsidR="00E3253D" w:rsidRPr="005D642E">
        <w:rPr>
          <w:rtl/>
        </w:rPr>
        <w:t xml:space="preserve"> ، من قوله : « إذا أدخله » مع اختلاف يسير وزيادة </w:t>
      </w:r>
      <w:r w:rsidR="008821E0">
        <w:rPr>
          <w:rFonts w:hint="cs"/>
          <w:rtl/>
        </w:rPr>
        <w:t>.</w:t>
      </w:r>
      <w:r w:rsidR="00E3253D" w:rsidRPr="002F4D34">
        <w:rPr>
          <w:rStyle w:val="libFootnoteBoldChar"/>
          <w:rtl/>
        </w:rPr>
        <w:t>الوافي</w:t>
      </w:r>
      <w:r w:rsidR="00E3253D" w:rsidRPr="005D642E">
        <w:rPr>
          <w:rtl/>
        </w:rPr>
        <w:t xml:space="preserve"> ، ج 6 ، ص 397 ، ح 4538 ؛ </w:t>
      </w:r>
      <w:r w:rsidR="00E3253D" w:rsidRPr="002F4D34">
        <w:rPr>
          <w:rStyle w:val="libFootnoteBoldChar"/>
          <w:rtl/>
        </w:rPr>
        <w:t>الوسائل</w:t>
      </w:r>
      <w:r w:rsidR="00E3253D" w:rsidRPr="005D642E">
        <w:rPr>
          <w:rtl/>
        </w:rPr>
        <w:t xml:space="preserve"> ، ج 2 ، ص 182 ، ح 1875.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الحبل المتين</w:t>
      </w:r>
      <w:r w:rsidR="00E3253D" w:rsidRPr="005D642E">
        <w:rPr>
          <w:rtl/>
        </w:rPr>
        <w:t xml:space="preserve"> ، ص 137 : « قول محمّد بن إسماعيل</w:t>
      </w:r>
      <w:r w:rsidR="00E3253D">
        <w:rPr>
          <w:rtl/>
        </w:rPr>
        <w:t xml:space="preserve"> ..</w:t>
      </w:r>
      <w:r w:rsidR="00E3253D" w:rsidRPr="005D642E">
        <w:rPr>
          <w:rtl/>
        </w:rPr>
        <w:t>. : التقاء الختانين هو غيبوبة الحشفة في الفرج ، من قبيل حمل السبب على المسبّب ، والمراد أنّه يحصل بغيبوبة الحشفة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118 ، ح 311 ؛ </w:t>
      </w:r>
      <w:r w:rsidR="00E3253D" w:rsidRPr="00E678B5">
        <w:rPr>
          <w:rStyle w:val="libFootnoteBoldChar"/>
          <w:rtl/>
        </w:rPr>
        <w:t>والاستبصار</w:t>
      </w:r>
      <w:r w:rsidR="00E3253D" w:rsidRPr="005D642E">
        <w:rPr>
          <w:rtl/>
        </w:rPr>
        <w:t xml:space="preserve"> ، ج 1 ، ص 108 ، ح 359 ، بسندهما عن الكليني. </w:t>
      </w:r>
      <w:r w:rsidR="00E3253D" w:rsidRPr="002F4D34">
        <w:rPr>
          <w:rStyle w:val="libFootnoteBoldChar"/>
          <w:rtl/>
        </w:rPr>
        <w:t>الفقيه</w:t>
      </w:r>
      <w:r w:rsidR="00E3253D" w:rsidRPr="005D642E">
        <w:rPr>
          <w:rtl/>
        </w:rPr>
        <w:t xml:space="preserve"> ، ج 1 ، ص 84 ، ح 184 ، معلّقاً عن الحلبي ، عنه </w:t>
      </w:r>
      <w:r w:rsidR="00E3253D" w:rsidRPr="008821E0">
        <w:rPr>
          <w:rStyle w:val="libFootnoteAlaemChar"/>
          <w:rtl/>
        </w:rPr>
        <w:t>عليه‌السلام</w:t>
      </w:r>
      <w:r w:rsidR="00E3253D" w:rsidRPr="005D642E">
        <w:rPr>
          <w:rtl/>
        </w:rPr>
        <w:t xml:space="preserve"> ، إلى قوله : « فقد وجب الغسل » مع اختلاف يسير. راجع : </w:t>
      </w:r>
      <w:r w:rsidR="00E3253D" w:rsidRPr="002F4D34">
        <w:rPr>
          <w:rStyle w:val="libFootnoteBoldChar"/>
          <w:rtl/>
        </w:rPr>
        <w:t>الجعفريّات</w:t>
      </w:r>
      <w:r w:rsidR="00E3253D" w:rsidRPr="005D642E">
        <w:rPr>
          <w:rtl/>
        </w:rPr>
        <w:t xml:space="preserve"> ، ص 21 ؛ و</w:t>
      </w:r>
      <w:r w:rsidR="00E3253D" w:rsidRPr="002F4D34">
        <w:rPr>
          <w:rStyle w:val="libFootnoteBoldChar"/>
          <w:rtl/>
        </w:rPr>
        <w:t>فقه الرضا</w:t>
      </w:r>
      <w:r w:rsidR="00E3253D" w:rsidRPr="005D642E">
        <w:rPr>
          <w:rtl/>
        </w:rPr>
        <w:t xml:space="preserve"> </w:t>
      </w:r>
      <w:r w:rsidR="00E3253D" w:rsidRPr="008821E0">
        <w:rPr>
          <w:rStyle w:val="libFootnoteAlaemChar"/>
          <w:rtl/>
        </w:rPr>
        <w:t>عليه‌السلام</w:t>
      </w:r>
      <w:r w:rsidR="00E3253D" w:rsidRPr="005D642E">
        <w:rPr>
          <w:rtl/>
        </w:rPr>
        <w:t xml:space="preserve"> ، ص 235 </w:t>
      </w:r>
      <w:r w:rsidR="006B2A77">
        <w:rPr>
          <w:rFonts w:hint="cs"/>
          <w:rtl/>
        </w:rPr>
        <w:t>.</w:t>
      </w:r>
      <w:r w:rsidR="00E3253D" w:rsidRPr="002F4D34">
        <w:rPr>
          <w:rStyle w:val="libFootnoteBoldChar"/>
          <w:rtl/>
        </w:rPr>
        <w:t>الوافي</w:t>
      </w:r>
      <w:r w:rsidR="00E3253D" w:rsidRPr="005D642E">
        <w:rPr>
          <w:rtl/>
        </w:rPr>
        <w:t xml:space="preserve"> ، ج 6 ، ص 398 ، ح 4541 ؛ </w:t>
      </w:r>
      <w:r w:rsidR="00E3253D" w:rsidRPr="002F4D34">
        <w:rPr>
          <w:rStyle w:val="libFootnoteBoldChar"/>
          <w:rtl/>
        </w:rPr>
        <w:t>الوسائل</w:t>
      </w:r>
      <w:r w:rsidR="00E3253D" w:rsidRPr="005D642E">
        <w:rPr>
          <w:rtl/>
        </w:rPr>
        <w:t xml:space="preserve"> ، ج 2 ، ص 183 ، ح 1876.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7121C6">
        <w:rPr>
          <w:rtl/>
        </w:rPr>
        <w:lastRenderedPageBreak/>
        <w:t>4026</w:t>
      </w:r>
      <w:r w:rsidRPr="00246318">
        <w:rPr>
          <w:rStyle w:val="libBold2Char"/>
          <w:rtl/>
        </w:rPr>
        <w:t xml:space="preserve"> / 3.</w:t>
      </w:r>
      <w:r w:rsidRPr="005D642E">
        <w:rPr>
          <w:rtl/>
          <w:lang w:bidi="fa-IR"/>
        </w:rPr>
        <w:t xml:space="preserve"> وَبِهذَا الْإِسْنَادِ ، عَنْ أَحْمَدَ بْنِ مُحَمَّدٍ ، عَنِ الْحَسَنِ </w:t>
      </w:r>
      <w:r w:rsidRPr="007C12DB">
        <w:rPr>
          <w:rStyle w:val="libFootnotenumChar"/>
          <w:rtl/>
        </w:rPr>
        <w:t>(1)</w:t>
      </w:r>
      <w:r w:rsidRPr="005D642E">
        <w:rPr>
          <w:rtl/>
          <w:lang w:bidi="fa-IR"/>
        </w:rPr>
        <w:t xml:space="preserve"> بْنِ عَلِيِّ بْنِ يَقْطِينٍ ، عَنْ أَخِيهِ الْحُسَيْنِ ، عَنْ عَلِيِّ بْنِ يَقْطِينٍ </w:t>
      </w:r>
      <w:r w:rsidRPr="007C12DB">
        <w:rPr>
          <w:rStyle w:val="libFootnotenumChar"/>
          <w:rtl/>
        </w:rPr>
        <w:t>(2)</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الْحَسَنِ </w:t>
      </w:r>
      <w:r w:rsidRPr="00AC51C5">
        <w:rPr>
          <w:rStyle w:val="libAlaemChar"/>
          <w:rtl/>
        </w:rPr>
        <w:t>عليه‌السلام</w:t>
      </w:r>
      <w:r w:rsidRPr="005D642E">
        <w:rPr>
          <w:rtl/>
          <w:lang w:bidi="fa-IR"/>
        </w:rPr>
        <w:t xml:space="preserve"> عَنِ الرَّجُلِ يُصِيبُ الْجَارِيَةَ الْبِكْرَ لَايُفْضِي إِلَيْهَا وَلَايُنْزِلُ </w:t>
      </w:r>
      <w:r w:rsidRPr="007C12DB">
        <w:rPr>
          <w:rStyle w:val="libFootnotenumChar"/>
          <w:rtl/>
        </w:rPr>
        <w:t>(3)</w:t>
      </w:r>
      <w:r w:rsidRPr="005D642E">
        <w:rPr>
          <w:rtl/>
          <w:lang w:bidi="fa-IR"/>
        </w:rPr>
        <w:t xml:space="preserve"> عَلَيْهَا </w:t>
      </w:r>
      <w:r w:rsidRPr="007C12DB">
        <w:rPr>
          <w:rStyle w:val="libFootnotenumChar"/>
          <w:rtl/>
        </w:rPr>
        <w:t>(4)</w:t>
      </w:r>
      <w:r>
        <w:rPr>
          <w:rtl/>
          <w:lang w:bidi="fa-IR"/>
        </w:rPr>
        <w:t xml:space="preserve"> : أَ</w:t>
      </w:r>
      <w:r w:rsidRPr="005D642E">
        <w:rPr>
          <w:rtl/>
          <w:lang w:bidi="fa-IR"/>
        </w:rPr>
        <w:t>عَلَيْهَا غُسْلٌ</w:t>
      </w:r>
      <w:r>
        <w:rPr>
          <w:rtl/>
          <w:lang w:bidi="fa-IR"/>
        </w:rPr>
        <w:t>؟</w:t>
      </w:r>
      <w:r w:rsidRPr="005D642E">
        <w:rPr>
          <w:rtl/>
          <w:lang w:bidi="fa-IR"/>
        </w:rPr>
        <w:t xml:space="preserve"> وَإِنْ كَانَتْ لَيْسَتْ بِبِكْرٍ ، ثُمَّ أَصَابَهَا وَلَمْ يُفْضِ إِلَيْهَا </w:t>
      </w:r>
      <w:r w:rsidRPr="007C12DB">
        <w:rPr>
          <w:rStyle w:val="libFootnotenumChar"/>
          <w:rtl/>
        </w:rPr>
        <w:t>(5)</w:t>
      </w:r>
      <w:r>
        <w:rPr>
          <w:rtl/>
          <w:lang w:bidi="fa-IR"/>
        </w:rPr>
        <w:t xml:space="preserve"> : أَ</w:t>
      </w:r>
      <w:r w:rsidRPr="005D642E">
        <w:rPr>
          <w:rtl/>
          <w:lang w:bidi="fa-IR"/>
        </w:rPr>
        <w:t xml:space="preserve">عَلَيْهَا غُسْلٌ </w:t>
      </w:r>
      <w:r w:rsidRPr="007C12DB">
        <w:rPr>
          <w:rStyle w:val="libFootnotenumChar"/>
          <w:rtl/>
        </w:rPr>
        <w:t>(6)</w:t>
      </w:r>
      <w:r>
        <w:rPr>
          <w:rtl/>
          <w:lang w:bidi="fa-IR"/>
        </w:rPr>
        <w:t>؟</w:t>
      </w:r>
    </w:p>
    <w:p w:rsidR="00E3253D" w:rsidRPr="005D642E" w:rsidRDefault="00E3253D" w:rsidP="00E3253D">
      <w:pPr>
        <w:pStyle w:val="libNormal"/>
        <w:rPr>
          <w:rtl/>
          <w:lang w:bidi="fa-IR"/>
        </w:rPr>
      </w:pPr>
      <w:r w:rsidRPr="005D642E">
        <w:rPr>
          <w:rtl/>
          <w:lang w:bidi="fa-IR"/>
        </w:rPr>
        <w:t xml:space="preserve">قَالَ : « إِذَا وَقَعَ </w:t>
      </w:r>
      <w:r w:rsidRPr="007C12DB">
        <w:rPr>
          <w:rStyle w:val="libFootnotenumChar"/>
          <w:rtl/>
        </w:rPr>
        <w:t>(7)</w:t>
      </w:r>
      <w:r w:rsidRPr="005D642E">
        <w:rPr>
          <w:rtl/>
          <w:lang w:bidi="fa-IR"/>
        </w:rPr>
        <w:t xml:space="preserve"> الْخِتَانُ عَلَى الْخِتَانِ ، فَقَدْ وَجَبَ الْغُسْلُ ، الْبِكْرُ وَغَيْرُ الْبِكْرِ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7121C6">
        <w:rPr>
          <w:rtl/>
        </w:rPr>
        <w:t>4027</w:t>
      </w:r>
      <w:r w:rsidRPr="00246318">
        <w:rPr>
          <w:rStyle w:val="libBold2Char"/>
          <w:rtl/>
        </w:rPr>
        <w:t xml:space="preserve"> / 4.</w:t>
      </w:r>
      <w:r w:rsidRPr="005D642E">
        <w:rPr>
          <w:rtl/>
          <w:lang w:bidi="fa-IR"/>
        </w:rPr>
        <w:t xml:space="preserve"> عَلِيُّ بْنُ إِبْرَاهِيمَ ، عَنْ أَبِيهِ ، عَنِ ابْنِ أَبِي عُمَيْرٍ ، عَنْ حَمَّادِ بْنِ عُثْمَانَ ، عَنْ‌</w:t>
      </w:r>
      <w:r>
        <w:rPr>
          <w:rFonts w:hint="cs"/>
          <w:rtl/>
          <w:lang w:bidi="fa-IR"/>
        </w:rPr>
        <w:t xml:space="preserve"> </w:t>
      </w:r>
      <w:r w:rsidRPr="005D642E">
        <w:rPr>
          <w:rtl/>
          <w:lang w:bidi="fa-IR"/>
        </w:rPr>
        <w:t>عُبَيْدِ اللهِ الْحَلَبِيِّ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الْمُفَخِّذِ </w:t>
      </w:r>
      <w:r w:rsidRPr="007C12DB">
        <w:rPr>
          <w:rStyle w:val="libFootnotenumChar"/>
          <w:rtl/>
        </w:rPr>
        <w:t>(9)</w:t>
      </w:r>
      <w:r w:rsidRPr="005D642E">
        <w:rPr>
          <w:rtl/>
          <w:lang w:bidi="fa-IR"/>
        </w:rPr>
        <w:t xml:space="preserve"> : عَلَيْهِ </w:t>
      </w:r>
      <w:r w:rsidRPr="007C12DB">
        <w:rPr>
          <w:rStyle w:val="libFootnotenumChar"/>
          <w:rtl/>
        </w:rPr>
        <w:t>(10)</w:t>
      </w:r>
      <w:r w:rsidRPr="005D642E">
        <w:rPr>
          <w:rtl/>
          <w:lang w:bidi="fa-IR"/>
        </w:rPr>
        <w:t xml:space="preserve"> غُسْلٌ</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ى ، بح ، بخ ، بس ، بف » : « الحسين »</w:t>
      </w:r>
      <w:r w:rsidR="00E3253D">
        <w:rPr>
          <w:rtl/>
        </w:rPr>
        <w:t>.</w:t>
      </w:r>
      <w:r w:rsidR="00E3253D" w:rsidRPr="005D642E">
        <w:rPr>
          <w:rtl/>
        </w:rPr>
        <w:t xml:space="preserve"> وهو سهو ؛ فقد روى أحمد بن محمّد ، عن الحسن بن عليّ بن‌يقطين ، عن أخيه الحسين ، كتاب والدهما عليّ بن يقطين ، وتوسّط الحسن بن عليّ بن يقطين بين أحمد بن محمّد [ بن عيسى ] وبين أخيه الحسين في كثير من الأسناد. راجع : </w:t>
      </w:r>
      <w:r w:rsidR="0059794D" w:rsidRPr="0059794D">
        <w:rPr>
          <w:rStyle w:val="libFootnoteBoldChar"/>
          <w:rtl/>
        </w:rPr>
        <w:t>الفهرست للطوسي</w:t>
      </w:r>
      <w:r w:rsidR="00E3253D" w:rsidRPr="005D642E">
        <w:rPr>
          <w:rtl/>
        </w:rPr>
        <w:t xml:space="preserve"> ، ص 270 ، الرقم 389 ؛ </w:t>
      </w:r>
      <w:r w:rsidR="00E3253D" w:rsidRPr="002F4D34">
        <w:rPr>
          <w:rStyle w:val="libFootnoteBoldChar"/>
          <w:rtl/>
        </w:rPr>
        <w:t>معجم رجال الحديث</w:t>
      </w:r>
      <w:r w:rsidR="00E3253D" w:rsidRPr="005D642E">
        <w:rPr>
          <w:rtl/>
        </w:rPr>
        <w:t xml:space="preserve"> ، ج 5 ، ص 316</w:t>
      </w:r>
      <w:r w:rsidR="00E3253D">
        <w:rPr>
          <w:rtl/>
        </w:rPr>
        <w:t xml:space="preserve"> </w:t>
      </w:r>
      <w:r w:rsidR="007642BC">
        <w:rPr>
          <w:rtl/>
        </w:rPr>
        <w:t>-</w:t>
      </w:r>
      <w:r w:rsidR="00E3253D">
        <w:rPr>
          <w:rtl/>
        </w:rPr>
        <w:t xml:space="preserve"> </w:t>
      </w:r>
      <w:r w:rsidR="00E3253D" w:rsidRPr="005D642E">
        <w:rPr>
          <w:rtl/>
        </w:rPr>
        <w:t>317.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الاستبصار : « الحسين بن عليّ ، عن أبيه » بدل « الحسين ، عن عليّ بن يقطين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بخ ، بس ، بف » </w:t>
      </w:r>
      <w:r w:rsidR="000D749A" w:rsidRPr="000D749A">
        <w:rPr>
          <w:rStyle w:val="libFootnoteBoldChar"/>
          <w:rtl/>
        </w:rPr>
        <w:t>والوافي</w:t>
      </w:r>
      <w:r w:rsidR="00E3253D" w:rsidRPr="005D642E">
        <w:rPr>
          <w:rtl/>
        </w:rPr>
        <w:t xml:space="preserve"> : « ولم ينزل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عليها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ولا ينزل عليها</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ولم يفض إليها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 الغسل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 « وضع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118 ، ح 311 ؛ </w:t>
      </w:r>
      <w:r w:rsidR="00E3253D" w:rsidRPr="00E678B5">
        <w:rPr>
          <w:rStyle w:val="libFootnoteBoldChar"/>
          <w:rtl/>
        </w:rPr>
        <w:t>والاستبصار</w:t>
      </w:r>
      <w:r w:rsidR="00E3253D" w:rsidRPr="005D642E">
        <w:rPr>
          <w:rtl/>
        </w:rPr>
        <w:t xml:space="preserve"> ، ج 1 ، ص 109 ، ح 360 ، بسندهما عن الكليني </w:t>
      </w:r>
      <w:r w:rsidR="00B75968">
        <w:rPr>
          <w:rFonts w:hint="cs"/>
          <w:rtl/>
        </w:rPr>
        <w:t>.</w:t>
      </w:r>
      <w:r w:rsidR="00E3253D" w:rsidRPr="002F4D34">
        <w:rPr>
          <w:rStyle w:val="libFootnoteBoldChar"/>
          <w:rtl/>
        </w:rPr>
        <w:t>الوافي</w:t>
      </w:r>
      <w:r w:rsidR="00E3253D" w:rsidRPr="005D642E">
        <w:rPr>
          <w:rtl/>
        </w:rPr>
        <w:t xml:space="preserve"> ، ج 6 ، ص 398 ، ح 4542 ؛ </w:t>
      </w:r>
      <w:r w:rsidR="00E3253D" w:rsidRPr="002F4D34">
        <w:rPr>
          <w:rStyle w:val="libFootnoteBoldChar"/>
          <w:rtl/>
        </w:rPr>
        <w:t>الوسائل</w:t>
      </w:r>
      <w:r w:rsidR="00E3253D" w:rsidRPr="005D642E">
        <w:rPr>
          <w:rtl/>
        </w:rPr>
        <w:t xml:space="preserve"> ، ج 2 ، ص 183 ، ح 1877.</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اللغة : تَفَخَّذَ الرجلُ المرأةَ وفخّذها تفخيذاً وفاخَذَها : جلس بين فخذيها كجلوس المجامع أو فوقهما وربّما استمنى بذلك. وقال الشيخ البهائي : « المفخّذ</w:t>
      </w:r>
      <w:r w:rsidR="00E3253D">
        <w:rPr>
          <w:rtl/>
        </w:rPr>
        <w:t xml:space="preserve"> ..</w:t>
      </w:r>
      <w:r w:rsidR="00E3253D" w:rsidRPr="005D642E">
        <w:rPr>
          <w:rtl/>
        </w:rPr>
        <w:t>. يراد به من أصاب فيما بين الفخذين إمّا من دون إيلاج أصلاً ، أو مع إيلاج ما دون الحشفة »</w:t>
      </w:r>
      <w:r w:rsidR="00E3253D">
        <w:rPr>
          <w:rtl/>
        </w:rPr>
        <w:t>.</w:t>
      </w:r>
      <w:r w:rsidR="00E3253D" w:rsidRPr="005D642E">
        <w:rPr>
          <w:rtl/>
        </w:rPr>
        <w:t xml:space="preserve"> راجع : </w:t>
      </w:r>
      <w:r w:rsidR="00E3253D" w:rsidRPr="002F4D34">
        <w:rPr>
          <w:rStyle w:val="libFootnoteBoldChar"/>
          <w:rtl/>
        </w:rPr>
        <w:t>المغرب</w:t>
      </w:r>
      <w:r w:rsidR="00E3253D" w:rsidRPr="005D642E">
        <w:rPr>
          <w:rtl/>
        </w:rPr>
        <w:t xml:space="preserve"> ، ص 352 ؛ </w:t>
      </w:r>
      <w:r w:rsidR="00E3253D" w:rsidRPr="002F4D34">
        <w:rPr>
          <w:rStyle w:val="libFootnoteBoldChar"/>
          <w:rtl/>
        </w:rPr>
        <w:t>المصباح المنير</w:t>
      </w:r>
      <w:r w:rsidR="00E3253D" w:rsidRPr="005D642E">
        <w:rPr>
          <w:rtl/>
        </w:rPr>
        <w:t xml:space="preserve"> ، ص 464 ( فخذ ) ؛ </w:t>
      </w:r>
      <w:r w:rsidR="00E3253D" w:rsidRPr="002F4D34">
        <w:rPr>
          <w:rStyle w:val="libFootnoteBoldChar"/>
          <w:rtl/>
        </w:rPr>
        <w:t>الحبل المتين</w:t>
      </w:r>
      <w:r w:rsidR="00E3253D" w:rsidRPr="005D642E">
        <w:rPr>
          <w:rtl/>
        </w:rPr>
        <w:t xml:space="preserve"> ، ص 139.</w:t>
      </w:r>
    </w:p>
    <w:p w:rsidR="00E3253D" w:rsidRPr="005D642E" w:rsidRDefault="0042621E" w:rsidP="00E3253D">
      <w:pPr>
        <w:pStyle w:val="libFootnote0"/>
        <w:rPr>
          <w:rtl/>
          <w:lang w:bidi="fa-IR"/>
        </w:rPr>
      </w:pPr>
      <w:r w:rsidRPr="0042621E">
        <w:rPr>
          <w:rStyle w:val="libFootnote0Char"/>
          <w:rtl/>
        </w:rPr>
        <w:t>(10).</w:t>
      </w:r>
      <w:r w:rsidR="00E3253D">
        <w:rPr>
          <w:rtl/>
        </w:rPr>
        <w:t xml:space="preserve"> في التهذيب </w:t>
      </w:r>
      <w:r w:rsidR="00E3253D" w:rsidRPr="00E678B5">
        <w:rPr>
          <w:rStyle w:val="libFootnoteBoldChar"/>
          <w:rtl/>
        </w:rPr>
        <w:t>والاستبصار</w:t>
      </w:r>
      <w:r w:rsidR="00E3253D">
        <w:rPr>
          <w:rtl/>
        </w:rPr>
        <w:t xml:space="preserve"> : « أ</w:t>
      </w:r>
      <w:r w:rsidR="00E3253D" w:rsidRPr="005D642E">
        <w:rPr>
          <w:rtl/>
        </w:rPr>
        <w:t>عليه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نَعَمْ ، إِذَا أَنْزَلَ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7121C6">
        <w:rPr>
          <w:rtl/>
        </w:rPr>
        <w:t>4028</w:t>
      </w:r>
      <w:r w:rsidRPr="00246318">
        <w:rPr>
          <w:rStyle w:val="libBold2Char"/>
          <w:rtl/>
        </w:rPr>
        <w:t xml:space="preserve"> / 5.</w:t>
      </w:r>
      <w:r w:rsidRPr="005D642E">
        <w:rPr>
          <w:rtl/>
          <w:lang w:bidi="fa-IR"/>
        </w:rPr>
        <w:t xml:space="preserve"> عِدَّةٌ مِنْ أَصْحَابِنَا ، عَنْ أَحْمَدَ بْنِ مُحَمَّدٍ ، عَنْ إِسْمَاعِيلَ بْن</w:t>
      </w:r>
      <w:r w:rsidR="00B75968">
        <w:rPr>
          <w:rtl/>
          <w:lang w:bidi="fa-IR"/>
        </w:rPr>
        <w:t>ِ سَعْدٍ الْأَشْعَرِيِّ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الرِّضَا </w:t>
      </w:r>
      <w:r w:rsidRPr="00AC51C5">
        <w:rPr>
          <w:rStyle w:val="libAlaemChar"/>
          <w:rtl/>
        </w:rPr>
        <w:t>عليه‌السلام</w:t>
      </w:r>
      <w:r w:rsidRPr="005D642E">
        <w:rPr>
          <w:rtl/>
          <w:lang w:bidi="fa-IR"/>
        </w:rPr>
        <w:t xml:space="preserve"> عَنِ الرَّجُلِ يَلْمِسُ فَرْجَ جَارِيَتِهِ حَتّى تُنْزِلَ </w:t>
      </w:r>
      <w:r w:rsidRPr="007C12DB">
        <w:rPr>
          <w:rStyle w:val="libFootnotenumChar"/>
          <w:rtl/>
        </w:rPr>
        <w:t>(3)</w:t>
      </w:r>
      <w:r w:rsidRPr="005D642E">
        <w:rPr>
          <w:rtl/>
          <w:lang w:bidi="fa-IR"/>
        </w:rPr>
        <w:t xml:space="preserve"> الْمَاءَ مِنْ غَيْرِ أَنْ يُبَاشِرَ ، يَعْبَثُ بِهَا بِيَدِهِ حَتّى تُنْزِلَ </w:t>
      </w:r>
      <w:r w:rsidRPr="007C12DB">
        <w:rPr>
          <w:rStyle w:val="libFootnotenumChar"/>
          <w:rtl/>
        </w:rPr>
        <w:t>(4)</w:t>
      </w:r>
      <w:r>
        <w:rPr>
          <w:rtl/>
          <w:lang w:bidi="fa-IR"/>
        </w:rPr>
        <w:t>؟</w:t>
      </w:r>
    </w:p>
    <w:p w:rsidR="00E3253D" w:rsidRPr="005D642E" w:rsidRDefault="00E3253D" w:rsidP="00E3253D">
      <w:pPr>
        <w:pStyle w:val="libNormal"/>
        <w:rPr>
          <w:rtl/>
          <w:lang w:bidi="fa-IR"/>
        </w:rPr>
      </w:pPr>
      <w:r w:rsidRPr="005D642E">
        <w:rPr>
          <w:rtl/>
          <w:lang w:bidi="fa-IR"/>
        </w:rPr>
        <w:t>قَالَ : « إِذَا أَنْزَلَتْ مِنْ شَهْوَةٍ ، فَعَلَيْهَا الْغُسْلُ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7121C6">
        <w:rPr>
          <w:rtl/>
        </w:rPr>
        <w:t>4029</w:t>
      </w:r>
      <w:r w:rsidRPr="00246318">
        <w:rPr>
          <w:rStyle w:val="libBold2Char"/>
          <w:rtl/>
        </w:rPr>
        <w:t xml:space="preserve"> / 6.</w:t>
      </w:r>
      <w:r w:rsidRPr="005D642E">
        <w:rPr>
          <w:rtl/>
          <w:lang w:bidi="fa-IR"/>
        </w:rPr>
        <w:t xml:space="preserve"> مُحَمَّدُ بْنُ يَحْيى ، عَنْ أَحْمَدَ بْنِ مُحَمَّدٍ ، عَنْ مُحَمَّدِ بْنِ إِسْمَاعِيلَ بْنِ بَزِيعٍ ، قَالَ :</w:t>
      </w:r>
    </w:p>
    <w:p w:rsidR="00E3253D" w:rsidRPr="005D642E" w:rsidRDefault="00E3253D" w:rsidP="00E3253D">
      <w:pPr>
        <w:pStyle w:val="libNormal"/>
        <w:rPr>
          <w:rtl/>
          <w:lang w:bidi="fa-IR"/>
        </w:rPr>
      </w:pPr>
      <w:r w:rsidRPr="005D642E">
        <w:rPr>
          <w:rtl/>
          <w:lang w:bidi="fa-IR"/>
        </w:rPr>
        <w:t xml:space="preserve">سَأَلْتُ الرِّضَا </w:t>
      </w:r>
      <w:r w:rsidRPr="00AC51C5">
        <w:rPr>
          <w:rStyle w:val="libAlaemChar"/>
          <w:rtl/>
        </w:rPr>
        <w:t>عليه‌السلام</w:t>
      </w:r>
      <w:r w:rsidRPr="005D642E">
        <w:rPr>
          <w:rtl/>
          <w:lang w:bidi="fa-IR"/>
        </w:rPr>
        <w:t xml:space="preserve"> عَنِ الرَّجُلِ يُجَامِعُ الْمَرْأَةَ فِيمَا دُونَ الْفَرْجِ ، وَتُنْزِلُ </w:t>
      </w:r>
      <w:r w:rsidRPr="007C12DB">
        <w:rPr>
          <w:rStyle w:val="libFootnotenumChar"/>
          <w:rtl/>
        </w:rPr>
        <w:t>(6)</w:t>
      </w:r>
      <w:r w:rsidRPr="005D642E">
        <w:rPr>
          <w:rtl/>
          <w:lang w:bidi="fa-IR"/>
        </w:rPr>
        <w:t xml:space="preserve"> الْمَرْأَةُ : عَلَيْهَا </w:t>
      </w:r>
      <w:r w:rsidRPr="007C12DB">
        <w:rPr>
          <w:rStyle w:val="libFootnotenumChar"/>
          <w:rtl/>
        </w:rPr>
        <w:t>(7)</w:t>
      </w:r>
      <w:r w:rsidRPr="005D642E">
        <w:rPr>
          <w:rtl/>
          <w:lang w:bidi="fa-IR"/>
        </w:rPr>
        <w:t xml:space="preserve"> غُسْلٌ</w:t>
      </w:r>
      <w:r>
        <w:rPr>
          <w:rtl/>
          <w:lang w:bidi="fa-IR"/>
        </w:rPr>
        <w:t>؟</w:t>
      </w:r>
      <w:r w:rsidRPr="005D642E">
        <w:rPr>
          <w:rtl/>
          <w:lang w:bidi="fa-IR"/>
        </w:rPr>
        <w:t xml:space="preserve"> قَالَ : « نَعَمْ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7121C6">
        <w:rPr>
          <w:rtl/>
        </w:rPr>
        <w:t>4030</w:t>
      </w:r>
      <w:r w:rsidRPr="00246318">
        <w:rPr>
          <w:rStyle w:val="libBold2Char"/>
          <w:rtl/>
        </w:rPr>
        <w:t xml:space="preserve"> / 7.</w:t>
      </w:r>
      <w:r w:rsidRPr="005D642E">
        <w:rPr>
          <w:rtl/>
          <w:lang w:bidi="fa-IR"/>
        </w:rPr>
        <w:t xml:space="preserve"> الْحُسَيْنُ بْنُ مُحَمَّدٍ ، عَنْ عَبْدِ اللهِ بْنِ عَامِرٍ ، عَنْ عَلِيِّ بْنِ مَهْزِيَارَ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بس » : « نزل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119 ، ح 313 ؛ </w:t>
      </w:r>
      <w:r w:rsidR="00E3253D" w:rsidRPr="00E678B5">
        <w:rPr>
          <w:rStyle w:val="libFootnoteBoldChar"/>
          <w:rtl/>
        </w:rPr>
        <w:t>والاستبصار</w:t>
      </w:r>
      <w:r w:rsidR="00E3253D" w:rsidRPr="005D642E">
        <w:rPr>
          <w:rtl/>
        </w:rPr>
        <w:t xml:space="preserve"> ، ج 1 ، ص 104 ، ح 341 ، بسندهما عن الكليني </w:t>
      </w:r>
      <w:r w:rsidR="000B6558">
        <w:rPr>
          <w:rFonts w:hint="cs"/>
          <w:rtl/>
        </w:rPr>
        <w:t>.</w:t>
      </w:r>
      <w:r w:rsidR="00E3253D" w:rsidRPr="002F4D34">
        <w:rPr>
          <w:rStyle w:val="libFootnoteBoldChar"/>
          <w:rtl/>
        </w:rPr>
        <w:t>الوافي</w:t>
      </w:r>
      <w:r w:rsidR="00E3253D" w:rsidRPr="005D642E">
        <w:rPr>
          <w:rtl/>
        </w:rPr>
        <w:t xml:space="preserve"> ، ج 6 ، ص 399 ، ح 4545 ؛ </w:t>
      </w:r>
      <w:r w:rsidR="00E3253D" w:rsidRPr="002F4D34">
        <w:rPr>
          <w:rStyle w:val="libFootnoteBoldChar"/>
          <w:rtl/>
        </w:rPr>
        <w:t>الوسائل</w:t>
      </w:r>
      <w:r w:rsidR="00E3253D" w:rsidRPr="005D642E">
        <w:rPr>
          <w:rtl/>
        </w:rPr>
        <w:t xml:space="preserve"> ، ج 2 ، ص 186 ، ح 1884.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بح ، بخ ، بس ، جس » </w:t>
      </w:r>
      <w:r w:rsidR="00B60612" w:rsidRPr="00B60612">
        <w:rPr>
          <w:rStyle w:val="libFootnoteBoldChar"/>
          <w:rtl/>
        </w:rPr>
        <w:t>والتهذيب</w:t>
      </w:r>
      <w:r w:rsidR="00E3253D" w:rsidRPr="005D642E">
        <w:rPr>
          <w:rtl/>
        </w:rPr>
        <w:t xml:space="preserve"> ، ص 123 : « حتّى ينزل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 + « الماء »</w:t>
      </w:r>
      <w:r w:rsidR="00E3253D">
        <w:rPr>
          <w:rtl/>
        </w:rPr>
        <w:t>.</w:t>
      </w:r>
      <w:r w:rsidR="00E3253D" w:rsidRPr="005D642E">
        <w:rPr>
          <w:rtl/>
        </w:rPr>
        <w:t xml:space="preserve"> وفي « بث ، بخ ، بس ، جس » : « حتّى ينزل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123 ، ح 327 ؛ </w:t>
      </w:r>
      <w:r w:rsidR="00E3253D" w:rsidRPr="00E678B5">
        <w:rPr>
          <w:rStyle w:val="libFootnoteBoldChar"/>
          <w:rtl/>
        </w:rPr>
        <w:t>والاستبصار</w:t>
      </w:r>
      <w:r w:rsidR="00E3253D" w:rsidRPr="005D642E">
        <w:rPr>
          <w:rtl/>
        </w:rPr>
        <w:t xml:space="preserve"> ، ج 1 ، ص 108 ، ح 354 ، بسندهما عن أحمد بن محمّد. وفي </w:t>
      </w:r>
      <w:r w:rsidR="00E3253D" w:rsidRPr="002F4D34">
        <w:rPr>
          <w:rStyle w:val="libFootnoteBoldChar"/>
          <w:rtl/>
        </w:rPr>
        <w:t>التهذيب</w:t>
      </w:r>
      <w:r w:rsidR="00E3253D" w:rsidRPr="005D642E">
        <w:rPr>
          <w:rtl/>
        </w:rPr>
        <w:t xml:space="preserve"> ، ج 1 ، ص 122 ، ح 325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105 ، ح 346 ، بسند آخر عن العبد الصالح </w:t>
      </w:r>
      <w:r w:rsidR="00E3253D" w:rsidRPr="000B6558">
        <w:rPr>
          <w:rStyle w:val="libFootnoteAlaemChar"/>
          <w:rtl/>
        </w:rPr>
        <w:t>عليه‌السلام</w:t>
      </w:r>
      <w:r w:rsidR="00E3253D" w:rsidRPr="005D642E">
        <w:rPr>
          <w:rtl/>
        </w:rPr>
        <w:t xml:space="preserve"> ، مع اختلاف يسير </w:t>
      </w:r>
      <w:r w:rsidR="00B73EBE">
        <w:rPr>
          <w:rFonts w:hint="cs"/>
          <w:rtl/>
        </w:rPr>
        <w:t>.</w:t>
      </w:r>
      <w:r w:rsidR="00E3253D" w:rsidRPr="002F4D34">
        <w:rPr>
          <w:rStyle w:val="libFootnoteBoldChar"/>
          <w:rtl/>
        </w:rPr>
        <w:t>الوافي</w:t>
      </w:r>
      <w:r w:rsidR="00E3253D" w:rsidRPr="005D642E">
        <w:rPr>
          <w:rtl/>
        </w:rPr>
        <w:t xml:space="preserve"> ، ج 6 ، ص 407 ، ح 4564 ؛ </w:t>
      </w:r>
      <w:r w:rsidR="00E3253D" w:rsidRPr="002F4D34">
        <w:rPr>
          <w:rStyle w:val="libFootnoteBoldChar"/>
          <w:rtl/>
        </w:rPr>
        <w:t>الوسائل</w:t>
      </w:r>
      <w:r w:rsidR="00E3253D" w:rsidRPr="005D642E">
        <w:rPr>
          <w:rtl/>
        </w:rPr>
        <w:t xml:space="preserve"> ، ج 2 ، ص 186 ، ح 1885.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جس » : « وينزل »</w:t>
      </w:r>
      <w:r w:rsidR="00E3253D">
        <w:rPr>
          <w:rtl/>
        </w:rPr>
        <w:t>.</w:t>
      </w:r>
      <w:r w:rsidR="00E3253D" w:rsidRPr="005D642E">
        <w:rPr>
          <w:rtl/>
        </w:rPr>
        <w:t xml:space="preserve"> وفي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فتنزل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Pr>
          <w:rtl/>
        </w:rPr>
        <w:t xml:space="preserve"> في حاشية « بخ » : « أ</w:t>
      </w:r>
      <w:r w:rsidR="00E3253D" w:rsidRPr="005D642E">
        <w:rPr>
          <w:rtl/>
        </w:rPr>
        <w:t>عليها »</w:t>
      </w:r>
      <w:r w:rsidR="00E3253D">
        <w:rPr>
          <w:rtl/>
        </w:rPr>
        <w:t>.</w:t>
      </w:r>
      <w:r w:rsidR="00E3253D" w:rsidRPr="005D642E">
        <w:rPr>
          <w:rtl/>
        </w:rPr>
        <w:t xml:space="preserve"> وفي الوافي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هل عليها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123 ، ح 328 ؛ </w:t>
      </w:r>
      <w:r w:rsidR="00E3253D" w:rsidRPr="00E678B5">
        <w:rPr>
          <w:rStyle w:val="libFootnoteBoldChar"/>
          <w:rtl/>
        </w:rPr>
        <w:t>والاستبصار</w:t>
      </w:r>
      <w:r w:rsidR="00E3253D" w:rsidRPr="005D642E">
        <w:rPr>
          <w:rtl/>
        </w:rPr>
        <w:t xml:space="preserve"> ، ج 1 ، ص 108 ، ح 355 ، معلّقاً عن أحمد بن محمّد. </w:t>
      </w:r>
      <w:r w:rsidR="00E3253D" w:rsidRPr="002F4D34">
        <w:rPr>
          <w:rStyle w:val="libFootnoteBoldChar"/>
          <w:rtl/>
        </w:rPr>
        <w:t>الجعفريّات</w:t>
      </w:r>
      <w:r w:rsidR="00E3253D" w:rsidRPr="005D642E">
        <w:rPr>
          <w:rtl/>
        </w:rPr>
        <w:t xml:space="preserve"> ، ص 21 ، بسند آخر عن جعفر بن محمّد ، عن أبيه ، عن عليّ </w:t>
      </w:r>
      <w:r w:rsidR="00E3253D" w:rsidRPr="00365424">
        <w:rPr>
          <w:rStyle w:val="libFootnoteAlaemChar"/>
          <w:rtl/>
        </w:rPr>
        <w:t>عليهم‌السلام</w:t>
      </w:r>
      <w:r w:rsidR="00E3253D" w:rsidRPr="005D642E">
        <w:rPr>
          <w:rtl/>
        </w:rPr>
        <w:t xml:space="preserve">. </w:t>
      </w:r>
      <w:r w:rsidR="00E3253D" w:rsidRPr="002F4D34">
        <w:rPr>
          <w:rStyle w:val="libFootnoteBoldChar"/>
          <w:rtl/>
        </w:rPr>
        <w:t>الفقيه</w:t>
      </w:r>
      <w:r w:rsidR="00E3253D" w:rsidRPr="005D642E">
        <w:rPr>
          <w:rtl/>
        </w:rPr>
        <w:t xml:space="preserve"> ، ج 1 ، ص 84 ، ح 186 ، مرسلاً ، وفيهما مع اختلاف </w:t>
      </w:r>
      <w:r w:rsidR="00B73EBE">
        <w:rPr>
          <w:rFonts w:hint="cs"/>
          <w:rtl/>
        </w:rPr>
        <w:t>.</w:t>
      </w:r>
      <w:r w:rsidR="00E3253D" w:rsidRPr="002F4D34">
        <w:rPr>
          <w:rStyle w:val="libFootnoteBoldChar"/>
          <w:rtl/>
        </w:rPr>
        <w:t>الوافي</w:t>
      </w:r>
      <w:r w:rsidR="00E3253D" w:rsidRPr="005D642E">
        <w:rPr>
          <w:rtl/>
        </w:rPr>
        <w:t xml:space="preserve"> ، ج 6 ، ص 407 ، ح 4566 ؛ </w:t>
      </w:r>
      <w:r w:rsidR="00E3253D" w:rsidRPr="002F4D34">
        <w:rPr>
          <w:rStyle w:val="libFootnoteBoldChar"/>
          <w:rtl/>
        </w:rPr>
        <w:t>الوسائل</w:t>
      </w:r>
      <w:r w:rsidR="00E3253D" w:rsidRPr="005D642E">
        <w:rPr>
          <w:rtl/>
        </w:rPr>
        <w:t xml:space="preserve"> ، ج 2 ، ص 186 ، ح 1886.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الْحُسَيْنِ بْنِ سَعِيدٍ ، عَنْ مُحَمَّدِ بْنِ الْفُضَيْلِ ، قَالَ :</w:t>
      </w:r>
    </w:p>
    <w:p w:rsidR="00E3253D" w:rsidRPr="005D642E" w:rsidRDefault="00E3253D" w:rsidP="00E3253D">
      <w:pPr>
        <w:pStyle w:val="libNormal"/>
        <w:rPr>
          <w:rtl/>
          <w:lang w:bidi="fa-IR"/>
        </w:rPr>
      </w:pPr>
      <w:r w:rsidRPr="005D642E">
        <w:rPr>
          <w:rtl/>
          <w:lang w:bidi="fa-IR"/>
        </w:rPr>
        <w:t xml:space="preserve">سَأَلْتُ أَبَا الْحَسَنِ </w:t>
      </w:r>
      <w:r w:rsidRPr="00AC51C5">
        <w:rPr>
          <w:rStyle w:val="libAlaemChar"/>
          <w:rtl/>
        </w:rPr>
        <w:t>عليه‌السلام</w:t>
      </w:r>
      <w:r w:rsidRPr="005D642E">
        <w:rPr>
          <w:rtl/>
          <w:lang w:bidi="fa-IR"/>
        </w:rPr>
        <w:t xml:space="preserve"> عَنِ الْمَرْأَةِ تُعَانِقُ زَوْجَهَا مِنْ خَلْفِهِ ، فَتَحَرَّكُ </w:t>
      </w:r>
      <w:r w:rsidRPr="007C12DB">
        <w:rPr>
          <w:rStyle w:val="libFootnotenumChar"/>
          <w:rtl/>
        </w:rPr>
        <w:t>(1)</w:t>
      </w:r>
      <w:r w:rsidRPr="005D642E">
        <w:rPr>
          <w:rtl/>
          <w:lang w:bidi="fa-IR"/>
        </w:rPr>
        <w:t xml:space="preserve"> عَلى ظَهْرِهِ ، فَتَأْتِيهَا </w:t>
      </w:r>
      <w:r w:rsidRPr="007C12DB">
        <w:rPr>
          <w:rStyle w:val="libFootnotenumChar"/>
          <w:rtl/>
        </w:rPr>
        <w:t>(2)</w:t>
      </w:r>
      <w:r w:rsidRPr="005D642E">
        <w:rPr>
          <w:rtl/>
          <w:lang w:bidi="fa-IR"/>
        </w:rPr>
        <w:t xml:space="preserve"> الشَّهْوَةُ ، فَتُنْزِلُ </w:t>
      </w:r>
      <w:r w:rsidRPr="007C12DB">
        <w:rPr>
          <w:rStyle w:val="libFootnotenumChar"/>
          <w:rtl/>
        </w:rPr>
        <w:t>(3)</w:t>
      </w:r>
      <w:r w:rsidRPr="005D642E">
        <w:rPr>
          <w:rtl/>
          <w:lang w:bidi="fa-IR"/>
        </w:rPr>
        <w:t xml:space="preserve"> الْمَاءَ : عَلَيْهَا </w:t>
      </w:r>
      <w:r w:rsidRPr="007C12DB">
        <w:rPr>
          <w:rStyle w:val="libFootnotenumChar"/>
          <w:rtl/>
        </w:rPr>
        <w:t>(4)</w:t>
      </w:r>
      <w:r w:rsidRPr="005D642E">
        <w:rPr>
          <w:rtl/>
          <w:lang w:bidi="fa-IR"/>
        </w:rPr>
        <w:t xml:space="preserve"> الْغُسْلُ ، أَوْ لَايَجِبُ عَلَيْهَا الْغُسْلُ</w:t>
      </w:r>
      <w:r>
        <w:rPr>
          <w:rtl/>
          <w:lang w:bidi="fa-IR"/>
        </w:rPr>
        <w:t>؟</w:t>
      </w:r>
    </w:p>
    <w:p w:rsidR="00E3253D" w:rsidRPr="005D642E" w:rsidRDefault="00E3253D" w:rsidP="00E3253D">
      <w:pPr>
        <w:pStyle w:val="libNormal"/>
        <w:rPr>
          <w:rtl/>
          <w:lang w:bidi="fa-IR"/>
        </w:rPr>
      </w:pPr>
      <w:r w:rsidRPr="005D642E">
        <w:rPr>
          <w:rtl/>
          <w:lang w:bidi="fa-IR"/>
        </w:rPr>
        <w:t xml:space="preserve">قَالَ : « إِذَا جَاءَتْهَا </w:t>
      </w:r>
      <w:r w:rsidRPr="007C12DB">
        <w:rPr>
          <w:rStyle w:val="libFootnotenumChar"/>
          <w:rtl/>
        </w:rPr>
        <w:t>(5)</w:t>
      </w:r>
      <w:r w:rsidRPr="005D642E">
        <w:rPr>
          <w:rtl/>
          <w:lang w:bidi="fa-IR"/>
        </w:rPr>
        <w:t xml:space="preserve"> الشَّهْوَةُ فَأَنْزَلَتِ </w:t>
      </w:r>
      <w:r w:rsidRPr="007C12DB">
        <w:rPr>
          <w:rStyle w:val="libFootnotenumChar"/>
          <w:rtl/>
        </w:rPr>
        <w:t>(6)</w:t>
      </w:r>
      <w:r w:rsidRPr="005D642E">
        <w:rPr>
          <w:rtl/>
          <w:lang w:bidi="fa-IR"/>
        </w:rPr>
        <w:t xml:space="preserve"> الْمَاءَ ، وَجَبَ عَلَيْهَا </w:t>
      </w:r>
      <w:r w:rsidRPr="007C12DB">
        <w:rPr>
          <w:rStyle w:val="libFootnotenumChar"/>
          <w:rtl/>
        </w:rPr>
        <w:t>(7)</w:t>
      </w:r>
      <w:r w:rsidRPr="005D642E">
        <w:rPr>
          <w:rtl/>
          <w:lang w:bidi="fa-IR"/>
        </w:rPr>
        <w:t xml:space="preserve"> الْغُسْلُ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7121C6">
        <w:rPr>
          <w:rtl/>
        </w:rPr>
        <w:t>4031</w:t>
      </w:r>
      <w:r w:rsidRPr="00246318">
        <w:rPr>
          <w:rStyle w:val="libBold2Char"/>
          <w:rtl/>
        </w:rPr>
        <w:t xml:space="preserve"> / 8.</w:t>
      </w:r>
      <w:r w:rsidRPr="005D642E">
        <w:rPr>
          <w:rtl/>
          <w:lang w:bidi="fa-IR"/>
        </w:rPr>
        <w:t xml:space="preserve"> مُحَمَّدُ بْنُ يَحْيى ، عَنْ أَحْمَدَ بْنِ مُحَمَّدٍ ، عَنِ الْبَرْقِيِّ رَفَعَهُ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w:t>
      </w:r>
      <w:r w:rsidRPr="007C12DB">
        <w:rPr>
          <w:rStyle w:val="libFootnotenumChar"/>
          <w:rtl/>
        </w:rPr>
        <w:t>(9)</w:t>
      </w:r>
      <w:r w:rsidRPr="005D642E">
        <w:rPr>
          <w:rtl/>
          <w:lang w:bidi="fa-IR"/>
        </w:rPr>
        <w:t xml:space="preserve"> ، قَالَ : « إِذَا أَتَى الرَّجُلُ الْمَرْأَةَ فِي دُبُرِهَا فَلَمْ يُنْزِلْ </w:t>
      </w:r>
      <w:r w:rsidRPr="007C12DB">
        <w:rPr>
          <w:rStyle w:val="libFootnotenumChar"/>
          <w:rtl/>
        </w:rPr>
        <w:t>(10)</w:t>
      </w:r>
      <w:r w:rsidRPr="005D642E">
        <w:rPr>
          <w:rtl/>
          <w:lang w:bidi="fa-IR"/>
        </w:rPr>
        <w:t xml:space="preserve"> ، فَلَا غُسْلَ عَلَيْهِمَا ، وَإِنْ </w:t>
      </w:r>
      <w:r w:rsidRPr="007C12DB">
        <w:rPr>
          <w:rStyle w:val="libFootnotenumChar"/>
          <w:rtl/>
        </w:rPr>
        <w:t>(11)</w:t>
      </w:r>
      <w:r w:rsidRPr="005D642E">
        <w:rPr>
          <w:rtl/>
          <w:lang w:bidi="fa-IR"/>
        </w:rPr>
        <w:t xml:space="preserve"> أَنْزَلَ ، فَعَلَيْهِ الْغُسْلُ ، وَلَاغُسْلَ عَلَيْهَا </w:t>
      </w:r>
      <w:r w:rsidRPr="007C12DB">
        <w:rPr>
          <w:rStyle w:val="libFootnotenumChar"/>
          <w:rtl/>
        </w:rPr>
        <w:t>(12)</w:t>
      </w:r>
      <w:r w:rsidRPr="005D642E">
        <w:rPr>
          <w:rtl/>
          <w:lang w:bidi="fa-IR"/>
        </w:rPr>
        <w:t xml:space="preserve"> »</w:t>
      </w:r>
      <w:r>
        <w:rPr>
          <w:rtl/>
          <w:lang w:bidi="fa-IR"/>
        </w:rPr>
        <w:t>.</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 « فتتحرّك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 « فيأتيها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فينزل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Pr>
          <w:rtl/>
        </w:rPr>
        <w:t xml:space="preserve"> في « بح ، جح » : « أ</w:t>
      </w:r>
      <w:r w:rsidR="00E3253D" w:rsidRPr="005D642E">
        <w:rPr>
          <w:rtl/>
        </w:rPr>
        <w:t>عليها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إذا جاءت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بس ، بف » </w:t>
      </w:r>
      <w:r w:rsidR="000D749A" w:rsidRPr="000D749A">
        <w:rPr>
          <w:rStyle w:val="libFootnoteBoldChar"/>
          <w:rtl/>
        </w:rPr>
        <w:t>والوافي</w:t>
      </w:r>
      <w:r w:rsidR="00E3253D" w:rsidRPr="005D642E">
        <w:rPr>
          <w:rtl/>
        </w:rPr>
        <w:t xml:space="preserve"> : « وأنزلت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عليه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122 ، ح 326 ، بسنده عن الكليني. وفي </w:t>
      </w:r>
      <w:r w:rsidR="00E3253D" w:rsidRPr="002F4D34">
        <w:rPr>
          <w:rStyle w:val="libFootnoteBoldChar"/>
          <w:rtl/>
        </w:rPr>
        <w:t>التهذيب</w:t>
      </w:r>
      <w:r w:rsidR="00E3253D" w:rsidRPr="005D642E">
        <w:rPr>
          <w:rtl/>
        </w:rPr>
        <w:t xml:space="preserve"> ، ج 1 ، ص 121 ، ح 320 ؛ </w:t>
      </w:r>
      <w:r w:rsidR="00E3253D" w:rsidRPr="00E678B5">
        <w:rPr>
          <w:rStyle w:val="libFootnoteBoldChar"/>
          <w:rtl/>
        </w:rPr>
        <w:t>والاستبصار</w:t>
      </w:r>
      <w:r w:rsidR="00E3253D" w:rsidRPr="005D642E">
        <w:rPr>
          <w:rtl/>
        </w:rPr>
        <w:t xml:space="preserve"> ، ج 1 ، ص 105 ، ح 345 ، </w:t>
      </w:r>
      <w:r w:rsidR="00E3253D" w:rsidRPr="003B3913">
        <w:rPr>
          <w:rStyle w:val="libFootnoteBoldChar"/>
          <w:rtl/>
        </w:rPr>
        <w:t>وقرب الإسناد</w:t>
      </w:r>
      <w:r w:rsidR="00E3253D" w:rsidRPr="005D642E">
        <w:rPr>
          <w:rtl/>
        </w:rPr>
        <w:t xml:space="preserve"> ، ص 395 ، ح 1387 ، بسند آخر عن محمّد بن الفضيل ، مع اختلاف يسير. راجع : </w:t>
      </w:r>
      <w:r w:rsidR="00E3253D" w:rsidRPr="002F4D34">
        <w:rPr>
          <w:rStyle w:val="libFootnoteBoldChar"/>
          <w:rtl/>
        </w:rPr>
        <w:t>قرب الإسناد</w:t>
      </w:r>
      <w:r w:rsidR="00E3253D" w:rsidRPr="005D642E">
        <w:rPr>
          <w:rtl/>
        </w:rPr>
        <w:t xml:space="preserve"> ، ص 181 ، ح 670 ؛ </w:t>
      </w:r>
      <w:r w:rsidR="00E3253D" w:rsidRPr="007121C6">
        <w:rPr>
          <w:rtl/>
        </w:rPr>
        <w:t>و</w:t>
      </w:r>
      <w:r w:rsidR="00E3253D" w:rsidRPr="002F4D34">
        <w:rPr>
          <w:rStyle w:val="libFootnoteBoldChar"/>
          <w:rtl/>
        </w:rPr>
        <w:t>مسائل عليّ بن جعفر</w:t>
      </w:r>
      <w:r w:rsidR="00E3253D" w:rsidRPr="005D642E">
        <w:rPr>
          <w:rtl/>
        </w:rPr>
        <w:t xml:space="preserve"> ، ص 157 ، ح 230 </w:t>
      </w:r>
      <w:r w:rsidR="00BA1B51">
        <w:rPr>
          <w:rFonts w:hint="cs"/>
          <w:rtl/>
        </w:rPr>
        <w:t>.</w:t>
      </w:r>
      <w:r w:rsidR="00E3253D" w:rsidRPr="002F4D34">
        <w:rPr>
          <w:rStyle w:val="libFootnoteBoldChar"/>
          <w:rtl/>
        </w:rPr>
        <w:t>الوافي</w:t>
      </w:r>
      <w:r w:rsidR="00E3253D" w:rsidRPr="005D642E">
        <w:rPr>
          <w:rtl/>
        </w:rPr>
        <w:t xml:space="preserve"> ، ج 6 ، ص 408 ، ح 4568 ؛ </w:t>
      </w:r>
      <w:r w:rsidR="00E3253D" w:rsidRPr="002F4D34">
        <w:rPr>
          <w:rStyle w:val="libFootnoteBoldChar"/>
          <w:rtl/>
        </w:rPr>
        <w:t>الوسائل</w:t>
      </w:r>
      <w:r w:rsidR="00E3253D" w:rsidRPr="005D642E">
        <w:rPr>
          <w:rtl/>
        </w:rPr>
        <w:t xml:space="preserve"> ، ج 2 ، ص 187 ، ح 1887.</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حاشية « جح » : « إلى أبي عبدالله </w:t>
      </w:r>
      <w:r w:rsidR="00E3253D" w:rsidRPr="00BA1B51">
        <w:rPr>
          <w:rStyle w:val="libFootnoteAlaemChar"/>
          <w:rtl/>
        </w:rPr>
        <w:t>عليه‌السلام</w:t>
      </w:r>
      <w:r w:rsidR="00E3253D" w:rsidRPr="005D642E">
        <w:rPr>
          <w:rtl/>
        </w:rPr>
        <w:t xml:space="preserve"> »</w:t>
      </w:r>
      <w:r w:rsidR="00E3253D">
        <w:rPr>
          <w:rtl/>
        </w:rPr>
        <w:t>.</w:t>
      </w:r>
      <w:r w:rsidR="00E3253D" w:rsidRPr="005D642E">
        <w:rPr>
          <w:rtl/>
        </w:rPr>
        <w:t xml:space="preserve"> وفي الاستبصار :</w:t>
      </w:r>
      <w:r w:rsidR="00E3253D">
        <w:rPr>
          <w:rtl/>
        </w:rPr>
        <w:t xml:space="preserve"> </w:t>
      </w:r>
      <w:r w:rsidR="007642BC">
        <w:rPr>
          <w:rtl/>
        </w:rPr>
        <w:t>-</w:t>
      </w:r>
      <w:r w:rsidR="00E3253D">
        <w:rPr>
          <w:rtl/>
        </w:rPr>
        <w:t xml:space="preserve"> </w:t>
      </w:r>
      <w:r w:rsidR="00E3253D" w:rsidRPr="005D642E">
        <w:rPr>
          <w:rtl/>
        </w:rPr>
        <w:t xml:space="preserve">« عن أبي عبدالله </w:t>
      </w:r>
      <w:r w:rsidR="00E3253D" w:rsidRPr="002B0433">
        <w:rPr>
          <w:rStyle w:val="libFootnoteAlaemChar"/>
          <w:rtl/>
        </w:rPr>
        <w:t>عليه‌السلام</w:t>
      </w:r>
      <w:r w:rsidR="00E3253D" w:rsidRPr="005D642E">
        <w:rPr>
          <w:rtl/>
        </w:rPr>
        <w:t xml:space="preserve"> »</w:t>
      </w:r>
      <w:r w:rsidR="00E3253D">
        <w:rPr>
          <w:rtl/>
        </w:rPr>
        <w:t>.</w:t>
      </w:r>
    </w:p>
    <w:tbl>
      <w:tblPr>
        <w:tblStyle w:val="TableGrid"/>
        <w:bidiVisual/>
        <w:tblW w:w="0" w:type="auto"/>
        <w:tblLook w:val="04A0" w:firstRow="1" w:lastRow="0" w:firstColumn="1" w:lastColumn="0" w:noHBand="0" w:noVBand="1"/>
      </w:tblPr>
      <w:tblGrid>
        <w:gridCol w:w="4006"/>
        <w:gridCol w:w="4006"/>
      </w:tblGrid>
      <w:tr w:rsidR="002B0433" w:rsidTr="002B0433">
        <w:tc>
          <w:tcPr>
            <w:tcW w:w="4006" w:type="dxa"/>
          </w:tcPr>
          <w:p w:rsidR="002B0433" w:rsidRDefault="002B0433" w:rsidP="00E3253D">
            <w:pPr>
              <w:pStyle w:val="libFootnote0"/>
              <w:rPr>
                <w:rStyle w:val="libFootnote0Char"/>
                <w:rtl/>
              </w:rPr>
            </w:pPr>
            <w:r w:rsidRPr="0042621E">
              <w:rPr>
                <w:rStyle w:val="libFootnote0Char"/>
                <w:rtl/>
              </w:rPr>
              <w:t>(10).</w:t>
            </w:r>
            <w:r w:rsidRPr="005D642E">
              <w:rPr>
                <w:rtl/>
              </w:rPr>
              <w:t xml:space="preserve"> في « ظ » : « فلا ينزل »</w:t>
            </w:r>
            <w:r>
              <w:rPr>
                <w:rtl/>
              </w:rPr>
              <w:t>.</w:t>
            </w:r>
          </w:p>
        </w:tc>
        <w:tc>
          <w:tcPr>
            <w:tcW w:w="4006" w:type="dxa"/>
          </w:tcPr>
          <w:p w:rsidR="002B0433" w:rsidRDefault="002B0433" w:rsidP="00E3253D">
            <w:pPr>
              <w:pStyle w:val="libFootnote0"/>
              <w:rPr>
                <w:rStyle w:val="libFootnote0Char"/>
                <w:rtl/>
              </w:rPr>
            </w:pPr>
            <w:r w:rsidRPr="0042621E">
              <w:rPr>
                <w:rStyle w:val="libFootnote0Char"/>
                <w:rtl/>
              </w:rPr>
              <w:t>(11).</w:t>
            </w:r>
            <w:r w:rsidRPr="005D642E">
              <w:rPr>
                <w:rtl/>
              </w:rPr>
              <w:t xml:space="preserve"> في « ظ ، جس » </w:t>
            </w:r>
            <w:r w:rsidRPr="00B60612">
              <w:rPr>
                <w:rStyle w:val="libFootnoteBoldChar"/>
                <w:rtl/>
              </w:rPr>
              <w:t>والتهذيب</w:t>
            </w:r>
            <w:r w:rsidRPr="005D642E">
              <w:rPr>
                <w:rtl/>
              </w:rPr>
              <w:t xml:space="preserve"> : « فإن »</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قال في </w:t>
      </w:r>
      <w:r w:rsidR="00E3253D" w:rsidRPr="002F4D34">
        <w:rPr>
          <w:rStyle w:val="libFootnoteBoldChar"/>
          <w:rtl/>
        </w:rPr>
        <w:t>مرآة العقول</w:t>
      </w:r>
      <w:r w:rsidR="00E3253D" w:rsidRPr="005D642E">
        <w:rPr>
          <w:rtl/>
        </w:rPr>
        <w:t xml:space="preserve"> ، ج 13 ، ص 142 : « اختلف الأصحاب في وجوب الغسل بوطي دبر المرأة ، فالأكثرون</w:t>
      </w:r>
      <w:r w:rsidR="00E3253D">
        <w:rPr>
          <w:rtl/>
        </w:rPr>
        <w:t xml:space="preserve"> </w:t>
      </w:r>
      <w:r w:rsidR="007642BC">
        <w:rPr>
          <w:rtl/>
        </w:rPr>
        <w:t>-</w:t>
      </w:r>
      <w:r w:rsidR="00E3253D">
        <w:rPr>
          <w:rtl/>
        </w:rPr>
        <w:t xml:space="preserve"> </w:t>
      </w:r>
      <w:r w:rsidR="00E3253D" w:rsidRPr="005D642E">
        <w:rPr>
          <w:rtl/>
        </w:rPr>
        <w:t xml:space="preserve">ومنهم السيّد وابن الجنيد وابن </w:t>
      </w:r>
      <w:r w:rsidR="00CF63D3">
        <w:rPr>
          <w:rtl/>
        </w:rPr>
        <w:t>حمزة وابن إدريس والمحقّق والعل</w:t>
      </w:r>
      <w:r w:rsidR="00CF63D3">
        <w:rPr>
          <w:rFonts w:hint="cs"/>
          <w:rtl/>
        </w:rPr>
        <w:t>ّ</w:t>
      </w:r>
      <w:r w:rsidR="00CF63D3">
        <w:rPr>
          <w:rtl/>
        </w:rPr>
        <w:t>ا</w:t>
      </w:r>
      <w:r w:rsidR="00E3253D" w:rsidRPr="005D642E">
        <w:rPr>
          <w:rtl/>
        </w:rPr>
        <w:t>مة في جملة من كتبه</w:t>
      </w:r>
      <w:r w:rsidR="00E3253D">
        <w:rPr>
          <w:rtl/>
        </w:rPr>
        <w:t xml:space="preserve"> </w:t>
      </w:r>
      <w:r w:rsidR="007642BC">
        <w:rPr>
          <w:rtl/>
        </w:rPr>
        <w:t>-</w:t>
      </w:r>
      <w:r w:rsidR="00E3253D">
        <w:rPr>
          <w:rtl/>
        </w:rPr>
        <w:t xml:space="preserve"> </w:t>
      </w:r>
      <w:r w:rsidR="00E3253D" w:rsidRPr="005D642E">
        <w:rPr>
          <w:rtl/>
        </w:rPr>
        <w:t xml:space="preserve">على الوجوب ، والشيخ في </w:t>
      </w:r>
      <w:r w:rsidR="00E3253D" w:rsidRPr="002F4D34">
        <w:rPr>
          <w:rStyle w:val="libFootnoteBoldChar"/>
          <w:rtl/>
        </w:rPr>
        <w:t>الاستبصار</w:t>
      </w:r>
      <w:r w:rsidR="00E3253D" w:rsidRPr="005D642E">
        <w:rPr>
          <w:rtl/>
        </w:rPr>
        <w:t xml:space="preserve"> و</w:t>
      </w:r>
      <w:r w:rsidR="00E3253D" w:rsidRPr="002F4D34">
        <w:rPr>
          <w:rStyle w:val="libFootnoteBoldChar"/>
          <w:rtl/>
        </w:rPr>
        <w:t>النهاية</w:t>
      </w:r>
      <w:r w:rsidR="00E3253D" w:rsidRPr="005D642E">
        <w:rPr>
          <w:rtl/>
        </w:rPr>
        <w:t xml:space="preserve"> ، وكذا الصدوق وسلاّر إلى عدم الوجوب » ثمّ ذكر الاختلاف في دبر الرجل ووطي البهيمة ، وقال : « ولم يفرّقوا في جميع المراتب بين الفاعل والمفعول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التهذيب</w:t>
      </w:r>
      <w:r w:rsidR="00E3253D" w:rsidRPr="005D642E">
        <w:rPr>
          <w:rtl/>
        </w:rPr>
        <w:t xml:space="preserve"> ، ج 1 ، ص 125 ، ح 336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112 ، ح 371 ، معلّقاً عن أحمد بن محمّد </w:t>
      </w:r>
      <w:r w:rsidR="00FE2AE1">
        <w:rPr>
          <w:rFonts w:hint="cs"/>
          <w:rtl/>
        </w:rPr>
        <w:t>.</w:t>
      </w:r>
      <w:r w:rsidR="00E3253D" w:rsidRPr="002F4D34">
        <w:rPr>
          <w:rStyle w:val="libFootnoteBoldChar"/>
          <w:rtl/>
        </w:rPr>
        <w:t>الوافي</w:t>
      </w:r>
      <w:r w:rsidR="00E3253D" w:rsidRPr="005D642E">
        <w:rPr>
          <w:rtl/>
        </w:rPr>
        <w:t xml:space="preserve"> ، ج 6 ، ص 411 ، ح 4576 ؛ </w:t>
      </w:r>
      <w:r w:rsidR="00E3253D" w:rsidRPr="002F4D34">
        <w:rPr>
          <w:rStyle w:val="libFootnoteBoldChar"/>
          <w:rtl/>
        </w:rPr>
        <w:t>الوسائل</w:t>
      </w:r>
      <w:r w:rsidR="00E3253D" w:rsidRPr="005D642E">
        <w:rPr>
          <w:rtl/>
        </w:rPr>
        <w:t xml:space="preserve"> ، ج 2 ، ص 200 ، ح 1922.</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111" w:name="_Toc344647247"/>
      <w:bookmarkStart w:id="112" w:name="_Toc462226762"/>
      <w:bookmarkStart w:id="113" w:name="_Toc40975870"/>
      <w:r w:rsidRPr="005D642E">
        <w:rPr>
          <w:rtl/>
          <w:lang w:bidi="fa-IR"/>
        </w:rPr>
        <w:lastRenderedPageBreak/>
        <w:t>31</w:t>
      </w:r>
      <w:r>
        <w:rPr>
          <w:rtl/>
          <w:lang w:bidi="fa-IR"/>
        </w:rPr>
        <w:t xml:space="preserve"> </w:t>
      </w:r>
      <w:r w:rsidR="007642BC">
        <w:rPr>
          <w:rtl/>
          <w:lang w:bidi="fa-IR"/>
        </w:rPr>
        <w:t>-</w:t>
      </w:r>
      <w:r>
        <w:rPr>
          <w:rtl/>
          <w:lang w:bidi="fa-IR"/>
        </w:rPr>
        <w:t xml:space="preserve"> </w:t>
      </w:r>
      <w:r w:rsidRPr="005D642E">
        <w:rPr>
          <w:rtl/>
          <w:lang w:bidi="fa-IR"/>
        </w:rPr>
        <w:t>بَابُ احْتِلَامِ الرَّجُلِ وَالْمَرْأَةِ‌</w:t>
      </w:r>
      <w:bookmarkEnd w:id="111"/>
      <w:bookmarkEnd w:id="112"/>
      <w:bookmarkEnd w:id="113"/>
    </w:p>
    <w:p w:rsidR="00E3253D" w:rsidRPr="005D642E" w:rsidRDefault="00E3253D" w:rsidP="00E3253D">
      <w:pPr>
        <w:pStyle w:val="libNormal"/>
        <w:rPr>
          <w:rtl/>
          <w:lang w:bidi="fa-IR"/>
        </w:rPr>
      </w:pPr>
      <w:r w:rsidRPr="007121C6">
        <w:rPr>
          <w:rtl/>
        </w:rPr>
        <w:t>4032</w:t>
      </w:r>
      <w:r w:rsidRPr="00246318">
        <w:rPr>
          <w:rStyle w:val="libBold2Char"/>
          <w:rtl/>
        </w:rPr>
        <w:t xml:space="preserve"> / 1.</w:t>
      </w:r>
      <w:r w:rsidRPr="005D642E">
        <w:rPr>
          <w:rtl/>
          <w:lang w:bidi="fa-IR"/>
        </w:rPr>
        <w:t xml:space="preserve"> مُحَمَّدُ بْنُ يَحْيى ، عَنْ أَحْمَدَ بْنِ مُحَمَّدِ بْنِ عِيسى ، عَنْ عَلِيِّ بْنِ الْحَكَمِ ، عَنِ الْحُسَيْنِ بْنِ أَبِي الْعَلَاءِ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يَرى فِي الْمَنَامِ حَتّى يَجِدَ الشَّهْوَةَ ، فَهُوَ </w:t>
      </w:r>
      <w:r w:rsidRPr="007C12DB">
        <w:rPr>
          <w:rStyle w:val="libFootnotenumChar"/>
          <w:rtl/>
        </w:rPr>
        <w:t>(1)</w:t>
      </w:r>
      <w:r w:rsidRPr="005D642E">
        <w:rPr>
          <w:rtl/>
          <w:lang w:bidi="fa-IR"/>
        </w:rPr>
        <w:t xml:space="preserve"> يَرى أَنَّهُ قَدِ احْتَلَمَ ، فَإِذَا </w:t>
      </w:r>
      <w:r w:rsidRPr="007C12DB">
        <w:rPr>
          <w:rStyle w:val="libFootnotenumChar"/>
          <w:rtl/>
        </w:rPr>
        <w:t>(2)</w:t>
      </w:r>
      <w:r w:rsidRPr="005D642E">
        <w:rPr>
          <w:rtl/>
          <w:lang w:bidi="fa-IR"/>
        </w:rPr>
        <w:t xml:space="preserve"> اسْتَيْقَظَ لَمْ يَرَ فِي ثَوْبِهِ الْمَاءَ ، وَلَافِي جَسَدِهِ</w:t>
      </w:r>
      <w:r>
        <w:rPr>
          <w:rtl/>
          <w:lang w:bidi="fa-IR"/>
        </w:rPr>
        <w:t>؟</w:t>
      </w:r>
    </w:p>
    <w:p w:rsidR="00E3253D" w:rsidRPr="005D642E" w:rsidRDefault="00E3253D" w:rsidP="00E3253D">
      <w:pPr>
        <w:pStyle w:val="libNormal"/>
        <w:rPr>
          <w:rtl/>
          <w:lang w:bidi="fa-IR"/>
        </w:rPr>
      </w:pPr>
      <w:r w:rsidRPr="005D642E">
        <w:rPr>
          <w:rtl/>
          <w:lang w:bidi="fa-IR"/>
        </w:rPr>
        <w:t xml:space="preserve">قَالَ : « لَيْسَ عَلَيْهِ الْغُسْلُ » وَقَالَ </w:t>
      </w:r>
      <w:r w:rsidRPr="007C12DB">
        <w:rPr>
          <w:rStyle w:val="libFootnotenumChar"/>
          <w:rtl/>
        </w:rPr>
        <w:t>(3)</w:t>
      </w:r>
      <w:r w:rsidRPr="005D642E">
        <w:rPr>
          <w:rtl/>
          <w:lang w:bidi="fa-IR"/>
        </w:rPr>
        <w:t xml:space="preserve"> : « كَانَ عَلِيٌّ </w:t>
      </w:r>
      <w:r w:rsidRPr="00AC51C5">
        <w:rPr>
          <w:rStyle w:val="libAlaemChar"/>
          <w:rtl/>
        </w:rPr>
        <w:t>عليه‌السلام</w:t>
      </w:r>
      <w:r w:rsidRPr="005D642E">
        <w:rPr>
          <w:rtl/>
          <w:lang w:bidi="fa-IR"/>
        </w:rPr>
        <w:t xml:space="preserve"> يَقُولُ : إِنَّمَا الْغُسْلُ مِنَ الْمَاءِ الْأَكْبَرِ ، فَإِذَا رَأى فِي مَنَامِهِ وَلَمْ يَرَ الْمَاءَ الْأَكْبَرَ ، فَلَيْسَ عَلَيْهِ غُسْلٌ »</w:t>
      </w:r>
      <w:r>
        <w:rPr>
          <w:rtl/>
          <w:lang w:bidi="fa-IR"/>
        </w:rPr>
        <w:t>.</w:t>
      </w:r>
      <w:r w:rsidRPr="005D642E">
        <w:rPr>
          <w:rtl/>
          <w:lang w:bidi="fa-IR"/>
        </w:rPr>
        <w:t xml:space="preserve"> </w:t>
      </w:r>
      <w:r w:rsidRPr="007C12DB">
        <w:rPr>
          <w:rStyle w:val="libFootnotenumChar"/>
          <w:rtl/>
        </w:rPr>
        <w:t>(4)</w:t>
      </w:r>
      <w:r w:rsidRPr="005D642E">
        <w:rPr>
          <w:rtl/>
          <w:lang w:bidi="fa-IR"/>
        </w:rPr>
        <w:t xml:space="preserve"> </w:t>
      </w:r>
      <w:r w:rsidRPr="005D642E">
        <w:t>‌</w:t>
      </w:r>
    </w:p>
    <w:p w:rsidR="00E3253D" w:rsidRPr="005D642E" w:rsidRDefault="00E3253D" w:rsidP="00E3253D">
      <w:pPr>
        <w:pStyle w:val="libNormal"/>
        <w:rPr>
          <w:rtl/>
          <w:lang w:bidi="fa-IR"/>
        </w:rPr>
      </w:pPr>
      <w:r w:rsidRPr="007121C6">
        <w:rPr>
          <w:rtl/>
        </w:rPr>
        <w:t>4033</w:t>
      </w:r>
      <w:r w:rsidRPr="00246318">
        <w:rPr>
          <w:rStyle w:val="libBold2Char"/>
          <w:rtl/>
        </w:rPr>
        <w:t xml:space="preserve"> / 2.</w:t>
      </w:r>
      <w:r w:rsidRPr="005D642E">
        <w:rPr>
          <w:rtl/>
          <w:lang w:bidi="fa-IR"/>
        </w:rPr>
        <w:t xml:space="preserve"> مُحَمَّدُ بْنُ إِسْمَاعِيلَ ، عَنِ الْفَضْلِ بْنِ شَاذَانَ ، عَنِ ابْنِ أَبِي عُمَيْرٍ ، عَنْ مُعَاوِيَةَ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رَجُلٍ </w:t>
      </w:r>
      <w:r w:rsidRPr="007C12DB">
        <w:rPr>
          <w:rStyle w:val="libFootnotenumChar"/>
          <w:rtl/>
        </w:rPr>
        <w:t>(5)</w:t>
      </w:r>
      <w:r w:rsidRPr="005D642E">
        <w:rPr>
          <w:rtl/>
          <w:lang w:bidi="fa-IR"/>
        </w:rPr>
        <w:t xml:space="preserve"> احْتَلَمَ ، فَلَمَّا اسْتَنْبَهَ </w:t>
      </w:r>
      <w:r w:rsidRPr="007C12DB">
        <w:rPr>
          <w:rStyle w:val="libFootnotenumChar"/>
          <w:rtl/>
        </w:rPr>
        <w:t>(6)</w:t>
      </w:r>
      <w:r w:rsidRPr="005D642E">
        <w:rPr>
          <w:rtl/>
          <w:lang w:bidi="fa-IR"/>
        </w:rPr>
        <w:t xml:space="preserve"> وَجَدَ بَلَلاً </w:t>
      </w:r>
      <w:r w:rsidRPr="007C12DB">
        <w:rPr>
          <w:rStyle w:val="libFootnotenumChar"/>
          <w:rtl/>
        </w:rPr>
        <w:t>(7)</w:t>
      </w:r>
      <w:r>
        <w:rPr>
          <w:rtl/>
          <w:lang w:bidi="fa-IR"/>
        </w:rPr>
        <w:t>؟</w:t>
      </w:r>
    </w:p>
    <w:p w:rsidR="00E3253D" w:rsidRPr="005D642E" w:rsidRDefault="00E3253D" w:rsidP="00E3253D">
      <w:pPr>
        <w:pStyle w:val="libNormal"/>
        <w:rPr>
          <w:rtl/>
          <w:lang w:bidi="fa-IR"/>
        </w:rPr>
      </w:pPr>
      <w:r w:rsidRPr="005D642E">
        <w:rPr>
          <w:rtl/>
          <w:lang w:bidi="fa-IR"/>
        </w:rPr>
        <w:t>فَق</w:t>
      </w:r>
      <w:r w:rsidR="002020B5">
        <w:rPr>
          <w:rtl/>
          <w:lang w:bidi="fa-IR"/>
        </w:rPr>
        <w:t>َالَ : « لَيْسَ بِشَيْ‌ءٍ إِل</w:t>
      </w:r>
      <w:r w:rsidR="002020B5">
        <w:rPr>
          <w:rFonts w:hint="cs"/>
          <w:rtl/>
          <w:lang w:bidi="fa-IR"/>
        </w:rPr>
        <w:t>َّ</w:t>
      </w:r>
      <w:r w:rsidR="002020B5">
        <w:rPr>
          <w:rtl/>
          <w:lang w:bidi="fa-IR"/>
        </w:rPr>
        <w:t>ا</w:t>
      </w:r>
      <w:r w:rsidRPr="005D642E">
        <w:rPr>
          <w:rtl/>
          <w:lang w:bidi="fa-IR"/>
        </w:rPr>
        <w:t xml:space="preserve"> أَنْ يَكُونَ مَرِيضاً </w:t>
      </w:r>
      <w:r w:rsidRPr="007C12DB">
        <w:rPr>
          <w:rStyle w:val="libFootnotenumChar"/>
          <w:rtl/>
        </w:rPr>
        <w:t>(8)</w:t>
      </w:r>
      <w:r w:rsidRPr="005D642E">
        <w:rPr>
          <w:rtl/>
          <w:lang w:bidi="fa-IR"/>
        </w:rPr>
        <w:t xml:space="preserve"> ، فَعَلَيْهِ الْغُسْلُ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الوسائل </w:t>
      </w:r>
      <w:r w:rsidR="00B60612" w:rsidRPr="00B60612">
        <w:rPr>
          <w:rStyle w:val="libFootnoteBoldChar"/>
          <w:rtl/>
        </w:rPr>
        <w:t>والتهذيب</w:t>
      </w:r>
      <w:r w:rsidR="00E3253D" w:rsidRPr="005D642E">
        <w:rPr>
          <w:rtl/>
        </w:rPr>
        <w:t xml:space="preserve"> ، ح 316 </w:t>
      </w:r>
      <w:r w:rsidR="00E3253D" w:rsidRPr="00E678B5">
        <w:rPr>
          <w:rStyle w:val="libFootnoteBoldChar"/>
          <w:rtl/>
        </w:rPr>
        <w:t>والاستبصار</w:t>
      </w:r>
      <w:r w:rsidR="00E3253D" w:rsidRPr="005D642E">
        <w:rPr>
          <w:rtl/>
        </w:rPr>
        <w:t xml:space="preserve"> ، ح 362 : « وهو »</w:t>
      </w:r>
      <w:r w:rsidR="00E3253D">
        <w:rPr>
          <w:rtl/>
        </w:rPr>
        <w:t>.</w:t>
      </w:r>
    </w:p>
    <w:tbl>
      <w:tblPr>
        <w:tblStyle w:val="TableGrid"/>
        <w:bidiVisual/>
        <w:tblW w:w="0" w:type="auto"/>
        <w:tblLook w:val="04A0" w:firstRow="1" w:lastRow="0" w:firstColumn="1" w:lastColumn="0" w:noHBand="0" w:noVBand="1"/>
      </w:tblPr>
      <w:tblGrid>
        <w:gridCol w:w="3801"/>
        <w:gridCol w:w="4211"/>
      </w:tblGrid>
      <w:tr w:rsidR="002020B5" w:rsidTr="00826FF3">
        <w:tc>
          <w:tcPr>
            <w:tcW w:w="3801" w:type="dxa"/>
          </w:tcPr>
          <w:p w:rsidR="002020B5" w:rsidRDefault="002020B5" w:rsidP="00E3253D">
            <w:pPr>
              <w:pStyle w:val="libFootnote0"/>
              <w:rPr>
                <w:rStyle w:val="libFootnote0Char"/>
                <w:rtl/>
              </w:rPr>
            </w:pPr>
            <w:r w:rsidRPr="0042621E">
              <w:rPr>
                <w:rStyle w:val="libFootnote0Char"/>
                <w:rtl/>
              </w:rPr>
              <w:t>(2).</w:t>
            </w:r>
            <w:r w:rsidRPr="005D642E">
              <w:rPr>
                <w:rtl/>
              </w:rPr>
              <w:t xml:space="preserve"> في التهذيب ، ح 316 : « وإذا »</w:t>
            </w:r>
            <w:r>
              <w:rPr>
                <w:rtl/>
              </w:rPr>
              <w:t>.</w:t>
            </w:r>
          </w:p>
        </w:tc>
        <w:tc>
          <w:tcPr>
            <w:tcW w:w="4211" w:type="dxa"/>
          </w:tcPr>
          <w:p w:rsidR="002020B5" w:rsidRDefault="002020B5" w:rsidP="00E3253D">
            <w:pPr>
              <w:pStyle w:val="libFootnote0"/>
              <w:rPr>
                <w:rStyle w:val="libFootnote0Char"/>
                <w:rtl/>
              </w:rPr>
            </w:pPr>
            <w:r w:rsidRPr="0042621E">
              <w:rPr>
                <w:rStyle w:val="libFootnote0Char"/>
                <w:rtl/>
              </w:rPr>
              <w:t>(3).</w:t>
            </w:r>
            <w:r>
              <w:rPr>
                <w:rtl/>
              </w:rPr>
              <w:t>في«بس»</w:t>
            </w:r>
            <w:r w:rsidRPr="005D642E">
              <w:rPr>
                <w:rtl/>
              </w:rPr>
              <w:t>:</w:t>
            </w:r>
            <w:r>
              <w:rPr>
                <w:rtl/>
              </w:rPr>
              <w:t>-«قال</w:t>
            </w:r>
            <w:r w:rsidRPr="005D642E">
              <w:rPr>
                <w:rtl/>
              </w:rPr>
              <w:t>»</w:t>
            </w:r>
            <w:r>
              <w:rPr>
                <w:rtl/>
              </w:rPr>
              <w:t>.وفي الوسائل:«قال»من دون</w:t>
            </w:r>
            <w:r>
              <w:rPr>
                <w:rFonts w:hint="cs"/>
                <w:rtl/>
              </w:rPr>
              <w:t xml:space="preserve"> </w:t>
            </w:r>
            <w:r w:rsidRPr="005D642E">
              <w:rPr>
                <w:rtl/>
              </w:rPr>
              <w:t>الواو.</w:t>
            </w:r>
          </w:p>
        </w:tc>
      </w:tr>
    </w:tbl>
    <w:p w:rsidR="00E3253D" w:rsidRPr="005D642E" w:rsidRDefault="0042621E" w:rsidP="005974B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120 ، ح 316 ، بسنده عن الكليني ؛ </w:t>
      </w:r>
      <w:r w:rsidR="00E3253D" w:rsidRPr="002F4D34">
        <w:rPr>
          <w:rStyle w:val="libFootnoteBoldChar"/>
          <w:rtl/>
        </w:rPr>
        <w:t>الاستبصار</w:t>
      </w:r>
      <w:r w:rsidR="00E3253D" w:rsidRPr="005D642E">
        <w:rPr>
          <w:rtl/>
        </w:rPr>
        <w:t xml:space="preserve"> ، ج 1 ، ص 109 ، ح 362 ، معلّقاً عن الكليني. وفي </w:t>
      </w:r>
      <w:r w:rsidR="00E3253D" w:rsidRPr="002F4D34">
        <w:rPr>
          <w:rStyle w:val="libFootnoteBoldChar"/>
          <w:rtl/>
        </w:rPr>
        <w:t>التهذيب</w:t>
      </w:r>
      <w:r w:rsidR="00E3253D" w:rsidRPr="005D642E">
        <w:rPr>
          <w:rtl/>
        </w:rPr>
        <w:t xml:space="preserve"> ، ج 1 ، ص 119 ، ح 315 ؛ </w:t>
      </w:r>
      <w:r w:rsidR="00E3253D" w:rsidRPr="00E678B5">
        <w:rPr>
          <w:rStyle w:val="libFootnoteBoldChar"/>
          <w:rtl/>
        </w:rPr>
        <w:t>والاستبصار</w:t>
      </w:r>
      <w:r w:rsidR="00E3253D" w:rsidRPr="005D642E">
        <w:rPr>
          <w:rtl/>
        </w:rPr>
        <w:t xml:space="preserve"> ، ج 1 ، ص 109 ، ح 361 ، بسند آخر ، وتمام الرواية فيهما هكذا : « كان عليّ </w:t>
      </w:r>
      <w:r w:rsidR="00E3253D" w:rsidRPr="00FF518D">
        <w:rPr>
          <w:rStyle w:val="libFootnoteAlaemChar"/>
          <w:rtl/>
        </w:rPr>
        <w:t>عليه‌السلام</w:t>
      </w:r>
      <w:r w:rsidR="00E3253D" w:rsidRPr="005D642E">
        <w:rPr>
          <w:rtl/>
        </w:rPr>
        <w:t xml:space="preserve"> </w:t>
      </w:r>
      <w:r w:rsidR="00FF518D">
        <w:rPr>
          <w:rtl/>
        </w:rPr>
        <w:t>لايرى في شي‌ء الغسل إل</w:t>
      </w:r>
      <w:r w:rsidR="00FF518D">
        <w:rPr>
          <w:rFonts w:hint="cs"/>
          <w:rtl/>
        </w:rPr>
        <w:t>ّ</w:t>
      </w:r>
      <w:r w:rsidR="00FF518D">
        <w:rPr>
          <w:rtl/>
        </w:rPr>
        <w:t>ا</w:t>
      </w:r>
      <w:r w:rsidR="00E3253D" w:rsidRPr="005D642E">
        <w:rPr>
          <w:rtl/>
        </w:rPr>
        <w:t>في الماء الأكبر »</w:t>
      </w:r>
      <w:r w:rsidR="00E3253D">
        <w:rPr>
          <w:rtl/>
        </w:rPr>
        <w:t>.</w:t>
      </w:r>
      <w:r w:rsidR="00E3253D" w:rsidRPr="005D642E">
        <w:rPr>
          <w:rtl/>
        </w:rPr>
        <w:t xml:space="preserve"> </w:t>
      </w:r>
      <w:r w:rsidR="00E3253D" w:rsidRPr="002F4D34">
        <w:rPr>
          <w:rStyle w:val="libFootnoteBoldChar"/>
          <w:rtl/>
        </w:rPr>
        <w:t>الوافي</w:t>
      </w:r>
      <w:r w:rsidR="00E3253D" w:rsidRPr="005D642E">
        <w:rPr>
          <w:rtl/>
        </w:rPr>
        <w:t xml:space="preserve"> ، ج 6 ، ص 399 ، ح 4546 ؛ </w:t>
      </w:r>
      <w:r w:rsidR="00E3253D" w:rsidRPr="002F4D34">
        <w:rPr>
          <w:rStyle w:val="libFootnoteBoldChar"/>
          <w:rtl/>
        </w:rPr>
        <w:t>الوسائل</w:t>
      </w:r>
      <w:r w:rsidR="00E3253D" w:rsidRPr="005D642E">
        <w:rPr>
          <w:rtl/>
        </w:rPr>
        <w:t xml:space="preserve"> ، ج 2 ، ص 196 ، ح 1913.</w:t>
      </w:r>
      <w:r w:rsidR="005974BD">
        <w:rPr>
          <w:rFonts w:hint="cs"/>
          <w:rtl/>
        </w:rPr>
        <w:t xml:space="preserve">      </w:t>
      </w:r>
      <w:r w:rsidRPr="0042621E">
        <w:rPr>
          <w:rStyle w:val="libFootnote0Char"/>
          <w:rtl/>
        </w:rPr>
        <w:t>(5).</w:t>
      </w:r>
      <w:r w:rsidR="00E3253D" w:rsidRPr="005D642E">
        <w:rPr>
          <w:rtl/>
        </w:rPr>
        <w:t xml:space="preserve"> في « بح » : « عن الرجل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معظم النسخ. وفي « ظ ، بف » والمطبوع : « انتبه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w:t>
      </w:r>
      <w:r w:rsidR="00B60612" w:rsidRPr="00B60612">
        <w:rPr>
          <w:rStyle w:val="libFootnoteBoldChar"/>
          <w:rtl/>
        </w:rPr>
        <w:t>والتهذيب</w:t>
      </w:r>
      <w:r w:rsidR="00E3253D" w:rsidRPr="005D642E">
        <w:rPr>
          <w:rtl/>
        </w:rPr>
        <w:t xml:space="preserve"> ، ح 1120 </w:t>
      </w:r>
      <w:r w:rsidR="00E3253D" w:rsidRPr="00E678B5">
        <w:rPr>
          <w:rStyle w:val="libFootnoteBoldChar"/>
          <w:rtl/>
        </w:rPr>
        <w:t>والاستبصار</w:t>
      </w:r>
      <w:r w:rsidR="00E3253D" w:rsidRPr="005D642E">
        <w:rPr>
          <w:rtl/>
        </w:rPr>
        <w:t xml:space="preserve"> ، ح 363 : + « قليلاً »</w:t>
      </w:r>
      <w:r w:rsidR="00E3253D">
        <w:rPr>
          <w:rtl/>
        </w:rPr>
        <w:t>.</w:t>
      </w:r>
      <w:r w:rsidR="00E3253D" w:rsidRPr="005D642E">
        <w:rPr>
          <w:rtl/>
        </w:rPr>
        <w:t xml:space="preserve"> وفي </w:t>
      </w:r>
      <w:r w:rsidR="00E3253D" w:rsidRPr="002F4D34">
        <w:rPr>
          <w:rStyle w:val="libFootnoteBoldChar"/>
          <w:rtl/>
        </w:rPr>
        <w:t>مشرق الشمسين</w:t>
      </w:r>
      <w:r w:rsidR="00E3253D" w:rsidRPr="005D642E">
        <w:rPr>
          <w:rtl/>
        </w:rPr>
        <w:t xml:space="preserve"> ، ص 218 : « المراد بالاحتلام النوم لا المعنى المتعارف ، والمراد بالبلل القليل ما ليس له دفق لقلّته وعدم جريان العادة بخروج ذلك القدر فقط من المني »</w:t>
      </w:r>
      <w:r w:rsidR="00E3253D">
        <w:rPr>
          <w:rtl/>
        </w:rPr>
        <w:t>.</w:t>
      </w:r>
      <w:r w:rsidR="00E3253D" w:rsidRPr="005D642E">
        <w:rPr>
          <w:rtl/>
        </w:rPr>
        <w:t xml:space="preserve"> وفي اللغة : احتلم ، أي رأى في منامه رؤيا. راجع : </w:t>
      </w:r>
      <w:r w:rsidR="00E3253D" w:rsidRPr="002F4D34">
        <w:rPr>
          <w:rStyle w:val="libFootnoteBoldChar"/>
          <w:rtl/>
        </w:rPr>
        <w:t>المصباح المنير</w:t>
      </w:r>
      <w:r w:rsidR="00E3253D" w:rsidRPr="005D642E">
        <w:rPr>
          <w:rtl/>
        </w:rPr>
        <w:t xml:space="preserve"> ، ص 148.</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 ح 1120 </w:t>
      </w:r>
      <w:r w:rsidR="00E3253D" w:rsidRPr="00E678B5">
        <w:rPr>
          <w:rStyle w:val="libFootnoteBoldChar"/>
          <w:rtl/>
        </w:rPr>
        <w:t>والاستبصار</w:t>
      </w:r>
      <w:r w:rsidR="00E3253D" w:rsidRPr="005D642E">
        <w:rPr>
          <w:rtl/>
        </w:rPr>
        <w:t xml:space="preserve"> ، ح 363 : + « فإنّه يضعّف »</w:t>
      </w:r>
      <w:r w:rsidR="00E3253D">
        <w:rPr>
          <w:rtl/>
        </w:rPr>
        <w:t>.</w:t>
      </w:r>
    </w:p>
    <w:p w:rsidR="00E3253D" w:rsidRPr="005D642E" w:rsidRDefault="0042621E" w:rsidP="005974B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368 ، ح 1120 ؛ </w:t>
      </w:r>
      <w:r w:rsidR="00E3253D" w:rsidRPr="00E678B5">
        <w:rPr>
          <w:rStyle w:val="libFootnoteBoldChar"/>
          <w:rtl/>
        </w:rPr>
        <w:t>والاستبصار</w:t>
      </w:r>
      <w:r w:rsidR="00E3253D" w:rsidRPr="005D642E">
        <w:rPr>
          <w:rtl/>
        </w:rPr>
        <w:t xml:space="preserve"> ، ج 1 ، ص 109 ، ح 363 ، بسندهما عن معاوية بن عمّار. وفي </w:t>
      </w:r>
      <w:r w:rsidR="005974B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7121C6">
        <w:rPr>
          <w:rtl/>
        </w:rPr>
        <w:lastRenderedPageBreak/>
        <w:t>4034</w:t>
      </w:r>
      <w:r w:rsidRPr="00246318">
        <w:rPr>
          <w:rStyle w:val="libBold2Char"/>
          <w:rtl/>
        </w:rPr>
        <w:t xml:space="preserve"> / 3.</w:t>
      </w:r>
      <w:r w:rsidRPr="005D642E">
        <w:rPr>
          <w:rtl/>
          <w:lang w:bidi="fa-IR"/>
        </w:rPr>
        <w:t xml:space="preserve"> عَلِيُّ بْنُ إِبْرَاهِيمَ ، عَنْ أَبِيهِ ، عَنْ حَمَّادِ بْنِ عِيسى ، عَنْ ح</w:t>
      </w:r>
      <w:r w:rsidR="00C7799D">
        <w:rPr>
          <w:rtl/>
          <w:lang w:bidi="fa-IR"/>
        </w:rPr>
        <w:t>َرِيزٍ ، عَنْ زُرَارَةَ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إِذَا كُنْتَ مَرِيضاً فَأَصَابَتْكَ شَهْوَةٌ ، فَإِنَّهُ رُبَّمَا كَانَ هُوَ الدَّافِقَ ، لكِنَّهُ يَجِي‌ءُ مَجِيئاً ضَعِيفاً لَيْسَ </w:t>
      </w:r>
      <w:r w:rsidRPr="007C12DB">
        <w:rPr>
          <w:rStyle w:val="libFootnotenumChar"/>
          <w:rtl/>
        </w:rPr>
        <w:t>(1)</w:t>
      </w:r>
      <w:r w:rsidRPr="005D642E">
        <w:rPr>
          <w:rtl/>
          <w:lang w:bidi="fa-IR"/>
        </w:rPr>
        <w:t xml:space="preserve"> لَهُ قُوَّةٌ ؛ لِمَكَانِ مَرَضِكَ ، سَاعَةً بَعْدَ سَاعَةٍ ، قَلِيلاً قَلِيلاً ، فَاغْتَسِلْ مِنْهُ.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7121C6">
        <w:rPr>
          <w:rtl/>
        </w:rPr>
        <w:t>4035</w:t>
      </w:r>
      <w:r w:rsidRPr="00246318">
        <w:rPr>
          <w:rStyle w:val="libBold2Char"/>
          <w:rtl/>
        </w:rPr>
        <w:t xml:space="preserve"> / 4.</w:t>
      </w:r>
      <w:r w:rsidRPr="005D642E">
        <w:rPr>
          <w:rtl/>
          <w:lang w:bidi="fa-IR"/>
        </w:rPr>
        <w:t xml:space="preserve"> عَلِيُّ بْنُ إِبْرَاهِيمَ ، عَنْ أَبِيهِ ، عَنِ ابْنِ أَبِي عُمَيْرٍ ، عَنِ ابْنِ الْمُغِيرَةِ </w:t>
      </w:r>
      <w:r w:rsidRPr="007C12DB">
        <w:rPr>
          <w:rStyle w:val="libFootnotenumChar"/>
          <w:rtl/>
        </w:rPr>
        <w:t>(3)</w:t>
      </w:r>
      <w:r w:rsidRPr="005D642E">
        <w:rPr>
          <w:rtl/>
          <w:lang w:bidi="fa-IR"/>
        </w:rPr>
        <w:t xml:space="preserve"> ، عَنْ حَرِيزٍ ، عَنِ ابْنِ أَبِي يَعْفُورٍ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الرَّجُلُ يَرى فِي الْمَنَامِ </w:t>
      </w:r>
      <w:r w:rsidRPr="007C12DB">
        <w:rPr>
          <w:rStyle w:val="libFootnotenumChar"/>
          <w:rtl/>
        </w:rPr>
        <w:t>(4)</w:t>
      </w:r>
      <w:r w:rsidRPr="005D642E">
        <w:rPr>
          <w:rtl/>
          <w:lang w:bidi="fa-IR"/>
        </w:rPr>
        <w:t xml:space="preserve"> ، وَيَجِدُ الشَّهْوَةَ ، فَيَسْتَيْقِظُ وَيَنْظُرُ </w:t>
      </w:r>
      <w:r w:rsidRPr="007C12DB">
        <w:rPr>
          <w:rStyle w:val="libFootnotenumChar"/>
          <w:rtl/>
        </w:rPr>
        <w:t>(5)</w:t>
      </w:r>
      <w:r w:rsidRPr="005D642E">
        <w:rPr>
          <w:rtl/>
          <w:lang w:bidi="fa-IR"/>
        </w:rPr>
        <w:t xml:space="preserve"> ، فَلَا يَجِدُ شَيْئاً ، ثُمَّ يَمْكُثُ </w:t>
      </w:r>
      <w:r w:rsidRPr="007C12DB">
        <w:rPr>
          <w:rStyle w:val="libFootnotenumChar"/>
          <w:rtl/>
        </w:rPr>
        <w:t>(6)</w:t>
      </w:r>
      <w:r w:rsidRPr="005D642E">
        <w:rPr>
          <w:rtl/>
          <w:lang w:bidi="fa-IR"/>
        </w:rPr>
        <w:t xml:space="preserve"> بَعْدُ ، فَيَخْرُجُ</w:t>
      </w:r>
      <w:r>
        <w:rPr>
          <w:rtl/>
          <w:lang w:bidi="fa-IR"/>
        </w:rPr>
        <w:t>؟</w:t>
      </w:r>
    </w:p>
    <w:p w:rsidR="00E3253D" w:rsidRPr="005D642E" w:rsidRDefault="00E3253D" w:rsidP="00E3253D">
      <w:pPr>
        <w:pStyle w:val="libNormal"/>
        <w:rPr>
          <w:rtl/>
          <w:lang w:bidi="fa-IR"/>
        </w:rPr>
      </w:pPr>
      <w:r w:rsidRPr="005D642E">
        <w:rPr>
          <w:rtl/>
          <w:lang w:bidi="fa-IR"/>
        </w:rPr>
        <w:t xml:space="preserve">قَالَ : « إِنْ كَانَ مَرِيضاً ، فَلْيَغْتَسِلْ </w:t>
      </w:r>
      <w:r w:rsidRPr="007C12DB">
        <w:rPr>
          <w:rStyle w:val="libFootnotenumChar"/>
          <w:rtl/>
        </w:rPr>
        <w:t>(7)</w:t>
      </w:r>
      <w:r w:rsidRPr="005D642E">
        <w:rPr>
          <w:rtl/>
          <w:lang w:bidi="fa-IR"/>
        </w:rPr>
        <w:t xml:space="preserve"> ؛ وَإِنْ لَمْ يَكُنْ مَرِيضاً ، فَلَا شَيْ‌ءَ عَلَيْهِ »</w:t>
      </w:r>
      <w:r>
        <w:rPr>
          <w:rtl/>
          <w:lang w:bidi="fa-IR"/>
        </w:rPr>
        <w:t>.</w:t>
      </w:r>
    </w:p>
    <w:p w:rsidR="00E3253D" w:rsidRPr="005D642E" w:rsidRDefault="00E3253D" w:rsidP="00E3253D">
      <w:pPr>
        <w:pStyle w:val="libNormal"/>
        <w:rPr>
          <w:rtl/>
          <w:lang w:bidi="fa-IR"/>
        </w:rPr>
      </w:pPr>
      <w:r w:rsidRPr="005D642E">
        <w:rPr>
          <w:rtl/>
          <w:lang w:bidi="fa-IR"/>
        </w:rPr>
        <w:t xml:space="preserve">قَالَ : فَقُلْتُ لَهُ </w:t>
      </w:r>
      <w:r w:rsidRPr="007C12DB">
        <w:rPr>
          <w:rStyle w:val="libFootnotenumChar"/>
          <w:rtl/>
        </w:rPr>
        <w:t>(8)</w:t>
      </w:r>
      <w:r w:rsidRPr="005D642E">
        <w:rPr>
          <w:rtl/>
          <w:lang w:bidi="fa-IR"/>
        </w:rPr>
        <w:t xml:space="preserve"> : فَمَا فَرْقُ مَا </w:t>
      </w:r>
      <w:r w:rsidRPr="007C12DB">
        <w:rPr>
          <w:rStyle w:val="libFootnotenumChar"/>
          <w:rtl/>
        </w:rPr>
        <w:t>(9)</w:t>
      </w:r>
      <w:r w:rsidRPr="005D642E">
        <w:rPr>
          <w:rtl/>
          <w:lang w:bidi="fa-IR"/>
        </w:rPr>
        <w:t xml:space="preserve"> بَيْنَهُمَا</w:t>
      </w:r>
      <w:r>
        <w:rPr>
          <w:rtl/>
          <w:lang w:bidi="fa-IR"/>
        </w:rPr>
        <w:t>؟</w:t>
      </w:r>
    </w:p>
    <w:p w:rsidR="00E3253D" w:rsidRPr="005D642E" w:rsidRDefault="00E3253D" w:rsidP="00E3253D">
      <w:pPr>
        <w:pStyle w:val="libLine"/>
        <w:rPr>
          <w:rtl/>
          <w:lang w:bidi="fa-IR"/>
        </w:rPr>
      </w:pPr>
      <w:r w:rsidRPr="005D642E">
        <w:rPr>
          <w:rtl/>
          <w:lang w:bidi="fa-IR"/>
        </w:rPr>
        <w:t>__________________</w:t>
      </w:r>
    </w:p>
    <w:p w:rsidR="00F71269" w:rsidRDefault="00F71269" w:rsidP="00E3253D">
      <w:pPr>
        <w:pStyle w:val="libFootnote0"/>
        <w:rPr>
          <w:rStyle w:val="libFootnote0Char"/>
          <w:rtl/>
        </w:rPr>
      </w:pPr>
      <w:r w:rsidRPr="00C7799D">
        <w:rPr>
          <w:rFonts w:hint="cs"/>
          <w:rtl/>
        </w:rPr>
        <w:t xml:space="preserve">= </w:t>
      </w:r>
      <w:r w:rsidRPr="002F4D34">
        <w:rPr>
          <w:rStyle w:val="libFootnoteBoldChar"/>
          <w:rtl/>
        </w:rPr>
        <w:t>التهذيب</w:t>
      </w:r>
      <w:r w:rsidRPr="005D642E">
        <w:rPr>
          <w:rtl/>
        </w:rPr>
        <w:t xml:space="preserve"> ، ج 1 ، ص 368 ، ح 1121 ؛ </w:t>
      </w:r>
      <w:r w:rsidRPr="00E678B5">
        <w:rPr>
          <w:rStyle w:val="libFootnoteBoldChar"/>
          <w:rtl/>
        </w:rPr>
        <w:t>والاستبصار</w:t>
      </w:r>
      <w:r w:rsidRPr="002F4D34">
        <w:rPr>
          <w:rStyle w:val="libFootnoteBoldChar"/>
          <w:rtl/>
        </w:rPr>
        <w:t xml:space="preserve"> </w:t>
      </w:r>
      <w:r w:rsidRPr="005D642E">
        <w:rPr>
          <w:rtl/>
        </w:rPr>
        <w:t xml:space="preserve">، ج 1 ، ص 110 ، ح 364 ، بسند آخر ، مع اختلاف يسير وزيادة في أوّله وآخره </w:t>
      </w:r>
      <w:r w:rsidR="003C0652">
        <w:rPr>
          <w:rFonts w:hint="cs"/>
          <w:rtl/>
        </w:rPr>
        <w:t>.</w:t>
      </w:r>
      <w:r w:rsidRPr="002F4D34">
        <w:rPr>
          <w:rStyle w:val="libFootnoteBoldChar"/>
          <w:rtl/>
        </w:rPr>
        <w:t>الوافي</w:t>
      </w:r>
      <w:r w:rsidRPr="005D642E">
        <w:rPr>
          <w:rtl/>
        </w:rPr>
        <w:t xml:space="preserve"> ، ج 6 ، ص 400 ، ح 4547 ؛ </w:t>
      </w:r>
      <w:r w:rsidRPr="002F4D34">
        <w:rPr>
          <w:rStyle w:val="libFootnoteBoldChar"/>
          <w:rtl/>
        </w:rPr>
        <w:t>الوسائل</w:t>
      </w:r>
      <w:r w:rsidRPr="005D642E">
        <w:rPr>
          <w:rtl/>
        </w:rPr>
        <w:t xml:space="preserve"> ، ج 2 ، ص 194 ، ذيل ح 1909.</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وحاشية « بث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والعلل : « ليست »</w:t>
      </w:r>
      <w:r w:rsidR="00E3253D">
        <w:rPr>
          <w:rtl/>
        </w:rPr>
        <w:t>.</w:t>
      </w:r>
    </w:p>
    <w:p w:rsidR="00E3253D" w:rsidRPr="005D642E" w:rsidRDefault="0042621E" w:rsidP="00E3253D">
      <w:pPr>
        <w:pStyle w:val="libFootnote0"/>
        <w:rPr>
          <w:rtl/>
          <w:lang w:bidi="fa-IR"/>
        </w:rPr>
      </w:pPr>
      <w:r w:rsidRPr="003C0652">
        <w:rPr>
          <w:rtl/>
        </w:rPr>
        <w:t>(2).</w:t>
      </w:r>
      <w:r w:rsidR="00E3253D" w:rsidRPr="003C0652">
        <w:rPr>
          <w:rtl/>
        </w:rPr>
        <w:t xml:space="preserve"> علل الشرائع ، ص 288 ، ح 2 ، عن أبيه ، عن عليّ بن إبراهيم. التهذيب ، ج 1 ، ص 370 ، ح 1129 ، معلّقاً عن عليّ بن إبراهيم </w:t>
      </w:r>
      <w:r w:rsidR="003C0652" w:rsidRPr="003C0652">
        <w:rPr>
          <w:rFonts w:hint="cs"/>
          <w:rtl/>
        </w:rPr>
        <w:t>.</w:t>
      </w:r>
      <w:r w:rsidR="00E3253D" w:rsidRPr="002F4D34">
        <w:rPr>
          <w:rStyle w:val="libFootnoteBoldChar"/>
          <w:rtl/>
        </w:rPr>
        <w:t>الوافي</w:t>
      </w:r>
      <w:r w:rsidR="00E3253D" w:rsidRPr="005D642E">
        <w:rPr>
          <w:rtl/>
        </w:rPr>
        <w:t xml:space="preserve"> ، ج 6 ، ص 400 ، ح 4548 ؛ </w:t>
      </w:r>
      <w:r w:rsidR="00E3253D" w:rsidRPr="002F4D34">
        <w:rPr>
          <w:rStyle w:val="libFootnoteBoldChar"/>
          <w:rtl/>
        </w:rPr>
        <w:t>الوسائل</w:t>
      </w:r>
      <w:r w:rsidR="00E3253D" w:rsidRPr="005D642E">
        <w:rPr>
          <w:rtl/>
        </w:rPr>
        <w:t xml:space="preserve"> ، ج 2 ، ص 196 ، ح 1912.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ورد الخبر مع اختلاف يسير في </w:t>
      </w:r>
      <w:r w:rsidR="00E3253D" w:rsidRPr="002F4D34">
        <w:rPr>
          <w:rStyle w:val="libFootnoteBoldChar"/>
          <w:rtl/>
        </w:rPr>
        <w:t>علل الشرائع</w:t>
      </w:r>
      <w:r w:rsidR="00E3253D" w:rsidRPr="005D642E">
        <w:rPr>
          <w:rtl/>
        </w:rPr>
        <w:t xml:space="preserve"> ، ص 288 ، ح 1 ، عن عليّ بن إبراهيم ، عن أبيه ، عن ابن المغيرة ، عن حريز ، من دون توسّط ابن أبي عمير بين والد عليّ بن إبراهيم وبين ابن المغيرة ، وهو الظاهر ؛ فإنّ المراد من ابن المغيرة هذا ، هو عبدالله بن المغيرة ، وقد روى عنه إبراهيم بن هاشم في كثيرٍ من الأسناد مباشرةً. ومنشأ زيادة « عن ابن أبي عمير » في السند رواية عليّ بن إبراهيم ، عن أبيه ، عن ابن أبي عمير في ما لايحصى من الأسناد كثرةً. راجع : </w:t>
      </w:r>
      <w:r w:rsidR="00E3253D" w:rsidRPr="002F4D34">
        <w:rPr>
          <w:rStyle w:val="libFootnoteBoldChar"/>
          <w:rtl/>
        </w:rPr>
        <w:t>معجم رجال الحديث</w:t>
      </w:r>
      <w:r w:rsidR="00E3253D" w:rsidRPr="005D642E">
        <w:rPr>
          <w:rtl/>
        </w:rPr>
        <w:t xml:space="preserve"> ، ج 1 ، ص 499 ، ص 525</w:t>
      </w:r>
      <w:r w:rsidR="00E3253D">
        <w:rPr>
          <w:rtl/>
        </w:rPr>
        <w:t xml:space="preserve"> </w:t>
      </w:r>
      <w:r w:rsidR="007642BC">
        <w:rPr>
          <w:rtl/>
        </w:rPr>
        <w:t>-</w:t>
      </w:r>
      <w:r w:rsidR="00E3253D">
        <w:rPr>
          <w:rtl/>
        </w:rPr>
        <w:t xml:space="preserve"> </w:t>
      </w:r>
      <w:r w:rsidR="00E3253D" w:rsidRPr="005D642E">
        <w:rPr>
          <w:rtl/>
        </w:rPr>
        <w:t>528 ؛ وج 10 ، ص 516. ويؤيّد ذلك أنّا لم نجد توسّط ابن المغيرة أو عبدالله بن المغيرة بين ابن أبي عمير وبين حريز في غير سند هذا الخبر.</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العلل : + « أنّه يجامع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بس » :</w:t>
      </w:r>
      <w:r w:rsidR="00E3253D">
        <w:rPr>
          <w:rtl/>
        </w:rPr>
        <w:t xml:space="preserve"> </w:t>
      </w:r>
      <w:r w:rsidR="007642BC">
        <w:rPr>
          <w:rtl/>
        </w:rPr>
        <w:t>-</w:t>
      </w:r>
      <w:r w:rsidR="00E3253D">
        <w:rPr>
          <w:rtl/>
        </w:rPr>
        <w:t xml:space="preserve"> </w:t>
      </w:r>
      <w:r w:rsidR="00E3253D" w:rsidRPr="005D642E">
        <w:rPr>
          <w:rtl/>
        </w:rPr>
        <w:t>« وينظر »</w:t>
      </w:r>
      <w:r w:rsidR="00E3253D">
        <w:rPr>
          <w:rtl/>
        </w:rPr>
        <w:t>.</w:t>
      </w:r>
    </w:p>
    <w:tbl>
      <w:tblPr>
        <w:tblStyle w:val="TableGrid"/>
        <w:bidiVisual/>
        <w:tblW w:w="0" w:type="auto"/>
        <w:tblLook w:val="04A0" w:firstRow="1" w:lastRow="0" w:firstColumn="1" w:lastColumn="0" w:noHBand="0" w:noVBand="1"/>
      </w:tblPr>
      <w:tblGrid>
        <w:gridCol w:w="4006"/>
        <w:gridCol w:w="4006"/>
      </w:tblGrid>
      <w:tr w:rsidR="00584171" w:rsidTr="00584171">
        <w:tc>
          <w:tcPr>
            <w:tcW w:w="4006" w:type="dxa"/>
          </w:tcPr>
          <w:p w:rsidR="00584171" w:rsidRDefault="00584171" w:rsidP="00E3253D">
            <w:pPr>
              <w:pStyle w:val="libFootnote0"/>
              <w:rPr>
                <w:rStyle w:val="libFootnote0Char"/>
                <w:rtl/>
              </w:rPr>
            </w:pPr>
            <w:r w:rsidRPr="0042621E">
              <w:rPr>
                <w:rStyle w:val="libFootnote0Char"/>
                <w:rtl/>
              </w:rPr>
              <w:t>(6).</w:t>
            </w:r>
            <w:r w:rsidRPr="005D642E">
              <w:rPr>
                <w:rtl/>
              </w:rPr>
              <w:t xml:space="preserve"> في التهذيب </w:t>
            </w:r>
            <w:r w:rsidRPr="00E678B5">
              <w:rPr>
                <w:rStyle w:val="libFootnoteBoldChar"/>
                <w:rtl/>
              </w:rPr>
              <w:t>والاستبصار</w:t>
            </w:r>
            <w:r w:rsidRPr="005D642E">
              <w:rPr>
                <w:rtl/>
              </w:rPr>
              <w:t xml:space="preserve"> : + « الهوين »</w:t>
            </w:r>
            <w:r>
              <w:rPr>
                <w:rtl/>
              </w:rPr>
              <w:t>.</w:t>
            </w:r>
          </w:p>
        </w:tc>
        <w:tc>
          <w:tcPr>
            <w:tcW w:w="4006" w:type="dxa"/>
          </w:tcPr>
          <w:p w:rsidR="00584171" w:rsidRDefault="00584171" w:rsidP="00E3253D">
            <w:pPr>
              <w:pStyle w:val="libFootnote0"/>
              <w:rPr>
                <w:rStyle w:val="libFootnote0Char"/>
                <w:rtl/>
              </w:rPr>
            </w:pPr>
            <w:r w:rsidRPr="0042621E">
              <w:rPr>
                <w:rStyle w:val="libFootnote0Char"/>
                <w:rtl/>
              </w:rPr>
              <w:t>(7).</w:t>
            </w:r>
            <w:r w:rsidRPr="005D642E">
              <w:rPr>
                <w:rtl/>
              </w:rPr>
              <w:t xml:space="preserve"> في « بث ، بس » : « فليغسل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له »</w:t>
      </w:r>
      <w:r w:rsidR="00E3253D">
        <w:rPr>
          <w:rtl/>
        </w:rPr>
        <w:t>.</w:t>
      </w:r>
      <w:r w:rsidR="00E3253D" w:rsidRPr="005D642E">
        <w:rPr>
          <w:rtl/>
        </w:rPr>
        <w:t xml:space="preserve"> وفي « جن » : « قلت له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ظ ، غ ، ى ، بث ، بح ، بخ ، بس ، بف ، جح » </w:t>
      </w:r>
      <w:r w:rsidR="000D749A" w:rsidRPr="000D749A">
        <w:rPr>
          <w:rStyle w:val="libFootnoteBoldChar"/>
          <w:rtl/>
        </w:rPr>
        <w:t>والوافي</w:t>
      </w:r>
      <w:r w:rsidR="00E3253D" w:rsidRPr="005D642E">
        <w:rPr>
          <w:rtl/>
        </w:rPr>
        <w:t>. وفي « جس ، جن » والمطبوع :</w:t>
      </w:r>
      <w:r w:rsidR="00E3253D">
        <w:rPr>
          <w:rtl/>
        </w:rPr>
        <w:t xml:space="preserve"> </w:t>
      </w:r>
      <w:r w:rsidR="007642BC">
        <w:rPr>
          <w:rtl/>
        </w:rPr>
        <w:t>-</w:t>
      </w:r>
      <w:r w:rsidR="00E3253D">
        <w:rPr>
          <w:rtl/>
        </w:rPr>
        <w:t xml:space="preserve"> </w:t>
      </w:r>
      <w:r w:rsidR="00E3253D" w:rsidRPr="005D642E">
        <w:rPr>
          <w:rtl/>
        </w:rPr>
        <w:t>« ما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فَقَالَ </w:t>
      </w:r>
      <w:r w:rsidRPr="007C12DB">
        <w:rPr>
          <w:rStyle w:val="libFootnotenumChar"/>
          <w:rtl/>
        </w:rPr>
        <w:t>(1)</w:t>
      </w:r>
      <w:r w:rsidRPr="005D642E">
        <w:rPr>
          <w:rtl/>
          <w:lang w:bidi="fa-IR"/>
        </w:rPr>
        <w:t xml:space="preserve"> : « لِأَنَّ </w:t>
      </w:r>
      <w:r w:rsidRPr="007C12DB">
        <w:rPr>
          <w:rStyle w:val="libFootnotenumChar"/>
          <w:rtl/>
        </w:rPr>
        <w:t>(2)</w:t>
      </w:r>
      <w:r w:rsidRPr="005D642E">
        <w:rPr>
          <w:rtl/>
          <w:lang w:bidi="fa-IR"/>
        </w:rPr>
        <w:t xml:space="preserve"> الرَّجُلَ إِذَا كَانَ صَحِيحاً ، جَاءَ الْمَاءُ </w:t>
      </w:r>
      <w:r w:rsidRPr="007C12DB">
        <w:rPr>
          <w:rStyle w:val="libFootnotenumChar"/>
          <w:rtl/>
        </w:rPr>
        <w:t>(3)</w:t>
      </w:r>
      <w:r w:rsidRPr="005D642E">
        <w:rPr>
          <w:rtl/>
          <w:lang w:bidi="fa-IR"/>
        </w:rPr>
        <w:t xml:space="preserve"> بِدُفْقَةٍ </w:t>
      </w:r>
      <w:r w:rsidRPr="007C12DB">
        <w:rPr>
          <w:rStyle w:val="libFootnotenumChar"/>
          <w:rtl/>
        </w:rPr>
        <w:t>(4)</w:t>
      </w:r>
      <w:r w:rsidRPr="005D642E">
        <w:rPr>
          <w:rtl/>
          <w:lang w:bidi="fa-IR"/>
        </w:rPr>
        <w:t xml:space="preserve"> وَقُوَّةٍ ؛ وَإِذَا </w:t>
      </w:r>
      <w:r w:rsidRPr="007C12DB">
        <w:rPr>
          <w:rStyle w:val="libFootnotenumChar"/>
          <w:rtl/>
        </w:rPr>
        <w:t>(5)</w:t>
      </w:r>
      <w:r w:rsidRPr="005D642E">
        <w:rPr>
          <w:rtl/>
          <w:lang w:bidi="fa-IR"/>
        </w:rPr>
        <w:t xml:space="preserve"> كَانَ مَرِيضاً ، لَمْ يَجِئْ </w:t>
      </w:r>
      <w:r w:rsidRPr="007C12DB">
        <w:rPr>
          <w:rStyle w:val="libFootnotenumChar"/>
          <w:rtl/>
        </w:rPr>
        <w:t>(6)</w:t>
      </w:r>
      <w:r w:rsidR="00854D36">
        <w:rPr>
          <w:rtl/>
          <w:lang w:bidi="fa-IR"/>
        </w:rPr>
        <w:t xml:space="preserve"> إِل</w:t>
      </w:r>
      <w:r w:rsidR="00854D36">
        <w:rPr>
          <w:rFonts w:hint="cs"/>
          <w:rtl/>
          <w:lang w:bidi="fa-IR"/>
        </w:rPr>
        <w:t>َّ</w:t>
      </w:r>
      <w:r w:rsidR="00854D36">
        <w:rPr>
          <w:rtl/>
          <w:lang w:bidi="fa-IR"/>
        </w:rPr>
        <w:t>ا</w:t>
      </w:r>
      <w:r w:rsidRPr="005D642E">
        <w:rPr>
          <w:rtl/>
          <w:lang w:bidi="fa-IR"/>
        </w:rPr>
        <w:t xml:space="preserve"> بَعْدُ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384BBC">
        <w:rPr>
          <w:rtl/>
        </w:rPr>
        <w:t>4036</w:t>
      </w:r>
      <w:r w:rsidRPr="00246318">
        <w:rPr>
          <w:rStyle w:val="libBold2Char"/>
          <w:rtl/>
        </w:rPr>
        <w:t xml:space="preserve"> / 5.</w:t>
      </w:r>
      <w:r w:rsidRPr="005D642E">
        <w:rPr>
          <w:rtl/>
          <w:lang w:bidi="fa-IR"/>
        </w:rPr>
        <w:t xml:space="preserve"> عِدَّةٌ مِنْ أَصْحَابِنَا ، عَنْ أَحْمَدَ بْنِ مُحَمَّدٍ ، عَنِ ابْنِ أَبِي عُمَيْرٍ ، عَنْ حَمَّادِ بْنِ عُثْمَانَ </w:t>
      </w:r>
      <w:r w:rsidRPr="007C12DB">
        <w:rPr>
          <w:rStyle w:val="libFootnotenumChar"/>
          <w:rtl/>
        </w:rPr>
        <w:t>(9)</w:t>
      </w:r>
      <w:r w:rsidRPr="005D642E">
        <w:rPr>
          <w:rtl/>
          <w:lang w:bidi="fa-IR"/>
        </w:rPr>
        <w:t xml:space="preserve">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الْمَرْأَةِ تَرى فِي الْمَنَامِ مَا يَرَى الرَّجُلُ</w:t>
      </w:r>
      <w:r>
        <w:rPr>
          <w:rtl/>
          <w:lang w:bidi="fa-IR"/>
        </w:rPr>
        <w:t>؟</w:t>
      </w:r>
    </w:p>
    <w:p w:rsidR="00E3253D" w:rsidRPr="005D642E" w:rsidRDefault="00E3253D" w:rsidP="00E3253D">
      <w:pPr>
        <w:pStyle w:val="libNormal"/>
        <w:rPr>
          <w:rtl/>
          <w:lang w:bidi="fa-IR"/>
        </w:rPr>
      </w:pPr>
      <w:r w:rsidRPr="005D642E">
        <w:rPr>
          <w:rtl/>
          <w:lang w:bidi="fa-IR"/>
        </w:rPr>
        <w:t xml:space="preserve">قَالَ : « إِنْ </w:t>
      </w:r>
      <w:r w:rsidRPr="007C12DB">
        <w:rPr>
          <w:rStyle w:val="libFootnotenumChar"/>
          <w:rtl/>
        </w:rPr>
        <w:t>(10)</w:t>
      </w:r>
      <w:r w:rsidRPr="005D642E">
        <w:rPr>
          <w:rtl/>
          <w:lang w:bidi="fa-IR"/>
        </w:rPr>
        <w:t xml:space="preserve"> أَنْزَلَتْ ، فَعَلَيْهَا الْغُسْلُ ؛ وَإِنْ لَمْ تُنْزِلْ </w:t>
      </w:r>
      <w:r w:rsidRPr="007C12DB">
        <w:rPr>
          <w:rStyle w:val="libFootnotenumChar"/>
          <w:rtl/>
        </w:rPr>
        <w:t>(11)</w:t>
      </w:r>
      <w:r w:rsidRPr="005D642E">
        <w:rPr>
          <w:rtl/>
          <w:lang w:bidi="fa-IR"/>
        </w:rPr>
        <w:t xml:space="preserve"> ، فَلَيْسَ عَلَيْهَا الْغُسْلُ »</w:t>
      </w:r>
      <w:r>
        <w:rPr>
          <w:rtl/>
          <w:lang w:bidi="fa-IR"/>
        </w:rPr>
        <w:t>.</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384BBC">
        <w:rPr>
          <w:rtl/>
        </w:rPr>
        <w:t>4037</w:t>
      </w:r>
      <w:r w:rsidRPr="00246318">
        <w:rPr>
          <w:rStyle w:val="libBold2Char"/>
          <w:rtl/>
        </w:rPr>
        <w:t xml:space="preserve"> / 6.</w:t>
      </w:r>
      <w:r w:rsidRPr="005D642E">
        <w:rPr>
          <w:rtl/>
          <w:lang w:bidi="fa-IR"/>
        </w:rPr>
        <w:t xml:space="preserve"> مُحَمَّدُ بْنُ يَحْيى ، عَنْ أَحْمَدَ بْنِ مُحَمَّدٍ ، عَنِ ابْنِ مَحْبُوبٍ ، عَنْ عَبْدِ اللهِ بْنِ سِنَانٍ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جس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والعلل : « قال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إنّ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والعلل. وفي « بث » : « بالماء »</w:t>
      </w:r>
      <w:r w:rsidR="00E3253D">
        <w:rPr>
          <w:rtl/>
        </w:rPr>
        <w:t>.</w:t>
      </w:r>
      <w:r w:rsidR="00E3253D" w:rsidRPr="005D642E">
        <w:rPr>
          <w:rtl/>
        </w:rPr>
        <w:t xml:space="preserve"> وفي المطبوع :</w:t>
      </w:r>
      <w:r w:rsidR="00E3253D">
        <w:rPr>
          <w:rtl/>
        </w:rPr>
        <w:t xml:space="preserve"> </w:t>
      </w:r>
      <w:r w:rsidR="007642BC">
        <w:rPr>
          <w:rtl/>
        </w:rPr>
        <w:t>-</w:t>
      </w:r>
      <w:r w:rsidR="00E3253D">
        <w:rPr>
          <w:rtl/>
        </w:rPr>
        <w:t xml:space="preserve"> </w:t>
      </w:r>
      <w:r w:rsidR="00E3253D" w:rsidRPr="005D642E">
        <w:rPr>
          <w:rtl/>
        </w:rPr>
        <w:t>« الماء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بث ، بس ، بف ، جح ، جس » وحاشية « ظ ، غ ، بح ، جن » : « بدفعة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ى ، بث ، بح ، جح ، جس » وحاشية « بخ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والعلل : « وإن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بث ، جح » وحاشية « بخ » : « لا يجي‌ء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العلل : + « بضعف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علل الشرائع</w:t>
      </w:r>
      <w:r w:rsidR="00E3253D" w:rsidRPr="005D642E">
        <w:rPr>
          <w:rtl/>
        </w:rPr>
        <w:t xml:space="preserve"> ، ص 288 ، ح 1 ، عن أبيه ، عن عليّ بن إبراهيم ، عن أبيه ، عن ابن المغيرة. وفي </w:t>
      </w:r>
      <w:r w:rsidR="00E3253D" w:rsidRPr="002F4D34">
        <w:rPr>
          <w:rStyle w:val="libFootnoteBoldChar"/>
          <w:rtl/>
        </w:rPr>
        <w:t>التهذيب</w:t>
      </w:r>
      <w:r w:rsidR="00E3253D" w:rsidRPr="005D642E">
        <w:rPr>
          <w:rtl/>
        </w:rPr>
        <w:t xml:space="preserve"> ، ج 1 ، ص 369 ، ح 1124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110 ، ح 365 ، بسندهما عن عبدالله بن المغيرة </w:t>
      </w:r>
      <w:r w:rsidR="00544690">
        <w:rPr>
          <w:rFonts w:hint="cs"/>
          <w:rtl/>
        </w:rPr>
        <w:t>.</w:t>
      </w:r>
      <w:r w:rsidR="00E3253D" w:rsidRPr="002F4D34">
        <w:rPr>
          <w:rStyle w:val="libFootnoteBoldChar"/>
          <w:rtl/>
        </w:rPr>
        <w:t>الوافي</w:t>
      </w:r>
      <w:r w:rsidR="00E3253D" w:rsidRPr="005D642E">
        <w:rPr>
          <w:rtl/>
        </w:rPr>
        <w:t xml:space="preserve"> ، ج 6 ، ص 400 ، ح 4549 ؛ </w:t>
      </w:r>
      <w:r w:rsidR="00E3253D" w:rsidRPr="002F4D34">
        <w:rPr>
          <w:rStyle w:val="libFootnoteBoldChar"/>
          <w:rtl/>
        </w:rPr>
        <w:t>الوسائل</w:t>
      </w:r>
      <w:r w:rsidR="00E3253D" w:rsidRPr="005D642E">
        <w:rPr>
          <w:rtl/>
        </w:rPr>
        <w:t xml:space="preserve"> ، ج 2 ، ص 195 ، ذيل ح 1910.</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ح 331 </w:t>
      </w:r>
      <w:r w:rsidR="00E3253D" w:rsidRPr="00E678B5">
        <w:rPr>
          <w:rStyle w:val="libFootnoteBoldChar"/>
          <w:rtl/>
        </w:rPr>
        <w:t>والاستبصار</w:t>
      </w:r>
      <w:r w:rsidR="00E3253D" w:rsidRPr="005D642E">
        <w:rPr>
          <w:rtl/>
        </w:rPr>
        <w:t xml:space="preserve"> ، ح 352 :</w:t>
      </w:r>
      <w:r w:rsidR="00E3253D">
        <w:rPr>
          <w:rtl/>
        </w:rPr>
        <w:t xml:space="preserve"> </w:t>
      </w:r>
      <w:r w:rsidR="007642BC">
        <w:rPr>
          <w:rtl/>
        </w:rPr>
        <w:t>-</w:t>
      </w:r>
      <w:r w:rsidR="00E3253D">
        <w:rPr>
          <w:rtl/>
        </w:rPr>
        <w:t xml:space="preserve"> </w:t>
      </w:r>
      <w:r w:rsidR="00E3253D" w:rsidRPr="005D642E">
        <w:rPr>
          <w:rtl/>
        </w:rPr>
        <w:t>« بن عثمان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معظم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ح 331 </w:t>
      </w:r>
      <w:r w:rsidR="00E3253D" w:rsidRPr="00E678B5">
        <w:rPr>
          <w:rStyle w:val="libFootnoteBoldChar"/>
          <w:rtl/>
        </w:rPr>
        <w:t>والاستبصار</w:t>
      </w:r>
      <w:r w:rsidR="00E3253D" w:rsidRPr="005D642E">
        <w:rPr>
          <w:rtl/>
        </w:rPr>
        <w:t xml:space="preserve"> ، ح 352. وفي « غ » والمطبوع : « إذا »</w:t>
      </w:r>
      <w:r w:rsidR="00E3253D">
        <w:rPr>
          <w:rtl/>
        </w:rPr>
        <w:t>.</w:t>
      </w:r>
      <w:r w:rsidR="00E3253D" w:rsidRPr="005D642E">
        <w:rPr>
          <w:rtl/>
        </w:rPr>
        <w:t xml:space="preserve"> وفي « بخ » : « فإن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جس » : « لم ينزل » ، أي المنيُّ.</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123 ، ح 331 ، بسنده عن الكليني ؛ </w:t>
      </w:r>
      <w:r w:rsidR="00E3253D" w:rsidRPr="002F4D34">
        <w:rPr>
          <w:rStyle w:val="libFootnoteBoldChar"/>
          <w:rtl/>
        </w:rPr>
        <w:t>الاستبصار</w:t>
      </w:r>
      <w:r w:rsidR="00E3253D" w:rsidRPr="005D642E">
        <w:rPr>
          <w:rtl/>
        </w:rPr>
        <w:t xml:space="preserve"> ، ج 1 ، ص 107 ، ح 352 ، معلّقاً عن الكليني. وفي </w:t>
      </w:r>
      <w:r w:rsidR="00E3253D" w:rsidRPr="002F4D34">
        <w:rPr>
          <w:rStyle w:val="libFootnoteBoldChar"/>
          <w:rtl/>
        </w:rPr>
        <w:t>التهذيب</w:t>
      </w:r>
      <w:r w:rsidR="00E3253D" w:rsidRPr="005D642E">
        <w:rPr>
          <w:rtl/>
        </w:rPr>
        <w:t xml:space="preserve"> ، ج 1 ، ص 124 ، ح 333 ؛ </w:t>
      </w:r>
      <w:r w:rsidR="00E3253D" w:rsidRPr="00E678B5">
        <w:rPr>
          <w:rStyle w:val="libFootnoteBoldChar"/>
          <w:rtl/>
        </w:rPr>
        <w:t>والاستبصار</w:t>
      </w:r>
      <w:r w:rsidR="00E3253D" w:rsidRPr="005D642E">
        <w:rPr>
          <w:rtl/>
        </w:rPr>
        <w:t xml:space="preserve"> ، ج 1 ، ص 108 ، ح 356 ، بسند آخر عن أبي الحسن </w:t>
      </w:r>
      <w:r w:rsidR="00E3253D" w:rsidRPr="00544690">
        <w:rPr>
          <w:rStyle w:val="libFootnoteAlaemChar"/>
          <w:rtl/>
        </w:rPr>
        <w:t>عليه‌السلام</w:t>
      </w:r>
      <w:r w:rsidR="00E3253D" w:rsidRPr="005D642E">
        <w:rPr>
          <w:rtl/>
        </w:rPr>
        <w:t xml:space="preserve"> ، إلى قوله : « فعليها الغسل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86 ، ص 190 ، مرسلاً ، وفي الثلاثة الأخيرة مع اختلاف يسير </w:t>
      </w:r>
      <w:r w:rsidR="00114BCB">
        <w:rPr>
          <w:rFonts w:hint="cs"/>
          <w:rtl/>
        </w:rPr>
        <w:t>.</w:t>
      </w:r>
      <w:r w:rsidR="00E3253D" w:rsidRPr="002F4D34">
        <w:rPr>
          <w:rStyle w:val="libFootnoteBoldChar"/>
          <w:rtl/>
        </w:rPr>
        <w:t>الوافي</w:t>
      </w:r>
      <w:r w:rsidR="00E3253D" w:rsidRPr="005D642E">
        <w:rPr>
          <w:rtl/>
        </w:rPr>
        <w:t xml:space="preserve"> ، ج 6 ، ص 405 ، ح 4558 ؛ </w:t>
      </w:r>
      <w:r w:rsidR="00E3253D" w:rsidRPr="002F4D34">
        <w:rPr>
          <w:rStyle w:val="libFootnoteBoldChar"/>
          <w:rtl/>
        </w:rPr>
        <w:t>الوسائل</w:t>
      </w:r>
      <w:r w:rsidR="00E3253D" w:rsidRPr="005D642E">
        <w:rPr>
          <w:rtl/>
        </w:rPr>
        <w:t xml:space="preserve"> ، ج 2 ، ص 187 ، ح 1888.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سَأَلْتُ أَبَا عَبْدِ اللهِ </w:t>
      </w:r>
      <w:r w:rsidRPr="00AC51C5">
        <w:rPr>
          <w:rStyle w:val="libAlaemChar"/>
          <w:rtl/>
        </w:rPr>
        <w:t>عليه‌السلام</w:t>
      </w:r>
      <w:r w:rsidRPr="005D642E">
        <w:rPr>
          <w:rtl/>
          <w:lang w:bidi="fa-IR"/>
        </w:rPr>
        <w:t xml:space="preserve"> عَنِ الْمَرْأَةِ تَرى أَنَّ </w:t>
      </w:r>
      <w:r w:rsidRPr="007C12DB">
        <w:rPr>
          <w:rStyle w:val="libFootnotenumChar"/>
          <w:rtl/>
        </w:rPr>
        <w:t>(1)</w:t>
      </w:r>
      <w:r w:rsidRPr="005D642E">
        <w:rPr>
          <w:rtl/>
          <w:lang w:bidi="fa-IR"/>
        </w:rPr>
        <w:t xml:space="preserve"> الرَّجُلَ يُجَامِعُهَا فِي الْمَنَامِ فِي فَرْجِهَا حَتّى تُنْزِلَ </w:t>
      </w:r>
      <w:r w:rsidRPr="007C12DB">
        <w:rPr>
          <w:rStyle w:val="libFootnotenumChar"/>
          <w:rtl/>
        </w:rPr>
        <w:t>(2)</w:t>
      </w:r>
      <w:r>
        <w:rPr>
          <w:rtl/>
          <w:lang w:bidi="fa-IR"/>
        </w:rPr>
        <w:t>؟</w:t>
      </w:r>
      <w:r w:rsidRPr="005D642E">
        <w:rPr>
          <w:rtl/>
          <w:lang w:bidi="fa-IR"/>
        </w:rPr>
        <w:t xml:space="preserve"> قَالَ : « تَغْتَسِلُ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AC6552" w:rsidP="00E3253D">
      <w:pPr>
        <w:pStyle w:val="libNormal"/>
        <w:rPr>
          <w:rtl/>
          <w:lang w:bidi="fa-IR"/>
        </w:rPr>
      </w:pPr>
      <w:r>
        <w:rPr>
          <w:rFonts w:hint="cs"/>
          <w:rtl/>
          <w:lang w:bidi="fa-IR"/>
        </w:rPr>
        <w:t xml:space="preserve">* </w:t>
      </w:r>
      <w:r w:rsidR="00E3253D" w:rsidRPr="005D642E">
        <w:rPr>
          <w:rtl/>
          <w:lang w:bidi="fa-IR"/>
        </w:rPr>
        <w:t xml:space="preserve">وَفِي رِوَايَةٍ أُخْرى قَالَ : « عَلَيْهَا غُسْلٌ ، وَلكِنْ لَاتُحَدِّثُوهُنَّ بِهذَا </w:t>
      </w:r>
      <w:r w:rsidR="00E3253D" w:rsidRPr="007C12DB">
        <w:rPr>
          <w:rStyle w:val="libFootnotenumChar"/>
          <w:rtl/>
        </w:rPr>
        <w:t>(4)</w:t>
      </w:r>
      <w:r w:rsidR="00E3253D" w:rsidRPr="005D642E">
        <w:rPr>
          <w:rtl/>
          <w:lang w:bidi="fa-IR"/>
        </w:rPr>
        <w:t xml:space="preserve"> ، فَيَتَّخِذْنَهُ </w:t>
      </w:r>
      <w:r w:rsidR="00E3253D" w:rsidRPr="007C12DB">
        <w:rPr>
          <w:rStyle w:val="libFootnotenumChar"/>
          <w:rtl/>
        </w:rPr>
        <w:t>(5)</w:t>
      </w:r>
      <w:r w:rsidR="00E3253D" w:rsidRPr="005D642E">
        <w:rPr>
          <w:rtl/>
          <w:lang w:bidi="fa-IR"/>
        </w:rPr>
        <w:t xml:space="preserve"> عِلَّةً</w:t>
      </w:r>
      <w:r w:rsidR="00E3253D" w:rsidRPr="007C12DB">
        <w:rPr>
          <w:rStyle w:val="libFootnotenumChar"/>
          <w:rtl/>
        </w:rPr>
        <w:t>(6)</w:t>
      </w:r>
      <w:r w:rsidR="00E3253D" w:rsidRPr="005D642E">
        <w:rPr>
          <w:rtl/>
          <w:lang w:bidi="fa-IR"/>
        </w:rPr>
        <w:t xml:space="preserve"> »</w:t>
      </w:r>
      <w:r w:rsidR="00E3253D">
        <w:rPr>
          <w:rtl/>
          <w:lang w:bidi="fa-IR"/>
        </w:rPr>
        <w:t>.</w:t>
      </w:r>
      <w:r w:rsidR="00E3253D" w:rsidRPr="007C12DB">
        <w:rPr>
          <w:rStyle w:val="libFootnotenumChar"/>
          <w:rtl/>
        </w:rPr>
        <w:t>(7)</w:t>
      </w:r>
    </w:p>
    <w:p w:rsidR="00E3253D" w:rsidRPr="005D642E" w:rsidRDefault="00E3253D" w:rsidP="00E3253D">
      <w:pPr>
        <w:pStyle w:val="libNormal"/>
        <w:rPr>
          <w:rtl/>
          <w:lang w:bidi="fa-IR"/>
        </w:rPr>
      </w:pPr>
      <w:r w:rsidRPr="00384BBC">
        <w:rPr>
          <w:rtl/>
        </w:rPr>
        <w:t>4038</w:t>
      </w:r>
      <w:r w:rsidRPr="00246318">
        <w:rPr>
          <w:rStyle w:val="libBold2Char"/>
          <w:rtl/>
        </w:rPr>
        <w:t xml:space="preserve"> / 7.</w:t>
      </w:r>
      <w:r w:rsidRPr="005D642E">
        <w:rPr>
          <w:rtl/>
          <w:lang w:bidi="fa-IR"/>
        </w:rPr>
        <w:t xml:space="preserve"> مُحَمَّدُ بْنُ يَحْيى ، عَنْ أَحْمَدَ بْنِ مُحَمَّدٍ ، عَنْ عُثْمَانَ بْنِ</w:t>
      </w:r>
      <w:r w:rsidR="006A3BF5">
        <w:rPr>
          <w:rtl/>
          <w:lang w:bidi="fa-IR"/>
        </w:rPr>
        <w:t xml:space="preserve"> عِيسى ، عَنْ سَمَاعَةَ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يَنَامُ وَلَمْ يَرَ فِي نَوْمِهِ أَنَّهُ احْتَلَمَ ، فَيَجِدُ </w:t>
      </w:r>
      <w:r w:rsidRPr="007C12DB">
        <w:rPr>
          <w:rStyle w:val="libFootnotenumChar"/>
          <w:rtl/>
        </w:rPr>
        <w:t>(8)</w:t>
      </w:r>
      <w:r w:rsidRPr="005D642E">
        <w:rPr>
          <w:rtl/>
          <w:lang w:bidi="fa-IR"/>
        </w:rPr>
        <w:t xml:space="preserve"> فِي ثَوْبِهِ وَعَلى فَخِذِهِ الْمَاءَ : هَلْ عَلَيْهِ غُسْلٌ</w:t>
      </w:r>
      <w:r>
        <w:rPr>
          <w:rtl/>
          <w:lang w:bidi="fa-IR"/>
        </w:rPr>
        <w:t>؟</w:t>
      </w:r>
      <w:r w:rsidRPr="005D642E">
        <w:rPr>
          <w:rtl/>
          <w:lang w:bidi="fa-IR"/>
        </w:rPr>
        <w:t xml:space="preserve"> قَالَ : « نَعَمْ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w:t>
      </w:r>
      <w:r w:rsidR="00E3253D">
        <w:rPr>
          <w:rtl/>
        </w:rPr>
        <w:t xml:space="preserve"> </w:t>
      </w:r>
      <w:r w:rsidR="007642BC">
        <w:rPr>
          <w:rtl/>
        </w:rPr>
        <w:t>-</w:t>
      </w:r>
      <w:r w:rsidR="00E3253D">
        <w:rPr>
          <w:rtl/>
        </w:rPr>
        <w:t xml:space="preserve"> </w:t>
      </w:r>
      <w:r w:rsidR="00E3253D" w:rsidRPr="005D642E">
        <w:rPr>
          <w:rtl/>
        </w:rPr>
        <w:t>« أنّ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حتّى ينزل » ، أي المنيُّ.</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120 ، ح 318 ؛ وص 124 ، ح 334 ؛ </w:t>
      </w:r>
      <w:r w:rsidR="00E3253D" w:rsidRPr="00E678B5">
        <w:rPr>
          <w:rStyle w:val="libFootnoteBoldChar"/>
          <w:rtl/>
        </w:rPr>
        <w:t>والاستبصار</w:t>
      </w:r>
      <w:r w:rsidR="00E3253D" w:rsidRPr="005D642E">
        <w:rPr>
          <w:rtl/>
        </w:rPr>
        <w:t xml:space="preserve"> ، ج 1 ، ص 105 ، ح 343 ، بسندها عن الكليني. </w:t>
      </w:r>
      <w:r w:rsidR="00E3253D" w:rsidRPr="002F4D34">
        <w:rPr>
          <w:rStyle w:val="libFootnoteBoldChar"/>
          <w:rtl/>
        </w:rPr>
        <w:t>وفيه</w:t>
      </w:r>
      <w:r w:rsidR="00E3253D" w:rsidRPr="005D642E">
        <w:rPr>
          <w:rtl/>
        </w:rPr>
        <w:t xml:space="preserve"> ، ج 1 ، ص 108 ، ح 357 ، معلّقاً عن أحمد بن محمّد </w:t>
      </w:r>
      <w:r w:rsidR="00E3253D" w:rsidRPr="002F4D34">
        <w:rPr>
          <w:rStyle w:val="libFootnoteBoldChar"/>
          <w:rtl/>
        </w:rPr>
        <w:t>الوافي</w:t>
      </w:r>
      <w:r w:rsidR="00E3253D" w:rsidRPr="005D642E">
        <w:rPr>
          <w:rtl/>
        </w:rPr>
        <w:t xml:space="preserve"> ، ج 6 ، ص 405 ، ح 4559 ؛ </w:t>
      </w:r>
      <w:r w:rsidR="00E3253D" w:rsidRPr="002F4D34">
        <w:rPr>
          <w:rStyle w:val="libFootnoteBoldChar"/>
          <w:rtl/>
        </w:rPr>
        <w:t>الوسائل</w:t>
      </w:r>
      <w:r w:rsidR="00E3253D" w:rsidRPr="005D642E">
        <w:rPr>
          <w:rtl/>
        </w:rPr>
        <w:t xml:space="preserve"> ، ج 2 ، ص 188 ، ح 1890.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بح ، بف » وحاشية « بخ » : + « الحديث »</w:t>
      </w:r>
      <w:r w:rsidR="00E3253D">
        <w:rPr>
          <w:rtl/>
        </w:rPr>
        <w:t>.</w:t>
      </w:r>
      <w:r w:rsidR="00E3253D" w:rsidRPr="005D642E">
        <w:rPr>
          <w:rtl/>
        </w:rPr>
        <w:t xml:space="preserve"> وفي « بخ » : « لاتحدّثونهنّ بهذا » بهيئة النفي.</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فتتّخذنه »</w:t>
      </w:r>
      <w:r w:rsidR="00E3253D">
        <w:rPr>
          <w:rtl/>
        </w:rPr>
        <w:t>.</w:t>
      </w:r>
      <w:r w:rsidR="00E3253D" w:rsidRPr="005D642E">
        <w:rPr>
          <w:rtl/>
        </w:rPr>
        <w:t xml:space="preserve"> وفي « بس » : « فيتّخذونه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قال في </w:t>
      </w:r>
      <w:r w:rsidR="00E3253D" w:rsidRPr="002F4D34">
        <w:rPr>
          <w:rStyle w:val="libFootnoteBoldChar"/>
          <w:rtl/>
        </w:rPr>
        <w:t>مشرق الشمسين</w:t>
      </w:r>
      <w:r w:rsidR="00E3253D" w:rsidRPr="005D642E">
        <w:rPr>
          <w:rtl/>
        </w:rPr>
        <w:t xml:space="preserve"> ، ص 222 : «</w:t>
      </w:r>
      <w:r w:rsidR="00E3253D">
        <w:rPr>
          <w:rtl/>
        </w:rPr>
        <w:t xml:space="preserve"> ..</w:t>
      </w:r>
      <w:r w:rsidR="00E3253D" w:rsidRPr="005D642E">
        <w:rPr>
          <w:rtl/>
        </w:rPr>
        <w:t xml:space="preserve">. ويمكن أن يكون مراده </w:t>
      </w:r>
      <w:r w:rsidR="00E3253D" w:rsidRPr="00826FF3">
        <w:rPr>
          <w:rStyle w:val="libFootnoteAlaemChar"/>
          <w:rtl/>
        </w:rPr>
        <w:t>عليه‌السلام</w:t>
      </w:r>
      <w:r w:rsidR="00E3253D" w:rsidRPr="005D642E">
        <w:rPr>
          <w:rtl/>
        </w:rPr>
        <w:t xml:space="preserve"> أنّكم لاتخبروهنّ بذلك ؛ لئلاّ يخطر ذلك ببالهنّ عند النوم ويتفكّرن فيحتلمن ؛ إذ الأغلب أنّ ما يخطر ببال الإنسان حين النوم ويتفكّر فيه فإنّه يراه في المنام. وفي هذا الحديث دلالة على أنّه لايجب على العالم بأمثال هذه المسائل أن يعلّمها للجاهل بها ، بل يكره له ذلك إذا ظنّ ترتّب مثل هذه المفسدة على تعليمه »</w:t>
      </w:r>
      <w:r w:rsidR="00E3253D">
        <w:rPr>
          <w:rtl/>
        </w:rPr>
        <w:t>.</w:t>
      </w:r>
      <w:r w:rsidR="00E3253D" w:rsidRPr="005D642E">
        <w:rPr>
          <w:rtl/>
        </w:rPr>
        <w:t xml:space="preserve"> وراجع أيضاً : </w:t>
      </w:r>
      <w:r w:rsidR="00E3253D" w:rsidRPr="002F4D34">
        <w:rPr>
          <w:rStyle w:val="libFootnoteBoldChar"/>
          <w:rtl/>
        </w:rPr>
        <w:t>الحبل المتين</w:t>
      </w:r>
      <w:r w:rsidR="00E3253D" w:rsidRPr="005D642E">
        <w:rPr>
          <w:rtl/>
        </w:rPr>
        <w:t xml:space="preserve"> ، ص 138 ؛ </w:t>
      </w:r>
      <w:r w:rsidR="00E3253D" w:rsidRPr="002F4D34">
        <w:rPr>
          <w:rStyle w:val="libFootnoteBoldChar"/>
          <w:rtl/>
        </w:rPr>
        <w:t>مرآة العقول</w:t>
      </w:r>
      <w:r w:rsidR="00E3253D" w:rsidRPr="005D642E">
        <w:rPr>
          <w:rtl/>
        </w:rPr>
        <w:t xml:space="preserve"> ، ج 13 ، ص 145.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121 ، ح 319 ؛ </w:t>
      </w:r>
      <w:r w:rsidR="00E3253D" w:rsidRPr="00E678B5">
        <w:rPr>
          <w:rStyle w:val="libFootnoteBoldChar"/>
          <w:rtl/>
        </w:rPr>
        <w:t>والاستبصار</w:t>
      </w:r>
      <w:r w:rsidR="00E3253D" w:rsidRPr="005D642E">
        <w:rPr>
          <w:rtl/>
        </w:rPr>
        <w:t xml:space="preserve"> ، ج 1 ، ص 105 ، ح 344 ، بسند آخر ، مع اختلاف </w:t>
      </w:r>
      <w:r w:rsidR="00A346B8">
        <w:rPr>
          <w:rFonts w:hint="cs"/>
          <w:rtl/>
        </w:rPr>
        <w:t>.</w:t>
      </w:r>
      <w:r w:rsidR="00E3253D" w:rsidRPr="002F4D34">
        <w:rPr>
          <w:rStyle w:val="libFootnoteBoldChar"/>
          <w:rtl/>
        </w:rPr>
        <w:t>الوافي</w:t>
      </w:r>
      <w:r w:rsidR="00E3253D" w:rsidRPr="005D642E">
        <w:rPr>
          <w:rtl/>
        </w:rPr>
        <w:t xml:space="preserve"> ، ج 6 ، ص 405 ، ح 4560 ؛ </w:t>
      </w:r>
      <w:r w:rsidR="00E3253D" w:rsidRPr="002F4D34">
        <w:rPr>
          <w:rStyle w:val="libFootnoteBoldChar"/>
          <w:rtl/>
        </w:rPr>
        <w:t>الوسائل</w:t>
      </w:r>
      <w:r w:rsidR="00E3253D" w:rsidRPr="005D642E">
        <w:rPr>
          <w:rtl/>
        </w:rPr>
        <w:t xml:space="preserve"> ، ج 2 ، ص 188 ، ح 1891.</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جن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فوجد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368 ، ح 1119 ؛ </w:t>
      </w:r>
      <w:r w:rsidR="00E3253D" w:rsidRPr="00E678B5">
        <w:rPr>
          <w:rStyle w:val="libFootnoteBoldChar"/>
          <w:rtl/>
        </w:rPr>
        <w:t>والاستبصار</w:t>
      </w:r>
      <w:r w:rsidR="00E3253D" w:rsidRPr="005D642E">
        <w:rPr>
          <w:rtl/>
        </w:rPr>
        <w:t xml:space="preserve"> ، ج 1 ، ص 111 ، ح 368 ، معلّقاً عن أحمد بن محمّد </w:t>
      </w:r>
      <w:r w:rsidR="00D61D44">
        <w:rPr>
          <w:rFonts w:hint="cs"/>
          <w:rtl/>
        </w:rPr>
        <w:t>.</w:t>
      </w:r>
      <w:r w:rsidR="00E3253D" w:rsidRPr="002F4D34">
        <w:rPr>
          <w:rStyle w:val="libFootnoteBoldChar"/>
          <w:rtl/>
        </w:rPr>
        <w:t>الوافي</w:t>
      </w:r>
      <w:r w:rsidR="00E3253D" w:rsidRPr="005D642E">
        <w:rPr>
          <w:rtl/>
        </w:rPr>
        <w:t xml:space="preserve"> ، ج 6 ، ص 401 ، ح 4550 ؛ </w:t>
      </w:r>
      <w:r w:rsidR="00E3253D" w:rsidRPr="002F4D34">
        <w:rPr>
          <w:rStyle w:val="libFootnoteBoldChar"/>
          <w:rtl/>
        </w:rPr>
        <w:t>الوسائل</w:t>
      </w:r>
      <w:r w:rsidR="00E3253D" w:rsidRPr="005D642E">
        <w:rPr>
          <w:rtl/>
        </w:rPr>
        <w:t xml:space="preserve"> ، ج 2 ، ص 198 ، ح 1916.</w:t>
      </w:r>
    </w:p>
    <w:p w:rsidR="00E3253D" w:rsidRDefault="00E3253D" w:rsidP="00E3253D">
      <w:pPr>
        <w:pStyle w:val="libNormal"/>
        <w:rPr>
          <w:rtl/>
          <w:lang w:bidi="fa-IR"/>
        </w:rPr>
      </w:pPr>
      <w:r>
        <w:rPr>
          <w:rtl/>
          <w:lang w:bidi="fa-IR"/>
        </w:rPr>
        <w:br w:type="page"/>
      </w:r>
    </w:p>
    <w:p w:rsidR="00E3253D" w:rsidRDefault="00E3253D" w:rsidP="00E3253D">
      <w:pPr>
        <w:pStyle w:val="Heading2Center"/>
        <w:rPr>
          <w:rtl/>
          <w:lang w:bidi="fa-IR"/>
        </w:rPr>
      </w:pPr>
      <w:bookmarkStart w:id="114" w:name="_Toc344647248"/>
      <w:bookmarkStart w:id="115" w:name="_Toc462226763"/>
      <w:bookmarkStart w:id="116" w:name="_Toc40975871"/>
      <w:r w:rsidRPr="005D642E">
        <w:rPr>
          <w:rtl/>
          <w:lang w:bidi="fa-IR"/>
        </w:rPr>
        <w:lastRenderedPageBreak/>
        <w:t>32</w:t>
      </w:r>
      <w:r>
        <w:rPr>
          <w:rtl/>
          <w:lang w:bidi="fa-IR"/>
        </w:rPr>
        <w:t xml:space="preserve"> </w:t>
      </w:r>
      <w:r w:rsidR="007642BC">
        <w:rPr>
          <w:rtl/>
          <w:lang w:bidi="fa-IR"/>
        </w:rPr>
        <w:t>-</w:t>
      </w:r>
      <w:r>
        <w:rPr>
          <w:rtl/>
          <w:lang w:bidi="fa-IR"/>
        </w:rPr>
        <w:t xml:space="preserve"> </w:t>
      </w:r>
      <w:r w:rsidRPr="005D642E">
        <w:rPr>
          <w:rtl/>
          <w:lang w:bidi="fa-IR"/>
        </w:rPr>
        <w:t>بَابُ الرَّجُلِ وَالْمَرْأَةِ يَغْتَسِلَانِ مِنَ الْجَنَابَةِ ،</w:t>
      </w:r>
      <w:bookmarkEnd w:id="114"/>
      <w:bookmarkEnd w:id="115"/>
      <w:bookmarkEnd w:id="116"/>
    </w:p>
    <w:p w:rsidR="00E3253D" w:rsidRPr="005D642E" w:rsidRDefault="00E3253D" w:rsidP="00E3253D">
      <w:pPr>
        <w:pStyle w:val="Heading2Center"/>
        <w:rPr>
          <w:rtl/>
          <w:lang w:bidi="fa-IR"/>
        </w:rPr>
      </w:pPr>
      <w:bookmarkStart w:id="117" w:name="_Toc344647249"/>
      <w:bookmarkStart w:id="118" w:name="_Toc462226764"/>
      <w:bookmarkStart w:id="119" w:name="_Toc40975872"/>
      <w:r w:rsidRPr="005D642E">
        <w:rPr>
          <w:rtl/>
          <w:lang w:bidi="fa-IR"/>
        </w:rPr>
        <w:t xml:space="preserve">ثُمَّ يَخْرُجُ مِنْهُمَا شَيْ‌ءٌ </w:t>
      </w:r>
      <w:r w:rsidRPr="007C12DB">
        <w:rPr>
          <w:rStyle w:val="libFootnotenumChar"/>
          <w:rtl/>
        </w:rPr>
        <w:t>(1)</w:t>
      </w:r>
      <w:r>
        <w:rPr>
          <w:rtl/>
        </w:rPr>
        <w:t xml:space="preserve"> </w:t>
      </w:r>
      <w:r w:rsidRPr="005D642E">
        <w:rPr>
          <w:rtl/>
          <w:lang w:bidi="fa-IR"/>
        </w:rPr>
        <w:t>بَعْدَ الْغُسْلِ‌</w:t>
      </w:r>
      <w:bookmarkEnd w:id="117"/>
      <w:bookmarkEnd w:id="118"/>
      <w:bookmarkEnd w:id="119"/>
    </w:p>
    <w:p w:rsidR="00E3253D" w:rsidRPr="005D642E" w:rsidRDefault="00E3253D" w:rsidP="00E3253D">
      <w:pPr>
        <w:pStyle w:val="libNormal"/>
        <w:rPr>
          <w:rtl/>
          <w:lang w:bidi="fa-IR"/>
        </w:rPr>
      </w:pPr>
      <w:r w:rsidRPr="00384BBC">
        <w:rPr>
          <w:rtl/>
        </w:rPr>
        <w:t>4039</w:t>
      </w:r>
      <w:r w:rsidRPr="00246318">
        <w:rPr>
          <w:rStyle w:val="libBold2Char"/>
          <w:rtl/>
        </w:rPr>
        <w:t xml:space="preserve"> / 1.</w:t>
      </w:r>
      <w:r w:rsidRPr="005D642E">
        <w:rPr>
          <w:rtl/>
          <w:lang w:bidi="fa-IR"/>
        </w:rPr>
        <w:t xml:space="preserve"> مُحَمَّدُ بْنُ يَحْيى ، عَنْ أَحْمَدَ بْنِ مُحَمَّدٍ ، عَنْ عُثْمَانَ بْنِ عِيسى ، عَنْ عَبْدِ اللهِ بْنِ مُسْكَانَ </w:t>
      </w:r>
      <w:r w:rsidRPr="007C12DB">
        <w:rPr>
          <w:rStyle w:val="libFootnotenumChar"/>
          <w:rtl/>
        </w:rPr>
        <w:t>(2)</w:t>
      </w:r>
      <w:r w:rsidRPr="005D642E">
        <w:rPr>
          <w:rtl/>
          <w:lang w:bidi="fa-IR"/>
        </w:rPr>
        <w:t xml:space="preserve"> ، عَنْ سُلَيْمَانَ بْنِ خَالِدٍ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رَجُلٍ أَجْنَبَ ، فَاغْتَسَلَ قَبْلَ أَنْ يَبُولَ ، فَخَرَجَ مِنْهُ شَيْ‌ءٌ ، قَالَ : « يُعِيدُ</w:t>
      </w:r>
      <w:r>
        <w:rPr>
          <w:rFonts w:hint="cs"/>
          <w:rtl/>
          <w:lang w:bidi="fa-IR"/>
        </w:rPr>
        <w:t xml:space="preserve"> </w:t>
      </w:r>
      <w:r w:rsidRPr="005D642E">
        <w:rPr>
          <w:rtl/>
          <w:lang w:bidi="fa-IR"/>
        </w:rPr>
        <w:t>الْغُسْلَ »</w:t>
      </w:r>
      <w:r>
        <w:rPr>
          <w:rtl/>
          <w:lang w:bidi="fa-IR"/>
        </w:rPr>
        <w:t>.</w:t>
      </w:r>
    </w:p>
    <w:p w:rsidR="00E3253D" w:rsidRPr="005D642E" w:rsidRDefault="00E3253D" w:rsidP="00E3253D">
      <w:pPr>
        <w:pStyle w:val="libNormal"/>
        <w:rPr>
          <w:rtl/>
          <w:lang w:bidi="fa-IR"/>
        </w:rPr>
      </w:pPr>
      <w:r w:rsidRPr="005D642E">
        <w:rPr>
          <w:rtl/>
          <w:lang w:bidi="fa-IR"/>
        </w:rPr>
        <w:t xml:space="preserve">قُلْتُ : فَالْمَرْأَةُ يَخْرُجُ مِنْهَا </w:t>
      </w:r>
      <w:r w:rsidRPr="007C12DB">
        <w:rPr>
          <w:rStyle w:val="libFootnotenumChar"/>
          <w:rtl/>
        </w:rPr>
        <w:t>(3)</w:t>
      </w:r>
      <w:r w:rsidRPr="005D642E">
        <w:rPr>
          <w:rtl/>
          <w:lang w:bidi="fa-IR"/>
        </w:rPr>
        <w:t xml:space="preserve"> بَعْدَ الْغُسْلِ</w:t>
      </w:r>
      <w:r>
        <w:rPr>
          <w:rtl/>
          <w:lang w:bidi="fa-IR"/>
        </w:rPr>
        <w:t>؟</w:t>
      </w:r>
      <w:r w:rsidRPr="005D642E">
        <w:rPr>
          <w:rtl/>
          <w:lang w:bidi="fa-IR"/>
        </w:rPr>
        <w:t xml:space="preserve"> قَالَ : « لَا تُعِيدُ </w:t>
      </w:r>
      <w:r w:rsidRPr="007C12DB">
        <w:rPr>
          <w:rStyle w:val="libFootnotenumChar"/>
          <w:rtl/>
        </w:rPr>
        <w:t>(4)</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قُلْتُ : فَمَا فَرْقُ </w:t>
      </w:r>
      <w:r w:rsidRPr="007C12DB">
        <w:rPr>
          <w:rStyle w:val="libFootnotenumChar"/>
          <w:rtl/>
        </w:rPr>
        <w:t>(5)</w:t>
      </w:r>
      <w:r w:rsidRPr="005D642E">
        <w:rPr>
          <w:rtl/>
          <w:lang w:bidi="fa-IR"/>
        </w:rPr>
        <w:t xml:space="preserve"> مَا </w:t>
      </w:r>
      <w:r w:rsidRPr="007C12DB">
        <w:rPr>
          <w:rStyle w:val="libFootnotenumChar"/>
          <w:rtl/>
        </w:rPr>
        <w:t>(6)</w:t>
      </w:r>
      <w:r w:rsidRPr="005D642E">
        <w:rPr>
          <w:rtl/>
          <w:lang w:bidi="fa-IR"/>
        </w:rPr>
        <w:t xml:space="preserve"> بَيْنَهُمَا</w:t>
      </w:r>
      <w:r>
        <w:rPr>
          <w:rtl/>
          <w:lang w:bidi="fa-IR"/>
        </w:rPr>
        <w:t>؟</w:t>
      </w:r>
    </w:p>
    <w:p w:rsidR="00E3253D" w:rsidRPr="005D642E" w:rsidRDefault="00E3253D" w:rsidP="00E3253D">
      <w:pPr>
        <w:pStyle w:val="libNormal"/>
        <w:rPr>
          <w:rtl/>
          <w:lang w:bidi="fa-IR"/>
        </w:rPr>
      </w:pPr>
      <w:r w:rsidRPr="005D642E">
        <w:rPr>
          <w:rtl/>
          <w:lang w:bidi="fa-IR"/>
        </w:rPr>
        <w:t xml:space="preserve">قَالَ : « لِأَنَّ مَا يَخْرُجُ مِنَ الْمَرْأَةِ إِنَّمَا هُوَ مِنْ </w:t>
      </w:r>
      <w:r w:rsidRPr="007C12DB">
        <w:rPr>
          <w:rStyle w:val="libFootnotenumChar"/>
          <w:rtl/>
        </w:rPr>
        <w:t>(7)</w:t>
      </w:r>
      <w:r w:rsidRPr="005D642E">
        <w:rPr>
          <w:rtl/>
          <w:lang w:bidi="fa-IR"/>
        </w:rPr>
        <w:t xml:space="preserve"> مَاءِ الرَّجُلِ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384BBC">
        <w:rPr>
          <w:rtl/>
        </w:rPr>
        <w:t>4040</w:t>
      </w:r>
      <w:r w:rsidRPr="00246318">
        <w:rPr>
          <w:rStyle w:val="libBold2Char"/>
          <w:rtl/>
        </w:rPr>
        <w:t xml:space="preserve"> / 2.</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عَنِ الرَّجُلِ يَغْتَسِلُ ، ثُمَّ يَجِدُ بَعْدَ ذلِكَ </w:t>
      </w:r>
      <w:r w:rsidRPr="007C12DB">
        <w:rPr>
          <w:rStyle w:val="libFootnotenumChar"/>
          <w:rtl/>
        </w:rPr>
        <w:t>(9)</w:t>
      </w:r>
      <w:r w:rsidRPr="005D642E">
        <w:rPr>
          <w:rtl/>
          <w:lang w:bidi="fa-IR"/>
        </w:rPr>
        <w:t xml:space="preserve"> بَلَلاً وَقَدْ‌</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 « الشي‌ء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ورد الخبر في </w:t>
      </w:r>
      <w:r w:rsidR="00E3253D" w:rsidRPr="002F4D34">
        <w:rPr>
          <w:rStyle w:val="libFootnoteBoldChar"/>
          <w:rtl/>
        </w:rPr>
        <w:t>الاستبصار</w:t>
      </w:r>
      <w:r w:rsidR="00E3253D" w:rsidRPr="005D642E">
        <w:rPr>
          <w:rtl/>
        </w:rPr>
        <w:t xml:space="preserve"> ، ج 1 ، ص 118 ، ح 399 ، بسنده عن أحمد بن محمّد بن عيسى ، عن عبدالله بن مسكان ، والظاهر وقوع الخلل في سند الاستبصار. لاحظ ما يأتي ذيل ح 4583.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w:t>
      </w:r>
      <w:r w:rsidR="00B60612" w:rsidRPr="00B60612">
        <w:rPr>
          <w:rStyle w:val="libFootnoteBoldChar"/>
          <w:rtl/>
        </w:rPr>
        <w:t>والتهذيب</w:t>
      </w:r>
      <w:r w:rsidR="00E3253D" w:rsidRPr="005D642E">
        <w:rPr>
          <w:rtl/>
        </w:rPr>
        <w:t xml:space="preserve"> ، ص 143 والعلل : + « شي‌ء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w:t>
      </w:r>
      <w:r w:rsidR="00B60612" w:rsidRPr="00B60612">
        <w:rPr>
          <w:rStyle w:val="libFootnoteBoldChar"/>
          <w:rtl/>
        </w:rPr>
        <w:t>والتهذيب</w:t>
      </w:r>
      <w:r w:rsidR="00E3253D" w:rsidRPr="005D642E">
        <w:rPr>
          <w:rtl/>
        </w:rPr>
        <w:t xml:space="preserve"> ، ص 148 : + « الغسل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 « ما فوق »</w:t>
      </w:r>
      <w:r w:rsidR="00E3253D">
        <w:rPr>
          <w:rtl/>
        </w:rPr>
        <w:t>.</w:t>
      </w:r>
      <w:r w:rsidR="00E3253D" w:rsidRPr="005D642E">
        <w:rPr>
          <w:rtl/>
        </w:rPr>
        <w:t xml:space="preserve"> وفي « بث » </w:t>
      </w:r>
      <w:r w:rsidR="00B60612" w:rsidRPr="00B60612">
        <w:rPr>
          <w:rStyle w:val="libFootnoteBoldChar"/>
          <w:rtl/>
        </w:rPr>
        <w:t>والتهذيب</w:t>
      </w:r>
      <w:r w:rsidR="00E3253D" w:rsidRPr="005D642E">
        <w:rPr>
          <w:rtl/>
        </w:rPr>
        <w:t xml:space="preserve"> ، ص 148 </w:t>
      </w:r>
      <w:r w:rsidR="00E3253D" w:rsidRPr="00E678B5">
        <w:rPr>
          <w:rStyle w:val="libFootnoteBoldChar"/>
          <w:rtl/>
        </w:rPr>
        <w:t>والاستبصار</w:t>
      </w:r>
      <w:r w:rsidR="00E3253D" w:rsidRPr="005D642E">
        <w:rPr>
          <w:rtl/>
        </w:rPr>
        <w:t xml:space="preserve"> والعلل : « فما الفرق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 ظ ، غ ، ى ، بح ، بخ ، بف ، جح ، جس » </w:t>
      </w:r>
      <w:r w:rsidR="000D749A" w:rsidRPr="000D749A">
        <w:rPr>
          <w:rStyle w:val="libFootnoteBoldChar"/>
          <w:rtl/>
        </w:rPr>
        <w:t>والوافي</w:t>
      </w:r>
      <w:r w:rsidR="00E3253D" w:rsidRPr="005D642E">
        <w:rPr>
          <w:rtl/>
        </w:rPr>
        <w:t>. وفي « بث ، بس ، جن » والمطبوع :</w:t>
      </w:r>
      <w:r w:rsidR="00E3253D">
        <w:rPr>
          <w:rtl/>
        </w:rPr>
        <w:t xml:space="preserve"> </w:t>
      </w:r>
      <w:r w:rsidR="007642BC">
        <w:rPr>
          <w:rtl/>
        </w:rPr>
        <w:t>-</w:t>
      </w:r>
      <w:r w:rsidR="00E3253D">
        <w:rPr>
          <w:rtl/>
        </w:rPr>
        <w:t xml:space="preserve"> </w:t>
      </w:r>
      <w:r w:rsidR="00E3253D" w:rsidRPr="005D642E">
        <w:rPr>
          <w:rtl/>
        </w:rPr>
        <w:t>« ما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بح ، جح »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من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143 ، ح 404 ، معلّقاً عن أحمد بن محمّد ؛ </w:t>
      </w:r>
      <w:r w:rsidR="00E3253D" w:rsidRPr="002F4D34">
        <w:rPr>
          <w:rStyle w:val="libFootnoteBoldChar"/>
          <w:rtl/>
        </w:rPr>
        <w:t>الاستبصار</w:t>
      </w:r>
      <w:r w:rsidR="00E3253D" w:rsidRPr="005D642E">
        <w:rPr>
          <w:rtl/>
        </w:rPr>
        <w:t xml:space="preserve"> ، ج 1 ، ص 118 ، ح 399 ، بسنده عن أحمد بن محمّد بن عيسى ، عن عبدالله بن مسكان ؛ </w:t>
      </w:r>
      <w:r w:rsidR="00E3253D" w:rsidRPr="002F4D34">
        <w:rPr>
          <w:rStyle w:val="libFootnoteBoldChar"/>
          <w:rtl/>
        </w:rPr>
        <w:t>التهذيب</w:t>
      </w:r>
      <w:r w:rsidR="00E3253D" w:rsidRPr="005D642E">
        <w:rPr>
          <w:rtl/>
        </w:rPr>
        <w:t xml:space="preserve"> ، ج 1 ، ص 148 ، ح 420 ، بسنده عن عثمان ، عن ابن مسكان ؛ </w:t>
      </w:r>
      <w:r w:rsidR="00E3253D" w:rsidRPr="002F4D34">
        <w:rPr>
          <w:rStyle w:val="libFootnoteBoldChar"/>
          <w:rtl/>
        </w:rPr>
        <w:t>وفيه</w:t>
      </w:r>
      <w:r w:rsidR="00E3253D" w:rsidRPr="005D642E">
        <w:rPr>
          <w:rtl/>
        </w:rPr>
        <w:t xml:space="preserve"> ، ح 421 ، بسنده عن الحسين بن عثمان ، عن ابن مسكان ؛ </w:t>
      </w:r>
      <w:r w:rsidR="00E3253D" w:rsidRPr="002F4D34">
        <w:rPr>
          <w:rStyle w:val="libFootnoteBoldChar"/>
          <w:rtl/>
        </w:rPr>
        <w:t>علل الشرائع</w:t>
      </w:r>
      <w:r w:rsidR="00E3253D" w:rsidRPr="005D642E">
        <w:rPr>
          <w:rtl/>
        </w:rPr>
        <w:t xml:space="preserve"> ، ص 287 ، ح 1 ، بسنده عن عثمان بن عيسى </w:t>
      </w:r>
      <w:r w:rsidR="00D61D44">
        <w:rPr>
          <w:rFonts w:hint="cs"/>
          <w:rtl/>
        </w:rPr>
        <w:t>.</w:t>
      </w:r>
      <w:r w:rsidR="00E3253D" w:rsidRPr="002F4D34">
        <w:rPr>
          <w:rStyle w:val="libFootnoteBoldChar"/>
          <w:rtl/>
        </w:rPr>
        <w:t>الوافي</w:t>
      </w:r>
      <w:r w:rsidR="00E3253D" w:rsidRPr="005D642E">
        <w:rPr>
          <w:rtl/>
        </w:rPr>
        <w:t xml:space="preserve"> ، ج 6 ، ص 413 ، ح 4582 ؛ </w:t>
      </w:r>
      <w:r w:rsidR="00E3253D" w:rsidRPr="002F4D34">
        <w:rPr>
          <w:rStyle w:val="libFootnoteBoldChar"/>
          <w:rtl/>
        </w:rPr>
        <w:t>الوسائل</w:t>
      </w:r>
      <w:r w:rsidR="00E3253D" w:rsidRPr="005D642E">
        <w:rPr>
          <w:rtl/>
        </w:rPr>
        <w:t xml:space="preserve"> ، ج 2 ، ص 201 ، ذيل ح 1924.</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ص 143 </w:t>
      </w:r>
      <w:r w:rsidR="00E3253D" w:rsidRPr="00E678B5">
        <w:rPr>
          <w:rStyle w:val="libFootnoteBoldChar"/>
          <w:rtl/>
        </w:rPr>
        <w:t>والاستبصار</w:t>
      </w:r>
      <w:r w:rsidR="00E3253D" w:rsidRPr="005D642E">
        <w:rPr>
          <w:rtl/>
        </w:rPr>
        <w:t xml:space="preserve"> ، ص 118 :</w:t>
      </w:r>
      <w:r w:rsidR="00E3253D">
        <w:rPr>
          <w:rtl/>
        </w:rPr>
        <w:t xml:space="preserve"> </w:t>
      </w:r>
      <w:r w:rsidR="007642BC">
        <w:rPr>
          <w:rtl/>
        </w:rPr>
        <w:t>-</w:t>
      </w:r>
      <w:r w:rsidR="00E3253D">
        <w:rPr>
          <w:rtl/>
        </w:rPr>
        <w:t xml:space="preserve"> </w:t>
      </w:r>
      <w:r w:rsidR="00E3253D" w:rsidRPr="005D642E">
        <w:rPr>
          <w:rtl/>
        </w:rPr>
        <w:t>« بعد ذلك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كَانَ بَالَ قَبْلَ أَنْ يَغْتَسِلَ</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(1)</w:t>
      </w:r>
      <w:r w:rsidRPr="005D642E">
        <w:rPr>
          <w:rtl/>
          <w:lang w:bidi="fa-IR"/>
        </w:rPr>
        <w:t xml:space="preserve"> : « إِنْ كَانَ بَالَ قَبْلَ أَنْ يَغْتَسِلَ </w:t>
      </w:r>
      <w:r w:rsidRPr="007C12DB">
        <w:rPr>
          <w:rStyle w:val="libFootnotenumChar"/>
          <w:rtl/>
        </w:rPr>
        <w:t>(2)</w:t>
      </w:r>
      <w:r w:rsidRPr="005D642E">
        <w:rPr>
          <w:rtl/>
          <w:lang w:bidi="fa-IR"/>
        </w:rPr>
        <w:t xml:space="preserve"> ، فَلَا يُعِيدُ الْغُسْلَ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384BBC">
        <w:rPr>
          <w:rtl/>
        </w:rPr>
        <w:t>4041</w:t>
      </w:r>
      <w:r w:rsidRPr="00246318">
        <w:rPr>
          <w:rStyle w:val="libBold2Char"/>
          <w:rtl/>
        </w:rPr>
        <w:t xml:space="preserve"> / 3.</w:t>
      </w:r>
      <w:r w:rsidRPr="005D642E">
        <w:rPr>
          <w:rtl/>
          <w:lang w:bidi="fa-IR"/>
        </w:rPr>
        <w:t xml:space="preserve"> الْحُسَيْنُ بْنُ مُحَمَّدٍ ، عَنْ مُعَلَّى بْنِ مُحَمَّدٍ ، عَنِ الْوَشَّاءِ ، عَنْ أَبَانِ بْنِ عُثْمَانَ ، عَنْ عَبْدِ الرَّحْمنِ بْنِ أَبِي عَبْدِ اللهِ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الْمَرْأَةِ تَغْتَسِلُ مِنَ الْجَنَابَةِ ، ثُمَّ تَرى نُطْفَةَ الرَّجُلِ بَعْدَ ذلِكَ : هَلْ عَلَيْهَا غُسْلٌ</w:t>
      </w:r>
      <w:r>
        <w:rPr>
          <w:rtl/>
          <w:lang w:bidi="fa-IR"/>
        </w:rPr>
        <w:t>؟</w:t>
      </w:r>
      <w:r w:rsidRPr="005D642E">
        <w:rPr>
          <w:rtl/>
          <w:lang w:bidi="fa-IR"/>
        </w:rPr>
        <w:t xml:space="preserve"> فَقَالَ </w:t>
      </w:r>
      <w:r w:rsidRPr="007C12DB">
        <w:rPr>
          <w:rStyle w:val="libFootnotenumChar"/>
          <w:rtl/>
        </w:rPr>
        <w:t>(4)</w:t>
      </w:r>
      <w:r w:rsidRPr="005D642E">
        <w:rPr>
          <w:rtl/>
          <w:lang w:bidi="fa-IR"/>
        </w:rPr>
        <w:t xml:space="preserve"> : « لَا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84BBC">
        <w:rPr>
          <w:rtl/>
        </w:rPr>
        <w:t>4042</w:t>
      </w:r>
      <w:r w:rsidRPr="00246318">
        <w:rPr>
          <w:rStyle w:val="libBold2Char"/>
          <w:rtl/>
        </w:rPr>
        <w:t xml:space="preserve"> / 4.</w:t>
      </w:r>
      <w:r w:rsidRPr="005D642E">
        <w:rPr>
          <w:rtl/>
          <w:lang w:bidi="fa-IR"/>
        </w:rPr>
        <w:t xml:space="preserve"> أَبُو دَاوُدَ ، عَنِ الْحُسَيْنِ بْنِ سَعِيدٍ ، عَنْ أَخِيهِ الْحَسَنِ ، عَنْ زُرْعَةَ ، عَنْ سَمَاعَةَ ، قَالَ :</w:t>
      </w:r>
    </w:p>
    <w:p w:rsidR="00E3253D" w:rsidRPr="005D642E" w:rsidRDefault="00E3253D" w:rsidP="00E3253D">
      <w:pPr>
        <w:pStyle w:val="libNormal"/>
        <w:rPr>
          <w:rtl/>
          <w:lang w:bidi="fa-IR"/>
        </w:rPr>
      </w:pPr>
      <w:r w:rsidRPr="005D642E">
        <w:rPr>
          <w:rtl/>
          <w:lang w:bidi="fa-IR"/>
        </w:rPr>
        <w:t>سَأَلْتُهُ عَنِ الرَّجُلِ يُجْنِبُ ، ثُمَّ يَغْتَسِلُ قَبْلَ أَنْ يَبُولَ ، فَيَجِدُ بَلَلاً بَعْدَ مَا يَغْتَسِلُ</w:t>
      </w:r>
      <w:r>
        <w:rPr>
          <w:rtl/>
          <w:lang w:bidi="fa-IR"/>
        </w:rPr>
        <w:t>؟</w:t>
      </w:r>
    </w:p>
    <w:p w:rsidR="00E3253D" w:rsidRPr="005D642E" w:rsidRDefault="00E3253D" w:rsidP="00FF4D3D">
      <w:pPr>
        <w:pStyle w:val="libNormal"/>
        <w:rPr>
          <w:rtl/>
          <w:lang w:bidi="fa-IR"/>
        </w:rPr>
      </w:pPr>
      <w:r w:rsidRPr="005D642E">
        <w:rPr>
          <w:rtl/>
          <w:lang w:bidi="fa-IR"/>
        </w:rPr>
        <w:t xml:space="preserve">قَالَ : « يُعِيدُ الْغُسْلَ ، وَإِنْ </w:t>
      </w:r>
      <w:r w:rsidRPr="007C12DB">
        <w:rPr>
          <w:rStyle w:val="libFootnotenumChar"/>
          <w:rtl/>
        </w:rPr>
        <w:t>(6)</w:t>
      </w:r>
      <w:r w:rsidRPr="005D642E">
        <w:rPr>
          <w:rtl/>
          <w:lang w:bidi="fa-IR"/>
        </w:rPr>
        <w:t xml:space="preserve"> كَانَ بَالَ قَبْلَ أَنْ يَغْتَسِلَ ، فَلَا يُعِيدُ </w:t>
      </w:r>
      <w:r w:rsidRPr="007C12DB">
        <w:rPr>
          <w:rStyle w:val="libFootnotenumChar"/>
          <w:rtl/>
        </w:rPr>
        <w:t>(7)</w:t>
      </w:r>
      <w:r w:rsidRPr="005D642E">
        <w:rPr>
          <w:rtl/>
          <w:lang w:bidi="fa-IR"/>
        </w:rPr>
        <w:t xml:space="preserve"> غُسْلَهُ ، وَلكِنْ يَتَوَضَّأُ وَيَسْتَنْجِي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بح ، جح » وحاشية « بخ » : « فقال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جس ، جن » وحاشية « بث ، جح » </w:t>
      </w:r>
      <w:r w:rsidR="00B60612" w:rsidRPr="00B60612">
        <w:rPr>
          <w:rStyle w:val="libFootnoteBoldChar"/>
          <w:rtl/>
        </w:rPr>
        <w:t>والتهذيب</w:t>
      </w:r>
      <w:r w:rsidR="00E3253D" w:rsidRPr="005D642E">
        <w:rPr>
          <w:rtl/>
        </w:rPr>
        <w:t xml:space="preserve"> ، ص 143 : « الغسل » بدل « أن يغتسل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الاستبصار</w:t>
      </w:r>
      <w:r w:rsidR="00E3253D" w:rsidRPr="005D642E">
        <w:rPr>
          <w:rtl/>
        </w:rPr>
        <w:t xml:space="preserve"> ، ج 1 ، ص 118 ، ح 400 ، بسنده عن الكليني. </w:t>
      </w:r>
      <w:r w:rsidR="00E3253D" w:rsidRPr="002F4D34">
        <w:rPr>
          <w:rStyle w:val="libFootnoteBoldChar"/>
          <w:rtl/>
        </w:rPr>
        <w:t>التهذيب</w:t>
      </w:r>
      <w:r w:rsidR="00E3253D" w:rsidRPr="005D642E">
        <w:rPr>
          <w:rtl/>
        </w:rPr>
        <w:t xml:space="preserve"> ، ج 1 ، ص 143 ، ح 405 ، معلّقاً عن عليّ بن إبراهيم. </w:t>
      </w:r>
      <w:r w:rsidR="00E3253D" w:rsidRPr="002F4D34">
        <w:rPr>
          <w:rStyle w:val="libFootnoteBoldChar"/>
          <w:rtl/>
        </w:rPr>
        <w:t>الاستبصار</w:t>
      </w:r>
      <w:r w:rsidR="00E3253D" w:rsidRPr="005D642E">
        <w:rPr>
          <w:rtl/>
        </w:rPr>
        <w:t xml:space="preserve"> ، ج 1 ، ص 119 ، ح 402 ، بسنده عن حمّاد ، عن حريز ، عن محمّد ، عن أبي عبدالله </w:t>
      </w:r>
      <w:r w:rsidR="00E3253D" w:rsidRPr="00F81A1A">
        <w:rPr>
          <w:rStyle w:val="libFootnoteAlaemChar"/>
          <w:rtl/>
        </w:rPr>
        <w:t>عليه‌السلام</w:t>
      </w:r>
      <w:r w:rsidR="00E3253D" w:rsidRPr="005D642E">
        <w:rPr>
          <w:rtl/>
        </w:rPr>
        <w:t xml:space="preserve">. </w:t>
      </w:r>
      <w:r w:rsidR="00E3253D" w:rsidRPr="002F4D34">
        <w:rPr>
          <w:rStyle w:val="libFootnoteBoldChar"/>
          <w:rtl/>
        </w:rPr>
        <w:t>وفيه</w:t>
      </w:r>
      <w:r w:rsidR="00E3253D" w:rsidRPr="005D642E">
        <w:rPr>
          <w:rtl/>
        </w:rPr>
        <w:t xml:space="preserve"> ، ذيل ح 402 ؛ بسنده عن حمّاد ، عن حريز ، عن محمّد ، عن أبي جعفر </w:t>
      </w:r>
      <w:r w:rsidR="00E3253D" w:rsidRPr="00F81A1A">
        <w:rPr>
          <w:rStyle w:val="libFootnoteAlaemChar"/>
          <w:rtl/>
        </w:rPr>
        <w:t>عليه‌السلام</w:t>
      </w:r>
      <w:r w:rsidR="00E3253D" w:rsidRPr="005D642E">
        <w:rPr>
          <w:rtl/>
        </w:rPr>
        <w:t xml:space="preserve"> ، وفيهما مع اختلاف </w:t>
      </w:r>
      <w:r w:rsidR="00F81A1A">
        <w:rPr>
          <w:rFonts w:hint="cs"/>
          <w:rtl/>
        </w:rPr>
        <w:t>.</w:t>
      </w:r>
      <w:r w:rsidR="00E3253D" w:rsidRPr="002F4D34">
        <w:rPr>
          <w:rStyle w:val="libFootnoteBoldChar"/>
          <w:rtl/>
        </w:rPr>
        <w:t>الوافي</w:t>
      </w:r>
      <w:r w:rsidR="00E3253D" w:rsidRPr="005D642E">
        <w:rPr>
          <w:rtl/>
        </w:rPr>
        <w:t xml:space="preserve"> ، ج 6 ، ص 413 ، ح 4580 ؛ </w:t>
      </w:r>
      <w:r w:rsidR="00E3253D" w:rsidRPr="002F4D34">
        <w:rPr>
          <w:rStyle w:val="libFootnoteBoldChar"/>
          <w:rtl/>
        </w:rPr>
        <w:t>الوسائل</w:t>
      </w:r>
      <w:r w:rsidR="00E3253D" w:rsidRPr="005D642E">
        <w:rPr>
          <w:rtl/>
        </w:rPr>
        <w:t xml:space="preserve"> ، ج 2 ، ص 250 ، ح 2079.</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بح ، جح ، جس » وحاشية « بث » : « قال »</w:t>
      </w:r>
      <w:r w:rsidR="00E3253D">
        <w:rPr>
          <w:rtl/>
        </w:rPr>
        <w:t>.</w:t>
      </w:r>
    </w:p>
    <w:p w:rsidR="00E3253D" w:rsidRPr="005D642E" w:rsidRDefault="0042621E" w:rsidP="00F81A1A">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146 ، ح 413 ، بسنده عن أبان بن عثمان </w:t>
      </w:r>
      <w:r w:rsidR="00F81A1A">
        <w:rPr>
          <w:rFonts w:hint="cs"/>
          <w:rtl/>
        </w:rPr>
        <w:t>.</w:t>
      </w:r>
      <w:r w:rsidR="00E3253D" w:rsidRPr="002F4D34">
        <w:rPr>
          <w:rStyle w:val="libFootnoteBoldChar"/>
          <w:rtl/>
        </w:rPr>
        <w:t>الوافي</w:t>
      </w:r>
      <w:r w:rsidR="00E3253D" w:rsidRPr="005D642E">
        <w:rPr>
          <w:rtl/>
        </w:rPr>
        <w:t xml:space="preserve"> ، ج 6 ، ص 414 ، ح 4584 ؛ </w:t>
      </w:r>
      <w:r w:rsidR="00E3253D" w:rsidRPr="002F4D34">
        <w:rPr>
          <w:rStyle w:val="libFootnoteBoldChar"/>
          <w:rtl/>
        </w:rPr>
        <w:t>الوسائل</w:t>
      </w:r>
      <w:r w:rsidR="00E3253D" w:rsidRPr="005D642E">
        <w:rPr>
          <w:rtl/>
        </w:rPr>
        <w:t xml:space="preserve"> ، ج 2 ، ص 202 ، ذيل ح 1926.</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جن » </w:t>
      </w:r>
      <w:r w:rsidR="00B60612" w:rsidRPr="00B60612">
        <w:rPr>
          <w:rStyle w:val="libFootnoteBoldChar"/>
          <w:rtl/>
        </w:rPr>
        <w:t>والتهذيب</w:t>
      </w:r>
      <w:r w:rsidR="00E3253D" w:rsidRPr="005D642E">
        <w:rPr>
          <w:rtl/>
        </w:rPr>
        <w:t xml:space="preserve"> ، ح 406 </w:t>
      </w:r>
      <w:r w:rsidR="00E3253D" w:rsidRPr="00E678B5">
        <w:rPr>
          <w:rStyle w:val="libFootnoteBoldChar"/>
          <w:rtl/>
        </w:rPr>
        <w:t>والاستبصار</w:t>
      </w:r>
      <w:r w:rsidR="00E3253D" w:rsidRPr="005D642E">
        <w:rPr>
          <w:rtl/>
        </w:rPr>
        <w:t xml:space="preserve"> ح 401 : « فإن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لا يعيد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144 ، ح 406 ؛ </w:t>
      </w:r>
      <w:r w:rsidR="00E3253D" w:rsidRPr="00E678B5">
        <w:rPr>
          <w:rStyle w:val="libFootnoteBoldChar"/>
          <w:rtl/>
        </w:rPr>
        <w:t>والاستبصار</w:t>
      </w:r>
      <w:r w:rsidR="00E3253D" w:rsidRPr="005D642E">
        <w:rPr>
          <w:rtl/>
        </w:rPr>
        <w:t xml:space="preserve"> ، ج 1 ، ص 119 ، ح 401 ، معلّقاً عن الحسين بن سعيد. </w:t>
      </w:r>
      <w:r w:rsidR="00E3253D" w:rsidRPr="002F4D34">
        <w:rPr>
          <w:rStyle w:val="libFootnoteBoldChar"/>
          <w:rtl/>
        </w:rPr>
        <w:t>وفيه</w:t>
      </w:r>
      <w:r w:rsidR="00E3253D" w:rsidRPr="005D642E">
        <w:rPr>
          <w:rtl/>
        </w:rPr>
        <w:t xml:space="preserve"> ، ح 403 ؛ </w:t>
      </w:r>
      <w:r w:rsidR="00B60612" w:rsidRPr="00B60612">
        <w:rPr>
          <w:rStyle w:val="libFootnoteBoldChar"/>
          <w:rtl/>
        </w:rPr>
        <w:t>والتهذيب</w:t>
      </w:r>
      <w:r w:rsidR="00E3253D" w:rsidRPr="005D642E">
        <w:rPr>
          <w:rtl/>
        </w:rPr>
        <w:t xml:space="preserve"> ، ج 1 ، ص 144 ، ح 408 ، بسند آخر ، مع اختلاف يسير </w:t>
      </w:r>
      <w:r w:rsidR="00F678F6">
        <w:rPr>
          <w:rFonts w:hint="cs"/>
          <w:rtl/>
        </w:rPr>
        <w:t>.</w:t>
      </w:r>
      <w:r w:rsidR="00E3253D" w:rsidRPr="002F4D34">
        <w:rPr>
          <w:rStyle w:val="libFootnoteBoldChar"/>
          <w:rtl/>
        </w:rPr>
        <w:t>الوافي</w:t>
      </w:r>
      <w:r w:rsidR="00E3253D" w:rsidRPr="005D642E">
        <w:rPr>
          <w:rtl/>
        </w:rPr>
        <w:t xml:space="preserve"> ، ج 6 ، ص 413 ، ح 4581 ؛ </w:t>
      </w:r>
      <w:r w:rsidR="00E3253D" w:rsidRPr="002F4D34">
        <w:rPr>
          <w:rStyle w:val="libFootnoteBoldChar"/>
          <w:rtl/>
        </w:rPr>
        <w:t>الوسائل</w:t>
      </w:r>
      <w:r w:rsidR="00E3253D" w:rsidRPr="005D642E">
        <w:rPr>
          <w:rtl/>
        </w:rPr>
        <w:t xml:space="preserve"> ، ج 2 ، ص 251 ، ذيل ح 2082.</w:t>
      </w:r>
    </w:p>
    <w:p w:rsidR="00E3253D" w:rsidRDefault="00E3253D" w:rsidP="00E3253D">
      <w:pPr>
        <w:pStyle w:val="libNormal"/>
        <w:rPr>
          <w:rtl/>
          <w:lang w:bidi="fa-IR"/>
        </w:rPr>
      </w:pPr>
      <w:r>
        <w:rPr>
          <w:rtl/>
          <w:lang w:bidi="fa-IR"/>
        </w:rPr>
        <w:br w:type="page"/>
      </w:r>
    </w:p>
    <w:p w:rsidR="00E3253D" w:rsidRDefault="00E3253D" w:rsidP="00E3253D">
      <w:pPr>
        <w:pStyle w:val="Heading2Center"/>
        <w:rPr>
          <w:rtl/>
          <w:lang w:bidi="fa-IR"/>
        </w:rPr>
      </w:pPr>
      <w:bookmarkStart w:id="120" w:name="_Toc344647250"/>
      <w:bookmarkStart w:id="121" w:name="_Toc462226765"/>
      <w:bookmarkStart w:id="122" w:name="_Toc40975873"/>
      <w:r w:rsidRPr="005D642E">
        <w:rPr>
          <w:rtl/>
          <w:lang w:bidi="fa-IR"/>
        </w:rPr>
        <w:lastRenderedPageBreak/>
        <w:t>33</w:t>
      </w:r>
      <w:r>
        <w:rPr>
          <w:rtl/>
          <w:lang w:bidi="fa-IR"/>
        </w:rPr>
        <w:t xml:space="preserve"> </w:t>
      </w:r>
      <w:r w:rsidR="007642BC">
        <w:rPr>
          <w:rtl/>
          <w:lang w:bidi="fa-IR"/>
        </w:rPr>
        <w:t>-</w:t>
      </w:r>
      <w:r>
        <w:rPr>
          <w:rtl/>
          <w:lang w:bidi="fa-IR"/>
        </w:rPr>
        <w:t xml:space="preserve"> </w:t>
      </w:r>
      <w:r w:rsidRPr="005D642E">
        <w:rPr>
          <w:rtl/>
          <w:lang w:bidi="fa-IR"/>
        </w:rPr>
        <w:t>بَابُ الْجُنُبِ يَأْكُلُ وَيَشْرَبُ وَيَقْرَأُ وَيَدْخُلُ الْمَسْجِدَ</w:t>
      </w:r>
      <w:bookmarkEnd w:id="120"/>
      <w:bookmarkEnd w:id="121"/>
      <w:bookmarkEnd w:id="122"/>
      <w:r w:rsidRPr="005D642E">
        <w:rPr>
          <w:rtl/>
          <w:lang w:bidi="fa-IR"/>
        </w:rPr>
        <w:t xml:space="preserve"> </w:t>
      </w:r>
    </w:p>
    <w:p w:rsidR="00E3253D" w:rsidRPr="005D642E" w:rsidRDefault="00E3253D" w:rsidP="00E3253D">
      <w:pPr>
        <w:pStyle w:val="Heading2Center"/>
        <w:rPr>
          <w:rtl/>
          <w:lang w:bidi="fa-IR"/>
        </w:rPr>
      </w:pPr>
      <w:bookmarkStart w:id="123" w:name="_Toc344647251"/>
      <w:bookmarkStart w:id="124" w:name="_Toc462226766"/>
      <w:bookmarkStart w:id="125" w:name="_Toc40975874"/>
      <w:r w:rsidRPr="005D642E">
        <w:rPr>
          <w:rtl/>
          <w:lang w:bidi="fa-IR"/>
        </w:rPr>
        <w:t>وَيَخْتَضِبُ وَيَدَّهِنُ وَيَطَّلِي وَيَحْتَجِمُ‌</w:t>
      </w:r>
      <w:bookmarkEnd w:id="123"/>
      <w:bookmarkEnd w:id="124"/>
      <w:bookmarkEnd w:id="125"/>
    </w:p>
    <w:p w:rsidR="00703D23" w:rsidRDefault="00E3253D" w:rsidP="00703D23">
      <w:pPr>
        <w:pStyle w:val="libNormal"/>
        <w:rPr>
          <w:rtl/>
          <w:lang w:bidi="fa-IR"/>
        </w:rPr>
      </w:pPr>
      <w:r w:rsidRPr="00584139">
        <w:rPr>
          <w:rtl/>
        </w:rPr>
        <w:t>4043</w:t>
      </w:r>
      <w:r w:rsidRPr="00246318">
        <w:rPr>
          <w:rStyle w:val="libBold2Char"/>
          <w:rtl/>
        </w:rPr>
        <w:t xml:space="preserve"> / 1.</w:t>
      </w:r>
      <w:r w:rsidRPr="005D642E">
        <w:rPr>
          <w:rtl/>
          <w:lang w:bidi="fa-IR"/>
        </w:rPr>
        <w:t xml:space="preserve"> عَلِيُّ بْنُ إِبْرَاهِيمَ ، عَنْ أَبِيهِ ؛</w:t>
      </w:r>
    </w:p>
    <w:p w:rsidR="00E3253D" w:rsidRPr="005D642E" w:rsidRDefault="00703D23" w:rsidP="00703D23">
      <w:pPr>
        <w:pStyle w:val="libNormal"/>
        <w:rPr>
          <w:rtl/>
          <w:lang w:bidi="fa-IR"/>
        </w:rPr>
      </w:pPr>
      <w:r>
        <w:rPr>
          <w:rFonts w:hint="cs"/>
          <w:rtl/>
          <w:lang w:bidi="fa-IR"/>
        </w:rPr>
        <w:t xml:space="preserve">             </w:t>
      </w:r>
      <w:r w:rsidR="00E3253D" w:rsidRPr="005D642E">
        <w:rPr>
          <w:rtl/>
          <w:lang w:bidi="fa-IR"/>
        </w:rPr>
        <w:t>وَمُحَمَّدُ بْنُ إِسْمَاعِيلَ ، عَنِ الْفَضْلِ بْنِ شَاذَانَ جَمِيعاً ، عَنْ حَمَّادِ بْنِ عِيسى ، عَنْ حَرِيزٍ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الْجُنُبُ إِذَا أَرَادَ أَنْ يَأْكُلَ وَيَشْرَبَ ، غَسَلَ يَدَهُ وَتَمَضْمَضَ </w:t>
      </w:r>
      <w:r w:rsidRPr="007C12DB">
        <w:rPr>
          <w:rStyle w:val="libFootnotenumChar"/>
          <w:rtl/>
        </w:rPr>
        <w:t>(1)</w:t>
      </w:r>
      <w:r w:rsidRPr="005D642E">
        <w:rPr>
          <w:rtl/>
          <w:lang w:bidi="fa-IR"/>
        </w:rPr>
        <w:t xml:space="preserve"> ، وَغَسَلَ وَجْهَهُ ، وَأَكَلَ وَشَرِبَ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84139">
        <w:rPr>
          <w:rtl/>
        </w:rPr>
        <w:t>4044</w:t>
      </w:r>
      <w:r w:rsidRPr="00246318">
        <w:rPr>
          <w:rStyle w:val="libBold2Char"/>
          <w:rtl/>
        </w:rPr>
        <w:t xml:space="preserve"> / 2.</w:t>
      </w:r>
      <w:r w:rsidRPr="005D642E">
        <w:rPr>
          <w:rtl/>
          <w:lang w:bidi="fa-IR"/>
        </w:rPr>
        <w:t xml:space="preserve"> عِدَّةٌ مِنْ أَصْحَابِنَا ، عَنْ أَحْمَدَ بْنِ مُحَمَّدٍ ، عَنِ ابْنِ فَضَّال</w:t>
      </w:r>
      <w:r w:rsidR="00514271">
        <w:rPr>
          <w:rtl/>
          <w:lang w:bidi="fa-IR"/>
        </w:rPr>
        <w:t>ٍ ، عَنِ ابْنِ بُكَيْرٍ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الْجُنُبِ : يَأْكُلُ وَيَشْرَبُ وَيَقْرَأُ </w:t>
      </w:r>
      <w:r w:rsidRPr="007C12DB">
        <w:rPr>
          <w:rStyle w:val="libFootnotenumChar"/>
          <w:rtl/>
        </w:rPr>
        <w:t>(3)</w:t>
      </w:r>
      <w:r>
        <w:rPr>
          <w:rtl/>
          <w:lang w:bidi="fa-IR"/>
        </w:rPr>
        <w:t>؟</w:t>
      </w:r>
    </w:p>
    <w:p w:rsidR="00E3253D" w:rsidRPr="005D642E" w:rsidRDefault="00E3253D" w:rsidP="00E3253D">
      <w:pPr>
        <w:pStyle w:val="libNormal"/>
        <w:rPr>
          <w:rtl/>
          <w:lang w:bidi="fa-IR"/>
        </w:rPr>
      </w:pPr>
      <w:r w:rsidRPr="005D642E">
        <w:rPr>
          <w:rtl/>
          <w:lang w:bidi="fa-IR"/>
        </w:rPr>
        <w:t xml:space="preserve">قَالَ : « نَعَمْ ، يَأْكُلُ وَيَشْرَبُ وَيَقْرَأُ </w:t>
      </w:r>
      <w:r w:rsidRPr="007C12DB">
        <w:rPr>
          <w:rStyle w:val="libFootnotenumChar"/>
          <w:rtl/>
        </w:rPr>
        <w:t>(4)</w:t>
      </w:r>
      <w:r w:rsidRPr="005D642E">
        <w:rPr>
          <w:rtl/>
          <w:lang w:bidi="fa-IR"/>
        </w:rPr>
        <w:t xml:space="preserve"> ، وَيَذْكُرُ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مَا شَاءَ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84139">
        <w:rPr>
          <w:rtl/>
        </w:rPr>
        <w:t>4045</w:t>
      </w:r>
      <w:r w:rsidRPr="00246318">
        <w:rPr>
          <w:rStyle w:val="libBold2Char"/>
          <w:rtl/>
        </w:rPr>
        <w:t xml:space="preserve"> / 3.</w:t>
      </w:r>
      <w:r w:rsidRPr="005D642E">
        <w:rPr>
          <w:rtl/>
          <w:lang w:bidi="fa-IR"/>
        </w:rPr>
        <w:t xml:space="preserve"> عَلِيُّ بْنُ مُحَمَّدٍ وَمُحَمَّدُ بْنُ الْحَسَنِ ، عَنْ سَهْلِ بْنِ زِيَادٍ ، عَنِ ابْنِ أَبِي نَصْرٍ ، عَنْ جَمِيلِ بْنِ دَرَّاجٍ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لِلْجُنُبِ أَنْ يَمْشِيَ فِي الْمَسَاجِدِ كُلِّهَا ، وَلَايَجْلِسُ‌</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تمضمض » أي فعل المضمضة ، وهو تحريك الماء بالإدارة في الفم. راجع : </w:t>
      </w:r>
      <w:r w:rsidR="00E3253D" w:rsidRPr="002F4D34">
        <w:rPr>
          <w:rStyle w:val="libFootnoteBoldChar"/>
          <w:rtl/>
        </w:rPr>
        <w:t>الصحاح</w:t>
      </w:r>
      <w:r w:rsidR="00E3253D" w:rsidRPr="005D642E">
        <w:rPr>
          <w:rtl/>
        </w:rPr>
        <w:t xml:space="preserve"> ، ج 3 ، ص 1106 ؛ </w:t>
      </w:r>
      <w:r w:rsidR="00E3253D" w:rsidRPr="002F4D34">
        <w:rPr>
          <w:rStyle w:val="libFootnoteBoldChar"/>
          <w:rtl/>
        </w:rPr>
        <w:t>المصباح المنير</w:t>
      </w:r>
      <w:r w:rsidR="00E3253D" w:rsidRPr="005D642E">
        <w:rPr>
          <w:rtl/>
        </w:rPr>
        <w:t xml:space="preserve"> ، ص 575 ( مضمض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129 ، ح 354 ، معلّقاً عن عليّ بن إبراهيم ، عن أبيه ، عن حمّاد بن عيسى </w:t>
      </w:r>
      <w:r w:rsidR="00514271">
        <w:rPr>
          <w:rFonts w:hint="cs"/>
          <w:rtl/>
        </w:rPr>
        <w:t>.</w:t>
      </w:r>
      <w:r w:rsidR="00E3253D" w:rsidRPr="002F4D34">
        <w:rPr>
          <w:rStyle w:val="libFootnoteBoldChar"/>
          <w:rtl/>
        </w:rPr>
        <w:t>الوافي</w:t>
      </w:r>
      <w:r w:rsidR="00E3253D" w:rsidRPr="005D642E">
        <w:rPr>
          <w:rtl/>
        </w:rPr>
        <w:t xml:space="preserve"> ، ج 6 ، ص 417 ، ح 4593 ؛ </w:t>
      </w:r>
      <w:r w:rsidR="00E3253D" w:rsidRPr="002F4D34">
        <w:rPr>
          <w:rStyle w:val="libFootnoteBoldChar"/>
          <w:rtl/>
        </w:rPr>
        <w:t>الوسائل</w:t>
      </w:r>
      <w:r w:rsidR="00E3253D" w:rsidRPr="005D642E">
        <w:rPr>
          <w:rtl/>
        </w:rPr>
        <w:t xml:space="preserve"> ، ج 2 ، ص 219 ، ح 1975.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القرآن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 القرآن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 + « الله »</w:t>
      </w:r>
      <w:r w:rsidR="00E3253D">
        <w:rPr>
          <w:rtl/>
        </w:rPr>
        <w:t>.</w:t>
      </w:r>
      <w:r w:rsidR="00E3253D" w:rsidRPr="005D642E">
        <w:rPr>
          <w:rtl/>
        </w:rPr>
        <w:t xml:space="preserve"> وفي « بح » : « يشاء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128 ، ح 346 ؛ </w:t>
      </w:r>
      <w:r w:rsidR="00E3253D" w:rsidRPr="00E678B5">
        <w:rPr>
          <w:rStyle w:val="libFootnoteBoldChar"/>
          <w:rtl/>
        </w:rPr>
        <w:t>والاستبصار</w:t>
      </w:r>
      <w:r w:rsidR="00E3253D" w:rsidRPr="005D642E">
        <w:rPr>
          <w:rtl/>
        </w:rPr>
        <w:t xml:space="preserve"> ، ج 1 ، ص 114 ، ح 379 ، بسندهما عن الكليني. </w:t>
      </w:r>
      <w:r w:rsidR="00E3253D" w:rsidRPr="002F4D34">
        <w:rPr>
          <w:rStyle w:val="libFootnoteBoldChar"/>
          <w:rtl/>
        </w:rPr>
        <w:t>قرب الإسناد</w:t>
      </w:r>
      <w:r w:rsidR="00E3253D" w:rsidRPr="005D642E">
        <w:rPr>
          <w:rtl/>
        </w:rPr>
        <w:t xml:space="preserve"> ، ص 172 ، ح 629 ، عن محمّد بن الوليد ، عن عبدالله بن بكير ، مع اختلاف يسير </w:t>
      </w:r>
      <w:r w:rsidR="00514271">
        <w:rPr>
          <w:rFonts w:hint="cs"/>
          <w:rtl/>
        </w:rPr>
        <w:t>.</w:t>
      </w:r>
      <w:r w:rsidR="00E3253D" w:rsidRPr="002F4D34">
        <w:rPr>
          <w:rStyle w:val="libFootnoteBoldChar"/>
          <w:rtl/>
        </w:rPr>
        <w:t>الوافي</w:t>
      </w:r>
      <w:r w:rsidR="00E3253D" w:rsidRPr="005D642E">
        <w:rPr>
          <w:rtl/>
        </w:rPr>
        <w:t xml:space="preserve"> ، ج 6 ، ص 417 ، ح 4594 ؛ </w:t>
      </w:r>
      <w:r w:rsidR="00E3253D" w:rsidRPr="002F4D34">
        <w:rPr>
          <w:rStyle w:val="libFootnoteBoldChar"/>
          <w:rtl/>
        </w:rPr>
        <w:t>الوسائل</w:t>
      </w:r>
      <w:r w:rsidR="00E3253D" w:rsidRPr="005D642E">
        <w:rPr>
          <w:rtl/>
        </w:rPr>
        <w:t xml:space="preserve"> ، ج 2 ، ص 215 ، ح 1965.</w:t>
      </w:r>
    </w:p>
    <w:p w:rsidR="00E3253D" w:rsidRDefault="00E3253D" w:rsidP="00E3253D">
      <w:pPr>
        <w:pStyle w:val="libNormal"/>
        <w:rPr>
          <w:rtl/>
          <w:lang w:bidi="fa-IR"/>
        </w:rPr>
      </w:pPr>
      <w:r>
        <w:rPr>
          <w:rtl/>
          <w:lang w:bidi="fa-IR"/>
        </w:rPr>
        <w:br w:type="page"/>
      </w:r>
    </w:p>
    <w:p w:rsidR="00E3253D" w:rsidRPr="005D642E" w:rsidRDefault="00CB768E" w:rsidP="00E3253D">
      <w:pPr>
        <w:pStyle w:val="libNormal0"/>
        <w:rPr>
          <w:rtl/>
          <w:lang w:bidi="fa-IR"/>
        </w:rPr>
      </w:pPr>
      <w:r>
        <w:rPr>
          <w:rtl/>
          <w:lang w:bidi="fa-IR"/>
        </w:rPr>
        <w:lastRenderedPageBreak/>
        <w:t>فِيهَا ، إِل</w:t>
      </w:r>
      <w:r>
        <w:rPr>
          <w:rFonts w:hint="cs"/>
          <w:rtl/>
          <w:lang w:bidi="fa-IR"/>
        </w:rPr>
        <w:t>َّ</w:t>
      </w:r>
      <w:r>
        <w:rPr>
          <w:rtl/>
          <w:lang w:bidi="fa-IR"/>
        </w:rPr>
        <w:t>ا</w:t>
      </w:r>
      <w:r w:rsidR="00E3253D" w:rsidRPr="005D642E">
        <w:rPr>
          <w:rtl/>
          <w:lang w:bidi="fa-IR"/>
        </w:rPr>
        <w:t xml:space="preserve"> الْمَسْجِدَ </w:t>
      </w:r>
      <w:r w:rsidR="00E3253D" w:rsidRPr="007C12DB">
        <w:rPr>
          <w:rStyle w:val="libFootnotenumChar"/>
          <w:rtl/>
        </w:rPr>
        <w:t>(1)</w:t>
      </w:r>
      <w:r w:rsidR="00E3253D" w:rsidRPr="005D642E">
        <w:rPr>
          <w:rtl/>
          <w:lang w:bidi="fa-IR"/>
        </w:rPr>
        <w:t xml:space="preserve"> الْحَرَامَ وَمَسْجِدَ الرَّسُولِ </w:t>
      </w:r>
      <w:r w:rsidR="00E3253D" w:rsidRPr="007C12DB">
        <w:rPr>
          <w:rStyle w:val="libFootnotenumChar"/>
          <w:rtl/>
        </w:rPr>
        <w:t>(2)</w:t>
      </w:r>
      <w:r w:rsidR="00E3253D" w:rsidRPr="005D642E">
        <w:rPr>
          <w:rtl/>
          <w:lang w:bidi="fa-IR"/>
        </w:rPr>
        <w:t xml:space="preserve"> </w:t>
      </w:r>
      <w:r w:rsidR="0042621E" w:rsidRPr="0042621E">
        <w:rPr>
          <w:rStyle w:val="libAlaemChar"/>
          <w:rtl/>
        </w:rPr>
        <w:t>صلى‌الله‌عليه‌وآله</w:t>
      </w:r>
      <w:r w:rsidR="00E3253D" w:rsidRPr="005D642E">
        <w:rPr>
          <w:rtl/>
          <w:lang w:bidi="fa-IR"/>
        </w:rPr>
        <w:t xml:space="preserve"> »</w:t>
      </w:r>
      <w:r w:rsidR="00E3253D">
        <w:rPr>
          <w:rtl/>
          <w:lang w:bidi="fa-IR"/>
        </w:rPr>
        <w:t>.</w:t>
      </w:r>
      <w:r w:rsidR="00E3253D" w:rsidRPr="005D642E">
        <w:rPr>
          <w:rtl/>
          <w:lang w:bidi="fa-IR"/>
        </w:rPr>
        <w:t xml:space="preserve"> </w:t>
      </w:r>
      <w:r w:rsidR="00E3253D" w:rsidRPr="007C12DB">
        <w:rPr>
          <w:rStyle w:val="libFootnotenumChar"/>
          <w:rtl/>
        </w:rPr>
        <w:t>(3)</w:t>
      </w:r>
      <w:r w:rsidR="00E3253D" w:rsidRPr="005D642E">
        <w:rPr>
          <w:rtl/>
          <w:lang w:bidi="fa-IR"/>
        </w:rPr>
        <w:t xml:space="preserve"> ‌</w:t>
      </w:r>
    </w:p>
    <w:p w:rsidR="00E3253D" w:rsidRPr="005D642E" w:rsidRDefault="00E3253D" w:rsidP="00E3253D">
      <w:pPr>
        <w:pStyle w:val="libNormal"/>
        <w:rPr>
          <w:rtl/>
          <w:lang w:bidi="fa-IR"/>
        </w:rPr>
      </w:pPr>
      <w:r w:rsidRPr="00584139">
        <w:rPr>
          <w:rtl/>
        </w:rPr>
        <w:t>4046</w:t>
      </w:r>
      <w:r w:rsidRPr="00246318">
        <w:rPr>
          <w:rStyle w:val="libBold2Char"/>
          <w:rtl/>
        </w:rPr>
        <w:t xml:space="preserve"> / 4.</w:t>
      </w:r>
      <w:r w:rsidRPr="005D642E">
        <w:rPr>
          <w:rtl/>
          <w:lang w:bidi="fa-IR"/>
        </w:rPr>
        <w:t xml:space="preserve"> عَلِيُّ بْنُ إِبْرَاهِيمَ ، عَنْ أَبِيهِ ، عَنِ ابْنِ أَبِي عُمَيْرٍ ، عَنْ جَمِيلٍ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الْجُنُبِ : يَجْلِسُ فِي الْمَسَاجِدِ</w:t>
      </w:r>
      <w:r>
        <w:rPr>
          <w:rtl/>
          <w:lang w:bidi="fa-IR"/>
        </w:rPr>
        <w:t>؟</w:t>
      </w:r>
    </w:p>
    <w:p w:rsidR="00E3253D" w:rsidRPr="005D642E" w:rsidRDefault="00E3253D" w:rsidP="00E3253D">
      <w:pPr>
        <w:pStyle w:val="libNormal"/>
        <w:rPr>
          <w:rtl/>
          <w:lang w:bidi="fa-IR"/>
        </w:rPr>
      </w:pPr>
      <w:r w:rsidRPr="005D642E">
        <w:rPr>
          <w:rtl/>
          <w:lang w:bidi="fa-IR"/>
        </w:rPr>
        <w:t xml:space="preserve">قَالَ : « لَا ، وَلكِنْ </w:t>
      </w:r>
      <w:r w:rsidR="00641BCE">
        <w:rPr>
          <w:rtl/>
          <w:lang w:bidi="fa-IR"/>
        </w:rPr>
        <w:t>يَمُرُّ فِيهَا كُلِّهَا ، إِل</w:t>
      </w:r>
      <w:r w:rsidR="00641BCE">
        <w:rPr>
          <w:rFonts w:hint="cs"/>
          <w:rtl/>
          <w:lang w:bidi="fa-IR"/>
        </w:rPr>
        <w:t>َّ</w:t>
      </w:r>
      <w:r w:rsidR="00641BCE">
        <w:rPr>
          <w:rtl/>
          <w:lang w:bidi="fa-IR"/>
        </w:rPr>
        <w:t>ا</w:t>
      </w:r>
      <w:r w:rsidRPr="005D642E">
        <w:rPr>
          <w:rtl/>
          <w:lang w:bidi="fa-IR"/>
        </w:rPr>
        <w:t xml:space="preserve"> الْمَسْجِدَ الْحَرَامَ وَمَسْجِدَ الرَّسُولِ </w:t>
      </w:r>
      <w:r w:rsidR="0042621E" w:rsidRPr="0042621E">
        <w:rPr>
          <w:rStyle w:val="libAlaemChar"/>
          <w:rtl/>
        </w:rPr>
        <w:t>صلى‌الله‌عليه‌وآله</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584139">
        <w:rPr>
          <w:rtl/>
        </w:rPr>
        <w:t>4047</w:t>
      </w:r>
      <w:r w:rsidRPr="00246318">
        <w:rPr>
          <w:rStyle w:val="libBold2Char"/>
          <w:rtl/>
        </w:rPr>
        <w:t xml:space="preserve"> / 5.</w:t>
      </w:r>
      <w:r w:rsidRPr="005D642E">
        <w:rPr>
          <w:rtl/>
          <w:lang w:bidi="fa-IR"/>
        </w:rPr>
        <w:t xml:space="preserve"> مُحَمَّدُ بْنُ يَحْيى ، عَنْ أَحْمَدَ بْنِ مُحَمَّدٍ ، عَنِ الْحُسَيْنِ بْنِ سَعِيدٍ ، عَنْ حَمَّادِ بْنِ عِيسى ، عَنِ الْحُسَيْنِ بْنِ الْمُخْتَارِ ، عَنْ أَبِي بَصِيرٍ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عَمَّنْ قَرَأَ فِي الْمُصْحَفِ وَهُوَ عَلى غَيْرِ وُضُوءٍ</w:t>
      </w:r>
      <w:r>
        <w:rPr>
          <w:rtl/>
          <w:lang w:bidi="fa-IR"/>
        </w:rPr>
        <w:t>؟</w:t>
      </w:r>
    </w:p>
    <w:p w:rsidR="00E3253D" w:rsidRPr="005D642E" w:rsidRDefault="00E3253D" w:rsidP="00E3253D">
      <w:pPr>
        <w:pStyle w:val="libNormal"/>
        <w:rPr>
          <w:rtl/>
          <w:lang w:bidi="fa-IR"/>
        </w:rPr>
      </w:pPr>
      <w:r w:rsidRPr="005D642E">
        <w:rPr>
          <w:rtl/>
          <w:lang w:bidi="fa-IR"/>
        </w:rPr>
        <w:t xml:space="preserve">قَالَ : « لَا بَأْسَ ، وَلَايَمَسَّ الْكِتَابَ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84139">
        <w:rPr>
          <w:rtl/>
        </w:rPr>
        <w:t>4048</w:t>
      </w:r>
      <w:r w:rsidRPr="00246318">
        <w:rPr>
          <w:rStyle w:val="libBold2Char"/>
          <w:rtl/>
        </w:rPr>
        <w:t xml:space="preserve"> / 6.</w:t>
      </w:r>
      <w:r w:rsidRPr="005D642E">
        <w:rPr>
          <w:rtl/>
          <w:lang w:bidi="fa-IR"/>
        </w:rPr>
        <w:t xml:space="preserve"> مُحَمَّدُ بْنُ يَحْيى ، عَنْ أَحْمَدَ بْنِ مُحَمَّدٍ ، عَنِ الْحُسَيْنِ بْنِ سَعِيدٍ ، عَنْ عَبْدِ اللهِ بْنِ بَحْرٍ ، عَنْ حَرِيزٍ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الْجُنُبُ يَدَّهِنُ ثُمَّ يَغْتَسِلُ </w:t>
      </w:r>
      <w:r w:rsidRPr="007C12DB">
        <w:rPr>
          <w:rStyle w:val="libFootnotenumChar"/>
          <w:rtl/>
        </w:rPr>
        <w:t>(7)</w:t>
      </w:r>
      <w:r>
        <w:rPr>
          <w:rtl/>
          <w:lang w:bidi="fa-IR"/>
        </w:rPr>
        <w:t>؟</w:t>
      </w:r>
      <w:r w:rsidRPr="005D642E">
        <w:rPr>
          <w:rtl/>
          <w:lang w:bidi="fa-IR"/>
        </w:rPr>
        <w:t xml:space="preserve"> قَالَ : « لَا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بس ، جس » : « مسجد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 « مسجد النبيّ الرسول »</w:t>
      </w:r>
      <w:r w:rsidR="00E3253D">
        <w:rPr>
          <w:rtl/>
        </w:rPr>
        <w:t>.</w:t>
      </w:r>
      <w:r w:rsidR="00E3253D" w:rsidRPr="005D642E">
        <w:rPr>
          <w:rtl/>
        </w:rPr>
        <w:t xml:space="preserve"> وفي حاشية « غ » : « النبي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6 ، ص 15 ، صدر ح 34 ، بسند آخر ، مع اختلاف يسير. راجع : </w:t>
      </w:r>
      <w:r w:rsidR="00E3253D" w:rsidRPr="002F4D34">
        <w:rPr>
          <w:rStyle w:val="libFootnoteBoldChar"/>
          <w:rtl/>
        </w:rPr>
        <w:t>الكافي</w:t>
      </w:r>
      <w:r w:rsidR="00E3253D" w:rsidRPr="005D642E">
        <w:rPr>
          <w:rtl/>
        </w:rPr>
        <w:t xml:space="preserve"> ، كتاب الطهارة ، باب النوادر ، ح 4144 ؛ </w:t>
      </w:r>
      <w:r w:rsidR="00B60612" w:rsidRPr="00B60612">
        <w:rPr>
          <w:rStyle w:val="libFootnoteBoldChar"/>
          <w:rtl/>
        </w:rPr>
        <w:t>والتهذيب</w:t>
      </w:r>
      <w:r w:rsidR="00E3253D" w:rsidRPr="005D642E">
        <w:rPr>
          <w:rtl/>
        </w:rPr>
        <w:t xml:space="preserve"> ، ج 1 ، ص 407 ، ح 1280 </w:t>
      </w:r>
      <w:r w:rsidR="005169CF">
        <w:rPr>
          <w:rFonts w:hint="cs"/>
          <w:rtl/>
        </w:rPr>
        <w:t>.</w:t>
      </w:r>
      <w:r w:rsidR="00E3253D" w:rsidRPr="002F4D34">
        <w:rPr>
          <w:rStyle w:val="libFootnoteBoldChar"/>
          <w:rtl/>
        </w:rPr>
        <w:t>الوافي</w:t>
      </w:r>
      <w:r w:rsidR="00E3253D" w:rsidRPr="005D642E">
        <w:rPr>
          <w:rtl/>
        </w:rPr>
        <w:t xml:space="preserve"> ، ج 6 ، ص 418 ، ح 4598 ؛ </w:t>
      </w:r>
      <w:r w:rsidR="00E3253D" w:rsidRPr="002F4D34">
        <w:rPr>
          <w:rStyle w:val="libFootnoteBoldChar"/>
          <w:rtl/>
        </w:rPr>
        <w:t>الوسائل</w:t>
      </w:r>
      <w:r w:rsidR="00E3253D" w:rsidRPr="005D642E">
        <w:rPr>
          <w:rtl/>
        </w:rPr>
        <w:t xml:space="preserve"> ، ج 2 ، ص 206 ، ح 1934.</w:t>
      </w:r>
    </w:p>
    <w:p w:rsidR="00E3253D" w:rsidRPr="005D642E" w:rsidRDefault="0042621E" w:rsidP="00926A17">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6 ، ص 125 ، ح 338 ، بسنده عن الكليني </w:t>
      </w:r>
      <w:r w:rsidR="005169CF">
        <w:rPr>
          <w:rFonts w:hint="cs"/>
          <w:rtl/>
        </w:rPr>
        <w:t>.</w:t>
      </w:r>
      <w:r w:rsidR="00E3253D" w:rsidRPr="002F4D34">
        <w:rPr>
          <w:rStyle w:val="libFootnoteBoldChar"/>
          <w:rtl/>
        </w:rPr>
        <w:t>الوافي</w:t>
      </w:r>
      <w:r w:rsidR="00E3253D" w:rsidRPr="005D642E">
        <w:rPr>
          <w:rtl/>
        </w:rPr>
        <w:t xml:space="preserve"> ، ج 6 ، ص 418 ، ح 4599 ؛ </w:t>
      </w:r>
      <w:r w:rsidR="00E3253D" w:rsidRPr="002F4D34">
        <w:rPr>
          <w:rStyle w:val="libFootnoteBoldChar"/>
          <w:rtl/>
        </w:rPr>
        <w:t>الوسائل</w:t>
      </w:r>
      <w:r w:rsidR="00E3253D" w:rsidRPr="005D642E">
        <w:rPr>
          <w:rtl/>
        </w:rPr>
        <w:t xml:space="preserve"> ، ج 2 ، ص 205 ، ح 1932.</w:t>
      </w:r>
      <w:r w:rsidR="00926A17">
        <w:rPr>
          <w:rFonts w:hint="cs"/>
          <w:rtl/>
        </w:rPr>
        <w:t xml:space="preserve">                    </w:t>
      </w:r>
      <w:r w:rsidRPr="0042621E">
        <w:rPr>
          <w:rStyle w:val="libFootnote0Char"/>
          <w:rtl/>
        </w:rPr>
        <w:t>(5).</w:t>
      </w:r>
      <w:r w:rsidR="00E3253D" w:rsidRPr="005D642E">
        <w:rPr>
          <w:rtl/>
        </w:rPr>
        <w:t xml:space="preserve"> في حاشية « جح » </w:t>
      </w:r>
      <w:r w:rsidR="00E3253D" w:rsidRPr="00E678B5">
        <w:rPr>
          <w:rStyle w:val="libFootnoteBoldChar"/>
          <w:rtl/>
        </w:rPr>
        <w:t>والاستبصار</w:t>
      </w:r>
      <w:r w:rsidR="00E3253D" w:rsidRPr="005D642E">
        <w:rPr>
          <w:rtl/>
        </w:rPr>
        <w:t xml:space="preserve"> : « الكتابة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127 ، ح 343 ، بسنده عن الكليني. </w:t>
      </w:r>
      <w:r w:rsidR="00E3253D" w:rsidRPr="002F4D34">
        <w:rPr>
          <w:rStyle w:val="libFootnoteBoldChar"/>
          <w:rtl/>
        </w:rPr>
        <w:t>الاستبصار</w:t>
      </w:r>
      <w:r w:rsidR="00E3253D" w:rsidRPr="005D642E">
        <w:rPr>
          <w:rtl/>
        </w:rPr>
        <w:t xml:space="preserve"> ، ج 1 ، ص 113 ، ح 377 ، معلّقاً عن الحسين بن سعيد </w:t>
      </w:r>
      <w:r w:rsidR="00926A17">
        <w:rPr>
          <w:rFonts w:hint="cs"/>
          <w:rtl/>
        </w:rPr>
        <w:t>.</w:t>
      </w:r>
      <w:r w:rsidR="00E3253D" w:rsidRPr="002F4D34">
        <w:rPr>
          <w:rStyle w:val="libFootnoteBoldChar"/>
          <w:rtl/>
        </w:rPr>
        <w:t>الوافي</w:t>
      </w:r>
      <w:r w:rsidR="00E3253D" w:rsidRPr="005D642E">
        <w:rPr>
          <w:rtl/>
        </w:rPr>
        <w:t xml:space="preserve"> ، ج 9 ، ص 1732 ، ح 9013 ؛ </w:t>
      </w:r>
      <w:r w:rsidR="00E3253D" w:rsidRPr="002F4D34">
        <w:rPr>
          <w:rStyle w:val="libFootnoteBoldChar"/>
          <w:rtl/>
        </w:rPr>
        <w:t>الوسائل</w:t>
      </w:r>
      <w:r w:rsidR="00E3253D" w:rsidRPr="005D642E">
        <w:rPr>
          <w:rtl/>
        </w:rPr>
        <w:t xml:space="preserve"> ، ج 1 ، ص 383 ، ح 1012.</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 « ثمّ يغسل »</w:t>
      </w:r>
      <w:r w:rsidR="00E3253D">
        <w:rPr>
          <w:rtl/>
        </w:rPr>
        <w:t>.</w:t>
      </w:r>
      <w:r w:rsidR="00E3253D" w:rsidRPr="005D642E">
        <w:rPr>
          <w:rtl/>
        </w:rPr>
        <w:t xml:space="preserve"> وفي « بث » : « لم يغتسل » كلاهما بدل « ثمّ يغتسل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372 ، ح 1138 ، معلّقاً عن أحمد بن محمّد. </w:t>
      </w:r>
      <w:r w:rsidR="00E3253D" w:rsidRPr="002F4D34">
        <w:rPr>
          <w:rStyle w:val="libFootnoteBoldChar"/>
          <w:rtl/>
        </w:rPr>
        <w:t>وفيه</w:t>
      </w:r>
      <w:r w:rsidR="00E3253D" w:rsidRPr="005D642E">
        <w:rPr>
          <w:rtl/>
        </w:rPr>
        <w:t xml:space="preserve"> ، ص 129 ، ح 46 ؛ </w:t>
      </w:r>
      <w:r w:rsidR="00E3253D" w:rsidRPr="00E678B5">
        <w:rPr>
          <w:rStyle w:val="libFootnoteBoldChar"/>
          <w:rtl/>
        </w:rPr>
        <w:t>والاستبصار</w:t>
      </w:r>
      <w:r w:rsidR="00E3253D" w:rsidRPr="005D642E">
        <w:rPr>
          <w:rtl/>
        </w:rPr>
        <w:t xml:space="preserve"> ، ج 1 ، ص 117 ، ح 393 ، معلّقاً عن الحسين بن سعيد </w:t>
      </w:r>
      <w:r w:rsidR="00321BD9">
        <w:rPr>
          <w:rFonts w:hint="cs"/>
          <w:rtl/>
        </w:rPr>
        <w:t>.</w:t>
      </w:r>
      <w:r w:rsidR="00E3253D" w:rsidRPr="002F4D34">
        <w:rPr>
          <w:rStyle w:val="libFootnoteBoldChar"/>
          <w:rtl/>
        </w:rPr>
        <w:t>الوافي</w:t>
      </w:r>
      <w:r w:rsidR="00E3253D" w:rsidRPr="005D642E">
        <w:rPr>
          <w:rtl/>
        </w:rPr>
        <w:t xml:space="preserve"> ، ج 6 ، ص 419 ، ح 4601 ؛ </w:t>
      </w:r>
      <w:r w:rsidR="00E3253D" w:rsidRPr="002F4D34">
        <w:rPr>
          <w:rStyle w:val="libFootnoteBoldChar"/>
          <w:rtl/>
        </w:rPr>
        <w:t>الوسائل</w:t>
      </w:r>
      <w:r w:rsidR="00E3253D" w:rsidRPr="005D642E">
        <w:rPr>
          <w:rtl/>
        </w:rPr>
        <w:t xml:space="preserve"> ، ج 2 ، ص 220 ، ح 1982.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84139">
        <w:rPr>
          <w:rtl/>
        </w:rPr>
        <w:lastRenderedPageBreak/>
        <w:t>4049</w:t>
      </w:r>
      <w:r w:rsidRPr="00246318">
        <w:rPr>
          <w:rStyle w:val="libBold2Char"/>
          <w:rtl/>
        </w:rPr>
        <w:t xml:space="preserve"> / 7.</w:t>
      </w:r>
      <w:r w:rsidRPr="005D642E">
        <w:rPr>
          <w:rtl/>
          <w:lang w:bidi="fa-IR"/>
        </w:rPr>
        <w:t xml:space="preserve"> مُحَمَّدُ بْنُ يَحْيى ، عَنْ أَحْمَدَ بْنِ مُحَمَّدٍ ، عَنْ إِبْرَاهِيمَ بْنِ أَبِي مَحْمُودٍ ، قَالَ :</w:t>
      </w:r>
    </w:p>
    <w:p w:rsidR="00E3253D" w:rsidRPr="005D642E" w:rsidRDefault="00E3253D" w:rsidP="00E3253D">
      <w:pPr>
        <w:pStyle w:val="libNormal"/>
        <w:rPr>
          <w:rtl/>
          <w:lang w:bidi="fa-IR"/>
        </w:rPr>
      </w:pPr>
      <w:r w:rsidRPr="005D642E">
        <w:rPr>
          <w:rtl/>
          <w:lang w:bidi="fa-IR"/>
        </w:rPr>
        <w:t xml:space="preserve">قُلْتُ لِلرِّضَا </w:t>
      </w:r>
      <w:r w:rsidRPr="00AC51C5">
        <w:rPr>
          <w:rStyle w:val="libAlaemChar"/>
          <w:rtl/>
        </w:rPr>
        <w:t>عليه‌السلام</w:t>
      </w:r>
      <w:r w:rsidRPr="005D642E">
        <w:rPr>
          <w:rtl/>
          <w:lang w:bidi="fa-IR"/>
        </w:rPr>
        <w:t xml:space="preserve"> : الرَّجُلُ يُجْنِبُ ، فَيُصِيبُ جَسَدَهُ وَرَأْسَهُ الْخَلُوقُ </w:t>
      </w:r>
      <w:r w:rsidRPr="007C12DB">
        <w:rPr>
          <w:rStyle w:val="libFootnotenumChar"/>
          <w:rtl/>
        </w:rPr>
        <w:t>(1)</w:t>
      </w:r>
      <w:r w:rsidRPr="005D642E">
        <w:rPr>
          <w:rtl/>
          <w:lang w:bidi="fa-IR"/>
        </w:rPr>
        <w:t xml:space="preserve"> وَالطِّيبُ وَالشَّيْ‌ءُ اللَّكِدُ </w:t>
      </w:r>
      <w:r w:rsidRPr="007C12DB">
        <w:rPr>
          <w:rStyle w:val="libFootnotenumChar"/>
          <w:rtl/>
        </w:rPr>
        <w:t>(2)</w:t>
      </w:r>
      <w:r w:rsidRPr="005D642E">
        <w:rPr>
          <w:rtl/>
          <w:lang w:bidi="fa-IR"/>
        </w:rPr>
        <w:t xml:space="preserve"> مِثْلُ عِلْكِ </w:t>
      </w:r>
      <w:r w:rsidRPr="007C12DB">
        <w:rPr>
          <w:rStyle w:val="libFootnotenumChar"/>
          <w:rtl/>
        </w:rPr>
        <w:t>(3)</w:t>
      </w:r>
      <w:r w:rsidRPr="005D642E">
        <w:rPr>
          <w:rtl/>
          <w:lang w:bidi="fa-IR"/>
        </w:rPr>
        <w:t xml:space="preserve"> الرُّومِ وَالطَّرَارِ </w:t>
      </w:r>
      <w:r w:rsidRPr="007C12DB">
        <w:rPr>
          <w:rStyle w:val="libFootnotenumChar"/>
          <w:rtl/>
        </w:rPr>
        <w:t>(4)</w:t>
      </w:r>
      <w:r w:rsidRPr="005D642E">
        <w:rPr>
          <w:rtl/>
          <w:lang w:bidi="fa-IR"/>
        </w:rPr>
        <w:t xml:space="preserve"> وَمَا أَشْبَهَهُ </w:t>
      </w:r>
      <w:r w:rsidRPr="007C12DB">
        <w:rPr>
          <w:rStyle w:val="libFootnotenumChar"/>
          <w:rtl/>
        </w:rPr>
        <w:t>(5)</w:t>
      </w:r>
      <w:r w:rsidRPr="005D642E">
        <w:rPr>
          <w:rtl/>
          <w:lang w:bidi="fa-IR"/>
        </w:rPr>
        <w:t xml:space="preserve"> ، فَيَغْتَسِلُ ، فَإِذَا </w:t>
      </w:r>
      <w:r w:rsidRPr="007C12DB">
        <w:rPr>
          <w:rStyle w:val="libFootnotenumChar"/>
          <w:rtl/>
        </w:rPr>
        <w:t>(6)</w:t>
      </w:r>
      <w:r w:rsidRPr="005D642E">
        <w:rPr>
          <w:rtl/>
          <w:lang w:bidi="fa-IR"/>
        </w:rPr>
        <w:t xml:space="preserve"> فَرَغَ ، وَجَدَ شَيْئاً قَدْ بَقِيَ فِي جَسَدِهِ مِنْ أَثَرِ الْخَلُوقِ وَالطِّيبِ وَغَيْرِهِ</w:t>
      </w:r>
      <w:r>
        <w:rPr>
          <w:rtl/>
          <w:lang w:bidi="fa-IR"/>
        </w:rPr>
        <w:t>؟</w:t>
      </w:r>
    </w:p>
    <w:p w:rsidR="00E3253D" w:rsidRPr="005D642E" w:rsidRDefault="00E3253D" w:rsidP="00E3253D">
      <w:pPr>
        <w:pStyle w:val="libNormal"/>
        <w:rPr>
          <w:rtl/>
          <w:lang w:bidi="fa-IR"/>
        </w:rPr>
      </w:pPr>
      <w:r w:rsidRPr="005D642E">
        <w:rPr>
          <w:rtl/>
          <w:lang w:bidi="fa-IR"/>
        </w:rPr>
        <w:t>قَالَ : « لَا بَأْسَ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84139">
        <w:rPr>
          <w:rtl/>
        </w:rPr>
        <w:t>4050</w:t>
      </w:r>
      <w:r w:rsidRPr="00246318">
        <w:rPr>
          <w:rStyle w:val="libBold2Char"/>
          <w:rtl/>
        </w:rPr>
        <w:t xml:space="preserve"> / 8.</w:t>
      </w:r>
      <w:r w:rsidRPr="005D642E">
        <w:rPr>
          <w:rtl/>
          <w:lang w:bidi="fa-IR"/>
        </w:rPr>
        <w:t xml:space="preserve"> أَبُو دَاوُدَ ، عَنِ الْحُسَيْنِ بْنِ سَعِيدٍ ، عَنْ فَضَالَةَ بْنِ أَيُّوبَ ، عَنْ عَبْدِ اللهِ بْنِ سِنَانٍ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الْجُنُبِ وَالْحَائِضِ : يَتَنَاوَلَانِ مِنَ الْمَسْجِدِ الْمَتَاعَ يَكُونُ فِيهِ</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الخَلُوق » : هو ما يتخلّق به من الطيب ، أي يتطيّب به ، وهو طيب معروف يتّخذ من الزعفران وغيره من أنواع‌الطيب ، وتغلب عليه الحمرة والصفرة. راجع : </w:t>
      </w:r>
      <w:r w:rsidR="00E3253D" w:rsidRPr="002F4D34">
        <w:rPr>
          <w:rStyle w:val="libFootnoteBoldChar"/>
          <w:rtl/>
        </w:rPr>
        <w:t>النهاية</w:t>
      </w:r>
      <w:r w:rsidR="00E3253D" w:rsidRPr="005D642E">
        <w:rPr>
          <w:rtl/>
        </w:rPr>
        <w:t xml:space="preserve"> ، ج 2 ، ص 71 ؛ </w:t>
      </w:r>
      <w:r w:rsidR="00E3253D" w:rsidRPr="002F4D34">
        <w:rPr>
          <w:rStyle w:val="libFootnoteBoldChar"/>
          <w:rtl/>
        </w:rPr>
        <w:t>المصباح المنير</w:t>
      </w:r>
      <w:r w:rsidR="00E3253D" w:rsidRPr="005D642E">
        <w:rPr>
          <w:rtl/>
        </w:rPr>
        <w:t xml:space="preserve"> ، ص 180 ( خلق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 « اللزق »</w:t>
      </w:r>
      <w:r w:rsidR="00E3253D">
        <w:rPr>
          <w:rtl/>
        </w:rPr>
        <w:t>.</w:t>
      </w:r>
      <w:r w:rsidR="00E3253D" w:rsidRPr="005D642E">
        <w:rPr>
          <w:rtl/>
        </w:rPr>
        <w:t xml:space="preserve"> </w:t>
      </w:r>
      <w:r w:rsidR="00E3253D">
        <w:rPr>
          <w:rtl/>
        </w:rPr>
        <w:t>و «</w:t>
      </w:r>
      <w:r w:rsidR="00E3253D" w:rsidRPr="005D642E">
        <w:rPr>
          <w:rtl/>
        </w:rPr>
        <w:t xml:space="preserve"> اللَكِد » : الذي يلزم الشي‌ء ويلصق به ، صفة مشبّهة من لَكِدَ كفرح. راجع : </w:t>
      </w:r>
      <w:r w:rsidR="00E3253D" w:rsidRPr="002F4D34">
        <w:rPr>
          <w:rStyle w:val="libFootnoteBoldChar"/>
          <w:rtl/>
        </w:rPr>
        <w:t>الصحاح</w:t>
      </w:r>
      <w:r w:rsidR="00E3253D" w:rsidRPr="005D642E">
        <w:rPr>
          <w:rtl/>
        </w:rPr>
        <w:t xml:space="preserve"> ، ج 2 ، ص 536 ؛ </w:t>
      </w:r>
      <w:r w:rsidR="00E3253D" w:rsidRPr="002F4D34">
        <w:rPr>
          <w:rStyle w:val="libFootnoteBoldChar"/>
          <w:rtl/>
        </w:rPr>
        <w:t>مجمع البحرين</w:t>
      </w:r>
      <w:r w:rsidR="00E3253D" w:rsidRPr="005D642E">
        <w:rPr>
          <w:rtl/>
        </w:rPr>
        <w:t xml:space="preserve"> ، ج 3 ، ص 142 ( لكد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العِلْكُ » : الذي يُمْضَغُ. وقيل : هو ضرب من صَمغ الشجر كاللُبان فلا يسيل. والصمغ : شي‌ء يسيل من الشجرة ويجمد عليها. واللُبان هو الصنوبر. راجع : </w:t>
      </w:r>
      <w:r w:rsidR="00E3253D" w:rsidRPr="002F4D34">
        <w:rPr>
          <w:rStyle w:val="libFootnoteBoldChar"/>
          <w:rtl/>
        </w:rPr>
        <w:t>الصحاح</w:t>
      </w:r>
      <w:r w:rsidR="00E3253D" w:rsidRPr="005D642E">
        <w:rPr>
          <w:rtl/>
        </w:rPr>
        <w:t xml:space="preserve"> ، ج 4 ، ص 1601 ؛ </w:t>
      </w:r>
      <w:r w:rsidR="00E3253D" w:rsidRPr="002F4D34">
        <w:rPr>
          <w:rStyle w:val="libFootnoteBoldChar"/>
          <w:rtl/>
        </w:rPr>
        <w:t>لسان العرب</w:t>
      </w:r>
      <w:r w:rsidR="00E3253D" w:rsidRPr="005D642E">
        <w:rPr>
          <w:rtl/>
        </w:rPr>
        <w:t xml:space="preserve"> ، ج 10 ، ص 470 ( علك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 « الطوار »</w:t>
      </w:r>
      <w:r w:rsidR="00E3253D">
        <w:rPr>
          <w:rtl/>
        </w:rPr>
        <w:t>.</w:t>
      </w:r>
      <w:r w:rsidR="00E3253D" w:rsidRPr="005D642E">
        <w:rPr>
          <w:rtl/>
        </w:rPr>
        <w:t xml:space="preserve"> وفي حاشية « غ » : « الطراز »</w:t>
      </w:r>
      <w:r w:rsidR="00E3253D">
        <w:rPr>
          <w:rtl/>
        </w:rPr>
        <w:t>.</w:t>
      </w:r>
      <w:r w:rsidR="00E3253D" w:rsidRPr="005D642E">
        <w:rPr>
          <w:rtl/>
        </w:rPr>
        <w:t xml:space="preserve"> وفي حاشية « بث » : « الطواز</w:t>
      </w:r>
      <w:r w:rsidR="00E3253D">
        <w:rPr>
          <w:rtl/>
        </w:rPr>
        <w:t xml:space="preserve"> </w:t>
      </w:r>
      <w:r w:rsidR="007642BC">
        <w:rPr>
          <w:rtl/>
        </w:rPr>
        <w:t>-</w:t>
      </w:r>
      <w:r w:rsidR="00E3253D">
        <w:rPr>
          <w:rtl/>
        </w:rPr>
        <w:t xml:space="preserve"> </w:t>
      </w:r>
      <w:r w:rsidR="00E3253D" w:rsidRPr="005D642E">
        <w:rPr>
          <w:rtl/>
        </w:rPr>
        <w:t>ضراب »</w:t>
      </w:r>
      <w:r w:rsidR="00E3253D">
        <w:rPr>
          <w:rtl/>
        </w:rPr>
        <w:t>.</w:t>
      </w:r>
      <w:r w:rsidR="00E3253D" w:rsidRPr="005D642E">
        <w:rPr>
          <w:rtl/>
        </w:rPr>
        <w:t xml:space="preserve"> وفي حاشية « بح » : « الطمر »</w:t>
      </w:r>
      <w:r w:rsidR="00E3253D">
        <w:rPr>
          <w:rtl/>
        </w:rPr>
        <w:t>.</w:t>
      </w:r>
      <w:r w:rsidR="00E3253D" w:rsidRPr="005D642E">
        <w:rPr>
          <w:rtl/>
        </w:rPr>
        <w:t xml:space="preserve"> وفي حاشية « بخ » : « الطراد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في بعض النسخ : الطراد بالدال ، وفي بعضها : الطراب ، ولعلّه أظهر » </w:t>
      </w:r>
      <w:r w:rsidR="00E3253D">
        <w:rPr>
          <w:rtl/>
        </w:rPr>
        <w:t>و «</w:t>
      </w:r>
      <w:r w:rsidR="00E3253D" w:rsidRPr="005D642E">
        <w:rPr>
          <w:rtl/>
        </w:rPr>
        <w:t xml:space="preserve"> الطرار »</w:t>
      </w:r>
      <w:r w:rsidR="00E3253D">
        <w:rPr>
          <w:rtl/>
        </w:rPr>
        <w:t>.</w:t>
      </w:r>
      <w:r w:rsidR="00E3253D" w:rsidRPr="005D642E">
        <w:rPr>
          <w:rtl/>
        </w:rPr>
        <w:t xml:space="preserve"> واحدها : طُرَّة ، تتّخذ من رامك</w:t>
      </w:r>
      <w:r w:rsidR="00E3253D">
        <w:rPr>
          <w:rtl/>
        </w:rPr>
        <w:t xml:space="preserve"> </w:t>
      </w:r>
      <w:r w:rsidR="007642BC">
        <w:rPr>
          <w:rtl/>
        </w:rPr>
        <w:t>-</w:t>
      </w:r>
      <w:r w:rsidR="00E3253D">
        <w:rPr>
          <w:rtl/>
        </w:rPr>
        <w:t xml:space="preserve"> </w:t>
      </w:r>
      <w:r w:rsidR="00E3253D" w:rsidRPr="005D642E">
        <w:rPr>
          <w:rtl/>
        </w:rPr>
        <w:t>بفتح الميم وكسرها</w:t>
      </w:r>
      <w:r w:rsidR="00E3253D">
        <w:rPr>
          <w:rtl/>
        </w:rPr>
        <w:t xml:space="preserve"> </w:t>
      </w:r>
      <w:r w:rsidR="007642BC">
        <w:rPr>
          <w:rtl/>
        </w:rPr>
        <w:t>-</w:t>
      </w:r>
      <w:r w:rsidR="00E3253D">
        <w:rPr>
          <w:rtl/>
        </w:rPr>
        <w:t xml:space="preserve"> </w:t>
      </w:r>
      <w:r w:rsidR="00321BD9">
        <w:rPr>
          <w:rtl/>
        </w:rPr>
        <w:t>تلزق بالجنبين. وقال العل</w:t>
      </w:r>
      <w:r w:rsidR="00321BD9">
        <w:rPr>
          <w:rFonts w:hint="cs"/>
          <w:rtl/>
        </w:rPr>
        <w:t>ّ</w:t>
      </w:r>
      <w:r w:rsidR="00321BD9">
        <w:rPr>
          <w:rtl/>
        </w:rPr>
        <w:t>ا</w:t>
      </w:r>
      <w:r w:rsidR="00E3253D" w:rsidRPr="005D642E">
        <w:rPr>
          <w:rtl/>
        </w:rPr>
        <w:t xml:space="preserve">مة الفيض : والطرار بالمهملات : ما يطيّن به ويزيّن ، وربّما يتّخذ من رامك ، وهو شي‌ء أسود يخلط بالمشك. وقال الطريحي : الطرار بالطاء والراء المهملتين بينهما ألف : الطين ، يقال : طرّ الرجل حوضه إذا طيّنه. راجع : </w:t>
      </w:r>
      <w:r w:rsidR="00E3253D" w:rsidRPr="002F4D34">
        <w:rPr>
          <w:rStyle w:val="libFootnoteBoldChar"/>
          <w:rtl/>
        </w:rPr>
        <w:t>ترتيب كتاب العين</w:t>
      </w:r>
      <w:r w:rsidR="00E3253D" w:rsidRPr="005D642E">
        <w:rPr>
          <w:rtl/>
        </w:rPr>
        <w:t xml:space="preserve"> ، ج 2 ، ص 1073 ؛ </w:t>
      </w:r>
      <w:r w:rsidR="00E3253D" w:rsidRPr="002F4D34">
        <w:rPr>
          <w:rStyle w:val="libFootnoteBoldChar"/>
          <w:rtl/>
        </w:rPr>
        <w:t>لسان العرب</w:t>
      </w:r>
      <w:r w:rsidR="00E3253D" w:rsidRPr="005D642E">
        <w:rPr>
          <w:rtl/>
        </w:rPr>
        <w:t xml:space="preserve"> ، ج 4 ، ص 500 ؛ </w:t>
      </w:r>
      <w:r w:rsidR="00E3253D" w:rsidRPr="002F4D34">
        <w:rPr>
          <w:rStyle w:val="libFootnoteBoldChar"/>
          <w:rtl/>
        </w:rPr>
        <w:t>مجمع البحرين</w:t>
      </w:r>
      <w:r w:rsidR="00E3253D" w:rsidRPr="005D642E">
        <w:rPr>
          <w:rtl/>
        </w:rPr>
        <w:t xml:space="preserve"> ، ج 3 ، ص 376 ( طرر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وما أشبه ذلك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بف » : « وإذا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130 ، ح 356 ، معلّقاً عن أحمد بن محمّد </w:t>
      </w:r>
      <w:r w:rsidR="00C804DA">
        <w:rPr>
          <w:rFonts w:hint="cs"/>
          <w:rtl/>
        </w:rPr>
        <w:t>.</w:t>
      </w:r>
      <w:r w:rsidR="00E3253D" w:rsidRPr="002F4D34">
        <w:rPr>
          <w:rStyle w:val="libFootnoteBoldChar"/>
          <w:rtl/>
        </w:rPr>
        <w:t>الوافي</w:t>
      </w:r>
      <w:r w:rsidR="00E3253D" w:rsidRPr="005D642E">
        <w:rPr>
          <w:rtl/>
        </w:rPr>
        <w:t xml:space="preserve"> ، ج 6 ، ص 510 ، ح 4812 ؛ </w:t>
      </w:r>
      <w:r w:rsidR="00E3253D" w:rsidRPr="002F4D34">
        <w:rPr>
          <w:rStyle w:val="libFootnoteBoldChar"/>
          <w:rtl/>
        </w:rPr>
        <w:t>الوسائل</w:t>
      </w:r>
      <w:r w:rsidR="00E3253D" w:rsidRPr="005D642E">
        <w:rPr>
          <w:rtl/>
        </w:rPr>
        <w:t xml:space="preserve"> ، ج 2 ، ص 239 ، ذيل ح 2040.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قَالَ : « نَعَمْ ، وَلكِنْ لَايَضَعَانِ فِي الْمَسْجِدِ شَيْئاً »</w:t>
      </w:r>
      <w:r>
        <w:rPr>
          <w:rtl/>
          <w:lang w:bidi="fa-IR"/>
        </w:rPr>
        <w:t>.</w:t>
      </w:r>
      <w:r w:rsidRPr="005D642E">
        <w:rPr>
          <w:rtl/>
          <w:lang w:bidi="fa-IR"/>
        </w:rPr>
        <w:t xml:space="preserve"> </w:t>
      </w:r>
      <w:r w:rsidRPr="007C12DB">
        <w:rPr>
          <w:rStyle w:val="libFootnotenumChar"/>
          <w:rtl/>
        </w:rPr>
        <w:t>(1)</w:t>
      </w:r>
    </w:p>
    <w:p w:rsidR="00E3253D" w:rsidRPr="005D642E" w:rsidRDefault="00E3253D" w:rsidP="00E3253D">
      <w:pPr>
        <w:pStyle w:val="libNormal"/>
        <w:rPr>
          <w:rtl/>
          <w:lang w:bidi="fa-IR"/>
        </w:rPr>
      </w:pPr>
      <w:r w:rsidRPr="00584139">
        <w:rPr>
          <w:rtl/>
        </w:rPr>
        <w:t>4051</w:t>
      </w:r>
      <w:r w:rsidRPr="00246318">
        <w:rPr>
          <w:rStyle w:val="libBold2Char"/>
          <w:rtl/>
        </w:rPr>
        <w:t xml:space="preserve"> / 9.</w:t>
      </w:r>
      <w:r w:rsidRPr="005D642E">
        <w:rPr>
          <w:rtl/>
          <w:lang w:bidi="fa-IR"/>
        </w:rPr>
        <w:t xml:space="preserve"> مُحَمَّدُ بْنُ يَحْيى ، عَنْ أَحْمَدَ بْنِ مُحَمَّدٍ ، عَنِ ابْنِ أَبِي نَصْرٍ ، عَنْ أَبِي جَمِيلَةَ :</w:t>
      </w:r>
    </w:p>
    <w:p w:rsidR="00E3253D" w:rsidRPr="005D642E" w:rsidRDefault="00E3253D" w:rsidP="00E3253D">
      <w:pPr>
        <w:pStyle w:val="libNormal"/>
        <w:rPr>
          <w:rtl/>
          <w:lang w:bidi="fa-IR"/>
        </w:rPr>
      </w:pPr>
      <w:r w:rsidRPr="005D642E">
        <w:rPr>
          <w:rtl/>
          <w:lang w:bidi="fa-IR"/>
        </w:rPr>
        <w:t xml:space="preserve">عَنْ أَبِي الْحَسَنِ الْأَوَّلِ </w:t>
      </w:r>
      <w:r w:rsidRPr="00AC51C5">
        <w:rPr>
          <w:rStyle w:val="libAlaemChar"/>
          <w:rtl/>
        </w:rPr>
        <w:t>عليه‌السلام</w:t>
      </w:r>
      <w:r w:rsidRPr="005D642E">
        <w:rPr>
          <w:rtl/>
          <w:lang w:bidi="fa-IR"/>
        </w:rPr>
        <w:t xml:space="preserve"> ، قَالَ : « لَا بَأْسَ أَنْ يَخْتَضِبَ </w:t>
      </w:r>
      <w:r w:rsidRPr="007C12DB">
        <w:rPr>
          <w:rStyle w:val="libFootnotenumChar"/>
          <w:rtl/>
        </w:rPr>
        <w:t>(2)</w:t>
      </w:r>
      <w:r w:rsidRPr="005D642E">
        <w:rPr>
          <w:rtl/>
          <w:lang w:bidi="fa-IR"/>
        </w:rPr>
        <w:t xml:space="preserve"> الْجُنُبُ ، وَيُجْنِبَ الْمُخْتَضِبُ ، وَيَطَّلِيَ بِالنُّورَةِ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584139">
        <w:rPr>
          <w:rtl/>
        </w:rPr>
        <w:t>4052</w:t>
      </w:r>
      <w:r w:rsidRPr="00246318">
        <w:rPr>
          <w:rStyle w:val="libBold2Char"/>
          <w:rtl/>
        </w:rPr>
        <w:t xml:space="preserve"> / 10.</w:t>
      </w:r>
      <w:r w:rsidRPr="005D642E">
        <w:rPr>
          <w:rtl/>
          <w:lang w:bidi="fa-IR"/>
        </w:rPr>
        <w:t xml:space="preserve"> وَرُوِيَ أَيْضاً : « أَنَّ الْمُخْتَضِبَ لَايُجْنِبُ حَتّى يَأْخُذَ الْخِضَابُ </w:t>
      </w:r>
      <w:r w:rsidRPr="007C12DB">
        <w:rPr>
          <w:rStyle w:val="libFootnotenumChar"/>
          <w:rtl/>
        </w:rPr>
        <w:t>(5)</w:t>
      </w:r>
      <w:r w:rsidRPr="005D642E">
        <w:rPr>
          <w:rtl/>
          <w:lang w:bidi="fa-IR"/>
        </w:rPr>
        <w:t xml:space="preserve"> ، وَأَمَّا </w:t>
      </w:r>
      <w:r w:rsidRPr="007C12DB">
        <w:rPr>
          <w:rStyle w:val="libFootnotenumChar"/>
          <w:rtl/>
        </w:rPr>
        <w:t>(6)</w:t>
      </w:r>
      <w:r w:rsidRPr="005D642E">
        <w:rPr>
          <w:rtl/>
          <w:lang w:bidi="fa-IR"/>
        </w:rPr>
        <w:t xml:space="preserve"> فِي أَوَّلِ الْخِضَابِ ، فَلَا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84139">
        <w:rPr>
          <w:rtl/>
        </w:rPr>
        <w:t>4053</w:t>
      </w:r>
      <w:r w:rsidRPr="00246318">
        <w:rPr>
          <w:rStyle w:val="libBold2Char"/>
          <w:rtl/>
        </w:rPr>
        <w:t xml:space="preserve"> / 11.</w:t>
      </w:r>
      <w:r w:rsidRPr="005D642E">
        <w:rPr>
          <w:rtl/>
          <w:lang w:bidi="fa-IR"/>
        </w:rPr>
        <w:t xml:space="preserve"> عِدَّةٌ مِنْ أَصْحَابِنَا ، عَنْ أَحْمَدَ بْنِ مُحَمَّدٍ ، عَنِ الْحُسَيْنِ بْنِ سَعِيدٍ ، عَنْ أَخِيهِ الْحَسَنِ ، عَنْ زُرْعَةَ ، عَنْ سَمَاعَةَ ، قَالَ :</w:t>
      </w:r>
    </w:p>
    <w:p w:rsidR="00E3253D" w:rsidRPr="005D642E" w:rsidRDefault="00E3253D" w:rsidP="00E3253D">
      <w:pPr>
        <w:pStyle w:val="libNormal"/>
        <w:rPr>
          <w:rtl/>
          <w:lang w:bidi="fa-IR"/>
        </w:rPr>
      </w:pPr>
      <w:r w:rsidRPr="005D642E">
        <w:rPr>
          <w:rtl/>
          <w:lang w:bidi="fa-IR"/>
        </w:rPr>
        <w:t>سَأَلْتُهُ عَنِ الرَّجُلِ يُجْنِبُ ثُمَّ يُرِيدُ النَّوْمَ</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125 ، ح 339 ، معلّقاً عن الحسين بن سعيد. </w:t>
      </w:r>
      <w:r w:rsidR="00E3253D" w:rsidRPr="002F4D34">
        <w:rPr>
          <w:rStyle w:val="libFootnoteBoldChar"/>
          <w:rtl/>
        </w:rPr>
        <w:t>علل الشرائع</w:t>
      </w:r>
      <w:r w:rsidR="00E3253D" w:rsidRPr="005D642E">
        <w:rPr>
          <w:rtl/>
        </w:rPr>
        <w:t xml:space="preserve"> ، ص 288 ، ح 1 ، بسند آخر. </w:t>
      </w:r>
      <w:r w:rsidR="00E3253D" w:rsidRPr="002F4D34">
        <w:rPr>
          <w:rStyle w:val="libFootnoteBoldChar"/>
          <w:rtl/>
        </w:rPr>
        <w:t>الفقيه</w:t>
      </w:r>
      <w:r w:rsidR="00E3253D" w:rsidRPr="005D642E">
        <w:rPr>
          <w:rtl/>
        </w:rPr>
        <w:t xml:space="preserve"> ، ج 1 ، ص 86 ، ذيل ح 191 ؛ </w:t>
      </w:r>
      <w:r w:rsidR="00E3253D" w:rsidRPr="002F4D34">
        <w:rPr>
          <w:rStyle w:val="libFootnoteBoldChar"/>
          <w:rtl/>
        </w:rPr>
        <w:t>تفسير القمّي</w:t>
      </w:r>
      <w:r w:rsidR="00E3253D" w:rsidRPr="005D642E">
        <w:rPr>
          <w:rtl/>
        </w:rPr>
        <w:t xml:space="preserve"> ، ج 1 ، ص 139 ، مرسلاً. </w:t>
      </w:r>
      <w:r w:rsidR="00E3253D" w:rsidRPr="002F4D34">
        <w:rPr>
          <w:rStyle w:val="libFootnoteBoldChar"/>
          <w:rtl/>
        </w:rPr>
        <w:t>فقه الرضا</w:t>
      </w:r>
      <w:r w:rsidR="00E3253D" w:rsidRPr="005D642E">
        <w:rPr>
          <w:rtl/>
        </w:rPr>
        <w:t xml:space="preserve"> </w:t>
      </w:r>
      <w:r w:rsidR="00E3253D" w:rsidRPr="00C804DA">
        <w:rPr>
          <w:rStyle w:val="libFootnoteAlaemChar"/>
          <w:rtl/>
        </w:rPr>
        <w:t>عليه‌السلام</w:t>
      </w:r>
      <w:r w:rsidR="00E3253D" w:rsidRPr="005D642E">
        <w:rPr>
          <w:rtl/>
        </w:rPr>
        <w:t xml:space="preserve"> ، ص 84 ؛ </w:t>
      </w:r>
      <w:r w:rsidR="00E3253D" w:rsidRPr="002F4D34">
        <w:rPr>
          <w:rStyle w:val="libFootnoteBoldChar"/>
          <w:rtl/>
        </w:rPr>
        <w:t>تفسير العيّاشي</w:t>
      </w:r>
      <w:r w:rsidR="00E3253D" w:rsidRPr="005D642E">
        <w:rPr>
          <w:rtl/>
        </w:rPr>
        <w:t xml:space="preserve"> ، ج 1 ، ص 243 ، ح 138 ، عن زرارة ، عن أبي جعفر </w:t>
      </w:r>
      <w:r w:rsidR="00E3253D" w:rsidRPr="00C804DA">
        <w:rPr>
          <w:rStyle w:val="libFootnoteAlaemChar"/>
          <w:rtl/>
        </w:rPr>
        <w:t>عليه‌السلام</w:t>
      </w:r>
      <w:r w:rsidR="00E3253D" w:rsidRPr="005D642E">
        <w:rPr>
          <w:rtl/>
        </w:rPr>
        <w:t xml:space="preserve"> </w:t>
      </w:r>
      <w:r w:rsidR="00C804DA">
        <w:rPr>
          <w:rtl/>
        </w:rPr>
        <w:t>، وفي كلّ المصادر إل</w:t>
      </w:r>
      <w:r w:rsidR="00C804DA">
        <w:rPr>
          <w:rFonts w:hint="cs"/>
          <w:rtl/>
        </w:rPr>
        <w:t>ّ</w:t>
      </w:r>
      <w:r w:rsidR="00C804DA">
        <w:rPr>
          <w:rtl/>
        </w:rPr>
        <w:t>ا</w:t>
      </w:r>
      <w:r w:rsidR="00E3253D">
        <w:rPr>
          <w:rFonts w:hint="cs"/>
          <w:rtl/>
        </w:rPr>
        <w:t xml:space="preserve"> </w:t>
      </w:r>
      <w:r w:rsidR="00E3253D" w:rsidRPr="005D642E">
        <w:rPr>
          <w:rtl/>
        </w:rPr>
        <w:t xml:space="preserve">التهذيب مع اختلاف وزيادة. راجع : </w:t>
      </w:r>
      <w:r w:rsidR="00E3253D" w:rsidRPr="002F4D34">
        <w:rPr>
          <w:rStyle w:val="libFootnoteBoldChar"/>
          <w:rtl/>
        </w:rPr>
        <w:t>الكافي</w:t>
      </w:r>
      <w:r w:rsidR="00E3253D" w:rsidRPr="005D642E">
        <w:rPr>
          <w:rtl/>
        </w:rPr>
        <w:t xml:space="preserve"> ، كتاب الحيض ، باب الحائض تأخذ من المسجد</w:t>
      </w:r>
      <w:r w:rsidR="00E3253D">
        <w:rPr>
          <w:rtl/>
        </w:rPr>
        <w:t xml:space="preserve"> ..</w:t>
      </w:r>
      <w:r w:rsidR="00E3253D" w:rsidRPr="005D642E">
        <w:rPr>
          <w:rtl/>
        </w:rPr>
        <w:t xml:space="preserve">. ، ح 4227 ؛ </w:t>
      </w:r>
      <w:r w:rsidR="00B60612" w:rsidRPr="00B60612">
        <w:rPr>
          <w:rStyle w:val="libFootnoteBoldChar"/>
          <w:rtl/>
        </w:rPr>
        <w:t>والتهذيب</w:t>
      </w:r>
      <w:r w:rsidR="00E3253D" w:rsidRPr="005D642E">
        <w:rPr>
          <w:rtl/>
        </w:rPr>
        <w:t xml:space="preserve"> ، ج 1 ، ص 397 ، ح 1233 </w:t>
      </w:r>
      <w:r w:rsidR="00EE4E6C">
        <w:rPr>
          <w:rFonts w:hint="cs"/>
          <w:rtl/>
        </w:rPr>
        <w:t>.</w:t>
      </w:r>
      <w:r w:rsidR="00E3253D" w:rsidRPr="002F4D34">
        <w:rPr>
          <w:rStyle w:val="libFootnoteBoldChar"/>
          <w:rtl/>
        </w:rPr>
        <w:t>الوافي</w:t>
      </w:r>
      <w:r w:rsidR="00E3253D" w:rsidRPr="005D642E">
        <w:rPr>
          <w:rtl/>
        </w:rPr>
        <w:t xml:space="preserve"> ، ج 6 ، ص 418 ، ح 4600 ؛ </w:t>
      </w:r>
      <w:r w:rsidR="00E3253D" w:rsidRPr="002F4D34">
        <w:rPr>
          <w:rStyle w:val="libFootnoteBoldChar"/>
          <w:rtl/>
        </w:rPr>
        <w:t>الوسائل</w:t>
      </w:r>
      <w:r w:rsidR="00E3253D" w:rsidRPr="005D642E">
        <w:rPr>
          <w:rtl/>
        </w:rPr>
        <w:t xml:space="preserve"> ، ج 2 ، ص 213 ، ح 1957.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 « بأن يختضب »</w:t>
      </w:r>
      <w:r w:rsidR="00E3253D">
        <w:rPr>
          <w:rtl/>
        </w:rPr>
        <w:t>.</w:t>
      </w:r>
      <w:r w:rsidR="00E3253D" w:rsidRPr="005D642E">
        <w:rPr>
          <w:rtl/>
        </w:rPr>
        <w:t xml:space="preserve"> وفي « جس » والوسائل : « أن تخضب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تقول : طَلَيته بالنورة أو غيرها : لطخته ولوّثته بها. راجع : </w:t>
      </w:r>
      <w:r w:rsidR="00E3253D" w:rsidRPr="002F4D34">
        <w:rPr>
          <w:rStyle w:val="libFootnoteBoldChar"/>
          <w:rtl/>
        </w:rPr>
        <w:t>المغرب</w:t>
      </w:r>
      <w:r w:rsidR="00E3253D" w:rsidRPr="005D642E">
        <w:rPr>
          <w:rtl/>
        </w:rPr>
        <w:t xml:space="preserve"> ، ص 293 ؛ </w:t>
      </w:r>
      <w:r w:rsidR="00E3253D" w:rsidRPr="002F4D34">
        <w:rPr>
          <w:rStyle w:val="libFootnoteBoldChar"/>
          <w:rtl/>
        </w:rPr>
        <w:t>لسان العرب</w:t>
      </w:r>
      <w:r w:rsidR="00E3253D" w:rsidRPr="005D642E">
        <w:rPr>
          <w:rtl/>
        </w:rPr>
        <w:t xml:space="preserve"> ، ج 15 ، ص 11 ( طلى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130 ، ح 357 ؛ </w:t>
      </w:r>
      <w:r w:rsidR="00E3253D" w:rsidRPr="00E678B5">
        <w:rPr>
          <w:rStyle w:val="libFootnoteBoldChar"/>
          <w:rtl/>
        </w:rPr>
        <w:t>والاستبصار</w:t>
      </w:r>
      <w:r w:rsidR="00E3253D" w:rsidRPr="005D642E">
        <w:rPr>
          <w:rtl/>
        </w:rPr>
        <w:t xml:space="preserve"> ، ج 1 ، ص 116 ، ح 391 ، بسند آخر عن أبي عبدالله </w:t>
      </w:r>
      <w:r w:rsidR="00E3253D" w:rsidRPr="00C804DA">
        <w:rPr>
          <w:rStyle w:val="libFootnoteAlaemChar"/>
          <w:rtl/>
        </w:rPr>
        <w:t>عليه‌السلام</w:t>
      </w:r>
      <w:r w:rsidR="00E3253D" w:rsidRPr="005D642E">
        <w:rPr>
          <w:rtl/>
        </w:rPr>
        <w:t xml:space="preserve"> ، مع اختلاف يسير وزيادة في آخره. وراجع : </w:t>
      </w:r>
      <w:r w:rsidR="00E3253D" w:rsidRPr="002F4D34">
        <w:rPr>
          <w:rStyle w:val="libFootnoteBoldChar"/>
          <w:rtl/>
        </w:rPr>
        <w:t>الكافي</w:t>
      </w:r>
      <w:r w:rsidR="00E3253D" w:rsidRPr="005D642E">
        <w:rPr>
          <w:rtl/>
        </w:rPr>
        <w:t xml:space="preserve"> ، كتاب النكاح ، باب نوادر ، ح 10134 </w:t>
      </w:r>
      <w:r w:rsidR="00EE4E6C">
        <w:rPr>
          <w:rFonts w:hint="cs"/>
          <w:rtl/>
        </w:rPr>
        <w:t>.</w:t>
      </w:r>
      <w:r w:rsidR="00E3253D" w:rsidRPr="002F4D34">
        <w:rPr>
          <w:rStyle w:val="libFootnoteBoldChar"/>
          <w:rtl/>
        </w:rPr>
        <w:t>الوافي</w:t>
      </w:r>
      <w:r w:rsidR="00E3253D" w:rsidRPr="005D642E">
        <w:rPr>
          <w:rtl/>
        </w:rPr>
        <w:t xml:space="preserve"> ، ج 6 ، ص 419 ، ح 4602 ؛ </w:t>
      </w:r>
      <w:r w:rsidR="00E3253D" w:rsidRPr="002F4D34">
        <w:rPr>
          <w:rStyle w:val="libFootnoteBoldChar"/>
          <w:rtl/>
        </w:rPr>
        <w:t>الوسائل</w:t>
      </w:r>
      <w:r w:rsidR="00E3253D" w:rsidRPr="005D642E">
        <w:rPr>
          <w:rtl/>
        </w:rPr>
        <w:t xml:space="preserve"> ، ج 2 ، ص 221 ، ح 1983.</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جن » وحاشية « ظ ، بث ، بف ، جح » : + « مأخذه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جح ، جس » والوسائل : « فأمّا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راجع : </w:t>
      </w:r>
      <w:r w:rsidR="00E3253D" w:rsidRPr="002F4D34">
        <w:rPr>
          <w:rStyle w:val="libFootnoteBoldChar"/>
          <w:rtl/>
        </w:rPr>
        <w:t>التهذيب</w:t>
      </w:r>
      <w:r w:rsidR="00E3253D" w:rsidRPr="005D642E">
        <w:rPr>
          <w:rtl/>
        </w:rPr>
        <w:t xml:space="preserve"> ، ج 1 ، ص 181 ، ح 517 </w:t>
      </w:r>
      <w:r w:rsidR="00E3253D">
        <w:rPr>
          <w:rtl/>
        </w:rPr>
        <w:t>و 5</w:t>
      </w:r>
      <w:r w:rsidR="00E3253D" w:rsidRPr="005D642E">
        <w:rPr>
          <w:rtl/>
        </w:rPr>
        <w:t xml:space="preserve">21 ؛ </w:t>
      </w:r>
      <w:r w:rsidR="00E3253D" w:rsidRPr="00E678B5">
        <w:rPr>
          <w:rStyle w:val="libFootnoteBoldChar"/>
          <w:rtl/>
        </w:rPr>
        <w:t>والاستبصار</w:t>
      </w:r>
      <w:r w:rsidR="00E3253D" w:rsidRPr="005D642E">
        <w:rPr>
          <w:rtl/>
        </w:rPr>
        <w:t xml:space="preserve"> ، ج 1 ، ص 116 ، ح 386 </w:t>
      </w:r>
      <w:r w:rsidR="00E3253D">
        <w:rPr>
          <w:rtl/>
        </w:rPr>
        <w:t>و 3</w:t>
      </w:r>
      <w:r w:rsidR="00E3253D" w:rsidRPr="005D642E">
        <w:rPr>
          <w:rtl/>
        </w:rPr>
        <w:t xml:space="preserve">88 </w:t>
      </w:r>
      <w:r w:rsidR="00EE4E6C">
        <w:rPr>
          <w:rFonts w:hint="cs"/>
          <w:rtl/>
        </w:rPr>
        <w:t>.</w:t>
      </w:r>
      <w:r w:rsidR="00E3253D" w:rsidRPr="002F4D34">
        <w:rPr>
          <w:rStyle w:val="libFootnoteBoldChar"/>
          <w:rtl/>
        </w:rPr>
        <w:t>الوافي</w:t>
      </w:r>
      <w:r w:rsidR="00E3253D" w:rsidRPr="005D642E">
        <w:rPr>
          <w:rtl/>
        </w:rPr>
        <w:t xml:space="preserve"> ، ج 6 ، ص 419 ، ح 4603 ؛ </w:t>
      </w:r>
      <w:r w:rsidR="00E3253D" w:rsidRPr="002F4D34">
        <w:rPr>
          <w:rStyle w:val="libFootnoteBoldChar"/>
          <w:rtl/>
        </w:rPr>
        <w:t>الوسائل</w:t>
      </w:r>
      <w:r w:rsidR="00E3253D" w:rsidRPr="005D642E">
        <w:rPr>
          <w:rtl/>
        </w:rPr>
        <w:t xml:space="preserve"> ، ج 2 ، ص 221 ، ح 1984.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قَالَ : « إِنْ أَحَبَّ أَنْ يَتَوَضَّأَ ، فَلْيَفْعَلْ ، وَالْغُسْلُ أَحَبُّ إِلَيَّ ، وَ</w:t>
      </w:r>
      <w:r>
        <w:rPr>
          <w:rFonts w:hint="cs"/>
          <w:rtl/>
          <w:lang w:bidi="fa-IR"/>
        </w:rPr>
        <w:t xml:space="preserve"> </w:t>
      </w:r>
      <w:r w:rsidRPr="007C12DB">
        <w:rPr>
          <w:rStyle w:val="libFootnotenumChar"/>
          <w:rtl/>
        </w:rPr>
        <w:t>(1)</w:t>
      </w:r>
      <w:r w:rsidRPr="005D642E">
        <w:rPr>
          <w:rtl/>
          <w:lang w:bidi="fa-IR"/>
        </w:rPr>
        <w:t xml:space="preserve"> أَفْضَلُ مِنْ ذلِكَ ، فَإِنْ </w:t>
      </w:r>
      <w:r w:rsidRPr="007C12DB">
        <w:rPr>
          <w:rStyle w:val="libFootnotenumChar"/>
          <w:rtl/>
        </w:rPr>
        <w:t>(2)</w:t>
      </w:r>
      <w:r w:rsidRPr="005D642E">
        <w:rPr>
          <w:rtl/>
          <w:lang w:bidi="fa-IR"/>
        </w:rPr>
        <w:t xml:space="preserve"> هُوَ نَامَ وَلَمْ يَتَوَضَّأْ وَلَمْ يَغْتَسِلْ ، فَلَيْسَ عَلَيْهِ شَيْ‌ءٌ إِنْ شَاءَ اللهُ تَعَالى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7A39F1">
        <w:rPr>
          <w:rtl/>
        </w:rPr>
        <w:t>4054</w:t>
      </w:r>
      <w:r w:rsidRPr="00246318">
        <w:rPr>
          <w:rStyle w:val="libBold2Char"/>
          <w:rtl/>
        </w:rPr>
        <w:t xml:space="preserve"> / 12.</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بَأْسَ بِأَنْ يَحْتَجِمَ </w:t>
      </w:r>
      <w:r w:rsidRPr="007C12DB">
        <w:rPr>
          <w:rStyle w:val="libFootnotenumChar"/>
          <w:rtl/>
        </w:rPr>
        <w:t>(4)</w:t>
      </w:r>
      <w:r w:rsidRPr="005D642E">
        <w:rPr>
          <w:rtl/>
          <w:lang w:bidi="fa-IR"/>
        </w:rPr>
        <w:t xml:space="preserve"> الرَّجُلُ وَهُوَ جُنُبٌ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7A39F1">
        <w:rPr>
          <w:rtl/>
        </w:rPr>
        <w:t>4055</w:t>
      </w:r>
      <w:r w:rsidRPr="00246318">
        <w:rPr>
          <w:rStyle w:val="libBold2Char"/>
          <w:rtl/>
        </w:rPr>
        <w:t xml:space="preserve"> / 13.</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بَأْسَ أَنْ يَخْتَضِبَ </w:t>
      </w:r>
      <w:r w:rsidRPr="007C12DB">
        <w:rPr>
          <w:rStyle w:val="libFootnotenumChar"/>
          <w:rtl/>
        </w:rPr>
        <w:t>(6)</w:t>
      </w:r>
      <w:r w:rsidRPr="005D642E">
        <w:rPr>
          <w:rtl/>
          <w:lang w:bidi="fa-IR"/>
        </w:rPr>
        <w:t xml:space="preserve"> الرَّجُلُ </w:t>
      </w:r>
      <w:r w:rsidRPr="007C12DB">
        <w:rPr>
          <w:rStyle w:val="libFootnotenumChar"/>
          <w:rtl/>
        </w:rPr>
        <w:t>(7)</w:t>
      </w:r>
      <w:r w:rsidRPr="005D642E">
        <w:rPr>
          <w:rtl/>
          <w:lang w:bidi="fa-IR"/>
        </w:rPr>
        <w:t xml:space="preserve"> ، وَيُجْنِبَ </w:t>
      </w:r>
      <w:r w:rsidRPr="007C12DB">
        <w:rPr>
          <w:rStyle w:val="libFootnotenumChar"/>
          <w:rtl/>
        </w:rPr>
        <w:t>(8)</w:t>
      </w:r>
      <w:r w:rsidRPr="005D642E">
        <w:rPr>
          <w:rtl/>
          <w:lang w:bidi="fa-IR"/>
        </w:rPr>
        <w:t xml:space="preserve"> وَهُوَ مُخْتَضِبٌ ، وَلَابَأْسَ أَنْ يَتَنَوَّرَ الْجُنُبُ </w:t>
      </w:r>
      <w:r w:rsidRPr="007C12DB">
        <w:rPr>
          <w:rStyle w:val="libFootnotenumChar"/>
          <w:rtl/>
        </w:rPr>
        <w:t>(9)</w:t>
      </w:r>
      <w:r w:rsidRPr="005D642E">
        <w:rPr>
          <w:rtl/>
          <w:lang w:bidi="fa-IR"/>
        </w:rPr>
        <w:t xml:space="preserve"> وَيَحْتَجِمَ وَيَذْبَحَ </w:t>
      </w:r>
      <w:r w:rsidRPr="007C12DB">
        <w:rPr>
          <w:rStyle w:val="libFootnotenumChar"/>
          <w:rtl/>
        </w:rPr>
        <w:t>(10)</w:t>
      </w:r>
      <w:r w:rsidRPr="005D642E">
        <w:rPr>
          <w:rtl/>
          <w:lang w:bidi="fa-IR"/>
        </w:rPr>
        <w:t xml:space="preserve"> ، وَلَايَذُوقُ </w:t>
      </w:r>
      <w:r w:rsidRPr="007C12DB">
        <w:rPr>
          <w:rStyle w:val="libFootnotenumChar"/>
          <w:rtl/>
        </w:rPr>
        <w:t>(11)</w:t>
      </w:r>
      <w:r w:rsidRPr="005D642E">
        <w:rPr>
          <w:rtl/>
          <w:lang w:bidi="fa-IR"/>
        </w:rPr>
        <w:t xml:space="preserve"> شَيْئاً حَتّى يَغْسِلَ يَدَيْهِ </w:t>
      </w:r>
      <w:r w:rsidRPr="007C12DB">
        <w:rPr>
          <w:rStyle w:val="libFootnotenumChar"/>
          <w:rtl/>
        </w:rPr>
        <w:t>(12)</w:t>
      </w:r>
      <w:r w:rsidRPr="005D642E">
        <w:rPr>
          <w:rtl/>
          <w:lang w:bidi="fa-IR"/>
        </w:rPr>
        <w:t xml:space="preserve"> وَيَتَمَضْمَضَ ؛ فَإِنَّهُ يُخَافُ </w:t>
      </w:r>
      <w:r w:rsidRPr="007C12DB">
        <w:rPr>
          <w:rStyle w:val="libFootnotenumChar"/>
          <w:rtl/>
        </w:rPr>
        <w:t>(13)</w:t>
      </w:r>
      <w:r w:rsidRPr="005D642E">
        <w:rPr>
          <w:rtl/>
          <w:lang w:bidi="fa-IR"/>
        </w:rPr>
        <w:t xml:space="preserve"> مِنْهُ الْوَضَحُ </w:t>
      </w:r>
      <w:r w:rsidRPr="007C12DB">
        <w:rPr>
          <w:rStyle w:val="libFootnotenumChar"/>
          <w:rtl/>
        </w:rPr>
        <w:t>(14)</w:t>
      </w:r>
      <w:r w:rsidRPr="005D642E">
        <w:rPr>
          <w:rtl/>
          <w:lang w:bidi="fa-IR"/>
        </w:rPr>
        <w:t xml:space="preserve"> »</w:t>
      </w:r>
      <w:r>
        <w:rPr>
          <w:rtl/>
          <w:lang w:bidi="fa-IR"/>
        </w:rPr>
        <w:t>.</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xml:space="preserve">« أحبّ إليّ </w:t>
      </w:r>
      <w:r w:rsidR="00E3253D">
        <w:rPr>
          <w:rtl/>
        </w:rPr>
        <w:t>و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ى ، بس ، بف ، جن » وحاشية « ظ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وإن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370 ، ح 1127 ، معلّقاً عن الحسين بن سعيد </w:t>
      </w:r>
      <w:r w:rsidR="00996736">
        <w:rPr>
          <w:rFonts w:hint="cs"/>
          <w:rtl/>
        </w:rPr>
        <w:t>.</w:t>
      </w:r>
      <w:r w:rsidR="00E3253D" w:rsidRPr="002F4D34">
        <w:rPr>
          <w:rStyle w:val="libFootnoteBoldChar"/>
          <w:rtl/>
        </w:rPr>
        <w:t>الوافي</w:t>
      </w:r>
      <w:r w:rsidR="00E3253D" w:rsidRPr="005D642E">
        <w:rPr>
          <w:rtl/>
        </w:rPr>
        <w:t xml:space="preserve"> ، ج 6 ، ص 417 ، ح 4595 ؛ </w:t>
      </w:r>
      <w:r w:rsidR="00E3253D" w:rsidRPr="002F4D34">
        <w:rPr>
          <w:rStyle w:val="libFootnoteBoldChar"/>
          <w:rtl/>
        </w:rPr>
        <w:t>الوسائل</w:t>
      </w:r>
      <w:r w:rsidR="00E3253D" w:rsidRPr="005D642E">
        <w:rPr>
          <w:rtl/>
        </w:rPr>
        <w:t xml:space="preserve"> ، ج 2 ، ص 228 ، ذيل ح 2012.</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كذا في المطبوع. وفي « ظ ، غ ، بح ، جح ، جس » وحاشية « بث » والوسائل : « أن يحتجم »</w:t>
      </w:r>
      <w:r w:rsidR="00E3253D">
        <w:rPr>
          <w:rtl/>
        </w:rPr>
        <w:t>.</w:t>
      </w:r>
      <w:r w:rsidR="00E3253D" w:rsidRPr="005D642E">
        <w:rPr>
          <w:rtl/>
        </w:rPr>
        <w:t xml:space="preserve"> وفي « ى ، بس ، بف ، جن » </w:t>
      </w:r>
      <w:r w:rsidR="000D749A" w:rsidRPr="000D749A">
        <w:rPr>
          <w:rStyle w:val="libFootnoteBoldChar"/>
          <w:rtl/>
        </w:rPr>
        <w:t>والوافي</w:t>
      </w:r>
      <w:r w:rsidR="00E3253D" w:rsidRPr="005D642E">
        <w:rPr>
          <w:rtl/>
        </w:rPr>
        <w:t xml:space="preserve"> : « بأن يختضب »</w:t>
      </w:r>
      <w:r w:rsidR="00E3253D">
        <w:rPr>
          <w:rtl/>
        </w:rPr>
        <w:t>.</w:t>
      </w:r>
      <w:r w:rsidR="00E3253D" w:rsidRPr="005D642E">
        <w:rPr>
          <w:rtl/>
        </w:rPr>
        <w:t xml:space="preserve"> وفي « بث » وحاشية « غ ، جح » : « أن يختضب »</w:t>
      </w:r>
      <w:r w:rsidR="00E3253D">
        <w:rPr>
          <w:rtl/>
        </w:rPr>
        <w:t>.</w:t>
      </w:r>
      <w:r w:rsidR="00E3253D" w:rsidRPr="005D642E">
        <w:rPr>
          <w:rtl/>
        </w:rPr>
        <w:t xml:space="preserve"> وفي « بخ » : « أن يخضب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6 ، ص 419 ، ح 4604 ؛ </w:t>
      </w:r>
      <w:r w:rsidR="00E3253D" w:rsidRPr="002F4D34">
        <w:rPr>
          <w:rStyle w:val="libFootnoteBoldChar"/>
          <w:rtl/>
        </w:rPr>
        <w:t>الوسائل</w:t>
      </w:r>
      <w:r w:rsidR="00E3253D" w:rsidRPr="005D642E">
        <w:rPr>
          <w:rtl/>
        </w:rPr>
        <w:t xml:space="preserve"> ، ج 2 ، ص 223 ، ح 1996.</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بث ، بس ، بف » وحاشية « ظ ، بح » </w:t>
      </w:r>
      <w:r w:rsidR="000D749A" w:rsidRPr="000D749A">
        <w:rPr>
          <w:rStyle w:val="libFootnoteBoldChar"/>
          <w:rtl/>
        </w:rPr>
        <w:t>والوافي</w:t>
      </w:r>
      <w:r w:rsidR="00E3253D" w:rsidRPr="005D642E">
        <w:rPr>
          <w:rtl/>
        </w:rPr>
        <w:t xml:space="preserve"> : « بأن يختضب »</w:t>
      </w:r>
      <w:r w:rsidR="00E3253D">
        <w:rPr>
          <w:rtl/>
        </w:rPr>
        <w:t>.</w:t>
      </w:r>
      <w:r w:rsidR="00E3253D" w:rsidRPr="005D642E">
        <w:rPr>
          <w:rtl/>
        </w:rPr>
        <w:t xml:space="preserve"> وفي « جس » : « بأن يخضب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بح » : + « وهو جنب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 « يجنب » بدون الواو. وفي « بف » : + « وهو جنب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 « الرجل »</w:t>
      </w:r>
      <w:r w:rsidR="00E3253D">
        <w:rPr>
          <w:rtl/>
        </w:rPr>
        <w:t>.</w:t>
      </w:r>
      <w:r w:rsidR="00E3253D" w:rsidRPr="005D642E">
        <w:rPr>
          <w:rtl/>
        </w:rPr>
        <w:t xml:space="preserve"> وقوله : « يتنوّر الجنب » ، أي يطّلي بالنورة ، وقد مضى معناه. راجع : </w:t>
      </w:r>
      <w:r w:rsidR="00E3253D" w:rsidRPr="002F4D34">
        <w:rPr>
          <w:rStyle w:val="libFootnoteBoldChar"/>
          <w:rtl/>
        </w:rPr>
        <w:t>المغرب</w:t>
      </w:r>
      <w:r w:rsidR="00E3253D" w:rsidRPr="005D642E">
        <w:rPr>
          <w:rtl/>
        </w:rPr>
        <w:t xml:space="preserve"> ، ص 470 ؛ </w:t>
      </w:r>
      <w:r w:rsidR="00E3253D" w:rsidRPr="002F4D34">
        <w:rPr>
          <w:rStyle w:val="libFootnoteBoldChar"/>
          <w:rtl/>
        </w:rPr>
        <w:t>المصباح المنير</w:t>
      </w:r>
      <w:r w:rsidR="00E3253D" w:rsidRPr="005D642E">
        <w:rPr>
          <w:rtl/>
        </w:rPr>
        <w:t xml:space="preserve"> ، ص 630 ( نور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ويذبح »</w:t>
      </w:r>
      <w:r w:rsidR="00E3253D">
        <w:rPr>
          <w:rtl/>
        </w:rPr>
        <w:t>.</w:t>
      </w:r>
      <w:r w:rsidR="00E3253D" w:rsidRPr="005D642E">
        <w:rPr>
          <w:rtl/>
        </w:rPr>
        <w:t xml:space="preserve"> وفي الاستبصار : + « ولا يدهن »</w:t>
      </w:r>
      <w:r w:rsidR="00E3253D">
        <w:rPr>
          <w:rtl/>
        </w:rPr>
        <w:t>.</w:t>
      </w:r>
    </w:p>
    <w:tbl>
      <w:tblPr>
        <w:tblStyle w:val="TableGrid"/>
        <w:bidiVisual/>
        <w:tblW w:w="0" w:type="auto"/>
        <w:tblLook w:val="04A0" w:firstRow="1" w:lastRow="0" w:firstColumn="1" w:lastColumn="0" w:noHBand="0" w:noVBand="1"/>
      </w:tblPr>
      <w:tblGrid>
        <w:gridCol w:w="4006"/>
        <w:gridCol w:w="4006"/>
      </w:tblGrid>
      <w:tr w:rsidR="009B21D3" w:rsidTr="009B21D3">
        <w:tc>
          <w:tcPr>
            <w:tcW w:w="4006" w:type="dxa"/>
          </w:tcPr>
          <w:p w:rsidR="009B21D3" w:rsidRDefault="009B21D3" w:rsidP="00E3253D">
            <w:pPr>
              <w:pStyle w:val="libFootnote0"/>
              <w:rPr>
                <w:rStyle w:val="libFootnote0Char"/>
                <w:rtl/>
              </w:rPr>
            </w:pPr>
            <w:r w:rsidRPr="0042621E">
              <w:rPr>
                <w:rStyle w:val="libFootnote0Char"/>
                <w:rtl/>
              </w:rPr>
              <w:t>(11).</w:t>
            </w:r>
            <w:r w:rsidRPr="005D642E">
              <w:rPr>
                <w:rtl/>
              </w:rPr>
              <w:t xml:space="preserve"> في الوسائل : + « الجنب »</w:t>
            </w:r>
            <w:r>
              <w:rPr>
                <w:rtl/>
              </w:rPr>
              <w:t>.</w:t>
            </w:r>
          </w:p>
        </w:tc>
        <w:tc>
          <w:tcPr>
            <w:tcW w:w="4006" w:type="dxa"/>
          </w:tcPr>
          <w:p w:rsidR="009B21D3" w:rsidRDefault="009B21D3" w:rsidP="00E3253D">
            <w:pPr>
              <w:pStyle w:val="libFootnote0"/>
              <w:rPr>
                <w:rStyle w:val="libFootnote0Char"/>
                <w:rtl/>
              </w:rPr>
            </w:pPr>
            <w:r w:rsidRPr="0042621E">
              <w:rPr>
                <w:rStyle w:val="libFootnote0Char"/>
                <w:rtl/>
              </w:rPr>
              <w:t>(12).</w:t>
            </w:r>
            <w:r w:rsidRPr="005D642E">
              <w:rPr>
                <w:rtl/>
              </w:rPr>
              <w:t xml:space="preserve"> في « جس » : « بدنه »</w:t>
            </w:r>
            <w:r>
              <w:rPr>
                <w:rtl/>
              </w:rPr>
              <w:t>.</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ظ » : « تخاف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 الوَضَحُ » : الضوء والبياض من كلّ شي‌ء. وقد يكنّى به عن البرص ، كما هاهنا. راجع : </w:t>
      </w:r>
      <w:r w:rsidR="00E3253D" w:rsidRPr="002F4D34">
        <w:rPr>
          <w:rStyle w:val="libFootnoteBoldChar"/>
          <w:rtl/>
        </w:rPr>
        <w:t>الصحاح</w:t>
      </w:r>
      <w:r w:rsidR="00E3253D" w:rsidRPr="005D642E">
        <w:rPr>
          <w:rtl/>
        </w:rPr>
        <w:t xml:space="preserve"> ، ج 1 ، ص 416 ؛ </w:t>
      </w:r>
      <w:r w:rsidR="00E3253D" w:rsidRPr="002F4D34">
        <w:rPr>
          <w:rStyle w:val="libFootnoteBoldChar"/>
          <w:rtl/>
        </w:rPr>
        <w:t>النهاية</w:t>
      </w:r>
      <w:r w:rsidR="00E3253D" w:rsidRPr="005D642E">
        <w:rPr>
          <w:rtl/>
        </w:rPr>
        <w:t xml:space="preserve"> ، ج 5 ، ص 195</w:t>
      </w:r>
      <w:r w:rsidR="00E3253D">
        <w:rPr>
          <w:rtl/>
        </w:rPr>
        <w:t xml:space="preserve"> </w:t>
      </w:r>
      <w:r w:rsidR="007642BC">
        <w:rPr>
          <w:rtl/>
        </w:rPr>
        <w:t>-</w:t>
      </w:r>
      <w:r w:rsidR="00E3253D">
        <w:rPr>
          <w:rtl/>
        </w:rPr>
        <w:t xml:space="preserve"> </w:t>
      </w:r>
      <w:r w:rsidR="00E3253D" w:rsidRPr="005D642E">
        <w:rPr>
          <w:rtl/>
        </w:rPr>
        <w:t>196 ( وضح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التهذيب</w:t>
      </w:r>
      <w:r w:rsidR="00E3253D" w:rsidRPr="005D642E">
        <w:rPr>
          <w:rtl/>
        </w:rPr>
        <w:t xml:space="preserve"> ، ج 1 ، ص 130 ، ح 357 ؛ </w:t>
      </w:r>
      <w:r w:rsidR="00E3253D" w:rsidRPr="00E678B5">
        <w:rPr>
          <w:rStyle w:val="libFootnoteBoldChar"/>
          <w:rtl/>
        </w:rPr>
        <w:t>والاستبصار</w:t>
      </w:r>
      <w:r w:rsidR="00E3253D" w:rsidRPr="005D642E">
        <w:rPr>
          <w:rtl/>
        </w:rPr>
        <w:t xml:space="preserve"> ، ج 1 ، ص 116 ، ح 391 ، معلّقاً عن عليّ بن إبراهيم. </w:t>
      </w:r>
      <w:r w:rsidR="00BE7E2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126" w:name="_Toc344647252"/>
      <w:bookmarkStart w:id="127" w:name="_Toc462226767"/>
      <w:bookmarkStart w:id="128" w:name="_Toc40975875"/>
      <w:r w:rsidRPr="005D642E">
        <w:rPr>
          <w:rtl/>
          <w:lang w:bidi="fa-IR"/>
        </w:rPr>
        <w:lastRenderedPageBreak/>
        <w:t>34</w:t>
      </w:r>
      <w:r>
        <w:rPr>
          <w:rtl/>
          <w:lang w:bidi="fa-IR"/>
        </w:rPr>
        <w:t xml:space="preserve"> </w:t>
      </w:r>
      <w:r w:rsidR="007642BC">
        <w:rPr>
          <w:rtl/>
          <w:lang w:bidi="fa-IR"/>
        </w:rPr>
        <w:t>-</w:t>
      </w:r>
      <w:r>
        <w:rPr>
          <w:rtl/>
          <w:lang w:bidi="fa-IR"/>
        </w:rPr>
        <w:t xml:space="preserve"> </w:t>
      </w:r>
      <w:r w:rsidRPr="005D642E">
        <w:rPr>
          <w:rtl/>
          <w:lang w:bidi="fa-IR"/>
        </w:rPr>
        <w:t xml:space="preserve">بَابُ الْجُنُبِ يَعْرَقُ فِي الثَّوْبِ أَوْ </w:t>
      </w:r>
      <w:r w:rsidRPr="007C12DB">
        <w:rPr>
          <w:rStyle w:val="libFootnotenumChar"/>
          <w:rtl/>
        </w:rPr>
        <w:t>(1)</w:t>
      </w:r>
      <w:r>
        <w:rPr>
          <w:rtl/>
        </w:rPr>
        <w:t xml:space="preserve"> </w:t>
      </w:r>
      <w:r w:rsidRPr="005D642E">
        <w:rPr>
          <w:rtl/>
          <w:lang w:bidi="fa-IR"/>
        </w:rPr>
        <w:t>يُصِيبُ جَسَدُهُ ثَوْبَهُ وَهُوَ رَطْبٌ‌</w:t>
      </w:r>
      <w:bookmarkEnd w:id="126"/>
      <w:bookmarkEnd w:id="127"/>
      <w:bookmarkEnd w:id="128"/>
    </w:p>
    <w:p w:rsidR="00E3253D" w:rsidRPr="005D642E" w:rsidRDefault="00E3253D" w:rsidP="00E3253D">
      <w:pPr>
        <w:pStyle w:val="libNormal"/>
        <w:rPr>
          <w:rtl/>
          <w:lang w:bidi="fa-IR"/>
        </w:rPr>
      </w:pPr>
      <w:r w:rsidRPr="007A39F1">
        <w:rPr>
          <w:rtl/>
        </w:rPr>
        <w:t>4056</w:t>
      </w:r>
      <w:r w:rsidRPr="00246318">
        <w:rPr>
          <w:rStyle w:val="libBold2Char"/>
          <w:rtl/>
        </w:rPr>
        <w:t xml:space="preserve"> / 1.</w:t>
      </w:r>
      <w:r w:rsidRPr="005D642E">
        <w:rPr>
          <w:rtl/>
          <w:lang w:bidi="fa-IR"/>
        </w:rPr>
        <w:t xml:space="preserve"> عَلِيُّ بْنُ إِبْرَاهِيمَ ، عَنْ أَبِيهِ </w:t>
      </w:r>
      <w:r w:rsidRPr="007C12DB">
        <w:rPr>
          <w:rStyle w:val="libFootnotenumChar"/>
          <w:rtl/>
        </w:rPr>
        <w:t>(2)</w:t>
      </w:r>
      <w:r w:rsidRPr="005D642E">
        <w:rPr>
          <w:rtl/>
          <w:lang w:bidi="fa-IR"/>
        </w:rPr>
        <w:t xml:space="preserve"> ، عَنِ ابْنِ أَبِي عُمَيْرٍ ، عَنِ ابْنِ أُذَيْنَةَ ، عَنْ أَبِي أُسَامَةَ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الْجُنُبِ يَعْرَقُ فِي ثَوْبِهِ ، أَوْ يَغْتَسِلُ </w:t>
      </w:r>
      <w:r w:rsidRPr="007C12DB">
        <w:rPr>
          <w:rStyle w:val="libFootnotenumChar"/>
          <w:rtl/>
        </w:rPr>
        <w:t>(3)</w:t>
      </w:r>
      <w:r w:rsidRPr="005D642E">
        <w:rPr>
          <w:rtl/>
          <w:lang w:bidi="fa-IR"/>
        </w:rPr>
        <w:t xml:space="preserve"> ، فَيُعَانِقُ امْرَأَتَهُ وَيُضَاجِعُهَا </w:t>
      </w:r>
      <w:r w:rsidRPr="007C12DB">
        <w:rPr>
          <w:rStyle w:val="libFootnotenumChar"/>
          <w:rtl/>
        </w:rPr>
        <w:t>(4)</w:t>
      </w:r>
      <w:r w:rsidRPr="005D642E">
        <w:rPr>
          <w:rtl/>
          <w:lang w:bidi="fa-IR"/>
        </w:rPr>
        <w:t xml:space="preserve"> وَهِيَ حَائِضٌ أَوْ جُنُبٌ ، فَيُصِيبُ جَسَدُهُ مِنْ عَرَقِهَا</w:t>
      </w:r>
      <w:r>
        <w:rPr>
          <w:rtl/>
          <w:lang w:bidi="fa-IR"/>
        </w:rPr>
        <w:t>؟</w:t>
      </w:r>
    </w:p>
    <w:p w:rsidR="00E3253D" w:rsidRPr="005D642E" w:rsidRDefault="00E3253D" w:rsidP="00E3253D">
      <w:pPr>
        <w:pStyle w:val="libNormal"/>
        <w:rPr>
          <w:rtl/>
          <w:lang w:bidi="fa-IR"/>
        </w:rPr>
      </w:pPr>
      <w:r w:rsidRPr="005D642E">
        <w:rPr>
          <w:rtl/>
          <w:lang w:bidi="fa-IR"/>
        </w:rPr>
        <w:t>قَالَ : « هذَا كُلُّهُ لَيْسَ بِشَيْ‌ءٍ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7A39F1">
        <w:rPr>
          <w:rtl/>
        </w:rPr>
        <w:t>4057</w:t>
      </w:r>
      <w:r w:rsidRPr="00246318">
        <w:rPr>
          <w:rStyle w:val="libBold2Char"/>
          <w:rtl/>
        </w:rPr>
        <w:t xml:space="preserve"> / 2.</w:t>
      </w:r>
      <w:r w:rsidRPr="005D642E">
        <w:rPr>
          <w:rtl/>
          <w:lang w:bidi="fa-IR"/>
        </w:rPr>
        <w:t xml:space="preserve"> عَلِيُّ بْنُ إِبْرَاهِيمَ ، عَنْ أَبِيهِ ، عَنِ ابْنِ أَبِي عُمَيْرٍ ، عَنْ جَمِيلِ بْنِ دَرَّاجٍ ، عَنْ أَبِي أُسَامَةَ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يُصِيبُنِي </w:t>
      </w:r>
      <w:r w:rsidRPr="007C12DB">
        <w:rPr>
          <w:rStyle w:val="libFootnotenumChar"/>
          <w:rtl/>
        </w:rPr>
        <w:t>(6)</w:t>
      </w:r>
      <w:r w:rsidRPr="005D642E">
        <w:rPr>
          <w:rtl/>
          <w:lang w:bidi="fa-IR"/>
        </w:rPr>
        <w:t xml:space="preserve"> السَّمَاءُ </w:t>
      </w:r>
      <w:r w:rsidRPr="007C12DB">
        <w:rPr>
          <w:rStyle w:val="libFootnotenumChar"/>
          <w:rtl/>
        </w:rPr>
        <w:t>(7)</w:t>
      </w:r>
      <w:r w:rsidRPr="005D642E">
        <w:rPr>
          <w:rtl/>
          <w:lang w:bidi="fa-IR"/>
        </w:rPr>
        <w:t xml:space="preserve"> وَعَلَيَّ ثَوْبٌ ، فَتَبُلُّهُ وَأَنَا جُنُبٌ ، فَيُصِيبُ بَعْضَ مَا أَصَا</w:t>
      </w:r>
      <w:r>
        <w:rPr>
          <w:rtl/>
          <w:lang w:bidi="fa-IR"/>
        </w:rPr>
        <w:t>بَ جَسَدِي مِنَ الْمَنِيِّ : أَ</w:t>
      </w:r>
      <w:r w:rsidRPr="005D642E">
        <w:rPr>
          <w:rtl/>
          <w:lang w:bidi="fa-IR"/>
        </w:rPr>
        <w:t xml:space="preserve">فَأُصَلِّي </w:t>
      </w:r>
      <w:r w:rsidRPr="007C12DB">
        <w:rPr>
          <w:rStyle w:val="libFootnotenumChar"/>
          <w:rtl/>
        </w:rPr>
        <w:t>(8)</w:t>
      </w:r>
      <w:r w:rsidRPr="005D642E">
        <w:rPr>
          <w:rtl/>
          <w:lang w:bidi="fa-IR"/>
        </w:rPr>
        <w:t xml:space="preserve"> فِيهِ</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B957D6" w:rsidP="00E3253D">
      <w:pPr>
        <w:pStyle w:val="libFootnote0"/>
        <w:rPr>
          <w:rtl/>
          <w:lang w:bidi="fa-IR"/>
        </w:rPr>
      </w:pPr>
      <w:r>
        <w:rPr>
          <w:rFonts w:hint="cs"/>
          <w:rtl/>
        </w:rPr>
        <w:t xml:space="preserve">= </w:t>
      </w:r>
      <w:r w:rsidR="00E3253D" w:rsidRPr="005D642E">
        <w:rPr>
          <w:rtl/>
        </w:rPr>
        <w:t xml:space="preserve">وفي </w:t>
      </w:r>
      <w:r w:rsidR="00E3253D" w:rsidRPr="002F4D34">
        <w:rPr>
          <w:rStyle w:val="libFootnoteBoldChar"/>
          <w:rtl/>
        </w:rPr>
        <w:t>الكافي</w:t>
      </w:r>
      <w:r w:rsidR="00E3253D" w:rsidRPr="005D642E">
        <w:rPr>
          <w:rtl/>
        </w:rPr>
        <w:t xml:space="preserve"> ، كتاب الذبائح ، باب ما ذبح لغير القبلة أو ترك التسمية والجنب يذبح ، ح 11405 ، بسند آخر ، وتمام الرواية هكذا : « لا بأس أن يذبح الرجل وهو جنب » </w:t>
      </w:r>
      <w:r w:rsidR="00610EAF">
        <w:rPr>
          <w:rFonts w:hint="cs"/>
          <w:rtl/>
        </w:rPr>
        <w:t>.</w:t>
      </w:r>
      <w:r w:rsidR="00E3253D" w:rsidRPr="002F4D34">
        <w:rPr>
          <w:rStyle w:val="libFootnoteBoldChar"/>
          <w:rtl/>
        </w:rPr>
        <w:t>الوافي</w:t>
      </w:r>
      <w:r w:rsidR="00E3253D" w:rsidRPr="005D642E">
        <w:rPr>
          <w:rtl/>
        </w:rPr>
        <w:t xml:space="preserve"> ، ج 6 ، ص 419 ، ح 4605 ؛ </w:t>
      </w:r>
      <w:r w:rsidR="00E3253D" w:rsidRPr="002F4D34">
        <w:rPr>
          <w:rStyle w:val="libFootnoteBoldChar"/>
          <w:rtl/>
        </w:rPr>
        <w:t>الوسائل</w:t>
      </w:r>
      <w:r w:rsidR="00E3253D" w:rsidRPr="005D642E">
        <w:rPr>
          <w:rtl/>
        </w:rPr>
        <w:t xml:space="preserve"> ، ج 2 ، ص 219 ، ح 1976 ، من قوله : « لايذوق شيئاً » ؛ </w:t>
      </w:r>
      <w:r w:rsidR="00E3253D" w:rsidRPr="002F4D34">
        <w:rPr>
          <w:rStyle w:val="libFootnoteBoldChar"/>
          <w:rtl/>
        </w:rPr>
        <w:t>وفيه</w:t>
      </w:r>
      <w:r w:rsidR="00E3253D" w:rsidRPr="005D642E">
        <w:rPr>
          <w:rtl/>
        </w:rPr>
        <w:t xml:space="preserve"> ، ص 224 ، ح 1997 ؛ وج 24 ، ص 32 ، ح 29911 ، تمام الرواية هكذا : « ولابأس أن يتنوّر الجنب ويحتجم ويذبح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جس » : « </w:t>
      </w:r>
      <w:r w:rsidR="00E3253D">
        <w:rPr>
          <w:rtl/>
        </w:rPr>
        <w:t>و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عن أبيه »</w:t>
      </w:r>
      <w:r w:rsidR="00E3253D">
        <w:rPr>
          <w:rtl/>
        </w:rPr>
        <w:t>.</w:t>
      </w:r>
      <w:r w:rsidR="00E3253D" w:rsidRPr="005D642E">
        <w:rPr>
          <w:rtl/>
        </w:rPr>
        <w:t xml:space="preserve"> ولكنّه مذكور في بعض نسخة المعتبرة.</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 « أو يغسل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 ح 2121 : « أو يضاجعها »</w:t>
      </w:r>
      <w:r w:rsidR="00E3253D">
        <w:rPr>
          <w:rtl/>
        </w:rPr>
        <w:t>.</w:t>
      </w:r>
      <w:r w:rsidR="00E3253D" w:rsidRPr="005D642E">
        <w:rPr>
          <w:rtl/>
        </w:rPr>
        <w:t xml:space="preserve"> </w:t>
      </w:r>
      <w:r w:rsidR="00E3253D">
        <w:rPr>
          <w:rtl/>
        </w:rPr>
        <w:t>و «</w:t>
      </w:r>
      <w:r w:rsidR="00E3253D" w:rsidRPr="005D642E">
        <w:rPr>
          <w:rtl/>
        </w:rPr>
        <w:t xml:space="preserve"> يضاجعها » : أي يضطجع معها ، أي ينوم معها ، أو استلقى ووضع جنبه معها بالأرض ، من اضطجع : نام. وقيل : استلقى ووضع جنبه بالأرض. راجع : </w:t>
      </w:r>
      <w:r w:rsidR="00E3253D" w:rsidRPr="002F4D34">
        <w:rPr>
          <w:rStyle w:val="libFootnoteBoldChar"/>
          <w:rtl/>
        </w:rPr>
        <w:t>لسان العرب</w:t>
      </w:r>
      <w:r w:rsidR="00E3253D" w:rsidRPr="005D642E">
        <w:rPr>
          <w:rtl/>
        </w:rPr>
        <w:t xml:space="preserve"> ، ج 8 ، ص 219 ؛ </w:t>
      </w:r>
      <w:r w:rsidR="00E3253D" w:rsidRPr="002F4D34">
        <w:rPr>
          <w:rStyle w:val="libFootnoteBoldChar"/>
          <w:rtl/>
        </w:rPr>
        <w:t>القاموس المحيط</w:t>
      </w:r>
      <w:r w:rsidR="00E3253D" w:rsidRPr="005D642E">
        <w:rPr>
          <w:rtl/>
        </w:rPr>
        <w:t xml:space="preserve"> ، ج 2 ، ص 993 ( ضجع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268 ، ح 786 ؛ </w:t>
      </w:r>
      <w:r w:rsidR="00E3253D" w:rsidRPr="00E678B5">
        <w:rPr>
          <w:rStyle w:val="libFootnoteBoldChar"/>
          <w:rtl/>
        </w:rPr>
        <w:t>والاستبصار</w:t>
      </w:r>
      <w:r w:rsidR="00E3253D" w:rsidRPr="005D642E">
        <w:rPr>
          <w:rtl/>
        </w:rPr>
        <w:t xml:space="preserve"> ، ج 1 ، ص 184 ، ح 644 ، بسندهما عن الكليني. </w:t>
      </w:r>
      <w:r w:rsidR="00E3253D" w:rsidRPr="002F4D34">
        <w:rPr>
          <w:rStyle w:val="libFootnoteBoldChar"/>
          <w:rtl/>
        </w:rPr>
        <w:t>الجعفريّات</w:t>
      </w:r>
      <w:r w:rsidR="00E3253D" w:rsidRPr="005D642E">
        <w:rPr>
          <w:rtl/>
        </w:rPr>
        <w:t xml:space="preserve"> ، ص 11 ، بسند آخر عن جعفر بن محمّد ، عن آبائه ، عن عليّ </w:t>
      </w:r>
      <w:r w:rsidR="00E3253D" w:rsidRPr="00610EAF">
        <w:rPr>
          <w:rStyle w:val="libFootnoteAlaemChar"/>
          <w:rtl/>
        </w:rPr>
        <w:t>عليهم‌السلام</w:t>
      </w:r>
      <w:r w:rsidR="00E3253D" w:rsidRPr="005D642E">
        <w:rPr>
          <w:rtl/>
        </w:rPr>
        <w:t xml:space="preserve"> مع اختلاف </w:t>
      </w:r>
      <w:r w:rsidR="00610EAF">
        <w:rPr>
          <w:rFonts w:hint="cs"/>
          <w:rtl/>
        </w:rPr>
        <w:t>.</w:t>
      </w:r>
      <w:r w:rsidR="00E3253D" w:rsidRPr="002F4D34">
        <w:rPr>
          <w:rStyle w:val="libFootnoteBoldChar"/>
          <w:rtl/>
        </w:rPr>
        <w:t>الوافي</w:t>
      </w:r>
      <w:r w:rsidR="00E3253D" w:rsidRPr="005D642E">
        <w:rPr>
          <w:rtl/>
        </w:rPr>
        <w:t xml:space="preserve"> ، ج 6 ، ص 169 ، ح 4018 ؛ </w:t>
      </w:r>
      <w:r w:rsidR="00E3253D" w:rsidRPr="002F4D34">
        <w:rPr>
          <w:rStyle w:val="libFootnoteBoldChar"/>
          <w:rtl/>
        </w:rPr>
        <w:t>الوسائل</w:t>
      </w:r>
      <w:r w:rsidR="00E3253D" w:rsidRPr="005D642E">
        <w:rPr>
          <w:rtl/>
        </w:rPr>
        <w:t xml:space="preserve"> ، ج 2 ، ص 267 ، ح 2121 ؛ وج 3 ، ص 444 ، ح 4123.</w:t>
      </w:r>
    </w:p>
    <w:tbl>
      <w:tblPr>
        <w:tblStyle w:val="TableGrid"/>
        <w:bidiVisual/>
        <w:tblW w:w="0" w:type="auto"/>
        <w:tblLook w:val="04A0" w:firstRow="1" w:lastRow="0" w:firstColumn="1" w:lastColumn="0" w:noHBand="0" w:noVBand="1"/>
      </w:tblPr>
      <w:tblGrid>
        <w:gridCol w:w="4006"/>
        <w:gridCol w:w="4006"/>
      </w:tblGrid>
      <w:tr w:rsidR="001F0E5F" w:rsidTr="001F0E5F">
        <w:tc>
          <w:tcPr>
            <w:tcW w:w="4006" w:type="dxa"/>
          </w:tcPr>
          <w:p w:rsidR="001F0E5F" w:rsidRDefault="001F0E5F" w:rsidP="00E3253D">
            <w:pPr>
              <w:pStyle w:val="libFootnote0"/>
              <w:rPr>
                <w:rStyle w:val="libFootnote0Char"/>
                <w:rtl/>
              </w:rPr>
            </w:pPr>
            <w:r w:rsidRPr="0042621E">
              <w:rPr>
                <w:rStyle w:val="libFootnote0Char"/>
                <w:rtl/>
              </w:rPr>
              <w:t>(6).</w:t>
            </w:r>
            <w:r w:rsidRPr="005D642E">
              <w:rPr>
                <w:rtl/>
              </w:rPr>
              <w:t xml:space="preserve"> في « بح ، بف ، جن » والوسائل : « تصيبني »</w:t>
            </w:r>
            <w:r>
              <w:rPr>
                <w:rtl/>
              </w:rPr>
              <w:t>.</w:t>
            </w:r>
          </w:p>
        </w:tc>
        <w:tc>
          <w:tcPr>
            <w:tcW w:w="4006" w:type="dxa"/>
          </w:tcPr>
          <w:p w:rsidR="001F0E5F" w:rsidRDefault="001F0E5F" w:rsidP="00E3253D">
            <w:pPr>
              <w:pStyle w:val="libFootnote0"/>
              <w:rPr>
                <w:rStyle w:val="libFootnote0Char"/>
                <w:rtl/>
              </w:rPr>
            </w:pPr>
            <w:r w:rsidRPr="0042621E">
              <w:rPr>
                <w:rStyle w:val="libFootnote0Char"/>
                <w:rtl/>
              </w:rPr>
              <w:t>(7).</w:t>
            </w:r>
            <w:r w:rsidR="007162DA">
              <w:rPr>
                <w:rtl/>
              </w:rPr>
              <w:t xml:space="preserve"> في «بف»:+«بالمطر</w:t>
            </w:r>
            <w:r w:rsidRPr="005D642E">
              <w:rPr>
                <w:rtl/>
              </w:rPr>
              <w:t>»</w:t>
            </w:r>
            <w:r>
              <w:rPr>
                <w:rtl/>
              </w:rPr>
              <w:t>.</w:t>
            </w:r>
            <w:r w:rsidRPr="005D642E">
              <w:rPr>
                <w:rtl/>
              </w:rPr>
              <w:t xml:space="preserve"> وفي « جس » : « الماء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جن » : « فا</w:t>
      </w:r>
      <w:r w:rsidR="003832B1">
        <w:rPr>
          <w:rFonts w:hint="cs"/>
          <w:rtl/>
        </w:rPr>
        <w:t>ُ</w:t>
      </w:r>
      <w:r w:rsidR="00E3253D" w:rsidRPr="005D642E">
        <w:rPr>
          <w:rtl/>
        </w:rPr>
        <w:t>صلّي » من دون همزة الاستفهام.</w:t>
      </w:r>
    </w:p>
    <w:p w:rsidR="00E3253D" w:rsidRDefault="00E3253D" w:rsidP="00E3253D">
      <w:pPr>
        <w:pStyle w:val="libNormal"/>
        <w:rPr>
          <w:rtl/>
          <w:lang w:bidi="fa-IR"/>
        </w:rPr>
      </w:pPr>
      <w:r>
        <w:rPr>
          <w:rtl/>
          <w:lang w:bidi="fa-IR"/>
        </w:rPr>
        <w:br w:type="page"/>
      </w:r>
    </w:p>
    <w:p w:rsidR="00E3253D" w:rsidRPr="005D642E" w:rsidRDefault="00E3253D" w:rsidP="003832B1">
      <w:pPr>
        <w:pStyle w:val="libNormal"/>
        <w:rPr>
          <w:rtl/>
          <w:lang w:bidi="fa-IR"/>
        </w:rPr>
      </w:pPr>
      <w:r w:rsidRPr="005D642E">
        <w:rPr>
          <w:rtl/>
          <w:lang w:bidi="fa-IR"/>
        </w:rPr>
        <w:lastRenderedPageBreak/>
        <w:t xml:space="preserve">قَالَ : « نَعَمْ » </w:t>
      </w:r>
      <w:r w:rsidRPr="007C12DB">
        <w:rPr>
          <w:rStyle w:val="libFootnotenumChar"/>
          <w:rtl/>
        </w:rPr>
        <w:t>(1)</w:t>
      </w:r>
      <w:r w:rsidR="003832B1" w:rsidRPr="003832B1">
        <w:rPr>
          <w:rFonts w:hint="cs"/>
          <w:rtl/>
        </w:rPr>
        <w:t>.</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A272A6">
        <w:rPr>
          <w:rtl/>
        </w:rPr>
        <w:t>4058</w:t>
      </w:r>
      <w:r w:rsidRPr="00246318">
        <w:rPr>
          <w:rStyle w:val="libBold2Char"/>
          <w:rtl/>
        </w:rPr>
        <w:t xml:space="preserve"> / 3.</w:t>
      </w:r>
      <w:r w:rsidRPr="005D642E">
        <w:rPr>
          <w:rtl/>
          <w:lang w:bidi="fa-IR"/>
        </w:rPr>
        <w:t xml:space="preserve"> عِدَّةٌ مِنْ أَصْحَابِنَا ، عَنْ أَحْمَدَ بْنِ مُحَمَّدٍ ، عَنِ الْحُسَيْنِ بْنِ سَعِيدٍ ، عَنِ الْقَاسِمِ بْنِ مُحَمَّدٍ ، عَنْ عَلِيِّ بْنِ أَبِي حَمْزَةَ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Pr>
          <w:rtl/>
          <w:lang w:bidi="fa-IR"/>
        </w:rPr>
        <w:t xml:space="preserve"> </w:t>
      </w:r>
      <w:r w:rsidR="007642BC">
        <w:rPr>
          <w:rtl/>
          <w:lang w:bidi="fa-IR"/>
        </w:rPr>
        <w:t>-</w:t>
      </w:r>
      <w:r>
        <w:rPr>
          <w:rtl/>
          <w:lang w:bidi="fa-IR"/>
        </w:rPr>
        <w:t xml:space="preserve"> </w:t>
      </w:r>
      <w:r w:rsidRPr="005D642E">
        <w:rPr>
          <w:rtl/>
          <w:lang w:bidi="fa-IR"/>
        </w:rPr>
        <w:t>وَأَنَا حَاضِرٌ</w:t>
      </w:r>
      <w:r>
        <w:rPr>
          <w:rtl/>
          <w:lang w:bidi="fa-IR"/>
        </w:rPr>
        <w:t xml:space="preserve"> </w:t>
      </w:r>
      <w:r w:rsidR="007642BC">
        <w:rPr>
          <w:rtl/>
          <w:lang w:bidi="fa-IR"/>
        </w:rPr>
        <w:t>-</w:t>
      </w:r>
      <w:r>
        <w:rPr>
          <w:rtl/>
          <w:lang w:bidi="fa-IR"/>
        </w:rPr>
        <w:t xml:space="preserve"> </w:t>
      </w:r>
      <w:r w:rsidRPr="005D642E">
        <w:rPr>
          <w:rtl/>
          <w:lang w:bidi="fa-IR"/>
        </w:rPr>
        <w:t xml:space="preserve">عَنْ رَجُلٍ أَجْنَبَ فِي ثَوْبِهِ </w:t>
      </w:r>
      <w:r w:rsidRPr="007C12DB">
        <w:rPr>
          <w:rStyle w:val="libFootnotenumChar"/>
          <w:rtl/>
        </w:rPr>
        <w:t>(3)</w:t>
      </w:r>
      <w:r w:rsidRPr="005D642E">
        <w:rPr>
          <w:rtl/>
          <w:lang w:bidi="fa-IR"/>
        </w:rPr>
        <w:t xml:space="preserve"> ، فَيَعْرَقُ فِيهِ</w:t>
      </w:r>
      <w:r>
        <w:rPr>
          <w:rtl/>
          <w:lang w:bidi="fa-IR"/>
        </w:rPr>
        <w:t>؟</w:t>
      </w:r>
    </w:p>
    <w:p w:rsidR="00E3253D" w:rsidRPr="005D642E" w:rsidRDefault="00E3253D" w:rsidP="00E3253D">
      <w:pPr>
        <w:pStyle w:val="libNormal"/>
        <w:rPr>
          <w:rtl/>
          <w:lang w:bidi="fa-IR"/>
        </w:rPr>
      </w:pPr>
      <w:r w:rsidRPr="005D642E">
        <w:rPr>
          <w:rtl/>
          <w:lang w:bidi="fa-IR"/>
        </w:rPr>
        <w:t xml:space="preserve">فَقَالَ : « مَا </w:t>
      </w:r>
      <w:r w:rsidRPr="007C12DB">
        <w:rPr>
          <w:rStyle w:val="libFootnotenumChar"/>
          <w:rtl/>
        </w:rPr>
        <w:t>(4)</w:t>
      </w:r>
      <w:r w:rsidRPr="005D642E">
        <w:rPr>
          <w:rtl/>
          <w:lang w:bidi="fa-IR"/>
        </w:rPr>
        <w:t xml:space="preserve"> أَرى بِهِ </w:t>
      </w:r>
      <w:r w:rsidRPr="007C12DB">
        <w:rPr>
          <w:rStyle w:val="libFootnotenumChar"/>
          <w:rtl/>
        </w:rPr>
        <w:t>(5)</w:t>
      </w:r>
      <w:r w:rsidRPr="005D642E">
        <w:rPr>
          <w:rtl/>
          <w:lang w:bidi="fa-IR"/>
        </w:rPr>
        <w:t xml:space="preserve"> بَأْساً »</w:t>
      </w:r>
      <w:r>
        <w:rPr>
          <w:rtl/>
          <w:lang w:bidi="fa-IR"/>
        </w:rPr>
        <w:t>.</w:t>
      </w:r>
    </w:p>
    <w:p w:rsidR="00E3253D" w:rsidRPr="005D642E" w:rsidRDefault="00E3253D" w:rsidP="00E3253D">
      <w:pPr>
        <w:pStyle w:val="libNormal"/>
        <w:rPr>
          <w:rtl/>
          <w:lang w:bidi="fa-IR"/>
        </w:rPr>
      </w:pPr>
      <w:r w:rsidRPr="005D642E">
        <w:rPr>
          <w:rtl/>
          <w:lang w:bidi="fa-IR"/>
        </w:rPr>
        <w:t xml:space="preserve">فَقِيلَ </w:t>
      </w:r>
      <w:r w:rsidRPr="007C12DB">
        <w:rPr>
          <w:rStyle w:val="libFootnotenumChar"/>
          <w:rtl/>
        </w:rPr>
        <w:t>(6)</w:t>
      </w:r>
      <w:r w:rsidRPr="005D642E">
        <w:rPr>
          <w:rtl/>
          <w:lang w:bidi="fa-IR"/>
        </w:rPr>
        <w:t xml:space="preserve"> : إِنَّهُ يَعْرَقُ حَتّى </w:t>
      </w:r>
      <w:r w:rsidRPr="007C12DB">
        <w:rPr>
          <w:rStyle w:val="libFootnotenumChar"/>
          <w:rtl/>
        </w:rPr>
        <w:t>(7)</w:t>
      </w:r>
      <w:r w:rsidRPr="005D642E">
        <w:rPr>
          <w:rtl/>
          <w:lang w:bidi="fa-IR"/>
        </w:rPr>
        <w:t xml:space="preserve"> لَوْ شَاءَ أَنْ يَعْصِرَهُ ، عَصَرَهُ </w:t>
      </w:r>
      <w:r w:rsidRPr="007C12DB">
        <w:rPr>
          <w:rStyle w:val="libFootnotenumChar"/>
          <w:rtl/>
        </w:rPr>
        <w:t>(8)</w:t>
      </w:r>
    </w:p>
    <w:p w:rsidR="00E3253D" w:rsidRPr="005D642E" w:rsidRDefault="00E3253D" w:rsidP="00E3253D">
      <w:pPr>
        <w:pStyle w:val="libNormal"/>
        <w:rPr>
          <w:rtl/>
          <w:lang w:bidi="fa-IR"/>
        </w:rPr>
      </w:pPr>
      <w:r w:rsidRPr="005D642E">
        <w:rPr>
          <w:rtl/>
          <w:lang w:bidi="fa-IR"/>
        </w:rPr>
        <w:t xml:space="preserve">قَالَ : فَقَطَّبَ </w:t>
      </w:r>
      <w:r w:rsidRPr="007C12DB">
        <w:rPr>
          <w:rStyle w:val="libFootnotenumChar"/>
          <w:rtl/>
        </w:rPr>
        <w:t>(9)</w:t>
      </w:r>
      <w:r w:rsidRPr="005D642E">
        <w:rPr>
          <w:rtl/>
          <w:lang w:bidi="fa-IR"/>
        </w:rPr>
        <w:t xml:space="preserve"> أَبُو عَبْدِ اللهِ </w:t>
      </w:r>
      <w:r w:rsidRPr="00AC51C5">
        <w:rPr>
          <w:rStyle w:val="libAlaemChar"/>
          <w:rtl/>
        </w:rPr>
        <w:t>عليه‌السلام</w:t>
      </w:r>
      <w:r w:rsidRPr="005D642E">
        <w:rPr>
          <w:rtl/>
          <w:lang w:bidi="fa-IR"/>
        </w:rPr>
        <w:t xml:space="preserve"> فِي وَجْهِ الرَّجُلِ ، وَ</w:t>
      </w:r>
      <w:r>
        <w:rPr>
          <w:rFonts w:hint="cs"/>
          <w:rtl/>
          <w:lang w:bidi="fa-IR"/>
        </w:rPr>
        <w:t xml:space="preserve"> </w:t>
      </w:r>
      <w:r w:rsidRPr="007C12DB">
        <w:rPr>
          <w:rStyle w:val="libFootnotenumChar"/>
          <w:rtl/>
        </w:rPr>
        <w:t>(10)</w:t>
      </w:r>
      <w:r w:rsidRPr="005D642E">
        <w:rPr>
          <w:rtl/>
          <w:lang w:bidi="fa-IR"/>
        </w:rPr>
        <w:t xml:space="preserve"> قَالَ : « إِنْ </w:t>
      </w:r>
      <w:r w:rsidRPr="007C12DB">
        <w:rPr>
          <w:rStyle w:val="libFootnotenumChar"/>
          <w:rtl/>
        </w:rPr>
        <w:t>(11)</w:t>
      </w:r>
      <w:r w:rsidRPr="005D642E">
        <w:rPr>
          <w:rtl/>
          <w:lang w:bidi="fa-IR"/>
        </w:rPr>
        <w:t xml:space="preserve"> أَبَيْتُمْ ، فَشَيْ‌ءٌ </w:t>
      </w:r>
      <w:r w:rsidRPr="007C12DB">
        <w:rPr>
          <w:rStyle w:val="libFootnotenumChar"/>
          <w:rtl/>
        </w:rPr>
        <w:t>(12)</w:t>
      </w:r>
      <w:r w:rsidRPr="005D642E">
        <w:rPr>
          <w:rtl/>
          <w:lang w:bidi="fa-IR"/>
        </w:rPr>
        <w:t xml:space="preserve"> مِنْ‌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ج 13 ، ص 153 : « الحديث</w:t>
      </w:r>
      <w:r w:rsidR="00E3253D">
        <w:rPr>
          <w:rtl/>
        </w:rPr>
        <w:t xml:space="preserve"> ..</w:t>
      </w:r>
      <w:r w:rsidR="00E3253D" w:rsidRPr="005D642E">
        <w:rPr>
          <w:rtl/>
        </w:rPr>
        <w:t xml:space="preserve">. حمل على ما إذا لم يعلم أنّ خصوص الموضع الذي أصاب النجس رطب ، أو لم تكن الرطوبة بحدّ تسري النجاسة إليه بها ، أو على التقيّة لمساهلتهم في أمر المنيّ كثيراً. وكذا في الخبر الثالث وإن لم يكن قوله </w:t>
      </w:r>
      <w:r w:rsidR="00E3253D" w:rsidRPr="00726F5F">
        <w:rPr>
          <w:rStyle w:val="libFootnoteAlaemChar"/>
          <w:rtl/>
        </w:rPr>
        <w:t>عليه‌السلام</w:t>
      </w:r>
      <w:r w:rsidR="00E3253D" w:rsidRPr="005D642E">
        <w:rPr>
          <w:rtl/>
        </w:rPr>
        <w:t xml:space="preserve"> صريحاً في كون المنيّ فيه ، وقس عليهما الأخبار الا</w:t>
      </w:r>
      <w:r w:rsidR="00726F5F">
        <w:rPr>
          <w:rFonts w:hint="cs"/>
          <w:rtl/>
        </w:rPr>
        <w:t>ُ</w:t>
      </w:r>
      <w:r w:rsidR="00E3253D" w:rsidRPr="005D642E">
        <w:rPr>
          <w:rtl/>
        </w:rPr>
        <w:t>خرى ، فتأمّل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6 ، ص 166 ، ح 4013 ؛ </w:t>
      </w:r>
      <w:r w:rsidR="00E3253D" w:rsidRPr="002F4D34">
        <w:rPr>
          <w:rStyle w:val="libFootnoteBoldChar"/>
          <w:rtl/>
        </w:rPr>
        <w:t>الوسائل</w:t>
      </w:r>
      <w:r w:rsidR="00E3253D" w:rsidRPr="005D642E">
        <w:rPr>
          <w:rtl/>
        </w:rPr>
        <w:t xml:space="preserve"> ، ج 3 ، ص 445 ، ح 4125.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الوافي</w:t>
      </w:r>
      <w:r w:rsidR="00E3253D" w:rsidRPr="005D642E">
        <w:rPr>
          <w:rtl/>
        </w:rPr>
        <w:t xml:space="preserve"> : « أجنب في ثوبه ، يحتمل معنيين : أحدهما أن لا يكون قد أصابه المنيّ بل إنّما جامع فيه ، فيكون سؤالاً عن عرق الجنب وسراية خبث الحدث من البدن إلى الثوب. والآخر أن يكون قد أصابه المنيّ ، فيكون سؤالاً عن سراية الخبث منه إلى البدن. والمعنى الأوّل أظهر بقرينة ذكر العرق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قال : لا » بدل « فقال : ما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 فيه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ى ، جس » وحاشية « بخ ، بس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قال »</w:t>
      </w:r>
      <w:r w:rsidR="00E3253D">
        <w:rPr>
          <w:rtl/>
        </w:rPr>
        <w:t>.</w:t>
      </w:r>
      <w:r w:rsidR="00E3253D" w:rsidRPr="005D642E">
        <w:rPr>
          <w:rtl/>
        </w:rPr>
        <w:t xml:space="preserve"> وفي الوافي : + « له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 إنّه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الاستبصار : « لعصره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قطب من باب ضرب قطباً وقُطُوباً ، وقطّب تقطيباً ، أي قبض وجمع ما بين عينيه كما يفعله العبوس ، قاله‌الخليل وابن الأثير. وأمّا الجوهري فإنّه قال : « وتقول أيضاً : قَطَبَ بين عينيه ، أي جمع فهو رجل قَطوب. وقطّب وجهه تقطيباً ، أي عبس »</w:t>
      </w:r>
      <w:r w:rsidR="00E3253D">
        <w:rPr>
          <w:rtl/>
        </w:rPr>
        <w:t>.</w:t>
      </w:r>
      <w:r w:rsidR="00E3253D" w:rsidRPr="005D642E">
        <w:rPr>
          <w:rtl/>
        </w:rPr>
        <w:t xml:space="preserve"> راجع : </w:t>
      </w:r>
      <w:r w:rsidR="00E3253D" w:rsidRPr="002F4D34">
        <w:rPr>
          <w:rStyle w:val="libFootnoteBoldChar"/>
          <w:rtl/>
        </w:rPr>
        <w:t>ترتيب كتاب العين</w:t>
      </w:r>
      <w:r w:rsidR="00E3253D" w:rsidRPr="005D642E">
        <w:rPr>
          <w:rtl/>
        </w:rPr>
        <w:t xml:space="preserve"> ، ج 3 ، ص 1490 ؛ </w:t>
      </w:r>
      <w:r w:rsidR="00E3253D" w:rsidRPr="002F4D34">
        <w:rPr>
          <w:rStyle w:val="libFootnoteBoldChar"/>
          <w:rtl/>
        </w:rPr>
        <w:t>الصحاح</w:t>
      </w:r>
      <w:r w:rsidR="00E3253D" w:rsidRPr="005D642E">
        <w:rPr>
          <w:rtl/>
        </w:rPr>
        <w:t xml:space="preserve"> ، ج 1 ، ص 204 ؛ </w:t>
      </w:r>
      <w:r w:rsidR="00E3253D" w:rsidRPr="002F4D34">
        <w:rPr>
          <w:rStyle w:val="libFootnoteBoldChar"/>
          <w:rtl/>
        </w:rPr>
        <w:t>النهاية</w:t>
      </w:r>
      <w:r w:rsidR="00E3253D" w:rsidRPr="005D642E">
        <w:rPr>
          <w:rtl/>
        </w:rPr>
        <w:t xml:space="preserve"> ، ج 4 ، ص 79 ( قطب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الاستبصار :</w:t>
      </w:r>
      <w:r w:rsidR="00E3253D">
        <w:rPr>
          <w:rtl/>
        </w:rPr>
        <w:t xml:space="preserve"> </w:t>
      </w:r>
      <w:r w:rsidR="007642BC">
        <w:rPr>
          <w:rtl/>
        </w:rPr>
        <w:t>-</w:t>
      </w:r>
      <w:r w:rsidR="00E3253D">
        <w:rPr>
          <w:rtl/>
        </w:rPr>
        <w:t xml:space="preserve"> </w:t>
      </w:r>
      <w:r w:rsidR="00E3253D" w:rsidRPr="005D642E">
        <w:rPr>
          <w:rtl/>
        </w:rPr>
        <w:t xml:space="preserve">« في وجه الرجل </w:t>
      </w:r>
      <w:r w:rsidR="00E3253D">
        <w:rPr>
          <w:rtl/>
        </w:rPr>
        <w:t>و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جح » : « إذا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جس » : « شي‌ء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مَاءٍ يَنْضَحُهُ بِهِ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9D4864">
        <w:rPr>
          <w:rtl/>
        </w:rPr>
        <w:t>4059</w:t>
      </w:r>
      <w:r w:rsidRPr="00246318">
        <w:rPr>
          <w:rStyle w:val="libBold2Char"/>
          <w:rtl/>
        </w:rPr>
        <w:t xml:space="preserve"> / 4.</w:t>
      </w:r>
      <w:r w:rsidRPr="005D642E">
        <w:rPr>
          <w:rtl/>
          <w:lang w:bidi="fa-IR"/>
        </w:rPr>
        <w:t xml:space="preserve"> مُحَمَّدُ بْنُ يَحْيى ، عَنْ أَحْمَدَ بْنِ مُحَمَّدٍ ، عَنِ ابْنِ فَضَّالٍ ، عَنِ ابْنِ بُكَيْرٍ ، عَنْ</w:t>
      </w:r>
      <w:r>
        <w:rPr>
          <w:rFonts w:hint="cs"/>
          <w:rtl/>
          <w:lang w:bidi="fa-IR"/>
        </w:rPr>
        <w:t xml:space="preserve"> </w:t>
      </w:r>
      <w:r w:rsidRPr="005D642E">
        <w:rPr>
          <w:rtl/>
          <w:lang w:bidi="fa-IR"/>
        </w:rPr>
        <w:t>حَمْزَةَ بْنِ حُمْرَانَ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يُجْنِبُ الثَّوْبُ الرَّجُلَ ، وَلَايُجْنِبُ الرَّجُلُ الثَّوْبَ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9D4864">
        <w:rPr>
          <w:rtl/>
        </w:rPr>
        <w:t>4060</w:t>
      </w:r>
      <w:r w:rsidRPr="00246318">
        <w:rPr>
          <w:rStyle w:val="libBold2Char"/>
          <w:rtl/>
        </w:rPr>
        <w:t xml:space="preserve"> / 5.</w:t>
      </w:r>
      <w:r w:rsidRPr="005D642E">
        <w:rPr>
          <w:rtl/>
          <w:lang w:bidi="fa-IR"/>
        </w:rPr>
        <w:t xml:space="preserve"> مُحَمَّدُ بْنُ يَحْيى </w:t>
      </w:r>
      <w:r w:rsidRPr="007C12DB">
        <w:rPr>
          <w:rStyle w:val="libFootnotenumChar"/>
          <w:rtl/>
        </w:rPr>
        <w:t>(5)</w:t>
      </w:r>
      <w:r w:rsidRPr="005D642E">
        <w:rPr>
          <w:rtl/>
          <w:lang w:bidi="fa-IR"/>
        </w:rPr>
        <w:t xml:space="preserve"> ، عَنْ أَحْمَدَ بْنِ مُحَمَّدٍ ، عَنِ ابْنِ فَضَّالٍ ، عَنِ ابْنِ بُكَيْرٍ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بث ، بح ، بف ، جح ، جن » وحاشية « بس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فانضحه به »</w:t>
      </w:r>
      <w:r w:rsidR="00E3253D">
        <w:rPr>
          <w:rtl/>
        </w:rPr>
        <w:t>.</w:t>
      </w:r>
      <w:r w:rsidR="00E3253D" w:rsidRPr="005D642E">
        <w:rPr>
          <w:rtl/>
        </w:rPr>
        <w:t xml:space="preserve"> وفي حاشية « بح » : « فانتضحه به »</w:t>
      </w:r>
      <w:r w:rsidR="00E3253D">
        <w:rPr>
          <w:rtl/>
        </w:rPr>
        <w:t>.</w:t>
      </w:r>
      <w:r w:rsidR="00E3253D" w:rsidRPr="005D642E">
        <w:rPr>
          <w:rtl/>
        </w:rPr>
        <w:t xml:space="preserve"> </w:t>
      </w:r>
      <w:r w:rsidR="00E3253D">
        <w:rPr>
          <w:rtl/>
        </w:rPr>
        <w:t>و «</w:t>
      </w:r>
      <w:r w:rsidR="00E3253D" w:rsidRPr="005D642E">
        <w:rPr>
          <w:rtl/>
        </w:rPr>
        <w:t xml:space="preserve"> النَضْح » : البلّ بالماء ، والرشّ. راجع : </w:t>
      </w:r>
      <w:r w:rsidR="00E3253D" w:rsidRPr="002F4D34">
        <w:rPr>
          <w:rStyle w:val="libFootnoteBoldChar"/>
          <w:rtl/>
        </w:rPr>
        <w:t>النهاية</w:t>
      </w:r>
      <w:r w:rsidR="00E3253D" w:rsidRPr="005D642E">
        <w:rPr>
          <w:rtl/>
        </w:rPr>
        <w:t xml:space="preserve"> ، ج 5 ، ص 69 ؛ </w:t>
      </w:r>
      <w:r w:rsidR="00E3253D" w:rsidRPr="002F4D34">
        <w:rPr>
          <w:rStyle w:val="libFootnoteBoldChar"/>
          <w:rtl/>
        </w:rPr>
        <w:t>المصباح المنير</w:t>
      </w:r>
      <w:r w:rsidR="00E3253D" w:rsidRPr="005D642E">
        <w:rPr>
          <w:rtl/>
        </w:rPr>
        <w:t xml:space="preserve"> ، ص 609 ( نضح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268 ، ح 787 ؛ </w:t>
      </w:r>
      <w:r w:rsidR="00E3253D" w:rsidRPr="00E678B5">
        <w:rPr>
          <w:rStyle w:val="libFootnoteBoldChar"/>
          <w:rtl/>
        </w:rPr>
        <w:t>والاستبصار</w:t>
      </w:r>
      <w:r w:rsidR="00E3253D" w:rsidRPr="005D642E">
        <w:rPr>
          <w:rtl/>
        </w:rPr>
        <w:t xml:space="preserve"> ، ج 1 ، ص 185 ، ح 645 ، بسندهما عن الكليني </w:t>
      </w:r>
      <w:r w:rsidR="00787C26">
        <w:rPr>
          <w:rFonts w:hint="cs"/>
          <w:rtl/>
        </w:rPr>
        <w:t>.</w:t>
      </w:r>
      <w:r w:rsidR="00E3253D" w:rsidRPr="002F4D34">
        <w:rPr>
          <w:rStyle w:val="libFootnoteBoldChar"/>
          <w:rtl/>
        </w:rPr>
        <w:t>الوافي</w:t>
      </w:r>
      <w:r w:rsidR="00E3253D" w:rsidRPr="005D642E">
        <w:rPr>
          <w:rtl/>
        </w:rPr>
        <w:t xml:space="preserve"> ، ج 6 ، ص 169 ، ح 4019 ؛ </w:t>
      </w:r>
      <w:r w:rsidR="00E3253D" w:rsidRPr="002F4D34">
        <w:rPr>
          <w:rStyle w:val="libFootnoteBoldChar"/>
          <w:rtl/>
        </w:rPr>
        <w:t>الوسائل</w:t>
      </w:r>
      <w:r w:rsidR="00E3253D" w:rsidRPr="005D642E">
        <w:rPr>
          <w:rtl/>
        </w:rPr>
        <w:t xml:space="preserve"> ، ج 3 ، ص 445 ، ح 4126.</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الوافي</w:t>
      </w:r>
      <w:r w:rsidR="00E3253D" w:rsidRPr="005D642E">
        <w:rPr>
          <w:rtl/>
        </w:rPr>
        <w:t xml:space="preserve"> : « يعني لا يسري خبث المنيّ من الثوب إلى الرجل ، ولا حدث الجنابة من الرجل إلى الثوب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787C26">
        <w:rPr>
          <w:rStyle w:val="libFootnoteAlaemChar"/>
          <w:rtl/>
        </w:rPr>
        <w:t>عليه‌السلام</w:t>
      </w:r>
      <w:r w:rsidR="00E3253D" w:rsidRPr="005D642E">
        <w:rPr>
          <w:rtl/>
        </w:rPr>
        <w:t xml:space="preserve"> : لايجنب الثوب الرجل ، لعلّ المراد به الثوب الذي ع</w:t>
      </w:r>
      <w:r w:rsidR="003231D5">
        <w:rPr>
          <w:rtl/>
        </w:rPr>
        <w:t>رق فيه الجنب. وقال الوالد العل</w:t>
      </w:r>
      <w:r w:rsidR="003231D5">
        <w:rPr>
          <w:rFonts w:hint="cs"/>
          <w:rtl/>
        </w:rPr>
        <w:t>ّ</w:t>
      </w:r>
      <w:r w:rsidR="003231D5">
        <w:rPr>
          <w:rtl/>
        </w:rPr>
        <w:t>ا</w:t>
      </w:r>
      <w:r w:rsidR="00E3253D" w:rsidRPr="005D642E">
        <w:rPr>
          <w:rtl/>
        </w:rPr>
        <w:t xml:space="preserve">مة </w:t>
      </w:r>
      <w:r w:rsidR="00E3253D" w:rsidRPr="00787C26">
        <w:rPr>
          <w:rStyle w:val="libFootnoteAlaemChar"/>
          <w:rtl/>
        </w:rPr>
        <w:t>قدس‌سره</w:t>
      </w:r>
      <w:r w:rsidR="00E3253D" w:rsidRPr="005D642E">
        <w:rPr>
          <w:rtl/>
        </w:rPr>
        <w:t xml:space="preserve"> : أي لاينجّسه بحسب الظاهر ، فإمّا محمول على التقيّة لموافقته لمذهب كثير من العامّة من طهارة المنيّ ، أو على العرق القليل الذي لا يسري ، وإمّا على أنّه لايصيّره جنباً حتّى يجب عليه الغسل ، ولا يجنب الرجل الثوب ، أي عرق الجنب ليس بنجس حتّى يجب منه غسل الثوب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268 ، ح 788 ؛ </w:t>
      </w:r>
      <w:r w:rsidR="00E3253D" w:rsidRPr="00E678B5">
        <w:rPr>
          <w:rStyle w:val="libFootnoteBoldChar"/>
          <w:rtl/>
        </w:rPr>
        <w:t>والاستبصار</w:t>
      </w:r>
      <w:r w:rsidR="00E3253D" w:rsidRPr="005D642E">
        <w:rPr>
          <w:rtl/>
        </w:rPr>
        <w:t xml:space="preserve"> ، ج 1 ، ص 185 ، ح 646 ، بسندهما عن الكليني. </w:t>
      </w:r>
      <w:r w:rsidR="00E3253D" w:rsidRPr="002F4D34">
        <w:rPr>
          <w:rStyle w:val="libFootnoteBoldChar"/>
          <w:rtl/>
        </w:rPr>
        <w:t>الفقيه</w:t>
      </w:r>
      <w:r w:rsidR="00E3253D" w:rsidRPr="005D642E">
        <w:rPr>
          <w:rtl/>
        </w:rPr>
        <w:t xml:space="preserve"> ، ج 1 ، ص 66 ، ح 151 ، معلّقاً عن عبدالله بن بكير ، عن أبي عبدالله </w:t>
      </w:r>
      <w:r w:rsidR="00E3253D" w:rsidRPr="00787C26">
        <w:rPr>
          <w:rStyle w:val="libFootnoteAlaemChar"/>
          <w:rtl/>
        </w:rPr>
        <w:t>عليه‌السلام</w:t>
      </w:r>
      <w:r w:rsidR="00E3253D" w:rsidRPr="005D642E">
        <w:rPr>
          <w:rtl/>
        </w:rPr>
        <w:t xml:space="preserve"> ؛ </w:t>
      </w:r>
      <w:r w:rsidR="00E3253D" w:rsidRPr="002F4D34">
        <w:rPr>
          <w:rStyle w:val="libFootnoteBoldChar"/>
          <w:rtl/>
        </w:rPr>
        <w:t>قرب الإسناد</w:t>
      </w:r>
      <w:r w:rsidR="00E3253D" w:rsidRPr="005D642E">
        <w:rPr>
          <w:rtl/>
        </w:rPr>
        <w:t xml:space="preserve"> ، ص 171 ، ح 627 ، عن محمّد بن الوليد ، عن عبدالله بن بكير ، عن أبي عبدالله </w:t>
      </w:r>
      <w:r w:rsidR="00E3253D" w:rsidRPr="00787C26">
        <w:rPr>
          <w:rStyle w:val="libFootnoteAlaemChar"/>
          <w:rtl/>
        </w:rPr>
        <w:t>عليه‌السلام</w:t>
      </w:r>
      <w:r w:rsidR="00E3253D" w:rsidRPr="005D642E">
        <w:rPr>
          <w:rtl/>
        </w:rPr>
        <w:t xml:space="preserve"> ، وفيهما مع اختلاف يسير وزيادة في أوّله. </w:t>
      </w:r>
      <w:r w:rsidR="00E3253D" w:rsidRPr="002F4D34">
        <w:rPr>
          <w:rStyle w:val="libFootnoteBoldChar"/>
          <w:rtl/>
        </w:rPr>
        <w:t>الفقيه</w:t>
      </w:r>
      <w:r w:rsidR="00E3253D" w:rsidRPr="005D642E">
        <w:rPr>
          <w:rtl/>
        </w:rPr>
        <w:t xml:space="preserve"> ، ج 1 ، ص 66 ، ح 152 ، مرسلاً </w:t>
      </w:r>
      <w:r w:rsidR="00CD0059">
        <w:rPr>
          <w:rFonts w:hint="cs"/>
          <w:rtl/>
        </w:rPr>
        <w:t>.</w:t>
      </w:r>
      <w:r w:rsidR="00E3253D" w:rsidRPr="002F4D34">
        <w:rPr>
          <w:rStyle w:val="libFootnoteBoldChar"/>
          <w:rtl/>
        </w:rPr>
        <w:t>الوافي</w:t>
      </w:r>
      <w:r w:rsidR="00E3253D" w:rsidRPr="005D642E">
        <w:rPr>
          <w:rtl/>
        </w:rPr>
        <w:t xml:space="preserve"> ، ج 6 ، ص 170 ، ح 4020 ؛ </w:t>
      </w:r>
      <w:r w:rsidR="00E3253D" w:rsidRPr="002F4D34">
        <w:rPr>
          <w:rStyle w:val="libFootnoteBoldChar"/>
          <w:rtl/>
        </w:rPr>
        <w:t>الوسائل</w:t>
      </w:r>
      <w:r w:rsidR="00E3253D" w:rsidRPr="005D642E">
        <w:rPr>
          <w:rtl/>
        </w:rPr>
        <w:t xml:space="preserve"> ، ج 2 ، ص 267 ، ح 2122 ؛ وج 3 ، ص 445 ، ح 4127.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 ظ ، بث ، بح ، جن » وحاشية « جح »</w:t>
      </w:r>
      <w:r w:rsidR="00E3253D">
        <w:rPr>
          <w:rtl/>
        </w:rPr>
        <w:t>.</w:t>
      </w:r>
      <w:r w:rsidR="00E3253D" w:rsidRPr="005D642E">
        <w:rPr>
          <w:rtl/>
        </w:rPr>
        <w:t xml:space="preserve"> وفي « ى ، بخ ، بس ، بف ، جح ، جن » والمطبوع : « محمّد بن‌أحمد »</w:t>
      </w:r>
      <w:r w:rsidR="00E3253D">
        <w:rPr>
          <w:rtl/>
        </w:rPr>
        <w:t>.</w:t>
      </w:r>
    </w:p>
    <w:p w:rsidR="00E3253D" w:rsidRPr="005D642E" w:rsidRDefault="00E3253D" w:rsidP="00E3253D">
      <w:pPr>
        <w:pStyle w:val="libFootnote0"/>
        <w:rPr>
          <w:rtl/>
          <w:lang w:bidi="fa-IR"/>
        </w:rPr>
      </w:pPr>
      <w:r w:rsidRPr="00B60612">
        <w:rPr>
          <w:rtl/>
        </w:rPr>
        <w:t xml:space="preserve">والصواب ما أثبتناه ؛ فقد روى المصنّف عن محمّد بن يحيى ، عن أحمد بن محمّد [ بن عيسى ] ، عن [ الحسن بن عليّ ] بن فضال في كثيرٍ من الأسناد. راجع : </w:t>
      </w:r>
      <w:r w:rsidRPr="002F4D34">
        <w:rPr>
          <w:rStyle w:val="libFootnoteBoldChar"/>
          <w:rtl/>
        </w:rPr>
        <w:t>معجم رجال الحديث</w:t>
      </w:r>
      <w:r w:rsidRPr="00B60612">
        <w:rPr>
          <w:rtl/>
        </w:rPr>
        <w:t xml:space="preserve"> ، ج 2 ، ص 470 </w:t>
      </w:r>
      <w:r w:rsidR="007642BC" w:rsidRPr="00B60612">
        <w:rPr>
          <w:rtl/>
        </w:rPr>
        <w:t>-</w:t>
      </w:r>
      <w:r w:rsidRPr="00B60612">
        <w:rPr>
          <w:rtl/>
        </w:rPr>
        <w:t xml:space="preserve"> 476 ؛ وص 496 </w:t>
      </w:r>
      <w:r w:rsidR="007642BC" w:rsidRPr="00B60612">
        <w:rPr>
          <w:rtl/>
        </w:rPr>
        <w:t>-</w:t>
      </w:r>
      <w:r w:rsidRPr="00B60612">
        <w:rPr>
          <w:rtl/>
        </w:rPr>
        <w:t xml:space="preserve"> 497. وأمّا محمّد بن أحمد شيخ المصنّف ، فقد روى الكليني عنه بعنوان محمّد بن أحمد في </w:t>
      </w:r>
      <w:r w:rsidRPr="002F4D34">
        <w:rPr>
          <w:rStyle w:val="libFootnoteBoldChar"/>
          <w:rtl/>
        </w:rPr>
        <w:t>الكافي</w:t>
      </w:r>
      <w:r w:rsidRPr="00B60612">
        <w:rPr>
          <w:rtl/>
        </w:rPr>
        <w:t xml:space="preserve"> ، في ح 1273 و 8351 و 13101 و 15276 و 15285 ، وبعنوان محمّد بن أحمد القمّي ، في ح 15338 ، وبعنوان محمّد بن أحمد بن الصلت ، في ح 15205. ومحمّد بن أحمد في جميع هذه الأسناد ، يروي عن عبدالله بن الصلت.</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أَبِي أُسَامَةَ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الثَّوْبِ تَكُونُ </w:t>
      </w:r>
      <w:r w:rsidRPr="007C12DB">
        <w:rPr>
          <w:rStyle w:val="libFootnotenumChar"/>
          <w:rtl/>
        </w:rPr>
        <w:t>(1)</w:t>
      </w:r>
      <w:r w:rsidRPr="005D642E">
        <w:rPr>
          <w:rtl/>
          <w:lang w:bidi="fa-IR"/>
        </w:rPr>
        <w:t xml:space="preserve"> فِيهِ الْجَنَابَةُ ، فَتُصِيبُنِي </w:t>
      </w:r>
      <w:r w:rsidRPr="007C12DB">
        <w:rPr>
          <w:rStyle w:val="libFootnotenumChar"/>
          <w:rtl/>
        </w:rPr>
        <w:t>(2)</w:t>
      </w:r>
      <w:r w:rsidRPr="005D642E">
        <w:rPr>
          <w:rtl/>
          <w:lang w:bidi="fa-IR"/>
        </w:rPr>
        <w:t xml:space="preserve"> السَّمَاءُ </w:t>
      </w:r>
      <w:r w:rsidRPr="007C12DB">
        <w:rPr>
          <w:rStyle w:val="libFootnotenumChar"/>
          <w:rtl/>
        </w:rPr>
        <w:t>(3)</w:t>
      </w:r>
      <w:r w:rsidRPr="005D642E">
        <w:rPr>
          <w:rtl/>
          <w:lang w:bidi="fa-IR"/>
        </w:rPr>
        <w:t xml:space="preserve"> حَتّى يَبْتَلَّ </w:t>
      </w:r>
      <w:r w:rsidRPr="007C12DB">
        <w:rPr>
          <w:rStyle w:val="libFootnotenumChar"/>
          <w:rtl/>
        </w:rPr>
        <w:t>(4)</w:t>
      </w:r>
      <w:r w:rsidRPr="005D642E">
        <w:rPr>
          <w:rtl/>
          <w:lang w:bidi="fa-IR"/>
        </w:rPr>
        <w:t xml:space="preserve"> عَلَيَّ</w:t>
      </w:r>
      <w:r>
        <w:rPr>
          <w:rtl/>
          <w:lang w:bidi="fa-IR"/>
        </w:rPr>
        <w:t>؟</w:t>
      </w:r>
    </w:p>
    <w:p w:rsidR="00E3253D" w:rsidRPr="005D642E" w:rsidRDefault="00E3253D" w:rsidP="00E3253D">
      <w:pPr>
        <w:pStyle w:val="libNormal"/>
        <w:rPr>
          <w:rtl/>
          <w:lang w:bidi="fa-IR"/>
        </w:rPr>
      </w:pPr>
      <w:r w:rsidRPr="005D642E">
        <w:rPr>
          <w:rtl/>
          <w:lang w:bidi="fa-IR"/>
        </w:rPr>
        <w:t>قَالَ : « لَا بَأْسَ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9D4864">
        <w:rPr>
          <w:rtl/>
        </w:rPr>
        <w:t>4061</w:t>
      </w:r>
      <w:r w:rsidRPr="00246318">
        <w:rPr>
          <w:rStyle w:val="libBold2Char"/>
          <w:rtl/>
        </w:rPr>
        <w:t xml:space="preserve"> / 6.</w:t>
      </w:r>
      <w:r w:rsidRPr="005D642E">
        <w:rPr>
          <w:rtl/>
          <w:lang w:bidi="fa-IR"/>
        </w:rPr>
        <w:t xml:space="preserve"> عَلِيُّ بْنُ إِبْرَاهِيمَ ، عَنْ مُحَمَّدِ بْنِ عِيسى ، عَنْ يُونُسَ ، عَنْ مُعَاوِيَةَ بْنِ عَمَّارٍ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الرَّجُلُ يَبُولُ وَهُوَ جُنُبٌ ، ثُمَّ يَسْتَنْجِي ، فَيُصِيبُ ثَوْبُهُ جَسَدَهُ وَهُوَ رَطْبٌ</w:t>
      </w:r>
      <w:r>
        <w:rPr>
          <w:rtl/>
          <w:lang w:bidi="fa-IR"/>
        </w:rPr>
        <w:t>؟</w:t>
      </w:r>
    </w:p>
    <w:p w:rsidR="00E3253D" w:rsidRPr="005D642E" w:rsidRDefault="00E3253D" w:rsidP="00E3253D">
      <w:pPr>
        <w:pStyle w:val="libNormal"/>
        <w:rPr>
          <w:rtl/>
          <w:lang w:bidi="fa-IR"/>
        </w:rPr>
      </w:pPr>
      <w:r w:rsidRPr="005D642E">
        <w:rPr>
          <w:rtl/>
          <w:lang w:bidi="fa-IR"/>
        </w:rPr>
        <w:t xml:space="preserve">قَالَ : « لَا بَأْسَ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129" w:name="_Toc344647253"/>
      <w:bookmarkStart w:id="130" w:name="_Toc462226768"/>
      <w:bookmarkStart w:id="131" w:name="_Toc40975876"/>
      <w:r w:rsidRPr="005D642E">
        <w:rPr>
          <w:rtl/>
          <w:lang w:bidi="fa-IR"/>
        </w:rPr>
        <w:t>35</w:t>
      </w:r>
      <w:r>
        <w:rPr>
          <w:rtl/>
          <w:lang w:bidi="fa-IR"/>
        </w:rPr>
        <w:t xml:space="preserve"> </w:t>
      </w:r>
      <w:r w:rsidR="007642BC">
        <w:rPr>
          <w:rtl/>
          <w:lang w:bidi="fa-IR"/>
        </w:rPr>
        <w:t>-</w:t>
      </w:r>
      <w:r>
        <w:rPr>
          <w:rtl/>
          <w:lang w:bidi="fa-IR"/>
        </w:rPr>
        <w:t xml:space="preserve"> </w:t>
      </w:r>
      <w:r w:rsidRPr="005D642E">
        <w:rPr>
          <w:rtl/>
          <w:lang w:bidi="fa-IR"/>
        </w:rPr>
        <w:t xml:space="preserve">بَابُ الْمَنِيِّ وَالْمَذْيِ </w:t>
      </w:r>
      <w:r w:rsidRPr="007C12DB">
        <w:rPr>
          <w:rStyle w:val="libFootnotenumChar"/>
          <w:rtl/>
        </w:rPr>
        <w:t>(8)</w:t>
      </w:r>
      <w:r>
        <w:rPr>
          <w:rtl/>
        </w:rPr>
        <w:t xml:space="preserve"> </w:t>
      </w:r>
      <w:r w:rsidRPr="005D642E">
        <w:rPr>
          <w:rtl/>
          <w:lang w:bidi="fa-IR"/>
        </w:rPr>
        <w:t xml:space="preserve">يُصِيبَانِ الثَّوْبَ وَالْجَسَدَ </w:t>
      </w:r>
      <w:r w:rsidRPr="007C12DB">
        <w:rPr>
          <w:rStyle w:val="libFootnotenumChar"/>
          <w:rtl/>
        </w:rPr>
        <w:t>(9)</w:t>
      </w:r>
      <w:r w:rsidRPr="005D642E">
        <w:rPr>
          <w:rtl/>
          <w:lang w:bidi="fa-IR"/>
        </w:rPr>
        <w:t xml:space="preserve"> ‌</w:t>
      </w:r>
      <w:bookmarkEnd w:id="129"/>
      <w:bookmarkEnd w:id="130"/>
      <w:bookmarkEnd w:id="131"/>
    </w:p>
    <w:p w:rsidR="00E3253D" w:rsidRPr="005D642E" w:rsidRDefault="00E3253D" w:rsidP="00E3253D">
      <w:pPr>
        <w:pStyle w:val="libNormal"/>
        <w:rPr>
          <w:rtl/>
          <w:lang w:bidi="fa-IR"/>
        </w:rPr>
      </w:pPr>
      <w:r w:rsidRPr="009D4864">
        <w:rPr>
          <w:rtl/>
        </w:rPr>
        <w:t>4062</w:t>
      </w:r>
      <w:r w:rsidRPr="00246318">
        <w:rPr>
          <w:rStyle w:val="libBold2Char"/>
          <w:rtl/>
        </w:rPr>
        <w:t xml:space="preserve"> / 1.</w:t>
      </w:r>
      <w:r w:rsidRPr="005D642E">
        <w:rPr>
          <w:rtl/>
          <w:lang w:bidi="fa-IR"/>
        </w:rPr>
        <w:t xml:space="preserve"> الْحُسَيْنُ بْنُ مُحَمَّدٍ ، عَنْ مُعَلَّى بْنِ مُحَمَّدٍ ، عَنِ الْوَشَّاءِ ، عَنْ حَمَّادِ بْنِ عُثْمَانَ ، عَنِ ابْنِ أَبِي يَعْفُورٍ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بث ، بح ، بخ ، بس ، بف ، جح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 « يكون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بخ ، بف ، جس » </w:t>
      </w:r>
      <w:r w:rsidR="000D749A" w:rsidRPr="000D749A">
        <w:rPr>
          <w:rStyle w:val="libFootnoteBoldChar"/>
          <w:rtl/>
        </w:rPr>
        <w:t>والوافي</w:t>
      </w:r>
      <w:r w:rsidR="00E3253D" w:rsidRPr="005D642E">
        <w:rPr>
          <w:rtl/>
        </w:rPr>
        <w:t xml:space="preserve"> : « فيصيبني »</w:t>
      </w:r>
      <w:r w:rsidR="00E3253D">
        <w:rPr>
          <w:rtl/>
        </w:rPr>
        <w:t>.</w:t>
      </w:r>
      <w:r w:rsidR="00E3253D" w:rsidRPr="005D642E">
        <w:rPr>
          <w:rtl/>
        </w:rPr>
        <w:t xml:space="preserve"> وفي الفقيه : « وتصيبني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الماء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حتّى تبتلّ »</w:t>
      </w:r>
      <w:r w:rsidR="00E3253D">
        <w:rPr>
          <w:rtl/>
        </w:rPr>
        <w:t>.</w:t>
      </w:r>
      <w:r w:rsidR="00E3253D" w:rsidRPr="005D642E">
        <w:rPr>
          <w:rtl/>
        </w:rPr>
        <w:t xml:space="preserve"> وفي حاشية « جن » : « حتّى يبلّ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الفقيه</w:t>
      </w:r>
      <w:r w:rsidR="00E3253D" w:rsidRPr="005D642E">
        <w:rPr>
          <w:rtl/>
        </w:rPr>
        <w:t xml:space="preserve"> ، ج 1 ، ص 67 ، ح 153 ، معلّقاً عن زيد الشحّام </w:t>
      </w:r>
      <w:r w:rsidR="00E872ED">
        <w:rPr>
          <w:rFonts w:hint="cs"/>
          <w:rtl/>
        </w:rPr>
        <w:t>.</w:t>
      </w:r>
      <w:r w:rsidR="00E3253D" w:rsidRPr="002F4D34">
        <w:rPr>
          <w:rStyle w:val="libFootnoteBoldChar"/>
          <w:rtl/>
        </w:rPr>
        <w:t>الوافي</w:t>
      </w:r>
      <w:r w:rsidR="00E3253D" w:rsidRPr="005D642E">
        <w:rPr>
          <w:rtl/>
        </w:rPr>
        <w:t xml:space="preserve"> ، ج 6 ، ص 167 ، ح 4014 ؛ </w:t>
      </w:r>
      <w:r w:rsidR="00E3253D" w:rsidRPr="002F4D34">
        <w:rPr>
          <w:rStyle w:val="libFootnoteBoldChar"/>
          <w:rtl/>
        </w:rPr>
        <w:t>الوسائل</w:t>
      </w:r>
      <w:r w:rsidR="00E3253D" w:rsidRPr="005D642E">
        <w:rPr>
          <w:rtl/>
        </w:rPr>
        <w:t xml:space="preserve"> ، ج 2 ، ص 268 ، ح 2123 ؛ وج 3 ، ص 446 ، ح 4128.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E872ED">
        <w:rPr>
          <w:rStyle w:val="libFootnoteAlaemChar"/>
          <w:rtl/>
        </w:rPr>
        <w:t>عليه‌السلام</w:t>
      </w:r>
      <w:r w:rsidR="00E3253D" w:rsidRPr="005D642E">
        <w:rPr>
          <w:rtl/>
        </w:rPr>
        <w:t xml:space="preserve"> : لا بأس ، أي مع عدم العلم بملاقاة الجزء النجس من الثوب للبدن الرطب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6 ، ص 171 ، ح 4022 ؛ </w:t>
      </w:r>
      <w:r w:rsidR="00E3253D" w:rsidRPr="002F4D34">
        <w:rPr>
          <w:rStyle w:val="libFootnoteBoldChar"/>
          <w:rtl/>
        </w:rPr>
        <w:t>الوسائل</w:t>
      </w:r>
      <w:r w:rsidR="00E3253D" w:rsidRPr="005D642E">
        <w:rPr>
          <w:rtl/>
        </w:rPr>
        <w:t xml:space="preserve"> ، ج 3 ، ص 445 ، ح 4124.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 + « والودي »</w:t>
      </w:r>
      <w:r w:rsidR="00E3253D">
        <w:rPr>
          <w:rtl/>
        </w:rPr>
        <w:t>.</w:t>
      </w:r>
      <w:r w:rsidR="00E3253D" w:rsidRPr="005D642E">
        <w:rPr>
          <w:rtl/>
        </w:rPr>
        <w:t xml:space="preserve"> وفي « جس » : « والوذي »</w:t>
      </w:r>
      <w:r w:rsidR="00E3253D">
        <w:rPr>
          <w:rtl/>
        </w:rPr>
        <w:t>.</w:t>
      </w:r>
      <w:r w:rsidR="00E3253D" w:rsidRPr="005D642E">
        <w:rPr>
          <w:rtl/>
        </w:rPr>
        <w:t xml:space="preserve"> وفي حاشية « بث » : « والودي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والجسد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سَأَلْتُهُ </w:t>
      </w:r>
      <w:r w:rsidRPr="007C12DB">
        <w:rPr>
          <w:rStyle w:val="libFootnotenumChar"/>
          <w:rtl/>
        </w:rPr>
        <w:t>(1)</w:t>
      </w:r>
      <w:r w:rsidRPr="005D642E">
        <w:rPr>
          <w:rtl/>
          <w:lang w:bidi="fa-IR"/>
        </w:rPr>
        <w:t xml:space="preserve"> عَنِ الْمَنِيِّ يُصِيبُ الثَّوْبَ</w:t>
      </w:r>
      <w:r>
        <w:rPr>
          <w:rtl/>
          <w:lang w:bidi="fa-IR"/>
        </w:rPr>
        <w:t>؟</w:t>
      </w:r>
    </w:p>
    <w:p w:rsidR="00E3253D" w:rsidRPr="005D642E" w:rsidRDefault="00E3253D" w:rsidP="00E3253D">
      <w:pPr>
        <w:pStyle w:val="libNormal"/>
        <w:rPr>
          <w:rtl/>
          <w:lang w:bidi="fa-IR"/>
        </w:rPr>
      </w:pPr>
      <w:r w:rsidRPr="005D642E">
        <w:rPr>
          <w:rtl/>
          <w:lang w:bidi="fa-IR"/>
        </w:rPr>
        <w:t xml:space="preserve">قَالَ : « إِنْ عَرَفْتَ مَكَانَهُ ، فَاغْسِلْهُ ؛ وَإِنْ </w:t>
      </w:r>
      <w:r w:rsidRPr="007C12DB">
        <w:rPr>
          <w:rStyle w:val="libFootnotenumChar"/>
          <w:rtl/>
        </w:rPr>
        <w:t>(2)</w:t>
      </w:r>
      <w:r w:rsidRPr="005D642E">
        <w:rPr>
          <w:rtl/>
          <w:lang w:bidi="fa-IR"/>
        </w:rPr>
        <w:t xml:space="preserve"> خَفِيَ عَلَيْكَ مَكَانُهُ ، فَاغْسِلْهُ كُلَّهُ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9D4864">
        <w:rPr>
          <w:rtl/>
        </w:rPr>
        <w:t>4063</w:t>
      </w:r>
      <w:r w:rsidRPr="00246318">
        <w:rPr>
          <w:rStyle w:val="libBold2Char"/>
          <w:rtl/>
        </w:rPr>
        <w:t xml:space="preserve"> / 2.</w:t>
      </w:r>
      <w:r w:rsidRPr="005D642E">
        <w:rPr>
          <w:rtl/>
          <w:lang w:bidi="fa-IR"/>
        </w:rPr>
        <w:t xml:space="preserve"> عَلِيُّ بْنُ إِبْرَاهِيمَ ، عَنْ أَبِيهِ ، عَنِ ابْنِ أَبِي عُمَيْرٍ ، عَنْ مُعَاوِيَةَ بْنِ عَمَّارٍ ، عَنْ مُيَسِّرٍ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آمُرُ الْجَارِيَةَ ، فَتَغْسِلُ ثَوْبِي مِنَ الْمَنِيِّ ، فَلَا تُبَالِغُ </w:t>
      </w:r>
      <w:r w:rsidRPr="007C12DB">
        <w:rPr>
          <w:rStyle w:val="libFootnotenumChar"/>
          <w:rtl/>
        </w:rPr>
        <w:t>(4)</w:t>
      </w:r>
      <w:r w:rsidRPr="005D642E">
        <w:rPr>
          <w:rtl/>
          <w:lang w:bidi="fa-IR"/>
        </w:rPr>
        <w:t xml:space="preserve"> غَسْلَهُ ، فَأُصَلِّي فِيهِ ، فَإِذَا هُوَ يَابِسٌ</w:t>
      </w:r>
      <w:r>
        <w:rPr>
          <w:rtl/>
          <w:lang w:bidi="fa-IR"/>
        </w:rPr>
        <w:t>؟</w:t>
      </w:r>
    </w:p>
    <w:p w:rsidR="00E3253D" w:rsidRPr="005D642E" w:rsidRDefault="00E3253D" w:rsidP="00E3253D">
      <w:pPr>
        <w:pStyle w:val="libNormal"/>
        <w:rPr>
          <w:rtl/>
          <w:lang w:bidi="fa-IR"/>
        </w:rPr>
      </w:pPr>
      <w:r w:rsidRPr="005D642E">
        <w:rPr>
          <w:rtl/>
          <w:lang w:bidi="fa-IR"/>
        </w:rPr>
        <w:t>قَالَ : « أَعِدْ صَلَاتَكَ ، أَمَا إِنَّكَ لَوْ كُنْتَ غَسَلْتَ أَنْتَ ، لَمْ يَكُنْ عَلَيْكَ شَيْ‌ءٌ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9D4864">
        <w:rPr>
          <w:rtl/>
        </w:rPr>
        <w:t>4064</w:t>
      </w:r>
      <w:r w:rsidRPr="00246318">
        <w:rPr>
          <w:rStyle w:val="libBold2Char"/>
          <w:rtl/>
        </w:rPr>
        <w:t xml:space="preserve"> / 3.</w:t>
      </w:r>
      <w:r w:rsidRPr="005D642E">
        <w:rPr>
          <w:rtl/>
          <w:lang w:bidi="fa-IR"/>
        </w:rPr>
        <w:t xml:space="preserve"> مُحَمَّدُ بْنُ يَحْيى ، عَنْ أَحْمَدَ بْنِ مُحَمَّدٍ ، عَنْ عُثْمَانَ بْنِ</w:t>
      </w:r>
      <w:r w:rsidR="009E0F69">
        <w:rPr>
          <w:rtl/>
          <w:lang w:bidi="fa-IR"/>
        </w:rPr>
        <w:t xml:space="preserve"> عِيسى ، عَنْ سَمَاعَةَ ، قَالَ</w:t>
      </w:r>
      <w:r w:rsidRPr="005D642E">
        <w:rPr>
          <w:rtl/>
          <w:lang w:bidi="fa-IR"/>
        </w:rPr>
        <w:t>:</w:t>
      </w:r>
    </w:p>
    <w:p w:rsidR="00E3253D" w:rsidRPr="005D642E" w:rsidRDefault="00E3253D" w:rsidP="00E3253D">
      <w:pPr>
        <w:pStyle w:val="libNormal"/>
        <w:rPr>
          <w:rtl/>
          <w:lang w:bidi="fa-IR"/>
        </w:rPr>
      </w:pPr>
      <w:r w:rsidRPr="005D642E">
        <w:rPr>
          <w:rtl/>
          <w:lang w:bidi="fa-IR"/>
        </w:rPr>
        <w:t>سَأَلْتُهُ عَنِ الْمَنِيِّ يُصِيبُ الثَّوْبَ</w:t>
      </w:r>
      <w:r>
        <w:rPr>
          <w:rtl/>
          <w:lang w:bidi="fa-IR"/>
        </w:rPr>
        <w:t>؟</w:t>
      </w:r>
    </w:p>
    <w:p w:rsidR="00E3253D" w:rsidRPr="005D642E" w:rsidRDefault="00E3253D" w:rsidP="00E3253D">
      <w:pPr>
        <w:pStyle w:val="libNormal"/>
        <w:rPr>
          <w:rtl/>
          <w:lang w:bidi="fa-IR"/>
        </w:rPr>
      </w:pPr>
      <w:r w:rsidRPr="005D642E">
        <w:rPr>
          <w:rtl/>
          <w:lang w:bidi="fa-IR"/>
        </w:rPr>
        <w:t>قَالَ : « اغْسِلِ الثَّوْبَ كُلَّهُ إِذَا خَفِيَ عَلَيْكَ مَكَانُهُ ، قَلِيلاً كَانَ ، أَوْ كَثِيراً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9D4864">
        <w:rPr>
          <w:rtl/>
        </w:rPr>
        <w:t>4065</w:t>
      </w:r>
      <w:r w:rsidRPr="00246318">
        <w:rPr>
          <w:rStyle w:val="libBold2Char"/>
          <w:rtl/>
        </w:rPr>
        <w:t xml:space="preserve"> / 4.</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احْتَلَمَ الرَّجُلُ ، فَأَصَابَ ثَوْبَهُ شَيْ‌ءٌ </w:t>
      </w:r>
      <w:r w:rsidRPr="007C12DB">
        <w:rPr>
          <w:rStyle w:val="libFootnotenumChar"/>
          <w:rtl/>
        </w:rPr>
        <w:t>(7)</w:t>
      </w:r>
      <w:r w:rsidRPr="005D642E">
        <w:rPr>
          <w:rtl/>
          <w:lang w:bidi="fa-IR"/>
        </w:rPr>
        <w:t xml:space="preserve"> ، فَلْيَغْسِلِ </w:t>
      </w:r>
      <w:r w:rsidRPr="007C12DB">
        <w:rPr>
          <w:rStyle w:val="libFootnotenumChar"/>
          <w:rtl/>
        </w:rPr>
        <w:t>(8)</w:t>
      </w:r>
      <w:r w:rsidRPr="005D642E">
        <w:rPr>
          <w:rtl/>
          <w:lang w:bidi="fa-IR"/>
        </w:rPr>
        <w:t xml:space="preserve"> الَّذِي‌</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E0F69" w:rsidTr="009E0F69">
        <w:tc>
          <w:tcPr>
            <w:tcW w:w="4006" w:type="dxa"/>
          </w:tcPr>
          <w:p w:rsidR="009E0F69" w:rsidRDefault="009E0F69" w:rsidP="00E3253D">
            <w:pPr>
              <w:pStyle w:val="libFootnote0"/>
              <w:rPr>
                <w:rStyle w:val="libFootnote0Char"/>
                <w:rtl/>
              </w:rPr>
            </w:pPr>
            <w:r w:rsidRPr="0042621E">
              <w:rPr>
                <w:rStyle w:val="libFootnote0Char"/>
                <w:rtl/>
              </w:rPr>
              <w:t>(1).</w:t>
            </w:r>
            <w:r>
              <w:rPr>
                <w:rtl/>
              </w:rPr>
              <w:t xml:space="preserve"> </w:t>
            </w:r>
            <w:r w:rsidRPr="005D642E">
              <w:rPr>
                <w:rtl/>
              </w:rPr>
              <w:t>في حاشية « بح » : « سألت »</w:t>
            </w:r>
            <w:r>
              <w:rPr>
                <w:rtl/>
              </w:rPr>
              <w:t>.</w:t>
            </w:r>
          </w:p>
        </w:tc>
        <w:tc>
          <w:tcPr>
            <w:tcW w:w="4006" w:type="dxa"/>
          </w:tcPr>
          <w:p w:rsidR="009E0F69" w:rsidRDefault="009E0F69" w:rsidP="00E3253D">
            <w:pPr>
              <w:pStyle w:val="libFootnote0"/>
              <w:rPr>
                <w:rStyle w:val="libFootnote0Char"/>
                <w:rtl/>
              </w:rPr>
            </w:pPr>
            <w:r w:rsidRPr="0042621E">
              <w:rPr>
                <w:rStyle w:val="libFootnote0Char"/>
                <w:rtl/>
              </w:rPr>
              <w:t>(2).</w:t>
            </w:r>
            <w:r w:rsidRPr="005D642E">
              <w:rPr>
                <w:rtl/>
              </w:rPr>
              <w:t xml:space="preserve"> في التهذيب ، ص 251 : « فإن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251 ، ح 725 ، بسنده عن الكليني. </w:t>
      </w:r>
      <w:r w:rsidR="00E3253D" w:rsidRPr="002F4D34">
        <w:rPr>
          <w:rStyle w:val="libFootnoteBoldChar"/>
          <w:rtl/>
        </w:rPr>
        <w:t>وفيه</w:t>
      </w:r>
      <w:r w:rsidR="00E3253D" w:rsidRPr="005D642E">
        <w:rPr>
          <w:rtl/>
        </w:rPr>
        <w:t xml:space="preserve"> ، ص 252 ، ح 729 ، بسند آخر ، مع اختلاف يسير. </w:t>
      </w:r>
      <w:r w:rsidR="00E3253D" w:rsidRPr="002F4D34">
        <w:rPr>
          <w:rStyle w:val="libFootnoteBoldChar"/>
          <w:rtl/>
        </w:rPr>
        <w:t>وفيه</w:t>
      </w:r>
      <w:r w:rsidR="00E3253D" w:rsidRPr="005D642E">
        <w:rPr>
          <w:rtl/>
        </w:rPr>
        <w:t xml:space="preserve"> أيضاً ، ص 267 ، ح 784 ؛ وج 2 ، ص 223 ، ح 86 ، بسند آخر عن أحدهما </w:t>
      </w:r>
      <w:r w:rsidR="00E3253D" w:rsidRPr="004C653E">
        <w:rPr>
          <w:rStyle w:val="libFootnoteAlaemChar"/>
          <w:rtl/>
        </w:rPr>
        <w:t>عليهما‌السلام</w:t>
      </w:r>
      <w:r w:rsidR="00E3253D" w:rsidRPr="005D642E">
        <w:rPr>
          <w:rtl/>
        </w:rPr>
        <w:t xml:space="preserve"> ، مع اختلاف يسير وزيادة في أوّله </w:t>
      </w:r>
      <w:r w:rsidR="004C653E">
        <w:rPr>
          <w:rFonts w:hint="cs"/>
          <w:rtl/>
        </w:rPr>
        <w:t>.</w:t>
      </w:r>
      <w:r w:rsidR="00E3253D" w:rsidRPr="002F4D34">
        <w:rPr>
          <w:rStyle w:val="libFootnoteBoldChar"/>
          <w:rtl/>
        </w:rPr>
        <w:t>الوافي</w:t>
      </w:r>
      <w:r w:rsidR="00E3253D" w:rsidRPr="005D642E">
        <w:rPr>
          <w:rtl/>
        </w:rPr>
        <w:t xml:space="preserve"> ، ج 6 ، ص 161 ، ح 3997 ؛ </w:t>
      </w:r>
      <w:r w:rsidR="00E3253D" w:rsidRPr="002F4D34">
        <w:rPr>
          <w:rStyle w:val="libFootnoteBoldChar"/>
          <w:rtl/>
        </w:rPr>
        <w:t>الوسائل</w:t>
      </w:r>
      <w:r w:rsidR="00E3253D" w:rsidRPr="005D642E">
        <w:rPr>
          <w:rtl/>
        </w:rPr>
        <w:t xml:space="preserve"> ، ج 3 ، ص 403 ، ح 3983 ؛ وص 425 ، ح 4059.</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ولا تبالغ »</w:t>
      </w:r>
      <w:r w:rsidR="00E3253D">
        <w:rPr>
          <w:rtl/>
        </w:rPr>
        <w:t>.</w:t>
      </w:r>
      <w:r w:rsidR="00E3253D" w:rsidRPr="005D642E">
        <w:rPr>
          <w:rtl/>
        </w:rPr>
        <w:t xml:space="preserve"> وفي حاشية « جح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 في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252 ، ح 13 ، بسنده عن الكليني </w:t>
      </w:r>
      <w:r w:rsidR="004C653E">
        <w:rPr>
          <w:rFonts w:hint="cs"/>
          <w:rtl/>
        </w:rPr>
        <w:t>.</w:t>
      </w:r>
      <w:r w:rsidR="00E3253D" w:rsidRPr="002F4D34">
        <w:rPr>
          <w:rStyle w:val="libFootnoteBoldChar"/>
          <w:rtl/>
        </w:rPr>
        <w:t>الوافي</w:t>
      </w:r>
      <w:r w:rsidR="00E3253D" w:rsidRPr="005D642E">
        <w:rPr>
          <w:rtl/>
        </w:rPr>
        <w:t xml:space="preserve"> ، ج 6 ، ص 161 ، ح 4000 ؛ </w:t>
      </w:r>
      <w:r w:rsidR="00E3253D" w:rsidRPr="002F4D34">
        <w:rPr>
          <w:rStyle w:val="libFootnoteBoldChar"/>
          <w:rtl/>
        </w:rPr>
        <w:t>الوسائل</w:t>
      </w:r>
      <w:r w:rsidR="00E3253D" w:rsidRPr="005D642E">
        <w:rPr>
          <w:rtl/>
        </w:rPr>
        <w:t xml:space="preserve"> ، ج 3 ، ص 428 ، ح 4067.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252 ، ح 727 ، بسنده عن الكليني. </w:t>
      </w:r>
      <w:r w:rsidR="00E3253D" w:rsidRPr="002F4D34">
        <w:rPr>
          <w:rStyle w:val="libFootnoteBoldChar"/>
          <w:rtl/>
        </w:rPr>
        <w:t>وفيه</w:t>
      </w:r>
      <w:r w:rsidR="00E3253D" w:rsidRPr="005D642E">
        <w:rPr>
          <w:rtl/>
        </w:rPr>
        <w:t xml:space="preserve"> ، ج 2 ، ص 223 ، ح 879 ، معلّقاً عن الحسين بن سعيد ، عن عثمان ، عن سماعة. راجع : </w:t>
      </w:r>
      <w:r w:rsidR="00E3253D" w:rsidRPr="002F4D34">
        <w:rPr>
          <w:rStyle w:val="libFootnoteBoldChar"/>
          <w:rtl/>
        </w:rPr>
        <w:t>الفقيه</w:t>
      </w:r>
      <w:r w:rsidR="00E3253D" w:rsidRPr="005D642E">
        <w:rPr>
          <w:rtl/>
        </w:rPr>
        <w:t xml:space="preserve"> ، ج 1 ، ص 72 ، ح 167 ؛ </w:t>
      </w:r>
      <w:r w:rsidR="00E3253D" w:rsidRPr="002F4D34">
        <w:rPr>
          <w:rStyle w:val="libFootnoteBoldChar"/>
          <w:rtl/>
        </w:rPr>
        <w:t>وفقه الرضا</w:t>
      </w:r>
      <w:r w:rsidR="00E3253D" w:rsidRPr="005D642E">
        <w:rPr>
          <w:rtl/>
        </w:rPr>
        <w:t xml:space="preserve"> </w:t>
      </w:r>
      <w:r w:rsidR="00E3253D" w:rsidRPr="004C653E">
        <w:rPr>
          <w:rStyle w:val="libFootnoteAlaemChar"/>
          <w:rtl/>
        </w:rPr>
        <w:t>عليه‌السلام</w:t>
      </w:r>
      <w:r w:rsidR="00E3253D" w:rsidRPr="005D642E">
        <w:rPr>
          <w:rtl/>
        </w:rPr>
        <w:t xml:space="preserve"> ، ص 303 </w:t>
      </w:r>
      <w:r w:rsidR="004C653E">
        <w:rPr>
          <w:rFonts w:hint="cs"/>
          <w:rtl/>
        </w:rPr>
        <w:t>.</w:t>
      </w:r>
      <w:r w:rsidR="00E3253D" w:rsidRPr="002F4D34">
        <w:rPr>
          <w:rStyle w:val="libFootnoteBoldChar"/>
          <w:rtl/>
        </w:rPr>
        <w:t>الوافي</w:t>
      </w:r>
      <w:r w:rsidR="00E3253D" w:rsidRPr="005D642E">
        <w:rPr>
          <w:rtl/>
        </w:rPr>
        <w:t xml:space="preserve"> ، ج 6 ، ص 161 ، ح 3999 ؛ </w:t>
      </w:r>
      <w:r w:rsidR="00E3253D" w:rsidRPr="002F4D34">
        <w:rPr>
          <w:rStyle w:val="libFootnoteBoldChar"/>
          <w:rtl/>
        </w:rPr>
        <w:t>الوسائل</w:t>
      </w:r>
      <w:r w:rsidR="00E3253D" w:rsidRPr="005D642E">
        <w:rPr>
          <w:rtl/>
        </w:rPr>
        <w:t xml:space="preserve"> ، ج 3 ، ص 403 ، ح 3984 ؛ وص 425 ، ح 4058 ؛ وص 428 ، ح 4068.</w:t>
      </w:r>
    </w:p>
    <w:tbl>
      <w:tblPr>
        <w:tblStyle w:val="TableGrid"/>
        <w:bidiVisual/>
        <w:tblW w:w="0" w:type="auto"/>
        <w:tblLook w:val="04A0" w:firstRow="1" w:lastRow="0" w:firstColumn="1" w:lastColumn="0" w:noHBand="0" w:noVBand="1"/>
      </w:tblPr>
      <w:tblGrid>
        <w:gridCol w:w="4006"/>
        <w:gridCol w:w="4006"/>
      </w:tblGrid>
      <w:tr w:rsidR="004C653E" w:rsidTr="004C653E">
        <w:tc>
          <w:tcPr>
            <w:tcW w:w="4006" w:type="dxa"/>
          </w:tcPr>
          <w:p w:rsidR="004C653E" w:rsidRDefault="004C653E" w:rsidP="00E3253D">
            <w:pPr>
              <w:pStyle w:val="libFootnote0"/>
              <w:rPr>
                <w:rStyle w:val="libFootnote0Char"/>
                <w:rtl/>
              </w:rPr>
            </w:pPr>
            <w:r w:rsidRPr="0042621E">
              <w:rPr>
                <w:rStyle w:val="libFootnote0Char"/>
                <w:rtl/>
              </w:rPr>
              <w:t>(7).</w:t>
            </w:r>
            <w:r w:rsidRPr="005D642E">
              <w:rPr>
                <w:rtl/>
              </w:rPr>
              <w:t xml:space="preserve"> في الوافي </w:t>
            </w:r>
            <w:r w:rsidRPr="00B60612">
              <w:rPr>
                <w:rStyle w:val="libFootnoteBoldChar"/>
                <w:rtl/>
              </w:rPr>
              <w:t>والتهذيب</w:t>
            </w:r>
            <w:r w:rsidRPr="005D642E">
              <w:rPr>
                <w:rtl/>
              </w:rPr>
              <w:t xml:space="preserve"> : « منيّ »</w:t>
            </w:r>
            <w:r>
              <w:rPr>
                <w:rtl/>
              </w:rPr>
              <w:t>.</w:t>
            </w:r>
          </w:p>
        </w:tc>
        <w:tc>
          <w:tcPr>
            <w:tcW w:w="4006" w:type="dxa"/>
          </w:tcPr>
          <w:p w:rsidR="004C653E" w:rsidRDefault="004C653E" w:rsidP="00E3253D">
            <w:pPr>
              <w:pStyle w:val="libFootnote0"/>
              <w:rPr>
                <w:rStyle w:val="libFootnote0Char"/>
                <w:rtl/>
              </w:rPr>
            </w:pPr>
            <w:r w:rsidRPr="0042621E">
              <w:rPr>
                <w:rStyle w:val="libFootnote0Char"/>
                <w:rtl/>
              </w:rPr>
              <w:t>(8).</w:t>
            </w:r>
            <w:r w:rsidRPr="005D642E">
              <w:rPr>
                <w:rtl/>
              </w:rPr>
              <w:t xml:space="preserve"> في « بخ » : « فليغتسل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أَصَابَهُ ؛ وَإِنْ </w:t>
      </w:r>
      <w:r w:rsidRPr="007C12DB">
        <w:rPr>
          <w:rStyle w:val="libFootnotenumChar"/>
          <w:rtl/>
        </w:rPr>
        <w:t>(1)</w:t>
      </w:r>
      <w:r w:rsidRPr="005D642E">
        <w:rPr>
          <w:rtl/>
          <w:lang w:bidi="fa-IR"/>
        </w:rPr>
        <w:t xml:space="preserve"> ظَنَّ أَنَّهُ أَصَابَهُ شَيْ‌ءٌ </w:t>
      </w:r>
      <w:r w:rsidRPr="007C12DB">
        <w:rPr>
          <w:rStyle w:val="libFootnotenumChar"/>
          <w:rtl/>
        </w:rPr>
        <w:t>(2)</w:t>
      </w:r>
      <w:r w:rsidRPr="005D642E">
        <w:rPr>
          <w:rtl/>
          <w:lang w:bidi="fa-IR"/>
        </w:rPr>
        <w:t xml:space="preserve"> وَلَمْ يَسْتَيْقِنْ وَلَمْ يَرَ مَكَانَهُ ، فَلْيَنْضَحْهُ </w:t>
      </w:r>
      <w:r w:rsidRPr="007C12DB">
        <w:rPr>
          <w:rStyle w:val="libFootnotenumChar"/>
          <w:rtl/>
        </w:rPr>
        <w:t>(3)</w:t>
      </w:r>
      <w:r w:rsidRPr="005D642E">
        <w:rPr>
          <w:rtl/>
          <w:lang w:bidi="fa-IR"/>
        </w:rPr>
        <w:t xml:space="preserve"> بِالْمَاءِ ؛ وَإِنْ اسْتَيْقَنَ </w:t>
      </w:r>
      <w:r w:rsidRPr="007C12DB">
        <w:rPr>
          <w:rStyle w:val="libFootnotenumChar"/>
          <w:rtl/>
        </w:rPr>
        <w:t>(4)</w:t>
      </w:r>
      <w:r w:rsidRPr="005D642E">
        <w:rPr>
          <w:rtl/>
          <w:lang w:bidi="fa-IR"/>
        </w:rPr>
        <w:t xml:space="preserve"> أَنَّهُ قَدْ أَصَابَهُ </w:t>
      </w:r>
      <w:r w:rsidRPr="007C12DB">
        <w:rPr>
          <w:rStyle w:val="libFootnotenumChar"/>
          <w:rtl/>
        </w:rPr>
        <w:t>(5)</w:t>
      </w:r>
      <w:r w:rsidRPr="005D642E">
        <w:rPr>
          <w:rtl/>
          <w:lang w:bidi="fa-IR"/>
        </w:rPr>
        <w:t xml:space="preserve"> وَلَمْ يَرَ مَكَانَهُ ، فَلْيَغْسِلْ ثَوْبَهُ كُلَّهُ ؛ فَإِنَّهُ أَحْسَنُ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4A4BF9">
        <w:rPr>
          <w:rtl/>
        </w:rPr>
        <w:t>4066</w:t>
      </w:r>
      <w:r w:rsidRPr="00246318">
        <w:rPr>
          <w:rStyle w:val="libBold2Char"/>
          <w:rtl/>
        </w:rPr>
        <w:t xml:space="preserve"> / 5.</w:t>
      </w:r>
      <w:r w:rsidRPr="005D642E">
        <w:rPr>
          <w:rtl/>
          <w:lang w:bidi="fa-IR"/>
        </w:rPr>
        <w:t xml:space="preserve"> مُحَمَّدُ بْنُ يَحْيى ، عَنْ أَحْمَدَ بْنِ مُحَمَّدِ بْنِ خَالِدٍ </w:t>
      </w:r>
      <w:r w:rsidRPr="007C12DB">
        <w:rPr>
          <w:rStyle w:val="libFootnotenumChar"/>
          <w:rtl/>
        </w:rPr>
        <w:t>(7)</w:t>
      </w:r>
      <w:r w:rsidRPr="005D642E">
        <w:rPr>
          <w:rtl/>
          <w:lang w:bidi="fa-IR"/>
        </w:rPr>
        <w:t xml:space="preserve"> ، عَنِ الْحُسَيْنِ بْنِ‌سَعِيدٍ ، عَنِ الْقَاسِمِ بْنِ مُحَمَّدٍ ، عَنْ عَلِيِّ بْنِ أَبِي حَمْزَةَ ، عَنْ أَبِي بَصِيرٍ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الْمَذْيِ </w:t>
      </w:r>
      <w:r w:rsidRPr="007C12DB">
        <w:rPr>
          <w:rStyle w:val="libFootnotenumChar"/>
          <w:rtl/>
        </w:rPr>
        <w:t>(8)</w:t>
      </w:r>
      <w:r w:rsidRPr="005D642E">
        <w:rPr>
          <w:rtl/>
          <w:lang w:bidi="fa-IR"/>
        </w:rPr>
        <w:t xml:space="preserve"> يُصِيبُ </w:t>
      </w:r>
      <w:r w:rsidRPr="007C12DB">
        <w:rPr>
          <w:rStyle w:val="libFootnotenumChar"/>
          <w:rtl/>
        </w:rPr>
        <w:t>(9)</w:t>
      </w:r>
      <w:r w:rsidRPr="005D642E">
        <w:rPr>
          <w:rtl/>
          <w:lang w:bidi="fa-IR"/>
        </w:rPr>
        <w:t xml:space="preserve"> الثَّوْبَ</w:t>
      </w:r>
      <w:r>
        <w:rPr>
          <w:rtl/>
          <w:lang w:bidi="fa-IR"/>
        </w:rPr>
        <w:t>؟</w:t>
      </w:r>
    </w:p>
    <w:p w:rsidR="00E3253D" w:rsidRPr="005D642E" w:rsidRDefault="00E3253D" w:rsidP="00E3253D">
      <w:pPr>
        <w:pStyle w:val="libNormal"/>
        <w:rPr>
          <w:rtl/>
          <w:lang w:bidi="fa-IR"/>
        </w:rPr>
      </w:pPr>
      <w:r w:rsidRPr="005D642E">
        <w:rPr>
          <w:rtl/>
          <w:lang w:bidi="fa-IR"/>
        </w:rPr>
        <w:t xml:space="preserve">قَالَ : « لَيْسَ بِهِ بَأْسٌ </w:t>
      </w:r>
      <w:r w:rsidRPr="007C12DB">
        <w:rPr>
          <w:rStyle w:val="libFootnotenumChar"/>
          <w:rtl/>
        </w:rPr>
        <w:t>(10)</w:t>
      </w:r>
      <w:r w:rsidRPr="005D642E">
        <w:rPr>
          <w:rtl/>
          <w:lang w:bidi="fa-IR"/>
        </w:rPr>
        <w:t xml:space="preserve">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4A4BF9">
        <w:rPr>
          <w:rtl/>
        </w:rPr>
        <w:t>4067</w:t>
      </w:r>
      <w:r w:rsidRPr="00246318">
        <w:rPr>
          <w:rStyle w:val="libBold2Char"/>
          <w:rtl/>
        </w:rPr>
        <w:t xml:space="preserve"> / 6.</w:t>
      </w:r>
      <w:r w:rsidRPr="005D642E">
        <w:rPr>
          <w:rtl/>
          <w:lang w:bidi="fa-IR"/>
        </w:rPr>
        <w:t xml:space="preserve"> الْحُسَيْنُ بْنُ مُحَمَّدٍ ، عَنْ مُعَلَّى بْنِ مُحَمَّدٍ ، عَنِ الْوَشَّاءِ ، عَنْ أَبَانٍ ، عَنْ عَنْبَسَةَ بْنِ مُصْعَبٍ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بث ، بس ، جح ، جس ، جن » والوسائل </w:t>
      </w:r>
      <w:r w:rsidR="00B60612" w:rsidRPr="00B60612">
        <w:rPr>
          <w:rStyle w:val="libFootnoteBoldChar"/>
          <w:rtl/>
        </w:rPr>
        <w:t>والتهذيب</w:t>
      </w:r>
      <w:r w:rsidR="00E3253D" w:rsidRPr="005D642E">
        <w:rPr>
          <w:rtl/>
        </w:rPr>
        <w:t xml:space="preserve"> : « فإن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w:t>
      </w:r>
      <w:r w:rsidR="00B60612" w:rsidRPr="00B60612">
        <w:rPr>
          <w:rStyle w:val="libFootnoteBoldChar"/>
          <w:rtl/>
        </w:rPr>
        <w:t>والتهذيب</w:t>
      </w:r>
      <w:r w:rsidR="00E3253D" w:rsidRPr="005D642E">
        <w:rPr>
          <w:rtl/>
        </w:rPr>
        <w:t xml:space="preserve"> : « منيّ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النَضْح : البلُّ بالماء والرشُّ ، يقال : نضح عليه الماءَ ونضحه به : إذا رشّه عليه. راجع : </w:t>
      </w:r>
      <w:r w:rsidR="00E3253D" w:rsidRPr="002F4D34">
        <w:rPr>
          <w:rStyle w:val="libFootnoteBoldChar"/>
          <w:rtl/>
        </w:rPr>
        <w:t>النهاية</w:t>
      </w:r>
      <w:r w:rsidR="00E3253D" w:rsidRPr="005D642E">
        <w:rPr>
          <w:rtl/>
        </w:rPr>
        <w:t xml:space="preserve"> ، ج 5 ، ص 69 ؛ </w:t>
      </w:r>
      <w:r w:rsidR="00E3253D" w:rsidRPr="002F4D34">
        <w:rPr>
          <w:rStyle w:val="libFootnoteBoldChar"/>
          <w:rtl/>
        </w:rPr>
        <w:t>المصباح المنير</w:t>
      </w:r>
      <w:r w:rsidR="00E3253D" w:rsidRPr="005D642E">
        <w:rPr>
          <w:rtl/>
        </w:rPr>
        <w:t xml:space="preserve"> ، ص 609 ( نضح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وإن يستيقن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 + « منيّ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252 ، ح 728 ، بسنده عن الكليني </w:t>
      </w:r>
      <w:r w:rsidR="003625EF">
        <w:rPr>
          <w:rFonts w:hint="cs"/>
          <w:rtl/>
        </w:rPr>
        <w:t>.</w:t>
      </w:r>
      <w:r w:rsidR="00E3253D" w:rsidRPr="002F4D34">
        <w:rPr>
          <w:rStyle w:val="libFootnoteBoldChar"/>
          <w:rtl/>
        </w:rPr>
        <w:t>الوافي</w:t>
      </w:r>
      <w:r w:rsidR="00E3253D" w:rsidRPr="005D642E">
        <w:rPr>
          <w:rtl/>
        </w:rPr>
        <w:t xml:space="preserve"> ، ج 6 ، ص 162 ، ح 4001 ؛ </w:t>
      </w:r>
      <w:r w:rsidR="00E3253D" w:rsidRPr="002F4D34">
        <w:rPr>
          <w:rStyle w:val="libFootnoteBoldChar"/>
          <w:rtl/>
        </w:rPr>
        <w:t>الوسائل</w:t>
      </w:r>
      <w:r w:rsidR="00E3253D" w:rsidRPr="005D642E">
        <w:rPr>
          <w:rtl/>
        </w:rPr>
        <w:t xml:space="preserve"> ، ج 3 ، ص 424 ، ح 4057.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تقدّم غير مرّةٍ أنّ محمّد بن يحيى لا يروي عن أحمد بن محمّد بن خالد ، الظاهر إمّا زيادة « بن خالد » ، أو أنّ‌الصواب : « أحمد بن محمّد ، عن محمّد بن خالد ، والحسين بن سعيد » لا حظ ما قدّمناه في </w:t>
      </w:r>
      <w:r w:rsidR="00E3253D" w:rsidRPr="002F4D34">
        <w:rPr>
          <w:rStyle w:val="libFootnoteBoldChar"/>
          <w:rtl/>
        </w:rPr>
        <w:t>الكافي</w:t>
      </w:r>
      <w:r w:rsidR="00E3253D" w:rsidRPr="005D642E">
        <w:rPr>
          <w:rtl/>
        </w:rPr>
        <w:t xml:space="preserve"> ، ذيل ح 3839.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بخ » : + « الذي »</w:t>
      </w:r>
      <w:r w:rsidR="00E3253D">
        <w:rPr>
          <w:rtl/>
        </w:rPr>
        <w:t>.</w:t>
      </w:r>
      <w:r w:rsidR="00E3253D" w:rsidRPr="005D642E">
        <w:rPr>
          <w:rtl/>
        </w:rPr>
        <w:t xml:space="preserve"> </w:t>
      </w:r>
      <w:r w:rsidR="00E3253D">
        <w:rPr>
          <w:rtl/>
        </w:rPr>
        <w:t>و «</w:t>
      </w:r>
      <w:r w:rsidR="00E3253D" w:rsidRPr="005D642E">
        <w:rPr>
          <w:rtl/>
        </w:rPr>
        <w:t xml:space="preserve"> ال</w:t>
      </w:r>
      <w:r w:rsidR="003625EF">
        <w:rPr>
          <w:rFonts w:hint="cs"/>
          <w:rtl/>
        </w:rPr>
        <w:t>ـ</w:t>
      </w:r>
      <w:r w:rsidR="00E3253D" w:rsidRPr="005D642E">
        <w:rPr>
          <w:rtl/>
        </w:rPr>
        <w:t xml:space="preserve">مَذْي » : الماء الرقيق اللزج الذي يخرج من الذكر عند الملاعبة والتقبيل. وفيه ثلاث لغات : سكون الذال مع تخفيف الياء ، وكسرها مع تثقيل الياء وتخفيفها. راجع : </w:t>
      </w:r>
      <w:r w:rsidR="00E3253D" w:rsidRPr="002F4D34">
        <w:rPr>
          <w:rStyle w:val="libFootnoteBoldChar"/>
          <w:rtl/>
        </w:rPr>
        <w:t>الصحاح</w:t>
      </w:r>
      <w:r w:rsidR="00E3253D" w:rsidRPr="005D642E">
        <w:rPr>
          <w:rtl/>
        </w:rPr>
        <w:t xml:space="preserve"> ، ج 6 ، ص 2490 ؛ </w:t>
      </w:r>
      <w:r w:rsidR="00E3253D" w:rsidRPr="002F4D34">
        <w:rPr>
          <w:rStyle w:val="libFootnoteBoldChar"/>
          <w:rtl/>
        </w:rPr>
        <w:t>النهاية</w:t>
      </w:r>
      <w:r w:rsidR="00E3253D" w:rsidRPr="005D642E">
        <w:rPr>
          <w:rtl/>
        </w:rPr>
        <w:t xml:space="preserve"> ، ج 4 ، ص 312 ( مذى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 + « به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جن » وحاشية « بث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لابأس به » بدل « ليس به بأس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253 ، ح 733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175 ، ح 608 ، بسند آخر ، مع زيادة في آخره </w:t>
      </w:r>
      <w:r w:rsidR="006D3D1E">
        <w:rPr>
          <w:rFonts w:hint="cs"/>
          <w:rtl/>
        </w:rPr>
        <w:t>.</w:t>
      </w:r>
      <w:r w:rsidR="00E3253D" w:rsidRPr="002F4D34">
        <w:rPr>
          <w:rStyle w:val="libFootnoteBoldChar"/>
          <w:rtl/>
        </w:rPr>
        <w:t>الوافي</w:t>
      </w:r>
      <w:r w:rsidR="00E3253D" w:rsidRPr="005D642E">
        <w:rPr>
          <w:rtl/>
        </w:rPr>
        <w:t xml:space="preserve"> ، ج 6 ، ص 175 ، ح 4034 ؛ </w:t>
      </w:r>
      <w:r w:rsidR="00E3253D" w:rsidRPr="002F4D34">
        <w:rPr>
          <w:rStyle w:val="libFootnoteBoldChar"/>
          <w:rtl/>
        </w:rPr>
        <w:t>الوسائل</w:t>
      </w:r>
      <w:r w:rsidR="00E3253D" w:rsidRPr="005D642E">
        <w:rPr>
          <w:rtl/>
        </w:rPr>
        <w:t xml:space="preserve"> ، ج 3 ، ص 427 ، ح 4065.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سَمِعْتُ أَبَا عَبْدِ اللهِ </w:t>
      </w:r>
      <w:r w:rsidRPr="00AC51C5">
        <w:rPr>
          <w:rStyle w:val="libAlaemChar"/>
          <w:rtl/>
        </w:rPr>
        <w:t>عليه‌السلام</w:t>
      </w:r>
      <w:r w:rsidRPr="005D642E">
        <w:rPr>
          <w:rtl/>
          <w:lang w:bidi="fa-IR"/>
        </w:rPr>
        <w:t xml:space="preserve"> يَقُولُ : « لَا نَرى </w:t>
      </w:r>
      <w:r w:rsidRPr="007C12DB">
        <w:rPr>
          <w:rStyle w:val="libFootnotenumChar"/>
          <w:rtl/>
        </w:rPr>
        <w:t>(1)</w:t>
      </w:r>
      <w:r w:rsidRPr="005D642E">
        <w:rPr>
          <w:rtl/>
          <w:lang w:bidi="fa-IR"/>
        </w:rPr>
        <w:t xml:space="preserve"> فِي الْمَذْيِ وُضُوءاً ، وَلَاغَسْلاً </w:t>
      </w:r>
      <w:r w:rsidRPr="007C12DB">
        <w:rPr>
          <w:rStyle w:val="libFootnotenumChar"/>
          <w:rtl/>
        </w:rPr>
        <w:t>(2)</w:t>
      </w:r>
      <w:r w:rsidRPr="005D642E">
        <w:rPr>
          <w:rtl/>
          <w:lang w:bidi="fa-IR"/>
        </w:rPr>
        <w:t xml:space="preserve"> مَا</w:t>
      </w:r>
      <w:r w:rsidR="006D3D1E">
        <w:rPr>
          <w:rtl/>
          <w:lang w:bidi="fa-IR"/>
        </w:rPr>
        <w:t xml:space="preserve"> أَصَابَ الثَّوْبَ مِنْهُ إِل</w:t>
      </w:r>
      <w:r w:rsidR="006D3D1E">
        <w:rPr>
          <w:rFonts w:hint="cs"/>
          <w:rtl/>
          <w:lang w:bidi="fa-IR"/>
        </w:rPr>
        <w:t>َّ</w:t>
      </w:r>
      <w:r w:rsidR="006D3D1E">
        <w:rPr>
          <w:rtl/>
          <w:lang w:bidi="fa-IR"/>
        </w:rPr>
        <w:t>ا</w:t>
      </w:r>
      <w:r w:rsidRPr="005D642E">
        <w:rPr>
          <w:rtl/>
          <w:lang w:bidi="fa-IR"/>
        </w:rPr>
        <w:t xml:space="preserve"> فِي الْمَاءِ الْأَكْبَرِ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132" w:name="_Toc344647254"/>
      <w:bookmarkStart w:id="133" w:name="_Toc462226769"/>
      <w:bookmarkStart w:id="134" w:name="_Toc40975877"/>
      <w:r w:rsidRPr="005D642E">
        <w:rPr>
          <w:rtl/>
          <w:lang w:bidi="fa-IR"/>
        </w:rPr>
        <w:t>36</w:t>
      </w:r>
      <w:r>
        <w:rPr>
          <w:rtl/>
          <w:lang w:bidi="fa-IR"/>
        </w:rPr>
        <w:t xml:space="preserve"> </w:t>
      </w:r>
      <w:r w:rsidR="007642BC">
        <w:rPr>
          <w:rtl/>
          <w:lang w:bidi="fa-IR"/>
        </w:rPr>
        <w:t>-</w:t>
      </w:r>
      <w:r>
        <w:rPr>
          <w:rtl/>
          <w:lang w:bidi="fa-IR"/>
        </w:rPr>
        <w:t xml:space="preserve"> </w:t>
      </w:r>
      <w:r w:rsidRPr="005D642E">
        <w:rPr>
          <w:rtl/>
          <w:lang w:bidi="fa-IR"/>
        </w:rPr>
        <w:t xml:space="preserve">بَابُ الْبَوْلِ يُصِيبُ الثَّوْبَ أَوِ </w:t>
      </w:r>
      <w:r w:rsidRPr="007C12DB">
        <w:rPr>
          <w:rStyle w:val="libFootnotenumChar"/>
          <w:rtl/>
        </w:rPr>
        <w:t>(4)</w:t>
      </w:r>
      <w:r>
        <w:rPr>
          <w:rtl/>
        </w:rPr>
        <w:t xml:space="preserve"> </w:t>
      </w:r>
      <w:r w:rsidRPr="005D642E">
        <w:rPr>
          <w:rtl/>
          <w:lang w:bidi="fa-IR"/>
        </w:rPr>
        <w:t>الْجَسَدَ‌</w:t>
      </w:r>
      <w:bookmarkEnd w:id="132"/>
      <w:bookmarkEnd w:id="133"/>
      <w:bookmarkEnd w:id="134"/>
    </w:p>
    <w:p w:rsidR="00E3253D" w:rsidRPr="005D642E" w:rsidRDefault="00E3253D" w:rsidP="00E3253D">
      <w:pPr>
        <w:pStyle w:val="libNormal"/>
        <w:rPr>
          <w:rtl/>
          <w:lang w:bidi="fa-IR"/>
        </w:rPr>
      </w:pPr>
      <w:r w:rsidRPr="004A4BF9">
        <w:rPr>
          <w:rtl/>
        </w:rPr>
        <w:t>4068</w:t>
      </w:r>
      <w:r w:rsidRPr="00246318">
        <w:rPr>
          <w:rStyle w:val="libBold2Char"/>
          <w:rtl/>
        </w:rPr>
        <w:t xml:space="preserve"> / 1.</w:t>
      </w:r>
      <w:r w:rsidRPr="005D642E">
        <w:rPr>
          <w:rtl/>
          <w:lang w:bidi="fa-IR"/>
        </w:rPr>
        <w:t xml:space="preserve"> مُحَمَّدُ بْنُ يَحْيى ، عَنْ أَحْمَدَ بْنِ مُحَمَّدٍ ، عَنْ عَلِيِّ بْنِ الْحَكَمِ ، عَنِ الْحُسَيْنِ بْنِ أَبِي الْعَلَاءِ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الْبَوْلِ يُصِيبُ الْجَسَدَ</w:t>
      </w:r>
      <w:r>
        <w:rPr>
          <w:rtl/>
          <w:lang w:bidi="fa-IR"/>
        </w:rPr>
        <w:t>؟</w:t>
      </w:r>
    </w:p>
    <w:p w:rsidR="00E3253D" w:rsidRPr="005D642E" w:rsidRDefault="00E3253D" w:rsidP="00E3253D">
      <w:pPr>
        <w:pStyle w:val="libNormal"/>
        <w:rPr>
          <w:rtl/>
          <w:lang w:bidi="fa-IR"/>
        </w:rPr>
      </w:pPr>
      <w:r w:rsidRPr="005D642E">
        <w:rPr>
          <w:rtl/>
          <w:lang w:bidi="fa-IR"/>
        </w:rPr>
        <w:t>قَالَ : « صُبَّ عَلَيْهِ الْمَاءَ مَرَّتَيْنِ ، فَإِنَّمَا هُوَ مَاءٌ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D642E">
        <w:rPr>
          <w:rtl/>
          <w:lang w:bidi="fa-IR"/>
        </w:rPr>
        <w:t>وَسَأَلْتُهُ عَنِ الثَّوْبِ يُصِيبُهُ الْبَوْلُ</w:t>
      </w:r>
      <w:r>
        <w:rPr>
          <w:rtl/>
          <w:lang w:bidi="fa-IR"/>
        </w:rPr>
        <w:t>؟</w:t>
      </w:r>
    </w:p>
    <w:p w:rsidR="00E3253D" w:rsidRPr="005D642E" w:rsidRDefault="00E3253D" w:rsidP="00E3253D">
      <w:pPr>
        <w:pStyle w:val="libNormal"/>
        <w:rPr>
          <w:rtl/>
          <w:lang w:bidi="fa-IR"/>
        </w:rPr>
      </w:pPr>
      <w:r w:rsidRPr="005D642E">
        <w:rPr>
          <w:rtl/>
          <w:lang w:bidi="fa-IR"/>
        </w:rPr>
        <w:t>قَالَ : « اغْسِلْهُ مَرَّتَيْنِ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D642E">
        <w:rPr>
          <w:rtl/>
          <w:lang w:bidi="fa-IR"/>
        </w:rPr>
        <w:t>وَسَأَلْتُهُ عَنِ الصَّبِيِّ يَبُولُ عَلَى الثَّوْبِ</w:t>
      </w:r>
      <w:r>
        <w:rPr>
          <w:rtl/>
          <w:lang w:bidi="fa-IR"/>
        </w:rPr>
        <w:t>؟</w:t>
      </w:r>
    </w:p>
    <w:p w:rsidR="00E3253D" w:rsidRPr="005D642E" w:rsidRDefault="00E3253D" w:rsidP="00E3253D">
      <w:pPr>
        <w:pStyle w:val="libNormal"/>
        <w:rPr>
          <w:rtl/>
          <w:lang w:bidi="fa-IR"/>
        </w:rPr>
      </w:pPr>
      <w:r w:rsidRPr="005D642E">
        <w:rPr>
          <w:rtl/>
          <w:lang w:bidi="fa-IR"/>
        </w:rPr>
        <w:t xml:space="preserve">قَالَ : « يَصُبُّ عَلَيْهِ الْمَاءَ قَلِيلاً ، ثُمَّ يَعْصِرُهُ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لايرى »</w:t>
      </w:r>
      <w:r w:rsidR="00E3253D">
        <w:rPr>
          <w:rtl/>
        </w:rPr>
        <w:t>.</w:t>
      </w:r>
      <w:r w:rsidR="00E3253D" w:rsidRPr="005D642E">
        <w:rPr>
          <w:rtl/>
        </w:rPr>
        <w:t xml:space="preserve"> وفي الوافي والوسائل ، ح 1889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كان عليّ </w:t>
      </w:r>
      <w:r w:rsidR="00E3253D" w:rsidRPr="009A2F21">
        <w:rPr>
          <w:rStyle w:val="libFootnoteAlaemChar"/>
          <w:rtl/>
        </w:rPr>
        <w:t>عليه‌السلام</w:t>
      </w:r>
      <w:r w:rsidR="00E3253D" w:rsidRPr="005D642E">
        <w:rPr>
          <w:rtl/>
        </w:rPr>
        <w:t xml:space="preserve"> لا يرى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 غسل »</w:t>
      </w:r>
      <w:r w:rsidR="00E3253D">
        <w:rPr>
          <w:rtl/>
        </w:rPr>
        <w:t>.</w:t>
      </w:r>
    </w:p>
    <w:p w:rsidR="00E3253D" w:rsidRPr="005D642E" w:rsidRDefault="0042621E" w:rsidP="009A2F21">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17 ، ح 41 ؛ </w:t>
      </w:r>
      <w:r w:rsidR="00E3253D" w:rsidRPr="00E678B5">
        <w:rPr>
          <w:rStyle w:val="libFootnoteBoldChar"/>
          <w:rtl/>
        </w:rPr>
        <w:t>والاستبصار</w:t>
      </w:r>
      <w:r w:rsidR="00E3253D" w:rsidRPr="005D642E">
        <w:rPr>
          <w:rtl/>
        </w:rPr>
        <w:t xml:space="preserve"> ، ج 1 ، ص 91 ، ح 294 ، بسندهما عن الكليني. </w:t>
      </w:r>
      <w:r w:rsidR="00E3253D" w:rsidRPr="002F4D34">
        <w:rPr>
          <w:rStyle w:val="libFootnoteBoldChar"/>
          <w:rtl/>
        </w:rPr>
        <w:t>الفقيه</w:t>
      </w:r>
      <w:r w:rsidR="00E3253D" w:rsidRPr="005D642E">
        <w:rPr>
          <w:rtl/>
        </w:rPr>
        <w:t xml:space="preserve"> ، ج 1 ، ص 65 ، ح 149 ، مرسلاً ، وتمام الرواية فيه : « كان أميرالمؤمنين </w:t>
      </w:r>
      <w:r w:rsidR="00E3253D" w:rsidRPr="009A2F21">
        <w:rPr>
          <w:rStyle w:val="libFootnoteAlaemChar"/>
          <w:rtl/>
        </w:rPr>
        <w:t>عليه‌السلام</w:t>
      </w:r>
      <w:r w:rsidR="00E3253D" w:rsidRPr="005D642E">
        <w:rPr>
          <w:rtl/>
        </w:rPr>
        <w:t xml:space="preserve"> لايرى في المذي وضوءاً ولاغَسْلَ ما أصاب الثوب منه » </w:t>
      </w:r>
      <w:r w:rsidR="009A2F21">
        <w:rPr>
          <w:rFonts w:hint="cs"/>
          <w:rtl/>
        </w:rPr>
        <w:t>.</w:t>
      </w:r>
      <w:r w:rsidR="00E3253D" w:rsidRPr="002F4D34">
        <w:rPr>
          <w:rStyle w:val="libFootnoteBoldChar"/>
          <w:rtl/>
        </w:rPr>
        <w:t>الوافي</w:t>
      </w:r>
      <w:r w:rsidR="00E3253D" w:rsidRPr="005D642E">
        <w:rPr>
          <w:rtl/>
        </w:rPr>
        <w:t xml:space="preserve"> ، ج 6 ، ص 176 ، ح 4038 ؛ </w:t>
      </w:r>
      <w:r w:rsidR="00E3253D" w:rsidRPr="002F4D34">
        <w:rPr>
          <w:rStyle w:val="libFootnoteBoldChar"/>
          <w:rtl/>
        </w:rPr>
        <w:t>الوسائل</w:t>
      </w:r>
      <w:r w:rsidR="00E3253D" w:rsidRPr="005D642E">
        <w:rPr>
          <w:rtl/>
        </w:rPr>
        <w:t xml:space="preserve"> ، ج 1 ، ص 277 ، ح 728 ؛ وج 2 ، ص 181 ، ح 1872 ؛ وص 187 ، ح 1889.</w:t>
      </w:r>
      <w:r w:rsidR="009A2F21">
        <w:rPr>
          <w:rFonts w:hint="cs"/>
          <w:rtl/>
        </w:rPr>
        <w:t xml:space="preserve">                   </w:t>
      </w:r>
      <w:r w:rsidRPr="0042621E">
        <w:rPr>
          <w:rStyle w:val="libFootnote0Char"/>
          <w:rtl/>
        </w:rPr>
        <w:t>(4).</w:t>
      </w:r>
      <w:r w:rsidR="00E3253D" w:rsidRPr="005D642E">
        <w:rPr>
          <w:rtl/>
        </w:rPr>
        <w:t xml:space="preserve"> في « جس » : « </w:t>
      </w:r>
      <w:r w:rsidR="00E3253D">
        <w:rPr>
          <w:rtl/>
        </w:rPr>
        <w:t>و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 ح 907 والكافي ، ح 3899 </w:t>
      </w:r>
      <w:r w:rsidR="00B60612" w:rsidRPr="00B60612">
        <w:rPr>
          <w:rStyle w:val="libFootnoteBoldChar"/>
          <w:rtl/>
        </w:rPr>
        <w:t>والتهذيب</w:t>
      </w:r>
      <w:r w:rsidR="00E3253D" w:rsidRPr="005D642E">
        <w:rPr>
          <w:rtl/>
        </w:rPr>
        <w:t xml:space="preserve"> ، ح 714 وح 790 :</w:t>
      </w:r>
      <w:r w:rsidR="00E3253D">
        <w:rPr>
          <w:rtl/>
        </w:rPr>
        <w:t xml:space="preserve"> </w:t>
      </w:r>
      <w:r w:rsidR="007642BC">
        <w:rPr>
          <w:rtl/>
        </w:rPr>
        <w:t>-</w:t>
      </w:r>
      <w:r w:rsidR="00E3253D">
        <w:rPr>
          <w:rtl/>
        </w:rPr>
        <w:t xml:space="preserve"> </w:t>
      </w:r>
      <w:r w:rsidR="00E3253D" w:rsidRPr="005D642E">
        <w:rPr>
          <w:rtl/>
        </w:rPr>
        <w:t>« فإنّما هو ماء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فإنّما هو ماء</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اغسله مرّتين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الوسائل ، ح 3962 </w:t>
      </w:r>
      <w:r w:rsidR="00B60612" w:rsidRPr="00B60612">
        <w:rPr>
          <w:rStyle w:val="libFootnoteBoldChar"/>
          <w:rtl/>
        </w:rPr>
        <w:t>والتهذيب</w:t>
      </w:r>
      <w:r w:rsidR="00E3253D" w:rsidRPr="005D642E">
        <w:rPr>
          <w:rtl/>
        </w:rPr>
        <w:t xml:space="preserve"> ، ح 714 </w:t>
      </w:r>
      <w:r w:rsidR="00E3253D" w:rsidRPr="00E678B5">
        <w:rPr>
          <w:rStyle w:val="libFootnoteBoldChar"/>
          <w:rtl/>
        </w:rPr>
        <w:t>والاستبصار</w:t>
      </w:r>
      <w:r w:rsidR="00E3253D" w:rsidRPr="005D642E">
        <w:rPr>
          <w:rtl/>
        </w:rPr>
        <w:t xml:space="preserve"> : « ثمّ تعصره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الاستبراء من البول</w:t>
      </w:r>
      <w:r w:rsidR="00E3253D">
        <w:rPr>
          <w:rtl/>
        </w:rPr>
        <w:t xml:space="preserve"> ..</w:t>
      </w:r>
      <w:r w:rsidR="00E3253D" w:rsidRPr="005D642E">
        <w:rPr>
          <w:rtl/>
        </w:rPr>
        <w:t>. ، صدر ح 3899 ، إلى</w:t>
      </w:r>
      <w:r w:rsidR="00826FF3">
        <w:rPr>
          <w:rtl/>
        </w:rPr>
        <w:t xml:space="preserve"> قوله : « صبّ عليه الماء مرّتين</w:t>
      </w:r>
      <w:r w:rsidR="00E3253D" w:rsidRPr="005D642E">
        <w:rPr>
          <w:rtl/>
        </w:rPr>
        <w:t>»</w:t>
      </w:r>
      <w:r w:rsidR="00E3253D">
        <w:rPr>
          <w:rtl/>
        </w:rPr>
        <w:t>.</w:t>
      </w:r>
      <w:r w:rsidR="00E3253D" w:rsidRPr="005D642E">
        <w:rPr>
          <w:rtl/>
        </w:rPr>
        <w:t xml:space="preserve"> </w:t>
      </w:r>
      <w:r w:rsidR="00E3253D" w:rsidRPr="002F4D34">
        <w:rPr>
          <w:rStyle w:val="libFootnoteBoldChar"/>
          <w:rtl/>
        </w:rPr>
        <w:t>التهذيب</w:t>
      </w:r>
      <w:r w:rsidR="00E3253D" w:rsidRPr="005D642E">
        <w:rPr>
          <w:rtl/>
        </w:rPr>
        <w:t xml:space="preserve"> ، ج 1 ، ص 249 ، ح 714 ، بسنده عن الكليني. </w:t>
      </w:r>
      <w:r w:rsidR="00E3253D" w:rsidRPr="002F4D34">
        <w:rPr>
          <w:rStyle w:val="libFootnoteBoldChar"/>
          <w:rtl/>
        </w:rPr>
        <w:t>وفيه</w:t>
      </w:r>
      <w:r w:rsidR="00E3253D" w:rsidRPr="005D642E">
        <w:rPr>
          <w:rtl/>
        </w:rPr>
        <w:t xml:space="preserve"> ، ص 269 ، ح 790 ، معلّقاً عن أحمد بن محمّد ، إلى </w:t>
      </w:r>
      <w:r w:rsidR="009A2F2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9B1711">
        <w:rPr>
          <w:rtl/>
        </w:rPr>
        <w:lastRenderedPageBreak/>
        <w:t>4069</w:t>
      </w:r>
      <w:r w:rsidRPr="00246318">
        <w:rPr>
          <w:rStyle w:val="libBold2Char"/>
          <w:rtl/>
        </w:rPr>
        <w:t xml:space="preserve"> / 2.</w:t>
      </w:r>
      <w:r w:rsidRPr="005D642E">
        <w:rPr>
          <w:rtl/>
          <w:lang w:bidi="fa-IR"/>
        </w:rPr>
        <w:t xml:space="preserve"> أَحْمَدُ ، عَنْ إِبْرَاهِيمَ بْنِ أَبِي مَحْمُودٍ </w:t>
      </w:r>
      <w:r w:rsidRPr="007C12DB">
        <w:rPr>
          <w:rStyle w:val="libFootnotenumChar"/>
          <w:rtl/>
        </w:rPr>
        <w:t>(1)</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قُلْتُ لِلرِّضَا </w:t>
      </w:r>
      <w:r w:rsidRPr="00AC51C5">
        <w:rPr>
          <w:rStyle w:val="libAlaemChar"/>
          <w:rtl/>
        </w:rPr>
        <w:t>عليه‌السلام</w:t>
      </w:r>
      <w:r w:rsidRPr="005D642E">
        <w:rPr>
          <w:rtl/>
          <w:lang w:bidi="fa-IR"/>
        </w:rPr>
        <w:t xml:space="preserve"> : الطِّنْفِسَةُ </w:t>
      </w:r>
      <w:r w:rsidRPr="007C12DB">
        <w:rPr>
          <w:rStyle w:val="libFootnotenumChar"/>
          <w:rtl/>
        </w:rPr>
        <w:t>(2)</w:t>
      </w:r>
      <w:r w:rsidRPr="005D642E">
        <w:rPr>
          <w:rtl/>
          <w:lang w:bidi="fa-IR"/>
        </w:rPr>
        <w:t xml:space="preserve"> وَالْفِرَاشُ يُصِيبُهُمَا الْبَوْلُ كَيْفَ يُصْنَعُ بِهِمَا </w:t>
      </w:r>
      <w:r w:rsidRPr="007C12DB">
        <w:rPr>
          <w:rStyle w:val="libFootnotenumChar"/>
          <w:rtl/>
        </w:rPr>
        <w:t>(3)</w:t>
      </w:r>
      <w:r w:rsidRPr="005D642E">
        <w:rPr>
          <w:rtl/>
          <w:lang w:bidi="fa-IR"/>
        </w:rPr>
        <w:t xml:space="preserve"> وَهُوَ ثَخِينٌ </w:t>
      </w:r>
      <w:r w:rsidRPr="007C12DB">
        <w:rPr>
          <w:rStyle w:val="libFootnotenumChar"/>
          <w:rtl/>
        </w:rPr>
        <w:t>(4)</w:t>
      </w:r>
      <w:r w:rsidRPr="005D642E">
        <w:rPr>
          <w:rtl/>
          <w:lang w:bidi="fa-IR"/>
        </w:rPr>
        <w:t xml:space="preserve"> كَثِيرُ الْحَشْوِ </w:t>
      </w:r>
      <w:r w:rsidRPr="007C12DB">
        <w:rPr>
          <w:rStyle w:val="libFootnotenumChar"/>
          <w:rtl/>
        </w:rPr>
        <w:t>(5)</w:t>
      </w:r>
      <w:r>
        <w:rPr>
          <w:rtl/>
          <w:lang w:bidi="fa-IR"/>
        </w:rPr>
        <w:t>؟</w:t>
      </w:r>
    </w:p>
    <w:p w:rsidR="00E3253D" w:rsidRPr="005D642E" w:rsidRDefault="00E3253D" w:rsidP="00E3253D">
      <w:pPr>
        <w:pStyle w:val="libNormal"/>
        <w:rPr>
          <w:rtl/>
          <w:lang w:bidi="fa-IR"/>
        </w:rPr>
      </w:pPr>
      <w:r w:rsidRPr="005D642E">
        <w:rPr>
          <w:rtl/>
          <w:lang w:bidi="fa-IR"/>
        </w:rPr>
        <w:t xml:space="preserve">قَالَ : « يُغْسَلُ مَا ظَهَرَ مِنْهُ فِي وَجْهِهِ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563C72" w:rsidP="00E3253D">
      <w:pPr>
        <w:pStyle w:val="libFootnote0"/>
        <w:rPr>
          <w:rtl/>
          <w:lang w:bidi="fa-IR"/>
        </w:rPr>
      </w:pPr>
      <w:r>
        <w:rPr>
          <w:rFonts w:hint="cs"/>
          <w:rtl/>
        </w:rPr>
        <w:t xml:space="preserve">= </w:t>
      </w:r>
      <w:r w:rsidR="00E3253D" w:rsidRPr="005D642E">
        <w:rPr>
          <w:rtl/>
        </w:rPr>
        <w:t xml:space="preserve">قوله : « صبّ عليه الماء مرّتين » ؛ </w:t>
      </w:r>
      <w:r w:rsidR="00E3253D" w:rsidRPr="002F4D34">
        <w:rPr>
          <w:rStyle w:val="libFootnoteBoldChar"/>
          <w:rtl/>
        </w:rPr>
        <w:t>الاستبصار</w:t>
      </w:r>
      <w:r w:rsidR="00E3253D" w:rsidRPr="005D642E">
        <w:rPr>
          <w:rtl/>
        </w:rPr>
        <w:t xml:space="preserve"> ، ج 1 ، ص 174 ، ح 603 ، معلّقاً عن أحمد بن محمّد ، من قوله : « وسألته عن الصبيّ » ؛ </w:t>
      </w:r>
      <w:r w:rsidR="00E3253D" w:rsidRPr="002F4D34">
        <w:rPr>
          <w:rStyle w:val="libFootnoteBoldChar"/>
          <w:rtl/>
        </w:rPr>
        <w:t>التهذيب</w:t>
      </w:r>
      <w:r w:rsidR="00E3253D" w:rsidRPr="005D642E">
        <w:rPr>
          <w:rtl/>
        </w:rPr>
        <w:t xml:space="preserve"> ، ج 1 ، ص 249 ، ح 716 ، معلّقاً عن أحمد بن محمّد ، عن عليّ بن الحكم ، عن أبي إسحاق النحوي ، عن أبي عبدالله </w:t>
      </w:r>
      <w:r w:rsidR="00E3253D" w:rsidRPr="00826FF3">
        <w:rPr>
          <w:rStyle w:val="libFootnoteAlaemChar"/>
          <w:rtl/>
        </w:rPr>
        <w:t>عليه‌السلام</w:t>
      </w:r>
      <w:r w:rsidR="00E3253D" w:rsidRPr="005D642E">
        <w:rPr>
          <w:rtl/>
        </w:rPr>
        <w:t xml:space="preserve"> ، إلى قوله : « صبّ عليه الماء مرّتين »</w:t>
      </w:r>
      <w:r w:rsidR="00E3253D">
        <w:rPr>
          <w:rtl/>
        </w:rPr>
        <w:t>.</w:t>
      </w:r>
      <w:r w:rsidR="00E3253D" w:rsidRPr="005D642E">
        <w:rPr>
          <w:rtl/>
        </w:rPr>
        <w:t xml:space="preserve"> </w:t>
      </w:r>
      <w:r w:rsidR="00E3253D" w:rsidRPr="002F4D34">
        <w:rPr>
          <w:rStyle w:val="libFootnoteBoldChar"/>
          <w:rtl/>
        </w:rPr>
        <w:t>وفيه</w:t>
      </w:r>
      <w:r w:rsidR="00E3253D" w:rsidRPr="005D642E">
        <w:rPr>
          <w:rtl/>
        </w:rPr>
        <w:t xml:space="preserve"> ، ص 250 ، ح 722 ، بسند آخر ؛ </w:t>
      </w:r>
      <w:r w:rsidR="00E3253D" w:rsidRPr="002F4D34">
        <w:rPr>
          <w:rStyle w:val="libFootnoteBoldChar"/>
          <w:rtl/>
        </w:rPr>
        <w:t>وفيه</w:t>
      </w:r>
      <w:r w:rsidR="00E3253D" w:rsidRPr="005D642E">
        <w:rPr>
          <w:rtl/>
        </w:rPr>
        <w:t xml:space="preserve"> أيضاً ، ح 722 ، بسند آخر عن أحدهما </w:t>
      </w:r>
      <w:r w:rsidR="00E3253D" w:rsidRPr="00282C6F">
        <w:rPr>
          <w:rStyle w:val="libFootnoteAlaemChar"/>
          <w:rtl/>
        </w:rPr>
        <w:t>عليهما‌السلام</w:t>
      </w:r>
      <w:r w:rsidR="00E3253D" w:rsidRPr="005D642E">
        <w:rPr>
          <w:rtl/>
        </w:rPr>
        <w:t xml:space="preserve"> ، وفيهما من قوله : « وسألته عن الثوب » إلى قوله : « واغسله مرّتين » مع اختلاف يسير. راجع : </w:t>
      </w:r>
      <w:r w:rsidR="00E3253D" w:rsidRPr="002F4D34">
        <w:rPr>
          <w:rStyle w:val="libFootnoteBoldChar"/>
          <w:rtl/>
        </w:rPr>
        <w:t>التهذيب</w:t>
      </w:r>
      <w:r w:rsidR="00E3253D" w:rsidRPr="005D642E">
        <w:rPr>
          <w:rtl/>
        </w:rPr>
        <w:t xml:space="preserve"> ، ج 1 ، ص 250 ، ح 717 </w:t>
      </w:r>
      <w:r w:rsidR="00282C6F">
        <w:rPr>
          <w:rFonts w:hint="cs"/>
          <w:rtl/>
        </w:rPr>
        <w:t>.</w:t>
      </w:r>
      <w:r w:rsidR="00E3253D" w:rsidRPr="002F4D34">
        <w:rPr>
          <w:rStyle w:val="libFootnoteBoldChar"/>
          <w:rtl/>
        </w:rPr>
        <w:t>الوافي</w:t>
      </w:r>
      <w:r w:rsidR="00E3253D" w:rsidRPr="005D642E">
        <w:rPr>
          <w:rtl/>
        </w:rPr>
        <w:t xml:space="preserve"> ، ج 6 ، ص 137 ، ح 3944 ؛ </w:t>
      </w:r>
      <w:r w:rsidR="00E3253D" w:rsidRPr="002F4D34">
        <w:rPr>
          <w:rStyle w:val="libFootnoteBoldChar"/>
          <w:rtl/>
        </w:rPr>
        <w:t>الوسائل</w:t>
      </w:r>
      <w:r w:rsidR="00E3253D" w:rsidRPr="005D642E">
        <w:rPr>
          <w:rtl/>
        </w:rPr>
        <w:t xml:space="preserve"> ، ج 1 ، ص 343 ، ح 907 ؛ وج 3 ، ص 395 ، ح 3962.</w:t>
      </w:r>
    </w:p>
    <w:p w:rsidR="00E3253D" w:rsidRDefault="0042621E" w:rsidP="00E3253D">
      <w:pPr>
        <w:pStyle w:val="libFootnote0"/>
        <w:rPr>
          <w:rtl/>
        </w:rPr>
      </w:pPr>
      <w:r w:rsidRPr="0042621E">
        <w:rPr>
          <w:rStyle w:val="libFootnote0Char"/>
          <w:rtl/>
        </w:rPr>
        <w:t>(1).</w:t>
      </w:r>
      <w:r w:rsidR="00E3253D">
        <w:rPr>
          <w:rtl/>
        </w:rPr>
        <w:t xml:space="preserve"> </w:t>
      </w:r>
      <w:r w:rsidR="00E3253D" w:rsidRPr="005D642E">
        <w:rPr>
          <w:rtl/>
        </w:rPr>
        <w:t>هكذا في « ظ ، ى ، بث ، بح ، جح ، جس »</w:t>
      </w:r>
      <w:r w:rsidR="00E3253D">
        <w:rPr>
          <w:rtl/>
        </w:rPr>
        <w:t>.</w:t>
      </w:r>
      <w:r w:rsidR="00E3253D" w:rsidRPr="005D642E">
        <w:rPr>
          <w:rtl/>
        </w:rPr>
        <w:t xml:space="preserve"> وفي « بخ ، بس » : « أحمد بن إبراهيم بن أبي محمود »</w:t>
      </w:r>
      <w:r w:rsidR="00E3253D">
        <w:rPr>
          <w:rtl/>
        </w:rPr>
        <w:t>.</w:t>
      </w:r>
      <w:r w:rsidR="00E3253D" w:rsidRPr="005D642E">
        <w:rPr>
          <w:rtl/>
        </w:rPr>
        <w:t xml:space="preserve"> وفي « بف » : « أحمد بن إبراهيم ، عن أبي محمود »</w:t>
      </w:r>
      <w:r w:rsidR="00E3253D">
        <w:rPr>
          <w:rtl/>
        </w:rPr>
        <w:t>.</w:t>
      </w:r>
      <w:r w:rsidR="00E3253D" w:rsidRPr="005D642E">
        <w:rPr>
          <w:rtl/>
        </w:rPr>
        <w:t xml:space="preserve"> وفي « جن » وحاشية « بث</w:t>
      </w:r>
      <w:r w:rsidR="00826FF3">
        <w:rPr>
          <w:rtl/>
        </w:rPr>
        <w:t xml:space="preserve"> » والمطبوع : « أحمد [ بن محمّد</w:t>
      </w:r>
      <w:r w:rsidR="00E3253D" w:rsidRPr="005D642E">
        <w:rPr>
          <w:rtl/>
        </w:rPr>
        <w:t>] ، عن إبراهيم بن أبي محمود ».</w:t>
      </w:r>
    </w:p>
    <w:p w:rsidR="00E3253D" w:rsidRPr="005D642E" w:rsidRDefault="00E3253D" w:rsidP="00E3253D">
      <w:pPr>
        <w:pStyle w:val="libFootnote0"/>
        <w:rPr>
          <w:rtl/>
          <w:lang w:bidi="fa-IR"/>
        </w:rPr>
      </w:pPr>
      <w:r w:rsidRPr="005D642E">
        <w:rPr>
          <w:rtl/>
        </w:rPr>
        <w:t xml:space="preserve">هذا ، وقد روى أحمد بن محمّد بن عيسى كتاب إبراهيم بن أبي محمود ، وتوسّط بينه وبين محمّد بن يحيى في بعض الأسناد. راجع : </w:t>
      </w:r>
      <w:r w:rsidRPr="002F4D34">
        <w:rPr>
          <w:rStyle w:val="libFootnoteBoldChar"/>
          <w:rtl/>
        </w:rPr>
        <w:t>رجال النجاشي</w:t>
      </w:r>
      <w:r w:rsidRPr="005D642E">
        <w:rPr>
          <w:rtl/>
        </w:rPr>
        <w:t xml:space="preserve"> ، ص 25 ، الرقم 43 ؛ </w:t>
      </w:r>
      <w:r w:rsidR="0059794D" w:rsidRPr="0059794D">
        <w:rPr>
          <w:rStyle w:val="libFootnoteBoldChar"/>
          <w:rtl/>
        </w:rPr>
        <w:t>الفهرست للطوسي</w:t>
      </w:r>
      <w:r w:rsidRPr="005D642E">
        <w:rPr>
          <w:rtl/>
        </w:rPr>
        <w:t xml:space="preserve"> ، ص 19 ، الرقم 15 ؛ </w:t>
      </w:r>
      <w:r w:rsidRPr="002F4D34">
        <w:rPr>
          <w:rStyle w:val="libFootnoteBoldChar"/>
          <w:rtl/>
        </w:rPr>
        <w:t>معجم رجال الحديث</w:t>
      </w:r>
      <w:r w:rsidRPr="005D642E">
        <w:rPr>
          <w:rtl/>
        </w:rPr>
        <w:t xml:space="preserve"> ، ج 2 ، ص 485 ؛ وص 659.</w:t>
      </w:r>
    </w:p>
    <w:p w:rsidR="00E3253D" w:rsidRPr="005D642E" w:rsidRDefault="00E3253D" w:rsidP="00B60612">
      <w:pPr>
        <w:pStyle w:val="libFootnote0"/>
        <w:rPr>
          <w:rtl/>
          <w:lang w:bidi="fa-IR"/>
        </w:rPr>
      </w:pPr>
      <w:r w:rsidRPr="0095070A">
        <w:rPr>
          <w:rtl/>
        </w:rPr>
        <w:t>فعليه يكون السند معلّقاً على سابقه ، ويروي عن أحمد ، محمّد بن يحيى.</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الطنفسة » مثلّثة الطاء والفاء وبكسر الطاء وفتح الفاء وبالعكس : واحدة الطنافس للبسط والثياب. وقيل : هي‌النُمْرُقة فوق الرجل. وقيل أيضاً : هي بساط له خَمْل رقيق. وقيل أيضاً : هو ما يجعل تحت الرحل على كتفي البعير. راجع : </w:t>
      </w:r>
      <w:r w:rsidR="00E3253D" w:rsidRPr="002F4D34">
        <w:rPr>
          <w:rStyle w:val="libFootnoteBoldChar"/>
          <w:rtl/>
        </w:rPr>
        <w:t>لسان العرب</w:t>
      </w:r>
      <w:r w:rsidR="00E3253D" w:rsidRPr="005D642E">
        <w:rPr>
          <w:rtl/>
        </w:rPr>
        <w:t xml:space="preserve"> ، ج 6 ، ص 127 ؛ </w:t>
      </w:r>
      <w:r w:rsidR="00E3253D" w:rsidRPr="002F4D34">
        <w:rPr>
          <w:rStyle w:val="libFootnoteBoldChar"/>
          <w:rtl/>
        </w:rPr>
        <w:t>المصباح المنير</w:t>
      </w:r>
      <w:r w:rsidR="00E3253D" w:rsidRPr="005D642E">
        <w:rPr>
          <w:rtl/>
        </w:rPr>
        <w:t xml:space="preserve"> ، ص 374 ( طنفس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بها »</w:t>
      </w:r>
      <w:r w:rsidR="00E3253D">
        <w:rPr>
          <w:rtl/>
        </w:rPr>
        <w:t>.</w:t>
      </w:r>
      <w:r w:rsidR="00E3253D" w:rsidRPr="005D642E">
        <w:rPr>
          <w:rtl/>
        </w:rPr>
        <w:t xml:space="preserve"> وفي الفقيه :</w:t>
      </w:r>
      <w:r w:rsidR="00E3253D">
        <w:rPr>
          <w:rtl/>
        </w:rPr>
        <w:t xml:space="preserve"> </w:t>
      </w:r>
      <w:r w:rsidR="007642BC">
        <w:rPr>
          <w:rtl/>
        </w:rPr>
        <w:t>-</w:t>
      </w:r>
      <w:r w:rsidR="00E3253D">
        <w:rPr>
          <w:rtl/>
        </w:rPr>
        <w:t xml:space="preserve"> </w:t>
      </w:r>
      <w:r w:rsidR="00E3253D" w:rsidRPr="005D642E">
        <w:rPr>
          <w:rtl/>
        </w:rPr>
        <w:t>« بهما »</w:t>
      </w:r>
      <w:r w:rsidR="00E3253D">
        <w:rPr>
          <w:rtl/>
        </w:rPr>
        <w:t>.</w:t>
      </w:r>
      <w:r w:rsidR="00E3253D" w:rsidRPr="005D642E">
        <w:rPr>
          <w:rtl/>
        </w:rPr>
        <w:t xml:space="preserve"> في التهذيب : « به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ثَخِينٌ » ، أي كثيف وغليظ وصُلْب. راجع : </w:t>
      </w:r>
      <w:r w:rsidR="00E3253D" w:rsidRPr="002F4D34">
        <w:rPr>
          <w:rStyle w:val="libFootnoteBoldChar"/>
          <w:rtl/>
        </w:rPr>
        <w:t>الصحاح</w:t>
      </w:r>
      <w:r w:rsidR="00E3253D" w:rsidRPr="005D642E">
        <w:rPr>
          <w:rtl/>
        </w:rPr>
        <w:t xml:space="preserve"> ، ج 5 ، ص 2087 ؛ </w:t>
      </w:r>
      <w:r w:rsidR="00E3253D" w:rsidRPr="002F4D34">
        <w:rPr>
          <w:rStyle w:val="libFootnoteBoldChar"/>
          <w:rtl/>
        </w:rPr>
        <w:t>لسان العرب</w:t>
      </w:r>
      <w:r w:rsidR="00E3253D" w:rsidRPr="005D642E">
        <w:rPr>
          <w:rtl/>
        </w:rPr>
        <w:t xml:space="preserve"> ، ج 13 ، ص 77 ( ثخن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الحَشْوُ : مل‌ءُ الوسادة وغيرها بشي‌ء ، واسم ذلك الشي‌ء أيضاً الحشو على لفظ المصدر ؛ لأنّه يُحشى به الفرش وغيرها. راجع : </w:t>
      </w:r>
      <w:r w:rsidR="00E3253D" w:rsidRPr="002F4D34">
        <w:rPr>
          <w:rStyle w:val="libFootnoteBoldChar"/>
          <w:rtl/>
        </w:rPr>
        <w:t>النهاية</w:t>
      </w:r>
      <w:r w:rsidR="00E3253D" w:rsidRPr="005D642E">
        <w:rPr>
          <w:rtl/>
        </w:rPr>
        <w:t xml:space="preserve"> ، ج 1 ، ص 392 ؛ </w:t>
      </w:r>
      <w:r w:rsidR="00E3253D" w:rsidRPr="002F4D34">
        <w:rPr>
          <w:rStyle w:val="libFootnoteBoldChar"/>
          <w:rtl/>
        </w:rPr>
        <w:t>لسان العرب</w:t>
      </w:r>
      <w:r w:rsidR="00E3253D" w:rsidRPr="005D642E">
        <w:rPr>
          <w:rtl/>
        </w:rPr>
        <w:t xml:space="preserve"> ، ج 14 ، ص 180 ( حشا )</w:t>
      </w:r>
      <w:r w:rsidR="00E3253D">
        <w:rPr>
          <w:rtl/>
        </w:rPr>
        <w:t>.</w:t>
      </w:r>
    </w:p>
    <w:p w:rsidR="00E3253D" w:rsidRPr="005D642E" w:rsidRDefault="0042621E" w:rsidP="00E3253D">
      <w:pPr>
        <w:pStyle w:val="libFootnote0"/>
        <w:rPr>
          <w:rtl/>
          <w:lang w:bidi="fa-IR"/>
        </w:rPr>
      </w:pPr>
      <w:r w:rsidRPr="0042621E">
        <w:rPr>
          <w:rStyle w:val="libFootnote0Char"/>
          <w:rtl/>
        </w:rPr>
        <w:t>(6).</w:t>
      </w:r>
      <w:r w:rsidR="00282C6F">
        <w:rPr>
          <w:rtl/>
        </w:rPr>
        <w:t xml:space="preserve"> حمله العل</w:t>
      </w:r>
      <w:r w:rsidR="00282C6F">
        <w:rPr>
          <w:rFonts w:hint="cs"/>
          <w:rtl/>
        </w:rPr>
        <w:t>ّ</w:t>
      </w:r>
      <w:r w:rsidR="00282C6F">
        <w:rPr>
          <w:rtl/>
        </w:rPr>
        <w:t>ا</w:t>
      </w:r>
      <w:r w:rsidR="00E3253D" w:rsidRPr="005D642E">
        <w:rPr>
          <w:rtl/>
        </w:rPr>
        <w:t xml:space="preserve">مة في </w:t>
      </w:r>
      <w:r w:rsidR="00E3253D" w:rsidRPr="002F4D34">
        <w:rPr>
          <w:rStyle w:val="libFootnoteBoldChar"/>
          <w:rtl/>
        </w:rPr>
        <w:t>منتهى المطلب</w:t>
      </w:r>
      <w:r w:rsidR="00E3253D" w:rsidRPr="005D642E">
        <w:rPr>
          <w:rtl/>
        </w:rPr>
        <w:t xml:space="preserve"> ، ج 3 ، ص 267 على ما إذا لم تسر النجاسة في أجزائه وأمّا مع سريانها فيغسل الجميع ، ثمّ قال : « واكتفى بالتقليب والدقّ عن العصر »</w:t>
      </w:r>
      <w:r w:rsidR="00E3253D">
        <w:rPr>
          <w:rtl/>
        </w:rPr>
        <w:t>.</w:t>
      </w:r>
      <w:r w:rsidR="00E3253D" w:rsidRPr="005D642E">
        <w:rPr>
          <w:rtl/>
        </w:rPr>
        <w:t xml:space="preserve"> وقال الشيخ البهائي في </w:t>
      </w:r>
      <w:r w:rsidR="00E3253D" w:rsidRPr="002F4D34">
        <w:rPr>
          <w:rStyle w:val="libFootnoteBoldChar"/>
          <w:rtl/>
        </w:rPr>
        <w:t>مشرق الشمسين</w:t>
      </w:r>
      <w:r w:rsidR="00E3253D" w:rsidRPr="005D642E">
        <w:rPr>
          <w:rtl/>
        </w:rPr>
        <w:t xml:space="preserve"> ، ص 413 : « لعلّ الاكتفاء بغسل ظاهره إذا لم يعلم نفوذ البول إلى أعماقه »</w:t>
      </w:r>
      <w:r w:rsidR="00E3253D">
        <w:rPr>
          <w:rtl/>
        </w:rPr>
        <w:t>.</w:t>
      </w:r>
      <w:r w:rsidR="00E3253D" w:rsidRPr="005D642E">
        <w:rPr>
          <w:rtl/>
        </w:rPr>
        <w:t xml:space="preserve"> وقال نحوه في </w:t>
      </w:r>
      <w:r w:rsidR="00E3253D" w:rsidRPr="002F4D34">
        <w:rPr>
          <w:rStyle w:val="libFootnoteBoldChar"/>
          <w:rtl/>
        </w:rPr>
        <w:t>الحبل المتين</w:t>
      </w:r>
      <w:r w:rsidR="00E3253D" w:rsidRPr="005D642E">
        <w:rPr>
          <w:rtl/>
        </w:rPr>
        <w:t xml:space="preserve"> ، ص 322. وقيل غير ذلك ، فراجع : </w:t>
      </w:r>
      <w:r w:rsidR="00E3253D" w:rsidRPr="002F4D34">
        <w:rPr>
          <w:rStyle w:val="libFootnoteBoldChar"/>
          <w:rtl/>
        </w:rPr>
        <w:t>مرآة العقول</w:t>
      </w:r>
      <w:r w:rsidR="00E3253D" w:rsidRPr="005D642E">
        <w:rPr>
          <w:rtl/>
        </w:rPr>
        <w:t xml:space="preserve"> ، ج 13 ، ص 157</w:t>
      </w:r>
      <w:r w:rsidR="00E3253D">
        <w:rPr>
          <w:rtl/>
        </w:rPr>
        <w:t xml:space="preserve"> </w:t>
      </w:r>
      <w:r w:rsidR="007642BC">
        <w:rPr>
          <w:rtl/>
        </w:rPr>
        <w:t>-</w:t>
      </w:r>
      <w:r w:rsidR="00E3253D">
        <w:rPr>
          <w:rtl/>
        </w:rPr>
        <w:t xml:space="preserve"> </w:t>
      </w:r>
      <w:r w:rsidR="00E3253D" w:rsidRPr="005D642E">
        <w:rPr>
          <w:rtl/>
        </w:rPr>
        <w:t>158.</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251 ، ح 724 ، معلّقاً عن أحمد بن محمّد. </w:t>
      </w:r>
      <w:r w:rsidR="00E3253D" w:rsidRPr="002F4D34">
        <w:rPr>
          <w:rStyle w:val="libFootnoteBoldChar"/>
          <w:rtl/>
        </w:rPr>
        <w:t>الفقيه</w:t>
      </w:r>
      <w:r w:rsidR="00E3253D" w:rsidRPr="005D642E">
        <w:rPr>
          <w:rtl/>
        </w:rPr>
        <w:t xml:space="preserve"> ، ج 1 ، ص 69 ، ح 159 ، معلّقاً عن </w:t>
      </w:r>
      <w:r w:rsidR="000854F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9B1711">
        <w:rPr>
          <w:rtl/>
        </w:rPr>
        <w:lastRenderedPageBreak/>
        <w:t>4070</w:t>
      </w:r>
      <w:r w:rsidRPr="00246318">
        <w:rPr>
          <w:rStyle w:val="libBold2Char"/>
          <w:rtl/>
        </w:rPr>
        <w:t xml:space="preserve"> / 3.</w:t>
      </w:r>
      <w:r w:rsidRPr="005D642E">
        <w:rPr>
          <w:rtl/>
          <w:lang w:bidi="fa-IR"/>
        </w:rPr>
        <w:t xml:space="preserve"> أَحْمَدُ </w:t>
      </w:r>
      <w:r w:rsidRPr="007C12DB">
        <w:rPr>
          <w:rStyle w:val="libFootnotenumChar"/>
          <w:rtl/>
        </w:rPr>
        <w:t>(1)</w:t>
      </w:r>
      <w:r w:rsidRPr="005D642E">
        <w:rPr>
          <w:rtl/>
          <w:lang w:bidi="fa-IR"/>
        </w:rPr>
        <w:t xml:space="preserve"> ، عَنْ مُوسَى بْنِ الْقَاسِمِ ، عَنْ إِبْرَاهِيمَ بْنِ عَبْدِ الْحَمِيدِ ، قَالَ :</w:t>
      </w:r>
    </w:p>
    <w:p w:rsidR="00E3253D" w:rsidRPr="005D642E" w:rsidRDefault="00E3253D" w:rsidP="00E3253D">
      <w:pPr>
        <w:pStyle w:val="libNormal"/>
        <w:rPr>
          <w:rtl/>
          <w:lang w:bidi="fa-IR"/>
        </w:rPr>
      </w:pPr>
      <w:r w:rsidRPr="005D642E">
        <w:rPr>
          <w:rtl/>
          <w:lang w:bidi="fa-IR"/>
        </w:rPr>
        <w:t xml:space="preserve">سَأَلْتُ أَبَا الْحَسَنِ </w:t>
      </w:r>
      <w:r w:rsidRPr="00AC51C5">
        <w:rPr>
          <w:rStyle w:val="libAlaemChar"/>
          <w:rtl/>
        </w:rPr>
        <w:t>عليه‌السلام</w:t>
      </w:r>
      <w:r w:rsidRPr="005D642E">
        <w:rPr>
          <w:rtl/>
          <w:lang w:bidi="fa-IR"/>
        </w:rPr>
        <w:t xml:space="preserve"> عَنِ الثَّوْبِ يُصِيبُهُ الْبَوْلُ ، فَيَنْفُذُ إِلَى الْجَانِبِ الْآخَرِ ، وَعَنِ الْفَرْوِ </w:t>
      </w:r>
      <w:r w:rsidRPr="007C12DB">
        <w:rPr>
          <w:rStyle w:val="libFootnotenumChar"/>
          <w:rtl/>
        </w:rPr>
        <w:t>(2)</w:t>
      </w:r>
      <w:r w:rsidRPr="005D642E">
        <w:rPr>
          <w:rtl/>
          <w:lang w:bidi="fa-IR"/>
        </w:rPr>
        <w:t xml:space="preserve"> وَمَا فِيهِ مِنَ الْحَشْوِ</w:t>
      </w:r>
      <w:r>
        <w:rPr>
          <w:rtl/>
          <w:lang w:bidi="fa-IR"/>
        </w:rPr>
        <w:t>؟</w:t>
      </w:r>
    </w:p>
    <w:p w:rsidR="00E3253D" w:rsidRPr="005D642E" w:rsidRDefault="00E3253D" w:rsidP="00E3253D">
      <w:pPr>
        <w:pStyle w:val="libNormal"/>
        <w:rPr>
          <w:rtl/>
          <w:lang w:bidi="fa-IR"/>
        </w:rPr>
      </w:pPr>
      <w:r w:rsidRPr="005D642E">
        <w:rPr>
          <w:rtl/>
          <w:lang w:bidi="fa-IR"/>
        </w:rPr>
        <w:t xml:space="preserve">قَالَ : « اغْسِلْ مَا أَصَابَ </w:t>
      </w:r>
      <w:r w:rsidRPr="007C12DB">
        <w:rPr>
          <w:rStyle w:val="libFootnotenumChar"/>
          <w:rtl/>
        </w:rPr>
        <w:t>(3)</w:t>
      </w:r>
      <w:r w:rsidRPr="005D642E">
        <w:rPr>
          <w:rtl/>
          <w:lang w:bidi="fa-IR"/>
        </w:rPr>
        <w:t xml:space="preserve"> مِنْهُ ، وَمَسَّ </w:t>
      </w:r>
      <w:r w:rsidRPr="007C12DB">
        <w:rPr>
          <w:rStyle w:val="libFootnotenumChar"/>
          <w:rtl/>
        </w:rPr>
        <w:t>(4)</w:t>
      </w:r>
      <w:r w:rsidRPr="005D642E">
        <w:rPr>
          <w:rtl/>
          <w:lang w:bidi="fa-IR"/>
        </w:rPr>
        <w:t xml:space="preserve"> الْجَانِبَ الْآخَرَ ، فَإِنْ أَصَبْتَ مَسَّ </w:t>
      </w:r>
      <w:r w:rsidRPr="007C12DB">
        <w:rPr>
          <w:rStyle w:val="libFootnotenumChar"/>
          <w:rtl/>
        </w:rPr>
        <w:t>(5)</w:t>
      </w:r>
      <w:r w:rsidRPr="005D642E">
        <w:rPr>
          <w:rtl/>
          <w:lang w:bidi="fa-IR"/>
        </w:rPr>
        <w:t xml:space="preserve"> شَيْ‌ءٍ مِنْهُ ، فَاغْسِل</w:t>
      </w:r>
      <w:r w:rsidR="0084221D">
        <w:rPr>
          <w:rtl/>
          <w:lang w:bidi="fa-IR"/>
        </w:rPr>
        <w:t>ْهُ ، وَإِل</w:t>
      </w:r>
      <w:r w:rsidR="0084221D">
        <w:rPr>
          <w:rFonts w:hint="cs"/>
          <w:rtl/>
          <w:lang w:bidi="fa-IR"/>
        </w:rPr>
        <w:t>َّ</w:t>
      </w:r>
      <w:r w:rsidR="0084221D">
        <w:rPr>
          <w:rtl/>
          <w:lang w:bidi="fa-IR"/>
        </w:rPr>
        <w:t>ا</w:t>
      </w:r>
      <w:r w:rsidRPr="005D642E">
        <w:rPr>
          <w:rtl/>
          <w:lang w:bidi="fa-IR"/>
        </w:rPr>
        <w:t xml:space="preserve"> فَانْضَحْهُ بِالْمَاءِ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9B1711">
        <w:rPr>
          <w:rtl/>
        </w:rPr>
        <w:t>4071</w:t>
      </w:r>
      <w:r w:rsidRPr="00246318">
        <w:rPr>
          <w:rStyle w:val="libBold2Char"/>
          <w:rtl/>
        </w:rPr>
        <w:t xml:space="preserve"> / 4.</w:t>
      </w:r>
      <w:r w:rsidRPr="005D642E">
        <w:rPr>
          <w:rtl/>
          <w:lang w:bidi="fa-IR"/>
        </w:rPr>
        <w:t xml:space="preserve"> عَلِيُّ بْنُ إِبْرَاهِيمَ ، عَنْ أَبِيهِ ، عَنِ ابْنِ أَبِي عُمَيْرٍ ، عَنْ هِشَامِ بْنِ سَالِمٍ ، عَنْ حَكَمِ بْنِ حُكَيْمٍ الصَّيْرَفِيِّ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أَبُولُ ، فَلَا أُصِيبُ </w:t>
      </w:r>
      <w:r w:rsidRPr="007C12DB">
        <w:rPr>
          <w:rStyle w:val="libFootnotenumChar"/>
          <w:rtl/>
        </w:rPr>
        <w:t>(7)</w:t>
      </w:r>
      <w:r w:rsidRPr="005D642E">
        <w:rPr>
          <w:rtl/>
          <w:lang w:bidi="fa-IR"/>
        </w:rPr>
        <w:t xml:space="preserve"> الْمَاءَ </w:t>
      </w:r>
      <w:r w:rsidRPr="007C12DB">
        <w:rPr>
          <w:rStyle w:val="libFootnotenumChar"/>
          <w:rtl/>
        </w:rPr>
        <w:t>(8)</w:t>
      </w:r>
      <w:r w:rsidRPr="005D642E">
        <w:rPr>
          <w:rtl/>
          <w:lang w:bidi="fa-IR"/>
        </w:rPr>
        <w:t xml:space="preserve"> وَقَدْ أَصَابَ يَدِي شَيْ‌ءٌ مِنَ الْبَوْلِ ،</w:t>
      </w:r>
      <w:r>
        <w:rPr>
          <w:rFonts w:hint="cs"/>
          <w:rtl/>
          <w:lang w:bidi="fa-IR"/>
        </w:rPr>
        <w:t xml:space="preserve"> </w:t>
      </w:r>
      <w:r w:rsidRPr="005D642E">
        <w:rPr>
          <w:rtl/>
          <w:lang w:bidi="fa-IR"/>
        </w:rPr>
        <w:t xml:space="preserve">فَأَمْسَحُهُ بِالْحَائِطِ وَالتُّرَابِ </w:t>
      </w:r>
      <w:r w:rsidRPr="007C12DB">
        <w:rPr>
          <w:rStyle w:val="libFootnotenumChar"/>
          <w:rtl/>
        </w:rPr>
        <w:t>(9)</w:t>
      </w:r>
      <w:r w:rsidRPr="005D642E">
        <w:rPr>
          <w:rtl/>
          <w:lang w:bidi="fa-IR"/>
        </w:rPr>
        <w:t xml:space="preserve"> ، ثُمَّ تَعْرَقُ يَدِي ، فَأَمْسَحُ </w:t>
      </w:r>
      <w:r w:rsidRPr="007C12DB">
        <w:rPr>
          <w:rStyle w:val="libFootnotenumChar"/>
          <w:rtl/>
        </w:rPr>
        <w:t>(10)</w:t>
      </w:r>
      <w:r w:rsidRPr="005D642E">
        <w:rPr>
          <w:rtl/>
          <w:lang w:bidi="fa-IR"/>
        </w:rPr>
        <w:t xml:space="preserve"> وَجْهِي ، أَوْ بَعْضَ جَسَدِي ، أَوْ يُصِيبُ ثَوْبِي</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593A39" w:rsidP="00E3253D">
      <w:pPr>
        <w:pStyle w:val="libFootnote0"/>
        <w:rPr>
          <w:rtl/>
          <w:lang w:bidi="fa-IR"/>
        </w:rPr>
      </w:pPr>
      <w:r>
        <w:rPr>
          <w:rFonts w:hint="cs"/>
          <w:rtl/>
        </w:rPr>
        <w:t xml:space="preserve">= </w:t>
      </w:r>
      <w:r w:rsidR="00E3253D" w:rsidRPr="005D642E">
        <w:rPr>
          <w:rtl/>
        </w:rPr>
        <w:t xml:space="preserve">إبراهيم بن أبي محمود ، مع اختلاف يسير. وفي </w:t>
      </w:r>
      <w:r w:rsidR="00E3253D" w:rsidRPr="002F4D34">
        <w:rPr>
          <w:rStyle w:val="libFootnoteBoldChar"/>
          <w:rtl/>
        </w:rPr>
        <w:t>مسائل عليّ بن جعفر</w:t>
      </w:r>
      <w:r w:rsidR="00E3253D" w:rsidRPr="005D642E">
        <w:rPr>
          <w:rtl/>
        </w:rPr>
        <w:t xml:space="preserve"> ، ص 192 ؛ </w:t>
      </w:r>
      <w:r w:rsidR="00E3253D" w:rsidRPr="003B3913">
        <w:rPr>
          <w:rStyle w:val="libFootnoteBoldChar"/>
          <w:rtl/>
        </w:rPr>
        <w:t>وقرب الإسناد</w:t>
      </w:r>
      <w:r w:rsidR="00E3253D" w:rsidRPr="005D642E">
        <w:rPr>
          <w:rtl/>
        </w:rPr>
        <w:t xml:space="preserve"> ، ص 281 ، ح 1114 ، بسند آخر عن موسى بن جعفر </w:t>
      </w:r>
      <w:r w:rsidR="00E3253D" w:rsidRPr="00361969">
        <w:rPr>
          <w:rStyle w:val="libFootnoteAlaemChar"/>
          <w:rtl/>
        </w:rPr>
        <w:t>عليهما‌السلام</w:t>
      </w:r>
      <w:r w:rsidR="00E3253D" w:rsidRPr="005D642E">
        <w:rPr>
          <w:rtl/>
        </w:rPr>
        <w:t xml:space="preserve"> ، مع اختلاف وزيادة </w:t>
      </w:r>
      <w:r w:rsidR="00361969">
        <w:rPr>
          <w:rFonts w:hint="cs"/>
          <w:rtl/>
        </w:rPr>
        <w:t>.</w:t>
      </w:r>
      <w:r w:rsidR="00E3253D" w:rsidRPr="002F4D34">
        <w:rPr>
          <w:rStyle w:val="libFootnoteBoldChar"/>
          <w:rtl/>
        </w:rPr>
        <w:t>الوافي</w:t>
      </w:r>
      <w:r w:rsidR="00E3253D" w:rsidRPr="005D642E">
        <w:rPr>
          <w:rtl/>
        </w:rPr>
        <w:t xml:space="preserve"> ، ج 6 ، ص 140 ، ح 3953 ؛ </w:t>
      </w:r>
      <w:r w:rsidR="00E3253D" w:rsidRPr="002F4D34">
        <w:rPr>
          <w:rStyle w:val="libFootnoteBoldChar"/>
          <w:rtl/>
        </w:rPr>
        <w:t>الوسائل</w:t>
      </w:r>
      <w:r w:rsidR="00E3253D" w:rsidRPr="005D642E">
        <w:rPr>
          <w:rtl/>
        </w:rPr>
        <w:t xml:space="preserve"> ، ج 3 ، ص 400 ، ح 3972.</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 كسابقه.</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الفَرْوُ » : الذي يلبس من الجلود التي صوفها معها ، والجمع : الفِراء. راجع : </w:t>
      </w:r>
      <w:r w:rsidR="00E3253D" w:rsidRPr="002F4D34">
        <w:rPr>
          <w:rStyle w:val="libFootnoteBoldChar"/>
          <w:rtl/>
        </w:rPr>
        <w:t>لسان العرب</w:t>
      </w:r>
      <w:r w:rsidR="00E3253D" w:rsidRPr="005D642E">
        <w:rPr>
          <w:rtl/>
        </w:rPr>
        <w:t xml:space="preserve"> ، ج 15 ، ص 151</w:t>
      </w:r>
      <w:r w:rsidR="00E3253D">
        <w:rPr>
          <w:rtl/>
        </w:rPr>
        <w:t xml:space="preserve"> </w:t>
      </w:r>
      <w:r w:rsidR="007642BC">
        <w:rPr>
          <w:rtl/>
        </w:rPr>
        <w:t>-</w:t>
      </w:r>
      <w:r w:rsidR="00E3253D">
        <w:rPr>
          <w:rtl/>
        </w:rPr>
        <w:t xml:space="preserve"> </w:t>
      </w:r>
      <w:r w:rsidR="00E3253D" w:rsidRPr="005D642E">
        <w:rPr>
          <w:rtl/>
        </w:rPr>
        <w:t>152 ( فرا )</w:t>
      </w:r>
      <w:r w:rsidR="00E3253D">
        <w:rPr>
          <w:rtl/>
        </w:rPr>
        <w:t>.</w:t>
      </w:r>
    </w:p>
    <w:p w:rsidR="00E3253D" w:rsidRPr="005D642E" w:rsidRDefault="0042621E" w:rsidP="00900532">
      <w:pPr>
        <w:pStyle w:val="libFootnote0"/>
        <w:rPr>
          <w:rtl/>
          <w:lang w:bidi="fa-IR"/>
        </w:rPr>
      </w:pPr>
      <w:r w:rsidRPr="00900532">
        <w:rPr>
          <w:rtl/>
        </w:rPr>
        <w:t>(3).</w:t>
      </w:r>
      <w:r w:rsidR="00E3253D" w:rsidRPr="005D642E">
        <w:rPr>
          <w:rtl/>
        </w:rPr>
        <w:t xml:space="preserve"> في حاشية « جن » : « ا</w:t>
      </w:r>
      <w:r w:rsidR="0018670F">
        <w:rPr>
          <w:rFonts w:hint="cs"/>
          <w:rtl/>
        </w:rPr>
        <w:t>ُ</w:t>
      </w:r>
      <w:r w:rsidR="00E3253D" w:rsidRPr="005D642E">
        <w:rPr>
          <w:rtl/>
        </w:rPr>
        <w:t>صيب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غ » : « رشّ »</w:t>
      </w:r>
      <w:r w:rsidR="00E3253D">
        <w:rPr>
          <w:rtl/>
        </w:rPr>
        <w:t>.</w:t>
      </w:r>
      <w:r w:rsidR="00E3253D" w:rsidRPr="005D642E">
        <w:rPr>
          <w:rtl/>
        </w:rPr>
        <w:t xml:space="preserve"> وفي حاشية « بث ، بس » : « رمّس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من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6 ، ص 140 ، ح 3954 ؛ </w:t>
      </w:r>
      <w:r w:rsidR="00E3253D" w:rsidRPr="002F4D34">
        <w:rPr>
          <w:rStyle w:val="libFootnoteBoldChar"/>
          <w:rtl/>
        </w:rPr>
        <w:t>الوسائل</w:t>
      </w:r>
      <w:r w:rsidR="00E3253D" w:rsidRPr="005D642E">
        <w:rPr>
          <w:rtl/>
        </w:rPr>
        <w:t xml:space="preserve"> ، ج 3 ، ص 400 ، ح 3973.</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w:t>
      </w:r>
      <w:r w:rsidR="00B60612" w:rsidRPr="00B60612">
        <w:rPr>
          <w:rStyle w:val="libFootnoteBoldChar"/>
          <w:rtl/>
        </w:rPr>
        <w:t>والتهذيب</w:t>
      </w:r>
      <w:r w:rsidR="00E3253D" w:rsidRPr="005D642E">
        <w:rPr>
          <w:rtl/>
        </w:rPr>
        <w:t xml:space="preserve"> : « ولا ا</w:t>
      </w:r>
      <w:r w:rsidR="0018670F">
        <w:rPr>
          <w:rFonts w:hint="cs"/>
          <w:rtl/>
        </w:rPr>
        <w:t>ُ</w:t>
      </w:r>
      <w:r w:rsidR="00E3253D" w:rsidRPr="005D642E">
        <w:rPr>
          <w:rtl/>
        </w:rPr>
        <w:t>صيب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الماء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معظم النسخ </w:t>
      </w:r>
      <w:r w:rsidR="000D749A" w:rsidRPr="000D749A">
        <w:rPr>
          <w:rStyle w:val="libFootnoteBoldChar"/>
          <w:rtl/>
        </w:rPr>
        <w:t>والوافي</w:t>
      </w:r>
      <w:r w:rsidR="00E3253D" w:rsidRPr="005D642E">
        <w:rPr>
          <w:rtl/>
        </w:rPr>
        <w:t>. وفي « ظ ، جس » والمطبوع : « أو التراب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الوافي : + « فأمسّ</w:t>
      </w:r>
      <w:r w:rsidR="00E3253D">
        <w:rPr>
          <w:rtl/>
        </w:rPr>
        <w:t xml:space="preserve"> </w:t>
      </w:r>
      <w:r w:rsidR="007642BC">
        <w:rPr>
          <w:rtl/>
        </w:rPr>
        <w:t>-</w:t>
      </w:r>
      <w:r w:rsidR="00E3253D">
        <w:rPr>
          <w:rtl/>
        </w:rPr>
        <w:t xml:space="preserve"> </w:t>
      </w:r>
      <w:r w:rsidR="00E3253D" w:rsidRPr="005D642E">
        <w:rPr>
          <w:rtl/>
        </w:rPr>
        <w:t>خ ل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لَا بَأْسَ بِهِ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9B1711">
        <w:rPr>
          <w:rtl/>
        </w:rPr>
        <w:t>4072</w:t>
      </w:r>
      <w:r w:rsidRPr="00246318">
        <w:rPr>
          <w:rStyle w:val="libBold2Char"/>
          <w:rtl/>
        </w:rPr>
        <w:t xml:space="preserve"> / 5.</w:t>
      </w:r>
      <w:r w:rsidRPr="005D642E">
        <w:rPr>
          <w:rtl/>
          <w:lang w:bidi="fa-IR"/>
        </w:rPr>
        <w:t xml:space="preserve"> عَلِيُّ بْنُ إِبْرَاهِيمَ ، عَنْ أَبِيهِ ، عَنْ عَبْدِ اللهِ بْنِ الْمُغِيرَةِ أَنَّهُ قَالَ :</w:t>
      </w:r>
    </w:p>
    <w:p w:rsidR="00E3253D" w:rsidRPr="005D642E" w:rsidRDefault="00E3253D" w:rsidP="00E3253D">
      <w:pPr>
        <w:pStyle w:val="libNormal"/>
        <w:rPr>
          <w:rtl/>
          <w:lang w:bidi="fa-IR"/>
        </w:rPr>
      </w:pPr>
      <w:r w:rsidRPr="005D642E">
        <w:rPr>
          <w:rtl/>
          <w:lang w:bidi="fa-IR"/>
        </w:rPr>
        <w:t xml:space="preserve">فِي كِتَابِ سَمَاعَةَ رَفَعَهُ إِلى أَبِي عَبْدِ اللهِ </w:t>
      </w:r>
      <w:r w:rsidRPr="00AC51C5">
        <w:rPr>
          <w:rStyle w:val="libAlaemChar"/>
          <w:rtl/>
        </w:rPr>
        <w:t>عليه‌السلام</w:t>
      </w:r>
      <w:r w:rsidRPr="005D642E">
        <w:rPr>
          <w:rtl/>
          <w:lang w:bidi="fa-IR"/>
        </w:rPr>
        <w:t xml:space="preserve"> </w:t>
      </w:r>
      <w:r w:rsidRPr="007C12DB">
        <w:rPr>
          <w:rStyle w:val="libFootnotenumChar"/>
          <w:rtl/>
        </w:rPr>
        <w:t>(3)</w:t>
      </w:r>
      <w:r w:rsidRPr="005D642E">
        <w:rPr>
          <w:rtl/>
          <w:lang w:bidi="fa-IR"/>
        </w:rPr>
        <w:t xml:space="preserve"> : « إِنْ أَصَابَ الثَّوْبَ شَيْ‌ءٌ مِنْ بَوْلِ السِّنَّوْرِ </w:t>
      </w:r>
      <w:r w:rsidRPr="007C12DB">
        <w:rPr>
          <w:rStyle w:val="libFootnotenumChar"/>
          <w:rtl/>
        </w:rPr>
        <w:t>(4)</w:t>
      </w:r>
      <w:r w:rsidRPr="005D642E">
        <w:rPr>
          <w:rtl/>
          <w:lang w:bidi="fa-IR"/>
        </w:rPr>
        <w:t xml:space="preserve"> ، فَلَا تَصْلُحُ </w:t>
      </w:r>
      <w:r w:rsidRPr="007C12DB">
        <w:rPr>
          <w:rStyle w:val="libFootnotenumChar"/>
          <w:rtl/>
        </w:rPr>
        <w:t>(5)</w:t>
      </w:r>
      <w:r w:rsidRPr="005D642E">
        <w:rPr>
          <w:rtl/>
          <w:lang w:bidi="fa-IR"/>
        </w:rPr>
        <w:t xml:space="preserve"> الصَّلَاةُ فِيهِ حَتّى تَغْسِلَهُ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9B1711">
        <w:rPr>
          <w:rtl/>
        </w:rPr>
        <w:t>4073</w:t>
      </w:r>
      <w:r w:rsidRPr="00246318">
        <w:rPr>
          <w:rStyle w:val="libBold2Char"/>
          <w:rtl/>
        </w:rPr>
        <w:t xml:space="preserve"> / 6.</w:t>
      </w:r>
      <w:r w:rsidRPr="005D642E">
        <w:rPr>
          <w:rtl/>
          <w:lang w:bidi="fa-IR"/>
        </w:rPr>
        <w:t xml:space="preserve"> عَلِيُّ بْنُ إِبْرَاهِيمَ ، عَنْ أَبِيهِ ، عَنِ ابْنِ أَبِي عُمَيْرٍ ، عَنْ حَمَّادٍ ، عَنِ الْحَلَبِيِّ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بَوْلِ الصَّبِيِّ</w:t>
      </w:r>
      <w:r>
        <w:rPr>
          <w:rtl/>
          <w:lang w:bidi="fa-IR"/>
        </w:rPr>
        <w:t>؟</w:t>
      </w:r>
    </w:p>
    <w:p w:rsidR="00E3253D" w:rsidRPr="005D642E" w:rsidRDefault="00E3253D" w:rsidP="00E3253D">
      <w:pPr>
        <w:pStyle w:val="libNormal"/>
        <w:rPr>
          <w:rtl/>
          <w:lang w:bidi="fa-IR"/>
        </w:rPr>
      </w:pPr>
      <w:r w:rsidRPr="005D642E">
        <w:rPr>
          <w:rtl/>
          <w:lang w:bidi="fa-IR"/>
        </w:rPr>
        <w:t xml:space="preserve">قَالَ : « تَصُبُّ </w:t>
      </w:r>
      <w:r w:rsidRPr="007C12DB">
        <w:rPr>
          <w:rStyle w:val="libFootnotenumChar"/>
          <w:rtl/>
        </w:rPr>
        <w:t>(8)</w:t>
      </w:r>
      <w:r w:rsidRPr="005D642E">
        <w:rPr>
          <w:rtl/>
          <w:lang w:bidi="fa-IR"/>
        </w:rPr>
        <w:t xml:space="preserve"> عَلَيْهِ الْمَاءَ ، وَإِنْ </w:t>
      </w:r>
      <w:r w:rsidRPr="007C12DB">
        <w:rPr>
          <w:rStyle w:val="libFootnotenumChar"/>
          <w:rtl/>
        </w:rPr>
        <w:t>(9)</w:t>
      </w:r>
      <w:r w:rsidRPr="005D642E">
        <w:rPr>
          <w:rtl/>
          <w:lang w:bidi="fa-IR"/>
        </w:rPr>
        <w:t xml:space="preserve"> كَانَ قَدْ أَكَلَ ، فَاغْسِلْهُ </w:t>
      </w:r>
      <w:r w:rsidRPr="007C12DB">
        <w:rPr>
          <w:rStyle w:val="libFootnotenumChar"/>
          <w:rtl/>
        </w:rPr>
        <w:t>(10)</w:t>
      </w:r>
      <w:r w:rsidRPr="005D642E">
        <w:rPr>
          <w:rtl/>
          <w:lang w:bidi="fa-IR"/>
        </w:rPr>
        <w:t xml:space="preserve"> غَسْلاً ، وَالْغُلَامُ وَالْجَارِيَةُ</w:t>
      </w:r>
      <w:r w:rsidRPr="007C12DB">
        <w:rPr>
          <w:rStyle w:val="libFootnotenumChar"/>
          <w:rtl/>
        </w:rPr>
        <w:t>(11)</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الوجه في ذلك أمران : أحدهما أنّ بالمسح بالحائط والتراب زال العين ولم يبق من البول شي‌ء ، فما يلاقيه برطوبة فإنّها يلاقي اليد المتنجّسة لا النجاس</w:t>
      </w:r>
      <w:r w:rsidR="00D33E37">
        <w:rPr>
          <w:rtl/>
        </w:rPr>
        <w:t>ة العينيّة ، والتطهير لايجب إل</w:t>
      </w:r>
      <w:r w:rsidR="00D33E37">
        <w:rPr>
          <w:rFonts w:hint="cs"/>
          <w:rtl/>
        </w:rPr>
        <w:t>ّ</w:t>
      </w:r>
      <w:r w:rsidR="00D33E37">
        <w:rPr>
          <w:rtl/>
        </w:rPr>
        <w:t>ا</w:t>
      </w:r>
      <w:r w:rsidR="00E3253D" w:rsidRPr="005D642E">
        <w:rPr>
          <w:rtl/>
        </w:rPr>
        <w:t>من ملاقاة عين النجاسة. والثاني أنّه لم يتيقّن إصابة البول جميع أجزاء اليد ولا وصول جميع أجزاء اليد إلى الوجه أو الجسد أو الثوب ولا شمول العرق كلّ اليد فلا يخرج شي‌ء من الثلاثة عمّا كان عليه من الطهارة باحتمال ملاقاة البول ؛ فإنّ اليقين لاينقض بالشكّ أبداً وإنّما ينقض بيقين مثله »</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مرآة العقول</w:t>
      </w:r>
      <w:r w:rsidRPr="00B60612">
        <w:rPr>
          <w:rtl/>
        </w:rPr>
        <w:t xml:space="preserve"> ، ج 13 ، ص 158 : « يمكن حمله على التقيّة لذهاب جماعة من العامّة إلى عدم وجوب إزالة ما لا يدركه الطرف من النجاسات وربّما كان عندهم القول بمطهّريّة التراب مطلقاً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250 ، ح 720 ، معلّقاً عن عليّ بن إبراهيم. </w:t>
      </w:r>
      <w:r w:rsidR="00E3253D" w:rsidRPr="002F4D34">
        <w:rPr>
          <w:rStyle w:val="libFootnoteBoldChar"/>
          <w:rtl/>
        </w:rPr>
        <w:t>الفقيه</w:t>
      </w:r>
      <w:r w:rsidR="00E3253D" w:rsidRPr="005D642E">
        <w:rPr>
          <w:rtl/>
        </w:rPr>
        <w:t xml:space="preserve"> ، ج 1 ، ص 69 ، ح 158 ، معل</w:t>
      </w:r>
      <w:r w:rsidR="00941004">
        <w:rPr>
          <w:rtl/>
        </w:rPr>
        <w:t>ّقاً عن حكم بن حكيم ابن أبي خل</w:t>
      </w:r>
      <w:r w:rsidR="00941004">
        <w:rPr>
          <w:rFonts w:hint="cs"/>
          <w:rtl/>
        </w:rPr>
        <w:t>ّ</w:t>
      </w:r>
      <w:r w:rsidR="00941004">
        <w:rPr>
          <w:rtl/>
        </w:rPr>
        <w:t>ا</w:t>
      </w:r>
      <w:r w:rsidR="00E3253D" w:rsidRPr="005D642E">
        <w:rPr>
          <w:rtl/>
        </w:rPr>
        <w:t xml:space="preserve">د ، مع اختلاف يسير </w:t>
      </w:r>
      <w:r w:rsidR="0006659D">
        <w:rPr>
          <w:rFonts w:hint="cs"/>
          <w:rtl/>
        </w:rPr>
        <w:t>.</w:t>
      </w:r>
      <w:r w:rsidR="00E3253D" w:rsidRPr="002F4D34">
        <w:rPr>
          <w:rStyle w:val="libFootnoteBoldChar"/>
          <w:rtl/>
        </w:rPr>
        <w:t>الوافي</w:t>
      </w:r>
      <w:r w:rsidR="00E3253D" w:rsidRPr="005D642E">
        <w:rPr>
          <w:rtl/>
        </w:rPr>
        <w:t xml:space="preserve"> ، ج 6 ، ص 144 ، ح 3966 ؛ </w:t>
      </w:r>
      <w:r w:rsidR="00E3253D" w:rsidRPr="002F4D34">
        <w:rPr>
          <w:rStyle w:val="libFootnoteBoldChar"/>
          <w:rtl/>
        </w:rPr>
        <w:t>الوسائل</w:t>
      </w:r>
      <w:r w:rsidR="00E3253D" w:rsidRPr="005D642E">
        <w:rPr>
          <w:rtl/>
        </w:rPr>
        <w:t xml:space="preserve"> ، ج 3 ، ص 401 ، ذيل ح 3975.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 + « قال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السِنَّوْر » : الهرّ ، وهو مشتقّ من السَنَر ، وهو ضيق الحلق. راجع : </w:t>
      </w:r>
      <w:r w:rsidR="00E3253D" w:rsidRPr="002F4D34">
        <w:rPr>
          <w:rStyle w:val="libFootnoteBoldChar"/>
          <w:rtl/>
        </w:rPr>
        <w:t>لسان العرب</w:t>
      </w:r>
      <w:r w:rsidR="00E3253D" w:rsidRPr="005D642E">
        <w:rPr>
          <w:rtl/>
        </w:rPr>
        <w:t xml:space="preserve"> ، ج 4 ، ص 381 ؛ </w:t>
      </w:r>
      <w:r w:rsidR="00E3253D" w:rsidRPr="002F4D34">
        <w:rPr>
          <w:rStyle w:val="libFootnoteBoldChar"/>
          <w:rtl/>
        </w:rPr>
        <w:t>المصباح المنير</w:t>
      </w:r>
      <w:r w:rsidR="00E3253D" w:rsidRPr="005D642E">
        <w:rPr>
          <w:rtl/>
        </w:rPr>
        <w:t xml:space="preserve"> ، ص 291 ( سنر )</w:t>
      </w:r>
      <w:r w:rsidR="00E3253D">
        <w:rPr>
          <w:rtl/>
        </w:rPr>
        <w:t>.</w:t>
      </w:r>
    </w:p>
    <w:p w:rsidR="00E3253D" w:rsidRPr="005D642E" w:rsidRDefault="0042621E" w:rsidP="00941004">
      <w:pPr>
        <w:pStyle w:val="libFootnote0"/>
        <w:rPr>
          <w:rtl/>
          <w:lang w:bidi="fa-IR"/>
        </w:rPr>
      </w:pPr>
      <w:r w:rsidRPr="0042621E">
        <w:rPr>
          <w:rStyle w:val="libFootnote0Char"/>
          <w:rtl/>
        </w:rPr>
        <w:t>(5).</w:t>
      </w:r>
      <w:r w:rsidR="00E3253D" w:rsidRPr="005D642E">
        <w:rPr>
          <w:rtl/>
        </w:rPr>
        <w:t xml:space="preserve"> هكذا في أكثر النسخ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 جن » والمطبوع : « فلا تصحّ »</w:t>
      </w:r>
      <w:r w:rsidR="00E3253D">
        <w:rPr>
          <w:rtl/>
        </w:rPr>
        <w:t>.</w:t>
      </w:r>
      <w:r w:rsidR="00E3253D" w:rsidRPr="005D642E">
        <w:rPr>
          <w:rtl/>
        </w:rPr>
        <w:t xml:space="preserve"> وفي الكافي ، ح 4083 : « فلايصلح »</w:t>
      </w:r>
      <w:r w:rsidR="00E3253D">
        <w:rPr>
          <w:rtl/>
        </w:rPr>
        <w:t>.</w:t>
      </w:r>
      <w:r w:rsidR="00941004">
        <w:rPr>
          <w:rFonts w:hint="cs"/>
          <w:rtl/>
        </w:rPr>
        <w:t xml:space="preserve">                                            </w:t>
      </w:r>
      <w:r w:rsidRPr="0042621E">
        <w:rPr>
          <w:rStyle w:val="libFootnote0Char"/>
          <w:rtl/>
        </w:rPr>
        <w:t>(6).</w:t>
      </w:r>
      <w:r w:rsidR="00E3253D" w:rsidRPr="005D642E">
        <w:rPr>
          <w:rtl/>
        </w:rPr>
        <w:t xml:space="preserve"> في « بخ ، جس » </w:t>
      </w:r>
      <w:r w:rsidR="000D749A" w:rsidRPr="000D749A">
        <w:rPr>
          <w:rStyle w:val="libFootnoteBoldChar"/>
          <w:rtl/>
        </w:rPr>
        <w:t>والوافي</w:t>
      </w:r>
      <w:r w:rsidR="00E3253D" w:rsidRPr="005D642E">
        <w:rPr>
          <w:rtl/>
        </w:rPr>
        <w:t xml:space="preserve"> والوسائل : « حتّى يغسله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أبوال الدوابّ وأرواثها ، ح 4083. وفي </w:t>
      </w:r>
      <w:r w:rsidR="00E3253D" w:rsidRPr="002F4D34">
        <w:rPr>
          <w:rStyle w:val="libFootnoteBoldChar"/>
          <w:rtl/>
        </w:rPr>
        <w:t>التهذيب</w:t>
      </w:r>
      <w:r w:rsidR="00E3253D" w:rsidRPr="005D642E">
        <w:rPr>
          <w:rtl/>
        </w:rPr>
        <w:t xml:space="preserve"> ، ج 1 ، ص 420 ، ح 1329 ، معلّقاً عن عليّ بن إبراهيم </w:t>
      </w:r>
      <w:r w:rsidR="003E1B68">
        <w:rPr>
          <w:rFonts w:hint="cs"/>
          <w:rtl/>
        </w:rPr>
        <w:t>.</w:t>
      </w:r>
      <w:r w:rsidR="00E3253D" w:rsidRPr="002F4D34">
        <w:rPr>
          <w:rStyle w:val="libFootnoteBoldChar"/>
          <w:rtl/>
        </w:rPr>
        <w:t>الوافي</w:t>
      </w:r>
      <w:r w:rsidR="00E3253D" w:rsidRPr="005D642E">
        <w:rPr>
          <w:rtl/>
        </w:rPr>
        <w:t xml:space="preserve"> ، ج 6 ، ص 197 ، ح 4093 ؛ </w:t>
      </w:r>
      <w:r w:rsidR="00E3253D" w:rsidRPr="002F4D34">
        <w:rPr>
          <w:rStyle w:val="libFootnoteBoldChar"/>
          <w:rtl/>
        </w:rPr>
        <w:t>الوسائل</w:t>
      </w:r>
      <w:r w:rsidR="00E3253D" w:rsidRPr="005D642E">
        <w:rPr>
          <w:rtl/>
        </w:rPr>
        <w:t xml:space="preserve"> ، ج 3 ، ص 404 ، ح 3987.</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بخ ، بس ، بف ، جس ، جن » : « يصبّ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ى ، بث ، بح ، جح ، جس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فإن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 بالماء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قال في </w:t>
      </w:r>
      <w:r w:rsidR="00E3253D" w:rsidRPr="002F4D34">
        <w:rPr>
          <w:rStyle w:val="libFootnoteBoldChar"/>
          <w:rtl/>
        </w:rPr>
        <w:t>مرآة العقول</w:t>
      </w:r>
      <w:r w:rsidR="00E3253D" w:rsidRPr="005D642E">
        <w:rPr>
          <w:rtl/>
        </w:rPr>
        <w:t xml:space="preserve"> : « المشهور اختصاص حكم الرضيع بالغلام دون الجارية مع أنّ الخبر يدلّ على </w:t>
      </w:r>
      <w:r w:rsidR="003E1B68">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فِي ذلِكَ </w:t>
      </w:r>
      <w:r w:rsidRPr="007C12DB">
        <w:rPr>
          <w:rStyle w:val="libFootnotenumChar"/>
          <w:rtl/>
        </w:rPr>
        <w:t>(1)</w:t>
      </w:r>
      <w:r w:rsidRPr="005D642E">
        <w:rPr>
          <w:rtl/>
          <w:lang w:bidi="fa-IR"/>
        </w:rPr>
        <w:t xml:space="preserve"> شَرَعٌ سَوَاءٌ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9B1711">
        <w:rPr>
          <w:rtl/>
        </w:rPr>
        <w:t>4074</w:t>
      </w:r>
      <w:r w:rsidRPr="00246318">
        <w:rPr>
          <w:rStyle w:val="libBold2Char"/>
          <w:rtl/>
        </w:rPr>
        <w:t xml:space="preserve"> / 7.</w:t>
      </w:r>
      <w:r w:rsidRPr="005D642E">
        <w:rPr>
          <w:rtl/>
          <w:lang w:bidi="fa-IR"/>
        </w:rPr>
        <w:t xml:space="preserve"> عِدَّةٌ مِنْ أَصْحَابِنَا ، عَنْ أَحْمَدَ بْنِ مُحَمَّدٍ ، عَنْ عَلِيِّ بْنِ الْحَكَمِ ، عَنِ الْفُضَيْلِ </w:t>
      </w:r>
      <w:r w:rsidRPr="007C12DB">
        <w:rPr>
          <w:rStyle w:val="libFootnotenumChar"/>
          <w:rtl/>
        </w:rPr>
        <w:t>(4)</w:t>
      </w:r>
      <w:r w:rsidRPr="005D642E">
        <w:rPr>
          <w:rtl/>
          <w:lang w:bidi="fa-IR"/>
        </w:rPr>
        <w:t xml:space="preserve"> بْنِ غَزْوَانَ ، عَنِ الْحَكَمِ بْنِ حُكَيْمٍ </w:t>
      </w:r>
      <w:r w:rsidRPr="007C12DB">
        <w:rPr>
          <w:rStyle w:val="libFootnotenumChar"/>
          <w:rtl/>
        </w:rPr>
        <w:t>(5)</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إِنِّي أَغْدُو إِلَى السُّوقِ ، فَأَحْتَاجُ إِلَى الْبَوْلِ وَلَيْسَ عِنْدِي مَاءٌ ، ثُمَّ أَتَمَسَّحُ ، وَأَتَنَشَّفُ </w:t>
      </w:r>
      <w:r w:rsidRPr="007C12DB">
        <w:rPr>
          <w:rStyle w:val="libFootnotenumChar"/>
          <w:rtl/>
        </w:rPr>
        <w:t>(6)</w:t>
      </w:r>
      <w:r w:rsidRPr="005D642E">
        <w:rPr>
          <w:rtl/>
          <w:lang w:bidi="fa-IR"/>
        </w:rPr>
        <w:t xml:space="preserve"> بِيَدِي ، ثُمَّ أَمْسَحُهَا بِالْحَائِطِ وَبِالْأَرْضِ ، ثُمَّ أَحُكُّ جَسَدِي بَعْدَ ذلِكَ</w:t>
      </w:r>
      <w:r>
        <w:rPr>
          <w:rtl/>
          <w:lang w:bidi="fa-IR"/>
        </w:rPr>
        <w:t>؟</w:t>
      </w:r>
    </w:p>
    <w:p w:rsidR="00E3253D" w:rsidRPr="005D642E" w:rsidRDefault="00E3253D" w:rsidP="00E3253D">
      <w:pPr>
        <w:pStyle w:val="libNormal"/>
        <w:rPr>
          <w:rtl/>
          <w:lang w:bidi="fa-IR"/>
        </w:rPr>
      </w:pPr>
      <w:r w:rsidRPr="005D642E">
        <w:rPr>
          <w:rtl/>
          <w:lang w:bidi="fa-IR"/>
        </w:rPr>
        <w:t xml:space="preserve">قَالَ : « لَا بَأْسَ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BF4BBA">
        <w:rPr>
          <w:rtl/>
        </w:rPr>
        <w:t>4075</w:t>
      </w:r>
      <w:r w:rsidRPr="00246318">
        <w:rPr>
          <w:rStyle w:val="libBold2Char"/>
          <w:rtl/>
        </w:rPr>
        <w:t xml:space="preserve"> / 8.</w:t>
      </w:r>
      <w:r w:rsidRPr="005D642E">
        <w:rPr>
          <w:rtl/>
          <w:lang w:bidi="fa-IR"/>
        </w:rPr>
        <w:t xml:space="preserve"> عِدَّةٌ مِنْ أَصْحَابِنَا ، عَنْ أَحْمَدَ بْنِ مُحَمَّدٍ ، عَنِ ابْنِ فَضَّالٍ ، عَنِ الْمُثَنّى ، عَنْ‌</w:t>
      </w:r>
    </w:p>
    <w:p w:rsidR="00E3253D" w:rsidRPr="005D642E" w:rsidRDefault="00E3253D" w:rsidP="00E3253D">
      <w:pPr>
        <w:pStyle w:val="libLine"/>
        <w:rPr>
          <w:rtl/>
          <w:lang w:bidi="fa-IR"/>
        </w:rPr>
      </w:pPr>
      <w:r w:rsidRPr="005D642E">
        <w:rPr>
          <w:rtl/>
          <w:lang w:bidi="fa-IR"/>
        </w:rPr>
        <w:t>__________________</w:t>
      </w:r>
    </w:p>
    <w:p w:rsidR="00E3253D" w:rsidRPr="005D642E" w:rsidRDefault="00CD06DC" w:rsidP="00414968">
      <w:pPr>
        <w:pStyle w:val="libFootnote0"/>
        <w:rPr>
          <w:rtl/>
          <w:lang w:bidi="fa-IR"/>
        </w:rPr>
      </w:pPr>
      <w:r>
        <w:rPr>
          <w:rFonts w:hint="cs"/>
          <w:rtl/>
        </w:rPr>
        <w:t xml:space="preserve">= </w:t>
      </w:r>
      <w:r w:rsidR="00E3253D" w:rsidRPr="005D642E">
        <w:rPr>
          <w:rtl/>
        </w:rPr>
        <w:t>مساواتهما في ذلك »</w:t>
      </w:r>
      <w:r w:rsidR="00E3253D">
        <w:rPr>
          <w:rtl/>
        </w:rPr>
        <w:t>.</w:t>
      </w:r>
      <w:r w:rsidR="00414968">
        <w:rPr>
          <w:rFonts w:hint="cs"/>
          <w:rtl/>
        </w:rPr>
        <w:t xml:space="preserve">                                            </w:t>
      </w:r>
      <w:r w:rsidR="0042621E" w:rsidRPr="0042621E">
        <w:rPr>
          <w:rStyle w:val="libFootnote0Char"/>
          <w:rtl/>
        </w:rPr>
        <w:t>(1).</w:t>
      </w:r>
      <w:r w:rsidR="00E3253D">
        <w:rPr>
          <w:rtl/>
        </w:rPr>
        <w:t xml:space="preserve"> </w:t>
      </w:r>
      <w:r w:rsidR="00E3253D" w:rsidRPr="005D642E">
        <w:rPr>
          <w:rtl/>
        </w:rPr>
        <w:t xml:space="preserve">في التهذيب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في ذلك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شرع » بفتح الراء وسكونها ، مصدر بمعنى سواء ، يستوي فيه الواحد والاثنان والجمع ، والمذكّر والمؤنّث ، فقوله </w:t>
      </w:r>
      <w:r w:rsidR="00E3253D" w:rsidRPr="00414968">
        <w:rPr>
          <w:rStyle w:val="libFootnoteAlaemChar"/>
          <w:rtl/>
        </w:rPr>
        <w:t>عليه‌السلام</w:t>
      </w:r>
      <w:r w:rsidR="00E3253D" w:rsidRPr="005D642E">
        <w:rPr>
          <w:rtl/>
        </w:rPr>
        <w:t xml:space="preserve"> : « سواء » تفسير للشرع وتأكيد له ، والمعنى : هما متساويان في ذلك ولا فضل لأحدهما فيه على الآخر. راجع : </w:t>
      </w:r>
      <w:r w:rsidR="00E3253D" w:rsidRPr="002F4D34">
        <w:rPr>
          <w:rStyle w:val="libFootnoteBoldChar"/>
          <w:rtl/>
        </w:rPr>
        <w:t>ترتيب كتاب العين</w:t>
      </w:r>
      <w:r w:rsidR="00E3253D" w:rsidRPr="005D642E">
        <w:rPr>
          <w:rtl/>
        </w:rPr>
        <w:t xml:space="preserve"> ، ج 2 ، ص 908 ؛ </w:t>
      </w:r>
      <w:r w:rsidR="00E3253D" w:rsidRPr="002F4D34">
        <w:rPr>
          <w:rStyle w:val="libFootnoteBoldChar"/>
          <w:rtl/>
        </w:rPr>
        <w:t>النهاية</w:t>
      </w:r>
      <w:r w:rsidR="00E3253D" w:rsidRPr="005D642E">
        <w:rPr>
          <w:rtl/>
        </w:rPr>
        <w:t xml:space="preserve"> ، ج 2 ، ص 461 ( شرع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249 ، ح 715 ، بسنده عن الكليني ؛ </w:t>
      </w:r>
      <w:r w:rsidR="00E3253D" w:rsidRPr="002F4D34">
        <w:rPr>
          <w:rStyle w:val="libFootnoteBoldChar"/>
          <w:rtl/>
        </w:rPr>
        <w:t>الاستبصار</w:t>
      </w:r>
      <w:r w:rsidR="00E3253D" w:rsidRPr="005D642E">
        <w:rPr>
          <w:rtl/>
        </w:rPr>
        <w:t xml:space="preserve"> ، ج 1 ، ص 173 ، ح 2 ، معلّقاً عن الكليني. </w:t>
      </w:r>
      <w:r w:rsidR="00E3253D" w:rsidRPr="002F4D34">
        <w:rPr>
          <w:rStyle w:val="libFootnoteBoldChar"/>
          <w:rtl/>
        </w:rPr>
        <w:t>الفقيه</w:t>
      </w:r>
      <w:r w:rsidR="00E3253D" w:rsidRPr="005D642E">
        <w:rPr>
          <w:rtl/>
        </w:rPr>
        <w:t xml:space="preserve"> ، ج 1 ، ص 68 ، ذيل ح 156 ، مع اختلاف يسير </w:t>
      </w:r>
      <w:r w:rsidR="00414968">
        <w:rPr>
          <w:rFonts w:hint="cs"/>
          <w:rtl/>
        </w:rPr>
        <w:t>.</w:t>
      </w:r>
      <w:r w:rsidR="00E3253D" w:rsidRPr="002F4D34">
        <w:rPr>
          <w:rStyle w:val="libFootnoteBoldChar"/>
          <w:rtl/>
        </w:rPr>
        <w:t>الوافي</w:t>
      </w:r>
      <w:r w:rsidR="00E3253D" w:rsidRPr="005D642E">
        <w:rPr>
          <w:rtl/>
        </w:rPr>
        <w:t xml:space="preserve"> ، ج 6 ، ص 141 ، ح 3955 ؛ </w:t>
      </w:r>
      <w:r w:rsidR="00E3253D" w:rsidRPr="002F4D34">
        <w:rPr>
          <w:rStyle w:val="libFootnoteBoldChar"/>
          <w:rtl/>
        </w:rPr>
        <w:t>الوسائل</w:t>
      </w:r>
      <w:r w:rsidR="00E3253D" w:rsidRPr="005D642E">
        <w:rPr>
          <w:rtl/>
        </w:rPr>
        <w:t xml:space="preserve"> ، ج 3 ، ص 397 ، ح 3968.</w:t>
      </w:r>
    </w:p>
    <w:p w:rsidR="00E3253D" w:rsidRDefault="0042621E" w:rsidP="00E3253D">
      <w:pPr>
        <w:pStyle w:val="libFootnote0"/>
        <w:rPr>
          <w:rtl/>
        </w:rPr>
      </w:pPr>
      <w:r w:rsidRPr="0042621E">
        <w:rPr>
          <w:rStyle w:val="libFootnote0Char"/>
          <w:rtl/>
        </w:rPr>
        <w:t>(4).</w:t>
      </w:r>
      <w:r w:rsidR="00E3253D" w:rsidRPr="005D642E">
        <w:rPr>
          <w:rtl/>
        </w:rPr>
        <w:t xml:space="preserve"> هكذا في « ظ ، ى ، بث ، بح ، جس » وحاشية « بس ، جح » والوسائل. وفي « بخ ، بس ، بف ، جح ، جن » والمطبوع : « الفضل ».</w:t>
      </w:r>
    </w:p>
    <w:p w:rsidR="00E3253D" w:rsidRPr="005D642E" w:rsidRDefault="00E3253D" w:rsidP="00E3253D">
      <w:pPr>
        <w:pStyle w:val="libFootnote0"/>
        <w:rPr>
          <w:rtl/>
          <w:lang w:bidi="fa-IR"/>
        </w:rPr>
      </w:pPr>
      <w:r w:rsidRPr="005D642E">
        <w:rPr>
          <w:rtl/>
        </w:rPr>
        <w:t xml:space="preserve">والصواب ما أثبتناه ؛ فقد ذكر الشيخ الطوسي في رجاله ، ص 269 ، الرقم 3869 ، الفضيل بن غزوان الضبّي ، وذكر في ص 292 ، الرقم 4257 ، محمّد بن فضيل بن غزوان الضبّي. وقال السمعاني في كتابه </w:t>
      </w:r>
      <w:r w:rsidRPr="002F4D34">
        <w:rPr>
          <w:rStyle w:val="libFootnoteBoldChar"/>
          <w:rtl/>
        </w:rPr>
        <w:t>الأنساب</w:t>
      </w:r>
      <w:r w:rsidRPr="005D642E">
        <w:rPr>
          <w:rtl/>
        </w:rPr>
        <w:t xml:space="preserve"> ، ج 4 ، ص 10 ، ذيل لقب « الضبّي » : « والمنتسب إليهم ولاءً : أبو عبدالرحمن محمّد بن فضيل بن غزوان بن جرير الضبّي »</w:t>
      </w:r>
      <w:r>
        <w:rPr>
          <w:rtl/>
        </w:rPr>
        <w:t>.</w:t>
      </w:r>
      <w:r w:rsidRPr="005D642E">
        <w:rPr>
          <w:rtl/>
        </w:rPr>
        <w:t xml:space="preserve"> وأمّا الفضل بن غزوان ، فلم نجد له ذكراً في شي‌ءٍ من الكتب.</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النسخ والوسائل. وفي المطبوع : « الحكيم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تقول : نشفتُ الماء نَشْفاً من باب ضرب ، إذا أخذته من غدير ونحوه أو أرض بخرقة ونحوها ، ونشّفته بالتثقيل مبالغة ، وتنشّف الرجلُ : مسح الماء عن جسده بخرقة ونحوها. راجع : </w:t>
      </w:r>
      <w:r w:rsidR="00E3253D" w:rsidRPr="002F4D34">
        <w:rPr>
          <w:rStyle w:val="libFootnoteBoldChar"/>
          <w:rtl/>
        </w:rPr>
        <w:t>المصباح المنير</w:t>
      </w:r>
      <w:r w:rsidR="00E3253D" w:rsidRPr="005D642E">
        <w:rPr>
          <w:rtl/>
        </w:rPr>
        <w:t xml:space="preserve"> ، ص 606 ؛ </w:t>
      </w:r>
      <w:r w:rsidR="00E3253D" w:rsidRPr="002F4D34">
        <w:rPr>
          <w:rStyle w:val="libFootnoteBoldChar"/>
          <w:rtl/>
        </w:rPr>
        <w:t>مجمع البحرين</w:t>
      </w:r>
      <w:r w:rsidR="00E3253D" w:rsidRPr="005D642E">
        <w:rPr>
          <w:rtl/>
        </w:rPr>
        <w:t xml:space="preserve"> ، ج 5 ، ص 123 ( نشف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وذلك لأنّ اليابس لايتعدّى »</w:t>
      </w:r>
      <w:r w:rsidR="00E3253D">
        <w:rPr>
          <w:rtl/>
        </w:rPr>
        <w:t>.</w:t>
      </w:r>
      <w:r w:rsidR="00E3253D" w:rsidRPr="005D642E">
        <w:rPr>
          <w:rtl/>
        </w:rPr>
        <w:t xml:space="preserve"> وفي مرآة العقول : « حمل على عدم سراية النجاسة بالبدن عند الحكّ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6 ، ص 145 ، ح 3967 ؛ </w:t>
      </w:r>
      <w:r w:rsidR="00E3253D" w:rsidRPr="002F4D34">
        <w:rPr>
          <w:rStyle w:val="libFootnoteBoldChar"/>
          <w:rtl/>
        </w:rPr>
        <w:t>الوسائل</w:t>
      </w:r>
      <w:r w:rsidR="00E3253D" w:rsidRPr="005D642E">
        <w:rPr>
          <w:rtl/>
        </w:rPr>
        <w:t xml:space="preserve"> ، ج 3 ، ص 443 ، ح 4119.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أَبِي أَيُّوبَ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أَدْخُلُ الْخَلَاءَ وَفِي يَدِي خَاتَمٌ فِيهِ اسْمٌ </w:t>
      </w:r>
      <w:r w:rsidRPr="007C12DB">
        <w:rPr>
          <w:rStyle w:val="libFootnotenumChar"/>
          <w:rtl/>
        </w:rPr>
        <w:t>(1)</w:t>
      </w:r>
      <w:r w:rsidRPr="005D642E">
        <w:rPr>
          <w:rtl/>
          <w:lang w:bidi="fa-IR"/>
        </w:rPr>
        <w:t xml:space="preserve"> مِنْ أَسْمَاءِ </w:t>
      </w:r>
      <w:r w:rsidRPr="007C12DB">
        <w:rPr>
          <w:rStyle w:val="libFootnotenumChar"/>
          <w:rtl/>
        </w:rPr>
        <w:t>(2)</w:t>
      </w:r>
      <w:r w:rsidRPr="005D642E">
        <w:rPr>
          <w:rtl/>
          <w:lang w:bidi="fa-IR"/>
        </w:rPr>
        <w:t xml:space="preserve"> اللهِ تَعَالى</w:t>
      </w:r>
      <w:r>
        <w:rPr>
          <w:rtl/>
          <w:lang w:bidi="fa-IR"/>
        </w:rPr>
        <w:t>؟</w:t>
      </w:r>
    </w:p>
    <w:p w:rsidR="00E3253D" w:rsidRPr="005D642E" w:rsidRDefault="00E3253D" w:rsidP="00E3253D">
      <w:pPr>
        <w:pStyle w:val="libNormal"/>
        <w:rPr>
          <w:rtl/>
          <w:lang w:bidi="fa-IR"/>
        </w:rPr>
      </w:pPr>
      <w:r w:rsidRPr="005D642E">
        <w:rPr>
          <w:rtl/>
          <w:lang w:bidi="fa-IR"/>
        </w:rPr>
        <w:t xml:space="preserve">قَالَ : « لَا ، وَلَاتُجَامِعْ </w:t>
      </w:r>
      <w:r w:rsidRPr="007C12DB">
        <w:rPr>
          <w:rStyle w:val="libFootnotenumChar"/>
          <w:rtl/>
        </w:rPr>
        <w:t>(3)</w:t>
      </w:r>
      <w:r w:rsidRPr="005D642E">
        <w:rPr>
          <w:rtl/>
          <w:lang w:bidi="fa-IR"/>
        </w:rPr>
        <w:t xml:space="preserve"> فِيهِ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714EE6" w:rsidP="00E3253D">
      <w:pPr>
        <w:pStyle w:val="libNormal"/>
        <w:rPr>
          <w:rtl/>
          <w:lang w:bidi="fa-IR"/>
        </w:rPr>
      </w:pPr>
      <w:r>
        <w:rPr>
          <w:rFonts w:hint="cs"/>
          <w:rtl/>
          <w:lang w:bidi="fa-IR"/>
        </w:rPr>
        <w:t xml:space="preserve">* </w:t>
      </w:r>
      <w:r w:rsidR="00E3253D" w:rsidRPr="005D642E">
        <w:rPr>
          <w:rtl/>
          <w:lang w:bidi="fa-IR"/>
        </w:rPr>
        <w:t>وَرُوِيَ أَيْضاً : « أَنَّهُ إِذَا أَرَادَ أَنْ</w:t>
      </w:r>
      <w:r w:rsidR="00E607C3">
        <w:rPr>
          <w:rtl/>
          <w:lang w:bidi="fa-IR"/>
        </w:rPr>
        <w:t xml:space="preserve"> يَسْتَنْجِيَ مِنَ الْخَلَاءِ،</w:t>
      </w:r>
      <w:r w:rsidR="00E3253D" w:rsidRPr="005D642E">
        <w:rPr>
          <w:rtl/>
          <w:lang w:bidi="fa-IR"/>
        </w:rPr>
        <w:t>فَلْيُحَوِّلْهُ مِنَ الْيَدِ الَّتِي يَسْتَنْجِي بِهَا »</w:t>
      </w:r>
      <w:r w:rsidR="00E3253D">
        <w:rPr>
          <w:rtl/>
          <w:lang w:bidi="fa-IR"/>
        </w:rPr>
        <w:t>.</w:t>
      </w:r>
      <w:r w:rsidR="00E3253D" w:rsidRPr="007C12DB">
        <w:rPr>
          <w:rStyle w:val="libFootnotenumChar"/>
          <w:rtl/>
        </w:rPr>
        <w:t>(5)</w:t>
      </w:r>
    </w:p>
    <w:p w:rsidR="00E3253D" w:rsidRPr="005D642E" w:rsidRDefault="00E3253D" w:rsidP="00E3253D">
      <w:pPr>
        <w:pStyle w:val="Heading2Center"/>
        <w:rPr>
          <w:rtl/>
          <w:lang w:bidi="fa-IR"/>
        </w:rPr>
      </w:pPr>
      <w:bookmarkStart w:id="135" w:name="_Toc344647255"/>
      <w:bookmarkStart w:id="136" w:name="_Toc462226770"/>
      <w:bookmarkStart w:id="137" w:name="_Toc40975878"/>
      <w:r w:rsidRPr="005D642E">
        <w:rPr>
          <w:rtl/>
          <w:lang w:bidi="fa-IR"/>
        </w:rPr>
        <w:t>37</w:t>
      </w:r>
      <w:r>
        <w:rPr>
          <w:rtl/>
          <w:lang w:bidi="fa-IR"/>
        </w:rPr>
        <w:t xml:space="preserve"> </w:t>
      </w:r>
      <w:r w:rsidR="007642BC">
        <w:rPr>
          <w:rtl/>
          <w:lang w:bidi="fa-IR"/>
        </w:rPr>
        <w:t>-</w:t>
      </w:r>
      <w:r>
        <w:rPr>
          <w:rtl/>
          <w:lang w:bidi="fa-IR"/>
        </w:rPr>
        <w:t xml:space="preserve"> </w:t>
      </w:r>
      <w:r w:rsidRPr="005D642E">
        <w:rPr>
          <w:rtl/>
          <w:lang w:bidi="fa-IR"/>
        </w:rPr>
        <w:t xml:space="preserve">بَابُ أَبْوَالِ الدَّوَابِّ وَأَرْوَاثِهَا </w:t>
      </w:r>
      <w:r w:rsidRPr="007C12DB">
        <w:rPr>
          <w:rStyle w:val="libFootnotenumChar"/>
          <w:rtl/>
        </w:rPr>
        <w:t>(6)</w:t>
      </w:r>
      <w:r w:rsidRPr="005D642E">
        <w:rPr>
          <w:rtl/>
          <w:lang w:bidi="fa-IR"/>
        </w:rPr>
        <w:t xml:space="preserve"> ‌</w:t>
      </w:r>
      <w:bookmarkEnd w:id="135"/>
      <w:bookmarkEnd w:id="136"/>
      <w:bookmarkEnd w:id="137"/>
    </w:p>
    <w:p w:rsidR="00E3253D" w:rsidRPr="005D642E" w:rsidRDefault="00E3253D" w:rsidP="00E3253D">
      <w:pPr>
        <w:pStyle w:val="libNormal"/>
        <w:rPr>
          <w:rtl/>
          <w:lang w:bidi="fa-IR"/>
        </w:rPr>
      </w:pPr>
      <w:r w:rsidRPr="00BF4BBA">
        <w:rPr>
          <w:rtl/>
        </w:rPr>
        <w:t>4076</w:t>
      </w:r>
      <w:r w:rsidRPr="00246318">
        <w:rPr>
          <w:rStyle w:val="libBold2Char"/>
          <w:rtl/>
        </w:rPr>
        <w:t xml:space="preserve"> / 1.</w:t>
      </w:r>
      <w:r w:rsidRPr="005D642E">
        <w:rPr>
          <w:rtl/>
          <w:lang w:bidi="fa-IR"/>
        </w:rPr>
        <w:t xml:space="preserve"> عَلِيُّ بْنُ إِبْرَاهِيمَ ، عَنْ أَبِيهِ ، عَنْ حَمَّادِ بْنِ عِيسى ، عَنْ حَرِيزٍ ، عَنْ زُرَارَةَ أَنَّهُمَا قَالَا :</w:t>
      </w:r>
    </w:p>
    <w:p w:rsidR="00E3253D" w:rsidRPr="005D642E" w:rsidRDefault="00E3253D" w:rsidP="00E3253D">
      <w:pPr>
        <w:pStyle w:val="libNormal"/>
        <w:rPr>
          <w:rtl/>
          <w:lang w:bidi="fa-IR"/>
        </w:rPr>
      </w:pPr>
      <w:r w:rsidRPr="005D642E">
        <w:rPr>
          <w:rtl/>
          <w:lang w:bidi="fa-IR"/>
        </w:rPr>
        <w:t xml:space="preserve">لَا تَغْسِلْ ثَوْبَكَ مِنْ بَوْلِ شَيْ‌ءٍ يُؤْكَلُ لَحْمُهُ.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 + « الله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أسمائه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بخ ، جح » : « لا يجامع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راجع : </w:t>
      </w:r>
      <w:r w:rsidR="00E3253D" w:rsidRPr="002F4D34">
        <w:rPr>
          <w:rStyle w:val="libFootnoteBoldChar"/>
          <w:rtl/>
        </w:rPr>
        <w:t>التهذيب</w:t>
      </w:r>
      <w:r w:rsidR="00E3253D" w:rsidRPr="005D642E">
        <w:rPr>
          <w:rtl/>
        </w:rPr>
        <w:t xml:space="preserve"> ، ج 1 ، ص 31 ، ح 82 </w:t>
      </w:r>
      <w:r w:rsidR="00E3253D">
        <w:rPr>
          <w:rtl/>
        </w:rPr>
        <w:t>و 8</w:t>
      </w:r>
      <w:r w:rsidR="00E3253D" w:rsidRPr="005D642E">
        <w:rPr>
          <w:rtl/>
        </w:rPr>
        <w:t xml:space="preserve">4 ؛ </w:t>
      </w:r>
      <w:r w:rsidR="00E3253D" w:rsidRPr="00E678B5">
        <w:rPr>
          <w:rStyle w:val="libFootnoteBoldChar"/>
          <w:rtl/>
        </w:rPr>
        <w:t>والاستبصار</w:t>
      </w:r>
      <w:r w:rsidR="00E3253D" w:rsidRPr="005D642E">
        <w:rPr>
          <w:rtl/>
        </w:rPr>
        <w:t xml:space="preserve"> ، ج 1 ، ص 48 ، ح 133 </w:t>
      </w:r>
      <w:r w:rsidR="00E3253D">
        <w:rPr>
          <w:rtl/>
        </w:rPr>
        <w:t>و 1</w:t>
      </w:r>
      <w:r w:rsidR="00E3253D" w:rsidRPr="005D642E">
        <w:rPr>
          <w:rtl/>
        </w:rPr>
        <w:t xml:space="preserve">35 </w:t>
      </w:r>
      <w:r w:rsidR="00E607C3">
        <w:rPr>
          <w:rFonts w:hint="cs"/>
          <w:rtl/>
        </w:rPr>
        <w:t>.</w:t>
      </w:r>
      <w:r w:rsidR="00E3253D" w:rsidRPr="002F4D34">
        <w:rPr>
          <w:rStyle w:val="libFootnoteBoldChar"/>
          <w:rtl/>
        </w:rPr>
        <w:t>الوافي</w:t>
      </w:r>
      <w:r w:rsidR="00E3253D" w:rsidRPr="005D642E">
        <w:rPr>
          <w:rtl/>
        </w:rPr>
        <w:t xml:space="preserve"> ، ج 6 ، ص 114 ، ح 3883 ؛ </w:t>
      </w:r>
      <w:r w:rsidR="00E3253D" w:rsidRPr="002F4D34">
        <w:rPr>
          <w:rStyle w:val="libFootnoteBoldChar"/>
          <w:rtl/>
        </w:rPr>
        <w:t>الوسائل</w:t>
      </w:r>
      <w:r w:rsidR="00E3253D" w:rsidRPr="005D642E">
        <w:rPr>
          <w:rtl/>
        </w:rPr>
        <w:t xml:space="preserve"> ، ج 1 ، ص 330 ، ح 867.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الكافي</w:t>
      </w:r>
      <w:r w:rsidR="00E3253D" w:rsidRPr="005D642E">
        <w:rPr>
          <w:rtl/>
        </w:rPr>
        <w:t xml:space="preserve"> ، كتاب الزيّ والتجمّل ، باب نقش الخواتيم ، ح 12625 ، بسند آخر عن أبي عبدالله ، عن أميرالمؤمنين </w:t>
      </w:r>
      <w:r w:rsidR="00E3253D" w:rsidRPr="00E607C3">
        <w:rPr>
          <w:rStyle w:val="libFootnoteAlaemChar"/>
          <w:rtl/>
        </w:rPr>
        <w:t>عليهما‌السلام</w:t>
      </w:r>
      <w:r w:rsidR="00E3253D" w:rsidRPr="005D642E">
        <w:rPr>
          <w:rtl/>
        </w:rPr>
        <w:t xml:space="preserve">. وفي </w:t>
      </w:r>
      <w:r w:rsidR="00E3253D" w:rsidRPr="002F4D34">
        <w:rPr>
          <w:rStyle w:val="libFootnoteBoldChar"/>
          <w:rtl/>
        </w:rPr>
        <w:t>الجعفريّات</w:t>
      </w:r>
      <w:r w:rsidR="00E3253D" w:rsidRPr="005D642E">
        <w:rPr>
          <w:rtl/>
        </w:rPr>
        <w:t xml:space="preserve"> ، ص 186 ؛ </w:t>
      </w:r>
      <w:r w:rsidR="009E68BB" w:rsidRPr="009E68BB">
        <w:rPr>
          <w:rStyle w:val="libFootnoteBoldChar"/>
          <w:rtl/>
        </w:rPr>
        <w:t>والخصال</w:t>
      </w:r>
      <w:r w:rsidR="00E3253D" w:rsidRPr="005D642E">
        <w:rPr>
          <w:rtl/>
        </w:rPr>
        <w:t xml:space="preserve"> ، ص 612 ، أبواب الثمانين ومافوقه ، ضمن الحديث الطويل 10 ، بسند آخر عن جعفر بن محمّد ، عن آبائه ، عن أميرالمؤمنين </w:t>
      </w:r>
      <w:r w:rsidR="00E3253D" w:rsidRPr="00456B08">
        <w:rPr>
          <w:rStyle w:val="libFootnoteAlaemChar"/>
          <w:rtl/>
        </w:rPr>
        <w:t>عليهم‌السلام</w:t>
      </w:r>
      <w:r w:rsidR="00E3253D" w:rsidRPr="005D642E">
        <w:rPr>
          <w:rtl/>
        </w:rPr>
        <w:t xml:space="preserve">. </w:t>
      </w:r>
      <w:r w:rsidR="00E3253D" w:rsidRPr="002F4D34">
        <w:rPr>
          <w:rStyle w:val="libFootnoteBoldChar"/>
          <w:rtl/>
        </w:rPr>
        <w:t>الفقيه</w:t>
      </w:r>
      <w:r w:rsidR="00E3253D" w:rsidRPr="005D642E">
        <w:rPr>
          <w:rtl/>
        </w:rPr>
        <w:t xml:space="preserve"> ، ج 1 ، ص 29 ، ذيل ح 58. </w:t>
      </w:r>
      <w:r w:rsidR="00E3253D" w:rsidRPr="002F4D34">
        <w:rPr>
          <w:rStyle w:val="libFootnoteBoldChar"/>
          <w:rtl/>
        </w:rPr>
        <w:t>تحف العقول</w:t>
      </w:r>
      <w:r w:rsidR="00E3253D" w:rsidRPr="005D642E">
        <w:rPr>
          <w:rtl/>
        </w:rPr>
        <w:t xml:space="preserve"> ، ص 102 ، ضمن الحديث الطويل ، عن أميرالمؤمنين </w:t>
      </w:r>
      <w:r w:rsidR="00E3253D" w:rsidRPr="00456B08">
        <w:rPr>
          <w:rStyle w:val="libFootnoteAlaemChar"/>
          <w:rtl/>
        </w:rPr>
        <w:t>عليه‌السلام</w:t>
      </w:r>
      <w:r w:rsidR="00E3253D" w:rsidRPr="005D642E">
        <w:rPr>
          <w:rtl/>
        </w:rPr>
        <w:t xml:space="preserve"> ، وفي كلّ المصادر مع اختلاف يسير. وراجع : </w:t>
      </w:r>
      <w:r w:rsidR="000D749A" w:rsidRPr="000D749A">
        <w:rPr>
          <w:rStyle w:val="libFootnoteBoldChar"/>
          <w:rtl/>
        </w:rPr>
        <w:t>الأمالي للصدوق</w:t>
      </w:r>
      <w:r w:rsidR="00E3253D" w:rsidRPr="005D642E">
        <w:rPr>
          <w:rtl/>
        </w:rPr>
        <w:t xml:space="preserve"> ، ص 456 ، المجلس 70 ، ح 5 </w:t>
      </w:r>
      <w:r w:rsidR="00456B08">
        <w:rPr>
          <w:rFonts w:hint="cs"/>
          <w:rtl/>
        </w:rPr>
        <w:t>.</w:t>
      </w:r>
      <w:r w:rsidR="00E3253D" w:rsidRPr="002F4D34">
        <w:rPr>
          <w:rStyle w:val="libFootnoteBoldChar"/>
          <w:rtl/>
        </w:rPr>
        <w:t>الوافي</w:t>
      </w:r>
      <w:r w:rsidR="00E3253D" w:rsidRPr="005D642E">
        <w:rPr>
          <w:rtl/>
        </w:rPr>
        <w:t xml:space="preserve"> ، ج 6 ، ص 114 ، ح 3884 ؛ </w:t>
      </w:r>
      <w:r w:rsidR="00E3253D" w:rsidRPr="002F4D34">
        <w:rPr>
          <w:rStyle w:val="libFootnoteBoldChar"/>
          <w:rtl/>
        </w:rPr>
        <w:t>الوسائل</w:t>
      </w:r>
      <w:r w:rsidR="00E3253D" w:rsidRPr="005D642E">
        <w:rPr>
          <w:rtl/>
        </w:rPr>
        <w:t xml:space="preserve"> ، ج 1 ، ص 330 ، ح 868.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الأرواث » : جمع الرَوْث ، وهو رجيع ذوات الحافر ، أي سرجينه. راجع : </w:t>
      </w:r>
      <w:r w:rsidR="00E3253D" w:rsidRPr="002F4D34">
        <w:rPr>
          <w:rStyle w:val="libFootnoteBoldChar"/>
          <w:rtl/>
        </w:rPr>
        <w:t>النهاية</w:t>
      </w:r>
      <w:r w:rsidR="00E3253D" w:rsidRPr="005D642E">
        <w:rPr>
          <w:rtl/>
        </w:rPr>
        <w:t xml:space="preserve"> ، ج 2 ، ص 271 ؛ </w:t>
      </w:r>
      <w:r w:rsidR="00E3253D" w:rsidRPr="002F4D34">
        <w:rPr>
          <w:rStyle w:val="libFootnoteBoldChar"/>
          <w:rtl/>
        </w:rPr>
        <w:t xml:space="preserve">لسان‌العرب </w:t>
      </w:r>
      <w:r w:rsidR="00E3253D" w:rsidRPr="005D642E">
        <w:rPr>
          <w:rtl/>
        </w:rPr>
        <w:t>، ج 2 ، ص 156 ( روث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264 ، ح 769 ، بسنده عن الكليني. </w:t>
      </w:r>
      <w:r w:rsidR="00E3253D" w:rsidRPr="002F4D34">
        <w:rPr>
          <w:rStyle w:val="libFootnoteBoldChar"/>
          <w:rtl/>
        </w:rPr>
        <w:t>وفيه</w:t>
      </w:r>
      <w:r w:rsidR="00E3253D" w:rsidRPr="005D642E">
        <w:rPr>
          <w:rtl/>
        </w:rPr>
        <w:t xml:space="preserve"> ، ص 247 ، ح 711 وص 266 ، ح 780 ؛ </w:t>
      </w:r>
      <w:r w:rsidR="00456B08">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BF4BBA">
        <w:rPr>
          <w:rtl/>
        </w:rPr>
        <w:lastRenderedPageBreak/>
        <w:t>4077</w:t>
      </w:r>
      <w:r w:rsidRPr="00246318">
        <w:rPr>
          <w:rStyle w:val="libBold2Char"/>
          <w:rtl/>
        </w:rPr>
        <w:t xml:space="preserve"> / 2.</w:t>
      </w:r>
      <w:r w:rsidRPr="005D642E">
        <w:rPr>
          <w:rtl/>
          <w:lang w:bidi="fa-IR"/>
        </w:rPr>
        <w:t xml:space="preserve"> حَمَّادٌ </w:t>
      </w:r>
      <w:r w:rsidRPr="007C12DB">
        <w:rPr>
          <w:rStyle w:val="libFootnotenumChar"/>
          <w:rtl/>
        </w:rPr>
        <w:t>(1)</w:t>
      </w:r>
      <w:r w:rsidRPr="005D642E">
        <w:rPr>
          <w:rtl/>
          <w:lang w:bidi="fa-IR"/>
        </w:rPr>
        <w:t xml:space="preserve"> ، عَنْ حَرِيزٍ ، عَنْ مُحَمَّدِ بْنِ مُسْلِمٍ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أَلْبَانِ الْإِبِلِ وَالْغَنَمِ وَالْبَقَرِ </w:t>
      </w:r>
      <w:r w:rsidRPr="007C12DB">
        <w:rPr>
          <w:rStyle w:val="libFootnotenumChar"/>
          <w:rtl/>
        </w:rPr>
        <w:t>(2)</w:t>
      </w:r>
      <w:r w:rsidRPr="005D642E">
        <w:rPr>
          <w:rtl/>
          <w:lang w:bidi="fa-IR"/>
        </w:rPr>
        <w:t xml:space="preserve"> وَأَبْوَالِهَا وَلُحُومِهَا</w:t>
      </w:r>
      <w:r>
        <w:rPr>
          <w:rtl/>
          <w:lang w:bidi="fa-IR"/>
        </w:rPr>
        <w:t>؟</w:t>
      </w:r>
    </w:p>
    <w:p w:rsidR="00E3253D" w:rsidRPr="005D642E" w:rsidRDefault="00E3253D" w:rsidP="00E3253D">
      <w:pPr>
        <w:pStyle w:val="libNormal"/>
        <w:rPr>
          <w:rtl/>
          <w:lang w:bidi="fa-IR"/>
        </w:rPr>
      </w:pPr>
      <w:r w:rsidRPr="005D642E">
        <w:rPr>
          <w:rtl/>
          <w:lang w:bidi="fa-IR"/>
        </w:rPr>
        <w:t xml:space="preserve">فَقَالَ : « لَا تَوَضَّأْ </w:t>
      </w:r>
      <w:r w:rsidRPr="007C12DB">
        <w:rPr>
          <w:rStyle w:val="libFootnotenumChar"/>
          <w:rtl/>
        </w:rPr>
        <w:t>(3)</w:t>
      </w:r>
      <w:r w:rsidRPr="005D642E">
        <w:rPr>
          <w:rtl/>
          <w:lang w:bidi="fa-IR"/>
        </w:rPr>
        <w:t xml:space="preserve"> مِنْهُ ، إِنْ </w:t>
      </w:r>
      <w:r w:rsidRPr="007C12DB">
        <w:rPr>
          <w:rStyle w:val="libFootnotenumChar"/>
          <w:rtl/>
        </w:rPr>
        <w:t>(4)</w:t>
      </w:r>
      <w:r w:rsidRPr="005D642E">
        <w:rPr>
          <w:rtl/>
          <w:lang w:bidi="fa-IR"/>
        </w:rPr>
        <w:t xml:space="preserve"> أَصَابَكَ مِنْهُ شَيْ‌ءٌ أَوْ ثَوْبا</w:t>
      </w:r>
      <w:r w:rsidR="00730599">
        <w:rPr>
          <w:rtl/>
          <w:lang w:bidi="fa-IR"/>
        </w:rPr>
        <w:t>ً لَكَ ، فَلَا تَغْسِلْهُ إِل</w:t>
      </w:r>
      <w:r w:rsidR="00730599">
        <w:rPr>
          <w:rFonts w:hint="cs"/>
          <w:rtl/>
          <w:lang w:bidi="fa-IR"/>
        </w:rPr>
        <w:t>َّ</w:t>
      </w:r>
      <w:r w:rsidR="00730599">
        <w:rPr>
          <w:rtl/>
          <w:lang w:bidi="fa-IR"/>
        </w:rPr>
        <w:t>ا</w:t>
      </w:r>
      <w:r w:rsidRPr="005D642E">
        <w:rPr>
          <w:rtl/>
          <w:lang w:bidi="fa-IR"/>
        </w:rPr>
        <w:t xml:space="preserve"> أَنْ تَتَنَظَّفَ</w:t>
      </w:r>
      <w:r w:rsidRPr="007C12DB">
        <w:rPr>
          <w:rStyle w:val="libFootnotenumChar"/>
          <w:rtl/>
        </w:rPr>
        <w:t>(5)</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(6)</w:t>
      </w:r>
      <w:r w:rsidRPr="005D642E">
        <w:rPr>
          <w:rtl/>
          <w:lang w:bidi="fa-IR"/>
        </w:rPr>
        <w:t xml:space="preserve"> : وَسَأَلْتُهُ عَنْ أَبْوَالِ الدَّوَابِّ </w:t>
      </w:r>
      <w:r w:rsidRPr="007C12DB">
        <w:rPr>
          <w:rStyle w:val="libFootnotenumChar"/>
          <w:rtl/>
        </w:rPr>
        <w:t>(7)</w:t>
      </w:r>
      <w:r w:rsidRPr="005D642E">
        <w:rPr>
          <w:rtl/>
          <w:lang w:bidi="fa-IR"/>
        </w:rPr>
        <w:t xml:space="preserve"> وَالْبِغَالِ وَالْحَمِيرِ</w:t>
      </w:r>
      <w:r>
        <w:rPr>
          <w:rtl/>
          <w:lang w:bidi="fa-IR"/>
        </w:rPr>
        <w:t>؟</w:t>
      </w:r>
    </w:p>
    <w:p w:rsidR="00E3253D" w:rsidRPr="005D642E" w:rsidRDefault="00E3253D" w:rsidP="00E3253D">
      <w:pPr>
        <w:pStyle w:val="libNormal"/>
        <w:rPr>
          <w:rtl/>
          <w:lang w:bidi="fa-IR"/>
        </w:rPr>
      </w:pPr>
      <w:r w:rsidRPr="005D642E">
        <w:rPr>
          <w:rtl/>
          <w:lang w:bidi="fa-IR"/>
        </w:rPr>
        <w:t xml:space="preserve">فَقَالَ : « اغْسِلْهُ </w:t>
      </w:r>
      <w:r w:rsidRPr="007C12DB">
        <w:rPr>
          <w:rStyle w:val="libFootnotenumChar"/>
          <w:rtl/>
        </w:rPr>
        <w:t>(8)</w:t>
      </w:r>
      <w:r w:rsidRPr="005D642E">
        <w:rPr>
          <w:rtl/>
          <w:lang w:bidi="fa-IR"/>
        </w:rPr>
        <w:t xml:space="preserve"> ، فَإِنْ لَمْ تَعْلَمْ </w:t>
      </w:r>
      <w:r w:rsidRPr="007C12DB">
        <w:rPr>
          <w:rStyle w:val="libFootnotenumChar"/>
          <w:rtl/>
        </w:rPr>
        <w:t>(9)</w:t>
      </w:r>
      <w:r w:rsidRPr="005D642E">
        <w:rPr>
          <w:rtl/>
          <w:lang w:bidi="fa-IR"/>
        </w:rPr>
        <w:t xml:space="preserve"> مَكَانَهُ ، فَاغْسِلِ الثَّوْبَ كُلَّهُ ؛ وَإِنْ </w:t>
      </w:r>
      <w:r w:rsidRPr="007C12DB">
        <w:rPr>
          <w:rStyle w:val="libFootnotenumChar"/>
          <w:rtl/>
        </w:rPr>
        <w:t>(10)</w:t>
      </w:r>
      <w:r w:rsidRPr="005D642E">
        <w:rPr>
          <w:rtl/>
          <w:lang w:bidi="fa-IR"/>
        </w:rPr>
        <w:t xml:space="preserve"> شَكَكْتَ فَانْضَحْهُ </w:t>
      </w:r>
      <w:r w:rsidRPr="007C12DB">
        <w:rPr>
          <w:rStyle w:val="libFootnotenumChar"/>
          <w:rtl/>
        </w:rPr>
        <w:t>(11)</w:t>
      </w:r>
      <w:r w:rsidRPr="005D642E">
        <w:rPr>
          <w:rtl/>
          <w:lang w:bidi="fa-IR"/>
        </w:rPr>
        <w:t xml:space="preserve"> »</w:t>
      </w:r>
      <w:r>
        <w:rPr>
          <w:rtl/>
          <w:lang w:bidi="fa-IR"/>
        </w:rPr>
        <w:t>.</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BF4BBA">
        <w:rPr>
          <w:rtl/>
        </w:rPr>
        <w:t>4078</w:t>
      </w:r>
      <w:r w:rsidRPr="00246318">
        <w:rPr>
          <w:rStyle w:val="libBold2Char"/>
          <w:rtl/>
        </w:rPr>
        <w:t xml:space="preserve"> / 3.</w:t>
      </w:r>
      <w:r w:rsidRPr="005D642E">
        <w:rPr>
          <w:rtl/>
          <w:lang w:bidi="fa-IR"/>
        </w:rPr>
        <w:t xml:space="preserve"> عَلِيُّ بْنُ إِبْرَاهِيمَ ، عَنْ أَبِيهِ ، عَنْ عَبْدِ اللهِ بْنِ الْمُغِيرَةِ ، عَنْ عَبْدِ اللهِ بْنِ سِنَانٍ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E37276" w:rsidP="00E3253D">
      <w:pPr>
        <w:pStyle w:val="libFootnote0"/>
        <w:rPr>
          <w:rtl/>
          <w:lang w:bidi="fa-IR"/>
        </w:rPr>
      </w:pPr>
      <w:r>
        <w:rPr>
          <w:rFonts w:hint="cs"/>
          <w:rtl/>
        </w:rPr>
        <w:t xml:space="preserve">= </w:t>
      </w:r>
      <w:r w:rsidR="00E3253D" w:rsidRPr="005D642E">
        <w:rPr>
          <w:rtl/>
        </w:rPr>
        <w:t xml:space="preserve">وص 422 ، ح 1337 ، بسند آخر عن أبي عبدالله </w:t>
      </w:r>
      <w:r w:rsidR="00E3253D" w:rsidRPr="006D5092">
        <w:rPr>
          <w:rStyle w:val="libFootnoteAlaemChar"/>
          <w:rtl/>
        </w:rPr>
        <w:t>عليه‌السلام</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6D5092">
        <w:rPr>
          <w:rStyle w:val="libFootnoteAlaemChar"/>
          <w:rtl/>
        </w:rPr>
        <w:t>عليه‌السلام</w:t>
      </w:r>
      <w:r w:rsidR="00E3253D" w:rsidRPr="005D642E">
        <w:rPr>
          <w:rtl/>
        </w:rPr>
        <w:t xml:space="preserve"> ، ص 303 ، في الأربعة الأخيرة مع اختلاف يسير وزيادة في أوّله </w:t>
      </w:r>
      <w:r w:rsidR="006D5092">
        <w:rPr>
          <w:rFonts w:hint="cs"/>
          <w:rtl/>
        </w:rPr>
        <w:t>.</w:t>
      </w:r>
      <w:r w:rsidR="00E3253D" w:rsidRPr="002F4D34">
        <w:rPr>
          <w:rStyle w:val="libFootnoteBoldChar"/>
          <w:rtl/>
        </w:rPr>
        <w:t>الوافي</w:t>
      </w:r>
      <w:r w:rsidR="00E3253D" w:rsidRPr="005D642E">
        <w:rPr>
          <w:rtl/>
        </w:rPr>
        <w:t xml:space="preserve"> ، ج 6 ، ص 193 ، ح 4081 ؛ </w:t>
      </w:r>
      <w:r w:rsidR="00E3253D" w:rsidRPr="002F4D34">
        <w:rPr>
          <w:rStyle w:val="libFootnoteBoldChar"/>
          <w:rtl/>
        </w:rPr>
        <w:t>الوسائل</w:t>
      </w:r>
      <w:r w:rsidR="00E3253D" w:rsidRPr="005D642E">
        <w:rPr>
          <w:rtl/>
        </w:rPr>
        <w:t xml:space="preserve"> ، ج 3 ، ص 407 ، ح 3997.</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حمّاد ، عليّ بن إبراهيم عن أبيه.</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جح » والوسائل </w:t>
      </w:r>
      <w:r w:rsidR="00E3253D" w:rsidRPr="00E678B5">
        <w:rPr>
          <w:rStyle w:val="libFootnoteBoldChar"/>
          <w:rtl/>
        </w:rPr>
        <w:t>والاستبصار</w:t>
      </w:r>
      <w:r w:rsidR="00E3253D" w:rsidRPr="005D642E">
        <w:rPr>
          <w:rtl/>
        </w:rPr>
        <w:t xml:space="preserve"> : « والبقر والغنم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الاستبصار ، ح 620 : « لا تتوضّأ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 ح 771 </w:t>
      </w:r>
      <w:r w:rsidR="00E3253D" w:rsidRPr="00E678B5">
        <w:rPr>
          <w:rStyle w:val="libFootnoteBoldChar"/>
          <w:rtl/>
        </w:rPr>
        <w:t>والاستبصار</w:t>
      </w:r>
      <w:r w:rsidR="00E3253D" w:rsidRPr="005D642E">
        <w:rPr>
          <w:rtl/>
        </w:rPr>
        <w:t xml:space="preserve"> ، ح 620 : « وإن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بس » : « أن يتنظّف »</w:t>
      </w:r>
      <w:r w:rsidR="00E3253D">
        <w:rPr>
          <w:rtl/>
        </w:rPr>
        <w:t>.</w:t>
      </w:r>
      <w:r w:rsidR="00E3253D" w:rsidRPr="005D642E">
        <w:rPr>
          <w:rtl/>
        </w:rPr>
        <w:t xml:space="preserve"> وفي « جن » : « تنظَف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الضمير المستتر في « قال » راجع إلى محمّد بن مسلم. والضمير في « سألته » راجع إلى أبي عبدالله </w:t>
      </w:r>
      <w:r w:rsidR="00E3253D" w:rsidRPr="00086597">
        <w:rPr>
          <w:rStyle w:val="libFootnoteAlaemChar"/>
          <w:rtl/>
        </w:rPr>
        <w:t>عليه‌السلام</w:t>
      </w:r>
      <w:r w:rsidR="00E3253D" w:rsidRPr="005D642E">
        <w:rPr>
          <w:rtl/>
        </w:rPr>
        <w:t xml:space="preserve"> ، فالطريق إلى محمّد بن مسلم هو الطريق المذكور في صدر الخبر.</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اريد بالدوابّ الخيل ، وهي أحد معانيه ، وقد تطلق على ما يشملها والبغال والحمير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الاستبصار ، ح 620 : « اغسلها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 « لم يعلم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w:t>
      </w:r>
      <w:r w:rsidR="00B60612" w:rsidRPr="00B60612">
        <w:rPr>
          <w:rStyle w:val="libFootnoteBoldChar"/>
          <w:rtl/>
        </w:rPr>
        <w:t>والتهذيب</w:t>
      </w:r>
      <w:r w:rsidR="00E3253D" w:rsidRPr="005D642E">
        <w:rPr>
          <w:rtl/>
        </w:rPr>
        <w:t xml:space="preserve"> ، ح 771 </w:t>
      </w:r>
      <w:r w:rsidR="00E3253D" w:rsidRPr="00E678B5">
        <w:rPr>
          <w:rStyle w:val="libFootnoteBoldChar"/>
          <w:rtl/>
        </w:rPr>
        <w:t>والاستبصار</w:t>
      </w:r>
      <w:r w:rsidR="00E3253D" w:rsidRPr="005D642E">
        <w:rPr>
          <w:rtl/>
        </w:rPr>
        <w:t xml:space="preserve"> ، ح 620 : « فإن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النَضْح : البلُّ بالماء ، والرشُّ. راجع : </w:t>
      </w:r>
      <w:r w:rsidR="00E3253D" w:rsidRPr="002F4D34">
        <w:rPr>
          <w:rStyle w:val="libFootnoteBoldChar"/>
          <w:rtl/>
        </w:rPr>
        <w:t>النهاية</w:t>
      </w:r>
      <w:r w:rsidR="00E3253D" w:rsidRPr="005D642E">
        <w:rPr>
          <w:rtl/>
        </w:rPr>
        <w:t xml:space="preserve"> ، ج 5 ، ص 69 ؛ </w:t>
      </w:r>
      <w:r w:rsidR="00E3253D" w:rsidRPr="002F4D34">
        <w:rPr>
          <w:rStyle w:val="libFootnoteBoldChar"/>
          <w:rtl/>
        </w:rPr>
        <w:t>المصباح المنير</w:t>
      </w:r>
      <w:r w:rsidR="00E3253D" w:rsidRPr="005D642E">
        <w:rPr>
          <w:rtl/>
        </w:rPr>
        <w:t xml:space="preserve"> ، ص 609 ( نضح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264 ح 771 ؛ </w:t>
      </w:r>
      <w:r w:rsidR="00E3253D" w:rsidRPr="00E678B5">
        <w:rPr>
          <w:rStyle w:val="libFootnoteBoldChar"/>
          <w:rtl/>
        </w:rPr>
        <w:t>والاستبصار</w:t>
      </w:r>
      <w:r w:rsidR="00E3253D" w:rsidRPr="005D642E">
        <w:rPr>
          <w:rtl/>
        </w:rPr>
        <w:t xml:space="preserve"> ، ج 1 ، ص 178 ، ح 620 ، بسندهما عن الكليني. وفي </w:t>
      </w:r>
      <w:r w:rsidR="00E3253D" w:rsidRPr="002F4D34">
        <w:rPr>
          <w:rStyle w:val="libFootnoteBoldChar"/>
          <w:rtl/>
        </w:rPr>
        <w:t>التهذيب</w:t>
      </w:r>
      <w:r w:rsidR="00E3253D" w:rsidRPr="005D642E">
        <w:rPr>
          <w:rtl/>
        </w:rPr>
        <w:t xml:space="preserve"> ، ج 1 ، ص 350 ، ح 1035 ؛ </w:t>
      </w:r>
      <w:r w:rsidR="00E3253D" w:rsidRPr="00E678B5">
        <w:rPr>
          <w:rStyle w:val="libFootnoteBoldChar"/>
          <w:rtl/>
        </w:rPr>
        <w:t>والاستبصار</w:t>
      </w:r>
      <w:r w:rsidR="00E3253D" w:rsidRPr="005D642E">
        <w:rPr>
          <w:rtl/>
        </w:rPr>
        <w:t xml:space="preserve"> ، ج 1 ، ص 96 ، ح 312 ، بسند آخر ، إلى قوله : « فقال : لاتوضّأ منه » مع اختلاف يسير </w:t>
      </w:r>
      <w:r w:rsidR="00086597">
        <w:rPr>
          <w:rFonts w:hint="cs"/>
          <w:rtl/>
        </w:rPr>
        <w:t>.</w:t>
      </w:r>
      <w:r w:rsidR="00E3253D" w:rsidRPr="002F4D34">
        <w:rPr>
          <w:rStyle w:val="libFootnoteBoldChar"/>
          <w:rtl/>
        </w:rPr>
        <w:t>الوافي</w:t>
      </w:r>
      <w:r w:rsidR="00E3253D" w:rsidRPr="005D642E">
        <w:rPr>
          <w:rtl/>
        </w:rPr>
        <w:t xml:space="preserve"> ، ج 6 ، ص 193 ، ح 4083 ؛ </w:t>
      </w:r>
      <w:r w:rsidR="00E3253D" w:rsidRPr="002F4D34">
        <w:rPr>
          <w:rStyle w:val="libFootnoteBoldChar"/>
          <w:rtl/>
        </w:rPr>
        <w:t>الوسائل</w:t>
      </w:r>
      <w:r w:rsidR="00E3253D" w:rsidRPr="005D642E">
        <w:rPr>
          <w:rtl/>
        </w:rPr>
        <w:t xml:space="preserve"> ، ج 1 ، ص 289 ، ح 761 ، إلى قوله : « لاتوضّأ منه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493967">
      <w:pPr>
        <w:pStyle w:val="libNormal"/>
        <w:rPr>
          <w:rtl/>
          <w:lang w:bidi="fa-IR"/>
        </w:rPr>
      </w:pPr>
      <w:r w:rsidRPr="005D642E">
        <w:rPr>
          <w:rtl/>
          <w:lang w:bidi="fa-IR"/>
        </w:rPr>
        <w:lastRenderedPageBreak/>
        <w:t xml:space="preserve">قَالَ أَبُو عَبْدِ اللهِ </w:t>
      </w:r>
      <w:r w:rsidR="00493967" w:rsidRPr="00AC51C5">
        <w:rPr>
          <w:rStyle w:val="libAlaemChar"/>
          <w:rtl/>
        </w:rPr>
        <w:t>عليه‌السلام</w:t>
      </w:r>
      <w:r w:rsidRPr="005D642E">
        <w:rPr>
          <w:rtl/>
          <w:lang w:bidi="fa-IR"/>
        </w:rPr>
        <w:t xml:space="preserve">: « اغْسِلْ ثَوْبَكَ مِنْ أَبْوَالِ </w:t>
      </w:r>
      <w:r w:rsidRPr="007C12DB">
        <w:rPr>
          <w:rStyle w:val="libFootnotenumChar"/>
          <w:rtl/>
        </w:rPr>
        <w:t>(1)</w:t>
      </w:r>
      <w:r w:rsidRPr="005D642E">
        <w:rPr>
          <w:rtl/>
          <w:lang w:bidi="fa-IR"/>
        </w:rPr>
        <w:t xml:space="preserve"> مَا لَايُؤْكَلُ لَحْمُهُ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1E55FC">
        <w:rPr>
          <w:rtl/>
        </w:rPr>
        <w:t>4079</w:t>
      </w:r>
      <w:r w:rsidRPr="00246318">
        <w:rPr>
          <w:rStyle w:val="libBold2Char"/>
          <w:rtl/>
        </w:rPr>
        <w:t xml:space="preserve"> / 4.</w:t>
      </w:r>
      <w:r w:rsidRPr="005D642E">
        <w:rPr>
          <w:rtl/>
          <w:lang w:bidi="fa-IR"/>
        </w:rPr>
        <w:t xml:space="preserve"> مُحَمَّدُ بْنُ يَحْيى ، عَنْ أَحْمَدَ بْنِ مُحَمَّدٍ ، عَنْ مُحَمَّدِ بْنِ خَالِدٍ ، عَنِ الْقَاسِمِ بْنِ عُرْوَةَ ، عَنْ بُكَيْرِ بْنِ أَعْيَنَ </w:t>
      </w:r>
      <w:r w:rsidRPr="007C12DB">
        <w:rPr>
          <w:rStyle w:val="libFootnotenumChar"/>
          <w:rtl/>
        </w:rPr>
        <w:t>(3)</w:t>
      </w:r>
      <w:r w:rsidRPr="005D642E">
        <w:rPr>
          <w:rtl/>
          <w:lang w:bidi="fa-IR"/>
        </w:rPr>
        <w:t xml:space="preserve"> ، عَنْ زُرَارَةَ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فِي أَبْوَالِ الدَّوَابِّ تُصِيبُ </w:t>
      </w:r>
      <w:r w:rsidRPr="007C12DB">
        <w:rPr>
          <w:rStyle w:val="libFootnotenumChar"/>
          <w:rtl/>
        </w:rPr>
        <w:t>(4)</w:t>
      </w:r>
      <w:r w:rsidRPr="005D642E">
        <w:rPr>
          <w:rtl/>
          <w:lang w:bidi="fa-IR"/>
        </w:rPr>
        <w:t xml:space="preserve"> الثَّوْبَ ، فَكَرِهَهُ </w:t>
      </w:r>
      <w:r w:rsidRPr="007C12DB">
        <w:rPr>
          <w:rStyle w:val="libFootnotenumChar"/>
          <w:rtl/>
        </w:rPr>
        <w:t>(5)</w:t>
      </w:r>
      <w:r w:rsidRPr="005D642E">
        <w:rPr>
          <w:rtl/>
          <w:lang w:bidi="fa-IR"/>
        </w:rPr>
        <w:t xml:space="preserve"> ، فَقُلْتُ </w:t>
      </w:r>
      <w:r w:rsidRPr="007C12DB">
        <w:rPr>
          <w:rStyle w:val="libFootnotenumChar"/>
          <w:rtl/>
        </w:rPr>
        <w:t>(6)</w:t>
      </w:r>
      <w:r>
        <w:rPr>
          <w:rtl/>
          <w:lang w:bidi="fa-IR"/>
        </w:rPr>
        <w:t xml:space="preserve"> : أَ</w:t>
      </w:r>
      <w:r w:rsidRPr="005D642E">
        <w:rPr>
          <w:rtl/>
          <w:lang w:bidi="fa-IR"/>
        </w:rPr>
        <w:t xml:space="preserve">لَيْسَ لُحُومُهَا حَلَالاً </w:t>
      </w:r>
      <w:r w:rsidRPr="007C12DB">
        <w:rPr>
          <w:rStyle w:val="libFootnotenumChar"/>
          <w:rtl/>
        </w:rPr>
        <w:t>(7)</w:t>
      </w:r>
      <w:r>
        <w:rPr>
          <w:rtl/>
          <w:lang w:bidi="fa-IR"/>
        </w:rPr>
        <w:t>؟</w:t>
      </w:r>
    </w:p>
    <w:p w:rsidR="00E3253D" w:rsidRPr="005D642E" w:rsidRDefault="00E3253D" w:rsidP="00E3253D">
      <w:pPr>
        <w:pStyle w:val="libNormal"/>
        <w:rPr>
          <w:rtl/>
          <w:lang w:bidi="fa-IR"/>
        </w:rPr>
      </w:pPr>
      <w:r w:rsidRPr="005D642E">
        <w:rPr>
          <w:rtl/>
          <w:lang w:bidi="fa-IR"/>
        </w:rPr>
        <w:t xml:space="preserve">قَالَ : « بَلى ، وَلكِنْ لَيْسَ مِمَّا جَعَلَهُ </w:t>
      </w:r>
      <w:r w:rsidRPr="007C12DB">
        <w:rPr>
          <w:rStyle w:val="libFootnotenumChar"/>
          <w:rtl/>
        </w:rPr>
        <w:t>(8)</w:t>
      </w:r>
      <w:r w:rsidRPr="005D642E">
        <w:rPr>
          <w:rtl/>
          <w:lang w:bidi="fa-IR"/>
        </w:rPr>
        <w:t xml:space="preserve"> اللهُ لِلْأَكْلِ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الكافي ، ح 5398 : « بول كلّ » بدل « أبوال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264 ، ح 770 ، بسنده عن الكليني. </w:t>
      </w:r>
      <w:r w:rsidR="00E3253D" w:rsidRPr="002F4D34">
        <w:rPr>
          <w:rStyle w:val="libFootnoteBoldChar"/>
          <w:rtl/>
        </w:rPr>
        <w:t>الكافي</w:t>
      </w:r>
      <w:r w:rsidR="00E3253D" w:rsidRPr="005D642E">
        <w:rPr>
          <w:rtl/>
        </w:rPr>
        <w:t xml:space="preserve"> ، كتاب الصلاة ، باب الرجل يصلّي في الثوب وهو غير طاهر عالماً أو جاهلاً ، ح 5398 ، عن عليّ بن محمّد ، عن عبدالله بن سنان </w:t>
      </w:r>
      <w:r w:rsidR="00717529">
        <w:rPr>
          <w:rFonts w:hint="cs"/>
          <w:rtl/>
        </w:rPr>
        <w:t>.</w:t>
      </w:r>
      <w:r w:rsidR="00E3253D" w:rsidRPr="002F4D34">
        <w:rPr>
          <w:rStyle w:val="libFootnoteBoldChar"/>
          <w:rtl/>
        </w:rPr>
        <w:t>الوافي</w:t>
      </w:r>
      <w:r w:rsidR="00E3253D" w:rsidRPr="005D642E">
        <w:rPr>
          <w:rtl/>
        </w:rPr>
        <w:t xml:space="preserve"> ، ج 6 ، ص 193 ، ح 4082 ؛ </w:t>
      </w:r>
      <w:r w:rsidR="00E3253D" w:rsidRPr="002F4D34">
        <w:rPr>
          <w:rStyle w:val="libFootnoteBoldChar"/>
          <w:rtl/>
        </w:rPr>
        <w:t>الوسائل</w:t>
      </w:r>
      <w:r w:rsidR="00E3253D" w:rsidRPr="005D642E">
        <w:rPr>
          <w:rtl/>
        </w:rPr>
        <w:t xml:space="preserve"> ، ج 3 ، ص 405 ، ح 3988.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والوسائل :</w:t>
      </w:r>
      <w:r w:rsidR="00E3253D">
        <w:rPr>
          <w:rtl/>
        </w:rPr>
        <w:t xml:space="preserve"> </w:t>
      </w:r>
      <w:r w:rsidR="007642BC">
        <w:rPr>
          <w:rtl/>
        </w:rPr>
        <w:t>-</w:t>
      </w:r>
      <w:r w:rsidR="00E3253D">
        <w:rPr>
          <w:rtl/>
        </w:rPr>
        <w:t xml:space="preserve"> </w:t>
      </w:r>
      <w:r w:rsidR="00E3253D" w:rsidRPr="005D642E">
        <w:rPr>
          <w:rtl/>
        </w:rPr>
        <w:t>« بن أعين »</w:t>
      </w:r>
      <w:r w:rsidR="00E3253D">
        <w:rPr>
          <w:rtl/>
        </w:rPr>
        <w:t>.</w:t>
      </w:r>
    </w:p>
    <w:p w:rsidR="00E3253D" w:rsidRPr="005D642E" w:rsidRDefault="00E3253D" w:rsidP="00E3253D">
      <w:pPr>
        <w:pStyle w:val="libFootnote0"/>
        <w:rPr>
          <w:rtl/>
          <w:lang w:bidi="fa-IR"/>
        </w:rPr>
      </w:pPr>
      <w:r w:rsidRPr="00B60612">
        <w:rPr>
          <w:rtl/>
        </w:rPr>
        <w:t xml:space="preserve">ثم إنّ الخبر رواه الشيخ الطوسي تارةً بإسناده عن أحمد بن محمّد ، عن محمّد بن خالد ، عن القاسم بن عروة ، عن ابن بكير ، عن زرارة في </w:t>
      </w:r>
      <w:r w:rsidRPr="002F4D34">
        <w:rPr>
          <w:rStyle w:val="libFootnoteBoldChar"/>
          <w:rtl/>
        </w:rPr>
        <w:t>التهذيب</w:t>
      </w:r>
      <w:r w:rsidRPr="00B60612">
        <w:rPr>
          <w:rtl/>
        </w:rPr>
        <w:t xml:space="preserve"> ، ج 1 ص 264 ، ح 772 ، </w:t>
      </w:r>
      <w:r w:rsidRPr="00E678B5">
        <w:rPr>
          <w:rStyle w:val="libFootnoteBoldChar"/>
          <w:rtl/>
        </w:rPr>
        <w:t>والاستبصار</w:t>
      </w:r>
      <w:r w:rsidRPr="00B60612">
        <w:rPr>
          <w:rtl/>
        </w:rPr>
        <w:t xml:space="preserve"> ، ج 1 ، ص 179 ، ح 626 ، وا</w:t>
      </w:r>
      <w:r w:rsidR="0091142C">
        <w:rPr>
          <w:rFonts w:hint="cs"/>
          <w:rtl/>
        </w:rPr>
        <w:t>ُ</w:t>
      </w:r>
      <w:r w:rsidRPr="00B60612">
        <w:rPr>
          <w:rtl/>
        </w:rPr>
        <w:t xml:space="preserve">خرى بإسناده عن الحسين بن سعيد ، عن القاسم بن عروة ، عن ابن بكير ، عن زرارة في </w:t>
      </w:r>
      <w:r w:rsidRPr="002F4D34">
        <w:rPr>
          <w:rStyle w:val="libFootnoteBoldChar"/>
          <w:rtl/>
        </w:rPr>
        <w:t>التهذيب</w:t>
      </w:r>
      <w:r w:rsidRPr="00B60612">
        <w:rPr>
          <w:rtl/>
        </w:rPr>
        <w:t xml:space="preserve"> ، ج 1 ، ص 422 ، ح 1338.</w:t>
      </w:r>
    </w:p>
    <w:p w:rsidR="00E3253D" w:rsidRPr="005D642E" w:rsidRDefault="00E3253D" w:rsidP="00E3253D">
      <w:pPr>
        <w:pStyle w:val="libFootnote0"/>
        <w:rPr>
          <w:rtl/>
          <w:lang w:bidi="fa-IR"/>
        </w:rPr>
      </w:pPr>
      <w:r w:rsidRPr="00B60612">
        <w:rPr>
          <w:rtl/>
        </w:rPr>
        <w:t>وما في التهذيبين هو الصواب ؛ فإنّا لم نجد روا</w:t>
      </w:r>
      <w:r w:rsidR="0091142C">
        <w:rPr>
          <w:rtl/>
        </w:rPr>
        <w:t>ية القاسم بن عروة ، عن بكير إل</w:t>
      </w:r>
      <w:r w:rsidR="0091142C">
        <w:rPr>
          <w:rFonts w:hint="cs"/>
          <w:rtl/>
        </w:rPr>
        <w:t>ّ</w:t>
      </w:r>
      <w:r w:rsidR="0091142C">
        <w:rPr>
          <w:rtl/>
        </w:rPr>
        <w:t>ا</w:t>
      </w:r>
      <w:r w:rsidRPr="00B60612">
        <w:rPr>
          <w:rtl/>
        </w:rPr>
        <w:t xml:space="preserve">في هذا الخبر وما رواه الشيخ الطوسي في </w:t>
      </w:r>
      <w:r w:rsidRPr="002F4D34">
        <w:rPr>
          <w:rStyle w:val="libFootnoteBoldChar"/>
          <w:rtl/>
        </w:rPr>
        <w:t>التهذيب</w:t>
      </w:r>
      <w:r w:rsidRPr="00B60612">
        <w:rPr>
          <w:rtl/>
        </w:rPr>
        <w:t xml:space="preserve"> ، ج 10 ، ص 245 ، ح 971 ، وذاك الخبر رواه الكليني في </w:t>
      </w:r>
      <w:r w:rsidRPr="002F4D34">
        <w:rPr>
          <w:rStyle w:val="libFootnoteBoldChar"/>
          <w:rtl/>
        </w:rPr>
        <w:t>الكافي</w:t>
      </w:r>
      <w:r w:rsidRPr="00B60612">
        <w:rPr>
          <w:rtl/>
        </w:rPr>
        <w:t xml:space="preserve"> ، ح 14271 بسنده عن الحسين بن سعيد ومحمّد بن خالد عن القاسم بن عروة ، عن ابن بكير.</w:t>
      </w:r>
    </w:p>
    <w:p w:rsidR="00E3253D" w:rsidRPr="005D642E" w:rsidRDefault="00E3253D" w:rsidP="00E3253D">
      <w:pPr>
        <w:pStyle w:val="libNormal"/>
        <w:rPr>
          <w:rtl/>
          <w:lang w:bidi="fa-IR"/>
        </w:rPr>
      </w:pPr>
      <w:r w:rsidRPr="00B60612">
        <w:rPr>
          <w:rStyle w:val="libFootnote0Char"/>
          <w:rtl/>
        </w:rPr>
        <w:t xml:space="preserve">وأمّا [ عبدالله ] بن بكير فقد توسّط بين القاسم بن عروة وزرارة في عددٍ من الأسناد. راجع : </w:t>
      </w:r>
      <w:r w:rsidRPr="002F4D34">
        <w:rPr>
          <w:rStyle w:val="libFootnoteBoldChar"/>
          <w:rtl/>
        </w:rPr>
        <w:t>معجم رجال الحديث</w:t>
      </w:r>
      <w:r w:rsidRPr="00B60612">
        <w:rPr>
          <w:rStyle w:val="libFootnote0Char"/>
          <w:rtl/>
        </w:rPr>
        <w:t xml:space="preserve"> ، ج 1 ، ص 424 </w:t>
      </w:r>
      <w:r w:rsidR="007642BC" w:rsidRPr="00B60612">
        <w:rPr>
          <w:rStyle w:val="libFootnote0Char"/>
          <w:rtl/>
        </w:rPr>
        <w:t>-</w:t>
      </w:r>
      <w:r w:rsidRPr="00B60612">
        <w:rPr>
          <w:rStyle w:val="libFootnote0Char"/>
          <w:rtl/>
        </w:rPr>
        <w:t xml:space="preserve"> 426 ؛ وج 22 ، ص 368 </w:t>
      </w:r>
      <w:r w:rsidR="007642BC" w:rsidRPr="00B60612">
        <w:rPr>
          <w:rStyle w:val="libFootnote0Char"/>
          <w:rtl/>
        </w:rPr>
        <w:t>-</w:t>
      </w:r>
      <w:r w:rsidRPr="00B60612">
        <w:rPr>
          <w:rStyle w:val="libFootnote0Char"/>
          <w:rtl/>
        </w:rPr>
        <w:t xml:space="preserve"> 371.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بث ، بخ ، بف ، جح ، جس » </w:t>
      </w:r>
      <w:r w:rsidR="00B60612" w:rsidRPr="00B60612">
        <w:rPr>
          <w:rStyle w:val="libFootnoteBoldChar"/>
          <w:rtl/>
        </w:rPr>
        <w:t>والتهذيب</w:t>
      </w:r>
      <w:r w:rsidR="00E3253D" w:rsidRPr="005D642E">
        <w:rPr>
          <w:rtl/>
        </w:rPr>
        <w:t xml:space="preserve"> ، ص 264 </w:t>
      </w:r>
      <w:r w:rsidR="00E3253D" w:rsidRPr="00E678B5">
        <w:rPr>
          <w:rStyle w:val="libFootnoteBoldChar"/>
          <w:rtl/>
        </w:rPr>
        <w:t>والاستبصار</w:t>
      </w:r>
      <w:r w:rsidR="00E3253D" w:rsidRPr="005D642E">
        <w:rPr>
          <w:rtl/>
        </w:rPr>
        <w:t xml:space="preserve"> : « يصيب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ج 13 ، ص 162 : « الحديث الرابع مجهول ، وهو جامع بين الأخبار فيشكل القول بالطهارة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معظم النسخ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 جن » والمطبوع : + « له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بح ، بخ ، بس ، بف ، جح » وحاشية « جن » : « حلال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الاستبصار : « جعلها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264 ، ح 772 ؛ </w:t>
      </w:r>
      <w:r w:rsidR="00E3253D" w:rsidRPr="00E678B5">
        <w:rPr>
          <w:rStyle w:val="libFootnoteBoldChar"/>
          <w:rtl/>
        </w:rPr>
        <w:t>والاستبصار</w:t>
      </w:r>
      <w:r w:rsidR="00E3253D" w:rsidRPr="005D642E">
        <w:rPr>
          <w:rtl/>
        </w:rPr>
        <w:t xml:space="preserve"> ، ج 1 ، ص 179 ، ح 626 ، معلّقاً عن أحمد بن محمّد. </w:t>
      </w:r>
      <w:r w:rsidR="00E3253D" w:rsidRPr="002F4D34">
        <w:rPr>
          <w:rStyle w:val="libFootnoteBoldChar"/>
          <w:rtl/>
        </w:rPr>
        <w:t>التهذيب</w:t>
      </w:r>
      <w:r w:rsidR="00E3253D" w:rsidRPr="005D642E">
        <w:rPr>
          <w:rtl/>
        </w:rPr>
        <w:t xml:space="preserve"> ، </w:t>
      </w:r>
      <w:r w:rsidR="0071790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1E55FC">
        <w:rPr>
          <w:rtl/>
        </w:rPr>
        <w:lastRenderedPageBreak/>
        <w:t>4080</w:t>
      </w:r>
      <w:r w:rsidRPr="00246318">
        <w:rPr>
          <w:rStyle w:val="libBold2Char"/>
          <w:rtl/>
        </w:rPr>
        <w:t xml:space="preserve"> / 5.</w:t>
      </w:r>
      <w:r w:rsidRPr="005D642E">
        <w:rPr>
          <w:rtl/>
          <w:lang w:bidi="fa-IR"/>
        </w:rPr>
        <w:t xml:space="preserve"> الْحُسَيْنُ بْنُ مُحَمَّدٍ ، عَنْ مُعَلَّى بْنِ مُحَمَّدٍ ، عَنِ الْوَشَّاءِ ، عَنْ أَبَانِ بْنِ عُثْمَانَ ، عَنْ أَبِي مَرْيَمَ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مَا تَقُولُ فِي أَبْوَالِ الدَّوَابِّ وَأَرْوَاثِهَا</w:t>
      </w:r>
      <w:r>
        <w:rPr>
          <w:rtl/>
          <w:lang w:bidi="fa-IR"/>
        </w:rPr>
        <w:t>؟</w:t>
      </w:r>
    </w:p>
    <w:p w:rsidR="00E3253D" w:rsidRPr="005D642E" w:rsidRDefault="00E3253D" w:rsidP="00E3253D">
      <w:pPr>
        <w:pStyle w:val="libNormal"/>
        <w:rPr>
          <w:rtl/>
          <w:lang w:bidi="fa-IR"/>
        </w:rPr>
      </w:pPr>
      <w:r w:rsidRPr="005D642E">
        <w:rPr>
          <w:rtl/>
          <w:lang w:bidi="fa-IR"/>
        </w:rPr>
        <w:t xml:space="preserve">قَالَ : « أَمَّا أَبْوَالُهَا ، فَاغْسِلْ إِنْ </w:t>
      </w:r>
      <w:r w:rsidRPr="007C12DB">
        <w:rPr>
          <w:rStyle w:val="libFootnotenumChar"/>
          <w:rtl/>
        </w:rPr>
        <w:t>(1)</w:t>
      </w:r>
      <w:r w:rsidRPr="005D642E">
        <w:rPr>
          <w:rtl/>
          <w:lang w:bidi="fa-IR"/>
        </w:rPr>
        <w:t xml:space="preserve"> أَصَابَكَ ؛ وَأَمَّا أَرْوَاثُهَا ، فَهِيَ أَكْثَرُ مِنْ ذلِكَ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1E55FC">
        <w:rPr>
          <w:rtl/>
        </w:rPr>
        <w:t>4081</w:t>
      </w:r>
      <w:r w:rsidRPr="00246318">
        <w:rPr>
          <w:rStyle w:val="libBold2Char"/>
          <w:rtl/>
        </w:rPr>
        <w:t xml:space="preserve"> / 6.</w:t>
      </w:r>
      <w:r w:rsidRPr="005D642E">
        <w:rPr>
          <w:rtl/>
          <w:lang w:bidi="fa-IR"/>
        </w:rPr>
        <w:t xml:space="preserve"> مُحَمَّدُ بْنُ يَحْيى ، عَنْ أَحْمَدَ بْنِ مُحَمَّدٍ ، عَنِ الْبَرْقِيِّ ، عَنْ أَبَانٍ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بَأْسَ بِرَوْثِ الْحَمِيرِ </w:t>
      </w:r>
      <w:r w:rsidRPr="007C12DB">
        <w:rPr>
          <w:rStyle w:val="libFootnotenumChar"/>
          <w:rtl/>
        </w:rPr>
        <w:t>(4)</w:t>
      </w:r>
      <w:r w:rsidRPr="005D642E">
        <w:rPr>
          <w:rtl/>
          <w:lang w:bidi="fa-IR"/>
        </w:rPr>
        <w:t xml:space="preserve"> ، وَاغْسِلْ </w:t>
      </w:r>
      <w:r w:rsidRPr="007C12DB">
        <w:rPr>
          <w:rStyle w:val="libFootnotenumChar"/>
          <w:rtl/>
        </w:rPr>
        <w:t>(5)</w:t>
      </w:r>
      <w:r w:rsidRPr="005D642E">
        <w:rPr>
          <w:rtl/>
          <w:lang w:bidi="fa-IR"/>
        </w:rPr>
        <w:t xml:space="preserve"> أَبْوَالَهَا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1E55FC">
        <w:rPr>
          <w:rtl/>
        </w:rPr>
        <w:t>4082</w:t>
      </w:r>
      <w:r w:rsidRPr="00246318">
        <w:rPr>
          <w:rStyle w:val="libBold2Char"/>
          <w:rtl/>
        </w:rPr>
        <w:t xml:space="preserve"> / 7.</w:t>
      </w:r>
      <w:r w:rsidRPr="005D642E">
        <w:rPr>
          <w:rtl/>
          <w:lang w:bidi="fa-IR"/>
        </w:rPr>
        <w:t xml:space="preserve"> مُحَمَّدُ بْنُ يَحْيى ، عَنْ أَحْمَدَ بْنِ مُحَمَّدٍ ، عَنْ مُحَمَّدِ بْنِ سِنَانٍ ، عَنِ ابْنِ مُسْكَانَ ، عَنْ مَالِكٍ الْجُهَنِيِّ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عَمَّا يَخْرُجُ مِنْ مَنْخِرِ </w:t>
      </w:r>
      <w:r w:rsidRPr="007C12DB">
        <w:rPr>
          <w:rStyle w:val="libFootnotenumChar"/>
          <w:rtl/>
        </w:rPr>
        <w:t>(8)</w:t>
      </w:r>
      <w:r w:rsidRPr="005D642E">
        <w:rPr>
          <w:rtl/>
          <w:lang w:bidi="fa-IR"/>
        </w:rPr>
        <w:t xml:space="preserve"> الدَّابَّةِ يُصِيبُنِي </w:t>
      </w:r>
      <w:r w:rsidRPr="007C12DB">
        <w:rPr>
          <w:rStyle w:val="libFootnotenumChar"/>
          <w:rtl/>
        </w:rPr>
        <w:t>(9)</w:t>
      </w:r>
      <w:r w:rsidR="00063342" w:rsidRPr="00063342">
        <w:rPr>
          <w:rFonts w:hint="cs"/>
          <w:rtl/>
        </w:rPr>
        <w:t>.</w:t>
      </w:r>
    </w:p>
    <w:p w:rsidR="00E3253D" w:rsidRPr="005D642E" w:rsidRDefault="00E3253D" w:rsidP="00E3253D">
      <w:pPr>
        <w:pStyle w:val="libNormal"/>
        <w:rPr>
          <w:rtl/>
          <w:lang w:bidi="fa-IR"/>
        </w:rPr>
      </w:pPr>
      <w:r w:rsidRPr="005D642E">
        <w:rPr>
          <w:rtl/>
          <w:lang w:bidi="fa-IR"/>
        </w:rPr>
        <w:t>قَالَ : « لَا بَأْسَ بِهِ »</w:t>
      </w:r>
      <w:r>
        <w:rPr>
          <w:rtl/>
          <w:lang w:bidi="fa-IR"/>
        </w:rPr>
        <w:t>.</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063342" w:rsidP="00E3253D">
      <w:pPr>
        <w:pStyle w:val="libFootnote0"/>
        <w:rPr>
          <w:rtl/>
          <w:lang w:bidi="fa-IR"/>
        </w:rPr>
      </w:pPr>
      <w:r>
        <w:rPr>
          <w:rFonts w:hint="cs"/>
          <w:rtl/>
        </w:rPr>
        <w:t xml:space="preserve">= </w:t>
      </w:r>
      <w:r w:rsidR="00E3253D" w:rsidRPr="005D642E">
        <w:rPr>
          <w:rtl/>
        </w:rPr>
        <w:t xml:space="preserve">ج 1 ، ص 422 ، ح 1338 ، معلّقاً عن الحسين بن سعيد ، عن القاسم بن عروة </w:t>
      </w:r>
      <w:r w:rsidR="007107BC">
        <w:rPr>
          <w:rFonts w:hint="cs"/>
          <w:rtl/>
        </w:rPr>
        <w:t>.</w:t>
      </w:r>
      <w:r w:rsidR="00E3253D" w:rsidRPr="002F4D34">
        <w:rPr>
          <w:rStyle w:val="libFootnoteBoldChar"/>
          <w:rtl/>
        </w:rPr>
        <w:t>الوافي</w:t>
      </w:r>
      <w:r w:rsidR="00E3253D" w:rsidRPr="005D642E">
        <w:rPr>
          <w:rtl/>
        </w:rPr>
        <w:t xml:space="preserve"> ، ج 6 ، ص 194 ، ح 4084 ؛ </w:t>
      </w:r>
      <w:r w:rsidR="00E3253D" w:rsidRPr="002F4D34">
        <w:rPr>
          <w:rStyle w:val="libFootnoteBoldChar"/>
          <w:rtl/>
        </w:rPr>
        <w:t>الوسائل</w:t>
      </w:r>
      <w:r w:rsidR="00E3253D" w:rsidRPr="005D642E">
        <w:rPr>
          <w:rtl/>
        </w:rPr>
        <w:t xml:space="preserve"> ، ج 3 ، ص 408 ، ح 4000.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حاشية « بخ » : « إذا »</w:t>
      </w:r>
      <w:r w:rsidR="00E3253D">
        <w:rPr>
          <w:rtl/>
        </w:rPr>
        <w:t>.</w:t>
      </w:r>
      <w:r w:rsidR="00E3253D" w:rsidRPr="005D642E">
        <w:rPr>
          <w:rtl/>
        </w:rPr>
        <w:t xml:space="preserve"> وفي التهذيب : « ما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الوافي</w:t>
      </w:r>
      <w:r w:rsidR="00E3253D" w:rsidRPr="005D642E">
        <w:rPr>
          <w:rtl/>
        </w:rPr>
        <w:t xml:space="preserve"> : « لعلّ المراد به أنّها أكثر من أن يمكن الاجتناب عنها ؛ لأنّه يؤدّي إلى الحرج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265 ، ح 775 ، بسنده عن الكليني ؛ </w:t>
      </w:r>
      <w:r w:rsidR="00E3253D" w:rsidRPr="002F4D34">
        <w:rPr>
          <w:rStyle w:val="libFootnoteBoldChar"/>
          <w:rtl/>
        </w:rPr>
        <w:t>الاستبصار</w:t>
      </w:r>
      <w:r w:rsidR="00E3253D" w:rsidRPr="005D642E">
        <w:rPr>
          <w:rtl/>
        </w:rPr>
        <w:t xml:space="preserve"> ، ج 1 ، ص 178 ، ح 623 ، معلّقاً عن الكليني </w:t>
      </w:r>
      <w:r w:rsidR="00B77956">
        <w:rPr>
          <w:rFonts w:hint="cs"/>
          <w:rtl/>
        </w:rPr>
        <w:t>.</w:t>
      </w:r>
      <w:r w:rsidR="00E3253D" w:rsidRPr="002F4D34">
        <w:rPr>
          <w:rStyle w:val="libFootnoteBoldChar"/>
          <w:rtl/>
        </w:rPr>
        <w:t>الوافي</w:t>
      </w:r>
      <w:r w:rsidR="00E3253D" w:rsidRPr="005D642E">
        <w:rPr>
          <w:rtl/>
        </w:rPr>
        <w:t xml:space="preserve"> ، ج 6 ، ص 194 ، ح 4085 ؛ </w:t>
      </w:r>
      <w:r w:rsidR="00E3253D" w:rsidRPr="002F4D34">
        <w:rPr>
          <w:rStyle w:val="libFootnoteBoldChar"/>
          <w:rtl/>
        </w:rPr>
        <w:t>الوسائل</w:t>
      </w:r>
      <w:r w:rsidR="00E3253D" w:rsidRPr="005D642E">
        <w:rPr>
          <w:rtl/>
        </w:rPr>
        <w:t xml:space="preserve"> ، ج 3 ، ص 408 ، ح 4001.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بس ، بف ، جح ، جن » وحاشية « بث ، بخ » والوسائل </w:t>
      </w:r>
      <w:r w:rsidR="00E3253D" w:rsidRPr="00E678B5">
        <w:rPr>
          <w:rStyle w:val="libFootnoteBoldChar"/>
          <w:rtl/>
        </w:rPr>
        <w:t>والاستبصار</w:t>
      </w:r>
      <w:r w:rsidR="00E3253D" w:rsidRPr="005D642E">
        <w:rPr>
          <w:rtl/>
        </w:rPr>
        <w:t xml:space="preserve"> : « الحمر »</w:t>
      </w:r>
      <w:r w:rsidR="00E3253D">
        <w:rPr>
          <w:rtl/>
        </w:rPr>
        <w:t>.</w:t>
      </w:r>
    </w:p>
    <w:tbl>
      <w:tblPr>
        <w:tblStyle w:val="TableGrid"/>
        <w:bidiVisual/>
        <w:tblW w:w="0" w:type="auto"/>
        <w:tblLook w:val="04A0" w:firstRow="1" w:lastRow="0" w:firstColumn="1" w:lastColumn="0" w:noHBand="0" w:noVBand="1"/>
      </w:tblPr>
      <w:tblGrid>
        <w:gridCol w:w="4006"/>
        <w:gridCol w:w="4006"/>
      </w:tblGrid>
      <w:tr w:rsidR="00B77956" w:rsidTr="00B77956">
        <w:tc>
          <w:tcPr>
            <w:tcW w:w="4006" w:type="dxa"/>
          </w:tcPr>
          <w:p w:rsidR="00B77956" w:rsidRDefault="00B77956" w:rsidP="00E3253D">
            <w:pPr>
              <w:pStyle w:val="libFootnote0"/>
              <w:rPr>
                <w:rStyle w:val="libFootnote0Char"/>
                <w:rtl/>
              </w:rPr>
            </w:pPr>
            <w:r w:rsidRPr="0042621E">
              <w:rPr>
                <w:rStyle w:val="libFootnote0Char"/>
                <w:rtl/>
              </w:rPr>
              <w:t>(5).</w:t>
            </w:r>
            <w:r w:rsidRPr="005D642E">
              <w:rPr>
                <w:rtl/>
              </w:rPr>
              <w:t xml:space="preserve"> في « بح ، جح » : « وأن اغسل »</w:t>
            </w:r>
            <w:r>
              <w:rPr>
                <w:rtl/>
              </w:rPr>
              <w:t>.</w:t>
            </w:r>
          </w:p>
        </w:tc>
        <w:tc>
          <w:tcPr>
            <w:tcW w:w="4006" w:type="dxa"/>
          </w:tcPr>
          <w:p w:rsidR="00B77956" w:rsidRDefault="00B77956" w:rsidP="00E3253D">
            <w:pPr>
              <w:pStyle w:val="libFootnote0"/>
              <w:rPr>
                <w:rStyle w:val="libFootnote0Char"/>
                <w:rtl/>
              </w:rPr>
            </w:pPr>
            <w:r w:rsidRPr="0042621E">
              <w:rPr>
                <w:rStyle w:val="libFootnote0Char"/>
                <w:rtl/>
              </w:rPr>
              <w:t>(6).</w:t>
            </w:r>
            <w:r w:rsidRPr="005D642E">
              <w:rPr>
                <w:rtl/>
              </w:rPr>
              <w:t xml:space="preserve"> سقط هذا الحديث من نسخة « جس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265 ، ح 773 ؛ </w:t>
      </w:r>
      <w:r w:rsidR="00E3253D" w:rsidRPr="00E678B5">
        <w:rPr>
          <w:rStyle w:val="libFootnoteBoldChar"/>
          <w:rtl/>
        </w:rPr>
        <w:t>والاستبصار</w:t>
      </w:r>
      <w:r w:rsidR="00E3253D" w:rsidRPr="005D642E">
        <w:rPr>
          <w:rtl/>
        </w:rPr>
        <w:t xml:space="preserve"> ، ج 1 ، ص 178 ، ح 621 ، معلّقاً عن أحمد بن محمّد </w:t>
      </w:r>
      <w:r w:rsidR="00C21E15">
        <w:rPr>
          <w:rFonts w:hint="cs"/>
          <w:rtl/>
        </w:rPr>
        <w:t>.</w:t>
      </w:r>
      <w:r w:rsidR="00E3253D" w:rsidRPr="002F4D34">
        <w:rPr>
          <w:rStyle w:val="libFootnoteBoldChar"/>
          <w:rtl/>
        </w:rPr>
        <w:t>الوافي</w:t>
      </w:r>
      <w:r w:rsidR="00E3253D" w:rsidRPr="005D642E">
        <w:rPr>
          <w:rtl/>
        </w:rPr>
        <w:t xml:space="preserve"> ، ج 6 ، ص 194 ، ح 4086 ؛ </w:t>
      </w:r>
      <w:r w:rsidR="00E3253D" w:rsidRPr="002F4D34">
        <w:rPr>
          <w:rStyle w:val="libFootnoteBoldChar"/>
          <w:rtl/>
        </w:rPr>
        <w:t>الوسائل</w:t>
      </w:r>
      <w:r w:rsidR="00E3253D" w:rsidRPr="005D642E">
        <w:rPr>
          <w:rtl/>
        </w:rPr>
        <w:t xml:space="preserve"> ، ج 3 ، ص 406 ، ح 3994.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 « عن منخر »</w:t>
      </w:r>
      <w:r w:rsidR="00E3253D">
        <w:rPr>
          <w:rtl/>
        </w:rPr>
        <w:t>.</w:t>
      </w:r>
      <w:r w:rsidR="00E3253D" w:rsidRPr="005D642E">
        <w:rPr>
          <w:rtl/>
        </w:rPr>
        <w:t xml:space="preserve"> </w:t>
      </w:r>
      <w:r w:rsidR="00E3253D">
        <w:rPr>
          <w:rtl/>
        </w:rPr>
        <w:t>و «</w:t>
      </w:r>
      <w:r w:rsidR="00E3253D" w:rsidRPr="005D642E">
        <w:rPr>
          <w:rtl/>
        </w:rPr>
        <w:t xml:space="preserve"> المنخر » بفتح الميم والخاء وبكسرهما وضمّهما وفتح الميم وكسر الخاء والمُنخور بضمّ الميم : الأنف. وقيل : جميع الأنف. وقيل أيضاً : هو ثقب الأنف ، وأصله موضع النَخير ، وهو الصوت من الأنف. راجع : </w:t>
      </w:r>
      <w:r w:rsidR="00E3253D" w:rsidRPr="002F4D34">
        <w:rPr>
          <w:rStyle w:val="libFootnoteBoldChar"/>
          <w:rtl/>
        </w:rPr>
        <w:t>ترتيب كتاب العين</w:t>
      </w:r>
      <w:r w:rsidR="00E3253D" w:rsidRPr="005D642E">
        <w:rPr>
          <w:rtl/>
        </w:rPr>
        <w:t xml:space="preserve"> ، ج 3 ، ص 1769 ؛ </w:t>
      </w:r>
      <w:r w:rsidR="00E3253D" w:rsidRPr="002F4D34">
        <w:rPr>
          <w:rStyle w:val="libFootnoteBoldChar"/>
          <w:rtl/>
        </w:rPr>
        <w:t>المصباح المنير</w:t>
      </w:r>
      <w:r w:rsidR="00E3253D" w:rsidRPr="005D642E">
        <w:rPr>
          <w:rtl/>
        </w:rPr>
        <w:t xml:space="preserve"> ، ص 596 ( تحر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 فيصيبني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420 ، ح 1328 ، معلّقاً عن أحمد بن محمّد </w:t>
      </w:r>
      <w:r w:rsidR="00E0176B">
        <w:rPr>
          <w:rFonts w:hint="cs"/>
          <w:rtl/>
        </w:rPr>
        <w:t>.</w:t>
      </w:r>
      <w:r w:rsidR="00E3253D" w:rsidRPr="002F4D34">
        <w:rPr>
          <w:rStyle w:val="libFootnoteBoldChar"/>
          <w:rtl/>
        </w:rPr>
        <w:t>الوافي</w:t>
      </w:r>
      <w:r w:rsidR="00E3253D" w:rsidRPr="005D642E">
        <w:rPr>
          <w:rtl/>
        </w:rPr>
        <w:t xml:space="preserve"> ، ج 6 ، ص 197 ، ح 4096 ؛ </w:t>
      </w:r>
      <w:r w:rsidR="00621838">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1E55FC">
        <w:rPr>
          <w:rtl/>
        </w:rPr>
        <w:lastRenderedPageBreak/>
        <w:t>4083</w:t>
      </w:r>
      <w:r w:rsidRPr="00246318">
        <w:rPr>
          <w:rStyle w:val="libBold2Char"/>
          <w:rtl/>
        </w:rPr>
        <w:t xml:space="preserve"> / 8.</w:t>
      </w:r>
      <w:r w:rsidRPr="005D642E">
        <w:rPr>
          <w:rtl/>
          <w:lang w:bidi="fa-IR"/>
        </w:rPr>
        <w:t xml:space="preserve"> عَلِيُّ بْنُ إِبْرَاهِيمَ ، عَنْ أَبِيهِ ، عَنْ عَبْدِ اللهِ بْنِ الْمُغِيرَةِ ، عَنْ سَمَاعَةَ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أَصَابَ الثَّوْبَ شَيْ‌ءٌ مِنْ بَوْلِ السِّنَّوْرِ </w:t>
      </w:r>
      <w:r w:rsidRPr="007C12DB">
        <w:rPr>
          <w:rStyle w:val="libFootnotenumChar"/>
          <w:rtl/>
        </w:rPr>
        <w:t>(1)</w:t>
      </w:r>
      <w:r w:rsidRPr="005D642E">
        <w:rPr>
          <w:rtl/>
          <w:lang w:bidi="fa-IR"/>
        </w:rPr>
        <w:t xml:space="preserve"> ، فَلَا يَصْلُحُ </w:t>
      </w:r>
      <w:r w:rsidRPr="007C12DB">
        <w:rPr>
          <w:rStyle w:val="libFootnotenumChar"/>
          <w:rtl/>
        </w:rPr>
        <w:t>(2)</w:t>
      </w:r>
      <w:r w:rsidRPr="005D642E">
        <w:rPr>
          <w:rtl/>
          <w:lang w:bidi="fa-IR"/>
        </w:rPr>
        <w:t xml:space="preserve"> الصَّلَاةُ فِيهِ حَتّى تَغْسِلَهُ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1E55FC">
        <w:rPr>
          <w:rtl/>
        </w:rPr>
        <w:t>4084</w:t>
      </w:r>
      <w:r w:rsidRPr="00246318">
        <w:rPr>
          <w:rStyle w:val="libBold2Char"/>
          <w:rtl/>
        </w:rPr>
        <w:t xml:space="preserve"> / 9.</w:t>
      </w:r>
      <w:r w:rsidRPr="005D642E">
        <w:rPr>
          <w:rtl/>
          <w:lang w:bidi="fa-IR"/>
        </w:rPr>
        <w:t xml:space="preserve"> عَلِيُّ بْنُ إِبْرَاهِيمَ ، عَنْ أَبِيهِ ، عَنْ عَبْدِ اللهِ بْنِ الْمُغِيرَةِ ، عَنْ جَمِيلِ بْنِ دَرَّاجٍ ، عَنْ أَبِي بَصِيرٍ :</w:t>
      </w:r>
    </w:p>
    <w:p w:rsidR="00E3253D" w:rsidRPr="005D642E" w:rsidRDefault="00E3253D" w:rsidP="00826FF3">
      <w:pPr>
        <w:pStyle w:val="libNormal"/>
        <w:rPr>
          <w:rtl/>
          <w:lang w:bidi="fa-IR"/>
        </w:rPr>
      </w:pPr>
      <w:r w:rsidRPr="005D642E">
        <w:rPr>
          <w:rtl/>
          <w:lang w:bidi="fa-IR"/>
        </w:rPr>
        <w:t xml:space="preserve">عَنْ أَبِي عَبْدِ اللهِ </w:t>
      </w:r>
      <w:r w:rsidR="00826FF3" w:rsidRPr="00AC51C5">
        <w:rPr>
          <w:rStyle w:val="libAlaemChar"/>
          <w:rtl/>
        </w:rPr>
        <w:t>عليه‌السلام</w:t>
      </w:r>
      <w:r w:rsidR="00826FF3" w:rsidRPr="005D642E">
        <w:rPr>
          <w:rtl/>
          <w:lang w:bidi="fa-IR"/>
        </w:rPr>
        <w:t xml:space="preserve"> </w:t>
      </w:r>
      <w:r w:rsidRPr="005D642E">
        <w:rPr>
          <w:rtl/>
          <w:lang w:bidi="fa-IR"/>
        </w:rPr>
        <w:t xml:space="preserve">، قَالَ : « كُلُّ شَيْ‌ءٍ يَطِيرُ فَلَا بَأْسَ بِبَوْلِهِ وَخُرْئِهِ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1E55FC">
        <w:rPr>
          <w:rtl/>
        </w:rPr>
        <w:t>4085</w:t>
      </w:r>
      <w:r w:rsidRPr="00246318">
        <w:rPr>
          <w:rStyle w:val="libBold2Char"/>
          <w:rtl/>
        </w:rPr>
        <w:t xml:space="preserve"> / 10.</w:t>
      </w:r>
      <w:r w:rsidRPr="005D642E">
        <w:rPr>
          <w:rtl/>
          <w:lang w:bidi="fa-IR"/>
        </w:rPr>
        <w:t xml:space="preserve"> مُحَمَّدُ بْنُ يَحْيى ، عَنْ مُحَمَّدِ بْنِ الْحُسَيْنِ ، عَنْ عَلِيِّ بْنِ الْحَكَمِ ، عَنْ أَبِي الْأَعَزِّ النَّخَّاسِ </w:t>
      </w:r>
      <w:r w:rsidRPr="007C12DB">
        <w:rPr>
          <w:rStyle w:val="libFootnotenumChar"/>
          <w:rtl/>
        </w:rPr>
        <w:t>(7)</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إِنِّي أُعَالِجُ الدَّوَابَّ ، فَرُبَّمَا </w:t>
      </w:r>
      <w:r w:rsidRPr="007C12DB">
        <w:rPr>
          <w:rStyle w:val="libFootnotenumChar"/>
          <w:rtl/>
        </w:rPr>
        <w:t>(8)</w:t>
      </w:r>
      <w:r w:rsidRPr="005D642E">
        <w:rPr>
          <w:rtl/>
          <w:lang w:bidi="fa-IR"/>
        </w:rPr>
        <w:t xml:space="preserve"> خَرَجْتُ بِاللَّيْلِ وَقَدْ بَالَتْ وَرَاثَتْ ،</w:t>
      </w:r>
    </w:p>
    <w:p w:rsidR="00E3253D" w:rsidRPr="005D642E" w:rsidRDefault="00E3253D" w:rsidP="00E3253D">
      <w:pPr>
        <w:pStyle w:val="libLine"/>
        <w:rPr>
          <w:rtl/>
          <w:lang w:bidi="fa-IR"/>
        </w:rPr>
      </w:pPr>
      <w:r w:rsidRPr="005D642E">
        <w:rPr>
          <w:rtl/>
          <w:lang w:bidi="fa-IR"/>
        </w:rPr>
        <w:t>__________________</w:t>
      </w:r>
    </w:p>
    <w:p w:rsidR="00E3253D" w:rsidRPr="005D642E" w:rsidRDefault="007E2D97" w:rsidP="00E3253D">
      <w:pPr>
        <w:pStyle w:val="libFootnote0"/>
        <w:rPr>
          <w:rtl/>
          <w:lang w:bidi="fa-IR"/>
        </w:rPr>
      </w:pPr>
      <w:r w:rsidRPr="007E2D97">
        <w:rPr>
          <w:rFonts w:hint="cs"/>
          <w:rtl/>
        </w:rPr>
        <w:t xml:space="preserve">= </w:t>
      </w:r>
      <w:r w:rsidR="00E3253D" w:rsidRPr="002F4D34">
        <w:rPr>
          <w:rStyle w:val="libFootnoteBoldChar"/>
          <w:rtl/>
        </w:rPr>
        <w:t>الوسائل</w:t>
      </w:r>
      <w:r w:rsidR="00E3253D" w:rsidRPr="005D642E">
        <w:rPr>
          <w:rtl/>
        </w:rPr>
        <w:t xml:space="preserve"> ، ج 3 ، ص 413 ، ح 4021.</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السِنَّوْر » : الهرّ ، وهو مشتقّ من السَنَر ، وهو ضيق الحلق. راجع : </w:t>
      </w:r>
      <w:r w:rsidR="00E3253D" w:rsidRPr="002F4D34">
        <w:rPr>
          <w:rStyle w:val="libFootnoteBoldChar"/>
          <w:rtl/>
        </w:rPr>
        <w:t>لسان العرب</w:t>
      </w:r>
      <w:r w:rsidR="00E3253D" w:rsidRPr="005D642E">
        <w:rPr>
          <w:rtl/>
        </w:rPr>
        <w:t xml:space="preserve"> ، ج 4 ، ص 381 ؛ </w:t>
      </w:r>
      <w:r w:rsidR="00E3253D" w:rsidRPr="002F4D34">
        <w:rPr>
          <w:rStyle w:val="libFootnoteBoldChar"/>
          <w:rtl/>
        </w:rPr>
        <w:t>المصباح المنير</w:t>
      </w:r>
      <w:r w:rsidR="00E3253D" w:rsidRPr="005D642E">
        <w:rPr>
          <w:rtl/>
        </w:rPr>
        <w:t xml:space="preserve"> ، ص 291 ( سنر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بس ، جح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فلا تصلح »</w:t>
      </w:r>
      <w:r w:rsidR="00E3253D">
        <w:rPr>
          <w:rtl/>
        </w:rPr>
        <w:t>.</w:t>
      </w:r>
      <w:r w:rsidR="00E3253D" w:rsidRPr="005D642E">
        <w:rPr>
          <w:rtl/>
        </w:rPr>
        <w:t xml:space="preserve"> وفي الوسائ</w:t>
      </w:r>
      <w:r w:rsidR="00826FF3">
        <w:rPr>
          <w:rtl/>
        </w:rPr>
        <w:t>ل والكافي ، ح 4072 : « فلا تصحّ</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بف ، جس » </w:t>
      </w:r>
      <w:r w:rsidR="000D749A" w:rsidRPr="000D749A">
        <w:rPr>
          <w:rStyle w:val="libFootnoteBoldChar"/>
          <w:rtl/>
        </w:rPr>
        <w:t>والوافي</w:t>
      </w:r>
      <w:r w:rsidR="00E3253D" w:rsidRPr="005D642E">
        <w:rPr>
          <w:rtl/>
        </w:rPr>
        <w:t xml:space="preserve"> والوسائل : « حتّى يغسله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البول يصيب الثوب أو الجسد ، ح 4072. وفي </w:t>
      </w:r>
      <w:r w:rsidR="00E3253D" w:rsidRPr="002F4D34">
        <w:rPr>
          <w:rStyle w:val="libFootnoteBoldChar"/>
          <w:rtl/>
        </w:rPr>
        <w:t>التهذيب</w:t>
      </w:r>
      <w:r w:rsidR="00E3253D" w:rsidRPr="005D642E">
        <w:rPr>
          <w:rtl/>
        </w:rPr>
        <w:t xml:space="preserve"> ، ج 1 ، ص 420 ، ح 1329 ، معلّقاً عن عليّ بن إبراهيم. راجع : </w:t>
      </w:r>
      <w:r w:rsidR="00E3253D" w:rsidRPr="002F4D34">
        <w:rPr>
          <w:rStyle w:val="libFootnoteBoldChar"/>
          <w:rtl/>
        </w:rPr>
        <w:t>التهذيب</w:t>
      </w:r>
      <w:r w:rsidR="00E3253D" w:rsidRPr="005D642E">
        <w:rPr>
          <w:rtl/>
        </w:rPr>
        <w:t xml:space="preserve"> ، ج 1 ، ص 422 ، ح 1336 ؛ </w:t>
      </w:r>
      <w:r w:rsidR="00E3253D" w:rsidRPr="00E678B5">
        <w:rPr>
          <w:rStyle w:val="libFootnoteBoldChar"/>
          <w:rtl/>
        </w:rPr>
        <w:t>والاستبصار</w:t>
      </w:r>
      <w:r w:rsidR="00E3253D" w:rsidRPr="005D642E">
        <w:rPr>
          <w:rtl/>
        </w:rPr>
        <w:t xml:space="preserve"> ، ج 1 ، ص 179 ، ح 627 </w:t>
      </w:r>
      <w:r w:rsidR="007E2D97">
        <w:rPr>
          <w:rFonts w:hint="cs"/>
          <w:rtl/>
        </w:rPr>
        <w:t>.</w:t>
      </w:r>
      <w:r w:rsidR="00E3253D" w:rsidRPr="002F4D34">
        <w:rPr>
          <w:rStyle w:val="libFootnoteBoldChar"/>
          <w:rtl/>
        </w:rPr>
        <w:t>الوافي</w:t>
      </w:r>
      <w:r w:rsidR="00E3253D" w:rsidRPr="005D642E">
        <w:rPr>
          <w:rtl/>
        </w:rPr>
        <w:t xml:space="preserve"> ، ج 6 ، ص 197 ، ح 4093 ؛ </w:t>
      </w:r>
      <w:r w:rsidR="00E3253D" w:rsidRPr="002F4D34">
        <w:rPr>
          <w:rStyle w:val="libFootnoteBoldChar"/>
          <w:rtl/>
        </w:rPr>
        <w:t>الوسائل</w:t>
      </w:r>
      <w:r w:rsidR="00E3253D" w:rsidRPr="005D642E">
        <w:rPr>
          <w:rtl/>
        </w:rPr>
        <w:t xml:space="preserve"> ، ج 3 ، ص 404 ، ح 3987.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 بخرئه وبوله »</w:t>
      </w:r>
      <w:r w:rsidR="00E3253D">
        <w:rPr>
          <w:rtl/>
        </w:rPr>
        <w:t>.</w:t>
      </w:r>
      <w:r w:rsidR="00E3253D" w:rsidRPr="005D642E">
        <w:rPr>
          <w:rtl/>
        </w:rPr>
        <w:t xml:space="preserve"> </w:t>
      </w:r>
      <w:r w:rsidR="00E3253D">
        <w:rPr>
          <w:rtl/>
        </w:rPr>
        <w:t>و «</w:t>
      </w:r>
      <w:r w:rsidR="00E3253D" w:rsidRPr="005D642E">
        <w:rPr>
          <w:rtl/>
        </w:rPr>
        <w:t xml:space="preserve"> الخُرْء » : العَذِرةُ والغائط ، يقال : خَرِئَ يَخْرَأ من باب تعب : إذا تغوّط ، واسم الخارج خُرْء ، والجمع خُرُوء. راجع : </w:t>
      </w:r>
      <w:r w:rsidR="00E3253D" w:rsidRPr="002F4D34">
        <w:rPr>
          <w:rStyle w:val="libFootnoteBoldChar"/>
          <w:rtl/>
        </w:rPr>
        <w:t>الصحاح</w:t>
      </w:r>
      <w:r w:rsidR="00E3253D" w:rsidRPr="005D642E">
        <w:rPr>
          <w:rtl/>
        </w:rPr>
        <w:t xml:space="preserve"> ، ج 1 ، ص 46 ؛ </w:t>
      </w:r>
      <w:r w:rsidR="00E3253D" w:rsidRPr="002F4D34">
        <w:rPr>
          <w:rStyle w:val="libFootnoteBoldChar"/>
          <w:rtl/>
        </w:rPr>
        <w:t>المصباح المنير</w:t>
      </w:r>
      <w:r w:rsidR="00E3253D" w:rsidRPr="005D642E">
        <w:rPr>
          <w:rtl/>
        </w:rPr>
        <w:t xml:space="preserve"> ، ص 167 ( خرأ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266 ، ح 779 ، بسنده عن الكليني </w:t>
      </w:r>
      <w:r w:rsidR="00814DFF">
        <w:rPr>
          <w:rFonts w:hint="cs"/>
          <w:rtl/>
        </w:rPr>
        <w:t>.</w:t>
      </w:r>
      <w:r w:rsidR="00E3253D" w:rsidRPr="002F4D34">
        <w:rPr>
          <w:rStyle w:val="libFootnoteBoldChar"/>
          <w:rtl/>
        </w:rPr>
        <w:t>الوافي</w:t>
      </w:r>
      <w:r w:rsidR="00E3253D" w:rsidRPr="005D642E">
        <w:rPr>
          <w:rtl/>
        </w:rPr>
        <w:t xml:space="preserve"> ، ج 6 ، ص 198 ، ح 4097 ؛ </w:t>
      </w:r>
      <w:r w:rsidR="00E3253D" w:rsidRPr="002F4D34">
        <w:rPr>
          <w:rStyle w:val="libFootnoteBoldChar"/>
          <w:rtl/>
        </w:rPr>
        <w:t>الوسائل</w:t>
      </w:r>
      <w:r w:rsidR="00E3253D" w:rsidRPr="005D642E">
        <w:rPr>
          <w:rtl/>
        </w:rPr>
        <w:t xml:space="preserve"> ، ج 3 ، ص 412 ، ح 4015.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أبي الأغرّ النخّاس »</w:t>
      </w:r>
      <w:r w:rsidR="00E3253D">
        <w:rPr>
          <w:rtl/>
        </w:rPr>
        <w:t>.</w:t>
      </w:r>
      <w:r w:rsidR="00E3253D" w:rsidRPr="005D642E">
        <w:rPr>
          <w:rtl/>
        </w:rPr>
        <w:t xml:space="preserve"> وفي الوسائل : « أبي الأغرّ النحّاس »</w:t>
      </w:r>
      <w:r w:rsidR="00E3253D">
        <w:rPr>
          <w:rtl/>
        </w:rPr>
        <w:t>.</w:t>
      </w:r>
    </w:p>
    <w:p w:rsidR="00E3253D" w:rsidRPr="005D642E" w:rsidRDefault="00E3253D" w:rsidP="00E3253D">
      <w:pPr>
        <w:pStyle w:val="libFootnote0"/>
        <w:rPr>
          <w:rtl/>
          <w:lang w:bidi="fa-IR"/>
        </w:rPr>
      </w:pPr>
      <w:r w:rsidRPr="00B60612">
        <w:rPr>
          <w:rtl/>
        </w:rPr>
        <w:t xml:space="preserve">والخبر رواه الصدوق </w:t>
      </w:r>
      <w:r w:rsidR="007642BC" w:rsidRPr="00B60612">
        <w:rPr>
          <w:rtl/>
        </w:rPr>
        <w:t>-</w:t>
      </w:r>
      <w:r w:rsidRPr="00B60612">
        <w:rPr>
          <w:rtl/>
        </w:rPr>
        <w:t xml:space="preserve"> باختلاف في بعض الألفاظ </w:t>
      </w:r>
      <w:r w:rsidR="007642BC" w:rsidRPr="00B60612">
        <w:rPr>
          <w:rtl/>
        </w:rPr>
        <w:t>-</w:t>
      </w:r>
      <w:r w:rsidRPr="00B60612">
        <w:rPr>
          <w:rtl/>
        </w:rPr>
        <w:t xml:space="preserve"> في </w:t>
      </w:r>
      <w:r w:rsidRPr="002F4D34">
        <w:rPr>
          <w:rStyle w:val="libFootnoteBoldChar"/>
          <w:rtl/>
        </w:rPr>
        <w:t>الفقيه</w:t>
      </w:r>
      <w:r w:rsidRPr="00B60612">
        <w:rPr>
          <w:rtl/>
        </w:rPr>
        <w:t xml:space="preserve"> ، ج 1 ، ص 70 ، ح 164 ، قال : « وسأل أبو الأَعَزِّ النخّاس أباعبدالله </w:t>
      </w:r>
      <w:r w:rsidRPr="00814DFF">
        <w:rPr>
          <w:rStyle w:val="libFootnoteAlaemChar"/>
          <w:rtl/>
        </w:rPr>
        <w:t>عليه‌السلام</w:t>
      </w:r>
      <w:r w:rsidRPr="00B60612">
        <w:rPr>
          <w:rtl/>
        </w:rPr>
        <w:t xml:space="preserve"> » ، والمذكور في </w:t>
      </w:r>
      <w:r w:rsidRPr="002F4D34">
        <w:rPr>
          <w:rStyle w:val="libFootnoteBoldChar"/>
          <w:rtl/>
        </w:rPr>
        <w:t>رجال البرقي</w:t>
      </w:r>
      <w:r w:rsidRPr="00B60612">
        <w:rPr>
          <w:rtl/>
        </w:rPr>
        <w:t xml:space="preserve"> ، ص 34 أيضاً : أبوالأعزّ النخّاس.</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 « ربّما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فَيَضْرِبُ </w:t>
      </w:r>
      <w:r w:rsidRPr="007C12DB">
        <w:rPr>
          <w:rStyle w:val="libFootnotenumChar"/>
          <w:rtl/>
        </w:rPr>
        <w:t>(1)</w:t>
      </w:r>
      <w:r w:rsidRPr="005D642E">
        <w:rPr>
          <w:rtl/>
          <w:lang w:bidi="fa-IR"/>
        </w:rPr>
        <w:t xml:space="preserve"> أَحَدُهَا </w:t>
      </w:r>
      <w:r w:rsidRPr="007C12DB">
        <w:rPr>
          <w:rStyle w:val="libFootnotenumChar"/>
          <w:rtl/>
        </w:rPr>
        <w:t>(2)</w:t>
      </w:r>
      <w:r w:rsidRPr="005D642E">
        <w:rPr>
          <w:rtl/>
          <w:lang w:bidi="fa-IR"/>
        </w:rPr>
        <w:t xml:space="preserve"> بِرِجْلِهِ أَوْ يَدِهِ </w:t>
      </w:r>
      <w:r w:rsidRPr="007C12DB">
        <w:rPr>
          <w:rStyle w:val="libFootnotenumChar"/>
          <w:rtl/>
        </w:rPr>
        <w:t>(3)</w:t>
      </w:r>
      <w:r w:rsidRPr="005D642E">
        <w:rPr>
          <w:rtl/>
          <w:lang w:bidi="fa-IR"/>
        </w:rPr>
        <w:t xml:space="preserve"> ، فَيَنْضِحُ عَلى ثِيَابِي ، فَأُصْبِحُ </w:t>
      </w:r>
      <w:r w:rsidRPr="007C12DB">
        <w:rPr>
          <w:rStyle w:val="libFootnotenumChar"/>
          <w:rtl/>
        </w:rPr>
        <w:t>(4)</w:t>
      </w:r>
      <w:r w:rsidRPr="005D642E">
        <w:rPr>
          <w:rtl/>
          <w:lang w:bidi="fa-IR"/>
        </w:rPr>
        <w:t xml:space="preserve"> فَأَرى </w:t>
      </w:r>
      <w:r w:rsidRPr="007C12DB">
        <w:rPr>
          <w:rStyle w:val="libFootnotenumChar"/>
          <w:rtl/>
        </w:rPr>
        <w:t>(5)</w:t>
      </w:r>
      <w:r w:rsidRPr="005D642E">
        <w:rPr>
          <w:rtl/>
          <w:lang w:bidi="fa-IR"/>
        </w:rPr>
        <w:t xml:space="preserve"> أَثَرَهُ فِيهِ </w:t>
      </w:r>
      <w:r w:rsidRPr="007C12DB">
        <w:rPr>
          <w:rStyle w:val="libFootnotenumChar"/>
          <w:rtl/>
        </w:rPr>
        <w:t>(6)</w:t>
      </w:r>
      <w:r>
        <w:rPr>
          <w:rtl/>
          <w:lang w:bidi="fa-IR"/>
        </w:rPr>
        <w:t>؟</w:t>
      </w:r>
    </w:p>
    <w:p w:rsidR="00E3253D" w:rsidRPr="005D642E" w:rsidRDefault="00E3253D" w:rsidP="00E3253D">
      <w:pPr>
        <w:pStyle w:val="libNormal"/>
        <w:rPr>
          <w:rtl/>
          <w:lang w:bidi="fa-IR"/>
        </w:rPr>
      </w:pPr>
      <w:r w:rsidRPr="005D642E">
        <w:rPr>
          <w:rtl/>
          <w:lang w:bidi="fa-IR"/>
        </w:rPr>
        <w:t>فَقَالَ : « لَيْسَ عَلَيْكَ شَيْ‌ءٌ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138" w:name="_Toc344647256"/>
      <w:bookmarkStart w:id="139" w:name="_Toc462226771"/>
      <w:bookmarkStart w:id="140" w:name="_Toc40975879"/>
      <w:r w:rsidRPr="005D642E">
        <w:rPr>
          <w:rtl/>
          <w:lang w:bidi="fa-IR"/>
        </w:rPr>
        <w:t>38</w:t>
      </w:r>
      <w:r>
        <w:rPr>
          <w:rtl/>
          <w:lang w:bidi="fa-IR"/>
        </w:rPr>
        <w:t xml:space="preserve"> </w:t>
      </w:r>
      <w:r w:rsidR="007642BC">
        <w:rPr>
          <w:rtl/>
          <w:lang w:bidi="fa-IR"/>
        </w:rPr>
        <w:t>-</w:t>
      </w:r>
      <w:r>
        <w:rPr>
          <w:rtl/>
          <w:lang w:bidi="fa-IR"/>
        </w:rPr>
        <w:t xml:space="preserve"> </w:t>
      </w:r>
      <w:r w:rsidRPr="005D642E">
        <w:rPr>
          <w:rtl/>
          <w:lang w:bidi="fa-IR"/>
        </w:rPr>
        <w:t xml:space="preserve">بَابُ الثَّوْبِ يُصِيبُهُ الدَّمُ وَالْمِدَّةُ </w:t>
      </w:r>
      <w:r w:rsidRPr="007C12DB">
        <w:rPr>
          <w:rStyle w:val="libFootnotenumChar"/>
          <w:rtl/>
        </w:rPr>
        <w:t>(8)</w:t>
      </w:r>
      <w:r w:rsidRPr="005D642E">
        <w:rPr>
          <w:rtl/>
          <w:lang w:bidi="fa-IR"/>
        </w:rPr>
        <w:t xml:space="preserve"> ‌</w:t>
      </w:r>
      <w:bookmarkEnd w:id="138"/>
      <w:bookmarkEnd w:id="139"/>
      <w:bookmarkEnd w:id="140"/>
    </w:p>
    <w:p w:rsidR="00E3253D" w:rsidRPr="005D642E" w:rsidRDefault="00E3253D" w:rsidP="00E3253D">
      <w:pPr>
        <w:pStyle w:val="libNormal"/>
        <w:rPr>
          <w:rtl/>
          <w:lang w:bidi="fa-IR"/>
        </w:rPr>
      </w:pPr>
      <w:r w:rsidRPr="00915E35">
        <w:rPr>
          <w:rtl/>
        </w:rPr>
        <w:t>4086</w:t>
      </w:r>
      <w:r w:rsidRPr="00246318">
        <w:rPr>
          <w:rStyle w:val="libBold2Char"/>
          <w:rtl/>
        </w:rPr>
        <w:t xml:space="preserve"> / 1.</w:t>
      </w:r>
      <w:r w:rsidRPr="005D642E">
        <w:rPr>
          <w:rtl/>
          <w:lang w:bidi="fa-IR"/>
        </w:rPr>
        <w:t xml:space="preserve"> مُحَمَّدُ بْنُ يَحْيى ، عَنْ أَحْمَدَ بْنِ مُحَمَّدٍ ، عَنْ مُعَاوِيَةَ بْنِ حُكَيْمٍ ، عَنِ الْمُعَلّى أَبِي عُثْمَانَ </w:t>
      </w:r>
      <w:r w:rsidRPr="007C12DB">
        <w:rPr>
          <w:rStyle w:val="libFootnotenumChar"/>
          <w:rtl/>
        </w:rPr>
        <w:t>(9)</w:t>
      </w:r>
      <w:r w:rsidRPr="005D642E">
        <w:rPr>
          <w:rtl/>
          <w:lang w:bidi="fa-IR"/>
        </w:rPr>
        <w:t xml:space="preserve"> ، عَنْ أَبِي بَصِيرٍ ، قَالَ :</w:t>
      </w:r>
    </w:p>
    <w:p w:rsidR="00E3253D" w:rsidRPr="005D642E" w:rsidRDefault="00E3253D" w:rsidP="00E3253D">
      <w:pPr>
        <w:pStyle w:val="libNormal"/>
        <w:rPr>
          <w:rtl/>
          <w:lang w:bidi="fa-IR"/>
        </w:rPr>
      </w:pPr>
      <w:r w:rsidRPr="005D642E">
        <w:rPr>
          <w:rtl/>
          <w:lang w:bidi="fa-IR"/>
        </w:rPr>
        <w:t xml:space="preserve">دَخَلْتُ عَلى أَبِي جَعْفَرٍ </w:t>
      </w:r>
      <w:r w:rsidRPr="00AC51C5">
        <w:rPr>
          <w:rStyle w:val="libAlaemChar"/>
          <w:rtl/>
        </w:rPr>
        <w:t>عليه‌السلام</w:t>
      </w:r>
      <w:r w:rsidRPr="005D642E">
        <w:rPr>
          <w:rtl/>
          <w:lang w:bidi="fa-IR"/>
        </w:rPr>
        <w:t xml:space="preserve"> وَهُوَ يُصَلِّي ، فَقَالَ لِي قَائِدِي : إِنَّ فِي ثَوْبِهِ دَماً ، فَلَمَّا انْصَرَفَ ، قُلْتُ لَهُ : إِنَّ قَائِدِي أَخْبَرَنِي أَنَّ بِثَوْبِكَ دَماً</w:t>
      </w:r>
      <w:r>
        <w:rPr>
          <w:rtl/>
          <w:lang w:bidi="fa-IR"/>
        </w:rPr>
        <w:t>؟</w:t>
      </w:r>
    </w:p>
    <w:p w:rsidR="00E3253D" w:rsidRPr="005D642E" w:rsidRDefault="00E3253D" w:rsidP="00E3253D">
      <w:pPr>
        <w:pStyle w:val="libNormal"/>
        <w:rPr>
          <w:rtl/>
          <w:lang w:bidi="fa-IR"/>
        </w:rPr>
      </w:pPr>
      <w:r w:rsidRPr="005D642E">
        <w:rPr>
          <w:rtl/>
          <w:lang w:bidi="fa-IR"/>
        </w:rPr>
        <w:t xml:space="preserve">فَقَالَ لِي </w:t>
      </w:r>
      <w:r w:rsidRPr="007C12DB">
        <w:rPr>
          <w:rStyle w:val="libFootnotenumChar"/>
          <w:rtl/>
        </w:rPr>
        <w:t>(10)</w:t>
      </w:r>
      <w:r w:rsidRPr="005D642E">
        <w:rPr>
          <w:rtl/>
          <w:lang w:bidi="fa-IR"/>
        </w:rPr>
        <w:t xml:space="preserve"> : « إِنَّ بِي دَمَامِيلَ </w:t>
      </w:r>
      <w:r w:rsidRPr="007C12DB">
        <w:rPr>
          <w:rStyle w:val="libFootnotenumChar"/>
          <w:rtl/>
        </w:rPr>
        <w:t>(11)</w:t>
      </w:r>
      <w:r w:rsidRPr="005D642E">
        <w:rPr>
          <w:rtl/>
          <w:lang w:bidi="fa-IR"/>
        </w:rPr>
        <w:t xml:space="preserve"> ، وَلَسْتُ أَغْسِلُ ثَوْبِي حَتّى تَبْرَأَ »</w:t>
      </w:r>
      <w:r>
        <w:rPr>
          <w:rtl/>
          <w:lang w:bidi="fa-IR"/>
        </w:rPr>
        <w:t>.</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97D88" w:rsidTr="00497D88">
        <w:tc>
          <w:tcPr>
            <w:tcW w:w="4006" w:type="dxa"/>
          </w:tcPr>
          <w:p w:rsidR="00497D88" w:rsidRDefault="00497D88" w:rsidP="00E3253D">
            <w:pPr>
              <w:pStyle w:val="libFootnote0"/>
              <w:rPr>
                <w:rStyle w:val="libFootnote0Char"/>
                <w:rtl/>
              </w:rPr>
            </w:pPr>
            <w:r w:rsidRPr="0042621E">
              <w:rPr>
                <w:rStyle w:val="libFootnote0Char"/>
                <w:rtl/>
              </w:rPr>
              <w:t>(1).</w:t>
            </w:r>
            <w:r>
              <w:rPr>
                <w:rtl/>
              </w:rPr>
              <w:t xml:space="preserve"> </w:t>
            </w:r>
            <w:r w:rsidRPr="005D642E">
              <w:rPr>
                <w:rtl/>
              </w:rPr>
              <w:t>في الوافي : « فتضرب »</w:t>
            </w:r>
            <w:r>
              <w:rPr>
                <w:rtl/>
              </w:rPr>
              <w:t>.</w:t>
            </w:r>
          </w:p>
        </w:tc>
        <w:tc>
          <w:tcPr>
            <w:tcW w:w="4006" w:type="dxa"/>
          </w:tcPr>
          <w:p w:rsidR="00497D88" w:rsidRDefault="00497D88" w:rsidP="00E3253D">
            <w:pPr>
              <w:pStyle w:val="libFootnote0"/>
              <w:rPr>
                <w:rStyle w:val="libFootnote0Char"/>
                <w:rtl/>
              </w:rPr>
            </w:pPr>
            <w:r w:rsidRPr="0042621E">
              <w:rPr>
                <w:rStyle w:val="libFootnote0Char"/>
                <w:rtl/>
              </w:rPr>
              <w:t>(2).</w:t>
            </w:r>
            <w:r w:rsidR="00892EA6">
              <w:rPr>
                <w:rtl/>
              </w:rPr>
              <w:t xml:space="preserve"> في «بث،بح» : «أحدهما</w:t>
            </w:r>
            <w:r w:rsidRPr="005D642E">
              <w:rPr>
                <w:rtl/>
              </w:rPr>
              <w:t>»</w:t>
            </w:r>
            <w:r>
              <w:rPr>
                <w:rtl/>
              </w:rPr>
              <w:t>.</w:t>
            </w:r>
            <w:r w:rsidR="00892EA6">
              <w:rPr>
                <w:rtl/>
              </w:rPr>
              <w:t>وفي الوافي :«إحداها</w:t>
            </w:r>
            <w:r w:rsidRPr="005D642E">
              <w:rPr>
                <w:rtl/>
              </w:rPr>
              <w:t>»</w:t>
            </w:r>
            <w:r>
              <w:rPr>
                <w:rtl/>
              </w:rPr>
              <w:t>.</w:t>
            </w:r>
          </w:p>
        </w:tc>
      </w:tr>
      <w:tr w:rsidR="00497D88" w:rsidTr="00497D88">
        <w:tc>
          <w:tcPr>
            <w:tcW w:w="4006" w:type="dxa"/>
          </w:tcPr>
          <w:p w:rsidR="00497D88" w:rsidRDefault="00892EA6" w:rsidP="00E3253D">
            <w:pPr>
              <w:pStyle w:val="libFootnote0"/>
              <w:rPr>
                <w:rStyle w:val="libFootnote0Char"/>
                <w:rtl/>
              </w:rPr>
            </w:pPr>
            <w:r w:rsidRPr="0042621E">
              <w:rPr>
                <w:rStyle w:val="libFootnote0Char"/>
                <w:rtl/>
              </w:rPr>
              <w:t>(3).</w:t>
            </w:r>
            <w:r w:rsidRPr="005D642E">
              <w:rPr>
                <w:rtl/>
              </w:rPr>
              <w:t xml:space="preserve"> في الوافي : « برجلها أو يديها »</w:t>
            </w:r>
            <w:r>
              <w:rPr>
                <w:rtl/>
              </w:rPr>
              <w:t>.</w:t>
            </w:r>
          </w:p>
        </w:tc>
        <w:tc>
          <w:tcPr>
            <w:tcW w:w="4006" w:type="dxa"/>
          </w:tcPr>
          <w:p w:rsidR="00497D88" w:rsidRDefault="00892EA6" w:rsidP="00E3253D">
            <w:pPr>
              <w:pStyle w:val="libFootnote0"/>
              <w:rPr>
                <w:rStyle w:val="libFootnote0Char"/>
                <w:rtl/>
              </w:rPr>
            </w:pPr>
            <w:r w:rsidRPr="0042621E">
              <w:rPr>
                <w:rStyle w:val="libFootnote0Char"/>
                <w:rtl/>
              </w:rPr>
              <w:t>(4).</w:t>
            </w:r>
            <w:r w:rsidRPr="005D642E">
              <w:rPr>
                <w:rtl/>
              </w:rPr>
              <w:t xml:space="preserve"> في « بف » : « وأصبح »</w:t>
            </w:r>
            <w:r>
              <w:rPr>
                <w:rtl/>
              </w:rPr>
              <w:t>.</w:t>
            </w:r>
          </w:p>
        </w:tc>
      </w:tr>
      <w:tr w:rsidR="00497D88" w:rsidTr="00497D88">
        <w:tc>
          <w:tcPr>
            <w:tcW w:w="4006" w:type="dxa"/>
          </w:tcPr>
          <w:p w:rsidR="00497D88" w:rsidRDefault="0095767B" w:rsidP="00E3253D">
            <w:pPr>
              <w:pStyle w:val="libFootnote0"/>
              <w:rPr>
                <w:rStyle w:val="libFootnote0Char"/>
                <w:rtl/>
              </w:rPr>
            </w:pPr>
            <w:r w:rsidRPr="0042621E">
              <w:rPr>
                <w:rStyle w:val="libFootnote0Char"/>
                <w:rtl/>
              </w:rPr>
              <w:t>(5).</w:t>
            </w:r>
            <w:r w:rsidRPr="005D642E">
              <w:rPr>
                <w:rtl/>
              </w:rPr>
              <w:t xml:space="preserve"> في « بث » : + « فيه »</w:t>
            </w:r>
            <w:r>
              <w:rPr>
                <w:rtl/>
              </w:rPr>
              <w:t>.</w:t>
            </w:r>
          </w:p>
        </w:tc>
        <w:tc>
          <w:tcPr>
            <w:tcW w:w="4006" w:type="dxa"/>
          </w:tcPr>
          <w:p w:rsidR="00497D88" w:rsidRDefault="00BA2F90" w:rsidP="00E3253D">
            <w:pPr>
              <w:pStyle w:val="libFootnote0"/>
              <w:rPr>
                <w:rStyle w:val="libFootnote0Char"/>
                <w:rtl/>
              </w:rPr>
            </w:pPr>
            <w:r w:rsidRPr="0042621E">
              <w:rPr>
                <w:rStyle w:val="libFootnote0Char"/>
                <w:rtl/>
              </w:rPr>
              <w:t>(6).</w:t>
            </w:r>
            <w:r w:rsidRPr="005D642E">
              <w:rPr>
                <w:rtl/>
              </w:rPr>
              <w:t xml:space="preserve"> في حاشية « جح » : « فيها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70 ، ح 164 ، معلّقاً عن أبي الأعزّ النخّاس ، مع اختلاف يسير </w:t>
      </w:r>
      <w:r w:rsidR="00881537">
        <w:rPr>
          <w:rFonts w:hint="cs"/>
          <w:rtl/>
        </w:rPr>
        <w:t>.</w:t>
      </w:r>
      <w:r w:rsidR="00E3253D" w:rsidRPr="002F4D34">
        <w:rPr>
          <w:rStyle w:val="libFootnoteBoldChar"/>
          <w:rtl/>
        </w:rPr>
        <w:t>الوافي</w:t>
      </w:r>
      <w:r w:rsidR="00E3253D" w:rsidRPr="005D642E">
        <w:rPr>
          <w:rtl/>
        </w:rPr>
        <w:t xml:space="preserve"> ، ج 6 ، ص 196 ، ح 4091 ؛ </w:t>
      </w:r>
      <w:r w:rsidR="00E3253D" w:rsidRPr="002F4D34">
        <w:rPr>
          <w:rStyle w:val="libFootnoteBoldChar"/>
          <w:rtl/>
        </w:rPr>
        <w:t>الوسائل</w:t>
      </w:r>
      <w:r w:rsidR="00E3253D" w:rsidRPr="005D642E">
        <w:rPr>
          <w:rtl/>
        </w:rPr>
        <w:t xml:space="preserve"> ، ج 3 ، ص 407 ، ح 3995.</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المِدَّةُ » بكسر الميم وفتح الدال المهملة المشدّدة : ما يجتمع في الجرح من القيح الغليظ ، وأمّا الرقيق فهو صديد. والقيح : المِدَّة البيضاء الخالصة لايخالطها دم. وقيل : هو الصديد الذي كأنّه الماء وفيه شُكْلَة دم ، وهي الحمرة في بياض. راجع : </w:t>
      </w:r>
      <w:r w:rsidR="00E3253D" w:rsidRPr="002F4D34">
        <w:rPr>
          <w:rStyle w:val="libFootnoteBoldChar"/>
          <w:rtl/>
        </w:rPr>
        <w:t>الصحاح</w:t>
      </w:r>
      <w:r w:rsidR="00E3253D" w:rsidRPr="005D642E">
        <w:rPr>
          <w:rtl/>
        </w:rPr>
        <w:t xml:space="preserve"> ، ج 2 ، ص 537 ؛ </w:t>
      </w:r>
      <w:r w:rsidR="00E3253D" w:rsidRPr="002F4D34">
        <w:rPr>
          <w:rStyle w:val="libFootnoteBoldChar"/>
          <w:rtl/>
        </w:rPr>
        <w:t>المصباح المنير</w:t>
      </w:r>
      <w:r w:rsidR="00E3253D" w:rsidRPr="005D642E">
        <w:rPr>
          <w:rtl/>
        </w:rPr>
        <w:t xml:space="preserve"> ، ص 566 ( مدد ) ؛ </w:t>
      </w:r>
      <w:r w:rsidR="00E3253D" w:rsidRPr="002F4D34">
        <w:rPr>
          <w:rStyle w:val="libFootnoteBoldChar"/>
          <w:rtl/>
        </w:rPr>
        <w:t xml:space="preserve">لسان العرب </w:t>
      </w:r>
      <w:r w:rsidR="00E3253D" w:rsidRPr="005D642E">
        <w:rPr>
          <w:rtl/>
        </w:rPr>
        <w:t>، ج 2 ، ص 568 ( قيح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w:t>
      </w:r>
      <w:r w:rsidR="00E3253D" w:rsidRPr="00E678B5">
        <w:rPr>
          <w:rStyle w:val="libFootnoteBoldChar"/>
          <w:rtl/>
        </w:rPr>
        <w:t>والاستبصار</w:t>
      </w:r>
      <w:r w:rsidR="00E3253D" w:rsidRPr="005D642E">
        <w:rPr>
          <w:rtl/>
        </w:rPr>
        <w:t xml:space="preserve"> : « معلّى بن عثمان »</w:t>
      </w:r>
      <w:r w:rsidR="00E3253D">
        <w:rPr>
          <w:rtl/>
        </w:rPr>
        <w:t>.</w:t>
      </w:r>
      <w:r w:rsidR="00E3253D" w:rsidRPr="005D642E">
        <w:rPr>
          <w:rtl/>
        </w:rPr>
        <w:t xml:space="preserve"> وفي « بث ، بح ، بس ، جس ، جح ، جن » وحاشية « بخ » : « المعلّى بن عثمان » وتقدّم في </w:t>
      </w:r>
      <w:r w:rsidR="00E3253D" w:rsidRPr="002F4D34">
        <w:rPr>
          <w:rStyle w:val="libFootnoteBoldChar"/>
          <w:rtl/>
        </w:rPr>
        <w:t>الكافي</w:t>
      </w:r>
      <w:r w:rsidR="00E3253D" w:rsidRPr="005D642E">
        <w:rPr>
          <w:rtl/>
        </w:rPr>
        <w:t xml:space="preserve"> ، ح 3915 ، أنّ المعلّى هذا هو المعلّى بن عثمان أبو عثمان الأحول.</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بف ، جس ، جن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لي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 الدَمامِيلُ » : جمع الدُمَّل كسُكَّر وصُرَد ، وهو القَرْح ، وهو الجِراح والبَثْر إذا ترامى إلى فساد. وقيل : الدُمَّل : الخُراج ، وهو ما يخرج بالبدن. راجع : </w:t>
      </w:r>
      <w:r w:rsidR="00E3253D" w:rsidRPr="002F4D34">
        <w:rPr>
          <w:rStyle w:val="libFootnoteBoldChar"/>
          <w:rtl/>
        </w:rPr>
        <w:t>لسان العرب</w:t>
      </w:r>
      <w:r w:rsidR="00E3253D" w:rsidRPr="005D642E">
        <w:rPr>
          <w:rtl/>
        </w:rPr>
        <w:t xml:space="preserve"> ، ج 11 ، ص 250 ؛ </w:t>
      </w:r>
      <w:r w:rsidR="00E3253D" w:rsidRPr="002F4D34">
        <w:rPr>
          <w:rStyle w:val="libFootnoteBoldChar"/>
          <w:rtl/>
        </w:rPr>
        <w:t>القاموس المحيط</w:t>
      </w:r>
      <w:r w:rsidR="00E3253D" w:rsidRPr="005D642E">
        <w:rPr>
          <w:rtl/>
        </w:rPr>
        <w:t xml:space="preserve"> ، ج 2 ، ص 1323 ( دمل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258 ، ح 34 ، بسنده عن الكليني. </w:t>
      </w:r>
      <w:r w:rsidR="00E3253D" w:rsidRPr="002F4D34">
        <w:rPr>
          <w:rStyle w:val="libFootnoteBoldChar"/>
          <w:rtl/>
        </w:rPr>
        <w:t>الاستبصار</w:t>
      </w:r>
      <w:r w:rsidR="00E3253D" w:rsidRPr="005D642E">
        <w:rPr>
          <w:rtl/>
        </w:rPr>
        <w:t xml:space="preserve"> ، ج 1 ، ص 177 ، ح 616 ، معلّقاً عن أحمد بن محمّد </w:t>
      </w:r>
      <w:r w:rsidR="005B04B8">
        <w:rPr>
          <w:rFonts w:hint="cs"/>
          <w:rtl/>
        </w:rPr>
        <w:t>.</w:t>
      </w:r>
      <w:r w:rsidR="00E3253D" w:rsidRPr="002F4D34">
        <w:rPr>
          <w:rStyle w:val="libFootnoteBoldChar"/>
          <w:rtl/>
        </w:rPr>
        <w:t>الوافي</w:t>
      </w:r>
      <w:r w:rsidR="00E3253D" w:rsidRPr="005D642E">
        <w:rPr>
          <w:rtl/>
        </w:rPr>
        <w:t xml:space="preserve"> ، ج 6 ، ص 188 ، ح 4072 ؛ </w:t>
      </w:r>
      <w:r w:rsidR="00E3253D" w:rsidRPr="002F4D34">
        <w:rPr>
          <w:rStyle w:val="libFootnoteBoldChar"/>
          <w:rtl/>
        </w:rPr>
        <w:t>الوسائل</w:t>
      </w:r>
      <w:r w:rsidR="00E3253D" w:rsidRPr="005D642E">
        <w:rPr>
          <w:rtl/>
        </w:rPr>
        <w:t xml:space="preserve"> ، ج 3 ، ص 433 ، ح 4081.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B1722D">
        <w:rPr>
          <w:rtl/>
        </w:rPr>
        <w:lastRenderedPageBreak/>
        <w:t>4087</w:t>
      </w:r>
      <w:r w:rsidRPr="00246318">
        <w:rPr>
          <w:rStyle w:val="libBold2Char"/>
          <w:rtl/>
        </w:rPr>
        <w:t xml:space="preserve"> / 2.</w:t>
      </w:r>
      <w:r w:rsidRPr="005D642E">
        <w:rPr>
          <w:rtl/>
          <w:lang w:bidi="fa-IR"/>
        </w:rPr>
        <w:t xml:space="preserve"> أَحْمَدُ </w:t>
      </w:r>
      <w:r w:rsidRPr="007C12DB">
        <w:rPr>
          <w:rStyle w:val="libFootnotenumChar"/>
          <w:rtl/>
        </w:rPr>
        <w:t>(1)</w:t>
      </w:r>
      <w:r w:rsidRPr="005D642E">
        <w:rPr>
          <w:rtl/>
          <w:lang w:bidi="fa-IR"/>
        </w:rPr>
        <w:t xml:space="preserve"> ، عَنْ عُثْمَانَ بْنِ عِيسى ، عَنْ سَمَاعَةَ ، قَالَ :</w:t>
      </w:r>
    </w:p>
    <w:p w:rsidR="00E3253D" w:rsidRPr="005D642E" w:rsidRDefault="00E3253D" w:rsidP="00E3253D">
      <w:pPr>
        <w:pStyle w:val="libNormal"/>
        <w:rPr>
          <w:rtl/>
          <w:lang w:bidi="fa-IR"/>
        </w:rPr>
      </w:pPr>
      <w:r w:rsidRPr="005D642E">
        <w:rPr>
          <w:rtl/>
          <w:lang w:bidi="fa-IR"/>
        </w:rPr>
        <w:t xml:space="preserve">سَأَلْتُهُ عَنِ الرَّجُلِ بِهِ </w:t>
      </w:r>
      <w:r w:rsidRPr="007C12DB">
        <w:rPr>
          <w:rStyle w:val="libFootnotenumChar"/>
          <w:rtl/>
        </w:rPr>
        <w:t>(2)</w:t>
      </w:r>
      <w:r w:rsidRPr="005D642E">
        <w:rPr>
          <w:rtl/>
          <w:lang w:bidi="fa-IR"/>
        </w:rPr>
        <w:t xml:space="preserve"> الْقَرْحُ </w:t>
      </w:r>
      <w:r w:rsidRPr="007C12DB">
        <w:rPr>
          <w:rStyle w:val="libFootnotenumChar"/>
          <w:rtl/>
        </w:rPr>
        <w:t>(3)</w:t>
      </w:r>
      <w:r w:rsidRPr="005D642E">
        <w:rPr>
          <w:rtl/>
          <w:lang w:bidi="fa-IR"/>
        </w:rPr>
        <w:t xml:space="preserve"> أَوِ الْجُرْحُ </w:t>
      </w:r>
      <w:r w:rsidRPr="007C12DB">
        <w:rPr>
          <w:rStyle w:val="libFootnotenumChar"/>
          <w:rtl/>
        </w:rPr>
        <w:t>(4)</w:t>
      </w:r>
      <w:r w:rsidRPr="005D642E">
        <w:rPr>
          <w:rtl/>
          <w:lang w:bidi="fa-IR"/>
        </w:rPr>
        <w:t xml:space="preserve"> ، وَلَايَسْتَطِيعُ </w:t>
      </w:r>
      <w:r w:rsidRPr="007C12DB">
        <w:rPr>
          <w:rStyle w:val="libFootnotenumChar"/>
          <w:rtl/>
        </w:rPr>
        <w:t>(5)</w:t>
      </w:r>
      <w:r w:rsidRPr="005D642E">
        <w:rPr>
          <w:rtl/>
          <w:lang w:bidi="fa-IR"/>
        </w:rPr>
        <w:t xml:space="preserve"> أَنْ يَرْبِطَهُ ، وَلَايَغْسِلَ دَمَهُ</w:t>
      </w:r>
      <w:r>
        <w:rPr>
          <w:rtl/>
          <w:lang w:bidi="fa-IR"/>
        </w:rPr>
        <w:t>؟</w:t>
      </w:r>
    </w:p>
    <w:p w:rsidR="00E3253D" w:rsidRPr="005D642E" w:rsidRDefault="00E3253D" w:rsidP="00E3253D">
      <w:pPr>
        <w:pStyle w:val="libNormal"/>
        <w:rPr>
          <w:rtl/>
          <w:lang w:bidi="fa-IR"/>
        </w:rPr>
      </w:pPr>
      <w:r w:rsidRPr="005D642E">
        <w:rPr>
          <w:rtl/>
          <w:lang w:bidi="fa-IR"/>
        </w:rPr>
        <w:t>قَالَ : « يُصَلِّي ، وَلَايَغْس</w:t>
      </w:r>
      <w:r w:rsidR="00A75F0C">
        <w:rPr>
          <w:rtl/>
          <w:lang w:bidi="fa-IR"/>
        </w:rPr>
        <w:t>ِلُ ثَوْبَهُ كُلَّ يَوْمٍ إِل</w:t>
      </w:r>
      <w:r w:rsidR="00A75F0C">
        <w:rPr>
          <w:rFonts w:hint="cs"/>
          <w:rtl/>
          <w:lang w:bidi="fa-IR"/>
        </w:rPr>
        <w:t>َّ</w:t>
      </w:r>
      <w:r w:rsidR="00A75F0C">
        <w:rPr>
          <w:rtl/>
          <w:lang w:bidi="fa-IR"/>
        </w:rPr>
        <w:t>ا</w:t>
      </w:r>
      <w:r w:rsidR="00661DED">
        <w:rPr>
          <w:rtl/>
          <w:lang w:bidi="fa-IR"/>
        </w:rPr>
        <w:t xml:space="preserve"> مَرَّةً؛</w:t>
      </w:r>
      <w:r w:rsidRPr="005D642E">
        <w:rPr>
          <w:rtl/>
          <w:lang w:bidi="fa-IR"/>
        </w:rPr>
        <w:t>فَإِنَّهُ لَايَسْتَطِيعُ أَنْ يَغْسِلَ ثَوْبَهُ كُلَّ سَاعَةٍ »</w:t>
      </w:r>
      <w:r>
        <w:rPr>
          <w:rtl/>
          <w:lang w:bidi="fa-IR"/>
        </w:rPr>
        <w:t>.</w:t>
      </w:r>
      <w:r w:rsidRPr="007C12DB">
        <w:rPr>
          <w:rStyle w:val="libFootnotenumChar"/>
          <w:rtl/>
        </w:rPr>
        <w:t>(6)</w:t>
      </w:r>
    </w:p>
    <w:p w:rsidR="00E3253D" w:rsidRPr="005D642E" w:rsidRDefault="00E3253D" w:rsidP="00E3253D">
      <w:pPr>
        <w:pStyle w:val="libNormal"/>
        <w:rPr>
          <w:rtl/>
          <w:lang w:bidi="fa-IR"/>
        </w:rPr>
      </w:pPr>
      <w:r w:rsidRPr="00B1722D">
        <w:rPr>
          <w:rtl/>
        </w:rPr>
        <w:t>4088</w:t>
      </w:r>
      <w:r w:rsidRPr="00246318">
        <w:rPr>
          <w:rStyle w:val="libBold2Char"/>
          <w:rtl/>
        </w:rPr>
        <w:t xml:space="preserve"> / 3.</w:t>
      </w:r>
      <w:r w:rsidRPr="005D642E">
        <w:rPr>
          <w:rtl/>
          <w:lang w:bidi="fa-IR"/>
        </w:rPr>
        <w:t xml:space="preserve"> عَلِيُّ بْنُ إِبْرَاهِيمَ ، عَنْ أَبِيهِ ، عَنْ حَمَّادٍ ، عَنْ حَرِيزٍ ، عَنْ </w:t>
      </w:r>
      <w:r w:rsidR="00D13CF3">
        <w:rPr>
          <w:rtl/>
          <w:lang w:bidi="fa-IR"/>
        </w:rPr>
        <w:t>مُحَمَّدِ بْنِ مُسْلِمٍ ، قَالَ</w:t>
      </w:r>
      <w:r w:rsidRPr="005D642E">
        <w:rPr>
          <w:rtl/>
          <w:lang w:bidi="fa-IR"/>
        </w:rPr>
        <w:t>:</w:t>
      </w:r>
    </w:p>
    <w:p w:rsidR="00E3253D" w:rsidRPr="005D642E" w:rsidRDefault="00E3253D" w:rsidP="00E3253D">
      <w:pPr>
        <w:pStyle w:val="libNormal"/>
        <w:rPr>
          <w:rtl/>
          <w:lang w:bidi="fa-IR"/>
        </w:rPr>
      </w:pPr>
      <w:r w:rsidRPr="005D642E">
        <w:rPr>
          <w:rtl/>
          <w:lang w:bidi="fa-IR"/>
        </w:rPr>
        <w:t>قُلْتُ لَهُ : الدَّمُ يَكُونُ فِي الثَّوْبِ عَلَيَّ وَأَنَا فِي الصَّلَاةِ</w:t>
      </w:r>
      <w:r>
        <w:rPr>
          <w:rtl/>
          <w:lang w:bidi="fa-IR"/>
        </w:rPr>
        <w:t>؟</w:t>
      </w:r>
    </w:p>
    <w:p w:rsidR="00E3253D" w:rsidRPr="005D642E" w:rsidRDefault="00E3253D" w:rsidP="00E3253D">
      <w:pPr>
        <w:pStyle w:val="libNormal"/>
        <w:rPr>
          <w:rtl/>
          <w:lang w:bidi="fa-IR"/>
        </w:rPr>
      </w:pPr>
      <w:r w:rsidRPr="005D642E">
        <w:rPr>
          <w:rtl/>
          <w:lang w:bidi="fa-IR"/>
        </w:rPr>
        <w:t xml:space="preserve">قَالَ : « إِنْ رَأَيْتَ </w:t>
      </w:r>
      <w:r w:rsidRPr="007C12DB">
        <w:rPr>
          <w:rStyle w:val="libFootnotenumChar"/>
          <w:rtl/>
        </w:rPr>
        <w:t>(7)</w:t>
      </w:r>
      <w:r w:rsidRPr="005D642E">
        <w:rPr>
          <w:rtl/>
          <w:lang w:bidi="fa-IR"/>
        </w:rPr>
        <w:t xml:space="preserve"> وَعَلَيْكَ ثَوْبٌ غَيْرُهُ ، فَاطْرَحْهُ وَصَلِّ </w:t>
      </w:r>
      <w:r w:rsidRPr="007C12DB">
        <w:rPr>
          <w:rStyle w:val="libFootnotenumChar"/>
          <w:rtl/>
        </w:rPr>
        <w:t>(8)</w:t>
      </w:r>
      <w:r w:rsidRPr="005D642E">
        <w:rPr>
          <w:rtl/>
          <w:lang w:bidi="fa-IR"/>
        </w:rPr>
        <w:t xml:space="preserve"> ؛ وَإِنْ لَمْ يَكُنْ عَلَيْكَ </w:t>
      </w:r>
      <w:r w:rsidRPr="007C12DB">
        <w:rPr>
          <w:rStyle w:val="libFootnotenumChar"/>
          <w:rtl/>
        </w:rPr>
        <w:t>(9)</w:t>
      </w:r>
      <w:r w:rsidRPr="005D642E">
        <w:rPr>
          <w:rtl/>
          <w:lang w:bidi="fa-IR"/>
        </w:rPr>
        <w:t xml:space="preserve"> غَيْرُهُ ، فَامْضِ فِي صَلَاتِكَ ، وَلَا</w:t>
      </w:r>
      <w:r>
        <w:rPr>
          <w:rFonts w:hint="cs"/>
          <w:rtl/>
          <w:lang w:bidi="fa-IR"/>
        </w:rPr>
        <w:t xml:space="preserve"> </w:t>
      </w:r>
      <w:r w:rsidRPr="005D642E">
        <w:rPr>
          <w:rtl/>
          <w:lang w:bidi="fa-IR"/>
        </w:rPr>
        <w:t xml:space="preserve">إِعَادَةَ عَلَيْكَ </w:t>
      </w:r>
      <w:r w:rsidRPr="007C12DB">
        <w:rPr>
          <w:rStyle w:val="libFootnotenumChar"/>
          <w:rtl/>
        </w:rPr>
        <w:t>(10)</w:t>
      </w:r>
      <w:r w:rsidRPr="005D642E">
        <w:rPr>
          <w:rtl/>
          <w:lang w:bidi="fa-IR"/>
        </w:rPr>
        <w:t xml:space="preserve"> مَا لَمْ يَزِدْ </w:t>
      </w:r>
      <w:r w:rsidRPr="007C12DB">
        <w:rPr>
          <w:rStyle w:val="libFootnotenumChar"/>
          <w:rtl/>
        </w:rPr>
        <w:t>(11)</w:t>
      </w:r>
      <w:r w:rsidRPr="005D642E">
        <w:rPr>
          <w:rtl/>
          <w:lang w:bidi="fa-IR"/>
        </w:rPr>
        <w:t xml:space="preserve"> عَلى مِقْدَارِ الدِّرْهَمِ ، وَمَا كَانَ أَقَلَّ </w:t>
      </w:r>
      <w:r w:rsidRPr="007C12DB">
        <w:rPr>
          <w:rStyle w:val="libFootnotenumChar"/>
          <w:rtl/>
        </w:rPr>
        <w:t>(12)</w:t>
      </w:r>
      <w:r w:rsidRPr="005D642E">
        <w:rPr>
          <w:rtl/>
          <w:lang w:bidi="fa-IR"/>
        </w:rPr>
        <w:t xml:space="preserve"> مِنْ ذلِكَ ، فَلَيْسَ بِشَيْ‌ءٍ </w:t>
      </w:r>
      <w:r w:rsidRPr="007C12DB">
        <w:rPr>
          <w:rStyle w:val="libFootnotenumChar"/>
          <w:rtl/>
        </w:rPr>
        <w:t>(13)</w:t>
      </w:r>
      <w:r w:rsidRPr="005D642E">
        <w:rPr>
          <w:rtl/>
          <w:lang w:bidi="fa-IR"/>
        </w:rPr>
        <w:t xml:space="preserve"> ، رَأَيْتَهُ قَبْلُ أَوْ لَمْ تَرَهُ ، وَإِذَا </w:t>
      </w:r>
      <w:r w:rsidRPr="007C12DB">
        <w:rPr>
          <w:rStyle w:val="libFootnotenumChar"/>
          <w:rtl/>
        </w:rPr>
        <w:t>(14)</w:t>
      </w:r>
      <w:r w:rsidRPr="005D642E">
        <w:rPr>
          <w:rtl/>
          <w:lang w:bidi="fa-IR"/>
        </w:rPr>
        <w:t xml:space="preserve"> كُنْتَ قَدْ </w:t>
      </w:r>
      <w:r w:rsidRPr="007C12DB">
        <w:rPr>
          <w:rStyle w:val="libFootnotenumChar"/>
          <w:rtl/>
        </w:rPr>
        <w:t>(15)</w:t>
      </w:r>
      <w:r w:rsidRPr="005D642E">
        <w:rPr>
          <w:rtl/>
          <w:lang w:bidi="fa-IR"/>
        </w:rPr>
        <w:t xml:space="preserve"> رَأَيْتَهُ وَهُوَ أَكْثَرُ ‌</w:t>
      </w:r>
      <w:r w:rsidR="00D13CF3">
        <w:rPr>
          <w:rFonts w:hint="cs"/>
          <w:rtl/>
          <w:lang w:bidi="fa-IR"/>
        </w:rPr>
        <w:t>مِنْ مِقْدَارِ</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أحمد ، محمّد بن يحيى.</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بث » : « فيه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القَرْح » : الحبّة تخرج في البدن. وقيل أيضاً : هو البَثر إذا ترامى إلى فساد ، والبثر : الخُراج ، وهو كلّ ما يخرج بالبدن كالدمّل. راجع : </w:t>
      </w:r>
      <w:r w:rsidR="00E3253D" w:rsidRPr="002F4D34">
        <w:rPr>
          <w:rStyle w:val="libFootnoteBoldChar"/>
          <w:rtl/>
        </w:rPr>
        <w:t>لسان العرب</w:t>
      </w:r>
      <w:r w:rsidR="00E3253D" w:rsidRPr="005D642E">
        <w:rPr>
          <w:rtl/>
        </w:rPr>
        <w:t xml:space="preserve"> ، ج 2 ، ص 557 ؛ </w:t>
      </w:r>
      <w:r w:rsidR="00E3253D" w:rsidRPr="002F4D34">
        <w:rPr>
          <w:rStyle w:val="libFootnoteBoldChar"/>
          <w:rtl/>
        </w:rPr>
        <w:t>مجمع البحرين</w:t>
      </w:r>
      <w:r w:rsidR="00E3253D" w:rsidRPr="005D642E">
        <w:rPr>
          <w:rtl/>
        </w:rPr>
        <w:t xml:space="preserve"> ، ج 2 ، ص 403 ( قرح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جس » : « والجرح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بح ، جح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فلا يستطيع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258 ، ح 748 ، بسنده عن الكليني ؛ </w:t>
      </w:r>
      <w:r w:rsidR="00E3253D" w:rsidRPr="002F4D34">
        <w:rPr>
          <w:rStyle w:val="libFootnoteBoldChar"/>
          <w:rtl/>
        </w:rPr>
        <w:t>الاستبصار</w:t>
      </w:r>
      <w:r w:rsidR="00E3253D" w:rsidRPr="005D642E">
        <w:rPr>
          <w:rtl/>
        </w:rPr>
        <w:t xml:space="preserve"> ، ج 1 ، ص 177 ، ح 617 ، معلّقاً عن الكليني </w:t>
      </w:r>
      <w:r w:rsidR="0066519A">
        <w:rPr>
          <w:rFonts w:hint="cs"/>
          <w:rtl/>
        </w:rPr>
        <w:t>.</w:t>
      </w:r>
      <w:r w:rsidR="00E3253D" w:rsidRPr="002F4D34">
        <w:rPr>
          <w:rStyle w:val="libFootnoteBoldChar"/>
          <w:rtl/>
        </w:rPr>
        <w:t>الوافي</w:t>
      </w:r>
      <w:r w:rsidR="00E3253D" w:rsidRPr="005D642E">
        <w:rPr>
          <w:rtl/>
        </w:rPr>
        <w:t xml:space="preserve"> ، ج 6 ، ص 189 ، ح 4073 ؛ </w:t>
      </w:r>
      <w:r w:rsidR="00E3253D" w:rsidRPr="002F4D34">
        <w:rPr>
          <w:rStyle w:val="libFootnoteBoldChar"/>
          <w:rtl/>
        </w:rPr>
        <w:t>الوسائل</w:t>
      </w:r>
      <w:r w:rsidR="00E3253D" w:rsidRPr="005D642E">
        <w:rPr>
          <w:rtl/>
        </w:rPr>
        <w:t xml:space="preserve"> ، ج 3 ، ص 433 ، ح 4082.</w:t>
      </w:r>
    </w:p>
    <w:tbl>
      <w:tblPr>
        <w:tblStyle w:val="TableGrid"/>
        <w:bidiVisual/>
        <w:tblW w:w="0" w:type="auto"/>
        <w:tblLook w:val="04A0" w:firstRow="1" w:lastRow="0" w:firstColumn="1" w:lastColumn="0" w:noHBand="0" w:noVBand="1"/>
      </w:tblPr>
      <w:tblGrid>
        <w:gridCol w:w="4006"/>
        <w:gridCol w:w="4006"/>
      </w:tblGrid>
      <w:tr w:rsidR="0066519A" w:rsidTr="0066519A">
        <w:tc>
          <w:tcPr>
            <w:tcW w:w="4006" w:type="dxa"/>
          </w:tcPr>
          <w:p w:rsidR="0066519A" w:rsidRDefault="0066519A" w:rsidP="00E3253D">
            <w:pPr>
              <w:pStyle w:val="libFootnote0"/>
              <w:rPr>
                <w:rStyle w:val="libFootnote0Char"/>
                <w:rtl/>
              </w:rPr>
            </w:pPr>
            <w:r w:rsidRPr="0042621E">
              <w:rPr>
                <w:rStyle w:val="libFootnote0Char"/>
                <w:rtl/>
              </w:rPr>
              <w:t>(7).</w:t>
            </w:r>
            <w:r w:rsidRPr="005D642E">
              <w:rPr>
                <w:rtl/>
              </w:rPr>
              <w:t xml:space="preserve"> في الوسائل </w:t>
            </w:r>
            <w:r w:rsidRPr="009E68BB">
              <w:rPr>
                <w:rStyle w:val="libFootnoteBoldChar"/>
                <w:rtl/>
              </w:rPr>
              <w:t>وتحف العقول</w:t>
            </w:r>
            <w:r w:rsidRPr="005D642E">
              <w:rPr>
                <w:rtl/>
              </w:rPr>
              <w:t xml:space="preserve"> </w:t>
            </w:r>
            <w:r w:rsidRPr="00B60612">
              <w:rPr>
                <w:rStyle w:val="libFootnoteBoldChar"/>
                <w:rtl/>
              </w:rPr>
              <w:t>والتهذيب</w:t>
            </w:r>
            <w:r>
              <w:rPr>
                <w:rtl/>
              </w:rPr>
              <w:t xml:space="preserve"> :«إن رأيته</w:t>
            </w:r>
            <w:r w:rsidRPr="005D642E">
              <w:rPr>
                <w:rtl/>
              </w:rPr>
              <w:t>»</w:t>
            </w:r>
            <w:r>
              <w:rPr>
                <w:rtl/>
              </w:rPr>
              <w:t>.</w:t>
            </w:r>
          </w:p>
        </w:tc>
        <w:tc>
          <w:tcPr>
            <w:tcW w:w="4006" w:type="dxa"/>
          </w:tcPr>
          <w:p w:rsidR="0066519A" w:rsidRDefault="0066519A" w:rsidP="00E3253D">
            <w:pPr>
              <w:pStyle w:val="libFootnote0"/>
              <w:rPr>
                <w:rStyle w:val="libFootnote0Char"/>
                <w:rtl/>
              </w:rPr>
            </w:pPr>
            <w:r w:rsidRPr="0042621E">
              <w:rPr>
                <w:rStyle w:val="libFootnote0Char"/>
                <w:rtl/>
              </w:rPr>
              <w:t>(8).</w:t>
            </w:r>
            <w:r w:rsidRPr="005D642E">
              <w:rPr>
                <w:rtl/>
              </w:rPr>
              <w:t xml:space="preserve"> في الفقيه : + « في غيره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والوسائل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 « ثوب »</w:t>
      </w:r>
      <w:r w:rsidR="00E3253D">
        <w:rPr>
          <w:rtl/>
        </w:rPr>
        <w:t>.</w:t>
      </w:r>
    </w:p>
    <w:tbl>
      <w:tblPr>
        <w:tblStyle w:val="TableGrid"/>
        <w:bidiVisual/>
        <w:tblW w:w="0" w:type="auto"/>
        <w:tblLook w:val="04A0" w:firstRow="1" w:lastRow="0" w:firstColumn="1" w:lastColumn="0" w:noHBand="0" w:noVBand="1"/>
      </w:tblPr>
      <w:tblGrid>
        <w:gridCol w:w="4006"/>
        <w:gridCol w:w="4006"/>
      </w:tblGrid>
      <w:tr w:rsidR="00C36A8A" w:rsidTr="00C36A8A">
        <w:tc>
          <w:tcPr>
            <w:tcW w:w="4006" w:type="dxa"/>
          </w:tcPr>
          <w:p w:rsidR="00C36A8A" w:rsidRDefault="00C36A8A" w:rsidP="00E3253D">
            <w:pPr>
              <w:pStyle w:val="libFootnote0"/>
              <w:rPr>
                <w:rStyle w:val="libFootnote0Char"/>
                <w:rtl/>
                <w:lang w:bidi="fa-IR"/>
              </w:rPr>
            </w:pPr>
            <w:r w:rsidRPr="0042621E">
              <w:rPr>
                <w:rStyle w:val="libFootnote0Char"/>
                <w:rtl/>
              </w:rPr>
              <w:t>(10).</w:t>
            </w:r>
            <w:r w:rsidRPr="005D642E">
              <w:rPr>
                <w:rtl/>
              </w:rPr>
              <w:t xml:space="preserve"> في التهذيب : + « </w:t>
            </w:r>
            <w:r>
              <w:rPr>
                <w:rtl/>
              </w:rPr>
              <w:t>و ».</w:t>
            </w:r>
          </w:p>
        </w:tc>
        <w:tc>
          <w:tcPr>
            <w:tcW w:w="4006" w:type="dxa"/>
          </w:tcPr>
          <w:p w:rsidR="00C36A8A" w:rsidRDefault="00C36A8A" w:rsidP="00E3253D">
            <w:pPr>
              <w:pStyle w:val="libFootnote0"/>
              <w:rPr>
                <w:rStyle w:val="libFootnote0Char"/>
                <w:rtl/>
                <w:lang w:bidi="fa-IR"/>
              </w:rPr>
            </w:pPr>
            <w:r w:rsidRPr="0042621E">
              <w:rPr>
                <w:rStyle w:val="libFootnote0Char"/>
                <w:rtl/>
              </w:rPr>
              <w:t>(11).</w:t>
            </w:r>
            <w:r w:rsidRPr="005D642E">
              <w:rPr>
                <w:rtl/>
              </w:rPr>
              <w:t xml:space="preserve"> في « بث » : + « الدم »</w:t>
            </w:r>
            <w:r>
              <w:rPr>
                <w:rtl/>
              </w:rPr>
              <w:t>.</w:t>
            </w:r>
          </w:p>
        </w:tc>
      </w:tr>
      <w:tr w:rsidR="00C36A8A" w:rsidTr="00C36A8A">
        <w:tc>
          <w:tcPr>
            <w:tcW w:w="4006" w:type="dxa"/>
          </w:tcPr>
          <w:p w:rsidR="00C36A8A" w:rsidRDefault="00C36A8A" w:rsidP="00E3253D">
            <w:pPr>
              <w:pStyle w:val="libFootnote0"/>
              <w:rPr>
                <w:rStyle w:val="libFootnote0Char"/>
                <w:rtl/>
                <w:lang w:bidi="fa-IR"/>
              </w:rPr>
            </w:pPr>
            <w:r w:rsidRPr="0042621E">
              <w:rPr>
                <w:rStyle w:val="libFootnote0Char"/>
                <w:rtl/>
              </w:rPr>
              <w:t>(12).</w:t>
            </w:r>
            <w:r w:rsidRPr="005D642E">
              <w:rPr>
                <w:rtl/>
              </w:rPr>
              <w:t xml:space="preserve"> في التهذيب :</w:t>
            </w:r>
            <w:r>
              <w:rPr>
                <w:rtl/>
              </w:rPr>
              <w:t xml:space="preserve"> - </w:t>
            </w:r>
            <w:r w:rsidRPr="005D642E">
              <w:rPr>
                <w:rtl/>
              </w:rPr>
              <w:t>« وما كان أقلّ »</w:t>
            </w:r>
            <w:r>
              <w:rPr>
                <w:rtl/>
              </w:rPr>
              <w:t>.</w:t>
            </w:r>
          </w:p>
        </w:tc>
        <w:tc>
          <w:tcPr>
            <w:tcW w:w="4006" w:type="dxa"/>
          </w:tcPr>
          <w:p w:rsidR="00C36A8A" w:rsidRDefault="00C36A8A" w:rsidP="00E3253D">
            <w:pPr>
              <w:pStyle w:val="libFootnote0"/>
              <w:rPr>
                <w:rStyle w:val="libFootnote0Char"/>
                <w:rtl/>
                <w:lang w:bidi="fa-IR"/>
              </w:rPr>
            </w:pPr>
            <w:r w:rsidRPr="0042621E">
              <w:rPr>
                <w:rStyle w:val="libFootnote0Char"/>
                <w:rtl/>
              </w:rPr>
              <w:t>(13).</w:t>
            </w:r>
            <w:r w:rsidRPr="005D642E">
              <w:rPr>
                <w:rtl/>
              </w:rPr>
              <w:t xml:space="preserve"> في « بح » : « شي‌ء »</w:t>
            </w:r>
            <w:r>
              <w:rPr>
                <w:rtl/>
              </w:rPr>
              <w:t>.</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بث ، بح ، جح ، جس » </w:t>
      </w:r>
      <w:r w:rsidR="00B60612" w:rsidRPr="00B60612">
        <w:rPr>
          <w:rStyle w:val="libFootnoteBoldChar"/>
          <w:rtl/>
        </w:rPr>
        <w:t>والتهذيب</w:t>
      </w:r>
      <w:r w:rsidR="00E3253D" w:rsidRPr="005D642E">
        <w:rPr>
          <w:rtl/>
        </w:rPr>
        <w:t xml:space="preserve"> : « فإذا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قد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مِنْ مِقْدَارِ الدِّرْهَمِ ، فَضَيَّعْتَ غَسْلَهُ ، وَصَلَّيْتَ </w:t>
      </w:r>
      <w:r w:rsidRPr="007C12DB">
        <w:rPr>
          <w:rStyle w:val="libFootnotenumChar"/>
          <w:rtl/>
        </w:rPr>
        <w:t>(1)</w:t>
      </w:r>
      <w:r w:rsidRPr="005D642E">
        <w:rPr>
          <w:rtl/>
          <w:lang w:bidi="fa-IR"/>
        </w:rPr>
        <w:t xml:space="preserve"> فِيهِ صَلَاةً كَثِيرَةً ، فَأَعِدْ مَا صَلَّيْتَ فِيهِ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1722D">
        <w:rPr>
          <w:rtl/>
        </w:rPr>
        <w:t>4089</w:t>
      </w:r>
      <w:r w:rsidRPr="00246318">
        <w:rPr>
          <w:rStyle w:val="libBold2Char"/>
          <w:rtl/>
        </w:rPr>
        <w:t xml:space="preserve"> / 4.</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عَلِيّاً </w:t>
      </w:r>
      <w:r w:rsidRPr="00AC51C5">
        <w:rPr>
          <w:rStyle w:val="libAlaemChar"/>
          <w:rtl/>
        </w:rPr>
        <w:t>عليه‌السلام</w:t>
      </w:r>
      <w:r w:rsidRPr="005D642E">
        <w:rPr>
          <w:rtl/>
          <w:lang w:bidi="fa-IR"/>
        </w:rPr>
        <w:t xml:space="preserve"> كَانَ لَايَرى بَأْساً بِدَمِ مَا لَمْ يُذَكَّ </w:t>
      </w:r>
      <w:r w:rsidRPr="007C12DB">
        <w:rPr>
          <w:rStyle w:val="libFootnotenumChar"/>
          <w:rtl/>
        </w:rPr>
        <w:t>(3)</w:t>
      </w:r>
      <w:r w:rsidRPr="005D642E">
        <w:rPr>
          <w:rtl/>
          <w:lang w:bidi="fa-IR"/>
        </w:rPr>
        <w:t xml:space="preserve"> يَكُونُ فِي الثَّوْبِ فَيُصَلِّي فِيهِ الرَّجُلُ » يَعْنِي دَمَ السَّمَكِ.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B1722D">
        <w:rPr>
          <w:rtl/>
        </w:rPr>
        <w:t>4090</w:t>
      </w:r>
      <w:r w:rsidRPr="00246318">
        <w:rPr>
          <w:rStyle w:val="libBold2Char"/>
          <w:rtl/>
        </w:rPr>
        <w:t xml:space="preserve"> / 5.</w:t>
      </w:r>
      <w:r w:rsidRPr="005D642E">
        <w:rPr>
          <w:rtl/>
          <w:lang w:bidi="fa-IR"/>
        </w:rPr>
        <w:t xml:space="preserve"> أَحْمَدُ بْنُ إِدْرِيسَ ، عَنْ مُحَمَّدِ بْنِ أَحْمَدَ ، عَنْ أَحْمَدَ بْنِ الْحَسَنِ بْنِ عَلِيٍّ ، عَنْ عَمْرِو بْنِ سَعِيدٍ ، عَنْ مُصَدِّقِ بْنِ صَدَقَةَ ، عَنْ عَمَّارٍ السَّابَاطِيِّ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sidRPr="005D642E">
        <w:rPr>
          <w:rtl/>
          <w:lang w:bidi="fa-IR"/>
        </w:rPr>
        <w:t xml:space="preserve"> عَنْ رَجُلٍ يَسِيلُ مِنْ أَنْفِهِ الدَّمُ : هَلْ عَلَيْهِ أَنْ يَغْسِلَ بَاطِنَهُ يَعْنِي جَوْفَ الْأَنْفِ</w:t>
      </w:r>
      <w:r>
        <w:rPr>
          <w:rtl/>
          <w:lang w:bidi="fa-IR"/>
        </w:rPr>
        <w:t>؟</w:t>
      </w:r>
    </w:p>
    <w:p w:rsidR="00E3253D" w:rsidRPr="005D642E" w:rsidRDefault="00E3253D" w:rsidP="00E3253D">
      <w:pPr>
        <w:pStyle w:val="libNormal"/>
        <w:rPr>
          <w:rtl/>
          <w:lang w:bidi="fa-IR"/>
        </w:rPr>
      </w:pPr>
      <w:r w:rsidRPr="005D642E">
        <w:rPr>
          <w:rtl/>
          <w:lang w:bidi="fa-IR"/>
        </w:rPr>
        <w:t>فَقَالَ : « إِنَّمَا عَلَيْهِ أَنْ يَغْسِلَ مَا ظَهَرَ مِنْهُ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B1722D">
        <w:rPr>
          <w:rtl/>
        </w:rPr>
        <w:t>4091</w:t>
      </w:r>
      <w:r w:rsidRPr="00246318">
        <w:rPr>
          <w:rStyle w:val="libBold2Char"/>
          <w:rtl/>
        </w:rPr>
        <w:t xml:space="preserve"> / 6.</w:t>
      </w:r>
      <w:r w:rsidRPr="005D642E">
        <w:rPr>
          <w:rtl/>
          <w:lang w:bidi="fa-IR"/>
        </w:rPr>
        <w:t xml:space="preserve"> مُحَمَّدُ بْنُ يَحْيى ، عَنْ أَحْمَدَ بْنِ مُحَمَّدٍ ، عَنِ الْحُسَيْنِ بْنِ سَعِيدٍ ، عَنِ الْقَاسِمِ بْنِ مُحَمَّدٍ ، عَنْ عَلِيِّ بْنِ أَبِي حَمْزَةَ :</w:t>
      </w:r>
    </w:p>
    <w:p w:rsidR="00E3253D" w:rsidRPr="005D642E" w:rsidRDefault="00E3253D" w:rsidP="00E3253D">
      <w:pPr>
        <w:pStyle w:val="libNormal"/>
        <w:rPr>
          <w:rtl/>
          <w:lang w:bidi="fa-IR"/>
        </w:rPr>
      </w:pPr>
      <w:r w:rsidRPr="005D642E">
        <w:rPr>
          <w:rtl/>
          <w:lang w:bidi="fa-IR"/>
        </w:rPr>
        <w:t xml:space="preserve">عَنِ الْعَبْدِ الصَّالِحِ </w:t>
      </w:r>
      <w:r w:rsidRPr="00AC51C5">
        <w:rPr>
          <w:rStyle w:val="libAlaemChar"/>
          <w:rtl/>
        </w:rPr>
        <w:t>عليه‌السلام</w:t>
      </w:r>
      <w:r w:rsidRPr="005D642E">
        <w:rPr>
          <w:rtl/>
          <w:lang w:bidi="fa-IR"/>
        </w:rPr>
        <w:t xml:space="preserve"> ، قَالَ : سَأَلَتْهُ </w:t>
      </w:r>
      <w:r w:rsidRPr="007C12DB">
        <w:rPr>
          <w:rStyle w:val="libFootnotenumChar"/>
          <w:rtl/>
        </w:rPr>
        <w:t>(6)</w:t>
      </w:r>
      <w:r w:rsidRPr="005D642E">
        <w:rPr>
          <w:rtl/>
          <w:lang w:bidi="fa-IR"/>
        </w:rPr>
        <w:t xml:space="preserve"> أُمُّ وَلَدٍ لِأَبِيهِ ، فَقَالَتْ : جُعِلْتُ فِدَاكَ ، إِنِّي أُرِيدُ أَنْ أَسْأَلَكَ عَنْ شَيْ‌ءٍ وَأَنَا </w:t>
      </w:r>
      <w:r w:rsidRPr="007C12DB">
        <w:rPr>
          <w:rStyle w:val="libFootnotenumChar"/>
          <w:rtl/>
        </w:rPr>
        <w:t>(7)</w:t>
      </w:r>
      <w:r w:rsidRPr="005D642E">
        <w:rPr>
          <w:rtl/>
          <w:lang w:bidi="fa-IR"/>
        </w:rPr>
        <w:t xml:space="preserve"> أَسْتَحْيِي مِنْهُ.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أو صلّيت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254 ، ح 736 ، بسنده عن الكليني. </w:t>
      </w:r>
      <w:r w:rsidR="00E3253D" w:rsidRPr="002F4D34">
        <w:rPr>
          <w:rStyle w:val="libFootnoteBoldChar"/>
          <w:rtl/>
        </w:rPr>
        <w:t>الفقيه</w:t>
      </w:r>
      <w:r w:rsidR="00E3253D" w:rsidRPr="005D642E">
        <w:rPr>
          <w:rtl/>
        </w:rPr>
        <w:t xml:space="preserve"> ، ج 1 ، ص 249 ، صدر ح 757 ، معلّقاً عن محمّد بن مسلم </w:t>
      </w:r>
      <w:r w:rsidR="00CA66DD">
        <w:rPr>
          <w:rFonts w:hint="cs"/>
          <w:rtl/>
        </w:rPr>
        <w:t>.</w:t>
      </w:r>
      <w:r w:rsidR="00E3253D" w:rsidRPr="002F4D34">
        <w:rPr>
          <w:rStyle w:val="libFootnoteBoldChar"/>
          <w:rtl/>
        </w:rPr>
        <w:t>الوافي</w:t>
      </w:r>
      <w:r w:rsidR="00E3253D" w:rsidRPr="005D642E">
        <w:rPr>
          <w:rtl/>
        </w:rPr>
        <w:t xml:space="preserve"> ، ج 6 ، ص 181 ، ح 4050 ؛ </w:t>
      </w:r>
      <w:r w:rsidR="00E3253D" w:rsidRPr="002F4D34">
        <w:rPr>
          <w:rStyle w:val="libFootnoteBoldChar"/>
          <w:rtl/>
        </w:rPr>
        <w:t>الوسائل</w:t>
      </w:r>
      <w:r w:rsidR="00E3253D" w:rsidRPr="005D642E">
        <w:rPr>
          <w:rtl/>
        </w:rPr>
        <w:t xml:space="preserve"> ، ج 3 ، ص 431 ، ح 4076.</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قوله : ما لم يذكّ ، أي لا يحتاج إلى التذكية من الذبح أو النحر في الحلّ والطهارة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260 ، ح 755 ، معلّقاً عن محمّد بن أحمد بن يحيى ، عن إبراهيم بن هاشم ، عن النوفلي ، عن السكوني ، عن جعفر ، عن أبيه </w:t>
      </w:r>
      <w:r w:rsidR="00E3253D" w:rsidRPr="00CA66DD">
        <w:rPr>
          <w:rStyle w:val="libFootnoteAlaemChar"/>
          <w:rtl/>
        </w:rPr>
        <w:t>عليهما‌السلام</w:t>
      </w:r>
      <w:r w:rsidR="00E3253D" w:rsidRPr="005D642E">
        <w:rPr>
          <w:rtl/>
        </w:rPr>
        <w:t xml:space="preserve">. راجع : </w:t>
      </w:r>
      <w:r w:rsidR="00E3253D" w:rsidRPr="002F4D34">
        <w:rPr>
          <w:rStyle w:val="libFootnoteBoldChar"/>
          <w:rtl/>
        </w:rPr>
        <w:t>الفقيه</w:t>
      </w:r>
      <w:r w:rsidR="00E3253D" w:rsidRPr="005D642E">
        <w:rPr>
          <w:rtl/>
        </w:rPr>
        <w:t xml:space="preserve"> ، ج 1 ، ص 72 ، ذيل ح 167 ؛ و</w:t>
      </w:r>
      <w:r w:rsidR="00E3253D" w:rsidRPr="002F4D34">
        <w:rPr>
          <w:rStyle w:val="libFootnoteBoldChar"/>
          <w:rtl/>
        </w:rPr>
        <w:t>فقه الرضا</w:t>
      </w:r>
      <w:r w:rsidR="00E3253D" w:rsidRPr="005D642E">
        <w:rPr>
          <w:rtl/>
        </w:rPr>
        <w:t xml:space="preserve"> </w:t>
      </w:r>
      <w:r w:rsidR="00E3253D" w:rsidRPr="00CA66DD">
        <w:rPr>
          <w:rStyle w:val="libFootnoteAlaemChar"/>
          <w:rtl/>
        </w:rPr>
        <w:t>عليه‌السلام</w:t>
      </w:r>
      <w:r w:rsidR="00E3253D" w:rsidRPr="005D642E">
        <w:rPr>
          <w:rtl/>
        </w:rPr>
        <w:t xml:space="preserve"> ، ص 95 </w:t>
      </w:r>
      <w:r w:rsidR="00CA66DD">
        <w:rPr>
          <w:rFonts w:hint="cs"/>
          <w:rtl/>
        </w:rPr>
        <w:t>.</w:t>
      </w:r>
      <w:r w:rsidR="00E3253D" w:rsidRPr="002F4D34">
        <w:rPr>
          <w:rStyle w:val="libFootnoteBoldChar"/>
          <w:rtl/>
        </w:rPr>
        <w:t>الوافي</w:t>
      </w:r>
      <w:r w:rsidR="00E3253D" w:rsidRPr="005D642E">
        <w:rPr>
          <w:rtl/>
        </w:rPr>
        <w:t xml:space="preserve"> ، ج 6 ، ص 187 ، ح 4069 ؛ </w:t>
      </w:r>
      <w:r w:rsidR="00E3253D" w:rsidRPr="002F4D34">
        <w:rPr>
          <w:rStyle w:val="libFootnoteBoldChar"/>
          <w:rtl/>
        </w:rPr>
        <w:t>الوسائل</w:t>
      </w:r>
      <w:r w:rsidR="00E3253D" w:rsidRPr="005D642E">
        <w:rPr>
          <w:rtl/>
        </w:rPr>
        <w:t xml:space="preserve"> ، ج 3 ، ص 436 ، ح 4090.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420 ، ح 1330 ، معلّقاً عن محمّد بن أحمد بن يحيى ، عن أحمد ، عن الحسين بن عليّ </w:t>
      </w:r>
      <w:r w:rsidR="00CA66DD">
        <w:rPr>
          <w:rFonts w:hint="cs"/>
          <w:rtl/>
        </w:rPr>
        <w:t>.</w:t>
      </w:r>
      <w:r w:rsidR="00E3253D" w:rsidRPr="002F4D34">
        <w:rPr>
          <w:rStyle w:val="libFootnoteBoldChar"/>
          <w:rtl/>
        </w:rPr>
        <w:t>الوافي</w:t>
      </w:r>
      <w:r w:rsidR="00E3253D" w:rsidRPr="005D642E">
        <w:rPr>
          <w:rtl/>
        </w:rPr>
        <w:t xml:space="preserve"> ، ج 6 ، ص 188 ، ح 4071 ؛ </w:t>
      </w:r>
      <w:r w:rsidR="00E3253D" w:rsidRPr="002F4D34">
        <w:rPr>
          <w:rStyle w:val="libFootnoteBoldChar"/>
          <w:rtl/>
        </w:rPr>
        <w:t>الوسائل</w:t>
      </w:r>
      <w:r w:rsidR="00E3253D" w:rsidRPr="005D642E">
        <w:rPr>
          <w:rtl/>
        </w:rPr>
        <w:t xml:space="preserve"> ، ج 3 ، ص 438 ، ح 4098.</w:t>
      </w:r>
    </w:p>
    <w:tbl>
      <w:tblPr>
        <w:tblStyle w:val="TableGrid"/>
        <w:bidiVisual/>
        <w:tblW w:w="0" w:type="auto"/>
        <w:tblLook w:val="04A0" w:firstRow="1" w:lastRow="0" w:firstColumn="1" w:lastColumn="0" w:noHBand="0" w:noVBand="1"/>
      </w:tblPr>
      <w:tblGrid>
        <w:gridCol w:w="4006"/>
        <w:gridCol w:w="4006"/>
      </w:tblGrid>
      <w:tr w:rsidR="00CA66DD" w:rsidTr="00CA66DD">
        <w:tc>
          <w:tcPr>
            <w:tcW w:w="4006" w:type="dxa"/>
          </w:tcPr>
          <w:p w:rsidR="00CA66DD" w:rsidRDefault="00CA66DD" w:rsidP="00E3253D">
            <w:pPr>
              <w:pStyle w:val="libFootnote0"/>
              <w:rPr>
                <w:rStyle w:val="libFootnote0Char"/>
                <w:rtl/>
              </w:rPr>
            </w:pPr>
            <w:r w:rsidRPr="0042621E">
              <w:rPr>
                <w:rStyle w:val="libFootnote0Char"/>
                <w:rtl/>
              </w:rPr>
              <w:t>(6).</w:t>
            </w:r>
            <w:r w:rsidR="00933000">
              <w:rPr>
                <w:rtl/>
              </w:rPr>
              <w:t xml:space="preserve"> في «بخ ،بس ،جس» وحاشية «بح»:</w:t>
            </w:r>
            <w:r w:rsidRPr="005D642E">
              <w:rPr>
                <w:rtl/>
              </w:rPr>
              <w:t>« سألت »</w:t>
            </w:r>
            <w:r>
              <w:rPr>
                <w:rtl/>
              </w:rPr>
              <w:t>.</w:t>
            </w:r>
          </w:p>
        </w:tc>
        <w:tc>
          <w:tcPr>
            <w:tcW w:w="4006" w:type="dxa"/>
          </w:tcPr>
          <w:p w:rsidR="00CA66DD" w:rsidRDefault="00CA66DD" w:rsidP="00E3253D">
            <w:pPr>
              <w:pStyle w:val="libFootnote0"/>
              <w:rPr>
                <w:rStyle w:val="libFootnote0Char"/>
                <w:rtl/>
              </w:rPr>
            </w:pPr>
            <w:r w:rsidRPr="0042621E">
              <w:rPr>
                <w:rStyle w:val="libFootnote0Char"/>
                <w:rtl/>
              </w:rPr>
              <w:t>(7).</w:t>
            </w:r>
            <w:r w:rsidRPr="005D642E">
              <w:rPr>
                <w:rtl/>
              </w:rPr>
              <w:t xml:space="preserve"> في « جس » : « وإنّما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w:t>
      </w:r>
      <w:r w:rsidRPr="007C12DB">
        <w:rPr>
          <w:rStyle w:val="libFootnotenumChar"/>
          <w:rtl/>
        </w:rPr>
        <w:t>(1)</w:t>
      </w:r>
      <w:r w:rsidRPr="005D642E">
        <w:rPr>
          <w:rtl/>
          <w:lang w:bidi="fa-IR"/>
        </w:rPr>
        <w:t xml:space="preserve"> : « سَلِي ، وَلَاتَسْتَحْيِي »</w:t>
      </w:r>
      <w:r>
        <w:rPr>
          <w:rtl/>
          <w:lang w:bidi="fa-IR"/>
        </w:rPr>
        <w:t>.</w:t>
      </w:r>
    </w:p>
    <w:p w:rsidR="00E3253D" w:rsidRPr="005D642E" w:rsidRDefault="00E3253D" w:rsidP="00E3253D">
      <w:pPr>
        <w:pStyle w:val="libNormal"/>
        <w:rPr>
          <w:rtl/>
          <w:lang w:bidi="fa-IR"/>
        </w:rPr>
      </w:pPr>
      <w:r w:rsidRPr="005D642E">
        <w:rPr>
          <w:rtl/>
          <w:lang w:bidi="fa-IR"/>
        </w:rPr>
        <w:t xml:space="preserve">قَالَتْ </w:t>
      </w:r>
      <w:r w:rsidRPr="007C12DB">
        <w:rPr>
          <w:rStyle w:val="libFootnotenumChar"/>
          <w:rtl/>
        </w:rPr>
        <w:t>(2)</w:t>
      </w:r>
      <w:r w:rsidRPr="005D642E">
        <w:rPr>
          <w:rtl/>
          <w:lang w:bidi="fa-IR"/>
        </w:rPr>
        <w:t xml:space="preserve"> : أَصَابَ ثَوْبِي دَمُ الْحَيْضِ ، فَغَسَلْتُهُ فَلَمْ يَذْهَبْ أَثَرُهُ</w:t>
      </w:r>
      <w:r>
        <w:rPr>
          <w:rtl/>
          <w:lang w:bidi="fa-IR"/>
        </w:rPr>
        <w:t>؟</w:t>
      </w:r>
    </w:p>
    <w:p w:rsidR="00E3253D" w:rsidRPr="005D642E" w:rsidRDefault="00E3253D" w:rsidP="00E3253D">
      <w:pPr>
        <w:pStyle w:val="libNormal"/>
        <w:rPr>
          <w:rtl/>
          <w:lang w:bidi="fa-IR"/>
        </w:rPr>
      </w:pPr>
      <w:r w:rsidRPr="005D642E">
        <w:rPr>
          <w:rtl/>
          <w:lang w:bidi="fa-IR"/>
        </w:rPr>
        <w:t xml:space="preserve">فَقَالَ : « اصْبَغِيهِ بِمِشْقٍ </w:t>
      </w:r>
      <w:r w:rsidRPr="007C12DB">
        <w:rPr>
          <w:rStyle w:val="libFootnotenumChar"/>
          <w:rtl/>
        </w:rPr>
        <w:t>(3)</w:t>
      </w:r>
      <w:r w:rsidRPr="005D642E">
        <w:rPr>
          <w:rtl/>
          <w:lang w:bidi="fa-IR"/>
        </w:rPr>
        <w:t xml:space="preserve"> حَتّى يَخْتَلِطَ </w:t>
      </w:r>
      <w:r w:rsidRPr="007C12DB">
        <w:rPr>
          <w:rStyle w:val="libFootnotenumChar"/>
          <w:rtl/>
        </w:rPr>
        <w:t>(4)</w:t>
      </w:r>
      <w:r w:rsidRPr="005D642E">
        <w:rPr>
          <w:rtl/>
          <w:lang w:bidi="fa-IR"/>
        </w:rPr>
        <w:t xml:space="preserve"> وَيَذْهَبَ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B1722D">
        <w:rPr>
          <w:rtl/>
        </w:rPr>
        <w:t>4092</w:t>
      </w:r>
      <w:r w:rsidRPr="00246318">
        <w:rPr>
          <w:rStyle w:val="libBold2Char"/>
          <w:rtl/>
        </w:rPr>
        <w:t xml:space="preserve"> / 7.</w:t>
      </w:r>
      <w:r w:rsidRPr="005D642E">
        <w:rPr>
          <w:rtl/>
          <w:lang w:bidi="fa-IR"/>
        </w:rPr>
        <w:t xml:space="preserve"> عَلِيُّ بْنُ إِبْرَاهِيمَ ، عَنْ أَحْمَدَ بْنِ أَبِي عَبْدِ اللهِ ، عَنْ أَبِيهِ رَفَعَهُ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قَالَ </w:t>
      </w:r>
      <w:r w:rsidRPr="007C12DB">
        <w:rPr>
          <w:rStyle w:val="libFootnotenumChar"/>
          <w:rtl/>
        </w:rPr>
        <w:t>(7)</w:t>
      </w:r>
      <w:r w:rsidRPr="005D642E">
        <w:rPr>
          <w:rtl/>
          <w:lang w:bidi="fa-IR"/>
        </w:rPr>
        <w:t xml:space="preserve"> : « دَمُكَ أَنْظَفُ مِنْ دَمِ غَيْرِكَ </w:t>
      </w:r>
      <w:r w:rsidRPr="007C12DB">
        <w:rPr>
          <w:rStyle w:val="libFootnotenumChar"/>
          <w:rtl/>
        </w:rPr>
        <w:t>(8)</w:t>
      </w:r>
      <w:r w:rsidRPr="005D642E">
        <w:rPr>
          <w:rtl/>
          <w:lang w:bidi="fa-IR"/>
        </w:rPr>
        <w:t xml:space="preserve"> ، إِذَا كَانَ فِي ثَوْبِكَ شِبْهُ النَّضْحِ </w:t>
      </w:r>
      <w:r w:rsidRPr="007C12DB">
        <w:rPr>
          <w:rStyle w:val="libFootnotenumChar"/>
          <w:rtl/>
        </w:rPr>
        <w:t>(9)</w:t>
      </w:r>
      <w:r w:rsidRPr="005D642E">
        <w:rPr>
          <w:rtl/>
          <w:lang w:bidi="fa-IR"/>
        </w:rPr>
        <w:t xml:space="preserve"> مِنْ دَمِكَ ، فَلَا بَأْسَ ، وَإِنْ كَانَ دَمُ غَيْرِكَ </w:t>
      </w:r>
      <w:r w:rsidRPr="007C12DB">
        <w:rPr>
          <w:rStyle w:val="libFootnotenumChar"/>
          <w:rtl/>
        </w:rPr>
        <w:t>(10)</w:t>
      </w:r>
      <w:r>
        <w:rPr>
          <w:rtl/>
          <w:lang w:bidi="fa-IR"/>
        </w:rPr>
        <w:t xml:space="preserve"> </w:t>
      </w:r>
      <w:r w:rsidR="007642BC">
        <w:rPr>
          <w:rtl/>
          <w:lang w:bidi="fa-IR"/>
        </w:rPr>
        <w:t>-</w:t>
      </w:r>
      <w:r>
        <w:rPr>
          <w:rtl/>
          <w:lang w:bidi="fa-IR"/>
        </w:rPr>
        <w:t xml:space="preserve"> </w:t>
      </w:r>
      <w:r w:rsidRPr="005D642E">
        <w:rPr>
          <w:rtl/>
          <w:lang w:bidi="fa-IR"/>
        </w:rPr>
        <w:t xml:space="preserve">قَلِيلاً </w:t>
      </w:r>
      <w:r w:rsidRPr="007C12DB">
        <w:rPr>
          <w:rStyle w:val="libFootnotenumChar"/>
          <w:rtl/>
        </w:rPr>
        <w:t>(11)</w:t>
      </w:r>
      <w:r w:rsidRPr="005D642E">
        <w:rPr>
          <w:rtl/>
          <w:lang w:bidi="fa-IR"/>
        </w:rPr>
        <w:t xml:space="preserve"> ، أَوْ كَثِيراً </w:t>
      </w:r>
      <w:r w:rsidR="007642BC">
        <w:rPr>
          <w:rtl/>
          <w:lang w:bidi="fa-IR"/>
        </w:rPr>
        <w:t>-</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3891"/>
        <w:gridCol w:w="4121"/>
      </w:tblGrid>
      <w:tr w:rsidR="004F6CF2" w:rsidTr="00826FF3">
        <w:tc>
          <w:tcPr>
            <w:tcW w:w="3891" w:type="dxa"/>
          </w:tcPr>
          <w:p w:rsidR="004F6CF2" w:rsidRDefault="004F6CF2" w:rsidP="00E3253D">
            <w:pPr>
              <w:pStyle w:val="libFootnote0"/>
              <w:rPr>
                <w:rStyle w:val="libFootnote0Char"/>
                <w:rtl/>
              </w:rPr>
            </w:pPr>
            <w:r w:rsidRPr="0042621E">
              <w:rPr>
                <w:rStyle w:val="libFootnote0Char"/>
                <w:rtl/>
              </w:rPr>
              <w:t>(1).</w:t>
            </w:r>
            <w:r>
              <w:rPr>
                <w:rtl/>
              </w:rPr>
              <w:t xml:space="preserve"> </w:t>
            </w:r>
            <w:r w:rsidRPr="005D642E">
              <w:rPr>
                <w:rtl/>
              </w:rPr>
              <w:t>في الكافي ، ح 4239 : « فقال »</w:t>
            </w:r>
            <w:r>
              <w:rPr>
                <w:rtl/>
              </w:rPr>
              <w:t>.</w:t>
            </w:r>
          </w:p>
        </w:tc>
        <w:tc>
          <w:tcPr>
            <w:tcW w:w="4121" w:type="dxa"/>
          </w:tcPr>
          <w:p w:rsidR="004F6CF2" w:rsidRDefault="004F6CF2" w:rsidP="00E3253D">
            <w:pPr>
              <w:pStyle w:val="libFootnote0"/>
              <w:rPr>
                <w:rStyle w:val="libFootnote0Char"/>
                <w:rtl/>
              </w:rPr>
            </w:pPr>
            <w:r w:rsidRPr="0042621E">
              <w:rPr>
                <w:rStyle w:val="libFootnote0Char"/>
                <w:rtl/>
              </w:rPr>
              <w:t>(2).</w:t>
            </w:r>
            <w:r w:rsidR="00AD78AA">
              <w:rPr>
                <w:rtl/>
              </w:rPr>
              <w:t>في</w:t>
            </w:r>
            <w:r w:rsidR="00AD78AA">
              <w:rPr>
                <w:rFonts w:hint="cs"/>
                <w:rtl/>
              </w:rPr>
              <w:t xml:space="preserve"> </w:t>
            </w:r>
            <w:r w:rsidR="00AD78AA">
              <w:rPr>
                <w:rtl/>
              </w:rPr>
              <w:t>الوسائل،ح2389</w:t>
            </w:r>
            <w:r w:rsidRPr="005D642E">
              <w:rPr>
                <w:rtl/>
              </w:rPr>
              <w:t>:</w:t>
            </w:r>
            <w:r>
              <w:rPr>
                <w:rtl/>
              </w:rPr>
              <w:t>-</w:t>
            </w:r>
            <w:r w:rsidR="00AD78AA">
              <w:rPr>
                <w:rtl/>
              </w:rPr>
              <w:t>«</w:t>
            </w:r>
            <w:r w:rsidRPr="005D642E">
              <w:rPr>
                <w:rtl/>
              </w:rPr>
              <w:t>جعلت فداك</w:t>
            </w:r>
            <w:r>
              <w:rPr>
                <w:rtl/>
              </w:rPr>
              <w:t>-</w:t>
            </w:r>
            <w:r w:rsidRPr="005D642E">
              <w:rPr>
                <w:rtl/>
              </w:rPr>
              <w:t>إلى</w:t>
            </w:r>
            <w:r>
              <w:rPr>
                <w:rtl/>
              </w:rPr>
              <w:t>-</w:t>
            </w:r>
            <w:r w:rsidR="00AD78AA">
              <w:rPr>
                <w:rtl/>
              </w:rPr>
              <w:t>قالت</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المِشْق » بكسر الميم وفتحها مع سكون الشين : المَغْرَةُ ، وهي طين أحمر ، أو صبغ أحمر. راجع : </w:t>
      </w:r>
      <w:r w:rsidR="00E3253D" w:rsidRPr="002F4D34">
        <w:rPr>
          <w:rStyle w:val="libFootnoteBoldChar"/>
          <w:rtl/>
        </w:rPr>
        <w:t>المغرب</w:t>
      </w:r>
      <w:r w:rsidR="00E3253D" w:rsidRPr="005D642E">
        <w:rPr>
          <w:rtl/>
        </w:rPr>
        <w:t xml:space="preserve"> ، ص 430 ؛ </w:t>
      </w:r>
      <w:r w:rsidR="00E3253D" w:rsidRPr="002F4D34">
        <w:rPr>
          <w:rStyle w:val="libFootnoteBoldChar"/>
          <w:rtl/>
        </w:rPr>
        <w:t>لسان العرب</w:t>
      </w:r>
      <w:r w:rsidR="00E3253D" w:rsidRPr="005D642E">
        <w:rPr>
          <w:rtl/>
        </w:rPr>
        <w:t xml:space="preserve"> ، ج 10 ، ص 345 ( مشق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بف » : « حتّى تختلط »</w:t>
      </w:r>
      <w:r w:rsidR="00E3253D">
        <w:rPr>
          <w:rtl/>
        </w:rPr>
        <w:t>.</w:t>
      </w:r>
      <w:r w:rsidR="00E3253D" w:rsidRPr="005D642E">
        <w:rPr>
          <w:rtl/>
        </w:rPr>
        <w:t xml:space="preserve"> وفي حاشية « بح » : « حتّى يحتاط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 + « أثره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166 : « والظاهر أنّه لم يكن عبرة باللون بعد إزالة العين ويحصل من رؤية اللون أثر في النفس ، فلذا أمرها </w:t>
      </w:r>
      <w:r w:rsidR="00E3253D" w:rsidRPr="00A303BD">
        <w:rPr>
          <w:rStyle w:val="libFootnoteAlaemChar"/>
          <w:rtl/>
        </w:rPr>
        <w:t>عليه‌السلام</w:t>
      </w:r>
      <w:r w:rsidR="00E3253D" w:rsidRPr="005D642E">
        <w:rPr>
          <w:rtl/>
        </w:rPr>
        <w:t xml:space="preserve"> بالصبغ ؛ لئلاّ تتميّز ويرتفع استنكاف النفس. ويحتمل أن يكون الصبغ بالمشق مؤثّراً في إزالة الدم ولونه ، ولكنّه بعيد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الكافي</w:t>
      </w:r>
      <w:r w:rsidR="00E3253D" w:rsidRPr="005D642E">
        <w:rPr>
          <w:rtl/>
        </w:rPr>
        <w:t xml:space="preserve"> ، كتاب الحيض ، باب غسل ثياب الحائض ، ح 4239. وفي </w:t>
      </w:r>
      <w:r w:rsidR="00E3253D" w:rsidRPr="002F4D34">
        <w:rPr>
          <w:rStyle w:val="libFootnoteBoldChar"/>
          <w:rtl/>
        </w:rPr>
        <w:t>التهذيب</w:t>
      </w:r>
      <w:r w:rsidR="00E3253D" w:rsidRPr="005D642E">
        <w:rPr>
          <w:rtl/>
        </w:rPr>
        <w:t xml:space="preserve"> ، ج 1 ، ص 272 ، ح 800 ، بسنده عن الحسين بن سعيد. </w:t>
      </w:r>
      <w:r w:rsidR="00E3253D" w:rsidRPr="002F4D34">
        <w:rPr>
          <w:rStyle w:val="libFootnoteBoldChar"/>
          <w:rtl/>
        </w:rPr>
        <w:t>وفيه</w:t>
      </w:r>
      <w:r w:rsidR="00E3253D" w:rsidRPr="005D642E">
        <w:rPr>
          <w:rtl/>
        </w:rPr>
        <w:t xml:space="preserve"> ، ص 257 ، ح 746 ، بسند آخر عن أبي عبدالله وأبي جعفر </w:t>
      </w:r>
      <w:r w:rsidR="00E3253D" w:rsidRPr="00A303BD">
        <w:rPr>
          <w:rStyle w:val="libFootnoteAlaemChar"/>
          <w:rtl/>
        </w:rPr>
        <w:t>عليهما‌السلام</w:t>
      </w:r>
      <w:r w:rsidR="00E3253D" w:rsidRPr="005D642E">
        <w:rPr>
          <w:rtl/>
        </w:rPr>
        <w:t xml:space="preserve"> ؛ </w:t>
      </w:r>
      <w:r w:rsidR="00E3253D" w:rsidRPr="002F4D34">
        <w:rPr>
          <w:rStyle w:val="libFootnoteBoldChar"/>
          <w:rtl/>
        </w:rPr>
        <w:t>وفيه</w:t>
      </w:r>
      <w:r w:rsidR="00E3253D" w:rsidRPr="005D642E">
        <w:rPr>
          <w:rtl/>
        </w:rPr>
        <w:t xml:space="preserve"> أيضاً ، ص 272 ، ح 801 ، بسند آخر عن أبي عبدالله </w:t>
      </w:r>
      <w:r w:rsidR="00E3253D" w:rsidRPr="00A303BD">
        <w:rPr>
          <w:rStyle w:val="libFootnoteAlaemChar"/>
          <w:rtl/>
        </w:rPr>
        <w:t>عليه‌السلام</w:t>
      </w:r>
      <w:r w:rsidR="00E3253D" w:rsidRPr="005D642E">
        <w:rPr>
          <w:rtl/>
        </w:rPr>
        <w:t xml:space="preserve"> ، وفيهما من قوله : « أصاب ثوبي دم الحيض » مع اختلاف يسير </w:t>
      </w:r>
      <w:r w:rsidR="00A303BD">
        <w:rPr>
          <w:rFonts w:hint="cs"/>
          <w:rtl/>
        </w:rPr>
        <w:t>.</w:t>
      </w:r>
      <w:r w:rsidR="00E3253D" w:rsidRPr="002F4D34">
        <w:rPr>
          <w:rStyle w:val="libFootnoteBoldChar"/>
          <w:rtl/>
        </w:rPr>
        <w:t>الوافي</w:t>
      </w:r>
      <w:r w:rsidR="00E3253D" w:rsidRPr="005D642E">
        <w:rPr>
          <w:rtl/>
        </w:rPr>
        <w:t xml:space="preserve"> ، ج 6 ، ص 184 ، ح 4058 ؛ </w:t>
      </w:r>
      <w:r w:rsidR="00E3253D" w:rsidRPr="002F4D34">
        <w:rPr>
          <w:rStyle w:val="libFootnoteBoldChar"/>
          <w:rtl/>
        </w:rPr>
        <w:t>الوسائل</w:t>
      </w:r>
      <w:r w:rsidR="00E3253D" w:rsidRPr="005D642E">
        <w:rPr>
          <w:rtl/>
        </w:rPr>
        <w:t xml:space="preserve"> ، ج 2 ، ص 369 ، ح 2389 ؛ وج 3 ، ص 439 ، ح 4101.</w:t>
      </w:r>
    </w:p>
    <w:tbl>
      <w:tblPr>
        <w:tblStyle w:val="TableGrid"/>
        <w:bidiVisual/>
        <w:tblW w:w="0" w:type="auto"/>
        <w:tblLook w:val="04A0" w:firstRow="1" w:lastRow="0" w:firstColumn="1" w:lastColumn="0" w:noHBand="0" w:noVBand="1"/>
      </w:tblPr>
      <w:tblGrid>
        <w:gridCol w:w="4006"/>
        <w:gridCol w:w="4006"/>
      </w:tblGrid>
      <w:tr w:rsidR="004C406E" w:rsidTr="004C406E">
        <w:tc>
          <w:tcPr>
            <w:tcW w:w="4006" w:type="dxa"/>
          </w:tcPr>
          <w:p w:rsidR="004C406E" w:rsidRDefault="004C406E" w:rsidP="00E3253D">
            <w:pPr>
              <w:pStyle w:val="libFootnote0"/>
              <w:rPr>
                <w:rStyle w:val="libFootnote0Char"/>
                <w:rtl/>
              </w:rPr>
            </w:pPr>
            <w:r w:rsidRPr="0042621E">
              <w:rPr>
                <w:rStyle w:val="libFootnote0Char"/>
                <w:rtl/>
              </w:rPr>
              <w:t>(7).</w:t>
            </w:r>
            <w:r w:rsidRPr="005D642E">
              <w:rPr>
                <w:rtl/>
              </w:rPr>
              <w:t xml:space="preserve"> في « بف » :</w:t>
            </w:r>
            <w:r>
              <w:rPr>
                <w:rtl/>
              </w:rPr>
              <w:t xml:space="preserve"> - </w:t>
            </w:r>
            <w:r w:rsidRPr="005D642E">
              <w:rPr>
                <w:rtl/>
              </w:rPr>
              <w:t>« قال »</w:t>
            </w:r>
            <w:r>
              <w:rPr>
                <w:rtl/>
              </w:rPr>
              <w:t>.</w:t>
            </w:r>
          </w:p>
        </w:tc>
        <w:tc>
          <w:tcPr>
            <w:tcW w:w="4006" w:type="dxa"/>
          </w:tcPr>
          <w:p w:rsidR="004C406E" w:rsidRDefault="004C406E" w:rsidP="00E3253D">
            <w:pPr>
              <w:pStyle w:val="libFootnote0"/>
              <w:rPr>
                <w:rStyle w:val="libFootnote0Char"/>
                <w:rtl/>
              </w:rPr>
            </w:pPr>
            <w:r w:rsidRPr="0042621E">
              <w:rPr>
                <w:rStyle w:val="libFootnote0Char"/>
                <w:rtl/>
              </w:rPr>
              <w:t>(8).</w:t>
            </w:r>
            <w:r w:rsidRPr="005D642E">
              <w:rPr>
                <w:rtl/>
              </w:rPr>
              <w:t xml:space="preserve"> في « بث » : + « </w:t>
            </w:r>
            <w:r>
              <w:rPr>
                <w:rtl/>
              </w:rPr>
              <w:t>و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 « النصح »</w:t>
      </w:r>
      <w:r w:rsidR="00E3253D">
        <w:rPr>
          <w:rtl/>
        </w:rPr>
        <w:t>.</w:t>
      </w:r>
      <w:r w:rsidR="00E3253D" w:rsidRPr="005D642E">
        <w:rPr>
          <w:rtl/>
        </w:rPr>
        <w:t xml:space="preserve"> وفي « بح » : « النفخ »</w:t>
      </w:r>
      <w:r w:rsidR="00E3253D">
        <w:rPr>
          <w:rtl/>
        </w:rPr>
        <w:t>.</w:t>
      </w:r>
      <w:r w:rsidR="00E3253D" w:rsidRPr="005D642E">
        <w:rPr>
          <w:rtl/>
        </w:rPr>
        <w:t xml:space="preserve"> وفي حاشية « بح » : « النسخ »</w:t>
      </w:r>
      <w:r w:rsidR="00E3253D">
        <w:rPr>
          <w:rtl/>
        </w:rPr>
        <w:t>.</w:t>
      </w:r>
      <w:r w:rsidR="00E3253D" w:rsidRPr="005D642E">
        <w:rPr>
          <w:rtl/>
        </w:rPr>
        <w:t xml:space="preserve"> </w:t>
      </w:r>
      <w:r w:rsidR="00E3253D">
        <w:rPr>
          <w:rtl/>
        </w:rPr>
        <w:t>و «</w:t>
      </w:r>
      <w:r w:rsidR="00E3253D" w:rsidRPr="005D642E">
        <w:rPr>
          <w:rtl/>
        </w:rPr>
        <w:t xml:space="preserve"> النَضْح » : البلُّ بالماء ، والرشُّ ، يقال : نضح عليه الماءَ ونضحه به : إذا رشّه عليه. راجع : </w:t>
      </w:r>
      <w:r w:rsidR="00E3253D" w:rsidRPr="002F4D34">
        <w:rPr>
          <w:rStyle w:val="libFootnoteBoldChar"/>
          <w:rtl/>
        </w:rPr>
        <w:t>النهاية</w:t>
      </w:r>
      <w:r w:rsidR="00E3253D" w:rsidRPr="005D642E">
        <w:rPr>
          <w:rtl/>
        </w:rPr>
        <w:t xml:space="preserve"> ، ج 5 ، ص 69 ؛ </w:t>
      </w:r>
      <w:r w:rsidR="00E3253D" w:rsidRPr="002F4D34">
        <w:rPr>
          <w:rStyle w:val="libFootnoteBoldChar"/>
          <w:rtl/>
        </w:rPr>
        <w:t>المصباح المنير</w:t>
      </w:r>
      <w:r w:rsidR="00E3253D" w:rsidRPr="005D642E">
        <w:rPr>
          <w:rtl/>
        </w:rPr>
        <w:t xml:space="preserve"> ، ص 60 ( نضح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مرآة العقول</w:t>
      </w:r>
      <w:r w:rsidR="00E3253D" w:rsidRPr="005D642E">
        <w:rPr>
          <w:rtl/>
        </w:rPr>
        <w:t xml:space="preserve"> : « ثمّ الفرق بين دم المصلّي وغيره خلاف المشهور بين الأصحاب ، ويمكن أن يكون ذلك لكونه جزءاً من حيوان غير مأكول اللحم ، فلذا لايجوز الصلاة فيه ، فيكون الحكم مخصوصاً بدم مأكول اللحم</w:t>
      </w:r>
      <w:r w:rsidR="00E3253D">
        <w:rPr>
          <w:rtl/>
        </w:rPr>
        <w:t xml:space="preserve"> ..</w:t>
      </w:r>
      <w:r w:rsidR="00E3253D" w:rsidRPr="005D642E">
        <w:rPr>
          <w:rtl/>
        </w:rPr>
        <w:t>. ومع جميع ذلك لايبعد القول بالكراهة ؛ لضعف الخبر وإرساله ، وأصل البراءة مع تحقّق الشكّ في الحكم ، ومنع كون الأمر للوجوب. ويمكن حمله على ما زاد على الدرهم مجتمعاً ، ويكون المعنى أنّه إذا كان من جرح أو قرح بك فلا بأس به ، وإن كان من غيرك تجب إزالته ؛ لكونه زائداً عن الدم ، فيكون مؤيّداً للقول الأخير</w:t>
      </w:r>
      <w:r w:rsidR="00E3253D">
        <w:rPr>
          <w:rtl/>
        </w:rPr>
        <w:t xml:space="preserve"> </w:t>
      </w:r>
      <w:r w:rsidR="007642BC">
        <w:rPr>
          <w:rtl/>
        </w:rPr>
        <w:t>-</w:t>
      </w:r>
      <w:r w:rsidR="00E3253D">
        <w:rPr>
          <w:rtl/>
        </w:rPr>
        <w:t xml:space="preserve"> </w:t>
      </w:r>
      <w:r w:rsidR="00E3253D" w:rsidRPr="005D642E">
        <w:rPr>
          <w:rtl/>
        </w:rPr>
        <w:t>وهو عدم وجوب إزالة الدم ما لم يتفاحش</w:t>
      </w:r>
      <w:r w:rsidR="00E3253D">
        <w:rPr>
          <w:rtl/>
        </w:rPr>
        <w:t xml:space="preserve"> </w:t>
      </w:r>
      <w:r w:rsidR="007642BC">
        <w:rPr>
          <w:rtl/>
        </w:rPr>
        <w:t>-</w:t>
      </w:r>
      <w:r w:rsidR="00E3253D">
        <w:rPr>
          <w:rtl/>
        </w:rPr>
        <w:t xml:space="preserve"> </w:t>
      </w:r>
      <w:r w:rsidR="00E3253D" w:rsidRPr="005D642E">
        <w:rPr>
          <w:rtl/>
        </w:rPr>
        <w:t>والله يعلم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حاشية « بخ » : + « كان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فَاغْسِلْهُ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B1722D">
        <w:rPr>
          <w:rtl/>
        </w:rPr>
        <w:t>4093</w:t>
      </w:r>
      <w:r w:rsidRPr="00246318">
        <w:rPr>
          <w:rStyle w:val="libBold2Char"/>
          <w:rtl/>
        </w:rPr>
        <w:t xml:space="preserve"> / 8.</w:t>
      </w:r>
      <w:r w:rsidRPr="005D642E">
        <w:rPr>
          <w:rtl/>
          <w:lang w:bidi="fa-IR"/>
        </w:rPr>
        <w:t xml:space="preserve"> مُحَمَّدُ بْنُ يَحْيى ، عَنْ أَحْمَدَ بْنِ مُحَمَّدٍ ، عَنِ ابْنِ سِنَانٍ ، عَنِ ابْنِ مُسْكَانَ ،</w:t>
      </w:r>
      <w:r>
        <w:rPr>
          <w:rFonts w:hint="cs"/>
          <w:rtl/>
          <w:lang w:bidi="fa-IR"/>
        </w:rPr>
        <w:t xml:space="preserve"> </w:t>
      </w:r>
      <w:r w:rsidRPr="005D642E">
        <w:rPr>
          <w:rtl/>
          <w:lang w:bidi="fa-IR"/>
        </w:rPr>
        <w:t>عَنِ الْحَلَبِيِّ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دَمِ الْبَرَاغِيثِ يَكُونُ فِي الثَّوْبِ : هَلْ يَمْنَعُهُ ذلِكَ مِنَ الصَّلَاةِ فِيهِ</w:t>
      </w:r>
      <w:r>
        <w:rPr>
          <w:rtl/>
          <w:lang w:bidi="fa-IR"/>
        </w:rPr>
        <w:t>؟</w:t>
      </w:r>
    </w:p>
    <w:p w:rsidR="00E3253D" w:rsidRPr="005D642E" w:rsidRDefault="00E3253D" w:rsidP="00E3253D">
      <w:pPr>
        <w:pStyle w:val="libNormal"/>
        <w:rPr>
          <w:rtl/>
          <w:lang w:bidi="fa-IR"/>
        </w:rPr>
      </w:pPr>
      <w:r w:rsidRPr="005D642E">
        <w:rPr>
          <w:rtl/>
          <w:lang w:bidi="fa-IR"/>
        </w:rPr>
        <w:t xml:space="preserve">قَالَ : « لَا ، وَإِنْ كَثُرَ فَلَا بَأْسَ </w:t>
      </w:r>
      <w:r w:rsidRPr="007C12DB">
        <w:rPr>
          <w:rStyle w:val="libFootnotenumChar"/>
          <w:rtl/>
        </w:rPr>
        <w:t>(2)</w:t>
      </w:r>
      <w:r w:rsidRPr="005D642E">
        <w:rPr>
          <w:rtl/>
          <w:lang w:bidi="fa-IR"/>
        </w:rPr>
        <w:t xml:space="preserve"> أَيْضاً بِشِبْهِهِ مِنَ الرُّعَافِ </w:t>
      </w:r>
      <w:r w:rsidRPr="007C12DB">
        <w:rPr>
          <w:rStyle w:val="libFootnotenumChar"/>
          <w:rtl/>
        </w:rPr>
        <w:t>(3)</w:t>
      </w:r>
      <w:r w:rsidRPr="005D642E">
        <w:rPr>
          <w:rtl/>
          <w:lang w:bidi="fa-IR"/>
        </w:rPr>
        <w:t xml:space="preserve"> يَنْضَحُهُ </w:t>
      </w:r>
      <w:r w:rsidRPr="007C12DB">
        <w:rPr>
          <w:rStyle w:val="libFootnotenumChar"/>
          <w:rtl/>
        </w:rPr>
        <w:t>(4)</w:t>
      </w:r>
      <w:r w:rsidRPr="005D642E">
        <w:rPr>
          <w:rtl/>
          <w:lang w:bidi="fa-IR"/>
        </w:rPr>
        <w:t xml:space="preserve"> وَلَايَغْسِلُهُ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B1722D">
        <w:rPr>
          <w:rtl/>
        </w:rPr>
        <w:t>4094</w:t>
      </w:r>
      <w:r w:rsidRPr="00246318">
        <w:rPr>
          <w:rStyle w:val="libBold2Char"/>
          <w:rtl/>
        </w:rPr>
        <w:t xml:space="preserve"> / 9.</w:t>
      </w:r>
      <w:r w:rsidRPr="005D642E">
        <w:rPr>
          <w:rtl/>
          <w:lang w:bidi="fa-IR"/>
        </w:rPr>
        <w:t xml:space="preserve"> وَرُوِيَ أَيْضاً : « أَنَّهُ لَايُغْسَلُ بِالرِّيقِ شَيْ‌ءٌ </w:t>
      </w:r>
      <w:r w:rsidRPr="007C12DB">
        <w:rPr>
          <w:rStyle w:val="libFootnotenumChar"/>
          <w:rtl/>
        </w:rPr>
        <w:t>(6)</w:t>
      </w:r>
      <w:r w:rsidR="006A3FE9">
        <w:rPr>
          <w:rtl/>
          <w:lang w:bidi="fa-IR"/>
        </w:rPr>
        <w:t xml:space="preserve"> إِل</w:t>
      </w:r>
      <w:r w:rsidR="006A3FE9">
        <w:rPr>
          <w:rFonts w:hint="cs"/>
          <w:rtl/>
          <w:lang w:bidi="fa-IR"/>
        </w:rPr>
        <w:t>َّ</w:t>
      </w:r>
      <w:r w:rsidR="006A3FE9">
        <w:rPr>
          <w:rtl/>
          <w:lang w:bidi="fa-IR"/>
        </w:rPr>
        <w:t>ا</w:t>
      </w:r>
      <w:r w:rsidRPr="005D642E">
        <w:rPr>
          <w:rtl/>
          <w:lang w:bidi="fa-IR"/>
        </w:rPr>
        <w:t xml:space="preserve"> الدَّمُ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7036BB">
      <w:pPr>
        <w:pStyle w:val="libFootnote0"/>
        <w:rPr>
          <w:rtl/>
          <w:lang w:bidi="fa-IR"/>
        </w:rPr>
      </w:pPr>
      <w:r w:rsidRPr="0042621E">
        <w:rPr>
          <w:rStyle w:val="libFootnote0Char"/>
          <w:rtl/>
        </w:rPr>
        <w:t>(1).</w:t>
      </w:r>
      <w:r w:rsidR="00E3253D">
        <w:rPr>
          <w:rtl/>
        </w:rPr>
        <w:t xml:space="preserve"> </w:t>
      </w:r>
      <w:r w:rsidR="00E3253D" w:rsidRPr="005D642E">
        <w:rPr>
          <w:rtl/>
        </w:rPr>
        <w:t xml:space="preserve">راجع : </w:t>
      </w:r>
      <w:r w:rsidR="00E3253D" w:rsidRPr="002F4D34">
        <w:rPr>
          <w:rStyle w:val="libFootnoteBoldChar"/>
          <w:rtl/>
        </w:rPr>
        <w:t>التهذيب</w:t>
      </w:r>
      <w:r w:rsidR="00E3253D" w:rsidRPr="005D642E">
        <w:rPr>
          <w:rtl/>
        </w:rPr>
        <w:t xml:space="preserve"> ، ج 1 ، ص 256 ، ح 742 ؛ </w:t>
      </w:r>
      <w:r w:rsidR="00E3253D" w:rsidRPr="00E678B5">
        <w:rPr>
          <w:rStyle w:val="libFootnoteBoldChar"/>
          <w:rtl/>
        </w:rPr>
        <w:t>والاستبصار</w:t>
      </w:r>
      <w:r w:rsidR="00E3253D" w:rsidRPr="005D642E">
        <w:rPr>
          <w:rtl/>
        </w:rPr>
        <w:t xml:space="preserve"> ، ج 1 ، ص 176 ، ح 612 </w:t>
      </w:r>
      <w:r w:rsidR="00307C52">
        <w:rPr>
          <w:rFonts w:hint="cs"/>
          <w:rtl/>
        </w:rPr>
        <w:t>.</w:t>
      </w:r>
      <w:r w:rsidR="00E3253D" w:rsidRPr="002F4D34">
        <w:rPr>
          <w:rStyle w:val="libFootnoteBoldChar"/>
          <w:rtl/>
        </w:rPr>
        <w:t>الوافي</w:t>
      </w:r>
      <w:r w:rsidR="007036BB">
        <w:rPr>
          <w:rtl/>
        </w:rPr>
        <w:t>،ج 6،ص 188،ح 4070</w:t>
      </w:r>
      <w:r w:rsidR="00E3253D" w:rsidRPr="005D642E">
        <w:rPr>
          <w:rtl/>
        </w:rPr>
        <w:t>؛</w:t>
      </w:r>
      <w:r w:rsidR="00E3253D" w:rsidRPr="002F4D34">
        <w:rPr>
          <w:rStyle w:val="libFootnoteBoldChar"/>
          <w:rtl/>
        </w:rPr>
        <w:t>الوسائل</w:t>
      </w:r>
      <w:r w:rsidR="007036BB">
        <w:rPr>
          <w:rtl/>
        </w:rPr>
        <w:t>،ج 3،ص 432،</w:t>
      </w:r>
      <w:r w:rsidR="00E3253D" w:rsidRPr="005D642E">
        <w:rPr>
          <w:rtl/>
        </w:rPr>
        <w:t>ح 4080.</w:t>
      </w:r>
      <w:r w:rsidR="007036BB">
        <w:rPr>
          <w:rFonts w:hint="cs"/>
          <w:rtl/>
        </w:rPr>
        <w:t xml:space="preserve">   </w:t>
      </w:r>
      <w:r w:rsidRPr="0042621E">
        <w:rPr>
          <w:rStyle w:val="libFootnote0Char"/>
          <w:rtl/>
        </w:rPr>
        <w:t>(2).</w:t>
      </w:r>
      <w:r w:rsidR="00E3253D" w:rsidRPr="005D642E">
        <w:rPr>
          <w:rtl/>
        </w:rPr>
        <w:t xml:space="preserve"> في الوافي </w:t>
      </w:r>
      <w:r w:rsidR="00B60612" w:rsidRPr="00B60612">
        <w:rPr>
          <w:rStyle w:val="libFootnoteBoldChar"/>
          <w:rtl/>
        </w:rPr>
        <w:t>والتهذيب</w:t>
      </w:r>
      <w:r w:rsidR="007036BB">
        <w:rPr>
          <w:rtl/>
        </w:rPr>
        <w:t xml:space="preserve"> ، ص 259 : «ولا بأس</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الرُعاف » : خروج الدم من الأنف ، وقيل : هو الدم نفسه ، يقال : رعف يرعف من بابي قتل ونفع ، والضمّ لغة : خرج الدم من أنفه ، ويقال : رعف أنفه ، إذا سال رُعافه. راجع : </w:t>
      </w:r>
      <w:r w:rsidR="00E3253D" w:rsidRPr="002F4D34">
        <w:rPr>
          <w:rStyle w:val="libFootnoteBoldChar"/>
          <w:rtl/>
        </w:rPr>
        <w:t>الصحاح</w:t>
      </w:r>
      <w:r w:rsidR="00E3253D" w:rsidRPr="005D642E">
        <w:rPr>
          <w:rtl/>
        </w:rPr>
        <w:t xml:space="preserve"> ، ج 4 ، ص 1365 ؛ </w:t>
      </w:r>
      <w:r w:rsidR="00E3253D" w:rsidRPr="002F4D34">
        <w:rPr>
          <w:rStyle w:val="libFootnoteBoldChar"/>
          <w:rtl/>
        </w:rPr>
        <w:t>المغرب</w:t>
      </w:r>
      <w:r w:rsidR="00E3253D" w:rsidRPr="005D642E">
        <w:rPr>
          <w:rtl/>
        </w:rPr>
        <w:t xml:space="preserve"> ، ص 191 ؛ </w:t>
      </w:r>
      <w:r w:rsidR="00E3253D" w:rsidRPr="002F4D34">
        <w:rPr>
          <w:rStyle w:val="libFootnoteBoldChar"/>
          <w:rtl/>
        </w:rPr>
        <w:t>المصباح المنير</w:t>
      </w:r>
      <w:r w:rsidR="00E3253D" w:rsidRPr="005D642E">
        <w:rPr>
          <w:rtl/>
        </w:rPr>
        <w:t xml:space="preserve"> ، ص 230 ( رعف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307C52">
        <w:rPr>
          <w:rStyle w:val="libFootnoteAlaemChar"/>
          <w:rtl/>
        </w:rPr>
        <w:t>عليه‌السلام</w:t>
      </w:r>
      <w:r w:rsidR="00E3253D" w:rsidRPr="005D642E">
        <w:rPr>
          <w:rtl/>
        </w:rPr>
        <w:t xml:space="preserve"> : ينضحه ، قال الوالد </w:t>
      </w:r>
      <w:r w:rsidR="00E3253D" w:rsidRPr="00826FF3">
        <w:rPr>
          <w:rStyle w:val="libFootnoteAlaemChar"/>
          <w:rtl/>
        </w:rPr>
        <w:t>رحمه‌الله</w:t>
      </w:r>
      <w:r w:rsidR="00E3253D" w:rsidRPr="005D642E">
        <w:rPr>
          <w:rtl/>
        </w:rPr>
        <w:t xml:space="preserve"> : صفة للرعاف ، أي يكون الرعاف متفرّقاً ولا يوجد فيه مقدار درهم مجتمعاً ، ويحتمل أن يكون مبنيّاً على طهارة الدم القليل مثل رأس الإبر ، كما قال به بعض العلماء ويكون معفوّاً ، انتهى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259 ، ح 753 ، بسنده عن ابن سنان. </w:t>
      </w:r>
      <w:r w:rsidR="00E3253D" w:rsidRPr="002F4D34">
        <w:rPr>
          <w:rStyle w:val="libFootnoteBoldChar"/>
          <w:rtl/>
        </w:rPr>
        <w:t>وفيه</w:t>
      </w:r>
      <w:r w:rsidR="00E3253D" w:rsidRPr="005D642E">
        <w:rPr>
          <w:rtl/>
        </w:rPr>
        <w:t xml:space="preserve"> ، ص 255 ، صدر ح 740 ؛ </w:t>
      </w:r>
      <w:r w:rsidR="00E3253D" w:rsidRPr="00E678B5">
        <w:rPr>
          <w:rStyle w:val="libFootnoteBoldChar"/>
          <w:rtl/>
        </w:rPr>
        <w:t>والاستبصار</w:t>
      </w:r>
      <w:r w:rsidR="00E3253D" w:rsidRPr="005D642E">
        <w:rPr>
          <w:rtl/>
        </w:rPr>
        <w:t xml:space="preserve"> ، ج 1 ، ص 176 ، صدر ح 611 ، بسند آخر ، إلى قوله : « وإن كثر » مع اختلاف. راجع : </w:t>
      </w:r>
      <w:r w:rsidR="00E3253D" w:rsidRPr="002F4D34">
        <w:rPr>
          <w:rStyle w:val="libFootnoteBoldChar"/>
          <w:rtl/>
        </w:rPr>
        <w:t>التهذيب</w:t>
      </w:r>
      <w:r w:rsidR="00E3253D" w:rsidRPr="005D642E">
        <w:rPr>
          <w:rtl/>
        </w:rPr>
        <w:t xml:space="preserve"> ، ج 1 ، ص 266 ، ح 65 ؛ </w:t>
      </w:r>
      <w:r w:rsidR="00E3253D" w:rsidRPr="00E678B5">
        <w:rPr>
          <w:rStyle w:val="libFootnoteBoldChar"/>
          <w:rtl/>
        </w:rPr>
        <w:t>والاستبصار</w:t>
      </w:r>
      <w:r w:rsidR="00E3253D" w:rsidRPr="005D642E">
        <w:rPr>
          <w:rtl/>
        </w:rPr>
        <w:t xml:space="preserve"> ، ج 1 ، ص 188 ، ح 659 ؛ و</w:t>
      </w:r>
      <w:r w:rsidR="00E3253D" w:rsidRPr="002F4D34">
        <w:rPr>
          <w:rStyle w:val="libFootnoteBoldChar"/>
          <w:rtl/>
        </w:rPr>
        <w:t>فقه الرضا</w:t>
      </w:r>
      <w:r w:rsidR="00E3253D" w:rsidRPr="005D642E">
        <w:rPr>
          <w:rtl/>
        </w:rPr>
        <w:t xml:space="preserve"> </w:t>
      </w:r>
      <w:r w:rsidR="00E3253D" w:rsidRPr="0008138F">
        <w:rPr>
          <w:rStyle w:val="libFootnoteAlaemChar"/>
          <w:rtl/>
        </w:rPr>
        <w:t>عليه‌السلام</w:t>
      </w:r>
      <w:r w:rsidR="00E3253D" w:rsidRPr="005D642E">
        <w:rPr>
          <w:rtl/>
        </w:rPr>
        <w:t xml:space="preserve"> ، ص 303 ؛ و</w:t>
      </w:r>
      <w:r w:rsidR="00E3253D" w:rsidRPr="002F4D34">
        <w:rPr>
          <w:rStyle w:val="libFootnoteBoldChar"/>
          <w:rtl/>
        </w:rPr>
        <w:t>المقنعة</w:t>
      </w:r>
      <w:r w:rsidR="00E3253D" w:rsidRPr="005D642E">
        <w:rPr>
          <w:rtl/>
        </w:rPr>
        <w:t xml:space="preserve"> ، ص 69 </w:t>
      </w:r>
      <w:r w:rsidR="0008138F">
        <w:rPr>
          <w:rFonts w:hint="cs"/>
          <w:rtl/>
        </w:rPr>
        <w:t>.</w:t>
      </w:r>
      <w:r w:rsidR="00E3253D" w:rsidRPr="002F4D34">
        <w:rPr>
          <w:rStyle w:val="libFootnoteBoldChar"/>
          <w:rtl/>
        </w:rPr>
        <w:t>الوافي</w:t>
      </w:r>
      <w:r w:rsidR="00E3253D" w:rsidRPr="005D642E">
        <w:rPr>
          <w:rtl/>
        </w:rPr>
        <w:t xml:space="preserve"> ، ج 6 ، ص 185 ، ح 4063 ؛ </w:t>
      </w:r>
      <w:r w:rsidR="00E3253D" w:rsidRPr="002F4D34">
        <w:rPr>
          <w:rStyle w:val="libFootnoteBoldChar"/>
          <w:rtl/>
        </w:rPr>
        <w:t>الوسائل</w:t>
      </w:r>
      <w:r w:rsidR="00E3253D" w:rsidRPr="005D642E">
        <w:rPr>
          <w:rtl/>
        </w:rPr>
        <w:t xml:space="preserve"> ، ج 3 ، ص 431 ، ح 4077.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لعلّ المراد بالشي‌ء القذر لما يأتي من جواز غسل الشي‌ءبالبزاق ، يعني الشي‌ء الغير القذر. وربّما يحمل جواز إزالة الدم بالبزاق أيضاً بما إذا كان على الشي‌ء الصقيل الذي لا ينفذ فيه كالسيف </w:t>
      </w:r>
      <w:r w:rsidR="000D749A" w:rsidRPr="000D749A">
        <w:rPr>
          <w:rStyle w:val="libFootnoteBoldChar"/>
          <w:rtl/>
        </w:rPr>
        <w:t>والمرآة</w:t>
      </w:r>
      <w:r w:rsidR="00E3253D" w:rsidRPr="005D642E">
        <w:rPr>
          <w:rtl/>
        </w:rPr>
        <w:t xml:space="preserve"> ، ولم نجد فيه رواية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168 : « يمكن حمله على الدم الخارج في داخل الفم ؛ فإنّه يطهّر الفم بزوال عينه ، فكأنّ الريق طهّره ، أو على ما كان أقّل من الدرهم فتكون الإزالة لتقليل النجاسة لا للتطهير</w:t>
      </w:r>
      <w:r w:rsidR="00E3253D">
        <w:rPr>
          <w:rtl/>
        </w:rPr>
        <w:t xml:space="preserve"> ..</w:t>
      </w:r>
      <w:r w:rsidR="0008138F">
        <w:rPr>
          <w:rtl/>
        </w:rPr>
        <w:t>. وحمل العل</w:t>
      </w:r>
      <w:r w:rsidR="0008138F">
        <w:rPr>
          <w:rFonts w:hint="cs"/>
          <w:rtl/>
        </w:rPr>
        <w:t>ّ</w:t>
      </w:r>
      <w:r w:rsidR="0008138F">
        <w:rPr>
          <w:rtl/>
        </w:rPr>
        <w:t>ا</w:t>
      </w:r>
      <w:r w:rsidR="00E3253D" w:rsidRPr="005D642E">
        <w:rPr>
          <w:rtl/>
        </w:rPr>
        <w:t xml:space="preserve">مة </w:t>
      </w:r>
      <w:r w:rsidR="00E3253D" w:rsidRPr="0008138F">
        <w:rPr>
          <w:rStyle w:val="libFootnoteAlaemChar"/>
          <w:rtl/>
        </w:rPr>
        <w:t>قدس‌سره</w:t>
      </w:r>
      <w:r w:rsidR="00E3253D" w:rsidRPr="005D642E">
        <w:rPr>
          <w:rtl/>
        </w:rPr>
        <w:t xml:space="preserve"> هذا الخبر على الدم الطاهر كدم السمك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423 ، ح 1339 ، بسنده عن أبي عبدالله ، عن أبيه </w:t>
      </w:r>
      <w:r w:rsidR="00E3253D" w:rsidRPr="00826FF3">
        <w:rPr>
          <w:rStyle w:val="libFootnoteAlaemChar"/>
          <w:rtl/>
        </w:rPr>
        <w:t>عليهما‌السلام</w:t>
      </w:r>
      <w:r w:rsidR="00E3253D" w:rsidRPr="005D642E">
        <w:rPr>
          <w:rtl/>
        </w:rPr>
        <w:t xml:space="preserve"> ، وتمام الرواية فيه : « لايغسل بالبزاق شي‌ء غير الدّم » </w:t>
      </w:r>
      <w:r w:rsidR="007D1B1A">
        <w:rPr>
          <w:rFonts w:hint="cs"/>
          <w:rtl/>
        </w:rPr>
        <w:t>.</w:t>
      </w:r>
      <w:r w:rsidR="00E3253D" w:rsidRPr="002F4D34">
        <w:rPr>
          <w:rStyle w:val="libFootnoteBoldChar"/>
          <w:rtl/>
        </w:rPr>
        <w:t>الوافي</w:t>
      </w:r>
      <w:r w:rsidR="00E3253D" w:rsidRPr="005D642E">
        <w:rPr>
          <w:rtl/>
        </w:rPr>
        <w:t xml:space="preserve"> ، ج 6 ، ص 186 ، ح 4064 ؛ </w:t>
      </w:r>
      <w:r w:rsidR="00E3253D" w:rsidRPr="002F4D34">
        <w:rPr>
          <w:rStyle w:val="libFootnoteBoldChar"/>
          <w:rtl/>
        </w:rPr>
        <w:t>الوسائل</w:t>
      </w:r>
      <w:r w:rsidR="00E3253D" w:rsidRPr="005D642E">
        <w:rPr>
          <w:rtl/>
        </w:rPr>
        <w:t xml:space="preserve"> ، ج 1 ، ص 205 ، ح 526.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B1722D">
        <w:rPr>
          <w:rtl/>
        </w:rPr>
        <w:lastRenderedPageBreak/>
        <w:t>4095</w:t>
      </w:r>
      <w:r w:rsidRPr="00246318">
        <w:rPr>
          <w:rStyle w:val="libBold2Char"/>
          <w:rtl/>
        </w:rPr>
        <w:t xml:space="preserve"> / 10.</w:t>
      </w:r>
      <w:r w:rsidRPr="005D642E">
        <w:rPr>
          <w:rtl/>
          <w:lang w:bidi="fa-IR"/>
        </w:rPr>
        <w:t xml:space="preserve"> عَلِيُّ بْنُ مُحَمَّدٍ ، عَنْ سَهْلِ بْنِ زِيَادٍ ، عَنْ مُحَمَّدِ بْنِ الرَّيَّانِ ، قَالَ :</w:t>
      </w:r>
    </w:p>
    <w:p w:rsidR="00E3253D" w:rsidRPr="005D642E" w:rsidRDefault="00E3253D" w:rsidP="00E3253D">
      <w:pPr>
        <w:pStyle w:val="libNormal"/>
        <w:rPr>
          <w:rtl/>
          <w:lang w:bidi="fa-IR"/>
        </w:rPr>
      </w:pPr>
      <w:r w:rsidRPr="005D642E">
        <w:rPr>
          <w:rtl/>
          <w:lang w:bidi="fa-IR"/>
        </w:rPr>
        <w:t xml:space="preserve">كَتَبْتُ إِلَى الرَّجُلِ </w:t>
      </w:r>
      <w:r w:rsidRPr="00AC51C5">
        <w:rPr>
          <w:rStyle w:val="libAlaemChar"/>
          <w:rtl/>
        </w:rPr>
        <w:t>عليه‌السلام</w:t>
      </w:r>
      <w:r w:rsidRPr="005D642E">
        <w:rPr>
          <w:rtl/>
          <w:lang w:bidi="fa-IR"/>
        </w:rPr>
        <w:t xml:space="preserve"> : هَلْ يَجْرِي دَمُ الْبَقِّ </w:t>
      </w:r>
      <w:r w:rsidRPr="007C12DB">
        <w:rPr>
          <w:rStyle w:val="libFootnotenumChar"/>
          <w:rtl/>
        </w:rPr>
        <w:t>(1)</w:t>
      </w:r>
      <w:r w:rsidRPr="005D642E">
        <w:rPr>
          <w:rtl/>
          <w:lang w:bidi="fa-IR"/>
        </w:rPr>
        <w:t xml:space="preserve"> مَجْرى دَمِ الْبَرَاغِيثِ </w:t>
      </w:r>
      <w:r w:rsidRPr="007C12DB">
        <w:rPr>
          <w:rStyle w:val="libFootnotenumChar"/>
          <w:rtl/>
        </w:rPr>
        <w:t>(2)</w:t>
      </w:r>
      <w:r>
        <w:rPr>
          <w:rtl/>
          <w:lang w:bidi="fa-IR"/>
        </w:rPr>
        <w:t>؟</w:t>
      </w:r>
      <w:r w:rsidRPr="005D642E">
        <w:rPr>
          <w:rtl/>
          <w:lang w:bidi="fa-IR"/>
        </w:rPr>
        <w:t xml:space="preserve"> وَهَلْ يَجُوزُ لِأَحَدٍ أَنْ يَقِيسَ بِدَمِ الْبَقِّ عَلَى الْبَرَاغِيثِ ، فَيُصَلِّيَ فِيهِ ، وَأَنْ يَقِيسَ عَلى نَحْوِ هذَا ، فَيَعْمَلَ بِهِ</w:t>
      </w:r>
      <w:r>
        <w:rPr>
          <w:rtl/>
          <w:lang w:bidi="fa-IR"/>
        </w:rPr>
        <w:t>؟</w:t>
      </w:r>
    </w:p>
    <w:p w:rsidR="00E3253D" w:rsidRPr="005D642E" w:rsidRDefault="00E3253D" w:rsidP="00E3253D">
      <w:pPr>
        <w:pStyle w:val="libNormal"/>
        <w:rPr>
          <w:rtl/>
          <w:lang w:bidi="fa-IR"/>
        </w:rPr>
      </w:pPr>
      <w:r w:rsidRPr="005D642E">
        <w:rPr>
          <w:rtl/>
          <w:lang w:bidi="fa-IR"/>
        </w:rPr>
        <w:t xml:space="preserve">فَوَقَّعَ </w:t>
      </w:r>
      <w:r w:rsidRPr="00AC51C5">
        <w:rPr>
          <w:rStyle w:val="libAlaemChar"/>
          <w:rtl/>
        </w:rPr>
        <w:t>عليه‌السلام</w:t>
      </w:r>
      <w:r w:rsidRPr="005D642E">
        <w:rPr>
          <w:rtl/>
          <w:lang w:bidi="fa-IR"/>
        </w:rPr>
        <w:t xml:space="preserve"> : « يَجُوزُ </w:t>
      </w:r>
      <w:r w:rsidRPr="007C12DB">
        <w:rPr>
          <w:rStyle w:val="libFootnotenumChar"/>
          <w:rtl/>
        </w:rPr>
        <w:t>(3)</w:t>
      </w:r>
      <w:r w:rsidRPr="005D642E">
        <w:rPr>
          <w:rtl/>
          <w:lang w:bidi="fa-IR"/>
        </w:rPr>
        <w:t xml:space="preserve"> الصَّلَاةُ </w:t>
      </w:r>
      <w:r w:rsidRPr="007C12DB">
        <w:rPr>
          <w:rStyle w:val="libFootnotenumChar"/>
          <w:rtl/>
        </w:rPr>
        <w:t>(4)</w:t>
      </w:r>
      <w:r w:rsidRPr="005D642E">
        <w:rPr>
          <w:rtl/>
          <w:lang w:bidi="fa-IR"/>
        </w:rPr>
        <w:t xml:space="preserve"> ، وَالطُّهْرُ مِنْهُ أَفْضَلُ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Default="00E3253D" w:rsidP="00E3253D">
      <w:pPr>
        <w:pStyle w:val="Heading2Center"/>
        <w:rPr>
          <w:rtl/>
          <w:lang w:bidi="fa-IR"/>
        </w:rPr>
      </w:pPr>
      <w:bookmarkStart w:id="141" w:name="_Toc344647257"/>
      <w:bookmarkStart w:id="142" w:name="_Toc462226772"/>
      <w:bookmarkStart w:id="143" w:name="_Toc40975880"/>
      <w:r w:rsidRPr="005D642E">
        <w:rPr>
          <w:rtl/>
          <w:lang w:bidi="fa-IR"/>
        </w:rPr>
        <w:t>39</w:t>
      </w:r>
      <w:r>
        <w:rPr>
          <w:rtl/>
          <w:lang w:bidi="fa-IR"/>
        </w:rPr>
        <w:t xml:space="preserve"> </w:t>
      </w:r>
      <w:r w:rsidR="007642BC">
        <w:rPr>
          <w:rtl/>
          <w:lang w:bidi="fa-IR"/>
        </w:rPr>
        <w:t>-</w:t>
      </w:r>
      <w:r>
        <w:rPr>
          <w:rtl/>
          <w:lang w:bidi="fa-IR"/>
        </w:rPr>
        <w:t xml:space="preserve"> </w:t>
      </w:r>
      <w:r w:rsidRPr="005D642E">
        <w:rPr>
          <w:rtl/>
          <w:lang w:bidi="fa-IR"/>
        </w:rPr>
        <w:t xml:space="preserve">بَابُ الْكَلْبِ يُصِيبُ الثَّوْبَ وَالْجَسَدَ </w:t>
      </w:r>
      <w:r w:rsidRPr="007C12DB">
        <w:rPr>
          <w:rStyle w:val="libFootnotenumChar"/>
          <w:rtl/>
        </w:rPr>
        <w:t>(7)</w:t>
      </w:r>
      <w:r>
        <w:rPr>
          <w:rtl/>
        </w:rPr>
        <w:t xml:space="preserve"> </w:t>
      </w:r>
      <w:r w:rsidRPr="005D642E">
        <w:rPr>
          <w:rtl/>
          <w:lang w:bidi="fa-IR"/>
        </w:rPr>
        <w:t>وَغَيْرَهُ</w:t>
      </w:r>
      <w:bookmarkEnd w:id="141"/>
      <w:bookmarkEnd w:id="142"/>
      <w:bookmarkEnd w:id="143"/>
      <w:r w:rsidRPr="005D642E">
        <w:rPr>
          <w:rtl/>
          <w:lang w:bidi="fa-IR"/>
        </w:rPr>
        <w:t xml:space="preserve"> </w:t>
      </w:r>
    </w:p>
    <w:p w:rsidR="00E3253D" w:rsidRDefault="00E3253D" w:rsidP="00E3253D">
      <w:pPr>
        <w:pStyle w:val="Heading2Center"/>
        <w:rPr>
          <w:rtl/>
          <w:lang w:bidi="fa-IR"/>
        </w:rPr>
      </w:pPr>
      <w:bookmarkStart w:id="144" w:name="_Toc344647258"/>
      <w:bookmarkStart w:id="145" w:name="_Toc462226773"/>
      <w:bookmarkStart w:id="146" w:name="_Toc40975881"/>
      <w:r w:rsidRPr="005D642E">
        <w:rPr>
          <w:rtl/>
          <w:lang w:bidi="fa-IR"/>
        </w:rPr>
        <w:t xml:space="preserve">مِمَّا يُكْرَهُ أَنْ يُمَسَّ شَيْ‌ءٌ مِنْهُ </w:t>
      </w:r>
      <w:r w:rsidRPr="007C12DB">
        <w:rPr>
          <w:rStyle w:val="libFootnotenumChar"/>
          <w:rtl/>
        </w:rPr>
        <w:t>(8)</w:t>
      </w:r>
      <w:bookmarkEnd w:id="144"/>
      <w:bookmarkEnd w:id="145"/>
      <w:bookmarkEnd w:id="146"/>
      <w:r w:rsidRPr="005D642E">
        <w:rPr>
          <w:rtl/>
          <w:lang w:bidi="fa-IR"/>
        </w:rPr>
        <w:t xml:space="preserve"> </w:t>
      </w:r>
    </w:p>
    <w:p w:rsidR="00E3253D" w:rsidRPr="00B1722D" w:rsidRDefault="00E3253D" w:rsidP="00E3253D">
      <w:pPr>
        <w:pStyle w:val="libNormal"/>
        <w:rPr>
          <w:rtl/>
        </w:rPr>
      </w:pPr>
      <w:r w:rsidRPr="00B1722D">
        <w:rPr>
          <w:rtl/>
        </w:rPr>
        <w:t xml:space="preserve">‌4096 / 1. عَلِيُّ بْنُ إِبْرَاهِيمَ ، عَنْ أَبِيهِ ، عَنْ حَمَّادِ بْنِ عِيسى ، عَنْ حَرِيزٍ ، عَنْ مُحَمَّدٍ ، </w:t>
      </w:r>
      <w:r w:rsidRPr="007C12DB">
        <w:rPr>
          <w:rStyle w:val="libFootnotenumChar"/>
          <w:rtl/>
        </w:rPr>
        <w:t>(9)</w:t>
      </w:r>
      <w:r w:rsidRPr="00B1722D">
        <w:rPr>
          <w:rtl/>
        </w:rPr>
        <w:t xml:space="preserve"> عَمَّنْ أَخْبَرَهُ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 + « عليه »</w:t>
      </w:r>
      <w:r w:rsidR="00E3253D">
        <w:rPr>
          <w:rtl/>
        </w:rPr>
        <w:t>.</w:t>
      </w:r>
      <w:r w:rsidR="00E3253D" w:rsidRPr="005D642E">
        <w:rPr>
          <w:rtl/>
        </w:rPr>
        <w:t xml:space="preserve"> </w:t>
      </w:r>
      <w:r w:rsidR="00E3253D">
        <w:rPr>
          <w:rtl/>
        </w:rPr>
        <w:t>و «</w:t>
      </w:r>
      <w:r w:rsidR="00E3253D" w:rsidRPr="005D642E">
        <w:rPr>
          <w:rtl/>
        </w:rPr>
        <w:t xml:space="preserve"> البَقُّ » : البعوض ، جمع ، واحدته البقّة. وقيل : هي عظام البعوض. ويقال : البقّ : الدارج في حيطان البيوت. وقيل : هي دويبّة مثل القملة حمراء منتنة الريح تكون في السُرُر والجُدُر ، وهي التي يقال لها : بنات الحصير إذا قتلتها شممت لها رائحة اللَوْز المرّ. راجع : </w:t>
      </w:r>
      <w:r w:rsidR="00E3253D" w:rsidRPr="002F4D34">
        <w:rPr>
          <w:rStyle w:val="libFootnoteBoldChar"/>
          <w:rtl/>
        </w:rPr>
        <w:t>الصحاح</w:t>
      </w:r>
      <w:r w:rsidR="00E3253D" w:rsidRPr="005D642E">
        <w:rPr>
          <w:rtl/>
        </w:rPr>
        <w:t xml:space="preserve"> ، ج 4 ، ص 1451 ؛ </w:t>
      </w:r>
      <w:r w:rsidR="00E3253D" w:rsidRPr="002F4D34">
        <w:rPr>
          <w:rStyle w:val="libFootnoteBoldChar"/>
          <w:rtl/>
        </w:rPr>
        <w:t>لسان العرب</w:t>
      </w:r>
      <w:r w:rsidR="00E3253D" w:rsidRPr="005D642E">
        <w:rPr>
          <w:rtl/>
        </w:rPr>
        <w:t xml:space="preserve"> ، ج 10 ، ص 23 ( بقق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دم »</w:t>
      </w:r>
      <w:r w:rsidR="00E3253D">
        <w:rPr>
          <w:rtl/>
        </w:rPr>
        <w:t>.</w:t>
      </w:r>
      <w:r w:rsidR="00E3253D" w:rsidRPr="005D642E">
        <w:rPr>
          <w:rtl/>
        </w:rPr>
        <w:t xml:space="preserve"> </w:t>
      </w:r>
      <w:r w:rsidR="00E3253D">
        <w:rPr>
          <w:rtl/>
        </w:rPr>
        <w:t>و «</w:t>
      </w:r>
      <w:r w:rsidR="00E3253D" w:rsidRPr="005D642E">
        <w:rPr>
          <w:rtl/>
        </w:rPr>
        <w:t xml:space="preserve"> البَراغيث » : جمع البُرغُوث ، وهي دُويبّة سوداء صغيرة تثب وَثباناً. وقيل : هي دويبّة شبه الحُرْقُوص ، والحُرْقوص : دويبّة مُجزَّعة</w:t>
      </w:r>
      <w:r w:rsidR="00E3253D">
        <w:rPr>
          <w:rtl/>
        </w:rPr>
        <w:t xml:space="preserve"> </w:t>
      </w:r>
      <w:r w:rsidR="007642BC">
        <w:rPr>
          <w:rtl/>
        </w:rPr>
        <w:t>-</w:t>
      </w:r>
      <w:r w:rsidR="00E3253D">
        <w:rPr>
          <w:rtl/>
        </w:rPr>
        <w:t xml:space="preserve"> </w:t>
      </w:r>
      <w:r w:rsidR="00E3253D" w:rsidRPr="005D642E">
        <w:rPr>
          <w:rtl/>
        </w:rPr>
        <w:t>أي فيه سواد وبياض</w:t>
      </w:r>
      <w:r w:rsidR="00E3253D">
        <w:rPr>
          <w:rtl/>
        </w:rPr>
        <w:t xml:space="preserve"> </w:t>
      </w:r>
      <w:r w:rsidR="007642BC">
        <w:rPr>
          <w:rtl/>
        </w:rPr>
        <w:t>-</w:t>
      </w:r>
      <w:r w:rsidR="00E3253D">
        <w:rPr>
          <w:rtl/>
        </w:rPr>
        <w:t xml:space="preserve"> </w:t>
      </w:r>
      <w:r w:rsidR="00E3253D" w:rsidRPr="005D642E">
        <w:rPr>
          <w:rtl/>
        </w:rPr>
        <w:t>لها حُمَة ، أي إبرة</w:t>
      </w:r>
      <w:r w:rsidR="00E3253D">
        <w:rPr>
          <w:rtl/>
        </w:rPr>
        <w:t xml:space="preserve"> </w:t>
      </w:r>
      <w:r w:rsidR="007642BC">
        <w:rPr>
          <w:rtl/>
        </w:rPr>
        <w:t>-</w:t>
      </w:r>
      <w:r w:rsidR="00E3253D">
        <w:rPr>
          <w:rtl/>
        </w:rPr>
        <w:t xml:space="preserve"> </w:t>
      </w:r>
      <w:r w:rsidR="00E3253D" w:rsidRPr="005D642E">
        <w:rPr>
          <w:rtl/>
        </w:rPr>
        <w:t xml:space="preserve">كحُمة الزنبور تلدغ ، تشبه أطراف السياط. راجع : </w:t>
      </w:r>
      <w:r w:rsidR="00E3253D" w:rsidRPr="002F4D34">
        <w:rPr>
          <w:rStyle w:val="libFootnoteBoldChar"/>
          <w:rtl/>
        </w:rPr>
        <w:t>ترتيب كتاب العين</w:t>
      </w:r>
      <w:r w:rsidR="00E3253D" w:rsidRPr="005D642E">
        <w:rPr>
          <w:rtl/>
        </w:rPr>
        <w:t xml:space="preserve"> ، ج 1 ، ص 153 ؛ </w:t>
      </w:r>
      <w:r w:rsidR="00E3253D" w:rsidRPr="002F4D34">
        <w:rPr>
          <w:rStyle w:val="libFootnoteBoldChar"/>
          <w:rtl/>
        </w:rPr>
        <w:t>لسان العرب</w:t>
      </w:r>
      <w:r w:rsidR="00E3253D" w:rsidRPr="005D642E">
        <w:rPr>
          <w:rtl/>
        </w:rPr>
        <w:t xml:space="preserve"> ، ج 2 ، ص 116 ( برغث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بح ، جح ، جن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تجوز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 + « فيه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قال الفاضل التستري </w:t>
      </w:r>
      <w:r w:rsidR="00E3253D" w:rsidRPr="007E7CA0">
        <w:rPr>
          <w:rStyle w:val="libFootnoteAlaemChar"/>
          <w:rtl/>
        </w:rPr>
        <w:t>رحمه‌الله</w:t>
      </w:r>
      <w:r w:rsidR="00E3253D" w:rsidRPr="005D642E">
        <w:rPr>
          <w:rtl/>
        </w:rPr>
        <w:t xml:space="preserve"> : ليس في هذه الأخبار دلالة على الطهارة والنجاسة ، فإن كان الأصل في الدم مطلقاً النجاسة ولا أتحقّقه ، لم يمكن الخروج منه بمجرّد هذه الأخبار ؛ لاحتمالها بمجرّد العفو ، وإن كان الأصل الطهارة وعدم وجوب الاجتناب مطلقاً ، فهذه تصلح تأييداً »</w:t>
      </w:r>
      <w:r w:rsidR="00E3253D">
        <w:rPr>
          <w:rtl/>
        </w:rPr>
        <w:t>.</w:t>
      </w:r>
    </w:p>
    <w:p w:rsidR="00E3253D" w:rsidRPr="005D642E" w:rsidRDefault="0042621E" w:rsidP="007E7CA0">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260 ، ح 754 ، بسنده عن الكليني </w:t>
      </w:r>
      <w:r w:rsidR="007E7CA0">
        <w:rPr>
          <w:rFonts w:hint="cs"/>
          <w:rtl/>
        </w:rPr>
        <w:t>.</w:t>
      </w:r>
      <w:r w:rsidR="00E3253D" w:rsidRPr="002F4D34">
        <w:rPr>
          <w:rStyle w:val="libFootnoteBoldChar"/>
          <w:rtl/>
        </w:rPr>
        <w:t>الوافي</w:t>
      </w:r>
      <w:r w:rsidR="00E3253D" w:rsidRPr="005D642E">
        <w:rPr>
          <w:rtl/>
        </w:rPr>
        <w:t xml:space="preserve"> ، ج 6 ، ص 187 ، ح 4068 ؛ </w:t>
      </w:r>
      <w:r w:rsidR="00E3253D" w:rsidRPr="002F4D34">
        <w:rPr>
          <w:rStyle w:val="libFootnoteBoldChar"/>
          <w:rtl/>
        </w:rPr>
        <w:t>الوسائل</w:t>
      </w:r>
      <w:r w:rsidR="00E3253D" w:rsidRPr="005D642E">
        <w:rPr>
          <w:rtl/>
        </w:rPr>
        <w:t xml:space="preserve"> ، ج 3 ، ص 436 ، ح 4091.</w:t>
      </w:r>
      <w:r w:rsidR="007E7CA0">
        <w:rPr>
          <w:rFonts w:hint="cs"/>
          <w:rtl/>
        </w:rPr>
        <w:t xml:space="preserve">                  </w:t>
      </w:r>
      <w:r w:rsidRPr="0042621E">
        <w:rPr>
          <w:rStyle w:val="libFootnote0Char"/>
          <w:rtl/>
        </w:rPr>
        <w:t>(7).</w:t>
      </w:r>
      <w:r w:rsidR="00E3253D" w:rsidRPr="005D642E">
        <w:rPr>
          <w:rtl/>
        </w:rPr>
        <w:t xml:space="preserve"> في « غ ، بث ، بح » : « أو الجسد »</w:t>
      </w:r>
      <w:r w:rsidR="00E3253D">
        <w:rPr>
          <w:rtl/>
        </w:rPr>
        <w:t>.</w:t>
      </w:r>
    </w:p>
    <w:tbl>
      <w:tblPr>
        <w:tblStyle w:val="TableGrid"/>
        <w:bidiVisual/>
        <w:tblW w:w="0" w:type="auto"/>
        <w:tblLook w:val="04A0" w:firstRow="1" w:lastRow="0" w:firstColumn="1" w:lastColumn="0" w:noHBand="0" w:noVBand="1"/>
      </w:tblPr>
      <w:tblGrid>
        <w:gridCol w:w="4006"/>
        <w:gridCol w:w="4006"/>
      </w:tblGrid>
      <w:tr w:rsidR="007E7CA0" w:rsidTr="007E7CA0">
        <w:tc>
          <w:tcPr>
            <w:tcW w:w="4006" w:type="dxa"/>
          </w:tcPr>
          <w:p w:rsidR="007E7CA0" w:rsidRDefault="007E7CA0" w:rsidP="00E3253D">
            <w:pPr>
              <w:pStyle w:val="libFootnote0"/>
              <w:rPr>
                <w:rStyle w:val="libFootnote0Char"/>
                <w:rtl/>
                <w:lang w:bidi="fa-IR"/>
              </w:rPr>
            </w:pPr>
            <w:r w:rsidRPr="0042621E">
              <w:rPr>
                <w:rStyle w:val="libFootnote0Char"/>
                <w:rtl/>
              </w:rPr>
              <w:t>(8).</w:t>
            </w:r>
            <w:r w:rsidRPr="005D642E">
              <w:rPr>
                <w:rtl/>
              </w:rPr>
              <w:t xml:space="preserve"> في « ظ » : « فيه »</w:t>
            </w:r>
            <w:r>
              <w:rPr>
                <w:rtl/>
              </w:rPr>
              <w:t>.</w:t>
            </w:r>
          </w:p>
        </w:tc>
        <w:tc>
          <w:tcPr>
            <w:tcW w:w="4006" w:type="dxa"/>
          </w:tcPr>
          <w:p w:rsidR="007E7CA0" w:rsidRDefault="007E7CA0" w:rsidP="00E3253D">
            <w:pPr>
              <w:pStyle w:val="libFootnote0"/>
              <w:rPr>
                <w:rStyle w:val="libFootnote0Char"/>
                <w:rtl/>
                <w:lang w:bidi="fa-IR"/>
              </w:rPr>
            </w:pPr>
            <w:r w:rsidRPr="0042621E">
              <w:rPr>
                <w:rStyle w:val="libFootnote0Char"/>
                <w:rtl/>
              </w:rPr>
              <w:t>(9).</w:t>
            </w:r>
            <w:r w:rsidRPr="005D642E">
              <w:rPr>
                <w:rtl/>
              </w:rPr>
              <w:t xml:space="preserve"> في « بخ ، بف » </w:t>
            </w:r>
            <w:r w:rsidRPr="000D749A">
              <w:rPr>
                <w:rStyle w:val="libFootnoteBoldChar"/>
                <w:rtl/>
              </w:rPr>
              <w:t>والوافي</w:t>
            </w:r>
            <w:r w:rsidRPr="005D642E">
              <w:rPr>
                <w:rtl/>
              </w:rPr>
              <w:t xml:space="preserve"> :</w:t>
            </w:r>
            <w:r>
              <w:rPr>
                <w:rtl/>
              </w:rPr>
              <w:t xml:space="preserve"> - </w:t>
            </w:r>
            <w:r w:rsidRPr="005D642E">
              <w:rPr>
                <w:rtl/>
              </w:rPr>
              <w:t>« عن محمّد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 إِذَا مَسَّ ثَوْبَكَ الْكَلْبُ ، فَإِنْ </w:t>
      </w:r>
      <w:r w:rsidRPr="007C12DB">
        <w:rPr>
          <w:rStyle w:val="libFootnotenumChar"/>
          <w:rtl/>
        </w:rPr>
        <w:t>(1)</w:t>
      </w:r>
      <w:r w:rsidRPr="005D642E">
        <w:rPr>
          <w:rtl/>
          <w:lang w:bidi="fa-IR"/>
        </w:rPr>
        <w:t xml:space="preserve"> كَانَ يَابِساً ، فَانْضَحْهُ ؛ وَإِنْ كَانَ رَطْباً ، فَاغْسِلْهُ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F406C4">
        <w:rPr>
          <w:rtl/>
        </w:rPr>
        <w:t>4097</w:t>
      </w:r>
      <w:r w:rsidRPr="00246318">
        <w:rPr>
          <w:rStyle w:val="libBold2Char"/>
          <w:rtl/>
        </w:rPr>
        <w:t xml:space="preserve"> / 2.</w:t>
      </w:r>
      <w:r w:rsidRPr="005D642E">
        <w:rPr>
          <w:rtl/>
          <w:lang w:bidi="fa-IR"/>
        </w:rPr>
        <w:t xml:space="preserve"> حَمَّادُ بْنُ عِيسى </w:t>
      </w:r>
      <w:r w:rsidRPr="007C12DB">
        <w:rPr>
          <w:rStyle w:val="libFootnotenumChar"/>
          <w:rtl/>
        </w:rPr>
        <w:t>(3)</w:t>
      </w:r>
      <w:r w:rsidRPr="005D642E">
        <w:rPr>
          <w:rtl/>
          <w:lang w:bidi="fa-IR"/>
        </w:rPr>
        <w:t xml:space="preserve"> ، عَنْ حَرِيزٍ ، عَنْ مُحَمَّدِ بْنِ مُسْلِمٍ </w:t>
      </w:r>
      <w:r w:rsidRPr="007C12DB">
        <w:rPr>
          <w:rStyle w:val="libFootnotenumChar"/>
          <w:rtl/>
        </w:rPr>
        <w:t>(4)</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الْكَلْبِ يُصِيبُ شَيْئاً مِنْ جَسَدِ الرَّجُلِ</w:t>
      </w:r>
      <w:r>
        <w:rPr>
          <w:rtl/>
          <w:lang w:bidi="fa-IR"/>
        </w:rPr>
        <w:t>؟</w:t>
      </w:r>
    </w:p>
    <w:p w:rsidR="00E3253D" w:rsidRPr="005D642E" w:rsidRDefault="00E3253D" w:rsidP="00E3253D">
      <w:pPr>
        <w:pStyle w:val="libNormal"/>
        <w:rPr>
          <w:rtl/>
          <w:lang w:bidi="fa-IR"/>
        </w:rPr>
      </w:pPr>
      <w:r w:rsidRPr="005D642E">
        <w:rPr>
          <w:rtl/>
          <w:lang w:bidi="fa-IR"/>
        </w:rPr>
        <w:t xml:space="preserve">قَالَ : « يَغْسِلُ الْمَكَانَ الَّذِي أَصَابَهُ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F406C4">
        <w:rPr>
          <w:rtl/>
        </w:rPr>
        <w:t>4098</w:t>
      </w:r>
      <w:r w:rsidRPr="00246318">
        <w:rPr>
          <w:rStyle w:val="libBold2Char"/>
          <w:rtl/>
        </w:rPr>
        <w:t xml:space="preserve"> / 3.</w:t>
      </w:r>
      <w:r w:rsidRPr="005D642E">
        <w:rPr>
          <w:rtl/>
          <w:lang w:bidi="fa-IR"/>
        </w:rPr>
        <w:t xml:space="preserve"> مُحَمَّدُ بْنُ يَحْيى ، عَنِ الْعَمْرَكِيِّ بْنِ عَلِيٍّ النَّيْسَابُورِيِّ </w:t>
      </w:r>
      <w:r w:rsidRPr="007C12DB">
        <w:rPr>
          <w:rStyle w:val="libFootnotenumChar"/>
          <w:rtl/>
        </w:rPr>
        <w:t>(7)</w:t>
      </w:r>
      <w:r w:rsidRPr="005D642E">
        <w:rPr>
          <w:rtl/>
          <w:lang w:bidi="fa-IR"/>
        </w:rPr>
        <w:t xml:space="preserve"> ، عَنْ عَلِيِّ بْنِ جَعْفَرٍ :</w:t>
      </w:r>
    </w:p>
    <w:p w:rsidR="00E3253D" w:rsidRPr="005D642E" w:rsidRDefault="00E3253D" w:rsidP="00E3253D">
      <w:pPr>
        <w:pStyle w:val="libNormal"/>
        <w:rPr>
          <w:rtl/>
          <w:lang w:bidi="fa-IR"/>
        </w:rPr>
      </w:pPr>
      <w:r w:rsidRPr="005D642E">
        <w:rPr>
          <w:rtl/>
          <w:lang w:bidi="fa-IR"/>
        </w:rPr>
        <w:t xml:space="preserve">عَنْ أَخِيهِ مُوسَى </w:t>
      </w:r>
      <w:r w:rsidRPr="00AC51C5">
        <w:rPr>
          <w:rStyle w:val="libAlaemChar"/>
          <w:rtl/>
        </w:rPr>
        <w:t>عليه‌السلام</w:t>
      </w:r>
      <w:r w:rsidRPr="005D642E">
        <w:rPr>
          <w:rtl/>
          <w:lang w:bidi="fa-IR"/>
        </w:rPr>
        <w:t xml:space="preserve"> ، قَالَ : سَأَلْتُهُ عَنِ الْفَأْرَةِ الرَّطْبَةِ قَدْ وَقَعَتْ فِي الْمَاء</w:t>
      </w:r>
      <w:r>
        <w:rPr>
          <w:rtl/>
          <w:lang w:bidi="fa-IR"/>
        </w:rPr>
        <w:t>ِ تَمْشِي عَلَى الثِّيَابِ : أَ</w:t>
      </w:r>
      <w:r w:rsidRPr="005D642E">
        <w:rPr>
          <w:rtl/>
          <w:lang w:bidi="fa-IR"/>
        </w:rPr>
        <w:t>يُصَلّى فِيهَا</w:t>
      </w:r>
      <w:r>
        <w:rPr>
          <w:rtl/>
          <w:lang w:bidi="fa-IR"/>
        </w:rPr>
        <w:t>؟</w:t>
      </w:r>
    </w:p>
    <w:p w:rsidR="00E3253D" w:rsidRPr="005D642E" w:rsidRDefault="00E3253D" w:rsidP="00E3253D">
      <w:pPr>
        <w:pStyle w:val="libNormal"/>
        <w:rPr>
          <w:rtl/>
          <w:lang w:bidi="fa-IR"/>
        </w:rPr>
      </w:pPr>
      <w:r w:rsidRPr="005D642E">
        <w:rPr>
          <w:rtl/>
          <w:lang w:bidi="fa-IR"/>
        </w:rPr>
        <w:t xml:space="preserve">قَالَ : « اغْسِلْ مَا رَأَيْتَ مِنْ أَثَرِهَا </w:t>
      </w:r>
      <w:r w:rsidRPr="007C12DB">
        <w:rPr>
          <w:rStyle w:val="libFootnotenumChar"/>
          <w:rtl/>
        </w:rPr>
        <w:t>(8)</w:t>
      </w:r>
      <w:r w:rsidRPr="005D642E">
        <w:rPr>
          <w:rtl/>
          <w:lang w:bidi="fa-IR"/>
        </w:rPr>
        <w:t xml:space="preserve"> ، وَمَا لَمْ تَرَهُ </w:t>
      </w:r>
      <w:r w:rsidRPr="007C12DB">
        <w:rPr>
          <w:rStyle w:val="libFootnotenumChar"/>
          <w:rtl/>
        </w:rPr>
        <w:t>(9)</w:t>
      </w:r>
      <w:r w:rsidRPr="005D642E">
        <w:rPr>
          <w:rtl/>
          <w:lang w:bidi="fa-IR"/>
        </w:rPr>
        <w:t xml:space="preserve"> فَانْضَحْهُ بِالْمَاءِ </w:t>
      </w:r>
      <w:r w:rsidRPr="007C12DB">
        <w:rPr>
          <w:rStyle w:val="libFootnotenumChar"/>
          <w:rtl/>
        </w:rPr>
        <w:t>(10)</w:t>
      </w:r>
      <w:r w:rsidRPr="005D642E">
        <w:rPr>
          <w:rtl/>
          <w:lang w:bidi="fa-IR"/>
        </w:rPr>
        <w:t xml:space="preserve"> »</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وإن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260 ، ح 756 ، بسنده عن حمّاد ، عن حريز ، عمّن أخبره ، عن أبي عبدالله </w:t>
      </w:r>
      <w:r w:rsidR="00E3253D" w:rsidRPr="00B22DAB">
        <w:rPr>
          <w:rStyle w:val="libFootnoteAlaemChar"/>
          <w:rtl/>
        </w:rPr>
        <w:t>عليه‌السلام</w:t>
      </w:r>
      <w:r w:rsidR="00E3253D" w:rsidRPr="005D642E">
        <w:rPr>
          <w:rtl/>
        </w:rPr>
        <w:t xml:space="preserve">. </w:t>
      </w:r>
      <w:r w:rsidR="00E3253D" w:rsidRPr="002F4D34">
        <w:rPr>
          <w:rStyle w:val="libFootnoteBoldChar"/>
          <w:rtl/>
        </w:rPr>
        <w:t>وفيه</w:t>
      </w:r>
      <w:r w:rsidR="00E3253D" w:rsidRPr="005D642E">
        <w:rPr>
          <w:rtl/>
        </w:rPr>
        <w:t xml:space="preserve"> ، ح 757 ، بسند آخر ، مع اختلاف يسير </w:t>
      </w:r>
      <w:r w:rsidR="00B22DAB">
        <w:rPr>
          <w:rFonts w:hint="cs"/>
          <w:rtl/>
        </w:rPr>
        <w:t>.</w:t>
      </w:r>
      <w:r w:rsidR="00E3253D" w:rsidRPr="002F4D34">
        <w:rPr>
          <w:rStyle w:val="libFootnoteBoldChar"/>
          <w:rtl/>
        </w:rPr>
        <w:t>الوافي</w:t>
      </w:r>
      <w:r w:rsidR="00E3253D" w:rsidRPr="005D642E">
        <w:rPr>
          <w:rtl/>
        </w:rPr>
        <w:t xml:space="preserve"> ، ج 6 ، ص 201 ، ح 4105 ؛ </w:t>
      </w:r>
      <w:r w:rsidR="00E3253D" w:rsidRPr="002F4D34">
        <w:rPr>
          <w:rStyle w:val="libFootnoteBoldChar"/>
          <w:rtl/>
        </w:rPr>
        <w:t>الوسائل</w:t>
      </w:r>
      <w:r w:rsidR="00E3253D" w:rsidRPr="005D642E">
        <w:rPr>
          <w:rtl/>
        </w:rPr>
        <w:t xml:space="preserve"> ، ج 3 ، ص 441 ، ذيل ح 4109.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السند معلّق على سابقه. ويروي عن حمّاد بن عيسى ، عليّ بن إبراهيم ، عن أبيه.</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 ص 262 :</w:t>
      </w:r>
      <w:r w:rsidR="00E3253D">
        <w:rPr>
          <w:rtl/>
        </w:rPr>
        <w:t xml:space="preserve"> </w:t>
      </w:r>
      <w:r w:rsidR="007642BC">
        <w:rPr>
          <w:rtl/>
        </w:rPr>
        <w:t>-</w:t>
      </w:r>
      <w:r w:rsidR="00E3253D">
        <w:rPr>
          <w:rtl/>
        </w:rPr>
        <w:t xml:space="preserve"> </w:t>
      </w:r>
      <w:r w:rsidR="00E3253D" w:rsidRPr="005D642E">
        <w:rPr>
          <w:rtl/>
        </w:rPr>
        <w:t>« عن محمّد بن مسلم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الوافي</w:t>
      </w:r>
      <w:r w:rsidR="00E3253D" w:rsidRPr="005D642E">
        <w:rPr>
          <w:rtl/>
        </w:rPr>
        <w:t xml:space="preserve"> : « لعلّ المراد إذا أصابه برطوبة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23 ، ح 61 ؛ وص 260 ، ح 758 ؛ وص 262 ، ح 762 ؛ </w:t>
      </w:r>
      <w:r w:rsidR="00E3253D" w:rsidRPr="00E678B5">
        <w:rPr>
          <w:rStyle w:val="libFootnoteBoldChar"/>
          <w:rtl/>
        </w:rPr>
        <w:t>والاستبصار</w:t>
      </w:r>
      <w:r w:rsidR="00E3253D" w:rsidRPr="005D642E">
        <w:rPr>
          <w:rtl/>
        </w:rPr>
        <w:t xml:space="preserve"> ، ج 1 ، ص 90 ، ح 290 ، بسند آخر عن حمّاد ، عن حريز </w:t>
      </w:r>
      <w:r w:rsidR="00B22DAB">
        <w:rPr>
          <w:rFonts w:hint="cs"/>
          <w:rtl/>
        </w:rPr>
        <w:t>.</w:t>
      </w:r>
      <w:r w:rsidR="00E3253D" w:rsidRPr="002F4D34">
        <w:rPr>
          <w:rStyle w:val="libFootnoteBoldChar"/>
          <w:rtl/>
        </w:rPr>
        <w:t>الوافي</w:t>
      </w:r>
      <w:r w:rsidR="00E3253D" w:rsidRPr="005D642E">
        <w:rPr>
          <w:rtl/>
        </w:rPr>
        <w:t xml:space="preserve"> ، ج 6 ، ص 201 ، ح 4107 ؛ </w:t>
      </w:r>
      <w:r w:rsidR="00E3253D" w:rsidRPr="002F4D34">
        <w:rPr>
          <w:rStyle w:val="libFootnoteBoldChar"/>
          <w:rtl/>
        </w:rPr>
        <w:t>الوسائل</w:t>
      </w:r>
      <w:r w:rsidR="00E3253D" w:rsidRPr="005D642E">
        <w:rPr>
          <w:rtl/>
        </w:rPr>
        <w:t xml:space="preserve"> ، ج 3 ، ص 416 ، ح 4032.</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جح ، جن » : « النيشابوري »</w:t>
      </w:r>
      <w:r w:rsidR="00E3253D">
        <w:rPr>
          <w:rtl/>
        </w:rPr>
        <w:t>.</w:t>
      </w:r>
    </w:p>
    <w:p w:rsidR="00E3253D" w:rsidRPr="005D642E" w:rsidRDefault="0042621E" w:rsidP="00723B51">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ج 13 ، ص 169 : « ذهب الشيخ في </w:t>
      </w:r>
      <w:r w:rsidR="00E3253D" w:rsidRPr="002F4D34">
        <w:rPr>
          <w:rStyle w:val="libFootnoteBoldChar"/>
          <w:rtl/>
        </w:rPr>
        <w:t>النهاية</w:t>
      </w:r>
      <w:r w:rsidR="00E3253D" w:rsidRPr="005D642E">
        <w:rPr>
          <w:rtl/>
        </w:rPr>
        <w:t xml:space="preserve"> والمفيد رحمهما الله إلى نجاسة الفأرة والوزغة ، واستدلّ لهم في الفأرة بهذا الخبر ، وفي الوزغة بالأخبار الواردة بالنزح ، والمشهور بين الأصحاب الطهارة ، وحملوا الأخبار على الاستحباب »</w:t>
      </w:r>
      <w:r w:rsidR="00E3253D">
        <w:rPr>
          <w:rtl/>
        </w:rPr>
        <w:t>.</w:t>
      </w:r>
      <w:r w:rsidR="00723B51">
        <w:rPr>
          <w:rFonts w:hint="cs"/>
          <w:rtl/>
        </w:rPr>
        <w:t xml:space="preserve">                                    </w:t>
      </w:r>
      <w:r w:rsidRPr="0042621E">
        <w:rPr>
          <w:rStyle w:val="libFootnote0Char"/>
          <w:rtl/>
        </w:rPr>
        <w:t>(9).</w:t>
      </w:r>
      <w:r w:rsidR="00E3253D" w:rsidRPr="005D642E">
        <w:rPr>
          <w:rtl/>
        </w:rPr>
        <w:t xml:space="preserve"> في « بف » : « وما لم‌تر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 ج 1 : + « وفي رواية أبي قتادة ، عن عليّ بن جعفر : والكلب مثل ذلك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261 ، ح 761 ، بثلاثة طرق ، أحدها بالإسناد عن الكليني. </w:t>
      </w:r>
      <w:r w:rsidR="00E3253D" w:rsidRPr="002F4D34">
        <w:rPr>
          <w:rStyle w:val="libFootnoteBoldChar"/>
          <w:rtl/>
        </w:rPr>
        <w:t>وفيه</w:t>
      </w:r>
      <w:r w:rsidR="00E3253D" w:rsidRPr="005D642E">
        <w:rPr>
          <w:rtl/>
        </w:rPr>
        <w:t xml:space="preserve"> ، ج 2 ، ص 366 ، ح 1522 ؛ </w:t>
      </w:r>
      <w:r w:rsidR="00E3253D" w:rsidRPr="003B3913">
        <w:rPr>
          <w:rStyle w:val="libFootnoteBoldChar"/>
          <w:rtl/>
        </w:rPr>
        <w:t>وقرب الإسناد</w:t>
      </w:r>
      <w:r w:rsidR="00E3253D" w:rsidRPr="005D642E">
        <w:rPr>
          <w:rtl/>
        </w:rPr>
        <w:t xml:space="preserve"> ، ص 192 ، ح 722 ، بسند آخر عن عليّ بن جعفر ، مع اختلاف يسير </w:t>
      </w:r>
      <w:r w:rsidR="00723B51">
        <w:rPr>
          <w:rFonts w:hint="cs"/>
          <w:rtl/>
        </w:rPr>
        <w:t>.</w:t>
      </w:r>
      <w:r w:rsidR="00E3253D" w:rsidRPr="002F4D34">
        <w:rPr>
          <w:rStyle w:val="libFootnoteBoldChar"/>
          <w:rtl/>
        </w:rPr>
        <w:t>الوافي</w:t>
      </w:r>
      <w:r w:rsidR="00E3253D" w:rsidRPr="005D642E">
        <w:rPr>
          <w:rtl/>
        </w:rPr>
        <w:t xml:space="preserve"> ، ج 6 ، ص 206 ، ح 4121 ؛ </w:t>
      </w:r>
      <w:r w:rsidR="00E3253D" w:rsidRPr="002F4D34">
        <w:rPr>
          <w:rStyle w:val="libFootnoteBoldChar"/>
          <w:rtl/>
        </w:rPr>
        <w:t>الوسائل</w:t>
      </w:r>
      <w:r w:rsidR="00E3253D" w:rsidRPr="005D642E">
        <w:rPr>
          <w:rtl/>
        </w:rPr>
        <w:t xml:space="preserve"> ، ج 3 ، ص 460 ، ذيل ح 4177.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F406C4">
        <w:rPr>
          <w:rtl/>
        </w:rPr>
        <w:lastRenderedPageBreak/>
        <w:t>4099</w:t>
      </w:r>
      <w:r w:rsidRPr="00246318">
        <w:rPr>
          <w:rStyle w:val="libBold2Char"/>
          <w:rtl/>
        </w:rPr>
        <w:t xml:space="preserve"> / 4.</w:t>
      </w:r>
      <w:r w:rsidRPr="005D642E">
        <w:rPr>
          <w:rtl/>
          <w:lang w:bidi="fa-IR"/>
        </w:rPr>
        <w:t xml:space="preserve"> عَلِيُّ بْنُ إِبْرَاهِيمَ ، عَنْ مُحَمَّدِ بْنِ عِيسى ، عَنْ يُونُسَ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 هَلْ يَحِلُّ </w:t>
      </w:r>
      <w:r w:rsidRPr="007C12DB">
        <w:rPr>
          <w:rStyle w:val="libFootnotenumChar"/>
          <w:rtl/>
        </w:rPr>
        <w:t>(1)</w:t>
      </w:r>
      <w:r w:rsidRPr="005D642E">
        <w:rPr>
          <w:rtl/>
          <w:lang w:bidi="fa-IR"/>
        </w:rPr>
        <w:t xml:space="preserve"> أَنْ يَمَسَّ </w:t>
      </w:r>
      <w:r w:rsidRPr="007C12DB">
        <w:rPr>
          <w:rStyle w:val="libFootnotenumChar"/>
          <w:rtl/>
        </w:rPr>
        <w:t>(2)</w:t>
      </w:r>
      <w:r w:rsidRPr="005D642E">
        <w:rPr>
          <w:rtl/>
          <w:lang w:bidi="fa-IR"/>
        </w:rPr>
        <w:t xml:space="preserve"> الثَّعْلَبَ وَالْأَرْنَبَ ، أَوْ شَيْئاً </w:t>
      </w:r>
      <w:r w:rsidRPr="007C12DB">
        <w:rPr>
          <w:rStyle w:val="libFootnotenumChar"/>
          <w:rtl/>
        </w:rPr>
        <w:t>(3)</w:t>
      </w:r>
      <w:r w:rsidRPr="005D642E">
        <w:rPr>
          <w:rtl/>
          <w:lang w:bidi="fa-IR"/>
        </w:rPr>
        <w:t xml:space="preserve"> مِنَ السِّبَاعِ ، حَيّاً أَوْ مَيِّتاً</w:t>
      </w:r>
      <w:r>
        <w:rPr>
          <w:rtl/>
          <w:lang w:bidi="fa-IR"/>
        </w:rPr>
        <w:t>؟</w:t>
      </w:r>
    </w:p>
    <w:p w:rsidR="00E3253D" w:rsidRPr="005D642E" w:rsidRDefault="00E3253D" w:rsidP="00E3253D">
      <w:pPr>
        <w:pStyle w:val="libNormal"/>
        <w:rPr>
          <w:rtl/>
          <w:lang w:bidi="fa-IR"/>
        </w:rPr>
      </w:pPr>
      <w:r w:rsidRPr="005D642E">
        <w:rPr>
          <w:rtl/>
          <w:lang w:bidi="fa-IR"/>
        </w:rPr>
        <w:t xml:space="preserve">قَالَ : « لَا يَضُرُّهُ ، وَلكِنْ </w:t>
      </w:r>
      <w:r w:rsidRPr="007C12DB">
        <w:rPr>
          <w:rStyle w:val="libFootnotenumChar"/>
          <w:rtl/>
        </w:rPr>
        <w:t>(4)</w:t>
      </w:r>
      <w:r w:rsidRPr="005D642E">
        <w:rPr>
          <w:rtl/>
          <w:lang w:bidi="fa-IR"/>
        </w:rPr>
        <w:t xml:space="preserve"> يَغْسِلُ يَدَهُ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w:t>
      </w:r>
    </w:p>
    <w:p w:rsidR="00E3253D" w:rsidRPr="005D642E" w:rsidRDefault="00E3253D" w:rsidP="00E3253D">
      <w:pPr>
        <w:pStyle w:val="libNormal"/>
        <w:rPr>
          <w:rtl/>
          <w:lang w:bidi="fa-IR"/>
        </w:rPr>
      </w:pPr>
      <w:r w:rsidRPr="00F406C4">
        <w:rPr>
          <w:rtl/>
        </w:rPr>
        <w:t>4100</w:t>
      </w:r>
      <w:r w:rsidRPr="00246318">
        <w:rPr>
          <w:rStyle w:val="libBold2Char"/>
          <w:rtl/>
        </w:rPr>
        <w:t xml:space="preserve"> / 5.</w:t>
      </w:r>
      <w:r w:rsidRPr="005D642E">
        <w:rPr>
          <w:rtl/>
          <w:lang w:bidi="fa-IR"/>
        </w:rPr>
        <w:t xml:space="preserve"> مُحَمَّدُ بْنُ يَحْيى ، عَنْ أَحْمَدَ بْنِ مُحَمَّدٍ ، عَنِ ابْنِ مَحْبُوبٍ ، عَنِ ابْنِ رِئَابٍ ، عَنْ إِبْرَاهِيمَ بْنِ مَيْمُونٍ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رَجُلٍ </w:t>
      </w:r>
      <w:r w:rsidRPr="007C12DB">
        <w:rPr>
          <w:rStyle w:val="libFootnotenumChar"/>
          <w:rtl/>
        </w:rPr>
        <w:t>(7)</w:t>
      </w:r>
      <w:r w:rsidRPr="005D642E">
        <w:rPr>
          <w:rtl/>
          <w:lang w:bidi="fa-IR"/>
        </w:rPr>
        <w:t xml:space="preserve"> يَقَعُ </w:t>
      </w:r>
      <w:r w:rsidRPr="007C12DB">
        <w:rPr>
          <w:rStyle w:val="libFootnotenumChar"/>
          <w:rtl/>
        </w:rPr>
        <w:t>(8)</w:t>
      </w:r>
      <w:r w:rsidRPr="005D642E">
        <w:rPr>
          <w:rtl/>
          <w:lang w:bidi="fa-IR"/>
        </w:rPr>
        <w:t xml:space="preserve"> ثَوْبُهُ عَلى جَسَدِ الْمَيِّتِ</w:t>
      </w:r>
      <w:r>
        <w:rPr>
          <w:rtl/>
          <w:lang w:bidi="fa-IR"/>
        </w:rPr>
        <w:t>؟</w:t>
      </w:r>
    </w:p>
    <w:p w:rsidR="00E3253D" w:rsidRPr="005D642E" w:rsidRDefault="00E3253D" w:rsidP="00482729">
      <w:pPr>
        <w:pStyle w:val="libNormal"/>
        <w:rPr>
          <w:rtl/>
          <w:lang w:bidi="fa-IR"/>
        </w:rPr>
      </w:pPr>
      <w:r w:rsidRPr="005D642E">
        <w:rPr>
          <w:rtl/>
          <w:lang w:bidi="fa-IR"/>
        </w:rPr>
        <w:t xml:space="preserve">قَالَ : « إِنْ كَانَ غُسِّلَ ، فَلَا تَغْسِلْ </w:t>
      </w:r>
      <w:r w:rsidRPr="007C12DB">
        <w:rPr>
          <w:rStyle w:val="libFootnotenumChar"/>
          <w:rtl/>
        </w:rPr>
        <w:t>(9)</w:t>
      </w:r>
      <w:r w:rsidRPr="005D642E">
        <w:rPr>
          <w:rtl/>
          <w:lang w:bidi="fa-IR"/>
        </w:rPr>
        <w:t xml:space="preserve"> مَا أَصَابَ ثَوْبَكَ مِنْهُ ، وَإِنْ </w:t>
      </w:r>
      <w:r w:rsidRPr="007C12DB">
        <w:rPr>
          <w:rStyle w:val="libFootnotenumChar"/>
          <w:rtl/>
        </w:rPr>
        <w:t>(10)</w:t>
      </w:r>
      <w:r w:rsidRPr="005D642E">
        <w:rPr>
          <w:rtl/>
          <w:lang w:bidi="fa-IR"/>
        </w:rPr>
        <w:t xml:space="preserve"> كَانَ لَمْ يُغَسَّلْ ، فَاغْسِلْ مَا أَصَابَ ثَوْبَكَ مِنْهُ » يَعْنِي إِذَا بَرَدَ الْمَيِّتُ </w:t>
      </w:r>
      <w:r w:rsidRPr="007C12DB">
        <w:rPr>
          <w:rStyle w:val="libFootnotenumChar"/>
          <w:rtl/>
        </w:rPr>
        <w:t>(11)</w:t>
      </w:r>
      <w:r w:rsidR="007813E6">
        <w:rPr>
          <w:rFonts w:hint="cs"/>
          <w:rtl/>
          <w:lang w:bidi="fa-IR"/>
        </w:rPr>
        <w:t>.</w:t>
      </w:r>
      <w:r w:rsidRPr="007C12DB">
        <w:rPr>
          <w:rStyle w:val="libFootnotenumChar"/>
          <w:rtl/>
        </w:rPr>
        <w:t>(12)</w:t>
      </w:r>
      <w:r w:rsidRPr="005D642E">
        <w:rPr>
          <w:rtl/>
          <w:lang w:bidi="fa-IR"/>
        </w:rPr>
        <w:t>‌</w:t>
      </w:r>
    </w:p>
    <w:p w:rsidR="00E3253D" w:rsidRPr="005D642E" w:rsidRDefault="00E3253D" w:rsidP="00E3253D">
      <w:pPr>
        <w:pStyle w:val="libNormal"/>
        <w:rPr>
          <w:rtl/>
          <w:lang w:bidi="fa-IR"/>
        </w:rPr>
      </w:pPr>
      <w:r w:rsidRPr="00F406C4">
        <w:rPr>
          <w:rtl/>
        </w:rPr>
        <w:t>4101</w:t>
      </w:r>
      <w:r w:rsidRPr="00246318">
        <w:rPr>
          <w:rStyle w:val="libBold2Char"/>
          <w:rtl/>
        </w:rPr>
        <w:t xml:space="preserve"> / 6.</w:t>
      </w:r>
      <w:r w:rsidRPr="005D642E">
        <w:rPr>
          <w:rtl/>
          <w:lang w:bidi="fa-IR"/>
        </w:rPr>
        <w:t xml:space="preserve"> مُحَمَّدُ بْنُ يَحْيى ، عَنِ الْعَمْرَكِيِّ بْنِ عَلِيٍّ ، عَنْ عَلِيِّ بْنِ جَعْفَرٍ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بث ، جح » وحاشية « بح ، جن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هل يجوز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أن تمسّ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جن » : « أو شي‌ء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 « لكن » بدون الواو.</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482729">
        <w:rPr>
          <w:rStyle w:val="libFootnoteAlaemChar"/>
          <w:rtl/>
        </w:rPr>
        <w:t>عليه‌السلام</w:t>
      </w:r>
      <w:r w:rsidR="00E3253D" w:rsidRPr="005D642E">
        <w:rPr>
          <w:rtl/>
        </w:rPr>
        <w:t xml:space="preserve"> : ولكن يغسل يده ، أي وجوباً في بعض الموارد واستحباباً في بعضها »</w:t>
      </w:r>
      <w:r w:rsidR="00E3253D">
        <w:rPr>
          <w:rtl/>
        </w:rPr>
        <w:t>.</w:t>
      </w:r>
    </w:p>
    <w:p w:rsidR="00E3253D" w:rsidRPr="005D642E" w:rsidRDefault="0042621E" w:rsidP="00482729">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262 ، ح 763 ؛ وص 277 ، ح 806 ، بسندهما عن محمّد بن عيسى</w:t>
      </w:r>
      <w:r w:rsidR="00482729">
        <w:rPr>
          <w:rFonts w:hint="cs"/>
          <w:rtl/>
        </w:rPr>
        <w:t>.</w:t>
      </w:r>
      <w:r w:rsidR="00E3253D" w:rsidRPr="002F4D34">
        <w:rPr>
          <w:rStyle w:val="libFootnoteBoldChar"/>
          <w:rtl/>
        </w:rPr>
        <w:t>الوافي</w:t>
      </w:r>
      <w:r w:rsidR="00E3253D" w:rsidRPr="005D642E">
        <w:rPr>
          <w:rtl/>
        </w:rPr>
        <w:t xml:space="preserve"> ، ج 6 ، ص 207 ، ح 4122 ؛ </w:t>
      </w:r>
      <w:r w:rsidR="00E3253D" w:rsidRPr="002F4D34">
        <w:rPr>
          <w:rStyle w:val="libFootnoteBoldChar"/>
          <w:rtl/>
        </w:rPr>
        <w:t>الوسائل</w:t>
      </w:r>
      <w:r w:rsidR="00E3253D" w:rsidRPr="005D642E">
        <w:rPr>
          <w:rtl/>
        </w:rPr>
        <w:t xml:space="preserve"> ، ج 3 ، ص 300 ، ح 3705 ؛ وص 462 ، ح 4180.</w:t>
      </w:r>
    </w:p>
    <w:tbl>
      <w:tblPr>
        <w:tblStyle w:val="TableGrid"/>
        <w:bidiVisual/>
        <w:tblW w:w="0" w:type="auto"/>
        <w:tblLook w:val="04A0" w:firstRow="1" w:lastRow="0" w:firstColumn="1" w:lastColumn="0" w:noHBand="0" w:noVBand="1"/>
      </w:tblPr>
      <w:tblGrid>
        <w:gridCol w:w="4006"/>
        <w:gridCol w:w="4006"/>
      </w:tblGrid>
      <w:tr w:rsidR="002E18D9" w:rsidTr="002E18D9">
        <w:tc>
          <w:tcPr>
            <w:tcW w:w="4006" w:type="dxa"/>
          </w:tcPr>
          <w:p w:rsidR="002E18D9" w:rsidRDefault="005F5605" w:rsidP="005F5605">
            <w:pPr>
              <w:pStyle w:val="libFootnote0"/>
              <w:rPr>
                <w:rStyle w:val="libFootnote0Char"/>
                <w:rtl/>
              </w:rPr>
            </w:pPr>
            <w:r w:rsidRPr="0042621E">
              <w:rPr>
                <w:rStyle w:val="libFootnote0Char"/>
                <w:rtl/>
              </w:rPr>
              <w:t>(7).</w:t>
            </w:r>
            <w:r w:rsidRPr="005D642E">
              <w:rPr>
                <w:rtl/>
              </w:rPr>
              <w:t xml:space="preserve"> في«ظ»</w:t>
            </w:r>
            <w:r w:rsidRPr="00B60612">
              <w:rPr>
                <w:rStyle w:val="libFootnoteBoldChar"/>
                <w:rtl/>
              </w:rPr>
              <w:t>والتهذيب</w:t>
            </w:r>
            <w:r w:rsidRPr="005D642E">
              <w:rPr>
                <w:rtl/>
              </w:rPr>
              <w:t>،ح811:«</w:t>
            </w:r>
            <w:r>
              <w:rPr>
                <w:rtl/>
              </w:rPr>
              <w:t>عن الرجل</w:t>
            </w:r>
            <w:r w:rsidRPr="005D642E">
              <w:rPr>
                <w:rtl/>
              </w:rPr>
              <w:t>»</w:t>
            </w:r>
            <w:r>
              <w:rPr>
                <w:rtl/>
              </w:rPr>
              <w:t>.</w:t>
            </w:r>
          </w:p>
        </w:tc>
        <w:tc>
          <w:tcPr>
            <w:tcW w:w="4006" w:type="dxa"/>
          </w:tcPr>
          <w:p w:rsidR="002E18D9" w:rsidRDefault="005F5605" w:rsidP="00E3253D">
            <w:pPr>
              <w:pStyle w:val="libFootnote0"/>
              <w:rPr>
                <w:rStyle w:val="libFootnote0Char"/>
                <w:rtl/>
              </w:rPr>
            </w:pPr>
            <w:r w:rsidRPr="0042621E">
              <w:rPr>
                <w:rStyle w:val="libFootnote0Char"/>
                <w:rtl/>
              </w:rPr>
              <w:t>(8).</w:t>
            </w:r>
            <w:r w:rsidRPr="005D642E">
              <w:rPr>
                <w:rtl/>
              </w:rPr>
              <w:t xml:space="preserve"> في الوافي والكافي،ح4423:«طرف»</w:t>
            </w:r>
            <w:r>
              <w:rPr>
                <w:rtl/>
              </w:rPr>
              <w:t>.</w:t>
            </w:r>
          </w:p>
        </w:tc>
      </w:tr>
      <w:tr w:rsidR="002E18D9" w:rsidTr="002E18D9">
        <w:tc>
          <w:tcPr>
            <w:tcW w:w="4006" w:type="dxa"/>
          </w:tcPr>
          <w:p w:rsidR="002E18D9" w:rsidRDefault="005F5605" w:rsidP="00E3253D">
            <w:pPr>
              <w:pStyle w:val="libFootnote0"/>
              <w:rPr>
                <w:rStyle w:val="libFootnote0Char"/>
                <w:rtl/>
              </w:rPr>
            </w:pPr>
            <w:r w:rsidRPr="0042621E">
              <w:rPr>
                <w:rStyle w:val="libFootnote0Char"/>
                <w:rtl/>
              </w:rPr>
              <w:t>(9).</w:t>
            </w:r>
            <w:r w:rsidRPr="005D642E">
              <w:rPr>
                <w:rtl/>
              </w:rPr>
              <w:t xml:space="preserve"> في « جس » : « فلا يغسل »</w:t>
            </w:r>
            <w:r>
              <w:rPr>
                <w:rtl/>
              </w:rPr>
              <w:t>.</w:t>
            </w:r>
          </w:p>
        </w:tc>
        <w:tc>
          <w:tcPr>
            <w:tcW w:w="4006" w:type="dxa"/>
          </w:tcPr>
          <w:p w:rsidR="002E18D9" w:rsidRDefault="005F5605" w:rsidP="00E3253D">
            <w:pPr>
              <w:pStyle w:val="libFootnote0"/>
              <w:rPr>
                <w:rStyle w:val="libFootnote0Char"/>
                <w:rtl/>
              </w:rPr>
            </w:pPr>
            <w:r w:rsidRPr="0042621E">
              <w:rPr>
                <w:rStyle w:val="libFootnote0Char"/>
                <w:rtl/>
              </w:rPr>
              <w:t>(10).</w:t>
            </w:r>
            <w:r w:rsidRPr="005D642E">
              <w:rPr>
                <w:rtl/>
              </w:rPr>
              <w:t xml:space="preserve"> في حاشية « بح » : « فإن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الكافي ، ح 4423 </w:t>
      </w:r>
      <w:r w:rsidR="00B60612" w:rsidRPr="00B60612">
        <w:rPr>
          <w:rStyle w:val="libFootnoteBoldChar"/>
          <w:rtl/>
        </w:rPr>
        <w:t>والتهذيب</w:t>
      </w:r>
      <w:r w:rsidR="00E3253D" w:rsidRPr="005D642E">
        <w:rPr>
          <w:rtl/>
        </w:rPr>
        <w:t xml:space="preserve"> ، ح 811 :</w:t>
      </w:r>
      <w:r w:rsidR="00E3253D">
        <w:rPr>
          <w:rtl/>
        </w:rPr>
        <w:t xml:space="preserve"> </w:t>
      </w:r>
      <w:r w:rsidR="007642BC">
        <w:rPr>
          <w:rtl/>
        </w:rPr>
        <w:t>-</w:t>
      </w:r>
      <w:r w:rsidR="00E3253D">
        <w:rPr>
          <w:rtl/>
        </w:rPr>
        <w:t xml:space="preserve"> </w:t>
      </w:r>
      <w:r w:rsidR="00E3253D" w:rsidRPr="005D642E">
        <w:rPr>
          <w:rtl/>
        </w:rPr>
        <w:t>« يعني إذا برد الميّت »</w:t>
      </w:r>
      <w:r w:rsidR="00E3253D">
        <w:rPr>
          <w:rtl/>
        </w:rPr>
        <w:t>.</w:t>
      </w:r>
    </w:p>
    <w:p w:rsidR="00E3253D" w:rsidRPr="005D642E" w:rsidRDefault="0042621E" w:rsidP="005F5605">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غسل من غسّل الميّت</w:t>
      </w:r>
      <w:r w:rsidR="00E3253D">
        <w:rPr>
          <w:rtl/>
        </w:rPr>
        <w:t xml:space="preserve"> ..</w:t>
      </w:r>
      <w:r w:rsidR="00E3253D" w:rsidRPr="005D642E">
        <w:rPr>
          <w:rtl/>
        </w:rPr>
        <w:t xml:space="preserve">. ، ح 4423 ، بسند آخر عن الحسن بن محبوب. </w:t>
      </w:r>
      <w:r w:rsidR="00E3253D" w:rsidRPr="002F4D34">
        <w:rPr>
          <w:rStyle w:val="libFootnoteBoldChar"/>
          <w:rtl/>
        </w:rPr>
        <w:t>التهذيب</w:t>
      </w:r>
      <w:r w:rsidR="00E3253D" w:rsidRPr="005D642E">
        <w:rPr>
          <w:rtl/>
        </w:rPr>
        <w:t xml:space="preserve"> ، ج 1 ، ص 276 ، ح 811 ، بطريقين عن الحسن بن محبوب. </w:t>
      </w:r>
      <w:r w:rsidR="00E3253D" w:rsidRPr="002F4D34">
        <w:rPr>
          <w:rStyle w:val="libFootnoteBoldChar"/>
          <w:rtl/>
        </w:rPr>
        <w:t>الكافي</w:t>
      </w:r>
      <w:r w:rsidR="00E3253D" w:rsidRPr="005D642E">
        <w:rPr>
          <w:rtl/>
        </w:rPr>
        <w:t xml:space="preserve"> ، نفس الباب ، ح 4420 ، بسند آخر ، مع زيادة في أوّله. وفي </w:t>
      </w:r>
      <w:r w:rsidR="00E3253D" w:rsidRPr="002F4D34">
        <w:rPr>
          <w:rStyle w:val="libFootnoteBoldChar"/>
          <w:rtl/>
        </w:rPr>
        <w:t>التهذيب</w:t>
      </w:r>
      <w:r w:rsidR="00E3253D" w:rsidRPr="005D642E">
        <w:rPr>
          <w:rtl/>
        </w:rPr>
        <w:t xml:space="preserve"> ، ج 1 ، ص 276 ، ح 812 ؛ </w:t>
      </w:r>
      <w:r w:rsidR="00E3253D" w:rsidRPr="00E678B5">
        <w:rPr>
          <w:rStyle w:val="libFootnoteBoldChar"/>
          <w:rtl/>
        </w:rPr>
        <w:t>والاستبصار</w:t>
      </w:r>
      <w:r w:rsidR="00E3253D" w:rsidRPr="005D642E">
        <w:rPr>
          <w:rtl/>
        </w:rPr>
        <w:t xml:space="preserve"> ، ج 1 ، ص 192 ، ح 671 ؛ بسند آخر ، وفي الثلاثة الاخيرة هكذا : « سألته عن الرجل يصيب ثوبه جسد الميّت ، فقال : يغسل ما أصاب الثوب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143 ، ذيل ح 400 ، مع اختلاف</w:t>
      </w:r>
      <w:r w:rsidR="005F5605">
        <w:rPr>
          <w:rFonts w:hint="cs"/>
          <w:rtl/>
        </w:rPr>
        <w:t>.</w:t>
      </w:r>
      <w:r w:rsidR="00E3253D" w:rsidRPr="002F4D34">
        <w:rPr>
          <w:rStyle w:val="libFootnoteBoldChar"/>
          <w:rtl/>
        </w:rPr>
        <w:t>الوافي</w:t>
      </w:r>
      <w:r w:rsidR="00E3253D" w:rsidRPr="005D642E">
        <w:rPr>
          <w:rtl/>
        </w:rPr>
        <w:t xml:space="preserve"> ، ج 6 ، ص 207 ، ح 4123 ؛ </w:t>
      </w:r>
      <w:r w:rsidR="00E3253D" w:rsidRPr="002F4D34">
        <w:rPr>
          <w:rStyle w:val="libFootnoteBoldChar"/>
          <w:rtl/>
        </w:rPr>
        <w:t>الوسائل</w:t>
      </w:r>
      <w:r w:rsidR="00E3253D" w:rsidRPr="005D642E">
        <w:rPr>
          <w:rtl/>
        </w:rPr>
        <w:t xml:space="preserve"> ، ج 3 ، ص 461 ، ح 4178.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w:t>
      </w:r>
      <w:r w:rsidRPr="007C12DB">
        <w:rPr>
          <w:rStyle w:val="libFootnotenumChar"/>
          <w:rtl/>
        </w:rPr>
        <w:t>(1)</w:t>
      </w:r>
      <w:r w:rsidRPr="005D642E">
        <w:rPr>
          <w:rtl/>
          <w:lang w:bidi="fa-IR"/>
        </w:rPr>
        <w:t xml:space="preserve"> مُوسَى بْنِ جَعْفَرٍ </w:t>
      </w:r>
      <w:r w:rsidRPr="00AC51C5">
        <w:rPr>
          <w:rStyle w:val="libAlaemChar"/>
          <w:rtl/>
        </w:rPr>
        <w:t>عليهما‌السلام</w:t>
      </w:r>
      <w:r w:rsidRPr="005D642E">
        <w:rPr>
          <w:rtl/>
          <w:lang w:bidi="fa-IR"/>
        </w:rPr>
        <w:t xml:space="preserve"> ، قَالَ : سَأَلْتُهُ </w:t>
      </w:r>
      <w:r w:rsidRPr="007C12DB">
        <w:rPr>
          <w:rStyle w:val="libFootnotenumChar"/>
          <w:rtl/>
        </w:rPr>
        <w:t>(2)</w:t>
      </w:r>
      <w:r w:rsidRPr="005D642E">
        <w:rPr>
          <w:rtl/>
          <w:lang w:bidi="fa-IR"/>
        </w:rPr>
        <w:t xml:space="preserve"> عَنِ الرَّجُلِ </w:t>
      </w:r>
      <w:r w:rsidRPr="007C12DB">
        <w:rPr>
          <w:rStyle w:val="libFootnotenumChar"/>
          <w:rtl/>
        </w:rPr>
        <w:t>(3)</w:t>
      </w:r>
      <w:r w:rsidRPr="005D642E">
        <w:rPr>
          <w:rtl/>
          <w:lang w:bidi="fa-IR"/>
        </w:rPr>
        <w:t xml:space="preserve"> يُصِيبُ </w:t>
      </w:r>
      <w:r w:rsidRPr="007C12DB">
        <w:rPr>
          <w:rStyle w:val="libFootnotenumChar"/>
          <w:rtl/>
        </w:rPr>
        <w:t>(4)</w:t>
      </w:r>
      <w:r w:rsidRPr="005D642E">
        <w:rPr>
          <w:rtl/>
          <w:lang w:bidi="fa-IR"/>
        </w:rPr>
        <w:t xml:space="preserve"> ثَوْبَهُ خِنْزِيرٌ </w:t>
      </w:r>
      <w:r w:rsidRPr="007C12DB">
        <w:rPr>
          <w:rStyle w:val="libFootnotenumChar"/>
          <w:rtl/>
        </w:rPr>
        <w:t>(5)</w:t>
      </w:r>
      <w:r w:rsidRPr="005D642E">
        <w:rPr>
          <w:rtl/>
          <w:lang w:bidi="fa-IR"/>
        </w:rPr>
        <w:t xml:space="preserve"> ، فَلَمْ يَغْسِلْهُ </w:t>
      </w:r>
      <w:r w:rsidRPr="007C12DB">
        <w:rPr>
          <w:rStyle w:val="libFootnotenumChar"/>
          <w:rtl/>
        </w:rPr>
        <w:t>(6)</w:t>
      </w:r>
      <w:r w:rsidRPr="005D642E">
        <w:rPr>
          <w:rtl/>
          <w:lang w:bidi="fa-IR"/>
        </w:rPr>
        <w:t xml:space="preserve"> ، فَذَكَرَ ذلِكَ </w:t>
      </w:r>
      <w:r w:rsidRPr="007C12DB">
        <w:rPr>
          <w:rStyle w:val="libFootnotenumChar"/>
          <w:rtl/>
        </w:rPr>
        <w:t>(7)</w:t>
      </w:r>
      <w:r w:rsidRPr="005D642E">
        <w:rPr>
          <w:rtl/>
          <w:lang w:bidi="fa-IR"/>
        </w:rPr>
        <w:t xml:space="preserve"> وَهُوَ فِي صَلَاتِهِ : كَيْفَ يَصْنَعُ </w:t>
      </w:r>
      <w:r w:rsidRPr="007C12DB">
        <w:rPr>
          <w:rStyle w:val="libFootnotenumChar"/>
          <w:rtl/>
        </w:rPr>
        <w:t>(8)</w:t>
      </w:r>
      <w:r>
        <w:rPr>
          <w:rtl/>
          <w:lang w:bidi="fa-IR"/>
        </w:rPr>
        <w:t>؟</w:t>
      </w:r>
    </w:p>
    <w:p w:rsidR="00E3253D" w:rsidRPr="005D642E" w:rsidRDefault="00E3253D" w:rsidP="00E3253D">
      <w:pPr>
        <w:pStyle w:val="libNormal"/>
        <w:rPr>
          <w:rtl/>
          <w:lang w:bidi="fa-IR"/>
        </w:rPr>
      </w:pPr>
      <w:r w:rsidRPr="005D642E">
        <w:rPr>
          <w:rtl/>
          <w:lang w:bidi="fa-IR"/>
        </w:rPr>
        <w:t xml:space="preserve">قَالَ : « إِنْ </w:t>
      </w:r>
      <w:r w:rsidRPr="007C12DB">
        <w:rPr>
          <w:rStyle w:val="libFootnotenumChar"/>
          <w:rtl/>
        </w:rPr>
        <w:t>(9)</w:t>
      </w:r>
      <w:r w:rsidRPr="005D642E">
        <w:rPr>
          <w:rtl/>
          <w:lang w:bidi="fa-IR"/>
        </w:rPr>
        <w:t xml:space="preserve"> كَانَ دَخَلَ فِي صَلَاتِهِ ، فَلْيَمْضِ </w:t>
      </w:r>
      <w:r w:rsidRPr="007C12DB">
        <w:rPr>
          <w:rStyle w:val="libFootnotenumChar"/>
          <w:rtl/>
        </w:rPr>
        <w:t>(10)</w:t>
      </w:r>
      <w:r w:rsidRPr="005D642E">
        <w:rPr>
          <w:rtl/>
          <w:lang w:bidi="fa-IR"/>
        </w:rPr>
        <w:t xml:space="preserve"> ؛ وَإِنْ لَمْ يَكُنْ دَخَلَ فِي صَلَاتِهِ ، فَلْيَنْضَحْ مَا أَصَابَ مِنْ </w:t>
      </w:r>
      <w:r w:rsidRPr="007C12DB">
        <w:rPr>
          <w:rStyle w:val="libFootnotenumChar"/>
          <w:rtl/>
        </w:rPr>
        <w:t>(11)</w:t>
      </w:r>
      <w:r w:rsidR="005F5605">
        <w:rPr>
          <w:rtl/>
          <w:lang w:bidi="fa-IR"/>
        </w:rPr>
        <w:t xml:space="preserve"> ثَوْبِهِ إِل</w:t>
      </w:r>
      <w:r w:rsidR="005F5605">
        <w:rPr>
          <w:rFonts w:hint="cs"/>
          <w:rtl/>
          <w:lang w:bidi="fa-IR"/>
        </w:rPr>
        <w:t>َّ</w:t>
      </w:r>
      <w:r w:rsidR="005F5605">
        <w:rPr>
          <w:rtl/>
          <w:lang w:bidi="fa-IR"/>
        </w:rPr>
        <w:t>ا</w:t>
      </w:r>
      <w:r w:rsidRPr="005D642E">
        <w:rPr>
          <w:rtl/>
          <w:lang w:bidi="fa-IR"/>
        </w:rPr>
        <w:t xml:space="preserve"> أَنْ يَكُونَ فِيهِ أَثَرٌ ، فَيَغْسِلُهُ </w:t>
      </w:r>
      <w:r w:rsidRPr="007C12DB">
        <w:rPr>
          <w:rStyle w:val="libFootnotenumChar"/>
          <w:rtl/>
        </w:rPr>
        <w:t>(12)</w:t>
      </w:r>
      <w:r w:rsidRPr="005D642E">
        <w:rPr>
          <w:rtl/>
          <w:lang w:bidi="fa-IR"/>
        </w:rPr>
        <w:t xml:space="preserve"> »</w:t>
      </w:r>
      <w:r>
        <w:rPr>
          <w:rtl/>
          <w:lang w:bidi="fa-IR"/>
        </w:rPr>
        <w:t>.</w:t>
      </w:r>
      <w:r w:rsidRPr="005D642E">
        <w:rPr>
          <w:rtl/>
          <w:lang w:bidi="fa-IR"/>
        </w:rPr>
        <w:t xml:space="preserve"> </w:t>
      </w:r>
      <w:r w:rsidRPr="007C12DB">
        <w:rPr>
          <w:rStyle w:val="libFootnotenumChar"/>
          <w:rtl/>
        </w:rPr>
        <w:t>(13)</w:t>
      </w:r>
    </w:p>
    <w:p w:rsidR="00E3253D" w:rsidRPr="005D642E" w:rsidRDefault="00E3253D" w:rsidP="00E3253D">
      <w:pPr>
        <w:pStyle w:val="Heading2Center"/>
        <w:rPr>
          <w:rtl/>
          <w:lang w:bidi="fa-IR"/>
        </w:rPr>
      </w:pPr>
      <w:bookmarkStart w:id="147" w:name="_Toc344647259"/>
      <w:bookmarkStart w:id="148" w:name="_Toc462226774"/>
      <w:bookmarkStart w:id="149" w:name="_Toc40975882"/>
      <w:r w:rsidRPr="005D642E">
        <w:rPr>
          <w:rtl/>
          <w:lang w:bidi="fa-IR"/>
        </w:rPr>
        <w:t>40</w:t>
      </w:r>
      <w:r>
        <w:rPr>
          <w:rtl/>
          <w:lang w:bidi="fa-IR"/>
        </w:rPr>
        <w:t xml:space="preserve"> </w:t>
      </w:r>
      <w:r w:rsidR="007642BC">
        <w:rPr>
          <w:rtl/>
          <w:lang w:bidi="fa-IR"/>
        </w:rPr>
        <w:t>-</w:t>
      </w:r>
      <w:r>
        <w:rPr>
          <w:rtl/>
          <w:lang w:bidi="fa-IR"/>
        </w:rPr>
        <w:t xml:space="preserve"> </w:t>
      </w:r>
      <w:r w:rsidRPr="005D642E">
        <w:rPr>
          <w:rtl/>
          <w:lang w:bidi="fa-IR"/>
        </w:rPr>
        <w:t>بَابُ صِفَةِ التَّيَمُّمِ‌</w:t>
      </w:r>
      <w:bookmarkEnd w:id="147"/>
      <w:bookmarkEnd w:id="148"/>
      <w:bookmarkEnd w:id="149"/>
    </w:p>
    <w:p w:rsidR="005F5605" w:rsidRDefault="00E3253D" w:rsidP="005F5605">
      <w:pPr>
        <w:pStyle w:val="libNormal"/>
        <w:rPr>
          <w:rtl/>
          <w:lang w:bidi="fa-IR"/>
        </w:rPr>
      </w:pPr>
      <w:r w:rsidRPr="00F406C4">
        <w:rPr>
          <w:rtl/>
        </w:rPr>
        <w:t>4102</w:t>
      </w:r>
      <w:r w:rsidRPr="00246318">
        <w:rPr>
          <w:rStyle w:val="libBold2Char"/>
          <w:rtl/>
        </w:rPr>
        <w:t xml:space="preserve"> / 1.</w:t>
      </w:r>
      <w:r w:rsidRPr="005D642E">
        <w:rPr>
          <w:rtl/>
          <w:lang w:bidi="fa-IR"/>
        </w:rPr>
        <w:t xml:space="preserve"> عَلِيُّ بْنُ إِبْرَاهِيمَ ، عَنْ أَبِيهِ ؛</w:t>
      </w:r>
    </w:p>
    <w:p w:rsidR="00E3253D" w:rsidRPr="005D642E" w:rsidRDefault="00E3253D" w:rsidP="005F5605">
      <w:pPr>
        <w:pStyle w:val="libNormal"/>
        <w:rPr>
          <w:rtl/>
          <w:lang w:bidi="fa-IR"/>
        </w:rPr>
      </w:pPr>
      <w:r w:rsidRPr="005D642E">
        <w:rPr>
          <w:rtl/>
          <w:lang w:bidi="fa-IR"/>
        </w:rPr>
        <w:t>وَعَلِيُّ بْنُ مُحَمَّدٍ ، عَنْ سَهْلٍ جَمِيعاً ، عَنْ أَحْمَدَ بْنِ مُحَمَّدِ بْنِ أَبِي نَصْرٍ ، عَنِ ابْنِ بُكَيْرٍ ، عَنْ زُرَارَةَ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عَنِ التَّيَمُّمِ </w:t>
      </w:r>
      <w:r w:rsidRPr="007C12DB">
        <w:rPr>
          <w:rStyle w:val="libFootnotenumChar"/>
          <w:rtl/>
        </w:rPr>
        <w:t>(14)</w:t>
      </w:r>
      <w:r w:rsidRPr="005D642E">
        <w:rPr>
          <w:rtl/>
          <w:lang w:bidi="fa-IR"/>
        </w:rPr>
        <w:t xml:space="preserve"> ، فَضَرَبَ بِيَدِهِ </w:t>
      </w:r>
      <w:r w:rsidRPr="007C12DB">
        <w:rPr>
          <w:rStyle w:val="libFootnotenumChar"/>
          <w:rtl/>
        </w:rPr>
        <w:t>(15)</w:t>
      </w:r>
      <w:r w:rsidRPr="005D642E">
        <w:rPr>
          <w:rtl/>
          <w:lang w:bidi="fa-IR"/>
        </w:rPr>
        <w:t xml:space="preserve"> الْأَرْضَ ، ثُمَّ رَفَعَهَا‌</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F5605" w:rsidTr="005F5605">
        <w:tc>
          <w:tcPr>
            <w:tcW w:w="4006" w:type="dxa"/>
          </w:tcPr>
          <w:p w:rsidR="005F5605" w:rsidRDefault="005F5605" w:rsidP="00E3253D">
            <w:pPr>
              <w:pStyle w:val="libFootnote0"/>
              <w:rPr>
                <w:rStyle w:val="libFootnote0Char"/>
                <w:rtl/>
              </w:rPr>
            </w:pPr>
            <w:r w:rsidRPr="0042621E">
              <w:rPr>
                <w:rStyle w:val="libFootnote0Char"/>
                <w:rtl/>
              </w:rPr>
              <w:t>(1).</w:t>
            </w:r>
            <w:r>
              <w:rPr>
                <w:rtl/>
              </w:rPr>
              <w:t xml:space="preserve"> </w:t>
            </w:r>
            <w:r w:rsidRPr="005D642E">
              <w:rPr>
                <w:rtl/>
              </w:rPr>
              <w:t xml:space="preserve">في الوسائل </w:t>
            </w:r>
            <w:r w:rsidRPr="00B60612">
              <w:rPr>
                <w:rStyle w:val="libFootnoteBoldChar"/>
                <w:rtl/>
              </w:rPr>
              <w:t>والتهذيب</w:t>
            </w:r>
            <w:r w:rsidRPr="005D642E">
              <w:rPr>
                <w:rtl/>
              </w:rPr>
              <w:t xml:space="preserve"> : + « أخيه »</w:t>
            </w:r>
            <w:r>
              <w:rPr>
                <w:rtl/>
              </w:rPr>
              <w:t>.</w:t>
            </w:r>
          </w:p>
        </w:tc>
        <w:tc>
          <w:tcPr>
            <w:tcW w:w="4006" w:type="dxa"/>
          </w:tcPr>
          <w:p w:rsidR="005F5605" w:rsidRDefault="005F5605" w:rsidP="00E3253D">
            <w:pPr>
              <w:pStyle w:val="libFootnote0"/>
              <w:rPr>
                <w:rStyle w:val="libFootnote0Char"/>
                <w:rtl/>
              </w:rPr>
            </w:pPr>
            <w:r w:rsidRPr="0042621E">
              <w:rPr>
                <w:rStyle w:val="libFootnote0Char"/>
                <w:rtl/>
              </w:rPr>
              <w:t>(2).</w:t>
            </w:r>
            <w:r w:rsidRPr="005D642E">
              <w:rPr>
                <w:rtl/>
              </w:rPr>
              <w:t xml:space="preserve"> في حاشية « بح » : « سألت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ومسائل عليّ بن جعفر : « عن رجل »</w:t>
      </w:r>
      <w:r w:rsidR="00E3253D">
        <w:rPr>
          <w:rtl/>
        </w:rPr>
        <w:t>.</w:t>
      </w:r>
    </w:p>
    <w:tbl>
      <w:tblPr>
        <w:tblStyle w:val="TableGrid"/>
        <w:bidiVisual/>
        <w:tblW w:w="0" w:type="auto"/>
        <w:tblLook w:val="04A0" w:firstRow="1" w:lastRow="0" w:firstColumn="1" w:lastColumn="0" w:noHBand="0" w:noVBand="1"/>
      </w:tblPr>
      <w:tblGrid>
        <w:gridCol w:w="4006"/>
        <w:gridCol w:w="4006"/>
      </w:tblGrid>
      <w:tr w:rsidR="005F5605" w:rsidTr="005F5605">
        <w:tc>
          <w:tcPr>
            <w:tcW w:w="4006" w:type="dxa"/>
          </w:tcPr>
          <w:p w:rsidR="005F5605" w:rsidRDefault="005F5605" w:rsidP="00E3253D">
            <w:pPr>
              <w:pStyle w:val="libFootnote0"/>
              <w:rPr>
                <w:rStyle w:val="libFootnote0Char"/>
                <w:rtl/>
              </w:rPr>
            </w:pPr>
            <w:r w:rsidRPr="0042621E">
              <w:rPr>
                <w:rStyle w:val="libFootnote0Char"/>
                <w:rtl/>
              </w:rPr>
              <w:t>(4).</w:t>
            </w:r>
            <w:r w:rsidRPr="005D642E">
              <w:rPr>
                <w:rtl/>
              </w:rPr>
              <w:t xml:space="preserve"> في مسائل عليّ بن جعفر : « أصاب »</w:t>
            </w:r>
            <w:r>
              <w:rPr>
                <w:rtl/>
              </w:rPr>
              <w:t>.</w:t>
            </w:r>
          </w:p>
        </w:tc>
        <w:tc>
          <w:tcPr>
            <w:tcW w:w="4006" w:type="dxa"/>
          </w:tcPr>
          <w:p w:rsidR="005F5605" w:rsidRDefault="005F5605" w:rsidP="00E3253D">
            <w:pPr>
              <w:pStyle w:val="libFootnote0"/>
              <w:rPr>
                <w:rStyle w:val="libFootnote0Char"/>
                <w:rtl/>
              </w:rPr>
            </w:pPr>
            <w:r w:rsidRPr="0042621E">
              <w:rPr>
                <w:rStyle w:val="libFootnote0Char"/>
                <w:rtl/>
              </w:rPr>
              <w:t>(5).</w:t>
            </w:r>
            <w:r w:rsidRPr="005D642E">
              <w:rPr>
                <w:rtl/>
              </w:rPr>
              <w:t xml:space="preserve"> في « ظ » : « خنزيراً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 « فلم يغسّله » بالتضعيف. وفي مسائل عليّ بن جعفر :</w:t>
      </w:r>
      <w:r w:rsidR="00E3253D">
        <w:rPr>
          <w:rtl/>
        </w:rPr>
        <w:t xml:space="preserve"> </w:t>
      </w:r>
      <w:r w:rsidR="007642BC">
        <w:rPr>
          <w:rtl/>
        </w:rPr>
        <w:t>-</w:t>
      </w:r>
      <w:r w:rsidR="00E3253D">
        <w:rPr>
          <w:rtl/>
        </w:rPr>
        <w:t xml:space="preserve"> </w:t>
      </w:r>
      <w:r w:rsidR="00E3253D" w:rsidRPr="005D642E">
        <w:rPr>
          <w:rtl/>
        </w:rPr>
        <w:t>« فلم يغسله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بث ، بس ، جح ، جس ، جن » والوسائل </w:t>
      </w:r>
      <w:r w:rsidR="00B60612" w:rsidRPr="00B60612">
        <w:rPr>
          <w:rStyle w:val="libFootnoteBoldChar"/>
          <w:rtl/>
        </w:rPr>
        <w:t>والتهذيب</w:t>
      </w:r>
      <w:r w:rsidR="00E3253D" w:rsidRPr="005D642E">
        <w:rPr>
          <w:rtl/>
        </w:rPr>
        <w:t xml:space="preserve"> ومسائل عليّ بن جعفر :</w:t>
      </w:r>
      <w:r w:rsidR="00E3253D">
        <w:rPr>
          <w:rtl/>
        </w:rPr>
        <w:t xml:space="preserve"> </w:t>
      </w:r>
      <w:r w:rsidR="007642BC">
        <w:rPr>
          <w:rtl/>
        </w:rPr>
        <w:t>-</w:t>
      </w:r>
      <w:r w:rsidR="00E3253D">
        <w:rPr>
          <w:rtl/>
        </w:rPr>
        <w:t xml:space="preserve"> </w:t>
      </w:r>
      <w:r w:rsidR="00E3253D" w:rsidRPr="005D642E">
        <w:rPr>
          <w:rtl/>
        </w:rPr>
        <w:t>« ذلك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 به »</w:t>
      </w:r>
      <w:r w:rsidR="00E3253D">
        <w:rPr>
          <w:rtl/>
        </w:rPr>
        <w:t>.</w:t>
      </w:r>
      <w:r w:rsidR="00E3253D" w:rsidRPr="005D642E">
        <w:rPr>
          <w:rtl/>
        </w:rPr>
        <w:t xml:space="preserve"> وفي مسائل عليّ بن جعفر :</w:t>
      </w:r>
      <w:r w:rsidR="00E3253D">
        <w:rPr>
          <w:rtl/>
        </w:rPr>
        <w:t xml:space="preserve"> </w:t>
      </w:r>
      <w:r w:rsidR="007642BC">
        <w:rPr>
          <w:rtl/>
        </w:rPr>
        <w:t>-</w:t>
      </w:r>
      <w:r w:rsidR="00E3253D">
        <w:rPr>
          <w:rtl/>
        </w:rPr>
        <w:t xml:space="preserve"> </w:t>
      </w:r>
      <w:r w:rsidR="00E3253D" w:rsidRPr="005D642E">
        <w:rPr>
          <w:rtl/>
        </w:rPr>
        <w:t>« كيف يصنع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بف ، جن » : « إذا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مسائل عليّ بن جعفر : « فليمض إن كان دخل في صلاته فلا بأس » بدل « إن كان دخل في صلاته فليمض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من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 وسألته عن خنزير شرب</w:t>
      </w:r>
      <w:r w:rsidR="00E3253D">
        <w:rPr>
          <w:rtl/>
        </w:rPr>
        <w:t xml:space="preserve"> </w:t>
      </w:r>
      <w:r w:rsidR="007642BC">
        <w:rPr>
          <w:rtl/>
        </w:rPr>
        <w:t>-</w:t>
      </w:r>
      <w:r w:rsidR="00E3253D">
        <w:rPr>
          <w:rtl/>
        </w:rPr>
        <w:t xml:space="preserve"> </w:t>
      </w:r>
      <w:r w:rsidR="00E3253D" w:rsidRPr="005D642E">
        <w:rPr>
          <w:rtl/>
        </w:rPr>
        <w:t>في الوسائل : يشرب</w:t>
      </w:r>
      <w:r w:rsidR="00E3253D">
        <w:rPr>
          <w:rtl/>
        </w:rPr>
        <w:t xml:space="preserve"> </w:t>
      </w:r>
      <w:r w:rsidR="007642BC">
        <w:rPr>
          <w:rtl/>
        </w:rPr>
        <w:t>-</w:t>
      </w:r>
      <w:r w:rsidR="00E3253D">
        <w:rPr>
          <w:rtl/>
        </w:rPr>
        <w:t xml:space="preserve"> </w:t>
      </w:r>
      <w:r w:rsidR="00E3253D" w:rsidRPr="005D642E">
        <w:rPr>
          <w:rtl/>
        </w:rPr>
        <w:t>من إناء كيف يصنع به</w:t>
      </w:r>
      <w:r w:rsidR="00E3253D">
        <w:rPr>
          <w:rtl/>
        </w:rPr>
        <w:t>؟</w:t>
      </w:r>
      <w:r w:rsidR="00E3253D" w:rsidRPr="005D642E">
        <w:rPr>
          <w:rtl/>
        </w:rPr>
        <w:t xml:space="preserve"> قال : يغسل سبع مرّات »</w:t>
      </w:r>
      <w:r w:rsidR="00E3253D">
        <w:rPr>
          <w:rtl/>
        </w:rPr>
        <w:t>.</w:t>
      </w:r>
    </w:p>
    <w:p w:rsidR="00E3253D" w:rsidRPr="005D642E" w:rsidRDefault="0042621E" w:rsidP="00A0163F">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مسائل عليّ بن جعفر</w:t>
      </w:r>
      <w:r w:rsidR="00E3253D" w:rsidRPr="005D642E">
        <w:rPr>
          <w:rtl/>
        </w:rPr>
        <w:t xml:space="preserve"> ، ص 118. </w:t>
      </w:r>
      <w:r w:rsidR="00E3253D" w:rsidRPr="002F4D34">
        <w:rPr>
          <w:rStyle w:val="libFootnoteBoldChar"/>
          <w:rtl/>
        </w:rPr>
        <w:t>التهذيب</w:t>
      </w:r>
      <w:r w:rsidR="00E3253D" w:rsidRPr="005D642E">
        <w:rPr>
          <w:rtl/>
        </w:rPr>
        <w:t xml:space="preserve"> ، ج 1 ، ص 261 ، ح 760 ، بسنده عن الكليني</w:t>
      </w:r>
      <w:r w:rsidR="00A0163F">
        <w:rPr>
          <w:rFonts w:hint="cs"/>
          <w:rtl/>
        </w:rPr>
        <w:t>.</w:t>
      </w:r>
      <w:r w:rsidR="00E3253D" w:rsidRPr="002F4D34">
        <w:rPr>
          <w:rStyle w:val="libFootnoteBoldChar"/>
          <w:rtl/>
        </w:rPr>
        <w:t>الوافي</w:t>
      </w:r>
      <w:r w:rsidR="00E3253D" w:rsidRPr="005D642E">
        <w:rPr>
          <w:rtl/>
        </w:rPr>
        <w:t xml:space="preserve"> ، ج 6 ، ص 203 ، ح 4111؛</w:t>
      </w:r>
      <w:r w:rsidR="00E3253D" w:rsidRPr="002F4D34">
        <w:rPr>
          <w:rStyle w:val="libFootnoteBoldChar"/>
          <w:rtl/>
        </w:rPr>
        <w:t>الوسائل</w:t>
      </w:r>
      <w:r w:rsidR="00E3253D" w:rsidRPr="005D642E">
        <w:rPr>
          <w:rtl/>
        </w:rPr>
        <w:t>،ج3،ص417،ح4036.</w:t>
      </w:r>
      <w:r w:rsidR="00A0163F">
        <w:rPr>
          <w:rFonts w:hint="cs"/>
          <w:rtl/>
        </w:rPr>
        <w:t xml:space="preserve">       </w:t>
      </w:r>
      <w:r w:rsidRPr="0042621E">
        <w:rPr>
          <w:rStyle w:val="libFootnote0Char"/>
          <w:rtl/>
        </w:rPr>
        <w:t>(14).</w:t>
      </w:r>
      <w:r w:rsidR="00E3253D" w:rsidRPr="005D642E">
        <w:rPr>
          <w:rtl/>
        </w:rPr>
        <w:t xml:space="preserve"> في الاستبصار،ح593:+«قال»</w:t>
      </w:r>
      <w:r w:rsidR="00E3253D">
        <w:rPr>
          <w:rtl/>
        </w:rPr>
        <w:t>.</w:t>
      </w:r>
    </w:p>
    <w:p w:rsidR="00E3253D" w:rsidRDefault="0042621E" w:rsidP="00E3253D">
      <w:pPr>
        <w:pStyle w:val="libFootnote0"/>
        <w:rPr>
          <w:rtl/>
        </w:rPr>
      </w:pPr>
      <w:r w:rsidRPr="0042621E">
        <w:rPr>
          <w:rStyle w:val="libFootnote0Char"/>
          <w:rtl/>
        </w:rPr>
        <w:t>(15).</w:t>
      </w:r>
      <w:r w:rsidR="00E3253D" w:rsidRPr="005D642E">
        <w:rPr>
          <w:rtl/>
        </w:rPr>
        <w:t xml:space="preserve"> في الوافي </w:t>
      </w:r>
      <w:r w:rsidR="00B60612" w:rsidRPr="00B60612">
        <w:rPr>
          <w:rStyle w:val="libFootnoteBoldChar"/>
          <w:rtl/>
        </w:rPr>
        <w:t>والتهذيب</w:t>
      </w:r>
      <w:r w:rsidR="00E3253D" w:rsidRPr="005D642E">
        <w:rPr>
          <w:rtl/>
        </w:rPr>
        <w:t xml:space="preserve"> ، ح 601 </w:t>
      </w:r>
      <w:r w:rsidR="00E3253D" w:rsidRPr="00E678B5">
        <w:rPr>
          <w:rStyle w:val="libFootnoteBoldChar"/>
          <w:rtl/>
        </w:rPr>
        <w:t>والاستبصار</w:t>
      </w:r>
      <w:r w:rsidR="00E3253D" w:rsidRPr="005D642E">
        <w:rPr>
          <w:rtl/>
        </w:rPr>
        <w:t xml:space="preserve"> ، ح 590 </w:t>
      </w:r>
      <w:r w:rsidR="00E3253D">
        <w:rPr>
          <w:rtl/>
        </w:rPr>
        <w:t>و 5</w:t>
      </w:r>
      <w:r w:rsidR="00E3253D" w:rsidRPr="005D642E">
        <w:rPr>
          <w:rtl/>
        </w:rPr>
        <w:t>93 : « بيديه »</w:t>
      </w:r>
      <w:r w:rsidR="00E3253D">
        <w:rPr>
          <w:rtl/>
        </w:rPr>
        <w:t>.</w:t>
      </w:r>
      <w:r w:rsidR="00E3253D" w:rsidRPr="005D642E">
        <w:rPr>
          <w:rtl/>
        </w:rPr>
        <w:t xml:space="preserve"> وفي الوسائل : + « إلى ».</w:t>
      </w:r>
      <w:r w:rsidR="0057483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A0163F">
      <w:pPr>
        <w:pStyle w:val="libNormal0"/>
        <w:rPr>
          <w:rtl/>
          <w:lang w:bidi="fa-IR"/>
        </w:rPr>
      </w:pPr>
      <w:r w:rsidRPr="005D642E">
        <w:rPr>
          <w:rtl/>
          <w:lang w:bidi="fa-IR"/>
        </w:rPr>
        <w:lastRenderedPageBreak/>
        <w:t xml:space="preserve">فَنَفَضَهَا </w:t>
      </w:r>
      <w:r w:rsidRPr="007C12DB">
        <w:rPr>
          <w:rStyle w:val="libFootnotenumChar"/>
          <w:rtl/>
        </w:rPr>
        <w:t>(1)</w:t>
      </w:r>
      <w:r w:rsidRPr="005D642E">
        <w:rPr>
          <w:rtl/>
          <w:lang w:bidi="fa-IR"/>
        </w:rPr>
        <w:t xml:space="preserve"> ، ثُمَّ مَسَحَ بِهَا </w:t>
      </w:r>
      <w:r w:rsidRPr="007C12DB">
        <w:rPr>
          <w:rStyle w:val="libFootnotenumChar"/>
          <w:rtl/>
        </w:rPr>
        <w:t>(2)</w:t>
      </w:r>
      <w:r w:rsidRPr="005D642E">
        <w:rPr>
          <w:rtl/>
          <w:lang w:bidi="fa-IR"/>
        </w:rPr>
        <w:t xml:space="preserve"> جَبِينَيْهِ </w:t>
      </w:r>
      <w:r w:rsidRPr="007C12DB">
        <w:rPr>
          <w:rStyle w:val="libFootnotenumChar"/>
          <w:rtl/>
        </w:rPr>
        <w:t>(3)</w:t>
      </w:r>
      <w:r w:rsidRPr="005D642E">
        <w:rPr>
          <w:rtl/>
          <w:lang w:bidi="fa-IR"/>
        </w:rPr>
        <w:t xml:space="preserve"> وَكَفَّيْهِ </w:t>
      </w:r>
      <w:r w:rsidRPr="007C12DB">
        <w:rPr>
          <w:rStyle w:val="libFootnotenumChar"/>
          <w:rtl/>
        </w:rPr>
        <w:t>(4)</w:t>
      </w:r>
      <w:r w:rsidRPr="005D642E">
        <w:rPr>
          <w:rtl/>
          <w:lang w:bidi="fa-IR"/>
        </w:rPr>
        <w:t xml:space="preserve"> مَرَّةً وَاحِدَةً </w:t>
      </w:r>
      <w:r w:rsidRPr="007C12DB">
        <w:rPr>
          <w:rStyle w:val="libFootnotenumChar"/>
          <w:rtl/>
        </w:rPr>
        <w:t>(5)</w:t>
      </w:r>
      <w:r w:rsidR="00A0163F">
        <w:rPr>
          <w:rFonts w:hint="cs"/>
          <w:rtl/>
          <w:lang w:bidi="fa-IR"/>
        </w:rPr>
        <w:t>.</w:t>
      </w:r>
      <w:r w:rsidRPr="007C12DB">
        <w:rPr>
          <w:rStyle w:val="libFootnotenumChar"/>
          <w:rtl/>
        </w:rPr>
        <w:t>(6)</w:t>
      </w:r>
      <w:r w:rsidRPr="005D642E">
        <w:rPr>
          <w:rtl/>
          <w:lang w:bidi="fa-IR"/>
        </w:rPr>
        <w:t>‌</w:t>
      </w:r>
    </w:p>
    <w:p w:rsidR="00E3253D" w:rsidRPr="005D642E" w:rsidRDefault="00E3253D" w:rsidP="00E3253D">
      <w:pPr>
        <w:pStyle w:val="libNormal"/>
        <w:rPr>
          <w:rtl/>
          <w:lang w:bidi="fa-IR"/>
        </w:rPr>
      </w:pPr>
      <w:r w:rsidRPr="00F406C4">
        <w:rPr>
          <w:rtl/>
        </w:rPr>
        <w:t>4103</w:t>
      </w:r>
      <w:r w:rsidRPr="00246318">
        <w:rPr>
          <w:rStyle w:val="libBold2Char"/>
          <w:rtl/>
        </w:rPr>
        <w:t xml:space="preserve"> / 2.</w:t>
      </w:r>
      <w:r w:rsidRPr="005D642E">
        <w:rPr>
          <w:rtl/>
          <w:lang w:bidi="fa-IR"/>
        </w:rPr>
        <w:t xml:space="preserve"> عَلِيُّ بْنُ إِبْرَاهِيمَ ، عَنْ أَبِيهِ ، عَنْ حَمَّادِ بْنِ عِيسى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أَنَّهُ سُئِلَ عَنِ التَّيَمُّمِ ، فَتَلَا هذِهِ الْآيَةَ : </w:t>
      </w:r>
      <w:r w:rsidRPr="00AC51C5">
        <w:rPr>
          <w:rStyle w:val="libAlaemChar"/>
          <w:rtl/>
        </w:rPr>
        <w:t>(</w:t>
      </w:r>
      <w:r w:rsidRPr="00AC51C5">
        <w:rPr>
          <w:rStyle w:val="libAieChar"/>
          <w:rtl/>
        </w:rPr>
        <w:t xml:space="preserve"> وَالسّارِقُ وَالسّارِقَةُ فَاقْطَعُوا أَيْدِيَهُما </w:t>
      </w:r>
      <w:r w:rsidRPr="00AC51C5">
        <w:rPr>
          <w:rStyle w:val="libAlaemChar"/>
          <w:rtl/>
        </w:rPr>
        <w:t>)</w:t>
      </w:r>
      <w:r w:rsidRPr="005D642E">
        <w:rPr>
          <w:rtl/>
          <w:lang w:bidi="fa-IR"/>
        </w:rPr>
        <w:t xml:space="preserve"> </w:t>
      </w:r>
      <w:r w:rsidRPr="007C12DB">
        <w:rPr>
          <w:rStyle w:val="libFootnotenumChar"/>
          <w:rtl/>
        </w:rPr>
        <w:t>(7)</w:t>
      </w:r>
      <w:r w:rsidRPr="005D642E">
        <w:rPr>
          <w:rtl/>
          <w:lang w:bidi="fa-IR"/>
        </w:rPr>
        <w:t xml:space="preserve"> وَقَالَ : </w:t>
      </w:r>
      <w:r w:rsidRPr="00AC51C5">
        <w:rPr>
          <w:rStyle w:val="libAlaemChar"/>
          <w:rtl/>
        </w:rPr>
        <w:t>(</w:t>
      </w:r>
      <w:r w:rsidRPr="00AC51C5">
        <w:rPr>
          <w:rStyle w:val="libAieChar"/>
          <w:rtl/>
        </w:rPr>
        <w:t xml:space="preserve"> فَاغْسِلُوا وُجُوهَكُمْ وَأَيْدِيَكُمْ إِلَى الْمَرافِقِ </w:t>
      </w:r>
      <w:r w:rsidRPr="00AC51C5">
        <w:rPr>
          <w:rStyle w:val="libAlaemChar"/>
          <w:rtl/>
        </w:rPr>
        <w:t>)</w:t>
      </w:r>
      <w:r w:rsidRPr="005D642E">
        <w:rPr>
          <w:rtl/>
          <w:lang w:bidi="fa-IR"/>
        </w:rPr>
        <w:t xml:space="preserve"> </w:t>
      </w:r>
      <w:r w:rsidRPr="007C12DB">
        <w:rPr>
          <w:rStyle w:val="libFootnotenumChar"/>
          <w:rtl/>
        </w:rPr>
        <w:t>(8)</w:t>
      </w:r>
      <w:r w:rsidRPr="005D642E">
        <w:rPr>
          <w:rtl/>
          <w:lang w:bidi="fa-IR"/>
        </w:rPr>
        <w:t xml:space="preserve"> قَالَ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574837" w:rsidP="00E3253D">
      <w:pPr>
        <w:pStyle w:val="libFootnote0"/>
        <w:rPr>
          <w:rtl/>
          <w:lang w:bidi="fa-IR"/>
        </w:rPr>
      </w:pPr>
      <w:r>
        <w:rPr>
          <w:rFonts w:hint="cs"/>
          <w:rtl/>
        </w:rPr>
        <w:t xml:space="preserve">= </w:t>
      </w:r>
      <w:r w:rsidR="00E3253D" w:rsidRPr="005D642E">
        <w:rPr>
          <w:rtl/>
        </w:rPr>
        <w:t xml:space="preserve">وفي </w:t>
      </w:r>
      <w:r w:rsidR="00E3253D" w:rsidRPr="002F4D34">
        <w:rPr>
          <w:rStyle w:val="libFootnoteBoldChar"/>
          <w:rtl/>
        </w:rPr>
        <w:t>مرآة العقول</w:t>
      </w:r>
      <w:r w:rsidR="00E3253D" w:rsidRPr="005D642E">
        <w:rPr>
          <w:rtl/>
        </w:rPr>
        <w:t xml:space="preserve"> ، ج 13 ، ص 171 : « الحديث</w:t>
      </w:r>
      <w:r w:rsidR="00E3253D">
        <w:rPr>
          <w:rtl/>
        </w:rPr>
        <w:t xml:space="preserve"> ..</w:t>
      </w:r>
      <w:r w:rsidR="00E3253D" w:rsidRPr="005D642E">
        <w:rPr>
          <w:rtl/>
        </w:rPr>
        <w:t xml:space="preserve">. يدلّ على الاكتفاء بالضربة الواحدة » وذكر اختلاف الأصحاب في عدد الضربات في التيمّم على أقوال : ضربة للوضوء وضربتان للغسل ، ضربة واحدة للجميع ، ضربتان في الجميع ، وثلاث ضربات : ضربة باليدين للوجه وضربة باليسار لليمين وضربة باليمين لليسار في الجميع ، ثمّ قال : « وقال الطيّبي في شرح </w:t>
      </w:r>
      <w:r w:rsidR="00E3253D" w:rsidRPr="002F4D34">
        <w:rPr>
          <w:rStyle w:val="libFootnoteBoldChar"/>
          <w:rtl/>
        </w:rPr>
        <w:t>المشكاة</w:t>
      </w:r>
      <w:r w:rsidR="00E3253D" w:rsidRPr="005D642E">
        <w:rPr>
          <w:rtl/>
        </w:rPr>
        <w:t xml:space="preserve"> في شرح حديث عمّار : إنّ في الخبر فوائد منها أنّه يكفي في التيمّم ضربة واحدة للوجه والكفّين ، وهو قول عليّ وابن عبّاس وعمّار وجمع من التابعين ، والأكثرون من فقهاء الأمصار إلى أنّ التيمّم ضربتان ، انتهى. فظهر من هذا أنّ القول المشهور بين العامّة الضربتان وأنّ الضربة مشهور عندهم من مذهب أميرالمؤمنين</w:t>
      </w:r>
      <w:r w:rsidR="00E3253D">
        <w:rPr>
          <w:rtl/>
        </w:rPr>
        <w:t xml:space="preserve"> </w:t>
      </w:r>
      <w:r w:rsidR="007642BC">
        <w:rPr>
          <w:rtl/>
        </w:rPr>
        <w:t>-</w:t>
      </w:r>
      <w:r w:rsidR="00E3253D">
        <w:rPr>
          <w:rtl/>
        </w:rPr>
        <w:t xml:space="preserve"> </w:t>
      </w:r>
      <w:r w:rsidR="00E3253D" w:rsidRPr="005D642E">
        <w:rPr>
          <w:rtl/>
        </w:rPr>
        <w:t>صلوات الله عليه</w:t>
      </w:r>
      <w:r w:rsidR="00E3253D">
        <w:rPr>
          <w:rtl/>
        </w:rPr>
        <w:t xml:space="preserve"> </w:t>
      </w:r>
      <w:r w:rsidR="007642BC">
        <w:rPr>
          <w:rtl/>
        </w:rPr>
        <w:t>-</w:t>
      </w:r>
      <w:r w:rsidR="00E3253D">
        <w:rPr>
          <w:rtl/>
        </w:rPr>
        <w:t xml:space="preserve"> </w:t>
      </w:r>
      <w:r w:rsidR="00E3253D" w:rsidRPr="005D642E">
        <w:rPr>
          <w:rtl/>
        </w:rPr>
        <w:t xml:space="preserve">وعمّار التابع له وابن عبّاس التابع له </w:t>
      </w:r>
      <w:r w:rsidR="00E3253D" w:rsidRPr="00E34189">
        <w:rPr>
          <w:rStyle w:val="libFootnoteAlaemChar"/>
          <w:rtl/>
        </w:rPr>
        <w:t>عليه‌السلام</w:t>
      </w:r>
      <w:r w:rsidR="00E3253D" w:rsidRPr="005D642E">
        <w:rPr>
          <w:rtl/>
        </w:rPr>
        <w:t xml:space="preserve"> في أكثر الأحكام ، فظهر أنّ أخبار الضربة أقوى ، وأخبار الضربتين حملها على التقيّة أولى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الوافي </w:t>
      </w:r>
      <w:r w:rsidR="00B60612" w:rsidRPr="00B60612">
        <w:rPr>
          <w:rStyle w:val="libFootnoteBoldChar"/>
          <w:rtl/>
        </w:rPr>
        <w:t>والتهذيب</w:t>
      </w:r>
      <w:r w:rsidR="00E3253D" w:rsidRPr="005D642E">
        <w:rPr>
          <w:rtl/>
        </w:rPr>
        <w:t xml:space="preserve"> ، ح 601 </w:t>
      </w:r>
      <w:r w:rsidR="00E3253D" w:rsidRPr="00E678B5">
        <w:rPr>
          <w:rStyle w:val="libFootnoteBoldChar"/>
          <w:rtl/>
        </w:rPr>
        <w:t>والاستبصار</w:t>
      </w:r>
      <w:r w:rsidR="00E3253D" w:rsidRPr="005D642E">
        <w:rPr>
          <w:rtl/>
        </w:rPr>
        <w:t xml:space="preserve"> ، ح 590 </w:t>
      </w:r>
      <w:r w:rsidR="00E3253D">
        <w:rPr>
          <w:rtl/>
        </w:rPr>
        <w:t>و 5</w:t>
      </w:r>
      <w:r w:rsidR="00E3253D" w:rsidRPr="005D642E">
        <w:rPr>
          <w:rtl/>
        </w:rPr>
        <w:t>93 : « ثمّ رفعهما فنفضهما »</w:t>
      </w:r>
      <w:r w:rsidR="00E3253D">
        <w:rPr>
          <w:rtl/>
        </w:rPr>
        <w:t>.</w:t>
      </w:r>
      <w:r w:rsidR="00E3253D" w:rsidRPr="005D642E">
        <w:rPr>
          <w:rtl/>
        </w:rPr>
        <w:t xml:space="preserve"> والنَفْض : تحريك الشي‌ء ليسقط ما عليه من غبار أو غيره ، وفعله من باب قتل. راجع : </w:t>
      </w:r>
      <w:r w:rsidR="00E3253D" w:rsidRPr="002F4D34">
        <w:rPr>
          <w:rStyle w:val="libFootnoteBoldChar"/>
          <w:rtl/>
        </w:rPr>
        <w:t>المغرب</w:t>
      </w:r>
      <w:r w:rsidR="00E3253D" w:rsidRPr="005D642E">
        <w:rPr>
          <w:rtl/>
        </w:rPr>
        <w:t xml:space="preserve"> ، ص 461 ؛ </w:t>
      </w:r>
      <w:r w:rsidR="00E3253D" w:rsidRPr="002F4D34">
        <w:rPr>
          <w:rStyle w:val="libFootnoteBoldChar"/>
          <w:rtl/>
        </w:rPr>
        <w:t>المصباح المنير</w:t>
      </w:r>
      <w:r w:rsidR="00E3253D" w:rsidRPr="005D642E">
        <w:rPr>
          <w:rtl/>
        </w:rPr>
        <w:t xml:space="preserve"> ، ص 618 ( نفض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w:t>
      </w:r>
      <w:r w:rsidR="00B60612" w:rsidRPr="00B60612">
        <w:rPr>
          <w:rStyle w:val="libFootnoteBoldChar"/>
          <w:rtl/>
        </w:rPr>
        <w:t>والتهذيب</w:t>
      </w:r>
      <w:r w:rsidR="00E3253D" w:rsidRPr="005D642E">
        <w:rPr>
          <w:rtl/>
        </w:rPr>
        <w:t xml:space="preserve"> ، ح 601 </w:t>
      </w:r>
      <w:r w:rsidR="00E3253D" w:rsidRPr="00E678B5">
        <w:rPr>
          <w:rStyle w:val="libFootnoteBoldChar"/>
          <w:rtl/>
        </w:rPr>
        <w:t>والاستبصار</w:t>
      </w:r>
      <w:r w:rsidR="00E3253D" w:rsidRPr="005D642E">
        <w:rPr>
          <w:rtl/>
        </w:rPr>
        <w:t xml:space="preserve"> ، ح 590 </w:t>
      </w:r>
      <w:r w:rsidR="00E3253D">
        <w:rPr>
          <w:rtl/>
        </w:rPr>
        <w:t>و 5</w:t>
      </w:r>
      <w:r w:rsidR="00E3253D" w:rsidRPr="005D642E">
        <w:rPr>
          <w:rtl/>
        </w:rPr>
        <w:t>93 : « بهما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بخ ، بس ، بف ، جح » والوسائل </w:t>
      </w:r>
      <w:r w:rsidR="00B60612" w:rsidRPr="00B60612">
        <w:rPr>
          <w:rStyle w:val="libFootnoteBoldChar"/>
          <w:rtl/>
        </w:rPr>
        <w:t>والتهذيب</w:t>
      </w:r>
      <w:r w:rsidR="00E3253D" w:rsidRPr="005D642E">
        <w:rPr>
          <w:rtl/>
        </w:rPr>
        <w:t xml:space="preserve"> ، ح 613 : « جبينه »</w:t>
      </w:r>
      <w:r w:rsidR="00E3253D">
        <w:rPr>
          <w:rtl/>
        </w:rPr>
        <w:t>.</w:t>
      </w:r>
      <w:r w:rsidR="00E3253D" w:rsidRPr="005D642E">
        <w:rPr>
          <w:rtl/>
        </w:rPr>
        <w:t xml:space="preserve"> وفي الوافي </w:t>
      </w:r>
      <w:r w:rsidR="00B60612" w:rsidRPr="00B60612">
        <w:rPr>
          <w:rStyle w:val="libFootnoteBoldChar"/>
          <w:rtl/>
        </w:rPr>
        <w:t>والتهذيب</w:t>
      </w:r>
      <w:r w:rsidR="00E3253D" w:rsidRPr="005D642E">
        <w:rPr>
          <w:rtl/>
        </w:rPr>
        <w:t xml:space="preserve"> ، ح 601 </w:t>
      </w:r>
      <w:r w:rsidR="00E3253D" w:rsidRPr="00E678B5">
        <w:rPr>
          <w:rStyle w:val="libFootnoteBoldChar"/>
          <w:rtl/>
        </w:rPr>
        <w:t>والاستبصار</w:t>
      </w:r>
      <w:r w:rsidR="00E3253D" w:rsidRPr="005D642E">
        <w:rPr>
          <w:rtl/>
        </w:rPr>
        <w:t xml:space="preserve"> ، ح 590 : « جبهته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E34189">
        <w:rPr>
          <w:rStyle w:val="libFootnoteAlaemChar"/>
          <w:rtl/>
        </w:rPr>
        <w:t>عليه‌السلام</w:t>
      </w:r>
      <w:r w:rsidR="00E3253D" w:rsidRPr="005D642E">
        <w:rPr>
          <w:rtl/>
        </w:rPr>
        <w:t xml:space="preserve"> : جبينيه ، ظاهره أنّه يكفي مسح طرفي الجبهة بدون مسحها ، ويمكن أن يراد بهما الجبهة معهما بأن تكون الجبهة نصفها مع الجبين الأيمن ونصفها مع الأيسر ، والإتيان بهذه العبارة لتأكيد إرادة الجبينين كأنّهما مقصودان بالذات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بث » : « وكفّه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E34189">
        <w:rPr>
          <w:rStyle w:val="libFootnoteAlaemChar"/>
          <w:rtl/>
        </w:rPr>
        <w:t>عليه‌السلام</w:t>
      </w:r>
      <w:r w:rsidR="00E3253D" w:rsidRPr="005D642E">
        <w:rPr>
          <w:rtl/>
        </w:rPr>
        <w:t xml:space="preserve"> : مرّة واحدة ، الظاهر أنّه متعلّق بالمسح ، ويمكن تعلّقه بالضرب أيضاً على التنازع »</w:t>
      </w:r>
      <w:r w:rsidR="00E3253D">
        <w:rPr>
          <w:rtl/>
        </w:rPr>
        <w:t>.</w:t>
      </w:r>
    </w:p>
    <w:p w:rsidR="00E3253D" w:rsidRPr="005D642E" w:rsidRDefault="0042621E" w:rsidP="00E34189">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211 ، ح 613 ؛ </w:t>
      </w:r>
      <w:r w:rsidR="00E3253D" w:rsidRPr="00E678B5">
        <w:rPr>
          <w:rStyle w:val="libFootnoteBoldChar"/>
          <w:rtl/>
        </w:rPr>
        <w:t>والاستبصار</w:t>
      </w:r>
      <w:r w:rsidR="00E3253D" w:rsidRPr="005D642E">
        <w:rPr>
          <w:rtl/>
        </w:rPr>
        <w:t xml:space="preserve"> ، ج 1 ، ص 171 ، ح 593 ، بسندهما عن الكليني. وفي </w:t>
      </w:r>
      <w:r w:rsidR="00E3253D" w:rsidRPr="002F4D34">
        <w:rPr>
          <w:rStyle w:val="libFootnoteBoldChar"/>
          <w:rtl/>
        </w:rPr>
        <w:t>التهذيب</w:t>
      </w:r>
      <w:r w:rsidR="00E3253D" w:rsidRPr="005D642E">
        <w:rPr>
          <w:rtl/>
        </w:rPr>
        <w:t xml:space="preserve"> ، ج 1 ، ص 207 ، ح 601 ؛ </w:t>
      </w:r>
      <w:r w:rsidR="00E3253D" w:rsidRPr="00E678B5">
        <w:rPr>
          <w:rStyle w:val="libFootnoteBoldChar"/>
          <w:rtl/>
        </w:rPr>
        <w:t>والاستبصار</w:t>
      </w:r>
      <w:r w:rsidR="00E3253D" w:rsidRPr="005D642E">
        <w:rPr>
          <w:rtl/>
        </w:rPr>
        <w:t xml:space="preserve"> ، ج 1 ، ص 170 ، ح 590 ، بسندهما عن أحمد بن محمّد ، عن ابن بكير. وفي </w:t>
      </w:r>
      <w:r w:rsidR="00E3253D" w:rsidRPr="002F4D34">
        <w:rPr>
          <w:rStyle w:val="libFootnoteBoldChar"/>
          <w:rtl/>
        </w:rPr>
        <w:t>التهذيب</w:t>
      </w:r>
      <w:r w:rsidR="00E3253D" w:rsidRPr="005D642E">
        <w:rPr>
          <w:rtl/>
        </w:rPr>
        <w:t xml:space="preserve"> ، ج 1 ، ص 212 ، ح 614 ؛ </w:t>
      </w:r>
      <w:r w:rsidR="00E3253D" w:rsidRPr="00E678B5">
        <w:rPr>
          <w:rStyle w:val="libFootnoteBoldChar"/>
          <w:rtl/>
        </w:rPr>
        <w:t>والاستبصار</w:t>
      </w:r>
      <w:r w:rsidR="00E3253D" w:rsidRPr="005D642E">
        <w:rPr>
          <w:rtl/>
        </w:rPr>
        <w:t xml:space="preserve"> ، ج 1 ، ص 171 ، ح 594 ، بسند آخر عن أبي عبدالله </w:t>
      </w:r>
      <w:r w:rsidR="00E3253D" w:rsidRPr="00E34189">
        <w:rPr>
          <w:rStyle w:val="libFootnoteAlaemChar"/>
          <w:rtl/>
        </w:rPr>
        <w:t>عليه‌السلام</w:t>
      </w:r>
      <w:r w:rsidR="00E3253D" w:rsidRPr="005D642E">
        <w:rPr>
          <w:rtl/>
        </w:rPr>
        <w:t xml:space="preserve"> ، مع اختلاف يسير</w:t>
      </w:r>
      <w:r w:rsidR="00E34189">
        <w:rPr>
          <w:rFonts w:hint="cs"/>
          <w:rtl/>
        </w:rPr>
        <w:t>.</w:t>
      </w:r>
      <w:r w:rsidR="00E3253D" w:rsidRPr="002F4D34">
        <w:rPr>
          <w:rStyle w:val="libFootnoteBoldChar"/>
          <w:rtl/>
        </w:rPr>
        <w:t>الوافي</w:t>
      </w:r>
      <w:r w:rsidR="00E3253D" w:rsidRPr="005D642E">
        <w:rPr>
          <w:rtl/>
        </w:rPr>
        <w:t xml:space="preserve"> ، ج 6 ، ص 581 ، ح 4978 ؛ </w:t>
      </w:r>
      <w:r w:rsidR="00E3253D" w:rsidRPr="002F4D34">
        <w:rPr>
          <w:rStyle w:val="libFootnoteBoldChar"/>
          <w:rtl/>
        </w:rPr>
        <w:t>الوسائل</w:t>
      </w:r>
      <w:r w:rsidR="00E3253D" w:rsidRPr="005D642E">
        <w:rPr>
          <w:rtl/>
        </w:rPr>
        <w:t xml:space="preserve"> ، ج 3 ، ص 359 ، ح 3863.</w:t>
      </w:r>
    </w:p>
    <w:tbl>
      <w:tblPr>
        <w:tblStyle w:val="TableGrid"/>
        <w:bidiVisual/>
        <w:tblW w:w="0" w:type="auto"/>
        <w:tblLook w:val="04A0" w:firstRow="1" w:lastRow="0" w:firstColumn="1" w:lastColumn="0" w:noHBand="0" w:noVBand="1"/>
      </w:tblPr>
      <w:tblGrid>
        <w:gridCol w:w="4006"/>
        <w:gridCol w:w="4006"/>
      </w:tblGrid>
      <w:tr w:rsidR="00E34189" w:rsidTr="00E34189">
        <w:tc>
          <w:tcPr>
            <w:tcW w:w="4006" w:type="dxa"/>
          </w:tcPr>
          <w:p w:rsidR="00E34189" w:rsidRDefault="00E34189" w:rsidP="00E3253D">
            <w:pPr>
              <w:pStyle w:val="libFootnote0"/>
              <w:rPr>
                <w:rStyle w:val="libFootnote0Char"/>
                <w:rtl/>
              </w:rPr>
            </w:pPr>
            <w:r w:rsidRPr="0042621E">
              <w:rPr>
                <w:rStyle w:val="libFootnote0Char"/>
                <w:rtl/>
              </w:rPr>
              <w:t>(7).</w:t>
            </w:r>
            <w:r w:rsidRPr="005D642E">
              <w:rPr>
                <w:rtl/>
              </w:rPr>
              <w:t xml:space="preserve"> المائدة </w:t>
            </w:r>
            <w:r w:rsidRPr="0042621E">
              <w:rPr>
                <w:rStyle w:val="libFootnote0Char"/>
                <w:rtl/>
              </w:rPr>
              <w:t>(5).</w:t>
            </w:r>
            <w:r w:rsidRPr="005D642E">
              <w:rPr>
                <w:rtl/>
              </w:rPr>
              <w:t xml:space="preserve"> : 38.</w:t>
            </w:r>
          </w:p>
        </w:tc>
        <w:tc>
          <w:tcPr>
            <w:tcW w:w="4006" w:type="dxa"/>
          </w:tcPr>
          <w:p w:rsidR="00E34189" w:rsidRDefault="00E34189" w:rsidP="00E3253D">
            <w:pPr>
              <w:pStyle w:val="libFootnote0"/>
              <w:rPr>
                <w:rStyle w:val="libFootnote0Char"/>
                <w:rtl/>
              </w:rPr>
            </w:pPr>
            <w:r w:rsidRPr="0042621E">
              <w:rPr>
                <w:rStyle w:val="libFootnote0Char"/>
                <w:rtl/>
              </w:rPr>
              <w:t>(8).</w:t>
            </w:r>
            <w:r w:rsidRPr="005D642E">
              <w:rPr>
                <w:rtl/>
              </w:rPr>
              <w:t xml:space="preserve"> المائدة </w:t>
            </w:r>
            <w:r w:rsidRPr="0042621E">
              <w:rPr>
                <w:rStyle w:val="libFootnote0Char"/>
                <w:rtl/>
              </w:rPr>
              <w:t>(5).</w:t>
            </w:r>
            <w:r w:rsidRPr="005D642E">
              <w:rPr>
                <w:rtl/>
              </w:rPr>
              <w:t xml:space="preserve"> : 6.</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 وقال »</w:t>
      </w:r>
      <w:r w:rsidR="00E3253D">
        <w:rPr>
          <w:rtl/>
        </w:rPr>
        <w:t>.</w:t>
      </w:r>
      <w:r w:rsidR="00E3253D" w:rsidRPr="005D642E">
        <w:rPr>
          <w:rtl/>
        </w:rPr>
        <w:t xml:space="preserve"> وفي الاستبصار :</w:t>
      </w:r>
      <w:r w:rsidR="00E3253D">
        <w:rPr>
          <w:rtl/>
        </w:rPr>
        <w:t xml:space="preserve"> </w:t>
      </w:r>
      <w:r w:rsidR="007642BC">
        <w:rPr>
          <w:rtl/>
        </w:rPr>
        <w:t>-</w:t>
      </w:r>
      <w:r w:rsidR="00E3253D">
        <w:rPr>
          <w:rtl/>
        </w:rPr>
        <w:t xml:space="preserve"> </w:t>
      </w:r>
      <w:r w:rsidR="00E3253D" w:rsidRPr="005D642E">
        <w:rPr>
          <w:rtl/>
        </w:rPr>
        <w:t>« قال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96002D">
      <w:pPr>
        <w:pStyle w:val="libNormal0"/>
        <w:rPr>
          <w:rtl/>
          <w:lang w:bidi="fa-IR"/>
        </w:rPr>
      </w:pPr>
      <w:r w:rsidRPr="005D642E">
        <w:rPr>
          <w:rtl/>
          <w:lang w:bidi="fa-IR"/>
        </w:rPr>
        <w:lastRenderedPageBreak/>
        <w:t xml:space="preserve">« فَامْسَحْ </w:t>
      </w:r>
      <w:r w:rsidRPr="007C12DB">
        <w:rPr>
          <w:rStyle w:val="libFootnotenumChar"/>
          <w:rtl/>
        </w:rPr>
        <w:t>(1)</w:t>
      </w:r>
      <w:r w:rsidRPr="005D642E">
        <w:rPr>
          <w:rtl/>
          <w:lang w:bidi="fa-IR"/>
        </w:rPr>
        <w:t xml:space="preserve"> عَلى كَفَّيْكَ مِنْ حَيْثُ مَوْضِعِ الْقَطْعِ </w:t>
      </w:r>
      <w:r w:rsidRPr="007C12DB">
        <w:rPr>
          <w:rStyle w:val="libFootnotenumChar"/>
          <w:rtl/>
        </w:rPr>
        <w:t>(2)</w:t>
      </w:r>
      <w:r w:rsidRPr="005D642E">
        <w:rPr>
          <w:rtl/>
          <w:lang w:bidi="fa-IR"/>
        </w:rPr>
        <w:t xml:space="preserve"> » وَقَالَ </w:t>
      </w:r>
      <w:r w:rsidRPr="007C12DB">
        <w:rPr>
          <w:rStyle w:val="libFootnotenumChar"/>
          <w:rtl/>
        </w:rPr>
        <w:t>(3)</w:t>
      </w:r>
      <w:r w:rsidRPr="005D642E">
        <w:rPr>
          <w:rtl/>
          <w:lang w:bidi="fa-IR"/>
        </w:rPr>
        <w:t xml:space="preserve"> : </w:t>
      </w:r>
      <w:r w:rsidRPr="00AC51C5">
        <w:rPr>
          <w:rStyle w:val="libAlaemChar"/>
          <w:rtl/>
        </w:rPr>
        <w:t>(</w:t>
      </w:r>
      <w:r w:rsidRPr="00AC51C5">
        <w:rPr>
          <w:rStyle w:val="libAieChar"/>
          <w:rtl/>
        </w:rPr>
        <w:t xml:space="preserve"> وَما كانَ رَبُّكَ نَسِيًّا</w:t>
      </w:r>
      <w:r w:rsidRPr="00AC51C5">
        <w:rPr>
          <w:rStyle w:val="libAlaemChar"/>
          <w:rtl/>
        </w:rPr>
        <w:t>)</w:t>
      </w:r>
      <w:r w:rsidRPr="007C12DB">
        <w:rPr>
          <w:rStyle w:val="libFootnotenumChar"/>
          <w:rtl/>
        </w:rPr>
        <w:t>(4)</w:t>
      </w:r>
      <w:r w:rsidR="0096002D" w:rsidRPr="005D642E">
        <w:rPr>
          <w:rtl/>
          <w:lang w:bidi="fa-IR"/>
        </w:rPr>
        <w:t>»</w:t>
      </w:r>
      <w:r w:rsidR="0096002D">
        <w:rPr>
          <w:rFonts w:hint="cs"/>
          <w:rtl/>
          <w:lang w:bidi="fa-IR"/>
        </w:rPr>
        <w:t>.</w:t>
      </w:r>
      <w:r w:rsidRPr="007C12DB">
        <w:rPr>
          <w:rStyle w:val="libFootnotenumChar"/>
          <w:rtl/>
        </w:rPr>
        <w:t>(5)</w:t>
      </w:r>
      <w:r w:rsidRPr="005D642E">
        <w:rPr>
          <w:rtl/>
          <w:lang w:bidi="fa-IR"/>
        </w:rPr>
        <w:t>‌</w:t>
      </w:r>
    </w:p>
    <w:p w:rsidR="00E3253D" w:rsidRPr="005D642E" w:rsidRDefault="00E3253D" w:rsidP="00E3253D">
      <w:pPr>
        <w:pStyle w:val="libNormal"/>
        <w:rPr>
          <w:rtl/>
          <w:lang w:bidi="fa-IR"/>
        </w:rPr>
      </w:pPr>
      <w:r w:rsidRPr="00F406C4">
        <w:rPr>
          <w:rtl/>
        </w:rPr>
        <w:t>4104</w:t>
      </w:r>
      <w:r w:rsidRPr="00246318">
        <w:rPr>
          <w:rStyle w:val="libBold2Char"/>
          <w:rtl/>
        </w:rPr>
        <w:t xml:space="preserve"> / 3.</w:t>
      </w:r>
      <w:r w:rsidRPr="005D642E">
        <w:rPr>
          <w:rtl/>
          <w:lang w:bidi="fa-IR"/>
        </w:rPr>
        <w:t xml:space="preserve"> مُحَمَّدُ بْنُ يَحْيى </w:t>
      </w:r>
      <w:r w:rsidRPr="007C12DB">
        <w:rPr>
          <w:rStyle w:val="libFootnotenumChar"/>
          <w:rtl/>
        </w:rPr>
        <w:t>(6)</w:t>
      </w:r>
      <w:r w:rsidRPr="005D642E">
        <w:rPr>
          <w:rtl/>
          <w:lang w:bidi="fa-IR"/>
        </w:rPr>
        <w:t xml:space="preserve"> ، عَنْ مُحَمَّدِ بْنِ الْحُسَيْنِ ، عَنْ صَفْوَانَ ، عَنِ الْكَاهِلِيِّ ، قَالَ :</w:t>
      </w:r>
    </w:p>
    <w:p w:rsidR="00E3253D" w:rsidRPr="005D642E" w:rsidRDefault="00E3253D" w:rsidP="00E3253D">
      <w:pPr>
        <w:pStyle w:val="libNormal"/>
        <w:rPr>
          <w:rtl/>
          <w:lang w:bidi="fa-IR"/>
        </w:rPr>
      </w:pPr>
      <w:r w:rsidRPr="005D642E">
        <w:rPr>
          <w:rtl/>
          <w:lang w:bidi="fa-IR"/>
        </w:rPr>
        <w:t xml:space="preserve">سَأَلْتُهُ عَنِ التَّيَمُّمِ ، قَالَ : فَضَرَبَ بِيَدِهِ </w:t>
      </w:r>
      <w:r w:rsidRPr="007C12DB">
        <w:rPr>
          <w:rStyle w:val="libFootnotenumChar"/>
          <w:rtl/>
        </w:rPr>
        <w:t>(7)</w:t>
      </w:r>
      <w:r w:rsidRPr="005D642E">
        <w:rPr>
          <w:rtl/>
          <w:lang w:bidi="fa-IR"/>
        </w:rPr>
        <w:t xml:space="preserve"> عَلَى الْبِسَاطِ </w:t>
      </w:r>
      <w:r w:rsidRPr="007C12DB">
        <w:rPr>
          <w:rStyle w:val="libFootnotenumChar"/>
          <w:rtl/>
        </w:rPr>
        <w:t>(8)</w:t>
      </w:r>
      <w:r w:rsidRPr="005D642E">
        <w:rPr>
          <w:rtl/>
          <w:lang w:bidi="fa-IR"/>
        </w:rPr>
        <w:t xml:space="preserve"> ، فَمَسَحَ بِهَا </w:t>
      </w:r>
      <w:r w:rsidRPr="007C12DB">
        <w:rPr>
          <w:rStyle w:val="libFootnotenumChar"/>
          <w:rtl/>
        </w:rPr>
        <w:t>(9)</w:t>
      </w:r>
      <w:r w:rsidRPr="005D642E">
        <w:rPr>
          <w:rtl/>
          <w:lang w:bidi="fa-IR"/>
        </w:rPr>
        <w:t xml:space="preserve"> وَجْهَهُ ، ثُمَّ مَسَحَ‌</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بف » </w:t>
      </w:r>
      <w:r w:rsidR="00B60612" w:rsidRPr="00B60612">
        <w:rPr>
          <w:rStyle w:val="libFootnoteBoldChar"/>
          <w:rtl/>
        </w:rPr>
        <w:t>والتهذيب</w:t>
      </w:r>
      <w:r w:rsidR="00E3253D" w:rsidRPr="005D642E">
        <w:rPr>
          <w:rtl/>
        </w:rPr>
        <w:t xml:space="preserve"> : « وامسح »</w:t>
      </w:r>
      <w:r w:rsidR="00E3253D">
        <w:rPr>
          <w:rtl/>
        </w:rPr>
        <w:t>.</w:t>
      </w:r>
      <w:r w:rsidR="00E3253D" w:rsidRPr="005D642E">
        <w:rPr>
          <w:rtl/>
        </w:rPr>
        <w:t xml:space="preserve"> وفي الاستبصار : « امسح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المعنى : يُعلَم من إطلاق الأيدي في آيتي السرقة والتيمّم وتقييده في آية الوضوء بالتحديد إلى المرافق أنّ التيمّم من موضع القطع ، وهو عند العامّة الزند ، وعندنا ا</w:t>
      </w:r>
      <w:r w:rsidR="0096002D">
        <w:rPr>
          <w:rFonts w:hint="cs"/>
          <w:rtl/>
        </w:rPr>
        <w:t>ُ</w:t>
      </w:r>
      <w:r w:rsidR="00E3253D" w:rsidRPr="005D642E">
        <w:rPr>
          <w:rtl/>
        </w:rPr>
        <w:t>صول الأصابع وبما أنّ التيمّم عند أكثر الأصحاب من الزند ، فهذا الخبر شاذّ يوافقهم في موضع القطع وينافي قول الأكثر في التيمّم وما</w:t>
      </w:r>
      <w:r w:rsidR="000B1DC6">
        <w:rPr>
          <w:rtl/>
        </w:rPr>
        <w:t xml:space="preserve"> سلف من الأخبار. قال العل</w:t>
      </w:r>
      <w:r w:rsidR="000B1DC6">
        <w:rPr>
          <w:rFonts w:hint="cs"/>
          <w:rtl/>
        </w:rPr>
        <w:t>ّ</w:t>
      </w:r>
      <w:r w:rsidR="000B1DC6">
        <w:rPr>
          <w:rtl/>
        </w:rPr>
        <w:t>ا</w:t>
      </w:r>
      <w:r w:rsidR="00E3253D" w:rsidRPr="005D642E">
        <w:rPr>
          <w:rtl/>
        </w:rPr>
        <w:t>مة المجلسي : « يمكن أن يقال : هذا إلزاميّ علي العامّة وموضع القطع عندهم الزند ، ونقل ابن إدريس عن بعض الأصحاب : أنّ المسح من ا</w:t>
      </w:r>
      <w:r w:rsidR="000B1DC6">
        <w:rPr>
          <w:rFonts w:hint="cs"/>
          <w:rtl/>
        </w:rPr>
        <w:t>ُ</w:t>
      </w:r>
      <w:r w:rsidR="00E3253D" w:rsidRPr="005D642E">
        <w:rPr>
          <w:rtl/>
        </w:rPr>
        <w:t>صول الأصابع إلى رؤوسها في التيمّم ، وهذا الخبر إلزام يصلح مستنداً لهم »</w:t>
      </w:r>
      <w:r w:rsidR="00E3253D">
        <w:rPr>
          <w:rtl/>
        </w:rPr>
        <w:t>.</w:t>
      </w:r>
      <w:r w:rsidR="00E3253D" w:rsidRPr="005D642E">
        <w:rPr>
          <w:rtl/>
        </w:rPr>
        <w:t xml:space="preserve"> راجع : </w:t>
      </w:r>
      <w:r w:rsidR="00E3253D" w:rsidRPr="002F4D34">
        <w:rPr>
          <w:rStyle w:val="libFootnoteBoldChar"/>
          <w:rtl/>
        </w:rPr>
        <w:t>الوافي</w:t>
      </w:r>
      <w:r w:rsidR="00E3253D" w:rsidRPr="005D642E">
        <w:rPr>
          <w:rtl/>
        </w:rPr>
        <w:t xml:space="preserve"> ، ج 6 ، ص 584 ؛ </w:t>
      </w:r>
      <w:r w:rsidR="00E3253D" w:rsidRPr="002F4D34">
        <w:rPr>
          <w:rStyle w:val="libFootnoteBoldChar"/>
          <w:rtl/>
        </w:rPr>
        <w:t>مرآة العقول</w:t>
      </w:r>
      <w:r w:rsidR="00E3253D" w:rsidRPr="005D642E">
        <w:rPr>
          <w:rtl/>
        </w:rPr>
        <w:t xml:space="preserve"> ، ج 13 ، ص 173.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الاستبصار : + « الله تعالى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مريم (19) : 64. أي إنّ الله تعالى لم يبهم أحكامه ولم ينس بيانها بل بيّنها بحججه </w:t>
      </w:r>
      <w:r w:rsidR="00E3253D" w:rsidRPr="000B1DC6">
        <w:rPr>
          <w:rStyle w:val="libFootnoteAlaemChar"/>
          <w:rtl/>
        </w:rPr>
        <w:t>عليهم‌السلام</w:t>
      </w:r>
      <w:r w:rsidR="00E3253D" w:rsidRPr="005D642E">
        <w:rPr>
          <w:rtl/>
        </w:rPr>
        <w:t xml:space="preserve"> أو بيّنها في كتابه على وجه يفهمها حججه </w:t>
      </w:r>
      <w:r w:rsidR="00E3253D" w:rsidRPr="000B1DC6">
        <w:rPr>
          <w:rStyle w:val="libFootnoteAlaemChar"/>
          <w:rtl/>
        </w:rPr>
        <w:t>عليهم‌السلام</w:t>
      </w:r>
      <w:r w:rsidR="00E3253D" w:rsidRPr="005D642E">
        <w:rPr>
          <w:rtl/>
        </w:rPr>
        <w:t xml:space="preserve"> </w:t>
      </w:r>
      <w:r w:rsidR="000B1DC6">
        <w:rPr>
          <w:rtl/>
        </w:rPr>
        <w:t>، فيجب الرجوع إليهم. قاله العل</w:t>
      </w:r>
      <w:r w:rsidR="000B1DC6">
        <w:rPr>
          <w:rFonts w:hint="cs"/>
          <w:rtl/>
        </w:rPr>
        <w:t>ّ</w:t>
      </w:r>
      <w:r w:rsidR="000B1DC6">
        <w:rPr>
          <w:rtl/>
        </w:rPr>
        <w:t>ا</w:t>
      </w:r>
      <w:r w:rsidR="00E3253D" w:rsidRPr="005D642E">
        <w:rPr>
          <w:rtl/>
        </w:rPr>
        <w:t xml:space="preserve">مة المجلسي في </w:t>
      </w:r>
      <w:r w:rsidR="00E3253D" w:rsidRPr="002F4D34">
        <w:rPr>
          <w:rStyle w:val="libFootnoteBoldChar"/>
          <w:rtl/>
        </w:rPr>
        <w:t>مرآة العقول</w:t>
      </w:r>
      <w:r w:rsidR="00E3253D" w:rsidRPr="005D642E">
        <w:rPr>
          <w:rtl/>
        </w:rPr>
        <w:t xml:space="preserve">. وقيل غير ذلك. فراجع : </w:t>
      </w:r>
      <w:r w:rsidR="00E3253D" w:rsidRPr="002F4D34">
        <w:rPr>
          <w:rStyle w:val="libFootnoteBoldChar"/>
          <w:rtl/>
        </w:rPr>
        <w:t>الوافي</w:t>
      </w:r>
      <w:r w:rsidR="00E3253D" w:rsidRPr="005D642E">
        <w:rPr>
          <w:rtl/>
        </w:rPr>
        <w:t xml:space="preserve"> ، ج 6 ، ص 584.</w:t>
      </w:r>
    </w:p>
    <w:p w:rsidR="00E3253D" w:rsidRPr="005D642E" w:rsidRDefault="0042621E" w:rsidP="000B1DC6">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207 ، ح 599 ؛ </w:t>
      </w:r>
      <w:r w:rsidR="00E3253D" w:rsidRPr="00E678B5">
        <w:rPr>
          <w:rStyle w:val="libFootnoteBoldChar"/>
          <w:rtl/>
        </w:rPr>
        <w:t>والاستبصار</w:t>
      </w:r>
      <w:r w:rsidR="00E3253D" w:rsidRPr="005D642E">
        <w:rPr>
          <w:rtl/>
        </w:rPr>
        <w:t xml:space="preserve"> ، ج 1 ، ص 170 ، ح 588 ، بسندهما عن الكليني. </w:t>
      </w:r>
      <w:r w:rsidR="00E3253D" w:rsidRPr="002F4D34">
        <w:rPr>
          <w:rStyle w:val="libFootnoteBoldChar"/>
          <w:rtl/>
        </w:rPr>
        <w:t>تفسير العيّاشي</w:t>
      </w:r>
      <w:r w:rsidR="00E3253D" w:rsidRPr="005D642E">
        <w:rPr>
          <w:rtl/>
        </w:rPr>
        <w:t xml:space="preserve"> ، ج 1 ، ص 318 ، ح 102 ، عن حمّاد بن عيسى ، عن بعض أصحابه ، عن أبي عبدالله </w:t>
      </w:r>
      <w:r w:rsidR="00E3253D" w:rsidRPr="000B1DC6">
        <w:rPr>
          <w:rStyle w:val="libFootnoteAlaemChar"/>
          <w:rtl/>
        </w:rPr>
        <w:t>عليه‌السلام</w:t>
      </w:r>
      <w:r w:rsidR="000B1DC6">
        <w:rPr>
          <w:rFonts w:hint="cs"/>
          <w:rtl/>
        </w:rPr>
        <w:t>.</w:t>
      </w:r>
      <w:r w:rsidR="00E3253D" w:rsidRPr="002F4D34">
        <w:rPr>
          <w:rStyle w:val="libFootnoteBoldChar"/>
          <w:rtl/>
        </w:rPr>
        <w:t>الوافي</w:t>
      </w:r>
      <w:r w:rsidR="00E3253D" w:rsidRPr="005D642E">
        <w:rPr>
          <w:rtl/>
        </w:rPr>
        <w:t xml:space="preserve"> ، ج 6 ، ص 584 ، ح 4987 ؛ </w:t>
      </w:r>
      <w:r w:rsidR="00E3253D" w:rsidRPr="002F4D34">
        <w:rPr>
          <w:rStyle w:val="libFootnoteBoldChar"/>
          <w:rtl/>
        </w:rPr>
        <w:t>الوسائل</w:t>
      </w:r>
      <w:r w:rsidR="00E3253D" w:rsidRPr="005D642E">
        <w:rPr>
          <w:rtl/>
        </w:rPr>
        <w:t xml:space="preserve"> ، ج 3 ، ص 365 ، ح 3879.</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الاستبصار</w:t>
      </w:r>
      <w:r w:rsidR="00E3253D" w:rsidRPr="005D642E">
        <w:rPr>
          <w:rtl/>
        </w:rPr>
        <w:t xml:space="preserve"> : « محمّد بن عيسى »</w:t>
      </w:r>
      <w:r w:rsidR="00E3253D">
        <w:rPr>
          <w:rtl/>
        </w:rPr>
        <w:t>.</w:t>
      </w:r>
      <w:r w:rsidR="00E3253D" w:rsidRPr="005D642E">
        <w:rPr>
          <w:rtl/>
        </w:rPr>
        <w:t xml:space="preserve"> والمذكور في بعض نسخه « محمّد بن يحيى »</w:t>
      </w:r>
      <w:r w:rsidR="00E3253D">
        <w:rPr>
          <w:rtl/>
        </w:rPr>
        <w:t>.</w:t>
      </w:r>
      <w:r w:rsidR="00E3253D" w:rsidRPr="005D642E">
        <w:rPr>
          <w:rtl/>
        </w:rPr>
        <w:t xml:space="preserve"> وهو الصواب ؛ فقد روى‌محمّد بن يحيى</w:t>
      </w:r>
      <w:r w:rsidR="00E3253D">
        <w:rPr>
          <w:rtl/>
        </w:rPr>
        <w:t xml:space="preserve"> </w:t>
      </w:r>
      <w:r w:rsidR="007642BC">
        <w:rPr>
          <w:rtl/>
        </w:rPr>
        <w:t>-</w:t>
      </w:r>
      <w:r w:rsidR="00E3253D">
        <w:rPr>
          <w:rtl/>
        </w:rPr>
        <w:t xml:space="preserve"> </w:t>
      </w:r>
      <w:r w:rsidR="00E3253D" w:rsidRPr="005D642E">
        <w:rPr>
          <w:rtl/>
        </w:rPr>
        <w:t>شيخ المصنّف</w:t>
      </w:r>
      <w:r w:rsidR="00E3253D">
        <w:rPr>
          <w:rtl/>
        </w:rPr>
        <w:t xml:space="preserve"> </w:t>
      </w:r>
      <w:r w:rsidR="007642BC">
        <w:rPr>
          <w:rtl/>
        </w:rPr>
        <w:t>-</w:t>
      </w:r>
      <w:r w:rsidR="00E3253D">
        <w:rPr>
          <w:rtl/>
        </w:rPr>
        <w:t xml:space="preserve"> </w:t>
      </w:r>
      <w:r w:rsidR="00E3253D" w:rsidRPr="005D642E">
        <w:rPr>
          <w:rtl/>
        </w:rPr>
        <w:t xml:space="preserve">عن محمّد بن الحسين عن صفوان [ بن يحيى ] في كثيرٍ من الأسناد ، ولم يعهد في مشايخ الكليني من يسمّى بمحمّد بن عيسى. راجع : </w:t>
      </w:r>
      <w:r w:rsidR="00E3253D" w:rsidRPr="002F4D34">
        <w:rPr>
          <w:rStyle w:val="libFootnoteBoldChar"/>
          <w:rtl/>
        </w:rPr>
        <w:t>معجم رجال الحديث</w:t>
      </w:r>
      <w:r w:rsidR="00E3253D" w:rsidRPr="005D642E">
        <w:rPr>
          <w:rtl/>
        </w:rPr>
        <w:t xml:space="preserve"> ، ج 15 ، ص 408</w:t>
      </w:r>
      <w:r w:rsidR="00E3253D">
        <w:rPr>
          <w:rtl/>
        </w:rPr>
        <w:t xml:space="preserve"> </w:t>
      </w:r>
      <w:r w:rsidR="007642BC">
        <w:rPr>
          <w:rtl/>
        </w:rPr>
        <w:t>-</w:t>
      </w:r>
      <w:r w:rsidR="00E3253D">
        <w:rPr>
          <w:rtl/>
        </w:rPr>
        <w:t xml:space="preserve"> </w:t>
      </w:r>
      <w:r w:rsidR="00E3253D" w:rsidRPr="005D642E">
        <w:rPr>
          <w:rtl/>
        </w:rPr>
        <w:t>412.</w:t>
      </w:r>
    </w:p>
    <w:p w:rsidR="00E3253D" w:rsidRPr="005D642E" w:rsidRDefault="00E3253D" w:rsidP="00E3253D">
      <w:pPr>
        <w:pStyle w:val="libFootnote0"/>
        <w:rPr>
          <w:rtl/>
          <w:lang w:bidi="fa-IR"/>
        </w:rPr>
      </w:pPr>
      <w:r w:rsidRPr="00B60612">
        <w:rPr>
          <w:rtl/>
        </w:rPr>
        <w:t xml:space="preserve">هذا ، وأمّا ما ورد في </w:t>
      </w:r>
      <w:r w:rsidRPr="002F4D34">
        <w:rPr>
          <w:rStyle w:val="libFootnoteBoldChar"/>
          <w:rtl/>
        </w:rPr>
        <w:t>التهذيب</w:t>
      </w:r>
      <w:r w:rsidRPr="00B60612">
        <w:rPr>
          <w:rtl/>
        </w:rPr>
        <w:t xml:space="preserve"> من نقل الخبر بسنده عن محمّد بن يعقوب ، عن محمّد بن الحسين ، عن صفوان ، فالظاهر وقوع السقط فيه بجواز النظر من « محمّد » في « محمدبن يحيى » إلى « محمّد » في « محمّد بن الحسين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والوسائل : « بيديه »</w:t>
      </w:r>
      <w:r w:rsidR="00E3253D">
        <w:rPr>
          <w:rtl/>
        </w:rPr>
        <w:t>.</w:t>
      </w:r>
    </w:p>
    <w:p w:rsidR="00E3253D" w:rsidRPr="005D642E" w:rsidRDefault="0042621E" w:rsidP="000B1DC6">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الحبل المتين</w:t>
      </w:r>
      <w:r w:rsidR="00E3253D" w:rsidRPr="005D642E">
        <w:rPr>
          <w:rtl/>
        </w:rPr>
        <w:t xml:space="preserve"> ، ص 299 : « ما تضمّنه الحديث من ضربه </w:t>
      </w:r>
      <w:r w:rsidR="00E3253D" w:rsidRPr="000B1DC6">
        <w:rPr>
          <w:rStyle w:val="libFootnoteAlaemChar"/>
          <w:rtl/>
        </w:rPr>
        <w:t>عليه‌السلام</w:t>
      </w:r>
      <w:r w:rsidR="00E3253D" w:rsidRPr="005D642E">
        <w:rPr>
          <w:rtl/>
        </w:rPr>
        <w:t xml:space="preserve"> بيده على البساط لا إشعار فيه بما يظهر من كلام المرتضى </w:t>
      </w:r>
      <w:r w:rsidR="000B1DC6" w:rsidRPr="000B1DC6">
        <w:rPr>
          <w:rStyle w:val="libFootnoteAlaemChar"/>
          <w:rtl/>
        </w:rPr>
        <w:t>رضي‌الله‌عنه</w:t>
      </w:r>
      <w:r w:rsidR="000B1DC6" w:rsidRPr="005D642E">
        <w:rPr>
          <w:rtl/>
        </w:rPr>
        <w:t xml:space="preserve"> </w:t>
      </w:r>
      <w:r w:rsidR="00E3253D" w:rsidRPr="005D642E">
        <w:rPr>
          <w:rtl/>
        </w:rPr>
        <w:t>من جواز التيمّم بغبار الثوب ونحوه</w:t>
      </w:r>
      <w:r w:rsidR="00E3253D">
        <w:rPr>
          <w:rtl/>
        </w:rPr>
        <w:t xml:space="preserve"> ..</w:t>
      </w:r>
      <w:r w:rsidR="00E3253D" w:rsidRPr="005D642E">
        <w:rPr>
          <w:rtl/>
        </w:rPr>
        <w:t xml:space="preserve">. لظهور أنّ غرض الإمام </w:t>
      </w:r>
      <w:r w:rsidR="00E3253D" w:rsidRPr="000B1DC6">
        <w:rPr>
          <w:rStyle w:val="libFootnoteAlaemChar"/>
          <w:rtl/>
        </w:rPr>
        <w:t>عليه‌السلام</w:t>
      </w:r>
      <w:r w:rsidR="00E3253D" w:rsidRPr="005D642E">
        <w:rPr>
          <w:rtl/>
        </w:rPr>
        <w:t xml:space="preserve"> بيان أصل أفعال التيمّم لا بيان جواز التيمّم بغبار البساط ونحوه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بث ، بخ ، جن » وحاشية « غ » </w:t>
      </w:r>
      <w:r w:rsidR="000D749A" w:rsidRPr="000D749A">
        <w:rPr>
          <w:rStyle w:val="libFootnoteBoldChar"/>
          <w:rtl/>
        </w:rPr>
        <w:t>والوافي</w:t>
      </w:r>
      <w:r w:rsidR="00E3253D" w:rsidRPr="005D642E">
        <w:rPr>
          <w:rtl/>
        </w:rPr>
        <w:t xml:space="preserve"> والوسائل : « بهما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كَفَّيْهِ إِحْدَاهُمَا </w:t>
      </w:r>
      <w:r w:rsidRPr="007C12DB">
        <w:rPr>
          <w:rStyle w:val="libFootnotenumChar"/>
          <w:rtl/>
        </w:rPr>
        <w:t>(1)</w:t>
      </w:r>
      <w:r w:rsidRPr="005D642E">
        <w:rPr>
          <w:rtl/>
          <w:lang w:bidi="fa-IR"/>
        </w:rPr>
        <w:t xml:space="preserve"> عَلى ظَهْرِ الْأُخْرى. </w:t>
      </w:r>
      <w:r w:rsidRPr="007C12DB">
        <w:rPr>
          <w:rStyle w:val="libFootnotenumChar"/>
          <w:rtl/>
        </w:rPr>
        <w:t>(2)</w:t>
      </w:r>
    </w:p>
    <w:p w:rsidR="00E3253D" w:rsidRPr="005D642E" w:rsidRDefault="00E3253D" w:rsidP="00E3253D">
      <w:pPr>
        <w:pStyle w:val="libNormal"/>
        <w:rPr>
          <w:rtl/>
          <w:lang w:bidi="fa-IR"/>
        </w:rPr>
      </w:pPr>
      <w:r w:rsidRPr="00F406C4">
        <w:rPr>
          <w:rtl/>
        </w:rPr>
        <w:t>4105</w:t>
      </w:r>
      <w:r w:rsidRPr="00246318">
        <w:rPr>
          <w:rStyle w:val="libBold2Char"/>
          <w:rtl/>
        </w:rPr>
        <w:t xml:space="preserve"> / 4.</w:t>
      </w:r>
      <w:r w:rsidRPr="005D642E">
        <w:rPr>
          <w:rtl/>
          <w:lang w:bidi="fa-IR"/>
        </w:rPr>
        <w:t xml:space="preserve"> عَلِيُّ بْنُ إِبْرَاهِيمَ ، عَنْ مُحَمَّدِ بْنِ عِيسى ، عَنْ يُونُسَ ، عَنْ أَبِي أَيُّوبَ الْخَرَّازِ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التَّيَمُّمِ ، فَقَالَ </w:t>
      </w:r>
      <w:r w:rsidRPr="007C12DB">
        <w:rPr>
          <w:rStyle w:val="libFootnotenumChar"/>
          <w:rtl/>
        </w:rPr>
        <w:t>(4)</w:t>
      </w:r>
      <w:r w:rsidRPr="005D642E">
        <w:rPr>
          <w:rtl/>
          <w:lang w:bidi="fa-IR"/>
        </w:rPr>
        <w:t xml:space="preserve"> : « إِنَّ عَمَّارَ بْنَ يَاسِرٍ </w:t>
      </w:r>
      <w:r w:rsidRPr="007C12DB">
        <w:rPr>
          <w:rStyle w:val="libFootnotenumChar"/>
          <w:rtl/>
        </w:rPr>
        <w:t>(5)</w:t>
      </w:r>
      <w:r w:rsidRPr="005D642E">
        <w:rPr>
          <w:rtl/>
          <w:lang w:bidi="fa-IR"/>
        </w:rPr>
        <w:t xml:space="preserve"> أَصَابَتْهُ جَنَابَةٌ ، فَتَمَعَّكَ </w:t>
      </w:r>
      <w:r w:rsidRPr="007C12DB">
        <w:rPr>
          <w:rStyle w:val="libFootnotenumChar"/>
          <w:rtl/>
        </w:rPr>
        <w:t>(6)</w:t>
      </w:r>
      <w:r w:rsidRPr="005D642E">
        <w:rPr>
          <w:rtl/>
          <w:lang w:bidi="fa-IR"/>
        </w:rPr>
        <w:t xml:space="preserve"> كَمَا تَتَمَعَّكُ </w:t>
      </w:r>
      <w:r w:rsidRPr="007C12DB">
        <w:rPr>
          <w:rStyle w:val="libFootnotenumChar"/>
          <w:rtl/>
        </w:rPr>
        <w:t>(7)</w:t>
      </w:r>
      <w:r w:rsidRPr="005D642E">
        <w:rPr>
          <w:rtl/>
          <w:lang w:bidi="fa-IR"/>
        </w:rPr>
        <w:t xml:space="preserve"> الدَّابَّةُ ، فَقَالَ لَهُ </w:t>
      </w:r>
      <w:r w:rsidRPr="007C12DB">
        <w:rPr>
          <w:rStyle w:val="libFootnotenumChar"/>
          <w:rtl/>
        </w:rPr>
        <w:t>(8)</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 يَا عَمَّارُ ، تَمَعَّكْتَ كَمَا تَتَمَعَّكُ </w:t>
      </w:r>
      <w:r w:rsidRPr="007C12DB">
        <w:rPr>
          <w:rStyle w:val="libFootnotenumChar"/>
          <w:rtl/>
        </w:rPr>
        <w:t>(9)</w:t>
      </w:r>
      <w:r w:rsidRPr="005D642E">
        <w:rPr>
          <w:rtl/>
          <w:lang w:bidi="fa-IR"/>
        </w:rPr>
        <w:t xml:space="preserve"> الدَّابَّةُ</w:t>
      </w:r>
      <w:r>
        <w:rPr>
          <w:rtl/>
          <w:lang w:bidi="fa-IR"/>
        </w:rPr>
        <w:t>؟!</w:t>
      </w:r>
      <w:r w:rsidRPr="005D642E">
        <w:rPr>
          <w:rtl/>
          <w:lang w:bidi="fa-IR"/>
        </w:rPr>
        <w:t xml:space="preserve"> » ‌</w:t>
      </w:r>
    </w:p>
    <w:p w:rsidR="00E3253D" w:rsidRPr="005D642E" w:rsidRDefault="00E3253D" w:rsidP="00E3253D">
      <w:pPr>
        <w:pStyle w:val="libNormal"/>
        <w:rPr>
          <w:rtl/>
          <w:lang w:bidi="fa-IR"/>
        </w:rPr>
      </w:pPr>
      <w:r w:rsidRPr="005D642E">
        <w:rPr>
          <w:rtl/>
          <w:lang w:bidi="fa-IR"/>
        </w:rPr>
        <w:t xml:space="preserve">فَقُلْتُ </w:t>
      </w:r>
      <w:r w:rsidRPr="007C12DB">
        <w:rPr>
          <w:rStyle w:val="libFootnotenumChar"/>
          <w:rtl/>
        </w:rPr>
        <w:t>(10)</w:t>
      </w:r>
      <w:r w:rsidRPr="005D642E">
        <w:rPr>
          <w:rtl/>
          <w:lang w:bidi="fa-IR"/>
        </w:rPr>
        <w:t xml:space="preserve"> لَهُ : كَيْفَ التَّيَمُّمُ</w:t>
      </w:r>
      <w:r>
        <w:rPr>
          <w:rtl/>
          <w:lang w:bidi="fa-IR"/>
        </w:rPr>
        <w:t>؟</w:t>
      </w:r>
      <w:r w:rsidRPr="005D642E">
        <w:rPr>
          <w:rtl/>
          <w:lang w:bidi="fa-IR"/>
        </w:rPr>
        <w:t xml:space="preserve"> فَوَضَعَ يَدَهُ عَلَى الْمِسْحِ </w:t>
      </w:r>
      <w:r w:rsidRPr="007C12DB">
        <w:rPr>
          <w:rStyle w:val="libFootnotenumChar"/>
          <w:rtl/>
        </w:rPr>
        <w:t>(11)</w:t>
      </w:r>
      <w:r w:rsidRPr="005D642E">
        <w:rPr>
          <w:rtl/>
          <w:lang w:bidi="fa-IR"/>
        </w:rPr>
        <w:t xml:space="preserve"> ، ثُمَّ رَفَعَهَا ، فَمَسَحَ وَجْهَهُ ، ثُمَّ‌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بث ، جس » ومرآة العقول : « أحدهما »</w:t>
      </w:r>
      <w:r w:rsidR="00E3253D">
        <w:rPr>
          <w:rtl/>
        </w:rPr>
        <w:t>.</w:t>
      </w:r>
    </w:p>
    <w:p w:rsidR="00E3253D" w:rsidRPr="005D642E" w:rsidRDefault="0042621E" w:rsidP="001D40F5">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207 ، ح 600 ، بسنده عن الكليني ، عن محمّد بن الحسين ؛ </w:t>
      </w:r>
      <w:r w:rsidR="00E3253D" w:rsidRPr="002F4D34">
        <w:rPr>
          <w:rStyle w:val="libFootnoteBoldChar"/>
          <w:rtl/>
        </w:rPr>
        <w:t>الاستبصار</w:t>
      </w:r>
      <w:r w:rsidR="00E3253D" w:rsidRPr="005D642E">
        <w:rPr>
          <w:rtl/>
        </w:rPr>
        <w:t xml:space="preserve"> ، ج 1 ، ص 170 ، ح 589 ، بسنده عن الكليني ، عن محمّد بن عيسى ، عن محمّد بن الحسين</w:t>
      </w:r>
      <w:r w:rsidR="001D40F5">
        <w:rPr>
          <w:rFonts w:hint="cs"/>
          <w:rtl/>
        </w:rPr>
        <w:t>.</w:t>
      </w:r>
      <w:r w:rsidR="00E3253D" w:rsidRPr="002F4D34">
        <w:rPr>
          <w:rStyle w:val="libFootnoteBoldChar"/>
          <w:rtl/>
        </w:rPr>
        <w:t>الوافي</w:t>
      </w:r>
      <w:r w:rsidR="00E3253D" w:rsidRPr="005D642E">
        <w:rPr>
          <w:rtl/>
        </w:rPr>
        <w:t xml:space="preserve"> ، ج 6 ، ص 581 ، ح 4977 ؛ </w:t>
      </w:r>
      <w:r w:rsidR="00E3253D" w:rsidRPr="002F4D34">
        <w:rPr>
          <w:rStyle w:val="libFootnoteBoldChar"/>
          <w:rtl/>
        </w:rPr>
        <w:t>الوسائل</w:t>
      </w:r>
      <w:r w:rsidR="00E3253D" w:rsidRPr="005D642E">
        <w:rPr>
          <w:rtl/>
        </w:rPr>
        <w:t xml:space="preserve"> ، ج 3 ، ص 358 ، ح 3861.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ظ ، بث ، بخ ، جن » والوسائل. وفي « بح ، بس ، بف » والمطبوع : « الخزّاز »</w:t>
      </w:r>
      <w:r w:rsidR="00E3253D">
        <w:rPr>
          <w:rtl/>
        </w:rPr>
        <w:t>.</w:t>
      </w:r>
    </w:p>
    <w:p w:rsidR="00E3253D" w:rsidRPr="005D642E" w:rsidRDefault="00E3253D" w:rsidP="00E3253D">
      <w:pPr>
        <w:pStyle w:val="libFootnote0"/>
        <w:rPr>
          <w:rtl/>
          <w:lang w:bidi="fa-IR"/>
        </w:rPr>
      </w:pPr>
      <w:r w:rsidRPr="00B60612">
        <w:rPr>
          <w:rtl/>
        </w:rPr>
        <w:t xml:space="preserve">والصواب ما أثبتناه ، كما تقدّم في </w:t>
      </w:r>
      <w:r w:rsidRPr="002F4D34">
        <w:rPr>
          <w:rStyle w:val="libFootnoteBoldChar"/>
          <w:rtl/>
        </w:rPr>
        <w:t>الكافي</w:t>
      </w:r>
      <w:r w:rsidRPr="00B60612">
        <w:rPr>
          <w:rtl/>
        </w:rPr>
        <w:t xml:space="preserve"> ، ذيل ح 75.</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w:t>
      </w:r>
      <w:r w:rsidR="00B60612" w:rsidRPr="00B60612">
        <w:rPr>
          <w:rStyle w:val="libFootnoteBoldChar"/>
          <w:rtl/>
        </w:rPr>
        <w:t>والتهذيب</w:t>
      </w:r>
      <w:r w:rsidR="00E3253D" w:rsidRPr="005D642E">
        <w:rPr>
          <w:rtl/>
        </w:rPr>
        <w:t xml:space="preserve"> : « قال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عمّاراً » بدل « عمّار بن ياسر »</w:t>
      </w:r>
      <w:r w:rsidR="00E3253D">
        <w:rPr>
          <w:rtl/>
        </w:rPr>
        <w:t>.</w:t>
      </w:r>
    </w:p>
    <w:p w:rsidR="00E3253D" w:rsidRPr="005D642E" w:rsidRDefault="0042621E" w:rsidP="00E3253D">
      <w:pPr>
        <w:pStyle w:val="libFootnote0"/>
        <w:rPr>
          <w:rtl/>
          <w:lang w:bidi="fa-IR"/>
        </w:rPr>
      </w:pPr>
      <w:r w:rsidRPr="0042621E">
        <w:rPr>
          <w:rStyle w:val="libFootnote0Char"/>
          <w:rtl/>
        </w:rPr>
        <w:t>(6).</w:t>
      </w:r>
      <w:r w:rsidR="00524C24">
        <w:rPr>
          <w:rtl/>
        </w:rPr>
        <w:t xml:space="preserve"> الم</w:t>
      </w:r>
      <w:r w:rsidR="00524C24">
        <w:rPr>
          <w:rFonts w:hint="cs"/>
          <w:rtl/>
        </w:rPr>
        <w:t>ـَ</w:t>
      </w:r>
      <w:r w:rsidR="00E3253D" w:rsidRPr="005D642E">
        <w:rPr>
          <w:rtl/>
        </w:rPr>
        <w:t xml:space="preserve">عْكُ : دلكك الشي‌ء في التراب ، والتمعّك : التمرّغ والتقلّب في التراب. راجع : </w:t>
      </w:r>
      <w:r w:rsidR="00E3253D" w:rsidRPr="002F4D34">
        <w:rPr>
          <w:rStyle w:val="libFootnoteBoldChar"/>
          <w:rtl/>
        </w:rPr>
        <w:t>ترتيب كتاب العين</w:t>
      </w:r>
      <w:r w:rsidR="00E3253D" w:rsidRPr="005D642E">
        <w:rPr>
          <w:rtl/>
        </w:rPr>
        <w:t xml:space="preserve"> ، ج 3 ، ص 1717 ؛ </w:t>
      </w:r>
      <w:r w:rsidR="00E3253D" w:rsidRPr="002F4D34">
        <w:rPr>
          <w:rStyle w:val="libFootnoteBoldChar"/>
          <w:rtl/>
        </w:rPr>
        <w:t>لسان العرب</w:t>
      </w:r>
      <w:r w:rsidR="00E3253D" w:rsidRPr="005D642E">
        <w:rPr>
          <w:rtl/>
        </w:rPr>
        <w:t xml:space="preserve"> ، ج 10 ، ص 490 ( معك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والمراد أنّه ماسّ </w:t>
      </w:r>
      <w:r w:rsidR="00524C24">
        <w:rPr>
          <w:rtl/>
        </w:rPr>
        <w:t>التراب بجميع بدنه ، فكأنّه لم</w:t>
      </w:r>
      <w:r w:rsidR="00524C24">
        <w:rPr>
          <w:rFonts w:hint="cs"/>
          <w:rtl/>
        </w:rPr>
        <w:t>ـّ</w:t>
      </w:r>
      <w:r w:rsidR="00E3253D" w:rsidRPr="005D642E">
        <w:rPr>
          <w:rtl/>
        </w:rPr>
        <w:t>ا رأى التيمّم في موضع الغسل ظنّ أنّه مثله في استيعاب جميع البدن »</w:t>
      </w:r>
      <w:r w:rsidR="00E3253D">
        <w:rPr>
          <w:rtl/>
        </w:rPr>
        <w:t>.</w:t>
      </w:r>
    </w:p>
    <w:tbl>
      <w:tblPr>
        <w:tblStyle w:val="TableGrid"/>
        <w:bidiVisual/>
        <w:tblW w:w="0" w:type="auto"/>
        <w:tblLook w:val="04A0" w:firstRow="1" w:lastRow="0" w:firstColumn="1" w:lastColumn="0" w:noHBand="0" w:noVBand="1"/>
      </w:tblPr>
      <w:tblGrid>
        <w:gridCol w:w="4006"/>
        <w:gridCol w:w="4006"/>
      </w:tblGrid>
      <w:tr w:rsidR="00524C24" w:rsidTr="00524C24">
        <w:tc>
          <w:tcPr>
            <w:tcW w:w="4006" w:type="dxa"/>
          </w:tcPr>
          <w:p w:rsidR="00524C24" w:rsidRDefault="00524C24" w:rsidP="00E3253D">
            <w:pPr>
              <w:pStyle w:val="libFootnote0"/>
              <w:rPr>
                <w:rStyle w:val="libFootnote0Char"/>
                <w:rtl/>
              </w:rPr>
            </w:pPr>
            <w:r w:rsidRPr="0042621E">
              <w:rPr>
                <w:rStyle w:val="libFootnote0Char"/>
                <w:rtl/>
              </w:rPr>
              <w:t>(7).</w:t>
            </w:r>
            <w:r w:rsidRPr="005D642E">
              <w:rPr>
                <w:rtl/>
              </w:rPr>
              <w:t xml:space="preserve"> في « غ ، بس » : « يتمعّك »</w:t>
            </w:r>
            <w:r>
              <w:rPr>
                <w:rtl/>
              </w:rPr>
              <w:t>.</w:t>
            </w:r>
          </w:p>
        </w:tc>
        <w:tc>
          <w:tcPr>
            <w:tcW w:w="4006" w:type="dxa"/>
          </w:tcPr>
          <w:p w:rsidR="00524C24" w:rsidRDefault="00524C24" w:rsidP="00E3253D">
            <w:pPr>
              <w:pStyle w:val="libFootnote0"/>
              <w:rPr>
                <w:rStyle w:val="libFootnote0Char"/>
                <w:rtl/>
              </w:rPr>
            </w:pPr>
            <w:r w:rsidRPr="0042621E">
              <w:rPr>
                <w:rStyle w:val="libFootnote0Char"/>
                <w:rtl/>
              </w:rPr>
              <w:t>(8).</w:t>
            </w:r>
            <w:r w:rsidRPr="005D642E">
              <w:rPr>
                <w:rtl/>
              </w:rPr>
              <w:t xml:space="preserve"> في « بس ، بف » :</w:t>
            </w:r>
            <w:r>
              <w:rPr>
                <w:rtl/>
              </w:rPr>
              <w:t xml:space="preserve"> - </w:t>
            </w:r>
            <w:r w:rsidRPr="005D642E">
              <w:rPr>
                <w:rtl/>
              </w:rPr>
              <w:t>« له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بس » : « يتمعّك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بث ، جس » وحاشية « بخ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فقلنا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بس » : « السبغ »</w:t>
      </w:r>
      <w:r w:rsidR="00E3253D">
        <w:rPr>
          <w:rtl/>
        </w:rPr>
        <w:t>.</w:t>
      </w:r>
      <w:r w:rsidR="00E3253D" w:rsidRPr="005D642E">
        <w:rPr>
          <w:rtl/>
        </w:rPr>
        <w:t xml:space="preserve"> وفي « جن » وحاشية « ظ » : « السنج »</w:t>
      </w:r>
      <w:r w:rsidR="00E3253D">
        <w:rPr>
          <w:rtl/>
        </w:rPr>
        <w:t>.</w:t>
      </w:r>
      <w:r w:rsidR="00E3253D" w:rsidRPr="005D642E">
        <w:rPr>
          <w:rtl/>
        </w:rPr>
        <w:t xml:space="preserve"> </w:t>
      </w:r>
      <w:r w:rsidR="00E3253D">
        <w:rPr>
          <w:rtl/>
        </w:rPr>
        <w:t>و «</w:t>
      </w:r>
      <w:r w:rsidR="00E3253D" w:rsidRPr="005D642E">
        <w:rPr>
          <w:rtl/>
        </w:rPr>
        <w:t xml:space="preserve"> المِسْح » بكسر الميم : الكساء من الشعر. وقيل : هو لباس الرهبان. وأهل اليمن </w:t>
      </w:r>
      <w:r w:rsidR="00524C24">
        <w:rPr>
          <w:rtl/>
        </w:rPr>
        <w:t>يسمّون المسح بَلاساً. قال العل</w:t>
      </w:r>
      <w:r w:rsidR="00524C24">
        <w:rPr>
          <w:rFonts w:hint="cs"/>
          <w:rtl/>
        </w:rPr>
        <w:t>ّ</w:t>
      </w:r>
      <w:r w:rsidR="00524C24">
        <w:rPr>
          <w:rtl/>
        </w:rPr>
        <w:t>ا</w:t>
      </w:r>
      <w:r w:rsidR="00E3253D" w:rsidRPr="005D642E">
        <w:rPr>
          <w:rtl/>
        </w:rPr>
        <w:t xml:space="preserve">مة المجلسي : « المسح بالكسر : البلاس ، وفي بعض النسخ : السنج بالسين المهملة المفتوحة والنون الساكنة وآخره جيم : معرّب سنك ، والمراد به حجر الميزان ويقال له : صبخة بالصاد أيضاً. وربّما يقرأ بالياء المثنّاة من تحت والهاء المهملة ، والمراد به ضرب من البرد أو عباءة مخطّطة ، ولا إشعار فيه على التقدير الأوّل بجواز التيمّم على الحجر ، ولا على الثاني بجوازه بغبار الثوب لما عرفت. وقد </w:t>
      </w:r>
      <w:r w:rsidR="00524C24">
        <w:rPr>
          <w:rtl/>
        </w:rPr>
        <w:t>يقرأ بالباء الموحّدة » ، والعل</w:t>
      </w:r>
      <w:r w:rsidR="00F9455C">
        <w:rPr>
          <w:rFonts w:hint="cs"/>
          <w:rtl/>
        </w:rPr>
        <w:t>ّ</w:t>
      </w:r>
      <w:r w:rsidR="00524C24">
        <w:rPr>
          <w:rtl/>
        </w:rPr>
        <w:t>ا</w:t>
      </w:r>
      <w:r w:rsidR="00E3253D" w:rsidRPr="005D642E">
        <w:rPr>
          <w:rtl/>
        </w:rPr>
        <w:t xml:space="preserve">مة الفيض نسب اختلاف النسخ إلى التصحيف ، حيث قال : </w:t>
      </w:r>
      <w:r w:rsidR="00F9455C">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مَسَحَ فَوْقَ الْكَفِّ قَلِيلاً.</w:t>
      </w:r>
    </w:p>
    <w:p w:rsidR="00E3253D" w:rsidRPr="005D642E" w:rsidRDefault="00D17609" w:rsidP="00E3253D">
      <w:pPr>
        <w:pStyle w:val="libNormal"/>
        <w:rPr>
          <w:rtl/>
          <w:lang w:bidi="fa-IR"/>
        </w:rPr>
      </w:pPr>
      <w:r>
        <w:rPr>
          <w:rFonts w:hint="cs"/>
          <w:rtl/>
          <w:lang w:bidi="fa-IR"/>
        </w:rPr>
        <w:t xml:space="preserve">* </w:t>
      </w:r>
      <w:r w:rsidR="00E3253D" w:rsidRPr="005D642E">
        <w:rPr>
          <w:rtl/>
          <w:lang w:bidi="fa-IR"/>
        </w:rPr>
        <w:t xml:space="preserve">وَرَوَاهُ عَنْ أَبِيهِ ، عَنِ ابْنِ أَبِي عُمَيْرٍ ، عَنْ أَبِي أَيُّوبَ. </w:t>
      </w:r>
      <w:r w:rsidR="00E3253D" w:rsidRPr="007C12DB">
        <w:rPr>
          <w:rStyle w:val="libFootnotenumChar"/>
          <w:rtl/>
        </w:rPr>
        <w:t>(1)</w:t>
      </w:r>
    </w:p>
    <w:p w:rsidR="00E3253D" w:rsidRPr="005D642E" w:rsidRDefault="00E3253D" w:rsidP="00E3253D">
      <w:pPr>
        <w:pStyle w:val="libNormal"/>
        <w:rPr>
          <w:rtl/>
          <w:lang w:bidi="fa-IR"/>
        </w:rPr>
      </w:pPr>
      <w:r w:rsidRPr="00D51333">
        <w:rPr>
          <w:rtl/>
        </w:rPr>
        <w:t>4106</w:t>
      </w:r>
      <w:r w:rsidRPr="00246318">
        <w:rPr>
          <w:rStyle w:val="libBold2Char"/>
          <w:rtl/>
        </w:rPr>
        <w:t xml:space="preserve"> / 5.</w:t>
      </w:r>
      <w:r w:rsidRPr="005D642E">
        <w:rPr>
          <w:rtl/>
          <w:lang w:bidi="fa-IR"/>
        </w:rPr>
        <w:t xml:space="preserve"> مُحَمَّدُ بْنُ يَحْيى ، عَنِ الْحَسَنِ </w:t>
      </w:r>
      <w:r w:rsidRPr="007C12DB">
        <w:rPr>
          <w:rStyle w:val="libFootnotenumChar"/>
          <w:rtl/>
        </w:rPr>
        <w:t>(2)</w:t>
      </w:r>
      <w:r w:rsidRPr="005D642E">
        <w:rPr>
          <w:rtl/>
          <w:lang w:bidi="fa-IR"/>
        </w:rPr>
        <w:t xml:space="preserve"> بْنِ عَلِيٍّ الْكُوفِيِّ ، عَنِ النَّوْفَلِيِّ ، عَنْ غِيَاثِ بْنِ إِبْرَاهِيمَ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 صَلَوَاتُ اللهِ عَلَيْهِ : لَاوُضُوءَ مِنْ مُوطَإٍ</w:t>
      </w:r>
      <w:r w:rsidRPr="007C12DB">
        <w:rPr>
          <w:rStyle w:val="libFootnotenumChar"/>
          <w:rtl/>
        </w:rPr>
        <w:t>(3)</w:t>
      </w:r>
      <w:r w:rsidRPr="005D642E">
        <w:rPr>
          <w:rtl/>
          <w:lang w:bidi="fa-IR"/>
        </w:rPr>
        <w:t>»</w:t>
      </w:r>
      <w:r>
        <w:rPr>
          <w:rtl/>
          <w:lang w:bidi="fa-IR"/>
        </w:rPr>
        <w:t>.</w:t>
      </w:r>
      <w:r w:rsidRPr="005D642E">
        <w:rPr>
          <w:rtl/>
          <w:lang w:bidi="fa-IR"/>
        </w:rPr>
        <w:t>قَالَ النَّوْفَلِيُّ :</w:t>
      </w:r>
      <w:r w:rsidR="00D17609">
        <w:rPr>
          <w:rFonts w:hint="cs"/>
          <w:rtl/>
          <w:lang w:bidi="fa-IR"/>
        </w:rPr>
        <w:t>..........................</w:t>
      </w:r>
      <w:r w:rsidR="00826FF3">
        <w:rPr>
          <w:rFonts w:hint="cs"/>
          <w:rtl/>
          <w:lang w:bidi="fa-IR"/>
        </w:rPr>
        <w:t>.......................</w:t>
      </w:r>
      <w:r w:rsidR="00D17609">
        <w:rPr>
          <w:rFonts w:hint="cs"/>
          <w:rtl/>
          <w:lang w:bidi="fa-IR"/>
        </w:rPr>
        <w:t>.......</w:t>
      </w:r>
      <w:r w:rsidR="00D17609">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FD22DE" w:rsidP="00E3253D">
      <w:pPr>
        <w:pStyle w:val="libFootnote0"/>
        <w:rPr>
          <w:rtl/>
          <w:lang w:bidi="fa-IR"/>
        </w:rPr>
      </w:pPr>
      <w:r>
        <w:rPr>
          <w:rFonts w:hint="cs"/>
          <w:rtl/>
        </w:rPr>
        <w:t xml:space="preserve">= </w:t>
      </w:r>
      <w:r w:rsidR="00E3253D" w:rsidRPr="005D642E">
        <w:rPr>
          <w:rtl/>
        </w:rPr>
        <w:t>« والمسح بالكسر : البساط ، وقد صُحّف في بعض النسخ بفنون من التصحيف »</w:t>
      </w:r>
      <w:r w:rsidR="00E3253D">
        <w:rPr>
          <w:rtl/>
        </w:rPr>
        <w:t>.</w:t>
      </w:r>
      <w:r w:rsidR="00E3253D" w:rsidRPr="005D642E">
        <w:rPr>
          <w:rtl/>
        </w:rPr>
        <w:t xml:space="preserve"> راجع : </w:t>
      </w:r>
      <w:r w:rsidR="00E3253D" w:rsidRPr="002F4D34">
        <w:rPr>
          <w:rStyle w:val="libFootnoteBoldChar"/>
          <w:rtl/>
        </w:rPr>
        <w:t>المغرب</w:t>
      </w:r>
      <w:r w:rsidR="00E3253D" w:rsidRPr="005D642E">
        <w:rPr>
          <w:rtl/>
        </w:rPr>
        <w:t xml:space="preserve"> ، ص 428 ؛ </w:t>
      </w:r>
      <w:r w:rsidR="00E3253D" w:rsidRPr="002F4D34">
        <w:rPr>
          <w:rStyle w:val="libFootnoteBoldChar"/>
          <w:rtl/>
        </w:rPr>
        <w:t>لسان العرب</w:t>
      </w:r>
      <w:r w:rsidR="00E3253D" w:rsidRPr="005D642E">
        <w:rPr>
          <w:rtl/>
        </w:rPr>
        <w:t xml:space="preserve"> ، ص 596 ( مسح ) ؛ </w:t>
      </w:r>
      <w:r w:rsidR="00E3253D" w:rsidRPr="002F4D34">
        <w:rPr>
          <w:rStyle w:val="libFootnoteBoldChar"/>
          <w:rtl/>
        </w:rPr>
        <w:t>مرآة العقول</w:t>
      </w:r>
      <w:r w:rsidR="00E3253D" w:rsidRPr="005D642E">
        <w:rPr>
          <w:rtl/>
        </w:rPr>
        <w:t xml:space="preserve"> ، ج 13 ، ص 174.</w:t>
      </w:r>
    </w:p>
    <w:p w:rsidR="00E3253D" w:rsidRPr="005D642E" w:rsidRDefault="0042621E" w:rsidP="00FD22DE">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207 ، ح 598 ؛ </w:t>
      </w:r>
      <w:r w:rsidR="00E3253D" w:rsidRPr="00E678B5">
        <w:rPr>
          <w:rStyle w:val="libFootnoteBoldChar"/>
          <w:rtl/>
        </w:rPr>
        <w:t>والاستبصار</w:t>
      </w:r>
      <w:r w:rsidR="00E3253D" w:rsidRPr="005D642E">
        <w:rPr>
          <w:rtl/>
        </w:rPr>
        <w:t xml:space="preserve"> ، ج 1 ، ص 170 ، ح 591 ، بسند آخر ، مع اختلاف يسير. </w:t>
      </w:r>
      <w:r w:rsidR="00E3253D" w:rsidRPr="002F4D34">
        <w:rPr>
          <w:rStyle w:val="libFootnoteBoldChar"/>
          <w:rtl/>
        </w:rPr>
        <w:t>تفسير العيّاشي</w:t>
      </w:r>
      <w:r w:rsidR="00E3253D" w:rsidRPr="005D642E">
        <w:rPr>
          <w:rtl/>
        </w:rPr>
        <w:t xml:space="preserve"> ، ج 1 ، ص 302 ، ح 63 ، عن زرارة ، عن أبي جعفر </w:t>
      </w:r>
      <w:r w:rsidR="00E3253D" w:rsidRPr="00FD22DE">
        <w:rPr>
          <w:rStyle w:val="libFootnoteAlaemChar"/>
          <w:rtl/>
        </w:rPr>
        <w:t>عليه‌السلام</w:t>
      </w:r>
      <w:r w:rsidR="00E3253D" w:rsidRPr="005D642E">
        <w:rPr>
          <w:rtl/>
        </w:rPr>
        <w:t xml:space="preserve"> ، مع اختلاف</w:t>
      </w:r>
      <w:r w:rsidR="00FD22DE">
        <w:rPr>
          <w:rFonts w:hint="cs"/>
          <w:rtl/>
        </w:rPr>
        <w:t>.</w:t>
      </w:r>
      <w:r w:rsidR="00E3253D" w:rsidRPr="002F4D34">
        <w:rPr>
          <w:rStyle w:val="libFootnoteBoldChar"/>
          <w:rtl/>
        </w:rPr>
        <w:t>الوافي</w:t>
      </w:r>
      <w:r w:rsidR="00E3253D" w:rsidRPr="005D642E">
        <w:rPr>
          <w:rtl/>
        </w:rPr>
        <w:t xml:space="preserve"> ، ج 6 ، ص 579 ، ح 4974 ؛ </w:t>
      </w:r>
      <w:r w:rsidR="00E3253D" w:rsidRPr="002F4D34">
        <w:rPr>
          <w:rStyle w:val="libFootnoteBoldChar"/>
          <w:rtl/>
        </w:rPr>
        <w:t>الوسائل</w:t>
      </w:r>
      <w:r w:rsidR="00E3253D" w:rsidRPr="005D642E">
        <w:rPr>
          <w:rtl/>
        </w:rPr>
        <w:t xml:space="preserve"> ، ج 3 ، ص 358 ، ح 3862.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بث ، جس ، جن » وحاشية « بس ، بف » والوسائل </w:t>
      </w:r>
      <w:r w:rsidR="00B60612" w:rsidRPr="00B60612">
        <w:rPr>
          <w:rStyle w:val="libFootnoteBoldChar"/>
          <w:rtl/>
        </w:rPr>
        <w:t>والتهذيب</w:t>
      </w:r>
      <w:r w:rsidR="00E3253D" w:rsidRPr="005D642E">
        <w:rPr>
          <w:rtl/>
        </w:rPr>
        <w:t>. وفي « ظ ، بح ، بخ ، بس ، بف » والمطبوع : « الحسين »</w:t>
      </w:r>
      <w:r w:rsidR="00E3253D">
        <w:rPr>
          <w:rtl/>
        </w:rPr>
        <w:t>.</w:t>
      </w:r>
    </w:p>
    <w:p w:rsidR="00E3253D" w:rsidRPr="005D642E" w:rsidRDefault="00E3253D" w:rsidP="00E3253D">
      <w:pPr>
        <w:pStyle w:val="libFootnote0"/>
        <w:rPr>
          <w:rtl/>
          <w:lang w:bidi="fa-IR"/>
        </w:rPr>
      </w:pPr>
      <w:r w:rsidRPr="00B60612">
        <w:rPr>
          <w:rtl/>
        </w:rPr>
        <w:t xml:space="preserve">والصواب ما أثبتناه ؛ فإنّ المراد من الحسن بن عليّ الكوفي هو الحسن بن عليّ بن عبدالله بن المغيرة ؛ فقد ورد في </w:t>
      </w:r>
      <w:r w:rsidRPr="002F4D34">
        <w:rPr>
          <w:rStyle w:val="libFootnoteBoldChar"/>
          <w:rtl/>
        </w:rPr>
        <w:t>الكافي</w:t>
      </w:r>
      <w:r w:rsidRPr="00B60612">
        <w:rPr>
          <w:rtl/>
        </w:rPr>
        <w:t xml:space="preserve"> ، ح 5705 رواية محمّد بن يحيى عن الحسن بن عليّ بن عبدالله ، عن عبيس بن هشام. والحسن بن عليّ هذا روى بعنوانه الكامل ، الحسن بن عليّ بن عبدالله بن المغيرة ، عن عبيس بن هشام في طريق النجاشي إلى كتاب ثابت بن شريح وكتاب ثابت بن جرير ، وروى بعنوان الحسن بن عليّ الكوفي عن عبيس بن هشام في طريق الشيخ الطوسي إلى كتاب ثابت بن شريح. راجع : </w:t>
      </w:r>
      <w:r w:rsidRPr="002F4D34">
        <w:rPr>
          <w:rStyle w:val="libFootnoteBoldChar"/>
          <w:rtl/>
        </w:rPr>
        <w:t>رجال النجاشي</w:t>
      </w:r>
      <w:r w:rsidRPr="00B60612">
        <w:rPr>
          <w:rtl/>
        </w:rPr>
        <w:t xml:space="preserve"> ، ص 116 ، الرقم 297 ؛ وص 117 ، الرقم 299 ؛ </w:t>
      </w:r>
      <w:r w:rsidR="0059794D" w:rsidRPr="0059794D">
        <w:rPr>
          <w:rStyle w:val="libFootnoteBoldChar"/>
          <w:rtl/>
        </w:rPr>
        <w:t>الفهرست للطوسي</w:t>
      </w:r>
      <w:r w:rsidRPr="00B60612">
        <w:rPr>
          <w:rtl/>
        </w:rPr>
        <w:t xml:space="preserve"> ، ص 106 ، الرقم 140.</w:t>
      </w:r>
    </w:p>
    <w:p w:rsidR="00E3253D" w:rsidRPr="005D642E" w:rsidRDefault="00E3253D" w:rsidP="00E3253D">
      <w:pPr>
        <w:pStyle w:val="libFootnote0"/>
        <w:rPr>
          <w:rtl/>
          <w:lang w:bidi="fa-IR"/>
        </w:rPr>
      </w:pPr>
      <w:r w:rsidRPr="00B60612">
        <w:rPr>
          <w:rtl/>
        </w:rPr>
        <w:t xml:space="preserve">ويؤيّد ذلك ما ورد في </w:t>
      </w:r>
      <w:r w:rsidRPr="002F4D34">
        <w:rPr>
          <w:rStyle w:val="libFootnoteBoldChar"/>
          <w:rtl/>
        </w:rPr>
        <w:t>التهذيب</w:t>
      </w:r>
      <w:r w:rsidRPr="00B60612">
        <w:rPr>
          <w:rtl/>
        </w:rPr>
        <w:t xml:space="preserve"> ، ج 2 ، ص 240 ، ح 952 ، من رواية محمّد بن عليّ بن محبوب ، عن الحسن بن عليّ الكوفي ، عن الحسين بن يزيد ، عن إسماعيل بن أبي زياد ، والحسين بن يزيد هو النوفليّ المذكور في ما نحن فيه ، كما يشهد بذلك روايته عن إسماعيل بن أبي زياد وهو السكوني.</w:t>
      </w:r>
    </w:p>
    <w:p w:rsidR="00E3253D" w:rsidRPr="005D642E" w:rsidRDefault="00E3253D" w:rsidP="00E3253D">
      <w:pPr>
        <w:pStyle w:val="libFootnote0"/>
        <w:rPr>
          <w:rtl/>
          <w:lang w:bidi="fa-IR"/>
        </w:rPr>
      </w:pPr>
      <w:r w:rsidRPr="00B60612">
        <w:rPr>
          <w:rtl/>
        </w:rPr>
        <w:t xml:space="preserve">أضف إلى ذلك أنّه لم يثبت وجود راوٍ بعنوان الحسين بن عليّ الكوفي. وما ورد في قليلٍ من الأسناد جدّاً وقوع التحريف فيه واضح. راجع : </w:t>
      </w:r>
      <w:r w:rsidRPr="002F4D34">
        <w:rPr>
          <w:rStyle w:val="libFootnoteBoldChar"/>
          <w:rtl/>
        </w:rPr>
        <w:t>معجم رجال الحديث</w:t>
      </w:r>
      <w:r w:rsidRPr="00B60612">
        <w:rPr>
          <w:rtl/>
        </w:rPr>
        <w:t xml:space="preserve"> ، ج 6 ، ص 58 ، الرقم 3561.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قال ابن الأثير : « وفي حديث عبدالله : لا نتوضّأ من موطَإ ، أي ما يُوطَأ من الأذى في الطريق ، أراد لا نعيدالوضوء منه ، لا أنّهم كانوا لايغسلونه »</w:t>
      </w:r>
      <w:r w:rsidR="00E3253D">
        <w:rPr>
          <w:rtl/>
        </w:rPr>
        <w:t>.</w:t>
      </w:r>
      <w:r w:rsidR="00E3253D" w:rsidRPr="005D642E">
        <w:rPr>
          <w:rtl/>
        </w:rPr>
        <w:t xml:space="preserve"> وقال الطريحي : « يعني ممّا تطأ عليه برجليك ، والمراد بالوضوء هنا </w:t>
      </w:r>
      <w:r w:rsidR="00FD22DE">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115EFB">
      <w:pPr>
        <w:pStyle w:val="libNormal0"/>
        <w:rPr>
          <w:rtl/>
          <w:lang w:bidi="fa-IR"/>
        </w:rPr>
      </w:pPr>
      <w:r w:rsidRPr="005D642E">
        <w:rPr>
          <w:rtl/>
          <w:lang w:bidi="fa-IR"/>
        </w:rPr>
        <w:lastRenderedPageBreak/>
        <w:t xml:space="preserve">يَعْنِي </w:t>
      </w:r>
      <w:r w:rsidRPr="007C12DB">
        <w:rPr>
          <w:rStyle w:val="libFootnotenumChar"/>
          <w:rtl/>
        </w:rPr>
        <w:t>(1)</w:t>
      </w:r>
      <w:r w:rsidRPr="005D642E">
        <w:rPr>
          <w:rtl/>
          <w:lang w:bidi="fa-IR"/>
        </w:rPr>
        <w:t xml:space="preserve"> مَا تَطَأُ عَلَيْهِ بِرِجْلِكَ </w:t>
      </w:r>
      <w:r w:rsidRPr="007C12DB">
        <w:rPr>
          <w:rStyle w:val="libFootnotenumChar"/>
          <w:rtl/>
        </w:rPr>
        <w:t>(2)</w:t>
      </w:r>
      <w:r w:rsidR="00115EFB">
        <w:rPr>
          <w:rFonts w:hint="cs"/>
          <w:rtl/>
          <w:lang w:bidi="fa-IR"/>
        </w:rPr>
        <w:t>.</w:t>
      </w:r>
      <w:r w:rsidRPr="007C12DB">
        <w:rPr>
          <w:rStyle w:val="libFootnotenumChar"/>
          <w:rtl/>
        </w:rPr>
        <w:t>(3)</w:t>
      </w:r>
      <w:r w:rsidRPr="005D642E">
        <w:rPr>
          <w:rtl/>
          <w:lang w:bidi="fa-IR"/>
        </w:rPr>
        <w:t>‌</w:t>
      </w:r>
    </w:p>
    <w:p w:rsidR="00E3253D" w:rsidRPr="005D642E" w:rsidRDefault="00E3253D" w:rsidP="00E3253D">
      <w:pPr>
        <w:pStyle w:val="libNormal"/>
        <w:rPr>
          <w:rtl/>
          <w:lang w:bidi="fa-IR"/>
        </w:rPr>
      </w:pPr>
      <w:r w:rsidRPr="00D51333">
        <w:rPr>
          <w:rtl/>
        </w:rPr>
        <w:t>4107</w:t>
      </w:r>
      <w:r w:rsidRPr="00246318">
        <w:rPr>
          <w:rStyle w:val="libBold2Char"/>
          <w:rtl/>
        </w:rPr>
        <w:t xml:space="preserve"> / 6.</w:t>
      </w:r>
      <w:r w:rsidRPr="005D642E">
        <w:rPr>
          <w:rtl/>
          <w:lang w:bidi="fa-IR"/>
        </w:rPr>
        <w:t xml:space="preserve"> الْحَسَنُ </w:t>
      </w:r>
      <w:r w:rsidRPr="007C12DB">
        <w:rPr>
          <w:rStyle w:val="libFootnotenumChar"/>
          <w:rtl/>
        </w:rPr>
        <w:t>(4)</w:t>
      </w:r>
      <w:r w:rsidRPr="005D642E">
        <w:rPr>
          <w:rtl/>
          <w:lang w:bidi="fa-IR"/>
        </w:rPr>
        <w:t xml:space="preserve"> بْنُ عَلِيٍّ الْعَلَوِيُّ ، عَنْ سَهْلِ بْنِ جُمْهُورٍ ، عَنْ عَبْدِ الْعَظِيمِ بْنِ</w:t>
      </w:r>
      <w:r>
        <w:rPr>
          <w:rFonts w:hint="cs"/>
          <w:rtl/>
          <w:lang w:bidi="fa-IR"/>
        </w:rPr>
        <w:t xml:space="preserve"> </w:t>
      </w:r>
      <w:r w:rsidRPr="005D642E">
        <w:rPr>
          <w:rtl/>
          <w:lang w:bidi="fa-IR"/>
        </w:rPr>
        <w:t>عَبْدِ اللهِ الْحَسَنِيِّ ، عَنِ الْحَسَنِ بْنِ الْحُسَيْنِ الْعُرَنِيِّ ، عَنْ غِيَاثِ بْنِ إِبْرَاهِيمَ :</w:t>
      </w:r>
    </w:p>
    <w:p w:rsidR="00E3253D" w:rsidRPr="005D642E" w:rsidRDefault="00E3253D" w:rsidP="00442867">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نَهى أَمِيرُ الْمُؤْمِنِينَ </w:t>
      </w:r>
      <w:r w:rsidRPr="00AC51C5">
        <w:rPr>
          <w:rStyle w:val="libAlaemChar"/>
          <w:rtl/>
        </w:rPr>
        <w:t>عليه‌السلام</w:t>
      </w:r>
      <w:r w:rsidRPr="005D642E">
        <w:rPr>
          <w:rtl/>
          <w:lang w:bidi="fa-IR"/>
        </w:rPr>
        <w:t xml:space="preserve"> أَنْ يَتَيَمَّمَ </w:t>
      </w:r>
      <w:r w:rsidRPr="007C12DB">
        <w:rPr>
          <w:rStyle w:val="libFootnotenumChar"/>
          <w:rtl/>
        </w:rPr>
        <w:t>(5)</w:t>
      </w:r>
      <w:r w:rsidRPr="005D642E">
        <w:rPr>
          <w:rtl/>
          <w:lang w:bidi="fa-IR"/>
        </w:rPr>
        <w:t xml:space="preserve"> الرَّجُلُ بِتُرَابٍ </w:t>
      </w:r>
      <w:r w:rsidRPr="007C12DB">
        <w:rPr>
          <w:rStyle w:val="libFootnotenumChar"/>
          <w:rtl/>
        </w:rPr>
        <w:t>(6)</w:t>
      </w:r>
      <w:r w:rsidRPr="005D642E">
        <w:rPr>
          <w:rtl/>
          <w:lang w:bidi="fa-IR"/>
        </w:rPr>
        <w:t xml:space="preserve"> مِنْ أَثَرِ الطَّرِيقِ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Heading2Center"/>
        <w:rPr>
          <w:rtl/>
          <w:lang w:bidi="fa-IR"/>
        </w:rPr>
      </w:pPr>
      <w:bookmarkStart w:id="150" w:name="_Toc344647260"/>
      <w:bookmarkStart w:id="151" w:name="_Toc462226775"/>
      <w:bookmarkStart w:id="152" w:name="_Toc40975883"/>
      <w:r w:rsidRPr="005D642E">
        <w:rPr>
          <w:rtl/>
          <w:lang w:bidi="fa-IR"/>
        </w:rPr>
        <w:t>41</w:t>
      </w:r>
      <w:r>
        <w:rPr>
          <w:rtl/>
          <w:lang w:bidi="fa-IR"/>
        </w:rPr>
        <w:t xml:space="preserve"> </w:t>
      </w:r>
      <w:r w:rsidR="007642BC">
        <w:rPr>
          <w:rtl/>
          <w:lang w:bidi="fa-IR"/>
        </w:rPr>
        <w:t>-</w:t>
      </w:r>
      <w:r>
        <w:rPr>
          <w:rtl/>
          <w:lang w:bidi="fa-IR"/>
        </w:rPr>
        <w:t xml:space="preserve"> </w:t>
      </w:r>
      <w:r w:rsidRPr="005D642E">
        <w:rPr>
          <w:rtl/>
          <w:lang w:bidi="fa-IR"/>
        </w:rPr>
        <w:t xml:space="preserve">بَابُ الْوَقْتِ الَّذِي يُوجِبُ التَّيَمُّمَ ، وَمَنْ تَيَمَّمَ ثُمَّ وَجَدَ الْمَاءَ </w:t>
      </w:r>
      <w:r w:rsidRPr="007C12DB">
        <w:rPr>
          <w:rStyle w:val="libFootnotenumChar"/>
          <w:rtl/>
        </w:rPr>
        <w:t>(8)</w:t>
      </w:r>
      <w:bookmarkEnd w:id="150"/>
      <w:bookmarkEnd w:id="151"/>
      <w:bookmarkEnd w:id="152"/>
    </w:p>
    <w:p w:rsidR="00E3253D" w:rsidRPr="005D642E" w:rsidRDefault="00E3253D" w:rsidP="00E3253D">
      <w:pPr>
        <w:pStyle w:val="libNormal"/>
        <w:rPr>
          <w:rtl/>
          <w:lang w:bidi="fa-IR"/>
        </w:rPr>
      </w:pPr>
      <w:r w:rsidRPr="00D51333">
        <w:rPr>
          <w:rtl/>
        </w:rPr>
        <w:t>4108</w:t>
      </w:r>
      <w:r w:rsidRPr="00246318">
        <w:rPr>
          <w:rStyle w:val="libBold2Char"/>
          <w:rtl/>
        </w:rPr>
        <w:t xml:space="preserve"> / 1.</w:t>
      </w:r>
      <w:r w:rsidRPr="005D642E">
        <w:rPr>
          <w:rtl/>
          <w:lang w:bidi="fa-IR"/>
        </w:rPr>
        <w:t xml:space="preserve"> مُحَمَّدُ بْنُ يَحْيى ، عَنْ مُحَمَّدِ بْنِ الْحُسَيْنِ ، عَنْ صَفْوَانَ ، عَنِ الْعَلَاءِ ، عَنْ مُحَمَّدِ بْنِ مُسْلِمٍ </w:t>
      </w:r>
      <w:r w:rsidRPr="007C12DB">
        <w:rPr>
          <w:rStyle w:val="libFootnotenumChar"/>
          <w:rtl/>
        </w:rPr>
        <w:t>(9)</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سَمِعْتُهُ يَقُولُ : « إِذَا لَمْ تَجِدْ مَاءً </w:t>
      </w:r>
      <w:r w:rsidRPr="007C12DB">
        <w:rPr>
          <w:rStyle w:val="libFootnotenumChar"/>
          <w:rtl/>
        </w:rPr>
        <w:t>(10)</w:t>
      </w:r>
      <w:r w:rsidRPr="005D642E">
        <w:rPr>
          <w:rtl/>
          <w:lang w:bidi="fa-IR"/>
        </w:rPr>
        <w:t xml:space="preserve"> وَأَرَدْتَ التَّيَمُّمَ ، فَأَخِّرِ </w:t>
      </w:r>
      <w:r w:rsidRPr="007C12DB">
        <w:rPr>
          <w:rStyle w:val="libFootnotenumChar"/>
          <w:rtl/>
        </w:rPr>
        <w:t>(11)</w:t>
      </w:r>
      <w:r w:rsidRPr="005D642E">
        <w:rPr>
          <w:rtl/>
          <w:lang w:bidi="fa-IR"/>
        </w:rPr>
        <w:t xml:space="preserve"> التَّيَمُّمَ إِلى آخِرِ الْوَقْتِ ،</w:t>
      </w:r>
      <w:r>
        <w:rPr>
          <w:rFonts w:hint="cs"/>
          <w:rtl/>
          <w:lang w:bidi="fa-IR"/>
        </w:rPr>
        <w:t xml:space="preserve"> </w:t>
      </w:r>
      <w:r w:rsidRPr="005D642E">
        <w:rPr>
          <w:rtl/>
          <w:lang w:bidi="fa-IR"/>
        </w:rPr>
        <w:t>فَإِنْ فَاتَكَ الْمَاءُ ، لَمْ تَفُتْكَ الْأَرْضُ »</w:t>
      </w:r>
      <w:r>
        <w:rPr>
          <w:rtl/>
          <w:lang w:bidi="fa-IR"/>
        </w:rPr>
        <w:t>.</w:t>
      </w:r>
      <w:r w:rsidRPr="005D642E">
        <w:rPr>
          <w:rtl/>
          <w:lang w:bidi="fa-IR"/>
        </w:rPr>
        <w:t xml:space="preserve"> </w:t>
      </w:r>
      <w:r w:rsidRPr="007C12DB">
        <w:rPr>
          <w:rStyle w:val="libFootnotenumChar"/>
          <w:rtl/>
        </w:rPr>
        <w:t>(12)</w:t>
      </w:r>
    </w:p>
    <w:p w:rsidR="00E3253D" w:rsidRPr="005D642E" w:rsidRDefault="00E3253D" w:rsidP="00E3253D">
      <w:pPr>
        <w:pStyle w:val="libNormal"/>
        <w:rPr>
          <w:rtl/>
          <w:lang w:bidi="fa-IR"/>
        </w:rPr>
      </w:pPr>
      <w:r w:rsidRPr="00D51333">
        <w:rPr>
          <w:rtl/>
        </w:rPr>
        <w:t>4109</w:t>
      </w:r>
      <w:r w:rsidRPr="00246318">
        <w:rPr>
          <w:rStyle w:val="libBold2Char"/>
          <w:rtl/>
        </w:rPr>
        <w:t xml:space="preserve"> / 2.</w:t>
      </w:r>
      <w:r w:rsidRPr="005D642E">
        <w:rPr>
          <w:rtl/>
          <w:lang w:bidi="fa-IR"/>
        </w:rPr>
        <w:t xml:space="preserve"> عَلِيُّ بْنُ إِبْرَاهِيمَ ، عَنْ أَبِيهِ ، عَنِ ابْنِ أَبِي عُمَيْرٍ ، عَنِ ابْنِ أُذَيْنَةَ ، عَنْ زُرَارَةَ :</w:t>
      </w:r>
    </w:p>
    <w:p w:rsidR="00E3253D" w:rsidRPr="005D642E" w:rsidRDefault="00E3253D" w:rsidP="00E3253D">
      <w:pPr>
        <w:pStyle w:val="libLine"/>
        <w:rPr>
          <w:rtl/>
          <w:lang w:bidi="fa-IR"/>
        </w:rPr>
      </w:pPr>
      <w:r w:rsidRPr="005D642E">
        <w:rPr>
          <w:rtl/>
          <w:lang w:bidi="fa-IR"/>
        </w:rPr>
        <w:t>__________________</w:t>
      </w:r>
    </w:p>
    <w:p w:rsidR="00E3253D" w:rsidRPr="005D642E" w:rsidRDefault="00442867" w:rsidP="00E3253D">
      <w:pPr>
        <w:pStyle w:val="libFootnote0"/>
        <w:rPr>
          <w:rtl/>
          <w:lang w:bidi="fa-IR"/>
        </w:rPr>
      </w:pPr>
      <w:r>
        <w:rPr>
          <w:rFonts w:hint="cs"/>
          <w:rtl/>
        </w:rPr>
        <w:t xml:space="preserve">= </w:t>
      </w:r>
      <w:r>
        <w:rPr>
          <w:rtl/>
        </w:rPr>
        <w:t>الغسل » ، وقال العل</w:t>
      </w:r>
      <w:r>
        <w:rPr>
          <w:rFonts w:hint="cs"/>
          <w:rtl/>
        </w:rPr>
        <w:t>ّ</w:t>
      </w:r>
      <w:r>
        <w:rPr>
          <w:rtl/>
        </w:rPr>
        <w:t>ا</w:t>
      </w:r>
      <w:r w:rsidR="00E3253D" w:rsidRPr="005D642E">
        <w:rPr>
          <w:rtl/>
        </w:rPr>
        <w:t>مة المجلسي : « الحديث</w:t>
      </w:r>
      <w:r w:rsidR="00E3253D">
        <w:rPr>
          <w:rtl/>
        </w:rPr>
        <w:t xml:space="preserve"> ..</w:t>
      </w:r>
      <w:r w:rsidR="00E3253D" w:rsidRPr="005D642E">
        <w:rPr>
          <w:rtl/>
        </w:rPr>
        <w:t>. يدلّ على كراهة التيمّم من موضع يطؤه الناس بأرجلهم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5 ، ص 202 ؛ </w:t>
      </w:r>
      <w:r w:rsidR="00E3253D" w:rsidRPr="002F4D34">
        <w:rPr>
          <w:rStyle w:val="libFootnoteBoldChar"/>
          <w:rtl/>
        </w:rPr>
        <w:t>مجمع البحرين</w:t>
      </w:r>
      <w:r w:rsidR="00E3253D" w:rsidRPr="005D642E">
        <w:rPr>
          <w:rtl/>
        </w:rPr>
        <w:t xml:space="preserve"> ، ج 1 ، ص 442 ( وطأ )</w:t>
      </w:r>
      <w:r w:rsidR="00E3253D">
        <w:rPr>
          <w:rtl/>
        </w:rPr>
        <w:t>.</w:t>
      </w:r>
    </w:p>
    <w:tbl>
      <w:tblPr>
        <w:tblStyle w:val="TableGrid"/>
        <w:bidiVisual/>
        <w:tblW w:w="0" w:type="auto"/>
        <w:tblLook w:val="04A0" w:firstRow="1" w:lastRow="0" w:firstColumn="1" w:lastColumn="0" w:noHBand="0" w:noVBand="1"/>
      </w:tblPr>
      <w:tblGrid>
        <w:gridCol w:w="4006"/>
        <w:gridCol w:w="4006"/>
      </w:tblGrid>
      <w:tr w:rsidR="00442867" w:rsidTr="00442867">
        <w:tc>
          <w:tcPr>
            <w:tcW w:w="4006" w:type="dxa"/>
          </w:tcPr>
          <w:p w:rsidR="00442867" w:rsidRDefault="00442867" w:rsidP="00E3253D">
            <w:pPr>
              <w:pStyle w:val="libFootnote0"/>
              <w:rPr>
                <w:rStyle w:val="libFootnote0Char"/>
                <w:rtl/>
                <w:lang w:bidi="fa-IR"/>
              </w:rPr>
            </w:pPr>
            <w:r w:rsidRPr="0042621E">
              <w:rPr>
                <w:rStyle w:val="libFootnote0Char"/>
                <w:rtl/>
              </w:rPr>
              <w:t>(1).</w:t>
            </w:r>
            <w:r>
              <w:rPr>
                <w:rtl/>
              </w:rPr>
              <w:t xml:space="preserve"> </w:t>
            </w:r>
            <w:r w:rsidRPr="005D642E">
              <w:rPr>
                <w:rtl/>
              </w:rPr>
              <w:t>في « جس » :</w:t>
            </w:r>
            <w:r>
              <w:rPr>
                <w:rtl/>
              </w:rPr>
              <w:t xml:space="preserve"> - </w:t>
            </w:r>
            <w:r w:rsidRPr="005D642E">
              <w:rPr>
                <w:rtl/>
              </w:rPr>
              <w:t>« يعني »</w:t>
            </w:r>
            <w:r>
              <w:rPr>
                <w:rtl/>
              </w:rPr>
              <w:t>.</w:t>
            </w:r>
          </w:p>
        </w:tc>
        <w:tc>
          <w:tcPr>
            <w:tcW w:w="4006" w:type="dxa"/>
          </w:tcPr>
          <w:p w:rsidR="00442867" w:rsidRDefault="00442867" w:rsidP="00E3253D">
            <w:pPr>
              <w:pStyle w:val="libFootnote0"/>
              <w:rPr>
                <w:rStyle w:val="libFootnote0Char"/>
                <w:rtl/>
                <w:lang w:bidi="fa-IR"/>
              </w:rPr>
            </w:pPr>
            <w:r w:rsidRPr="0042621E">
              <w:rPr>
                <w:rStyle w:val="libFootnote0Char"/>
                <w:rtl/>
              </w:rPr>
              <w:t>(2).</w:t>
            </w:r>
            <w:r w:rsidRPr="005D642E">
              <w:rPr>
                <w:rtl/>
              </w:rPr>
              <w:t xml:space="preserve"> في الوافي : « برجليك »</w:t>
            </w:r>
            <w:r>
              <w:rPr>
                <w:rtl/>
              </w:rPr>
              <w:t>.</w:t>
            </w:r>
          </w:p>
        </w:tc>
      </w:tr>
    </w:tbl>
    <w:p w:rsidR="00E3253D" w:rsidRPr="005D642E" w:rsidRDefault="0042621E" w:rsidP="00001032">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186 ، ح 537 ، بسنده عن الكليني</w:t>
      </w:r>
      <w:r w:rsidR="004F3C4F">
        <w:rPr>
          <w:rFonts w:hint="cs"/>
          <w:rtl/>
        </w:rPr>
        <w:t>.</w:t>
      </w:r>
      <w:r w:rsidR="00E3253D" w:rsidRPr="002F4D34">
        <w:rPr>
          <w:rStyle w:val="libFootnoteBoldChar"/>
          <w:rtl/>
        </w:rPr>
        <w:t>الوافي</w:t>
      </w:r>
      <w:r w:rsidR="00E3253D" w:rsidRPr="005D642E">
        <w:rPr>
          <w:rtl/>
        </w:rPr>
        <w:t xml:space="preserve"> ، ج 6 ، ص 573 ، ح 4962 ؛ </w:t>
      </w:r>
      <w:r w:rsidR="00E3253D" w:rsidRPr="002F4D34">
        <w:rPr>
          <w:rStyle w:val="libFootnoteBoldChar"/>
          <w:rtl/>
        </w:rPr>
        <w:t>الوسائل</w:t>
      </w:r>
      <w:r w:rsidR="00E3253D" w:rsidRPr="005D642E">
        <w:rPr>
          <w:rtl/>
        </w:rPr>
        <w:t xml:space="preserve"> ، ج 3 ، ص 349 ، ح 3836.</w:t>
      </w:r>
      <w:r w:rsidR="00826FF3">
        <w:rPr>
          <w:rFonts w:hint="cs"/>
          <w:rtl/>
        </w:rPr>
        <w:t xml:space="preserve">             </w:t>
      </w:r>
      <w:r w:rsidR="00001032">
        <w:rPr>
          <w:rFonts w:hint="cs"/>
          <w:rtl/>
        </w:rPr>
        <w:t xml:space="preserve">   </w:t>
      </w:r>
      <w:r w:rsidRPr="0042621E">
        <w:rPr>
          <w:rStyle w:val="libFootnote0Char"/>
          <w:rtl/>
        </w:rPr>
        <w:t>(4).</w:t>
      </w:r>
      <w:r w:rsidR="00E3253D" w:rsidRPr="005D642E">
        <w:rPr>
          <w:rtl/>
        </w:rPr>
        <w:t xml:space="preserve"> في « بخ ، بف » : « الحسين »</w:t>
      </w:r>
      <w:r w:rsidR="00E3253D">
        <w:rPr>
          <w:rtl/>
        </w:rPr>
        <w:t>.</w:t>
      </w:r>
    </w:p>
    <w:tbl>
      <w:tblPr>
        <w:tblStyle w:val="TableGrid"/>
        <w:bidiVisual/>
        <w:tblW w:w="0" w:type="auto"/>
        <w:tblLook w:val="04A0" w:firstRow="1" w:lastRow="0" w:firstColumn="1" w:lastColumn="0" w:noHBand="0" w:noVBand="1"/>
      </w:tblPr>
      <w:tblGrid>
        <w:gridCol w:w="4006"/>
        <w:gridCol w:w="4006"/>
      </w:tblGrid>
      <w:tr w:rsidR="00001032" w:rsidTr="00001032">
        <w:tc>
          <w:tcPr>
            <w:tcW w:w="4006" w:type="dxa"/>
          </w:tcPr>
          <w:p w:rsidR="00001032" w:rsidRDefault="00001032" w:rsidP="00001032">
            <w:pPr>
              <w:pStyle w:val="libFootnote0"/>
              <w:rPr>
                <w:rStyle w:val="libFootnote0Char"/>
                <w:rtl/>
              </w:rPr>
            </w:pPr>
            <w:r w:rsidRPr="0042621E">
              <w:rPr>
                <w:rStyle w:val="libFootnote0Char"/>
                <w:rtl/>
              </w:rPr>
              <w:t>(5).</w:t>
            </w:r>
            <w:r>
              <w:rPr>
                <w:rtl/>
              </w:rPr>
              <w:t xml:space="preserve"> في</w:t>
            </w:r>
            <w:r w:rsidRPr="005D642E">
              <w:rPr>
                <w:rtl/>
              </w:rPr>
              <w:t>«ظ،بث،جس»:«أن تيمّم»</w:t>
            </w:r>
            <w:r>
              <w:rPr>
                <w:rtl/>
              </w:rPr>
              <w:t>.</w:t>
            </w:r>
          </w:p>
        </w:tc>
        <w:tc>
          <w:tcPr>
            <w:tcW w:w="4006" w:type="dxa"/>
          </w:tcPr>
          <w:p w:rsidR="00001032" w:rsidRDefault="00001032" w:rsidP="00001032">
            <w:pPr>
              <w:pStyle w:val="libFootnote0"/>
              <w:rPr>
                <w:rStyle w:val="libFootnote0Char"/>
                <w:rtl/>
              </w:rPr>
            </w:pPr>
            <w:r w:rsidRPr="0042621E">
              <w:rPr>
                <w:rStyle w:val="libFootnote0Char"/>
                <w:rtl/>
              </w:rPr>
              <w:t>(6).</w:t>
            </w:r>
            <w:r w:rsidRPr="005D642E">
              <w:rPr>
                <w:rtl/>
              </w:rPr>
              <w:t xml:space="preserve"> في « ظ » : « بالتراب »</w:t>
            </w:r>
            <w:r>
              <w:rPr>
                <w:rtl/>
              </w:rPr>
              <w:t>.</w:t>
            </w:r>
          </w:p>
        </w:tc>
      </w:tr>
    </w:tbl>
    <w:p w:rsidR="00E3253D" w:rsidRPr="005D642E" w:rsidRDefault="0042621E" w:rsidP="008126AF">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187 ، ح 538 ، بسنده عن الكليني</w:t>
      </w:r>
      <w:r w:rsidR="00E37BBA">
        <w:rPr>
          <w:rFonts w:hint="cs"/>
          <w:rtl/>
        </w:rPr>
        <w:t>.</w:t>
      </w:r>
      <w:r w:rsidR="00E3253D" w:rsidRPr="002F4D34">
        <w:rPr>
          <w:rStyle w:val="libFootnoteBoldChar"/>
          <w:rtl/>
        </w:rPr>
        <w:t>الوافي</w:t>
      </w:r>
      <w:r w:rsidR="00E3253D" w:rsidRPr="005D642E">
        <w:rPr>
          <w:rtl/>
        </w:rPr>
        <w:t xml:space="preserve"> ، ج 6 ، ص 573 ، ح 4963 ؛ </w:t>
      </w:r>
      <w:r w:rsidR="00E3253D" w:rsidRPr="002F4D34">
        <w:rPr>
          <w:rStyle w:val="libFootnoteBoldChar"/>
          <w:rtl/>
        </w:rPr>
        <w:t>الوسائل</w:t>
      </w:r>
      <w:r w:rsidR="00E3253D" w:rsidRPr="005D642E">
        <w:rPr>
          <w:rtl/>
        </w:rPr>
        <w:t xml:space="preserve"> ، ج 3 ، ص 349 ، ح 3837.</w:t>
      </w:r>
      <w:r w:rsidR="008126AF">
        <w:rPr>
          <w:rFonts w:hint="cs"/>
          <w:rtl/>
        </w:rPr>
        <w:t xml:space="preserve">                 </w:t>
      </w:r>
      <w:r w:rsidRPr="0042621E">
        <w:rPr>
          <w:rStyle w:val="libFootnote0Char"/>
          <w:rtl/>
        </w:rPr>
        <w:t>(8).</w:t>
      </w:r>
      <w:r w:rsidR="00E3253D" w:rsidRPr="005D642E">
        <w:rPr>
          <w:rtl/>
        </w:rPr>
        <w:t xml:space="preserve"> في«جن»:</w:t>
      </w:r>
      <w:r w:rsidR="007642BC">
        <w:rPr>
          <w:rtl/>
        </w:rPr>
        <w:t>-</w:t>
      </w:r>
      <w:r w:rsidR="00E3253D" w:rsidRPr="005D642E">
        <w:rPr>
          <w:rtl/>
        </w:rPr>
        <w:t>«باب الوقت</w:t>
      </w:r>
      <w:r w:rsidR="007642BC">
        <w:rPr>
          <w:rtl/>
        </w:rPr>
        <w:t>-</w:t>
      </w:r>
      <w:r w:rsidR="00E3253D" w:rsidRPr="005D642E">
        <w:rPr>
          <w:rtl/>
        </w:rPr>
        <w:t>إلى</w:t>
      </w:r>
      <w:r w:rsidR="007642BC">
        <w:rPr>
          <w:rtl/>
        </w:rPr>
        <w:t>-</w:t>
      </w:r>
      <w:r w:rsidR="00E3253D" w:rsidRPr="005D642E">
        <w:rPr>
          <w:rtl/>
        </w:rPr>
        <w:t>وجد الماء»</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الوسائل </w:t>
      </w:r>
      <w:r w:rsidR="00E3253D" w:rsidRPr="00E678B5">
        <w:rPr>
          <w:rStyle w:val="libFootnoteBoldChar"/>
          <w:rtl/>
        </w:rPr>
        <w:t>والاستبصار</w:t>
      </w:r>
      <w:r w:rsidR="00E3253D" w:rsidRPr="005D642E">
        <w:rPr>
          <w:rtl/>
        </w:rPr>
        <w:t xml:space="preserve"> : + « عن أبي عبدالله </w:t>
      </w:r>
      <w:r w:rsidR="00E3253D" w:rsidRPr="00924017">
        <w:rPr>
          <w:rStyle w:val="libFootnoteAlaemChar"/>
          <w:rtl/>
        </w:rPr>
        <w:t>عليه‌السلام</w:t>
      </w:r>
      <w:r w:rsidR="00E3253D" w:rsidRPr="005D642E">
        <w:rPr>
          <w:rtl/>
        </w:rPr>
        <w:t xml:space="preserve"> »</w:t>
      </w:r>
      <w:r w:rsidR="00E3253D">
        <w:rPr>
          <w:rtl/>
        </w:rPr>
        <w:t>.</w:t>
      </w:r>
    </w:p>
    <w:tbl>
      <w:tblPr>
        <w:tblStyle w:val="TableGrid"/>
        <w:bidiVisual/>
        <w:tblW w:w="0" w:type="auto"/>
        <w:tblLook w:val="04A0" w:firstRow="1" w:lastRow="0" w:firstColumn="1" w:lastColumn="0" w:noHBand="0" w:noVBand="1"/>
      </w:tblPr>
      <w:tblGrid>
        <w:gridCol w:w="4006"/>
        <w:gridCol w:w="4006"/>
      </w:tblGrid>
      <w:tr w:rsidR="00924017" w:rsidTr="00924017">
        <w:tc>
          <w:tcPr>
            <w:tcW w:w="4006" w:type="dxa"/>
          </w:tcPr>
          <w:p w:rsidR="00924017" w:rsidRDefault="00924017" w:rsidP="00E3253D">
            <w:pPr>
              <w:pStyle w:val="libFootnote0"/>
              <w:rPr>
                <w:rStyle w:val="libFootnote0Char"/>
                <w:rtl/>
              </w:rPr>
            </w:pPr>
            <w:r w:rsidRPr="0042621E">
              <w:rPr>
                <w:rStyle w:val="libFootnote0Char"/>
                <w:rtl/>
              </w:rPr>
              <w:t>(10).</w:t>
            </w:r>
            <w:r w:rsidRPr="005D642E">
              <w:rPr>
                <w:rtl/>
              </w:rPr>
              <w:t xml:space="preserve"> في « جس » : « الماء »</w:t>
            </w:r>
            <w:r>
              <w:rPr>
                <w:rtl/>
              </w:rPr>
              <w:t>.</w:t>
            </w:r>
          </w:p>
        </w:tc>
        <w:tc>
          <w:tcPr>
            <w:tcW w:w="4006" w:type="dxa"/>
          </w:tcPr>
          <w:p w:rsidR="00924017" w:rsidRDefault="00924017" w:rsidP="00E3253D">
            <w:pPr>
              <w:pStyle w:val="libFootnote0"/>
              <w:rPr>
                <w:rStyle w:val="libFootnote0Char"/>
                <w:rtl/>
              </w:rPr>
            </w:pPr>
            <w:r w:rsidRPr="0042621E">
              <w:rPr>
                <w:rStyle w:val="libFootnote0Char"/>
                <w:rtl/>
              </w:rPr>
              <w:t>(11).</w:t>
            </w:r>
            <w:r w:rsidRPr="005D642E">
              <w:rPr>
                <w:rtl/>
              </w:rPr>
              <w:t xml:space="preserve"> في الاستبصار : « أخّر »</w:t>
            </w:r>
            <w:r>
              <w:rPr>
                <w:rtl/>
              </w:rPr>
              <w:t>.</w:t>
            </w:r>
          </w:p>
        </w:tc>
      </w:tr>
    </w:tbl>
    <w:p w:rsidR="00E3253D" w:rsidRPr="005D642E" w:rsidRDefault="0042621E" w:rsidP="00373D3E">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203 ، ح 588 ؛ </w:t>
      </w:r>
      <w:r w:rsidR="00E3253D" w:rsidRPr="00E678B5">
        <w:rPr>
          <w:rStyle w:val="libFootnoteBoldChar"/>
          <w:rtl/>
        </w:rPr>
        <w:t>والاستبصار</w:t>
      </w:r>
      <w:r w:rsidR="00E3253D" w:rsidRPr="005D642E">
        <w:rPr>
          <w:rtl/>
        </w:rPr>
        <w:t xml:space="preserve"> ، ج 1 ، ص 165 ، ح 573 ، بسندهما عن الكليني</w:t>
      </w:r>
      <w:r w:rsidR="00373D3E">
        <w:rPr>
          <w:rFonts w:hint="cs"/>
          <w:rtl/>
        </w:rPr>
        <w:t>.</w:t>
      </w:r>
      <w:r w:rsidR="00E3253D" w:rsidRPr="002F4D34">
        <w:rPr>
          <w:rStyle w:val="libFootnoteBoldChar"/>
          <w:rtl/>
        </w:rPr>
        <w:t>الوافي</w:t>
      </w:r>
      <w:r w:rsidR="00E3253D" w:rsidRPr="005D642E">
        <w:rPr>
          <w:rtl/>
        </w:rPr>
        <w:t xml:space="preserve"> ، ج 6 ، ص 559 ، ح 4924 ؛ </w:t>
      </w:r>
      <w:r w:rsidR="00E3253D" w:rsidRPr="002F4D34">
        <w:rPr>
          <w:rStyle w:val="libFootnoteBoldChar"/>
          <w:rtl/>
        </w:rPr>
        <w:t>الوسائل</w:t>
      </w:r>
      <w:r w:rsidR="00E3253D" w:rsidRPr="005D642E">
        <w:rPr>
          <w:rtl/>
        </w:rPr>
        <w:t xml:space="preserve"> ، ج 3 ، ص 384 ، ح 3929.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أَحَدِهِمَا </w:t>
      </w:r>
      <w:r w:rsidRPr="00AC51C5">
        <w:rPr>
          <w:rStyle w:val="libAlaemChar"/>
          <w:rtl/>
        </w:rPr>
        <w:t>عليهما‌السلام</w:t>
      </w:r>
      <w:r w:rsidRPr="005D642E">
        <w:rPr>
          <w:rtl/>
          <w:lang w:bidi="fa-IR"/>
        </w:rPr>
        <w:t xml:space="preserve"> ، قَالَ : « إِذَا لَمْ يَجِدِ الْمُسَافِرُ الْمَاءَ ، </w:t>
      </w:r>
      <w:r w:rsidRPr="007C12DB">
        <w:rPr>
          <w:rStyle w:val="libFootnotenumChar"/>
          <w:rtl/>
        </w:rPr>
        <w:t>(1)</w:t>
      </w:r>
      <w:r w:rsidRPr="005D642E">
        <w:rPr>
          <w:rtl/>
          <w:lang w:bidi="fa-IR"/>
        </w:rPr>
        <w:t xml:space="preserve"> فَلْيَطْلُبْ مَا دَامَ فِي الْوَقْتِ ، فَإِذَا خَافَ أَنْ يَفُوتَهُ الْوَقْتُ ، فَلْيَتَيَمَّمْ </w:t>
      </w:r>
      <w:r w:rsidRPr="007C12DB">
        <w:rPr>
          <w:rStyle w:val="libFootnotenumChar"/>
          <w:rtl/>
        </w:rPr>
        <w:t>(2)</w:t>
      </w:r>
      <w:r w:rsidRPr="005D642E">
        <w:rPr>
          <w:rtl/>
          <w:lang w:bidi="fa-IR"/>
        </w:rPr>
        <w:t xml:space="preserve"> وَلْيُصَلِّ فِي آخِرِ الْوَقْتِ ، فَإِذَا </w:t>
      </w:r>
      <w:r w:rsidRPr="007C12DB">
        <w:rPr>
          <w:rStyle w:val="libFootnotenumChar"/>
          <w:rtl/>
        </w:rPr>
        <w:t>(3)</w:t>
      </w:r>
      <w:r w:rsidRPr="005D642E">
        <w:rPr>
          <w:rtl/>
          <w:lang w:bidi="fa-IR"/>
        </w:rPr>
        <w:t xml:space="preserve"> وَجَدَ الْمَاءَ ، فَلَا قَضَاءَ عَلَيْهِ ، وَلْيَتَوَضَّأْ لِمَا يَسْتَقْبِلُ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D51333">
        <w:rPr>
          <w:rtl/>
        </w:rPr>
        <w:t>4110</w:t>
      </w:r>
      <w:r w:rsidRPr="00246318">
        <w:rPr>
          <w:rStyle w:val="libBold2Char"/>
          <w:rtl/>
        </w:rPr>
        <w:t xml:space="preserve"> / 3.</w:t>
      </w:r>
      <w:r w:rsidRPr="005D642E">
        <w:rPr>
          <w:rtl/>
          <w:lang w:bidi="fa-IR"/>
        </w:rPr>
        <w:t xml:space="preserve"> عَلِيُّ بْنُ إِبْرَاهِيمَ ، عَنْ أَبِيهِ ، عَنِ ابْنِ أَبِي عُمَيْرٍ ، عَنْ حَمَّادٍ ، عَنِ الْحَلَبِيِّ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لَمْ يَجِدِ الرَّجُلُ طَهُوراً </w:t>
      </w:r>
      <w:r w:rsidRPr="007C12DB">
        <w:rPr>
          <w:rStyle w:val="libFootnotenumChar"/>
          <w:rtl/>
        </w:rPr>
        <w:t>(5)</w:t>
      </w:r>
      <w:r w:rsidRPr="005D642E">
        <w:rPr>
          <w:rtl/>
          <w:lang w:bidi="fa-IR"/>
        </w:rPr>
        <w:t xml:space="preserve"> ، وَكَانَ جُنُباً ، فَلْيَمْسَحْ </w:t>
      </w:r>
      <w:r w:rsidRPr="007C12DB">
        <w:rPr>
          <w:rStyle w:val="libFootnotenumChar"/>
          <w:rtl/>
        </w:rPr>
        <w:t>(6)</w:t>
      </w:r>
      <w:r w:rsidRPr="005D642E">
        <w:rPr>
          <w:rtl/>
          <w:lang w:bidi="fa-IR"/>
        </w:rPr>
        <w:t xml:space="preserve"> مِنَ الْأَرْضِ وَيُصَلِّي </w:t>
      </w:r>
      <w:r w:rsidRPr="007C12DB">
        <w:rPr>
          <w:rStyle w:val="libFootnotenumChar"/>
          <w:rtl/>
        </w:rPr>
        <w:t>(7)</w:t>
      </w:r>
      <w:r w:rsidRPr="005D642E">
        <w:rPr>
          <w:rtl/>
          <w:lang w:bidi="fa-IR"/>
        </w:rPr>
        <w:t xml:space="preserve"> ، فَإِذَا </w:t>
      </w:r>
      <w:r w:rsidRPr="007C12DB">
        <w:rPr>
          <w:rStyle w:val="libFootnotenumChar"/>
          <w:rtl/>
        </w:rPr>
        <w:t>(8)</w:t>
      </w:r>
      <w:r w:rsidRPr="005D642E">
        <w:rPr>
          <w:rtl/>
          <w:lang w:bidi="fa-IR"/>
        </w:rPr>
        <w:t xml:space="preserve"> وَجَدَ مَاءً </w:t>
      </w:r>
      <w:r w:rsidRPr="007C12DB">
        <w:rPr>
          <w:rStyle w:val="libFootnotenumChar"/>
          <w:rtl/>
        </w:rPr>
        <w:t>(9)</w:t>
      </w:r>
      <w:r w:rsidRPr="005D642E">
        <w:rPr>
          <w:rtl/>
          <w:lang w:bidi="fa-IR"/>
        </w:rPr>
        <w:t xml:space="preserve"> ، فَلْيَغْتَسِلْ وَقَدْ أَجْزَأَتْهُ </w:t>
      </w:r>
      <w:r w:rsidRPr="007C12DB">
        <w:rPr>
          <w:rStyle w:val="libFootnotenumChar"/>
          <w:rtl/>
        </w:rPr>
        <w:t>(10)</w:t>
      </w:r>
      <w:r w:rsidRPr="005D642E">
        <w:rPr>
          <w:rtl/>
          <w:lang w:bidi="fa-IR"/>
        </w:rPr>
        <w:t xml:space="preserve"> صَلَاتُهُ الَّتِي صَلّى »</w:t>
      </w:r>
      <w:r>
        <w:rPr>
          <w:rtl/>
          <w:lang w:bidi="fa-IR"/>
        </w:rPr>
        <w:t>.</w:t>
      </w:r>
      <w:r w:rsidRPr="005D642E">
        <w:rPr>
          <w:rtl/>
          <w:lang w:bidi="fa-IR"/>
        </w:rPr>
        <w:t xml:space="preserve"> </w:t>
      </w:r>
      <w:r w:rsidRPr="007C12DB">
        <w:rPr>
          <w:rStyle w:val="libFootnotenumChar"/>
          <w:rtl/>
        </w:rPr>
        <w:t>(11)</w:t>
      </w:r>
    </w:p>
    <w:p w:rsidR="00F53A51" w:rsidRDefault="00E3253D" w:rsidP="00E3253D">
      <w:pPr>
        <w:pStyle w:val="libNormal"/>
        <w:rPr>
          <w:rtl/>
          <w:lang w:bidi="fa-IR"/>
        </w:rPr>
      </w:pPr>
      <w:r w:rsidRPr="007512CE">
        <w:rPr>
          <w:rtl/>
        </w:rPr>
        <w:t>4111</w:t>
      </w:r>
      <w:r w:rsidRPr="00246318">
        <w:rPr>
          <w:rStyle w:val="libBold2Char"/>
          <w:rtl/>
        </w:rPr>
        <w:t xml:space="preserve"> / 4.</w:t>
      </w:r>
      <w:r w:rsidRPr="005D642E">
        <w:rPr>
          <w:rtl/>
          <w:lang w:bidi="fa-IR"/>
        </w:rPr>
        <w:t xml:space="preserve"> مُحَمَّدُ بْنُ إِسْمَاعِيلَ ، عَنِ الْفَضْلِ بْنِ شَاذَانَ ؛</w:t>
      </w:r>
    </w:p>
    <w:p w:rsidR="00E3253D" w:rsidRPr="005D642E" w:rsidRDefault="00E3253D" w:rsidP="00E3253D">
      <w:pPr>
        <w:pStyle w:val="libNormal"/>
        <w:rPr>
          <w:rtl/>
          <w:lang w:bidi="fa-IR"/>
        </w:rPr>
      </w:pPr>
      <w:r w:rsidRPr="005D642E">
        <w:rPr>
          <w:rtl/>
          <w:lang w:bidi="fa-IR"/>
        </w:rPr>
        <w:t>وَعَلِيُّ بْنُ إِبْرَاهِيمَ ، عَنْ أَبِيهِ جَمِيعاً ، عَنْ حَمَّادِ بْنِ عِيسى ، عَنْ حَرِيزٍ ، عَنْ‌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53A51" w:rsidTr="00F53A51">
        <w:tc>
          <w:tcPr>
            <w:tcW w:w="4006" w:type="dxa"/>
          </w:tcPr>
          <w:p w:rsidR="00F53A51" w:rsidRDefault="00F53A51" w:rsidP="00E3253D">
            <w:pPr>
              <w:pStyle w:val="libFootnote0"/>
              <w:rPr>
                <w:rStyle w:val="libFootnote0Char"/>
                <w:rtl/>
              </w:rPr>
            </w:pPr>
            <w:r w:rsidRPr="0042621E">
              <w:rPr>
                <w:rStyle w:val="libFootnote0Char"/>
                <w:rtl/>
              </w:rPr>
              <w:t>(1).</w:t>
            </w:r>
            <w:r>
              <w:rPr>
                <w:rtl/>
              </w:rPr>
              <w:t xml:space="preserve"> </w:t>
            </w:r>
            <w:r w:rsidRPr="005D642E">
              <w:rPr>
                <w:rtl/>
              </w:rPr>
              <w:t>في « غ » : « ماء »</w:t>
            </w:r>
            <w:r>
              <w:rPr>
                <w:rtl/>
              </w:rPr>
              <w:t>.</w:t>
            </w:r>
          </w:p>
        </w:tc>
        <w:tc>
          <w:tcPr>
            <w:tcW w:w="4006" w:type="dxa"/>
          </w:tcPr>
          <w:p w:rsidR="00F53A51" w:rsidRDefault="00F53A51" w:rsidP="00E3253D">
            <w:pPr>
              <w:pStyle w:val="libFootnote0"/>
              <w:rPr>
                <w:rStyle w:val="libFootnote0Char"/>
                <w:rtl/>
              </w:rPr>
            </w:pPr>
            <w:r w:rsidRPr="0042621E">
              <w:rPr>
                <w:rStyle w:val="libFootnote0Char"/>
                <w:rtl/>
              </w:rPr>
              <w:t>(2).</w:t>
            </w:r>
            <w:r w:rsidRPr="005D642E">
              <w:rPr>
                <w:rtl/>
              </w:rPr>
              <w:t xml:space="preserve"> في « بس ، جس » : « فلتيمّم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w:t>
      </w:r>
      <w:r w:rsidR="000D749A" w:rsidRPr="000D749A">
        <w:rPr>
          <w:rStyle w:val="libFootnoteBoldChar"/>
          <w:rtl/>
        </w:rPr>
        <w:t>والوافي</w:t>
      </w:r>
      <w:r w:rsidR="00E3253D" w:rsidRPr="005D642E">
        <w:rPr>
          <w:rtl/>
        </w:rPr>
        <w:t xml:space="preserve"> : « وإذا »</w:t>
      </w:r>
      <w:r w:rsidR="00E3253D">
        <w:rPr>
          <w:rtl/>
        </w:rPr>
        <w:t>.</w:t>
      </w:r>
    </w:p>
    <w:p w:rsidR="00E3253D" w:rsidRPr="005D642E" w:rsidRDefault="0042621E" w:rsidP="00F53A51">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192 ، ح 555 ؛ وص 203 ، ح 589 ؛ </w:t>
      </w:r>
      <w:r w:rsidR="00E3253D" w:rsidRPr="00E678B5">
        <w:rPr>
          <w:rStyle w:val="libFootnoteBoldChar"/>
          <w:rtl/>
        </w:rPr>
        <w:t>والاستبصار</w:t>
      </w:r>
      <w:r w:rsidR="00E3253D" w:rsidRPr="005D642E">
        <w:rPr>
          <w:rtl/>
        </w:rPr>
        <w:t xml:space="preserve"> ، ج 1 ، ص 159 ، ح 548 ؛ وص 165 ، ح 574 ، بسندها عن الكليني. </w:t>
      </w:r>
      <w:r w:rsidR="00E3253D" w:rsidRPr="002F4D34">
        <w:rPr>
          <w:rStyle w:val="libFootnoteBoldChar"/>
          <w:rtl/>
        </w:rPr>
        <w:t>التهذيب</w:t>
      </w:r>
      <w:r w:rsidR="00E3253D" w:rsidRPr="005D642E">
        <w:rPr>
          <w:rtl/>
        </w:rPr>
        <w:t xml:space="preserve"> ، ج 1 ، ص 194 ، ح 560 ، بسنده عن زرارة ، مع اختلاف يسير</w:t>
      </w:r>
      <w:r w:rsidR="00F53A51">
        <w:rPr>
          <w:rFonts w:hint="cs"/>
          <w:rtl/>
        </w:rPr>
        <w:t>.</w:t>
      </w:r>
      <w:r w:rsidR="00E3253D" w:rsidRPr="002F4D34">
        <w:rPr>
          <w:rStyle w:val="libFootnoteBoldChar"/>
          <w:rtl/>
        </w:rPr>
        <w:t>الوافي</w:t>
      </w:r>
      <w:r w:rsidR="00E3253D" w:rsidRPr="005D642E">
        <w:rPr>
          <w:rtl/>
        </w:rPr>
        <w:t xml:space="preserve"> ، ج 6 ، ص 559 ، ح 4925 ؛ </w:t>
      </w:r>
      <w:r w:rsidR="00E3253D" w:rsidRPr="002F4D34">
        <w:rPr>
          <w:rStyle w:val="libFootnoteBoldChar"/>
          <w:rtl/>
        </w:rPr>
        <w:t>الوسائل</w:t>
      </w:r>
      <w:r w:rsidR="00E3253D" w:rsidRPr="005D642E">
        <w:rPr>
          <w:rtl/>
        </w:rPr>
        <w:t xml:space="preserve"> ، ج 3 ، ص 341 ، ح 3814 ، إلى قوله : « فليتيمّم وليصلّ » ؛ وص 366 ، ح 3883 ؛ وفي ص 384 ، ح 3930 إلى قوله : « وليصلّ في آخر الوقت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الطَهُور » بضمّ التاء : مصدر بمعنى التطهّر ، وبفتحها يكون مصدراً واسماً لما يتطهّر به وصفة. واختلف فيه</w:t>
      </w:r>
      <w:r w:rsidR="005E4746">
        <w:rPr>
          <w:rFonts w:hint="cs"/>
          <w:rtl/>
        </w:rPr>
        <w:t xml:space="preserve"> </w:t>
      </w:r>
      <w:r w:rsidR="00E3253D" w:rsidRPr="005D642E">
        <w:rPr>
          <w:rtl/>
        </w:rPr>
        <w:t>‌على الأخير هل هو مبالغة في الطاهر ، أو يراد به الطاهر في نفسه المطهّر لغيره</w:t>
      </w:r>
      <w:r w:rsidR="00E3253D">
        <w:rPr>
          <w:rtl/>
        </w:rPr>
        <w:t>؟</w:t>
      </w:r>
      <w:r w:rsidR="005E4746">
        <w:rPr>
          <w:rtl/>
        </w:rPr>
        <w:t xml:space="preserve"> قال العل</w:t>
      </w:r>
      <w:r w:rsidR="005E4746">
        <w:rPr>
          <w:rFonts w:hint="cs"/>
          <w:rtl/>
        </w:rPr>
        <w:t>ّ</w:t>
      </w:r>
      <w:r w:rsidR="005E4746">
        <w:rPr>
          <w:rtl/>
        </w:rPr>
        <w:t>ا</w:t>
      </w:r>
      <w:r w:rsidR="00E3253D" w:rsidRPr="005D642E">
        <w:rPr>
          <w:rtl/>
        </w:rPr>
        <w:t>مة المجلسي : « لكنّ الظاهر أنّه قد جعل اسماً لما يتطهّر به ، كما صرّح به المحقّقون من اللغويّين</w:t>
      </w:r>
      <w:r w:rsidR="00E3253D">
        <w:rPr>
          <w:rtl/>
        </w:rPr>
        <w:t xml:space="preserve"> ..</w:t>
      </w:r>
      <w:r w:rsidR="00E3253D" w:rsidRPr="005D642E">
        <w:rPr>
          <w:rtl/>
        </w:rPr>
        <w:t>. وتتبّع الروايات ممّا يورث ظنّاً قويّاً بأنّ الطهور في إطلاقاتهم المراد منه المطهّر إمّا لكونه صفة بهذا المعنى ، أو اسماً لما يتطهّر به »</w:t>
      </w:r>
      <w:r w:rsidR="00E3253D">
        <w:rPr>
          <w:rtl/>
        </w:rPr>
        <w:t>.</w:t>
      </w:r>
      <w:r w:rsidR="00E3253D" w:rsidRPr="005D642E">
        <w:rPr>
          <w:rtl/>
        </w:rPr>
        <w:t xml:space="preserve"> وتفصيل البحث أوردناه في التعليقة على أوّل كتاب الطهارة. وللمزيد راجع : </w:t>
      </w:r>
      <w:r w:rsidR="00E3253D" w:rsidRPr="002F4D34">
        <w:rPr>
          <w:rStyle w:val="libFootnoteBoldChar"/>
          <w:rtl/>
        </w:rPr>
        <w:t>مرآة العقول</w:t>
      </w:r>
      <w:r w:rsidR="00E3253D" w:rsidRPr="005D642E">
        <w:rPr>
          <w:rtl/>
        </w:rPr>
        <w:t xml:space="preserve"> ، ج 13 ، ص 2</w:t>
      </w:r>
      <w:r w:rsidR="00E3253D">
        <w:rPr>
          <w:rtl/>
        </w:rPr>
        <w:t xml:space="preserve"> </w:t>
      </w:r>
      <w:r w:rsidR="007642BC">
        <w:rPr>
          <w:rtl/>
        </w:rPr>
        <w:t>-</w:t>
      </w:r>
      <w:r w:rsidR="00E3253D">
        <w:rPr>
          <w:rtl/>
        </w:rPr>
        <w:t xml:space="preserve"> </w:t>
      </w:r>
      <w:r w:rsidR="00E3253D" w:rsidRPr="005D642E">
        <w:rPr>
          <w:rtl/>
        </w:rPr>
        <w:t xml:space="preserve">3 ؛ </w:t>
      </w:r>
      <w:r w:rsidR="00E3253D" w:rsidRPr="002F4D34">
        <w:rPr>
          <w:rStyle w:val="libFootnoteBoldChar"/>
          <w:rtl/>
        </w:rPr>
        <w:t>النهاية</w:t>
      </w:r>
      <w:r w:rsidR="00E3253D" w:rsidRPr="005D642E">
        <w:rPr>
          <w:rtl/>
        </w:rPr>
        <w:t xml:space="preserve"> ، ج 3 ، ص 147 ؛ </w:t>
      </w:r>
      <w:r w:rsidR="00E3253D" w:rsidRPr="002F4D34">
        <w:rPr>
          <w:rStyle w:val="libFootnoteBoldChar"/>
          <w:rtl/>
        </w:rPr>
        <w:t>المغرب</w:t>
      </w:r>
      <w:r w:rsidR="00E3253D" w:rsidRPr="005D642E">
        <w:rPr>
          <w:rtl/>
        </w:rPr>
        <w:t xml:space="preserve"> ، ص 295 ؛ </w:t>
      </w:r>
      <w:r w:rsidR="00E3253D" w:rsidRPr="002F4D34">
        <w:rPr>
          <w:rStyle w:val="libFootnoteBoldChar"/>
          <w:rtl/>
        </w:rPr>
        <w:t>القاموس المحيط</w:t>
      </w:r>
      <w:r w:rsidR="00E3253D" w:rsidRPr="005D642E">
        <w:rPr>
          <w:rtl/>
        </w:rPr>
        <w:t xml:space="preserve"> ، ج 1 ، ص 605 ( طهر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 « فليتمسّح »</w:t>
      </w:r>
      <w:r w:rsidR="00E3253D">
        <w:rPr>
          <w:rtl/>
        </w:rPr>
        <w:t>.</w:t>
      </w:r>
    </w:p>
    <w:p w:rsidR="00E3253D" w:rsidRPr="005D642E" w:rsidRDefault="0042621E" w:rsidP="005E4746">
      <w:pPr>
        <w:pStyle w:val="libFootnote0"/>
        <w:rPr>
          <w:rtl/>
          <w:lang w:bidi="fa-IR"/>
        </w:rPr>
      </w:pPr>
      <w:r w:rsidRPr="0042621E">
        <w:rPr>
          <w:rStyle w:val="libFootnote0Char"/>
          <w:rtl/>
        </w:rPr>
        <w:t>(7).</w:t>
      </w:r>
      <w:r w:rsidR="00E3253D" w:rsidRPr="005D642E">
        <w:rPr>
          <w:rtl/>
        </w:rPr>
        <w:t xml:space="preserve"> في « غ » وحاشية « بث » : « وليصلّي »</w:t>
      </w:r>
      <w:r w:rsidR="00E3253D">
        <w:rPr>
          <w:rtl/>
        </w:rPr>
        <w:t>.</w:t>
      </w:r>
      <w:r w:rsidR="00E3253D" w:rsidRPr="005D642E">
        <w:rPr>
          <w:rtl/>
        </w:rPr>
        <w:t xml:space="preserve"> وفي « بث ، جس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وليصلّ »</w:t>
      </w:r>
      <w:r w:rsidR="00E3253D">
        <w:rPr>
          <w:rtl/>
        </w:rPr>
        <w:t>.</w:t>
      </w:r>
      <w:r w:rsidR="00E3253D" w:rsidRPr="005D642E">
        <w:rPr>
          <w:rtl/>
        </w:rPr>
        <w:t xml:space="preserve"> وفي « بف » : « ويصلّ »</w:t>
      </w:r>
      <w:r w:rsidR="00E3253D">
        <w:rPr>
          <w:rtl/>
        </w:rPr>
        <w:t>.</w:t>
      </w:r>
      <w:r w:rsidR="00E3253D" w:rsidRPr="005D642E">
        <w:rPr>
          <w:rtl/>
        </w:rPr>
        <w:t xml:space="preserve"> وفي « جن » : « فليصلّي »</w:t>
      </w:r>
      <w:r w:rsidR="00E3253D">
        <w:rPr>
          <w:rtl/>
        </w:rPr>
        <w:t>.</w:t>
      </w:r>
      <w:r w:rsidR="005E4746">
        <w:rPr>
          <w:rFonts w:hint="cs"/>
          <w:rtl/>
        </w:rPr>
        <w:t xml:space="preserve">         </w:t>
      </w:r>
      <w:r w:rsidRPr="0042621E">
        <w:rPr>
          <w:rStyle w:val="libFootnote0Char"/>
          <w:rtl/>
        </w:rPr>
        <w:t>(8).</w:t>
      </w:r>
      <w:r w:rsidR="00E3253D" w:rsidRPr="005D642E">
        <w:rPr>
          <w:rtl/>
        </w:rPr>
        <w:t xml:space="preserve"> في « بث » : « إذا »</w:t>
      </w:r>
      <w:r w:rsidR="00E3253D">
        <w:rPr>
          <w:rtl/>
        </w:rPr>
        <w:t>.</w:t>
      </w:r>
    </w:p>
    <w:tbl>
      <w:tblPr>
        <w:tblStyle w:val="TableGrid"/>
        <w:bidiVisual/>
        <w:tblW w:w="0" w:type="auto"/>
        <w:tblLook w:val="04A0" w:firstRow="1" w:lastRow="0" w:firstColumn="1" w:lastColumn="0" w:noHBand="0" w:noVBand="1"/>
      </w:tblPr>
      <w:tblGrid>
        <w:gridCol w:w="4006"/>
        <w:gridCol w:w="4006"/>
      </w:tblGrid>
      <w:tr w:rsidR="005E4746" w:rsidTr="005E4746">
        <w:tc>
          <w:tcPr>
            <w:tcW w:w="4006" w:type="dxa"/>
          </w:tcPr>
          <w:p w:rsidR="005E4746" w:rsidRDefault="005E4746" w:rsidP="00E3253D">
            <w:pPr>
              <w:pStyle w:val="libFootnote0"/>
              <w:rPr>
                <w:rStyle w:val="libFootnote0Char"/>
                <w:rtl/>
              </w:rPr>
            </w:pPr>
            <w:r w:rsidRPr="0042621E">
              <w:rPr>
                <w:rStyle w:val="libFootnote0Char"/>
                <w:rtl/>
              </w:rPr>
              <w:t>(9).</w:t>
            </w:r>
            <w:r w:rsidRPr="005D642E">
              <w:rPr>
                <w:rtl/>
              </w:rPr>
              <w:t xml:space="preserve"> في « جس » : « الماء »</w:t>
            </w:r>
            <w:r>
              <w:rPr>
                <w:rtl/>
              </w:rPr>
              <w:t>.</w:t>
            </w:r>
          </w:p>
        </w:tc>
        <w:tc>
          <w:tcPr>
            <w:tcW w:w="4006" w:type="dxa"/>
          </w:tcPr>
          <w:p w:rsidR="005E4746" w:rsidRDefault="005E4746" w:rsidP="00E3253D">
            <w:pPr>
              <w:pStyle w:val="libFootnote0"/>
              <w:rPr>
                <w:rStyle w:val="libFootnote0Char"/>
                <w:rtl/>
              </w:rPr>
            </w:pPr>
            <w:r w:rsidRPr="0042621E">
              <w:rPr>
                <w:rStyle w:val="libFootnote0Char"/>
                <w:rtl/>
              </w:rPr>
              <w:t>(10).</w:t>
            </w:r>
            <w:r w:rsidRPr="005D642E">
              <w:rPr>
                <w:rtl/>
              </w:rPr>
              <w:t xml:space="preserve"> في « بح » : « وقد أجزأه »</w:t>
            </w:r>
            <w:r>
              <w:rPr>
                <w:rtl/>
              </w:rPr>
              <w:t>.</w:t>
            </w:r>
          </w:p>
        </w:tc>
      </w:tr>
    </w:tbl>
    <w:p w:rsidR="00E3253D" w:rsidRPr="005D642E" w:rsidRDefault="0042621E" w:rsidP="0096287B">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193 ، ح 556 ؛ وص 197 ح 572 ؛ </w:t>
      </w:r>
      <w:r w:rsidR="00E3253D" w:rsidRPr="00E678B5">
        <w:rPr>
          <w:rStyle w:val="libFootnoteBoldChar"/>
          <w:rtl/>
        </w:rPr>
        <w:t>والاستبصار</w:t>
      </w:r>
      <w:r w:rsidR="00E3253D" w:rsidRPr="002F4D34">
        <w:rPr>
          <w:rStyle w:val="libFootnoteBoldChar"/>
          <w:rtl/>
        </w:rPr>
        <w:t xml:space="preserve"> </w:t>
      </w:r>
      <w:r w:rsidR="00E3253D" w:rsidRPr="005D642E">
        <w:rPr>
          <w:rtl/>
        </w:rPr>
        <w:t>، ج 1 ، ص 159 ، ح 549 ؛ وص 161 ، ح 558 ، بسند آخر</w:t>
      </w:r>
      <w:r w:rsidR="0096287B">
        <w:rPr>
          <w:rFonts w:hint="cs"/>
          <w:rtl/>
        </w:rPr>
        <w:t>.</w:t>
      </w:r>
      <w:r w:rsidR="00E3253D" w:rsidRPr="002F4D34">
        <w:rPr>
          <w:rStyle w:val="libFootnoteBoldChar"/>
          <w:rtl/>
        </w:rPr>
        <w:t>الوافي</w:t>
      </w:r>
      <w:r w:rsidR="00E3253D" w:rsidRPr="005D642E">
        <w:rPr>
          <w:rtl/>
        </w:rPr>
        <w:t xml:space="preserve"> ، ج 6 ، ص 560 ، ح 4926 ؛ </w:t>
      </w:r>
      <w:r w:rsidR="00E3253D" w:rsidRPr="002F4D34">
        <w:rPr>
          <w:rStyle w:val="libFootnoteBoldChar"/>
          <w:rtl/>
        </w:rPr>
        <w:t>الوسائل</w:t>
      </w:r>
      <w:r w:rsidR="00E3253D" w:rsidRPr="005D642E">
        <w:rPr>
          <w:rtl/>
        </w:rPr>
        <w:t xml:space="preserve"> ، ج 3 ، ص 367 ، ح 3884.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زُرَارَةَ ، قَالَ :</w:t>
      </w:r>
    </w:p>
    <w:p w:rsidR="00E3253D" w:rsidRPr="005D642E" w:rsidRDefault="00E3253D" w:rsidP="00E3253D">
      <w:pPr>
        <w:pStyle w:val="libNormal"/>
        <w:rPr>
          <w:rtl/>
          <w:lang w:bidi="fa-IR"/>
        </w:rPr>
      </w:pPr>
      <w:r w:rsidRPr="005D642E">
        <w:rPr>
          <w:rtl/>
          <w:lang w:bidi="fa-IR"/>
        </w:rPr>
        <w:t xml:space="preserve">قُلْتُ لِأَبِي جَعْفَرٍ </w:t>
      </w:r>
      <w:r w:rsidRPr="00AC51C5">
        <w:rPr>
          <w:rStyle w:val="libAlaemChar"/>
          <w:rtl/>
        </w:rPr>
        <w:t>عليه‌السلام</w:t>
      </w:r>
      <w:r w:rsidRPr="005D642E">
        <w:rPr>
          <w:rtl/>
          <w:lang w:bidi="fa-IR"/>
        </w:rPr>
        <w:t xml:space="preserve"> : يُصَلِّي الرَّجُلُ بِوُضُوءٍ وَاحِدٍ صَلَاةَ اللَّيْلِ وَالنَّهَارِ كُلَّهَا</w:t>
      </w:r>
      <w:r>
        <w:rPr>
          <w:rtl/>
          <w:lang w:bidi="fa-IR"/>
        </w:rPr>
        <w:t>؟</w:t>
      </w:r>
    </w:p>
    <w:p w:rsidR="00E3253D" w:rsidRPr="005D642E" w:rsidRDefault="00E3253D" w:rsidP="00E3253D">
      <w:pPr>
        <w:pStyle w:val="libNormal"/>
        <w:rPr>
          <w:rtl/>
          <w:lang w:bidi="fa-IR"/>
        </w:rPr>
      </w:pPr>
      <w:r w:rsidRPr="005D642E">
        <w:rPr>
          <w:rtl/>
          <w:lang w:bidi="fa-IR"/>
        </w:rPr>
        <w:t>قَالَ : « نَعَمْ ، مَا لَمْ يُحْدِثْ »</w:t>
      </w:r>
      <w:r>
        <w:rPr>
          <w:rtl/>
          <w:lang w:bidi="fa-IR"/>
        </w:rPr>
        <w:t>.</w:t>
      </w:r>
    </w:p>
    <w:p w:rsidR="00E3253D" w:rsidRPr="005D642E" w:rsidRDefault="00E3253D" w:rsidP="00E3253D">
      <w:pPr>
        <w:pStyle w:val="libNormal"/>
        <w:rPr>
          <w:rtl/>
          <w:lang w:bidi="fa-IR"/>
        </w:rPr>
      </w:pPr>
      <w:r w:rsidRPr="005D642E">
        <w:rPr>
          <w:rtl/>
          <w:lang w:bidi="fa-IR"/>
        </w:rPr>
        <w:t>قُلْتُ : فَيُصَلِّي بِتَيَمُّمٍ وَاحِدٍ صَلَاةَ اللَّيْلِ وَالنَّهَارِ كُلَّهَا</w:t>
      </w:r>
      <w:r>
        <w:rPr>
          <w:rtl/>
          <w:lang w:bidi="fa-IR"/>
        </w:rPr>
        <w:t>؟</w:t>
      </w:r>
    </w:p>
    <w:p w:rsidR="00E3253D" w:rsidRPr="005D642E" w:rsidRDefault="00E3253D" w:rsidP="00E3253D">
      <w:pPr>
        <w:pStyle w:val="libNormal"/>
        <w:rPr>
          <w:rtl/>
          <w:lang w:bidi="fa-IR"/>
        </w:rPr>
      </w:pPr>
      <w:r w:rsidRPr="005D642E">
        <w:rPr>
          <w:rtl/>
          <w:lang w:bidi="fa-IR"/>
        </w:rPr>
        <w:t xml:space="preserve">قَالَ : « نَعَمْ </w:t>
      </w:r>
      <w:r w:rsidRPr="007C12DB">
        <w:rPr>
          <w:rStyle w:val="libFootnotenumChar"/>
          <w:rtl/>
        </w:rPr>
        <w:t>(1)</w:t>
      </w:r>
      <w:r w:rsidRPr="005D642E">
        <w:rPr>
          <w:rtl/>
          <w:lang w:bidi="fa-IR"/>
        </w:rPr>
        <w:t xml:space="preserve"> ، مَا لَمْ يُحْدِثْ ، أَوْ يُصِبْ </w:t>
      </w:r>
      <w:r w:rsidRPr="007C12DB">
        <w:rPr>
          <w:rStyle w:val="libFootnotenumChar"/>
          <w:rtl/>
        </w:rPr>
        <w:t>(2)</w:t>
      </w:r>
      <w:r w:rsidRPr="005D642E">
        <w:rPr>
          <w:rtl/>
          <w:lang w:bidi="fa-IR"/>
        </w:rPr>
        <w:t xml:space="preserve"> مَاءً »</w:t>
      </w:r>
      <w:r>
        <w:rPr>
          <w:rtl/>
          <w:lang w:bidi="fa-IR"/>
        </w:rPr>
        <w:t>.</w:t>
      </w:r>
    </w:p>
    <w:p w:rsidR="00E3253D" w:rsidRPr="005D642E" w:rsidRDefault="00E3253D" w:rsidP="00E3253D">
      <w:pPr>
        <w:pStyle w:val="libNormal"/>
        <w:rPr>
          <w:rtl/>
          <w:lang w:bidi="fa-IR"/>
        </w:rPr>
      </w:pPr>
      <w:r w:rsidRPr="005D642E">
        <w:rPr>
          <w:rtl/>
          <w:lang w:bidi="fa-IR"/>
        </w:rPr>
        <w:t xml:space="preserve">قُلْتُ : فَإِنْ </w:t>
      </w:r>
      <w:r w:rsidRPr="007C12DB">
        <w:rPr>
          <w:rStyle w:val="libFootnotenumChar"/>
          <w:rtl/>
        </w:rPr>
        <w:t>(3)</w:t>
      </w:r>
      <w:r w:rsidRPr="005D642E">
        <w:rPr>
          <w:rtl/>
          <w:lang w:bidi="fa-IR"/>
        </w:rPr>
        <w:t xml:space="preserve"> أَصَابَ الْمَاءَ ، وَرَجَا أَنْ يَقْدِرَ عَلى مَاءٍ آخَرَ ، وَظَنَّ أَنَّهُ يَقْدِرُ عَلَيْهِ كُلَّمَا </w:t>
      </w:r>
      <w:r w:rsidRPr="007C12DB">
        <w:rPr>
          <w:rStyle w:val="libFootnotenumChar"/>
          <w:rtl/>
        </w:rPr>
        <w:t>(4)</w:t>
      </w:r>
      <w:r w:rsidRPr="005D642E">
        <w:rPr>
          <w:rtl/>
          <w:lang w:bidi="fa-IR"/>
        </w:rPr>
        <w:t xml:space="preserve"> أَرَادَ ، فَعَسُرَ ذلِكَ عَلَيْهِ</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5D642E">
        <w:rPr>
          <w:rtl/>
          <w:lang w:bidi="fa-IR"/>
        </w:rPr>
        <w:t>قَالَ : « يَنْقُضُ ذلِكَ تَيَمُّمَهُ ، وَعَلَيْهِ أَنْ يُعِيدَ التَّيَمُّمَ »</w:t>
      </w:r>
      <w:r>
        <w:rPr>
          <w:rtl/>
          <w:lang w:bidi="fa-IR"/>
        </w:rPr>
        <w:t>.</w:t>
      </w:r>
    </w:p>
    <w:p w:rsidR="00E3253D" w:rsidRPr="005D642E" w:rsidRDefault="00E3253D" w:rsidP="00E3253D">
      <w:pPr>
        <w:pStyle w:val="libNormal"/>
        <w:rPr>
          <w:rtl/>
          <w:lang w:bidi="fa-IR"/>
        </w:rPr>
      </w:pPr>
      <w:r w:rsidRPr="005D642E">
        <w:rPr>
          <w:rtl/>
          <w:lang w:bidi="fa-IR"/>
        </w:rPr>
        <w:t xml:space="preserve">قُلْتُ : فَإِنْ </w:t>
      </w:r>
      <w:r w:rsidRPr="007C12DB">
        <w:rPr>
          <w:rStyle w:val="libFootnotenumChar"/>
          <w:rtl/>
        </w:rPr>
        <w:t>(6)</w:t>
      </w:r>
      <w:r w:rsidRPr="005D642E">
        <w:rPr>
          <w:rtl/>
          <w:lang w:bidi="fa-IR"/>
        </w:rPr>
        <w:t xml:space="preserve"> أَصَابَ الْمَاءَ وَقَدْ دَخَلَ فِي الصَّلَاةِ</w:t>
      </w:r>
      <w:r>
        <w:rPr>
          <w:rtl/>
          <w:lang w:bidi="fa-IR"/>
        </w:rPr>
        <w:t>؟</w:t>
      </w:r>
    </w:p>
    <w:p w:rsidR="00E3253D" w:rsidRPr="005D642E" w:rsidRDefault="00E3253D" w:rsidP="00E3253D">
      <w:pPr>
        <w:pStyle w:val="libNormal"/>
        <w:rPr>
          <w:rtl/>
          <w:lang w:bidi="fa-IR"/>
        </w:rPr>
      </w:pPr>
      <w:r w:rsidRPr="005D642E">
        <w:rPr>
          <w:rtl/>
          <w:lang w:bidi="fa-IR"/>
        </w:rPr>
        <w:t xml:space="preserve">قَالَ : « فَلْيَنْصَرِفْ ، وَلْيَتَوَضَّأْ مَا لَمْ يَرْكَعْ ، فَإِنْ كَانَ قَدْ رَكَعَ </w:t>
      </w:r>
      <w:r w:rsidRPr="007C12DB">
        <w:rPr>
          <w:rStyle w:val="libFootnotenumChar"/>
          <w:rtl/>
        </w:rPr>
        <w:t>(7)</w:t>
      </w:r>
      <w:r w:rsidRPr="005D642E">
        <w:rPr>
          <w:rtl/>
          <w:lang w:bidi="fa-IR"/>
        </w:rPr>
        <w:t xml:space="preserve"> ، فَلْيَمْضِ فِي صَلَاتِهِ ؛ فَإِنَّ التَّيَمُّمَ أَحَدُ الطَّهُورَيْنِ »</w:t>
      </w:r>
      <w:r>
        <w:rPr>
          <w:rtl/>
          <w:lang w:bidi="fa-IR"/>
        </w:rPr>
        <w:t>.</w:t>
      </w:r>
      <w:r w:rsidRPr="005D642E">
        <w:rPr>
          <w:rtl/>
          <w:lang w:bidi="fa-IR"/>
        </w:rPr>
        <w:t xml:space="preserve"> </w:t>
      </w:r>
      <w:r w:rsidRPr="007C12DB">
        <w:rPr>
          <w:rStyle w:val="libFootnotenumChar"/>
          <w:rtl/>
        </w:rPr>
        <w:t>(8)</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الوسائل ، ح 989 : « قال : نعم كلّها » بدل « كلّها قال : نعم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بث ، بح ، بس ، بف ، جن » </w:t>
      </w:r>
      <w:r w:rsidR="000D749A" w:rsidRPr="000D749A">
        <w:rPr>
          <w:rStyle w:val="libFootnoteBoldChar"/>
          <w:rtl/>
        </w:rPr>
        <w:t>والوافي</w:t>
      </w:r>
      <w:r w:rsidR="00E3253D" w:rsidRPr="005D642E">
        <w:rPr>
          <w:rtl/>
        </w:rPr>
        <w:t xml:space="preserve"> </w:t>
      </w:r>
      <w:r w:rsidR="00E3253D" w:rsidRPr="00E678B5">
        <w:rPr>
          <w:rStyle w:val="libFootnoteBoldChar"/>
          <w:rtl/>
        </w:rPr>
        <w:t>والاستبصار</w:t>
      </w:r>
      <w:r w:rsidR="00E3253D" w:rsidRPr="005D642E">
        <w:rPr>
          <w:rtl/>
        </w:rPr>
        <w:t xml:space="preserve"> ، ح 565 </w:t>
      </w:r>
      <w:r w:rsidR="00E3253D">
        <w:rPr>
          <w:rtl/>
        </w:rPr>
        <w:t>و 5</w:t>
      </w:r>
      <w:r w:rsidR="00E3253D" w:rsidRPr="005D642E">
        <w:rPr>
          <w:rtl/>
        </w:rPr>
        <w:t>70 : « أو يصيب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 « وإن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كما »</w:t>
      </w:r>
      <w:r w:rsidR="00E3253D">
        <w:rPr>
          <w:rtl/>
        </w:rPr>
        <w:t>.</w:t>
      </w:r>
    </w:p>
    <w:tbl>
      <w:tblPr>
        <w:tblStyle w:val="TableGrid"/>
        <w:bidiVisual/>
        <w:tblW w:w="0" w:type="auto"/>
        <w:tblLook w:val="04A0" w:firstRow="1" w:lastRow="0" w:firstColumn="1" w:lastColumn="0" w:noHBand="0" w:noVBand="1"/>
      </w:tblPr>
      <w:tblGrid>
        <w:gridCol w:w="4006"/>
        <w:gridCol w:w="4006"/>
      </w:tblGrid>
      <w:tr w:rsidR="0096287B" w:rsidTr="0096287B">
        <w:tc>
          <w:tcPr>
            <w:tcW w:w="4006" w:type="dxa"/>
          </w:tcPr>
          <w:p w:rsidR="0096287B" w:rsidRDefault="0096287B" w:rsidP="00E3253D">
            <w:pPr>
              <w:pStyle w:val="libFootnote0"/>
              <w:rPr>
                <w:rStyle w:val="libFootnote0Char"/>
                <w:rtl/>
              </w:rPr>
            </w:pPr>
            <w:r w:rsidRPr="0042621E">
              <w:rPr>
                <w:rStyle w:val="libFootnote0Char"/>
                <w:rtl/>
              </w:rPr>
              <w:t>(5).</w:t>
            </w:r>
            <w:r w:rsidRPr="005D642E">
              <w:rPr>
                <w:rtl/>
              </w:rPr>
              <w:t xml:space="preserve"> في الوافي:</w:t>
            </w:r>
            <w:r>
              <w:rPr>
                <w:rtl/>
              </w:rPr>
              <w:t>-</w:t>
            </w:r>
            <w:r w:rsidRPr="005D642E">
              <w:rPr>
                <w:rtl/>
              </w:rPr>
              <w:t>«كلّما أراد فعسر ذلك عليه»</w:t>
            </w:r>
            <w:r>
              <w:rPr>
                <w:rtl/>
              </w:rPr>
              <w:t>.</w:t>
            </w:r>
          </w:p>
        </w:tc>
        <w:tc>
          <w:tcPr>
            <w:tcW w:w="4006" w:type="dxa"/>
          </w:tcPr>
          <w:p w:rsidR="0096287B" w:rsidRDefault="0096287B" w:rsidP="00E3253D">
            <w:pPr>
              <w:pStyle w:val="libFootnote0"/>
              <w:rPr>
                <w:rStyle w:val="libFootnote0Char"/>
                <w:rtl/>
              </w:rPr>
            </w:pPr>
            <w:r w:rsidRPr="0042621E">
              <w:rPr>
                <w:rStyle w:val="libFootnote0Char"/>
                <w:rtl/>
              </w:rPr>
              <w:t>(6).</w:t>
            </w:r>
            <w:r w:rsidRPr="005D642E">
              <w:rPr>
                <w:rtl/>
              </w:rPr>
              <w:t xml:space="preserve"> في « بف » : « وإن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فإن كان قد ركع »</w:t>
      </w:r>
      <w:r w:rsidR="00E3253D">
        <w:rPr>
          <w:rtl/>
        </w:rPr>
        <w:t>.</w:t>
      </w:r>
    </w:p>
    <w:p w:rsidR="00E3253D" w:rsidRPr="005D642E" w:rsidRDefault="0042621E" w:rsidP="0076078B">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200 ، ح 580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164 ، ح 570 ، إلى قوله : « وعليه أن يعيد التيمّم » ؛ </w:t>
      </w:r>
      <w:r w:rsidR="00E3253D" w:rsidRPr="002F4D34">
        <w:rPr>
          <w:rStyle w:val="libFootnoteBoldChar"/>
          <w:rtl/>
        </w:rPr>
        <w:t>وفيه</w:t>
      </w:r>
      <w:r w:rsidR="00E3253D" w:rsidRPr="005D642E">
        <w:rPr>
          <w:rtl/>
        </w:rPr>
        <w:t xml:space="preserve"> ، ص 163 ، ح 565 ، إلى قوله : « ما لم يحدث أو يصب ماء » وفي كلّها بسند آخر عن حمّاد ، عن حريز. </w:t>
      </w:r>
      <w:r w:rsidR="00E3253D" w:rsidRPr="002F4D34">
        <w:rPr>
          <w:rStyle w:val="libFootnoteBoldChar"/>
          <w:rtl/>
        </w:rPr>
        <w:t>وفيه</w:t>
      </w:r>
      <w:r w:rsidR="00E3253D" w:rsidRPr="005D642E">
        <w:rPr>
          <w:rtl/>
        </w:rPr>
        <w:t xml:space="preserve"> ، أيضاً ، ح 567 ؛ </w:t>
      </w:r>
      <w:r w:rsidR="00B60612" w:rsidRPr="00B60612">
        <w:rPr>
          <w:rStyle w:val="libFootnoteBoldChar"/>
          <w:rtl/>
        </w:rPr>
        <w:t>والتهذيب</w:t>
      </w:r>
      <w:r w:rsidR="00E3253D" w:rsidRPr="005D642E">
        <w:rPr>
          <w:rtl/>
        </w:rPr>
        <w:t xml:space="preserve"> ، ج 1 ، ص 201 ، ح 582 </w:t>
      </w:r>
      <w:r w:rsidR="00E3253D">
        <w:rPr>
          <w:rtl/>
        </w:rPr>
        <w:t>و 5</w:t>
      </w:r>
      <w:r w:rsidR="00E3253D" w:rsidRPr="005D642E">
        <w:rPr>
          <w:rtl/>
        </w:rPr>
        <w:t xml:space="preserve">85 ، بسند آخر عن السكوني ، عن جعفر ، عن أبيه ، عن آبائه </w:t>
      </w:r>
      <w:r w:rsidR="00E3253D" w:rsidRPr="0076078B">
        <w:rPr>
          <w:rStyle w:val="libFootnoteAlaemChar"/>
          <w:rtl/>
        </w:rPr>
        <w:t>عليهم‌السلام</w:t>
      </w:r>
      <w:r w:rsidR="00E3253D" w:rsidRPr="005D642E">
        <w:rPr>
          <w:rtl/>
        </w:rPr>
        <w:t xml:space="preserve"> ، إلى قوله : « ما لم يحدث أو يصب الماء » مع اختلاف يسير ، وفي كلّ المصادر من قوله : « قلت : فيصلّي بتيمّم واحد » مع اختلاف يسير</w:t>
      </w:r>
      <w:r w:rsidR="0076078B">
        <w:rPr>
          <w:rFonts w:hint="cs"/>
          <w:rtl/>
        </w:rPr>
        <w:t>.</w:t>
      </w:r>
      <w:r w:rsidR="00E3253D" w:rsidRPr="002F4D34">
        <w:rPr>
          <w:rStyle w:val="libFootnoteBoldChar"/>
          <w:rtl/>
        </w:rPr>
        <w:t>الوافي</w:t>
      </w:r>
      <w:r w:rsidR="00E3253D" w:rsidRPr="005D642E">
        <w:rPr>
          <w:rtl/>
        </w:rPr>
        <w:t xml:space="preserve"> ، ج 6 ، ص 560 ، ح 4929 ؛ </w:t>
      </w:r>
      <w:r w:rsidR="00E3253D" w:rsidRPr="002F4D34">
        <w:rPr>
          <w:rStyle w:val="libFootnoteBoldChar"/>
          <w:rtl/>
        </w:rPr>
        <w:t>الوسائل</w:t>
      </w:r>
      <w:r w:rsidR="00E3253D" w:rsidRPr="005D642E">
        <w:rPr>
          <w:rtl/>
        </w:rPr>
        <w:t xml:space="preserve"> ، ج 1 ، ص 375 ، ح 989 ، إلى قوله : « ما لم يحدث أو يصب الماء » ؛ </w:t>
      </w:r>
      <w:r w:rsidR="00E3253D" w:rsidRPr="002F4D34">
        <w:rPr>
          <w:rStyle w:val="libFootnoteBoldChar"/>
          <w:rtl/>
        </w:rPr>
        <w:t>وفيه</w:t>
      </w:r>
      <w:r w:rsidR="00E3253D" w:rsidRPr="005D642E">
        <w:rPr>
          <w:rtl/>
        </w:rPr>
        <w:t xml:space="preserve"> ، ج 3 ، ص 377 ، ح 3910 ، إلى قوله : « وعليه أن يعيد التيمّم » ؛ </w:t>
      </w:r>
      <w:r w:rsidR="00E3253D" w:rsidRPr="002F4D34">
        <w:rPr>
          <w:rStyle w:val="libFootnoteBoldChar"/>
          <w:rtl/>
        </w:rPr>
        <w:t>وفيه</w:t>
      </w:r>
      <w:r w:rsidR="00E3253D" w:rsidRPr="005D642E">
        <w:rPr>
          <w:rtl/>
        </w:rPr>
        <w:t xml:space="preserve"> ، ص 379 ، ذيل ح 3916 ، من قوله : « قلت : فيصلّي بتيمّم واحد » إلى قوله : « ما لم يحدث أو يصب الماء » ؛ </w:t>
      </w:r>
      <w:r w:rsidR="00E3253D" w:rsidRPr="002F4D34">
        <w:rPr>
          <w:rStyle w:val="libFootnoteBoldChar"/>
          <w:rtl/>
        </w:rPr>
        <w:t>وفيه</w:t>
      </w:r>
      <w:r w:rsidR="00E3253D" w:rsidRPr="005D642E">
        <w:rPr>
          <w:rtl/>
        </w:rPr>
        <w:t xml:space="preserve"> ، ص 381 ، ذيل ح 3923 ، من قوله : « قلت : فإن أصاب الماء وقد دخل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F35D4">
        <w:rPr>
          <w:rtl/>
        </w:rPr>
        <w:lastRenderedPageBreak/>
        <w:t>4112</w:t>
      </w:r>
      <w:r w:rsidRPr="00246318">
        <w:rPr>
          <w:rStyle w:val="libBold2Char"/>
          <w:rtl/>
        </w:rPr>
        <w:t xml:space="preserve"> / 5.</w:t>
      </w:r>
      <w:r w:rsidRPr="005D642E">
        <w:rPr>
          <w:rtl/>
          <w:lang w:bidi="fa-IR"/>
        </w:rPr>
        <w:t xml:space="preserve"> الْحُسَيْنُ بْنُ مُحَمَّدٍ ، عَنْ مُعَلَّى بْنِ مُحَمَّدٍ ، عَنِ الْوَشَّاءِ ، عَنْ أَبَانِ بْنِ عُثْمَانَ ، عَنْ عَبْدِ اللهِ بْنِ عَاصِمٍ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لَايَجِدُ الْمَاءَ ، فَيَتَيَمَّمُ </w:t>
      </w:r>
      <w:r w:rsidRPr="007C12DB">
        <w:rPr>
          <w:rStyle w:val="libFootnotenumChar"/>
          <w:rtl/>
        </w:rPr>
        <w:t>(1)</w:t>
      </w:r>
      <w:r w:rsidRPr="005D642E">
        <w:rPr>
          <w:rtl/>
          <w:lang w:bidi="fa-IR"/>
        </w:rPr>
        <w:t xml:space="preserve"> وَيُقِيمُ فِي </w:t>
      </w:r>
      <w:r w:rsidRPr="007C12DB">
        <w:rPr>
          <w:rStyle w:val="libFootnotenumChar"/>
          <w:rtl/>
        </w:rPr>
        <w:t>(2)</w:t>
      </w:r>
      <w:r w:rsidRPr="005D642E">
        <w:rPr>
          <w:rtl/>
          <w:lang w:bidi="fa-IR"/>
        </w:rPr>
        <w:t xml:space="preserve"> الصَّلَاةِ ، فَجَاءَ </w:t>
      </w:r>
      <w:r w:rsidRPr="007C12DB">
        <w:rPr>
          <w:rStyle w:val="libFootnotenumChar"/>
          <w:rtl/>
        </w:rPr>
        <w:t>(3)</w:t>
      </w:r>
      <w:r w:rsidRPr="005D642E">
        <w:rPr>
          <w:rtl/>
          <w:lang w:bidi="fa-IR"/>
        </w:rPr>
        <w:t xml:space="preserve"> الْغُلَامُ ، فَقَالَ </w:t>
      </w:r>
      <w:r w:rsidRPr="007C12DB">
        <w:rPr>
          <w:rStyle w:val="libFootnotenumChar"/>
          <w:rtl/>
        </w:rPr>
        <w:t>(4)</w:t>
      </w:r>
      <w:r w:rsidRPr="005D642E">
        <w:rPr>
          <w:rtl/>
          <w:lang w:bidi="fa-IR"/>
        </w:rPr>
        <w:t xml:space="preserve"> : هُوَ ذَا الْمَاءُ</w:t>
      </w:r>
      <w:r>
        <w:rPr>
          <w:rtl/>
          <w:lang w:bidi="fa-IR"/>
        </w:rPr>
        <w:t>؟</w:t>
      </w:r>
    </w:p>
    <w:p w:rsidR="00E3253D" w:rsidRPr="005D642E" w:rsidRDefault="00E3253D" w:rsidP="00E3253D">
      <w:pPr>
        <w:pStyle w:val="libNormal"/>
        <w:rPr>
          <w:rtl/>
          <w:lang w:bidi="fa-IR"/>
        </w:rPr>
      </w:pPr>
      <w:r w:rsidRPr="005D642E">
        <w:rPr>
          <w:rtl/>
          <w:lang w:bidi="fa-IR"/>
        </w:rPr>
        <w:t xml:space="preserve">فَقَالَ : « إِنْ </w:t>
      </w:r>
      <w:r w:rsidRPr="007C12DB">
        <w:rPr>
          <w:rStyle w:val="libFootnotenumChar"/>
          <w:rtl/>
        </w:rPr>
        <w:t>(5)</w:t>
      </w:r>
      <w:r w:rsidRPr="005D642E">
        <w:rPr>
          <w:rtl/>
          <w:lang w:bidi="fa-IR"/>
        </w:rPr>
        <w:t xml:space="preserve"> كَانَ لَمْ يَرْكَعْ ، فَلْيَنْصَرِفْ وَلْيَتَوَضَّأْ ؛ وَإِنْ كَانَ قَدْ </w:t>
      </w:r>
      <w:r w:rsidRPr="007C12DB">
        <w:rPr>
          <w:rStyle w:val="libFootnotenumChar"/>
          <w:rtl/>
        </w:rPr>
        <w:t>(6)</w:t>
      </w:r>
      <w:r w:rsidRPr="005D642E">
        <w:rPr>
          <w:rtl/>
          <w:lang w:bidi="fa-IR"/>
        </w:rPr>
        <w:t xml:space="preserve"> رَ</w:t>
      </w:r>
      <w:r w:rsidR="00826FF3">
        <w:rPr>
          <w:rtl/>
          <w:lang w:bidi="fa-IR"/>
        </w:rPr>
        <w:t>كَعَ ، فَلْيَمْضِ فِي صَلَاتِهِ</w:t>
      </w:r>
      <w:r w:rsidRPr="005D642E">
        <w:rPr>
          <w:rtl/>
          <w:lang w:bidi="fa-IR"/>
        </w:rPr>
        <w:t>»</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6F35D4">
        <w:rPr>
          <w:rtl/>
        </w:rPr>
        <w:t>4113</w:t>
      </w:r>
      <w:r w:rsidRPr="00246318">
        <w:rPr>
          <w:rStyle w:val="libBold2Char"/>
          <w:rtl/>
        </w:rPr>
        <w:t xml:space="preserve"> / 6.</w:t>
      </w:r>
      <w:r w:rsidRPr="005D642E">
        <w:rPr>
          <w:rtl/>
          <w:lang w:bidi="fa-IR"/>
        </w:rPr>
        <w:t xml:space="preserve"> عِدَّةٌ مِنْ أَصْحَابِنَا ، عَنْ أَحْمَدَ بْنِ مُحَمَّدٍ ، عَنِ ابْنِ مَحْبُوبٍ ، عَنْ دَاوُدَ الرَّقِّيِّ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أَكُونُ فِي السَّفَرِ ، وَتَحْضُرُ </w:t>
      </w:r>
      <w:r w:rsidRPr="007C12DB">
        <w:rPr>
          <w:rStyle w:val="libFootnotenumChar"/>
          <w:rtl/>
        </w:rPr>
        <w:t>(8)</w:t>
      </w:r>
      <w:r w:rsidRPr="005D642E">
        <w:rPr>
          <w:rtl/>
          <w:lang w:bidi="fa-IR"/>
        </w:rPr>
        <w:t xml:space="preserve"> الصَّلَاةُ وَلَيْسَ مَعِي مَاءٌ ، وَيُقَالُ :</w:t>
      </w:r>
      <w:r>
        <w:rPr>
          <w:rFonts w:hint="cs"/>
          <w:rtl/>
          <w:lang w:bidi="fa-IR"/>
        </w:rPr>
        <w:t xml:space="preserve"> </w:t>
      </w:r>
      <w:r w:rsidRPr="005D642E">
        <w:rPr>
          <w:rtl/>
          <w:lang w:bidi="fa-IR"/>
        </w:rPr>
        <w:t>إِن</w:t>
      </w:r>
      <w:r>
        <w:rPr>
          <w:rtl/>
          <w:lang w:bidi="fa-IR"/>
        </w:rPr>
        <w:t>َّ الْمَاءَ قَرِيبٌ مِنَّا : أَ</w:t>
      </w:r>
      <w:r w:rsidRPr="005D642E">
        <w:rPr>
          <w:rtl/>
          <w:lang w:bidi="fa-IR"/>
        </w:rPr>
        <w:t xml:space="preserve">فَأَطْلُبُ </w:t>
      </w:r>
      <w:r w:rsidRPr="007C12DB">
        <w:rPr>
          <w:rStyle w:val="libFootnotenumChar"/>
          <w:rtl/>
        </w:rPr>
        <w:t>(9)</w:t>
      </w:r>
      <w:r w:rsidRPr="005D642E">
        <w:rPr>
          <w:rtl/>
          <w:lang w:bidi="fa-IR"/>
        </w:rPr>
        <w:t xml:space="preserve"> الْمَاءَ وَأَنَا فِي وَقْتٍ يَمِيناً وَشِمَالاً</w:t>
      </w:r>
      <w:r>
        <w:rPr>
          <w:rtl/>
          <w:lang w:bidi="fa-IR"/>
        </w:rPr>
        <w:t>؟</w:t>
      </w:r>
    </w:p>
    <w:p w:rsidR="00E3253D" w:rsidRPr="005D642E" w:rsidRDefault="00E3253D" w:rsidP="00E3253D">
      <w:pPr>
        <w:pStyle w:val="libNormal"/>
        <w:rPr>
          <w:rtl/>
          <w:lang w:bidi="fa-IR"/>
        </w:rPr>
      </w:pPr>
      <w:r w:rsidRPr="005D642E">
        <w:rPr>
          <w:rtl/>
          <w:lang w:bidi="fa-IR"/>
        </w:rPr>
        <w:t xml:space="preserve">قَالَ : « لَا تَطْلُبِ الْمَاءَ ، وَلكِنْ تَيَمَّمْ ؛ فَإِنِّي أَخَافُ عَلَيْكَ التَّخَلُّفَ عَنْ أَصْحَابِكَ ، فَتَضِلَّ ، فَيَأْكُلَكَ </w:t>
      </w:r>
      <w:r w:rsidRPr="007C12DB">
        <w:rPr>
          <w:rStyle w:val="libFootnotenumChar"/>
          <w:rtl/>
        </w:rPr>
        <w:t>(10)</w:t>
      </w:r>
      <w:r w:rsidRPr="005D642E">
        <w:rPr>
          <w:rtl/>
          <w:lang w:bidi="fa-IR"/>
        </w:rPr>
        <w:t xml:space="preserve"> السَّبُعُ »</w:t>
      </w:r>
      <w:r>
        <w:rPr>
          <w:rtl/>
          <w:lang w:bidi="fa-IR"/>
        </w:rPr>
        <w:t>.</w:t>
      </w:r>
      <w:r w:rsidRPr="005D642E">
        <w:rPr>
          <w:rtl/>
          <w:lang w:bidi="fa-IR"/>
        </w:rPr>
        <w:t xml:space="preserve"> </w:t>
      </w:r>
      <w:r w:rsidRPr="007C12DB">
        <w:rPr>
          <w:rStyle w:val="libFootnotenumChar"/>
          <w:rtl/>
        </w:rPr>
        <w:t>(11)</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جس » </w:t>
      </w:r>
      <w:r w:rsidR="00E3253D" w:rsidRPr="00E678B5">
        <w:rPr>
          <w:rStyle w:val="libFootnoteBoldChar"/>
          <w:rtl/>
        </w:rPr>
        <w:t>والاستبصار</w:t>
      </w:r>
      <w:r w:rsidR="00E3253D" w:rsidRPr="005D642E">
        <w:rPr>
          <w:rtl/>
        </w:rPr>
        <w:t xml:space="preserve"> ، ح 576 : « فتيمّم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في »</w:t>
      </w:r>
      <w:r w:rsidR="00E3253D">
        <w:rPr>
          <w:rtl/>
        </w:rPr>
        <w:t>.</w:t>
      </w:r>
      <w:r w:rsidR="00E3253D" w:rsidRPr="005D642E">
        <w:rPr>
          <w:rtl/>
        </w:rPr>
        <w:t xml:space="preserve"> وفي الوافي </w:t>
      </w:r>
      <w:r w:rsidR="00B60612" w:rsidRPr="00B60612">
        <w:rPr>
          <w:rStyle w:val="libFootnoteBoldChar"/>
          <w:rtl/>
        </w:rPr>
        <w:t>والتهذيب</w:t>
      </w:r>
      <w:r w:rsidR="00E3253D" w:rsidRPr="005D642E">
        <w:rPr>
          <w:rtl/>
        </w:rPr>
        <w:t xml:space="preserve"> ، ح 591 </w:t>
      </w:r>
      <w:r w:rsidR="00E3253D" w:rsidRPr="00E678B5">
        <w:rPr>
          <w:rStyle w:val="libFootnoteBoldChar"/>
          <w:rtl/>
        </w:rPr>
        <w:t>والاستبصار</w:t>
      </w:r>
      <w:r w:rsidR="00E3253D" w:rsidRPr="005D642E">
        <w:rPr>
          <w:rtl/>
        </w:rPr>
        <w:t xml:space="preserve"> ، ح 576 : « ويقوم في »</w:t>
      </w:r>
      <w:r w:rsidR="00E3253D">
        <w:rPr>
          <w:rtl/>
        </w:rPr>
        <w:t>.</w:t>
      </w:r>
    </w:p>
    <w:tbl>
      <w:tblPr>
        <w:tblStyle w:val="TableGrid"/>
        <w:bidiVisual/>
        <w:tblW w:w="0" w:type="auto"/>
        <w:tblLook w:val="04A0" w:firstRow="1" w:lastRow="0" w:firstColumn="1" w:lastColumn="0" w:noHBand="0" w:noVBand="1"/>
      </w:tblPr>
      <w:tblGrid>
        <w:gridCol w:w="4006"/>
        <w:gridCol w:w="4006"/>
      </w:tblGrid>
      <w:tr w:rsidR="00BF5665" w:rsidTr="00BF5665">
        <w:tc>
          <w:tcPr>
            <w:tcW w:w="4006" w:type="dxa"/>
          </w:tcPr>
          <w:p w:rsidR="00BF5665" w:rsidRDefault="00BF5665" w:rsidP="00E3253D">
            <w:pPr>
              <w:pStyle w:val="libFootnote0"/>
              <w:rPr>
                <w:rStyle w:val="libFootnote0Char"/>
                <w:rtl/>
              </w:rPr>
            </w:pPr>
            <w:r w:rsidRPr="0042621E">
              <w:rPr>
                <w:rStyle w:val="libFootnote0Char"/>
                <w:rtl/>
              </w:rPr>
              <w:t>(3).</w:t>
            </w:r>
            <w:r w:rsidRPr="005D642E">
              <w:rPr>
                <w:rtl/>
              </w:rPr>
              <w:t xml:space="preserve"> في الوافي : « فجاءه »</w:t>
            </w:r>
            <w:r>
              <w:rPr>
                <w:rtl/>
              </w:rPr>
              <w:t>.</w:t>
            </w:r>
          </w:p>
        </w:tc>
        <w:tc>
          <w:tcPr>
            <w:tcW w:w="4006" w:type="dxa"/>
          </w:tcPr>
          <w:p w:rsidR="00BF5665" w:rsidRDefault="00BF5665" w:rsidP="00E3253D">
            <w:pPr>
              <w:pStyle w:val="libFootnote0"/>
              <w:rPr>
                <w:rStyle w:val="libFootnote0Char"/>
                <w:rtl/>
              </w:rPr>
            </w:pPr>
            <w:r w:rsidRPr="0042621E">
              <w:rPr>
                <w:rStyle w:val="libFootnote0Char"/>
                <w:rtl/>
              </w:rPr>
              <w:t>(4).</w:t>
            </w:r>
            <w:r w:rsidRPr="005D642E">
              <w:rPr>
                <w:rtl/>
              </w:rPr>
              <w:t xml:space="preserve"> في الوافي : « وقال »</w:t>
            </w:r>
            <w:r>
              <w:rPr>
                <w:rtl/>
              </w:rPr>
              <w:t>.</w:t>
            </w:r>
          </w:p>
        </w:tc>
      </w:tr>
      <w:tr w:rsidR="00BF5665" w:rsidTr="00BF5665">
        <w:tc>
          <w:tcPr>
            <w:tcW w:w="4006" w:type="dxa"/>
          </w:tcPr>
          <w:p w:rsidR="00BF5665" w:rsidRDefault="00BF5665" w:rsidP="00E3253D">
            <w:pPr>
              <w:pStyle w:val="libFootnote0"/>
              <w:rPr>
                <w:rStyle w:val="libFootnote0Char"/>
                <w:rtl/>
              </w:rPr>
            </w:pPr>
            <w:r w:rsidRPr="0042621E">
              <w:rPr>
                <w:rStyle w:val="libFootnote0Char"/>
                <w:rtl/>
              </w:rPr>
              <w:t>(5).</w:t>
            </w:r>
            <w:r w:rsidRPr="005D642E">
              <w:rPr>
                <w:rtl/>
              </w:rPr>
              <w:t xml:space="preserve"> في « بخ » : « قال : فإن »</w:t>
            </w:r>
            <w:r>
              <w:rPr>
                <w:rtl/>
              </w:rPr>
              <w:t>.</w:t>
            </w:r>
          </w:p>
        </w:tc>
        <w:tc>
          <w:tcPr>
            <w:tcW w:w="4006" w:type="dxa"/>
          </w:tcPr>
          <w:p w:rsidR="00BF5665" w:rsidRDefault="00BF5665" w:rsidP="00E3253D">
            <w:pPr>
              <w:pStyle w:val="libFootnote0"/>
              <w:rPr>
                <w:rStyle w:val="libFootnote0Char"/>
                <w:rtl/>
              </w:rPr>
            </w:pPr>
            <w:r w:rsidRPr="0042621E">
              <w:rPr>
                <w:rStyle w:val="libFootnote0Char"/>
                <w:rtl/>
              </w:rPr>
              <w:t>(6).</w:t>
            </w:r>
            <w:r w:rsidRPr="005D642E">
              <w:rPr>
                <w:rtl/>
              </w:rPr>
              <w:t xml:space="preserve"> في التهذيب </w:t>
            </w:r>
            <w:r w:rsidRPr="00E678B5">
              <w:rPr>
                <w:rStyle w:val="libFootnoteBoldChar"/>
                <w:rtl/>
              </w:rPr>
              <w:t>والاستبصار</w:t>
            </w:r>
            <w:r w:rsidRPr="005D642E">
              <w:rPr>
                <w:rtl/>
              </w:rPr>
              <w:t xml:space="preserve"> :</w:t>
            </w:r>
            <w:r>
              <w:rPr>
                <w:rtl/>
              </w:rPr>
              <w:t xml:space="preserve"> - </w:t>
            </w:r>
            <w:r w:rsidRPr="005D642E">
              <w:rPr>
                <w:rtl/>
              </w:rPr>
              <w:t>« قد »</w:t>
            </w:r>
            <w:r>
              <w:rPr>
                <w:rtl/>
              </w:rPr>
              <w:t>.</w:t>
            </w:r>
          </w:p>
        </w:tc>
      </w:tr>
    </w:tbl>
    <w:p w:rsidR="00E3253D" w:rsidRPr="005D642E" w:rsidRDefault="0042621E" w:rsidP="00E62678">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204 ، ح 591 ، بسنده عن الكليني ؛ </w:t>
      </w:r>
      <w:r w:rsidR="00E3253D" w:rsidRPr="002F4D34">
        <w:rPr>
          <w:rStyle w:val="libFootnoteBoldChar"/>
          <w:rtl/>
        </w:rPr>
        <w:t>الاستبصار</w:t>
      </w:r>
      <w:r w:rsidR="00E3253D" w:rsidRPr="005D642E">
        <w:rPr>
          <w:rtl/>
        </w:rPr>
        <w:t xml:space="preserve"> ، ج 1 ، ص 166 ، ح 576 ، معلقّاً عن الكليني. وفي </w:t>
      </w:r>
      <w:r w:rsidR="00E3253D" w:rsidRPr="002F4D34">
        <w:rPr>
          <w:rStyle w:val="libFootnoteBoldChar"/>
          <w:rtl/>
        </w:rPr>
        <w:t>التهذيب</w:t>
      </w:r>
      <w:r w:rsidR="00E3253D" w:rsidRPr="005D642E">
        <w:rPr>
          <w:rtl/>
        </w:rPr>
        <w:t xml:space="preserve"> ، ج 1 ، ص 204 ، ح 592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167 ، ح 577 ، بسندهما عن أبان بن عثمان. </w:t>
      </w:r>
      <w:r w:rsidR="00E3253D" w:rsidRPr="002F4D34">
        <w:rPr>
          <w:rStyle w:val="libFootnoteBoldChar"/>
          <w:rtl/>
        </w:rPr>
        <w:t>وفيه</w:t>
      </w:r>
      <w:r w:rsidR="00E3253D" w:rsidRPr="005D642E">
        <w:rPr>
          <w:rtl/>
        </w:rPr>
        <w:t xml:space="preserve"> ، ح 578 ؛ </w:t>
      </w:r>
      <w:r w:rsidR="00B60612" w:rsidRPr="00B60612">
        <w:rPr>
          <w:rStyle w:val="libFootnoteBoldChar"/>
          <w:rtl/>
        </w:rPr>
        <w:t>والتهذيب</w:t>
      </w:r>
      <w:r w:rsidR="00E3253D" w:rsidRPr="005D642E">
        <w:rPr>
          <w:rtl/>
        </w:rPr>
        <w:t xml:space="preserve"> ، ج 1 ، ص 204 ، ح 593 ، بسندهما عن عبدالله بن عاصم</w:t>
      </w:r>
      <w:r w:rsidR="00E62678">
        <w:rPr>
          <w:rFonts w:hint="cs"/>
          <w:rtl/>
        </w:rPr>
        <w:t>.</w:t>
      </w:r>
      <w:r w:rsidR="00E3253D" w:rsidRPr="002F4D34">
        <w:rPr>
          <w:rStyle w:val="libFootnoteBoldChar"/>
          <w:rtl/>
        </w:rPr>
        <w:t>الوافي</w:t>
      </w:r>
      <w:r w:rsidR="00E3253D" w:rsidRPr="005D642E">
        <w:rPr>
          <w:rtl/>
        </w:rPr>
        <w:t xml:space="preserve"> ، ج 6 ، ص 561 ، ح 4930 ؛ </w:t>
      </w:r>
      <w:r w:rsidR="00E3253D" w:rsidRPr="002F4D34">
        <w:rPr>
          <w:rStyle w:val="libFootnoteBoldChar"/>
          <w:rtl/>
        </w:rPr>
        <w:t>الوسائل</w:t>
      </w:r>
      <w:r w:rsidR="00E3253D" w:rsidRPr="005D642E">
        <w:rPr>
          <w:rtl/>
        </w:rPr>
        <w:t xml:space="preserve"> ، ج 3 ، ص 382 ، ذيل ح 3924.</w:t>
      </w:r>
    </w:p>
    <w:tbl>
      <w:tblPr>
        <w:tblStyle w:val="TableGrid"/>
        <w:bidiVisual/>
        <w:tblW w:w="0" w:type="auto"/>
        <w:tblLook w:val="04A0" w:firstRow="1" w:lastRow="0" w:firstColumn="1" w:lastColumn="0" w:noHBand="0" w:noVBand="1"/>
      </w:tblPr>
      <w:tblGrid>
        <w:gridCol w:w="4006"/>
        <w:gridCol w:w="4006"/>
      </w:tblGrid>
      <w:tr w:rsidR="007F5084" w:rsidTr="007F5084">
        <w:tc>
          <w:tcPr>
            <w:tcW w:w="4006" w:type="dxa"/>
          </w:tcPr>
          <w:p w:rsidR="007F5084" w:rsidRDefault="007F5084" w:rsidP="00E3253D">
            <w:pPr>
              <w:pStyle w:val="libFootnote0"/>
              <w:rPr>
                <w:rStyle w:val="libFootnote0Char"/>
                <w:rtl/>
              </w:rPr>
            </w:pPr>
            <w:r w:rsidRPr="0042621E">
              <w:rPr>
                <w:rStyle w:val="libFootnote0Char"/>
                <w:rtl/>
              </w:rPr>
              <w:t>(8).</w:t>
            </w:r>
            <w:r w:rsidRPr="005D642E">
              <w:rPr>
                <w:rtl/>
              </w:rPr>
              <w:t xml:space="preserve"> في الوسائل : « فتحضر »</w:t>
            </w:r>
            <w:r>
              <w:rPr>
                <w:rtl/>
              </w:rPr>
              <w:t>.</w:t>
            </w:r>
          </w:p>
        </w:tc>
        <w:tc>
          <w:tcPr>
            <w:tcW w:w="4006" w:type="dxa"/>
          </w:tcPr>
          <w:p w:rsidR="007F5084" w:rsidRDefault="007F5084" w:rsidP="007F5084">
            <w:pPr>
              <w:pStyle w:val="libFootnote0"/>
              <w:rPr>
                <w:rStyle w:val="libFootnote0Char"/>
                <w:rtl/>
              </w:rPr>
            </w:pPr>
            <w:r w:rsidRPr="0042621E">
              <w:rPr>
                <w:rStyle w:val="libFootnote0Char"/>
                <w:rtl/>
              </w:rPr>
              <w:t>(9).</w:t>
            </w:r>
            <w:r>
              <w:rPr>
                <w:rtl/>
              </w:rPr>
              <w:t xml:space="preserve"> في التهذيب</w:t>
            </w:r>
            <w:r w:rsidRPr="005D642E">
              <w:rPr>
                <w:rtl/>
              </w:rPr>
              <w:t>:«فأطلب»من دون الهمزة للاستفهام.</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بخ ، بس ، بف ، جس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ويأكلك »</w:t>
      </w:r>
      <w:r w:rsidR="00E3253D">
        <w:rPr>
          <w:rtl/>
        </w:rPr>
        <w:t>.</w:t>
      </w:r>
    </w:p>
    <w:p w:rsidR="00E3253D" w:rsidRPr="005D642E" w:rsidRDefault="0042621E" w:rsidP="009F05C5">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185 ، ح 536 ، معلّقاً عن أحمد بن محمّد</w:t>
      </w:r>
      <w:r w:rsidR="009F05C5">
        <w:rPr>
          <w:rFonts w:hint="cs"/>
          <w:rtl/>
        </w:rPr>
        <w:t>.</w:t>
      </w:r>
      <w:r w:rsidR="00E3253D" w:rsidRPr="002F4D34">
        <w:rPr>
          <w:rStyle w:val="libFootnoteBoldChar"/>
          <w:rtl/>
        </w:rPr>
        <w:t>الوافي</w:t>
      </w:r>
      <w:r w:rsidR="00E3253D" w:rsidRPr="005D642E">
        <w:rPr>
          <w:rtl/>
        </w:rPr>
        <w:t xml:space="preserve"> ، ج 6 ، ص 547 ، ح 4894 ؛ </w:t>
      </w:r>
      <w:r w:rsidR="00E3253D" w:rsidRPr="002F4D34">
        <w:rPr>
          <w:rStyle w:val="libFootnoteBoldChar"/>
          <w:rtl/>
        </w:rPr>
        <w:t>الوسائل</w:t>
      </w:r>
      <w:r w:rsidR="00E3253D" w:rsidRPr="005D642E">
        <w:rPr>
          <w:rtl/>
        </w:rPr>
        <w:t xml:space="preserve"> ، ج 3 ، ص 342 ، ح 3816.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F35D4">
        <w:rPr>
          <w:rtl/>
        </w:rPr>
        <w:lastRenderedPageBreak/>
        <w:t>4114</w:t>
      </w:r>
      <w:r w:rsidRPr="00246318">
        <w:rPr>
          <w:rStyle w:val="libBold2Char"/>
          <w:rtl/>
        </w:rPr>
        <w:t xml:space="preserve"> / 7.</w:t>
      </w:r>
      <w:r w:rsidRPr="005D642E">
        <w:rPr>
          <w:rtl/>
          <w:lang w:bidi="fa-IR"/>
        </w:rPr>
        <w:t xml:space="preserve"> أَحْمَدُ بْنُ مُحَمَّدٍ </w:t>
      </w:r>
      <w:r w:rsidRPr="007C12DB">
        <w:rPr>
          <w:rStyle w:val="libFootnotenumChar"/>
          <w:rtl/>
        </w:rPr>
        <w:t>(1)</w:t>
      </w:r>
      <w:r w:rsidRPr="005D642E">
        <w:rPr>
          <w:rtl/>
          <w:lang w:bidi="fa-IR"/>
        </w:rPr>
        <w:t xml:space="preserve"> ، عَنْ عَلِيِّ بْنِ الْحَكَمِ ، عَنِ الْحُسَيْنِ بْنِ أَبِي الْعَلَاءِ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w:t>
      </w:r>
      <w:r w:rsidRPr="007C12DB">
        <w:rPr>
          <w:rStyle w:val="libFootnotenumChar"/>
          <w:rtl/>
        </w:rPr>
        <w:t>(2)</w:t>
      </w:r>
      <w:r w:rsidRPr="005D642E">
        <w:rPr>
          <w:rtl/>
          <w:lang w:bidi="fa-IR"/>
        </w:rPr>
        <w:t xml:space="preserve"> يَمُرُّ بِالرَّكِيَّةِ </w:t>
      </w:r>
      <w:r w:rsidRPr="007C12DB">
        <w:rPr>
          <w:rStyle w:val="libFootnotenumChar"/>
          <w:rtl/>
        </w:rPr>
        <w:t>(3)</w:t>
      </w:r>
      <w:r w:rsidRPr="005D642E">
        <w:rPr>
          <w:rtl/>
          <w:lang w:bidi="fa-IR"/>
        </w:rPr>
        <w:t xml:space="preserve"> وَلَيْسَ </w:t>
      </w:r>
      <w:r w:rsidRPr="007C12DB">
        <w:rPr>
          <w:rStyle w:val="libFootnotenumChar"/>
          <w:rtl/>
        </w:rPr>
        <w:t>(4)</w:t>
      </w:r>
      <w:r w:rsidRPr="005D642E">
        <w:rPr>
          <w:rtl/>
          <w:lang w:bidi="fa-IR"/>
        </w:rPr>
        <w:t xml:space="preserve"> مَعَهُ دَلْوٌ</w:t>
      </w:r>
      <w:r>
        <w:rPr>
          <w:rtl/>
          <w:lang w:bidi="fa-IR"/>
        </w:rPr>
        <w:t>؟</w:t>
      </w:r>
    </w:p>
    <w:p w:rsidR="00E3253D" w:rsidRPr="005D642E" w:rsidRDefault="00E3253D" w:rsidP="00E3253D">
      <w:pPr>
        <w:pStyle w:val="libNormal"/>
        <w:rPr>
          <w:rtl/>
          <w:lang w:bidi="fa-IR"/>
        </w:rPr>
      </w:pPr>
      <w:r w:rsidRPr="005D642E">
        <w:rPr>
          <w:rtl/>
          <w:lang w:bidi="fa-IR"/>
        </w:rPr>
        <w:t xml:space="preserve">قَالَ : « لَيْسَ عَلَيْهِ أَنْ يَنْزِلَ الرَّكِيَّةَ </w:t>
      </w:r>
      <w:r w:rsidRPr="007C12DB">
        <w:rPr>
          <w:rStyle w:val="libFootnotenumChar"/>
          <w:rtl/>
        </w:rPr>
        <w:t>(5)</w:t>
      </w:r>
      <w:r w:rsidRPr="005D642E">
        <w:rPr>
          <w:rtl/>
          <w:lang w:bidi="fa-IR"/>
        </w:rPr>
        <w:t xml:space="preserve"> ؛ إِنَّ رَبَّ الْمَاءِ هُوَ رَبُّ الْأَرْضِ ، فَلْيَتَيَمَّمْ »</w:t>
      </w:r>
      <w:r>
        <w:rPr>
          <w:rtl/>
          <w:lang w:bidi="fa-IR"/>
        </w:rPr>
        <w:t>.</w:t>
      </w:r>
      <w:r w:rsidRPr="005D642E">
        <w:rPr>
          <w:rtl/>
          <w:lang w:bidi="fa-IR"/>
        </w:rPr>
        <w:t xml:space="preserve"> </w:t>
      </w:r>
      <w:r w:rsidRPr="007C12DB">
        <w:rPr>
          <w:rStyle w:val="libFootnotenumChar"/>
          <w:rtl/>
        </w:rPr>
        <w:t>(6)</w:t>
      </w:r>
    </w:p>
    <w:p w:rsidR="00E3253D" w:rsidRPr="005D642E" w:rsidRDefault="00E3253D" w:rsidP="00E3253D">
      <w:pPr>
        <w:pStyle w:val="libNormal"/>
        <w:rPr>
          <w:rtl/>
          <w:lang w:bidi="fa-IR"/>
        </w:rPr>
      </w:pPr>
      <w:r w:rsidRPr="006F35D4">
        <w:rPr>
          <w:rtl/>
        </w:rPr>
        <w:t>4115</w:t>
      </w:r>
      <w:r w:rsidRPr="00246318">
        <w:rPr>
          <w:rStyle w:val="libBold2Char"/>
          <w:rtl/>
        </w:rPr>
        <w:t xml:space="preserve"> / 8.</w:t>
      </w:r>
      <w:r w:rsidRPr="005D642E">
        <w:rPr>
          <w:rtl/>
          <w:lang w:bidi="fa-IR"/>
        </w:rPr>
        <w:t xml:space="preserve"> الْحُسَيْنُ بْنُ مُحَمَّدٍ ، عَنْ مُعَلَّى بْنِ مُحَمَّدٍ ، عَنِ الْوَشَّاءِ ، عَنْ حَمَّادِ بْنِ عُثْمَانَ ، عَنْ يَعْقُوبَ بْنِ سَالِمٍ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رَجُلٍ </w:t>
      </w:r>
      <w:r w:rsidRPr="007C12DB">
        <w:rPr>
          <w:rStyle w:val="libFootnotenumChar"/>
          <w:rtl/>
        </w:rPr>
        <w:t>(7)</w:t>
      </w:r>
      <w:r w:rsidRPr="005D642E">
        <w:rPr>
          <w:rtl/>
          <w:lang w:bidi="fa-IR"/>
        </w:rPr>
        <w:t xml:space="preserve"> لَايَكُونُ مَعَهُ مَاءٌ ، وَالْمَاءُ عَنْ يَمِينِ الطَّرِيقِ وَيَسَارِهِ غَلْوَتَيْنِ </w:t>
      </w:r>
      <w:r w:rsidRPr="007C12DB">
        <w:rPr>
          <w:rStyle w:val="libFootnotenumChar"/>
          <w:rtl/>
        </w:rPr>
        <w:t>(8)</w:t>
      </w:r>
      <w:r w:rsidRPr="005D642E">
        <w:rPr>
          <w:rtl/>
          <w:lang w:bidi="fa-IR"/>
        </w:rPr>
        <w:t xml:space="preserve"> ، أَوْ نَحْوَ ذلِكَ</w:t>
      </w:r>
      <w:r>
        <w:rPr>
          <w:rtl/>
          <w:lang w:bidi="fa-IR"/>
        </w:rPr>
        <w:t>؟</w:t>
      </w:r>
    </w:p>
    <w:p w:rsidR="00E3253D" w:rsidRPr="005D642E" w:rsidRDefault="00E3253D" w:rsidP="00E3253D">
      <w:pPr>
        <w:pStyle w:val="libNormal"/>
        <w:rPr>
          <w:rtl/>
          <w:lang w:bidi="fa-IR"/>
        </w:rPr>
      </w:pPr>
      <w:r w:rsidRPr="005D642E">
        <w:rPr>
          <w:rtl/>
          <w:lang w:bidi="fa-IR"/>
        </w:rPr>
        <w:t xml:space="preserve">قَالَ : « لَا آمُرُهُ أَنْ يُغَرِّرَ </w:t>
      </w:r>
      <w:r w:rsidRPr="007C12DB">
        <w:rPr>
          <w:rStyle w:val="libFootnotenumChar"/>
          <w:rtl/>
        </w:rPr>
        <w:t>(9)</w:t>
      </w:r>
      <w:r w:rsidRPr="005D642E">
        <w:rPr>
          <w:rtl/>
          <w:lang w:bidi="fa-IR"/>
        </w:rPr>
        <w:t xml:space="preserve"> بِنَفْسِهِ ، فَيَعْرِضَ لَهُ لِصٌّ </w:t>
      </w:r>
      <w:r w:rsidRPr="007C12DB">
        <w:rPr>
          <w:rStyle w:val="libFootnotenumChar"/>
          <w:rtl/>
        </w:rPr>
        <w:t>(10)</w:t>
      </w:r>
      <w:r w:rsidRPr="005D642E">
        <w:rPr>
          <w:rtl/>
          <w:lang w:bidi="fa-IR"/>
        </w:rPr>
        <w:t xml:space="preserve"> ‌</w:t>
      </w:r>
      <w:r w:rsidR="005A480C">
        <w:rPr>
          <w:rFonts w:hint="cs"/>
          <w:rtl/>
          <w:lang w:bidi="fa-IR"/>
        </w:rPr>
        <w:t>.........................</w:t>
      </w:r>
      <w:r w:rsidR="005A480C">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أحمد بن محمّد ، عدّة من أصحابنا.</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جن » وحاشية « بح » : « عن رجل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الرَّكيّة » : البئر تحفر ، يقال : ركا الأرضَ ركواً : حفرها ، وركا ركواً : حفر حوضاً مستطيلاً ، والجمع رَكِيّ ورَكايا. راجع : </w:t>
      </w:r>
      <w:r w:rsidR="00E3253D" w:rsidRPr="002F4D34">
        <w:rPr>
          <w:rStyle w:val="libFootnoteBoldChar"/>
          <w:rtl/>
        </w:rPr>
        <w:t>الصحاح</w:t>
      </w:r>
      <w:r w:rsidR="00E3253D" w:rsidRPr="005D642E">
        <w:rPr>
          <w:rtl/>
        </w:rPr>
        <w:t xml:space="preserve"> ، ج 6 ، ص 2361 ؛ </w:t>
      </w:r>
      <w:r w:rsidR="00E3253D" w:rsidRPr="002F4D34">
        <w:rPr>
          <w:rStyle w:val="libFootnoteBoldChar"/>
          <w:rtl/>
        </w:rPr>
        <w:t>لسان العرب</w:t>
      </w:r>
      <w:r w:rsidR="00E3253D" w:rsidRPr="005D642E">
        <w:rPr>
          <w:rtl/>
        </w:rPr>
        <w:t xml:space="preserve"> ، ج 14 ، ص 333</w:t>
      </w:r>
      <w:r w:rsidR="00E3253D">
        <w:rPr>
          <w:rtl/>
        </w:rPr>
        <w:t xml:space="preserve"> </w:t>
      </w:r>
      <w:r w:rsidR="007642BC">
        <w:rPr>
          <w:rtl/>
        </w:rPr>
        <w:t>-</w:t>
      </w:r>
      <w:r w:rsidR="00E3253D">
        <w:rPr>
          <w:rtl/>
        </w:rPr>
        <w:t xml:space="preserve"> </w:t>
      </w:r>
      <w:r w:rsidR="00E3253D" w:rsidRPr="005D642E">
        <w:rPr>
          <w:rtl/>
        </w:rPr>
        <w:t>334 ( ركا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لا يكون » بدل « وليس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الحبل المتين</w:t>
      </w:r>
      <w:r w:rsidR="00E3253D" w:rsidRPr="005D642E">
        <w:rPr>
          <w:rtl/>
        </w:rPr>
        <w:t xml:space="preserve"> ، ص 281 : « الظاهر أنّ المراد به ما إذا كان في النزول إليها مشقّة كثيرة أو كان مستلزماً لإفساد الماء. والمراد بعدم الدلو عدم مطلق الآلة ، فلو أمكنه بلّ طرف عمّامته مثلاً ، ثمّ عصرها والوضوء بمائها لوجب عليه »</w:t>
      </w:r>
      <w:r w:rsidR="00E3253D">
        <w:rPr>
          <w:rtl/>
        </w:rPr>
        <w:t>.</w:t>
      </w:r>
    </w:p>
    <w:p w:rsidR="00E3253D" w:rsidRPr="005D642E" w:rsidRDefault="0042621E" w:rsidP="00DE23A6">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184 ، ح 527 ، بسنده عن الكليني. وفي </w:t>
      </w:r>
      <w:r w:rsidR="00E3253D" w:rsidRPr="002F4D34">
        <w:rPr>
          <w:rStyle w:val="libFootnoteBoldChar"/>
          <w:rtl/>
        </w:rPr>
        <w:t>المحاسن</w:t>
      </w:r>
      <w:r w:rsidR="00E3253D" w:rsidRPr="005D642E">
        <w:rPr>
          <w:rtl/>
        </w:rPr>
        <w:t xml:space="preserve"> ، ص 372 ، كتاب السفر ، ح 133 ؛ </w:t>
      </w:r>
      <w:r w:rsidR="00352578">
        <w:rPr>
          <w:rStyle w:val="libFootnoteBoldChar"/>
          <w:rFonts w:hint="cs"/>
          <w:rtl/>
        </w:rPr>
        <w:t>الفقيه</w:t>
      </w:r>
      <w:r w:rsidR="00352578" w:rsidRPr="005D642E">
        <w:rPr>
          <w:rtl/>
        </w:rPr>
        <w:t xml:space="preserve"> </w:t>
      </w:r>
      <w:r w:rsidR="00E3253D" w:rsidRPr="005D642E">
        <w:rPr>
          <w:rtl/>
        </w:rPr>
        <w:t>، ج 1 ، ص 105 ، ضمن ح 214 ، بسند آخر ، مع اختلاف يسير</w:t>
      </w:r>
      <w:r w:rsidR="004728A6">
        <w:rPr>
          <w:rFonts w:hint="cs"/>
          <w:rtl/>
        </w:rPr>
        <w:t>.</w:t>
      </w:r>
      <w:r w:rsidR="00E3253D" w:rsidRPr="002F4D34">
        <w:rPr>
          <w:rStyle w:val="libFootnoteBoldChar"/>
          <w:rtl/>
        </w:rPr>
        <w:t>الوافي</w:t>
      </w:r>
      <w:r w:rsidR="00E3253D" w:rsidRPr="005D642E">
        <w:rPr>
          <w:rtl/>
        </w:rPr>
        <w:t xml:space="preserve"> ، ج 6 ، ص 547 ، ح 4895 ؛ </w:t>
      </w:r>
      <w:r w:rsidR="00E3253D" w:rsidRPr="002F4D34">
        <w:rPr>
          <w:rStyle w:val="libFootnoteBoldChar"/>
          <w:rtl/>
        </w:rPr>
        <w:t>الوسائل</w:t>
      </w:r>
      <w:r w:rsidR="00E3253D" w:rsidRPr="005D642E">
        <w:rPr>
          <w:rtl/>
        </w:rPr>
        <w:t xml:space="preserve"> ، ج 3 ، ص 344 ، ح 3822.</w:t>
      </w:r>
      <w:r w:rsidR="00DE23A6">
        <w:rPr>
          <w:rFonts w:hint="cs"/>
          <w:rtl/>
        </w:rPr>
        <w:t xml:space="preserve">          </w:t>
      </w:r>
      <w:r w:rsidRPr="0042621E">
        <w:rPr>
          <w:rStyle w:val="libFootnote0Char"/>
          <w:rtl/>
        </w:rPr>
        <w:t>(7).</w:t>
      </w:r>
      <w:r w:rsidR="00E3253D" w:rsidRPr="005D642E">
        <w:rPr>
          <w:rtl/>
        </w:rPr>
        <w:t xml:space="preserve"> في التهذيب : « عن الرجل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الغَلْوَةُ : الغاية ، مقدار رمية. وقيل : الغلوة : الغاية ، وهي رمية سهم أبعد ما يقدر عليه ، ويقال : هي قدر ثلاثمائة ذراع إلى أربعمائة ، والجمع : غلوات ، يقال : غلا بسهمه غُلُوّاً من باب قتل ، أي رمى به أقصى الغاية. راجع : </w:t>
      </w:r>
      <w:r w:rsidR="00E3253D" w:rsidRPr="002F4D34">
        <w:rPr>
          <w:rStyle w:val="libFootnoteBoldChar"/>
          <w:rtl/>
        </w:rPr>
        <w:t>الصحاح</w:t>
      </w:r>
      <w:r w:rsidR="00E3253D" w:rsidRPr="005D642E">
        <w:rPr>
          <w:rtl/>
        </w:rPr>
        <w:t xml:space="preserve"> ، ج 6 ، ص 2448 ؛ </w:t>
      </w:r>
      <w:r w:rsidR="00E3253D" w:rsidRPr="002F4D34">
        <w:rPr>
          <w:rStyle w:val="libFootnoteBoldChar"/>
          <w:rtl/>
        </w:rPr>
        <w:t>المصباح المنير</w:t>
      </w:r>
      <w:r w:rsidR="00E3253D" w:rsidRPr="005D642E">
        <w:rPr>
          <w:rtl/>
        </w:rPr>
        <w:t xml:space="preserve"> ، ص 452 ( غلا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أن »</w:t>
      </w:r>
      <w:r w:rsidR="00E3253D">
        <w:rPr>
          <w:rtl/>
        </w:rPr>
        <w:t>.</w:t>
      </w:r>
      <w:r w:rsidR="00E3253D" w:rsidRPr="005D642E">
        <w:rPr>
          <w:rtl/>
        </w:rPr>
        <w:t xml:space="preserve"> والتغرير : حمل النفس على الغَرَر وإلقاؤها فيه ، والغَرَرُ : الخَطَر ، وأيضاً هو الاسم من‌قولهم : غرّر بنفسه وماله تغريراً وتغرّةً ، أي عرّضهما للهلكة من غير أن يعرف. راجع : </w:t>
      </w:r>
      <w:r w:rsidR="00E3253D" w:rsidRPr="002F4D34">
        <w:rPr>
          <w:rStyle w:val="libFootnoteBoldChar"/>
          <w:rtl/>
        </w:rPr>
        <w:t>الصحاح</w:t>
      </w:r>
      <w:r w:rsidR="00E3253D" w:rsidRPr="005D642E">
        <w:rPr>
          <w:rtl/>
        </w:rPr>
        <w:t xml:space="preserve"> ، ج 2 ، ص 769 ؛ </w:t>
      </w:r>
      <w:r w:rsidR="00E3253D" w:rsidRPr="002F4D34">
        <w:rPr>
          <w:rStyle w:val="libFootnoteBoldChar"/>
          <w:rtl/>
        </w:rPr>
        <w:t>لسان العرب</w:t>
      </w:r>
      <w:r w:rsidR="00E3253D" w:rsidRPr="005D642E">
        <w:rPr>
          <w:rtl/>
        </w:rPr>
        <w:t xml:space="preserve"> ، ج 5 ، ص 13 ( غرر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اللصّ » بكسر اللام : السارق ، وضمّها</w:t>
      </w:r>
      <w:r w:rsidR="0071603A">
        <w:rPr>
          <w:rtl/>
        </w:rPr>
        <w:t xml:space="preserve"> لغة. وأمّا سيبويه فلا يعرف إل</w:t>
      </w:r>
      <w:r w:rsidR="0071603A">
        <w:rPr>
          <w:rFonts w:hint="cs"/>
          <w:rtl/>
        </w:rPr>
        <w:t>ّ</w:t>
      </w:r>
      <w:r w:rsidR="0071603A">
        <w:rPr>
          <w:rtl/>
        </w:rPr>
        <w:t>ا</w:t>
      </w:r>
      <w:r w:rsidR="0071603A">
        <w:rPr>
          <w:rFonts w:hint="cs"/>
          <w:rtl/>
        </w:rPr>
        <w:t xml:space="preserve"> </w:t>
      </w:r>
      <w:r w:rsidR="00E3253D" w:rsidRPr="005D642E">
        <w:rPr>
          <w:rtl/>
        </w:rPr>
        <w:t xml:space="preserve">لِصّاً بالكسر. وقيل بتثليث اللام. </w:t>
      </w:r>
      <w:r w:rsidR="003E464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أَوْ سَبُعٌ »</w:t>
      </w:r>
      <w:r>
        <w:rPr>
          <w:rtl/>
          <w:lang w:bidi="fa-IR"/>
        </w:rPr>
        <w:t>.</w:t>
      </w:r>
      <w:r w:rsidRPr="005D642E">
        <w:rPr>
          <w:rtl/>
          <w:lang w:bidi="fa-IR"/>
        </w:rPr>
        <w:t xml:space="preserve"> </w:t>
      </w:r>
      <w:r w:rsidRPr="007C12DB">
        <w:rPr>
          <w:rStyle w:val="libFootnotenumChar"/>
          <w:rtl/>
        </w:rPr>
        <w:t>(1)</w:t>
      </w:r>
    </w:p>
    <w:p w:rsidR="00E3253D" w:rsidRPr="005D642E" w:rsidRDefault="00E3253D" w:rsidP="00E3253D">
      <w:pPr>
        <w:pStyle w:val="libNormal"/>
        <w:rPr>
          <w:rtl/>
          <w:lang w:bidi="fa-IR"/>
        </w:rPr>
      </w:pPr>
      <w:r w:rsidRPr="006F35D4">
        <w:rPr>
          <w:rtl/>
        </w:rPr>
        <w:t>4116</w:t>
      </w:r>
      <w:r w:rsidRPr="00246318">
        <w:rPr>
          <w:rStyle w:val="libBold2Char"/>
          <w:rtl/>
        </w:rPr>
        <w:t xml:space="preserve"> / 9.</w:t>
      </w:r>
      <w:r w:rsidRPr="005D642E">
        <w:rPr>
          <w:rtl/>
          <w:lang w:bidi="fa-IR"/>
        </w:rPr>
        <w:t xml:space="preserve"> مُحَمَّدُ بْنُ إِسْمَاعِيلَ ، عَنِ الْفَضْلِ بْنِ شَاذَانَ ، عَنْ صَفْوَانَ ، عَنْ مَنْصُورِ بْنِ حَازِمٍ ، عَنِ ابْنِ أَبِي يَعْفُورٍ وَعَنْبَسَةَ بْنِ مُصْعَبٍ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أَتَيْتَ الْبِئْرَ وَأَنْتَ جُنُبٌ ، وَلَمْ تَجِدْ </w:t>
      </w:r>
      <w:r w:rsidRPr="007C12DB">
        <w:rPr>
          <w:rStyle w:val="libFootnotenumChar"/>
          <w:rtl/>
        </w:rPr>
        <w:t>(2)</w:t>
      </w:r>
      <w:r w:rsidRPr="005D642E">
        <w:rPr>
          <w:rtl/>
          <w:lang w:bidi="fa-IR"/>
        </w:rPr>
        <w:t xml:space="preserve"> دَلْواً وَلَاشَيْئاً تَغْرِفُ </w:t>
      </w:r>
      <w:r w:rsidRPr="007C12DB">
        <w:rPr>
          <w:rStyle w:val="libFootnotenumChar"/>
          <w:rtl/>
        </w:rPr>
        <w:t>(3)</w:t>
      </w:r>
      <w:r w:rsidRPr="005D642E">
        <w:rPr>
          <w:rtl/>
          <w:lang w:bidi="fa-IR"/>
        </w:rPr>
        <w:t xml:space="preserve"> بِهِ ، فَتَيَمَّمْ بِالصَّعِيدِ </w:t>
      </w:r>
      <w:r w:rsidRPr="007C12DB">
        <w:rPr>
          <w:rStyle w:val="libFootnotenumChar"/>
          <w:rtl/>
        </w:rPr>
        <w:t>(4)</w:t>
      </w:r>
      <w:r w:rsidRPr="005D642E">
        <w:rPr>
          <w:rtl/>
          <w:lang w:bidi="fa-IR"/>
        </w:rPr>
        <w:t xml:space="preserve"> ؛ فَإِنَّ رَبَّ الْمَاءِ وَرَبَّ الصَّعِيدِ وَاحِدٌ ، وَلَاتَقَعْ </w:t>
      </w:r>
      <w:r w:rsidRPr="007C12DB">
        <w:rPr>
          <w:rStyle w:val="libFootnotenumChar"/>
          <w:rtl/>
        </w:rPr>
        <w:t>(5)</w:t>
      </w:r>
      <w:r w:rsidRPr="005D642E">
        <w:rPr>
          <w:rtl/>
          <w:lang w:bidi="fa-IR"/>
        </w:rPr>
        <w:t xml:space="preserve"> فِي الْبِئْرِ ، وَلَاتُفْسِدْ </w:t>
      </w:r>
      <w:r w:rsidRPr="007C12DB">
        <w:rPr>
          <w:rStyle w:val="libFootnotenumChar"/>
          <w:rtl/>
        </w:rPr>
        <w:t>(6)</w:t>
      </w:r>
      <w:r w:rsidRPr="005D642E">
        <w:rPr>
          <w:rtl/>
          <w:lang w:bidi="fa-IR"/>
        </w:rPr>
        <w:t xml:space="preserve"> عَلَى الْقَوْمِ مَاءَهُمْ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6F35D4">
        <w:rPr>
          <w:rtl/>
        </w:rPr>
        <w:t>4117</w:t>
      </w:r>
      <w:r w:rsidRPr="00246318">
        <w:rPr>
          <w:rStyle w:val="libBold2Char"/>
          <w:rtl/>
        </w:rPr>
        <w:t xml:space="preserve"> / 10.</w:t>
      </w:r>
      <w:r w:rsidRPr="005D642E">
        <w:rPr>
          <w:rtl/>
          <w:lang w:bidi="fa-IR"/>
        </w:rPr>
        <w:t xml:space="preserve"> مُحَمَّدُ بْنُ يَحْيى ، عَنْ أَحْمَدَ بْنِ مُحَمَّدٍ ، عَنْ عُثْمَانَ بْنِ عِيسى ، عَنِ ابْنِ مُسْكَانَ ، عَنْ أَبِي بَصِيرٍ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FD5941" w:rsidP="00E3253D">
      <w:pPr>
        <w:pStyle w:val="libFootnote0"/>
        <w:rPr>
          <w:rtl/>
          <w:lang w:bidi="fa-IR"/>
        </w:rPr>
      </w:pPr>
      <w:r>
        <w:rPr>
          <w:rFonts w:hint="cs"/>
          <w:rtl/>
        </w:rPr>
        <w:t xml:space="preserve">= </w:t>
      </w:r>
      <w:r w:rsidR="00E3253D" w:rsidRPr="005D642E">
        <w:rPr>
          <w:rtl/>
        </w:rPr>
        <w:t xml:space="preserve">راجع : </w:t>
      </w:r>
      <w:r w:rsidR="00E3253D" w:rsidRPr="002F4D34">
        <w:rPr>
          <w:rStyle w:val="libFootnoteBoldChar"/>
          <w:rtl/>
        </w:rPr>
        <w:t>الصحاح</w:t>
      </w:r>
      <w:r w:rsidR="00E3253D" w:rsidRPr="005D642E">
        <w:rPr>
          <w:rtl/>
        </w:rPr>
        <w:t xml:space="preserve"> ، ج 3 ، ص 1056 ؛ </w:t>
      </w:r>
      <w:r w:rsidR="00E3253D" w:rsidRPr="002F4D34">
        <w:rPr>
          <w:rStyle w:val="libFootnoteBoldChar"/>
          <w:rtl/>
        </w:rPr>
        <w:t>لسان العرب</w:t>
      </w:r>
      <w:r w:rsidR="00E3253D" w:rsidRPr="005D642E">
        <w:rPr>
          <w:rtl/>
        </w:rPr>
        <w:t xml:space="preserve"> ، ج 7 ، ص 87 ( لصص )</w:t>
      </w:r>
      <w:r w:rsidR="00E3253D">
        <w:rPr>
          <w:rtl/>
        </w:rPr>
        <w:t>.</w:t>
      </w:r>
    </w:p>
    <w:p w:rsidR="00E3253D" w:rsidRPr="005D642E" w:rsidRDefault="0042621E" w:rsidP="006A0C03">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184 ، ح 528 ، بسنده عن الكليني</w:t>
      </w:r>
      <w:r w:rsidR="0005577F">
        <w:rPr>
          <w:rFonts w:hint="cs"/>
          <w:rtl/>
        </w:rPr>
        <w:t>.</w:t>
      </w:r>
      <w:r w:rsidR="00E3253D" w:rsidRPr="002F4D34">
        <w:rPr>
          <w:rStyle w:val="libFootnoteBoldChar"/>
          <w:rtl/>
        </w:rPr>
        <w:t>الوافي</w:t>
      </w:r>
      <w:r w:rsidR="00E3253D" w:rsidRPr="005D642E">
        <w:rPr>
          <w:rtl/>
        </w:rPr>
        <w:t xml:space="preserve"> ، ج 6 ، ص 547 ، ح 4897 ؛ </w:t>
      </w:r>
      <w:r w:rsidR="00E3253D" w:rsidRPr="002F4D34">
        <w:rPr>
          <w:rStyle w:val="libFootnoteBoldChar"/>
          <w:rtl/>
        </w:rPr>
        <w:t>الوسائل</w:t>
      </w:r>
      <w:r w:rsidR="00E3253D" w:rsidRPr="005D642E">
        <w:rPr>
          <w:rtl/>
        </w:rPr>
        <w:t xml:space="preserve"> ، ج 3 ، ص 342 ، ح 3817.</w:t>
      </w:r>
      <w:r w:rsidR="006A0C03">
        <w:rPr>
          <w:rFonts w:hint="cs"/>
          <w:rtl/>
        </w:rPr>
        <w:t xml:space="preserve">                     </w:t>
      </w:r>
      <w:r w:rsidRPr="0042621E">
        <w:rPr>
          <w:rStyle w:val="libFootnote0Char"/>
          <w:rtl/>
        </w:rPr>
        <w:t>(2).</w:t>
      </w:r>
      <w:r w:rsidR="00E3253D" w:rsidRPr="005D642E">
        <w:rPr>
          <w:rtl/>
        </w:rPr>
        <w:t xml:space="preserve"> في « بخ » : « ولا تجد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بف » : « يغرف »</w:t>
      </w:r>
      <w:r w:rsidR="00E3253D">
        <w:rPr>
          <w:rtl/>
        </w:rPr>
        <w:t>.</w:t>
      </w:r>
      <w:r w:rsidR="00E3253D" w:rsidRPr="005D642E">
        <w:rPr>
          <w:rtl/>
        </w:rPr>
        <w:t xml:space="preserve"> وفي التهذيب ، ص 149 : « تغترف »</w:t>
      </w:r>
      <w:r w:rsidR="00E3253D">
        <w:rPr>
          <w:rtl/>
        </w:rPr>
        <w:t>.</w:t>
      </w:r>
    </w:p>
    <w:p w:rsidR="00E3253D" w:rsidRDefault="0042621E" w:rsidP="00E3253D">
      <w:pPr>
        <w:pStyle w:val="libFootnote0"/>
        <w:rPr>
          <w:rtl/>
        </w:rPr>
      </w:pPr>
      <w:r w:rsidRPr="0042621E">
        <w:rPr>
          <w:rStyle w:val="libFootnote0Char"/>
          <w:rtl/>
        </w:rPr>
        <w:t>(4).</w:t>
      </w:r>
      <w:r w:rsidR="00E3253D" w:rsidRPr="005D642E">
        <w:rPr>
          <w:rtl/>
        </w:rPr>
        <w:t xml:space="preserve"> معنى الصعيد مختلف في اللغة جدّاً : فقيل : الصعيد : وجه الأرض قلّ أو كثر. وقيل : هو وجه الأرض تراباً كان أو غيره. قال الزجّاج : لا أعلم اختلافاً بين أهل اللغة في ذلك ، ومن قال : هو فعيل بمعنى مفعول أو فاعل من الصعود ، ففيه نظر.</w:t>
      </w:r>
    </w:p>
    <w:p w:rsidR="00E3253D" w:rsidRPr="005D642E" w:rsidRDefault="00E3253D" w:rsidP="00E3253D">
      <w:pPr>
        <w:pStyle w:val="libFootnote0"/>
        <w:rPr>
          <w:rtl/>
          <w:lang w:bidi="fa-IR"/>
        </w:rPr>
      </w:pPr>
      <w:r w:rsidRPr="005D642E">
        <w:rPr>
          <w:rtl/>
        </w:rPr>
        <w:t xml:space="preserve">وقيل : هو وجه الأرض. وقيل : هو يطلق على وجوه التراب الذي على وجه الأرض. وقيل : هو المرتفع من الأرض. وقيل : هو الأرض المرتفعة من الأرض المنخفضة. وقيل : هو ما لم يخالطه رمل ولا سَبَخَة. وقيل : هو الأرض. وقيل : الأرض الطيّبة. وقيل : هو التراب. وقيل : هو كلّ تراب طيّب. هذا في اللغة. وأمّا المراد به في التيمّم فمختلف فيه بين الفقهاء ، فهو عند بعض : كلّ ما يقع عليه اسم الأرض مطلقاً ، وعند آخر هو التراب الخالص. وقيل غير ذلك ، فلتحقيق الحال في معناه راجع : </w:t>
      </w:r>
      <w:r w:rsidRPr="002F4D34">
        <w:rPr>
          <w:rStyle w:val="libFootnoteBoldChar"/>
          <w:rtl/>
        </w:rPr>
        <w:t>ترتيب كتاب العين</w:t>
      </w:r>
      <w:r w:rsidRPr="005D642E">
        <w:rPr>
          <w:rtl/>
        </w:rPr>
        <w:t xml:space="preserve"> ، ج 2 ، ص 988 ؛ </w:t>
      </w:r>
      <w:r w:rsidRPr="002F4D34">
        <w:rPr>
          <w:rStyle w:val="libFootnoteBoldChar"/>
          <w:rtl/>
        </w:rPr>
        <w:t>الصحاح</w:t>
      </w:r>
      <w:r w:rsidRPr="005D642E">
        <w:rPr>
          <w:rtl/>
        </w:rPr>
        <w:t xml:space="preserve"> ، ج 2 ، ص 498 ؛ </w:t>
      </w:r>
      <w:r w:rsidRPr="002F4D34">
        <w:rPr>
          <w:rStyle w:val="libFootnoteBoldChar"/>
          <w:rtl/>
        </w:rPr>
        <w:t>المغرب</w:t>
      </w:r>
      <w:r w:rsidRPr="005D642E">
        <w:rPr>
          <w:rtl/>
        </w:rPr>
        <w:t xml:space="preserve"> ، ص 467 ؛ </w:t>
      </w:r>
      <w:r w:rsidRPr="002F4D34">
        <w:rPr>
          <w:rStyle w:val="libFootnoteBoldChar"/>
          <w:rtl/>
        </w:rPr>
        <w:t>لسان العرب</w:t>
      </w:r>
      <w:r w:rsidRPr="005D642E">
        <w:rPr>
          <w:rtl/>
        </w:rPr>
        <w:t xml:space="preserve"> ، ج 3 ، ص 254 ؛ </w:t>
      </w:r>
      <w:r w:rsidRPr="002F4D34">
        <w:rPr>
          <w:rStyle w:val="libFootnoteBoldChar"/>
          <w:rtl/>
        </w:rPr>
        <w:t>المصباح المنير</w:t>
      </w:r>
      <w:r w:rsidRPr="005D642E">
        <w:rPr>
          <w:rtl/>
        </w:rPr>
        <w:t xml:space="preserve"> ، ص 340 ؛ </w:t>
      </w:r>
      <w:r w:rsidRPr="002F4D34">
        <w:rPr>
          <w:rStyle w:val="libFootnoteBoldChar"/>
          <w:rtl/>
        </w:rPr>
        <w:t>الحبل المتين</w:t>
      </w:r>
      <w:r w:rsidRPr="005D642E">
        <w:rPr>
          <w:rtl/>
        </w:rPr>
        <w:t xml:space="preserve"> ، ص 301</w:t>
      </w:r>
      <w:r>
        <w:rPr>
          <w:rtl/>
        </w:rPr>
        <w:t xml:space="preserve"> </w:t>
      </w:r>
      <w:r w:rsidR="007642BC">
        <w:rPr>
          <w:rtl/>
        </w:rPr>
        <w:t>-</w:t>
      </w:r>
      <w:r>
        <w:rPr>
          <w:rtl/>
        </w:rPr>
        <w:t xml:space="preserve"> </w:t>
      </w:r>
      <w:r w:rsidRPr="005D642E">
        <w:rPr>
          <w:rtl/>
        </w:rPr>
        <w:t xml:space="preserve">305 ؛ </w:t>
      </w:r>
      <w:r w:rsidRPr="002F4D34">
        <w:rPr>
          <w:rStyle w:val="libFootnoteBoldChar"/>
          <w:rtl/>
        </w:rPr>
        <w:t>مشرق الشمسين</w:t>
      </w:r>
      <w:r w:rsidRPr="005D642E">
        <w:rPr>
          <w:rtl/>
        </w:rPr>
        <w:t xml:space="preserve"> ، ص 334</w:t>
      </w:r>
      <w:r>
        <w:rPr>
          <w:rtl/>
        </w:rPr>
        <w:t xml:space="preserve"> </w:t>
      </w:r>
      <w:r w:rsidR="007642BC">
        <w:rPr>
          <w:rtl/>
        </w:rPr>
        <w:t>-</w:t>
      </w:r>
      <w:r>
        <w:rPr>
          <w:rtl/>
        </w:rPr>
        <w:t xml:space="preserve"> </w:t>
      </w:r>
      <w:r w:rsidRPr="005D642E">
        <w:rPr>
          <w:rtl/>
        </w:rPr>
        <w:t xml:space="preserve">338 ؛ </w:t>
      </w:r>
      <w:r w:rsidRPr="002F4D34">
        <w:rPr>
          <w:rStyle w:val="libFootnoteBoldChar"/>
          <w:rtl/>
        </w:rPr>
        <w:t>مدارك الأحكام</w:t>
      </w:r>
      <w:r w:rsidRPr="005D642E">
        <w:rPr>
          <w:rtl/>
        </w:rPr>
        <w:t xml:space="preserve"> ، ج 2 ، ص 196</w:t>
      </w:r>
      <w:r>
        <w:rPr>
          <w:rtl/>
        </w:rPr>
        <w:t xml:space="preserve"> </w:t>
      </w:r>
      <w:r w:rsidR="007642BC">
        <w:rPr>
          <w:rtl/>
        </w:rPr>
        <w:t>-</w:t>
      </w:r>
      <w:r>
        <w:rPr>
          <w:rtl/>
        </w:rPr>
        <w:t xml:space="preserve"> </w:t>
      </w:r>
      <w:r w:rsidRPr="005D642E">
        <w:rPr>
          <w:rtl/>
        </w:rPr>
        <w:t>208.</w:t>
      </w:r>
    </w:p>
    <w:tbl>
      <w:tblPr>
        <w:tblStyle w:val="TableGrid"/>
        <w:bidiVisual/>
        <w:tblW w:w="0" w:type="auto"/>
        <w:tblLook w:val="04A0" w:firstRow="1" w:lastRow="0" w:firstColumn="1" w:lastColumn="0" w:noHBand="0" w:noVBand="1"/>
      </w:tblPr>
      <w:tblGrid>
        <w:gridCol w:w="4006"/>
        <w:gridCol w:w="4006"/>
      </w:tblGrid>
      <w:tr w:rsidR="006A160A" w:rsidTr="006A160A">
        <w:tc>
          <w:tcPr>
            <w:tcW w:w="4006" w:type="dxa"/>
          </w:tcPr>
          <w:p w:rsidR="006A160A" w:rsidRDefault="006A160A" w:rsidP="00E3253D">
            <w:pPr>
              <w:pStyle w:val="libFootnote0"/>
              <w:rPr>
                <w:rStyle w:val="libFootnote0Char"/>
                <w:rtl/>
              </w:rPr>
            </w:pPr>
            <w:r w:rsidRPr="0042621E">
              <w:rPr>
                <w:rStyle w:val="libFootnote0Char"/>
                <w:rtl/>
              </w:rPr>
              <w:t>(5).</w:t>
            </w:r>
            <w:r w:rsidRPr="005D642E">
              <w:rPr>
                <w:rtl/>
              </w:rPr>
              <w:t xml:space="preserve"> في « جس » : « ولا يقع »</w:t>
            </w:r>
            <w:r>
              <w:rPr>
                <w:rtl/>
              </w:rPr>
              <w:t>.</w:t>
            </w:r>
          </w:p>
        </w:tc>
        <w:tc>
          <w:tcPr>
            <w:tcW w:w="4006" w:type="dxa"/>
          </w:tcPr>
          <w:p w:rsidR="006A160A" w:rsidRDefault="006A160A" w:rsidP="00E3253D">
            <w:pPr>
              <w:pStyle w:val="libFootnote0"/>
              <w:rPr>
                <w:rStyle w:val="libFootnote0Char"/>
                <w:rtl/>
              </w:rPr>
            </w:pPr>
            <w:r w:rsidRPr="0042621E">
              <w:rPr>
                <w:rStyle w:val="libFootnote0Char"/>
                <w:rtl/>
              </w:rPr>
              <w:t>(6).</w:t>
            </w:r>
            <w:r w:rsidRPr="005D642E">
              <w:rPr>
                <w:rtl/>
              </w:rPr>
              <w:t xml:space="preserve"> في مرآة العقول : « ولا يفسد »</w:t>
            </w:r>
            <w:r>
              <w:rPr>
                <w:rtl/>
              </w:rPr>
              <w:t>.</w:t>
            </w:r>
          </w:p>
        </w:tc>
      </w:tr>
    </w:tbl>
    <w:p w:rsidR="00E3253D" w:rsidRPr="005D642E" w:rsidRDefault="0042621E" w:rsidP="006C4840">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149 ، ح 426 ؛ </w:t>
      </w:r>
      <w:r w:rsidR="00E3253D" w:rsidRPr="00E678B5">
        <w:rPr>
          <w:rStyle w:val="libFootnoteBoldChar"/>
          <w:rtl/>
        </w:rPr>
        <w:t>والاستبصار</w:t>
      </w:r>
      <w:r w:rsidR="00E3253D" w:rsidRPr="005D642E">
        <w:rPr>
          <w:rtl/>
        </w:rPr>
        <w:t xml:space="preserve"> ، ج 1 ، ص 127 ، ح 435 ، بسندهما عن الكليني. </w:t>
      </w:r>
      <w:r w:rsidR="00E3253D" w:rsidRPr="002F4D34">
        <w:rPr>
          <w:rStyle w:val="libFootnoteBoldChar"/>
          <w:rtl/>
        </w:rPr>
        <w:t>التهذيب</w:t>
      </w:r>
      <w:r w:rsidR="00E3253D" w:rsidRPr="005D642E">
        <w:rPr>
          <w:rtl/>
        </w:rPr>
        <w:t xml:space="preserve"> ، ج 1 ، ص 185 ، ح 535 ، بسنده عن صفوان بن يحيى ، عن منصور بن حازم ، مع اختلاف يسير</w:t>
      </w:r>
      <w:r w:rsidR="006C4840">
        <w:rPr>
          <w:rFonts w:hint="cs"/>
          <w:rtl/>
        </w:rPr>
        <w:t>.</w:t>
      </w:r>
      <w:r w:rsidR="00E3253D" w:rsidRPr="002F4D34">
        <w:rPr>
          <w:rStyle w:val="libFootnoteBoldChar"/>
          <w:rtl/>
        </w:rPr>
        <w:t>الوافي</w:t>
      </w:r>
      <w:r w:rsidR="00E3253D" w:rsidRPr="005D642E">
        <w:rPr>
          <w:rtl/>
        </w:rPr>
        <w:t xml:space="preserve"> ، ج 6 ، ص 548 ، ح 4898 ؛ </w:t>
      </w:r>
      <w:r w:rsidR="00E3253D" w:rsidRPr="002F4D34">
        <w:rPr>
          <w:rStyle w:val="libFootnoteBoldChar"/>
          <w:rtl/>
        </w:rPr>
        <w:t>الوسائل</w:t>
      </w:r>
      <w:r w:rsidR="00E3253D" w:rsidRPr="005D642E">
        <w:rPr>
          <w:rtl/>
        </w:rPr>
        <w:t xml:space="preserve"> ، ج 1 ، ص 177 ، ذيل ح 443 ؛ وج 3 ، ص 344 ، ذيل ح 3820.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سَأَلْتُهُ عَنْ رَجُلٍ كَانَ فِي سَفَرٍ ، وَكَانَ مَعَهُ مَاءٌ ، فَنَسِيَهُ وَتَيَمَّمَ </w:t>
      </w:r>
      <w:r w:rsidRPr="007C12DB">
        <w:rPr>
          <w:rStyle w:val="libFootnotenumChar"/>
          <w:rtl/>
        </w:rPr>
        <w:t>(1)</w:t>
      </w:r>
      <w:r w:rsidRPr="005D642E">
        <w:rPr>
          <w:rtl/>
          <w:lang w:bidi="fa-IR"/>
        </w:rPr>
        <w:t xml:space="preserve"> وَصَلّى ، ثُمَّ ذَكَرَ أَنَّ مَعَهُ مَاءً قَبْلَ أَنْ يَخْرُجَ الْوَقْتُ</w:t>
      </w:r>
      <w:r>
        <w:rPr>
          <w:rtl/>
          <w:lang w:bidi="fa-IR"/>
        </w:rPr>
        <w:t>؟</w:t>
      </w:r>
    </w:p>
    <w:p w:rsidR="00E3253D" w:rsidRPr="005D642E" w:rsidRDefault="00E3253D" w:rsidP="00E3253D">
      <w:pPr>
        <w:pStyle w:val="libNormal"/>
        <w:rPr>
          <w:rtl/>
          <w:lang w:bidi="fa-IR"/>
        </w:rPr>
      </w:pPr>
      <w:r w:rsidRPr="005D642E">
        <w:rPr>
          <w:rtl/>
          <w:lang w:bidi="fa-IR"/>
        </w:rPr>
        <w:t>قَالَ : « عَلَيْهِ أَنْ يَتَوَضَّأَ ، وَيُعِيدَ الصَّلَاةَ »</w:t>
      </w:r>
      <w:r>
        <w:rPr>
          <w:rtl/>
          <w:lang w:bidi="fa-IR"/>
        </w:rPr>
        <w:t>.</w:t>
      </w:r>
    </w:p>
    <w:p w:rsidR="00E3253D" w:rsidRPr="005D642E" w:rsidRDefault="00E3253D" w:rsidP="00E3253D">
      <w:pPr>
        <w:pStyle w:val="libNormal"/>
        <w:rPr>
          <w:rtl/>
          <w:lang w:bidi="fa-IR"/>
        </w:rPr>
      </w:pPr>
      <w:r w:rsidRPr="005D642E">
        <w:rPr>
          <w:rtl/>
          <w:lang w:bidi="fa-IR"/>
        </w:rPr>
        <w:t xml:space="preserve">قَالَ : وَسَأَلْتُهُ </w:t>
      </w:r>
      <w:r w:rsidRPr="007C12DB">
        <w:rPr>
          <w:rStyle w:val="libFootnotenumChar"/>
          <w:rtl/>
        </w:rPr>
        <w:t>(2)</w:t>
      </w:r>
      <w:r w:rsidRPr="005D642E">
        <w:rPr>
          <w:rtl/>
          <w:lang w:bidi="fa-IR"/>
        </w:rPr>
        <w:t xml:space="preserve"> عَنْ تَيَمُّمِ الْحَائِضِ وَالْجُنُبِ سَوَاءٌ إِذَا لَمْ يَجِدَا </w:t>
      </w:r>
      <w:r w:rsidRPr="007C12DB">
        <w:rPr>
          <w:rStyle w:val="libFootnotenumChar"/>
          <w:rtl/>
        </w:rPr>
        <w:t>(3)</w:t>
      </w:r>
      <w:r w:rsidRPr="005D642E">
        <w:rPr>
          <w:rtl/>
          <w:lang w:bidi="fa-IR"/>
        </w:rPr>
        <w:t xml:space="preserve"> مَاءً</w:t>
      </w:r>
      <w:r>
        <w:rPr>
          <w:rtl/>
          <w:lang w:bidi="fa-IR"/>
        </w:rPr>
        <w:t>؟</w:t>
      </w:r>
    </w:p>
    <w:p w:rsidR="00E3253D" w:rsidRPr="005D642E" w:rsidRDefault="00E3253D" w:rsidP="00E3253D">
      <w:pPr>
        <w:pStyle w:val="libNormal"/>
        <w:rPr>
          <w:rtl/>
          <w:lang w:bidi="fa-IR"/>
        </w:rPr>
      </w:pPr>
      <w:r w:rsidRPr="005D642E">
        <w:rPr>
          <w:rtl/>
          <w:lang w:bidi="fa-IR"/>
        </w:rPr>
        <w:t xml:space="preserve">قَالَ : « نَعَمْ </w:t>
      </w:r>
      <w:r w:rsidRPr="007C12DB">
        <w:rPr>
          <w:rStyle w:val="libFootnotenumChar"/>
          <w:rtl/>
        </w:rPr>
        <w:t>(4)</w:t>
      </w:r>
      <w:r w:rsidRPr="005D642E">
        <w:rPr>
          <w:rtl/>
          <w:lang w:bidi="fa-IR"/>
        </w:rPr>
        <w:t xml:space="preserve">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Heading2Center"/>
        <w:rPr>
          <w:rtl/>
          <w:lang w:bidi="fa-IR"/>
        </w:rPr>
      </w:pPr>
      <w:bookmarkStart w:id="153" w:name="_Toc344647261"/>
      <w:bookmarkStart w:id="154" w:name="_Toc462226776"/>
      <w:bookmarkStart w:id="155" w:name="_Toc40975884"/>
      <w:r w:rsidRPr="005D642E">
        <w:rPr>
          <w:rtl/>
          <w:lang w:bidi="fa-IR"/>
        </w:rPr>
        <w:t>42</w:t>
      </w:r>
      <w:r>
        <w:rPr>
          <w:rtl/>
          <w:lang w:bidi="fa-IR"/>
        </w:rPr>
        <w:t xml:space="preserve"> </w:t>
      </w:r>
      <w:r w:rsidR="007642BC">
        <w:rPr>
          <w:rtl/>
          <w:lang w:bidi="fa-IR"/>
        </w:rPr>
        <w:t>-</w:t>
      </w:r>
      <w:r>
        <w:rPr>
          <w:rtl/>
          <w:lang w:bidi="fa-IR"/>
        </w:rPr>
        <w:t xml:space="preserve"> </w:t>
      </w:r>
      <w:r w:rsidRPr="005D642E">
        <w:rPr>
          <w:rtl/>
          <w:lang w:bidi="fa-IR"/>
        </w:rPr>
        <w:t xml:space="preserve">بَابُ الرَّجُلِ يَكُونُ مَعَهُ الْمَاءُ الْقَلِيلُ فِي السَّفَرِ وَيَخَافُ الْعَطَشَ </w:t>
      </w:r>
      <w:r w:rsidRPr="007C12DB">
        <w:rPr>
          <w:rStyle w:val="libFootnotenumChar"/>
          <w:rtl/>
        </w:rPr>
        <w:t>(6)</w:t>
      </w:r>
      <w:bookmarkEnd w:id="153"/>
      <w:bookmarkEnd w:id="154"/>
      <w:bookmarkEnd w:id="155"/>
    </w:p>
    <w:p w:rsidR="00E3253D" w:rsidRPr="005D642E" w:rsidRDefault="00E3253D" w:rsidP="00E3253D">
      <w:pPr>
        <w:pStyle w:val="libNormal"/>
        <w:rPr>
          <w:rtl/>
          <w:lang w:bidi="fa-IR"/>
        </w:rPr>
      </w:pPr>
      <w:r w:rsidRPr="006F35D4">
        <w:rPr>
          <w:rtl/>
        </w:rPr>
        <w:t>4118</w:t>
      </w:r>
      <w:r w:rsidRPr="00246318">
        <w:rPr>
          <w:rStyle w:val="libBold2Char"/>
          <w:rtl/>
        </w:rPr>
        <w:t xml:space="preserve"> / 1.</w:t>
      </w:r>
      <w:r w:rsidRPr="005D642E">
        <w:rPr>
          <w:rtl/>
          <w:lang w:bidi="fa-IR"/>
        </w:rPr>
        <w:t xml:space="preserve"> عَلِيُّ بْنُ إِبْرَاهِيمَ ، عَنْ أَبِيهِ ، عَنْ عَبْدِ اللهِ بْنِ الْمُغِيرَةِ ، عَنِ ابْنِ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رَجُلٍ أَصَابَتْهُ جَنَابَةٌ فِي السَّفَر</w:t>
      </w:r>
      <w:r w:rsidR="00381019">
        <w:rPr>
          <w:rtl/>
          <w:lang w:bidi="fa-IR"/>
        </w:rPr>
        <w:t>ِ ، وَلَيْسَ مَعَهُ مَاءٌ إِل</w:t>
      </w:r>
      <w:r w:rsidR="00381019">
        <w:rPr>
          <w:rFonts w:hint="cs"/>
          <w:rtl/>
          <w:lang w:bidi="fa-IR"/>
        </w:rPr>
        <w:t>َّ</w:t>
      </w:r>
      <w:r w:rsidR="00381019">
        <w:rPr>
          <w:rtl/>
          <w:lang w:bidi="fa-IR"/>
        </w:rPr>
        <w:t>ا</w:t>
      </w:r>
      <w:r w:rsidRPr="005D642E">
        <w:rPr>
          <w:rtl/>
          <w:lang w:bidi="fa-IR"/>
        </w:rPr>
        <w:t xml:space="preserve"> قَلِيلٌ ، وَخَافَ </w:t>
      </w:r>
      <w:r w:rsidRPr="007C12DB">
        <w:rPr>
          <w:rStyle w:val="libFootnotenumChar"/>
          <w:rtl/>
        </w:rPr>
        <w:t>(7)</w:t>
      </w:r>
      <w:r w:rsidRPr="005D642E">
        <w:rPr>
          <w:rtl/>
          <w:lang w:bidi="fa-IR"/>
        </w:rPr>
        <w:t xml:space="preserve"> إِنْ هُوَ اغْتَسَلَ أَنْ يَعْطَشَ ، قَالَ : « إِنْ خَافَ عَطَشاً ، فَلَا يُهَرِيقُ </w:t>
      </w:r>
      <w:r w:rsidRPr="007C12DB">
        <w:rPr>
          <w:rStyle w:val="libFootnotenumChar"/>
          <w:rtl/>
        </w:rPr>
        <w:t>(8)</w:t>
      </w:r>
      <w:r w:rsidRPr="005D642E">
        <w:rPr>
          <w:rtl/>
          <w:lang w:bidi="fa-IR"/>
        </w:rPr>
        <w:t xml:space="preserve"> مِنْهُ قَطْرَةً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حاشية « ظ » والوسائل ، ح 3885 </w:t>
      </w:r>
      <w:r w:rsidR="00B60612" w:rsidRPr="00B60612">
        <w:rPr>
          <w:rStyle w:val="libFootnoteBoldChar"/>
          <w:rtl/>
        </w:rPr>
        <w:t>والتهذيب</w:t>
      </w:r>
      <w:r w:rsidR="00E3253D" w:rsidRPr="005D642E">
        <w:rPr>
          <w:rtl/>
        </w:rPr>
        <w:t xml:space="preserve"> : « فتيمّم »</w:t>
      </w:r>
      <w:r w:rsidR="00E3253D">
        <w:rPr>
          <w:rtl/>
        </w:rPr>
        <w:t>.</w:t>
      </w:r>
    </w:p>
    <w:tbl>
      <w:tblPr>
        <w:tblStyle w:val="TableGrid"/>
        <w:bidiVisual/>
        <w:tblW w:w="0" w:type="auto"/>
        <w:tblLook w:val="04A0" w:firstRow="1" w:lastRow="0" w:firstColumn="1" w:lastColumn="0" w:noHBand="0" w:noVBand="1"/>
      </w:tblPr>
      <w:tblGrid>
        <w:gridCol w:w="4006"/>
        <w:gridCol w:w="4006"/>
      </w:tblGrid>
      <w:tr w:rsidR="00381019" w:rsidTr="00381019">
        <w:tc>
          <w:tcPr>
            <w:tcW w:w="4006" w:type="dxa"/>
          </w:tcPr>
          <w:p w:rsidR="00381019" w:rsidRDefault="00381019" w:rsidP="00381019">
            <w:pPr>
              <w:pStyle w:val="libFootnote0"/>
              <w:rPr>
                <w:rStyle w:val="libFootnote0Char"/>
                <w:rtl/>
              </w:rPr>
            </w:pPr>
            <w:r w:rsidRPr="0042621E">
              <w:rPr>
                <w:rStyle w:val="libFootnote0Char"/>
                <w:rtl/>
              </w:rPr>
              <w:t>(2).</w:t>
            </w:r>
            <w:r w:rsidRPr="005D642E">
              <w:rPr>
                <w:rtl/>
              </w:rPr>
              <w:t xml:space="preserve"> في الوسائل،ح3876:«سألته»من</w:t>
            </w:r>
            <w:r>
              <w:rPr>
                <w:rFonts w:hint="cs"/>
                <w:rtl/>
              </w:rPr>
              <w:t xml:space="preserve"> </w:t>
            </w:r>
            <w:r w:rsidRPr="005D642E">
              <w:rPr>
                <w:rtl/>
              </w:rPr>
              <w:t>دون الواو.</w:t>
            </w:r>
          </w:p>
        </w:tc>
        <w:tc>
          <w:tcPr>
            <w:tcW w:w="4006" w:type="dxa"/>
          </w:tcPr>
          <w:p w:rsidR="00381019" w:rsidRDefault="00381019" w:rsidP="00381019">
            <w:pPr>
              <w:pStyle w:val="libFootnote0"/>
              <w:rPr>
                <w:rStyle w:val="libFootnote0Char"/>
                <w:rtl/>
              </w:rPr>
            </w:pPr>
            <w:r w:rsidRPr="0042621E">
              <w:rPr>
                <w:rStyle w:val="libFootnote0Char"/>
                <w:rtl/>
              </w:rPr>
              <w:t>(3).</w:t>
            </w:r>
            <w:r w:rsidRPr="005D642E">
              <w:rPr>
                <w:rtl/>
              </w:rPr>
              <w:t xml:space="preserve"> في « جس » : « لم تجد »</w:t>
            </w:r>
            <w:r>
              <w:rPr>
                <w:rtl/>
              </w:rPr>
              <w:t>.</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مدارك الأحكام</w:t>
      </w:r>
      <w:r w:rsidR="00E3253D" w:rsidRPr="005D642E">
        <w:rPr>
          <w:rtl/>
        </w:rPr>
        <w:t xml:space="preserve"> ، ج 2 ، ص 232 : « واعلم أنّ ظاهر كلام الأصحاب يقتضي تساوي الأغسال في كمّيّة التيمّم</w:t>
      </w:r>
      <w:r w:rsidR="00E3253D">
        <w:rPr>
          <w:rtl/>
        </w:rPr>
        <w:t xml:space="preserve"> ..</w:t>
      </w:r>
      <w:r w:rsidR="00E3253D" w:rsidRPr="005D642E">
        <w:rPr>
          <w:rtl/>
        </w:rPr>
        <w:t xml:space="preserve">. قال في </w:t>
      </w:r>
      <w:r w:rsidR="00E3253D" w:rsidRPr="002F4D34">
        <w:rPr>
          <w:rStyle w:val="libFootnoteBoldChar"/>
          <w:rtl/>
        </w:rPr>
        <w:t>الذكرى</w:t>
      </w:r>
      <w:r w:rsidR="00E3253D" w:rsidRPr="005D642E">
        <w:rPr>
          <w:rtl/>
        </w:rPr>
        <w:t xml:space="preserve"> : وخرّج بعض الأصحاب وجوب تيمّمين على غير الجنب بناءً على وجوب الوضوء هنالك ، ولا بأس به ، والخبران غير مانعين منه ؛ لجواز التسوية في الكيفيّة لا الكمّيّة. وما ذكره أحوط وإن كان الأظهر الاكتفاء بالتيمّم الواحد »</w:t>
      </w:r>
      <w:r w:rsidR="00E3253D">
        <w:rPr>
          <w:rtl/>
        </w:rPr>
        <w:t>.</w:t>
      </w:r>
      <w:r w:rsidR="00E3253D" w:rsidRPr="005D642E">
        <w:rPr>
          <w:rtl/>
        </w:rPr>
        <w:t xml:space="preserve"> والمرادُ من الخبرين ذيلُ الحديث العاشر هنا المنقول في </w:t>
      </w:r>
      <w:r w:rsidR="00E3253D" w:rsidRPr="002F4D34">
        <w:rPr>
          <w:rStyle w:val="libFootnoteBoldChar"/>
          <w:rtl/>
        </w:rPr>
        <w:t>الذكرى</w:t>
      </w:r>
      <w:r w:rsidR="00E3253D" w:rsidRPr="005D642E">
        <w:rPr>
          <w:rtl/>
        </w:rPr>
        <w:t xml:space="preserve"> بسندين. راجع : </w:t>
      </w:r>
      <w:r w:rsidR="00E3253D" w:rsidRPr="002F4D34">
        <w:rPr>
          <w:rStyle w:val="libFootnoteBoldChar"/>
          <w:rtl/>
        </w:rPr>
        <w:t>ذكرى الشيعة</w:t>
      </w:r>
      <w:r w:rsidR="00E3253D" w:rsidRPr="005D642E">
        <w:rPr>
          <w:rtl/>
        </w:rPr>
        <w:t xml:space="preserve"> ، ج 2 ، ص 263.</w:t>
      </w:r>
    </w:p>
    <w:p w:rsidR="00E3253D" w:rsidRPr="005D642E" w:rsidRDefault="0042621E" w:rsidP="00FA2A83">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212 ، ح 616 ، بسنده عن الكليني. </w:t>
      </w:r>
      <w:r w:rsidR="00E3253D" w:rsidRPr="002F4D34">
        <w:rPr>
          <w:rStyle w:val="libFootnoteBoldChar"/>
          <w:rtl/>
        </w:rPr>
        <w:t>الفقيه</w:t>
      </w:r>
      <w:r w:rsidR="00E3253D" w:rsidRPr="005D642E">
        <w:rPr>
          <w:rtl/>
        </w:rPr>
        <w:t xml:space="preserve"> ، ج 1 ، ص 109 ، ذيل ح 225 ، إلى قوله : « عليه أن يتوضّأ ويعيد الصلاة »</w:t>
      </w:r>
      <w:r w:rsidR="00FA2A83">
        <w:rPr>
          <w:rFonts w:hint="cs"/>
          <w:rtl/>
        </w:rPr>
        <w:t>.</w:t>
      </w:r>
      <w:r w:rsidR="00E3253D" w:rsidRPr="002F4D34">
        <w:rPr>
          <w:rStyle w:val="libFootnoteBoldChar"/>
          <w:rtl/>
        </w:rPr>
        <w:t>الوافي</w:t>
      </w:r>
      <w:r w:rsidR="00E3253D" w:rsidRPr="005D642E">
        <w:rPr>
          <w:rtl/>
        </w:rPr>
        <w:t xml:space="preserve"> ، ج 6 ، ص 564 ، ح 4937 ؛ وص 583 ، ح 4986 ؛ </w:t>
      </w:r>
      <w:r w:rsidR="00E3253D" w:rsidRPr="002F4D34">
        <w:rPr>
          <w:rStyle w:val="libFootnoteBoldChar"/>
          <w:rtl/>
        </w:rPr>
        <w:t>الوسائل</w:t>
      </w:r>
      <w:r w:rsidR="00E3253D" w:rsidRPr="005D642E">
        <w:rPr>
          <w:rtl/>
        </w:rPr>
        <w:t xml:space="preserve"> ، ج 3 ، ص 363 ، ح 3876 ، من قوله : « قال : وسألته عن تيمّم الحائض » ؛ وص 367 ، ح 3885.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بس ، جس » :</w:t>
      </w:r>
      <w:r w:rsidR="00E3253D">
        <w:rPr>
          <w:rtl/>
        </w:rPr>
        <w:t xml:space="preserve"> </w:t>
      </w:r>
      <w:r w:rsidR="007642BC">
        <w:rPr>
          <w:rtl/>
        </w:rPr>
        <w:t>-</w:t>
      </w:r>
      <w:r w:rsidR="00E3253D">
        <w:rPr>
          <w:rtl/>
        </w:rPr>
        <w:t xml:space="preserve"> </w:t>
      </w:r>
      <w:r w:rsidR="00E3253D" w:rsidRPr="005D642E">
        <w:rPr>
          <w:rtl/>
        </w:rPr>
        <w:t>« ويخاف العطش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جن » : « ويخاف »</w:t>
      </w:r>
      <w:r w:rsidR="00E3253D">
        <w:rPr>
          <w:rtl/>
        </w:rPr>
        <w:t>.</w:t>
      </w:r>
      <w:r w:rsidR="00E3253D" w:rsidRPr="005D642E">
        <w:rPr>
          <w:rtl/>
        </w:rPr>
        <w:t xml:space="preserve"> وفي التهذيب : « يخاف » من دون الواو.</w:t>
      </w:r>
    </w:p>
    <w:p w:rsidR="00E3253D" w:rsidRPr="005D642E" w:rsidRDefault="0042621E" w:rsidP="00D132FF">
      <w:pPr>
        <w:pStyle w:val="libFootnote0"/>
        <w:rPr>
          <w:rtl/>
          <w:lang w:bidi="fa-IR"/>
        </w:rPr>
      </w:pPr>
      <w:r w:rsidRPr="0042621E">
        <w:rPr>
          <w:rStyle w:val="libFootnote0Char"/>
          <w:rtl/>
        </w:rPr>
        <w:t>(8).</w:t>
      </w:r>
      <w:r w:rsidR="00E3253D" w:rsidRPr="005D642E">
        <w:rPr>
          <w:rtl/>
        </w:rPr>
        <w:t xml:space="preserve"> في « جس » </w:t>
      </w:r>
      <w:r w:rsidR="00B60612" w:rsidRPr="00B60612">
        <w:rPr>
          <w:rStyle w:val="libFootnoteBoldChar"/>
          <w:rtl/>
        </w:rPr>
        <w:t>والتهذيب</w:t>
      </w:r>
      <w:r w:rsidR="00E3253D" w:rsidRPr="005D642E">
        <w:rPr>
          <w:rtl/>
        </w:rPr>
        <w:t xml:space="preserve"> : « فلا يهرق »</w:t>
      </w:r>
      <w:r w:rsidR="00E3253D">
        <w:rPr>
          <w:rtl/>
        </w:rPr>
        <w:t>.</w:t>
      </w:r>
      <w:r w:rsidR="00E3253D" w:rsidRPr="005D642E">
        <w:rPr>
          <w:rtl/>
        </w:rPr>
        <w:t xml:space="preserve"> يقال : هَراقَ الماءَ يُهَرِيقُ</w:t>
      </w:r>
      <w:r w:rsidR="00E3253D">
        <w:rPr>
          <w:rtl/>
        </w:rPr>
        <w:t xml:space="preserve"> </w:t>
      </w:r>
      <w:r w:rsidR="007642BC">
        <w:rPr>
          <w:rtl/>
        </w:rPr>
        <w:t>-</w:t>
      </w:r>
      <w:r w:rsidR="00E3253D">
        <w:rPr>
          <w:rtl/>
        </w:rPr>
        <w:t xml:space="preserve"> </w:t>
      </w:r>
      <w:r w:rsidR="00E3253D" w:rsidRPr="005D642E">
        <w:rPr>
          <w:rtl/>
        </w:rPr>
        <w:t>بفتح الهاء</w:t>
      </w:r>
      <w:r w:rsidR="00E3253D">
        <w:rPr>
          <w:rtl/>
        </w:rPr>
        <w:t xml:space="preserve"> </w:t>
      </w:r>
      <w:r w:rsidR="007642BC">
        <w:rPr>
          <w:rtl/>
        </w:rPr>
        <w:t>-</w:t>
      </w:r>
      <w:r w:rsidR="00E3253D">
        <w:rPr>
          <w:rtl/>
        </w:rPr>
        <w:t xml:space="preserve"> </w:t>
      </w:r>
      <w:r w:rsidR="00E3253D" w:rsidRPr="005D642E">
        <w:rPr>
          <w:rtl/>
        </w:rPr>
        <w:t>هِراقَةً ، أي صبّه. وفيه لغة ا</w:t>
      </w:r>
      <w:r w:rsidR="000113A9">
        <w:rPr>
          <w:rFonts w:hint="cs"/>
          <w:rtl/>
        </w:rPr>
        <w:t>ُ</w:t>
      </w:r>
      <w:r w:rsidR="00E3253D" w:rsidRPr="005D642E">
        <w:rPr>
          <w:rtl/>
        </w:rPr>
        <w:t xml:space="preserve">خرى : أَهْرَق يُهْرِق ، على وزن أَفعل يُفعل فيجمع بين البَدل والمبدل. وفيه لغة ثالثة :أَهْراق </w:t>
      </w:r>
      <w:r w:rsidR="00D132FF">
        <w:rPr>
          <w:rtl/>
        </w:rPr>
        <w:t>يُهْرِيق إِهْراقاً،وهذا شاذّ.</w:t>
      </w:r>
      <w:r w:rsidR="00D132FF">
        <w:rPr>
          <w:rFonts w:hint="cs"/>
          <w:rtl/>
        </w:rPr>
        <w:t xml:space="preserve"> </w:t>
      </w:r>
      <w:r w:rsidR="007638FC">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وَلْيَتَيَمَّمْ بِالصَّعِيدِ ؛ فَإِنَّ </w:t>
      </w:r>
      <w:r w:rsidRPr="007C12DB">
        <w:rPr>
          <w:rStyle w:val="libFootnotenumChar"/>
          <w:rtl/>
        </w:rPr>
        <w:t>(1)</w:t>
      </w:r>
      <w:r w:rsidRPr="005D642E">
        <w:rPr>
          <w:rtl/>
          <w:lang w:bidi="fa-IR"/>
        </w:rPr>
        <w:t xml:space="preserve"> الصَّعِيدَ أَحَبُّ إِلَيَّ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p>
    <w:p w:rsidR="00E3253D" w:rsidRPr="005D642E" w:rsidRDefault="00E3253D" w:rsidP="00E3253D">
      <w:pPr>
        <w:pStyle w:val="libNormal"/>
        <w:rPr>
          <w:rtl/>
          <w:lang w:bidi="fa-IR"/>
        </w:rPr>
      </w:pPr>
      <w:r w:rsidRPr="006F35D4">
        <w:rPr>
          <w:rtl/>
        </w:rPr>
        <w:t>4119</w:t>
      </w:r>
      <w:r w:rsidRPr="00246318">
        <w:rPr>
          <w:rStyle w:val="libBold2Char"/>
          <w:rtl/>
        </w:rPr>
        <w:t xml:space="preserve"> / 2.</w:t>
      </w:r>
      <w:r w:rsidRPr="005D642E">
        <w:rPr>
          <w:rtl/>
          <w:lang w:bidi="fa-IR"/>
        </w:rPr>
        <w:t xml:space="preserve"> الْحُسَيْنُ بْنُ مُحَمَّدٍ ، عَنْ مُعَلَّى بْنِ مُحَمَّدٍ ، عَنِ الْحَسَنِ بْنِ عَلِيٍّ الْوَشَّاءِ ، عَنْ حَمَّادِ بْنِ عُثْمَانَ ، عَنِ ابْنِ أَبِي يَعْفُورٍ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يُجْنِبُ ، وَمَعَهُ مِنَ الْمَاءِ قَدْر</w:t>
      </w:r>
      <w:r>
        <w:rPr>
          <w:rtl/>
          <w:lang w:bidi="fa-IR"/>
        </w:rPr>
        <w:t>ُ مَا يَكْفِيهِ لِشُرْبِهِ : أَ</w:t>
      </w:r>
      <w:r w:rsidRPr="005D642E">
        <w:rPr>
          <w:rtl/>
          <w:lang w:bidi="fa-IR"/>
        </w:rPr>
        <w:t xml:space="preserve">يَتَيَمَّمُ ، أَوْ </w:t>
      </w:r>
      <w:r w:rsidRPr="007C12DB">
        <w:rPr>
          <w:rStyle w:val="libFootnotenumChar"/>
          <w:rtl/>
        </w:rPr>
        <w:t>(4)</w:t>
      </w:r>
      <w:r w:rsidRPr="005D642E">
        <w:rPr>
          <w:rtl/>
          <w:lang w:bidi="fa-IR"/>
        </w:rPr>
        <w:t xml:space="preserve"> يَتَوَضَّأُ</w:t>
      </w:r>
      <w:r>
        <w:rPr>
          <w:rtl/>
          <w:lang w:bidi="fa-IR"/>
        </w:rPr>
        <w:t>؟</w:t>
      </w:r>
    </w:p>
    <w:p w:rsidR="00E3253D" w:rsidRPr="005D642E" w:rsidRDefault="00E3253D" w:rsidP="00E3253D">
      <w:pPr>
        <w:pStyle w:val="libNormal"/>
        <w:rPr>
          <w:rtl/>
          <w:lang w:bidi="fa-IR"/>
        </w:rPr>
      </w:pPr>
      <w:r w:rsidRPr="005D642E">
        <w:rPr>
          <w:rtl/>
          <w:lang w:bidi="fa-IR"/>
        </w:rPr>
        <w:t xml:space="preserve">قَالَ : « يَتَيَمُّمُ </w:t>
      </w:r>
      <w:r w:rsidRPr="007C12DB">
        <w:rPr>
          <w:rStyle w:val="libFootnotenumChar"/>
          <w:rtl/>
        </w:rPr>
        <w:t>(5)</w:t>
      </w:r>
      <w:r>
        <w:rPr>
          <w:rtl/>
          <w:lang w:bidi="fa-IR"/>
        </w:rPr>
        <w:t xml:space="preserve"> أَفْضَلُ ، أَ</w:t>
      </w:r>
      <w:r w:rsidRPr="005D642E">
        <w:rPr>
          <w:rtl/>
          <w:lang w:bidi="fa-IR"/>
        </w:rPr>
        <w:t xml:space="preserve">لَاتَرى </w:t>
      </w:r>
      <w:r w:rsidRPr="007C12DB">
        <w:rPr>
          <w:rStyle w:val="libFootnotenumChar"/>
          <w:rtl/>
        </w:rPr>
        <w:t>(6)</w:t>
      </w:r>
      <w:r w:rsidRPr="005D642E">
        <w:rPr>
          <w:rtl/>
          <w:lang w:bidi="fa-IR"/>
        </w:rPr>
        <w:t xml:space="preserve"> أَنَّهُ إِنَّمَا جُعِلَ عَلَيْهِ نِصْفُ الطَّهُورِ </w:t>
      </w:r>
      <w:r w:rsidRPr="007C12DB">
        <w:rPr>
          <w:rStyle w:val="libFootnotenumChar"/>
          <w:rtl/>
        </w:rPr>
        <w:t>(7)</w:t>
      </w:r>
      <w:r w:rsidRPr="005D642E">
        <w:rPr>
          <w:rtl/>
          <w:lang w:bidi="fa-IR"/>
        </w:rPr>
        <w:t xml:space="preserve"> »</w:t>
      </w:r>
      <w:r>
        <w:rPr>
          <w:rtl/>
          <w:lang w:bidi="fa-IR"/>
        </w:rPr>
        <w:t>.</w:t>
      </w:r>
      <w:r w:rsidRPr="005D642E">
        <w:rPr>
          <w:rtl/>
          <w:lang w:bidi="fa-IR"/>
        </w:rPr>
        <w:t xml:space="preserve"> </w:t>
      </w:r>
      <w:r w:rsidRPr="007C12DB">
        <w:rPr>
          <w:rStyle w:val="libFootnotenumChar"/>
          <w:rtl/>
        </w:rPr>
        <w:t>(8)</w:t>
      </w:r>
    </w:p>
    <w:p w:rsidR="00E3253D" w:rsidRPr="005D642E" w:rsidRDefault="00E3253D" w:rsidP="00E3253D">
      <w:pPr>
        <w:pStyle w:val="libNormal"/>
        <w:rPr>
          <w:rtl/>
          <w:lang w:bidi="fa-IR"/>
        </w:rPr>
      </w:pPr>
      <w:r w:rsidRPr="006F35D4">
        <w:rPr>
          <w:rtl/>
        </w:rPr>
        <w:t>4120</w:t>
      </w:r>
      <w:r w:rsidRPr="00246318">
        <w:rPr>
          <w:rStyle w:val="libBold2Char"/>
          <w:rtl/>
        </w:rPr>
        <w:t xml:space="preserve"> / 3.</w:t>
      </w:r>
      <w:r w:rsidRPr="005D642E">
        <w:rPr>
          <w:rtl/>
          <w:lang w:bidi="fa-IR"/>
        </w:rPr>
        <w:t xml:space="preserve"> عَلِيُّ بْنُ إِبْرَاهِيمَ ، عَنْ أَبِيهِ ، عَنِ ابْنِ أَبِي عُمَيْرٍ ، عَنْ مُحَمَّدِ بْنِ حُمْرَانَ وَجَمِيلٍ ، قَالَا :</w:t>
      </w:r>
    </w:p>
    <w:p w:rsidR="00E3253D" w:rsidRPr="005D642E" w:rsidRDefault="00E3253D" w:rsidP="00E3253D">
      <w:pPr>
        <w:pStyle w:val="libNormal"/>
        <w:rPr>
          <w:rtl/>
          <w:lang w:bidi="fa-IR"/>
        </w:rPr>
      </w:pPr>
      <w:r w:rsidRPr="005D642E">
        <w:rPr>
          <w:rtl/>
          <w:lang w:bidi="fa-IR"/>
        </w:rPr>
        <w:t xml:space="preserve">قُلْنَا لِأَبِي عَبْدِ اللهِ </w:t>
      </w:r>
      <w:r w:rsidRPr="00AC51C5">
        <w:rPr>
          <w:rStyle w:val="libAlaemChar"/>
          <w:rtl/>
        </w:rPr>
        <w:t>عليه‌السلام</w:t>
      </w:r>
      <w:r w:rsidRPr="005D642E">
        <w:rPr>
          <w:rtl/>
          <w:lang w:bidi="fa-IR"/>
        </w:rPr>
        <w:t xml:space="preserve"> : إِمَامُ قَوْمٍ أَصَابَتْهُ جَنَابَةٌ فِي السَّفَرِ ، وَلَيْسَ مَعَهُ </w:t>
      </w:r>
      <w:r>
        <w:rPr>
          <w:rtl/>
          <w:lang w:bidi="fa-IR"/>
        </w:rPr>
        <w:t>مَاءٌ يَكْفِيهِ لِلْغُسْلِ : أَ</w:t>
      </w:r>
      <w:r w:rsidRPr="005D642E">
        <w:rPr>
          <w:rtl/>
          <w:lang w:bidi="fa-IR"/>
        </w:rPr>
        <w:t xml:space="preserve">يَتَوَضَّأُ بَعْضُهُمْ </w:t>
      </w:r>
      <w:r w:rsidRPr="007C12DB">
        <w:rPr>
          <w:rStyle w:val="libFootnotenumChar"/>
          <w:rtl/>
        </w:rPr>
        <w:t>(9)</w:t>
      </w:r>
      <w:r w:rsidRPr="005D642E">
        <w:rPr>
          <w:rtl/>
          <w:lang w:bidi="fa-IR"/>
        </w:rPr>
        <w:t xml:space="preserve"> وَيُصَلِّي بِهِمْ</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9126E7" w:rsidP="00E3253D">
      <w:pPr>
        <w:pStyle w:val="libFootnote0"/>
        <w:rPr>
          <w:rtl/>
          <w:lang w:bidi="fa-IR"/>
        </w:rPr>
      </w:pPr>
      <w:r>
        <w:rPr>
          <w:rFonts w:hint="cs"/>
          <w:rtl/>
        </w:rPr>
        <w:t xml:space="preserve">= </w:t>
      </w:r>
      <w:r>
        <w:rPr>
          <w:rtl/>
        </w:rPr>
        <w:t>وقال العل</w:t>
      </w:r>
      <w:r>
        <w:rPr>
          <w:rFonts w:hint="cs"/>
          <w:rtl/>
        </w:rPr>
        <w:t>ّ</w:t>
      </w:r>
      <w:r>
        <w:rPr>
          <w:rtl/>
        </w:rPr>
        <w:t>ا</w:t>
      </w:r>
      <w:r w:rsidR="00E3253D" w:rsidRPr="005D642E">
        <w:rPr>
          <w:rtl/>
        </w:rPr>
        <w:t>مة الفيض : « فلا يهريق قطرة ؛ يعني على جسده للاغتسال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4 ، ص 1569 ؛ </w:t>
      </w:r>
      <w:r w:rsidR="00E3253D" w:rsidRPr="002F4D34">
        <w:rPr>
          <w:rStyle w:val="libFootnoteBoldChar"/>
          <w:rtl/>
        </w:rPr>
        <w:t>النهاية</w:t>
      </w:r>
      <w:r w:rsidR="00E3253D" w:rsidRPr="005D642E">
        <w:rPr>
          <w:rtl/>
        </w:rPr>
        <w:t xml:space="preserve"> ، ج 5 ، ص 260 ( هرق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إنّ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 « إلى الله »</w:t>
      </w:r>
      <w:r w:rsidR="00E3253D">
        <w:rPr>
          <w:rtl/>
        </w:rPr>
        <w:t>.</w:t>
      </w:r>
      <w:r w:rsidR="00E3253D" w:rsidRPr="005D642E">
        <w:rPr>
          <w:rtl/>
        </w:rPr>
        <w:t xml:space="preserve"> وقوله </w:t>
      </w:r>
      <w:r w:rsidR="00E3253D" w:rsidRPr="009126E7">
        <w:rPr>
          <w:rStyle w:val="libFootnoteAlaemChar"/>
          <w:rtl/>
        </w:rPr>
        <w:t>عليه‌السلام</w:t>
      </w:r>
      <w:r w:rsidR="00E3253D" w:rsidRPr="005D642E">
        <w:rPr>
          <w:rtl/>
        </w:rPr>
        <w:t xml:space="preserve"> : « أحبّ إليّ » يشعر بجواز الغسل أيضاً حينئذٍ ؛ يعني الصعيد أحبّ إليّ من الغسل بذلك الماء مع خوف العطش وإن جاز ذلك أيضاً ، ولكنّ المشهور عدم الجواز. راجع : </w:t>
      </w:r>
      <w:r w:rsidR="00E3253D" w:rsidRPr="002F4D34">
        <w:rPr>
          <w:rStyle w:val="libFootnoteBoldChar"/>
          <w:rtl/>
        </w:rPr>
        <w:t>الوافي</w:t>
      </w:r>
      <w:r w:rsidR="00E3253D" w:rsidRPr="005D642E">
        <w:rPr>
          <w:rtl/>
        </w:rPr>
        <w:t xml:space="preserve"> ، ج 6 ، ص 544 ؛ </w:t>
      </w:r>
      <w:r w:rsidR="00E3253D" w:rsidRPr="002F4D34">
        <w:rPr>
          <w:rStyle w:val="libFootnoteBoldChar"/>
          <w:rtl/>
        </w:rPr>
        <w:t>مرآة العقول</w:t>
      </w:r>
      <w:r w:rsidR="00E3253D" w:rsidRPr="005D642E">
        <w:rPr>
          <w:rtl/>
        </w:rPr>
        <w:t xml:space="preserve"> ، ج 13 ، ص 181.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404 ، ح 1267 ، بسنده عن ابن سنان </w:t>
      </w:r>
      <w:r w:rsidR="009126E7">
        <w:rPr>
          <w:rFonts w:hint="cs"/>
          <w:rtl/>
        </w:rPr>
        <w:t>.</w:t>
      </w:r>
      <w:r w:rsidR="00E3253D" w:rsidRPr="002F4D34">
        <w:rPr>
          <w:rStyle w:val="libFootnoteBoldChar"/>
          <w:rtl/>
        </w:rPr>
        <w:t>الوافي</w:t>
      </w:r>
      <w:r w:rsidR="00E3253D" w:rsidRPr="005D642E">
        <w:rPr>
          <w:rtl/>
        </w:rPr>
        <w:t xml:space="preserve"> ، ج 6 ، ص 544 ، ح 4885 ؛ </w:t>
      </w:r>
      <w:r w:rsidR="00E3253D" w:rsidRPr="002F4D34">
        <w:rPr>
          <w:rStyle w:val="libFootnoteBoldChar"/>
          <w:rtl/>
        </w:rPr>
        <w:t>الوسائل</w:t>
      </w:r>
      <w:r w:rsidR="00E3253D" w:rsidRPr="005D642E">
        <w:rPr>
          <w:rtl/>
        </w:rPr>
        <w:t xml:space="preserve"> ، ج 3 ، ص 388 ، ذيل ح 3944.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 + « أ » للاستفهام.</w:t>
      </w:r>
    </w:p>
    <w:p w:rsidR="00E3253D" w:rsidRPr="005D642E" w:rsidRDefault="0042621E" w:rsidP="009126E7">
      <w:pPr>
        <w:pStyle w:val="libFootnote0"/>
        <w:rPr>
          <w:rtl/>
          <w:lang w:bidi="fa-IR"/>
        </w:rPr>
      </w:pPr>
      <w:r w:rsidRPr="0042621E">
        <w:rPr>
          <w:rStyle w:val="libFootnote0Char"/>
          <w:rtl/>
        </w:rPr>
        <w:t>(5).</w:t>
      </w:r>
      <w:r w:rsidR="00E3253D" w:rsidRPr="005D642E">
        <w:rPr>
          <w:rtl/>
        </w:rPr>
        <w:t xml:space="preserve"> هكذا في « ظ ، غ ، بث ، بخ ، بس ، جس ، جن » </w:t>
      </w:r>
      <w:r w:rsidR="000D749A" w:rsidRPr="000D749A">
        <w:rPr>
          <w:rStyle w:val="libFootnoteBoldChar"/>
          <w:rtl/>
        </w:rPr>
        <w:t>والوافي</w:t>
      </w:r>
      <w:r w:rsidR="00E3253D" w:rsidRPr="005D642E">
        <w:rPr>
          <w:rtl/>
        </w:rPr>
        <w:t xml:space="preserve"> والوسائل. وفي المطبوع : « التيمّم »</w:t>
      </w:r>
      <w:r w:rsidR="00E3253D">
        <w:rPr>
          <w:rtl/>
        </w:rPr>
        <w:t>.</w:t>
      </w:r>
      <w:r w:rsidR="00E3253D" w:rsidRPr="005D642E">
        <w:rPr>
          <w:rtl/>
        </w:rPr>
        <w:t xml:space="preserve"> وفي « بح ، بف » : « تيمّم »</w:t>
      </w:r>
      <w:r w:rsidR="00E3253D">
        <w:rPr>
          <w:rtl/>
        </w:rPr>
        <w:t>.</w:t>
      </w:r>
      <w:r w:rsidR="009126E7">
        <w:rPr>
          <w:rFonts w:hint="cs"/>
          <w:rtl/>
        </w:rPr>
        <w:t xml:space="preserve">                                           </w:t>
      </w:r>
      <w:r w:rsidRPr="0042621E">
        <w:rPr>
          <w:rStyle w:val="libFootnote0Char"/>
          <w:rtl/>
        </w:rPr>
        <w:t>(6).</w:t>
      </w:r>
      <w:r w:rsidR="00E3253D" w:rsidRPr="005D642E">
        <w:rPr>
          <w:rtl/>
        </w:rPr>
        <w:t xml:space="preserve"> في « بخ » : « ألا يرى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9126E7">
        <w:rPr>
          <w:rStyle w:val="libFootnoteAlaemChar"/>
          <w:rtl/>
        </w:rPr>
        <w:t>عليه‌السلام</w:t>
      </w:r>
      <w:r w:rsidR="00E3253D" w:rsidRPr="005D642E">
        <w:rPr>
          <w:rtl/>
        </w:rPr>
        <w:t xml:space="preserve"> : نصف الطهور ، أي جعل عليه مسح نصف أعضاء الوضوء تخفيفاً ، والأمر بالوضوء مع احتياجه إلى الماء ينافي التخفيف »</w:t>
      </w:r>
      <w:r w:rsidR="00E3253D">
        <w:rPr>
          <w:rtl/>
        </w:rPr>
        <w:t>.</w:t>
      </w:r>
    </w:p>
    <w:p w:rsidR="00E3253D" w:rsidRPr="005D642E" w:rsidRDefault="0042621E" w:rsidP="00641E38">
      <w:pPr>
        <w:pStyle w:val="libFootnote0"/>
        <w:rPr>
          <w:rtl/>
          <w:lang w:bidi="fa-IR"/>
        </w:rPr>
      </w:pPr>
      <w:r w:rsidRPr="0042621E">
        <w:rPr>
          <w:rStyle w:val="libFootnote0Char"/>
          <w:rtl/>
        </w:rPr>
        <w:t>(8).</w:t>
      </w:r>
      <w:r w:rsidR="00E3253D" w:rsidRPr="005D642E">
        <w:rPr>
          <w:rtl/>
        </w:rPr>
        <w:t xml:space="preserve"> راجع : </w:t>
      </w:r>
      <w:r w:rsidR="00E3253D" w:rsidRPr="002F4D34">
        <w:rPr>
          <w:rStyle w:val="libFootnoteBoldChar"/>
          <w:rtl/>
        </w:rPr>
        <w:t>التهذيب</w:t>
      </w:r>
      <w:r w:rsidR="00E3253D" w:rsidRPr="005D642E">
        <w:rPr>
          <w:rtl/>
        </w:rPr>
        <w:t xml:space="preserve"> ، ج 1 ، ص 404 ، ح 1266 </w:t>
      </w:r>
      <w:r w:rsidR="009126E7">
        <w:rPr>
          <w:rFonts w:hint="cs"/>
          <w:rtl/>
        </w:rPr>
        <w:t>.</w:t>
      </w:r>
      <w:r w:rsidR="00E3253D" w:rsidRPr="002F4D34">
        <w:rPr>
          <w:rStyle w:val="libFootnoteBoldChar"/>
          <w:rtl/>
        </w:rPr>
        <w:t>الوافي</w:t>
      </w:r>
      <w:r w:rsidR="00E3253D" w:rsidRPr="005D642E">
        <w:rPr>
          <w:rtl/>
        </w:rPr>
        <w:t xml:space="preserve"> ، ج 6 ، ص 544 ، ح 4868 ؛ </w:t>
      </w:r>
      <w:r w:rsidR="00E3253D" w:rsidRPr="002F4D34">
        <w:rPr>
          <w:rStyle w:val="libFootnoteBoldChar"/>
          <w:rtl/>
        </w:rPr>
        <w:t>الوسائل</w:t>
      </w:r>
      <w:r w:rsidR="00E3253D" w:rsidRPr="005D642E">
        <w:rPr>
          <w:rtl/>
        </w:rPr>
        <w:t xml:space="preserve"> ، ج 3 ، ص 389 ، ح 3947.</w:t>
      </w:r>
      <w:r w:rsidR="00641E38">
        <w:rPr>
          <w:rFonts w:hint="cs"/>
          <w:rtl/>
        </w:rPr>
        <w:t xml:space="preserve">                                       </w:t>
      </w:r>
      <w:r w:rsidRPr="0042621E">
        <w:rPr>
          <w:rStyle w:val="libFootnote0Char"/>
          <w:rtl/>
        </w:rPr>
        <w:t>(9).</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بعضهم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لَا ، وَلكِنْ يَتَيَمَّمُ </w:t>
      </w:r>
      <w:r w:rsidRPr="007C12DB">
        <w:rPr>
          <w:rStyle w:val="libFootnotenumChar"/>
          <w:rtl/>
        </w:rPr>
        <w:t>(1)</w:t>
      </w:r>
      <w:r w:rsidRPr="005D642E">
        <w:rPr>
          <w:rtl/>
          <w:lang w:bidi="fa-IR"/>
        </w:rPr>
        <w:t xml:space="preserve"> وَيُصَلِّي بِهِمْ </w:t>
      </w:r>
      <w:r w:rsidRPr="007C12DB">
        <w:rPr>
          <w:rStyle w:val="libFootnotenumChar"/>
          <w:rtl/>
        </w:rPr>
        <w:t>(2)</w:t>
      </w:r>
      <w:r w:rsidRPr="005D642E">
        <w:rPr>
          <w:rtl/>
          <w:lang w:bidi="fa-IR"/>
        </w:rPr>
        <w:t xml:space="preserve"> ؛ فَإِنَّ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00826FF3">
        <w:rPr>
          <w:rtl/>
          <w:lang w:bidi="fa-IR"/>
        </w:rPr>
        <w:t>قَدْ جَعَلَ التُّرَابَ طَهُوراً</w:t>
      </w:r>
      <w:r w:rsidRPr="005D642E">
        <w:rPr>
          <w:rtl/>
          <w:lang w:bidi="fa-IR"/>
        </w:rPr>
        <w:t>»</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F66DAF">
        <w:rPr>
          <w:rtl/>
        </w:rPr>
        <w:t>4121</w:t>
      </w:r>
      <w:r w:rsidRPr="00246318">
        <w:rPr>
          <w:rStyle w:val="libBold2Char"/>
          <w:rtl/>
        </w:rPr>
        <w:t xml:space="preserve"> / 4.</w:t>
      </w:r>
      <w:r w:rsidRPr="005D642E">
        <w:rPr>
          <w:rtl/>
          <w:lang w:bidi="fa-IR"/>
        </w:rPr>
        <w:t xml:space="preserve"> عَلِيُّ بْنُ إِبْرَاهِيمَ ، عَنْ أَبِيهِ ، عَنْ عَبْدِ اللهِ بْنِ الْمُغِيرَةِ ، قَالَ :</w:t>
      </w:r>
    </w:p>
    <w:p w:rsidR="00E3253D" w:rsidRPr="005D642E" w:rsidRDefault="00E3253D" w:rsidP="00E3253D">
      <w:pPr>
        <w:pStyle w:val="libNormal"/>
        <w:rPr>
          <w:rtl/>
          <w:lang w:bidi="fa-IR"/>
        </w:rPr>
      </w:pPr>
      <w:r w:rsidRPr="005D642E">
        <w:rPr>
          <w:rtl/>
          <w:lang w:bidi="fa-IR"/>
        </w:rPr>
        <w:t xml:space="preserve">إِنْ كَانَتِ الْأَرْضُ مُبْتَلَّةً </w:t>
      </w:r>
      <w:r w:rsidRPr="007C12DB">
        <w:rPr>
          <w:rStyle w:val="libFootnotenumChar"/>
          <w:rtl/>
        </w:rPr>
        <w:t>(4)</w:t>
      </w:r>
      <w:r w:rsidRPr="005D642E">
        <w:rPr>
          <w:rtl/>
          <w:lang w:bidi="fa-IR"/>
        </w:rPr>
        <w:t xml:space="preserve"> ، وَلَيْسَ </w:t>
      </w:r>
      <w:r w:rsidRPr="007C12DB">
        <w:rPr>
          <w:rStyle w:val="libFootnotenumChar"/>
          <w:rtl/>
        </w:rPr>
        <w:t>(5)</w:t>
      </w:r>
      <w:r w:rsidRPr="005D642E">
        <w:rPr>
          <w:rtl/>
          <w:lang w:bidi="fa-IR"/>
        </w:rPr>
        <w:t xml:space="preserve"> فِيهَا تُرَابٌ وَلَامَاءٌ ، فَانْظُرْ أَجَفَّ مَوْضِعٍ تَجِدُهُ ، فَتَيَمَّمْ مِنْ غُبَارِهِ ، أَوْ شَيْ‌ءٍ مُغْبَرٍّ ؛ وَإِنْ كَانَ فِي حَالٍ لَايَجِدُ </w:t>
      </w:r>
      <w:r w:rsidRPr="007C12DB">
        <w:rPr>
          <w:rStyle w:val="libFootnotenumChar"/>
          <w:rtl/>
        </w:rPr>
        <w:t>(6)</w:t>
      </w:r>
      <w:r w:rsidR="005C0958">
        <w:rPr>
          <w:rtl/>
          <w:lang w:bidi="fa-IR"/>
        </w:rPr>
        <w:t xml:space="preserve"> إِل</w:t>
      </w:r>
      <w:r w:rsidR="0066761B">
        <w:rPr>
          <w:rFonts w:hint="cs"/>
          <w:rtl/>
          <w:lang w:bidi="fa-IR"/>
        </w:rPr>
        <w:t>َّ</w:t>
      </w:r>
      <w:r w:rsidR="005C0958">
        <w:rPr>
          <w:rtl/>
          <w:lang w:bidi="fa-IR"/>
        </w:rPr>
        <w:t>ا</w:t>
      </w:r>
      <w:r w:rsidRPr="005D642E">
        <w:rPr>
          <w:rtl/>
          <w:lang w:bidi="fa-IR"/>
        </w:rPr>
        <w:t xml:space="preserve"> الطِّينَ ، فَلَا بَأْسَ أَنْ يَتَيَمَّمَ </w:t>
      </w:r>
      <w:r w:rsidRPr="007C12DB">
        <w:rPr>
          <w:rStyle w:val="libFootnotenumChar"/>
          <w:rtl/>
        </w:rPr>
        <w:t>(7)</w:t>
      </w:r>
      <w:r w:rsidRPr="005D642E">
        <w:rPr>
          <w:rtl/>
          <w:lang w:bidi="fa-IR"/>
        </w:rPr>
        <w:t xml:space="preserve"> بِهِ.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الوافي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ص 167 </w:t>
      </w:r>
      <w:r w:rsidR="00E3253D" w:rsidRPr="00E678B5">
        <w:rPr>
          <w:rStyle w:val="libFootnoteBoldChar"/>
          <w:rtl/>
        </w:rPr>
        <w:t>والاستبصار</w:t>
      </w:r>
      <w:r w:rsidR="00E3253D" w:rsidRPr="005D642E">
        <w:rPr>
          <w:rtl/>
        </w:rPr>
        <w:t xml:space="preserve"> : + « الجنب ( الإمام. خ ل )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ج 13 ، ص 182 : « والمشهور بين الأصحاب كراهة إمامة المتيمّم بالمتوضّئين ، بل قال في </w:t>
      </w:r>
      <w:r w:rsidR="00E3253D" w:rsidRPr="002F4D34">
        <w:rPr>
          <w:rStyle w:val="libFootnoteBoldChar"/>
          <w:rtl/>
        </w:rPr>
        <w:t>المنتهى</w:t>
      </w:r>
      <w:r w:rsidR="00E85138">
        <w:rPr>
          <w:rtl/>
        </w:rPr>
        <w:t xml:space="preserve"> : إنّه لا يعرف فيه خلافاً إل</w:t>
      </w:r>
      <w:r w:rsidR="00E85138">
        <w:rPr>
          <w:rFonts w:hint="cs"/>
          <w:rtl/>
        </w:rPr>
        <w:t>ّ</w:t>
      </w:r>
      <w:r w:rsidR="00E85138">
        <w:rPr>
          <w:rtl/>
        </w:rPr>
        <w:t>ا</w:t>
      </w:r>
      <w:r w:rsidR="00E85138">
        <w:rPr>
          <w:rFonts w:hint="cs"/>
          <w:rtl/>
        </w:rPr>
        <w:t xml:space="preserve"> </w:t>
      </w:r>
      <w:r w:rsidR="00E3253D" w:rsidRPr="005D642E">
        <w:rPr>
          <w:rtl/>
        </w:rPr>
        <w:t>ما حكي عن محمّد بن الحسن الشيباني من المنع من ذلك. ولولا ما يتخيّل من انعقاد الإجماع على هذا الحكم لأمكن القول بجواز الإمامة على هذا الوجه من غير كراهة »</w:t>
      </w:r>
      <w:r w:rsidR="00E3253D">
        <w:rPr>
          <w:rtl/>
        </w:rPr>
        <w:t>.</w:t>
      </w:r>
      <w:r w:rsidR="00E85138">
        <w:rPr>
          <w:rtl/>
        </w:rPr>
        <w:t xml:space="preserve"> وقال العل</w:t>
      </w:r>
      <w:r w:rsidR="00E85138">
        <w:rPr>
          <w:rFonts w:hint="cs"/>
          <w:rtl/>
        </w:rPr>
        <w:t>ّ</w:t>
      </w:r>
      <w:r w:rsidR="00E85138">
        <w:rPr>
          <w:rtl/>
        </w:rPr>
        <w:t>ا</w:t>
      </w:r>
      <w:r w:rsidR="00E3253D" w:rsidRPr="005D642E">
        <w:rPr>
          <w:rtl/>
        </w:rPr>
        <w:t xml:space="preserve">مة في </w:t>
      </w:r>
      <w:r w:rsidR="00E3253D" w:rsidRPr="002F4D34">
        <w:rPr>
          <w:rStyle w:val="libFootnoteBoldChar"/>
          <w:rtl/>
        </w:rPr>
        <w:t>منتهى المطلب</w:t>
      </w:r>
      <w:r w:rsidR="00E3253D" w:rsidRPr="005D642E">
        <w:rPr>
          <w:rtl/>
        </w:rPr>
        <w:t xml:space="preserve"> ، ج 3 ، ص 152 : « قال علماؤنا : يكره أن يؤمّ المتيمّم المتوضّئين. وقال الجمهور : إنّه جايز غير مكروه. وقال محمّد بن الحسن : لا يجوز. ونقله ابن إدريس عن بعض أصحابنا »</w:t>
      </w:r>
      <w:r w:rsidR="00E3253D">
        <w:rPr>
          <w:rtl/>
        </w:rPr>
        <w:t>.</w:t>
      </w:r>
    </w:p>
    <w:p w:rsidR="00E3253D" w:rsidRPr="005D642E" w:rsidRDefault="0042621E" w:rsidP="00E85138">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404 ، ح 1264 ؛ وج 3 ، ص 167 ، ح 365 ، بسند آخر عن ابن أبي عمير. </w:t>
      </w:r>
      <w:r w:rsidR="00E3253D" w:rsidRPr="002F4D34">
        <w:rPr>
          <w:rStyle w:val="libFootnoteBoldChar"/>
          <w:rtl/>
        </w:rPr>
        <w:t>الاستبصار</w:t>
      </w:r>
      <w:r w:rsidR="00E3253D" w:rsidRPr="005D642E">
        <w:rPr>
          <w:rtl/>
        </w:rPr>
        <w:t xml:space="preserve"> ، ج 1 ، ص 425 ، ح 1638 ، بسنده عن ابن أبي عمير ، عن حمزة بن حمران وجميل بن درّاج. </w:t>
      </w:r>
      <w:r w:rsidR="00E3253D" w:rsidRPr="002F4D34">
        <w:rPr>
          <w:rStyle w:val="libFootnoteBoldChar"/>
          <w:rtl/>
        </w:rPr>
        <w:t>الفقيه</w:t>
      </w:r>
      <w:r w:rsidR="00E3253D" w:rsidRPr="005D642E">
        <w:rPr>
          <w:rtl/>
        </w:rPr>
        <w:t xml:space="preserve"> ، ج 1 ، ص 109 ، ح 224 ، معلّقاً عن محمّد بن حمران النهدي وجميل بن درّاج ، وفي كلّ المصادر مع اختلاف يسير</w:t>
      </w:r>
      <w:r w:rsidR="00E85138">
        <w:rPr>
          <w:rFonts w:hint="cs"/>
          <w:rtl/>
        </w:rPr>
        <w:t>.</w:t>
      </w:r>
      <w:r w:rsidR="00E3253D" w:rsidRPr="002F4D34">
        <w:rPr>
          <w:rStyle w:val="libFootnoteBoldChar"/>
          <w:rtl/>
        </w:rPr>
        <w:t>الوافي</w:t>
      </w:r>
      <w:r w:rsidR="00E3253D" w:rsidRPr="005D642E">
        <w:rPr>
          <w:rtl/>
        </w:rPr>
        <w:t xml:space="preserve"> ، ج 6 ، ص 543 ، ح 4883 ؛ </w:t>
      </w:r>
      <w:r w:rsidR="00E3253D" w:rsidRPr="002F4D34">
        <w:rPr>
          <w:rStyle w:val="libFootnoteBoldChar"/>
          <w:rtl/>
        </w:rPr>
        <w:t>الوسائل</w:t>
      </w:r>
      <w:r w:rsidR="00E3253D" w:rsidRPr="005D642E">
        <w:rPr>
          <w:rtl/>
        </w:rPr>
        <w:t xml:space="preserve"> ، ج 3 ، ص 387 ، ذيل ح 3941 ؛ وج 8 ، ص 327 ، ذيل ح 10803.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 « مسيلة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بث ، جس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ليس » من دون الواو.</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 بث ، بس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سائر النسخ والمطبوع : « لاتجد »</w:t>
      </w:r>
      <w:r w:rsidR="00E3253D">
        <w:rPr>
          <w:rtl/>
        </w:rPr>
        <w:t>.</w:t>
      </w:r>
      <w:r w:rsidR="00E3253D" w:rsidRPr="005D642E">
        <w:rPr>
          <w:rtl/>
        </w:rPr>
        <w:t xml:space="preserve"> وفي « ظ » : « لانجد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 ظ ، ى ، بث ، بح ، بخ ، بس ، جس » </w:t>
      </w:r>
      <w:r w:rsidR="000D749A" w:rsidRPr="000D749A">
        <w:rPr>
          <w:rStyle w:val="libFootnoteBoldChar"/>
          <w:rtl/>
        </w:rPr>
        <w:t>والوافي</w:t>
      </w:r>
      <w:r w:rsidR="00E3253D" w:rsidRPr="005D642E">
        <w:rPr>
          <w:rtl/>
        </w:rPr>
        <w:t>. وفي المطبوع : « أن تتيمّم »</w:t>
      </w:r>
      <w:r w:rsidR="00E3253D">
        <w:rPr>
          <w:rtl/>
        </w:rPr>
        <w:t>.</w:t>
      </w:r>
      <w:r w:rsidR="00E3253D" w:rsidRPr="005D642E">
        <w:rPr>
          <w:rtl/>
        </w:rPr>
        <w:t xml:space="preserve"> وفي « غ ، جن » </w:t>
      </w:r>
      <w:r w:rsidR="00E3253D" w:rsidRPr="00E678B5">
        <w:rPr>
          <w:rStyle w:val="libFootnoteBoldChar"/>
          <w:rtl/>
        </w:rPr>
        <w:t>والاستبصار</w:t>
      </w:r>
      <w:r w:rsidR="00E3253D" w:rsidRPr="005D642E">
        <w:rPr>
          <w:rtl/>
        </w:rPr>
        <w:t xml:space="preserve"> ، ح 538 : « أن تيمّم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189 ح 546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156 ، ح 539 ، بسندهما عن عبدالله بن المغيرة ، عن رفاعة ، عن أبي عبدالله </w:t>
      </w:r>
      <w:r w:rsidR="00E3253D" w:rsidRPr="00896C75">
        <w:rPr>
          <w:rStyle w:val="libFootnoteAlaemChar"/>
          <w:rtl/>
        </w:rPr>
        <w:t>عليه‌السلام</w:t>
      </w:r>
      <w:r w:rsidR="00E3253D" w:rsidRPr="005D642E">
        <w:rPr>
          <w:rtl/>
        </w:rPr>
        <w:t xml:space="preserve">. وفي </w:t>
      </w:r>
      <w:r w:rsidR="00E3253D" w:rsidRPr="002F4D34">
        <w:rPr>
          <w:rStyle w:val="libFootnoteBoldChar"/>
          <w:rtl/>
        </w:rPr>
        <w:t>التهذيب</w:t>
      </w:r>
      <w:r w:rsidR="00E3253D" w:rsidRPr="005D642E">
        <w:rPr>
          <w:rtl/>
        </w:rPr>
        <w:t xml:space="preserve"> ، ج 1 ، ص 189 ، ح 545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156 ، ح 538 ، بسند آخر عن عبدالله بن المغيرة ، عن ابن بكير ، عن زرارة ، عن أبي جعفر </w:t>
      </w:r>
      <w:r w:rsidR="00E3253D" w:rsidRPr="00896C75">
        <w:rPr>
          <w:rStyle w:val="libFootnoteAlaemChar"/>
          <w:rtl/>
        </w:rPr>
        <w:t>عليه‌السلام</w:t>
      </w:r>
      <w:r w:rsidR="00E3253D" w:rsidRPr="005D642E">
        <w:rPr>
          <w:rtl/>
        </w:rPr>
        <w:t xml:space="preserve"> ، من قوله : « وإن كان في حال لايجد » </w:t>
      </w:r>
      <w:r w:rsidR="00896C75">
        <w:rPr>
          <w:rFonts w:hint="cs"/>
          <w:rtl/>
        </w:rPr>
        <w:t>.</w:t>
      </w:r>
      <w:r w:rsidR="00E3253D" w:rsidRPr="002F4D34">
        <w:rPr>
          <w:rStyle w:val="libFootnoteBoldChar"/>
          <w:rtl/>
        </w:rPr>
        <w:t>الوافي</w:t>
      </w:r>
      <w:r w:rsidR="00E3253D" w:rsidRPr="005D642E">
        <w:rPr>
          <w:rtl/>
        </w:rPr>
        <w:t xml:space="preserve"> ، ج 6 ، ص 576 ، ح 4971 ؛ </w:t>
      </w:r>
      <w:r w:rsidR="00E3253D" w:rsidRPr="002F4D34">
        <w:rPr>
          <w:rStyle w:val="libFootnoteBoldChar"/>
          <w:rtl/>
        </w:rPr>
        <w:t>الوسائل</w:t>
      </w:r>
      <w:r w:rsidR="00E3253D" w:rsidRPr="005D642E">
        <w:rPr>
          <w:rtl/>
        </w:rPr>
        <w:t xml:space="preserve"> ، ج 3 ، ص 356 ، ح 3855.</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156" w:name="_Toc344647262"/>
      <w:bookmarkStart w:id="157" w:name="_Toc462226777"/>
      <w:bookmarkStart w:id="158" w:name="_Toc40975885"/>
      <w:r w:rsidRPr="005D642E">
        <w:rPr>
          <w:rtl/>
          <w:lang w:bidi="fa-IR"/>
        </w:rPr>
        <w:lastRenderedPageBreak/>
        <w:t>43</w:t>
      </w:r>
      <w:r>
        <w:rPr>
          <w:rtl/>
          <w:lang w:bidi="fa-IR"/>
        </w:rPr>
        <w:t xml:space="preserve"> </w:t>
      </w:r>
      <w:r w:rsidR="007642BC">
        <w:rPr>
          <w:rtl/>
          <w:lang w:bidi="fa-IR"/>
        </w:rPr>
        <w:t>-</w:t>
      </w:r>
      <w:r>
        <w:rPr>
          <w:rtl/>
          <w:lang w:bidi="fa-IR"/>
        </w:rPr>
        <w:t xml:space="preserve"> </w:t>
      </w:r>
      <w:r w:rsidRPr="005D642E">
        <w:rPr>
          <w:rtl/>
          <w:lang w:bidi="fa-IR"/>
        </w:rPr>
        <w:t xml:space="preserve">بَابُ الرَّجُلِ يُصِيبُهُ </w:t>
      </w:r>
      <w:r w:rsidRPr="007C12DB">
        <w:rPr>
          <w:rStyle w:val="libFootnotenumChar"/>
          <w:rtl/>
        </w:rPr>
        <w:t>(1)</w:t>
      </w:r>
      <w:r>
        <w:rPr>
          <w:rtl/>
        </w:rPr>
        <w:t xml:space="preserve"> </w:t>
      </w:r>
      <w:r w:rsidRPr="005D642E">
        <w:rPr>
          <w:rtl/>
          <w:lang w:bidi="fa-IR"/>
        </w:rPr>
        <w:t xml:space="preserve">الْجَنَابَةُ ، فَلَا يَجِدُ </w:t>
      </w:r>
      <w:r w:rsidRPr="007C12DB">
        <w:rPr>
          <w:rStyle w:val="libFootnotenumChar"/>
          <w:rtl/>
        </w:rPr>
        <w:t>(2)</w:t>
      </w:r>
      <w:r>
        <w:rPr>
          <w:rtl/>
          <w:lang w:bidi="fa-IR"/>
        </w:rPr>
        <w:t xml:space="preserve"> </w:t>
      </w:r>
      <w:r w:rsidR="00D66449">
        <w:rPr>
          <w:rtl/>
          <w:lang w:bidi="fa-IR"/>
        </w:rPr>
        <w:t>إِل</w:t>
      </w:r>
      <w:r w:rsidR="00D66449">
        <w:rPr>
          <w:rFonts w:hint="cs"/>
          <w:rtl/>
          <w:lang w:bidi="fa-IR"/>
        </w:rPr>
        <w:t>َّ</w:t>
      </w:r>
      <w:r w:rsidR="00D66449">
        <w:rPr>
          <w:rtl/>
          <w:lang w:bidi="fa-IR"/>
        </w:rPr>
        <w:t>ا</w:t>
      </w:r>
      <w:r w:rsidRPr="005D642E">
        <w:rPr>
          <w:rtl/>
          <w:lang w:bidi="fa-IR"/>
        </w:rPr>
        <w:t xml:space="preserve"> الثَّلْجَ ، أَوِ الْمَاءَ الْجَامِدَ‌</w:t>
      </w:r>
      <w:bookmarkEnd w:id="156"/>
      <w:bookmarkEnd w:id="157"/>
      <w:bookmarkEnd w:id="158"/>
    </w:p>
    <w:p w:rsidR="00D66449" w:rsidRDefault="00E3253D" w:rsidP="00D66449">
      <w:pPr>
        <w:pStyle w:val="libNormal"/>
        <w:rPr>
          <w:rtl/>
          <w:lang w:bidi="fa-IR"/>
        </w:rPr>
      </w:pPr>
      <w:r w:rsidRPr="00F66DAF">
        <w:rPr>
          <w:rtl/>
        </w:rPr>
        <w:t>4122</w:t>
      </w:r>
      <w:r w:rsidRPr="00246318">
        <w:rPr>
          <w:rStyle w:val="libBold2Char"/>
          <w:rtl/>
        </w:rPr>
        <w:t xml:space="preserve"> / 1.</w:t>
      </w:r>
      <w:r w:rsidRPr="005D642E">
        <w:rPr>
          <w:rtl/>
          <w:lang w:bidi="fa-IR"/>
        </w:rPr>
        <w:t xml:space="preserve"> عَلِيُّ بْنُ إِبْرَاهِيمَ ، عَنْ أَبِيهِ ؛</w:t>
      </w:r>
    </w:p>
    <w:p w:rsidR="00D56F42" w:rsidRPr="005D642E" w:rsidRDefault="00E3253D" w:rsidP="00F868B4">
      <w:pPr>
        <w:pStyle w:val="libNormal"/>
        <w:rPr>
          <w:rtl/>
          <w:lang w:bidi="fa-IR"/>
        </w:rPr>
      </w:pPr>
      <w:r w:rsidRPr="005D642E">
        <w:rPr>
          <w:rtl/>
          <w:lang w:bidi="fa-IR"/>
        </w:rPr>
        <w:t>وَمُحَمَّدُ بْنُ يَحْيى ، عَنْ أَحْمَدَ بْنِ مُحَمَّدٍ جَمِيعاً ، عَنْ حَمَّادِ بْنِ عِيسى ، عَنْ حَرِيزٍ ، عَنْ مُحَمَّدِ بْنِ مُسْلِمٍ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w:t>
      </w:r>
      <w:r w:rsidRPr="007C12DB">
        <w:rPr>
          <w:rStyle w:val="libFootnotenumChar"/>
          <w:rtl/>
        </w:rPr>
        <w:t>(3)</w:t>
      </w:r>
      <w:r w:rsidRPr="005D642E">
        <w:rPr>
          <w:rtl/>
          <w:lang w:bidi="fa-IR"/>
        </w:rPr>
        <w:t xml:space="preserve"> عَنْ رَجُلٍ أَجْنَبَ </w:t>
      </w:r>
      <w:r w:rsidRPr="007C12DB">
        <w:rPr>
          <w:rStyle w:val="libFootnotenumChar"/>
          <w:rtl/>
        </w:rPr>
        <w:t>(4)</w:t>
      </w:r>
      <w:r w:rsidRPr="005D642E">
        <w:rPr>
          <w:rtl/>
          <w:lang w:bidi="fa-IR"/>
        </w:rPr>
        <w:t xml:space="preserve"> فِي سَفَرٍ </w:t>
      </w:r>
      <w:r w:rsidRPr="007C12DB">
        <w:rPr>
          <w:rStyle w:val="libFootnotenumChar"/>
          <w:rtl/>
        </w:rPr>
        <w:t>(5)</w:t>
      </w:r>
      <w:r w:rsidRPr="005D642E">
        <w:rPr>
          <w:rtl/>
          <w:lang w:bidi="fa-IR"/>
        </w:rPr>
        <w:t xml:space="preserve"> ، وَلَمْ يَجِدْ </w:t>
      </w:r>
      <w:r w:rsidRPr="007C12DB">
        <w:rPr>
          <w:rStyle w:val="libFootnotenumChar"/>
          <w:rtl/>
        </w:rPr>
        <w:t>(6)</w:t>
      </w:r>
      <w:r w:rsidR="00F868B4">
        <w:rPr>
          <w:rtl/>
          <w:lang w:bidi="fa-IR"/>
        </w:rPr>
        <w:t xml:space="preserve"> إِل</w:t>
      </w:r>
      <w:r w:rsidR="00F868B4">
        <w:rPr>
          <w:rFonts w:hint="cs"/>
          <w:rtl/>
          <w:lang w:bidi="fa-IR"/>
        </w:rPr>
        <w:t>ّ</w:t>
      </w:r>
      <w:r w:rsidR="00F868B4">
        <w:rPr>
          <w:rtl/>
          <w:lang w:bidi="fa-IR"/>
        </w:rPr>
        <w:t>ا</w:t>
      </w:r>
      <w:r w:rsidRPr="005D642E">
        <w:rPr>
          <w:rtl/>
          <w:lang w:bidi="fa-IR"/>
        </w:rPr>
        <w:t xml:space="preserve"> الثَّلْجَ ، أَوْ مَاءً جَامِداً</w:t>
      </w:r>
      <w:r>
        <w:rPr>
          <w:rtl/>
          <w:lang w:bidi="fa-IR"/>
        </w:rPr>
        <w:t>؟</w:t>
      </w:r>
    </w:p>
    <w:p w:rsidR="00E3253D" w:rsidRPr="005D642E" w:rsidRDefault="00E3253D" w:rsidP="00E3253D">
      <w:pPr>
        <w:pStyle w:val="libNormal"/>
        <w:rPr>
          <w:rtl/>
          <w:lang w:bidi="fa-IR"/>
        </w:rPr>
      </w:pPr>
      <w:r w:rsidRPr="005D642E">
        <w:rPr>
          <w:rtl/>
          <w:lang w:bidi="fa-IR"/>
        </w:rPr>
        <w:t>فَقَالَ : « هُوَ بِمَنْزِلَةِ الضَّرُورَةِ يَتَيَمَّمُ ، وَلَا</w:t>
      </w:r>
      <w:r>
        <w:rPr>
          <w:rFonts w:hint="cs"/>
          <w:rtl/>
          <w:lang w:bidi="fa-IR"/>
        </w:rPr>
        <w:t xml:space="preserve"> </w:t>
      </w:r>
      <w:r w:rsidRPr="005D642E">
        <w:rPr>
          <w:rtl/>
          <w:lang w:bidi="fa-IR"/>
        </w:rPr>
        <w:t xml:space="preserve">أَرى </w:t>
      </w:r>
      <w:r w:rsidRPr="007C12DB">
        <w:rPr>
          <w:rStyle w:val="libFootnotenumChar"/>
          <w:rtl/>
        </w:rPr>
        <w:t>(7)</w:t>
      </w:r>
      <w:r w:rsidRPr="005D642E">
        <w:rPr>
          <w:rtl/>
          <w:lang w:bidi="fa-IR"/>
        </w:rPr>
        <w:t xml:space="preserve"> أَنْ يَعُودَ إِلى هذِهِ الْأَرْضِ الَّتِي تُوبِقُ دِينَهُ</w:t>
      </w:r>
      <w:r w:rsidRPr="007C12DB">
        <w:rPr>
          <w:rStyle w:val="libFootnotenumChar"/>
          <w:rtl/>
        </w:rPr>
        <w:t>(8)</w:t>
      </w:r>
      <w:r w:rsidRPr="005D642E">
        <w:rPr>
          <w:rtl/>
          <w:lang w:bidi="fa-IR"/>
        </w:rPr>
        <w:t>»</w:t>
      </w:r>
      <w:r>
        <w:rPr>
          <w:rtl/>
          <w:lang w:bidi="fa-IR"/>
        </w:rPr>
        <w:t>.</w:t>
      </w:r>
      <w:r w:rsidRPr="007C12DB">
        <w:rPr>
          <w:rStyle w:val="libFootnotenumChar"/>
          <w:rtl/>
        </w:rPr>
        <w:t>(9)</w:t>
      </w:r>
    </w:p>
    <w:p w:rsidR="00E3253D" w:rsidRPr="005D642E" w:rsidRDefault="00E3253D" w:rsidP="00E3253D">
      <w:pPr>
        <w:pStyle w:val="libNormal"/>
        <w:rPr>
          <w:rtl/>
          <w:lang w:bidi="fa-IR"/>
        </w:rPr>
      </w:pPr>
      <w:r w:rsidRPr="00F66DAF">
        <w:rPr>
          <w:rtl/>
        </w:rPr>
        <w:t>4123</w:t>
      </w:r>
      <w:r w:rsidRPr="00246318">
        <w:rPr>
          <w:rStyle w:val="libBold2Char"/>
          <w:rtl/>
        </w:rPr>
        <w:t xml:space="preserve"> / 2.</w:t>
      </w:r>
      <w:r w:rsidRPr="005D642E">
        <w:rPr>
          <w:rtl/>
          <w:lang w:bidi="fa-IR"/>
        </w:rPr>
        <w:t xml:space="preserve"> عَلِيُّ بْنُ إِبْرَاهِيمَ ، عَنْ أَبِيهِ </w:t>
      </w:r>
      <w:r w:rsidRPr="007C12DB">
        <w:rPr>
          <w:rStyle w:val="libFootnotenumChar"/>
          <w:rtl/>
        </w:rPr>
        <w:t>(10)</w:t>
      </w:r>
      <w:r w:rsidRPr="005D642E">
        <w:rPr>
          <w:rtl/>
          <w:lang w:bidi="fa-IR"/>
        </w:rPr>
        <w:t xml:space="preserve"> رَفَعَهُ ، قَالَ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868B4" w:rsidTr="00F868B4">
        <w:tc>
          <w:tcPr>
            <w:tcW w:w="4006" w:type="dxa"/>
          </w:tcPr>
          <w:p w:rsidR="00F868B4" w:rsidRDefault="00F868B4" w:rsidP="00E3253D">
            <w:pPr>
              <w:pStyle w:val="libFootnote0"/>
              <w:rPr>
                <w:rStyle w:val="libFootnote0Char"/>
                <w:rtl/>
              </w:rPr>
            </w:pPr>
            <w:r w:rsidRPr="0042621E">
              <w:rPr>
                <w:rStyle w:val="libFootnote0Char"/>
                <w:rtl/>
              </w:rPr>
              <w:t>(1).</w:t>
            </w:r>
            <w:r>
              <w:rPr>
                <w:rtl/>
              </w:rPr>
              <w:t xml:space="preserve"> </w:t>
            </w:r>
            <w:r w:rsidRPr="005D642E">
              <w:rPr>
                <w:rtl/>
              </w:rPr>
              <w:t>في « جن » ومرآة العقول : « تصيبه »</w:t>
            </w:r>
            <w:r>
              <w:rPr>
                <w:rtl/>
              </w:rPr>
              <w:t>.</w:t>
            </w:r>
          </w:p>
        </w:tc>
        <w:tc>
          <w:tcPr>
            <w:tcW w:w="4006" w:type="dxa"/>
          </w:tcPr>
          <w:p w:rsidR="00F868B4" w:rsidRDefault="00F868B4" w:rsidP="00E3253D">
            <w:pPr>
              <w:pStyle w:val="libFootnote0"/>
              <w:rPr>
                <w:rStyle w:val="libFootnote0Char"/>
                <w:rtl/>
              </w:rPr>
            </w:pPr>
            <w:r w:rsidRPr="0042621E">
              <w:rPr>
                <w:rStyle w:val="libFootnote0Char"/>
                <w:rtl/>
              </w:rPr>
              <w:t>(2).</w:t>
            </w:r>
            <w:r w:rsidRPr="005D642E">
              <w:rPr>
                <w:rtl/>
              </w:rPr>
              <w:t xml:space="preserve"> في « غ ، بث ، بح ، جح » : « ولا يجد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 سألت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عن الرجل يجنب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والوسائل. وفي المطبوع </w:t>
      </w:r>
      <w:r w:rsidR="000D749A" w:rsidRPr="000D749A">
        <w:rPr>
          <w:rStyle w:val="libFootnoteBoldChar"/>
          <w:rtl/>
        </w:rPr>
        <w:t>والوافي</w:t>
      </w:r>
      <w:r w:rsidR="00E3253D" w:rsidRPr="005D642E">
        <w:rPr>
          <w:rtl/>
        </w:rPr>
        <w:t xml:space="preserve"> : « السفر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فلا يجد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جح » وحاشية « ظ ، غ » : « ولا ترى »</w:t>
      </w:r>
      <w:r w:rsidR="00E3253D">
        <w:rPr>
          <w:rtl/>
        </w:rPr>
        <w:t>.</w:t>
      </w:r>
      <w:r w:rsidR="00E3253D" w:rsidRPr="005D642E">
        <w:rPr>
          <w:rtl/>
        </w:rPr>
        <w:t xml:space="preserve"> وفي « بخ » : « ولا نرى »</w:t>
      </w:r>
      <w:r w:rsidR="00E3253D">
        <w:rPr>
          <w:rtl/>
        </w:rPr>
        <w:t>.</w:t>
      </w:r>
      <w:r w:rsidR="00E3253D" w:rsidRPr="005D642E">
        <w:rPr>
          <w:rtl/>
        </w:rPr>
        <w:t xml:space="preserve"> وفي « بف ، جس » وحاشية « جن » : « ولايرى »</w:t>
      </w:r>
      <w:r w:rsidR="00E3253D">
        <w:rPr>
          <w:rtl/>
        </w:rPr>
        <w:t>.</w:t>
      </w:r>
    </w:p>
    <w:p w:rsidR="00E3253D" w:rsidRDefault="0042621E" w:rsidP="00E3253D">
      <w:pPr>
        <w:pStyle w:val="libFootnote0"/>
        <w:rPr>
          <w:rtl/>
        </w:rPr>
      </w:pPr>
      <w:r w:rsidRPr="0042621E">
        <w:rPr>
          <w:rStyle w:val="libFootnote0Char"/>
          <w:rtl/>
        </w:rPr>
        <w:t>(8).</w:t>
      </w:r>
      <w:r w:rsidR="00E3253D" w:rsidRPr="005D642E">
        <w:rPr>
          <w:rtl/>
        </w:rPr>
        <w:t xml:space="preserve"> في « غ ، بخ ، جس » : « يوبق دينه »</w:t>
      </w:r>
      <w:r w:rsidR="00E3253D">
        <w:rPr>
          <w:rtl/>
        </w:rPr>
        <w:t>.</w:t>
      </w:r>
      <w:r w:rsidR="00E3253D" w:rsidRPr="005D642E">
        <w:rPr>
          <w:rtl/>
        </w:rPr>
        <w:t xml:space="preserve"> وقوله : « تُوبِقُ دينه » ، أي تُهلك تديّنه ، يقال : وَبَقَ يَبِقُ وُبُوقاً ، أي هلك ، وأوبقته ذنوبه ، أي أهلكته. راجع : </w:t>
      </w:r>
      <w:r w:rsidR="00E3253D" w:rsidRPr="002F4D34">
        <w:rPr>
          <w:rStyle w:val="libFootnoteBoldChar"/>
          <w:rtl/>
        </w:rPr>
        <w:t>الصحاح</w:t>
      </w:r>
      <w:r w:rsidR="00E3253D" w:rsidRPr="005D642E">
        <w:rPr>
          <w:rtl/>
        </w:rPr>
        <w:t xml:space="preserve"> ، ج 4 ، ص 156 ؛ </w:t>
      </w:r>
      <w:r w:rsidR="00E3253D" w:rsidRPr="002F4D34">
        <w:rPr>
          <w:rStyle w:val="libFootnoteBoldChar"/>
          <w:rtl/>
        </w:rPr>
        <w:t>المغرب</w:t>
      </w:r>
      <w:r w:rsidR="00E3253D" w:rsidRPr="005D642E">
        <w:rPr>
          <w:rtl/>
        </w:rPr>
        <w:t xml:space="preserve"> ، ص 475 ( وبق )</w:t>
      </w:r>
    </w:p>
    <w:p w:rsidR="00E3253D" w:rsidRPr="005D642E" w:rsidRDefault="00E3253D" w:rsidP="00E3253D">
      <w:pPr>
        <w:pStyle w:val="libFootnote0"/>
        <w:rPr>
          <w:rtl/>
          <w:lang w:bidi="fa-IR"/>
        </w:rPr>
      </w:pPr>
      <w:r w:rsidRPr="005D642E">
        <w:rPr>
          <w:rtl/>
        </w:rPr>
        <w:t xml:space="preserve">وفي هذا الحديث دلالة على نقصان الصلاة المؤدّاة بالتيمّم وإن كانت مبرئة للذمّة ويجب عليه إزالة هذا النقص عن صلاته المستقبلة بالخروج عن محلّ الاضطرار. راجع : </w:t>
      </w:r>
      <w:r w:rsidRPr="002F4D34">
        <w:rPr>
          <w:rStyle w:val="libFootnoteBoldChar"/>
          <w:rtl/>
        </w:rPr>
        <w:t>الوافي</w:t>
      </w:r>
      <w:r w:rsidRPr="005D642E">
        <w:rPr>
          <w:rtl/>
        </w:rPr>
        <w:t xml:space="preserve"> ، ج 6 ، ص 555 ؛ </w:t>
      </w:r>
      <w:r w:rsidRPr="002F4D34">
        <w:rPr>
          <w:rStyle w:val="libFootnoteBoldChar"/>
          <w:rtl/>
        </w:rPr>
        <w:t>مرآة العقول</w:t>
      </w:r>
      <w:r w:rsidRPr="005D642E">
        <w:rPr>
          <w:rtl/>
        </w:rPr>
        <w:t xml:space="preserve"> ، ج 13 ، ص 184.</w:t>
      </w:r>
    </w:p>
    <w:p w:rsidR="00E3253D" w:rsidRPr="005D642E" w:rsidRDefault="0042621E" w:rsidP="00F868B4">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191 ، ح 553 ؛ </w:t>
      </w:r>
      <w:r w:rsidR="00E3253D" w:rsidRPr="00E678B5">
        <w:rPr>
          <w:rStyle w:val="libFootnoteBoldChar"/>
          <w:rtl/>
        </w:rPr>
        <w:t>والاستبصار</w:t>
      </w:r>
      <w:r w:rsidR="00E3253D" w:rsidRPr="005D642E">
        <w:rPr>
          <w:rtl/>
        </w:rPr>
        <w:t xml:space="preserve"> ، ج 1 ، ص 158 ، ح 544 ، بسندهما عن حمّاد بن عيسى. </w:t>
      </w:r>
      <w:r w:rsidR="00E3253D" w:rsidRPr="002F4D34">
        <w:rPr>
          <w:rStyle w:val="libFootnoteBoldChar"/>
          <w:rtl/>
        </w:rPr>
        <w:t>المحاسن</w:t>
      </w:r>
      <w:r w:rsidR="00E3253D" w:rsidRPr="005D642E">
        <w:rPr>
          <w:rtl/>
        </w:rPr>
        <w:t xml:space="preserve"> ، ص 372 ، كتاب السفر ، ح 134 ، بسند آخر. </w:t>
      </w:r>
      <w:r w:rsidR="00E3253D" w:rsidRPr="002F4D34">
        <w:rPr>
          <w:rStyle w:val="libFootnoteBoldChar"/>
          <w:rtl/>
        </w:rPr>
        <w:t>الفقيه</w:t>
      </w:r>
      <w:r w:rsidR="00E3253D" w:rsidRPr="005D642E">
        <w:rPr>
          <w:rtl/>
        </w:rPr>
        <w:t xml:space="preserve"> ، ج 1 ، ص 87 ، ذيل ح 191 ، وفيهما مع اختلاف يسير</w:t>
      </w:r>
      <w:r w:rsidR="00F868B4">
        <w:rPr>
          <w:rFonts w:hint="cs"/>
          <w:rtl/>
        </w:rPr>
        <w:t>.</w:t>
      </w:r>
      <w:r w:rsidR="00E3253D" w:rsidRPr="002F4D34">
        <w:rPr>
          <w:rStyle w:val="libFootnoteBoldChar"/>
          <w:rtl/>
        </w:rPr>
        <w:t>الوافي</w:t>
      </w:r>
      <w:r w:rsidR="00E3253D" w:rsidRPr="005D642E">
        <w:rPr>
          <w:rtl/>
        </w:rPr>
        <w:t xml:space="preserve"> ، ج 6 ، ص 555 ، ح 4919 ؛ </w:t>
      </w:r>
      <w:r w:rsidR="00E3253D" w:rsidRPr="002F4D34">
        <w:rPr>
          <w:rStyle w:val="libFootnoteBoldChar"/>
          <w:rtl/>
        </w:rPr>
        <w:t>الوسائل</w:t>
      </w:r>
      <w:r w:rsidR="00E3253D" w:rsidRPr="005D642E">
        <w:rPr>
          <w:rtl/>
        </w:rPr>
        <w:t xml:space="preserve"> ، ج 3 ، ص 355 ، ح 3854.</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عن أبيه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w:t>
      </w:r>
      <w:r w:rsidRPr="007C12DB">
        <w:rPr>
          <w:rStyle w:val="libFootnotenumChar"/>
          <w:rtl/>
        </w:rPr>
        <w:t>(1)</w:t>
      </w:r>
      <w:r w:rsidRPr="005D642E">
        <w:rPr>
          <w:rtl/>
          <w:lang w:bidi="fa-IR"/>
        </w:rPr>
        <w:t xml:space="preserve"> : « إِنْ أَجْنَبَ </w:t>
      </w:r>
      <w:r w:rsidRPr="007C12DB">
        <w:rPr>
          <w:rStyle w:val="libFootnotenumChar"/>
          <w:rtl/>
        </w:rPr>
        <w:t>(2)</w:t>
      </w:r>
      <w:r w:rsidRPr="005D642E">
        <w:rPr>
          <w:rtl/>
          <w:lang w:bidi="fa-IR"/>
        </w:rPr>
        <w:t xml:space="preserve"> فَعَلَيْهِ أَنْ يَغْتَسِلَ عَلى مَا كَانَ مِنْهُ </w:t>
      </w:r>
      <w:r w:rsidRPr="007C12DB">
        <w:rPr>
          <w:rStyle w:val="libFootnotenumChar"/>
          <w:rtl/>
        </w:rPr>
        <w:t>(3)</w:t>
      </w:r>
      <w:r w:rsidRPr="005D642E">
        <w:rPr>
          <w:rtl/>
          <w:lang w:bidi="fa-IR"/>
        </w:rPr>
        <w:t xml:space="preserve"> ، وَإِنِ احْتَلَمَ تَيَمَّمَ »</w:t>
      </w:r>
      <w:r>
        <w:rPr>
          <w:rtl/>
          <w:lang w:bidi="fa-IR"/>
        </w:rPr>
        <w:t>.</w:t>
      </w:r>
      <w:r w:rsidRPr="005D642E">
        <w:rPr>
          <w:rtl/>
          <w:lang w:bidi="fa-IR"/>
        </w:rPr>
        <w:t xml:space="preserve"> </w:t>
      </w:r>
      <w:r w:rsidRPr="007C12DB">
        <w:rPr>
          <w:rStyle w:val="libFootnotenumChar"/>
          <w:rtl/>
        </w:rPr>
        <w:t>(4)</w:t>
      </w:r>
    </w:p>
    <w:p w:rsidR="00E3253D" w:rsidRPr="005D642E" w:rsidRDefault="00E3253D" w:rsidP="00E3253D">
      <w:pPr>
        <w:pStyle w:val="libNormal"/>
        <w:rPr>
          <w:rtl/>
          <w:lang w:bidi="fa-IR"/>
        </w:rPr>
      </w:pPr>
      <w:r w:rsidRPr="00CF7610">
        <w:rPr>
          <w:rtl/>
        </w:rPr>
        <w:t>4124</w:t>
      </w:r>
      <w:r w:rsidRPr="00246318">
        <w:rPr>
          <w:rStyle w:val="libBold2Char"/>
          <w:rtl/>
        </w:rPr>
        <w:t xml:space="preserve"> / 3.</w:t>
      </w:r>
      <w:r w:rsidRPr="005D642E">
        <w:rPr>
          <w:rtl/>
          <w:lang w:bidi="fa-IR"/>
        </w:rPr>
        <w:t xml:space="preserve"> مُحَمَّدُ بْنُ يَحْيى ، عَنْ مُحَمَّدِ بْنِ الْحُسَيْنِ ، عَنْ جَعْفَرِ بْنِ بَشِيرٍ ، عَمَّنْ رَوَاهُ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رَجُلٍ أَصَابَتْهُ الْجَنَابَةُ فِي لَيْلَةٍ بَارِدَةٍ يَخَافُ عَلى نَفْسِهِ التَّلَفَ إِنِ اغْتَسَلَ</w:t>
      </w:r>
      <w:r>
        <w:rPr>
          <w:rtl/>
          <w:lang w:bidi="fa-IR"/>
        </w:rPr>
        <w:t>؟</w:t>
      </w:r>
    </w:p>
    <w:p w:rsidR="00E3253D" w:rsidRPr="005D642E" w:rsidRDefault="00E3253D" w:rsidP="00E3253D">
      <w:pPr>
        <w:pStyle w:val="libNormal"/>
        <w:rPr>
          <w:rtl/>
          <w:lang w:bidi="fa-IR"/>
        </w:rPr>
      </w:pPr>
      <w:r w:rsidRPr="005D642E">
        <w:rPr>
          <w:rtl/>
          <w:lang w:bidi="fa-IR"/>
        </w:rPr>
        <w:t xml:space="preserve">قَالَ : « يَتَيَمَّمُ وَيُصَلِّي ، فَإِذَا أَمِنَ الْبَرْدَ ، اغْتَسَلَ وَأَعَادَ الصَّلَاةَ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p>
    <w:p w:rsidR="00E3253D" w:rsidRPr="005D642E" w:rsidRDefault="00E3253D" w:rsidP="00E3253D">
      <w:pPr>
        <w:pStyle w:val="Heading2Center"/>
        <w:rPr>
          <w:rtl/>
          <w:lang w:bidi="fa-IR"/>
        </w:rPr>
      </w:pPr>
      <w:bookmarkStart w:id="159" w:name="_Toc344647263"/>
      <w:bookmarkStart w:id="160" w:name="_Toc462226778"/>
      <w:bookmarkStart w:id="161" w:name="_Toc40975886"/>
      <w:r w:rsidRPr="005D642E">
        <w:rPr>
          <w:rtl/>
          <w:lang w:bidi="fa-IR"/>
        </w:rPr>
        <w:t>44</w:t>
      </w:r>
      <w:r>
        <w:rPr>
          <w:rtl/>
          <w:lang w:bidi="fa-IR"/>
        </w:rPr>
        <w:t xml:space="preserve"> </w:t>
      </w:r>
      <w:r w:rsidR="007642BC">
        <w:rPr>
          <w:rtl/>
          <w:lang w:bidi="fa-IR"/>
        </w:rPr>
        <w:t>-</w:t>
      </w:r>
      <w:r>
        <w:rPr>
          <w:rtl/>
          <w:lang w:bidi="fa-IR"/>
        </w:rPr>
        <w:t xml:space="preserve"> </w:t>
      </w:r>
      <w:r w:rsidRPr="005D642E">
        <w:rPr>
          <w:rtl/>
          <w:lang w:bidi="fa-IR"/>
        </w:rPr>
        <w:t>بَابُ التَّيَمُّمِ بِالطِّينِ‌</w:t>
      </w:r>
      <w:bookmarkEnd w:id="159"/>
      <w:bookmarkEnd w:id="160"/>
      <w:bookmarkEnd w:id="161"/>
    </w:p>
    <w:p w:rsidR="00E3253D" w:rsidRPr="005D642E" w:rsidRDefault="00E3253D" w:rsidP="00E3253D">
      <w:pPr>
        <w:pStyle w:val="libNormal"/>
        <w:rPr>
          <w:rtl/>
          <w:lang w:bidi="fa-IR"/>
        </w:rPr>
      </w:pPr>
      <w:r w:rsidRPr="00CF7610">
        <w:rPr>
          <w:rtl/>
        </w:rPr>
        <w:t>4125</w:t>
      </w:r>
      <w:r w:rsidRPr="00246318">
        <w:rPr>
          <w:rStyle w:val="libBold2Char"/>
          <w:rtl/>
        </w:rPr>
        <w:t xml:space="preserve"> / 1.</w:t>
      </w:r>
      <w:r w:rsidRPr="005D642E">
        <w:rPr>
          <w:rtl/>
          <w:lang w:bidi="fa-IR"/>
        </w:rPr>
        <w:t xml:space="preserve"> مُحَمَّدُ بْنُ يَحْيى ، عَنْ أَحْمَدَ بْنِ مُحَمَّدٍ ، عَنِ ابْنِ مَحْبُوبٍ ، عَنِ ابْنِ رِئَابٍ ، عَنْ أَبِي بَصِيرٍ :</w:t>
      </w:r>
    </w:p>
    <w:p w:rsidR="00E3253D" w:rsidRPr="005D642E" w:rsidRDefault="00E3253D" w:rsidP="00E3253D">
      <w:pPr>
        <w:pStyle w:val="libNormal"/>
        <w:rPr>
          <w:rtl/>
          <w:lang w:bidi="fa-IR"/>
        </w:rPr>
      </w:pPr>
      <w:r w:rsidRPr="005D642E">
        <w:rPr>
          <w:rtl/>
          <w:lang w:bidi="fa-IR"/>
        </w:rPr>
        <w:t xml:space="preserve">عَنْ‌أَبِي عَبْدِ اللهِ </w:t>
      </w:r>
      <w:r w:rsidRPr="00AC51C5">
        <w:rPr>
          <w:rStyle w:val="libAlaemChar"/>
          <w:rtl/>
        </w:rPr>
        <w:t>عليه‌السلام</w:t>
      </w:r>
      <w:r w:rsidRPr="005D642E">
        <w:rPr>
          <w:rtl/>
          <w:lang w:bidi="fa-IR"/>
        </w:rPr>
        <w:t xml:space="preserve"> ، قَالَ : « إِذَا كُنْتَ فِي حَالٍ لَاتَقْدِرُ </w:t>
      </w:r>
      <w:r w:rsidRPr="007C12DB">
        <w:rPr>
          <w:rStyle w:val="libFootnotenumChar"/>
          <w:rtl/>
        </w:rPr>
        <w:t>(7)</w:t>
      </w:r>
      <w:r w:rsidR="00547584">
        <w:rPr>
          <w:rtl/>
          <w:lang w:bidi="fa-IR"/>
        </w:rPr>
        <w:t xml:space="preserve"> إِل</w:t>
      </w:r>
      <w:r w:rsidR="00547584">
        <w:rPr>
          <w:rFonts w:hint="cs"/>
          <w:rtl/>
          <w:lang w:bidi="fa-IR"/>
        </w:rPr>
        <w:t>َّ</w:t>
      </w:r>
      <w:r w:rsidR="00547584">
        <w:rPr>
          <w:rtl/>
          <w:lang w:bidi="fa-IR"/>
        </w:rPr>
        <w:t>ا</w:t>
      </w:r>
      <w:r w:rsidRPr="005D642E">
        <w:rPr>
          <w:rtl/>
          <w:lang w:bidi="fa-IR"/>
        </w:rPr>
        <w:t xml:space="preserve"> عَلَى الطِّينِ ، فَتَيَمَّمْ بِهِ ؛ فَإِنَّ اللهَ أَوْلى بِالْعُذْرِ إِذَا لَمْ يَكُنْ مَعَكَ ثَوْبٌ جَافٌّ ، أَوْ لِبْدٌ </w:t>
      </w:r>
      <w:r w:rsidRPr="007C12DB">
        <w:rPr>
          <w:rStyle w:val="libFootnotenumChar"/>
          <w:rtl/>
        </w:rPr>
        <w:t>(8)</w:t>
      </w:r>
      <w:r w:rsidR="00547584">
        <w:rPr>
          <w:rFonts w:hint="cs"/>
          <w:rtl/>
          <w:lang w:bidi="fa-IR"/>
        </w:rPr>
        <w:t>.........................</w:t>
      </w:r>
      <w:r w:rsidR="00547584">
        <w:rPr>
          <w:rFonts w:hint="cs"/>
          <w:rtl/>
          <w:lang w:bidi="fa-IR"/>
        </w:rPr>
        <w:tab/>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47584" w:rsidTr="00547584">
        <w:tc>
          <w:tcPr>
            <w:tcW w:w="4006" w:type="dxa"/>
          </w:tcPr>
          <w:p w:rsidR="00547584" w:rsidRDefault="00547584" w:rsidP="00547584">
            <w:pPr>
              <w:pStyle w:val="libFootnote0"/>
              <w:rPr>
                <w:rStyle w:val="libFootnote0Char"/>
                <w:rtl/>
              </w:rPr>
            </w:pPr>
            <w:r w:rsidRPr="0042621E">
              <w:rPr>
                <w:rStyle w:val="libFootnote0Char"/>
                <w:rtl/>
              </w:rPr>
              <w:t>(1).</w:t>
            </w:r>
            <w:r>
              <w:rPr>
                <w:rtl/>
              </w:rPr>
              <w:t xml:space="preserve"> </w:t>
            </w:r>
            <w:r w:rsidRPr="005D642E">
              <w:rPr>
                <w:rtl/>
              </w:rPr>
              <w:t xml:space="preserve">في الوسائل </w:t>
            </w:r>
            <w:r w:rsidRPr="00B60612">
              <w:rPr>
                <w:rStyle w:val="libFootnoteBoldChar"/>
                <w:rtl/>
              </w:rPr>
              <w:t>والتهذيب</w:t>
            </w:r>
            <w:r w:rsidRPr="005D642E">
              <w:rPr>
                <w:rtl/>
              </w:rPr>
              <w:t xml:space="preserve"> </w:t>
            </w:r>
            <w:r w:rsidRPr="00E678B5">
              <w:rPr>
                <w:rStyle w:val="libFootnoteBoldChar"/>
                <w:rtl/>
              </w:rPr>
              <w:t>والاستبصار</w:t>
            </w:r>
            <w:r w:rsidRPr="005D642E">
              <w:rPr>
                <w:rtl/>
              </w:rPr>
              <w:t>:</w:t>
            </w:r>
            <w:r>
              <w:rPr>
                <w:rtl/>
              </w:rPr>
              <w:t>-</w:t>
            </w:r>
            <w:r w:rsidRPr="005D642E">
              <w:rPr>
                <w:rtl/>
              </w:rPr>
              <w:t>«قال»</w:t>
            </w:r>
            <w:r>
              <w:rPr>
                <w:rtl/>
              </w:rPr>
              <w:t>.</w:t>
            </w:r>
          </w:p>
        </w:tc>
        <w:tc>
          <w:tcPr>
            <w:tcW w:w="4006" w:type="dxa"/>
          </w:tcPr>
          <w:p w:rsidR="00547584" w:rsidRDefault="00547584" w:rsidP="00547584">
            <w:pPr>
              <w:pStyle w:val="libFootnote0"/>
              <w:rPr>
                <w:rStyle w:val="libFootnote0Char"/>
                <w:rtl/>
              </w:rPr>
            </w:pPr>
            <w:r w:rsidRPr="0042621E">
              <w:rPr>
                <w:rStyle w:val="libFootnote0Char"/>
                <w:rtl/>
              </w:rPr>
              <w:t>(2).</w:t>
            </w:r>
            <w:r w:rsidRPr="005D642E">
              <w:rPr>
                <w:rtl/>
              </w:rPr>
              <w:t xml:space="preserve"> في الوافي </w:t>
            </w:r>
            <w:r w:rsidRPr="00B60612">
              <w:rPr>
                <w:rStyle w:val="libFootnoteBoldChar"/>
                <w:rtl/>
              </w:rPr>
              <w:t>والتهذيب</w:t>
            </w:r>
            <w:r w:rsidRPr="005D642E">
              <w:rPr>
                <w:rtl/>
              </w:rPr>
              <w:t xml:space="preserve"> </w:t>
            </w:r>
            <w:r w:rsidRPr="00E678B5">
              <w:rPr>
                <w:rStyle w:val="libFootnoteBoldChar"/>
                <w:rtl/>
              </w:rPr>
              <w:t>والاستبصار</w:t>
            </w:r>
            <w:r w:rsidRPr="005D642E">
              <w:rPr>
                <w:rtl/>
              </w:rPr>
              <w:t>:+«</w:t>
            </w:r>
            <w:r>
              <w:rPr>
                <w:rtl/>
              </w:rPr>
              <w:t>نفسه</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ومرآة العقول. وفي المطبوع : « عليه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197 ، ح 573 ؛ </w:t>
      </w:r>
      <w:r w:rsidR="00E3253D" w:rsidRPr="00E678B5">
        <w:rPr>
          <w:rStyle w:val="libFootnoteBoldChar"/>
          <w:rtl/>
        </w:rPr>
        <w:t>والاستبصار</w:t>
      </w:r>
      <w:r w:rsidR="00E3253D" w:rsidRPr="005D642E">
        <w:rPr>
          <w:rtl/>
        </w:rPr>
        <w:t xml:space="preserve"> ، ج 1 ، ص 162 ، ح 56</w:t>
      </w:r>
      <w:r w:rsidR="00610E91">
        <w:rPr>
          <w:rtl/>
        </w:rPr>
        <w:t>1 ، بسندهما عن الكليني</w:t>
      </w:r>
      <w:r w:rsidR="00610E91">
        <w:rPr>
          <w:rFonts w:hint="cs"/>
          <w:rtl/>
        </w:rPr>
        <w:t xml:space="preserve"> .</w:t>
      </w:r>
      <w:r w:rsidR="00E3253D" w:rsidRPr="002F4D34">
        <w:rPr>
          <w:rStyle w:val="libFootnoteBoldChar"/>
          <w:rtl/>
        </w:rPr>
        <w:t>الوافي</w:t>
      </w:r>
      <w:r w:rsidR="00E3253D" w:rsidRPr="005D642E">
        <w:rPr>
          <w:rtl/>
        </w:rPr>
        <w:t xml:space="preserve"> ، ج 6 ، ص 552 ، ح 4911 ؛ </w:t>
      </w:r>
      <w:r w:rsidR="00E3253D" w:rsidRPr="002F4D34">
        <w:rPr>
          <w:rStyle w:val="libFootnoteBoldChar"/>
          <w:rtl/>
        </w:rPr>
        <w:t>الوسائل</w:t>
      </w:r>
      <w:r w:rsidR="00E3253D" w:rsidRPr="005D642E">
        <w:rPr>
          <w:rtl/>
        </w:rPr>
        <w:t xml:space="preserve"> ، ج 3 ، ص 373 ، ح 3902.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الصلاة »</w:t>
      </w:r>
      <w:r w:rsidR="00E3253D">
        <w:rPr>
          <w:rtl/>
        </w:rPr>
        <w:t>.</w:t>
      </w:r>
    </w:p>
    <w:p w:rsidR="00E3253D" w:rsidRPr="005D642E" w:rsidRDefault="0042621E" w:rsidP="00CE0BD5">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196 ، ح 567 ؛ </w:t>
      </w:r>
      <w:r w:rsidR="00E3253D" w:rsidRPr="00E678B5">
        <w:rPr>
          <w:rStyle w:val="libFootnoteBoldChar"/>
          <w:rtl/>
        </w:rPr>
        <w:t>والاستبصار</w:t>
      </w:r>
      <w:r w:rsidR="00E3253D" w:rsidRPr="005D642E">
        <w:rPr>
          <w:rtl/>
        </w:rPr>
        <w:t xml:space="preserve"> ، ج 1 ، ص 161 ، ح 559 ، معلّقاً عن محمّد بن أحمد بن يحيى ، عن محمّد بن الحسين. وفي </w:t>
      </w:r>
      <w:r w:rsidR="00E3253D" w:rsidRPr="002F4D34">
        <w:rPr>
          <w:rStyle w:val="libFootnoteBoldChar"/>
          <w:rtl/>
        </w:rPr>
        <w:t>التهذيب</w:t>
      </w:r>
      <w:r w:rsidR="00E3253D" w:rsidRPr="005D642E">
        <w:rPr>
          <w:rtl/>
        </w:rPr>
        <w:t xml:space="preserve"> ، ج 1 ، ص 196 ، ح 568 ؛ </w:t>
      </w:r>
      <w:r w:rsidR="00E3253D" w:rsidRPr="00E678B5">
        <w:rPr>
          <w:rStyle w:val="libFootnoteBoldChar"/>
          <w:rtl/>
        </w:rPr>
        <w:t>والاستبصار</w:t>
      </w:r>
      <w:r w:rsidR="00E3253D" w:rsidRPr="005D642E">
        <w:rPr>
          <w:rtl/>
        </w:rPr>
        <w:t xml:space="preserve"> ، ج 1 ، ص 161 ، ح 560 ، معلّقاً عن سعد بن عبدالله ، عن محمّد بن الحسين بن أبي الخطّاب ، عن جعفر بن بشير ، عن عبدالله بن سنان أو غيره ، عن أبي عبدالله </w:t>
      </w:r>
      <w:r w:rsidR="00E3253D" w:rsidRPr="00CE0BD5">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109 ، ح 225 ، معلّقاً عن عبدالله بن سنان ، عن أبي عبدالله </w:t>
      </w:r>
      <w:r w:rsidR="00E3253D" w:rsidRPr="00CE0BD5">
        <w:rPr>
          <w:rStyle w:val="libFootnoteAlaemChar"/>
          <w:rtl/>
        </w:rPr>
        <w:t>عليه‌السلام</w:t>
      </w:r>
      <w:r w:rsidR="00E3253D" w:rsidRPr="005D642E">
        <w:rPr>
          <w:rtl/>
        </w:rPr>
        <w:t xml:space="preserve"> ، وفي كلّ المصادر مع اختلاف يسير. راجع : </w:t>
      </w:r>
      <w:r w:rsidR="00E3253D" w:rsidRPr="002F4D34">
        <w:rPr>
          <w:rStyle w:val="libFootnoteBoldChar"/>
          <w:rtl/>
        </w:rPr>
        <w:t>التهذيب</w:t>
      </w:r>
      <w:r w:rsidR="00E3253D" w:rsidRPr="005D642E">
        <w:rPr>
          <w:rtl/>
        </w:rPr>
        <w:t xml:space="preserve"> ، ج 1 ، ص 196 ، ح 566</w:t>
      </w:r>
      <w:r w:rsidR="00CE0BD5">
        <w:rPr>
          <w:rFonts w:hint="cs"/>
          <w:rtl/>
        </w:rPr>
        <w:t>.</w:t>
      </w:r>
      <w:r w:rsidR="00E3253D" w:rsidRPr="002F4D34">
        <w:rPr>
          <w:rStyle w:val="libFootnoteBoldChar"/>
          <w:rtl/>
        </w:rPr>
        <w:t>الوافي</w:t>
      </w:r>
      <w:r w:rsidR="00E3253D" w:rsidRPr="005D642E">
        <w:rPr>
          <w:rtl/>
        </w:rPr>
        <w:t xml:space="preserve"> ، ج 6 ، ص 554 ، ح 4916 ؛ </w:t>
      </w:r>
      <w:r w:rsidR="00E3253D" w:rsidRPr="002F4D34">
        <w:rPr>
          <w:rStyle w:val="libFootnoteBoldChar"/>
          <w:rtl/>
        </w:rPr>
        <w:t>الوسائل</w:t>
      </w:r>
      <w:r w:rsidR="00E3253D" w:rsidRPr="005D642E">
        <w:rPr>
          <w:rtl/>
        </w:rPr>
        <w:t xml:space="preserve"> ، ج 3 ، ص 367 ، ح 3886 ؛ وج 3 ، ص 372 ، ذيل ح 3900.</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جس » : « لا يقدر » على صيغة المبنيّ للمفعول.</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ولا لبد » بدل « أو لبد »</w:t>
      </w:r>
      <w:r w:rsidR="00E3253D">
        <w:rPr>
          <w:rtl/>
        </w:rPr>
        <w:t>.</w:t>
      </w:r>
      <w:r w:rsidR="00E3253D" w:rsidRPr="005D642E">
        <w:rPr>
          <w:rtl/>
        </w:rPr>
        <w:t xml:space="preserve"> </w:t>
      </w:r>
      <w:r w:rsidR="00E3253D">
        <w:rPr>
          <w:rtl/>
        </w:rPr>
        <w:t>و «</w:t>
      </w:r>
      <w:r w:rsidR="00E3253D" w:rsidRPr="005D642E">
        <w:rPr>
          <w:rtl/>
        </w:rPr>
        <w:t xml:space="preserve"> اللِبْد » بكسر اللام وسكون الباء : بساط من صوف. </w:t>
      </w:r>
      <w:r w:rsidR="0001496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تَقْدِرُ </w:t>
      </w:r>
      <w:r w:rsidRPr="007C12DB">
        <w:rPr>
          <w:rStyle w:val="libFootnotenumChar"/>
          <w:rtl/>
        </w:rPr>
        <w:t>(1)</w:t>
      </w:r>
      <w:r w:rsidRPr="005D642E">
        <w:rPr>
          <w:rtl/>
          <w:lang w:bidi="fa-IR"/>
        </w:rPr>
        <w:t xml:space="preserve"> أَنْ تَنْفُضَهُ </w:t>
      </w:r>
      <w:r w:rsidRPr="007C12DB">
        <w:rPr>
          <w:rStyle w:val="libFootnotenumChar"/>
          <w:rtl/>
        </w:rPr>
        <w:t>(2)</w:t>
      </w:r>
      <w:r w:rsidRPr="005D642E">
        <w:rPr>
          <w:rtl/>
          <w:lang w:bidi="fa-IR"/>
        </w:rPr>
        <w:t xml:space="preserve"> ، وَتَتَيَمَّمَ بِهِ </w:t>
      </w:r>
      <w:r w:rsidRPr="007C12DB">
        <w:rPr>
          <w:rStyle w:val="libFootnotenumChar"/>
          <w:rtl/>
        </w:rPr>
        <w:t>(3)</w:t>
      </w:r>
      <w:r w:rsidRPr="005D642E">
        <w:rPr>
          <w:rtl/>
          <w:lang w:bidi="fa-IR"/>
        </w:rPr>
        <w:t xml:space="preserve"> »</w:t>
      </w:r>
      <w:r>
        <w:rPr>
          <w:rtl/>
          <w:lang w:bidi="fa-IR"/>
        </w:rPr>
        <w:t>.</w:t>
      </w:r>
      <w:r w:rsidRPr="005D642E">
        <w:rPr>
          <w:rtl/>
          <w:lang w:bidi="fa-IR"/>
        </w:rPr>
        <w:t xml:space="preserve"> </w:t>
      </w:r>
      <w:r w:rsidRPr="007C12DB">
        <w:rPr>
          <w:rStyle w:val="libFootnotenumChar"/>
          <w:rtl/>
        </w:rPr>
        <w:t>(4)</w:t>
      </w:r>
    </w:p>
    <w:p w:rsidR="00E3253D" w:rsidRPr="005D642E" w:rsidRDefault="007E4067" w:rsidP="00E3253D">
      <w:pPr>
        <w:pStyle w:val="libNormal"/>
        <w:rPr>
          <w:rtl/>
          <w:lang w:bidi="fa-IR"/>
        </w:rPr>
      </w:pPr>
      <w:r>
        <w:rPr>
          <w:rFonts w:hint="cs"/>
          <w:rtl/>
          <w:lang w:bidi="fa-IR"/>
        </w:rPr>
        <w:t xml:space="preserve">* </w:t>
      </w:r>
      <w:r w:rsidR="00E3253D" w:rsidRPr="005D642E">
        <w:rPr>
          <w:rtl/>
          <w:lang w:bidi="fa-IR"/>
        </w:rPr>
        <w:t xml:space="preserve">وَفِي رِوَايَةٍ أُخْرى : « صَعِيدٌ </w:t>
      </w:r>
      <w:r w:rsidR="00E3253D" w:rsidRPr="007C12DB">
        <w:rPr>
          <w:rStyle w:val="libFootnotenumChar"/>
          <w:rtl/>
        </w:rPr>
        <w:t>(5)</w:t>
      </w:r>
      <w:r w:rsidR="00E3253D" w:rsidRPr="005D642E">
        <w:rPr>
          <w:rtl/>
          <w:lang w:bidi="fa-IR"/>
        </w:rPr>
        <w:t xml:space="preserve"> طَيِّبٌ وَمَاءٌ طَهُورٌ »</w:t>
      </w:r>
      <w:r w:rsidR="00E3253D">
        <w:rPr>
          <w:rtl/>
          <w:lang w:bidi="fa-IR"/>
        </w:rPr>
        <w:t>.</w:t>
      </w:r>
      <w:r w:rsidR="00E3253D" w:rsidRPr="005D642E">
        <w:rPr>
          <w:rtl/>
          <w:lang w:bidi="fa-IR"/>
        </w:rPr>
        <w:t xml:space="preserve"> </w:t>
      </w:r>
      <w:r w:rsidR="00E3253D" w:rsidRPr="007C12DB">
        <w:rPr>
          <w:rStyle w:val="libFootnotenumChar"/>
          <w:rtl/>
        </w:rPr>
        <w:t>(6)</w:t>
      </w:r>
    </w:p>
    <w:p w:rsidR="00E3253D" w:rsidRPr="005D642E" w:rsidRDefault="00E3253D" w:rsidP="00E3253D">
      <w:pPr>
        <w:pStyle w:val="Heading2Center"/>
        <w:rPr>
          <w:rtl/>
          <w:lang w:bidi="fa-IR"/>
        </w:rPr>
      </w:pPr>
      <w:bookmarkStart w:id="162" w:name="_Toc344647264"/>
      <w:bookmarkStart w:id="163" w:name="_Toc462226779"/>
      <w:bookmarkStart w:id="164" w:name="_Toc40975887"/>
      <w:r w:rsidRPr="005D642E">
        <w:rPr>
          <w:rtl/>
          <w:lang w:bidi="fa-IR"/>
        </w:rPr>
        <w:t>45</w:t>
      </w:r>
      <w:r>
        <w:rPr>
          <w:rtl/>
          <w:lang w:bidi="fa-IR"/>
        </w:rPr>
        <w:t xml:space="preserve"> </w:t>
      </w:r>
      <w:r w:rsidR="007642BC">
        <w:rPr>
          <w:rtl/>
          <w:lang w:bidi="fa-IR"/>
        </w:rPr>
        <w:t>-</w:t>
      </w:r>
      <w:r>
        <w:rPr>
          <w:rtl/>
          <w:lang w:bidi="fa-IR"/>
        </w:rPr>
        <w:t xml:space="preserve"> </w:t>
      </w:r>
      <w:r w:rsidRPr="005D642E">
        <w:rPr>
          <w:rtl/>
          <w:lang w:bidi="fa-IR"/>
        </w:rPr>
        <w:t xml:space="preserve">بَابُ الْكَسِيرِ وَالْمَجْدُورِ </w:t>
      </w:r>
      <w:r w:rsidRPr="007C12DB">
        <w:rPr>
          <w:rStyle w:val="libFootnotenumChar"/>
          <w:rtl/>
        </w:rPr>
        <w:t>(7)</w:t>
      </w:r>
      <w:r>
        <w:rPr>
          <w:rtl/>
        </w:rPr>
        <w:t xml:space="preserve"> </w:t>
      </w:r>
      <w:r w:rsidRPr="005D642E">
        <w:rPr>
          <w:rtl/>
          <w:lang w:bidi="fa-IR"/>
        </w:rPr>
        <w:t xml:space="preserve">وَمَنْ بِهِ الْجِرَاحَاتُ وَتُصِيبُهُمُ </w:t>
      </w:r>
      <w:r w:rsidRPr="007C12DB">
        <w:rPr>
          <w:rStyle w:val="libFootnotenumChar"/>
          <w:rtl/>
        </w:rPr>
        <w:t>(8)</w:t>
      </w:r>
      <w:r>
        <w:rPr>
          <w:rtl/>
        </w:rPr>
        <w:t xml:space="preserve"> </w:t>
      </w:r>
      <w:r w:rsidRPr="005D642E">
        <w:rPr>
          <w:rtl/>
          <w:lang w:bidi="fa-IR"/>
        </w:rPr>
        <w:t>الْجَنَابَةُ‌</w:t>
      </w:r>
      <w:bookmarkEnd w:id="162"/>
      <w:bookmarkEnd w:id="163"/>
      <w:bookmarkEnd w:id="164"/>
    </w:p>
    <w:p w:rsidR="00E3253D" w:rsidRPr="005D642E" w:rsidRDefault="00E3253D" w:rsidP="00E3253D">
      <w:pPr>
        <w:pStyle w:val="libNormal"/>
        <w:rPr>
          <w:rtl/>
          <w:lang w:bidi="fa-IR"/>
        </w:rPr>
      </w:pPr>
      <w:r w:rsidRPr="00CF7610">
        <w:rPr>
          <w:rtl/>
        </w:rPr>
        <w:t>4126</w:t>
      </w:r>
      <w:r w:rsidRPr="00246318">
        <w:rPr>
          <w:rStyle w:val="libBold2Char"/>
          <w:rtl/>
        </w:rPr>
        <w:t xml:space="preserve"> / 1.</w:t>
      </w:r>
      <w:r w:rsidRPr="005D642E">
        <w:rPr>
          <w:rtl/>
          <w:lang w:bidi="fa-IR"/>
        </w:rPr>
        <w:t xml:space="preserve"> مُحَمَّدُ بْنُ يَحْيى ، عَنْ أَحْمَدَ بْنِ مُحَمَّدٍ ، عَنِ ابْنِ مَحْبُوبٍ ، عَنْ أَبِي أَيُّوبَ الْخَرَّازِ </w:t>
      </w:r>
      <w:r w:rsidRPr="007C12DB">
        <w:rPr>
          <w:rStyle w:val="libFootnotenumChar"/>
          <w:rtl/>
        </w:rPr>
        <w:t>(9)</w:t>
      </w:r>
      <w:r w:rsidRPr="005D642E">
        <w:rPr>
          <w:rtl/>
          <w:lang w:bidi="fa-IR"/>
        </w:rPr>
        <w:t xml:space="preserve"> ، عَنْ مُحَمَّدِ بْنِ مُسْلِمٍ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عَنِ الرَّجُلِ يَكُونُ </w:t>
      </w:r>
      <w:r w:rsidRPr="007C12DB">
        <w:rPr>
          <w:rStyle w:val="libFootnotenumChar"/>
          <w:rtl/>
        </w:rPr>
        <w:t>(10)</w:t>
      </w:r>
      <w:r w:rsidRPr="005D642E">
        <w:rPr>
          <w:rtl/>
          <w:lang w:bidi="fa-IR"/>
        </w:rPr>
        <w:t xml:space="preserve"> بِهِ الْقَرْحُ </w:t>
      </w:r>
      <w:r w:rsidRPr="007C12DB">
        <w:rPr>
          <w:rStyle w:val="libFootnotenumChar"/>
          <w:rtl/>
        </w:rPr>
        <w:t>(11)</w:t>
      </w:r>
      <w:r w:rsidRPr="005D642E">
        <w:rPr>
          <w:rtl/>
          <w:lang w:bidi="fa-IR"/>
        </w:rPr>
        <w:t xml:space="preserve"> وَالْجِرَاحَةُ يُجْنِبُ</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7E4067" w:rsidP="00E3253D">
      <w:pPr>
        <w:pStyle w:val="libFootnote0"/>
        <w:rPr>
          <w:rtl/>
          <w:lang w:bidi="fa-IR"/>
        </w:rPr>
      </w:pPr>
      <w:r>
        <w:rPr>
          <w:rFonts w:hint="cs"/>
          <w:rtl/>
        </w:rPr>
        <w:t xml:space="preserve">= </w:t>
      </w:r>
      <w:r w:rsidR="00E3253D" w:rsidRPr="005D642E">
        <w:rPr>
          <w:rtl/>
        </w:rPr>
        <w:t xml:space="preserve">وكلّ شعر أو صوف متلبّد ، أي متداخلة أجزاؤه ولزق بعضها على بعض. وما يوضع تحت السرج. والظاهر أنّ المراد هنا هو الأخير ، على ما يظهر من كلام الشيخ البهائي. راجع : </w:t>
      </w:r>
      <w:r w:rsidR="00E3253D" w:rsidRPr="002F4D34">
        <w:rPr>
          <w:rStyle w:val="libFootnoteBoldChar"/>
          <w:rtl/>
        </w:rPr>
        <w:t>لسان العرب</w:t>
      </w:r>
      <w:r w:rsidR="00E3253D" w:rsidRPr="005D642E">
        <w:rPr>
          <w:rtl/>
        </w:rPr>
        <w:t xml:space="preserve"> ، ج 3 ، ص 386 ؛ </w:t>
      </w:r>
      <w:r w:rsidR="00E3253D" w:rsidRPr="002F4D34">
        <w:rPr>
          <w:rStyle w:val="libFootnoteBoldChar"/>
          <w:rtl/>
        </w:rPr>
        <w:t>القاموس‌المحيط</w:t>
      </w:r>
      <w:r w:rsidR="00E3253D" w:rsidRPr="005D642E">
        <w:rPr>
          <w:rtl/>
        </w:rPr>
        <w:t xml:space="preserve"> ، ج 1 ، ص 457 ( لبد ) ؛ </w:t>
      </w:r>
      <w:r w:rsidR="00E3253D" w:rsidRPr="002F4D34">
        <w:rPr>
          <w:rStyle w:val="libFootnoteBoldChar"/>
          <w:rtl/>
        </w:rPr>
        <w:t>الحبل المتين</w:t>
      </w:r>
      <w:r w:rsidR="00E3253D" w:rsidRPr="005D642E">
        <w:rPr>
          <w:rtl/>
        </w:rPr>
        <w:t xml:space="preserve"> ، ص 305.</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 « يقدر »</w:t>
      </w:r>
      <w:r w:rsidR="00E3253D">
        <w:rPr>
          <w:rtl/>
        </w:rPr>
        <w:t>.</w:t>
      </w:r>
      <w:r w:rsidR="00E3253D" w:rsidRPr="005D642E">
        <w:rPr>
          <w:rtl/>
        </w:rPr>
        <w:t xml:space="preserve"> وفي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على »</w:t>
      </w:r>
      <w:r w:rsidR="00E3253D">
        <w:rPr>
          <w:rtl/>
        </w:rPr>
        <w:t>.</w:t>
      </w:r>
    </w:p>
    <w:p w:rsidR="00E3253D" w:rsidRPr="005D642E" w:rsidRDefault="0042621E" w:rsidP="007E4067">
      <w:pPr>
        <w:pStyle w:val="libFootnote0"/>
        <w:rPr>
          <w:rtl/>
          <w:lang w:bidi="fa-IR"/>
        </w:rPr>
      </w:pPr>
      <w:r w:rsidRPr="0042621E">
        <w:rPr>
          <w:rStyle w:val="libFootnote0Char"/>
          <w:rtl/>
        </w:rPr>
        <w:t>(2).</w:t>
      </w:r>
      <w:r w:rsidR="00E3253D" w:rsidRPr="005D642E">
        <w:rPr>
          <w:rtl/>
        </w:rPr>
        <w:t xml:space="preserve"> في « بث » : « أن ينفصه »</w:t>
      </w:r>
      <w:r w:rsidR="00E3253D">
        <w:rPr>
          <w:rtl/>
        </w:rPr>
        <w:t>.</w:t>
      </w:r>
      <w:r w:rsidR="00E3253D" w:rsidRPr="005D642E">
        <w:rPr>
          <w:rtl/>
        </w:rPr>
        <w:t xml:space="preserve"> وفي « بخ » : « أن تنقصه »</w:t>
      </w:r>
      <w:r w:rsidR="00E3253D">
        <w:rPr>
          <w:rtl/>
        </w:rPr>
        <w:t>.</w:t>
      </w:r>
      <w:r w:rsidR="00E3253D" w:rsidRPr="005D642E">
        <w:rPr>
          <w:rtl/>
        </w:rPr>
        <w:t xml:space="preserve"> وفي « جس » : « أن نفصه »</w:t>
      </w:r>
      <w:r w:rsidR="00E3253D">
        <w:rPr>
          <w:rtl/>
        </w:rPr>
        <w:t>.</w:t>
      </w:r>
      <w:r w:rsidR="00E3253D" w:rsidRPr="005D642E">
        <w:rPr>
          <w:rtl/>
        </w:rPr>
        <w:t xml:space="preserve"> وفي « جن » : « أن تنفصه »</w:t>
      </w:r>
      <w:r w:rsidR="00E3253D">
        <w:rPr>
          <w:rtl/>
        </w:rPr>
        <w:t>.</w:t>
      </w:r>
      <w:r w:rsidR="00E3253D" w:rsidRPr="005D642E">
        <w:rPr>
          <w:rtl/>
        </w:rPr>
        <w:t xml:space="preserve"> </w:t>
      </w:r>
      <w:r w:rsidR="00E3253D">
        <w:rPr>
          <w:rtl/>
        </w:rPr>
        <w:t>و «</w:t>
      </w:r>
      <w:r w:rsidR="00E3253D" w:rsidRPr="005D642E">
        <w:rPr>
          <w:rtl/>
        </w:rPr>
        <w:t xml:space="preserve"> النَفْض » : تحريك الشي‌ء ليسقط ما عليه من غبار أو غيره ، وفعله من باب قتل. راجع : </w:t>
      </w:r>
      <w:r w:rsidR="00E3253D" w:rsidRPr="002F4D34">
        <w:rPr>
          <w:rStyle w:val="libFootnoteBoldChar"/>
          <w:rtl/>
        </w:rPr>
        <w:t>المغرب</w:t>
      </w:r>
      <w:r w:rsidR="00E3253D" w:rsidRPr="005D642E">
        <w:rPr>
          <w:rtl/>
        </w:rPr>
        <w:t xml:space="preserve"> ، ص 461 ؛ </w:t>
      </w:r>
      <w:r w:rsidR="00E3253D" w:rsidRPr="002F4D34">
        <w:rPr>
          <w:rStyle w:val="libFootnoteBoldChar"/>
          <w:rtl/>
        </w:rPr>
        <w:t>المصباح المنير</w:t>
      </w:r>
      <w:r w:rsidR="00E3253D" w:rsidRPr="005D642E">
        <w:rPr>
          <w:rtl/>
        </w:rPr>
        <w:t xml:space="preserve"> ، ص 618 ( نفض )</w:t>
      </w:r>
      <w:r w:rsidR="00E3253D">
        <w:rPr>
          <w:rtl/>
        </w:rPr>
        <w:t>.</w:t>
      </w:r>
      <w:r w:rsidR="007E4067">
        <w:rPr>
          <w:rFonts w:hint="cs"/>
          <w:rtl/>
        </w:rPr>
        <w:t xml:space="preserve">        </w:t>
      </w:r>
      <w:r w:rsidRPr="0042621E">
        <w:rPr>
          <w:rStyle w:val="libFootnote0Char"/>
          <w:rtl/>
        </w:rPr>
        <w:t>(3).</w:t>
      </w:r>
      <w:r w:rsidR="00E3253D" w:rsidRPr="005D642E">
        <w:rPr>
          <w:rtl/>
        </w:rPr>
        <w:t xml:space="preserve"> في « جس ، جن » : « تيمّم »</w:t>
      </w:r>
      <w:r w:rsidR="00E3253D">
        <w:rPr>
          <w:rtl/>
        </w:rPr>
        <w:t>.</w:t>
      </w:r>
    </w:p>
    <w:p w:rsidR="00E3253D" w:rsidRPr="005D642E" w:rsidRDefault="0042621E" w:rsidP="007E4067">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189 ، ح 543 ؛ </w:t>
      </w:r>
      <w:r w:rsidR="00E3253D" w:rsidRPr="00E678B5">
        <w:rPr>
          <w:rStyle w:val="libFootnoteBoldChar"/>
          <w:rtl/>
        </w:rPr>
        <w:t>والاستبصار</w:t>
      </w:r>
      <w:r w:rsidR="00E3253D" w:rsidRPr="005D642E">
        <w:rPr>
          <w:rtl/>
        </w:rPr>
        <w:t xml:space="preserve"> ، ج 1 ، ص 156 ، ح 537 ، بسندهما عن محمّد بن يحيى ، عن محمّد بن أحمد بن يحيى ، عن العبّاس بن معروف ، عن الحسن بن محبوب ، عن عليّ بن رئاب. </w:t>
      </w:r>
      <w:r w:rsidR="00E3253D" w:rsidRPr="002F4D34">
        <w:rPr>
          <w:rStyle w:val="libFootnoteBoldChar"/>
          <w:rtl/>
        </w:rPr>
        <w:t>الفقيه</w:t>
      </w:r>
      <w:r w:rsidR="00E3253D" w:rsidRPr="005D642E">
        <w:rPr>
          <w:rtl/>
        </w:rPr>
        <w:t xml:space="preserve"> ، ج 1 ، ص 109 ، ذيل ح 225 ، مع اختلاف يسير</w:t>
      </w:r>
      <w:r w:rsidR="007E4067">
        <w:rPr>
          <w:rFonts w:hint="cs"/>
          <w:rtl/>
        </w:rPr>
        <w:t>.</w:t>
      </w:r>
      <w:r w:rsidR="00E3253D" w:rsidRPr="002F4D34">
        <w:rPr>
          <w:rStyle w:val="libFootnoteBoldChar"/>
          <w:rtl/>
        </w:rPr>
        <w:t>الوافي</w:t>
      </w:r>
      <w:r w:rsidR="00E3253D" w:rsidRPr="005D642E">
        <w:rPr>
          <w:rtl/>
        </w:rPr>
        <w:t xml:space="preserve"> ، ج 6 ، ص 574 ، ح 4966 ؛ </w:t>
      </w:r>
      <w:r w:rsidR="00E3253D" w:rsidRPr="002F4D34">
        <w:rPr>
          <w:rStyle w:val="libFootnoteBoldChar"/>
          <w:rtl/>
        </w:rPr>
        <w:t>الوسائل</w:t>
      </w:r>
      <w:r w:rsidR="00E3253D" w:rsidRPr="005D642E">
        <w:rPr>
          <w:rtl/>
        </w:rPr>
        <w:t xml:space="preserve"> ، ج 3 ، ص 354 ، ح 3852.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مضى تحقيق معنى الصعيد ، ذيل الحديث 4116 ، فلاحظ.</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6 ، ص 574 ، ح 4967 ؛ </w:t>
      </w:r>
      <w:r w:rsidR="00E3253D" w:rsidRPr="002F4D34">
        <w:rPr>
          <w:rStyle w:val="libFootnoteBoldChar"/>
          <w:rtl/>
        </w:rPr>
        <w:t>الوسائل</w:t>
      </w:r>
      <w:r w:rsidR="00E3253D" w:rsidRPr="005D642E">
        <w:rPr>
          <w:rtl/>
        </w:rPr>
        <w:t xml:space="preserve"> ، ج 3 ، ص 354 ، ح 3853.</w:t>
      </w:r>
    </w:p>
    <w:p w:rsidR="00E3253D" w:rsidRPr="005D642E" w:rsidRDefault="0042621E" w:rsidP="00487516">
      <w:pPr>
        <w:pStyle w:val="libFootnote0"/>
        <w:rPr>
          <w:rtl/>
          <w:lang w:bidi="fa-IR"/>
        </w:rPr>
      </w:pPr>
      <w:r w:rsidRPr="0042621E">
        <w:rPr>
          <w:rStyle w:val="libFootnote0Char"/>
          <w:rtl/>
        </w:rPr>
        <w:t>(7).</w:t>
      </w:r>
      <w:r w:rsidR="00E3253D" w:rsidRPr="005D642E">
        <w:rPr>
          <w:rtl/>
        </w:rPr>
        <w:t xml:space="preserve"> « المجدور » : من يأخذه الجُدَريّ بضمّ الجيم وفتح الدال وبفتحهما لغتان ، وهي قروح تتنفّط عن الجلد ممتلئة ماءً ثمّ تنفتح ، وصاحبها جدير ، مجدَّر ومجدور. راجع : </w:t>
      </w:r>
      <w:r w:rsidR="00E3253D" w:rsidRPr="002F4D34">
        <w:rPr>
          <w:rStyle w:val="libFootnoteBoldChar"/>
          <w:rtl/>
        </w:rPr>
        <w:t>لسان العرب</w:t>
      </w:r>
      <w:r w:rsidR="00E3253D" w:rsidRPr="005D642E">
        <w:rPr>
          <w:rtl/>
        </w:rPr>
        <w:t xml:space="preserve"> ، ج 4 ، ص 120 ؛ </w:t>
      </w:r>
      <w:r w:rsidR="00E3253D" w:rsidRPr="002F4D34">
        <w:rPr>
          <w:rStyle w:val="libFootnoteBoldChar"/>
          <w:rtl/>
        </w:rPr>
        <w:t>المصباح المنير</w:t>
      </w:r>
      <w:r w:rsidR="00E3253D" w:rsidRPr="005D642E">
        <w:rPr>
          <w:rtl/>
        </w:rPr>
        <w:t xml:space="preserve"> ، ص 93 ( جدر )</w:t>
      </w:r>
      <w:r w:rsidR="00E3253D">
        <w:rPr>
          <w:rtl/>
        </w:rPr>
        <w:t>.</w:t>
      </w:r>
      <w:r w:rsidR="00487516">
        <w:rPr>
          <w:rFonts w:hint="cs"/>
          <w:rtl/>
        </w:rPr>
        <w:t xml:space="preserve">                                             </w:t>
      </w:r>
      <w:r w:rsidRPr="0042621E">
        <w:rPr>
          <w:rStyle w:val="libFootnote0Char"/>
          <w:rtl/>
        </w:rPr>
        <w:t>(8).</w:t>
      </w:r>
      <w:r w:rsidR="00E3253D" w:rsidRPr="005D642E">
        <w:rPr>
          <w:rtl/>
        </w:rPr>
        <w:t xml:space="preserve"> في «ظ»:«تصيبهم»بدون الواو.وفي«غ»:«ويصيبهم»</w:t>
      </w:r>
      <w:r w:rsidR="00E3253D">
        <w:rPr>
          <w:rtl/>
        </w:rPr>
        <w:t>.</w:t>
      </w:r>
    </w:p>
    <w:p w:rsidR="00E3253D" w:rsidRPr="005D642E" w:rsidRDefault="0042621E" w:rsidP="00487516">
      <w:pPr>
        <w:pStyle w:val="libFootnote0"/>
        <w:rPr>
          <w:rtl/>
          <w:lang w:bidi="fa-IR"/>
        </w:rPr>
      </w:pPr>
      <w:r w:rsidRPr="0042621E">
        <w:rPr>
          <w:rStyle w:val="libFootnote0Char"/>
          <w:rtl/>
        </w:rPr>
        <w:t>(9).</w:t>
      </w:r>
      <w:r w:rsidR="00E3253D" w:rsidRPr="005D642E">
        <w:rPr>
          <w:rtl/>
        </w:rPr>
        <w:t xml:space="preserve"> هكذا في « بث ، بخ ، جح »</w:t>
      </w:r>
      <w:r w:rsidR="00E3253D">
        <w:rPr>
          <w:rtl/>
        </w:rPr>
        <w:t>.</w:t>
      </w:r>
      <w:r w:rsidR="00E3253D" w:rsidRPr="005D642E">
        <w:rPr>
          <w:rtl/>
        </w:rPr>
        <w:t xml:space="preserve"> وفي « ظ ، ى ، بح ، بس ، بف ، جن » والمطبوع : « الخزّاز »</w:t>
      </w:r>
      <w:r w:rsidR="00E3253D">
        <w:rPr>
          <w:rtl/>
        </w:rPr>
        <w:t>.</w:t>
      </w:r>
      <w:r w:rsidR="00E3253D" w:rsidRPr="005D642E">
        <w:rPr>
          <w:rtl/>
        </w:rPr>
        <w:t xml:space="preserve"> والصواب ما أثبتناه كما تقدّم في </w:t>
      </w:r>
      <w:r w:rsidR="00E3253D" w:rsidRPr="002F4D34">
        <w:rPr>
          <w:rStyle w:val="libFootnoteBoldChar"/>
          <w:rtl/>
        </w:rPr>
        <w:t>الكافي</w:t>
      </w:r>
      <w:r w:rsidR="00E3253D" w:rsidRPr="005D642E">
        <w:rPr>
          <w:rtl/>
        </w:rPr>
        <w:t xml:space="preserve"> ، ذيل ح 75.</w:t>
      </w:r>
      <w:r w:rsidR="00487516">
        <w:rPr>
          <w:rFonts w:hint="cs"/>
          <w:rtl/>
        </w:rPr>
        <w:t xml:space="preserve">            </w:t>
      </w:r>
      <w:r w:rsidRPr="0042621E">
        <w:rPr>
          <w:rStyle w:val="libFootnote0Char"/>
          <w:rtl/>
        </w:rPr>
        <w:t>(10).</w:t>
      </w:r>
      <w:r w:rsidR="00E3253D" w:rsidRPr="005D642E">
        <w:rPr>
          <w:rtl/>
        </w:rPr>
        <w:t xml:space="preserve"> في الوسائل : « تكون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 القَرْح » : الحبّة تخرج في البدن. وقيل أيضاً : هو البَثْر إذا ترامى إلى فساد. والبثر : الخراج ، وهو كلّ ما يخرج بالبدن كالدمّل. راجع : </w:t>
      </w:r>
      <w:r w:rsidR="00E3253D" w:rsidRPr="002F4D34">
        <w:rPr>
          <w:rStyle w:val="libFootnoteBoldChar"/>
          <w:rtl/>
        </w:rPr>
        <w:t>لسان العرب</w:t>
      </w:r>
      <w:r w:rsidR="00E3253D" w:rsidRPr="005D642E">
        <w:rPr>
          <w:rtl/>
        </w:rPr>
        <w:t xml:space="preserve"> ، ج 2 ، ص 557 ؛ </w:t>
      </w:r>
      <w:r w:rsidR="00E3253D" w:rsidRPr="002F4D34">
        <w:rPr>
          <w:rStyle w:val="libFootnoteBoldChar"/>
          <w:rtl/>
        </w:rPr>
        <w:t xml:space="preserve">مجمع‌البحرين </w:t>
      </w:r>
      <w:r w:rsidR="00E3253D" w:rsidRPr="005D642E">
        <w:rPr>
          <w:rtl/>
        </w:rPr>
        <w:t>، ج 2 ، ص 403 ( قرح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لَا بَأْسَ بِأَنْ لَايَغْتَسِلَ ، وَيَتَيَمَّمَ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p>
    <w:p w:rsidR="00E3253D" w:rsidRPr="005D642E" w:rsidRDefault="00E3253D" w:rsidP="00E3253D">
      <w:pPr>
        <w:pStyle w:val="libNormal"/>
        <w:rPr>
          <w:rtl/>
          <w:lang w:bidi="fa-IR"/>
        </w:rPr>
      </w:pPr>
      <w:r w:rsidRPr="00CF7610">
        <w:rPr>
          <w:rtl/>
        </w:rPr>
        <w:t>4127</w:t>
      </w:r>
      <w:r w:rsidRPr="00246318">
        <w:rPr>
          <w:rStyle w:val="libBold2Char"/>
          <w:rtl/>
        </w:rPr>
        <w:t xml:space="preserve"> / 2.</w:t>
      </w:r>
      <w:r w:rsidRPr="005D642E">
        <w:rPr>
          <w:rtl/>
          <w:lang w:bidi="fa-IR"/>
        </w:rPr>
        <w:t xml:space="preserve"> عَلِيُّ بْنُ إِبْرَاهِيمَ ، عَنْ أَبِيهِ ، عَنِ ابْنِ أَبِي عُمَيْرٍ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قَالَ </w:t>
      </w:r>
      <w:r w:rsidRPr="007C12DB">
        <w:rPr>
          <w:rStyle w:val="libFootnotenumChar"/>
          <w:rtl/>
        </w:rPr>
        <w:t>(3)</w:t>
      </w:r>
      <w:r w:rsidRPr="005D642E">
        <w:rPr>
          <w:rtl/>
          <w:lang w:bidi="fa-IR"/>
        </w:rPr>
        <w:t xml:space="preserve"> : « يَتَيَمَّمُ الْمَجْدُورُ وَالْكَسِيرُ بِالتُّرَابِ إِذَا أَصَابَتْهُ </w:t>
      </w:r>
      <w:r w:rsidRPr="007C12DB">
        <w:rPr>
          <w:rStyle w:val="libFootnotenumChar"/>
          <w:rtl/>
        </w:rPr>
        <w:t>(4)</w:t>
      </w:r>
      <w:r w:rsidRPr="005D642E">
        <w:rPr>
          <w:rtl/>
          <w:lang w:bidi="fa-IR"/>
        </w:rPr>
        <w:t xml:space="preserve"> الْجَنَابَةُ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p>
    <w:p w:rsidR="00E3253D" w:rsidRPr="005D642E" w:rsidRDefault="00E3253D" w:rsidP="00E3253D">
      <w:pPr>
        <w:pStyle w:val="libNormal"/>
        <w:rPr>
          <w:rtl/>
          <w:lang w:bidi="fa-IR"/>
        </w:rPr>
      </w:pPr>
      <w:r w:rsidRPr="00CF7610">
        <w:rPr>
          <w:rtl/>
        </w:rPr>
        <w:t>4128</w:t>
      </w:r>
      <w:r w:rsidRPr="00246318">
        <w:rPr>
          <w:rStyle w:val="libBold2Char"/>
          <w:rtl/>
        </w:rPr>
        <w:t xml:space="preserve"> / 3.</w:t>
      </w:r>
      <w:r w:rsidRPr="005D642E">
        <w:rPr>
          <w:rtl/>
          <w:lang w:bidi="fa-IR"/>
        </w:rPr>
        <w:t xml:space="preserve"> عِدَّةٌ مِنْ أَصْحَابِنَا ، عَنْ أَحْمَدَ بْنِ مُحَمَّدٍ ، عَنْ عَلِيِّ بْنِ أَحْمَدَ رَفَعَهُ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مَجْدُورٍ أَصَابَتْهُ جَنَابَةٌ</w:t>
      </w:r>
      <w:r>
        <w:rPr>
          <w:rtl/>
          <w:lang w:bidi="fa-IR"/>
        </w:rPr>
        <w:t>؟</w:t>
      </w:r>
    </w:p>
    <w:p w:rsidR="00E3253D" w:rsidRPr="005D642E" w:rsidRDefault="00E3253D" w:rsidP="00E3253D">
      <w:pPr>
        <w:pStyle w:val="libNormal"/>
        <w:rPr>
          <w:rtl/>
          <w:lang w:bidi="fa-IR"/>
        </w:rPr>
      </w:pPr>
      <w:r w:rsidRPr="005D642E">
        <w:rPr>
          <w:rtl/>
          <w:lang w:bidi="fa-IR"/>
        </w:rPr>
        <w:t>قَالَ : « إِنْ كَانَ أَجْنَبَ هُوَ ، فَلْيَغْتَسِلْ ؛ وَإِنْ كَانَ احْتَلَمَ ، فَلْيَتَيَمَّمْ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CF7610">
        <w:rPr>
          <w:rtl/>
        </w:rPr>
        <w:t>4129</w:t>
      </w:r>
      <w:r w:rsidRPr="00246318">
        <w:rPr>
          <w:rStyle w:val="libBold2Char"/>
          <w:rtl/>
        </w:rPr>
        <w:t xml:space="preserve"> / 4.</w:t>
      </w:r>
      <w:r w:rsidRPr="005D642E">
        <w:rPr>
          <w:rtl/>
          <w:lang w:bidi="fa-IR"/>
        </w:rPr>
        <w:t xml:space="preserve"> أَحْمَدُ بْنُ مُحَمَّدٍ </w:t>
      </w:r>
      <w:r w:rsidRPr="007C12DB">
        <w:rPr>
          <w:rStyle w:val="libFootnotenumChar"/>
          <w:rtl/>
        </w:rPr>
        <w:t>(8)</w:t>
      </w:r>
      <w:r w:rsidRPr="005D642E">
        <w:rPr>
          <w:rtl/>
          <w:lang w:bidi="fa-IR"/>
        </w:rPr>
        <w:t xml:space="preserve"> ، عَنْ بَكْرِ بْنِ صَالِحٍ وَابْنِ فَضَّالٍ ، عَنْ عَبْدِ اللهِ بْنِ إِبْرَاهِيمَ الْغِفَارِيِّ ، عَنْ جَعْفَرِ بْنِ إِبْرَاهِيمَ الْجَعْفَرِيِّ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النَّبِيَّ </w:t>
      </w:r>
      <w:r w:rsidR="0042621E" w:rsidRPr="0042621E">
        <w:rPr>
          <w:rStyle w:val="libAlaemChar"/>
          <w:rtl/>
        </w:rPr>
        <w:t>صلى‌الله‌عليه‌وآله</w:t>
      </w:r>
      <w:r w:rsidRPr="005D642E">
        <w:rPr>
          <w:rtl/>
          <w:lang w:bidi="fa-IR"/>
        </w:rPr>
        <w:t xml:space="preserve"> ذُكِرَ لَهُ أَنَّ رَجُلاً أَصَابَتْهُ جَنَابَةٌ عَلى جُرْحٍ‌</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ى ، بث ، بخ ، بس ، بف ، جس ، جن » </w:t>
      </w:r>
      <w:r w:rsidR="000D749A" w:rsidRPr="000D749A">
        <w:rPr>
          <w:rStyle w:val="libFootnoteBoldChar"/>
          <w:rtl/>
        </w:rPr>
        <w:t>والوافي</w:t>
      </w:r>
      <w:r w:rsidR="00E3253D" w:rsidRPr="005D642E">
        <w:rPr>
          <w:rtl/>
        </w:rPr>
        <w:t xml:space="preserve"> : « يتيمّم » بدون الواو.</w:t>
      </w:r>
    </w:p>
    <w:p w:rsidR="00E3253D" w:rsidRPr="005D642E" w:rsidRDefault="0042621E" w:rsidP="00D76BF8">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184 ، ح 530 ، معلّقاً عن الحسن بن محبوب ؛ </w:t>
      </w:r>
      <w:r w:rsidR="00E3253D" w:rsidRPr="002F4D34">
        <w:rPr>
          <w:rStyle w:val="libFootnoteBoldChar"/>
          <w:rtl/>
        </w:rPr>
        <w:t>الفقيه</w:t>
      </w:r>
      <w:r w:rsidR="00E3253D" w:rsidRPr="005D642E">
        <w:rPr>
          <w:rtl/>
        </w:rPr>
        <w:t xml:space="preserve"> ، ج 1 ، ص 107 ، ح 217 ، معلّقاً عن محمّد بن مسلم. </w:t>
      </w:r>
      <w:r w:rsidR="00E3253D" w:rsidRPr="002F4D34">
        <w:rPr>
          <w:rStyle w:val="libFootnoteBoldChar"/>
          <w:rtl/>
        </w:rPr>
        <w:t>التهذيب</w:t>
      </w:r>
      <w:r w:rsidR="00E3253D" w:rsidRPr="005D642E">
        <w:rPr>
          <w:rtl/>
        </w:rPr>
        <w:t xml:space="preserve"> ، ج 1 ، ص 185 ، ح 531 ، بسند آخر عن أبي عبدالله </w:t>
      </w:r>
      <w:r w:rsidR="00E3253D" w:rsidRPr="00D76BF8">
        <w:rPr>
          <w:rStyle w:val="libFootnoteAlaemChar"/>
          <w:rtl/>
        </w:rPr>
        <w:t>عليه‌السلام</w:t>
      </w:r>
      <w:r w:rsidR="00E3253D" w:rsidRPr="005D642E">
        <w:rPr>
          <w:rtl/>
        </w:rPr>
        <w:t xml:space="preserve"> ؛ </w:t>
      </w:r>
      <w:r w:rsidR="00E3253D" w:rsidRPr="002F4D34">
        <w:rPr>
          <w:rStyle w:val="libFootnoteBoldChar"/>
          <w:rtl/>
        </w:rPr>
        <w:t>وفيه</w:t>
      </w:r>
      <w:r w:rsidR="00E3253D" w:rsidRPr="005D642E">
        <w:rPr>
          <w:rtl/>
        </w:rPr>
        <w:t xml:space="preserve"> ، ص 196 ، ح 566 ، بسند آخر عن الرضا </w:t>
      </w:r>
      <w:r w:rsidR="00E3253D" w:rsidRPr="00D76BF8">
        <w:rPr>
          <w:rStyle w:val="libFootnoteAlaemChar"/>
          <w:rtl/>
        </w:rPr>
        <w:t>عليه‌السلام</w:t>
      </w:r>
      <w:r w:rsidR="00E3253D" w:rsidRPr="005D642E">
        <w:rPr>
          <w:rtl/>
        </w:rPr>
        <w:t xml:space="preserve"> ، وفي كلّ المصادر مع اختلاف يسير. </w:t>
      </w:r>
      <w:r w:rsidR="00E3253D" w:rsidRPr="002F4D34">
        <w:rPr>
          <w:rStyle w:val="libFootnoteBoldChar"/>
          <w:rtl/>
        </w:rPr>
        <w:t>التهذيب</w:t>
      </w:r>
      <w:r w:rsidR="00E3253D" w:rsidRPr="005D642E">
        <w:rPr>
          <w:rtl/>
        </w:rPr>
        <w:t xml:space="preserve"> ، ج 1 ، ص 185 ، ح 532 ، بسند آخر عن أحدهما </w:t>
      </w:r>
      <w:r w:rsidR="00E3253D" w:rsidRPr="00D76BF8">
        <w:rPr>
          <w:rStyle w:val="libFootnoteAlaemChar"/>
          <w:rtl/>
        </w:rPr>
        <w:t>عليهما‌السلام</w:t>
      </w:r>
      <w:r w:rsidR="00E3253D" w:rsidRPr="005D642E">
        <w:rPr>
          <w:rtl/>
        </w:rPr>
        <w:t xml:space="preserve"> ؛ </w:t>
      </w:r>
      <w:r w:rsidR="00E3253D" w:rsidRPr="002F4D34">
        <w:rPr>
          <w:rStyle w:val="libFootnoteBoldChar"/>
          <w:rtl/>
        </w:rPr>
        <w:t>الجعفريّات</w:t>
      </w:r>
      <w:r w:rsidR="00E3253D" w:rsidRPr="005D642E">
        <w:rPr>
          <w:rtl/>
        </w:rPr>
        <w:t xml:space="preserve"> ، ص 24 ، بسند آخر عن جعفر بن محمّد ، عن أبيه ، عن عليّ </w:t>
      </w:r>
      <w:r w:rsidR="00E3253D" w:rsidRPr="00D76BF8">
        <w:rPr>
          <w:rStyle w:val="libFootnoteAlaemChar"/>
          <w:rtl/>
        </w:rPr>
        <w:t>عليهم‌السلام</w:t>
      </w:r>
      <w:r w:rsidR="00E3253D" w:rsidRPr="005D642E">
        <w:rPr>
          <w:rtl/>
        </w:rPr>
        <w:t xml:space="preserve"> ، وفيهما مع اختلاف</w:t>
      </w:r>
      <w:r w:rsidR="00D76BF8">
        <w:rPr>
          <w:rFonts w:hint="cs"/>
          <w:rtl/>
        </w:rPr>
        <w:t>.</w:t>
      </w:r>
      <w:r w:rsidR="00E3253D" w:rsidRPr="002F4D34">
        <w:rPr>
          <w:rStyle w:val="libFootnoteBoldChar"/>
          <w:rtl/>
        </w:rPr>
        <w:t>الوافي</w:t>
      </w:r>
      <w:r w:rsidR="00E3253D" w:rsidRPr="005D642E">
        <w:rPr>
          <w:rtl/>
        </w:rPr>
        <w:t xml:space="preserve"> ، ج 6 ، ص 549 ، ح 4902 ؛ </w:t>
      </w:r>
      <w:r w:rsidR="00E3253D" w:rsidRPr="002F4D34">
        <w:rPr>
          <w:rStyle w:val="libFootnoteBoldChar"/>
          <w:rtl/>
        </w:rPr>
        <w:t>الوسائل</w:t>
      </w:r>
      <w:r w:rsidR="00E3253D" w:rsidRPr="005D642E">
        <w:rPr>
          <w:rtl/>
        </w:rPr>
        <w:t xml:space="preserve"> ، ج 3 ، ص 347 ، ح 3828.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جس » والوسائل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قال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 « إذا أصابتهما » بدل « بالتراب إذا أصابته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 « جنابة »</w:t>
      </w:r>
      <w:r w:rsidR="00E3253D">
        <w:rPr>
          <w:rtl/>
        </w:rPr>
        <w:t>.</w:t>
      </w:r>
    </w:p>
    <w:p w:rsidR="00E3253D" w:rsidRPr="005D642E" w:rsidRDefault="0042621E" w:rsidP="00D76BF8">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185 ، ح 533 ، معلّقاً عن الحسين بن سعيد ، عن ابن أبي عمير</w:t>
      </w:r>
      <w:r w:rsidR="00D76BF8">
        <w:rPr>
          <w:rFonts w:hint="cs"/>
          <w:rtl/>
        </w:rPr>
        <w:t>.</w:t>
      </w:r>
      <w:r w:rsidR="00E3253D" w:rsidRPr="002F4D34">
        <w:rPr>
          <w:rStyle w:val="libFootnoteBoldChar"/>
          <w:rtl/>
        </w:rPr>
        <w:t>الوافي</w:t>
      </w:r>
      <w:r w:rsidR="00E3253D" w:rsidRPr="005D642E">
        <w:rPr>
          <w:rtl/>
        </w:rPr>
        <w:t xml:space="preserve"> ، ج 6 ، ص 549 ، ح 4903 ؛ </w:t>
      </w:r>
      <w:r w:rsidR="00E3253D" w:rsidRPr="002F4D34">
        <w:rPr>
          <w:rStyle w:val="libFootnoteBoldChar"/>
          <w:rtl/>
        </w:rPr>
        <w:t>الوسائل</w:t>
      </w:r>
      <w:r w:rsidR="00E3253D" w:rsidRPr="005D642E">
        <w:rPr>
          <w:rtl/>
        </w:rPr>
        <w:t xml:space="preserve"> ، ج 3 ، ص 347 ، ح 3827.</w:t>
      </w:r>
    </w:p>
    <w:p w:rsidR="00E3253D" w:rsidRPr="005D642E" w:rsidRDefault="0042621E" w:rsidP="00D76BF8">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198 ، ح 574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162 ، ح 562 ، بسندهما عن الكليني. </w:t>
      </w:r>
      <w:r w:rsidR="00E3253D" w:rsidRPr="002F4D34">
        <w:rPr>
          <w:rStyle w:val="libFootnoteBoldChar"/>
          <w:rtl/>
        </w:rPr>
        <w:t>الفقيه</w:t>
      </w:r>
      <w:r w:rsidR="00E3253D" w:rsidRPr="005D642E">
        <w:rPr>
          <w:rtl/>
        </w:rPr>
        <w:t xml:space="preserve"> ، ج 1 ، ص 107 ، ح 220 ، مرسلاً</w:t>
      </w:r>
      <w:r w:rsidR="00D76BF8">
        <w:rPr>
          <w:rFonts w:hint="cs"/>
          <w:rtl/>
        </w:rPr>
        <w:t>.</w:t>
      </w:r>
      <w:r w:rsidR="00E3253D" w:rsidRPr="002F4D34">
        <w:rPr>
          <w:rStyle w:val="libFootnoteBoldChar"/>
          <w:rtl/>
        </w:rPr>
        <w:t>الوافي</w:t>
      </w:r>
      <w:r w:rsidR="00E3253D" w:rsidRPr="005D642E">
        <w:rPr>
          <w:rtl/>
        </w:rPr>
        <w:t xml:space="preserve"> ، ج 6 ، ص 552 ، ح 4912 ؛ </w:t>
      </w:r>
      <w:r w:rsidR="00E3253D" w:rsidRPr="002F4D34">
        <w:rPr>
          <w:rStyle w:val="libFootnoteBoldChar"/>
          <w:rtl/>
        </w:rPr>
        <w:t>الوسائل</w:t>
      </w:r>
      <w:r w:rsidR="00E3253D" w:rsidRPr="005D642E">
        <w:rPr>
          <w:rtl/>
        </w:rPr>
        <w:t xml:space="preserve"> ، ج 3 ، ص 373 ، ح 3901.</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السند معلّق على سابقه. ويروي عن أحمد بن محمّد ، عدّة من أصحابنا.</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كَانَ بِهِ ، فَأُمِرَ </w:t>
      </w:r>
      <w:r w:rsidRPr="007C12DB">
        <w:rPr>
          <w:rStyle w:val="libFootnotenumChar"/>
          <w:rtl/>
        </w:rPr>
        <w:t>(1)</w:t>
      </w:r>
      <w:r w:rsidRPr="005D642E">
        <w:rPr>
          <w:rtl/>
          <w:lang w:bidi="fa-IR"/>
        </w:rPr>
        <w:t xml:space="preserve"> بِالْغُسْلِ فَاغْتَسَلَ ، فَكُزَّ </w:t>
      </w:r>
      <w:r w:rsidRPr="007C12DB">
        <w:rPr>
          <w:rStyle w:val="libFootnotenumChar"/>
          <w:rtl/>
        </w:rPr>
        <w:t>(2)</w:t>
      </w:r>
      <w:r w:rsidRPr="005D642E">
        <w:rPr>
          <w:rtl/>
          <w:lang w:bidi="fa-IR"/>
        </w:rPr>
        <w:t xml:space="preserve"> ، فَمَاتَ ، فَقَالَ رَسُولُ اللهِ </w:t>
      </w:r>
      <w:r w:rsidR="0042621E" w:rsidRPr="0042621E">
        <w:rPr>
          <w:rStyle w:val="libAlaemChar"/>
          <w:rtl/>
        </w:rPr>
        <w:t>صلى‌الله‌عليه‌وآله</w:t>
      </w:r>
      <w:r w:rsidRPr="005D642E">
        <w:rPr>
          <w:rtl/>
          <w:lang w:bidi="fa-IR"/>
        </w:rPr>
        <w:t xml:space="preserve"> : قَتَلُوهُ ، قَتَلَهُمُ اللهُ ، إِنَّمَا كَانَ دَوَاءُ الْعِيِّ </w:t>
      </w:r>
      <w:r w:rsidRPr="007C12DB">
        <w:rPr>
          <w:rStyle w:val="libFootnotenumChar"/>
          <w:rtl/>
        </w:rPr>
        <w:t>(3)</w:t>
      </w:r>
      <w:r w:rsidRPr="005D642E">
        <w:rPr>
          <w:rtl/>
          <w:lang w:bidi="fa-IR"/>
        </w:rPr>
        <w:t xml:space="preserve"> السُّؤَالَ »</w:t>
      </w:r>
      <w:r>
        <w:rPr>
          <w:rtl/>
          <w:lang w:bidi="fa-IR"/>
        </w:rPr>
        <w:t>.</w:t>
      </w:r>
      <w:r w:rsidRPr="005D642E">
        <w:rPr>
          <w:rtl/>
          <w:lang w:bidi="fa-IR"/>
        </w:rPr>
        <w:t xml:space="preserve"> </w:t>
      </w:r>
      <w:r w:rsidRPr="007C12DB">
        <w:rPr>
          <w:rStyle w:val="libFootnotenumChar"/>
          <w:rtl/>
        </w:rPr>
        <w:t>(4)</w:t>
      </w:r>
    </w:p>
    <w:p w:rsidR="00E3253D" w:rsidRPr="005D642E" w:rsidRDefault="00E3253D" w:rsidP="00E3253D">
      <w:pPr>
        <w:pStyle w:val="libNormal"/>
        <w:rPr>
          <w:rtl/>
          <w:lang w:bidi="fa-IR"/>
        </w:rPr>
      </w:pPr>
      <w:r w:rsidRPr="00CF7610">
        <w:rPr>
          <w:rtl/>
        </w:rPr>
        <w:t>4130</w:t>
      </w:r>
      <w:r w:rsidRPr="00246318">
        <w:rPr>
          <w:rStyle w:val="libBold2Char"/>
          <w:rtl/>
        </w:rPr>
        <w:t xml:space="preserve"> / 5.</w:t>
      </w:r>
      <w:r w:rsidRPr="005D642E">
        <w:rPr>
          <w:rtl/>
          <w:lang w:bidi="fa-IR"/>
        </w:rPr>
        <w:t xml:space="preserve"> عَلِيُّ بْنُ إِبْرَاهِيمَ ، عَنْ أَبِيهِ ، عَنِ ابْنِ أَبِي عُمَيْرٍ ، عَنْ مُحَمَّدِ بْنِ سُكَيْنٍ </w:t>
      </w:r>
      <w:r w:rsidRPr="007C12DB">
        <w:rPr>
          <w:rStyle w:val="libFootnotenumChar"/>
          <w:rtl/>
        </w:rPr>
        <w:t>(5)</w:t>
      </w:r>
      <w:r w:rsidRPr="005D642E">
        <w:rPr>
          <w:rtl/>
          <w:lang w:bidi="fa-IR"/>
        </w:rPr>
        <w:t>وَغَيْرِهِ</w:t>
      </w:r>
      <w:r w:rsidRPr="007C12DB">
        <w:rPr>
          <w:rStyle w:val="libFootnotenumChar"/>
          <w:rtl/>
        </w:rPr>
        <w:t>(6)</w:t>
      </w:r>
      <w:r w:rsidRPr="005D642E">
        <w:rPr>
          <w:rtl/>
          <w:lang w:bidi="fa-IR"/>
        </w:rPr>
        <w:t>:</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قِيلَ لَهُ : إِنَّ فُلَاناً أَصَابَتْهُ جَنَابَةٌ وَهُوَ مَجْدُورٌ ، فَغَسَّلُوهُ ، فَمَاتَ.</w:t>
      </w:r>
    </w:p>
    <w:p w:rsidR="00E3253D" w:rsidRPr="005D642E" w:rsidRDefault="00E3253D" w:rsidP="00E3253D">
      <w:pPr>
        <w:pStyle w:val="libNormal"/>
        <w:rPr>
          <w:rtl/>
          <w:lang w:bidi="fa-IR"/>
        </w:rPr>
      </w:pPr>
      <w:r w:rsidRPr="005D642E">
        <w:rPr>
          <w:rtl/>
          <w:lang w:bidi="fa-IR"/>
        </w:rPr>
        <w:t>فَقَالَ : « قَتَلُوهُ ، أَلاَّ سَأَلُوا ، أَلاَّ يَمَّمُوهُ ؛ إِنَّ شِفَاءَ الْعِيِّ السُّؤَالُ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الوافي : « وا</w:t>
      </w:r>
      <w:r w:rsidR="00D76BF8">
        <w:rPr>
          <w:rFonts w:hint="cs"/>
          <w:rtl/>
        </w:rPr>
        <w:t>ُ</w:t>
      </w:r>
      <w:r w:rsidR="00E3253D" w:rsidRPr="005D642E">
        <w:rPr>
          <w:rtl/>
        </w:rPr>
        <w:t>مر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بس ، بف » :</w:t>
      </w:r>
      <w:r w:rsidR="00E3253D">
        <w:rPr>
          <w:rtl/>
        </w:rPr>
        <w:t xml:space="preserve"> </w:t>
      </w:r>
      <w:r w:rsidR="007642BC">
        <w:rPr>
          <w:rtl/>
        </w:rPr>
        <w:t>-</w:t>
      </w:r>
      <w:r w:rsidR="00E3253D">
        <w:rPr>
          <w:rtl/>
        </w:rPr>
        <w:t xml:space="preserve"> </w:t>
      </w:r>
      <w:r w:rsidR="00E3253D" w:rsidRPr="005D642E">
        <w:rPr>
          <w:rtl/>
        </w:rPr>
        <w:t>« فكزّ »</w:t>
      </w:r>
      <w:r w:rsidR="00E3253D">
        <w:rPr>
          <w:rtl/>
        </w:rPr>
        <w:t>.</w:t>
      </w:r>
      <w:r w:rsidR="00E3253D" w:rsidRPr="005D642E">
        <w:rPr>
          <w:rtl/>
        </w:rPr>
        <w:t xml:space="preserve"> وفي « جس » : « فكرّ »</w:t>
      </w:r>
      <w:r w:rsidR="00E3253D">
        <w:rPr>
          <w:rtl/>
        </w:rPr>
        <w:t>.</w:t>
      </w:r>
      <w:r w:rsidR="00E3253D" w:rsidRPr="005D642E">
        <w:rPr>
          <w:rtl/>
        </w:rPr>
        <w:t xml:space="preserve"> وفي مرآة العقول عن بعض النسخ : « فكنّ »</w:t>
      </w:r>
      <w:r w:rsidR="00E3253D">
        <w:rPr>
          <w:rtl/>
        </w:rPr>
        <w:t>.</w:t>
      </w:r>
      <w:r w:rsidR="00E3253D" w:rsidRPr="005D642E">
        <w:rPr>
          <w:rtl/>
        </w:rPr>
        <w:t xml:space="preserve"> وقوله : « فكُزَّ » ، أي أصابه الكزاز ، وهو كغراب ورمّان : داء يأخذ ويتولّد من شدّة البرد ، أو الرِعْدَة</w:t>
      </w:r>
      <w:r w:rsidR="00E3253D">
        <w:rPr>
          <w:rtl/>
        </w:rPr>
        <w:t xml:space="preserve"> </w:t>
      </w:r>
      <w:r w:rsidR="007642BC">
        <w:rPr>
          <w:rtl/>
        </w:rPr>
        <w:t>-</w:t>
      </w:r>
      <w:r w:rsidR="00E3253D">
        <w:rPr>
          <w:rtl/>
        </w:rPr>
        <w:t xml:space="preserve"> </w:t>
      </w:r>
      <w:r w:rsidR="00E3253D" w:rsidRPr="005D642E">
        <w:rPr>
          <w:rtl/>
        </w:rPr>
        <w:t>أي الاضطراب</w:t>
      </w:r>
      <w:r w:rsidR="00E3253D">
        <w:rPr>
          <w:rtl/>
        </w:rPr>
        <w:t xml:space="preserve"> </w:t>
      </w:r>
      <w:r w:rsidR="007642BC">
        <w:rPr>
          <w:rtl/>
        </w:rPr>
        <w:t>-</w:t>
      </w:r>
      <w:r w:rsidR="00E3253D">
        <w:rPr>
          <w:rtl/>
        </w:rPr>
        <w:t xml:space="preserve"> </w:t>
      </w:r>
      <w:r w:rsidR="00E3253D" w:rsidRPr="005D642E">
        <w:rPr>
          <w:rtl/>
        </w:rPr>
        <w:t xml:space="preserve">منها. وقيل : هو نفس البرد. وقيل : هو داء يأخذ من البرد وتعتري منه رعدة ، وهو مكزوز. راجع : </w:t>
      </w:r>
      <w:r w:rsidR="00E3253D" w:rsidRPr="002F4D34">
        <w:rPr>
          <w:rStyle w:val="libFootnoteBoldChar"/>
          <w:rtl/>
        </w:rPr>
        <w:t>النهاية</w:t>
      </w:r>
      <w:r w:rsidR="00E3253D" w:rsidRPr="005D642E">
        <w:rPr>
          <w:rtl/>
        </w:rPr>
        <w:t xml:space="preserve"> ، ج 4 ، ص 170 ؛ </w:t>
      </w:r>
      <w:r w:rsidR="00E3253D" w:rsidRPr="002F4D34">
        <w:rPr>
          <w:rStyle w:val="libFootnoteBoldChar"/>
          <w:rtl/>
        </w:rPr>
        <w:t>لسان العرب</w:t>
      </w:r>
      <w:r w:rsidR="00E3253D" w:rsidRPr="005D642E">
        <w:rPr>
          <w:rtl/>
        </w:rPr>
        <w:t xml:space="preserve"> ، ج 5 ، ص 400 ( كزز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العِيُّ » بكسر العين : مصدر بمعنى الجهل ، وعدم الاهتداء لوجه المراد ، والعجز عنه وعدم إطاقة إحكامه ، وهو أيضاً خلاف البيان ، والمراد به هنا الأوّل ، أي الجهل. والعَيُّ بفتح العين صفة مشبّهة ، أي ذو العِيِّ ، مثل عَيِيّ ، وقيل : عَ</w:t>
      </w:r>
      <w:r w:rsidR="00E950E9">
        <w:rPr>
          <w:rtl/>
        </w:rPr>
        <w:t>يٌّ أكثر من عَيِىٌّ. وقال العل</w:t>
      </w:r>
      <w:r w:rsidR="00E950E9">
        <w:rPr>
          <w:rFonts w:hint="cs"/>
          <w:rtl/>
        </w:rPr>
        <w:t>ّ</w:t>
      </w:r>
      <w:r w:rsidR="00E950E9">
        <w:rPr>
          <w:rtl/>
        </w:rPr>
        <w:t>ا</w:t>
      </w:r>
      <w:r w:rsidR="00E3253D" w:rsidRPr="005D642E">
        <w:rPr>
          <w:rtl/>
        </w:rPr>
        <w:t>مة المجلسي : « يحتمل أن يكون صفة مشبّهة من عَيَّ إذا عجز ولم يهتد إلى العلم بالشي‌ء ، وأن يكون مصدراً. وقال في شرح المصابيح : العيّ بكسر العين وتشديد الياء : التحيّر في الكلام ، والمراد به هنا الجهل ؛ يعني لِمَ لم تسألوا إذا لم تعلموا شيئاً ؛ فإنّ الجهل داء شديد وشفاؤه السؤال والتعلّم من العلماء ، وكلّ جاهل لم يستح عن التعلّم وتعلّم يجد شفاء »</w:t>
      </w:r>
      <w:r w:rsidR="00E3253D">
        <w:rPr>
          <w:rtl/>
        </w:rPr>
        <w:t>.</w:t>
      </w:r>
      <w:r w:rsidR="00E3253D" w:rsidRPr="005D642E">
        <w:rPr>
          <w:rtl/>
        </w:rPr>
        <w:t xml:space="preserve"> راجع : </w:t>
      </w:r>
      <w:r w:rsidR="00E3253D" w:rsidRPr="002F4D34">
        <w:rPr>
          <w:rStyle w:val="libFootnoteBoldChar"/>
          <w:rtl/>
        </w:rPr>
        <w:t>لسان العرب</w:t>
      </w:r>
      <w:r w:rsidR="00E3253D" w:rsidRPr="005D642E">
        <w:rPr>
          <w:rtl/>
        </w:rPr>
        <w:t xml:space="preserve"> ، ج 15 ، ص 111</w:t>
      </w:r>
      <w:r w:rsidR="00E3253D">
        <w:rPr>
          <w:rtl/>
        </w:rPr>
        <w:t xml:space="preserve"> </w:t>
      </w:r>
      <w:r w:rsidR="007642BC">
        <w:rPr>
          <w:rtl/>
        </w:rPr>
        <w:t>-</w:t>
      </w:r>
      <w:r w:rsidR="00E3253D">
        <w:rPr>
          <w:rtl/>
        </w:rPr>
        <w:t xml:space="preserve"> </w:t>
      </w:r>
      <w:r w:rsidR="00E3253D" w:rsidRPr="005D642E">
        <w:rPr>
          <w:rtl/>
        </w:rPr>
        <w:t xml:space="preserve">113 ؛ </w:t>
      </w:r>
      <w:r w:rsidR="00E3253D" w:rsidRPr="002F4D34">
        <w:rPr>
          <w:rStyle w:val="libFootnoteBoldChar"/>
          <w:rtl/>
        </w:rPr>
        <w:t>القاموس المحيط</w:t>
      </w:r>
      <w:r w:rsidR="00E3253D" w:rsidRPr="005D642E">
        <w:rPr>
          <w:rtl/>
        </w:rPr>
        <w:t xml:space="preserve"> ، ج 2 ، ص 1725 ( عيا ) ؛ </w:t>
      </w:r>
      <w:r w:rsidR="00E3253D" w:rsidRPr="002F4D34">
        <w:rPr>
          <w:rStyle w:val="libFootnoteBoldChar"/>
          <w:rtl/>
        </w:rPr>
        <w:t>مرآة العقول</w:t>
      </w:r>
      <w:r w:rsidR="00E3253D" w:rsidRPr="005D642E">
        <w:rPr>
          <w:rtl/>
        </w:rPr>
        <w:t xml:space="preserve"> ، ج 13 ، ص 187.</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6 ، ص 550 ، ح 4904 ؛ </w:t>
      </w:r>
      <w:r w:rsidR="00E3253D" w:rsidRPr="002F4D34">
        <w:rPr>
          <w:rStyle w:val="libFootnoteBoldChar"/>
          <w:rtl/>
        </w:rPr>
        <w:t>الوسائل</w:t>
      </w:r>
      <w:r w:rsidR="00E3253D" w:rsidRPr="005D642E">
        <w:rPr>
          <w:rtl/>
        </w:rPr>
        <w:t xml:space="preserve"> ، ج 3 ، ص 347 ، ح 3829.</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ى ، بح ، بخ ، بس ، بف ، جح ، جس » : « مسكين » ، وهو سهو ، والمراد من محمّد هذا ، هو محمّد بن‌سكين بن عمّار المترجم في </w:t>
      </w:r>
      <w:r w:rsidR="00E3253D" w:rsidRPr="002F4D34">
        <w:rPr>
          <w:rStyle w:val="libFootnoteBoldChar"/>
          <w:rtl/>
        </w:rPr>
        <w:t>رجال النجاشي</w:t>
      </w:r>
      <w:r w:rsidR="00E3253D" w:rsidRPr="005D642E">
        <w:rPr>
          <w:rtl/>
        </w:rPr>
        <w:t xml:space="preserve"> ، ص 361 ، الرقم 969. وأمّا محمّد بن مسكين ، فلم يرد له ذكر في كتب الرجال.</w:t>
      </w:r>
    </w:p>
    <w:p w:rsidR="00E3253D" w:rsidRPr="005D642E" w:rsidRDefault="00E3253D" w:rsidP="00E3253D">
      <w:pPr>
        <w:pStyle w:val="libFootnote0"/>
        <w:rPr>
          <w:rtl/>
          <w:lang w:bidi="fa-IR"/>
        </w:rPr>
      </w:pPr>
      <w:r w:rsidRPr="00B60612">
        <w:rPr>
          <w:rtl/>
        </w:rPr>
        <w:t xml:space="preserve">ويؤيّد ذلك ما تقدّم في </w:t>
      </w:r>
      <w:r w:rsidRPr="002F4D34">
        <w:rPr>
          <w:rStyle w:val="libFootnoteBoldChar"/>
          <w:rtl/>
        </w:rPr>
        <w:t>الكافي</w:t>
      </w:r>
      <w:r w:rsidRPr="00B60612">
        <w:rPr>
          <w:rtl/>
        </w:rPr>
        <w:t xml:space="preserve"> ، ح 634 ، من رواية عليّ بن إبراهيم ، عن أبيه ، عن ابن أبي عمير ، عن محمّد بن السكين ، عن نوح بن درّاج. فقد ذكر النجاشي في ترجمة أيّوب بن نوح بن درّاج بسنده عن الطاطري أنّه قال : قال محمّد بن سُكَين : نوح بن درّاج دعاني إلى هذا الأمر. راجع : </w:t>
      </w:r>
      <w:r w:rsidRPr="002F4D34">
        <w:rPr>
          <w:rStyle w:val="libFootnoteBoldChar"/>
          <w:rtl/>
        </w:rPr>
        <w:t>رجال النجاشي</w:t>
      </w:r>
      <w:r w:rsidRPr="00B60612">
        <w:rPr>
          <w:rtl/>
        </w:rPr>
        <w:t xml:space="preserve"> ، ص 102 ، الرقم 254.</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الكافي ، ح 86 : « بعض أصحابنا » بدل « محمّد بن سكين وغيره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الكافي</w:t>
      </w:r>
      <w:r w:rsidR="00E3253D" w:rsidRPr="005D642E">
        <w:rPr>
          <w:rtl/>
        </w:rPr>
        <w:t xml:space="preserve"> ، كتاب فضل العلم ، باب سؤال العالم وتذاكره ، ح 86 ، مع اختلاف يسير. </w:t>
      </w:r>
      <w:r w:rsidR="00E3253D" w:rsidRPr="002F4D34">
        <w:rPr>
          <w:rStyle w:val="libFootnoteBoldChar"/>
          <w:rtl/>
        </w:rPr>
        <w:t>التهذيب</w:t>
      </w:r>
      <w:r w:rsidR="00E3253D" w:rsidRPr="005D642E">
        <w:rPr>
          <w:rtl/>
        </w:rPr>
        <w:t xml:space="preserve"> ، ج 1 ، </w:t>
      </w:r>
      <w:r w:rsidR="00E950E9">
        <w:rPr>
          <w:rFonts w:hint="cs"/>
          <w:rtl/>
        </w:rPr>
        <w:t>=</w:t>
      </w:r>
    </w:p>
    <w:p w:rsidR="00E3253D" w:rsidRDefault="00E3253D" w:rsidP="00E3253D">
      <w:pPr>
        <w:pStyle w:val="libNormal"/>
        <w:rPr>
          <w:rtl/>
          <w:lang w:bidi="fa-IR"/>
        </w:rPr>
      </w:pPr>
      <w:r>
        <w:rPr>
          <w:rtl/>
          <w:lang w:bidi="fa-IR"/>
        </w:rPr>
        <w:br w:type="page"/>
      </w:r>
    </w:p>
    <w:p w:rsidR="00E3253D" w:rsidRPr="005D642E" w:rsidRDefault="00BA12F8" w:rsidP="00E3253D">
      <w:pPr>
        <w:pStyle w:val="libNormal"/>
        <w:rPr>
          <w:rtl/>
          <w:lang w:bidi="fa-IR"/>
        </w:rPr>
      </w:pPr>
      <w:r>
        <w:rPr>
          <w:rFonts w:hint="cs"/>
          <w:rtl/>
          <w:lang w:bidi="fa-IR"/>
        </w:rPr>
        <w:lastRenderedPageBreak/>
        <w:t xml:space="preserve">* </w:t>
      </w:r>
      <w:r w:rsidR="00E3253D" w:rsidRPr="005D642E">
        <w:rPr>
          <w:rtl/>
          <w:lang w:bidi="fa-IR"/>
        </w:rPr>
        <w:t xml:space="preserve">قَالَ </w:t>
      </w:r>
      <w:r w:rsidR="00E3253D" w:rsidRPr="007C12DB">
        <w:rPr>
          <w:rStyle w:val="libFootnotenumChar"/>
          <w:rtl/>
        </w:rPr>
        <w:t>(1)</w:t>
      </w:r>
      <w:r w:rsidR="00E3253D" w:rsidRPr="005D642E">
        <w:rPr>
          <w:rtl/>
          <w:lang w:bidi="fa-IR"/>
        </w:rPr>
        <w:t xml:space="preserve"> : وَرُوِيَ ذلِكَ فِي الْكَسِيرِ وَالْمَبْطُونِ </w:t>
      </w:r>
      <w:r w:rsidR="00E3253D" w:rsidRPr="007C12DB">
        <w:rPr>
          <w:rStyle w:val="libFootnotenumChar"/>
          <w:rtl/>
        </w:rPr>
        <w:t>(2)</w:t>
      </w:r>
      <w:r w:rsidR="00E3253D" w:rsidRPr="005D642E">
        <w:rPr>
          <w:rtl/>
          <w:lang w:bidi="fa-IR"/>
        </w:rPr>
        <w:t xml:space="preserve"> : « يَتَيَمَّمُ ، وَلَايَغْتَسِلُ »</w:t>
      </w:r>
      <w:r w:rsidR="00E3253D">
        <w:rPr>
          <w:rtl/>
          <w:lang w:bidi="fa-IR"/>
        </w:rPr>
        <w:t>.</w:t>
      </w:r>
      <w:r w:rsidR="00E3253D" w:rsidRPr="005D642E">
        <w:rPr>
          <w:rtl/>
          <w:lang w:bidi="fa-IR"/>
        </w:rPr>
        <w:t xml:space="preserve"> </w:t>
      </w:r>
      <w:r w:rsidR="00E3253D" w:rsidRPr="007C12DB">
        <w:rPr>
          <w:rStyle w:val="libFootnotenumChar"/>
          <w:rtl/>
        </w:rPr>
        <w:t>(3)</w:t>
      </w:r>
    </w:p>
    <w:p w:rsidR="00E3253D" w:rsidRPr="005D642E" w:rsidRDefault="00E3253D" w:rsidP="00E3253D">
      <w:pPr>
        <w:pStyle w:val="Heading2Center"/>
        <w:rPr>
          <w:rtl/>
          <w:lang w:bidi="fa-IR"/>
        </w:rPr>
      </w:pPr>
      <w:bookmarkStart w:id="165" w:name="_Toc344647265"/>
      <w:bookmarkStart w:id="166" w:name="_Toc462226780"/>
      <w:bookmarkStart w:id="167" w:name="_Toc40975888"/>
      <w:r w:rsidRPr="005D642E">
        <w:rPr>
          <w:rtl/>
          <w:lang w:bidi="fa-IR"/>
        </w:rPr>
        <w:t>46</w:t>
      </w:r>
      <w:r>
        <w:rPr>
          <w:rtl/>
          <w:lang w:bidi="fa-IR"/>
        </w:rPr>
        <w:t xml:space="preserve"> </w:t>
      </w:r>
      <w:r w:rsidR="007642BC">
        <w:rPr>
          <w:rtl/>
          <w:lang w:bidi="fa-IR"/>
        </w:rPr>
        <w:t>-</w:t>
      </w:r>
      <w:r>
        <w:rPr>
          <w:rtl/>
          <w:lang w:bidi="fa-IR"/>
        </w:rPr>
        <w:t xml:space="preserve"> </w:t>
      </w:r>
      <w:r w:rsidRPr="005D642E">
        <w:rPr>
          <w:rtl/>
          <w:lang w:bidi="fa-IR"/>
        </w:rPr>
        <w:t>بَابُ النَّوَادِرِ‌</w:t>
      </w:r>
      <w:bookmarkEnd w:id="165"/>
      <w:bookmarkEnd w:id="166"/>
      <w:bookmarkEnd w:id="167"/>
    </w:p>
    <w:p w:rsidR="00E3253D" w:rsidRPr="005D642E" w:rsidRDefault="00E3253D" w:rsidP="00E3253D">
      <w:pPr>
        <w:pStyle w:val="libNormal"/>
        <w:rPr>
          <w:rtl/>
          <w:lang w:bidi="fa-IR"/>
        </w:rPr>
      </w:pPr>
      <w:r w:rsidRPr="003F1CBE">
        <w:rPr>
          <w:rtl/>
        </w:rPr>
        <w:t>4131</w:t>
      </w:r>
      <w:r w:rsidRPr="00246318">
        <w:rPr>
          <w:rStyle w:val="libBold2Char"/>
          <w:rtl/>
        </w:rPr>
        <w:t xml:space="preserve"> / 1.</w:t>
      </w:r>
      <w:r w:rsidRPr="005D642E">
        <w:rPr>
          <w:rtl/>
          <w:lang w:bidi="fa-IR"/>
        </w:rPr>
        <w:t xml:space="preserve"> عَلِيُّ بْنُ مُحَمَّدِ بْنِ عَبْدِ اللهِ ، عَنْ إِبْرَاهِيمَ بْنِ إِسْحَاقَ الْأَحْمَرِ </w:t>
      </w:r>
      <w:r w:rsidRPr="007C12DB">
        <w:rPr>
          <w:rStyle w:val="libFootnotenumChar"/>
          <w:rtl/>
        </w:rPr>
        <w:t>(4)</w:t>
      </w:r>
      <w:r w:rsidRPr="005D642E">
        <w:rPr>
          <w:rtl/>
          <w:lang w:bidi="fa-IR"/>
        </w:rPr>
        <w:t xml:space="preserve"> ، عَنِ الْحَسَنِ بْنِ عَلِيٍّ الْوَشَّاءِ ، قَالَ :</w:t>
      </w:r>
    </w:p>
    <w:p w:rsidR="00E3253D" w:rsidRPr="005D642E" w:rsidRDefault="00E3253D" w:rsidP="00E3253D">
      <w:pPr>
        <w:pStyle w:val="libNormal"/>
        <w:rPr>
          <w:rtl/>
          <w:lang w:bidi="fa-IR"/>
        </w:rPr>
      </w:pPr>
      <w:r w:rsidRPr="005D642E">
        <w:rPr>
          <w:rtl/>
          <w:lang w:bidi="fa-IR"/>
        </w:rPr>
        <w:t xml:space="preserve">دَخَلْتُ عَلَى الرِّضَا </w:t>
      </w:r>
      <w:r w:rsidRPr="00AC51C5">
        <w:rPr>
          <w:rStyle w:val="libAlaemChar"/>
          <w:rtl/>
        </w:rPr>
        <w:t>عليه‌السلام</w:t>
      </w:r>
      <w:r w:rsidRPr="005D642E">
        <w:rPr>
          <w:rtl/>
          <w:lang w:bidi="fa-IR"/>
        </w:rPr>
        <w:t xml:space="preserve"> وَبَيْنَ يَدَيْهِ إِبْرِيقٌ </w:t>
      </w:r>
      <w:r w:rsidRPr="007C12DB">
        <w:rPr>
          <w:rStyle w:val="libFootnotenumChar"/>
          <w:rtl/>
        </w:rPr>
        <w:t>(5)</w:t>
      </w:r>
      <w:r w:rsidRPr="005D642E">
        <w:rPr>
          <w:rtl/>
          <w:lang w:bidi="fa-IR"/>
        </w:rPr>
        <w:t xml:space="preserve"> يُرِيدُ أَنْ يَتَهَيَّأَ مِنْهُ </w:t>
      </w:r>
      <w:r w:rsidRPr="007C12DB">
        <w:rPr>
          <w:rStyle w:val="libFootnotenumChar"/>
          <w:rtl/>
        </w:rPr>
        <w:t>(6)</w:t>
      </w:r>
      <w:r w:rsidRPr="005D642E">
        <w:rPr>
          <w:rtl/>
          <w:lang w:bidi="fa-IR"/>
        </w:rPr>
        <w:t xml:space="preserve"> لِلصَّلَاةِ ، فَدَنَوْتُ مِنْهُ </w:t>
      </w:r>
      <w:r w:rsidRPr="007C12DB">
        <w:rPr>
          <w:rStyle w:val="libFootnotenumChar"/>
          <w:rtl/>
        </w:rPr>
        <w:t>(7)</w:t>
      </w:r>
      <w:r w:rsidRPr="005D642E">
        <w:rPr>
          <w:rtl/>
          <w:lang w:bidi="fa-IR"/>
        </w:rPr>
        <w:t xml:space="preserve"> لِأَصُبَّ </w:t>
      </w:r>
      <w:r w:rsidRPr="007C12DB">
        <w:rPr>
          <w:rStyle w:val="libFootnotenumChar"/>
          <w:rtl/>
        </w:rPr>
        <w:t>(8)</w:t>
      </w:r>
      <w:r w:rsidRPr="005D642E">
        <w:rPr>
          <w:rtl/>
          <w:lang w:bidi="fa-IR"/>
        </w:rPr>
        <w:t xml:space="preserve"> عَلَيْهِ ، فَأَبى </w:t>
      </w:r>
      <w:r w:rsidRPr="007C12DB">
        <w:rPr>
          <w:rStyle w:val="libFootnotenumChar"/>
          <w:rtl/>
        </w:rPr>
        <w:t>(9)</w:t>
      </w:r>
      <w:r w:rsidRPr="005D642E">
        <w:rPr>
          <w:rtl/>
          <w:lang w:bidi="fa-IR"/>
        </w:rPr>
        <w:t xml:space="preserve"> ذلِكَ ، وَقَالَ : « مَهْ يَا حَسَنُ » فَقُلْتُ لَهُ </w:t>
      </w:r>
      <w:r w:rsidRPr="007C12DB">
        <w:rPr>
          <w:rStyle w:val="libFootnotenumChar"/>
          <w:rtl/>
        </w:rPr>
        <w:t>(10)</w:t>
      </w:r>
      <w:r w:rsidRPr="005D642E">
        <w:rPr>
          <w:rtl/>
          <w:lang w:bidi="fa-IR"/>
        </w:rPr>
        <w:t xml:space="preserve"> : لِمَ تَنْهَانِي </w:t>
      </w:r>
      <w:r w:rsidRPr="007C12DB">
        <w:rPr>
          <w:rStyle w:val="libFootnotenumChar"/>
          <w:rtl/>
        </w:rPr>
        <w:t>(11)</w:t>
      </w:r>
      <w:r w:rsidRPr="005D642E">
        <w:rPr>
          <w:rtl/>
          <w:lang w:bidi="fa-IR"/>
        </w:rPr>
        <w:t xml:space="preserve"> أَنْ‌</w:t>
      </w:r>
    </w:p>
    <w:p w:rsidR="00E3253D" w:rsidRPr="005D642E" w:rsidRDefault="00E3253D" w:rsidP="00E3253D">
      <w:pPr>
        <w:pStyle w:val="libLine"/>
        <w:rPr>
          <w:rtl/>
          <w:lang w:bidi="fa-IR"/>
        </w:rPr>
      </w:pPr>
      <w:r w:rsidRPr="005D642E">
        <w:rPr>
          <w:rtl/>
          <w:lang w:bidi="fa-IR"/>
        </w:rPr>
        <w:t>__________________</w:t>
      </w:r>
    </w:p>
    <w:p w:rsidR="00E3253D" w:rsidRPr="005D642E" w:rsidRDefault="008D7639" w:rsidP="008D7639">
      <w:pPr>
        <w:pStyle w:val="libFootnote0"/>
        <w:rPr>
          <w:rtl/>
          <w:lang w:bidi="fa-IR"/>
        </w:rPr>
      </w:pPr>
      <w:r>
        <w:rPr>
          <w:rFonts w:hint="cs"/>
          <w:rtl/>
        </w:rPr>
        <w:t xml:space="preserve">= </w:t>
      </w:r>
      <w:r w:rsidR="00E3253D" w:rsidRPr="005D642E">
        <w:rPr>
          <w:rtl/>
        </w:rPr>
        <w:t xml:space="preserve">ص 184 ، ح 529 ، بسنده عن الكليني. </w:t>
      </w:r>
      <w:r w:rsidR="00E3253D" w:rsidRPr="002F4D34">
        <w:rPr>
          <w:rStyle w:val="libFootnoteBoldChar"/>
          <w:rtl/>
        </w:rPr>
        <w:t>الفقيه</w:t>
      </w:r>
      <w:r w:rsidR="00E3253D" w:rsidRPr="005D642E">
        <w:rPr>
          <w:rtl/>
        </w:rPr>
        <w:t xml:space="preserve"> ، ج 1 ، ص 107 ، ح 219 ، مرسلاً عن رسول الله </w:t>
      </w:r>
      <w:r w:rsidR="0042621E" w:rsidRPr="008D7639">
        <w:rPr>
          <w:rStyle w:val="libFootnoteAlaemChar"/>
          <w:rtl/>
        </w:rPr>
        <w:t>صلى‌الله‌عليه‌وآله</w:t>
      </w:r>
      <w:r w:rsidR="00E3253D" w:rsidRPr="005D642E">
        <w:rPr>
          <w:rtl/>
        </w:rPr>
        <w:t xml:space="preserve"> ، مع اختلاف يسير</w:t>
      </w:r>
      <w:r>
        <w:rPr>
          <w:rFonts w:hint="cs"/>
          <w:rtl/>
        </w:rPr>
        <w:t>.</w:t>
      </w:r>
      <w:r w:rsidR="00E3253D" w:rsidRPr="002F4D34">
        <w:rPr>
          <w:rStyle w:val="libFootnoteBoldChar"/>
          <w:rtl/>
        </w:rPr>
        <w:t>الوافي</w:t>
      </w:r>
      <w:r w:rsidR="00E3253D" w:rsidRPr="005D642E">
        <w:rPr>
          <w:rtl/>
        </w:rPr>
        <w:t xml:space="preserve"> ، ج 6 ، ص 549 ، ح 4900 ؛ </w:t>
      </w:r>
      <w:r w:rsidR="00E3253D" w:rsidRPr="002F4D34">
        <w:rPr>
          <w:rStyle w:val="libFootnoteBoldChar"/>
          <w:rtl/>
        </w:rPr>
        <w:t>الوسائل</w:t>
      </w:r>
      <w:r w:rsidR="00E3253D" w:rsidRPr="005D642E">
        <w:rPr>
          <w:rtl/>
        </w:rPr>
        <w:t xml:space="preserve"> ، ج 3 ، ص 346 ، ح 3824.</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لايبعد رجوع الضمير المستتر في « قال » إلى ابن أبي عمير.</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المبطون » : الذي يشتكي بطنه ، أو العليل البطن ، أي من به إسهال أو انتفاخ في بطنه. راجع : </w:t>
      </w:r>
      <w:r w:rsidR="00E3253D" w:rsidRPr="002F4D34">
        <w:rPr>
          <w:rStyle w:val="libFootnoteBoldChar"/>
          <w:rtl/>
        </w:rPr>
        <w:t>لسان العرب</w:t>
      </w:r>
      <w:r w:rsidR="00E3253D" w:rsidRPr="005D642E">
        <w:rPr>
          <w:rtl/>
        </w:rPr>
        <w:t xml:space="preserve"> ، ج 13 ، ص 53</w:t>
      </w:r>
      <w:r w:rsidR="00E3253D">
        <w:rPr>
          <w:rtl/>
        </w:rPr>
        <w:t xml:space="preserve"> </w:t>
      </w:r>
      <w:r w:rsidR="007642BC">
        <w:rPr>
          <w:rtl/>
        </w:rPr>
        <w:t>-</w:t>
      </w:r>
      <w:r w:rsidR="00E3253D">
        <w:rPr>
          <w:rtl/>
        </w:rPr>
        <w:t xml:space="preserve"> </w:t>
      </w:r>
      <w:r w:rsidR="00E3253D" w:rsidRPr="005D642E">
        <w:rPr>
          <w:rtl/>
        </w:rPr>
        <w:t>54 ( بطن )</w:t>
      </w:r>
      <w:r w:rsidR="00E3253D">
        <w:rPr>
          <w:rtl/>
        </w:rPr>
        <w:t>.</w:t>
      </w:r>
    </w:p>
    <w:p w:rsidR="00E3253D" w:rsidRPr="005D642E" w:rsidRDefault="0042621E" w:rsidP="008D7639">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184 ، ح 529 ، بسنده عن الكليني. </w:t>
      </w:r>
      <w:r w:rsidR="00E3253D" w:rsidRPr="002F4D34">
        <w:rPr>
          <w:rStyle w:val="libFootnoteBoldChar"/>
          <w:rtl/>
        </w:rPr>
        <w:t>الفقيه</w:t>
      </w:r>
      <w:r w:rsidR="00E3253D" w:rsidRPr="005D642E">
        <w:rPr>
          <w:rtl/>
        </w:rPr>
        <w:t xml:space="preserve"> ، ج 1 ، ص 107 ، ح 218 ، مرسلاً</w:t>
      </w:r>
      <w:r w:rsidR="008D7639">
        <w:rPr>
          <w:rFonts w:hint="cs"/>
          <w:rtl/>
        </w:rPr>
        <w:t xml:space="preserve"> .</w:t>
      </w:r>
      <w:r w:rsidR="00E3253D" w:rsidRPr="002F4D34">
        <w:rPr>
          <w:rStyle w:val="libFootnoteBoldChar"/>
          <w:rtl/>
        </w:rPr>
        <w:t>الوافي</w:t>
      </w:r>
      <w:r w:rsidR="00E3253D" w:rsidRPr="005D642E">
        <w:rPr>
          <w:rtl/>
        </w:rPr>
        <w:t xml:space="preserve"> ، ج 6 ، ص 549 ، ح 4900 ؛ </w:t>
      </w:r>
      <w:r w:rsidR="00E3253D" w:rsidRPr="002F4D34">
        <w:rPr>
          <w:rStyle w:val="libFootnoteBoldChar"/>
          <w:rtl/>
        </w:rPr>
        <w:t>الوسائل</w:t>
      </w:r>
      <w:r w:rsidR="00E3253D" w:rsidRPr="005D642E">
        <w:rPr>
          <w:rtl/>
        </w:rPr>
        <w:t xml:space="preserve"> ، ج 3 ، ص 346 ، ح 3825.</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بف » : « عليّ بن محمّد ، عن عبدالله بن إبراهيم بن إسحاق الأحمر »</w:t>
      </w:r>
      <w:r w:rsidR="00E3253D">
        <w:rPr>
          <w:rtl/>
        </w:rPr>
        <w:t>.</w:t>
      </w:r>
      <w:r w:rsidR="00E3253D" w:rsidRPr="005D642E">
        <w:rPr>
          <w:rtl/>
        </w:rPr>
        <w:t xml:space="preserve"> وهو سهو ، وتقدّم في </w:t>
      </w:r>
      <w:r w:rsidR="00E3253D" w:rsidRPr="002F4D34">
        <w:rPr>
          <w:rStyle w:val="libFootnoteBoldChar"/>
          <w:rtl/>
        </w:rPr>
        <w:t>الكافي</w:t>
      </w:r>
      <w:r w:rsidR="00E3253D" w:rsidRPr="005D642E">
        <w:rPr>
          <w:rtl/>
        </w:rPr>
        <w:t xml:space="preserve"> ، ذيل ح 8 أنّ عليّ بن محمّد بن عبدالله هذا ، هو عليّ بن محمّد بن بندار الذي يروي عن إبراهيم بن إسحاق الأحمر وإبراهيم بن إسحاق النهاوندي</w:t>
      </w:r>
      <w:r w:rsidR="00E3253D">
        <w:rPr>
          <w:rtl/>
        </w:rPr>
        <w:t xml:space="preserve"> </w:t>
      </w:r>
      <w:r w:rsidR="007642BC">
        <w:rPr>
          <w:rtl/>
        </w:rPr>
        <w:t>-</w:t>
      </w:r>
      <w:r w:rsidR="00E3253D">
        <w:rPr>
          <w:rtl/>
        </w:rPr>
        <w:t xml:space="preserve"> </w:t>
      </w:r>
      <w:r w:rsidR="00E3253D" w:rsidRPr="005D642E">
        <w:rPr>
          <w:rtl/>
        </w:rPr>
        <w:t>وهما متّحدان</w:t>
      </w:r>
      <w:r w:rsidR="00E3253D">
        <w:rPr>
          <w:rtl/>
        </w:rPr>
        <w:t xml:space="preserve"> </w:t>
      </w:r>
      <w:r w:rsidR="007642BC">
        <w:rPr>
          <w:rtl/>
        </w:rPr>
        <w:t>-</w:t>
      </w:r>
      <w:r w:rsidR="00E3253D">
        <w:rPr>
          <w:rtl/>
        </w:rPr>
        <w:t xml:space="preserve"> </w:t>
      </w:r>
      <w:r w:rsidR="00E3253D" w:rsidRPr="005D642E">
        <w:rPr>
          <w:rtl/>
        </w:rPr>
        <w:t>فلا حظ.</w:t>
      </w:r>
    </w:p>
    <w:p w:rsidR="00E3253D" w:rsidRPr="005D642E" w:rsidRDefault="00E3253D" w:rsidP="00E3253D">
      <w:pPr>
        <w:pStyle w:val="libFootnote0"/>
        <w:rPr>
          <w:rtl/>
          <w:lang w:bidi="fa-IR"/>
        </w:rPr>
      </w:pPr>
      <w:r w:rsidRPr="00B60612">
        <w:rPr>
          <w:rtl/>
        </w:rPr>
        <w:t xml:space="preserve">وتبيّن ممّا مرّ وقوع السهو في </w:t>
      </w:r>
      <w:r w:rsidRPr="002F4D34">
        <w:rPr>
          <w:rStyle w:val="libFootnoteBoldChar"/>
          <w:rtl/>
        </w:rPr>
        <w:t>التهذيب</w:t>
      </w:r>
      <w:r w:rsidRPr="00B60612">
        <w:rPr>
          <w:rtl/>
        </w:rPr>
        <w:t xml:space="preserve"> ، ج 1 ، ص 365 ، ح 1107 ، من « عليّ بن محمّد وعبدالله بن إبراهيم الأحمر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الإبريق » : إناء له خرطوم. وقيل : هو الكوز. وقيل : هو مثل الكوز. وهو في كلّ ذلك فارسيّ معرّب « آب ريز » أي ما يصبّ به الماء. راجع : </w:t>
      </w:r>
      <w:r w:rsidR="00E3253D" w:rsidRPr="002F4D34">
        <w:rPr>
          <w:rStyle w:val="libFootnoteBoldChar"/>
          <w:rtl/>
        </w:rPr>
        <w:t>المغرب</w:t>
      </w:r>
      <w:r w:rsidR="00E3253D" w:rsidRPr="005D642E">
        <w:rPr>
          <w:rtl/>
        </w:rPr>
        <w:t xml:space="preserve"> ، ص 41 ؛ </w:t>
      </w:r>
      <w:r w:rsidR="00E3253D" w:rsidRPr="002F4D34">
        <w:rPr>
          <w:rStyle w:val="libFootnoteBoldChar"/>
          <w:rtl/>
        </w:rPr>
        <w:t>لسان العرب</w:t>
      </w:r>
      <w:r w:rsidR="00E3253D" w:rsidRPr="005D642E">
        <w:rPr>
          <w:rtl/>
        </w:rPr>
        <w:t xml:space="preserve"> ، ج 10 ، ص 17 ؛ </w:t>
      </w:r>
      <w:r w:rsidR="00E3253D" w:rsidRPr="002F4D34">
        <w:rPr>
          <w:rStyle w:val="libFootnoteBoldChar"/>
          <w:rtl/>
        </w:rPr>
        <w:t>القاموس المحيط</w:t>
      </w:r>
      <w:r w:rsidR="00E3253D" w:rsidRPr="005D642E">
        <w:rPr>
          <w:rtl/>
        </w:rPr>
        <w:t xml:space="preserve"> ، ج 2 ، ص 1152 ( برق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جح » :</w:t>
      </w:r>
      <w:r w:rsidR="00E3253D">
        <w:rPr>
          <w:rtl/>
        </w:rPr>
        <w:t xml:space="preserve"> </w:t>
      </w:r>
      <w:r w:rsidR="007642BC">
        <w:rPr>
          <w:rtl/>
        </w:rPr>
        <w:t>-</w:t>
      </w:r>
      <w:r w:rsidR="00E3253D">
        <w:rPr>
          <w:rtl/>
        </w:rPr>
        <w:t xml:space="preserve"> </w:t>
      </w:r>
      <w:r w:rsidR="00E3253D" w:rsidRPr="005D642E">
        <w:rPr>
          <w:rtl/>
        </w:rPr>
        <w:t>« منه »</w:t>
      </w:r>
      <w:r w:rsidR="00E3253D">
        <w:rPr>
          <w:rtl/>
        </w:rPr>
        <w:t>.</w:t>
      </w:r>
      <w:r w:rsidR="00E3253D" w:rsidRPr="005D642E">
        <w:rPr>
          <w:rtl/>
        </w:rPr>
        <w:t xml:space="preserve"> وفي البحار ، ج 84 : « أن يتوضّأ منه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ى ، بس ، بف ، جس ، جن » </w:t>
      </w:r>
      <w:r w:rsidR="000D749A" w:rsidRPr="000D749A">
        <w:rPr>
          <w:rStyle w:val="libFootnoteBoldChar"/>
          <w:rtl/>
        </w:rPr>
        <w:t>والوافي</w:t>
      </w:r>
      <w:r w:rsidR="00E3253D" w:rsidRPr="005D642E">
        <w:rPr>
          <w:rtl/>
        </w:rPr>
        <w:t xml:space="preserve"> والبحار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منه »</w:t>
      </w:r>
      <w:r w:rsidR="00E3253D">
        <w:rPr>
          <w:rtl/>
        </w:rPr>
        <w:t>.</w:t>
      </w:r>
    </w:p>
    <w:tbl>
      <w:tblPr>
        <w:tblStyle w:val="TableGrid"/>
        <w:bidiVisual/>
        <w:tblW w:w="0" w:type="auto"/>
        <w:tblLook w:val="04A0" w:firstRow="1" w:lastRow="0" w:firstColumn="1" w:lastColumn="0" w:noHBand="0" w:noVBand="1"/>
      </w:tblPr>
      <w:tblGrid>
        <w:gridCol w:w="4006"/>
        <w:gridCol w:w="4006"/>
      </w:tblGrid>
      <w:tr w:rsidR="008D7639" w:rsidTr="008D7639">
        <w:tc>
          <w:tcPr>
            <w:tcW w:w="4006" w:type="dxa"/>
          </w:tcPr>
          <w:p w:rsidR="008D7639" w:rsidRDefault="008D7639" w:rsidP="00E3253D">
            <w:pPr>
              <w:pStyle w:val="libFootnote0"/>
              <w:rPr>
                <w:rStyle w:val="libFootnote0Char"/>
                <w:rtl/>
              </w:rPr>
            </w:pPr>
            <w:r w:rsidRPr="0042621E">
              <w:rPr>
                <w:rStyle w:val="libFootnote0Char"/>
                <w:rtl/>
              </w:rPr>
              <w:t>(8).</w:t>
            </w:r>
            <w:r w:rsidRPr="005D642E">
              <w:rPr>
                <w:rtl/>
              </w:rPr>
              <w:t xml:space="preserve"> في حاشية « بخ » : « أصبّه »</w:t>
            </w:r>
            <w:r>
              <w:rPr>
                <w:rtl/>
              </w:rPr>
              <w:t>.</w:t>
            </w:r>
          </w:p>
        </w:tc>
        <w:tc>
          <w:tcPr>
            <w:tcW w:w="4006" w:type="dxa"/>
          </w:tcPr>
          <w:p w:rsidR="008D7639" w:rsidRDefault="008D7639" w:rsidP="00E3253D">
            <w:pPr>
              <w:pStyle w:val="libFootnote0"/>
              <w:rPr>
                <w:rStyle w:val="libFootnote0Char"/>
                <w:rtl/>
              </w:rPr>
            </w:pPr>
            <w:r w:rsidRPr="0042621E">
              <w:rPr>
                <w:rStyle w:val="libFootnote0Char"/>
                <w:rtl/>
              </w:rPr>
              <w:t>(9).</w:t>
            </w:r>
            <w:r w:rsidRPr="005D642E">
              <w:rPr>
                <w:rtl/>
              </w:rPr>
              <w:t xml:space="preserve"> في « جس » : « فأتى »</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جس » والبحار ، ج 84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له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 « لِم ينهني »</w:t>
      </w:r>
      <w:r w:rsidR="00E3253D">
        <w:rPr>
          <w:rtl/>
        </w:rPr>
        <w:t>.</w:t>
      </w:r>
      <w:r w:rsidR="00E3253D" w:rsidRPr="005D642E">
        <w:rPr>
          <w:rtl/>
        </w:rPr>
        <w:t xml:space="preserve"> وفي حاشية « غ » : « لِم تنهني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أَصُبَّ </w:t>
      </w:r>
      <w:r w:rsidRPr="007C12DB">
        <w:rPr>
          <w:rStyle w:val="libFootnotenumChar"/>
          <w:rtl/>
        </w:rPr>
        <w:t>(1)</w:t>
      </w:r>
      <w:r w:rsidRPr="005D642E">
        <w:rPr>
          <w:rtl/>
          <w:lang w:bidi="fa-IR"/>
        </w:rPr>
        <w:t xml:space="preserve"> عَلى يَدِكَ </w:t>
      </w:r>
      <w:r w:rsidRPr="007C12DB">
        <w:rPr>
          <w:rStyle w:val="libFootnotenumChar"/>
          <w:rtl/>
        </w:rPr>
        <w:t>(2)</w:t>
      </w:r>
      <w:r>
        <w:rPr>
          <w:rtl/>
          <w:lang w:bidi="fa-IR"/>
        </w:rPr>
        <w:t>؟</w:t>
      </w:r>
      <w:r w:rsidRPr="005D642E">
        <w:rPr>
          <w:rtl/>
          <w:lang w:bidi="fa-IR"/>
        </w:rPr>
        <w:t xml:space="preserve"> تَكْرَهُ أَنْ أُوجَرَ</w:t>
      </w:r>
      <w:r>
        <w:rPr>
          <w:rtl/>
          <w:lang w:bidi="fa-IR"/>
        </w:rPr>
        <w:t>؟</w:t>
      </w:r>
      <w:r w:rsidRPr="005D642E">
        <w:rPr>
          <w:rtl/>
          <w:lang w:bidi="fa-IR"/>
        </w:rPr>
        <w:t xml:space="preserve"> قَالَ : « تُوجَرُ أَنْتَ </w:t>
      </w:r>
      <w:r w:rsidRPr="007C12DB">
        <w:rPr>
          <w:rStyle w:val="libFootnotenumChar"/>
          <w:rtl/>
        </w:rPr>
        <w:t>(3)</w:t>
      </w:r>
      <w:r w:rsidRPr="005D642E">
        <w:rPr>
          <w:rtl/>
          <w:lang w:bidi="fa-IR"/>
        </w:rPr>
        <w:t xml:space="preserve"> وَأُوزَرُ </w:t>
      </w:r>
      <w:r w:rsidRPr="007C12DB">
        <w:rPr>
          <w:rStyle w:val="libFootnotenumChar"/>
          <w:rtl/>
        </w:rPr>
        <w:t>(4)</w:t>
      </w:r>
      <w:r w:rsidRPr="005D642E">
        <w:rPr>
          <w:rtl/>
          <w:lang w:bidi="fa-IR"/>
        </w:rPr>
        <w:t xml:space="preserve"> أَنَا » فَقُلْتُ لَهُ </w:t>
      </w:r>
      <w:r w:rsidRPr="007C12DB">
        <w:rPr>
          <w:rStyle w:val="libFootnotenumChar"/>
          <w:rtl/>
        </w:rPr>
        <w:t>(5)</w:t>
      </w:r>
      <w:r w:rsidRPr="005D642E">
        <w:rPr>
          <w:rtl/>
          <w:lang w:bidi="fa-IR"/>
        </w:rPr>
        <w:t xml:space="preserve"> : وَكَيْفَ ذلِكَ </w:t>
      </w:r>
      <w:r w:rsidRPr="007C12DB">
        <w:rPr>
          <w:rStyle w:val="libFootnotenumChar"/>
          <w:rtl/>
        </w:rPr>
        <w:t>(6)</w:t>
      </w:r>
      <w:r>
        <w:rPr>
          <w:rtl/>
          <w:lang w:bidi="fa-IR"/>
        </w:rPr>
        <w:t>؟</w:t>
      </w:r>
    </w:p>
    <w:p w:rsidR="00E3253D" w:rsidRPr="005D642E" w:rsidRDefault="00E3253D" w:rsidP="00E3253D">
      <w:pPr>
        <w:pStyle w:val="libNormal"/>
        <w:rPr>
          <w:rtl/>
          <w:lang w:bidi="fa-IR"/>
        </w:rPr>
      </w:pPr>
      <w:r>
        <w:rPr>
          <w:rtl/>
          <w:lang w:bidi="fa-IR"/>
        </w:rPr>
        <w:t>فَقَالَ : « أَ</w:t>
      </w:r>
      <w:r w:rsidR="00B36BD5">
        <w:rPr>
          <w:rFonts w:hint="cs"/>
          <w:rtl/>
          <w:lang w:bidi="fa-IR"/>
        </w:rPr>
        <w:t xml:space="preserve"> </w:t>
      </w:r>
      <w:r w:rsidRPr="005D642E">
        <w:rPr>
          <w:rtl/>
          <w:lang w:bidi="fa-IR"/>
        </w:rPr>
        <w:t>مَا سَمِعْتَ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يَقُولُ : </w:t>
      </w:r>
      <w:r w:rsidRPr="00AC51C5">
        <w:rPr>
          <w:rStyle w:val="libAlaemChar"/>
          <w:rtl/>
        </w:rPr>
        <w:t>(</w:t>
      </w:r>
      <w:r w:rsidRPr="00AC51C5">
        <w:rPr>
          <w:rStyle w:val="libAieChar"/>
          <w:rtl/>
        </w:rPr>
        <w:t xml:space="preserve"> فَمَنْ كانَ يَرْجُوا لِقاءَ رَبِّهِ فَلْيَعْمَلْ عَمَلاً صالِحاً وَلا يُشْرِكْ بِعِبادَةِ رَبِّهِ أَحَداً </w:t>
      </w:r>
      <w:r w:rsidRPr="00AC51C5">
        <w:rPr>
          <w:rStyle w:val="libAlaemChar"/>
          <w:rtl/>
        </w:rPr>
        <w:t>)</w:t>
      </w:r>
      <w:r w:rsidRPr="005D642E">
        <w:rPr>
          <w:rtl/>
          <w:lang w:bidi="fa-IR"/>
        </w:rPr>
        <w:t xml:space="preserve"> </w:t>
      </w:r>
      <w:r w:rsidRPr="007C12DB">
        <w:rPr>
          <w:rStyle w:val="libFootnotenumChar"/>
          <w:rtl/>
        </w:rPr>
        <w:t>(7)</w:t>
      </w:r>
      <w:r>
        <w:rPr>
          <w:rtl/>
          <w:lang w:bidi="fa-IR"/>
        </w:rPr>
        <w:t>؟</w:t>
      </w:r>
      <w:r w:rsidRPr="005D642E">
        <w:rPr>
          <w:rtl/>
          <w:lang w:bidi="fa-IR"/>
        </w:rPr>
        <w:t xml:space="preserve"> وَهَا </w:t>
      </w:r>
      <w:r w:rsidRPr="007C12DB">
        <w:rPr>
          <w:rStyle w:val="libFootnotenumChar"/>
          <w:rtl/>
        </w:rPr>
        <w:t>(8)</w:t>
      </w:r>
      <w:r w:rsidRPr="005D642E">
        <w:rPr>
          <w:rtl/>
          <w:lang w:bidi="fa-IR"/>
        </w:rPr>
        <w:t xml:space="preserve"> أَنَا ذَا </w:t>
      </w:r>
      <w:r w:rsidRPr="007C12DB">
        <w:rPr>
          <w:rStyle w:val="libFootnotenumChar"/>
          <w:rtl/>
        </w:rPr>
        <w:t>(9)</w:t>
      </w:r>
      <w:r w:rsidRPr="005D642E">
        <w:rPr>
          <w:rtl/>
          <w:lang w:bidi="fa-IR"/>
        </w:rPr>
        <w:t xml:space="preserve"> أَتَوَضَّأُ لِلصَّلَاةِ وَهِيَ الْعِبَادَةُ </w:t>
      </w:r>
      <w:r w:rsidRPr="007C12DB">
        <w:rPr>
          <w:rStyle w:val="libFootnotenumChar"/>
          <w:rtl/>
        </w:rPr>
        <w:t>(10)</w:t>
      </w:r>
      <w:r w:rsidRPr="005D642E">
        <w:rPr>
          <w:rtl/>
          <w:lang w:bidi="fa-IR"/>
        </w:rPr>
        <w:t xml:space="preserve"> ، فَأَكْرَهُ أَنْ يَشْرَكَنِي فِيهَا </w:t>
      </w:r>
      <w:r w:rsidRPr="007C12DB">
        <w:rPr>
          <w:rStyle w:val="libFootnotenumChar"/>
          <w:rtl/>
        </w:rPr>
        <w:t>(11)</w:t>
      </w:r>
      <w:r w:rsidRPr="005D642E">
        <w:rPr>
          <w:rtl/>
          <w:lang w:bidi="fa-IR"/>
        </w:rPr>
        <w:t xml:space="preserve"> أَحَدٌ »</w:t>
      </w:r>
      <w:r>
        <w:rPr>
          <w:rtl/>
          <w:lang w:bidi="fa-IR"/>
        </w:rPr>
        <w:t>.</w:t>
      </w:r>
      <w:r w:rsidRPr="005D642E">
        <w:rPr>
          <w:rtl/>
          <w:lang w:bidi="fa-IR"/>
        </w:rPr>
        <w:t xml:space="preserve"> </w:t>
      </w:r>
      <w:r w:rsidRPr="007C12DB">
        <w:rPr>
          <w:rStyle w:val="libFootnotenumChar"/>
          <w:rtl/>
        </w:rPr>
        <w:t>(12)</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ى ، بح ، جس » وحاشية « غ ، بخ » </w:t>
      </w:r>
      <w:r w:rsidR="00B60612" w:rsidRPr="00B60612">
        <w:rPr>
          <w:rStyle w:val="libFootnoteBoldChar"/>
          <w:rtl/>
        </w:rPr>
        <w:t>والتهذيب</w:t>
      </w:r>
      <w:r w:rsidR="00E3253D" w:rsidRPr="005D642E">
        <w:rPr>
          <w:rtl/>
        </w:rPr>
        <w:t xml:space="preserve"> : « أن أصبّه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بخ ، بس ، بف ، جح » وحاشية « ى ، بح » </w:t>
      </w:r>
      <w:r w:rsidR="000D749A" w:rsidRPr="000D749A">
        <w:rPr>
          <w:rStyle w:val="libFootnoteBoldChar"/>
          <w:rtl/>
        </w:rPr>
        <w:t>والوافي</w:t>
      </w:r>
      <w:r w:rsidR="00E3253D" w:rsidRPr="005D642E">
        <w:rPr>
          <w:rtl/>
        </w:rPr>
        <w:t xml:space="preserve"> والبحار ، ج 84 : « عليك » بدل « على يدك »</w:t>
      </w:r>
      <w:r w:rsidR="00E3253D">
        <w:rPr>
          <w:rtl/>
        </w:rPr>
        <w:t>.</w:t>
      </w:r>
      <w:r w:rsidR="00E3253D" w:rsidRPr="005D642E">
        <w:rPr>
          <w:rtl/>
        </w:rPr>
        <w:t xml:space="preserve"> وفي الوسائل : « على يديك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188 : « وقال الشيخ البهائي </w:t>
      </w:r>
      <w:r w:rsidR="00E3253D" w:rsidRPr="000942DF">
        <w:rPr>
          <w:rStyle w:val="libFootnoteAlaemChar"/>
          <w:rtl/>
        </w:rPr>
        <w:t>رحمه‌الله</w:t>
      </w:r>
      <w:r w:rsidR="00E3253D" w:rsidRPr="005D642E">
        <w:rPr>
          <w:rtl/>
        </w:rPr>
        <w:t xml:space="preserve"> : استدلّ ا</w:t>
      </w:r>
      <w:r w:rsidR="000942DF">
        <w:rPr>
          <w:rtl/>
        </w:rPr>
        <w:t>لعل</w:t>
      </w:r>
      <w:r w:rsidR="000942DF">
        <w:rPr>
          <w:rFonts w:hint="cs"/>
          <w:rtl/>
        </w:rPr>
        <w:t>ّ</w:t>
      </w:r>
      <w:r w:rsidR="000942DF">
        <w:rPr>
          <w:rtl/>
        </w:rPr>
        <w:t>ا</w:t>
      </w:r>
      <w:r w:rsidR="00E3253D" w:rsidRPr="005D642E">
        <w:rPr>
          <w:rtl/>
        </w:rPr>
        <w:t xml:space="preserve">مة في </w:t>
      </w:r>
      <w:r w:rsidR="00E3253D" w:rsidRPr="002F4D34">
        <w:rPr>
          <w:rStyle w:val="libFootnoteBoldChar"/>
          <w:rtl/>
        </w:rPr>
        <w:t>المنتهى</w:t>
      </w:r>
      <w:r w:rsidR="00E3253D" w:rsidRPr="005D642E">
        <w:rPr>
          <w:rtl/>
        </w:rPr>
        <w:t xml:space="preserve"> وغيره بهذه الرواية على كراهة الاستعانة ، والظاهر أنّ المراد الصبّ على نفس العضو ، وهو التولية المحرّمة ، كما يرشد إليه قوله : على يدك ، ولم يقل : في يدك ، وكما يدلّ عليه قوله </w:t>
      </w:r>
      <w:r w:rsidR="00E3253D" w:rsidRPr="00826FF3">
        <w:rPr>
          <w:rStyle w:val="libFootnoteAlaemChar"/>
          <w:rtl/>
        </w:rPr>
        <w:t>عليه‌السلام</w:t>
      </w:r>
      <w:r w:rsidR="00E3253D" w:rsidRPr="005D642E">
        <w:rPr>
          <w:rtl/>
        </w:rPr>
        <w:t xml:space="preserve"> : واوزر أنا ؛ إذ لا وزر في المكروه ، فالاستدلال بها على كراهة الاستعانة محلّ تأمّل »</w:t>
      </w:r>
      <w:r w:rsidR="00E3253D">
        <w:rPr>
          <w:rtl/>
        </w:rPr>
        <w:t>.</w:t>
      </w:r>
      <w:r w:rsidR="00E3253D" w:rsidRPr="005D642E">
        <w:rPr>
          <w:rtl/>
        </w:rPr>
        <w:t xml:space="preserve"> وللمزيد راجع : </w:t>
      </w:r>
      <w:r w:rsidR="00E3253D" w:rsidRPr="002F4D34">
        <w:rPr>
          <w:rStyle w:val="libFootnoteBoldChar"/>
          <w:rtl/>
        </w:rPr>
        <w:t>الحبل المتين</w:t>
      </w:r>
      <w:r w:rsidR="00E3253D" w:rsidRPr="005D642E">
        <w:rPr>
          <w:rtl/>
        </w:rPr>
        <w:t xml:space="preserve"> ، ص 52.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9B68A4">
        <w:rPr>
          <w:rStyle w:val="libFootnoteAlaemChar"/>
          <w:rtl/>
        </w:rPr>
        <w:t>عليه‌السلام</w:t>
      </w:r>
      <w:r w:rsidR="00E3253D" w:rsidRPr="005D642E">
        <w:rPr>
          <w:rtl/>
        </w:rPr>
        <w:t xml:space="preserve"> : تؤجر أنت ، يحتمل أن يكون استفهاماً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اوزَرُ » ، أي آثِمُ ، يقال : وَزِرَ يَوْزَرُ كعلم ، ووَزَرَ يَزِرُ كوعد ، ووُزِرَ يُوزَرُ بالبناء للمفعول فهو موزور ، من الوِزْر بمعنى الإثم. راجع : </w:t>
      </w:r>
      <w:r w:rsidR="00E3253D" w:rsidRPr="002F4D34">
        <w:rPr>
          <w:rStyle w:val="libFootnoteBoldChar"/>
          <w:rtl/>
        </w:rPr>
        <w:t>الصحاح</w:t>
      </w:r>
      <w:r w:rsidR="00E3253D" w:rsidRPr="005D642E">
        <w:rPr>
          <w:rtl/>
        </w:rPr>
        <w:t xml:space="preserve"> ، ج 2 ، ص 845 ؛ </w:t>
      </w:r>
      <w:r w:rsidR="00E3253D" w:rsidRPr="002F4D34">
        <w:rPr>
          <w:rStyle w:val="libFootnoteBoldChar"/>
          <w:rtl/>
        </w:rPr>
        <w:t>القاموس المحيط</w:t>
      </w:r>
      <w:r w:rsidR="00E3253D" w:rsidRPr="005D642E">
        <w:rPr>
          <w:rtl/>
        </w:rPr>
        <w:t xml:space="preserve"> ، ج 1 ، ص 681 ( وزر )</w:t>
      </w:r>
      <w:r w:rsidR="00E3253D">
        <w:rPr>
          <w:rtl/>
        </w:rPr>
        <w:t>.</w:t>
      </w:r>
    </w:p>
    <w:tbl>
      <w:tblPr>
        <w:tblStyle w:val="TableGrid"/>
        <w:bidiVisual/>
        <w:tblW w:w="0" w:type="auto"/>
        <w:tblLook w:val="04A0" w:firstRow="1" w:lastRow="0" w:firstColumn="1" w:lastColumn="0" w:noHBand="0" w:noVBand="1"/>
      </w:tblPr>
      <w:tblGrid>
        <w:gridCol w:w="4006"/>
        <w:gridCol w:w="4006"/>
      </w:tblGrid>
      <w:tr w:rsidR="00562FEA" w:rsidTr="00562FEA">
        <w:tc>
          <w:tcPr>
            <w:tcW w:w="4006" w:type="dxa"/>
          </w:tcPr>
          <w:p w:rsidR="00562FEA" w:rsidRDefault="00562FEA" w:rsidP="00E3253D">
            <w:pPr>
              <w:pStyle w:val="libFootnote0"/>
              <w:rPr>
                <w:rStyle w:val="libFootnote0Char"/>
                <w:rtl/>
              </w:rPr>
            </w:pPr>
            <w:r w:rsidRPr="0042621E">
              <w:rPr>
                <w:rStyle w:val="libFootnote0Char"/>
                <w:rtl/>
              </w:rPr>
              <w:t>(5).</w:t>
            </w:r>
            <w:r w:rsidRPr="005D642E">
              <w:rPr>
                <w:rtl/>
              </w:rPr>
              <w:t xml:space="preserve"> في الوسائل :</w:t>
            </w:r>
            <w:r>
              <w:rPr>
                <w:rtl/>
              </w:rPr>
              <w:t xml:space="preserve"> - </w:t>
            </w:r>
            <w:r w:rsidRPr="005D642E">
              <w:rPr>
                <w:rtl/>
              </w:rPr>
              <w:t>« له »</w:t>
            </w:r>
            <w:r>
              <w:rPr>
                <w:rtl/>
              </w:rPr>
              <w:t>.</w:t>
            </w:r>
          </w:p>
        </w:tc>
        <w:tc>
          <w:tcPr>
            <w:tcW w:w="4006" w:type="dxa"/>
          </w:tcPr>
          <w:p w:rsidR="00562FEA" w:rsidRDefault="00562FEA" w:rsidP="00E3253D">
            <w:pPr>
              <w:pStyle w:val="libFootnote0"/>
              <w:rPr>
                <w:rStyle w:val="libFootnote0Char"/>
                <w:rtl/>
              </w:rPr>
            </w:pPr>
            <w:r w:rsidRPr="0042621E">
              <w:rPr>
                <w:rStyle w:val="libFootnote0Char"/>
                <w:rtl/>
              </w:rPr>
              <w:t>(6).</w:t>
            </w:r>
            <w:r w:rsidRPr="005D642E">
              <w:rPr>
                <w:rtl/>
              </w:rPr>
              <w:t xml:space="preserve"> في « بخ » : « ذاك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الكهف (18) : 110.</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بح » : « هذا »</w:t>
      </w:r>
      <w:r w:rsidR="00E3253D">
        <w:rPr>
          <w:rtl/>
        </w:rPr>
        <w:t>.</w:t>
      </w:r>
      <w:r w:rsidR="00E3253D" w:rsidRPr="005D642E">
        <w:rPr>
          <w:rtl/>
        </w:rPr>
        <w:t xml:space="preserve"> وفي البحار ، ج 84 : « ها » من دون الواو.</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 أنا إذا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الوافي</w:t>
      </w:r>
      <w:r w:rsidR="00E3253D" w:rsidRPr="005D642E">
        <w:rPr>
          <w:rtl/>
        </w:rPr>
        <w:t xml:space="preserve"> : « لايخفى أنّ الإشراك في العبادة غير الإشراك بها ، فكأنّه </w:t>
      </w:r>
      <w:r w:rsidR="00E3253D" w:rsidRPr="00562FEA">
        <w:rPr>
          <w:rStyle w:val="libFootnoteAlaemChar"/>
          <w:rtl/>
        </w:rPr>
        <w:t>عليه‌السلام</w:t>
      </w:r>
      <w:r w:rsidR="00E3253D" w:rsidRPr="005D642E">
        <w:rPr>
          <w:rtl/>
        </w:rPr>
        <w:t xml:space="preserve"> أرجع الأوّل إلى الثاني وعدّه مكروهاً ؛ لأنّ طلب الراحة للنفس في العبادة نوع إشراك مع الربّ تعالى »</w:t>
      </w:r>
      <w:r w:rsidR="00E3253D">
        <w:rPr>
          <w:rtl/>
        </w:rPr>
        <w:t>.</w:t>
      </w:r>
    </w:p>
    <w:p w:rsidR="00E3253D" w:rsidRPr="005D642E" w:rsidRDefault="0042621E" w:rsidP="00562FEA">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مرآة العقول</w:t>
      </w:r>
      <w:r w:rsidR="00E3253D" w:rsidRPr="005D642E">
        <w:rPr>
          <w:rtl/>
        </w:rPr>
        <w:t xml:space="preserve"> ، ج 13 ، ص 188 : « وقال</w:t>
      </w:r>
      <w:r w:rsidR="00E3253D">
        <w:rPr>
          <w:rtl/>
        </w:rPr>
        <w:t xml:space="preserve"> </w:t>
      </w:r>
      <w:r w:rsidR="007642BC">
        <w:rPr>
          <w:rtl/>
        </w:rPr>
        <w:t>-</w:t>
      </w:r>
      <w:r w:rsidR="00E3253D">
        <w:rPr>
          <w:rtl/>
        </w:rPr>
        <w:t xml:space="preserve"> </w:t>
      </w:r>
      <w:r w:rsidR="00E3253D" w:rsidRPr="005D642E">
        <w:rPr>
          <w:rtl/>
        </w:rPr>
        <w:t>أي الشيخ البهائي</w:t>
      </w:r>
      <w:r w:rsidR="00E3253D">
        <w:rPr>
          <w:rtl/>
        </w:rPr>
        <w:t xml:space="preserve"> </w:t>
      </w:r>
      <w:r w:rsidR="007642BC">
        <w:rPr>
          <w:rtl/>
        </w:rPr>
        <w:t>-</w:t>
      </w:r>
      <w:r w:rsidR="00E3253D">
        <w:rPr>
          <w:rtl/>
        </w:rPr>
        <w:t xml:space="preserve"> </w:t>
      </w:r>
      <w:r w:rsidR="00E3253D" w:rsidRPr="005D642E">
        <w:rPr>
          <w:rtl/>
        </w:rPr>
        <w:t xml:space="preserve">: الباء في </w:t>
      </w:r>
      <w:r w:rsidR="00562FEA" w:rsidRPr="00562FEA">
        <w:rPr>
          <w:rStyle w:val="libFootnoteAlaemChar"/>
          <w:rFonts w:hint="cs"/>
          <w:rtl/>
        </w:rPr>
        <w:t>(</w:t>
      </w:r>
      <w:r w:rsidR="00E3253D" w:rsidRPr="005D642E">
        <w:rPr>
          <w:rtl/>
        </w:rPr>
        <w:t xml:space="preserve"> </w:t>
      </w:r>
      <w:r w:rsidR="00E3253D" w:rsidRPr="00562FEA">
        <w:rPr>
          <w:rStyle w:val="libFootnoteAieChar"/>
          <w:rtl/>
        </w:rPr>
        <w:t>بِعِبَادَةِ رَبّهِ</w:t>
      </w:r>
      <w:r w:rsidR="00E3253D" w:rsidRPr="005D642E">
        <w:rPr>
          <w:rtl/>
        </w:rPr>
        <w:t xml:space="preserve"> </w:t>
      </w:r>
      <w:r w:rsidR="00562FEA">
        <w:rPr>
          <w:rStyle w:val="libFootnoteAlaemChar"/>
          <w:rFonts w:hint="cs"/>
          <w:rtl/>
        </w:rPr>
        <w:t>)</w:t>
      </w:r>
      <w:r w:rsidR="00E3253D" w:rsidRPr="005D642E">
        <w:rPr>
          <w:rtl/>
        </w:rPr>
        <w:t xml:space="preserve"> ظرفيّة والتفسير المشهور لهذه الآية : ولا يجعل أحداً شريكاً مع ربّه في المعبوديّة ، فلعلّ كلا المعنيين مراد ؛ فإنّ الإمام </w:t>
      </w:r>
      <w:r w:rsidR="00E3253D" w:rsidRPr="00562FEA">
        <w:rPr>
          <w:rStyle w:val="libFootnoteAlaemChar"/>
          <w:rtl/>
        </w:rPr>
        <w:t>عليه‌السلام</w:t>
      </w:r>
      <w:r w:rsidR="00E3253D" w:rsidRPr="005D642E">
        <w:rPr>
          <w:rtl/>
        </w:rPr>
        <w:t xml:space="preserve"> لم ينف ذلك التفسير. هذا ولا يخفى أنّ الضمير في قوله </w:t>
      </w:r>
      <w:r w:rsidR="00E3253D" w:rsidRPr="00562FEA">
        <w:rPr>
          <w:rStyle w:val="libFootnoteAlaemChar"/>
          <w:rtl/>
        </w:rPr>
        <w:t>عليه‌السلام</w:t>
      </w:r>
      <w:r w:rsidR="00E3253D" w:rsidRPr="005D642E">
        <w:rPr>
          <w:rtl/>
        </w:rPr>
        <w:t xml:space="preserve"> : وهي العبادة ، وقوله : أن يشركني فيها ، راجعين إلى الصلاة ، والغرض منع الشركة في الوضوء ، فكأنّه لعدم تحقّقها بدونه أو بدله كالجزء منها. ولا يبعد أن يجعل الباء في الآية للسببيّة ، وكذا في قوله </w:t>
      </w:r>
      <w:r w:rsidR="00E3253D" w:rsidRPr="00562FEA">
        <w:rPr>
          <w:rStyle w:val="libFootnoteAlaemChar"/>
          <w:rtl/>
        </w:rPr>
        <w:t>عليه‌السلام</w:t>
      </w:r>
      <w:r w:rsidR="00E3253D" w:rsidRPr="005D642E">
        <w:rPr>
          <w:rtl/>
        </w:rPr>
        <w:t xml:space="preserve"> : فيها ، وحينئذ لا يحتاج إلى تكلّف جعل ا</w:t>
      </w:r>
      <w:r w:rsidR="00826FF3">
        <w:rPr>
          <w:rtl/>
        </w:rPr>
        <w:t>لوضوء كالجزء من الصلاة ، فتدبّر</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365 ، ح 1107 ، بسنده عن الكليني ، عن عليّ بن محمّد وعبدالله بن إبراهيم الأحمر ، عن الحسن بن عليّ الوشّاء. </w:t>
      </w:r>
      <w:r w:rsidR="00E3253D" w:rsidRPr="002F4D34">
        <w:rPr>
          <w:rStyle w:val="libFootnoteBoldChar"/>
          <w:rtl/>
        </w:rPr>
        <w:t>الفقيه</w:t>
      </w:r>
      <w:r w:rsidR="00E3253D" w:rsidRPr="005D642E">
        <w:rPr>
          <w:rtl/>
        </w:rPr>
        <w:t xml:space="preserve"> ، ج 1 ، ص 43 ، ح 85 ، مرسلاً عن أميرالمؤمنين </w:t>
      </w:r>
      <w:r w:rsidR="00E3253D" w:rsidRPr="00562FEA">
        <w:rPr>
          <w:rStyle w:val="libFootnoteAlaemChar"/>
          <w:rtl/>
        </w:rPr>
        <w:t>عليه‌السلام</w:t>
      </w:r>
      <w:r w:rsidR="00E3253D" w:rsidRPr="005D642E">
        <w:rPr>
          <w:rtl/>
        </w:rPr>
        <w:t xml:space="preserve"> ، مع اختلاف </w:t>
      </w:r>
      <w:r w:rsidR="00562FEA">
        <w:rPr>
          <w:rFonts w:hint="cs"/>
          <w:rtl/>
        </w:rPr>
        <w:t>.</w:t>
      </w:r>
      <w:r w:rsidR="00E3253D" w:rsidRPr="002F4D34">
        <w:rPr>
          <w:rStyle w:val="libFootnoteBoldChar"/>
          <w:rtl/>
        </w:rPr>
        <w:t>الوافي</w:t>
      </w:r>
      <w:r w:rsidR="00E3253D" w:rsidRPr="005D642E">
        <w:rPr>
          <w:rtl/>
        </w:rPr>
        <w:t xml:space="preserve"> ، ج 6 ، ص 330 ، ح 4398 ؛ </w:t>
      </w:r>
      <w:r w:rsidR="00E3253D" w:rsidRPr="002F4D34">
        <w:rPr>
          <w:rStyle w:val="libFootnoteBoldChar"/>
          <w:rtl/>
        </w:rPr>
        <w:t>الوسائل</w:t>
      </w:r>
      <w:r w:rsidR="00E3253D" w:rsidRPr="005D642E">
        <w:rPr>
          <w:rtl/>
        </w:rPr>
        <w:t xml:space="preserve"> ، ج 1 ، ص 476 ، ح 1266 ؛ </w:t>
      </w:r>
      <w:r w:rsidR="00E3253D" w:rsidRPr="002F4D34">
        <w:rPr>
          <w:rStyle w:val="libFootnoteBoldChar"/>
          <w:rtl/>
        </w:rPr>
        <w:t>البحار</w:t>
      </w:r>
      <w:r w:rsidR="00E3253D" w:rsidRPr="005D642E">
        <w:rPr>
          <w:rtl/>
        </w:rPr>
        <w:t xml:space="preserve"> ، ج 49 ، ص 104 ، ح 30 ؛ وج 84 ، ص 349.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7A4A0F">
        <w:rPr>
          <w:rtl/>
        </w:rPr>
        <w:lastRenderedPageBreak/>
        <w:t>4132</w:t>
      </w:r>
      <w:r w:rsidRPr="00246318">
        <w:rPr>
          <w:rStyle w:val="libBold2Char"/>
          <w:rtl/>
        </w:rPr>
        <w:t xml:space="preserve"> / 2.</w:t>
      </w:r>
      <w:r w:rsidRPr="005D642E">
        <w:rPr>
          <w:rtl/>
          <w:lang w:bidi="fa-IR"/>
        </w:rPr>
        <w:t xml:space="preserve"> عَلِيُّ بْنُ مُحَمَّدٍ ، عَنْ سَهْلِ بْنِ زِيَادٍ ، عَنْ جَعْفَرِ بْنِ مُحَمَّدٍ الْأَشْعَرِيِّ ، عَنِ الْقَدَّاحِ</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افْتِتَاحُ الصَّلَاةِ الْوُضُوءُ ، وَتَحْرِيمُهَا التَّكْبِيرُ ، وَتَحْلِيلُهَا التَّسْلِيمُ »</w:t>
      </w:r>
      <w:r>
        <w:rPr>
          <w:rtl/>
          <w:lang w:bidi="fa-IR"/>
        </w:rPr>
        <w:t>.</w:t>
      </w:r>
      <w:r w:rsidRPr="005D642E">
        <w:rPr>
          <w:rtl/>
          <w:lang w:bidi="fa-IR"/>
        </w:rPr>
        <w:t xml:space="preserve"> </w:t>
      </w:r>
      <w:r w:rsidRPr="007C12DB">
        <w:rPr>
          <w:rStyle w:val="libFootnotenumChar"/>
          <w:rtl/>
        </w:rPr>
        <w:t>(2)</w:t>
      </w:r>
    </w:p>
    <w:p w:rsidR="00E3253D" w:rsidRPr="005D642E" w:rsidRDefault="00E3253D" w:rsidP="00E3253D">
      <w:pPr>
        <w:pStyle w:val="libNormal"/>
        <w:rPr>
          <w:rtl/>
          <w:lang w:bidi="fa-IR"/>
        </w:rPr>
      </w:pPr>
      <w:r w:rsidRPr="007A4A0F">
        <w:rPr>
          <w:rtl/>
        </w:rPr>
        <w:t>4133</w:t>
      </w:r>
      <w:r w:rsidRPr="00246318">
        <w:rPr>
          <w:rStyle w:val="libBold2Char"/>
          <w:rtl/>
        </w:rPr>
        <w:t xml:space="preserve"> / 3.</w:t>
      </w:r>
      <w:r w:rsidRPr="005D642E">
        <w:rPr>
          <w:rtl/>
          <w:lang w:bidi="fa-IR"/>
        </w:rPr>
        <w:t xml:space="preserve"> عَلِيُّ بْنُ إِبْرَاهِيمَ ، عَنْ صَالِحِ بْنِ السِّنْدِيِّ ، عَنْ جَعْفَرِ بْنِ بَشِيرٍ ، عَنْ صَبَّاحٍ الْحَذَّاءِ ، عَنْ أَبِي أُسَامَةَ ، قَالَ :</w:t>
      </w:r>
    </w:p>
    <w:p w:rsidR="00E3253D" w:rsidRDefault="00E3253D" w:rsidP="00E3253D">
      <w:pPr>
        <w:pStyle w:val="libNormal"/>
        <w:rPr>
          <w:rtl/>
          <w:lang w:bidi="fa-IR"/>
        </w:rPr>
      </w:pPr>
      <w:r w:rsidRPr="005D642E">
        <w:rPr>
          <w:rtl/>
          <w:lang w:bidi="fa-IR"/>
        </w:rPr>
        <w:t xml:space="preserve">كُنْتُ عِنْدَ أَبِي عَبْدِ اللهِ </w:t>
      </w:r>
      <w:r w:rsidRPr="00AC51C5">
        <w:rPr>
          <w:rStyle w:val="libAlaemChar"/>
          <w:rtl/>
        </w:rPr>
        <w:t>عليه‌السلام</w:t>
      </w:r>
      <w:r w:rsidRPr="005D642E">
        <w:rPr>
          <w:rtl/>
          <w:lang w:bidi="fa-IR"/>
        </w:rPr>
        <w:t xml:space="preserve"> ، فَسَأَلَهُ رَجُلٌ مِنَ الْمُغِيرِيَّةِ </w:t>
      </w:r>
      <w:r w:rsidRPr="007C12DB">
        <w:rPr>
          <w:rStyle w:val="libFootnotenumChar"/>
          <w:rtl/>
        </w:rPr>
        <w:t>(3)</w:t>
      </w:r>
      <w:r w:rsidRPr="005D642E">
        <w:rPr>
          <w:rtl/>
          <w:lang w:bidi="fa-IR"/>
        </w:rPr>
        <w:t xml:space="preserve"> عَنْ شَيْ‌ءٍ مِنَ السُّنَنِ</w:t>
      </w:r>
      <w:r>
        <w:rPr>
          <w:rtl/>
          <w:lang w:bidi="fa-IR"/>
        </w:rPr>
        <w:t>؟</w:t>
      </w:r>
    </w:p>
    <w:p w:rsidR="00E3253D" w:rsidRPr="005D642E" w:rsidRDefault="00E3253D" w:rsidP="00E3253D">
      <w:pPr>
        <w:pStyle w:val="libNormal"/>
        <w:rPr>
          <w:rtl/>
          <w:lang w:bidi="fa-IR"/>
        </w:rPr>
      </w:pPr>
      <w:r>
        <w:rPr>
          <w:rFonts w:hint="cs"/>
          <w:rtl/>
          <w:lang w:bidi="fa-IR"/>
        </w:rPr>
        <w:t>ف</w:t>
      </w:r>
      <w:r w:rsidRPr="005D642E">
        <w:rPr>
          <w:rtl/>
          <w:lang w:bidi="fa-IR"/>
        </w:rPr>
        <w:t xml:space="preserve">قَالَ : « مَا مِنْ شَيْ‌ءٍ يَحْتَاجُ إِلَيْهِ أَحَدٌ مِنْ وُلْدِ </w:t>
      </w:r>
      <w:r w:rsidRPr="007C12DB">
        <w:rPr>
          <w:rStyle w:val="libFootnotenumChar"/>
          <w:rtl/>
        </w:rPr>
        <w:t>(4)</w:t>
      </w:r>
      <w:r w:rsidR="00562FEA">
        <w:rPr>
          <w:rtl/>
          <w:lang w:bidi="fa-IR"/>
        </w:rPr>
        <w:t xml:space="preserve"> آدَمَ إِل</w:t>
      </w:r>
      <w:r w:rsidR="00562FEA">
        <w:rPr>
          <w:rFonts w:hint="cs"/>
          <w:rtl/>
          <w:lang w:bidi="fa-IR"/>
        </w:rPr>
        <w:t>َّ</w:t>
      </w:r>
      <w:r w:rsidR="00562FEA">
        <w:rPr>
          <w:rtl/>
          <w:lang w:bidi="fa-IR"/>
        </w:rPr>
        <w:t>ا</w:t>
      </w:r>
      <w:r w:rsidRPr="005D642E">
        <w:rPr>
          <w:rtl/>
          <w:lang w:bidi="fa-IR"/>
        </w:rPr>
        <w:t xml:space="preserve"> وَقَدْ جَرَتْ فِيهِ‌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الوسائل ، ح 7214 : « عن ابن القدّاح »</w:t>
      </w:r>
      <w:r w:rsidR="00E3253D">
        <w:rPr>
          <w:rtl/>
        </w:rPr>
        <w:t>.</w:t>
      </w:r>
    </w:p>
    <w:p w:rsidR="00E3253D" w:rsidRPr="005D642E" w:rsidRDefault="0042621E" w:rsidP="00562FEA">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الفقيه</w:t>
      </w:r>
      <w:r w:rsidR="00E3253D" w:rsidRPr="005D642E">
        <w:rPr>
          <w:rtl/>
        </w:rPr>
        <w:t xml:space="preserve"> ، ج 1 ، ص 33 ، ح 68 ، مرسلاً عن أميرالمؤمنين </w:t>
      </w:r>
      <w:r w:rsidR="00E3253D" w:rsidRPr="00562FEA">
        <w:rPr>
          <w:rStyle w:val="libFootnoteAlaemChar"/>
          <w:rtl/>
        </w:rPr>
        <w:t>عليه‌السلام</w:t>
      </w:r>
      <w:r w:rsidR="00E3253D" w:rsidRPr="005D642E">
        <w:rPr>
          <w:rtl/>
        </w:rPr>
        <w:t xml:space="preserve"> ، من دون الإسناد إلى النبيّ </w:t>
      </w:r>
      <w:r w:rsidRPr="00562FEA">
        <w:rPr>
          <w:rStyle w:val="libFootnoteAlaemChar"/>
          <w:rtl/>
        </w:rPr>
        <w:t>صلى‌الله‌عليه‌وآله</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562FEA">
        <w:rPr>
          <w:rStyle w:val="libFootnoteAlaemChar"/>
          <w:rtl/>
        </w:rPr>
        <w:t>عليه‌السلام</w:t>
      </w:r>
      <w:r w:rsidR="00E3253D" w:rsidRPr="005D642E">
        <w:rPr>
          <w:rtl/>
        </w:rPr>
        <w:t xml:space="preserve"> ، ص 105 ، من قوله : « تحريمها التكبير »</w:t>
      </w:r>
      <w:r w:rsidR="00562FEA">
        <w:rPr>
          <w:rFonts w:hint="cs"/>
          <w:rtl/>
        </w:rPr>
        <w:t>.</w:t>
      </w:r>
      <w:r w:rsidR="00E3253D" w:rsidRPr="002F4D34">
        <w:rPr>
          <w:rStyle w:val="libFootnoteBoldChar"/>
          <w:rtl/>
        </w:rPr>
        <w:t>الوافي</w:t>
      </w:r>
      <w:r w:rsidR="00E3253D" w:rsidRPr="005D642E">
        <w:rPr>
          <w:rtl/>
        </w:rPr>
        <w:t xml:space="preserve"> ، ج 6 ، ص 365 ، ح 4475 ؛ </w:t>
      </w:r>
      <w:r w:rsidR="00E3253D" w:rsidRPr="002F4D34">
        <w:rPr>
          <w:rStyle w:val="libFootnoteBoldChar"/>
          <w:rtl/>
        </w:rPr>
        <w:t>الوسائل</w:t>
      </w:r>
      <w:r w:rsidR="00E3253D" w:rsidRPr="005D642E">
        <w:rPr>
          <w:rtl/>
        </w:rPr>
        <w:t xml:space="preserve"> ، ج 1 ، ص 366 ، ح 963 ؛ وج 6 ، ص 11 ، ح 7214.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ورد الخبر في </w:t>
      </w:r>
      <w:r w:rsidR="00E3253D" w:rsidRPr="002F4D34">
        <w:rPr>
          <w:rStyle w:val="libFootnoteBoldChar"/>
          <w:rtl/>
        </w:rPr>
        <w:t>علل الشرائع</w:t>
      </w:r>
      <w:r w:rsidR="00E3253D" w:rsidRPr="005D642E">
        <w:rPr>
          <w:rtl/>
        </w:rPr>
        <w:t xml:space="preserve"> ، ص 272 ، ح 4 ، بسنده عن صالح بن السندي ، عن جعفر بن بشير ، عن صالح الحذاء. ولايبعد كون « صالح » في </w:t>
      </w:r>
      <w:r w:rsidR="00E3253D" w:rsidRPr="002F4D34">
        <w:rPr>
          <w:rStyle w:val="libFootnoteBoldChar"/>
          <w:rtl/>
        </w:rPr>
        <w:t>سند العلل</w:t>
      </w:r>
      <w:r w:rsidR="00E3253D" w:rsidRPr="005D642E">
        <w:rPr>
          <w:rtl/>
        </w:rPr>
        <w:t xml:space="preserve"> محرّفاً من « صبّاح » ؛ فإنّا لم نجد في ما بأيدينا من الأسناد والطرق رواية جعفر بن بشير ، عن صالح الحذّاء ، وقد روى صالح بن السندي ، عن جعفر بن بشير ، عن صبّاح الحذّاء ، عن أبي أسامة ، في </w:t>
      </w:r>
      <w:r w:rsidR="00E3253D" w:rsidRPr="002F4D34">
        <w:rPr>
          <w:rStyle w:val="libFootnoteBoldChar"/>
          <w:rtl/>
        </w:rPr>
        <w:t>الكافي</w:t>
      </w:r>
      <w:r w:rsidR="00E3253D" w:rsidRPr="005D642E">
        <w:rPr>
          <w:rtl/>
        </w:rPr>
        <w:t xml:space="preserve"> ح 15003 ، وروى صالح بن السندي ، عن جعفر بن بشير ، عن صبّاح الحذّاء في </w:t>
      </w:r>
      <w:r w:rsidR="00E3253D" w:rsidRPr="002F4D34">
        <w:rPr>
          <w:rStyle w:val="libFootnoteBoldChar"/>
          <w:rtl/>
        </w:rPr>
        <w:t>المحاسن</w:t>
      </w:r>
      <w:r w:rsidR="00E3253D" w:rsidRPr="005D642E">
        <w:rPr>
          <w:rtl/>
        </w:rPr>
        <w:t xml:space="preserve"> ، ص 181 ، ح 173.</w:t>
      </w:r>
    </w:p>
    <w:p w:rsidR="00E3253D" w:rsidRPr="005D642E" w:rsidRDefault="00E3253D" w:rsidP="00E3253D">
      <w:pPr>
        <w:pStyle w:val="libFootnote0"/>
        <w:rPr>
          <w:rtl/>
          <w:lang w:bidi="fa-IR"/>
        </w:rPr>
      </w:pPr>
      <w:r w:rsidRPr="00B60612">
        <w:rPr>
          <w:rtl/>
        </w:rPr>
        <w:t>ا</w:t>
      </w:r>
      <w:r w:rsidR="00167E96">
        <w:rPr>
          <w:rFonts w:hint="cs"/>
          <w:rtl/>
        </w:rPr>
        <w:t>ُ</w:t>
      </w:r>
      <w:r w:rsidRPr="00B60612">
        <w:rPr>
          <w:rtl/>
        </w:rPr>
        <w:t xml:space="preserve">ضف إلى ذلك ، أن خبرنا هذا رواه البرقي في </w:t>
      </w:r>
      <w:r w:rsidRPr="002F4D34">
        <w:rPr>
          <w:rStyle w:val="libFootnoteBoldChar"/>
          <w:rtl/>
        </w:rPr>
        <w:t>المحاسن</w:t>
      </w:r>
      <w:r w:rsidRPr="00B60612">
        <w:rPr>
          <w:rtl/>
        </w:rPr>
        <w:t xml:space="preserve"> ، ص 278 ، ح 400 ، عن صالح بن السندي ، عن جعفر بن بشير ، عن صبّاح الحذّاء.</w:t>
      </w:r>
    </w:p>
    <w:p w:rsidR="00E3253D" w:rsidRPr="005D642E" w:rsidRDefault="00E3253D" w:rsidP="00167E96">
      <w:pPr>
        <w:pStyle w:val="libNormal"/>
        <w:rPr>
          <w:rtl/>
          <w:lang w:bidi="fa-IR"/>
        </w:rPr>
      </w:pPr>
      <w:r w:rsidRPr="00B60612">
        <w:rPr>
          <w:rStyle w:val="libFootnote0Char"/>
          <w:rtl/>
        </w:rPr>
        <w:t xml:space="preserve">في « بخ » : « المعرية من المغيرة ». وفي « بف » : « من المغيرة ». وفي حاشية « بخ » : « المعتزلة من المغيرة » ، كلّها بدل « من المغيريّة ». وقال الشهرستاني في </w:t>
      </w:r>
      <w:r w:rsidRPr="002F4D34">
        <w:rPr>
          <w:rStyle w:val="libFootnoteBoldChar"/>
          <w:rtl/>
        </w:rPr>
        <w:t>الملل والنحل</w:t>
      </w:r>
      <w:r w:rsidRPr="00B60612">
        <w:rPr>
          <w:rStyle w:val="libFootnote0Char"/>
          <w:rtl/>
        </w:rPr>
        <w:t xml:space="preserve"> ، ج 1 ، ص 176 </w:t>
      </w:r>
      <w:r w:rsidR="007642BC" w:rsidRPr="00B60612">
        <w:rPr>
          <w:rStyle w:val="libFootnote0Char"/>
          <w:rtl/>
        </w:rPr>
        <w:t>-</w:t>
      </w:r>
      <w:r w:rsidRPr="00B60612">
        <w:rPr>
          <w:rStyle w:val="libFootnote0Char"/>
          <w:rtl/>
        </w:rPr>
        <w:t xml:space="preserve"> 177 : « المغيريّة : أصحاب المغيرة بن سعيد العجلي ، ادّعى أنّ الإمامة بعد محمّد بن عليّ بن الحسين في محمّد النفس الزكيّة بن عبدالله بن الحسن بن الحسن الخارج بالمدينة ، وزعم أنّه حيّ لم يمت. وكان المغيرة مولى لخالد بن عبدالله القسريّ وادّعى الإمامة لنفسه بعد الإمام محمّد ، وبعد ذلك ادّعى النبوّة لنفسه واستحلّ المحارم وغلا في عليّ </w:t>
      </w:r>
      <w:r w:rsidR="00167E96" w:rsidRPr="00167E96">
        <w:rPr>
          <w:rStyle w:val="libFootnoteAlaemChar"/>
          <w:rtl/>
        </w:rPr>
        <w:t>رضي‌الله‌عنه</w:t>
      </w:r>
      <w:r w:rsidRPr="00B60612">
        <w:rPr>
          <w:rStyle w:val="libFootnote0Char"/>
          <w:rtl/>
        </w:rPr>
        <w:t xml:space="preserve"> غلوّاً لا يعتقده عاقل ، وزاد على ذلك قوله بالتشبيه ». وكذا عنه في </w:t>
      </w:r>
      <w:r w:rsidRPr="002F4D34">
        <w:rPr>
          <w:rStyle w:val="libFootnoteBoldChar"/>
          <w:rtl/>
        </w:rPr>
        <w:t>مرآة العقول</w:t>
      </w:r>
      <w:r w:rsidRPr="00B60612">
        <w:rPr>
          <w:rStyle w:val="libFootnote0Char"/>
          <w:rtl/>
        </w:rPr>
        <w:t xml:space="preserve"> ، ج 13 ، ص 189 ملخّصاً.</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بس ، بف » وحاشية « ى » </w:t>
      </w:r>
      <w:r w:rsidR="000D749A" w:rsidRPr="000D749A">
        <w:rPr>
          <w:rStyle w:val="libFootnoteBoldChar"/>
          <w:rtl/>
        </w:rPr>
        <w:t>والوافي</w:t>
      </w:r>
      <w:r w:rsidR="00E3253D" w:rsidRPr="005D642E">
        <w:rPr>
          <w:rtl/>
        </w:rPr>
        <w:t xml:space="preserve"> : « بني »</w:t>
      </w:r>
      <w:r w:rsidR="00E3253D">
        <w:rPr>
          <w:rtl/>
        </w:rPr>
        <w:t>.</w:t>
      </w:r>
      <w:r w:rsidR="00E3253D" w:rsidRPr="005D642E">
        <w:rPr>
          <w:rtl/>
        </w:rPr>
        <w:t xml:space="preserve"> وفي « ج</w:t>
      </w:r>
      <w:r w:rsidR="00826FF3">
        <w:rPr>
          <w:rtl/>
        </w:rPr>
        <w:t>ح » وحاشية « غ ، بح » : + «بني</w:t>
      </w:r>
      <w:r w:rsidR="00E3253D" w:rsidRPr="005D642E">
        <w:rPr>
          <w:rtl/>
        </w:rPr>
        <w:t>»</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مِنَ </w:t>
      </w:r>
      <w:r w:rsidRPr="007C12DB">
        <w:rPr>
          <w:rStyle w:val="libFootnotenumChar"/>
          <w:rtl/>
        </w:rPr>
        <w:t>(1)</w:t>
      </w:r>
      <w:r w:rsidRPr="005D642E">
        <w:rPr>
          <w:rtl/>
          <w:lang w:bidi="fa-IR"/>
        </w:rPr>
        <w:t xml:space="preserve"> اللهِ وَمِنْ </w:t>
      </w:r>
      <w:r w:rsidRPr="007C12DB">
        <w:rPr>
          <w:rStyle w:val="libFootnotenumChar"/>
          <w:rtl/>
        </w:rPr>
        <w:t>(2)</w:t>
      </w:r>
      <w:r w:rsidRPr="005D642E">
        <w:rPr>
          <w:rtl/>
          <w:lang w:bidi="fa-IR"/>
        </w:rPr>
        <w:t xml:space="preserve"> رَسُولِهِ سُنَّةٌ ، عَرَفَهَا مَنْ عَرَفَهَا ، وَأَنْكَرَهَا </w:t>
      </w:r>
      <w:r w:rsidRPr="007C12DB">
        <w:rPr>
          <w:rStyle w:val="libFootnotenumChar"/>
          <w:rtl/>
        </w:rPr>
        <w:t>(3)</w:t>
      </w:r>
      <w:r w:rsidRPr="005D642E">
        <w:rPr>
          <w:rtl/>
          <w:lang w:bidi="fa-IR"/>
        </w:rPr>
        <w:t xml:space="preserve"> مَنْ أَنْكَرَهَا »</w:t>
      </w:r>
      <w:r>
        <w:rPr>
          <w:rtl/>
          <w:lang w:bidi="fa-IR"/>
        </w:rPr>
        <w:t>.</w:t>
      </w:r>
    </w:p>
    <w:p w:rsidR="00E3253D" w:rsidRPr="005D642E" w:rsidRDefault="00E3253D" w:rsidP="00E3253D">
      <w:pPr>
        <w:pStyle w:val="libNormal"/>
        <w:rPr>
          <w:rtl/>
          <w:lang w:bidi="fa-IR"/>
        </w:rPr>
      </w:pPr>
      <w:r w:rsidRPr="005D642E">
        <w:rPr>
          <w:rtl/>
          <w:lang w:bidi="fa-IR"/>
        </w:rPr>
        <w:t>فَقَالَ رَجُلٌ : فَمَا السُّنَّةُ فِي دُخُولِ الْخَلَاءِ</w:t>
      </w:r>
      <w:r>
        <w:rPr>
          <w:rtl/>
          <w:lang w:bidi="fa-IR"/>
        </w:rPr>
        <w:t>؟</w:t>
      </w:r>
    </w:p>
    <w:p w:rsidR="00E3253D" w:rsidRPr="005D642E" w:rsidRDefault="00E3253D" w:rsidP="00E3253D">
      <w:pPr>
        <w:pStyle w:val="libNormal"/>
        <w:rPr>
          <w:rtl/>
          <w:lang w:bidi="fa-IR"/>
        </w:rPr>
      </w:pPr>
      <w:r w:rsidRPr="005D642E">
        <w:rPr>
          <w:rtl/>
          <w:lang w:bidi="fa-IR"/>
        </w:rPr>
        <w:t xml:space="preserve">قَالَ : « تَذْكُرُ </w:t>
      </w:r>
      <w:r w:rsidRPr="007C12DB">
        <w:rPr>
          <w:rStyle w:val="libFootnotenumChar"/>
          <w:rtl/>
        </w:rPr>
        <w:t>(4)</w:t>
      </w:r>
      <w:r w:rsidRPr="005D642E">
        <w:rPr>
          <w:rtl/>
          <w:lang w:bidi="fa-IR"/>
        </w:rPr>
        <w:t xml:space="preserve"> اللهَ ، وَتَتَعَوَّذُ </w:t>
      </w:r>
      <w:r w:rsidRPr="007C12DB">
        <w:rPr>
          <w:rStyle w:val="libFootnotenumChar"/>
          <w:rtl/>
        </w:rPr>
        <w:t>(5)</w:t>
      </w:r>
      <w:r w:rsidRPr="005D642E">
        <w:rPr>
          <w:rtl/>
          <w:lang w:bidi="fa-IR"/>
        </w:rPr>
        <w:t xml:space="preserve"> بِاللهِ مِنَ الشَّيْطَانِ الرَّجِيمِ ، وَإِذَا </w:t>
      </w:r>
      <w:r w:rsidRPr="007C12DB">
        <w:rPr>
          <w:rStyle w:val="libFootnotenumChar"/>
          <w:rtl/>
        </w:rPr>
        <w:t>(6)</w:t>
      </w:r>
      <w:r w:rsidRPr="005D642E">
        <w:rPr>
          <w:rtl/>
          <w:lang w:bidi="fa-IR"/>
        </w:rPr>
        <w:t xml:space="preserve"> فَرَغْتَ ، قُلْتَ : الْحَمْدُ لِلّهِ عَلى مَا أَخْرَجَ مِنِّي مِنَ </w:t>
      </w:r>
      <w:r w:rsidRPr="007C12DB">
        <w:rPr>
          <w:rStyle w:val="libFootnotenumChar"/>
          <w:rtl/>
        </w:rPr>
        <w:t>(7)</w:t>
      </w:r>
      <w:r w:rsidRPr="005D642E">
        <w:rPr>
          <w:rtl/>
          <w:lang w:bidi="fa-IR"/>
        </w:rPr>
        <w:t xml:space="preserve"> الْأَذى فِي يُسْرٍ وَعَافِيَةٍ »</w:t>
      </w:r>
      <w:r>
        <w:rPr>
          <w:rtl/>
          <w:lang w:bidi="fa-IR"/>
        </w:rPr>
        <w:t>.</w:t>
      </w:r>
    </w:p>
    <w:p w:rsidR="00E3253D" w:rsidRPr="005D642E" w:rsidRDefault="00E3253D" w:rsidP="00E3253D">
      <w:pPr>
        <w:pStyle w:val="libNormal"/>
        <w:rPr>
          <w:rtl/>
          <w:lang w:bidi="fa-IR"/>
        </w:rPr>
      </w:pPr>
      <w:r w:rsidRPr="005D642E">
        <w:rPr>
          <w:rtl/>
          <w:lang w:bidi="fa-IR"/>
        </w:rPr>
        <w:t xml:space="preserve">قَالَ الرَّجُلُ </w:t>
      </w:r>
      <w:r w:rsidRPr="007C12DB">
        <w:rPr>
          <w:rStyle w:val="libFootnotenumChar"/>
          <w:rtl/>
        </w:rPr>
        <w:t>(8)</w:t>
      </w:r>
      <w:r w:rsidRPr="005D642E">
        <w:rPr>
          <w:rtl/>
          <w:lang w:bidi="fa-IR"/>
        </w:rPr>
        <w:t xml:space="preserve"> : فَالْإِنْسَانُ </w:t>
      </w:r>
      <w:r w:rsidRPr="007C12DB">
        <w:rPr>
          <w:rStyle w:val="libFootnotenumChar"/>
          <w:rtl/>
        </w:rPr>
        <w:t>(9)</w:t>
      </w:r>
      <w:r w:rsidRPr="005D642E">
        <w:rPr>
          <w:rtl/>
          <w:lang w:bidi="fa-IR"/>
        </w:rPr>
        <w:t xml:space="preserve"> يَكُونُ عَلى </w:t>
      </w:r>
      <w:r w:rsidRPr="007C12DB">
        <w:rPr>
          <w:rStyle w:val="libFootnotenumChar"/>
          <w:rtl/>
        </w:rPr>
        <w:t>(10)</w:t>
      </w:r>
      <w:r w:rsidRPr="005D642E">
        <w:rPr>
          <w:rtl/>
          <w:lang w:bidi="fa-IR"/>
        </w:rPr>
        <w:t xml:space="preserve"> تِلْكَ الْحَالِ ، وَلَايَصْبِرُ </w:t>
      </w:r>
      <w:r w:rsidRPr="007C12DB">
        <w:rPr>
          <w:rStyle w:val="libFootnotenumChar"/>
          <w:rtl/>
        </w:rPr>
        <w:t>(11)</w:t>
      </w:r>
      <w:r w:rsidRPr="005D642E">
        <w:rPr>
          <w:rtl/>
          <w:lang w:bidi="fa-IR"/>
        </w:rPr>
        <w:t xml:space="preserve"> حَتّى يَنْظُرَ إِلى مَا يَخْرُجُ </w:t>
      </w:r>
      <w:r w:rsidRPr="007C12DB">
        <w:rPr>
          <w:rStyle w:val="libFootnotenumChar"/>
          <w:rtl/>
        </w:rPr>
        <w:t>(12)</w:t>
      </w:r>
      <w:r w:rsidRPr="005D642E">
        <w:rPr>
          <w:rtl/>
          <w:lang w:bidi="fa-IR"/>
        </w:rPr>
        <w:t xml:space="preserve"> مِنْهُ</w:t>
      </w:r>
      <w:r>
        <w:rPr>
          <w:rtl/>
          <w:lang w:bidi="fa-IR"/>
        </w:rPr>
        <w:t>؟</w:t>
      </w:r>
    </w:p>
    <w:p w:rsidR="00E3253D" w:rsidRPr="005D642E" w:rsidRDefault="00E3253D" w:rsidP="00E3253D">
      <w:pPr>
        <w:pStyle w:val="libNormal"/>
        <w:rPr>
          <w:rtl/>
          <w:lang w:bidi="fa-IR"/>
        </w:rPr>
      </w:pPr>
      <w:r w:rsidRPr="005D642E">
        <w:rPr>
          <w:rtl/>
          <w:lang w:bidi="fa-IR"/>
        </w:rPr>
        <w:t>قَالَ : « إِنَّهُ لَيْ</w:t>
      </w:r>
      <w:r w:rsidR="00167E96">
        <w:rPr>
          <w:rtl/>
          <w:lang w:bidi="fa-IR"/>
        </w:rPr>
        <w:t>سَ فِي الْأَرْضِ آدَمِيٌّ إِل</w:t>
      </w:r>
      <w:r w:rsidR="00167E96">
        <w:rPr>
          <w:rFonts w:hint="cs"/>
          <w:rtl/>
          <w:lang w:bidi="fa-IR"/>
        </w:rPr>
        <w:t>َّ</w:t>
      </w:r>
      <w:r w:rsidR="00167E96">
        <w:rPr>
          <w:rtl/>
          <w:lang w:bidi="fa-IR"/>
        </w:rPr>
        <w:t>ا</w:t>
      </w:r>
      <w:r w:rsidRPr="005D642E">
        <w:rPr>
          <w:rtl/>
          <w:lang w:bidi="fa-IR"/>
        </w:rPr>
        <w:t xml:space="preserve"> وَمَعَهُ مَلَكَانِ مُوَكَّلَانِ بِهِ ، فَإِذَا كَانَ عَلى تِلْكَ الْحَالِ </w:t>
      </w:r>
      <w:r w:rsidRPr="007C12DB">
        <w:rPr>
          <w:rStyle w:val="libFootnotenumChar"/>
          <w:rtl/>
        </w:rPr>
        <w:t>(13)</w:t>
      </w:r>
      <w:r w:rsidRPr="005D642E">
        <w:rPr>
          <w:rtl/>
          <w:lang w:bidi="fa-IR"/>
        </w:rPr>
        <w:t xml:space="preserve"> ، ثَنَيَا بِرَقَبَتِهِ </w:t>
      </w:r>
      <w:r w:rsidRPr="007C12DB">
        <w:rPr>
          <w:rStyle w:val="libFootnotenumChar"/>
          <w:rtl/>
        </w:rPr>
        <w:t>(14)</w:t>
      </w:r>
      <w:r w:rsidRPr="005D642E">
        <w:rPr>
          <w:rtl/>
          <w:lang w:bidi="fa-IR"/>
        </w:rPr>
        <w:t xml:space="preserve"> ، ثُمَّ قَالَا : يَا ابْنَ آدَمَ ، انْظُرْ إِلى </w:t>
      </w:r>
      <w:r w:rsidRPr="007C12DB">
        <w:rPr>
          <w:rStyle w:val="libFootnotenumChar"/>
          <w:rtl/>
        </w:rPr>
        <w:t>(15)</w:t>
      </w:r>
      <w:r w:rsidRPr="005D642E">
        <w:rPr>
          <w:rtl/>
          <w:lang w:bidi="fa-IR"/>
        </w:rPr>
        <w:t xml:space="preserve"> مَا كُنْتَ تَكْدَحُ </w:t>
      </w:r>
      <w:r w:rsidRPr="007C12DB">
        <w:rPr>
          <w:rStyle w:val="libFootnotenumChar"/>
          <w:rtl/>
        </w:rPr>
        <w:t>(16)</w:t>
      </w:r>
      <w:r w:rsidRPr="005D642E">
        <w:rPr>
          <w:rtl/>
          <w:lang w:bidi="fa-IR"/>
        </w:rPr>
        <w:t xml:space="preserve"> لَهُ فِي الدُّنْيَا‌</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67E96" w:rsidTr="00167E96">
        <w:tc>
          <w:tcPr>
            <w:tcW w:w="4006" w:type="dxa"/>
          </w:tcPr>
          <w:p w:rsidR="00167E96" w:rsidRDefault="00167E96" w:rsidP="00E3253D">
            <w:pPr>
              <w:pStyle w:val="libFootnote0"/>
              <w:rPr>
                <w:rStyle w:val="libFootnote0Char"/>
                <w:rtl/>
              </w:rPr>
            </w:pPr>
            <w:r w:rsidRPr="0042621E">
              <w:rPr>
                <w:rStyle w:val="libFootnote0Char"/>
                <w:rtl/>
              </w:rPr>
              <w:t>(1).</w:t>
            </w:r>
            <w:r>
              <w:rPr>
                <w:rtl/>
              </w:rPr>
              <w:t xml:space="preserve"> </w:t>
            </w:r>
            <w:r w:rsidRPr="005D642E">
              <w:rPr>
                <w:rtl/>
              </w:rPr>
              <w:t>في « جس » : + « أمر »</w:t>
            </w:r>
            <w:r>
              <w:rPr>
                <w:rtl/>
              </w:rPr>
              <w:t>.</w:t>
            </w:r>
          </w:p>
        </w:tc>
        <w:tc>
          <w:tcPr>
            <w:tcW w:w="4006" w:type="dxa"/>
          </w:tcPr>
          <w:p w:rsidR="00167E96" w:rsidRDefault="00167E96" w:rsidP="00E3253D">
            <w:pPr>
              <w:pStyle w:val="libFootnote0"/>
              <w:rPr>
                <w:rStyle w:val="libFootnote0Char"/>
                <w:rtl/>
              </w:rPr>
            </w:pPr>
            <w:r w:rsidRPr="0042621E">
              <w:rPr>
                <w:rStyle w:val="libFootnote0Char"/>
                <w:rtl/>
              </w:rPr>
              <w:t>(2).</w:t>
            </w:r>
            <w:r w:rsidRPr="005D642E">
              <w:rPr>
                <w:rtl/>
              </w:rPr>
              <w:t xml:space="preserve"> في « جح » :</w:t>
            </w:r>
            <w:r>
              <w:rPr>
                <w:rtl/>
              </w:rPr>
              <w:t xml:space="preserve"> - </w:t>
            </w:r>
            <w:r w:rsidRPr="005D642E">
              <w:rPr>
                <w:rtl/>
              </w:rPr>
              <w:t>« من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وأنكر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بث ، بس ، جس ، جن » والوسائل والبحار : « يذكر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بث ، بس ، جس ، جن » والوسائل والبحار : « ويتعوّذ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غ ، ى ، بث ، بح ، جح ، جس ، جن » والوسائل والبحار </w:t>
      </w:r>
      <w:r w:rsidR="000D749A" w:rsidRPr="000D749A">
        <w:rPr>
          <w:rStyle w:val="libFootnoteBoldChar"/>
          <w:rtl/>
        </w:rPr>
        <w:t>والمحاسن</w:t>
      </w:r>
      <w:r w:rsidR="00E3253D" w:rsidRPr="005D642E">
        <w:rPr>
          <w:rtl/>
        </w:rPr>
        <w:t xml:space="preserve"> : « فإذا »</w:t>
      </w:r>
      <w:r w:rsidR="00E3253D">
        <w:rPr>
          <w:rtl/>
        </w:rPr>
        <w:t>.</w:t>
      </w:r>
    </w:p>
    <w:tbl>
      <w:tblPr>
        <w:tblStyle w:val="TableGrid"/>
        <w:bidiVisual/>
        <w:tblW w:w="0" w:type="auto"/>
        <w:tblLook w:val="04A0" w:firstRow="1" w:lastRow="0" w:firstColumn="1" w:lastColumn="0" w:noHBand="0" w:noVBand="1"/>
      </w:tblPr>
      <w:tblGrid>
        <w:gridCol w:w="4006"/>
        <w:gridCol w:w="4006"/>
      </w:tblGrid>
      <w:tr w:rsidR="00831424" w:rsidTr="00831424">
        <w:tc>
          <w:tcPr>
            <w:tcW w:w="4006" w:type="dxa"/>
          </w:tcPr>
          <w:p w:rsidR="00831424" w:rsidRDefault="00E13EC2" w:rsidP="00E3253D">
            <w:pPr>
              <w:pStyle w:val="libFootnote0"/>
              <w:rPr>
                <w:rStyle w:val="libFootnote0Char"/>
                <w:rtl/>
              </w:rPr>
            </w:pPr>
            <w:r w:rsidRPr="0042621E">
              <w:rPr>
                <w:rStyle w:val="libFootnote0Char"/>
                <w:rtl/>
              </w:rPr>
              <w:t>(7).</w:t>
            </w:r>
            <w:r w:rsidRPr="005D642E">
              <w:rPr>
                <w:rtl/>
              </w:rPr>
              <w:t xml:space="preserve"> في البحار :</w:t>
            </w:r>
            <w:r>
              <w:rPr>
                <w:rtl/>
              </w:rPr>
              <w:t xml:space="preserve"> - </w:t>
            </w:r>
            <w:r w:rsidRPr="005D642E">
              <w:rPr>
                <w:rtl/>
              </w:rPr>
              <w:t>« من »</w:t>
            </w:r>
            <w:r>
              <w:rPr>
                <w:rtl/>
              </w:rPr>
              <w:t>.</w:t>
            </w:r>
          </w:p>
        </w:tc>
        <w:tc>
          <w:tcPr>
            <w:tcW w:w="4006" w:type="dxa"/>
          </w:tcPr>
          <w:p w:rsidR="00831424" w:rsidRDefault="00E13EC2" w:rsidP="00E3253D">
            <w:pPr>
              <w:pStyle w:val="libFootnote0"/>
              <w:rPr>
                <w:rStyle w:val="libFootnote0Char"/>
                <w:rtl/>
              </w:rPr>
            </w:pPr>
            <w:r w:rsidRPr="0042621E">
              <w:rPr>
                <w:rStyle w:val="libFootnote0Char"/>
                <w:rtl/>
              </w:rPr>
              <w:t>(8).</w:t>
            </w:r>
            <w:r w:rsidRPr="005D642E">
              <w:rPr>
                <w:rtl/>
              </w:rPr>
              <w:t xml:space="preserve"> في البحار : « رجل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بس ، بف » وحاشية « بح » </w:t>
      </w:r>
      <w:r w:rsidR="000D749A" w:rsidRPr="000D749A">
        <w:rPr>
          <w:rStyle w:val="libFootnoteBoldChar"/>
          <w:rtl/>
        </w:rPr>
        <w:t>والوافي</w:t>
      </w:r>
      <w:r w:rsidR="00E3253D" w:rsidRPr="005D642E">
        <w:rPr>
          <w:rtl/>
        </w:rPr>
        <w:t xml:space="preserve"> : « والإنسان »</w:t>
      </w:r>
      <w:r w:rsidR="00E3253D">
        <w:rPr>
          <w:rtl/>
        </w:rPr>
        <w:t>.</w:t>
      </w:r>
    </w:p>
    <w:tbl>
      <w:tblPr>
        <w:tblStyle w:val="TableGrid"/>
        <w:bidiVisual/>
        <w:tblW w:w="0" w:type="auto"/>
        <w:tblLook w:val="04A0" w:firstRow="1" w:lastRow="0" w:firstColumn="1" w:lastColumn="0" w:noHBand="0" w:noVBand="1"/>
      </w:tblPr>
      <w:tblGrid>
        <w:gridCol w:w="4006"/>
        <w:gridCol w:w="4006"/>
      </w:tblGrid>
      <w:tr w:rsidR="00A569E3" w:rsidTr="00A569E3">
        <w:tc>
          <w:tcPr>
            <w:tcW w:w="4006" w:type="dxa"/>
          </w:tcPr>
          <w:p w:rsidR="00A569E3" w:rsidRDefault="00A569E3" w:rsidP="00E3253D">
            <w:pPr>
              <w:pStyle w:val="libFootnote0"/>
              <w:rPr>
                <w:rStyle w:val="libFootnote0Char"/>
                <w:rtl/>
                <w:lang w:bidi="fa-IR"/>
              </w:rPr>
            </w:pPr>
            <w:r w:rsidRPr="0042621E">
              <w:rPr>
                <w:rStyle w:val="libFootnote0Char"/>
                <w:rtl/>
              </w:rPr>
              <w:t>(10).</w:t>
            </w:r>
            <w:r w:rsidRPr="005D642E">
              <w:rPr>
                <w:rtl/>
              </w:rPr>
              <w:t xml:space="preserve"> في « ى » : « في »</w:t>
            </w:r>
            <w:r>
              <w:rPr>
                <w:rtl/>
              </w:rPr>
              <w:t>.</w:t>
            </w:r>
          </w:p>
        </w:tc>
        <w:tc>
          <w:tcPr>
            <w:tcW w:w="4006" w:type="dxa"/>
          </w:tcPr>
          <w:p w:rsidR="00A569E3" w:rsidRDefault="00A569E3" w:rsidP="00E3253D">
            <w:pPr>
              <w:pStyle w:val="libFootnote0"/>
              <w:rPr>
                <w:rStyle w:val="libFootnote0Char"/>
                <w:rtl/>
                <w:lang w:bidi="fa-IR"/>
              </w:rPr>
            </w:pPr>
            <w:r w:rsidRPr="0042621E">
              <w:rPr>
                <w:rStyle w:val="libFootnote0Char"/>
                <w:rtl/>
              </w:rPr>
              <w:t>(11).</w:t>
            </w:r>
            <w:r w:rsidRPr="005D642E">
              <w:rPr>
                <w:rtl/>
              </w:rPr>
              <w:t xml:space="preserve"> في « بح ، بس » والبحار : « ولايصير »</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غ ، بح ، جح ، جس ، جن » </w:t>
      </w:r>
      <w:r w:rsidR="000D749A" w:rsidRPr="000D749A">
        <w:rPr>
          <w:rStyle w:val="libFootnoteBoldChar"/>
          <w:rtl/>
        </w:rPr>
        <w:t>والمحاسن</w:t>
      </w:r>
      <w:r w:rsidR="00E3253D" w:rsidRPr="005D642E">
        <w:rPr>
          <w:rtl/>
        </w:rPr>
        <w:t xml:space="preserve"> : « خرج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في « جس » :</w:t>
      </w:r>
      <w:r w:rsidR="00E3253D">
        <w:rPr>
          <w:rtl/>
        </w:rPr>
        <w:t xml:space="preserve"> </w:t>
      </w:r>
      <w:r w:rsidR="007642BC">
        <w:rPr>
          <w:rtl/>
        </w:rPr>
        <w:t>-</w:t>
      </w:r>
      <w:r w:rsidR="00E3253D">
        <w:rPr>
          <w:rtl/>
        </w:rPr>
        <w:t xml:space="preserve"> </w:t>
      </w:r>
      <w:r w:rsidR="00E3253D" w:rsidRPr="005D642E">
        <w:rPr>
          <w:rtl/>
        </w:rPr>
        <w:t>« الحال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ظ ، بف » : « ثنّيا برقبته » بالتضعيف. وقوله : « ثنيا برقبته » ، أي عطفا رقبته ، يقال : ثنى الشي‌ءَ ثنياً ، أي عطفه وطواه وردّ بعضه على بعض. وقيل : إذا أراد الرجل وجهاً فصرفته عن وجهه ، قلت : ثنيته ثنياً. وقيل : الثني : ضمّ واحد إلى واحد ، وكذا الثنية ، يقال : ثنى العود إذا حناه وعطفه ؛ لأنّه ضمّ أحد طرفيه إلى الآخر ، ثمّ قيل : ثناه عن وجهه إذا كفّه وصرفه ؛ لأنّه مسبّب عنه. راجع : </w:t>
      </w:r>
      <w:r w:rsidR="00E3253D" w:rsidRPr="002F4D34">
        <w:rPr>
          <w:rStyle w:val="libFootnoteBoldChar"/>
          <w:rtl/>
        </w:rPr>
        <w:t>المغرب</w:t>
      </w:r>
      <w:r w:rsidR="00E3253D" w:rsidRPr="005D642E">
        <w:rPr>
          <w:rtl/>
        </w:rPr>
        <w:t xml:space="preserve"> ، ص 70</w:t>
      </w:r>
      <w:r w:rsidR="00E3253D">
        <w:rPr>
          <w:rtl/>
        </w:rPr>
        <w:t xml:space="preserve"> </w:t>
      </w:r>
      <w:r w:rsidR="007642BC">
        <w:rPr>
          <w:rtl/>
        </w:rPr>
        <w:t>-</w:t>
      </w:r>
      <w:r w:rsidR="00E3253D">
        <w:rPr>
          <w:rtl/>
        </w:rPr>
        <w:t xml:space="preserve"> </w:t>
      </w:r>
      <w:r w:rsidR="00E3253D" w:rsidRPr="005D642E">
        <w:rPr>
          <w:rtl/>
        </w:rPr>
        <w:t xml:space="preserve">71 ؛ </w:t>
      </w:r>
      <w:r w:rsidR="00E3253D" w:rsidRPr="002F4D34">
        <w:rPr>
          <w:rStyle w:val="libFootnoteBoldChar"/>
          <w:rtl/>
        </w:rPr>
        <w:t>لسان العرب</w:t>
      </w:r>
      <w:r w:rsidR="00E3253D" w:rsidRPr="005D642E">
        <w:rPr>
          <w:rtl/>
        </w:rPr>
        <w:t xml:space="preserve"> ، ج 14 ، ص 115 ( ثنى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إلى »</w:t>
      </w:r>
      <w:r w:rsidR="00E3253D">
        <w:rPr>
          <w:rtl/>
        </w:rPr>
        <w:t>.</w:t>
      </w:r>
    </w:p>
    <w:p w:rsidR="00E3253D" w:rsidRPr="005D642E" w:rsidRDefault="00E3253D" w:rsidP="00E3253D">
      <w:pPr>
        <w:pStyle w:val="libFootnote0"/>
        <w:rPr>
          <w:rtl/>
          <w:lang w:bidi="fa-IR"/>
        </w:rPr>
      </w:pPr>
      <w:r w:rsidRPr="005D642E">
        <w:rPr>
          <w:rtl/>
        </w:rPr>
        <w:t>(1</w:t>
      </w:r>
      <w:r>
        <w:rPr>
          <w:rtl/>
        </w:rPr>
        <w:t>6)</w:t>
      </w:r>
      <w:r w:rsidRPr="005D642E">
        <w:rPr>
          <w:rtl/>
        </w:rPr>
        <w:t xml:space="preserve"> الكَدْح : العمل والسعي والكسب. وقيل : الكدح : عمل الإنسان لنفسه من خير أو شرّ. وقيل : الكدْح في اللغة : السعي والحرص الدُؤوب في العمل في باب الدنيا والآخرة. راجع : </w:t>
      </w:r>
      <w:r w:rsidRPr="002F4D34">
        <w:rPr>
          <w:rStyle w:val="libFootnoteBoldChar"/>
          <w:rtl/>
        </w:rPr>
        <w:t>الصحاح</w:t>
      </w:r>
      <w:r w:rsidRPr="005D642E">
        <w:rPr>
          <w:rtl/>
        </w:rPr>
        <w:t xml:space="preserve"> ، ج 1 ، ص 398 ؛ </w:t>
      </w:r>
      <w:r w:rsidRPr="002F4D34">
        <w:rPr>
          <w:rStyle w:val="libFootnoteBoldChar"/>
          <w:rtl/>
        </w:rPr>
        <w:t>لسان العرب</w:t>
      </w:r>
      <w:r w:rsidRPr="005D642E">
        <w:rPr>
          <w:rtl/>
        </w:rPr>
        <w:t xml:space="preserve"> ، ج 2 ، ص 569 ( كدح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إِلى مَا هُوَ صَائِرٌ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7A4A0F">
        <w:rPr>
          <w:rtl/>
        </w:rPr>
        <w:t>4134</w:t>
      </w:r>
      <w:r w:rsidRPr="00246318">
        <w:rPr>
          <w:rStyle w:val="libBold2Char"/>
          <w:rtl/>
        </w:rPr>
        <w:t xml:space="preserve"> / 4.</w:t>
      </w:r>
      <w:r w:rsidRPr="005D642E">
        <w:rPr>
          <w:rtl/>
          <w:lang w:bidi="fa-IR"/>
        </w:rPr>
        <w:t xml:space="preserve"> مُحَمَّدُ بْنُ يَحْيى ، عَنْ سَلَمَةَ بْنِ الْخَطَّابِ ، عَنْ إِبْرَاهِيمَ بْنِ مُحَمَّدٍ الثَّقَفِيِّ ، عَنْ عَلِيِّ بْنِ الْمُعَلى ، عَنْ إِبْرَاهِيمَ بْنِ مُحَمَّدِ بْنِ حُمْرَانَ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تَوَضَّأَ فَتَمَنْدَلَ </w:t>
      </w:r>
      <w:r w:rsidRPr="007C12DB">
        <w:rPr>
          <w:rStyle w:val="libFootnotenumChar"/>
          <w:rtl/>
        </w:rPr>
        <w:t>(3)</w:t>
      </w:r>
      <w:r w:rsidRPr="005D642E">
        <w:rPr>
          <w:rtl/>
          <w:lang w:bidi="fa-IR"/>
        </w:rPr>
        <w:t xml:space="preserve"> ، كَانَتْ </w:t>
      </w:r>
      <w:r w:rsidRPr="007C12DB">
        <w:rPr>
          <w:rStyle w:val="libFootnotenumChar"/>
          <w:rtl/>
        </w:rPr>
        <w:t>(4)</w:t>
      </w:r>
      <w:r w:rsidRPr="005D642E">
        <w:rPr>
          <w:rtl/>
          <w:lang w:bidi="fa-IR"/>
        </w:rPr>
        <w:t xml:space="preserve"> لَهُ حَسَنَةٌ ، وَإِنْ تَوَضَّأَ وَلَمْ يَتَمَنْدَلْ حَتّى يَجِفَّ وَضُوؤُهُ ، كَانَتْ لَهُ ثَلَاثُونَ حَسَنَةً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7A4A0F">
        <w:rPr>
          <w:rtl/>
        </w:rPr>
        <w:t>4135</w:t>
      </w:r>
      <w:r w:rsidRPr="00246318">
        <w:rPr>
          <w:rStyle w:val="libBold2Char"/>
          <w:rtl/>
        </w:rPr>
        <w:t xml:space="preserve"> / 5.</w:t>
      </w:r>
      <w:r w:rsidRPr="005D642E">
        <w:rPr>
          <w:rtl/>
          <w:lang w:bidi="fa-IR"/>
        </w:rPr>
        <w:t xml:space="preserve"> عَلِيُّ بْنُ إِبْرَاهِيمَ ، عَنْ أَبِيهِ ، عَنْ عَمْرِو بْنِ عُثْمَانَ ، عَنْ صَبَّاحٍ الْحَذَّاءِ </w:t>
      </w:r>
      <w:r w:rsidRPr="007C12DB">
        <w:rPr>
          <w:rStyle w:val="libFootnotenumChar"/>
          <w:rtl/>
        </w:rPr>
        <w:t>(6)</w:t>
      </w:r>
      <w:r w:rsidRPr="005D642E">
        <w:rPr>
          <w:rtl/>
          <w:lang w:bidi="fa-IR"/>
        </w:rPr>
        <w:t xml:space="preserve">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A569E3">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المحاسن</w:t>
      </w:r>
      <w:r w:rsidR="00E3253D" w:rsidRPr="005D642E">
        <w:rPr>
          <w:rtl/>
        </w:rPr>
        <w:t xml:space="preserve"> ، ص 278 ، كتاب مصابيح الظلم ، ح 400 ، عن صالح بن السندي. </w:t>
      </w:r>
      <w:r w:rsidR="00E3253D" w:rsidRPr="002F4D34">
        <w:rPr>
          <w:rStyle w:val="libFootnoteBoldChar"/>
          <w:rtl/>
        </w:rPr>
        <w:t>علل الشرائع</w:t>
      </w:r>
      <w:r w:rsidR="00E3253D" w:rsidRPr="005D642E">
        <w:rPr>
          <w:rtl/>
        </w:rPr>
        <w:t xml:space="preserve"> ، ص 276 ، ح 4 ، بسنده عن صالح بن السندي ، وفيهما مع اختلاف يسير</w:t>
      </w:r>
      <w:r w:rsidR="00A569E3">
        <w:rPr>
          <w:rFonts w:hint="cs"/>
          <w:rtl/>
        </w:rPr>
        <w:t>.</w:t>
      </w:r>
      <w:r w:rsidR="00E3253D" w:rsidRPr="002F4D34">
        <w:rPr>
          <w:rStyle w:val="libFootnoteBoldChar"/>
          <w:rtl/>
        </w:rPr>
        <w:t>الوافي</w:t>
      </w:r>
      <w:r w:rsidR="00E3253D" w:rsidRPr="005D642E">
        <w:rPr>
          <w:rtl/>
        </w:rPr>
        <w:t xml:space="preserve"> ، ج 6 ، ص 115 ، ح 3888 ؛ </w:t>
      </w:r>
      <w:r w:rsidR="00E3253D" w:rsidRPr="002F4D34">
        <w:rPr>
          <w:rStyle w:val="libFootnoteBoldChar"/>
          <w:rtl/>
        </w:rPr>
        <w:t>الوسائل</w:t>
      </w:r>
      <w:r w:rsidR="00E3253D" w:rsidRPr="005D642E">
        <w:rPr>
          <w:rtl/>
        </w:rPr>
        <w:t xml:space="preserve"> ، ج 1 ، ص 309 ، ح 814 ، من قوله : « فقال رجل : فما السنّة » إلى قوله : « في يسر وعافية » ؛ </w:t>
      </w:r>
      <w:r w:rsidR="00E3253D" w:rsidRPr="002F4D34">
        <w:rPr>
          <w:rStyle w:val="libFootnoteBoldChar"/>
          <w:rtl/>
        </w:rPr>
        <w:t>البحار</w:t>
      </w:r>
      <w:r w:rsidR="00E3253D" w:rsidRPr="005D642E">
        <w:rPr>
          <w:rtl/>
        </w:rPr>
        <w:t xml:space="preserve"> ، ج 59 ، ص 186 ، ح 33 ، إلى قوله : « وأنكرها من أنكرها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ورد الخبر في </w:t>
      </w:r>
      <w:r w:rsidR="00E3253D" w:rsidRPr="002F4D34">
        <w:rPr>
          <w:rStyle w:val="libFootnoteBoldChar"/>
          <w:rtl/>
        </w:rPr>
        <w:t>المحاسن</w:t>
      </w:r>
      <w:r w:rsidR="00E3253D" w:rsidRPr="005D642E">
        <w:rPr>
          <w:rtl/>
        </w:rPr>
        <w:t xml:space="preserve"> ، ص 429 ، ح 250 ، و</w:t>
      </w:r>
      <w:r w:rsidR="00E3253D" w:rsidRPr="002F4D34">
        <w:rPr>
          <w:rStyle w:val="libFootnoteBoldChar"/>
          <w:rtl/>
        </w:rPr>
        <w:t>ثواب الأعمال</w:t>
      </w:r>
      <w:r w:rsidR="00E3253D" w:rsidRPr="005D642E">
        <w:rPr>
          <w:rtl/>
        </w:rPr>
        <w:t xml:space="preserve"> ، ص 32 ، ح 1 ، عن إبراهيم بن محمّد الثقفي ، عن بن المعلّى [ البغدادي ] ، عن إبراهيم بن محمّد بن حمران ، عن أبيه ، عن أبي عبدالله </w:t>
      </w:r>
      <w:r w:rsidR="00E3253D" w:rsidRPr="00A569E3">
        <w:rPr>
          <w:rStyle w:val="libFootnoteAlaemChar"/>
          <w:rtl/>
        </w:rPr>
        <w:t>عليه‌السلام</w:t>
      </w:r>
      <w:r w:rsidR="00E3253D" w:rsidRPr="005D642E">
        <w:rPr>
          <w:rtl/>
        </w:rPr>
        <w:t xml:space="preserve">. وهو الظاهر من طبقة إبراهيم بن محمّد بن حمران ؛ فقد عدّ البرقي والشيخ الطوسي ، والده محمّد بن حمران من أصحاب أبي عبدالله </w:t>
      </w:r>
      <w:r w:rsidR="00E3253D" w:rsidRPr="00A569E3">
        <w:rPr>
          <w:rStyle w:val="libFootnoteAlaemChar"/>
          <w:rtl/>
        </w:rPr>
        <w:t>عليه‌السلام</w:t>
      </w:r>
      <w:r w:rsidR="00E3253D" w:rsidRPr="005D642E">
        <w:rPr>
          <w:rtl/>
        </w:rPr>
        <w:t xml:space="preserve">. وقال أبو غالب الزراري : « روى محمّد بن الحسين ، عن إبراهيم بن محمّد بن حمران ، عن أبيه ، عن أبي عبدالله </w:t>
      </w:r>
      <w:r w:rsidR="00E3253D" w:rsidRPr="00A569E3">
        <w:rPr>
          <w:rStyle w:val="libFootnoteAlaemChar"/>
          <w:rtl/>
        </w:rPr>
        <w:t>عليه‌السلام</w:t>
      </w:r>
      <w:r w:rsidR="00E3253D" w:rsidRPr="005D642E">
        <w:rPr>
          <w:rtl/>
        </w:rPr>
        <w:t xml:space="preserve"> »</w:t>
      </w:r>
      <w:r w:rsidR="00E3253D">
        <w:rPr>
          <w:rtl/>
        </w:rPr>
        <w:t>.</w:t>
      </w:r>
      <w:r w:rsidR="00E3253D" w:rsidRPr="005D642E">
        <w:rPr>
          <w:rtl/>
        </w:rPr>
        <w:t xml:space="preserve"> راجع : </w:t>
      </w:r>
      <w:r w:rsidR="00E3253D" w:rsidRPr="002F4D34">
        <w:rPr>
          <w:rStyle w:val="libFootnoteBoldChar"/>
          <w:rtl/>
        </w:rPr>
        <w:t>رجال البرقي</w:t>
      </w:r>
      <w:r w:rsidR="00E3253D" w:rsidRPr="005D642E">
        <w:rPr>
          <w:rtl/>
        </w:rPr>
        <w:t xml:space="preserve"> ، ص 20 ؛ </w:t>
      </w:r>
      <w:r w:rsidR="00E3253D" w:rsidRPr="002F4D34">
        <w:rPr>
          <w:rStyle w:val="libFootnoteBoldChar"/>
          <w:rtl/>
        </w:rPr>
        <w:t>رجال الطوسي</w:t>
      </w:r>
      <w:r w:rsidR="00E3253D" w:rsidRPr="005D642E">
        <w:rPr>
          <w:rtl/>
        </w:rPr>
        <w:t xml:space="preserve"> ، ص 313 ، الرقم 4651 ؛ </w:t>
      </w:r>
      <w:r w:rsidR="00E3253D" w:rsidRPr="002F4D34">
        <w:rPr>
          <w:rStyle w:val="libFootnoteBoldChar"/>
          <w:rtl/>
        </w:rPr>
        <w:t>رسالة أبي غالب الزراري</w:t>
      </w:r>
      <w:r w:rsidR="00E3253D" w:rsidRPr="005D642E">
        <w:rPr>
          <w:rtl/>
        </w:rPr>
        <w:t xml:space="preserve"> ، ص 135.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فليتمندل »</w:t>
      </w:r>
      <w:r w:rsidR="00E3253D">
        <w:rPr>
          <w:rtl/>
        </w:rPr>
        <w:t>.</w:t>
      </w:r>
      <w:r w:rsidR="00E3253D" w:rsidRPr="005D642E">
        <w:rPr>
          <w:rtl/>
        </w:rPr>
        <w:t xml:space="preserve"> </w:t>
      </w:r>
      <w:r w:rsidR="00E3253D">
        <w:rPr>
          <w:rtl/>
        </w:rPr>
        <w:t>و «</w:t>
      </w:r>
      <w:r w:rsidR="00E3253D" w:rsidRPr="005D642E">
        <w:rPr>
          <w:rtl/>
        </w:rPr>
        <w:t xml:space="preserve"> تمندل » ، أي تمسّح بالمنديل من أثر الوَضوء ، والمنديل بفتح الميم ، والكسر نادر ، والمِنْدَل كلّه : الذي يُتمسّح به ، قيل : هو من الندل الذي هو الوسخ ، وقيل : إنّما اشتقاقه من الندل الذي هو التناول. وقيل : هو مشتقّ من ندلتُ الشي‌ءَ ندلاً من باب قتل إذا جذبته أو أخرجته ونقلته. راجع : </w:t>
      </w:r>
      <w:r w:rsidR="00E3253D" w:rsidRPr="002F4D34">
        <w:rPr>
          <w:rStyle w:val="libFootnoteBoldChar"/>
          <w:rtl/>
        </w:rPr>
        <w:t>لسان العرب</w:t>
      </w:r>
      <w:r w:rsidR="00E3253D" w:rsidRPr="005D642E">
        <w:rPr>
          <w:rtl/>
        </w:rPr>
        <w:t xml:space="preserve"> ، ج 11 ، ص 653 ؛ </w:t>
      </w:r>
      <w:r w:rsidR="00E3253D" w:rsidRPr="002F4D34">
        <w:rPr>
          <w:rStyle w:val="libFootnoteBoldChar"/>
          <w:rtl/>
        </w:rPr>
        <w:t>المصباح المنير</w:t>
      </w:r>
      <w:r w:rsidR="00E3253D" w:rsidRPr="005D642E">
        <w:rPr>
          <w:rtl/>
        </w:rPr>
        <w:t xml:space="preserve"> ، ص 598 ( ندل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 « كان »</w:t>
      </w:r>
      <w:r w:rsidR="00E3253D">
        <w:rPr>
          <w:rtl/>
        </w:rPr>
        <w:t>.</w:t>
      </w:r>
    </w:p>
    <w:p w:rsidR="00E3253D" w:rsidRPr="005D642E" w:rsidRDefault="0042621E" w:rsidP="00A569E3">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المحاسن</w:t>
      </w:r>
      <w:r w:rsidR="00E3253D" w:rsidRPr="005D642E">
        <w:rPr>
          <w:rtl/>
        </w:rPr>
        <w:t xml:space="preserve"> ، ص 429 ، كتاب المآكل ، ح 250 ، عن إبراهيم بن محمّد الثقفي. </w:t>
      </w:r>
      <w:r w:rsidR="00E3253D" w:rsidRPr="002F4D34">
        <w:rPr>
          <w:rStyle w:val="libFootnoteBoldChar"/>
          <w:rtl/>
        </w:rPr>
        <w:t>ثواب الأعمال</w:t>
      </w:r>
      <w:r w:rsidR="00E3253D" w:rsidRPr="005D642E">
        <w:rPr>
          <w:rtl/>
        </w:rPr>
        <w:t xml:space="preserve"> ، ص 32 ، ح 1 ، بسنده عن سلمة بن الخطّاب. </w:t>
      </w:r>
      <w:r w:rsidR="00E3253D" w:rsidRPr="002F4D34">
        <w:rPr>
          <w:rStyle w:val="libFootnoteBoldChar"/>
          <w:rtl/>
        </w:rPr>
        <w:t>الفقيه</w:t>
      </w:r>
      <w:r w:rsidR="00E3253D" w:rsidRPr="005D642E">
        <w:rPr>
          <w:rtl/>
        </w:rPr>
        <w:t xml:space="preserve"> ، ج 1 ، ص 50 ، ح 105 ، مرسلاً ، وفي كلّ المصادر مع اختلاف يسير</w:t>
      </w:r>
      <w:r w:rsidR="00A569E3">
        <w:rPr>
          <w:rFonts w:hint="cs"/>
          <w:rtl/>
        </w:rPr>
        <w:t>.</w:t>
      </w:r>
      <w:r w:rsidR="00E3253D" w:rsidRPr="002F4D34">
        <w:rPr>
          <w:rStyle w:val="libFootnoteBoldChar"/>
          <w:rtl/>
        </w:rPr>
        <w:t>الوافي</w:t>
      </w:r>
      <w:r w:rsidR="00E3253D" w:rsidRPr="005D642E">
        <w:rPr>
          <w:rtl/>
        </w:rPr>
        <w:t xml:space="preserve"> ، ج 6 ، ص 340 ، ح 4422 ؛ </w:t>
      </w:r>
      <w:r w:rsidR="00E3253D" w:rsidRPr="002F4D34">
        <w:rPr>
          <w:rStyle w:val="libFootnoteBoldChar"/>
          <w:rtl/>
        </w:rPr>
        <w:t>الوسائل</w:t>
      </w:r>
      <w:r w:rsidR="00E3253D" w:rsidRPr="005D642E">
        <w:rPr>
          <w:rtl/>
        </w:rPr>
        <w:t xml:space="preserve"> ، ج 1 ، ص 474 ، ذيل ح 1258.</w:t>
      </w:r>
    </w:p>
    <w:p w:rsidR="00E3253D" w:rsidRPr="005D642E" w:rsidRDefault="0042621E" w:rsidP="004C592F">
      <w:pPr>
        <w:pStyle w:val="libFootnote0"/>
        <w:rPr>
          <w:rtl/>
          <w:lang w:bidi="fa-IR"/>
        </w:rPr>
      </w:pPr>
      <w:r w:rsidRPr="0042621E">
        <w:rPr>
          <w:rStyle w:val="libFootnote0Char"/>
          <w:rtl/>
        </w:rPr>
        <w:t>(6).</w:t>
      </w:r>
      <w:r w:rsidR="00E3253D" w:rsidRPr="005D642E">
        <w:rPr>
          <w:rtl/>
        </w:rPr>
        <w:t xml:space="preserve"> هكذا في حاشية « ت ، جح » </w:t>
      </w:r>
      <w:r w:rsidR="004C592F">
        <w:rPr>
          <w:rtl/>
        </w:rPr>
        <w:t>نقلاً من بعض النسخ ، ونقل العل</w:t>
      </w:r>
      <w:r w:rsidR="004C592F">
        <w:rPr>
          <w:rFonts w:hint="cs"/>
          <w:rtl/>
        </w:rPr>
        <w:t>ّ</w:t>
      </w:r>
      <w:r w:rsidR="004C592F">
        <w:rPr>
          <w:rtl/>
        </w:rPr>
        <w:t>ا</w:t>
      </w:r>
      <w:r w:rsidR="00E3253D" w:rsidRPr="005D642E">
        <w:rPr>
          <w:rtl/>
        </w:rPr>
        <w:t>مة الخيبر السيّد موسى الشبيرى</w:t>
      </w:r>
      <w:r w:rsidR="00E3253D">
        <w:rPr>
          <w:rtl/>
        </w:rPr>
        <w:t xml:space="preserve"> </w:t>
      </w:r>
      <w:r w:rsidR="007642BC">
        <w:rPr>
          <w:rtl/>
        </w:rPr>
        <w:t>-</w:t>
      </w:r>
      <w:r w:rsidR="00E3253D">
        <w:rPr>
          <w:rtl/>
        </w:rPr>
        <w:t xml:space="preserve"> </w:t>
      </w:r>
      <w:r w:rsidR="00E3253D" w:rsidRPr="005D642E">
        <w:rPr>
          <w:rtl/>
        </w:rPr>
        <w:t>دام ظلّه</w:t>
      </w:r>
      <w:r w:rsidR="00E3253D">
        <w:rPr>
          <w:rtl/>
        </w:rPr>
        <w:t xml:space="preserve"> </w:t>
      </w:r>
      <w:r w:rsidR="007642BC">
        <w:rPr>
          <w:rtl/>
        </w:rPr>
        <w:t>-</w:t>
      </w:r>
      <w:r w:rsidR="00E3253D">
        <w:rPr>
          <w:rtl/>
        </w:rPr>
        <w:t xml:space="preserve"> </w:t>
      </w:r>
      <w:r w:rsidR="00E3253D" w:rsidRPr="005D642E">
        <w:rPr>
          <w:rtl/>
        </w:rPr>
        <w:t>من‌حاشية نسخة رمز عنها</w:t>
      </w:r>
      <w:r w:rsidR="00E3253D">
        <w:rPr>
          <w:rtl/>
        </w:rPr>
        <w:t xml:space="preserve"> ب</w:t>
      </w:r>
      <w:r w:rsidR="004C592F">
        <w:rPr>
          <w:rFonts w:hint="cs"/>
          <w:rtl/>
        </w:rPr>
        <w:t>ـ</w:t>
      </w:r>
      <w:r w:rsidR="00E3253D">
        <w:rPr>
          <w:rtl/>
        </w:rPr>
        <w:t xml:space="preserve"> </w:t>
      </w:r>
      <w:r w:rsidR="00E3253D" w:rsidRPr="005D642E">
        <w:rPr>
          <w:rtl/>
        </w:rPr>
        <w:t>« ش » ، هكذا : « في بعض النسخ صبّاح الحذّاء »</w:t>
      </w:r>
      <w:r w:rsidR="00E3253D">
        <w:rPr>
          <w:rtl/>
        </w:rPr>
        <w:t>.</w:t>
      </w:r>
      <w:r w:rsidR="00E3253D" w:rsidRPr="005D642E">
        <w:rPr>
          <w:rtl/>
        </w:rPr>
        <w:t xml:space="preserve"> وفي « ظ ، ى ، بث ، بح ، بخ ، بس ، جح ، </w:t>
      </w:r>
      <w:r w:rsidR="004C592F">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سَمَاعَةَ بْنِ مِهْرَانَ ، قَالَ :</w:t>
      </w:r>
    </w:p>
    <w:p w:rsidR="00E3253D" w:rsidRPr="005D642E" w:rsidRDefault="00E3253D" w:rsidP="00E3253D">
      <w:pPr>
        <w:pStyle w:val="libNormal"/>
        <w:rPr>
          <w:rtl/>
          <w:lang w:bidi="fa-IR"/>
        </w:rPr>
      </w:pPr>
      <w:r w:rsidRPr="005D642E">
        <w:rPr>
          <w:rtl/>
          <w:lang w:bidi="fa-IR"/>
        </w:rPr>
        <w:t xml:space="preserve">قَالَ أَبُو الْحَسَنِ مُوسى </w:t>
      </w:r>
      <w:r w:rsidRPr="00AC51C5">
        <w:rPr>
          <w:rStyle w:val="libAlaemChar"/>
          <w:rtl/>
        </w:rPr>
        <w:t>عليه‌السلام</w:t>
      </w:r>
      <w:r w:rsidRPr="005D642E">
        <w:rPr>
          <w:rtl/>
          <w:lang w:bidi="fa-IR"/>
        </w:rPr>
        <w:t xml:space="preserve"> : « مَنْ تَوَضَّأَ لِلْمَغْرِبِ ، كَانَ وُضُوؤُهُ ذلِكَ كَفَّارَةً لِمَا مَضى مِنْ ذُنُوبِهِ فِي نَهَارِهِ مَا خَلَا </w:t>
      </w:r>
      <w:r w:rsidRPr="007C12DB">
        <w:rPr>
          <w:rStyle w:val="libFootnotenumChar"/>
          <w:rtl/>
        </w:rPr>
        <w:t>(1)</w:t>
      </w:r>
      <w:r w:rsidRPr="005D642E">
        <w:rPr>
          <w:rtl/>
          <w:lang w:bidi="fa-IR"/>
        </w:rPr>
        <w:t xml:space="preserve"> الْكَبَائِرَ ؛ وَمَنْ تَوَضَّأَ لِصَلَاةِ الصُّبْحِ ، كَانَ وُضُوؤُهُ ذلِكَ كَفَّارَةً لِمَا مَضى مِنْ ذُنُوبِهِ </w:t>
      </w:r>
      <w:r w:rsidRPr="007C12DB">
        <w:rPr>
          <w:rStyle w:val="libFootnotenumChar"/>
          <w:rtl/>
        </w:rPr>
        <w:t>(2)</w:t>
      </w:r>
      <w:r w:rsidRPr="005D642E">
        <w:rPr>
          <w:rtl/>
          <w:lang w:bidi="fa-IR"/>
        </w:rPr>
        <w:t xml:space="preserve"> فِي لَيْلَتِهِ </w:t>
      </w:r>
      <w:r w:rsidRPr="007C12DB">
        <w:rPr>
          <w:rStyle w:val="libFootnotenumChar"/>
          <w:rtl/>
        </w:rPr>
        <w:t>(3)</w:t>
      </w:r>
      <w:r w:rsidR="00962324">
        <w:rPr>
          <w:rtl/>
          <w:lang w:bidi="fa-IR"/>
        </w:rPr>
        <w:t xml:space="preserve"> إِل</w:t>
      </w:r>
      <w:r w:rsidR="00962324">
        <w:rPr>
          <w:rFonts w:hint="cs"/>
          <w:rtl/>
          <w:lang w:bidi="fa-IR"/>
        </w:rPr>
        <w:t>َّ</w:t>
      </w:r>
      <w:r w:rsidR="00962324">
        <w:rPr>
          <w:rtl/>
          <w:lang w:bidi="fa-IR"/>
        </w:rPr>
        <w:t>ا</w:t>
      </w:r>
      <w:r w:rsidRPr="005D642E">
        <w:rPr>
          <w:rtl/>
          <w:lang w:bidi="fa-IR"/>
        </w:rPr>
        <w:t xml:space="preserve"> الْكَبَائِرَ »</w:t>
      </w:r>
      <w:r>
        <w:rPr>
          <w:rtl/>
          <w:lang w:bidi="fa-IR"/>
        </w:rPr>
        <w:t>.</w:t>
      </w:r>
      <w:r w:rsidRPr="005D642E">
        <w:rPr>
          <w:rtl/>
          <w:lang w:bidi="fa-IR"/>
        </w:rPr>
        <w:t xml:space="preserve"> </w:t>
      </w:r>
      <w:r w:rsidRPr="007C12DB">
        <w:rPr>
          <w:rStyle w:val="libFootnotenumChar"/>
          <w:rtl/>
        </w:rPr>
        <w:t>(4)</w:t>
      </w:r>
    </w:p>
    <w:p w:rsidR="00E3253D" w:rsidRPr="005D642E" w:rsidRDefault="00E3253D" w:rsidP="00E3253D">
      <w:pPr>
        <w:pStyle w:val="libNormal"/>
        <w:rPr>
          <w:rtl/>
          <w:lang w:bidi="fa-IR"/>
        </w:rPr>
      </w:pPr>
      <w:r w:rsidRPr="00075246">
        <w:rPr>
          <w:rtl/>
        </w:rPr>
        <w:t>4136</w:t>
      </w:r>
      <w:r w:rsidRPr="00246318">
        <w:rPr>
          <w:rStyle w:val="libBold2Char"/>
          <w:rtl/>
        </w:rPr>
        <w:t xml:space="preserve"> / 6.</w:t>
      </w:r>
      <w:r w:rsidRPr="005D642E">
        <w:rPr>
          <w:rtl/>
          <w:lang w:bidi="fa-IR"/>
        </w:rPr>
        <w:t xml:space="preserve"> عَلِيُّ بْنُ إِبْرَاهِيمَ ، عَنْ أَبِيهِ ، عَنْ قَاسِمٍ الْخَزَّازِ </w:t>
      </w:r>
      <w:r w:rsidRPr="007C12DB">
        <w:rPr>
          <w:rStyle w:val="libFootnotenumChar"/>
          <w:rtl/>
        </w:rPr>
        <w:t>(5)</w:t>
      </w:r>
      <w:r w:rsidRPr="005D642E">
        <w:rPr>
          <w:rtl/>
          <w:lang w:bidi="fa-IR"/>
        </w:rPr>
        <w:t xml:space="preserve"> ، عَنْ عَبْدِ الرَّحْمنِ بْنِ كَثِيرٍ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بَيْنَا </w:t>
      </w:r>
      <w:r w:rsidRPr="007C12DB">
        <w:rPr>
          <w:rStyle w:val="libFootnotenumChar"/>
          <w:rtl/>
        </w:rPr>
        <w:t>(7)</w:t>
      </w:r>
      <w:r w:rsidRPr="005D642E">
        <w:rPr>
          <w:rtl/>
          <w:lang w:bidi="fa-IR"/>
        </w:rPr>
        <w:t xml:space="preserve"> أَمِيرُ الْمُؤْمِنِينَ </w:t>
      </w:r>
      <w:r w:rsidRPr="00AC51C5">
        <w:rPr>
          <w:rStyle w:val="libAlaemChar"/>
          <w:rtl/>
        </w:rPr>
        <w:t>عليه‌السلام</w:t>
      </w:r>
      <w:r w:rsidRPr="005D642E">
        <w:rPr>
          <w:rtl/>
          <w:lang w:bidi="fa-IR"/>
        </w:rPr>
        <w:t>‌</w:t>
      </w:r>
      <w:r w:rsidR="00962324">
        <w:rPr>
          <w:rFonts w:hint="cs"/>
          <w:rtl/>
          <w:lang w:bidi="fa-IR"/>
        </w:rPr>
        <w:t>.......................</w:t>
      </w:r>
      <w:r w:rsidR="00962324">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BF4D87" w:rsidP="00E3253D">
      <w:pPr>
        <w:pStyle w:val="libFootnote0"/>
        <w:rPr>
          <w:rtl/>
          <w:lang w:bidi="fa-IR"/>
        </w:rPr>
      </w:pPr>
      <w:r>
        <w:rPr>
          <w:rFonts w:hint="cs"/>
          <w:rtl/>
        </w:rPr>
        <w:t xml:space="preserve">= </w:t>
      </w:r>
      <w:r w:rsidR="00E3253D" w:rsidRPr="005D642E">
        <w:rPr>
          <w:rtl/>
        </w:rPr>
        <w:t>جن » والمطبوع : « جرّاح الحذّاء »</w:t>
      </w:r>
      <w:r w:rsidR="00E3253D">
        <w:rPr>
          <w:rtl/>
        </w:rPr>
        <w:t>.</w:t>
      </w:r>
      <w:r w:rsidR="00E3253D" w:rsidRPr="005D642E">
        <w:rPr>
          <w:rtl/>
        </w:rPr>
        <w:t xml:space="preserve"> وفي « بف » وحاشية « جن » : « جرّاح المدائني »</w:t>
      </w:r>
      <w:r w:rsidR="00E3253D">
        <w:rPr>
          <w:rtl/>
        </w:rPr>
        <w:t>.</w:t>
      </w:r>
    </w:p>
    <w:p w:rsidR="00E3253D" w:rsidRPr="005D642E" w:rsidRDefault="00E3253D" w:rsidP="00E3253D">
      <w:pPr>
        <w:pStyle w:val="libFootnote0"/>
        <w:rPr>
          <w:rtl/>
          <w:lang w:bidi="fa-IR"/>
        </w:rPr>
      </w:pPr>
      <w:r w:rsidRPr="00B60612">
        <w:rPr>
          <w:rtl/>
        </w:rPr>
        <w:t xml:space="preserve">والصواب ما أثبتناه ؛ فإنّه مضافاً إلى أنّ الخبر رواه المصنّف </w:t>
      </w:r>
      <w:r w:rsidR="007642BC" w:rsidRPr="00B60612">
        <w:rPr>
          <w:rtl/>
        </w:rPr>
        <w:t>-</w:t>
      </w:r>
      <w:r w:rsidRPr="00B60612">
        <w:rPr>
          <w:rtl/>
        </w:rPr>
        <w:t xml:space="preserve"> في ضمن الحديث ، ح 4139 بسند آخر عن صبّاح الحذّاء ، عن سماعة ، وأنّ خبرنا هذا رواه الشيخ الصدوق في </w:t>
      </w:r>
      <w:r w:rsidRPr="002F4D34">
        <w:rPr>
          <w:rStyle w:val="libFootnoteBoldChar"/>
          <w:rtl/>
        </w:rPr>
        <w:t>ثواب الأعمال</w:t>
      </w:r>
      <w:r w:rsidRPr="00B60612">
        <w:rPr>
          <w:rtl/>
        </w:rPr>
        <w:t xml:space="preserve"> ، ص 32 ، ح 1 ، بسنده عن إبراهيم بن هاشم ، عن عمرو بن عثمان ، عن صبّاح الحذّاء ، عن سماعة بن مهران ، فإنّه مضافاً إلى ذلك </w:t>
      </w:r>
      <w:r w:rsidR="007642BC" w:rsidRPr="00B60612">
        <w:rPr>
          <w:rtl/>
        </w:rPr>
        <w:t>-</w:t>
      </w:r>
      <w:r w:rsidRPr="00B60612">
        <w:rPr>
          <w:rtl/>
        </w:rPr>
        <w:t xml:space="preserve"> لم نجد عنوان « جرّاح الحذّاء » في غير سند هذا الخبر ؛ من كتب الرجال والأسناد ، وقد تكرّر صبّاح الحذّاء في عدّة من الأسناد ، ووردت روايته عن سماعة في </w:t>
      </w:r>
      <w:r w:rsidRPr="002F4D34">
        <w:rPr>
          <w:rStyle w:val="libFootnoteBoldChar"/>
          <w:rtl/>
        </w:rPr>
        <w:t>المحاسن</w:t>
      </w:r>
      <w:r w:rsidRPr="00B60612">
        <w:rPr>
          <w:rtl/>
        </w:rPr>
        <w:t xml:space="preserve"> ، ج 2 ، ص 487 ، ح 550 ، وصبّاح هذا ، هو صبّاح بن صبيح الحذّاء المذكور في كتب الرجال. راجع : </w:t>
      </w:r>
      <w:r w:rsidRPr="002F4D34">
        <w:rPr>
          <w:rStyle w:val="libFootnoteBoldChar"/>
          <w:rtl/>
        </w:rPr>
        <w:t>رجال النجاشي</w:t>
      </w:r>
      <w:r w:rsidRPr="00B60612">
        <w:rPr>
          <w:rtl/>
        </w:rPr>
        <w:t xml:space="preserve"> ، ص 201 ، الرقم 538 ؛ </w:t>
      </w:r>
      <w:r w:rsidRPr="002F4D34">
        <w:rPr>
          <w:rStyle w:val="libFootnoteBoldChar"/>
          <w:rtl/>
        </w:rPr>
        <w:t>رجال البرقي</w:t>
      </w:r>
      <w:r w:rsidRPr="00B60612">
        <w:rPr>
          <w:rtl/>
        </w:rPr>
        <w:t xml:space="preserve"> ، ص 38 ؛ </w:t>
      </w:r>
      <w:r w:rsidRPr="002F4D34">
        <w:rPr>
          <w:rStyle w:val="libFootnoteBoldChar"/>
          <w:rtl/>
        </w:rPr>
        <w:t>رجال الطوسي</w:t>
      </w:r>
      <w:r w:rsidRPr="00B60612">
        <w:rPr>
          <w:rtl/>
        </w:rPr>
        <w:t xml:space="preserve"> ، ص 226 ، الرقم 3047.</w:t>
      </w:r>
    </w:p>
    <w:p w:rsidR="00E3253D" w:rsidRPr="005D642E" w:rsidRDefault="00E3253D" w:rsidP="00B60612">
      <w:pPr>
        <w:pStyle w:val="libFootnote0"/>
        <w:rPr>
          <w:rtl/>
          <w:lang w:bidi="fa-IR"/>
        </w:rPr>
      </w:pPr>
      <w:r w:rsidRPr="0095070A">
        <w:rPr>
          <w:rtl/>
        </w:rPr>
        <w:t>وأمّا جرّاح المدائني ، فقد وردت رواياته عن طريق النضر بن س</w:t>
      </w:r>
      <w:r w:rsidR="00BF4D87">
        <w:rPr>
          <w:rtl/>
        </w:rPr>
        <w:t>ويد ، عن القاسم بن سليمان ، إل</w:t>
      </w:r>
      <w:r w:rsidR="00BF4D87">
        <w:rPr>
          <w:rFonts w:hint="cs"/>
          <w:rtl/>
        </w:rPr>
        <w:t>ّ</w:t>
      </w:r>
      <w:r w:rsidR="00BF4D87">
        <w:rPr>
          <w:rtl/>
        </w:rPr>
        <w:t>ا</w:t>
      </w:r>
      <w:r w:rsidR="00BF4D87">
        <w:rPr>
          <w:rFonts w:hint="cs"/>
          <w:rtl/>
        </w:rPr>
        <w:t xml:space="preserve"> </w:t>
      </w:r>
      <w:r w:rsidRPr="0095070A">
        <w:rPr>
          <w:rtl/>
        </w:rPr>
        <w:t>في قليل من الأسناد المختلّة لم يتوسّط القاسم بن سليمان بينهما</w:t>
      </w:r>
      <w:r>
        <w:rPr>
          <w:rtl/>
        </w:rPr>
        <w:t xml:space="preserve"> </w:t>
      </w:r>
      <w:r w:rsidR="007642BC">
        <w:rPr>
          <w:rtl/>
        </w:rPr>
        <w:t>-</w:t>
      </w:r>
      <w:r>
        <w:rPr>
          <w:rtl/>
        </w:rPr>
        <w:t xml:space="preserve"> </w:t>
      </w:r>
      <w:r w:rsidRPr="0095070A">
        <w:rPr>
          <w:rtl/>
        </w:rPr>
        <w:t>وليس هذا موضع ذكرها</w:t>
      </w:r>
      <w:r>
        <w:rPr>
          <w:rtl/>
        </w:rPr>
        <w:t xml:space="preserve"> </w:t>
      </w:r>
      <w:r w:rsidR="007642BC">
        <w:rPr>
          <w:rtl/>
        </w:rPr>
        <w:t>-</w:t>
      </w:r>
      <w:r>
        <w:rPr>
          <w:rtl/>
        </w:rPr>
        <w:t xml:space="preserve"> </w:t>
      </w:r>
      <w:r w:rsidRPr="0095070A">
        <w:rPr>
          <w:rtl/>
        </w:rPr>
        <w:t>ولم نجد في شي‌ءٍ من الأسناد رواية عمرو بن عثمان أو غيره عن جرّاح المدائني.</w:t>
      </w:r>
    </w:p>
    <w:p w:rsidR="00E3253D" w:rsidRDefault="00E3253D" w:rsidP="00B60612">
      <w:pPr>
        <w:pStyle w:val="libFootnote0"/>
        <w:rPr>
          <w:rtl/>
        </w:rPr>
      </w:pPr>
      <w:r w:rsidRPr="0095070A">
        <w:rPr>
          <w:rtl/>
        </w:rPr>
        <w:t xml:space="preserve">ثمّ لا يخفى ما في « صبّاح » </w:t>
      </w:r>
      <w:r>
        <w:rPr>
          <w:rtl/>
        </w:rPr>
        <w:t>و «</w:t>
      </w:r>
      <w:r w:rsidRPr="0095070A">
        <w:rPr>
          <w:rtl/>
        </w:rPr>
        <w:t xml:space="preserve"> جرّاح » من الشباهة التامّة في بعض الخطوط الموجبة لتحريف أحدهما بالآخر.</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BF4D87">
        <w:rPr>
          <w:rtl/>
        </w:rPr>
        <w:t>في « بح » : « إل</w:t>
      </w:r>
      <w:r w:rsidR="00BF4D87">
        <w:rPr>
          <w:rFonts w:hint="cs"/>
          <w:rtl/>
        </w:rPr>
        <w:t>ّ</w:t>
      </w:r>
      <w:r w:rsidR="00BF4D87">
        <w:rPr>
          <w:rtl/>
        </w:rPr>
        <w:t>ا</w:t>
      </w:r>
      <w:r w:rsidR="00E3253D" w:rsidRPr="005D642E">
        <w:rPr>
          <w:rtl/>
        </w:rPr>
        <w:t xml:space="preserve"> » بدل « ما خلا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ى ، بث ، بخ ، بف ، جح ، جس ، جن » والوسائل :</w:t>
      </w:r>
      <w:r w:rsidR="00E3253D">
        <w:rPr>
          <w:rtl/>
        </w:rPr>
        <w:t xml:space="preserve"> </w:t>
      </w:r>
      <w:r w:rsidR="007642BC">
        <w:rPr>
          <w:rtl/>
        </w:rPr>
        <w:t>-</w:t>
      </w:r>
      <w:r w:rsidR="00E3253D">
        <w:rPr>
          <w:rtl/>
        </w:rPr>
        <w:t xml:space="preserve"> </w:t>
      </w:r>
      <w:r w:rsidR="00E3253D" w:rsidRPr="005D642E">
        <w:rPr>
          <w:rtl/>
        </w:rPr>
        <w:t>« في نهاره</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من ذنوبه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ج 13 ، ص 190 : « والظاهر : يومه ، مكان ليلته ، وكأنّه من النسّاخ ، أو الرواة بقرينة أنّه نقل هذا الخبر عن سماعة بعد ذلك بزيادة ، وهنا في أكثر النسخ : يومه</w:t>
      </w:r>
      <w:r w:rsidR="00E3253D">
        <w:rPr>
          <w:rtl/>
        </w:rPr>
        <w:t xml:space="preserve"> ..</w:t>
      </w:r>
      <w:r w:rsidR="00E3253D" w:rsidRPr="005D642E">
        <w:rPr>
          <w:rtl/>
        </w:rPr>
        <w:t>. ، وعلى ما في أكثر نسخ المتن ، يحتمل أن يكون المراد الليلة السابقة أو يكون الظرف متعلّقاً بالكفّارة ، فيكون المراد جميع الذنوب والله يعلم »</w:t>
      </w:r>
      <w:r w:rsidR="00E3253D">
        <w:rPr>
          <w:rtl/>
        </w:rPr>
        <w:t>.</w:t>
      </w:r>
    </w:p>
    <w:p w:rsidR="00E3253D" w:rsidRPr="005D642E" w:rsidRDefault="0042621E" w:rsidP="00BF4D87">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ثواب الأعمال</w:t>
      </w:r>
      <w:r w:rsidR="00E3253D" w:rsidRPr="005D642E">
        <w:rPr>
          <w:rtl/>
        </w:rPr>
        <w:t xml:space="preserve"> ، ص 32 ، ح 1 ، بسنده عن إبراهيم بن هاشم ، مع اختلاف يسير. </w:t>
      </w:r>
      <w:r w:rsidR="00E3253D" w:rsidRPr="002F4D34">
        <w:rPr>
          <w:rStyle w:val="libFootnoteBoldChar"/>
          <w:rtl/>
        </w:rPr>
        <w:t>الفقيه</w:t>
      </w:r>
      <w:r w:rsidR="00E3253D" w:rsidRPr="005D642E">
        <w:rPr>
          <w:rtl/>
        </w:rPr>
        <w:t xml:space="preserve"> ، ج 1 ، ص 50 ، ح 103 ، مرسلاً</w:t>
      </w:r>
      <w:r w:rsidR="00BF4D87">
        <w:rPr>
          <w:rFonts w:hint="cs"/>
          <w:rtl/>
        </w:rPr>
        <w:t>.</w:t>
      </w:r>
      <w:r w:rsidR="00E3253D" w:rsidRPr="002F4D34">
        <w:rPr>
          <w:rStyle w:val="libFootnoteBoldChar"/>
          <w:rtl/>
        </w:rPr>
        <w:t>الوافي</w:t>
      </w:r>
      <w:r w:rsidR="00E3253D" w:rsidRPr="005D642E">
        <w:rPr>
          <w:rtl/>
        </w:rPr>
        <w:t xml:space="preserve"> ، ج 6 ، ص 366 ، ح 4479 ؛ </w:t>
      </w:r>
      <w:r w:rsidR="00E3253D" w:rsidRPr="002F4D34">
        <w:rPr>
          <w:rStyle w:val="libFootnoteBoldChar"/>
          <w:rtl/>
        </w:rPr>
        <w:t>الوسائل</w:t>
      </w:r>
      <w:r w:rsidR="00E3253D" w:rsidRPr="005D642E">
        <w:rPr>
          <w:rtl/>
        </w:rPr>
        <w:t xml:space="preserve"> ، ج 1 ، ص 375 ، ح 990.</w:t>
      </w:r>
    </w:p>
    <w:tbl>
      <w:tblPr>
        <w:tblStyle w:val="TableGrid"/>
        <w:bidiVisual/>
        <w:tblW w:w="0" w:type="auto"/>
        <w:tblLook w:val="04A0" w:firstRow="1" w:lastRow="0" w:firstColumn="1" w:lastColumn="0" w:noHBand="0" w:noVBand="1"/>
      </w:tblPr>
      <w:tblGrid>
        <w:gridCol w:w="4006"/>
        <w:gridCol w:w="4006"/>
      </w:tblGrid>
      <w:tr w:rsidR="00BF4D87" w:rsidTr="00BF4D87">
        <w:tc>
          <w:tcPr>
            <w:tcW w:w="4006" w:type="dxa"/>
          </w:tcPr>
          <w:p w:rsidR="00BF4D87" w:rsidRDefault="00BF4D87" w:rsidP="00BF4D87">
            <w:pPr>
              <w:pStyle w:val="libFootnote0"/>
              <w:rPr>
                <w:rStyle w:val="libFootnote0Char"/>
                <w:rtl/>
              </w:rPr>
            </w:pPr>
            <w:r w:rsidRPr="0042621E">
              <w:rPr>
                <w:rStyle w:val="libFootnote0Char"/>
                <w:rtl/>
              </w:rPr>
              <w:t>(5).</w:t>
            </w:r>
            <w:r w:rsidRPr="005D642E">
              <w:rPr>
                <w:rtl/>
              </w:rPr>
              <w:t xml:space="preserve"> في«بخ،بس»والوسائل:«الخراز»</w:t>
            </w:r>
            <w:r>
              <w:rPr>
                <w:rtl/>
              </w:rPr>
              <w:t>.</w:t>
            </w:r>
          </w:p>
        </w:tc>
        <w:tc>
          <w:tcPr>
            <w:tcW w:w="4006" w:type="dxa"/>
          </w:tcPr>
          <w:p w:rsidR="00BF4D87" w:rsidRDefault="00BF4D87" w:rsidP="00BF4D87">
            <w:pPr>
              <w:pStyle w:val="libFootnote0"/>
              <w:rPr>
                <w:rStyle w:val="libFootnote0Char"/>
                <w:rtl/>
              </w:rPr>
            </w:pPr>
            <w:r w:rsidRPr="0042621E">
              <w:rPr>
                <w:rStyle w:val="libFootnote0Char"/>
                <w:rtl/>
              </w:rPr>
              <w:t>(6).</w:t>
            </w:r>
            <w:r w:rsidRPr="005D642E">
              <w:rPr>
                <w:rtl/>
              </w:rPr>
              <w:t xml:space="preserve"> في«بس»وحاشية«ظ،بح،جن»:«عبدالله بن بكير»</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أصل بينا : بينَ بمعنى الوسط ، فا</w:t>
      </w:r>
      <w:r w:rsidR="002A2A06">
        <w:rPr>
          <w:rFonts w:hint="cs"/>
          <w:rtl/>
        </w:rPr>
        <w:t>ُ</w:t>
      </w:r>
      <w:r w:rsidR="00E3253D" w:rsidRPr="005D642E">
        <w:rPr>
          <w:rtl/>
        </w:rPr>
        <w:t xml:space="preserve">شبعت الفتحة فصارت ألفاً ، وربّما زيدت عليه « ما » فيقال : بينا </w:t>
      </w:r>
      <w:r w:rsidR="002A2A06">
        <w:rPr>
          <w:rFonts w:hint="cs"/>
          <w:rtl/>
        </w:rPr>
        <w:t>و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قَاعِدٌ </w:t>
      </w:r>
      <w:r w:rsidRPr="007C12DB">
        <w:rPr>
          <w:rStyle w:val="libFootnotenumChar"/>
          <w:rtl/>
        </w:rPr>
        <w:t>(1)</w:t>
      </w:r>
      <w:r w:rsidRPr="005D642E">
        <w:rPr>
          <w:rtl/>
          <w:lang w:bidi="fa-IR"/>
        </w:rPr>
        <w:t xml:space="preserve"> وَمَعَهُ ابْنُهُ مُحَمَّدٌ إِذْ قَالَ </w:t>
      </w:r>
      <w:r w:rsidRPr="007C12DB">
        <w:rPr>
          <w:rStyle w:val="libFootnotenumChar"/>
          <w:rtl/>
        </w:rPr>
        <w:t>(2)</w:t>
      </w:r>
      <w:r w:rsidRPr="005D642E">
        <w:rPr>
          <w:rtl/>
          <w:lang w:bidi="fa-IR"/>
        </w:rPr>
        <w:t xml:space="preserve"> : يَا مُحَمَّدُ ، ائْتِنِي </w:t>
      </w:r>
      <w:r w:rsidRPr="007C12DB">
        <w:rPr>
          <w:rStyle w:val="libFootnotenumChar"/>
          <w:rtl/>
        </w:rPr>
        <w:t>(3)</w:t>
      </w:r>
      <w:r w:rsidRPr="005D642E">
        <w:rPr>
          <w:rtl/>
          <w:lang w:bidi="fa-IR"/>
        </w:rPr>
        <w:t xml:space="preserve"> بِإِنَاءٍ مِنْ مَاءٍ ، فَأَتَاهُ بِهِ </w:t>
      </w:r>
      <w:r w:rsidRPr="007C12DB">
        <w:rPr>
          <w:rStyle w:val="libFootnotenumChar"/>
          <w:rtl/>
        </w:rPr>
        <w:t>(4)</w:t>
      </w:r>
      <w:r w:rsidRPr="005D642E">
        <w:rPr>
          <w:rtl/>
          <w:lang w:bidi="fa-IR"/>
        </w:rPr>
        <w:t xml:space="preserve"> ، فَصَبَّهُ بِيَدِهِ الْيُمْنى عَلى يَدِهِ الْيُسْرى ، ثُمَّ قَالَ </w:t>
      </w:r>
      <w:r w:rsidRPr="007C12DB">
        <w:rPr>
          <w:rStyle w:val="libFootnotenumChar"/>
          <w:rtl/>
        </w:rPr>
        <w:t>(5)</w:t>
      </w:r>
      <w:r w:rsidRPr="005D642E">
        <w:rPr>
          <w:rtl/>
          <w:lang w:bidi="fa-IR"/>
        </w:rPr>
        <w:t xml:space="preserve"> : الْحَمْدُ لِلّهِ الَّذِي جَعَلَ الْمَاءَ طَهُوراً ، وَلَمْ يَجْعَلْهُ نَجِساً.</w:t>
      </w:r>
    </w:p>
    <w:p w:rsidR="00E3253D" w:rsidRPr="005D642E" w:rsidRDefault="00E3253D" w:rsidP="00E3253D">
      <w:pPr>
        <w:pStyle w:val="libNormal"/>
        <w:rPr>
          <w:rtl/>
          <w:lang w:bidi="fa-IR"/>
        </w:rPr>
      </w:pPr>
      <w:r w:rsidRPr="005D642E">
        <w:rPr>
          <w:rtl/>
          <w:lang w:bidi="fa-IR"/>
        </w:rPr>
        <w:t xml:space="preserve">ثُمَّ اسْتَنْجى فَقَالَ : اللهُمَّ حَصِّنْ فَرْجِي وَأَعِفَّهُ ، وَاسْتُرْ عَوْرَتِي </w:t>
      </w:r>
      <w:r w:rsidRPr="007C12DB">
        <w:rPr>
          <w:rStyle w:val="libFootnotenumChar"/>
          <w:rtl/>
        </w:rPr>
        <w:t>(6)</w:t>
      </w:r>
      <w:r w:rsidRPr="005D642E">
        <w:rPr>
          <w:rtl/>
          <w:lang w:bidi="fa-IR"/>
        </w:rPr>
        <w:t xml:space="preserve"> وَحَرِّمْهَا عَلَى النَّارِ.</w:t>
      </w:r>
    </w:p>
    <w:p w:rsidR="00E3253D" w:rsidRPr="005D642E" w:rsidRDefault="00E3253D" w:rsidP="00E3253D">
      <w:pPr>
        <w:pStyle w:val="libNormal"/>
        <w:rPr>
          <w:rtl/>
          <w:lang w:bidi="fa-IR"/>
        </w:rPr>
      </w:pPr>
      <w:r w:rsidRPr="005D642E">
        <w:rPr>
          <w:rtl/>
          <w:lang w:bidi="fa-IR"/>
        </w:rPr>
        <w:t xml:space="preserve">ثُمَّ اسْتَنْشَقَ </w:t>
      </w:r>
      <w:r w:rsidRPr="007C12DB">
        <w:rPr>
          <w:rStyle w:val="libFootnotenumChar"/>
          <w:rtl/>
        </w:rPr>
        <w:t>(7)</w:t>
      </w:r>
      <w:r w:rsidRPr="005D642E">
        <w:rPr>
          <w:rtl/>
          <w:lang w:bidi="fa-IR"/>
        </w:rPr>
        <w:t xml:space="preserve"> ، فَقَالَ : اللهُمَّ لَاتُحَرِّمْ عَلَيَّ رِيحَ الْجَنَّةِ ، وَاجْعَلْنِي مِمَّنْ يَشَمُّ رِيحَهَا‌</w:t>
      </w:r>
    </w:p>
    <w:p w:rsidR="00E3253D" w:rsidRPr="005D642E" w:rsidRDefault="00E3253D" w:rsidP="00E3253D">
      <w:pPr>
        <w:pStyle w:val="libLine"/>
        <w:rPr>
          <w:rtl/>
          <w:lang w:bidi="fa-IR"/>
        </w:rPr>
      </w:pPr>
      <w:r w:rsidRPr="005D642E">
        <w:rPr>
          <w:rtl/>
          <w:lang w:bidi="fa-IR"/>
        </w:rPr>
        <w:t>__________________</w:t>
      </w:r>
    </w:p>
    <w:p w:rsidR="00E3253D" w:rsidRPr="005D642E" w:rsidRDefault="002E10E2" w:rsidP="00E3253D">
      <w:pPr>
        <w:pStyle w:val="libFootnote0"/>
        <w:rPr>
          <w:rtl/>
          <w:lang w:bidi="fa-IR"/>
        </w:rPr>
      </w:pPr>
      <w:r>
        <w:rPr>
          <w:rFonts w:hint="cs"/>
          <w:rtl/>
          <w:lang w:bidi="fa-IR"/>
        </w:rPr>
        <w:t xml:space="preserve">= </w:t>
      </w:r>
      <w:r w:rsidR="00E3253D" w:rsidRPr="005D642E">
        <w:rPr>
          <w:rtl/>
        </w:rPr>
        <w:t xml:space="preserve">بينما ، والمعنى واحد ، وهما ظرفا زمان بمعنى المفاجأة ، ويضافان إلى جملة من فعل وفاعل ، ومبتدأ وخبر ، وكان الأصمعيّ يخفض بعد « بينا » ما إذا صلح في موضعه بين. راجع : </w:t>
      </w:r>
      <w:r w:rsidR="00E3253D" w:rsidRPr="002F4D34">
        <w:rPr>
          <w:rStyle w:val="libFootnoteBoldChar"/>
          <w:rtl/>
        </w:rPr>
        <w:t>الصحاح</w:t>
      </w:r>
      <w:r w:rsidR="00E3253D" w:rsidRPr="005D642E">
        <w:rPr>
          <w:rtl/>
        </w:rPr>
        <w:t xml:space="preserve"> ، ج 5 ، ص 2084 ؛ </w:t>
      </w:r>
      <w:r w:rsidR="00E3253D" w:rsidRPr="002F4D34">
        <w:rPr>
          <w:rStyle w:val="libFootnoteBoldChar"/>
          <w:rtl/>
        </w:rPr>
        <w:t>النهاية</w:t>
      </w:r>
      <w:r w:rsidR="00E3253D" w:rsidRPr="005D642E">
        <w:rPr>
          <w:rtl/>
        </w:rPr>
        <w:t xml:space="preserve"> ، ج 1 ، ص 176 ( بين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مرآة العقول : « جالس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إذ »</w:t>
      </w:r>
      <w:r w:rsidR="00E3253D">
        <w:rPr>
          <w:rtl/>
        </w:rPr>
        <w:t>.</w:t>
      </w:r>
      <w:r w:rsidR="00E3253D" w:rsidRPr="005D642E">
        <w:rPr>
          <w:rtl/>
        </w:rPr>
        <w:t xml:space="preserve"> وفي « ى ، بث ، بح ، بخ ، بس ، بف ، جن » </w:t>
      </w:r>
      <w:r w:rsidR="000D749A" w:rsidRPr="000D749A">
        <w:rPr>
          <w:rStyle w:val="libFootnoteBoldChar"/>
          <w:rtl/>
        </w:rPr>
        <w:t>والوافي</w:t>
      </w:r>
      <w:r w:rsidR="00E3253D" w:rsidRPr="005D642E">
        <w:rPr>
          <w:rtl/>
        </w:rPr>
        <w:t xml:space="preserve"> : «</w:t>
      </w:r>
      <w:r w:rsidR="002E10E2">
        <w:rPr>
          <w:rtl/>
        </w:rPr>
        <w:t xml:space="preserve"> فقال » بدل « إذ قال</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جح » وحاشية « غ ، جن » : « آتني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192 : « قوله </w:t>
      </w:r>
      <w:r w:rsidR="00E3253D" w:rsidRPr="002E10E2">
        <w:rPr>
          <w:rStyle w:val="libFootnoteAlaemChar"/>
          <w:rtl/>
        </w:rPr>
        <w:t>عليه‌السلام</w:t>
      </w:r>
      <w:r w:rsidR="00E3253D" w:rsidRPr="005D642E">
        <w:rPr>
          <w:rtl/>
        </w:rPr>
        <w:t xml:space="preserve"> : ائتني ، يدلّ على أنّ طلب إحضار الماء ليس من الاستعانة المكروهة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بف » :</w:t>
      </w:r>
      <w:r w:rsidR="00E3253D">
        <w:rPr>
          <w:rtl/>
        </w:rPr>
        <w:t xml:space="preserve"> </w:t>
      </w:r>
      <w:r w:rsidR="007642BC">
        <w:rPr>
          <w:rtl/>
        </w:rPr>
        <w:t>-</w:t>
      </w:r>
      <w:r w:rsidR="00E3253D">
        <w:rPr>
          <w:rtl/>
        </w:rPr>
        <w:t xml:space="preserve"> </w:t>
      </w:r>
      <w:r w:rsidR="00E3253D" w:rsidRPr="005D642E">
        <w:rPr>
          <w:rtl/>
        </w:rPr>
        <w:t>« به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 + « بسم الله </w:t>
      </w:r>
      <w:r w:rsidR="00E3253D">
        <w:rPr>
          <w:rtl/>
        </w:rPr>
        <w:t>و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تحصين الفرج : جعله منيعاً ، يقال : حَصُنَ المكانُ يحصُن حَصانة ، أي مَنُعَ ، وأحصنه صاحبه وحصّنه والإعفاف : جعل الشي‌ء عفيفاً ، أي كافّاً عمّا لا يحلّ ولا يجمل. والعَوْرَةُ : سَوْءة الإنسان ، </w:t>
      </w:r>
      <w:r w:rsidR="002E10E2">
        <w:rPr>
          <w:rtl/>
        </w:rPr>
        <w:t>وكلّ ما يُستَحيا منه. قال العل</w:t>
      </w:r>
      <w:r w:rsidR="002E10E2">
        <w:rPr>
          <w:rFonts w:hint="cs"/>
          <w:rtl/>
        </w:rPr>
        <w:t>ّ</w:t>
      </w:r>
      <w:r w:rsidR="002E10E2">
        <w:rPr>
          <w:rtl/>
        </w:rPr>
        <w:t>ا</w:t>
      </w:r>
      <w:r w:rsidR="00E3253D" w:rsidRPr="005D642E">
        <w:rPr>
          <w:rtl/>
        </w:rPr>
        <w:t>مة الفيض : « وتحصين الفرج : ستره وصونه عن الحرام ، وعطف الإعفاف عليه تفسيريّ ، وعطف ستر العورة عليه من قبيل عطف العامّ على الخاصّ ؛ فإنّ العورة كلّ ما يستحى منه »</w:t>
      </w:r>
      <w:r w:rsidR="00E3253D">
        <w:rPr>
          <w:rtl/>
        </w:rPr>
        <w:t>.</w:t>
      </w:r>
      <w:r w:rsidR="002E10E2">
        <w:rPr>
          <w:rtl/>
        </w:rPr>
        <w:t xml:space="preserve"> وقال العل</w:t>
      </w:r>
      <w:r w:rsidR="002E10E2">
        <w:rPr>
          <w:rFonts w:hint="cs"/>
          <w:rtl/>
        </w:rPr>
        <w:t>ّ</w:t>
      </w:r>
      <w:r w:rsidR="002E10E2">
        <w:rPr>
          <w:rtl/>
        </w:rPr>
        <w:t>ا</w:t>
      </w:r>
      <w:r w:rsidR="00E3253D" w:rsidRPr="005D642E">
        <w:rPr>
          <w:rtl/>
        </w:rPr>
        <w:t xml:space="preserve">مة المجلسي : « والأولى أن يقال : عطف الستر من قبيل عطف الخاصّ على العامّ » ثمّ احتمل كون عورتي بتشديد الياء. راجع : </w:t>
      </w:r>
      <w:r w:rsidR="00E3253D" w:rsidRPr="002F4D34">
        <w:rPr>
          <w:rStyle w:val="libFootnoteBoldChar"/>
          <w:rtl/>
        </w:rPr>
        <w:t>الصحاح</w:t>
      </w:r>
      <w:r w:rsidR="00E3253D" w:rsidRPr="005D642E">
        <w:rPr>
          <w:rtl/>
        </w:rPr>
        <w:t xml:space="preserve"> ، ج 2 ، ص 759 ( عور ) ؛ </w:t>
      </w:r>
      <w:r w:rsidR="00E3253D" w:rsidRPr="002F4D34">
        <w:rPr>
          <w:rStyle w:val="libFootnoteBoldChar"/>
          <w:rtl/>
        </w:rPr>
        <w:t>لسان العرب</w:t>
      </w:r>
      <w:r w:rsidR="00E3253D" w:rsidRPr="005D642E">
        <w:rPr>
          <w:rtl/>
        </w:rPr>
        <w:t xml:space="preserve"> ، ج 13 ، ص 119 ( حصن ) ؛ </w:t>
      </w:r>
      <w:r w:rsidR="00E3253D" w:rsidRPr="002F4D34">
        <w:rPr>
          <w:rStyle w:val="libFootnoteBoldChar"/>
          <w:rtl/>
        </w:rPr>
        <w:t>القاموس المحيط</w:t>
      </w:r>
      <w:r w:rsidR="00E3253D" w:rsidRPr="005D642E">
        <w:rPr>
          <w:rtl/>
        </w:rPr>
        <w:t xml:space="preserve"> ، ج 2 ، ص 1116 ( عفف ) ؛ </w:t>
      </w:r>
      <w:r w:rsidR="00E3253D" w:rsidRPr="002F4D34">
        <w:rPr>
          <w:rStyle w:val="libFootnoteBoldChar"/>
          <w:rtl/>
        </w:rPr>
        <w:t>الوافي</w:t>
      </w:r>
      <w:r w:rsidR="00E3253D" w:rsidRPr="005D642E">
        <w:rPr>
          <w:rtl/>
        </w:rPr>
        <w:t xml:space="preserve"> ، ج 6 ، ص 336 ؛ </w:t>
      </w:r>
      <w:r w:rsidR="00E3253D" w:rsidRPr="002F4D34">
        <w:rPr>
          <w:rStyle w:val="libFootnoteBoldChar"/>
          <w:rtl/>
        </w:rPr>
        <w:t>مرآة العقول</w:t>
      </w:r>
      <w:r w:rsidR="00E3253D" w:rsidRPr="005D642E">
        <w:rPr>
          <w:rtl/>
        </w:rPr>
        <w:t xml:space="preserve"> ، ج 13 ، ص 193.</w:t>
      </w:r>
    </w:p>
    <w:p w:rsidR="00E3253D" w:rsidRDefault="0042621E" w:rsidP="00E3253D">
      <w:pPr>
        <w:pStyle w:val="libFootnote0"/>
        <w:rPr>
          <w:rtl/>
        </w:rPr>
      </w:pPr>
      <w:r w:rsidRPr="0042621E">
        <w:rPr>
          <w:rStyle w:val="libFootnote0Char"/>
          <w:rtl/>
        </w:rPr>
        <w:t>(7).</w:t>
      </w:r>
      <w:r w:rsidR="00E3253D" w:rsidRPr="005D642E">
        <w:rPr>
          <w:rtl/>
        </w:rPr>
        <w:t xml:space="preserve"> « استنشق الماء » ، أي أبلغه خياشيمه. وقيل : استنشاق الماء : جعله في الأنف وجذبه بالنفس ؛ لينزل ما في‌</w:t>
      </w:r>
      <w:r w:rsidR="002E10E2">
        <w:rPr>
          <w:rFonts w:hint="cs"/>
          <w:rtl/>
        </w:rPr>
        <w:t xml:space="preserve"> </w:t>
      </w:r>
      <w:r w:rsidR="00E3253D" w:rsidRPr="005D642E">
        <w:rPr>
          <w:rtl/>
        </w:rPr>
        <w:t xml:space="preserve">الأنف ، فكأنّ الماء مجعول للاشتمام مجاز ، وهو من استنشاق الريح ، إذا شممتها مع قوّة. راجع : </w:t>
      </w:r>
      <w:r w:rsidR="00E3253D" w:rsidRPr="002F4D34">
        <w:rPr>
          <w:rStyle w:val="libFootnoteBoldChar"/>
          <w:rtl/>
        </w:rPr>
        <w:t>النهاية</w:t>
      </w:r>
      <w:r w:rsidR="00E3253D" w:rsidRPr="005D642E">
        <w:rPr>
          <w:rtl/>
        </w:rPr>
        <w:t xml:space="preserve"> ، ج 5 ، ص 59 ؛ </w:t>
      </w:r>
      <w:r w:rsidR="00E3253D" w:rsidRPr="002F4D34">
        <w:rPr>
          <w:rStyle w:val="libFootnoteBoldChar"/>
          <w:rtl/>
        </w:rPr>
        <w:t>المصباح المنير</w:t>
      </w:r>
      <w:r w:rsidR="00E3253D" w:rsidRPr="005D642E">
        <w:rPr>
          <w:rtl/>
        </w:rPr>
        <w:t xml:space="preserve"> ، ص 606 ( نشق ).</w:t>
      </w:r>
    </w:p>
    <w:p w:rsidR="00E3253D" w:rsidRPr="005D642E" w:rsidRDefault="00E3253D" w:rsidP="00E3253D">
      <w:pPr>
        <w:pStyle w:val="libFootnote0"/>
        <w:rPr>
          <w:rtl/>
          <w:lang w:bidi="fa-IR"/>
        </w:rPr>
      </w:pPr>
      <w:r w:rsidRPr="005D642E">
        <w:rPr>
          <w:rtl/>
        </w:rPr>
        <w:t xml:space="preserve">وقال في </w:t>
      </w:r>
      <w:r w:rsidRPr="002F4D34">
        <w:rPr>
          <w:rStyle w:val="libFootnoteBoldChar"/>
          <w:rtl/>
        </w:rPr>
        <w:t>مرآة العقول</w:t>
      </w:r>
      <w:r w:rsidRPr="005D642E">
        <w:rPr>
          <w:rtl/>
        </w:rPr>
        <w:t xml:space="preserve"> ، ج 13 ، ص 193 : « قوله </w:t>
      </w:r>
      <w:r w:rsidRPr="002E10E2">
        <w:rPr>
          <w:rStyle w:val="libFootnoteAlaemChar"/>
          <w:rtl/>
        </w:rPr>
        <w:t>عليه‌السلام</w:t>
      </w:r>
      <w:r w:rsidRPr="005D642E">
        <w:rPr>
          <w:rtl/>
        </w:rPr>
        <w:t xml:space="preserve"> : ثمّ استنشق ، أقول : الرواية في سائر الكتب بتقديم المضمضة على الاستنشاق كما هو المشهور فيهما ، وفي الكتاب بالعكس ، ولعلّه من النسّاخ والمشهور استحباب تقديم المضمضة »</w:t>
      </w:r>
      <w:r>
        <w:rPr>
          <w:rtl/>
        </w:rPr>
        <w:t>.</w:t>
      </w:r>
      <w:r w:rsidRPr="005D642E">
        <w:rPr>
          <w:rtl/>
        </w:rPr>
        <w:t xml:space="preserve"> ولايخفي أنّ الشيخ </w:t>
      </w:r>
      <w:r w:rsidRPr="002E10E2">
        <w:rPr>
          <w:rStyle w:val="libFootnoteAlaemChar"/>
          <w:rtl/>
        </w:rPr>
        <w:t>رحمه‌الله</w:t>
      </w:r>
      <w:r w:rsidRPr="005D642E">
        <w:rPr>
          <w:rtl/>
        </w:rPr>
        <w:t xml:space="preserve"> روى هذا الحديث في </w:t>
      </w:r>
      <w:r w:rsidRPr="002F4D34">
        <w:rPr>
          <w:rStyle w:val="libFootnoteBoldChar"/>
          <w:rtl/>
        </w:rPr>
        <w:t>التهذيب</w:t>
      </w:r>
      <w:r w:rsidRPr="005D642E">
        <w:rPr>
          <w:rtl/>
        </w:rPr>
        <w:t xml:space="preserve"> عن الكليني ، وفيه أيضاً قدّم المضمضة على الاستنشاق.</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وَطِيبَهَا وَرَيْحَانَهَا.</w:t>
      </w:r>
    </w:p>
    <w:p w:rsidR="00E3253D" w:rsidRPr="005D642E" w:rsidRDefault="00E3253D" w:rsidP="00E3253D">
      <w:pPr>
        <w:pStyle w:val="libNormal"/>
        <w:rPr>
          <w:rtl/>
          <w:lang w:bidi="fa-IR"/>
        </w:rPr>
      </w:pPr>
      <w:r w:rsidRPr="005D642E">
        <w:rPr>
          <w:rtl/>
          <w:lang w:bidi="fa-IR"/>
        </w:rPr>
        <w:t xml:space="preserve">ثُمَّ تَمَضْمَضَ </w:t>
      </w:r>
      <w:r w:rsidRPr="007C12DB">
        <w:rPr>
          <w:rStyle w:val="libFootnotenumChar"/>
          <w:rtl/>
        </w:rPr>
        <w:t>(1)</w:t>
      </w:r>
      <w:r w:rsidRPr="005D642E">
        <w:rPr>
          <w:rtl/>
          <w:lang w:bidi="fa-IR"/>
        </w:rPr>
        <w:t xml:space="preserve"> ، فَقَالَ : اللهُمَّ أَنْطِقْ لِسَانِي بِذِكْرِكَ </w:t>
      </w:r>
      <w:r w:rsidRPr="007C12DB">
        <w:rPr>
          <w:rStyle w:val="libFootnotenumChar"/>
          <w:rtl/>
        </w:rPr>
        <w:t>(2)</w:t>
      </w:r>
      <w:r w:rsidRPr="005D642E">
        <w:rPr>
          <w:rtl/>
          <w:lang w:bidi="fa-IR"/>
        </w:rPr>
        <w:t xml:space="preserve"> ، وَاجْعَلْنِي مِمَّنْ تَرْضى عَنْهُ.</w:t>
      </w:r>
    </w:p>
    <w:p w:rsidR="00E3253D" w:rsidRPr="005D642E" w:rsidRDefault="00E3253D" w:rsidP="00E3253D">
      <w:pPr>
        <w:pStyle w:val="libNormal"/>
        <w:rPr>
          <w:rtl/>
          <w:lang w:bidi="fa-IR"/>
        </w:rPr>
      </w:pPr>
      <w:r w:rsidRPr="005D642E">
        <w:rPr>
          <w:rtl/>
          <w:lang w:bidi="fa-IR"/>
        </w:rPr>
        <w:t xml:space="preserve">ثُمَّ غَسَلَ </w:t>
      </w:r>
      <w:r w:rsidRPr="007C12DB">
        <w:rPr>
          <w:rStyle w:val="libFootnotenumChar"/>
          <w:rtl/>
        </w:rPr>
        <w:t>(3)</w:t>
      </w:r>
      <w:r w:rsidRPr="005D642E">
        <w:rPr>
          <w:rtl/>
          <w:lang w:bidi="fa-IR"/>
        </w:rPr>
        <w:t xml:space="preserve"> وَجْهَهُ ، فَقَالَ : الل</w:t>
      </w:r>
      <w:r w:rsidR="002E10E2">
        <w:rPr>
          <w:rFonts w:hint="cs"/>
          <w:rtl/>
          <w:lang w:bidi="fa-IR"/>
        </w:rPr>
        <w:t>َّ</w:t>
      </w:r>
      <w:r w:rsidRPr="005D642E">
        <w:rPr>
          <w:rtl/>
          <w:lang w:bidi="fa-IR"/>
        </w:rPr>
        <w:t xml:space="preserve">هُمَّ بَيِّضْ وَجْهِي يَوْمَ تَسْوَدُّ فِيهِ </w:t>
      </w:r>
      <w:r w:rsidRPr="007C12DB">
        <w:rPr>
          <w:rStyle w:val="libFootnotenumChar"/>
          <w:rtl/>
        </w:rPr>
        <w:t>(4)</w:t>
      </w:r>
      <w:r w:rsidRPr="005D642E">
        <w:rPr>
          <w:rtl/>
          <w:lang w:bidi="fa-IR"/>
        </w:rPr>
        <w:t xml:space="preserve"> الْوُجُوهُ </w:t>
      </w:r>
      <w:r w:rsidRPr="007C12DB">
        <w:rPr>
          <w:rStyle w:val="libFootnotenumChar"/>
          <w:rtl/>
        </w:rPr>
        <w:t>(5)</w:t>
      </w:r>
      <w:r w:rsidRPr="005D642E">
        <w:rPr>
          <w:rtl/>
          <w:lang w:bidi="fa-IR"/>
        </w:rPr>
        <w:t xml:space="preserve"> وَلَاتُسَوِّدْ ، وَجْهِي يَوْمَ تَبْيَضُّ </w:t>
      </w:r>
      <w:r w:rsidRPr="007C12DB">
        <w:rPr>
          <w:rStyle w:val="libFootnotenumChar"/>
          <w:rtl/>
        </w:rPr>
        <w:t>(6)</w:t>
      </w:r>
      <w:r w:rsidRPr="005D642E">
        <w:rPr>
          <w:rtl/>
          <w:lang w:bidi="fa-IR"/>
        </w:rPr>
        <w:t xml:space="preserve"> فِيهِ الْوُجُوهُ.</w:t>
      </w:r>
    </w:p>
    <w:p w:rsidR="00E3253D" w:rsidRPr="005D642E" w:rsidRDefault="00E3253D" w:rsidP="00E3253D">
      <w:pPr>
        <w:pStyle w:val="libNormal"/>
        <w:rPr>
          <w:rtl/>
          <w:lang w:bidi="fa-IR"/>
        </w:rPr>
      </w:pPr>
      <w:r w:rsidRPr="005D642E">
        <w:rPr>
          <w:rtl/>
          <w:lang w:bidi="fa-IR"/>
        </w:rPr>
        <w:t>ثُمَّ غَسَلَ يَمِينَهُ ، فَقَالَ : الل</w:t>
      </w:r>
      <w:r w:rsidR="002E10E2">
        <w:rPr>
          <w:rFonts w:hint="cs"/>
          <w:rtl/>
          <w:lang w:bidi="fa-IR"/>
        </w:rPr>
        <w:t>َّ</w:t>
      </w:r>
      <w:r w:rsidRPr="005D642E">
        <w:rPr>
          <w:rtl/>
          <w:lang w:bidi="fa-IR"/>
        </w:rPr>
        <w:t xml:space="preserve">هُمَّ أَعْطِنِي كِتَابِي بِيَمِينِي ، وَالْخُلْدَ </w:t>
      </w:r>
      <w:r w:rsidRPr="007C12DB">
        <w:rPr>
          <w:rStyle w:val="libFootnotenumChar"/>
          <w:rtl/>
        </w:rPr>
        <w:t>(7)</w:t>
      </w:r>
      <w:r w:rsidRPr="005D642E">
        <w:rPr>
          <w:rtl/>
          <w:lang w:bidi="fa-IR"/>
        </w:rPr>
        <w:t xml:space="preserve"> بِيَسَارِي.</w:t>
      </w:r>
    </w:p>
    <w:p w:rsidR="00E3253D" w:rsidRPr="005D642E" w:rsidRDefault="00E3253D" w:rsidP="00E3253D">
      <w:pPr>
        <w:pStyle w:val="libNormal"/>
        <w:rPr>
          <w:rtl/>
          <w:lang w:bidi="fa-IR"/>
        </w:rPr>
      </w:pPr>
      <w:r w:rsidRPr="005D642E">
        <w:rPr>
          <w:rtl/>
          <w:lang w:bidi="fa-IR"/>
        </w:rPr>
        <w:t>ثُمَّ غَسَلَ شِمَالَهُ ، فَقَالَ : الل</w:t>
      </w:r>
      <w:r w:rsidR="002E10E2">
        <w:rPr>
          <w:rFonts w:hint="cs"/>
          <w:rtl/>
          <w:lang w:bidi="fa-IR"/>
        </w:rPr>
        <w:t>َّ</w:t>
      </w:r>
      <w:r w:rsidRPr="005D642E">
        <w:rPr>
          <w:rtl/>
          <w:lang w:bidi="fa-IR"/>
        </w:rPr>
        <w:t xml:space="preserve">هُمَّ لَاتُعْطِنِي كِتَابِي بِشِمَالِي ، وَلَاتَجْعَلْهَا مَغْلُولَةً إِلى عُنُقِي ، وَأَعُوذُ بِكَ مِنْ مُقَطَّعَاتِ </w:t>
      </w:r>
      <w:r w:rsidRPr="007C12DB">
        <w:rPr>
          <w:rStyle w:val="libFootnotenumChar"/>
          <w:rtl/>
        </w:rPr>
        <w:t>(8)</w:t>
      </w:r>
      <w:r w:rsidRPr="005D642E">
        <w:rPr>
          <w:rtl/>
          <w:lang w:bidi="fa-IR"/>
        </w:rPr>
        <w:t xml:space="preserve"> النِّيرَانِ.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1D60CF">
      <w:pPr>
        <w:pStyle w:val="libFootnote0"/>
        <w:rPr>
          <w:rtl/>
          <w:lang w:bidi="fa-IR"/>
        </w:rPr>
      </w:pPr>
      <w:r w:rsidRPr="0042621E">
        <w:rPr>
          <w:rStyle w:val="libFootnote0Char"/>
          <w:rtl/>
        </w:rPr>
        <w:t>(1).</w:t>
      </w:r>
      <w:r w:rsidR="00E3253D">
        <w:rPr>
          <w:rtl/>
        </w:rPr>
        <w:t xml:space="preserve"> </w:t>
      </w:r>
      <w:r w:rsidR="00E3253D" w:rsidRPr="005D642E">
        <w:rPr>
          <w:rtl/>
        </w:rPr>
        <w:t xml:space="preserve">« تمضمض » ، أي فعل المضمضة ، وهو تحريك الماء بالإدارة في الفم. راجع : </w:t>
      </w:r>
      <w:r w:rsidR="00E3253D" w:rsidRPr="002F4D34">
        <w:rPr>
          <w:rStyle w:val="libFootnoteBoldChar"/>
          <w:rtl/>
        </w:rPr>
        <w:t>الصحاح</w:t>
      </w:r>
      <w:r w:rsidR="00E3253D" w:rsidRPr="005D642E">
        <w:rPr>
          <w:rtl/>
        </w:rPr>
        <w:t xml:space="preserve"> ، ج 3 ، ص 1106 ؛ </w:t>
      </w:r>
      <w:r w:rsidR="00E3253D" w:rsidRPr="002F4D34">
        <w:rPr>
          <w:rStyle w:val="libFootnoteBoldChar"/>
          <w:rtl/>
        </w:rPr>
        <w:t>المصباح المنير</w:t>
      </w:r>
      <w:r w:rsidR="00E3253D" w:rsidRPr="005D642E">
        <w:rPr>
          <w:rtl/>
        </w:rPr>
        <w:t xml:space="preserve"> ، ص 575 ( مضمض )</w:t>
      </w:r>
      <w:r w:rsidR="00E3253D">
        <w:rPr>
          <w:rtl/>
        </w:rPr>
        <w:t>.</w:t>
      </w:r>
      <w:r w:rsidR="001D60CF">
        <w:rPr>
          <w:rFonts w:hint="cs"/>
          <w:rtl/>
        </w:rPr>
        <w:t xml:space="preserve">                  </w:t>
      </w:r>
      <w:r w:rsidRPr="0042621E">
        <w:rPr>
          <w:rStyle w:val="libFootnote0Char"/>
          <w:rtl/>
        </w:rPr>
        <w:t>(2).</w:t>
      </w:r>
      <w:r w:rsidR="00E3253D" w:rsidRPr="005D642E">
        <w:rPr>
          <w:rtl/>
        </w:rPr>
        <w:t xml:space="preserve"> في « بف » : + « وشكرك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 « غسّل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كذا في « بث ، بخ » وحاشية « بح ، بف ، جن » والمطبوع. وفي « ظ ، غ ، ى ، بح ، بس ، بف ، جح ، جس ، جن » :</w:t>
      </w:r>
      <w:r w:rsidR="00E3253D">
        <w:rPr>
          <w:rtl/>
        </w:rPr>
        <w:t xml:space="preserve"> </w:t>
      </w:r>
      <w:r w:rsidR="007642BC">
        <w:rPr>
          <w:rtl/>
        </w:rPr>
        <w:t>-</w:t>
      </w:r>
      <w:r w:rsidR="00E3253D">
        <w:rPr>
          <w:rtl/>
        </w:rPr>
        <w:t xml:space="preserve"> </w:t>
      </w:r>
      <w:r w:rsidR="00E3253D" w:rsidRPr="005D642E">
        <w:rPr>
          <w:rtl/>
        </w:rPr>
        <w:t>« فيه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كذا في « بث » </w:t>
      </w:r>
      <w:r w:rsidR="00B60612" w:rsidRPr="00B60612">
        <w:rPr>
          <w:rStyle w:val="libFootnoteBoldChar"/>
          <w:rtl/>
        </w:rPr>
        <w:t>والتهذيب</w:t>
      </w:r>
      <w:r w:rsidR="00E3253D" w:rsidRPr="005D642E">
        <w:rPr>
          <w:rtl/>
        </w:rPr>
        <w:t xml:space="preserve"> والمطبوع. وفي أكثر النسخ : « وجوه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 يمكن أن يقرأ قوله </w:t>
      </w:r>
      <w:r w:rsidR="00E3253D" w:rsidRPr="00E40388">
        <w:rPr>
          <w:rStyle w:val="libFootnoteAlaemChar"/>
          <w:rtl/>
        </w:rPr>
        <w:t>عليه‌السلام</w:t>
      </w:r>
      <w:r w:rsidR="00E3253D" w:rsidRPr="005D642E">
        <w:rPr>
          <w:rtl/>
        </w:rPr>
        <w:t xml:space="preserve"> : تبيضّ وتسودّ ، على المضارع الغائب من باب الإفعال ، فالوجوه مرفوعة فيهما بالفاعليّة ؛ وأن يقرأ بصيغة المخاطب من باب التفعيل مخاطباً إليه تعالى ، فالوجوه منصوبة فيهما على المفعوليّة ، كما ذكره الشهيد الثاني رفع الله درجته ، والأوّل هو المضبوط في كتب الدعاء المسم</w:t>
      </w:r>
      <w:r w:rsidR="00E40388">
        <w:rPr>
          <w:rtl/>
        </w:rPr>
        <w:t>وع عن المشايخ الأجل</w:t>
      </w:r>
      <w:r w:rsidR="00E40388">
        <w:rPr>
          <w:rFonts w:hint="cs"/>
          <w:rtl/>
        </w:rPr>
        <w:t>ّ</w:t>
      </w:r>
      <w:r w:rsidR="00E40388">
        <w:rPr>
          <w:rtl/>
        </w:rPr>
        <w:t>ا</w:t>
      </w:r>
      <w:r w:rsidR="00E3253D" w:rsidRPr="005D642E">
        <w:rPr>
          <w:rtl/>
        </w:rPr>
        <w:t>ء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قال في </w:t>
      </w:r>
      <w:r w:rsidR="00E3253D" w:rsidRPr="002F4D34">
        <w:rPr>
          <w:rStyle w:val="libFootnoteBoldChar"/>
          <w:rtl/>
        </w:rPr>
        <w:t>الوافي</w:t>
      </w:r>
      <w:r w:rsidR="00E3253D" w:rsidRPr="005D642E">
        <w:rPr>
          <w:rtl/>
        </w:rPr>
        <w:t xml:space="preserve"> : « الخلد إمّا المراد به الخلود في الجنّة وطلبه باليسار كناية عن حصوله بسهولة من غير تعب ومشقّة ؛ فإنّ ما يسهل فعله يقال : فعلته بيساري. وإمّا المراد به براءة الخلد على حذف المضاف. وإمّا المراد به السوار ، وتخصيصه باليسار ؛ لأنّ البدن شمال بالنسبة إلى الروح »</w:t>
      </w:r>
      <w:r w:rsidR="00E3253D">
        <w:rPr>
          <w:rtl/>
        </w:rPr>
        <w:t>.</w:t>
      </w:r>
      <w:r w:rsidR="00E3253D" w:rsidRPr="005D642E">
        <w:rPr>
          <w:rtl/>
        </w:rPr>
        <w:t xml:space="preserve"> وثاني الوجوه </w:t>
      </w:r>
      <w:r w:rsidR="00116F75">
        <w:rPr>
          <w:rtl/>
        </w:rPr>
        <w:t>هو الأظهر عند العل</w:t>
      </w:r>
      <w:r w:rsidR="00116F75">
        <w:rPr>
          <w:rFonts w:hint="cs"/>
          <w:rtl/>
        </w:rPr>
        <w:t>ّ</w:t>
      </w:r>
      <w:r w:rsidR="00116F75">
        <w:rPr>
          <w:rtl/>
        </w:rPr>
        <w:t>ا</w:t>
      </w:r>
      <w:r w:rsidR="00E3253D" w:rsidRPr="005D642E">
        <w:rPr>
          <w:rtl/>
        </w:rPr>
        <w:t xml:space="preserve">مة المجلسي ، وذكر غيرها أيضاً. راجع : </w:t>
      </w:r>
      <w:r w:rsidR="00E3253D" w:rsidRPr="002F4D34">
        <w:rPr>
          <w:rStyle w:val="libFootnoteBoldChar"/>
          <w:rtl/>
        </w:rPr>
        <w:t>مرآة العقول</w:t>
      </w:r>
      <w:r w:rsidR="00E3253D" w:rsidRPr="005D642E">
        <w:rPr>
          <w:rtl/>
        </w:rPr>
        <w:t xml:space="preserve"> ، ج 13 ، ص 195</w:t>
      </w:r>
      <w:r w:rsidR="00E3253D">
        <w:rPr>
          <w:rtl/>
        </w:rPr>
        <w:t xml:space="preserve"> </w:t>
      </w:r>
      <w:r w:rsidR="007642BC">
        <w:rPr>
          <w:rtl/>
        </w:rPr>
        <w:t>-</w:t>
      </w:r>
      <w:r w:rsidR="00E3253D">
        <w:rPr>
          <w:rtl/>
        </w:rPr>
        <w:t xml:space="preserve"> </w:t>
      </w:r>
      <w:r w:rsidR="00E3253D" w:rsidRPr="005D642E">
        <w:rPr>
          <w:rtl/>
        </w:rPr>
        <w:t>196.</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المقطّعات » : هي الثياب التي تقطَّع ثمّ تخاط ، كالقميص والجباب والسراويلات. وقيل : هي ثياب قصار ؛ لأنّها قطّعت عن بلوغ ا</w:t>
      </w:r>
      <w:r w:rsidR="008E3F1A">
        <w:rPr>
          <w:rtl/>
        </w:rPr>
        <w:t>لتمام. وقيل غير ذلك. وقال العل</w:t>
      </w:r>
      <w:r w:rsidR="008E3F1A">
        <w:rPr>
          <w:rFonts w:hint="cs"/>
          <w:rtl/>
        </w:rPr>
        <w:t>ّ</w:t>
      </w:r>
      <w:r w:rsidR="008E3F1A">
        <w:rPr>
          <w:rtl/>
        </w:rPr>
        <w:t>ا</w:t>
      </w:r>
      <w:r w:rsidR="00E3253D" w:rsidRPr="005D642E">
        <w:rPr>
          <w:rtl/>
        </w:rPr>
        <w:t>مة المجلسي : « ولعلّ السرّ في كون ثياب النار المقطّعات أو التشبيه بها كونها أكثر اشتمالاً على البدن من غيرها ، فالعذاب بها أشدّ. وفي بعض نسخ الحديث والدعاء : مفظعات ، بالفا والظاء المعجمة : جمع مفظعة بكسر الظاء من فظع الأمر بالضمّ فظاعة فهو فظيع ، أي شديد شنيع ، وهو تصحيف ، والأوّل موافق للآية الكريمة »</w:t>
      </w:r>
      <w:r w:rsidR="00E3253D">
        <w:rPr>
          <w:rtl/>
        </w:rPr>
        <w:t>.</w:t>
      </w:r>
      <w:r w:rsidR="00E3253D" w:rsidRPr="005D642E">
        <w:rPr>
          <w:rtl/>
        </w:rPr>
        <w:t xml:space="preserve"> راجع : </w:t>
      </w:r>
      <w:r w:rsidR="00E3253D" w:rsidRPr="002F4D34">
        <w:rPr>
          <w:rStyle w:val="libFootnoteBoldChar"/>
          <w:rtl/>
        </w:rPr>
        <w:t>المغرب</w:t>
      </w:r>
      <w:r w:rsidR="00E3253D" w:rsidRPr="005D642E">
        <w:rPr>
          <w:rtl/>
        </w:rPr>
        <w:t xml:space="preserve"> ، ص 388 ؛ </w:t>
      </w:r>
      <w:r w:rsidR="00E3253D" w:rsidRPr="002F4D34">
        <w:rPr>
          <w:rStyle w:val="libFootnoteBoldChar"/>
          <w:rtl/>
        </w:rPr>
        <w:t>لسان العرب</w:t>
      </w:r>
      <w:r w:rsidR="00E3253D" w:rsidRPr="005D642E">
        <w:rPr>
          <w:rtl/>
        </w:rPr>
        <w:t xml:space="preserve"> ، ج 8 ، ص 282 ( قطع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ثُمَّ مَسَحَ رَأْسَهُ ، فَقَالَ : اللهُمَّ غَشِّنِي بِرَحْمَتِكَ وَبَرَكَاتِكَ وَعَفْوِكَ.</w:t>
      </w:r>
    </w:p>
    <w:p w:rsidR="00E3253D" w:rsidRPr="005D642E" w:rsidRDefault="00E3253D" w:rsidP="00E3253D">
      <w:pPr>
        <w:pStyle w:val="libNormal"/>
        <w:rPr>
          <w:rtl/>
          <w:lang w:bidi="fa-IR"/>
        </w:rPr>
      </w:pPr>
      <w:r w:rsidRPr="005D642E">
        <w:rPr>
          <w:rtl/>
          <w:lang w:bidi="fa-IR"/>
        </w:rPr>
        <w:t xml:space="preserve">ثُمَّ مَسَحَ عَلى </w:t>
      </w:r>
      <w:r w:rsidRPr="007C12DB">
        <w:rPr>
          <w:rStyle w:val="libFootnotenumChar"/>
          <w:rtl/>
        </w:rPr>
        <w:t>(1)</w:t>
      </w:r>
      <w:r w:rsidRPr="005D642E">
        <w:rPr>
          <w:rtl/>
          <w:lang w:bidi="fa-IR"/>
        </w:rPr>
        <w:t xml:space="preserve"> رِجْلَيْهِ ، فَقَالَ : اللهُمَّ ثَبِّتْ قَدَمَيَّ عَلَى الصِّرَاطِ </w:t>
      </w:r>
      <w:r w:rsidRPr="007C12DB">
        <w:rPr>
          <w:rStyle w:val="libFootnotenumChar"/>
          <w:rtl/>
        </w:rPr>
        <w:t>(2)</w:t>
      </w:r>
      <w:r w:rsidRPr="005D642E">
        <w:rPr>
          <w:rtl/>
          <w:lang w:bidi="fa-IR"/>
        </w:rPr>
        <w:t xml:space="preserve"> يَوْمَ تَزِلُّ فِيهِ الْأَقْدَامُ ، وَاجْعَلْ سَعْيِي فِيمَا يُرْضِيكَ عَنِّي.</w:t>
      </w:r>
    </w:p>
    <w:p w:rsidR="00E3253D" w:rsidRPr="005D642E" w:rsidRDefault="00E3253D" w:rsidP="00E3253D">
      <w:pPr>
        <w:pStyle w:val="libNormal"/>
        <w:rPr>
          <w:rtl/>
          <w:lang w:bidi="fa-IR"/>
        </w:rPr>
      </w:pPr>
      <w:r w:rsidRPr="005D642E">
        <w:rPr>
          <w:rtl/>
          <w:lang w:bidi="fa-IR"/>
        </w:rPr>
        <w:t xml:space="preserve">ثُمَّ الْتَفَتَ إِلى مُحَمَّدٍ ، فَقَالَ : يَا مُحَمَّدُ ، مَنْ تَوَضَّأَ بِمِثْلِ مَا تَوَضَّأْتُ ، وَقَالَ مِثْلَ مَا قُلْتُ ، خَلَقَ اللهُ لَهُ مِنْ كُلِّ قَطْرَةٍ مَلَكاً يُقَدِّسُهُ ، وَيُسَبِّحُهُ ، وَيُكَبِّرُهُ ، وَيُهَلِّلُهُ ، وَيَكْتُبُ لَهُ ثَوَابَ ذلِكَ </w:t>
      </w:r>
      <w:r w:rsidRPr="007C12DB">
        <w:rPr>
          <w:rStyle w:val="libFootnotenumChar"/>
          <w:rtl/>
        </w:rPr>
        <w:t>(3)</w:t>
      </w:r>
      <w:r w:rsidRPr="005D642E">
        <w:rPr>
          <w:rtl/>
          <w:lang w:bidi="fa-IR"/>
        </w:rPr>
        <w:t>»</w:t>
      </w:r>
      <w:r>
        <w:rPr>
          <w:rtl/>
          <w:lang w:bidi="fa-IR"/>
        </w:rPr>
        <w:t>.</w:t>
      </w:r>
      <w:r w:rsidRPr="005D642E">
        <w:rPr>
          <w:rtl/>
          <w:lang w:bidi="fa-IR"/>
        </w:rPr>
        <w:t xml:space="preserve"> </w:t>
      </w:r>
      <w:r w:rsidRPr="007C12DB">
        <w:rPr>
          <w:rStyle w:val="libFootnotenumChar"/>
          <w:rtl/>
        </w:rPr>
        <w:t>(4)</w:t>
      </w:r>
    </w:p>
    <w:p w:rsidR="00E3253D" w:rsidRPr="005D642E" w:rsidRDefault="00E3253D" w:rsidP="00E3253D">
      <w:pPr>
        <w:pStyle w:val="libNormal"/>
        <w:rPr>
          <w:rtl/>
          <w:lang w:bidi="fa-IR"/>
        </w:rPr>
      </w:pPr>
      <w:r w:rsidRPr="002E17D5">
        <w:rPr>
          <w:rtl/>
        </w:rPr>
        <w:t>4137</w:t>
      </w:r>
      <w:r w:rsidRPr="00246318">
        <w:rPr>
          <w:rStyle w:val="libBold2Char"/>
          <w:rtl/>
        </w:rPr>
        <w:t xml:space="preserve"> / 7.</w:t>
      </w:r>
      <w:r w:rsidRPr="005D642E">
        <w:rPr>
          <w:rtl/>
          <w:lang w:bidi="fa-IR"/>
        </w:rPr>
        <w:t xml:space="preserve"> عِدَّةٌ مِنْ أَصْحَابِنَا ، عَنْ أَحْمَدَ بْنِ مُحَمَّدٍ ، عَنِ ابْنِ مَحْبُوبٍ ، عَنِ ابْنِ رِئَابٍ ، عَنْ مُحَمَّدِ بْنِ قَيْسٍ ، قَالَ :</w:t>
      </w:r>
    </w:p>
    <w:p w:rsidR="00E3253D" w:rsidRPr="005D642E" w:rsidRDefault="00E3253D" w:rsidP="00E3253D">
      <w:pPr>
        <w:pStyle w:val="libNormal"/>
        <w:rPr>
          <w:rtl/>
          <w:lang w:bidi="fa-IR"/>
        </w:rPr>
      </w:pPr>
      <w:r w:rsidRPr="005D642E">
        <w:rPr>
          <w:rtl/>
          <w:lang w:bidi="fa-IR"/>
        </w:rPr>
        <w:t xml:space="preserve">سَمِعْتُ أَبَا جَعْفَرٍ </w:t>
      </w:r>
      <w:r w:rsidRPr="00AC51C5">
        <w:rPr>
          <w:rStyle w:val="libAlaemChar"/>
          <w:rtl/>
        </w:rPr>
        <w:t>عليه‌السلام</w:t>
      </w:r>
      <w:r w:rsidRPr="005D642E">
        <w:rPr>
          <w:rtl/>
          <w:lang w:bidi="fa-IR"/>
        </w:rPr>
        <w:t xml:space="preserve"> يَقُولُ</w:t>
      </w:r>
      <w:r>
        <w:rPr>
          <w:rtl/>
          <w:lang w:bidi="fa-IR"/>
        </w:rPr>
        <w:t xml:space="preserve"> </w:t>
      </w:r>
      <w:r w:rsidR="007642BC">
        <w:rPr>
          <w:rtl/>
          <w:lang w:bidi="fa-IR"/>
        </w:rPr>
        <w:t>-</w:t>
      </w:r>
      <w:r>
        <w:rPr>
          <w:rtl/>
          <w:lang w:bidi="fa-IR"/>
        </w:rPr>
        <w:t xml:space="preserve"> </w:t>
      </w:r>
      <w:r w:rsidRPr="005D642E">
        <w:rPr>
          <w:rtl/>
          <w:lang w:bidi="fa-IR"/>
        </w:rPr>
        <w:t>وَهُوَ يُحَدِّثُ النَّاسَ بِمَكَّةَ</w:t>
      </w:r>
      <w:r>
        <w:rPr>
          <w:rtl/>
          <w:lang w:bidi="fa-IR"/>
        </w:rPr>
        <w:t xml:space="preserve"> </w:t>
      </w:r>
      <w:r w:rsidR="007642BC">
        <w:rPr>
          <w:rtl/>
          <w:lang w:bidi="fa-IR"/>
        </w:rPr>
        <w:t>-</w:t>
      </w:r>
      <w:r>
        <w:rPr>
          <w:rtl/>
          <w:lang w:bidi="fa-IR"/>
        </w:rPr>
        <w:t xml:space="preserve"> </w:t>
      </w:r>
      <w:r w:rsidRPr="005D642E">
        <w:rPr>
          <w:rtl/>
          <w:lang w:bidi="fa-IR"/>
        </w:rPr>
        <w:t xml:space="preserve">: « صَلّى رَسُولُ اللهِ </w:t>
      </w:r>
      <w:r w:rsidR="0042621E" w:rsidRPr="0042621E">
        <w:rPr>
          <w:rStyle w:val="libAlaemChar"/>
          <w:rtl/>
        </w:rPr>
        <w:t>صلى‌الله‌عليه‌وآله</w:t>
      </w:r>
      <w:r w:rsidRPr="005D642E">
        <w:rPr>
          <w:rtl/>
          <w:lang w:bidi="fa-IR"/>
        </w:rPr>
        <w:t xml:space="preserve"> الْفَجْرَ ، ثُمَّ جَلَسَ مَعَ أَصْحَابِهِ حَتّى طَلَعَتِ الشَّمْسُ ، فَجَعَلَ يَقُومُ الرَّجُلُ بَعْدَ الرَّجُلِ </w:t>
      </w:r>
      <w:r w:rsidRPr="007C12DB">
        <w:rPr>
          <w:rStyle w:val="libFootnotenumChar"/>
          <w:rtl/>
        </w:rPr>
        <w:t>(5)</w:t>
      </w:r>
      <w:r w:rsidR="008E3F1A">
        <w:rPr>
          <w:rtl/>
          <w:lang w:bidi="fa-IR"/>
        </w:rPr>
        <w:t xml:space="preserve"> حَتّى لَمْ يَبْقَ مَعَهُ إِل</w:t>
      </w:r>
      <w:r w:rsidR="008E3F1A">
        <w:rPr>
          <w:rFonts w:hint="cs"/>
          <w:rtl/>
          <w:lang w:bidi="fa-IR"/>
        </w:rPr>
        <w:t>َّ</w:t>
      </w:r>
      <w:r w:rsidR="008E3F1A">
        <w:rPr>
          <w:rtl/>
          <w:lang w:bidi="fa-IR"/>
        </w:rPr>
        <w:t>ا</w:t>
      </w:r>
      <w:r w:rsidRPr="005D642E">
        <w:rPr>
          <w:rtl/>
          <w:lang w:bidi="fa-IR"/>
        </w:rPr>
        <w:t xml:space="preserve"> رَجُلَانِ : أَنْصَارِيٌّ ، وَثَقَفِيٌّ ، فَقَالَ لَهُمَا رَسُولُ اللهِ </w:t>
      </w:r>
      <w:r w:rsidR="0042621E" w:rsidRPr="0042621E">
        <w:rPr>
          <w:rStyle w:val="libAlaemChar"/>
          <w:rtl/>
        </w:rPr>
        <w:t>صلى‌الله‌عليه‌وآله</w:t>
      </w:r>
      <w:r w:rsidRPr="005D642E">
        <w:rPr>
          <w:rtl/>
          <w:lang w:bidi="fa-IR"/>
        </w:rPr>
        <w:t xml:space="preserve"> : قَدْ عَلِمْتُ أَنَّ لَكُمَا حَاجَةً تُرِيدَانِ </w:t>
      </w:r>
      <w:r w:rsidRPr="007C12DB">
        <w:rPr>
          <w:rStyle w:val="libFootnotenumChar"/>
          <w:rtl/>
        </w:rPr>
        <w:t>(6)</w:t>
      </w:r>
      <w:r w:rsidRPr="005D642E">
        <w:rPr>
          <w:rtl/>
          <w:lang w:bidi="fa-IR"/>
        </w:rPr>
        <w:t xml:space="preserve"> أَنْ تَسْأَلَا عَنْهَا ، فَإِنْ شِئْتُمَا أَخْبَرْتُكُمَا بِحَاجَتِكُمَا قَبْلَ أَنْ تَسْأَلَانِي </w:t>
      </w:r>
      <w:r w:rsidRPr="007C12DB">
        <w:rPr>
          <w:rStyle w:val="libFootnotenumChar"/>
          <w:rtl/>
        </w:rPr>
        <w:t>(7)</w:t>
      </w:r>
      <w:r w:rsidRPr="005D642E">
        <w:rPr>
          <w:rtl/>
          <w:lang w:bidi="fa-IR"/>
        </w:rPr>
        <w:t xml:space="preserve"> ، وَإِنْ شِئْتُمَا فَاسْأَلَا عَنْهَا</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w:t>
      </w:r>
      <w:r w:rsidR="00E3253D">
        <w:rPr>
          <w:rtl/>
        </w:rPr>
        <w:t xml:space="preserve"> </w:t>
      </w:r>
      <w:r w:rsidR="007642BC">
        <w:rPr>
          <w:rtl/>
        </w:rPr>
        <w:t>-</w:t>
      </w:r>
      <w:r w:rsidR="00E3253D">
        <w:rPr>
          <w:rtl/>
        </w:rPr>
        <w:t xml:space="preserve"> </w:t>
      </w:r>
      <w:r w:rsidR="00E3253D" w:rsidRPr="005D642E">
        <w:rPr>
          <w:rtl/>
        </w:rPr>
        <w:t>« على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ى ، بس ، بف ، جح ، جس ، جن » :</w:t>
      </w:r>
      <w:r w:rsidR="00E3253D">
        <w:rPr>
          <w:rtl/>
        </w:rPr>
        <w:t xml:space="preserve"> </w:t>
      </w:r>
      <w:r w:rsidR="007642BC">
        <w:rPr>
          <w:rtl/>
        </w:rPr>
        <w:t>-</w:t>
      </w:r>
      <w:r w:rsidR="00E3253D">
        <w:rPr>
          <w:rtl/>
        </w:rPr>
        <w:t xml:space="preserve"> </w:t>
      </w:r>
      <w:r w:rsidR="00E3253D" w:rsidRPr="005D642E">
        <w:rPr>
          <w:rtl/>
        </w:rPr>
        <w:t>« على الصراط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مرآة العقول : + « إلى يوم القيامة »</w:t>
      </w:r>
      <w:r w:rsidR="00E3253D">
        <w:rPr>
          <w:rtl/>
        </w:rPr>
        <w:t>.</w:t>
      </w:r>
    </w:p>
    <w:p w:rsidR="00E3253D" w:rsidRPr="005D642E" w:rsidRDefault="0042621E" w:rsidP="003E4734">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53 ، ح 153 ، بسنده عن الكليني ، مع اختلاف يسير في الألفاظ. </w:t>
      </w:r>
      <w:r w:rsidR="00E3253D" w:rsidRPr="002F4D34">
        <w:rPr>
          <w:rStyle w:val="libFootnoteBoldChar"/>
          <w:rtl/>
        </w:rPr>
        <w:t>وفيه</w:t>
      </w:r>
      <w:r w:rsidR="00E3253D" w:rsidRPr="005D642E">
        <w:rPr>
          <w:rtl/>
        </w:rPr>
        <w:t xml:space="preserve"> ، ح 152 ؛ </w:t>
      </w:r>
      <w:r w:rsidR="000D749A" w:rsidRPr="000D749A">
        <w:rPr>
          <w:rStyle w:val="libFootnoteBoldChar"/>
          <w:rtl/>
        </w:rPr>
        <w:t>والمحاسن</w:t>
      </w:r>
      <w:r w:rsidR="00E3253D" w:rsidRPr="005D642E">
        <w:rPr>
          <w:rtl/>
        </w:rPr>
        <w:t xml:space="preserve"> ، ص 45 ، كتاب ثواب الأعمال ، ح 61 ؛ و</w:t>
      </w:r>
      <w:r w:rsidR="000D749A" w:rsidRPr="000D749A">
        <w:rPr>
          <w:rStyle w:val="libFootnoteBoldChar"/>
          <w:rtl/>
        </w:rPr>
        <w:t>الأمالي للصدوق</w:t>
      </w:r>
      <w:r w:rsidR="00E3253D" w:rsidRPr="005D642E">
        <w:rPr>
          <w:rtl/>
        </w:rPr>
        <w:t xml:space="preserve"> ، ص 554 ، المجلس 82 ، ح 11 ، بسندهم عن عبدالرحمن بن كثير. </w:t>
      </w:r>
      <w:r w:rsidR="00E3253D" w:rsidRPr="002F4D34">
        <w:rPr>
          <w:rStyle w:val="libFootnoteBoldChar"/>
          <w:rtl/>
        </w:rPr>
        <w:t>الفقيه</w:t>
      </w:r>
      <w:r w:rsidR="00E3253D" w:rsidRPr="005D642E">
        <w:rPr>
          <w:rtl/>
        </w:rPr>
        <w:t xml:space="preserve"> ، ج 1 ، ص 41 ، ح 84 ، مرسلاً ؛ </w:t>
      </w:r>
      <w:r w:rsidR="00E3253D" w:rsidRPr="002F4D34">
        <w:rPr>
          <w:rStyle w:val="libFootnoteBoldChar"/>
          <w:rtl/>
        </w:rPr>
        <w:t>فقه الرضا</w:t>
      </w:r>
      <w:r w:rsidR="00E3253D" w:rsidRPr="005D642E">
        <w:rPr>
          <w:rtl/>
        </w:rPr>
        <w:t xml:space="preserve"> </w:t>
      </w:r>
      <w:r w:rsidR="00E3253D" w:rsidRPr="008E3F1A">
        <w:rPr>
          <w:rStyle w:val="libFootnoteAlaemChar"/>
          <w:rtl/>
        </w:rPr>
        <w:t>عليه‌السلام</w:t>
      </w:r>
      <w:r w:rsidR="00E3253D" w:rsidRPr="005D642E">
        <w:rPr>
          <w:rtl/>
        </w:rPr>
        <w:t xml:space="preserve"> ، ص 69 ؛ </w:t>
      </w:r>
      <w:r w:rsidR="00E3253D" w:rsidRPr="002F4D34">
        <w:rPr>
          <w:rStyle w:val="libFootnoteBoldChar"/>
          <w:rtl/>
        </w:rPr>
        <w:t>المقنعة</w:t>
      </w:r>
      <w:r w:rsidR="00E3253D" w:rsidRPr="005D642E">
        <w:rPr>
          <w:rtl/>
        </w:rPr>
        <w:t xml:space="preserve"> ، ص 43 ، من دون الإسناد إلى المعصوم </w:t>
      </w:r>
      <w:r w:rsidR="00E3253D" w:rsidRPr="008E3F1A">
        <w:rPr>
          <w:rStyle w:val="libFootnoteAlaemChar"/>
          <w:rtl/>
        </w:rPr>
        <w:t>عليه‌السلام</w:t>
      </w:r>
      <w:r w:rsidR="00E3253D" w:rsidRPr="005D642E">
        <w:rPr>
          <w:rtl/>
        </w:rPr>
        <w:t xml:space="preserve"> ، وفي كلّ المصادر مع اختلاف يسير</w:t>
      </w:r>
      <w:r w:rsidR="003E4734">
        <w:rPr>
          <w:rFonts w:hint="cs"/>
          <w:rtl/>
        </w:rPr>
        <w:t>.</w:t>
      </w:r>
      <w:r w:rsidR="00E3253D" w:rsidRPr="002F4D34">
        <w:rPr>
          <w:rStyle w:val="libFootnoteBoldChar"/>
          <w:rtl/>
        </w:rPr>
        <w:t>الوافي</w:t>
      </w:r>
      <w:r w:rsidR="00E3253D" w:rsidRPr="005D642E">
        <w:rPr>
          <w:rtl/>
        </w:rPr>
        <w:t xml:space="preserve"> ، ج 6 ، ص 334 ، ح 4410 ؛ </w:t>
      </w:r>
      <w:r w:rsidR="00E3253D" w:rsidRPr="002F4D34">
        <w:rPr>
          <w:rStyle w:val="libFootnoteBoldChar"/>
          <w:rtl/>
        </w:rPr>
        <w:t>الوسائل</w:t>
      </w:r>
      <w:r w:rsidR="00E3253D" w:rsidRPr="005D642E">
        <w:rPr>
          <w:rtl/>
        </w:rPr>
        <w:t xml:space="preserve"> ، ج 1 ، ص 402 ، ح 1046 ؛ </w:t>
      </w:r>
      <w:r w:rsidR="00E3253D" w:rsidRPr="002F4D34">
        <w:rPr>
          <w:rStyle w:val="libFootnoteBoldChar"/>
          <w:rtl/>
        </w:rPr>
        <w:t>البحار</w:t>
      </w:r>
      <w:r w:rsidR="00E3253D" w:rsidRPr="005D642E">
        <w:rPr>
          <w:rtl/>
        </w:rPr>
        <w:t xml:space="preserve"> ، ج 80 ، ص 321 ، ذيل ح 12.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بعد الرجل »</w:t>
      </w:r>
      <w:r w:rsidR="00E3253D">
        <w:rPr>
          <w:rtl/>
        </w:rPr>
        <w:t>.</w:t>
      </w:r>
    </w:p>
    <w:p w:rsidR="00E3253D" w:rsidRPr="005D642E" w:rsidRDefault="0042621E" w:rsidP="003D206D">
      <w:pPr>
        <w:pStyle w:val="libFootnote0"/>
        <w:rPr>
          <w:rtl/>
          <w:lang w:bidi="fa-IR"/>
        </w:rPr>
      </w:pPr>
      <w:r w:rsidRPr="0042621E">
        <w:rPr>
          <w:rStyle w:val="libFootnote0Char"/>
          <w:rtl/>
        </w:rPr>
        <w:t>(6).</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والبحار </w:t>
      </w:r>
      <w:r w:rsidR="009E68BB" w:rsidRPr="009E68BB">
        <w:rPr>
          <w:rStyle w:val="libFootnoteBoldChar"/>
          <w:rtl/>
        </w:rPr>
        <w:t>و</w:t>
      </w:r>
      <w:r w:rsidR="003D206D">
        <w:rPr>
          <w:rStyle w:val="libFootnoteBoldChar"/>
          <w:rFonts w:hint="cs"/>
          <w:rtl/>
        </w:rPr>
        <w:t>الفقيه</w:t>
      </w:r>
      <w:r w:rsidR="00E3253D" w:rsidRPr="005D642E">
        <w:rPr>
          <w:rtl/>
        </w:rPr>
        <w:t>. وفي « جن » والمطبوع : « وتريدان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 عنها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قَالَا : بَلْ تُخْبِرُنَا قَبْلَ أَنْ نَسْأَلَكَ عَنْهَا ؛ فَإِنَّ ذلِكَ أَجْلى </w:t>
      </w:r>
      <w:r w:rsidRPr="007C12DB">
        <w:rPr>
          <w:rStyle w:val="libFootnotenumChar"/>
          <w:rtl/>
        </w:rPr>
        <w:t>(1)</w:t>
      </w:r>
      <w:r w:rsidRPr="005D642E">
        <w:rPr>
          <w:rtl/>
          <w:lang w:bidi="fa-IR"/>
        </w:rPr>
        <w:t xml:space="preserve"> لِلْعَمى </w:t>
      </w:r>
      <w:r w:rsidRPr="007C12DB">
        <w:rPr>
          <w:rStyle w:val="libFootnotenumChar"/>
          <w:rtl/>
        </w:rPr>
        <w:t>(2)</w:t>
      </w:r>
      <w:r w:rsidRPr="005D642E">
        <w:rPr>
          <w:rtl/>
          <w:lang w:bidi="fa-IR"/>
        </w:rPr>
        <w:t xml:space="preserve"> ، وَأَبْعَدُ مِنَ الِارْتِيَابِ ، وَأَثْبَتُ لِلْإِيمَانِ.</w:t>
      </w:r>
    </w:p>
    <w:p w:rsidR="00E3253D" w:rsidRPr="005D642E" w:rsidRDefault="00E3253D" w:rsidP="00E3253D">
      <w:pPr>
        <w:pStyle w:val="libNormal"/>
        <w:rPr>
          <w:rtl/>
          <w:lang w:bidi="fa-IR"/>
        </w:rPr>
      </w:pPr>
      <w:r w:rsidRPr="005D642E">
        <w:rPr>
          <w:rtl/>
          <w:lang w:bidi="fa-IR"/>
        </w:rPr>
        <w:t xml:space="preserve">فَقَالَ رَسُولُ اللهِ </w:t>
      </w:r>
      <w:r w:rsidR="0042621E" w:rsidRPr="0042621E">
        <w:rPr>
          <w:rStyle w:val="libAlaemChar"/>
          <w:rtl/>
        </w:rPr>
        <w:t>صلى‌الله‌عليه‌وآله</w:t>
      </w:r>
      <w:r w:rsidRPr="005D642E">
        <w:rPr>
          <w:rtl/>
          <w:lang w:bidi="fa-IR"/>
        </w:rPr>
        <w:t xml:space="preserve"> : أَمَّا أَنْتَ يَا </w:t>
      </w:r>
      <w:r w:rsidRPr="007C12DB">
        <w:rPr>
          <w:rStyle w:val="libFootnotenumChar"/>
          <w:rtl/>
        </w:rPr>
        <w:t>(3)</w:t>
      </w:r>
      <w:r w:rsidRPr="005D642E">
        <w:rPr>
          <w:rtl/>
          <w:lang w:bidi="fa-IR"/>
        </w:rPr>
        <w:t xml:space="preserve"> أَخَا ثَقِيفٍ ، فَإِنَّكَ جِئْتَ أَنْ </w:t>
      </w:r>
      <w:r w:rsidRPr="007C12DB">
        <w:rPr>
          <w:rStyle w:val="libFootnotenumChar"/>
          <w:rtl/>
        </w:rPr>
        <w:t>(4)</w:t>
      </w:r>
      <w:r w:rsidRPr="005D642E">
        <w:rPr>
          <w:rtl/>
          <w:lang w:bidi="fa-IR"/>
        </w:rPr>
        <w:t xml:space="preserve"> تَسْأَلَنِي عَنْ وُضُوئِكَ وَصَلَاتِكَ </w:t>
      </w:r>
      <w:r w:rsidRPr="007C12DB">
        <w:rPr>
          <w:rStyle w:val="libFootnotenumChar"/>
          <w:rtl/>
        </w:rPr>
        <w:t>(5)</w:t>
      </w:r>
      <w:r w:rsidRPr="005D642E">
        <w:rPr>
          <w:rtl/>
          <w:lang w:bidi="fa-IR"/>
        </w:rPr>
        <w:t xml:space="preserve"> : مَا لَكَ فِي ذلِكَ مِنَ الْخَيْرِ</w:t>
      </w:r>
      <w:r>
        <w:rPr>
          <w:rtl/>
          <w:lang w:bidi="fa-IR"/>
        </w:rPr>
        <w:t>؟</w:t>
      </w:r>
      <w:r w:rsidRPr="005D642E">
        <w:rPr>
          <w:rtl/>
          <w:lang w:bidi="fa-IR"/>
        </w:rPr>
        <w:t xml:space="preserve"> أَمَّا وُضُوؤُكَ ، فَإِنَّكَ إِذَا وَضَعْتَ يَدَكَ فِي إِنَائِكَ ، ثُمَّ‌</w:t>
      </w:r>
      <w:r>
        <w:rPr>
          <w:rFonts w:hint="cs"/>
          <w:rtl/>
          <w:lang w:bidi="fa-IR"/>
        </w:rPr>
        <w:t xml:space="preserve"> </w:t>
      </w:r>
      <w:r w:rsidRPr="005D642E">
        <w:rPr>
          <w:rtl/>
          <w:lang w:bidi="fa-IR"/>
        </w:rPr>
        <w:t xml:space="preserve">قُلْتَ : بِسْمِ اللهِ ، تَنَاثَرَتْ مِنْهَا </w:t>
      </w:r>
      <w:r w:rsidRPr="007C12DB">
        <w:rPr>
          <w:rStyle w:val="libFootnotenumChar"/>
          <w:rtl/>
        </w:rPr>
        <w:t>(6)</w:t>
      </w:r>
      <w:r w:rsidRPr="005D642E">
        <w:rPr>
          <w:rtl/>
          <w:lang w:bidi="fa-IR"/>
        </w:rPr>
        <w:t xml:space="preserve"> مَا اكْتَسَبَتْ </w:t>
      </w:r>
      <w:r w:rsidRPr="007C12DB">
        <w:rPr>
          <w:rStyle w:val="libFootnotenumChar"/>
          <w:rtl/>
        </w:rPr>
        <w:t>(7)</w:t>
      </w:r>
      <w:r w:rsidRPr="005D642E">
        <w:rPr>
          <w:rtl/>
          <w:lang w:bidi="fa-IR"/>
        </w:rPr>
        <w:t xml:space="preserve"> مِنَ الذُّنُوبِ ؛ فَإِذَا غَسَلْتَ وَجْهَكَ ، تَنَاثَرَتِ الذُّنُوبُ </w:t>
      </w:r>
      <w:r w:rsidRPr="007C12DB">
        <w:rPr>
          <w:rStyle w:val="libFootnotenumChar"/>
          <w:rtl/>
        </w:rPr>
        <w:t>(8)</w:t>
      </w:r>
      <w:r w:rsidRPr="005D642E">
        <w:rPr>
          <w:rtl/>
          <w:lang w:bidi="fa-IR"/>
        </w:rPr>
        <w:t xml:space="preserve"> الَّتِي اكْتَسَبَتْهَا عَيْنَاكَ بِنَظَرِهِمَا </w:t>
      </w:r>
      <w:r w:rsidRPr="007C12DB">
        <w:rPr>
          <w:rStyle w:val="libFootnotenumChar"/>
          <w:rtl/>
        </w:rPr>
        <w:t>(9)</w:t>
      </w:r>
      <w:r w:rsidRPr="005D642E">
        <w:rPr>
          <w:rtl/>
          <w:lang w:bidi="fa-IR"/>
        </w:rPr>
        <w:t xml:space="preserve"> وَفُوكَ ؛ فَإِذَا غَسَلْتَ ذِرَاعَيْكَ </w:t>
      </w:r>
      <w:r w:rsidRPr="007C12DB">
        <w:rPr>
          <w:rStyle w:val="libFootnotenumChar"/>
          <w:rtl/>
        </w:rPr>
        <w:t>(10)</w:t>
      </w:r>
      <w:r w:rsidRPr="005D642E">
        <w:rPr>
          <w:rtl/>
          <w:lang w:bidi="fa-IR"/>
        </w:rPr>
        <w:t xml:space="preserve"> ، تَنَاثَرَتِ الذُّنُوبُ عَنْ يَمِينِكَ وَشِمَالِكَ ؛ فَإِذَا </w:t>
      </w:r>
      <w:r w:rsidRPr="007C12DB">
        <w:rPr>
          <w:rStyle w:val="libFootnotenumChar"/>
          <w:rtl/>
        </w:rPr>
        <w:t>(11)</w:t>
      </w:r>
      <w:r w:rsidRPr="005D642E">
        <w:rPr>
          <w:rtl/>
          <w:lang w:bidi="fa-IR"/>
        </w:rPr>
        <w:t xml:space="preserve"> مَسَحْتَ رَأْسَكَ وَقَدَمَيْكَ ، تَنَاثَرَتِ الذُّنُوبُ الَّتِي مَشَيْتَ إِلَيْهَا </w:t>
      </w:r>
      <w:r w:rsidRPr="007C12DB">
        <w:rPr>
          <w:rStyle w:val="libFootnotenumChar"/>
          <w:rtl/>
        </w:rPr>
        <w:t>(12)</w:t>
      </w:r>
      <w:r w:rsidRPr="005D642E">
        <w:rPr>
          <w:rtl/>
          <w:lang w:bidi="fa-IR"/>
        </w:rPr>
        <w:t xml:space="preserve"> عَلى قَدَمَيْكَ ، فَهذَا لَكَ فِي وُضُوئِكَ »</w:t>
      </w:r>
      <w:r>
        <w:rPr>
          <w:rtl/>
          <w:lang w:bidi="fa-IR"/>
        </w:rPr>
        <w:t>.</w:t>
      </w:r>
      <w:r w:rsidRPr="005D642E">
        <w:rPr>
          <w:rtl/>
          <w:lang w:bidi="fa-IR"/>
        </w:rPr>
        <w:t xml:space="preserve"> </w:t>
      </w:r>
      <w:r w:rsidRPr="007C12DB">
        <w:rPr>
          <w:rStyle w:val="libFootnotenumChar"/>
          <w:rtl/>
        </w:rPr>
        <w:t>(13)</w:t>
      </w:r>
    </w:p>
    <w:p w:rsidR="00E3253D" w:rsidRPr="005D642E" w:rsidRDefault="00E3253D" w:rsidP="00E3253D">
      <w:pPr>
        <w:pStyle w:val="libNormal"/>
        <w:rPr>
          <w:rtl/>
          <w:lang w:bidi="fa-IR"/>
        </w:rPr>
      </w:pPr>
      <w:r w:rsidRPr="002E17D5">
        <w:rPr>
          <w:rtl/>
        </w:rPr>
        <w:t>4138</w:t>
      </w:r>
      <w:r w:rsidRPr="00246318">
        <w:rPr>
          <w:rStyle w:val="libBold2Char"/>
          <w:rtl/>
        </w:rPr>
        <w:t xml:space="preserve"> / 8.</w:t>
      </w:r>
      <w:r w:rsidRPr="005D642E">
        <w:rPr>
          <w:rtl/>
          <w:lang w:bidi="fa-IR"/>
        </w:rPr>
        <w:t xml:space="preserve"> عَلِيُّ بْنُ إِبْرَاهِيمَ ، عَنْ أَبِيهِ ، عَنِ النَّوْفَلِيِّ ، عَنِ السَّكُونِيِّ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 « إجلاءً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 « للغماء »</w:t>
      </w:r>
      <w:r w:rsidR="00E3253D">
        <w:rPr>
          <w:rtl/>
        </w:rPr>
        <w:t>.</w:t>
      </w:r>
      <w:r w:rsidR="00E3253D" w:rsidRPr="005D642E">
        <w:rPr>
          <w:rtl/>
        </w:rPr>
        <w:t xml:space="preserve"> وفي « بث ، بح ، بف ، جح » : « للعماء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يا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ى ، بف ، جس » </w:t>
      </w:r>
      <w:r w:rsidR="000D749A" w:rsidRPr="000D749A">
        <w:rPr>
          <w:rStyle w:val="libFootnoteBoldChar"/>
          <w:rtl/>
        </w:rPr>
        <w:t>والوافي</w:t>
      </w:r>
      <w:r w:rsidR="00E3253D" w:rsidRPr="005D642E">
        <w:rPr>
          <w:rtl/>
        </w:rPr>
        <w:t xml:space="preserve"> والبحار :</w:t>
      </w:r>
      <w:r w:rsidR="00E3253D">
        <w:rPr>
          <w:rtl/>
        </w:rPr>
        <w:t xml:space="preserve"> </w:t>
      </w:r>
      <w:r w:rsidR="007642BC">
        <w:rPr>
          <w:rtl/>
        </w:rPr>
        <w:t>-</w:t>
      </w:r>
      <w:r w:rsidR="00E3253D">
        <w:rPr>
          <w:rtl/>
        </w:rPr>
        <w:t xml:space="preserve"> </w:t>
      </w:r>
      <w:r w:rsidR="00E3253D" w:rsidRPr="005D642E">
        <w:rPr>
          <w:rtl/>
        </w:rPr>
        <w:t>« أن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جح » : + « </w:t>
      </w:r>
      <w:r w:rsidR="00E3253D">
        <w:rPr>
          <w:rtl/>
        </w:rPr>
        <w:t>و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منها »</w:t>
      </w:r>
      <w:r w:rsidR="00E3253D">
        <w:rPr>
          <w:rtl/>
        </w:rPr>
        <w:t>.</w:t>
      </w:r>
      <w:r w:rsidR="00E3253D" w:rsidRPr="005D642E">
        <w:rPr>
          <w:rtl/>
        </w:rPr>
        <w:t xml:space="preserve"> والتناثر : التساقط متفرّقاً ، يقال : نَثَرَ الشي‌ءَ ينثره</w:t>
      </w:r>
      <w:r w:rsidR="00E3253D">
        <w:rPr>
          <w:rtl/>
        </w:rPr>
        <w:t xml:space="preserve"> </w:t>
      </w:r>
      <w:r w:rsidR="007642BC">
        <w:rPr>
          <w:rtl/>
        </w:rPr>
        <w:t>-</w:t>
      </w:r>
      <w:r w:rsidR="00E3253D">
        <w:rPr>
          <w:rtl/>
        </w:rPr>
        <w:t xml:space="preserve"> </w:t>
      </w:r>
      <w:r w:rsidR="00E3253D" w:rsidRPr="005D642E">
        <w:rPr>
          <w:rtl/>
        </w:rPr>
        <w:t>بضمّ الثاء وكسرها</w:t>
      </w:r>
      <w:r w:rsidR="00E3253D">
        <w:rPr>
          <w:rtl/>
        </w:rPr>
        <w:t xml:space="preserve"> </w:t>
      </w:r>
      <w:r w:rsidR="007642BC">
        <w:rPr>
          <w:rtl/>
        </w:rPr>
        <w:t>-</w:t>
      </w:r>
      <w:r w:rsidR="00E3253D">
        <w:rPr>
          <w:rtl/>
        </w:rPr>
        <w:t xml:space="preserve"> </w:t>
      </w:r>
      <w:r w:rsidR="00E3253D" w:rsidRPr="005D642E">
        <w:rPr>
          <w:rtl/>
        </w:rPr>
        <w:t xml:space="preserve">نَثْراً ونِثاراً ونثّره ، أي رماه متفرّقاً ، فانتثرو تنثّرو تناثر. راجع : </w:t>
      </w:r>
      <w:r w:rsidR="00E3253D" w:rsidRPr="002F4D34">
        <w:rPr>
          <w:rStyle w:val="libFootnoteBoldChar"/>
          <w:rtl/>
        </w:rPr>
        <w:t>لسان العرب</w:t>
      </w:r>
      <w:r w:rsidR="00E3253D" w:rsidRPr="005D642E">
        <w:rPr>
          <w:rtl/>
        </w:rPr>
        <w:t xml:space="preserve"> ، ج 5 ، ص 191.</w:t>
      </w:r>
    </w:p>
    <w:tbl>
      <w:tblPr>
        <w:tblStyle w:val="TableGrid"/>
        <w:bidiVisual/>
        <w:tblW w:w="0" w:type="auto"/>
        <w:tblLook w:val="04A0" w:firstRow="1" w:lastRow="0" w:firstColumn="1" w:lastColumn="0" w:noHBand="0" w:noVBand="1"/>
      </w:tblPr>
      <w:tblGrid>
        <w:gridCol w:w="4006"/>
        <w:gridCol w:w="4006"/>
      </w:tblGrid>
      <w:tr w:rsidR="008956FC" w:rsidTr="008956FC">
        <w:tc>
          <w:tcPr>
            <w:tcW w:w="4006" w:type="dxa"/>
          </w:tcPr>
          <w:p w:rsidR="008956FC" w:rsidRDefault="008956FC" w:rsidP="00E3253D">
            <w:pPr>
              <w:pStyle w:val="libFootnote0"/>
              <w:rPr>
                <w:rStyle w:val="libFootnote0Char"/>
                <w:rtl/>
              </w:rPr>
            </w:pPr>
            <w:r w:rsidRPr="0042621E">
              <w:rPr>
                <w:rStyle w:val="libFootnote0Char"/>
                <w:rtl/>
              </w:rPr>
              <w:t>(7).</w:t>
            </w:r>
            <w:r w:rsidRPr="005D642E">
              <w:rPr>
                <w:rtl/>
              </w:rPr>
              <w:t xml:space="preserve"> في « جن » : + « بها »</w:t>
            </w:r>
            <w:r>
              <w:rPr>
                <w:rtl/>
              </w:rPr>
              <w:t>.</w:t>
            </w:r>
          </w:p>
        </w:tc>
        <w:tc>
          <w:tcPr>
            <w:tcW w:w="4006" w:type="dxa"/>
          </w:tcPr>
          <w:p w:rsidR="008956FC" w:rsidRDefault="008956FC" w:rsidP="00E3253D">
            <w:pPr>
              <w:pStyle w:val="libFootnote0"/>
              <w:rPr>
                <w:rStyle w:val="libFootnote0Char"/>
                <w:rtl/>
              </w:rPr>
            </w:pPr>
            <w:r w:rsidRPr="0042621E">
              <w:rPr>
                <w:rStyle w:val="libFootnote0Char"/>
                <w:rtl/>
              </w:rPr>
              <w:t>(8).</w:t>
            </w:r>
            <w:r w:rsidRPr="005D642E">
              <w:rPr>
                <w:rtl/>
              </w:rPr>
              <w:t>في«جس»:</w:t>
            </w:r>
            <w:r>
              <w:rPr>
                <w:rtl/>
              </w:rPr>
              <w:t>-</w:t>
            </w:r>
            <w:r w:rsidRPr="005D642E">
              <w:rPr>
                <w:rtl/>
              </w:rPr>
              <w:t>«</w:t>
            </w:r>
            <w:r>
              <w:rPr>
                <w:rtl/>
              </w:rPr>
              <w:t>فإذا</w:t>
            </w:r>
            <w:r w:rsidRPr="005D642E">
              <w:rPr>
                <w:rtl/>
              </w:rPr>
              <w:t>غسلت وجهك تناثرت الذنوب»</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البحار : « بنظرها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ى ، بث ، بخ ، بس ، بف ، جن » والبحار : « ذراعك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بس ، بف » وحاشية « ي ، بح » </w:t>
      </w:r>
      <w:r w:rsidR="000D749A" w:rsidRPr="000D749A">
        <w:rPr>
          <w:rStyle w:val="libFootnoteBoldChar"/>
          <w:rtl/>
        </w:rPr>
        <w:t>والوافي</w:t>
      </w:r>
      <w:r w:rsidR="00E3253D" w:rsidRPr="005D642E">
        <w:rPr>
          <w:rtl/>
        </w:rPr>
        <w:t xml:space="preserve"> : « وإذا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جس » : « عليها »</w:t>
      </w:r>
      <w:r w:rsidR="00E3253D">
        <w:rPr>
          <w:rtl/>
        </w:rPr>
        <w:t>.</w:t>
      </w:r>
    </w:p>
    <w:p w:rsidR="00E3253D" w:rsidRPr="005D642E" w:rsidRDefault="0042621E" w:rsidP="008956FC">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الفقيه</w:t>
      </w:r>
      <w:r w:rsidR="00E3253D" w:rsidRPr="005D642E">
        <w:rPr>
          <w:rtl/>
        </w:rPr>
        <w:t xml:space="preserve"> ، ج 2 ، ص 202 ، صدر ح 2138 ، معلّقاً عن الحسن بن محبوب ، عن عليّ بن رئاب. </w:t>
      </w:r>
      <w:r w:rsidR="000D749A" w:rsidRPr="000D749A">
        <w:rPr>
          <w:rStyle w:val="libFootnoteBoldChar"/>
          <w:rtl/>
        </w:rPr>
        <w:t>الأمالي للصدوق</w:t>
      </w:r>
      <w:r w:rsidR="00E3253D" w:rsidRPr="005D642E">
        <w:rPr>
          <w:rtl/>
        </w:rPr>
        <w:t xml:space="preserve"> ، ص 549 ، المجلس 81 ، صدر ح 22 ، بسنده عن الحسن بن محبوب ، عن عليّ بن رئاب ، مع زيادة ، وفيهما مع اختلاف يسير</w:t>
      </w:r>
      <w:r w:rsidR="008956FC">
        <w:rPr>
          <w:rFonts w:hint="cs"/>
          <w:rtl/>
        </w:rPr>
        <w:t>.</w:t>
      </w:r>
      <w:r w:rsidR="00E3253D" w:rsidRPr="002F4D34">
        <w:rPr>
          <w:rStyle w:val="libFootnoteBoldChar"/>
          <w:rtl/>
        </w:rPr>
        <w:t>الوافي</w:t>
      </w:r>
      <w:r w:rsidR="00E3253D" w:rsidRPr="005D642E">
        <w:rPr>
          <w:rtl/>
        </w:rPr>
        <w:t xml:space="preserve"> ، ج 6 ، ص 367 ، ح 4485 ؛ </w:t>
      </w:r>
      <w:r w:rsidR="00E3253D" w:rsidRPr="002F4D34">
        <w:rPr>
          <w:rStyle w:val="libFootnoteBoldChar"/>
          <w:rtl/>
        </w:rPr>
        <w:t>الوسائل</w:t>
      </w:r>
      <w:r w:rsidR="00E3253D" w:rsidRPr="005D642E">
        <w:rPr>
          <w:rtl/>
        </w:rPr>
        <w:t xml:space="preserve"> ، ج 1 ، ص 393 ، ذيل ح 1031 ؛ </w:t>
      </w:r>
      <w:r w:rsidR="00E3253D" w:rsidRPr="002F4D34">
        <w:rPr>
          <w:rStyle w:val="libFootnoteBoldChar"/>
          <w:rtl/>
        </w:rPr>
        <w:t>البحار</w:t>
      </w:r>
      <w:r w:rsidR="00E3253D" w:rsidRPr="005D642E">
        <w:rPr>
          <w:rtl/>
        </w:rPr>
        <w:t xml:space="preserve"> ، ج 18 ، ص 128 ، ح 37.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 الْوُضُوءُ شَطْرُ الْإِيمَانِ »</w:t>
      </w:r>
      <w:r>
        <w:rPr>
          <w:rtl/>
          <w:lang w:bidi="fa-IR"/>
        </w:rPr>
        <w:t>.</w:t>
      </w:r>
      <w:r w:rsidRPr="005D642E">
        <w:rPr>
          <w:rtl/>
          <w:lang w:bidi="fa-IR"/>
        </w:rPr>
        <w:t xml:space="preserve"> </w:t>
      </w:r>
      <w:r w:rsidRPr="007C12DB">
        <w:rPr>
          <w:rStyle w:val="libFootnotenumChar"/>
          <w:rtl/>
        </w:rPr>
        <w:t>(1)</w:t>
      </w:r>
    </w:p>
    <w:p w:rsidR="00E3253D" w:rsidRPr="005D642E" w:rsidRDefault="00E3253D" w:rsidP="00E3253D">
      <w:pPr>
        <w:pStyle w:val="libNormal"/>
        <w:rPr>
          <w:rtl/>
          <w:lang w:bidi="fa-IR"/>
        </w:rPr>
      </w:pPr>
      <w:r w:rsidRPr="002E17D5">
        <w:rPr>
          <w:rtl/>
        </w:rPr>
        <w:t>4139</w:t>
      </w:r>
      <w:r w:rsidRPr="00246318">
        <w:rPr>
          <w:rStyle w:val="libBold2Char"/>
          <w:rtl/>
        </w:rPr>
        <w:t xml:space="preserve"> / 9.</w:t>
      </w:r>
      <w:r w:rsidRPr="005D642E">
        <w:rPr>
          <w:rtl/>
          <w:lang w:bidi="fa-IR"/>
        </w:rPr>
        <w:t xml:space="preserve"> أَبُو عَلِيٍّ الْأَشْعَرِيُّ ، عَنْ بَعْضِ أَصْحَابِنَا ، عَنْ إِسْمَاعِيلَ بْنِ مِهْرَانَ ، عَنْ صَبَّاحٍ الْحَذَّاءِ ، عَنْ سَمَاعَةَ ، قَالَ :</w:t>
      </w:r>
    </w:p>
    <w:p w:rsidR="00E3253D" w:rsidRPr="005D642E" w:rsidRDefault="00E3253D" w:rsidP="00E3253D">
      <w:pPr>
        <w:pStyle w:val="libNormal"/>
        <w:rPr>
          <w:rtl/>
          <w:lang w:bidi="fa-IR"/>
        </w:rPr>
      </w:pPr>
      <w:r w:rsidRPr="005D642E">
        <w:rPr>
          <w:rtl/>
          <w:lang w:bidi="fa-IR"/>
        </w:rPr>
        <w:t xml:space="preserve">كُنْتُ عِنْدَ أَبِي الْحَسَنِ </w:t>
      </w:r>
      <w:r w:rsidRPr="00AC51C5">
        <w:rPr>
          <w:rStyle w:val="libAlaemChar"/>
          <w:rtl/>
        </w:rPr>
        <w:t>عليه‌السلام</w:t>
      </w:r>
      <w:r w:rsidRPr="005D642E">
        <w:rPr>
          <w:rtl/>
          <w:lang w:bidi="fa-IR"/>
        </w:rPr>
        <w:t xml:space="preserve"> ، فَصَلَّى الظُّهْرَ وَالْعَصْرَ بَيْنَ يَدَيَّ </w:t>
      </w:r>
      <w:r w:rsidRPr="007C12DB">
        <w:rPr>
          <w:rStyle w:val="libFootnotenumChar"/>
          <w:rtl/>
        </w:rPr>
        <w:t>(2)</w:t>
      </w:r>
      <w:r w:rsidRPr="005D642E">
        <w:rPr>
          <w:rtl/>
          <w:lang w:bidi="fa-IR"/>
        </w:rPr>
        <w:t xml:space="preserve"> ، وَجَلَسْتُ عِنْدَهُ حَتّى حَضَرَتِ </w:t>
      </w:r>
      <w:r w:rsidRPr="007C12DB">
        <w:rPr>
          <w:rStyle w:val="libFootnotenumChar"/>
          <w:rtl/>
        </w:rPr>
        <w:t>(3)</w:t>
      </w:r>
      <w:r w:rsidRPr="005D642E">
        <w:rPr>
          <w:rtl/>
          <w:lang w:bidi="fa-IR"/>
        </w:rPr>
        <w:t xml:space="preserve"> الْمَغْرِبُ ، فَدَعَا بِوَضُوءٍ </w:t>
      </w:r>
      <w:r w:rsidRPr="007C12DB">
        <w:rPr>
          <w:rStyle w:val="libFootnotenumChar"/>
          <w:rtl/>
        </w:rPr>
        <w:t>(4)</w:t>
      </w:r>
      <w:r w:rsidRPr="005D642E">
        <w:rPr>
          <w:rtl/>
          <w:lang w:bidi="fa-IR"/>
        </w:rPr>
        <w:t xml:space="preserve"> ، فَتَوَضَّأَ لِلصَّلَاةِ ، ثُمَّ قَالَ لِي : « تَوَضَّأْ » فَقُلْتُ : جُعِلْتُ فِدَاكَ ، أَنَا </w:t>
      </w:r>
      <w:r w:rsidRPr="007C12DB">
        <w:rPr>
          <w:rStyle w:val="libFootnotenumChar"/>
          <w:rtl/>
        </w:rPr>
        <w:t>(5)</w:t>
      </w:r>
      <w:r w:rsidRPr="005D642E">
        <w:rPr>
          <w:rtl/>
          <w:lang w:bidi="fa-IR"/>
        </w:rPr>
        <w:t xml:space="preserve"> عَلى وُضُوءٍ </w:t>
      </w:r>
      <w:r w:rsidRPr="007C12DB">
        <w:rPr>
          <w:rStyle w:val="libFootnotenumChar"/>
          <w:rtl/>
        </w:rPr>
        <w:t>(6)</w:t>
      </w:r>
      <w:r w:rsidRPr="005D642E">
        <w:rPr>
          <w:rtl/>
          <w:lang w:bidi="fa-IR"/>
        </w:rPr>
        <w:t xml:space="preserve"> ، فَقَالَ : « وَإِنْ كُنْتَ عَلى وُضُوءٍ ؛ إِنَّ مَنْ تَوَضَّأَ لِلْمَغْرِبِ ، كَانَ وُضُوؤُهُ ذلِكَ كَفَّارَةً لِمَا مَضى مِنْ ذُنُوبِهِ فِي يَوْمِهِ </w:t>
      </w:r>
      <w:r w:rsidRPr="007C12DB">
        <w:rPr>
          <w:rStyle w:val="libFootnotenumChar"/>
          <w:rtl/>
        </w:rPr>
        <w:t>(7)</w:t>
      </w:r>
      <w:r w:rsidR="008956FC">
        <w:rPr>
          <w:rtl/>
          <w:lang w:bidi="fa-IR"/>
        </w:rPr>
        <w:t xml:space="preserve"> إِل</w:t>
      </w:r>
      <w:r w:rsidR="008956FC">
        <w:rPr>
          <w:rFonts w:hint="cs"/>
          <w:rtl/>
          <w:lang w:bidi="fa-IR"/>
        </w:rPr>
        <w:t>َّ</w:t>
      </w:r>
      <w:r w:rsidR="008956FC">
        <w:rPr>
          <w:rtl/>
          <w:lang w:bidi="fa-IR"/>
        </w:rPr>
        <w:t>ا</w:t>
      </w:r>
      <w:r w:rsidRPr="005D642E">
        <w:rPr>
          <w:rtl/>
          <w:lang w:bidi="fa-IR"/>
        </w:rPr>
        <w:t xml:space="preserve"> الْكَبَائِرَ ؛ وَمَنْ تَوَضَّأَ لِلصُّبْحِ ، كَانَ وُضُوؤُهُ ذلِكَ كَفَّارَةً لِمَا مَضى مِنْ ذُنُوبِهِ فِي لَيْلَتِهِ </w:t>
      </w:r>
      <w:r w:rsidRPr="007C12DB">
        <w:rPr>
          <w:rStyle w:val="libFootnotenumChar"/>
          <w:rtl/>
        </w:rPr>
        <w:t>(8)</w:t>
      </w:r>
      <w:r w:rsidR="008956FC">
        <w:rPr>
          <w:rtl/>
          <w:lang w:bidi="fa-IR"/>
        </w:rPr>
        <w:t xml:space="preserve"> إِل</w:t>
      </w:r>
      <w:r w:rsidR="008956FC">
        <w:rPr>
          <w:rFonts w:hint="cs"/>
          <w:rtl/>
          <w:lang w:bidi="fa-IR"/>
        </w:rPr>
        <w:t>َّ</w:t>
      </w:r>
      <w:r w:rsidR="008956FC">
        <w:rPr>
          <w:rtl/>
          <w:lang w:bidi="fa-IR"/>
        </w:rPr>
        <w:t>ا</w:t>
      </w:r>
      <w:r w:rsidRPr="005D642E">
        <w:rPr>
          <w:rtl/>
          <w:lang w:bidi="fa-IR"/>
        </w:rPr>
        <w:t xml:space="preserve"> الْكَبَائِرَ »</w:t>
      </w:r>
      <w:r>
        <w:rPr>
          <w:rtl/>
          <w:lang w:bidi="fa-IR"/>
        </w:rPr>
        <w:t>.</w:t>
      </w:r>
      <w:r w:rsidRPr="005D642E">
        <w:rPr>
          <w:rtl/>
          <w:lang w:bidi="fa-IR"/>
        </w:rPr>
        <w:t xml:space="preserve"> </w:t>
      </w:r>
      <w:r w:rsidRPr="007C12DB">
        <w:rPr>
          <w:rStyle w:val="libFootnotenumChar"/>
          <w:rtl/>
        </w:rPr>
        <w:t>(9)</w:t>
      </w:r>
    </w:p>
    <w:p w:rsidR="00E3253D" w:rsidRPr="005D642E" w:rsidRDefault="00E3253D" w:rsidP="00E3253D">
      <w:pPr>
        <w:pStyle w:val="libNormal"/>
        <w:rPr>
          <w:rtl/>
          <w:lang w:bidi="fa-IR"/>
        </w:rPr>
      </w:pPr>
      <w:r w:rsidRPr="002E17D5">
        <w:rPr>
          <w:rtl/>
        </w:rPr>
        <w:t>4140</w:t>
      </w:r>
      <w:r w:rsidRPr="00246318">
        <w:rPr>
          <w:rStyle w:val="libBold2Char"/>
          <w:rtl/>
        </w:rPr>
        <w:t xml:space="preserve"> / 10.</w:t>
      </w:r>
      <w:r w:rsidRPr="005D642E">
        <w:rPr>
          <w:rtl/>
          <w:lang w:bidi="fa-IR"/>
        </w:rPr>
        <w:t xml:space="preserve"> مُحَمَّدُ بْنُ يَحْيى وَأَحْمَدُ بْنُ إِدْرِيسَ ، عَنْ أَحْمَدَ بْنِ إِسْحَاقَ ، عَنْ سَعْدَانَ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الطُّهْرُ عَلَى الطُّهْرِ عَشْرُ حَسَنَاتٍ »</w:t>
      </w:r>
      <w:r>
        <w:rPr>
          <w:rtl/>
          <w:lang w:bidi="fa-IR"/>
        </w:rPr>
        <w:t>.</w:t>
      </w:r>
      <w:r w:rsidRPr="005D642E">
        <w:rPr>
          <w:rtl/>
          <w:lang w:bidi="fa-IR"/>
        </w:rPr>
        <w:t xml:space="preserve"> </w:t>
      </w:r>
      <w:r w:rsidRPr="007C12DB">
        <w:rPr>
          <w:rStyle w:val="libFootnotenumChar"/>
          <w:rtl/>
        </w:rPr>
        <w:t>(10)</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19627F">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الجعفريّات</w:t>
      </w:r>
      <w:r w:rsidR="00E3253D" w:rsidRPr="005D642E">
        <w:rPr>
          <w:rtl/>
        </w:rPr>
        <w:t xml:space="preserve"> ، ص 17 ؛ وص 169 ، بسندهما عن جعفر بن محمّد ، عن آبائه </w:t>
      </w:r>
      <w:r w:rsidR="00E3253D" w:rsidRPr="008956FC">
        <w:rPr>
          <w:rStyle w:val="libFootnoteAlaemChar"/>
          <w:rtl/>
        </w:rPr>
        <w:t>عليهم‌السلام</w:t>
      </w:r>
      <w:r w:rsidR="00E3253D" w:rsidRPr="005D642E">
        <w:rPr>
          <w:rtl/>
        </w:rPr>
        <w:t xml:space="preserve"> عن رسول الله </w:t>
      </w:r>
      <w:r w:rsidRPr="008956FC">
        <w:rPr>
          <w:rStyle w:val="libFootnoteAlaemChar"/>
          <w:rtl/>
        </w:rPr>
        <w:t>صلى‌الله‌عليه‌وآله</w:t>
      </w:r>
      <w:r w:rsidR="00E3253D" w:rsidRPr="005D642E">
        <w:rPr>
          <w:rtl/>
        </w:rPr>
        <w:t xml:space="preserve">. </w:t>
      </w:r>
      <w:r w:rsidR="00E3253D" w:rsidRPr="002F4D34">
        <w:rPr>
          <w:rStyle w:val="libFootnoteBoldChar"/>
          <w:rtl/>
        </w:rPr>
        <w:t>الغارات</w:t>
      </w:r>
      <w:r w:rsidR="00E3253D" w:rsidRPr="005D642E">
        <w:rPr>
          <w:rtl/>
        </w:rPr>
        <w:t xml:space="preserve"> ، ج 1 ، ص 154 ، ضمن الحديث الطويل ، بسند آخر عن أميرالمؤمنين </w:t>
      </w:r>
      <w:r w:rsidR="00E3253D" w:rsidRPr="008956FC">
        <w:rPr>
          <w:rStyle w:val="libFootnoteAlaemChar"/>
          <w:rtl/>
        </w:rPr>
        <w:t>عليه‌السلام</w:t>
      </w:r>
      <w:r w:rsidR="00E3253D" w:rsidRPr="005D642E">
        <w:rPr>
          <w:rtl/>
        </w:rPr>
        <w:t xml:space="preserve"> عن النبيّ </w:t>
      </w:r>
      <w:r w:rsidRPr="008956FC">
        <w:rPr>
          <w:rStyle w:val="libFootnoteAlaemChar"/>
          <w:rtl/>
        </w:rPr>
        <w:t>صلى‌الله‌عليه‌وآله</w:t>
      </w:r>
      <w:r w:rsidR="00E3253D" w:rsidRPr="005D642E">
        <w:rPr>
          <w:rtl/>
        </w:rPr>
        <w:t xml:space="preserve">. وفي </w:t>
      </w:r>
      <w:r w:rsidR="00E3253D" w:rsidRPr="002F4D34">
        <w:rPr>
          <w:rStyle w:val="libFootnoteBoldChar"/>
          <w:rtl/>
        </w:rPr>
        <w:t>الأمالي</w:t>
      </w:r>
      <w:r w:rsidR="00E3253D" w:rsidRPr="005D642E">
        <w:rPr>
          <w:rtl/>
        </w:rPr>
        <w:t xml:space="preserve"> للمفيد ، ص 267 ، المجلس 81 ، ح 3 ؛ </w:t>
      </w:r>
      <w:r w:rsidR="009E68BB" w:rsidRPr="009E68BB">
        <w:rPr>
          <w:rStyle w:val="libFootnoteBoldChar"/>
          <w:rtl/>
        </w:rPr>
        <w:t>و</w:t>
      </w:r>
      <w:r w:rsidR="009E68BB" w:rsidRPr="0035521A">
        <w:rPr>
          <w:rStyle w:val="libFootnoteBoldChar"/>
          <w:rtl/>
        </w:rPr>
        <w:t>الأمالي للطوسي</w:t>
      </w:r>
      <w:r w:rsidR="00E3253D" w:rsidRPr="005D642E">
        <w:rPr>
          <w:rtl/>
        </w:rPr>
        <w:t xml:space="preserve"> ، ص 29 ، المجلس 1 ، ح 31 ، بسند آخر عن عليّ بن أبي طالب </w:t>
      </w:r>
      <w:r w:rsidR="00E3253D" w:rsidRPr="008956FC">
        <w:rPr>
          <w:rStyle w:val="libFootnoteAlaemChar"/>
          <w:rtl/>
        </w:rPr>
        <w:t>عليه‌السلام</w:t>
      </w:r>
      <w:r w:rsidR="00E3253D" w:rsidRPr="005D642E">
        <w:rPr>
          <w:rtl/>
        </w:rPr>
        <w:t xml:space="preserve"> ، ضمن الحديث الطويل وتمام الرواية في كلّ المصادر هكذا : « الوضوء نصف الإيمان »</w:t>
      </w:r>
      <w:r w:rsidR="0019627F">
        <w:rPr>
          <w:rFonts w:hint="cs"/>
          <w:rtl/>
        </w:rPr>
        <w:t>.</w:t>
      </w:r>
      <w:r w:rsidR="00E3253D" w:rsidRPr="002F4D34">
        <w:rPr>
          <w:rStyle w:val="libFootnoteBoldChar"/>
          <w:rtl/>
        </w:rPr>
        <w:t>الوافي</w:t>
      </w:r>
      <w:r w:rsidR="00E3253D" w:rsidRPr="005D642E">
        <w:rPr>
          <w:rtl/>
        </w:rPr>
        <w:t xml:space="preserve"> ، ج 6 ، ص 365 ، ح 4476 ؛ </w:t>
      </w:r>
      <w:r w:rsidR="00E3253D" w:rsidRPr="002F4D34">
        <w:rPr>
          <w:rStyle w:val="libFootnoteBoldChar"/>
          <w:rtl/>
        </w:rPr>
        <w:t>الوسائل</w:t>
      </w:r>
      <w:r w:rsidR="00E3253D" w:rsidRPr="005D642E">
        <w:rPr>
          <w:rtl/>
        </w:rPr>
        <w:t xml:space="preserve"> ، ج 1 ، ص 366 ، ح 964.</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وحاشية « بس » : « يديه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 + « صلاة »</w:t>
      </w:r>
      <w:r w:rsidR="00E3253D">
        <w:rPr>
          <w:rtl/>
        </w:rPr>
        <w:t>.</w:t>
      </w:r>
    </w:p>
    <w:p w:rsidR="00E3253D" w:rsidRPr="005D642E" w:rsidRDefault="0042621E" w:rsidP="009A04CA">
      <w:pPr>
        <w:pStyle w:val="libFootnote0"/>
        <w:rPr>
          <w:rtl/>
          <w:lang w:bidi="fa-IR"/>
        </w:rPr>
      </w:pPr>
      <w:r w:rsidRPr="0042621E">
        <w:rPr>
          <w:rStyle w:val="libFootnote0Char"/>
          <w:rtl/>
        </w:rPr>
        <w:t>(4).</w:t>
      </w:r>
      <w:r w:rsidR="00E3253D" w:rsidRPr="005D642E">
        <w:rPr>
          <w:rtl/>
        </w:rPr>
        <w:t xml:space="preserve"> « الوَضوء »</w:t>
      </w:r>
      <w:r w:rsidR="00E3253D">
        <w:rPr>
          <w:rtl/>
        </w:rPr>
        <w:t xml:space="preserve"> </w:t>
      </w:r>
      <w:r w:rsidR="007642BC">
        <w:rPr>
          <w:rtl/>
        </w:rPr>
        <w:t>-</w:t>
      </w:r>
      <w:r w:rsidR="00E3253D">
        <w:rPr>
          <w:rtl/>
        </w:rPr>
        <w:t xml:space="preserve"> </w:t>
      </w:r>
      <w:r w:rsidR="00E3253D" w:rsidRPr="005D642E">
        <w:rPr>
          <w:rtl/>
        </w:rPr>
        <w:t>بالفتح</w:t>
      </w:r>
      <w:r w:rsidR="00E3253D">
        <w:rPr>
          <w:rtl/>
        </w:rPr>
        <w:t xml:space="preserve"> </w:t>
      </w:r>
      <w:r w:rsidR="007642BC">
        <w:rPr>
          <w:rtl/>
        </w:rPr>
        <w:t>-</w:t>
      </w:r>
      <w:r w:rsidR="00E3253D">
        <w:rPr>
          <w:rtl/>
        </w:rPr>
        <w:t xml:space="preserve"> </w:t>
      </w:r>
      <w:r w:rsidR="00E3253D" w:rsidRPr="005D642E">
        <w:rPr>
          <w:rtl/>
        </w:rPr>
        <w:t>: الماء الذي يتوضّأ به ، والوُضوء</w:t>
      </w:r>
      <w:r w:rsidR="00E3253D">
        <w:rPr>
          <w:rtl/>
        </w:rPr>
        <w:t xml:space="preserve"> </w:t>
      </w:r>
      <w:r w:rsidR="007642BC">
        <w:rPr>
          <w:rtl/>
        </w:rPr>
        <w:t>-</w:t>
      </w:r>
      <w:r w:rsidR="00E3253D">
        <w:rPr>
          <w:rtl/>
        </w:rPr>
        <w:t xml:space="preserve"> </w:t>
      </w:r>
      <w:r w:rsidR="00E3253D" w:rsidRPr="005D642E">
        <w:rPr>
          <w:rtl/>
        </w:rPr>
        <w:t>بالضمّ</w:t>
      </w:r>
      <w:r w:rsidR="00E3253D">
        <w:rPr>
          <w:rtl/>
        </w:rPr>
        <w:t xml:space="preserve"> </w:t>
      </w:r>
      <w:r w:rsidR="007642BC">
        <w:rPr>
          <w:rtl/>
        </w:rPr>
        <w:t>-</w:t>
      </w:r>
      <w:r w:rsidR="00E3253D">
        <w:rPr>
          <w:rtl/>
        </w:rPr>
        <w:t xml:space="preserve"> </w:t>
      </w:r>
      <w:r w:rsidR="00E3253D" w:rsidRPr="005D642E">
        <w:rPr>
          <w:rtl/>
        </w:rPr>
        <w:t xml:space="preserve">: التوضّؤ والفعل نفسه. راجع : </w:t>
      </w:r>
      <w:r w:rsidR="00E3253D" w:rsidRPr="002F4D34">
        <w:rPr>
          <w:rStyle w:val="libFootnoteBoldChar"/>
          <w:rtl/>
        </w:rPr>
        <w:t>الصحاح</w:t>
      </w:r>
      <w:r w:rsidR="00E3253D" w:rsidRPr="005D642E">
        <w:rPr>
          <w:rtl/>
        </w:rPr>
        <w:t xml:space="preserve"> ، ج 1 ، ص 81 ؛ </w:t>
      </w:r>
      <w:r w:rsidR="00E3253D" w:rsidRPr="002F4D34">
        <w:rPr>
          <w:rStyle w:val="libFootnoteBoldChar"/>
          <w:rtl/>
        </w:rPr>
        <w:t>النهاية</w:t>
      </w:r>
      <w:r w:rsidR="00E3253D" w:rsidRPr="005D642E">
        <w:rPr>
          <w:rtl/>
        </w:rPr>
        <w:t xml:space="preserve"> ، ج 5 ، ص 195 ( وضأ )</w:t>
      </w:r>
      <w:r w:rsidR="00E3253D">
        <w:rPr>
          <w:rtl/>
        </w:rPr>
        <w:t>.</w:t>
      </w:r>
      <w:r w:rsidR="009A04CA">
        <w:rPr>
          <w:rFonts w:hint="cs"/>
          <w:rtl/>
        </w:rPr>
        <w:t xml:space="preserve">            </w:t>
      </w:r>
      <w:r w:rsidRPr="0042621E">
        <w:rPr>
          <w:rStyle w:val="libFootnote0Char"/>
          <w:rtl/>
        </w:rPr>
        <w:t>(5).</w:t>
      </w:r>
      <w:r w:rsidR="00E3253D" w:rsidRPr="005D642E">
        <w:rPr>
          <w:rtl/>
        </w:rPr>
        <w:t xml:space="preserve"> في « ظ » : « إنّي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أكثر النسخ التي قوبلت </w:t>
      </w:r>
      <w:r w:rsidR="000D749A" w:rsidRPr="000D749A">
        <w:rPr>
          <w:rStyle w:val="libFootnoteBoldChar"/>
          <w:rtl/>
        </w:rPr>
        <w:t>والوافي</w:t>
      </w:r>
      <w:r w:rsidR="00E3253D" w:rsidRPr="005D642E">
        <w:rPr>
          <w:rtl/>
        </w:rPr>
        <w:t xml:space="preserve"> والوسائل. وفي « بث ، بس ، جح ، جن » والمطبوع : « وضوئي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وحاشية « بس » : « ليلته »</w:t>
      </w:r>
      <w:r w:rsidR="00E3253D">
        <w:rPr>
          <w:rtl/>
        </w:rPr>
        <w:t>.</w:t>
      </w:r>
      <w:r w:rsidR="00E3253D" w:rsidRPr="005D642E">
        <w:rPr>
          <w:rtl/>
        </w:rPr>
        <w:t xml:space="preserve"> وفي « جس » : « ليلة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ليلة »</w:t>
      </w:r>
      <w:r w:rsidR="00E3253D">
        <w:rPr>
          <w:rtl/>
        </w:rPr>
        <w:t>.</w:t>
      </w:r>
      <w:r w:rsidR="00E3253D" w:rsidRPr="005D642E">
        <w:rPr>
          <w:rtl/>
        </w:rPr>
        <w:t xml:space="preserve"> وفي حاشية « بث » : « ليله »</w:t>
      </w:r>
      <w:r w:rsidR="00E3253D">
        <w:rPr>
          <w:rtl/>
        </w:rPr>
        <w:t>.</w:t>
      </w:r>
    </w:p>
    <w:p w:rsidR="00E3253D" w:rsidRPr="005D642E" w:rsidRDefault="0042621E" w:rsidP="00E66690">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المحاسن</w:t>
      </w:r>
      <w:r w:rsidR="00E3253D" w:rsidRPr="005D642E">
        <w:rPr>
          <w:rtl/>
        </w:rPr>
        <w:t xml:space="preserve"> ، ص 312 ، كتاب العلل ، ح 27 ، بسنده عن سماعة بن مهران ، عن أبي الحسن موسى </w:t>
      </w:r>
      <w:r w:rsidR="00E3253D" w:rsidRPr="00E66690">
        <w:rPr>
          <w:rStyle w:val="libFootnoteAlaemChar"/>
          <w:rtl/>
        </w:rPr>
        <w:t>عليه‌السلام</w:t>
      </w:r>
      <w:r w:rsidR="00E3253D" w:rsidRPr="005D642E">
        <w:rPr>
          <w:rtl/>
        </w:rPr>
        <w:t xml:space="preserve"> ، مع اختلاف يسير</w:t>
      </w:r>
      <w:r w:rsidR="00E66690">
        <w:rPr>
          <w:rFonts w:hint="cs"/>
          <w:rtl/>
        </w:rPr>
        <w:t>.</w:t>
      </w:r>
      <w:r w:rsidR="00E3253D" w:rsidRPr="002F4D34">
        <w:rPr>
          <w:rStyle w:val="libFootnoteBoldChar"/>
          <w:rtl/>
        </w:rPr>
        <w:t>الوافي</w:t>
      </w:r>
      <w:r w:rsidR="00E3253D" w:rsidRPr="005D642E">
        <w:rPr>
          <w:rtl/>
        </w:rPr>
        <w:t xml:space="preserve"> ، ج 6 ، ص 366 ، ح 4480 ؛ </w:t>
      </w:r>
      <w:r w:rsidR="00E3253D" w:rsidRPr="002F4D34">
        <w:rPr>
          <w:rStyle w:val="libFootnoteBoldChar"/>
          <w:rtl/>
        </w:rPr>
        <w:t>الوسائل</w:t>
      </w:r>
      <w:r w:rsidR="00E3253D" w:rsidRPr="005D642E">
        <w:rPr>
          <w:rtl/>
        </w:rPr>
        <w:t xml:space="preserve"> ، ج 1 ، ص 376 ، ح 991.</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المحاسن</w:t>
      </w:r>
      <w:r w:rsidR="00E3253D" w:rsidRPr="005D642E">
        <w:rPr>
          <w:rtl/>
        </w:rPr>
        <w:t xml:space="preserve"> ، ص 47 ، كتاب ثواب الأعمال ، ح 63 ، بسند آخر عن أبي عبدالله ، عن عليّ </w:t>
      </w:r>
      <w:r w:rsidR="00E3253D" w:rsidRPr="00E66690">
        <w:rPr>
          <w:rStyle w:val="libFootnoteAlaemChar"/>
          <w:rtl/>
        </w:rPr>
        <w:t>عليهما‌السلام</w:t>
      </w:r>
      <w:r w:rsidR="00E3253D" w:rsidRPr="005D642E">
        <w:rPr>
          <w:rtl/>
        </w:rPr>
        <w:t xml:space="preserve">. </w:t>
      </w:r>
      <w:r w:rsidR="00E3253D" w:rsidRPr="002F4D34">
        <w:rPr>
          <w:rStyle w:val="libFootnoteBoldChar"/>
          <w:rtl/>
        </w:rPr>
        <w:t>الخصال</w:t>
      </w:r>
      <w:r w:rsidR="00E3253D" w:rsidRPr="005D642E">
        <w:rPr>
          <w:rtl/>
        </w:rPr>
        <w:t xml:space="preserve"> ، </w:t>
      </w:r>
      <w:r w:rsidR="00D2672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E17D5">
        <w:rPr>
          <w:rtl/>
        </w:rPr>
        <w:lastRenderedPageBreak/>
        <w:t>4141</w:t>
      </w:r>
      <w:r w:rsidRPr="00246318">
        <w:rPr>
          <w:rStyle w:val="libBold2Char"/>
          <w:rtl/>
        </w:rPr>
        <w:t xml:space="preserve"> / 11.</w:t>
      </w:r>
      <w:r w:rsidRPr="005D642E">
        <w:rPr>
          <w:rtl/>
          <w:lang w:bidi="fa-IR"/>
        </w:rPr>
        <w:t xml:space="preserve"> مُحَمَّدُ بْنُ الْحَسَنِ وَغَيْرُهُ ، عَنْ سَهْلِ بْنِ زِيَادٍ بِإِسْنَادِهِ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فَرَغَ أَحَدُكُمْ مِنْ وُضُوئِهِ </w:t>
      </w:r>
      <w:r w:rsidRPr="007C12DB">
        <w:rPr>
          <w:rStyle w:val="libFootnotenumChar"/>
          <w:rtl/>
        </w:rPr>
        <w:t>(1)</w:t>
      </w:r>
      <w:r w:rsidRPr="005D642E">
        <w:rPr>
          <w:rtl/>
          <w:lang w:bidi="fa-IR"/>
        </w:rPr>
        <w:t xml:space="preserve"> ، فَلْيَأْخُذْ كَفّاً مِنْ مَاءٍ ، فَلْيَمْسَحْ </w:t>
      </w:r>
      <w:r w:rsidRPr="007C12DB">
        <w:rPr>
          <w:rStyle w:val="libFootnotenumChar"/>
          <w:rtl/>
        </w:rPr>
        <w:t>(2)</w:t>
      </w:r>
      <w:r w:rsidRPr="005D642E">
        <w:rPr>
          <w:rtl/>
          <w:lang w:bidi="fa-IR"/>
        </w:rPr>
        <w:t xml:space="preserve"> بِهِ قَفَاهُ ؛ يَكُونُ ذلِكَ فَكَاكَ رَقَبَتِهِ مِنَ النَّارِ »</w:t>
      </w:r>
      <w:r>
        <w:rPr>
          <w:rtl/>
          <w:lang w:bidi="fa-IR"/>
        </w:rPr>
        <w:t>.</w:t>
      </w:r>
      <w:r w:rsidRPr="005D642E">
        <w:rPr>
          <w:rtl/>
          <w:lang w:bidi="fa-IR"/>
        </w:rPr>
        <w:t xml:space="preserve"> </w:t>
      </w:r>
      <w:r w:rsidRPr="007C12DB">
        <w:rPr>
          <w:rStyle w:val="libFootnotenumChar"/>
          <w:rtl/>
        </w:rPr>
        <w:t>(3)</w:t>
      </w:r>
    </w:p>
    <w:p w:rsidR="00E3253D" w:rsidRPr="005D642E" w:rsidRDefault="00E3253D" w:rsidP="00E3253D">
      <w:pPr>
        <w:pStyle w:val="libNormal"/>
        <w:rPr>
          <w:rtl/>
          <w:lang w:bidi="fa-IR"/>
        </w:rPr>
      </w:pPr>
      <w:r w:rsidRPr="002E17D5">
        <w:rPr>
          <w:rtl/>
        </w:rPr>
        <w:t>4142</w:t>
      </w:r>
      <w:r w:rsidRPr="00246318">
        <w:rPr>
          <w:rStyle w:val="libBold2Char"/>
          <w:rtl/>
        </w:rPr>
        <w:t xml:space="preserve"> / 12.</w:t>
      </w:r>
      <w:r w:rsidRPr="005D642E">
        <w:rPr>
          <w:rtl/>
          <w:lang w:bidi="fa-IR"/>
        </w:rPr>
        <w:t xml:space="preserve"> عَلِيُّ بْنُ مُحَمَّدٍ ، عَنْ سَهْلِ بْنِ زِيَادٍ ، عَنْ مُحَمَّدِ بْنِ عِيسى ، عَنْ يُونُسَ :</w:t>
      </w:r>
    </w:p>
    <w:p w:rsidR="00E3253D" w:rsidRPr="005D642E" w:rsidRDefault="00E3253D" w:rsidP="00E3253D">
      <w:pPr>
        <w:pStyle w:val="libNormal"/>
        <w:rPr>
          <w:rtl/>
          <w:lang w:bidi="fa-IR"/>
        </w:rPr>
      </w:pPr>
      <w:r w:rsidRPr="005D642E">
        <w:rPr>
          <w:rtl/>
          <w:lang w:bidi="fa-IR"/>
        </w:rPr>
        <w:t xml:space="preserve">عَنْ أَبِي الْحَسَنِ </w:t>
      </w:r>
      <w:r w:rsidRPr="00AC51C5">
        <w:rPr>
          <w:rStyle w:val="libAlaemChar"/>
          <w:rtl/>
        </w:rPr>
        <w:t>عليه‌السلام</w:t>
      </w:r>
      <w:r w:rsidRPr="005D642E">
        <w:rPr>
          <w:rtl/>
          <w:lang w:bidi="fa-IR"/>
        </w:rPr>
        <w:t xml:space="preserve"> ، قَالَ : قُلْتُ لَهُ : الرَّجُلُ يَغْتَسِلُ بِمَاءِ الْوَرْدِ ، وَيَتَوَضَّأُ بِهِ لِلصَّلَاةِ</w:t>
      </w:r>
      <w:r>
        <w:rPr>
          <w:rtl/>
          <w:lang w:bidi="fa-IR"/>
        </w:rPr>
        <w:t>؟</w:t>
      </w:r>
    </w:p>
    <w:p w:rsidR="00E3253D" w:rsidRPr="005D642E" w:rsidRDefault="00E3253D" w:rsidP="00E3253D">
      <w:pPr>
        <w:pStyle w:val="libNormal"/>
        <w:rPr>
          <w:rtl/>
          <w:lang w:bidi="fa-IR"/>
        </w:rPr>
      </w:pPr>
      <w:r w:rsidRPr="005D642E">
        <w:rPr>
          <w:rtl/>
          <w:lang w:bidi="fa-IR"/>
        </w:rPr>
        <w:t xml:space="preserve">قَالَ : « لَا بَأْسَ بِذلِكَ </w:t>
      </w:r>
      <w:r w:rsidRPr="007C12DB">
        <w:rPr>
          <w:rStyle w:val="libFootnotenumChar"/>
          <w:rtl/>
        </w:rPr>
        <w:t>(4)</w:t>
      </w:r>
      <w:r w:rsidRPr="005D642E">
        <w:rPr>
          <w:rtl/>
          <w:lang w:bidi="fa-IR"/>
        </w:rPr>
        <w:t xml:space="preserve">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2E17D5">
        <w:rPr>
          <w:rtl/>
        </w:rPr>
        <w:t>4143</w:t>
      </w:r>
      <w:r w:rsidRPr="00246318">
        <w:rPr>
          <w:rStyle w:val="libBold2Char"/>
          <w:rtl/>
        </w:rPr>
        <w:t xml:space="preserve"> / 13.</w:t>
      </w:r>
      <w:r w:rsidRPr="005D642E">
        <w:rPr>
          <w:rtl/>
          <w:lang w:bidi="fa-IR"/>
        </w:rPr>
        <w:t xml:space="preserve"> أَبُو عَلِيٍّ الْأَشْعَرِيُّ ، عَنْ مُحَمَّدِ بْنِ عَبْدِ الْجَبَّارِ ، عَنْ صَفْوَانَ ، عَنْ عَبْدِ الْوَهَّابِ ، عَنْ مُحَمَّدِ بْنِ أَبِي حَمْزَةَ ، عَنْ هِشَامِ بْنِ سَالِمٍ ، عَنْ إِسْمَاعِيلَ الْجُعْفِيِّ :</w:t>
      </w:r>
    </w:p>
    <w:p w:rsidR="00E3253D" w:rsidRPr="005D642E" w:rsidRDefault="00E3253D" w:rsidP="00E3253D">
      <w:pPr>
        <w:pStyle w:val="libLine"/>
        <w:rPr>
          <w:rtl/>
          <w:lang w:bidi="fa-IR"/>
        </w:rPr>
      </w:pPr>
      <w:r w:rsidRPr="005D642E">
        <w:rPr>
          <w:rtl/>
          <w:lang w:bidi="fa-IR"/>
        </w:rPr>
        <w:t>__________________</w:t>
      </w:r>
    </w:p>
    <w:p w:rsidR="00E3253D" w:rsidRPr="005D642E" w:rsidRDefault="004F31CB" w:rsidP="00E3253D">
      <w:pPr>
        <w:pStyle w:val="libFootnote0"/>
        <w:rPr>
          <w:rtl/>
          <w:lang w:bidi="fa-IR"/>
        </w:rPr>
      </w:pPr>
      <w:r>
        <w:rPr>
          <w:rFonts w:hint="cs"/>
          <w:rtl/>
        </w:rPr>
        <w:t xml:space="preserve">= </w:t>
      </w:r>
      <w:r w:rsidR="00E3253D" w:rsidRPr="005D642E">
        <w:rPr>
          <w:rtl/>
        </w:rPr>
        <w:t xml:space="preserve">ص 620 ، أبواب الثمانين ومافوقه ، ضمن الحديث الطويل 10 ، بسند آخر عن أبي عبدالله ، عن آبائه ، عن عليّ </w:t>
      </w:r>
      <w:r w:rsidR="00E3253D" w:rsidRPr="004F31CB">
        <w:rPr>
          <w:rStyle w:val="libFootnoteAlaemChar"/>
          <w:rtl/>
        </w:rPr>
        <w:t>عليهم‌السلام</w:t>
      </w:r>
      <w:r w:rsidR="00E3253D" w:rsidRPr="005D642E">
        <w:rPr>
          <w:rtl/>
        </w:rPr>
        <w:t xml:space="preserve">. </w:t>
      </w:r>
      <w:r w:rsidR="00E3253D" w:rsidRPr="002F4D34">
        <w:rPr>
          <w:rStyle w:val="libFootnoteBoldChar"/>
          <w:rtl/>
        </w:rPr>
        <w:t>تحف العقول</w:t>
      </w:r>
      <w:r w:rsidR="00E3253D" w:rsidRPr="005D642E">
        <w:rPr>
          <w:rtl/>
        </w:rPr>
        <w:t xml:space="preserve"> ، ص 110 ، ضمن الحديث الطويل ، عن أميرالمؤمنين </w:t>
      </w:r>
      <w:r w:rsidR="00E3253D" w:rsidRPr="00331D29">
        <w:rPr>
          <w:rStyle w:val="libFootnoteAlaemChar"/>
          <w:rtl/>
        </w:rPr>
        <w:t>عليه‌السلام</w:t>
      </w:r>
      <w:r w:rsidR="00E3253D" w:rsidRPr="005D642E">
        <w:rPr>
          <w:rtl/>
        </w:rPr>
        <w:t xml:space="preserve"> ، وفي كلّ المصادر مع اختلاف يسير</w:t>
      </w:r>
      <w:r w:rsidR="001E2F01">
        <w:rPr>
          <w:rFonts w:hint="cs"/>
          <w:rtl/>
        </w:rPr>
        <w:t>.</w:t>
      </w:r>
      <w:r w:rsidR="00E3253D" w:rsidRPr="002F4D34">
        <w:rPr>
          <w:rStyle w:val="libFootnoteBoldChar"/>
          <w:rtl/>
        </w:rPr>
        <w:t>الوافي</w:t>
      </w:r>
      <w:r w:rsidR="00E3253D" w:rsidRPr="005D642E">
        <w:rPr>
          <w:rtl/>
        </w:rPr>
        <w:t xml:space="preserve"> ، ج 6 ، ص 366 ، ح 4481 ؛ </w:t>
      </w:r>
      <w:r w:rsidR="00E3253D" w:rsidRPr="002F4D34">
        <w:rPr>
          <w:rStyle w:val="libFootnoteBoldChar"/>
          <w:rtl/>
        </w:rPr>
        <w:t>الوسائل</w:t>
      </w:r>
      <w:r w:rsidR="00E3253D" w:rsidRPr="005D642E">
        <w:rPr>
          <w:rtl/>
        </w:rPr>
        <w:t xml:space="preserve"> ، ج 1 ، ص 376 ، ح 992.</w:t>
      </w:r>
    </w:p>
    <w:p w:rsidR="00E3253D" w:rsidRPr="005D642E" w:rsidRDefault="0042621E" w:rsidP="001E2F01">
      <w:pPr>
        <w:pStyle w:val="libFootnote0"/>
        <w:rPr>
          <w:rtl/>
          <w:lang w:bidi="fa-IR"/>
        </w:rPr>
      </w:pPr>
      <w:r w:rsidRPr="0042621E">
        <w:rPr>
          <w:rStyle w:val="libFootnote0Char"/>
          <w:rtl/>
        </w:rPr>
        <w:t>(1).</w:t>
      </w:r>
      <w:r w:rsidR="00E3253D">
        <w:rPr>
          <w:rtl/>
        </w:rPr>
        <w:t xml:space="preserve"> </w:t>
      </w:r>
      <w:r w:rsidR="00E3253D" w:rsidRPr="005D642E">
        <w:rPr>
          <w:rtl/>
        </w:rPr>
        <w:t>في « ظ ، بح ، جس » : « من وضوء »</w:t>
      </w:r>
      <w:r w:rsidR="00E3253D">
        <w:rPr>
          <w:rtl/>
        </w:rPr>
        <w:t>.</w:t>
      </w:r>
      <w:r w:rsidR="00E3253D" w:rsidRPr="005D642E">
        <w:rPr>
          <w:rtl/>
        </w:rPr>
        <w:t xml:space="preserve"> وفي الوسائل : « عن وضوئه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ينبغي حمل هذا الخبر أيضاًعلى التقيّة ؛ لعدم ثبوت هذه السنّة بين الأصحاب </w:t>
      </w:r>
      <w:r w:rsidR="001E2F01">
        <w:rPr>
          <w:rFonts w:hint="cs"/>
          <w:rtl/>
        </w:rPr>
        <w:t>رحمهم الله</w:t>
      </w:r>
      <w:r w:rsidR="00E3253D" w:rsidRPr="005D642E">
        <w:rPr>
          <w:rtl/>
        </w:rPr>
        <w:t xml:space="preserve">» ، وفي </w:t>
      </w:r>
      <w:r w:rsidR="00E3253D" w:rsidRPr="002F4D34">
        <w:rPr>
          <w:rStyle w:val="libFootnoteBoldChar"/>
          <w:rtl/>
        </w:rPr>
        <w:t>مرآة العقول</w:t>
      </w:r>
      <w:r w:rsidR="00E3253D" w:rsidRPr="005D642E">
        <w:rPr>
          <w:rtl/>
        </w:rPr>
        <w:t xml:space="preserve"> : «</w:t>
      </w:r>
      <w:r w:rsidR="00E3253D">
        <w:rPr>
          <w:rtl/>
        </w:rPr>
        <w:t xml:space="preserve"> ..</w:t>
      </w:r>
      <w:r w:rsidR="00E3253D" w:rsidRPr="005D642E">
        <w:rPr>
          <w:rtl/>
        </w:rPr>
        <w:t>. ويحتمل أن يكون الثواب على هذا الفعل للتقيّة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بس ، بف ، جس ، جن » وحاشية « ى ، بح » </w:t>
      </w:r>
      <w:r w:rsidR="000D749A" w:rsidRPr="000D749A">
        <w:rPr>
          <w:rStyle w:val="libFootnoteBoldChar"/>
          <w:rtl/>
        </w:rPr>
        <w:t>والوافي</w:t>
      </w:r>
      <w:r w:rsidR="00E3253D" w:rsidRPr="005D642E">
        <w:rPr>
          <w:rtl/>
        </w:rPr>
        <w:t xml:space="preserve"> : « فيمسح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302 ، ح 4338 ؛ </w:t>
      </w:r>
      <w:r w:rsidR="00E3253D" w:rsidRPr="002F4D34">
        <w:rPr>
          <w:rStyle w:val="libFootnoteBoldChar"/>
          <w:rtl/>
        </w:rPr>
        <w:t>الوسائل</w:t>
      </w:r>
      <w:r w:rsidR="00E3253D" w:rsidRPr="005D642E">
        <w:rPr>
          <w:rtl/>
        </w:rPr>
        <w:t xml:space="preserve"> ، ج 1 ، ص 412 ، ح 1072.</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احتجّ ابن بابويه بهذه الرواية على جواز رفع الحدث بماء الورد ، والمشهور بين الأصحاب بل المجمع عليه عدم جواز التوضّي والاغتسال بالماء المضاف مطلقاً وأجاب عنها الشيخ</w:t>
      </w:r>
      <w:r w:rsidR="00E3253D">
        <w:rPr>
          <w:rtl/>
        </w:rPr>
        <w:t xml:space="preserve"> </w:t>
      </w:r>
      <w:r w:rsidR="007642BC">
        <w:rPr>
          <w:rtl/>
        </w:rPr>
        <w:t>-</w:t>
      </w:r>
      <w:r w:rsidR="00E3253D">
        <w:rPr>
          <w:rtl/>
        </w:rPr>
        <w:t xml:space="preserve"> </w:t>
      </w:r>
      <w:r w:rsidR="00E3253D" w:rsidRPr="005D642E">
        <w:rPr>
          <w:rtl/>
        </w:rPr>
        <w:t>بعد ما حكم بشذوذها وأنّ العصابة اجمعت على ترك العمل بظاهرها</w:t>
      </w:r>
      <w:r w:rsidR="00E3253D">
        <w:rPr>
          <w:rtl/>
        </w:rPr>
        <w:t xml:space="preserve"> </w:t>
      </w:r>
      <w:r w:rsidR="007642BC">
        <w:rPr>
          <w:rtl/>
        </w:rPr>
        <w:t>-</w:t>
      </w:r>
      <w:r w:rsidR="00E3253D">
        <w:rPr>
          <w:rtl/>
        </w:rPr>
        <w:t xml:space="preserve"> </w:t>
      </w:r>
      <w:r w:rsidR="00E3253D" w:rsidRPr="005D642E">
        <w:rPr>
          <w:rtl/>
        </w:rPr>
        <w:t>باحتمال أن يكون المراد بالوضوء التحسين والتنظيف ، أو أن يكون المراد بماء الورد الماء الذي وقع فيه الورد دون</w:t>
      </w:r>
      <w:r w:rsidR="00F635F7">
        <w:rPr>
          <w:rtl/>
        </w:rPr>
        <w:t xml:space="preserve"> أن يكون معتصراً منه. قال العل</w:t>
      </w:r>
      <w:r w:rsidR="00F635F7">
        <w:rPr>
          <w:rFonts w:hint="cs"/>
          <w:rtl/>
        </w:rPr>
        <w:t>ّ</w:t>
      </w:r>
      <w:r w:rsidR="00F635F7">
        <w:rPr>
          <w:rtl/>
        </w:rPr>
        <w:t>ا</w:t>
      </w:r>
      <w:r w:rsidR="00E3253D" w:rsidRPr="005D642E">
        <w:rPr>
          <w:rtl/>
        </w:rPr>
        <w:t xml:space="preserve">مة المجلسي </w:t>
      </w:r>
      <w:r w:rsidR="00E3253D" w:rsidRPr="00F635F7">
        <w:rPr>
          <w:rStyle w:val="libFootnoteAlaemChar"/>
          <w:rtl/>
        </w:rPr>
        <w:t>رحمه‌الله</w:t>
      </w:r>
      <w:r w:rsidR="00E3253D" w:rsidRPr="005D642E">
        <w:rPr>
          <w:rtl/>
        </w:rPr>
        <w:t xml:space="preserve"> : « وما هذا شأنه فهو بالإعراض عنه حقيق »</w:t>
      </w:r>
      <w:r w:rsidR="00E3253D">
        <w:rPr>
          <w:rtl/>
        </w:rPr>
        <w:t>.</w:t>
      </w:r>
      <w:r w:rsidR="00E3253D" w:rsidRPr="005D642E">
        <w:rPr>
          <w:rtl/>
        </w:rPr>
        <w:t xml:space="preserve"> راجع : </w:t>
      </w:r>
      <w:r w:rsidR="00E3253D" w:rsidRPr="002F4D34">
        <w:rPr>
          <w:rStyle w:val="libFootnoteBoldChar"/>
          <w:rtl/>
        </w:rPr>
        <w:t>التهذيب</w:t>
      </w:r>
      <w:r w:rsidR="00E3253D" w:rsidRPr="005D642E">
        <w:rPr>
          <w:rtl/>
        </w:rPr>
        <w:t xml:space="preserve"> ، ج 1 ، ص 299 ، ذيل ح 627 ؛ </w:t>
      </w:r>
      <w:r w:rsidR="00E3253D" w:rsidRPr="002F4D34">
        <w:rPr>
          <w:rStyle w:val="libFootnoteBoldChar"/>
          <w:rtl/>
        </w:rPr>
        <w:t>الوافي</w:t>
      </w:r>
      <w:r w:rsidR="00E3253D" w:rsidRPr="005D642E">
        <w:rPr>
          <w:rtl/>
        </w:rPr>
        <w:t xml:space="preserve"> ، ج 6 ، ص 325 ؛ </w:t>
      </w:r>
      <w:r w:rsidR="00E3253D" w:rsidRPr="002F4D34">
        <w:rPr>
          <w:rStyle w:val="libFootnoteBoldChar"/>
          <w:rtl/>
        </w:rPr>
        <w:t>مرآة العقول</w:t>
      </w:r>
      <w:r w:rsidR="00E3253D" w:rsidRPr="005D642E">
        <w:rPr>
          <w:rtl/>
        </w:rPr>
        <w:t xml:space="preserve"> ، ج 13 ، ص 199.</w:t>
      </w:r>
    </w:p>
    <w:p w:rsidR="00E3253D" w:rsidRPr="005D642E" w:rsidRDefault="0042621E" w:rsidP="006C36D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218 ، ح 627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14 ، ح 27 ، بسندهما عن الكليني. وفي </w:t>
      </w:r>
      <w:r w:rsidR="000D749A" w:rsidRPr="000D749A">
        <w:rPr>
          <w:rStyle w:val="libFootnoteBoldChar"/>
          <w:rtl/>
        </w:rPr>
        <w:t>الأمالي للصدوق</w:t>
      </w:r>
      <w:r w:rsidR="00E3253D" w:rsidRPr="005D642E">
        <w:rPr>
          <w:rtl/>
        </w:rPr>
        <w:t xml:space="preserve"> ، ص 645 ، المجلس 93 ، ضمن إملاء الصدوق في وصف دين الإماميّة على الإيجاز والاختصار ؛ </w:t>
      </w:r>
      <w:r w:rsidR="009E68BB" w:rsidRPr="009E68BB">
        <w:rPr>
          <w:rStyle w:val="libFootnoteBoldChar"/>
          <w:rtl/>
        </w:rPr>
        <w:t>و</w:t>
      </w:r>
      <w:r w:rsidR="006C36DD">
        <w:rPr>
          <w:rStyle w:val="libFootnoteBoldChar"/>
          <w:rFonts w:hint="cs"/>
          <w:rtl/>
        </w:rPr>
        <w:t>الفقيه</w:t>
      </w:r>
      <w:r w:rsidR="00E3253D" w:rsidRPr="005D642E">
        <w:rPr>
          <w:rtl/>
        </w:rPr>
        <w:t xml:space="preserve"> ، ج 1 ، ص 6 ، ذيل ح 3 ، مع اختلاف يسير</w:t>
      </w:r>
      <w:r w:rsidR="006C36DD">
        <w:rPr>
          <w:rFonts w:hint="cs"/>
          <w:rtl/>
        </w:rPr>
        <w:t>.</w:t>
      </w:r>
      <w:r w:rsidR="00E3253D" w:rsidRPr="002F4D34">
        <w:rPr>
          <w:rStyle w:val="libFootnoteBoldChar"/>
          <w:rtl/>
        </w:rPr>
        <w:t>الوافي</w:t>
      </w:r>
      <w:r w:rsidR="00E3253D" w:rsidRPr="005D642E">
        <w:rPr>
          <w:rtl/>
        </w:rPr>
        <w:t xml:space="preserve"> ، ج 6 ، ص 325 ، ح 4387 ؛ </w:t>
      </w:r>
      <w:r w:rsidR="00E3253D" w:rsidRPr="002F4D34">
        <w:rPr>
          <w:rStyle w:val="libFootnoteBoldChar"/>
          <w:rtl/>
        </w:rPr>
        <w:t>الوسائل</w:t>
      </w:r>
      <w:r w:rsidR="00E3253D" w:rsidRPr="005D642E">
        <w:rPr>
          <w:rtl/>
        </w:rPr>
        <w:t xml:space="preserve"> ، ج 1 ، ص 204 ، ح 523.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سَأَلْتُهُ عَمَّنْ </w:t>
      </w:r>
      <w:r w:rsidRPr="007C12DB">
        <w:rPr>
          <w:rStyle w:val="libFootnotenumChar"/>
          <w:rtl/>
        </w:rPr>
        <w:t>(1)</w:t>
      </w:r>
      <w:r w:rsidRPr="005D642E">
        <w:rPr>
          <w:rtl/>
          <w:lang w:bidi="fa-IR"/>
        </w:rPr>
        <w:t xml:space="preserve"> مَسَّ </w:t>
      </w:r>
      <w:r w:rsidRPr="007C12DB">
        <w:rPr>
          <w:rStyle w:val="libFootnotenumChar"/>
          <w:rtl/>
        </w:rPr>
        <w:t>(2)</w:t>
      </w:r>
      <w:r w:rsidRPr="005D642E">
        <w:rPr>
          <w:rtl/>
          <w:lang w:bidi="fa-IR"/>
        </w:rPr>
        <w:t xml:space="preserve"> عَظْمَ الْمَيِّتِ</w:t>
      </w:r>
      <w:r>
        <w:rPr>
          <w:rtl/>
          <w:lang w:bidi="fa-IR"/>
        </w:rPr>
        <w:t>؟</w:t>
      </w:r>
    </w:p>
    <w:p w:rsidR="00E3253D" w:rsidRPr="005D642E" w:rsidRDefault="00E3253D" w:rsidP="00E3253D">
      <w:pPr>
        <w:pStyle w:val="libNormal"/>
        <w:rPr>
          <w:rtl/>
          <w:lang w:bidi="fa-IR"/>
        </w:rPr>
      </w:pPr>
      <w:r w:rsidRPr="005D642E">
        <w:rPr>
          <w:rtl/>
          <w:lang w:bidi="fa-IR"/>
        </w:rPr>
        <w:t xml:space="preserve">قَالَ : « إِذَا كَانَ </w:t>
      </w:r>
      <w:r w:rsidRPr="007C12DB">
        <w:rPr>
          <w:rStyle w:val="libFootnotenumChar"/>
          <w:rtl/>
        </w:rPr>
        <w:t>(3)</w:t>
      </w:r>
      <w:r w:rsidRPr="005D642E">
        <w:rPr>
          <w:rtl/>
          <w:lang w:bidi="fa-IR"/>
        </w:rPr>
        <w:t xml:space="preserve"> سَنَةٌ </w:t>
      </w:r>
      <w:r w:rsidRPr="007C12DB">
        <w:rPr>
          <w:rStyle w:val="libFootnotenumChar"/>
          <w:rtl/>
        </w:rPr>
        <w:t>(4)</w:t>
      </w:r>
      <w:r w:rsidRPr="005D642E">
        <w:rPr>
          <w:rtl/>
          <w:lang w:bidi="fa-IR"/>
        </w:rPr>
        <w:t xml:space="preserve"> ، فَلَيْسَ بِهِ بَأْسٌ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2E17D5">
        <w:rPr>
          <w:rtl/>
        </w:rPr>
        <w:t>4144</w:t>
      </w:r>
      <w:r w:rsidRPr="00246318">
        <w:rPr>
          <w:rStyle w:val="libBold2Char"/>
          <w:rtl/>
        </w:rPr>
        <w:t xml:space="preserve"> / 14.</w:t>
      </w:r>
      <w:r w:rsidRPr="005D642E">
        <w:rPr>
          <w:rtl/>
          <w:lang w:bidi="fa-IR"/>
        </w:rPr>
        <w:t xml:space="preserve"> مُحَمَّدُ بْنُ يَحْيى رَفَعَهُ ، عَنْ أَبِي حَمْزَةَ ، قَالَ :</w:t>
      </w:r>
    </w:p>
    <w:p w:rsidR="00E3253D" w:rsidRPr="005D642E" w:rsidRDefault="00E3253D" w:rsidP="00E3253D">
      <w:pPr>
        <w:pStyle w:val="libNormal"/>
        <w:rPr>
          <w:rtl/>
          <w:lang w:bidi="fa-IR"/>
        </w:rPr>
      </w:pPr>
      <w:r w:rsidRPr="005D642E">
        <w:rPr>
          <w:rtl/>
          <w:lang w:bidi="fa-IR"/>
        </w:rPr>
        <w:t xml:space="preserve">قَالَ أَبُو جَعْفَرٍ </w:t>
      </w:r>
      <w:r w:rsidRPr="00AC51C5">
        <w:rPr>
          <w:rStyle w:val="libAlaemChar"/>
          <w:rtl/>
        </w:rPr>
        <w:t>عليه‌السلام</w:t>
      </w:r>
      <w:r w:rsidRPr="005D642E">
        <w:rPr>
          <w:rtl/>
          <w:lang w:bidi="fa-IR"/>
        </w:rPr>
        <w:t xml:space="preserve"> : « إِذَا كَانَ الرَّجُلُ نَائِماً فِي الْمَسْجِدِ </w:t>
      </w:r>
      <w:r w:rsidRPr="007C12DB">
        <w:rPr>
          <w:rStyle w:val="libFootnotenumChar"/>
          <w:rtl/>
        </w:rPr>
        <w:t>(6)</w:t>
      </w:r>
      <w:r w:rsidRPr="005D642E">
        <w:rPr>
          <w:rtl/>
          <w:lang w:bidi="fa-IR"/>
        </w:rPr>
        <w:t xml:space="preserve"> الْحَرَامِ ، أَوْ </w:t>
      </w:r>
      <w:r w:rsidRPr="007C12DB">
        <w:rPr>
          <w:rStyle w:val="libFootnotenumChar"/>
          <w:rtl/>
        </w:rPr>
        <w:t>(7)</w:t>
      </w:r>
      <w:r w:rsidRPr="005D642E">
        <w:rPr>
          <w:rtl/>
          <w:lang w:bidi="fa-IR"/>
        </w:rPr>
        <w:t xml:space="preserve"> مَسْجِدِ الرَّسُولِ </w:t>
      </w:r>
      <w:r w:rsidR="0042621E" w:rsidRPr="0042621E">
        <w:rPr>
          <w:rStyle w:val="libAlaemChar"/>
          <w:rtl/>
        </w:rPr>
        <w:t>صلى‌الله‌عليه‌وآله</w:t>
      </w:r>
      <w:r w:rsidRPr="005D642E">
        <w:rPr>
          <w:rtl/>
          <w:lang w:bidi="fa-IR"/>
        </w:rPr>
        <w:t xml:space="preserve"> ، فَاحْتَلَمَ </w:t>
      </w:r>
      <w:r w:rsidRPr="007C12DB">
        <w:rPr>
          <w:rStyle w:val="libFootnotenumChar"/>
          <w:rtl/>
        </w:rPr>
        <w:t>(8)</w:t>
      </w:r>
      <w:r w:rsidRPr="005D642E">
        <w:rPr>
          <w:rtl/>
          <w:lang w:bidi="fa-IR"/>
        </w:rPr>
        <w:t xml:space="preserve"> ، فَأَصَابَتْهُ </w:t>
      </w:r>
      <w:r w:rsidRPr="007C12DB">
        <w:rPr>
          <w:rStyle w:val="libFootnotenumChar"/>
          <w:rtl/>
        </w:rPr>
        <w:t>(9)</w:t>
      </w:r>
      <w:r w:rsidRPr="005D642E">
        <w:rPr>
          <w:rtl/>
          <w:lang w:bidi="fa-IR"/>
        </w:rPr>
        <w:t xml:space="preserve"> جَنَابَةٌ ، فَلْيَتَيَمَّمْ ، وَل</w:t>
      </w:r>
      <w:r w:rsidR="007C3F3A">
        <w:rPr>
          <w:rtl/>
          <w:lang w:bidi="fa-IR"/>
        </w:rPr>
        <w:t>َايَمُرَّ فِي الْمَسْجِدِ إِل</w:t>
      </w:r>
      <w:r w:rsidR="007C3F3A">
        <w:rPr>
          <w:rFonts w:hint="cs"/>
          <w:rtl/>
          <w:lang w:bidi="fa-IR"/>
        </w:rPr>
        <w:t>َّ</w:t>
      </w:r>
      <w:r w:rsidR="007C3F3A">
        <w:rPr>
          <w:rtl/>
          <w:lang w:bidi="fa-IR"/>
        </w:rPr>
        <w:t>ا</w:t>
      </w:r>
      <w:r w:rsidRPr="005D642E">
        <w:rPr>
          <w:rtl/>
          <w:lang w:bidi="fa-IR"/>
        </w:rPr>
        <w:t xml:space="preserve"> مُتَيَمِّماً حَتّى يَخْرُجَ مِنْهُ ، ثُمَّ يَغْتَسِلَ ، وَكَذلِكَ </w:t>
      </w:r>
      <w:r w:rsidRPr="007C12DB">
        <w:rPr>
          <w:rStyle w:val="libFootnotenumChar"/>
          <w:rtl/>
        </w:rPr>
        <w:t>(10)</w:t>
      </w:r>
      <w:r w:rsidRPr="005D642E">
        <w:rPr>
          <w:rtl/>
          <w:lang w:bidi="fa-IR"/>
        </w:rPr>
        <w:t xml:space="preserve"> الْحَائِضُ إِذَا أَصَابَهَا الْحَيْضُ تَفْعَلُ كَذلِكَ ، وَلَا بَأْسَ أَنْ يَمُرَّا </w:t>
      </w:r>
      <w:r w:rsidRPr="007C12DB">
        <w:rPr>
          <w:rStyle w:val="libFootnotenumChar"/>
          <w:rtl/>
        </w:rPr>
        <w:t>(11)</w:t>
      </w:r>
      <w:r w:rsidRPr="005D642E">
        <w:rPr>
          <w:rtl/>
          <w:lang w:bidi="fa-IR"/>
        </w:rPr>
        <w:t xml:space="preserve"> فِي سَائِرِ الْمَسَاجِدِ ، وَلَايَجْلِسَانِ </w:t>
      </w:r>
      <w:r w:rsidRPr="007C12DB">
        <w:rPr>
          <w:rStyle w:val="libFootnotenumChar"/>
          <w:rtl/>
        </w:rPr>
        <w:t>(12)</w:t>
      </w:r>
      <w:r w:rsidRPr="005D642E">
        <w:rPr>
          <w:rtl/>
          <w:lang w:bidi="fa-IR"/>
        </w:rPr>
        <w:t xml:space="preserve"> فِيهَا »</w:t>
      </w:r>
      <w:r>
        <w:rPr>
          <w:rtl/>
          <w:lang w:bidi="fa-IR"/>
        </w:rPr>
        <w:t>.</w:t>
      </w:r>
      <w:r w:rsidRPr="005D642E">
        <w:rPr>
          <w:rtl/>
          <w:lang w:bidi="fa-IR"/>
        </w:rPr>
        <w:t xml:space="preserve"> </w:t>
      </w:r>
      <w:r w:rsidRPr="007C12DB">
        <w:rPr>
          <w:rStyle w:val="libFootnotenumChar"/>
          <w:rtl/>
        </w:rPr>
        <w:t>(13)</w:t>
      </w:r>
    </w:p>
    <w:p w:rsidR="00E3253D" w:rsidRPr="005D642E" w:rsidRDefault="00E3253D" w:rsidP="00E3253D">
      <w:pPr>
        <w:pStyle w:val="libNormal"/>
        <w:rPr>
          <w:rtl/>
          <w:lang w:bidi="fa-IR"/>
        </w:rPr>
      </w:pPr>
      <w:r w:rsidRPr="002E17D5">
        <w:rPr>
          <w:rtl/>
        </w:rPr>
        <w:t>4145</w:t>
      </w:r>
      <w:r w:rsidRPr="00246318">
        <w:rPr>
          <w:rStyle w:val="libBold2Char"/>
          <w:rtl/>
        </w:rPr>
        <w:t xml:space="preserve"> / 15.</w:t>
      </w:r>
      <w:r w:rsidRPr="005D642E">
        <w:rPr>
          <w:rtl/>
          <w:lang w:bidi="fa-IR"/>
        </w:rPr>
        <w:t xml:space="preserve"> مُحَمَّدُ بْنُ يَحْيى ، عَنْ مُحَمَّدِ بْنِ الْحُسَيْنِ ، عَنْ وُهَيْبِ بْنِ حَفْصٍ ، عَنْ‌</w:t>
      </w:r>
      <w:r>
        <w:rPr>
          <w:rFonts w:hint="cs"/>
          <w:rtl/>
          <w:lang w:bidi="fa-IR"/>
        </w:rPr>
        <w:t xml:space="preserve"> </w:t>
      </w:r>
      <w:r w:rsidRPr="005D642E">
        <w:rPr>
          <w:rtl/>
          <w:lang w:bidi="fa-IR"/>
        </w:rPr>
        <w:t>أَبِي بَصِيرٍ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بف » وحاشية « بث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عن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وحاشية « بخ » : « يمسّ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بس ، جن » وحاشية « غ ، بث ، جح » ومرآة العقول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إذا جاز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 « سِنُّهُ »</w:t>
      </w:r>
      <w:r w:rsidR="00E3253D">
        <w:rPr>
          <w:rtl/>
        </w:rPr>
        <w:t>.</w:t>
      </w:r>
    </w:p>
    <w:p w:rsidR="00E3253D" w:rsidRPr="005D642E" w:rsidRDefault="0042621E" w:rsidP="007C3F3A">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277 ، ح 814 ؛ </w:t>
      </w:r>
      <w:r w:rsidR="00E3253D" w:rsidRPr="00E678B5">
        <w:rPr>
          <w:rStyle w:val="libFootnoteBoldChar"/>
          <w:rtl/>
        </w:rPr>
        <w:t>والاستبصار</w:t>
      </w:r>
      <w:r w:rsidR="00E3253D" w:rsidRPr="005D642E">
        <w:rPr>
          <w:rtl/>
        </w:rPr>
        <w:t xml:space="preserve"> ، ج 1 ، ص 192 ، ح 673 ، بسندهما عن صفوان. </w:t>
      </w:r>
      <w:r w:rsidR="00E3253D" w:rsidRPr="002F4D34">
        <w:rPr>
          <w:rStyle w:val="libFootnoteBoldChar"/>
          <w:rtl/>
        </w:rPr>
        <w:t>الفقيه</w:t>
      </w:r>
      <w:r w:rsidR="00E3253D" w:rsidRPr="005D642E">
        <w:rPr>
          <w:rtl/>
        </w:rPr>
        <w:t xml:space="preserve"> ، ج 1 ، ص 73 ، ذيل ح 167 ، مع اختلاف يسير</w:t>
      </w:r>
      <w:r w:rsidR="007C3F3A">
        <w:rPr>
          <w:rFonts w:hint="cs"/>
          <w:rtl/>
        </w:rPr>
        <w:t>.</w:t>
      </w:r>
      <w:r w:rsidR="00E3253D" w:rsidRPr="002F4D34">
        <w:rPr>
          <w:rStyle w:val="libFootnoteBoldChar"/>
          <w:rtl/>
        </w:rPr>
        <w:t>الوسائل</w:t>
      </w:r>
      <w:r w:rsidR="00E3253D" w:rsidRPr="005D642E">
        <w:rPr>
          <w:rtl/>
        </w:rPr>
        <w:t xml:space="preserve"> ، ج 3 ، ص 294 ، ذيل ح 3690.</w:t>
      </w:r>
    </w:p>
    <w:tbl>
      <w:tblPr>
        <w:tblStyle w:val="TableGrid"/>
        <w:bidiVisual/>
        <w:tblW w:w="0" w:type="auto"/>
        <w:tblLook w:val="04A0" w:firstRow="1" w:lastRow="0" w:firstColumn="1" w:lastColumn="0" w:noHBand="0" w:noVBand="1"/>
      </w:tblPr>
      <w:tblGrid>
        <w:gridCol w:w="4006"/>
        <w:gridCol w:w="4006"/>
      </w:tblGrid>
      <w:tr w:rsidR="007C3F3A" w:rsidTr="007C3F3A">
        <w:tc>
          <w:tcPr>
            <w:tcW w:w="4006" w:type="dxa"/>
          </w:tcPr>
          <w:p w:rsidR="007C3F3A" w:rsidRDefault="007C3F3A" w:rsidP="00E3253D">
            <w:pPr>
              <w:pStyle w:val="libFootnote0"/>
              <w:rPr>
                <w:rStyle w:val="libFootnote0Char"/>
                <w:rtl/>
              </w:rPr>
            </w:pPr>
            <w:r w:rsidRPr="0042621E">
              <w:rPr>
                <w:rStyle w:val="libFootnote0Char"/>
                <w:rtl/>
              </w:rPr>
              <w:t>(6).</w:t>
            </w:r>
            <w:r w:rsidRPr="005D642E">
              <w:rPr>
                <w:rtl/>
              </w:rPr>
              <w:t xml:space="preserve"> في « بخ » : « مسجد »</w:t>
            </w:r>
            <w:r>
              <w:rPr>
                <w:rtl/>
              </w:rPr>
              <w:t>.</w:t>
            </w:r>
          </w:p>
        </w:tc>
        <w:tc>
          <w:tcPr>
            <w:tcW w:w="4006" w:type="dxa"/>
          </w:tcPr>
          <w:p w:rsidR="007C3F3A" w:rsidRDefault="007C3F3A" w:rsidP="00E3253D">
            <w:pPr>
              <w:pStyle w:val="libFootnote0"/>
              <w:rPr>
                <w:rStyle w:val="libFootnote0Char"/>
                <w:rtl/>
              </w:rPr>
            </w:pPr>
            <w:r w:rsidRPr="0042621E">
              <w:rPr>
                <w:rStyle w:val="libFootnote0Char"/>
                <w:rtl/>
              </w:rPr>
              <w:t>(7).</w:t>
            </w:r>
            <w:r w:rsidRPr="005D642E">
              <w:rPr>
                <w:rtl/>
              </w:rPr>
              <w:t xml:space="preserve"> في « جس » : « </w:t>
            </w:r>
            <w:r>
              <w:rPr>
                <w:rtl/>
              </w:rPr>
              <w:t>و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ى » : « واحتلم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826FF3">
        <w:rPr>
          <w:rStyle w:val="libFootnoteAlaemChar"/>
          <w:rtl/>
        </w:rPr>
        <w:t>عليه‌السلام</w:t>
      </w:r>
      <w:r w:rsidR="00E3253D" w:rsidRPr="005D642E">
        <w:rPr>
          <w:rtl/>
        </w:rPr>
        <w:t xml:space="preserve"> : فاحتلم ، أي رأى في النوم ما يوجب الاحتلام »</w:t>
      </w:r>
      <w:r w:rsidR="00E3253D">
        <w:rPr>
          <w:rtl/>
        </w:rPr>
        <w:t>.</w:t>
      </w:r>
      <w:r w:rsidR="00E3253D" w:rsidRPr="005D642E">
        <w:rPr>
          <w:rtl/>
        </w:rPr>
        <w:t xml:space="preserve"> وفي‌اللغة : احتلم ، أي رأى في منامه رؤيا. راجع : </w:t>
      </w:r>
      <w:r w:rsidR="00E3253D" w:rsidRPr="002F4D34">
        <w:rPr>
          <w:rStyle w:val="libFootnoteBoldChar"/>
          <w:rtl/>
        </w:rPr>
        <w:t>المصباح المنير</w:t>
      </w:r>
      <w:r w:rsidR="00E3253D" w:rsidRPr="005D642E">
        <w:rPr>
          <w:rtl/>
        </w:rPr>
        <w:t xml:space="preserve"> ، ص 148.</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بح ، بس » وحاشية « غ ، ى » : « وأصابته »</w:t>
      </w:r>
      <w:r w:rsidR="00E3253D">
        <w:rPr>
          <w:rtl/>
        </w:rPr>
        <w:t>.</w:t>
      </w:r>
      <w:r w:rsidR="00E3253D" w:rsidRPr="005D642E">
        <w:rPr>
          <w:rtl/>
        </w:rPr>
        <w:t xml:space="preserve"> وفي « جس » : « فأصابه »</w:t>
      </w:r>
      <w:r w:rsidR="00E3253D">
        <w:rPr>
          <w:rtl/>
        </w:rPr>
        <w:t>.</w:t>
      </w:r>
    </w:p>
    <w:tbl>
      <w:tblPr>
        <w:tblStyle w:val="TableGrid"/>
        <w:bidiVisual/>
        <w:tblW w:w="0" w:type="auto"/>
        <w:tblLook w:val="04A0" w:firstRow="1" w:lastRow="0" w:firstColumn="1" w:lastColumn="0" w:noHBand="0" w:noVBand="1"/>
      </w:tblPr>
      <w:tblGrid>
        <w:gridCol w:w="4006"/>
        <w:gridCol w:w="4006"/>
      </w:tblGrid>
      <w:tr w:rsidR="002C3005" w:rsidTr="002C3005">
        <w:tc>
          <w:tcPr>
            <w:tcW w:w="4006" w:type="dxa"/>
          </w:tcPr>
          <w:p w:rsidR="002C3005" w:rsidRDefault="002C3005" w:rsidP="00E3253D">
            <w:pPr>
              <w:pStyle w:val="libFootnote0"/>
              <w:rPr>
                <w:rStyle w:val="libFootnote0Char"/>
                <w:rtl/>
              </w:rPr>
            </w:pPr>
            <w:r w:rsidRPr="0042621E">
              <w:rPr>
                <w:rStyle w:val="libFootnote0Char"/>
                <w:rtl/>
              </w:rPr>
              <w:t>(10).</w:t>
            </w:r>
            <w:r w:rsidRPr="005D642E">
              <w:rPr>
                <w:rtl/>
              </w:rPr>
              <w:t xml:space="preserve"> في « ظ ، غ » : « وكذا »</w:t>
            </w:r>
            <w:r>
              <w:rPr>
                <w:rtl/>
              </w:rPr>
              <w:t>.</w:t>
            </w:r>
          </w:p>
        </w:tc>
        <w:tc>
          <w:tcPr>
            <w:tcW w:w="4006" w:type="dxa"/>
          </w:tcPr>
          <w:p w:rsidR="002C3005" w:rsidRDefault="002C3005" w:rsidP="00E3253D">
            <w:pPr>
              <w:pStyle w:val="libFootnote0"/>
              <w:rPr>
                <w:rStyle w:val="libFootnote0Char"/>
                <w:rtl/>
              </w:rPr>
            </w:pPr>
            <w:r w:rsidRPr="0042621E">
              <w:rPr>
                <w:rStyle w:val="libFootnote0Char"/>
                <w:rtl/>
              </w:rPr>
              <w:t>(11).</w:t>
            </w:r>
            <w:r w:rsidRPr="005D642E">
              <w:rPr>
                <w:rtl/>
              </w:rPr>
              <w:t xml:space="preserve"> في « جس » : « أن تمرّ »</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بخ ، بف » وحاشية « ظ » </w:t>
      </w:r>
      <w:r w:rsidR="000D749A" w:rsidRPr="000D749A">
        <w:rPr>
          <w:rStyle w:val="libFootnoteBoldChar"/>
          <w:rtl/>
        </w:rPr>
        <w:t>والوافي</w:t>
      </w:r>
      <w:r w:rsidR="00E3253D" w:rsidRPr="005D642E">
        <w:rPr>
          <w:rtl/>
        </w:rPr>
        <w:t xml:space="preserve"> : « ولا يجلسا »</w:t>
      </w:r>
      <w:r w:rsidR="00E3253D">
        <w:rPr>
          <w:rtl/>
        </w:rPr>
        <w:t>.</w:t>
      </w:r>
      <w:r w:rsidR="00E3253D" w:rsidRPr="005D642E">
        <w:rPr>
          <w:rtl/>
        </w:rPr>
        <w:t xml:space="preserve"> وفي « جس » : « ويجلسان »</w:t>
      </w:r>
      <w:r w:rsidR="00E3253D">
        <w:rPr>
          <w:rtl/>
        </w:rPr>
        <w:t>.</w:t>
      </w:r>
      <w:r w:rsidR="00E3253D" w:rsidRPr="005D642E">
        <w:rPr>
          <w:rtl/>
        </w:rPr>
        <w:t xml:space="preserve"> وفي مرآة العقول : « ولا يحبسان »</w:t>
      </w:r>
      <w:r w:rsidR="00E3253D">
        <w:rPr>
          <w:rtl/>
        </w:rPr>
        <w:t>.</w:t>
      </w:r>
    </w:p>
    <w:p w:rsidR="00E3253D" w:rsidRPr="005D642E" w:rsidRDefault="0042621E" w:rsidP="00B65BC4">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التهذيب</w:t>
      </w:r>
      <w:r w:rsidR="00E3253D" w:rsidRPr="005D642E">
        <w:rPr>
          <w:rtl/>
        </w:rPr>
        <w:t xml:space="preserve"> ، ج 1 ، ص 407 ، ح 1280 ، معلّقاً عن محمّد بن أحمد ، عن يعقوب بن يزيد ، عن النضر بن سويد ، عن عبدالله بن سنان ، عن أبي حمزة ، مع اختلاف يسير. وفي </w:t>
      </w:r>
      <w:r w:rsidR="00E3253D" w:rsidRPr="002F4D34">
        <w:rPr>
          <w:rStyle w:val="libFootnoteBoldChar"/>
          <w:rtl/>
        </w:rPr>
        <w:t>الكافي</w:t>
      </w:r>
      <w:r w:rsidR="00E3253D" w:rsidRPr="005D642E">
        <w:rPr>
          <w:rtl/>
        </w:rPr>
        <w:t xml:space="preserve"> ، كتاب الطهارة ، باب الجنب يأكل ويشرب</w:t>
      </w:r>
      <w:r w:rsidR="00E3253D">
        <w:rPr>
          <w:rtl/>
        </w:rPr>
        <w:t xml:space="preserve"> ..</w:t>
      </w:r>
      <w:r w:rsidR="00E3253D" w:rsidRPr="005D642E">
        <w:rPr>
          <w:rtl/>
        </w:rPr>
        <w:t xml:space="preserve">. ، ح 4045 </w:t>
      </w:r>
      <w:r w:rsidR="00E3253D">
        <w:rPr>
          <w:rtl/>
        </w:rPr>
        <w:t>و 4</w:t>
      </w:r>
      <w:r w:rsidR="00E3253D" w:rsidRPr="005D642E">
        <w:rPr>
          <w:rtl/>
        </w:rPr>
        <w:t xml:space="preserve">046 ؛ </w:t>
      </w:r>
      <w:r w:rsidR="00B60612" w:rsidRPr="00B60612">
        <w:rPr>
          <w:rStyle w:val="libFootnoteBoldChar"/>
          <w:rtl/>
        </w:rPr>
        <w:t>والتهذيب</w:t>
      </w:r>
      <w:r w:rsidR="00E3253D" w:rsidRPr="005D642E">
        <w:rPr>
          <w:rtl/>
        </w:rPr>
        <w:t xml:space="preserve"> ، ج 1 ، ص 125 ، ح 337 ؛ وج 6 ، ص 15 ، صدر ح 34 ، بسند آخر عن أبي عبدالله </w:t>
      </w:r>
      <w:r w:rsidR="00E3253D" w:rsidRPr="00B65BC4">
        <w:rPr>
          <w:rStyle w:val="libFootnoteAlaemChar"/>
          <w:rtl/>
        </w:rPr>
        <w:t>عليه‌السلام</w:t>
      </w:r>
      <w:r w:rsidR="00E3253D" w:rsidRPr="005D642E">
        <w:rPr>
          <w:rtl/>
        </w:rPr>
        <w:t xml:space="preserve"> ، مع اختلاف</w:t>
      </w:r>
      <w:r w:rsidR="00B65BC4">
        <w:rPr>
          <w:rFonts w:hint="cs"/>
          <w:rtl/>
        </w:rPr>
        <w:t>.</w:t>
      </w:r>
      <w:r w:rsidR="00E3253D" w:rsidRPr="002F4D34">
        <w:rPr>
          <w:rStyle w:val="libFootnoteBoldChar"/>
          <w:rtl/>
        </w:rPr>
        <w:t>الوافي</w:t>
      </w:r>
      <w:r w:rsidR="00E3253D" w:rsidRPr="005D642E">
        <w:rPr>
          <w:rtl/>
        </w:rPr>
        <w:t xml:space="preserve"> ، ج 6 ، ص 556 ، ح 4923 ؛ </w:t>
      </w:r>
      <w:r w:rsidR="00E3253D" w:rsidRPr="002F4D34">
        <w:rPr>
          <w:rStyle w:val="libFootnoteBoldChar"/>
          <w:rtl/>
        </w:rPr>
        <w:t>الوسائل</w:t>
      </w:r>
      <w:r w:rsidR="00E3253D" w:rsidRPr="005D642E">
        <w:rPr>
          <w:rtl/>
        </w:rPr>
        <w:t xml:space="preserve"> ، ج 2 ، ص 205 ، ح 1933.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سَأَلْتُهُ عَنْ حَيَّةٍ دَخَلَتْ حُبّاً فِيهِ مَاءٌ ، وَخَرَجَتْ مِنْهُ</w:t>
      </w:r>
      <w:r>
        <w:rPr>
          <w:rtl/>
          <w:lang w:bidi="fa-IR"/>
        </w:rPr>
        <w:t>؟</w:t>
      </w:r>
    </w:p>
    <w:p w:rsidR="00E3253D" w:rsidRPr="005D642E" w:rsidRDefault="00E3253D" w:rsidP="00E3253D">
      <w:pPr>
        <w:pStyle w:val="libNormal"/>
        <w:rPr>
          <w:rtl/>
          <w:lang w:bidi="fa-IR"/>
        </w:rPr>
      </w:pPr>
      <w:r w:rsidRPr="005D642E">
        <w:rPr>
          <w:rtl/>
          <w:lang w:bidi="fa-IR"/>
        </w:rPr>
        <w:t xml:space="preserve">قَالَ : « إِنْ </w:t>
      </w:r>
      <w:r w:rsidRPr="007C12DB">
        <w:rPr>
          <w:rStyle w:val="libFootnotenumChar"/>
          <w:rtl/>
        </w:rPr>
        <w:t>(1)</w:t>
      </w:r>
      <w:r w:rsidRPr="005D642E">
        <w:rPr>
          <w:rtl/>
          <w:lang w:bidi="fa-IR"/>
        </w:rPr>
        <w:t xml:space="preserve"> وَجَدَ مَاءً غَيْرَهُ ، فَلْيُهَرِقْهُ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p>
    <w:p w:rsidR="00E3253D" w:rsidRPr="005D642E" w:rsidRDefault="00E3253D" w:rsidP="00E3253D">
      <w:pPr>
        <w:pStyle w:val="libNormal"/>
        <w:rPr>
          <w:rtl/>
          <w:lang w:bidi="fa-IR"/>
        </w:rPr>
      </w:pPr>
      <w:r w:rsidRPr="002E17D5">
        <w:rPr>
          <w:rtl/>
        </w:rPr>
        <w:t>4146</w:t>
      </w:r>
      <w:r w:rsidRPr="00246318">
        <w:rPr>
          <w:rStyle w:val="libBold2Char"/>
          <w:rtl/>
        </w:rPr>
        <w:t xml:space="preserve"> / 16.</w:t>
      </w:r>
      <w:r w:rsidRPr="005D642E">
        <w:rPr>
          <w:rtl/>
          <w:lang w:bidi="fa-IR"/>
        </w:rPr>
        <w:t xml:space="preserve"> مُحَمَّدُ بْنُ يَحْيى ، عَنِ الْعَمْرَكِيِّ بْنِ عَلِيٍّ ، عَنْ عَلِيِّ بْنِ جَعْفَرٍ :</w:t>
      </w:r>
    </w:p>
    <w:p w:rsidR="00E3253D" w:rsidRPr="005D642E" w:rsidRDefault="00E3253D" w:rsidP="00E3253D">
      <w:pPr>
        <w:pStyle w:val="libNormal"/>
        <w:rPr>
          <w:rtl/>
          <w:lang w:bidi="fa-IR"/>
        </w:rPr>
      </w:pPr>
      <w:r w:rsidRPr="005D642E">
        <w:rPr>
          <w:rtl/>
          <w:lang w:bidi="fa-IR"/>
        </w:rPr>
        <w:t xml:space="preserve">عَنْ أَخِيهِ أَبِي الْحَسَنِ </w:t>
      </w:r>
      <w:r w:rsidRPr="00AC51C5">
        <w:rPr>
          <w:rStyle w:val="libAlaemChar"/>
          <w:rtl/>
        </w:rPr>
        <w:t>عليه‌السلام</w:t>
      </w:r>
      <w:r w:rsidRPr="005D642E">
        <w:rPr>
          <w:rtl/>
          <w:lang w:bidi="fa-IR"/>
        </w:rPr>
        <w:t xml:space="preserve"> ، قَالَ : سَأَلْتُهُ عَنْ رَجُلٍ </w:t>
      </w:r>
      <w:r w:rsidRPr="007C12DB">
        <w:rPr>
          <w:rStyle w:val="libFootnotenumChar"/>
          <w:rtl/>
        </w:rPr>
        <w:t>(4)</w:t>
      </w:r>
      <w:r w:rsidRPr="005D642E">
        <w:rPr>
          <w:rtl/>
          <w:lang w:bidi="fa-IR"/>
        </w:rPr>
        <w:t xml:space="preserve"> رَعَفَ </w:t>
      </w:r>
      <w:r w:rsidRPr="007C12DB">
        <w:rPr>
          <w:rStyle w:val="libFootnotenumChar"/>
          <w:rtl/>
        </w:rPr>
        <w:t>(5)</w:t>
      </w:r>
      <w:r w:rsidRPr="005D642E">
        <w:rPr>
          <w:rtl/>
          <w:lang w:bidi="fa-IR"/>
        </w:rPr>
        <w:t xml:space="preserve"> ، فَامْتَخَطَ </w:t>
      </w:r>
      <w:r w:rsidRPr="007C12DB">
        <w:rPr>
          <w:rStyle w:val="libFootnotenumChar"/>
          <w:rtl/>
        </w:rPr>
        <w:t>(6)</w:t>
      </w:r>
      <w:r w:rsidRPr="005D642E">
        <w:rPr>
          <w:rtl/>
          <w:lang w:bidi="fa-IR"/>
        </w:rPr>
        <w:t xml:space="preserve"> ، فَصَارَ </w:t>
      </w:r>
      <w:r w:rsidRPr="007C12DB">
        <w:rPr>
          <w:rStyle w:val="libFootnotenumChar"/>
          <w:rtl/>
        </w:rPr>
        <w:t>(7)</w:t>
      </w:r>
      <w:r w:rsidRPr="005D642E">
        <w:rPr>
          <w:rtl/>
          <w:lang w:bidi="fa-IR"/>
        </w:rPr>
        <w:t xml:space="preserve"> بَعْضُ </w:t>
      </w:r>
      <w:r w:rsidRPr="007C12DB">
        <w:rPr>
          <w:rStyle w:val="libFootnotenumChar"/>
          <w:rtl/>
        </w:rPr>
        <w:t>(8)</w:t>
      </w:r>
      <w:r w:rsidRPr="005D642E">
        <w:rPr>
          <w:rtl/>
          <w:lang w:bidi="fa-IR"/>
        </w:rPr>
        <w:t xml:space="preserve"> ذلِكَ الدَّمِ قِطَعاً </w:t>
      </w:r>
      <w:r w:rsidRPr="007C12DB">
        <w:rPr>
          <w:rStyle w:val="libFootnotenumChar"/>
          <w:rtl/>
        </w:rPr>
        <w:t>(9)</w:t>
      </w:r>
      <w:r w:rsidRPr="005D642E">
        <w:rPr>
          <w:rtl/>
          <w:lang w:bidi="fa-IR"/>
        </w:rPr>
        <w:t xml:space="preserve"> صِغَاراً ، فَأَصَابَ إِنَاءَهُ : هَلْ يَصْلُحُ لَهُ </w:t>
      </w:r>
      <w:r w:rsidRPr="007C12DB">
        <w:rPr>
          <w:rStyle w:val="libFootnotenumChar"/>
          <w:rtl/>
        </w:rPr>
        <w:t>(10)</w:t>
      </w:r>
      <w:r w:rsidRPr="005D642E">
        <w:rPr>
          <w:rtl/>
          <w:lang w:bidi="fa-IR"/>
        </w:rPr>
        <w:t xml:space="preserve"> الْوُضُوءُ مِنْهُ</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(11)</w:t>
      </w:r>
      <w:r w:rsidRPr="005D642E">
        <w:rPr>
          <w:rtl/>
          <w:lang w:bidi="fa-IR"/>
        </w:rPr>
        <w:t xml:space="preserve"> : « إِنْ لَمْ يَكُنْ شَيْ‌ءٌ يَسْتَبِينُ فِي الْمَاءِ ، فَلَا بَأْسَ ؛ وَإِنْ كَانَ </w:t>
      </w:r>
      <w:r w:rsidRPr="007C12DB">
        <w:rPr>
          <w:rStyle w:val="libFootnotenumChar"/>
          <w:rtl/>
        </w:rPr>
        <w:t>(12)</w:t>
      </w:r>
      <w:r w:rsidRPr="005D642E">
        <w:rPr>
          <w:rtl/>
          <w:lang w:bidi="fa-IR"/>
        </w:rPr>
        <w:t xml:space="preserve"> شَيْئاً بَيِّناً ، فَلَا يَتَوَضَّأْ </w:t>
      </w:r>
      <w:r w:rsidRPr="007C12DB">
        <w:rPr>
          <w:rStyle w:val="libFootnotenumChar"/>
          <w:rtl/>
        </w:rPr>
        <w:t>(13)</w:t>
      </w:r>
      <w:r w:rsidRPr="005D642E">
        <w:rPr>
          <w:rtl/>
          <w:lang w:bidi="fa-IR"/>
        </w:rPr>
        <w:t xml:space="preserve"> مِنْهُ »</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 « إذا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بث ، بخ ، بس ، بف ، جح ، جن » : « فليهريقه »</w:t>
      </w:r>
      <w:r w:rsidR="00E3253D">
        <w:rPr>
          <w:rtl/>
        </w:rPr>
        <w:t>.</w:t>
      </w:r>
      <w:r w:rsidR="00E3253D" w:rsidRPr="005D642E">
        <w:rPr>
          <w:rtl/>
        </w:rPr>
        <w:t xml:space="preserve"> وقوله « فليهرقه » ، أي فليصبّه. وفيه ثلاث لغات : هَراقَ الماءَ يُهَرِيق بفتح الهاء ، أَهْرَقَ يُهْرِق من باب الإفعال ، أهْراقَ يُهْرِيق إِهراقاً. والأخير شاذّ. راجع : </w:t>
      </w:r>
      <w:r w:rsidR="00E3253D" w:rsidRPr="002F4D34">
        <w:rPr>
          <w:rStyle w:val="libFootnoteBoldChar"/>
          <w:rtl/>
        </w:rPr>
        <w:t>الصحاح</w:t>
      </w:r>
      <w:r w:rsidR="00E3253D" w:rsidRPr="005D642E">
        <w:rPr>
          <w:rtl/>
        </w:rPr>
        <w:t xml:space="preserve"> ، ج 4 ، ص 1569 ؛ </w:t>
      </w:r>
      <w:r w:rsidR="00E3253D" w:rsidRPr="002F4D34">
        <w:rPr>
          <w:rStyle w:val="libFootnoteBoldChar"/>
          <w:rtl/>
        </w:rPr>
        <w:t>النهاية</w:t>
      </w:r>
      <w:r w:rsidR="00E3253D" w:rsidRPr="005D642E">
        <w:rPr>
          <w:rtl/>
        </w:rPr>
        <w:t xml:space="preserve"> ، ج 5 ، ص 260 ( هرق )</w:t>
      </w:r>
      <w:r w:rsidR="00E3253D">
        <w:rPr>
          <w:rtl/>
        </w:rPr>
        <w:t>.</w:t>
      </w:r>
    </w:p>
    <w:p w:rsidR="00E3253D" w:rsidRPr="005D642E" w:rsidRDefault="0042621E" w:rsidP="00065C96">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الاستبصار</w:t>
      </w:r>
      <w:r w:rsidR="00E3253D" w:rsidRPr="005D642E">
        <w:rPr>
          <w:rtl/>
        </w:rPr>
        <w:t xml:space="preserve"> ، ج 1 ، ص 25 ، ح 63 ، معلّقاً عن محمّد بن أحمد بن يحيى ، عن محمّد بن الحسين. </w:t>
      </w:r>
      <w:r w:rsidR="00E3253D" w:rsidRPr="002F4D34">
        <w:rPr>
          <w:rStyle w:val="libFootnoteBoldChar"/>
          <w:rtl/>
        </w:rPr>
        <w:t>التهذيب</w:t>
      </w:r>
      <w:r w:rsidR="00E3253D" w:rsidRPr="005D642E">
        <w:rPr>
          <w:rtl/>
        </w:rPr>
        <w:t xml:space="preserve"> ، ج 1 ، ص 413 ، ح 1302 ، بسنده عن محمّد بن الحسين ، عن وهيب ، عن أبي بصير ، عن أبي عبدالله </w:t>
      </w:r>
      <w:r w:rsidR="00E3253D" w:rsidRPr="00FE2449">
        <w:rPr>
          <w:rStyle w:val="libFootnoteAlaemChar"/>
          <w:rtl/>
        </w:rPr>
        <w:t>عليه‌السلام</w:t>
      </w:r>
      <w:r w:rsidR="00E3253D" w:rsidRPr="005D642E">
        <w:rPr>
          <w:rtl/>
        </w:rPr>
        <w:t xml:space="preserve">. راجع : </w:t>
      </w:r>
      <w:r w:rsidR="00E3253D" w:rsidRPr="002F4D34">
        <w:rPr>
          <w:rStyle w:val="libFootnoteBoldChar"/>
          <w:rtl/>
        </w:rPr>
        <w:t>فقه الرضا</w:t>
      </w:r>
      <w:r w:rsidR="00E3253D" w:rsidRPr="005D642E">
        <w:rPr>
          <w:rtl/>
        </w:rPr>
        <w:t xml:space="preserve"> </w:t>
      </w:r>
      <w:r w:rsidR="00E3253D" w:rsidRPr="00065C96">
        <w:rPr>
          <w:rStyle w:val="libFootnoteAlaemChar"/>
          <w:rtl/>
        </w:rPr>
        <w:t>عليه‌السلام</w:t>
      </w:r>
      <w:r w:rsidR="00E3253D" w:rsidRPr="005D642E">
        <w:rPr>
          <w:rtl/>
        </w:rPr>
        <w:t xml:space="preserve"> ، ص 92</w:t>
      </w:r>
      <w:r w:rsidR="00065C96">
        <w:rPr>
          <w:rFonts w:hint="cs"/>
          <w:rtl/>
        </w:rPr>
        <w:t>.</w:t>
      </w:r>
      <w:r w:rsidR="00E3253D" w:rsidRPr="002F4D34">
        <w:rPr>
          <w:rStyle w:val="libFootnoteBoldChar"/>
          <w:rtl/>
        </w:rPr>
        <w:t>الوسائل</w:t>
      </w:r>
      <w:r w:rsidR="00E3253D" w:rsidRPr="005D642E">
        <w:rPr>
          <w:rtl/>
        </w:rPr>
        <w:t xml:space="preserve"> ، ج 1 ، ص 239 ، ذيل ح 617.</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وحاشية « بح » : « عن الرجل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رَعَفَ » ، أي سال رُعافه ، أو خرج الدم من أنفه ، والرُعاف : خروج الدم من الأنف ، وقيل : هو الدم نفسه. راجع : </w:t>
      </w:r>
      <w:r w:rsidR="00E3253D" w:rsidRPr="002F4D34">
        <w:rPr>
          <w:rStyle w:val="libFootnoteBoldChar"/>
          <w:rtl/>
        </w:rPr>
        <w:t>الصحاح</w:t>
      </w:r>
      <w:r w:rsidR="00E3253D" w:rsidRPr="005D642E">
        <w:rPr>
          <w:rtl/>
        </w:rPr>
        <w:t xml:space="preserve"> ، ج 4 ، ص 1365 ؛ </w:t>
      </w:r>
      <w:r w:rsidR="00E3253D" w:rsidRPr="002F4D34">
        <w:rPr>
          <w:rStyle w:val="libFootnoteBoldChar"/>
          <w:rtl/>
        </w:rPr>
        <w:t>المغرب</w:t>
      </w:r>
      <w:r w:rsidR="00E3253D" w:rsidRPr="005D642E">
        <w:rPr>
          <w:rtl/>
        </w:rPr>
        <w:t xml:space="preserve"> ، ص 191 ؛ </w:t>
      </w:r>
      <w:r w:rsidR="00E3253D" w:rsidRPr="002F4D34">
        <w:rPr>
          <w:rStyle w:val="libFootnoteBoldChar"/>
          <w:rtl/>
        </w:rPr>
        <w:t>المصباح المنير</w:t>
      </w:r>
      <w:r w:rsidR="00E3253D" w:rsidRPr="005D642E">
        <w:rPr>
          <w:rtl/>
        </w:rPr>
        <w:t xml:space="preserve"> ، ص 230 ( رعف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فامتخط » ، أي</w:t>
      </w:r>
      <w:r w:rsidR="00277098">
        <w:rPr>
          <w:rtl/>
        </w:rPr>
        <w:t xml:space="preserve"> أخرج مُخاطَه من أنفه ، والم</w:t>
      </w:r>
      <w:r w:rsidR="00277098">
        <w:rPr>
          <w:rFonts w:hint="cs"/>
          <w:rtl/>
        </w:rPr>
        <w:t>ـُ</w:t>
      </w:r>
      <w:r w:rsidR="00E3253D" w:rsidRPr="005D642E">
        <w:rPr>
          <w:rtl/>
        </w:rPr>
        <w:t xml:space="preserve">خاط : ما يسيل من الأنف ، وهو هنا الدم. راجع : </w:t>
      </w:r>
      <w:r w:rsidR="00E3253D" w:rsidRPr="002F4D34">
        <w:rPr>
          <w:rStyle w:val="libFootnoteBoldChar"/>
          <w:rtl/>
        </w:rPr>
        <w:t>لسان العرب</w:t>
      </w:r>
      <w:r w:rsidR="00E3253D" w:rsidRPr="005D642E">
        <w:rPr>
          <w:rtl/>
        </w:rPr>
        <w:t xml:space="preserve"> ، ج 7 ، ص 398 ؛ </w:t>
      </w:r>
      <w:r w:rsidR="00E3253D" w:rsidRPr="002F4D34">
        <w:rPr>
          <w:rStyle w:val="libFootnoteBoldChar"/>
          <w:rtl/>
        </w:rPr>
        <w:t>المصباح المنير</w:t>
      </w:r>
      <w:r w:rsidR="00E3253D" w:rsidRPr="005D642E">
        <w:rPr>
          <w:rtl/>
        </w:rPr>
        <w:t xml:space="preserve"> ، ص 566 ( مخط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وصار »</w:t>
      </w:r>
      <w:r w:rsidR="00E3253D">
        <w:rPr>
          <w:rtl/>
        </w:rPr>
        <w:t>.</w:t>
      </w:r>
      <w:r w:rsidR="00E3253D" w:rsidRPr="005D642E">
        <w:rPr>
          <w:rtl/>
        </w:rPr>
        <w:t xml:space="preserve"> وفي مسائل عليّ بن جعفر : « فطار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بعض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بح ، جس » والوسائل : « قطراً »</w:t>
      </w:r>
      <w:r w:rsidR="00E3253D">
        <w:rPr>
          <w:rtl/>
        </w:rPr>
        <w:t>.</w:t>
      </w:r>
      <w:r w:rsidR="00E3253D" w:rsidRPr="005D642E">
        <w:rPr>
          <w:rtl/>
        </w:rPr>
        <w:t xml:space="preserve"> وفي مسائل عليّ بن جعفر : « قطراً قطراً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ومسائل عليّ بن جعفر :</w:t>
      </w:r>
      <w:r w:rsidR="00E3253D">
        <w:rPr>
          <w:rtl/>
        </w:rPr>
        <w:t xml:space="preserve"> </w:t>
      </w:r>
      <w:r w:rsidR="007642BC">
        <w:rPr>
          <w:rtl/>
        </w:rPr>
        <w:t>-</w:t>
      </w:r>
      <w:r w:rsidR="00E3253D">
        <w:rPr>
          <w:rtl/>
        </w:rPr>
        <w:t xml:space="preserve"> </w:t>
      </w:r>
      <w:r w:rsidR="00E3253D" w:rsidRPr="005D642E">
        <w:rPr>
          <w:rtl/>
        </w:rPr>
        <w:t>« له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ومسائل عليّ بن جعفر : « قال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ى » : « كانت »</w:t>
      </w:r>
      <w:r w:rsidR="00E3253D">
        <w:rPr>
          <w:rtl/>
        </w:rPr>
        <w:t>.</w:t>
      </w:r>
      <w:r w:rsidR="00E3253D" w:rsidRPr="005D642E">
        <w:rPr>
          <w:rtl/>
        </w:rPr>
        <w:t xml:space="preserve"> وفي التهذيب : « فإن كان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الوسائل : « فلا تتوضّأ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w:t>
      </w:r>
      <w:r w:rsidRPr="007C12DB">
        <w:rPr>
          <w:rStyle w:val="libFootnotenumChar"/>
          <w:rtl/>
        </w:rPr>
        <w:t>(1)</w:t>
      </w:r>
      <w:r w:rsidRPr="005D642E">
        <w:rPr>
          <w:rtl/>
          <w:lang w:bidi="fa-IR"/>
        </w:rPr>
        <w:t xml:space="preserve"> : وَسَأَلْتُهُ عَنْ رَجُلٍ رَعَفَ </w:t>
      </w:r>
      <w:r w:rsidRPr="007C12DB">
        <w:rPr>
          <w:rStyle w:val="libFootnotenumChar"/>
          <w:rtl/>
        </w:rPr>
        <w:t>(2)</w:t>
      </w:r>
      <w:r w:rsidRPr="005D642E">
        <w:rPr>
          <w:rtl/>
          <w:lang w:bidi="fa-IR"/>
        </w:rPr>
        <w:t xml:space="preserve"> وَهُوَ </w:t>
      </w:r>
      <w:r w:rsidRPr="007C12DB">
        <w:rPr>
          <w:rStyle w:val="libFootnotenumChar"/>
          <w:rtl/>
        </w:rPr>
        <w:t>(3)</w:t>
      </w:r>
      <w:r w:rsidRPr="005D642E">
        <w:rPr>
          <w:rtl/>
          <w:lang w:bidi="fa-IR"/>
        </w:rPr>
        <w:t xml:space="preserve"> يَتَوَضَّأُ ، فَتَقْطُرُ </w:t>
      </w:r>
      <w:r w:rsidRPr="007C12DB">
        <w:rPr>
          <w:rStyle w:val="libFootnotenumChar"/>
          <w:rtl/>
        </w:rPr>
        <w:t>(4)</w:t>
      </w:r>
      <w:r w:rsidRPr="005D642E">
        <w:rPr>
          <w:rtl/>
          <w:lang w:bidi="fa-IR"/>
        </w:rPr>
        <w:t xml:space="preserve"> قَطْرَةٌ فِي إِنَائِهِ : هَلْ يَصْلُحُ </w:t>
      </w:r>
      <w:r w:rsidRPr="007C12DB">
        <w:rPr>
          <w:rStyle w:val="libFootnotenumChar"/>
          <w:rtl/>
        </w:rPr>
        <w:t>(5)</w:t>
      </w:r>
      <w:r w:rsidRPr="005D642E">
        <w:rPr>
          <w:rtl/>
          <w:lang w:bidi="fa-IR"/>
        </w:rPr>
        <w:t xml:space="preserve"> الْوُضُوءُ مِنْهُ</w:t>
      </w:r>
      <w:r>
        <w:rPr>
          <w:rtl/>
          <w:lang w:bidi="fa-IR"/>
        </w:rPr>
        <w:t>؟</w:t>
      </w:r>
      <w:r w:rsidRPr="005D642E">
        <w:rPr>
          <w:rtl/>
          <w:lang w:bidi="fa-IR"/>
        </w:rPr>
        <w:t xml:space="preserve"> قَالَ : « لَا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2E17D5">
        <w:rPr>
          <w:rtl/>
        </w:rPr>
        <w:t>4147</w:t>
      </w:r>
      <w:r w:rsidRPr="00246318">
        <w:rPr>
          <w:rStyle w:val="libBold2Char"/>
          <w:rtl/>
        </w:rPr>
        <w:t xml:space="preserve"> / 17.</w:t>
      </w:r>
      <w:r w:rsidRPr="005D642E">
        <w:rPr>
          <w:rtl/>
          <w:lang w:bidi="fa-IR"/>
        </w:rPr>
        <w:t xml:space="preserve"> مُحَمَّدُ بْنُ يَحْيى ، عَنْ أَحْمَدَ بْنِ مُحَمَّدٍ ، عَنِ الْبَرْقِيِّ ، عَنْ سَعْدِ بْنِ سَعْدٍ ، عَنْ صَفْوَانَ ، قَالَ :</w:t>
      </w:r>
    </w:p>
    <w:p w:rsidR="00E3253D" w:rsidRPr="005D642E" w:rsidRDefault="00E3253D" w:rsidP="00E3253D">
      <w:pPr>
        <w:pStyle w:val="libNormal"/>
        <w:rPr>
          <w:rtl/>
          <w:lang w:bidi="fa-IR"/>
        </w:rPr>
      </w:pPr>
      <w:r w:rsidRPr="005D642E">
        <w:rPr>
          <w:rtl/>
          <w:lang w:bidi="fa-IR"/>
        </w:rPr>
        <w:t xml:space="preserve">سَأَلْتُ أَبَا الْحَسَنِ </w:t>
      </w:r>
      <w:r w:rsidRPr="00AC51C5">
        <w:rPr>
          <w:rStyle w:val="libAlaemChar"/>
          <w:rtl/>
        </w:rPr>
        <w:t>عليه‌السلام</w:t>
      </w:r>
      <w:r w:rsidRPr="005D642E">
        <w:rPr>
          <w:rtl/>
          <w:lang w:bidi="fa-IR"/>
        </w:rPr>
        <w:t xml:space="preserve"> عَنْ رَجُلٍ احْتَاجَ إِلَى الْوُضُوءِ لِلصَّلَاةِ وَهُوَ لَايَقْدِرُ عَلَى الْمَاءِ ، فَوَجَدَ بِقَدْرِ </w:t>
      </w:r>
      <w:r w:rsidRPr="007C12DB">
        <w:rPr>
          <w:rStyle w:val="libFootnotenumChar"/>
          <w:rtl/>
        </w:rPr>
        <w:t>(8)</w:t>
      </w:r>
      <w:r w:rsidRPr="005D642E">
        <w:rPr>
          <w:rtl/>
          <w:lang w:bidi="fa-IR"/>
        </w:rPr>
        <w:t xml:space="preserve"> مَا يَتَوَضَّأُ بِهِ </w:t>
      </w:r>
      <w:r w:rsidRPr="007C12DB">
        <w:rPr>
          <w:rStyle w:val="libFootnotenumChar"/>
          <w:rtl/>
        </w:rPr>
        <w:t>(9)</w:t>
      </w:r>
      <w:r w:rsidRPr="005D642E">
        <w:rPr>
          <w:rtl/>
          <w:lang w:bidi="fa-IR"/>
        </w:rPr>
        <w:t xml:space="preserve"> بِمِائَةِ دِرْهَمٍ ، أَوْ بِأَلْفِ دِرْهَمٍ وَهُوَ وَاجِدٌ لَهَا </w:t>
      </w:r>
      <w:r w:rsidRPr="007C12DB">
        <w:rPr>
          <w:rStyle w:val="libFootnotenumChar"/>
          <w:rtl/>
        </w:rPr>
        <w:t>(10)</w:t>
      </w:r>
      <w:r w:rsidRPr="005D642E">
        <w:rPr>
          <w:rtl/>
          <w:lang w:bidi="fa-IR"/>
        </w:rPr>
        <w:t xml:space="preserve"> : يَشْتَرِي </w:t>
      </w:r>
      <w:r w:rsidRPr="007C12DB">
        <w:rPr>
          <w:rStyle w:val="libFootnotenumChar"/>
          <w:rtl/>
        </w:rPr>
        <w:t>(11)</w:t>
      </w:r>
      <w:r w:rsidRPr="005D642E">
        <w:rPr>
          <w:rtl/>
          <w:lang w:bidi="fa-IR"/>
        </w:rPr>
        <w:t xml:space="preserve"> وَيَتَوَضَّأُ ، أَوْ يَتَيَمَّمُ</w:t>
      </w:r>
      <w:r>
        <w:rPr>
          <w:rtl/>
          <w:lang w:bidi="fa-IR"/>
        </w:rPr>
        <w:t>؟</w:t>
      </w:r>
    </w:p>
    <w:p w:rsidR="00E3253D" w:rsidRPr="005D642E" w:rsidRDefault="00E3253D" w:rsidP="00E3253D">
      <w:pPr>
        <w:pStyle w:val="libNormal"/>
        <w:rPr>
          <w:rtl/>
          <w:lang w:bidi="fa-IR"/>
        </w:rPr>
      </w:pPr>
      <w:r w:rsidRPr="005D642E">
        <w:rPr>
          <w:rtl/>
          <w:lang w:bidi="fa-IR"/>
        </w:rPr>
        <w:t xml:space="preserve">قَالَ : « لَا ، بَلْ يَشْتَرِي ، قَدْ </w:t>
      </w:r>
      <w:r w:rsidRPr="007C12DB">
        <w:rPr>
          <w:rStyle w:val="libFootnotenumChar"/>
          <w:rtl/>
        </w:rPr>
        <w:t>(12)</w:t>
      </w:r>
      <w:r w:rsidRPr="005D642E">
        <w:rPr>
          <w:rtl/>
          <w:lang w:bidi="fa-IR"/>
        </w:rPr>
        <w:t xml:space="preserve"> أَصَابَنِي مِثْلُ ذلِكَ </w:t>
      </w:r>
      <w:r w:rsidRPr="007C12DB">
        <w:rPr>
          <w:rStyle w:val="libFootnotenumChar"/>
          <w:rtl/>
        </w:rPr>
        <w:t>(13)</w:t>
      </w:r>
      <w:r w:rsidRPr="005D642E">
        <w:rPr>
          <w:rtl/>
          <w:lang w:bidi="fa-IR"/>
        </w:rPr>
        <w:t xml:space="preserve"> ، فَاشْتَرَيْتُ وَتَوَضَّأْتُ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مرجع الضمير المستتر في « قال » هو عليّ بن جعفر.</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مسائل عليّ بن جعفر : « الرجل يرعف » بدل « رجل رعف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 « فهو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ظ ، بث ، بح ، جس » والوسائل. وفي « غ ، ى ، بخ ، بس ، بف ، جح ، جن » وحاشية « بح » : « فقطر » مع تضعيف الطاء في بعضها. وفي المطبوع </w:t>
      </w:r>
      <w:r w:rsidR="000D749A" w:rsidRPr="000D749A">
        <w:rPr>
          <w:rStyle w:val="libFootnoteBoldChar"/>
          <w:rtl/>
        </w:rPr>
        <w:t>والوافي</w:t>
      </w:r>
      <w:r w:rsidR="00E3253D" w:rsidRPr="005D642E">
        <w:rPr>
          <w:rtl/>
        </w:rPr>
        <w:t xml:space="preserve"> : « فيقطر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هل »</w:t>
      </w:r>
      <w:r w:rsidR="00E3253D">
        <w:rPr>
          <w:rtl/>
        </w:rPr>
        <w:t>.</w:t>
      </w:r>
      <w:r w:rsidR="00E3253D" w:rsidRPr="005D642E">
        <w:rPr>
          <w:rtl/>
        </w:rPr>
        <w:t xml:space="preserve"> وفي مسائل عليّ بن جعفر : + « له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النهي في آخر الحديث محمول على ما إذا استبان ؛ ليوافق صدر الحديث ، والوجه في النهي ما أشرنا إليه من أنّ ماء الوضوء والغسل لابدّ له من مزيد اختصاص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مسائل عليّ بن جعفر</w:t>
      </w:r>
      <w:r w:rsidR="00E3253D" w:rsidRPr="005D642E">
        <w:rPr>
          <w:rtl/>
        </w:rPr>
        <w:t xml:space="preserve"> ، ص 119 ، مع اختلاف يسير. وفي </w:t>
      </w:r>
      <w:r w:rsidR="00E3253D" w:rsidRPr="002F4D34">
        <w:rPr>
          <w:rStyle w:val="libFootnoteBoldChar"/>
          <w:rtl/>
        </w:rPr>
        <w:t>التهذيب</w:t>
      </w:r>
      <w:r w:rsidR="00E3253D" w:rsidRPr="005D642E">
        <w:rPr>
          <w:rtl/>
        </w:rPr>
        <w:t xml:space="preserve"> ، ج 1 ، ص 412 ، ح 1299 ؛ </w:t>
      </w:r>
      <w:r w:rsidR="00E3253D" w:rsidRPr="00E678B5">
        <w:rPr>
          <w:rStyle w:val="libFootnoteBoldChar"/>
          <w:rtl/>
        </w:rPr>
        <w:t>والاستبصار</w:t>
      </w:r>
      <w:r w:rsidR="00E3253D" w:rsidRPr="005D642E">
        <w:rPr>
          <w:rtl/>
        </w:rPr>
        <w:t xml:space="preserve"> ، ج 1 ، ص 23 ، ح 57 ، بسندهما عن العمركي ، إلى قوله : « فلا يتوضّأ منه » </w:t>
      </w:r>
      <w:r w:rsidR="00C60751">
        <w:rPr>
          <w:rFonts w:hint="cs"/>
          <w:rtl/>
        </w:rPr>
        <w:t>.</w:t>
      </w:r>
      <w:r w:rsidR="00E3253D" w:rsidRPr="002F4D34">
        <w:rPr>
          <w:rStyle w:val="libFootnoteBoldChar"/>
          <w:rtl/>
        </w:rPr>
        <w:t>الوافي</w:t>
      </w:r>
      <w:r w:rsidR="00E3253D" w:rsidRPr="005D642E">
        <w:rPr>
          <w:rtl/>
        </w:rPr>
        <w:t xml:space="preserve"> ، ج 6 ، ص 25 ، ح 3680 </w:t>
      </w:r>
      <w:r w:rsidR="00E3253D">
        <w:rPr>
          <w:rtl/>
        </w:rPr>
        <w:t>و 3</w:t>
      </w:r>
      <w:r w:rsidR="00E3253D" w:rsidRPr="005D642E">
        <w:rPr>
          <w:rtl/>
        </w:rPr>
        <w:t xml:space="preserve">681 ؛ </w:t>
      </w:r>
      <w:r w:rsidR="00E3253D" w:rsidRPr="002F4D34">
        <w:rPr>
          <w:rStyle w:val="libFootnoteBoldChar"/>
          <w:rtl/>
        </w:rPr>
        <w:t>الوسائل</w:t>
      </w:r>
      <w:r w:rsidR="00E3253D" w:rsidRPr="005D642E">
        <w:rPr>
          <w:rtl/>
        </w:rPr>
        <w:t xml:space="preserve"> ، ج 1 ، ص 150 ، ح 375.</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w:t>
      </w:r>
      <w:r w:rsidR="00B60612" w:rsidRPr="00B60612">
        <w:rPr>
          <w:rStyle w:val="libFootnoteBoldChar"/>
          <w:rtl/>
        </w:rPr>
        <w:t>والتهذيب</w:t>
      </w:r>
      <w:r w:rsidR="00E3253D" w:rsidRPr="005D642E">
        <w:rPr>
          <w:rtl/>
        </w:rPr>
        <w:t xml:space="preserve"> : « قدر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به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حاشية « بح » : « بها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Pr>
          <w:rtl/>
        </w:rPr>
        <w:t xml:space="preserve"> في « جس » : « أ</w:t>
      </w:r>
      <w:r w:rsidR="00C60751">
        <w:rPr>
          <w:rFonts w:hint="cs"/>
          <w:rtl/>
        </w:rPr>
        <w:t xml:space="preserve"> </w:t>
      </w:r>
      <w:r w:rsidR="00E3253D" w:rsidRPr="005D642E">
        <w:rPr>
          <w:rtl/>
        </w:rPr>
        <w:t>يشتري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حاشية « بخ » : « وقد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ى ، بث ، بخ ، بس ، بف ، جح ، جن » وحاشية « غ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هذا »</w:t>
      </w:r>
      <w:r w:rsidR="00E3253D">
        <w:rPr>
          <w:rtl/>
        </w:rPr>
        <w:t>.</w:t>
      </w:r>
    </w:p>
    <w:p w:rsidR="00E3253D" w:rsidRDefault="00E3253D" w:rsidP="00E3253D">
      <w:pPr>
        <w:pStyle w:val="libNormal"/>
        <w:rPr>
          <w:rtl/>
          <w:lang w:bidi="fa-IR"/>
        </w:rPr>
      </w:pPr>
      <w:r>
        <w:rPr>
          <w:rtl/>
          <w:lang w:bidi="fa-IR"/>
        </w:rPr>
        <w:br w:type="page"/>
      </w:r>
    </w:p>
    <w:p w:rsidR="00C60751" w:rsidRPr="005D642E" w:rsidRDefault="00E3253D" w:rsidP="00C60751">
      <w:pPr>
        <w:pStyle w:val="libNormal"/>
        <w:rPr>
          <w:rtl/>
          <w:lang w:bidi="fa-IR"/>
        </w:rPr>
      </w:pPr>
      <w:r w:rsidRPr="005D642E">
        <w:rPr>
          <w:rtl/>
          <w:lang w:bidi="fa-IR"/>
        </w:rPr>
        <w:lastRenderedPageBreak/>
        <w:t xml:space="preserve">وَمَا يَسُرُّنِي </w:t>
      </w:r>
      <w:r w:rsidRPr="007C12DB">
        <w:rPr>
          <w:rStyle w:val="libFootnotenumChar"/>
          <w:rtl/>
        </w:rPr>
        <w:t>(1)</w:t>
      </w:r>
      <w:r w:rsidRPr="005D642E">
        <w:rPr>
          <w:rtl/>
          <w:lang w:bidi="fa-IR"/>
        </w:rPr>
        <w:t xml:space="preserve"> بِذلِكَ مَالٌ كَثِيرٌ »</w:t>
      </w:r>
      <w:r>
        <w:rPr>
          <w:rtl/>
          <w:lang w:bidi="fa-IR"/>
        </w:rPr>
        <w:t>.</w:t>
      </w:r>
      <w:r w:rsidRPr="005D642E">
        <w:rPr>
          <w:rtl/>
          <w:lang w:bidi="fa-IR"/>
        </w:rPr>
        <w:t xml:space="preserve"> </w:t>
      </w:r>
      <w:r w:rsidRPr="007C12DB">
        <w:rPr>
          <w:rStyle w:val="libFootnotenumChar"/>
          <w:rtl/>
        </w:rPr>
        <w:t>(2)</w:t>
      </w:r>
    </w:p>
    <w:p w:rsidR="00E3253D" w:rsidRDefault="00E3253D" w:rsidP="00C60751">
      <w:pPr>
        <w:pStyle w:val="libNormal0"/>
        <w:rPr>
          <w:rtl/>
        </w:rPr>
      </w:pPr>
      <w:r w:rsidRPr="00310FD9">
        <w:rPr>
          <w:rtl/>
        </w:rPr>
        <w:t>هذَا آخِرُ كِتَابِ الطَّهَارَةِ مِنْ كِتَابِ الْكَافِي ، وَيَتْلُوهُ كِتَابُ الْحَيْضِ</w:t>
      </w:r>
    </w:p>
    <w:p w:rsidR="00E3253D" w:rsidRPr="00310FD9" w:rsidRDefault="00E3253D" w:rsidP="00C60751">
      <w:pPr>
        <w:pStyle w:val="libCenter"/>
        <w:rPr>
          <w:rtl/>
        </w:rPr>
      </w:pPr>
      <w:r w:rsidRPr="00310FD9">
        <w:rPr>
          <w:rtl/>
        </w:rPr>
        <w:t>إِنْ شَاءَ اللهُ تَعَالى</w:t>
      </w:r>
      <w:r w:rsidRPr="007C12DB">
        <w:rPr>
          <w:rStyle w:val="libFootnotenumChar"/>
          <w:rtl/>
        </w:rPr>
        <w:t>(3)</w:t>
      </w:r>
      <w:r w:rsidR="00C60751">
        <w:rPr>
          <w:rFonts w:hint="cs"/>
          <w:rtl/>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09450B">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 ظ ، غ ، ي ، بح ، بس ، بف ، جس ، جن » وحاشية « بث ، جح » </w:t>
      </w:r>
      <w:r w:rsidR="00B60612" w:rsidRPr="00B60612">
        <w:rPr>
          <w:rStyle w:val="libFootnoteBoldChar"/>
          <w:rtl/>
        </w:rPr>
        <w:t>والتهذيب</w:t>
      </w:r>
      <w:r w:rsidR="00E3253D" w:rsidRPr="005D642E">
        <w:rPr>
          <w:rtl/>
        </w:rPr>
        <w:t xml:space="preserve"> والوسائل. وفي « بث ، جح » وحاشية « ظ ، بح ، بخ » </w:t>
      </w:r>
      <w:r w:rsidR="009E68BB" w:rsidRPr="009E68BB">
        <w:rPr>
          <w:rStyle w:val="libFootnoteBoldChar"/>
          <w:rtl/>
        </w:rPr>
        <w:t>و</w:t>
      </w:r>
      <w:r w:rsidR="0009450B">
        <w:rPr>
          <w:rStyle w:val="libFootnoteBoldChar"/>
          <w:rFonts w:hint="cs"/>
          <w:rtl/>
        </w:rPr>
        <w:t>الفقيه</w:t>
      </w:r>
      <w:r w:rsidR="00E3253D" w:rsidRPr="005D642E">
        <w:rPr>
          <w:rtl/>
        </w:rPr>
        <w:t xml:space="preserve"> : « وما يسوؤني »</w:t>
      </w:r>
      <w:r w:rsidR="00E3253D">
        <w:rPr>
          <w:rtl/>
        </w:rPr>
        <w:t>.</w:t>
      </w:r>
      <w:r w:rsidR="00E3253D" w:rsidRPr="005D642E">
        <w:rPr>
          <w:rtl/>
        </w:rPr>
        <w:t xml:space="preserve"> وفي حاشية « غ » : « وما يسرّلي »</w:t>
      </w:r>
      <w:r w:rsidR="00E3253D">
        <w:rPr>
          <w:rtl/>
        </w:rPr>
        <w:t>.</w:t>
      </w:r>
      <w:r w:rsidR="00E3253D" w:rsidRPr="005D642E">
        <w:rPr>
          <w:rtl/>
        </w:rPr>
        <w:t xml:space="preserve"> وفي حاشية « بح ، بخ » والمطبوع </w:t>
      </w:r>
      <w:r w:rsidR="000D749A" w:rsidRPr="000D749A">
        <w:rPr>
          <w:rStyle w:val="libFootnoteBoldChar"/>
          <w:rtl/>
        </w:rPr>
        <w:t>والوافي</w:t>
      </w:r>
      <w:r w:rsidR="00E3253D" w:rsidRPr="005D642E">
        <w:rPr>
          <w:rtl/>
        </w:rPr>
        <w:t xml:space="preserve"> : « وما يشترى »</w:t>
      </w:r>
      <w:r w:rsidR="00E3253D">
        <w:rPr>
          <w:rtl/>
        </w:rPr>
        <w:t>.</w:t>
      </w:r>
    </w:p>
    <w:p w:rsidR="00E3253D" w:rsidRPr="005D642E" w:rsidRDefault="00E3253D" w:rsidP="00B60612">
      <w:pPr>
        <w:pStyle w:val="libFootnote0"/>
        <w:rPr>
          <w:rtl/>
          <w:lang w:bidi="fa-IR"/>
        </w:rPr>
      </w:pPr>
      <w:r w:rsidRPr="0095070A">
        <w:rPr>
          <w:rtl/>
        </w:rPr>
        <w:t>وقال في الوافي : ولفظة « يشترى » يجوز قراءتها بالبناء للفاعل والمفعول والمراد أنّ الماء المشترى للوضوء بتلك الداراهم مال كثير لما يترتّب عليه من الثواب العظيم والأجر الجسيم. وفي النسخ اختلاف شديد في هذه اللفظة ولعلّ ما كتبناه أصوب »</w:t>
      </w:r>
      <w:r>
        <w:rPr>
          <w:rtl/>
        </w:rPr>
        <w:t>.</w:t>
      </w:r>
    </w:p>
    <w:p w:rsidR="00E3253D" w:rsidRPr="005D642E" w:rsidRDefault="00E3253D" w:rsidP="00B60612">
      <w:pPr>
        <w:pStyle w:val="libFootnote0"/>
        <w:rPr>
          <w:rtl/>
          <w:lang w:bidi="fa-IR"/>
        </w:rPr>
      </w:pPr>
      <w:r w:rsidRPr="0095070A">
        <w:rPr>
          <w:rtl/>
        </w:rPr>
        <w:t>هذا ، وما يبدو من تضافر النسخ وملائمة المعنى ، هو ترجيح عبارة « وما يسرّني » ؛ فإنّ المراد منها ، أنّه لايسرّني بما اكتسبت من تحصيل الوضوء مال كثير ، كما أنّ عبارة « وما يسوؤني » أكثر ملائمة ممّا ورد في المطبوع وقليلٍ من النسخ ؛ فإنّ المراد منها ، أنّه لايسوؤني بما اكتسبت من تحصيل الوضوء صرف مال كثير.</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406 ، ح 1276 ، معلّقاً عن محمّد بن يحيى. </w:t>
      </w:r>
      <w:r w:rsidR="00E3253D" w:rsidRPr="002F4D34">
        <w:rPr>
          <w:rStyle w:val="libFootnoteBoldChar"/>
          <w:rtl/>
        </w:rPr>
        <w:t>الفقيه</w:t>
      </w:r>
      <w:r w:rsidR="00E3253D" w:rsidRPr="005D642E">
        <w:rPr>
          <w:rtl/>
        </w:rPr>
        <w:t xml:space="preserve"> ، ج 1 ، ص 35 ، ح 71 ، مرسلاً عن أبي الحسن الرضا </w:t>
      </w:r>
      <w:r w:rsidR="00E3253D" w:rsidRPr="00F07BB8">
        <w:rPr>
          <w:rStyle w:val="libFootnoteAlaemChar"/>
          <w:rtl/>
        </w:rPr>
        <w:t>عليه‌السلام</w:t>
      </w:r>
      <w:r w:rsidR="00E3253D" w:rsidRPr="005D642E">
        <w:rPr>
          <w:rtl/>
        </w:rPr>
        <w:t xml:space="preserve"> ، مع اختلاف يسير </w:t>
      </w:r>
      <w:r w:rsidR="00F07BB8">
        <w:rPr>
          <w:rFonts w:hint="cs"/>
          <w:rtl/>
        </w:rPr>
        <w:t>.</w:t>
      </w:r>
      <w:r w:rsidR="00E3253D" w:rsidRPr="002F4D34">
        <w:rPr>
          <w:rStyle w:val="libFootnoteBoldChar"/>
          <w:rtl/>
        </w:rPr>
        <w:t>الوافي</w:t>
      </w:r>
      <w:r w:rsidR="00E3253D" w:rsidRPr="005D642E">
        <w:rPr>
          <w:rtl/>
        </w:rPr>
        <w:t xml:space="preserve"> ، ج 6 ، ص 556 ، ح 4921 ؛ </w:t>
      </w:r>
      <w:r w:rsidR="00E3253D" w:rsidRPr="002F4D34">
        <w:rPr>
          <w:rStyle w:val="libFootnoteBoldChar"/>
          <w:rtl/>
        </w:rPr>
        <w:t>الوسائل</w:t>
      </w:r>
      <w:r w:rsidR="00E3253D" w:rsidRPr="005D642E">
        <w:rPr>
          <w:rtl/>
        </w:rPr>
        <w:t xml:space="preserve"> ، ج 3 ، ص 389 ، ح 3948.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ورد في النسخ بدل « هذا آخر كتاب الطهارة</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كتاب الحيض إن شاء الله تعالى » عبارات مختلفة.</w:t>
      </w:r>
    </w:p>
    <w:p w:rsidR="00E3253D" w:rsidRDefault="00E3253D" w:rsidP="00E3253D">
      <w:pPr>
        <w:pStyle w:val="libNormal"/>
        <w:rPr>
          <w:rtl/>
          <w:lang w:bidi="fa-IR"/>
        </w:rPr>
      </w:pPr>
      <w:r>
        <w:rPr>
          <w:rtl/>
          <w:lang w:bidi="fa-IR"/>
        </w:rPr>
        <w:br w:type="page"/>
      </w:r>
    </w:p>
    <w:p w:rsidR="00E3253D" w:rsidRDefault="00E3253D" w:rsidP="00E3253D">
      <w:pPr>
        <w:pStyle w:val="libNormal"/>
        <w:rPr>
          <w:rtl/>
          <w:lang w:bidi="fa-IR"/>
        </w:rPr>
      </w:pPr>
      <w:r>
        <w:rPr>
          <w:rtl/>
          <w:lang w:bidi="fa-IR"/>
        </w:rPr>
        <w:lastRenderedPageBreak/>
        <w:br w:type="page"/>
      </w:r>
    </w:p>
    <w:p w:rsidR="00E3253D" w:rsidRDefault="00E3253D" w:rsidP="00E3253D">
      <w:pPr>
        <w:pStyle w:val="libCenterBold1"/>
        <w:rPr>
          <w:rtl/>
        </w:rPr>
      </w:pPr>
      <w:bookmarkStart w:id="168" w:name="_Toc344647266"/>
      <w:r w:rsidRPr="00310FD9">
        <w:rPr>
          <w:rtl/>
        </w:rPr>
        <w:lastRenderedPageBreak/>
        <w:t>(10)</w:t>
      </w:r>
      <w:bookmarkEnd w:id="168"/>
    </w:p>
    <w:p w:rsidR="00E3253D" w:rsidRPr="00310FD9" w:rsidRDefault="00E3253D" w:rsidP="00E3253D">
      <w:pPr>
        <w:pStyle w:val="Heading1Center"/>
        <w:rPr>
          <w:rtl/>
        </w:rPr>
      </w:pPr>
      <w:bookmarkStart w:id="169" w:name="_Toc344647267"/>
      <w:bookmarkStart w:id="170" w:name="_Toc462226781"/>
      <w:bookmarkStart w:id="171" w:name="_Toc40975889"/>
      <w:r w:rsidRPr="00310FD9">
        <w:rPr>
          <w:rtl/>
        </w:rPr>
        <w:t>كتاب الحيض‌</w:t>
      </w:r>
      <w:bookmarkEnd w:id="169"/>
      <w:bookmarkEnd w:id="170"/>
      <w:bookmarkEnd w:id="171"/>
    </w:p>
    <w:p w:rsidR="00E3253D" w:rsidRDefault="00E3253D" w:rsidP="00E3253D">
      <w:pPr>
        <w:pStyle w:val="libNormal"/>
        <w:rPr>
          <w:rtl/>
          <w:lang w:bidi="fa-IR"/>
        </w:rPr>
      </w:pPr>
      <w:r>
        <w:rPr>
          <w:rtl/>
          <w:lang w:bidi="fa-IR"/>
        </w:rPr>
        <w:br w:type="page"/>
      </w:r>
    </w:p>
    <w:p w:rsidR="00E3253D" w:rsidRDefault="00E3253D" w:rsidP="00E3253D">
      <w:pPr>
        <w:pStyle w:val="libNormal"/>
        <w:rPr>
          <w:rtl/>
          <w:lang w:bidi="fa-IR"/>
        </w:rPr>
      </w:pPr>
      <w:r>
        <w:rPr>
          <w:rtl/>
          <w:lang w:bidi="fa-IR"/>
        </w:rPr>
        <w:lastRenderedPageBreak/>
        <w:br w:type="page"/>
      </w:r>
    </w:p>
    <w:p w:rsidR="00E3253D" w:rsidRPr="005D642E" w:rsidRDefault="00E3253D" w:rsidP="00E3253D">
      <w:pPr>
        <w:pStyle w:val="libCenter"/>
        <w:rPr>
          <w:rtl/>
          <w:lang w:bidi="fa-IR"/>
        </w:rPr>
      </w:pPr>
      <w:r w:rsidRPr="00246318">
        <w:rPr>
          <w:rStyle w:val="libBold2Char"/>
          <w:rtl/>
        </w:rPr>
        <w:lastRenderedPageBreak/>
        <w:t>بسم الله الرحمن الرحيم</w:t>
      </w:r>
      <w:r w:rsidRPr="005D642E">
        <w:rPr>
          <w:rtl/>
          <w:lang w:bidi="fa-IR"/>
        </w:rPr>
        <w:t xml:space="preserve"> </w:t>
      </w:r>
      <w:r w:rsidRPr="007C12DB">
        <w:rPr>
          <w:rStyle w:val="libFootnotenumChar"/>
          <w:rtl/>
        </w:rPr>
        <w:t>(1)</w:t>
      </w:r>
    </w:p>
    <w:p w:rsidR="00E3253D" w:rsidRDefault="00E3253D" w:rsidP="00E3253D">
      <w:pPr>
        <w:pStyle w:val="libCenterBold1"/>
        <w:rPr>
          <w:rtl/>
          <w:lang w:bidi="fa-IR"/>
        </w:rPr>
      </w:pPr>
      <w:r w:rsidRPr="005D642E">
        <w:rPr>
          <w:rtl/>
          <w:lang w:bidi="fa-IR"/>
        </w:rPr>
        <w:t>[10]</w:t>
      </w:r>
    </w:p>
    <w:p w:rsidR="00E3253D" w:rsidRPr="005D642E" w:rsidRDefault="00E3253D" w:rsidP="00E3253D">
      <w:pPr>
        <w:pStyle w:val="Heading1Center"/>
        <w:rPr>
          <w:rtl/>
          <w:lang w:bidi="fa-IR"/>
        </w:rPr>
      </w:pPr>
      <w:bookmarkStart w:id="172" w:name="_Toc462226782"/>
      <w:bookmarkStart w:id="173" w:name="_Toc40975890"/>
      <w:r w:rsidRPr="005D642E">
        <w:rPr>
          <w:rtl/>
          <w:lang w:bidi="fa-IR"/>
        </w:rPr>
        <w:t>كِتَابُ الْحَيْضِ‌</w:t>
      </w:r>
      <w:bookmarkEnd w:id="172"/>
      <w:bookmarkEnd w:id="173"/>
    </w:p>
    <w:p w:rsidR="00E3253D" w:rsidRPr="005D642E" w:rsidRDefault="00E3253D" w:rsidP="00E3253D">
      <w:pPr>
        <w:pStyle w:val="Heading2Center"/>
        <w:rPr>
          <w:rtl/>
          <w:lang w:bidi="fa-IR"/>
        </w:rPr>
      </w:pPr>
      <w:bookmarkStart w:id="174" w:name="_Toc344647268"/>
      <w:bookmarkStart w:id="175" w:name="_Toc462226783"/>
      <w:bookmarkStart w:id="176" w:name="_Toc40975891"/>
      <w:r w:rsidRPr="005D642E">
        <w:rPr>
          <w:rtl/>
          <w:lang w:bidi="fa-IR"/>
        </w:rPr>
        <w:t>1</w:t>
      </w:r>
      <w:r>
        <w:rPr>
          <w:rtl/>
          <w:lang w:bidi="fa-IR"/>
        </w:rPr>
        <w:t xml:space="preserve"> </w:t>
      </w:r>
      <w:r w:rsidR="007642BC">
        <w:rPr>
          <w:rtl/>
          <w:lang w:bidi="fa-IR"/>
        </w:rPr>
        <w:t>-</w:t>
      </w:r>
      <w:r>
        <w:rPr>
          <w:rtl/>
          <w:lang w:bidi="fa-IR"/>
        </w:rPr>
        <w:t xml:space="preserve"> </w:t>
      </w:r>
      <w:r w:rsidRPr="005D642E">
        <w:rPr>
          <w:rtl/>
          <w:lang w:bidi="fa-IR"/>
        </w:rPr>
        <w:t xml:space="preserve">أَبْوَابُ الْحَيْضِ </w:t>
      </w:r>
      <w:r w:rsidRPr="007C12DB">
        <w:rPr>
          <w:rStyle w:val="libFootnotenumChar"/>
          <w:rtl/>
        </w:rPr>
        <w:t>(2)</w:t>
      </w:r>
      <w:bookmarkEnd w:id="174"/>
      <w:bookmarkEnd w:id="175"/>
      <w:bookmarkEnd w:id="176"/>
    </w:p>
    <w:p w:rsidR="00E3253D" w:rsidRPr="005D642E" w:rsidRDefault="00E3253D" w:rsidP="00E3253D">
      <w:pPr>
        <w:pStyle w:val="libNormal"/>
        <w:rPr>
          <w:rtl/>
          <w:lang w:bidi="fa-IR"/>
        </w:rPr>
      </w:pPr>
      <w:r w:rsidRPr="00310FD9">
        <w:rPr>
          <w:rtl/>
        </w:rPr>
        <w:t>4148</w:t>
      </w:r>
      <w:r w:rsidRPr="00246318">
        <w:rPr>
          <w:rStyle w:val="libBold2Char"/>
          <w:rtl/>
        </w:rPr>
        <w:t xml:space="preserve"> / 1.</w:t>
      </w:r>
      <w:r w:rsidRPr="005D642E">
        <w:rPr>
          <w:rtl/>
          <w:lang w:bidi="fa-IR"/>
        </w:rPr>
        <w:t xml:space="preserve"> الْحُسَيْنُ بْنُ مُحَمَّدٍ ، عَنْ مُعَلَّى بْنِ مُحَمَّدٍ ، عَنِ الْحَسَنِ بْنِ عَلِيٍّ الْوَشَّاءِ ، عَنْ حَمَّادِ بْنِ عُثْمَانَ ، عَنْ أُدَيْمِ بْنِ الْحُرِّ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إِنَّ اللهَ</w:t>
      </w:r>
      <w:r>
        <w:rPr>
          <w:rtl/>
          <w:lang w:bidi="fa-IR"/>
        </w:rPr>
        <w:t xml:space="preserve"> </w:t>
      </w:r>
      <w:r w:rsidR="007642BC">
        <w:rPr>
          <w:rtl/>
          <w:lang w:bidi="fa-IR"/>
        </w:rPr>
        <w:t>-</w:t>
      </w:r>
      <w:r>
        <w:rPr>
          <w:rtl/>
          <w:lang w:bidi="fa-IR"/>
        </w:rPr>
        <w:t xml:space="preserve"> </w:t>
      </w:r>
      <w:r w:rsidRPr="005D642E">
        <w:rPr>
          <w:rtl/>
          <w:lang w:bidi="fa-IR"/>
        </w:rPr>
        <w:t>تَبَارَكَ وَتَعَالى</w:t>
      </w:r>
      <w:r>
        <w:rPr>
          <w:rtl/>
          <w:lang w:bidi="fa-IR"/>
        </w:rPr>
        <w:t xml:space="preserve"> </w:t>
      </w:r>
      <w:r w:rsidR="007642BC">
        <w:rPr>
          <w:rtl/>
          <w:lang w:bidi="fa-IR"/>
        </w:rPr>
        <w:t>-</w:t>
      </w:r>
      <w:r>
        <w:rPr>
          <w:rtl/>
          <w:lang w:bidi="fa-IR"/>
        </w:rPr>
        <w:t xml:space="preserve"> </w:t>
      </w:r>
      <w:r w:rsidRPr="005D642E">
        <w:rPr>
          <w:rtl/>
          <w:lang w:bidi="fa-IR"/>
        </w:rPr>
        <w:t>حَدَّ لِلنّ</w:t>
      </w:r>
      <w:r w:rsidR="00826FF3">
        <w:rPr>
          <w:rtl/>
          <w:lang w:bidi="fa-IR"/>
        </w:rPr>
        <w:t>ِسَاءِ فِي كُلِّ شَهْرٍ مَرَّةً</w:t>
      </w:r>
      <w:r w:rsidRPr="005D642E">
        <w:rPr>
          <w:rtl/>
          <w:lang w:bidi="fa-IR"/>
        </w:rPr>
        <w:t>»</w:t>
      </w:r>
      <w:r>
        <w:rPr>
          <w:rtl/>
          <w:lang w:bidi="fa-IR"/>
        </w:rPr>
        <w:t>.</w:t>
      </w:r>
      <w:r w:rsidRPr="007C12DB">
        <w:rPr>
          <w:rStyle w:val="libFootnotenumChar"/>
          <w:rtl/>
        </w:rPr>
        <w:t>(3)</w:t>
      </w:r>
    </w:p>
    <w:p w:rsidR="00E3253D" w:rsidRPr="005D642E" w:rsidRDefault="00E3253D" w:rsidP="00E3253D">
      <w:pPr>
        <w:pStyle w:val="libNormal"/>
        <w:rPr>
          <w:rtl/>
          <w:lang w:bidi="fa-IR"/>
        </w:rPr>
      </w:pPr>
      <w:r w:rsidRPr="00B1555E">
        <w:rPr>
          <w:rtl/>
        </w:rPr>
        <w:t>4149</w:t>
      </w:r>
      <w:r w:rsidRPr="00246318">
        <w:rPr>
          <w:rStyle w:val="libBold2Char"/>
          <w:rtl/>
        </w:rPr>
        <w:t xml:space="preserve"> / 2.</w:t>
      </w:r>
      <w:r w:rsidRPr="005D642E">
        <w:rPr>
          <w:rtl/>
          <w:lang w:bidi="fa-IR"/>
        </w:rPr>
        <w:t xml:space="preserve"> عَلِيُّ بْنُ إِبْرَاهِيمَ ، عَنْ أَبِيهِ ، عَنِ ابْنِ أَبِي عُمَيْرٍ ، عَنْ حَمَّادٍ </w:t>
      </w:r>
      <w:r w:rsidRPr="007C12DB">
        <w:rPr>
          <w:rStyle w:val="libFootnotenumChar"/>
          <w:rtl/>
        </w:rPr>
        <w:t>(4)</w:t>
      </w:r>
      <w:r w:rsidRPr="005D642E">
        <w:rPr>
          <w:rtl/>
          <w:lang w:bidi="fa-IR"/>
        </w:rPr>
        <w:t xml:space="preserve"> ، عَنِ الْحَلَبِيِّ :</w:t>
      </w:r>
    </w:p>
    <w:p w:rsidR="00F43E0D" w:rsidRPr="005D642E" w:rsidRDefault="00E3253D" w:rsidP="00F43E0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قَوْلِ اللهِ عَزَّ وَجَلَّ : </w:t>
      </w:r>
      <w:r w:rsidRPr="00AC51C5">
        <w:rPr>
          <w:rStyle w:val="libAlaemChar"/>
          <w:rtl/>
        </w:rPr>
        <w:t>(</w:t>
      </w:r>
      <w:r w:rsidRPr="00AC51C5">
        <w:rPr>
          <w:rStyle w:val="libAieChar"/>
          <w:rtl/>
        </w:rPr>
        <w:t xml:space="preserve"> إِنِ ارْتَبْتُمْ </w:t>
      </w:r>
      <w:r w:rsidRPr="00AC51C5">
        <w:rPr>
          <w:rStyle w:val="libAlaemChar"/>
          <w:rtl/>
        </w:rPr>
        <w:t>)</w:t>
      </w:r>
      <w:r w:rsidRPr="005D642E">
        <w:rPr>
          <w:rtl/>
          <w:lang w:bidi="fa-IR"/>
        </w:rPr>
        <w:t xml:space="preserve"> </w:t>
      </w:r>
      <w:r w:rsidRPr="007C12DB">
        <w:rPr>
          <w:rStyle w:val="libFootnotenumChar"/>
          <w:rtl/>
        </w:rPr>
        <w:t>(5)</w:t>
      </w:r>
      <w:r w:rsidR="00C870E5">
        <w:rPr>
          <w:rFonts w:hint="cs"/>
          <w:rtl/>
          <w:lang w:bidi="fa-IR"/>
        </w:rPr>
        <w:t>؟</w:t>
      </w:r>
    </w:p>
    <w:p w:rsidR="00E3253D" w:rsidRPr="005D642E" w:rsidRDefault="00E3253D" w:rsidP="00F43E0D">
      <w:pPr>
        <w:pStyle w:val="libNormal"/>
        <w:rPr>
          <w:rtl/>
          <w:lang w:bidi="fa-IR"/>
        </w:rPr>
      </w:pPr>
      <w:r w:rsidRPr="005D642E">
        <w:rPr>
          <w:rtl/>
          <w:lang w:bidi="fa-IR"/>
        </w:rPr>
        <w:t xml:space="preserve">فَقَالَ : « مَا جَازَ الشَّهْرَ </w:t>
      </w:r>
      <w:r w:rsidRPr="007C12DB">
        <w:rPr>
          <w:rStyle w:val="libFootnotenumChar"/>
          <w:rtl/>
        </w:rPr>
        <w:t>(6)</w:t>
      </w:r>
      <w:r w:rsidR="00FF0254">
        <w:rPr>
          <w:rFonts w:hint="cs"/>
          <w:rtl/>
          <w:lang w:bidi="fa-IR"/>
        </w:rPr>
        <w:t>....................................................</w:t>
      </w:r>
      <w:r w:rsidR="00FF0254">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ظ ، غ ، ى ، بث ، بح ، بس ، جح ، جن » وحاشية « بخ »</w:t>
      </w:r>
      <w:r w:rsidR="00E3253D">
        <w:rPr>
          <w:rtl/>
        </w:rPr>
        <w:t>.</w:t>
      </w:r>
      <w:r w:rsidR="00E3253D" w:rsidRPr="005D642E">
        <w:rPr>
          <w:rtl/>
        </w:rPr>
        <w:t xml:space="preserve"> وفي سائر النسخ والمطبوع :</w:t>
      </w:r>
      <w:r w:rsidR="00E3253D">
        <w:rPr>
          <w:rtl/>
        </w:rPr>
        <w:t xml:space="preserve"> </w:t>
      </w:r>
      <w:r w:rsidR="007642BC">
        <w:rPr>
          <w:rtl/>
        </w:rPr>
        <w:t>-</w:t>
      </w:r>
      <w:r w:rsidR="00E3253D">
        <w:rPr>
          <w:rtl/>
        </w:rPr>
        <w:t xml:space="preserve"> </w:t>
      </w:r>
      <w:r w:rsidR="00E3253D" w:rsidRPr="005D642E">
        <w:rPr>
          <w:rtl/>
        </w:rPr>
        <w:t>« بسم الله الرحمن الرحيم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أبواب المحيض »</w:t>
      </w:r>
      <w:r w:rsidR="00E3253D">
        <w:rPr>
          <w:rtl/>
        </w:rPr>
        <w:t>.</w:t>
      </w:r>
      <w:r w:rsidR="00E3253D" w:rsidRPr="005D642E">
        <w:rPr>
          <w:rtl/>
        </w:rPr>
        <w:t xml:space="preserve"> وفي مرآة العقول : « باب الحيض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443 ، ح 4643 ؛ </w:t>
      </w:r>
      <w:r w:rsidR="00E3253D" w:rsidRPr="002F4D34">
        <w:rPr>
          <w:rStyle w:val="libFootnoteBoldChar"/>
          <w:rtl/>
        </w:rPr>
        <w:t>الوسائل</w:t>
      </w:r>
      <w:r w:rsidR="00E3253D" w:rsidRPr="005D642E">
        <w:rPr>
          <w:rtl/>
        </w:rPr>
        <w:t xml:space="preserve"> ، ج 2 ، ص 292 ، ح 2164.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الكافي ، 10809 : + « بن عثمان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الطلاق (65) : 4. وفي الكافي ، ح 10809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ما الريبة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الكافي ، ح 10809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زاد على شهر » بدل « جاز الشهر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فَهُوَ رِيبَةٌ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p>
    <w:p w:rsidR="00E3253D" w:rsidRPr="005D642E" w:rsidRDefault="00E3253D" w:rsidP="00E3253D">
      <w:pPr>
        <w:pStyle w:val="Heading2Center"/>
        <w:rPr>
          <w:rtl/>
          <w:lang w:bidi="fa-IR"/>
        </w:rPr>
      </w:pPr>
      <w:bookmarkStart w:id="177" w:name="_Toc344647269"/>
      <w:bookmarkStart w:id="178" w:name="_Toc462226784"/>
      <w:bookmarkStart w:id="179" w:name="_Toc40975892"/>
      <w:r w:rsidRPr="005D642E">
        <w:rPr>
          <w:rtl/>
          <w:lang w:bidi="fa-IR"/>
        </w:rPr>
        <w:t>2</w:t>
      </w:r>
      <w:r>
        <w:rPr>
          <w:rtl/>
          <w:lang w:bidi="fa-IR"/>
        </w:rPr>
        <w:t xml:space="preserve"> </w:t>
      </w:r>
      <w:r w:rsidR="007642BC">
        <w:rPr>
          <w:rtl/>
          <w:lang w:bidi="fa-IR"/>
        </w:rPr>
        <w:t>-</w:t>
      </w:r>
      <w:r>
        <w:rPr>
          <w:rtl/>
          <w:lang w:bidi="fa-IR"/>
        </w:rPr>
        <w:t xml:space="preserve"> </w:t>
      </w:r>
      <w:r w:rsidRPr="005D642E">
        <w:rPr>
          <w:rtl/>
          <w:lang w:bidi="fa-IR"/>
        </w:rPr>
        <w:t>بَابُ أَدْنَى الْحَيْضِ وَأَقْصَاهُ وَأَدْنَى الطُّهْرِ‌</w:t>
      </w:r>
      <w:bookmarkEnd w:id="177"/>
      <w:bookmarkEnd w:id="178"/>
      <w:bookmarkEnd w:id="179"/>
    </w:p>
    <w:p w:rsidR="00E3253D" w:rsidRPr="005D642E" w:rsidRDefault="00E3253D" w:rsidP="00E3253D">
      <w:pPr>
        <w:pStyle w:val="libNormal"/>
        <w:rPr>
          <w:rtl/>
          <w:lang w:bidi="fa-IR"/>
        </w:rPr>
      </w:pPr>
      <w:r w:rsidRPr="00B1555E">
        <w:rPr>
          <w:rtl/>
        </w:rPr>
        <w:t>4150</w:t>
      </w:r>
      <w:r w:rsidRPr="00246318">
        <w:rPr>
          <w:rStyle w:val="libBold2Char"/>
          <w:rtl/>
        </w:rPr>
        <w:t xml:space="preserve"> / 1.</w:t>
      </w:r>
      <w:r w:rsidRPr="005D642E">
        <w:rPr>
          <w:rtl/>
          <w:lang w:bidi="fa-IR"/>
        </w:rPr>
        <w:t xml:space="preserve"> عِدَّةٌ مِنْ أَصْحَابِنَا ، عَنْ أَحْمَدَ بْنِ مُحَمَّدِ بْنِ عِيسى ، عَنْ عَلِيِّ بْنِ‌أَحْمَدَ بْنِ أَشْيَمَ ، عَنْ أَحْمَدَ بْنِ مُحَمَّدِ بْنِ أَبِي نَصْرٍ ، قَالَ :</w:t>
      </w:r>
    </w:p>
    <w:p w:rsidR="00E3253D" w:rsidRPr="005D642E" w:rsidRDefault="00E3253D" w:rsidP="00E3253D">
      <w:pPr>
        <w:pStyle w:val="libNormal"/>
        <w:rPr>
          <w:rtl/>
          <w:lang w:bidi="fa-IR"/>
        </w:rPr>
      </w:pPr>
      <w:r w:rsidRPr="005D642E">
        <w:rPr>
          <w:rtl/>
          <w:lang w:bidi="fa-IR"/>
        </w:rPr>
        <w:t xml:space="preserve">سَأَلْتُ أَبَا الْحَسَنِ </w:t>
      </w:r>
      <w:r w:rsidRPr="007C12DB">
        <w:rPr>
          <w:rStyle w:val="libFootnotenumChar"/>
          <w:rtl/>
        </w:rPr>
        <w:t>(3)</w:t>
      </w:r>
      <w:r w:rsidRPr="005D642E">
        <w:rPr>
          <w:rtl/>
          <w:lang w:bidi="fa-IR"/>
        </w:rPr>
        <w:t xml:space="preserve"> </w:t>
      </w:r>
      <w:r w:rsidRPr="00AC51C5">
        <w:rPr>
          <w:rStyle w:val="libAlaemChar"/>
          <w:rtl/>
        </w:rPr>
        <w:t>عليه‌السلام</w:t>
      </w:r>
      <w:r w:rsidRPr="005D642E">
        <w:rPr>
          <w:rtl/>
          <w:lang w:bidi="fa-IR"/>
        </w:rPr>
        <w:t xml:space="preserve"> عَنْ أَدْنى مَا يَكُونُ مِنَ الْحَيْضِ</w:t>
      </w:r>
      <w:r>
        <w:rPr>
          <w:rtl/>
          <w:lang w:bidi="fa-IR"/>
        </w:rPr>
        <w:t>؟</w:t>
      </w:r>
    </w:p>
    <w:p w:rsidR="00E3253D" w:rsidRPr="005D642E" w:rsidRDefault="00E3253D" w:rsidP="00E3253D">
      <w:pPr>
        <w:pStyle w:val="libNormal"/>
        <w:rPr>
          <w:rtl/>
          <w:lang w:bidi="fa-IR"/>
        </w:rPr>
      </w:pPr>
      <w:r w:rsidRPr="005D642E">
        <w:rPr>
          <w:rtl/>
          <w:lang w:bidi="fa-IR"/>
        </w:rPr>
        <w:t xml:space="preserve">فَقَالَ : « ثَلَاثَةٌ </w:t>
      </w:r>
      <w:r w:rsidRPr="007C12DB">
        <w:rPr>
          <w:rStyle w:val="libFootnotenumChar"/>
          <w:rtl/>
        </w:rPr>
        <w:t>(4)</w:t>
      </w:r>
      <w:r w:rsidRPr="005D642E">
        <w:rPr>
          <w:rtl/>
          <w:lang w:bidi="fa-IR"/>
        </w:rPr>
        <w:t xml:space="preserve"> ، وَأَكْثَرُهُ </w:t>
      </w:r>
      <w:r w:rsidRPr="007C12DB">
        <w:rPr>
          <w:rStyle w:val="libFootnotenumChar"/>
          <w:rtl/>
        </w:rPr>
        <w:t>(5)</w:t>
      </w:r>
      <w:r w:rsidRPr="005D642E">
        <w:rPr>
          <w:rtl/>
          <w:lang w:bidi="fa-IR"/>
        </w:rPr>
        <w:t xml:space="preserve"> عَشَرَةٌ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p>
    <w:p w:rsidR="00B74D89" w:rsidRDefault="00E3253D" w:rsidP="00B74D89">
      <w:pPr>
        <w:pStyle w:val="libNormal"/>
        <w:rPr>
          <w:rtl/>
          <w:lang w:bidi="fa-IR"/>
        </w:rPr>
      </w:pPr>
      <w:r w:rsidRPr="00B1555E">
        <w:rPr>
          <w:rtl/>
        </w:rPr>
        <w:t>4151</w:t>
      </w:r>
      <w:r w:rsidRPr="00246318">
        <w:rPr>
          <w:rStyle w:val="libBold2Char"/>
          <w:rtl/>
        </w:rPr>
        <w:t xml:space="preserve"> / 2.</w:t>
      </w:r>
      <w:r w:rsidRPr="005D642E">
        <w:rPr>
          <w:rtl/>
          <w:lang w:bidi="fa-IR"/>
        </w:rPr>
        <w:t xml:space="preserve"> مُحَمَّدُ بْنُ إِسْمَاعِيلَ ، عَنِ الْفَضْلِ بْنِ شَاذَانَ ؛</w:t>
      </w:r>
    </w:p>
    <w:p w:rsidR="00E3253D" w:rsidRPr="005D642E" w:rsidRDefault="00E3253D" w:rsidP="00B74D89">
      <w:pPr>
        <w:pStyle w:val="libNormal"/>
        <w:rPr>
          <w:rtl/>
          <w:lang w:bidi="fa-IR"/>
        </w:rPr>
      </w:pPr>
      <w:r w:rsidRPr="005D642E">
        <w:rPr>
          <w:rtl/>
          <w:lang w:bidi="fa-IR"/>
        </w:rPr>
        <w:t>وَعَلِيُّ بْنُ إِبْرَاهِيمَ ، عَنْ أَبِيهِ جَمِيعاً ، عَنِ ابْنِ أَبِي عُمَيْرٍ ، عَنْ مُعَاوِيَةَ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أَقَلُّ مَا يَكُونُ </w:t>
      </w:r>
      <w:r w:rsidRPr="007C12DB">
        <w:rPr>
          <w:rStyle w:val="libFootnotenumChar"/>
          <w:rtl/>
        </w:rPr>
        <w:t>(8)</w:t>
      </w:r>
      <w:r w:rsidRPr="005D642E">
        <w:rPr>
          <w:rtl/>
          <w:lang w:bidi="fa-IR"/>
        </w:rPr>
        <w:t xml:space="preserve"> الْحَيْضُ ثَلَاثَةُ أَيَّامٍ ، وَأَكْثَرُ مَا يَكُونُ‌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ج 13 ، ص 203 : « ظاهر هذا الخبر مخالف لكلام كافّة الأصحاب ولكثير من الأخبار ، ويمكن حمله مع بعد على أنّ الريبة والاختلاط يحصل بهذا القدر وإن لم يترتّب عليه الحكم المذكور في الآية ، أو المراد أنّه مع تجاوز الشهر عن العادة تحصل الريبة المقصودة من الآية غالباً ، والله أعلم »</w:t>
      </w:r>
      <w:r w:rsidR="00E3253D">
        <w:rPr>
          <w:rtl/>
        </w:rPr>
        <w:t>.</w:t>
      </w:r>
    </w:p>
    <w:p w:rsidR="00E3253D" w:rsidRPr="005D642E" w:rsidRDefault="0042621E" w:rsidP="00382F3B">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الكافي</w:t>
      </w:r>
      <w:r w:rsidR="00E3253D" w:rsidRPr="005D642E">
        <w:rPr>
          <w:rtl/>
        </w:rPr>
        <w:t xml:space="preserve"> ، كتاب الطلاق ، باب عدّة المسترابة ، ضمن ح 10809. </w:t>
      </w:r>
      <w:r w:rsidR="00E3253D" w:rsidRPr="002F4D34">
        <w:rPr>
          <w:rStyle w:val="libFootnoteBoldChar"/>
          <w:rtl/>
        </w:rPr>
        <w:t>التهذيب</w:t>
      </w:r>
      <w:r w:rsidR="00E3253D" w:rsidRPr="005D642E">
        <w:rPr>
          <w:rtl/>
        </w:rPr>
        <w:t xml:space="preserve"> ، ج 8 ، ص 118 ، ضمن ح 407 ، بسنده عن الكليني. </w:t>
      </w:r>
      <w:r w:rsidR="00E3253D" w:rsidRPr="002F4D34">
        <w:rPr>
          <w:rStyle w:val="libFootnoteBoldChar"/>
          <w:rtl/>
        </w:rPr>
        <w:t>الاستبصار</w:t>
      </w:r>
      <w:r w:rsidR="00E3253D" w:rsidRPr="005D642E">
        <w:rPr>
          <w:rtl/>
        </w:rPr>
        <w:t xml:space="preserve"> ، ج 3 ، ص 325 ، صدر ح 10 ، بإسناده عن عليّ بن إبراهيم</w:t>
      </w:r>
      <w:r w:rsidR="00382F3B">
        <w:rPr>
          <w:rFonts w:hint="cs"/>
          <w:rtl/>
        </w:rPr>
        <w:t>.</w:t>
      </w:r>
      <w:r w:rsidR="00E3253D" w:rsidRPr="002F4D34">
        <w:rPr>
          <w:rStyle w:val="libFootnoteBoldChar"/>
          <w:rtl/>
        </w:rPr>
        <w:t>الوافي</w:t>
      </w:r>
      <w:r w:rsidR="00E3253D" w:rsidRPr="005D642E">
        <w:rPr>
          <w:rtl/>
        </w:rPr>
        <w:t xml:space="preserve"> ، ج 6 ، ص 433 ، ح 4644 ؛ </w:t>
      </w:r>
      <w:r w:rsidR="00E3253D" w:rsidRPr="002F4D34">
        <w:rPr>
          <w:rStyle w:val="libFootnoteBoldChar"/>
          <w:rtl/>
        </w:rPr>
        <w:t>الوسائل</w:t>
      </w:r>
      <w:r w:rsidR="00E3253D" w:rsidRPr="005D642E">
        <w:rPr>
          <w:rtl/>
        </w:rPr>
        <w:t xml:space="preserve"> ، ج 2 ، ص 292 ، ح 2163 ؛ </w:t>
      </w:r>
      <w:r w:rsidR="00E3253D" w:rsidRPr="002F4D34">
        <w:rPr>
          <w:rStyle w:val="libFootnoteBoldChar"/>
          <w:rtl/>
        </w:rPr>
        <w:t>وفيه</w:t>
      </w:r>
      <w:r w:rsidR="00E3253D" w:rsidRPr="005D642E">
        <w:rPr>
          <w:rtl/>
        </w:rPr>
        <w:t xml:space="preserve"> ، ج 22 ، ص 192 ، ح 28358.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w:t>
      </w:r>
      <w:r w:rsidR="00B60612" w:rsidRPr="00B60612">
        <w:rPr>
          <w:rStyle w:val="libFootnoteBoldChar"/>
          <w:rtl/>
        </w:rPr>
        <w:t>والتهذيب</w:t>
      </w:r>
      <w:r w:rsidR="00E3253D" w:rsidRPr="005D642E">
        <w:rPr>
          <w:rtl/>
        </w:rPr>
        <w:t xml:space="preserve"> ، ح 445 : + « الرضا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w:t>
      </w:r>
      <w:r w:rsidR="00B60612" w:rsidRPr="00B60612">
        <w:rPr>
          <w:rStyle w:val="libFootnoteBoldChar"/>
          <w:rtl/>
        </w:rPr>
        <w:t>والتهذيب</w:t>
      </w:r>
      <w:r w:rsidR="00E3253D" w:rsidRPr="005D642E">
        <w:rPr>
          <w:rtl/>
        </w:rPr>
        <w:t xml:space="preserve"> ، ح 445 </w:t>
      </w:r>
      <w:r w:rsidR="00E3253D" w:rsidRPr="00E678B5">
        <w:rPr>
          <w:rStyle w:val="libFootnoteBoldChar"/>
          <w:rtl/>
        </w:rPr>
        <w:t>والاستبصار</w:t>
      </w:r>
      <w:r w:rsidR="00E3253D" w:rsidRPr="005D642E">
        <w:rPr>
          <w:rtl/>
        </w:rPr>
        <w:t xml:space="preserve"> ، ح 446 : + « أيّام »</w:t>
      </w:r>
      <w:r w:rsidR="00E3253D">
        <w:rPr>
          <w:rtl/>
        </w:rPr>
        <w:t>.</w:t>
      </w:r>
    </w:p>
    <w:tbl>
      <w:tblPr>
        <w:tblStyle w:val="TableGrid"/>
        <w:bidiVisual/>
        <w:tblW w:w="0" w:type="auto"/>
        <w:tblLook w:val="04A0" w:firstRow="1" w:lastRow="0" w:firstColumn="1" w:lastColumn="0" w:noHBand="0" w:noVBand="1"/>
      </w:tblPr>
      <w:tblGrid>
        <w:gridCol w:w="4006"/>
        <w:gridCol w:w="4006"/>
      </w:tblGrid>
      <w:tr w:rsidR="00FF695E" w:rsidTr="00FF695E">
        <w:tc>
          <w:tcPr>
            <w:tcW w:w="4006" w:type="dxa"/>
          </w:tcPr>
          <w:p w:rsidR="00FF695E" w:rsidRDefault="00FF695E" w:rsidP="00E3253D">
            <w:pPr>
              <w:pStyle w:val="libFootnote0"/>
              <w:rPr>
                <w:rStyle w:val="libFootnote0Char"/>
                <w:rtl/>
              </w:rPr>
            </w:pPr>
            <w:r w:rsidRPr="0042621E">
              <w:rPr>
                <w:rStyle w:val="libFootnote0Char"/>
                <w:rtl/>
              </w:rPr>
              <w:t>(5).</w:t>
            </w:r>
            <w:r w:rsidRPr="005D642E">
              <w:rPr>
                <w:rtl/>
              </w:rPr>
              <w:t xml:space="preserve"> في « جس » : « وأكثر ما يكون »</w:t>
            </w:r>
            <w:r>
              <w:rPr>
                <w:rtl/>
              </w:rPr>
              <w:t>.</w:t>
            </w:r>
          </w:p>
        </w:tc>
        <w:tc>
          <w:tcPr>
            <w:tcW w:w="4006" w:type="dxa"/>
          </w:tcPr>
          <w:p w:rsidR="00FF695E" w:rsidRDefault="00FF695E" w:rsidP="00E3253D">
            <w:pPr>
              <w:pStyle w:val="libFootnote0"/>
              <w:rPr>
                <w:rStyle w:val="libFootnote0Char"/>
                <w:rtl/>
              </w:rPr>
            </w:pPr>
            <w:r w:rsidRPr="0042621E">
              <w:rPr>
                <w:rStyle w:val="libFootnote0Char"/>
                <w:rtl/>
              </w:rPr>
              <w:t>(6).</w:t>
            </w:r>
            <w:r w:rsidRPr="005D642E">
              <w:rPr>
                <w:rtl/>
              </w:rPr>
              <w:t xml:space="preserve"> في « بح » : + « أيّام »</w:t>
            </w:r>
            <w:r>
              <w:rPr>
                <w:rtl/>
              </w:rPr>
              <w:t>.</w:t>
            </w:r>
          </w:p>
        </w:tc>
      </w:tr>
    </w:tbl>
    <w:p w:rsidR="00E3253D" w:rsidRPr="005D642E" w:rsidRDefault="0042621E" w:rsidP="00467577">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156 ، ح 445 ؛ </w:t>
      </w:r>
      <w:r w:rsidR="00E3253D" w:rsidRPr="00E678B5">
        <w:rPr>
          <w:rStyle w:val="libFootnoteBoldChar"/>
          <w:rtl/>
        </w:rPr>
        <w:t>والاستبصار</w:t>
      </w:r>
      <w:r w:rsidR="00E3253D" w:rsidRPr="005D642E">
        <w:rPr>
          <w:rtl/>
        </w:rPr>
        <w:t xml:space="preserve"> ، ج 1 ، ص 130 ، ح 446 ، بسندهما عن الكليني. وفي </w:t>
      </w:r>
      <w:r w:rsidR="00E3253D" w:rsidRPr="002F4D34">
        <w:rPr>
          <w:rStyle w:val="libFootnoteBoldChar"/>
          <w:rtl/>
        </w:rPr>
        <w:t>التهذيب</w:t>
      </w:r>
      <w:r w:rsidR="00E3253D" w:rsidRPr="005D642E">
        <w:rPr>
          <w:rtl/>
        </w:rPr>
        <w:t xml:space="preserve"> ، ج 1 ، ص 156 ، ح 447 ؛ وضمن ح 449 ؛ </w:t>
      </w:r>
      <w:r w:rsidR="00E3253D" w:rsidRPr="00E678B5">
        <w:rPr>
          <w:rStyle w:val="libFootnoteBoldChar"/>
          <w:rtl/>
        </w:rPr>
        <w:t>والاستبصار</w:t>
      </w:r>
      <w:r w:rsidR="00E3253D" w:rsidRPr="005D642E">
        <w:rPr>
          <w:rtl/>
        </w:rPr>
        <w:t xml:space="preserve"> ، ج 1 ، ص 130 ، ح 445 ؛ وص 131 ، ضمن ح 450 ؛ و</w:t>
      </w:r>
      <w:r w:rsidR="00E3253D" w:rsidRPr="002F4D34">
        <w:rPr>
          <w:rStyle w:val="libFootnoteBoldChar"/>
          <w:rtl/>
        </w:rPr>
        <w:t>عيون الأخبار</w:t>
      </w:r>
      <w:r w:rsidR="00E3253D" w:rsidRPr="005D642E">
        <w:rPr>
          <w:rtl/>
        </w:rPr>
        <w:t xml:space="preserve"> ، ج 2 ، ص 124 ، ضمن الحديث الطويل 1 ، بسند آخر ، مع اختلاف يسير. </w:t>
      </w:r>
      <w:r w:rsidR="00E3253D" w:rsidRPr="002F4D34">
        <w:rPr>
          <w:rStyle w:val="libFootnoteBoldChar"/>
          <w:rtl/>
        </w:rPr>
        <w:t>فقه الرضا</w:t>
      </w:r>
      <w:r w:rsidR="00E3253D" w:rsidRPr="005D642E">
        <w:rPr>
          <w:rtl/>
        </w:rPr>
        <w:t xml:space="preserve"> </w:t>
      </w:r>
      <w:r w:rsidR="00E3253D" w:rsidRPr="00701E1A">
        <w:rPr>
          <w:rStyle w:val="libFootnoteAlaemChar"/>
          <w:rtl/>
        </w:rPr>
        <w:t>عليه‌السلام</w:t>
      </w:r>
      <w:r w:rsidR="00E3253D" w:rsidRPr="005D642E">
        <w:rPr>
          <w:rtl/>
        </w:rPr>
        <w:t xml:space="preserve"> ، ص 191 ، مع اختلاف يسير</w:t>
      </w:r>
      <w:r w:rsidR="00467577">
        <w:rPr>
          <w:rFonts w:hint="cs"/>
          <w:rtl/>
        </w:rPr>
        <w:t>.</w:t>
      </w:r>
      <w:r w:rsidR="00E3253D" w:rsidRPr="002F4D34">
        <w:rPr>
          <w:rStyle w:val="libFootnoteBoldChar"/>
          <w:rtl/>
        </w:rPr>
        <w:t>الوافي</w:t>
      </w:r>
      <w:r w:rsidR="00E3253D" w:rsidRPr="005D642E">
        <w:rPr>
          <w:rtl/>
        </w:rPr>
        <w:t xml:space="preserve"> ، ج 6 ، ص 434 ، ح 4647 ؛ </w:t>
      </w:r>
      <w:r w:rsidR="00E3253D" w:rsidRPr="002F4D34">
        <w:rPr>
          <w:rStyle w:val="libFootnoteBoldChar"/>
          <w:rtl/>
        </w:rPr>
        <w:t>الوسائل</w:t>
      </w:r>
      <w:r w:rsidR="00E3253D" w:rsidRPr="005D642E">
        <w:rPr>
          <w:rtl/>
        </w:rPr>
        <w:t xml:space="preserve"> ، ج 2 ، ص 294 ، ح 2168.</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ظ » : + « من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عَشَرَةُ أَيَّامٍ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B1555E">
        <w:rPr>
          <w:rtl/>
        </w:rPr>
        <w:t>4152</w:t>
      </w:r>
      <w:r w:rsidRPr="00246318">
        <w:rPr>
          <w:rStyle w:val="libBold2Char"/>
          <w:rtl/>
        </w:rPr>
        <w:t xml:space="preserve"> / 3.</w:t>
      </w:r>
      <w:r w:rsidRPr="005D642E">
        <w:rPr>
          <w:rtl/>
          <w:lang w:bidi="fa-IR"/>
        </w:rPr>
        <w:t xml:space="preserve"> مُحَمَّدُ بْنُ إِسْمَاعِيلَ ، عَنِ الْفَضْلِ بْنِ شَاذَانَ </w:t>
      </w:r>
      <w:r w:rsidRPr="007C12DB">
        <w:rPr>
          <w:rStyle w:val="libFootnotenumChar"/>
          <w:rtl/>
        </w:rPr>
        <w:t>(2)</w:t>
      </w:r>
      <w:r w:rsidRPr="005D642E">
        <w:rPr>
          <w:rtl/>
          <w:lang w:bidi="fa-IR"/>
        </w:rPr>
        <w:t xml:space="preserve"> ، عَنْ صَفْوَانَ بْنِ يَحْيى ، قَالَ :</w:t>
      </w:r>
    </w:p>
    <w:p w:rsidR="00E3253D" w:rsidRPr="005D642E" w:rsidRDefault="00E3253D" w:rsidP="00E3253D">
      <w:pPr>
        <w:pStyle w:val="libNormal"/>
        <w:rPr>
          <w:rtl/>
          <w:lang w:bidi="fa-IR"/>
        </w:rPr>
      </w:pPr>
      <w:r w:rsidRPr="005D642E">
        <w:rPr>
          <w:rtl/>
          <w:lang w:bidi="fa-IR"/>
        </w:rPr>
        <w:t xml:space="preserve">سَأَلْتُ أَبَا الْحَسَنِ </w:t>
      </w:r>
      <w:r w:rsidRPr="00AC51C5">
        <w:rPr>
          <w:rStyle w:val="libAlaemChar"/>
          <w:rtl/>
        </w:rPr>
        <w:t>عليه‌السلام</w:t>
      </w:r>
      <w:r w:rsidRPr="005D642E">
        <w:rPr>
          <w:rtl/>
          <w:lang w:bidi="fa-IR"/>
        </w:rPr>
        <w:t xml:space="preserve"> عَنْ أَدْنى مَا يَكُونُ مِنَ الْحَيْضِ</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(3)</w:t>
      </w:r>
      <w:r w:rsidRPr="005D642E">
        <w:rPr>
          <w:rtl/>
          <w:lang w:bidi="fa-IR"/>
        </w:rPr>
        <w:t xml:space="preserve"> : « أَدْنَاهُ ثَلَاثَةٌ </w:t>
      </w:r>
      <w:r w:rsidRPr="007C12DB">
        <w:rPr>
          <w:rStyle w:val="libFootnotenumChar"/>
          <w:rtl/>
        </w:rPr>
        <w:t>(4)</w:t>
      </w:r>
      <w:r w:rsidRPr="005D642E">
        <w:rPr>
          <w:rtl/>
          <w:lang w:bidi="fa-IR"/>
        </w:rPr>
        <w:t xml:space="preserve"> ، وَأَبْعَدُهُ عَشَرَةٌ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B1555E">
        <w:rPr>
          <w:rtl/>
        </w:rPr>
        <w:t>4153</w:t>
      </w:r>
      <w:r w:rsidRPr="00246318">
        <w:rPr>
          <w:rStyle w:val="libBold2Char"/>
          <w:rtl/>
        </w:rPr>
        <w:t xml:space="preserve"> / 4.</w:t>
      </w:r>
      <w:r w:rsidRPr="005D642E">
        <w:rPr>
          <w:rtl/>
          <w:lang w:bidi="fa-IR"/>
        </w:rPr>
        <w:t xml:space="preserve"> مُحَمَّدُ بْنُ يَحْيى ، عَنْ أَحْمَدَ بْنِ مُحَمَّدٍ ، عَنْ صَفْوَانَ ، عَنِ الْعَلَاءِ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لَا يَكُونُ الْقُرْءُ </w:t>
      </w:r>
      <w:r w:rsidRPr="007C12DB">
        <w:rPr>
          <w:rStyle w:val="libFootnotenumChar"/>
          <w:rtl/>
        </w:rPr>
        <w:t>(6)</w:t>
      </w:r>
      <w:r w:rsidRPr="005D642E">
        <w:rPr>
          <w:rtl/>
          <w:lang w:bidi="fa-IR"/>
        </w:rPr>
        <w:t xml:space="preserve"> فِي </w:t>
      </w:r>
      <w:r w:rsidRPr="007C12DB">
        <w:rPr>
          <w:rStyle w:val="libFootnotenumChar"/>
          <w:rtl/>
        </w:rPr>
        <w:t>(7)</w:t>
      </w:r>
      <w:r w:rsidRPr="005D642E">
        <w:rPr>
          <w:rtl/>
          <w:lang w:bidi="fa-IR"/>
        </w:rPr>
        <w:t xml:space="preserve"> أَقَلَّ مِنْ عَشَرَةِ أَيَّامٍ </w:t>
      </w:r>
      <w:r w:rsidRPr="007C12DB">
        <w:rPr>
          <w:rStyle w:val="libFootnotenumChar"/>
          <w:rtl/>
        </w:rPr>
        <w:t>(8)</w:t>
      </w:r>
      <w:r w:rsidRPr="005D642E">
        <w:rPr>
          <w:rtl/>
          <w:lang w:bidi="fa-IR"/>
        </w:rPr>
        <w:t xml:space="preserve"> فَمَا زَادَ </w:t>
      </w:r>
      <w:r w:rsidRPr="007C12DB">
        <w:rPr>
          <w:rStyle w:val="libFootnotenumChar"/>
          <w:rtl/>
        </w:rPr>
        <w:t>(9)</w:t>
      </w:r>
      <w:r w:rsidRPr="005D642E">
        <w:rPr>
          <w:rtl/>
          <w:lang w:bidi="fa-IR"/>
        </w:rPr>
        <w:t xml:space="preserve"> ، أَقَلُّ‌</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806D13">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الخصال</w:t>
      </w:r>
      <w:r w:rsidR="00E3253D" w:rsidRPr="005D642E">
        <w:rPr>
          <w:rtl/>
        </w:rPr>
        <w:t xml:space="preserve"> ، ص 605 ، باب الواحد إلى المائة ، ضمن الحديث الطويل 9 ، بسند آخر. </w:t>
      </w:r>
      <w:r w:rsidR="00E3253D" w:rsidRPr="002F4D34">
        <w:rPr>
          <w:rStyle w:val="libFootnoteBoldChar"/>
          <w:rtl/>
        </w:rPr>
        <w:t>علل الشرائع</w:t>
      </w:r>
      <w:r w:rsidR="00E3253D" w:rsidRPr="005D642E">
        <w:rPr>
          <w:rtl/>
        </w:rPr>
        <w:t xml:space="preserve"> ، ص 291 ، ح 1 ، بسند آخر مع زيادة في أوّله وآخره. </w:t>
      </w:r>
      <w:r w:rsidR="00E3253D" w:rsidRPr="002F4D34">
        <w:rPr>
          <w:rStyle w:val="libFootnoteBoldChar"/>
          <w:rtl/>
        </w:rPr>
        <w:t>الفقيه</w:t>
      </w:r>
      <w:r w:rsidR="00E3253D" w:rsidRPr="005D642E">
        <w:rPr>
          <w:rtl/>
        </w:rPr>
        <w:t xml:space="preserve"> ، ج 1 ، ص 101 ، ضمن ح 210 ، مرسلاً من دون الإسناد إلى المعصوم </w:t>
      </w:r>
      <w:r w:rsidR="00E3253D" w:rsidRPr="00806D13">
        <w:rPr>
          <w:rStyle w:val="libFootnoteAlaemChar"/>
          <w:rtl/>
        </w:rPr>
        <w:t>عليه‌السلام</w:t>
      </w:r>
      <w:r w:rsidR="00E3253D" w:rsidRPr="005D642E">
        <w:rPr>
          <w:rtl/>
        </w:rPr>
        <w:t xml:space="preserve">. </w:t>
      </w:r>
      <w:r w:rsidR="00E3253D" w:rsidRPr="002F4D34">
        <w:rPr>
          <w:rStyle w:val="libFootnoteBoldChar"/>
          <w:rtl/>
        </w:rPr>
        <w:t>وفيه</w:t>
      </w:r>
      <w:r w:rsidR="00E3253D" w:rsidRPr="005D642E">
        <w:rPr>
          <w:rtl/>
        </w:rPr>
        <w:t xml:space="preserve"> ، ص 89 ، ذكره في ذيل ح 195 ؛ </w:t>
      </w:r>
      <w:r w:rsidR="000D749A" w:rsidRPr="000D749A">
        <w:rPr>
          <w:rStyle w:val="libFootnoteBoldChar"/>
          <w:rtl/>
        </w:rPr>
        <w:t>الأمالي للصدوق</w:t>
      </w:r>
      <w:r w:rsidR="00E3253D" w:rsidRPr="005D642E">
        <w:rPr>
          <w:rtl/>
        </w:rPr>
        <w:t xml:space="preserve"> ، ص 647 ، المجلس 93 ، ضمن إملاء الصدوق في وصف دين الإماميّة على الإيجاز والاختصار ؛ </w:t>
      </w:r>
      <w:r w:rsidR="00E3253D" w:rsidRPr="002F4D34">
        <w:rPr>
          <w:rStyle w:val="libFootnoteBoldChar"/>
          <w:rtl/>
        </w:rPr>
        <w:t>المقنعة</w:t>
      </w:r>
      <w:r w:rsidR="00E3253D" w:rsidRPr="005D642E">
        <w:rPr>
          <w:rtl/>
        </w:rPr>
        <w:t xml:space="preserve"> ، ص 54 ، من دون الإسناد إلى المعصوم </w:t>
      </w:r>
      <w:r w:rsidR="00E3253D" w:rsidRPr="00806D13">
        <w:rPr>
          <w:rStyle w:val="libFootnoteAlaemChar"/>
          <w:rtl/>
        </w:rPr>
        <w:t>عليه‌السلام</w:t>
      </w:r>
      <w:r w:rsidR="00E3253D" w:rsidRPr="005D642E">
        <w:rPr>
          <w:rtl/>
        </w:rPr>
        <w:t xml:space="preserve"> ، وفي كلّ المصادر مع اختلاف يسير. راجع : </w:t>
      </w:r>
      <w:r w:rsidR="00E3253D" w:rsidRPr="002F4D34">
        <w:rPr>
          <w:rStyle w:val="libFootnoteBoldChar"/>
          <w:rtl/>
        </w:rPr>
        <w:t>التهذيب</w:t>
      </w:r>
      <w:r w:rsidR="00E3253D" w:rsidRPr="005D642E">
        <w:rPr>
          <w:rtl/>
        </w:rPr>
        <w:t xml:space="preserve"> ، ج 1 ، ص 156 ، ح 448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130 ، ح 449 </w:t>
      </w:r>
      <w:r w:rsidR="00E3253D">
        <w:rPr>
          <w:rtl/>
        </w:rPr>
        <w:t>و 4</w:t>
      </w:r>
      <w:r w:rsidR="00E3253D" w:rsidRPr="005D642E">
        <w:rPr>
          <w:rtl/>
        </w:rPr>
        <w:t>51</w:t>
      </w:r>
      <w:r w:rsidR="00806D13">
        <w:rPr>
          <w:rFonts w:hint="cs"/>
          <w:rtl/>
        </w:rPr>
        <w:t>.</w:t>
      </w:r>
      <w:r w:rsidR="00E3253D" w:rsidRPr="002F4D34">
        <w:rPr>
          <w:rStyle w:val="libFootnoteBoldChar"/>
          <w:rtl/>
        </w:rPr>
        <w:t>الوافي</w:t>
      </w:r>
      <w:r w:rsidR="00E3253D" w:rsidRPr="005D642E">
        <w:rPr>
          <w:rtl/>
        </w:rPr>
        <w:t xml:space="preserve"> ، ج 6 ، ص 435 ، ح 4648 ؛ </w:t>
      </w:r>
      <w:r w:rsidR="00E3253D" w:rsidRPr="002F4D34">
        <w:rPr>
          <w:rStyle w:val="libFootnoteBoldChar"/>
          <w:rtl/>
        </w:rPr>
        <w:t>الوسائل</w:t>
      </w:r>
      <w:r w:rsidR="00E3253D" w:rsidRPr="005D642E">
        <w:rPr>
          <w:rtl/>
        </w:rPr>
        <w:t xml:space="preserve"> ، ج 2 ، ص 293 ، ح 2166.</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بث ، بح ، بخ ، بس ، بف ، جح ، جس ، جن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 ظ ، ى » والمطبوع : + « وعليّ بن إبراهيم ، عن أبيه جميعاً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بس ، بف » وحاشية « غ » </w:t>
      </w:r>
      <w:r w:rsidR="000D749A" w:rsidRPr="000D749A">
        <w:rPr>
          <w:rStyle w:val="libFootnoteBoldChar"/>
          <w:rtl/>
        </w:rPr>
        <w:t>والوافي</w:t>
      </w:r>
      <w:r w:rsidR="00E3253D" w:rsidRPr="005D642E">
        <w:rPr>
          <w:rtl/>
        </w:rPr>
        <w:t xml:space="preserve"> : « قال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الاستبصار : + « أيّام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156 ، ح 446 ؛ </w:t>
      </w:r>
      <w:r w:rsidR="00E3253D" w:rsidRPr="00E678B5">
        <w:rPr>
          <w:rStyle w:val="libFootnoteBoldChar"/>
          <w:rtl/>
        </w:rPr>
        <w:t>والاستبصار</w:t>
      </w:r>
      <w:r w:rsidR="00E3253D" w:rsidRPr="005D642E">
        <w:rPr>
          <w:rtl/>
        </w:rPr>
        <w:t xml:space="preserve"> ، ج 1 ، ص 130 ، ح 447 ، بسندهما عن الكليني </w:t>
      </w:r>
      <w:r w:rsidR="00FF1985">
        <w:rPr>
          <w:rFonts w:hint="cs"/>
          <w:rtl/>
        </w:rPr>
        <w:t>.</w:t>
      </w:r>
      <w:r w:rsidR="00E3253D" w:rsidRPr="002F4D34">
        <w:rPr>
          <w:rStyle w:val="libFootnoteBoldChar"/>
          <w:rtl/>
        </w:rPr>
        <w:t>الوافي</w:t>
      </w:r>
      <w:r w:rsidR="00E3253D" w:rsidRPr="005D642E">
        <w:rPr>
          <w:rtl/>
        </w:rPr>
        <w:t xml:space="preserve"> ، ج 6 ، ص 435 ، ح 4649 ؛ </w:t>
      </w:r>
      <w:r w:rsidR="00E3253D" w:rsidRPr="002F4D34">
        <w:rPr>
          <w:rStyle w:val="libFootnoteBoldChar"/>
          <w:rtl/>
        </w:rPr>
        <w:t>الوسائل</w:t>
      </w:r>
      <w:r w:rsidR="00E3253D" w:rsidRPr="005D642E">
        <w:rPr>
          <w:rtl/>
        </w:rPr>
        <w:t xml:space="preserve"> ، ج 2 ، ص 294 ، ح 2167.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القرْء » بفتح القاف وضمّها وسكون الراء : هو من الأضداد يقع على الحيض والطهر ، والمراد هنا الطهر ، وقيل : هو بالفتح بمعنى الطهر ، وبالضمّ بمعنى الحيض ، والأوّل هو الأشهر. قال ابن الأثير : « والأصل في القرء الوقت المعلوم ، فلذلك وقع على الضدّين ؛ لأنّ لكلّ منهما وقتاً »</w:t>
      </w:r>
      <w:r w:rsidR="00E3253D">
        <w:rPr>
          <w:rtl/>
        </w:rPr>
        <w:t>.</w:t>
      </w:r>
      <w:r w:rsidR="004758C2">
        <w:rPr>
          <w:rtl/>
        </w:rPr>
        <w:t xml:space="preserve"> وقال العل</w:t>
      </w:r>
      <w:r w:rsidR="004758C2">
        <w:rPr>
          <w:rFonts w:hint="cs"/>
          <w:rtl/>
        </w:rPr>
        <w:t>ّ</w:t>
      </w:r>
      <w:r w:rsidR="004758C2">
        <w:rPr>
          <w:rtl/>
        </w:rPr>
        <w:t>ا</w:t>
      </w:r>
      <w:r w:rsidR="00E3253D" w:rsidRPr="005D642E">
        <w:rPr>
          <w:rtl/>
        </w:rPr>
        <w:t>مة الفيض : « وأصل معناه الجمع ، وإنّما سمّي الطهر والحيض به ؛ لأنّ المرأة تقرّ الدم ، أي تجمعه في أيّام طهرها ثمّ تدفعه في أيّام حيضها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4 ، ص 32 ؛ </w:t>
      </w:r>
      <w:r w:rsidR="00E3253D" w:rsidRPr="002F4D34">
        <w:rPr>
          <w:rStyle w:val="libFootnoteBoldChar"/>
          <w:rtl/>
        </w:rPr>
        <w:t>لسان العرب</w:t>
      </w:r>
      <w:r w:rsidR="00E3253D" w:rsidRPr="005D642E">
        <w:rPr>
          <w:rtl/>
        </w:rPr>
        <w:t xml:space="preserve"> ، ج 1 ، ص 130 ( قرأ )</w:t>
      </w:r>
      <w:r w:rsidR="00E3253D">
        <w:rPr>
          <w:rtl/>
        </w:rPr>
        <w:t>.</w:t>
      </w:r>
    </w:p>
    <w:tbl>
      <w:tblPr>
        <w:tblStyle w:val="TableGrid"/>
        <w:bidiVisual/>
        <w:tblW w:w="0" w:type="auto"/>
        <w:tblLook w:val="04A0" w:firstRow="1" w:lastRow="0" w:firstColumn="1" w:lastColumn="0" w:noHBand="0" w:noVBand="1"/>
      </w:tblPr>
      <w:tblGrid>
        <w:gridCol w:w="4006"/>
        <w:gridCol w:w="4006"/>
      </w:tblGrid>
      <w:tr w:rsidR="00331639" w:rsidTr="00331639">
        <w:tc>
          <w:tcPr>
            <w:tcW w:w="4006" w:type="dxa"/>
          </w:tcPr>
          <w:p w:rsidR="00331639" w:rsidRDefault="00331639" w:rsidP="00E3253D">
            <w:pPr>
              <w:pStyle w:val="libFootnote0"/>
              <w:rPr>
                <w:rStyle w:val="libFootnote0Char"/>
                <w:rtl/>
              </w:rPr>
            </w:pPr>
            <w:r w:rsidRPr="0042621E">
              <w:rPr>
                <w:rStyle w:val="libFootnote0Char"/>
                <w:rtl/>
              </w:rPr>
              <w:t>(7).</w:t>
            </w:r>
            <w:r w:rsidRPr="005D642E">
              <w:rPr>
                <w:rtl/>
              </w:rPr>
              <w:t xml:space="preserve"> في الاستبصار :</w:t>
            </w:r>
            <w:r>
              <w:rPr>
                <w:rtl/>
              </w:rPr>
              <w:t xml:space="preserve"> - </w:t>
            </w:r>
            <w:r w:rsidRPr="005D642E">
              <w:rPr>
                <w:rtl/>
              </w:rPr>
              <w:t>« في »</w:t>
            </w:r>
            <w:r>
              <w:rPr>
                <w:rtl/>
              </w:rPr>
              <w:t>.</w:t>
            </w:r>
          </w:p>
        </w:tc>
        <w:tc>
          <w:tcPr>
            <w:tcW w:w="4006" w:type="dxa"/>
          </w:tcPr>
          <w:p w:rsidR="00331639" w:rsidRDefault="00331639" w:rsidP="00E3253D">
            <w:pPr>
              <w:pStyle w:val="libFootnote0"/>
              <w:rPr>
                <w:rStyle w:val="libFootnote0Char"/>
                <w:rtl/>
              </w:rPr>
            </w:pPr>
            <w:r w:rsidRPr="0042621E">
              <w:rPr>
                <w:rStyle w:val="libFootnote0Char"/>
                <w:rtl/>
              </w:rPr>
              <w:t>(8).</w:t>
            </w:r>
            <w:r w:rsidRPr="005D642E">
              <w:rPr>
                <w:rtl/>
              </w:rPr>
              <w:t xml:space="preserve"> في التهذيب </w:t>
            </w:r>
            <w:r w:rsidRPr="00E678B5">
              <w:rPr>
                <w:rStyle w:val="libFootnoteBoldChar"/>
                <w:rtl/>
              </w:rPr>
              <w:t>والاستبصار</w:t>
            </w:r>
            <w:r w:rsidRPr="005D642E">
              <w:rPr>
                <w:rtl/>
              </w:rPr>
              <w:t xml:space="preserve"> :</w:t>
            </w:r>
            <w:r>
              <w:rPr>
                <w:rtl/>
              </w:rPr>
              <w:t xml:space="preserve"> - </w:t>
            </w:r>
            <w:r w:rsidRPr="005D642E">
              <w:rPr>
                <w:rtl/>
              </w:rPr>
              <w:t>« أيّام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المتبادر من قوله </w:t>
      </w:r>
      <w:r w:rsidR="00E3253D" w:rsidRPr="00680411">
        <w:rPr>
          <w:rStyle w:val="libFootnoteAlaemChar"/>
          <w:rtl/>
        </w:rPr>
        <w:t>عليه‌السلام</w:t>
      </w:r>
      <w:r w:rsidR="00E3253D" w:rsidRPr="005D642E">
        <w:rPr>
          <w:rtl/>
        </w:rPr>
        <w:t xml:space="preserve"> : « فمازاد » أنّ المراد أنّه لا يكون أقلّ من عشرة فصاعداً ، وهو لا يخلو من إشكال بحسب </w:t>
      </w:r>
      <w:r w:rsidR="0068041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مَا يَكُونُ عَشَرَةٌ مِنْ حِينِ تَطْهُرُ إِلى أَنْ تَرَى الدَّمَ »</w:t>
      </w:r>
      <w:r>
        <w:rPr>
          <w:rtl/>
          <w:lang w:bidi="fa-IR"/>
        </w:rPr>
        <w:t>.</w:t>
      </w:r>
      <w:r w:rsidRPr="005D642E">
        <w:rPr>
          <w:rtl/>
          <w:lang w:bidi="fa-IR"/>
        </w:rPr>
        <w:t xml:space="preserve"> </w:t>
      </w:r>
      <w:r w:rsidRPr="007C12DB">
        <w:rPr>
          <w:rStyle w:val="libFootnotenumChar"/>
          <w:rtl/>
        </w:rPr>
        <w:t>(1)</w:t>
      </w:r>
    </w:p>
    <w:p w:rsidR="00E3253D" w:rsidRPr="005D642E" w:rsidRDefault="00E3253D" w:rsidP="00E3253D">
      <w:pPr>
        <w:pStyle w:val="libNormal"/>
        <w:rPr>
          <w:rtl/>
          <w:lang w:bidi="fa-IR"/>
        </w:rPr>
      </w:pPr>
      <w:r w:rsidRPr="00B1555E">
        <w:rPr>
          <w:rtl/>
        </w:rPr>
        <w:t>4154</w:t>
      </w:r>
      <w:r w:rsidRPr="00246318">
        <w:rPr>
          <w:rStyle w:val="libBold2Char"/>
          <w:rtl/>
        </w:rPr>
        <w:t xml:space="preserve"> / 5.</w:t>
      </w:r>
      <w:r w:rsidRPr="005D642E">
        <w:rPr>
          <w:rtl/>
          <w:lang w:bidi="fa-IR"/>
        </w:rPr>
        <w:t xml:space="preserve"> عَلِيُّ بْنُ إِبْرَاهِيمَ ، عَنْ أَبِيهِ ، عَنْ إِسْمَاعِيلَ بْنِ مَرَّارٍ ، عَنْ يُونُسَ ، عَنْ بَعْضِ رِجَالِهِ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أَدْنَى الطُّهْرِ عَشَرَةُ أَيَّامٍ ، وَذلِكَ أَنَّ الْمَرْأَةَ </w:t>
      </w:r>
      <w:r w:rsidRPr="007C12DB">
        <w:rPr>
          <w:rStyle w:val="libFootnotenumChar"/>
          <w:rtl/>
        </w:rPr>
        <w:t>(2)</w:t>
      </w:r>
      <w:r w:rsidRPr="005D642E">
        <w:rPr>
          <w:rtl/>
          <w:lang w:bidi="fa-IR"/>
        </w:rPr>
        <w:t xml:space="preserve"> أَوَّلَ مَا تَحِيضُ رُبَّمَا كَانَتْ كَثِيرَةَ الدَّمِ ، فَيَكُونُ حَيْضُهَا عَشَرَةَ أَيَّامٍ ، فَلَا تَزَالُ </w:t>
      </w:r>
      <w:r w:rsidRPr="007C12DB">
        <w:rPr>
          <w:rStyle w:val="libFootnotenumChar"/>
          <w:rtl/>
        </w:rPr>
        <w:t>(3)</w:t>
      </w:r>
      <w:r w:rsidRPr="005D642E">
        <w:rPr>
          <w:rtl/>
          <w:lang w:bidi="fa-IR"/>
        </w:rPr>
        <w:t xml:space="preserve"> كُلَّمَا كَبِرَتْ نَقَصَتْ حَتّى تَرْجِعَ </w:t>
      </w:r>
      <w:r w:rsidRPr="007C12DB">
        <w:rPr>
          <w:rStyle w:val="libFootnotenumChar"/>
          <w:rtl/>
        </w:rPr>
        <w:t>(4)</w:t>
      </w:r>
      <w:r w:rsidRPr="005D642E">
        <w:rPr>
          <w:rtl/>
          <w:lang w:bidi="fa-IR"/>
        </w:rPr>
        <w:t xml:space="preserve"> إِلى ثَلَاثَةِ أَيَّامٍ ، فَإِذَا رَجَعَتْ إِلى ثَلَاثَةِ أَيَّامٍ ، ارْتَفَعَ حَيْضُهَا ، وَلَايَكُونُ أَقَلَّ مِنْ ثَلَاثَةِ أَيَّامٍ.</w:t>
      </w:r>
    </w:p>
    <w:p w:rsidR="00E3253D" w:rsidRPr="005D642E" w:rsidRDefault="00E3253D" w:rsidP="00E3253D">
      <w:pPr>
        <w:pStyle w:val="libNormal"/>
        <w:rPr>
          <w:rtl/>
          <w:lang w:bidi="fa-IR"/>
        </w:rPr>
      </w:pPr>
      <w:r w:rsidRPr="005D642E">
        <w:rPr>
          <w:rtl/>
          <w:lang w:bidi="fa-IR"/>
        </w:rPr>
        <w:t xml:space="preserve">فَإِذَا </w:t>
      </w:r>
      <w:r w:rsidRPr="007C12DB">
        <w:rPr>
          <w:rStyle w:val="libFootnotenumChar"/>
          <w:rtl/>
        </w:rPr>
        <w:t>(5)</w:t>
      </w:r>
      <w:r w:rsidRPr="005D642E">
        <w:rPr>
          <w:rtl/>
          <w:lang w:bidi="fa-IR"/>
        </w:rPr>
        <w:t xml:space="preserve"> رَأَتِ الْمَرْأَةُ </w:t>
      </w:r>
      <w:r w:rsidRPr="007C12DB">
        <w:rPr>
          <w:rStyle w:val="libFootnotenumChar"/>
          <w:rtl/>
        </w:rPr>
        <w:t>(6)</w:t>
      </w:r>
      <w:r w:rsidRPr="005D642E">
        <w:rPr>
          <w:rtl/>
          <w:lang w:bidi="fa-IR"/>
        </w:rPr>
        <w:t xml:space="preserve"> الدَّمَ فِي أَيَّامِ حَيْضِهَا </w:t>
      </w:r>
      <w:r w:rsidRPr="007C12DB">
        <w:rPr>
          <w:rStyle w:val="libFootnotenumChar"/>
          <w:rtl/>
        </w:rPr>
        <w:t>(7)</w:t>
      </w:r>
      <w:r w:rsidRPr="005D642E">
        <w:rPr>
          <w:rtl/>
          <w:lang w:bidi="fa-IR"/>
        </w:rPr>
        <w:t xml:space="preserve"> ، تَرَكَتِ الصَّلَاةَ ، فَإِنِ اسْتَمَرَّ بِهَا الدَّمُ ثَلَاثَةَ أَيَّامٍ ، فَهِيَ حَائِضٌ ، وَإِنِ انْقَطَعَ </w:t>
      </w:r>
      <w:r w:rsidRPr="007C12DB">
        <w:rPr>
          <w:rStyle w:val="libFootnotenumChar"/>
          <w:rtl/>
        </w:rPr>
        <w:t>(8)</w:t>
      </w:r>
      <w:r w:rsidRPr="005D642E">
        <w:rPr>
          <w:rtl/>
          <w:lang w:bidi="fa-IR"/>
        </w:rPr>
        <w:t xml:space="preserve"> الدَّمُ بَعْدَ مَا رَأَتْهُ يَوْماً أَوْ يَوْمَيْنِ ، اغْتَسَلَتْ وَصَلَّتْ ، وَانْتَظَرَتْ مِنْ يَوْمِ رَأَتِ الدَّمَ إِلى عَشَرَةِ أَيَّامٍ ، فَإِنْ رَأَتْ </w:t>
      </w:r>
      <w:r w:rsidRPr="007C12DB">
        <w:rPr>
          <w:rStyle w:val="libFootnotenumChar"/>
          <w:rtl/>
        </w:rPr>
        <w:t>(9)</w:t>
      </w:r>
      <w:r w:rsidRPr="005D642E">
        <w:rPr>
          <w:rtl/>
          <w:lang w:bidi="fa-IR"/>
        </w:rPr>
        <w:t xml:space="preserve"> فِي تِلْكَ الْعَشَرَةِ أَيَّامٍ مِنْ يَوْمِ رَأَتِ الدَّمَ يَوْماً أَوْ يَوْمَيْنِ حَتّى يَتِمَّ </w:t>
      </w:r>
      <w:r w:rsidRPr="007C12DB">
        <w:rPr>
          <w:rStyle w:val="libFootnotenumChar"/>
          <w:rtl/>
        </w:rPr>
        <w:t>(10)</w:t>
      </w:r>
      <w:r w:rsidRPr="005D642E">
        <w:rPr>
          <w:rtl/>
          <w:lang w:bidi="fa-IR"/>
        </w:rPr>
        <w:t xml:space="preserve"> لَهَا ثَلَاثَةُ أَيَّامٍ ، فَذلِكَ الَّذِي رَأَتْهُ فِي أَوَّلِ الْأَمْرِ مَعَ هذَا الَّذِي رَأَتْهُ بَعْدَ ذلِكَ فِي الْعَشَرَةِ ، فَهُوَ </w:t>
      </w:r>
      <w:r w:rsidRPr="007C12DB">
        <w:rPr>
          <w:rStyle w:val="libFootnotenumChar"/>
          <w:rtl/>
        </w:rPr>
        <w:t>(11)</w:t>
      </w:r>
      <w:r w:rsidRPr="005D642E">
        <w:rPr>
          <w:rtl/>
          <w:lang w:bidi="fa-IR"/>
        </w:rPr>
        <w:t xml:space="preserve"> مِنَ الْحَيْضِ ، وَإِنْ مَرَّ بِهَا مِنْ يَوْمِ رَأَتِ‌</w:t>
      </w:r>
    </w:p>
    <w:p w:rsidR="00E3253D" w:rsidRPr="005D642E" w:rsidRDefault="00E3253D" w:rsidP="00E3253D">
      <w:pPr>
        <w:pStyle w:val="libLine"/>
        <w:rPr>
          <w:rtl/>
          <w:lang w:bidi="fa-IR"/>
        </w:rPr>
      </w:pPr>
      <w:r w:rsidRPr="005D642E">
        <w:rPr>
          <w:rtl/>
          <w:lang w:bidi="fa-IR"/>
        </w:rPr>
        <w:t>__________________</w:t>
      </w:r>
    </w:p>
    <w:p w:rsidR="00E3253D" w:rsidRPr="005D642E" w:rsidRDefault="00993459" w:rsidP="00E3253D">
      <w:pPr>
        <w:pStyle w:val="libFootnote0"/>
        <w:rPr>
          <w:rtl/>
          <w:lang w:bidi="fa-IR"/>
        </w:rPr>
      </w:pPr>
      <w:r>
        <w:rPr>
          <w:rFonts w:hint="cs"/>
          <w:rtl/>
        </w:rPr>
        <w:t xml:space="preserve">= </w:t>
      </w:r>
      <w:r w:rsidR="00E3253D" w:rsidRPr="005D642E">
        <w:rPr>
          <w:rtl/>
        </w:rPr>
        <w:t xml:space="preserve">المعنى ، فلعلّ معناه : فالقرء الذي زاد على أقلّ من عشرة أيّام أقلّ ما يكون عشرة ، فالموصول مبتدأ ، </w:t>
      </w:r>
      <w:r w:rsidR="00E3253D">
        <w:rPr>
          <w:rtl/>
        </w:rPr>
        <w:t>و «</w:t>
      </w:r>
      <w:r w:rsidR="00E3253D" w:rsidRPr="005D642E">
        <w:rPr>
          <w:rtl/>
        </w:rPr>
        <w:t xml:space="preserve"> أقلّ » مبتدأ ثان ، </w:t>
      </w:r>
      <w:r w:rsidR="00E3253D">
        <w:rPr>
          <w:rtl/>
        </w:rPr>
        <w:t>و «</w:t>
      </w:r>
      <w:r w:rsidR="00E3253D" w:rsidRPr="005D642E">
        <w:rPr>
          <w:rtl/>
        </w:rPr>
        <w:t xml:space="preserve"> عشرة » خبره ، </w:t>
      </w:r>
      <w:r w:rsidR="00E3253D">
        <w:rPr>
          <w:rtl/>
        </w:rPr>
        <w:t>و «</w:t>
      </w:r>
      <w:r w:rsidR="00E3253D" w:rsidRPr="005D642E">
        <w:rPr>
          <w:rtl/>
        </w:rPr>
        <w:t xml:space="preserve"> يكون » تامّةٌ ، وجملة المبتدأ مع الخبر خبر المبتدأ الأوّل. قاله الشيخ البهائي في </w:t>
      </w:r>
      <w:r w:rsidR="00E3253D" w:rsidRPr="002F4D34">
        <w:rPr>
          <w:rStyle w:val="libFootnoteBoldChar"/>
          <w:rtl/>
        </w:rPr>
        <w:t>الحبل المتين</w:t>
      </w:r>
      <w:r w:rsidR="00E3253D" w:rsidRPr="005D642E">
        <w:rPr>
          <w:rtl/>
        </w:rPr>
        <w:t xml:space="preserve"> ، ص 168 ، </w:t>
      </w:r>
      <w:r w:rsidR="00E3253D" w:rsidRPr="00826FF3">
        <w:rPr>
          <w:rStyle w:val="libFootnoteBoldChar"/>
          <w:rtl/>
        </w:rPr>
        <w:t>وم</w:t>
      </w:r>
      <w:r w:rsidR="00E3253D" w:rsidRPr="002F4D34">
        <w:rPr>
          <w:rStyle w:val="libFootnoteBoldChar"/>
          <w:rtl/>
        </w:rPr>
        <w:t>شرق الشمسين</w:t>
      </w:r>
      <w:r w:rsidR="00E3253D" w:rsidRPr="005D642E">
        <w:rPr>
          <w:rtl/>
        </w:rPr>
        <w:t xml:space="preserve"> ، ص 256.</w:t>
      </w:r>
    </w:p>
    <w:p w:rsidR="00E3253D" w:rsidRPr="005D642E" w:rsidRDefault="0042621E" w:rsidP="00993459">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157 ، ح 451 ، معلّقاً عن أحمد بن محمّد ؛ </w:t>
      </w:r>
      <w:r w:rsidR="00E3253D" w:rsidRPr="002F4D34">
        <w:rPr>
          <w:rStyle w:val="libFootnoteBoldChar"/>
          <w:rtl/>
        </w:rPr>
        <w:t>الاستبصار</w:t>
      </w:r>
      <w:r w:rsidR="00E3253D" w:rsidRPr="005D642E">
        <w:rPr>
          <w:rtl/>
        </w:rPr>
        <w:t xml:space="preserve"> ، ج 1 ، ص 131 ، ح 452 ، بسنده عن أحمد بن محمّد</w:t>
      </w:r>
      <w:r w:rsidR="00993459">
        <w:rPr>
          <w:rFonts w:hint="cs"/>
          <w:rtl/>
        </w:rPr>
        <w:t>.</w:t>
      </w:r>
      <w:r w:rsidR="00E3253D" w:rsidRPr="002F4D34">
        <w:rPr>
          <w:rStyle w:val="libFootnoteBoldChar"/>
          <w:rtl/>
        </w:rPr>
        <w:t>الوافي</w:t>
      </w:r>
      <w:r w:rsidR="00E3253D" w:rsidRPr="005D642E">
        <w:rPr>
          <w:rtl/>
        </w:rPr>
        <w:t xml:space="preserve"> ، ج 6 ، ص 435 ، ح 4652 ؛ </w:t>
      </w:r>
      <w:r w:rsidR="00E3253D" w:rsidRPr="002F4D34">
        <w:rPr>
          <w:rStyle w:val="libFootnoteBoldChar"/>
          <w:rtl/>
        </w:rPr>
        <w:t>الوسائل</w:t>
      </w:r>
      <w:r w:rsidR="00E3253D" w:rsidRPr="005D642E">
        <w:rPr>
          <w:rtl/>
        </w:rPr>
        <w:t xml:space="preserve"> ، ج 2 ، ص 297 ، ح 2180.</w:t>
      </w:r>
    </w:p>
    <w:tbl>
      <w:tblPr>
        <w:tblStyle w:val="TableGrid"/>
        <w:bidiVisual/>
        <w:tblW w:w="0" w:type="auto"/>
        <w:tblLook w:val="04A0" w:firstRow="1" w:lastRow="0" w:firstColumn="1" w:lastColumn="0" w:noHBand="0" w:noVBand="1"/>
      </w:tblPr>
      <w:tblGrid>
        <w:gridCol w:w="4006"/>
        <w:gridCol w:w="4006"/>
      </w:tblGrid>
      <w:tr w:rsidR="00AF4F8F" w:rsidTr="00AF4F8F">
        <w:tc>
          <w:tcPr>
            <w:tcW w:w="4006" w:type="dxa"/>
          </w:tcPr>
          <w:p w:rsidR="00AF4F8F" w:rsidRDefault="00AF4F8F" w:rsidP="00E3253D">
            <w:pPr>
              <w:pStyle w:val="libFootnote0"/>
              <w:rPr>
                <w:rStyle w:val="libFootnote0Char"/>
                <w:rtl/>
              </w:rPr>
            </w:pPr>
            <w:r w:rsidRPr="0042621E">
              <w:rPr>
                <w:rStyle w:val="libFootnote0Char"/>
                <w:rtl/>
              </w:rPr>
              <w:t>(2).</w:t>
            </w:r>
            <w:r w:rsidRPr="005D642E">
              <w:rPr>
                <w:rtl/>
              </w:rPr>
              <w:t xml:space="preserve"> في « جن » : « امرأة »</w:t>
            </w:r>
            <w:r>
              <w:rPr>
                <w:rtl/>
              </w:rPr>
              <w:t>.</w:t>
            </w:r>
          </w:p>
        </w:tc>
        <w:tc>
          <w:tcPr>
            <w:tcW w:w="4006" w:type="dxa"/>
          </w:tcPr>
          <w:p w:rsidR="00AF4F8F" w:rsidRDefault="00AF4F8F" w:rsidP="00E3253D">
            <w:pPr>
              <w:pStyle w:val="libFootnote0"/>
              <w:rPr>
                <w:rStyle w:val="libFootnote0Char"/>
                <w:rtl/>
              </w:rPr>
            </w:pPr>
            <w:r w:rsidRPr="0042621E">
              <w:rPr>
                <w:rStyle w:val="libFootnote0Char"/>
                <w:rtl/>
              </w:rPr>
              <w:t>(3).</w:t>
            </w:r>
            <w:r w:rsidRPr="005D642E">
              <w:rPr>
                <w:rtl/>
              </w:rPr>
              <w:t xml:space="preserve"> في « بث ، بس ، جس » : « فلا يزال »</w:t>
            </w:r>
            <w:r>
              <w:rPr>
                <w:rtl/>
              </w:rPr>
              <w:t>.</w:t>
            </w:r>
          </w:p>
        </w:tc>
      </w:tr>
      <w:tr w:rsidR="00AF4F8F" w:rsidTr="00AF4F8F">
        <w:tc>
          <w:tcPr>
            <w:tcW w:w="4006" w:type="dxa"/>
          </w:tcPr>
          <w:p w:rsidR="00AF4F8F" w:rsidRDefault="00AF4F8F" w:rsidP="00E3253D">
            <w:pPr>
              <w:pStyle w:val="libFootnote0"/>
              <w:rPr>
                <w:rStyle w:val="libFootnote0Char"/>
                <w:rtl/>
              </w:rPr>
            </w:pPr>
            <w:r w:rsidRPr="0042621E">
              <w:rPr>
                <w:rStyle w:val="libFootnote0Char"/>
                <w:rtl/>
              </w:rPr>
              <w:t>(4).</w:t>
            </w:r>
            <w:r w:rsidRPr="005D642E">
              <w:rPr>
                <w:rtl/>
              </w:rPr>
              <w:t xml:space="preserve"> في « بث ، بس » : « حتّى يرجع »</w:t>
            </w:r>
            <w:r>
              <w:rPr>
                <w:rtl/>
              </w:rPr>
              <w:t>.</w:t>
            </w:r>
          </w:p>
        </w:tc>
        <w:tc>
          <w:tcPr>
            <w:tcW w:w="4006" w:type="dxa"/>
          </w:tcPr>
          <w:p w:rsidR="00AF4F8F" w:rsidRDefault="00AF4F8F" w:rsidP="00E3253D">
            <w:pPr>
              <w:pStyle w:val="libFootnote0"/>
              <w:rPr>
                <w:rStyle w:val="libFootnote0Char"/>
                <w:rtl/>
              </w:rPr>
            </w:pPr>
            <w:r w:rsidRPr="0042621E">
              <w:rPr>
                <w:rStyle w:val="libFootnote0Char"/>
                <w:rtl/>
              </w:rPr>
              <w:t>(5).</w:t>
            </w:r>
            <w:r w:rsidRPr="005D642E">
              <w:rPr>
                <w:rtl/>
              </w:rPr>
              <w:t xml:space="preserve"> في حاشية « بح » : « وإذا »</w:t>
            </w:r>
            <w:r>
              <w:rPr>
                <w:rtl/>
              </w:rPr>
              <w:t>.</w:t>
            </w:r>
          </w:p>
        </w:tc>
      </w:tr>
      <w:tr w:rsidR="00AF4F8F" w:rsidTr="00AF4F8F">
        <w:tc>
          <w:tcPr>
            <w:tcW w:w="4006" w:type="dxa"/>
          </w:tcPr>
          <w:p w:rsidR="00AF4F8F" w:rsidRDefault="00AF4F8F" w:rsidP="00E3253D">
            <w:pPr>
              <w:pStyle w:val="libFootnote0"/>
              <w:rPr>
                <w:rStyle w:val="libFootnote0Char"/>
                <w:rtl/>
              </w:rPr>
            </w:pPr>
            <w:r w:rsidRPr="0042621E">
              <w:rPr>
                <w:rStyle w:val="libFootnote0Char"/>
                <w:rtl/>
              </w:rPr>
              <w:t>(6).</w:t>
            </w:r>
            <w:r w:rsidRPr="005D642E">
              <w:rPr>
                <w:rtl/>
              </w:rPr>
              <w:t xml:space="preserve"> في « جن » :</w:t>
            </w:r>
            <w:r>
              <w:rPr>
                <w:rtl/>
              </w:rPr>
              <w:t xml:space="preserve"> - </w:t>
            </w:r>
            <w:r w:rsidRPr="005D642E">
              <w:rPr>
                <w:rtl/>
              </w:rPr>
              <w:t>« المرأة »</w:t>
            </w:r>
            <w:r>
              <w:rPr>
                <w:rtl/>
              </w:rPr>
              <w:t>.</w:t>
            </w:r>
          </w:p>
        </w:tc>
        <w:tc>
          <w:tcPr>
            <w:tcW w:w="4006" w:type="dxa"/>
          </w:tcPr>
          <w:p w:rsidR="00AF4F8F" w:rsidRDefault="00AF4F8F" w:rsidP="00E3253D">
            <w:pPr>
              <w:pStyle w:val="libFootnote0"/>
              <w:rPr>
                <w:rStyle w:val="libFootnote0Char"/>
                <w:rtl/>
              </w:rPr>
            </w:pPr>
            <w:r w:rsidRPr="0042621E">
              <w:rPr>
                <w:rStyle w:val="libFootnote0Char"/>
                <w:rtl/>
              </w:rPr>
              <w:t>(7).</w:t>
            </w:r>
            <w:r w:rsidRPr="005D642E">
              <w:rPr>
                <w:rtl/>
              </w:rPr>
              <w:t xml:space="preserve"> في « ى » :</w:t>
            </w:r>
            <w:r>
              <w:rPr>
                <w:rtl/>
              </w:rPr>
              <w:t xml:space="preserve"> - </w:t>
            </w:r>
            <w:r w:rsidRPr="005D642E">
              <w:rPr>
                <w:rtl/>
              </w:rPr>
              <w:t>« حيضها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 « وإن ارتفع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بح ، بخ ، بس ، بف » : « وإن رأت »</w:t>
      </w:r>
      <w:r w:rsidR="00E3253D">
        <w:rPr>
          <w:rtl/>
        </w:rPr>
        <w:t>.</w:t>
      </w:r>
      <w:r w:rsidR="00E3253D" w:rsidRPr="005D642E">
        <w:rPr>
          <w:rtl/>
        </w:rPr>
        <w:t xml:space="preserve"> وفي « بث » : « فإن زادت »</w:t>
      </w:r>
      <w:r w:rsidR="00E3253D">
        <w:rPr>
          <w:rtl/>
        </w:rPr>
        <w:t>.</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فإن رأت »</w:t>
      </w:r>
      <w:r w:rsidR="00E3253D">
        <w:rPr>
          <w:rtl/>
        </w:rPr>
        <w:t>.</w:t>
      </w:r>
      <w:r w:rsidR="00E3253D" w:rsidRPr="005D642E">
        <w:rPr>
          <w:rtl/>
        </w:rPr>
        <w:t xml:space="preserve"> وفي « جن » : « وإن رأت الدم »</w:t>
      </w:r>
      <w:r w:rsidR="00E3253D">
        <w:rPr>
          <w:rtl/>
        </w:rPr>
        <w:t>.</w:t>
      </w:r>
      <w:r w:rsidR="00E3253D" w:rsidRPr="005D642E">
        <w:rPr>
          <w:rtl/>
        </w:rPr>
        <w:t xml:space="preserve"> وفي حاشية « بح » : « ولو رأت »</w:t>
      </w:r>
      <w:r w:rsidR="00E3253D">
        <w:rPr>
          <w:rtl/>
        </w:rPr>
        <w:t>.</w:t>
      </w:r>
    </w:p>
    <w:tbl>
      <w:tblPr>
        <w:tblStyle w:val="TableGrid"/>
        <w:bidiVisual/>
        <w:tblW w:w="0" w:type="auto"/>
        <w:tblLook w:val="04A0" w:firstRow="1" w:lastRow="0" w:firstColumn="1" w:lastColumn="0" w:noHBand="0" w:noVBand="1"/>
      </w:tblPr>
      <w:tblGrid>
        <w:gridCol w:w="4006"/>
        <w:gridCol w:w="4006"/>
      </w:tblGrid>
      <w:tr w:rsidR="00546FAE" w:rsidTr="00546FAE">
        <w:tc>
          <w:tcPr>
            <w:tcW w:w="4006" w:type="dxa"/>
          </w:tcPr>
          <w:p w:rsidR="00546FAE" w:rsidRDefault="00546FAE" w:rsidP="00E3253D">
            <w:pPr>
              <w:pStyle w:val="libFootnote0"/>
              <w:rPr>
                <w:rStyle w:val="libFootnote0Char"/>
                <w:rtl/>
              </w:rPr>
            </w:pPr>
            <w:r w:rsidRPr="0042621E">
              <w:rPr>
                <w:rStyle w:val="libFootnote0Char"/>
                <w:rtl/>
              </w:rPr>
              <w:t>(10).</w:t>
            </w:r>
            <w:r w:rsidRPr="005D642E">
              <w:rPr>
                <w:rtl/>
              </w:rPr>
              <w:t xml:space="preserve"> في « بف ، جن » : « حتّى تتمّ »</w:t>
            </w:r>
            <w:r>
              <w:rPr>
                <w:rtl/>
              </w:rPr>
              <w:t>.</w:t>
            </w:r>
          </w:p>
        </w:tc>
        <w:tc>
          <w:tcPr>
            <w:tcW w:w="4006" w:type="dxa"/>
          </w:tcPr>
          <w:p w:rsidR="00546FAE" w:rsidRDefault="00546FAE" w:rsidP="00E3253D">
            <w:pPr>
              <w:pStyle w:val="libFootnote0"/>
              <w:rPr>
                <w:rStyle w:val="libFootnote0Char"/>
                <w:rtl/>
              </w:rPr>
            </w:pPr>
            <w:r w:rsidRPr="0042621E">
              <w:rPr>
                <w:rStyle w:val="libFootnote0Char"/>
                <w:rtl/>
              </w:rPr>
              <w:t>(11).</w:t>
            </w:r>
            <w:r w:rsidRPr="005D642E">
              <w:rPr>
                <w:rtl/>
              </w:rPr>
              <w:t xml:space="preserve"> في « غ ، جس ، جن » </w:t>
            </w:r>
            <w:r w:rsidRPr="00B60612">
              <w:rPr>
                <w:rStyle w:val="libFootnoteBoldChar"/>
                <w:rtl/>
              </w:rPr>
              <w:t>والتهذيب</w:t>
            </w:r>
            <w:r w:rsidRPr="005D642E">
              <w:rPr>
                <w:rtl/>
              </w:rPr>
              <w:t xml:space="preserve"> : « هو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الدَّمَ </w:t>
      </w:r>
      <w:r w:rsidRPr="007C12DB">
        <w:rPr>
          <w:rStyle w:val="libFootnotenumChar"/>
          <w:rtl/>
        </w:rPr>
        <w:t>(1)</w:t>
      </w:r>
      <w:r w:rsidRPr="005D642E">
        <w:rPr>
          <w:rtl/>
          <w:lang w:bidi="fa-IR"/>
        </w:rPr>
        <w:t xml:space="preserve"> عَشَرَةُ أَيَّامٍ ، وَلَمْ تَرَ الدَّمَ ، فَذلِكَ الْيَوْمُ وَالْيَوْمَانِ الَّذِي رَأَتْهُ لَمْ يَكُنْ مِنَ الْحَيْضِ ، إِنَّمَا كَانَ مِنْ عِلَّةٍ : إِمَّا </w:t>
      </w:r>
      <w:r w:rsidRPr="007C12DB">
        <w:rPr>
          <w:rStyle w:val="libFootnotenumChar"/>
          <w:rtl/>
        </w:rPr>
        <w:t>(2)</w:t>
      </w:r>
      <w:r w:rsidRPr="005D642E">
        <w:rPr>
          <w:rtl/>
          <w:lang w:bidi="fa-IR"/>
        </w:rPr>
        <w:t xml:space="preserve"> قَرْحَةٍ </w:t>
      </w:r>
      <w:r w:rsidRPr="007C12DB">
        <w:rPr>
          <w:rStyle w:val="libFootnotenumChar"/>
          <w:rtl/>
        </w:rPr>
        <w:t>(3)</w:t>
      </w:r>
      <w:r w:rsidRPr="005D642E">
        <w:rPr>
          <w:rtl/>
          <w:lang w:bidi="fa-IR"/>
        </w:rPr>
        <w:t xml:space="preserve"> فِي جَوْفِهَا </w:t>
      </w:r>
      <w:r w:rsidRPr="007C12DB">
        <w:rPr>
          <w:rStyle w:val="libFootnotenumChar"/>
          <w:rtl/>
        </w:rPr>
        <w:t>(4)</w:t>
      </w:r>
      <w:r w:rsidRPr="005D642E">
        <w:rPr>
          <w:rtl/>
          <w:lang w:bidi="fa-IR"/>
        </w:rPr>
        <w:t xml:space="preserve"> ، وَإِمَّا مِنَ الْجَوْفِ ، فَعَلَيْهَا أَنْ تُعِيدَ الصَّلَاةَ تِلْكَ </w:t>
      </w:r>
      <w:r w:rsidRPr="007C12DB">
        <w:rPr>
          <w:rStyle w:val="libFootnotenumChar"/>
          <w:rtl/>
        </w:rPr>
        <w:t>(5)</w:t>
      </w:r>
      <w:r w:rsidRPr="005D642E">
        <w:rPr>
          <w:rtl/>
          <w:lang w:bidi="fa-IR"/>
        </w:rPr>
        <w:t xml:space="preserve"> الْيَوْمَيْنِ ، الَّتِي تَرَكَتْهَا ؛ لِأَنَّهَا لَمْ تَكُنْ حَائِضاً ، فَيَجِبُ أَنْ تَقْضِيَ </w:t>
      </w:r>
      <w:r w:rsidRPr="007C12DB">
        <w:rPr>
          <w:rStyle w:val="libFootnotenumChar"/>
          <w:rtl/>
        </w:rPr>
        <w:t>(6)</w:t>
      </w:r>
      <w:r w:rsidRPr="005D642E">
        <w:rPr>
          <w:rtl/>
          <w:lang w:bidi="fa-IR"/>
        </w:rPr>
        <w:t xml:space="preserve"> مَا تَرَكَتْ مِنَ الصَّلَاةِ فِي الْيَوْمِ وَالْيَوْمَيْنِ ، وَإِنْ تَمَّ لَهَا ثَلَاثَةُ أَيَّامٍ ، فَهُوَ مِنَ الْحَيْضِ وَهُوَ أَدْنَى الْحَيْضِ ، وَلَمْ يَجِبْ عَلَيْهَا الْقَضَاءُ.</w:t>
      </w:r>
    </w:p>
    <w:p w:rsidR="00E3253D" w:rsidRPr="005D642E" w:rsidRDefault="00E3253D" w:rsidP="00E3253D">
      <w:pPr>
        <w:pStyle w:val="libNormal"/>
        <w:rPr>
          <w:rtl/>
          <w:lang w:bidi="fa-IR"/>
        </w:rPr>
      </w:pPr>
      <w:r w:rsidRPr="005D642E">
        <w:rPr>
          <w:rtl/>
          <w:lang w:bidi="fa-IR"/>
        </w:rPr>
        <w:t xml:space="preserve">وَلَايَكُونُ الطُّهْرُ أَقَلَّ مِنْ عَشَرَةِ أَيَّامٍ ، فَإِذَا </w:t>
      </w:r>
      <w:r w:rsidRPr="007C12DB">
        <w:rPr>
          <w:rStyle w:val="libFootnotenumChar"/>
          <w:rtl/>
        </w:rPr>
        <w:t>(7)</w:t>
      </w:r>
      <w:r w:rsidRPr="005D642E">
        <w:rPr>
          <w:rtl/>
          <w:lang w:bidi="fa-IR"/>
        </w:rPr>
        <w:t xml:space="preserve"> حَاضَتِ الْمَرْأَةُ وَكَانَ حَيْضُهَا خَمْسَةَ</w:t>
      </w:r>
      <w:r>
        <w:rPr>
          <w:rFonts w:hint="cs"/>
          <w:rtl/>
          <w:lang w:bidi="fa-IR"/>
        </w:rPr>
        <w:t xml:space="preserve"> </w:t>
      </w:r>
      <w:r w:rsidRPr="005D642E">
        <w:rPr>
          <w:rtl/>
          <w:lang w:bidi="fa-IR"/>
        </w:rPr>
        <w:t xml:space="preserve">أَيَّامٍ ، ثُمَّ انْقَطَعَ الدَّمُ ، اغْتَسَلَتْ وَصَلَّتْ ، فَإِنْ رَأَتْ بَعْدَ ذلِكَ الدَّمَ ، وَلَمْ يَتِمَّ لَهَا مِنْ يَوْمِ طَهُرَتْ عَشَرَةُ أَيَّامٍ ، فَذلِكَ مِنَ الْحَيْضِ تَدَعُ الصَّلَاةَ ، وَإِنْ رَأَتِ </w:t>
      </w:r>
      <w:r w:rsidRPr="007C12DB">
        <w:rPr>
          <w:rStyle w:val="libFootnotenumChar"/>
          <w:rtl/>
        </w:rPr>
        <w:t>(8)</w:t>
      </w:r>
      <w:r w:rsidRPr="005D642E">
        <w:rPr>
          <w:rtl/>
          <w:lang w:bidi="fa-IR"/>
        </w:rPr>
        <w:t xml:space="preserve"> الدَّمَ مِنْ </w:t>
      </w:r>
      <w:r w:rsidRPr="007C12DB">
        <w:rPr>
          <w:rStyle w:val="libFootnotenumChar"/>
          <w:rtl/>
        </w:rPr>
        <w:t>(9)</w:t>
      </w:r>
      <w:r w:rsidRPr="005D642E">
        <w:rPr>
          <w:rtl/>
          <w:lang w:bidi="fa-IR"/>
        </w:rPr>
        <w:t xml:space="preserve"> أَوَّلِ مَا رَأَتِ </w:t>
      </w:r>
      <w:r w:rsidRPr="007C12DB">
        <w:rPr>
          <w:rStyle w:val="libFootnotenumChar"/>
          <w:rtl/>
        </w:rPr>
        <w:t>(10)</w:t>
      </w:r>
      <w:r w:rsidRPr="005D642E">
        <w:rPr>
          <w:rtl/>
          <w:lang w:bidi="fa-IR"/>
        </w:rPr>
        <w:t xml:space="preserve"> الثَّانِيَ الَّذِي رَأَتْهُ تَمَامَ الْعَشَرَةِ أَيَّامٍ وَدَامَ عَلَيْهَا ، عَدَّتْ مِنْ أَوَّلِ </w:t>
      </w:r>
      <w:r w:rsidRPr="007C12DB">
        <w:rPr>
          <w:rStyle w:val="libFootnotenumChar"/>
          <w:rtl/>
        </w:rPr>
        <w:t>(11)</w:t>
      </w:r>
      <w:r w:rsidRPr="005D642E">
        <w:rPr>
          <w:rtl/>
          <w:lang w:bidi="fa-IR"/>
        </w:rPr>
        <w:t xml:space="preserve"> مَا رَأَتِ الدَّمَ الْأَوَّلَ </w:t>
      </w:r>
      <w:r w:rsidRPr="007C12DB">
        <w:rPr>
          <w:rStyle w:val="libFootnotenumChar"/>
          <w:rtl/>
        </w:rPr>
        <w:t>(12)</w:t>
      </w:r>
      <w:r w:rsidRPr="005D642E">
        <w:rPr>
          <w:rtl/>
          <w:lang w:bidi="fa-IR"/>
        </w:rPr>
        <w:t xml:space="preserve"> وَالثَّانِيَ عَشَرَةَ أَيَّامٍ ، ثُمَّ هِيَ مُسْتَحَاضَةٌ تَعْمَلُ مَا تَعْمَلُهُ </w:t>
      </w:r>
      <w:r w:rsidRPr="007C12DB">
        <w:rPr>
          <w:rStyle w:val="libFootnotenumChar"/>
          <w:rtl/>
        </w:rPr>
        <w:t>(13)</w:t>
      </w:r>
      <w:r w:rsidRPr="005D642E">
        <w:rPr>
          <w:rtl/>
          <w:lang w:bidi="fa-IR"/>
        </w:rPr>
        <w:t xml:space="preserve"> الْمُسْتَحَاضَةُ »</w:t>
      </w:r>
      <w:r>
        <w:rPr>
          <w:rtl/>
          <w:lang w:bidi="fa-IR"/>
        </w:rPr>
        <w:t>.</w:t>
      </w:r>
    </w:p>
    <w:p w:rsidR="00E3253D" w:rsidRPr="005D642E" w:rsidRDefault="00E3253D" w:rsidP="00E3253D">
      <w:pPr>
        <w:pStyle w:val="libNormal"/>
        <w:rPr>
          <w:rtl/>
          <w:lang w:bidi="fa-IR"/>
        </w:rPr>
      </w:pPr>
      <w:r w:rsidRPr="005D642E">
        <w:rPr>
          <w:rtl/>
          <w:lang w:bidi="fa-IR"/>
        </w:rPr>
        <w:t xml:space="preserve">وَقَالَ : « كُلُّ مَا رَأَتِ الْمَرْأَةُ فِي أَيَّامِ حَيْضِهَا مِنْ صُفْرَةٍ أَوْ حُمْرَةٍ ، فَهُوَ مِنَ الْحَيْضِ ؛ وَكُلُّ مَا رَأَتْهُ </w:t>
      </w:r>
      <w:r w:rsidRPr="007C12DB">
        <w:rPr>
          <w:rStyle w:val="libFootnotenumChar"/>
          <w:rtl/>
        </w:rPr>
        <w:t>(14)</w:t>
      </w:r>
      <w:r w:rsidRPr="005D642E">
        <w:rPr>
          <w:rtl/>
          <w:lang w:bidi="fa-IR"/>
        </w:rPr>
        <w:t xml:space="preserve"> بَعْدَ أَيَّامِ حَيْضِهَا ، فَلَيْسَ مِنَ الْحَيْضِ »</w:t>
      </w:r>
      <w:r>
        <w:rPr>
          <w:rtl/>
          <w:lang w:bidi="fa-IR"/>
        </w:rPr>
        <w:t>.</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جس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الدم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وفي « ى » والمطبوع : + « من »</w:t>
      </w:r>
      <w:r w:rsidR="00E3253D">
        <w:rPr>
          <w:rtl/>
        </w:rPr>
        <w:t>.</w:t>
      </w:r>
      <w:r w:rsidR="00E3253D" w:rsidRPr="005D642E">
        <w:rPr>
          <w:rtl/>
        </w:rPr>
        <w:t xml:space="preserve"> وفي « بث » : « أو » بدل « إمّا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القَرْحة » : واحدة القَرْح ، وهي الحبّة تخرج في البدن. وقيل : هو البَثْر إذا ترامى إلى فساد ، والبَثْر : الخراج وهو كلّ ما يخرج بالبدن ، كالدمّل. راجع : </w:t>
      </w:r>
      <w:r w:rsidR="00E3253D" w:rsidRPr="002F4D34">
        <w:rPr>
          <w:rStyle w:val="libFootnoteBoldChar"/>
          <w:rtl/>
        </w:rPr>
        <w:t>لسان العرب</w:t>
      </w:r>
      <w:r w:rsidR="00E3253D" w:rsidRPr="005D642E">
        <w:rPr>
          <w:rtl/>
        </w:rPr>
        <w:t xml:space="preserve"> ، ج 2 ، ص 557 ؛ </w:t>
      </w:r>
      <w:r w:rsidR="00E3253D" w:rsidRPr="002F4D34">
        <w:rPr>
          <w:rStyle w:val="libFootnoteBoldChar"/>
          <w:rtl/>
        </w:rPr>
        <w:t>مجمع البحرين</w:t>
      </w:r>
      <w:r w:rsidR="00826FF3">
        <w:rPr>
          <w:rtl/>
        </w:rPr>
        <w:t xml:space="preserve"> ، ج 2 ، ص 403 (قرح</w:t>
      </w:r>
      <w:r w:rsidR="00E3253D" w:rsidRPr="005D642E">
        <w:rPr>
          <w:rtl/>
        </w:rPr>
        <w:t>)</w:t>
      </w:r>
      <w:r w:rsidR="00E3253D">
        <w:rPr>
          <w:rtl/>
        </w:rPr>
        <w:t>.</w:t>
      </w:r>
    </w:p>
    <w:tbl>
      <w:tblPr>
        <w:tblStyle w:val="TableGrid"/>
        <w:bidiVisual/>
        <w:tblW w:w="0" w:type="auto"/>
        <w:tblLook w:val="04A0" w:firstRow="1" w:lastRow="0" w:firstColumn="1" w:lastColumn="0" w:noHBand="0" w:noVBand="1"/>
      </w:tblPr>
      <w:tblGrid>
        <w:gridCol w:w="4006"/>
        <w:gridCol w:w="4006"/>
      </w:tblGrid>
      <w:tr w:rsidR="00F633E2" w:rsidTr="00F633E2">
        <w:tc>
          <w:tcPr>
            <w:tcW w:w="4006" w:type="dxa"/>
          </w:tcPr>
          <w:p w:rsidR="00F633E2" w:rsidRDefault="00F633E2" w:rsidP="00E3253D">
            <w:pPr>
              <w:pStyle w:val="libFootnote0"/>
              <w:rPr>
                <w:rStyle w:val="libFootnote0Char"/>
                <w:rtl/>
              </w:rPr>
            </w:pPr>
            <w:r w:rsidRPr="0042621E">
              <w:rPr>
                <w:rStyle w:val="libFootnote0Char"/>
                <w:rtl/>
              </w:rPr>
              <w:t>(4).</w:t>
            </w:r>
            <w:r w:rsidRPr="005D642E">
              <w:rPr>
                <w:rtl/>
              </w:rPr>
              <w:t xml:space="preserve"> في التهذيب : « الجوف »</w:t>
            </w:r>
            <w:r>
              <w:rPr>
                <w:rtl/>
              </w:rPr>
              <w:t>.</w:t>
            </w:r>
          </w:p>
        </w:tc>
        <w:tc>
          <w:tcPr>
            <w:tcW w:w="4006" w:type="dxa"/>
          </w:tcPr>
          <w:p w:rsidR="00F633E2" w:rsidRDefault="00F633E2" w:rsidP="00E3253D">
            <w:pPr>
              <w:pStyle w:val="libFootnote0"/>
              <w:rPr>
                <w:rStyle w:val="libFootnote0Char"/>
                <w:rtl/>
              </w:rPr>
            </w:pPr>
            <w:r w:rsidRPr="0042621E">
              <w:rPr>
                <w:rStyle w:val="libFootnote0Char"/>
                <w:rtl/>
              </w:rPr>
              <w:t>(5).</w:t>
            </w:r>
            <w:r w:rsidRPr="005D642E">
              <w:rPr>
                <w:rtl/>
              </w:rPr>
              <w:t xml:space="preserve"> في « بث ، جن » وحاشية « غ » : « ذلك »</w:t>
            </w:r>
            <w:r>
              <w:rPr>
                <w:rtl/>
              </w:rPr>
              <w:t>.</w:t>
            </w:r>
          </w:p>
        </w:tc>
      </w:tr>
      <w:tr w:rsidR="00F633E2" w:rsidTr="00F633E2">
        <w:tc>
          <w:tcPr>
            <w:tcW w:w="4006" w:type="dxa"/>
          </w:tcPr>
          <w:p w:rsidR="00F633E2" w:rsidRDefault="00F633E2" w:rsidP="00E3253D">
            <w:pPr>
              <w:pStyle w:val="libFootnote0"/>
              <w:rPr>
                <w:rStyle w:val="libFootnote0Char"/>
                <w:rtl/>
              </w:rPr>
            </w:pPr>
            <w:r w:rsidRPr="0042621E">
              <w:rPr>
                <w:rStyle w:val="libFootnote0Char"/>
                <w:rtl/>
              </w:rPr>
              <w:t>(6).</w:t>
            </w:r>
            <w:r w:rsidRPr="005D642E">
              <w:rPr>
                <w:rtl/>
              </w:rPr>
              <w:t xml:space="preserve"> في « جس » : « أن يقضى »</w:t>
            </w:r>
            <w:r>
              <w:rPr>
                <w:rtl/>
              </w:rPr>
              <w:t>.</w:t>
            </w:r>
          </w:p>
        </w:tc>
        <w:tc>
          <w:tcPr>
            <w:tcW w:w="4006" w:type="dxa"/>
          </w:tcPr>
          <w:p w:rsidR="00F633E2" w:rsidRDefault="00F633E2" w:rsidP="00F633E2">
            <w:pPr>
              <w:pStyle w:val="libFootnote0"/>
              <w:rPr>
                <w:rStyle w:val="libFootnote0Char"/>
                <w:rtl/>
              </w:rPr>
            </w:pPr>
            <w:r w:rsidRPr="0042621E">
              <w:rPr>
                <w:rStyle w:val="libFootnote0Char"/>
                <w:rtl/>
              </w:rPr>
              <w:t>(7).</w:t>
            </w:r>
            <w:r w:rsidRPr="005D642E">
              <w:rPr>
                <w:rtl/>
              </w:rPr>
              <w:t xml:space="preserve"> في«بح،بس،بف»</w:t>
            </w:r>
            <w:r>
              <w:rPr>
                <w:rtl/>
              </w:rPr>
              <w:t>وحاشية</w:t>
            </w:r>
            <w:r w:rsidRPr="005D642E">
              <w:rPr>
                <w:rtl/>
              </w:rPr>
              <w:t>«غ،بح»</w:t>
            </w:r>
            <w:r w:rsidRPr="000D749A">
              <w:rPr>
                <w:rStyle w:val="libFootnoteBoldChar"/>
                <w:rtl/>
              </w:rPr>
              <w:t>والوافي</w:t>
            </w:r>
            <w:r w:rsidRPr="005D642E">
              <w:rPr>
                <w:rtl/>
              </w:rPr>
              <w:t>:«وإذا»</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غ ، ى ، بح ، بس ، جح ، جس » </w:t>
      </w:r>
      <w:r w:rsidR="00B60612" w:rsidRPr="00B60612">
        <w:rPr>
          <w:rStyle w:val="libFootnoteBoldChar"/>
          <w:rtl/>
        </w:rPr>
        <w:t>والتهذيب</w:t>
      </w:r>
      <w:r w:rsidR="00E3253D" w:rsidRPr="005D642E">
        <w:rPr>
          <w:rtl/>
        </w:rPr>
        <w:t xml:space="preserve"> : « فإن رأت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وحاشية « بث » </w:t>
      </w:r>
      <w:r w:rsidR="00B60612" w:rsidRPr="00B60612">
        <w:rPr>
          <w:rStyle w:val="libFootnoteBoldChar"/>
          <w:rtl/>
        </w:rPr>
        <w:t>والتهذيب</w:t>
      </w:r>
      <w:r w:rsidR="00E3253D" w:rsidRPr="005D642E">
        <w:rPr>
          <w:rtl/>
        </w:rPr>
        <w:t xml:space="preserve"> : « في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ى ، بح ، جح ، جس ، جن » وحاشية « غ » </w:t>
      </w:r>
      <w:r w:rsidR="00B60612" w:rsidRPr="00B60612">
        <w:rPr>
          <w:rStyle w:val="libFootnoteBoldChar"/>
          <w:rtl/>
        </w:rPr>
        <w:t>والتهذيب</w:t>
      </w:r>
      <w:r w:rsidR="00E3253D" w:rsidRPr="005D642E">
        <w:rPr>
          <w:rtl/>
        </w:rPr>
        <w:t xml:space="preserve"> : « ما رأته »</w:t>
      </w:r>
      <w:r w:rsidR="00E3253D">
        <w:rPr>
          <w:rtl/>
        </w:rPr>
        <w:t>.</w:t>
      </w:r>
    </w:p>
    <w:tbl>
      <w:tblPr>
        <w:tblStyle w:val="TableGrid"/>
        <w:bidiVisual/>
        <w:tblW w:w="0" w:type="auto"/>
        <w:tblLook w:val="04A0" w:firstRow="1" w:lastRow="0" w:firstColumn="1" w:lastColumn="0" w:noHBand="0" w:noVBand="1"/>
      </w:tblPr>
      <w:tblGrid>
        <w:gridCol w:w="4006"/>
        <w:gridCol w:w="4006"/>
      </w:tblGrid>
      <w:tr w:rsidR="00BA490C" w:rsidTr="00BA490C">
        <w:tc>
          <w:tcPr>
            <w:tcW w:w="4006" w:type="dxa"/>
          </w:tcPr>
          <w:p w:rsidR="00BA490C" w:rsidRDefault="00BA490C" w:rsidP="00E3253D">
            <w:pPr>
              <w:pStyle w:val="libFootnote0"/>
              <w:rPr>
                <w:rStyle w:val="libFootnote0Char"/>
                <w:rtl/>
              </w:rPr>
            </w:pPr>
            <w:r w:rsidRPr="0042621E">
              <w:rPr>
                <w:rStyle w:val="libFootnote0Char"/>
                <w:rtl/>
              </w:rPr>
              <w:t>(11).</w:t>
            </w:r>
            <w:r w:rsidRPr="005D642E">
              <w:rPr>
                <w:rtl/>
              </w:rPr>
              <w:t xml:space="preserve"> في حاشية « بح » : « أقلّ »</w:t>
            </w:r>
            <w:r>
              <w:rPr>
                <w:rtl/>
              </w:rPr>
              <w:t>.</w:t>
            </w:r>
          </w:p>
        </w:tc>
        <w:tc>
          <w:tcPr>
            <w:tcW w:w="4006" w:type="dxa"/>
          </w:tcPr>
          <w:p w:rsidR="00BA490C" w:rsidRDefault="00BA490C" w:rsidP="00E3253D">
            <w:pPr>
              <w:pStyle w:val="libFootnote0"/>
              <w:rPr>
                <w:rStyle w:val="libFootnote0Char"/>
                <w:rtl/>
              </w:rPr>
            </w:pPr>
            <w:r w:rsidRPr="0042621E">
              <w:rPr>
                <w:rStyle w:val="libFootnote0Char"/>
                <w:rtl/>
              </w:rPr>
              <w:t>(12).</w:t>
            </w:r>
            <w:r w:rsidRPr="005D642E">
              <w:rPr>
                <w:rtl/>
              </w:rPr>
              <w:t xml:space="preserve"> في « بس » : « للأوّل »</w:t>
            </w:r>
            <w:r>
              <w:rPr>
                <w:rtl/>
              </w:rPr>
              <w:t>.</w:t>
            </w:r>
          </w:p>
        </w:tc>
      </w:tr>
      <w:tr w:rsidR="00BA490C" w:rsidTr="00BA490C">
        <w:tc>
          <w:tcPr>
            <w:tcW w:w="4006" w:type="dxa"/>
          </w:tcPr>
          <w:p w:rsidR="00BA490C" w:rsidRDefault="00BA490C" w:rsidP="00E3253D">
            <w:pPr>
              <w:pStyle w:val="libFootnote0"/>
              <w:rPr>
                <w:rStyle w:val="libFootnote0Char"/>
                <w:rtl/>
              </w:rPr>
            </w:pPr>
            <w:r w:rsidRPr="0042621E">
              <w:rPr>
                <w:rStyle w:val="libFootnote0Char"/>
                <w:rtl/>
              </w:rPr>
              <w:t>(13).</w:t>
            </w:r>
            <w:r w:rsidRPr="005D642E">
              <w:rPr>
                <w:rtl/>
              </w:rPr>
              <w:t xml:space="preserve"> في « ظ ، غ ، جس » : « ما تعمل »</w:t>
            </w:r>
            <w:r>
              <w:rPr>
                <w:rtl/>
              </w:rPr>
              <w:t>.</w:t>
            </w:r>
          </w:p>
        </w:tc>
        <w:tc>
          <w:tcPr>
            <w:tcW w:w="4006" w:type="dxa"/>
          </w:tcPr>
          <w:p w:rsidR="00BA490C" w:rsidRDefault="00BA490C" w:rsidP="00E3253D">
            <w:pPr>
              <w:pStyle w:val="libFootnote0"/>
              <w:rPr>
                <w:rStyle w:val="libFootnote0Char"/>
                <w:rtl/>
              </w:rPr>
            </w:pPr>
            <w:r w:rsidRPr="0042621E">
              <w:rPr>
                <w:rStyle w:val="libFootnote0Char"/>
                <w:rtl/>
              </w:rPr>
              <w:t>(14).</w:t>
            </w:r>
            <w:r w:rsidRPr="005D642E">
              <w:rPr>
                <w:rtl/>
              </w:rPr>
              <w:t xml:space="preserve"> في « ظ ، غ ، بح » : « ما رأت »</w:t>
            </w:r>
            <w:r>
              <w:rPr>
                <w:rtl/>
              </w:rPr>
              <w:t>.</w:t>
            </w:r>
          </w:p>
        </w:tc>
      </w:tr>
    </w:tbl>
    <w:p w:rsidR="00E3253D" w:rsidRPr="005D642E" w:rsidRDefault="0042621E" w:rsidP="006D3D4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التهذيب</w:t>
      </w:r>
      <w:r w:rsidR="00E3253D" w:rsidRPr="005D642E">
        <w:rPr>
          <w:rtl/>
        </w:rPr>
        <w:t xml:space="preserve"> ، ج 1 ، ص 157 ، ح 453 ، بسنده عن الكليني</w:t>
      </w:r>
      <w:r w:rsidR="006D3D4D">
        <w:rPr>
          <w:rFonts w:hint="cs"/>
          <w:rtl/>
        </w:rPr>
        <w:t>.</w:t>
      </w:r>
      <w:r w:rsidR="00E3253D" w:rsidRPr="002F4D34">
        <w:rPr>
          <w:rStyle w:val="libFootnoteBoldChar"/>
          <w:rtl/>
        </w:rPr>
        <w:t>الوافي</w:t>
      </w:r>
      <w:r w:rsidR="00E3253D" w:rsidRPr="005D642E">
        <w:rPr>
          <w:rtl/>
        </w:rPr>
        <w:t xml:space="preserve"> ، ج 6 ، ص 436 ، ح 4653 ؛ </w:t>
      </w:r>
      <w:r w:rsidR="00E3253D" w:rsidRPr="002F4D34">
        <w:rPr>
          <w:rStyle w:val="libFootnoteBoldChar"/>
          <w:rtl/>
        </w:rPr>
        <w:t>الوسائل</w:t>
      </w:r>
      <w:r w:rsidR="00E3253D" w:rsidRPr="005D642E">
        <w:rPr>
          <w:rtl/>
        </w:rPr>
        <w:t xml:space="preserve"> ، </w:t>
      </w:r>
      <w:r w:rsidR="0033620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180" w:name="_Toc344647270"/>
      <w:bookmarkStart w:id="181" w:name="_Toc462226785"/>
      <w:bookmarkStart w:id="182" w:name="_Toc40975893"/>
      <w:r w:rsidRPr="005D642E">
        <w:rPr>
          <w:rtl/>
          <w:lang w:bidi="fa-IR"/>
        </w:rPr>
        <w:lastRenderedPageBreak/>
        <w:t>3</w:t>
      </w:r>
      <w:r>
        <w:rPr>
          <w:rtl/>
          <w:lang w:bidi="fa-IR"/>
        </w:rPr>
        <w:t xml:space="preserve"> </w:t>
      </w:r>
      <w:r w:rsidR="007642BC">
        <w:rPr>
          <w:rtl/>
          <w:lang w:bidi="fa-IR"/>
        </w:rPr>
        <w:t>-</w:t>
      </w:r>
      <w:r>
        <w:rPr>
          <w:rtl/>
          <w:lang w:bidi="fa-IR"/>
        </w:rPr>
        <w:t xml:space="preserve"> </w:t>
      </w:r>
      <w:r w:rsidRPr="005D642E">
        <w:rPr>
          <w:rtl/>
          <w:lang w:bidi="fa-IR"/>
        </w:rPr>
        <w:t xml:space="preserve">بَابُ الْمَرْأَةِ </w:t>
      </w:r>
      <w:r w:rsidRPr="007C12DB">
        <w:rPr>
          <w:rStyle w:val="libFootnotenumChar"/>
          <w:rtl/>
        </w:rPr>
        <w:t>(1)</w:t>
      </w:r>
      <w:r>
        <w:rPr>
          <w:rtl/>
        </w:rPr>
        <w:t xml:space="preserve"> </w:t>
      </w:r>
      <w:r w:rsidRPr="005D642E">
        <w:rPr>
          <w:rtl/>
          <w:lang w:bidi="fa-IR"/>
        </w:rPr>
        <w:t xml:space="preserve">تَرَى الدَّمَ قَبْلَ أَيَّامِهَا أَوْ </w:t>
      </w:r>
      <w:r w:rsidRPr="007C12DB">
        <w:rPr>
          <w:rStyle w:val="libFootnotenumChar"/>
          <w:rtl/>
        </w:rPr>
        <w:t>(2)</w:t>
      </w:r>
      <w:r>
        <w:rPr>
          <w:rtl/>
        </w:rPr>
        <w:t xml:space="preserve"> </w:t>
      </w:r>
      <w:r w:rsidRPr="005D642E">
        <w:rPr>
          <w:rtl/>
          <w:lang w:bidi="fa-IR"/>
        </w:rPr>
        <w:t>بَعْدَ طُهْرِهَا‌</w:t>
      </w:r>
      <w:bookmarkEnd w:id="180"/>
      <w:bookmarkEnd w:id="181"/>
      <w:bookmarkEnd w:id="182"/>
    </w:p>
    <w:p w:rsidR="00E3253D" w:rsidRPr="005D642E" w:rsidRDefault="00E3253D" w:rsidP="00B16FC3">
      <w:pPr>
        <w:pStyle w:val="libNormal"/>
        <w:rPr>
          <w:rtl/>
          <w:lang w:bidi="fa-IR"/>
        </w:rPr>
      </w:pPr>
      <w:r w:rsidRPr="00B1555E">
        <w:rPr>
          <w:rtl/>
        </w:rPr>
        <w:t>4155</w:t>
      </w:r>
      <w:r w:rsidRPr="00246318">
        <w:rPr>
          <w:rStyle w:val="libBold2Char"/>
          <w:rtl/>
        </w:rPr>
        <w:t xml:space="preserve"> / 1.</w:t>
      </w:r>
      <w:r w:rsidRPr="005D642E">
        <w:rPr>
          <w:rtl/>
          <w:lang w:bidi="fa-IR"/>
        </w:rPr>
        <w:t xml:space="preserve"> عَلِيُّ بْنُ إِبْرَاهِيمَ ، عَنْ أَبِيهِ ، عَنِ ابْنِ أَبِي عُمَيْرٍ ، عَنْ جَمِيلٍ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7C12DB">
        <w:rPr>
          <w:rStyle w:val="libFootnotenumChar"/>
          <w:rtl/>
        </w:rPr>
        <w:t>(3)</w:t>
      </w:r>
      <w:r w:rsidRPr="005D642E">
        <w:rPr>
          <w:rtl/>
          <w:lang w:bidi="fa-IR"/>
        </w:rPr>
        <w:t xml:space="preserve"> </w:t>
      </w:r>
      <w:r w:rsidRPr="00AC51C5">
        <w:rPr>
          <w:rStyle w:val="libAlaemChar"/>
          <w:rtl/>
        </w:rPr>
        <w:t>عليه‌السلام</w:t>
      </w:r>
      <w:r w:rsidRPr="005D642E">
        <w:rPr>
          <w:rtl/>
          <w:lang w:bidi="fa-IR"/>
        </w:rPr>
        <w:t xml:space="preserve"> ، قَالَ </w:t>
      </w:r>
      <w:r w:rsidRPr="007C12DB">
        <w:rPr>
          <w:rStyle w:val="libFootnotenumChar"/>
          <w:rtl/>
        </w:rPr>
        <w:t>(4)</w:t>
      </w:r>
      <w:r w:rsidRPr="005D642E">
        <w:rPr>
          <w:rtl/>
          <w:lang w:bidi="fa-IR"/>
        </w:rPr>
        <w:t xml:space="preserve"> : « إِذَا رَأَتِ الْمَرْأَةُ الدَّمَ قَبْلَ عَشَرَةٍ </w:t>
      </w:r>
      <w:r w:rsidRPr="007C12DB">
        <w:rPr>
          <w:rStyle w:val="libFootnotenumChar"/>
          <w:rtl/>
        </w:rPr>
        <w:t>(5)</w:t>
      </w:r>
      <w:r w:rsidRPr="005D642E">
        <w:rPr>
          <w:rtl/>
          <w:lang w:bidi="fa-IR"/>
        </w:rPr>
        <w:t xml:space="preserve"> ، فَهُوَ مِنَ الْحَيْضَةِ الْأُولى ، وَإِنْ كَانَ بَعْدَ الْعَشَرَةِ ، فَهُوَ مِنَ الْحَيْضَةِ الْمُسْتَقْبَلَةِ »</w:t>
      </w:r>
      <w:r>
        <w:rPr>
          <w:rtl/>
          <w:lang w:bidi="fa-IR"/>
        </w:rPr>
        <w:t>.</w:t>
      </w:r>
      <w:r w:rsidRPr="005D642E">
        <w:rPr>
          <w:rtl/>
          <w:lang w:bidi="fa-IR"/>
        </w:rPr>
        <w:t xml:space="preserve"> </w:t>
      </w:r>
      <w:r w:rsidRPr="007C12DB">
        <w:rPr>
          <w:rStyle w:val="libFootnotenumChar"/>
          <w:rtl/>
        </w:rPr>
        <w:t>(6)</w:t>
      </w:r>
    </w:p>
    <w:p w:rsidR="00E3253D" w:rsidRPr="005D642E" w:rsidRDefault="00E3253D" w:rsidP="00E3253D">
      <w:pPr>
        <w:pStyle w:val="libNormal"/>
        <w:rPr>
          <w:rtl/>
          <w:lang w:bidi="fa-IR"/>
        </w:rPr>
      </w:pPr>
      <w:r w:rsidRPr="00B1555E">
        <w:rPr>
          <w:rtl/>
        </w:rPr>
        <w:t>4156</w:t>
      </w:r>
      <w:r w:rsidRPr="00246318">
        <w:rPr>
          <w:rStyle w:val="libBold2Char"/>
          <w:rtl/>
        </w:rPr>
        <w:t xml:space="preserve"> / 2.</w:t>
      </w:r>
      <w:r w:rsidRPr="005D642E">
        <w:rPr>
          <w:rtl/>
          <w:lang w:bidi="fa-IR"/>
        </w:rPr>
        <w:t xml:space="preserve"> الْحُسَيْنُ بْنُ مُحَمَّدٍ ، عَنْ عَبْدِ اللهِ بْنِ عَامِرٍ ، عَنْ عَلِيِّ بْنِ مَهْزِيَارَ ، عَنِ الْحَسَنِ </w:t>
      </w:r>
      <w:r w:rsidRPr="007C12DB">
        <w:rPr>
          <w:rStyle w:val="libFootnotenumChar"/>
          <w:rtl/>
        </w:rPr>
        <w:t>(7)</w:t>
      </w:r>
      <w:r w:rsidRPr="005D642E">
        <w:rPr>
          <w:rtl/>
          <w:lang w:bidi="fa-IR"/>
        </w:rPr>
        <w:t xml:space="preserve"> بْنِ سَعِيدٍ ، عَنْ زُرْعَةَ ، عَنْ سَمَاعَةَ ، قَالَ :</w:t>
      </w:r>
    </w:p>
    <w:p w:rsidR="00E3253D" w:rsidRPr="005D642E" w:rsidRDefault="00E3253D" w:rsidP="00E3253D">
      <w:pPr>
        <w:pStyle w:val="libNormal"/>
        <w:rPr>
          <w:rtl/>
          <w:lang w:bidi="fa-IR"/>
        </w:rPr>
      </w:pPr>
      <w:r w:rsidRPr="005D642E">
        <w:rPr>
          <w:rtl/>
          <w:lang w:bidi="fa-IR"/>
        </w:rPr>
        <w:t>سَأَلْتُهُ عَنِ الْمَرْأَةِ تَرَى الدَّمَ قَبْلَ وَقْتِ حَيْضِهَا</w:t>
      </w:r>
      <w:r>
        <w:rPr>
          <w:rtl/>
          <w:lang w:bidi="fa-IR"/>
        </w:rPr>
        <w:t>؟</w:t>
      </w:r>
    </w:p>
    <w:p w:rsidR="00E3253D" w:rsidRPr="005D642E" w:rsidRDefault="00E3253D" w:rsidP="00E3253D">
      <w:pPr>
        <w:pStyle w:val="libNormal"/>
        <w:rPr>
          <w:rtl/>
          <w:lang w:bidi="fa-IR"/>
        </w:rPr>
      </w:pPr>
      <w:r w:rsidRPr="005D642E">
        <w:rPr>
          <w:rtl/>
          <w:lang w:bidi="fa-IR"/>
        </w:rPr>
        <w:t xml:space="preserve">فَقَالَ : « إِذَا رَأَتِ الدَّمَ قَبْلَ وَقْتِ حَيْضِهَا </w:t>
      </w:r>
      <w:r w:rsidRPr="007C12DB">
        <w:rPr>
          <w:rStyle w:val="libFootnotenumChar"/>
          <w:rtl/>
        </w:rPr>
        <w:t>(8)</w:t>
      </w:r>
      <w:r w:rsidRPr="005D642E">
        <w:rPr>
          <w:rtl/>
          <w:lang w:bidi="fa-IR"/>
        </w:rPr>
        <w:t xml:space="preserve"> ، فَلْتَدَعِ الصَّلَاةَ ؛ فَإِنَّهُ رُبَّمَا تَعَجَّلَ </w:t>
      </w:r>
      <w:r w:rsidRPr="007C12DB">
        <w:rPr>
          <w:rStyle w:val="libFootnotenumChar"/>
          <w:rtl/>
        </w:rPr>
        <w:t>(9)</w:t>
      </w:r>
      <w:r w:rsidRPr="005D642E">
        <w:rPr>
          <w:rtl/>
          <w:lang w:bidi="fa-IR"/>
        </w:rPr>
        <w:t xml:space="preserve"> بِهَا‌</w:t>
      </w:r>
    </w:p>
    <w:p w:rsidR="00E3253D" w:rsidRPr="005D642E" w:rsidRDefault="00E3253D" w:rsidP="00E3253D">
      <w:pPr>
        <w:pStyle w:val="libLine"/>
        <w:rPr>
          <w:rtl/>
          <w:lang w:bidi="fa-IR"/>
        </w:rPr>
      </w:pPr>
      <w:r w:rsidRPr="005D642E">
        <w:rPr>
          <w:rtl/>
          <w:lang w:bidi="fa-IR"/>
        </w:rPr>
        <w:t>__________________</w:t>
      </w:r>
    </w:p>
    <w:p w:rsidR="00E3253D" w:rsidRPr="005D642E" w:rsidRDefault="00B16FC3" w:rsidP="00E3253D">
      <w:pPr>
        <w:pStyle w:val="libFootnote0"/>
        <w:rPr>
          <w:rtl/>
          <w:lang w:bidi="fa-IR"/>
        </w:rPr>
      </w:pPr>
      <w:r>
        <w:rPr>
          <w:rFonts w:hint="cs"/>
          <w:rtl/>
        </w:rPr>
        <w:t xml:space="preserve">= </w:t>
      </w:r>
      <w:r w:rsidR="00E3253D" w:rsidRPr="005D642E">
        <w:rPr>
          <w:rtl/>
        </w:rPr>
        <w:t xml:space="preserve">ج 2 ، ص 294 ، ح 2169 ، إلى قوله : « ولم يجب عليها القضاء » ؛ </w:t>
      </w:r>
      <w:r w:rsidR="00E3253D" w:rsidRPr="002F4D34">
        <w:rPr>
          <w:rStyle w:val="libFootnoteBoldChar"/>
          <w:rtl/>
        </w:rPr>
        <w:t>وفيه</w:t>
      </w:r>
      <w:r w:rsidR="00E3253D" w:rsidRPr="005D642E">
        <w:rPr>
          <w:rtl/>
        </w:rPr>
        <w:t xml:space="preserve"> ، ص 298 ، ح 2181 ، قطعة منه.</w:t>
      </w:r>
    </w:p>
    <w:tbl>
      <w:tblPr>
        <w:tblStyle w:val="TableGrid"/>
        <w:bidiVisual/>
        <w:tblW w:w="0" w:type="auto"/>
        <w:tblLook w:val="04A0" w:firstRow="1" w:lastRow="0" w:firstColumn="1" w:lastColumn="0" w:noHBand="0" w:noVBand="1"/>
      </w:tblPr>
      <w:tblGrid>
        <w:gridCol w:w="4006"/>
        <w:gridCol w:w="4006"/>
      </w:tblGrid>
      <w:tr w:rsidR="00B16FC3" w:rsidTr="00B16FC3">
        <w:tc>
          <w:tcPr>
            <w:tcW w:w="4006" w:type="dxa"/>
          </w:tcPr>
          <w:p w:rsidR="00B16FC3" w:rsidRDefault="00B16FC3" w:rsidP="00E3253D">
            <w:pPr>
              <w:pStyle w:val="libFootnote0"/>
              <w:rPr>
                <w:rStyle w:val="libFootnote0Char"/>
                <w:rtl/>
              </w:rPr>
            </w:pPr>
            <w:r w:rsidRPr="0042621E">
              <w:rPr>
                <w:rStyle w:val="libFootnote0Char"/>
                <w:rtl/>
              </w:rPr>
              <w:t>(1).</w:t>
            </w:r>
            <w:r>
              <w:rPr>
                <w:rtl/>
              </w:rPr>
              <w:t xml:space="preserve"> </w:t>
            </w:r>
            <w:r w:rsidRPr="005D642E">
              <w:rPr>
                <w:rtl/>
              </w:rPr>
              <w:t>في « بح » : + « التي »</w:t>
            </w:r>
            <w:r>
              <w:rPr>
                <w:rtl/>
              </w:rPr>
              <w:t>.</w:t>
            </w:r>
          </w:p>
        </w:tc>
        <w:tc>
          <w:tcPr>
            <w:tcW w:w="4006" w:type="dxa"/>
          </w:tcPr>
          <w:p w:rsidR="00B16FC3" w:rsidRDefault="00B16FC3" w:rsidP="00E3253D">
            <w:pPr>
              <w:pStyle w:val="libFootnote0"/>
              <w:rPr>
                <w:rStyle w:val="libFootnote0Char"/>
                <w:rtl/>
              </w:rPr>
            </w:pPr>
            <w:r w:rsidRPr="0042621E">
              <w:rPr>
                <w:rStyle w:val="libFootnote0Char"/>
                <w:rtl/>
              </w:rPr>
              <w:t>(2).</w:t>
            </w:r>
            <w:r w:rsidRPr="005D642E">
              <w:rPr>
                <w:rtl/>
              </w:rPr>
              <w:t xml:space="preserve"> في « بث » : « </w:t>
            </w:r>
            <w:r>
              <w:rPr>
                <w:rtl/>
              </w:rPr>
              <w:t>و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ح 449 </w:t>
      </w:r>
      <w:r w:rsidR="00E3253D" w:rsidRPr="00E678B5">
        <w:rPr>
          <w:rStyle w:val="libFootnoteBoldChar"/>
          <w:rtl/>
        </w:rPr>
        <w:t>والاستبصار</w:t>
      </w:r>
      <w:r w:rsidR="00E3253D" w:rsidRPr="005D642E">
        <w:rPr>
          <w:rtl/>
        </w:rPr>
        <w:t xml:space="preserve"> : « عن أبي عبدالله »</w:t>
      </w:r>
      <w:r w:rsidR="00E3253D">
        <w:rPr>
          <w:rtl/>
        </w:rPr>
        <w:t>.</w:t>
      </w:r>
    </w:p>
    <w:tbl>
      <w:tblPr>
        <w:tblStyle w:val="TableGrid"/>
        <w:bidiVisual/>
        <w:tblW w:w="0" w:type="auto"/>
        <w:tblLook w:val="04A0" w:firstRow="1" w:lastRow="0" w:firstColumn="1" w:lastColumn="0" w:noHBand="0" w:noVBand="1"/>
      </w:tblPr>
      <w:tblGrid>
        <w:gridCol w:w="4006"/>
        <w:gridCol w:w="4006"/>
      </w:tblGrid>
      <w:tr w:rsidR="002876BC" w:rsidTr="002876BC">
        <w:tc>
          <w:tcPr>
            <w:tcW w:w="4006" w:type="dxa"/>
          </w:tcPr>
          <w:p w:rsidR="002876BC" w:rsidRDefault="002876BC" w:rsidP="002876BC">
            <w:pPr>
              <w:pStyle w:val="libFootnote0"/>
              <w:rPr>
                <w:rStyle w:val="libFootnote0Char"/>
                <w:rtl/>
                <w:lang w:bidi="fa-IR"/>
              </w:rPr>
            </w:pPr>
            <w:r w:rsidRPr="0042621E">
              <w:rPr>
                <w:rStyle w:val="libFootnote0Char"/>
                <w:rtl/>
              </w:rPr>
              <w:t>(4).</w:t>
            </w:r>
            <w:r>
              <w:rPr>
                <w:rtl/>
              </w:rPr>
              <w:t xml:space="preserve"> في</w:t>
            </w:r>
            <w:r w:rsidRPr="005D642E">
              <w:rPr>
                <w:rtl/>
              </w:rPr>
              <w:t>«بح»:+« قال »</w:t>
            </w:r>
            <w:r>
              <w:rPr>
                <w:rtl/>
              </w:rPr>
              <w:t>.</w:t>
            </w:r>
            <w:r w:rsidRPr="005D642E">
              <w:rPr>
                <w:rtl/>
              </w:rPr>
              <w:t xml:space="preserve"> وفي الوسائل : + « </w:t>
            </w:r>
            <w:r>
              <w:rPr>
                <w:rtl/>
              </w:rPr>
              <w:t>و ».</w:t>
            </w:r>
          </w:p>
        </w:tc>
        <w:tc>
          <w:tcPr>
            <w:tcW w:w="4006" w:type="dxa"/>
          </w:tcPr>
          <w:p w:rsidR="002876BC" w:rsidRDefault="002876BC" w:rsidP="00E3253D">
            <w:pPr>
              <w:pStyle w:val="libFootnote0"/>
              <w:rPr>
                <w:rStyle w:val="libFootnote0Char"/>
                <w:rtl/>
                <w:lang w:bidi="fa-IR"/>
              </w:rPr>
            </w:pPr>
            <w:r w:rsidRPr="0042621E">
              <w:rPr>
                <w:rStyle w:val="libFootnote0Char"/>
                <w:rtl/>
              </w:rPr>
              <w:t>(5).</w:t>
            </w:r>
            <w:r w:rsidRPr="005D642E">
              <w:rPr>
                <w:rtl/>
              </w:rPr>
              <w:t xml:space="preserve"> في الوسائل </w:t>
            </w:r>
            <w:r w:rsidRPr="00B60612">
              <w:rPr>
                <w:rStyle w:val="libFootnoteBoldChar"/>
                <w:rtl/>
              </w:rPr>
              <w:t>والتهذيب</w:t>
            </w:r>
            <w:r w:rsidRPr="005D642E">
              <w:rPr>
                <w:rtl/>
              </w:rPr>
              <w:t xml:space="preserve"> ، ص 159 : + « أيّام »</w:t>
            </w:r>
            <w:r>
              <w:rPr>
                <w:rtl/>
              </w:rPr>
              <w:t>.</w:t>
            </w:r>
          </w:p>
        </w:tc>
      </w:tr>
    </w:tbl>
    <w:p w:rsidR="00E3253D" w:rsidRPr="005D642E" w:rsidRDefault="0042621E" w:rsidP="00B5321B">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159 ، ح 454 ، معلّقاً عن عليّ بن إبراهيم. </w:t>
      </w:r>
      <w:r w:rsidR="00E3253D" w:rsidRPr="002F4D34">
        <w:rPr>
          <w:rStyle w:val="libFootnoteBoldChar"/>
          <w:rtl/>
        </w:rPr>
        <w:t>وفيه</w:t>
      </w:r>
      <w:r w:rsidR="00E3253D" w:rsidRPr="005D642E">
        <w:rPr>
          <w:rtl/>
        </w:rPr>
        <w:t xml:space="preserve"> ، ص 156 ، ح 449 ؛ </w:t>
      </w:r>
      <w:r w:rsidR="00E3253D" w:rsidRPr="00E678B5">
        <w:rPr>
          <w:rStyle w:val="libFootnoteBoldChar"/>
          <w:rtl/>
        </w:rPr>
        <w:t>والاستبصار</w:t>
      </w:r>
      <w:r w:rsidR="00E3253D" w:rsidRPr="005D642E">
        <w:rPr>
          <w:rtl/>
        </w:rPr>
        <w:t xml:space="preserve"> ، ج 1 ، ص 130 ، ح 4 ، بسندهما ، عن ابن أبي عمير ، مع زيادة في أوّلهما. </w:t>
      </w:r>
      <w:r w:rsidR="00E3253D" w:rsidRPr="002F4D34">
        <w:rPr>
          <w:rStyle w:val="libFootnoteBoldChar"/>
          <w:rtl/>
        </w:rPr>
        <w:t>فقه الرضا</w:t>
      </w:r>
      <w:r w:rsidR="00E3253D" w:rsidRPr="005D642E">
        <w:rPr>
          <w:rtl/>
        </w:rPr>
        <w:t xml:space="preserve"> </w:t>
      </w:r>
      <w:r w:rsidR="00E3253D" w:rsidRPr="00B5321B">
        <w:rPr>
          <w:rStyle w:val="libFootnoteAlaemChar"/>
          <w:rtl/>
        </w:rPr>
        <w:t>عليه‌السلام</w:t>
      </w:r>
      <w:r w:rsidR="00E3253D" w:rsidRPr="005D642E">
        <w:rPr>
          <w:rtl/>
        </w:rPr>
        <w:t xml:space="preserve"> ، ص 192 ، وفي الثلاثة الأخيرة مع اختلاف يسير</w:t>
      </w:r>
      <w:r w:rsidR="00B5321B">
        <w:rPr>
          <w:rFonts w:hint="cs"/>
          <w:rtl/>
        </w:rPr>
        <w:t>.</w:t>
      </w:r>
      <w:r w:rsidR="00E3253D" w:rsidRPr="002F4D34">
        <w:rPr>
          <w:rStyle w:val="libFootnoteBoldChar"/>
          <w:rtl/>
        </w:rPr>
        <w:t>الوافي</w:t>
      </w:r>
      <w:r w:rsidR="00E3253D" w:rsidRPr="005D642E">
        <w:rPr>
          <w:rtl/>
        </w:rPr>
        <w:t xml:space="preserve"> ، ج 6 ، ص 437 ، ح 4654 ؛ </w:t>
      </w:r>
      <w:r w:rsidR="00E3253D" w:rsidRPr="002F4D34">
        <w:rPr>
          <w:rStyle w:val="libFootnoteBoldChar"/>
          <w:rtl/>
        </w:rPr>
        <w:t>الوسائل</w:t>
      </w:r>
      <w:r w:rsidR="00E3253D" w:rsidRPr="005D642E">
        <w:rPr>
          <w:rtl/>
        </w:rPr>
        <w:t xml:space="preserve"> ، ج 2 ، ص 298 ، ح 2182 ؛ وص 299 ، ح 2185.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بح ، بخ ، بس ، بف ، جح » وحاشية « ظ ، بث ، جن » وحاشية المطبوع : « الحسين »</w:t>
      </w:r>
      <w:r w:rsidR="00E3253D">
        <w:rPr>
          <w:rtl/>
        </w:rPr>
        <w:t>.</w:t>
      </w:r>
      <w:r w:rsidR="00E3253D" w:rsidRPr="005D642E">
        <w:rPr>
          <w:rtl/>
        </w:rPr>
        <w:t xml:space="preserve"> وهو سهو ؛ فقد روى الحسين بن سعيد ، عن أخيه الحسن كتاب زرعة بن محمّد ، وتوسّط الحسن بن سعيد بين أخيه الحسين وزرعة [ بن محمّد ] في كثيرٍ من الأسناد. راجع : </w:t>
      </w:r>
      <w:r w:rsidR="0059794D" w:rsidRPr="0059794D">
        <w:rPr>
          <w:rStyle w:val="libFootnoteBoldChar"/>
          <w:rtl/>
        </w:rPr>
        <w:t>الفهرست للطوسي</w:t>
      </w:r>
      <w:r w:rsidR="00E3253D" w:rsidRPr="005D642E">
        <w:rPr>
          <w:rtl/>
        </w:rPr>
        <w:t xml:space="preserve"> ، ص 210 ، الرقم 313 ؛ </w:t>
      </w:r>
      <w:r w:rsidR="00E3253D" w:rsidRPr="002F4D34">
        <w:rPr>
          <w:rStyle w:val="libFootnoteBoldChar"/>
          <w:rtl/>
        </w:rPr>
        <w:t>معجم رجال الحديث</w:t>
      </w:r>
      <w:r w:rsidR="00E3253D" w:rsidRPr="005D642E">
        <w:rPr>
          <w:rtl/>
        </w:rPr>
        <w:t xml:space="preserve"> ، ج 4 ، ص 518</w:t>
      </w:r>
      <w:r w:rsidR="00E3253D">
        <w:rPr>
          <w:rtl/>
        </w:rPr>
        <w:t xml:space="preserve"> </w:t>
      </w:r>
      <w:r w:rsidR="007642BC">
        <w:rPr>
          <w:rtl/>
        </w:rPr>
        <w:t>-</w:t>
      </w:r>
      <w:r w:rsidR="00E3253D">
        <w:rPr>
          <w:rtl/>
        </w:rPr>
        <w:t xml:space="preserve"> </w:t>
      </w:r>
      <w:r w:rsidR="00E3253D" w:rsidRPr="005D642E">
        <w:rPr>
          <w:rtl/>
        </w:rPr>
        <w:t>519.</w:t>
      </w:r>
    </w:p>
    <w:p w:rsidR="00E3253D" w:rsidRPr="005D642E" w:rsidRDefault="00E3253D" w:rsidP="00B60612">
      <w:pPr>
        <w:pStyle w:val="libFootnote0"/>
        <w:rPr>
          <w:rtl/>
          <w:lang w:bidi="fa-IR"/>
        </w:rPr>
      </w:pPr>
      <w:r w:rsidRPr="0095070A">
        <w:rPr>
          <w:rtl/>
        </w:rPr>
        <w:t>فعليه ما ورد في قليل من الأسناد ؛ من رواية الحسين بن سعيد ، عن زرعة ، لايخلو من خلل.</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 « وقتها » بدل « وقت حيضها »</w:t>
      </w:r>
      <w:r w:rsidR="00E3253D">
        <w:rPr>
          <w:rtl/>
        </w:rPr>
        <w:t>.</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فق</w:t>
      </w:r>
      <w:r w:rsidR="00826FF3">
        <w:rPr>
          <w:rtl/>
        </w:rPr>
        <w:t>ال : إذا رأت الدم قبل وقت حيضها</w:t>
      </w:r>
      <w:r w:rsidR="00E3253D" w:rsidRPr="005D642E">
        <w:rPr>
          <w:rtl/>
        </w:rPr>
        <w:t>»</w:t>
      </w:r>
      <w:r w:rsidR="00E3253D">
        <w:rPr>
          <w:rtl/>
        </w:rPr>
        <w:t>.</w:t>
      </w:r>
      <w:r w:rsidR="00E3253D" w:rsidRPr="005D642E">
        <w:rPr>
          <w:rtl/>
        </w:rPr>
        <w:t xml:space="preserve"> وفي‌التهذيب :</w:t>
      </w:r>
      <w:r w:rsidR="00E3253D">
        <w:rPr>
          <w:rtl/>
        </w:rPr>
        <w:t xml:space="preserve"> </w:t>
      </w:r>
      <w:r w:rsidR="007642BC">
        <w:rPr>
          <w:rtl/>
        </w:rPr>
        <w:t>-</w:t>
      </w:r>
      <w:r w:rsidR="00E3253D">
        <w:rPr>
          <w:rtl/>
        </w:rPr>
        <w:t xml:space="preserve"> </w:t>
      </w:r>
      <w:r w:rsidR="00E3253D" w:rsidRPr="005D642E">
        <w:rPr>
          <w:rtl/>
        </w:rPr>
        <w:t>« إذا رأت الدم قبل وقت حيضها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w:t>
      </w:r>
      <w:r w:rsidR="000D749A" w:rsidRPr="000D749A">
        <w:rPr>
          <w:rStyle w:val="libFootnoteBoldChar"/>
          <w:rtl/>
        </w:rPr>
        <w:t>والوافي</w:t>
      </w:r>
      <w:r w:rsidR="00E3253D" w:rsidRPr="005D642E">
        <w:rPr>
          <w:rtl/>
        </w:rPr>
        <w:t xml:space="preserve"> : « يعجل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الْوَقْتُ ، فَإِذَا </w:t>
      </w:r>
      <w:r w:rsidRPr="007C12DB">
        <w:rPr>
          <w:rStyle w:val="libFootnotenumChar"/>
          <w:rtl/>
        </w:rPr>
        <w:t>(1)</w:t>
      </w:r>
      <w:r w:rsidRPr="005D642E">
        <w:rPr>
          <w:rtl/>
          <w:lang w:bidi="fa-IR"/>
        </w:rPr>
        <w:t xml:space="preserve"> كَانَ أَكْثَرَ مِنْ أَيَّامِهَا الَّتِي كَانَتْ تَحِيضُ فِيهِنَّ ، فَلْتَرَبَّصْ </w:t>
      </w:r>
      <w:r w:rsidRPr="007C12DB">
        <w:rPr>
          <w:rStyle w:val="libFootnotenumChar"/>
          <w:rtl/>
        </w:rPr>
        <w:t>(2)</w:t>
      </w:r>
      <w:r w:rsidRPr="005D642E">
        <w:rPr>
          <w:rtl/>
          <w:lang w:bidi="fa-IR"/>
        </w:rPr>
        <w:t xml:space="preserve"> ثَلَاثَةَ أَيَّامٍ بَعْدَ مَا تَمْضِي </w:t>
      </w:r>
      <w:r w:rsidRPr="007C12DB">
        <w:rPr>
          <w:rStyle w:val="libFootnotenumChar"/>
          <w:rtl/>
        </w:rPr>
        <w:t>(3)</w:t>
      </w:r>
      <w:r w:rsidRPr="005D642E">
        <w:rPr>
          <w:rtl/>
          <w:lang w:bidi="fa-IR"/>
        </w:rPr>
        <w:t xml:space="preserve"> أَيَّامُهَا ، فَإِذَا </w:t>
      </w:r>
      <w:r w:rsidRPr="007C12DB">
        <w:rPr>
          <w:rStyle w:val="libFootnotenumChar"/>
          <w:rtl/>
        </w:rPr>
        <w:t>(4)</w:t>
      </w:r>
      <w:r w:rsidRPr="005D642E">
        <w:rPr>
          <w:rtl/>
          <w:lang w:bidi="fa-IR"/>
        </w:rPr>
        <w:t xml:space="preserve"> تَرَبَّصَتْ ثَلَاثَةَ أَيَّامٍ ، وَلَمْ يَنْقَطِعْ </w:t>
      </w:r>
      <w:r w:rsidRPr="007C12DB">
        <w:rPr>
          <w:rStyle w:val="libFootnotenumChar"/>
          <w:rtl/>
        </w:rPr>
        <w:t>(5)</w:t>
      </w:r>
      <w:r w:rsidRPr="005D642E">
        <w:rPr>
          <w:rtl/>
          <w:lang w:bidi="fa-IR"/>
        </w:rPr>
        <w:t xml:space="preserve"> عَنْهَا الدَّمُ </w:t>
      </w:r>
      <w:r w:rsidRPr="007C12DB">
        <w:rPr>
          <w:rStyle w:val="libFootnotenumChar"/>
          <w:rtl/>
        </w:rPr>
        <w:t>(6)</w:t>
      </w:r>
      <w:r w:rsidRPr="005D642E">
        <w:rPr>
          <w:rtl/>
          <w:lang w:bidi="fa-IR"/>
        </w:rPr>
        <w:t xml:space="preserve"> ، فَلْتَصْنَعْ كَمَا تَصْنَعُ الْمُسْتَحَاضَةُ »</w:t>
      </w:r>
      <w:r>
        <w:rPr>
          <w:rtl/>
          <w:lang w:bidi="fa-IR"/>
        </w:rPr>
        <w:t>.</w:t>
      </w:r>
      <w:r w:rsidRPr="005D642E">
        <w:rPr>
          <w:rtl/>
          <w:lang w:bidi="fa-IR"/>
        </w:rPr>
        <w:t xml:space="preserve"> </w:t>
      </w:r>
      <w:r w:rsidRPr="007C12DB">
        <w:rPr>
          <w:rStyle w:val="libFootnotenumChar"/>
          <w:rtl/>
        </w:rPr>
        <w:t>(7)</w:t>
      </w:r>
      <w:r w:rsidRPr="005D642E">
        <w:rPr>
          <w:rtl/>
          <w:lang w:bidi="fa-IR"/>
        </w:rPr>
        <w:t>‌</w:t>
      </w:r>
    </w:p>
    <w:p w:rsidR="00E3253D" w:rsidRPr="005D642E" w:rsidRDefault="00E3253D" w:rsidP="00E3253D">
      <w:pPr>
        <w:pStyle w:val="libNormal"/>
        <w:rPr>
          <w:rtl/>
          <w:lang w:bidi="fa-IR"/>
        </w:rPr>
      </w:pPr>
      <w:r w:rsidRPr="00B1555E">
        <w:rPr>
          <w:rtl/>
        </w:rPr>
        <w:t>4157</w:t>
      </w:r>
      <w:r w:rsidRPr="00246318">
        <w:rPr>
          <w:rStyle w:val="libBold2Char"/>
          <w:rtl/>
        </w:rPr>
        <w:t xml:space="preserve"> / 3.</w:t>
      </w:r>
      <w:r w:rsidRPr="005D642E">
        <w:rPr>
          <w:rtl/>
          <w:lang w:bidi="fa-IR"/>
        </w:rPr>
        <w:t xml:space="preserve"> عَلِيُّ بْنُ إِبْرَاهِيمَ ، عَنْ أَبِيهِ ، عَنْ عَبْدِ اللهِ بْنِ الْمُغِيرَةِ ، عَمَّنْ أَخْبَرَهُ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كَانَتْ أَيَّامُ الْمَرْأَةِ عَشَرَةَ أَيَّامٍ </w:t>
      </w:r>
      <w:r w:rsidRPr="007C12DB">
        <w:rPr>
          <w:rStyle w:val="libFootnotenumChar"/>
          <w:rtl/>
        </w:rPr>
        <w:t>(8)</w:t>
      </w:r>
      <w:r w:rsidRPr="005D642E">
        <w:rPr>
          <w:rtl/>
          <w:lang w:bidi="fa-IR"/>
        </w:rPr>
        <w:t xml:space="preserve"> ، لَمْ تَسْتَظْهِرْ </w:t>
      </w:r>
      <w:r w:rsidRPr="007C12DB">
        <w:rPr>
          <w:rStyle w:val="libFootnotenumChar"/>
          <w:rtl/>
        </w:rPr>
        <w:t>(9)</w:t>
      </w:r>
      <w:r w:rsidRPr="005D642E">
        <w:rPr>
          <w:rtl/>
          <w:lang w:bidi="fa-IR"/>
        </w:rPr>
        <w:t xml:space="preserve"> ؛ وَإِذَا </w:t>
      </w:r>
      <w:r w:rsidRPr="007C12DB">
        <w:rPr>
          <w:rStyle w:val="libFootnotenumChar"/>
          <w:rtl/>
        </w:rPr>
        <w:t>(10)</w:t>
      </w:r>
      <w:r w:rsidRPr="005D642E">
        <w:rPr>
          <w:rtl/>
          <w:lang w:bidi="fa-IR"/>
        </w:rPr>
        <w:t xml:space="preserve"> كَانَتْ أَقَلَّ ، اسْتَظْهَرَتْ »</w:t>
      </w:r>
      <w:r>
        <w:rPr>
          <w:rtl/>
          <w:lang w:bidi="fa-IR"/>
        </w:rPr>
        <w:t>.</w:t>
      </w:r>
      <w:r w:rsidRPr="005D642E">
        <w:rPr>
          <w:rtl/>
          <w:lang w:bidi="fa-IR"/>
        </w:rPr>
        <w:t xml:space="preserve"> </w:t>
      </w:r>
      <w:r w:rsidRPr="007C12DB">
        <w:rPr>
          <w:rStyle w:val="libFootnotenumChar"/>
          <w:rtl/>
        </w:rPr>
        <w:t>(11)</w:t>
      </w:r>
    </w:p>
    <w:p w:rsidR="00E3253D" w:rsidRPr="005D642E" w:rsidRDefault="00E3253D" w:rsidP="00E3253D">
      <w:pPr>
        <w:pStyle w:val="Heading2Center"/>
        <w:rPr>
          <w:rtl/>
          <w:lang w:bidi="fa-IR"/>
        </w:rPr>
      </w:pPr>
      <w:bookmarkStart w:id="183" w:name="_Toc344647271"/>
      <w:bookmarkStart w:id="184" w:name="_Toc462226786"/>
      <w:bookmarkStart w:id="185" w:name="_Toc40975894"/>
      <w:r w:rsidRPr="005D642E">
        <w:rPr>
          <w:rtl/>
          <w:lang w:bidi="fa-IR"/>
        </w:rPr>
        <w:t>4</w:t>
      </w:r>
      <w:r>
        <w:rPr>
          <w:rtl/>
          <w:lang w:bidi="fa-IR"/>
        </w:rPr>
        <w:t xml:space="preserve"> </w:t>
      </w:r>
      <w:r w:rsidR="007642BC">
        <w:rPr>
          <w:rtl/>
          <w:lang w:bidi="fa-IR"/>
        </w:rPr>
        <w:t>-</w:t>
      </w:r>
      <w:r>
        <w:rPr>
          <w:rtl/>
          <w:lang w:bidi="fa-IR"/>
        </w:rPr>
        <w:t xml:space="preserve"> </w:t>
      </w:r>
      <w:r w:rsidRPr="005D642E">
        <w:rPr>
          <w:rtl/>
          <w:lang w:bidi="fa-IR"/>
        </w:rPr>
        <w:t>بَابُ الْمَرْأَةِ تَرَى الصُّفْرَةَ قَبْلَ الْحَيْضِ أَوْ بَعْدَهُ‌</w:t>
      </w:r>
      <w:bookmarkEnd w:id="183"/>
      <w:bookmarkEnd w:id="184"/>
      <w:bookmarkEnd w:id="185"/>
    </w:p>
    <w:p w:rsidR="00E3253D" w:rsidRPr="005D642E" w:rsidRDefault="00E3253D" w:rsidP="00E3253D">
      <w:pPr>
        <w:pStyle w:val="libNormal"/>
        <w:rPr>
          <w:rtl/>
          <w:lang w:bidi="fa-IR"/>
        </w:rPr>
      </w:pPr>
      <w:r w:rsidRPr="00B1555E">
        <w:rPr>
          <w:rtl/>
        </w:rPr>
        <w:t>4158</w:t>
      </w:r>
      <w:r w:rsidRPr="00246318">
        <w:rPr>
          <w:rStyle w:val="libBold2Char"/>
          <w:rtl/>
        </w:rPr>
        <w:t xml:space="preserve"> / 1.</w:t>
      </w:r>
      <w:r w:rsidRPr="005D642E">
        <w:rPr>
          <w:rtl/>
          <w:lang w:bidi="fa-IR"/>
        </w:rPr>
        <w:t xml:space="preserve"> عَلِيُّ بْن</w:t>
      </w:r>
      <w:r w:rsidR="00325852">
        <w:rPr>
          <w:rtl/>
          <w:lang w:bidi="fa-IR"/>
        </w:rPr>
        <w:t>ُ إِبْرَاهِيمَ ، عَنْ أَبِيهِ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حاشية « غ » : « وإذا »</w:t>
      </w:r>
      <w:r w:rsidR="00E3253D">
        <w:rPr>
          <w:rtl/>
        </w:rPr>
        <w:t>.</w:t>
      </w:r>
      <w:r w:rsidR="00E3253D" w:rsidRPr="005D642E">
        <w:rPr>
          <w:rtl/>
        </w:rPr>
        <w:t xml:space="preserve"> وفي الوسائل : « فإن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فلتتربّص »</w:t>
      </w:r>
      <w:r w:rsidR="00E3253D">
        <w:rPr>
          <w:rtl/>
        </w:rPr>
        <w:t>.</w:t>
      </w:r>
      <w:r w:rsidR="00E3253D" w:rsidRPr="005D642E">
        <w:rPr>
          <w:rtl/>
        </w:rPr>
        <w:t xml:space="preserve"> والتربّص : المكث والانتظار. راجع : </w:t>
      </w:r>
      <w:r w:rsidR="00E3253D" w:rsidRPr="002F4D34">
        <w:rPr>
          <w:rStyle w:val="libFootnoteBoldChar"/>
          <w:rtl/>
        </w:rPr>
        <w:t>الصحاح</w:t>
      </w:r>
      <w:r w:rsidR="00E3253D" w:rsidRPr="005D642E">
        <w:rPr>
          <w:rtl/>
        </w:rPr>
        <w:t xml:space="preserve"> ، ج 3 ، ص 1041 ؛ </w:t>
      </w:r>
      <w:r w:rsidR="00E3253D" w:rsidRPr="002F4D34">
        <w:rPr>
          <w:rStyle w:val="libFootnoteBoldChar"/>
          <w:rtl/>
        </w:rPr>
        <w:t>النهاية</w:t>
      </w:r>
      <w:r w:rsidR="00E3253D" w:rsidRPr="005D642E">
        <w:rPr>
          <w:rtl/>
        </w:rPr>
        <w:t xml:space="preserve"> ، ج 2 ، ص 184 ( ربص )</w:t>
      </w:r>
      <w:r w:rsidR="00E3253D">
        <w:rPr>
          <w:rtl/>
        </w:rPr>
        <w:t>.</w:t>
      </w:r>
    </w:p>
    <w:tbl>
      <w:tblPr>
        <w:tblStyle w:val="TableGrid"/>
        <w:bidiVisual/>
        <w:tblW w:w="0" w:type="auto"/>
        <w:tblLook w:val="04A0" w:firstRow="1" w:lastRow="0" w:firstColumn="1" w:lastColumn="0" w:noHBand="0" w:noVBand="1"/>
      </w:tblPr>
      <w:tblGrid>
        <w:gridCol w:w="4006"/>
        <w:gridCol w:w="4006"/>
      </w:tblGrid>
      <w:tr w:rsidR="00325852" w:rsidTr="00325852">
        <w:tc>
          <w:tcPr>
            <w:tcW w:w="4006" w:type="dxa"/>
          </w:tcPr>
          <w:p w:rsidR="00325852" w:rsidRDefault="00325852" w:rsidP="00E3253D">
            <w:pPr>
              <w:pStyle w:val="libFootnote0"/>
              <w:rPr>
                <w:rStyle w:val="libFootnote0Char"/>
                <w:rtl/>
              </w:rPr>
            </w:pPr>
            <w:r w:rsidRPr="0042621E">
              <w:rPr>
                <w:rStyle w:val="libFootnote0Char"/>
                <w:rtl/>
              </w:rPr>
              <w:t>(3).</w:t>
            </w:r>
            <w:r w:rsidRPr="005D642E">
              <w:rPr>
                <w:rtl/>
              </w:rPr>
              <w:t xml:space="preserve"> في « بس » : « ما يمضي »</w:t>
            </w:r>
            <w:r>
              <w:rPr>
                <w:rtl/>
              </w:rPr>
              <w:t>.</w:t>
            </w:r>
          </w:p>
        </w:tc>
        <w:tc>
          <w:tcPr>
            <w:tcW w:w="4006" w:type="dxa"/>
          </w:tcPr>
          <w:p w:rsidR="00325852" w:rsidRDefault="00325852" w:rsidP="00E3253D">
            <w:pPr>
              <w:pStyle w:val="libFootnote0"/>
              <w:rPr>
                <w:rStyle w:val="libFootnote0Char"/>
                <w:rtl/>
              </w:rPr>
            </w:pPr>
            <w:r w:rsidRPr="0042621E">
              <w:rPr>
                <w:rStyle w:val="libFootnote0Char"/>
                <w:rtl/>
              </w:rPr>
              <w:t>(4).</w:t>
            </w:r>
            <w:r w:rsidRPr="005D642E">
              <w:rPr>
                <w:rtl/>
              </w:rPr>
              <w:t xml:space="preserve"> في«بح،</w:t>
            </w:r>
            <w:r>
              <w:rPr>
                <w:rtl/>
              </w:rPr>
              <w:t>بخ</w:t>
            </w:r>
            <w:r w:rsidRPr="005D642E">
              <w:rPr>
                <w:rtl/>
              </w:rPr>
              <w:t>،جح»</w:t>
            </w:r>
            <w:r w:rsidRPr="000D749A">
              <w:rPr>
                <w:rStyle w:val="libFootnoteBoldChar"/>
                <w:rtl/>
              </w:rPr>
              <w:t>والوافي</w:t>
            </w:r>
            <w:r w:rsidRPr="005D642E">
              <w:rPr>
                <w:rtl/>
              </w:rPr>
              <w:t xml:space="preserve"> : « وإذا »</w:t>
            </w:r>
            <w:r>
              <w:rPr>
                <w:rtl/>
              </w:rPr>
              <w:t>.</w:t>
            </w:r>
          </w:p>
        </w:tc>
      </w:tr>
      <w:tr w:rsidR="00325852" w:rsidTr="00325852">
        <w:tc>
          <w:tcPr>
            <w:tcW w:w="4006" w:type="dxa"/>
          </w:tcPr>
          <w:p w:rsidR="00325852" w:rsidRDefault="00325852" w:rsidP="00E3253D">
            <w:pPr>
              <w:pStyle w:val="libFootnote0"/>
              <w:rPr>
                <w:rStyle w:val="libFootnote0Char"/>
                <w:rtl/>
              </w:rPr>
            </w:pPr>
            <w:r w:rsidRPr="0042621E">
              <w:rPr>
                <w:rStyle w:val="libFootnote0Char"/>
                <w:rtl/>
              </w:rPr>
              <w:t>(5).</w:t>
            </w:r>
            <w:r w:rsidRPr="005D642E">
              <w:rPr>
                <w:rtl/>
              </w:rPr>
              <w:t xml:space="preserve"> في التهذيب : « فلم ينقطع »</w:t>
            </w:r>
            <w:r>
              <w:rPr>
                <w:rtl/>
              </w:rPr>
              <w:t>.</w:t>
            </w:r>
          </w:p>
        </w:tc>
        <w:tc>
          <w:tcPr>
            <w:tcW w:w="4006" w:type="dxa"/>
          </w:tcPr>
          <w:p w:rsidR="00325852" w:rsidRDefault="00325852" w:rsidP="00E3253D">
            <w:pPr>
              <w:pStyle w:val="libFootnote0"/>
              <w:rPr>
                <w:rStyle w:val="libFootnote0Char"/>
                <w:rtl/>
              </w:rPr>
            </w:pPr>
            <w:r w:rsidRPr="0042621E">
              <w:rPr>
                <w:rStyle w:val="libFootnote0Char"/>
                <w:rtl/>
              </w:rPr>
              <w:t>(6).</w:t>
            </w:r>
            <w:r w:rsidRPr="005D642E">
              <w:rPr>
                <w:rtl/>
              </w:rPr>
              <w:t xml:space="preserve"> في الوسائل </w:t>
            </w:r>
            <w:r w:rsidRPr="00B60612">
              <w:rPr>
                <w:rStyle w:val="libFootnoteBoldChar"/>
                <w:rtl/>
              </w:rPr>
              <w:t>والتهذيب</w:t>
            </w:r>
            <w:r w:rsidRPr="005D642E">
              <w:rPr>
                <w:rtl/>
              </w:rPr>
              <w:t xml:space="preserve"> : « الدم عنها »</w:t>
            </w:r>
            <w:r>
              <w:rPr>
                <w:rtl/>
              </w:rPr>
              <w:t>.</w:t>
            </w:r>
          </w:p>
        </w:tc>
      </w:tr>
    </w:tbl>
    <w:p w:rsidR="00E3253D" w:rsidRPr="005D642E" w:rsidRDefault="0042621E" w:rsidP="00325852">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158 ، ح 453 ، معلّقا عن عليّ بن مهزيار ، عن الحسين بن سعيد ، عن زرعة</w:t>
      </w:r>
      <w:r w:rsidR="00325852">
        <w:rPr>
          <w:rFonts w:hint="cs"/>
          <w:rtl/>
        </w:rPr>
        <w:t>.</w:t>
      </w:r>
      <w:r w:rsidR="00E3253D" w:rsidRPr="002F4D34">
        <w:rPr>
          <w:rStyle w:val="libFootnoteBoldChar"/>
          <w:rtl/>
        </w:rPr>
        <w:t>الوافي</w:t>
      </w:r>
      <w:r w:rsidR="00E3253D" w:rsidRPr="005D642E">
        <w:rPr>
          <w:rtl/>
        </w:rPr>
        <w:t xml:space="preserve"> ، ج 6 ، ص 438 ، ح 4656 ؛ </w:t>
      </w:r>
      <w:r w:rsidR="00E3253D" w:rsidRPr="002F4D34">
        <w:rPr>
          <w:rStyle w:val="libFootnoteBoldChar"/>
          <w:rtl/>
        </w:rPr>
        <w:t>الوسائل</w:t>
      </w:r>
      <w:r w:rsidR="00E3253D" w:rsidRPr="005D642E">
        <w:rPr>
          <w:rtl/>
        </w:rPr>
        <w:t xml:space="preserve"> ، ج 2 ، ص 300 ، ح 2187.</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بس ، بف » </w:t>
      </w:r>
      <w:r w:rsidR="000D749A" w:rsidRPr="000D749A">
        <w:rPr>
          <w:rStyle w:val="libFootnoteBoldChar"/>
          <w:rtl/>
        </w:rPr>
        <w:t>والوافي</w:t>
      </w:r>
      <w:r w:rsidR="00E3253D" w:rsidRPr="005D642E">
        <w:rPr>
          <w:rtl/>
        </w:rPr>
        <w:t xml:space="preserve"> والوسائل ، ح 2188 :</w:t>
      </w:r>
      <w:r w:rsidR="00E3253D">
        <w:rPr>
          <w:rtl/>
        </w:rPr>
        <w:t xml:space="preserve"> </w:t>
      </w:r>
      <w:r w:rsidR="007642BC">
        <w:rPr>
          <w:rtl/>
        </w:rPr>
        <w:t>-</w:t>
      </w:r>
      <w:r w:rsidR="00E3253D">
        <w:rPr>
          <w:rtl/>
        </w:rPr>
        <w:t xml:space="preserve"> </w:t>
      </w:r>
      <w:r w:rsidR="00E3253D" w:rsidRPr="005D642E">
        <w:rPr>
          <w:rtl/>
        </w:rPr>
        <w:t>« أيّام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بس » : « لم يستظهر »</w:t>
      </w:r>
      <w:r w:rsidR="00E3253D">
        <w:rPr>
          <w:rtl/>
        </w:rPr>
        <w:t>.</w:t>
      </w:r>
      <w:r w:rsidR="00E3253D" w:rsidRPr="005D642E">
        <w:rPr>
          <w:rtl/>
        </w:rPr>
        <w:t xml:space="preserve"> وقال في الوافي : « استظهار المرأة أن</w:t>
      </w:r>
      <w:r w:rsidR="00E3253D">
        <w:rPr>
          <w:rtl/>
        </w:rPr>
        <w:t xml:space="preserve"> تترك عبادتها حتّى يظهر حالها أ</w:t>
      </w:r>
      <w:r w:rsidR="00E3253D" w:rsidRPr="005D642E">
        <w:rPr>
          <w:rtl/>
        </w:rPr>
        <w:t>حائض ، أم طاهر</w:t>
      </w:r>
      <w:r w:rsidR="00E3253D">
        <w:rPr>
          <w:rtl/>
        </w:rPr>
        <w:t>؟</w:t>
      </w:r>
      <w:r w:rsidR="00E3253D" w:rsidRPr="005D642E">
        <w:rPr>
          <w:rtl/>
        </w:rPr>
        <w:t xml:space="preserve">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ى ، بح ، جح ، جس » والوسائل : « فإذا »</w:t>
      </w:r>
      <w:r w:rsidR="00E3253D">
        <w:rPr>
          <w:rtl/>
        </w:rPr>
        <w:t>.</w:t>
      </w:r>
      <w:r w:rsidR="00E3253D" w:rsidRPr="005D642E">
        <w:rPr>
          <w:rtl/>
        </w:rPr>
        <w:t xml:space="preserve"> وفي « ظ » : « فإن »</w:t>
      </w:r>
      <w:r w:rsidR="00E3253D">
        <w:rPr>
          <w:rtl/>
        </w:rPr>
        <w:t>.</w:t>
      </w:r>
    </w:p>
    <w:p w:rsidR="00E3253D" w:rsidRPr="005D642E" w:rsidRDefault="0042621E" w:rsidP="00325852">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172 ، ح 492 ؛ </w:t>
      </w:r>
      <w:r w:rsidR="00E3253D" w:rsidRPr="00E678B5">
        <w:rPr>
          <w:rStyle w:val="libFootnoteBoldChar"/>
          <w:rtl/>
        </w:rPr>
        <w:t>والاستبصار</w:t>
      </w:r>
      <w:r w:rsidR="00E3253D" w:rsidRPr="005D642E">
        <w:rPr>
          <w:rtl/>
        </w:rPr>
        <w:t xml:space="preserve"> ، ج 1 ، ص 150 ، ح 517 ، بسند آخر عن عبدالله بن المغيرة ، عن رجل ، عن أبي عبدالله </w:t>
      </w:r>
      <w:r w:rsidR="00E3253D" w:rsidRPr="00325852">
        <w:rPr>
          <w:rStyle w:val="libFootnoteAlaemChar"/>
          <w:rtl/>
        </w:rPr>
        <w:t>عليه‌السلام</w:t>
      </w:r>
      <w:r w:rsidR="00E3253D" w:rsidRPr="005D642E">
        <w:rPr>
          <w:rtl/>
        </w:rPr>
        <w:t xml:space="preserve"> ، مع اختلاف يسير. راجع : </w:t>
      </w:r>
      <w:r w:rsidR="00E3253D" w:rsidRPr="002F4D34">
        <w:rPr>
          <w:rStyle w:val="libFootnoteBoldChar"/>
          <w:rtl/>
        </w:rPr>
        <w:t>الكافي</w:t>
      </w:r>
      <w:r w:rsidR="00E3253D" w:rsidRPr="005D642E">
        <w:rPr>
          <w:rtl/>
        </w:rPr>
        <w:t xml:space="preserve"> ، كتاب الحيض ، باب جامع في الحائض والمستحاضة ، ح 4186 ؛ </w:t>
      </w:r>
      <w:r w:rsidR="00B60612" w:rsidRPr="00B60612">
        <w:rPr>
          <w:rStyle w:val="libFootnoteBoldChar"/>
          <w:rtl/>
        </w:rPr>
        <w:t>والتهذيب</w:t>
      </w:r>
      <w:r w:rsidR="00E3253D" w:rsidRPr="002F4D34">
        <w:rPr>
          <w:rStyle w:val="libFootnoteBoldChar"/>
          <w:rtl/>
        </w:rPr>
        <w:t xml:space="preserve"> </w:t>
      </w:r>
      <w:r w:rsidR="00E3253D" w:rsidRPr="005D642E">
        <w:rPr>
          <w:rtl/>
        </w:rPr>
        <w:t xml:space="preserve">، ج 1 ، ص 172 ، ح 490 </w:t>
      </w:r>
      <w:r w:rsidR="00E3253D">
        <w:rPr>
          <w:rtl/>
        </w:rPr>
        <w:t>و 4</w:t>
      </w:r>
      <w:r w:rsidR="00E3253D" w:rsidRPr="005D642E">
        <w:rPr>
          <w:rtl/>
        </w:rPr>
        <w:t xml:space="preserve">93 ؛ </w:t>
      </w:r>
      <w:r w:rsidR="00E3253D" w:rsidRPr="00E678B5">
        <w:rPr>
          <w:rStyle w:val="libFootnoteBoldChar"/>
          <w:rtl/>
        </w:rPr>
        <w:t>والاستبصار</w:t>
      </w:r>
      <w:r w:rsidR="00E3253D" w:rsidRPr="005D642E">
        <w:rPr>
          <w:rtl/>
        </w:rPr>
        <w:t xml:space="preserve"> ، ج 1 ، ص 149 ، ح 513 ؛ وص 150 ، ح 518</w:t>
      </w:r>
      <w:r w:rsidR="00325852">
        <w:rPr>
          <w:rFonts w:hint="cs"/>
          <w:rtl/>
        </w:rPr>
        <w:t xml:space="preserve">. </w:t>
      </w:r>
      <w:r w:rsidR="00E3253D" w:rsidRPr="002F4D34">
        <w:rPr>
          <w:rStyle w:val="libFootnoteBoldChar"/>
          <w:rtl/>
        </w:rPr>
        <w:t>الوافي</w:t>
      </w:r>
      <w:r w:rsidR="00E3253D" w:rsidRPr="005D642E">
        <w:rPr>
          <w:rtl/>
        </w:rPr>
        <w:t xml:space="preserve"> ، ج 6 ، ص 438 ، ح 4657 ؛ </w:t>
      </w:r>
      <w:r w:rsidR="00E3253D" w:rsidRPr="002F4D34">
        <w:rPr>
          <w:rStyle w:val="libFootnoteBoldChar"/>
          <w:rtl/>
        </w:rPr>
        <w:t>الوسائل</w:t>
      </w:r>
      <w:r w:rsidR="00E3253D" w:rsidRPr="005D642E">
        <w:rPr>
          <w:rtl/>
        </w:rPr>
        <w:t xml:space="preserve"> ، ج 2 ، ص 295 ، ح 2170 ؛ وص 301 ، ح 2188.</w:t>
      </w:r>
    </w:p>
    <w:p w:rsidR="00E3253D" w:rsidRDefault="00E3253D" w:rsidP="00E3253D">
      <w:pPr>
        <w:pStyle w:val="libNormal"/>
        <w:rPr>
          <w:rtl/>
          <w:lang w:bidi="fa-IR"/>
        </w:rPr>
      </w:pPr>
      <w:r>
        <w:rPr>
          <w:rtl/>
          <w:lang w:bidi="fa-IR"/>
        </w:rPr>
        <w:br w:type="page"/>
      </w:r>
    </w:p>
    <w:p w:rsidR="00E3253D" w:rsidRPr="005D642E" w:rsidRDefault="00E3253D" w:rsidP="00210B09">
      <w:pPr>
        <w:pStyle w:val="libNormal0"/>
        <w:rPr>
          <w:rtl/>
          <w:lang w:bidi="fa-IR"/>
        </w:rPr>
      </w:pPr>
      <w:r w:rsidRPr="005D642E">
        <w:rPr>
          <w:rtl/>
          <w:lang w:bidi="fa-IR"/>
        </w:rPr>
        <w:lastRenderedPageBreak/>
        <w:t>وَ</w:t>
      </w:r>
      <w:r>
        <w:rPr>
          <w:rFonts w:hint="cs"/>
          <w:rtl/>
          <w:lang w:bidi="fa-IR"/>
        </w:rPr>
        <w:t xml:space="preserve"> </w:t>
      </w:r>
      <w:r w:rsidRPr="007C12DB">
        <w:rPr>
          <w:rStyle w:val="libFootnotenumChar"/>
          <w:rtl/>
        </w:rPr>
        <w:t>(1)</w:t>
      </w:r>
      <w:r>
        <w:rPr>
          <w:rtl/>
          <w:lang w:bidi="fa-IR"/>
        </w:rPr>
        <w:t xml:space="preserve"> ‌</w:t>
      </w:r>
      <w:r w:rsidRPr="005D642E">
        <w:rPr>
          <w:rtl/>
          <w:lang w:bidi="fa-IR"/>
        </w:rPr>
        <w:t>مُحَمَّدُ بْنُ إِسْمَاعِيلَ ، عَنِ الْفَضْلِ بْنِ شَاذَانَ ، عَنْ حَمَّادِ بْنِ عِيسى ، عَنْ حَرِيزٍ ، عَنْ مُحَمَّدِ بْنِ مُسْلِمٍ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الْمَرْأَةِ تَرَى الصُّفْرَةَ فِي أَيَّامِهَا</w:t>
      </w:r>
      <w:r>
        <w:rPr>
          <w:rtl/>
          <w:lang w:bidi="fa-IR"/>
        </w:rPr>
        <w:t>؟</w:t>
      </w:r>
    </w:p>
    <w:p w:rsidR="00E3253D" w:rsidRPr="005D642E" w:rsidRDefault="00E3253D" w:rsidP="00210B09">
      <w:pPr>
        <w:pStyle w:val="libNormal"/>
        <w:rPr>
          <w:rtl/>
          <w:lang w:bidi="fa-IR"/>
        </w:rPr>
      </w:pPr>
      <w:r w:rsidRPr="005D642E">
        <w:rPr>
          <w:rtl/>
          <w:lang w:bidi="fa-IR"/>
        </w:rPr>
        <w:t xml:space="preserve">فَقَالَ : « لَا تُصَلِّي </w:t>
      </w:r>
      <w:r w:rsidRPr="007C12DB">
        <w:rPr>
          <w:rStyle w:val="libFootnotenumChar"/>
          <w:rtl/>
        </w:rPr>
        <w:t>(</w:t>
      </w:r>
      <w:r w:rsidR="00210B09">
        <w:rPr>
          <w:rStyle w:val="libFootnotenumChar"/>
          <w:rFonts w:hint="cs"/>
          <w:rtl/>
        </w:rPr>
        <w:t>2</w:t>
      </w:r>
      <w:r w:rsidRPr="007C12DB">
        <w:rPr>
          <w:rStyle w:val="libFootnotenumChar"/>
          <w:rtl/>
        </w:rPr>
        <w:t>)</w:t>
      </w:r>
      <w:r w:rsidRPr="005D642E">
        <w:rPr>
          <w:rtl/>
          <w:lang w:bidi="fa-IR"/>
        </w:rPr>
        <w:t xml:space="preserve"> حَتّى تَنْقَضِيَ </w:t>
      </w:r>
      <w:r w:rsidRPr="007C12DB">
        <w:rPr>
          <w:rStyle w:val="libFootnotenumChar"/>
          <w:rtl/>
        </w:rPr>
        <w:t>(</w:t>
      </w:r>
      <w:r w:rsidR="00210B09">
        <w:rPr>
          <w:rStyle w:val="libFootnotenumChar"/>
          <w:rFonts w:hint="cs"/>
          <w:rtl/>
        </w:rPr>
        <w:t>3</w:t>
      </w:r>
      <w:r w:rsidRPr="007C12DB">
        <w:rPr>
          <w:rStyle w:val="libFootnotenumChar"/>
          <w:rtl/>
        </w:rPr>
        <w:t>)</w:t>
      </w:r>
      <w:r w:rsidRPr="005D642E">
        <w:rPr>
          <w:rtl/>
          <w:lang w:bidi="fa-IR"/>
        </w:rPr>
        <w:t xml:space="preserve"> أَيَّامُهَا ، وَإِنْ رَأَتِ </w:t>
      </w:r>
      <w:r w:rsidRPr="007C12DB">
        <w:rPr>
          <w:rStyle w:val="libFootnotenumChar"/>
          <w:rtl/>
        </w:rPr>
        <w:t>(</w:t>
      </w:r>
      <w:r w:rsidR="00210B09">
        <w:rPr>
          <w:rStyle w:val="libFootnotenumChar"/>
          <w:rFonts w:hint="cs"/>
          <w:rtl/>
        </w:rPr>
        <w:t>4</w:t>
      </w:r>
      <w:r w:rsidRPr="007C12DB">
        <w:rPr>
          <w:rStyle w:val="libFootnotenumChar"/>
          <w:rtl/>
        </w:rPr>
        <w:t>)</w:t>
      </w:r>
      <w:r w:rsidRPr="005D642E">
        <w:rPr>
          <w:rtl/>
          <w:lang w:bidi="fa-IR"/>
        </w:rPr>
        <w:t xml:space="preserve"> الصُّفْرَةَ فِي غَيْرِ أَيَّامِهَا ، تَوَضَّأَتْ وَصَلَّتْ »</w:t>
      </w:r>
      <w:r>
        <w:rPr>
          <w:rtl/>
          <w:lang w:bidi="fa-IR"/>
        </w:rPr>
        <w:t>.</w:t>
      </w:r>
      <w:r w:rsidRPr="005D642E">
        <w:rPr>
          <w:rtl/>
          <w:lang w:bidi="fa-IR"/>
        </w:rPr>
        <w:t xml:space="preserve"> </w:t>
      </w:r>
      <w:r w:rsidRPr="007C12DB">
        <w:rPr>
          <w:rStyle w:val="libFootnotenumChar"/>
          <w:rtl/>
        </w:rPr>
        <w:t>(</w:t>
      </w:r>
      <w:r w:rsidR="00210B09">
        <w:rPr>
          <w:rStyle w:val="libFootnotenumChar"/>
          <w:rFonts w:hint="cs"/>
          <w:rtl/>
        </w:rPr>
        <w:t>5</w:t>
      </w:r>
      <w:r w:rsidRPr="007C12DB">
        <w:rPr>
          <w:rStyle w:val="libFootnotenumChar"/>
          <w:rtl/>
        </w:rPr>
        <w:t>)</w:t>
      </w:r>
    </w:p>
    <w:p w:rsidR="00E3253D" w:rsidRPr="005D642E" w:rsidRDefault="00E3253D" w:rsidP="00E3253D">
      <w:pPr>
        <w:pStyle w:val="libNormal"/>
        <w:rPr>
          <w:rtl/>
          <w:lang w:bidi="fa-IR"/>
        </w:rPr>
      </w:pPr>
      <w:r w:rsidRPr="00B1555E">
        <w:rPr>
          <w:rtl/>
        </w:rPr>
        <w:t>4159</w:t>
      </w:r>
      <w:r w:rsidRPr="00246318">
        <w:rPr>
          <w:rStyle w:val="libBold2Char"/>
          <w:rtl/>
        </w:rPr>
        <w:t xml:space="preserve"> / 2.</w:t>
      </w:r>
      <w:r w:rsidRPr="005D642E">
        <w:rPr>
          <w:rtl/>
          <w:lang w:bidi="fa-IR"/>
        </w:rPr>
        <w:t xml:space="preserve"> عَلِيُّ بْنُ إِبْرَاهِيمَ ، عَنْ أَبِيهِ ، عَنْ عَبْدِ اللهِ بْنِ الْمُغِيرَةِ ، عَنْ إِسْحَاقَ بْنِ عَمَّارٍ ، عَنْ أَبِي بَصِيرٍ :</w:t>
      </w:r>
    </w:p>
    <w:p w:rsidR="00E3253D" w:rsidRPr="005D642E" w:rsidRDefault="00E3253D" w:rsidP="00210B09">
      <w:pPr>
        <w:pStyle w:val="libNormal"/>
        <w:rPr>
          <w:rtl/>
          <w:lang w:bidi="fa-IR"/>
        </w:rPr>
      </w:pPr>
      <w:r w:rsidRPr="005D642E">
        <w:rPr>
          <w:rtl/>
          <w:lang w:bidi="fa-IR"/>
        </w:rPr>
        <w:t xml:space="preserve">عَنْ‌أَبِي عَبْدِ اللهِ </w:t>
      </w:r>
      <w:r w:rsidRPr="00AC51C5">
        <w:rPr>
          <w:rStyle w:val="libAlaemChar"/>
          <w:rtl/>
        </w:rPr>
        <w:t>عليه‌السلام</w:t>
      </w:r>
      <w:r w:rsidRPr="005D642E">
        <w:rPr>
          <w:rtl/>
          <w:lang w:bidi="fa-IR"/>
        </w:rPr>
        <w:t xml:space="preserve"> فِي الْمَرْأَةِ تَرَى الصُّفْرَةَ ، فَقَالَ : « إِنْ كَانَ قَبْلَ الْحَيْضِ بِيَوْمَيْنِ ، فَهُوَ مِنَ الْحَيْضِ ، وَإِنْ كَانَ بَعْدَ الْحَيْضِ بِيَوْمَيْنِ ، فَلَيْسَ مِنَ الْحَيْضِ »</w:t>
      </w:r>
      <w:r>
        <w:rPr>
          <w:rtl/>
          <w:lang w:bidi="fa-IR"/>
        </w:rPr>
        <w:t>.</w:t>
      </w:r>
      <w:r w:rsidRPr="005D642E">
        <w:rPr>
          <w:rtl/>
          <w:lang w:bidi="fa-IR"/>
        </w:rPr>
        <w:t xml:space="preserve"> </w:t>
      </w:r>
      <w:r w:rsidRPr="007C12DB">
        <w:rPr>
          <w:rStyle w:val="libFootnotenumChar"/>
          <w:rtl/>
        </w:rPr>
        <w:t>(</w:t>
      </w:r>
      <w:r w:rsidR="00210B09">
        <w:rPr>
          <w:rStyle w:val="libFootnotenumChar"/>
          <w:rFonts w:hint="cs"/>
          <w:rtl/>
        </w:rPr>
        <w:t>6</w:t>
      </w:r>
      <w:r w:rsidRPr="007C12DB">
        <w:rPr>
          <w:rStyle w:val="libFootnotenumChar"/>
          <w:rtl/>
        </w:rPr>
        <w:t>)</w:t>
      </w:r>
    </w:p>
    <w:p w:rsidR="00E3253D" w:rsidRPr="005D642E" w:rsidRDefault="00E3253D" w:rsidP="00E3253D">
      <w:pPr>
        <w:pStyle w:val="libNormal"/>
        <w:rPr>
          <w:rtl/>
          <w:lang w:bidi="fa-IR"/>
        </w:rPr>
      </w:pPr>
      <w:r w:rsidRPr="00B1555E">
        <w:rPr>
          <w:rtl/>
        </w:rPr>
        <w:t>4160</w:t>
      </w:r>
      <w:r w:rsidRPr="00246318">
        <w:rPr>
          <w:rStyle w:val="libBold2Char"/>
          <w:rtl/>
        </w:rPr>
        <w:t xml:space="preserve"> / 3.</w:t>
      </w:r>
      <w:r w:rsidRPr="005D642E">
        <w:rPr>
          <w:rtl/>
          <w:lang w:bidi="fa-IR"/>
        </w:rPr>
        <w:t xml:space="preserve"> الْحُسَيْنُ بْنُ مُحَمَّدٍ ، عَنْ مُعَلَّى بْنِ مُحَمَّدٍ ، عَنِ الْوَشَّاءِ ، عَنْ أَبَانٍ ، عَنْ إِسْمَاعِيلَ الْجُعْفِيِّ :</w:t>
      </w:r>
    </w:p>
    <w:p w:rsidR="00E3253D" w:rsidRPr="005D642E" w:rsidRDefault="00E3253D" w:rsidP="00210B09">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رَأَتِ الْمَرْأَةُ الصُّفْرَةَ قَبْلَ انْقِضَاءِ أَيَّامِ عِدَّتِهَا </w:t>
      </w:r>
      <w:r w:rsidRPr="007C12DB">
        <w:rPr>
          <w:rStyle w:val="libFootnotenumChar"/>
          <w:rtl/>
        </w:rPr>
        <w:t>(</w:t>
      </w:r>
      <w:r w:rsidR="00210B09">
        <w:rPr>
          <w:rStyle w:val="libFootnotenumChar"/>
          <w:rFonts w:hint="cs"/>
          <w:rtl/>
        </w:rPr>
        <w:t>7</w:t>
      </w:r>
      <w:r w:rsidRPr="007C12DB">
        <w:rPr>
          <w:rStyle w:val="libFootnotenumChar"/>
          <w:rtl/>
        </w:rPr>
        <w:t>)</w:t>
      </w:r>
      <w:r w:rsidRPr="005D642E">
        <w:rPr>
          <w:rtl/>
          <w:lang w:bidi="fa-IR"/>
        </w:rPr>
        <w:t xml:space="preserve"> ، لَمْ‌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السند تحويل بعطف « محمّد بن إسماعيل ، عن الفضل بن شاذان » على « عليّ بن إبراهيم ، عن أبيه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بف » : « لا تصلّ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209 : « هذه الأخبار وخبر يونس المتقدّم تد</w:t>
      </w:r>
      <w:r w:rsidR="00210B09">
        <w:rPr>
          <w:rtl/>
        </w:rPr>
        <w:t>لّ على أنّ‌الاستظهار لايكون إل</w:t>
      </w:r>
      <w:r w:rsidR="00210B09">
        <w:rPr>
          <w:rFonts w:hint="cs"/>
          <w:rtl/>
        </w:rPr>
        <w:t>ّ</w:t>
      </w:r>
      <w:r w:rsidR="00210B09">
        <w:rPr>
          <w:rtl/>
        </w:rPr>
        <w:t>ا</w:t>
      </w:r>
      <w:r w:rsidR="00E3253D">
        <w:rPr>
          <w:rFonts w:hint="cs"/>
          <w:rtl/>
        </w:rPr>
        <w:t xml:space="preserve"> </w:t>
      </w:r>
      <w:r w:rsidR="00E3253D" w:rsidRPr="005D642E">
        <w:rPr>
          <w:rtl/>
        </w:rPr>
        <w:t>إذا كان الدم عبيطاً أسود فلا تغفل »</w:t>
      </w:r>
      <w:r w:rsidR="00E3253D">
        <w:rPr>
          <w:rtl/>
        </w:rPr>
        <w:t>.</w:t>
      </w:r>
      <w:r w:rsidR="00E3253D" w:rsidRPr="005D642E">
        <w:rPr>
          <w:rtl/>
        </w:rPr>
        <w:t xml:space="preserve"> وراجع أيضاً : </w:t>
      </w:r>
      <w:r w:rsidR="00E3253D" w:rsidRPr="002F4D34">
        <w:rPr>
          <w:rStyle w:val="libFootnoteBoldChar"/>
          <w:rtl/>
        </w:rPr>
        <w:t>الوافي</w:t>
      </w:r>
      <w:r w:rsidR="00E3253D" w:rsidRPr="005D642E">
        <w:rPr>
          <w:rtl/>
        </w:rPr>
        <w:t xml:space="preserve"> ، ج 6 ، ص 442.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جن » : « حتّى تقضي »</w:t>
      </w:r>
      <w:r w:rsidR="00E3253D">
        <w:rPr>
          <w:rtl/>
        </w:rPr>
        <w:t>.</w:t>
      </w:r>
      <w:r w:rsidR="00E3253D" w:rsidRPr="005D642E">
        <w:rPr>
          <w:rtl/>
        </w:rPr>
        <w:t xml:space="preserve"> وفي الوافي : « حتّى ينقضي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وإذا رأت »</w:t>
      </w:r>
      <w:r w:rsidR="00E3253D">
        <w:rPr>
          <w:rtl/>
        </w:rPr>
        <w:t>.</w:t>
      </w:r>
      <w:r w:rsidR="00E3253D" w:rsidRPr="005D642E">
        <w:rPr>
          <w:rtl/>
        </w:rPr>
        <w:t xml:space="preserve"> وفي التهذيب : « فإن رأت »</w:t>
      </w:r>
      <w:r w:rsidR="00E3253D">
        <w:rPr>
          <w:rtl/>
        </w:rPr>
        <w:t>.</w:t>
      </w:r>
    </w:p>
    <w:p w:rsidR="00E3253D" w:rsidRPr="005D642E" w:rsidRDefault="0042621E" w:rsidP="00210B09">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396 ، ح 1230 ، معلّقاً عن عليّ بن إبراهيم. </w:t>
      </w:r>
      <w:r w:rsidR="00E3253D" w:rsidRPr="002F4D34">
        <w:rPr>
          <w:rStyle w:val="libFootnoteBoldChar"/>
          <w:rtl/>
        </w:rPr>
        <w:t>قرب الإسناد</w:t>
      </w:r>
      <w:r w:rsidR="00E3253D" w:rsidRPr="005D642E">
        <w:rPr>
          <w:rtl/>
        </w:rPr>
        <w:t xml:space="preserve"> ، ص 225 ، ح 880 ، بسند آخر عن موسى بن جعفر </w:t>
      </w:r>
      <w:r w:rsidR="00E3253D" w:rsidRPr="00210B09">
        <w:rPr>
          <w:rStyle w:val="libFootnoteAlaemChar"/>
          <w:rtl/>
        </w:rPr>
        <w:t>عليهما‌السلام</w:t>
      </w:r>
      <w:r w:rsidR="00E3253D" w:rsidRPr="005D642E">
        <w:rPr>
          <w:rtl/>
        </w:rPr>
        <w:t xml:space="preserve"> ، مع اختلاف وزيادة</w:t>
      </w:r>
      <w:r w:rsidR="00210B09">
        <w:rPr>
          <w:rFonts w:hint="cs"/>
          <w:rtl/>
        </w:rPr>
        <w:t>.</w:t>
      </w:r>
      <w:r w:rsidR="00E3253D" w:rsidRPr="002F4D34">
        <w:rPr>
          <w:rStyle w:val="libFootnoteBoldChar"/>
          <w:rtl/>
        </w:rPr>
        <w:t>الوافي</w:t>
      </w:r>
      <w:r w:rsidR="00E3253D" w:rsidRPr="005D642E">
        <w:rPr>
          <w:rtl/>
        </w:rPr>
        <w:t xml:space="preserve"> ، ج 6 ، ص 442 ، ح 4667 ؛ </w:t>
      </w:r>
      <w:r w:rsidR="00E3253D" w:rsidRPr="002F4D34">
        <w:rPr>
          <w:rStyle w:val="libFootnoteBoldChar"/>
          <w:rtl/>
        </w:rPr>
        <w:t>الوسائل</w:t>
      </w:r>
      <w:r w:rsidR="00E3253D" w:rsidRPr="005D642E">
        <w:rPr>
          <w:rtl/>
        </w:rPr>
        <w:t xml:space="preserve"> ، ج 2 ، ص 278 ، ح 2136.</w:t>
      </w:r>
    </w:p>
    <w:p w:rsidR="00E3253D" w:rsidRPr="005D642E" w:rsidRDefault="0042621E" w:rsidP="00761403">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ص 396 ، ح 1231 ، معلّقاً عن عليّ بن إبراهيم. </w:t>
      </w:r>
      <w:r w:rsidR="00E3253D" w:rsidRPr="002F4D34">
        <w:rPr>
          <w:rStyle w:val="libFootnoteBoldChar"/>
          <w:rtl/>
        </w:rPr>
        <w:t>الفقيه</w:t>
      </w:r>
      <w:r w:rsidR="00E3253D" w:rsidRPr="005D642E">
        <w:rPr>
          <w:rtl/>
        </w:rPr>
        <w:t xml:space="preserve"> ، ج 1 ، ص 91 ، ح 196 ، مرسلاً من دون الإسناد إلى المعصوم </w:t>
      </w:r>
      <w:r w:rsidR="00E3253D" w:rsidRPr="00761403">
        <w:rPr>
          <w:rStyle w:val="libFootnoteAlaemChar"/>
          <w:rtl/>
        </w:rPr>
        <w:t>عليه‌السلام</w:t>
      </w:r>
      <w:r w:rsidR="00E3253D" w:rsidRPr="005D642E">
        <w:rPr>
          <w:rtl/>
        </w:rPr>
        <w:t xml:space="preserve"> ، مع اختلاف يسير</w:t>
      </w:r>
      <w:r w:rsidR="00761403">
        <w:rPr>
          <w:rFonts w:hint="cs"/>
          <w:rtl/>
        </w:rPr>
        <w:t>.</w:t>
      </w:r>
      <w:r w:rsidR="00E3253D" w:rsidRPr="002F4D34">
        <w:rPr>
          <w:rStyle w:val="libFootnoteBoldChar"/>
          <w:rtl/>
        </w:rPr>
        <w:t>الوافي</w:t>
      </w:r>
      <w:r w:rsidR="00E3253D" w:rsidRPr="005D642E">
        <w:rPr>
          <w:rtl/>
        </w:rPr>
        <w:t xml:space="preserve"> ، ج 6 ، ص 442 ، ح 4668 ؛ </w:t>
      </w:r>
      <w:r w:rsidR="00E3253D" w:rsidRPr="002F4D34">
        <w:rPr>
          <w:rStyle w:val="libFootnoteBoldChar"/>
          <w:rtl/>
        </w:rPr>
        <w:t>الوسائل</w:t>
      </w:r>
      <w:r w:rsidR="00E3253D" w:rsidRPr="005D642E">
        <w:rPr>
          <w:rtl/>
        </w:rPr>
        <w:t xml:space="preserve"> ، ج 2 ، ص 279 ، ح 2137.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الوسائل : « عادتها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تُصَلِّ ؛ وَإِنْ كَانَتْ </w:t>
      </w:r>
      <w:r w:rsidRPr="007C12DB">
        <w:rPr>
          <w:rStyle w:val="libFootnotenumChar"/>
          <w:rtl/>
        </w:rPr>
        <w:t>(1)</w:t>
      </w:r>
      <w:r w:rsidRPr="005D642E">
        <w:rPr>
          <w:rtl/>
          <w:lang w:bidi="fa-IR"/>
        </w:rPr>
        <w:t xml:space="preserve"> صُفْرَةٌ بَعْدَ انْقِضَاءِ أَيَّامِ قُرْئِهَا </w:t>
      </w:r>
      <w:r w:rsidRPr="007C12DB">
        <w:rPr>
          <w:rStyle w:val="libFootnotenumChar"/>
          <w:rtl/>
        </w:rPr>
        <w:t>(2)</w:t>
      </w:r>
      <w:r w:rsidRPr="005D642E">
        <w:rPr>
          <w:rtl/>
          <w:lang w:bidi="fa-IR"/>
        </w:rPr>
        <w:t xml:space="preserve"> ، صَلَّتْ »</w:t>
      </w:r>
      <w:r>
        <w:rPr>
          <w:rtl/>
          <w:lang w:bidi="fa-IR"/>
        </w:rPr>
        <w:t>.</w:t>
      </w:r>
      <w:r w:rsidRPr="005D642E">
        <w:rPr>
          <w:rtl/>
          <w:lang w:bidi="fa-IR"/>
        </w:rPr>
        <w:t xml:space="preserve"> </w:t>
      </w:r>
      <w:r w:rsidRPr="007C12DB">
        <w:rPr>
          <w:rStyle w:val="libFootnotenumChar"/>
          <w:rtl/>
        </w:rPr>
        <w:t>(3)</w:t>
      </w:r>
      <w:r w:rsidRPr="005D642E">
        <w:rPr>
          <w:rtl/>
          <w:lang w:bidi="fa-IR"/>
        </w:rPr>
        <w:t>‌</w:t>
      </w:r>
    </w:p>
    <w:p w:rsidR="00E3253D" w:rsidRPr="005D642E" w:rsidRDefault="00E3253D" w:rsidP="00E3253D">
      <w:pPr>
        <w:pStyle w:val="libNormal"/>
        <w:rPr>
          <w:rtl/>
          <w:lang w:bidi="fa-IR"/>
        </w:rPr>
      </w:pPr>
      <w:r w:rsidRPr="00B1555E">
        <w:rPr>
          <w:rtl/>
        </w:rPr>
        <w:t>4161</w:t>
      </w:r>
      <w:r w:rsidRPr="00246318">
        <w:rPr>
          <w:rStyle w:val="libBold2Char"/>
          <w:rtl/>
        </w:rPr>
        <w:t xml:space="preserve"> / 4.</w:t>
      </w:r>
      <w:r w:rsidRPr="005D642E">
        <w:rPr>
          <w:rtl/>
          <w:lang w:bidi="fa-IR"/>
        </w:rPr>
        <w:t xml:space="preserve"> مُحَمَّدُ بْنُ يَحْيى ، عَنْ أَحْمَدَ بْنِ مُحَمَّدٍ ، عَنْ مُحَمَّدِ بْنِ خَالِدٍ ، عَنِ الْقَاسِمِ بْنِ مُحَمَّدٍ ، عَنْ عَلِيِّ بْنِ أَبِي حَمْزَةَ </w:t>
      </w:r>
      <w:r w:rsidRPr="007C12DB">
        <w:rPr>
          <w:rStyle w:val="libFootnotenumChar"/>
          <w:rtl/>
        </w:rPr>
        <w:t>(4)</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Pr>
          <w:rtl/>
          <w:lang w:bidi="fa-IR"/>
        </w:rPr>
        <w:t xml:space="preserve"> </w:t>
      </w:r>
      <w:r w:rsidR="007642BC">
        <w:rPr>
          <w:rtl/>
          <w:lang w:bidi="fa-IR"/>
        </w:rPr>
        <w:t>-</w:t>
      </w:r>
      <w:r>
        <w:rPr>
          <w:rtl/>
          <w:lang w:bidi="fa-IR"/>
        </w:rPr>
        <w:t xml:space="preserve"> </w:t>
      </w:r>
      <w:r w:rsidRPr="005D642E">
        <w:rPr>
          <w:rtl/>
          <w:lang w:bidi="fa-IR"/>
        </w:rPr>
        <w:t>وَأَنَا حَاضِرٌ</w:t>
      </w:r>
      <w:r>
        <w:rPr>
          <w:rtl/>
          <w:lang w:bidi="fa-IR"/>
        </w:rPr>
        <w:t xml:space="preserve"> </w:t>
      </w:r>
      <w:r w:rsidR="007642BC">
        <w:rPr>
          <w:rtl/>
          <w:lang w:bidi="fa-IR"/>
        </w:rPr>
        <w:t>-</w:t>
      </w:r>
      <w:r>
        <w:rPr>
          <w:rtl/>
          <w:lang w:bidi="fa-IR"/>
        </w:rPr>
        <w:t xml:space="preserve"> </w:t>
      </w:r>
      <w:r w:rsidRPr="005D642E">
        <w:rPr>
          <w:rtl/>
          <w:lang w:bidi="fa-IR"/>
        </w:rPr>
        <w:t>عَنِ الْمَرْأَةِ تَرَى الصُّفْرَةَ</w:t>
      </w:r>
      <w:r>
        <w:rPr>
          <w:rtl/>
          <w:lang w:bidi="fa-IR"/>
        </w:rPr>
        <w:t>؟</w:t>
      </w:r>
    </w:p>
    <w:p w:rsidR="00E3253D" w:rsidRPr="005D642E" w:rsidRDefault="00E3253D" w:rsidP="00E3253D">
      <w:pPr>
        <w:pStyle w:val="libNormal"/>
        <w:rPr>
          <w:rtl/>
          <w:lang w:bidi="fa-IR"/>
        </w:rPr>
      </w:pPr>
      <w:r w:rsidRPr="005D642E">
        <w:rPr>
          <w:rtl/>
          <w:lang w:bidi="fa-IR"/>
        </w:rPr>
        <w:t>فَقَالَ : « مَا كَانَ قَبْلَ الْحَيْضِ ، فَهُوَ مِنَ الْحَيْضِ ، وَمَا كَانَ بَعْدَ الْحَيْضِ ، فَلَيْسَ مِنْهُ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B1555E">
        <w:rPr>
          <w:rtl/>
        </w:rPr>
        <w:t>4162</w:t>
      </w:r>
      <w:r w:rsidRPr="00246318">
        <w:rPr>
          <w:rStyle w:val="libBold2Char"/>
          <w:rtl/>
        </w:rPr>
        <w:t xml:space="preserve"> / 5.</w:t>
      </w:r>
      <w:r w:rsidRPr="005D642E">
        <w:rPr>
          <w:rtl/>
          <w:lang w:bidi="fa-IR"/>
        </w:rPr>
        <w:t xml:space="preserve"> مُحَمَّدُ بْنُ أَبِي عَبْدِ اللهِ ، عَنْ مُعَاوِيَةَ بْنِ حُكَيْمٍ ، قَالَ :</w:t>
      </w:r>
    </w:p>
    <w:p w:rsidR="00E3253D" w:rsidRPr="005D642E" w:rsidRDefault="00E3253D" w:rsidP="00E3253D">
      <w:pPr>
        <w:pStyle w:val="libNormal"/>
        <w:rPr>
          <w:rtl/>
          <w:lang w:bidi="fa-IR"/>
        </w:rPr>
      </w:pPr>
      <w:r w:rsidRPr="005D642E">
        <w:rPr>
          <w:rtl/>
          <w:lang w:bidi="fa-IR"/>
        </w:rPr>
        <w:t>قَالَ : « الصُّفْرَةُ قَبْلَ الْحَيْضِ بِيَوْمَيْنِ فَهُوَ مِنَ الْحَيْضِ ، وَبَعْدَ أَيَّامِ الْحَيْضِ لَيْسَ مِنَ‌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جس » </w:t>
      </w:r>
      <w:r w:rsidR="000D749A" w:rsidRPr="000D749A">
        <w:rPr>
          <w:rStyle w:val="libFootnoteBoldChar"/>
          <w:rtl/>
        </w:rPr>
        <w:t>والوافي</w:t>
      </w:r>
      <w:r w:rsidR="00E3253D" w:rsidRPr="005D642E">
        <w:rPr>
          <w:rtl/>
        </w:rPr>
        <w:t xml:space="preserve"> : « وإن رأت »</w:t>
      </w:r>
      <w:r w:rsidR="00E3253D">
        <w:rPr>
          <w:rtl/>
        </w:rPr>
        <w:t>.</w:t>
      </w:r>
      <w:r w:rsidR="00E3253D" w:rsidRPr="005D642E">
        <w:rPr>
          <w:rtl/>
        </w:rPr>
        <w:t xml:space="preserve"> وفي حاشية « بخ » : « فإذا كانت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أيّام »</w:t>
      </w:r>
      <w:r w:rsidR="00E3253D">
        <w:rPr>
          <w:rtl/>
        </w:rPr>
        <w:t>.</w:t>
      </w:r>
      <w:r w:rsidR="00E3253D" w:rsidRPr="005D642E">
        <w:rPr>
          <w:rtl/>
        </w:rPr>
        <w:t xml:space="preserve"> </w:t>
      </w:r>
      <w:r w:rsidR="00E3253D">
        <w:rPr>
          <w:rtl/>
        </w:rPr>
        <w:t>و «</w:t>
      </w:r>
      <w:r w:rsidR="00E3253D" w:rsidRPr="005D642E">
        <w:rPr>
          <w:rtl/>
        </w:rPr>
        <w:t xml:space="preserve"> القرء » بفتح القاف وضمّها وسكون الراء : هو من الأضداد يقع على الحيض والطهر. وقيل : هو بالفتح بمعنى الطهر ، وبالضمّ بمعنى الحيض ، والأوّل هو الأشهر. قال ابن الأثير : « والأصل في القرء الوقت المعلوم فلذلك وقع على الضدّين ؛ لأن</w:t>
      </w:r>
      <w:r w:rsidR="00F67C9C">
        <w:rPr>
          <w:rtl/>
        </w:rPr>
        <w:t>ّ لكلّ منهما وقتاً » وقال العل</w:t>
      </w:r>
      <w:r w:rsidR="00F67C9C">
        <w:rPr>
          <w:rFonts w:hint="cs"/>
          <w:rtl/>
        </w:rPr>
        <w:t>ّ</w:t>
      </w:r>
      <w:r w:rsidR="00F67C9C">
        <w:rPr>
          <w:rtl/>
        </w:rPr>
        <w:t>ا</w:t>
      </w:r>
      <w:r w:rsidR="00E3253D" w:rsidRPr="005D642E">
        <w:rPr>
          <w:rtl/>
        </w:rPr>
        <w:t>مة الفيض : « وأصل معناه الجمع ، وإنّما سمّي الطهر والحيض به ؛ لأنّ المرأة تقرّ الدم ، أي تجمعه أيّام طهرها ثمّ تدفعه في أيّام حيضها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4 ، ص 32 ؛ </w:t>
      </w:r>
      <w:r w:rsidR="00E3253D" w:rsidRPr="002F4D34">
        <w:rPr>
          <w:rStyle w:val="libFootnoteBoldChar"/>
          <w:rtl/>
        </w:rPr>
        <w:t>لسان العرب</w:t>
      </w:r>
      <w:r w:rsidR="00E3253D" w:rsidRPr="005D642E">
        <w:rPr>
          <w:rtl/>
        </w:rPr>
        <w:t xml:space="preserve"> ، ج 1 ، ص 130 ( قرأ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443 ، ح 4670 ؛ </w:t>
      </w:r>
      <w:r w:rsidR="00E3253D" w:rsidRPr="002F4D34">
        <w:rPr>
          <w:rStyle w:val="libFootnoteBoldChar"/>
          <w:rtl/>
        </w:rPr>
        <w:t>الوسائل</w:t>
      </w:r>
      <w:r w:rsidR="00E3253D" w:rsidRPr="005D642E">
        <w:rPr>
          <w:rtl/>
        </w:rPr>
        <w:t xml:space="preserve"> ، ج 2 ، ص 280 ، ح 2139.</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ورد الخبر في </w:t>
      </w:r>
      <w:r w:rsidR="00E3253D" w:rsidRPr="002F4D34">
        <w:rPr>
          <w:rStyle w:val="libFootnoteBoldChar"/>
          <w:rtl/>
        </w:rPr>
        <w:t>التهذيب</w:t>
      </w:r>
      <w:r w:rsidR="00E3253D" w:rsidRPr="005D642E">
        <w:rPr>
          <w:rtl/>
        </w:rPr>
        <w:t xml:space="preserve"> ، ج 1 ، ص 396 ، ح 1232 ، بإسناده عن أحمد بن محمّد ، عن محمّد بن خالد ، عن علىّ بن أبي حمزة.</w:t>
      </w:r>
    </w:p>
    <w:p w:rsidR="00E3253D" w:rsidRPr="005D642E" w:rsidRDefault="00E3253D" w:rsidP="00E3253D">
      <w:pPr>
        <w:pStyle w:val="libFootnote0"/>
        <w:rPr>
          <w:rtl/>
          <w:lang w:bidi="fa-IR"/>
        </w:rPr>
      </w:pPr>
      <w:r w:rsidRPr="00B60612">
        <w:rPr>
          <w:rtl/>
        </w:rPr>
        <w:t xml:space="preserve">والظاهر وقوع السقط في السند بين محمّد بن خالد وبين علي بن أبي حمزة ؛ فقد روى محمّد بن خالد البرقي كتاب القاسم بن محمّد الجوهري ، والقاسم من عمدة رواة عليّ بن أبي حمزة. راجع : </w:t>
      </w:r>
      <w:r w:rsidR="0059794D" w:rsidRPr="0059794D">
        <w:rPr>
          <w:rStyle w:val="libFootnoteBoldChar"/>
          <w:rtl/>
        </w:rPr>
        <w:t>الفهرست للطوسي</w:t>
      </w:r>
      <w:r w:rsidRPr="00B60612">
        <w:rPr>
          <w:rtl/>
        </w:rPr>
        <w:t xml:space="preserve"> ، ص 371 ، الرقم 576 ؛ </w:t>
      </w:r>
      <w:r w:rsidRPr="002F4D34">
        <w:rPr>
          <w:rStyle w:val="libFootnoteBoldChar"/>
          <w:rtl/>
        </w:rPr>
        <w:t>معجم رجال الحديث</w:t>
      </w:r>
      <w:r w:rsidRPr="00B60612">
        <w:rPr>
          <w:rtl/>
        </w:rPr>
        <w:t xml:space="preserve"> ، ج 11 ، ص 487 </w:t>
      </w:r>
      <w:r w:rsidR="007642BC" w:rsidRPr="00B60612">
        <w:rPr>
          <w:rtl/>
        </w:rPr>
        <w:t>-</w:t>
      </w:r>
      <w:r w:rsidRPr="00B60612">
        <w:rPr>
          <w:rtl/>
        </w:rPr>
        <w:t xml:space="preserve"> 500.</w:t>
      </w:r>
    </w:p>
    <w:p w:rsidR="00E3253D" w:rsidRPr="005D642E" w:rsidRDefault="00E3253D" w:rsidP="00E3253D">
      <w:pPr>
        <w:pStyle w:val="libFootnote0"/>
        <w:rPr>
          <w:rtl/>
          <w:lang w:bidi="fa-IR"/>
        </w:rPr>
      </w:pPr>
      <w:r w:rsidRPr="00B60612">
        <w:rPr>
          <w:rtl/>
        </w:rPr>
        <w:t xml:space="preserve">ويؤيّد ذلك توسّط القاسم بن محمّد [ الجوهري ] بين محمّد بن خالد وبين عليّ بن أبي حمزة في </w:t>
      </w:r>
      <w:r w:rsidRPr="002F4D34">
        <w:rPr>
          <w:rStyle w:val="libFootnoteBoldChar"/>
          <w:rtl/>
        </w:rPr>
        <w:t>الكافي</w:t>
      </w:r>
      <w:r w:rsidRPr="00B60612">
        <w:rPr>
          <w:rtl/>
        </w:rPr>
        <w:t xml:space="preserve"> ، ح 943 و 12930 ؛ </w:t>
      </w:r>
      <w:r w:rsidRPr="002F4D34">
        <w:rPr>
          <w:rStyle w:val="libFootnoteBoldChar"/>
          <w:rtl/>
        </w:rPr>
        <w:t>المحاسن</w:t>
      </w:r>
      <w:r w:rsidRPr="00B60612">
        <w:rPr>
          <w:rtl/>
        </w:rPr>
        <w:t xml:space="preserve"> ، ج 1 ، ص 136 ، ح 18 ؛ وص 184 ، ح 186 ؛ وص 203 ، ح 49 ؛ وص 231 ، ح 179 ؛ وص 232 ، ح 184 ؛ وج 2 ، ص 614 ، ح 36.</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396 ، ح 1232 ، معلّقاً عن أحمد بن محمّد ، عن محمّد بن خالد ، عن عليّ بن أبي حمزة </w:t>
      </w:r>
      <w:r w:rsidR="00FE1BB3">
        <w:rPr>
          <w:rFonts w:hint="cs"/>
          <w:rtl/>
        </w:rPr>
        <w:t>.</w:t>
      </w:r>
      <w:r w:rsidR="00E3253D" w:rsidRPr="002F4D34">
        <w:rPr>
          <w:rStyle w:val="libFootnoteBoldChar"/>
          <w:rtl/>
        </w:rPr>
        <w:t>الوافي</w:t>
      </w:r>
      <w:r w:rsidR="00E3253D" w:rsidRPr="005D642E">
        <w:rPr>
          <w:rtl/>
        </w:rPr>
        <w:t xml:space="preserve"> ، ج 6 ، ص 443 ، ح 4671 ؛ </w:t>
      </w:r>
      <w:r w:rsidR="00E3253D" w:rsidRPr="002F4D34">
        <w:rPr>
          <w:rStyle w:val="libFootnoteBoldChar"/>
          <w:rtl/>
        </w:rPr>
        <w:t>الوسائل</w:t>
      </w:r>
      <w:r w:rsidR="00E3253D" w:rsidRPr="005D642E">
        <w:rPr>
          <w:rtl/>
        </w:rPr>
        <w:t xml:space="preserve"> ، ج 2 ، ص 280 ، ح 2140.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الْحَيْضِ ، وَهِيَ </w:t>
      </w:r>
      <w:r w:rsidRPr="007C12DB">
        <w:rPr>
          <w:rStyle w:val="libFootnotenumChar"/>
          <w:rtl/>
        </w:rPr>
        <w:t>(1)</w:t>
      </w:r>
      <w:r w:rsidRPr="005D642E">
        <w:rPr>
          <w:rtl/>
          <w:lang w:bidi="fa-IR"/>
        </w:rPr>
        <w:t xml:space="preserve"> فِي أَيَّامِ الْحَيْضِ حَيْضٌ »</w:t>
      </w:r>
      <w:r>
        <w:rPr>
          <w:rtl/>
          <w:lang w:bidi="fa-IR"/>
        </w:rPr>
        <w:t>.</w:t>
      </w:r>
      <w:r w:rsidRPr="005D642E">
        <w:rPr>
          <w:rtl/>
          <w:lang w:bidi="fa-IR"/>
        </w:rPr>
        <w:t xml:space="preserve"> </w:t>
      </w:r>
      <w:r w:rsidRPr="007C12DB">
        <w:rPr>
          <w:rStyle w:val="libFootnotenumChar"/>
          <w:rtl/>
        </w:rPr>
        <w:t>(2)</w:t>
      </w:r>
    </w:p>
    <w:p w:rsidR="00E3253D" w:rsidRPr="005D642E" w:rsidRDefault="00E3253D" w:rsidP="00E3253D">
      <w:pPr>
        <w:pStyle w:val="Heading2Center"/>
        <w:rPr>
          <w:rtl/>
          <w:lang w:bidi="fa-IR"/>
        </w:rPr>
      </w:pPr>
      <w:bookmarkStart w:id="186" w:name="_Toc344647272"/>
      <w:bookmarkStart w:id="187" w:name="_Toc462226787"/>
      <w:bookmarkStart w:id="188" w:name="_Toc40975895"/>
      <w:r w:rsidRPr="005D642E">
        <w:rPr>
          <w:rtl/>
          <w:lang w:bidi="fa-IR"/>
        </w:rPr>
        <w:t>5</w:t>
      </w:r>
      <w:r>
        <w:rPr>
          <w:rtl/>
          <w:lang w:bidi="fa-IR"/>
        </w:rPr>
        <w:t xml:space="preserve"> </w:t>
      </w:r>
      <w:r w:rsidR="007642BC">
        <w:rPr>
          <w:rtl/>
          <w:lang w:bidi="fa-IR"/>
        </w:rPr>
        <w:t>-</w:t>
      </w:r>
      <w:r>
        <w:rPr>
          <w:rtl/>
          <w:lang w:bidi="fa-IR"/>
        </w:rPr>
        <w:t xml:space="preserve"> </w:t>
      </w:r>
      <w:r w:rsidRPr="005D642E">
        <w:rPr>
          <w:rtl/>
          <w:lang w:bidi="fa-IR"/>
        </w:rPr>
        <w:t>بَابُ أَوَّلِ مَا تَحِيضُ الْمَرْأَةُ‌</w:t>
      </w:r>
      <w:bookmarkEnd w:id="186"/>
      <w:bookmarkEnd w:id="187"/>
      <w:bookmarkEnd w:id="188"/>
    </w:p>
    <w:p w:rsidR="00E3253D" w:rsidRPr="005D642E" w:rsidRDefault="00E3253D" w:rsidP="00E3253D">
      <w:pPr>
        <w:pStyle w:val="libNormal"/>
        <w:rPr>
          <w:rtl/>
          <w:lang w:bidi="fa-IR"/>
        </w:rPr>
      </w:pPr>
      <w:r w:rsidRPr="00544BA3">
        <w:rPr>
          <w:rtl/>
        </w:rPr>
        <w:t>4163</w:t>
      </w:r>
      <w:r w:rsidRPr="00246318">
        <w:rPr>
          <w:rStyle w:val="libBold2Char"/>
          <w:rtl/>
        </w:rPr>
        <w:t xml:space="preserve"> / 1.</w:t>
      </w:r>
      <w:r w:rsidRPr="005D642E">
        <w:rPr>
          <w:rtl/>
          <w:lang w:bidi="fa-IR"/>
        </w:rPr>
        <w:t xml:space="preserve"> مُحَمَّدُ بْنُ يَحْيى ، عَنْ أَحْمَدَ بْنِ مُحَمَّدٍ ، عَنْ عُثْمَانَ بْنِ عِيسى ، عَنْ سَمَاعَةَ بْنِ مِهْرَانَ ، قَالَ :</w:t>
      </w:r>
    </w:p>
    <w:p w:rsidR="00E3253D" w:rsidRPr="005D642E" w:rsidRDefault="00E3253D" w:rsidP="00E3253D">
      <w:pPr>
        <w:pStyle w:val="libNormal"/>
        <w:rPr>
          <w:rtl/>
          <w:lang w:bidi="fa-IR"/>
        </w:rPr>
      </w:pPr>
      <w:r w:rsidRPr="005D642E">
        <w:rPr>
          <w:rtl/>
          <w:lang w:bidi="fa-IR"/>
        </w:rPr>
        <w:t xml:space="preserve">سَأَلْتُهُ عَنِ الْجَارِيَةِ الْبِكْرِ أَوَّلَ مَا تَحِيضُ ، فَتَقْعُدُ فِي الشَّهْرِ </w:t>
      </w:r>
      <w:r w:rsidRPr="007C12DB">
        <w:rPr>
          <w:rStyle w:val="libFootnotenumChar"/>
          <w:rtl/>
        </w:rPr>
        <w:t>(3)</w:t>
      </w:r>
      <w:r w:rsidRPr="005D642E">
        <w:rPr>
          <w:rtl/>
          <w:lang w:bidi="fa-IR"/>
        </w:rPr>
        <w:t xml:space="preserve"> يَوْمَيْنِ ، وَفِي الشَّهْرِ ثَلَاثَةَ أَيَّامٍ ، وَيَخْتَلِفُ </w:t>
      </w:r>
      <w:r w:rsidRPr="007C12DB">
        <w:rPr>
          <w:rStyle w:val="libFootnotenumChar"/>
          <w:rtl/>
        </w:rPr>
        <w:t>(4)</w:t>
      </w:r>
      <w:r w:rsidRPr="005D642E">
        <w:rPr>
          <w:rtl/>
          <w:lang w:bidi="fa-IR"/>
        </w:rPr>
        <w:t xml:space="preserve"> عَلَيْهَا ، لَايَكُونُ طَمْثُهَا </w:t>
      </w:r>
      <w:r w:rsidRPr="007C12DB">
        <w:rPr>
          <w:rStyle w:val="libFootnotenumChar"/>
          <w:rtl/>
        </w:rPr>
        <w:t>(5)</w:t>
      </w:r>
      <w:r w:rsidRPr="005D642E">
        <w:rPr>
          <w:rtl/>
          <w:lang w:bidi="fa-IR"/>
        </w:rPr>
        <w:t xml:space="preserve"> فِي الشَّهْرِ عِدَّةَ </w:t>
      </w:r>
      <w:r w:rsidRPr="007C12DB">
        <w:rPr>
          <w:rStyle w:val="libFootnotenumChar"/>
          <w:rtl/>
        </w:rPr>
        <w:t>(6)</w:t>
      </w:r>
      <w:r w:rsidRPr="005D642E">
        <w:rPr>
          <w:rtl/>
          <w:lang w:bidi="fa-IR"/>
        </w:rPr>
        <w:t xml:space="preserve"> أَيَّامٍ سَوَاءً</w:t>
      </w:r>
      <w:r>
        <w:rPr>
          <w:rtl/>
          <w:lang w:bidi="fa-IR"/>
        </w:rPr>
        <w:t>؟</w:t>
      </w:r>
    </w:p>
    <w:p w:rsidR="00E3253D" w:rsidRPr="005D642E" w:rsidRDefault="00E3253D" w:rsidP="00E3253D">
      <w:pPr>
        <w:pStyle w:val="libNormal"/>
        <w:rPr>
          <w:rtl/>
          <w:lang w:bidi="fa-IR"/>
        </w:rPr>
      </w:pPr>
      <w:r w:rsidRPr="005D642E">
        <w:rPr>
          <w:rtl/>
          <w:lang w:bidi="fa-IR"/>
        </w:rPr>
        <w:t xml:space="preserve">قَالَ : « فَلَهَا أَنْ تَجْلِسَ وَتَدَعَ الصَّلَاةَ </w:t>
      </w:r>
      <w:r w:rsidRPr="007C12DB">
        <w:rPr>
          <w:rStyle w:val="libFootnotenumChar"/>
          <w:rtl/>
        </w:rPr>
        <w:t>(7)</w:t>
      </w:r>
      <w:r w:rsidRPr="005D642E">
        <w:rPr>
          <w:rtl/>
          <w:lang w:bidi="fa-IR"/>
        </w:rPr>
        <w:t xml:space="preserve"> مَا دَامَتْ تَرَى الدَّمَ مَا </w:t>
      </w:r>
      <w:r w:rsidRPr="007C12DB">
        <w:rPr>
          <w:rStyle w:val="libFootnotenumChar"/>
          <w:rtl/>
        </w:rPr>
        <w:t>(8)</w:t>
      </w:r>
      <w:r w:rsidRPr="005D642E">
        <w:rPr>
          <w:rtl/>
          <w:lang w:bidi="fa-IR"/>
        </w:rPr>
        <w:t xml:space="preserve"> لَمْ تَجُزِ </w:t>
      </w:r>
      <w:r w:rsidRPr="007C12DB">
        <w:rPr>
          <w:rStyle w:val="libFootnotenumChar"/>
          <w:rtl/>
        </w:rPr>
        <w:t>(9)</w:t>
      </w:r>
      <w:r w:rsidRPr="005D642E">
        <w:rPr>
          <w:rtl/>
          <w:lang w:bidi="fa-IR"/>
        </w:rPr>
        <w:t xml:space="preserve"> الْعَشَرَةَ </w:t>
      </w:r>
      <w:r w:rsidRPr="007C12DB">
        <w:rPr>
          <w:rStyle w:val="libFootnotenumChar"/>
          <w:rtl/>
        </w:rPr>
        <w:t>(10)</w:t>
      </w:r>
      <w:r w:rsidRPr="005D642E">
        <w:rPr>
          <w:rtl/>
          <w:lang w:bidi="fa-IR"/>
        </w:rPr>
        <w:t xml:space="preserve"> ، فَإِذَا اتَّفَقَ شَهْرَانِ </w:t>
      </w:r>
      <w:r w:rsidRPr="007C12DB">
        <w:rPr>
          <w:rStyle w:val="libFootnotenumChar"/>
          <w:rtl/>
        </w:rPr>
        <w:t>(11)</w:t>
      </w:r>
      <w:r w:rsidRPr="005D642E">
        <w:rPr>
          <w:rtl/>
          <w:lang w:bidi="fa-IR"/>
        </w:rPr>
        <w:t xml:space="preserve"> عِدَّةَ أَيَّامٍ سَوَاءً </w:t>
      </w:r>
      <w:r w:rsidRPr="007C12DB">
        <w:rPr>
          <w:rStyle w:val="libFootnotenumChar"/>
          <w:rtl/>
        </w:rPr>
        <w:t>(12)</w:t>
      </w:r>
      <w:r w:rsidRPr="005D642E">
        <w:rPr>
          <w:rtl/>
          <w:lang w:bidi="fa-IR"/>
        </w:rPr>
        <w:t xml:space="preserve"> ، فَتِلْكَ أَيَّامُهَا »</w:t>
      </w:r>
      <w:r>
        <w:rPr>
          <w:rtl/>
          <w:lang w:bidi="fa-IR"/>
        </w:rPr>
        <w:t>.</w:t>
      </w:r>
      <w:r w:rsidRPr="005D642E">
        <w:rPr>
          <w:rtl/>
          <w:lang w:bidi="fa-IR"/>
        </w:rPr>
        <w:t xml:space="preserve"> </w:t>
      </w:r>
      <w:r w:rsidRPr="007C12DB">
        <w:rPr>
          <w:rStyle w:val="libFootnotenumChar"/>
          <w:rtl/>
        </w:rPr>
        <w:t>(13)</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بخ ، بس ، بف ، جن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هي »</w:t>
      </w:r>
      <w:r w:rsidR="00E3253D">
        <w:rPr>
          <w:rtl/>
        </w:rPr>
        <w:t>.</w:t>
      </w:r>
    </w:p>
    <w:p w:rsidR="00E3253D" w:rsidRPr="005D642E" w:rsidRDefault="0042621E" w:rsidP="00070C69">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A87D0B">
        <w:rPr>
          <w:rStyle w:val="libFootnoteAlaemChar"/>
          <w:rtl/>
        </w:rPr>
        <w:t>عليه‌السلام</w:t>
      </w:r>
      <w:r w:rsidR="00E3253D" w:rsidRPr="005D642E">
        <w:rPr>
          <w:rtl/>
        </w:rPr>
        <w:t xml:space="preserve"> ، ص 191 ، وتمام الرواية فيه : « والصفرة قبل الحيض ، وبعد أيّام الحيض ليست من الحيض »</w:t>
      </w:r>
      <w:r w:rsidR="00E3253D">
        <w:rPr>
          <w:rtl/>
        </w:rPr>
        <w:t>.</w:t>
      </w:r>
      <w:r w:rsidR="00E3253D" w:rsidRPr="005D642E">
        <w:rPr>
          <w:rtl/>
        </w:rPr>
        <w:t xml:space="preserve"> راجع : </w:t>
      </w:r>
      <w:r w:rsidR="00E3253D" w:rsidRPr="002F4D34">
        <w:rPr>
          <w:rStyle w:val="libFootnoteBoldChar"/>
          <w:rtl/>
        </w:rPr>
        <w:t>الفقيه</w:t>
      </w:r>
      <w:r w:rsidR="00E3253D" w:rsidRPr="005D642E">
        <w:rPr>
          <w:rtl/>
        </w:rPr>
        <w:t xml:space="preserve"> ، ج 1 ، ص 89 ، ذيل ح 195</w:t>
      </w:r>
      <w:r w:rsidR="00070C69">
        <w:rPr>
          <w:rFonts w:hint="cs"/>
          <w:rtl/>
        </w:rPr>
        <w:t>.</w:t>
      </w:r>
      <w:r w:rsidR="00E3253D" w:rsidRPr="002F4D34">
        <w:rPr>
          <w:rStyle w:val="libFootnoteBoldChar"/>
          <w:rtl/>
        </w:rPr>
        <w:t>الوافي</w:t>
      </w:r>
      <w:r w:rsidR="00E3253D" w:rsidRPr="005D642E">
        <w:rPr>
          <w:rtl/>
        </w:rPr>
        <w:t xml:space="preserve"> ، ج 6 ، ص 443 ، ح 4672 ؛ </w:t>
      </w:r>
      <w:r w:rsidR="00E3253D" w:rsidRPr="002F4D34">
        <w:rPr>
          <w:rStyle w:val="libFootnoteBoldChar"/>
          <w:rtl/>
        </w:rPr>
        <w:t>الوسائل</w:t>
      </w:r>
      <w:r w:rsidR="00E3253D" w:rsidRPr="005D642E">
        <w:rPr>
          <w:rtl/>
        </w:rPr>
        <w:t xml:space="preserve"> ، ج 2 ، ص 280 ، ح 2141.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 + « في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ى ، بح ، بخ ، جس ، جن » </w:t>
      </w:r>
      <w:r w:rsidR="000D749A" w:rsidRPr="000D749A">
        <w:rPr>
          <w:rStyle w:val="libFootnoteBoldChar"/>
          <w:rtl/>
        </w:rPr>
        <w:t>والوافي</w:t>
      </w:r>
      <w:r w:rsidR="00E3253D" w:rsidRPr="005D642E">
        <w:rPr>
          <w:rtl/>
        </w:rPr>
        <w:t xml:space="preserve"> والوسائل ، ح 2202 </w:t>
      </w:r>
      <w:r w:rsidR="00B60612" w:rsidRPr="00B60612">
        <w:rPr>
          <w:rStyle w:val="libFootnoteBoldChar"/>
          <w:rtl/>
        </w:rPr>
        <w:t>والتهذيب</w:t>
      </w:r>
      <w:r w:rsidR="00E3253D" w:rsidRPr="005D642E">
        <w:rPr>
          <w:rtl/>
        </w:rPr>
        <w:t xml:space="preserve"> : « يختلف » بدون الواو. وفي « بس ، بف » : « تختلف » بدون الواو أيضاً. وفي « جح » وحاشية « جن » : « ويختلف »</w:t>
      </w:r>
      <w:r w:rsidR="00E3253D">
        <w:rPr>
          <w:rtl/>
        </w:rPr>
        <w:t>.</w:t>
      </w:r>
    </w:p>
    <w:tbl>
      <w:tblPr>
        <w:tblStyle w:val="TableGrid"/>
        <w:bidiVisual/>
        <w:tblW w:w="0" w:type="auto"/>
        <w:tblLook w:val="04A0" w:firstRow="1" w:lastRow="0" w:firstColumn="1" w:lastColumn="0" w:noHBand="0" w:noVBand="1"/>
      </w:tblPr>
      <w:tblGrid>
        <w:gridCol w:w="4006"/>
        <w:gridCol w:w="4006"/>
      </w:tblGrid>
      <w:tr w:rsidR="00070C69" w:rsidTr="00070C69">
        <w:tc>
          <w:tcPr>
            <w:tcW w:w="4006" w:type="dxa"/>
          </w:tcPr>
          <w:p w:rsidR="00070C69" w:rsidRDefault="00070C69" w:rsidP="00070C69">
            <w:pPr>
              <w:pStyle w:val="libFootnote0"/>
              <w:rPr>
                <w:rStyle w:val="libFootnote0Char"/>
                <w:rtl/>
              </w:rPr>
            </w:pPr>
            <w:r w:rsidRPr="0042621E">
              <w:rPr>
                <w:rStyle w:val="libFootnote0Char"/>
                <w:rtl/>
              </w:rPr>
              <w:t>(5).</w:t>
            </w:r>
            <w:r>
              <w:rPr>
                <w:rtl/>
              </w:rPr>
              <w:t xml:space="preserve"> في</w:t>
            </w:r>
            <w:r w:rsidRPr="005D642E">
              <w:rPr>
                <w:rtl/>
              </w:rPr>
              <w:t>«جس»:«منها »</w:t>
            </w:r>
            <w:r>
              <w:rPr>
                <w:rtl/>
              </w:rPr>
              <w:t>.</w:t>
            </w:r>
            <w:r w:rsidRPr="005D642E">
              <w:rPr>
                <w:rtl/>
              </w:rPr>
              <w:t xml:space="preserve"> وفي « جن » : « طمثاً »</w:t>
            </w:r>
            <w:r>
              <w:rPr>
                <w:rtl/>
              </w:rPr>
              <w:t>.</w:t>
            </w:r>
          </w:p>
        </w:tc>
        <w:tc>
          <w:tcPr>
            <w:tcW w:w="4006" w:type="dxa"/>
          </w:tcPr>
          <w:p w:rsidR="00070C69" w:rsidRDefault="00070C69" w:rsidP="00E3253D">
            <w:pPr>
              <w:pStyle w:val="libFootnote0"/>
              <w:rPr>
                <w:rStyle w:val="libFootnote0Char"/>
                <w:rtl/>
              </w:rPr>
            </w:pPr>
            <w:r w:rsidRPr="0042621E">
              <w:rPr>
                <w:rStyle w:val="libFootnote0Char"/>
                <w:rtl/>
              </w:rPr>
              <w:t>(6).</w:t>
            </w:r>
            <w:r w:rsidRPr="005D642E">
              <w:rPr>
                <w:rtl/>
              </w:rPr>
              <w:t xml:space="preserve"> في « جس » : « عشرة »</w:t>
            </w:r>
            <w:r>
              <w:rPr>
                <w:rtl/>
              </w:rPr>
              <w:t>.</w:t>
            </w:r>
          </w:p>
        </w:tc>
      </w:tr>
    </w:tbl>
    <w:p w:rsidR="00E3253D" w:rsidRPr="005D642E" w:rsidRDefault="0042621E" w:rsidP="00704012">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210 : « قوله </w:t>
      </w:r>
      <w:r w:rsidR="00E3253D" w:rsidRPr="00704012">
        <w:rPr>
          <w:rStyle w:val="libFootnoteAlaemChar"/>
          <w:rtl/>
        </w:rPr>
        <w:t>عليه‌السلام</w:t>
      </w:r>
      <w:r w:rsidR="00E3253D" w:rsidRPr="005D642E">
        <w:rPr>
          <w:rtl/>
        </w:rPr>
        <w:t xml:space="preserve"> : وتدع الصلاة ، ظاهره أنّ الحيض يكون أقلّ من ثلاثة ، وهومخالف للإجماع ، فيمكن أن يكون المراد أنّها تحيض في الشهر يومين ، ثمّ تنقطع ، فتراه قبل العشرة. وقيل فيه تأويلات بعيدة »</w:t>
      </w:r>
      <w:r w:rsidR="00E3253D">
        <w:rPr>
          <w:rtl/>
        </w:rPr>
        <w:t>.</w:t>
      </w:r>
      <w:r w:rsidR="00704012">
        <w:rPr>
          <w:rFonts w:hint="cs"/>
          <w:rtl/>
        </w:rPr>
        <w:t xml:space="preserve">                                           </w:t>
      </w:r>
      <w:r w:rsidRPr="0042621E">
        <w:rPr>
          <w:rStyle w:val="libFootnote0Char"/>
          <w:rtl/>
        </w:rPr>
        <w:t>(8).</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ما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بخ ، بس ، بف » </w:t>
      </w:r>
      <w:r w:rsidR="000D749A" w:rsidRPr="000D749A">
        <w:rPr>
          <w:rStyle w:val="libFootnoteBoldChar"/>
          <w:rtl/>
        </w:rPr>
        <w:t>والوافي</w:t>
      </w:r>
      <w:r w:rsidR="00E3253D" w:rsidRPr="005D642E">
        <w:rPr>
          <w:rtl/>
        </w:rPr>
        <w:t xml:space="preserve"> والوسائل ، ح 2202 : « لم يجز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الوافي : « العشر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جميع النسخ التي قوبلت والوسائل </w:t>
      </w:r>
      <w:r w:rsidR="00B60612" w:rsidRPr="00B60612">
        <w:rPr>
          <w:rStyle w:val="libFootnoteBoldChar"/>
          <w:rtl/>
        </w:rPr>
        <w:t>والتهذيب</w:t>
      </w:r>
      <w:r w:rsidR="00E3253D" w:rsidRPr="005D642E">
        <w:rPr>
          <w:rtl/>
        </w:rPr>
        <w:t>. وفي المطبوع : « الشهران »</w:t>
      </w:r>
      <w:r w:rsidR="00E3253D">
        <w:rPr>
          <w:rtl/>
        </w:rPr>
        <w:t>.</w:t>
      </w:r>
      <w:r w:rsidR="00E3253D" w:rsidRPr="005D642E">
        <w:rPr>
          <w:rtl/>
        </w:rPr>
        <w:t xml:space="preserve"> وفي الوافي : « شهرين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704012">
        <w:rPr>
          <w:rStyle w:val="libFootnoteAlaemChar"/>
          <w:rtl/>
        </w:rPr>
        <w:t>عليه‌السلام</w:t>
      </w:r>
      <w:r w:rsidR="00E3253D" w:rsidRPr="005D642E">
        <w:rPr>
          <w:rtl/>
        </w:rPr>
        <w:t xml:space="preserve"> : عدّة أيّام سواء ، يفهم منه أنّه لاعبرة باستواء الاثنين ، كما وقع في كلام السائل ، فتأمّل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التهذيب</w:t>
      </w:r>
      <w:r w:rsidR="00E3253D" w:rsidRPr="005D642E">
        <w:rPr>
          <w:rtl/>
        </w:rPr>
        <w:t xml:space="preserve"> ، ج 1 ، ص 380 ، ح </w:t>
      </w:r>
      <w:r w:rsidR="00AF6D71">
        <w:rPr>
          <w:rtl/>
        </w:rPr>
        <w:t>1178 ، معلّقاً عن أحمد بن محمّد</w:t>
      </w:r>
      <w:r w:rsidR="00AF6D71">
        <w:rPr>
          <w:rFonts w:hint="cs"/>
          <w:rtl/>
        </w:rPr>
        <w:t>.</w:t>
      </w:r>
      <w:r w:rsidR="00E3253D" w:rsidRPr="002F4D34">
        <w:rPr>
          <w:rStyle w:val="libFootnoteBoldChar"/>
          <w:rtl/>
        </w:rPr>
        <w:t>الوافي</w:t>
      </w:r>
      <w:r w:rsidR="00E3253D" w:rsidRPr="005D642E">
        <w:rPr>
          <w:rtl/>
        </w:rPr>
        <w:t xml:space="preserve"> ، ج 6 ، ص 451 ، ح 4683 ؛ </w:t>
      </w:r>
      <w:r w:rsidR="00AF6D7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44BA3">
        <w:rPr>
          <w:rtl/>
        </w:rPr>
        <w:lastRenderedPageBreak/>
        <w:t>4164</w:t>
      </w:r>
      <w:r w:rsidRPr="00246318">
        <w:rPr>
          <w:rStyle w:val="libBold2Char"/>
          <w:rtl/>
        </w:rPr>
        <w:t xml:space="preserve"> / 2.</w:t>
      </w:r>
      <w:r w:rsidRPr="005D642E">
        <w:rPr>
          <w:rtl/>
          <w:lang w:bidi="fa-IR"/>
        </w:rPr>
        <w:t xml:space="preserve"> عَلِيُّ بْنُ إِبْرَاهِيمَ ، عَنْ أَبِيهِ ، عَنِ ابْنِ أَبِي عُمَيْرٍ ، عَنْ يُونُسَ بْنِ يَعْقُوبَ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الْمَرْأَةُ تَرَى الدَّمَ ثَلَاثَةَ أَيَّامٍ أَوْ أَرْبَعَةً </w:t>
      </w:r>
      <w:r w:rsidRPr="007C12DB">
        <w:rPr>
          <w:rStyle w:val="libFootnotenumChar"/>
          <w:rtl/>
        </w:rPr>
        <w:t>(1)</w:t>
      </w:r>
      <w:r>
        <w:rPr>
          <w:rtl/>
          <w:lang w:bidi="fa-IR"/>
        </w:rPr>
        <w:t>؟</w:t>
      </w:r>
    </w:p>
    <w:p w:rsidR="00E3253D" w:rsidRPr="005D642E" w:rsidRDefault="00E3253D" w:rsidP="00E3253D">
      <w:pPr>
        <w:pStyle w:val="libNormal"/>
        <w:rPr>
          <w:rtl/>
          <w:lang w:bidi="fa-IR"/>
        </w:rPr>
      </w:pPr>
      <w:r w:rsidRPr="005D642E">
        <w:rPr>
          <w:rtl/>
          <w:lang w:bidi="fa-IR"/>
        </w:rPr>
        <w:t>قَالَ : « تَدَعُ الصَّلَاةَ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قُلْتُ : فَإِنَّهَا تَرَى الطُّهْرَ ثَلَاثَةَ أَيَّامٍ أَوْ أَرْبَعَةً </w:t>
      </w:r>
      <w:r w:rsidRPr="007C12DB">
        <w:rPr>
          <w:rStyle w:val="libFootnotenumChar"/>
          <w:rtl/>
        </w:rPr>
        <w:t>(3)</w:t>
      </w:r>
      <w:r>
        <w:rPr>
          <w:rtl/>
          <w:lang w:bidi="fa-IR"/>
        </w:rPr>
        <w:t>؟</w:t>
      </w:r>
      <w:r w:rsidRPr="005D642E">
        <w:rPr>
          <w:rtl/>
          <w:lang w:bidi="fa-IR"/>
        </w:rPr>
        <w:t xml:space="preserve"> قَالَ : « تُصَلِّي »</w:t>
      </w:r>
      <w:r>
        <w:rPr>
          <w:rtl/>
          <w:lang w:bidi="fa-IR"/>
        </w:rPr>
        <w:t>.</w:t>
      </w:r>
    </w:p>
    <w:p w:rsidR="00E3253D" w:rsidRPr="005D642E" w:rsidRDefault="00E3253D" w:rsidP="00E3253D">
      <w:pPr>
        <w:pStyle w:val="libNormal"/>
        <w:rPr>
          <w:rtl/>
          <w:lang w:bidi="fa-IR"/>
        </w:rPr>
      </w:pPr>
      <w:r w:rsidRPr="005D642E">
        <w:rPr>
          <w:rtl/>
          <w:lang w:bidi="fa-IR"/>
        </w:rPr>
        <w:t xml:space="preserve">قُلْتُ : فَإِنَّهَا تَرَى الدَّمَ ثَلَاثَةَ أَيَّامٍ أَوْ أَرْبَعَةً </w:t>
      </w:r>
      <w:r w:rsidRPr="007C12DB">
        <w:rPr>
          <w:rStyle w:val="libFootnotenumChar"/>
          <w:rtl/>
        </w:rPr>
        <w:t>(4)</w:t>
      </w:r>
      <w:r>
        <w:rPr>
          <w:rtl/>
          <w:lang w:bidi="fa-IR"/>
        </w:rPr>
        <w:t>؟</w:t>
      </w:r>
      <w:r w:rsidRPr="005D642E">
        <w:rPr>
          <w:rtl/>
          <w:lang w:bidi="fa-IR"/>
        </w:rPr>
        <w:t xml:space="preserve"> قَالَ : « تَدَعُ الصَّلَاةَ »</w:t>
      </w:r>
      <w:r>
        <w:rPr>
          <w:rtl/>
          <w:lang w:bidi="fa-IR"/>
        </w:rPr>
        <w:t>.</w:t>
      </w:r>
    </w:p>
    <w:p w:rsidR="00E3253D" w:rsidRPr="005D642E" w:rsidRDefault="00E3253D" w:rsidP="00E3253D">
      <w:pPr>
        <w:pStyle w:val="libNormal"/>
        <w:rPr>
          <w:rtl/>
          <w:lang w:bidi="fa-IR"/>
        </w:rPr>
      </w:pPr>
      <w:r w:rsidRPr="005D642E">
        <w:rPr>
          <w:rtl/>
          <w:lang w:bidi="fa-IR"/>
        </w:rPr>
        <w:t xml:space="preserve">قُلْتُ : فَإِنَّهَا تَرَى الطُّهْرَ ثَلَاثَةَ أَيَّامٍ أَوْ أَرْبَعَةً </w:t>
      </w:r>
      <w:r w:rsidRPr="007C12DB">
        <w:rPr>
          <w:rStyle w:val="libFootnotenumChar"/>
          <w:rtl/>
        </w:rPr>
        <w:t>(5)</w:t>
      </w:r>
      <w:r>
        <w:rPr>
          <w:rtl/>
          <w:lang w:bidi="fa-IR"/>
        </w:rPr>
        <w:t>؟</w:t>
      </w:r>
      <w:r w:rsidRPr="005D642E">
        <w:rPr>
          <w:rtl/>
          <w:lang w:bidi="fa-IR"/>
        </w:rPr>
        <w:t xml:space="preserve"> قَالَ : « تُصَلِّي »</w:t>
      </w:r>
      <w:r>
        <w:rPr>
          <w:rtl/>
          <w:lang w:bidi="fa-IR"/>
        </w:rPr>
        <w:t>.</w:t>
      </w:r>
    </w:p>
    <w:p w:rsidR="00E3253D" w:rsidRPr="005D642E" w:rsidRDefault="00E3253D" w:rsidP="00E3253D">
      <w:pPr>
        <w:pStyle w:val="libNormal"/>
        <w:rPr>
          <w:rtl/>
          <w:lang w:bidi="fa-IR"/>
        </w:rPr>
      </w:pPr>
      <w:r w:rsidRPr="005D642E">
        <w:rPr>
          <w:rtl/>
          <w:lang w:bidi="fa-IR"/>
        </w:rPr>
        <w:t>قُلْتُ : فَإِنَّهَا تَرَى الدَّمَ ثَلَاثَةَ أَيَّامٍ أَوْ أَرْبَعَةً</w:t>
      </w:r>
      <w:r>
        <w:rPr>
          <w:rtl/>
          <w:lang w:bidi="fa-IR"/>
        </w:rPr>
        <w:t>؟</w:t>
      </w:r>
      <w:r w:rsidRPr="005D642E">
        <w:rPr>
          <w:rtl/>
          <w:lang w:bidi="fa-IR"/>
        </w:rPr>
        <w:t xml:space="preserve"> قَالَ : « تَدَعُ الصَّلَاةَ </w:t>
      </w:r>
      <w:r w:rsidRPr="007C12DB">
        <w:rPr>
          <w:rStyle w:val="libFootnotenumChar"/>
          <w:rtl/>
        </w:rPr>
        <w:t>(6)</w:t>
      </w:r>
      <w:r w:rsidRPr="005D642E">
        <w:rPr>
          <w:rtl/>
          <w:lang w:bidi="fa-IR"/>
        </w:rPr>
        <w:t xml:space="preserve"> ، تَصْنَعُ مَا بَيْنَهَا وَبَيْنَ شَهْرٍ ، فَإِذَا </w:t>
      </w:r>
      <w:r w:rsidRPr="007C12DB">
        <w:rPr>
          <w:rStyle w:val="libFootnotenumChar"/>
          <w:rtl/>
        </w:rPr>
        <w:t>(7)</w:t>
      </w:r>
      <w:r w:rsidRPr="005D642E">
        <w:rPr>
          <w:rtl/>
          <w:lang w:bidi="fa-IR"/>
        </w:rPr>
        <w:t xml:space="preserve"> انْق</w:t>
      </w:r>
      <w:r w:rsidR="00AF6D71">
        <w:rPr>
          <w:rtl/>
          <w:lang w:bidi="fa-IR"/>
        </w:rPr>
        <w:t>َطَعَ الدَّمُ عَنْهَا ، وَإِل</w:t>
      </w:r>
      <w:r w:rsidR="00AF6D71">
        <w:rPr>
          <w:rFonts w:hint="cs"/>
          <w:rtl/>
          <w:lang w:bidi="fa-IR"/>
        </w:rPr>
        <w:t>َّ</w:t>
      </w:r>
      <w:r w:rsidR="00AF6D71">
        <w:rPr>
          <w:rtl/>
          <w:lang w:bidi="fa-IR"/>
        </w:rPr>
        <w:t>ا</w:t>
      </w:r>
      <w:r w:rsidRPr="005D642E">
        <w:rPr>
          <w:rtl/>
          <w:lang w:bidi="fa-IR"/>
        </w:rPr>
        <w:t xml:space="preserve"> فَهِيَ بِمَنْزِلَةِ الْمُسْتَحَاضَةِ »</w:t>
      </w:r>
      <w:r>
        <w:rPr>
          <w:rtl/>
          <w:lang w:bidi="fa-IR"/>
        </w:rPr>
        <w:t>.</w:t>
      </w:r>
      <w:r w:rsidRPr="005D642E">
        <w:rPr>
          <w:rtl/>
          <w:lang w:bidi="fa-IR"/>
        </w:rPr>
        <w:t xml:space="preserve"> </w:t>
      </w:r>
      <w:r w:rsidRPr="007C12DB">
        <w:rPr>
          <w:rStyle w:val="libFootnotenumChar"/>
          <w:rtl/>
        </w:rPr>
        <w:t>(8)</w:t>
      </w:r>
    </w:p>
    <w:p w:rsidR="00E3253D" w:rsidRPr="005D642E" w:rsidRDefault="00E3253D" w:rsidP="00E3253D">
      <w:pPr>
        <w:pStyle w:val="libNormal"/>
        <w:rPr>
          <w:rtl/>
          <w:lang w:bidi="fa-IR"/>
        </w:rPr>
      </w:pPr>
      <w:r w:rsidRPr="00544BA3">
        <w:rPr>
          <w:rtl/>
        </w:rPr>
        <w:t>4165</w:t>
      </w:r>
      <w:r w:rsidRPr="00246318">
        <w:rPr>
          <w:rStyle w:val="libBold2Char"/>
          <w:rtl/>
        </w:rPr>
        <w:t xml:space="preserve"> / 3.</w:t>
      </w:r>
      <w:r w:rsidRPr="005D642E">
        <w:rPr>
          <w:rtl/>
          <w:lang w:bidi="fa-IR"/>
        </w:rPr>
        <w:t xml:space="preserve"> مُحَمَّدُ بْنُ يَحْيى ، عَنْ أَحْمَدَ بْنِ مُحَمَّدٍ رَفَعَهُ ، عَنْ زُرْعَةَ ، عَنْ سَمَاعَةَ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AF6D71" w:rsidP="00E3253D">
      <w:pPr>
        <w:pStyle w:val="libFootnote0"/>
        <w:rPr>
          <w:rtl/>
          <w:lang w:bidi="fa-IR"/>
        </w:rPr>
      </w:pPr>
      <w:r w:rsidRPr="00AF6D71">
        <w:rPr>
          <w:rFonts w:hint="cs"/>
          <w:rtl/>
        </w:rPr>
        <w:t xml:space="preserve">= </w:t>
      </w:r>
      <w:r w:rsidR="00E3253D" w:rsidRPr="002F4D34">
        <w:rPr>
          <w:rStyle w:val="libFootnoteBoldChar"/>
          <w:rtl/>
        </w:rPr>
        <w:t>الوسائل</w:t>
      </w:r>
      <w:r w:rsidR="00E3253D" w:rsidRPr="005D642E">
        <w:rPr>
          <w:rtl/>
        </w:rPr>
        <w:t xml:space="preserve"> ، ج 2 ، ص 286 ، ح 2155 ؛ وص 304 ، ح 2202.</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جس » وحاشية « بث » </w:t>
      </w:r>
      <w:r w:rsidR="00E3253D" w:rsidRPr="00E678B5">
        <w:rPr>
          <w:rStyle w:val="libFootnoteBoldChar"/>
          <w:rtl/>
        </w:rPr>
        <w:t>والاستبصار</w:t>
      </w:r>
      <w:r w:rsidR="00E3253D" w:rsidRPr="005D642E">
        <w:rPr>
          <w:rtl/>
        </w:rPr>
        <w:t xml:space="preserve"> : + « أيّام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210 : « الحديث الثاني</w:t>
      </w:r>
      <w:r w:rsidR="00E3253D">
        <w:rPr>
          <w:rtl/>
        </w:rPr>
        <w:t xml:space="preserve"> ..</w:t>
      </w:r>
      <w:r w:rsidR="00E3253D" w:rsidRPr="005D642E">
        <w:rPr>
          <w:rtl/>
        </w:rPr>
        <w:t>. هو مخالف لما أجمعوا عليه من كون أقلّ الطهر عشرة ، ويمكن أن يكون المراد أنّها ترى الدم بصفة الاستحاضة ثلاثة أو أربعة في ضمن العشرة التي هي أيّام الطهر ، لا متّصلاً بما رأته في الثلاثة أو الأربعة بصفة الحيض ، وإن كان بعيداً جدّاً ، والظاهر أنّ هذا حكم المبتدأة في الشهر الأوّل ، كما ذهب إليه بعض الأصحاب والعمومات مخصّصة به »</w:t>
      </w:r>
      <w:r w:rsidR="00E3253D">
        <w:rPr>
          <w:rtl/>
        </w:rPr>
        <w:t>.</w:t>
      </w:r>
    </w:p>
    <w:tbl>
      <w:tblPr>
        <w:tblStyle w:val="TableGrid"/>
        <w:bidiVisual/>
        <w:tblW w:w="0" w:type="auto"/>
        <w:tblLook w:val="04A0" w:firstRow="1" w:lastRow="0" w:firstColumn="1" w:lastColumn="0" w:noHBand="0" w:noVBand="1"/>
      </w:tblPr>
      <w:tblGrid>
        <w:gridCol w:w="4006"/>
        <w:gridCol w:w="4006"/>
      </w:tblGrid>
      <w:tr w:rsidR="00AF6D71" w:rsidTr="00AF6D71">
        <w:tc>
          <w:tcPr>
            <w:tcW w:w="4006" w:type="dxa"/>
          </w:tcPr>
          <w:p w:rsidR="00AF6D71" w:rsidRDefault="00AF6D71" w:rsidP="00E3253D">
            <w:pPr>
              <w:pStyle w:val="libFootnote0"/>
              <w:rPr>
                <w:rStyle w:val="libFootnote0Char"/>
                <w:rtl/>
              </w:rPr>
            </w:pPr>
            <w:r w:rsidRPr="0042621E">
              <w:rPr>
                <w:rStyle w:val="libFootnote0Char"/>
                <w:rtl/>
              </w:rPr>
              <w:t>(3).</w:t>
            </w:r>
            <w:r w:rsidRPr="005D642E">
              <w:rPr>
                <w:rtl/>
              </w:rPr>
              <w:t xml:space="preserve"> في « جس » </w:t>
            </w:r>
            <w:r w:rsidRPr="00E678B5">
              <w:rPr>
                <w:rStyle w:val="libFootnoteBoldChar"/>
                <w:rtl/>
              </w:rPr>
              <w:t>والاستبصار</w:t>
            </w:r>
            <w:r w:rsidRPr="005D642E">
              <w:rPr>
                <w:rtl/>
              </w:rPr>
              <w:t xml:space="preserve"> : + « أيّام »</w:t>
            </w:r>
            <w:r>
              <w:rPr>
                <w:rtl/>
              </w:rPr>
              <w:t>.</w:t>
            </w:r>
          </w:p>
        </w:tc>
        <w:tc>
          <w:tcPr>
            <w:tcW w:w="4006" w:type="dxa"/>
          </w:tcPr>
          <w:p w:rsidR="00AF6D71" w:rsidRDefault="00AF6D71" w:rsidP="00AF6D71">
            <w:pPr>
              <w:pStyle w:val="libFootnote0"/>
              <w:rPr>
                <w:rStyle w:val="libFootnote0Char"/>
                <w:rtl/>
              </w:rPr>
            </w:pPr>
            <w:r w:rsidRPr="0042621E">
              <w:rPr>
                <w:rStyle w:val="libFootnote0Char"/>
                <w:rtl/>
              </w:rPr>
              <w:t>(4).</w:t>
            </w:r>
            <w:r>
              <w:rPr>
                <w:rtl/>
              </w:rPr>
              <w:t xml:space="preserve"> في</w:t>
            </w:r>
            <w:r w:rsidRPr="005D642E">
              <w:rPr>
                <w:rtl/>
              </w:rPr>
              <w:t>«جس»</w:t>
            </w:r>
            <w:r w:rsidRPr="00B60612">
              <w:rPr>
                <w:rStyle w:val="libFootnoteBoldChar"/>
                <w:rtl/>
              </w:rPr>
              <w:t>والتهذيب</w:t>
            </w:r>
            <w:r w:rsidRPr="005D642E">
              <w:rPr>
                <w:rtl/>
              </w:rPr>
              <w:t xml:space="preserve"> ، ح 1179 : + « أيّام »</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ح 1179 </w:t>
      </w:r>
      <w:r w:rsidR="00E3253D" w:rsidRPr="00E678B5">
        <w:rPr>
          <w:rStyle w:val="libFootnoteBoldChar"/>
          <w:rtl/>
        </w:rPr>
        <w:t>والاستبصار</w:t>
      </w:r>
      <w:r w:rsidR="00E3253D" w:rsidRPr="005D642E">
        <w:rPr>
          <w:rtl/>
        </w:rPr>
        <w:t xml:space="preserve"> : + « أيّام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بث ، بح ، جس » :</w:t>
      </w:r>
      <w:r w:rsidR="00E3253D">
        <w:rPr>
          <w:rtl/>
        </w:rPr>
        <w:t xml:space="preserve"> </w:t>
      </w:r>
      <w:r w:rsidR="007642BC">
        <w:rPr>
          <w:rtl/>
        </w:rPr>
        <w:t>-</w:t>
      </w:r>
      <w:r w:rsidR="00E3253D">
        <w:rPr>
          <w:rtl/>
        </w:rPr>
        <w:t xml:space="preserve"> </w:t>
      </w:r>
      <w:r w:rsidR="00E3253D" w:rsidRPr="005D642E">
        <w:rPr>
          <w:rtl/>
        </w:rPr>
        <w:t>« قلت : فإنّها ترى الطهر</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تدع الصلاة »</w:t>
      </w:r>
      <w:r w:rsidR="00E3253D">
        <w:rPr>
          <w:rtl/>
        </w:rPr>
        <w:t>.</w:t>
      </w:r>
      <w:r w:rsidR="00E3253D" w:rsidRPr="005D642E">
        <w:rPr>
          <w:rtl/>
        </w:rPr>
        <w:t xml:space="preserve"> وفي « ى » :</w:t>
      </w:r>
      <w:r w:rsidR="00E3253D">
        <w:rPr>
          <w:rtl/>
        </w:rPr>
        <w:t xml:space="preserve"> </w:t>
      </w:r>
      <w:r w:rsidR="007642BC">
        <w:rPr>
          <w:rtl/>
        </w:rPr>
        <w:t>-</w:t>
      </w:r>
      <w:r w:rsidR="00E3253D">
        <w:rPr>
          <w:rtl/>
        </w:rPr>
        <w:t xml:space="preserve"> </w:t>
      </w:r>
      <w:r w:rsidR="00E3253D" w:rsidRPr="005D642E">
        <w:rPr>
          <w:rtl/>
        </w:rPr>
        <w:t>« قلت : فإنّها ترى الدم</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تدع الصلاة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بخ ، بف ، جح ، جس » وحاشية « جن » </w:t>
      </w:r>
      <w:r w:rsidR="000D749A" w:rsidRPr="000D749A">
        <w:rPr>
          <w:rStyle w:val="libFootnoteBoldChar"/>
          <w:rtl/>
        </w:rPr>
        <w:t>والوافي</w:t>
      </w:r>
      <w:r w:rsidR="00E3253D" w:rsidRPr="005D642E">
        <w:rPr>
          <w:rtl/>
        </w:rPr>
        <w:t xml:space="preserve"> والوسائل ، ح 2153 </w:t>
      </w:r>
      <w:r w:rsidR="00B60612" w:rsidRPr="00B60612">
        <w:rPr>
          <w:rStyle w:val="libFootnoteBoldChar"/>
          <w:rtl/>
        </w:rPr>
        <w:t>والتهذيب</w:t>
      </w:r>
      <w:r w:rsidR="00E3253D" w:rsidRPr="005D642E">
        <w:rPr>
          <w:rtl/>
        </w:rPr>
        <w:t xml:space="preserve"> ، ح 1179 </w:t>
      </w:r>
      <w:r w:rsidR="00E3253D" w:rsidRPr="00E678B5">
        <w:rPr>
          <w:rStyle w:val="libFootnoteBoldChar"/>
          <w:rtl/>
        </w:rPr>
        <w:t>والاستبصار</w:t>
      </w:r>
      <w:r w:rsidR="00E3253D" w:rsidRPr="005D642E">
        <w:rPr>
          <w:rtl/>
        </w:rPr>
        <w:t xml:space="preserve"> : « فإن »</w:t>
      </w:r>
      <w:r w:rsidR="00E3253D">
        <w:rPr>
          <w:rtl/>
        </w:rPr>
        <w:t>.</w:t>
      </w:r>
    </w:p>
    <w:p w:rsidR="00E3253D" w:rsidRPr="005D642E" w:rsidRDefault="0042621E" w:rsidP="00AF6D71">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380 ، ح 1179 ؛ </w:t>
      </w:r>
      <w:r w:rsidR="00E3253D" w:rsidRPr="00E678B5">
        <w:rPr>
          <w:rStyle w:val="libFootnoteBoldChar"/>
          <w:rtl/>
        </w:rPr>
        <w:t>والاستبصار</w:t>
      </w:r>
      <w:r w:rsidR="00E3253D" w:rsidRPr="005D642E">
        <w:rPr>
          <w:rtl/>
        </w:rPr>
        <w:t xml:space="preserve"> ، ج 1 ، ص 131 ، ح 453 ، معلّقاً عن الحسين بن سعيد ، عن ابن أبي عمير. وراجع : </w:t>
      </w:r>
      <w:r w:rsidR="00E3253D" w:rsidRPr="002F4D34">
        <w:rPr>
          <w:rStyle w:val="libFootnoteBoldChar"/>
          <w:rtl/>
        </w:rPr>
        <w:t>التهذيب</w:t>
      </w:r>
      <w:r w:rsidR="00E3253D" w:rsidRPr="005D642E">
        <w:rPr>
          <w:rtl/>
        </w:rPr>
        <w:t xml:space="preserve"> ، ج 1 ، ص 380 ، ح 1180</w:t>
      </w:r>
      <w:r w:rsidR="00AF6D71">
        <w:rPr>
          <w:rFonts w:hint="cs"/>
          <w:rtl/>
        </w:rPr>
        <w:t>.</w:t>
      </w:r>
      <w:r w:rsidR="00E3253D" w:rsidRPr="002F4D34">
        <w:rPr>
          <w:rStyle w:val="libFootnoteBoldChar"/>
          <w:rtl/>
        </w:rPr>
        <w:t>الوافي</w:t>
      </w:r>
      <w:r w:rsidR="00E3253D" w:rsidRPr="005D642E">
        <w:rPr>
          <w:rtl/>
        </w:rPr>
        <w:t xml:space="preserve"> ، ج 6 ، ص 451 ، ح 4684 ؛ </w:t>
      </w:r>
      <w:r w:rsidR="00E3253D" w:rsidRPr="002F4D34">
        <w:rPr>
          <w:rStyle w:val="libFootnoteBoldChar"/>
          <w:rtl/>
        </w:rPr>
        <w:t>الوسائل</w:t>
      </w:r>
      <w:r w:rsidR="00E3253D" w:rsidRPr="005D642E">
        <w:rPr>
          <w:rtl/>
        </w:rPr>
        <w:t xml:space="preserve"> ، ج 2 ، ص 285 ، ح 2153 ؛ وص 305 ، ح 2203 ، تمام الرواية هكذا : « المرأة ترى الدم ثلاثة أيّام أو أربعة قال : تدع الصلاة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سَأَلْتُهُ عَنْ جَارِيَةٍ حَاضَتْ أَوَّلَ حَيْضِهَا ، فَدَامَ دَمُهَا ثَلَاثَةَ أَشْهُرٍ وَهِيَ لَاتَعْرِفُ أَيَّامَ أَقْرَائِهَا</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(1)</w:t>
      </w:r>
      <w:r w:rsidRPr="005D642E">
        <w:rPr>
          <w:rtl/>
          <w:lang w:bidi="fa-IR"/>
        </w:rPr>
        <w:t xml:space="preserve"> : « أَقْرَاؤُهَا </w:t>
      </w:r>
      <w:r w:rsidRPr="007C12DB">
        <w:rPr>
          <w:rStyle w:val="libFootnotenumChar"/>
          <w:rtl/>
        </w:rPr>
        <w:t>(2)</w:t>
      </w:r>
      <w:r w:rsidRPr="005D642E">
        <w:rPr>
          <w:rtl/>
          <w:lang w:bidi="fa-IR"/>
        </w:rPr>
        <w:t xml:space="preserve"> مِثْلُ أَقْرَاءِ نِسَائِهَا </w:t>
      </w:r>
      <w:r w:rsidRPr="007C12DB">
        <w:rPr>
          <w:rStyle w:val="libFootnotenumChar"/>
          <w:rtl/>
        </w:rPr>
        <w:t>(3)</w:t>
      </w:r>
      <w:r w:rsidRPr="005D642E">
        <w:rPr>
          <w:rtl/>
          <w:lang w:bidi="fa-IR"/>
        </w:rPr>
        <w:t xml:space="preserve"> ، فَإِنْ كَانَتْ </w:t>
      </w:r>
      <w:r w:rsidRPr="007C12DB">
        <w:rPr>
          <w:rStyle w:val="libFootnotenumChar"/>
          <w:rtl/>
        </w:rPr>
        <w:t>(4)</w:t>
      </w:r>
      <w:r w:rsidRPr="005D642E">
        <w:rPr>
          <w:rtl/>
          <w:lang w:bidi="fa-IR"/>
        </w:rPr>
        <w:t xml:space="preserve"> نِسَاؤُهَا مُخْتَلِفَاتٍ ، فَأَكْثَرُ جُلُوسِهَا عَشَرَةُ أَيَّامٍ ، وَأَقَلُّهُ ثَلَاثَةُ أَيَّامٍ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Heading2Center"/>
        <w:rPr>
          <w:rtl/>
          <w:lang w:bidi="fa-IR"/>
        </w:rPr>
      </w:pPr>
      <w:bookmarkStart w:id="189" w:name="_Toc344647273"/>
      <w:bookmarkStart w:id="190" w:name="_Toc462226788"/>
      <w:bookmarkStart w:id="191" w:name="_Toc40975896"/>
      <w:r w:rsidRPr="005D642E">
        <w:rPr>
          <w:rtl/>
          <w:lang w:bidi="fa-IR"/>
        </w:rPr>
        <w:t>6</w:t>
      </w:r>
      <w:r>
        <w:rPr>
          <w:rtl/>
          <w:lang w:bidi="fa-IR"/>
        </w:rPr>
        <w:t xml:space="preserve"> </w:t>
      </w:r>
      <w:r w:rsidR="007642BC">
        <w:rPr>
          <w:rtl/>
          <w:lang w:bidi="fa-IR"/>
        </w:rPr>
        <w:t>-</w:t>
      </w:r>
      <w:r>
        <w:rPr>
          <w:rtl/>
          <w:lang w:bidi="fa-IR"/>
        </w:rPr>
        <w:t xml:space="preserve"> </w:t>
      </w:r>
      <w:r w:rsidRPr="005D642E">
        <w:rPr>
          <w:rtl/>
          <w:lang w:bidi="fa-IR"/>
        </w:rPr>
        <w:t>بَابُ اسْتِبْرَاءِ الْحَائِضِ‌</w:t>
      </w:r>
      <w:bookmarkEnd w:id="189"/>
      <w:bookmarkEnd w:id="190"/>
      <w:bookmarkEnd w:id="191"/>
    </w:p>
    <w:p w:rsidR="00E3253D" w:rsidRPr="005D642E" w:rsidRDefault="00E3253D" w:rsidP="00E3253D">
      <w:pPr>
        <w:pStyle w:val="libNormal"/>
        <w:rPr>
          <w:rtl/>
          <w:lang w:bidi="fa-IR"/>
        </w:rPr>
      </w:pPr>
      <w:r w:rsidRPr="00544BA3">
        <w:rPr>
          <w:rtl/>
        </w:rPr>
        <w:t>4166</w:t>
      </w:r>
      <w:r w:rsidRPr="00246318">
        <w:rPr>
          <w:rStyle w:val="libBold2Char"/>
          <w:rtl/>
        </w:rPr>
        <w:t xml:space="preserve"> / 1.</w:t>
      </w:r>
      <w:r w:rsidRPr="005D642E">
        <w:rPr>
          <w:rtl/>
          <w:lang w:bidi="fa-IR"/>
        </w:rPr>
        <w:t xml:space="preserve"> عَلِيُّ بْنُ إِبْرَاهِيمَ ، عَنْ أَبِيهِ ، عَنْ إِسْمَاعِيلَ بْنِ مَرَّارٍ وَغَيْرِهِ ، عَنْ يُونُسَ ، عَمَّنْ حَدَّثَهُ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عَنِ امْرَأَةٍ انْقَطَعَ عَن</w:t>
      </w:r>
      <w:r>
        <w:rPr>
          <w:rtl/>
          <w:lang w:bidi="fa-IR"/>
        </w:rPr>
        <w:t>ْهَا الدَّمُ ، فَلَا تَدْرِي أَ</w:t>
      </w:r>
      <w:r w:rsidRPr="005D642E">
        <w:rPr>
          <w:rtl/>
          <w:lang w:bidi="fa-IR"/>
        </w:rPr>
        <w:t xml:space="preserve">طَهُرَتْ </w:t>
      </w:r>
      <w:r w:rsidRPr="007C12DB">
        <w:rPr>
          <w:rStyle w:val="libFootnotenumChar"/>
          <w:rtl/>
        </w:rPr>
        <w:t>(6)</w:t>
      </w:r>
      <w:r w:rsidRPr="005D642E">
        <w:rPr>
          <w:rtl/>
          <w:lang w:bidi="fa-IR"/>
        </w:rPr>
        <w:t xml:space="preserve"> أَمْ </w:t>
      </w:r>
      <w:r w:rsidRPr="007C12DB">
        <w:rPr>
          <w:rStyle w:val="libFootnotenumChar"/>
          <w:rtl/>
        </w:rPr>
        <w:t>(7)</w:t>
      </w:r>
      <w:r w:rsidRPr="005D642E">
        <w:rPr>
          <w:rtl/>
          <w:lang w:bidi="fa-IR"/>
        </w:rPr>
        <w:t xml:space="preserve"> لَا</w:t>
      </w:r>
      <w:r>
        <w:rPr>
          <w:rtl/>
          <w:lang w:bidi="fa-IR"/>
        </w:rPr>
        <w:t>؟</w:t>
      </w:r>
    </w:p>
    <w:p w:rsidR="00E3253D" w:rsidRPr="005D642E" w:rsidRDefault="00E3253D" w:rsidP="00E3253D">
      <w:pPr>
        <w:pStyle w:val="libNormal"/>
        <w:rPr>
          <w:rtl/>
          <w:lang w:bidi="fa-IR"/>
        </w:rPr>
      </w:pPr>
      <w:r w:rsidRPr="005D642E">
        <w:rPr>
          <w:rtl/>
          <w:lang w:bidi="fa-IR"/>
        </w:rPr>
        <w:t xml:space="preserve">قَالَ : « تَقُومُ قَائِماً ، وَتُلْزِقُ </w:t>
      </w:r>
      <w:r w:rsidRPr="007C12DB">
        <w:rPr>
          <w:rStyle w:val="libFootnotenumChar"/>
          <w:rtl/>
        </w:rPr>
        <w:t>(8)</w:t>
      </w:r>
      <w:r w:rsidRPr="005D642E">
        <w:rPr>
          <w:rtl/>
          <w:lang w:bidi="fa-IR"/>
        </w:rPr>
        <w:t xml:space="preserve"> بَطْنَهَا بِحَائِطٍ ، وَتَسْتَدْخِلُ قُطْنَةً بَيْضَاءَ ، وَتَرْفَعُ </w:t>
      </w:r>
      <w:r w:rsidRPr="007C12DB">
        <w:rPr>
          <w:rStyle w:val="libFootnotenumChar"/>
          <w:rtl/>
        </w:rPr>
        <w:t>(9)</w:t>
      </w:r>
      <w:r w:rsidRPr="005D642E">
        <w:rPr>
          <w:rtl/>
          <w:lang w:bidi="fa-IR"/>
        </w:rPr>
        <w:t xml:space="preserve"> رِجْلَهَا الْيُمْنى ، فَإِنْ خَرَجَ عَلى رَأْسِ الْقُطْنَةِ مِثْلَ رَأْسِ </w:t>
      </w:r>
      <w:r w:rsidRPr="007C12DB">
        <w:rPr>
          <w:rStyle w:val="libFootnotenumChar"/>
          <w:rtl/>
        </w:rPr>
        <w:t>(10)</w:t>
      </w:r>
      <w:r w:rsidRPr="005D642E">
        <w:rPr>
          <w:rtl/>
          <w:lang w:bidi="fa-IR"/>
        </w:rPr>
        <w:t xml:space="preserve"> الذُّبَابِ دَمٌ عَبِيطٌ </w:t>
      </w:r>
      <w:r w:rsidRPr="007C12DB">
        <w:rPr>
          <w:rStyle w:val="libFootnotenumChar"/>
          <w:rtl/>
        </w:rPr>
        <w:t>(11)</w:t>
      </w:r>
      <w:r w:rsidRPr="005D642E">
        <w:rPr>
          <w:rtl/>
          <w:lang w:bidi="fa-IR"/>
        </w:rPr>
        <w:t xml:space="preserve"> ، لَمْ تَطْهُرْ ؛ وَإِنْ لَمْ‌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بث ، بس ، بف ، جس » وحاشية « ظ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قال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أقراؤها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مرآة العقول : « المراد بالنساء إمّا أقران البلد أو الأقارب ، ولم يظهر منه الترتيب والتفصيل اللذين ذكرهما الأصحاب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 « وإن كانت »</w:t>
      </w:r>
      <w:r w:rsidR="00E3253D">
        <w:rPr>
          <w:rtl/>
        </w:rPr>
        <w:t>.</w:t>
      </w:r>
      <w:r w:rsidR="00E3253D" w:rsidRPr="005D642E">
        <w:rPr>
          <w:rtl/>
        </w:rPr>
        <w:t xml:space="preserve"> وفي التهذيب : « فإن كان »</w:t>
      </w:r>
      <w:r w:rsidR="00E3253D">
        <w:rPr>
          <w:rtl/>
        </w:rPr>
        <w:t>.</w:t>
      </w:r>
      <w:r w:rsidR="00E3253D" w:rsidRPr="005D642E">
        <w:rPr>
          <w:rtl/>
        </w:rPr>
        <w:t xml:space="preserve"> وفي الاستبصار : « فإن كنّ »</w:t>
      </w:r>
      <w:r w:rsidR="00E3253D">
        <w:rPr>
          <w:rtl/>
        </w:rPr>
        <w:t>.</w:t>
      </w:r>
    </w:p>
    <w:p w:rsidR="00E3253D" w:rsidRPr="005D642E" w:rsidRDefault="0042621E" w:rsidP="00534C31">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380 ، ح 1181 ، معلّقاً عن أحمد بن محمّد. </w:t>
      </w:r>
      <w:r w:rsidR="00E3253D" w:rsidRPr="002F4D34">
        <w:rPr>
          <w:rStyle w:val="libFootnoteBoldChar"/>
          <w:rtl/>
        </w:rPr>
        <w:t>الاستبصار</w:t>
      </w:r>
      <w:r w:rsidR="00E3253D" w:rsidRPr="005D642E">
        <w:rPr>
          <w:rtl/>
        </w:rPr>
        <w:t xml:space="preserve"> ، ج 1 ، ص 138 ، ح 471 ، معلّقاً عن زرعة. </w:t>
      </w:r>
      <w:r w:rsidR="00E3253D" w:rsidRPr="002F4D34">
        <w:rPr>
          <w:rStyle w:val="libFootnoteBoldChar"/>
          <w:rtl/>
        </w:rPr>
        <w:t>الفقيه</w:t>
      </w:r>
      <w:r w:rsidR="00E3253D" w:rsidRPr="005D642E">
        <w:rPr>
          <w:rtl/>
        </w:rPr>
        <w:t>،ج1،ص92،ذيل</w:t>
      </w:r>
      <w:r w:rsidR="00534C31">
        <w:rPr>
          <w:rFonts w:hint="cs"/>
          <w:rtl/>
        </w:rPr>
        <w:t xml:space="preserve"> </w:t>
      </w:r>
      <w:r w:rsidR="00E3253D" w:rsidRPr="005D642E">
        <w:rPr>
          <w:rtl/>
        </w:rPr>
        <w:t>ح 198 ، مع اختلاف يسير</w:t>
      </w:r>
      <w:r w:rsidR="00E14406">
        <w:rPr>
          <w:rFonts w:hint="cs"/>
          <w:rtl/>
        </w:rPr>
        <w:t>.</w:t>
      </w:r>
      <w:r w:rsidR="00E3253D" w:rsidRPr="002F4D34">
        <w:rPr>
          <w:rStyle w:val="libFootnoteBoldChar"/>
          <w:rtl/>
        </w:rPr>
        <w:t>الوافي</w:t>
      </w:r>
      <w:r w:rsidR="00E3253D" w:rsidRPr="005D642E">
        <w:rPr>
          <w:rtl/>
        </w:rPr>
        <w:t xml:space="preserve"> ، ج 6 ، ص 451 ، ح 4682؛</w:t>
      </w:r>
      <w:r w:rsidR="00E3253D" w:rsidRPr="002F4D34">
        <w:rPr>
          <w:rStyle w:val="libFootnoteBoldChar"/>
          <w:rtl/>
        </w:rPr>
        <w:t>الوسائل</w:t>
      </w:r>
      <w:r w:rsidR="00E3253D" w:rsidRPr="005D642E">
        <w:rPr>
          <w:rtl/>
        </w:rPr>
        <w:t>،ج2،ص288،ح2158.</w:t>
      </w:r>
      <w:r w:rsidR="00534C31">
        <w:rPr>
          <w:rFonts w:hint="cs"/>
          <w:rtl/>
        </w:rPr>
        <w:t xml:space="preserve">     </w:t>
      </w:r>
      <w:r w:rsidRPr="0042621E">
        <w:rPr>
          <w:rStyle w:val="libFootnote0Char"/>
          <w:rtl/>
        </w:rPr>
        <w:t>(6).</w:t>
      </w:r>
      <w:r w:rsidR="00E3253D" w:rsidRPr="005D642E">
        <w:rPr>
          <w:rtl/>
        </w:rPr>
        <w:t xml:space="preserve"> في«بح،جس»</w:t>
      </w:r>
      <w:r w:rsidR="00534C31">
        <w:rPr>
          <w:rtl/>
        </w:rPr>
        <w:t>وحاشية</w:t>
      </w:r>
      <w:r w:rsidR="00E3253D" w:rsidRPr="005D642E">
        <w:rPr>
          <w:rtl/>
        </w:rPr>
        <w:t>«غ»:«طهرت»من دون الهمزة للاستفهام.</w:t>
      </w:r>
    </w:p>
    <w:tbl>
      <w:tblPr>
        <w:tblStyle w:val="TableGrid"/>
        <w:bidiVisual/>
        <w:tblW w:w="0" w:type="auto"/>
        <w:tblLook w:val="04A0" w:firstRow="1" w:lastRow="0" w:firstColumn="1" w:lastColumn="0" w:noHBand="0" w:noVBand="1"/>
      </w:tblPr>
      <w:tblGrid>
        <w:gridCol w:w="4006"/>
        <w:gridCol w:w="4006"/>
      </w:tblGrid>
      <w:tr w:rsidR="00534C31" w:rsidTr="00534C31">
        <w:tc>
          <w:tcPr>
            <w:tcW w:w="4006" w:type="dxa"/>
          </w:tcPr>
          <w:p w:rsidR="00534C31" w:rsidRDefault="00534C31" w:rsidP="00E3253D">
            <w:pPr>
              <w:pStyle w:val="libFootnote0"/>
              <w:rPr>
                <w:rStyle w:val="libFootnote0Char"/>
                <w:rtl/>
                <w:lang w:bidi="fa-IR"/>
              </w:rPr>
            </w:pPr>
            <w:r w:rsidRPr="0042621E">
              <w:rPr>
                <w:rStyle w:val="libFootnote0Char"/>
                <w:rtl/>
              </w:rPr>
              <w:t>(7).</w:t>
            </w:r>
            <w:r w:rsidRPr="005D642E">
              <w:rPr>
                <w:rtl/>
              </w:rPr>
              <w:t xml:space="preserve"> في « بف » : « أو »</w:t>
            </w:r>
            <w:r>
              <w:rPr>
                <w:rtl/>
              </w:rPr>
              <w:t>.</w:t>
            </w:r>
          </w:p>
        </w:tc>
        <w:tc>
          <w:tcPr>
            <w:tcW w:w="4006" w:type="dxa"/>
          </w:tcPr>
          <w:p w:rsidR="00534C31" w:rsidRDefault="00534C31" w:rsidP="00E3253D">
            <w:pPr>
              <w:pStyle w:val="libFootnote0"/>
              <w:rPr>
                <w:rStyle w:val="libFootnote0Char"/>
                <w:rtl/>
                <w:lang w:bidi="fa-IR"/>
              </w:rPr>
            </w:pPr>
            <w:r w:rsidRPr="0042621E">
              <w:rPr>
                <w:rStyle w:val="libFootnote0Char"/>
                <w:rtl/>
              </w:rPr>
              <w:t>(8).</w:t>
            </w:r>
            <w:r w:rsidRPr="005D642E">
              <w:rPr>
                <w:rtl/>
              </w:rPr>
              <w:t xml:space="preserve"> في « غ » وحاشية « بخ ، بس » : « وتلزم »</w:t>
            </w:r>
            <w:r>
              <w:rPr>
                <w:rtl/>
              </w:rPr>
              <w:t>.</w:t>
            </w:r>
          </w:p>
        </w:tc>
      </w:tr>
      <w:tr w:rsidR="00534C31" w:rsidTr="00534C31">
        <w:tc>
          <w:tcPr>
            <w:tcW w:w="4006" w:type="dxa"/>
          </w:tcPr>
          <w:p w:rsidR="00534C31" w:rsidRDefault="00534C31" w:rsidP="00E3253D">
            <w:pPr>
              <w:pStyle w:val="libFootnote0"/>
              <w:rPr>
                <w:rStyle w:val="libFootnote0Char"/>
                <w:rtl/>
                <w:lang w:bidi="fa-IR"/>
              </w:rPr>
            </w:pPr>
            <w:r w:rsidRPr="0042621E">
              <w:rPr>
                <w:rStyle w:val="libFootnote0Char"/>
                <w:rtl/>
              </w:rPr>
              <w:t>(9).</w:t>
            </w:r>
            <w:r w:rsidRPr="005D642E">
              <w:rPr>
                <w:rtl/>
              </w:rPr>
              <w:t xml:space="preserve"> في « غ » : « ترفع » بدون الواو.</w:t>
            </w:r>
          </w:p>
        </w:tc>
        <w:tc>
          <w:tcPr>
            <w:tcW w:w="4006" w:type="dxa"/>
          </w:tcPr>
          <w:p w:rsidR="00534C31" w:rsidRDefault="00534C31" w:rsidP="00E3253D">
            <w:pPr>
              <w:pStyle w:val="libFootnote0"/>
              <w:rPr>
                <w:rStyle w:val="libFootnote0Char"/>
                <w:rtl/>
                <w:lang w:bidi="fa-IR"/>
              </w:rPr>
            </w:pPr>
            <w:r w:rsidRPr="0042621E">
              <w:rPr>
                <w:rStyle w:val="libFootnote0Char"/>
                <w:rtl/>
              </w:rPr>
              <w:t>(10).</w:t>
            </w:r>
            <w:r w:rsidRPr="005D642E">
              <w:rPr>
                <w:rtl/>
              </w:rPr>
              <w:t xml:space="preserve"> في « جس » :</w:t>
            </w:r>
            <w:r>
              <w:rPr>
                <w:rtl/>
              </w:rPr>
              <w:t xml:space="preserve"> - </w:t>
            </w:r>
            <w:r w:rsidRPr="005D642E">
              <w:rPr>
                <w:rtl/>
              </w:rPr>
              <w:t>« رأس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قوله : « دم عَبِيط » ، أي صحيح خالص طريّ لا خلط فيه. راجع : </w:t>
      </w:r>
      <w:r w:rsidR="00E3253D" w:rsidRPr="002F4D34">
        <w:rPr>
          <w:rStyle w:val="libFootnoteBoldChar"/>
          <w:rtl/>
        </w:rPr>
        <w:t>الصحاح</w:t>
      </w:r>
      <w:r w:rsidR="00E3253D" w:rsidRPr="005D642E">
        <w:rPr>
          <w:rtl/>
        </w:rPr>
        <w:t xml:space="preserve"> ، ج 3 ، ص 1142 ؛ </w:t>
      </w:r>
      <w:r w:rsidR="00E3253D" w:rsidRPr="002F4D34">
        <w:rPr>
          <w:rStyle w:val="libFootnoteBoldChar"/>
          <w:rtl/>
        </w:rPr>
        <w:t>المصباح المنير</w:t>
      </w:r>
      <w:r w:rsidR="00E3253D" w:rsidRPr="005D642E">
        <w:rPr>
          <w:rtl/>
        </w:rPr>
        <w:t xml:space="preserve"> ، ص 390 ( عبط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يَخْرُجْ </w:t>
      </w:r>
      <w:r w:rsidRPr="007C12DB">
        <w:rPr>
          <w:rStyle w:val="libFootnotenumChar"/>
          <w:rtl/>
        </w:rPr>
        <w:t>(1)</w:t>
      </w:r>
      <w:r w:rsidRPr="005D642E">
        <w:rPr>
          <w:rtl/>
          <w:lang w:bidi="fa-IR"/>
        </w:rPr>
        <w:t xml:space="preserve"> ، فَقَدْ طَهُرَتْ ، تَغْتَسِلُ وَتُصَلِّي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44BA3">
        <w:rPr>
          <w:rtl/>
        </w:rPr>
        <w:t>4167</w:t>
      </w:r>
      <w:r w:rsidRPr="00246318">
        <w:rPr>
          <w:rStyle w:val="libBold2Char"/>
          <w:rtl/>
        </w:rPr>
        <w:t xml:space="preserve"> / 2.</w:t>
      </w:r>
      <w:r w:rsidRPr="005D642E">
        <w:rPr>
          <w:rtl/>
          <w:lang w:bidi="fa-IR"/>
        </w:rPr>
        <w:t xml:space="preserve"> مُحَمَّدُ بْنُ يَحْيى ، عَنْ أَحْمَدَ بْنِ مُحَمَّدٍ ، عَنِ ابْنِ مَحْبُوبٍ ، عَنْ أَبِي أَيُّوبَ </w:t>
      </w:r>
      <w:r w:rsidRPr="007C12DB">
        <w:rPr>
          <w:rStyle w:val="libFootnotenumChar"/>
          <w:rtl/>
        </w:rPr>
        <w:t>(3)</w:t>
      </w:r>
      <w:r w:rsidRPr="005D642E">
        <w:rPr>
          <w:rtl/>
          <w:lang w:bidi="fa-IR"/>
        </w:rPr>
        <w:t xml:space="preserve">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إِذَا أَرَادَتِ الْحَائِضُ أَنْ تَغْتَسِلَ ، فَلْتَسْتَدْخِلْ </w:t>
      </w:r>
      <w:r w:rsidRPr="007C12DB">
        <w:rPr>
          <w:rStyle w:val="libFootnotenumChar"/>
          <w:rtl/>
        </w:rPr>
        <w:t>(4)</w:t>
      </w:r>
      <w:r w:rsidRPr="005D642E">
        <w:rPr>
          <w:rtl/>
          <w:lang w:bidi="fa-IR"/>
        </w:rPr>
        <w:t xml:space="preserve"> قُطْنَةً ، فَإِنْ خَرَجَ فِيهَا شَيْ‌ءٌ مِنَ الدَّمِ ، فَلَا تَغْتَسِلْ ، وَإِنْ لَمْ تَرَ شَيْئاً ، فَلْتَغْتَسِلْ ، وَإِنْ رَأَتْ بَعْدَ ذلِكَ صُفْرَةً ، فَلْتَتَوَضَّأْ </w:t>
      </w:r>
      <w:r w:rsidRPr="007C12DB">
        <w:rPr>
          <w:rStyle w:val="libFootnotenumChar"/>
          <w:rtl/>
        </w:rPr>
        <w:t>(5)</w:t>
      </w:r>
      <w:r w:rsidRPr="005D642E">
        <w:rPr>
          <w:rtl/>
          <w:lang w:bidi="fa-IR"/>
        </w:rPr>
        <w:t xml:space="preserve"> وَلْتُصَلِّ »</w:t>
      </w:r>
      <w:r>
        <w:rPr>
          <w:rtl/>
          <w:lang w:bidi="fa-IR"/>
        </w:rPr>
        <w:t>.</w:t>
      </w:r>
      <w:r w:rsidRPr="005D642E">
        <w:rPr>
          <w:rtl/>
          <w:lang w:bidi="fa-IR"/>
        </w:rPr>
        <w:t xml:space="preserve"> </w:t>
      </w:r>
      <w:r w:rsidRPr="007C12DB">
        <w:rPr>
          <w:rStyle w:val="libFootnotenumChar"/>
          <w:rtl/>
        </w:rPr>
        <w:t>(6)</w:t>
      </w:r>
    </w:p>
    <w:p w:rsidR="00E3253D" w:rsidRPr="005D642E" w:rsidRDefault="00E3253D" w:rsidP="00E3253D">
      <w:pPr>
        <w:pStyle w:val="libNormal"/>
        <w:rPr>
          <w:rtl/>
          <w:lang w:bidi="fa-IR"/>
        </w:rPr>
      </w:pPr>
      <w:r w:rsidRPr="00544BA3">
        <w:rPr>
          <w:rtl/>
        </w:rPr>
        <w:t>4168</w:t>
      </w:r>
      <w:r w:rsidRPr="00246318">
        <w:rPr>
          <w:rStyle w:val="libBold2Char"/>
          <w:rtl/>
        </w:rPr>
        <w:t xml:space="preserve"> / 3.</w:t>
      </w:r>
      <w:r w:rsidRPr="005D642E">
        <w:rPr>
          <w:rtl/>
          <w:lang w:bidi="fa-IR"/>
        </w:rPr>
        <w:t xml:space="preserve"> مُحَمَّدُ بْنُ يَحْيى ، عَنْ سَلَمَةَ بْنِ الْخَطَّابِ ، عَنْ عَلِيِّ بْنِ الْحَسَنِ الطَّاطَرِيِّ ، عَنْ مُحَمَّدِ بْنِ أَبِي حَمْزَةَ ، عَنِ ابْنِ مُسْكَانَ ، عَنْ شُرَحْبِيلَ الْكِنْدِيِّ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w:t>
      </w:r>
      <w:r w:rsidRPr="007C12DB">
        <w:rPr>
          <w:rStyle w:val="libFootnotenumChar"/>
          <w:rtl/>
        </w:rPr>
        <w:t>(7)</w:t>
      </w:r>
      <w:r w:rsidRPr="005D642E">
        <w:rPr>
          <w:rtl/>
          <w:lang w:bidi="fa-IR"/>
        </w:rPr>
        <w:t xml:space="preserve"> : كَيْفَ تَعْرِفُ الطَّامِثُ </w:t>
      </w:r>
      <w:r w:rsidRPr="007C12DB">
        <w:rPr>
          <w:rStyle w:val="libFootnotenumChar"/>
          <w:rtl/>
        </w:rPr>
        <w:t>(8)</w:t>
      </w:r>
      <w:r w:rsidRPr="005D642E">
        <w:rPr>
          <w:rtl/>
          <w:lang w:bidi="fa-IR"/>
        </w:rPr>
        <w:t xml:space="preserve"> طُهْرَهَا</w:t>
      </w:r>
      <w:r>
        <w:rPr>
          <w:rtl/>
          <w:lang w:bidi="fa-IR"/>
        </w:rPr>
        <w:t>؟</w:t>
      </w:r>
    </w:p>
    <w:p w:rsidR="00E3253D" w:rsidRPr="005D642E" w:rsidRDefault="00E3253D" w:rsidP="00E3253D">
      <w:pPr>
        <w:pStyle w:val="libNormal"/>
        <w:rPr>
          <w:rtl/>
          <w:lang w:bidi="fa-IR"/>
        </w:rPr>
      </w:pPr>
      <w:r w:rsidRPr="005D642E">
        <w:rPr>
          <w:rtl/>
          <w:lang w:bidi="fa-IR"/>
        </w:rPr>
        <w:t xml:space="preserve">قَالَ : « تَعْتَمِدُ </w:t>
      </w:r>
      <w:r w:rsidRPr="007C12DB">
        <w:rPr>
          <w:rStyle w:val="libFootnotenumChar"/>
          <w:rtl/>
        </w:rPr>
        <w:t>(9)</w:t>
      </w:r>
      <w:r w:rsidRPr="005D642E">
        <w:rPr>
          <w:rtl/>
          <w:lang w:bidi="fa-IR"/>
        </w:rPr>
        <w:t xml:space="preserve"> بِرِجْلِهَا الْيُسْرى عَلَى الْحَائِطِ ، وَتَسْتَدْخِلُ الْكُرْسُفَ </w:t>
      </w:r>
      <w:r w:rsidRPr="007C12DB">
        <w:rPr>
          <w:rStyle w:val="libFootnotenumChar"/>
          <w:rtl/>
        </w:rPr>
        <w:t>(10)</w:t>
      </w:r>
      <w:r w:rsidRPr="005D642E">
        <w:rPr>
          <w:rtl/>
          <w:lang w:bidi="fa-IR"/>
        </w:rPr>
        <w:t xml:space="preserve"> بِيَدِهَا </w:t>
      </w:r>
      <w:r w:rsidRPr="007C12DB">
        <w:rPr>
          <w:rStyle w:val="libFootnotenumChar"/>
          <w:rtl/>
        </w:rPr>
        <w:t>(11)</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ظ ، بث ، بس » : « وإن لم تخرج »</w:t>
      </w:r>
      <w:r w:rsidR="00E3253D">
        <w:rPr>
          <w:rtl/>
        </w:rPr>
        <w:t>.</w:t>
      </w:r>
    </w:p>
    <w:p w:rsidR="00E3253D" w:rsidRPr="005D642E" w:rsidRDefault="0042621E" w:rsidP="003F7280">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161 ، ح 462 ، بسند آخر ، مع اختلاف يسير</w:t>
      </w:r>
      <w:r w:rsidR="003F7280">
        <w:rPr>
          <w:rFonts w:hint="cs"/>
          <w:rtl/>
        </w:rPr>
        <w:t>.</w:t>
      </w:r>
      <w:r w:rsidR="00E3253D" w:rsidRPr="002F4D34">
        <w:rPr>
          <w:rStyle w:val="libFootnoteBoldChar"/>
          <w:rtl/>
        </w:rPr>
        <w:t>الوافي</w:t>
      </w:r>
      <w:r w:rsidR="00E3253D" w:rsidRPr="005D642E">
        <w:rPr>
          <w:rtl/>
        </w:rPr>
        <w:t xml:space="preserve"> ، ج 6 ، ص 499 ، ح 4785 ؛ </w:t>
      </w:r>
      <w:r w:rsidR="00E3253D" w:rsidRPr="002F4D34">
        <w:rPr>
          <w:rStyle w:val="libFootnoteBoldChar"/>
          <w:rtl/>
        </w:rPr>
        <w:t>الوسائل</w:t>
      </w:r>
      <w:r w:rsidR="00E3253D" w:rsidRPr="005D642E">
        <w:rPr>
          <w:rtl/>
        </w:rPr>
        <w:t xml:space="preserve"> ، ج 2 ، ص 309 ، ح 2213.</w:t>
      </w:r>
    </w:p>
    <w:p w:rsidR="00E3253D" w:rsidRPr="005D642E" w:rsidRDefault="0042621E" w:rsidP="003F7280">
      <w:pPr>
        <w:pStyle w:val="libFootnote0"/>
        <w:rPr>
          <w:rtl/>
          <w:lang w:bidi="fa-IR"/>
        </w:rPr>
      </w:pPr>
      <w:r w:rsidRPr="0042621E">
        <w:rPr>
          <w:rStyle w:val="libFootnote0Char"/>
          <w:rtl/>
        </w:rPr>
        <w:t>(3).</w:t>
      </w:r>
      <w:r w:rsidR="00E3253D" w:rsidRPr="005D642E">
        <w:rPr>
          <w:rtl/>
        </w:rPr>
        <w:t xml:space="preserve"> في التهذيب : + « الخزاز » ، والصواب « الخرّاز » كما تقدّم في </w:t>
      </w:r>
      <w:r w:rsidR="00E3253D" w:rsidRPr="002F4D34">
        <w:rPr>
          <w:rStyle w:val="libFootnoteBoldChar"/>
          <w:rtl/>
        </w:rPr>
        <w:t>الكافي</w:t>
      </w:r>
      <w:r w:rsidR="00E3253D" w:rsidRPr="005D642E">
        <w:rPr>
          <w:rtl/>
        </w:rPr>
        <w:t xml:space="preserve"> ، ذيل ح 75. والمذكور في بعض نسخ‌التهذيب هو « الخرّاز »</w:t>
      </w:r>
      <w:r w:rsidR="00E3253D">
        <w:rPr>
          <w:rtl/>
        </w:rPr>
        <w:t>.</w:t>
      </w:r>
      <w:r w:rsidR="003F7280">
        <w:rPr>
          <w:rFonts w:hint="cs"/>
          <w:rtl/>
        </w:rPr>
        <w:t xml:space="preserve">                              </w:t>
      </w:r>
      <w:r w:rsidRPr="0042621E">
        <w:rPr>
          <w:rStyle w:val="libFootnote0Char"/>
          <w:rtl/>
        </w:rPr>
        <w:t>(4).</w:t>
      </w:r>
      <w:r w:rsidR="00E3253D" w:rsidRPr="005D642E">
        <w:rPr>
          <w:rtl/>
        </w:rPr>
        <w:t xml:space="preserve"> في « جن » : « فتستدخل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غ ، ى ، بث ، بح ، بخ ، بس ، بف ، جح ، جس » والوسائل : « فلتوضّ »</w:t>
      </w:r>
      <w:r w:rsidR="00E3253D">
        <w:rPr>
          <w:rtl/>
        </w:rPr>
        <w:t>.</w:t>
      </w:r>
      <w:r w:rsidR="00E3253D" w:rsidRPr="005D642E">
        <w:rPr>
          <w:rtl/>
        </w:rPr>
        <w:t xml:space="preserve"> وفي الوافي : « فلتوضّأ »</w:t>
      </w:r>
      <w:r w:rsidR="00E3253D">
        <w:rPr>
          <w:rtl/>
        </w:rPr>
        <w:t>.</w:t>
      </w:r>
    </w:p>
    <w:p w:rsidR="00E3253D" w:rsidRPr="005D642E" w:rsidRDefault="0042621E" w:rsidP="003F7280">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161 ، ح 460 ، بسنده عن الكليني. </w:t>
      </w:r>
      <w:r w:rsidR="00E3253D" w:rsidRPr="002F4D34">
        <w:rPr>
          <w:rStyle w:val="libFootnoteBoldChar"/>
          <w:rtl/>
        </w:rPr>
        <w:t>فقه الرضا</w:t>
      </w:r>
      <w:r w:rsidR="00E3253D" w:rsidRPr="005D642E">
        <w:rPr>
          <w:rtl/>
        </w:rPr>
        <w:t xml:space="preserve"> </w:t>
      </w:r>
      <w:r w:rsidR="00E3253D" w:rsidRPr="003F7280">
        <w:rPr>
          <w:rStyle w:val="libFootnoteAlaemChar"/>
          <w:rtl/>
        </w:rPr>
        <w:t>عليه‌السلام</w:t>
      </w:r>
      <w:r w:rsidR="00E3253D" w:rsidRPr="005D642E">
        <w:rPr>
          <w:rtl/>
        </w:rPr>
        <w:t xml:space="preserve"> ، ص 191 ، مع اختلاف يسير</w:t>
      </w:r>
      <w:r w:rsidR="003F7280">
        <w:rPr>
          <w:rFonts w:hint="cs"/>
          <w:rtl/>
        </w:rPr>
        <w:t>.</w:t>
      </w:r>
      <w:r w:rsidR="00E3253D" w:rsidRPr="002F4D34">
        <w:rPr>
          <w:rStyle w:val="libFootnoteBoldChar"/>
          <w:rtl/>
        </w:rPr>
        <w:t>الوافي</w:t>
      </w:r>
      <w:r w:rsidR="00E3253D" w:rsidRPr="005D642E">
        <w:rPr>
          <w:rtl/>
        </w:rPr>
        <w:t xml:space="preserve"> ، ج 6 ، ص 499 ، ح 4786 ؛ </w:t>
      </w:r>
      <w:r w:rsidR="00E3253D" w:rsidRPr="002F4D34">
        <w:rPr>
          <w:rStyle w:val="libFootnoteBoldChar"/>
          <w:rtl/>
        </w:rPr>
        <w:t xml:space="preserve">الوسائل </w:t>
      </w:r>
      <w:r w:rsidR="00E3253D" w:rsidRPr="005D642E">
        <w:rPr>
          <w:rtl/>
        </w:rPr>
        <w:t>، ج 2 ، ص 308 ، ح 2212.</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 « قال له » بدل « قلت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الطامث » : الحائض ، يقال : طمثت المرأة من باب ضرب وقتل وسمع ونصر : حاضت. وقيل : إذا حاضت أوّل ما تحيض. وخصّ بعضهم به حيض الجارية. راجع : </w:t>
      </w:r>
      <w:r w:rsidR="00E3253D" w:rsidRPr="002F4D34">
        <w:rPr>
          <w:rStyle w:val="libFootnoteBoldChar"/>
          <w:rtl/>
        </w:rPr>
        <w:t>لسان العرب</w:t>
      </w:r>
      <w:r w:rsidR="00E3253D" w:rsidRPr="005D642E">
        <w:rPr>
          <w:rtl/>
        </w:rPr>
        <w:t xml:space="preserve"> ، ج 2 ، ص 165 ؛ </w:t>
      </w:r>
      <w:r w:rsidR="00E3253D" w:rsidRPr="002F4D34">
        <w:rPr>
          <w:rStyle w:val="libFootnoteBoldChar"/>
          <w:rtl/>
        </w:rPr>
        <w:t>القاموس المحيط</w:t>
      </w:r>
      <w:r w:rsidR="00E3253D" w:rsidRPr="005D642E">
        <w:rPr>
          <w:rtl/>
        </w:rPr>
        <w:t xml:space="preserve"> ، ج 1 ، ص 273 ( طمث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بث ، بح ، جح » والوسائل : « تعمد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الكرسف » كعصفر ، والكرسوف كزُنبور : القطن ، واحدته : كُرْسُفة. راجع : </w:t>
      </w:r>
      <w:r w:rsidR="00E3253D" w:rsidRPr="002F4D34">
        <w:rPr>
          <w:rStyle w:val="libFootnoteBoldChar"/>
          <w:rtl/>
        </w:rPr>
        <w:t>الصحاح</w:t>
      </w:r>
      <w:r w:rsidR="00E3253D" w:rsidRPr="005D642E">
        <w:rPr>
          <w:rtl/>
        </w:rPr>
        <w:t xml:space="preserve"> ، ج 4 ، ص 1421 ؛ </w:t>
      </w:r>
      <w:r w:rsidR="00E3253D" w:rsidRPr="002F4D34">
        <w:rPr>
          <w:rStyle w:val="libFootnoteBoldChar"/>
          <w:rtl/>
        </w:rPr>
        <w:t>لسان العرب</w:t>
      </w:r>
      <w:r w:rsidR="00E3253D" w:rsidRPr="005D642E">
        <w:rPr>
          <w:rtl/>
        </w:rPr>
        <w:t xml:space="preserve"> ، ج 9 ، ص 297 ( كرسف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بيده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الْيُمْنى ، فَإِنْ كَانَ ثَمَّ </w:t>
      </w:r>
      <w:r w:rsidRPr="007C12DB">
        <w:rPr>
          <w:rStyle w:val="libFootnotenumChar"/>
          <w:rtl/>
        </w:rPr>
        <w:t>(1)</w:t>
      </w:r>
      <w:r w:rsidRPr="005D642E">
        <w:rPr>
          <w:rtl/>
          <w:lang w:bidi="fa-IR"/>
        </w:rPr>
        <w:t xml:space="preserve"> مِثْلُ رَأْسِ الذُّبَابِ ، خَرَجَ </w:t>
      </w:r>
      <w:r w:rsidRPr="007C12DB">
        <w:rPr>
          <w:rStyle w:val="libFootnotenumChar"/>
          <w:rtl/>
        </w:rPr>
        <w:t>(2)</w:t>
      </w:r>
      <w:r w:rsidRPr="005D642E">
        <w:rPr>
          <w:rtl/>
          <w:lang w:bidi="fa-IR"/>
        </w:rPr>
        <w:t xml:space="preserve"> عَلَى الْكُرْسُفِ »</w:t>
      </w:r>
      <w:r>
        <w:rPr>
          <w:rtl/>
          <w:lang w:bidi="fa-IR"/>
        </w:rPr>
        <w:t>.</w:t>
      </w:r>
      <w:r w:rsidRPr="005D642E">
        <w:rPr>
          <w:rtl/>
          <w:lang w:bidi="fa-IR"/>
        </w:rPr>
        <w:t xml:space="preserve"> </w:t>
      </w:r>
      <w:r w:rsidRPr="007C12DB">
        <w:rPr>
          <w:rStyle w:val="libFootnotenumChar"/>
          <w:rtl/>
        </w:rPr>
        <w:t>(3)</w:t>
      </w:r>
    </w:p>
    <w:p w:rsidR="00E3253D" w:rsidRPr="005D642E" w:rsidRDefault="00E3253D" w:rsidP="00E3253D">
      <w:pPr>
        <w:pStyle w:val="libNormal"/>
        <w:rPr>
          <w:rtl/>
          <w:lang w:bidi="fa-IR"/>
        </w:rPr>
      </w:pPr>
      <w:r w:rsidRPr="00544BA3">
        <w:rPr>
          <w:rtl/>
        </w:rPr>
        <w:t>4169</w:t>
      </w:r>
      <w:r w:rsidRPr="00246318">
        <w:rPr>
          <w:rStyle w:val="libBold2Char"/>
          <w:rtl/>
        </w:rPr>
        <w:t xml:space="preserve"> / 4.</w:t>
      </w:r>
      <w:r w:rsidRPr="005D642E">
        <w:rPr>
          <w:rtl/>
          <w:lang w:bidi="fa-IR"/>
        </w:rPr>
        <w:t xml:space="preserve"> مُحَمَّدُ بْنُ يَحْيى ، عَنْ أَحْمَدَ بْنِ مُحَمَّدٍ ، عَنِ ابْنِ مَحْبُوبٍ ، عَنْ أَبِي حَمْزَةَ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أَنَّهُ بَلَغَهُ أَنَّ نِسَاءً كَانَتْ إِحْدَاهُنَّ تَدْعُو بِالْمِصْبَاحِ فِي جَوْفِ اللَّيْلِ تَنْظُرُ إِلَى الطُّهْرِ ، فَكَانَ </w:t>
      </w:r>
      <w:r w:rsidRPr="007C12DB">
        <w:rPr>
          <w:rStyle w:val="libFootnotenumChar"/>
          <w:rtl/>
        </w:rPr>
        <w:t>(4)</w:t>
      </w:r>
      <w:r w:rsidRPr="005D642E">
        <w:rPr>
          <w:rtl/>
          <w:lang w:bidi="fa-IR"/>
        </w:rPr>
        <w:t xml:space="preserve"> يَعِيبُ ذلِكَ </w:t>
      </w:r>
      <w:r w:rsidRPr="007C12DB">
        <w:rPr>
          <w:rStyle w:val="libFootnotenumChar"/>
          <w:rtl/>
        </w:rPr>
        <w:t>(5)</w:t>
      </w:r>
      <w:r w:rsidRPr="005D642E">
        <w:rPr>
          <w:rtl/>
          <w:lang w:bidi="fa-IR"/>
        </w:rPr>
        <w:t xml:space="preserve"> ، وَيَقُولُ : « مَتى كَانَتِ </w:t>
      </w:r>
      <w:r w:rsidRPr="007C12DB">
        <w:rPr>
          <w:rStyle w:val="libFootnotenumChar"/>
          <w:rtl/>
        </w:rPr>
        <w:t>(6)</w:t>
      </w:r>
      <w:r w:rsidRPr="005D642E">
        <w:rPr>
          <w:rtl/>
          <w:lang w:bidi="fa-IR"/>
        </w:rPr>
        <w:t xml:space="preserve"> النِّسَاءُ يَصْنَعْنَ هذَا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544BA3">
        <w:rPr>
          <w:rtl/>
        </w:rPr>
        <w:t>4170</w:t>
      </w:r>
      <w:r w:rsidRPr="00246318">
        <w:rPr>
          <w:rStyle w:val="libBold2Char"/>
          <w:rtl/>
        </w:rPr>
        <w:t xml:space="preserve"> / 5.</w:t>
      </w:r>
      <w:r w:rsidRPr="005D642E">
        <w:rPr>
          <w:rtl/>
          <w:lang w:bidi="fa-IR"/>
        </w:rPr>
        <w:t xml:space="preserve"> عَلِيُّ بْنُ إِبْرَاهِيمَ ، عَنْ أَبِيهِ ، عَنِ ابْنِ أَبِي عُمَيْرٍ ، عَنْ ثَعْلَبَةَ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أَنَّهُ كَانَ يَنْهَى النِّسَاءَ </w:t>
      </w:r>
      <w:r w:rsidRPr="007C12DB">
        <w:rPr>
          <w:rStyle w:val="libFootnotenumChar"/>
          <w:rtl/>
        </w:rPr>
        <w:t>(8)</w:t>
      </w:r>
      <w:r w:rsidRPr="005D642E">
        <w:rPr>
          <w:rtl/>
          <w:lang w:bidi="fa-IR"/>
        </w:rPr>
        <w:t xml:space="preserve"> أَنْ يَنْظُرْنَ إِلى أَنْفُسِهِنَّ فِي الْمَحِيضِ بِاللَّيْلِ </w:t>
      </w:r>
      <w:r w:rsidRPr="007C12DB">
        <w:rPr>
          <w:rStyle w:val="libFootnotenumChar"/>
          <w:rtl/>
        </w:rPr>
        <w:t>(9)</w:t>
      </w:r>
      <w:r w:rsidRPr="005D642E">
        <w:rPr>
          <w:rtl/>
          <w:lang w:bidi="fa-IR"/>
        </w:rPr>
        <w:t xml:space="preserve"> ، وَيَقُولُ : « إِنَّهَا قَدْ تَكُونُ </w:t>
      </w:r>
      <w:r w:rsidRPr="007C12DB">
        <w:rPr>
          <w:rStyle w:val="libFootnotenumChar"/>
          <w:rtl/>
        </w:rPr>
        <w:t>(10)</w:t>
      </w:r>
      <w:r w:rsidRPr="005D642E">
        <w:rPr>
          <w:rtl/>
          <w:lang w:bidi="fa-IR"/>
        </w:rPr>
        <w:t xml:space="preserve"> الصُّفْرَةَ وَالْكُدْرَةَ </w:t>
      </w:r>
      <w:r w:rsidRPr="007C12DB">
        <w:rPr>
          <w:rStyle w:val="libFootnotenumChar"/>
          <w:rtl/>
        </w:rPr>
        <w:t>(11)</w:t>
      </w:r>
      <w:r w:rsidRPr="005D642E">
        <w:rPr>
          <w:rtl/>
          <w:lang w:bidi="fa-IR"/>
        </w:rPr>
        <w:t xml:space="preserve"> »</w:t>
      </w:r>
      <w:r>
        <w:rPr>
          <w:rtl/>
          <w:lang w:bidi="fa-IR"/>
        </w:rPr>
        <w:t>.</w:t>
      </w:r>
      <w:r w:rsidRPr="005D642E">
        <w:rPr>
          <w:rtl/>
          <w:lang w:bidi="fa-IR"/>
        </w:rPr>
        <w:t xml:space="preserve"> </w:t>
      </w:r>
      <w:r w:rsidRPr="007C12DB">
        <w:rPr>
          <w:rStyle w:val="libFootnotenumChar"/>
          <w:rtl/>
        </w:rPr>
        <w:t>(12)</w:t>
      </w:r>
    </w:p>
    <w:p w:rsidR="00E3253D" w:rsidRPr="005D642E" w:rsidRDefault="00E3253D" w:rsidP="00E3253D">
      <w:pPr>
        <w:pStyle w:val="libNormal"/>
        <w:rPr>
          <w:rtl/>
          <w:lang w:bidi="fa-IR"/>
        </w:rPr>
      </w:pPr>
      <w:r w:rsidRPr="00544BA3">
        <w:rPr>
          <w:rtl/>
        </w:rPr>
        <w:t>4171</w:t>
      </w:r>
      <w:r w:rsidRPr="00246318">
        <w:rPr>
          <w:rStyle w:val="libBold2Char"/>
          <w:rtl/>
        </w:rPr>
        <w:t xml:space="preserve"> / 6.</w:t>
      </w:r>
      <w:r w:rsidRPr="005D642E">
        <w:rPr>
          <w:rtl/>
          <w:lang w:bidi="fa-IR"/>
        </w:rPr>
        <w:t xml:space="preserve"> عَلِيُّ بْنُ مُحَمَّدٍ ، عَنْ بَعْضِ أَصْحَابِنَا ، عَنْ مُحَمَّدِ بْنِ عَلِيٍّ الْبَصْرِيِّ ، قَالَ :</w:t>
      </w:r>
    </w:p>
    <w:p w:rsidR="00E3253D" w:rsidRPr="005D642E" w:rsidRDefault="00E3253D" w:rsidP="00E3253D">
      <w:pPr>
        <w:pStyle w:val="libNormal"/>
        <w:rPr>
          <w:rtl/>
          <w:lang w:bidi="fa-IR"/>
        </w:rPr>
      </w:pPr>
      <w:r w:rsidRPr="005D642E">
        <w:rPr>
          <w:rtl/>
          <w:lang w:bidi="fa-IR"/>
        </w:rPr>
        <w:t xml:space="preserve">سَأَلْتُ أَبَا الْحَسَنِ الْأَخِيرَ </w:t>
      </w:r>
      <w:r w:rsidRPr="007C12DB">
        <w:rPr>
          <w:rStyle w:val="libFootnotenumChar"/>
          <w:rtl/>
        </w:rPr>
        <w:t>(13)</w:t>
      </w:r>
      <w:r w:rsidRPr="005D642E">
        <w:rPr>
          <w:rtl/>
          <w:lang w:bidi="fa-IR"/>
        </w:rPr>
        <w:t xml:space="preserve"> </w:t>
      </w:r>
      <w:r w:rsidRPr="00AC51C5">
        <w:rPr>
          <w:rStyle w:val="libAlaemChar"/>
          <w:rtl/>
        </w:rPr>
        <w:t>عليه‌السلام</w:t>
      </w:r>
      <w:r w:rsidRPr="005D642E">
        <w:rPr>
          <w:rtl/>
          <w:lang w:bidi="fa-IR"/>
        </w:rPr>
        <w:t xml:space="preserve"> ، وَقُلْتُ لَهُ : إِنَّ ابْنَةَ شِهَابٍ تَقْعُدُ أَيَّامَ أَقْرَائِهَا ، فَإِذَا هِيَ‌</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ثمّة »</w:t>
      </w:r>
      <w:r w:rsidR="00E3253D">
        <w:rPr>
          <w:rtl/>
        </w:rPr>
        <w:t>.</w:t>
      </w:r>
      <w:r w:rsidR="00E3253D" w:rsidRPr="005D642E">
        <w:rPr>
          <w:rtl/>
        </w:rPr>
        <w:t xml:space="preserve"> وفي التهذيب :</w:t>
      </w:r>
      <w:r w:rsidR="00E3253D">
        <w:rPr>
          <w:rtl/>
        </w:rPr>
        <w:t xml:space="preserve"> </w:t>
      </w:r>
      <w:r w:rsidR="007642BC">
        <w:rPr>
          <w:rtl/>
        </w:rPr>
        <w:t>-</w:t>
      </w:r>
      <w:r w:rsidR="00E3253D">
        <w:rPr>
          <w:rtl/>
        </w:rPr>
        <w:t xml:space="preserve"> </w:t>
      </w:r>
      <w:r w:rsidR="00E3253D" w:rsidRPr="005D642E">
        <w:rPr>
          <w:rtl/>
        </w:rPr>
        <w:t>« ثمّ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يمكن أن يكون « خرج » جزاء الشرط ، وأن يكون الجزاء محذوفاً »</w:t>
      </w:r>
      <w:r w:rsidR="00E3253D">
        <w:rPr>
          <w:rtl/>
        </w:rPr>
        <w:t>.</w:t>
      </w:r>
    </w:p>
    <w:p w:rsidR="00E3253D" w:rsidRPr="005D642E" w:rsidRDefault="0042621E" w:rsidP="00311930">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161 ، ح 461 ، معلّقاً عن الكليني </w:t>
      </w:r>
      <w:r w:rsidR="00311930">
        <w:rPr>
          <w:rFonts w:hint="cs"/>
          <w:rtl/>
        </w:rPr>
        <w:t>.</w:t>
      </w:r>
      <w:r w:rsidR="00E3253D" w:rsidRPr="002F4D34">
        <w:rPr>
          <w:rStyle w:val="libFootnoteBoldChar"/>
          <w:rtl/>
        </w:rPr>
        <w:t>الوافي</w:t>
      </w:r>
      <w:r w:rsidR="00E3253D" w:rsidRPr="005D642E">
        <w:rPr>
          <w:rtl/>
        </w:rPr>
        <w:t xml:space="preserve"> ، ج 6 ، ص 499 ، ح 4787 ؛ </w:t>
      </w:r>
      <w:r w:rsidR="00E3253D" w:rsidRPr="002F4D34">
        <w:rPr>
          <w:rStyle w:val="libFootnoteBoldChar"/>
          <w:rtl/>
        </w:rPr>
        <w:t>الوسائل</w:t>
      </w:r>
      <w:r w:rsidR="00E3253D" w:rsidRPr="005D642E">
        <w:rPr>
          <w:rtl/>
        </w:rPr>
        <w:t xml:space="preserve"> ، ج 2 ، ص 309 ، ح 2214.</w:t>
      </w:r>
      <w:r w:rsidR="00311930">
        <w:rPr>
          <w:rFonts w:hint="cs"/>
          <w:rtl/>
        </w:rPr>
        <w:t xml:space="preserve">                       </w:t>
      </w:r>
      <w:r w:rsidRPr="0042621E">
        <w:rPr>
          <w:rStyle w:val="libFootnote0Char"/>
          <w:rtl/>
        </w:rPr>
        <w:t>(4).</w:t>
      </w:r>
      <w:r w:rsidR="00E3253D" w:rsidRPr="005D642E">
        <w:rPr>
          <w:rtl/>
        </w:rPr>
        <w:t xml:space="preserve"> في الوافي : « وكان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 « يعيّب ذلك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212 : « الظاهر أنّهنّ كنّ ينظرن في الفرج ، وكان </w:t>
      </w:r>
      <w:r w:rsidR="00E3253D" w:rsidRPr="00311930">
        <w:rPr>
          <w:rStyle w:val="libFootnoteAlaemChar"/>
          <w:rtl/>
        </w:rPr>
        <w:t>عليه‌السلام</w:t>
      </w:r>
      <w:r w:rsidR="00E3253D" w:rsidRPr="005D642E">
        <w:rPr>
          <w:rtl/>
        </w:rPr>
        <w:t xml:space="preserve"> يعيب ذلك ويقول : ما كان نساء النبيّ أو النساء في زمنه </w:t>
      </w:r>
      <w:r w:rsidR="00E3253D" w:rsidRPr="00311930">
        <w:rPr>
          <w:rStyle w:val="libFootnoteAlaemChar"/>
          <w:rtl/>
        </w:rPr>
        <w:t>عليه‌السلام</w:t>
      </w:r>
      <w:r w:rsidR="00E3253D" w:rsidRPr="005D642E">
        <w:rPr>
          <w:rtl/>
        </w:rPr>
        <w:t xml:space="preserve"> يضعن ذلك ، بل كنّ يتّخذن الكرسف</w:t>
      </w:r>
      <w:r w:rsidR="00E3253D">
        <w:rPr>
          <w:rtl/>
        </w:rPr>
        <w:t xml:space="preserve"> ..</w:t>
      </w:r>
      <w:r w:rsidR="00E3253D" w:rsidRPr="005D642E">
        <w:rPr>
          <w:rtl/>
        </w:rPr>
        <w:t>. وعليه ينبغي حمل الخبر الثاني أيضاً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بث ، بح ، بخ ، بس ، بف ، جن » وحاشية « غ » : « كان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6 ، ص 501 ، ح 4791 ؛ </w:t>
      </w:r>
      <w:r w:rsidR="00E3253D" w:rsidRPr="002F4D34">
        <w:rPr>
          <w:rStyle w:val="libFootnoteBoldChar"/>
          <w:rtl/>
        </w:rPr>
        <w:t>الوسائل</w:t>
      </w:r>
      <w:r w:rsidR="00E3253D" w:rsidRPr="005D642E">
        <w:rPr>
          <w:rtl/>
        </w:rPr>
        <w:t xml:space="preserve"> ، ج 2 ، ص 310 ، ح 2217.</w:t>
      </w:r>
    </w:p>
    <w:tbl>
      <w:tblPr>
        <w:tblStyle w:val="TableGrid"/>
        <w:bidiVisual/>
        <w:tblW w:w="0" w:type="auto"/>
        <w:tblLook w:val="04A0" w:firstRow="1" w:lastRow="0" w:firstColumn="1" w:lastColumn="0" w:noHBand="0" w:noVBand="1"/>
      </w:tblPr>
      <w:tblGrid>
        <w:gridCol w:w="4006"/>
        <w:gridCol w:w="4006"/>
      </w:tblGrid>
      <w:tr w:rsidR="00311930" w:rsidTr="00311930">
        <w:tc>
          <w:tcPr>
            <w:tcW w:w="4006" w:type="dxa"/>
          </w:tcPr>
          <w:p w:rsidR="00311930" w:rsidRDefault="00311930" w:rsidP="00E3253D">
            <w:pPr>
              <w:pStyle w:val="libFootnote0"/>
              <w:rPr>
                <w:rStyle w:val="libFootnote0Char"/>
                <w:rtl/>
              </w:rPr>
            </w:pPr>
            <w:r w:rsidRPr="0042621E">
              <w:rPr>
                <w:rStyle w:val="libFootnote0Char"/>
                <w:rtl/>
              </w:rPr>
              <w:t>(8).</w:t>
            </w:r>
            <w:r w:rsidRPr="005D642E">
              <w:rPr>
                <w:rtl/>
              </w:rPr>
              <w:t xml:space="preserve"> في الوافي :</w:t>
            </w:r>
            <w:r>
              <w:rPr>
                <w:rtl/>
              </w:rPr>
              <w:t xml:space="preserve"> - </w:t>
            </w:r>
            <w:r w:rsidRPr="005D642E">
              <w:rPr>
                <w:rtl/>
              </w:rPr>
              <w:t>« النساء »</w:t>
            </w:r>
            <w:r>
              <w:rPr>
                <w:rtl/>
              </w:rPr>
              <w:t>.</w:t>
            </w:r>
          </w:p>
        </w:tc>
        <w:tc>
          <w:tcPr>
            <w:tcW w:w="4006" w:type="dxa"/>
          </w:tcPr>
          <w:p w:rsidR="00311930" w:rsidRDefault="00311930" w:rsidP="00E3253D">
            <w:pPr>
              <w:pStyle w:val="libFootnote0"/>
              <w:rPr>
                <w:rStyle w:val="libFootnote0Char"/>
                <w:rtl/>
              </w:rPr>
            </w:pPr>
            <w:r w:rsidRPr="0042621E">
              <w:rPr>
                <w:rStyle w:val="libFootnote0Char"/>
                <w:rtl/>
              </w:rPr>
              <w:t>(9).</w:t>
            </w:r>
            <w:r w:rsidRPr="005D642E">
              <w:rPr>
                <w:rtl/>
              </w:rPr>
              <w:t xml:space="preserve"> في « بف ، جح » : « في الليل »</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قد »</w:t>
      </w:r>
      <w:r w:rsidR="00E3253D">
        <w:rPr>
          <w:rtl/>
        </w:rPr>
        <w:t>.</w:t>
      </w:r>
      <w:r w:rsidR="00E3253D" w:rsidRPr="005D642E">
        <w:rPr>
          <w:rtl/>
        </w:rPr>
        <w:t xml:space="preserve"> وفي الوافي : « قد يكون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311930">
        <w:rPr>
          <w:rStyle w:val="libFootnoteAlaemChar"/>
          <w:rtl/>
        </w:rPr>
        <w:t>عليه‌السلام</w:t>
      </w:r>
      <w:r w:rsidR="00E3253D" w:rsidRPr="005D642E">
        <w:rPr>
          <w:rtl/>
        </w:rPr>
        <w:t xml:space="preserve"> : إنّها قد تكون الصفرة والكدرة ، أي إنّهما لا تظهران بالسراج في الفروج ، ويحتمل أن يكون</w:t>
      </w:r>
      <w:r w:rsidR="00E3253D">
        <w:rPr>
          <w:rtl/>
        </w:rPr>
        <w:t xml:space="preserve"> ..</w:t>
      </w:r>
      <w:r w:rsidR="00E3253D" w:rsidRPr="005D642E">
        <w:rPr>
          <w:rtl/>
        </w:rPr>
        <w:t>. مطلق الملاحظة في الليل سواء كان على الكرسف أو في الفرج ؛ لأنّ الصفرة الضعيفة لاتظهر فيها ، لكنّه بعيد »</w:t>
      </w:r>
      <w:r w:rsidR="00E3253D">
        <w:rPr>
          <w:rtl/>
        </w:rPr>
        <w:t>.</w:t>
      </w:r>
    </w:p>
    <w:p w:rsidR="00E3253D" w:rsidRPr="005D642E" w:rsidRDefault="0042621E" w:rsidP="009C2AC5">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الفقيه</w:t>
      </w:r>
      <w:r w:rsidR="00E3253D" w:rsidRPr="005D642E">
        <w:rPr>
          <w:rtl/>
        </w:rPr>
        <w:t xml:space="preserve"> ، ج 1 ، ص 99 ، ذيل ح 203 ، إلى قوله : « في المحيض بالليل » مع اختلاف يسير</w:t>
      </w:r>
      <w:r w:rsidR="009C2AC5">
        <w:rPr>
          <w:rFonts w:hint="cs"/>
          <w:rtl/>
        </w:rPr>
        <w:t>.</w:t>
      </w:r>
      <w:r w:rsidR="00E3253D" w:rsidRPr="002F4D34">
        <w:rPr>
          <w:rStyle w:val="libFootnoteBoldChar"/>
          <w:rtl/>
        </w:rPr>
        <w:t>الوافي</w:t>
      </w:r>
      <w:r w:rsidR="00E3253D" w:rsidRPr="005D642E">
        <w:rPr>
          <w:rtl/>
        </w:rPr>
        <w:t xml:space="preserve"> ، ج 6 ، ص 501 ، ح 4790 ؛ </w:t>
      </w:r>
      <w:r w:rsidR="00E3253D" w:rsidRPr="002F4D34">
        <w:rPr>
          <w:rStyle w:val="libFootnoteBoldChar"/>
          <w:rtl/>
        </w:rPr>
        <w:t>الوسائل</w:t>
      </w:r>
      <w:r w:rsidR="00E3253D" w:rsidRPr="005D642E">
        <w:rPr>
          <w:rtl/>
        </w:rPr>
        <w:t xml:space="preserve"> ، ج 2 ، ص 311 ، ح 2218.</w:t>
      </w:r>
      <w:r w:rsidR="00E3253D">
        <w:rPr>
          <w:rFonts w:hint="cs"/>
          <w:rtl/>
          <w:lang w:bidi="fa-IR"/>
        </w:rPr>
        <w:t xml:space="preserve"> </w:t>
      </w:r>
      <w:r w:rsidR="009C2AC5">
        <w:rPr>
          <w:rFonts w:hint="cs"/>
          <w:rtl/>
          <w:lang w:bidi="fa-IR"/>
        </w:rPr>
        <w:t xml:space="preserve">  </w:t>
      </w:r>
      <w:r w:rsidRPr="0042621E">
        <w:rPr>
          <w:rStyle w:val="libFootnote0Char"/>
          <w:rtl/>
        </w:rPr>
        <w:t>(13).</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الأخير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اغْتَسَلَتْ ، رَأَتِ الْقَطْرَةَ بَعْدَ الْقَطْرَةِ </w:t>
      </w:r>
      <w:r w:rsidRPr="007C12DB">
        <w:rPr>
          <w:rStyle w:val="libFootnotenumChar"/>
          <w:rtl/>
        </w:rPr>
        <w:t>(1)</w:t>
      </w:r>
      <w:r>
        <w:rPr>
          <w:rtl/>
          <w:lang w:bidi="fa-IR"/>
        </w:rPr>
        <w:t>؟</w:t>
      </w:r>
    </w:p>
    <w:p w:rsidR="00E3253D" w:rsidRPr="005D642E" w:rsidRDefault="00E3253D" w:rsidP="00E3253D">
      <w:pPr>
        <w:pStyle w:val="libNormal"/>
        <w:rPr>
          <w:rtl/>
          <w:lang w:bidi="fa-IR"/>
        </w:rPr>
      </w:pPr>
      <w:r w:rsidRPr="005D642E">
        <w:rPr>
          <w:rtl/>
          <w:lang w:bidi="fa-IR"/>
        </w:rPr>
        <w:t xml:space="preserve">قَالَ : فَقَالَ : « مُرْهَا فَلْتَقُمْ بِأَصْلِ الْحَائِطِ كَمَا يَقُومُ الْكَلْبُ ، ثُمَّ تَأْمُرُ امْرَأَةً فَلْتَغْمِزْ بَيْنَ وَرِكَيْهَا غَمْزاً شَدِيداً ؛ فَإِنَّهُ إِنَّمَا </w:t>
      </w:r>
      <w:r w:rsidRPr="007C12DB">
        <w:rPr>
          <w:rStyle w:val="libFootnotenumChar"/>
          <w:rtl/>
        </w:rPr>
        <w:t>(2)</w:t>
      </w:r>
      <w:r w:rsidRPr="005D642E">
        <w:rPr>
          <w:rtl/>
          <w:lang w:bidi="fa-IR"/>
        </w:rPr>
        <w:t xml:space="preserve"> هُوَ </w:t>
      </w:r>
      <w:r w:rsidRPr="007C12DB">
        <w:rPr>
          <w:rStyle w:val="libFootnotenumChar"/>
          <w:rtl/>
        </w:rPr>
        <w:t>(3)</w:t>
      </w:r>
      <w:r w:rsidRPr="005D642E">
        <w:rPr>
          <w:rtl/>
          <w:lang w:bidi="fa-IR"/>
        </w:rPr>
        <w:t xml:space="preserve"> شَيْ‌ءٌ يَبْقى فِي الرَّحِمِ يُقَالُ لَهُ : الْإِرَاقَةُ ، وَإِنَّهُ </w:t>
      </w:r>
      <w:r w:rsidRPr="007C12DB">
        <w:rPr>
          <w:rStyle w:val="libFootnotenumChar"/>
          <w:rtl/>
        </w:rPr>
        <w:t>(4)</w:t>
      </w:r>
      <w:r w:rsidRPr="005D642E">
        <w:rPr>
          <w:rtl/>
          <w:lang w:bidi="fa-IR"/>
        </w:rPr>
        <w:t xml:space="preserve"> سَيَخْرُجُ </w:t>
      </w:r>
      <w:r w:rsidRPr="007C12DB">
        <w:rPr>
          <w:rStyle w:val="libFootnotenumChar"/>
          <w:rtl/>
        </w:rPr>
        <w:t>(5)</w:t>
      </w:r>
      <w:r w:rsidRPr="005D642E">
        <w:rPr>
          <w:rtl/>
          <w:lang w:bidi="fa-IR"/>
        </w:rPr>
        <w:t xml:space="preserve"> كُلُّهُ »</w:t>
      </w:r>
      <w:r>
        <w:rPr>
          <w:rtl/>
          <w:lang w:bidi="fa-IR"/>
        </w:rPr>
        <w:t>.</w:t>
      </w:r>
    </w:p>
    <w:p w:rsidR="00E3253D" w:rsidRPr="005D642E" w:rsidRDefault="00E3253D" w:rsidP="00E3253D">
      <w:pPr>
        <w:pStyle w:val="libNormal"/>
        <w:rPr>
          <w:rtl/>
          <w:lang w:bidi="fa-IR"/>
        </w:rPr>
      </w:pPr>
      <w:r w:rsidRPr="005D642E">
        <w:rPr>
          <w:rtl/>
          <w:lang w:bidi="fa-IR"/>
        </w:rPr>
        <w:t xml:space="preserve">ثُمَّ قَالَ : « لَا تُخْبِرُوهُنَّ </w:t>
      </w:r>
      <w:r w:rsidRPr="007C12DB">
        <w:rPr>
          <w:rStyle w:val="libFootnotenumChar"/>
          <w:rtl/>
        </w:rPr>
        <w:t>(6)</w:t>
      </w:r>
      <w:r w:rsidRPr="005D642E">
        <w:rPr>
          <w:rtl/>
          <w:lang w:bidi="fa-IR"/>
        </w:rPr>
        <w:t xml:space="preserve"> بِهذَا وَشِبْهِهِ ، وَذَرُوهُنَّ </w:t>
      </w:r>
      <w:r w:rsidRPr="007C12DB">
        <w:rPr>
          <w:rStyle w:val="libFootnotenumChar"/>
          <w:rtl/>
        </w:rPr>
        <w:t>(7)</w:t>
      </w:r>
      <w:r w:rsidRPr="005D642E">
        <w:rPr>
          <w:rtl/>
          <w:lang w:bidi="fa-IR"/>
        </w:rPr>
        <w:t xml:space="preserve"> وَعِلَّتَهُنَّ </w:t>
      </w:r>
      <w:r w:rsidRPr="007C12DB">
        <w:rPr>
          <w:rStyle w:val="libFootnotenumChar"/>
          <w:rtl/>
        </w:rPr>
        <w:t>(8)</w:t>
      </w:r>
      <w:r w:rsidRPr="005D642E">
        <w:rPr>
          <w:rtl/>
          <w:lang w:bidi="fa-IR"/>
        </w:rPr>
        <w:t xml:space="preserve"> الْقَذِرَةَ »</w:t>
      </w:r>
      <w:r>
        <w:rPr>
          <w:rtl/>
          <w:lang w:bidi="fa-IR"/>
        </w:rPr>
        <w:t>.</w:t>
      </w:r>
    </w:p>
    <w:p w:rsidR="00E3253D" w:rsidRPr="005D642E" w:rsidRDefault="00E3253D" w:rsidP="00E3253D">
      <w:pPr>
        <w:pStyle w:val="libNormal"/>
        <w:rPr>
          <w:rtl/>
          <w:lang w:bidi="fa-IR"/>
        </w:rPr>
      </w:pPr>
      <w:r w:rsidRPr="005D642E">
        <w:rPr>
          <w:rtl/>
          <w:lang w:bidi="fa-IR"/>
        </w:rPr>
        <w:t xml:space="preserve">قَالَ : فَفَعَلْتُ </w:t>
      </w:r>
      <w:r w:rsidRPr="007C12DB">
        <w:rPr>
          <w:rStyle w:val="libFootnotenumChar"/>
          <w:rtl/>
        </w:rPr>
        <w:t>(9)</w:t>
      </w:r>
      <w:r w:rsidRPr="005D642E">
        <w:rPr>
          <w:rtl/>
          <w:lang w:bidi="fa-IR"/>
        </w:rPr>
        <w:t xml:space="preserve"> بِالْمَرْأَةِ </w:t>
      </w:r>
      <w:r w:rsidRPr="007C12DB">
        <w:rPr>
          <w:rStyle w:val="libFootnotenumChar"/>
          <w:rtl/>
        </w:rPr>
        <w:t>(10)</w:t>
      </w:r>
      <w:r w:rsidRPr="005D642E">
        <w:rPr>
          <w:rtl/>
          <w:lang w:bidi="fa-IR"/>
        </w:rPr>
        <w:t xml:space="preserve"> الَّذِي </w:t>
      </w:r>
      <w:r w:rsidRPr="007C12DB">
        <w:rPr>
          <w:rStyle w:val="libFootnotenumChar"/>
          <w:rtl/>
        </w:rPr>
        <w:t>(11)</w:t>
      </w:r>
      <w:r w:rsidRPr="005D642E">
        <w:rPr>
          <w:rtl/>
          <w:lang w:bidi="fa-IR"/>
        </w:rPr>
        <w:t xml:space="preserve"> قَالَ ، فَانْقَطَعَ </w:t>
      </w:r>
      <w:r w:rsidRPr="007C12DB">
        <w:rPr>
          <w:rStyle w:val="libFootnotenumChar"/>
          <w:rtl/>
        </w:rPr>
        <w:t>(12)</w:t>
      </w:r>
      <w:r w:rsidRPr="005D642E">
        <w:rPr>
          <w:rtl/>
          <w:lang w:bidi="fa-IR"/>
        </w:rPr>
        <w:t xml:space="preserve"> عَنْهَا </w:t>
      </w:r>
      <w:r w:rsidRPr="007C12DB">
        <w:rPr>
          <w:rStyle w:val="libFootnotenumChar"/>
          <w:rtl/>
        </w:rPr>
        <w:t>(13)</w:t>
      </w:r>
      <w:r w:rsidRPr="005D642E">
        <w:rPr>
          <w:rtl/>
          <w:lang w:bidi="fa-IR"/>
        </w:rPr>
        <w:t xml:space="preserve"> ، فَمَا عَادَ إِلَيْهَا الدَّمُ حَتّى مَاتَتْ. </w:t>
      </w:r>
      <w:r w:rsidRPr="007C12DB">
        <w:rPr>
          <w:rStyle w:val="libFootnotenumChar"/>
          <w:rtl/>
        </w:rPr>
        <w:t>(14)</w:t>
      </w:r>
      <w:r w:rsidRPr="005D642E">
        <w:rPr>
          <w:rtl/>
          <w:lang w:bidi="fa-IR"/>
        </w:rPr>
        <w:t xml:space="preserve"> ‌</w:t>
      </w:r>
    </w:p>
    <w:p w:rsidR="00E3253D" w:rsidRPr="005D642E" w:rsidRDefault="00E3253D" w:rsidP="00E3253D">
      <w:pPr>
        <w:pStyle w:val="Heading2Center"/>
        <w:rPr>
          <w:rtl/>
          <w:lang w:bidi="fa-IR"/>
        </w:rPr>
      </w:pPr>
      <w:bookmarkStart w:id="192" w:name="_Toc344647274"/>
      <w:bookmarkStart w:id="193" w:name="_Toc462226789"/>
      <w:bookmarkStart w:id="194" w:name="_Toc40975897"/>
      <w:r w:rsidRPr="005D642E">
        <w:rPr>
          <w:rtl/>
          <w:lang w:bidi="fa-IR"/>
        </w:rPr>
        <w:t>7</w:t>
      </w:r>
      <w:r>
        <w:rPr>
          <w:rtl/>
          <w:lang w:bidi="fa-IR"/>
        </w:rPr>
        <w:t xml:space="preserve"> </w:t>
      </w:r>
      <w:r w:rsidR="007642BC">
        <w:rPr>
          <w:rtl/>
          <w:lang w:bidi="fa-IR"/>
        </w:rPr>
        <w:t>-</w:t>
      </w:r>
      <w:r>
        <w:rPr>
          <w:rtl/>
          <w:lang w:bidi="fa-IR"/>
        </w:rPr>
        <w:t xml:space="preserve"> </w:t>
      </w:r>
      <w:r w:rsidRPr="005D642E">
        <w:rPr>
          <w:rtl/>
          <w:lang w:bidi="fa-IR"/>
        </w:rPr>
        <w:t>بَابُ غُسْلِ الْحَائِضِ وَمَا يُجْزِئُهَا مِنَ الْمَاءِ‌</w:t>
      </w:r>
      <w:bookmarkEnd w:id="192"/>
      <w:bookmarkEnd w:id="193"/>
      <w:bookmarkEnd w:id="194"/>
    </w:p>
    <w:p w:rsidR="009C2AC5" w:rsidRDefault="00E3253D" w:rsidP="009C2AC5">
      <w:pPr>
        <w:pStyle w:val="libNormal"/>
        <w:rPr>
          <w:rtl/>
          <w:lang w:bidi="fa-IR"/>
        </w:rPr>
      </w:pPr>
      <w:r w:rsidRPr="00544BA3">
        <w:rPr>
          <w:rtl/>
        </w:rPr>
        <w:t>4172</w:t>
      </w:r>
      <w:r w:rsidRPr="00246318">
        <w:rPr>
          <w:rStyle w:val="libBold2Char"/>
          <w:rtl/>
        </w:rPr>
        <w:t xml:space="preserve"> / 1.</w:t>
      </w:r>
      <w:r w:rsidRPr="005D642E">
        <w:rPr>
          <w:rtl/>
          <w:lang w:bidi="fa-IR"/>
        </w:rPr>
        <w:t xml:space="preserve"> مُحَمَّدُ بْنُ يَحْيى ، عَنْ أَحْمَدَ بْنِ مُحَمَّدٍ ، عَنْ عَلِيِّ بْنِ الْحَكَمِ ؛</w:t>
      </w:r>
    </w:p>
    <w:p w:rsidR="00E3253D" w:rsidRPr="005D642E" w:rsidRDefault="00E3253D" w:rsidP="009C2AC5">
      <w:pPr>
        <w:pStyle w:val="libNormal"/>
        <w:rPr>
          <w:rtl/>
          <w:lang w:bidi="fa-IR"/>
        </w:rPr>
      </w:pPr>
      <w:r w:rsidRPr="005D642E">
        <w:rPr>
          <w:rtl/>
          <w:lang w:bidi="fa-IR"/>
        </w:rPr>
        <w:t>وَعَلِيُّ بْنُ إِبْرَاهِيمَ ، عَنْ أَبِيهِ ، عَنِ ابْنِ أَبِي عُمَيْرٍ جَمِيعاً ، عَنْ عَبْدِ اللهِ بْن</w:t>
      </w:r>
      <w:r w:rsidR="00826FF3">
        <w:rPr>
          <w:rtl/>
          <w:lang w:bidi="fa-IR"/>
        </w:rPr>
        <w:t>ِ يَحْيَى الْكَاهِلِيِّ ، قَالَ</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C2AC5" w:rsidTr="009C2AC5">
        <w:tc>
          <w:tcPr>
            <w:tcW w:w="4006" w:type="dxa"/>
          </w:tcPr>
          <w:p w:rsidR="009C2AC5" w:rsidRDefault="009C2AC5" w:rsidP="00E3253D">
            <w:pPr>
              <w:pStyle w:val="libFootnote0"/>
              <w:rPr>
                <w:rStyle w:val="libFootnote0Char"/>
                <w:rtl/>
              </w:rPr>
            </w:pPr>
            <w:r w:rsidRPr="0042621E">
              <w:rPr>
                <w:rStyle w:val="libFootnote0Char"/>
                <w:rtl/>
              </w:rPr>
              <w:t>(1).</w:t>
            </w:r>
            <w:r>
              <w:rPr>
                <w:rtl/>
              </w:rPr>
              <w:t xml:space="preserve"> </w:t>
            </w:r>
            <w:r w:rsidRPr="005D642E">
              <w:rPr>
                <w:rtl/>
              </w:rPr>
              <w:t>في « بخ » : « قطرة بعد قطرة »</w:t>
            </w:r>
            <w:r>
              <w:rPr>
                <w:rtl/>
              </w:rPr>
              <w:t>.</w:t>
            </w:r>
          </w:p>
        </w:tc>
        <w:tc>
          <w:tcPr>
            <w:tcW w:w="4006" w:type="dxa"/>
          </w:tcPr>
          <w:p w:rsidR="009C2AC5" w:rsidRDefault="009C2AC5" w:rsidP="00E3253D">
            <w:pPr>
              <w:pStyle w:val="libFootnote0"/>
              <w:rPr>
                <w:rStyle w:val="libFootnote0Char"/>
                <w:rtl/>
              </w:rPr>
            </w:pPr>
            <w:r w:rsidRPr="0042621E">
              <w:rPr>
                <w:rStyle w:val="libFootnote0Char"/>
                <w:rtl/>
              </w:rPr>
              <w:t>(2).</w:t>
            </w:r>
            <w:r w:rsidRPr="005D642E">
              <w:rPr>
                <w:rtl/>
              </w:rPr>
              <w:t xml:space="preserve"> في « بح ، جح » : « فإنّما » بدل « فإنّه إنّما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جن » : « هي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بح ، جح ، جس ، جن » </w:t>
      </w:r>
      <w:r w:rsidR="000D749A" w:rsidRPr="000D749A">
        <w:rPr>
          <w:rStyle w:val="libFootnoteBoldChar"/>
          <w:rtl/>
        </w:rPr>
        <w:t>والوافي</w:t>
      </w:r>
      <w:r w:rsidR="00E3253D" w:rsidRPr="005D642E">
        <w:rPr>
          <w:rtl/>
        </w:rPr>
        <w:t xml:space="preserve"> والوسائل : « فإنّه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جح » : « يستخرج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 « لاتخبروهم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9C2AC5">
        <w:rPr>
          <w:rStyle w:val="libFootnoteAlaemChar"/>
          <w:rtl/>
        </w:rPr>
        <w:t>عليه‌السلام</w:t>
      </w:r>
      <w:r w:rsidR="00E3253D" w:rsidRPr="005D642E">
        <w:rPr>
          <w:rtl/>
        </w:rPr>
        <w:t xml:space="preserve"> : لاتخبروهنّ ، الظاهر أنّ الضمير راجع إلى نساء العامّة ، ويحتمل على بعد أن يكون المراد مطلق النساء »</w:t>
      </w:r>
      <w:r w:rsidR="00E3253D">
        <w:rPr>
          <w:rtl/>
        </w:rPr>
        <w:t>.</w:t>
      </w:r>
    </w:p>
    <w:tbl>
      <w:tblPr>
        <w:tblStyle w:val="TableGrid"/>
        <w:bidiVisual/>
        <w:tblW w:w="0" w:type="auto"/>
        <w:tblLook w:val="04A0" w:firstRow="1" w:lastRow="0" w:firstColumn="1" w:lastColumn="0" w:noHBand="0" w:noVBand="1"/>
      </w:tblPr>
      <w:tblGrid>
        <w:gridCol w:w="4006"/>
        <w:gridCol w:w="4006"/>
      </w:tblGrid>
      <w:tr w:rsidR="009C2AC5" w:rsidTr="009C2AC5">
        <w:tc>
          <w:tcPr>
            <w:tcW w:w="4006" w:type="dxa"/>
          </w:tcPr>
          <w:p w:rsidR="009C2AC5" w:rsidRDefault="009C2AC5" w:rsidP="00E3253D">
            <w:pPr>
              <w:pStyle w:val="libFootnote0"/>
              <w:rPr>
                <w:rStyle w:val="libFootnote0Char"/>
                <w:rtl/>
              </w:rPr>
            </w:pPr>
            <w:r w:rsidRPr="0042621E">
              <w:rPr>
                <w:rStyle w:val="libFootnote0Char"/>
                <w:rtl/>
              </w:rPr>
              <w:t>(7).</w:t>
            </w:r>
            <w:r w:rsidRPr="005D642E">
              <w:rPr>
                <w:rtl/>
              </w:rPr>
              <w:t xml:space="preserve"> في « جس » : « وذروهم »</w:t>
            </w:r>
            <w:r>
              <w:rPr>
                <w:rtl/>
              </w:rPr>
              <w:t>.</w:t>
            </w:r>
          </w:p>
        </w:tc>
        <w:tc>
          <w:tcPr>
            <w:tcW w:w="4006" w:type="dxa"/>
          </w:tcPr>
          <w:p w:rsidR="009C2AC5" w:rsidRDefault="009C2AC5" w:rsidP="00E3253D">
            <w:pPr>
              <w:pStyle w:val="libFootnote0"/>
              <w:rPr>
                <w:rStyle w:val="libFootnote0Char"/>
                <w:rtl/>
              </w:rPr>
            </w:pPr>
            <w:r w:rsidRPr="0042621E">
              <w:rPr>
                <w:rStyle w:val="libFootnote0Char"/>
                <w:rtl/>
              </w:rPr>
              <w:t>(8).</w:t>
            </w:r>
            <w:r w:rsidRPr="005D642E">
              <w:rPr>
                <w:rtl/>
              </w:rPr>
              <w:t xml:space="preserve"> في الوافي : « وملّتهنّ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والوسائل : « ففعلنا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بخ ، بس ، بف » وحاشية « بث ، جح » : « المرأة »</w:t>
      </w:r>
      <w:r w:rsidR="00E3253D">
        <w:rPr>
          <w:rtl/>
        </w:rPr>
        <w:t>.</w:t>
      </w:r>
    </w:p>
    <w:tbl>
      <w:tblPr>
        <w:tblStyle w:val="TableGrid"/>
        <w:bidiVisual/>
        <w:tblW w:w="0" w:type="auto"/>
        <w:tblLook w:val="04A0" w:firstRow="1" w:lastRow="0" w:firstColumn="1" w:lastColumn="0" w:noHBand="0" w:noVBand="1"/>
      </w:tblPr>
      <w:tblGrid>
        <w:gridCol w:w="4006"/>
        <w:gridCol w:w="4006"/>
      </w:tblGrid>
      <w:tr w:rsidR="009C2AC5" w:rsidTr="009C2AC5">
        <w:tc>
          <w:tcPr>
            <w:tcW w:w="4006" w:type="dxa"/>
          </w:tcPr>
          <w:p w:rsidR="009C2AC5" w:rsidRDefault="009C2AC5" w:rsidP="00E3253D">
            <w:pPr>
              <w:pStyle w:val="libFootnote0"/>
              <w:rPr>
                <w:rStyle w:val="libFootnote0Char"/>
                <w:rtl/>
              </w:rPr>
            </w:pPr>
            <w:r w:rsidRPr="0042621E">
              <w:rPr>
                <w:rStyle w:val="libFootnote0Char"/>
                <w:rtl/>
              </w:rPr>
              <w:t>(11).</w:t>
            </w:r>
            <w:r w:rsidRPr="005D642E">
              <w:rPr>
                <w:rtl/>
              </w:rPr>
              <w:t xml:space="preserve"> في « جس » : « التي »</w:t>
            </w:r>
            <w:r>
              <w:rPr>
                <w:rtl/>
              </w:rPr>
              <w:t>.</w:t>
            </w:r>
          </w:p>
        </w:tc>
        <w:tc>
          <w:tcPr>
            <w:tcW w:w="4006" w:type="dxa"/>
          </w:tcPr>
          <w:p w:rsidR="009C2AC5" w:rsidRDefault="009C2AC5" w:rsidP="009C2AC5">
            <w:pPr>
              <w:pStyle w:val="libFootnote0"/>
              <w:rPr>
                <w:rStyle w:val="libFootnote0Char"/>
                <w:rtl/>
              </w:rPr>
            </w:pPr>
            <w:r w:rsidRPr="0042621E">
              <w:rPr>
                <w:rStyle w:val="libFootnote0Char"/>
                <w:rtl/>
              </w:rPr>
              <w:t>(12).</w:t>
            </w:r>
            <w:r w:rsidRPr="005D642E">
              <w:rPr>
                <w:rtl/>
              </w:rPr>
              <w:t xml:space="preserve"> في«ى،بخ،بس، بف » </w:t>
            </w:r>
            <w:r w:rsidRPr="000D749A">
              <w:rPr>
                <w:rStyle w:val="libFootnoteBoldChar"/>
                <w:rtl/>
              </w:rPr>
              <w:t>والوافي</w:t>
            </w:r>
            <w:r w:rsidRPr="005D642E">
              <w:rPr>
                <w:rtl/>
              </w:rPr>
              <w:t xml:space="preserve"> : « وانقطع »</w:t>
            </w:r>
            <w:r>
              <w:rPr>
                <w:rtl/>
              </w:rPr>
              <w:t>.</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الوافي : + « الدم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w:t>
      </w:r>
      <w:r w:rsidR="00E3253D" w:rsidRPr="002F4D34">
        <w:rPr>
          <w:rStyle w:val="libFootnoteBoldChar"/>
          <w:rtl/>
        </w:rPr>
        <w:t>الوافي</w:t>
      </w:r>
      <w:r w:rsidR="00E3253D" w:rsidRPr="005D642E">
        <w:rPr>
          <w:rtl/>
        </w:rPr>
        <w:t xml:space="preserve"> ، ج 6 ، ص 500 ، ح 4789 ؛ </w:t>
      </w:r>
      <w:r w:rsidR="00E3253D" w:rsidRPr="002F4D34">
        <w:rPr>
          <w:rStyle w:val="libFootnoteBoldChar"/>
          <w:rtl/>
        </w:rPr>
        <w:t>الوسائل</w:t>
      </w:r>
      <w:r w:rsidR="00E3253D" w:rsidRPr="005D642E">
        <w:rPr>
          <w:rtl/>
        </w:rPr>
        <w:t xml:space="preserve"> ، ج 2 ، ص 310 ، ح 2216.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قُلْتُ لِأَبِي عَبْدِ اللهِ </w:t>
      </w:r>
      <w:r w:rsidRPr="00AC51C5">
        <w:rPr>
          <w:rStyle w:val="libAlaemChar"/>
          <w:rtl/>
        </w:rPr>
        <w:t>عليه‌السلام</w:t>
      </w:r>
      <w:r w:rsidRPr="005D642E">
        <w:rPr>
          <w:rtl/>
          <w:lang w:bidi="fa-IR"/>
        </w:rPr>
        <w:t xml:space="preserve"> : إِنَّ النِّسَاءَ الْيَوْمَ أَحْدَثْنَ مَشْطاً </w:t>
      </w:r>
      <w:r w:rsidRPr="007C12DB">
        <w:rPr>
          <w:rStyle w:val="libFootnotenumChar"/>
          <w:rtl/>
        </w:rPr>
        <w:t>(1)</w:t>
      </w:r>
      <w:r w:rsidRPr="005D642E">
        <w:rPr>
          <w:rtl/>
          <w:lang w:bidi="fa-IR"/>
        </w:rPr>
        <w:t xml:space="preserve"> تَعْمِدُ إِحْدَاهُنَّ إِلَى الْقَرَامِلِ </w:t>
      </w:r>
      <w:r w:rsidRPr="007C12DB">
        <w:rPr>
          <w:rStyle w:val="libFootnotenumChar"/>
          <w:rtl/>
        </w:rPr>
        <w:t>(2)</w:t>
      </w:r>
      <w:r w:rsidRPr="005D642E">
        <w:rPr>
          <w:rtl/>
          <w:lang w:bidi="fa-IR"/>
        </w:rPr>
        <w:t xml:space="preserve"> مِنَ الصُّوفِ ، تَفْعَلُهُ الْمَاشِطَةُ تَصْنَعُهُ مَعَ الشَّعْرِ ، ثُمَّ تَحْشُوهُ </w:t>
      </w:r>
      <w:r w:rsidRPr="007C12DB">
        <w:rPr>
          <w:rStyle w:val="libFootnotenumChar"/>
          <w:rtl/>
        </w:rPr>
        <w:t>(3)</w:t>
      </w:r>
      <w:r w:rsidRPr="005D642E">
        <w:rPr>
          <w:rtl/>
          <w:lang w:bidi="fa-IR"/>
        </w:rPr>
        <w:t xml:space="preserve"> بِالرَّيَاحِينِ ، ثُمَّ تَجْعَلُ </w:t>
      </w:r>
      <w:r w:rsidRPr="007C12DB">
        <w:rPr>
          <w:rStyle w:val="libFootnotenumChar"/>
          <w:rtl/>
        </w:rPr>
        <w:t>(4)</w:t>
      </w:r>
      <w:r w:rsidRPr="005D642E">
        <w:rPr>
          <w:rtl/>
          <w:lang w:bidi="fa-IR"/>
        </w:rPr>
        <w:t xml:space="preserve"> عَلَيْهِ خِرْقَةً رَقِيقَةً ، ثُمَّ تَخِيطُهُ بِمِسَلَّةٍ </w:t>
      </w:r>
      <w:r w:rsidRPr="007C12DB">
        <w:rPr>
          <w:rStyle w:val="libFootnotenumChar"/>
          <w:rtl/>
        </w:rPr>
        <w:t>(5)</w:t>
      </w:r>
      <w:r w:rsidRPr="005D642E">
        <w:rPr>
          <w:rtl/>
          <w:lang w:bidi="fa-IR"/>
        </w:rPr>
        <w:t xml:space="preserve"> ، ثُمَّ تَجْعَلُهُ فِي رَأْسِهَا ، ثُمَّ تُصِيبُهَا الْجَنَابَةُ</w:t>
      </w:r>
      <w:r>
        <w:rPr>
          <w:rtl/>
          <w:lang w:bidi="fa-IR"/>
        </w:rPr>
        <w:t>؟</w:t>
      </w:r>
    </w:p>
    <w:p w:rsidR="00E3253D" w:rsidRPr="005D642E" w:rsidRDefault="00E3253D" w:rsidP="00E3253D">
      <w:pPr>
        <w:pStyle w:val="libNormal"/>
        <w:rPr>
          <w:rtl/>
          <w:lang w:bidi="fa-IR"/>
        </w:rPr>
      </w:pPr>
      <w:r w:rsidRPr="005D642E">
        <w:rPr>
          <w:rtl/>
          <w:lang w:bidi="fa-IR"/>
        </w:rPr>
        <w:t xml:space="preserve">فَقَالَ : « كَانَ النِّسَاءُ الْأُوَلُ إِنَّمَا يَمْتَشِطْنَ </w:t>
      </w:r>
      <w:r w:rsidRPr="007C12DB">
        <w:rPr>
          <w:rStyle w:val="libFootnotenumChar"/>
          <w:rtl/>
        </w:rPr>
        <w:t>(6)</w:t>
      </w:r>
      <w:r w:rsidRPr="005D642E">
        <w:rPr>
          <w:rtl/>
          <w:lang w:bidi="fa-IR"/>
        </w:rPr>
        <w:t xml:space="preserve"> الْمَقَادِيمَ ، فَإِذَا أَصَابَهُنَّ </w:t>
      </w:r>
      <w:r w:rsidRPr="007C12DB">
        <w:rPr>
          <w:rStyle w:val="libFootnotenumChar"/>
          <w:rtl/>
        </w:rPr>
        <w:t>(7)</w:t>
      </w:r>
      <w:r w:rsidRPr="005D642E">
        <w:rPr>
          <w:rtl/>
          <w:lang w:bidi="fa-IR"/>
        </w:rPr>
        <w:t xml:space="preserve"> الْغُسْلُ بِقَذَرٍ </w:t>
      </w:r>
      <w:r w:rsidRPr="007C12DB">
        <w:rPr>
          <w:rStyle w:val="libFootnotenumChar"/>
          <w:rtl/>
        </w:rPr>
        <w:t>(8)</w:t>
      </w:r>
      <w:r w:rsidRPr="005D642E">
        <w:rPr>
          <w:rtl/>
          <w:lang w:bidi="fa-IR"/>
        </w:rPr>
        <w:t xml:space="preserve"> ،</w:t>
      </w:r>
      <w:r>
        <w:rPr>
          <w:rFonts w:hint="cs"/>
          <w:rtl/>
          <w:lang w:bidi="fa-IR"/>
        </w:rPr>
        <w:t xml:space="preserve"> </w:t>
      </w:r>
      <w:r w:rsidRPr="005D642E">
        <w:rPr>
          <w:rtl/>
          <w:lang w:bidi="fa-IR"/>
        </w:rPr>
        <w:t xml:space="preserve">مُرْهَا أَنْ تُرَوِّيَ رَأْسَهَا مِنَ الْمَاءِ </w:t>
      </w:r>
      <w:r w:rsidRPr="007C12DB">
        <w:rPr>
          <w:rStyle w:val="libFootnotenumChar"/>
          <w:rtl/>
        </w:rPr>
        <w:t>(9)</w:t>
      </w:r>
      <w:r w:rsidRPr="005D642E">
        <w:rPr>
          <w:rtl/>
          <w:lang w:bidi="fa-IR"/>
        </w:rPr>
        <w:t xml:space="preserve"> وَتَعْصِرَهُ حَتّى يَرْوى </w:t>
      </w:r>
      <w:r w:rsidRPr="007C12DB">
        <w:rPr>
          <w:rStyle w:val="libFootnotenumChar"/>
          <w:rtl/>
        </w:rPr>
        <w:t>(10)</w:t>
      </w:r>
      <w:r w:rsidRPr="005D642E">
        <w:rPr>
          <w:rtl/>
          <w:lang w:bidi="fa-IR"/>
        </w:rPr>
        <w:t xml:space="preserve"> ، فَإِذَا رَوِيَ </w:t>
      </w:r>
      <w:r w:rsidRPr="007C12DB">
        <w:rPr>
          <w:rStyle w:val="libFootnotenumChar"/>
          <w:rtl/>
        </w:rPr>
        <w:t>(11)</w:t>
      </w:r>
      <w:r w:rsidRPr="005D642E">
        <w:rPr>
          <w:rtl/>
          <w:lang w:bidi="fa-IR"/>
        </w:rPr>
        <w:t xml:space="preserve"> فَلَا بَأْسَ عَلَيْهَا »</w:t>
      </w:r>
      <w:r>
        <w:rPr>
          <w:rtl/>
          <w:lang w:bidi="fa-IR"/>
        </w:rPr>
        <w:t>.</w:t>
      </w:r>
    </w:p>
    <w:p w:rsidR="00E3253D" w:rsidRPr="005D642E" w:rsidRDefault="00E3253D" w:rsidP="00E3253D">
      <w:pPr>
        <w:pStyle w:val="libNormal"/>
        <w:rPr>
          <w:rtl/>
          <w:lang w:bidi="fa-IR"/>
        </w:rPr>
      </w:pPr>
      <w:r w:rsidRPr="005D642E">
        <w:rPr>
          <w:rtl/>
          <w:lang w:bidi="fa-IR"/>
        </w:rPr>
        <w:t>قَالَ : قُلْتُ : فَالْحَائِضُ</w:t>
      </w:r>
      <w:r>
        <w:rPr>
          <w:rtl/>
          <w:lang w:bidi="fa-IR"/>
        </w:rPr>
        <w:t>؟</w:t>
      </w:r>
      <w:r w:rsidRPr="005D642E">
        <w:rPr>
          <w:rtl/>
          <w:lang w:bidi="fa-IR"/>
        </w:rPr>
        <w:t xml:space="preserve"> قَالَ : « تَنْقُضُ </w:t>
      </w:r>
      <w:r w:rsidRPr="007C12DB">
        <w:rPr>
          <w:rStyle w:val="libFootnotenumChar"/>
          <w:rtl/>
        </w:rPr>
        <w:t>(12)</w:t>
      </w:r>
      <w:r w:rsidRPr="005D642E">
        <w:rPr>
          <w:rtl/>
          <w:lang w:bidi="fa-IR"/>
        </w:rPr>
        <w:t xml:space="preserve"> ‌</w:t>
      </w:r>
      <w:r w:rsidR="0079416E">
        <w:rPr>
          <w:rFonts w:hint="cs"/>
          <w:rtl/>
          <w:lang w:bidi="fa-IR"/>
        </w:rPr>
        <w:t>....................................</w:t>
      </w:r>
      <w:r w:rsidR="0079416E">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المشط » مثلّثة الفاء وككتف وعنق وعُتُلّ ومِنْبَر : آلة يتمشّط بها. قال الفيّومي : « وتميم تكسر وهو القياس ؛ لأنّه آلة. وفي </w:t>
      </w:r>
      <w:r w:rsidR="00E3253D" w:rsidRPr="002F4D34">
        <w:rPr>
          <w:rStyle w:val="libFootnoteBoldChar"/>
          <w:rtl/>
        </w:rPr>
        <w:t>الوافي</w:t>
      </w:r>
      <w:r w:rsidR="00E3253D" w:rsidRPr="005D642E">
        <w:rPr>
          <w:rtl/>
        </w:rPr>
        <w:t xml:space="preserve"> : « المشط : التزيين »</w:t>
      </w:r>
      <w:r w:rsidR="00E3253D">
        <w:rPr>
          <w:rtl/>
        </w:rPr>
        <w:t>.</w:t>
      </w:r>
      <w:r w:rsidR="00E3253D" w:rsidRPr="005D642E">
        <w:rPr>
          <w:rtl/>
        </w:rPr>
        <w:t xml:space="preserve"> راجع : </w:t>
      </w:r>
      <w:r w:rsidR="00E3253D" w:rsidRPr="002F4D34">
        <w:rPr>
          <w:rStyle w:val="libFootnoteBoldChar"/>
          <w:rtl/>
        </w:rPr>
        <w:t>المصباح المنير</w:t>
      </w:r>
      <w:r w:rsidR="00E3253D" w:rsidRPr="005D642E">
        <w:rPr>
          <w:rtl/>
        </w:rPr>
        <w:t xml:space="preserve"> ، ص 574 ؛ </w:t>
      </w:r>
      <w:r w:rsidR="00E3253D" w:rsidRPr="002F4D34">
        <w:rPr>
          <w:rStyle w:val="libFootnoteBoldChar"/>
          <w:rtl/>
        </w:rPr>
        <w:t>القاموس المحيط</w:t>
      </w:r>
      <w:r w:rsidR="00E3253D" w:rsidRPr="005D642E">
        <w:rPr>
          <w:rtl/>
        </w:rPr>
        <w:t xml:space="preserve"> ، ج 1 ، ص 926.</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القَرامِلُ والقَراميل » : ما تشدّه المرأة في شَعرها. وقيل : هي ضفائر وخيوط من شعر أو صوف أو إبريسم‌تصل به المرأة شَعرها. راجع : </w:t>
      </w:r>
      <w:r w:rsidR="00E3253D" w:rsidRPr="002F4D34">
        <w:rPr>
          <w:rStyle w:val="libFootnoteBoldChar"/>
          <w:rtl/>
        </w:rPr>
        <w:t>الصحاح</w:t>
      </w:r>
      <w:r w:rsidR="00E3253D" w:rsidRPr="005D642E">
        <w:rPr>
          <w:rtl/>
        </w:rPr>
        <w:t xml:space="preserve"> ، ج 5 ، ص 1801 ؛ </w:t>
      </w:r>
      <w:r w:rsidR="00E3253D" w:rsidRPr="002F4D34">
        <w:rPr>
          <w:rStyle w:val="libFootnoteBoldChar"/>
          <w:rtl/>
        </w:rPr>
        <w:t>النهاية</w:t>
      </w:r>
      <w:r w:rsidR="00E3253D" w:rsidRPr="005D642E">
        <w:rPr>
          <w:rtl/>
        </w:rPr>
        <w:t xml:space="preserve"> ، ج 4 ، ص 50 ( قرمل )</w:t>
      </w:r>
      <w:r w:rsidR="00E3253D">
        <w:rPr>
          <w:rtl/>
        </w:rPr>
        <w:t>.</w:t>
      </w:r>
    </w:p>
    <w:p w:rsidR="00E3253D" w:rsidRPr="005D642E" w:rsidRDefault="0042621E" w:rsidP="0079416E">
      <w:pPr>
        <w:pStyle w:val="libFootnote0"/>
        <w:rPr>
          <w:rtl/>
          <w:lang w:bidi="fa-IR"/>
        </w:rPr>
      </w:pPr>
      <w:r w:rsidRPr="0042621E">
        <w:rPr>
          <w:rStyle w:val="libFootnote0Char"/>
          <w:rtl/>
        </w:rPr>
        <w:t>(3).</w:t>
      </w:r>
      <w:r w:rsidR="00E3253D" w:rsidRPr="005D642E">
        <w:rPr>
          <w:rtl/>
        </w:rPr>
        <w:t xml:space="preserve"> « الحَشْوُ » : ملْ‌ءُ الوسادة وغيرها بشي‌ء ، يقال : حَشَا الوِسادةَ والفراشَ وغيرهما بالقطن ، يحشوها حشواً أي ملأها ، واسم ذلك الشي‌ء الحشو على لفظ المصدر. راجع : </w:t>
      </w:r>
      <w:r w:rsidR="00E3253D" w:rsidRPr="002F4D34">
        <w:rPr>
          <w:rStyle w:val="libFootnoteBoldChar"/>
          <w:rtl/>
        </w:rPr>
        <w:t>لسان العرب</w:t>
      </w:r>
      <w:r w:rsidR="00E3253D" w:rsidRPr="005D642E">
        <w:rPr>
          <w:rtl/>
        </w:rPr>
        <w:t xml:space="preserve"> ، ج 14 ، ص 180 ؛ </w:t>
      </w:r>
      <w:r w:rsidR="00E3253D" w:rsidRPr="002F4D34">
        <w:rPr>
          <w:rStyle w:val="libFootnoteBoldChar"/>
          <w:rtl/>
        </w:rPr>
        <w:t>القاموس المحيط</w:t>
      </w:r>
      <w:r w:rsidR="00E3253D" w:rsidRPr="005D642E">
        <w:rPr>
          <w:rtl/>
        </w:rPr>
        <w:t xml:space="preserve"> ، ج 2 ، ص 1672 ( حشا )</w:t>
      </w:r>
      <w:r w:rsidR="00E3253D">
        <w:rPr>
          <w:rtl/>
        </w:rPr>
        <w:t>.</w:t>
      </w:r>
      <w:r w:rsidR="0079416E">
        <w:rPr>
          <w:rFonts w:hint="cs"/>
          <w:rtl/>
        </w:rPr>
        <w:t xml:space="preserve">                  </w:t>
      </w:r>
      <w:r w:rsidRPr="0042621E">
        <w:rPr>
          <w:rStyle w:val="libFootnote0Char"/>
          <w:rtl/>
        </w:rPr>
        <w:t>(4).</w:t>
      </w:r>
      <w:r w:rsidR="00E3253D" w:rsidRPr="005D642E">
        <w:rPr>
          <w:rtl/>
        </w:rPr>
        <w:t xml:space="preserve"> في « بح » : « ثمّ يجعل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المِسَلَّة » : الإبرة العظيمة. وقيل : مِخْيَطُ ضَخْم. راجع : </w:t>
      </w:r>
      <w:r w:rsidR="00E3253D" w:rsidRPr="002F4D34">
        <w:rPr>
          <w:rStyle w:val="libFootnoteBoldChar"/>
          <w:rtl/>
        </w:rPr>
        <w:t>الصحاح</w:t>
      </w:r>
      <w:r w:rsidR="00E3253D" w:rsidRPr="005D642E">
        <w:rPr>
          <w:rtl/>
        </w:rPr>
        <w:t xml:space="preserve"> ، ج 5 ، ص 1731 ؛ </w:t>
      </w:r>
      <w:r w:rsidR="00E3253D" w:rsidRPr="002F4D34">
        <w:rPr>
          <w:rStyle w:val="libFootnoteBoldChar"/>
          <w:rtl/>
        </w:rPr>
        <w:t xml:space="preserve">لسان العرب </w:t>
      </w:r>
      <w:r w:rsidR="00E3253D" w:rsidRPr="005D642E">
        <w:rPr>
          <w:rtl/>
        </w:rPr>
        <w:t>، ج 11 ، ص 342 ( سلل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بخ ، جس » والوسائل : « يتمشّطن »</w:t>
      </w:r>
      <w:r w:rsidR="00E3253D">
        <w:rPr>
          <w:rtl/>
        </w:rPr>
        <w:t>.</w:t>
      </w:r>
      <w:r w:rsidR="00E3253D" w:rsidRPr="005D642E">
        <w:rPr>
          <w:rtl/>
        </w:rPr>
        <w:t xml:space="preserve"> وفي « جن » </w:t>
      </w:r>
      <w:r w:rsidR="000D749A" w:rsidRPr="000D749A">
        <w:rPr>
          <w:rStyle w:val="libFootnoteBoldChar"/>
          <w:rtl/>
        </w:rPr>
        <w:t>والوافي</w:t>
      </w:r>
      <w:r w:rsidR="00E3253D" w:rsidRPr="005D642E">
        <w:rPr>
          <w:rtl/>
        </w:rPr>
        <w:t xml:space="preserve"> ومرآة العقول : « يمشطن »</w:t>
      </w:r>
      <w:r w:rsidR="00E3253D">
        <w:rPr>
          <w:rtl/>
        </w:rPr>
        <w:t>.</w:t>
      </w:r>
      <w:r w:rsidR="00E3253D" w:rsidRPr="005D642E">
        <w:rPr>
          <w:rtl/>
        </w:rPr>
        <w:t xml:space="preserve"> وقال في </w:t>
      </w:r>
      <w:r w:rsidR="00E3253D" w:rsidRPr="002F4D34">
        <w:rPr>
          <w:rStyle w:val="libFootnoteBoldChar"/>
          <w:rtl/>
        </w:rPr>
        <w:t>الوافي</w:t>
      </w:r>
      <w:r w:rsidR="00E3253D" w:rsidRPr="005D642E">
        <w:rPr>
          <w:rtl/>
        </w:rPr>
        <w:t xml:space="preserve"> : « إنّما يمشطن المقاديم ؛ يعني كنّ يكتفين بمشط مقاديم رؤوسهنّ ولا يمشطن خلفها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2A2408">
        <w:rPr>
          <w:rStyle w:val="libFootnoteAlaemChar"/>
          <w:rtl/>
        </w:rPr>
        <w:t>عليه‌السلام</w:t>
      </w:r>
      <w:r w:rsidR="00E3253D" w:rsidRPr="005D642E">
        <w:rPr>
          <w:rtl/>
        </w:rPr>
        <w:t xml:space="preserve"> : إنّما يمشطن المقاديم ، أي كنّ يجمعنه ، فلا يمنع من وصول الماء بسهولة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غ » </w:t>
      </w:r>
      <w:r w:rsidR="000D749A" w:rsidRPr="000D749A">
        <w:rPr>
          <w:rStyle w:val="libFootnoteBoldChar"/>
          <w:rtl/>
        </w:rPr>
        <w:t>والوافي</w:t>
      </w:r>
      <w:r w:rsidR="00E3253D" w:rsidRPr="005D642E">
        <w:rPr>
          <w:rtl/>
        </w:rPr>
        <w:t xml:space="preserve"> : « أصابها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يفسد »</w:t>
      </w:r>
      <w:r w:rsidR="00E3253D">
        <w:rPr>
          <w:rtl/>
        </w:rPr>
        <w:t>.</w:t>
      </w:r>
      <w:r w:rsidR="00E3253D" w:rsidRPr="005D642E">
        <w:rPr>
          <w:rtl/>
        </w:rPr>
        <w:t xml:space="preserve"> وفي « بس » : « يقذر »</w:t>
      </w:r>
      <w:r w:rsidR="00E3253D">
        <w:rPr>
          <w:rtl/>
        </w:rPr>
        <w:t>.</w:t>
      </w:r>
      <w:r w:rsidR="00E3253D" w:rsidRPr="005D642E">
        <w:rPr>
          <w:rtl/>
        </w:rPr>
        <w:t xml:space="preserve"> وفي حاشية « غ » : « بعد »</w:t>
      </w:r>
      <w:r w:rsidR="00E3253D">
        <w:rPr>
          <w:rtl/>
        </w:rPr>
        <w:t>.</w:t>
      </w:r>
      <w:r w:rsidR="00E3253D" w:rsidRPr="005D642E">
        <w:rPr>
          <w:rtl/>
        </w:rPr>
        <w:t xml:space="preserve"> وفي الوسائل : « تغدر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بقذر ، أي بسبب حدث من جنابة أو دم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 بقذر ، أي بجنابة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جن » : « من إناء »</w:t>
      </w:r>
      <w:r w:rsidR="00E3253D">
        <w:rPr>
          <w:rtl/>
        </w:rPr>
        <w:t>.</w:t>
      </w:r>
      <w:r w:rsidR="00E3253D" w:rsidRPr="005D642E">
        <w:rPr>
          <w:rtl/>
        </w:rPr>
        <w:t xml:space="preserve"> وقوله : « أن تروّي رأسها من الماء » ، أي تسقيه به ، يقال : رِوىَ من الماء يروى ، أي شرب منه وشبع ، وروّاه وأرواه به ، أي سقاه به ، والمراد هنا المبالغة</w:t>
      </w:r>
      <w:r w:rsidR="002A2408">
        <w:rPr>
          <w:rtl/>
        </w:rPr>
        <w:t xml:space="preserve"> في إيصال الماء ، كما قال العل</w:t>
      </w:r>
      <w:r w:rsidR="002A2408">
        <w:rPr>
          <w:rFonts w:hint="cs"/>
          <w:rtl/>
        </w:rPr>
        <w:t>ّ</w:t>
      </w:r>
      <w:r w:rsidR="002A2408">
        <w:rPr>
          <w:rtl/>
        </w:rPr>
        <w:t>ا</w:t>
      </w:r>
      <w:r w:rsidR="00E3253D" w:rsidRPr="005D642E">
        <w:rPr>
          <w:rtl/>
        </w:rPr>
        <w:t xml:space="preserve">مة الفيض. راجع : </w:t>
      </w:r>
      <w:r w:rsidR="00E3253D" w:rsidRPr="002F4D34">
        <w:rPr>
          <w:rStyle w:val="libFootnoteBoldChar"/>
          <w:rtl/>
        </w:rPr>
        <w:t>لسان العرب</w:t>
      </w:r>
      <w:r w:rsidR="00E3253D" w:rsidRPr="005D642E">
        <w:rPr>
          <w:rtl/>
        </w:rPr>
        <w:t xml:space="preserve"> ، ج 14 ، ص 346 ؛ </w:t>
      </w:r>
      <w:r w:rsidR="00E3253D" w:rsidRPr="002F4D34">
        <w:rPr>
          <w:rStyle w:val="libFootnoteBoldChar"/>
          <w:rtl/>
        </w:rPr>
        <w:t>المصباح المنير</w:t>
      </w:r>
      <w:r w:rsidR="00E3253D" w:rsidRPr="005D642E">
        <w:rPr>
          <w:rtl/>
        </w:rPr>
        <w:t xml:space="preserve"> ، ص 246 ( روى )</w:t>
      </w:r>
      <w:r w:rsidR="00E3253D">
        <w:rPr>
          <w:rtl/>
        </w:rPr>
        <w:t>.</w:t>
      </w:r>
    </w:p>
    <w:tbl>
      <w:tblPr>
        <w:tblStyle w:val="TableGrid"/>
        <w:bidiVisual/>
        <w:tblW w:w="0" w:type="auto"/>
        <w:tblLook w:val="04A0" w:firstRow="1" w:lastRow="0" w:firstColumn="1" w:lastColumn="0" w:noHBand="0" w:noVBand="1"/>
      </w:tblPr>
      <w:tblGrid>
        <w:gridCol w:w="4006"/>
        <w:gridCol w:w="4006"/>
      </w:tblGrid>
      <w:tr w:rsidR="002A2408" w:rsidTr="002A2408">
        <w:tc>
          <w:tcPr>
            <w:tcW w:w="4006" w:type="dxa"/>
          </w:tcPr>
          <w:p w:rsidR="002A2408" w:rsidRDefault="002A2408" w:rsidP="00E3253D">
            <w:pPr>
              <w:pStyle w:val="libFootnote0"/>
              <w:rPr>
                <w:rStyle w:val="libFootnote0Char"/>
                <w:rtl/>
              </w:rPr>
            </w:pPr>
            <w:r w:rsidRPr="0042621E">
              <w:rPr>
                <w:rStyle w:val="libFootnote0Char"/>
                <w:rtl/>
              </w:rPr>
              <w:t>(10).</w:t>
            </w:r>
            <w:r w:rsidRPr="005D642E">
              <w:rPr>
                <w:rtl/>
              </w:rPr>
              <w:t xml:space="preserve"> في « بح » : « حتّى يروّى »</w:t>
            </w:r>
            <w:r>
              <w:rPr>
                <w:rtl/>
              </w:rPr>
              <w:t>.</w:t>
            </w:r>
          </w:p>
        </w:tc>
        <w:tc>
          <w:tcPr>
            <w:tcW w:w="4006" w:type="dxa"/>
          </w:tcPr>
          <w:p w:rsidR="002A2408" w:rsidRDefault="002A2408" w:rsidP="00E3253D">
            <w:pPr>
              <w:pStyle w:val="libFootnote0"/>
              <w:rPr>
                <w:rStyle w:val="libFootnote0Char"/>
                <w:rtl/>
              </w:rPr>
            </w:pPr>
            <w:r w:rsidRPr="0042621E">
              <w:rPr>
                <w:rStyle w:val="libFootnote0Char"/>
                <w:rtl/>
              </w:rPr>
              <w:t>(11).</w:t>
            </w:r>
            <w:r w:rsidRPr="005D642E">
              <w:rPr>
                <w:rtl/>
              </w:rPr>
              <w:t xml:space="preserve"> في « بح » : « روّى »</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ى » : « تنقص »</w:t>
      </w:r>
      <w:r w:rsidR="00E3253D">
        <w:rPr>
          <w:rtl/>
        </w:rPr>
        <w:t>.</w:t>
      </w:r>
      <w:r w:rsidR="00E3253D" w:rsidRPr="005D642E">
        <w:rPr>
          <w:rtl/>
        </w:rPr>
        <w:t xml:space="preserve"> وفي « بث ، جس » : « ينقض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الْمَشْطَ </w:t>
      </w:r>
      <w:r w:rsidRPr="007C12DB">
        <w:rPr>
          <w:rStyle w:val="libFootnotenumChar"/>
          <w:rtl/>
        </w:rPr>
        <w:t>(1)</w:t>
      </w:r>
      <w:r w:rsidRPr="005D642E">
        <w:rPr>
          <w:rtl/>
          <w:lang w:bidi="fa-IR"/>
        </w:rPr>
        <w:t xml:space="preserve"> نَقْضاً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p>
    <w:p w:rsidR="00E3253D" w:rsidRPr="005D642E" w:rsidRDefault="00E3253D" w:rsidP="00E3253D">
      <w:pPr>
        <w:pStyle w:val="libNormal"/>
        <w:rPr>
          <w:rtl/>
          <w:lang w:bidi="fa-IR"/>
        </w:rPr>
      </w:pPr>
      <w:r w:rsidRPr="00544BA3">
        <w:rPr>
          <w:rtl/>
        </w:rPr>
        <w:t>4173</w:t>
      </w:r>
      <w:r w:rsidRPr="00246318">
        <w:rPr>
          <w:rStyle w:val="libBold2Char"/>
          <w:rtl/>
        </w:rPr>
        <w:t xml:space="preserve"> / 2.</w:t>
      </w:r>
      <w:r w:rsidRPr="005D642E">
        <w:rPr>
          <w:rtl/>
          <w:lang w:bidi="fa-IR"/>
        </w:rPr>
        <w:t xml:space="preserve"> مُحَمَّدُ بْنُ يَحْيى ، عَنْ أَحْمَدَ بْنِ مُحَمَّد ، عَنْ أَحْمَدَ بْنِ مُحَمَّدِ بْنِ أَبِي نَصْرٍ </w:t>
      </w:r>
      <w:r w:rsidRPr="007C12DB">
        <w:rPr>
          <w:rStyle w:val="libFootnotenumChar"/>
          <w:rtl/>
        </w:rPr>
        <w:t>(4)</w:t>
      </w:r>
      <w:r w:rsidRPr="005D642E">
        <w:rPr>
          <w:rtl/>
          <w:lang w:bidi="fa-IR"/>
        </w:rPr>
        <w:t xml:space="preserve"> ، عَنْ مُثَنًّى الْحَنَّاطِ ، عَنْ حَسَنٍ الصَّيْقَلِ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الطَّامِثُ </w:t>
      </w:r>
      <w:r w:rsidRPr="007C12DB">
        <w:rPr>
          <w:rStyle w:val="libFootnotenumChar"/>
          <w:rtl/>
        </w:rPr>
        <w:t>(5)</w:t>
      </w:r>
      <w:r w:rsidRPr="005D642E">
        <w:rPr>
          <w:rtl/>
          <w:lang w:bidi="fa-IR"/>
        </w:rPr>
        <w:t xml:space="preserve"> تَغْتَسِلُ بِتِسْعَةِ أَرْطَالٍ مِنْ مَاءٍ </w:t>
      </w:r>
      <w:r w:rsidRPr="007C12DB">
        <w:rPr>
          <w:rStyle w:val="libFootnotenumChar"/>
          <w:rtl/>
        </w:rPr>
        <w:t>(6)</w:t>
      </w:r>
      <w:r w:rsidRPr="005D642E">
        <w:rPr>
          <w:rtl/>
          <w:lang w:bidi="fa-IR"/>
        </w:rPr>
        <w:t xml:space="preserve">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544BA3">
        <w:rPr>
          <w:rtl/>
        </w:rPr>
        <w:t>4174</w:t>
      </w:r>
      <w:r w:rsidRPr="00246318">
        <w:rPr>
          <w:rStyle w:val="libBold2Char"/>
          <w:rtl/>
        </w:rPr>
        <w:t xml:space="preserve"> / 3.</w:t>
      </w:r>
      <w:r w:rsidRPr="005D642E">
        <w:rPr>
          <w:rtl/>
          <w:lang w:bidi="fa-IR"/>
        </w:rPr>
        <w:t xml:space="preserve"> عَلِيُّ بْنُ مُحَمَّدٍ وَغَيْرُهُ ، عَنْ سَهْلِ بْنِ زِيَادٍ ، عَنِ ابْنِ مَحْبُوبٍ ، عَنِ ابْنِ رِئَابٍ ، عَنْ أَبِي عُبَيْدَةَ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الْمَرْأَةِ الْحَائِضِ تَرَى الطُّهْرَ وَهِيَ فِي السَّفَرِ ، وَلَيْسَ مَعَهَا مِنَ الْمَاءِ مَا يَكْفِيهَا لِغُسْلِهَا وَقَدْ حَضَرَتِ الصَّلَاةُ</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الوسائل : « المشطة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 « نقصاً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214 : « قوله </w:t>
      </w:r>
      <w:r w:rsidR="00E3253D" w:rsidRPr="002A2408">
        <w:rPr>
          <w:rStyle w:val="libFootnoteAlaemChar"/>
          <w:rtl/>
        </w:rPr>
        <w:t>عليه‌السلام</w:t>
      </w:r>
      <w:r w:rsidR="00E3253D" w:rsidRPr="005D642E">
        <w:rPr>
          <w:rtl/>
        </w:rPr>
        <w:t xml:space="preserve"> : تنقض المشط نقضاً ، محمول على الاستحباب ؛ لأنّ الجنابة أكثر وقوعاً من الحيض ، والنقض في كلّ مرّة لايخلو من عسر وحرج بخلاف الحيض ؛ فإنّها في الشهر مرّة ، وأيضاً الخباثة الحاصلة من الحيض أكثر منها من الجنابة ، فتأمّل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راجع : </w:t>
      </w:r>
      <w:r w:rsidR="00E3253D" w:rsidRPr="002F4D34">
        <w:rPr>
          <w:rStyle w:val="libFootnoteBoldChar"/>
          <w:rtl/>
        </w:rPr>
        <w:t>الفقيه</w:t>
      </w:r>
      <w:r w:rsidR="00E3253D" w:rsidRPr="005D642E">
        <w:rPr>
          <w:rtl/>
        </w:rPr>
        <w:t xml:space="preserve"> ، ج 1 ، ص 101 ، ح 208 </w:t>
      </w:r>
      <w:r w:rsidR="002A2408">
        <w:rPr>
          <w:rFonts w:hint="cs"/>
          <w:rtl/>
        </w:rPr>
        <w:t>.</w:t>
      </w:r>
      <w:r w:rsidR="00E3253D" w:rsidRPr="002F4D34">
        <w:rPr>
          <w:rStyle w:val="libFootnoteBoldChar"/>
          <w:rtl/>
        </w:rPr>
        <w:t>الوافي</w:t>
      </w:r>
      <w:r w:rsidR="00E3253D" w:rsidRPr="005D642E">
        <w:rPr>
          <w:rtl/>
        </w:rPr>
        <w:t xml:space="preserve"> ، ج 6 ، ص 508 ، ح 4808 : </w:t>
      </w:r>
      <w:r w:rsidR="00E3253D" w:rsidRPr="002F4D34">
        <w:rPr>
          <w:rStyle w:val="libFootnoteBoldChar"/>
          <w:rtl/>
        </w:rPr>
        <w:t>الوسائل</w:t>
      </w:r>
      <w:r w:rsidR="00E3253D" w:rsidRPr="005D642E">
        <w:rPr>
          <w:rtl/>
        </w:rPr>
        <w:t xml:space="preserve"> ، ج 2 ، ص 256 ، ح 2096.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بث ، بخ » وحاشية « ظ ، غ » والوسائل. وفي « ظ ، ى ، بح ، بس ، بف ، جح ، جس ، جن » والمطبوع : « محمّد بن يحيى ، عن أحمد بن محمّد بن أبي نصر »</w:t>
      </w:r>
      <w:r w:rsidR="00E3253D">
        <w:rPr>
          <w:rtl/>
        </w:rPr>
        <w:t>.</w:t>
      </w:r>
    </w:p>
    <w:p w:rsidR="00E3253D" w:rsidRPr="005D642E" w:rsidRDefault="00E3253D" w:rsidP="00E3253D">
      <w:pPr>
        <w:pStyle w:val="libFootnote0"/>
        <w:rPr>
          <w:rtl/>
          <w:lang w:bidi="fa-IR"/>
        </w:rPr>
      </w:pPr>
      <w:r w:rsidRPr="00B60612">
        <w:rPr>
          <w:rtl/>
        </w:rPr>
        <w:t xml:space="preserve">والصواب ما أثبتناه ؛ فقد روى محمّد بن يحيى ، عن أحمد بن محمّد [ بن عيسى ] عن [ أحمد بن محمّد ] بن أبي نصر ، في أسناد عديدة. راجع : </w:t>
      </w:r>
      <w:r w:rsidRPr="002F4D34">
        <w:rPr>
          <w:rStyle w:val="libFootnoteBoldChar"/>
          <w:rtl/>
        </w:rPr>
        <w:t>معجم رجال الحديث</w:t>
      </w:r>
      <w:r w:rsidRPr="00B60612">
        <w:rPr>
          <w:rtl/>
        </w:rPr>
        <w:t xml:space="preserve"> ، ج 2 ، ص 468 </w:t>
      </w:r>
      <w:r w:rsidR="007642BC" w:rsidRPr="00B60612">
        <w:rPr>
          <w:rtl/>
        </w:rPr>
        <w:t>-</w:t>
      </w:r>
      <w:r w:rsidRPr="00B60612">
        <w:rPr>
          <w:rtl/>
        </w:rPr>
        <w:t xml:space="preserve"> 470 و 487 </w:t>
      </w:r>
      <w:r w:rsidR="007642BC" w:rsidRPr="00B60612">
        <w:rPr>
          <w:rtl/>
        </w:rPr>
        <w:t>-</w:t>
      </w:r>
      <w:r w:rsidRPr="00B60612">
        <w:rPr>
          <w:rtl/>
        </w:rPr>
        <w:t xml:space="preserve"> 489.</w:t>
      </w:r>
    </w:p>
    <w:p w:rsidR="00E3253D" w:rsidRPr="005D642E" w:rsidRDefault="00E3253D" w:rsidP="00B60612">
      <w:pPr>
        <w:pStyle w:val="libFootnote0"/>
        <w:rPr>
          <w:rtl/>
          <w:lang w:bidi="fa-IR"/>
        </w:rPr>
      </w:pPr>
      <w:r w:rsidRPr="0095070A">
        <w:rPr>
          <w:rtl/>
        </w:rPr>
        <w:t>هذا ، ويُعْلَم بالتأمّل في الساقط أنّ منشأ السقط هو جواز النظر من « أحمد بن محمّد » الأوّل إلى « أحمد بن محمّد » في « أحمد بن محمّد بن أبي نصر »</w:t>
      </w:r>
      <w:r>
        <w:rPr>
          <w:rtl/>
        </w:rPr>
        <w:t>.</w:t>
      </w:r>
    </w:p>
    <w:p w:rsidR="00E3253D" w:rsidRPr="005D642E" w:rsidRDefault="0042621E" w:rsidP="002A2408">
      <w:pPr>
        <w:pStyle w:val="libFootnote0"/>
        <w:rPr>
          <w:rtl/>
          <w:lang w:bidi="fa-IR"/>
        </w:rPr>
      </w:pPr>
      <w:r w:rsidRPr="0042621E">
        <w:rPr>
          <w:rStyle w:val="libFootnote0Char"/>
          <w:rtl/>
        </w:rPr>
        <w:t>(5).</w:t>
      </w:r>
      <w:r w:rsidR="00E3253D" w:rsidRPr="005D642E">
        <w:rPr>
          <w:rtl/>
        </w:rPr>
        <w:t xml:space="preserve"> « الطامث » : الحائض ، يقال : طمثت المرأة من باب ضرب وسمع ونصر : حاضت. وقيل : إذا حاضت أوّل ما تحيض. وخصّ بعضهم به حيض الجارية. راجع : </w:t>
      </w:r>
      <w:r w:rsidR="00E3253D" w:rsidRPr="002F4D34">
        <w:rPr>
          <w:rStyle w:val="libFootnoteBoldChar"/>
          <w:rtl/>
        </w:rPr>
        <w:t>لسان العرب</w:t>
      </w:r>
      <w:r w:rsidR="00E3253D" w:rsidRPr="005D642E">
        <w:rPr>
          <w:rtl/>
        </w:rPr>
        <w:t xml:space="preserve"> ، ج 2 ، ص 165 ؛ </w:t>
      </w:r>
      <w:r w:rsidR="00E3253D" w:rsidRPr="002F4D34">
        <w:rPr>
          <w:rStyle w:val="libFootnoteBoldChar"/>
          <w:rtl/>
        </w:rPr>
        <w:t>القاموس المحيط</w:t>
      </w:r>
      <w:r w:rsidR="00E3253D" w:rsidRPr="005D642E">
        <w:rPr>
          <w:rtl/>
        </w:rPr>
        <w:t xml:space="preserve"> ، ج 1 ، ص 273 ( طمث )</w:t>
      </w:r>
      <w:r w:rsidR="00E3253D">
        <w:rPr>
          <w:rtl/>
        </w:rPr>
        <w:t>.</w:t>
      </w:r>
      <w:r w:rsidR="002A2408">
        <w:rPr>
          <w:rFonts w:hint="cs"/>
          <w:rtl/>
        </w:rPr>
        <w:t xml:space="preserve">                                 </w:t>
      </w:r>
      <w:r w:rsidRPr="0042621E">
        <w:rPr>
          <w:rStyle w:val="libFootnote0Char"/>
          <w:rtl/>
        </w:rPr>
        <w:t>(6).</w:t>
      </w:r>
      <w:r w:rsidR="00E3253D" w:rsidRPr="005D642E">
        <w:rPr>
          <w:rtl/>
        </w:rPr>
        <w:t xml:space="preserve"> في التهذيب ، ص 106 : « من الماء »</w:t>
      </w:r>
      <w:r w:rsidR="00E3253D">
        <w:rPr>
          <w:rtl/>
        </w:rPr>
        <w:t>.</w:t>
      </w:r>
    </w:p>
    <w:p w:rsidR="00E3253D" w:rsidRPr="005D642E" w:rsidRDefault="0042621E" w:rsidP="002A2408">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106 ، ح 8 ، بسنده عن الكليني. </w:t>
      </w:r>
      <w:r w:rsidR="00E3253D" w:rsidRPr="002F4D34">
        <w:rPr>
          <w:rStyle w:val="libFootnoteBoldChar"/>
          <w:rtl/>
        </w:rPr>
        <w:t>وفيه</w:t>
      </w:r>
      <w:r w:rsidR="00E3253D" w:rsidRPr="005D642E">
        <w:rPr>
          <w:rtl/>
        </w:rPr>
        <w:t xml:space="preserve"> ، ص 399 ، ح 1246 ، معلّقاً عن محمّد بن أحمد بن يحيى ، عن أحمد بن محمّد بن أبي نصر. </w:t>
      </w:r>
      <w:r w:rsidR="00E3253D" w:rsidRPr="002F4D34">
        <w:rPr>
          <w:rStyle w:val="libFootnoteBoldChar"/>
          <w:rtl/>
        </w:rPr>
        <w:t>الاستبصار</w:t>
      </w:r>
      <w:r w:rsidR="00E3253D" w:rsidRPr="005D642E">
        <w:rPr>
          <w:rtl/>
        </w:rPr>
        <w:t xml:space="preserve"> ، ج 1 ، ص 147 ، ح 507 ، بسنده عن محمّد بن يحيى ، عن محمّد بن أحمد بن يحيى ، عن أحمد بن محمّد بن أبي نصر. راجع : </w:t>
      </w:r>
      <w:r w:rsidR="00E3253D" w:rsidRPr="002F4D34">
        <w:rPr>
          <w:rStyle w:val="libFootnoteBoldChar"/>
          <w:rtl/>
        </w:rPr>
        <w:t>الفقيه</w:t>
      </w:r>
      <w:r w:rsidR="00E3253D" w:rsidRPr="005D642E">
        <w:rPr>
          <w:rtl/>
        </w:rPr>
        <w:t xml:space="preserve"> ، ج 1 ، ص 141 ، ح 393</w:t>
      </w:r>
      <w:r w:rsidR="002A2408">
        <w:rPr>
          <w:rFonts w:hint="cs"/>
          <w:rtl/>
        </w:rPr>
        <w:t>.</w:t>
      </w:r>
      <w:r w:rsidR="00E3253D" w:rsidRPr="002F4D34">
        <w:rPr>
          <w:rStyle w:val="libFootnoteBoldChar"/>
          <w:rtl/>
        </w:rPr>
        <w:t>الوافي</w:t>
      </w:r>
      <w:r w:rsidR="00E3253D" w:rsidRPr="005D642E">
        <w:rPr>
          <w:rtl/>
        </w:rPr>
        <w:t xml:space="preserve"> ، ج 6 ، ص 525 ، ح 4850 ؛ </w:t>
      </w:r>
      <w:r w:rsidR="00E3253D" w:rsidRPr="002F4D34">
        <w:rPr>
          <w:rStyle w:val="libFootnoteBoldChar"/>
          <w:rtl/>
        </w:rPr>
        <w:t>الوسائل</w:t>
      </w:r>
      <w:r w:rsidR="00E3253D" w:rsidRPr="005D642E">
        <w:rPr>
          <w:rtl/>
        </w:rPr>
        <w:t xml:space="preserve"> ، ج 2 ، ص 240 ، ح 2044 ؛ وص 311 ، ح 2219.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إِذَا </w:t>
      </w:r>
      <w:r w:rsidRPr="007C12DB">
        <w:rPr>
          <w:rStyle w:val="libFootnotenumChar"/>
          <w:rtl/>
        </w:rPr>
        <w:t>(1)</w:t>
      </w:r>
      <w:r w:rsidRPr="005D642E">
        <w:rPr>
          <w:rtl/>
          <w:lang w:bidi="fa-IR"/>
        </w:rPr>
        <w:t xml:space="preserve"> كَانَ مَعَهَا بِقَدْرِ مَا تَغْسِلُ </w:t>
      </w:r>
      <w:r w:rsidRPr="007C12DB">
        <w:rPr>
          <w:rStyle w:val="libFootnotenumChar"/>
          <w:rtl/>
        </w:rPr>
        <w:t>(2)</w:t>
      </w:r>
      <w:r w:rsidRPr="005D642E">
        <w:rPr>
          <w:rtl/>
          <w:lang w:bidi="fa-IR"/>
        </w:rPr>
        <w:t xml:space="preserve"> بِهِ فَرْجَهَا ، فَتَغْسِلُهُ ، ثُمَّ تَتَيَمَّمُ وَتُصَلِّي »</w:t>
      </w:r>
      <w:r>
        <w:rPr>
          <w:rtl/>
          <w:lang w:bidi="fa-IR"/>
        </w:rPr>
        <w:t>.</w:t>
      </w:r>
    </w:p>
    <w:p w:rsidR="00E3253D" w:rsidRPr="005D642E" w:rsidRDefault="00E3253D" w:rsidP="00E3253D">
      <w:pPr>
        <w:pStyle w:val="libNormal"/>
        <w:rPr>
          <w:rtl/>
          <w:lang w:bidi="fa-IR"/>
        </w:rPr>
      </w:pPr>
      <w:r w:rsidRPr="005D642E">
        <w:rPr>
          <w:rtl/>
          <w:lang w:bidi="fa-IR"/>
        </w:rPr>
        <w:t>قُلْتُ : فَيَأْتِيهَا زَوْجُهَا فِي تِلْكَ الْحَالِ</w:t>
      </w:r>
      <w:r>
        <w:rPr>
          <w:rtl/>
          <w:lang w:bidi="fa-IR"/>
        </w:rPr>
        <w:t>؟</w:t>
      </w:r>
    </w:p>
    <w:p w:rsidR="00E3253D" w:rsidRPr="005D642E" w:rsidRDefault="00E3253D" w:rsidP="00E3253D">
      <w:pPr>
        <w:pStyle w:val="libNormal"/>
        <w:rPr>
          <w:rtl/>
          <w:lang w:bidi="fa-IR"/>
        </w:rPr>
      </w:pPr>
      <w:r w:rsidRPr="005D642E">
        <w:rPr>
          <w:rtl/>
          <w:lang w:bidi="fa-IR"/>
        </w:rPr>
        <w:t xml:space="preserve">قَالَ : « نَعَمْ ، إِذَا غَسَلَتْ </w:t>
      </w:r>
      <w:r w:rsidRPr="007C12DB">
        <w:rPr>
          <w:rStyle w:val="libFootnotenumChar"/>
          <w:rtl/>
        </w:rPr>
        <w:t>(3)</w:t>
      </w:r>
      <w:r w:rsidRPr="005D642E">
        <w:rPr>
          <w:rtl/>
          <w:lang w:bidi="fa-IR"/>
        </w:rPr>
        <w:t xml:space="preserve"> فَرْجَهَا وَتَيَمَّمَتْ ، فَلَا بَأْسَ </w:t>
      </w:r>
      <w:r w:rsidRPr="007C12DB">
        <w:rPr>
          <w:rStyle w:val="libFootnotenumChar"/>
          <w:rtl/>
        </w:rPr>
        <w:t>(4)</w:t>
      </w:r>
      <w:r w:rsidRPr="005D642E">
        <w:rPr>
          <w:rtl/>
          <w:lang w:bidi="fa-IR"/>
        </w:rPr>
        <w:t xml:space="preserve">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544BA3">
        <w:rPr>
          <w:rtl/>
        </w:rPr>
        <w:t>4175</w:t>
      </w:r>
      <w:r w:rsidRPr="00246318">
        <w:rPr>
          <w:rStyle w:val="libBold2Char"/>
          <w:rtl/>
        </w:rPr>
        <w:t xml:space="preserve"> / 4.</w:t>
      </w:r>
      <w:r w:rsidRPr="005D642E">
        <w:rPr>
          <w:rtl/>
          <w:lang w:bidi="fa-IR"/>
        </w:rPr>
        <w:t xml:space="preserve"> مُحَمَّدُ بْنُ يَحْيى ، عَنْ أَحْمَدَ بْنِ مُحَمَّدٍ ، عَنِ ابْنِ مَحْبُوبٍ ، عَنْ أَبِي أَيُّوبَ الْخَرَّازِ </w:t>
      </w:r>
      <w:r w:rsidRPr="007C12DB">
        <w:rPr>
          <w:rStyle w:val="libFootnotenumChar"/>
          <w:rtl/>
        </w:rPr>
        <w:t>(6)</w:t>
      </w:r>
      <w:r w:rsidRPr="005D642E">
        <w:rPr>
          <w:rtl/>
          <w:lang w:bidi="fa-IR"/>
        </w:rPr>
        <w:t xml:space="preserve">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الْحَائِضُ مَا بَلَغَ بَلَلُ الْمَاءِ مِنْ شَعْرِهَا ، أَجْزَأَهَا »</w:t>
      </w:r>
      <w:r>
        <w:rPr>
          <w:rtl/>
          <w:lang w:bidi="fa-IR"/>
        </w:rPr>
        <w:t>.</w:t>
      </w:r>
      <w:r w:rsidRPr="005D642E">
        <w:rPr>
          <w:rtl/>
          <w:lang w:bidi="fa-IR"/>
        </w:rPr>
        <w:t xml:space="preserve"> </w:t>
      </w:r>
      <w:r w:rsidRPr="007C12DB">
        <w:rPr>
          <w:rStyle w:val="libFootnotenumChar"/>
          <w:rtl/>
        </w:rPr>
        <w:t>(7)</w:t>
      </w:r>
    </w:p>
    <w:p w:rsidR="00E3253D" w:rsidRPr="005D642E" w:rsidRDefault="00E3253D" w:rsidP="00E3253D">
      <w:pPr>
        <w:pStyle w:val="libNormal"/>
        <w:rPr>
          <w:rtl/>
          <w:lang w:bidi="fa-IR"/>
        </w:rPr>
      </w:pPr>
      <w:r w:rsidRPr="00544BA3">
        <w:rPr>
          <w:rtl/>
        </w:rPr>
        <w:t>4176</w:t>
      </w:r>
      <w:r w:rsidRPr="00246318">
        <w:rPr>
          <w:rStyle w:val="libBold2Char"/>
          <w:rtl/>
        </w:rPr>
        <w:t xml:space="preserve"> / 5.</w:t>
      </w:r>
      <w:r w:rsidRPr="005D642E">
        <w:rPr>
          <w:rtl/>
          <w:lang w:bidi="fa-IR"/>
        </w:rPr>
        <w:t xml:space="preserve"> أَبُو عَلِيٍّ الْأَشْعَرِيُّ ، عَنْ مُحَمَّدِ بْنِ أَحْمَدَ ، عَنْ أَحْمَدَ بْنِ الْحَسَنِ بْنِ عَلِيٍّ ، عَنْ عَمْرِو بْنِ سَعِيدٍ ، عَنْ مُصَدِّقِ بْنِ صَدَقَةَ ، عَنْ عَمَّارِ بْنِ مُوسى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الْحَائِضِ تَغْتَسِلُ وَعَلى جَسَدِهَا الزَّعْفَرَانُ </w:t>
      </w:r>
      <w:r w:rsidRPr="007C12DB">
        <w:rPr>
          <w:rStyle w:val="libFootnotenumChar"/>
          <w:rtl/>
        </w:rPr>
        <w:t>(8)</w:t>
      </w:r>
      <w:r w:rsidRPr="005D642E">
        <w:rPr>
          <w:rtl/>
          <w:lang w:bidi="fa-IR"/>
        </w:rPr>
        <w:t xml:space="preserve"> لَمْ يَذْهَبْ بِهِ الْمَاءُ ، قَالَ : « لَا بَأْسَ </w:t>
      </w:r>
      <w:r w:rsidRPr="007C12DB">
        <w:rPr>
          <w:rStyle w:val="libFootnotenumChar"/>
          <w:rtl/>
        </w:rPr>
        <w:t>(9)</w:t>
      </w:r>
      <w:r w:rsidRPr="005D642E">
        <w:rPr>
          <w:rtl/>
          <w:lang w:bidi="fa-IR"/>
        </w:rPr>
        <w:t xml:space="preserve"> »</w:t>
      </w:r>
      <w:r>
        <w:rPr>
          <w:rtl/>
          <w:lang w:bidi="fa-IR"/>
        </w:rPr>
        <w:t>.</w:t>
      </w:r>
      <w:r w:rsidRPr="005D642E">
        <w:rPr>
          <w:rtl/>
          <w:lang w:bidi="fa-IR"/>
        </w:rPr>
        <w:t xml:space="preserve"> </w:t>
      </w:r>
      <w:r w:rsidRPr="007C12DB">
        <w:rPr>
          <w:rStyle w:val="libFootnotenumChar"/>
          <w:rtl/>
        </w:rPr>
        <w:t>(10)</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D5CA1" w:rsidTr="00FD5CA1">
        <w:tc>
          <w:tcPr>
            <w:tcW w:w="4006" w:type="dxa"/>
          </w:tcPr>
          <w:p w:rsidR="00FD5CA1" w:rsidRDefault="00FD5CA1" w:rsidP="00E3253D">
            <w:pPr>
              <w:pStyle w:val="libFootnote0"/>
              <w:rPr>
                <w:rStyle w:val="libFootnote0Char"/>
                <w:rtl/>
              </w:rPr>
            </w:pPr>
            <w:r w:rsidRPr="0042621E">
              <w:rPr>
                <w:rStyle w:val="libFootnote0Char"/>
                <w:rtl/>
              </w:rPr>
              <w:t>(1).</w:t>
            </w:r>
            <w:r>
              <w:rPr>
                <w:rtl/>
              </w:rPr>
              <w:t xml:space="preserve"> </w:t>
            </w:r>
            <w:r w:rsidRPr="005D642E">
              <w:rPr>
                <w:rtl/>
              </w:rPr>
              <w:t>في « جس » : « إن »</w:t>
            </w:r>
            <w:r>
              <w:rPr>
                <w:rtl/>
              </w:rPr>
              <w:t>.</w:t>
            </w:r>
          </w:p>
        </w:tc>
        <w:tc>
          <w:tcPr>
            <w:tcW w:w="4006" w:type="dxa"/>
          </w:tcPr>
          <w:p w:rsidR="00FD5CA1" w:rsidRDefault="00FD5CA1" w:rsidP="00E3253D">
            <w:pPr>
              <w:pStyle w:val="libFootnote0"/>
              <w:rPr>
                <w:rStyle w:val="libFootnote0Char"/>
                <w:rtl/>
              </w:rPr>
            </w:pPr>
            <w:r w:rsidRPr="0042621E">
              <w:rPr>
                <w:rStyle w:val="libFootnote0Char"/>
                <w:rtl/>
              </w:rPr>
              <w:t>(2).</w:t>
            </w:r>
            <w:r w:rsidRPr="005D642E">
              <w:rPr>
                <w:rtl/>
              </w:rPr>
              <w:t xml:space="preserve"> في الوافي : « ما يغسل »</w:t>
            </w:r>
            <w:r>
              <w:rPr>
                <w:rtl/>
              </w:rPr>
              <w:t>.</w:t>
            </w:r>
          </w:p>
        </w:tc>
      </w:tr>
      <w:tr w:rsidR="00FD5CA1" w:rsidTr="00FD5CA1">
        <w:tc>
          <w:tcPr>
            <w:tcW w:w="4006" w:type="dxa"/>
          </w:tcPr>
          <w:p w:rsidR="00FD5CA1" w:rsidRDefault="00FD5CA1" w:rsidP="00E3253D">
            <w:pPr>
              <w:pStyle w:val="libFootnote0"/>
              <w:rPr>
                <w:rStyle w:val="libFootnote0Char"/>
                <w:rtl/>
              </w:rPr>
            </w:pPr>
            <w:r w:rsidRPr="0042621E">
              <w:rPr>
                <w:rStyle w:val="libFootnote0Char"/>
                <w:rtl/>
              </w:rPr>
              <w:t>(3).</w:t>
            </w:r>
            <w:r w:rsidRPr="005D642E">
              <w:rPr>
                <w:rtl/>
              </w:rPr>
              <w:t xml:space="preserve"> في « غ » : « إذا اغتسلت »</w:t>
            </w:r>
            <w:r>
              <w:rPr>
                <w:rtl/>
              </w:rPr>
              <w:t>.</w:t>
            </w:r>
          </w:p>
        </w:tc>
        <w:tc>
          <w:tcPr>
            <w:tcW w:w="4006" w:type="dxa"/>
          </w:tcPr>
          <w:p w:rsidR="00FD5CA1" w:rsidRDefault="00FD5CA1" w:rsidP="00E3253D">
            <w:pPr>
              <w:pStyle w:val="libFootnote0"/>
              <w:rPr>
                <w:rStyle w:val="libFootnote0Char"/>
                <w:rtl/>
              </w:rPr>
            </w:pPr>
            <w:r w:rsidRPr="0042621E">
              <w:rPr>
                <w:rStyle w:val="libFootnote0Char"/>
                <w:rtl/>
              </w:rPr>
              <w:t>(4).</w:t>
            </w:r>
            <w:r w:rsidRPr="005D642E">
              <w:rPr>
                <w:rtl/>
              </w:rPr>
              <w:t xml:space="preserve"> في التهذيب :</w:t>
            </w:r>
            <w:r>
              <w:rPr>
                <w:rtl/>
              </w:rPr>
              <w:t xml:space="preserve"> - </w:t>
            </w:r>
            <w:r w:rsidRPr="005D642E">
              <w:rPr>
                <w:rtl/>
              </w:rPr>
              <w:t>« فلا بأس »</w:t>
            </w:r>
            <w:r>
              <w:rPr>
                <w:rtl/>
              </w:rPr>
              <w:t>.</w:t>
            </w:r>
          </w:p>
        </w:tc>
      </w:tr>
    </w:tbl>
    <w:p w:rsidR="00E3253D" w:rsidRPr="005D642E" w:rsidRDefault="0042621E" w:rsidP="00764B4E">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400 ، ح 1250 ، معلّقاً عن سهل بن زياد. </w:t>
      </w:r>
      <w:r w:rsidR="00E3253D" w:rsidRPr="002F4D34">
        <w:rPr>
          <w:rStyle w:val="libFootnoteBoldChar"/>
          <w:rtl/>
        </w:rPr>
        <w:t>الفقيه</w:t>
      </w:r>
      <w:r w:rsidR="00E3253D" w:rsidRPr="005D642E">
        <w:rPr>
          <w:rtl/>
        </w:rPr>
        <w:t xml:space="preserve"> ، ج 1 ، ص 99 ، ذيل ح 203 ، مع اختلاف يسير</w:t>
      </w:r>
      <w:r w:rsidR="00764B4E">
        <w:rPr>
          <w:rFonts w:hint="cs"/>
          <w:rtl/>
        </w:rPr>
        <w:t>.</w:t>
      </w:r>
      <w:r w:rsidR="00E3253D" w:rsidRPr="002F4D34">
        <w:rPr>
          <w:rStyle w:val="libFootnoteBoldChar"/>
          <w:rtl/>
        </w:rPr>
        <w:t>الوافي</w:t>
      </w:r>
      <w:r w:rsidR="00E3253D" w:rsidRPr="005D642E">
        <w:rPr>
          <w:rtl/>
        </w:rPr>
        <w:t xml:space="preserve"> ، ج 6 ، ص 546 ، ح 4893 ؛ وج 22 ، ص 742 ، ح 22067 ؛ </w:t>
      </w:r>
      <w:r w:rsidR="00E3253D" w:rsidRPr="002F4D34">
        <w:rPr>
          <w:rStyle w:val="libFootnoteBoldChar"/>
          <w:rtl/>
        </w:rPr>
        <w:t>الوسائل</w:t>
      </w:r>
      <w:r w:rsidR="00E3253D" w:rsidRPr="005D642E">
        <w:rPr>
          <w:rtl/>
        </w:rPr>
        <w:t xml:space="preserve"> ، ج 2 ، ص 312 ، ح 2222.</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 ظ ، بث ، بس » والوسائل ، ح 2220. وفي « غ ، ى ، بح ، بخ ، بف ، جح ، جن » والمطبوع : « الخزّار »</w:t>
      </w:r>
      <w:r w:rsidR="00E3253D">
        <w:rPr>
          <w:rtl/>
        </w:rPr>
        <w:t>.</w:t>
      </w:r>
      <w:r w:rsidR="00E3253D" w:rsidRPr="005D642E">
        <w:rPr>
          <w:rtl/>
        </w:rPr>
        <w:t xml:space="preserve"> وفي « جس » : « الخرار »</w:t>
      </w:r>
      <w:r w:rsidR="00E3253D">
        <w:rPr>
          <w:rtl/>
        </w:rPr>
        <w:t>.</w:t>
      </w:r>
      <w:r w:rsidR="00E3253D" w:rsidRPr="005D642E">
        <w:rPr>
          <w:rtl/>
        </w:rPr>
        <w:t xml:space="preserve"> والصواب ما أثبتناه ، كما تقدّم في </w:t>
      </w:r>
      <w:r w:rsidR="00E3253D" w:rsidRPr="002F4D34">
        <w:rPr>
          <w:rStyle w:val="libFootnoteBoldChar"/>
          <w:rtl/>
        </w:rPr>
        <w:t>الكافي</w:t>
      </w:r>
      <w:r w:rsidR="00E3253D" w:rsidRPr="005D642E">
        <w:rPr>
          <w:rtl/>
        </w:rPr>
        <w:t xml:space="preserve"> ، ذيل ح 75.</w:t>
      </w:r>
    </w:p>
    <w:p w:rsidR="00E3253D" w:rsidRPr="005D642E" w:rsidRDefault="0042621E" w:rsidP="00B96869">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400 ، ح 1249 ، معلّقاً عن أحمد بن محمّد ؛ </w:t>
      </w:r>
      <w:r w:rsidR="00E3253D" w:rsidRPr="002F4D34">
        <w:rPr>
          <w:rStyle w:val="libFootnoteBoldChar"/>
          <w:rtl/>
        </w:rPr>
        <w:t>الاستبصار</w:t>
      </w:r>
      <w:r w:rsidR="00E3253D" w:rsidRPr="005D642E">
        <w:rPr>
          <w:rtl/>
        </w:rPr>
        <w:t xml:space="preserve"> ، ج 1 ، ص 148 ، ح 508 ، بسنده عن محمّد بن يحيى ، عن محمّد بن أحمد بن يحيى ، عن أحمد بن محمّد</w:t>
      </w:r>
      <w:r w:rsidR="00B96869">
        <w:rPr>
          <w:rFonts w:hint="cs"/>
          <w:rtl/>
        </w:rPr>
        <w:t>.</w:t>
      </w:r>
      <w:r w:rsidR="00E3253D" w:rsidRPr="002F4D34">
        <w:rPr>
          <w:rStyle w:val="libFootnoteBoldChar"/>
          <w:rtl/>
        </w:rPr>
        <w:t>الوافي</w:t>
      </w:r>
      <w:r w:rsidR="00E3253D" w:rsidRPr="005D642E">
        <w:rPr>
          <w:rtl/>
        </w:rPr>
        <w:t xml:space="preserve"> ، ج 6 ، ص 525 ، ح 4849 ؛ </w:t>
      </w:r>
      <w:r w:rsidR="00E3253D" w:rsidRPr="002F4D34">
        <w:rPr>
          <w:rStyle w:val="libFootnoteBoldChar"/>
          <w:rtl/>
        </w:rPr>
        <w:t>الوسائل</w:t>
      </w:r>
      <w:r w:rsidR="00E3253D" w:rsidRPr="005D642E">
        <w:rPr>
          <w:rtl/>
        </w:rPr>
        <w:t xml:space="preserve"> ، ج 2 ، ص 241 ، ح 2046 ؛ وص 311 ، ح 2220.</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 + « إن »</w:t>
      </w:r>
      <w:r w:rsidR="00E3253D">
        <w:rPr>
          <w:rtl/>
        </w:rPr>
        <w:t>.</w:t>
      </w:r>
    </w:p>
    <w:p w:rsidR="00E3253D" w:rsidRPr="005D642E" w:rsidRDefault="0042621E" w:rsidP="00B96869">
      <w:pPr>
        <w:pStyle w:val="libFootnote0"/>
        <w:rPr>
          <w:rtl/>
          <w:lang w:bidi="fa-IR"/>
        </w:rPr>
      </w:pPr>
      <w:r w:rsidRPr="0042621E">
        <w:rPr>
          <w:rStyle w:val="libFootnote0Char"/>
          <w:rtl/>
        </w:rPr>
        <w:t>(9).</w:t>
      </w:r>
      <w:r w:rsidR="00E3253D" w:rsidRPr="005D642E">
        <w:rPr>
          <w:rtl/>
        </w:rPr>
        <w:t xml:space="preserve"> في « بخ » </w:t>
      </w:r>
      <w:r w:rsidR="000D749A" w:rsidRPr="000D749A">
        <w:rPr>
          <w:rStyle w:val="libFootnoteBoldChar"/>
          <w:rtl/>
        </w:rPr>
        <w:t>وال</w:t>
      </w:r>
      <w:r w:rsidR="00B96869">
        <w:rPr>
          <w:rStyle w:val="libFootnoteBoldChar"/>
          <w:rFonts w:hint="cs"/>
          <w:rtl/>
        </w:rPr>
        <w:t>فقيه</w:t>
      </w:r>
      <w:r w:rsidR="00E3253D" w:rsidRPr="005D642E">
        <w:rPr>
          <w:rtl/>
        </w:rPr>
        <w:t xml:space="preserve"> : + « به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215 : « حمل على لون الزعفران ، أو على الزعفران القليل الذي لم يمنع من وصول الماء ولم يصر سبباً لصيرورته مضافاً »</w:t>
      </w:r>
      <w:r w:rsidR="00E3253D">
        <w:rPr>
          <w:rtl/>
        </w:rPr>
        <w:t>.</w:t>
      </w:r>
    </w:p>
    <w:p w:rsidR="00E3253D" w:rsidRPr="005D642E" w:rsidRDefault="0042621E" w:rsidP="00B96869">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400 ، ح 1248 ، معلّقاً عن محمّد بن أحمد بن يحيى ، عن أحمد بن الحسن بن عليّ. </w:t>
      </w:r>
      <w:r w:rsidR="00E3253D" w:rsidRPr="002F4D34">
        <w:rPr>
          <w:rStyle w:val="libFootnoteBoldChar"/>
          <w:rtl/>
        </w:rPr>
        <w:t>الفقيه</w:t>
      </w:r>
      <w:r w:rsidR="00E3253D" w:rsidRPr="005D642E">
        <w:rPr>
          <w:rtl/>
        </w:rPr>
        <w:t xml:space="preserve"> ، ج 1 ، ص 100 ، ح 208 ، معلّقاً عن عمّار بن موسى الساباطي</w:t>
      </w:r>
      <w:r w:rsidR="00B96869">
        <w:rPr>
          <w:rFonts w:hint="cs"/>
          <w:rtl/>
        </w:rPr>
        <w:t>.</w:t>
      </w:r>
      <w:r w:rsidR="00E3253D" w:rsidRPr="002F4D34">
        <w:rPr>
          <w:rStyle w:val="libFootnoteBoldChar"/>
          <w:rtl/>
        </w:rPr>
        <w:t>الوافي</w:t>
      </w:r>
      <w:r w:rsidR="00E3253D" w:rsidRPr="005D642E">
        <w:rPr>
          <w:rtl/>
        </w:rPr>
        <w:t xml:space="preserve"> ، ج 6 ، ص 510 ، ح 4811 ؛ </w:t>
      </w:r>
      <w:r w:rsidR="00E3253D" w:rsidRPr="002F4D34">
        <w:rPr>
          <w:rStyle w:val="libFootnoteBoldChar"/>
          <w:rtl/>
        </w:rPr>
        <w:t>الوسائل</w:t>
      </w:r>
      <w:r w:rsidR="00E3253D" w:rsidRPr="005D642E">
        <w:rPr>
          <w:rtl/>
        </w:rPr>
        <w:t xml:space="preserve"> ، ج 2 ، ص 240 ، ذيل ح 2042.</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195" w:name="_Toc344647275"/>
      <w:bookmarkStart w:id="196" w:name="_Toc462226790"/>
      <w:bookmarkStart w:id="197" w:name="_Toc40975898"/>
      <w:r w:rsidRPr="005D642E">
        <w:rPr>
          <w:rtl/>
          <w:lang w:bidi="fa-IR"/>
        </w:rPr>
        <w:lastRenderedPageBreak/>
        <w:t>8</w:t>
      </w:r>
      <w:r>
        <w:rPr>
          <w:rtl/>
          <w:lang w:bidi="fa-IR"/>
        </w:rPr>
        <w:t xml:space="preserve"> </w:t>
      </w:r>
      <w:r w:rsidR="007642BC">
        <w:rPr>
          <w:rtl/>
          <w:lang w:bidi="fa-IR"/>
        </w:rPr>
        <w:t>-</w:t>
      </w:r>
      <w:r>
        <w:rPr>
          <w:rtl/>
          <w:lang w:bidi="fa-IR"/>
        </w:rPr>
        <w:t xml:space="preserve"> </w:t>
      </w:r>
      <w:r w:rsidRPr="005D642E">
        <w:rPr>
          <w:rtl/>
          <w:lang w:bidi="fa-IR"/>
        </w:rPr>
        <w:t>بَابُ الْمَرْأَةِ تَرَى الدَّمَ وَهِيَ جُنُبٌ‌</w:t>
      </w:r>
      <w:bookmarkEnd w:id="195"/>
      <w:bookmarkEnd w:id="196"/>
      <w:bookmarkEnd w:id="197"/>
    </w:p>
    <w:p w:rsidR="00E3253D" w:rsidRPr="005D642E" w:rsidRDefault="00E3253D" w:rsidP="00E3253D">
      <w:pPr>
        <w:pStyle w:val="libNormal"/>
        <w:rPr>
          <w:rtl/>
          <w:lang w:bidi="fa-IR"/>
        </w:rPr>
      </w:pPr>
      <w:r w:rsidRPr="00544BA3">
        <w:rPr>
          <w:rtl/>
        </w:rPr>
        <w:t>4177</w:t>
      </w:r>
      <w:r w:rsidRPr="00246318">
        <w:rPr>
          <w:rStyle w:val="libBold2Char"/>
          <w:rtl/>
        </w:rPr>
        <w:t xml:space="preserve"> / 1.</w:t>
      </w:r>
      <w:r w:rsidRPr="005D642E">
        <w:rPr>
          <w:rtl/>
          <w:lang w:bidi="fa-IR"/>
        </w:rPr>
        <w:t xml:space="preserve"> مُحَمَّدُ بْنُ يَحْيى ، عَنْ أَحْمَدَ بْنِ مُحَمَّدٍ ، عَنْ عَلِيِّ بْنِ الْحَكَمِ ، عَنْ عَبْدِ اللهِ بْنِ يَحْيَى الْكَاهِلِيِّ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الْمَرْأَةِ يُجَامِعُهَا زَوْجُهَا ، فَتَحِيضُ وَهِيَ فِي الْمُغْتَسَلِ </w:t>
      </w:r>
      <w:r w:rsidRPr="007C12DB">
        <w:rPr>
          <w:rStyle w:val="libFootnotenumChar"/>
          <w:rtl/>
        </w:rPr>
        <w:t>(1)</w:t>
      </w:r>
      <w:r w:rsidRPr="005D642E">
        <w:rPr>
          <w:rtl/>
          <w:lang w:bidi="fa-IR"/>
        </w:rPr>
        <w:t xml:space="preserve"> : تَغْتَسِلُ ، أَوْ لَاتَغْتَسِلُ</w:t>
      </w:r>
      <w:r>
        <w:rPr>
          <w:rtl/>
          <w:lang w:bidi="fa-IR"/>
        </w:rPr>
        <w:t>؟</w:t>
      </w:r>
    </w:p>
    <w:p w:rsidR="00E3253D" w:rsidRPr="005D642E" w:rsidRDefault="00E3253D" w:rsidP="00E3253D">
      <w:pPr>
        <w:pStyle w:val="libNormal"/>
        <w:rPr>
          <w:rtl/>
          <w:lang w:bidi="fa-IR"/>
        </w:rPr>
      </w:pPr>
      <w:r w:rsidRPr="005D642E">
        <w:rPr>
          <w:rtl/>
          <w:lang w:bidi="fa-IR"/>
        </w:rPr>
        <w:t xml:space="preserve">قَالَ : « قَدْ جَاءَهَا مَا يُفْسِدُ الصَّلَاةَ ، فَلَا تَغْتَسِلُ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p>
    <w:p w:rsidR="00E3253D" w:rsidRPr="005D642E" w:rsidRDefault="00E3253D" w:rsidP="00E3253D">
      <w:pPr>
        <w:pStyle w:val="libNormal"/>
        <w:rPr>
          <w:rtl/>
          <w:lang w:bidi="fa-IR"/>
        </w:rPr>
      </w:pPr>
      <w:r w:rsidRPr="00544BA3">
        <w:rPr>
          <w:rtl/>
        </w:rPr>
        <w:t>4178</w:t>
      </w:r>
      <w:r w:rsidRPr="00246318">
        <w:rPr>
          <w:rStyle w:val="libBold2Char"/>
          <w:rtl/>
        </w:rPr>
        <w:t xml:space="preserve"> / 2.</w:t>
      </w:r>
      <w:r w:rsidRPr="005D642E">
        <w:rPr>
          <w:rtl/>
          <w:lang w:bidi="fa-IR"/>
        </w:rPr>
        <w:t xml:space="preserve"> عَلِيُّ بْنُ إِبْرَاهِيمَ ، عَنْ مُحَمَّدِ بْنِ عِيسى ، عَنْ يُونُسَ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الْمَرْأَةِ تَحِيضُ وَهِيَ جُنُبٌ : هَلْ عَلَيْهَا غُسْلُ الْجَنَابَةِ</w:t>
      </w:r>
      <w:r w:rsidRPr="007C12DB">
        <w:rPr>
          <w:rStyle w:val="libFootnotenumChar"/>
          <w:rtl/>
        </w:rPr>
        <w:t>(4)</w:t>
      </w:r>
      <w:r>
        <w:rPr>
          <w:rtl/>
          <w:lang w:bidi="fa-IR"/>
        </w:rPr>
        <w:t>؟</w:t>
      </w:r>
    </w:p>
    <w:p w:rsidR="00E3253D" w:rsidRPr="005D642E" w:rsidRDefault="00E3253D" w:rsidP="00E3253D">
      <w:pPr>
        <w:pStyle w:val="libNormal"/>
        <w:rPr>
          <w:rtl/>
          <w:lang w:bidi="fa-IR"/>
        </w:rPr>
      </w:pPr>
      <w:r w:rsidRPr="005D642E">
        <w:rPr>
          <w:rtl/>
          <w:lang w:bidi="fa-IR"/>
        </w:rPr>
        <w:t>قَالَ : « غُسْلُ الْجَنَابَةِ وَالْحَيْضِ وَاحِدٌ »</w:t>
      </w:r>
      <w:r>
        <w:rPr>
          <w:rtl/>
          <w:lang w:bidi="fa-IR"/>
        </w:rPr>
        <w:t>.</w:t>
      </w:r>
      <w:r w:rsidRPr="005D642E">
        <w:rPr>
          <w:rtl/>
          <w:lang w:bidi="fa-IR"/>
        </w:rPr>
        <w:t xml:space="preserve"> </w:t>
      </w:r>
      <w:r w:rsidRPr="007C12DB">
        <w:rPr>
          <w:rStyle w:val="libFootnotenumChar"/>
          <w:rtl/>
        </w:rPr>
        <w:t>(5)</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المغسل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الوافي</w:t>
      </w:r>
      <w:r w:rsidR="00E3253D" w:rsidRPr="005D642E">
        <w:rPr>
          <w:rtl/>
        </w:rPr>
        <w:t xml:space="preserve"> : « في هذا الخبر دلالة على أنّ غسل الجنابة لايجب لنفسه ، وإنّما يجب لاستباحة العبادة كما مرّ ، وهذا لا ينافي استحبابه لنفسه قبل وقت العبادة ثمّ الاجتزاء به في الدخول في العبادة بعد وقتها ، ولا وجوبه للعبادة قبل وقتها وجوباً موسّعاً ، وفي حكمه الوضوء وسائر الأغسال. وفي هذا الحكم اشتباه على غير المحصّل وتهكّمات منه باردة وتوهّمات فاسدة »</w:t>
      </w:r>
      <w:r w:rsidR="00E3253D">
        <w:rPr>
          <w:rtl/>
        </w:rPr>
        <w:t>.</w:t>
      </w:r>
    </w:p>
    <w:p w:rsidR="00E3253D" w:rsidRPr="005D642E" w:rsidRDefault="00E3253D" w:rsidP="00E3253D">
      <w:pPr>
        <w:pStyle w:val="libFootnote0"/>
        <w:rPr>
          <w:rtl/>
          <w:lang w:bidi="fa-IR"/>
        </w:rPr>
      </w:pPr>
      <w:r w:rsidRPr="00B60612">
        <w:rPr>
          <w:rtl/>
        </w:rPr>
        <w:t xml:space="preserve">وفي </w:t>
      </w:r>
      <w:r w:rsidRPr="002F4D34">
        <w:rPr>
          <w:rStyle w:val="libFootnoteBoldChar"/>
          <w:rtl/>
        </w:rPr>
        <w:t>مرآة العقول</w:t>
      </w:r>
      <w:r w:rsidRPr="00B60612">
        <w:rPr>
          <w:rtl/>
        </w:rPr>
        <w:t xml:space="preserve"> : « استدلّ بهذا الخبر على أنّ غسل الجنابة واجب لغيره ، ويمكن حمل النهي على عدم تضيّق الوجوب ، أو على أنّ الغسل لايتبعّض بالنظر إلى الأحداث ، بل هو رفع الحدث مطلقاً كالوضوء ؛ فإذا حدث هذا الحدث لايجوز الغسل لرفع الجنابة دونه ».</w:t>
      </w:r>
    </w:p>
    <w:p w:rsidR="00E3253D" w:rsidRPr="005D642E" w:rsidRDefault="0042621E" w:rsidP="00B96869">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370 ، ح 1128 ؛ وص 395 ، ح 1224 ، معلّقاً عن أحمد بن محمّد ، مع اختلاف يسير. </w:t>
      </w:r>
      <w:r w:rsidR="00E3253D" w:rsidRPr="002F4D34">
        <w:rPr>
          <w:rStyle w:val="libFootnoteBoldChar"/>
          <w:rtl/>
        </w:rPr>
        <w:t>وفيه</w:t>
      </w:r>
      <w:r w:rsidR="00E3253D" w:rsidRPr="005D642E">
        <w:rPr>
          <w:rtl/>
        </w:rPr>
        <w:t xml:space="preserve"> ، ص 396 ، ح 1229 ، بسند آخر ، مع اختلاف</w:t>
      </w:r>
      <w:r w:rsidR="00B96869">
        <w:rPr>
          <w:rFonts w:hint="cs"/>
          <w:rtl/>
        </w:rPr>
        <w:t>.</w:t>
      </w:r>
      <w:r w:rsidR="00E3253D" w:rsidRPr="002F4D34">
        <w:rPr>
          <w:rStyle w:val="libFootnoteBoldChar"/>
          <w:rtl/>
        </w:rPr>
        <w:t>الوافي</w:t>
      </w:r>
      <w:r w:rsidR="00E3253D" w:rsidRPr="005D642E">
        <w:rPr>
          <w:rtl/>
        </w:rPr>
        <w:t xml:space="preserve"> ، ج 6 ، ص 534 ، ح 4872 ؛ </w:t>
      </w:r>
      <w:r w:rsidR="00E3253D" w:rsidRPr="002F4D34">
        <w:rPr>
          <w:rStyle w:val="libFootnoteBoldChar"/>
          <w:rtl/>
        </w:rPr>
        <w:t>الوسائل</w:t>
      </w:r>
      <w:r w:rsidR="00E3253D" w:rsidRPr="005D642E">
        <w:rPr>
          <w:rtl/>
        </w:rPr>
        <w:t xml:space="preserve"> ، ج 2 ، ص 203 ، ذيل ح 1928 ؛ وص 314 ، ح 2225.</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 « الغسل للجنابة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395 ، ح 1223 ، معلّقاً عن عليّ بن إبراهيم. وفي </w:t>
      </w:r>
      <w:r w:rsidR="00E3253D" w:rsidRPr="002F4D34">
        <w:rPr>
          <w:rStyle w:val="libFootnoteBoldChar"/>
          <w:rtl/>
        </w:rPr>
        <w:t>التهذيب</w:t>
      </w:r>
      <w:r w:rsidR="00E3253D" w:rsidRPr="005D642E">
        <w:rPr>
          <w:rtl/>
        </w:rPr>
        <w:t xml:space="preserve"> ، ج 1 ، ص 162 ، ح 463 ؛ </w:t>
      </w:r>
      <w:r w:rsidR="00970EF7">
        <w:rPr>
          <w:rFonts w:hint="cs"/>
          <w:rtl/>
        </w:rPr>
        <w:t>و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CC312C">
        <w:rPr>
          <w:rtl/>
        </w:rPr>
        <w:lastRenderedPageBreak/>
        <w:t>4179</w:t>
      </w:r>
      <w:r w:rsidRPr="00246318">
        <w:rPr>
          <w:rStyle w:val="libBold2Char"/>
          <w:rtl/>
        </w:rPr>
        <w:t xml:space="preserve"> / 3.</w:t>
      </w:r>
      <w:r w:rsidRPr="005D642E">
        <w:rPr>
          <w:rtl/>
          <w:lang w:bidi="fa-IR"/>
        </w:rPr>
        <w:t xml:space="preserve"> عَلِيُّ بْنُ إِبْرَاهِيمَ </w:t>
      </w:r>
      <w:r w:rsidRPr="007C12DB">
        <w:rPr>
          <w:rStyle w:val="libFootnotenumChar"/>
          <w:rtl/>
        </w:rPr>
        <w:t>(1)</w:t>
      </w:r>
      <w:r w:rsidRPr="005D642E">
        <w:rPr>
          <w:rtl/>
          <w:lang w:bidi="fa-IR"/>
        </w:rPr>
        <w:t xml:space="preserve"> ، عَنْ أَبِيهِ ، عَنْ إِسْمَاعِيلَ بْنِ مَرَّارٍ ، عَنْ يُونُسَ ، عَنْ سَعِيدِ بْنِ يَسَارٍ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الْمَرْأَةُ ت</w:t>
      </w:r>
      <w:r>
        <w:rPr>
          <w:rtl/>
          <w:lang w:bidi="fa-IR"/>
        </w:rPr>
        <w:t>َرَى الدَّمَ وَهِيَ جُنُبٌ : أَ</w:t>
      </w:r>
      <w:r w:rsidRPr="005D642E">
        <w:rPr>
          <w:rtl/>
          <w:lang w:bidi="fa-IR"/>
        </w:rPr>
        <w:t xml:space="preserve">تَغْتَسِلُ مِنَ الْجَنَابَةِ ، أَمْ غُسْلُ </w:t>
      </w:r>
      <w:r w:rsidRPr="007C12DB">
        <w:rPr>
          <w:rStyle w:val="libFootnotenumChar"/>
          <w:rtl/>
        </w:rPr>
        <w:t>(2)</w:t>
      </w:r>
      <w:r w:rsidRPr="005D642E">
        <w:rPr>
          <w:rtl/>
          <w:lang w:bidi="fa-IR"/>
        </w:rPr>
        <w:t xml:space="preserve"> الْجَنَابَةِ وَالْحَيْضِ </w:t>
      </w:r>
      <w:r w:rsidRPr="007C12DB">
        <w:rPr>
          <w:rStyle w:val="libFootnotenumChar"/>
          <w:rtl/>
        </w:rPr>
        <w:t>(3)</w:t>
      </w:r>
      <w:r>
        <w:rPr>
          <w:rtl/>
          <w:lang w:bidi="fa-IR"/>
        </w:rPr>
        <w:t>؟</w:t>
      </w:r>
    </w:p>
    <w:p w:rsidR="00E3253D" w:rsidRPr="005D642E" w:rsidRDefault="00E3253D" w:rsidP="00E3253D">
      <w:pPr>
        <w:pStyle w:val="libNormal"/>
        <w:rPr>
          <w:rtl/>
          <w:lang w:bidi="fa-IR"/>
        </w:rPr>
      </w:pPr>
      <w:r w:rsidRPr="005D642E">
        <w:rPr>
          <w:rtl/>
          <w:lang w:bidi="fa-IR"/>
        </w:rPr>
        <w:t>فَقَالَ : « قَدْ أَتَاهَا مَا هُوَ أَعْظَمُ مِنْ ذلِكَ »</w:t>
      </w:r>
      <w:r>
        <w:rPr>
          <w:rtl/>
          <w:lang w:bidi="fa-IR"/>
        </w:rPr>
        <w:t>.</w:t>
      </w:r>
      <w:r w:rsidRPr="005D642E">
        <w:rPr>
          <w:rtl/>
          <w:lang w:bidi="fa-IR"/>
        </w:rPr>
        <w:t xml:space="preserve"> </w:t>
      </w:r>
      <w:r w:rsidRPr="007C12DB">
        <w:rPr>
          <w:rStyle w:val="libFootnotenumChar"/>
          <w:rtl/>
        </w:rPr>
        <w:t>(4)</w:t>
      </w:r>
    </w:p>
    <w:p w:rsidR="00E3253D" w:rsidRPr="005D642E" w:rsidRDefault="00E3253D" w:rsidP="00E3253D">
      <w:pPr>
        <w:pStyle w:val="Heading2Center"/>
        <w:rPr>
          <w:rtl/>
          <w:lang w:bidi="fa-IR"/>
        </w:rPr>
      </w:pPr>
      <w:bookmarkStart w:id="198" w:name="_Toc344647276"/>
      <w:bookmarkStart w:id="199" w:name="_Toc462226791"/>
      <w:bookmarkStart w:id="200" w:name="_Toc40975899"/>
      <w:r w:rsidRPr="005D642E">
        <w:rPr>
          <w:rtl/>
          <w:lang w:bidi="fa-IR"/>
        </w:rPr>
        <w:t>9</w:t>
      </w:r>
      <w:r>
        <w:rPr>
          <w:rtl/>
          <w:lang w:bidi="fa-IR"/>
        </w:rPr>
        <w:t xml:space="preserve"> </w:t>
      </w:r>
      <w:r w:rsidR="007642BC">
        <w:rPr>
          <w:rtl/>
          <w:lang w:bidi="fa-IR"/>
        </w:rPr>
        <w:t>-</w:t>
      </w:r>
      <w:r>
        <w:rPr>
          <w:rtl/>
          <w:lang w:bidi="fa-IR"/>
        </w:rPr>
        <w:t xml:space="preserve"> </w:t>
      </w:r>
      <w:r w:rsidRPr="005D642E">
        <w:rPr>
          <w:rtl/>
          <w:lang w:bidi="fa-IR"/>
        </w:rPr>
        <w:t xml:space="preserve">بَابٌ جَامِعٌ </w:t>
      </w:r>
      <w:r w:rsidRPr="007C12DB">
        <w:rPr>
          <w:rStyle w:val="libFootnotenumChar"/>
          <w:rtl/>
        </w:rPr>
        <w:t>(5)</w:t>
      </w:r>
      <w:r>
        <w:rPr>
          <w:rtl/>
        </w:rPr>
        <w:t xml:space="preserve"> </w:t>
      </w:r>
      <w:r w:rsidRPr="005D642E">
        <w:rPr>
          <w:rtl/>
          <w:lang w:bidi="fa-IR"/>
        </w:rPr>
        <w:t xml:space="preserve">فِي الْحَائِضِ </w:t>
      </w:r>
      <w:r w:rsidRPr="007C12DB">
        <w:rPr>
          <w:rStyle w:val="libFootnotenumChar"/>
          <w:rtl/>
        </w:rPr>
        <w:t>(6)</w:t>
      </w:r>
      <w:r>
        <w:rPr>
          <w:rtl/>
        </w:rPr>
        <w:t xml:space="preserve"> </w:t>
      </w:r>
      <w:r w:rsidRPr="005D642E">
        <w:rPr>
          <w:rtl/>
          <w:lang w:bidi="fa-IR"/>
        </w:rPr>
        <w:t>وَالْمُسْتَحَاضَةِ‌</w:t>
      </w:r>
      <w:bookmarkEnd w:id="198"/>
      <w:bookmarkEnd w:id="199"/>
      <w:bookmarkEnd w:id="200"/>
    </w:p>
    <w:p w:rsidR="00E3253D" w:rsidRPr="005D642E" w:rsidRDefault="00E3253D" w:rsidP="00E3253D">
      <w:pPr>
        <w:pStyle w:val="libNormal"/>
        <w:rPr>
          <w:rtl/>
          <w:lang w:bidi="fa-IR"/>
        </w:rPr>
      </w:pPr>
      <w:r w:rsidRPr="00CC312C">
        <w:rPr>
          <w:rtl/>
        </w:rPr>
        <w:t>4180</w:t>
      </w:r>
      <w:r w:rsidRPr="00246318">
        <w:rPr>
          <w:rStyle w:val="libBold2Char"/>
          <w:rtl/>
        </w:rPr>
        <w:t xml:space="preserve"> / 1.</w:t>
      </w:r>
      <w:r w:rsidRPr="005D642E">
        <w:rPr>
          <w:rtl/>
          <w:lang w:bidi="fa-IR"/>
        </w:rPr>
        <w:t xml:space="preserve"> عَلِيُّ بْنُ إِبْرَاهِيمَ ، عَنْ مُحَمَّدِ بْنِ عِيسى ، عَنْ يُونُسَ ، عَنْ غَيْرِ وَاحِدٍ :</w:t>
      </w:r>
    </w:p>
    <w:p w:rsidR="00E3253D" w:rsidRPr="005D642E" w:rsidRDefault="00E3253D" w:rsidP="00E3253D">
      <w:pPr>
        <w:pStyle w:val="libNormal"/>
        <w:rPr>
          <w:rtl/>
          <w:lang w:bidi="fa-IR"/>
        </w:rPr>
      </w:pPr>
      <w:r w:rsidRPr="005D642E">
        <w:rPr>
          <w:rtl/>
          <w:lang w:bidi="fa-IR"/>
        </w:rPr>
        <w:t xml:space="preserve">سَأَلُوا أَبَا عَبْدِ اللهِ </w:t>
      </w:r>
      <w:r w:rsidRPr="00AC51C5">
        <w:rPr>
          <w:rStyle w:val="libAlaemChar"/>
          <w:rtl/>
        </w:rPr>
        <w:t>عليه‌السلام</w:t>
      </w:r>
      <w:r w:rsidRPr="005D642E">
        <w:rPr>
          <w:rtl/>
          <w:lang w:bidi="fa-IR"/>
        </w:rPr>
        <w:t xml:space="preserve"> عَنِ الْحَائِضِ </w:t>
      </w:r>
      <w:r w:rsidRPr="007C12DB">
        <w:rPr>
          <w:rStyle w:val="libFootnotenumChar"/>
          <w:rtl/>
        </w:rPr>
        <w:t>(7)</w:t>
      </w:r>
      <w:r w:rsidRPr="005D642E">
        <w:rPr>
          <w:rtl/>
          <w:lang w:bidi="fa-IR"/>
        </w:rPr>
        <w:t xml:space="preserve"> وَالسُّنَّةِ فِي وَقْتِهِ</w:t>
      </w:r>
      <w:r>
        <w:rPr>
          <w:rtl/>
          <w:lang w:bidi="fa-IR"/>
        </w:rPr>
        <w:t>؟</w:t>
      </w:r>
    </w:p>
    <w:p w:rsidR="00E3253D" w:rsidRPr="005D642E" w:rsidRDefault="00E3253D" w:rsidP="00E3253D">
      <w:pPr>
        <w:pStyle w:val="libNormal"/>
        <w:rPr>
          <w:rtl/>
          <w:lang w:bidi="fa-IR"/>
        </w:rPr>
      </w:pPr>
      <w:r w:rsidRPr="005D642E">
        <w:rPr>
          <w:rtl/>
          <w:lang w:bidi="fa-IR"/>
        </w:rPr>
        <w:t xml:space="preserve">فَقَالَ : « إِنَّ رَسُولَ اللهِ </w:t>
      </w:r>
      <w:r w:rsidR="0042621E" w:rsidRPr="0042621E">
        <w:rPr>
          <w:rStyle w:val="libAlaemChar"/>
          <w:rtl/>
        </w:rPr>
        <w:t>صلى‌الله‌عليه‌وآله</w:t>
      </w:r>
      <w:r w:rsidRPr="005D642E">
        <w:rPr>
          <w:rtl/>
          <w:lang w:bidi="fa-IR"/>
        </w:rPr>
        <w:t xml:space="preserve"> سَنَّ فِي الْحَائِضِ </w:t>
      </w:r>
      <w:r w:rsidRPr="007C12DB">
        <w:rPr>
          <w:rStyle w:val="libFootnotenumChar"/>
          <w:rtl/>
        </w:rPr>
        <w:t>(8)</w:t>
      </w:r>
      <w:r w:rsidRPr="005D642E">
        <w:rPr>
          <w:rtl/>
          <w:lang w:bidi="fa-IR"/>
        </w:rPr>
        <w:t xml:space="preserve"> ثَلَاثَ سُنَنٍ ، بَيَّنَ فِيهَا كُلَّ مُشْكِلٍ لِمَنْ‌</w:t>
      </w:r>
    </w:p>
    <w:p w:rsidR="00E3253D" w:rsidRPr="005D642E" w:rsidRDefault="00E3253D" w:rsidP="00E3253D">
      <w:pPr>
        <w:pStyle w:val="libLine"/>
        <w:rPr>
          <w:rtl/>
          <w:lang w:bidi="fa-IR"/>
        </w:rPr>
      </w:pPr>
      <w:r w:rsidRPr="005D642E">
        <w:rPr>
          <w:rtl/>
          <w:lang w:bidi="fa-IR"/>
        </w:rPr>
        <w:t>__________________</w:t>
      </w:r>
    </w:p>
    <w:p w:rsidR="00E3253D" w:rsidRPr="005D642E" w:rsidRDefault="00970EF7" w:rsidP="001E1AC0">
      <w:pPr>
        <w:pStyle w:val="libFootnote0"/>
        <w:rPr>
          <w:rtl/>
          <w:lang w:bidi="fa-IR"/>
        </w:rPr>
      </w:pPr>
      <w:r>
        <w:rPr>
          <w:rFonts w:hint="cs"/>
          <w:rtl/>
        </w:rPr>
        <w:t xml:space="preserve">= </w:t>
      </w:r>
      <w:r w:rsidR="00E3253D" w:rsidRPr="005D642E">
        <w:rPr>
          <w:rtl/>
        </w:rPr>
        <w:t xml:space="preserve">ص 106 ، ح 274 ؛ </w:t>
      </w:r>
      <w:r w:rsidR="00E3253D" w:rsidRPr="00E678B5">
        <w:rPr>
          <w:rStyle w:val="libFootnoteBoldChar"/>
          <w:rtl/>
        </w:rPr>
        <w:t>والاستبصار</w:t>
      </w:r>
      <w:r w:rsidR="00E3253D" w:rsidRPr="005D642E">
        <w:rPr>
          <w:rtl/>
        </w:rPr>
        <w:t xml:space="preserve"> ، ج 1 ، ص 98 ، ح 317 ؛ </w:t>
      </w:r>
      <w:r w:rsidR="009E68BB" w:rsidRPr="009E68BB">
        <w:rPr>
          <w:rStyle w:val="libFootnoteBoldChar"/>
          <w:rtl/>
        </w:rPr>
        <w:t>والخصال</w:t>
      </w:r>
      <w:r w:rsidR="00E3253D" w:rsidRPr="002F4D34">
        <w:rPr>
          <w:rStyle w:val="libFootnoteBoldChar"/>
          <w:rtl/>
        </w:rPr>
        <w:t xml:space="preserve"> </w:t>
      </w:r>
      <w:r w:rsidR="00E3253D" w:rsidRPr="005D642E">
        <w:rPr>
          <w:rtl/>
        </w:rPr>
        <w:t>، ص 603 ، أبواب الثمانين ومافوقه ، ضمن الحديث الطويل 9 ، بسند آخر هكذا : « غسل الجنابة والحيض واحد »</w:t>
      </w:r>
      <w:r w:rsidR="00E3253D">
        <w:rPr>
          <w:rtl/>
        </w:rPr>
        <w:t>.</w:t>
      </w:r>
      <w:r w:rsidR="00E3253D" w:rsidRPr="005D642E">
        <w:rPr>
          <w:rtl/>
        </w:rPr>
        <w:t xml:space="preserve"> وفي </w:t>
      </w:r>
      <w:r w:rsidR="00E3253D" w:rsidRPr="002F4D34">
        <w:rPr>
          <w:rStyle w:val="libFootnoteBoldChar"/>
          <w:rtl/>
        </w:rPr>
        <w:t>التهذيب</w:t>
      </w:r>
      <w:r w:rsidR="00E3253D" w:rsidRPr="005D642E">
        <w:rPr>
          <w:rtl/>
        </w:rPr>
        <w:t xml:space="preserve"> ، ج 1 ، ص 395 ، ح 1226 </w:t>
      </w:r>
      <w:r w:rsidR="00E3253D">
        <w:rPr>
          <w:rtl/>
        </w:rPr>
        <w:t>و 1</w:t>
      </w:r>
      <w:r w:rsidR="00E3253D" w:rsidRPr="005D642E">
        <w:rPr>
          <w:rtl/>
        </w:rPr>
        <w:t xml:space="preserve">227 بسند آخر. </w:t>
      </w:r>
      <w:r w:rsidR="00E3253D" w:rsidRPr="002F4D34">
        <w:rPr>
          <w:rStyle w:val="libFootnoteBoldChar"/>
          <w:rtl/>
        </w:rPr>
        <w:t>وفيه</w:t>
      </w:r>
      <w:r w:rsidR="00E3253D" w:rsidRPr="005D642E">
        <w:rPr>
          <w:rtl/>
        </w:rPr>
        <w:t xml:space="preserve"> ، ح 1225 ، بسند آخر عن أبي جعفر </w:t>
      </w:r>
      <w:r w:rsidR="00E3253D" w:rsidRPr="00970EF7">
        <w:rPr>
          <w:rStyle w:val="libFootnoteAlaemChar"/>
          <w:rtl/>
        </w:rPr>
        <w:t>عليه‌السلام</w:t>
      </w:r>
      <w:r w:rsidR="00E3253D" w:rsidRPr="005D642E">
        <w:rPr>
          <w:rtl/>
        </w:rPr>
        <w:t xml:space="preserve"> ، وفي الثلاثة الأخيرة مع اختلاف. </w:t>
      </w:r>
      <w:r w:rsidR="00E3253D" w:rsidRPr="002F4D34">
        <w:rPr>
          <w:rStyle w:val="libFootnoteBoldChar"/>
          <w:rtl/>
        </w:rPr>
        <w:t>الفقيه</w:t>
      </w:r>
      <w:r w:rsidR="00E3253D" w:rsidRPr="005D642E">
        <w:rPr>
          <w:rtl/>
        </w:rPr>
        <w:t xml:space="preserve"> ، ج 1 ، ص 77 ، ح 173 ، مرسلاً ؛ </w:t>
      </w:r>
      <w:r w:rsidR="00E3253D" w:rsidRPr="002F4D34">
        <w:rPr>
          <w:rStyle w:val="libFootnoteBoldChar"/>
          <w:rtl/>
        </w:rPr>
        <w:t>فيه</w:t>
      </w:r>
      <w:r w:rsidR="00E3253D" w:rsidRPr="005D642E">
        <w:rPr>
          <w:rtl/>
        </w:rPr>
        <w:t xml:space="preserve"> ، ص 91 ، ذيل ح 196 ؛ </w:t>
      </w:r>
      <w:r w:rsidR="000D749A" w:rsidRPr="000D749A">
        <w:rPr>
          <w:rStyle w:val="libFootnoteBoldChar"/>
          <w:rtl/>
        </w:rPr>
        <w:t>الأمالي للصدوق</w:t>
      </w:r>
      <w:r w:rsidR="00E3253D" w:rsidRPr="005D642E">
        <w:rPr>
          <w:rtl/>
        </w:rPr>
        <w:t xml:space="preserve"> ، ص 647 ، المجلس 93 ، ضمن إملاء الصدوق في وصف دين الإماميّة على الإيجاز والاختصار ؛ </w:t>
      </w:r>
      <w:r w:rsidR="00E3253D" w:rsidRPr="002F4D34">
        <w:rPr>
          <w:rStyle w:val="libFootnoteBoldChar"/>
          <w:rtl/>
        </w:rPr>
        <w:t>فقه الرضا</w:t>
      </w:r>
      <w:r w:rsidR="00E3253D" w:rsidRPr="005D642E">
        <w:rPr>
          <w:rtl/>
        </w:rPr>
        <w:t xml:space="preserve"> </w:t>
      </w:r>
      <w:r w:rsidR="003A5EE4" w:rsidRPr="00970EF7">
        <w:rPr>
          <w:rStyle w:val="libFootnoteAlaemChar"/>
          <w:rtl/>
        </w:rPr>
        <w:t>عليه‌السلام</w:t>
      </w:r>
      <w:r w:rsidR="003A5EE4" w:rsidRPr="005D642E">
        <w:rPr>
          <w:rtl/>
        </w:rPr>
        <w:t xml:space="preserve"> </w:t>
      </w:r>
      <w:r w:rsidR="00E3253D" w:rsidRPr="005D642E">
        <w:rPr>
          <w:rtl/>
        </w:rPr>
        <w:t>، ص 191 ، وتمام الرواية في الأربعة الأخيرة : « غسل الجنابة والحيض واحد »</w:t>
      </w:r>
      <w:r w:rsidR="001E1AC0">
        <w:rPr>
          <w:rFonts w:hint="cs"/>
          <w:rtl/>
        </w:rPr>
        <w:t>.</w:t>
      </w:r>
      <w:r w:rsidR="00E3253D" w:rsidRPr="002F4D34">
        <w:rPr>
          <w:rStyle w:val="libFootnoteBoldChar"/>
          <w:rtl/>
        </w:rPr>
        <w:t>الوافي</w:t>
      </w:r>
      <w:r w:rsidR="00E3253D" w:rsidRPr="005D642E">
        <w:rPr>
          <w:rtl/>
        </w:rPr>
        <w:t xml:space="preserve"> ، ج 6 ، ص 534 ، ح 4873 ؛ </w:t>
      </w:r>
      <w:r w:rsidR="00E3253D" w:rsidRPr="002F4D34">
        <w:rPr>
          <w:rStyle w:val="libFootnoteBoldChar"/>
          <w:rtl/>
        </w:rPr>
        <w:t>الوسائل</w:t>
      </w:r>
      <w:r w:rsidR="00E3253D" w:rsidRPr="005D642E">
        <w:rPr>
          <w:rtl/>
        </w:rPr>
        <w:t xml:space="preserve"> ، ج 2 ، ص 265 ، ح 2115.</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بف » :</w:t>
      </w:r>
      <w:r w:rsidR="00E3253D">
        <w:rPr>
          <w:rtl/>
        </w:rPr>
        <w:t xml:space="preserve"> </w:t>
      </w:r>
      <w:r w:rsidR="007642BC">
        <w:rPr>
          <w:rtl/>
        </w:rPr>
        <w:t>-</w:t>
      </w:r>
      <w:r w:rsidR="00E3253D">
        <w:rPr>
          <w:rtl/>
        </w:rPr>
        <w:t xml:space="preserve"> </w:t>
      </w:r>
      <w:r w:rsidR="00E3253D" w:rsidRPr="005D642E">
        <w:rPr>
          <w:rtl/>
        </w:rPr>
        <w:t>« بن إبراهيم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ى ، بث ، بح ، جح ، جس ، جن » وحاشية « بخ » والوسائل : « أو غسل »</w:t>
      </w:r>
      <w:r w:rsidR="00E3253D">
        <w:rPr>
          <w:rtl/>
        </w:rPr>
        <w:t>.</w:t>
      </w:r>
      <w:r w:rsidR="00E3253D" w:rsidRPr="005D642E">
        <w:rPr>
          <w:rtl/>
        </w:rPr>
        <w:t xml:space="preserve"> وفي حاشية « بس » : « وغسل » كلاهما بدل « أم غسل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وحاشية « جح » والوسائل : + « واحد »</w:t>
      </w:r>
      <w:r w:rsidR="00E3253D">
        <w:rPr>
          <w:rtl/>
        </w:rPr>
        <w:t>.</w:t>
      </w:r>
      <w:r w:rsidR="00E3253D" w:rsidRPr="005D642E">
        <w:rPr>
          <w:rtl/>
        </w:rPr>
        <w:t xml:space="preserve"> وفي حاشية « بح » : + « واجب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6 ، ص 535 ، ح 4874 ؛ </w:t>
      </w:r>
      <w:r w:rsidR="00E3253D" w:rsidRPr="002F4D34">
        <w:rPr>
          <w:rStyle w:val="libFootnoteBoldChar"/>
          <w:rtl/>
        </w:rPr>
        <w:t>الوسائل</w:t>
      </w:r>
      <w:r w:rsidR="00E3253D" w:rsidRPr="005D642E">
        <w:rPr>
          <w:rtl/>
        </w:rPr>
        <w:t xml:space="preserve"> ، ج 2 ، ص 314 ، ح 2226.</w:t>
      </w:r>
    </w:p>
    <w:tbl>
      <w:tblPr>
        <w:tblStyle w:val="TableGrid"/>
        <w:bidiVisual/>
        <w:tblW w:w="0" w:type="auto"/>
        <w:tblLook w:val="04A0" w:firstRow="1" w:lastRow="0" w:firstColumn="1" w:lastColumn="0" w:noHBand="0" w:noVBand="1"/>
      </w:tblPr>
      <w:tblGrid>
        <w:gridCol w:w="4006"/>
        <w:gridCol w:w="4006"/>
      </w:tblGrid>
      <w:tr w:rsidR="001E1AC0" w:rsidTr="001E1AC0">
        <w:tc>
          <w:tcPr>
            <w:tcW w:w="4006" w:type="dxa"/>
          </w:tcPr>
          <w:p w:rsidR="001E1AC0" w:rsidRDefault="001E1AC0" w:rsidP="00E3253D">
            <w:pPr>
              <w:pStyle w:val="libFootnote0"/>
              <w:rPr>
                <w:rStyle w:val="libFootnote0Char"/>
                <w:rtl/>
              </w:rPr>
            </w:pPr>
            <w:r w:rsidRPr="0042621E">
              <w:rPr>
                <w:rStyle w:val="libFootnote0Char"/>
                <w:rtl/>
              </w:rPr>
              <w:t>(5).</w:t>
            </w:r>
            <w:r w:rsidRPr="005D642E">
              <w:rPr>
                <w:rtl/>
              </w:rPr>
              <w:t xml:space="preserve"> في « غ » :</w:t>
            </w:r>
            <w:r>
              <w:rPr>
                <w:rtl/>
              </w:rPr>
              <w:t xml:space="preserve"> - </w:t>
            </w:r>
            <w:r w:rsidRPr="005D642E">
              <w:rPr>
                <w:rtl/>
              </w:rPr>
              <w:t>« جامع »</w:t>
            </w:r>
            <w:r>
              <w:rPr>
                <w:rtl/>
              </w:rPr>
              <w:t>.</w:t>
            </w:r>
          </w:p>
        </w:tc>
        <w:tc>
          <w:tcPr>
            <w:tcW w:w="4006" w:type="dxa"/>
          </w:tcPr>
          <w:p w:rsidR="001E1AC0" w:rsidRDefault="001E1AC0" w:rsidP="00E3253D">
            <w:pPr>
              <w:pStyle w:val="libFootnote0"/>
              <w:rPr>
                <w:rStyle w:val="libFootnote0Char"/>
                <w:rtl/>
              </w:rPr>
            </w:pPr>
            <w:r w:rsidRPr="0042621E">
              <w:rPr>
                <w:rStyle w:val="libFootnote0Char"/>
                <w:rtl/>
              </w:rPr>
              <w:t>(6).</w:t>
            </w:r>
            <w:r w:rsidRPr="005D642E">
              <w:rPr>
                <w:rtl/>
              </w:rPr>
              <w:t xml:space="preserve"> في « بخ ، جن » : « في الحيض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والوسائل ، ح 2145 </w:t>
      </w:r>
      <w:r w:rsidR="00B60612" w:rsidRPr="00B60612">
        <w:rPr>
          <w:rStyle w:val="libFootnoteBoldChar"/>
          <w:rtl/>
        </w:rPr>
        <w:t>والتهذيب</w:t>
      </w:r>
      <w:r w:rsidR="00E3253D" w:rsidRPr="005D642E">
        <w:rPr>
          <w:rtl/>
        </w:rPr>
        <w:t xml:space="preserve"> : « عن الحيض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بخ ، بس ، بف ، جح ، جس ، جن » وحاشية « غ » </w:t>
      </w:r>
      <w:r w:rsidR="000D749A" w:rsidRPr="000D749A">
        <w:rPr>
          <w:rStyle w:val="libFootnoteBoldChar"/>
          <w:rtl/>
        </w:rPr>
        <w:t>والوافي</w:t>
      </w:r>
      <w:r w:rsidR="00E3253D" w:rsidRPr="005D642E">
        <w:rPr>
          <w:rtl/>
        </w:rPr>
        <w:t xml:space="preserve"> والوسائل ، ح 2145 </w:t>
      </w:r>
      <w:r w:rsidR="00B60612" w:rsidRPr="00B60612">
        <w:rPr>
          <w:rStyle w:val="libFootnoteBoldChar"/>
          <w:rtl/>
        </w:rPr>
        <w:t>والتهذيب</w:t>
      </w:r>
      <w:r w:rsidR="00E3253D" w:rsidRPr="005D642E">
        <w:rPr>
          <w:rtl/>
        </w:rPr>
        <w:t xml:space="preserve"> : « في الحيض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سَمِعَهَا وَفَهِمَهَا حَتّى لَايَدَعَ </w:t>
      </w:r>
      <w:r w:rsidRPr="007C12DB">
        <w:rPr>
          <w:rStyle w:val="libFootnotenumChar"/>
          <w:rtl/>
        </w:rPr>
        <w:t>(1)</w:t>
      </w:r>
      <w:r w:rsidRPr="005D642E">
        <w:rPr>
          <w:rtl/>
          <w:lang w:bidi="fa-IR"/>
        </w:rPr>
        <w:t xml:space="preserve"> لِأَحَدٍ مَقَالاً </w:t>
      </w:r>
      <w:r w:rsidRPr="007C12DB">
        <w:rPr>
          <w:rStyle w:val="libFootnotenumChar"/>
          <w:rtl/>
        </w:rPr>
        <w:t>(2)</w:t>
      </w:r>
      <w:r w:rsidRPr="005D642E">
        <w:rPr>
          <w:rtl/>
          <w:lang w:bidi="fa-IR"/>
        </w:rPr>
        <w:t xml:space="preserve"> فِيهِ بِالرَّأْيِ :</w:t>
      </w:r>
    </w:p>
    <w:p w:rsidR="00E3253D" w:rsidRPr="005D642E" w:rsidRDefault="00E3253D" w:rsidP="00E3253D">
      <w:pPr>
        <w:pStyle w:val="libNormal"/>
        <w:rPr>
          <w:rtl/>
          <w:lang w:bidi="fa-IR"/>
        </w:rPr>
      </w:pPr>
      <w:r w:rsidRPr="005D642E">
        <w:rPr>
          <w:rtl/>
          <w:lang w:bidi="fa-IR"/>
        </w:rPr>
        <w:t xml:space="preserve">أَمَّا إِحْدَى السُّنَنِ ، فَالْحَائِضُ الَّتِي لَهَا أَيَّامٌ مَعْلُومَةٌ قَدْ أَحْصَتْهَا بِلَا اخْتِلَاطٍ عَلَيْهَا ، ثُمَّ اسْتَحَاضَتْ وَاسْتَمَرَّ </w:t>
      </w:r>
      <w:r w:rsidRPr="007C12DB">
        <w:rPr>
          <w:rStyle w:val="libFootnotenumChar"/>
          <w:rtl/>
        </w:rPr>
        <w:t>(3)</w:t>
      </w:r>
      <w:r w:rsidRPr="005D642E">
        <w:rPr>
          <w:rtl/>
          <w:lang w:bidi="fa-IR"/>
        </w:rPr>
        <w:t xml:space="preserve"> بِهَا الدَّمُ وَهِيَ فِي ذلِكَ تَعْرِفُ أَيَّامَهَا </w:t>
      </w:r>
      <w:r w:rsidRPr="007C12DB">
        <w:rPr>
          <w:rStyle w:val="libFootnotenumChar"/>
          <w:rtl/>
        </w:rPr>
        <w:t>(4)</w:t>
      </w:r>
      <w:r w:rsidRPr="005D642E">
        <w:rPr>
          <w:rtl/>
          <w:lang w:bidi="fa-IR"/>
        </w:rPr>
        <w:t xml:space="preserve"> وَمَبْلَغَ عَدَدِهَا </w:t>
      </w:r>
      <w:r w:rsidRPr="007C12DB">
        <w:rPr>
          <w:rStyle w:val="libFootnotenumChar"/>
          <w:rtl/>
        </w:rPr>
        <w:t>(5)</w:t>
      </w:r>
      <w:r w:rsidRPr="005D642E">
        <w:rPr>
          <w:rtl/>
          <w:lang w:bidi="fa-IR"/>
        </w:rPr>
        <w:t xml:space="preserve"> ؛ فَإِنَّ امْرَأَةً</w:t>
      </w:r>
      <w:r>
        <w:rPr>
          <w:rtl/>
          <w:lang w:bidi="fa-IR"/>
        </w:rPr>
        <w:t xml:space="preserve"> </w:t>
      </w:r>
      <w:r w:rsidR="007642BC">
        <w:rPr>
          <w:rtl/>
          <w:lang w:bidi="fa-IR"/>
        </w:rPr>
        <w:t>-</w:t>
      </w:r>
      <w:r>
        <w:rPr>
          <w:rtl/>
          <w:lang w:bidi="fa-IR"/>
        </w:rPr>
        <w:t xml:space="preserve"> </w:t>
      </w:r>
      <w:r w:rsidRPr="005D642E">
        <w:rPr>
          <w:rtl/>
          <w:lang w:bidi="fa-IR"/>
        </w:rPr>
        <w:t xml:space="preserve">يُقَالُ لَهَا : فَاطِمَةُ بِنْتُ أَبِي حُبَيْشٍ </w:t>
      </w:r>
      <w:r w:rsidRPr="007C12DB">
        <w:rPr>
          <w:rStyle w:val="libFootnotenumChar"/>
          <w:rtl/>
        </w:rPr>
        <w:t>(6)</w:t>
      </w:r>
      <w:r>
        <w:rPr>
          <w:rtl/>
          <w:lang w:bidi="fa-IR"/>
        </w:rPr>
        <w:t xml:space="preserve"> </w:t>
      </w:r>
      <w:r w:rsidR="007642BC">
        <w:rPr>
          <w:rtl/>
          <w:lang w:bidi="fa-IR"/>
        </w:rPr>
        <w:t>-</w:t>
      </w:r>
      <w:r>
        <w:rPr>
          <w:rtl/>
          <w:lang w:bidi="fa-IR"/>
        </w:rPr>
        <w:t xml:space="preserve"> </w:t>
      </w:r>
      <w:r w:rsidRPr="005D642E">
        <w:rPr>
          <w:rtl/>
          <w:lang w:bidi="fa-IR"/>
        </w:rPr>
        <w:t xml:space="preserve">اسْتَحَاضَتْ ، فَاسْتَمَرَّ بِهَا الدَّمُ </w:t>
      </w:r>
      <w:r w:rsidRPr="007C12DB">
        <w:rPr>
          <w:rStyle w:val="libFootnotenumChar"/>
          <w:rtl/>
        </w:rPr>
        <w:t>(7)</w:t>
      </w:r>
      <w:r w:rsidRPr="005D642E">
        <w:rPr>
          <w:rtl/>
          <w:lang w:bidi="fa-IR"/>
        </w:rPr>
        <w:t xml:space="preserve"> ، فَأَتَتْ‌</w:t>
      </w:r>
      <w:r>
        <w:rPr>
          <w:rFonts w:hint="cs"/>
          <w:rtl/>
          <w:lang w:bidi="fa-IR"/>
        </w:rPr>
        <w:t xml:space="preserve"> </w:t>
      </w:r>
      <w:r w:rsidRPr="005D642E">
        <w:rPr>
          <w:rtl/>
          <w:lang w:bidi="fa-IR"/>
        </w:rPr>
        <w:t xml:space="preserve">أُمَّ سَلَمَةَ ، فَسَأَلَتْ رَسُولَ اللهِ </w:t>
      </w:r>
      <w:r w:rsidR="0042621E" w:rsidRPr="0042621E">
        <w:rPr>
          <w:rStyle w:val="libAlaemChar"/>
          <w:rtl/>
        </w:rPr>
        <w:t>صلى‌الله‌عليه‌وآله</w:t>
      </w:r>
      <w:r w:rsidRPr="005D642E">
        <w:rPr>
          <w:rtl/>
          <w:lang w:bidi="fa-IR"/>
        </w:rPr>
        <w:t xml:space="preserve"> عَنْ ذلِكَ ، فَقَالَ : تَدَعُ الصَّلَاةَ قَدْرَ أَقْرَائِهَا </w:t>
      </w:r>
      <w:r w:rsidRPr="007C12DB">
        <w:rPr>
          <w:rStyle w:val="libFootnotenumChar"/>
          <w:rtl/>
        </w:rPr>
        <w:t>(8)</w:t>
      </w:r>
      <w:r w:rsidRPr="005D642E">
        <w:rPr>
          <w:rtl/>
          <w:lang w:bidi="fa-IR"/>
        </w:rPr>
        <w:t xml:space="preserve"> ، أَوْ قَدْرَ حَيْضِهَا ، وَقَالَ </w:t>
      </w:r>
      <w:r w:rsidRPr="007C12DB">
        <w:rPr>
          <w:rStyle w:val="libFootnotenumChar"/>
          <w:rtl/>
        </w:rPr>
        <w:t>(9)</w:t>
      </w:r>
      <w:r w:rsidRPr="005D642E">
        <w:rPr>
          <w:rtl/>
          <w:lang w:bidi="fa-IR"/>
        </w:rPr>
        <w:t xml:space="preserve"> : إِنَّمَا هُوَ عِرْقٌ </w:t>
      </w:r>
      <w:r w:rsidRPr="007C12DB">
        <w:rPr>
          <w:rStyle w:val="libFootnotenumChar"/>
          <w:rtl/>
        </w:rPr>
        <w:t>(10)</w:t>
      </w:r>
      <w:r w:rsidRPr="005D642E">
        <w:rPr>
          <w:rtl/>
          <w:lang w:bidi="fa-IR"/>
        </w:rPr>
        <w:t xml:space="preserve"> ، وَأَمَرَهَا </w:t>
      </w:r>
      <w:r w:rsidRPr="007C12DB">
        <w:rPr>
          <w:rStyle w:val="libFootnotenumChar"/>
          <w:rtl/>
        </w:rPr>
        <w:t>(11)</w:t>
      </w:r>
      <w:r w:rsidRPr="005D642E">
        <w:rPr>
          <w:rtl/>
          <w:lang w:bidi="fa-IR"/>
        </w:rPr>
        <w:t xml:space="preserve"> أَنْ تَغْتَسِلَ ، وَتَسْتَثْفِرَ </w:t>
      </w:r>
      <w:r w:rsidRPr="007C12DB">
        <w:rPr>
          <w:rStyle w:val="libFootnotenumChar"/>
          <w:rtl/>
        </w:rPr>
        <w:t>(12)</w:t>
      </w:r>
      <w:r w:rsidRPr="005D642E">
        <w:rPr>
          <w:rtl/>
          <w:lang w:bidi="fa-IR"/>
        </w:rPr>
        <w:t xml:space="preserve"> بِثَوْبٍ ، وَتُصَلِّيَ »</w:t>
      </w:r>
      <w:r>
        <w:rPr>
          <w:rtl/>
          <w:lang w:bidi="fa-IR"/>
        </w:rPr>
        <w:t>.</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54570" w:rsidTr="00054570">
        <w:tc>
          <w:tcPr>
            <w:tcW w:w="4006" w:type="dxa"/>
          </w:tcPr>
          <w:p w:rsidR="00054570" w:rsidRDefault="00054570" w:rsidP="00E3253D">
            <w:pPr>
              <w:pStyle w:val="libFootnote0"/>
              <w:rPr>
                <w:rStyle w:val="libFootnote0Char"/>
                <w:rtl/>
              </w:rPr>
            </w:pPr>
            <w:r w:rsidRPr="0042621E">
              <w:rPr>
                <w:rStyle w:val="libFootnote0Char"/>
                <w:rtl/>
              </w:rPr>
              <w:t>(1).</w:t>
            </w:r>
            <w:r>
              <w:rPr>
                <w:rtl/>
              </w:rPr>
              <w:t xml:space="preserve"> </w:t>
            </w:r>
            <w:r w:rsidRPr="005D642E">
              <w:rPr>
                <w:rtl/>
              </w:rPr>
              <w:t xml:space="preserve">في الوافي </w:t>
            </w:r>
            <w:r w:rsidRPr="00B60612">
              <w:rPr>
                <w:rStyle w:val="libFootnoteBoldChar"/>
                <w:rtl/>
              </w:rPr>
              <w:t>والتهذيب</w:t>
            </w:r>
            <w:r w:rsidRPr="005D642E">
              <w:rPr>
                <w:rtl/>
              </w:rPr>
              <w:t xml:space="preserve"> : « لم يدع »</w:t>
            </w:r>
            <w:r>
              <w:rPr>
                <w:rtl/>
              </w:rPr>
              <w:t>.</w:t>
            </w:r>
          </w:p>
        </w:tc>
        <w:tc>
          <w:tcPr>
            <w:tcW w:w="4006" w:type="dxa"/>
          </w:tcPr>
          <w:p w:rsidR="00054570" w:rsidRDefault="00054570" w:rsidP="00E3253D">
            <w:pPr>
              <w:pStyle w:val="libFootnote0"/>
              <w:rPr>
                <w:rStyle w:val="libFootnote0Char"/>
                <w:rtl/>
              </w:rPr>
            </w:pPr>
            <w:r w:rsidRPr="0042621E">
              <w:rPr>
                <w:rStyle w:val="libFootnote0Char"/>
                <w:rtl/>
              </w:rPr>
              <w:t>(2).</w:t>
            </w:r>
            <w:r w:rsidRPr="005D642E">
              <w:rPr>
                <w:rtl/>
              </w:rPr>
              <w:t xml:space="preserve"> في « بخ » : « مقاله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بح ، جس » وحاشية « بف » والوسائل ، ح 2145 </w:t>
      </w:r>
      <w:r w:rsidR="00B60612" w:rsidRPr="00B60612">
        <w:rPr>
          <w:rStyle w:val="libFootnoteBoldChar"/>
          <w:rtl/>
        </w:rPr>
        <w:t>والتهذيب</w:t>
      </w:r>
      <w:r w:rsidR="00E3253D" w:rsidRPr="005D642E">
        <w:rPr>
          <w:rtl/>
        </w:rPr>
        <w:t xml:space="preserve"> : « فاستمرّ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 « تعرفها » بدل « تعرف أيّامها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وحاشية « بخ » والوسائل ، ح 2145 : « عدّتها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 « جيش »</w:t>
      </w:r>
      <w:r w:rsidR="00E3253D">
        <w:rPr>
          <w:rtl/>
        </w:rPr>
        <w:t>.</w:t>
      </w:r>
      <w:r w:rsidR="00E3253D" w:rsidRPr="005D642E">
        <w:rPr>
          <w:rtl/>
        </w:rPr>
        <w:t xml:space="preserve"> وفي « جس » : « حبس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كذا في « بح » والمطبوع. وفي « ظ ، غ ، ى ، بث ، بخ ، بس ، بف ، جح ، جس ، جن » </w:t>
      </w:r>
      <w:r w:rsidR="000D749A" w:rsidRPr="000D749A">
        <w:rPr>
          <w:rStyle w:val="libFootnoteBoldChar"/>
          <w:rtl/>
        </w:rPr>
        <w:t>والوافي</w:t>
      </w:r>
      <w:r w:rsidR="00E3253D" w:rsidRPr="005D642E">
        <w:rPr>
          <w:rtl/>
        </w:rPr>
        <w:t xml:space="preserve"> والوسائل ، ح 2145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فاستمرّ بها الدم »</w:t>
      </w:r>
      <w:r w:rsidR="00E3253D">
        <w:rPr>
          <w:rtl/>
        </w:rPr>
        <w:t>.</w:t>
      </w:r>
    </w:p>
    <w:p w:rsidR="00E3253D" w:rsidRPr="005D642E" w:rsidRDefault="0042621E" w:rsidP="00054570">
      <w:pPr>
        <w:pStyle w:val="libFootnote0"/>
        <w:rPr>
          <w:rtl/>
          <w:lang w:bidi="fa-IR"/>
        </w:rPr>
      </w:pPr>
      <w:r w:rsidRPr="0042621E">
        <w:rPr>
          <w:rStyle w:val="libFootnote0Char"/>
          <w:rtl/>
        </w:rPr>
        <w:t>(8).</w:t>
      </w:r>
      <w:r w:rsidR="00E3253D" w:rsidRPr="005D642E">
        <w:rPr>
          <w:rtl/>
        </w:rPr>
        <w:t xml:space="preserve"> « الأقراء » : جمع القرء ، وهو بضمّ القاف وفتحها وسكون الراء من الأضداد يقع على الحيض والطهر. وقيل : هو بالفتح بمعنى الطهر ، وبالضمّ بمعنى الحيض ، والأوّل هو الأشهر. والمراد هنا الطهر. راجع : </w:t>
      </w:r>
      <w:r w:rsidR="00E3253D" w:rsidRPr="002F4D34">
        <w:rPr>
          <w:rStyle w:val="libFootnoteBoldChar"/>
          <w:rtl/>
        </w:rPr>
        <w:t>النهاية</w:t>
      </w:r>
      <w:r w:rsidR="00E3253D" w:rsidRPr="005D642E">
        <w:rPr>
          <w:rtl/>
        </w:rPr>
        <w:t xml:space="preserve"> ، ج 4 ، ص 32 ؛ </w:t>
      </w:r>
      <w:r w:rsidR="00E3253D" w:rsidRPr="002F4D34">
        <w:rPr>
          <w:rStyle w:val="libFootnoteBoldChar"/>
          <w:rtl/>
        </w:rPr>
        <w:t>لسان العرب</w:t>
      </w:r>
      <w:r w:rsidR="00E3253D" w:rsidRPr="005D642E">
        <w:rPr>
          <w:rtl/>
        </w:rPr>
        <w:t xml:space="preserve"> ، ج 1 ، ص 130 ( قرأ )</w:t>
      </w:r>
      <w:r w:rsidR="00E3253D">
        <w:rPr>
          <w:rtl/>
        </w:rPr>
        <w:t>.</w:t>
      </w:r>
      <w:r w:rsidR="00054570">
        <w:rPr>
          <w:rFonts w:hint="cs"/>
          <w:rtl/>
        </w:rPr>
        <w:t xml:space="preserve">                  </w:t>
      </w:r>
      <w:r w:rsidRPr="0042621E">
        <w:rPr>
          <w:rStyle w:val="libFootnote0Char"/>
          <w:rtl/>
        </w:rPr>
        <w:t>(9).</w:t>
      </w:r>
      <w:r w:rsidR="00E3253D" w:rsidRPr="005D642E">
        <w:rPr>
          <w:rtl/>
        </w:rPr>
        <w:t xml:space="preserve"> في « غ » : + « نعم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بخ » : « عزق »</w:t>
      </w:r>
      <w:r w:rsidR="00E3253D">
        <w:rPr>
          <w:rtl/>
        </w:rPr>
        <w:t>.</w:t>
      </w:r>
      <w:r w:rsidR="00E3253D" w:rsidRPr="005D642E">
        <w:rPr>
          <w:rtl/>
        </w:rPr>
        <w:t xml:space="preserve"> وفي « ى ، بس ، بف ، جح ، جن » وحاشية « بح » </w:t>
      </w:r>
      <w:r w:rsidR="000D749A" w:rsidRPr="000D749A">
        <w:rPr>
          <w:rStyle w:val="libFootnoteBoldChar"/>
          <w:rtl/>
        </w:rPr>
        <w:t>والوافي</w:t>
      </w:r>
      <w:r w:rsidR="00E3253D" w:rsidRPr="005D642E">
        <w:rPr>
          <w:rtl/>
        </w:rPr>
        <w:t xml:space="preserve"> ومرآة العقول </w:t>
      </w:r>
      <w:r w:rsidR="00B60612" w:rsidRPr="00B60612">
        <w:rPr>
          <w:rStyle w:val="libFootnoteBoldChar"/>
          <w:rtl/>
        </w:rPr>
        <w:t>والتهذيب</w:t>
      </w:r>
      <w:r w:rsidR="00E3253D" w:rsidRPr="005D642E">
        <w:rPr>
          <w:rtl/>
        </w:rPr>
        <w:t xml:space="preserve"> : « عزف » بمعنى اللعب بالمعازف أو الزهد أو الانصراف. وقال في </w:t>
      </w:r>
      <w:r w:rsidR="00E3253D" w:rsidRPr="002F4D34">
        <w:rPr>
          <w:rStyle w:val="libFootnoteBoldChar"/>
          <w:rtl/>
        </w:rPr>
        <w:t>مرآة العقول</w:t>
      </w:r>
      <w:r w:rsidR="00E3253D" w:rsidRPr="005D642E">
        <w:rPr>
          <w:rtl/>
        </w:rPr>
        <w:t xml:space="preserve"> ، ج 13 ، ص 217 : « روى في المشكاة هكذا : كأنّما ذلك عرق وليس بحيض ، بالعين المهملة والراء المهملة والقاف ، وقال الطيّبي : معناه أنّ ذلك دم عرق انشقّ وليس بحيض. قال في </w:t>
      </w:r>
      <w:r w:rsidR="00E3253D" w:rsidRPr="002F4D34">
        <w:rPr>
          <w:rStyle w:val="libFootnoteBoldChar"/>
          <w:rtl/>
        </w:rPr>
        <w:t>شرح المصباح</w:t>
      </w:r>
      <w:r w:rsidR="00E3253D">
        <w:rPr>
          <w:rtl/>
        </w:rPr>
        <w:t xml:space="preserve"> ..</w:t>
      </w:r>
      <w:r w:rsidR="00E3253D" w:rsidRPr="005D642E">
        <w:rPr>
          <w:rtl/>
        </w:rPr>
        <w:t>. تميّزه القوّة المولّدة بأنّ الله من أجل الجنين وتدفعه إلى الرحم في مجاريه المعتادة ويجتمع فيه ، ولذلك يسمّى حيضاً من قولهم : استحوض الماء ، أي اجتمع فإذا كثر وأخذه الرحم ولم يكن جنين أو يحتمله ينصّب عنه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غ ، بث ، بف ، جح ، جس ، جن » والوسائل ، ح 2145 </w:t>
      </w:r>
      <w:r w:rsidR="00B60612" w:rsidRPr="00B60612">
        <w:rPr>
          <w:rStyle w:val="libFootnoteBoldChar"/>
          <w:rtl/>
        </w:rPr>
        <w:t>والتهذيب</w:t>
      </w:r>
      <w:r w:rsidR="00E3253D" w:rsidRPr="005D642E">
        <w:rPr>
          <w:rtl/>
        </w:rPr>
        <w:t xml:space="preserve"> : « فأمرها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استثفار المرأة : هو أن تأخذ خرقة طويلة عريضة تشدّ أحد طرفيها من قدّام ، وتخرجها من بين فخذيها ، وتشدّ طرفها الآخر من وراء ، بعد أن تحتشي بشي‌ء من القطن ؛ ليمتنع به من سيلان الدم ، من قولهم : استثفر الرجل بإزاره : لواه على فخذيه ، ثمّ أخرجه من بين فخذيه ، فشدّ طرفه في حُجْزته. واستثفر الكلب : أدخل </w:t>
      </w:r>
      <w:r w:rsidR="00784868">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أَبُو عَبْدِ اللهِ </w:t>
      </w:r>
      <w:r w:rsidRPr="00AC51C5">
        <w:rPr>
          <w:rStyle w:val="libAlaemChar"/>
          <w:rtl/>
        </w:rPr>
        <w:t>عليه‌السلام</w:t>
      </w:r>
      <w:r w:rsidRPr="005D642E">
        <w:rPr>
          <w:rtl/>
          <w:lang w:bidi="fa-IR"/>
        </w:rPr>
        <w:t xml:space="preserve"> : « هذِهِ سُنَّةُ النَّبِيِّ </w:t>
      </w:r>
      <w:r w:rsidR="0042621E" w:rsidRPr="0042621E">
        <w:rPr>
          <w:rStyle w:val="libAlaemChar"/>
          <w:rtl/>
        </w:rPr>
        <w:t>صلى‌الله‌عليه‌وآله</w:t>
      </w:r>
      <w:r w:rsidRPr="005D642E">
        <w:rPr>
          <w:rtl/>
          <w:lang w:bidi="fa-IR"/>
        </w:rPr>
        <w:t xml:space="preserve"> فِي الَّتِي </w:t>
      </w:r>
      <w:r w:rsidRPr="007C12DB">
        <w:rPr>
          <w:rStyle w:val="libFootnotenumChar"/>
          <w:rtl/>
        </w:rPr>
        <w:t>(1)</w:t>
      </w:r>
      <w:r w:rsidRPr="005D642E">
        <w:rPr>
          <w:rtl/>
          <w:lang w:bidi="fa-IR"/>
        </w:rPr>
        <w:t xml:space="preserve"> تَعْرِفُ أَيَّامَ أَقْرَائِهَا ، لَمْ </w:t>
      </w:r>
      <w:r w:rsidRPr="007C12DB">
        <w:rPr>
          <w:rStyle w:val="libFootnotenumChar"/>
          <w:rtl/>
        </w:rPr>
        <w:t>(2)</w:t>
      </w:r>
      <w:r w:rsidRPr="005D642E">
        <w:rPr>
          <w:rtl/>
          <w:lang w:bidi="fa-IR"/>
        </w:rPr>
        <w:t xml:space="preserve"> تَخْتَلِطْ </w:t>
      </w:r>
      <w:r w:rsidRPr="007C12DB">
        <w:rPr>
          <w:rStyle w:val="libFootnotenumChar"/>
          <w:rtl/>
        </w:rPr>
        <w:t>(3)</w:t>
      </w:r>
      <w:r>
        <w:rPr>
          <w:rtl/>
          <w:lang w:bidi="fa-IR"/>
        </w:rPr>
        <w:t xml:space="preserve"> عَلَيْهَا ، أَ</w:t>
      </w:r>
      <w:r w:rsidRPr="005D642E">
        <w:rPr>
          <w:rtl/>
          <w:lang w:bidi="fa-IR"/>
        </w:rPr>
        <w:t xml:space="preserve">لَاتَرى </w:t>
      </w:r>
      <w:r w:rsidRPr="007C12DB">
        <w:rPr>
          <w:rStyle w:val="libFootnotenumChar"/>
          <w:rtl/>
        </w:rPr>
        <w:t>(4)</w:t>
      </w:r>
      <w:r w:rsidRPr="005D642E">
        <w:rPr>
          <w:rtl/>
          <w:lang w:bidi="fa-IR"/>
        </w:rPr>
        <w:t xml:space="preserve"> أَنَّهُ لَمْ يَسْأَلْهَا : كَمْ يَوْمٍ هِيَ</w:t>
      </w:r>
      <w:r>
        <w:rPr>
          <w:rtl/>
          <w:lang w:bidi="fa-IR"/>
        </w:rPr>
        <w:t>؟</w:t>
      </w:r>
      <w:r w:rsidRPr="005D642E">
        <w:rPr>
          <w:rtl/>
          <w:lang w:bidi="fa-IR"/>
        </w:rPr>
        <w:t xml:space="preserve"> وَلَمْ يَقُلْ </w:t>
      </w:r>
      <w:r w:rsidRPr="007C12DB">
        <w:rPr>
          <w:rStyle w:val="libFootnotenumChar"/>
          <w:rtl/>
        </w:rPr>
        <w:t>(5)</w:t>
      </w:r>
      <w:r w:rsidRPr="005D642E">
        <w:rPr>
          <w:rtl/>
          <w:lang w:bidi="fa-IR"/>
        </w:rPr>
        <w:t xml:space="preserve"> : إِذَا زَادَتْ عَلى كَذَا يَوْماً ، فَأَنْتِ </w:t>
      </w:r>
      <w:r w:rsidRPr="007C12DB">
        <w:rPr>
          <w:rStyle w:val="libFootnotenumChar"/>
          <w:rtl/>
        </w:rPr>
        <w:t>(6)</w:t>
      </w:r>
      <w:r w:rsidRPr="005D642E">
        <w:rPr>
          <w:rtl/>
          <w:lang w:bidi="fa-IR"/>
        </w:rPr>
        <w:t xml:space="preserve"> مُسْتَحَاضَةٌ</w:t>
      </w:r>
      <w:r>
        <w:rPr>
          <w:rtl/>
          <w:lang w:bidi="fa-IR"/>
        </w:rPr>
        <w:t>؟</w:t>
      </w:r>
      <w:r w:rsidRPr="005D642E">
        <w:rPr>
          <w:rtl/>
          <w:lang w:bidi="fa-IR"/>
        </w:rPr>
        <w:t xml:space="preserve"> وَإِنَّمَا سَنَّ لَهَا أَيَّاماً مَعْلُومَةً مَا </w:t>
      </w:r>
      <w:r w:rsidRPr="007C12DB">
        <w:rPr>
          <w:rStyle w:val="libFootnotenumChar"/>
          <w:rtl/>
        </w:rPr>
        <w:t>(7)</w:t>
      </w:r>
      <w:r w:rsidRPr="005D642E">
        <w:rPr>
          <w:rtl/>
          <w:lang w:bidi="fa-IR"/>
        </w:rPr>
        <w:t xml:space="preserve"> كَانَتْ مِنْ قَلِيلٍ أَوْ كَثِيرٍ بَعْدَ أَنْ تَعْرِفَهَا ، وَكَذلِكَ أَفْتى أَبِي </w:t>
      </w:r>
      <w:r w:rsidRPr="007C12DB">
        <w:rPr>
          <w:rStyle w:val="libFootnotenumChar"/>
          <w:rtl/>
        </w:rPr>
        <w:t>(8)</w:t>
      </w:r>
      <w:r w:rsidRPr="005D642E">
        <w:rPr>
          <w:rtl/>
          <w:lang w:bidi="fa-IR"/>
        </w:rPr>
        <w:t xml:space="preserve"> </w:t>
      </w:r>
      <w:r w:rsidRPr="00AC51C5">
        <w:rPr>
          <w:rStyle w:val="libAlaemChar"/>
          <w:rtl/>
        </w:rPr>
        <w:t>عليه‌السلام</w:t>
      </w:r>
      <w:r>
        <w:rPr>
          <w:rtl/>
          <w:lang w:bidi="fa-IR"/>
        </w:rPr>
        <w:t xml:space="preserve"> </w:t>
      </w:r>
      <w:r w:rsidR="007642BC">
        <w:rPr>
          <w:rtl/>
          <w:lang w:bidi="fa-IR"/>
        </w:rPr>
        <w:t>-</w:t>
      </w:r>
      <w:r>
        <w:rPr>
          <w:rtl/>
          <w:lang w:bidi="fa-IR"/>
        </w:rPr>
        <w:t xml:space="preserve"> </w:t>
      </w:r>
      <w:r w:rsidRPr="005D642E">
        <w:rPr>
          <w:rtl/>
          <w:lang w:bidi="fa-IR"/>
        </w:rPr>
        <w:t>وَسُئِلَ عَنِ الْمُسْتَحَاضَةِ</w:t>
      </w:r>
      <w:r>
        <w:rPr>
          <w:rtl/>
          <w:lang w:bidi="fa-IR"/>
        </w:rPr>
        <w:t xml:space="preserve"> </w:t>
      </w:r>
      <w:r w:rsidR="007642BC">
        <w:rPr>
          <w:rtl/>
          <w:lang w:bidi="fa-IR"/>
        </w:rPr>
        <w:t>-</w:t>
      </w:r>
      <w:r>
        <w:rPr>
          <w:rtl/>
          <w:lang w:bidi="fa-IR"/>
        </w:rPr>
        <w:t xml:space="preserve"> </w:t>
      </w:r>
      <w:r w:rsidRPr="005D642E">
        <w:rPr>
          <w:rtl/>
          <w:lang w:bidi="fa-IR"/>
        </w:rPr>
        <w:t xml:space="preserve">فَقَالَ : إِنَّمَا ذلِكَ </w:t>
      </w:r>
      <w:r w:rsidRPr="007C12DB">
        <w:rPr>
          <w:rStyle w:val="libFootnotenumChar"/>
          <w:rtl/>
        </w:rPr>
        <w:t>(9)</w:t>
      </w:r>
      <w:r w:rsidRPr="005D642E">
        <w:rPr>
          <w:rtl/>
          <w:lang w:bidi="fa-IR"/>
        </w:rPr>
        <w:t xml:space="preserve"> عِرْقٌ </w:t>
      </w:r>
      <w:r w:rsidRPr="007C12DB">
        <w:rPr>
          <w:rStyle w:val="libFootnotenumChar"/>
          <w:rtl/>
        </w:rPr>
        <w:t>(10)</w:t>
      </w:r>
      <w:r w:rsidRPr="005D642E">
        <w:rPr>
          <w:rtl/>
          <w:lang w:bidi="fa-IR"/>
        </w:rPr>
        <w:t xml:space="preserve"> غَابِرٌ </w:t>
      </w:r>
      <w:r w:rsidRPr="007C12DB">
        <w:rPr>
          <w:rStyle w:val="libFootnotenumChar"/>
          <w:rtl/>
        </w:rPr>
        <w:t>(11)</w:t>
      </w:r>
      <w:r w:rsidRPr="005D642E">
        <w:rPr>
          <w:rtl/>
          <w:lang w:bidi="fa-IR"/>
        </w:rPr>
        <w:t xml:space="preserve"> ، أَوْ رَكْضَةٌ </w:t>
      </w:r>
      <w:r w:rsidRPr="007C12DB">
        <w:rPr>
          <w:rStyle w:val="libFootnotenumChar"/>
          <w:rtl/>
        </w:rPr>
        <w:t>(12)</w:t>
      </w:r>
      <w:r w:rsidRPr="005D642E">
        <w:rPr>
          <w:rtl/>
          <w:lang w:bidi="fa-IR"/>
        </w:rPr>
        <w:t xml:space="preserve"> مِنَ الشَّيْطَانِ ، فَلْتَدَعِ الصَّلَاةَ أَيَّامَ أَقْرَائِهَا ، ثُمَّ تَغْتَسِلُ ، وَتَتَوَضَّأُ </w:t>
      </w:r>
      <w:r w:rsidRPr="007C12DB">
        <w:rPr>
          <w:rStyle w:val="libFootnotenumChar"/>
          <w:rtl/>
        </w:rPr>
        <w:t>(13)</w:t>
      </w:r>
    </w:p>
    <w:p w:rsidR="00E3253D" w:rsidRPr="005D642E" w:rsidRDefault="00E3253D" w:rsidP="00E3253D">
      <w:pPr>
        <w:pStyle w:val="libLine"/>
        <w:rPr>
          <w:rtl/>
          <w:lang w:bidi="fa-IR"/>
        </w:rPr>
      </w:pPr>
      <w:r w:rsidRPr="005D642E">
        <w:rPr>
          <w:rtl/>
          <w:lang w:bidi="fa-IR"/>
        </w:rPr>
        <w:t>__________________</w:t>
      </w:r>
    </w:p>
    <w:p w:rsidR="00E3253D" w:rsidRPr="005D642E" w:rsidRDefault="002C6261" w:rsidP="00E3253D">
      <w:pPr>
        <w:pStyle w:val="libFootnote0"/>
        <w:rPr>
          <w:rtl/>
          <w:lang w:bidi="fa-IR"/>
        </w:rPr>
      </w:pPr>
      <w:r>
        <w:rPr>
          <w:rFonts w:hint="cs"/>
          <w:rtl/>
        </w:rPr>
        <w:t xml:space="preserve">= </w:t>
      </w:r>
      <w:r w:rsidR="00E3253D" w:rsidRPr="005D642E">
        <w:rPr>
          <w:rtl/>
        </w:rPr>
        <w:t>ذنبه بين فخذيه حتّى يلزقه ببطنه. وقال ابن الأثير : «</w:t>
      </w:r>
      <w:r w:rsidR="00E3253D">
        <w:rPr>
          <w:rtl/>
        </w:rPr>
        <w:t xml:space="preserve"> ..</w:t>
      </w:r>
      <w:r w:rsidR="00E3253D" w:rsidRPr="005D642E">
        <w:rPr>
          <w:rtl/>
        </w:rPr>
        <w:t>. وهو مأخوذ من ثَفْرِ الدابّة الذي يجعل تحت ذنبها »</w:t>
      </w:r>
      <w:r w:rsidR="00E3253D">
        <w:rPr>
          <w:rtl/>
        </w:rPr>
        <w:t>.</w:t>
      </w:r>
      <w:r w:rsidR="00E3253D" w:rsidRPr="005D642E">
        <w:rPr>
          <w:rtl/>
        </w:rPr>
        <w:t xml:space="preserve"> راجع : </w:t>
      </w:r>
      <w:r w:rsidR="00E3253D" w:rsidRPr="002F4D34">
        <w:rPr>
          <w:rStyle w:val="libFootnoteBoldChar"/>
          <w:rtl/>
        </w:rPr>
        <w:t>ترتيب كتاب العين</w:t>
      </w:r>
      <w:r w:rsidR="00E3253D" w:rsidRPr="005D642E">
        <w:rPr>
          <w:rtl/>
        </w:rPr>
        <w:t xml:space="preserve"> ، ج 1 ، ص 244 ؛ </w:t>
      </w:r>
      <w:r w:rsidR="00E3253D" w:rsidRPr="002F4D34">
        <w:rPr>
          <w:rStyle w:val="libFootnoteBoldChar"/>
          <w:rtl/>
        </w:rPr>
        <w:t>النهاية</w:t>
      </w:r>
      <w:r w:rsidR="00E3253D" w:rsidRPr="005D642E">
        <w:rPr>
          <w:rtl/>
        </w:rPr>
        <w:t xml:space="preserve"> ، ج 1 ، ص 214 ( ثفر ) ؛ </w:t>
      </w:r>
      <w:r w:rsidR="00E3253D" w:rsidRPr="002F4D34">
        <w:rPr>
          <w:rStyle w:val="libFootnoteBoldChar"/>
          <w:rtl/>
        </w:rPr>
        <w:t>الحبل المتين</w:t>
      </w:r>
      <w:r w:rsidR="00E3253D" w:rsidRPr="005D642E">
        <w:rPr>
          <w:rtl/>
        </w:rPr>
        <w:t xml:space="preserve"> ، ص 187.</w:t>
      </w:r>
    </w:p>
    <w:tbl>
      <w:tblPr>
        <w:tblStyle w:val="TableGrid"/>
        <w:bidiVisual/>
        <w:tblW w:w="0" w:type="auto"/>
        <w:tblLook w:val="04A0" w:firstRow="1" w:lastRow="0" w:firstColumn="1" w:lastColumn="0" w:noHBand="0" w:noVBand="1"/>
      </w:tblPr>
      <w:tblGrid>
        <w:gridCol w:w="4006"/>
        <w:gridCol w:w="4006"/>
      </w:tblGrid>
      <w:tr w:rsidR="002C6261" w:rsidTr="002C6261">
        <w:tc>
          <w:tcPr>
            <w:tcW w:w="4006" w:type="dxa"/>
          </w:tcPr>
          <w:p w:rsidR="002C6261" w:rsidRDefault="002C6261" w:rsidP="00E3253D">
            <w:pPr>
              <w:pStyle w:val="libFootnote0"/>
              <w:rPr>
                <w:rStyle w:val="libFootnote0Char"/>
                <w:rtl/>
                <w:lang w:bidi="fa-IR"/>
              </w:rPr>
            </w:pPr>
            <w:r w:rsidRPr="0042621E">
              <w:rPr>
                <w:rStyle w:val="libFootnote0Char"/>
                <w:rtl/>
              </w:rPr>
              <w:t>(1).</w:t>
            </w:r>
            <w:r>
              <w:rPr>
                <w:rtl/>
              </w:rPr>
              <w:t xml:space="preserve"> </w:t>
            </w:r>
            <w:r w:rsidRPr="005D642E">
              <w:rPr>
                <w:rtl/>
              </w:rPr>
              <w:t>في حاشية « بث » : « والتي »</w:t>
            </w:r>
            <w:r>
              <w:rPr>
                <w:rtl/>
              </w:rPr>
              <w:t>.</w:t>
            </w:r>
          </w:p>
        </w:tc>
        <w:tc>
          <w:tcPr>
            <w:tcW w:w="4006" w:type="dxa"/>
          </w:tcPr>
          <w:p w:rsidR="002C6261" w:rsidRDefault="002C6261" w:rsidP="00E3253D">
            <w:pPr>
              <w:pStyle w:val="libFootnote0"/>
              <w:rPr>
                <w:rStyle w:val="libFootnote0Char"/>
                <w:rtl/>
                <w:lang w:bidi="fa-IR"/>
              </w:rPr>
            </w:pPr>
            <w:r w:rsidRPr="0042621E">
              <w:rPr>
                <w:rStyle w:val="libFootnote0Char"/>
                <w:rtl/>
              </w:rPr>
              <w:t>(2).</w:t>
            </w:r>
            <w:r w:rsidRPr="005D642E">
              <w:rPr>
                <w:rtl/>
              </w:rPr>
              <w:t xml:space="preserve"> في « ى » </w:t>
            </w:r>
            <w:r w:rsidRPr="00B60612">
              <w:rPr>
                <w:rStyle w:val="libFootnoteBoldChar"/>
                <w:rtl/>
              </w:rPr>
              <w:t>والتهذيب</w:t>
            </w:r>
            <w:r w:rsidRPr="005D642E">
              <w:rPr>
                <w:rtl/>
              </w:rPr>
              <w:t xml:space="preserve"> : « ولم »</w:t>
            </w:r>
            <w:r>
              <w:rPr>
                <w:rtl/>
              </w:rPr>
              <w:t>.</w:t>
            </w:r>
          </w:p>
        </w:tc>
      </w:tr>
      <w:tr w:rsidR="002C6261" w:rsidTr="002C6261">
        <w:tc>
          <w:tcPr>
            <w:tcW w:w="4006" w:type="dxa"/>
          </w:tcPr>
          <w:p w:rsidR="002C6261" w:rsidRDefault="002C6261" w:rsidP="00E3253D">
            <w:pPr>
              <w:pStyle w:val="libFootnote0"/>
              <w:rPr>
                <w:rStyle w:val="libFootnote0Char"/>
                <w:rtl/>
                <w:lang w:bidi="fa-IR"/>
              </w:rPr>
            </w:pPr>
            <w:r w:rsidRPr="0042621E">
              <w:rPr>
                <w:rStyle w:val="libFootnote0Char"/>
                <w:rtl/>
              </w:rPr>
              <w:t>(3).</w:t>
            </w:r>
            <w:r w:rsidRPr="005D642E">
              <w:rPr>
                <w:rtl/>
              </w:rPr>
              <w:t xml:space="preserve"> في « بث ، بف ، جس ، جن » : « لم يختلط »</w:t>
            </w:r>
            <w:r>
              <w:rPr>
                <w:rtl/>
              </w:rPr>
              <w:t>.</w:t>
            </w:r>
          </w:p>
        </w:tc>
        <w:tc>
          <w:tcPr>
            <w:tcW w:w="4006" w:type="dxa"/>
          </w:tcPr>
          <w:p w:rsidR="002C6261" w:rsidRDefault="002C6261" w:rsidP="00E3253D">
            <w:pPr>
              <w:pStyle w:val="libFootnote0"/>
              <w:rPr>
                <w:rStyle w:val="libFootnote0Char"/>
                <w:rtl/>
                <w:lang w:bidi="fa-IR"/>
              </w:rPr>
            </w:pPr>
            <w:r w:rsidRPr="0042621E">
              <w:rPr>
                <w:rStyle w:val="libFootnote0Char"/>
                <w:rtl/>
              </w:rPr>
              <w:t>(4).</w:t>
            </w:r>
            <w:r w:rsidRPr="005D642E">
              <w:rPr>
                <w:rtl/>
              </w:rPr>
              <w:t xml:space="preserve"> في « بث » وحاشية « غ ، بح » : « ألم تر »</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ولا يقل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بخ ، بس » : « وأنت »</w:t>
      </w:r>
      <w:r w:rsidR="00E3253D">
        <w:rPr>
          <w:rtl/>
        </w:rPr>
        <w:t>.</w:t>
      </w:r>
      <w:r w:rsidR="00E3253D" w:rsidRPr="005D642E">
        <w:rPr>
          <w:rtl/>
        </w:rPr>
        <w:t xml:space="preserve"> وفي حاشية « بخ » : « كانت »</w:t>
      </w:r>
      <w:r w:rsidR="00E3253D">
        <w:rPr>
          <w:rtl/>
        </w:rPr>
        <w:t>.</w:t>
      </w:r>
    </w:p>
    <w:tbl>
      <w:tblPr>
        <w:tblStyle w:val="TableGrid"/>
        <w:bidiVisual/>
        <w:tblW w:w="0" w:type="auto"/>
        <w:tblLook w:val="04A0" w:firstRow="1" w:lastRow="0" w:firstColumn="1" w:lastColumn="0" w:noHBand="0" w:noVBand="1"/>
      </w:tblPr>
      <w:tblGrid>
        <w:gridCol w:w="4006"/>
        <w:gridCol w:w="4006"/>
      </w:tblGrid>
      <w:tr w:rsidR="008B5E4B" w:rsidTr="008B5E4B">
        <w:tc>
          <w:tcPr>
            <w:tcW w:w="4006" w:type="dxa"/>
          </w:tcPr>
          <w:p w:rsidR="008B5E4B" w:rsidRDefault="008B5E4B" w:rsidP="00E3253D">
            <w:pPr>
              <w:pStyle w:val="libFootnote0"/>
              <w:rPr>
                <w:rStyle w:val="libFootnote0Char"/>
                <w:rtl/>
              </w:rPr>
            </w:pPr>
            <w:r w:rsidRPr="0042621E">
              <w:rPr>
                <w:rStyle w:val="libFootnote0Char"/>
                <w:rtl/>
              </w:rPr>
              <w:t>(7).</w:t>
            </w:r>
            <w:r w:rsidRPr="005D642E">
              <w:rPr>
                <w:rtl/>
              </w:rPr>
              <w:t xml:space="preserve"> في « جس » :</w:t>
            </w:r>
            <w:r>
              <w:rPr>
                <w:rtl/>
              </w:rPr>
              <w:t xml:space="preserve"> - </w:t>
            </w:r>
            <w:r w:rsidRPr="005D642E">
              <w:rPr>
                <w:rtl/>
              </w:rPr>
              <w:t>« ما »</w:t>
            </w:r>
            <w:r>
              <w:rPr>
                <w:rtl/>
              </w:rPr>
              <w:t>.</w:t>
            </w:r>
          </w:p>
        </w:tc>
        <w:tc>
          <w:tcPr>
            <w:tcW w:w="4006" w:type="dxa"/>
          </w:tcPr>
          <w:p w:rsidR="008B5E4B" w:rsidRDefault="008B5E4B" w:rsidP="00E3253D">
            <w:pPr>
              <w:pStyle w:val="libFootnote0"/>
              <w:rPr>
                <w:rStyle w:val="libFootnote0Char"/>
                <w:rtl/>
              </w:rPr>
            </w:pPr>
            <w:r w:rsidRPr="0042621E">
              <w:rPr>
                <w:rStyle w:val="libFootnote0Char"/>
                <w:rtl/>
              </w:rPr>
              <w:t>(8).</w:t>
            </w:r>
            <w:r w:rsidRPr="005D642E">
              <w:rPr>
                <w:rtl/>
              </w:rPr>
              <w:t xml:space="preserve"> في حاشية « بخ » : « عليّ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ذلك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بخ ، بس ، جن » وحاشية « بح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عزف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 « عاند »</w:t>
      </w:r>
      <w:r w:rsidR="00E3253D">
        <w:rPr>
          <w:rtl/>
        </w:rPr>
        <w:t>.</w:t>
      </w:r>
      <w:r w:rsidR="00E3253D" w:rsidRPr="005D642E">
        <w:rPr>
          <w:rtl/>
        </w:rPr>
        <w:t xml:space="preserve"> وفي « غ » : « غاير »</w:t>
      </w:r>
      <w:r w:rsidR="00E3253D">
        <w:rPr>
          <w:rtl/>
        </w:rPr>
        <w:t>.</w:t>
      </w:r>
      <w:r w:rsidR="00E3253D" w:rsidRPr="005D642E">
        <w:rPr>
          <w:rtl/>
        </w:rPr>
        <w:t xml:space="preserve"> وفي « ى ، بث ، بس » وحاشية « بف » والوسائل ، ح 2145 : « عابر »</w:t>
      </w:r>
      <w:r w:rsidR="00E3253D">
        <w:rPr>
          <w:rtl/>
        </w:rPr>
        <w:t>.</w:t>
      </w:r>
      <w:r w:rsidR="00E3253D" w:rsidRPr="005D642E">
        <w:rPr>
          <w:rtl/>
        </w:rPr>
        <w:t xml:space="preserve"> وفي‌الوافي : « عامر » ، وفيه : « فإنّ عامراً اسم الشيطان »</w:t>
      </w:r>
      <w:r w:rsidR="00E3253D">
        <w:rPr>
          <w:rtl/>
        </w:rPr>
        <w:t>.</w:t>
      </w:r>
      <w:r w:rsidR="00E3253D" w:rsidRPr="005D642E">
        <w:rPr>
          <w:rtl/>
        </w:rPr>
        <w:t xml:space="preserve"> وفي التهذيب :</w:t>
      </w:r>
      <w:r w:rsidR="00E3253D">
        <w:rPr>
          <w:rtl/>
        </w:rPr>
        <w:t xml:space="preserve"> </w:t>
      </w:r>
      <w:r w:rsidR="007642BC">
        <w:rPr>
          <w:rtl/>
        </w:rPr>
        <w:t>-</w:t>
      </w:r>
      <w:r w:rsidR="00E3253D">
        <w:rPr>
          <w:rtl/>
        </w:rPr>
        <w:t xml:space="preserve"> </w:t>
      </w:r>
      <w:r w:rsidR="00E3253D" w:rsidRPr="005D642E">
        <w:rPr>
          <w:rtl/>
        </w:rPr>
        <w:t>« غابر »</w:t>
      </w:r>
      <w:r w:rsidR="00E3253D">
        <w:rPr>
          <w:rtl/>
        </w:rPr>
        <w:t>.</w:t>
      </w:r>
      <w:r w:rsidR="00E3253D" w:rsidRPr="005D642E">
        <w:rPr>
          <w:rtl/>
        </w:rPr>
        <w:t xml:space="preserve"> وقال الجوهري : « غَبِرَ الجرح بالكسر يَغْبَرُ غَبَراً : اندمل على فساد ، ثمّ ينتفض</w:t>
      </w:r>
      <w:r w:rsidR="00E3253D">
        <w:rPr>
          <w:rtl/>
        </w:rPr>
        <w:t xml:space="preserve"> </w:t>
      </w:r>
      <w:r w:rsidR="007642BC">
        <w:rPr>
          <w:rtl/>
        </w:rPr>
        <w:t>-</w:t>
      </w:r>
      <w:r w:rsidR="00E3253D">
        <w:rPr>
          <w:rtl/>
        </w:rPr>
        <w:t xml:space="preserve"> </w:t>
      </w:r>
      <w:r w:rsidR="00E3253D" w:rsidRPr="005D642E">
        <w:rPr>
          <w:rtl/>
        </w:rPr>
        <w:t>أي يتحرّك</w:t>
      </w:r>
      <w:r w:rsidR="00E3253D">
        <w:rPr>
          <w:rtl/>
        </w:rPr>
        <w:t xml:space="preserve"> </w:t>
      </w:r>
      <w:r w:rsidR="007642BC">
        <w:rPr>
          <w:rtl/>
        </w:rPr>
        <w:t>-</w:t>
      </w:r>
      <w:r w:rsidR="00E3253D">
        <w:rPr>
          <w:rtl/>
        </w:rPr>
        <w:t xml:space="preserve"> </w:t>
      </w:r>
      <w:r w:rsidR="00E3253D" w:rsidRPr="005D642E">
        <w:rPr>
          <w:rtl/>
        </w:rPr>
        <w:t>بعد ذلك. ومنه سمّي العِرْق الغَبِر بكسر الباء ؛ لأنّه لايزال ينتفض »</w:t>
      </w:r>
      <w:r w:rsidR="00E3253D">
        <w:rPr>
          <w:rtl/>
        </w:rPr>
        <w:t>.</w:t>
      </w:r>
      <w:r w:rsidR="00E3253D" w:rsidRPr="005D642E">
        <w:rPr>
          <w:rtl/>
        </w:rPr>
        <w:t xml:space="preserve"> وفي اللسان : « ينتقض » بالقاف ، وهو نكث الجرح ونكسه بعد برئه. راجع : </w:t>
      </w:r>
      <w:r w:rsidR="00E3253D" w:rsidRPr="002F4D34">
        <w:rPr>
          <w:rStyle w:val="libFootnoteBoldChar"/>
          <w:rtl/>
        </w:rPr>
        <w:t>الصحاح</w:t>
      </w:r>
      <w:r w:rsidR="00E3253D" w:rsidRPr="005D642E">
        <w:rPr>
          <w:rtl/>
        </w:rPr>
        <w:t xml:space="preserve"> ، ج 2 ، ص 765 ؛ </w:t>
      </w:r>
      <w:r w:rsidR="00E3253D" w:rsidRPr="002F4D34">
        <w:rPr>
          <w:rStyle w:val="libFootnoteBoldChar"/>
          <w:rtl/>
        </w:rPr>
        <w:t>لسان العرب</w:t>
      </w:r>
      <w:r w:rsidR="00E3253D" w:rsidRPr="005D642E">
        <w:rPr>
          <w:rtl/>
        </w:rPr>
        <w:t xml:space="preserve"> ، ج 5 ، ص 6 ( غبر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أصل الرَكْض : الضرب بالرجل والإصابة بها ، كما تُرْكَض الدابّة وتُصاب بالرجل ، والمراد بالركضة</w:t>
      </w:r>
      <w:r w:rsidR="00E3253D">
        <w:rPr>
          <w:rtl/>
        </w:rPr>
        <w:t xml:space="preserve"> </w:t>
      </w:r>
      <w:r w:rsidR="007642BC">
        <w:rPr>
          <w:rtl/>
        </w:rPr>
        <w:t>-</w:t>
      </w:r>
      <w:r w:rsidR="00E3253D">
        <w:rPr>
          <w:rtl/>
        </w:rPr>
        <w:t xml:space="preserve"> </w:t>
      </w:r>
      <w:r w:rsidR="00E3253D" w:rsidRPr="005D642E">
        <w:rPr>
          <w:rtl/>
        </w:rPr>
        <w:t>على ما قال الجوهري</w:t>
      </w:r>
      <w:r w:rsidR="00E3253D">
        <w:rPr>
          <w:rtl/>
        </w:rPr>
        <w:t xml:space="preserve"> </w:t>
      </w:r>
      <w:r w:rsidR="007642BC">
        <w:rPr>
          <w:rtl/>
        </w:rPr>
        <w:t>-</w:t>
      </w:r>
      <w:r w:rsidR="00E3253D">
        <w:rPr>
          <w:rtl/>
        </w:rPr>
        <w:t xml:space="preserve"> </w:t>
      </w:r>
      <w:r w:rsidR="00E3253D" w:rsidRPr="005D642E">
        <w:rPr>
          <w:rtl/>
        </w:rPr>
        <w:t>الدفعة والحركة ، وقال ابن الأثير : « أراد الإضرار بها والأذى ، المعنى أنّ الشيطان قد وجد بذلك طريقاً إلى التلبيس عليها في أمر دينها وطهرها وصلاتها حتّى أنساها ذلك عادتها ، وصار في التقدير كأنّه ركضة بآلة من ركضاته » وقال المطرزي : « فإنّما جعلها كذلك ؛ لأنّها آفة وعارض ، والضرب والإيلام من أسباب ذلك ، وإنّما ا</w:t>
      </w:r>
      <w:r w:rsidR="004E0CC1">
        <w:rPr>
          <w:rFonts w:hint="cs"/>
          <w:rtl/>
        </w:rPr>
        <w:t>ُ</w:t>
      </w:r>
      <w:r w:rsidR="00E3253D" w:rsidRPr="005D642E">
        <w:rPr>
          <w:rtl/>
        </w:rPr>
        <w:t xml:space="preserve">ضيفت إلى الشيطان وإن كانت من فعله سبحانه وتعالى ؛ لأنّها ضرب وسيّئة ، والله تعالى يقول : </w:t>
      </w:r>
      <w:r w:rsidR="00E3253D" w:rsidRPr="004E0CC1">
        <w:rPr>
          <w:rStyle w:val="libFootnoteAlaemChar"/>
          <w:rtl/>
        </w:rPr>
        <w:t>(</w:t>
      </w:r>
      <w:r w:rsidR="00E3253D" w:rsidRPr="00EB702D">
        <w:rPr>
          <w:rStyle w:val="libFootnoteAieChar"/>
          <w:rtl/>
        </w:rPr>
        <w:t xml:space="preserve"> وَم</w:t>
      </w:r>
      <w:r w:rsidR="004E0CC1">
        <w:rPr>
          <w:rStyle w:val="libFootnoteAieChar"/>
          <w:rFonts w:hint="cs"/>
          <w:rtl/>
        </w:rPr>
        <w:t>َ</w:t>
      </w:r>
      <w:r w:rsidR="00E3253D" w:rsidRPr="00EB702D">
        <w:rPr>
          <w:rStyle w:val="libFootnoteAieChar"/>
          <w:rtl/>
        </w:rPr>
        <w:t>ا أَص</w:t>
      </w:r>
      <w:r w:rsidR="004E0CC1">
        <w:rPr>
          <w:rStyle w:val="libFootnoteAieChar"/>
          <w:rFonts w:hint="cs"/>
          <w:rtl/>
        </w:rPr>
        <w:t>َ</w:t>
      </w:r>
      <w:r w:rsidR="00E3253D" w:rsidRPr="00EB702D">
        <w:rPr>
          <w:rStyle w:val="libFootnoteAieChar"/>
          <w:rtl/>
        </w:rPr>
        <w:t xml:space="preserve">ابَكَ مِنْ سَيِّئَةٍ فَمِنْ نَفْسِكَ </w:t>
      </w:r>
      <w:r w:rsidR="00E3253D" w:rsidRPr="004E0CC1">
        <w:rPr>
          <w:rStyle w:val="libFootnoteAlaemChar"/>
          <w:rtl/>
        </w:rPr>
        <w:t>)</w:t>
      </w:r>
      <w:r w:rsidR="00E3253D" w:rsidRPr="005D642E">
        <w:rPr>
          <w:rtl/>
        </w:rPr>
        <w:t xml:space="preserve"> [ النساء </w:t>
      </w:r>
      <w:r w:rsidRPr="0042621E">
        <w:rPr>
          <w:rStyle w:val="libFootnote0Char"/>
          <w:rtl/>
        </w:rPr>
        <w:t>(4).</w:t>
      </w:r>
      <w:r w:rsidR="00E3253D" w:rsidRPr="005D642E">
        <w:rPr>
          <w:rtl/>
        </w:rPr>
        <w:t xml:space="preserve"> : 79 ] ، أي بفعلك ، ومثل هذا يكون بوسوسة الشيطان وكيده ، وإسناد الفعل إلى المسبّب كثير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3 ، ص 1080 ؛ </w:t>
      </w:r>
      <w:r w:rsidR="00E3253D" w:rsidRPr="002F4D34">
        <w:rPr>
          <w:rStyle w:val="libFootnoteBoldChar"/>
          <w:rtl/>
        </w:rPr>
        <w:t>النهاية</w:t>
      </w:r>
      <w:r w:rsidR="00E3253D" w:rsidRPr="005D642E">
        <w:rPr>
          <w:rtl/>
        </w:rPr>
        <w:t xml:space="preserve"> ، ج 2 ، ص 259 ؛ </w:t>
      </w:r>
      <w:r w:rsidR="00E3253D" w:rsidRPr="002F4D34">
        <w:rPr>
          <w:rStyle w:val="libFootnoteBoldChar"/>
          <w:rtl/>
        </w:rPr>
        <w:t>المغرب</w:t>
      </w:r>
      <w:r w:rsidR="00E3253D" w:rsidRPr="005D642E">
        <w:rPr>
          <w:rtl/>
        </w:rPr>
        <w:t xml:space="preserve"> ، ص 196 ( ركض ) ؛ </w:t>
      </w:r>
      <w:r w:rsidR="00E3253D" w:rsidRPr="002F4D34">
        <w:rPr>
          <w:rStyle w:val="libFootnoteBoldChar"/>
          <w:rtl/>
        </w:rPr>
        <w:t>مرآة العقول</w:t>
      </w:r>
      <w:r w:rsidR="00E3253D" w:rsidRPr="005D642E">
        <w:rPr>
          <w:rtl/>
        </w:rPr>
        <w:t xml:space="preserve"> ، ج 13 ، ص 218.</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ظ ، غ ، بف ، جس » : « وتوضّأ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لِكُلِّ صَلَاةٍ »</w:t>
      </w:r>
      <w:r>
        <w:rPr>
          <w:rtl/>
          <w:lang w:bidi="fa-IR"/>
        </w:rPr>
        <w:t>.</w:t>
      </w:r>
    </w:p>
    <w:p w:rsidR="00E3253D" w:rsidRPr="005D642E" w:rsidRDefault="00E3253D" w:rsidP="00E3253D">
      <w:pPr>
        <w:pStyle w:val="libNormal"/>
        <w:rPr>
          <w:rtl/>
          <w:lang w:bidi="fa-IR"/>
        </w:rPr>
      </w:pPr>
      <w:r w:rsidRPr="005D642E">
        <w:rPr>
          <w:rtl/>
          <w:lang w:bidi="fa-IR"/>
        </w:rPr>
        <w:t>قِيلَ : وَإِنْ سَالَ</w:t>
      </w:r>
      <w:r>
        <w:rPr>
          <w:rtl/>
          <w:lang w:bidi="fa-IR"/>
        </w:rPr>
        <w:t>؟</w:t>
      </w:r>
      <w:r w:rsidRPr="005D642E">
        <w:rPr>
          <w:rtl/>
          <w:lang w:bidi="fa-IR"/>
        </w:rPr>
        <w:t xml:space="preserve"> قَالَ : « وَإِنْ سَالَ </w:t>
      </w:r>
      <w:r w:rsidRPr="007C12DB">
        <w:rPr>
          <w:rStyle w:val="libFootnotenumChar"/>
          <w:rtl/>
        </w:rPr>
        <w:t>(1)</w:t>
      </w:r>
      <w:r w:rsidRPr="005D642E">
        <w:rPr>
          <w:rtl/>
          <w:lang w:bidi="fa-IR"/>
        </w:rPr>
        <w:t xml:space="preserve"> مِثْلَ الْمَثْعَبِ </w:t>
      </w:r>
      <w:r w:rsidRPr="007C12DB">
        <w:rPr>
          <w:rStyle w:val="libFootnotenumChar"/>
          <w:rtl/>
        </w:rPr>
        <w:t>(2)</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هذَا تَفْسِيرُ حَدِيثِ رَسُولِ اللهِ </w:t>
      </w:r>
      <w:r w:rsidR="0042621E" w:rsidRPr="0042621E">
        <w:rPr>
          <w:rStyle w:val="libAlaemChar"/>
          <w:rtl/>
        </w:rPr>
        <w:t>صلى‌الله‌عليه‌وآله</w:t>
      </w:r>
      <w:r w:rsidRPr="005D642E">
        <w:rPr>
          <w:rtl/>
          <w:lang w:bidi="fa-IR"/>
        </w:rPr>
        <w:t xml:space="preserve"> وَهُوَ مُوَافِقٌ لَهُ ، فَهذِهِ سُنَّةُ الَّتِي تَعْرِفُ </w:t>
      </w:r>
      <w:r w:rsidRPr="007C12DB">
        <w:rPr>
          <w:rStyle w:val="libFootnotenumChar"/>
          <w:rtl/>
        </w:rPr>
        <w:t>(3)</w:t>
      </w:r>
      <w:r w:rsidRPr="005D642E">
        <w:rPr>
          <w:rtl/>
          <w:lang w:bidi="fa-IR"/>
        </w:rPr>
        <w:t xml:space="preserve"> أَيَّامَ أَقْرَائِهَا ، لَا </w:t>
      </w:r>
      <w:r w:rsidRPr="007C12DB">
        <w:rPr>
          <w:rStyle w:val="libFootnotenumChar"/>
          <w:rtl/>
        </w:rPr>
        <w:t>(4)</w:t>
      </w:r>
      <w:r w:rsidR="004E0CC1">
        <w:rPr>
          <w:rtl/>
          <w:lang w:bidi="fa-IR"/>
        </w:rPr>
        <w:t xml:space="preserve"> وَقْتَ لَهَا إِل</w:t>
      </w:r>
      <w:r w:rsidR="004E0CC1">
        <w:rPr>
          <w:rFonts w:hint="cs"/>
          <w:rtl/>
          <w:lang w:bidi="fa-IR"/>
        </w:rPr>
        <w:t>َّ</w:t>
      </w:r>
      <w:r w:rsidR="004E0CC1">
        <w:rPr>
          <w:rtl/>
          <w:lang w:bidi="fa-IR"/>
        </w:rPr>
        <w:t>ا</w:t>
      </w:r>
      <w:r w:rsidRPr="005D642E">
        <w:rPr>
          <w:rtl/>
          <w:lang w:bidi="fa-IR"/>
        </w:rPr>
        <w:t xml:space="preserve"> أَيَّامَهَا ، قَلَّتْ أَوْ كَثُرَتْ.</w:t>
      </w:r>
    </w:p>
    <w:p w:rsidR="00E3253D" w:rsidRPr="005D642E" w:rsidRDefault="00E3253D" w:rsidP="00E3253D">
      <w:pPr>
        <w:pStyle w:val="libNormal"/>
        <w:rPr>
          <w:rtl/>
          <w:lang w:bidi="fa-IR"/>
        </w:rPr>
      </w:pPr>
      <w:r w:rsidRPr="005D642E">
        <w:rPr>
          <w:rtl/>
          <w:lang w:bidi="fa-IR"/>
        </w:rPr>
        <w:t xml:space="preserve">وَأَمَّا سُنَّةُ الَّتِي قَدْ كَانَتْ لَهَا أَيَّامٌ مُتَقَدِّمَةٌ ، ثُمَّ اخْتَلَطَ </w:t>
      </w:r>
      <w:r w:rsidRPr="007C12DB">
        <w:rPr>
          <w:rStyle w:val="libFootnotenumChar"/>
          <w:rtl/>
        </w:rPr>
        <w:t>(5)</w:t>
      </w:r>
      <w:r w:rsidRPr="005D642E">
        <w:rPr>
          <w:rtl/>
          <w:lang w:bidi="fa-IR"/>
        </w:rPr>
        <w:t xml:space="preserve"> عَلَيْهَا مِنْ طُولِ الدَّمِ ، فَزَادَتْ </w:t>
      </w:r>
      <w:r w:rsidRPr="007C12DB">
        <w:rPr>
          <w:rStyle w:val="libFootnotenumChar"/>
          <w:rtl/>
        </w:rPr>
        <w:t>(6)</w:t>
      </w:r>
      <w:r w:rsidRPr="005D642E">
        <w:rPr>
          <w:rtl/>
          <w:lang w:bidi="fa-IR"/>
        </w:rPr>
        <w:t xml:space="preserve"> وَنَقَصَتْ حَتّى أَغْفَلَتْ عَدَدَهَا وَمَوْضِعَهَا مِنَ الشَّهْرِ ، فَإِنَّ سُنَّتَهَا غَيْرُ ذلِكَ ، وَذلِكَ </w:t>
      </w:r>
      <w:r w:rsidRPr="007C12DB">
        <w:rPr>
          <w:rStyle w:val="libFootnotenumChar"/>
          <w:rtl/>
        </w:rPr>
        <w:t>(7)</w:t>
      </w:r>
      <w:r w:rsidRPr="005D642E">
        <w:rPr>
          <w:rtl/>
          <w:lang w:bidi="fa-IR"/>
        </w:rPr>
        <w:t xml:space="preserve"> أَنَّ فَاطِمَةَ بِنْتَ أَبِي حُبَيْشٍ </w:t>
      </w:r>
      <w:r w:rsidRPr="007C12DB">
        <w:rPr>
          <w:rStyle w:val="libFootnotenumChar"/>
          <w:rtl/>
        </w:rPr>
        <w:t>(8)</w:t>
      </w:r>
      <w:r w:rsidRPr="005D642E">
        <w:rPr>
          <w:rtl/>
          <w:lang w:bidi="fa-IR"/>
        </w:rPr>
        <w:t xml:space="preserve"> أَتَتِ النَّبِيَّ </w:t>
      </w:r>
      <w:r w:rsidR="0042621E" w:rsidRPr="0042621E">
        <w:rPr>
          <w:rStyle w:val="libAlaemChar"/>
          <w:rtl/>
        </w:rPr>
        <w:t>صلى‌الله‌عليه‌وآله</w:t>
      </w:r>
      <w:r w:rsidRPr="005D642E">
        <w:rPr>
          <w:rtl/>
          <w:lang w:bidi="fa-IR"/>
        </w:rPr>
        <w:t xml:space="preserve"> ، فَقَالَتْ : إِنِّي أُسْتَحَاضُ </w:t>
      </w:r>
      <w:r w:rsidRPr="007C12DB">
        <w:rPr>
          <w:rStyle w:val="libFootnotenumChar"/>
          <w:rtl/>
        </w:rPr>
        <w:t>(9)</w:t>
      </w:r>
      <w:r w:rsidRPr="005D642E">
        <w:rPr>
          <w:rtl/>
          <w:lang w:bidi="fa-IR"/>
        </w:rPr>
        <w:t xml:space="preserve"> ، فَلَا أَطْهُرُ </w:t>
      </w:r>
      <w:r w:rsidRPr="007C12DB">
        <w:rPr>
          <w:rStyle w:val="libFootnotenumChar"/>
          <w:rtl/>
        </w:rPr>
        <w:t>(10)</w:t>
      </w:r>
      <w:r>
        <w:rPr>
          <w:rtl/>
          <w:lang w:bidi="fa-IR"/>
        </w:rPr>
        <w:t>؟</w:t>
      </w:r>
      <w:r w:rsidRPr="005D642E">
        <w:rPr>
          <w:rtl/>
          <w:lang w:bidi="fa-IR"/>
        </w:rPr>
        <w:t xml:space="preserve"> فَقَالَ </w:t>
      </w:r>
      <w:r w:rsidRPr="007C12DB">
        <w:rPr>
          <w:rStyle w:val="libFootnotenumChar"/>
          <w:rtl/>
        </w:rPr>
        <w:t>(11)</w:t>
      </w:r>
      <w:r w:rsidRPr="005D642E">
        <w:rPr>
          <w:rtl/>
          <w:lang w:bidi="fa-IR"/>
        </w:rPr>
        <w:t xml:space="preserve"> النَّبِيُّ </w:t>
      </w:r>
      <w:r w:rsidR="0042621E" w:rsidRPr="0042621E">
        <w:rPr>
          <w:rStyle w:val="libAlaemChar"/>
          <w:rtl/>
        </w:rPr>
        <w:t>صلى‌الله‌عليه‌وآله</w:t>
      </w:r>
      <w:r w:rsidRPr="005D642E">
        <w:rPr>
          <w:rtl/>
          <w:lang w:bidi="fa-IR"/>
        </w:rPr>
        <w:t xml:space="preserve"> : لَيْسَ ذَلِكِ بِحَيْضٍ ، إِنَّمَا هُوَ عِرْقٌ </w:t>
      </w:r>
      <w:r w:rsidRPr="007C12DB">
        <w:rPr>
          <w:rStyle w:val="libFootnotenumChar"/>
          <w:rtl/>
        </w:rPr>
        <w:t>(12)</w:t>
      </w:r>
      <w:r w:rsidRPr="005D642E">
        <w:rPr>
          <w:rtl/>
          <w:lang w:bidi="fa-IR"/>
        </w:rPr>
        <w:t xml:space="preserve"> ، فَإِذَا أَقْبَلَتِ الْحَيْضَةُ </w:t>
      </w:r>
      <w:r w:rsidRPr="007C12DB">
        <w:rPr>
          <w:rStyle w:val="libFootnotenumChar"/>
          <w:rtl/>
        </w:rPr>
        <w:t>(13)</w:t>
      </w:r>
      <w:r w:rsidRPr="005D642E">
        <w:rPr>
          <w:rtl/>
          <w:lang w:bidi="fa-IR"/>
        </w:rPr>
        <w:t xml:space="preserve"> فَدَعِي الصَّلَاةَ ، وَإِذَا أَدْبَرَتْ </w:t>
      </w:r>
      <w:r w:rsidRPr="007C12DB">
        <w:rPr>
          <w:rStyle w:val="libFootnotenumChar"/>
          <w:rtl/>
        </w:rPr>
        <w:t>(14)</w:t>
      </w:r>
      <w:r w:rsidRPr="005D642E">
        <w:rPr>
          <w:rtl/>
          <w:lang w:bidi="fa-IR"/>
        </w:rPr>
        <w:t xml:space="preserve"> فَاغْسِلِي عَنْكِ الدَّمَ ، وَصَلِّي ، وَكَانَتْ </w:t>
      </w:r>
      <w:r w:rsidRPr="007C12DB">
        <w:rPr>
          <w:rStyle w:val="libFootnotenumChar"/>
          <w:rtl/>
        </w:rPr>
        <w:t>(15)</w:t>
      </w:r>
      <w:r w:rsidRPr="005D642E">
        <w:rPr>
          <w:rtl/>
          <w:lang w:bidi="fa-IR"/>
        </w:rPr>
        <w:t xml:space="preserve"> تَغْتَسِلُ فِي </w:t>
      </w:r>
      <w:r w:rsidRPr="007C12DB">
        <w:rPr>
          <w:rStyle w:val="libFootnotenumChar"/>
          <w:rtl/>
        </w:rPr>
        <w:t>(16)</w:t>
      </w:r>
      <w:r w:rsidRPr="005D642E">
        <w:rPr>
          <w:rtl/>
          <w:lang w:bidi="fa-IR"/>
        </w:rPr>
        <w:t xml:space="preserve"> كُلِّ‌</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جح » :</w:t>
      </w:r>
      <w:r w:rsidR="00E3253D">
        <w:rPr>
          <w:rtl/>
        </w:rPr>
        <w:t xml:space="preserve"> </w:t>
      </w:r>
      <w:r w:rsidR="007642BC">
        <w:rPr>
          <w:rtl/>
        </w:rPr>
        <w:t>-</w:t>
      </w:r>
      <w:r w:rsidR="00E3253D">
        <w:rPr>
          <w:rtl/>
        </w:rPr>
        <w:t xml:space="preserve"> </w:t>
      </w:r>
      <w:r w:rsidR="00E3253D" w:rsidRPr="005D642E">
        <w:rPr>
          <w:rtl/>
        </w:rPr>
        <w:t>« قال : وإن سال »</w:t>
      </w:r>
      <w:r w:rsidR="00E3253D">
        <w:rPr>
          <w:rtl/>
        </w:rPr>
        <w:t>.</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وإن سال »</w:t>
      </w:r>
      <w:r w:rsidR="00E3253D">
        <w:rPr>
          <w:rtl/>
        </w:rPr>
        <w:t>.</w:t>
      </w:r>
    </w:p>
    <w:p w:rsidR="00E3253D" w:rsidRPr="005D642E" w:rsidRDefault="0042621E" w:rsidP="00E3253D">
      <w:pPr>
        <w:pStyle w:val="libFootnote0"/>
        <w:rPr>
          <w:rtl/>
          <w:lang w:bidi="fa-IR"/>
        </w:rPr>
      </w:pPr>
      <w:r w:rsidRPr="0042621E">
        <w:rPr>
          <w:rStyle w:val="libFootnote0Char"/>
          <w:rtl/>
        </w:rPr>
        <w:t>(2).</w:t>
      </w:r>
      <w:r w:rsidR="004E0CC1">
        <w:rPr>
          <w:rtl/>
        </w:rPr>
        <w:t xml:space="preserve"> « الم</w:t>
      </w:r>
      <w:r w:rsidR="004E0CC1">
        <w:rPr>
          <w:rFonts w:hint="cs"/>
          <w:rtl/>
        </w:rPr>
        <w:t>ـَ</w:t>
      </w:r>
      <w:r w:rsidR="00E3253D" w:rsidRPr="005D642E">
        <w:rPr>
          <w:rtl/>
        </w:rPr>
        <w:t xml:space="preserve">ثْعَب » : مسيل الماء. وقال الخليل : المثعب هو المِرْزاب ، أي الميزاب. راجع : </w:t>
      </w:r>
      <w:r w:rsidR="00E3253D" w:rsidRPr="002F4D34">
        <w:rPr>
          <w:rStyle w:val="libFootnoteBoldChar"/>
          <w:rtl/>
        </w:rPr>
        <w:t>ترتيب كتاب العين</w:t>
      </w:r>
      <w:r w:rsidR="00E3253D" w:rsidRPr="005D642E">
        <w:rPr>
          <w:rtl/>
        </w:rPr>
        <w:t xml:space="preserve"> ، ج 1 ، ص 240 ؛ </w:t>
      </w:r>
      <w:r w:rsidR="00E3253D" w:rsidRPr="002F4D34">
        <w:rPr>
          <w:rStyle w:val="libFootnoteBoldChar"/>
          <w:rtl/>
        </w:rPr>
        <w:t>القاموس المحيط</w:t>
      </w:r>
      <w:r w:rsidR="00E3253D" w:rsidRPr="005D642E">
        <w:rPr>
          <w:rtl/>
        </w:rPr>
        <w:t xml:space="preserve"> ، ج 1 ، ص 134 ( ثعب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بث » : + « بها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 ح 2145 </w:t>
      </w:r>
      <w:r w:rsidR="00B60612" w:rsidRPr="00B60612">
        <w:rPr>
          <w:rStyle w:val="libFootnoteBoldChar"/>
          <w:rtl/>
        </w:rPr>
        <w:t>والتهذيب</w:t>
      </w:r>
      <w:r w:rsidR="00E3253D" w:rsidRPr="005D642E">
        <w:rPr>
          <w:rtl/>
        </w:rPr>
        <w:t xml:space="preserve"> : « ولا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بخ ، بس » وحاشية « بح » : « واختلط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w:t>
      </w:r>
      <w:r w:rsidR="00B60612" w:rsidRPr="00B60612">
        <w:rPr>
          <w:rStyle w:val="libFootnoteBoldChar"/>
          <w:rtl/>
        </w:rPr>
        <w:t>والتهذيب</w:t>
      </w:r>
      <w:r w:rsidR="00E3253D" w:rsidRPr="005D642E">
        <w:rPr>
          <w:rtl/>
        </w:rPr>
        <w:t xml:space="preserve"> : « وزادت »</w:t>
      </w:r>
      <w:r w:rsidR="00E3253D">
        <w:rPr>
          <w:rtl/>
        </w:rPr>
        <w:t>.</w:t>
      </w:r>
    </w:p>
    <w:tbl>
      <w:tblPr>
        <w:tblStyle w:val="TableGrid"/>
        <w:bidiVisual/>
        <w:tblW w:w="0" w:type="auto"/>
        <w:tblLook w:val="04A0" w:firstRow="1" w:lastRow="0" w:firstColumn="1" w:lastColumn="0" w:noHBand="0" w:noVBand="1"/>
      </w:tblPr>
      <w:tblGrid>
        <w:gridCol w:w="4006"/>
        <w:gridCol w:w="4006"/>
      </w:tblGrid>
      <w:tr w:rsidR="004E0CC1" w:rsidTr="004E0CC1">
        <w:tc>
          <w:tcPr>
            <w:tcW w:w="4006" w:type="dxa"/>
          </w:tcPr>
          <w:p w:rsidR="004E0CC1" w:rsidRDefault="004E0CC1" w:rsidP="00E3253D">
            <w:pPr>
              <w:pStyle w:val="libFootnote0"/>
              <w:rPr>
                <w:rStyle w:val="libFootnote0Char"/>
                <w:rtl/>
              </w:rPr>
            </w:pPr>
            <w:r w:rsidRPr="0042621E">
              <w:rPr>
                <w:rStyle w:val="libFootnote0Char"/>
                <w:rtl/>
              </w:rPr>
              <w:t>(7).</w:t>
            </w:r>
            <w:r w:rsidRPr="005D642E">
              <w:rPr>
                <w:rtl/>
              </w:rPr>
              <w:t xml:space="preserve"> في « ى ، بخ » :</w:t>
            </w:r>
            <w:r>
              <w:rPr>
                <w:rtl/>
              </w:rPr>
              <w:t xml:space="preserve"> - </w:t>
            </w:r>
            <w:r w:rsidRPr="005D642E">
              <w:rPr>
                <w:rtl/>
              </w:rPr>
              <w:t>« وذلك »</w:t>
            </w:r>
            <w:r>
              <w:rPr>
                <w:rtl/>
              </w:rPr>
              <w:t>.</w:t>
            </w:r>
          </w:p>
        </w:tc>
        <w:tc>
          <w:tcPr>
            <w:tcW w:w="4006" w:type="dxa"/>
          </w:tcPr>
          <w:p w:rsidR="004E0CC1" w:rsidRDefault="004E0CC1" w:rsidP="00E3253D">
            <w:pPr>
              <w:pStyle w:val="libFootnote0"/>
              <w:rPr>
                <w:rStyle w:val="libFootnote0Char"/>
                <w:rtl/>
              </w:rPr>
            </w:pPr>
            <w:r w:rsidRPr="0042621E">
              <w:rPr>
                <w:rStyle w:val="libFootnote0Char"/>
                <w:rtl/>
              </w:rPr>
              <w:t>(8).</w:t>
            </w:r>
            <w:r w:rsidRPr="005D642E">
              <w:rPr>
                <w:rtl/>
              </w:rPr>
              <w:t xml:space="preserve"> في « ى » : « أبي جيش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حاشية « بح » : « استحضت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جح ، جس ، جن » وحاشية « ظ ، بح » والوسائل ، ح 2135 : « ولا أطهر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الوسائل ، ح 2135 : + « لها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وحاشية « بح » : « غرف »</w:t>
      </w:r>
      <w:r w:rsidR="00E3253D">
        <w:rPr>
          <w:rtl/>
        </w:rPr>
        <w:t>.</w:t>
      </w:r>
      <w:r w:rsidR="00E3253D" w:rsidRPr="005D642E">
        <w:rPr>
          <w:rtl/>
        </w:rPr>
        <w:t xml:space="preserve"> وفي « غ ، بث ، بس ، جح ، جن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عزف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غ » : « المحيضة »</w:t>
      </w:r>
      <w:r w:rsidR="00E3253D">
        <w:rPr>
          <w:rtl/>
        </w:rPr>
        <w:t>.</w:t>
      </w:r>
      <w:r w:rsidR="004E0CC1">
        <w:rPr>
          <w:rtl/>
        </w:rPr>
        <w:t xml:space="preserve"> وقال العل</w:t>
      </w:r>
      <w:r w:rsidR="00362B5F">
        <w:rPr>
          <w:rFonts w:hint="cs"/>
          <w:rtl/>
        </w:rPr>
        <w:t>ّ</w:t>
      </w:r>
      <w:r w:rsidR="004E0CC1">
        <w:rPr>
          <w:rtl/>
        </w:rPr>
        <w:t>ا</w:t>
      </w:r>
      <w:r w:rsidR="00E3253D" w:rsidRPr="005D642E">
        <w:rPr>
          <w:rtl/>
        </w:rPr>
        <w:t xml:space="preserve">مة المجلسي : « قال الطيّبي : قوله : إذا أقبلت حيضك ، يحتمل أن يكون المراد به الحالة التي كانت تحيض ، فيكون ردّاً إلى العادة ، وأن يكون المراد به الحال التي تكون للحيض من قوّة الدم في اللون والقوام. انتهى. والمراد الثاني كما أفاده </w:t>
      </w:r>
      <w:r w:rsidR="00E3253D" w:rsidRPr="00362B5F">
        <w:rPr>
          <w:rStyle w:val="libFootnoteAlaemChar"/>
          <w:rtl/>
        </w:rPr>
        <w:t>عليه‌السلام</w:t>
      </w:r>
      <w:r w:rsidR="00E3253D" w:rsidRPr="005D642E">
        <w:rPr>
          <w:rtl/>
        </w:rPr>
        <w:t xml:space="preserve"> »</w:t>
      </w:r>
      <w:r w:rsidR="00E3253D">
        <w:rPr>
          <w:rtl/>
        </w:rPr>
        <w:t>.</w:t>
      </w:r>
    </w:p>
    <w:tbl>
      <w:tblPr>
        <w:tblStyle w:val="TableGrid"/>
        <w:bidiVisual/>
        <w:tblW w:w="0" w:type="auto"/>
        <w:tblLook w:val="04A0" w:firstRow="1" w:lastRow="0" w:firstColumn="1" w:lastColumn="0" w:noHBand="0" w:noVBand="1"/>
      </w:tblPr>
      <w:tblGrid>
        <w:gridCol w:w="4006"/>
        <w:gridCol w:w="4006"/>
      </w:tblGrid>
      <w:tr w:rsidR="00332473" w:rsidTr="00332473">
        <w:tc>
          <w:tcPr>
            <w:tcW w:w="4006" w:type="dxa"/>
          </w:tcPr>
          <w:p w:rsidR="00332473" w:rsidRDefault="00332473" w:rsidP="00E3253D">
            <w:pPr>
              <w:pStyle w:val="libFootnote0"/>
              <w:rPr>
                <w:rStyle w:val="libFootnote0Char"/>
                <w:rtl/>
              </w:rPr>
            </w:pPr>
            <w:r w:rsidRPr="0042621E">
              <w:rPr>
                <w:rStyle w:val="libFootnote0Char"/>
                <w:rtl/>
              </w:rPr>
              <w:t>(14).</w:t>
            </w:r>
            <w:r>
              <w:rPr>
                <w:rtl/>
              </w:rPr>
              <w:t xml:space="preserve"> </w:t>
            </w:r>
            <w:r w:rsidRPr="005D642E">
              <w:rPr>
                <w:rtl/>
              </w:rPr>
              <w:t>في « غ ، جس » : « فإذا أدبرت »</w:t>
            </w:r>
            <w:r>
              <w:rPr>
                <w:rtl/>
              </w:rPr>
              <w:t>.</w:t>
            </w:r>
          </w:p>
        </w:tc>
        <w:tc>
          <w:tcPr>
            <w:tcW w:w="4006" w:type="dxa"/>
          </w:tcPr>
          <w:p w:rsidR="00332473" w:rsidRDefault="00332473" w:rsidP="00332473">
            <w:pPr>
              <w:pStyle w:val="libFootnote0"/>
              <w:rPr>
                <w:rStyle w:val="libFootnote0Char"/>
                <w:rtl/>
              </w:rPr>
            </w:pPr>
            <w:r w:rsidRPr="0042621E">
              <w:rPr>
                <w:rStyle w:val="libFootnote0Char"/>
                <w:rtl/>
              </w:rPr>
              <w:t>(15).</w:t>
            </w:r>
            <w:r w:rsidRPr="005D642E">
              <w:rPr>
                <w:rtl/>
              </w:rPr>
              <w:t xml:space="preserve"> في«بح،بف،جح،جس»</w:t>
            </w:r>
            <w:r w:rsidRPr="00B60612">
              <w:rPr>
                <w:rStyle w:val="libFootnoteBoldChar"/>
                <w:rtl/>
              </w:rPr>
              <w:t>والتهذيب</w:t>
            </w:r>
            <w:r w:rsidRPr="005D642E">
              <w:rPr>
                <w:rtl/>
              </w:rPr>
              <w:t>:«فكانت»</w:t>
            </w:r>
            <w:r>
              <w:rPr>
                <w:rtl/>
              </w:rPr>
              <w:t>.</w:t>
            </w:r>
          </w:p>
        </w:tc>
      </w:tr>
    </w:tbl>
    <w:p w:rsidR="00E3253D" w:rsidRPr="005D642E" w:rsidRDefault="00E3253D" w:rsidP="00E3253D">
      <w:pPr>
        <w:pStyle w:val="libFootnote0"/>
        <w:rPr>
          <w:rtl/>
          <w:lang w:bidi="fa-IR"/>
        </w:rPr>
      </w:pPr>
      <w:r w:rsidRPr="005D642E">
        <w:rPr>
          <w:rtl/>
        </w:rPr>
        <w:t>(1</w:t>
      </w:r>
      <w:r>
        <w:rPr>
          <w:rtl/>
        </w:rPr>
        <w:t>6)</w:t>
      </w:r>
      <w:r w:rsidRPr="005D642E">
        <w:rPr>
          <w:rtl/>
        </w:rPr>
        <w:t xml:space="preserve"> في الوسائل ، ح 2135 : + « وقت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صَلَاةٍ ، وَكَانَتْ تَجْلِسُ فِي مِرْكَنٍ </w:t>
      </w:r>
      <w:r w:rsidRPr="007C12DB">
        <w:rPr>
          <w:rStyle w:val="libFootnotenumChar"/>
          <w:rtl/>
        </w:rPr>
        <w:t>(1)</w:t>
      </w:r>
      <w:r w:rsidRPr="005D642E">
        <w:rPr>
          <w:rtl/>
          <w:lang w:bidi="fa-IR"/>
        </w:rPr>
        <w:t xml:space="preserve"> لِأُخْتِهَا ، وَكَانَتْ </w:t>
      </w:r>
      <w:r w:rsidRPr="007C12DB">
        <w:rPr>
          <w:rStyle w:val="libFootnotenumChar"/>
          <w:rtl/>
        </w:rPr>
        <w:t>(2)</w:t>
      </w:r>
      <w:r w:rsidRPr="005D642E">
        <w:rPr>
          <w:rtl/>
          <w:lang w:bidi="fa-IR"/>
        </w:rPr>
        <w:t xml:space="preserve"> صُفْرَةُ الدَّمِ تَعْلُو الْمَاءَ »</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(3)</w:t>
      </w:r>
      <w:r w:rsidRPr="005D642E">
        <w:rPr>
          <w:rtl/>
          <w:lang w:bidi="fa-IR"/>
        </w:rPr>
        <w:t xml:space="preserve"> أَبُو عَبْدِ اللهِ </w:t>
      </w:r>
      <w:r w:rsidRPr="00AC51C5">
        <w:rPr>
          <w:rStyle w:val="libAlaemChar"/>
          <w:rtl/>
        </w:rPr>
        <w:t>عليه‌السلام</w:t>
      </w:r>
      <w:r>
        <w:rPr>
          <w:rtl/>
          <w:lang w:bidi="fa-IR"/>
        </w:rPr>
        <w:t xml:space="preserve"> : « أَ</w:t>
      </w:r>
      <w:r w:rsidRPr="005D642E">
        <w:rPr>
          <w:rtl/>
          <w:lang w:bidi="fa-IR"/>
        </w:rPr>
        <w:t xml:space="preserve">مَا تَسْمَعُ رَسُولَ اللهِ </w:t>
      </w:r>
      <w:r w:rsidR="0042621E" w:rsidRPr="0042621E">
        <w:rPr>
          <w:rStyle w:val="libAlaemChar"/>
          <w:rtl/>
        </w:rPr>
        <w:t>صلى‌الله‌عليه‌وآله</w:t>
      </w:r>
      <w:r w:rsidRPr="005D642E">
        <w:rPr>
          <w:rtl/>
          <w:lang w:bidi="fa-IR"/>
        </w:rPr>
        <w:t xml:space="preserve"> أَمَرَ هذِهِ بِغَيْرِ مَا أَمَرَ بِهِ تِلْكَ</w:t>
      </w:r>
      <w:r>
        <w:rPr>
          <w:rtl/>
          <w:lang w:bidi="fa-IR"/>
        </w:rPr>
        <w:t>؟ أَ</w:t>
      </w:r>
      <w:r w:rsidRPr="005D642E">
        <w:rPr>
          <w:rtl/>
          <w:lang w:bidi="fa-IR"/>
        </w:rPr>
        <w:t>لَا تَرَاهُ لَمْ يَقُلْ لَهَا : دَعِي الصَّلَاةَ أَيَّامَ أَقْرَائِكِ ، وَلكِنْ قَالَ لَهَا : إِذَا أَقْبَلَتِ الْحَيْضَةُ فَدَعِي الصَّلَاةَ ، وَإِذَا أَدْبَرَتْ فَاغْتَسِلِي وَصَلِّي</w:t>
      </w:r>
      <w:r>
        <w:rPr>
          <w:rtl/>
          <w:lang w:bidi="fa-IR"/>
        </w:rPr>
        <w:t>؟</w:t>
      </w:r>
      <w:r w:rsidRPr="005D642E">
        <w:rPr>
          <w:rtl/>
          <w:lang w:bidi="fa-IR"/>
        </w:rPr>
        <w:t xml:space="preserve"> فَهذَا يُبَيِّنُ </w:t>
      </w:r>
      <w:r w:rsidRPr="007C12DB">
        <w:rPr>
          <w:rStyle w:val="libFootnotenumChar"/>
          <w:rtl/>
        </w:rPr>
        <w:t>(4)</w:t>
      </w:r>
      <w:r w:rsidRPr="005D642E">
        <w:rPr>
          <w:rtl/>
          <w:lang w:bidi="fa-IR"/>
        </w:rPr>
        <w:t xml:space="preserve"> أَنَّ هذِهِ امْرَأَةٌ قَدِ اخْتَلَطَ عَلَيْهَا أَيَّامُهَا ، لَمْ تَعْرِف</w:t>
      </w:r>
      <w:r>
        <w:rPr>
          <w:rtl/>
          <w:lang w:bidi="fa-IR"/>
        </w:rPr>
        <w:t>ْ عَدَدَهَا وَلَاوَقْتَهَا ، أَ</w:t>
      </w:r>
      <w:r w:rsidR="00CC5199">
        <w:rPr>
          <w:rFonts w:hint="cs"/>
          <w:rtl/>
          <w:lang w:bidi="fa-IR"/>
        </w:rPr>
        <w:t xml:space="preserve"> </w:t>
      </w:r>
      <w:r w:rsidRPr="005D642E">
        <w:rPr>
          <w:rtl/>
          <w:lang w:bidi="fa-IR"/>
        </w:rPr>
        <w:t xml:space="preserve">لَاتَسْمَعُهَا </w:t>
      </w:r>
      <w:r w:rsidRPr="007C12DB">
        <w:rPr>
          <w:rStyle w:val="libFootnotenumChar"/>
          <w:rtl/>
        </w:rPr>
        <w:t>(5)</w:t>
      </w:r>
      <w:r w:rsidRPr="005D642E">
        <w:rPr>
          <w:rtl/>
          <w:lang w:bidi="fa-IR"/>
        </w:rPr>
        <w:t xml:space="preserve"> تَقُولُ : إِنِّي أُسْتَحَاضُ فَلَا أَطْهُرُ </w:t>
      </w:r>
      <w:r w:rsidRPr="007C12DB">
        <w:rPr>
          <w:rStyle w:val="libFootnotenumChar"/>
          <w:rtl/>
        </w:rPr>
        <w:t>(6)</w:t>
      </w:r>
      <w:r>
        <w:rPr>
          <w:rtl/>
          <w:lang w:bidi="fa-IR"/>
        </w:rPr>
        <w:t>؟</w:t>
      </w:r>
      <w:r>
        <w:rPr>
          <w:rFonts w:hint="cs"/>
          <w:rtl/>
          <w:lang w:bidi="fa-IR"/>
        </w:rPr>
        <w:t xml:space="preserve"> </w:t>
      </w:r>
      <w:r w:rsidRPr="005D642E">
        <w:rPr>
          <w:rtl/>
          <w:lang w:bidi="fa-IR"/>
        </w:rPr>
        <w:t xml:space="preserve">وَكَانَ أَبِي يَقُولُ : إِنَّهَا </w:t>
      </w:r>
      <w:r w:rsidRPr="007C12DB">
        <w:rPr>
          <w:rStyle w:val="libFootnotenumChar"/>
          <w:rtl/>
        </w:rPr>
        <w:t>(7)</w:t>
      </w:r>
      <w:r w:rsidRPr="005D642E">
        <w:rPr>
          <w:rtl/>
          <w:lang w:bidi="fa-IR"/>
        </w:rPr>
        <w:t xml:space="preserve"> اسْتُحِيضَتْ سَبْعَ سِنِينَ ، فَفِي أَقَلَّ مِنْ هذَا </w:t>
      </w:r>
      <w:r w:rsidRPr="007C12DB">
        <w:rPr>
          <w:rStyle w:val="libFootnotenumChar"/>
          <w:rtl/>
        </w:rPr>
        <w:t>(8)</w:t>
      </w:r>
      <w:r w:rsidRPr="005D642E">
        <w:rPr>
          <w:rtl/>
          <w:lang w:bidi="fa-IR"/>
        </w:rPr>
        <w:t xml:space="preserve"> تَكُونُ </w:t>
      </w:r>
      <w:r w:rsidRPr="007C12DB">
        <w:rPr>
          <w:rStyle w:val="libFootnotenumChar"/>
          <w:rtl/>
        </w:rPr>
        <w:t>(9)</w:t>
      </w:r>
      <w:r w:rsidRPr="005D642E">
        <w:rPr>
          <w:rtl/>
          <w:lang w:bidi="fa-IR"/>
        </w:rPr>
        <w:t xml:space="preserve"> الرِّيبَةُ‌</w:t>
      </w:r>
      <w:r>
        <w:rPr>
          <w:rFonts w:hint="cs"/>
          <w:rtl/>
          <w:lang w:bidi="fa-IR"/>
        </w:rPr>
        <w:t xml:space="preserve"> </w:t>
      </w:r>
      <w:r w:rsidRPr="005D642E">
        <w:rPr>
          <w:rtl/>
          <w:lang w:bidi="fa-IR"/>
        </w:rPr>
        <w:t xml:space="preserve">وَالِاخْتِلَاطُ ، فَلِهذَا احْتَاجَتْ إِلى </w:t>
      </w:r>
      <w:r w:rsidRPr="007C12DB">
        <w:rPr>
          <w:rStyle w:val="libFootnotenumChar"/>
          <w:rtl/>
        </w:rPr>
        <w:t>(10)</w:t>
      </w:r>
      <w:r w:rsidRPr="005D642E">
        <w:rPr>
          <w:rtl/>
          <w:lang w:bidi="fa-IR"/>
        </w:rPr>
        <w:t xml:space="preserve"> أَنْ تَعْرِفَ إِقْبَالَ الدَّمِ مِنْ إِدْبَارِهِ </w:t>
      </w:r>
      <w:r w:rsidRPr="007C12DB">
        <w:rPr>
          <w:rStyle w:val="libFootnotenumChar"/>
          <w:rtl/>
        </w:rPr>
        <w:t>(11)</w:t>
      </w:r>
      <w:r w:rsidRPr="005D642E">
        <w:rPr>
          <w:rtl/>
          <w:lang w:bidi="fa-IR"/>
        </w:rPr>
        <w:t xml:space="preserve"> ، وَتَغَيُّرَ </w:t>
      </w:r>
      <w:r w:rsidRPr="007C12DB">
        <w:rPr>
          <w:rStyle w:val="libFootnotenumChar"/>
          <w:rtl/>
        </w:rPr>
        <w:t>(12)</w:t>
      </w:r>
      <w:r w:rsidRPr="005D642E">
        <w:rPr>
          <w:rtl/>
          <w:lang w:bidi="fa-IR"/>
        </w:rPr>
        <w:t xml:space="preserve"> لَوْنِهِ مِنَ السَّوَادِ إِلى غَيْرِهِ ، وَذلِكَ أَنَّ دَمَ الْحَيْضِ أَسْوَدُ يُعْرَفُ ، وَلَوْ كَانَتْ تَعْرِفُ أَيَّامَهَا ، مَا احْتَاجَتْ إِلى مَعْرِفَةِ لَوْنِ الدَّمِ ؛ لِأَنَّ السُّنَّةَ فِي الْحَيْضِ أَنْ تَكُونَ </w:t>
      </w:r>
      <w:r w:rsidRPr="007C12DB">
        <w:rPr>
          <w:rStyle w:val="libFootnotenumChar"/>
          <w:rtl/>
        </w:rPr>
        <w:t>(13)</w:t>
      </w:r>
      <w:r w:rsidRPr="005D642E">
        <w:rPr>
          <w:rtl/>
          <w:lang w:bidi="fa-IR"/>
        </w:rPr>
        <w:t xml:space="preserve"> الصُّفْرَةُ وَالْكُدْرَةُ فَمَا فَوْقَهَا فِي أَيَّامِ الْحَيْضِ إِذَا عُرِفَتْ حَيْضاً كُلُّهُ إِنْ كَانَ الدَّمُ أَسْوَدَ ، أَوْ غَيْرَ ذلِكَ.</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المِرْكن » كمنبر : شبه تَوْر</w:t>
      </w:r>
      <w:r w:rsidR="00E3253D">
        <w:rPr>
          <w:rtl/>
        </w:rPr>
        <w:t xml:space="preserve"> </w:t>
      </w:r>
      <w:r w:rsidR="007642BC">
        <w:rPr>
          <w:rtl/>
        </w:rPr>
        <w:t>-</w:t>
      </w:r>
      <w:r w:rsidR="00E3253D">
        <w:rPr>
          <w:rtl/>
        </w:rPr>
        <w:t xml:space="preserve"> </w:t>
      </w:r>
      <w:r w:rsidR="00E3253D" w:rsidRPr="005D642E">
        <w:rPr>
          <w:rtl/>
        </w:rPr>
        <w:t>وهو إناء من صفر ، وقد يتوضّأ منه</w:t>
      </w:r>
      <w:r w:rsidR="00E3253D">
        <w:rPr>
          <w:rtl/>
        </w:rPr>
        <w:t xml:space="preserve"> </w:t>
      </w:r>
      <w:r w:rsidR="007642BC">
        <w:rPr>
          <w:rtl/>
        </w:rPr>
        <w:t>-</w:t>
      </w:r>
      <w:r w:rsidR="00E3253D">
        <w:rPr>
          <w:rtl/>
        </w:rPr>
        <w:t xml:space="preserve"> </w:t>
      </w:r>
      <w:r w:rsidR="00E3253D" w:rsidRPr="005D642E">
        <w:rPr>
          <w:rtl/>
        </w:rPr>
        <w:t xml:space="preserve">من أَدَم يتّخذ للماء ، أو شبه لَقَن وهو معرّب « لَگَن » بالفارسيّة. وقيل : المركن : الإجّانة التي تغسل فيها الثياب ، والميم زائدة ، وهي التي تخصّ الآلات. راجع : </w:t>
      </w:r>
      <w:r w:rsidR="00E3253D" w:rsidRPr="002F4D34">
        <w:rPr>
          <w:rStyle w:val="libFootnoteBoldChar"/>
          <w:rtl/>
        </w:rPr>
        <w:t>ترتيب كتاب العين</w:t>
      </w:r>
      <w:r w:rsidR="00E3253D" w:rsidRPr="005D642E">
        <w:rPr>
          <w:rtl/>
        </w:rPr>
        <w:t xml:space="preserve"> ، ج 1 ، ص 710 ؛ </w:t>
      </w:r>
      <w:r w:rsidR="00E3253D" w:rsidRPr="002F4D34">
        <w:rPr>
          <w:rStyle w:val="libFootnoteBoldChar"/>
          <w:rtl/>
        </w:rPr>
        <w:t>النهاية</w:t>
      </w:r>
      <w:r w:rsidR="00E3253D" w:rsidRPr="005D642E">
        <w:rPr>
          <w:rtl/>
        </w:rPr>
        <w:t xml:space="preserve"> ، ج 2 ، ص 260 ( ركن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بث ، بح ، جح ، جس » والوسائل ، ح 2135 : « فكانت »</w:t>
      </w:r>
      <w:r w:rsidR="00E3253D">
        <w:rPr>
          <w:rtl/>
        </w:rPr>
        <w:t>.</w:t>
      </w:r>
      <w:r w:rsidR="00E3253D" w:rsidRPr="005D642E">
        <w:rPr>
          <w:rtl/>
        </w:rPr>
        <w:t xml:space="preserve"> وفي « غ ، بخ ، بس » : « وكان »</w:t>
      </w:r>
      <w:r w:rsidR="00E3253D">
        <w:rPr>
          <w:rtl/>
        </w:rPr>
        <w:t>.</w:t>
      </w:r>
      <w:r w:rsidR="00E3253D" w:rsidRPr="005D642E">
        <w:rPr>
          <w:rtl/>
        </w:rPr>
        <w:t xml:space="preserve"> وفي التهذيب : « فكان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w:t>
      </w:r>
      <w:r w:rsidR="000D749A" w:rsidRPr="000D749A">
        <w:rPr>
          <w:rStyle w:val="libFootnoteBoldChar"/>
          <w:rtl/>
        </w:rPr>
        <w:t>والوافي</w:t>
      </w:r>
      <w:r w:rsidR="00E3253D" w:rsidRPr="005D642E">
        <w:rPr>
          <w:rtl/>
        </w:rPr>
        <w:t xml:space="preserve"> والوسائل ، ح 2135 </w:t>
      </w:r>
      <w:r w:rsidR="00B60612" w:rsidRPr="00B60612">
        <w:rPr>
          <w:rStyle w:val="libFootnoteBoldChar"/>
          <w:rtl/>
        </w:rPr>
        <w:t>والتهذيب</w:t>
      </w:r>
      <w:r w:rsidR="00E3253D" w:rsidRPr="005D642E">
        <w:rPr>
          <w:rtl/>
        </w:rPr>
        <w:t>. وفي « بخ » والمطبوع : « فقال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بس ، جس ، جن » وحاشية « بح » والوسائل ، ح 2135 : « بيّن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بس » : « ألا سمعتها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9F4FB6">
        <w:rPr>
          <w:rStyle w:val="libFootnoteAlaemChar"/>
          <w:rtl/>
        </w:rPr>
        <w:t>عليه‌السلام</w:t>
      </w:r>
      <w:r w:rsidR="00E3253D" w:rsidRPr="005D642E">
        <w:rPr>
          <w:rtl/>
        </w:rPr>
        <w:t xml:space="preserve"> : ألا تسمعها ، كأنّ استدلاله </w:t>
      </w:r>
      <w:r w:rsidR="00E3253D" w:rsidRPr="009F4FB6">
        <w:rPr>
          <w:rStyle w:val="libFootnoteAlaemChar"/>
          <w:rtl/>
        </w:rPr>
        <w:t>عليه‌السلام</w:t>
      </w:r>
      <w:r w:rsidR="00E3253D" w:rsidRPr="005D642E">
        <w:rPr>
          <w:rtl/>
        </w:rPr>
        <w:t xml:space="preserve"> با</w:t>
      </w:r>
      <w:r w:rsidR="006F60F1">
        <w:rPr>
          <w:rtl/>
        </w:rPr>
        <w:t>عتبار أنّ هذه العبارةلاتطلق إل</w:t>
      </w:r>
      <w:r w:rsidR="006F60F1">
        <w:rPr>
          <w:rFonts w:hint="cs"/>
          <w:rtl/>
        </w:rPr>
        <w:t>ّ</w:t>
      </w:r>
      <w:r w:rsidR="006F60F1">
        <w:rPr>
          <w:rtl/>
        </w:rPr>
        <w:t>ا</w:t>
      </w:r>
      <w:r w:rsidR="00E3253D">
        <w:rPr>
          <w:rFonts w:hint="cs"/>
          <w:rtl/>
        </w:rPr>
        <w:t xml:space="preserve"> </w:t>
      </w:r>
      <w:r w:rsidR="00E3253D" w:rsidRPr="005D642E">
        <w:rPr>
          <w:rtl/>
        </w:rPr>
        <w:t>إذا استدام الدم كثيراً ، والأغلب أنّه في هذه الحالة تنسى المرأة عادتها »</w:t>
      </w:r>
      <w:r w:rsidR="00E3253D">
        <w:rPr>
          <w:rtl/>
        </w:rPr>
        <w:t>.</w:t>
      </w:r>
    </w:p>
    <w:tbl>
      <w:tblPr>
        <w:tblStyle w:val="TableGrid"/>
        <w:bidiVisual/>
        <w:tblW w:w="0" w:type="auto"/>
        <w:tblLook w:val="04A0" w:firstRow="1" w:lastRow="0" w:firstColumn="1" w:lastColumn="0" w:noHBand="0" w:noVBand="1"/>
      </w:tblPr>
      <w:tblGrid>
        <w:gridCol w:w="4006"/>
        <w:gridCol w:w="4006"/>
      </w:tblGrid>
      <w:tr w:rsidR="006F60F1" w:rsidTr="006F60F1">
        <w:tc>
          <w:tcPr>
            <w:tcW w:w="4006" w:type="dxa"/>
          </w:tcPr>
          <w:p w:rsidR="006F60F1" w:rsidRDefault="006F60F1" w:rsidP="006F60F1">
            <w:pPr>
              <w:pStyle w:val="libFootnote0"/>
              <w:rPr>
                <w:rStyle w:val="libFootnote0Char"/>
                <w:rtl/>
              </w:rPr>
            </w:pPr>
            <w:r w:rsidRPr="0042621E">
              <w:rPr>
                <w:rStyle w:val="libFootnote0Char"/>
                <w:rtl/>
              </w:rPr>
              <w:t>(6).</w:t>
            </w:r>
            <w:r w:rsidRPr="005D642E">
              <w:rPr>
                <w:rtl/>
              </w:rPr>
              <w:t xml:space="preserve"> في«جس»والوسائل ، ح 2135 : « ولا أطهر »</w:t>
            </w:r>
            <w:r>
              <w:rPr>
                <w:rtl/>
              </w:rPr>
              <w:t>.</w:t>
            </w:r>
          </w:p>
        </w:tc>
        <w:tc>
          <w:tcPr>
            <w:tcW w:w="4006" w:type="dxa"/>
          </w:tcPr>
          <w:p w:rsidR="006F60F1" w:rsidRDefault="006F60F1" w:rsidP="00E3253D">
            <w:pPr>
              <w:pStyle w:val="libFootnote0"/>
              <w:rPr>
                <w:rStyle w:val="libFootnote0Char"/>
                <w:rtl/>
              </w:rPr>
            </w:pPr>
            <w:r w:rsidRPr="0042621E">
              <w:rPr>
                <w:rStyle w:val="libFootnote0Char"/>
                <w:rtl/>
              </w:rPr>
              <w:t>(7).</w:t>
            </w:r>
            <w:r w:rsidRPr="005D642E">
              <w:rPr>
                <w:rtl/>
              </w:rPr>
              <w:t xml:space="preserve"> في « بخ » :</w:t>
            </w:r>
            <w:r>
              <w:rPr>
                <w:rtl/>
              </w:rPr>
              <w:t xml:space="preserve"> - </w:t>
            </w:r>
            <w:r w:rsidRPr="005D642E">
              <w:rPr>
                <w:rtl/>
              </w:rPr>
              <w:t>« إنّها »</w:t>
            </w:r>
            <w:r>
              <w:rPr>
                <w:rtl/>
              </w:rPr>
              <w:t>.</w:t>
            </w:r>
            <w:r w:rsidRPr="005D642E">
              <w:rPr>
                <w:rtl/>
              </w:rPr>
              <w:t xml:space="preserve"> وفي « بف » : « لها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بخ » : « هذه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بخ ، بس ، بف ، جح ، جس ، جن » </w:t>
      </w:r>
      <w:r w:rsidR="00B60612" w:rsidRPr="00B60612">
        <w:rPr>
          <w:rStyle w:val="libFootnoteBoldChar"/>
          <w:rtl/>
        </w:rPr>
        <w:t>والتهذيب</w:t>
      </w:r>
      <w:r w:rsidR="00E3253D" w:rsidRPr="005D642E">
        <w:rPr>
          <w:rtl/>
        </w:rPr>
        <w:t xml:space="preserve"> : « يكون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بث ، جس » :</w:t>
      </w:r>
      <w:r w:rsidR="00E3253D">
        <w:rPr>
          <w:rtl/>
        </w:rPr>
        <w:t xml:space="preserve"> </w:t>
      </w:r>
      <w:r w:rsidR="007642BC">
        <w:rPr>
          <w:rtl/>
        </w:rPr>
        <w:t>-</w:t>
      </w:r>
      <w:r w:rsidR="00E3253D">
        <w:rPr>
          <w:rtl/>
        </w:rPr>
        <w:t xml:space="preserve"> </w:t>
      </w:r>
      <w:r w:rsidR="00E3253D" w:rsidRPr="005D642E">
        <w:rPr>
          <w:rtl/>
        </w:rPr>
        <w:t>« إلى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قال في </w:t>
      </w:r>
      <w:r w:rsidR="00E3253D" w:rsidRPr="002F4D34">
        <w:rPr>
          <w:rStyle w:val="libFootnoteBoldChar"/>
          <w:rtl/>
        </w:rPr>
        <w:t>الوافي</w:t>
      </w:r>
      <w:r w:rsidR="00E3253D" w:rsidRPr="005D642E">
        <w:rPr>
          <w:rtl/>
        </w:rPr>
        <w:t xml:space="preserve"> : « لعلّ المراد بإقبال الدم كثرته وغلظته وسواده ، وبإدباره قلّته ورقّته وصفرته »</w:t>
      </w:r>
      <w:r w:rsidR="00E3253D">
        <w:rPr>
          <w:rtl/>
        </w:rPr>
        <w:t>.</w:t>
      </w:r>
    </w:p>
    <w:tbl>
      <w:tblPr>
        <w:tblStyle w:val="TableGrid"/>
        <w:bidiVisual/>
        <w:tblW w:w="0" w:type="auto"/>
        <w:tblLook w:val="04A0" w:firstRow="1" w:lastRow="0" w:firstColumn="1" w:lastColumn="0" w:noHBand="0" w:noVBand="1"/>
      </w:tblPr>
      <w:tblGrid>
        <w:gridCol w:w="4006"/>
        <w:gridCol w:w="4006"/>
      </w:tblGrid>
      <w:tr w:rsidR="006F60F1" w:rsidTr="006F60F1">
        <w:tc>
          <w:tcPr>
            <w:tcW w:w="4006" w:type="dxa"/>
          </w:tcPr>
          <w:p w:rsidR="006F60F1" w:rsidRDefault="006F60F1" w:rsidP="00E3253D">
            <w:pPr>
              <w:pStyle w:val="libFootnote0"/>
              <w:rPr>
                <w:rStyle w:val="libFootnote0Char"/>
                <w:rtl/>
              </w:rPr>
            </w:pPr>
            <w:r w:rsidRPr="0042621E">
              <w:rPr>
                <w:rStyle w:val="libFootnote0Char"/>
                <w:rtl/>
              </w:rPr>
              <w:t>(12).</w:t>
            </w:r>
            <w:r w:rsidRPr="005D642E">
              <w:rPr>
                <w:rtl/>
              </w:rPr>
              <w:t xml:space="preserve"> في « بث ، بس » : « وتغيير »</w:t>
            </w:r>
            <w:r>
              <w:rPr>
                <w:rtl/>
              </w:rPr>
              <w:t>.</w:t>
            </w:r>
          </w:p>
        </w:tc>
        <w:tc>
          <w:tcPr>
            <w:tcW w:w="4006" w:type="dxa"/>
          </w:tcPr>
          <w:p w:rsidR="006F60F1" w:rsidRDefault="006F60F1" w:rsidP="006F60F1">
            <w:pPr>
              <w:pStyle w:val="libFootnote0"/>
              <w:rPr>
                <w:rStyle w:val="libFootnote0Char"/>
                <w:rtl/>
              </w:rPr>
            </w:pPr>
            <w:r w:rsidRPr="0042621E">
              <w:rPr>
                <w:rStyle w:val="libFootnote0Char"/>
                <w:rtl/>
              </w:rPr>
              <w:t>(13).</w:t>
            </w:r>
            <w:r w:rsidRPr="005D642E">
              <w:rPr>
                <w:rtl/>
              </w:rPr>
              <w:t xml:space="preserve"> في«بح،جس،جن»</w:t>
            </w:r>
            <w:r w:rsidRPr="00B60612">
              <w:rPr>
                <w:rStyle w:val="libFootnoteBoldChar"/>
                <w:rtl/>
              </w:rPr>
              <w:t>والتهذيب</w:t>
            </w:r>
            <w:r w:rsidRPr="005D642E">
              <w:rPr>
                <w:rtl/>
              </w:rPr>
              <w:t>:«أن يكون»</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230B27">
      <w:pPr>
        <w:pStyle w:val="libNormal"/>
        <w:rPr>
          <w:rtl/>
          <w:lang w:bidi="fa-IR"/>
        </w:rPr>
      </w:pPr>
      <w:r w:rsidRPr="005D642E">
        <w:rPr>
          <w:rtl/>
          <w:lang w:bidi="fa-IR"/>
        </w:rPr>
        <w:lastRenderedPageBreak/>
        <w:t xml:space="preserve">فَهذَا يُبَيِّنُ لَكَ </w:t>
      </w:r>
      <w:r w:rsidRPr="007C12DB">
        <w:rPr>
          <w:rStyle w:val="libFootnotenumChar"/>
          <w:rtl/>
        </w:rPr>
        <w:t>(1)</w:t>
      </w:r>
      <w:r w:rsidRPr="005D642E">
        <w:rPr>
          <w:rtl/>
          <w:lang w:bidi="fa-IR"/>
        </w:rPr>
        <w:t xml:space="preserve"> أَنَّ قَلِيلَ الدَّمِ وَكَثِيرَهُ </w:t>
      </w:r>
      <w:r w:rsidRPr="007C12DB">
        <w:rPr>
          <w:rStyle w:val="libFootnotenumChar"/>
          <w:rtl/>
        </w:rPr>
        <w:t>(2)</w:t>
      </w:r>
      <w:r w:rsidRPr="005D642E">
        <w:rPr>
          <w:rtl/>
          <w:lang w:bidi="fa-IR"/>
        </w:rPr>
        <w:t xml:space="preserve"> أَيَّامَ الْحَيْضِ حَيْضٌ كُلَّهُ إِذَا كَانَتِ الْأَيَّامُ مَعْلُومَةً ، فَإِذَا جَهِلَتِ الْأَيَّامَ وَعَدَدَهَا ، احْتَاجَتْ إِلَى النَّظَرِ حِينَئِذٍ إِلى إِقْبَالِ الدَّمِ وَإِدْبَارِهِ ، وَتَغَيُّرِ لَوْنِهِ ، ثُمَّ تَدَعُ الصَّلَاةَ عَلى قَدْرِ ذلِكَ ، وَلَا</w:t>
      </w:r>
      <w:r>
        <w:rPr>
          <w:rFonts w:hint="cs"/>
          <w:rtl/>
          <w:lang w:bidi="fa-IR"/>
        </w:rPr>
        <w:t xml:space="preserve"> </w:t>
      </w:r>
      <w:r w:rsidRPr="005D642E">
        <w:rPr>
          <w:rtl/>
          <w:lang w:bidi="fa-IR"/>
        </w:rPr>
        <w:t xml:space="preserve">أَرَى النَّبِيَّ </w:t>
      </w:r>
      <w:r w:rsidR="00230B27" w:rsidRPr="0042621E">
        <w:rPr>
          <w:rStyle w:val="libAlaemChar"/>
          <w:rtl/>
        </w:rPr>
        <w:t>صلى‌الله‌عليه‌وآله</w:t>
      </w:r>
      <w:r w:rsidR="00230B27" w:rsidRPr="005D642E">
        <w:rPr>
          <w:rtl/>
          <w:lang w:bidi="fa-IR"/>
        </w:rPr>
        <w:t xml:space="preserve"> </w:t>
      </w:r>
      <w:r w:rsidRPr="005D642E">
        <w:rPr>
          <w:rtl/>
          <w:lang w:bidi="fa-IR"/>
        </w:rPr>
        <w:t xml:space="preserve">قَال </w:t>
      </w:r>
      <w:r w:rsidRPr="007C12DB">
        <w:rPr>
          <w:rStyle w:val="libFootnotenumChar"/>
          <w:rtl/>
        </w:rPr>
        <w:t>(3)</w:t>
      </w:r>
      <w:r w:rsidRPr="005D642E">
        <w:rPr>
          <w:rtl/>
          <w:lang w:bidi="fa-IR"/>
        </w:rPr>
        <w:t xml:space="preserve"> : اجْلِسِي كَذَا وَكَذَا يَوْماً ، فَمَا زَادَتْ فَأَنْتِ مُسْتَحَاضَةٌ ، كَمَا لَمْ يَأْمُرِ </w:t>
      </w:r>
      <w:r w:rsidRPr="007C12DB">
        <w:rPr>
          <w:rStyle w:val="libFootnotenumChar"/>
          <w:rtl/>
        </w:rPr>
        <w:t>(4)</w:t>
      </w:r>
      <w:r w:rsidRPr="005D642E">
        <w:rPr>
          <w:rtl/>
          <w:lang w:bidi="fa-IR"/>
        </w:rPr>
        <w:t xml:space="preserve"> الْأُولى بِذلِكَ ، وَكَذلِكَ </w:t>
      </w:r>
      <w:r w:rsidRPr="007C12DB">
        <w:rPr>
          <w:rStyle w:val="libFootnotenumChar"/>
          <w:rtl/>
        </w:rPr>
        <w:t>(5)</w:t>
      </w:r>
      <w:r w:rsidRPr="005D642E">
        <w:rPr>
          <w:rtl/>
          <w:lang w:bidi="fa-IR"/>
        </w:rPr>
        <w:t xml:space="preserve"> أَبِي </w:t>
      </w:r>
      <w:r w:rsidRPr="00AC51C5">
        <w:rPr>
          <w:rStyle w:val="libAlaemChar"/>
          <w:rtl/>
        </w:rPr>
        <w:t>عليه‌السلام</w:t>
      </w:r>
      <w:r w:rsidRPr="005D642E">
        <w:rPr>
          <w:rtl/>
          <w:lang w:bidi="fa-IR"/>
        </w:rPr>
        <w:t xml:space="preserve"> أَفْتى فِي مِثْلِ هذَا ؛ وَذَاكَ </w:t>
      </w:r>
      <w:r w:rsidRPr="007C12DB">
        <w:rPr>
          <w:rStyle w:val="libFootnotenumChar"/>
          <w:rtl/>
        </w:rPr>
        <w:t>(6)</w:t>
      </w:r>
      <w:r w:rsidRPr="005D642E">
        <w:rPr>
          <w:rtl/>
          <w:lang w:bidi="fa-IR"/>
        </w:rPr>
        <w:t xml:space="preserve"> أَنَّ امْرَأَةً مِنْ أَهْلِنَا اسْتَحَاضَتْ ، فَسَأَلَتْ أَبِي </w:t>
      </w:r>
      <w:r w:rsidRPr="00AC51C5">
        <w:rPr>
          <w:rStyle w:val="libAlaemChar"/>
          <w:rtl/>
        </w:rPr>
        <w:t>عليه‌السلام</w:t>
      </w:r>
      <w:r w:rsidRPr="005D642E">
        <w:rPr>
          <w:rtl/>
          <w:lang w:bidi="fa-IR"/>
        </w:rPr>
        <w:t xml:space="preserve"> عَنْ ذلِكَ ، فَقَالَ </w:t>
      </w:r>
      <w:r w:rsidRPr="007C12DB">
        <w:rPr>
          <w:rStyle w:val="libFootnotenumChar"/>
          <w:rtl/>
        </w:rPr>
        <w:t>(7)</w:t>
      </w:r>
      <w:r w:rsidRPr="005D642E">
        <w:rPr>
          <w:rtl/>
          <w:lang w:bidi="fa-IR"/>
        </w:rPr>
        <w:t xml:space="preserve"> : إِذَا رَأَيْتِ الدَّمَ الْبَحْرَانِيَّ </w:t>
      </w:r>
      <w:r w:rsidRPr="007C12DB">
        <w:rPr>
          <w:rStyle w:val="libFootnotenumChar"/>
          <w:rtl/>
        </w:rPr>
        <w:t>(8)</w:t>
      </w:r>
      <w:r w:rsidRPr="005D642E">
        <w:rPr>
          <w:rtl/>
          <w:lang w:bidi="fa-IR"/>
        </w:rPr>
        <w:t xml:space="preserve"> فَدَعِي الصَّلَاةَ ، وَإِذَا رَأَيْتِ الطُّهْرَ</w:t>
      </w:r>
      <w:r>
        <w:rPr>
          <w:rtl/>
          <w:lang w:bidi="fa-IR"/>
        </w:rPr>
        <w:t xml:space="preserve"> </w:t>
      </w:r>
      <w:r w:rsidR="007642BC">
        <w:rPr>
          <w:rtl/>
          <w:lang w:bidi="fa-IR"/>
        </w:rPr>
        <w:t>-</w:t>
      </w:r>
      <w:r>
        <w:rPr>
          <w:rtl/>
          <w:lang w:bidi="fa-IR"/>
        </w:rPr>
        <w:t xml:space="preserve"> </w:t>
      </w:r>
      <w:r w:rsidRPr="005D642E">
        <w:rPr>
          <w:rtl/>
          <w:lang w:bidi="fa-IR"/>
        </w:rPr>
        <w:t>وَلَوْ سَاعَةً مِنْ نَهَارٍ</w:t>
      </w:r>
      <w:r>
        <w:rPr>
          <w:rtl/>
          <w:lang w:bidi="fa-IR"/>
        </w:rPr>
        <w:t xml:space="preserve"> </w:t>
      </w:r>
      <w:r w:rsidR="007642BC">
        <w:rPr>
          <w:rtl/>
          <w:lang w:bidi="fa-IR"/>
        </w:rPr>
        <w:t>-</w:t>
      </w:r>
      <w:r>
        <w:rPr>
          <w:rtl/>
          <w:lang w:bidi="fa-IR"/>
        </w:rPr>
        <w:t xml:space="preserve"> </w:t>
      </w:r>
      <w:r w:rsidRPr="005D642E">
        <w:rPr>
          <w:rtl/>
          <w:lang w:bidi="fa-IR"/>
        </w:rPr>
        <w:t>فَاغْتَسِلِي وَصَلِّي »</w:t>
      </w:r>
      <w:r>
        <w:rPr>
          <w:rtl/>
          <w:lang w:bidi="fa-IR"/>
        </w:rPr>
        <w:t>.</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وَأَرى جَوَابَ أَبِي </w:t>
      </w:r>
      <w:r w:rsidRPr="00AC51C5">
        <w:rPr>
          <w:rStyle w:val="libAlaemChar"/>
          <w:rtl/>
        </w:rPr>
        <w:t>عليه‌السلام</w:t>
      </w:r>
      <w:r w:rsidRPr="005D642E">
        <w:rPr>
          <w:rtl/>
          <w:lang w:bidi="fa-IR"/>
        </w:rPr>
        <w:t xml:space="preserve"> هاهُنَا غَيْرَ جَوَابِهِ فِي</w:t>
      </w:r>
      <w:r>
        <w:rPr>
          <w:rtl/>
          <w:lang w:bidi="fa-IR"/>
        </w:rPr>
        <w:t xml:space="preserve"> الْمُسْتَحَاضَةِ الْأُولى ، أَ</w:t>
      </w:r>
      <w:r w:rsidRPr="005D642E">
        <w:rPr>
          <w:rtl/>
          <w:lang w:bidi="fa-IR"/>
        </w:rPr>
        <w:t>لَاتَرى أَنَّهُ قَالَ : تَدَعُ الصَّلَاةَ أَيَّامَ أَقْرَائِهَا</w:t>
      </w:r>
      <w:r>
        <w:rPr>
          <w:rtl/>
          <w:lang w:bidi="fa-IR"/>
        </w:rPr>
        <w:t>؟</w:t>
      </w:r>
      <w:r w:rsidRPr="005D642E">
        <w:rPr>
          <w:rtl/>
          <w:lang w:bidi="fa-IR"/>
        </w:rPr>
        <w:t xml:space="preserve"> لِأَنَّهُ نَظَرَ إِلى عَدَدِ الْأَيَّامِ ، وَقَالَ </w:t>
      </w:r>
      <w:r w:rsidRPr="007C12DB">
        <w:rPr>
          <w:rStyle w:val="libFootnotenumChar"/>
          <w:rtl/>
        </w:rPr>
        <w:t>(9)</w:t>
      </w:r>
      <w:r w:rsidRPr="005D642E">
        <w:rPr>
          <w:rtl/>
          <w:lang w:bidi="fa-IR"/>
        </w:rPr>
        <w:t xml:space="preserve"> هاهُنَا : إِذَا رَأَتِ </w:t>
      </w:r>
      <w:r w:rsidRPr="007C12DB">
        <w:rPr>
          <w:rStyle w:val="libFootnotenumChar"/>
          <w:rtl/>
        </w:rPr>
        <w:t>(10)</w:t>
      </w:r>
      <w:r w:rsidRPr="005D642E">
        <w:rPr>
          <w:rtl/>
          <w:lang w:bidi="fa-IR"/>
        </w:rPr>
        <w:t xml:space="preserve"> الدَّمَ الْبَحْرَانِيَّ فَلْتَدَعِ الصَّلَاةَ ، وَأَمَرَ </w:t>
      </w:r>
      <w:r w:rsidRPr="007C12DB">
        <w:rPr>
          <w:rStyle w:val="libFootnotenumChar"/>
          <w:rtl/>
        </w:rPr>
        <w:t>(11)</w:t>
      </w:r>
      <w:r w:rsidRPr="005D642E">
        <w:rPr>
          <w:rtl/>
          <w:lang w:bidi="fa-IR"/>
        </w:rPr>
        <w:t xml:space="preserve"> هاهُنَا </w:t>
      </w:r>
      <w:r w:rsidRPr="007C12DB">
        <w:rPr>
          <w:rStyle w:val="libFootnotenumChar"/>
          <w:rtl/>
        </w:rPr>
        <w:t>(12)</w:t>
      </w:r>
      <w:r w:rsidRPr="005D642E">
        <w:rPr>
          <w:rtl/>
          <w:lang w:bidi="fa-IR"/>
        </w:rPr>
        <w:t xml:space="preserve"> أَنْ تَنْظُرَ إِلَى الدَّمِ إِذَا أَقْبَلَ وَأَدْبَرَ وَتَغَيَّرَ.</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 « بيّن ذلك »</w:t>
      </w:r>
      <w:r w:rsidR="00E3253D">
        <w:rPr>
          <w:rtl/>
        </w:rPr>
        <w:t>.</w:t>
      </w:r>
      <w:r w:rsidR="00E3253D" w:rsidRPr="005D642E">
        <w:rPr>
          <w:rtl/>
        </w:rPr>
        <w:t xml:space="preserve"> وفي « بث ، جح ، جس » : « بيّن لك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 + « في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ح 2135 : + « لها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جميع النسخ </w:t>
      </w:r>
      <w:r w:rsidR="000D749A" w:rsidRPr="000D749A">
        <w:rPr>
          <w:rStyle w:val="libFootnoteBoldChar"/>
          <w:rtl/>
        </w:rPr>
        <w:t>والوافي</w:t>
      </w:r>
      <w:r w:rsidR="00E3253D" w:rsidRPr="005D642E">
        <w:rPr>
          <w:rtl/>
        </w:rPr>
        <w:t xml:space="preserve"> والوسائل ، ح 2135 </w:t>
      </w:r>
      <w:r w:rsidR="00B60612" w:rsidRPr="00B60612">
        <w:rPr>
          <w:rStyle w:val="libFootnoteBoldChar"/>
          <w:rtl/>
        </w:rPr>
        <w:t>والتهذيب</w:t>
      </w:r>
      <w:r w:rsidR="00E3253D" w:rsidRPr="005D642E">
        <w:rPr>
          <w:rtl/>
        </w:rPr>
        <w:t>. وفي المطبوع : « لم تؤمر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بس » : « وكذا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بث ، بخ ، بف ، جح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وذلك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 « وقال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الدم البحرانيّ » ، أي الشديد الحمرة ، كأنّه قد نسب إلى البحر وهو اسم قعر الرحم وعمقها ، وزادوه في النسب ألفاً ونوناً للمبالغة ، يريد الدم الغليظ الواسع ، وقيل : هذا من تغيّرات النسبة ، أي هو ممّا غُيّر في النسب ؛ لأنّه لو قيل : بحريّ لالتبس بالنسبة إلى البحر. وقيل : نسب إلى البحر لكثرته وسعته. راجع : </w:t>
      </w:r>
      <w:r w:rsidR="00E3253D" w:rsidRPr="002F4D34">
        <w:rPr>
          <w:rStyle w:val="libFootnoteBoldChar"/>
          <w:rtl/>
        </w:rPr>
        <w:t>الصحاح</w:t>
      </w:r>
      <w:r w:rsidR="00E3253D" w:rsidRPr="005D642E">
        <w:rPr>
          <w:rtl/>
        </w:rPr>
        <w:t xml:space="preserve"> ، ج 2 ، ص 585 ؛ </w:t>
      </w:r>
      <w:r w:rsidR="00E3253D" w:rsidRPr="002F4D34">
        <w:rPr>
          <w:rStyle w:val="libFootnoteBoldChar"/>
          <w:rtl/>
        </w:rPr>
        <w:t>النهاية</w:t>
      </w:r>
      <w:r w:rsidR="00E3253D" w:rsidRPr="005D642E">
        <w:rPr>
          <w:rtl/>
        </w:rPr>
        <w:t xml:space="preserve"> ، ج 1 ، ص 99 ؛ </w:t>
      </w:r>
      <w:r w:rsidR="00E3253D" w:rsidRPr="002F4D34">
        <w:rPr>
          <w:rStyle w:val="libFootnoteBoldChar"/>
          <w:rtl/>
        </w:rPr>
        <w:t>المغرب</w:t>
      </w:r>
      <w:r w:rsidR="00E3253D" w:rsidRPr="005D642E">
        <w:rPr>
          <w:rtl/>
        </w:rPr>
        <w:t xml:space="preserve"> ، ص 34 ؛ </w:t>
      </w:r>
      <w:r w:rsidR="00E3253D" w:rsidRPr="002F4D34">
        <w:rPr>
          <w:rStyle w:val="libFootnoteBoldChar"/>
          <w:rtl/>
        </w:rPr>
        <w:t>المصباح المنير</w:t>
      </w:r>
      <w:r w:rsidR="00E3253D" w:rsidRPr="005D642E">
        <w:rPr>
          <w:rtl/>
        </w:rPr>
        <w:t xml:space="preserve"> ، ص 36 ( بحر )</w:t>
      </w:r>
      <w:r w:rsidR="00E3253D">
        <w:rPr>
          <w:rtl/>
        </w:rPr>
        <w:t>.</w:t>
      </w:r>
    </w:p>
    <w:tbl>
      <w:tblPr>
        <w:tblStyle w:val="TableGrid"/>
        <w:bidiVisual/>
        <w:tblW w:w="0" w:type="auto"/>
        <w:tblLook w:val="04A0" w:firstRow="1" w:lastRow="0" w:firstColumn="1" w:lastColumn="0" w:noHBand="0" w:noVBand="1"/>
      </w:tblPr>
      <w:tblGrid>
        <w:gridCol w:w="4006"/>
        <w:gridCol w:w="4006"/>
      </w:tblGrid>
      <w:tr w:rsidR="00E72BDD" w:rsidTr="00E72BDD">
        <w:tc>
          <w:tcPr>
            <w:tcW w:w="4006" w:type="dxa"/>
          </w:tcPr>
          <w:p w:rsidR="00E72BDD" w:rsidRDefault="00E72BDD" w:rsidP="00E3253D">
            <w:pPr>
              <w:pStyle w:val="libFootnote0"/>
              <w:rPr>
                <w:rStyle w:val="libFootnote0Char"/>
                <w:rtl/>
              </w:rPr>
            </w:pPr>
            <w:r w:rsidRPr="0042621E">
              <w:rPr>
                <w:rStyle w:val="libFootnote0Char"/>
                <w:rtl/>
              </w:rPr>
              <w:t>(9).</w:t>
            </w:r>
            <w:r w:rsidRPr="005D642E">
              <w:rPr>
                <w:rtl/>
              </w:rPr>
              <w:t xml:space="preserve"> في « جن » : « فقال »</w:t>
            </w:r>
            <w:r>
              <w:rPr>
                <w:rtl/>
              </w:rPr>
              <w:t>.</w:t>
            </w:r>
          </w:p>
        </w:tc>
        <w:tc>
          <w:tcPr>
            <w:tcW w:w="4006" w:type="dxa"/>
          </w:tcPr>
          <w:p w:rsidR="00E72BDD" w:rsidRDefault="00E72BDD" w:rsidP="00E3253D">
            <w:pPr>
              <w:pStyle w:val="libFootnote0"/>
              <w:rPr>
                <w:rStyle w:val="libFootnote0Char"/>
                <w:rtl/>
              </w:rPr>
            </w:pPr>
            <w:r w:rsidRPr="0042621E">
              <w:rPr>
                <w:rStyle w:val="libFootnote0Char"/>
                <w:rtl/>
              </w:rPr>
              <w:t>(10).</w:t>
            </w:r>
            <w:r w:rsidRPr="005D642E">
              <w:rPr>
                <w:rtl/>
              </w:rPr>
              <w:t xml:space="preserve"> في « ى » </w:t>
            </w:r>
            <w:r w:rsidRPr="00B60612">
              <w:rPr>
                <w:rStyle w:val="libFootnoteBoldChar"/>
                <w:rtl/>
              </w:rPr>
              <w:t>والتهذيب</w:t>
            </w:r>
            <w:r w:rsidRPr="005D642E">
              <w:rPr>
                <w:rtl/>
              </w:rPr>
              <w:t xml:space="preserve"> : « إذا رأيت »</w:t>
            </w:r>
            <w:r>
              <w:rPr>
                <w:rtl/>
              </w:rPr>
              <w:t>.</w:t>
            </w:r>
          </w:p>
        </w:tc>
      </w:tr>
    </w:tbl>
    <w:p w:rsidR="00E3253D" w:rsidRPr="005D642E" w:rsidRDefault="0042621E" w:rsidP="00F540E4">
      <w:pPr>
        <w:pStyle w:val="libFootnote0"/>
        <w:rPr>
          <w:rtl/>
          <w:lang w:bidi="fa-IR"/>
        </w:rPr>
      </w:pPr>
      <w:r w:rsidRPr="0042621E">
        <w:rPr>
          <w:rStyle w:val="libFootnote0Char"/>
          <w:rtl/>
        </w:rPr>
        <w:t>(11).</w:t>
      </w:r>
      <w:r w:rsidR="00E3253D" w:rsidRPr="005D642E">
        <w:rPr>
          <w:rtl/>
        </w:rPr>
        <w:t xml:space="preserve"> كذا في المطبوع. وفي « ظ ، ى ، بث ، بح ، جح ، جس » والوسائل ، ح 2135 : « فأمرها »</w:t>
      </w:r>
      <w:r w:rsidR="00E3253D">
        <w:rPr>
          <w:rtl/>
        </w:rPr>
        <w:t>.</w:t>
      </w:r>
      <w:r w:rsidR="00E3253D" w:rsidRPr="005D642E">
        <w:rPr>
          <w:rtl/>
        </w:rPr>
        <w:t xml:space="preserve"> وفي « بخ ، بس ، جن » </w:t>
      </w:r>
      <w:r w:rsidR="000D749A" w:rsidRPr="000D749A">
        <w:rPr>
          <w:rStyle w:val="libFootnoteBoldChar"/>
          <w:rtl/>
        </w:rPr>
        <w:t>والوافي</w:t>
      </w:r>
      <w:r w:rsidR="00E3253D" w:rsidRPr="005D642E">
        <w:rPr>
          <w:rtl/>
        </w:rPr>
        <w:t>:«وأمرها»</w:t>
      </w:r>
      <w:r w:rsidR="00E3253D">
        <w:rPr>
          <w:rtl/>
        </w:rPr>
        <w:t>.</w:t>
      </w:r>
      <w:r w:rsidR="00E3253D" w:rsidRPr="005D642E">
        <w:rPr>
          <w:rtl/>
        </w:rPr>
        <w:t>وفي«بف»:«فأمر»</w:t>
      </w:r>
      <w:r w:rsidR="00E3253D">
        <w:rPr>
          <w:rtl/>
        </w:rPr>
        <w:t>.</w:t>
      </w:r>
      <w:r w:rsidR="00F540E4">
        <w:rPr>
          <w:rFonts w:hint="cs"/>
          <w:rtl/>
        </w:rPr>
        <w:t xml:space="preserve">      </w:t>
      </w:r>
      <w:r w:rsidRPr="0042621E">
        <w:rPr>
          <w:rStyle w:val="libFootnote0Char"/>
          <w:rtl/>
        </w:rPr>
        <w:t>(12).</w:t>
      </w:r>
      <w:r w:rsidR="00E3253D" w:rsidRPr="005D642E">
        <w:rPr>
          <w:rtl/>
        </w:rPr>
        <w:t xml:space="preserve"> في الوسائل،ح213:«هنا»بدل«هاهنا»</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وَقَوْلُهُ : « الْبَحْرَانِيَّ » شِبْهُ مَعْنى قَوْلِ النَّبِيِّ </w:t>
      </w:r>
      <w:r w:rsidR="0042621E" w:rsidRPr="0042621E">
        <w:rPr>
          <w:rStyle w:val="libAlaemChar"/>
          <w:rtl/>
        </w:rPr>
        <w:t>صلى‌الله‌عليه‌وآله</w:t>
      </w:r>
      <w:r w:rsidRPr="005D642E">
        <w:rPr>
          <w:rtl/>
          <w:lang w:bidi="fa-IR"/>
        </w:rPr>
        <w:t xml:space="preserve"> : إِنَّ دَمَ الْحَيْضِ أَسْوَدُ يُعْرَفُ ، وَإِنَّمَا </w:t>
      </w:r>
      <w:r w:rsidRPr="007C12DB">
        <w:rPr>
          <w:rStyle w:val="libFootnotenumChar"/>
          <w:rtl/>
        </w:rPr>
        <w:t>(1)</w:t>
      </w:r>
      <w:r w:rsidRPr="005D642E">
        <w:rPr>
          <w:rtl/>
          <w:lang w:bidi="fa-IR"/>
        </w:rPr>
        <w:t xml:space="preserve"> سَمَّاهُ أَبِي بَحْرَانِيّاً لِكَثْرَتِهِ وَلَوْنِهِ ، فَهذِهِ </w:t>
      </w:r>
      <w:r w:rsidRPr="007C12DB">
        <w:rPr>
          <w:rStyle w:val="libFootnotenumChar"/>
          <w:rtl/>
        </w:rPr>
        <w:t>(2)</w:t>
      </w:r>
      <w:r w:rsidRPr="005D642E">
        <w:rPr>
          <w:rtl/>
          <w:lang w:bidi="fa-IR"/>
        </w:rPr>
        <w:t xml:space="preserve"> سُنَّةُ النَّبِيِّ </w:t>
      </w:r>
      <w:r w:rsidRPr="007C12DB">
        <w:rPr>
          <w:rStyle w:val="libFootnotenumChar"/>
          <w:rtl/>
        </w:rPr>
        <w:t>(3)</w:t>
      </w:r>
      <w:r w:rsidRPr="005D642E">
        <w:rPr>
          <w:rtl/>
          <w:lang w:bidi="fa-IR"/>
        </w:rPr>
        <w:t xml:space="preserve"> </w:t>
      </w:r>
      <w:r w:rsidR="0042621E" w:rsidRPr="0042621E">
        <w:rPr>
          <w:rStyle w:val="libAlaemChar"/>
          <w:rtl/>
        </w:rPr>
        <w:t>صلى‌الله‌عليه‌وآله</w:t>
      </w:r>
      <w:r w:rsidRPr="005D642E">
        <w:rPr>
          <w:rtl/>
          <w:lang w:bidi="fa-IR"/>
        </w:rPr>
        <w:t xml:space="preserve"> فِي الَّتِي اخْتَلَطَ عَلَيْهَا أَيَّامُهَا حَتّى لَاتَعْرِفَهَا ، وَإِنَّمَا تَعْرِفُهَا بِالدَّمِ مَا كَانَ مِنْ قَلِيلِ الْأَيَّامِ وَكَثِيرِهِ »</w:t>
      </w:r>
      <w:r>
        <w:rPr>
          <w:rtl/>
          <w:lang w:bidi="fa-IR"/>
        </w:rPr>
        <w:t>.</w:t>
      </w:r>
    </w:p>
    <w:p w:rsidR="00E3253D" w:rsidRPr="005D642E" w:rsidRDefault="00E3253D" w:rsidP="00E3253D">
      <w:pPr>
        <w:pStyle w:val="libNormal"/>
        <w:rPr>
          <w:rtl/>
          <w:lang w:bidi="fa-IR"/>
        </w:rPr>
      </w:pPr>
      <w:r w:rsidRPr="005D642E">
        <w:rPr>
          <w:rtl/>
          <w:lang w:bidi="fa-IR"/>
        </w:rPr>
        <w:t xml:space="preserve">قَالَ : « وَأَمَّا السُّنَّةُ الثَّالِثَةُ ، فَهِيَ </w:t>
      </w:r>
      <w:r w:rsidRPr="007C12DB">
        <w:rPr>
          <w:rStyle w:val="libFootnotenumChar"/>
          <w:rtl/>
        </w:rPr>
        <w:t>(4)</w:t>
      </w:r>
      <w:r w:rsidRPr="005D642E">
        <w:rPr>
          <w:rtl/>
          <w:lang w:bidi="fa-IR"/>
        </w:rPr>
        <w:t xml:space="preserve"> الَّتِي لَيْسَ لَهَا أَيَّامٌ مُتَقَدِّمَةٌ ، وَلَمْ تَرَ الدَّمَ قَطُّ ، وَرَأَتْ </w:t>
      </w:r>
      <w:r w:rsidRPr="007C12DB">
        <w:rPr>
          <w:rStyle w:val="libFootnotenumChar"/>
          <w:rtl/>
        </w:rPr>
        <w:t>(5)</w:t>
      </w:r>
      <w:r w:rsidRPr="005D642E">
        <w:rPr>
          <w:rtl/>
          <w:lang w:bidi="fa-IR"/>
        </w:rPr>
        <w:t xml:space="preserve"> أَوَّلَ مَا أَدْرَكَتْ </w:t>
      </w:r>
      <w:r w:rsidRPr="007C12DB">
        <w:rPr>
          <w:rStyle w:val="libFootnotenumChar"/>
          <w:rtl/>
        </w:rPr>
        <w:t>(6)</w:t>
      </w:r>
      <w:r w:rsidRPr="005D642E">
        <w:rPr>
          <w:rtl/>
          <w:lang w:bidi="fa-IR"/>
        </w:rPr>
        <w:t xml:space="preserve"> ، وَاسْتَمَرَّ </w:t>
      </w:r>
      <w:r w:rsidRPr="007C12DB">
        <w:rPr>
          <w:rStyle w:val="libFootnotenumChar"/>
          <w:rtl/>
        </w:rPr>
        <w:t>(7)</w:t>
      </w:r>
      <w:r w:rsidRPr="005D642E">
        <w:rPr>
          <w:rtl/>
          <w:lang w:bidi="fa-IR"/>
        </w:rPr>
        <w:t xml:space="preserve"> بِهَا ، فَإِنَّ </w:t>
      </w:r>
      <w:r w:rsidRPr="007C12DB">
        <w:rPr>
          <w:rStyle w:val="libFootnotenumChar"/>
          <w:rtl/>
        </w:rPr>
        <w:t>(8)</w:t>
      </w:r>
      <w:r w:rsidRPr="005D642E">
        <w:rPr>
          <w:rtl/>
          <w:lang w:bidi="fa-IR"/>
        </w:rPr>
        <w:t xml:space="preserve"> سُنَّةَ هذِهِ غَيْرُ سُنَّةِ الْأُولى وَالثَّانِيَةِ ، وَذلِكَ أَنَّ امْرَأَةً</w:t>
      </w:r>
      <w:r>
        <w:rPr>
          <w:rtl/>
          <w:lang w:bidi="fa-IR"/>
        </w:rPr>
        <w:t xml:space="preserve"> </w:t>
      </w:r>
      <w:r w:rsidR="007642BC">
        <w:rPr>
          <w:rtl/>
          <w:lang w:bidi="fa-IR"/>
        </w:rPr>
        <w:t>-</w:t>
      </w:r>
      <w:r>
        <w:rPr>
          <w:rtl/>
          <w:lang w:bidi="fa-IR"/>
        </w:rPr>
        <w:t xml:space="preserve"> </w:t>
      </w:r>
      <w:r w:rsidRPr="005D642E">
        <w:rPr>
          <w:rtl/>
          <w:lang w:bidi="fa-IR"/>
        </w:rPr>
        <w:t xml:space="preserve">يُقَالُ لَهَا : حَمْنَةُ </w:t>
      </w:r>
      <w:r w:rsidRPr="007C12DB">
        <w:rPr>
          <w:rStyle w:val="libFootnotenumChar"/>
          <w:rtl/>
        </w:rPr>
        <w:t>(9)</w:t>
      </w:r>
      <w:r w:rsidRPr="005D642E">
        <w:rPr>
          <w:rtl/>
          <w:lang w:bidi="fa-IR"/>
        </w:rPr>
        <w:t xml:space="preserve"> بِنْتُ جَحْشٍ</w:t>
      </w:r>
      <w:r>
        <w:rPr>
          <w:rtl/>
          <w:lang w:bidi="fa-IR"/>
        </w:rPr>
        <w:t xml:space="preserve"> </w:t>
      </w:r>
      <w:r w:rsidR="007642BC">
        <w:rPr>
          <w:rtl/>
          <w:lang w:bidi="fa-IR"/>
        </w:rPr>
        <w:t>-</w:t>
      </w:r>
      <w:r>
        <w:rPr>
          <w:rtl/>
          <w:lang w:bidi="fa-IR"/>
        </w:rPr>
        <w:t xml:space="preserve"> </w:t>
      </w:r>
      <w:r w:rsidRPr="005D642E">
        <w:rPr>
          <w:rtl/>
          <w:lang w:bidi="fa-IR"/>
        </w:rPr>
        <w:t xml:space="preserve">أَتَتْ رَسُولَ اللهِ </w:t>
      </w:r>
      <w:r w:rsidR="0042621E" w:rsidRPr="0042621E">
        <w:rPr>
          <w:rStyle w:val="libAlaemChar"/>
          <w:rtl/>
        </w:rPr>
        <w:t>صلى‌الله‌عليه‌وآله</w:t>
      </w:r>
      <w:r w:rsidRPr="005D642E">
        <w:rPr>
          <w:rtl/>
          <w:lang w:bidi="fa-IR"/>
        </w:rPr>
        <w:t xml:space="preserve"> ،</w:t>
      </w:r>
      <w:r>
        <w:rPr>
          <w:rFonts w:hint="cs"/>
          <w:rtl/>
          <w:lang w:bidi="fa-IR"/>
        </w:rPr>
        <w:t xml:space="preserve"> </w:t>
      </w:r>
      <w:r w:rsidRPr="005D642E">
        <w:rPr>
          <w:rtl/>
          <w:lang w:bidi="fa-IR"/>
        </w:rPr>
        <w:t>فَقَالَتْ : إِنِّي اسْتُحِضْتُ حَيْضَةً شَدِيدَةً</w:t>
      </w:r>
      <w:r>
        <w:rPr>
          <w:rtl/>
          <w:lang w:bidi="fa-IR"/>
        </w:rPr>
        <w:t>؟</w:t>
      </w:r>
      <w:r w:rsidRPr="005D642E">
        <w:rPr>
          <w:rtl/>
          <w:lang w:bidi="fa-IR"/>
        </w:rPr>
        <w:t xml:space="preserve"> فَقَالَ لَهَا </w:t>
      </w:r>
      <w:r w:rsidRPr="007C12DB">
        <w:rPr>
          <w:rStyle w:val="libFootnotenumChar"/>
          <w:rtl/>
        </w:rPr>
        <w:t>(10)</w:t>
      </w:r>
      <w:r w:rsidRPr="005D642E">
        <w:rPr>
          <w:rtl/>
          <w:lang w:bidi="fa-IR"/>
        </w:rPr>
        <w:t xml:space="preserve"> : احْتَشِي كُرْسُفاً </w:t>
      </w:r>
      <w:r w:rsidRPr="007C12DB">
        <w:rPr>
          <w:rStyle w:val="libFootnotenumChar"/>
          <w:rtl/>
        </w:rPr>
        <w:t>(11)</w:t>
      </w:r>
      <w:r w:rsidRPr="005D642E">
        <w:rPr>
          <w:rtl/>
          <w:lang w:bidi="fa-IR"/>
        </w:rPr>
        <w:t xml:space="preserve"> ، فَقَالَتْ </w:t>
      </w:r>
      <w:r w:rsidRPr="007C12DB">
        <w:rPr>
          <w:rStyle w:val="libFootnotenumChar"/>
          <w:rtl/>
        </w:rPr>
        <w:t>(12)</w:t>
      </w:r>
      <w:r w:rsidRPr="005D642E">
        <w:rPr>
          <w:rtl/>
          <w:lang w:bidi="fa-IR"/>
        </w:rPr>
        <w:t xml:space="preserve"> :</w:t>
      </w:r>
      <w:r>
        <w:rPr>
          <w:rFonts w:hint="cs"/>
          <w:rtl/>
          <w:lang w:bidi="fa-IR"/>
        </w:rPr>
        <w:t xml:space="preserve"> </w:t>
      </w:r>
      <w:r w:rsidRPr="005D642E">
        <w:rPr>
          <w:rtl/>
          <w:lang w:bidi="fa-IR"/>
        </w:rPr>
        <w:t xml:space="preserve">إِنَّهُ أَشَدُّ مِنْ ذلِكَ ؛ إِنِّي أَثُجُّهُ ثَجّاً </w:t>
      </w:r>
      <w:r w:rsidRPr="007C12DB">
        <w:rPr>
          <w:rStyle w:val="libFootnotenumChar"/>
          <w:rtl/>
        </w:rPr>
        <w:t>(13)</w:t>
      </w:r>
      <w:r>
        <w:rPr>
          <w:rtl/>
          <w:lang w:bidi="fa-IR"/>
        </w:rPr>
        <w:t>؟</w:t>
      </w:r>
      <w:r w:rsidRPr="005D642E">
        <w:rPr>
          <w:rtl/>
          <w:lang w:bidi="fa-IR"/>
        </w:rPr>
        <w:t xml:space="preserve"> فَقَالَ :</w:t>
      </w:r>
      <w:r w:rsidR="005D32EB">
        <w:rPr>
          <w:rFonts w:hint="cs"/>
          <w:rtl/>
          <w:lang w:bidi="fa-IR"/>
        </w:rPr>
        <w:t>................................................................</w:t>
      </w:r>
      <w:r w:rsidR="005D32EB">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جن » : « إنّما » بدون الواو.</w:t>
      </w:r>
    </w:p>
    <w:p w:rsidR="00E3253D" w:rsidRPr="005D642E" w:rsidRDefault="0042621E" w:rsidP="0023220B">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 ح 2135. وفي المطبوع : « هذا »</w:t>
      </w:r>
      <w:r w:rsidR="00E3253D">
        <w:rPr>
          <w:rtl/>
        </w:rPr>
        <w:t>.</w:t>
      </w:r>
      <w:r w:rsidR="00E3253D" w:rsidRPr="005D642E">
        <w:rPr>
          <w:rtl/>
        </w:rPr>
        <w:t xml:space="preserve"> وفي التهذيب : « وهذه »</w:t>
      </w:r>
      <w:r w:rsidR="00E3253D">
        <w:rPr>
          <w:rtl/>
        </w:rPr>
        <w:t>.</w:t>
      </w:r>
      <w:r w:rsidR="0023220B">
        <w:rPr>
          <w:rFonts w:hint="cs"/>
          <w:rtl/>
        </w:rPr>
        <w:t xml:space="preserve">                          </w:t>
      </w:r>
      <w:r w:rsidR="00591486">
        <w:rPr>
          <w:rFonts w:hint="cs"/>
          <w:rtl/>
        </w:rPr>
        <w:t xml:space="preserve">              </w:t>
      </w:r>
      <w:r w:rsidR="0023220B">
        <w:rPr>
          <w:rFonts w:hint="cs"/>
          <w:rtl/>
        </w:rPr>
        <w:t xml:space="preserve">          </w:t>
      </w:r>
      <w:r w:rsidRPr="0042621E">
        <w:rPr>
          <w:rStyle w:val="libFootnote0Char"/>
          <w:rtl/>
        </w:rPr>
        <w:t>(3).</w:t>
      </w:r>
      <w:r w:rsidR="00E3253D" w:rsidRPr="005D642E">
        <w:rPr>
          <w:rtl/>
        </w:rPr>
        <w:t xml:space="preserve"> في حاشية « بخ » : « رسول الله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بح ، بف ، جح ، جس » وحاشية « ظ ، بخ » </w:t>
      </w:r>
      <w:r w:rsidR="00B60612" w:rsidRPr="00B60612">
        <w:rPr>
          <w:rStyle w:val="libFootnoteBoldChar"/>
          <w:rtl/>
        </w:rPr>
        <w:t>والتهذيب</w:t>
      </w:r>
      <w:r w:rsidR="00E3253D" w:rsidRPr="005D642E">
        <w:rPr>
          <w:rtl/>
        </w:rPr>
        <w:t xml:space="preserve"> : « ففي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فزادت »</w:t>
      </w:r>
      <w:r w:rsidR="00E3253D">
        <w:rPr>
          <w:rtl/>
        </w:rPr>
        <w:t>.</w:t>
      </w:r>
      <w:r w:rsidR="00E3253D" w:rsidRPr="005D642E">
        <w:rPr>
          <w:rtl/>
        </w:rPr>
        <w:t xml:space="preserve"> وفي حاشية « جح » : « قد رأت » بدل « ورأت »</w:t>
      </w:r>
      <w:r w:rsidR="00E3253D">
        <w:rPr>
          <w:rtl/>
        </w:rPr>
        <w:t>.</w:t>
      </w:r>
    </w:p>
    <w:tbl>
      <w:tblPr>
        <w:tblStyle w:val="TableGrid"/>
        <w:bidiVisual/>
        <w:tblW w:w="0" w:type="auto"/>
        <w:tblLook w:val="04A0" w:firstRow="1" w:lastRow="0" w:firstColumn="1" w:lastColumn="0" w:noHBand="0" w:noVBand="1"/>
      </w:tblPr>
      <w:tblGrid>
        <w:gridCol w:w="4006"/>
        <w:gridCol w:w="4006"/>
      </w:tblGrid>
      <w:tr w:rsidR="0023220B" w:rsidTr="0023220B">
        <w:tc>
          <w:tcPr>
            <w:tcW w:w="4006" w:type="dxa"/>
          </w:tcPr>
          <w:p w:rsidR="0023220B" w:rsidRDefault="0023220B" w:rsidP="00E3253D">
            <w:pPr>
              <w:pStyle w:val="libFootnote0"/>
              <w:rPr>
                <w:rStyle w:val="libFootnote0Char"/>
                <w:rtl/>
              </w:rPr>
            </w:pPr>
            <w:r w:rsidRPr="0042621E">
              <w:rPr>
                <w:rStyle w:val="libFootnote0Char"/>
                <w:rtl/>
              </w:rPr>
              <w:t>(6).</w:t>
            </w:r>
            <w:r w:rsidRPr="005D642E">
              <w:rPr>
                <w:rtl/>
              </w:rPr>
              <w:t xml:space="preserve"> في حاشية « بح » : « تدرك »</w:t>
            </w:r>
            <w:r>
              <w:rPr>
                <w:rtl/>
              </w:rPr>
              <w:t>.</w:t>
            </w:r>
          </w:p>
        </w:tc>
        <w:tc>
          <w:tcPr>
            <w:tcW w:w="4006" w:type="dxa"/>
          </w:tcPr>
          <w:p w:rsidR="0023220B" w:rsidRDefault="0023220B" w:rsidP="0023220B">
            <w:pPr>
              <w:pStyle w:val="libFootnote0"/>
              <w:rPr>
                <w:rStyle w:val="libFootnote0Char"/>
                <w:rtl/>
              </w:rPr>
            </w:pPr>
            <w:r w:rsidRPr="0042621E">
              <w:rPr>
                <w:rStyle w:val="libFootnote0Char"/>
                <w:rtl/>
              </w:rPr>
              <w:t>(7).</w:t>
            </w:r>
            <w:r w:rsidRPr="005D642E">
              <w:rPr>
                <w:rtl/>
              </w:rPr>
              <w:t xml:space="preserve"> في«ظ،غ،بح،جح،جس،جن»:«</w:t>
            </w:r>
            <w:r>
              <w:rPr>
                <w:rtl/>
              </w:rPr>
              <w:t>فاستمرّ</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 « فإنّها »</w:t>
      </w:r>
      <w:r w:rsidR="00E3253D">
        <w:rPr>
          <w:rtl/>
        </w:rPr>
        <w:t>.</w:t>
      </w:r>
      <w:r w:rsidR="00E3253D" w:rsidRPr="005D642E">
        <w:rPr>
          <w:rtl/>
        </w:rPr>
        <w:t xml:space="preserve"> وفي « بف » : « قال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قال الفيّوميّ : « حمنة ، وزان تمرة من أسماء النساء ، ومنه حَمْنَةُ بنتُ جَحْش بن وَثّاب الأسديّ ، وا</w:t>
      </w:r>
      <w:r w:rsidR="006443AF">
        <w:rPr>
          <w:rFonts w:hint="cs"/>
          <w:rtl/>
        </w:rPr>
        <w:t>ُ</w:t>
      </w:r>
      <w:r w:rsidR="00E3253D" w:rsidRPr="005D642E">
        <w:rPr>
          <w:rtl/>
        </w:rPr>
        <w:t>مّها ا</w:t>
      </w:r>
      <w:r w:rsidR="006443AF">
        <w:rPr>
          <w:rFonts w:hint="cs"/>
          <w:rtl/>
        </w:rPr>
        <w:t>ُ</w:t>
      </w:r>
      <w:r w:rsidR="00E3253D" w:rsidRPr="005D642E">
        <w:rPr>
          <w:rtl/>
        </w:rPr>
        <w:t>مَيْمَة</w:t>
      </w:r>
      <w:r w:rsidR="006443AF">
        <w:rPr>
          <w:rFonts w:hint="cs"/>
          <w:rtl/>
        </w:rPr>
        <w:t xml:space="preserve"> </w:t>
      </w:r>
      <w:r w:rsidR="00E3253D" w:rsidRPr="005D642E">
        <w:rPr>
          <w:rtl/>
        </w:rPr>
        <w:t xml:space="preserve">بنت عبدالمطّلب عمّة رسول الله </w:t>
      </w:r>
      <w:r w:rsidRPr="006443AF">
        <w:rPr>
          <w:rStyle w:val="libFootnoteAlaemChar"/>
          <w:rtl/>
        </w:rPr>
        <w:t>صلى‌الله‌عليه‌وآله</w:t>
      </w:r>
      <w:r w:rsidR="00E3253D" w:rsidRPr="005D642E">
        <w:rPr>
          <w:rtl/>
        </w:rPr>
        <w:t xml:space="preserve"> »</w:t>
      </w:r>
      <w:r w:rsidR="00E3253D">
        <w:rPr>
          <w:rtl/>
        </w:rPr>
        <w:t>.</w:t>
      </w:r>
      <w:r w:rsidR="00E3253D" w:rsidRPr="005D642E">
        <w:rPr>
          <w:rtl/>
        </w:rPr>
        <w:t xml:space="preserve"> راجع : </w:t>
      </w:r>
      <w:r w:rsidR="00E3253D" w:rsidRPr="002F4D34">
        <w:rPr>
          <w:rStyle w:val="libFootnoteBoldChar"/>
          <w:rtl/>
        </w:rPr>
        <w:t>المصباح المنير</w:t>
      </w:r>
      <w:r w:rsidR="00E3253D" w:rsidRPr="005D642E">
        <w:rPr>
          <w:rtl/>
        </w:rPr>
        <w:t xml:space="preserve"> ، ص 153 ( حمن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ى ، بث ، بح ، بخ ، بف ، جح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لها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 احتشي كرسفاً » ، أي البسيه ، يقال : احتشت المرأة الحَشِيّة واحتشت بها ، كلاهما : لبستها. ويقال : احتشت المستحاضةُ ، أي حَشَتْ</w:t>
      </w:r>
      <w:r w:rsidR="00E3253D">
        <w:rPr>
          <w:rtl/>
        </w:rPr>
        <w:t xml:space="preserve"> </w:t>
      </w:r>
      <w:r w:rsidR="007642BC">
        <w:rPr>
          <w:rtl/>
        </w:rPr>
        <w:t>-</w:t>
      </w:r>
      <w:r w:rsidR="00E3253D">
        <w:rPr>
          <w:rtl/>
        </w:rPr>
        <w:t xml:space="preserve"> </w:t>
      </w:r>
      <w:r w:rsidR="00E3253D" w:rsidRPr="005D642E">
        <w:rPr>
          <w:rtl/>
        </w:rPr>
        <w:t>أي ملأتْ</w:t>
      </w:r>
      <w:r w:rsidR="00E3253D">
        <w:rPr>
          <w:rtl/>
        </w:rPr>
        <w:t xml:space="preserve"> </w:t>
      </w:r>
      <w:r w:rsidR="007642BC">
        <w:rPr>
          <w:rtl/>
        </w:rPr>
        <w:t>-</w:t>
      </w:r>
      <w:r w:rsidR="00E3253D">
        <w:rPr>
          <w:rtl/>
        </w:rPr>
        <w:t xml:space="preserve"> </w:t>
      </w:r>
      <w:r w:rsidR="00E3253D" w:rsidRPr="005D642E">
        <w:rPr>
          <w:rtl/>
        </w:rPr>
        <w:t xml:space="preserve">نفسها بالمفارم ونحوها. والمراد باحتشائها بالكرسف استدخالها له في نفسها يمنع الدم من القطر ، وبه سمّي الحشو للقطن ؛ لأنّه يُحْشَى به الفُرُش وغيرها ، </w:t>
      </w:r>
      <w:r w:rsidR="00E3253D">
        <w:rPr>
          <w:rtl/>
        </w:rPr>
        <w:t>و «</w:t>
      </w:r>
      <w:r w:rsidR="00E3253D" w:rsidRPr="005D642E">
        <w:rPr>
          <w:rtl/>
        </w:rPr>
        <w:t xml:space="preserve"> الكرسف » كعصفر ، والكُرْسوف كزُنْبور : القطن ، واحدته : كُرْسُفة. راجع : </w:t>
      </w:r>
      <w:r w:rsidR="00E3253D" w:rsidRPr="002F4D34">
        <w:rPr>
          <w:rStyle w:val="libFootnoteBoldChar"/>
          <w:rtl/>
        </w:rPr>
        <w:t>النهاية</w:t>
      </w:r>
      <w:r w:rsidR="00E3253D" w:rsidRPr="005D642E">
        <w:rPr>
          <w:rtl/>
        </w:rPr>
        <w:t xml:space="preserve"> ، ج 1 ، ص 392 ؛ </w:t>
      </w:r>
      <w:r w:rsidR="00E3253D" w:rsidRPr="002F4D34">
        <w:rPr>
          <w:rStyle w:val="libFootnoteBoldChar"/>
          <w:rtl/>
        </w:rPr>
        <w:t>لسان العرب</w:t>
      </w:r>
      <w:r w:rsidR="00E3253D" w:rsidRPr="005D642E">
        <w:rPr>
          <w:rtl/>
        </w:rPr>
        <w:t xml:space="preserve"> ، ج 14 ، ص 179 ( حشا ) ؛ </w:t>
      </w:r>
      <w:r w:rsidR="00E3253D" w:rsidRPr="002F4D34">
        <w:rPr>
          <w:rStyle w:val="libFootnoteBoldChar"/>
          <w:rtl/>
        </w:rPr>
        <w:t>الصحاح</w:t>
      </w:r>
      <w:r w:rsidR="00E3253D" w:rsidRPr="005D642E">
        <w:rPr>
          <w:rtl/>
        </w:rPr>
        <w:t xml:space="preserve"> ، ج 4 ، ص 421 ؛ </w:t>
      </w:r>
      <w:r w:rsidR="00E3253D" w:rsidRPr="002F4D34">
        <w:rPr>
          <w:rStyle w:val="libFootnoteBoldChar"/>
          <w:rtl/>
        </w:rPr>
        <w:t>لسان العرب</w:t>
      </w:r>
      <w:r w:rsidR="00E3253D" w:rsidRPr="005D642E">
        <w:rPr>
          <w:rtl/>
        </w:rPr>
        <w:t xml:space="preserve"> ، ج 9 ، ص 297 ( كرسف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غ ، بح ، جح ، جس » : « قالت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 الثَجُّ » : الصبّ والسيلان ، وقيل : الصبّ الكثير. راجع : </w:t>
      </w:r>
      <w:r w:rsidR="00E3253D" w:rsidRPr="002F4D34">
        <w:rPr>
          <w:rStyle w:val="libFootnoteBoldChar"/>
          <w:rtl/>
        </w:rPr>
        <w:t>لسان العرب</w:t>
      </w:r>
      <w:r w:rsidR="00E3253D" w:rsidRPr="005D642E">
        <w:rPr>
          <w:rtl/>
        </w:rPr>
        <w:t xml:space="preserve"> ، ج 2 ، ص 221 ؛ </w:t>
      </w:r>
      <w:r w:rsidR="00E3253D" w:rsidRPr="002F4D34">
        <w:rPr>
          <w:rStyle w:val="libFootnoteBoldChar"/>
          <w:rtl/>
        </w:rPr>
        <w:t>المصباح المنير</w:t>
      </w:r>
      <w:r w:rsidR="00E3253D" w:rsidRPr="005D642E">
        <w:rPr>
          <w:rtl/>
        </w:rPr>
        <w:t xml:space="preserve"> ، ص 80 ( ثجج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تَلَجَّمِي </w:t>
      </w:r>
      <w:r w:rsidRPr="007C12DB">
        <w:rPr>
          <w:rStyle w:val="libFootnotenumChar"/>
          <w:rtl/>
        </w:rPr>
        <w:t>(1)</w:t>
      </w:r>
      <w:r w:rsidRPr="005D642E">
        <w:rPr>
          <w:rtl/>
          <w:lang w:bidi="fa-IR"/>
        </w:rPr>
        <w:t xml:space="preserve"> وَتَحَيَّضِي </w:t>
      </w:r>
      <w:r w:rsidRPr="007C12DB">
        <w:rPr>
          <w:rStyle w:val="libFootnotenumChar"/>
          <w:rtl/>
        </w:rPr>
        <w:t>(2)</w:t>
      </w:r>
      <w:r w:rsidRPr="005D642E">
        <w:rPr>
          <w:rtl/>
          <w:lang w:bidi="fa-IR"/>
        </w:rPr>
        <w:t xml:space="preserve"> فِي كُلِّ شَهْرٍ فِي عِلْمِ اللهِ سِتَّةَ أَيَّامٍ أَوْ سَبْعَةً ، ثُمَّ اغْتَسِلِي غُسْلاً ، وَصُومِي ثَلَاثَةً وَعِشْرِينَ يَوْماً </w:t>
      </w:r>
      <w:r w:rsidRPr="007C12DB">
        <w:rPr>
          <w:rStyle w:val="libFootnotenumChar"/>
          <w:rtl/>
        </w:rPr>
        <w:t>(3)</w:t>
      </w:r>
      <w:r w:rsidRPr="005D642E">
        <w:rPr>
          <w:rtl/>
          <w:lang w:bidi="fa-IR"/>
        </w:rPr>
        <w:t xml:space="preserve"> ، أَوْ أَرْبَعَةً </w:t>
      </w:r>
      <w:r w:rsidRPr="007C12DB">
        <w:rPr>
          <w:rStyle w:val="libFootnotenumChar"/>
          <w:rtl/>
        </w:rPr>
        <w:t>(4)</w:t>
      </w:r>
      <w:r w:rsidRPr="005D642E">
        <w:rPr>
          <w:rtl/>
          <w:lang w:bidi="fa-IR"/>
        </w:rPr>
        <w:t xml:space="preserve"> وَعِشْرِينَ ، وَاغْتَسِلِي لِلْفَجْرِ </w:t>
      </w:r>
      <w:r w:rsidRPr="007C12DB">
        <w:rPr>
          <w:rStyle w:val="libFootnotenumChar"/>
          <w:rtl/>
        </w:rPr>
        <w:t>(5)</w:t>
      </w:r>
      <w:r w:rsidRPr="005D642E">
        <w:rPr>
          <w:rtl/>
          <w:lang w:bidi="fa-IR"/>
        </w:rPr>
        <w:t xml:space="preserve"> غُسْلاً ، وَأَخِّرِي الظُّهْرَ </w:t>
      </w:r>
      <w:r w:rsidRPr="007C12DB">
        <w:rPr>
          <w:rStyle w:val="libFootnotenumChar"/>
          <w:rtl/>
        </w:rPr>
        <w:t>(6)</w:t>
      </w:r>
      <w:r w:rsidRPr="005D642E">
        <w:rPr>
          <w:rtl/>
          <w:lang w:bidi="fa-IR"/>
        </w:rPr>
        <w:t xml:space="preserve"> ، وَعَجِّلِي الْعَصْرَ </w:t>
      </w:r>
      <w:r w:rsidRPr="007C12DB">
        <w:rPr>
          <w:rStyle w:val="libFootnotenumChar"/>
          <w:rtl/>
        </w:rPr>
        <w:t>(7)</w:t>
      </w:r>
      <w:r w:rsidRPr="005D642E">
        <w:rPr>
          <w:rtl/>
          <w:lang w:bidi="fa-IR"/>
        </w:rPr>
        <w:t xml:space="preserve"> ، وَاغْتَسِلِي غُسْلاً ، وَأَخِّرِي الْمَغْرِبَ </w:t>
      </w:r>
      <w:r w:rsidRPr="007C12DB">
        <w:rPr>
          <w:rStyle w:val="libFootnotenumChar"/>
          <w:rtl/>
        </w:rPr>
        <w:t>(8)</w:t>
      </w:r>
      <w:r w:rsidRPr="005D642E">
        <w:rPr>
          <w:rtl/>
          <w:lang w:bidi="fa-IR"/>
        </w:rPr>
        <w:t xml:space="preserve"> ، وَعَجِّلِي الْعِشَاءَ ، وَاغْتَسِلِي غُسْلاً »</w:t>
      </w:r>
      <w:r>
        <w:rPr>
          <w:rtl/>
          <w:lang w:bidi="fa-IR"/>
        </w:rPr>
        <w:t>.</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فَأَرَاهُ قَدْ سَنَّ </w:t>
      </w:r>
      <w:r w:rsidRPr="007C12DB">
        <w:rPr>
          <w:rStyle w:val="libFootnotenumChar"/>
          <w:rtl/>
        </w:rPr>
        <w:t>(9)</w:t>
      </w:r>
      <w:r w:rsidRPr="005D642E">
        <w:rPr>
          <w:rtl/>
          <w:lang w:bidi="fa-IR"/>
        </w:rPr>
        <w:t xml:space="preserve"> فِي هذِهِ غَيْرَ مَا سَنَّ </w:t>
      </w:r>
      <w:r w:rsidRPr="007C12DB">
        <w:rPr>
          <w:rStyle w:val="libFootnotenumChar"/>
          <w:rtl/>
        </w:rPr>
        <w:t>(10)</w:t>
      </w:r>
      <w:r w:rsidRPr="005D642E">
        <w:rPr>
          <w:rtl/>
          <w:lang w:bidi="fa-IR"/>
        </w:rPr>
        <w:t xml:space="preserve"> فِي الْأُولى وَالثَّانِيَةِ ، وَذلِكَ لِأَنَّ </w:t>
      </w:r>
      <w:r w:rsidRPr="007C12DB">
        <w:rPr>
          <w:rStyle w:val="libFootnotenumChar"/>
          <w:rtl/>
        </w:rPr>
        <w:t>(11)</w:t>
      </w:r>
      <w:r w:rsidRPr="005D642E">
        <w:rPr>
          <w:rtl/>
          <w:lang w:bidi="fa-IR"/>
        </w:rPr>
        <w:t xml:space="preserve"> أَمْرَهَا مُخَالِفٌ لِأَمْرِ تَيْنِكَ </w:t>
      </w:r>
      <w:r w:rsidRPr="007C12DB">
        <w:rPr>
          <w:rStyle w:val="libFootnotenumChar"/>
          <w:rtl/>
        </w:rPr>
        <w:t>(12)</w:t>
      </w:r>
      <w:r>
        <w:rPr>
          <w:rtl/>
          <w:lang w:bidi="fa-IR"/>
        </w:rPr>
        <w:t xml:space="preserve"> ، أَ</w:t>
      </w:r>
      <w:r w:rsidR="009D6BF2">
        <w:rPr>
          <w:rFonts w:hint="cs"/>
          <w:rtl/>
          <w:lang w:bidi="fa-IR"/>
        </w:rPr>
        <w:t xml:space="preserve"> </w:t>
      </w:r>
      <w:r w:rsidRPr="005D642E">
        <w:rPr>
          <w:rtl/>
          <w:lang w:bidi="fa-IR"/>
        </w:rPr>
        <w:t>لَا</w:t>
      </w:r>
      <w:r w:rsidR="009D6BF2">
        <w:rPr>
          <w:rFonts w:hint="cs"/>
          <w:rtl/>
          <w:lang w:bidi="fa-IR"/>
        </w:rPr>
        <w:t xml:space="preserve"> </w:t>
      </w:r>
      <w:r w:rsidRPr="005D642E">
        <w:rPr>
          <w:rtl/>
          <w:lang w:bidi="fa-IR"/>
        </w:rPr>
        <w:t xml:space="preserve">تَرى أَنَّ أَيَّامَهَا لَوْ كَانَتْ أَقَلَّ مِنْ سَبْعٍ ، وَكَانَتْ خَمْساً أَوْ أَقَلَّ مِنْ ذلِكَ ، مَا قَالَ لَهَا : تَحَيَّضِي سَبْعاً ، فَيَكُونَ قَدْ أَمَرَهَا بِتَرْكِ الصَّلَاةِ </w:t>
      </w:r>
      <w:r w:rsidRPr="007C12DB">
        <w:rPr>
          <w:rStyle w:val="libFootnotenumChar"/>
          <w:rtl/>
        </w:rPr>
        <w:t>(13)</w:t>
      </w:r>
      <w:r w:rsidRPr="005D642E">
        <w:rPr>
          <w:rtl/>
          <w:lang w:bidi="fa-IR"/>
        </w:rPr>
        <w:t xml:space="preserve"> أَيَّاماً </w:t>
      </w:r>
      <w:r w:rsidRPr="007C12DB">
        <w:rPr>
          <w:rStyle w:val="libFootnotenumChar"/>
          <w:rtl/>
        </w:rPr>
        <w:t>(14)</w:t>
      </w:r>
      <w:r w:rsidRPr="005D642E">
        <w:rPr>
          <w:rtl/>
          <w:lang w:bidi="fa-IR"/>
        </w:rPr>
        <w:t xml:space="preserve"> وَهِيَ مُسْتَحَاضَةٌ غَيْرُ حَائِضٍ ، وَكَذلِكَ لَوْ كَانَ حَيْضُهَا أَكْثَرَ مِنْ سَبْعٍ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تلجّمي » ، أي شدّي اللِجام ، اللِجام واللجمة : خرقة عريضة طويلة تشدّها المرأة في وسطها ثمّ تشدّ ما يفضل‌من أحد طرفيها ما بين رجليها إلى الجانب الآخر</w:t>
      </w:r>
      <w:r w:rsidR="009D6BF2">
        <w:rPr>
          <w:rtl/>
        </w:rPr>
        <w:t xml:space="preserve"> ، وذلك إذا غلب سيلان الدم وإل</w:t>
      </w:r>
      <w:r w:rsidR="009D6BF2">
        <w:rPr>
          <w:rFonts w:hint="cs"/>
          <w:rtl/>
        </w:rPr>
        <w:t>ّ</w:t>
      </w:r>
      <w:r w:rsidR="009D6BF2">
        <w:rPr>
          <w:rtl/>
        </w:rPr>
        <w:t>ا</w:t>
      </w:r>
      <w:r w:rsidR="00E3253D" w:rsidRPr="005D642E">
        <w:rPr>
          <w:rtl/>
        </w:rPr>
        <w:t xml:space="preserve"> فالاحتشاء. وقال ابن الأثير : « تلجّمي ، أي اجعلي موضع خروج الدم عصابة تمنع الدم تشبيهاً بوضع اللجام في فم الدابّة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5 ، ص 2027 ؛ </w:t>
      </w:r>
      <w:r w:rsidR="00E3253D" w:rsidRPr="002F4D34">
        <w:rPr>
          <w:rStyle w:val="libFootnoteBoldChar"/>
          <w:rtl/>
        </w:rPr>
        <w:t>النهاية</w:t>
      </w:r>
      <w:r w:rsidR="00E3253D" w:rsidRPr="005D642E">
        <w:rPr>
          <w:rtl/>
        </w:rPr>
        <w:t xml:space="preserve"> ، ج 4 ، ص 235 ؛ </w:t>
      </w:r>
      <w:r w:rsidR="00E3253D" w:rsidRPr="002F4D34">
        <w:rPr>
          <w:rStyle w:val="libFootnoteBoldChar"/>
          <w:rtl/>
        </w:rPr>
        <w:t>المغرب</w:t>
      </w:r>
      <w:r w:rsidR="00E3253D" w:rsidRPr="005D642E">
        <w:rPr>
          <w:rtl/>
        </w:rPr>
        <w:t xml:space="preserve"> ، ص 421 ( لجم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 ح 2159 </w:t>
      </w:r>
      <w:r w:rsidR="00B60612" w:rsidRPr="00B60612">
        <w:rPr>
          <w:rStyle w:val="libFootnoteBoldChar"/>
          <w:rtl/>
        </w:rPr>
        <w:t>والتهذيب</w:t>
      </w:r>
      <w:r w:rsidR="00E3253D" w:rsidRPr="005D642E">
        <w:rPr>
          <w:rtl/>
        </w:rPr>
        <w:t>. وفي المطبوع : « تحيّضي » بدون الواو.</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ى ، بث ، بح ، بف ، جح ، جس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يوماً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جن » </w:t>
      </w:r>
      <w:r w:rsidR="00B60612" w:rsidRPr="00B60612">
        <w:rPr>
          <w:rStyle w:val="libFootnoteBoldChar"/>
          <w:rtl/>
        </w:rPr>
        <w:t>والتهذيب</w:t>
      </w:r>
      <w:r w:rsidR="00E3253D" w:rsidRPr="005D642E">
        <w:rPr>
          <w:rtl/>
        </w:rPr>
        <w:t xml:space="preserve"> : « أو أربعاً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بس ، بف » : « الفجر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 « فأخّري الظهر »</w:t>
      </w:r>
      <w:r w:rsidR="00E3253D">
        <w:rPr>
          <w:rtl/>
        </w:rPr>
        <w:t>.</w:t>
      </w:r>
      <w:r w:rsidR="00E3253D" w:rsidRPr="005D642E">
        <w:rPr>
          <w:rtl/>
        </w:rPr>
        <w:t xml:space="preserve"> وفي حاشية « بث » : « وأخّر للطهر »</w:t>
      </w:r>
      <w:r w:rsidR="00E3253D">
        <w:rPr>
          <w:rtl/>
        </w:rPr>
        <w:t>.</w:t>
      </w:r>
      <w:r w:rsidR="00E3253D" w:rsidRPr="005D642E">
        <w:rPr>
          <w:rtl/>
        </w:rPr>
        <w:t xml:space="preserve"> وفي حاشية « بخ » : « للظهر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جن » : « للعصر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جس » : « وآخر للمغرب »</w:t>
      </w:r>
      <w:r w:rsidR="00E3253D">
        <w:rPr>
          <w:rtl/>
        </w:rPr>
        <w:t>.</w:t>
      </w:r>
      <w:r w:rsidR="00E3253D" w:rsidRPr="005D642E">
        <w:rPr>
          <w:rtl/>
        </w:rPr>
        <w:t xml:space="preserve"> وفي « غ ، بس » : « أخّر للمغرب » بدون الواو. وفي « بث » : « أخّري للمغرب » بدون الواو. وفي حاشية « ظ ، بخ » : « وأخّر للمغرب »</w:t>
      </w:r>
      <w:r w:rsidR="00E3253D">
        <w:rPr>
          <w:rtl/>
        </w:rPr>
        <w:t>.</w:t>
      </w:r>
    </w:p>
    <w:tbl>
      <w:tblPr>
        <w:tblStyle w:val="TableGrid"/>
        <w:bidiVisual/>
        <w:tblW w:w="0" w:type="auto"/>
        <w:tblLook w:val="04A0" w:firstRow="1" w:lastRow="0" w:firstColumn="1" w:lastColumn="0" w:noHBand="0" w:noVBand="1"/>
      </w:tblPr>
      <w:tblGrid>
        <w:gridCol w:w="4006"/>
        <w:gridCol w:w="4006"/>
      </w:tblGrid>
      <w:tr w:rsidR="009D6BF2" w:rsidTr="009D6BF2">
        <w:tc>
          <w:tcPr>
            <w:tcW w:w="4006" w:type="dxa"/>
          </w:tcPr>
          <w:p w:rsidR="009D6BF2" w:rsidRDefault="009D6BF2" w:rsidP="00E3253D">
            <w:pPr>
              <w:pStyle w:val="libFootnote0"/>
              <w:rPr>
                <w:rStyle w:val="libFootnote0Char"/>
                <w:rtl/>
              </w:rPr>
            </w:pPr>
            <w:r w:rsidRPr="0042621E">
              <w:rPr>
                <w:rStyle w:val="libFootnote0Char"/>
                <w:rtl/>
              </w:rPr>
              <w:t>(9).</w:t>
            </w:r>
            <w:r w:rsidRPr="005D642E">
              <w:rPr>
                <w:rtl/>
              </w:rPr>
              <w:t xml:space="preserve"> في التهذيب : « قد بيّن »</w:t>
            </w:r>
            <w:r>
              <w:rPr>
                <w:rtl/>
              </w:rPr>
              <w:t>.</w:t>
            </w:r>
          </w:p>
        </w:tc>
        <w:tc>
          <w:tcPr>
            <w:tcW w:w="4006" w:type="dxa"/>
          </w:tcPr>
          <w:p w:rsidR="009D6BF2" w:rsidRDefault="009D6BF2" w:rsidP="00E3253D">
            <w:pPr>
              <w:pStyle w:val="libFootnote0"/>
              <w:rPr>
                <w:rStyle w:val="libFootnote0Char"/>
                <w:rtl/>
              </w:rPr>
            </w:pPr>
            <w:r w:rsidRPr="0042621E">
              <w:rPr>
                <w:rStyle w:val="libFootnote0Char"/>
                <w:rtl/>
              </w:rPr>
              <w:t>(10).</w:t>
            </w:r>
            <w:r w:rsidRPr="005D642E">
              <w:rPr>
                <w:rtl/>
              </w:rPr>
              <w:t xml:space="preserve"> في التهذيب : « ما بيّن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غ ، ى ، بح ، جس » </w:t>
      </w:r>
      <w:r w:rsidR="00B60612" w:rsidRPr="00B60612">
        <w:rPr>
          <w:rStyle w:val="libFootnoteBoldChar"/>
          <w:rtl/>
        </w:rPr>
        <w:t>والتهذيب</w:t>
      </w:r>
      <w:r w:rsidR="00E3253D" w:rsidRPr="005D642E">
        <w:rPr>
          <w:rtl/>
        </w:rPr>
        <w:t xml:space="preserve"> : « أنّ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كذا في حاشية « جح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 ظ ، بس ، جن » وحاشية « بخ » : « تانيك »</w:t>
      </w:r>
      <w:r w:rsidR="00E3253D">
        <w:rPr>
          <w:rtl/>
        </w:rPr>
        <w:t>.</w:t>
      </w:r>
      <w:r w:rsidR="00E3253D" w:rsidRPr="005D642E">
        <w:rPr>
          <w:rtl/>
        </w:rPr>
        <w:t xml:space="preserve"> وفي « غ » : « تأتيك »</w:t>
      </w:r>
      <w:r w:rsidR="00E3253D">
        <w:rPr>
          <w:rtl/>
        </w:rPr>
        <w:t>.</w:t>
      </w:r>
      <w:r w:rsidR="00E3253D" w:rsidRPr="005D642E">
        <w:rPr>
          <w:rtl/>
        </w:rPr>
        <w:t xml:space="preserve"> وفي « ى ، بث ، بح ، بخ ، بف ، جح » وحاشية « ظ ، غ ، بس » والمطبوع : « هاتيك »</w:t>
      </w:r>
      <w:r w:rsidR="00E3253D">
        <w:rPr>
          <w:rtl/>
        </w:rPr>
        <w:t>.</w:t>
      </w:r>
      <w:r w:rsidR="00E3253D" w:rsidRPr="005D642E">
        <w:rPr>
          <w:rtl/>
        </w:rPr>
        <w:t xml:space="preserve"> وفي « جس » : « يأتيك »</w:t>
      </w:r>
      <w:r w:rsidR="00E3253D">
        <w:rPr>
          <w:rtl/>
        </w:rPr>
        <w:t>.</w:t>
      </w:r>
    </w:p>
    <w:tbl>
      <w:tblPr>
        <w:tblStyle w:val="TableGrid"/>
        <w:bidiVisual/>
        <w:tblW w:w="0" w:type="auto"/>
        <w:tblLook w:val="04A0" w:firstRow="1" w:lastRow="0" w:firstColumn="1" w:lastColumn="0" w:noHBand="0" w:noVBand="1"/>
      </w:tblPr>
      <w:tblGrid>
        <w:gridCol w:w="4006"/>
        <w:gridCol w:w="4006"/>
      </w:tblGrid>
      <w:tr w:rsidR="00C26469" w:rsidTr="00C26469">
        <w:tc>
          <w:tcPr>
            <w:tcW w:w="4006" w:type="dxa"/>
          </w:tcPr>
          <w:p w:rsidR="00C26469" w:rsidRDefault="00C26469" w:rsidP="00E3253D">
            <w:pPr>
              <w:pStyle w:val="libFootnote0"/>
              <w:rPr>
                <w:rStyle w:val="libFootnote0Char"/>
                <w:rtl/>
              </w:rPr>
            </w:pPr>
            <w:r w:rsidRPr="0042621E">
              <w:rPr>
                <w:rStyle w:val="libFootnote0Char"/>
                <w:rtl/>
              </w:rPr>
              <w:t>(13).</w:t>
            </w:r>
            <w:r w:rsidRPr="005D642E">
              <w:rPr>
                <w:rtl/>
              </w:rPr>
              <w:t xml:space="preserve"> في « ظ » : « صلاتها »</w:t>
            </w:r>
            <w:r>
              <w:rPr>
                <w:rtl/>
              </w:rPr>
              <w:t>.</w:t>
            </w:r>
          </w:p>
        </w:tc>
        <w:tc>
          <w:tcPr>
            <w:tcW w:w="4006" w:type="dxa"/>
          </w:tcPr>
          <w:p w:rsidR="00C26469" w:rsidRDefault="00C26469" w:rsidP="00E3253D">
            <w:pPr>
              <w:pStyle w:val="libFootnote0"/>
              <w:rPr>
                <w:rStyle w:val="libFootnote0Char"/>
                <w:rtl/>
              </w:rPr>
            </w:pPr>
            <w:r w:rsidRPr="0042621E">
              <w:rPr>
                <w:rStyle w:val="libFootnote0Char"/>
                <w:rtl/>
              </w:rPr>
              <w:t>(14).</w:t>
            </w:r>
            <w:r w:rsidRPr="005D642E">
              <w:rPr>
                <w:rtl/>
              </w:rPr>
              <w:t xml:space="preserve"> في التهذيب : « أيّامها »</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وَكَانَتْ أَيَّامُهَا عَشْراً </w:t>
      </w:r>
      <w:r w:rsidRPr="007C12DB">
        <w:rPr>
          <w:rStyle w:val="libFootnotenumChar"/>
          <w:rtl/>
        </w:rPr>
        <w:t>(1)</w:t>
      </w:r>
      <w:r w:rsidRPr="005D642E">
        <w:rPr>
          <w:rtl/>
          <w:lang w:bidi="fa-IR"/>
        </w:rPr>
        <w:t xml:space="preserve"> أَوْ أَكْثَرَ </w:t>
      </w:r>
      <w:r w:rsidRPr="007C12DB">
        <w:rPr>
          <w:rStyle w:val="libFootnotenumChar"/>
          <w:rtl/>
        </w:rPr>
        <w:t>(2)</w:t>
      </w:r>
      <w:r w:rsidRPr="005D642E">
        <w:rPr>
          <w:rtl/>
          <w:lang w:bidi="fa-IR"/>
        </w:rPr>
        <w:t xml:space="preserve"> ، لَمْ يَأْمُرْهَا بِالصَّلَاةِ وَهِيَ حَائِضٌ »</w:t>
      </w:r>
      <w:r>
        <w:rPr>
          <w:rtl/>
          <w:lang w:bidi="fa-IR"/>
        </w:rPr>
        <w:t>.</w:t>
      </w:r>
    </w:p>
    <w:p w:rsidR="00E3253D" w:rsidRPr="005D642E" w:rsidRDefault="00E3253D" w:rsidP="00E3253D">
      <w:pPr>
        <w:pStyle w:val="libNormal"/>
        <w:rPr>
          <w:rtl/>
          <w:lang w:bidi="fa-IR"/>
        </w:rPr>
      </w:pPr>
      <w:r w:rsidRPr="005D642E">
        <w:rPr>
          <w:rtl/>
          <w:lang w:bidi="fa-IR"/>
        </w:rPr>
        <w:t xml:space="preserve">ثُمَّ مِمَّا </w:t>
      </w:r>
      <w:r w:rsidRPr="007C12DB">
        <w:rPr>
          <w:rStyle w:val="libFootnotenumChar"/>
          <w:rtl/>
        </w:rPr>
        <w:t>(3)</w:t>
      </w:r>
      <w:r w:rsidRPr="005D642E">
        <w:rPr>
          <w:rtl/>
          <w:lang w:bidi="fa-IR"/>
        </w:rPr>
        <w:t xml:space="preserve"> يَزِيدُ هذَا بَيَاناً </w:t>
      </w:r>
      <w:r w:rsidRPr="007C12DB">
        <w:rPr>
          <w:rStyle w:val="libFootnotenumChar"/>
          <w:rtl/>
        </w:rPr>
        <w:t>(4)</w:t>
      </w:r>
      <w:r w:rsidRPr="005D642E">
        <w:rPr>
          <w:rtl/>
          <w:lang w:bidi="fa-IR"/>
        </w:rPr>
        <w:t xml:space="preserve"> قَوْلُهُ </w:t>
      </w:r>
      <w:r w:rsidRPr="00AC51C5">
        <w:rPr>
          <w:rStyle w:val="libAlaemChar"/>
          <w:rtl/>
        </w:rPr>
        <w:t>عليه‌السلام</w:t>
      </w:r>
      <w:r w:rsidRPr="005D642E">
        <w:rPr>
          <w:rtl/>
          <w:lang w:bidi="fa-IR"/>
        </w:rPr>
        <w:t xml:space="preserve"> لَهَا </w:t>
      </w:r>
      <w:r w:rsidRPr="007C12DB">
        <w:rPr>
          <w:rStyle w:val="libFootnotenumChar"/>
          <w:rtl/>
        </w:rPr>
        <w:t>(5)</w:t>
      </w:r>
      <w:r w:rsidRPr="005D642E">
        <w:rPr>
          <w:rtl/>
          <w:lang w:bidi="fa-IR"/>
        </w:rPr>
        <w:t xml:space="preserve"> : « تَحَيَّضِي » وَلَيْسَ يَكُونُ التَّحَيُّضُ </w:t>
      </w:r>
      <w:r w:rsidRPr="007C12DB">
        <w:rPr>
          <w:rStyle w:val="libFootnotenumChar"/>
          <w:rtl/>
        </w:rPr>
        <w:t>(6)</w:t>
      </w:r>
      <w:r w:rsidR="00C35E84">
        <w:rPr>
          <w:rtl/>
          <w:lang w:bidi="fa-IR"/>
        </w:rPr>
        <w:t xml:space="preserve"> إِل</w:t>
      </w:r>
      <w:r w:rsidR="00C35E84">
        <w:rPr>
          <w:rFonts w:hint="cs"/>
          <w:rtl/>
          <w:lang w:bidi="fa-IR"/>
        </w:rPr>
        <w:t>َّ</w:t>
      </w:r>
      <w:r w:rsidR="00C35E84">
        <w:rPr>
          <w:rtl/>
          <w:lang w:bidi="fa-IR"/>
        </w:rPr>
        <w:t>ا</w:t>
      </w:r>
      <w:r w:rsidRPr="005D642E">
        <w:rPr>
          <w:rtl/>
          <w:lang w:bidi="fa-IR"/>
        </w:rPr>
        <w:t xml:space="preserve"> لِلْمَرْأَةِ الَّتِي تُرِيدُ أَنْ تُكَلَّفَ مَا </w:t>
      </w:r>
      <w:r w:rsidRPr="007C12DB">
        <w:rPr>
          <w:rStyle w:val="libFootnotenumChar"/>
          <w:rtl/>
        </w:rPr>
        <w:t>(7)</w:t>
      </w:r>
      <w:r>
        <w:rPr>
          <w:rtl/>
          <w:lang w:bidi="fa-IR"/>
        </w:rPr>
        <w:t xml:space="preserve"> تَعْمَلُ الْحَائِضُ ، أَ</w:t>
      </w:r>
      <w:r w:rsidRPr="005D642E">
        <w:rPr>
          <w:rtl/>
          <w:lang w:bidi="fa-IR"/>
        </w:rPr>
        <w:t xml:space="preserve">لَاتَرَاهُ لَمْ يَقُلْ لَهَا : أَيَّاماً مَعْلُومَةً </w:t>
      </w:r>
      <w:r w:rsidRPr="007C12DB">
        <w:rPr>
          <w:rStyle w:val="libFootnotenumChar"/>
          <w:rtl/>
        </w:rPr>
        <w:t>(8)</w:t>
      </w:r>
      <w:r w:rsidRPr="005D642E">
        <w:rPr>
          <w:rtl/>
          <w:lang w:bidi="fa-IR"/>
        </w:rPr>
        <w:t xml:space="preserve"> تَحَيَّضِي أَيَّامَ حَيْضِكِ</w:t>
      </w:r>
      <w:r>
        <w:rPr>
          <w:rtl/>
          <w:lang w:bidi="fa-IR"/>
        </w:rPr>
        <w:t>؟</w:t>
      </w:r>
    </w:p>
    <w:p w:rsidR="00E3253D" w:rsidRPr="005D642E" w:rsidRDefault="00E3253D" w:rsidP="00E3253D">
      <w:pPr>
        <w:pStyle w:val="libNormal"/>
        <w:rPr>
          <w:rtl/>
          <w:lang w:bidi="fa-IR"/>
        </w:rPr>
      </w:pPr>
      <w:r w:rsidRPr="005D642E">
        <w:rPr>
          <w:rtl/>
          <w:lang w:bidi="fa-IR"/>
        </w:rPr>
        <w:t xml:space="preserve">وَمِمَّا </w:t>
      </w:r>
      <w:r w:rsidRPr="007C12DB">
        <w:rPr>
          <w:rStyle w:val="libFootnotenumChar"/>
          <w:rtl/>
        </w:rPr>
        <w:t>(9)</w:t>
      </w:r>
      <w:r w:rsidRPr="005D642E">
        <w:rPr>
          <w:rtl/>
          <w:lang w:bidi="fa-IR"/>
        </w:rPr>
        <w:t xml:space="preserve"> يُبَيِّنُ هذَا </w:t>
      </w:r>
      <w:r w:rsidRPr="007C12DB">
        <w:rPr>
          <w:rStyle w:val="libFootnotenumChar"/>
          <w:rtl/>
        </w:rPr>
        <w:t>(10)</w:t>
      </w:r>
      <w:r w:rsidRPr="005D642E">
        <w:rPr>
          <w:rtl/>
          <w:lang w:bidi="fa-IR"/>
        </w:rPr>
        <w:t xml:space="preserve"> قَوْلُهُ لَهَا : « فِي عِلْمِ اللهِ » لِأَنَّهُ قَدْ كَانَ لَهَا </w:t>
      </w:r>
      <w:r w:rsidRPr="007C12DB">
        <w:rPr>
          <w:rStyle w:val="libFootnotenumChar"/>
          <w:rtl/>
        </w:rPr>
        <w:t>(11)</w:t>
      </w:r>
      <w:r w:rsidRPr="005D642E">
        <w:rPr>
          <w:rtl/>
          <w:lang w:bidi="fa-IR"/>
        </w:rPr>
        <w:t xml:space="preserve"> وَإِنْ كَانَتِ الْأَشْيَاءُ كُلُّهَا فِي عِلْمِ اللهِ تَعَالى ، وَهذَا </w:t>
      </w:r>
      <w:r w:rsidRPr="007C12DB">
        <w:rPr>
          <w:rStyle w:val="libFootnotenumChar"/>
          <w:rtl/>
        </w:rPr>
        <w:t>(12)</w:t>
      </w:r>
      <w:r w:rsidRPr="005D642E">
        <w:rPr>
          <w:rtl/>
          <w:lang w:bidi="fa-IR"/>
        </w:rPr>
        <w:t xml:space="preserve"> بَيِّنٌ وَاضِحٌ أَنَّ </w:t>
      </w:r>
      <w:r w:rsidRPr="007C12DB">
        <w:rPr>
          <w:rStyle w:val="libFootnotenumChar"/>
          <w:rtl/>
        </w:rPr>
        <w:t>(13)</w:t>
      </w:r>
      <w:r w:rsidRPr="005D642E">
        <w:rPr>
          <w:rtl/>
          <w:lang w:bidi="fa-IR"/>
        </w:rPr>
        <w:t xml:space="preserve"> هذِهِ لَمْ تَكُنْ لَهَا أَيَّامٌ قَبْلَ ذلِكَ </w:t>
      </w:r>
      <w:r w:rsidRPr="007C12DB">
        <w:rPr>
          <w:rStyle w:val="libFootnotenumChar"/>
          <w:rtl/>
        </w:rPr>
        <w:t>(14)</w:t>
      </w:r>
      <w:r w:rsidRPr="005D642E">
        <w:rPr>
          <w:rtl/>
          <w:lang w:bidi="fa-IR"/>
        </w:rPr>
        <w:t xml:space="preserve"> قَطُّ ، وَهذِهِ سُنَّةُ الَّتِي اسْتَمَرَّ بِهَا الدَّمُ أَوَّلَ </w:t>
      </w:r>
      <w:r w:rsidRPr="007C12DB">
        <w:rPr>
          <w:rStyle w:val="libFootnotenumChar"/>
          <w:rtl/>
        </w:rPr>
        <w:t>(15)</w:t>
      </w:r>
      <w:r w:rsidRPr="005D642E">
        <w:rPr>
          <w:rtl/>
          <w:lang w:bidi="fa-IR"/>
        </w:rPr>
        <w:t xml:space="preserve"> مَا تَرَاهُ ، أَقْصى وَقْتِهَا سَبْعٌ ، وَأَقْصى طُهْرِهَا ثَلَاثٌ وَعِشْرُونَ ، حَتّى يَصِيرَ </w:t>
      </w:r>
      <w:r w:rsidRPr="007C12DB">
        <w:rPr>
          <w:rStyle w:val="libFootnotenumChar"/>
          <w:rtl/>
        </w:rPr>
        <w:t>(16)</w:t>
      </w:r>
      <w:r w:rsidRPr="005D642E">
        <w:rPr>
          <w:rtl/>
          <w:lang w:bidi="fa-IR"/>
        </w:rPr>
        <w:t xml:space="preserve"> لَهَا أَيَّاماً </w:t>
      </w:r>
      <w:r w:rsidRPr="007C12DB">
        <w:rPr>
          <w:rStyle w:val="libFootnotenumChar"/>
          <w:rtl/>
        </w:rPr>
        <w:t>(17)</w:t>
      </w:r>
      <w:r w:rsidRPr="005D642E">
        <w:rPr>
          <w:rtl/>
          <w:lang w:bidi="fa-IR"/>
        </w:rPr>
        <w:t xml:space="preserve"> مَعْلُومَةً ، فَتَنْتَقِلَ إِلَيْهَا ، فَجَمِيعُ</w:t>
      </w:r>
      <w:r>
        <w:rPr>
          <w:rFonts w:hint="cs"/>
          <w:rtl/>
          <w:lang w:bidi="fa-IR"/>
        </w:rPr>
        <w:t xml:space="preserve"> </w:t>
      </w:r>
      <w:r w:rsidRPr="005D642E">
        <w:rPr>
          <w:rtl/>
          <w:lang w:bidi="fa-IR"/>
        </w:rPr>
        <w:t xml:space="preserve">حَالَاتِ الْمُسْتَحَاضَةِ تَدُورُ عَلى هذِهِ السُّنَنِ الثَّلَاثِ </w:t>
      </w:r>
      <w:r w:rsidRPr="007C12DB">
        <w:rPr>
          <w:rStyle w:val="libFootnotenumChar"/>
          <w:rtl/>
        </w:rPr>
        <w:t>(18)</w:t>
      </w:r>
      <w:r w:rsidRPr="005D642E">
        <w:rPr>
          <w:rtl/>
          <w:lang w:bidi="fa-IR"/>
        </w:rPr>
        <w:t xml:space="preserve"> لَاتَكَادُ أَبَداً تَخْلُو مِنْ وَاحِدَةٍ‌</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عشرة »</w:t>
      </w:r>
      <w:r w:rsidR="00E3253D">
        <w:rPr>
          <w:rtl/>
        </w:rPr>
        <w:t>.</w:t>
      </w:r>
    </w:p>
    <w:p w:rsidR="00E3253D" w:rsidRPr="005D642E" w:rsidRDefault="0042621E" w:rsidP="00461EB2">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027158">
        <w:rPr>
          <w:rStyle w:val="libFootnoteAlaemChar"/>
          <w:rtl/>
        </w:rPr>
        <w:t>عليه‌السلام</w:t>
      </w:r>
      <w:r w:rsidR="00E3253D" w:rsidRPr="005D642E">
        <w:rPr>
          <w:rtl/>
        </w:rPr>
        <w:t xml:space="preserve"> : وكانت أيّامها عشراً أو أكثر ، لعلّ الأكثر محمول على ما إذا رأت في الشهر مرّتين أو كانت ترى أكثر وإن كانت استحاضة »</w:t>
      </w:r>
      <w:r w:rsidR="00E3253D">
        <w:rPr>
          <w:rtl/>
        </w:rPr>
        <w:t>.</w:t>
      </w:r>
      <w:r w:rsidR="00461EB2">
        <w:rPr>
          <w:rFonts w:hint="cs"/>
          <w:rtl/>
        </w:rPr>
        <w:t xml:space="preserve">    </w:t>
      </w:r>
      <w:r w:rsidR="00A16AE4">
        <w:rPr>
          <w:rFonts w:hint="cs"/>
          <w:rtl/>
        </w:rPr>
        <w:t xml:space="preserve">  </w:t>
      </w:r>
      <w:r w:rsidR="00461EB2">
        <w:rPr>
          <w:rFonts w:hint="cs"/>
          <w:rtl/>
        </w:rPr>
        <w:t xml:space="preserve">    </w:t>
      </w:r>
      <w:r w:rsidRPr="0042621E">
        <w:rPr>
          <w:rStyle w:val="libFootnote0Char"/>
          <w:rtl/>
        </w:rPr>
        <w:t>(3).</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ممّا »</w:t>
      </w:r>
      <w:r w:rsidR="00E3253D">
        <w:rPr>
          <w:rtl/>
        </w:rPr>
        <w:t>.</w:t>
      </w:r>
    </w:p>
    <w:tbl>
      <w:tblPr>
        <w:tblStyle w:val="TableGrid"/>
        <w:bidiVisual/>
        <w:tblW w:w="0" w:type="auto"/>
        <w:tblLook w:val="04A0" w:firstRow="1" w:lastRow="0" w:firstColumn="1" w:lastColumn="0" w:noHBand="0" w:noVBand="1"/>
      </w:tblPr>
      <w:tblGrid>
        <w:gridCol w:w="4006"/>
        <w:gridCol w:w="4006"/>
      </w:tblGrid>
      <w:tr w:rsidR="00461EB2" w:rsidTr="00461EB2">
        <w:tc>
          <w:tcPr>
            <w:tcW w:w="4006" w:type="dxa"/>
          </w:tcPr>
          <w:p w:rsidR="00461EB2" w:rsidRDefault="00461EB2" w:rsidP="00E3253D">
            <w:pPr>
              <w:pStyle w:val="libFootnote0"/>
              <w:rPr>
                <w:rStyle w:val="libFootnote0Char"/>
                <w:rtl/>
              </w:rPr>
            </w:pPr>
            <w:r w:rsidRPr="0042621E">
              <w:rPr>
                <w:rStyle w:val="libFootnote0Char"/>
                <w:rtl/>
              </w:rPr>
              <w:t>(4).</w:t>
            </w:r>
            <w:r w:rsidRPr="005D642E">
              <w:rPr>
                <w:rtl/>
              </w:rPr>
              <w:t xml:space="preserve"> في « جح » : « تبياناً »</w:t>
            </w:r>
            <w:r>
              <w:rPr>
                <w:rtl/>
              </w:rPr>
              <w:t>.</w:t>
            </w:r>
          </w:p>
        </w:tc>
        <w:tc>
          <w:tcPr>
            <w:tcW w:w="4006" w:type="dxa"/>
          </w:tcPr>
          <w:p w:rsidR="00461EB2" w:rsidRDefault="00461EB2" w:rsidP="00E3253D">
            <w:pPr>
              <w:pStyle w:val="libFootnote0"/>
              <w:rPr>
                <w:rStyle w:val="libFootnote0Char"/>
                <w:rtl/>
              </w:rPr>
            </w:pPr>
            <w:r w:rsidRPr="0042621E">
              <w:rPr>
                <w:rStyle w:val="libFootnote0Char"/>
                <w:rtl/>
              </w:rPr>
              <w:t>(5).</w:t>
            </w:r>
            <w:r w:rsidRPr="005D642E">
              <w:rPr>
                <w:rtl/>
              </w:rPr>
              <w:t xml:space="preserve"> في « بس » :</w:t>
            </w:r>
            <w:r>
              <w:rPr>
                <w:rtl/>
              </w:rPr>
              <w:t xml:space="preserve"> - </w:t>
            </w:r>
            <w:r w:rsidRPr="005D642E">
              <w:rPr>
                <w:rtl/>
              </w:rPr>
              <w:t>« لها »</w:t>
            </w:r>
            <w:r>
              <w:rPr>
                <w:rtl/>
              </w:rPr>
              <w:t>.</w:t>
            </w:r>
          </w:p>
        </w:tc>
      </w:tr>
      <w:tr w:rsidR="00461EB2" w:rsidTr="00461EB2">
        <w:tc>
          <w:tcPr>
            <w:tcW w:w="4006" w:type="dxa"/>
          </w:tcPr>
          <w:p w:rsidR="00461EB2" w:rsidRDefault="00461EB2" w:rsidP="00E3253D">
            <w:pPr>
              <w:pStyle w:val="libFootnote0"/>
              <w:rPr>
                <w:rStyle w:val="libFootnote0Char"/>
                <w:rtl/>
              </w:rPr>
            </w:pPr>
            <w:r w:rsidRPr="0042621E">
              <w:rPr>
                <w:rStyle w:val="libFootnote0Char"/>
                <w:rtl/>
              </w:rPr>
              <w:t>(6).</w:t>
            </w:r>
            <w:r w:rsidRPr="005D642E">
              <w:rPr>
                <w:rtl/>
              </w:rPr>
              <w:t xml:space="preserve"> في « بح » : « الحيض »</w:t>
            </w:r>
            <w:r>
              <w:rPr>
                <w:rtl/>
              </w:rPr>
              <w:t>.</w:t>
            </w:r>
          </w:p>
        </w:tc>
        <w:tc>
          <w:tcPr>
            <w:tcW w:w="4006" w:type="dxa"/>
          </w:tcPr>
          <w:p w:rsidR="00461EB2" w:rsidRDefault="00461EB2" w:rsidP="00E3253D">
            <w:pPr>
              <w:pStyle w:val="libFootnote0"/>
              <w:rPr>
                <w:rStyle w:val="libFootnote0Char"/>
                <w:rtl/>
              </w:rPr>
            </w:pPr>
            <w:r w:rsidRPr="0042621E">
              <w:rPr>
                <w:rStyle w:val="libFootnote0Char"/>
                <w:rtl/>
              </w:rPr>
              <w:t>(7).</w:t>
            </w:r>
            <w:r w:rsidRPr="005D642E">
              <w:rPr>
                <w:rtl/>
              </w:rPr>
              <w:t xml:space="preserve"> في حاشية « بخ » : « بما »</w:t>
            </w:r>
            <w:r>
              <w:rPr>
                <w:rtl/>
              </w:rPr>
              <w:t>.</w:t>
            </w:r>
          </w:p>
        </w:tc>
      </w:tr>
    </w:tbl>
    <w:p w:rsidR="00E3253D" w:rsidRPr="005D642E" w:rsidRDefault="0042621E" w:rsidP="00A16AE4">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 قوله : أيّاماً معلومةً ، مفعول للقول ، أو ظرف لقوله : تحيّضي مقدّراً ، وقوله : تحيّضي أيّام حيضتك ، بيان للجملة السابقة »</w:t>
      </w:r>
      <w:r w:rsidR="00E3253D">
        <w:rPr>
          <w:rtl/>
        </w:rPr>
        <w:t>.</w:t>
      </w:r>
      <w:r w:rsidR="00A16AE4">
        <w:rPr>
          <w:rFonts w:hint="cs"/>
          <w:rtl/>
        </w:rPr>
        <w:t xml:space="preserve">                         </w:t>
      </w:r>
      <w:r w:rsidRPr="0042621E">
        <w:rPr>
          <w:rStyle w:val="libFootnote0Char"/>
          <w:rtl/>
        </w:rPr>
        <w:t>(9).</w:t>
      </w:r>
      <w:r w:rsidR="00E3253D" w:rsidRPr="005D642E">
        <w:rPr>
          <w:rtl/>
        </w:rPr>
        <w:t xml:space="preserve"> في « جس » : « وما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جن » : + « في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الوافي</w:t>
      </w:r>
      <w:r w:rsidR="00E3253D" w:rsidRPr="005D642E">
        <w:rPr>
          <w:rtl/>
        </w:rPr>
        <w:t xml:space="preserve"> : « قوله : لأنّه قد كان لها ، لعلّ المراد به قد كان لها في علم الله ستّة أو سبعة ، وذلك لأنّه ليس لها قبل ذلك أيّام معلومة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أي لأنّ كونه في علم الله مخصوصة بها ؛ لأنّ المراد اختصاصه بعلم الله دون علمنا ، والظاهر أنّ علم هذا مخصوص به تعالى ؛ لأنّه يعلم أنّ كلّ أحد أيّ الأيّام يختار لهذا ، فتأمّل »</w:t>
      </w:r>
      <w:r w:rsidR="00E3253D">
        <w:rPr>
          <w:rtl/>
        </w:rPr>
        <w:t>.</w:t>
      </w:r>
    </w:p>
    <w:tbl>
      <w:tblPr>
        <w:tblStyle w:val="TableGrid"/>
        <w:bidiVisual/>
        <w:tblW w:w="0" w:type="auto"/>
        <w:tblLook w:val="04A0" w:firstRow="1" w:lastRow="0" w:firstColumn="1" w:lastColumn="0" w:noHBand="0" w:noVBand="1"/>
      </w:tblPr>
      <w:tblGrid>
        <w:gridCol w:w="4006"/>
        <w:gridCol w:w="4006"/>
      </w:tblGrid>
      <w:tr w:rsidR="008F47BA" w:rsidTr="008F47BA">
        <w:tc>
          <w:tcPr>
            <w:tcW w:w="4006" w:type="dxa"/>
          </w:tcPr>
          <w:p w:rsidR="008F47BA" w:rsidRDefault="008F47BA" w:rsidP="00E3253D">
            <w:pPr>
              <w:pStyle w:val="libFootnote0"/>
              <w:rPr>
                <w:rStyle w:val="libFootnote0Char"/>
                <w:rtl/>
              </w:rPr>
            </w:pPr>
            <w:r w:rsidRPr="0042621E">
              <w:rPr>
                <w:rStyle w:val="libFootnote0Char"/>
                <w:rtl/>
              </w:rPr>
              <w:t>(12).</w:t>
            </w:r>
            <w:r w:rsidRPr="005D642E">
              <w:rPr>
                <w:rtl/>
              </w:rPr>
              <w:t xml:space="preserve"> في«ظ،غ،بح،جس»</w:t>
            </w:r>
            <w:r w:rsidRPr="00B60612">
              <w:rPr>
                <w:rStyle w:val="libFootnoteBoldChar"/>
                <w:rtl/>
              </w:rPr>
              <w:t>والتهذيب</w:t>
            </w:r>
            <w:r w:rsidRPr="005D642E">
              <w:rPr>
                <w:rtl/>
              </w:rPr>
              <w:t>:«فهذا»</w:t>
            </w:r>
            <w:r>
              <w:rPr>
                <w:rtl/>
              </w:rPr>
              <w:t>.</w:t>
            </w:r>
          </w:p>
        </w:tc>
        <w:tc>
          <w:tcPr>
            <w:tcW w:w="4006" w:type="dxa"/>
          </w:tcPr>
          <w:p w:rsidR="008F47BA" w:rsidRDefault="008F47BA" w:rsidP="00E3253D">
            <w:pPr>
              <w:pStyle w:val="libFootnote0"/>
              <w:rPr>
                <w:rStyle w:val="libFootnote0Char"/>
                <w:rtl/>
              </w:rPr>
            </w:pPr>
            <w:r w:rsidRPr="0042621E">
              <w:rPr>
                <w:rStyle w:val="libFootnote0Char"/>
                <w:rtl/>
              </w:rPr>
              <w:t>(13).</w:t>
            </w:r>
            <w:r>
              <w:rPr>
                <w:rtl/>
              </w:rPr>
              <w:t xml:space="preserve"> </w:t>
            </w:r>
            <w:r w:rsidRPr="005D642E">
              <w:rPr>
                <w:rtl/>
              </w:rPr>
              <w:t xml:space="preserve">في « بخ ، بف » </w:t>
            </w:r>
            <w:r w:rsidRPr="000D749A">
              <w:rPr>
                <w:rStyle w:val="libFootnoteBoldChar"/>
                <w:rtl/>
              </w:rPr>
              <w:t>والوافي</w:t>
            </w:r>
            <w:r w:rsidRPr="005D642E">
              <w:rPr>
                <w:rtl/>
              </w:rPr>
              <w:t xml:space="preserve"> : « وأنّ »</w:t>
            </w:r>
            <w:r>
              <w:rPr>
                <w:rtl/>
              </w:rPr>
              <w:t>.</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بث ، جح ، جس » وحاشية « بخ » </w:t>
      </w:r>
      <w:r w:rsidR="00B60612" w:rsidRPr="00B60612">
        <w:rPr>
          <w:rStyle w:val="libFootnoteBoldChar"/>
          <w:rtl/>
        </w:rPr>
        <w:t>والتهذيب</w:t>
      </w:r>
      <w:r w:rsidR="00E3253D" w:rsidRPr="005D642E">
        <w:rPr>
          <w:rtl/>
        </w:rPr>
        <w:t xml:space="preserve"> : « تلك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جن » : « وأوّل »</w:t>
      </w:r>
      <w:r w:rsidR="00E3253D">
        <w:rPr>
          <w:rtl/>
        </w:rPr>
        <w:t>.</w:t>
      </w:r>
    </w:p>
    <w:p w:rsidR="00E3253D" w:rsidRPr="005D642E" w:rsidRDefault="00E3253D" w:rsidP="00E3253D">
      <w:pPr>
        <w:pStyle w:val="libFootnote0"/>
        <w:rPr>
          <w:rtl/>
          <w:lang w:bidi="fa-IR"/>
        </w:rPr>
      </w:pPr>
      <w:r w:rsidRPr="005D642E">
        <w:rPr>
          <w:rtl/>
        </w:rPr>
        <w:t>(1</w:t>
      </w:r>
      <w:r>
        <w:rPr>
          <w:rtl/>
        </w:rPr>
        <w:t>6)</w:t>
      </w:r>
      <w:r w:rsidRPr="005D642E">
        <w:rPr>
          <w:rtl/>
        </w:rPr>
        <w:t xml:space="preserve"> في « ظ ، غ ، ى ، جح ، جس ، جن » </w:t>
      </w:r>
      <w:r w:rsidR="000D749A" w:rsidRPr="000D749A">
        <w:rPr>
          <w:rStyle w:val="libFootnoteBoldChar"/>
          <w:rtl/>
        </w:rPr>
        <w:t>والوافي</w:t>
      </w:r>
      <w:r w:rsidRPr="005D642E">
        <w:rPr>
          <w:rtl/>
        </w:rPr>
        <w:t xml:space="preserve"> : « حتّى تصير »</w:t>
      </w:r>
      <w:r>
        <w:rPr>
          <w:rtl/>
        </w:rPr>
        <w:t>.</w:t>
      </w:r>
    </w:p>
    <w:p w:rsidR="00E3253D" w:rsidRPr="005D642E" w:rsidRDefault="00E3253D" w:rsidP="00E3253D">
      <w:pPr>
        <w:pStyle w:val="libFootnote0"/>
        <w:rPr>
          <w:rtl/>
          <w:lang w:bidi="fa-IR"/>
        </w:rPr>
      </w:pPr>
      <w:r w:rsidRPr="005D642E">
        <w:rPr>
          <w:rtl/>
        </w:rPr>
        <w:t>(1</w:t>
      </w:r>
      <w:r>
        <w:rPr>
          <w:rtl/>
        </w:rPr>
        <w:t>7)</w:t>
      </w:r>
      <w:r w:rsidRPr="005D642E">
        <w:rPr>
          <w:rtl/>
        </w:rPr>
        <w:t xml:space="preserve"> في الوافي : « أيّام »</w:t>
      </w:r>
      <w:r>
        <w:rPr>
          <w:rtl/>
        </w:rPr>
        <w:t>.</w:t>
      </w:r>
    </w:p>
    <w:p w:rsidR="00E3253D" w:rsidRPr="005D642E" w:rsidRDefault="00E3253D" w:rsidP="00E3253D">
      <w:pPr>
        <w:pStyle w:val="libFootnote0"/>
        <w:rPr>
          <w:rtl/>
          <w:lang w:bidi="fa-IR"/>
        </w:rPr>
      </w:pPr>
      <w:r w:rsidRPr="005D642E">
        <w:rPr>
          <w:rtl/>
        </w:rPr>
        <w:t>(1</w:t>
      </w:r>
      <w:r>
        <w:rPr>
          <w:rtl/>
        </w:rPr>
        <w:t>8)</w:t>
      </w:r>
      <w:r w:rsidRPr="005D642E">
        <w:rPr>
          <w:rtl/>
        </w:rPr>
        <w:t xml:space="preserve"> هكذا في « ظ ، بث ، بح ، جح ، جس » </w:t>
      </w:r>
      <w:r w:rsidR="000D749A" w:rsidRPr="000D749A">
        <w:rPr>
          <w:rStyle w:val="libFootnoteBoldChar"/>
          <w:rtl/>
        </w:rPr>
        <w:t>والوافي</w:t>
      </w:r>
      <w:r w:rsidRPr="005D642E">
        <w:rPr>
          <w:rtl/>
        </w:rPr>
        <w:t xml:space="preserve"> والوسائل ، ح 2159 وفي سائر النسخ والمطبوع : « الثلاثة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مِنْهُنَّ إِنْ كَانَتْ </w:t>
      </w:r>
      <w:r w:rsidRPr="007C12DB">
        <w:rPr>
          <w:rStyle w:val="libFootnotenumChar"/>
          <w:rtl/>
        </w:rPr>
        <w:t>(1)</w:t>
      </w:r>
      <w:r w:rsidRPr="005D642E">
        <w:rPr>
          <w:rtl/>
          <w:lang w:bidi="fa-IR"/>
        </w:rPr>
        <w:t xml:space="preserve"> لَهَا أَيَّامٌ مَعْلُومَةٌ ، مِنْ قَلِيلٍ أَوْ كَثِيرٍ ، فَهِيَ عَلى أَيَّامِهَا وَخَلْقِهَا الَّذِي </w:t>
      </w:r>
      <w:r w:rsidRPr="007C12DB">
        <w:rPr>
          <w:rStyle w:val="libFootnotenumChar"/>
          <w:rtl/>
        </w:rPr>
        <w:t>(2)</w:t>
      </w:r>
      <w:r w:rsidRPr="005D642E">
        <w:rPr>
          <w:rtl/>
          <w:lang w:bidi="fa-IR"/>
        </w:rPr>
        <w:t xml:space="preserve"> جَرَتْ عَلَيْهِ </w:t>
      </w:r>
      <w:r w:rsidRPr="007C12DB">
        <w:rPr>
          <w:rStyle w:val="libFootnotenumChar"/>
          <w:rtl/>
        </w:rPr>
        <w:t>(3)</w:t>
      </w:r>
      <w:r w:rsidRPr="005D642E">
        <w:rPr>
          <w:rtl/>
          <w:lang w:bidi="fa-IR"/>
        </w:rPr>
        <w:t xml:space="preserve"> ، لَيْسَ فِيهِ عَدَدٌ مَعْلُومٌ مُوَقَّتٌ غَيْرُ أَيَّامِهَا ، فَإِنِ </w:t>
      </w:r>
      <w:r w:rsidRPr="007C12DB">
        <w:rPr>
          <w:rStyle w:val="libFootnotenumChar"/>
          <w:rtl/>
        </w:rPr>
        <w:t>(4)</w:t>
      </w:r>
      <w:r w:rsidRPr="005D642E">
        <w:rPr>
          <w:rtl/>
          <w:lang w:bidi="fa-IR"/>
        </w:rPr>
        <w:t xml:space="preserve"> اخْتَلَطَتِ الْأَيَّامُ عَلَيْهَا ، وَتَقَدَّمَتْ وَتَأَخَّرَتْ ، وَتَغَيَّرَ عَلَيْهَا الدَّمُ أَلْوَاناً ، فَسُنَّتُهَا إِقْبَالُ الدَّمِ وَإِدْبَارُهُ وَتَغَيُّرُ حَالَاتِهِ ، وَإِنْ لَمْ تَكُنْ </w:t>
      </w:r>
      <w:r w:rsidRPr="007C12DB">
        <w:rPr>
          <w:rStyle w:val="libFootnotenumChar"/>
          <w:rtl/>
        </w:rPr>
        <w:t>(5)</w:t>
      </w:r>
      <w:r w:rsidRPr="005D642E">
        <w:rPr>
          <w:rtl/>
          <w:lang w:bidi="fa-IR"/>
        </w:rPr>
        <w:t xml:space="preserve"> لَهَا أَيَّامٌ قَبْلَ ذلِكَ ، وَاسْتَحَاضَتْ </w:t>
      </w:r>
      <w:r w:rsidRPr="007C12DB">
        <w:rPr>
          <w:rStyle w:val="libFootnotenumChar"/>
          <w:rtl/>
        </w:rPr>
        <w:t>(6)</w:t>
      </w:r>
      <w:r w:rsidRPr="005D642E">
        <w:rPr>
          <w:rtl/>
          <w:lang w:bidi="fa-IR"/>
        </w:rPr>
        <w:t xml:space="preserve"> أَوَّلَ مَا رَأَتْ ، فَوَقْتُهَا </w:t>
      </w:r>
      <w:r w:rsidRPr="007C12DB">
        <w:rPr>
          <w:rStyle w:val="libFootnotenumChar"/>
          <w:rtl/>
        </w:rPr>
        <w:t>(7)</w:t>
      </w:r>
      <w:r w:rsidRPr="005D642E">
        <w:rPr>
          <w:rtl/>
          <w:lang w:bidi="fa-IR"/>
        </w:rPr>
        <w:t xml:space="preserve"> سَبْعٌ ، وَطُهْرُهَا ثَلَاثٌ وَعِشْرُونَ ، فَإِنِ اسْتَمَرَّ </w:t>
      </w:r>
      <w:r w:rsidRPr="007C12DB">
        <w:rPr>
          <w:rStyle w:val="libFootnotenumChar"/>
          <w:rtl/>
        </w:rPr>
        <w:t>(8)</w:t>
      </w:r>
      <w:r w:rsidRPr="005D642E">
        <w:rPr>
          <w:rtl/>
          <w:lang w:bidi="fa-IR"/>
        </w:rPr>
        <w:t xml:space="preserve"> بِهَا </w:t>
      </w:r>
      <w:r w:rsidRPr="007C12DB">
        <w:rPr>
          <w:rStyle w:val="libFootnotenumChar"/>
          <w:rtl/>
        </w:rPr>
        <w:t>(9)</w:t>
      </w:r>
      <w:r w:rsidRPr="005D642E">
        <w:rPr>
          <w:rtl/>
          <w:lang w:bidi="fa-IR"/>
        </w:rPr>
        <w:t xml:space="preserve"> الدَّمُ أَشْهُراً ، فَعَلَتْ فِي كُلِّ شَهْرٍ كَمَا قَالَ لَهَا ، فَإِنِ </w:t>
      </w:r>
      <w:r w:rsidRPr="007C12DB">
        <w:rPr>
          <w:rStyle w:val="libFootnotenumChar"/>
          <w:rtl/>
        </w:rPr>
        <w:t>(10)</w:t>
      </w:r>
      <w:r w:rsidRPr="005D642E">
        <w:rPr>
          <w:rtl/>
          <w:lang w:bidi="fa-IR"/>
        </w:rPr>
        <w:t xml:space="preserve"> انْقَطَعَ الدَّمُ فِي أَقَلَّ مِنْ سَبْعٍ ، أَوْ أَكْثَرَ مِنْ سَبْعٍ فَإِنَّهَا تَغْتَسِلُ سَاعَةَ تَرَى الطُّهْرَ وَتُصَلِّي </w:t>
      </w:r>
      <w:r w:rsidRPr="007C12DB">
        <w:rPr>
          <w:rStyle w:val="libFootnotenumChar"/>
          <w:rtl/>
        </w:rPr>
        <w:t>(11)</w:t>
      </w:r>
      <w:r w:rsidRPr="005D642E">
        <w:rPr>
          <w:rtl/>
          <w:lang w:bidi="fa-IR"/>
        </w:rPr>
        <w:t xml:space="preserve"> ، فَلَا تَزَالُ </w:t>
      </w:r>
      <w:r w:rsidRPr="007C12DB">
        <w:rPr>
          <w:rStyle w:val="libFootnotenumChar"/>
          <w:rtl/>
        </w:rPr>
        <w:t>(12)</w:t>
      </w:r>
      <w:r w:rsidRPr="005D642E">
        <w:rPr>
          <w:rtl/>
          <w:lang w:bidi="fa-IR"/>
        </w:rPr>
        <w:t xml:space="preserve"> كَذلِكَ حَتّى تَنْظُرَ مَا يَكُونُ فِي الشَّهْرِ الثَّانِي ، فَإِنِ انْقَطَعَ الدَّمُ لِوَقْتِهِ فِي الشَّهْرِ </w:t>
      </w:r>
      <w:r w:rsidRPr="007C12DB">
        <w:rPr>
          <w:rStyle w:val="libFootnotenumChar"/>
          <w:rtl/>
        </w:rPr>
        <w:t>(13)</w:t>
      </w:r>
      <w:r w:rsidRPr="005D642E">
        <w:rPr>
          <w:rtl/>
          <w:lang w:bidi="fa-IR"/>
        </w:rPr>
        <w:t xml:space="preserve"> الْأَوَّلِ سَوَاءً ، حَتّى تَوَالى </w:t>
      </w:r>
      <w:r w:rsidRPr="007C12DB">
        <w:rPr>
          <w:rStyle w:val="libFootnotenumChar"/>
          <w:rtl/>
        </w:rPr>
        <w:t>(14)</w:t>
      </w:r>
      <w:r w:rsidRPr="005D642E">
        <w:rPr>
          <w:rtl/>
          <w:lang w:bidi="fa-IR"/>
        </w:rPr>
        <w:t xml:space="preserve"> عَلَيْهَا حَيْضَتَانِ أَوْ ثَلَاثٌ ، فَقَدْ عُلِمَ الْآنَ أَنَّ ذلِكَ قَدْ صَارَ </w:t>
      </w:r>
      <w:r w:rsidRPr="007C12DB">
        <w:rPr>
          <w:rStyle w:val="libFootnotenumChar"/>
          <w:rtl/>
        </w:rPr>
        <w:t>(15)</w:t>
      </w:r>
      <w:r w:rsidRPr="005D642E">
        <w:rPr>
          <w:rtl/>
          <w:lang w:bidi="fa-IR"/>
        </w:rPr>
        <w:t xml:space="preserve"> لَهَا وَقْتاً وَخَلْقاً مَعْرُوفاً تَعْمَلُ عَلَيْهِ ، وَتَدَعُ مَا سِوَاهُ ، وَتَكُونُ </w:t>
      </w:r>
      <w:r w:rsidRPr="007C12DB">
        <w:rPr>
          <w:rStyle w:val="libFootnotenumChar"/>
          <w:rtl/>
        </w:rPr>
        <w:t>(16)</w:t>
      </w:r>
      <w:r w:rsidRPr="005D642E">
        <w:rPr>
          <w:rtl/>
          <w:lang w:bidi="fa-IR"/>
        </w:rPr>
        <w:t xml:space="preserve"> سُنَّتَهَا فِيمَا تَسْتَقْبِلُ </w:t>
      </w:r>
      <w:r w:rsidRPr="007C12DB">
        <w:rPr>
          <w:rStyle w:val="libFootnotenumChar"/>
          <w:rtl/>
        </w:rPr>
        <w:t>(17)</w:t>
      </w:r>
      <w:r w:rsidRPr="005D642E">
        <w:rPr>
          <w:rtl/>
          <w:lang w:bidi="fa-IR"/>
        </w:rPr>
        <w:t xml:space="preserve"> ، إِنِ اسْتَحَاضَتْ قَدْ صَارَتْ </w:t>
      </w:r>
      <w:r w:rsidRPr="007C12DB">
        <w:rPr>
          <w:rStyle w:val="libFootnotenumChar"/>
          <w:rtl/>
        </w:rPr>
        <w:t>(18)</w:t>
      </w:r>
      <w:r w:rsidRPr="005D642E">
        <w:rPr>
          <w:rtl/>
          <w:lang w:bidi="fa-IR"/>
        </w:rPr>
        <w:t xml:space="preserve"> سُنَّةً إِلى أَنْ تَجْلِسَ </w:t>
      </w:r>
      <w:r w:rsidRPr="007C12DB">
        <w:rPr>
          <w:rStyle w:val="libFootnotenumChar"/>
          <w:rtl/>
        </w:rPr>
        <w:t>(19)</w:t>
      </w:r>
      <w:r w:rsidRPr="005D642E">
        <w:rPr>
          <w:rtl/>
          <w:lang w:bidi="fa-IR"/>
        </w:rPr>
        <w:t xml:space="preserve"> أَقْرَاءَهَا ، وَإِنَّمَا‌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 « إن كان »</w:t>
      </w:r>
      <w:r w:rsidR="00E3253D">
        <w:rPr>
          <w:rtl/>
        </w:rPr>
        <w:t>.</w:t>
      </w:r>
      <w:r w:rsidR="00E3253D" w:rsidRPr="005D642E">
        <w:rPr>
          <w:rtl/>
        </w:rPr>
        <w:t xml:space="preserve"> وفي التهذيب : « وإن كانت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بح ، جح ، جس » والوسائل ، ح 2145 </w:t>
      </w:r>
      <w:r w:rsidR="00B60612" w:rsidRPr="00B60612">
        <w:rPr>
          <w:rStyle w:val="libFootnoteBoldChar"/>
          <w:rtl/>
        </w:rPr>
        <w:t>والتهذيب</w:t>
      </w:r>
      <w:r w:rsidR="00E3253D" w:rsidRPr="005D642E">
        <w:rPr>
          <w:rtl/>
        </w:rPr>
        <w:t xml:space="preserve"> : « وخلقتها التي »</w:t>
      </w:r>
      <w:r w:rsidR="00E3253D">
        <w:rPr>
          <w:rtl/>
        </w:rPr>
        <w:t>.</w:t>
      </w:r>
      <w:r w:rsidR="00E3253D" w:rsidRPr="005D642E">
        <w:rPr>
          <w:rtl/>
        </w:rPr>
        <w:t xml:space="preserve"> وفي « ى ، بخ » : « وخلقها التي »</w:t>
      </w:r>
      <w:r w:rsidR="00E3253D">
        <w:rPr>
          <w:rtl/>
        </w:rPr>
        <w:t>.</w:t>
      </w:r>
      <w:r w:rsidR="00E3253D" w:rsidRPr="005D642E">
        <w:rPr>
          <w:rtl/>
        </w:rPr>
        <w:t xml:space="preserve"> وفي « بث » : « وخلقتها الذي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 ى ، بث ، بح ، جح ، جس ، جن » والوسائل ، ح 2145 </w:t>
      </w:r>
      <w:r w:rsidR="00B60612" w:rsidRPr="00B60612">
        <w:rPr>
          <w:rStyle w:val="libFootnoteBoldChar"/>
          <w:rtl/>
        </w:rPr>
        <w:t>والتهذيب</w:t>
      </w:r>
      <w:r w:rsidR="00E3253D" w:rsidRPr="005D642E">
        <w:rPr>
          <w:rtl/>
        </w:rPr>
        <w:t xml:space="preserve"> : « عليها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بخ ، بس ، بف » وحاشية « بح » </w:t>
      </w:r>
      <w:r w:rsidR="000D749A" w:rsidRPr="000D749A">
        <w:rPr>
          <w:rStyle w:val="libFootnoteBoldChar"/>
          <w:rtl/>
        </w:rPr>
        <w:t>والوافي</w:t>
      </w:r>
      <w:r w:rsidR="00E3253D" w:rsidRPr="005D642E">
        <w:rPr>
          <w:rtl/>
        </w:rPr>
        <w:t xml:space="preserve"> : « وإن »</w:t>
      </w:r>
      <w:r w:rsidR="00E3253D">
        <w:rPr>
          <w:rtl/>
        </w:rPr>
        <w:t>.</w:t>
      </w:r>
      <w:r w:rsidR="00E3253D" w:rsidRPr="005D642E">
        <w:rPr>
          <w:rtl/>
        </w:rPr>
        <w:t xml:space="preserve"> وفي الوسائل ، ح 2145 : « إن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غ ، ى ، بث ، بح ، بخ ، بس ، بف ، جح ، جس ، جن » : « لم يكن »</w:t>
      </w:r>
      <w:r w:rsidR="00E3253D">
        <w:rPr>
          <w:rtl/>
        </w:rPr>
        <w:t>.</w:t>
      </w:r>
    </w:p>
    <w:tbl>
      <w:tblPr>
        <w:tblStyle w:val="TableGrid"/>
        <w:bidiVisual/>
        <w:tblW w:w="0" w:type="auto"/>
        <w:tblLook w:val="04A0" w:firstRow="1" w:lastRow="0" w:firstColumn="1" w:lastColumn="0" w:noHBand="0" w:noVBand="1"/>
      </w:tblPr>
      <w:tblGrid>
        <w:gridCol w:w="4006"/>
        <w:gridCol w:w="4006"/>
      </w:tblGrid>
      <w:tr w:rsidR="003076E1" w:rsidTr="003076E1">
        <w:tc>
          <w:tcPr>
            <w:tcW w:w="4006" w:type="dxa"/>
          </w:tcPr>
          <w:p w:rsidR="003076E1" w:rsidRDefault="003076E1" w:rsidP="00E3253D">
            <w:pPr>
              <w:pStyle w:val="libFootnote0"/>
              <w:rPr>
                <w:rStyle w:val="libFootnote0Char"/>
                <w:rtl/>
              </w:rPr>
            </w:pPr>
            <w:r w:rsidRPr="0042621E">
              <w:rPr>
                <w:rStyle w:val="libFootnote0Char"/>
                <w:rtl/>
              </w:rPr>
              <w:t>(6).</w:t>
            </w:r>
            <w:r w:rsidRPr="005D642E">
              <w:rPr>
                <w:rtl/>
              </w:rPr>
              <w:t xml:space="preserve"> في « بح ، جح » : « فاستحاضت »</w:t>
            </w:r>
            <w:r>
              <w:rPr>
                <w:rtl/>
              </w:rPr>
              <w:t>.</w:t>
            </w:r>
          </w:p>
        </w:tc>
        <w:tc>
          <w:tcPr>
            <w:tcW w:w="4006" w:type="dxa"/>
          </w:tcPr>
          <w:p w:rsidR="003076E1" w:rsidRDefault="003076E1" w:rsidP="003076E1">
            <w:pPr>
              <w:pStyle w:val="libFootnote0"/>
              <w:rPr>
                <w:rStyle w:val="libFootnote0Char"/>
                <w:rtl/>
              </w:rPr>
            </w:pPr>
            <w:r w:rsidRPr="0042621E">
              <w:rPr>
                <w:rStyle w:val="libFootnote0Char"/>
                <w:rtl/>
              </w:rPr>
              <w:t>(7).</w:t>
            </w:r>
            <w:r w:rsidRPr="005D642E">
              <w:rPr>
                <w:rtl/>
              </w:rPr>
              <w:t xml:space="preserve"> في«غ»:«وقتها»</w:t>
            </w:r>
            <w:r>
              <w:rPr>
                <w:rtl/>
              </w:rPr>
              <w:t>.</w:t>
            </w:r>
            <w:r w:rsidRPr="005D642E">
              <w:rPr>
                <w:rtl/>
              </w:rPr>
              <w:t>وفي«ى،جس»:«فوقها»</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 « واستمرّ » بدل « فإن استمرّ »</w:t>
      </w:r>
      <w:r w:rsidR="00E3253D">
        <w:rPr>
          <w:rtl/>
        </w:rPr>
        <w:t>.</w:t>
      </w:r>
      <w:r w:rsidR="00E3253D" w:rsidRPr="005D642E">
        <w:rPr>
          <w:rtl/>
        </w:rPr>
        <w:t xml:space="preserve"> وفي « بث ، بس ، بف ، جن » : « وإن استمرّ »</w:t>
      </w:r>
      <w:r w:rsidR="00E3253D">
        <w:rPr>
          <w:rtl/>
        </w:rPr>
        <w:t>.</w:t>
      </w:r>
    </w:p>
    <w:tbl>
      <w:tblPr>
        <w:tblStyle w:val="TableGrid"/>
        <w:bidiVisual/>
        <w:tblW w:w="0" w:type="auto"/>
        <w:tblLook w:val="04A0" w:firstRow="1" w:lastRow="0" w:firstColumn="1" w:lastColumn="0" w:noHBand="0" w:noVBand="1"/>
      </w:tblPr>
      <w:tblGrid>
        <w:gridCol w:w="4006"/>
        <w:gridCol w:w="4006"/>
      </w:tblGrid>
      <w:tr w:rsidR="00E24979" w:rsidTr="00E24979">
        <w:tc>
          <w:tcPr>
            <w:tcW w:w="4006" w:type="dxa"/>
          </w:tcPr>
          <w:p w:rsidR="00E24979" w:rsidRDefault="00E24979" w:rsidP="00E3253D">
            <w:pPr>
              <w:pStyle w:val="libFootnote0"/>
              <w:rPr>
                <w:rStyle w:val="libFootnote0Char"/>
                <w:rtl/>
                <w:lang w:bidi="fa-IR"/>
              </w:rPr>
            </w:pPr>
            <w:r w:rsidRPr="0042621E">
              <w:rPr>
                <w:rStyle w:val="libFootnote0Char"/>
                <w:rtl/>
              </w:rPr>
              <w:t>(9).</w:t>
            </w:r>
            <w:r w:rsidRPr="005D642E">
              <w:rPr>
                <w:rtl/>
              </w:rPr>
              <w:t xml:space="preserve"> في الوسائل ، ح 2159 :</w:t>
            </w:r>
            <w:r>
              <w:rPr>
                <w:rtl/>
              </w:rPr>
              <w:t xml:space="preserve"> - </w:t>
            </w:r>
            <w:r w:rsidRPr="005D642E">
              <w:rPr>
                <w:rtl/>
              </w:rPr>
              <w:t>« بها »</w:t>
            </w:r>
            <w:r>
              <w:rPr>
                <w:rtl/>
              </w:rPr>
              <w:t>.</w:t>
            </w:r>
          </w:p>
        </w:tc>
        <w:tc>
          <w:tcPr>
            <w:tcW w:w="4006" w:type="dxa"/>
          </w:tcPr>
          <w:p w:rsidR="00E24979" w:rsidRDefault="00E24979" w:rsidP="00E3253D">
            <w:pPr>
              <w:pStyle w:val="libFootnote0"/>
              <w:rPr>
                <w:rStyle w:val="libFootnote0Char"/>
                <w:rtl/>
                <w:lang w:bidi="fa-IR"/>
              </w:rPr>
            </w:pPr>
            <w:r w:rsidRPr="0042621E">
              <w:rPr>
                <w:rStyle w:val="libFootnote0Char"/>
                <w:rtl/>
              </w:rPr>
              <w:t>(10).</w:t>
            </w:r>
            <w:r w:rsidRPr="005D642E">
              <w:rPr>
                <w:rtl/>
              </w:rPr>
              <w:t xml:space="preserve"> في « ظ ، جح ، جس » : « وإن »</w:t>
            </w:r>
            <w:r>
              <w:rPr>
                <w:rtl/>
              </w:rPr>
              <w:t>.</w:t>
            </w:r>
          </w:p>
        </w:tc>
      </w:tr>
      <w:tr w:rsidR="00E24979" w:rsidTr="00E24979">
        <w:tc>
          <w:tcPr>
            <w:tcW w:w="4006" w:type="dxa"/>
          </w:tcPr>
          <w:p w:rsidR="00E24979" w:rsidRDefault="00E24979" w:rsidP="00E3253D">
            <w:pPr>
              <w:pStyle w:val="libFootnote0"/>
              <w:rPr>
                <w:rStyle w:val="libFootnote0Char"/>
                <w:rtl/>
                <w:lang w:bidi="fa-IR"/>
              </w:rPr>
            </w:pPr>
            <w:r w:rsidRPr="0042621E">
              <w:rPr>
                <w:rStyle w:val="libFootnote0Char"/>
                <w:rtl/>
              </w:rPr>
              <w:t>(11).</w:t>
            </w:r>
            <w:r w:rsidRPr="005D642E">
              <w:rPr>
                <w:rtl/>
              </w:rPr>
              <w:t xml:space="preserve"> في « ى » : « فتصلّي »</w:t>
            </w:r>
            <w:r>
              <w:rPr>
                <w:rtl/>
              </w:rPr>
              <w:t>.</w:t>
            </w:r>
          </w:p>
        </w:tc>
        <w:tc>
          <w:tcPr>
            <w:tcW w:w="4006" w:type="dxa"/>
          </w:tcPr>
          <w:p w:rsidR="00E24979" w:rsidRDefault="00E24979" w:rsidP="00E3253D">
            <w:pPr>
              <w:pStyle w:val="libFootnote0"/>
              <w:rPr>
                <w:rStyle w:val="libFootnote0Char"/>
                <w:rtl/>
                <w:lang w:bidi="fa-IR"/>
              </w:rPr>
            </w:pPr>
            <w:r w:rsidRPr="0042621E">
              <w:rPr>
                <w:rStyle w:val="libFootnote0Char"/>
                <w:rtl/>
              </w:rPr>
              <w:t>(12).</w:t>
            </w:r>
            <w:r w:rsidRPr="005D642E">
              <w:rPr>
                <w:rtl/>
              </w:rPr>
              <w:t xml:space="preserve"> في « جس » : « فلا يزال »</w:t>
            </w:r>
            <w:r>
              <w:rPr>
                <w:rtl/>
              </w:rPr>
              <w:t>.</w:t>
            </w:r>
          </w:p>
        </w:tc>
      </w:tr>
      <w:tr w:rsidR="00E24979" w:rsidTr="00E24979">
        <w:tc>
          <w:tcPr>
            <w:tcW w:w="4006" w:type="dxa"/>
          </w:tcPr>
          <w:p w:rsidR="00E24979" w:rsidRDefault="00E24979" w:rsidP="00E3253D">
            <w:pPr>
              <w:pStyle w:val="libFootnote0"/>
              <w:rPr>
                <w:rStyle w:val="libFootnote0Char"/>
                <w:rtl/>
                <w:lang w:bidi="fa-IR"/>
              </w:rPr>
            </w:pPr>
            <w:r w:rsidRPr="0042621E">
              <w:rPr>
                <w:rStyle w:val="libFootnote0Char"/>
                <w:rtl/>
              </w:rPr>
              <w:t>(13).</w:t>
            </w:r>
            <w:r w:rsidRPr="005D642E">
              <w:rPr>
                <w:rtl/>
              </w:rPr>
              <w:t xml:space="preserve"> في الوافي </w:t>
            </w:r>
            <w:r w:rsidRPr="00B60612">
              <w:rPr>
                <w:rStyle w:val="libFootnoteBoldChar"/>
                <w:rtl/>
              </w:rPr>
              <w:t>والتهذيب</w:t>
            </w:r>
            <w:r w:rsidRPr="005D642E">
              <w:rPr>
                <w:rtl/>
              </w:rPr>
              <w:t xml:space="preserve"> : « من الشهر »</w:t>
            </w:r>
            <w:r>
              <w:rPr>
                <w:rtl/>
              </w:rPr>
              <w:t>.</w:t>
            </w:r>
          </w:p>
        </w:tc>
        <w:tc>
          <w:tcPr>
            <w:tcW w:w="4006" w:type="dxa"/>
          </w:tcPr>
          <w:p w:rsidR="00E24979" w:rsidRDefault="00E24979" w:rsidP="00E3253D">
            <w:pPr>
              <w:pStyle w:val="libFootnote0"/>
              <w:rPr>
                <w:rStyle w:val="libFootnote0Char"/>
                <w:rtl/>
                <w:lang w:bidi="fa-IR"/>
              </w:rPr>
            </w:pPr>
            <w:r w:rsidRPr="0042621E">
              <w:rPr>
                <w:rStyle w:val="libFootnote0Char"/>
                <w:rtl/>
              </w:rPr>
              <w:t>(14).</w:t>
            </w:r>
            <w:r>
              <w:rPr>
                <w:rtl/>
              </w:rPr>
              <w:t xml:space="preserve"> </w:t>
            </w:r>
            <w:r w:rsidRPr="005D642E">
              <w:rPr>
                <w:rtl/>
              </w:rPr>
              <w:t>في التهذيب : « حتّى توالت »</w:t>
            </w:r>
            <w:r>
              <w:rPr>
                <w:rtl/>
              </w:rPr>
              <w:t>.</w:t>
            </w:r>
          </w:p>
        </w:tc>
      </w:tr>
      <w:tr w:rsidR="00E24979" w:rsidTr="00E24979">
        <w:tc>
          <w:tcPr>
            <w:tcW w:w="4006" w:type="dxa"/>
          </w:tcPr>
          <w:p w:rsidR="00E24979" w:rsidRDefault="00E24979" w:rsidP="00E3253D">
            <w:pPr>
              <w:pStyle w:val="libFootnote0"/>
              <w:rPr>
                <w:rStyle w:val="libFootnote0Char"/>
                <w:rtl/>
                <w:lang w:bidi="fa-IR"/>
              </w:rPr>
            </w:pPr>
            <w:r w:rsidRPr="0042621E">
              <w:rPr>
                <w:rStyle w:val="libFootnote0Char"/>
                <w:rtl/>
              </w:rPr>
              <w:t>(15).</w:t>
            </w:r>
            <w:r w:rsidRPr="005D642E">
              <w:rPr>
                <w:rtl/>
              </w:rPr>
              <w:t xml:space="preserve"> في « ظ » : « أنّ في ذلك صار »</w:t>
            </w:r>
            <w:r>
              <w:rPr>
                <w:rtl/>
              </w:rPr>
              <w:t>.</w:t>
            </w:r>
          </w:p>
        </w:tc>
        <w:tc>
          <w:tcPr>
            <w:tcW w:w="4006" w:type="dxa"/>
          </w:tcPr>
          <w:p w:rsidR="00E24979" w:rsidRDefault="00E24979" w:rsidP="00E3253D">
            <w:pPr>
              <w:pStyle w:val="libFootnote0"/>
              <w:rPr>
                <w:rStyle w:val="libFootnote0Char"/>
                <w:rtl/>
                <w:lang w:bidi="fa-IR"/>
              </w:rPr>
            </w:pPr>
            <w:r w:rsidRPr="005D642E">
              <w:rPr>
                <w:rtl/>
              </w:rPr>
              <w:t>(1</w:t>
            </w:r>
            <w:r>
              <w:rPr>
                <w:rtl/>
              </w:rPr>
              <w:t>6)</w:t>
            </w:r>
            <w:r w:rsidRPr="005D642E">
              <w:rPr>
                <w:rtl/>
              </w:rPr>
              <w:t xml:space="preserve"> في « جس ، جن » : « ويكون »</w:t>
            </w:r>
            <w:r>
              <w:rPr>
                <w:rtl/>
              </w:rPr>
              <w:t>.</w:t>
            </w:r>
          </w:p>
        </w:tc>
      </w:tr>
    </w:tbl>
    <w:p w:rsidR="00E3253D" w:rsidRPr="005D642E" w:rsidRDefault="00E3253D" w:rsidP="00E3253D">
      <w:pPr>
        <w:pStyle w:val="libFootnote0"/>
        <w:rPr>
          <w:rtl/>
          <w:lang w:bidi="fa-IR"/>
        </w:rPr>
      </w:pPr>
      <w:r w:rsidRPr="005D642E">
        <w:rPr>
          <w:rtl/>
        </w:rPr>
        <w:t>(1</w:t>
      </w:r>
      <w:r>
        <w:rPr>
          <w:rtl/>
        </w:rPr>
        <w:t>7)</w:t>
      </w:r>
      <w:r w:rsidRPr="005D642E">
        <w:rPr>
          <w:rtl/>
        </w:rPr>
        <w:t xml:space="preserve"> في « بح ، بس ، جح ، جس » </w:t>
      </w:r>
      <w:r w:rsidR="000D749A" w:rsidRPr="000D749A">
        <w:rPr>
          <w:rStyle w:val="libFootnoteBoldChar"/>
          <w:rtl/>
        </w:rPr>
        <w:t>والوافي</w:t>
      </w:r>
      <w:r w:rsidRPr="005D642E">
        <w:rPr>
          <w:rtl/>
        </w:rPr>
        <w:t xml:space="preserve"> </w:t>
      </w:r>
      <w:r w:rsidR="00B60612" w:rsidRPr="00B60612">
        <w:rPr>
          <w:rStyle w:val="libFootnoteBoldChar"/>
          <w:rtl/>
        </w:rPr>
        <w:t>والتهذيب</w:t>
      </w:r>
      <w:r w:rsidRPr="005D642E">
        <w:rPr>
          <w:rtl/>
        </w:rPr>
        <w:t xml:space="preserve"> : « يستقبل »</w:t>
      </w:r>
      <w:r>
        <w:rPr>
          <w:rtl/>
        </w:rPr>
        <w:t>.</w:t>
      </w:r>
    </w:p>
    <w:p w:rsidR="00E3253D" w:rsidRPr="005D642E" w:rsidRDefault="00E3253D" w:rsidP="00E3253D">
      <w:pPr>
        <w:pStyle w:val="libFootnote0"/>
        <w:rPr>
          <w:rtl/>
          <w:lang w:bidi="fa-IR"/>
        </w:rPr>
      </w:pPr>
      <w:r w:rsidRPr="005D642E">
        <w:rPr>
          <w:rtl/>
        </w:rPr>
        <w:t>(1</w:t>
      </w:r>
      <w:r>
        <w:rPr>
          <w:rtl/>
        </w:rPr>
        <w:t>8)</w:t>
      </w:r>
      <w:r w:rsidRPr="005D642E">
        <w:rPr>
          <w:rtl/>
        </w:rPr>
        <w:t xml:space="preserve"> في الوافي : « في بعض النسخ : فقد صارت »</w:t>
      </w:r>
      <w:r>
        <w:rPr>
          <w:rtl/>
        </w:rPr>
        <w:t>.</w:t>
      </w:r>
      <w:r w:rsidRPr="005D642E">
        <w:rPr>
          <w:rtl/>
        </w:rPr>
        <w:t xml:space="preserve"> وفي التهذيب : « فقد صار »</w:t>
      </w:r>
      <w:r>
        <w:rPr>
          <w:rtl/>
        </w:rPr>
        <w:t>.</w:t>
      </w:r>
    </w:p>
    <w:p w:rsidR="00E3253D" w:rsidRPr="005D642E" w:rsidRDefault="00E3253D" w:rsidP="00E3253D">
      <w:pPr>
        <w:pStyle w:val="libFootnote0"/>
        <w:rPr>
          <w:rtl/>
          <w:lang w:bidi="fa-IR"/>
        </w:rPr>
      </w:pPr>
      <w:r w:rsidRPr="005D642E">
        <w:rPr>
          <w:rtl/>
        </w:rPr>
        <w:t>(1</w:t>
      </w:r>
      <w:r>
        <w:rPr>
          <w:rtl/>
        </w:rPr>
        <w:t>9)</w:t>
      </w:r>
      <w:r w:rsidRPr="005D642E">
        <w:rPr>
          <w:rtl/>
        </w:rPr>
        <w:t xml:space="preserve"> هكذا في معظم النسخ التي قوبلت </w:t>
      </w:r>
      <w:r w:rsidR="000D749A" w:rsidRPr="000D749A">
        <w:rPr>
          <w:rStyle w:val="libFootnoteBoldChar"/>
          <w:rtl/>
        </w:rPr>
        <w:t>والوافي</w:t>
      </w:r>
      <w:r w:rsidRPr="005D642E">
        <w:rPr>
          <w:rtl/>
        </w:rPr>
        <w:t xml:space="preserve"> والوسائل ، ح 2156 </w:t>
      </w:r>
      <w:r w:rsidR="00B60612" w:rsidRPr="00B60612">
        <w:rPr>
          <w:rStyle w:val="libFootnoteBoldChar"/>
          <w:rtl/>
        </w:rPr>
        <w:t>والتهذيب</w:t>
      </w:r>
      <w:r w:rsidR="00591486">
        <w:rPr>
          <w:rtl/>
        </w:rPr>
        <w:t xml:space="preserve"> وفي « ى » والمطبوع : « أن تحبس</w:t>
      </w:r>
      <w:r w:rsidRPr="005D642E">
        <w:rPr>
          <w:rtl/>
        </w:rPr>
        <w:t>»</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جُعِلَ الْوَقْتُ أَنْ تَوَالى عَلَيْهَا حَيْضَتَانِ أَوْ ثَلَاثٌ ؛ لِقَوْلِ رَسُولِ اللهِ </w:t>
      </w:r>
      <w:r w:rsidR="0042621E" w:rsidRPr="0042621E">
        <w:rPr>
          <w:rStyle w:val="libAlaemChar"/>
          <w:rtl/>
        </w:rPr>
        <w:t>صلى‌الله‌عليه‌وآله</w:t>
      </w:r>
      <w:r w:rsidRPr="005D642E">
        <w:rPr>
          <w:rtl/>
          <w:lang w:bidi="fa-IR"/>
        </w:rPr>
        <w:t xml:space="preserve"> لِلَّتِي تَعْرِفُ أَيَّامَهَا :</w:t>
      </w:r>
      <w:r>
        <w:rPr>
          <w:rFonts w:hint="cs"/>
          <w:rtl/>
          <w:lang w:bidi="fa-IR"/>
        </w:rPr>
        <w:t xml:space="preserve"> </w:t>
      </w:r>
      <w:r w:rsidRPr="005D642E">
        <w:rPr>
          <w:rtl/>
          <w:lang w:bidi="fa-IR"/>
        </w:rPr>
        <w:t xml:space="preserve">« دَعِي الصَّلَاةَ أَيَّامَ أَقْرَائِكِ » فَعَلِمْنَا أَنَّهُ لَمْ يَجْعَلِ الْقُرْءَ الْوَاحِدَ سُنَّةً لَهَا ، فَيَقُولَ </w:t>
      </w:r>
      <w:r w:rsidRPr="007C12DB">
        <w:rPr>
          <w:rStyle w:val="libFootnotenumChar"/>
          <w:rtl/>
        </w:rPr>
        <w:t>(1)</w:t>
      </w:r>
      <w:r w:rsidRPr="005D642E">
        <w:rPr>
          <w:rtl/>
          <w:lang w:bidi="fa-IR"/>
        </w:rPr>
        <w:t xml:space="preserve"> : دَعِي الصَّلَاةَ أَيَّامَ قُرْئِكِ </w:t>
      </w:r>
      <w:r w:rsidRPr="007C12DB">
        <w:rPr>
          <w:rStyle w:val="libFootnotenumChar"/>
          <w:rtl/>
        </w:rPr>
        <w:t>(2)</w:t>
      </w:r>
      <w:r w:rsidRPr="005D642E">
        <w:rPr>
          <w:rtl/>
          <w:lang w:bidi="fa-IR"/>
        </w:rPr>
        <w:t xml:space="preserve"> ، وَلكِنْ سَنَّ </w:t>
      </w:r>
      <w:r w:rsidRPr="007C12DB">
        <w:rPr>
          <w:rStyle w:val="libFootnotenumChar"/>
          <w:rtl/>
        </w:rPr>
        <w:t>(3)</w:t>
      </w:r>
      <w:r w:rsidRPr="005D642E">
        <w:rPr>
          <w:rtl/>
          <w:lang w:bidi="fa-IR"/>
        </w:rPr>
        <w:t xml:space="preserve"> لَهَا الْأَقْرَاءَ ، وَأَدْنَاهُ </w:t>
      </w:r>
      <w:r w:rsidRPr="007C12DB">
        <w:rPr>
          <w:rStyle w:val="libFootnotenumChar"/>
          <w:rtl/>
        </w:rPr>
        <w:t>(4)</w:t>
      </w:r>
      <w:r w:rsidRPr="005D642E">
        <w:rPr>
          <w:rtl/>
          <w:lang w:bidi="fa-IR"/>
        </w:rPr>
        <w:t xml:space="preserve"> حَيْضَتَانِ فَصَاعِداً </w:t>
      </w:r>
      <w:r w:rsidRPr="007C12DB">
        <w:rPr>
          <w:rStyle w:val="libFootnotenumChar"/>
          <w:rtl/>
        </w:rPr>
        <w:t>(5)</w:t>
      </w:r>
      <w:r w:rsidRPr="005D642E">
        <w:rPr>
          <w:rtl/>
          <w:lang w:bidi="fa-IR"/>
        </w:rPr>
        <w:t xml:space="preserve"> ، وَإِنْ </w:t>
      </w:r>
      <w:r w:rsidRPr="007C12DB">
        <w:rPr>
          <w:rStyle w:val="libFootnotenumChar"/>
          <w:rtl/>
        </w:rPr>
        <w:t>(6)</w:t>
      </w:r>
      <w:r w:rsidRPr="005D642E">
        <w:rPr>
          <w:rtl/>
          <w:lang w:bidi="fa-IR"/>
        </w:rPr>
        <w:t xml:space="preserve"> اخْتَلَطَ عَلَيْهَا أَيَّامُهَا ، وَزَادَتْ وَنَقَصَتْ حَتّى لَا</w:t>
      </w:r>
      <w:r w:rsidR="00994D59">
        <w:rPr>
          <w:rFonts w:hint="cs"/>
          <w:rtl/>
          <w:lang w:bidi="fa-IR"/>
        </w:rPr>
        <w:t xml:space="preserve"> </w:t>
      </w:r>
      <w:r w:rsidRPr="005D642E">
        <w:rPr>
          <w:rtl/>
          <w:lang w:bidi="fa-IR"/>
        </w:rPr>
        <w:t xml:space="preserve">تَقِفَ مِنْهَا </w:t>
      </w:r>
      <w:r w:rsidRPr="007C12DB">
        <w:rPr>
          <w:rStyle w:val="libFootnotenumChar"/>
          <w:rtl/>
        </w:rPr>
        <w:t>(7)</w:t>
      </w:r>
      <w:r w:rsidRPr="005D642E">
        <w:rPr>
          <w:rtl/>
          <w:lang w:bidi="fa-IR"/>
        </w:rPr>
        <w:t xml:space="preserve"> عَلى حَدٍّ ، وَلَامِنَ الدَّمِ عَلى لَوْنٍ ، عَمِلَتْ </w:t>
      </w:r>
      <w:r w:rsidRPr="007C12DB">
        <w:rPr>
          <w:rStyle w:val="libFootnotenumChar"/>
          <w:rtl/>
        </w:rPr>
        <w:t>(8)</w:t>
      </w:r>
      <w:r w:rsidRPr="005D642E">
        <w:rPr>
          <w:rtl/>
          <w:lang w:bidi="fa-IR"/>
        </w:rPr>
        <w:t xml:space="preserve"> بِإِقْبَالِ الدَّمِ وَإِدْبَارِهِ ، وَلَيْسَ </w:t>
      </w:r>
      <w:r w:rsidRPr="007C12DB">
        <w:rPr>
          <w:rStyle w:val="libFootnotenumChar"/>
          <w:rtl/>
        </w:rPr>
        <w:t>(9)</w:t>
      </w:r>
      <w:r w:rsidRPr="005D642E">
        <w:rPr>
          <w:rtl/>
          <w:lang w:bidi="fa-IR"/>
        </w:rPr>
        <w:t xml:space="preserve"> لَهَا سُنَّةٌ غَيْرُ هذَا ؛ لِقَوْلِ رَسُولِ اللهِ </w:t>
      </w:r>
      <w:r w:rsidRPr="007C12DB">
        <w:rPr>
          <w:rStyle w:val="libFootnotenumChar"/>
          <w:rtl/>
        </w:rPr>
        <w:t>(10)</w:t>
      </w:r>
      <w:r w:rsidRPr="005D642E">
        <w:rPr>
          <w:rtl/>
          <w:lang w:bidi="fa-IR"/>
        </w:rPr>
        <w:t xml:space="preserve"> </w:t>
      </w:r>
      <w:r w:rsidR="0042621E" w:rsidRPr="0042621E">
        <w:rPr>
          <w:rStyle w:val="libAlaemChar"/>
          <w:rtl/>
        </w:rPr>
        <w:t>صلى‌الله‌عليه‌وآله</w:t>
      </w:r>
      <w:r w:rsidRPr="005D642E">
        <w:rPr>
          <w:rtl/>
          <w:lang w:bidi="fa-IR"/>
        </w:rPr>
        <w:t xml:space="preserve"> : « إِذَا أَقْبَلَتِ الْحَيْضَةُ فَدَعِي الصَّلَاةَ ، وَإِذَا </w:t>
      </w:r>
      <w:r w:rsidRPr="007C12DB">
        <w:rPr>
          <w:rStyle w:val="libFootnotenumChar"/>
          <w:rtl/>
        </w:rPr>
        <w:t>(11)</w:t>
      </w:r>
      <w:r w:rsidRPr="005D642E">
        <w:rPr>
          <w:rtl/>
          <w:lang w:bidi="fa-IR"/>
        </w:rPr>
        <w:t xml:space="preserve"> أَدْبَرَتْ فَاغْتَسِلِي » وَلِقَوْلِهِ : « إِنَّ دَمَ الْحَيْضِ أَسْوَدُ يُعْرَفُ » كَقَوْلِ أَبِي </w:t>
      </w:r>
      <w:r w:rsidRPr="00AC51C5">
        <w:rPr>
          <w:rStyle w:val="libAlaemChar"/>
          <w:rtl/>
        </w:rPr>
        <w:t>عليه‌السلام</w:t>
      </w:r>
      <w:r w:rsidRPr="005D642E">
        <w:rPr>
          <w:rtl/>
          <w:lang w:bidi="fa-IR"/>
        </w:rPr>
        <w:t xml:space="preserve"> </w:t>
      </w:r>
      <w:r w:rsidRPr="007C12DB">
        <w:rPr>
          <w:rStyle w:val="libFootnotenumChar"/>
          <w:rtl/>
        </w:rPr>
        <w:t>(12)</w:t>
      </w:r>
      <w:r w:rsidRPr="005D642E">
        <w:rPr>
          <w:rtl/>
          <w:lang w:bidi="fa-IR"/>
        </w:rPr>
        <w:t xml:space="preserve"> : « إِذَا رَأَيْتِ الدَّمَ </w:t>
      </w:r>
      <w:r w:rsidRPr="007C12DB">
        <w:rPr>
          <w:rStyle w:val="libFootnotenumChar"/>
          <w:rtl/>
        </w:rPr>
        <w:t>(13)</w:t>
      </w:r>
      <w:r w:rsidRPr="005D642E">
        <w:rPr>
          <w:rtl/>
          <w:lang w:bidi="fa-IR"/>
        </w:rPr>
        <w:t xml:space="preserve"> الْبَحْرَانِيَّ » فَإِنْ </w:t>
      </w:r>
      <w:r w:rsidRPr="007C12DB">
        <w:rPr>
          <w:rStyle w:val="libFootnotenumChar"/>
          <w:rtl/>
        </w:rPr>
        <w:t>(14)</w:t>
      </w:r>
      <w:r w:rsidRPr="005D642E">
        <w:rPr>
          <w:rtl/>
          <w:lang w:bidi="fa-IR"/>
        </w:rPr>
        <w:t xml:space="preserve"> لَمْ يَكُنِ الْأَمْرُ كَذلِكَ ، وَلكِنَّ الدَّمَ أَطْبَقَ عَلَيْهَا ، فَلَمْ تَزَلِ الاسْتِحَاضَةُ دَارَّةً </w:t>
      </w:r>
      <w:r w:rsidRPr="007C12DB">
        <w:rPr>
          <w:rStyle w:val="libFootnotenumChar"/>
          <w:rtl/>
        </w:rPr>
        <w:t>(15)</w:t>
      </w:r>
      <w:r w:rsidRPr="005D642E">
        <w:rPr>
          <w:rtl/>
          <w:lang w:bidi="fa-IR"/>
        </w:rPr>
        <w:t xml:space="preserve"> ، وَكَانَ الدَّمُ عَلى لَوْنٍ وَاحِدٍ ، وَحَالَةٍ </w:t>
      </w:r>
      <w:r w:rsidRPr="007C12DB">
        <w:rPr>
          <w:rStyle w:val="libFootnotenumChar"/>
          <w:rtl/>
        </w:rPr>
        <w:t>(16)</w:t>
      </w:r>
      <w:r w:rsidRPr="005D642E">
        <w:rPr>
          <w:rtl/>
          <w:lang w:bidi="fa-IR"/>
        </w:rPr>
        <w:t xml:space="preserve"> وَاحِدَةٍ ، فَسُنَّتُهَا السَّبْعُ وَالثَّلَاثُ وَالْعِشْرُونَ ؛ لِأَنَّ </w:t>
      </w:r>
      <w:r w:rsidRPr="007C12DB">
        <w:rPr>
          <w:rStyle w:val="libFootnotenumChar"/>
          <w:rtl/>
        </w:rPr>
        <w:t>(17)</w:t>
      </w:r>
      <w:r w:rsidRPr="005D642E">
        <w:rPr>
          <w:rtl/>
          <w:lang w:bidi="fa-IR"/>
        </w:rPr>
        <w:t xml:space="preserve"> قِصَّتَهَا كَقِصَّةِ </w:t>
      </w:r>
      <w:r w:rsidRPr="007C12DB">
        <w:rPr>
          <w:rStyle w:val="libFootnotenumChar"/>
          <w:rtl/>
        </w:rPr>
        <w:t>(18)</w:t>
      </w:r>
      <w:r w:rsidRPr="005D642E">
        <w:rPr>
          <w:rtl/>
          <w:lang w:bidi="fa-IR"/>
        </w:rPr>
        <w:t xml:space="preserve"> حَمْنَةَ </w:t>
      </w:r>
      <w:r w:rsidRPr="007C12DB">
        <w:rPr>
          <w:rStyle w:val="libFootnotenumChar"/>
          <w:rtl/>
        </w:rPr>
        <w:t>(19)</w:t>
      </w:r>
      <w:r w:rsidRPr="005D642E">
        <w:rPr>
          <w:rtl/>
          <w:lang w:bidi="fa-IR"/>
        </w:rPr>
        <w:t xml:space="preserve"> حِينَ قَالَتْ :</w:t>
      </w:r>
      <w:r>
        <w:rPr>
          <w:rFonts w:hint="cs"/>
          <w:rtl/>
          <w:lang w:bidi="fa-IR"/>
        </w:rPr>
        <w:t xml:space="preserve"> </w:t>
      </w:r>
      <w:r w:rsidRPr="005D642E">
        <w:rPr>
          <w:rtl/>
          <w:lang w:bidi="fa-IR"/>
        </w:rPr>
        <w:t>إِنِّي أَثُجُّهُ ثَجّاً »</w:t>
      </w:r>
      <w:r>
        <w:rPr>
          <w:rtl/>
          <w:lang w:bidi="fa-IR"/>
        </w:rPr>
        <w:t>.</w:t>
      </w:r>
      <w:r w:rsidRPr="005D642E">
        <w:rPr>
          <w:rtl/>
          <w:lang w:bidi="fa-IR"/>
        </w:rPr>
        <w:t xml:space="preserve"> </w:t>
      </w:r>
      <w:r w:rsidRPr="007C12DB">
        <w:rPr>
          <w:rStyle w:val="libFootnotenumChar"/>
          <w:rtl/>
        </w:rPr>
        <w:t>(20)</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94D59" w:rsidTr="00994D59">
        <w:tc>
          <w:tcPr>
            <w:tcW w:w="4006" w:type="dxa"/>
          </w:tcPr>
          <w:p w:rsidR="00994D59" w:rsidRDefault="00994D59" w:rsidP="00E3253D">
            <w:pPr>
              <w:pStyle w:val="libFootnote0"/>
              <w:rPr>
                <w:rStyle w:val="libFootnote0Char"/>
                <w:rtl/>
              </w:rPr>
            </w:pPr>
            <w:r w:rsidRPr="0042621E">
              <w:rPr>
                <w:rStyle w:val="libFootnote0Char"/>
                <w:rtl/>
              </w:rPr>
              <w:t>(1).</w:t>
            </w:r>
            <w:r>
              <w:rPr>
                <w:rtl/>
              </w:rPr>
              <w:t xml:space="preserve"> </w:t>
            </w:r>
            <w:r w:rsidRPr="005D642E">
              <w:rPr>
                <w:rtl/>
              </w:rPr>
              <w:t>في « بح ، بخ ، جس ، جن » : + « لها »</w:t>
            </w:r>
            <w:r>
              <w:rPr>
                <w:rtl/>
              </w:rPr>
              <w:t>.</w:t>
            </w:r>
          </w:p>
        </w:tc>
        <w:tc>
          <w:tcPr>
            <w:tcW w:w="4006" w:type="dxa"/>
          </w:tcPr>
          <w:p w:rsidR="00994D59" w:rsidRDefault="00994D59" w:rsidP="00E3253D">
            <w:pPr>
              <w:pStyle w:val="libFootnote0"/>
              <w:rPr>
                <w:rStyle w:val="libFootnote0Char"/>
                <w:rtl/>
              </w:rPr>
            </w:pPr>
            <w:r w:rsidRPr="0042621E">
              <w:rPr>
                <w:rStyle w:val="libFootnote0Char"/>
                <w:rtl/>
              </w:rPr>
              <w:t>(2).</w:t>
            </w:r>
            <w:r w:rsidRPr="005D642E">
              <w:rPr>
                <w:rtl/>
              </w:rPr>
              <w:t xml:space="preserve"> في « بث » : « قراك »</w:t>
            </w:r>
            <w:r>
              <w:rPr>
                <w:rtl/>
              </w:rPr>
              <w:t>.</w:t>
            </w:r>
          </w:p>
        </w:tc>
      </w:tr>
      <w:tr w:rsidR="00994D59" w:rsidTr="00994D59">
        <w:tc>
          <w:tcPr>
            <w:tcW w:w="4006" w:type="dxa"/>
          </w:tcPr>
          <w:p w:rsidR="00994D59" w:rsidRDefault="00994D59" w:rsidP="00E3253D">
            <w:pPr>
              <w:pStyle w:val="libFootnote0"/>
              <w:rPr>
                <w:rStyle w:val="libFootnote0Char"/>
                <w:rtl/>
              </w:rPr>
            </w:pPr>
            <w:r w:rsidRPr="0042621E">
              <w:rPr>
                <w:rStyle w:val="libFootnote0Char"/>
                <w:rtl/>
              </w:rPr>
              <w:t>(3).</w:t>
            </w:r>
            <w:r w:rsidRPr="005D642E">
              <w:rPr>
                <w:rtl/>
              </w:rPr>
              <w:t xml:space="preserve"> في « جس » </w:t>
            </w:r>
            <w:r w:rsidRPr="00B60612">
              <w:rPr>
                <w:rStyle w:val="libFootnoteBoldChar"/>
                <w:rtl/>
              </w:rPr>
              <w:t>والتهذيب</w:t>
            </w:r>
            <w:r w:rsidRPr="005D642E">
              <w:rPr>
                <w:rtl/>
              </w:rPr>
              <w:t xml:space="preserve"> : « بيّن »</w:t>
            </w:r>
            <w:r>
              <w:rPr>
                <w:rtl/>
              </w:rPr>
              <w:t>.</w:t>
            </w:r>
          </w:p>
        </w:tc>
        <w:tc>
          <w:tcPr>
            <w:tcW w:w="4006" w:type="dxa"/>
          </w:tcPr>
          <w:p w:rsidR="00994D59" w:rsidRDefault="00994D59" w:rsidP="00E3253D">
            <w:pPr>
              <w:pStyle w:val="libFootnote0"/>
              <w:rPr>
                <w:rStyle w:val="libFootnote0Char"/>
                <w:rtl/>
              </w:rPr>
            </w:pPr>
            <w:r w:rsidRPr="0042621E">
              <w:rPr>
                <w:rStyle w:val="libFootnote0Char"/>
                <w:rtl/>
              </w:rPr>
              <w:t>(4).</w:t>
            </w:r>
            <w:r w:rsidRPr="005D642E">
              <w:rPr>
                <w:rtl/>
              </w:rPr>
              <w:t xml:space="preserve"> في التهذيب : « فأدناه »</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قوله : حيضتان فصاعداً</w:t>
      </w:r>
      <w:r w:rsidR="00994D59">
        <w:rPr>
          <w:rtl/>
        </w:rPr>
        <w:t xml:space="preserve"> ، يدلّ على أنّ الجمع اثنان إل</w:t>
      </w:r>
      <w:r w:rsidR="00994D59">
        <w:rPr>
          <w:rFonts w:hint="cs"/>
          <w:rtl/>
        </w:rPr>
        <w:t>ّ</w:t>
      </w:r>
      <w:r w:rsidR="00994D59">
        <w:rPr>
          <w:rtl/>
        </w:rPr>
        <w:t>ا</w:t>
      </w:r>
      <w:r w:rsidR="00E3253D">
        <w:rPr>
          <w:rFonts w:hint="cs"/>
          <w:rtl/>
        </w:rPr>
        <w:t xml:space="preserve"> </w:t>
      </w:r>
      <w:r w:rsidR="00E3253D" w:rsidRPr="005D642E">
        <w:rPr>
          <w:rtl/>
        </w:rPr>
        <w:t>أن يقال : الغرض نفي الاعتداد بواحد وأمّا الاثنان فقد علم من خارج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 « وإذا »</w:t>
      </w:r>
      <w:r w:rsidR="00E3253D">
        <w:rPr>
          <w:rtl/>
        </w:rPr>
        <w:t>.</w:t>
      </w:r>
      <w:r w:rsidR="00E3253D" w:rsidRPr="005D642E">
        <w:rPr>
          <w:rtl/>
        </w:rPr>
        <w:t xml:space="preserve"> وفي التهذيب : « فإن »</w:t>
      </w:r>
      <w:r w:rsidR="00E3253D">
        <w:rPr>
          <w:rtl/>
        </w:rPr>
        <w:t>.</w:t>
      </w:r>
    </w:p>
    <w:tbl>
      <w:tblPr>
        <w:tblStyle w:val="TableGrid"/>
        <w:bidiVisual/>
        <w:tblW w:w="0" w:type="auto"/>
        <w:tblLook w:val="04A0" w:firstRow="1" w:lastRow="0" w:firstColumn="1" w:lastColumn="0" w:noHBand="0" w:noVBand="1"/>
      </w:tblPr>
      <w:tblGrid>
        <w:gridCol w:w="4006"/>
        <w:gridCol w:w="4006"/>
      </w:tblGrid>
      <w:tr w:rsidR="00994D59" w:rsidTr="00994D59">
        <w:tc>
          <w:tcPr>
            <w:tcW w:w="4006" w:type="dxa"/>
          </w:tcPr>
          <w:p w:rsidR="00994D59" w:rsidRDefault="00994D59" w:rsidP="00E3253D">
            <w:pPr>
              <w:pStyle w:val="libFootnote0"/>
              <w:rPr>
                <w:rStyle w:val="libFootnote0Char"/>
                <w:rtl/>
              </w:rPr>
            </w:pPr>
            <w:r w:rsidRPr="0042621E">
              <w:rPr>
                <w:rStyle w:val="libFootnote0Char"/>
                <w:rtl/>
              </w:rPr>
              <w:t>(7).</w:t>
            </w:r>
            <w:r w:rsidRPr="005D642E">
              <w:rPr>
                <w:rtl/>
              </w:rPr>
              <w:t xml:space="preserve"> في « غ ، جن » : « عنها »</w:t>
            </w:r>
            <w:r>
              <w:rPr>
                <w:rtl/>
              </w:rPr>
              <w:t>.</w:t>
            </w:r>
          </w:p>
        </w:tc>
        <w:tc>
          <w:tcPr>
            <w:tcW w:w="4006" w:type="dxa"/>
          </w:tcPr>
          <w:p w:rsidR="00994D59" w:rsidRDefault="00994D59" w:rsidP="00E3253D">
            <w:pPr>
              <w:pStyle w:val="libFootnote0"/>
              <w:rPr>
                <w:rStyle w:val="libFootnote0Char"/>
                <w:rtl/>
              </w:rPr>
            </w:pPr>
            <w:r w:rsidRPr="0042621E">
              <w:rPr>
                <w:rStyle w:val="libFootnote0Char"/>
                <w:rtl/>
              </w:rPr>
              <w:t>(8).</w:t>
            </w:r>
            <w:r w:rsidRPr="005D642E">
              <w:rPr>
                <w:rtl/>
              </w:rPr>
              <w:t xml:space="preserve"> في « بخ ، بس ، جس » : « علمت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غ ، بث ، بح ، بخ ، بس ، بف ، جس »</w:t>
      </w:r>
      <w:r w:rsidR="00E3253D" w:rsidRPr="00994D59">
        <w:rPr>
          <w:rtl/>
        </w:rPr>
        <w:t xml:space="preserve"> </w:t>
      </w:r>
      <w:r w:rsidR="000D749A" w:rsidRPr="00994D59">
        <w:rPr>
          <w:rtl/>
        </w:rPr>
        <w:t>والوافي</w:t>
      </w:r>
      <w:r w:rsidR="00E3253D" w:rsidRPr="005D642E">
        <w:rPr>
          <w:rtl/>
        </w:rPr>
        <w:t xml:space="preserve"> : « ليس » بدون الواو.</w:t>
      </w:r>
    </w:p>
    <w:tbl>
      <w:tblPr>
        <w:tblStyle w:val="TableGrid"/>
        <w:bidiVisual/>
        <w:tblW w:w="0" w:type="auto"/>
        <w:tblLook w:val="04A0" w:firstRow="1" w:lastRow="0" w:firstColumn="1" w:lastColumn="0" w:noHBand="0" w:noVBand="1"/>
      </w:tblPr>
      <w:tblGrid>
        <w:gridCol w:w="4006"/>
        <w:gridCol w:w="4006"/>
      </w:tblGrid>
      <w:tr w:rsidR="00994D59" w:rsidTr="00994D59">
        <w:tc>
          <w:tcPr>
            <w:tcW w:w="4006" w:type="dxa"/>
          </w:tcPr>
          <w:p w:rsidR="00994D59" w:rsidRDefault="00994D59" w:rsidP="00E3253D">
            <w:pPr>
              <w:pStyle w:val="libFootnote0"/>
              <w:rPr>
                <w:rStyle w:val="libFootnote0Char"/>
                <w:rtl/>
              </w:rPr>
            </w:pPr>
            <w:r w:rsidRPr="0042621E">
              <w:rPr>
                <w:rStyle w:val="libFootnote0Char"/>
                <w:rtl/>
              </w:rPr>
              <w:t>(10).</w:t>
            </w:r>
            <w:r w:rsidRPr="005D642E">
              <w:rPr>
                <w:rtl/>
              </w:rPr>
              <w:t xml:space="preserve"> في الوافي :</w:t>
            </w:r>
            <w:r>
              <w:rPr>
                <w:rtl/>
              </w:rPr>
              <w:t xml:space="preserve"> «لقوله» بدل «لقول رسول الله</w:t>
            </w:r>
            <w:r w:rsidRPr="005D642E">
              <w:rPr>
                <w:rtl/>
              </w:rPr>
              <w:t>»</w:t>
            </w:r>
            <w:r>
              <w:rPr>
                <w:rtl/>
              </w:rPr>
              <w:t>.</w:t>
            </w:r>
          </w:p>
        </w:tc>
        <w:tc>
          <w:tcPr>
            <w:tcW w:w="4006" w:type="dxa"/>
          </w:tcPr>
          <w:p w:rsidR="00994D59" w:rsidRDefault="00994D59" w:rsidP="00E3253D">
            <w:pPr>
              <w:pStyle w:val="libFootnote0"/>
              <w:rPr>
                <w:rStyle w:val="libFootnote0Char"/>
                <w:rtl/>
              </w:rPr>
            </w:pPr>
            <w:r w:rsidRPr="0042621E">
              <w:rPr>
                <w:rStyle w:val="libFootnote0Char"/>
                <w:rtl/>
              </w:rPr>
              <w:t>(11).</w:t>
            </w:r>
            <w:r w:rsidRPr="005D642E">
              <w:rPr>
                <w:rtl/>
              </w:rPr>
              <w:t xml:space="preserve"> في « غ » : « فإذا »</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بث ، جن » وحاشية « غ » : + « عبدالله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بث ، بخ ، بس ، جس » :</w:t>
      </w:r>
      <w:r w:rsidR="00E3253D">
        <w:rPr>
          <w:rtl/>
        </w:rPr>
        <w:t xml:space="preserve"> </w:t>
      </w:r>
      <w:r w:rsidR="007642BC">
        <w:rPr>
          <w:rtl/>
        </w:rPr>
        <w:t>-</w:t>
      </w:r>
      <w:r w:rsidR="00E3253D">
        <w:rPr>
          <w:rtl/>
        </w:rPr>
        <w:t xml:space="preserve"> </w:t>
      </w:r>
      <w:r w:rsidR="00E3253D" w:rsidRPr="005D642E">
        <w:rPr>
          <w:rtl/>
        </w:rPr>
        <w:t>« الدم »</w:t>
      </w:r>
      <w:r w:rsidR="00E3253D">
        <w:rPr>
          <w:rtl/>
        </w:rPr>
        <w:t>.</w:t>
      </w:r>
      <w:r w:rsidR="00E3253D" w:rsidRPr="005D642E">
        <w:rPr>
          <w:rtl/>
        </w:rPr>
        <w:t xml:space="preserve"> وفي « جن » : « دم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ى ، بخ ، بس ، بف ، جن » </w:t>
      </w:r>
      <w:r w:rsidR="000D749A" w:rsidRPr="000D749A">
        <w:rPr>
          <w:rStyle w:val="libFootnoteBoldChar"/>
          <w:rtl/>
        </w:rPr>
        <w:t>والوافي</w:t>
      </w:r>
      <w:r w:rsidR="00E3253D" w:rsidRPr="005D642E">
        <w:rPr>
          <w:rtl/>
        </w:rPr>
        <w:t xml:space="preserve"> : « وإن »</w:t>
      </w:r>
      <w:r w:rsidR="00E3253D">
        <w:rPr>
          <w:rtl/>
        </w:rPr>
        <w:t>.</w:t>
      </w:r>
    </w:p>
    <w:p w:rsidR="00E3253D" w:rsidRPr="005D642E" w:rsidRDefault="0042621E" w:rsidP="00994D59">
      <w:pPr>
        <w:pStyle w:val="libFootnote0"/>
        <w:rPr>
          <w:rtl/>
          <w:lang w:bidi="fa-IR"/>
        </w:rPr>
      </w:pPr>
      <w:r w:rsidRPr="0042621E">
        <w:rPr>
          <w:rStyle w:val="libFootnote0Char"/>
          <w:rtl/>
        </w:rPr>
        <w:t>(15).</w:t>
      </w:r>
      <w:r w:rsidR="00E3253D">
        <w:rPr>
          <w:rtl/>
        </w:rPr>
        <w:t xml:space="preserve"> </w:t>
      </w:r>
      <w:r w:rsidR="00E3253D" w:rsidRPr="005D642E">
        <w:rPr>
          <w:rtl/>
        </w:rPr>
        <w:t xml:space="preserve">« دارّة » ، أي سائلة ، من الدَرّ وهو الصبّ والجريان والسيلان والكثرة. راجع : </w:t>
      </w:r>
      <w:r w:rsidR="00E3253D" w:rsidRPr="002F4D34">
        <w:rPr>
          <w:rStyle w:val="libFootnoteBoldChar"/>
          <w:rtl/>
        </w:rPr>
        <w:t>الصحاح</w:t>
      </w:r>
      <w:r w:rsidR="00E3253D" w:rsidRPr="005D642E">
        <w:rPr>
          <w:rtl/>
        </w:rPr>
        <w:t xml:space="preserve"> ، ج 2 ، ص 656 ؛ </w:t>
      </w:r>
      <w:r w:rsidR="00E3253D" w:rsidRPr="002F4D34">
        <w:rPr>
          <w:rStyle w:val="libFootnoteBoldChar"/>
          <w:rtl/>
        </w:rPr>
        <w:t>لسان‌العرب</w:t>
      </w:r>
      <w:r w:rsidR="00E3253D" w:rsidRPr="005D642E">
        <w:rPr>
          <w:rtl/>
        </w:rPr>
        <w:t xml:space="preserve"> ، ج 4 ، ص 280 ( درر )</w:t>
      </w:r>
      <w:r w:rsidR="00E3253D">
        <w:rPr>
          <w:rtl/>
        </w:rPr>
        <w:t>.</w:t>
      </w:r>
      <w:r w:rsidR="00994D59">
        <w:rPr>
          <w:rFonts w:hint="cs"/>
          <w:rtl/>
        </w:rPr>
        <w:t xml:space="preserve">               </w:t>
      </w:r>
      <w:r w:rsidR="00E3253D" w:rsidRPr="005D642E">
        <w:rPr>
          <w:rtl/>
        </w:rPr>
        <w:t>(1</w:t>
      </w:r>
      <w:r w:rsidR="00E3253D">
        <w:rPr>
          <w:rtl/>
        </w:rPr>
        <w:t>6)</w:t>
      </w:r>
      <w:r w:rsidR="00E3253D" w:rsidRPr="005D642E">
        <w:rPr>
          <w:rtl/>
        </w:rPr>
        <w:t xml:space="preserve"> في « جس </w:t>
      </w:r>
      <w:r w:rsidR="00E3253D" w:rsidRPr="00994D59">
        <w:rPr>
          <w:rtl/>
        </w:rPr>
        <w:t xml:space="preserve">» </w:t>
      </w:r>
      <w:r w:rsidR="00B60612" w:rsidRPr="00994D59">
        <w:rPr>
          <w:rtl/>
        </w:rPr>
        <w:t>والتهذيب</w:t>
      </w:r>
      <w:r w:rsidR="00E3253D" w:rsidRPr="005D642E">
        <w:rPr>
          <w:rtl/>
        </w:rPr>
        <w:t xml:space="preserve"> : « حال »</w:t>
      </w:r>
      <w:r w:rsidR="00E3253D">
        <w:rPr>
          <w:rtl/>
        </w:rPr>
        <w:t>.</w:t>
      </w:r>
    </w:p>
    <w:p w:rsidR="00E3253D" w:rsidRPr="005D642E" w:rsidRDefault="00E3253D" w:rsidP="00E3253D">
      <w:pPr>
        <w:pStyle w:val="libFootnote0"/>
        <w:rPr>
          <w:rtl/>
          <w:lang w:bidi="fa-IR"/>
        </w:rPr>
      </w:pPr>
      <w:r w:rsidRPr="005D642E">
        <w:rPr>
          <w:rtl/>
        </w:rPr>
        <w:t>(1</w:t>
      </w:r>
      <w:r>
        <w:rPr>
          <w:rtl/>
        </w:rPr>
        <w:t>7)</w:t>
      </w:r>
      <w:r w:rsidRPr="005D642E">
        <w:rPr>
          <w:rtl/>
        </w:rPr>
        <w:t xml:space="preserve"> هكذا في جميع النسخ التي قوبلت </w:t>
      </w:r>
      <w:r w:rsidR="000D749A" w:rsidRPr="000D749A">
        <w:rPr>
          <w:rStyle w:val="libFootnoteBoldChar"/>
          <w:rtl/>
        </w:rPr>
        <w:t>والوافي</w:t>
      </w:r>
      <w:r w:rsidRPr="005D642E">
        <w:rPr>
          <w:rtl/>
        </w:rPr>
        <w:t xml:space="preserve"> والوسائل ، ح 2159 </w:t>
      </w:r>
      <w:r w:rsidR="00B60612" w:rsidRPr="00B60612">
        <w:rPr>
          <w:rStyle w:val="libFootnoteBoldChar"/>
          <w:rtl/>
        </w:rPr>
        <w:t>والتهذيب</w:t>
      </w:r>
      <w:r w:rsidRPr="005D642E">
        <w:rPr>
          <w:rtl/>
        </w:rPr>
        <w:t>. وفي المطبوع : « لأنّها »</w:t>
      </w:r>
      <w:r>
        <w:rPr>
          <w:rtl/>
        </w:rPr>
        <w:t>.</w:t>
      </w:r>
    </w:p>
    <w:tbl>
      <w:tblPr>
        <w:tblStyle w:val="TableGrid"/>
        <w:bidiVisual/>
        <w:tblW w:w="0" w:type="auto"/>
        <w:tblLook w:val="04A0" w:firstRow="1" w:lastRow="0" w:firstColumn="1" w:lastColumn="0" w:noHBand="0" w:noVBand="1"/>
      </w:tblPr>
      <w:tblGrid>
        <w:gridCol w:w="4006"/>
        <w:gridCol w:w="4006"/>
      </w:tblGrid>
      <w:tr w:rsidR="00994D59" w:rsidTr="00994D59">
        <w:tc>
          <w:tcPr>
            <w:tcW w:w="4006" w:type="dxa"/>
          </w:tcPr>
          <w:p w:rsidR="00994D59" w:rsidRDefault="00994D59" w:rsidP="00E3253D">
            <w:pPr>
              <w:pStyle w:val="libFootnote0"/>
              <w:rPr>
                <w:rtl/>
              </w:rPr>
            </w:pPr>
            <w:r w:rsidRPr="005D642E">
              <w:rPr>
                <w:rtl/>
              </w:rPr>
              <w:t>(1</w:t>
            </w:r>
            <w:r>
              <w:rPr>
                <w:rtl/>
              </w:rPr>
              <w:t>8)</w:t>
            </w:r>
            <w:r w:rsidRPr="005D642E">
              <w:rPr>
                <w:rtl/>
              </w:rPr>
              <w:t xml:space="preserve"> في « جن » </w:t>
            </w:r>
            <w:r w:rsidRPr="00B60612">
              <w:rPr>
                <w:rStyle w:val="libFootnoteBoldChar"/>
                <w:rtl/>
              </w:rPr>
              <w:t>والتهذيب</w:t>
            </w:r>
            <w:r w:rsidRPr="005D642E">
              <w:rPr>
                <w:rtl/>
              </w:rPr>
              <w:t xml:space="preserve"> : « قصّة »</w:t>
            </w:r>
            <w:r>
              <w:rPr>
                <w:rtl/>
              </w:rPr>
              <w:t>.</w:t>
            </w:r>
          </w:p>
        </w:tc>
        <w:tc>
          <w:tcPr>
            <w:tcW w:w="4006" w:type="dxa"/>
          </w:tcPr>
          <w:p w:rsidR="00994D59" w:rsidRDefault="00994D59" w:rsidP="00E3253D">
            <w:pPr>
              <w:pStyle w:val="libFootnote0"/>
              <w:rPr>
                <w:rtl/>
              </w:rPr>
            </w:pPr>
            <w:r w:rsidRPr="005D642E">
              <w:rPr>
                <w:rtl/>
              </w:rPr>
              <w:t>(1</w:t>
            </w:r>
            <w:r>
              <w:rPr>
                <w:rtl/>
              </w:rPr>
              <w:t>9)</w:t>
            </w:r>
            <w:r w:rsidRPr="005D642E">
              <w:rPr>
                <w:rtl/>
              </w:rPr>
              <w:t xml:space="preserve"> في « بخ » : « حميه »</w:t>
            </w:r>
            <w:r>
              <w:rPr>
                <w:rtl/>
              </w:rPr>
              <w:t>.</w:t>
            </w:r>
          </w:p>
        </w:tc>
      </w:tr>
    </w:tbl>
    <w:p w:rsidR="00E3253D" w:rsidRPr="005D642E" w:rsidRDefault="00E3253D" w:rsidP="00E3253D">
      <w:pPr>
        <w:pStyle w:val="libFootnote0"/>
        <w:rPr>
          <w:rtl/>
          <w:lang w:bidi="fa-IR"/>
        </w:rPr>
      </w:pPr>
      <w:r>
        <w:rPr>
          <w:rtl/>
        </w:rPr>
        <w:t>(20)</w:t>
      </w:r>
      <w:r w:rsidRPr="005D642E">
        <w:rPr>
          <w:rtl/>
        </w:rPr>
        <w:t xml:space="preserve"> </w:t>
      </w:r>
      <w:r w:rsidRPr="002F4D34">
        <w:rPr>
          <w:rStyle w:val="libFootnoteBoldChar"/>
          <w:rtl/>
        </w:rPr>
        <w:t>التهذيب</w:t>
      </w:r>
      <w:r w:rsidRPr="005D642E">
        <w:rPr>
          <w:rtl/>
        </w:rPr>
        <w:t xml:space="preserve"> ، ج 1 ، ص 381 ، ح 1183 ، معلّقاً عن عليّ بن إبراهيم </w:t>
      </w:r>
      <w:r w:rsidR="00994D59" w:rsidRPr="00994D59">
        <w:rPr>
          <w:rStyle w:val="libFootnoteBoldChar"/>
          <w:rFonts w:hint="cs"/>
          <w:rtl/>
        </w:rPr>
        <w:t>.</w:t>
      </w:r>
      <w:r w:rsidRPr="00994D59">
        <w:rPr>
          <w:rStyle w:val="libFootnoteBoldChar"/>
          <w:rtl/>
        </w:rPr>
        <w:t>الوافي</w:t>
      </w:r>
      <w:r w:rsidRPr="005D642E">
        <w:rPr>
          <w:rtl/>
        </w:rPr>
        <w:t xml:space="preserve"> ، ج 6 ، ص 455 ، ح 4692 ؛ </w:t>
      </w:r>
      <w:r w:rsidRPr="002F4D34">
        <w:rPr>
          <w:rStyle w:val="libFootnoteBoldChar"/>
          <w:rtl/>
        </w:rPr>
        <w:t>الوسائل</w:t>
      </w:r>
      <w:r w:rsidRPr="005D642E">
        <w:rPr>
          <w:rtl/>
        </w:rPr>
        <w:t xml:space="preserve"> ، </w:t>
      </w:r>
      <w:r w:rsidR="00994D5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A25AA">
        <w:rPr>
          <w:rtl/>
        </w:rPr>
        <w:lastRenderedPageBreak/>
        <w:t>4181</w:t>
      </w:r>
      <w:r w:rsidRPr="00246318">
        <w:rPr>
          <w:rStyle w:val="libBold2Char"/>
          <w:rtl/>
        </w:rPr>
        <w:t xml:space="preserve"> / 2.</w:t>
      </w:r>
      <w:r w:rsidRPr="005D642E">
        <w:rPr>
          <w:rtl/>
          <w:lang w:bidi="fa-IR"/>
        </w:rPr>
        <w:t xml:space="preserve"> مُحَمَّدُ بْنُ إِسْمَاعِيلَ ، عَنِ الْفَضْلِ بْنِ شَاذَانَ ، عَنْ حَمَّادِ بْنِ عِيسى وَابْنِ أَبِي عُمَيْرٍ ، عَنْ مُعَاوِيَةَ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الْمُسْتَحَاضَةُ تَنْظُرُ أَيَّامَهَا ، فَلَا تُصَلِّي </w:t>
      </w:r>
      <w:r w:rsidRPr="007C12DB">
        <w:rPr>
          <w:rStyle w:val="libFootnotenumChar"/>
          <w:rtl/>
        </w:rPr>
        <w:t>(1)</w:t>
      </w:r>
      <w:r w:rsidRPr="005D642E">
        <w:rPr>
          <w:rtl/>
          <w:lang w:bidi="fa-IR"/>
        </w:rPr>
        <w:t xml:space="preserve"> فِيهَا ، وَلَايَقْرَبْهَا بَعْلُهَا ، فَإِذَا </w:t>
      </w:r>
      <w:r w:rsidRPr="007C12DB">
        <w:rPr>
          <w:rStyle w:val="libFootnotenumChar"/>
          <w:rtl/>
        </w:rPr>
        <w:t>(2)</w:t>
      </w:r>
      <w:r w:rsidRPr="005D642E">
        <w:rPr>
          <w:rtl/>
          <w:lang w:bidi="fa-IR"/>
        </w:rPr>
        <w:t xml:space="preserve"> جَازَتْ أَيَّامُهَا ، وَرَأَتِ الدَّمَ يَثْقُبُ الْكُرْسُفَ ، اغْتَسَلَتْ لِلظُّهْرِ وَالْعَصْرِ ، تُؤَخِّرُ هذِهِ وَتُعَجِّلُ هذِهِ ، وَلِلْمَغْرِبِ </w:t>
      </w:r>
      <w:r w:rsidRPr="007C12DB">
        <w:rPr>
          <w:rStyle w:val="libFootnotenumChar"/>
          <w:rtl/>
        </w:rPr>
        <w:t>(3)</w:t>
      </w:r>
      <w:r w:rsidRPr="005D642E">
        <w:rPr>
          <w:rtl/>
          <w:lang w:bidi="fa-IR"/>
        </w:rPr>
        <w:t xml:space="preserve"> وَالْعِشَاءِ </w:t>
      </w:r>
      <w:r w:rsidRPr="007C12DB">
        <w:rPr>
          <w:rStyle w:val="libFootnotenumChar"/>
          <w:rtl/>
        </w:rPr>
        <w:t>(4)</w:t>
      </w:r>
      <w:r w:rsidRPr="005D642E">
        <w:rPr>
          <w:rtl/>
          <w:lang w:bidi="fa-IR"/>
        </w:rPr>
        <w:t xml:space="preserve"> غُسْلاً ، تُؤَخِّرُ هذِهِ وَتُعَجِّلُ هذِهِ ، وَتَغْتَسِلُ لِلصُّبْحِ ، وَتَحْتَشِي </w:t>
      </w:r>
      <w:r w:rsidRPr="007C12DB">
        <w:rPr>
          <w:rStyle w:val="libFootnotenumChar"/>
          <w:rtl/>
        </w:rPr>
        <w:t>(5)</w:t>
      </w:r>
      <w:r w:rsidRPr="005D642E">
        <w:rPr>
          <w:rtl/>
          <w:lang w:bidi="fa-IR"/>
        </w:rPr>
        <w:t xml:space="preserve"> وَتَسْتَثْفِرُ </w:t>
      </w:r>
      <w:r w:rsidRPr="007C12DB">
        <w:rPr>
          <w:rStyle w:val="libFootnotenumChar"/>
          <w:rtl/>
        </w:rPr>
        <w:t>(6)</w:t>
      </w:r>
      <w:r w:rsidRPr="005D642E">
        <w:rPr>
          <w:rtl/>
          <w:lang w:bidi="fa-IR"/>
        </w:rPr>
        <w:t xml:space="preserve"> ، وَلَاتُحَنِّي </w:t>
      </w:r>
      <w:r w:rsidRPr="007C12DB">
        <w:rPr>
          <w:rStyle w:val="libFootnotenumChar"/>
          <w:rtl/>
        </w:rPr>
        <w:t>(7)</w:t>
      </w:r>
      <w:r w:rsidRPr="005D642E">
        <w:rPr>
          <w:rtl/>
          <w:lang w:bidi="fa-IR"/>
        </w:rPr>
        <w:t xml:space="preserve"> ، وَتَضُمُّ فَخِذَيْهَا فِي الْمَسْجِدِ ، وَسَائِرُ‌</w:t>
      </w:r>
    </w:p>
    <w:p w:rsidR="00E3253D" w:rsidRPr="005D642E" w:rsidRDefault="00E3253D" w:rsidP="00E3253D">
      <w:pPr>
        <w:pStyle w:val="libLine"/>
        <w:rPr>
          <w:rtl/>
          <w:lang w:bidi="fa-IR"/>
        </w:rPr>
      </w:pPr>
      <w:r w:rsidRPr="005D642E">
        <w:rPr>
          <w:rtl/>
          <w:lang w:bidi="fa-IR"/>
        </w:rPr>
        <w:t>__________________</w:t>
      </w:r>
    </w:p>
    <w:p w:rsidR="00E3253D" w:rsidRPr="005D642E" w:rsidRDefault="00994D59" w:rsidP="00E3253D">
      <w:pPr>
        <w:pStyle w:val="libFootnote0"/>
        <w:rPr>
          <w:rtl/>
          <w:lang w:bidi="fa-IR"/>
        </w:rPr>
      </w:pPr>
      <w:r>
        <w:rPr>
          <w:rFonts w:hint="cs"/>
          <w:rtl/>
        </w:rPr>
        <w:t xml:space="preserve">= </w:t>
      </w:r>
      <w:r w:rsidR="00E3253D" w:rsidRPr="005D642E">
        <w:rPr>
          <w:rtl/>
        </w:rPr>
        <w:t xml:space="preserve">ج 2 ، ص 276 ، ح 2135 ، إلى قوله : « إقبال الدم وإدباره وتغيّر حالاته » ؛ </w:t>
      </w:r>
      <w:r w:rsidR="00E3253D" w:rsidRPr="002F4D34">
        <w:rPr>
          <w:rStyle w:val="libFootnoteBoldChar"/>
          <w:rtl/>
        </w:rPr>
        <w:t>فيه</w:t>
      </w:r>
      <w:r w:rsidR="00E3253D" w:rsidRPr="005D642E">
        <w:rPr>
          <w:rtl/>
        </w:rPr>
        <w:t xml:space="preserve"> ، ص 281 ، ح 2145 ، إلى قوله : « ليس فيه عدد معلوم موقّت غير أيّامها » ؛ </w:t>
      </w:r>
      <w:r w:rsidR="00E3253D" w:rsidRPr="002F4D34">
        <w:rPr>
          <w:rStyle w:val="libFootnoteBoldChar"/>
          <w:rtl/>
        </w:rPr>
        <w:t>فيه</w:t>
      </w:r>
      <w:r w:rsidR="00E3253D" w:rsidRPr="005D642E">
        <w:rPr>
          <w:rtl/>
        </w:rPr>
        <w:t xml:space="preserve"> ، ص 287 ، ح 2156 ، من قوله : « فإن انقطع الدم في أقلّ من سبع وأكثر » إلى قوله : « وأدناه حيضتان فصاعداً » ؛ </w:t>
      </w:r>
      <w:r w:rsidR="00E3253D" w:rsidRPr="002F4D34">
        <w:rPr>
          <w:rStyle w:val="libFootnoteBoldChar"/>
          <w:rtl/>
        </w:rPr>
        <w:t>فيه</w:t>
      </w:r>
      <w:r w:rsidR="00E3253D" w:rsidRPr="005D642E">
        <w:rPr>
          <w:rtl/>
        </w:rPr>
        <w:t xml:space="preserve"> ، ص 288 ، ح 2159 ، من قوله : « وأمّا السنّة الثالثة فهي التي ليس لها أيّام متقدّمة »</w:t>
      </w:r>
      <w:r w:rsidR="00E3253D">
        <w:rPr>
          <w:rtl/>
        </w:rPr>
        <w:t>.</w:t>
      </w:r>
    </w:p>
    <w:p w:rsidR="00E3253D" w:rsidRPr="005D642E" w:rsidRDefault="0042621E" w:rsidP="008F3CDB">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معظم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ص 106. وفي « جس » : « ولا تصلّي »</w:t>
      </w:r>
      <w:r w:rsidR="00E3253D">
        <w:rPr>
          <w:rtl/>
        </w:rPr>
        <w:t>.</w:t>
      </w:r>
      <w:r w:rsidR="008F3CDB">
        <w:rPr>
          <w:rtl/>
        </w:rPr>
        <w:t xml:space="preserve"> وفي المطبوع</w:t>
      </w:r>
      <w:r w:rsidR="00E3253D" w:rsidRPr="005D642E">
        <w:rPr>
          <w:rtl/>
        </w:rPr>
        <w:t>: « فلا تصلّ »</w:t>
      </w:r>
      <w:r w:rsidR="00E3253D">
        <w:rPr>
          <w:rtl/>
        </w:rPr>
        <w:t>.</w:t>
      </w:r>
      <w:r w:rsidR="008F3CDB">
        <w:rPr>
          <w:rFonts w:hint="cs"/>
          <w:rtl/>
        </w:rPr>
        <w:t xml:space="preserve">                             </w:t>
      </w:r>
      <w:r w:rsidRPr="0042621E">
        <w:rPr>
          <w:rStyle w:val="libFootnote0Char"/>
          <w:rtl/>
        </w:rPr>
        <w:t>(2).</w:t>
      </w:r>
      <w:r w:rsidR="008F3CDB">
        <w:rPr>
          <w:rtl/>
        </w:rPr>
        <w:t xml:space="preserve"> في «بث ،بح ،جح ،</w:t>
      </w:r>
      <w:r w:rsidR="00E3253D" w:rsidRPr="005D642E">
        <w:rPr>
          <w:rtl/>
        </w:rPr>
        <w:t>جس » والوسائل ، ح 2146 : « وإذا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بس ، بف ، جس » : « والمغرب »</w:t>
      </w:r>
      <w:r w:rsidR="00E3253D">
        <w:rPr>
          <w:rtl/>
        </w:rPr>
        <w:t>.</w:t>
      </w:r>
      <w:r w:rsidR="00E3253D" w:rsidRPr="005D642E">
        <w:rPr>
          <w:rtl/>
        </w:rPr>
        <w:t xml:space="preserve"> وفي « بث » : « وفي المغرب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 ص 106 : + « الآخرة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يقال : احتشت المرأة الحَشِيّةَ واحتشت بها ، أي لبستها ، واحتشت المستحاضة ، أي حشت وملأت نفسها</w:t>
      </w:r>
      <w:r w:rsidR="008F3CDB">
        <w:rPr>
          <w:rFonts w:hint="cs"/>
          <w:rtl/>
        </w:rPr>
        <w:t xml:space="preserve"> </w:t>
      </w:r>
      <w:r w:rsidR="00E3253D" w:rsidRPr="005D642E">
        <w:rPr>
          <w:rtl/>
        </w:rPr>
        <w:t xml:space="preserve">بالمفارم ونحوها. والمراد باحتشائها استدخالها شيئاً في نفسها يمنع الدم من القطر. راجع : </w:t>
      </w:r>
      <w:r w:rsidR="00E3253D" w:rsidRPr="002F4D34">
        <w:rPr>
          <w:rStyle w:val="libFootnoteBoldChar"/>
          <w:rtl/>
        </w:rPr>
        <w:t>النهاية</w:t>
      </w:r>
      <w:r w:rsidR="00E3253D" w:rsidRPr="005D642E">
        <w:rPr>
          <w:rtl/>
        </w:rPr>
        <w:t xml:space="preserve"> ، ج 1 ، ص 392 ؛ </w:t>
      </w:r>
      <w:r w:rsidR="00E3253D" w:rsidRPr="002F4D34">
        <w:rPr>
          <w:rStyle w:val="libFootnoteBoldChar"/>
          <w:rtl/>
        </w:rPr>
        <w:t>لسان العرب</w:t>
      </w:r>
      <w:r w:rsidR="00E3253D" w:rsidRPr="005D642E">
        <w:rPr>
          <w:rtl/>
        </w:rPr>
        <w:t xml:space="preserve"> ، ج 14 ، ص 179 ( حشا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 « تستثفر » بدون الواو. واستثفار المرأة : هو أن تأخذ خرقة طويلة عريضة تشدّ أحد طرفيها من قدّام ، وتخرجها من بين فخذيها ، وتشدّ طرفها الآخر من وراء بعد أن تحتشي بشي‌ء من القطن ؛ ليمتنع به من سيلان الدم ، من قولهم : استثفر الرجل بإزاره : لواه على فخذيه ، ثمّ أخرجه من بين فخذيه ، فشدّ طرفه في حجزته. واستثفر الكلب : أدخل ذنبه بين فخذيه حتّى يلزقه ببطنه. وقال ابن الأثير : «</w:t>
      </w:r>
      <w:r w:rsidR="00E3253D">
        <w:rPr>
          <w:rtl/>
        </w:rPr>
        <w:t xml:space="preserve"> ..</w:t>
      </w:r>
      <w:r w:rsidR="00E3253D" w:rsidRPr="005D642E">
        <w:rPr>
          <w:rtl/>
        </w:rPr>
        <w:t>. وهو مأخوذ من ثَفْرِ الدابّة الذي يجعل تحت ذنبها »</w:t>
      </w:r>
      <w:r w:rsidR="00E3253D">
        <w:rPr>
          <w:rtl/>
        </w:rPr>
        <w:t>.</w:t>
      </w:r>
      <w:r w:rsidR="00E3253D" w:rsidRPr="005D642E">
        <w:rPr>
          <w:rtl/>
        </w:rPr>
        <w:t xml:space="preserve"> راجع : </w:t>
      </w:r>
      <w:r w:rsidR="00E3253D" w:rsidRPr="002F4D34">
        <w:rPr>
          <w:rStyle w:val="libFootnoteBoldChar"/>
          <w:rtl/>
        </w:rPr>
        <w:t>ترتيب كتاب العين</w:t>
      </w:r>
      <w:r w:rsidR="00E3253D" w:rsidRPr="005D642E">
        <w:rPr>
          <w:rtl/>
        </w:rPr>
        <w:t xml:space="preserve"> ، ج 1 ، ص 444 ؛ </w:t>
      </w:r>
      <w:r w:rsidR="00E3253D" w:rsidRPr="002F4D34">
        <w:rPr>
          <w:rStyle w:val="libFootnoteBoldChar"/>
          <w:rtl/>
        </w:rPr>
        <w:t>النهاية</w:t>
      </w:r>
      <w:r w:rsidR="00E3253D" w:rsidRPr="005D642E">
        <w:rPr>
          <w:rtl/>
        </w:rPr>
        <w:t xml:space="preserve"> ، ج 1 ، ص 214 ؛ </w:t>
      </w:r>
      <w:r w:rsidR="00E3253D" w:rsidRPr="002F4D34">
        <w:rPr>
          <w:rStyle w:val="libFootnoteBoldChar"/>
          <w:rtl/>
        </w:rPr>
        <w:t>الحبل المتين</w:t>
      </w:r>
      <w:r w:rsidR="00E3253D" w:rsidRPr="005D642E">
        <w:rPr>
          <w:rtl/>
        </w:rPr>
        <w:t xml:space="preserve"> ، ص 187.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معظم النسخ التي قوبلت والوسائل ، ح 2390 </w:t>
      </w:r>
      <w:r w:rsidR="00B60612" w:rsidRPr="00B60612">
        <w:rPr>
          <w:rStyle w:val="libFootnoteBoldChar"/>
          <w:rtl/>
        </w:rPr>
        <w:t>والتهذيب</w:t>
      </w:r>
      <w:r w:rsidR="00E3253D" w:rsidRPr="005D642E">
        <w:rPr>
          <w:rtl/>
        </w:rPr>
        <w:t xml:space="preserve"> ، ص 106. وفي « بس » : « ولا تجثي »</w:t>
      </w:r>
      <w:r w:rsidR="00E3253D">
        <w:rPr>
          <w:rtl/>
        </w:rPr>
        <w:t>.</w:t>
      </w:r>
      <w:r w:rsidR="00E3253D" w:rsidRPr="005D642E">
        <w:rPr>
          <w:rtl/>
        </w:rPr>
        <w:t xml:space="preserve"> وفي « جس » وحاشية « بث » : « ولا تحتني »</w:t>
      </w:r>
      <w:r w:rsidR="00E3253D">
        <w:rPr>
          <w:rtl/>
        </w:rPr>
        <w:t>.</w:t>
      </w:r>
      <w:r w:rsidR="00E3253D" w:rsidRPr="005D642E">
        <w:rPr>
          <w:rtl/>
        </w:rPr>
        <w:t xml:space="preserve"> وفي المطبوع : « ولا تحيّي »</w:t>
      </w:r>
      <w:r w:rsidR="00E3253D">
        <w:rPr>
          <w:rtl/>
        </w:rPr>
        <w:t>.</w:t>
      </w:r>
      <w:r w:rsidR="00E3253D" w:rsidRPr="005D642E">
        <w:rPr>
          <w:rtl/>
        </w:rPr>
        <w:t xml:space="preserve"> وفي الوافي : « وتحشي » بدون « لا »</w:t>
      </w:r>
      <w:r w:rsidR="00E3253D">
        <w:rPr>
          <w:rtl/>
        </w:rPr>
        <w:t>.</w:t>
      </w:r>
      <w:r w:rsidR="00E3253D" w:rsidRPr="005D642E">
        <w:rPr>
          <w:rtl/>
        </w:rPr>
        <w:t xml:space="preserve"> وقال الشيخ البهائيّ : « قوله </w:t>
      </w:r>
      <w:r w:rsidR="00E3253D" w:rsidRPr="008F3CDB">
        <w:rPr>
          <w:rStyle w:val="libFootnoteAlaemChar"/>
          <w:rtl/>
        </w:rPr>
        <w:t>عليه‌السلام</w:t>
      </w:r>
      <w:r w:rsidR="00E3253D" w:rsidRPr="005D642E">
        <w:rPr>
          <w:rtl/>
        </w:rPr>
        <w:t xml:space="preserve"> : وتحشّي ، مضبوط في بعض نسخ </w:t>
      </w:r>
      <w:r w:rsidR="00E3253D" w:rsidRPr="002F4D34">
        <w:rPr>
          <w:rStyle w:val="libFootnoteBoldChar"/>
          <w:rtl/>
        </w:rPr>
        <w:t>التهذيب</w:t>
      </w:r>
      <w:r w:rsidR="00E3253D" w:rsidRPr="005D642E">
        <w:rPr>
          <w:rtl/>
        </w:rPr>
        <w:t xml:space="preserve"> المعتمدة بالشين المعجمة المشدّدة ، وفي بعضها : تحتبي ، بالتاء المثنّاة من فوق والباء الموحّدة ، وقد يفسّر على الأوّل بأن يربط خرقة محشوّة بالقطن يقال لها : المحشيّ ، على عجيزتها للتحفّظ من تعدّي الدم حال القعود</w:t>
      </w:r>
      <w:r w:rsidR="00E3253D">
        <w:rPr>
          <w:rtl/>
        </w:rPr>
        <w:t xml:space="preserve"> ..</w:t>
      </w:r>
      <w:r w:rsidR="00E3253D" w:rsidRPr="005D642E">
        <w:rPr>
          <w:rtl/>
        </w:rPr>
        <w:t xml:space="preserve">. ويفسّر على الثاني بالاحتباء وهو </w:t>
      </w:r>
      <w:r w:rsidR="008F3CD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جَسَدِهَا خَارِجٌ </w:t>
      </w:r>
      <w:r w:rsidRPr="007C12DB">
        <w:rPr>
          <w:rStyle w:val="libFootnotenumChar"/>
          <w:rtl/>
        </w:rPr>
        <w:t>(1)</w:t>
      </w:r>
      <w:r w:rsidRPr="005D642E">
        <w:rPr>
          <w:rtl/>
          <w:lang w:bidi="fa-IR"/>
        </w:rPr>
        <w:t xml:space="preserve"> ، وَلَايَأْتِيهَا بَعْلُهَا </w:t>
      </w:r>
      <w:r w:rsidRPr="007C12DB">
        <w:rPr>
          <w:rStyle w:val="libFootnotenumChar"/>
          <w:rtl/>
        </w:rPr>
        <w:t>(2)</w:t>
      </w:r>
      <w:r w:rsidRPr="005D642E">
        <w:rPr>
          <w:rtl/>
          <w:lang w:bidi="fa-IR"/>
        </w:rPr>
        <w:t xml:space="preserve"> أَيَّامَ قُرْئِهَا </w:t>
      </w:r>
      <w:r w:rsidRPr="007C12DB">
        <w:rPr>
          <w:rStyle w:val="libFootnotenumChar"/>
          <w:rtl/>
        </w:rPr>
        <w:t>(3)</w:t>
      </w:r>
      <w:r w:rsidRPr="005D642E">
        <w:rPr>
          <w:rtl/>
          <w:lang w:bidi="fa-IR"/>
        </w:rPr>
        <w:t xml:space="preserve"> ، وَإِنْ كَانَ الدَّمُ لَايَثْقُبُ الْكُرْسُفَ ، تَوَضَّأَتْ ، وَدَخَلَتِ الْمَسْجِدَ ، وَصَلَّتْ </w:t>
      </w:r>
      <w:r w:rsidRPr="007C12DB">
        <w:rPr>
          <w:rStyle w:val="libFootnotenumChar"/>
          <w:rtl/>
        </w:rPr>
        <w:t>(4)</w:t>
      </w:r>
      <w:r w:rsidRPr="005D642E">
        <w:rPr>
          <w:rtl/>
          <w:lang w:bidi="fa-IR"/>
        </w:rPr>
        <w:t xml:space="preserve"> كُلَّ صَلَاةٍ بِوُضُوءٍ ، وَهذِهِ </w:t>
      </w:r>
      <w:r w:rsidRPr="007C12DB">
        <w:rPr>
          <w:rStyle w:val="libFootnotenumChar"/>
          <w:rtl/>
        </w:rPr>
        <w:t>(5)</w:t>
      </w:r>
      <w:r w:rsidRPr="005D642E">
        <w:rPr>
          <w:rtl/>
          <w:lang w:bidi="fa-IR"/>
        </w:rPr>
        <w:t xml:space="preserve"> يَأْتِيهَا بَعْلُهَا </w:t>
      </w:r>
      <w:r w:rsidRPr="007C12DB">
        <w:rPr>
          <w:rStyle w:val="libFootnotenumChar"/>
          <w:rtl/>
        </w:rPr>
        <w:t>(6)</w:t>
      </w:r>
      <w:r w:rsidR="008F3CDB">
        <w:rPr>
          <w:rtl/>
          <w:lang w:bidi="fa-IR"/>
        </w:rPr>
        <w:t xml:space="preserve"> إِل</w:t>
      </w:r>
      <w:r w:rsidR="008F3CDB">
        <w:rPr>
          <w:rFonts w:hint="cs"/>
          <w:rtl/>
          <w:lang w:bidi="fa-IR"/>
        </w:rPr>
        <w:t>َّ</w:t>
      </w:r>
      <w:r w:rsidR="008F3CDB">
        <w:rPr>
          <w:rtl/>
          <w:lang w:bidi="fa-IR"/>
        </w:rPr>
        <w:t>ا فِي أَيَّامِ حَيْضِهَا</w:t>
      </w:r>
      <w:r w:rsidRPr="005D642E">
        <w:rPr>
          <w:rtl/>
          <w:lang w:bidi="fa-IR"/>
        </w:rPr>
        <w:t>»</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761C02">
        <w:rPr>
          <w:rtl/>
        </w:rPr>
        <w:t>4182</w:t>
      </w:r>
      <w:r w:rsidRPr="00246318">
        <w:rPr>
          <w:rStyle w:val="libBold2Char"/>
          <w:rtl/>
        </w:rPr>
        <w:t xml:space="preserve"> / 3.</w:t>
      </w:r>
      <w:r w:rsidRPr="005D642E">
        <w:rPr>
          <w:rtl/>
          <w:lang w:bidi="fa-IR"/>
        </w:rPr>
        <w:t xml:space="preserve"> مُحَمَّدٌ ، عَنِ الْفَضْلِ ، عَنْ صَفْوَانَ ، عَنْ مُحَمَّدٍ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الْمَرْأَةِ تُسْتَحَاضُ</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8F3CDB" w:rsidP="00E3253D">
      <w:pPr>
        <w:pStyle w:val="libFootnote0"/>
        <w:rPr>
          <w:rtl/>
          <w:lang w:bidi="fa-IR"/>
        </w:rPr>
      </w:pPr>
      <w:r>
        <w:rPr>
          <w:rFonts w:hint="cs"/>
          <w:rtl/>
        </w:rPr>
        <w:t xml:space="preserve">= </w:t>
      </w:r>
      <w:r w:rsidR="00E3253D" w:rsidRPr="005D642E">
        <w:rPr>
          <w:rtl/>
        </w:rPr>
        <w:t xml:space="preserve">جمع الساقين والفخذين إلى الظهر بعمامة ونحوها ؛ ليكون ذلك موجباً لزيادة تحفّظها من تعدّي الدم » ، وقال في موضع آخر : « قد يقرأ قوله </w:t>
      </w:r>
      <w:r w:rsidR="00E3253D" w:rsidRPr="008F3CDB">
        <w:rPr>
          <w:rStyle w:val="libFootnoteAlaemChar"/>
          <w:rtl/>
        </w:rPr>
        <w:t>عليه‌السلام</w:t>
      </w:r>
      <w:r w:rsidR="00E3253D" w:rsidRPr="005D642E">
        <w:rPr>
          <w:rtl/>
        </w:rPr>
        <w:t xml:space="preserve"> : ولا تحنّي ، بالنون وحذف حرف المضارعة ، أي لا تختضب بالحنّاء ، وربّما قرئ : ولا تحبتي من الحباء بالحاء المكسورة والب</w:t>
      </w:r>
      <w:r>
        <w:rPr>
          <w:rtl/>
        </w:rPr>
        <w:t>اء الموحّدة. والمنقول عن العل</w:t>
      </w:r>
      <w:r>
        <w:rPr>
          <w:rFonts w:hint="cs"/>
          <w:rtl/>
        </w:rPr>
        <w:t>ّ</w:t>
      </w:r>
      <w:r>
        <w:rPr>
          <w:rtl/>
        </w:rPr>
        <w:t>ا</w:t>
      </w:r>
      <w:r w:rsidR="00E3253D" w:rsidRPr="005D642E">
        <w:rPr>
          <w:rtl/>
        </w:rPr>
        <w:t>مة</w:t>
      </w:r>
      <w:r w:rsidR="00E3253D">
        <w:rPr>
          <w:rtl/>
        </w:rPr>
        <w:t xml:space="preserve"> </w:t>
      </w:r>
      <w:r w:rsidR="007642BC">
        <w:rPr>
          <w:rtl/>
        </w:rPr>
        <w:t>-</w:t>
      </w:r>
      <w:r w:rsidR="00E3253D">
        <w:rPr>
          <w:rtl/>
        </w:rPr>
        <w:t xml:space="preserve"> </w:t>
      </w:r>
      <w:r w:rsidR="00E3253D" w:rsidRPr="005D642E">
        <w:rPr>
          <w:rtl/>
        </w:rPr>
        <w:t>قدّس الله روحه</w:t>
      </w:r>
      <w:r w:rsidR="00E3253D">
        <w:rPr>
          <w:rtl/>
        </w:rPr>
        <w:t xml:space="preserve"> </w:t>
      </w:r>
      <w:r w:rsidR="007642BC">
        <w:rPr>
          <w:rtl/>
        </w:rPr>
        <w:t>-</w:t>
      </w:r>
      <w:r w:rsidR="00E3253D">
        <w:rPr>
          <w:rtl/>
        </w:rPr>
        <w:t xml:space="preserve"> </w:t>
      </w:r>
      <w:r w:rsidR="00E3253D" w:rsidRPr="005D642E">
        <w:rPr>
          <w:rtl/>
        </w:rPr>
        <w:t>: ولا تحيّي</w:t>
      </w:r>
      <w:r w:rsidR="00E3253D">
        <w:rPr>
          <w:rtl/>
        </w:rPr>
        <w:t xml:space="preserve"> </w:t>
      </w:r>
      <w:r w:rsidR="007642BC">
        <w:rPr>
          <w:rtl/>
        </w:rPr>
        <w:t>-</w:t>
      </w:r>
      <w:r w:rsidR="00E3253D">
        <w:rPr>
          <w:rtl/>
        </w:rPr>
        <w:t xml:space="preserve"> </w:t>
      </w:r>
      <w:r w:rsidR="00E3253D" w:rsidRPr="005D642E">
        <w:rPr>
          <w:rtl/>
        </w:rPr>
        <w:t>بياءين أولاهما مشدّدة</w:t>
      </w:r>
      <w:r w:rsidR="00E3253D">
        <w:rPr>
          <w:rtl/>
        </w:rPr>
        <w:t xml:space="preserve"> </w:t>
      </w:r>
      <w:r w:rsidR="007642BC">
        <w:rPr>
          <w:rtl/>
        </w:rPr>
        <w:t>-</w:t>
      </w:r>
      <w:r w:rsidR="00E3253D">
        <w:rPr>
          <w:rtl/>
        </w:rPr>
        <w:t xml:space="preserve"> </w:t>
      </w:r>
      <w:r w:rsidR="00E3253D" w:rsidRPr="005D642E">
        <w:rPr>
          <w:rtl/>
        </w:rPr>
        <w:t>، أي لا تصلّي تحيّة المسجد »</w:t>
      </w:r>
      <w:r w:rsidR="00E3253D">
        <w:rPr>
          <w:rtl/>
        </w:rPr>
        <w:t>.</w:t>
      </w:r>
      <w:r>
        <w:rPr>
          <w:rtl/>
        </w:rPr>
        <w:t xml:space="preserve"> وكلّ واحد نقله العل</w:t>
      </w:r>
      <w:r>
        <w:rPr>
          <w:rFonts w:hint="cs"/>
          <w:rtl/>
        </w:rPr>
        <w:t>ّ</w:t>
      </w:r>
      <w:r>
        <w:rPr>
          <w:rtl/>
        </w:rPr>
        <w:t>ا</w:t>
      </w:r>
      <w:r w:rsidR="00E3253D" w:rsidRPr="005D642E">
        <w:rPr>
          <w:rtl/>
        </w:rPr>
        <w:t>مة الفيض والمجلسي عن بعض ال</w:t>
      </w:r>
      <w:r>
        <w:rPr>
          <w:rtl/>
        </w:rPr>
        <w:t>نسخ ، مضافاً إلى أنّه قال العل</w:t>
      </w:r>
      <w:r>
        <w:rPr>
          <w:rFonts w:hint="cs"/>
          <w:rtl/>
        </w:rPr>
        <w:t>ّ</w:t>
      </w:r>
      <w:r>
        <w:rPr>
          <w:rtl/>
        </w:rPr>
        <w:t>ا</w:t>
      </w:r>
      <w:r w:rsidR="00E3253D" w:rsidRPr="005D642E">
        <w:rPr>
          <w:rtl/>
        </w:rPr>
        <w:t>مة الفيض : « والأوّل</w:t>
      </w:r>
      <w:r w:rsidR="00E3253D">
        <w:rPr>
          <w:rtl/>
        </w:rPr>
        <w:t xml:space="preserve"> </w:t>
      </w:r>
      <w:r w:rsidR="007642BC">
        <w:rPr>
          <w:rtl/>
        </w:rPr>
        <w:t>-</w:t>
      </w:r>
      <w:r w:rsidR="00E3253D">
        <w:rPr>
          <w:rtl/>
        </w:rPr>
        <w:t xml:space="preserve"> </w:t>
      </w:r>
      <w:r w:rsidR="00E3253D" w:rsidRPr="005D642E">
        <w:rPr>
          <w:rtl/>
        </w:rPr>
        <w:t>أي لاتحشّي</w:t>
      </w:r>
      <w:r w:rsidR="00E3253D">
        <w:rPr>
          <w:rtl/>
        </w:rPr>
        <w:t xml:space="preserve"> </w:t>
      </w:r>
      <w:r w:rsidR="007642BC">
        <w:rPr>
          <w:rtl/>
        </w:rPr>
        <w:t>-</w:t>
      </w:r>
      <w:r w:rsidR="00E3253D">
        <w:rPr>
          <w:rtl/>
        </w:rPr>
        <w:t xml:space="preserve"> </w:t>
      </w:r>
      <w:r w:rsidR="00E3253D" w:rsidRPr="005D642E">
        <w:rPr>
          <w:rtl/>
        </w:rPr>
        <w:t xml:space="preserve">أقرب إلى الصواب » وقال العلاّمة المجلسي : « قوله </w:t>
      </w:r>
      <w:r w:rsidR="00E3253D" w:rsidRPr="00591486">
        <w:rPr>
          <w:rStyle w:val="libFootnoteAlaemChar"/>
          <w:rtl/>
        </w:rPr>
        <w:t>عليه‌السلام</w:t>
      </w:r>
      <w:r w:rsidR="00E3253D" w:rsidRPr="005D642E">
        <w:rPr>
          <w:rtl/>
        </w:rPr>
        <w:t xml:space="preserve"> : ولا تحنّي ، أي ولا تحنّي ظهرها كثيراً مخافة أن يسيل الدم. وقيل : إنّه مأخوذ من الحناء »</w:t>
      </w:r>
      <w:r w:rsidR="00E3253D">
        <w:rPr>
          <w:rtl/>
        </w:rPr>
        <w:t>.</w:t>
      </w:r>
      <w:r w:rsidR="00E3253D" w:rsidRPr="005D642E">
        <w:rPr>
          <w:rtl/>
        </w:rPr>
        <w:t xml:space="preserve"> راجع : </w:t>
      </w:r>
      <w:r w:rsidR="00E3253D" w:rsidRPr="002F4D34">
        <w:rPr>
          <w:rStyle w:val="libFootnoteBoldChar"/>
          <w:rtl/>
        </w:rPr>
        <w:t>الحبل المتين</w:t>
      </w:r>
      <w:r w:rsidR="00E3253D" w:rsidRPr="005D642E">
        <w:rPr>
          <w:rtl/>
        </w:rPr>
        <w:t xml:space="preserve"> ، ص 188 ؛ </w:t>
      </w:r>
      <w:r w:rsidR="00E3253D" w:rsidRPr="002F4D34">
        <w:rPr>
          <w:rStyle w:val="libFootnoteBoldChar"/>
          <w:rtl/>
        </w:rPr>
        <w:t>مشرق الشمسين</w:t>
      </w:r>
      <w:r w:rsidR="00E3253D" w:rsidRPr="005D642E">
        <w:rPr>
          <w:rtl/>
        </w:rPr>
        <w:t xml:space="preserve"> ، ص 279 ؛ </w:t>
      </w:r>
      <w:r w:rsidR="00E3253D" w:rsidRPr="002F4D34">
        <w:rPr>
          <w:rStyle w:val="libFootnoteBoldChar"/>
          <w:rtl/>
        </w:rPr>
        <w:t>الوافي</w:t>
      </w:r>
      <w:r w:rsidR="00E3253D" w:rsidRPr="005D642E">
        <w:rPr>
          <w:rtl/>
        </w:rPr>
        <w:t xml:space="preserve"> ، ج 6 ، ص 469 ؛ </w:t>
      </w:r>
      <w:r w:rsidR="00E3253D" w:rsidRPr="002F4D34">
        <w:rPr>
          <w:rStyle w:val="libFootnoteBoldChar"/>
          <w:rtl/>
        </w:rPr>
        <w:t>مرآة العقول</w:t>
      </w:r>
      <w:r w:rsidR="00E3253D" w:rsidRPr="005D642E">
        <w:rPr>
          <w:rtl/>
        </w:rPr>
        <w:t xml:space="preserve"> ، ج 13 ، ص 224.</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الواو في قوله </w:t>
      </w:r>
      <w:r w:rsidR="00E3253D" w:rsidRPr="008F3CDB">
        <w:rPr>
          <w:rStyle w:val="libFootnoteAlaemChar"/>
          <w:rtl/>
        </w:rPr>
        <w:t>عليه‌السلام</w:t>
      </w:r>
      <w:r w:rsidR="00E3253D" w:rsidRPr="005D642E">
        <w:rPr>
          <w:rtl/>
        </w:rPr>
        <w:t xml:space="preserve"> : وسائر جسدها خارج ، واو الحال ؛ يعني أنّها لا تدخل المسجد ولكن تجلس</w:t>
      </w:r>
      <w:r w:rsidR="008F3CDB">
        <w:rPr>
          <w:rFonts w:hint="cs"/>
          <w:rtl/>
        </w:rPr>
        <w:t xml:space="preserve"> </w:t>
      </w:r>
      <w:r w:rsidR="00E3253D" w:rsidRPr="005D642E">
        <w:rPr>
          <w:rtl/>
        </w:rPr>
        <w:t>‌قريباً من المسجد بحيث يكون سجودها فيه ضامّة فخذيها حين تدخل رأسها للسجود</w:t>
      </w:r>
      <w:r w:rsidR="00E3253D">
        <w:rPr>
          <w:rtl/>
        </w:rPr>
        <w:t xml:space="preserve"> ..</w:t>
      </w:r>
      <w:r w:rsidR="00E3253D" w:rsidRPr="005D642E">
        <w:rPr>
          <w:rtl/>
        </w:rPr>
        <w:t>. وكأنّ المراد بالمسجد محلّ صلاتها الذي كانت تصلّي فيه وإنّما لا تدخله احتراماً له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w:t>
      </w:r>
      <w:r w:rsidR="00E3253D" w:rsidRPr="008F3CDB">
        <w:rPr>
          <w:rtl/>
        </w:rPr>
        <w:t xml:space="preserve"> </w:t>
      </w:r>
      <w:r w:rsidR="000D749A" w:rsidRPr="008F3CDB">
        <w:rPr>
          <w:rtl/>
        </w:rPr>
        <w:t>والوافي</w:t>
      </w:r>
      <w:r w:rsidR="00E3253D" w:rsidRPr="008F3CDB">
        <w:rPr>
          <w:rtl/>
        </w:rPr>
        <w:t xml:space="preserve"> </w:t>
      </w:r>
      <w:r w:rsidR="00E3253D" w:rsidRPr="005D642E">
        <w:rPr>
          <w:rtl/>
        </w:rPr>
        <w:t xml:space="preserve">والوسائل ، ح 2390 </w:t>
      </w:r>
      <w:r w:rsidR="00B60612" w:rsidRPr="00BF01BD">
        <w:rPr>
          <w:rtl/>
        </w:rPr>
        <w:t>والتهذيب</w:t>
      </w:r>
      <w:r w:rsidR="00E3253D" w:rsidRPr="005D642E">
        <w:rPr>
          <w:rtl/>
        </w:rPr>
        <w:t xml:space="preserve"> ، ص 106 </w:t>
      </w:r>
      <w:r w:rsidR="00E3253D">
        <w:rPr>
          <w:rtl/>
        </w:rPr>
        <w:t>و 1</w:t>
      </w:r>
      <w:r w:rsidR="00E3253D" w:rsidRPr="005D642E">
        <w:rPr>
          <w:rtl/>
        </w:rPr>
        <w:t>70. وفي المطبوع : + « في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القرء » بضمّ القاف وفتحها وسكون الراء من الأضداد يقع على الحيض والطهر. وقيل : هو بالفتح بمعنى الطهر ، وبالضمّ بمعنى الحيض</w:t>
      </w:r>
      <w:r w:rsidR="00BF01BD">
        <w:rPr>
          <w:rtl/>
        </w:rPr>
        <w:t xml:space="preserve"> ، والأوّل هو الأشهر. قال العل</w:t>
      </w:r>
      <w:r w:rsidR="00BF01BD">
        <w:rPr>
          <w:rFonts w:hint="cs"/>
          <w:rtl/>
        </w:rPr>
        <w:t>ّ</w:t>
      </w:r>
      <w:r w:rsidR="00BF01BD">
        <w:rPr>
          <w:rtl/>
        </w:rPr>
        <w:t>ا</w:t>
      </w:r>
      <w:r w:rsidR="00E3253D" w:rsidRPr="005D642E">
        <w:rPr>
          <w:rtl/>
        </w:rPr>
        <w:t xml:space="preserve">مة المجلسي : « الظاهر أنّ القرء هنا بمعنى الطهر ، أو أيّام رؤية الدم مطلقاً بقرينة قوله </w:t>
      </w:r>
      <w:r w:rsidR="00E3253D" w:rsidRPr="00BF01BD">
        <w:rPr>
          <w:rStyle w:val="libFootnoteAlaemChar"/>
          <w:rtl/>
        </w:rPr>
        <w:t>عليه‌السلام</w:t>
      </w:r>
      <w:r w:rsidR="00E3253D" w:rsidRPr="005D642E">
        <w:rPr>
          <w:rtl/>
        </w:rPr>
        <w:t xml:space="preserve"> : « وهذه يأتيها بعلها » إلى آخره ، لكنّ الأصحاب حملوها على الحيض بدلالة سائر الأخبار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4 ، ص 32 ؛ </w:t>
      </w:r>
      <w:r w:rsidR="00E3253D" w:rsidRPr="002F4D34">
        <w:rPr>
          <w:rStyle w:val="libFootnoteBoldChar"/>
          <w:rtl/>
        </w:rPr>
        <w:t>لسان العرب</w:t>
      </w:r>
      <w:r w:rsidR="00E3253D" w:rsidRPr="005D642E">
        <w:rPr>
          <w:rtl/>
        </w:rPr>
        <w:t xml:space="preserve"> ، ج 1 ، ص 130 ( قرأ )</w:t>
      </w:r>
      <w:r w:rsidR="00E3253D">
        <w:rPr>
          <w:rtl/>
        </w:rPr>
        <w:t>.</w:t>
      </w:r>
    </w:p>
    <w:tbl>
      <w:tblPr>
        <w:tblStyle w:val="TableGrid"/>
        <w:bidiVisual/>
        <w:tblW w:w="0" w:type="auto"/>
        <w:tblLook w:val="04A0" w:firstRow="1" w:lastRow="0" w:firstColumn="1" w:lastColumn="0" w:noHBand="0" w:noVBand="1"/>
      </w:tblPr>
      <w:tblGrid>
        <w:gridCol w:w="4006"/>
        <w:gridCol w:w="4006"/>
      </w:tblGrid>
      <w:tr w:rsidR="00115E5A" w:rsidTr="00115E5A">
        <w:tc>
          <w:tcPr>
            <w:tcW w:w="4006" w:type="dxa"/>
          </w:tcPr>
          <w:p w:rsidR="00115E5A" w:rsidRDefault="00115E5A" w:rsidP="00E3253D">
            <w:pPr>
              <w:pStyle w:val="libFootnote0"/>
              <w:rPr>
                <w:rStyle w:val="libFootnote0Char"/>
                <w:rtl/>
              </w:rPr>
            </w:pPr>
            <w:r w:rsidRPr="0042621E">
              <w:rPr>
                <w:rStyle w:val="libFootnote0Char"/>
                <w:rtl/>
              </w:rPr>
              <w:t>(4).</w:t>
            </w:r>
            <w:r w:rsidRPr="005D642E">
              <w:rPr>
                <w:rtl/>
              </w:rPr>
              <w:t xml:space="preserve"> في « جس » : + « في »</w:t>
            </w:r>
            <w:r>
              <w:rPr>
                <w:rtl/>
              </w:rPr>
              <w:t>.</w:t>
            </w:r>
          </w:p>
        </w:tc>
        <w:tc>
          <w:tcPr>
            <w:tcW w:w="4006" w:type="dxa"/>
          </w:tcPr>
          <w:p w:rsidR="00115E5A" w:rsidRDefault="00115E5A" w:rsidP="00E3253D">
            <w:pPr>
              <w:pStyle w:val="libFootnote0"/>
              <w:rPr>
                <w:rStyle w:val="libFootnote0Char"/>
                <w:rtl/>
              </w:rPr>
            </w:pPr>
            <w:r w:rsidRPr="0042621E">
              <w:rPr>
                <w:rStyle w:val="libFootnote0Char"/>
                <w:rtl/>
              </w:rPr>
              <w:t>(5).</w:t>
            </w:r>
            <w:r w:rsidRPr="005D642E">
              <w:rPr>
                <w:rtl/>
              </w:rPr>
              <w:t xml:space="preserve"> في « جن » : « وبعده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بعلها »</w:t>
      </w:r>
      <w:r w:rsidR="00E3253D">
        <w:rPr>
          <w:rtl/>
        </w:rPr>
        <w:t>.</w:t>
      </w:r>
    </w:p>
    <w:p w:rsidR="00E3253D" w:rsidRPr="005D642E" w:rsidRDefault="0042621E" w:rsidP="003A4A6A">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106 ، ح 277 ؛ وص 170 ، ح 484 ، بسندهما عن الكليني. راجع : </w:t>
      </w:r>
      <w:r w:rsidR="00E3253D" w:rsidRPr="002F4D34">
        <w:rPr>
          <w:rStyle w:val="libFootnoteBoldChar"/>
          <w:rtl/>
        </w:rPr>
        <w:t>الكافي</w:t>
      </w:r>
      <w:r w:rsidR="00E3253D" w:rsidRPr="005D642E">
        <w:rPr>
          <w:rtl/>
        </w:rPr>
        <w:t xml:space="preserve"> ، كتاب الحيض ، باب الحبلى ترى الدم ، ح 4193 ؛ </w:t>
      </w:r>
      <w:r w:rsidR="00B60612" w:rsidRPr="00B60612">
        <w:rPr>
          <w:rStyle w:val="libFootnoteBoldChar"/>
          <w:rtl/>
        </w:rPr>
        <w:t>والتهذيب</w:t>
      </w:r>
      <w:r w:rsidR="00E3253D" w:rsidRPr="005D642E">
        <w:rPr>
          <w:rtl/>
        </w:rPr>
        <w:t xml:space="preserve"> ، ج 1 ، ص 168 ، ح 482 ؛ وص 388 ، ح 1197 ؛ </w:t>
      </w:r>
      <w:r w:rsidR="00E3253D" w:rsidRPr="003A4A6A">
        <w:rPr>
          <w:rtl/>
        </w:rPr>
        <w:t>والاستبصار</w:t>
      </w:r>
      <w:r w:rsidR="00E3253D" w:rsidRPr="005D642E">
        <w:rPr>
          <w:rtl/>
        </w:rPr>
        <w:t xml:space="preserve"> ، ج 1 ، ص 140 ، ح 482</w:t>
      </w:r>
      <w:r w:rsidR="003A4A6A">
        <w:rPr>
          <w:rFonts w:hint="cs"/>
          <w:rtl/>
        </w:rPr>
        <w:t>.</w:t>
      </w:r>
      <w:r w:rsidR="00E3253D" w:rsidRPr="002F4D34">
        <w:rPr>
          <w:rStyle w:val="libFootnoteBoldChar"/>
          <w:rtl/>
        </w:rPr>
        <w:t>الوافي</w:t>
      </w:r>
      <w:r w:rsidR="00E3253D" w:rsidRPr="005D642E">
        <w:rPr>
          <w:rtl/>
        </w:rPr>
        <w:t xml:space="preserve"> ، ج 6 ، ص 469 ، ح 4708 ؛ </w:t>
      </w:r>
      <w:r w:rsidR="00E3253D" w:rsidRPr="002F4D34">
        <w:rPr>
          <w:rStyle w:val="libFootnoteBoldChar"/>
          <w:rtl/>
        </w:rPr>
        <w:t>الوسائل</w:t>
      </w:r>
      <w:r w:rsidR="00E3253D" w:rsidRPr="005D642E">
        <w:rPr>
          <w:rtl/>
        </w:rPr>
        <w:t xml:space="preserve"> ، ج 2 ، ص 283 ، ح 2146 ، إلى قوله : « يثقب الكرسف اغتسلت للظهر والعصر » ؛ وص 317 ، ح 2236 ؛ وص 371 ، ح 2390.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فَقَالَ : « قَالَ أَبُو جَعْفَرٍ </w:t>
      </w:r>
      <w:r w:rsidRPr="00AC51C5">
        <w:rPr>
          <w:rStyle w:val="libAlaemChar"/>
          <w:rtl/>
        </w:rPr>
        <w:t>عليه‌السلام</w:t>
      </w:r>
      <w:r w:rsidRPr="005D642E">
        <w:rPr>
          <w:rtl/>
          <w:lang w:bidi="fa-IR"/>
        </w:rPr>
        <w:t xml:space="preserve"> : سُئِلَ رَسُولُ اللهِ </w:t>
      </w:r>
      <w:r w:rsidR="0042621E" w:rsidRPr="0042621E">
        <w:rPr>
          <w:rStyle w:val="libAlaemChar"/>
          <w:rtl/>
        </w:rPr>
        <w:t>صلى‌الله‌عليه‌وآله</w:t>
      </w:r>
      <w:r w:rsidRPr="005D642E">
        <w:rPr>
          <w:rtl/>
          <w:lang w:bidi="fa-IR"/>
        </w:rPr>
        <w:t xml:space="preserve"> عَنِ الْمَرْأَةِ تُسْتَحَاضُ ، فَأَمَرَهَا أَنْ تَمْكُثَ أَيَّامَ حَيْضِهَا لَاتُصَلِّي </w:t>
      </w:r>
      <w:r w:rsidRPr="007C12DB">
        <w:rPr>
          <w:rStyle w:val="libFootnotenumChar"/>
          <w:rtl/>
        </w:rPr>
        <w:t>(1)</w:t>
      </w:r>
      <w:r w:rsidRPr="005D642E">
        <w:rPr>
          <w:rtl/>
          <w:lang w:bidi="fa-IR"/>
        </w:rPr>
        <w:t xml:space="preserve"> فِيهَا ، ثُمَّ تَغْتَسِلَ ، وَتَسْتَدْخِلَ قُطْنَةً ، وَتَسْتَثْفِرَ </w:t>
      </w:r>
      <w:r w:rsidRPr="007C12DB">
        <w:rPr>
          <w:rStyle w:val="libFootnotenumChar"/>
          <w:rtl/>
        </w:rPr>
        <w:t>(2)</w:t>
      </w:r>
      <w:r w:rsidRPr="005D642E">
        <w:rPr>
          <w:rtl/>
          <w:lang w:bidi="fa-IR"/>
        </w:rPr>
        <w:t xml:space="preserve"> بِثَوْبٍ ، ثُمَّ تُصَلِّيَ حَتّى يَخْرُجَ الدَّمُ مِنْ وَرَاءِ الثَّوْبِ »</w:t>
      </w:r>
      <w:r>
        <w:rPr>
          <w:rtl/>
          <w:lang w:bidi="fa-IR"/>
        </w:rPr>
        <w:t>.</w:t>
      </w:r>
    </w:p>
    <w:p w:rsidR="00E3253D" w:rsidRPr="005D642E" w:rsidRDefault="00E3253D" w:rsidP="00E3253D">
      <w:pPr>
        <w:pStyle w:val="libNormal"/>
        <w:rPr>
          <w:rtl/>
          <w:lang w:bidi="fa-IR"/>
        </w:rPr>
      </w:pPr>
      <w:r w:rsidRPr="005D642E">
        <w:rPr>
          <w:rtl/>
          <w:lang w:bidi="fa-IR"/>
        </w:rPr>
        <w:t xml:space="preserve">وَقَالَ </w:t>
      </w:r>
      <w:r w:rsidRPr="007C12DB">
        <w:rPr>
          <w:rStyle w:val="libFootnotenumChar"/>
          <w:rtl/>
        </w:rPr>
        <w:t>(3)</w:t>
      </w:r>
      <w:r w:rsidRPr="005D642E">
        <w:rPr>
          <w:rtl/>
          <w:lang w:bidi="fa-IR"/>
        </w:rPr>
        <w:t xml:space="preserve"> : « تَغْتَسِلُ الْمَرْأَةُ الدَّمِيَّةُ </w:t>
      </w:r>
      <w:r w:rsidRPr="007C12DB">
        <w:rPr>
          <w:rStyle w:val="libFootnotenumChar"/>
          <w:rtl/>
        </w:rPr>
        <w:t>(4)</w:t>
      </w:r>
      <w:r w:rsidRPr="005D642E">
        <w:rPr>
          <w:rtl/>
          <w:lang w:bidi="fa-IR"/>
        </w:rPr>
        <w:t xml:space="preserve"> بَيْنَ كُلِّ صَلَاتَيْنِ »</w:t>
      </w:r>
      <w:r>
        <w:rPr>
          <w:rtl/>
          <w:lang w:bidi="fa-IR"/>
        </w:rPr>
        <w:t>.</w:t>
      </w:r>
    </w:p>
    <w:p w:rsidR="00E3253D" w:rsidRPr="005D642E" w:rsidRDefault="00E3253D" w:rsidP="00E3253D">
      <w:pPr>
        <w:pStyle w:val="libNormal0"/>
        <w:rPr>
          <w:rtl/>
          <w:lang w:bidi="fa-IR"/>
        </w:rPr>
      </w:pPr>
      <w:r w:rsidRPr="005D642E">
        <w:rPr>
          <w:rtl/>
          <w:lang w:bidi="fa-IR"/>
        </w:rPr>
        <w:t xml:space="preserve">وَالِاسْتِذْفَارُ </w:t>
      </w:r>
      <w:r w:rsidRPr="007C12DB">
        <w:rPr>
          <w:rStyle w:val="libFootnotenumChar"/>
          <w:rtl/>
        </w:rPr>
        <w:t>(5)</w:t>
      </w:r>
      <w:r w:rsidRPr="005D642E">
        <w:rPr>
          <w:rtl/>
          <w:lang w:bidi="fa-IR"/>
        </w:rPr>
        <w:t xml:space="preserve"> أَنْ تَطَيَّبَ </w:t>
      </w:r>
      <w:r w:rsidRPr="007C12DB">
        <w:rPr>
          <w:rStyle w:val="libFootnotenumChar"/>
          <w:rtl/>
        </w:rPr>
        <w:t>(6)</w:t>
      </w:r>
      <w:r w:rsidRPr="005D642E">
        <w:rPr>
          <w:rtl/>
          <w:lang w:bidi="fa-IR"/>
        </w:rPr>
        <w:t xml:space="preserve"> وَتَسْتَجْمِرَ بِالدُّخْنَةِ </w:t>
      </w:r>
      <w:r w:rsidRPr="007C12DB">
        <w:rPr>
          <w:rStyle w:val="libFootnotenumChar"/>
          <w:rtl/>
        </w:rPr>
        <w:t>(7)</w:t>
      </w:r>
      <w:r w:rsidRPr="005D642E">
        <w:rPr>
          <w:rtl/>
          <w:lang w:bidi="fa-IR"/>
        </w:rPr>
        <w:t xml:space="preserve"> وَغَيْرِ ذلِكَ. وَالِاسْتِثْفَارُ أَنْ تَجْعَلَ </w:t>
      </w:r>
      <w:r w:rsidRPr="007C12DB">
        <w:rPr>
          <w:rStyle w:val="libFootnotenumChar"/>
          <w:rtl/>
        </w:rPr>
        <w:t>(8)</w:t>
      </w:r>
      <w:r w:rsidRPr="005D642E">
        <w:rPr>
          <w:rtl/>
          <w:lang w:bidi="fa-IR"/>
        </w:rPr>
        <w:t xml:space="preserve"> مِثْلَ ثَفْرِ </w:t>
      </w:r>
      <w:r w:rsidRPr="007C12DB">
        <w:rPr>
          <w:rStyle w:val="libFootnotenumChar"/>
          <w:rtl/>
        </w:rPr>
        <w:t>(9)</w:t>
      </w:r>
      <w:r w:rsidRPr="005D642E">
        <w:rPr>
          <w:rtl/>
          <w:lang w:bidi="fa-IR"/>
        </w:rPr>
        <w:t xml:space="preserve"> الدَّابَّةِ. </w:t>
      </w:r>
      <w:r w:rsidRPr="007C12DB">
        <w:rPr>
          <w:rStyle w:val="libFootnotenumChar"/>
          <w:rtl/>
        </w:rPr>
        <w:t>(10)</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التي </w:t>
      </w:r>
      <w:r w:rsidR="00E3253D" w:rsidRPr="00813041">
        <w:rPr>
          <w:rtl/>
        </w:rPr>
        <w:t xml:space="preserve">قوبلت </w:t>
      </w:r>
      <w:r w:rsidR="000D749A" w:rsidRPr="00813041">
        <w:rPr>
          <w:rtl/>
        </w:rPr>
        <w:t>والوافي</w:t>
      </w:r>
      <w:r w:rsidR="00E3253D" w:rsidRPr="00813041">
        <w:rPr>
          <w:rtl/>
        </w:rPr>
        <w:t xml:space="preserve"> </w:t>
      </w:r>
      <w:r w:rsidR="00E3253D" w:rsidRPr="005D642E">
        <w:rPr>
          <w:rtl/>
        </w:rPr>
        <w:t>والوسائل. وفي المطبوع : « لا تصلّ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بح ، جح » : « وتستذفر وتستثفر »</w:t>
      </w:r>
      <w:r w:rsidR="00E3253D">
        <w:rPr>
          <w:rtl/>
        </w:rPr>
        <w:t>.</w:t>
      </w:r>
      <w:r w:rsidR="00E3253D" w:rsidRPr="005D642E">
        <w:rPr>
          <w:rtl/>
        </w:rPr>
        <w:t xml:space="preserve"> وفي « بخ » وحاشية « بث » </w:t>
      </w:r>
      <w:r w:rsidR="000D749A" w:rsidRPr="00813041">
        <w:rPr>
          <w:rtl/>
        </w:rPr>
        <w:t>والوافي</w:t>
      </w:r>
      <w:r w:rsidR="00E3253D" w:rsidRPr="005D642E">
        <w:rPr>
          <w:rtl/>
        </w:rPr>
        <w:t xml:space="preserve"> : « وتستذفر »</w:t>
      </w:r>
      <w:r w:rsidR="00E3253D">
        <w:rPr>
          <w:rtl/>
        </w:rPr>
        <w:t>.</w:t>
      </w:r>
      <w:r w:rsidR="00E3253D" w:rsidRPr="005D642E">
        <w:rPr>
          <w:rtl/>
        </w:rPr>
        <w:t xml:space="preserve"> وفي </w:t>
      </w:r>
      <w:r w:rsidR="00E3253D" w:rsidRPr="002F4D34">
        <w:rPr>
          <w:rStyle w:val="libFootnoteBoldChar"/>
          <w:rtl/>
        </w:rPr>
        <w:t>مرآة العقول</w:t>
      </w:r>
      <w:r w:rsidR="00E3253D" w:rsidRPr="005D642E">
        <w:rPr>
          <w:rtl/>
        </w:rPr>
        <w:t xml:space="preserve"> : « في بعض النسخ : تستذفر ، قال في </w:t>
      </w:r>
      <w:r w:rsidR="00E3253D" w:rsidRPr="002F4D34">
        <w:rPr>
          <w:rStyle w:val="libFootnoteBoldChar"/>
          <w:rtl/>
        </w:rPr>
        <w:t>القاموس</w:t>
      </w:r>
      <w:r w:rsidR="00E3253D" w:rsidRPr="005D642E">
        <w:rPr>
          <w:rtl/>
        </w:rPr>
        <w:t xml:space="preserve"> : الذفر محرّكة شدّة ذكاء الريح كالذفرة ، والظاهر أنّها نسخة الجمع كالبدل بقرينة التفسير ، أو يكون في الكتاب</w:t>
      </w:r>
      <w:r w:rsidR="00E3253D">
        <w:rPr>
          <w:rtl/>
        </w:rPr>
        <w:t xml:space="preserve"> </w:t>
      </w:r>
      <w:r w:rsidR="007642BC">
        <w:rPr>
          <w:rtl/>
        </w:rPr>
        <w:t>-</w:t>
      </w:r>
      <w:r w:rsidR="00E3253D">
        <w:rPr>
          <w:rtl/>
        </w:rPr>
        <w:t xml:space="preserve"> </w:t>
      </w:r>
      <w:r w:rsidR="00E3253D" w:rsidRPr="005D642E">
        <w:rPr>
          <w:rtl/>
        </w:rPr>
        <w:t>الذي أخذ المصنّف الخبر منه</w:t>
      </w:r>
      <w:r w:rsidR="00E3253D">
        <w:rPr>
          <w:rtl/>
        </w:rPr>
        <w:t xml:space="preserve"> </w:t>
      </w:r>
      <w:r w:rsidR="007642BC">
        <w:rPr>
          <w:rtl/>
        </w:rPr>
        <w:t>-</w:t>
      </w:r>
      <w:r w:rsidR="00E3253D">
        <w:rPr>
          <w:rtl/>
        </w:rPr>
        <w:t xml:space="preserve"> </w:t>
      </w:r>
      <w:r w:rsidR="00E3253D" w:rsidRPr="005D642E">
        <w:rPr>
          <w:rtl/>
        </w:rPr>
        <w:t>النسختان معاً ففسّرهما أو ذكر أحدهما استطراداً ، والظاهر أنّه كان في هذا الخبر بالذال وفي الخبر السابق بالثاء ، ففسّرهما هاهنا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قوبلت </w:t>
      </w:r>
      <w:r w:rsidR="000D749A" w:rsidRPr="001027A6">
        <w:rPr>
          <w:rtl/>
        </w:rPr>
        <w:t>والوافي</w:t>
      </w:r>
      <w:r w:rsidR="00E3253D" w:rsidRPr="005D642E">
        <w:rPr>
          <w:rtl/>
        </w:rPr>
        <w:t xml:space="preserve"> والوسائل ، ح 2391. وفي المطبوع : « قال » بدون الواو.</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بث ، جس » وحاشية « بخ » ومرآة العقول : « الذمّيّة »</w:t>
      </w:r>
      <w:r w:rsidR="00E3253D">
        <w:rPr>
          <w:rtl/>
        </w:rPr>
        <w:t>.</w:t>
      </w:r>
      <w:r w:rsidR="00E3253D" w:rsidRPr="005D642E">
        <w:rPr>
          <w:rtl/>
        </w:rPr>
        <w:t xml:space="preserve"> وفي « بس » :</w:t>
      </w:r>
      <w:r w:rsidR="00E3253D">
        <w:rPr>
          <w:rtl/>
        </w:rPr>
        <w:t xml:space="preserve"> </w:t>
      </w:r>
      <w:r w:rsidR="007642BC">
        <w:rPr>
          <w:rtl/>
        </w:rPr>
        <w:t>-</w:t>
      </w:r>
      <w:r w:rsidR="00E3253D">
        <w:rPr>
          <w:rtl/>
        </w:rPr>
        <w:t xml:space="preserve"> </w:t>
      </w:r>
      <w:r w:rsidR="00E3253D" w:rsidRPr="005D642E">
        <w:rPr>
          <w:rtl/>
        </w:rPr>
        <w:t>« المرأة »</w:t>
      </w:r>
      <w:r w:rsidR="00E3253D">
        <w:rPr>
          <w:rtl/>
        </w:rPr>
        <w:t>.</w:t>
      </w:r>
      <w:r w:rsidR="00E3253D" w:rsidRPr="005D642E">
        <w:rPr>
          <w:rtl/>
        </w:rPr>
        <w:t xml:space="preserve"> وقوله : « الدَمِيّ</w:t>
      </w:r>
      <w:r w:rsidR="001027A6">
        <w:rPr>
          <w:rtl/>
        </w:rPr>
        <w:t>ة » ، أي صاحبة الدم ، قال العل</w:t>
      </w:r>
      <w:r w:rsidR="001027A6">
        <w:rPr>
          <w:rFonts w:hint="cs"/>
          <w:rtl/>
        </w:rPr>
        <w:t>ّ</w:t>
      </w:r>
      <w:r w:rsidR="001027A6">
        <w:rPr>
          <w:rtl/>
        </w:rPr>
        <w:t>ا</w:t>
      </w:r>
      <w:r w:rsidR="00E3253D" w:rsidRPr="005D642E">
        <w:rPr>
          <w:rtl/>
        </w:rPr>
        <w:t xml:space="preserve">مة المجلسي : « قوله </w:t>
      </w:r>
      <w:r w:rsidR="00E3253D" w:rsidRPr="001027A6">
        <w:rPr>
          <w:rStyle w:val="libFootnoteAlaemChar"/>
          <w:rtl/>
        </w:rPr>
        <w:t>عليه‌السلام</w:t>
      </w:r>
      <w:r w:rsidR="00E3253D" w:rsidRPr="005D642E">
        <w:rPr>
          <w:rtl/>
        </w:rPr>
        <w:t xml:space="preserve"> : الذمّيّة وفي بعض النسخ : الدميّة ، وهو أظهر وكأنّ المراد أنّ المرأة إذا كانت كثيرة الدم بحيث يخرج الدم بين الصلاتين أو أثناء الا</w:t>
      </w:r>
      <w:r w:rsidR="001027A6">
        <w:rPr>
          <w:rFonts w:hint="cs"/>
          <w:rtl/>
        </w:rPr>
        <w:t>ُ</w:t>
      </w:r>
      <w:r w:rsidR="00E3253D" w:rsidRPr="005D642E">
        <w:rPr>
          <w:rtl/>
        </w:rPr>
        <w:t>ولى عن الخرقة تغتسل بينهما</w:t>
      </w:r>
      <w:r w:rsidR="00E3253D">
        <w:rPr>
          <w:rtl/>
        </w:rPr>
        <w:t xml:space="preserve"> ..</w:t>
      </w:r>
      <w:r w:rsidR="00E3253D" w:rsidRPr="005D642E">
        <w:rPr>
          <w:rtl/>
        </w:rPr>
        <w:t>. وأمّا على الذال المعجمة فالمراد أنّها تؤمر بالاغتسال في وقت بين الصلاتين »</w:t>
      </w:r>
      <w:r w:rsidR="00E3253D">
        <w:rPr>
          <w:rtl/>
        </w:rPr>
        <w:t>.</w:t>
      </w:r>
    </w:p>
    <w:p w:rsidR="00E3253D" w:rsidRPr="005D642E" w:rsidRDefault="00E3253D" w:rsidP="00E3253D">
      <w:pPr>
        <w:pStyle w:val="libFootnote0"/>
        <w:rPr>
          <w:rtl/>
          <w:lang w:bidi="fa-IR"/>
        </w:rPr>
      </w:pPr>
      <w:r w:rsidRPr="00B60612">
        <w:rPr>
          <w:rtl/>
        </w:rPr>
        <w:t xml:space="preserve">وقال الطريحي : « وفسّرت </w:t>
      </w:r>
      <w:r w:rsidR="007642BC" w:rsidRPr="00B60612">
        <w:rPr>
          <w:rtl/>
        </w:rPr>
        <w:t>-</w:t>
      </w:r>
      <w:r w:rsidRPr="00B60612">
        <w:rPr>
          <w:rtl/>
        </w:rPr>
        <w:t xml:space="preserve"> أي الذمّيّة </w:t>
      </w:r>
      <w:r w:rsidR="007642BC" w:rsidRPr="00B60612">
        <w:rPr>
          <w:rtl/>
        </w:rPr>
        <w:t>-</w:t>
      </w:r>
      <w:r w:rsidRPr="00B60612">
        <w:rPr>
          <w:rtl/>
        </w:rPr>
        <w:t xml:space="preserve"> بمن اشتغلت ذمّتها بالصلاة ، وكونها نسبة إلى أهل الذمّة غير مناسب كما لا يخفى ». راجع : </w:t>
      </w:r>
      <w:r w:rsidRPr="002F4D34">
        <w:rPr>
          <w:rStyle w:val="libFootnoteBoldChar"/>
          <w:rtl/>
        </w:rPr>
        <w:t>مرآة العقول</w:t>
      </w:r>
      <w:r w:rsidRPr="00B60612">
        <w:rPr>
          <w:rtl/>
        </w:rPr>
        <w:t xml:space="preserve"> ، ج 13 ، ص 225 ؛ </w:t>
      </w:r>
      <w:r w:rsidRPr="002F4D34">
        <w:rPr>
          <w:rStyle w:val="libFootnoteBoldChar"/>
          <w:rtl/>
        </w:rPr>
        <w:t>مجمع البحرين</w:t>
      </w:r>
      <w:r w:rsidRPr="00B60612">
        <w:rPr>
          <w:rtl/>
        </w:rPr>
        <w:t xml:space="preserve"> ، ج 1 ، ص 147 ( دما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تفسير الاستذفار والاستثفار من كلام صاحب الكافي لا الراوي. صرّح به الفيض في </w:t>
      </w:r>
      <w:r w:rsidR="00E3253D" w:rsidRPr="002F4D34">
        <w:rPr>
          <w:rStyle w:val="libFootnoteBoldChar"/>
          <w:rtl/>
        </w:rPr>
        <w:t>الوافي</w:t>
      </w:r>
      <w:r w:rsidR="00E3253D" w:rsidRPr="005D642E">
        <w:rPr>
          <w:rtl/>
        </w:rPr>
        <w:t xml:space="preserve"> والمجلسي </w:t>
      </w:r>
      <w:r w:rsidR="00E3253D" w:rsidRPr="002F4D34">
        <w:rPr>
          <w:rStyle w:val="libFootnoteBoldChar"/>
          <w:rtl/>
        </w:rPr>
        <w:t>في‌المرآة</w:t>
      </w:r>
      <w:r w:rsidR="00E3253D" w:rsidRPr="005D642E">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بث ، بف » والوسائل ، ح 2391 : « أن تتطيّب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تستجمر بالدُخنة » ، أي تجمّر وتدّخن بها ، والدخنة وزان غرفة بَخورٌ كالذَرِيرة ، وهي نوع طيب يدّخن بها البيوت والثياب. راجع : </w:t>
      </w:r>
      <w:r w:rsidR="00E3253D" w:rsidRPr="002F4D34">
        <w:rPr>
          <w:rStyle w:val="libFootnoteBoldChar"/>
          <w:rtl/>
        </w:rPr>
        <w:t>لسان العرب</w:t>
      </w:r>
      <w:r w:rsidR="00E3253D" w:rsidRPr="005D642E">
        <w:rPr>
          <w:rtl/>
        </w:rPr>
        <w:t xml:space="preserve"> ، ج 4 ، ص 144 ( جمر ) ؛ </w:t>
      </w:r>
      <w:r w:rsidR="00E3253D" w:rsidRPr="002F4D34">
        <w:rPr>
          <w:rStyle w:val="libFootnoteBoldChar"/>
          <w:rtl/>
        </w:rPr>
        <w:t>المصباح المنير</w:t>
      </w:r>
      <w:r w:rsidR="00E3253D" w:rsidRPr="005D642E">
        <w:rPr>
          <w:rtl/>
        </w:rPr>
        <w:t xml:space="preserve"> ، ص 191 ( دخن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جس » والوسائل ، ح 2391 : « أن يجعل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الثفر » بالتحريك وقد يسكّن : السَيْر الذي في مؤخّر السرج ، والسَيْر : قدّة أي قطعة من الجلد مستطيلة. راجع : </w:t>
      </w:r>
      <w:r w:rsidR="00E3253D" w:rsidRPr="002F4D34">
        <w:rPr>
          <w:rStyle w:val="libFootnoteBoldChar"/>
          <w:rtl/>
        </w:rPr>
        <w:t>لسان العرب</w:t>
      </w:r>
      <w:r w:rsidR="00E3253D" w:rsidRPr="005D642E">
        <w:rPr>
          <w:rtl/>
        </w:rPr>
        <w:t xml:space="preserve"> ، ج 4 ، ص 105 ؛ </w:t>
      </w:r>
      <w:r w:rsidR="00E3253D" w:rsidRPr="002F4D34">
        <w:rPr>
          <w:rStyle w:val="libFootnoteBoldChar"/>
          <w:rtl/>
        </w:rPr>
        <w:t>القاموس المحيط</w:t>
      </w:r>
      <w:r w:rsidR="00E3253D" w:rsidRPr="005D642E">
        <w:rPr>
          <w:rtl/>
        </w:rPr>
        <w:t xml:space="preserve"> ، ج 1 ، ص 512 ( ثفر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6 ، ص 470 ، ح 4709 ؛ </w:t>
      </w:r>
      <w:r w:rsidR="00E3253D" w:rsidRPr="002F4D34">
        <w:rPr>
          <w:rStyle w:val="libFootnoteBoldChar"/>
          <w:rtl/>
        </w:rPr>
        <w:t>الوسائل</w:t>
      </w:r>
      <w:r w:rsidR="00E3253D" w:rsidRPr="005D642E">
        <w:rPr>
          <w:rtl/>
        </w:rPr>
        <w:t xml:space="preserve"> ، ج 2 ، ص 283 ، ح 2147 ، إلى قوله : « لاتصلّ فيها ، ثمّ تغتسل » ، و</w:t>
      </w:r>
      <w:r w:rsidR="00853875">
        <w:rPr>
          <w:rFonts w:hint="cs"/>
          <w:rtl/>
        </w:rPr>
        <w:t xml:space="preserve"> </w:t>
      </w:r>
      <w:r w:rsidR="00E3253D" w:rsidRPr="005D642E">
        <w:rPr>
          <w:rtl/>
        </w:rPr>
        <w:t>ج 2 ، ص 372 ، ح 2391.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761C02">
        <w:rPr>
          <w:rtl/>
        </w:rPr>
        <w:lastRenderedPageBreak/>
        <w:t>4183</w:t>
      </w:r>
      <w:r w:rsidRPr="00246318">
        <w:rPr>
          <w:rStyle w:val="libBold2Char"/>
          <w:rtl/>
        </w:rPr>
        <w:t xml:space="preserve"> / 4.</w:t>
      </w:r>
      <w:r w:rsidRPr="005D642E">
        <w:rPr>
          <w:rtl/>
          <w:lang w:bidi="fa-IR"/>
        </w:rPr>
        <w:t xml:space="preserve"> مُحَمَّدُ بْنُ يَحْيى ، عَنْ مُحَمَّدِ بْنِ الْحُسَيْنِ ، عَنْ عُثْمَانَ بْنِ عِيسى ، عَنْ سَمَاعَةَ ، قَالَ :</w:t>
      </w:r>
    </w:p>
    <w:p w:rsidR="00E3253D" w:rsidRPr="005D642E" w:rsidRDefault="00E3253D" w:rsidP="00E3253D">
      <w:pPr>
        <w:pStyle w:val="libNormal"/>
        <w:rPr>
          <w:rtl/>
          <w:lang w:bidi="fa-IR"/>
        </w:rPr>
      </w:pPr>
      <w:r w:rsidRPr="005D642E">
        <w:rPr>
          <w:rtl/>
          <w:lang w:bidi="fa-IR"/>
        </w:rPr>
        <w:t>قَالَ : « الْمُسْتَحَاضَةُ إِذَا ثَقَبَ الدَّمُ الْكُرْسُفَ ، اغْتَسَلَتْ لِكُلِّ صَلَاتَيْنِ وَلِلْفَجْرِ غُسْلاً ،</w:t>
      </w:r>
      <w:r>
        <w:rPr>
          <w:rFonts w:hint="cs"/>
          <w:rtl/>
          <w:lang w:bidi="fa-IR"/>
        </w:rPr>
        <w:t xml:space="preserve"> </w:t>
      </w:r>
      <w:r w:rsidRPr="005D642E">
        <w:rPr>
          <w:rtl/>
          <w:lang w:bidi="fa-IR"/>
        </w:rPr>
        <w:t xml:space="preserve">وَإِنْ </w:t>
      </w:r>
      <w:r w:rsidRPr="007C12DB">
        <w:rPr>
          <w:rStyle w:val="libFootnotenumChar"/>
          <w:rtl/>
        </w:rPr>
        <w:t>(1)</w:t>
      </w:r>
      <w:r w:rsidRPr="005D642E">
        <w:rPr>
          <w:rtl/>
          <w:lang w:bidi="fa-IR"/>
        </w:rPr>
        <w:t xml:space="preserve"> لَمْ يَجُزِ الدَّمُ الْكُرْسُفَ ، فَعَلَيْهَا الْغُسْلُ كُلَّ </w:t>
      </w:r>
      <w:r w:rsidRPr="007C12DB">
        <w:rPr>
          <w:rStyle w:val="libFootnotenumChar"/>
          <w:rtl/>
        </w:rPr>
        <w:t>(2)</w:t>
      </w:r>
      <w:r w:rsidRPr="005D642E">
        <w:rPr>
          <w:rtl/>
          <w:lang w:bidi="fa-IR"/>
        </w:rPr>
        <w:t xml:space="preserve"> يَوْمٍ مَرَّةً ، وَالْوُضُوءُ لِكُلِّ صَلَاةٍ ، وَإِنْ أَرَادَ زَوْجُهَا أَنْ يَأْتِيَهَا ، فَحِينَ تَغْتَسِلُ ؛ هذَا إِنْ </w:t>
      </w:r>
      <w:r w:rsidRPr="007C12DB">
        <w:rPr>
          <w:rStyle w:val="libFootnotenumChar"/>
          <w:rtl/>
        </w:rPr>
        <w:t>(3)</w:t>
      </w:r>
      <w:r w:rsidRPr="005D642E">
        <w:rPr>
          <w:rtl/>
          <w:lang w:bidi="fa-IR"/>
        </w:rPr>
        <w:t xml:space="preserve"> كَانَ دَمُهَا عَبِيطاً </w:t>
      </w:r>
      <w:r w:rsidRPr="007C12DB">
        <w:rPr>
          <w:rStyle w:val="libFootnotenumChar"/>
          <w:rtl/>
        </w:rPr>
        <w:t>(4)</w:t>
      </w:r>
      <w:r w:rsidRPr="005D642E">
        <w:rPr>
          <w:rtl/>
          <w:lang w:bidi="fa-IR"/>
        </w:rPr>
        <w:t xml:space="preserve"> ، وَإِنْ كَانَ </w:t>
      </w:r>
      <w:r w:rsidRPr="007C12DB">
        <w:rPr>
          <w:rStyle w:val="libFootnotenumChar"/>
          <w:rtl/>
        </w:rPr>
        <w:t>(5)</w:t>
      </w:r>
      <w:r w:rsidRPr="005D642E">
        <w:rPr>
          <w:rtl/>
          <w:lang w:bidi="fa-IR"/>
        </w:rPr>
        <w:t xml:space="preserve"> صُ</w:t>
      </w:r>
      <w:r w:rsidR="00591486">
        <w:rPr>
          <w:rtl/>
          <w:lang w:bidi="fa-IR"/>
        </w:rPr>
        <w:t>فْرَةً ، فَعَلَيْهَا الْوُضُوءُ</w:t>
      </w:r>
      <w:r w:rsidRPr="005D642E">
        <w:rPr>
          <w:rtl/>
          <w:lang w:bidi="fa-IR"/>
        </w:rPr>
        <w:t>»</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761C02">
        <w:rPr>
          <w:rtl/>
        </w:rPr>
        <w:t>4184</w:t>
      </w:r>
      <w:r w:rsidRPr="00246318">
        <w:rPr>
          <w:rStyle w:val="libBold2Char"/>
          <w:rtl/>
        </w:rPr>
        <w:t xml:space="preserve"> / 5.</w:t>
      </w:r>
      <w:r w:rsidRPr="005D642E">
        <w:rPr>
          <w:rtl/>
          <w:lang w:bidi="fa-IR"/>
        </w:rPr>
        <w:t xml:space="preserve"> عَلِيُّ بْنُ إِبْرَاهِيمَ ، عَنْ أَبِيهِ ، عَنْ عَبْدِ اللهِ بْنِ الْمُغِيرَةِ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الْمُسْتَحَاضَةُ تَغْتَسِلُ عِنْدَ صَلَاةِ الظُّهْرِ ، وَتُصَلِّي الظُّهْرَ </w:t>
      </w:r>
      <w:r w:rsidRPr="007C12DB">
        <w:rPr>
          <w:rStyle w:val="libFootnotenumChar"/>
          <w:rtl/>
        </w:rPr>
        <w:t>(7)</w:t>
      </w:r>
      <w:r w:rsidRPr="005D642E">
        <w:rPr>
          <w:rtl/>
          <w:lang w:bidi="fa-IR"/>
        </w:rPr>
        <w:t xml:space="preserve"> وَالْعَصْرَ ، ثُمَّ </w:t>
      </w:r>
      <w:r w:rsidRPr="007C12DB">
        <w:rPr>
          <w:rStyle w:val="libFootnotenumChar"/>
          <w:rtl/>
        </w:rPr>
        <w:t>(8)</w:t>
      </w:r>
      <w:r w:rsidRPr="005D642E">
        <w:rPr>
          <w:rtl/>
          <w:lang w:bidi="fa-IR"/>
        </w:rPr>
        <w:t xml:space="preserve"> تَغْتَسِلُ عِنْدَ الْمَغْرِبِ ، فَتُصَلِّي الْمَغْرِبَ وَالْعِشَاءَ ، ثُمَّ تَغْتَسِلُ عِنْدَ الصُّبْحِ ، فَتُصَلِّي الْفَجْرَ ، وَلَابَأْسَ </w:t>
      </w:r>
      <w:r w:rsidRPr="007C12DB">
        <w:rPr>
          <w:rStyle w:val="libFootnotenumChar"/>
          <w:rtl/>
        </w:rPr>
        <w:t>(9)</w:t>
      </w:r>
      <w:r w:rsidRPr="005D642E">
        <w:rPr>
          <w:rtl/>
          <w:lang w:bidi="fa-IR"/>
        </w:rPr>
        <w:t xml:space="preserve"> أَنْ يَأْتِيَهَا </w:t>
      </w:r>
      <w:r w:rsidRPr="007C12DB">
        <w:rPr>
          <w:rStyle w:val="libFootnotenumChar"/>
          <w:rtl/>
        </w:rPr>
        <w:t>(10)</w:t>
      </w:r>
      <w:r w:rsidR="00853875">
        <w:rPr>
          <w:rtl/>
          <w:lang w:bidi="fa-IR"/>
        </w:rPr>
        <w:t xml:space="preserve"> بَعْلُهَا إِذَا شَاءَ إِل</w:t>
      </w:r>
      <w:r w:rsidR="00853875">
        <w:rPr>
          <w:rFonts w:hint="cs"/>
          <w:rtl/>
          <w:lang w:bidi="fa-IR"/>
        </w:rPr>
        <w:t>َّ</w:t>
      </w:r>
      <w:r w:rsidR="00853875">
        <w:rPr>
          <w:rtl/>
          <w:lang w:bidi="fa-IR"/>
        </w:rPr>
        <w:t>ا</w:t>
      </w:r>
      <w:r w:rsidRPr="005D642E">
        <w:rPr>
          <w:rtl/>
          <w:lang w:bidi="fa-IR"/>
        </w:rPr>
        <w:t xml:space="preserve"> أَيَّامَ حَيْضِهَا فَيَعْتَزِلُهَا </w:t>
      </w:r>
      <w:r w:rsidRPr="007C12DB">
        <w:rPr>
          <w:rStyle w:val="libFootnotenumChar"/>
          <w:rtl/>
        </w:rPr>
        <w:t>(11)</w:t>
      </w:r>
      <w:r w:rsidRPr="005D642E">
        <w:rPr>
          <w:rtl/>
          <w:lang w:bidi="fa-IR"/>
        </w:rPr>
        <w:t xml:space="preserve"> زَوْجُهَا </w:t>
      </w:r>
      <w:r w:rsidRPr="007C12DB">
        <w:rPr>
          <w:rStyle w:val="libFootnotenumChar"/>
          <w:rtl/>
        </w:rPr>
        <w:t>(12)</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قَالَ : وَقَالَ </w:t>
      </w:r>
      <w:r w:rsidRPr="007C12DB">
        <w:rPr>
          <w:rStyle w:val="libFootnotenumChar"/>
          <w:rtl/>
        </w:rPr>
        <w:t>(13)</w:t>
      </w:r>
      <w:r w:rsidRPr="005D642E">
        <w:rPr>
          <w:rtl/>
          <w:lang w:bidi="fa-IR"/>
        </w:rPr>
        <w:t xml:space="preserve"> : « لَمْ تَفْعَلْهُ امْرَأَةٌ قَطُّ احْتِسَاباً </w:t>
      </w:r>
      <w:r w:rsidRPr="007C12DB">
        <w:rPr>
          <w:rStyle w:val="libFootnotenumChar"/>
          <w:rtl/>
        </w:rPr>
        <w:t>(14)</w:t>
      </w:r>
      <w:r w:rsidR="00853875">
        <w:rPr>
          <w:rtl/>
          <w:lang w:bidi="fa-IR"/>
        </w:rPr>
        <w:t xml:space="preserve"> إِل</w:t>
      </w:r>
      <w:r w:rsidR="00853875">
        <w:rPr>
          <w:rFonts w:hint="cs"/>
          <w:rtl/>
          <w:lang w:bidi="fa-IR"/>
        </w:rPr>
        <w:t>َّ</w:t>
      </w:r>
      <w:r w:rsidR="00853875">
        <w:rPr>
          <w:rtl/>
          <w:lang w:bidi="fa-IR"/>
        </w:rPr>
        <w:t>ا</w:t>
      </w:r>
      <w:r w:rsidRPr="005D642E">
        <w:rPr>
          <w:rtl/>
          <w:lang w:bidi="fa-IR"/>
        </w:rPr>
        <w:t xml:space="preserve"> عُوفِيَتْ مِنْ‌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53875" w:rsidTr="00853875">
        <w:tc>
          <w:tcPr>
            <w:tcW w:w="4006" w:type="dxa"/>
          </w:tcPr>
          <w:p w:rsidR="00853875" w:rsidRDefault="004A536E" w:rsidP="00E3253D">
            <w:pPr>
              <w:pStyle w:val="libFootnote0"/>
              <w:rPr>
                <w:rStyle w:val="libFootnote0Char"/>
                <w:rtl/>
              </w:rPr>
            </w:pPr>
            <w:r w:rsidRPr="0042621E">
              <w:rPr>
                <w:rStyle w:val="libFootnote0Char"/>
                <w:rtl/>
              </w:rPr>
              <w:t>(1).</w:t>
            </w:r>
            <w:r>
              <w:rPr>
                <w:rtl/>
              </w:rPr>
              <w:t xml:space="preserve"> </w:t>
            </w:r>
            <w:r w:rsidR="00591486">
              <w:rPr>
                <w:rtl/>
              </w:rPr>
              <w:t>في «بث» : «وإذا</w:t>
            </w:r>
            <w:r w:rsidRPr="005D642E">
              <w:rPr>
                <w:rtl/>
              </w:rPr>
              <w:t>»</w:t>
            </w:r>
            <w:r>
              <w:rPr>
                <w:rtl/>
              </w:rPr>
              <w:t>.</w:t>
            </w:r>
            <w:r w:rsidR="00591486">
              <w:rPr>
                <w:rtl/>
              </w:rPr>
              <w:t xml:space="preserve"> وفي التهذيب : «فإن</w:t>
            </w:r>
            <w:r w:rsidRPr="005D642E">
              <w:rPr>
                <w:rtl/>
              </w:rPr>
              <w:t>»</w:t>
            </w:r>
            <w:r>
              <w:rPr>
                <w:rtl/>
              </w:rPr>
              <w:t>.</w:t>
            </w:r>
          </w:p>
        </w:tc>
        <w:tc>
          <w:tcPr>
            <w:tcW w:w="4006" w:type="dxa"/>
          </w:tcPr>
          <w:p w:rsidR="00853875" w:rsidRDefault="004A536E" w:rsidP="00E3253D">
            <w:pPr>
              <w:pStyle w:val="libFootnote0"/>
              <w:rPr>
                <w:rStyle w:val="libFootnote0Char"/>
                <w:rtl/>
              </w:rPr>
            </w:pPr>
            <w:r w:rsidRPr="0042621E">
              <w:rPr>
                <w:rStyle w:val="libFootnote0Char"/>
                <w:rtl/>
              </w:rPr>
              <w:t>(2).</w:t>
            </w:r>
            <w:r w:rsidRPr="005D642E">
              <w:rPr>
                <w:rtl/>
              </w:rPr>
              <w:t xml:space="preserve"> في الوسائل : « لكلّ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 إذا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وحاشية « بث ، بخ » </w:t>
      </w:r>
      <w:r w:rsidR="00B60612" w:rsidRPr="00B60612">
        <w:rPr>
          <w:rStyle w:val="libFootnoteBoldChar"/>
          <w:rtl/>
        </w:rPr>
        <w:t>والتهذيب</w:t>
      </w:r>
      <w:r w:rsidR="00E3253D" w:rsidRPr="005D642E">
        <w:rPr>
          <w:rtl/>
        </w:rPr>
        <w:t xml:space="preserve"> : « دماً عبيطاً »</w:t>
      </w:r>
      <w:r w:rsidR="00E3253D">
        <w:rPr>
          <w:rtl/>
        </w:rPr>
        <w:t>.</w:t>
      </w:r>
      <w:r w:rsidR="00E3253D" w:rsidRPr="005D642E">
        <w:rPr>
          <w:rtl/>
        </w:rPr>
        <w:t xml:space="preserve"> والدم العَبيط : الصحيح الخالص الطريّ لاخلط فيه. راجع : </w:t>
      </w:r>
      <w:r w:rsidR="00E3253D" w:rsidRPr="002F4D34">
        <w:rPr>
          <w:rStyle w:val="libFootnoteBoldChar"/>
          <w:rtl/>
        </w:rPr>
        <w:t>الصحاح</w:t>
      </w:r>
      <w:r w:rsidR="00E3253D" w:rsidRPr="005D642E">
        <w:rPr>
          <w:rtl/>
        </w:rPr>
        <w:t xml:space="preserve"> ، ج 3 ، ص 1142 ؛ </w:t>
      </w:r>
      <w:r w:rsidR="00E3253D" w:rsidRPr="002F4D34">
        <w:rPr>
          <w:rStyle w:val="libFootnoteBoldChar"/>
          <w:rtl/>
        </w:rPr>
        <w:t>المصباح المنير</w:t>
      </w:r>
      <w:r w:rsidR="00E3253D" w:rsidRPr="005D642E">
        <w:rPr>
          <w:rtl/>
        </w:rPr>
        <w:t xml:space="preserve"> ، ص 390 ( عبط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 غ » </w:t>
      </w:r>
      <w:r w:rsidR="000D749A" w:rsidRPr="00D53E54">
        <w:rPr>
          <w:rtl/>
        </w:rPr>
        <w:t>والوافي</w:t>
      </w:r>
      <w:r w:rsidR="00E3253D" w:rsidRPr="005D642E">
        <w:rPr>
          <w:rtl/>
        </w:rPr>
        <w:t>. وفي سائر النسخ والوسائل والمطبوع : « وإن كانت »</w:t>
      </w:r>
      <w:r w:rsidR="00E3253D">
        <w:rPr>
          <w:rtl/>
        </w:rPr>
        <w:t>.</w:t>
      </w:r>
      <w:r w:rsidR="00E3253D" w:rsidRPr="005D642E">
        <w:rPr>
          <w:rtl/>
        </w:rPr>
        <w:t xml:space="preserve"> وفي التهذيب : « فإن كانت »</w:t>
      </w:r>
      <w:r w:rsidR="00E3253D">
        <w:rPr>
          <w:rtl/>
        </w:rPr>
        <w:t>.</w:t>
      </w:r>
    </w:p>
    <w:p w:rsidR="00E3253D" w:rsidRPr="005D642E" w:rsidRDefault="0042621E" w:rsidP="00D16971">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170 ، ح 485 ، بسنده عن الكليني</w:t>
      </w:r>
      <w:r w:rsidR="00D16971">
        <w:rPr>
          <w:rFonts w:hint="cs"/>
          <w:rtl/>
        </w:rPr>
        <w:t>.</w:t>
      </w:r>
      <w:r w:rsidR="00E3253D" w:rsidRPr="002F4D34">
        <w:rPr>
          <w:rStyle w:val="libFootnoteBoldChar"/>
          <w:rtl/>
        </w:rPr>
        <w:t>الوافي</w:t>
      </w:r>
      <w:r w:rsidR="00E3253D" w:rsidRPr="005D642E">
        <w:rPr>
          <w:rtl/>
        </w:rPr>
        <w:t xml:space="preserve"> ، ج 6 ، ص 471 ، ح 4710 ؛ </w:t>
      </w:r>
      <w:r w:rsidR="00E3253D" w:rsidRPr="002F4D34">
        <w:rPr>
          <w:rStyle w:val="libFootnoteBoldChar"/>
          <w:rtl/>
        </w:rPr>
        <w:t>الوسائل</w:t>
      </w:r>
      <w:r w:rsidR="00E3253D" w:rsidRPr="005D642E">
        <w:rPr>
          <w:rtl/>
        </w:rPr>
        <w:t xml:space="preserve"> ، ج 2 ، ص 374 ، ح 2395.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ص 171. وفي « بف » :</w:t>
      </w:r>
      <w:r w:rsidR="00E3253D">
        <w:rPr>
          <w:rtl/>
        </w:rPr>
        <w:t xml:space="preserve"> </w:t>
      </w:r>
      <w:r w:rsidR="007642BC">
        <w:rPr>
          <w:rtl/>
        </w:rPr>
        <w:t>-</w:t>
      </w:r>
      <w:r w:rsidR="00E3253D">
        <w:rPr>
          <w:rtl/>
        </w:rPr>
        <w:t xml:space="preserve"> </w:t>
      </w:r>
      <w:r w:rsidR="00E3253D" w:rsidRPr="005D642E">
        <w:rPr>
          <w:rtl/>
        </w:rPr>
        <w:t>« وتصلّي الظهر »</w:t>
      </w:r>
      <w:r w:rsidR="00E3253D">
        <w:rPr>
          <w:rtl/>
        </w:rPr>
        <w:t>.</w:t>
      </w:r>
      <w:r w:rsidR="00E3253D" w:rsidRPr="005D642E">
        <w:rPr>
          <w:rtl/>
        </w:rPr>
        <w:t xml:space="preserve"> وفي المطبوع : « فتصلّي الظهر »</w:t>
      </w:r>
      <w:r w:rsidR="00E3253D">
        <w:rPr>
          <w:rtl/>
        </w:rPr>
        <w:t>.</w:t>
      </w:r>
      <w:r w:rsidR="00591486">
        <w:rPr>
          <w:rFonts w:hint="cs"/>
          <w:rtl/>
        </w:rPr>
        <w:t xml:space="preserve">                   </w:t>
      </w:r>
      <w:r w:rsidR="0063297C">
        <w:rPr>
          <w:rFonts w:hint="cs"/>
          <w:rtl/>
        </w:rPr>
        <w:t xml:space="preserve">   </w:t>
      </w:r>
      <w:r w:rsidR="00E3253D">
        <w:rPr>
          <w:rFonts w:hint="cs"/>
          <w:rtl/>
          <w:lang w:bidi="fa-IR"/>
        </w:rPr>
        <w:t xml:space="preserve"> </w:t>
      </w:r>
      <w:r w:rsidRPr="0042621E">
        <w:rPr>
          <w:rStyle w:val="libFootnote0Char"/>
          <w:rtl/>
        </w:rPr>
        <w:t>(8).</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ثمّ »</w:t>
      </w:r>
      <w:r w:rsidR="00E3253D">
        <w:rPr>
          <w:rtl/>
        </w:rPr>
        <w:t>.</w:t>
      </w:r>
    </w:p>
    <w:tbl>
      <w:tblPr>
        <w:tblStyle w:val="TableGrid"/>
        <w:bidiVisual/>
        <w:tblW w:w="0" w:type="auto"/>
        <w:tblLook w:val="04A0" w:firstRow="1" w:lastRow="0" w:firstColumn="1" w:lastColumn="0" w:noHBand="0" w:noVBand="1"/>
      </w:tblPr>
      <w:tblGrid>
        <w:gridCol w:w="4006"/>
        <w:gridCol w:w="4006"/>
      </w:tblGrid>
      <w:tr w:rsidR="0063297C" w:rsidTr="0063297C">
        <w:tc>
          <w:tcPr>
            <w:tcW w:w="4006" w:type="dxa"/>
          </w:tcPr>
          <w:p w:rsidR="0063297C" w:rsidRDefault="0063297C" w:rsidP="00E3253D">
            <w:pPr>
              <w:pStyle w:val="libFootnote0"/>
              <w:rPr>
                <w:rStyle w:val="libFootnote0Char"/>
                <w:rtl/>
              </w:rPr>
            </w:pPr>
            <w:r w:rsidRPr="0042621E">
              <w:rPr>
                <w:rStyle w:val="libFootnote0Char"/>
                <w:rtl/>
              </w:rPr>
              <w:t>(9).</w:t>
            </w:r>
            <w:r w:rsidRPr="005D642E">
              <w:rPr>
                <w:rtl/>
              </w:rPr>
              <w:t xml:space="preserve"> في « غ » : « فلا بأس »</w:t>
            </w:r>
            <w:r>
              <w:rPr>
                <w:rtl/>
              </w:rPr>
              <w:t>.</w:t>
            </w:r>
          </w:p>
        </w:tc>
        <w:tc>
          <w:tcPr>
            <w:tcW w:w="4006" w:type="dxa"/>
          </w:tcPr>
          <w:p w:rsidR="0063297C" w:rsidRDefault="0063297C" w:rsidP="00E3253D">
            <w:pPr>
              <w:pStyle w:val="libFootnote0"/>
              <w:rPr>
                <w:rStyle w:val="libFootnote0Char"/>
                <w:rtl/>
              </w:rPr>
            </w:pPr>
            <w:r w:rsidRPr="0042621E">
              <w:rPr>
                <w:rStyle w:val="libFootnote0Char"/>
                <w:rtl/>
              </w:rPr>
              <w:t>(10).</w:t>
            </w:r>
            <w:r w:rsidRPr="005D642E">
              <w:rPr>
                <w:rtl/>
              </w:rPr>
              <w:t xml:space="preserve"> في « ظ ، جس » والوسائل : « بأن يأتيها »</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جح ، جس » : « فيعزلها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هكذا في جميع النسخ التي قوبلت </w:t>
      </w:r>
      <w:r w:rsidR="000D749A" w:rsidRPr="0063297C">
        <w:rP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ص 171. وفي المطبوع : « بعلها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بح » : « قال » بدون الواو.</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قال ابن الأثير : « احتساباً ، أي طلباً لوجه الله وث</w:t>
      </w:r>
      <w:r w:rsidR="0063297C">
        <w:rPr>
          <w:rtl/>
        </w:rPr>
        <w:t>وابه ، فالاحتساب من الحسب</w:t>
      </w:r>
      <w:r w:rsidR="00E3253D" w:rsidRPr="005D642E">
        <w:rPr>
          <w:rtl/>
        </w:rPr>
        <w:t xml:space="preserve">، كالاعتداد من العدّ ، وإنّما </w:t>
      </w:r>
      <w:r w:rsidR="0063297C">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ذلِكَ »</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761C02">
        <w:rPr>
          <w:rtl/>
        </w:rPr>
        <w:t>4185</w:t>
      </w:r>
      <w:r w:rsidRPr="00246318">
        <w:rPr>
          <w:rStyle w:val="libBold2Char"/>
          <w:rtl/>
        </w:rPr>
        <w:t xml:space="preserve"> / 6.</w:t>
      </w:r>
      <w:r w:rsidRPr="005D642E">
        <w:rPr>
          <w:rtl/>
          <w:lang w:bidi="fa-IR"/>
        </w:rPr>
        <w:t xml:space="preserve"> مُحَمَّدُ بْنُ إِسْمَاعِيلَ ، عَنِ الْفَضْلِ بْنِ شَاذَانَ ، عَنْ صَفْوَانَ بْنِ يَحْيى :</w:t>
      </w:r>
    </w:p>
    <w:p w:rsidR="00E3253D" w:rsidRPr="005D642E" w:rsidRDefault="00E3253D" w:rsidP="00E3253D">
      <w:pPr>
        <w:pStyle w:val="libNormal"/>
        <w:rPr>
          <w:rtl/>
          <w:lang w:bidi="fa-IR"/>
        </w:rPr>
      </w:pPr>
      <w:r w:rsidRPr="005D642E">
        <w:rPr>
          <w:rtl/>
          <w:lang w:bidi="fa-IR"/>
        </w:rPr>
        <w:t xml:space="preserve">عَنْ أَبِي الْحَسَنِ </w:t>
      </w:r>
      <w:r w:rsidRPr="00AC51C5">
        <w:rPr>
          <w:rStyle w:val="libAlaemChar"/>
          <w:rtl/>
        </w:rPr>
        <w:t>عليه‌السلام</w:t>
      </w:r>
      <w:r w:rsidRPr="005D642E">
        <w:rPr>
          <w:rtl/>
          <w:lang w:bidi="fa-IR"/>
        </w:rPr>
        <w:t xml:space="preserve"> ، قَالَ : قُلْتُ لَهُ : جُعِلْتُ فِدَاكَ </w:t>
      </w:r>
      <w:r w:rsidRPr="007C12DB">
        <w:rPr>
          <w:rStyle w:val="libFootnotenumChar"/>
          <w:rtl/>
        </w:rPr>
        <w:t>(2)</w:t>
      </w:r>
      <w:r w:rsidRPr="005D642E">
        <w:rPr>
          <w:rtl/>
          <w:lang w:bidi="fa-IR"/>
        </w:rPr>
        <w:t xml:space="preserve"> ، إِذَا مَكَثَتِ </w:t>
      </w:r>
      <w:r w:rsidRPr="007C12DB">
        <w:rPr>
          <w:rStyle w:val="libFootnotenumChar"/>
          <w:rtl/>
        </w:rPr>
        <w:t>(3)</w:t>
      </w:r>
      <w:r w:rsidRPr="005D642E">
        <w:rPr>
          <w:rtl/>
          <w:lang w:bidi="fa-IR"/>
        </w:rPr>
        <w:t xml:space="preserve"> الْمَرْأَةُ عَشَرَةَ أَيَّامٍ تَرَى الدَّمَ ، ثُمَّ طَهُرَتْ ، فَمَكَثَتْ ثَلَاثَةَ أَيَّامٍ طَاهِرَةً </w:t>
      </w:r>
      <w:r w:rsidRPr="007C12DB">
        <w:rPr>
          <w:rStyle w:val="libFootnotenumChar"/>
          <w:rtl/>
        </w:rPr>
        <w:t>(4)</w:t>
      </w:r>
      <w:r w:rsidRPr="005D642E">
        <w:rPr>
          <w:rtl/>
          <w:lang w:bidi="fa-IR"/>
        </w:rPr>
        <w:t xml:space="preserve"> ، ثُمَّ ر</w:t>
      </w:r>
      <w:r>
        <w:rPr>
          <w:rtl/>
          <w:lang w:bidi="fa-IR"/>
        </w:rPr>
        <w:t>َأَتِ الدَّمَ بَعْدَ ذلِكَ : أَ</w:t>
      </w:r>
      <w:r w:rsidRPr="005D642E">
        <w:rPr>
          <w:rtl/>
          <w:lang w:bidi="fa-IR"/>
        </w:rPr>
        <w:t>تُمْسِكُ عَنِ الصَّلَاةِ</w:t>
      </w:r>
      <w:r>
        <w:rPr>
          <w:rtl/>
          <w:lang w:bidi="fa-IR"/>
        </w:rPr>
        <w:t>؟</w:t>
      </w:r>
    </w:p>
    <w:p w:rsidR="00E3253D" w:rsidRPr="005D642E" w:rsidRDefault="00E3253D" w:rsidP="00E3253D">
      <w:pPr>
        <w:pStyle w:val="libNormal"/>
        <w:rPr>
          <w:rtl/>
          <w:lang w:bidi="fa-IR"/>
        </w:rPr>
      </w:pPr>
      <w:r w:rsidRPr="005D642E">
        <w:rPr>
          <w:rtl/>
          <w:lang w:bidi="fa-IR"/>
        </w:rPr>
        <w:t xml:space="preserve">قَالَ : « لَا ، هذِهِ مُسْتَحَاضَةٌ تَغْتَسِلُ ، وَتَسْتَدْخِلُ قُطْنَةً بَعْدَ قُطْنَةٍ </w:t>
      </w:r>
      <w:r w:rsidRPr="007C12DB">
        <w:rPr>
          <w:rStyle w:val="libFootnotenumChar"/>
          <w:rtl/>
        </w:rPr>
        <w:t>(5)</w:t>
      </w:r>
      <w:r w:rsidRPr="005D642E">
        <w:rPr>
          <w:rtl/>
          <w:lang w:bidi="fa-IR"/>
        </w:rPr>
        <w:t xml:space="preserve"> ، وَتَجْمَعُ بَيْنَ صَلَاتَيْنِ </w:t>
      </w:r>
      <w:r w:rsidRPr="007C12DB">
        <w:rPr>
          <w:rStyle w:val="libFootnotenumChar"/>
          <w:rtl/>
        </w:rPr>
        <w:t>(6)</w:t>
      </w:r>
      <w:r w:rsidRPr="005D642E">
        <w:rPr>
          <w:rtl/>
          <w:lang w:bidi="fa-IR"/>
        </w:rPr>
        <w:t xml:space="preserve"> بِغُسْلٍ ، وَيَأْتِيهَا زَوْجُهَا إِنْ </w:t>
      </w:r>
      <w:r w:rsidRPr="007C12DB">
        <w:rPr>
          <w:rStyle w:val="libFootnotenumChar"/>
          <w:rtl/>
        </w:rPr>
        <w:t>(7)</w:t>
      </w:r>
      <w:r w:rsidRPr="005D642E">
        <w:rPr>
          <w:rtl/>
          <w:lang w:bidi="fa-IR"/>
        </w:rPr>
        <w:t xml:space="preserve"> أَرَادَ »</w:t>
      </w:r>
      <w:r>
        <w:rPr>
          <w:rtl/>
          <w:lang w:bidi="fa-IR"/>
        </w:rPr>
        <w:t>.</w:t>
      </w:r>
      <w:r w:rsidRPr="005D642E">
        <w:rPr>
          <w:rtl/>
          <w:lang w:bidi="fa-IR"/>
        </w:rPr>
        <w:t xml:space="preserve"> </w:t>
      </w:r>
      <w:r w:rsidRPr="007C12DB">
        <w:rPr>
          <w:rStyle w:val="libFootnotenumChar"/>
          <w:rtl/>
        </w:rPr>
        <w:t>(8)</w:t>
      </w:r>
    </w:p>
    <w:p w:rsidR="00E3253D" w:rsidRPr="005D642E" w:rsidRDefault="00E3253D" w:rsidP="00E3253D">
      <w:pPr>
        <w:pStyle w:val="libNormal"/>
        <w:rPr>
          <w:rtl/>
          <w:lang w:bidi="fa-IR"/>
        </w:rPr>
      </w:pPr>
      <w:r w:rsidRPr="00761C02">
        <w:rPr>
          <w:rtl/>
        </w:rPr>
        <w:t>4186</w:t>
      </w:r>
      <w:r w:rsidRPr="00246318">
        <w:rPr>
          <w:rStyle w:val="libBold2Char"/>
          <w:rtl/>
        </w:rPr>
        <w:t xml:space="preserve"> / 7.</w:t>
      </w:r>
      <w:r w:rsidRPr="005D642E">
        <w:rPr>
          <w:rtl/>
          <w:lang w:bidi="fa-IR"/>
        </w:rPr>
        <w:t xml:space="preserve"> عِدَّةٌ مِنْ أَصْحَابِنَا ، عَنْ أَحْمَدَ بْنِ مُحَمَّدٍ ، عَنْ عَلِيِّ بْنِ الْحَكَمِ ، عَنْ دَاوُدَ مَوْلى أَبِي الْمَغْرَاءِ الْعِجْلِيِّ ، عَمَّنْ أَخْبَرَهُ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الْمَرْأَةِ تَحِيضُ ، ثُمَّ يَمْضِي </w:t>
      </w:r>
      <w:r w:rsidRPr="007C12DB">
        <w:rPr>
          <w:rStyle w:val="libFootnotenumChar"/>
          <w:rtl/>
        </w:rPr>
        <w:t>(9)</w:t>
      </w:r>
      <w:r w:rsidRPr="005D642E">
        <w:rPr>
          <w:rtl/>
          <w:lang w:bidi="fa-IR"/>
        </w:rPr>
        <w:t xml:space="preserve"> وَقْتُ طُهْرِهَا وَهِيَ تَرَى الدَّمَ</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221DF8" w:rsidP="00E3253D">
      <w:pPr>
        <w:pStyle w:val="libFootnote0"/>
        <w:rPr>
          <w:rtl/>
          <w:lang w:bidi="fa-IR"/>
        </w:rPr>
      </w:pPr>
      <w:r>
        <w:rPr>
          <w:rFonts w:hint="cs"/>
          <w:rtl/>
        </w:rPr>
        <w:t xml:space="preserve">= </w:t>
      </w:r>
      <w:r w:rsidR="00E3253D" w:rsidRPr="005D642E">
        <w:rPr>
          <w:rtl/>
        </w:rPr>
        <w:t>قيل لمن ينوي بعمله وجه الله : احتسبه ؛ لأنّ له حينئذٍ أن يعتدّ عمله ، فجعل في حال مباشرة الفعل كأنّه معتدّ به ، والحِسبة : اسم من الاحتساب كالعدّة من الاعتداد ، والاحتساب في الأعمال الصالحة وعند المكروهات هو البِدار إلى طلب الأجر وتحصيله بالتسليم والصبر ، أو باستعمال أنواع البرّ والقيام بها على الوجه المرسوم فيها طلباً للثواب المرجوّ منها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1 ، ص 382 ( حسب )</w:t>
      </w:r>
      <w:r w:rsidR="00E3253D">
        <w:rPr>
          <w:rtl/>
        </w:rPr>
        <w:t>.</w:t>
      </w:r>
    </w:p>
    <w:p w:rsidR="00E3253D" w:rsidRPr="005D642E" w:rsidRDefault="0042621E" w:rsidP="00B61510">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171 ، ح 487 ، بسنده عن النضر ، عن ابن سنان ، عن أبي عبدالله </w:t>
      </w:r>
      <w:r w:rsidR="00E3253D" w:rsidRPr="00221DF8">
        <w:rPr>
          <w:rStyle w:val="libFootnoteAlaemChar"/>
          <w:rtl/>
        </w:rPr>
        <w:t>عليه‌السلام</w:t>
      </w:r>
      <w:r w:rsidR="00E3253D" w:rsidRPr="005D642E">
        <w:rPr>
          <w:rtl/>
        </w:rPr>
        <w:t xml:space="preserve"> ؛ </w:t>
      </w:r>
      <w:r w:rsidR="00E3253D" w:rsidRPr="002F4D34">
        <w:rPr>
          <w:rStyle w:val="libFootnoteBoldChar"/>
          <w:rtl/>
        </w:rPr>
        <w:t>وفيه</w:t>
      </w:r>
      <w:r w:rsidR="00E3253D" w:rsidRPr="005D642E">
        <w:rPr>
          <w:rtl/>
        </w:rPr>
        <w:t xml:space="preserve"> ، ص 401 ، ح 1254 ، بسنده عن عبدالله بن سنان ، وفيهما مع اختلاف يسير</w:t>
      </w:r>
      <w:r w:rsidR="00221DF8">
        <w:rPr>
          <w:rFonts w:hint="cs"/>
          <w:rtl/>
        </w:rPr>
        <w:t>.</w:t>
      </w:r>
      <w:r w:rsidR="00E3253D" w:rsidRPr="002F4D34">
        <w:rPr>
          <w:rStyle w:val="libFootnoteBoldChar"/>
          <w:rtl/>
        </w:rPr>
        <w:t>الوافي</w:t>
      </w:r>
      <w:r w:rsidR="00E3253D" w:rsidRPr="005D642E">
        <w:rPr>
          <w:rtl/>
        </w:rPr>
        <w:t xml:space="preserve"> ، ج 6 ، ص 471 ، ح 4711 ؛ </w:t>
      </w:r>
      <w:r w:rsidR="00E3253D" w:rsidRPr="002F4D34">
        <w:rPr>
          <w:rStyle w:val="libFootnoteBoldChar"/>
          <w:rtl/>
        </w:rPr>
        <w:t>الوسائل</w:t>
      </w:r>
      <w:r w:rsidR="00E3253D" w:rsidRPr="005D642E">
        <w:rPr>
          <w:rtl/>
        </w:rPr>
        <w:t xml:space="preserve"> ، ج 2 ، ص 372 ، ح 2393.</w:t>
      </w:r>
      <w:r w:rsidR="00B61510">
        <w:rPr>
          <w:rFonts w:hint="cs"/>
          <w:rtl/>
        </w:rPr>
        <w:t xml:space="preserve">               </w:t>
      </w:r>
      <w:r w:rsidRPr="0042621E">
        <w:rPr>
          <w:rStyle w:val="libFootnote0Char"/>
          <w:rtl/>
        </w:rPr>
        <w:t>(2).</w:t>
      </w:r>
      <w:r w:rsidR="00E3253D" w:rsidRPr="005D642E">
        <w:rPr>
          <w:rtl/>
        </w:rPr>
        <w:t xml:space="preserve"> في الوسائل:</w:t>
      </w:r>
      <w:r w:rsidR="007642BC">
        <w:rPr>
          <w:rtl/>
        </w:rPr>
        <w:t>-</w:t>
      </w:r>
      <w:r w:rsidR="00E3253D" w:rsidRPr="005D642E">
        <w:rPr>
          <w:rtl/>
        </w:rPr>
        <w:t>«جعلت فداك»</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إذا مكثت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بث ، بخ ، بف ، جن » وحاشية « بح » </w:t>
      </w:r>
      <w:r w:rsidR="000D749A" w:rsidRPr="007436C3">
        <w:rP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طاهراً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بعد قطنة »</w:t>
      </w:r>
      <w:r w:rsidR="00E3253D">
        <w:rPr>
          <w:rtl/>
        </w:rPr>
        <w:t>.</w:t>
      </w:r>
    </w:p>
    <w:p w:rsidR="00E3253D" w:rsidRPr="005D642E" w:rsidRDefault="0042621E" w:rsidP="007436C3">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بث » : « بين كلّ صلاتين »</w:t>
      </w:r>
      <w:r w:rsidR="00E3253D">
        <w:rPr>
          <w:rtl/>
        </w:rPr>
        <w:t>.</w:t>
      </w:r>
      <w:r w:rsidR="00E3253D" w:rsidRPr="005D642E">
        <w:rPr>
          <w:rtl/>
        </w:rPr>
        <w:t xml:space="preserve"> وفي المطبوع : « بين الصلاتين »</w:t>
      </w:r>
      <w:r w:rsidR="00E3253D">
        <w:rPr>
          <w:rtl/>
        </w:rPr>
        <w:t>.</w:t>
      </w:r>
      <w:r w:rsidR="007436C3">
        <w:rPr>
          <w:rFonts w:hint="cs"/>
          <w:rtl/>
        </w:rPr>
        <w:t xml:space="preserve">                                      </w:t>
      </w:r>
      <w:r w:rsidR="007D3633">
        <w:rPr>
          <w:rFonts w:hint="cs"/>
          <w:rtl/>
        </w:rPr>
        <w:t xml:space="preserve">  </w:t>
      </w:r>
      <w:r w:rsidRPr="0042621E">
        <w:rPr>
          <w:rStyle w:val="libFootnote0Char"/>
          <w:rtl/>
        </w:rPr>
        <w:t>(7).</w:t>
      </w:r>
      <w:r w:rsidR="00E3253D" w:rsidRPr="005D642E">
        <w:rPr>
          <w:rtl/>
        </w:rPr>
        <w:t xml:space="preserve"> في الوافي عن بعض النسخ : « إذا »</w:t>
      </w:r>
      <w:r w:rsidR="00E3253D">
        <w:rPr>
          <w:rtl/>
        </w:rPr>
        <w:t>.</w:t>
      </w:r>
    </w:p>
    <w:p w:rsidR="00E3253D" w:rsidRPr="005D642E" w:rsidRDefault="00E3253D" w:rsidP="00013691">
      <w:pPr>
        <w:pStyle w:val="libFootnote0"/>
        <w:rPr>
          <w:rtl/>
          <w:lang w:bidi="fa-IR"/>
        </w:rPr>
      </w:pPr>
      <w:r w:rsidRPr="005D642E">
        <w:rPr>
          <w:rtl/>
        </w:rPr>
        <w:t>(</w:t>
      </w:r>
      <w:r>
        <w:rPr>
          <w:rtl/>
        </w:rPr>
        <w:t>8)</w:t>
      </w:r>
      <w:r w:rsidRPr="005D642E">
        <w:rPr>
          <w:rtl/>
        </w:rPr>
        <w:t xml:space="preserve"> </w:t>
      </w:r>
      <w:r w:rsidRPr="002F4D34">
        <w:rPr>
          <w:rStyle w:val="libFootnoteBoldChar"/>
          <w:rtl/>
        </w:rPr>
        <w:t>التهذيب</w:t>
      </w:r>
      <w:r w:rsidRPr="005D642E">
        <w:rPr>
          <w:rtl/>
        </w:rPr>
        <w:t xml:space="preserve"> ، ج 1 ، ص 170 ، ح 486 ، بسنده عن الكليني</w:t>
      </w:r>
      <w:r w:rsidR="00440D58">
        <w:rPr>
          <w:rFonts w:hint="cs"/>
          <w:rtl/>
        </w:rPr>
        <w:t>.</w:t>
      </w:r>
      <w:r w:rsidRPr="002F4D34">
        <w:rPr>
          <w:rStyle w:val="libFootnoteBoldChar"/>
          <w:rtl/>
        </w:rPr>
        <w:t>الوافي</w:t>
      </w:r>
      <w:r w:rsidRPr="005D642E">
        <w:rPr>
          <w:rtl/>
        </w:rPr>
        <w:t xml:space="preserve"> ، ج 6 ، ص 472 ، ح 4713 ؛ الوسائل ، ج 2 ، ص 372 ، ح 2392.</w:t>
      </w:r>
      <w:r w:rsidR="00013691">
        <w:rPr>
          <w:rFonts w:hint="cs"/>
          <w:rtl/>
        </w:rPr>
        <w:t xml:space="preserve">                         </w:t>
      </w:r>
      <w:r w:rsidR="0042621E" w:rsidRPr="0042621E">
        <w:rPr>
          <w:rStyle w:val="libFootnote0Char"/>
          <w:rtl/>
        </w:rPr>
        <w:t>(9).</w:t>
      </w:r>
      <w:r w:rsidRPr="005D642E">
        <w:rPr>
          <w:rtl/>
        </w:rPr>
        <w:t xml:space="preserve"> في«ظ،ى،بح،جس»:«</w:t>
      </w:r>
      <w:r w:rsidR="00013691">
        <w:rPr>
          <w:rtl/>
        </w:rPr>
        <w:t>ثمّ تمضي</w:t>
      </w:r>
      <w:r w:rsidRPr="005D642E">
        <w:rPr>
          <w:rtl/>
        </w:rPr>
        <w:t>»</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فَقَالَ : « تَسْتَظْهِرُ بِيَوْمٍ </w:t>
      </w:r>
      <w:r w:rsidRPr="007C12DB">
        <w:rPr>
          <w:rStyle w:val="libFootnotenumChar"/>
          <w:rtl/>
        </w:rPr>
        <w:t>(1)</w:t>
      </w:r>
      <w:r w:rsidRPr="005D642E">
        <w:rPr>
          <w:rtl/>
          <w:lang w:bidi="fa-IR"/>
        </w:rPr>
        <w:t xml:space="preserve"> إِنْ كَانَ حَيْضُهَا دُونَ الْعَشَرَةِ </w:t>
      </w:r>
      <w:r w:rsidRPr="007C12DB">
        <w:rPr>
          <w:rStyle w:val="libFootnotenumChar"/>
          <w:rtl/>
        </w:rPr>
        <w:t>(2)</w:t>
      </w:r>
      <w:r w:rsidRPr="005D642E">
        <w:rPr>
          <w:rtl/>
          <w:lang w:bidi="fa-IR"/>
        </w:rPr>
        <w:t xml:space="preserve"> أَيَّامٍ ، فَإِنِ </w:t>
      </w:r>
      <w:r w:rsidRPr="007C12DB">
        <w:rPr>
          <w:rStyle w:val="libFootnotenumChar"/>
          <w:rtl/>
        </w:rPr>
        <w:t>(3)</w:t>
      </w:r>
      <w:r w:rsidRPr="005D642E">
        <w:rPr>
          <w:rtl/>
          <w:lang w:bidi="fa-IR"/>
        </w:rPr>
        <w:t xml:space="preserve"> اسْتَمَرَّ الدَّمُ </w:t>
      </w:r>
      <w:r w:rsidRPr="007C12DB">
        <w:rPr>
          <w:rStyle w:val="libFootnotenumChar"/>
          <w:rtl/>
        </w:rPr>
        <w:t>(4)</w:t>
      </w:r>
      <w:r w:rsidRPr="005D642E">
        <w:rPr>
          <w:rtl/>
          <w:lang w:bidi="fa-IR"/>
        </w:rPr>
        <w:t xml:space="preserve"> ، فَهِيَ مُسْتَحَاضَةٌ ، وَإِنِ </w:t>
      </w:r>
      <w:r w:rsidRPr="007C12DB">
        <w:rPr>
          <w:rStyle w:val="libFootnotenumChar"/>
          <w:rtl/>
        </w:rPr>
        <w:t>(5)</w:t>
      </w:r>
      <w:r w:rsidRPr="005D642E">
        <w:rPr>
          <w:rtl/>
          <w:lang w:bidi="fa-IR"/>
        </w:rPr>
        <w:t xml:space="preserve"> انْقَطَعَ الدَّمُ ، اغْتَسَلَتْ وَصَلَّتْ »</w:t>
      </w:r>
      <w:r>
        <w:rPr>
          <w:rtl/>
          <w:lang w:bidi="fa-IR"/>
        </w:rPr>
        <w:t>.</w:t>
      </w:r>
    </w:p>
    <w:p w:rsidR="00E3253D" w:rsidRPr="005D642E" w:rsidRDefault="00E3253D" w:rsidP="00E3253D">
      <w:pPr>
        <w:pStyle w:val="libNormal"/>
        <w:rPr>
          <w:rtl/>
          <w:lang w:bidi="fa-IR"/>
        </w:rPr>
      </w:pPr>
      <w:r w:rsidRPr="005D642E">
        <w:rPr>
          <w:rtl/>
          <w:lang w:bidi="fa-IR"/>
        </w:rPr>
        <w:t xml:space="preserve">قَالَ : قُلْتُ لَهُ : فَالْمَرْأَةُ يَكُونُ </w:t>
      </w:r>
      <w:r w:rsidRPr="007C12DB">
        <w:rPr>
          <w:rStyle w:val="libFootnotenumChar"/>
          <w:rtl/>
        </w:rPr>
        <w:t>(6)</w:t>
      </w:r>
      <w:r w:rsidRPr="005D642E">
        <w:rPr>
          <w:rtl/>
          <w:lang w:bidi="fa-IR"/>
        </w:rPr>
        <w:t xml:space="preserve"> حَيْضُهَا سَبْعَةَ أَيَّامٍ أَوْ ثَمَانِيَةَ أَيَّامٍ ، حَيْضُهَا دَائِمٌ مُسْتَقِيمٌ ، ثُمَّ تَحِيضُ ثَلَاثَةَ أَيَّامٍ ، ثُمَّ يَنْقَطِعُ عَنْهَا الدَّمُ ، فَتَرَى </w:t>
      </w:r>
      <w:r w:rsidRPr="007C12DB">
        <w:rPr>
          <w:rStyle w:val="libFootnotenumChar"/>
          <w:rtl/>
        </w:rPr>
        <w:t>(7)</w:t>
      </w:r>
      <w:r w:rsidRPr="005D642E">
        <w:rPr>
          <w:rtl/>
          <w:lang w:bidi="fa-IR"/>
        </w:rPr>
        <w:t xml:space="preserve"> الْبَيَاضَ ، لَاصُفْرَةً وَلَا دَماً</w:t>
      </w:r>
      <w:r>
        <w:rPr>
          <w:rtl/>
          <w:lang w:bidi="fa-IR"/>
        </w:rPr>
        <w:t>؟</w:t>
      </w:r>
    </w:p>
    <w:p w:rsidR="00E3253D" w:rsidRPr="005D642E" w:rsidRDefault="00E3253D" w:rsidP="00E3253D">
      <w:pPr>
        <w:pStyle w:val="libNormal"/>
        <w:rPr>
          <w:rtl/>
          <w:lang w:bidi="fa-IR"/>
        </w:rPr>
      </w:pPr>
      <w:r w:rsidRPr="005D642E">
        <w:rPr>
          <w:rtl/>
          <w:lang w:bidi="fa-IR"/>
        </w:rPr>
        <w:t xml:space="preserve">قَالَ : « تَغْتَسِلُ </w:t>
      </w:r>
      <w:r w:rsidRPr="007C12DB">
        <w:rPr>
          <w:rStyle w:val="libFootnotenumChar"/>
          <w:rtl/>
        </w:rPr>
        <w:t>(8)</w:t>
      </w:r>
      <w:r w:rsidRPr="005D642E">
        <w:rPr>
          <w:rtl/>
          <w:lang w:bidi="fa-IR"/>
        </w:rPr>
        <w:t xml:space="preserve"> ، وَتُصَلِّي »</w:t>
      </w:r>
      <w:r>
        <w:rPr>
          <w:rtl/>
          <w:lang w:bidi="fa-IR"/>
        </w:rPr>
        <w:t>.</w:t>
      </w:r>
    </w:p>
    <w:p w:rsidR="00E3253D" w:rsidRPr="005D642E" w:rsidRDefault="00E3253D" w:rsidP="00E3253D">
      <w:pPr>
        <w:pStyle w:val="libNormal"/>
        <w:rPr>
          <w:rtl/>
          <w:lang w:bidi="fa-IR"/>
        </w:rPr>
      </w:pPr>
      <w:r w:rsidRPr="005D642E">
        <w:rPr>
          <w:rtl/>
          <w:lang w:bidi="fa-IR"/>
        </w:rPr>
        <w:t xml:space="preserve">قُلْتُ : تَغْتَسِلُ ، وَتُصَلِّي </w:t>
      </w:r>
      <w:r w:rsidRPr="007C12DB">
        <w:rPr>
          <w:rStyle w:val="libFootnotenumChar"/>
          <w:rtl/>
        </w:rPr>
        <w:t>(9)</w:t>
      </w:r>
      <w:r w:rsidRPr="005D642E">
        <w:rPr>
          <w:rtl/>
          <w:lang w:bidi="fa-IR"/>
        </w:rPr>
        <w:t xml:space="preserve"> وَتَصُومُ ، ثُمَّ يَعُودُ الدَّمُ</w:t>
      </w:r>
      <w:r>
        <w:rPr>
          <w:rtl/>
          <w:lang w:bidi="fa-IR"/>
        </w:rPr>
        <w:t>؟</w:t>
      </w:r>
    </w:p>
    <w:p w:rsidR="00E3253D" w:rsidRPr="005D642E" w:rsidRDefault="00E3253D" w:rsidP="00E3253D">
      <w:pPr>
        <w:pStyle w:val="libNormal"/>
        <w:rPr>
          <w:rtl/>
          <w:lang w:bidi="fa-IR"/>
        </w:rPr>
      </w:pPr>
      <w:r w:rsidRPr="005D642E">
        <w:rPr>
          <w:rtl/>
          <w:lang w:bidi="fa-IR"/>
        </w:rPr>
        <w:t xml:space="preserve">قَالَ : « إِذَا </w:t>
      </w:r>
      <w:r w:rsidRPr="007C12DB">
        <w:rPr>
          <w:rStyle w:val="libFootnotenumChar"/>
          <w:rtl/>
        </w:rPr>
        <w:t>(10)</w:t>
      </w:r>
      <w:r w:rsidRPr="005D642E">
        <w:rPr>
          <w:rtl/>
          <w:lang w:bidi="fa-IR"/>
        </w:rPr>
        <w:t xml:space="preserve"> رَأَتِ الدَّمَ ، أَمْسَكَتْ عَنِ الصَّلَاةِ وَالصِّيَامِ »</w:t>
      </w:r>
      <w:r>
        <w:rPr>
          <w:rtl/>
          <w:lang w:bidi="fa-IR"/>
        </w:rPr>
        <w:t>.</w:t>
      </w:r>
    </w:p>
    <w:p w:rsidR="00E3253D" w:rsidRPr="005D642E" w:rsidRDefault="00E3253D" w:rsidP="00E3253D">
      <w:pPr>
        <w:pStyle w:val="libNormal"/>
        <w:rPr>
          <w:rtl/>
          <w:lang w:bidi="fa-IR"/>
        </w:rPr>
      </w:pPr>
      <w:r w:rsidRPr="005D642E">
        <w:rPr>
          <w:rtl/>
          <w:lang w:bidi="fa-IR"/>
        </w:rPr>
        <w:t>قُلْتُ : فَإِنَّهَا تَرَى الدَّمَ يَوْماً ، وَتَطْهُرُ يَوْماً</w:t>
      </w:r>
      <w:r>
        <w:rPr>
          <w:rtl/>
          <w:lang w:bidi="fa-IR"/>
        </w:rPr>
        <w:t>؟</w:t>
      </w:r>
    </w:p>
    <w:p w:rsidR="00E3253D" w:rsidRPr="005D642E" w:rsidRDefault="00E3253D" w:rsidP="00E3253D">
      <w:pPr>
        <w:pStyle w:val="libNormal"/>
        <w:rPr>
          <w:rtl/>
          <w:lang w:bidi="fa-IR"/>
        </w:rPr>
      </w:pPr>
      <w:r w:rsidRPr="005D642E">
        <w:rPr>
          <w:rtl/>
          <w:lang w:bidi="fa-IR"/>
        </w:rPr>
        <w:t xml:space="preserve">قَالَ : فَقَالَ : « إِذَا رَأَتِ الدَّمَ أَمْسَكَتْ ، وَإِذَا رَأَتِ الطُّهْرَ صَلَّتْ ، فَإِذَا مَضَتْ أَيَّامُ حَيْضِهَا وَاسْتَمَرَّ بِهَا الطُّهْرُ صَلَّتْ ، فَإِذَا </w:t>
      </w:r>
      <w:r w:rsidRPr="007C12DB">
        <w:rPr>
          <w:rStyle w:val="libFootnotenumChar"/>
          <w:rtl/>
        </w:rPr>
        <w:t>(11)</w:t>
      </w:r>
      <w:r w:rsidRPr="005D642E">
        <w:rPr>
          <w:rtl/>
          <w:lang w:bidi="fa-IR"/>
        </w:rPr>
        <w:t xml:space="preserve"> رَأَتِ الدَّمَ فَهِيَ مُسْتَحَاضَةٌ ، قَدِ انْتَظَمَتْ </w:t>
      </w:r>
      <w:r w:rsidRPr="007C12DB">
        <w:rPr>
          <w:rStyle w:val="libFootnotenumChar"/>
          <w:rtl/>
        </w:rPr>
        <w:t>(12)</w:t>
      </w:r>
      <w:r w:rsidRPr="005D642E">
        <w:rPr>
          <w:rtl/>
          <w:lang w:bidi="fa-IR"/>
        </w:rPr>
        <w:t xml:space="preserve"> لَكَ‌</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ليوم »</w:t>
      </w:r>
      <w:r w:rsidR="00E3253D">
        <w:rPr>
          <w:rtl/>
        </w:rPr>
        <w:t>.</w:t>
      </w:r>
      <w:r w:rsidR="00E3253D" w:rsidRPr="005D642E">
        <w:rPr>
          <w:rtl/>
        </w:rPr>
        <w:t xml:space="preserve"> وقوله : « تستظهر بيوم » ، أي تستوثق به وتحتاط ، قيل : معنى الاستظهار في قولهم هذا</w:t>
      </w:r>
      <w:r w:rsidR="00E3253D">
        <w:rPr>
          <w:rFonts w:hint="cs"/>
          <w:rtl/>
        </w:rPr>
        <w:t xml:space="preserve"> </w:t>
      </w:r>
      <w:r w:rsidR="00E3253D" w:rsidRPr="005D642E">
        <w:rPr>
          <w:rtl/>
        </w:rPr>
        <w:t xml:space="preserve">الاحتياطُ والاستيثاقُ ، وهو مأخوذ من الظِهْرِيّ ، وهو ما جعلته عدّة لحاجتك. راجع : </w:t>
      </w:r>
      <w:r w:rsidR="00E3253D" w:rsidRPr="002F4D34">
        <w:rPr>
          <w:rStyle w:val="libFootnoteBoldChar"/>
          <w:rtl/>
        </w:rPr>
        <w:t>المغرب</w:t>
      </w:r>
      <w:r w:rsidR="00E3253D" w:rsidRPr="005D642E">
        <w:rPr>
          <w:rtl/>
        </w:rPr>
        <w:t xml:space="preserve"> ، ص 300 ؛ </w:t>
      </w:r>
      <w:r w:rsidR="00E3253D" w:rsidRPr="002F4D34">
        <w:rPr>
          <w:rStyle w:val="libFootnoteBoldChar"/>
          <w:rtl/>
        </w:rPr>
        <w:t>لسان العرب</w:t>
      </w:r>
      <w:r w:rsidR="00E3253D" w:rsidRPr="005D642E">
        <w:rPr>
          <w:rtl/>
        </w:rPr>
        <w:t xml:space="preserve"> ، ج 4 ، ص 528 ( ظهر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معظم النسخ التي قوبلت </w:t>
      </w:r>
      <w:r w:rsidR="000D749A" w:rsidRPr="00D05892">
        <w:rPr>
          <w:rtl/>
        </w:rPr>
        <w:t>والوافي</w:t>
      </w:r>
      <w:r w:rsidR="00E3253D" w:rsidRPr="005D642E">
        <w:rPr>
          <w:rtl/>
        </w:rPr>
        <w:t xml:space="preserve"> والوسائل ، ح 2148 </w:t>
      </w:r>
      <w:r w:rsidR="00B60612" w:rsidRPr="00B60612">
        <w:rPr>
          <w:rStyle w:val="libFootnoteBoldChar"/>
          <w:rtl/>
        </w:rPr>
        <w:t>والتهذيب</w:t>
      </w:r>
      <w:r w:rsidR="00E3253D" w:rsidRPr="005D642E">
        <w:rPr>
          <w:rtl/>
        </w:rPr>
        <w:t>. وفي « ى » والمطبوع : « عشرة »</w:t>
      </w:r>
      <w:r w:rsidR="00E3253D">
        <w:rPr>
          <w:rtl/>
        </w:rPr>
        <w:t>.</w:t>
      </w:r>
    </w:p>
    <w:p w:rsidR="00E3253D" w:rsidRPr="005D642E" w:rsidRDefault="0042621E" w:rsidP="00D61BB8">
      <w:pPr>
        <w:pStyle w:val="libFootnote0"/>
        <w:rPr>
          <w:rtl/>
          <w:lang w:bidi="fa-IR"/>
        </w:rPr>
      </w:pPr>
      <w:r w:rsidRPr="0042621E">
        <w:rPr>
          <w:rStyle w:val="libFootnote0Char"/>
          <w:rtl/>
        </w:rPr>
        <w:t>(3).</w:t>
      </w:r>
      <w:r w:rsidR="00E3253D" w:rsidRPr="005D642E">
        <w:rPr>
          <w:rtl/>
        </w:rPr>
        <w:t xml:space="preserve"> هكذا في أكثر النسخ التي قوبلت ومرآة العقول والوسائل ، ح 2148 </w:t>
      </w:r>
      <w:r w:rsidR="00B60612" w:rsidRPr="00B60612">
        <w:rPr>
          <w:rStyle w:val="libFootnoteBoldChar"/>
          <w:rtl/>
        </w:rPr>
        <w:t>والتهذيب</w:t>
      </w:r>
      <w:r w:rsidR="00E3253D" w:rsidRPr="005D642E">
        <w:rPr>
          <w:rtl/>
        </w:rPr>
        <w:t>. وفي « بخ ، بف » والمطبوع : « وإن »</w:t>
      </w:r>
      <w:r w:rsidR="00E3253D">
        <w:rPr>
          <w:rtl/>
        </w:rPr>
        <w:t>.</w:t>
      </w:r>
      <w:r w:rsidR="00D61BB8">
        <w:rPr>
          <w:rFonts w:hint="cs"/>
          <w:rtl/>
        </w:rPr>
        <w:t xml:space="preserve">                    </w:t>
      </w:r>
      <w:r w:rsidR="002B3C30">
        <w:rPr>
          <w:rFonts w:hint="cs"/>
          <w:rtl/>
        </w:rPr>
        <w:t xml:space="preserve">       </w:t>
      </w:r>
      <w:r w:rsidR="00D61BB8">
        <w:rPr>
          <w:rFonts w:hint="cs"/>
          <w:rtl/>
        </w:rPr>
        <w:t xml:space="preserve">                 </w:t>
      </w:r>
      <w:r w:rsidRPr="0042621E">
        <w:rPr>
          <w:rStyle w:val="libFootnote0Char"/>
          <w:rtl/>
        </w:rPr>
        <w:t>(4).</w:t>
      </w:r>
      <w:r w:rsidR="00E3253D" w:rsidRPr="005D642E">
        <w:rPr>
          <w:rtl/>
        </w:rPr>
        <w:t xml:space="preserve"> في الاستبصار:+«بعد العشرة»</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وإذا »</w:t>
      </w:r>
      <w:r w:rsidR="00E3253D">
        <w:rPr>
          <w:rtl/>
        </w:rPr>
        <w:t>.</w:t>
      </w:r>
      <w:r w:rsidR="00E3253D" w:rsidRPr="005D642E">
        <w:rPr>
          <w:rtl/>
        </w:rPr>
        <w:t xml:space="preserve"> وفي « جس » </w:t>
      </w:r>
      <w:r w:rsidR="00E3253D" w:rsidRPr="00E678B5">
        <w:rPr>
          <w:rStyle w:val="libFootnoteBoldChar"/>
          <w:rtl/>
        </w:rPr>
        <w:t>والاستبصار</w:t>
      </w:r>
      <w:r w:rsidR="00E3253D" w:rsidRPr="005D642E">
        <w:rPr>
          <w:rtl/>
        </w:rPr>
        <w:t xml:space="preserve"> : « فإن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جح » : « تكون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بح ، جح ، جس » وحاشية « ظ » والوسائل ، ح 2152 : « وترى »</w:t>
      </w:r>
      <w:r w:rsidR="00E3253D">
        <w:rPr>
          <w:rtl/>
        </w:rPr>
        <w:t>.</w:t>
      </w:r>
    </w:p>
    <w:tbl>
      <w:tblPr>
        <w:tblStyle w:val="TableGrid"/>
        <w:bidiVisual/>
        <w:tblW w:w="0" w:type="auto"/>
        <w:tblLook w:val="04A0" w:firstRow="1" w:lastRow="0" w:firstColumn="1" w:lastColumn="0" w:noHBand="0" w:noVBand="1"/>
      </w:tblPr>
      <w:tblGrid>
        <w:gridCol w:w="4006"/>
        <w:gridCol w:w="4006"/>
      </w:tblGrid>
      <w:tr w:rsidR="00FD5EFF" w:rsidTr="00FD5EFF">
        <w:tc>
          <w:tcPr>
            <w:tcW w:w="4006" w:type="dxa"/>
          </w:tcPr>
          <w:p w:rsidR="00FD5EFF" w:rsidRDefault="00FD5EFF" w:rsidP="00E3253D">
            <w:pPr>
              <w:pStyle w:val="libFootnote0"/>
              <w:rPr>
                <w:rStyle w:val="libFootnote0Char"/>
                <w:rtl/>
              </w:rPr>
            </w:pPr>
            <w:r w:rsidRPr="0042621E">
              <w:rPr>
                <w:rStyle w:val="libFootnote0Char"/>
                <w:rtl/>
              </w:rPr>
              <w:t>(8).</w:t>
            </w:r>
            <w:r w:rsidRPr="005D642E">
              <w:rPr>
                <w:rtl/>
              </w:rPr>
              <w:t xml:space="preserve"> في « بخ » : « لاتغتسل »</w:t>
            </w:r>
            <w:r>
              <w:rPr>
                <w:rtl/>
              </w:rPr>
              <w:t>.</w:t>
            </w:r>
          </w:p>
        </w:tc>
        <w:tc>
          <w:tcPr>
            <w:tcW w:w="4006" w:type="dxa"/>
          </w:tcPr>
          <w:p w:rsidR="00FD5EFF" w:rsidRDefault="00FD5EFF" w:rsidP="00E3253D">
            <w:pPr>
              <w:pStyle w:val="libFootnote0"/>
              <w:rPr>
                <w:rStyle w:val="libFootnote0Char"/>
                <w:rtl/>
              </w:rPr>
            </w:pPr>
            <w:r w:rsidRPr="0042621E">
              <w:rPr>
                <w:rStyle w:val="libFootnote0Char"/>
                <w:rtl/>
              </w:rPr>
              <w:t>(9).</w:t>
            </w:r>
            <w:r w:rsidRPr="005D642E">
              <w:rPr>
                <w:rtl/>
              </w:rPr>
              <w:t xml:space="preserve"> في «بح،بخ»:</w:t>
            </w:r>
            <w:r>
              <w:rPr>
                <w:rtl/>
              </w:rPr>
              <w:t>-</w:t>
            </w:r>
            <w:r w:rsidRPr="005D642E">
              <w:rPr>
                <w:rtl/>
              </w:rPr>
              <w:t>«</w:t>
            </w:r>
            <w:r>
              <w:rPr>
                <w:rtl/>
              </w:rPr>
              <w:t>قلت</w:t>
            </w:r>
            <w:r w:rsidRPr="005D642E">
              <w:rPr>
                <w:rtl/>
              </w:rPr>
              <w:t>:تغتسل وتصلّي»</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حاشية « بخ » : « إن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بث ، بس ، جن » وحاشية « بح » </w:t>
      </w:r>
      <w:r w:rsidR="000D749A" w:rsidRPr="000D749A">
        <w:rPr>
          <w:rStyle w:val="libFootnoteBoldChar"/>
          <w:rtl/>
        </w:rPr>
        <w:t>والوافي</w:t>
      </w:r>
      <w:r w:rsidR="00E3253D" w:rsidRPr="005D642E">
        <w:rPr>
          <w:rtl/>
        </w:rPr>
        <w:t xml:space="preserve"> : « وإذا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229 : « الانتظام هنا بمعنى النظم ، قال في القاموس : انتظمه بالرمح : اختلّه ، أو هو لازم وفاعله أمرها ، والتأنيث باعتبار المضاف إليه أو باعتبار العموم المستفاد من الإضافة ، والأوّل أظهر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أَمْرُهَا كُلُّهُ »</w:t>
      </w:r>
      <w:r>
        <w:rPr>
          <w:rtl/>
          <w:lang w:bidi="fa-IR"/>
        </w:rPr>
        <w:t>.</w:t>
      </w:r>
      <w:r w:rsidRPr="005D642E">
        <w:rPr>
          <w:rtl/>
          <w:lang w:bidi="fa-IR"/>
        </w:rPr>
        <w:t xml:space="preserve"> </w:t>
      </w:r>
      <w:r w:rsidRPr="007C12DB">
        <w:rPr>
          <w:rStyle w:val="libFootnotenumChar"/>
          <w:rtl/>
        </w:rPr>
        <w:t>(1)</w:t>
      </w:r>
    </w:p>
    <w:p w:rsidR="00E3253D" w:rsidRPr="005D642E" w:rsidRDefault="00E3253D" w:rsidP="00E3253D">
      <w:pPr>
        <w:pStyle w:val="Heading2Center"/>
        <w:rPr>
          <w:rtl/>
          <w:lang w:bidi="fa-IR"/>
        </w:rPr>
      </w:pPr>
      <w:bookmarkStart w:id="201" w:name="_Toc344647277"/>
      <w:bookmarkStart w:id="202" w:name="_Toc462226792"/>
      <w:bookmarkStart w:id="203" w:name="_Toc40975900"/>
      <w:r w:rsidRPr="005D642E">
        <w:rPr>
          <w:rtl/>
          <w:lang w:bidi="fa-IR"/>
        </w:rPr>
        <w:t>10</w:t>
      </w:r>
      <w:r>
        <w:rPr>
          <w:rtl/>
          <w:lang w:bidi="fa-IR"/>
        </w:rPr>
        <w:t xml:space="preserve"> </w:t>
      </w:r>
      <w:r w:rsidR="007642BC">
        <w:rPr>
          <w:rtl/>
          <w:lang w:bidi="fa-IR"/>
        </w:rPr>
        <w:t>-</w:t>
      </w:r>
      <w:r>
        <w:rPr>
          <w:rtl/>
          <w:lang w:bidi="fa-IR"/>
        </w:rPr>
        <w:t xml:space="preserve"> </w:t>
      </w:r>
      <w:r w:rsidRPr="005D642E">
        <w:rPr>
          <w:rtl/>
          <w:lang w:bidi="fa-IR"/>
        </w:rPr>
        <w:t xml:space="preserve">بَابُ </w:t>
      </w:r>
      <w:r w:rsidRPr="007C12DB">
        <w:rPr>
          <w:rStyle w:val="libFootnotenumChar"/>
          <w:rtl/>
        </w:rPr>
        <w:t>(2)</w:t>
      </w:r>
      <w:r>
        <w:rPr>
          <w:rtl/>
        </w:rPr>
        <w:t xml:space="preserve"> </w:t>
      </w:r>
      <w:r w:rsidRPr="005D642E">
        <w:rPr>
          <w:rtl/>
          <w:lang w:bidi="fa-IR"/>
        </w:rPr>
        <w:t xml:space="preserve">مَعْرِفَةِ دَمِ الْحَيْضِ مِنْ دَمِ الِاسْتِحَاضَةِ </w:t>
      </w:r>
      <w:r w:rsidRPr="007C12DB">
        <w:rPr>
          <w:rStyle w:val="libFootnotenumChar"/>
          <w:rtl/>
        </w:rPr>
        <w:t>(3)</w:t>
      </w:r>
      <w:bookmarkEnd w:id="201"/>
      <w:bookmarkEnd w:id="202"/>
      <w:bookmarkEnd w:id="203"/>
    </w:p>
    <w:p w:rsidR="00E3253D" w:rsidRPr="005D642E" w:rsidRDefault="00E3253D" w:rsidP="00E3253D">
      <w:pPr>
        <w:pStyle w:val="libNormal"/>
        <w:rPr>
          <w:rtl/>
          <w:lang w:bidi="fa-IR"/>
        </w:rPr>
      </w:pPr>
      <w:r w:rsidRPr="00761C02">
        <w:rPr>
          <w:rtl/>
        </w:rPr>
        <w:t>4187</w:t>
      </w:r>
      <w:r w:rsidRPr="00246318">
        <w:rPr>
          <w:rStyle w:val="libBold2Char"/>
          <w:rtl/>
        </w:rPr>
        <w:t xml:space="preserve"> / 1.</w:t>
      </w:r>
      <w:r w:rsidRPr="005D642E">
        <w:rPr>
          <w:rtl/>
          <w:lang w:bidi="fa-IR"/>
        </w:rPr>
        <w:t xml:space="preserve"> عَلِيُّ بْنُ إِبْرَاهِيمَ ، عَنْ أَبِيهِ ، عَنِ ابْنِ أَبِي عُمَيْرٍ ، عَنْ حَف</w:t>
      </w:r>
      <w:r w:rsidR="00591486">
        <w:rPr>
          <w:rtl/>
          <w:lang w:bidi="fa-IR"/>
        </w:rPr>
        <w:t>ْصِ بْنِ الْبَخْتَرِيِّ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دَخَلَتْ </w:t>
      </w:r>
      <w:r w:rsidRPr="007C12DB">
        <w:rPr>
          <w:rStyle w:val="libFootnotenumChar"/>
          <w:rtl/>
        </w:rPr>
        <w:t>(4)</w:t>
      </w:r>
      <w:r w:rsidRPr="005D642E">
        <w:rPr>
          <w:rtl/>
          <w:lang w:bidi="fa-IR"/>
        </w:rPr>
        <w:t xml:space="preserve"> عَلى أَبِي عَبْدِ اللهِ </w:t>
      </w:r>
      <w:r w:rsidRPr="00AC51C5">
        <w:rPr>
          <w:rStyle w:val="libAlaemChar"/>
          <w:rtl/>
        </w:rPr>
        <w:t>عليه‌السلام</w:t>
      </w:r>
      <w:r w:rsidRPr="005D642E">
        <w:rPr>
          <w:rtl/>
          <w:lang w:bidi="fa-IR"/>
        </w:rPr>
        <w:t xml:space="preserve"> امْرَأَةٌ ، فَسَأَلَتْهُ </w:t>
      </w:r>
      <w:r w:rsidRPr="007C12DB">
        <w:rPr>
          <w:rStyle w:val="libFootnotenumChar"/>
          <w:rtl/>
        </w:rPr>
        <w:t>(5)</w:t>
      </w:r>
      <w:r w:rsidRPr="005D642E">
        <w:rPr>
          <w:rtl/>
          <w:lang w:bidi="fa-IR"/>
        </w:rPr>
        <w:t xml:space="preserve"> عَنِ الْمَرْأَةِ يَسْتَمِرُّ بِهَا الدَّمُ ، فَلَا تَدْرِي </w:t>
      </w:r>
      <w:r w:rsidRPr="007C12DB">
        <w:rPr>
          <w:rStyle w:val="libFootnotenumChar"/>
          <w:rtl/>
        </w:rPr>
        <w:t>(6)</w:t>
      </w:r>
      <w:r w:rsidRPr="005D642E">
        <w:rPr>
          <w:rtl/>
          <w:lang w:bidi="fa-IR"/>
        </w:rPr>
        <w:t xml:space="preserve"> حَيْضٌ هُوَ أَوْ </w:t>
      </w:r>
      <w:r w:rsidRPr="007C12DB">
        <w:rPr>
          <w:rStyle w:val="libFootnotenumChar"/>
          <w:rtl/>
        </w:rPr>
        <w:t>(7)</w:t>
      </w:r>
      <w:r w:rsidRPr="005D642E">
        <w:rPr>
          <w:rtl/>
          <w:lang w:bidi="fa-IR"/>
        </w:rPr>
        <w:t xml:space="preserve"> غَيْرُهُ</w:t>
      </w:r>
      <w:r>
        <w:rPr>
          <w:rtl/>
          <w:lang w:bidi="fa-IR"/>
        </w:rPr>
        <w:t>؟</w:t>
      </w:r>
    </w:p>
    <w:p w:rsidR="00E3253D" w:rsidRPr="005D642E" w:rsidRDefault="00E3253D" w:rsidP="00E3253D">
      <w:pPr>
        <w:pStyle w:val="libNormal"/>
        <w:rPr>
          <w:rtl/>
          <w:lang w:bidi="fa-IR"/>
        </w:rPr>
      </w:pPr>
      <w:r w:rsidRPr="005D642E">
        <w:rPr>
          <w:rtl/>
          <w:lang w:bidi="fa-IR"/>
        </w:rPr>
        <w:t xml:space="preserve">قَالَ : فَقَالَ لَهَا </w:t>
      </w:r>
      <w:r w:rsidRPr="007C12DB">
        <w:rPr>
          <w:rStyle w:val="libFootnotenumChar"/>
          <w:rtl/>
        </w:rPr>
        <w:t>(8)</w:t>
      </w:r>
      <w:r w:rsidRPr="005D642E">
        <w:rPr>
          <w:rtl/>
          <w:lang w:bidi="fa-IR"/>
        </w:rPr>
        <w:t xml:space="preserve"> : « إِنَّ دَمَ الْحَيْضِ حَارٌّ ، عَبِيطٌ </w:t>
      </w:r>
      <w:r w:rsidRPr="007C12DB">
        <w:rPr>
          <w:rStyle w:val="libFootnotenumChar"/>
          <w:rtl/>
        </w:rPr>
        <w:t>(9)</w:t>
      </w:r>
      <w:r w:rsidRPr="005D642E">
        <w:rPr>
          <w:rtl/>
          <w:lang w:bidi="fa-IR"/>
        </w:rPr>
        <w:t xml:space="preserve"> ، أَسْوَدُ ، لَهُ دَفْعٌ </w:t>
      </w:r>
      <w:r w:rsidRPr="007C12DB">
        <w:rPr>
          <w:rStyle w:val="libFootnotenumChar"/>
          <w:rtl/>
        </w:rPr>
        <w:t>(10)</w:t>
      </w:r>
      <w:r w:rsidRPr="005D642E">
        <w:rPr>
          <w:rtl/>
          <w:lang w:bidi="fa-IR"/>
        </w:rPr>
        <w:t xml:space="preserve"> وَحَرَارَةٌ </w:t>
      </w:r>
      <w:r w:rsidRPr="007C12DB">
        <w:rPr>
          <w:rStyle w:val="libFootnotenumChar"/>
          <w:rtl/>
        </w:rPr>
        <w:t>(11)</w:t>
      </w:r>
      <w:r w:rsidRPr="005D642E">
        <w:rPr>
          <w:rtl/>
          <w:lang w:bidi="fa-IR"/>
        </w:rPr>
        <w:t xml:space="preserve"> ، وَدَمَ‌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20385">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172 ، ح 494 ، معلّقاً عن أحمد بن محمّد ؛ </w:t>
      </w:r>
      <w:r w:rsidR="00E3253D" w:rsidRPr="002F4D34">
        <w:rPr>
          <w:rStyle w:val="libFootnoteBoldChar"/>
          <w:rtl/>
        </w:rPr>
        <w:t>الاستبصار</w:t>
      </w:r>
      <w:r w:rsidR="00E3253D" w:rsidRPr="005D642E">
        <w:rPr>
          <w:rtl/>
        </w:rPr>
        <w:t xml:space="preserve"> ، ج 1 ، ص 150 ، ح 518 ، بسنده عن أحمد بن محمّد ، وفيهما إلى قوله : « وإن انقطع الدم اغتسلت وصلّت »</w:t>
      </w:r>
      <w:r w:rsidR="00E20385">
        <w:rPr>
          <w:rFonts w:hint="cs"/>
          <w:rtl/>
        </w:rPr>
        <w:t>.</w:t>
      </w:r>
      <w:r w:rsidR="00E3253D" w:rsidRPr="002F4D34">
        <w:rPr>
          <w:rStyle w:val="libFootnoteBoldChar"/>
          <w:rtl/>
        </w:rPr>
        <w:t>الوافي</w:t>
      </w:r>
      <w:r w:rsidR="00E3253D" w:rsidRPr="005D642E">
        <w:rPr>
          <w:rtl/>
        </w:rPr>
        <w:t xml:space="preserve"> ، ج 6 ، ص 452 ، ح 4685 ؛ </w:t>
      </w:r>
      <w:r w:rsidR="00E3253D" w:rsidRPr="002F4D34">
        <w:rPr>
          <w:rStyle w:val="libFootnoteBoldChar"/>
          <w:rtl/>
        </w:rPr>
        <w:t>الوسائل</w:t>
      </w:r>
      <w:r w:rsidR="00E3253D" w:rsidRPr="005D642E">
        <w:rPr>
          <w:rtl/>
        </w:rPr>
        <w:t xml:space="preserve"> ، ج 2 ، ص 283 ، ح 2148 ، إلى قوله : « وإن استمرّ الدم فهي مستحاضة » ؛ </w:t>
      </w:r>
      <w:r w:rsidR="00E3253D" w:rsidRPr="002F4D34">
        <w:rPr>
          <w:rStyle w:val="libFootnoteBoldChar"/>
          <w:rtl/>
        </w:rPr>
        <w:t>وفيه</w:t>
      </w:r>
      <w:r w:rsidR="00E3253D" w:rsidRPr="005D642E">
        <w:rPr>
          <w:rtl/>
        </w:rPr>
        <w:t xml:space="preserve"> ، ص 285 ، ح 2152 ، من قوله : « قال : قلت له : فالمرأة يكون حيضها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 + « في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جن » : « المستحاضة »</w:t>
      </w:r>
      <w:r w:rsidR="00E3253D">
        <w:rPr>
          <w:rtl/>
        </w:rPr>
        <w:t>.</w:t>
      </w:r>
    </w:p>
    <w:tbl>
      <w:tblPr>
        <w:tblStyle w:val="TableGrid"/>
        <w:bidiVisual/>
        <w:tblW w:w="0" w:type="auto"/>
        <w:tblLook w:val="04A0" w:firstRow="1" w:lastRow="0" w:firstColumn="1" w:lastColumn="0" w:noHBand="0" w:noVBand="1"/>
      </w:tblPr>
      <w:tblGrid>
        <w:gridCol w:w="3854"/>
        <w:gridCol w:w="4158"/>
      </w:tblGrid>
      <w:tr w:rsidR="001C6C20" w:rsidTr="00591486">
        <w:tc>
          <w:tcPr>
            <w:tcW w:w="3854" w:type="dxa"/>
          </w:tcPr>
          <w:p w:rsidR="001C6C20" w:rsidRDefault="001C6C20" w:rsidP="00E3253D">
            <w:pPr>
              <w:pStyle w:val="libFootnote0"/>
              <w:rPr>
                <w:rStyle w:val="libFootnote0Char"/>
                <w:rtl/>
              </w:rPr>
            </w:pPr>
            <w:r w:rsidRPr="0042621E">
              <w:rPr>
                <w:rStyle w:val="libFootnote0Char"/>
                <w:rtl/>
              </w:rPr>
              <w:t>(4).</w:t>
            </w:r>
            <w:r w:rsidRPr="005D642E">
              <w:rPr>
                <w:rtl/>
              </w:rPr>
              <w:t xml:space="preserve"> في « جن » : « أدخلت »</w:t>
            </w:r>
            <w:r>
              <w:rPr>
                <w:rtl/>
              </w:rPr>
              <w:t>.</w:t>
            </w:r>
          </w:p>
        </w:tc>
        <w:tc>
          <w:tcPr>
            <w:tcW w:w="4158" w:type="dxa"/>
          </w:tcPr>
          <w:p w:rsidR="001C6C20" w:rsidRDefault="001C6C20" w:rsidP="001C6C20">
            <w:pPr>
              <w:pStyle w:val="libFootnote0"/>
              <w:rPr>
                <w:rStyle w:val="libFootnote0Char"/>
                <w:rtl/>
              </w:rPr>
            </w:pPr>
            <w:r w:rsidRPr="0042621E">
              <w:rPr>
                <w:rStyle w:val="libFootnote0Char"/>
                <w:rtl/>
              </w:rPr>
              <w:t>(5).</w:t>
            </w:r>
            <w:r w:rsidRPr="005D642E">
              <w:rPr>
                <w:rtl/>
              </w:rPr>
              <w:t>في«بف»:«</w:t>
            </w:r>
            <w:r>
              <w:rPr>
                <w:rtl/>
              </w:rPr>
              <w:t>فسألت</w:t>
            </w:r>
            <w:r w:rsidRPr="005D642E">
              <w:rPr>
                <w:rtl/>
              </w:rPr>
              <w:t>»</w:t>
            </w:r>
            <w:r>
              <w:rPr>
                <w:rtl/>
              </w:rPr>
              <w:t>.</w:t>
            </w:r>
            <w:r w:rsidRPr="005D642E">
              <w:rPr>
                <w:rtl/>
              </w:rPr>
              <w:t>وفي التهذيب،ح429:«سألته</w:t>
            </w:r>
            <w:r>
              <w:rPr>
                <w:rFonts w:hint="cs"/>
                <w:rtl/>
              </w:rPr>
              <w:t xml:space="preserve"> </w:t>
            </w:r>
            <w:r w:rsidRPr="005D642E">
              <w:rPr>
                <w:rtl/>
              </w:rPr>
              <w:t>»</w:t>
            </w:r>
            <w:r>
              <w:rPr>
                <w:rtl/>
              </w:rPr>
              <w:t>.</w:t>
            </w:r>
          </w:p>
        </w:tc>
      </w:tr>
      <w:tr w:rsidR="001C6C20" w:rsidTr="00591486">
        <w:tc>
          <w:tcPr>
            <w:tcW w:w="3854" w:type="dxa"/>
          </w:tcPr>
          <w:p w:rsidR="001C6C20" w:rsidRDefault="001C6C20" w:rsidP="00E3253D">
            <w:pPr>
              <w:pStyle w:val="libFootnote0"/>
              <w:rPr>
                <w:rStyle w:val="libFootnote0Char"/>
                <w:rtl/>
              </w:rPr>
            </w:pPr>
            <w:r w:rsidRPr="0042621E">
              <w:rPr>
                <w:rStyle w:val="libFootnote0Char"/>
                <w:rtl/>
              </w:rPr>
              <w:t>(6).</w:t>
            </w:r>
            <w:r w:rsidRPr="005D642E">
              <w:rPr>
                <w:rtl/>
              </w:rPr>
              <w:t xml:space="preserve"> في « جس » : « ولاتدري »</w:t>
            </w:r>
            <w:r>
              <w:rPr>
                <w:rtl/>
              </w:rPr>
              <w:t>.</w:t>
            </w:r>
          </w:p>
        </w:tc>
        <w:tc>
          <w:tcPr>
            <w:tcW w:w="4158" w:type="dxa"/>
          </w:tcPr>
          <w:p w:rsidR="001C6C20" w:rsidRDefault="001C6C20" w:rsidP="00E3253D">
            <w:pPr>
              <w:pStyle w:val="libFootnote0"/>
              <w:rPr>
                <w:rStyle w:val="libFootnote0Char"/>
                <w:rtl/>
              </w:rPr>
            </w:pPr>
            <w:r w:rsidRPr="0042621E">
              <w:rPr>
                <w:rStyle w:val="libFootnote0Char"/>
                <w:rtl/>
              </w:rPr>
              <w:t>(7).</w:t>
            </w:r>
            <w:r w:rsidRPr="005D642E">
              <w:rPr>
                <w:rtl/>
              </w:rPr>
              <w:t xml:space="preserve"> في « جس » : « أم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لها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العَبيط » : الصحيح الخالص الطريّ لا خلط فيه. راجع : </w:t>
      </w:r>
      <w:r w:rsidR="00E3253D" w:rsidRPr="002F4D34">
        <w:rPr>
          <w:rStyle w:val="libFootnoteBoldChar"/>
          <w:rtl/>
        </w:rPr>
        <w:t>الصحاح</w:t>
      </w:r>
      <w:r w:rsidR="00E3253D" w:rsidRPr="005D642E">
        <w:rPr>
          <w:rtl/>
        </w:rPr>
        <w:t xml:space="preserve"> ، ج 3 ، ص 1142 ؛ </w:t>
      </w:r>
      <w:r w:rsidR="00E3253D" w:rsidRPr="002F4D34">
        <w:rPr>
          <w:rStyle w:val="libFootnoteBoldChar"/>
          <w:rtl/>
        </w:rPr>
        <w:t>المصباح المنير</w:t>
      </w:r>
      <w:r w:rsidR="00E3253D" w:rsidRPr="005D642E">
        <w:rPr>
          <w:rtl/>
        </w:rPr>
        <w:t xml:space="preserve"> ، ص 390 ( عبط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 « دفق »</w:t>
      </w:r>
      <w:r w:rsidR="00E3253D">
        <w:rPr>
          <w:rtl/>
        </w:rPr>
        <w:t>.</w:t>
      </w:r>
      <w:r w:rsidR="00E3253D" w:rsidRPr="005D642E">
        <w:rPr>
          <w:rtl/>
        </w:rPr>
        <w:t xml:space="preserve"> </w:t>
      </w:r>
      <w:r w:rsidR="00E3253D">
        <w:rPr>
          <w:rtl/>
        </w:rPr>
        <w:t>و «</w:t>
      </w:r>
      <w:r w:rsidR="00E3253D" w:rsidRPr="005D642E">
        <w:rPr>
          <w:rtl/>
        </w:rPr>
        <w:t xml:space="preserve"> الدَفْع » : الإزالة بقوّة ، ورجل دَفّاع ومِدْفَعٌ ، أي شديد الدفع ، وركن مِدْفَع ، أي قويّ. ويقال : اندفع الفرس ، أي أسرع في سيره. والمراد هنا الشدّة والسرعة عند خروجه. راجع : </w:t>
      </w:r>
      <w:r w:rsidR="00E3253D" w:rsidRPr="002F4D34">
        <w:rPr>
          <w:rStyle w:val="libFootnoteBoldChar"/>
          <w:rtl/>
        </w:rPr>
        <w:t>الصحاح</w:t>
      </w:r>
      <w:r w:rsidR="00E3253D" w:rsidRPr="005D642E">
        <w:rPr>
          <w:rtl/>
        </w:rPr>
        <w:t xml:space="preserve"> ، ج 3 ، ص 1208 ؛ </w:t>
      </w:r>
      <w:r w:rsidR="00E3253D" w:rsidRPr="002F4D34">
        <w:rPr>
          <w:rStyle w:val="libFootnoteBoldChar"/>
          <w:rtl/>
        </w:rPr>
        <w:t>لسان العرب</w:t>
      </w:r>
      <w:r w:rsidR="00E3253D" w:rsidRPr="005D642E">
        <w:rPr>
          <w:rtl/>
        </w:rPr>
        <w:t xml:space="preserve"> ، ج 8 ، ص 87 ( دفع ) ؛ </w:t>
      </w:r>
      <w:r w:rsidR="00E3253D" w:rsidRPr="002F4D34">
        <w:rPr>
          <w:rStyle w:val="libFootnoteBoldChar"/>
          <w:rtl/>
        </w:rPr>
        <w:t>مرآة العقول</w:t>
      </w:r>
      <w:r w:rsidR="00E3253D" w:rsidRPr="005D642E">
        <w:rPr>
          <w:rtl/>
        </w:rPr>
        <w:t xml:space="preserve"> ، ج 13 ، ص 229.</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مرآة العقول</w:t>
      </w:r>
      <w:r w:rsidR="00E3253D" w:rsidRPr="005D642E">
        <w:rPr>
          <w:rtl/>
        </w:rPr>
        <w:t xml:space="preserve"> : « المشهور بين الأصحاب أنّ كلّ دم يمكن أن يكون حيضاً فهو حيض وإن لم يكن بتلك الصفات ، وعملوا بتلك الأخبار الدالّة على صفات الحيض في المبتدأة أو المضطربة إذا استمرّت بهما الدم. وقال صاحب </w:t>
      </w:r>
      <w:r w:rsidR="00E3253D" w:rsidRPr="002F4D34">
        <w:rPr>
          <w:rStyle w:val="libFootnoteBoldChar"/>
          <w:rtl/>
        </w:rPr>
        <w:t>المدارك</w:t>
      </w:r>
      <w:r w:rsidR="00E3253D" w:rsidRPr="005D642E">
        <w:rPr>
          <w:rtl/>
        </w:rPr>
        <w:t xml:space="preserve"> : هذا الحكم ذكره الأصحاب كذلك ، وقال في </w:t>
      </w:r>
      <w:r w:rsidR="00E3253D" w:rsidRPr="002F4D34">
        <w:rPr>
          <w:rStyle w:val="libFootnoteBoldChar"/>
          <w:rtl/>
        </w:rPr>
        <w:t>المعتبر</w:t>
      </w:r>
      <w:r w:rsidR="00E3253D" w:rsidRPr="005D642E">
        <w:rPr>
          <w:rtl/>
        </w:rPr>
        <w:t xml:space="preserve"> : إنّه إجماع ، وهو مشكل جدّاً من حيث ترك المعلوم ثبوته في الذمّة تعويلاً على مجرّد الإمكان ، والأظهر أنّه إنّما يحكم بكونه حيضاً إذا كان بصفة الحيض أو كان في العادة. انتهى كلامه ولايخلو من قوّة »</w:t>
      </w:r>
      <w:r w:rsidR="00E3253D">
        <w:rPr>
          <w:rtl/>
        </w:rPr>
        <w:t>.</w:t>
      </w:r>
      <w:r w:rsidR="00E3253D" w:rsidRPr="005D642E">
        <w:rPr>
          <w:rtl/>
        </w:rPr>
        <w:t xml:space="preserve"> وراجع أيضاً : </w:t>
      </w:r>
      <w:r w:rsidR="00E3253D" w:rsidRPr="002F4D34">
        <w:rPr>
          <w:rStyle w:val="libFootnoteBoldChar"/>
          <w:rtl/>
        </w:rPr>
        <w:t>مدارك الأحكام</w:t>
      </w:r>
      <w:r w:rsidR="00E3253D" w:rsidRPr="005D642E">
        <w:rPr>
          <w:rtl/>
        </w:rPr>
        <w:t xml:space="preserve"> ، ج 1 ، ص 324.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الِاسْتِحَاضَةِ أَصْفَرُ ، بَارِدٌ ، فَإِذَا </w:t>
      </w:r>
      <w:r w:rsidRPr="007C12DB">
        <w:rPr>
          <w:rStyle w:val="libFootnotenumChar"/>
          <w:rtl/>
        </w:rPr>
        <w:t>(1)</w:t>
      </w:r>
      <w:r w:rsidRPr="005D642E">
        <w:rPr>
          <w:rtl/>
          <w:lang w:bidi="fa-IR"/>
        </w:rPr>
        <w:t xml:space="preserve"> كَانَ لِلدَّمِ حَرَارَةٌ وَدَفْعٌ وَسَوَادٌ ، فَلْتَدَعِ الصَّلَاةَ »</w:t>
      </w:r>
      <w:r>
        <w:rPr>
          <w:rtl/>
          <w:lang w:bidi="fa-IR"/>
        </w:rPr>
        <w:t>.</w:t>
      </w:r>
    </w:p>
    <w:p w:rsidR="00E3253D" w:rsidRPr="005D642E" w:rsidRDefault="00E3253D" w:rsidP="00E3253D">
      <w:pPr>
        <w:pStyle w:val="libNormal"/>
        <w:rPr>
          <w:rtl/>
          <w:lang w:bidi="fa-IR"/>
        </w:rPr>
      </w:pPr>
      <w:r w:rsidRPr="005D642E">
        <w:rPr>
          <w:rtl/>
          <w:lang w:bidi="fa-IR"/>
        </w:rPr>
        <w:t xml:space="preserve">قَالَ : فَخَرَجَتْ وَهِيَ تَقُولُ : وَاللهِ أَنْ </w:t>
      </w:r>
      <w:r w:rsidRPr="007C12DB">
        <w:rPr>
          <w:rStyle w:val="libFootnotenumChar"/>
          <w:rtl/>
        </w:rPr>
        <w:t>(2)</w:t>
      </w:r>
      <w:r w:rsidRPr="005D642E">
        <w:rPr>
          <w:rtl/>
          <w:lang w:bidi="fa-IR"/>
        </w:rPr>
        <w:t xml:space="preserve"> لَوْ كَانَ امْرَأَةً مَا زَادَ عَلى هذَا. </w:t>
      </w:r>
      <w:r w:rsidRPr="007C12DB">
        <w:rPr>
          <w:rStyle w:val="libFootnotenumChar"/>
          <w:rtl/>
        </w:rPr>
        <w:t>(3)</w:t>
      </w:r>
    </w:p>
    <w:p w:rsidR="00E3253D" w:rsidRPr="005D642E" w:rsidRDefault="00E3253D" w:rsidP="00E3253D">
      <w:pPr>
        <w:pStyle w:val="libNormal"/>
        <w:rPr>
          <w:rtl/>
          <w:lang w:bidi="fa-IR"/>
        </w:rPr>
      </w:pPr>
      <w:r w:rsidRPr="00761C02">
        <w:rPr>
          <w:rtl/>
        </w:rPr>
        <w:t>4188</w:t>
      </w:r>
      <w:r w:rsidRPr="00246318">
        <w:rPr>
          <w:rStyle w:val="libBold2Char"/>
          <w:rtl/>
        </w:rPr>
        <w:t xml:space="preserve"> / 2.</w:t>
      </w:r>
      <w:r w:rsidRPr="005D642E">
        <w:rPr>
          <w:rtl/>
          <w:lang w:bidi="fa-IR"/>
        </w:rPr>
        <w:t xml:space="preserve"> مُحَمَّدُ بْنُ إِسْمَاعِيلَ ، عَنِ الْفَضْلِ بْنِ شَاذَانَ ، عَنْ حَمَّادِ بْنِ عِيسى وَ</w:t>
      </w:r>
      <w:r>
        <w:rPr>
          <w:rFonts w:hint="cs"/>
          <w:rtl/>
          <w:lang w:bidi="fa-IR"/>
        </w:rPr>
        <w:t xml:space="preserve"> </w:t>
      </w:r>
      <w:r w:rsidRPr="007C12DB">
        <w:rPr>
          <w:rStyle w:val="libFootnotenumChar"/>
          <w:rtl/>
        </w:rPr>
        <w:t>(4)</w:t>
      </w:r>
      <w:r w:rsidRPr="005D642E">
        <w:rPr>
          <w:rtl/>
          <w:lang w:bidi="fa-IR"/>
        </w:rPr>
        <w:t xml:space="preserve"> ابْنِ أَبِي عُمَيْرٍ جَمِيعاً ، عَنْ مُعَاوِيَةَ بْنِ عَمَّارٍ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إِنَّ دَمَ الِاسْتِحَاضَةِ وَالْحَيْضِ لَيْسَا </w:t>
      </w:r>
      <w:r w:rsidRPr="007C12DB">
        <w:rPr>
          <w:rStyle w:val="libFootnotenumChar"/>
          <w:rtl/>
        </w:rPr>
        <w:t>(5)</w:t>
      </w:r>
      <w:r w:rsidRPr="005D642E">
        <w:rPr>
          <w:rtl/>
          <w:lang w:bidi="fa-IR"/>
        </w:rPr>
        <w:t xml:space="preserve"> يَخْرُجَانِ مِنْ مَكَانٍ وَاحِدٍ </w:t>
      </w:r>
      <w:r w:rsidRPr="007C12DB">
        <w:rPr>
          <w:rStyle w:val="libFootnotenumChar"/>
          <w:rtl/>
        </w:rPr>
        <w:t>(6)</w:t>
      </w:r>
      <w:r w:rsidRPr="005D642E">
        <w:rPr>
          <w:rtl/>
          <w:lang w:bidi="fa-IR"/>
        </w:rPr>
        <w:t xml:space="preserve"> ؛ إِنَّ دَمَ الِاسْتِحَاضَةِ </w:t>
      </w:r>
      <w:r w:rsidRPr="007C12DB">
        <w:rPr>
          <w:rStyle w:val="libFootnotenumChar"/>
          <w:rtl/>
        </w:rPr>
        <w:t>(7)</w:t>
      </w:r>
      <w:r w:rsidRPr="005D642E">
        <w:rPr>
          <w:rtl/>
          <w:lang w:bidi="fa-IR"/>
        </w:rPr>
        <w:t xml:space="preserve"> بَارِدٌ ، وَإِنَّ </w:t>
      </w:r>
      <w:r w:rsidRPr="007C12DB">
        <w:rPr>
          <w:rStyle w:val="libFootnotenumChar"/>
          <w:rtl/>
        </w:rPr>
        <w:t>(8)</w:t>
      </w:r>
      <w:r w:rsidRPr="005D642E">
        <w:rPr>
          <w:rtl/>
          <w:lang w:bidi="fa-IR"/>
        </w:rPr>
        <w:t xml:space="preserve"> دَمَ الْحَيْضِ </w:t>
      </w:r>
      <w:r w:rsidRPr="007C12DB">
        <w:rPr>
          <w:rStyle w:val="libFootnotenumChar"/>
          <w:rtl/>
        </w:rPr>
        <w:t>(9)</w:t>
      </w:r>
      <w:r w:rsidRPr="005D642E">
        <w:rPr>
          <w:rtl/>
          <w:lang w:bidi="fa-IR"/>
        </w:rPr>
        <w:t xml:space="preserve"> حَارٌّ »</w:t>
      </w:r>
      <w:r>
        <w:rPr>
          <w:rtl/>
          <w:lang w:bidi="fa-IR"/>
        </w:rPr>
        <w:t>.</w:t>
      </w:r>
      <w:r w:rsidRPr="005D642E">
        <w:rPr>
          <w:rtl/>
          <w:lang w:bidi="fa-IR"/>
        </w:rPr>
        <w:t xml:space="preserve"> </w:t>
      </w:r>
      <w:r w:rsidRPr="007C12DB">
        <w:rPr>
          <w:rStyle w:val="libFootnotenumChar"/>
          <w:rtl/>
        </w:rPr>
        <w:t>(10)</w:t>
      </w:r>
    </w:p>
    <w:p w:rsidR="00E3253D" w:rsidRPr="005D642E" w:rsidRDefault="00E3253D" w:rsidP="00E3253D">
      <w:pPr>
        <w:pStyle w:val="libNormal"/>
        <w:rPr>
          <w:rtl/>
          <w:lang w:bidi="fa-IR"/>
        </w:rPr>
      </w:pPr>
      <w:r w:rsidRPr="00761C02">
        <w:rPr>
          <w:rtl/>
        </w:rPr>
        <w:t>4189</w:t>
      </w:r>
      <w:r w:rsidRPr="00246318">
        <w:rPr>
          <w:rStyle w:val="libBold2Char"/>
          <w:rtl/>
        </w:rPr>
        <w:t xml:space="preserve"> / 3.</w:t>
      </w:r>
      <w:r w:rsidRPr="005D642E">
        <w:rPr>
          <w:rtl/>
          <w:lang w:bidi="fa-IR"/>
        </w:rPr>
        <w:t xml:space="preserve"> عِدَّةٌ مِنْ أَصْحَابِنَا ، عَنْ أَحْمَدَ بْنِ مُحَمَّدٍ ، عَنْ عَلِيِّ بْنِ الْحَكَمِ ، عَنْ إِسْحَاقَ بْنِ جَرِيرٍ </w:t>
      </w:r>
      <w:r w:rsidRPr="007C12DB">
        <w:rPr>
          <w:rStyle w:val="libFootnotenumChar"/>
          <w:rtl/>
        </w:rPr>
        <w:t>(11)</w:t>
      </w:r>
      <w:r w:rsidRPr="005D642E">
        <w:rPr>
          <w:rtl/>
          <w:lang w:bidi="fa-IR"/>
        </w:rPr>
        <w:t xml:space="preserve">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بس ، بف » وحاشية « بح » </w:t>
      </w:r>
      <w:r w:rsidR="000D749A" w:rsidRPr="004A5D39">
        <w:rPr>
          <w:rtl/>
        </w:rPr>
        <w:t>والوافي</w:t>
      </w:r>
      <w:r w:rsidR="00E3253D" w:rsidRPr="005D642E">
        <w:rPr>
          <w:rtl/>
        </w:rPr>
        <w:t xml:space="preserve"> : « وإذا »</w:t>
      </w:r>
      <w:r w:rsidR="00E3253D">
        <w:rPr>
          <w:rtl/>
        </w:rPr>
        <w:t>.</w:t>
      </w:r>
      <w:r w:rsidR="00E3253D" w:rsidRPr="005D642E">
        <w:rPr>
          <w:rtl/>
        </w:rPr>
        <w:t xml:space="preserve"> وفي « بخ » : « وإن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بح » : « إنّه »</w:t>
      </w:r>
      <w:r w:rsidR="00E3253D">
        <w:rPr>
          <w:rtl/>
        </w:rPr>
        <w:t>.</w:t>
      </w:r>
      <w:r w:rsidR="00E3253D" w:rsidRPr="005D642E">
        <w:rPr>
          <w:rtl/>
        </w:rPr>
        <w:t xml:space="preserve"> وفي الوافي :</w:t>
      </w:r>
      <w:r w:rsidR="00E3253D">
        <w:rPr>
          <w:rtl/>
        </w:rPr>
        <w:t xml:space="preserve"> </w:t>
      </w:r>
      <w:r w:rsidR="007642BC">
        <w:rPr>
          <w:rtl/>
        </w:rPr>
        <w:t>-</w:t>
      </w:r>
      <w:r w:rsidR="00E3253D">
        <w:rPr>
          <w:rtl/>
        </w:rPr>
        <w:t xml:space="preserve"> </w:t>
      </w:r>
      <w:r w:rsidR="00E3253D" w:rsidRPr="005D642E">
        <w:rPr>
          <w:rtl/>
        </w:rPr>
        <w:t>« أن »</w:t>
      </w:r>
      <w:r w:rsidR="00E3253D">
        <w:rPr>
          <w:rtl/>
        </w:rPr>
        <w:t>.</w:t>
      </w:r>
      <w:r w:rsidR="00E3253D" w:rsidRPr="005D642E">
        <w:rPr>
          <w:rtl/>
        </w:rPr>
        <w:t xml:space="preserve"> وفي التهذيب ، ح 429 :</w:t>
      </w:r>
      <w:r w:rsidR="00E3253D">
        <w:rPr>
          <w:rtl/>
        </w:rPr>
        <w:t xml:space="preserve"> </w:t>
      </w:r>
      <w:r w:rsidR="007642BC">
        <w:rPr>
          <w:rtl/>
        </w:rPr>
        <w:t>-</w:t>
      </w:r>
      <w:r w:rsidR="00E3253D">
        <w:rPr>
          <w:rtl/>
        </w:rPr>
        <w:t xml:space="preserve"> </w:t>
      </w:r>
      <w:r w:rsidR="00E3253D" w:rsidRPr="005D642E">
        <w:rPr>
          <w:rtl/>
        </w:rPr>
        <w:t>« والله أن »</w:t>
      </w:r>
      <w:r w:rsidR="00E3253D">
        <w:rPr>
          <w:rtl/>
        </w:rPr>
        <w:t>.</w:t>
      </w:r>
    </w:p>
    <w:p w:rsidR="00E3253D" w:rsidRPr="005D642E" w:rsidRDefault="0042621E" w:rsidP="004A5D39">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151 ، ح 429 ، بسنده عن الكليني. راجع : </w:t>
      </w:r>
      <w:r w:rsidR="00E3253D" w:rsidRPr="002F4D34">
        <w:rPr>
          <w:rStyle w:val="libFootnoteBoldChar"/>
          <w:rtl/>
        </w:rPr>
        <w:t>التهذيب</w:t>
      </w:r>
      <w:r w:rsidR="00E3253D" w:rsidRPr="005D642E">
        <w:rPr>
          <w:rtl/>
        </w:rPr>
        <w:t xml:space="preserve"> ، ج 1 ، ص 151 ، ح 431 ؛ وج 8 ، ص 127 ، ح 439 ؛ </w:t>
      </w:r>
      <w:r w:rsidR="00E3253D" w:rsidRPr="00E678B5">
        <w:rPr>
          <w:rStyle w:val="libFootnoteBoldChar"/>
          <w:rtl/>
        </w:rPr>
        <w:t>والاستبصار</w:t>
      </w:r>
      <w:r w:rsidR="00E3253D" w:rsidRPr="005D642E">
        <w:rPr>
          <w:rtl/>
        </w:rPr>
        <w:t xml:space="preserve"> ، ج 3 ، ص 332 ، ح 1181 </w:t>
      </w:r>
      <w:r w:rsidR="004A5D39">
        <w:rPr>
          <w:rFonts w:hint="cs"/>
          <w:rtl/>
        </w:rPr>
        <w:t>.</w:t>
      </w:r>
      <w:r w:rsidR="00E3253D" w:rsidRPr="002F4D34">
        <w:rPr>
          <w:rStyle w:val="libFootnoteBoldChar"/>
          <w:rtl/>
        </w:rPr>
        <w:t>الوافي</w:t>
      </w:r>
      <w:r w:rsidR="00E3253D" w:rsidRPr="005D642E">
        <w:rPr>
          <w:rtl/>
        </w:rPr>
        <w:t xml:space="preserve"> ، ج 6 ، ص 440 ، ح 4664 ؛ </w:t>
      </w:r>
      <w:r w:rsidR="00E3253D" w:rsidRPr="002F4D34">
        <w:rPr>
          <w:rStyle w:val="libFootnoteBoldChar"/>
          <w:rtl/>
        </w:rPr>
        <w:t>الوسائل</w:t>
      </w:r>
      <w:r w:rsidR="00E3253D" w:rsidRPr="005D642E">
        <w:rPr>
          <w:rtl/>
        </w:rPr>
        <w:t xml:space="preserve"> ، ج 2 ، ص 275 ، ح 2133.</w:t>
      </w:r>
      <w:r w:rsidR="004A5D39">
        <w:rPr>
          <w:rFonts w:hint="cs"/>
          <w:rtl/>
        </w:rPr>
        <w:t xml:space="preserve">    </w:t>
      </w:r>
      <w:r w:rsidRPr="0042621E">
        <w:rPr>
          <w:rStyle w:val="libFootnote0Char"/>
          <w:rtl/>
        </w:rPr>
        <w:t>(4).</w:t>
      </w:r>
      <w:r w:rsidR="00E3253D" w:rsidRPr="005D642E">
        <w:rPr>
          <w:rtl/>
        </w:rPr>
        <w:t xml:space="preserve"> في «ى،جح»وحاشية«بس»:+«عن»</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 بخ ، بف » </w:t>
      </w:r>
      <w:r w:rsidR="000D749A" w:rsidRPr="000D749A">
        <w:rPr>
          <w:rStyle w:val="libFootnoteBoldChar"/>
          <w:rtl/>
        </w:rPr>
        <w:t>والوافي</w:t>
      </w:r>
      <w:r w:rsidR="00E3253D" w:rsidRPr="005D642E">
        <w:rPr>
          <w:rtl/>
        </w:rPr>
        <w:t xml:space="preserve">. وفي معظم النسخ التي قوبلت والمطبوع والوسائل </w:t>
      </w:r>
      <w:r w:rsidR="00B60612" w:rsidRPr="00B60612">
        <w:rPr>
          <w:rStyle w:val="libFootnoteBoldChar"/>
          <w:rtl/>
        </w:rPr>
        <w:t>والتهذيب</w:t>
      </w:r>
      <w:r w:rsidR="00E3253D" w:rsidRPr="005D642E">
        <w:rPr>
          <w:rtl/>
        </w:rPr>
        <w:t xml:space="preserve"> : « ليس »</w:t>
      </w:r>
      <w:r w:rsidR="00E3253D">
        <w:rPr>
          <w:rtl/>
        </w:rPr>
        <w:t>.</w:t>
      </w:r>
      <w:r w:rsidR="00E3253D" w:rsidRPr="005D642E">
        <w:rPr>
          <w:rtl/>
        </w:rPr>
        <w:t xml:space="preserve"> وفي « جن » : « فليس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 « من مخرج واحد »</w:t>
      </w:r>
      <w:r w:rsidR="00E3253D">
        <w:rPr>
          <w:rtl/>
        </w:rPr>
        <w:t>.</w:t>
      </w:r>
      <w:r w:rsidR="00E3253D" w:rsidRPr="005D642E">
        <w:rPr>
          <w:rtl/>
        </w:rPr>
        <w:t xml:space="preserve"> وفي </w:t>
      </w:r>
      <w:r w:rsidR="00E3253D" w:rsidRPr="002F4D34">
        <w:rPr>
          <w:rStyle w:val="libFootnoteBoldChar"/>
          <w:rtl/>
        </w:rPr>
        <w:t>الحبل المتين</w:t>
      </w:r>
      <w:r w:rsidR="00E3253D" w:rsidRPr="005D642E">
        <w:rPr>
          <w:rtl/>
        </w:rPr>
        <w:t xml:space="preserve"> ، ص 166 : « المراد من عدم خروج الدمين من مكان واحد أنّ مقرّيهما في بطن المرأة متخالفان ، فخروج كلّ واحد منهما من موضع خاصّ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المستحاضة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إنّ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 + « دم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151 ، ح 430 ، بسنده عن الكليني </w:t>
      </w:r>
      <w:r w:rsidR="000F762F">
        <w:rPr>
          <w:rFonts w:hint="cs"/>
          <w:rtl/>
        </w:rPr>
        <w:t>.</w:t>
      </w:r>
      <w:r w:rsidR="00E3253D" w:rsidRPr="002F4D34">
        <w:rPr>
          <w:rStyle w:val="libFootnoteBoldChar"/>
          <w:rtl/>
        </w:rPr>
        <w:t>الوافي</w:t>
      </w:r>
      <w:r w:rsidR="00E3253D" w:rsidRPr="005D642E">
        <w:rPr>
          <w:rtl/>
        </w:rPr>
        <w:t xml:space="preserve"> ، ج 6 ، ص 441 ، ح 4665 ؛ </w:t>
      </w:r>
      <w:r w:rsidR="00E3253D" w:rsidRPr="002F4D34">
        <w:rPr>
          <w:rStyle w:val="libFootnoteBoldChar"/>
          <w:rtl/>
        </w:rPr>
        <w:t>الوسائل</w:t>
      </w:r>
      <w:r w:rsidR="00E3253D" w:rsidRPr="005D642E">
        <w:rPr>
          <w:rtl/>
        </w:rPr>
        <w:t xml:space="preserve"> ، ج 2 ، ص 275 ، ح 2132.</w:t>
      </w:r>
    </w:p>
    <w:p w:rsidR="00E3253D" w:rsidRDefault="0042621E" w:rsidP="00E3253D">
      <w:pPr>
        <w:pStyle w:val="libFootnote0"/>
        <w:rPr>
          <w:rtl/>
        </w:rPr>
      </w:pPr>
      <w:r w:rsidRPr="0042621E">
        <w:rPr>
          <w:rStyle w:val="libFootnote0Char"/>
          <w:rtl/>
        </w:rPr>
        <w:t>(11).</w:t>
      </w:r>
      <w:r w:rsidR="00E3253D" w:rsidRPr="005D642E">
        <w:rPr>
          <w:rtl/>
        </w:rPr>
        <w:t xml:space="preserve"> في « ظ ، بس ، جس » : « حريز »</w:t>
      </w:r>
      <w:r w:rsidR="00E3253D">
        <w:rPr>
          <w:rtl/>
        </w:rPr>
        <w:t>.</w:t>
      </w:r>
      <w:r w:rsidR="00E3253D" w:rsidRPr="005D642E">
        <w:rPr>
          <w:rtl/>
        </w:rPr>
        <w:t xml:space="preserve"> وهو سهو. وإسحاق ، هو إسحاق بن جرير البجلي. راجع : </w:t>
      </w:r>
      <w:r w:rsidR="00E3253D" w:rsidRPr="002F4D34">
        <w:rPr>
          <w:rStyle w:val="libFootnoteBoldChar"/>
          <w:rtl/>
        </w:rPr>
        <w:t>رجال النجاشي</w:t>
      </w:r>
      <w:r w:rsidR="00E3253D" w:rsidRPr="005D642E">
        <w:rPr>
          <w:rtl/>
        </w:rPr>
        <w:t xml:space="preserve"> ، ص 71 ، الرقم 170 ؛ </w:t>
      </w:r>
      <w:r w:rsidR="00E3253D" w:rsidRPr="002F4D34">
        <w:rPr>
          <w:rStyle w:val="libFootnoteBoldChar"/>
          <w:rtl/>
        </w:rPr>
        <w:t>رجال البرقي</w:t>
      </w:r>
      <w:r w:rsidR="00E3253D" w:rsidRPr="005D642E">
        <w:rPr>
          <w:rtl/>
        </w:rPr>
        <w:t xml:space="preserve"> ، ص 28 ؛ </w:t>
      </w:r>
      <w:r w:rsidR="00E3253D" w:rsidRPr="002F4D34">
        <w:rPr>
          <w:rStyle w:val="libFootnoteBoldChar"/>
          <w:rtl/>
        </w:rPr>
        <w:t>رجال الطوسي</w:t>
      </w:r>
      <w:r w:rsidR="00E3253D" w:rsidRPr="005D642E">
        <w:rPr>
          <w:rtl/>
        </w:rPr>
        <w:t xml:space="preserve"> ، ص 161 ، الرقم 1826.</w:t>
      </w:r>
    </w:p>
    <w:p w:rsidR="00E3253D" w:rsidRPr="005D642E" w:rsidRDefault="00E3253D" w:rsidP="00AA318C">
      <w:pPr>
        <w:pStyle w:val="libFootnote0"/>
        <w:rPr>
          <w:rtl/>
          <w:lang w:bidi="fa-IR"/>
        </w:rPr>
      </w:pPr>
      <w:r w:rsidRPr="005D642E">
        <w:rPr>
          <w:rtl/>
        </w:rPr>
        <w:t xml:space="preserve">ثمّ إنّ الخبر ورد في </w:t>
      </w:r>
      <w:r w:rsidRPr="002F4D34">
        <w:rPr>
          <w:rStyle w:val="libFootnoteBoldChar"/>
          <w:rtl/>
        </w:rPr>
        <w:t>التهذيب</w:t>
      </w:r>
      <w:r w:rsidR="00591486">
        <w:rPr>
          <w:rtl/>
        </w:rPr>
        <w:t>،</w:t>
      </w:r>
      <w:r w:rsidRPr="005D642E">
        <w:rPr>
          <w:rtl/>
        </w:rPr>
        <w:t>ج 1 ، ص 151 ، ح 431 ، وسنده هكذا : « أ</w:t>
      </w:r>
      <w:r w:rsidR="00591486">
        <w:rPr>
          <w:rtl/>
        </w:rPr>
        <w:t>حمد بن محمّد ، عن عليّ بن الحكم</w:t>
      </w:r>
      <w:r w:rsidRPr="005D642E">
        <w:rPr>
          <w:rtl/>
        </w:rPr>
        <w:t xml:space="preserve">، </w:t>
      </w:r>
      <w:r w:rsidR="00AA318C">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سَأَلَتْنِي امْرَأَةٌ مِنَّا </w:t>
      </w:r>
      <w:r w:rsidRPr="007C12DB">
        <w:rPr>
          <w:rStyle w:val="libFootnotenumChar"/>
          <w:rtl/>
        </w:rPr>
        <w:t>(1)</w:t>
      </w:r>
      <w:r w:rsidRPr="005D642E">
        <w:rPr>
          <w:rtl/>
          <w:lang w:bidi="fa-IR"/>
        </w:rPr>
        <w:t xml:space="preserve"> أَنْ أُدْخِلَهَا </w:t>
      </w:r>
      <w:r w:rsidRPr="007C12DB">
        <w:rPr>
          <w:rStyle w:val="libFootnotenumChar"/>
          <w:rtl/>
        </w:rPr>
        <w:t>(2)</w:t>
      </w:r>
      <w:r w:rsidRPr="005D642E">
        <w:rPr>
          <w:rtl/>
          <w:lang w:bidi="fa-IR"/>
        </w:rPr>
        <w:t xml:space="preserve"> عَلى أَبِي عَبْدِ اللهِ </w:t>
      </w:r>
      <w:r w:rsidRPr="00AC51C5">
        <w:rPr>
          <w:rStyle w:val="libAlaemChar"/>
          <w:rtl/>
        </w:rPr>
        <w:t>عليه‌السلام</w:t>
      </w:r>
      <w:r w:rsidRPr="005D642E">
        <w:rPr>
          <w:rtl/>
          <w:lang w:bidi="fa-IR"/>
        </w:rPr>
        <w:t xml:space="preserve"> ، فَاسْتَأْذَنْتُ لَهَا </w:t>
      </w:r>
      <w:r w:rsidRPr="007C12DB">
        <w:rPr>
          <w:rStyle w:val="libFootnotenumChar"/>
          <w:rtl/>
        </w:rPr>
        <w:t>(3)</w:t>
      </w:r>
      <w:r w:rsidRPr="005D642E">
        <w:rPr>
          <w:rtl/>
          <w:lang w:bidi="fa-IR"/>
        </w:rPr>
        <w:t xml:space="preserve"> ، فَأَذِنَ لَهَا </w:t>
      </w:r>
      <w:r w:rsidRPr="007C12DB">
        <w:rPr>
          <w:rStyle w:val="libFootnotenumChar"/>
          <w:rtl/>
        </w:rPr>
        <w:t>(4)</w:t>
      </w:r>
      <w:r w:rsidRPr="005D642E">
        <w:rPr>
          <w:rtl/>
          <w:lang w:bidi="fa-IR"/>
        </w:rPr>
        <w:t xml:space="preserve"> ، فَدَخَلَتْ وَمَعَهَا مَوْلَاةٌ لَهَا </w:t>
      </w:r>
      <w:r w:rsidRPr="007C12DB">
        <w:rPr>
          <w:rStyle w:val="libFootnotenumChar"/>
          <w:rtl/>
        </w:rPr>
        <w:t>(5)</w:t>
      </w:r>
      <w:r w:rsidRPr="005D642E">
        <w:rPr>
          <w:rtl/>
          <w:lang w:bidi="fa-IR"/>
        </w:rPr>
        <w:t xml:space="preserve"> ، فَقَالَتْ لَهُ </w:t>
      </w:r>
      <w:r w:rsidRPr="007C12DB">
        <w:rPr>
          <w:rStyle w:val="libFootnotenumChar"/>
          <w:rtl/>
        </w:rPr>
        <w:t>(6)</w:t>
      </w:r>
      <w:r w:rsidRPr="005D642E">
        <w:rPr>
          <w:rtl/>
          <w:lang w:bidi="fa-IR"/>
        </w:rPr>
        <w:t xml:space="preserve"> : يَا </w:t>
      </w:r>
      <w:r w:rsidRPr="007C12DB">
        <w:rPr>
          <w:rStyle w:val="libFootnotenumChar"/>
          <w:rtl/>
        </w:rPr>
        <w:t>(7)</w:t>
      </w:r>
      <w:r w:rsidRPr="005D642E">
        <w:rPr>
          <w:rtl/>
          <w:lang w:bidi="fa-IR"/>
        </w:rPr>
        <w:t xml:space="preserve"> أَبَا عَبْدِ اللهِ ، قَوْلُهُ </w:t>
      </w:r>
      <w:r w:rsidRPr="007C12DB">
        <w:rPr>
          <w:rStyle w:val="libFootnotenumChar"/>
          <w:rtl/>
        </w:rPr>
        <w:t>(8)</w:t>
      </w:r>
      <w:r w:rsidRPr="005D642E">
        <w:rPr>
          <w:rtl/>
          <w:lang w:bidi="fa-IR"/>
        </w:rPr>
        <w:t xml:space="preserve"> تَعَالى : « </w:t>
      </w:r>
      <w:r w:rsidRPr="00AC51C5">
        <w:rPr>
          <w:rStyle w:val="libAlaemChar"/>
          <w:rtl/>
        </w:rPr>
        <w:t>(</w:t>
      </w:r>
      <w:r w:rsidRPr="00AC51C5">
        <w:rPr>
          <w:rStyle w:val="libAieChar"/>
          <w:rtl/>
        </w:rPr>
        <w:t xml:space="preserve"> زَيْتُونَةٍ ل</w:t>
      </w:r>
      <w:r w:rsidR="00143EB3">
        <w:rPr>
          <w:rStyle w:val="libAieChar"/>
          <w:rFonts w:hint="cs"/>
          <w:rtl/>
        </w:rPr>
        <w:t>َ</w:t>
      </w:r>
      <w:r w:rsidRPr="00AC51C5">
        <w:rPr>
          <w:rStyle w:val="libAieChar"/>
          <w:rtl/>
        </w:rPr>
        <w:t xml:space="preserve">ا شَرْقِيَّةٍ وَلا غَرْبِيَّةٍ </w:t>
      </w:r>
      <w:r w:rsidRPr="00AC51C5">
        <w:rPr>
          <w:rStyle w:val="libAlaemChar"/>
          <w:rtl/>
        </w:rPr>
        <w:t>)</w:t>
      </w:r>
      <w:r w:rsidRPr="005D642E">
        <w:rPr>
          <w:rtl/>
          <w:lang w:bidi="fa-IR"/>
        </w:rPr>
        <w:t xml:space="preserve"> </w:t>
      </w:r>
      <w:r w:rsidRPr="007C12DB">
        <w:rPr>
          <w:rStyle w:val="libFootnotenumChar"/>
          <w:rtl/>
        </w:rPr>
        <w:t>(9)</w:t>
      </w:r>
      <w:r w:rsidRPr="005D642E">
        <w:rPr>
          <w:rtl/>
          <w:lang w:bidi="fa-IR"/>
        </w:rPr>
        <w:t xml:space="preserve"> مَا عَنى بِهذَا </w:t>
      </w:r>
      <w:r w:rsidRPr="007C12DB">
        <w:rPr>
          <w:rStyle w:val="libFootnotenumChar"/>
          <w:rtl/>
        </w:rPr>
        <w:t>(10)</w:t>
      </w:r>
      <w:r>
        <w:rPr>
          <w:rtl/>
          <w:lang w:bidi="fa-IR"/>
        </w:rPr>
        <w:t>؟</w:t>
      </w:r>
    </w:p>
    <w:p w:rsidR="00E3253D" w:rsidRPr="005D642E" w:rsidRDefault="00E3253D" w:rsidP="00E3253D">
      <w:pPr>
        <w:pStyle w:val="libNormal"/>
        <w:rPr>
          <w:rtl/>
          <w:lang w:bidi="fa-IR"/>
        </w:rPr>
      </w:pPr>
      <w:r w:rsidRPr="005D642E">
        <w:rPr>
          <w:rtl/>
          <w:lang w:bidi="fa-IR"/>
        </w:rPr>
        <w:t xml:space="preserve">فَقَالَ لَهَا </w:t>
      </w:r>
      <w:r w:rsidRPr="007C12DB">
        <w:rPr>
          <w:rStyle w:val="libFootnotenumChar"/>
          <w:rtl/>
        </w:rPr>
        <w:t>(11)</w:t>
      </w:r>
      <w:r w:rsidRPr="005D642E">
        <w:rPr>
          <w:rtl/>
          <w:lang w:bidi="fa-IR"/>
        </w:rPr>
        <w:t xml:space="preserve"> : « أَيَّتُهَا الْمَرْأَةُ ، إِنَّ اللهَ تَعَالى لَمْ يَضْرِبِ الْأَمْثَالَ لِلشَّجَرَةِ </w:t>
      </w:r>
      <w:r w:rsidRPr="007C12DB">
        <w:rPr>
          <w:rStyle w:val="libFootnotenumChar"/>
          <w:rtl/>
        </w:rPr>
        <w:t>(12)</w:t>
      </w:r>
      <w:r w:rsidRPr="005D642E">
        <w:rPr>
          <w:rtl/>
          <w:lang w:bidi="fa-IR"/>
        </w:rPr>
        <w:t xml:space="preserve"> ، إِنَّمَا ضَرَبَ الْأَمْثَالَ لِبَنِي آدَمَ ، سَلِي عَمَّا تُرِيدِينَ »</w:t>
      </w:r>
      <w:r>
        <w:rPr>
          <w:rtl/>
          <w:lang w:bidi="fa-IR"/>
        </w:rPr>
        <w:t>.</w:t>
      </w:r>
    </w:p>
    <w:p w:rsidR="00E3253D" w:rsidRPr="005D642E" w:rsidRDefault="00E3253D" w:rsidP="00E3253D">
      <w:pPr>
        <w:pStyle w:val="libNormal"/>
        <w:rPr>
          <w:rtl/>
          <w:lang w:bidi="fa-IR"/>
        </w:rPr>
      </w:pPr>
      <w:r w:rsidRPr="005D642E">
        <w:rPr>
          <w:rtl/>
          <w:lang w:bidi="fa-IR"/>
        </w:rPr>
        <w:t xml:space="preserve">قَالَتْ </w:t>
      </w:r>
      <w:r w:rsidRPr="007C12DB">
        <w:rPr>
          <w:rStyle w:val="libFootnotenumChar"/>
          <w:rtl/>
        </w:rPr>
        <w:t>(13)</w:t>
      </w:r>
      <w:r w:rsidRPr="005D642E">
        <w:rPr>
          <w:rtl/>
          <w:lang w:bidi="fa-IR"/>
        </w:rPr>
        <w:t xml:space="preserve"> : أَخْبِرْنِي عَنِ اللَّوَاتِي بِاللَّوَاتِي </w:t>
      </w:r>
      <w:r w:rsidRPr="007C12DB">
        <w:rPr>
          <w:rStyle w:val="libFootnotenumChar"/>
          <w:rtl/>
        </w:rPr>
        <w:t>(14)</w:t>
      </w:r>
      <w:r w:rsidRPr="005D642E">
        <w:rPr>
          <w:rtl/>
          <w:lang w:bidi="fa-IR"/>
        </w:rPr>
        <w:t xml:space="preserve"> : مَا حَدُّهُنَّ فِيهِ</w:t>
      </w:r>
      <w:r>
        <w:rPr>
          <w:rtl/>
          <w:lang w:bidi="fa-IR"/>
        </w:rPr>
        <w:t>؟</w:t>
      </w:r>
    </w:p>
    <w:p w:rsidR="00E3253D" w:rsidRPr="005D642E" w:rsidRDefault="00E3253D" w:rsidP="00E3253D">
      <w:pPr>
        <w:pStyle w:val="libNormal"/>
        <w:rPr>
          <w:rtl/>
          <w:lang w:bidi="fa-IR"/>
        </w:rPr>
      </w:pPr>
      <w:r w:rsidRPr="005D642E">
        <w:rPr>
          <w:rtl/>
          <w:lang w:bidi="fa-IR"/>
        </w:rPr>
        <w:t xml:space="preserve">قَالَ : « حَدُّ الزِّنى </w:t>
      </w:r>
      <w:r w:rsidRPr="007C12DB">
        <w:rPr>
          <w:rStyle w:val="libFootnotenumChar"/>
          <w:rtl/>
        </w:rPr>
        <w:t>(15)</w:t>
      </w:r>
      <w:r w:rsidRPr="005D642E">
        <w:rPr>
          <w:rtl/>
          <w:lang w:bidi="fa-IR"/>
        </w:rPr>
        <w:t xml:space="preserve"> ؛ إِنَّهُ إِذَا كَانَ يَوْمُ الْقِيَامَةِ أُتِيَ </w:t>
      </w:r>
      <w:r w:rsidRPr="007C12DB">
        <w:rPr>
          <w:rStyle w:val="libFootnotenumChar"/>
          <w:rtl/>
        </w:rPr>
        <w:t>(16)</w:t>
      </w:r>
      <w:r w:rsidRPr="005D642E">
        <w:rPr>
          <w:rtl/>
          <w:lang w:bidi="fa-IR"/>
        </w:rPr>
        <w:t xml:space="preserve"> بِهِنَّ ، وَأُلْبِسْنَ </w:t>
      </w:r>
      <w:r w:rsidRPr="007C12DB">
        <w:rPr>
          <w:rStyle w:val="libFootnotenumChar"/>
          <w:rtl/>
        </w:rPr>
        <w:t>(17)</w:t>
      </w:r>
      <w:r w:rsidRPr="005D642E">
        <w:rPr>
          <w:rtl/>
          <w:lang w:bidi="fa-IR"/>
        </w:rPr>
        <w:t xml:space="preserve"> مُقَطَّعَاتٍ </w:t>
      </w:r>
      <w:r w:rsidRPr="007C12DB">
        <w:rPr>
          <w:rStyle w:val="libFootnotenumChar"/>
          <w:rtl/>
        </w:rPr>
        <w:t>(18)</w:t>
      </w:r>
      <w:r w:rsidRPr="005D642E">
        <w:rPr>
          <w:rtl/>
          <w:lang w:bidi="fa-IR"/>
        </w:rPr>
        <w:t xml:space="preserve"> مِنْ‌</w:t>
      </w:r>
    </w:p>
    <w:p w:rsidR="00E3253D" w:rsidRPr="005D642E" w:rsidRDefault="00E3253D" w:rsidP="00E3253D">
      <w:pPr>
        <w:pStyle w:val="libLine"/>
        <w:rPr>
          <w:rtl/>
          <w:lang w:bidi="fa-IR"/>
        </w:rPr>
      </w:pPr>
      <w:r w:rsidRPr="005D642E">
        <w:rPr>
          <w:rtl/>
          <w:lang w:bidi="fa-IR"/>
        </w:rPr>
        <w:t>__________________</w:t>
      </w:r>
    </w:p>
    <w:p w:rsidR="00AA318C" w:rsidRDefault="00AA318C" w:rsidP="00E3253D">
      <w:pPr>
        <w:pStyle w:val="libFootnote0"/>
        <w:rPr>
          <w:rStyle w:val="libFootnote0Char"/>
          <w:rtl/>
        </w:rPr>
      </w:pPr>
      <w:r>
        <w:rPr>
          <w:rFonts w:hint="cs"/>
          <w:rtl/>
        </w:rPr>
        <w:t xml:space="preserve">= </w:t>
      </w:r>
      <w:r w:rsidRPr="005D642E">
        <w:rPr>
          <w:rtl/>
        </w:rPr>
        <w:t xml:space="preserve">عن إسحاق بن جرير ، عن حريز » ، لكن لم يرد « عن حريز » في بعض نسخ </w:t>
      </w:r>
      <w:r w:rsidRPr="002F4D34">
        <w:rPr>
          <w:rStyle w:val="libFootnoteBoldChar"/>
          <w:rtl/>
        </w:rPr>
        <w:t>التهذيب</w:t>
      </w:r>
      <w:r w:rsidRPr="005D642E">
        <w:rPr>
          <w:rtl/>
        </w:rPr>
        <w:t xml:space="preserve"> ، والظاهر زيادة « عن حريز » ، ومنشؤه الجمع بين النسخة وبدلها في بعض النسخ ، وإضافة « عن » بينهما بتخيّل سقوطها.</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الوافي والكافي ، ح 10340 </w:t>
      </w:r>
      <w:r w:rsidR="000D749A" w:rsidRPr="000D749A">
        <w:rPr>
          <w:rStyle w:val="libFootnoteBoldChar"/>
          <w:rtl/>
        </w:rPr>
        <w:t>والمحاسن</w:t>
      </w:r>
      <w:r w:rsidR="00E3253D" w:rsidRPr="005D642E">
        <w:rPr>
          <w:rtl/>
        </w:rPr>
        <w:t xml:space="preserve"> وثواب الأعمال :</w:t>
      </w:r>
      <w:r w:rsidR="00E3253D">
        <w:rPr>
          <w:rtl/>
        </w:rPr>
        <w:t xml:space="preserve"> </w:t>
      </w:r>
      <w:r w:rsidR="007642BC">
        <w:rPr>
          <w:rtl/>
        </w:rPr>
        <w:t>-</w:t>
      </w:r>
      <w:r w:rsidR="00E3253D">
        <w:rPr>
          <w:rtl/>
        </w:rPr>
        <w:t xml:space="preserve"> </w:t>
      </w:r>
      <w:r w:rsidR="00E3253D" w:rsidRPr="005D642E">
        <w:rPr>
          <w:rtl/>
        </w:rPr>
        <w:t>« منّا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الكافي ، ح 10340 </w:t>
      </w:r>
      <w:r w:rsidR="000D749A" w:rsidRPr="000D749A">
        <w:rPr>
          <w:rStyle w:val="libFootnoteBoldChar"/>
          <w:rtl/>
        </w:rPr>
        <w:t>والمحاسن</w:t>
      </w:r>
      <w:r w:rsidR="00E3253D" w:rsidRPr="005D642E">
        <w:rPr>
          <w:rtl/>
        </w:rPr>
        <w:t xml:space="preserve"> وثواب الأعمال : « أن أستأذن لها » بدل « أن ا</w:t>
      </w:r>
      <w:r w:rsidR="00143EB3">
        <w:rPr>
          <w:rFonts w:hint="cs"/>
          <w:rtl/>
        </w:rPr>
        <w:t>ُ</w:t>
      </w:r>
      <w:r w:rsidR="00E3253D" w:rsidRPr="005D642E">
        <w:rPr>
          <w:rtl/>
        </w:rPr>
        <w:t>دخلها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والكافي ، ح 10340 </w:t>
      </w:r>
      <w:r w:rsidR="000D749A" w:rsidRPr="000D749A">
        <w:rPr>
          <w:rStyle w:val="libFootnoteBoldChar"/>
          <w:rtl/>
        </w:rPr>
        <w:t>والمحاسن</w:t>
      </w:r>
      <w:r w:rsidR="00E3253D" w:rsidRPr="005D642E">
        <w:rPr>
          <w:rtl/>
        </w:rPr>
        <w:t xml:space="preserve"> وثواب الأعمال :</w:t>
      </w:r>
      <w:r w:rsidR="00E3253D">
        <w:rPr>
          <w:rtl/>
        </w:rPr>
        <w:t xml:space="preserve"> </w:t>
      </w:r>
      <w:r w:rsidR="007642BC">
        <w:rPr>
          <w:rtl/>
        </w:rPr>
        <w:t>-</w:t>
      </w:r>
      <w:r w:rsidR="00E3253D">
        <w:rPr>
          <w:rtl/>
        </w:rPr>
        <w:t xml:space="preserve"> </w:t>
      </w:r>
      <w:r w:rsidR="00E3253D" w:rsidRPr="005D642E">
        <w:rPr>
          <w:rtl/>
        </w:rPr>
        <w:t>« فاستأذنت لها »</w:t>
      </w:r>
      <w:r w:rsidR="00E3253D">
        <w:rPr>
          <w:rtl/>
        </w:rPr>
        <w:t>.</w:t>
      </w:r>
    </w:p>
    <w:tbl>
      <w:tblPr>
        <w:tblStyle w:val="TableGrid"/>
        <w:bidiVisual/>
        <w:tblW w:w="0" w:type="auto"/>
        <w:tblLook w:val="04A0" w:firstRow="1" w:lastRow="0" w:firstColumn="1" w:lastColumn="0" w:noHBand="0" w:noVBand="1"/>
      </w:tblPr>
      <w:tblGrid>
        <w:gridCol w:w="4006"/>
        <w:gridCol w:w="4006"/>
      </w:tblGrid>
      <w:tr w:rsidR="00143EB3" w:rsidTr="00143EB3">
        <w:tc>
          <w:tcPr>
            <w:tcW w:w="4006" w:type="dxa"/>
          </w:tcPr>
          <w:p w:rsidR="00143EB3" w:rsidRDefault="00143EB3" w:rsidP="00143EB3">
            <w:pPr>
              <w:pStyle w:val="libFootnote0"/>
              <w:rPr>
                <w:rStyle w:val="libFootnote0Char"/>
                <w:rtl/>
              </w:rPr>
            </w:pPr>
            <w:r w:rsidRPr="0042621E">
              <w:rPr>
                <w:rStyle w:val="libFootnote0Char"/>
                <w:rtl/>
              </w:rPr>
              <w:t>(4).</w:t>
            </w:r>
            <w:r w:rsidRPr="005D642E">
              <w:rPr>
                <w:rtl/>
              </w:rPr>
              <w:t xml:space="preserve"> في«غ»:</w:t>
            </w:r>
            <w:r>
              <w:rPr>
                <w:rtl/>
              </w:rPr>
              <w:t>-</w:t>
            </w:r>
            <w:r w:rsidRPr="005D642E">
              <w:rPr>
                <w:rtl/>
              </w:rPr>
              <w:t>«فأذن لها»</w:t>
            </w:r>
            <w:r>
              <w:rPr>
                <w:rtl/>
              </w:rPr>
              <w:t>.</w:t>
            </w:r>
            <w:r w:rsidRPr="005D642E">
              <w:rPr>
                <w:rtl/>
              </w:rPr>
              <w:t>وفي«بح»:</w:t>
            </w:r>
            <w:r>
              <w:rPr>
                <w:rtl/>
              </w:rPr>
              <w:t>-</w:t>
            </w:r>
            <w:r w:rsidRPr="005D642E">
              <w:rPr>
                <w:rtl/>
              </w:rPr>
              <w:t>«لها»</w:t>
            </w:r>
            <w:r>
              <w:rPr>
                <w:rtl/>
              </w:rPr>
              <w:t>.</w:t>
            </w:r>
          </w:p>
        </w:tc>
        <w:tc>
          <w:tcPr>
            <w:tcW w:w="4006" w:type="dxa"/>
          </w:tcPr>
          <w:p w:rsidR="00143EB3" w:rsidRDefault="00143EB3" w:rsidP="00E3253D">
            <w:pPr>
              <w:pStyle w:val="libFootnote0"/>
              <w:rPr>
                <w:rStyle w:val="libFootnote0Char"/>
                <w:rtl/>
              </w:rPr>
            </w:pPr>
            <w:r w:rsidRPr="0042621E">
              <w:rPr>
                <w:rStyle w:val="libFootnote0Char"/>
                <w:rtl/>
              </w:rPr>
              <w:t>(5).</w:t>
            </w:r>
            <w:r w:rsidRPr="005D642E">
              <w:rPr>
                <w:rtl/>
              </w:rPr>
              <w:t xml:space="preserve"> في « جس » :</w:t>
            </w:r>
            <w:r>
              <w:rPr>
                <w:rtl/>
              </w:rPr>
              <w:t xml:space="preserve"> - </w:t>
            </w:r>
            <w:r w:rsidRPr="005D642E">
              <w:rPr>
                <w:rtl/>
              </w:rPr>
              <w:t>« لها »</w:t>
            </w:r>
            <w:r>
              <w:rPr>
                <w:rtl/>
              </w:rPr>
              <w:t>.</w:t>
            </w:r>
          </w:p>
        </w:tc>
      </w:tr>
      <w:tr w:rsidR="00143EB3" w:rsidTr="00143EB3">
        <w:tc>
          <w:tcPr>
            <w:tcW w:w="4006" w:type="dxa"/>
          </w:tcPr>
          <w:p w:rsidR="00143EB3" w:rsidRDefault="00143EB3" w:rsidP="00E3253D">
            <w:pPr>
              <w:pStyle w:val="libFootnote0"/>
              <w:rPr>
                <w:rStyle w:val="libFootnote0Char"/>
                <w:rtl/>
              </w:rPr>
            </w:pPr>
            <w:r w:rsidRPr="0042621E">
              <w:rPr>
                <w:rStyle w:val="libFootnote0Char"/>
                <w:rtl/>
              </w:rPr>
              <w:t>(6).</w:t>
            </w:r>
            <w:r w:rsidRPr="005D642E">
              <w:rPr>
                <w:rtl/>
              </w:rPr>
              <w:t xml:space="preserve"> في الكافي ، ح 10340 :</w:t>
            </w:r>
            <w:r>
              <w:rPr>
                <w:rtl/>
              </w:rPr>
              <w:t xml:space="preserve"> - </w:t>
            </w:r>
            <w:r w:rsidRPr="005D642E">
              <w:rPr>
                <w:rtl/>
              </w:rPr>
              <w:t>« له »</w:t>
            </w:r>
            <w:r>
              <w:rPr>
                <w:rtl/>
              </w:rPr>
              <w:t>.</w:t>
            </w:r>
          </w:p>
        </w:tc>
        <w:tc>
          <w:tcPr>
            <w:tcW w:w="4006" w:type="dxa"/>
          </w:tcPr>
          <w:p w:rsidR="00143EB3" w:rsidRDefault="00143EB3" w:rsidP="00E3253D">
            <w:pPr>
              <w:pStyle w:val="libFootnote0"/>
              <w:rPr>
                <w:rStyle w:val="libFootnote0Char"/>
                <w:rtl/>
              </w:rPr>
            </w:pPr>
            <w:r w:rsidRPr="0042621E">
              <w:rPr>
                <w:rStyle w:val="libFootnote0Char"/>
                <w:rtl/>
              </w:rPr>
              <w:t>(7).</w:t>
            </w:r>
            <w:r w:rsidRPr="005D642E">
              <w:rPr>
                <w:rtl/>
              </w:rPr>
              <w:t xml:space="preserve"> في « جس » :</w:t>
            </w:r>
            <w:r>
              <w:rPr>
                <w:rtl/>
              </w:rPr>
              <w:t xml:space="preserve"> - </w:t>
            </w:r>
            <w:r w:rsidRPr="005D642E">
              <w:rPr>
                <w:rtl/>
              </w:rPr>
              <w:t>« يا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بف ، جح ، جس ، جن » والكافي ، ح 10340 : « قول الله »</w:t>
      </w:r>
      <w:r w:rsidR="00E3253D">
        <w:rPr>
          <w:rtl/>
        </w:rPr>
        <w:t>.</w:t>
      </w:r>
    </w:p>
    <w:tbl>
      <w:tblPr>
        <w:tblStyle w:val="TableGrid"/>
        <w:bidiVisual/>
        <w:tblW w:w="0" w:type="auto"/>
        <w:tblLook w:val="04A0" w:firstRow="1" w:lastRow="0" w:firstColumn="1" w:lastColumn="0" w:noHBand="0" w:noVBand="1"/>
      </w:tblPr>
      <w:tblGrid>
        <w:gridCol w:w="4006"/>
        <w:gridCol w:w="4006"/>
      </w:tblGrid>
      <w:tr w:rsidR="00DB3DD2" w:rsidTr="00DB3DD2">
        <w:tc>
          <w:tcPr>
            <w:tcW w:w="4006" w:type="dxa"/>
          </w:tcPr>
          <w:p w:rsidR="00DB3DD2" w:rsidRDefault="00DB3DD2" w:rsidP="00E3253D">
            <w:pPr>
              <w:pStyle w:val="libFootnote0"/>
              <w:rPr>
                <w:rStyle w:val="libFootnote0Char"/>
                <w:rtl/>
                <w:lang w:bidi="fa-IR"/>
              </w:rPr>
            </w:pPr>
            <w:r w:rsidRPr="0042621E">
              <w:rPr>
                <w:rStyle w:val="libFootnote0Char"/>
                <w:rtl/>
              </w:rPr>
              <w:t>(9).</w:t>
            </w:r>
            <w:r w:rsidRPr="005D642E">
              <w:rPr>
                <w:rtl/>
              </w:rPr>
              <w:t xml:space="preserve"> النور (24) : 35.</w:t>
            </w:r>
          </w:p>
        </w:tc>
        <w:tc>
          <w:tcPr>
            <w:tcW w:w="4006" w:type="dxa"/>
          </w:tcPr>
          <w:p w:rsidR="00DB3DD2" w:rsidRDefault="00DB3DD2" w:rsidP="00E3253D">
            <w:pPr>
              <w:pStyle w:val="libFootnote0"/>
              <w:rPr>
                <w:rStyle w:val="libFootnote0Char"/>
                <w:rtl/>
                <w:lang w:bidi="fa-IR"/>
              </w:rPr>
            </w:pPr>
            <w:r w:rsidRPr="0042621E">
              <w:rPr>
                <w:rStyle w:val="libFootnote0Char"/>
                <w:rtl/>
              </w:rPr>
              <w:t>(10).</w:t>
            </w:r>
            <w:r w:rsidRPr="005D642E">
              <w:rPr>
                <w:rtl/>
              </w:rPr>
              <w:t xml:space="preserve"> في « جس » : « بها »</w:t>
            </w:r>
            <w:r>
              <w:rPr>
                <w:rtl/>
              </w:rPr>
              <w:t>.</w:t>
            </w:r>
          </w:p>
        </w:tc>
      </w:tr>
      <w:tr w:rsidR="00DB3DD2" w:rsidTr="00DB3DD2">
        <w:tc>
          <w:tcPr>
            <w:tcW w:w="4006" w:type="dxa"/>
          </w:tcPr>
          <w:p w:rsidR="00DB3DD2" w:rsidRDefault="00DB3DD2" w:rsidP="00E3253D">
            <w:pPr>
              <w:pStyle w:val="libFootnote0"/>
              <w:rPr>
                <w:rStyle w:val="libFootnote0Char"/>
                <w:rtl/>
                <w:lang w:bidi="fa-IR"/>
              </w:rPr>
            </w:pPr>
            <w:r w:rsidRPr="0042621E">
              <w:rPr>
                <w:rStyle w:val="libFootnote0Char"/>
                <w:rtl/>
              </w:rPr>
              <w:t>(11).</w:t>
            </w:r>
            <w:r w:rsidRPr="005D642E">
              <w:rPr>
                <w:rtl/>
              </w:rPr>
              <w:t xml:space="preserve"> في الكافي ، ح 10340 :</w:t>
            </w:r>
            <w:r>
              <w:rPr>
                <w:rtl/>
              </w:rPr>
              <w:t xml:space="preserve"> - </w:t>
            </w:r>
            <w:r w:rsidRPr="005D642E">
              <w:rPr>
                <w:rtl/>
              </w:rPr>
              <w:t>« لها »</w:t>
            </w:r>
            <w:r>
              <w:rPr>
                <w:rtl/>
              </w:rPr>
              <w:t>.</w:t>
            </w:r>
          </w:p>
        </w:tc>
        <w:tc>
          <w:tcPr>
            <w:tcW w:w="4006" w:type="dxa"/>
          </w:tcPr>
          <w:p w:rsidR="00DB3DD2" w:rsidRDefault="00DB3DD2" w:rsidP="00E3253D">
            <w:pPr>
              <w:pStyle w:val="libFootnote0"/>
              <w:rPr>
                <w:rStyle w:val="libFootnote0Char"/>
                <w:rtl/>
                <w:lang w:bidi="fa-IR"/>
              </w:rPr>
            </w:pPr>
            <w:r w:rsidRPr="0042621E">
              <w:rPr>
                <w:rStyle w:val="libFootnote0Char"/>
                <w:rtl/>
              </w:rPr>
              <w:t>(12).</w:t>
            </w:r>
            <w:r w:rsidRPr="005D642E">
              <w:rPr>
                <w:rtl/>
              </w:rPr>
              <w:t xml:space="preserve"> في الكافي ، ح 10340 : « للشجر »</w:t>
            </w:r>
            <w:r>
              <w:rPr>
                <w:rtl/>
              </w:rPr>
              <w:t>.</w:t>
            </w:r>
          </w:p>
        </w:tc>
      </w:tr>
    </w:tbl>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 xml:space="preserve">في « بث ، بخ ، بف ، جح » وحاشية « جن » والكافي ، ح 10340 </w:t>
      </w:r>
      <w:r w:rsidR="000D749A" w:rsidRPr="000D749A">
        <w:rPr>
          <w:rStyle w:val="libFootnoteBoldChar"/>
          <w:rtl/>
        </w:rPr>
        <w:t>والمحاسن</w:t>
      </w:r>
      <w:r w:rsidR="00E3253D" w:rsidRPr="005D642E">
        <w:rPr>
          <w:rtl/>
        </w:rPr>
        <w:t xml:space="preserve"> وثواب الأعمال : « فقالت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الكافي ، ح 10340 </w:t>
      </w:r>
      <w:r w:rsidR="000D749A" w:rsidRPr="000D749A">
        <w:rPr>
          <w:rStyle w:val="libFootnoteBoldChar"/>
          <w:rtl/>
        </w:rPr>
        <w:t>والمحاسن</w:t>
      </w:r>
      <w:r w:rsidR="00E3253D" w:rsidRPr="005D642E">
        <w:rPr>
          <w:rtl/>
        </w:rPr>
        <w:t xml:space="preserve"> وثواب الأعمال : « مع اللواتي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جن » : « الزاني »</w:t>
      </w:r>
      <w:r w:rsidR="00E3253D">
        <w:rPr>
          <w:rtl/>
        </w:rPr>
        <w:t>.</w:t>
      </w:r>
      <w:r w:rsidR="00E3253D" w:rsidRPr="005D642E">
        <w:rPr>
          <w:rtl/>
        </w:rPr>
        <w:t xml:space="preserve"> وفي ثواب الأعمال : « الزانية »</w:t>
      </w:r>
      <w:r w:rsidR="00E3253D">
        <w:rPr>
          <w:rtl/>
        </w:rPr>
        <w:t>.</w:t>
      </w:r>
    </w:p>
    <w:p w:rsidR="00E3253D" w:rsidRPr="005D642E" w:rsidRDefault="00E3253D" w:rsidP="00E3253D">
      <w:pPr>
        <w:pStyle w:val="libFootnote0"/>
        <w:rPr>
          <w:rtl/>
          <w:lang w:bidi="fa-IR"/>
        </w:rPr>
      </w:pPr>
      <w:r w:rsidRPr="005D642E">
        <w:rPr>
          <w:rtl/>
        </w:rPr>
        <w:t>(1</w:t>
      </w:r>
      <w:r>
        <w:rPr>
          <w:rtl/>
        </w:rPr>
        <w:t>6)</w:t>
      </w:r>
      <w:r w:rsidRPr="005D642E">
        <w:rPr>
          <w:rtl/>
        </w:rPr>
        <w:t xml:space="preserve"> في الكافي ، ح 10340 وثواب الأعمال : « يؤتى »</w:t>
      </w:r>
      <w:r>
        <w:rPr>
          <w:rtl/>
        </w:rPr>
        <w:t>.</w:t>
      </w:r>
    </w:p>
    <w:p w:rsidR="00E3253D" w:rsidRPr="005D642E" w:rsidRDefault="00E3253D" w:rsidP="00E3253D">
      <w:pPr>
        <w:pStyle w:val="libFootnote0"/>
        <w:rPr>
          <w:rtl/>
          <w:lang w:bidi="fa-IR"/>
        </w:rPr>
      </w:pPr>
      <w:r w:rsidRPr="005D642E">
        <w:rPr>
          <w:rtl/>
        </w:rPr>
        <w:t>(1</w:t>
      </w:r>
      <w:r>
        <w:rPr>
          <w:rtl/>
        </w:rPr>
        <w:t>7)</w:t>
      </w:r>
      <w:r w:rsidRPr="005D642E">
        <w:rPr>
          <w:rtl/>
        </w:rPr>
        <w:t xml:space="preserve"> في « جح ، جس » وحاشية « بح » : « فا</w:t>
      </w:r>
      <w:r w:rsidR="00601EE4">
        <w:rPr>
          <w:rFonts w:hint="cs"/>
          <w:rtl/>
        </w:rPr>
        <w:t>ُ</w:t>
      </w:r>
      <w:r w:rsidRPr="005D642E">
        <w:rPr>
          <w:rtl/>
        </w:rPr>
        <w:t>لبسن »</w:t>
      </w:r>
      <w:r>
        <w:rPr>
          <w:rtl/>
        </w:rPr>
        <w:t>.</w:t>
      </w:r>
      <w:r w:rsidRPr="005D642E">
        <w:rPr>
          <w:rtl/>
        </w:rPr>
        <w:t xml:space="preserve"> وفي الكافي ، ح 10340 </w:t>
      </w:r>
      <w:r w:rsidR="000D749A" w:rsidRPr="000D749A">
        <w:rPr>
          <w:rStyle w:val="libFootnoteBoldChar"/>
          <w:rtl/>
        </w:rPr>
        <w:t>والمحاسن</w:t>
      </w:r>
      <w:r w:rsidRPr="005D642E">
        <w:rPr>
          <w:rtl/>
        </w:rPr>
        <w:t xml:space="preserve"> وثواب الأعمال : « قد ا</w:t>
      </w:r>
      <w:r w:rsidR="00F86319">
        <w:rPr>
          <w:rFonts w:hint="cs"/>
          <w:rtl/>
        </w:rPr>
        <w:t>ُ</w:t>
      </w:r>
      <w:r w:rsidRPr="005D642E">
        <w:rPr>
          <w:rtl/>
        </w:rPr>
        <w:t>لبسن » بدون الواو.</w:t>
      </w:r>
    </w:p>
    <w:p w:rsidR="00E3253D" w:rsidRPr="005D642E" w:rsidRDefault="00E3253D" w:rsidP="00E3253D">
      <w:pPr>
        <w:pStyle w:val="libFootnote0"/>
        <w:rPr>
          <w:rtl/>
          <w:lang w:bidi="fa-IR"/>
        </w:rPr>
      </w:pPr>
      <w:r w:rsidRPr="005D642E">
        <w:rPr>
          <w:rtl/>
        </w:rPr>
        <w:t>(1</w:t>
      </w:r>
      <w:r>
        <w:rPr>
          <w:rtl/>
        </w:rPr>
        <w:t>8)</w:t>
      </w:r>
      <w:r w:rsidRPr="005D642E">
        <w:rPr>
          <w:rtl/>
        </w:rPr>
        <w:t xml:space="preserve"> « المقطّعات » : هي الثياب التي تُقطَّع ثمّ تخاط ، كالقميص والجباب والسراويلات. وقيل : هي ثياب قصار ؛ لأنّها قطّعت عن بلوغ ا</w:t>
      </w:r>
      <w:r w:rsidR="00BF7FF0">
        <w:rPr>
          <w:rtl/>
        </w:rPr>
        <w:t>لتمام. وقيل غير ذلك. وقال العل</w:t>
      </w:r>
      <w:r w:rsidR="00BF7FF0">
        <w:rPr>
          <w:rFonts w:hint="cs"/>
          <w:rtl/>
        </w:rPr>
        <w:t>ّ</w:t>
      </w:r>
      <w:r w:rsidR="00BF7FF0">
        <w:rPr>
          <w:rtl/>
        </w:rPr>
        <w:t>ا</w:t>
      </w:r>
      <w:r w:rsidRPr="005D642E">
        <w:rPr>
          <w:rtl/>
        </w:rPr>
        <w:t>مة المجلسي : « ولعلّ السرّ في كون ثياب النار مقطّعات ، أو التشبيه بها كونها أكثر اشتمالاً على البدن من غيرها ، فالعذاب بها أشدّ »</w:t>
      </w:r>
      <w:r>
        <w:rPr>
          <w:rtl/>
        </w:rPr>
        <w:t>.</w:t>
      </w:r>
      <w:r w:rsidRPr="005D642E">
        <w:rPr>
          <w:rtl/>
        </w:rPr>
        <w:t xml:space="preserve"> راجع : </w:t>
      </w:r>
      <w:r w:rsidRPr="002F4D34">
        <w:rPr>
          <w:rStyle w:val="libFootnoteBoldChar"/>
          <w:rtl/>
        </w:rPr>
        <w:t>المغرب</w:t>
      </w:r>
      <w:r w:rsidRPr="005D642E">
        <w:rPr>
          <w:rtl/>
        </w:rPr>
        <w:t xml:space="preserve"> ، ص 388 ؛ </w:t>
      </w:r>
      <w:r w:rsidRPr="002F4D34">
        <w:rPr>
          <w:rStyle w:val="libFootnoteBoldChar"/>
          <w:rtl/>
        </w:rPr>
        <w:t>لسان العرب</w:t>
      </w:r>
      <w:r w:rsidRPr="005D642E">
        <w:rPr>
          <w:rtl/>
        </w:rPr>
        <w:t xml:space="preserve"> ، ج 8 ، ص 282 ( قطع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نَارٍ </w:t>
      </w:r>
      <w:r w:rsidRPr="007C12DB">
        <w:rPr>
          <w:rStyle w:val="libFootnotenumChar"/>
          <w:rtl/>
        </w:rPr>
        <w:t>(1)</w:t>
      </w:r>
      <w:r w:rsidRPr="005D642E">
        <w:rPr>
          <w:rtl/>
          <w:lang w:bidi="fa-IR"/>
        </w:rPr>
        <w:t xml:space="preserve"> ، وَقُمِعْنَ بِمَقَامِعَ </w:t>
      </w:r>
      <w:r w:rsidRPr="007C12DB">
        <w:rPr>
          <w:rStyle w:val="libFootnotenumChar"/>
          <w:rtl/>
        </w:rPr>
        <w:t>(2)</w:t>
      </w:r>
      <w:r w:rsidRPr="005D642E">
        <w:rPr>
          <w:rtl/>
          <w:lang w:bidi="fa-IR"/>
        </w:rPr>
        <w:t xml:space="preserve"> مِنْ نَارٍ </w:t>
      </w:r>
      <w:r w:rsidRPr="007C12DB">
        <w:rPr>
          <w:rStyle w:val="libFootnotenumChar"/>
          <w:rtl/>
        </w:rPr>
        <w:t>(3)</w:t>
      </w:r>
      <w:r w:rsidRPr="005D642E">
        <w:rPr>
          <w:rtl/>
          <w:lang w:bidi="fa-IR"/>
        </w:rPr>
        <w:t xml:space="preserve"> ، وَسُرْبِلْنَ </w:t>
      </w:r>
      <w:r w:rsidRPr="007C12DB">
        <w:rPr>
          <w:rStyle w:val="libFootnotenumChar"/>
          <w:rtl/>
        </w:rPr>
        <w:t>(4)</w:t>
      </w:r>
      <w:r w:rsidRPr="005D642E">
        <w:rPr>
          <w:rtl/>
          <w:lang w:bidi="fa-IR"/>
        </w:rPr>
        <w:t xml:space="preserve"> مِنَ النَّارِ </w:t>
      </w:r>
      <w:r w:rsidRPr="007C12DB">
        <w:rPr>
          <w:rStyle w:val="libFootnotenumChar"/>
          <w:rtl/>
        </w:rPr>
        <w:t>(5)</w:t>
      </w:r>
      <w:r w:rsidRPr="005D642E">
        <w:rPr>
          <w:rtl/>
          <w:lang w:bidi="fa-IR"/>
        </w:rPr>
        <w:t xml:space="preserve"> ، وَأُدْخِلَ </w:t>
      </w:r>
      <w:r w:rsidRPr="007C12DB">
        <w:rPr>
          <w:rStyle w:val="libFootnotenumChar"/>
          <w:rtl/>
        </w:rPr>
        <w:t>(6)</w:t>
      </w:r>
      <w:r w:rsidRPr="005D642E">
        <w:rPr>
          <w:rtl/>
          <w:lang w:bidi="fa-IR"/>
        </w:rPr>
        <w:t xml:space="preserve"> فِي أَجْوَافِهِنَّ إِلى رُؤُوسِهِنَّ أَعْمِدَةٌ مِنْ نَارٍ </w:t>
      </w:r>
      <w:r w:rsidRPr="007C12DB">
        <w:rPr>
          <w:rStyle w:val="libFootnotenumChar"/>
          <w:rtl/>
        </w:rPr>
        <w:t>(7)</w:t>
      </w:r>
      <w:r w:rsidRPr="005D642E">
        <w:rPr>
          <w:rtl/>
          <w:lang w:bidi="fa-IR"/>
        </w:rPr>
        <w:t xml:space="preserve"> ، وَقُذِفَ بِهِنَّ فِي النَّارِ.</w:t>
      </w:r>
    </w:p>
    <w:p w:rsidR="00E3253D" w:rsidRPr="005D642E" w:rsidRDefault="00E3253D" w:rsidP="00E3253D">
      <w:pPr>
        <w:pStyle w:val="libNormal"/>
        <w:rPr>
          <w:rtl/>
          <w:lang w:bidi="fa-IR"/>
        </w:rPr>
      </w:pPr>
      <w:r w:rsidRPr="005D642E">
        <w:rPr>
          <w:rtl/>
          <w:lang w:bidi="fa-IR"/>
        </w:rPr>
        <w:t xml:space="preserve">أَيَّتُهَا الْمَرْأَةُ ، إِنَّ أَوَّلَ مَنْ عَمِلَ هذَا الْعَمَلَ قَوْمُ لُوطٍ ، وَاسْتَغْنَى </w:t>
      </w:r>
      <w:r w:rsidRPr="007C12DB">
        <w:rPr>
          <w:rStyle w:val="libFootnotenumChar"/>
          <w:rtl/>
        </w:rPr>
        <w:t>(8)</w:t>
      </w:r>
      <w:r w:rsidRPr="005D642E">
        <w:rPr>
          <w:rtl/>
          <w:lang w:bidi="fa-IR"/>
        </w:rPr>
        <w:t xml:space="preserve"> الرِّجَالُ بِالرِّجَالِ ، فَبَقِينَ </w:t>
      </w:r>
      <w:r w:rsidRPr="007C12DB">
        <w:rPr>
          <w:rStyle w:val="libFootnotenumChar"/>
          <w:rtl/>
        </w:rPr>
        <w:t>(9)</w:t>
      </w:r>
      <w:r w:rsidRPr="005D642E">
        <w:rPr>
          <w:rtl/>
          <w:lang w:bidi="fa-IR"/>
        </w:rPr>
        <w:t xml:space="preserve"> النِّسَاءُ بِغَيْرِ رِجَالٍ ، فَفَعَلْنَ كَمَا فَعَلَ رِجَالُهُنَّ ، لِيَسْتَغْنِيَ بَعْضُهُنَّ بِبَعْضٍ </w:t>
      </w:r>
      <w:r w:rsidRPr="007C12DB">
        <w:rPr>
          <w:rStyle w:val="libFootnotenumChar"/>
          <w:rtl/>
        </w:rPr>
        <w:t>(10)</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قَالَتْ </w:t>
      </w:r>
      <w:r w:rsidRPr="007C12DB">
        <w:rPr>
          <w:rStyle w:val="libFootnotenumChar"/>
          <w:rtl/>
        </w:rPr>
        <w:t>(11)</w:t>
      </w:r>
      <w:r w:rsidRPr="005D642E">
        <w:rPr>
          <w:rtl/>
          <w:lang w:bidi="fa-IR"/>
        </w:rPr>
        <w:t xml:space="preserve"> لَهُ : أَصْلَحَكَ اللهُ ، مَا تَقُولُ فِي الْمَرْأَةِ تَحِيضُ ، فَتَجُوزُ </w:t>
      </w:r>
      <w:r w:rsidRPr="007C12DB">
        <w:rPr>
          <w:rStyle w:val="libFootnotenumChar"/>
          <w:rtl/>
        </w:rPr>
        <w:t>(12)</w:t>
      </w:r>
      <w:r w:rsidRPr="005D642E">
        <w:rPr>
          <w:rtl/>
          <w:lang w:bidi="fa-IR"/>
        </w:rPr>
        <w:t xml:space="preserve"> أَيَّامُ حَيْضِهَا</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(13)</w:t>
      </w:r>
      <w:r w:rsidRPr="005D642E">
        <w:rPr>
          <w:rtl/>
          <w:lang w:bidi="fa-IR"/>
        </w:rPr>
        <w:t xml:space="preserve"> : « إِنْ كَانَ أَيَّامُ </w:t>
      </w:r>
      <w:r w:rsidRPr="007C12DB">
        <w:rPr>
          <w:rStyle w:val="libFootnotenumChar"/>
          <w:rtl/>
        </w:rPr>
        <w:t>(14)</w:t>
      </w:r>
      <w:r w:rsidRPr="005D642E">
        <w:rPr>
          <w:rtl/>
          <w:lang w:bidi="fa-IR"/>
        </w:rPr>
        <w:t xml:space="preserve"> حَيْضِهَا دُونَ عَشَرَةِ أَيَّامٍ ، اسْتَظْهَرَتْ بِيَوْمٍ وَاحِدٍ ، ثُمَّ هِيَ مُسْتَحَاضَةٌ » </w:t>
      </w:r>
      <w:r w:rsidRPr="007C12DB">
        <w:rPr>
          <w:rStyle w:val="libFootnotenumChar"/>
          <w:rtl/>
        </w:rPr>
        <w:t>(15)</w:t>
      </w:r>
      <w:r>
        <w:rPr>
          <w:rtl/>
          <w:lang w:bidi="fa-IR"/>
        </w:rPr>
        <w:t>.</w:t>
      </w:r>
    </w:p>
    <w:p w:rsidR="00E3253D" w:rsidRPr="005D642E" w:rsidRDefault="00E3253D" w:rsidP="00E3253D">
      <w:pPr>
        <w:pStyle w:val="libNormal"/>
        <w:rPr>
          <w:rtl/>
          <w:lang w:bidi="fa-IR"/>
        </w:rPr>
      </w:pPr>
      <w:r w:rsidRPr="005D642E">
        <w:rPr>
          <w:rtl/>
          <w:lang w:bidi="fa-IR"/>
        </w:rPr>
        <w:t xml:space="preserve">قَالَتْ : فَإِنَّ الدَّمَ يَسْتَمِرُّ </w:t>
      </w:r>
      <w:r w:rsidRPr="007C12DB">
        <w:rPr>
          <w:rStyle w:val="libFootnotenumChar"/>
          <w:rtl/>
        </w:rPr>
        <w:t>(16)</w:t>
      </w:r>
      <w:r w:rsidRPr="005D642E">
        <w:rPr>
          <w:rtl/>
          <w:lang w:bidi="fa-IR"/>
        </w:rPr>
        <w:t xml:space="preserve"> بِهَا الشَّهْرَ ، وَالشَّهْرَيْنِ </w:t>
      </w:r>
      <w:r w:rsidRPr="007C12DB">
        <w:rPr>
          <w:rStyle w:val="libFootnotenumChar"/>
          <w:rtl/>
        </w:rPr>
        <w:t>(17)</w:t>
      </w:r>
      <w:r w:rsidRPr="005D642E">
        <w:rPr>
          <w:rtl/>
          <w:lang w:bidi="fa-IR"/>
        </w:rPr>
        <w:t xml:space="preserve"> ، وَالثَّلَاثَةَ ، كَيْفَ تَصْنَعُ بِالصَّلَاةِ</w:t>
      </w:r>
      <w:r>
        <w:rPr>
          <w:rtl/>
          <w:lang w:bidi="fa-IR"/>
        </w:rPr>
        <w:t>؟</w:t>
      </w:r>
    </w:p>
    <w:p w:rsidR="00E3253D" w:rsidRPr="005D642E" w:rsidRDefault="00E3253D" w:rsidP="00E3253D">
      <w:pPr>
        <w:pStyle w:val="libNormal"/>
        <w:rPr>
          <w:rtl/>
          <w:lang w:bidi="fa-IR"/>
        </w:rPr>
      </w:pPr>
      <w:r w:rsidRPr="005D642E">
        <w:rPr>
          <w:rtl/>
          <w:lang w:bidi="fa-IR"/>
        </w:rPr>
        <w:t>قَالَ : « تَجْلِسُ أَيَّامَ حَيْضِهَا ، ثُمَّ تَغْتَسِلُ لِكُلِّ صَلَاتَيْنِ »</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بخ ، بف » وحاشية « بح » </w:t>
      </w:r>
      <w:r w:rsidR="000D749A" w:rsidRPr="000D749A">
        <w:rPr>
          <w:rStyle w:val="libFootnoteBoldChar"/>
          <w:rtl/>
        </w:rPr>
        <w:t>والمحاسن</w:t>
      </w:r>
      <w:r w:rsidR="00E3253D" w:rsidRPr="005D642E">
        <w:rPr>
          <w:rtl/>
        </w:rPr>
        <w:t xml:space="preserve"> : « من النار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بح » : « وقمعن مقامع »</w:t>
      </w:r>
      <w:r w:rsidR="00E3253D">
        <w:rPr>
          <w:rtl/>
        </w:rPr>
        <w:t>.</w:t>
      </w:r>
      <w:r w:rsidR="00E3253D" w:rsidRPr="005D642E">
        <w:rPr>
          <w:rtl/>
        </w:rPr>
        <w:t xml:space="preserve"> وفي </w:t>
      </w:r>
      <w:r w:rsidR="00E3253D" w:rsidRPr="00761C02">
        <w:rPr>
          <w:rtl/>
        </w:rPr>
        <w:t>الكافي</w:t>
      </w:r>
      <w:r w:rsidR="00E3253D" w:rsidRPr="005D642E">
        <w:rPr>
          <w:rtl/>
        </w:rPr>
        <w:t xml:space="preserve"> ، ح 10340 وثواب الأعمال : « وقنعن بمقانع »</w:t>
      </w:r>
      <w:r w:rsidR="00E3253D">
        <w:rPr>
          <w:rtl/>
        </w:rPr>
        <w:t>.</w:t>
      </w:r>
      <w:r w:rsidR="00E3253D" w:rsidRPr="005D642E">
        <w:rPr>
          <w:rtl/>
        </w:rPr>
        <w:t xml:space="preserve"> وقوله : « قُمِعْنَ بمقامع من نار » ، أي ضُربن أعلى رؤوسهنّ بها ، يقال : قَمَعَ الرجلَ يَقْمَعُهُ قَمْعاً : ضرب أعلى رأسه ، وقمعه : ضربه بالمقمعة. والمِقْمَعَة : واحدة المقامع ، وهي سياط تعمل من حديد رؤوسها مُعوجّة. وقيل : هي الجِرَزة وأعمدة الحديد منه يضرب بها الرأس. راجع : </w:t>
      </w:r>
      <w:r w:rsidR="00E3253D" w:rsidRPr="002F4D34">
        <w:rPr>
          <w:rStyle w:val="libFootnoteBoldChar"/>
          <w:rtl/>
        </w:rPr>
        <w:t>النهاية</w:t>
      </w:r>
      <w:r w:rsidR="00E3253D" w:rsidRPr="005D642E">
        <w:rPr>
          <w:rtl/>
        </w:rPr>
        <w:t xml:space="preserve"> ، ج 4 ، ص 109 ؛ </w:t>
      </w:r>
      <w:r w:rsidR="00E3253D" w:rsidRPr="002F4D34">
        <w:rPr>
          <w:rStyle w:val="libFootnoteBoldChar"/>
          <w:rtl/>
        </w:rPr>
        <w:t>لسان العرب</w:t>
      </w:r>
      <w:r w:rsidR="00591486">
        <w:rPr>
          <w:rtl/>
        </w:rPr>
        <w:t xml:space="preserve"> ، ج 8 ، ص 296 (قمع</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جح » : « من النار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الكافي ، ح 10340 </w:t>
      </w:r>
      <w:r w:rsidR="000D749A" w:rsidRPr="000D749A">
        <w:rPr>
          <w:rStyle w:val="libFootnoteBoldChar"/>
          <w:rtl/>
        </w:rPr>
        <w:t>والمحاسن</w:t>
      </w:r>
      <w:r w:rsidR="00E3253D" w:rsidRPr="005D642E">
        <w:rPr>
          <w:rtl/>
        </w:rPr>
        <w:t xml:space="preserve"> : « وسرولن »</w:t>
      </w:r>
      <w:r w:rsidR="00E3253D">
        <w:rPr>
          <w:rtl/>
        </w:rPr>
        <w:t>.</w:t>
      </w:r>
    </w:p>
    <w:tbl>
      <w:tblPr>
        <w:tblStyle w:val="TableGrid"/>
        <w:bidiVisual/>
        <w:tblW w:w="0" w:type="auto"/>
        <w:tblLook w:val="04A0" w:firstRow="1" w:lastRow="0" w:firstColumn="1" w:lastColumn="0" w:noHBand="0" w:noVBand="1"/>
      </w:tblPr>
      <w:tblGrid>
        <w:gridCol w:w="4006"/>
        <w:gridCol w:w="4006"/>
      </w:tblGrid>
      <w:tr w:rsidR="00BF7FF0" w:rsidTr="00BF7FF0">
        <w:tc>
          <w:tcPr>
            <w:tcW w:w="4006" w:type="dxa"/>
          </w:tcPr>
          <w:p w:rsidR="00BF7FF0" w:rsidRDefault="00BF7FF0" w:rsidP="00E3253D">
            <w:pPr>
              <w:pStyle w:val="libFootnote0"/>
              <w:rPr>
                <w:rStyle w:val="libFootnote0Char"/>
                <w:rtl/>
              </w:rPr>
            </w:pPr>
            <w:r w:rsidRPr="0042621E">
              <w:rPr>
                <w:rStyle w:val="libFootnote0Char"/>
                <w:rtl/>
              </w:rPr>
              <w:t>(5).</w:t>
            </w:r>
            <w:r w:rsidRPr="005D642E">
              <w:rPr>
                <w:rtl/>
              </w:rPr>
              <w:t xml:space="preserve"> في « ى ، جس » وثواب الأعمال : « من نار »</w:t>
            </w:r>
            <w:r>
              <w:rPr>
                <w:rtl/>
              </w:rPr>
              <w:t>.</w:t>
            </w:r>
          </w:p>
        </w:tc>
        <w:tc>
          <w:tcPr>
            <w:tcW w:w="4006" w:type="dxa"/>
          </w:tcPr>
          <w:p w:rsidR="00BF7FF0" w:rsidRDefault="00BF7FF0" w:rsidP="00E3253D">
            <w:pPr>
              <w:pStyle w:val="libFootnote0"/>
              <w:rPr>
                <w:rStyle w:val="libFootnote0Char"/>
                <w:rtl/>
              </w:rPr>
            </w:pPr>
            <w:r w:rsidRPr="0042621E">
              <w:rPr>
                <w:rStyle w:val="libFootnote0Char"/>
                <w:rtl/>
              </w:rPr>
              <w:t>(6).</w:t>
            </w:r>
            <w:r w:rsidRPr="005D642E">
              <w:rPr>
                <w:rtl/>
              </w:rPr>
              <w:t xml:space="preserve"> في « بح » : « وادخلن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من النار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الكافي ، ح 10340 </w:t>
      </w:r>
      <w:r w:rsidR="000D749A" w:rsidRPr="000D749A">
        <w:rPr>
          <w:rStyle w:val="libFootnoteBoldChar"/>
          <w:rtl/>
        </w:rPr>
        <w:t>والمحاسن</w:t>
      </w:r>
      <w:r w:rsidR="00E3253D" w:rsidRPr="005D642E">
        <w:rPr>
          <w:rtl/>
        </w:rPr>
        <w:t xml:space="preserve"> وثواب الأعمال : « فاستغنى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الكافي ، ح 10340 </w:t>
      </w:r>
      <w:r w:rsidR="000D749A" w:rsidRPr="000D749A">
        <w:rPr>
          <w:rStyle w:val="libFootnoteBoldChar"/>
          <w:rtl/>
        </w:rPr>
        <w:t>والمحاسن</w:t>
      </w:r>
      <w:r w:rsidR="00E3253D" w:rsidRPr="005D642E">
        <w:rPr>
          <w:rtl/>
        </w:rPr>
        <w:t xml:space="preserve"> : « فبقي »</w:t>
      </w:r>
      <w:r w:rsidR="00E3253D">
        <w:rPr>
          <w:rtl/>
        </w:rPr>
        <w:t>.</w:t>
      </w:r>
      <w:r w:rsidR="00E3253D" w:rsidRPr="005D642E">
        <w:rPr>
          <w:rtl/>
        </w:rPr>
        <w:t xml:space="preserve"> وفي ثواب الأعمال : « وبقي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 « ببعضهنّ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جميع النسخ التي قوبلت. وفي المطبوع : « فقالت »</w:t>
      </w:r>
      <w:r w:rsidR="00E3253D">
        <w:rPr>
          <w:rtl/>
        </w:rPr>
        <w:t>.</w:t>
      </w:r>
    </w:p>
    <w:tbl>
      <w:tblPr>
        <w:tblStyle w:val="TableGrid"/>
        <w:bidiVisual/>
        <w:tblW w:w="0" w:type="auto"/>
        <w:tblLook w:val="04A0" w:firstRow="1" w:lastRow="0" w:firstColumn="1" w:lastColumn="0" w:noHBand="0" w:noVBand="1"/>
      </w:tblPr>
      <w:tblGrid>
        <w:gridCol w:w="4006"/>
        <w:gridCol w:w="4006"/>
      </w:tblGrid>
      <w:tr w:rsidR="00BB692E" w:rsidTr="00BB692E">
        <w:tc>
          <w:tcPr>
            <w:tcW w:w="4006" w:type="dxa"/>
          </w:tcPr>
          <w:p w:rsidR="00BB692E" w:rsidRDefault="00BB692E" w:rsidP="00E3253D">
            <w:pPr>
              <w:pStyle w:val="libFootnote0"/>
              <w:rPr>
                <w:rStyle w:val="libFootnote0Char"/>
                <w:rtl/>
              </w:rPr>
            </w:pPr>
            <w:r w:rsidRPr="0042621E">
              <w:rPr>
                <w:rStyle w:val="libFootnote0Char"/>
                <w:rtl/>
              </w:rPr>
              <w:t>(12).</w:t>
            </w:r>
            <w:r w:rsidRPr="005D642E">
              <w:rPr>
                <w:rtl/>
              </w:rPr>
              <w:t xml:space="preserve"> في « بث ، بح ، جح » : « فيجوز »</w:t>
            </w:r>
            <w:r>
              <w:rPr>
                <w:rtl/>
              </w:rPr>
              <w:t>.</w:t>
            </w:r>
          </w:p>
        </w:tc>
        <w:tc>
          <w:tcPr>
            <w:tcW w:w="4006" w:type="dxa"/>
          </w:tcPr>
          <w:p w:rsidR="00BB692E" w:rsidRDefault="00BB692E" w:rsidP="00E3253D">
            <w:pPr>
              <w:pStyle w:val="libFootnote0"/>
              <w:rPr>
                <w:rStyle w:val="libFootnote0Char"/>
                <w:rtl/>
              </w:rPr>
            </w:pPr>
            <w:r w:rsidRPr="0042621E">
              <w:rPr>
                <w:rStyle w:val="libFootnote0Char"/>
                <w:rtl/>
              </w:rPr>
              <w:t>(13).</w:t>
            </w:r>
            <w:r w:rsidRPr="005D642E">
              <w:rPr>
                <w:rtl/>
              </w:rPr>
              <w:t xml:space="preserve"> في « بث ، جح » : « فقال »</w:t>
            </w:r>
            <w:r>
              <w:rPr>
                <w:rtl/>
              </w:rPr>
              <w:t>.</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أيّام »</w:t>
      </w:r>
      <w:r w:rsidR="00E3253D">
        <w:rPr>
          <w:rtl/>
        </w:rPr>
        <w:t>.</w:t>
      </w:r>
    </w:p>
    <w:tbl>
      <w:tblPr>
        <w:tblStyle w:val="TableGrid"/>
        <w:bidiVisual/>
        <w:tblW w:w="0" w:type="auto"/>
        <w:tblLook w:val="04A0" w:firstRow="1" w:lastRow="0" w:firstColumn="1" w:lastColumn="0" w:noHBand="0" w:noVBand="1"/>
      </w:tblPr>
      <w:tblGrid>
        <w:gridCol w:w="4006"/>
        <w:gridCol w:w="4006"/>
      </w:tblGrid>
      <w:tr w:rsidR="009C4685" w:rsidTr="009C4685">
        <w:tc>
          <w:tcPr>
            <w:tcW w:w="4006" w:type="dxa"/>
          </w:tcPr>
          <w:p w:rsidR="009C4685" w:rsidRDefault="009C4685" w:rsidP="00E3253D">
            <w:pPr>
              <w:pStyle w:val="libFootnote0"/>
              <w:rPr>
                <w:rStyle w:val="libFootnote0Char"/>
                <w:rtl/>
              </w:rPr>
            </w:pPr>
            <w:r w:rsidRPr="0042621E">
              <w:rPr>
                <w:rStyle w:val="libFootnote0Char"/>
                <w:rtl/>
              </w:rPr>
              <w:t>(15).</w:t>
            </w:r>
            <w:r w:rsidRPr="005D642E">
              <w:rPr>
                <w:rtl/>
              </w:rPr>
              <w:t xml:space="preserve"> في « جس » : + « ثمّ »</w:t>
            </w:r>
            <w:r>
              <w:rPr>
                <w:rtl/>
              </w:rPr>
              <w:t>.</w:t>
            </w:r>
          </w:p>
        </w:tc>
        <w:tc>
          <w:tcPr>
            <w:tcW w:w="4006" w:type="dxa"/>
          </w:tcPr>
          <w:p w:rsidR="009C4685" w:rsidRDefault="009C4685" w:rsidP="009C4685">
            <w:pPr>
              <w:pStyle w:val="libFootnote0"/>
              <w:rPr>
                <w:rStyle w:val="libFootnote0Char"/>
                <w:rtl/>
              </w:rPr>
            </w:pPr>
            <w:r w:rsidRPr="005D642E">
              <w:rPr>
                <w:rtl/>
              </w:rPr>
              <w:t>(1</w:t>
            </w:r>
            <w:r>
              <w:rPr>
                <w:rtl/>
              </w:rPr>
              <w:t>6)</w:t>
            </w:r>
            <w:r w:rsidRPr="005D642E">
              <w:rPr>
                <w:rtl/>
              </w:rPr>
              <w:t xml:space="preserve"> في«بث،بح،بخ،بف»</w:t>
            </w:r>
            <w:r w:rsidRPr="000D749A">
              <w:rPr>
                <w:rStyle w:val="libFootnoteBoldChar"/>
                <w:rtl/>
              </w:rPr>
              <w:t>والوافي</w:t>
            </w:r>
            <w:r w:rsidRPr="005D642E">
              <w:rPr>
                <w:rtl/>
              </w:rPr>
              <w:t>:«استمرّ»</w:t>
            </w:r>
            <w:r>
              <w:rPr>
                <w:rtl/>
              </w:rPr>
              <w:t>.</w:t>
            </w:r>
          </w:p>
        </w:tc>
      </w:tr>
    </w:tbl>
    <w:p w:rsidR="00E3253D" w:rsidRPr="005D642E" w:rsidRDefault="00E3253D" w:rsidP="00E3253D">
      <w:pPr>
        <w:pStyle w:val="libFootnote0"/>
        <w:rPr>
          <w:rtl/>
          <w:lang w:bidi="fa-IR"/>
        </w:rPr>
      </w:pPr>
      <w:r w:rsidRPr="005D642E">
        <w:rPr>
          <w:rtl/>
        </w:rPr>
        <w:t>(1</w:t>
      </w:r>
      <w:r>
        <w:rPr>
          <w:rtl/>
        </w:rPr>
        <w:t>7)</w:t>
      </w:r>
      <w:r w:rsidRPr="005D642E">
        <w:rPr>
          <w:rtl/>
        </w:rPr>
        <w:t xml:space="preserve"> في « جن » : « وشهرين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قَالَتْ لَهُ </w:t>
      </w:r>
      <w:r w:rsidRPr="007C12DB">
        <w:rPr>
          <w:rStyle w:val="libFootnotenumChar"/>
          <w:rtl/>
        </w:rPr>
        <w:t>(1)</w:t>
      </w:r>
      <w:r w:rsidRPr="005D642E">
        <w:rPr>
          <w:rtl/>
          <w:lang w:bidi="fa-IR"/>
        </w:rPr>
        <w:t xml:space="preserve"> : إِنَّ أَيَّامَ حَيْضِهَا تَخْتَلِفُ </w:t>
      </w:r>
      <w:r w:rsidRPr="007C12DB">
        <w:rPr>
          <w:rStyle w:val="libFootnotenumChar"/>
          <w:rtl/>
        </w:rPr>
        <w:t>(2)</w:t>
      </w:r>
      <w:r w:rsidRPr="005D642E">
        <w:rPr>
          <w:rtl/>
          <w:lang w:bidi="fa-IR"/>
        </w:rPr>
        <w:t xml:space="preserve"> عَلَيْهَا ، وَكَانَ يَتَقَدَّمُ الْحَيْضُ الْيَوْمَ ، وَالْيَوْمَيْنِ ، وَالثَّلَاثَةَ ، وَيَتَأَخَّرُ مِثْلَ ذلِكَ ، فَمَا عِلْمُهَا </w:t>
      </w:r>
      <w:r w:rsidRPr="007C12DB">
        <w:rPr>
          <w:rStyle w:val="libFootnotenumChar"/>
          <w:rtl/>
        </w:rPr>
        <w:t>(3)</w:t>
      </w:r>
      <w:r w:rsidRPr="005D642E">
        <w:rPr>
          <w:rtl/>
          <w:lang w:bidi="fa-IR"/>
        </w:rPr>
        <w:t xml:space="preserve"> بِهِ</w:t>
      </w:r>
      <w:r>
        <w:rPr>
          <w:rtl/>
          <w:lang w:bidi="fa-IR"/>
        </w:rPr>
        <w:t>؟</w:t>
      </w:r>
    </w:p>
    <w:p w:rsidR="00E3253D" w:rsidRPr="005D642E" w:rsidRDefault="00E3253D" w:rsidP="00E3253D">
      <w:pPr>
        <w:pStyle w:val="libNormal"/>
        <w:rPr>
          <w:rtl/>
          <w:lang w:bidi="fa-IR"/>
        </w:rPr>
      </w:pPr>
      <w:r w:rsidRPr="005D642E">
        <w:rPr>
          <w:rtl/>
          <w:lang w:bidi="fa-IR"/>
        </w:rPr>
        <w:t xml:space="preserve">قَالَ : « دَمُ الْحَيْضِ لَيْسَ بِهِ خَفَاءٌ ، هُوَ </w:t>
      </w:r>
      <w:r w:rsidRPr="007C12DB">
        <w:rPr>
          <w:rStyle w:val="libFootnotenumChar"/>
          <w:rtl/>
        </w:rPr>
        <w:t>(4)</w:t>
      </w:r>
      <w:r w:rsidRPr="005D642E">
        <w:rPr>
          <w:rtl/>
          <w:lang w:bidi="fa-IR"/>
        </w:rPr>
        <w:t xml:space="preserve"> دَمٌ حَارٌّ ، تَجِدُ لَهُ حُرْقَةً </w:t>
      </w:r>
      <w:r w:rsidRPr="007C12DB">
        <w:rPr>
          <w:rStyle w:val="libFootnotenumChar"/>
          <w:rtl/>
        </w:rPr>
        <w:t>(5)</w:t>
      </w:r>
      <w:r w:rsidRPr="005D642E">
        <w:rPr>
          <w:rtl/>
          <w:lang w:bidi="fa-IR"/>
        </w:rPr>
        <w:t xml:space="preserve"> ، وَدَمُ الْا</w:t>
      </w:r>
      <w:r w:rsidR="00DD753D">
        <w:rPr>
          <w:rFonts w:hint="cs"/>
          <w:rtl/>
          <w:lang w:bidi="fa-IR"/>
        </w:rPr>
        <w:t>ِ</w:t>
      </w:r>
      <w:r w:rsidRPr="005D642E">
        <w:rPr>
          <w:rtl/>
          <w:lang w:bidi="fa-IR"/>
        </w:rPr>
        <w:t>سْتِحَاضَةِ دَمٌ فَاسِدٌ بَارِدٌ »</w:t>
      </w:r>
      <w:r>
        <w:rPr>
          <w:rtl/>
          <w:lang w:bidi="fa-IR"/>
        </w:rPr>
        <w:t>.</w:t>
      </w:r>
    </w:p>
    <w:p w:rsidR="00E3253D" w:rsidRPr="005D642E" w:rsidRDefault="00E3253D" w:rsidP="00E3253D">
      <w:pPr>
        <w:pStyle w:val="libNormal"/>
        <w:rPr>
          <w:rtl/>
          <w:lang w:bidi="fa-IR"/>
        </w:rPr>
      </w:pPr>
      <w:r w:rsidRPr="005D642E">
        <w:rPr>
          <w:rtl/>
          <w:lang w:bidi="fa-IR"/>
        </w:rPr>
        <w:t xml:space="preserve">قَالَ : فَالْتَفَتَتْ إِلى مَوْلَاتِهَا ، فَقَالَتْ </w:t>
      </w:r>
      <w:r w:rsidRPr="007C12DB">
        <w:rPr>
          <w:rStyle w:val="libFootnotenumChar"/>
          <w:rtl/>
        </w:rPr>
        <w:t>(6)</w:t>
      </w:r>
      <w:r>
        <w:rPr>
          <w:rtl/>
          <w:lang w:bidi="fa-IR"/>
        </w:rPr>
        <w:t xml:space="preserve"> : أَ</w:t>
      </w:r>
      <w:r w:rsidRPr="005D642E">
        <w:rPr>
          <w:rtl/>
          <w:lang w:bidi="fa-IR"/>
        </w:rPr>
        <w:t xml:space="preserve">تَرَاهُ </w:t>
      </w:r>
      <w:r w:rsidRPr="007C12DB">
        <w:rPr>
          <w:rStyle w:val="libFootnotenumChar"/>
          <w:rtl/>
        </w:rPr>
        <w:t>(7)</w:t>
      </w:r>
      <w:r w:rsidRPr="005D642E">
        <w:rPr>
          <w:rtl/>
          <w:lang w:bidi="fa-IR"/>
        </w:rPr>
        <w:t xml:space="preserve"> كَانَ امْرَأَةً مَرَّةً. </w:t>
      </w:r>
      <w:r w:rsidRPr="007C12DB">
        <w:rPr>
          <w:rStyle w:val="libFootnotenumChar"/>
          <w:rtl/>
        </w:rPr>
        <w:t>(8)</w:t>
      </w:r>
    </w:p>
    <w:p w:rsidR="00E3253D" w:rsidRPr="005D642E" w:rsidRDefault="00E3253D" w:rsidP="00E3253D">
      <w:pPr>
        <w:pStyle w:val="Heading2Center"/>
        <w:rPr>
          <w:rtl/>
          <w:lang w:bidi="fa-IR"/>
        </w:rPr>
      </w:pPr>
      <w:bookmarkStart w:id="204" w:name="_Toc344647278"/>
      <w:bookmarkStart w:id="205" w:name="_Toc462226793"/>
      <w:bookmarkStart w:id="206" w:name="_Toc40975901"/>
      <w:r w:rsidRPr="005D642E">
        <w:rPr>
          <w:rtl/>
          <w:lang w:bidi="fa-IR"/>
        </w:rPr>
        <w:t>11</w:t>
      </w:r>
      <w:r>
        <w:rPr>
          <w:rtl/>
          <w:lang w:bidi="fa-IR"/>
        </w:rPr>
        <w:t xml:space="preserve"> </w:t>
      </w:r>
      <w:r w:rsidR="007642BC">
        <w:rPr>
          <w:rtl/>
          <w:lang w:bidi="fa-IR"/>
        </w:rPr>
        <w:t>-</w:t>
      </w:r>
      <w:r>
        <w:rPr>
          <w:rtl/>
          <w:lang w:bidi="fa-IR"/>
        </w:rPr>
        <w:t xml:space="preserve"> </w:t>
      </w:r>
      <w:r w:rsidRPr="005D642E">
        <w:rPr>
          <w:rtl/>
          <w:lang w:bidi="fa-IR"/>
        </w:rPr>
        <w:t xml:space="preserve">بَابُ مَعْرِفَةِ دَمِ الْحَيْضِ وَالْعُذْرَةِ </w:t>
      </w:r>
      <w:r w:rsidRPr="007C12DB">
        <w:rPr>
          <w:rStyle w:val="libFootnotenumChar"/>
          <w:rtl/>
        </w:rPr>
        <w:t>(9)</w:t>
      </w:r>
      <w:r>
        <w:rPr>
          <w:rtl/>
        </w:rPr>
        <w:t xml:space="preserve"> </w:t>
      </w:r>
      <w:r w:rsidRPr="005D642E">
        <w:rPr>
          <w:rtl/>
          <w:lang w:bidi="fa-IR"/>
        </w:rPr>
        <w:t xml:space="preserve">وَالْقَرْحَةِ </w:t>
      </w:r>
      <w:r w:rsidRPr="007C12DB">
        <w:rPr>
          <w:rStyle w:val="libFootnotenumChar"/>
          <w:rtl/>
        </w:rPr>
        <w:t>(10)</w:t>
      </w:r>
      <w:bookmarkEnd w:id="204"/>
      <w:bookmarkEnd w:id="205"/>
      <w:bookmarkEnd w:id="206"/>
    </w:p>
    <w:p w:rsidR="00944BB7" w:rsidRDefault="00E3253D" w:rsidP="00944BB7">
      <w:pPr>
        <w:pStyle w:val="libNormal"/>
        <w:rPr>
          <w:rtl/>
          <w:lang w:bidi="fa-IR"/>
        </w:rPr>
      </w:pPr>
      <w:r w:rsidRPr="00761C02">
        <w:rPr>
          <w:rtl/>
        </w:rPr>
        <w:t>4190</w:t>
      </w:r>
      <w:r w:rsidRPr="00246318">
        <w:rPr>
          <w:rStyle w:val="libBold2Char"/>
          <w:rtl/>
        </w:rPr>
        <w:t xml:space="preserve"> / 1.</w:t>
      </w:r>
      <w:r w:rsidRPr="005D642E">
        <w:rPr>
          <w:rtl/>
          <w:lang w:bidi="fa-IR"/>
        </w:rPr>
        <w:t xml:space="preserve"> عَلِيُّ بْنُ إِبْرَاهِيمَ ، عَنْ أَبِيهِ ؛</w:t>
      </w:r>
    </w:p>
    <w:p w:rsidR="00E3253D" w:rsidRPr="005D642E" w:rsidRDefault="00E3253D" w:rsidP="00944BB7">
      <w:pPr>
        <w:pStyle w:val="libNormal"/>
        <w:rPr>
          <w:rtl/>
          <w:lang w:bidi="fa-IR"/>
        </w:rPr>
      </w:pPr>
      <w:r w:rsidRPr="005D642E">
        <w:rPr>
          <w:rtl/>
          <w:lang w:bidi="fa-IR"/>
        </w:rPr>
        <w:t>وَعِدَّةٌ مِنْ أَصْحَابِنَا ، عَنْ أَحْمَدَ بْنِ مُحَمَّدِ بْنِ خَالِدٍ جَمِيعاً ، عَنْ مُحَمَّدِ بْنِ خَالِدٍ ، عَنْ خَلَفِ بْنِ حَمَّادٍ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التي قوبلت </w:t>
      </w:r>
      <w:r w:rsidR="00B60612" w:rsidRPr="00B60612">
        <w:rPr>
          <w:rStyle w:val="libFootnoteBoldChar"/>
          <w:rtl/>
        </w:rPr>
        <w:t>والتهذيب</w:t>
      </w:r>
      <w:r w:rsidR="00E3253D" w:rsidRPr="005D642E">
        <w:rPr>
          <w:rtl/>
        </w:rPr>
        <w:t>. وفي المطبوع : « فقالت له »</w:t>
      </w:r>
      <w:r w:rsidR="00E3253D">
        <w:rPr>
          <w:rtl/>
        </w:rPr>
        <w:t>.</w:t>
      </w:r>
      <w:r w:rsidR="00E3253D" w:rsidRPr="005D642E">
        <w:rPr>
          <w:rtl/>
        </w:rPr>
        <w:t xml:space="preserve"> وفي الوافي :</w:t>
      </w:r>
      <w:r w:rsidR="00E3253D">
        <w:rPr>
          <w:rtl/>
        </w:rPr>
        <w:t xml:space="preserve"> </w:t>
      </w:r>
      <w:r w:rsidR="007642BC">
        <w:rPr>
          <w:rtl/>
        </w:rPr>
        <w:t>-</w:t>
      </w:r>
      <w:r w:rsidR="00E3253D">
        <w:rPr>
          <w:rtl/>
        </w:rPr>
        <w:t xml:space="preserve"> </w:t>
      </w:r>
      <w:r w:rsidR="00E3253D" w:rsidRPr="005D642E">
        <w:rPr>
          <w:rtl/>
        </w:rPr>
        <w:t>« له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 « يختلف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جن » : « فما عملها »</w:t>
      </w:r>
      <w:r w:rsidR="00E3253D">
        <w:rPr>
          <w:rtl/>
        </w:rPr>
        <w:t>.</w:t>
      </w:r>
      <w:r w:rsidR="00E3253D" w:rsidRPr="005D642E">
        <w:rPr>
          <w:rtl/>
        </w:rPr>
        <w:t xml:space="preserve"> وفي « بخ » : « فاعلمها » ، كلاهما بدل « فما علمها »</w:t>
      </w:r>
      <w:r w:rsidR="00E3253D">
        <w:rPr>
          <w:rtl/>
        </w:rPr>
        <w:t>.</w:t>
      </w:r>
    </w:p>
    <w:tbl>
      <w:tblPr>
        <w:tblStyle w:val="TableGrid"/>
        <w:bidiVisual/>
        <w:tblW w:w="0" w:type="auto"/>
        <w:tblLook w:val="04A0" w:firstRow="1" w:lastRow="0" w:firstColumn="1" w:lastColumn="0" w:noHBand="0" w:noVBand="1"/>
      </w:tblPr>
      <w:tblGrid>
        <w:gridCol w:w="4006"/>
        <w:gridCol w:w="4006"/>
      </w:tblGrid>
      <w:tr w:rsidR="00944BB7" w:rsidTr="00944BB7">
        <w:tc>
          <w:tcPr>
            <w:tcW w:w="4006" w:type="dxa"/>
          </w:tcPr>
          <w:p w:rsidR="00944BB7" w:rsidRDefault="00944BB7" w:rsidP="00944BB7">
            <w:pPr>
              <w:pStyle w:val="libFootnote0"/>
              <w:rPr>
                <w:rStyle w:val="libFootnote0Char"/>
                <w:rtl/>
              </w:rPr>
            </w:pPr>
            <w:r w:rsidRPr="0042621E">
              <w:rPr>
                <w:rStyle w:val="libFootnote0Char"/>
                <w:rtl/>
              </w:rPr>
              <w:t>(4).</w:t>
            </w:r>
            <w:r w:rsidRPr="005D642E">
              <w:rPr>
                <w:rtl/>
              </w:rPr>
              <w:t xml:space="preserve"> في«بث»:«وهو»</w:t>
            </w:r>
            <w:r>
              <w:rPr>
                <w:rtl/>
              </w:rPr>
              <w:t>.</w:t>
            </w:r>
            <w:r w:rsidRPr="005D642E">
              <w:rPr>
                <w:rtl/>
              </w:rPr>
              <w:t>وفي«بخ»:</w:t>
            </w:r>
            <w:r>
              <w:rPr>
                <w:rtl/>
              </w:rPr>
              <w:t>-</w:t>
            </w:r>
            <w:r w:rsidRPr="005D642E">
              <w:rPr>
                <w:rtl/>
              </w:rPr>
              <w:t>«هو»</w:t>
            </w:r>
            <w:r>
              <w:rPr>
                <w:rtl/>
              </w:rPr>
              <w:t>.</w:t>
            </w:r>
          </w:p>
        </w:tc>
        <w:tc>
          <w:tcPr>
            <w:tcW w:w="4006" w:type="dxa"/>
          </w:tcPr>
          <w:p w:rsidR="00944BB7" w:rsidRDefault="00944BB7" w:rsidP="00E3253D">
            <w:pPr>
              <w:pStyle w:val="libFootnote0"/>
              <w:rPr>
                <w:rStyle w:val="libFootnote0Char"/>
                <w:rtl/>
              </w:rPr>
            </w:pPr>
            <w:r w:rsidRPr="0042621E">
              <w:rPr>
                <w:rStyle w:val="libFootnote0Char"/>
                <w:rtl/>
              </w:rPr>
              <w:t>(5).</w:t>
            </w:r>
            <w:r w:rsidRPr="005D642E">
              <w:rPr>
                <w:rtl/>
              </w:rPr>
              <w:t xml:space="preserve"> في « غ ، جس » : « خرقة »</w:t>
            </w:r>
            <w:r>
              <w:rPr>
                <w:rtl/>
              </w:rPr>
              <w:t>.</w:t>
            </w:r>
          </w:p>
        </w:tc>
      </w:tr>
      <w:tr w:rsidR="00944BB7" w:rsidTr="00944BB7">
        <w:tc>
          <w:tcPr>
            <w:tcW w:w="4006" w:type="dxa"/>
          </w:tcPr>
          <w:p w:rsidR="00944BB7" w:rsidRDefault="00944BB7" w:rsidP="00E3253D">
            <w:pPr>
              <w:pStyle w:val="libFootnote0"/>
              <w:rPr>
                <w:rStyle w:val="libFootnote0Char"/>
                <w:rtl/>
              </w:rPr>
            </w:pPr>
            <w:r w:rsidRPr="0042621E">
              <w:rPr>
                <w:rStyle w:val="libFootnote0Char"/>
                <w:rtl/>
              </w:rPr>
              <w:t>(6).</w:t>
            </w:r>
            <w:r w:rsidRPr="005D642E">
              <w:rPr>
                <w:rtl/>
              </w:rPr>
              <w:t xml:space="preserve"> في « جح » : « قالت »</w:t>
            </w:r>
            <w:r>
              <w:rPr>
                <w:rtl/>
              </w:rPr>
              <w:t>.</w:t>
            </w:r>
          </w:p>
        </w:tc>
        <w:tc>
          <w:tcPr>
            <w:tcW w:w="4006" w:type="dxa"/>
          </w:tcPr>
          <w:p w:rsidR="00944BB7" w:rsidRDefault="00944BB7" w:rsidP="00E3253D">
            <w:pPr>
              <w:pStyle w:val="libFootnote0"/>
              <w:rPr>
                <w:rStyle w:val="libFootnote0Char"/>
                <w:rtl/>
              </w:rPr>
            </w:pPr>
            <w:r w:rsidRPr="0042621E">
              <w:rPr>
                <w:rStyle w:val="libFootnote0Char"/>
                <w:rtl/>
              </w:rPr>
              <w:t>(7).</w:t>
            </w:r>
            <w:r>
              <w:rPr>
                <w:rtl/>
              </w:rPr>
              <w:t xml:space="preserve"> في حاشية « غ » : « أ</w:t>
            </w:r>
            <w:r w:rsidRPr="005D642E">
              <w:rPr>
                <w:rtl/>
              </w:rPr>
              <w:t>ترينه »</w:t>
            </w:r>
            <w:r>
              <w:rPr>
                <w:rtl/>
              </w:rPr>
              <w:t>.</w:t>
            </w:r>
          </w:p>
        </w:tc>
      </w:tr>
    </w:tbl>
    <w:p w:rsidR="00E3253D" w:rsidRPr="005D642E" w:rsidRDefault="0042621E" w:rsidP="00F86460">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الكافي</w:t>
      </w:r>
      <w:r w:rsidR="00E3253D" w:rsidRPr="005D642E">
        <w:rPr>
          <w:rtl/>
        </w:rPr>
        <w:t xml:space="preserve"> ، كتاب النكاح ، باب السحق ، ح 10340. وفي </w:t>
      </w:r>
      <w:r w:rsidR="00E3253D" w:rsidRPr="002F4D34">
        <w:rPr>
          <w:rStyle w:val="libFootnoteBoldChar"/>
          <w:rtl/>
        </w:rPr>
        <w:t>المحاسن</w:t>
      </w:r>
      <w:r w:rsidR="00E3253D" w:rsidRPr="005D642E">
        <w:rPr>
          <w:rtl/>
        </w:rPr>
        <w:t xml:space="preserve"> ، ص 113 ، كتاب عقاب الأعمال ، ح 112 ، عن أحمد بن محمّد ؛ </w:t>
      </w:r>
      <w:r w:rsidR="00E3253D" w:rsidRPr="002F4D34">
        <w:rPr>
          <w:rStyle w:val="libFootnoteBoldChar"/>
          <w:rtl/>
        </w:rPr>
        <w:t>ثواب الأعمال</w:t>
      </w:r>
      <w:r w:rsidR="00E3253D" w:rsidRPr="005D642E">
        <w:rPr>
          <w:rtl/>
        </w:rPr>
        <w:t xml:space="preserve"> ، ص 317 ، ح 12 ، بسنده عن أحمد بن محمّد ، وفيها من قوله : « قالت : أخبرني عن اللواتي » وفي كلّها إلى قوله : « ففعلن كما فعل رجالهنّ » ؛ </w:t>
      </w:r>
      <w:r w:rsidR="00E3253D" w:rsidRPr="002F4D34">
        <w:rPr>
          <w:rStyle w:val="libFootnoteBoldChar"/>
          <w:rtl/>
        </w:rPr>
        <w:t>التهذيب</w:t>
      </w:r>
      <w:r w:rsidR="00E3253D" w:rsidRPr="005D642E">
        <w:rPr>
          <w:rtl/>
        </w:rPr>
        <w:t xml:space="preserve"> ، ج 1 ، ص 151 ، ح 431 ، معلّقاً عن أحمد بن محمّد ، من قوله : « ما تقول في المرأة تحيض »</w:t>
      </w:r>
      <w:r w:rsidR="00F86460">
        <w:rPr>
          <w:rFonts w:hint="cs"/>
          <w:rtl/>
        </w:rPr>
        <w:t>.</w:t>
      </w:r>
      <w:r w:rsidR="00E3253D" w:rsidRPr="002F4D34">
        <w:rPr>
          <w:rStyle w:val="libFootnoteBoldChar"/>
          <w:rtl/>
        </w:rPr>
        <w:t>الوافي</w:t>
      </w:r>
      <w:r w:rsidR="00E3253D" w:rsidRPr="005D642E">
        <w:rPr>
          <w:rtl/>
        </w:rPr>
        <w:t xml:space="preserve"> ، ج 6 ، ص 441 ، ح 4666 ؛ وج 15 ، ص 233 ، ح 14953 ؛ </w:t>
      </w:r>
      <w:r w:rsidR="00E3253D" w:rsidRPr="002F4D34">
        <w:rPr>
          <w:rStyle w:val="libFootnoteBoldChar"/>
          <w:rtl/>
        </w:rPr>
        <w:t>الوسائل</w:t>
      </w:r>
      <w:r w:rsidR="00E3253D" w:rsidRPr="005D642E">
        <w:rPr>
          <w:rtl/>
        </w:rPr>
        <w:t xml:space="preserve"> ، ج 2 ، ص 301 ، ح 2189 ، من قوله : « ما تقول في المرأة تحيض » إلى قوله : « بيوم واحد ثمّ هي مستحاضة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العُذْرَة » : البكارة. قال ابن الأثير : « العذرة : ما للبكر من الالتحام قبل الافتضاض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2 ، ص 738 ؛ </w:t>
      </w:r>
      <w:r w:rsidR="00E3253D" w:rsidRPr="002F4D34">
        <w:rPr>
          <w:rStyle w:val="libFootnoteBoldChar"/>
          <w:rtl/>
        </w:rPr>
        <w:t>النهاية</w:t>
      </w:r>
      <w:r w:rsidR="00E3253D" w:rsidRPr="005D642E">
        <w:rPr>
          <w:rtl/>
        </w:rPr>
        <w:t xml:space="preserve"> ، ج 3 ، ص 196 ( عذر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القَرْحة » : واحدة القَرْح ، وهي الحبّة تخرج في البدن. وقيل : هو البثر إذا ترامى إلى فساد ، والبثر : الخراج ، وهو كلّ ما يخرج بالبدن ، كالدمّل. راجع : </w:t>
      </w:r>
      <w:r w:rsidR="00E3253D" w:rsidRPr="002F4D34">
        <w:rPr>
          <w:rStyle w:val="libFootnoteBoldChar"/>
          <w:rtl/>
        </w:rPr>
        <w:t>لسان العرب</w:t>
      </w:r>
      <w:r w:rsidR="00E3253D" w:rsidRPr="005D642E">
        <w:rPr>
          <w:rtl/>
        </w:rPr>
        <w:t xml:space="preserve"> ، ج 2 ، ص 557 ؛ </w:t>
      </w:r>
      <w:r w:rsidR="00E3253D" w:rsidRPr="002F4D34">
        <w:rPr>
          <w:rStyle w:val="libFootnoteBoldChar"/>
          <w:rtl/>
        </w:rPr>
        <w:t>مجمع البحرين</w:t>
      </w:r>
      <w:r w:rsidR="00E3253D" w:rsidRPr="005D642E">
        <w:rPr>
          <w:rtl/>
        </w:rPr>
        <w:t xml:space="preserve"> ، ج 2 ، ص 403 ( قرح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وَرَوَاهُ أَحْمَدُ أَيْضاً </w:t>
      </w:r>
      <w:r w:rsidRPr="007C12DB">
        <w:rPr>
          <w:rStyle w:val="libFootnotenumChar"/>
          <w:rtl/>
        </w:rPr>
        <w:t>(1)</w:t>
      </w:r>
      <w:r w:rsidRPr="005D642E">
        <w:rPr>
          <w:rtl/>
          <w:lang w:bidi="fa-IR"/>
        </w:rPr>
        <w:t xml:space="preserve"> عَنْ مُحَمَّدِ بْنِ أَسْلَمَ </w:t>
      </w:r>
      <w:r w:rsidRPr="007C12DB">
        <w:rPr>
          <w:rStyle w:val="libFootnotenumChar"/>
          <w:rtl/>
        </w:rPr>
        <w:t>(2)</w:t>
      </w:r>
      <w:r w:rsidRPr="005D642E">
        <w:rPr>
          <w:rtl/>
          <w:lang w:bidi="fa-IR"/>
        </w:rPr>
        <w:t xml:space="preserve"> ، عَنْ خَلَفِ بْنِ حَمَّادٍ الْكُوفِيِّ ، قَالَ :</w:t>
      </w:r>
    </w:p>
    <w:p w:rsidR="00E3253D" w:rsidRPr="005D642E" w:rsidRDefault="00E3253D" w:rsidP="00E3253D">
      <w:pPr>
        <w:pStyle w:val="libNormal"/>
        <w:rPr>
          <w:rtl/>
          <w:lang w:bidi="fa-IR"/>
        </w:rPr>
      </w:pPr>
      <w:r w:rsidRPr="005D642E">
        <w:rPr>
          <w:rtl/>
          <w:lang w:bidi="fa-IR"/>
        </w:rPr>
        <w:t xml:space="preserve">تَزَوَّجَ بَعْضُ أَصْحَابِنَا جَارِيَةً مُعْصِراً </w:t>
      </w:r>
      <w:r w:rsidRPr="007C12DB">
        <w:rPr>
          <w:rStyle w:val="libFootnotenumChar"/>
          <w:rtl/>
        </w:rPr>
        <w:t>(3)</w:t>
      </w:r>
      <w:r w:rsidRPr="005D642E">
        <w:rPr>
          <w:rtl/>
          <w:lang w:bidi="fa-IR"/>
        </w:rPr>
        <w:t xml:space="preserve"> لَمْ تَطْمَثْ </w:t>
      </w:r>
      <w:r w:rsidRPr="007C12DB">
        <w:rPr>
          <w:rStyle w:val="libFootnotenumChar"/>
          <w:rtl/>
        </w:rPr>
        <w:t>(4)</w:t>
      </w:r>
      <w:r w:rsidRPr="005D642E">
        <w:rPr>
          <w:rtl/>
          <w:lang w:bidi="fa-IR"/>
        </w:rPr>
        <w:t xml:space="preserve"> ، فَلَمَّا اقْتَضَّهَا </w:t>
      </w:r>
      <w:r w:rsidRPr="007C12DB">
        <w:rPr>
          <w:rStyle w:val="libFootnotenumChar"/>
          <w:rtl/>
        </w:rPr>
        <w:t>(5)</w:t>
      </w:r>
      <w:r w:rsidRPr="005D642E">
        <w:rPr>
          <w:rtl/>
          <w:lang w:bidi="fa-IR"/>
        </w:rPr>
        <w:t xml:space="preserve"> سَالَ الدَّمُ ، فَمَكَثَ سَائِلاً لَايَنْقَطِعُ نَحْواً مِنْ عَشَرَةِ أَيَّامٍ ، قَالَ : فَأَرَوْهَا الْقَوَابِلَ وَ</w:t>
      </w:r>
      <w:r w:rsidR="00630CC4">
        <w:rPr>
          <w:rFonts w:hint="cs"/>
          <w:rtl/>
          <w:lang w:bidi="fa-IR"/>
        </w:rPr>
        <w:t xml:space="preserve"> </w:t>
      </w:r>
      <w:r w:rsidRPr="005D642E">
        <w:rPr>
          <w:rtl/>
          <w:lang w:bidi="fa-IR"/>
        </w:rPr>
        <w:t xml:space="preserve">مَنْ ظَنُّوا </w:t>
      </w:r>
      <w:r w:rsidRPr="007C12DB">
        <w:rPr>
          <w:rStyle w:val="libFootnotenumChar"/>
          <w:rtl/>
        </w:rPr>
        <w:t>(6)</w:t>
      </w:r>
      <w:r w:rsidRPr="005D642E">
        <w:rPr>
          <w:rtl/>
          <w:lang w:bidi="fa-IR"/>
        </w:rPr>
        <w:t xml:space="preserve"> أَنَّهُ يُبْصِرُ ذلِكَ مِنَ النِّسَاءِ ، فَاخْتَلَفْنَ </w:t>
      </w:r>
      <w:r w:rsidRPr="007C12DB">
        <w:rPr>
          <w:rStyle w:val="libFootnotenumChar"/>
          <w:rtl/>
        </w:rPr>
        <w:t>(7)</w:t>
      </w:r>
      <w:r w:rsidRPr="005D642E">
        <w:rPr>
          <w:rtl/>
          <w:lang w:bidi="fa-IR"/>
        </w:rPr>
        <w:t xml:space="preserve"> ، فَقَالَ بَعْضٌ </w:t>
      </w:r>
      <w:r w:rsidRPr="007C12DB">
        <w:rPr>
          <w:rStyle w:val="libFootnotenumChar"/>
          <w:rtl/>
        </w:rPr>
        <w:t>(8)</w:t>
      </w:r>
      <w:r w:rsidRPr="005D642E">
        <w:rPr>
          <w:rtl/>
          <w:lang w:bidi="fa-IR"/>
        </w:rPr>
        <w:t xml:space="preserve"> : هذَا مِنْ دَمِ الْحَيْضِ ، وَقَالَ بَعْضٌ </w:t>
      </w:r>
      <w:r w:rsidRPr="007C12DB">
        <w:rPr>
          <w:rStyle w:val="libFootnotenumChar"/>
          <w:rtl/>
        </w:rPr>
        <w:t>(9)</w:t>
      </w:r>
      <w:r w:rsidRPr="005D642E">
        <w:rPr>
          <w:rtl/>
          <w:lang w:bidi="fa-IR"/>
        </w:rPr>
        <w:t xml:space="preserve"> : هُوَ مِنْ </w:t>
      </w:r>
      <w:r w:rsidRPr="007C12DB">
        <w:rPr>
          <w:rStyle w:val="libFootnotenumChar"/>
          <w:rtl/>
        </w:rPr>
        <w:t>(10)</w:t>
      </w:r>
      <w:r w:rsidRPr="005D642E">
        <w:rPr>
          <w:rtl/>
          <w:lang w:bidi="fa-IR"/>
        </w:rPr>
        <w:t xml:space="preserve"> دَمِ الْعُذْرَةِ ، فَسَأَلُوا عَنْ ذلِكَ فُقَهَاءَهُمْ كَأَبِي </w:t>
      </w:r>
      <w:r w:rsidRPr="007C12DB">
        <w:rPr>
          <w:rStyle w:val="libFootnotenumChar"/>
          <w:rtl/>
        </w:rPr>
        <w:t>(11)</w:t>
      </w:r>
      <w:r w:rsidRPr="005D642E">
        <w:rPr>
          <w:rtl/>
          <w:lang w:bidi="fa-IR"/>
        </w:rPr>
        <w:t xml:space="preserve"> حَنِيفَةَ وَغَيْرِهِ مِنْ فُقَهَائِهِمْ </w:t>
      </w:r>
      <w:r w:rsidRPr="007C12DB">
        <w:rPr>
          <w:rStyle w:val="libFootnotenumChar"/>
          <w:rtl/>
        </w:rPr>
        <w:t>(12)</w:t>
      </w:r>
      <w:r w:rsidRPr="005D642E">
        <w:rPr>
          <w:rtl/>
          <w:lang w:bidi="fa-IR"/>
        </w:rPr>
        <w:t xml:space="preserve"> ، فَقَالُوا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إنّ المراد من عبارة « ورواه أحمد أيضاً</w:t>
      </w:r>
      <w:r w:rsidR="00E3253D">
        <w:rPr>
          <w:rtl/>
        </w:rPr>
        <w:t xml:space="preserve"> ..</w:t>
      </w:r>
      <w:r w:rsidR="00E3253D" w:rsidRPr="005D642E">
        <w:rPr>
          <w:rtl/>
        </w:rPr>
        <w:t>. » ، أنّ أحمد بن محمّد بن خالد روى الخبر عن محمّد بن أسلم ، عن‌خلف بن حمّاد ، كما رواه عن والده محمّد بن خالد ، عن خلف بن حمّاد ، فيكون الطرق إلى خلف بن حمّاد ثلاثة :</w:t>
      </w:r>
    </w:p>
    <w:p w:rsidR="00E3253D" w:rsidRPr="005D642E" w:rsidRDefault="00E3253D" w:rsidP="00B60612">
      <w:pPr>
        <w:pStyle w:val="libFootnote0"/>
        <w:rPr>
          <w:rtl/>
          <w:lang w:bidi="fa-IR"/>
        </w:rPr>
      </w:pPr>
      <w:r w:rsidRPr="0095070A">
        <w:rPr>
          <w:rtl/>
        </w:rPr>
        <w:t>عليّ بن إبراهيم ، عن أبيه ، عن محمّد بن خالد.</w:t>
      </w:r>
    </w:p>
    <w:p w:rsidR="00E3253D" w:rsidRPr="005D642E" w:rsidRDefault="00E3253D" w:rsidP="00B60612">
      <w:pPr>
        <w:pStyle w:val="libFootnote0"/>
        <w:rPr>
          <w:rtl/>
          <w:lang w:bidi="fa-IR"/>
        </w:rPr>
      </w:pPr>
      <w:r w:rsidRPr="0095070A">
        <w:rPr>
          <w:rtl/>
        </w:rPr>
        <w:t>عدّة من أصحابنا ، عن أحمد بن محمّد بن خالد ، عن محمّد بن خالد.</w:t>
      </w:r>
    </w:p>
    <w:p w:rsidR="00E3253D" w:rsidRPr="005D642E" w:rsidRDefault="00E3253D" w:rsidP="00B60612">
      <w:pPr>
        <w:pStyle w:val="libFootnote0"/>
        <w:rPr>
          <w:rtl/>
          <w:lang w:bidi="fa-IR"/>
        </w:rPr>
      </w:pPr>
      <w:r w:rsidRPr="0095070A">
        <w:rPr>
          <w:rtl/>
        </w:rPr>
        <w:t>عدّة من أصحابنا ، عن أحمد</w:t>
      </w:r>
      <w:r>
        <w:rPr>
          <w:rtl/>
        </w:rPr>
        <w:t xml:space="preserve"> </w:t>
      </w:r>
      <w:r w:rsidR="007642BC">
        <w:rPr>
          <w:rtl/>
        </w:rPr>
        <w:t>-</w:t>
      </w:r>
      <w:r>
        <w:rPr>
          <w:rtl/>
        </w:rPr>
        <w:t xml:space="preserve"> </w:t>
      </w:r>
      <w:r w:rsidRPr="0095070A">
        <w:rPr>
          <w:rtl/>
        </w:rPr>
        <w:t>وهو ابن محمّد بن خالد</w:t>
      </w:r>
      <w:r>
        <w:rPr>
          <w:rtl/>
        </w:rPr>
        <w:t xml:space="preserve"> </w:t>
      </w:r>
      <w:r w:rsidR="007642BC">
        <w:rPr>
          <w:rtl/>
        </w:rPr>
        <w:t>-</w:t>
      </w:r>
      <w:r>
        <w:rPr>
          <w:rtl/>
        </w:rPr>
        <w:t xml:space="preserve"> </w:t>
      </w:r>
      <w:r w:rsidRPr="0095070A">
        <w:rPr>
          <w:rtl/>
        </w:rPr>
        <w:t>عن محمّد بن أسلم.</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 « مسلم »</w:t>
      </w:r>
      <w:r w:rsidR="00E3253D">
        <w:rPr>
          <w:rtl/>
        </w:rPr>
        <w:t>.</w:t>
      </w:r>
      <w:r w:rsidR="00E3253D" w:rsidRPr="005D642E">
        <w:rPr>
          <w:rtl/>
        </w:rPr>
        <w:t xml:space="preserve"> والظاهر أنّ محمّداً هذا ، هو محمّد بن أسلم الطبري الجبلي الراوي عن الرضا </w:t>
      </w:r>
      <w:r w:rsidR="00E3253D" w:rsidRPr="007956CD">
        <w:rPr>
          <w:rStyle w:val="libFootnoteAlaemChar"/>
          <w:rtl/>
        </w:rPr>
        <w:t>عليه‌السلام</w:t>
      </w:r>
      <w:r w:rsidR="00E3253D" w:rsidRPr="005D642E">
        <w:rPr>
          <w:rtl/>
        </w:rPr>
        <w:t xml:space="preserve">. راجع : </w:t>
      </w:r>
      <w:r w:rsidR="00E3253D" w:rsidRPr="002F4D34">
        <w:rPr>
          <w:rStyle w:val="libFootnoteBoldChar"/>
          <w:rtl/>
        </w:rPr>
        <w:t>رجال النجاشي</w:t>
      </w:r>
      <w:r w:rsidR="00E3253D" w:rsidRPr="005D642E">
        <w:rPr>
          <w:rtl/>
        </w:rPr>
        <w:t xml:space="preserve"> ، ص 368 ، الرقم 999 </w:t>
      </w:r>
      <w:r w:rsidR="00E3253D" w:rsidRPr="002F4D34">
        <w:rPr>
          <w:rStyle w:val="libFootnoteBoldChar"/>
          <w:rtl/>
        </w:rPr>
        <w:t>؛ رجال البرقي</w:t>
      </w:r>
      <w:r w:rsidR="00E3253D" w:rsidRPr="005D642E">
        <w:rPr>
          <w:rtl/>
        </w:rPr>
        <w:t xml:space="preserve"> ، ص 51 ؛ </w:t>
      </w:r>
      <w:r w:rsidR="00E3253D" w:rsidRPr="002F4D34">
        <w:rPr>
          <w:rStyle w:val="libFootnoteBoldChar"/>
          <w:rtl/>
        </w:rPr>
        <w:t>رجال الطوسي</w:t>
      </w:r>
      <w:r w:rsidR="00E3253D" w:rsidRPr="005D642E">
        <w:rPr>
          <w:rtl/>
        </w:rPr>
        <w:t xml:space="preserve"> ، ص 364 ، الرقم 5401.</w:t>
      </w:r>
    </w:p>
    <w:p w:rsidR="00E3253D" w:rsidRPr="005D642E" w:rsidRDefault="0042621E" w:rsidP="00E3253D">
      <w:pPr>
        <w:pStyle w:val="libFootnote0"/>
        <w:rPr>
          <w:rtl/>
          <w:lang w:bidi="fa-IR"/>
        </w:rPr>
      </w:pPr>
      <w:r w:rsidRPr="0042621E">
        <w:rPr>
          <w:rStyle w:val="libFootnote0Char"/>
          <w:rtl/>
        </w:rPr>
        <w:t>(3).</w:t>
      </w:r>
      <w:r w:rsidR="008B5B37">
        <w:rPr>
          <w:rtl/>
        </w:rPr>
        <w:t xml:space="preserve"> « الم</w:t>
      </w:r>
      <w:r w:rsidR="008B5B37">
        <w:rPr>
          <w:rFonts w:hint="cs"/>
          <w:rtl/>
        </w:rPr>
        <w:t>ـُ</w:t>
      </w:r>
      <w:r w:rsidR="00E3253D" w:rsidRPr="005D642E">
        <w:rPr>
          <w:rtl/>
        </w:rPr>
        <w:t xml:space="preserve">عْصِر » : الجارية أوّل ما أدركت وحاضت ، يقال : قد أعصرت ، كأنّها دخلت عصر شبابها أو بلغته. وقيل : سمّيت به لانعصار رحمها. ويقال : هي التي قاربت الحيض ؛ لأنّ الإعصار في الجارية كالمراهقة في الغلام ، وقيل غير ذلك. راجع : </w:t>
      </w:r>
      <w:r w:rsidR="00E3253D" w:rsidRPr="002F4D34">
        <w:rPr>
          <w:rStyle w:val="libFootnoteBoldChar"/>
          <w:rtl/>
        </w:rPr>
        <w:t>الصحاح</w:t>
      </w:r>
      <w:r w:rsidR="00E3253D" w:rsidRPr="005D642E">
        <w:rPr>
          <w:rtl/>
        </w:rPr>
        <w:t xml:space="preserve"> ، ج 2 ، ص 750 ؛ </w:t>
      </w:r>
      <w:r w:rsidR="00E3253D" w:rsidRPr="002F4D34">
        <w:rPr>
          <w:rStyle w:val="libFootnoteBoldChar"/>
          <w:rtl/>
        </w:rPr>
        <w:t>النهاية</w:t>
      </w:r>
      <w:r w:rsidR="00E3253D" w:rsidRPr="005D642E">
        <w:rPr>
          <w:rtl/>
        </w:rPr>
        <w:t xml:space="preserve"> ، ج 3 ، ص 246. ( عصر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لم تطمث » ، أي لم تحض ، وقيل : إذا حاضت أوّل ما تحيض. وخصّ بعضهم به حيض الجارية. راجع : </w:t>
      </w:r>
      <w:r w:rsidR="00E3253D" w:rsidRPr="002F4D34">
        <w:rPr>
          <w:rStyle w:val="libFootnoteBoldChar"/>
          <w:rtl/>
        </w:rPr>
        <w:t>لسان العرب</w:t>
      </w:r>
      <w:r w:rsidR="00E3253D" w:rsidRPr="005D642E">
        <w:rPr>
          <w:rtl/>
        </w:rPr>
        <w:t xml:space="preserve"> ، ج 2 ، ص 165 ؛ </w:t>
      </w:r>
      <w:r w:rsidR="00E3253D" w:rsidRPr="002F4D34">
        <w:rPr>
          <w:rStyle w:val="libFootnoteBoldChar"/>
          <w:rtl/>
        </w:rPr>
        <w:t>القاموس المحيط</w:t>
      </w:r>
      <w:r w:rsidR="00E3253D" w:rsidRPr="005D642E">
        <w:rPr>
          <w:rtl/>
        </w:rPr>
        <w:t xml:space="preserve"> ، ج 1 ، ص 273 ( طمث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بس » </w:t>
      </w:r>
      <w:r w:rsidR="000D749A" w:rsidRPr="000D749A">
        <w:rPr>
          <w:rStyle w:val="libFootnoteBoldChar"/>
          <w:rtl/>
        </w:rPr>
        <w:t>والوافي</w:t>
      </w:r>
      <w:r w:rsidR="00E3253D" w:rsidRPr="005D642E">
        <w:rPr>
          <w:rtl/>
        </w:rPr>
        <w:t xml:space="preserve"> والوسائل والبحار : « افتضّها »</w:t>
      </w:r>
      <w:r w:rsidR="00E3253D">
        <w:rPr>
          <w:rtl/>
        </w:rPr>
        <w:t>.</w:t>
      </w:r>
      <w:r w:rsidR="00E3253D" w:rsidRPr="005D642E">
        <w:rPr>
          <w:rtl/>
        </w:rPr>
        <w:t xml:space="preserve"> والافتضاض والاقتضاض : الافتراع ، وهو إزالة البكارة. راجع : </w:t>
      </w:r>
      <w:r w:rsidR="00E3253D" w:rsidRPr="002F4D34">
        <w:rPr>
          <w:rStyle w:val="libFootnoteBoldChar"/>
          <w:rtl/>
        </w:rPr>
        <w:t>المغرب</w:t>
      </w:r>
      <w:r w:rsidR="00E3253D" w:rsidRPr="005D642E">
        <w:rPr>
          <w:rtl/>
        </w:rPr>
        <w:t xml:space="preserve"> ، ص 386 ( قضض ) ؛ </w:t>
      </w:r>
      <w:r w:rsidR="00E3253D" w:rsidRPr="002F4D34">
        <w:rPr>
          <w:rStyle w:val="libFootnoteBoldChar"/>
          <w:rtl/>
        </w:rPr>
        <w:t>لسان العرب</w:t>
      </w:r>
      <w:r w:rsidR="00E3253D" w:rsidRPr="005D642E">
        <w:rPr>
          <w:rtl/>
        </w:rPr>
        <w:t xml:space="preserve"> ، ج 7 ، ص 207 ( فضض )</w:t>
      </w:r>
      <w:r w:rsidR="00E3253D">
        <w:rPr>
          <w:rtl/>
        </w:rPr>
        <w:t>.</w:t>
      </w:r>
    </w:p>
    <w:tbl>
      <w:tblPr>
        <w:tblStyle w:val="TableGrid"/>
        <w:bidiVisual/>
        <w:tblW w:w="0" w:type="auto"/>
        <w:tblLook w:val="04A0" w:firstRow="1" w:lastRow="0" w:firstColumn="1" w:lastColumn="0" w:noHBand="0" w:noVBand="1"/>
      </w:tblPr>
      <w:tblGrid>
        <w:gridCol w:w="4006"/>
        <w:gridCol w:w="4006"/>
      </w:tblGrid>
      <w:tr w:rsidR="005D3BCC" w:rsidTr="005D3BCC">
        <w:tc>
          <w:tcPr>
            <w:tcW w:w="4006" w:type="dxa"/>
          </w:tcPr>
          <w:p w:rsidR="005D3BCC" w:rsidRDefault="005D3BCC" w:rsidP="005D3BCC">
            <w:pPr>
              <w:pStyle w:val="libFootnote0"/>
              <w:rPr>
                <w:rStyle w:val="libFootnote0Char"/>
                <w:rtl/>
              </w:rPr>
            </w:pPr>
            <w:r w:rsidRPr="0042621E">
              <w:rPr>
                <w:rStyle w:val="libFootnote0Char"/>
                <w:rtl/>
              </w:rPr>
              <w:t>(6).</w:t>
            </w:r>
            <w:r w:rsidRPr="005D642E">
              <w:rPr>
                <w:rtl/>
              </w:rPr>
              <w:t xml:space="preserve"> في«بث،بف،جح»وحاشية«بح»:«ظنّ»</w:t>
            </w:r>
            <w:r>
              <w:rPr>
                <w:rtl/>
              </w:rPr>
              <w:t>.</w:t>
            </w:r>
          </w:p>
        </w:tc>
        <w:tc>
          <w:tcPr>
            <w:tcW w:w="4006" w:type="dxa"/>
          </w:tcPr>
          <w:p w:rsidR="005D3BCC" w:rsidRDefault="005D3BCC" w:rsidP="00E3253D">
            <w:pPr>
              <w:pStyle w:val="libFootnote0"/>
              <w:rPr>
                <w:rStyle w:val="libFootnote0Char"/>
                <w:rtl/>
              </w:rPr>
            </w:pPr>
            <w:r w:rsidRPr="0042621E">
              <w:rPr>
                <w:rStyle w:val="libFootnote0Char"/>
                <w:rtl/>
              </w:rPr>
              <w:t>(7).</w:t>
            </w:r>
            <w:r w:rsidRPr="005D642E">
              <w:rPr>
                <w:rtl/>
              </w:rPr>
              <w:t xml:space="preserve"> في « جن » : « واختلفن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المحاسن : « بعضهنّ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جن » وحاشية « غ » : « بعضهم »</w:t>
      </w:r>
      <w:r w:rsidR="00E3253D">
        <w:rPr>
          <w:rtl/>
        </w:rPr>
        <w:t>.</w:t>
      </w:r>
      <w:r w:rsidR="00E3253D" w:rsidRPr="005D642E">
        <w:rPr>
          <w:rtl/>
        </w:rPr>
        <w:t xml:space="preserve"> وفي حاشية « بح » </w:t>
      </w:r>
      <w:r w:rsidR="000D749A" w:rsidRPr="000D749A">
        <w:rPr>
          <w:rStyle w:val="libFootnoteBoldChar"/>
          <w:rtl/>
        </w:rPr>
        <w:t>والمحاسن</w:t>
      </w:r>
      <w:r w:rsidR="00E3253D" w:rsidRPr="005D642E">
        <w:rPr>
          <w:rtl/>
        </w:rPr>
        <w:t xml:space="preserve"> : « بعضهنّ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جس » </w:t>
      </w:r>
      <w:r w:rsidR="000D749A" w:rsidRPr="000D749A">
        <w:rPr>
          <w:rStyle w:val="libFootnoteBoldChar"/>
          <w:rtl/>
        </w:rPr>
        <w:t>والمحاسن</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من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جس » وحاشية « ظ » والبحار : « مثل أبي »</w:t>
      </w:r>
      <w:r w:rsidR="00E3253D">
        <w:rPr>
          <w:rtl/>
        </w:rPr>
        <w:t>.</w:t>
      </w:r>
      <w:r w:rsidR="00E3253D" w:rsidRPr="005D642E">
        <w:rPr>
          <w:rtl/>
        </w:rPr>
        <w:t xml:space="preserve"> وفي « جن » : « كمثل أبي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المحاسن :</w:t>
      </w:r>
      <w:r w:rsidR="00E3253D">
        <w:rPr>
          <w:rtl/>
        </w:rPr>
        <w:t xml:space="preserve"> </w:t>
      </w:r>
      <w:r w:rsidR="007642BC">
        <w:rPr>
          <w:rtl/>
        </w:rPr>
        <w:t>-</w:t>
      </w:r>
      <w:r w:rsidR="00E3253D">
        <w:rPr>
          <w:rtl/>
        </w:rPr>
        <w:t xml:space="preserve"> </w:t>
      </w:r>
      <w:r w:rsidR="00E3253D" w:rsidRPr="005D642E">
        <w:rPr>
          <w:rtl/>
        </w:rPr>
        <w:t>« كأبي حنيفة وغيره من فقهائهم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هذَا شَيْ‌ءٌ قَدْ أَشْكَلَ </w:t>
      </w:r>
      <w:r w:rsidRPr="007C12DB">
        <w:rPr>
          <w:rStyle w:val="libFootnotenumChar"/>
          <w:rtl/>
        </w:rPr>
        <w:t>(1)</w:t>
      </w:r>
      <w:r w:rsidRPr="005D642E">
        <w:rPr>
          <w:rtl/>
          <w:lang w:bidi="fa-IR"/>
        </w:rPr>
        <w:t xml:space="preserve"> ، وَالصَّلَاةُ فَرِيضَةٌ وَاجِبَةٌ ، فَلْتَتَوَضَّأْ </w:t>
      </w:r>
      <w:r w:rsidRPr="007C12DB">
        <w:rPr>
          <w:rStyle w:val="libFootnotenumChar"/>
          <w:rtl/>
        </w:rPr>
        <w:t>(2)</w:t>
      </w:r>
      <w:r w:rsidRPr="005D642E">
        <w:rPr>
          <w:rtl/>
          <w:lang w:bidi="fa-IR"/>
        </w:rPr>
        <w:t xml:space="preserve"> وَلْتُصَلِّ ، وَلْيُمْسِكْ عَنْهَا زَوْجُهَا حَتّى تَرَى الْبَيَاضَ </w:t>
      </w:r>
      <w:r w:rsidRPr="007C12DB">
        <w:rPr>
          <w:rStyle w:val="libFootnotenumChar"/>
          <w:rtl/>
        </w:rPr>
        <w:t>(3)</w:t>
      </w:r>
      <w:r w:rsidRPr="005D642E">
        <w:rPr>
          <w:rtl/>
          <w:lang w:bidi="fa-IR"/>
        </w:rPr>
        <w:t xml:space="preserve"> ، فَإِنْ كَانَ دَمَ الْحَيْضِ ، لَمْ يَضُرَّهَا </w:t>
      </w:r>
      <w:r w:rsidRPr="007C12DB">
        <w:rPr>
          <w:rStyle w:val="libFootnotenumChar"/>
          <w:rtl/>
        </w:rPr>
        <w:t>(4)</w:t>
      </w:r>
      <w:r w:rsidRPr="005D642E">
        <w:rPr>
          <w:rtl/>
          <w:lang w:bidi="fa-IR"/>
        </w:rPr>
        <w:t xml:space="preserve"> الصَّلَاةُ ، وَإِنْ كَانَ دَمَ الْعُذْرَةِ ، كَانَتْ </w:t>
      </w:r>
      <w:r w:rsidRPr="007C12DB">
        <w:rPr>
          <w:rStyle w:val="libFootnotenumChar"/>
          <w:rtl/>
        </w:rPr>
        <w:t>(5)</w:t>
      </w:r>
      <w:r w:rsidRPr="005D642E">
        <w:rPr>
          <w:rtl/>
          <w:lang w:bidi="fa-IR"/>
        </w:rPr>
        <w:t xml:space="preserve"> قَدْ أَدَّتِ الْفَرِيضَةَ </w:t>
      </w:r>
      <w:r w:rsidRPr="007C12DB">
        <w:rPr>
          <w:rStyle w:val="libFootnotenumChar"/>
          <w:rtl/>
        </w:rPr>
        <w:t>(6)</w:t>
      </w:r>
      <w:r w:rsidRPr="005D642E">
        <w:rPr>
          <w:rtl/>
          <w:lang w:bidi="fa-IR"/>
        </w:rPr>
        <w:t xml:space="preserve"> ، فَفَعَلَتِ الْجَارِيَةُ ذلِكَ ، وَحَجَجْتُ </w:t>
      </w:r>
      <w:r w:rsidRPr="007C12DB">
        <w:rPr>
          <w:rStyle w:val="libFootnotenumChar"/>
          <w:rtl/>
        </w:rPr>
        <w:t>(7)</w:t>
      </w:r>
      <w:r w:rsidRPr="005D642E">
        <w:rPr>
          <w:rtl/>
          <w:lang w:bidi="fa-IR"/>
        </w:rPr>
        <w:t xml:space="preserve"> فِي تِلْكَ السَّنَةِ ، فَلَمَّا صِرْنَا بِمِنًى بَعَثْتُ إِلى أَبِي الْحَسَنِ مُوسَى بْنِ جَعْفَرٍ </w:t>
      </w:r>
      <w:r w:rsidRPr="007C12DB">
        <w:rPr>
          <w:rStyle w:val="libFootnotenumChar"/>
          <w:rtl/>
        </w:rPr>
        <w:t>(8)</w:t>
      </w:r>
      <w:r w:rsidRPr="005D642E">
        <w:rPr>
          <w:rtl/>
          <w:lang w:bidi="fa-IR"/>
        </w:rPr>
        <w:t xml:space="preserve"> </w:t>
      </w:r>
      <w:r w:rsidRPr="00AC51C5">
        <w:rPr>
          <w:rStyle w:val="libAlaemChar"/>
          <w:rtl/>
        </w:rPr>
        <w:t>عليهما‌السلام</w:t>
      </w:r>
      <w:r w:rsidRPr="005D642E">
        <w:rPr>
          <w:rtl/>
          <w:lang w:bidi="fa-IR"/>
        </w:rPr>
        <w:t xml:space="preserve"> ، فَقُلْتُ : جُعِلْتُ فِدَاكَ ، إِنَّ‌</w:t>
      </w:r>
      <w:r>
        <w:rPr>
          <w:rFonts w:hint="cs"/>
          <w:rtl/>
          <w:lang w:bidi="fa-IR"/>
        </w:rPr>
        <w:t xml:space="preserve"> </w:t>
      </w:r>
      <w:r w:rsidRPr="005D642E">
        <w:rPr>
          <w:rtl/>
          <w:lang w:bidi="fa-IR"/>
        </w:rPr>
        <w:t xml:space="preserve">لَنَا مَسْأَلَةً قَدْ ضِقْنَا بِهَا ذَرْعاً </w:t>
      </w:r>
      <w:r w:rsidRPr="007C12DB">
        <w:rPr>
          <w:rStyle w:val="libFootnotenumChar"/>
          <w:rtl/>
        </w:rPr>
        <w:t>(9)</w:t>
      </w:r>
      <w:r w:rsidRPr="005D642E">
        <w:rPr>
          <w:rtl/>
          <w:lang w:bidi="fa-IR"/>
        </w:rPr>
        <w:t xml:space="preserve"> ، فَإِنْ رَأَيْتَ أَنْ تَأْذَنَ لِي </w:t>
      </w:r>
      <w:r w:rsidRPr="007C12DB">
        <w:rPr>
          <w:rStyle w:val="libFootnotenumChar"/>
          <w:rtl/>
        </w:rPr>
        <w:t>(10)</w:t>
      </w:r>
      <w:r w:rsidRPr="005D642E">
        <w:rPr>
          <w:rtl/>
          <w:lang w:bidi="fa-IR"/>
        </w:rPr>
        <w:t xml:space="preserve"> ، فَآتِيَكَ وَأَسْأَلَكَ </w:t>
      </w:r>
      <w:r w:rsidRPr="007C12DB">
        <w:rPr>
          <w:rStyle w:val="libFootnotenumChar"/>
          <w:rtl/>
        </w:rPr>
        <w:t>(11)</w:t>
      </w:r>
      <w:r w:rsidRPr="005D642E">
        <w:rPr>
          <w:rtl/>
          <w:lang w:bidi="fa-IR"/>
        </w:rPr>
        <w:t xml:space="preserve"> عَنْهَا</w:t>
      </w:r>
      <w:r>
        <w:rPr>
          <w:rtl/>
          <w:lang w:bidi="fa-IR"/>
        </w:rPr>
        <w:t>؟</w:t>
      </w:r>
    </w:p>
    <w:p w:rsidR="00E3253D" w:rsidRPr="005D642E" w:rsidRDefault="00E3253D" w:rsidP="00E3253D">
      <w:pPr>
        <w:pStyle w:val="libNormal"/>
        <w:rPr>
          <w:rtl/>
          <w:lang w:bidi="fa-IR"/>
        </w:rPr>
      </w:pPr>
      <w:r w:rsidRPr="005D642E">
        <w:rPr>
          <w:rtl/>
          <w:lang w:bidi="fa-IR"/>
        </w:rPr>
        <w:t xml:space="preserve">فَبَعَثَ إِلَيَّ : « إِذَا هَدَأَتِ الرِّجْلُ </w:t>
      </w:r>
      <w:r w:rsidRPr="007C12DB">
        <w:rPr>
          <w:rStyle w:val="libFootnotenumChar"/>
          <w:rtl/>
        </w:rPr>
        <w:t>(12)</w:t>
      </w:r>
      <w:r w:rsidRPr="005D642E">
        <w:rPr>
          <w:rtl/>
          <w:lang w:bidi="fa-IR"/>
        </w:rPr>
        <w:t xml:space="preserve"> وَانْقَطَعَ الطَّرِيقُ ، فَأَقْبِلْ إِنْ شَاءَ اللهُ »</w:t>
      </w:r>
      <w:r>
        <w:rPr>
          <w:rtl/>
          <w:lang w:bidi="fa-IR"/>
        </w:rPr>
        <w:t>.</w:t>
      </w:r>
    </w:p>
    <w:p w:rsidR="00E3253D" w:rsidRPr="005D642E" w:rsidRDefault="00E3253D" w:rsidP="00E3253D">
      <w:pPr>
        <w:pStyle w:val="libNormal"/>
        <w:rPr>
          <w:rtl/>
          <w:lang w:bidi="fa-IR"/>
        </w:rPr>
      </w:pPr>
      <w:r w:rsidRPr="005D642E">
        <w:rPr>
          <w:rtl/>
          <w:lang w:bidi="fa-IR"/>
        </w:rPr>
        <w:t xml:space="preserve">قَالَ خَلَفٌ : فَرَعَيْتُ </w:t>
      </w:r>
      <w:r w:rsidRPr="007C12DB">
        <w:rPr>
          <w:rStyle w:val="libFootnotenumChar"/>
          <w:rtl/>
        </w:rPr>
        <w:t>(13)</w:t>
      </w:r>
      <w:r w:rsidRPr="005D642E">
        <w:rPr>
          <w:rtl/>
          <w:lang w:bidi="fa-IR"/>
        </w:rPr>
        <w:t xml:space="preserve"> اللَّيْلَ حَتّى </w:t>
      </w:r>
      <w:r w:rsidRPr="007C12DB">
        <w:rPr>
          <w:rStyle w:val="libFootnotenumChar"/>
          <w:rtl/>
        </w:rPr>
        <w:t>(14)</w:t>
      </w:r>
      <w:r w:rsidRPr="005D642E">
        <w:rPr>
          <w:rtl/>
          <w:lang w:bidi="fa-IR"/>
        </w:rPr>
        <w:t xml:space="preserve"> إِذَا رَأَيْتُ النَّاسَ قَدْ قَلَّ اخْتِلَافُهُمْ بِمِنًى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المحاسن : + « علينا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بح » : « فلتوضّأ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مشرق الشمسين</w:t>
      </w:r>
      <w:r w:rsidR="00E3253D" w:rsidRPr="005D642E">
        <w:rPr>
          <w:rtl/>
        </w:rPr>
        <w:t xml:space="preserve"> ، ص 261 : « يراد بالبياض الطهر »</w:t>
      </w:r>
      <w:r w:rsidR="00E3253D">
        <w:rPr>
          <w:rtl/>
        </w:rPr>
        <w:t>.</w:t>
      </w:r>
      <w:r w:rsidR="00E3253D" w:rsidRPr="005D642E">
        <w:rPr>
          <w:rtl/>
        </w:rPr>
        <w:t xml:space="preserve"> وكذا في </w:t>
      </w:r>
      <w:r w:rsidR="00E3253D" w:rsidRPr="002F4D34">
        <w:rPr>
          <w:rStyle w:val="libFootnoteBoldChar"/>
          <w:rtl/>
        </w:rPr>
        <w:t>الوافي</w:t>
      </w:r>
      <w:r w:rsidR="00E3253D" w:rsidRPr="005D642E">
        <w:rPr>
          <w:rtl/>
        </w:rPr>
        <w:t xml:space="preserve"> ، ج 6 ، ص 447 ؛ و</w:t>
      </w:r>
      <w:r w:rsidR="00E3253D" w:rsidRPr="002F4D34">
        <w:rPr>
          <w:rStyle w:val="libFootnoteBoldChar"/>
          <w:rtl/>
        </w:rPr>
        <w:t>مجمع البحرين</w:t>
      </w:r>
      <w:r w:rsidR="00E3253D" w:rsidRPr="005D642E">
        <w:rPr>
          <w:rtl/>
        </w:rPr>
        <w:t xml:space="preserve"> ، ج 4 ، ص 198 ( بيض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ى ، جس ، جن » </w:t>
      </w:r>
      <w:r w:rsidR="000D749A" w:rsidRPr="000D749A">
        <w:rPr>
          <w:rStyle w:val="libFootnoteBoldChar"/>
          <w:rtl/>
        </w:rPr>
        <w:t>والوافي</w:t>
      </w:r>
      <w:r w:rsidR="00E3253D" w:rsidRPr="005D642E">
        <w:rPr>
          <w:rtl/>
        </w:rPr>
        <w:t xml:space="preserve"> والبحار </w:t>
      </w:r>
      <w:r w:rsidR="000D749A" w:rsidRPr="000D749A">
        <w:rPr>
          <w:rStyle w:val="libFootnoteBoldChar"/>
          <w:rtl/>
        </w:rPr>
        <w:t>والمحاسن</w:t>
      </w:r>
      <w:r w:rsidR="00E3253D" w:rsidRPr="005D642E">
        <w:rPr>
          <w:rtl/>
        </w:rPr>
        <w:t xml:space="preserve"> : « لم تضرّها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جح » : « كان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والبحار </w:t>
      </w:r>
      <w:r w:rsidR="000D749A" w:rsidRPr="000D749A">
        <w:rPr>
          <w:rStyle w:val="libFootnoteBoldChar"/>
          <w:rtl/>
        </w:rPr>
        <w:t>والمحاسن</w:t>
      </w:r>
      <w:r w:rsidR="00E3253D" w:rsidRPr="005D642E">
        <w:rPr>
          <w:rtl/>
        </w:rPr>
        <w:t>. وفي المطبوع : « الفرض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بخ » وحاشية « ظ » : « وحجّت »</w:t>
      </w:r>
      <w:r w:rsidR="00E3253D">
        <w:rPr>
          <w:rtl/>
        </w:rPr>
        <w:t>.</w:t>
      </w:r>
      <w:r w:rsidR="00E3253D" w:rsidRPr="005D642E">
        <w:rPr>
          <w:rtl/>
        </w:rPr>
        <w:t xml:space="preserve"> وفي حاشية « بخ » : « فحججت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w:t>
      </w:r>
      <w:r w:rsidR="000D749A" w:rsidRPr="000D749A">
        <w:rPr>
          <w:rStyle w:val="libFootnoteBoldChar"/>
          <w:rtl/>
        </w:rPr>
        <w:t>والوافي</w:t>
      </w:r>
      <w:r w:rsidR="00E3253D" w:rsidRPr="005D642E">
        <w:rPr>
          <w:rtl/>
        </w:rPr>
        <w:t xml:space="preserve"> </w:t>
      </w:r>
      <w:r w:rsidR="000D749A" w:rsidRPr="000D749A">
        <w:rPr>
          <w:rStyle w:val="libFootnoteBoldChar"/>
          <w:rtl/>
        </w:rPr>
        <w:t>والمحاسن</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بن جعفر »</w:t>
      </w:r>
      <w:r w:rsidR="00E3253D">
        <w:rPr>
          <w:rtl/>
        </w:rPr>
        <w:t>.</w:t>
      </w:r>
    </w:p>
    <w:p w:rsidR="00E3253D" w:rsidRPr="005D642E" w:rsidRDefault="0042621E" w:rsidP="0096434E">
      <w:pPr>
        <w:pStyle w:val="libFootnote0"/>
        <w:rPr>
          <w:rtl/>
          <w:lang w:bidi="fa-IR"/>
        </w:rPr>
      </w:pPr>
      <w:r w:rsidRPr="0042621E">
        <w:rPr>
          <w:rStyle w:val="libFootnote0Char"/>
          <w:rtl/>
        </w:rPr>
        <w:t>(9).</w:t>
      </w:r>
      <w:r w:rsidR="00E3253D" w:rsidRPr="005D642E">
        <w:rPr>
          <w:rtl/>
        </w:rPr>
        <w:t xml:space="preserve"> يقال : ضقتُ بالأمر ذرعاً ، إذا لم تُطقه ولم تقو عليه ، ونصب « ذرعاً » لأنّه خرج مفسِّراً محوَّلاً ؛ لأنّه كان في الأصل : ضاق ذرعي به ، فلمّا حوّل الفعل خرج « ذرعاً » مفسّراً. وقال الجوهري : « أصل الذرع إنّما هو بسط اليد ، فكأنّك تريد : مددت يدي إليه فلم تنله ، وربّما قالوا : ضقت به ذراعاً »</w:t>
      </w:r>
      <w:r w:rsidR="00E3253D">
        <w:rPr>
          <w:rtl/>
        </w:rPr>
        <w:t>.</w:t>
      </w:r>
      <w:r w:rsidR="00E3253D" w:rsidRPr="005D642E">
        <w:rPr>
          <w:rtl/>
        </w:rPr>
        <w:t xml:space="preserve"> وقال ابن الأثير : « الذرع : الوسع والطاقة » ، ثمّ ذكر وجهاً آخر في معنى الجملة. راجع : </w:t>
      </w:r>
      <w:r w:rsidR="00E3253D" w:rsidRPr="002F4D34">
        <w:rPr>
          <w:rStyle w:val="libFootnoteBoldChar"/>
          <w:rtl/>
        </w:rPr>
        <w:t>الصحاح</w:t>
      </w:r>
      <w:r w:rsidR="00E3253D" w:rsidRPr="005D642E">
        <w:rPr>
          <w:rtl/>
        </w:rPr>
        <w:t xml:space="preserve"> ، ج 3 ، ص 1210 ؛ </w:t>
      </w:r>
      <w:r w:rsidR="00E3253D" w:rsidRPr="002F4D34">
        <w:rPr>
          <w:rStyle w:val="libFootnoteBoldChar"/>
          <w:rtl/>
        </w:rPr>
        <w:t>النهاية</w:t>
      </w:r>
      <w:r w:rsidR="00E3253D" w:rsidRPr="005D642E">
        <w:rPr>
          <w:rtl/>
        </w:rPr>
        <w:t xml:space="preserve"> ، ج 2 ، ص 158 ؛ </w:t>
      </w:r>
      <w:r w:rsidR="00E3253D" w:rsidRPr="002F4D34">
        <w:rPr>
          <w:rStyle w:val="libFootnoteBoldChar"/>
          <w:rtl/>
        </w:rPr>
        <w:t>لسان العرب</w:t>
      </w:r>
      <w:r w:rsidR="00E3253D" w:rsidRPr="005D642E">
        <w:rPr>
          <w:rtl/>
        </w:rPr>
        <w:t xml:space="preserve"> ، ج 8 ، ص 95 ( ذرع )</w:t>
      </w:r>
      <w:r w:rsidR="00E3253D">
        <w:rPr>
          <w:rtl/>
        </w:rPr>
        <w:t>.</w:t>
      </w:r>
      <w:r w:rsidR="0096434E">
        <w:rPr>
          <w:rFonts w:hint="cs"/>
          <w:rtl/>
        </w:rPr>
        <w:t xml:space="preserve">                              </w:t>
      </w:r>
      <w:r w:rsidRPr="0042621E">
        <w:rPr>
          <w:rStyle w:val="libFootnote0Char"/>
          <w:rtl/>
        </w:rPr>
        <w:t>(10).</w:t>
      </w:r>
      <w:r w:rsidR="00E3253D" w:rsidRPr="005D642E">
        <w:rPr>
          <w:rtl/>
        </w:rPr>
        <w:t xml:space="preserve"> في حاشية « بث » : « لنا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جح ، جس » والبحار </w:t>
      </w:r>
      <w:r w:rsidR="000D749A" w:rsidRPr="000D749A">
        <w:rPr>
          <w:rStyle w:val="libFootnoteBoldChar"/>
          <w:rtl/>
        </w:rPr>
        <w:t>والمحاسن</w:t>
      </w:r>
      <w:r w:rsidR="00E3253D" w:rsidRPr="005D642E">
        <w:rPr>
          <w:rtl/>
        </w:rPr>
        <w:t xml:space="preserve"> : « فأسألك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 هدأت الرجل » ، أي سكنت ، قال ابن الأثير : « الهَدْأة والهدوء : السكون عن الحركات ، أي بعد ما يسكن الناس عن المشي والاختلاف في الطرق »</w:t>
      </w:r>
      <w:r w:rsidR="00E3253D">
        <w:rPr>
          <w:rtl/>
        </w:rPr>
        <w:t>.</w:t>
      </w:r>
      <w:r w:rsidR="00E3253D" w:rsidRPr="005D642E">
        <w:rPr>
          <w:rtl/>
        </w:rPr>
        <w:t xml:space="preserve"> وقال الشيخ البهائي : « والمراد : إذا سكنت الأرجل عن التردّد وانقطع الاستطراق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5 ، ص 249 ( هدأ ) ؛ </w:t>
      </w:r>
      <w:r w:rsidR="00E3253D" w:rsidRPr="002F4D34">
        <w:rPr>
          <w:rStyle w:val="libFootnoteBoldChar"/>
          <w:rtl/>
        </w:rPr>
        <w:t>مشرق الشمسين</w:t>
      </w:r>
      <w:r w:rsidR="00E3253D" w:rsidRPr="005D642E">
        <w:rPr>
          <w:rtl/>
        </w:rPr>
        <w:t xml:space="preserve"> ، ص 261.</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هكذا في جميع النسخ التي قوبلت </w:t>
      </w:r>
      <w:r w:rsidR="000D749A" w:rsidRPr="0096434E">
        <w:rPr>
          <w:rtl/>
        </w:rPr>
        <w:t>والوافي</w:t>
      </w:r>
      <w:r w:rsidR="00E3253D" w:rsidRPr="005D642E">
        <w:rPr>
          <w:rtl/>
        </w:rPr>
        <w:t xml:space="preserve"> والبحار </w:t>
      </w:r>
      <w:r w:rsidR="000D749A" w:rsidRPr="0096434E">
        <w:rPr>
          <w:rStyle w:val="libFootnoteBoldChar"/>
          <w:rtl/>
        </w:rPr>
        <w:t>والمحاسن</w:t>
      </w:r>
      <w:r w:rsidR="00E3253D" w:rsidRPr="005D642E">
        <w:rPr>
          <w:rtl/>
        </w:rPr>
        <w:t>. وفي المطبوع : « فرأيت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جس » : « حين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تَوَجَّهْتُ إِلى مِضْرَبِهِ </w:t>
      </w:r>
      <w:r w:rsidRPr="007C12DB">
        <w:rPr>
          <w:rStyle w:val="libFootnotenumChar"/>
          <w:rtl/>
        </w:rPr>
        <w:t>(1)</w:t>
      </w:r>
      <w:r w:rsidRPr="005D642E">
        <w:rPr>
          <w:rtl/>
          <w:lang w:bidi="fa-IR"/>
        </w:rPr>
        <w:t xml:space="preserve"> ، فَلَمَّا كُنْتُ قَرِيباً إِذَا أَنَا </w:t>
      </w:r>
      <w:r w:rsidRPr="007C12DB">
        <w:rPr>
          <w:rStyle w:val="libFootnotenumChar"/>
          <w:rtl/>
        </w:rPr>
        <w:t>(2)</w:t>
      </w:r>
      <w:r w:rsidRPr="005D642E">
        <w:rPr>
          <w:rtl/>
          <w:lang w:bidi="fa-IR"/>
        </w:rPr>
        <w:t xml:space="preserve"> بِأَسْوَدَ قَاعِدٍ عَلَى الطَّرِيقِ ، فَقَالَ : مَنِ الرَّجُلُ</w:t>
      </w:r>
      <w:r>
        <w:rPr>
          <w:rtl/>
          <w:lang w:bidi="fa-IR"/>
        </w:rPr>
        <w:t>؟</w:t>
      </w:r>
      <w:r w:rsidRPr="005D642E">
        <w:rPr>
          <w:rtl/>
          <w:lang w:bidi="fa-IR"/>
        </w:rPr>
        <w:t xml:space="preserve"> فَقُلْتُ </w:t>
      </w:r>
      <w:r w:rsidRPr="007C12DB">
        <w:rPr>
          <w:rStyle w:val="libFootnotenumChar"/>
          <w:rtl/>
        </w:rPr>
        <w:t>(3)</w:t>
      </w:r>
      <w:r w:rsidRPr="005D642E">
        <w:rPr>
          <w:rtl/>
          <w:lang w:bidi="fa-IR"/>
        </w:rPr>
        <w:t xml:space="preserve"> : رَجُلٌ مِنَ الْحَاجِّ ، فَقَالَ : مَا اسْمُكَ</w:t>
      </w:r>
      <w:r>
        <w:rPr>
          <w:rtl/>
          <w:lang w:bidi="fa-IR"/>
        </w:rPr>
        <w:t>؟</w:t>
      </w:r>
      <w:r w:rsidRPr="005D642E">
        <w:rPr>
          <w:rtl/>
          <w:lang w:bidi="fa-IR"/>
        </w:rPr>
        <w:t xml:space="preserve"> قُلْتُ </w:t>
      </w:r>
      <w:r w:rsidRPr="007C12DB">
        <w:rPr>
          <w:rStyle w:val="libFootnotenumChar"/>
          <w:rtl/>
        </w:rPr>
        <w:t>(4)</w:t>
      </w:r>
      <w:r w:rsidRPr="005D642E">
        <w:rPr>
          <w:rtl/>
          <w:lang w:bidi="fa-IR"/>
        </w:rPr>
        <w:t xml:space="preserve"> : خَلَفُ بْنُ حَمَّادٍ ، قَالَ </w:t>
      </w:r>
      <w:r w:rsidRPr="007C12DB">
        <w:rPr>
          <w:rStyle w:val="libFootnotenumChar"/>
          <w:rtl/>
        </w:rPr>
        <w:t>(5)</w:t>
      </w:r>
      <w:r w:rsidRPr="005D642E">
        <w:rPr>
          <w:rtl/>
          <w:lang w:bidi="fa-IR"/>
        </w:rPr>
        <w:t xml:space="preserve"> :</w:t>
      </w:r>
      <w:r>
        <w:rPr>
          <w:rFonts w:hint="cs"/>
          <w:rtl/>
          <w:lang w:bidi="fa-IR"/>
        </w:rPr>
        <w:t xml:space="preserve"> </w:t>
      </w:r>
      <w:r w:rsidRPr="005D642E">
        <w:rPr>
          <w:rtl/>
          <w:lang w:bidi="fa-IR"/>
        </w:rPr>
        <w:t xml:space="preserve">ادْخُلْ بِغَيْرِ إِذْنٍ ، فَقَدْ أَمَرَنِي أَنْ أَقْعُدَ هَاهُنَا ، فَإِذَا </w:t>
      </w:r>
      <w:r w:rsidRPr="007C12DB">
        <w:rPr>
          <w:rStyle w:val="libFootnotenumChar"/>
          <w:rtl/>
        </w:rPr>
        <w:t>(6)</w:t>
      </w:r>
      <w:r w:rsidRPr="005D642E">
        <w:rPr>
          <w:rtl/>
          <w:lang w:bidi="fa-IR"/>
        </w:rPr>
        <w:t xml:space="preserve"> أَتَيْتَ أَذِنْتُ لَكَ ، فَدَخَلْتُ وَسَلَّمْتُ </w:t>
      </w:r>
      <w:r w:rsidRPr="007C12DB">
        <w:rPr>
          <w:rStyle w:val="libFootnotenumChar"/>
          <w:rtl/>
        </w:rPr>
        <w:t>(7)</w:t>
      </w:r>
      <w:r w:rsidRPr="005D642E">
        <w:rPr>
          <w:rtl/>
          <w:lang w:bidi="fa-IR"/>
        </w:rPr>
        <w:t xml:space="preserve"> ، فَرَدَّ </w:t>
      </w:r>
      <w:r w:rsidRPr="007C12DB">
        <w:rPr>
          <w:rStyle w:val="libFootnotenumChar"/>
          <w:rtl/>
        </w:rPr>
        <w:t>(8)</w:t>
      </w:r>
      <w:r w:rsidRPr="005D642E">
        <w:rPr>
          <w:rtl/>
          <w:lang w:bidi="fa-IR"/>
        </w:rPr>
        <w:t xml:space="preserve"> السَّلَامَ وَهُوَ جَالِسٌ عَلى فِرَاشِهِ وَحْدَهُ مَا فِي الْفُسْطَاطِ </w:t>
      </w:r>
      <w:r w:rsidRPr="007C12DB">
        <w:rPr>
          <w:rStyle w:val="libFootnotenumChar"/>
          <w:rtl/>
        </w:rPr>
        <w:t>(9)</w:t>
      </w:r>
      <w:r w:rsidRPr="005D642E">
        <w:rPr>
          <w:rtl/>
          <w:lang w:bidi="fa-IR"/>
        </w:rPr>
        <w:t xml:space="preserve"> غَيْرُهُ ، فَلَمَّا صِرْتُ بَيْنَ يَدَيْهِ ، سَأَلَنِي وَسَأَلْتُهُ عَنْ حَالِهِ </w:t>
      </w:r>
      <w:r w:rsidRPr="007C12DB">
        <w:rPr>
          <w:rStyle w:val="libFootnotenumChar"/>
          <w:rtl/>
        </w:rPr>
        <w:t>(10)</w:t>
      </w:r>
      <w:r w:rsidRPr="005D642E">
        <w:rPr>
          <w:rtl/>
          <w:lang w:bidi="fa-IR"/>
        </w:rPr>
        <w:t xml:space="preserve"> ، فَقُلْتُ لَهُ : إِنَّ رَجُلاً مِنْ مَوَالِيكَ تَزَوَّجَ جَارِيَةً مُعْصِراً لَمْ تَطْمَثْ ، فَلَمَّا اقْتَضَّهَا </w:t>
      </w:r>
      <w:r w:rsidRPr="007C12DB">
        <w:rPr>
          <w:rStyle w:val="libFootnotenumChar"/>
          <w:rtl/>
        </w:rPr>
        <w:t>(11)</w:t>
      </w:r>
      <w:r w:rsidRPr="005D642E">
        <w:rPr>
          <w:rtl/>
          <w:lang w:bidi="fa-IR"/>
        </w:rPr>
        <w:t xml:space="preserve"> ، سَالَ الدَّمُ ، فَمَكَثَ سَائِلاً لَايَنْقَطِعُ </w:t>
      </w:r>
      <w:r w:rsidRPr="007C12DB">
        <w:rPr>
          <w:rStyle w:val="libFootnotenumChar"/>
          <w:rtl/>
        </w:rPr>
        <w:t>(12)</w:t>
      </w:r>
      <w:r w:rsidRPr="005D642E">
        <w:rPr>
          <w:rtl/>
          <w:lang w:bidi="fa-IR"/>
        </w:rPr>
        <w:t xml:space="preserve"> نَحْواً مِنْ عَشَرَةِ أَيَّامٍ </w:t>
      </w:r>
      <w:r w:rsidRPr="007C12DB">
        <w:rPr>
          <w:rStyle w:val="libFootnotenumChar"/>
          <w:rtl/>
        </w:rPr>
        <w:t>(13)</w:t>
      </w:r>
      <w:r w:rsidRPr="005D642E">
        <w:rPr>
          <w:rtl/>
          <w:lang w:bidi="fa-IR"/>
        </w:rPr>
        <w:t xml:space="preserve"> ،</w:t>
      </w:r>
      <w:r>
        <w:rPr>
          <w:rFonts w:hint="cs"/>
          <w:rtl/>
          <w:lang w:bidi="fa-IR"/>
        </w:rPr>
        <w:t xml:space="preserve"> </w:t>
      </w:r>
      <w:r w:rsidRPr="005D642E">
        <w:rPr>
          <w:rtl/>
          <w:lang w:bidi="fa-IR"/>
        </w:rPr>
        <w:t xml:space="preserve">وَإِنَّ الْقَوَابِلَ اخْتَلَفْنَ فِي ذلِكَ ، فَقَالَ بَعْضُهُنَّ : دَمُ الْحَيْضِ </w:t>
      </w:r>
      <w:r w:rsidRPr="007C12DB">
        <w:rPr>
          <w:rStyle w:val="libFootnotenumChar"/>
          <w:rtl/>
        </w:rPr>
        <w:t>(</w:t>
      </w:r>
      <w:r w:rsidRPr="007C12DB">
        <w:rPr>
          <w:rStyle w:val="libFootnotenumChar"/>
          <w:rFonts w:hint="cs"/>
          <w:rtl/>
        </w:rPr>
        <w:t>14</w:t>
      </w:r>
      <w:r w:rsidRPr="007C12DB">
        <w:rPr>
          <w:rStyle w:val="libFootnotenumChar"/>
          <w:rtl/>
        </w:rPr>
        <w:t>)</w:t>
      </w:r>
      <w:r w:rsidRPr="005D642E">
        <w:rPr>
          <w:rtl/>
          <w:lang w:bidi="fa-IR"/>
        </w:rPr>
        <w:t xml:space="preserve"> ، وَقَالَ بَعْضُهُنَّ : دَمُ الْعُذْرَةِ ، فَمَا يَنْبَغِي لَهَا أَنْ تَصْنَعَ</w:t>
      </w:r>
      <w:r>
        <w:rPr>
          <w:rtl/>
          <w:lang w:bidi="fa-IR"/>
        </w:rPr>
        <w:t>؟</w:t>
      </w:r>
    </w:p>
    <w:p w:rsidR="00E3253D" w:rsidRPr="005D642E" w:rsidRDefault="00E3253D" w:rsidP="00E3253D">
      <w:pPr>
        <w:pStyle w:val="libNormal"/>
        <w:rPr>
          <w:rtl/>
          <w:lang w:bidi="fa-IR"/>
        </w:rPr>
      </w:pPr>
      <w:r w:rsidRPr="005D642E">
        <w:rPr>
          <w:rtl/>
          <w:lang w:bidi="fa-IR"/>
        </w:rPr>
        <w:t xml:space="preserve">قَالَ : « فَلْتَتَّقِ </w:t>
      </w:r>
      <w:r w:rsidRPr="007C12DB">
        <w:rPr>
          <w:rStyle w:val="libFootnotenumChar"/>
          <w:rtl/>
        </w:rPr>
        <w:t>(</w:t>
      </w:r>
      <w:r w:rsidRPr="007C12DB">
        <w:rPr>
          <w:rStyle w:val="libFootnotenumChar"/>
          <w:rFonts w:hint="cs"/>
          <w:rtl/>
        </w:rPr>
        <w:t>15</w:t>
      </w:r>
      <w:r w:rsidRPr="007C12DB">
        <w:rPr>
          <w:rStyle w:val="libFootnotenumChar"/>
          <w:rtl/>
        </w:rPr>
        <w:t>)</w:t>
      </w:r>
      <w:r w:rsidRPr="005D642E">
        <w:rPr>
          <w:rtl/>
          <w:lang w:bidi="fa-IR"/>
        </w:rPr>
        <w:t xml:space="preserve"> اللهَ ، فَإِنْ كَانَ مِنْ دَمِ الْحَيْضِ </w:t>
      </w:r>
      <w:r w:rsidRPr="007C12DB">
        <w:rPr>
          <w:rStyle w:val="libFootnotenumChar"/>
          <w:rtl/>
        </w:rPr>
        <w:t>(</w:t>
      </w:r>
      <w:r w:rsidRPr="007C12DB">
        <w:rPr>
          <w:rStyle w:val="libFootnotenumChar"/>
          <w:rFonts w:hint="cs"/>
          <w:rtl/>
        </w:rPr>
        <w:t>16</w:t>
      </w:r>
      <w:r w:rsidRPr="007C12DB">
        <w:rPr>
          <w:rStyle w:val="libFootnotenumChar"/>
          <w:rtl/>
        </w:rPr>
        <w:t>)</w:t>
      </w:r>
      <w:r w:rsidRPr="005D642E">
        <w:rPr>
          <w:rtl/>
          <w:lang w:bidi="fa-IR"/>
        </w:rPr>
        <w:t xml:space="preserve"> ، فَلْتُمْسِكْ عَنِ الصَّلَاةِ حَتّى تَرَى الطُّهْرَ ، وَلْيُمْسِكْ عَنْهَا بَعْلُهَا ؛ وَإِنْ كَانَ مِنَ الْعُذْرَةِ فَلْتَتَّقِ </w:t>
      </w:r>
      <w:r w:rsidRPr="007C12DB">
        <w:rPr>
          <w:rStyle w:val="libFootnotenumChar"/>
          <w:rtl/>
        </w:rPr>
        <w:t>(</w:t>
      </w:r>
      <w:r w:rsidRPr="007C12DB">
        <w:rPr>
          <w:rStyle w:val="libFootnotenumChar"/>
          <w:rFonts w:hint="cs"/>
          <w:rtl/>
        </w:rPr>
        <w:t>17</w:t>
      </w:r>
      <w:r w:rsidRPr="007C12DB">
        <w:rPr>
          <w:rStyle w:val="libFootnotenumChar"/>
          <w:rtl/>
        </w:rPr>
        <w:t>)</w:t>
      </w:r>
      <w:r w:rsidRPr="005D642E">
        <w:rPr>
          <w:rtl/>
          <w:lang w:bidi="fa-IR"/>
        </w:rPr>
        <w:t xml:space="preserve"> اللهَ ، وَلْتَتَوَضَّأْ </w:t>
      </w:r>
      <w:r w:rsidRPr="007C12DB">
        <w:rPr>
          <w:rStyle w:val="libFootnotenumChar"/>
          <w:rtl/>
        </w:rPr>
        <w:t>(</w:t>
      </w:r>
      <w:r w:rsidRPr="007C12DB">
        <w:rPr>
          <w:rStyle w:val="libFootnotenumChar"/>
          <w:rFonts w:hint="cs"/>
          <w:rtl/>
        </w:rPr>
        <w:t>18</w:t>
      </w:r>
      <w:r w:rsidRPr="007C12DB">
        <w:rPr>
          <w:rStyle w:val="libFootnotenumChar"/>
          <w:rtl/>
        </w:rPr>
        <w:t>)</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المِضْرب » بكسر الميم : فسطاط الملك ، وقيل : الفسطاط العظيم. راجع : </w:t>
      </w:r>
      <w:r w:rsidR="00E3253D" w:rsidRPr="002F4D34">
        <w:rPr>
          <w:rStyle w:val="libFootnoteBoldChar"/>
          <w:rtl/>
        </w:rPr>
        <w:t>لسان العرب</w:t>
      </w:r>
      <w:r w:rsidR="00E3253D" w:rsidRPr="005D642E">
        <w:rPr>
          <w:rtl/>
        </w:rPr>
        <w:t xml:space="preserve"> ، ج 1 ، ص 551 ؛ </w:t>
      </w:r>
      <w:r w:rsidR="00E3253D" w:rsidRPr="002F4D34">
        <w:rPr>
          <w:rStyle w:val="libFootnoteBoldChar"/>
          <w:rtl/>
        </w:rPr>
        <w:t>القاموس المحيط</w:t>
      </w:r>
      <w:r w:rsidR="00E3253D" w:rsidRPr="005D642E">
        <w:rPr>
          <w:rtl/>
        </w:rPr>
        <w:t xml:space="preserve"> ، ج 1 ، ص 191 ( ضرب )</w:t>
      </w:r>
      <w:r w:rsidR="00E3253D">
        <w:rPr>
          <w:rtl/>
        </w:rPr>
        <w:t>.</w:t>
      </w:r>
      <w:r w:rsidR="00591486">
        <w:rPr>
          <w:rFonts w:hint="cs"/>
          <w:rtl/>
          <w:lang w:bidi="fa-IR"/>
        </w:rPr>
        <w:t xml:space="preserve">       </w:t>
      </w:r>
      <w:r w:rsidR="00306FB7">
        <w:rPr>
          <w:rFonts w:hint="cs"/>
          <w:rtl/>
          <w:lang w:bidi="fa-IR"/>
        </w:rPr>
        <w:t xml:space="preserve"> </w:t>
      </w:r>
      <w:r w:rsidRPr="0042621E">
        <w:rPr>
          <w:rStyle w:val="libFootnote0Char"/>
          <w:rtl/>
        </w:rPr>
        <w:t>(2).</w:t>
      </w:r>
      <w:r w:rsidR="00E3253D" w:rsidRPr="005D642E">
        <w:rPr>
          <w:rtl/>
        </w:rPr>
        <w:t xml:space="preserve"> في « ى ، بث » :</w:t>
      </w:r>
      <w:r w:rsidR="00E3253D">
        <w:rPr>
          <w:rtl/>
        </w:rPr>
        <w:t xml:space="preserve"> </w:t>
      </w:r>
      <w:r w:rsidR="007642BC">
        <w:rPr>
          <w:rtl/>
        </w:rPr>
        <w:t>-</w:t>
      </w:r>
      <w:r w:rsidR="00E3253D">
        <w:rPr>
          <w:rtl/>
        </w:rPr>
        <w:t xml:space="preserve"> </w:t>
      </w:r>
      <w:r w:rsidR="00E3253D" w:rsidRPr="005D642E">
        <w:rPr>
          <w:rtl/>
        </w:rPr>
        <w:t>« أنا »</w:t>
      </w:r>
      <w:r w:rsidR="00E3253D">
        <w:rPr>
          <w:rtl/>
        </w:rPr>
        <w:t>.</w:t>
      </w:r>
    </w:p>
    <w:tbl>
      <w:tblPr>
        <w:tblStyle w:val="TableGrid"/>
        <w:bidiVisual/>
        <w:tblW w:w="0" w:type="auto"/>
        <w:tblLook w:val="04A0" w:firstRow="1" w:lastRow="0" w:firstColumn="1" w:lastColumn="0" w:noHBand="0" w:noVBand="1"/>
      </w:tblPr>
      <w:tblGrid>
        <w:gridCol w:w="4006"/>
        <w:gridCol w:w="4006"/>
      </w:tblGrid>
      <w:tr w:rsidR="00986B7B" w:rsidTr="00986B7B">
        <w:tc>
          <w:tcPr>
            <w:tcW w:w="4006" w:type="dxa"/>
          </w:tcPr>
          <w:p w:rsidR="00986B7B" w:rsidRDefault="00986B7B" w:rsidP="00E3253D">
            <w:pPr>
              <w:pStyle w:val="libFootnote0"/>
              <w:rPr>
                <w:rStyle w:val="libFootnote0Char"/>
                <w:rtl/>
              </w:rPr>
            </w:pPr>
            <w:r w:rsidRPr="0042621E">
              <w:rPr>
                <w:rStyle w:val="libFootnote0Char"/>
                <w:rtl/>
              </w:rPr>
              <w:t>(3).</w:t>
            </w:r>
            <w:r w:rsidRPr="005D642E">
              <w:rPr>
                <w:rtl/>
              </w:rPr>
              <w:t xml:space="preserve"> في « ظ » : </w:t>
            </w:r>
            <w:r>
              <w:rPr>
                <w:rtl/>
              </w:rPr>
              <w:t>« قلت »</w:t>
            </w:r>
            <w:r w:rsidRPr="005D642E">
              <w:rPr>
                <w:rtl/>
              </w:rPr>
              <w:t>.</w:t>
            </w:r>
          </w:p>
        </w:tc>
        <w:tc>
          <w:tcPr>
            <w:tcW w:w="4006" w:type="dxa"/>
          </w:tcPr>
          <w:p w:rsidR="00986B7B" w:rsidRDefault="00986B7B" w:rsidP="00E3253D">
            <w:pPr>
              <w:pStyle w:val="libFootnote0"/>
              <w:rPr>
                <w:rStyle w:val="libFootnote0Char"/>
                <w:rtl/>
              </w:rPr>
            </w:pPr>
            <w:r w:rsidRPr="0042621E">
              <w:rPr>
                <w:rStyle w:val="libFootnote0Char"/>
                <w:rtl/>
              </w:rPr>
              <w:t>(4).</w:t>
            </w:r>
            <w:r w:rsidRPr="005D642E">
              <w:rPr>
                <w:rtl/>
              </w:rPr>
              <w:t xml:space="preserve"> في « بث ، بخ ، جح ، جن » : « فقلت »</w:t>
            </w:r>
            <w:r>
              <w:rPr>
                <w:rtl/>
              </w:rPr>
              <w:t>.</w:t>
            </w:r>
          </w:p>
        </w:tc>
      </w:tr>
      <w:tr w:rsidR="00986B7B" w:rsidTr="00986B7B">
        <w:tc>
          <w:tcPr>
            <w:tcW w:w="4006" w:type="dxa"/>
          </w:tcPr>
          <w:p w:rsidR="00986B7B" w:rsidRDefault="00986B7B" w:rsidP="00E3253D">
            <w:pPr>
              <w:pStyle w:val="libFootnote0"/>
              <w:rPr>
                <w:rStyle w:val="libFootnote0Char"/>
                <w:rtl/>
              </w:rPr>
            </w:pPr>
            <w:r w:rsidRPr="0042621E">
              <w:rPr>
                <w:rStyle w:val="libFootnote0Char"/>
                <w:rtl/>
              </w:rPr>
              <w:t>(5).</w:t>
            </w:r>
            <w:r>
              <w:rPr>
                <w:rtl/>
              </w:rPr>
              <w:t xml:space="preserve"> في « جح » والبحار : « فقال »</w:t>
            </w:r>
            <w:r w:rsidRPr="005D642E">
              <w:rPr>
                <w:rtl/>
              </w:rPr>
              <w:t>.</w:t>
            </w:r>
          </w:p>
        </w:tc>
        <w:tc>
          <w:tcPr>
            <w:tcW w:w="4006" w:type="dxa"/>
          </w:tcPr>
          <w:p w:rsidR="00986B7B" w:rsidRDefault="00986B7B" w:rsidP="00E3253D">
            <w:pPr>
              <w:pStyle w:val="libFootnote0"/>
              <w:rPr>
                <w:rStyle w:val="libFootnote0Char"/>
                <w:rtl/>
              </w:rPr>
            </w:pPr>
            <w:r w:rsidRPr="0042621E">
              <w:rPr>
                <w:rStyle w:val="libFootnote0Char"/>
                <w:rtl/>
              </w:rPr>
              <w:t>(6).</w:t>
            </w:r>
            <w:r w:rsidRPr="005D642E">
              <w:rPr>
                <w:rtl/>
              </w:rPr>
              <w:t xml:space="preserve"> في « بث » </w:t>
            </w:r>
            <w:r w:rsidRPr="000D749A">
              <w:rPr>
                <w:rStyle w:val="libFootnoteBoldChar"/>
                <w:rtl/>
              </w:rPr>
              <w:t>والوافي</w:t>
            </w:r>
            <w:r w:rsidRPr="005D642E">
              <w:rPr>
                <w:rtl/>
              </w:rPr>
              <w:t xml:space="preserve"> : « وإذا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ى ، بث ، بخ ، بس ، بف ، جح ، جس » وحاشية « بح » </w:t>
      </w:r>
      <w:r w:rsidR="000D749A" w:rsidRPr="004A7AC0">
        <w:rPr>
          <w:rtl/>
        </w:rPr>
        <w:t>والوافي</w:t>
      </w:r>
      <w:r w:rsidR="00E3253D">
        <w:rPr>
          <w:rtl/>
        </w:rPr>
        <w:t xml:space="preserve"> والبحار </w:t>
      </w:r>
      <w:r w:rsidR="000D749A" w:rsidRPr="000D749A">
        <w:rPr>
          <w:rStyle w:val="libFootnoteBoldChar"/>
          <w:rtl/>
        </w:rPr>
        <w:t>والمحاسن</w:t>
      </w:r>
      <w:r w:rsidR="00E3253D">
        <w:rPr>
          <w:rtl/>
        </w:rPr>
        <w:t xml:space="preserve"> : « فسلّمت »</w:t>
      </w:r>
      <w:r w:rsidR="00E3253D" w:rsidRPr="005D642E">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البحار </w:t>
      </w:r>
      <w:r w:rsidR="000D749A" w:rsidRPr="000D749A">
        <w:rPr>
          <w:rStyle w:val="libFootnoteBoldChar"/>
          <w:rtl/>
        </w:rPr>
        <w:t>والمحاسن</w:t>
      </w:r>
      <w:r w:rsidR="00E3253D" w:rsidRPr="005D642E">
        <w:rPr>
          <w:rtl/>
        </w:rPr>
        <w:t xml:space="preserve"> : + « عليّ »</w:t>
      </w:r>
      <w:r w:rsidR="00E3253D">
        <w:rPr>
          <w:rtl/>
        </w:rPr>
        <w:t>.</w:t>
      </w:r>
    </w:p>
    <w:p w:rsidR="00E3253D" w:rsidRPr="005D642E" w:rsidRDefault="0042621E" w:rsidP="00AA7372">
      <w:pPr>
        <w:pStyle w:val="libFootnote0"/>
        <w:rPr>
          <w:rtl/>
          <w:lang w:bidi="fa-IR"/>
        </w:rPr>
      </w:pPr>
      <w:r w:rsidRPr="0042621E">
        <w:rPr>
          <w:rStyle w:val="libFootnote0Char"/>
          <w:rtl/>
        </w:rPr>
        <w:t>(9).</w:t>
      </w:r>
      <w:r w:rsidR="00E3253D" w:rsidRPr="005D642E">
        <w:rPr>
          <w:rtl/>
        </w:rPr>
        <w:t xml:space="preserve"> «</w:t>
      </w:r>
      <w:r w:rsidR="00AA7372">
        <w:rPr>
          <w:rtl/>
        </w:rPr>
        <w:t>الفُسْطاط</w:t>
      </w:r>
      <w:r w:rsidR="00E3253D" w:rsidRPr="005D642E">
        <w:rPr>
          <w:rtl/>
        </w:rPr>
        <w:t xml:space="preserve">»: بيت من شعر. وقيل : الخيمة العظيمة. وقيل : هو ضرب من الأبنية. وفيه ثلاث لغات : فُسْطاط وفُسْتاط وفُسّاط ، وكسر الفاء فيهنّ لغة. راجع : </w:t>
      </w:r>
      <w:r w:rsidR="00E3253D" w:rsidRPr="002F4D34">
        <w:rPr>
          <w:rStyle w:val="libFootnoteBoldChar"/>
          <w:rtl/>
        </w:rPr>
        <w:t>الصحاح</w:t>
      </w:r>
      <w:r w:rsidR="00E3253D" w:rsidRPr="005D642E">
        <w:rPr>
          <w:rtl/>
        </w:rPr>
        <w:t xml:space="preserve"> ، ج 3 ، ص 1150 ؛ </w:t>
      </w:r>
      <w:r w:rsidR="00E3253D" w:rsidRPr="002F4D34">
        <w:rPr>
          <w:rStyle w:val="libFootnoteBoldChar"/>
          <w:rtl/>
        </w:rPr>
        <w:t>المغرب</w:t>
      </w:r>
      <w:r w:rsidR="00E3253D" w:rsidRPr="005D642E">
        <w:rPr>
          <w:rtl/>
        </w:rPr>
        <w:t xml:space="preserve"> ، ص 360 ( فسط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المحاسن : « عن حالي » بدل « وسألته عن حاله »</w:t>
      </w:r>
      <w:r w:rsidR="00E3253D">
        <w:rPr>
          <w:rtl/>
        </w:rPr>
        <w:t>.</w:t>
      </w:r>
    </w:p>
    <w:p w:rsidR="00E3253D" w:rsidRPr="005D642E" w:rsidRDefault="0042621E" w:rsidP="00AA7372">
      <w:pPr>
        <w:pStyle w:val="libFootnote0"/>
        <w:rPr>
          <w:rtl/>
          <w:lang w:bidi="fa-IR"/>
        </w:rPr>
      </w:pPr>
      <w:r w:rsidRPr="0042621E">
        <w:rPr>
          <w:rStyle w:val="libFootnote0Char"/>
          <w:rtl/>
        </w:rPr>
        <w:t>(11).</w:t>
      </w:r>
      <w:r w:rsidR="00E3253D" w:rsidRPr="005D642E">
        <w:rPr>
          <w:rtl/>
        </w:rPr>
        <w:t xml:space="preserve"> في«بس»:« افتضّها »</w:t>
      </w:r>
      <w:r w:rsidR="00E3253D">
        <w:rPr>
          <w:rtl/>
        </w:rPr>
        <w:t>.</w:t>
      </w:r>
      <w:r w:rsidR="00E3253D" w:rsidRPr="005D642E">
        <w:rPr>
          <w:rtl/>
        </w:rPr>
        <w:t xml:space="preserve"> وفي « جس » وحاشية « بث » : « فافترعها »</w:t>
      </w:r>
      <w:r w:rsidR="00E3253D">
        <w:rPr>
          <w:rtl/>
        </w:rPr>
        <w:t>.</w:t>
      </w:r>
      <w:r w:rsidR="00E3253D" w:rsidRPr="005D642E">
        <w:rPr>
          <w:rtl/>
        </w:rPr>
        <w:t xml:space="preserve"> وفي البحار : « افتضّها فافترعها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جس » : « فغلب سائلاً » بدل « فمكث سائلاً لاينقطع »</w:t>
      </w:r>
      <w:r w:rsidR="00E3253D">
        <w:rPr>
          <w:rtl/>
        </w:rPr>
        <w:t>.</w:t>
      </w:r>
    </w:p>
    <w:p w:rsidR="00E3253D" w:rsidRPr="005D642E" w:rsidRDefault="0042621E" w:rsidP="004B7ADD">
      <w:pPr>
        <w:pStyle w:val="libFootnote0"/>
        <w:rPr>
          <w:rtl/>
          <w:lang w:bidi="fa-IR"/>
        </w:rPr>
      </w:pPr>
      <w:r w:rsidRPr="0042621E">
        <w:rPr>
          <w:rStyle w:val="libFootnote0Char"/>
          <w:rtl/>
        </w:rPr>
        <w:t>(13).</w:t>
      </w:r>
      <w:r w:rsidR="00E3253D">
        <w:rPr>
          <w:rtl/>
        </w:rPr>
        <w:t xml:space="preserve"> </w:t>
      </w:r>
      <w:r w:rsidR="00E3253D" w:rsidRPr="005D642E">
        <w:rPr>
          <w:rtl/>
        </w:rPr>
        <w:t>في المحاسن : « فافترعها زوجها فغلب الدم سائلاً نحواً من عشرة أيّام لم ينقطع » بدل « فلمّا اقتضّها</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عشرة أيّام »</w:t>
      </w:r>
      <w:r w:rsidR="00E3253D">
        <w:rPr>
          <w:rtl/>
        </w:rPr>
        <w:t>.</w:t>
      </w:r>
      <w:r w:rsidR="004B7ADD">
        <w:rPr>
          <w:rFonts w:hint="cs"/>
          <w:rtl/>
        </w:rPr>
        <w:t xml:space="preserve">                                     </w:t>
      </w:r>
      <w:r w:rsidR="00591486">
        <w:rPr>
          <w:rFonts w:hint="cs"/>
          <w:rtl/>
        </w:rPr>
        <w:t xml:space="preserve">    </w:t>
      </w:r>
      <w:r w:rsidR="00B50E02">
        <w:rPr>
          <w:rFonts w:hint="cs"/>
          <w:rtl/>
        </w:rPr>
        <w:t xml:space="preserve">     </w:t>
      </w:r>
      <w:r w:rsidRPr="0042621E">
        <w:rPr>
          <w:rStyle w:val="libFootnote0Char"/>
          <w:rtl/>
        </w:rPr>
        <w:t>(14).</w:t>
      </w:r>
      <w:r w:rsidR="00E3253D">
        <w:rPr>
          <w:rtl/>
        </w:rPr>
        <w:t xml:space="preserve"> </w:t>
      </w:r>
      <w:r w:rsidR="00E3253D" w:rsidRPr="005D642E">
        <w:rPr>
          <w:rtl/>
        </w:rPr>
        <w:t>في « بس » : « دم حيض »</w:t>
      </w:r>
      <w:r w:rsidR="00E3253D">
        <w:rPr>
          <w:rtl/>
        </w:rPr>
        <w:t>.</w:t>
      </w:r>
    </w:p>
    <w:tbl>
      <w:tblPr>
        <w:tblStyle w:val="TableGrid"/>
        <w:bidiVisual/>
        <w:tblW w:w="0" w:type="auto"/>
        <w:tblLook w:val="04A0" w:firstRow="1" w:lastRow="0" w:firstColumn="1" w:lastColumn="0" w:noHBand="0" w:noVBand="1"/>
      </w:tblPr>
      <w:tblGrid>
        <w:gridCol w:w="4006"/>
        <w:gridCol w:w="4006"/>
      </w:tblGrid>
      <w:tr w:rsidR="00707CF3" w:rsidTr="00707CF3">
        <w:tc>
          <w:tcPr>
            <w:tcW w:w="4006" w:type="dxa"/>
          </w:tcPr>
          <w:p w:rsidR="00707CF3" w:rsidRDefault="00707CF3" w:rsidP="00E3253D">
            <w:pPr>
              <w:pStyle w:val="libFootnote0"/>
              <w:rPr>
                <w:rStyle w:val="libFootnote0Char"/>
                <w:rtl/>
              </w:rPr>
            </w:pPr>
            <w:r w:rsidRPr="0042621E">
              <w:rPr>
                <w:rStyle w:val="libFootnote0Char"/>
                <w:rtl/>
              </w:rPr>
              <w:t>(15).</w:t>
            </w:r>
            <w:r w:rsidRPr="005D642E">
              <w:rPr>
                <w:rtl/>
              </w:rPr>
              <w:t xml:space="preserve"> في « بخ ، جح » : « فليتّق »</w:t>
            </w:r>
            <w:r>
              <w:rPr>
                <w:rtl/>
              </w:rPr>
              <w:t>.</w:t>
            </w:r>
          </w:p>
        </w:tc>
        <w:tc>
          <w:tcPr>
            <w:tcW w:w="4006" w:type="dxa"/>
          </w:tcPr>
          <w:p w:rsidR="00707CF3" w:rsidRDefault="00707CF3" w:rsidP="002F5646">
            <w:pPr>
              <w:pStyle w:val="libFootnote0"/>
              <w:rPr>
                <w:rStyle w:val="libFootnote0Char"/>
                <w:rtl/>
              </w:rPr>
            </w:pPr>
            <w:r>
              <w:rPr>
                <w:rtl/>
              </w:rPr>
              <w:t>(</w:t>
            </w:r>
            <w:r>
              <w:rPr>
                <w:rFonts w:hint="cs"/>
                <w:rtl/>
              </w:rPr>
              <w:t>16</w:t>
            </w:r>
            <w:r>
              <w:rPr>
                <w:rtl/>
              </w:rPr>
              <w:t>)</w:t>
            </w:r>
            <w:r w:rsidRPr="005D642E">
              <w:rPr>
                <w:rtl/>
              </w:rPr>
              <w:t xml:space="preserve"> في«ظ»:</w:t>
            </w:r>
            <w:r>
              <w:rPr>
                <w:rtl/>
              </w:rPr>
              <w:t>-</w:t>
            </w:r>
            <w:r w:rsidRPr="005D642E">
              <w:rPr>
                <w:rtl/>
              </w:rPr>
              <w:t>«</w:t>
            </w:r>
            <w:r w:rsidR="002F5646">
              <w:rPr>
                <w:rtl/>
              </w:rPr>
              <w:t>من</w:t>
            </w:r>
            <w:r w:rsidRPr="005D642E">
              <w:rPr>
                <w:rtl/>
              </w:rPr>
              <w:t>»</w:t>
            </w:r>
            <w:r>
              <w:rPr>
                <w:rtl/>
              </w:rPr>
              <w:t>.</w:t>
            </w:r>
            <w:r w:rsidRPr="005D642E">
              <w:rPr>
                <w:rtl/>
              </w:rPr>
              <w:t>وفي المحاسن:</w:t>
            </w:r>
            <w:r>
              <w:rPr>
                <w:rtl/>
              </w:rPr>
              <w:t>-</w:t>
            </w:r>
            <w:r w:rsidRPr="005D642E">
              <w:rPr>
                <w:rtl/>
              </w:rPr>
              <w:t>«دم»</w:t>
            </w:r>
            <w:r>
              <w:rPr>
                <w:rtl/>
              </w:rPr>
              <w:t>.</w:t>
            </w:r>
          </w:p>
        </w:tc>
      </w:tr>
    </w:tbl>
    <w:p w:rsidR="00E3253D" w:rsidRPr="005D642E" w:rsidRDefault="00E3253D" w:rsidP="00E3253D">
      <w:pPr>
        <w:pStyle w:val="libFootnote0"/>
        <w:rPr>
          <w:rtl/>
          <w:lang w:bidi="fa-IR"/>
        </w:rPr>
      </w:pPr>
      <w:r>
        <w:rPr>
          <w:rtl/>
        </w:rPr>
        <w:t>(</w:t>
      </w:r>
      <w:r>
        <w:rPr>
          <w:rFonts w:hint="cs"/>
          <w:rtl/>
        </w:rPr>
        <w:t>17</w:t>
      </w:r>
      <w:r>
        <w:rPr>
          <w:rtl/>
        </w:rPr>
        <w:t>)</w:t>
      </w:r>
      <w:r w:rsidRPr="005D642E">
        <w:rPr>
          <w:rtl/>
        </w:rPr>
        <w:t xml:space="preserve"> في « بح ، بخ ، جح ، جس » : « فليتّق »</w:t>
      </w:r>
      <w:r>
        <w:rPr>
          <w:rtl/>
        </w:rPr>
        <w:t>.</w:t>
      </w:r>
    </w:p>
    <w:p w:rsidR="00E3253D" w:rsidRDefault="00E3253D" w:rsidP="00E3253D">
      <w:pPr>
        <w:pStyle w:val="libFootnote0"/>
        <w:rPr>
          <w:rtl/>
        </w:rPr>
      </w:pPr>
      <w:r>
        <w:rPr>
          <w:rtl/>
        </w:rPr>
        <w:t>(</w:t>
      </w:r>
      <w:r>
        <w:rPr>
          <w:rFonts w:hint="cs"/>
          <w:rtl/>
        </w:rPr>
        <w:t>18</w:t>
      </w:r>
      <w:r>
        <w:rPr>
          <w:rtl/>
        </w:rPr>
        <w:t>)</w:t>
      </w:r>
      <w:r w:rsidRPr="005D642E">
        <w:rPr>
          <w:rtl/>
        </w:rPr>
        <w:t xml:space="preserve"> في « ظ ، جن » : « وتتوض »</w:t>
      </w:r>
      <w:r>
        <w:rPr>
          <w:rtl/>
        </w:rPr>
        <w:t>.</w:t>
      </w:r>
      <w:r w:rsidRPr="005D642E">
        <w:rPr>
          <w:rtl/>
        </w:rPr>
        <w:t xml:space="preserve"> وفي « غ ، ى ، بح ، بخ ، بس ، بف ، جح » : « ولتوضّ »</w:t>
      </w:r>
      <w:r>
        <w:rPr>
          <w:rtl/>
        </w:rPr>
        <w:t>.</w:t>
      </w:r>
      <w:r w:rsidRPr="005D642E">
        <w:rPr>
          <w:rtl/>
        </w:rPr>
        <w:t xml:space="preserve"> </w:t>
      </w:r>
      <w:r w:rsidR="00A077F2" w:rsidRPr="005D642E">
        <w:rPr>
          <w:rtl/>
        </w:rPr>
        <w:t>وفي « بث » : « ولتتوضّ »</w:t>
      </w:r>
      <w:r w:rsidR="00A077F2">
        <w:rPr>
          <w:rtl/>
        </w:rPr>
        <w:t>.</w:t>
      </w:r>
      <w:r w:rsidR="00A077F2">
        <w:rPr>
          <w:rFonts w:hint="cs"/>
          <w:rtl/>
        </w:rPr>
        <w:t xml:space="preserve"> =</w:t>
      </w:r>
    </w:p>
    <w:p w:rsidR="00E3253D" w:rsidRDefault="00E3253D" w:rsidP="00E3253D">
      <w:pPr>
        <w:pStyle w:val="libNormal"/>
        <w:rPr>
          <w:rtl/>
          <w:lang w:bidi="fa-IR"/>
        </w:rPr>
      </w:pPr>
      <w:r>
        <w:rPr>
          <w:rtl/>
          <w:lang w:bidi="fa-IR"/>
        </w:rPr>
        <w:br w:type="page"/>
      </w:r>
    </w:p>
    <w:p w:rsidR="00E3253D" w:rsidRPr="005D642E" w:rsidRDefault="00E3253D" w:rsidP="00D9767D">
      <w:pPr>
        <w:pStyle w:val="libNormal0"/>
        <w:rPr>
          <w:rtl/>
          <w:lang w:bidi="fa-IR"/>
        </w:rPr>
      </w:pPr>
      <w:r w:rsidRPr="005D642E">
        <w:rPr>
          <w:rtl/>
          <w:lang w:bidi="fa-IR"/>
        </w:rPr>
        <w:lastRenderedPageBreak/>
        <w:t xml:space="preserve">وَلْتُصَلِّ ، وَيَأْتِيهَا </w:t>
      </w:r>
      <w:r w:rsidRPr="007C12DB">
        <w:rPr>
          <w:rStyle w:val="libFootnotenumChar"/>
          <w:rtl/>
        </w:rPr>
        <w:t>(</w:t>
      </w:r>
      <w:r w:rsidR="00D9767D">
        <w:rPr>
          <w:rStyle w:val="libFootnotenumChar"/>
          <w:rFonts w:hint="cs"/>
          <w:rtl/>
        </w:rPr>
        <w:t>1</w:t>
      </w:r>
      <w:r w:rsidRPr="007C12DB">
        <w:rPr>
          <w:rStyle w:val="libFootnotenumChar"/>
          <w:rtl/>
        </w:rPr>
        <w:t>)</w:t>
      </w:r>
      <w:r w:rsidRPr="005D642E">
        <w:rPr>
          <w:rtl/>
          <w:lang w:bidi="fa-IR"/>
        </w:rPr>
        <w:t xml:space="preserve"> بَعْلُهَا إِنْ أَحَبَّ ذلِكَ »</w:t>
      </w:r>
      <w:r>
        <w:rPr>
          <w:rtl/>
          <w:lang w:bidi="fa-IR"/>
        </w:rPr>
        <w:t>.</w:t>
      </w:r>
    </w:p>
    <w:p w:rsidR="00E3253D" w:rsidRPr="005D642E" w:rsidRDefault="00E3253D" w:rsidP="00F15CDF">
      <w:pPr>
        <w:pStyle w:val="libNormal"/>
        <w:rPr>
          <w:rtl/>
          <w:lang w:bidi="fa-IR"/>
        </w:rPr>
      </w:pPr>
      <w:r w:rsidRPr="005D642E">
        <w:rPr>
          <w:rtl/>
          <w:lang w:bidi="fa-IR"/>
        </w:rPr>
        <w:t xml:space="preserve">فَقُلْتُ لَهُ </w:t>
      </w:r>
      <w:r w:rsidRPr="007C12DB">
        <w:rPr>
          <w:rStyle w:val="libFootnotenumChar"/>
          <w:rtl/>
        </w:rPr>
        <w:t>(</w:t>
      </w:r>
      <w:r w:rsidR="00D9767D">
        <w:rPr>
          <w:rStyle w:val="libFootnotenumChar"/>
          <w:rFonts w:hint="cs"/>
          <w:rtl/>
        </w:rPr>
        <w:t>2</w:t>
      </w:r>
      <w:r w:rsidRPr="007C12DB">
        <w:rPr>
          <w:rStyle w:val="libFootnotenumChar"/>
          <w:rtl/>
        </w:rPr>
        <w:t>)</w:t>
      </w:r>
      <w:r w:rsidRPr="005D642E">
        <w:rPr>
          <w:rtl/>
          <w:lang w:bidi="fa-IR"/>
        </w:rPr>
        <w:t xml:space="preserve"> : وَكَيْفَ لَهُمْ أَنْ يَعْلَمُوا مِمَّا هُوَ </w:t>
      </w:r>
      <w:r w:rsidRPr="007C12DB">
        <w:rPr>
          <w:rStyle w:val="libFootnotenumChar"/>
          <w:rtl/>
        </w:rPr>
        <w:t>(</w:t>
      </w:r>
      <w:r w:rsidR="00F15CDF">
        <w:rPr>
          <w:rStyle w:val="libFootnotenumChar"/>
          <w:rFonts w:hint="cs"/>
          <w:rtl/>
        </w:rPr>
        <w:t>3</w:t>
      </w:r>
      <w:r w:rsidRPr="007C12DB">
        <w:rPr>
          <w:rStyle w:val="libFootnotenumChar"/>
          <w:rtl/>
        </w:rPr>
        <w:t>)</w:t>
      </w:r>
      <w:r w:rsidRPr="005D642E">
        <w:rPr>
          <w:rtl/>
          <w:lang w:bidi="fa-IR"/>
        </w:rPr>
        <w:t xml:space="preserve"> حَتّى يَفْعَلُوا مَا يَنْبَغِي</w:t>
      </w:r>
      <w:r>
        <w:rPr>
          <w:rtl/>
          <w:lang w:bidi="fa-IR"/>
        </w:rPr>
        <w:t>؟</w:t>
      </w:r>
    </w:p>
    <w:p w:rsidR="00E3253D" w:rsidRPr="005D642E" w:rsidRDefault="00E3253D" w:rsidP="00FA42CA">
      <w:pPr>
        <w:pStyle w:val="libNormal"/>
        <w:rPr>
          <w:rtl/>
          <w:lang w:bidi="fa-IR"/>
        </w:rPr>
      </w:pPr>
      <w:r w:rsidRPr="005D642E">
        <w:rPr>
          <w:rtl/>
          <w:lang w:bidi="fa-IR"/>
        </w:rPr>
        <w:t xml:space="preserve">قَالَ : فَالْتَفَتَ يَمِيناً وَشِمَالاً فِي الْفُسْطَاطِ مَخَافَةَ أَنْ يَسْمَعَ كَلَامَهُ أَحَدٌ ، قَالَ : ثُمَّ نَهَدَ </w:t>
      </w:r>
      <w:r w:rsidRPr="007C12DB">
        <w:rPr>
          <w:rStyle w:val="libFootnotenumChar"/>
          <w:rtl/>
        </w:rPr>
        <w:t>(</w:t>
      </w:r>
      <w:r w:rsidR="00F15CDF">
        <w:rPr>
          <w:rStyle w:val="libFootnotenumChar"/>
          <w:rFonts w:hint="cs"/>
          <w:rtl/>
        </w:rPr>
        <w:t>4</w:t>
      </w:r>
      <w:r w:rsidRPr="007C12DB">
        <w:rPr>
          <w:rStyle w:val="libFootnotenumChar"/>
          <w:rtl/>
        </w:rPr>
        <w:t>)</w:t>
      </w:r>
      <w:r w:rsidRPr="005D642E">
        <w:rPr>
          <w:rtl/>
          <w:lang w:bidi="fa-IR"/>
        </w:rPr>
        <w:t xml:space="preserve"> إِلَيَّ ، فَقَالَ : « يَا خَلَفُ ، سِرَّ اللهِ ، سِرَّ اللهِ </w:t>
      </w:r>
      <w:r w:rsidRPr="007C12DB">
        <w:rPr>
          <w:rStyle w:val="libFootnotenumChar"/>
          <w:rtl/>
        </w:rPr>
        <w:t>(</w:t>
      </w:r>
      <w:r w:rsidR="00F15CDF">
        <w:rPr>
          <w:rStyle w:val="libFootnotenumChar"/>
          <w:rFonts w:hint="cs"/>
          <w:rtl/>
        </w:rPr>
        <w:t>5</w:t>
      </w:r>
      <w:r w:rsidRPr="007C12DB">
        <w:rPr>
          <w:rStyle w:val="libFootnotenumChar"/>
          <w:rtl/>
        </w:rPr>
        <w:t>)</w:t>
      </w:r>
      <w:r w:rsidRPr="005D642E">
        <w:rPr>
          <w:rtl/>
          <w:lang w:bidi="fa-IR"/>
        </w:rPr>
        <w:t xml:space="preserve"> ، فَلَا تُذِيعُوهُ ، وَلَاتُعَلِّمُوا هذَا الْخَلْقَ أُصُولَ دِينِ اللهِ ، بَلِ ارْضَوْا </w:t>
      </w:r>
      <w:r w:rsidRPr="007C12DB">
        <w:rPr>
          <w:rStyle w:val="libFootnotenumChar"/>
          <w:rtl/>
        </w:rPr>
        <w:t>(</w:t>
      </w:r>
      <w:r w:rsidR="00FA42CA">
        <w:rPr>
          <w:rStyle w:val="libFootnotenumChar"/>
          <w:rFonts w:hint="cs"/>
          <w:rtl/>
        </w:rPr>
        <w:t>6</w:t>
      </w:r>
      <w:r w:rsidRPr="007C12DB">
        <w:rPr>
          <w:rStyle w:val="libFootnotenumChar"/>
          <w:rtl/>
        </w:rPr>
        <w:t>)</w:t>
      </w:r>
      <w:r w:rsidRPr="005D642E">
        <w:rPr>
          <w:rtl/>
          <w:lang w:bidi="fa-IR"/>
        </w:rPr>
        <w:t xml:space="preserve"> لَهُمْ مَا </w:t>
      </w:r>
      <w:r w:rsidRPr="007C12DB">
        <w:rPr>
          <w:rStyle w:val="libFootnotenumChar"/>
          <w:rtl/>
        </w:rPr>
        <w:t>(</w:t>
      </w:r>
      <w:r w:rsidR="00FA42CA">
        <w:rPr>
          <w:rStyle w:val="libFootnotenumChar"/>
          <w:rFonts w:hint="cs"/>
          <w:rtl/>
        </w:rPr>
        <w:t>7</w:t>
      </w:r>
      <w:r w:rsidRPr="007C12DB">
        <w:rPr>
          <w:rStyle w:val="libFootnotenumChar"/>
          <w:rtl/>
        </w:rPr>
        <w:t>)</w:t>
      </w:r>
      <w:r w:rsidRPr="005D642E">
        <w:rPr>
          <w:rtl/>
          <w:lang w:bidi="fa-IR"/>
        </w:rPr>
        <w:t xml:space="preserve"> رَضِيَ اللهُ لَهُمْ مِنْ ضَلَالٍ </w:t>
      </w:r>
      <w:r w:rsidRPr="007C12DB">
        <w:rPr>
          <w:rStyle w:val="libFootnotenumChar"/>
          <w:rtl/>
        </w:rPr>
        <w:t>(</w:t>
      </w:r>
      <w:r w:rsidR="00FA42CA">
        <w:rPr>
          <w:rStyle w:val="libFootnotenumChar"/>
          <w:rFonts w:hint="cs"/>
          <w:rtl/>
        </w:rPr>
        <w:t>8</w:t>
      </w:r>
      <w:r w:rsidRPr="007C12DB">
        <w:rPr>
          <w:rStyle w:val="libFootnotenumChar"/>
          <w:rtl/>
        </w:rPr>
        <w:t>)</w:t>
      </w:r>
      <w:r w:rsidRPr="005D642E">
        <w:rPr>
          <w:rtl/>
          <w:lang w:bidi="fa-IR"/>
        </w:rPr>
        <w:t xml:space="preserve"> »</w:t>
      </w:r>
      <w:r>
        <w:rPr>
          <w:rtl/>
          <w:lang w:bidi="fa-IR"/>
        </w:rPr>
        <w:t>.</w:t>
      </w:r>
    </w:p>
    <w:p w:rsidR="00E3253D" w:rsidRPr="005D642E" w:rsidRDefault="00E3253D" w:rsidP="00780B3D">
      <w:pPr>
        <w:pStyle w:val="libNormal"/>
        <w:rPr>
          <w:rtl/>
          <w:lang w:bidi="fa-IR"/>
        </w:rPr>
      </w:pPr>
      <w:r w:rsidRPr="005D642E">
        <w:rPr>
          <w:rtl/>
          <w:lang w:bidi="fa-IR"/>
        </w:rPr>
        <w:t xml:space="preserve">قَالَ : ثُمَّ عَقَدَ بِيَدِهِ الْيُسْرى تِسْعِينَ </w:t>
      </w:r>
      <w:r w:rsidRPr="007C12DB">
        <w:rPr>
          <w:rStyle w:val="libFootnotenumChar"/>
          <w:rtl/>
        </w:rPr>
        <w:t>(</w:t>
      </w:r>
      <w:r w:rsidR="00FA42CA">
        <w:rPr>
          <w:rStyle w:val="libFootnotenumChar"/>
          <w:rFonts w:hint="cs"/>
          <w:rtl/>
        </w:rPr>
        <w:t>9</w:t>
      </w:r>
      <w:r w:rsidRPr="007C12DB">
        <w:rPr>
          <w:rStyle w:val="libFootnotenumChar"/>
          <w:rtl/>
        </w:rPr>
        <w:t>)</w:t>
      </w:r>
      <w:r w:rsidRPr="005D642E">
        <w:rPr>
          <w:rtl/>
          <w:lang w:bidi="fa-IR"/>
        </w:rPr>
        <w:t xml:space="preserve"> ، ثُمَّ قَالَ : « تَسْتَدْخِلُ الْقُطْنَةَ </w:t>
      </w:r>
      <w:r w:rsidRPr="007C12DB">
        <w:rPr>
          <w:rStyle w:val="libFootnotenumChar"/>
          <w:rtl/>
        </w:rPr>
        <w:t>(</w:t>
      </w:r>
      <w:r w:rsidR="00780B3D">
        <w:rPr>
          <w:rStyle w:val="libFootnotenumChar"/>
          <w:rFonts w:hint="cs"/>
          <w:rtl/>
        </w:rPr>
        <w:t>10</w:t>
      </w:r>
      <w:r w:rsidRPr="007C12DB">
        <w:rPr>
          <w:rStyle w:val="libFootnotenumChar"/>
          <w:rtl/>
        </w:rPr>
        <w:t>)</w:t>
      </w:r>
      <w:r w:rsidRPr="005D642E">
        <w:rPr>
          <w:rtl/>
          <w:lang w:bidi="fa-IR"/>
        </w:rPr>
        <w:t xml:space="preserve"> ، ثُمَّ تَدَعُهَا‌</w:t>
      </w:r>
    </w:p>
    <w:p w:rsidR="00E3253D" w:rsidRPr="005D642E" w:rsidRDefault="00E3253D" w:rsidP="00E3253D">
      <w:pPr>
        <w:pStyle w:val="libLine"/>
        <w:rPr>
          <w:rtl/>
          <w:lang w:bidi="fa-IR"/>
        </w:rPr>
      </w:pPr>
      <w:r w:rsidRPr="005D642E">
        <w:rPr>
          <w:rtl/>
          <w:lang w:bidi="fa-IR"/>
        </w:rPr>
        <w:t>__________________</w:t>
      </w:r>
    </w:p>
    <w:p w:rsidR="00E3253D" w:rsidRPr="005D642E" w:rsidRDefault="00C62B2D" w:rsidP="00E3253D">
      <w:pPr>
        <w:pStyle w:val="libFootnote0"/>
        <w:rPr>
          <w:rtl/>
          <w:lang w:bidi="fa-IR"/>
        </w:rPr>
      </w:pPr>
      <w:r>
        <w:rPr>
          <w:rFonts w:hint="cs"/>
          <w:rtl/>
        </w:rPr>
        <w:t xml:space="preserve">= </w:t>
      </w:r>
      <w:r w:rsidR="00E3253D" w:rsidRPr="005D642E">
        <w:rPr>
          <w:rtl/>
        </w:rPr>
        <w:t>وفي الوافي : « ولتوضّأ »</w:t>
      </w:r>
      <w:r w:rsidR="00E3253D">
        <w:rPr>
          <w:rtl/>
        </w:rPr>
        <w:t>.</w:t>
      </w:r>
      <w:r w:rsidR="00E3253D" w:rsidRPr="005D642E">
        <w:rPr>
          <w:rtl/>
        </w:rPr>
        <w:t xml:space="preserve"> وما أثبتناه مطابق للمطبوع والوسائل والبحار </w:t>
      </w:r>
      <w:r w:rsidR="000D749A" w:rsidRPr="000D749A">
        <w:rPr>
          <w:rStyle w:val="libFootnoteBoldChar"/>
          <w:rtl/>
        </w:rPr>
        <w:t>والمحاسن</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D078C7">
        <w:rPr>
          <w:rStyle w:val="libFootnoteAlaemChar"/>
          <w:rtl/>
        </w:rPr>
        <w:t>عليه‌السلام</w:t>
      </w:r>
      <w:r w:rsidR="00E3253D" w:rsidRPr="005D642E">
        <w:rPr>
          <w:rtl/>
        </w:rPr>
        <w:t xml:space="preserve"> : ولتتوضّأ ، أي للأحداث الا</w:t>
      </w:r>
      <w:r w:rsidR="00D078C7">
        <w:rPr>
          <w:rFonts w:hint="cs"/>
          <w:rtl/>
        </w:rPr>
        <w:t>ُ</w:t>
      </w:r>
      <w:r w:rsidR="00E3253D" w:rsidRPr="005D642E">
        <w:rPr>
          <w:rtl/>
        </w:rPr>
        <w:t>خر ، أو المراد غسل الفرج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بث » : « وليأتيها »</w:t>
      </w:r>
      <w:r w:rsidR="00E3253D">
        <w:rPr>
          <w:rtl/>
        </w:rPr>
        <w:t>.</w:t>
      </w:r>
      <w:r w:rsidR="00E3253D" w:rsidRPr="005D642E">
        <w:rPr>
          <w:rtl/>
        </w:rPr>
        <w:t xml:space="preserve"> وفي المحاسن : « وليأتها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w:t>
      </w:r>
      <w:r w:rsidR="000D749A" w:rsidRPr="005311AD">
        <w:rPr>
          <w:rtl/>
        </w:rPr>
        <w:t>والوافي</w:t>
      </w:r>
      <w:r w:rsidR="00E3253D" w:rsidRPr="005D642E">
        <w:rPr>
          <w:rtl/>
        </w:rPr>
        <w:t xml:space="preserve"> </w:t>
      </w:r>
      <w:r w:rsidR="000D749A" w:rsidRPr="000D749A">
        <w:rPr>
          <w:rStyle w:val="libFootnoteBoldChar"/>
          <w:rtl/>
        </w:rPr>
        <w:t>والمحاسن</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له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والبحار : « ممّا هي »</w:t>
      </w:r>
      <w:r w:rsidR="00E3253D">
        <w:rPr>
          <w:rtl/>
        </w:rPr>
        <w:t>.</w:t>
      </w:r>
      <w:r w:rsidR="00E3253D" w:rsidRPr="005D642E">
        <w:rPr>
          <w:rtl/>
        </w:rPr>
        <w:t xml:space="preserve"> وفي الوسائل : « ما هو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المحاسن : « ثمّ نفذ »</w:t>
      </w:r>
      <w:r w:rsidR="00E3253D">
        <w:rPr>
          <w:rtl/>
        </w:rPr>
        <w:t>.</w:t>
      </w:r>
      <w:r w:rsidR="00E3253D" w:rsidRPr="005D642E">
        <w:rPr>
          <w:rtl/>
        </w:rPr>
        <w:t xml:space="preserve"> وقوله : « نهد إليّ » ، أي قام ونهض وتقدّم. وقيل : نهد ، أي شخص. راجع : </w:t>
      </w:r>
      <w:r w:rsidR="00E3253D" w:rsidRPr="002F4D34">
        <w:rPr>
          <w:rStyle w:val="libFootnoteBoldChar"/>
          <w:rtl/>
        </w:rPr>
        <w:t>لسان</w:t>
      </w:r>
      <w:r w:rsidR="00F57770">
        <w:rPr>
          <w:rStyle w:val="libFootnoteBoldChar"/>
          <w:rFonts w:hint="cs"/>
          <w:rtl/>
        </w:rPr>
        <w:t xml:space="preserve"> </w:t>
      </w:r>
      <w:r w:rsidR="00E3253D" w:rsidRPr="002F4D34">
        <w:rPr>
          <w:rStyle w:val="libFootnoteBoldChar"/>
          <w:rtl/>
        </w:rPr>
        <w:t>‌العرب</w:t>
      </w:r>
      <w:r w:rsidR="00E3253D" w:rsidRPr="005D642E">
        <w:rPr>
          <w:rtl/>
        </w:rPr>
        <w:t xml:space="preserve"> ، ج 3 ، ص 429 ؛ </w:t>
      </w:r>
      <w:r w:rsidR="00E3253D" w:rsidRPr="002F4D34">
        <w:rPr>
          <w:rStyle w:val="libFootnoteBoldChar"/>
          <w:rtl/>
        </w:rPr>
        <w:t>المصباح المنير</w:t>
      </w:r>
      <w:r w:rsidR="00E3253D" w:rsidRPr="005D642E">
        <w:rPr>
          <w:rtl/>
        </w:rPr>
        <w:t xml:space="preserve"> ، ص 627 ( نهد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البحار :</w:t>
      </w:r>
      <w:r w:rsidR="00E3253D">
        <w:rPr>
          <w:rtl/>
        </w:rPr>
        <w:t xml:space="preserve"> </w:t>
      </w:r>
      <w:r w:rsidR="007642BC">
        <w:rPr>
          <w:rtl/>
        </w:rPr>
        <w:t>-</w:t>
      </w:r>
      <w:r w:rsidR="00E3253D">
        <w:rPr>
          <w:rtl/>
        </w:rPr>
        <w:t xml:space="preserve"> </w:t>
      </w:r>
      <w:r w:rsidR="00E3253D" w:rsidRPr="005D642E">
        <w:rPr>
          <w:rtl/>
        </w:rPr>
        <w:t>« سرّ الله »</w:t>
      </w:r>
      <w:r w:rsidR="00E3253D">
        <w:rPr>
          <w:rtl/>
        </w:rPr>
        <w:t>.</w:t>
      </w:r>
      <w:r w:rsidR="00E3253D" w:rsidRPr="005D642E">
        <w:rPr>
          <w:rtl/>
        </w:rPr>
        <w:t xml:space="preserve"> وفي المحاسن : + « سرّ الله »</w:t>
      </w:r>
      <w:r w:rsidR="00E3253D">
        <w:rPr>
          <w:rtl/>
        </w:rPr>
        <w:t>.</w:t>
      </w:r>
    </w:p>
    <w:tbl>
      <w:tblPr>
        <w:tblStyle w:val="TableGrid"/>
        <w:bidiVisual/>
        <w:tblW w:w="0" w:type="auto"/>
        <w:tblLook w:val="04A0" w:firstRow="1" w:lastRow="0" w:firstColumn="1" w:lastColumn="0" w:noHBand="0" w:noVBand="1"/>
      </w:tblPr>
      <w:tblGrid>
        <w:gridCol w:w="4006"/>
        <w:gridCol w:w="4006"/>
      </w:tblGrid>
      <w:tr w:rsidR="00F57770" w:rsidTr="00F57770">
        <w:tc>
          <w:tcPr>
            <w:tcW w:w="4006" w:type="dxa"/>
          </w:tcPr>
          <w:p w:rsidR="00F57770" w:rsidRDefault="00F57770" w:rsidP="00E3253D">
            <w:pPr>
              <w:pStyle w:val="libFootnote0"/>
              <w:rPr>
                <w:rStyle w:val="libFootnote0Char"/>
                <w:rtl/>
              </w:rPr>
            </w:pPr>
            <w:r w:rsidRPr="0042621E">
              <w:rPr>
                <w:rStyle w:val="libFootnote0Char"/>
                <w:rtl/>
              </w:rPr>
              <w:t>(6).</w:t>
            </w:r>
            <w:r w:rsidRPr="005D642E">
              <w:rPr>
                <w:rtl/>
              </w:rPr>
              <w:t xml:space="preserve"> في الوافي : « بل رضوا »</w:t>
            </w:r>
            <w:r>
              <w:rPr>
                <w:rtl/>
              </w:rPr>
              <w:t>.</w:t>
            </w:r>
          </w:p>
        </w:tc>
        <w:tc>
          <w:tcPr>
            <w:tcW w:w="4006" w:type="dxa"/>
          </w:tcPr>
          <w:p w:rsidR="00F57770" w:rsidRDefault="00F57770" w:rsidP="00E3253D">
            <w:pPr>
              <w:pStyle w:val="libFootnote0"/>
              <w:rPr>
                <w:rStyle w:val="libFootnote0Char"/>
                <w:rtl/>
              </w:rPr>
            </w:pPr>
            <w:r w:rsidRPr="0042621E">
              <w:rPr>
                <w:rStyle w:val="libFootnote0Char"/>
                <w:rtl/>
              </w:rPr>
              <w:t>(7).</w:t>
            </w:r>
            <w:r w:rsidRPr="005D642E">
              <w:rPr>
                <w:rtl/>
              </w:rPr>
              <w:t xml:space="preserve"> في المحاسن : « بما »</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قوله </w:t>
      </w:r>
      <w:r w:rsidR="00E3253D" w:rsidRPr="001C61BA">
        <w:rPr>
          <w:rStyle w:val="libFootnoteAlaemChar"/>
          <w:rtl/>
        </w:rPr>
        <w:t>عليه‌السلام</w:t>
      </w:r>
      <w:r w:rsidR="00E3253D" w:rsidRPr="005D642E">
        <w:rPr>
          <w:rtl/>
        </w:rPr>
        <w:t xml:space="preserve"> : « ارضوا لهم ما رضي الله لهم » ، أي أقرّوهم على ما أقرّ الله عليه وليس المراد حقيقة الرضا ؛ فإنّ الله لايرضى لعباده الكفر والضلال ، تعالى الله عن ذلك. راجع : </w:t>
      </w:r>
      <w:r w:rsidR="00E3253D" w:rsidRPr="002F4D34">
        <w:rPr>
          <w:rStyle w:val="libFootnoteBoldChar"/>
          <w:rtl/>
        </w:rPr>
        <w:t>مشرق الشمسين</w:t>
      </w:r>
      <w:r w:rsidR="00E3253D" w:rsidRPr="005D642E">
        <w:rPr>
          <w:rtl/>
        </w:rPr>
        <w:t xml:space="preserve"> ، ص 262 ؛ </w:t>
      </w:r>
      <w:r w:rsidR="00E3253D" w:rsidRPr="002F4D34">
        <w:rPr>
          <w:rStyle w:val="libFootnoteBoldChar"/>
          <w:rtl/>
        </w:rPr>
        <w:t>الوافي</w:t>
      </w:r>
      <w:r w:rsidR="00E3253D" w:rsidRPr="005D642E">
        <w:rPr>
          <w:rtl/>
        </w:rPr>
        <w:t xml:space="preserve"> ، ج 6 ، ص 447.</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قال ابن الأثير : « عقد التسعين من مواضعات الحُسّاب ، وهو أن يجعل رأس الإصبع السبّابة في أصل الإبهام‌وتضمّها حتّى لا يبين بينهما إل</w:t>
      </w:r>
      <w:r w:rsidR="005E04B7">
        <w:rPr>
          <w:rFonts w:hint="cs"/>
          <w:rtl/>
        </w:rPr>
        <w:t>ّ</w:t>
      </w:r>
      <w:r w:rsidR="00E3253D" w:rsidRPr="005D642E">
        <w:rPr>
          <w:rtl/>
        </w:rPr>
        <w:t>اخلل يسير »</w:t>
      </w:r>
      <w:r w:rsidR="00E3253D">
        <w:rPr>
          <w:rtl/>
        </w:rPr>
        <w:t>.</w:t>
      </w:r>
      <w:r w:rsidR="00E3253D" w:rsidRPr="005D642E">
        <w:rPr>
          <w:rtl/>
        </w:rPr>
        <w:t xml:space="preserve"> وقا</w:t>
      </w:r>
      <w:r w:rsidR="00E3253D">
        <w:rPr>
          <w:rtl/>
        </w:rPr>
        <w:t xml:space="preserve">ل </w:t>
      </w:r>
      <w:r w:rsidR="00E3253D" w:rsidRPr="005D642E">
        <w:rPr>
          <w:rtl/>
        </w:rPr>
        <w:t xml:space="preserve">الشيخ البهائيّ : « قول الراوي : وعقد بيده تسعين ، أراد به أنّه </w:t>
      </w:r>
      <w:r w:rsidR="00E3253D" w:rsidRPr="001C61BA">
        <w:rPr>
          <w:rStyle w:val="libFootnoteAlaemChar"/>
          <w:rtl/>
        </w:rPr>
        <w:t>عليه‌السلام</w:t>
      </w:r>
      <w:r w:rsidR="00E3253D" w:rsidRPr="005D642E">
        <w:rPr>
          <w:rtl/>
        </w:rPr>
        <w:t xml:space="preserve"> وضع رأس ظفر مسبّحة يسراه على المفصل الأسفل من إبهامها</w:t>
      </w:r>
      <w:r w:rsidR="00E3253D">
        <w:rPr>
          <w:rtl/>
        </w:rPr>
        <w:t xml:space="preserve"> ..</w:t>
      </w:r>
      <w:r w:rsidR="00E3253D" w:rsidRPr="005D642E">
        <w:rPr>
          <w:rtl/>
        </w:rPr>
        <w:t>. بقي هنا شي‌ء لابدّ من التنبيه عليه ، وهو أنّ هذا العقد الذي ذكره الراوي إنّما هو عقد تسعمائة لا عقد تسعين ؛ فإنّ أهل الحساب وضعوا عقود أصابع اليد اليمنى للآحاد والعشرات ، وأصابع اليسرى للمئات والا</w:t>
      </w:r>
      <w:r w:rsidR="00837F52">
        <w:rPr>
          <w:rFonts w:hint="cs"/>
          <w:rtl/>
        </w:rPr>
        <w:t>ُ</w:t>
      </w:r>
      <w:r w:rsidR="00E3253D" w:rsidRPr="005D642E">
        <w:rPr>
          <w:rtl/>
        </w:rPr>
        <w:t>لوف ، وجعلوا عقود المئات فيها على صورة عقود العشرات في اليمنى من غير فرق</w:t>
      </w:r>
      <w:r w:rsidR="00E3253D">
        <w:rPr>
          <w:rtl/>
        </w:rPr>
        <w:t xml:space="preserve"> ..</w:t>
      </w:r>
      <w:r w:rsidR="00E3253D" w:rsidRPr="005D642E">
        <w:rPr>
          <w:rtl/>
        </w:rPr>
        <w:t>. فلعلّ الراوي وهم في التعيين ، أو أنّ ما ذكره اصطلاح آخر في العقود غير مشهور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2 ، ص 216 ( ردم ) ؛ </w:t>
      </w:r>
      <w:r w:rsidR="00E3253D" w:rsidRPr="002F4D34">
        <w:rPr>
          <w:rStyle w:val="libFootnoteBoldChar"/>
          <w:rtl/>
        </w:rPr>
        <w:t>مشرق الشمسين</w:t>
      </w:r>
      <w:r w:rsidR="00E3253D" w:rsidRPr="005D642E">
        <w:rPr>
          <w:rtl/>
        </w:rPr>
        <w:t xml:space="preserve"> ، ص 262. وللمزيد راجع : </w:t>
      </w:r>
      <w:r w:rsidR="00E3253D" w:rsidRPr="002F4D34">
        <w:rPr>
          <w:rStyle w:val="libFootnoteBoldChar"/>
          <w:rtl/>
        </w:rPr>
        <w:t>الوافي</w:t>
      </w:r>
      <w:r w:rsidR="00E3253D" w:rsidRPr="005D642E">
        <w:rPr>
          <w:rtl/>
        </w:rPr>
        <w:t xml:space="preserve"> ، ج 6 ، ص 447 ؛ مرآة العقول ، ج 13 ، ص 232.</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المحاسن : « قطنة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مَلِيّاً </w:t>
      </w:r>
      <w:r w:rsidRPr="007C12DB">
        <w:rPr>
          <w:rStyle w:val="libFootnotenumChar"/>
          <w:rtl/>
        </w:rPr>
        <w:t>(1)</w:t>
      </w:r>
      <w:r w:rsidRPr="005D642E">
        <w:rPr>
          <w:rtl/>
          <w:lang w:bidi="fa-IR"/>
        </w:rPr>
        <w:t xml:space="preserve"> ، ثُمَّ تُخْرِجُهَا إِخْرَاجاً رَفِيقاً </w:t>
      </w:r>
      <w:r w:rsidRPr="007C12DB">
        <w:rPr>
          <w:rStyle w:val="libFootnotenumChar"/>
          <w:rtl/>
        </w:rPr>
        <w:t>(2)</w:t>
      </w:r>
      <w:r w:rsidRPr="005D642E">
        <w:rPr>
          <w:rtl/>
          <w:lang w:bidi="fa-IR"/>
        </w:rPr>
        <w:t xml:space="preserve"> ، فَإِنْ كَانَ الدَّمُ مُطَوَّقاً </w:t>
      </w:r>
      <w:r w:rsidRPr="007C12DB">
        <w:rPr>
          <w:rStyle w:val="libFootnotenumChar"/>
          <w:rtl/>
        </w:rPr>
        <w:t>(3)</w:t>
      </w:r>
      <w:r w:rsidRPr="005D642E">
        <w:rPr>
          <w:rtl/>
          <w:lang w:bidi="fa-IR"/>
        </w:rPr>
        <w:t xml:space="preserve"> فِي الْقُطْنَةِ ، فَهُوَ مِنَ الْعُذْرَةِ ؛ وَإِنْ كَانَ مُسْتَنْقِعاً </w:t>
      </w:r>
      <w:r w:rsidRPr="007C12DB">
        <w:rPr>
          <w:rStyle w:val="libFootnotenumChar"/>
          <w:rtl/>
        </w:rPr>
        <w:t>(4)</w:t>
      </w:r>
      <w:r w:rsidRPr="005D642E">
        <w:rPr>
          <w:rtl/>
          <w:lang w:bidi="fa-IR"/>
        </w:rPr>
        <w:t xml:space="preserve"> فِي الْقُطْنَةِ ، فَهُوَ مِنَ الْحَيْضِ »</w:t>
      </w:r>
      <w:r>
        <w:rPr>
          <w:rtl/>
          <w:lang w:bidi="fa-IR"/>
        </w:rPr>
        <w:t>.</w:t>
      </w:r>
    </w:p>
    <w:p w:rsidR="00E3253D" w:rsidRPr="005D642E" w:rsidRDefault="00E3253D" w:rsidP="00E3253D">
      <w:pPr>
        <w:pStyle w:val="libNormal"/>
        <w:rPr>
          <w:rtl/>
          <w:lang w:bidi="fa-IR"/>
        </w:rPr>
      </w:pPr>
      <w:r w:rsidRPr="005D642E">
        <w:rPr>
          <w:rtl/>
          <w:lang w:bidi="fa-IR"/>
        </w:rPr>
        <w:t xml:space="preserve">قَالَ خَلَفٌ : فَاسْتَحَفَّنِي </w:t>
      </w:r>
      <w:r w:rsidRPr="007C12DB">
        <w:rPr>
          <w:rStyle w:val="libFootnotenumChar"/>
          <w:rtl/>
        </w:rPr>
        <w:t>(5)</w:t>
      </w:r>
      <w:r w:rsidRPr="005D642E">
        <w:rPr>
          <w:rtl/>
          <w:lang w:bidi="fa-IR"/>
        </w:rPr>
        <w:t xml:space="preserve"> الْفَرَحُ ، فَبَكَيْتُ ، فَلَمَّا سَكَنَ بُكَائِي قَالَ </w:t>
      </w:r>
      <w:r w:rsidRPr="007C12DB">
        <w:rPr>
          <w:rStyle w:val="libFootnotenumChar"/>
          <w:rtl/>
        </w:rPr>
        <w:t>(6)</w:t>
      </w:r>
      <w:r w:rsidRPr="005D642E">
        <w:rPr>
          <w:rtl/>
          <w:lang w:bidi="fa-IR"/>
        </w:rPr>
        <w:t xml:space="preserve"> : « مَا أَبْكَاكَ</w:t>
      </w:r>
      <w:r>
        <w:rPr>
          <w:rtl/>
          <w:lang w:bidi="fa-IR"/>
        </w:rPr>
        <w:t>؟</w:t>
      </w:r>
      <w:r w:rsidRPr="005D642E">
        <w:rPr>
          <w:rtl/>
          <w:lang w:bidi="fa-IR"/>
        </w:rPr>
        <w:t xml:space="preserve"> » ‌</w:t>
      </w:r>
    </w:p>
    <w:p w:rsidR="00E3253D" w:rsidRPr="005D642E" w:rsidRDefault="00E3253D" w:rsidP="00E3253D">
      <w:pPr>
        <w:pStyle w:val="libNormal"/>
        <w:rPr>
          <w:rtl/>
          <w:lang w:bidi="fa-IR"/>
        </w:rPr>
      </w:pPr>
      <w:r w:rsidRPr="005D642E">
        <w:rPr>
          <w:rtl/>
          <w:lang w:bidi="fa-IR"/>
        </w:rPr>
        <w:t xml:space="preserve">قُلْتُ </w:t>
      </w:r>
      <w:r w:rsidRPr="007C12DB">
        <w:rPr>
          <w:rStyle w:val="libFootnotenumChar"/>
          <w:rtl/>
        </w:rPr>
        <w:t>(7)</w:t>
      </w:r>
      <w:r w:rsidRPr="005D642E">
        <w:rPr>
          <w:rtl/>
          <w:lang w:bidi="fa-IR"/>
        </w:rPr>
        <w:t xml:space="preserve"> : جُعِلْتُ فِدَاكَ ، مَنْ كَانَ يُحْسِنُ </w:t>
      </w:r>
      <w:r w:rsidRPr="007C12DB">
        <w:rPr>
          <w:rStyle w:val="libFootnotenumChar"/>
          <w:rtl/>
        </w:rPr>
        <w:t>(8)</w:t>
      </w:r>
      <w:r w:rsidRPr="005D642E">
        <w:rPr>
          <w:rtl/>
          <w:lang w:bidi="fa-IR"/>
        </w:rPr>
        <w:t xml:space="preserve"> هذَا غَيْرُكَ</w:t>
      </w:r>
      <w:r>
        <w:rPr>
          <w:rtl/>
          <w:lang w:bidi="fa-IR"/>
        </w:rPr>
        <w:t>؟</w:t>
      </w:r>
    </w:p>
    <w:p w:rsidR="00E3253D" w:rsidRPr="005D642E" w:rsidRDefault="00E3253D" w:rsidP="00E3253D">
      <w:pPr>
        <w:pStyle w:val="libNormal"/>
        <w:rPr>
          <w:rtl/>
          <w:lang w:bidi="fa-IR"/>
        </w:rPr>
      </w:pPr>
      <w:r w:rsidRPr="005D642E">
        <w:rPr>
          <w:rtl/>
          <w:lang w:bidi="fa-IR"/>
        </w:rPr>
        <w:t xml:space="preserve">قَالَ : فَرَفَعَ يَدَهُ </w:t>
      </w:r>
      <w:r w:rsidRPr="007C12DB">
        <w:rPr>
          <w:rStyle w:val="libFootnotenumChar"/>
          <w:rtl/>
        </w:rPr>
        <w:t>(9)</w:t>
      </w:r>
      <w:r w:rsidRPr="005D642E">
        <w:rPr>
          <w:rtl/>
          <w:lang w:bidi="fa-IR"/>
        </w:rPr>
        <w:t xml:space="preserve"> إِلَى السَّمَاءِ ، وَقَالَ </w:t>
      </w:r>
      <w:r w:rsidRPr="007C12DB">
        <w:rPr>
          <w:rStyle w:val="libFootnotenumChar"/>
          <w:rtl/>
        </w:rPr>
        <w:t>(10)</w:t>
      </w:r>
      <w:r w:rsidRPr="005D642E">
        <w:rPr>
          <w:rtl/>
          <w:lang w:bidi="fa-IR"/>
        </w:rPr>
        <w:t xml:space="preserve"> : « وَاللهِ ، إِنِّي </w:t>
      </w:r>
      <w:r w:rsidRPr="007C12DB">
        <w:rPr>
          <w:rStyle w:val="libFootnotenumChar"/>
          <w:rtl/>
        </w:rPr>
        <w:t>(11)</w:t>
      </w:r>
      <w:r w:rsidRPr="005D642E">
        <w:rPr>
          <w:rtl/>
          <w:lang w:bidi="fa-IR"/>
        </w:rPr>
        <w:t xml:space="preserve"> مَا أُخْبِرُكَ </w:t>
      </w:r>
      <w:r w:rsidRPr="007C12DB">
        <w:rPr>
          <w:rStyle w:val="libFootnotenumChar"/>
          <w:rtl/>
        </w:rPr>
        <w:t>(12)</w:t>
      </w:r>
      <w:r w:rsidR="00400006">
        <w:rPr>
          <w:rtl/>
          <w:lang w:bidi="fa-IR"/>
        </w:rPr>
        <w:t xml:space="preserve"> إِل</w:t>
      </w:r>
      <w:r w:rsidR="00400006">
        <w:rPr>
          <w:rFonts w:hint="cs"/>
          <w:rtl/>
          <w:lang w:bidi="fa-IR"/>
        </w:rPr>
        <w:t>َّ</w:t>
      </w:r>
      <w:r w:rsidR="00400006">
        <w:rPr>
          <w:rtl/>
          <w:lang w:bidi="fa-IR"/>
        </w:rPr>
        <w:t>ا</w:t>
      </w:r>
      <w:r w:rsidRPr="005D642E">
        <w:rPr>
          <w:rtl/>
          <w:lang w:bidi="fa-IR"/>
        </w:rPr>
        <w:t xml:space="preserve"> عَنْ رَسُولِ اللهِ </w:t>
      </w:r>
      <w:r w:rsidR="0042621E" w:rsidRPr="0042621E">
        <w:rPr>
          <w:rStyle w:val="libAlaemChar"/>
          <w:rtl/>
        </w:rPr>
        <w:t>صلى‌الله‌عليه‌وآله</w:t>
      </w:r>
      <w:r w:rsidRPr="005D642E">
        <w:rPr>
          <w:rtl/>
          <w:lang w:bidi="fa-IR"/>
        </w:rPr>
        <w:t xml:space="preserve"> ، عَنْ جَبْرَئِيلَ ، عَنِ اللهِ عَزَّ وَجَلَّ »</w:t>
      </w:r>
      <w:r>
        <w:rPr>
          <w:rtl/>
          <w:lang w:bidi="fa-IR"/>
        </w:rPr>
        <w:t>.</w:t>
      </w:r>
      <w:r w:rsidRPr="005D642E">
        <w:rPr>
          <w:rtl/>
          <w:lang w:bidi="fa-IR"/>
        </w:rPr>
        <w:t xml:space="preserve"> </w:t>
      </w:r>
      <w:r w:rsidRPr="007C12DB">
        <w:rPr>
          <w:rStyle w:val="libFootnotenumChar"/>
          <w:rtl/>
        </w:rPr>
        <w:t>(13)</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784479">
      <w:pPr>
        <w:pStyle w:val="libFootnote0"/>
        <w:rPr>
          <w:rtl/>
          <w:lang w:bidi="fa-IR"/>
        </w:rPr>
      </w:pPr>
      <w:r w:rsidRPr="0042621E">
        <w:rPr>
          <w:rStyle w:val="libFootnote0Char"/>
          <w:rtl/>
        </w:rPr>
        <w:t>(1).</w:t>
      </w:r>
      <w:r w:rsidR="00E3253D">
        <w:rPr>
          <w:rtl/>
        </w:rPr>
        <w:t xml:space="preserve"> </w:t>
      </w:r>
      <w:r w:rsidR="00E3253D" w:rsidRPr="005D642E">
        <w:rPr>
          <w:rtl/>
        </w:rPr>
        <w:t>« مَلِيّاً » ، أي زماناً طويلاً ، وقال ابن الأثير : « المليّ : هو الطائفة من الزمان لا حدّ لها ، يقال : مضى مليّ من النهارومليّ من الدهر ، أي طائفة منه »</w:t>
      </w:r>
      <w:r w:rsidR="00E3253D">
        <w:rPr>
          <w:rtl/>
        </w:rPr>
        <w:t>.</w:t>
      </w:r>
      <w:r w:rsidR="00E3253D" w:rsidRPr="005D642E">
        <w:rPr>
          <w:rtl/>
        </w:rPr>
        <w:t xml:space="preserve"> راجع : </w:t>
      </w:r>
      <w:r w:rsidR="00E3253D" w:rsidRPr="002F4D34">
        <w:rPr>
          <w:rStyle w:val="libFootnoteBoldChar"/>
          <w:rtl/>
        </w:rPr>
        <w:t>الصحاح</w:t>
      </w:r>
      <w:r w:rsidR="00E3253D" w:rsidRPr="005D642E">
        <w:rPr>
          <w:rtl/>
        </w:rPr>
        <w:t xml:space="preserve"> ، ج 6 ، ص 2497 ؛ </w:t>
      </w:r>
      <w:r w:rsidR="00E3253D" w:rsidRPr="002F4D34">
        <w:rPr>
          <w:rStyle w:val="libFootnoteBoldChar"/>
          <w:rtl/>
        </w:rPr>
        <w:t>النهاية</w:t>
      </w:r>
      <w:r w:rsidR="00E3253D" w:rsidRPr="005D642E">
        <w:rPr>
          <w:rtl/>
        </w:rPr>
        <w:t xml:space="preserve"> ، ج 4 ، ص 363 ( ملا ) ؛ </w:t>
      </w:r>
      <w:r w:rsidR="00E3253D" w:rsidRPr="002F4D34">
        <w:rPr>
          <w:rStyle w:val="libFootnoteBoldChar"/>
          <w:rtl/>
        </w:rPr>
        <w:t>مشرق الشمسين</w:t>
      </w:r>
      <w:r w:rsidR="00E3253D" w:rsidRPr="005D642E">
        <w:rPr>
          <w:rtl/>
        </w:rPr>
        <w:t xml:space="preserve"> ، ص 261.</w:t>
      </w:r>
      <w:r w:rsidR="00784479">
        <w:rPr>
          <w:rFonts w:hint="cs"/>
          <w:rtl/>
        </w:rPr>
        <w:t xml:space="preserve">             </w:t>
      </w:r>
      <w:r w:rsidRPr="0042621E">
        <w:rPr>
          <w:rStyle w:val="libFootnote0Char"/>
          <w:rtl/>
        </w:rPr>
        <w:t>(2).</w:t>
      </w:r>
      <w:r w:rsidR="00E3253D" w:rsidRPr="005D642E">
        <w:rPr>
          <w:rtl/>
        </w:rPr>
        <w:t xml:space="preserve"> في « بح » والوسائل ، ص 272 : « رقيقاً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قال الشيخ البهائي : « وجه دلالة تطويق دم القطنة على كونه دم عذرة</w:t>
      </w:r>
      <w:r w:rsidR="00E3253D">
        <w:rPr>
          <w:rtl/>
        </w:rPr>
        <w:t xml:space="preserve"> ..</w:t>
      </w:r>
      <w:r w:rsidR="005F7354">
        <w:rPr>
          <w:rtl/>
        </w:rPr>
        <w:t>. أنّ الافتضاض ليس إل</w:t>
      </w:r>
      <w:r w:rsidR="005F7354">
        <w:rPr>
          <w:rFonts w:hint="cs"/>
          <w:rtl/>
        </w:rPr>
        <w:t>ّ</w:t>
      </w:r>
      <w:r w:rsidR="005F7354">
        <w:rPr>
          <w:rtl/>
        </w:rPr>
        <w:t>ا</w:t>
      </w:r>
      <w:r w:rsidR="005F7354">
        <w:rPr>
          <w:rFonts w:hint="cs"/>
          <w:rtl/>
        </w:rPr>
        <w:t xml:space="preserve"> </w:t>
      </w:r>
      <w:r w:rsidR="00E3253D" w:rsidRPr="005D642E">
        <w:rPr>
          <w:rtl/>
        </w:rPr>
        <w:t>خرق الجلدة الرقيقة المنتسجة على فم الرحم ، فإذا خرقت خرج الدم من جوانبها بخلاف دم الحيض</w:t>
      </w:r>
      <w:r w:rsidR="00E3253D">
        <w:rPr>
          <w:rtl/>
        </w:rPr>
        <w:t xml:space="preserve"> ..</w:t>
      </w:r>
      <w:r w:rsidR="00E3253D" w:rsidRPr="005D642E">
        <w:rPr>
          <w:rtl/>
        </w:rPr>
        <w:t>. ولفظة مطوّق يجوز كونه بصيغة اسم الفاعل والمفعول ، وكذلك لفظ مستنقعاً »</w:t>
      </w:r>
      <w:r w:rsidR="00E3253D">
        <w:rPr>
          <w:rtl/>
        </w:rPr>
        <w:t>.</w:t>
      </w:r>
      <w:r w:rsidR="005F7354">
        <w:rPr>
          <w:rtl/>
        </w:rPr>
        <w:t xml:space="preserve"> وقال العل</w:t>
      </w:r>
      <w:r w:rsidR="005F7354">
        <w:rPr>
          <w:rFonts w:hint="cs"/>
          <w:rtl/>
        </w:rPr>
        <w:t>ّ</w:t>
      </w:r>
      <w:r w:rsidR="005F7354">
        <w:rPr>
          <w:rtl/>
        </w:rPr>
        <w:t>ا</w:t>
      </w:r>
      <w:r w:rsidR="00E3253D" w:rsidRPr="005D642E">
        <w:rPr>
          <w:rtl/>
        </w:rPr>
        <w:t xml:space="preserve">مة الفيض : « مطوّقاً ، بكسر الواو وتشديدها كما يدلّ عليه قوله </w:t>
      </w:r>
      <w:r w:rsidR="00E3253D" w:rsidRPr="00D436D1">
        <w:rPr>
          <w:rStyle w:val="libFootnoteAlaemChar"/>
          <w:rtl/>
        </w:rPr>
        <w:t>عليه‌السلام</w:t>
      </w:r>
      <w:r w:rsidR="00E3253D" w:rsidRPr="005D642E">
        <w:rPr>
          <w:rtl/>
        </w:rPr>
        <w:t xml:space="preserve"> في الخبر الآتي ، فإن خرجت القطنة مطوّقة بالدم بالفتح »</w:t>
      </w:r>
      <w:r w:rsidR="00E3253D">
        <w:rPr>
          <w:rtl/>
        </w:rPr>
        <w:t>.</w:t>
      </w:r>
      <w:r w:rsidR="00E3253D" w:rsidRPr="005D642E">
        <w:rPr>
          <w:rtl/>
        </w:rPr>
        <w:t xml:space="preserve"> راجع : </w:t>
      </w:r>
      <w:r w:rsidR="00E3253D" w:rsidRPr="002F4D34">
        <w:rPr>
          <w:rStyle w:val="libFootnoteBoldChar"/>
          <w:rtl/>
        </w:rPr>
        <w:t>الحبل المتين</w:t>
      </w:r>
      <w:r w:rsidR="00E3253D" w:rsidRPr="005D642E">
        <w:rPr>
          <w:rtl/>
        </w:rPr>
        <w:t xml:space="preserve"> ، ص 166 ؛ </w:t>
      </w:r>
      <w:r w:rsidR="00E3253D" w:rsidRPr="002F4D34">
        <w:rPr>
          <w:rStyle w:val="libFootnoteBoldChar"/>
          <w:rtl/>
        </w:rPr>
        <w:t>الوافي</w:t>
      </w:r>
      <w:r w:rsidR="00E3253D" w:rsidRPr="005D642E">
        <w:rPr>
          <w:rtl/>
        </w:rPr>
        <w:t xml:space="preserve"> ، ج 6 ، ص 448.</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مستنقعاً » ، أي مجتمعاً ، يقال : استنقع الماء ، أي ثبت واجتمع ، ومستنقَع الماء بالفتح : مجتَمَعه ، والماء مستنقع بصيغة اس</w:t>
      </w:r>
      <w:r w:rsidR="00AB418A">
        <w:rPr>
          <w:rtl/>
        </w:rPr>
        <w:t>م الفاعل ، أي مجتمع. وقال العل</w:t>
      </w:r>
      <w:r w:rsidR="00AB418A">
        <w:rPr>
          <w:rFonts w:hint="cs"/>
          <w:rtl/>
        </w:rPr>
        <w:t>ّ</w:t>
      </w:r>
      <w:r w:rsidR="00AB418A">
        <w:rPr>
          <w:rtl/>
        </w:rPr>
        <w:t>ا</w:t>
      </w:r>
      <w:r w:rsidR="00E3253D" w:rsidRPr="005D642E">
        <w:rPr>
          <w:rtl/>
        </w:rPr>
        <w:t>مة الفيض : « الاستنقاع : الانغماس »</w:t>
      </w:r>
      <w:r w:rsidR="00E3253D">
        <w:rPr>
          <w:rtl/>
        </w:rPr>
        <w:t>.</w:t>
      </w:r>
      <w:r w:rsidR="00E3253D" w:rsidRPr="005D642E">
        <w:rPr>
          <w:rtl/>
        </w:rPr>
        <w:t xml:space="preserve"> راجع : </w:t>
      </w:r>
      <w:r w:rsidR="00E3253D" w:rsidRPr="002F4D34">
        <w:rPr>
          <w:rStyle w:val="libFootnoteBoldChar"/>
          <w:rtl/>
        </w:rPr>
        <w:t>المغرب</w:t>
      </w:r>
      <w:r w:rsidR="00E3253D" w:rsidRPr="005D642E">
        <w:rPr>
          <w:rtl/>
        </w:rPr>
        <w:t xml:space="preserve"> ، ص 464 ؛ </w:t>
      </w:r>
      <w:r w:rsidR="00E3253D" w:rsidRPr="002F4D34">
        <w:rPr>
          <w:rStyle w:val="libFootnoteBoldChar"/>
          <w:rtl/>
        </w:rPr>
        <w:t>المصباح المنير</w:t>
      </w:r>
      <w:r w:rsidR="00E3253D" w:rsidRPr="005D642E">
        <w:rPr>
          <w:rtl/>
        </w:rPr>
        <w:t xml:space="preserve"> ، ص 622 ( نقع )</w:t>
      </w:r>
      <w:r w:rsidR="00E3253D">
        <w:rPr>
          <w:rtl/>
        </w:rPr>
        <w:t>.</w:t>
      </w:r>
    </w:p>
    <w:p w:rsidR="00E3253D" w:rsidRPr="005D642E" w:rsidRDefault="0042621E" w:rsidP="00707661">
      <w:pPr>
        <w:pStyle w:val="libFootnote0"/>
        <w:rPr>
          <w:rtl/>
          <w:lang w:bidi="fa-IR"/>
        </w:rPr>
      </w:pPr>
      <w:r w:rsidRPr="0042621E">
        <w:rPr>
          <w:rStyle w:val="libFootnote0Char"/>
          <w:rtl/>
        </w:rPr>
        <w:t>(5).</w:t>
      </w:r>
      <w:r w:rsidR="00E3253D" w:rsidRPr="005D642E">
        <w:rPr>
          <w:rtl/>
        </w:rPr>
        <w:t xml:space="preserve"> كذا في « بخ ، جس » والمطبوع. وفي « ظ ، غ ، ى ، بث ، بح ، بس ، بف ، جح ، جن » والوسائل والبحار </w:t>
      </w:r>
      <w:r w:rsidR="000D749A" w:rsidRPr="000D749A">
        <w:rPr>
          <w:rStyle w:val="libFootnoteBoldChar"/>
          <w:rtl/>
        </w:rPr>
        <w:t>والمحاسن</w:t>
      </w:r>
      <w:r w:rsidR="00E3253D" w:rsidRPr="005D642E">
        <w:rPr>
          <w:rtl/>
        </w:rPr>
        <w:t xml:space="preserve"> : « فاستخفّني »</w:t>
      </w:r>
      <w:r w:rsidR="00E3253D">
        <w:rPr>
          <w:rtl/>
        </w:rPr>
        <w:t>.</w:t>
      </w:r>
      <w:r w:rsidR="00E3253D" w:rsidRPr="005D642E">
        <w:rPr>
          <w:rtl/>
        </w:rPr>
        <w:t xml:space="preserve"> وقال في </w:t>
      </w:r>
      <w:r w:rsidR="00E3253D" w:rsidRPr="002F4D34">
        <w:rPr>
          <w:rStyle w:val="libFootnoteBoldChar"/>
          <w:rtl/>
        </w:rPr>
        <w:t>الوافي</w:t>
      </w:r>
      <w:r w:rsidR="00E3253D" w:rsidRPr="005D642E">
        <w:rPr>
          <w:rtl/>
        </w:rPr>
        <w:t xml:space="preserve"> : « فاستحفّني ، إمّا بالمهملة من الحفّ بمعنى الشمول والإحاطة ، أو بالمعجمة من الخفّة بمعنى النشاط »</w:t>
      </w:r>
      <w:r w:rsidR="00E3253D">
        <w:rPr>
          <w:rtl/>
        </w:rPr>
        <w:t>.</w:t>
      </w:r>
      <w:r w:rsidR="00707661">
        <w:rPr>
          <w:rFonts w:hint="cs"/>
          <w:rtl/>
        </w:rPr>
        <w:t xml:space="preserve">                             </w:t>
      </w:r>
      <w:r w:rsidRPr="0042621E">
        <w:rPr>
          <w:rStyle w:val="libFootnote0Char"/>
          <w:rtl/>
        </w:rPr>
        <w:t>(6).</w:t>
      </w:r>
      <w:r w:rsidR="00E3253D" w:rsidRPr="005D642E">
        <w:rPr>
          <w:rtl/>
        </w:rPr>
        <w:t xml:space="preserve"> في البحار : « فقال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المحاسن : « فقال : ما أبكاك بعد أن سكن بكائي ، فقلت » بدل « فلمّا سكن بكائي قال : ما أبكاك</w:t>
      </w:r>
      <w:r w:rsidR="00E3253D">
        <w:rPr>
          <w:rtl/>
        </w:rPr>
        <w:t>؟</w:t>
      </w:r>
      <w:r w:rsidR="00E3253D" w:rsidRPr="005D642E">
        <w:rPr>
          <w:rtl/>
        </w:rPr>
        <w:t xml:space="preserve"> قلت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الإحسان : العلم والمعرفة والإتقان ، يقال : أحسن الشي‌ء إحساناً ، أي علمه وعرفه وأتقنه. راجع : </w:t>
      </w:r>
      <w:r w:rsidR="00E3253D" w:rsidRPr="002F4D34">
        <w:rPr>
          <w:rStyle w:val="libFootnoteBoldChar"/>
          <w:rtl/>
        </w:rPr>
        <w:t>المصباح المنير</w:t>
      </w:r>
      <w:r w:rsidR="00E3253D" w:rsidRPr="005D642E">
        <w:rPr>
          <w:rtl/>
        </w:rPr>
        <w:t xml:space="preserve"> ، ص 136 ؛ </w:t>
      </w:r>
      <w:r w:rsidR="00E3253D" w:rsidRPr="002F4D34">
        <w:rPr>
          <w:rStyle w:val="libFootnoteBoldChar"/>
          <w:rtl/>
        </w:rPr>
        <w:t>القاموس المحيط</w:t>
      </w:r>
      <w:r w:rsidR="00E3253D" w:rsidRPr="005D642E">
        <w:rPr>
          <w:rtl/>
        </w:rPr>
        <w:t xml:space="preserve"> ، ج 2 ، ص 1564 ( حسن )</w:t>
      </w:r>
      <w:r w:rsidR="00E3253D">
        <w:rPr>
          <w:rtl/>
        </w:rPr>
        <w:t>.</w:t>
      </w:r>
    </w:p>
    <w:tbl>
      <w:tblPr>
        <w:tblStyle w:val="TableGrid"/>
        <w:bidiVisual/>
        <w:tblW w:w="0" w:type="auto"/>
        <w:tblLook w:val="04A0" w:firstRow="1" w:lastRow="0" w:firstColumn="1" w:lastColumn="0" w:noHBand="0" w:noVBand="1"/>
      </w:tblPr>
      <w:tblGrid>
        <w:gridCol w:w="4006"/>
        <w:gridCol w:w="4006"/>
      </w:tblGrid>
      <w:tr w:rsidR="00DE6285" w:rsidTr="00DE6285">
        <w:tc>
          <w:tcPr>
            <w:tcW w:w="4006" w:type="dxa"/>
          </w:tcPr>
          <w:p w:rsidR="00DE6285" w:rsidRDefault="00DE6285" w:rsidP="00E3253D">
            <w:pPr>
              <w:pStyle w:val="libFootnote0"/>
              <w:rPr>
                <w:rStyle w:val="libFootnote0Char"/>
                <w:rtl/>
              </w:rPr>
            </w:pPr>
            <w:r w:rsidRPr="0042621E">
              <w:rPr>
                <w:rStyle w:val="libFootnote0Char"/>
                <w:rtl/>
              </w:rPr>
              <w:t>(9).</w:t>
            </w:r>
            <w:r w:rsidRPr="005D642E">
              <w:rPr>
                <w:rtl/>
              </w:rPr>
              <w:t xml:space="preserve"> في المحاسن : « رأسه »</w:t>
            </w:r>
            <w:r>
              <w:rPr>
                <w:rtl/>
              </w:rPr>
              <w:t>.</w:t>
            </w:r>
          </w:p>
        </w:tc>
        <w:tc>
          <w:tcPr>
            <w:tcW w:w="4006" w:type="dxa"/>
          </w:tcPr>
          <w:p w:rsidR="00DE6285" w:rsidRDefault="00DE6285" w:rsidP="00DE6285">
            <w:pPr>
              <w:pStyle w:val="libFootnote0"/>
              <w:rPr>
                <w:rStyle w:val="libFootnote0Char"/>
                <w:rtl/>
              </w:rPr>
            </w:pPr>
            <w:r w:rsidRPr="0042621E">
              <w:rPr>
                <w:rStyle w:val="libFootnote0Char"/>
                <w:rtl/>
              </w:rPr>
              <w:t>(10).</w:t>
            </w:r>
            <w:r w:rsidRPr="005D642E">
              <w:rPr>
                <w:rtl/>
              </w:rPr>
              <w:t xml:space="preserve"> في«جس»:«فقال»</w:t>
            </w:r>
            <w:r>
              <w:rPr>
                <w:rtl/>
              </w:rPr>
              <w:t>.</w:t>
            </w:r>
            <w:r w:rsidRPr="005D642E">
              <w:rPr>
                <w:rtl/>
              </w:rPr>
              <w:t>وفي المحاسن:«فقال:إي»</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بف » </w:t>
      </w:r>
      <w:r w:rsidR="000D749A" w:rsidRPr="000D749A">
        <w:rPr>
          <w:rStyle w:val="libFootnoteBoldChar"/>
          <w:rtl/>
        </w:rPr>
        <w:t>والوافي</w:t>
      </w:r>
      <w:r w:rsidR="00E3253D" w:rsidRPr="005D642E">
        <w:rPr>
          <w:rtl/>
        </w:rPr>
        <w:t xml:space="preserve"> والوسائل : « إنّي والله »</w:t>
      </w:r>
      <w:r w:rsidR="00E3253D">
        <w:rPr>
          <w:rtl/>
        </w:rPr>
        <w:t>.</w:t>
      </w:r>
      <w:r w:rsidR="00E3253D" w:rsidRPr="005D642E">
        <w:rPr>
          <w:rtl/>
        </w:rPr>
        <w:t xml:space="preserve"> وفي « جس ، جن » </w:t>
      </w:r>
      <w:r w:rsidR="000D749A" w:rsidRPr="000D749A">
        <w:rPr>
          <w:rStyle w:val="libFootnoteBoldChar"/>
          <w:rtl/>
        </w:rPr>
        <w:t>والمحاسن</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إنّي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غ » : « ما أخبرتك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المحاسن</w:t>
      </w:r>
      <w:r w:rsidR="00E3253D" w:rsidRPr="005D642E">
        <w:rPr>
          <w:rtl/>
        </w:rPr>
        <w:t xml:space="preserve"> ، ص 307 ، كتاب العلل ، ح 22 ، عن أبيه ، عن خلف بن حمّاد الكوفي. </w:t>
      </w:r>
      <w:r w:rsidR="00E3253D" w:rsidRPr="002F4D34">
        <w:rPr>
          <w:rStyle w:val="libFootnoteBoldChar"/>
          <w:rtl/>
        </w:rPr>
        <w:t>التهذيب</w:t>
      </w:r>
      <w:r w:rsidR="00E3253D" w:rsidRPr="005D642E">
        <w:rPr>
          <w:rtl/>
        </w:rPr>
        <w:t xml:space="preserve"> ، ج 1 ، </w:t>
      </w:r>
      <w:r w:rsidR="00CA1C6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A6818">
        <w:rPr>
          <w:rtl/>
        </w:rPr>
        <w:lastRenderedPageBreak/>
        <w:t>4191</w:t>
      </w:r>
      <w:r w:rsidRPr="00246318">
        <w:rPr>
          <w:rStyle w:val="libBold2Char"/>
          <w:rtl/>
        </w:rPr>
        <w:t xml:space="preserve"> / 2.</w:t>
      </w:r>
      <w:r w:rsidRPr="005D642E">
        <w:rPr>
          <w:rtl/>
          <w:lang w:bidi="fa-IR"/>
        </w:rPr>
        <w:t xml:space="preserve"> مُحَمَّدُ بْنُ يَحْيى ، عَنْ أَحْمَدَ بْنِ مُحَمَّدِ بْنِ </w:t>
      </w:r>
      <w:r w:rsidRPr="007C12DB">
        <w:rPr>
          <w:rStyle w:val="libFootnotenumChar"/>
          <w:rtl/>
        </w:rPr>
        <w:t>(1)</w:t>
      </w:r>
      <w:r w:rsidRPr="005D642E">
        <w:rPr>
          <w:rtl/>
          <w:lang w:bidi="fa-IR"/>
        </w:rPr>
        <w:t xml:space="preserve"> عِيسى ، عَنِ ابْنِ مَحْبُوبٍ ، عَنِ ابْنِ رِئَابٍ ، عَنْ زِيَادِ بْنِ سُوقَةَ ، قال :</w:t>
      </w:r>
    </w:p>
    <w:p w:rsidR="00E3253D" w:rsidRPr="005D642E" w:rsidRDefault="00E3253D" w:rsidP="00E3253D">
      <w:pPr>
        <w:pStyle w:val="libNormal"/>
        <w:rPr>
          <w:rtl/>
          <w:lang w:bidi="fa-IR"/>
        </w:rPr>
      </w:pPr>
      <w:r w:rsidRPr="005D642E">
        <w:rPr>
          <w:rtl/>
          <w:lang w:bidi="fa-IR"/>
        </w:rPr>
        <w:t xml:space="preserve">سُئِلَ أَبُو جَعْفَرٍ </w:t>
      </w:r>
      <w:r w:rsidRPr="00AC51C5">
        <w:rPr>
          <w:rStyle w:val="libAlaemChar"/>
          <w:rtl/>
        </w:rPr>
        <w:t>عليه‌السلام</w:t>
      </w:r>
      <w:r w:rsidRPr="005D642E">
        <w:rPr>
          <w:rtl/>
          <w:lang w:bidi="fa-IR"/>
        </w:rPr>
        <w:t xml:space="preserve"> عَنْ رَجُلٍ اقْتَضَّ </w:t>
      </w:r>
      <w:r w:rsidRPr="007C12DB">
        <w:rPr>
          <w:rStyle w:val="libFootnotenumChar"/>
          <w:rtl/>
        </w:rPr>
        <w:t>(2)</w:t>
      </w:r>
      <w:r w:rsidRPr="005D642E">
        <w:rPr>
          <w:rtl/>
          <w:lang w:bidi="fa-IR"/>
        </w:rPr>
        <w:t xml:space="preserve"> امْرَأَتَهُ أَوْ أَمَتَهُ ، فَرَأَتْ دَماً كَثِيراً لَايَنْقَطِعُ عَنْهَا </w:t>
      </w:r>
      <w:r w:rsidRPr="007C12DB">
        <w:rPr>
          <w:rStyle w:val="libFootnotenumChar"/>
          <w:rtl/>
        </w:rPr>
        <w:t>(3)</w:t>
      </w:r>
      <w:r w:rsidRPr="005D642E">
        <w:rPr>
          <w:rtl/>
          <w:lang w:bidi="fa-IR"/>
        </w:rPr>
        <w:t xml:space="preserve"> يَوْماً </w:t>
      </w:r>
      <w:r w:rsidRPr="007C12DB">
        <w:rPr>
          <w:rStyle w:val="libFootnotenumChar"/>
          <w:rtl/>
        </w:rPr>
        <w:t>(4)</w:t>
      </w:r>
      <w:r w:rsidRPr="005D642E">
        <w:rPr>
          <w:rtl/>
          <w:lang w:bidi="fa-IR"/>
        </w:rPr>
        <w:t xml:space="preserve"> : كَيْفَ تَصْنَعُ بِالصَّلَاةِ</w:t>
      </w:r>
      <w:r>
        <w:rPr>
          <w:rtl/>
          <w:lang w:bidi="fa-IR"/>
        </w:rPr>
        <w:t>؟</w:t>
      </w:r>
    </w:p>
    <w:p w:rsidR="00E3253D" w:rsidRPr="005D642E" w:rsidRDefault="00E3253D" w:rsidP="00E3253D">
      <w:pPr>
        <w:pStyle w:val="libNormal"/>
        <w:rPr>
          <w:rtl/>
          <w:lang w:bidi="fa-IR"/>
        </w:rPr>
      </w:pPr>
      <w:r w:rsidRPr="005D642E">
        <w:rPr>
          <w:rtl/>
          <w:lang w:bidi="fa-IR"/>
        </w:rPr>
        <w:t xml:space="preserve">قَالَ : « تُمْسِكُ الْكُرْسُفَ </w:t>
      </w:r>
      <w:r w:rsidRPr="007C12DB">
        <w:rPr>
          <w:rStyle w:val="libFootnotenumChar"/>
          <w:rtl/>
        </w:rPr>
        <w:t>(5)</w:t>
      </w:r>
      <w:r w:rsidRPr="005D642E">
        <w:rPr>
          <w:rtl/>
          <w:lang w:bidi="fa-IR"/>
        </w:rPr>
        <w:t xml:space="preserve"> ، فَإِنْ خَرَجَتِ الْقُطْنَةُ مُطَوَّقَةً بِالدَّمِ </w:t>
      </w:r>
      <w:r w:rsidRPr="007C12DB">
        <w:rPr>
          <w:rStyle w:val="libFootnotenumChar"/>
          <w:rtl/>
        </w:rPr>
        <w:t>(6)</w:t>
      </w:r>
      <w:r w:rsidRPr="005D642E">
        <w:rPr>
          <w:rtl/>
          <w:lang w:bidi="fa-IR"/>
        </w:rPr>
        <w:t xml:space="preserve"> ، فَإِنَّهُ مِنَ الْعُذْرَةِ تَغْتَسِلُ ، وَتُمْسِكُ مَعَهَا قُطْنَةً وَتُصَلِّي ، فَإِنْ خَرَجَ الْكُرْسُفُ مُنْغَمِساً </w:t>
      </w:r>
      <w:r w:rsidRPr="007C12DB">
        <w:rPr>
          <w:rStyle w:val="libFootnotenumChar"/>
          <w:rtl/>
        </w:rPr>
        <w:t>(7)</w:t>
      </w:r>
      <w:r w:rsidRPr="005D642E">
        <w:rPr>
          <w:rtl/>
          <w:lang w:bidi="fa-IR"/>
        </w:rPr>
        <w:t xml:space="preserve"> بِالدَّمِ </w:t>
      </w:r>
      <w:r w:rsidRPr="007C12DB">
        <w:rPr>
          <w:rStyle w:val="libFootnotenumChar"/>
          <w:rtl/>
        </w:rPr>
        <w:t>(8)</w:t>
      </w:r>
      <w:r w:rsidRPr="005D642E">
        <w:rPr>
          <w:rtl/>
          <w:lang w:bidi="fa-IR"/>
        </w:rPr>
        <w:t xml:space="preserve"> ، فَهُوَ مِنَ الطَّمْثِ تَقْعُدُ عَنِ الصَّلَاةِ أَيَّامَ الْحَيْضِ »</w:t>
      </w:r>
      <w:r>
        <w:rPr>
          <w:rtl/>
          <w:lang w:bidi="fa-IR"/>
        </w:rPr>
        <w:t>.</w:t>
      </w:r>
      <w:r w:rsidRPr="005D642E">
        <w:rPr>
          <w:rtl/>
          <w:lang w:bidi="fa-IR"/>
        </w:rPr>
        <w:t xml:space="preserve"> </w:t>
      </w:r>
      <w:r w:rsidRPr="007C12DB">
        <w:rPr>
          <w:rStyle w:val="libFootnotenumChar"/>
          <w:rtl/>
        </w:rPr>
        <w:t>(9)</w:t>
      </w:r>
    </w:p>
    <w:p w:rsidR="00E3253D" w:rsidRPr="005D642E" w:rsidRDefault="00E3253D" w:rsidP="00E3253D">
      <w:pPr>
        <w:pStyle w:val="libNormal"/>
        <w:rPr>
          <w:rtl/>
          <w:lang w:bidi="fa-IR"/>
        </w:rPr>
      </w:pPr>
      <w:r w:rsidRPr="006A6818">
        <w:rPr>
          <w:rtl/>
        </w:rPr>
        <w:t>4192</w:t>
      </w:r>
      <w:r w:rsidRPr="00246318">
        <w:rPr>
          <w:rStyle w:val="libBold2Char"/>
          <w:rtl/>
        </w:rPr>
        <w:t xml:space="preserve"> / 3.</w:t>
      </w:r>
      <w:r w:rsidRPr="005D642E">
        <w:rPr>
          <w:rtl/>
          <w:lang w:bidi="fa-IR"/>
        </w:rPr>
        <w:t xml:space="preserve"> مُحَمَّدُ بْنُ يَحْيى رَفَعَهُ ، عَنْ أَبَانٍ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فَتَاةٌ مِنَّا بِهَا قَرْحَةٌ فِي فَرْجِهَا </w:t>
      </w:r>
      <w:r w:rsidRPr="007C12DB">
        <w:rPr>
          <w:rStyle w:val="libFootnotenumChar"/>
          <w:rtl/>
        </w:rPr>
        <w:t>(10)</w:t>
      </w:r>
      <w:r w:rsidRPr="005D642E">
        <w:rPr>
          <w:rtl/>
          <w:lang w:bidi="fa-IR"/>
        </w:rPr>
        <w:t xml:space="preserve"> ، وَالدَّمُ </w:t>
      </w:r>
      <w:r w:rsidRPr="007C12DB">
        <w:rPr>
          <w:rStyle w:val="libFootnotenumChar"/>
          <w:rtl/>
        </w:rPr>
        <w:t>(11)</w:t>
      </w:r>
      <w:r w:rsidRPr="005D642E">
        <w:rPr>
          <w:rtl/>
          <w:lang w:bidi="fa-IR"/>
        </w:rPr>
        <w:t xml:space="preserve"> سَائِلٌ ، لَاتَدْرِي </w:t>
      </w:r>
      <w:r w:rsidRPr="007C12DB">
        <w:rPr>
          <w:rStyle w:val="libFootnotenumChar"/>
          <w:rtl/>
        </w:rPr>
        <w:t>(12)</w:t>
      </w:r>
    </w:p>
    <w:p w:rsidR="00E3253D" w:rsidRPr="005D642E" w:rsidRDefault="00E3253D" w:rsidP="00E3253D">
      <w:pPr>
        <w:pStyle w:val="libLine"/>
        <w:rPr>
          <w:rtl/>
          <w:lang w:bidi="fa-IR"/>
        </w:rPr>
      </w:pPr>
      <w:r w:rsidRPr="005D642E">
        <w:rPr>
          <w:rtl/>
          <w:lang w:bidi="fa-IR"/>
        </w:rPr>
        <w:t>__________________</w:t>
      </w:r>
    </w:p>
    <w:p w:rsidR="00E3253D" w:rsidRPr="005D642E" w:rsidRDefault="00664129" w:rsidP="00F72EC5">
      <w:pPr>
        <w:pStyle w:val="libFootnote0"/>
        <w:rPr>
          <w:rtl/>
          <w:lang w:bidi="fa-IR"/>
        </w:rPr>
      </w:pPr>
      <w:r>
        <w:rPr>
          <w:rFonts w:hint="cs"/>
          <w:rtl/>
        </w:rPr>
        <w:t xml:space="preserve">= </w:t>
      </w:r>
      <w:r w:rsidR="00E3253D" w:rsidRPr="005D642E">
        <w:rPr>
          <w:rtl/>
        </w:rPr>
        <w:t xml:space="preserve">ص 385 ، ح 1184 ، معلّقاً عن أحمد بن محمّد ، عن جعفر بن محمّد ، عن خلف بن حمّاد ، عن أبي الحسن الماضي </w:t>
      </w:r>
      <w:r w:rsidR="00E3253D" w:rsidRPr="0056574C">
        <w:rPr>
          <w:rStyle w:val="libFootnoteAlaemChar"/>
          <w:rtl/>
        </w:rPr>
        <w:t>عليه‌السلام</w:t>
      </w:r>
      <w:r w:rsidR="00E3253D" w:rsidRPr="005D642E">
        <w:rPr>
          <w:rtl/>
        </w:rPr>
        <w:t xml:space="preserve"> ، من قوله : « فقلت له : إنّ رجلاً من مواليك تزوّج جارية » إلى قوله : « فهو من الحيض » مع اختلاف يسير. راجع : </w:t>
      </w:r>
      <w:r w:rsidR="00E3253D" w:rsidRPr="002F4D34">
        <w:rPr>
          <w:rStyle w:val="libFootnoteBoldChar"/>
          <w:rtl/>
        </w:rPr>
        <w:t>الفقيه</w:t>
      </w:r>
      <w:r w:rsidR="00E3253D" w:rsidRPr="005D642E">
        <w:rPr>
          <w:rtl/>
        </w:rPr>
        <w:t xml:space="preserve"> ، ج 1 ، ص 96 ، ذيل ح 203 ، و</w:t>
      </w:r>
      <w:r w:rsidR="00E3253D" w:rsidRPr="002F4D34">
        <w:rPr>
          <w:rStyle w:val="libFootnoteBoldChar"/>
          <w:rtl/>
        </w:rPr>
        <w:t>فقه الرضا</w:t>
      </w:r>
      <w:r w:rsidR="00E3253D" w:rsidRPr="005D642E">
        <w:rPr>
          <w:rtl/>
        </w:rPr>
        <w:t xml:space="preserve"> </w:t>
      </w:r>
      <w:r w:rsidR="00E3253D" w:rsidRPr="00510114">
        <w:rPr>
          <w:rStyle w:val="libFootnoteAlaemChar"/>
          <w:rtl/>
        </w:rPr>
        <w:t>عليه‌السلام</w:t>
      </w:r>
      <w:r w:rsidR="00E3253D" w:rsidRPr="005D642E">
        <w:rPr>
          <w:rtl/>
        </w:rPr>
        <w:t xml:space="preserve"> ، ص 194</w:t>
      </w:r>
      <w:r w:rsidR="00F72EC5">
        <w:rPr>
          <w:rFonts w:hint="cs"/>
          <w:rtl/>
        </w:rPr>
        <w:t>.</w:t>
      </w:r>
      <w:r w:rsidR="00E3253D" w:rsidRPr="002F4D34">
        <w:rPr>
          <w:rStyle w:val="libFootnoteBoldChar"/>
          <w:rtl/>
        </w:rPr>
        <w:t>الوافي</w:t>
      </w:r>
      <w:r w:rsidR="00E3253D" w:rsidRPr="005D642E">
        <w:rPr>
          <w:rtl/>
        </w:rPr>
        <w:t xml:space="preserve"> ، ج 6 ، ص 445 ، ح 4678 ؛ </w:t>
      </w:r>
      <w:r w:rsidR="00E3253D" w:rsidRPr="002F4D34">
        <w:rPr>
          <w:rStyle w:val="libFootnoteBoldChar"/>
          <w:rtl/>
        </w:rPr>
        <w:t>الوسائل</w:t>
      </w:r>
      <w:r w:rsidR="00E3253D" w:rsidRPr="005D642E">
        <w:rPr>
          <w:rtl/>
        </w:rPr>
        <w:t xml:space="preserve"> ، ج 2 ، ص 272 ، ح 2129 ، من قوله : « فقلت له : إنّ رجلاً من مواليك تزوّج جارية معصراً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w:t>
      </w:r>
      <w:r w:rsidR="00E3253D">
        <w:rPr>
          <w:rtl/>
        </w:rPr>
        <w:t xml:space="preserve"> </w:t>
      </w:r>
      <w:r w:rsidR="007642BC">
        <w:rPr>
          <w:rtl/>
        </w:rPr>
        <w:t>-</w:t>
      </w:r>
      <w:r w:rsidR="00E3253D">
        <w:rPr>
          <w:rtl/>
        </w:rPr>
        <w:t xml:space="preserve"> </w:t>
      </w:r>
      <w:r w:rsidR="00E3253D" w:rsidRPr="005D642E">
        <w:rPr>
          <w:rtl/>
        </w:rPr>
        <w:t>« محمّد بن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بس » والوسائل </w:t>
      </w:r>
      <w:r w:rsidR="00B60612" w:rsidRPr="00B60612">
        <w:rPr>
          <w:rStyle w:val="libFootnoteBoldChar"/>
          <w:rtl/>
        </w:rPr>
        <w:t>والتهذيب</w:t>
      </w:r>
      <w:r w:rsidR="00E3253D" w:rsidRPr="005D642E">
        <w:rPr>
          <w:rtl/>
        </w:rPr>
        <w:t xml:space="preserve"> : « افتضّ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جن » : « عنهما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جن » وحاشية « بح » والوسائل </w:t>
      </w:r>
      <w:r w:rsidR="00B60612" w:rsidRPr="00B60612">
        <w:rPr>
          <w:rStyle w:val="libFootnoteBoldChar"/>
          <w:rtl/>
        </w:rPr>
        <w:t>والتهذيب</w:t>
      </w:r>
      <w:r w:rsidR="00E3253D" w:rsidRPr="005D642E">
        <w:rPr>
          <w:rtl/>
        </w:rPr>
        <w:t xml:space="preserve"> : « يومها »</w:t>
      </w:r>
      <w:r w:rsidR="00E3253D">
        <w:rPr>
          <w:rtl/>
        </w:rPr>
        <w:t>.</w:t>
      </w:r>
    </w:p>
    <w:p w:rsidR="00E3253D" w:rsidRPr="005D642E" w:rsidRDefault="0042621E" w:rsidP="000B27A2">
      <w:pPr>
        <w:pStyle w:val="libFootnote0"/>
        <w:rPr>
          <w:rtl/>
          <w:lang w:bidi="fa-IR"/>
        </w:rPr>
      </w:pPr>
      <w:r w:rsidRPr="0042621E">
        <w:rPr>
          <w:rStyle w:val="libFootnote0Char"/>
          <w:rtl/>
        </w:rPr>
        <w:t>(5).</w:t>
      </w:r>
      <w:r w:rsidR="00E3253D" w:rsidRPr="005D642E">
        <w:rPr>
          <w:rtl/>
        </w:rPr>
        <w:t xml:space="preserve"> « الكُرْسف » كعصفر وكزُنبور : القطن ، واحدته : كرسفة. راجع : </w:t>
      </w:r>
      <w:r w:rsidR="00E3253D" w:rsidRPr="002F4D34">
        <w:rPr>
          <w:rStyle w:val="libFootnoteBoldChar"/>
          <w:rtl/>
        </w:rPr>
        <w:t>الصحاح</w:t>
      </w:r>
      <w:r w:rsidR="00E3253D" w:rsidRPr="005D642E">
        <w:rPr>
          <w:rtl/>
        </w:rPr>
        <w:t xml:space="preserve"> ، ج 4 ، ص 421 ؛ </w:t>
      </w:r>
      <w:r w:rsidR="00E3253D" w:rsidRPr="002F4D34">
        <w:rPr>
          <w:rStyle w:val="libFootnoteBoldChar"/>
          <w:rtl/>
        </w:rPr>
        <w:t>لسان العرب</w:t>
      </w:r>
      <w:r w:rsidR="00E3253D" w:rsidRPr="005D642E">
        <w:rPr>
          <w:rtl/>
        </w:rPr>
        <w:t xml:space="preserve"> ، ج 9 ، ص 297 ( كرسف )</w:t>
      </w:r>
      <w:r w:rsidR="00E3253D">
        <w:rPr>
          <w:rtl/>
        </w:rPr>
        <w:t>.</w:t>
      </w:r>
      <w:r w:rsidR="00591486">
        <w:rPr>
          <w:rFonts w:hint="cs"/>
          <w:rtl/>
        </w:rPr>
        <w:t xml:space="preserve">              </w:t>
      </w:r>
      <w:r w:rsidR="000B27A2">
        <w:rPr>
          <w:rFonts w:hint="cs"/>
          <w:rtl/>
        </w:rPr>
        <w:t xml:space="preserve">     </w:t>
      </w:r>
      <w:r w:rsidRPr="0042621E">
        <w:rPr>
          <w:rStyle w:val="libFootnote0Char"/>
          <w:rtl/>
        </w:rPr>
        <w:t>(6).</w:t>
      </w:r>
      <w:r w:rsidR="00E3253D" w:rsidRPr="005D642E">
        <w:rPr>
          <w:rtl/>
        </w:rPr>
        <w:t xml:space="preserve"> في « جس » : « بدم »</w:t>
      </w:r>
      <w:r w:rsidR="00E3253D">
        <w:rPr>
          <w:rtl/>
        </w:rPr>
        <w:t>.</w:t>
      </w:r>
    </w:p>
    <w:tbl>
      <w:tblPr>
        <w:tblStyle w:val="TableGrid"/>
        <w:bidiVisual/>
        <w:tblW w:w="0" w:type="auto"/>
        <w:tblLook w:val="04A0" w:firstRow="1" w:lastRow="0" w:firstColumn="1" w:lastColumn="0" w:noHBand="0" w:noVBand="1"/>
      </w:tblPr>
      <w:tblGrid>
        <w:gridCol w:w="4006"/>
        <w:gridCol w:w="4006"/>
      </w:tblGrid>
      <w:tr w:rsidR="000B27A2" w:rsidTr="000B27A2">
        <w:tc>
          <w:tcPr>
            <w:tcW w:w="4006" w:type="dxa"/>
          </w:tcPr>
          <w:p w:rsidR="000B27A2" w:rsidRDefault="000B27A2" w:rsidP="00E3253D">
            <w:pPr>
              <w:pStyle w:val="libFootnote0"/>
              <w:rPr>
                <w:rStyle w:val="libFootnote0Char"/>
                <w:rtl/>
              </w:rPr>
            </w:pPr>
            <w:r w:rsidRPr="0042621E">
              <w:rPr>
                <w:rStyle w:val="libFootnote0Char"/>
                <w:rtl/>
              </w:rPr>
              <w:t>(7).</w:t>
            </w:r>
            <w:r w:rsidRPr="005D642E">
              <w:rPr>
                <w:rtl/>
              </w:rPr>
              <w:t xml:space="preserve"> في « ى » : « متغمّساً »</w:t>
            </w:r>
            <w:r>
              <w:rPr>
                <w:rtl/>
              </w:rPr>
              <w:t>.</w:t>
            </w:r>
          </w:p>
        </w:tc>
        <w:tc>
          <w:tcPr>
            <w:tcW w:w="4006" w:type="dxa"/>
          </w:tcPr>
          <w:p w:rsidR="000B27A2" w:rsidRDefault="000B27A2" w:rsidP="00E46420">
            <w:pPr>
              <w:pStyle w:val="libFootnote0"/>
              <w:rPr>
                <w:rStyle w:val="libFootnote0Char"/>
                <w:rtl/>
              </w:rPr>
            </w:pPr>
            <w:r w:rsidRPr="0042621E">
              <w:rPr>
                <w:rStyle w:val="libFootnote0Char"/>
                <w:rtl/>
              </w:rPr>
              <w:t>(8).</w:t>
            </w:r>
            <w:r w:rsidRPr="005D642E">
              <w:rPr>
                <w:rtl/>
              </w:rPr>
              <w:t xml:space="preserve"> في«جس»:</w:t>
            </w:r>
            <w:r>
              <w:rPr>
                <w:rtl/>
              </w:rPr>
              <w:t>-</w:t>
            </w:r>
            <w:r w:rsidRPr="005D642E">
              <w:rPr>
                <w:rtl/>
              </w:rPr>
              <w:t>«فإنّه من العذرة</w:t>
            </w:r>
            <w:r>
              <w:rPr>
                <w:rtl/>
              </w:rPr>
              <w:t>-</w:t>
            </w:r>
            <w:r w:rsidRPr="005D642E">
              <w:rPr>
                <w:rtl/>
              </w:rPr>
              <w:t>إلى</w:t>
            </w:r>
            <w:r>
              <w:rPr>
                <w:rtl/>
              </w:rPr>
              <w:t>-</w:t>
            </w:r>
            <w:r w:rsidRPr="005D642E">
              <w:rPr>
                <w:rtl/>
              </w:rPr>
              <w:t>منغمساً</w:t>
            </w:r>
            <w:r w:rsidR="00E46420">
              <w:rPr>
                <w:rtl/>
              </w:rPr>
              <w:t>بالدم</w:t>
            </w:r>
            <w:r w:rsidRPr="005D642E">
              <w:rPr>
                <w:rtl/>
              </w:rPr>
              <w:t>»</w:t>
            </w:r>
            <w:r>
              <w:rPr>
                <w:rtl/>
              </w:rPr>
              <w:t>.</w:t>
            </w:r>
          </w:p>
        </w:tc>
      </w:tr>
    </w:tbl>
    <w:p w:rsidR="00E3253D" w:rsidRPr="005D642E" w:rsidRDefault="0042621E" w:rsidP="000F7467">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المحاسن</w:t>
      </w:r>
      <w:r w:rsidR="00E3253D" w:rsidRPr="005D642E">
        <w:rPr>
          <w:rtl/>
        </w:rPr>
        <w:t xml:space="preserve"> ، ص 307 ، كتاب العلل ، ح 21 ، عن أحمد بن محمّد ، عن ابن محبوب ؛ </w:t>
      </w:r>
      <w:r w:rsidR="00E3253D" w:rsidRPr="002F4D34">
        <w:rPr>
          <w:rStyle w:val="libFootnoteBoldChar"/>
          <w:rtl/>
        </w:rPr>
        <w:t>التهذيب</w:t>
      </w:r>
      <w:r w:rsidR="00E3253D" w:rsidRPr="005D642E">
        <w:rPr>
          <w:rtl/>
        </w:rPr>
        <w:t xml:space="preserve"> ، ج 1 ، ص 152 ، ح 432 ، معلّقاً عن أحمد بن محمّد ، عن ابن محبوب. </w:t>
      </w:r>
      <w:r w:rsidR="00E3253D" w:rsidRPr="002F4D34">
        <w:rPr>
          <w:rStyle w:val="libFootnoteBoldChar"/>
          <w:rtl/>
        </w:rPr>
        <w:t>الفقيه</w:t>
      </w:r>
      <w:r w:rsidR="00E3253D" w:rsidRPr="005D642E">
        <w:rPr>
          <w:rtl/>
        </w:rPr>
        <w:t xml:space="preserve"> ، ج 1 ، ص 97 ، ذيل ح 203 ؛ </w:t>
      </w:r>
      <w:r w:rsidR="00E3253D" w:rsidRPr="002F4D34">
        <w:rPr>
          <w:rStyle w:val="libFootnoteBoldChar"/>
          <w:rtl/>
        </w:rPr>
        <w:t>فقه الرضا</w:t>
      </w:r>
      <w:r w:rsidR="00E3253D" w:rsidRPr="005D642E">
        <w:rPr>
          <w:rtl/>
        </w:rPr>
        <w:t xml:space="preserve"> </w:t>
      </w:r>
      <w:r w:rsidR="00E3253D" w:rsidRPr="00591486">
        <w:rPr>
          <w:rStyle w:val="libFootnoteAlaemChar"/>
          <w:rtl/>
        </w:rPr>
        <w:t>عليه‌السلام</w:t>
      </w:r>
      <w:r w:rsidR="00E3253D" w:rsidRPr="005D642E">
        <w:rPr>
          <w:rtl/>
        </w:rPr>
        <w:t xml:space="preserve"> ، ص 194 ، وفي الثلاثة الأخيرة مع اختلاف يسير</w:t>
      </w:r>
      <w:r w:rsidR="000F7467">
        <w:rPr>
          <w:rFonts w:hint="cs"/>
          <w:rtl/>
        </w:rPr>
        <w:t>.</w:t>
      </w:r>
      <w:r w:rsidR="00E3253D" w:rsidRPr="002F4D34">
        <w:rPr>
          <w:rStyle w:val="libFootnoteBoldChar"/>
          <w:rtl/>
        </w:rPr>
        <w:t>الوافي</w:t>
      </w:r>
      <w:r w:rsidR="00E3253D" w:rsidRPr="005D642E">
        <w:rPr>
          <w:rtl/>
        </w:rPr>
        <w:t xml:space="preserve"> ، ج 6 ، ص 449 ، ح 4680 ؛ </w:t>
      </w:r>
      <w:r w:rsidR="00E3253D" w:rsidRPr="002F4D34">
        <w:rPr>
          <w:rStyle w:val="libFootnoteBoldChar"/>
          <w:rtl/>
        </w:rPr>
        <w:t>الوسائل</w:t>
      </w:r>
      <w:r w:rsidR="00E3253D" w:rsidRPr="005D642E">
        <w:rPr>
          <w:rtl/>
        </w:rPr>
        <w:t xml:space="preserve"> ، ج 2 ، ص 273 ، ح 2130.</w:t>
      </w:r>
    </w:p>
    <w:p w:rsidR="00E3253D" w:rsidRPr="005D642E" w:rsidRDefault="0042621E" w:rsidP="006269E7">
      <w:pPr>
        <w:pStyle w:val="libFootnote0"/>
        <w:rPr>
          <w:rtl/>
          <w:lang w:bidi="fa-IR"/>
        </w:rPr>
      </w:pPr>
      <w:r w:rsidRPr="0042621E">
        <w:rPr>
          <w:rStyle w:val="libFootnote0Char"/>
          <w:rtl/>
        </w:rPr>
        <w:t>(10).</w:t>
      </w:r>
      <w:r w:rsidR="00E3253D" w:rsidRPr="005D642E">
        <w:rPr>
          <w:rtl/>
        </w:rPr>
        <w:t xml:space="preserve"> في « غ ، ى ، جس ، جن » وحاشية «بح،بخ،بس،بف،جح» والوسائل </w:t>
      </w:r>
      <w:r w:rsidR="00B60612" w:rsidRPr="00B60612">
        <w:rPr>
          <w:rStyle w:val="libFootnoteBoldChar"/>
          <w:rtl/>
        </w:rPr>
        <w:t>والتهذيب</w:t>
      </w:r>
      <w:r w:rsidR="00E3253D" w:rsidRPr="005D642E">
        <w:rPr>
          <w:rtl/>
        </w:rPr>
        <w:t xml:space="preserve"> : « في جوفها »</w:t>
      </w:r>
      <w:r w:rsidR="00E3253D">
        <w:rPr>
          <w:rtl/>
        </w:rPr>
        <w:t>.</w:t>
      </w:r>
    </w:p>
    <w:tbl>
      <w:tblPr>
        <w:tblStyle w:val="TableGrid"/>
        <w:bidiVisual/>
        <w:tblW w:w="0" w:type="auto"/>
        <w:tblLook w:val="04A0" w:firstRow="1" w:lastRow="0" w:firstColumn="1" w:lastColumn="0" w:noHBand="0" w:noVBand="1"/>
      </w:tblPr>
      <w:tblGrid>
        <w:gridCol w:w="4006"/>
        <w:gridCol w:w="4006"/>
      </w:tblGrid>
      <w:tr w:rsidR="006269E7" w:rsidTr="006269E7">
        <w:tc>
          <w:tcPr>
            <w:tcW w:w="4006" w:type="dxa"/>
          </w:tcPr>
          <w:p w:rsidR="006269E7" w:rsidRDefault="006269E7" w:rsidP="00E3253D">
            <w:pPr>
              <w:pStyle w:val="libFootnote0"/>
              <w:rPr>
                <w:rStyle w:val="libFootnote0Char"/>
                <w:rtl/>
                <w:lang w:bidi="fa-IR"/>
              </w:rPr>
            </w:pPr>
            <w:r w:rsidRPr="0042621E">
              <w:rPr>
                <w:rStyle w:val="libFootnote0Char"/>
                <w:rtl/>
              </w:rPr>
              <w:t>(11).</w:t>
            </w:r>
            <w:r w:rsidRPr="005D642E">
              <w:rPr>
                <w:rtl/>
              </w:rPr>
              <w:t xml:space="preserve"> في « بث » : « فالدم »</w:t>
            </w:r>
            <w:r>
              <w:rPr>
                <w:rtl/>
              </w:rPr>
              <w:t>.</w:t>
            </w:r>
          </w:p>
        </w:tc>
        <w:tc>
          <w:tcPr>
            <w:tcW w:w="4006" w:type="dxa"/>
          </w:tcPr>
          <w:p w:rsidR="006269E7" w:rsidRDefault="006269E7" w:rsidP="00E3253D">
            <w:pPr>
              <w:pStyle w:val="libFootnote0"/>
              <w:rPr>
                <w:rStyle w:val="libFootnote0Char"/>
                <w:rtl/>
                <w:lang w:bidi="fa-IR"/>
              </w:rPr>
            </w:pPr>
            <w:r w:rsidRPr="0042621E">
              <w:rPr>
                <w:rStyle w:val="libFootnote0Char"/>
                <w:rtl/>
              </w:rPr>
              <w:t>(12).</w:t>
            </w:r>
            <w:r w:rsidRPr="005D642E">
              <w:rPr>
                <w:rtl/>
              </w:rPr>
              <w:t xml:space="preserve"> في « بخ ، بف » : « لايدري »</w:t>
            </w:r>
            <w:r>
              <w:rPr>
                <w:rtl/>
              </w:rPr>
              <w:t>.</w:t>
            </w:r>
          </w:p>
        </w:tc>
      </w:tr>
    </w:tbl>
    <w:p w:rsidR="00E3253D" w:rsidRDefault="00E3253D" w:rsidP="00E3253D">
      <w:pPr>
        <w:pStyle w:val="libNormal"/>
        <w:rPr>
          <w:rtl/>
          <w:lang w:bidi="fa-IR"/>
        </w:rPr>
      </w:pPr>
      <w:r>
        <w:rPr>
          <w:rtl/>
          <w:lang w:bidi="fa-IR"/>
        </w:rPr>
        <w:br w:type="page"/>
      </w:r>
    </w:p>
    <w:p w:rsidR="00E3253D" w:rsidRDefault="00E3253D" w:rsidP="00E3253D">
      <w:pPr>
        <w:pStyle w:val="libNormal0"/>
        <w:rPr>
          <w:rtl/>
          <w:lang w:bidi="fa-IR"/>
        </w:rPr>
      </w:pPr>
      <w:r w:rsidRPr="005D642E">
        <w:rPr>
          <w:rtl/>
          <w:lang w:bidi="fa-IR"/>
        </w:rPr>
        <w:lastRenderedPageBreak/>
        <w:t xml:space="preserve">مِنْ دَمِ الْحَيْضِ ، أَوْ مِنْ دَمِ الْقَرْحَةِ </w:t>
      </w:r>
      <w:r w:rsidRPr="007C12DB">
        <w:rPr>
          <w:rStyle w:val="libFootnotenumChar"/>
          <w:rtl/>
        </w:rPr>
        <w:t>(1)</w:t>
      </w:r>
      <w:r>
        <w:rPr>
          <w:rtl/>
          <w:lang w:bidi="fa-IR"/>
        </w:rPr>
        <w:t>؟</w:t>
      </w:r>
    </w:p>
    <w:p w:rsidR="00E3253D" w:rsidRPr="005D642E" w:rsidRDefault="00E3253D" w:rsidP="00E3253D">
      <w:pPr>
        <w:pStyle w:val="libNormal"/>
        <w:rPr>
          <w:rtl/>
          <w:lang w:bidi="fa-IR"/>
        </w:rPr>
      </w:pPr>
      <w:r w:rsidRPr="005D642E">
        <w:rPr>
          <w:rtl/>
          <w:lang w:bidi="fa-IR"/>
        </w:rPr>
        <w:t xml:space="preserve">فَقَالَ : « مُرْهَا ، فَلْتَسْتَلْقِ </w:t>
      </w:r>
      <w:r w:rsidRPr="007C12DB">
        <w:rPr>
          <w:rStyle w:val="libFootnotenumChar"/>
          <w:rtl/>
        </w:rPr>
        <w:t>(2)</w:t>
      </w:r>
      <w:r w:rsidRPr="005D642E">
        <w:rPr>
          <w:rtl/>
          <w:lang w:bidi="fa-IR"/>
        </w:rPr>
        <w:t xml:space="preserve"> عَلى ظَهْرِهَا ، ثُمَّ تَرْفَعُ </w:t>
      </w:r>
      <w:r w:rsidRPr="007C12DB">
        <w:rPr>
          <w:rStyle w:val="libFootnotenumChar"/>
          <w:rtl/>
        </w:rPr>
        <w:t>(3)</w:t>
      </w:r>
      <w:r w:rsidRPr="005D642E">
        <w:rPr>
          <w:rtl/>
          <w:lang w:bidi="fa-IR"/>
        </w:rPr>
        <w:t xml:space="preserve"> رِجْلَيْهَا ، ثُمَّ تَسْتَدْخِلُ </w:t>
      </w:r>
      <w:r w:rsidRPr="007C12DB">
        <w:rPr>
          <w:rStyle w:val="libFootnotenumChar"/>
          <w:rtl/>
        </w:rPr>
        <w:t>(4)</w:t>
      </w:r>
      <w:r w:rsidRPr="005D642E">
        <w:rPr>
          <w:rtl/>
          <w:lang w:bidi="fa-IR"/>
        </w:rPr>
        <w:t xml:space="preserve"> إِصْبَعَهَا‌</w:t>
      </w:r>
      <w:r>
        <w:rPr>
          <w:rFonts w:hint="cs"/>
          <w:rtl/>
          <w:lang w:bidi="fa-IR"/>
        </w:rPr>
        <w:t xml:space="preserve"> </w:t>
      </w:r>
      <w:r w:rsidRPr="005D642E">
        <w:rPr>
          <w:rtl/>
          <w:lang w:bidi="fa-IR"/>
        </w:rPr>
        <w:t xml:space="preserve">الْوُسْطى ، فَإِنْ خَرَجَ الدَّمُ مِنَ الْجَانِبِ الْأَيْمَنِ </w:t>
      </w:r>
      <w:r w:rsidRPr="007C12DB">
        <w:rPr>
          <w:rStyle w:val="libFootnotenumChar"/>
          <w:rtl/>
        </w:rPr>
        <w:t>(5)</w:t>
      </w:r>
      <w:r w:rsidRPr="005D642E">
        <w:rPr>
          <w:rtl/>
          <w:lang w:bidi="fa-IR"/>
        </w:rPr>
        <w:t xml:space="preserve"> ، فَهُوَ مِنَ الْحَيْضِ ، وَإِنْ خَرَجَ مِنَ الْجَانِبِ </w:t>
      </w:r>
      <w:r w:rsidRPr="007C12DB">
        <w:rPr>
          <w:rStyle w:val="libFootnotenumChar"/>
          <w:rtl/>
        </w:rPr>
        <w:t>(6)</w:t>
      </w:r>
      <w:r w:rsidRPr="005D642E">
        <w:rPr>
          <w:rtl/>
          <w:lang w:bidi="fa-IR"/>
        </w:rPr>
        <w:t xml:space="preserve"> الْأَيْسَرِ </w:t>
      </w:r>
      <w:r w:rsidRPr="007C12DB">
        <w:rPr>
          <w:rStyle w:val="libFootnotenumChar"/>
          <w:rtl/>
        </w:rPr>
        <w:t>(7)</w:t>
      </w:r>
      <w:r w:rsidRPr="005D642E">
        <w:rPr>
          <w:rtl/>
          <w:lang w:bidi="fa-IR"/>
        </w:rPr>
        <w:t xml:space="preserve"> ، فَهُوَ مِنَ الْقَرْحَةِ </w:t>
      </w:r>
      <w:r w:rsidRPr="007C12DB">
        <w:rPr>
          <w:rStyle w:val="libFootnotenumChar"/>
          <w:rtl/>
        </w:rPr>
        <w:t>(8)</w:t>
      </w:r>
      <w:r w:rsidRPr="005D642E">
        <w:rPr>
          <w:rtl/>
          <w:lang w:bidi="fa-IR"/>
        </w:rPr>
        <w:t xml:space="preserve"> »</w:t>
      </w:r>
      <w:r>
        <w:rPr>
          <w:rtl/>
          <w:lang w:bidi="fa-IR"/>
        </w:rPr>
        <w:t>.</w:t>
      </w:r>
      <w:r w:rsidRPr="005D642E">
        <w:rPr>
          <w:rtl/>
          <w:lang w:bidi="fa-IR"/>
        </w:rPr>
        <w:t xml:space="preserve"> </w:t>
      </w:r>
      <w:r w:rsidRPr="007C12DB">
        <w:rPr>
          <w:rStyle w:val="libFootnotenumChar"/>
          <w:rtl/>
        </w:rPr>
        <w:t>(9)</w:t>
      </w:r>
    </w:p>
    <w:p w:rsidR="00E3253D" w:rsidRPr="005D642E" w:rsidRDefault="00E3253D" w:rsidP="00E3253D">
      <w:pPr>
        <w:pStyle w:val="Heading2Center"/>
        <w:rPr>
          <w:rtl/>
          <w:lang w:bidi="fa-IR"/>
        </w:rPr>
      </w:pPr>
      <w:bookmarkStart w:id="207" w:name="_Toc344647279"/>
      <w:bookmarkStart w:id="208" w:name="_Toc462226794"/>
      <w:bookmarkStart w:id="209" w:name="_Toc40975902"/>
      <w:r w:rsidRPr="005D642E">
        <w:rPr>
          <w:rtl/>
          <w:lang w:bidi="fa-IR"/>
        </w:rPr>
        <w:t>12</w:t>
      </w:r>
      <w:r>
        <w:rPr>
          <w:rtl/>
          <w:lang w:bidi="fa-IR"/>
        </w:rPr>
        <w:t xml:space="preserve"> </w:t>
      </w:r>
      <w:r w:rsidR="007642BC">
        <w:rPr>
          <w:rtl/>
          <w:lang w:bidi="fa-IR"/>
        </w:rPr>
        <w:t>-</w:t>
      </w:r>
      <w:r>
        <w:rPr>
          <w:rtl/>
          <w:lang w:bidi="fa-IR"/>
        </w:rPr>
        <w:t xml:space="preserve"> </w:t>
      </w:r>
      <w:r w:rsidRPr="005D642E">
        <w:rPr>
          <w:rtl/>
          <w:lang w:bidi="fa-IR"/>
        </w:rPr>
        <w:t>بَابُ الْحُبْلى تَرَى الدَّمَ‌</w:t>
      </w:r>
      <w:bookmarkEnd w:id="207"/>
      <w:bookmarkEnd w:id="208"/>
      <w:bookmarkEnd w:id="209"/>
    </w:p>
    <w:p w:rsidR="00E3253D" w:rsidRDefault="00E3253D" w:rsidP="00E3253D">
      <w:pPr>
        <w:pStyle w:val="libNormal"/>
        <w:rPr>
          <w:rtl/>
          <w:lang w:bidi="fa-IR"/>
        </w:rPr>
      </w:pPr>
      <w:r w:rsidRPr="006A6818">
        <w:rPr>
          <w:rtl/>
        </w:rPr>
        <w:t>4193</w:t>
      </w:r>
      <w:r w:rsidRPr="00246318">
        <w:rPr>
          <w:rStyle w:val="libBold2Char"/>
          <w:rtl/>
        </w:rPr>
        <w:t xml:space="preserve"> / 1.</w:t>
      </w:r>
      <w:r w:rsidRPr="005D642E">
        <w:rPr>
          <w:rtl/>
          <w:lang w:bidi="fa-IR"/>
        </w:rPr>
        <w:t xml:space="preserve"> مُحَمَّدُ بْنُ يَحْيى ، عَنْ أَحْمَدَ بْنِ مُحَمَّدٍ ، عَنِ الْحَسَنِ بْنِ مَحْبُوبٍ ، عَنِ الْحُسَيْنِ بْنِ نُعَيْمٍ الصَّحَّافِ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إِنَّ أُمَّ وَلَدِي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تَرَى الدَّمَ وَهِيَ حَامِلٌ : كَيْفَ تَصْنَعُ بِالصَّلَاةِ</w:t>
      </w:r>
      <w:r w:rsidRPr="007C12DB">
        <w:rPr>
          <w:rStyle w:val="libFootnotenumChar"/>
          <w:rtl/>
        </w:rPr>
        <w:t>(</w:t>
      </w:r>
      <w:r w:rsidRPr="007C12DB">
        <w:rPr>
          <w:rStyle w:val="libFootnotenumChar"/>
          <w:rFonts w:hint="cs"/>
          <w:rtl/>
        </w:rPr>
        <w:t>11</w:t>
      </w:r>
      <w:r w:rsidRPr="007C12DB">
        <w:rPr>
          <w:rStyle w:val="libFootnotenumChar"/>
          <w:rtl/>
        </w:rPr>
        <w:t>)</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القَرْحة » : واحدة القرح ، وهي الحبّة تخرج في البدن. وقيل : هو البثر إذا ترامى إلى فساد ، والبثر : الخراج ، وهو كلّ ما يخرج بالبدن ، كالدمّل. راجع : </w:t>
      </w:r>
      <w:r w:rsidR="00E3253D" w:rsidRPr="002F4D34">
        <w:rPr>
          <w:rStyle w:val="libFootnoteBoldChar"/>
          <w:rtl/>
        </w:rPr>
        <w:t>لسان العرب</w:t>
      </w:r>
      <w:r w:rsidR="00E3253D" w:rsidRPr="005D642E">
        <w:rPr>
          <w:rtl/>
        </w:rPr>
        <w:t xml:space="preserve"> ، ج 2 ، ص 557 ؛ </w:t>
      </w:r>
      <w:r w:rsidR="00E3253D" w:rsidRPr="002F4D34">
        <w:rPr>
          <w:rStyle w:val="libFootnoteBoldChar"/>
          <w:rtl/>
        </w:rPr>
        <w:t>مجمع البحرين</w:t>
      </w:r>
      <w:r w:rsidR="00E3253D" w:rsidRPr="005D642E">
        <w:rPr>
          <w:rtl/>
        </w:rPr>
        <w:t xml:space="preserve"> ، ج 2 ، ص 403 ( قرح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الاستلقاء : النوم. وقيل : الاستلقاء على القفا ، وكلّ شي كان فيه كالانبطاح ففيه استلقاء ، واستلقى على قفاه : نام. راجع : </w:t>
      </w:r>
      <w:r w:rsidR="00E3253D" w:rsidRPr="002F4D34">
        <w:rPr>
          <w:rStyle w:val="libFootnoteBoldChar"/>
          <w:rtl/>
        </w:rPr>
        <w:t>لسان العرب</w:t>
      </w:r>
      <w:r w:rsidR="00E3253D" w:rsidRPr="005D642E">
        <w:rPr>
          <w:rtl/>
        </w:rPr>
        <w:t xml:space="preserve"> ، ج 15 ، ص 256 ؛ </w:t>
      </w:r>
      <w:r w:rsidR="00E3253D" w:rsidRPr="002F4D34">
        <w:rPr>
          <w:rStyle w:val="libFootnoteBoldChar"/>
          <w:rtl/>
        </w:rPr>
        <w:t>القاموس المحيط</w:t>
      </w:r>
      <w:r w:rsidR="00E3253D" w:rsidRPr="005D642E">
        <w:rPr>
          <w:rtl/>
        </w:rPr>
        <w:t xml:space="preserve"> ، ج 2 ، ص 1745 ( لقا )</w:t>
      </w:r>
      <w:r w:rsidR="00E3253D">
        <w:rPr>
          <w:rtl/>
        </w:rPr>
        <w:t>.</w:t>
      </w:r>
    </w:p>
    <w:tbl>
      <w:tblPr>
        <w:tblStyle w:val="TableGrid"/>
        <w:bidiVisual/>
        <w:tblW w:w="0" w:type="auto"/>
        <w:tblLook w:val="04A0" w:firstRow="1" w:lastRow="0" w:firstColumn="1" w:lastColumn="0" w:noHBand="0" w:noVBand="1"/>
      </w:tblPr>
      <w:tblGrid>
        <w:gridCol w:w="4006"/>
        <w:gridCol w:w="4006"/>
      </w:tblGrid>
      <w:tr w:rsidR="00201A17" w:rsidTr="00201A17">
        <w:tc>
          <w:tcPr>
            <w:tcW w:w="4006" w:type="dxa"/>
          </w:tcPr>
          <w:p w:rsidR="00201A17" w:rsidRDefault="00201A17" w:rsidP="00201A17">
            <w:pPr>
              <w:pStyle w:val="libFootnote0"/>
              <w:rPr>
                <w:rStyle w:val="libFootnote0Char"/>
                <w:rtl/>
              </w:rPr>
            </w:pPr>
            <w:r w:rsidRPr="0042621E">
              <w:rPr>
                <w:rStyle w:val="libFootnote0Char"/>
                <w:rtl/>
              </w:rPr>
              <w:t>(3).</w:t>
            </w:r>
            <w:r w:rsidRPr="005D642E">
              <w:rPr>
                <w:rtl/>
              </w:rPr>
              <w:t xml:space="preserve"> في«جس»وحاشية«ظ»</w:t>
            </w:r>
            <w:r w:rsidRPr="00B60612">
              <w:rPr>
                <w:rStyle w:val="libFootnoteBoldChar"/>
                <w:rtl/>
              </w:rPr>
              <w:t>والتهذيب</w:t>
            </w:r>
            <w:r w:rsidRPr="005D642E">
              <w:rPr>
                <w:rtl/>
              </w:rPr>
              <w:t xml:space="preserve"> : « وترفع »</w:t>
            </w:r>
            <w:r>
              <w:rPr>
                <w:rtl/>
              </w:rPr>
              <w:t>.</w:t>
            </w:r>
          </w:p>
        </w:tc>
        <w:tc>
          <w:tcPr>
            <w:tcW w:w="4006" w:type="dxa"/>
          </w:tcPr>
          <w:p w:rsidR="00201A17" w:rsidRDefault="00201A17" w:rsidP="00201A17">
            <w:pPr>
              <w:pStyle w:val="libFootnote0"/>
              <w:rPr>
                <w:rStyle w:val="libFootnote0Char"/>
                <w:rtl/>
              </w:rPr>
            </w:pPr>
            <w:r w:rsidRPr="0042621E">
              <w:rPr>
                <w:rStyle w:val="libFootnote0Char"/>
                <w:rtl/>
              </w:rPr>
              <w:t>(4).</w:t>
            </w:r>
            <w:r w:rsidRPr="005D642E">
              <w:rPr>
                <w:rtl/>
              </w:rPr>
              <w:t xml:space="preserve"> في«غ،جح،جس»وحاشية«ظ»:« وتستدخل »</w:t>
            </w:r>
            <w:r>
              <w:rPr>
                <w:rtl/>
              </w:rPr>
              <w:t>.</w:t>
            </w:r>
          </w:p>
        </w:tc>
      </w:tr>
      <w:tr w:rsidR="00201A17" w:rsidTr="00201A17">
        <w:tc>
          <w:tcPr>
            <w:tcW w:w="4006" w:type="dxa"/>
          </w:tcPr>
          <w:p w:rsidR="00201A17" w:rsidRDefault="00201A17" w:rsidP="00E3253D">
            <w:pPr>
              <w:pStyle w:val="libFootnote0"/>
              <w:rPr>
                <w:rStyle w:val="libFootnote0Char"/>
                <w:rtl/>
              </w:rPr>
            </w:pPr>
            <w:r w:rsidRPr="0042621E">
              <w:rPr>
                <w:rStyle w:val="libFootnote0Char"/>
                <w:rtl/>
              </w:rPr>
              <w:t>(5).</w:t>
            </w:r>
            <w:r w:rsidRPr="005D642E">
              <w:rPr>
                <w:rtl/>
              </w:rPr>
              <w:t xml:space="preserve"> في التهذيب : « الأيسر »</w:t>
            </w:r>
            <w:r>
              <w:rPr>
                <w:rtl/>
              </w:rPr>
              <w:t>.</w:t>
            </w:r>
          </w:p>
        </w:tc>
        <w:tc>
          <w:tcPr>
            <w:tcW w:w="4006" w:type="dxa"/>
          </w:tcPr>
          <w:p w:rsidR="00201A17" w:rsidRDefault="00201A17" w:rsidP="00E3253D">
            <w:pPr>
              <w:pStyle w:val="libFootnote0"/>
              <w:rPr>
                <w:rStyle w:val="libFootnote0Char"/>
                <w:rtl/>
              </w:rPr>
            </w:pPr>
            <w:r w:rsidRPr="0042621E">
              <w:rPr>
                <w:rStyle w:val="libFootnote0Char"/>
                <w:rtl/>
              </w:rPr>
              <w:t>(6).</w:t>
            </w:r>
            <w:r w:rsidRPr="005D642E">
              <w:rPr>
                <w:rtl/>
              </w:rPr>
              <w:t xml:space="preserve"> في مرآة العقول : « من جانب »</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 « الأيمن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الوافي</w:t>
      </w:r>
      <w:r w:rsidR="00E3253D" w:rsidRPr="005D642E">
        <w:rPr>
          <w:rtl/>
        </w:rPr>
        <w:t xml:space="preserve"> : « كذا وجد هذا الخبر في نسخ الكافي كافّة ، وفي كلام صاحب </w:t>
      </w:r>
      <w:r w:rsidR="00E3253D" w:rsidRPr="002F4D34">
        <w:rPr>
          <w:rStyle w:val="libFootnoteBoldChar"/>
          <w:rtl/>
        </w:rPr>
        <w:t>الفقيه</w:t>
      </w:r>
      <w:r w:rsidR="00E3253D" w:rsidRPr="005D642E">
        <w:rPr>
          <w:rtl/>
        </w:rPr>
        <w:t xml:space="preserve"> وبعض نسخ </w:t>
      </w:r>
      <w:r w:rsidR="00E3253D" w:rsidRPr="002F4D34">
        <w:rPr>
          <w:rStyle w:val="libFootnoteBoldChar"/>
          <w:rtl/>
        </w:rPr>
        <w:t>التهذيب</w:t>
      </w:r>
      <w:r w:rsidR="00E3253D" w:rsidRPr="005D642E">
        <w:rPr>
          <w:rtl/>
        </w:rPr>
        <w:t xml:space="preserve"> عكس الأيمن والأيسر ، ونقل عن ابن طاووس </w:t>
      </w:r>
      <w:r w:rsidR="00E3253D" w:rsidRPr="00D73EF3">
        <w:rPr>
          <w:rStyle w:val="libFootnoteAlaemChar"/>
          <w:rtl/>
        </w:rPr>
        <w:t>رحمه‌الله</w:t>
      </w:r>
      <w:r w:rsidR="00E3253D" w:rsidRPr="005D642E">
        <w:rPr>
          <w:rtl/>
        </w:rPr>
        <w:t xml:space="preserve"> أنّه قطع بأنّ الغلط وقع من النسّاخ في النسخ الجديدة من </w:t>
      </w:r>
      <w:r w:rsidR="00E3253D" w:rsidRPr="002F4D34">
        <w:rPr>
          <w:rStyle w:val="libFootnoteBoldChar"/>
          <w:rtl/>
        </w:rPr>
        <w:t>التهذيب</w:t>
      </w:r>
      <w:r w:rsidR="00E3253D" w:rsidRPr="005D642E">
        <w:rPr>
          <w:rtl/>
        </w:rPr>
        <w:t xml:space="preserve"> ، وكأنّه غفل عن نسخ الفقيه ، وعلى هذا يشكل العمل بهذا الحكم وإن كان الاعتماد على </w:t>
      </w:r>
      <w:r w:rsidR="00E3253D" w:rsidRPr="002F4D34">
        <w:rPr>
          <w:rStyle w:val="libFootnoteBoldChar"/>
          <w:rtl/>
        </w:rPr>
        <w:t>الكافى</w:t>
      </w:r>
      <w:r w:rsidR="00E3253D" w:rsidRPr="005D642E">
        <w:rPr>
          <w:rtl/>
        </w:rPr>
        <w:t xml:space="preserve"> أكثر »</w:t>
      </w:r>
      <w:r w:rsidR="00E3253D">
        <w:rPr>
          <w:rtl/>
        </w:rPr>
        <w:t>.</w:t>
      </w:r>
      <w:r w:rsidR="00E3253D" w:rsidRPr="005D642E">
        <w:rPr>
          <w:rtl/>
        </w:rPr>
        <w:t xml:space="preserve"> وللمزيد راجع : </w:t>
      </w:r>
      <w:r w:rsidR="00E3253D" w:rsidRPr="002F4D34">
        <w:rPr>
          <w:rStyle w:val="libFootnoteBoldChar"/>
          <w:rtl/>
        </w:rPr>
        <w:t>مرآة العقول</w:t>
      </w:r>
      <w:r w:rsidR="00E3253D" w:rsidRPr="005D642E">
        <w:rPr>
          <w:rtl/>
        </w:rPr>
        <w:t xml:space="preserve"> ، ج 13 ، ص 235</w:t>
      </w:r>
      <w:r w:rsidR="00E3253D">
        <w:rPr>
          <w:rtl/>
        </w:rPr>
        <w:t xml:space="preserve"> </w:t>
      </w:r>
      <w:r w:rsidR="007642BC">
        <w:rPr>
          <w:rtl/>
        </w:rPr>
        <w:t>-</w:t>
      </w:r>
      <w:r w:rsidR="00E3253D">
        <w:rPr>
          <w:rtl/>
        </w:rPr>
        <w:t xml:space="preserve"> </w:t>
      </w:r>
      <w:r w:rsidR="00E3253D" w:rsidRPr="005D642E">
        <w:rPr>
          <w:rtl/>
        </w:rPr>
        <w:t>236.</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385 ، ح 1185 ، معلّقاً عن محمّد بن يحيى. </w:t>
      </w:r>
      <w:r w:rsidR="00E3253D" w:rsidRPr="002F4D34">
        <w:rPr>
          <w:rStyle w:val="libFootnoteBoldChar"/>
          <w:rtl/>
        </w:rPr>
        <w:t>الفقيه</w:t>
      </w:r>
      <w:r w:rsidR="00E3253D" w:rsidRPr="005D642E">
        <w:rPr>
          <w:rtl/>
        </w:rPr>
        <w:t xml:space="preserve"> ، ج 1 ، ص 96 ، ذيل ح 203 ؛ </w:t>
      </w:r>
      <w:r w:rsidR="00E3253D" w:rsidRPr="002F4D34">
        <w:rPr>
          <w:rStyle w:val="libFootnoteBoldChar"/>
          <w:rtl/>
        </w:rPr>
        <w:t>فقه الرضا</w:t>
      </w:r>
      <w:r w:rsidR="00E3253D" w:rsidRPr="005D642E">
        <w:rPr>
          <w:rtl/>
        </w:rPr>
        <w:t xml:space="preserve"> </w:t>
      </w:r>
      <w:r w:rsidR="00E3253D" w:rsidRPr="00585EE1">
        <w:rPr>
          <w:rStyle w:val="libFootnoteAlaemChar"/>
          <w:rtl/>
        </w:rPr>
        <w:t>عليه‌السلام</w:t>
      </w:r>
      <w:r w:rsidR="00E3253D" w:rsidRPr="005D642E">
        <w:rPr>
          <w:rtl/>
        </w:rPr>
        <w:t xml:space="preserve"> ، ص 191 </w:t>
      </w:r>
      <w:r w:rsidR="00585EE1">
        <w:rPr>
          <w:rFonts w:hint="cs"/>
          <w:rtl/>
        </w:rPr>
        <w:t>.</w:t>
      </w:r>
      <w:r w:rsidR="00E3253D" w:rsidRPr="002F4D34">
        <w:rPr>
          <w:rStyle w:val="libFootnoteBoldChar"/>
          <w:rtl/>
        </w:rPr>
        <w:t>الوافي</w:t>
      </w:r>
      <w:r w:rsidR="00E3253D" w:rsidRPr="005D642E">
        <w:rPr>
          <w:rtl/>
        </w:rPr>
        <w:t xml:space="preserve"> ، ج 6 ، ص 449 ، ح 4681 ؛ </w:t>
      </w:r>
      <w:r w:rsidR="00E3253D" w:rsidRPr="002F4D34">
        <w:rPr>
          <w:rStyle w:val="libFootnoteBoldChar"/>
          <w:rtl/>
        </w:rPr>
        <w:t>الوسائل</w:t>
      </w:r>
      <w:r w:rsidR="00E3253D" w:rsidRPr="005D642E">
        <w:rPr>
          <w:rtl/>
        </w:rPr>
        <w:t xml:space="preserve"> ، ج 2 ، ص 307 ، ح 2209.</w:t>
      </w:r>
    </w:p>
    <w:p w:rsidR="00E3253D" w:rsidRPr="005D642E" w:rsidRDefault="0042621E" w:rsidP="00E3253D">
      <w:pPr>
        <w:pStyle w:val="libFootnote0"/>
        <w:rPr>
          <w:rtl/>
          <w:lang w:bidi="fa-IR"/>
        </w:rPr>
      </w:pPr>
      <w:r w:rsidRPr="0042621E">
        <w:rPr>
          <w:rStyle w:val="libFootnote0Char"/>
          <w:rtl/>
        </w:rPr>
        <w:t>(10).</w:t>
      </w:r>
      <w:r w:rsidR="00E3253D">
        <w:rPr>
          <w:rtl/>
        </w:rPr>
        <w:t xml:space="preserve"> </w:t>
      </w:r>
      <w:r w:rsidR="00E3253D" w:rsidRPr="005D642E">
        <w:rPr>
          <w:rtl/>
        </w:rPr>
        <w:t xml:space="preserve">في الوافي </w:t>
      </w:r>
      <w:r w:rsidR="00B60612" w:rsidRPr="00B60612">
        <w:rPr>
          <w:rStyle w:val="libFootnoteBoldChar"/>
          <w:rtl/>
        </w:rPr>
        <w:t>والتهذيب</w:t>
      </w:r>
      <w:r w:rsidR="00E3253D" w:rsidRPr="005D642E">
        <w:rPr>
          <w:rtl/>
        </w:rPr>
        <w:t xml:space="preserve"> ، ص 168 : « ا</w:t>
      </w:r>
      <w:r w:rsidR="00D97E49">
        <w:rPr>
          <w:rFonts w:hint="cs"/>
          <w:rtl/>
        </w:rPr>
        <w:t>ُ</w:t>
      </w:r>
      <w:r w:rsidR="00E3253D" w:rsidRPr="005D642E">
        <w:rPr>
          <w:rtl/>
        </w:rPr>
        <w:t>مّ ولد لي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بالصلاة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فَقَالَ لِي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 « إِذَا رَأَتِ الْحَامِلُ الدَّمَ بَعْدَ مَا يَمْضِي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عِشْرُونَ يَوْماً مِنَ الْوَقْتِ الَّذِي كَانَتْ تَرى فِيهِ الدَّمَ مِنَ الشَّهْرِ الَّذِي كَانَتْ تَقْعُدُ فِيهِ ، فَإِنَّ ذلِكَ لَيْسَ مِنَ الرَّحِمِ ، وَلَامِنَ الطَّمْثِ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 فَلْتَتَوَضَّأْ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 وَتَحْتَشِي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بِكُرْسُفٍ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 وَتُصَلِّي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 وَإِذَا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رَأَتِ الْحَامِلُ الدَّمَ قَبْلَ الْوَقْتِ الَّذِي كَانَتْ تَرى فِيهِ الدَّمَ بِقَلِيلٍ </w:t>
      </w:r>
      <w:r w:rsidRPr="007C12DB">
        <w:rPr>
          <w:rStyle w:val="libFootnotenumChar"/>
          <w:rtl/>
        </w:rPr>
        <w:t>(</w:t>
      </w:r>
      <w:r w:rsidRPr="007C12DB">
        <w:rPr>
          <w:rStyle w:val="libFootnotenumChar"/>
          <w:rFonts w:hint="cs"/>
          <w:rtl/>
        </w:rPr>
        <w:t>9</w:t>
      </w:r>
      <w:r w:rsidRPr="007C12DB">
        <w:rPr>
          <w:rStyle w:val="libFootnotenumChar"/>
          <w:rtl/>
        </w:rPr>
        <w:t>)</w:t>
      </w:r>
      <w:r w:rsidRPr="005D642E">
        <w:rPr>
          <w:rtl/>
          <w:lang w:bidi="fa-IR"/>
        </w:rPr>
        <w:t xml:space="preserve"> ، أَوْ فِي الْوَقْتِ مِنْ ذلِكَ الشَّهْرِ ، فَإِنَّهُ مِنَ الْحَيْضَةِ ، فَلْتُمْسِكْ عَنِ الصَّلَاةِ عَدَدَ أَيَّامِهَا الَّتِي كَانَتْ تَقْعُدُ فِي حَيْضِهَا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 فَإِنِ انْقَطَعَ الدَّمُ عَنْهَا </w:t>
      </w:r>
      <w:r w:rsidRPr="007C12DB">
        <w:rPr>
          <w:rStyle w:val="libFootnotenumChar"/>
          <w:rtl/>
        </w:rPr>
        <w:t>(</w:t>
      </w:r>
      <w:r w:rsidRPr="007C12DB">
        <w:rPr>
          <w:rStyle w:val="libFootnotenumChar"/>
          <w:rFonts w:hint="cs"/>
          <w:rtl/>
        </w:rPr>
        <w:t>11</w:t>
      </w:r>
      <w:r w:rsidRPr="007C12DB">
        <w:rPr>
          <w:rStyle w:val="libFootnotenumChar"/>
          <w:rtl/>
        </w:rPr>
        <w:t>)</w:t>
      </w:r>
      <w:r w:rsidRPr="005D642E">
        <w:rPr>
          <w:rtl/>
          <w:lang w:bidi="fa-IR"/>
        </w:rPr>
        <w:t xml:space="preserve"> قَبْلَ ذلِكَ ، فَلْتَغْتَسِلْ وَلْتُصَلِّ ؛ وَإِنْ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لَمْ ي</w:t>
      </w:r>
      <w:r w:rsidR="004C7488">
        <w:rPr>
          <w:rtl/>
          <w:lang w:bidi="fa-IR"/>
        </w:rPr>
        <w:t>َنْقَطِعِ الدَّمُ عَنْهَا إِل</w:t>
      </w:r>
      <w:r w:rsidR="004C7488">
        <w:rPr>
          <w:rFonts w:hint="cs"/>
          <w:rtl/>
          <w:lang w:bidi="fa-IR"/>
        </w:rPr>
        <w:t>َّ</w:t>
      </w:r>
      <w:r w:rsidR="004C7488">
        <w:rPr>
          <w:rtl/>
          <w:lang w:bidi="fa-IR"/>
        </w:rPr>
        <w:t>ا</w:t>
      </w:r>
      <w:r w:rsidRPr="005D642E">
        <w:rPr>
          <w:rtl/>
          <w:lang w:bidi="fa-IR"/>
        </w:rPr>
        <w:t xml:space="preserve"> بَعْدَ مَا تَمْضِي الْأَيَّامُ الَّتِي كَانَتْ تَرى فِيهَا الدَّمَ </w:t>
      </w:r>
      <w:r w:rsidRPr="007C12DB">
        <w:rPr>
          <w:rStyle w:val="libFootnotenumChar"/>
          <w:rtl/>
        </w:rPr>
        <w:t>(</w:t>
      </w:r>
      <w:r w:rsidRPr="007C12DB">
        <w:rPr>
          <w:rStyle w:val="libFootnotenumChar"/>
          <w:rFonts w:hint="cs"/>
          <w:rtl/>
        </w:rPr>
        <w:t>13</w:t>
      </w:r>
      <w:r w:rsidRPr="007C12DB">
        <w:rPr>
          <w:rStyle w:val="libFootnotenumChar"/>
          <w:rtl/>
        </w:rPr>
        <w:t>)</w:t>
      </w:r>
      <w:r w:rsidRPr="005D642E">
        <w:rPr>
          <w:rtl/>
          <w:lang w:bidi="fa-IR"/>
        </w:rPr>
        <w:t xml:space="preserve"> بِيَوْمٍ أَوْ يَوْمَيْنِ ، فَلْتَغْتَسِلْ ، ثُمَّ تَحْتَشِي </w:t>
      </w:r>
      <w:r w:rsidRPr="007C12DB">
        <w:rPr>
          <w:rStyle w:val="libFootnotenumChar"/>
          <w:rtl/>
        </w:rPr>
        <w:t>(</w:t>
      </w:r>
      <w:r w:rsidRPr="007C12DB">
        <w:rPr>
          <w:rStyle w:val="libFootnotenumChar"/>
          <w:rFonts w:hint="cs"/>
          <w:rtl/>
        </w:rPr>
        <w:t>14</w:t>
      </w:r>
      <w:r w:rsidRPr="007C12DB">
        <w:rPr>
          <w:rStyle w:val="libFootnotenumChar"/>
          <w:rtl/>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لي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ظ ، غ ، ى ، بث ، بح ، بس ، جح ، جس » </w:t>
      </w:r>
      <w:r w:rsidR="000D749A" w:rsidRPr="00AD7CAC">
        <w:rPr>
          <w:rtl/>
        </w:rPr>
        <w:t>والوافي</w:t>
      </w:r>
      <w:r w:rsidR="00E3253D" w:rsidRPr="005D642E">
        <w:rPr>
          <w:rtl/>
        </w:rPr>
        <w:t xml:space="preserve"> والوسائل ، ح 2279 </w:t>
      </w:r>
      <w:r w:rsidR="00B60612" w:rsidRPr="00AD7CAC">
        <w:rPr>
          <w:rtl/>
        </w:rPr>
        <w:t>والتهذيب</w:t>
      </w:r>
      <w:r w:rsidR="00E3253D" w:rsidRPr="005D642E">
        <w:rPr>
          <w:rtl/>
        </w:rPr>
        <w:t>. وفي « بخ » والمطبوع : « تمضي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الطمث » : الحيض. وقيل : إذا حاضت أوّل ما تحيض. وخصّ بعضهم به حيض الجارية. راجع : </w:t>
      </w:r>
      <w:r w:rsidR="00E3253D" w:rsidRPr="002F4D34">
        <w:rPr>
          <w:rStyle w:val="libFootnoteBoldChar"/>
          <w:rtl/>
        </w:rPr>
        <w:t>لسان العرب</w:t>
      </w:r>
      <w:r w:rsidR="00E3253D" w:rsidRPr="005D642E">
        <w:rPr>
          <w:rtl/>
        </w:rPr>
        <w:t xml:space="preserve"> ، ج 2 ، ص 165 ؛ </w:t>
      </w:r>
      <w:r w:rsidR="00E3253D" w:rsidRPr="002F4D34">
        <w:rPr>
          <w:rStyle w:val="libFootnoteBoldChar"/>
          <w:rtl/>
        </w:rPr>
        <w:t>القاموس المحيط</w:t>
      </w:r>
      <w:r w:rsidR="00E3253D" w:rsidRPr="005D642E">
        <w:rPr>
          <w:rtl/>
        </w:rPr>
        <w:t xml:space="preserve"> ، ج 1 ، ص 273 ( طمث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 « فتوضّأ »</w:t>
      </w:r>
      <w:r w:rsidR="00E3253D">
        <w:rPr>
          <w:rtl/>
        </w:rPr>
        <w:t>.</w:t>
      </w:r>
      <w:r w:rsidR="00E3253D" w:rsidRPr="005D642E">
        <w:rPr>
          <w:rtl/>
        </w:rPr>
        <w:t xml:space="preserve"> وفي « جن » : « فلتوضّ »</w:t>
      </w:r>
      <w:r w:rsidR="00E3253D">
        <w:rPr>
          <w:rtl/>
        </w:rPr>
        <w:t>.</w:t>
      </w:r>
      <w:r w:rsidR="00E3253D" w:rsidRPr="005D642E">
        <w:rPr>
          <w:rtl/>
        </w:rPr>
        <w:t xml:space="preserve"> وفي حاشية « غ » </w:t>
      </w:r>
      <w:r w:rsidR="00B60612" w:rsidRPr="00B60612">
        <w:rPr>
          <w:rStyle w:val="libFootnoteBoldChar"/>
          <w:rtl/>
        </w:rPr>
        <w:t>والتهذيب</w:t>
      </w:r>
      <w:r w:rsidR="00591486">
        <w:rPr>
          <w:rtl/>
        </w:rPr>
        <w:t xml:space="preserve"> ، ص 388 : « فلتوضّأ</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جس » وحاشية « بث ، جن » </w:t>
      </w:r>
      <w:r w:rsidR="00B60612" w:rsidRPr="00B60612">
        <w:rPr>
          <w:rStyle w:val="libFootnoteBoldChar"/>
          <w:rtl/>
        </w:rPr>
        <w:t>والتهذيب</w:t>
      </w:r>
      <w:r w:rsidR="00E3253D" w:rsidRPr="005D642E">
        <w:rPr>
          <w:rtl/>
        </w:rPr>
        <w:t xml:space="preserve"> ، ص 168 : « ولتحتش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بث ، بح ، بس ، بف ، جح ، جن » </w:t>
      </w:r>
      <w:r w:rsidR="00B60612" w:rsidRPr="00B60612">
        <w:rPr>
          <w:rStyle w:val="libFootnoteBoldChar"/>
          <w:rtl/>
        </w:rPr>
        <w:t>والتهذيب</w:t>
      </w:r>
      <w:r w:rsidR="00E3253D" w:rsidRPr="005D642E">
        <w:rPr>
          <w:rtl/>
        </w:rPr>
        <w:t xml:space="preserve"> ، ص 168 : « بالكرسف »</w:t>
      </w:r>
      <w:r w:rsidR="00E3253D">
        <w:rPr>
          <w:rtl/>
        </w:rPr>
        <w:t>.</w:t>
      </w:r>
      <w:r w:rsidR="00E3253D" w:rsidRPr="005D642E">
        <w:rPr>
          <w:rtl/>
        </w:rPr>
        <w:t xml:space="preserve"> وفي « جس » : « الكرسف »</w:t>
      </w:r>
      <w:r w:rsidR="00E3253D">
        <w:rPr>
          <w:rtl/>
        </w:rPr>
        <w:t>.</w:t>
      </w:r>
      <w:r w:rsidR="00E3253D" w:rsidRPr="005D642E">
        <w:rPr>
          <w:rtl/>
        </w:rPr>
        <w:t xml:space="preserve"> والاحتشاء بالكرسف : استدخالها إيّاه في نفسها يمنع الدم من القطر. راجع : النهاية ، ج 1 ، ص 392 ؛ لسان العرب ، ج 14 ، ص 179 ( حشا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 ح 2279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المطبوع : « وتصلّ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w:t>
      </w:r>
      <w:r w:rsidR="00B60612" w:rsidRPr="00B60612">
        <w:rPr>
          <w:rStyle w:val="libFootnoteBoldChar"/>
          <w:rtl/>
        </w:rPr>
        <w:t>والتهذيب</w:t>
      </w:r>
      <w:r w:rsidR="00E3253D" w:rsidRPr="005D642E">
        <w:rPr>
          <w:rtl/>
        </w:rPr>
        <w:t xml:space="preserve"> ، ص 388 : « فإذا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الاستبصار : « القليل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بح » والوسائل ، ح 2396 : « في حيضتها »</w:t>
      </w:r>
      <w:r w:rsidR="00E3253D">
        <w:rPr>
          <w:rtl/>
        </w:rPr>
        <w:t>.</w:t>
      </w:r>
      <w:r w:rsidR="00E3253D" w:rsidRPr="005D642E">
        <w:rPr>
          <w:rtl/>
        </w:rPr>
        <w:t xml:space="preserve"> وفي التهذيب ، ص 388 : « في أيّام حيضها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Pr>
          <w:rtl/>
        </w:rPr>
        <w:t xml:space="preserve"> </w:t>
      </w:r>
      <w:r w:rsidR="00E3253D" w:rsidRPr="005D642E">
        <w:rPr>
          <w:rtl/>
        </w:rPr>
        <w:t>في الوسائل ، ح 2279 وح 2396 : « عنها الدم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الاستبصار : « فإن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ظ ، غ ، جس » والوسائل ، ح 2396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الدم فيها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ظ ، ى » وحاشية « غ ، بح ، جح » : « ثمّ تحتش »</w:t>
      </w:r>
      <w:r w:rsidR="00E3253D">
        <w:rPr>
          <w:rtl/>
        </w:rPr>
        <w:t>.</w:t>
      </w:r>
      <w:r w:rsidR="00E3253D" w:rsidRPr="005D642E">
        <w:rPr>
          <w:rtl/>
        </w:rPr>
        <w:t xml:space="preserve"> وفي التهذيب ، ص 168 : « ولتحتش »</w:t>
      </w:r>
      <w:r w:rsidR="00E3253D">
        <w:rPr>
          <w:rtl/>
        </w:rPr>
        <w:t>.</w:t>
      </w:r>
      <w:r w:rsidR="00E3253D" w:rsidRPr="005D642E">
        <w:rPr>
          <w:rtl/>
        </w:rPr>
        <w:t xml:space="preserve"> وفي التهذيب ، ص 388 </w:t>
      </w:r>
      <w:r w:rsidR="00E3253D" w:rsidRPr="00E678B5">
        <w:rPr>
          <w:rStyle w:val="libFootnoteBoldChar"/>
          <w:rtl/>
        </w:rPr>
        <w:t>والاستبصار</w:t>
      </w:r>
      <w:r w:rsidR="00E3253D" w:rsidRPr="005D642E">
        <w:rPr>
          <w:rtl/>
        </w:rPr>
        <w:t xml:space="preserve"> : « وتحتشي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وَتَسْتَثْفِرُ </w:t>
      </w:r>
      <w:r w:rsidRPr="007C12DB">
        <w:rPr>
          <w:rStyle w:val="libFootnotenumChar"/>
          <w:rtl/>
        </w:rPr>
        <w:t>(1)</w:t>
      </w:r>
      <w:r w:rsidRPr="005D642E">
        <w:rPr>
          <w:rtl/>
          <w:lang w:bidi="fa-IR"/>
        </w:rPr>
        <w:t xml:space="preserve"> ، وَتُصَلِّي </w:t>
      </w:r>
      <w:r w:rsidRPr="007C12DB">
        <w:rPr>
          <w:rStyle w:val="libFootnotenumChar"/>
          <w:rtl/>
        </w:rPr>
        <w:t>(2)</w:t>
      </w:r>
      <w:r w:rsidRPr="005D642E">
        <w:rPr>
          <w:rtl/>
          <w:lang w:bidi="fa-IR"/>
        </w:rPr>
        <w:t xml:space="preserve"> الظُّهْرَ وَالْعَصْرَ ، ثُمَّ لْتَنْظُرْ </w:t>
      </w:r>
      <w:r w:rsidRPr="007C12DB">
        <w:rPr>
          <w:rStyle w:val="libFootnotenumChar"/>
          <w:rtl/>
        </w:rPr>
        <w:t>(3)</w:t>
      </w:r>
      <w:r w:rsidRPr="005D642E">
        <w:rPr>
          <w:rtl/>
          <w:lang w:bidi="fa-IR"/>
        </w:rPr>
        <w:t xml:space="preserve"> ، فَإِنْ كَانَ الدَّمُ </w:t>
      </w:r>
      <w:r w:rsidRPr="007C12DB">
        <w:rPr>
          <w:rStyle w:val="libFootnotenumChar"/>
          <w:rtl/>
        </w:rPr>
        <w:t>(4)</w:t>
      </w:r>
      <w:r w:rsidRPr="005D642E">
        <w:rPr>
          <w:rtl/>
          <w:lang w:bidi="fa-IR"/>
        </w:rPr>
        <w:t xml:space="preserve"> فِيمَا بَيْنَهَا </w:t>
      </w:r>
      <w:r w:rsidRPr="007C12DB">
        <w:rPr>
          <w:rStyle w:val="libFootnotenumChar"/>
          <w:rtl/>
        </w:rPr>
        <w:t>(5)</w:t>
      </w:r>
      <w:r w:rsidRPr="005D642E">
        <w:rPr>
          <w:rtl/>
          <w:lang w:bidi="fa-IR"/>
        </w:rPr>
        <w:t xml:space="preserve"> وَبَيْنَ</w:t>
      </w:r>
      <w:r>
        <w:rPr>
          <w:rFonts w:hint="cs"/>
          <w:rtl/>
          <w:lang w:bidi="fa-IR"/>
        </w:rPr>
        <w:t xml:space="preserve"> </w:t>
      </w:r>
      <w:r w:rsidRPr="005D642E">
        <w:rPr>
          <w:rtl/>
          <w:lang w:bidi="fa-IR"/>
        </w:rPr>
        <w:t xml:space="preserve">الْمَغْرِبِ لَايَسِيلُ مِنْ خَلْفِ الْكُرْسُفِ ، فَلْتَتَوَضَّأْ </w:t>
      </w:r>
      <w:r w:rsidRPr="007C12DB">
        <w:rPr>
          <w:rStyle w:val="libFootnotenumChar"/>
          <w:rtl/>
        </w:rPr>
        <w:t>(6)</w:t>
      </w:r>
      <w:r w:rsidRPr="005D642E">
        <w:rPr>
          <w:rtl/>
          <w:lang w:bidi="fa-IR"/>
        </w:rPr>
        <w:t xml:space="preserve"> ، وَلْتُصَلِّ عِنْدَ وَقْتِ كُلِّ </w:t>
      </w:r>
      <w:r w:rsidRPr="007C12DB">
        <w:rPr>
          <w:rStyle w:val="libFootnotenumChar"/>
          <w:rtl/>
        </w:rPr>
        <w:t>(7)</w:t>
      </w:r>
      <w:r w:rsidRPr="005D642E">
        <w:rPr>
          <w:rtl/>
          <w:lang w:bidi="fa-IR"/>
        </w:rPr>
        <w:t xml:space="preserve"> صَلَاةٍ مَا لَمْ تَطْرَحِ الْكُرْسُفَ </w:t>
      </w:r>
      <w:r w:rsidRPr="007C12DB">
        <w:rPr>
          <w:rStyle w:val="libFootnotenumChar"/>
          <w:rtl/>
        </w:rPr>
        <w:t>(8)</w:t>
      </w:r>
      <w:r w:rsidRPr="005D642E">
        <w:rPr>
          <w:rtl/>
          <w:lang w:bidi="fa-IR"/>
        </w:rPr>
        <w:t xml:space="preserve"> ، فَإِنْ طَرَحَتِ الْكُرْسُفَ عَنْهَا ، فَسَالَ </w:t>
      </w:r>
      <w:r w:rsidRPr="007C12DB">
        <w:rPr>
          <w:rStyle w:val="libFootnotenumChar"/>
          <w:rtl/>
        </w:rPr>
        <w:t>(9)</w:t>
      </w:r>
      <w:r w:rsidRPr="005D642E">
        <w:rPr>
          <w:rtl/>
          <w:lang w:bidi="fa-IR"/>
        </w:rPr>
        <w:t xml:space="preserve"> الدَّمُ ، وَجَبَ عَلَيْهَا الْغُسْلُ ، وَإِنْ طَرَحَتِ الْكُرْسُفَ </w:t>
      </w:r>
      <w:r w:rsidRPr="007C12DB">
        <w:rPr>
          <w:rStyle w:val="libFootnotenumChar"/>
          <w:rtl/>
        </w:rPr>
        <w:t>(10)</w:t>
      </w:r>
      <w:r w:rsidRPr="005D642E">
        <w:rPr>
          <w:rtl/>
          <w:lang w:bidi="fa-IR"/>
        </w:rPr>
        <w:t xml:space="preserve"> ، وَلَمْ يَسِلِ الدَّمُ </w:t>
      </w:r>
      <w:r w:rsidRPr="007C12DB">
        <w:rPr>
          <w:rStyle w:val="libFootnotenumChar"/>
          <w:rtl/>
        </w:rPr>
        <w:t>(11)</w:t>
      </w:r>
      <w:r w:rsidRPr="005D642E">
        <w:rPr>
          <w:rtl/>
          <w:lang w:bidi="fa-IR"/>
        </w:rPr>
        <w:t xml:space="preserve"> ، فَلْتَتَوَضَّأْ </w:t>
      </w:r>
      <w:r w:rsidRPr="007C12DB">
        <w:rPr>
          <w:rStyle w:val="libFootnotenumChar"/>
          <w:rtl/>
        </w:rPr>
        <w:t>(12)</w:t>
      </w:r>
      <w:r w:rsidRPr="005D642E">
        <w:rPr>
          <w:rtl/>
          <w:lang w:bidi="fa-IR"/>
        </w:rPr>
        <w:t xml:space="preserve"> وَلْتُصَلِّ ، وَلَاغُسْلَ عَلَيْهَا »</w:t>
      </w:r>
      <w:r>
        <w:rPr>
          <w:rtl/>
          <w:lang w:bidi="fa-IR"/>
        </w:rPr>
        <w:t>.</w:t>
      </w:r>
    </w:p>
    <w:p w:rsidR="00E3253D" w:rsidRPr="005D642E" w:rsidRDefault="00E3253D" w:rsidP="00E3253D">
      <w:pPr>
        <w:pStyle w:val="libNormal"/>
        <w:rPr>
          <w:rtl/>
          <w:lang w:bidi="fa-IR"/>
        </w:rPr>
      </w:pPr>
      <w:r w:rsidRPr="005D642E">
        <w:rPr>
          <w:rtl/>
          <w:lang w:bidi="fa-IR"/>
        </w:rPr>
        <w:t xml:space="preserve">قَالَ : « وَإِنْ </w:t>
      </w:r>
      <w:r w:rsidRPr="007C12DB">
        <w:rPr>
          <w:rStyle w:val="libFootnotenumChar"/>
          <w:rtl/>
        </w:rPr>
        <w:t>(13)</w:t>
      </w:r>
      <w:r w:rsidRPr="005D642E">
        <w:rPr>
          <w:rtl/>
          <w:lang w:bidi="fa-IR"/>
        </w:rPr>
        <w:t xml:space="preserve"> كَانَ الدَّمُ إِذَا أَمْسَكَتِ الْكُرْسُفَ يَسِيلُ مِنْ خَلْفِ الْكُرْسُفِ صَبِيباً </w:t>
      </w:r>
      <w:r w:rsidRPr="007C12DB">
        <w:rPr>
          <w:rStyle w:val="libFootnotenumChar"/>
          <w:rtl/>
        </w:rPr>
        <w:t>(14)</w:t>
      </w:r>
      <w:r w:rsidRPr="005D642E">
        <w:rPr>
          <w:rtl/>
          <w:lang w:bidi="fa-IR"/>
        </w:rPr>
        <w:t xml:space="preserve"> لَا يَرْقَأُ </w:t>
      </w:r>
      <w:r w:rsidRPr="007C12DB">
        <w:rPr>
          <w:rStyle w:val="libFootnotenumChar"/>
          <w:rtl/>
        </w:rPr>
        <w:t>(15)</w:t>
      </w:r>
      <w:r w:rsidRPr="005D642E">
        <w:rPr>
          <w:rtl/>
          <w:lang w:bidi="fa-IR"/>
        </w:rPr>
        <w:t xml:space="preserve"> ، فَإِنَّ عَلَيْهَا أَنْ تَغْتَسِلَ فِي كُلِّ يَوْمٍ وَلَيْلَةٍ ثَلَاثَ مَرَّاتٍ ، وَتَحْتَشِيَ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ت ، ظ ، بث ، بذ ، بف ، جح ، جس ، جش » وحاشية « ظ ، بخ ، بي ، جت ، جى » ومرآة العقول‌</w:t>
      </w:r>
      <w:r w:rsidR="00B60612" w:rsidRPr="00B60612">
        <w:rPr>
          <w:rStyle w:val="libFootnoteBoldChar"/>
          <w:rtl/>
        </w:rPr>
        <w:t>والتهذيب</w:t>
      </w:r>
      <w:r w:rsidR="00E3253D" w:rsidRPr="005D642E">
        <w:rPr>
          <w:rtl/>
        </w:rPr>
        <w:t xml:space="preserve"> ، ص 388 </w:t>
      </w:r>
      <w:r w:rsidR="00E3253D" w:rsidRPr="00E678B5">
        <w:rPr>
          <w:rStyle w:val="libFootnoteBoldChar"/>
          <w:rtl/>
        </w:rPr>
        <w:t>والاستبصار</w:t>
      </w:r>
      <w:r w:rsidR="00E3253D" w:rsidRPr="005D642E">
        <w:rPr>
          <w:rtl/>
        </w:rPr>
        <w:t>. وفي سائر النسخ والمطبوع : « تستذفر »</w:t>
      </w:r>
      <w:r w:rsidR="00E3253D">
        <w:rPr>
          <w:rtl/>
        </w:rPr>
        <w:t>.</w:t>
      </w:r>
      <w:r w:rsidR="00E3253D" w:rsidRPr="005D642E">
        <w:rPr>
          <w:rtl/>
        </w:rPr>
        <w:t xml:space="preserve"> وفي الوافي عن بعض النسخ : « تستثفر »</w:t>
      </w:r>
      <w:r w:rsidR="00E3253D">
        <w:rPr>
          <w:rtl/>
        </w:rPr>
        <w:t>.</w:t>
      </w:r>
      <w:r w:rsidR="00E3253D" w:rsidRPr="005D642E">
        <w:rPr>
          <w:rtl/>
        </w:rPr>
        <w:t xml:space="preserve"> وفي التهذيب ، ص 168 : « لتستثفر »</w:t>
      </w:r>
      <w:r w:rsidR="00E3253D">
        <w:rPr>
          <w:rtl/>
        </w:rPr>
        <w:t>.</w:t>
      </w:r>
      <w:r w:rsidR="00E3253D" w:rsidRPr="005D642E">
        <w:rPr>
          <w:rtl/>
        </w:rPr>
        <w:t xml:space="preserve"> والاستثفار : هو أن تأخذ المرأة خرقة طويلة عريضة تشدّ أحد طرفيها من قدّام وتخرجها من بين فخذيها وتشدّ طرفها الآخر من وراء بعد أن تحتشي بشي‌ءمن القطن ؛ ليمنع بها من سيلان الدم. قال الطريحي : « في حديث المستحاضة : وتحتشي وتستذفر ، بالذال المعجمة من الاستذفار بإبدالها من الثاء المثلّثة ، كما هو المشهور من النسخ »</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1 ، ص 214 ( ثفر ) ؛ </w:t>
      </w:r>
      <w:r w:rsidR="00E3253D" w:rsidRPr="002F4D34">
        <w:rPr>
          <w:rStyle w:val="libFootnoteBoldChar"/>
          <w:rtl/>
        </w:rPr>
        <w:t>الحبل المتين</w:t>
      </w:r>
      <w:r w:rsidR="00E3253D" w:rsidRPr="005D642E">
        <w:rPr>
          <w:rtl/>
        </w:rPr>
        <w:t xml:space="preserve"> ، ص 187 ؛ </w:t>
      </w:r>
      <w:r w:rsidR="00E3253D" w:rsidRPr="002F4D34">
        <w:rPr>
          <w:rStyle w:val="libFootnoteBoldChar"/>
          <w:rtl/>
        </w:rPr>
        <w:t>مجمع البحرين</w:t>
      </w:r>
      <w:r w:rsidR="00E3253D" w:rsidRPr="005D642E">
        <w:rPr>
          <w:rtl/>
        </w:rPr>
        <w:t xml:space="preserve"> ، ج 3 ، ص 308 ( ذفر )</w:t>
      </w:r>
      <w:r w:rsidR="00E3253D">
        <w:rPr>
          <w:rtl/>
        </w:rPr>
        <w:t>.</w:t>
      </w:r>
    </w:p>
    <w:p w:rsidR="00E3253D" w:rsidRPr="005D642E" w:rsidRDefault="0042621E" w:rsidP="005F2574">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 ح 2396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المطبوع : « وتصلّ »</w:t>
      </w:r>
      <w:r w:rsidR="00E3253D">
        <w:rPr>
          <w:rtl/>
        </w:rPr>
        <w:t>.</w:t>
      </w:r>
      <w:r w:rsidR="005F2574">
        <w:rPr>
          <w:rFonts w:hint="cs"/>
          <w:rtl/>
        </w:rPr>
        <w:t xml:space="preserve">                                            </w:t>
      </w:r>
      <w:r w:rsidRPr="0042621E">
        <w:rPr>
          <w:rStyle w:val="libFootnote0Char"/>
          <w:rtl/>
        </w:rPr>
        <w:t>(3).</w:t>
      </w:r>
      <w:r w:rsidR="00E3253D" w:rsidRPr="005D642E">
        <w:rPr>
          <w:rtl/>
        </w:rPr>
        <w:t xml:space="preserve"> في حاشية « ظ » : « وتنظر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الدم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والوسائل ، ح 2396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المطبوع : « بينهما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ص 388 : « فلتوضّأ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عند كلّ وقت »</w:t>
      </w:r>
      <w:r w:rsidR="00E3253D">
        <w:rPr>
          <w:rtl/>
        </w:rPr>
        <w:t>.</w:t>
      </w:r>
      <w:r w:rsidR="00E3253D" w:rsidRPr="005D642E">
        <w:rPr>
          <w:rtl/>
        </w:rPr>
        <w:t xml:space="preserve"> وفي الاستبصار : « عند كلّ » بدون الوقت.</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w:t>
      </w:r>
      <w:r w:rsidR="00B60612" w:rsidRPr="00B60612">
        <w:rPr>
          <w:rStyle w:val="libFootnoteBoldChar"/>
          <w:rtl/>
        </w:rPr>
        <w:t>والتهذيب</w:t>
      </w:r>
      <w:r w:rsidR="00E3253D" w:rsidRPr="005D642E">
        <w:rPr>
          <w:rtl/>
        </w:rPr>
        <w:t xml:space="preserve"> ، ص 168 : + « عنها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بح ، جح » </w:t>
      </w:r>
      <w:r w:rsidR="00B60612" w:rsidRPr="00B60612">
        <w:rPr>
          <w:rStyle w:val="libFootnoteBoldChar"/>
          <w:rtl/>
        </w:rPr>
        <w:t>والتهذيب</w:t>
      </w:r>
      <w:r w:rsidR="00E3253D" w:rsidRPr="005D642E">
        <w:rPr>
          <w:rtl/>
        </w:rPr>
        <w:t xml:space="preserve"> ، ص 168 </w:t>
      </w:r>
      <w:r w:rsidR="00E3253D" w:rsidRPr="00E678B5">
        <w:rPr>
          <w:rStyle w:val="libFootnoteBoldChar"/>
          <w:rtl/>
        </w:rPr>
        <w:t>والاستبصار</w:t>
      </w:r>
      <w:r w:rsidR="00E3253D" w:rsidRPr="005D642E">
        <w:rPr>
          <w:rtl/>
        </w:rPr>
        <w:t xml:space="preserve"> : « وسال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بث » والوسائل ، ح 2396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عنها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الدم »</w:t>
      </w:r>
      <w:r w:rsidR="00E3253D">
        <w:rPr>
          <w:rtl/>
        </w:rPr>
        <w:t>.</w:t>
      </w:r>
    </w:p>
    <w:p w:rsidR="00E3253D" w:rsidRPr="005D642E" w:rsidRDefault="0042621E" w:rsidP="00CD7185">
      <w:pPr>
        <w:pStyle w:val="libFootnote0"/>
        <w:rPr>
          <w:rtl/>
          <w:lang w:bidi="fa-IR"/>
        </w:rPr>
      </w:pPr>
      <w:r w:rsidRPr="0042621E">
        <w:rPr>
          <w:rStyle w:val="libFootnote0Char"/>
          <w:rtl/>
        </w:rPr>
        <w:t>(12).</w:t>
      </w:r>
      <w:r w:rsidR="00E3253D" w:rsidRPr="005D642E">
        <w:rPr>
          <w:rtl/>
        </w:rPr>
        <w:t xml:space="preserve"> في « غ ، بح ، بس ، جح » : « فلتوضّ »</w:t>
      </w:r>
      <w:r w:rsidR="00E3253D">
        <w:rPr>
          <w:rtl/>
        </w:rPr>
        <w:t>.</w:t>
      </w:r>
      <w:r w:rsidR="00E3253D" w:rsidRPr="005D642E">
        <w:rPr>
          <w:rtl/>
        </w:rPr>
        <w:t xml:space="preserve"> وفي « جس ، جن » وحاشية « بح » والوسائل ، ح 2396 </w:t>
      </w:r>
      <w:r w:rsidR="00B60612" w:rsidRPr="00B60612">
        <w:rPr>
          <w:rStyle w:val="libFootnoteBoldChar"/>
          <w:rtl/>
        </w:rPr>
        <w:t>والتهذيب</w:t>
      </w:r>
      <w:r w:rsidR="00E3253D" w:rsidRPr="005D642E">
        <w:rPr>
          <w:rtl/>
        </w:rPr>
        <w:t xml:space="preserve"> : « فلتوضّأ »</w:t>
      </w:r>
      <w:r w:rsidR="00E3253D">
        <w:rPr>
          <w:rtl/>
        </w:rPr>
        <w:t>.</w:t>
      </w:r>
      <w:r w:rsidR="00CD7185">
        <w:rPr>
          <w:rFonts w:hint="cs"/>
          <w:rtl/>
        </w:rPr>
        <w:t xml:space="preserve">                                </w:t>
      </w:r>
      <w:r w:rsidRPr="0042621E">
        <w:rPr>
          <w:rStyle w:val="libFootnote0Char"/>
          <w:rtl/>
        </w:rPr>
        <w:t>(13).</w:t>
      </w:r>
      <w:r w:rsidR="00E3253D" w:rsidRPr="005D642E">
        <w:rPr>
          <w:rtl/>
        </w:rPr>
        <w:t xml:space="preserve"> في التهذيب ، ص 388 </w:t>
      </w:r>
      <w:r w:rsidR="00E3253D" w:rsidRPr="00E678B5">
        <w:rPr>
          <w:rStyle w:val="libFootnoteBoldChar"/>
          <w:rtl/>
        </w:rPr>
        <w:t>والاستبصار</w:t>
      </w:r>
      <w:r w:rsidR="00E3253D" w:rsidRPr="005D642E">
        <w:rPr>
          <w:rtl/>
        </w:rPr>
        <w:t xml:space="preserve"> : « فإن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بح » : « غمساً »</w:t>
      </w:r>
      <w:r w:rsidR="00E3253D">
        <w:rPr>
          <w:rtl/>
        </w:rPr>
        <w:t>.</w:t>
      </w:r>
      <w:r w:rsidR="00E3253D" w:rsidRPr="005D642E">
        <w:rPr>
          <w:rtl/>
        </w:rPr>
        <w:t xml:space="preserve"> وفي « جس » وحاشية « ظ » ومرآة العقول : « ضبّاً »</w:t>
      </w:r>
      <w:r w:rsidR="00E3253D">
        <w:rPr>
          <w:rtl/>
        </w:rPr>
        <w:t>.</w:t>
      </w:r>
    </w:p>
    <w:p w:rsidR="00E3253D" w:rsidRPr="005D642E" w:rsidRDefault="0042621E" w:rsidP="00E3253D">
      <w:pPr>
        <w:pStyle w:val="libFootnote0"/>
        <w:rPr>
          <w:rtl/>
        </w:rPr>
      </w:pPr>
      <w:r w:rsidRPr="0042621E">
        <w:rPr>
          <w:rStyle w:val="libFootnote0Char"/>
          <w:rtl/>
        </w:rPr>
        <w:t>(15).</w:t>
      </w:r>
      <w:r w:rsidR="00E3253D" w:rsidRPr="005D642E">
        <w:rPr>
          <w:rtl/>
        </w:rPr>
        <w:t xml:space="preserve"> في « ى ، بث ، بح ، بف ، جح » : « لايرقى »</w:t>
      </w:r>
      <w:r w:rsidR="00E3253D">
        <w:rPr>
          <w:rtl/>
        </w:rPr>
        <w:t>.</w:t>
      </w:r>
      <w:r w:rsidR="00E3253D" w:rsidRPr="005D642E">
        <w:rPr>
          <w:rtl/>
        </w:rPr>
        <w:t xml:space="preserve"> وفي الوافي : « لايسكن »</w:t>
      </w:r>
      <w:r w:rsidR="00E3253D">
        <w:rPr>
          <w:rtl/>
        </w:rPr>
        <w:t>.</w:t>
      </w:r>
      <w:r w:rsidR="00E3253D" w:rsidRPr="005D642E">
        <w:rPr>
          <w:rtl/>
        </w:rPr>
        <w:t xml:space="preserve"> وقوله : « لا يرقأ » أي لاينقطع ، يقال : رقأ </w:t>
      </w:r>
      <w:r w:rsidR="00CD7185">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وَتُصَلِّيَ </w:t>
      </w:r>
      <w:r w:rsidRPr="007C12DB">
        <w:rPr>
          <w:rStyle w:val="libFootnotenumChar"/>
          <w:rtl/>
        </w:rPr>
        <w:t>(1)</w:t>
      </w:r>
      <w:r w:rsidRPr="005D642E">
        <w:rPr>
          <w:rtl/>
          <w:lang w:bidi="fa-IR"/>
        </w:rPr>
        <w:t xml:space="preserve"> ، وَتَغْتَسِلَ </w:t>
      </w:r>
      <w:r w:rsidRPr="007C12DB">
        <w:rPr>
          <w:rStyle w:val="libFootnotenumChar"/>
          <w:rtl/>
        </w:rPr>
        <w:t>(2)</w:t>
      </w:r>
      <w:r w:rsidRPr="005D642E">
        <w:rPr>
          <w:rtl/>
          <w:lang w:bidi="fa-IR"/>
        </w:rPr>
        <w:t xml:space="preserve"> لِلْفَجْرِ </w:t>
      </w:r>
      <w:r w:rsidRPr="007C12DB">
        <w:rPr>
          <w:rStyle w:val="libFootnotenumChar"/>
          <w:rtl/>
        </w:rPr>
        <w:t>(3)</w:t>
      </w:r>
      <w:r w:rsidRPr="005D642E">
        <w:rPr>
          <w:rtl/>
          <w:lang w:bidi="fa-IR"/>
        </w:rPr>
        <w:t xml:space="preserve"> ، وَتَغْتَسِلَ لِلظُّهْرِ وَالْعَصْرِ ، وَتَغْتَسِلَ لِلْمَغْرِبِ وَالْعِشَاءِ </w:t>
      </w:r>
      <w:r w:rsidRPr="007C12DB">
        <w:rPr>
          <w:rStyle w:val="libFootnotenumChar"/>
          <w:rtl/>
        </w:rPr>
        <w:t>(4)</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قَالَ : « وَكَذلِكَ تَفْعَلُ الْمُسْتَحَاضَةُ ؛ فَإِنَّهَا إِذَا فَعَلَتْ ذلِكَ ، أَذْهَبَ اللهُ بِالدَّمِ عَنْهَا »</w:t>
      </w:r>
      <w:r>
        <w:rPr>
          <w:rtl/>
          <w:lang w:bidi="fa-IR"/>
        </w:rPr>
        <w:t>.</w:t>
      </w:r>
      <w:r w:rsidRPr="005D642E">
        <w:rPr>
          <w:rtl/>
          <w:lang w:bidi="fa-IR"/>
        </w:rPr>
        <w:t xml:space="preserve"> </w:t>
      </w:r>
      <w:r w:rsidRPr="007C12DB">
        <w:rPr>
          <w:rStyle w:val="libFootnotenumChar"/>
          <w:rtl/>
        </w:rPr>
        <w:t>(5)</w:t>
      </w:r>
      <w:r w:rsidRPr="005D642E">
        <w:rPr>
          <w:rtl/>
          <w:lang w:bidi="fa-IR"/>
        </w:rPr>
        <w:t>‌</w:t>
      </w:r>
    </w:p>
    <w:p w:rsidR="00E3253D" w:rsidRPr="005D642E" w:rsidRDefault="00E3253D" w:rsidP="00E3253D">
      <w:pPr>
        <w:pStyle w:val="libNormal"/>
        <w:rPr>
          <w:rtl/>
          <w:lang w:bidi="fa-IR"/>
        </w:rPr>
      </w:pPr>
      <w:r w:rsidRPr="00F923E0">
        <w:rPr>
          <w:rtl/>
        </w:rPr>
        <w:t>4194</w:t>
      </w:r>
      <w:r w:rsidRPr="00246318">
        <w:rPr>
          <w:rStyle w:val="libBold2Char"/>
          <w:rtl/>
        </w:rPr>
        <w:t xml:space="preserve"> / 2.</w:t>
      </w:r>
      <w:r w:rsidRPr="005D642E">
        <w:rPr>
          <w:rtl/>
          <w:lang w:bidi="fa-IR"/>
        </w:rPr>
        <w:t xml:space="preserve"> عَلِيُّ بْنُ إِبْرَاهِيمَ ، عَنْ أَبِيهِ ، عَنْ بَعْضِ رِجَالِهِ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عَنِ الْمَرْأَةِ </w:t>
      </w:r>
      <w:r w:rsidRPr="007C12DB">
        <w:rPr>
          <w:rStyle w:val="libFootnotenumChar"/>
          <w:rtl/>
        </w:rPr>
        <w:t>(6)</w:t>
      </w:r>
      <w:r w:rsidRPr="005D642E">
        <w:rPr>
          <w:rtl/>
          <w:lang w:bidi="fa-IR"/>
        </w:rPr>
        <w:t xml:space="preserve"> الْحُبْلى قَدِ اسْتَبَانَ حَبَلُهَا </w:t>
      </w:r>
      <w:r w:rsidRPr="007C12DB">
        <w:rPr>
          <w:rStyle w:val="libFootnotenumChar"/>
          <w:rtl/>
        </w:rPr>
        <w:t>(7)</w:t>
      </w:r>
      <w:r w:rsidRPr="005D642E">
        <w:rPr>
          <w:rtl/>
          <w:lang w:bidi="fa-IR"/>
        </w:rPr>
        <w:t xml:space="preserve"> ، تَرَى مَا تَرى الْحَائِضُ مِنَ الدَّمِ</w:t>
      </w:r>
      <w:r>
        <w:rPr>
          <w:rtl/>
          <w:lang w:bidi="fa-IR"/>
        </w:rPr>
        <w:t>؟</w:t>
      </w:r>
    </w:p>
    <w:p w:rsidR="00E3253D" w:rsidRPr="005D642E" w:rsidRDefault="00E3253D" w:rsidP="00E3253D">
      <w:pPr>
        <w:pStyle w:val="libNormal"/>
        <w:rPr>
          <w:rtl/>
          <w:lang w:bidi="fa-IR"/>
        </w:rPr>
      </w:pPr>
      <w:r w:rsidRPr="005D642E">
        <w:rPr>
          <w:rtl/>
          <w:lang w:bidi="fa-IR"/>
        </w:rPr>
        <w:t xml:space="preserve">قَالَ : « تِلْكَ الْهِرَاقَةُ </w:t>
      </w:r>
      <w:r w:rsidRPr="007C12DB">
        <w:rPr>
          <w:rStyle w:val="libFootnotenumChar"/>
          <w:rtl/>
        </w:rPr>
        <w:t>(8)</w:t>
      </w:r>
      <w:r w:rsidRPr="005D642E">
        <w:rPr>
          <w:rtl/>
          <w:lang w:bidi="fa-IR"/>
        </w:rPr>
        <w:t xml:space="preserve"> مِنَ الدَّمِ ، إِنْ كَانَ دَماً أَحْمَرَ كَثِيراً </w:t>
      </w:r>
      <w:r w:rsidRPr="007C12DB">
        <w:rPr>
          <w:rStyle w:val="libFootnotenumChar"/>
          <w:rtl/>
        </w:rPr>
        <w:t>(9)</w:t>
      </w:r>
      <w:r w:rsidRPr="005D642E">
        <w:rPr>
          <w:rtl/>
          <w:lang w:bidi="fa-IR"/>
        </w:rPr>
        <w:t xml:space="preserve"> ، فَلَا تُصَلِّ </w:t>
      </w:r>
      <w:r w:rsidRPr="007C12DB">
        <w:rPr>
          <w:rStyle w:val="libFootnotenumChar"/>
          <w:rtl/>
        </w:rPr>
        <w:t>(10)</w:t>
      </w:r>
      <w:r w:rsidRPr="005D642E">
        <w:rPr>
          <w:rtl/>
          <w:lang w:bidi="fa-IR"/>
        </w:rPr>
        <w:t xml:space="preserve"> ؛ وَإِنْ كَانَ قَلِيلاً أَصْ</w:t>
      </w:r>
      <w:r w:rsidR="00827991">
        <w:rPr>
          <w:rtl/>
          <w:lang w:bidi="fa-IR"/>
        </w:rPr>
        <w:t>فَرَ ، فَلَيْسَ عَلَيْهَا إِل</w:t>
      </w:r>
      <w:r w:rsidR="00827991">
        <w:rPr>
          <w:rFonts w:hint="cs"/>
          <w:rtl/>
          <w:lang w:bidi="fa-IR"/>
        </w:rPr>
        <w:t>َّ</w:t>
      </w:r>
      <w:r w:rsidR="00827991">
        <w:rPr>
          <w:rtl/>
          <w:lang w:bidi="fa-IR"/>
        </w:rPr>
        <w:t>ا</w:t>
      </w:r>
      <w:r w:rsidRPr="005D642E">
        <w:rPr>
          <w:rtl/>
          <w:lang w:bidi="fa-IR"/>
        </w:rPr>
        <w:t xml:space="preserve"> الْوُضُوءُ </w:t>
      </w:r>
      <w:r w:rsidRPr="007C12DB">
        <w:rPr>
          <w:rStyle w:val="libFootnotenumChar"/>
          <w:rtl/>
        </w:rPr>
        <w:t>(11)</w:t>
      </w:r>
      <w:r w:rsidRPr="005D642E">
        <w:rPr>
          <w:rtl/>
          <w:lang w:bidi="fa-IR"/>
        </w:rPr>
        <w:t xml:space="preserve"> »</w:t>
      </w:r>
      <w:r>
        <w:rPr>
          <w:rtl/>
          <w:lang w:bidi="fa-IR"/>
        </w:rPr>
        <w:t>.</w:t>
      </w:r>
      <w:r w:rsidRPr="005D642E">
        <w:rPr>
          <w:rtl/>
          <w:lang w:bidi="fa-IR"/>
        </w:rPr>
        <w:t xml:space="preserve"> </w:t>
      </w:r>
      <w:r w:rsidRPr="007C12DB">
        <w:rPr>
          <w:rStyle w:val="libFootnotenumChar"/>
          <w:rtl/>
        </w:rPr>
        <w:t>(12)</w:t>
      </w:r>
    </w:p>
    <w:p w:rsidR="00E3253D" w:rsidRPr="005D642E" w:rsidRDefault="00E3253D" w:rsidP="00E3253D">
      <w:pPr>
        <w:pStyle w:val="libLine"/>
        <w:rPr>
          <w:rtl/>
          <w:lang w:bidi="fa-IR"/>
        </w:rPr>
      </w:pPr>
      <w:r w:rsidRPr="005D642E">
        <w:rPr>
          <w:rtl/>
          <w:lang w:bidi="fa-IR"/>
        </w:rPr>
        <w:t>__________________</w:t>
      </w:r>
    </w:p>
    <w:p w:rsidR="00E3253D" w:rsidRPr="005D642E" w:rsidRDefault="00E24C84" w:rsidP="00E3253D">
      <w:pPr>
        <w:pStyle w:val="libFootnote0"/>
        <w:rPr>
          <w:rtl/>
        </w:rPr>
      </w:pPr>
      <w:r>
        <w:rPr>
          <w:rFonts w:hint="cs"/>
          <w:rtl/>
        </w:rPr>
        <w:t xml:space="preserve">= </w:t>
      </w:r>
      <w:r w:rsidR="00E3253D" w:rsidRPr="005D642E">
        <w:rPr>
          <w:rtl/>
        </w:rPr>
        <w:t xml:space="preserve">الدمع والدم والعرق يرقأ رُقوءً بالضمّ ، إذا سكن وانقطع. راجع : </w:t>
      </w:r>
      <w:r w:rsidR="00E3253D" w:rsidRPr="002F4D34">
        <w:rPr>
          <w:rStyle w:val="libFootnoteBoldChar"/>
          <w:rtl/>
        </w:rPr>
        <w:t>النهاية</w:t>
      </w:r>
      <w:r w:rsidR="00E3253D" w:rsidRPr="005D642E">
        <w:rPr>
          <w:rtl/>
        </w:rPr>
        <w:t xml:space="preserve"> ، ج 2 ، ص 248 ( رقأ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الاستبصار : « ثمّ تصلّي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w:t>
      </w:r>
      <w:r w:rsidR="00B60612" w:rsidRPr="00B60612">
        <w:rPr>
          <w:rStyle w:val="libFootnoteBoldChar"/>
          <w:rtl/>
        </w:rPr>
        <w:t>والتهذيب</w:t>
      </w:r>
      <w:r w:rsidR="00E3253D" w:rsidRPr="005D642E">
        <w:rPr>
          <w:rtl/>
        </w:rPr>
        <w:t xml:space="preserve"> ، ص 168 </w:t>
      </w:r>
      <w:r w:rsidR="00E3253D" w:rsidRPr="00E678B5">
        <w:rPr>
          <w:rStyle w:val="libFootnoteBoldChar"/>
          <w:rtl/>
        </w:rPr>
        <w:t>والاستبصار</w:t>
      </w:r>
      <w:r w:rsidR="00E3253D" w:rsidRPr="005D642E">
        <w:rPr>
          <w:rtl/>
        </w:rPr>
        <w:t xml:space="preserve"> : « تغتسل » بدون الواو.</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 « الفجر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 ح 2396 </w:t>
      </w:r>
      <w:r w:rsidR="00B60612" w:rsidRPr="00B60612">
        <w:rPr>
          <w:rStyle w:val="libFootnoteBoldChar"/>
          <w:rtl/>
        </w:rPr>
        <w:t>والتهذيب</w:t>
      </w:r>
      <w:r w:rsidR="00E3253D" w:rsidRPr="005D642E">
        <w:rPr>
          <w:rtl/>
        </w:rPr>
        <w:t xml:space="preserve"> ، ص 168 </w:t>
      </w:r>
      <w:r w:rsidR="00E3253D" w:rsidRPr="00E678B5">
        <w:rPr>
          <w:rStyle w:val="libFootnoteBoldChar"/>
          <w:rtl/>
        </w:rPr>
        <w:t>والاستبصار</w:t>
      </w:r>
      <w:r w:rsidR="00E3253D" w:rsidRPr="005D642E">
        <w:rPr>
          <w:rtl/>
        </w:rPr>
        <w:t xml:space="preserve"> : + « الآخرة »</w:t>
      </w:r>
      <w:r w:rsidR="00E3253D">
        <w:rPr>
          <w:rtl/>
        </w:rPr>
        <w:t>.</w:t>
      </w:r>
    </w:p>
    <w:p w:rsidR="00E3253D" w:rsidRPr="005D642E" w:rsidRDefault="0042621E" w:rsidP="00F02689">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388 ، ح 1197 ، معلّقاً عن الكليني ؛ </w:t>
      </w:r>
      <w:r w:rsidR="00E3253D" w:rsidRPr="002F4D34">
        <w:rPr>
          <w:rStyle w:val="libFootnoteBoldChar"/>
          <w:rtl/>
        </w:rPr>
        <w:t>الاستبصار</w:t>
      </w:r>
      <w:r w:rsidR="00E3253D" w:rsidRPr="005D642E">
        <w:rPr>
          <w:rtl/>
        </w:rPr>
        <w:t xml:space="preserve"> ، ج 1 ، ص 140 ، ح 482 ، بسنده عن الكليني. </w:t>
      </w:r>
      <w:r w:rsidR="00E3253D" w:rsidRPr="002F4D34">
        <w:rPr>
          <w:rStyle w:val="libFootnoteBoldChar"/>
          <w:rtl/>
        </w:rPr>
        <w:t>التهذيب</w:t>
      </w:r>
      <w:r w:rsidR="00E3253D" w:rsidRPr="005D642E">
        <w:rPr>
          <w:rtl/>
        </w:rPr>
        <w:t xml:space="preserve"> ، ج 1 ، ص 168 ، ح 482 ، بطريقين الآخرين عن الحسن بن محبوب</w:t>
      </w:r>
      <w:r w:rsidR="00CF34DA">
        <w:rPr>
          <w:rFonts w:hint="cs"/>
          <w:rtl/>
        </w:rPr>
        <w:t>.</w:t>
      </w:r>
      <w:r w:rsidR="00E3253D" w:rsidRPr="002F4D34">
        <w:rPr>
          <w:rStyle w:val="libFootnoteBoldChar"/>
          <w:rtl/>
        </w:rPr>
        <w:t>الوافي</w:t>
      </w:r>
      <w:r w:rsidR="00E3253D" w:rsidRPr="005D642E">
        <w:rPr>
          <w:rtl/>
        </w:rPr>
        <w:t xml:space="preserve"> ، ج 6 ، ص 463 ، ح 4693 ؛ </w:t>
      </w:r>
      <w:r w:rsidR="00E3253D" w:rsidRPr="002F4D34">
        <w:rPr>
          <w:rStyle w:val="libFootnoteBoldChar"/>
          <w:rtl/>
        </w:rPr>
        <w:t>الوسائل</w:t>
      </w:r>
      <w:r w:rsidR="00E3253D" w:rsidRPr="005D642E">
        <w:rPr>
          <w:rtl/>
        </w:rPr>
        <w:t xml:space="preserve"> ، ج 2 ، ص 284 ، ح 2150 ، من قوله : « فلتمسك عن الصلاة عدد أيّامها » إلى قوله : « بيوم أو يومين فلتغتسل » ؛ </w:t>
      </w:r>
      <w:r w:rsidR="00E3253D" w:rsidRPr="002F4D34">
        <w:rPr>
          <w:rStyle w:val="libFootnoteBoldChar"/>
          <w:rtl/>
        </w:rPr>
        <w:t>وفيه</w:t>
      </w:r>
      <w:r w:rsidR="00E3253D" w:rsidRPr="005D642E">
        <w:rPr>
          <w:rtl/>
        </w:rPr>
        <w:t xml:space="preserve"> ، ص 330 ، ح 2279 ، إلى قوله : « قبل ذلك فلتغتسل ولتصلّ » ؛ </w:t>
      </w:r>
      <w:r w:rsidR="00E3253D" w:rsidRPr="002F4D34">
        <w:rPr>
          <w:rStyle w:val="libFootnoteBoldChar"/>
          <w:rtl/>
        </w:rPr>
        <w:t>وفيه</w:t>
      </w:r>
      <w:r w:rsidR="00E3253D" w:rsidRPr="005D642E">
        <w:rPr>
          <w:rtl/>
        </w:rPr>
        <w:t xml:space="preserve"> ، ص 374 ، ح 2396 ، من قوله : « إذا رأت الحامل الدم »</w:t>
      </w:r>
      <w:r w:rsidR="00E3253D">
        <w:rPr>
          <w:rtl/>
        </w:rPr>
        <w:t>.</w:t>
      </w:r>
      <w:r w:rsidR="00F02689">
        <w:rPr>
          <w:rFonts w:hint="cs"/>
          <w:rtl/>
        </w:rPr>
        <w:t xml:space="preserve">     </w:t>
      </w:r>
      <w:r w:rsidRPr="0042621E">
        <w:rPr>
          <w:rStyle w:val="libFootnote0Char"/>
          <w:rtl/>
        </w:rPr>
        <w:t>(6).</w:t>
      </w:r>
      <w:r w:rsidR="00E3253D" w:rsidRPr="005D642E">
        <w:rPr>
          <w:rtl/>
        </w:rPr>
        <w:t xml:space="preserve"> في الوسائل:</w:t>
      </w:r>
      <w:r w:rsidR="007642BC">
        <w:rPr>
          <w:rtl/>
        </w:rPr>
        <w:t>-</w:t>
      </w:r>
      <w:r w:rsidR="00E3253D" w:rsidRPr="005D642E">
        <w:rPr>
          <w:rtl/>
        </w:rPr>
        <w:t>«المرأة»</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بح » : « حملها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الهراقة » : الصبّ ، مثل الإهراق ، وأصله الإراقة. راجع : </w:t>
      </w:r>
      <w:r w:rsidR="00E3253D" w:rsidRPr="002F4D34">
        <w:rPr>
          <w:rStyle w:val="libFootnoteBoldChar"/>
          <w:rtl/>
        </w:rPr>
        <w:t>الصحاح</w:t>
      </w:r>
      <w:r w:rsidR="00E3253D" w:rsidRPr="005D642E">
        <w:rPr>
          <w:rtl/>
        </w:rPr>
        <w:t xml:space="preserve"> ، ج 4 ، ص 1569 ؛ النهاية ، ج 5 ، ص 260 ( هرق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جميع النسخ التي قوبلت </w:t>
      </w:r>
      <w:r w:rsidR="000D749A" w:rsidRPr="00C53386">
        <w:rPr>
          <w:rtl/>
        </w:rPr>
        <w:t>والوافي</w:t>
      </w:r>
      <w:r w:rsidR="00E3253D" w:rsidRPr="005D642E">
        <w:rPr>
          <w:rtl/>
        </w:rPr>
        <w:t xml:space="preserve"> والوسائل. وفي المطبوع : « كثيراً أحمر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ى ، بح ، جس » وحاشية « جن » والوسائل : « فلا تصلّي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238 : « وكأنّ المصنّف </w:t>
      </w:r>
      <w:r w:rsidR="00E3253D" w:rsidRPr="00C53386">
        <w:rPr>
          <w:rStyle w:val="libFootnoteAlaemChar"/>
          <w:rtl/>
        </w:rPr>
        <w:t>رحمه‌الله</w:t>
      </w:r>
      <w:r w:rsidR="00E3253D" w:rsidRPr="005D642E">
        <w:rPr>
          <w:rtl/>
        </w:rPr>
        <w:t xml:space="preserve"> جمع بين الأخبار المتنافية الواردة في هذا الباب بأنّه إذا كان دم الحامل بصفة الحيض لوناً وكثرة ولايتقدّم ول</w:t>
      </w:r>
      <w:r w:rsidR="00D32CD2">
        <w:rPr>
          <w:rtl/>
        </w:rPr>
        <w:t>ايتأخّر كثيراً ، فهو حيض ، وإل</w:t>
      </w:r>
      <w:r w:rsidR="00D32CD2">
        <w:rPr>
          <w:rFonts w:hint="cs"/>
          <w:rtl/>
        </w:rPr>
        <w:t>ّ</w:t>
      </w:r>
      <w:r w:rsidR="00D32CD2">
        <w:rPr>
          <w:rtl/>
        </w:rPr>
        <w:t>ا</w:t>
      </w:r>
      <w:r w:rsidR="00E3253D" w:rsidRPr="005D642E">
        <w:rPr>
          <w:rtl/>
        </w:rPr>
        <w:t xml:space="preserve"> فاستحاضة. وهذا وجه قريب حسن »</w:t>
      </w:r>
      <w:r w:rsidR="00E3253D">
        <w:rPr>
          <w:rtl/>
        </w:rPr>
        <w:t>.</w:t>
      </w:r>
    </w:p>
    <w:p w:rsidR="00E3253D" w:rsidRPr="005D642E" w:rsidRDefault="0042621E" w:rsidP="00D32CD2">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387 ، ح 1191 ، بسند آخر ، مع اختلاف</w:t>
      </w:r>
      <w:r w:rsidR="00D32CD2">
        <w:rPr>
          <w:rFonts w:hint="cs"/>
          <w:rtl/>
        </w:rPr>
        <w:t>.</w:t>
      </w:r>
      <w:r w:rsidR="00E3253D" w:rsidRPr="002F4D34">
        <w:rPr>
          <w:rStyle w:val="libFootnoteBoldChar"/>
          <w:rtl/>
        </w:rPr>
        <w:t>الوافي</w:t>
      </w:r>
      <w:r w:rsidR="00E3253D" w:rsidRPr="005D642E">
        <w:rPr>
          <w:rtl/>
        </w:rPr>
        <w:t xml:space="preserve"> ، ج 6 ، ص 464 ، ح 4694 ؛ </w:t>
      </w:r>
      <w:r w:rsidR="00E3253D" w:rsidRPr="002F4D34">
        <w:rPr>
          <w:rStyle w:val="libFootnoteBoldChar"/>
          <w:rtl/>
        </w:rPr>
        <w:t>الوسائل</w:t>
      </w:r>
      <w:r w:rsidR="00E3253D" w:rsidRPr="005D642E">
        <w:rPr>
          <w:rtl/>
        </w:rPr>
        <w:t xml:space="preserve"> ، ج 2 ، ص 334 ، ح 2292.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F923E0">
        <w:rPr>
          <w:rtl/>
        </w:rPr>
        <w:lastRenderedPageBreak/>
        <w:t>4195</w:t>
      </w:r>
      <w:r w:rsidRPr="00246318">
        <w:rPr>
          <w:rStyle w:val="libBold2Char"/>
          <w:rtl/>
        </w:rPr>
        <w:t xml:space="preserve"> / 3.</w:t>
      </w:r>
      <w:r w:rsidRPr="005D642E">
        <w:rPr>
          <w:rtl/>
          <w:lang w:bidi="fa-IR"/>
        </w:rPr>
        <w:t xml:space="preserve"> عِدَّةٌ مِنْ أَصْحَابِنَا ، عَنْ أَحْمَدَ بْنِ مُحَمَّدٍ ، عَنْ عَلِيِّ بْنِ الْحَكَمِ ، عَنِ الْعَلَاءِ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عَنِ الْحُبْلى تَرَى الدَّمَ كَمَا كَانَتْ تَرى أَيَّامَ حَيْضِهَا مُسْتَقِيماً فِي كُلِّ شَهْرٍ</w:t>
      </w:r>
      <w:r>
        <w:rPr>
          <w:rtl/>
          <w:lang w:bidi="fa-IR"/>
        </w:rPr>
        <w:t>؟</w:t>
      </w:r>
    </w:p>
    <w:p w:rsidR="00E3253D" w:rsidRPr="005D642E" w:rsidRDefault="00E3253D" w:rsidP="00E3253D">
      <w:pPr>
        <w:pStyle w:val="libNormal"/>
        <w:rPr>
          <w:rtl/>
          <w:lang w:bidi="fa-IR"/>
        </w:rPr>
      </w:pPr>
      <w:r w:rsidRPr="005D642E">
        <w:rPr>
          <w:rtl/>
          <w:lang w:bidi="fa-IR"/>
        </w:rPr>
        <w:t xml:space="preserve">فَقَالَ : « تُمْسِكُ عَنِ الصَّلَاةِ كَمَا كَانَتْ تَصْنَعُ فِي حَيْضِهَا </w:t>
      </w:r>
      <w:r w:rsidRPr="007C12DB">
        <w:rPr>
          <w:rStyle w:val="libFootnotenumChar"/>
          <w:rtl/>
        </w:rPr>
        <w:t>(1)</w:t>
      </w:r>
      <w:r w:rsidRPr="005D642E">
        <w:rPr>
          <w:rtl/>
          <w:lang w:bidi="fa-IR"/>
        </w:rPr>
        <w:t xml:space="preserve"> ، فَإِذَا طَهُرَتْ صَلَّتْ »</w:t>
      </w:r>
      <w:r>
        <w:rPr>
          <w:rtl/>
          <w:lang w:bidi="fa-IR"/>
        </w:rPr>
        <w:t>.</w:t>
      </w:r>
      <w:r w:rsidRPr="005D642E">
        <w:rPr>
          <w:rtl/>
          <w:lang w:bidi="fa-IR"/>
        </w:rPr>
        <w:t xml:space="preserve"> </w:t>
      </w:r>
      <w:r w:rsidRPr="007C12DB">
        <w:rPr>
          <w:rStyle w:val="libFootnotenumChar"/>
          <w:rtl/>
        </w:rPr>
        <w:t>(2)</w:t>
      </w:r>
    </w:p>
    <w:p w:rsidR="000C4EA1" w:rsidRDefault="00E3253D" w:rsidP="000C4EA1">
      <w:pPr>
        <w:pStyle w:val="libNormal"/>
        <w:rPr>
          <w:rtl/>
          <w:lang w:bidi="fa-IR"/>
        </w:rPr>
      </w:pPr>
      <w:r w:rsidRPr="00F923E0">
        <w:rPr>
          <w:rtl/>
        </w:rPr>
        <w:t>4196</w:t>
      </w:r>
      <w:r w:rsidRPr="00246318">
        <w:rPr>
          <w:rStyle w:val="libBold2Char"/>
          <w:rtl/>
        </w:rPr>
        <w:t xml:space="preserve"> / 4.</w:t>
      </w:r>
      <w:r w:rsidRPr="005D642E">
        <w:rPr>
          <w:rtl/>
          <w:lang w:bidi="fa-IR"/>
        </w:rPr>
        <w:t xml:space="preserve"> مُحَمَّدُ بْنُ إِسْمَاعِيلَ ، عَنِ الْفَضْلِ بْنِ شَاذَانَ ؛</w:t>
      </w:r>
    </w:p>
    <w:p w:rsidR="00E3253D" w:rsidRPr="005D642E" w:rsidRDefault="00E3253D" w:rsidP="000C4EA1">
      <w:pPr>
        <w:pStyle w:val="libNormal"/>
        <w:rPr>
          <w:rtl/>
          <w:lang w:bidi="fa-IR"/>
        </w:rPr>
      </w:pPr>
      <w:r w:rsidRPr="005D642E">
        <w:rPr>
          <w:rtl/>
          <w:lang w:bidi="fa-IR"/>
        </w:rPr>
        <w:t>وَمُحَمَّدُ بْنُ يَحْيى ، عَنْ مُحَمَّدِ بْنِ الْحُسَيْنِ جَمِيعاً ، عَنْ صَفْوَانَ بْنِ يَحْيى ، عَنْ عَبْدِ الرَّحْمنِ بْنِ الْحَجَّاجِ ، قَالَ :</w:t>
      </w:r>
    </w:p>
    <w:p w:rsidR="00E3253D" w:rsidRPr="005D642E" w:rsidRDefault="00E3253D" w:rsidP="00E3253D">
      <w:pPr>
        <w:pStyle w:val="libNormal"/>
        <w:rPr>
          <w:rtl/>
          <w:lang w:bidi="fa-IR"/>
        </w:rPr>
      </w:pPr>
      <w:r w:rsidRPr="005D642E">
        <w:rPr>
          <w:rtl/>
          <w:lang w:bidi="fa-IR"/>
        </w:rPr>
        <w:t xml:space="preserve">سَأَلْتُ أَبَا الْحَسَنِ </w:t>
      </w:r>
      <w:r w:rsidRPr="007C12DB">
        <w:rPr>
          <w:rStyle w:val="libFootnotenumChar"/>
          <w:rtl/>
        </w:rPr>
        <w:t>(3)</w:t>
      </w:r>
      <w:r w:rsidRPr="005D642E">
        <w:rPr>
          <w:rtl/>
          <w:lang w:bidi="fa-IR"/>
        </w:rPr>
        <w:t xml:space="preserve"> </w:t>
      </w:r>
      <w:r w:rsidRPr="00AC51C5">
        <w:rPr>
          <w:rStyle w:val="libAlaemChar"/>
          <w:rtl/>
        </w:rPr>
        <w:t>عليه‌السلام</w:t>
      </w:r>
      <w:r w:rsidRPr="005D642E">
        <w:rPr>
          <w:rtl/>
          <w:lang w:bidi="fa-IR"/>
        </w:rPr>
        <w:t xml:space="preserve"> عَنِ الْحُبْلى تَرَى الدَّمَ وَهِيَ حَامِلٌ كَمَا كَانَتْ تَرى قَبْلَ ذلِكَ فِي كُلِّ شَهْرٍ : هَلْ تَتْرُكُ الصَّلَاةَ</w:t>
      </w:r>
      <w:r>
        <w:rPr>
          <w:rtl/>
          <w:lang w:bidi="fa-IR"/>
        </w:rPr>
        <w:t>؟</w:t>
      </w:r>
    </w:p>
    <w:p w:rsidR="00E3253D" w:rsidRPr="005D642E" w:rsidRDefault="00E3253D" w:rsidP="00E3253D">
      <w:pPr>
        <w:pStyle w:val="libNormal"/>
        <w:rPr>
          <w:rtl/>
          <w:lang w:bidi="fa-IR"/>
        </w:rPr>
      </w:pPr>
      <w:r w:rsidRPr="005D642E">
        <w:rPr>
          <w:rtl/>
          <w:lang w:bidi="fa-IR"/>
        </w:rPr>
        <w:t xml:space="preserve">قَالَ : « تَتْرُكُ </w:t>
      </w:r>
      <w:r w:rsidRPr="007C12DB">
        <w:rPr>
          <w:rStyle w:val="libFootnotenumChar"/>
          <w:rtl/>
        </w:rPr>
        <w:t>(4)</w:t>
      </w:r>
      <w:r w:rsidRPr="005D642E">
        <w:rPr>
          <w:rtl/>
          <w:lang w:bidi="fa-IR"/>
        </w:rPr>
        <w:t xml:space="preserve"> إِذَا </w:t>
      </w:r>
      <w:r w:rsidRPr="007C12DB">
        <w:rPr>
          <w:rStyle w:val="libFootnotenumChar"/>
          <w:rtl/>
        </w:rPr>
        <w:t>(5)</w:t>
      </w:r>
      <w:r w:rsidRPr="005D642E">
        <w:rPr>
          <w:rtl/>
          <w:lang w:bidi="fa-IR"/>
        </w:rPr>
        <w:t xml:space="preserve"> دَامَ »</w:t>
      </w:r>
      <w:r>
        <w:rPr>
          <w:rtl/>
          <w:lang w:bidi="fa-IR"/>
        </w:rPr>
        <w:t>.</w:t>
      </w:r>
      <w:r w:rsidRPr="005D642E">
        <w:rPr>
          <w:rtl/>
          <w:lang w:bidi="fa-IR"/>
        </w:rPr>
        <w:t xml:space="preserve"> </w:t>
      </w:r>
      <w:r w:rsidRPr="007C12DB">
        <w:rPr>
          <w:rStyle w:val="libFootnotenumChar"/>
          <w:rtl/>
        </w:rPr>
        <w:t>(6)</w:t>
      </w:r>
    </w:p>
    <w:p w:rsidR="00267452" w:rsidRDefault="00E3253D" w:rsidP="00267452">
      <w:pPr>
        <w:pStyle w:val="libNormal"/>
        <w:rPr>
          <w:rtl/>
          <w:lang w:bidi="fa-IR"/>
        </w:rPr>
      </w:pPr>
      <w:r w:rsidRPr="00F923E0">
        <w:rPr>
          <w:rtl/>
        </w:rPr>
        <w:t>4197</w:t>
      </w:r>
      <w:r w:rsidRPr="00246318">
        <w:rPr>
          <w:rStyle w:val="libBold2Char"/>
          <w:rtl/>
        </w:rPr>
        <w:t xml:space="preserve"> / 5.</w:t>
      </w:r>
      <w:r w:rsidRPr="005D642E">
        <w:rPr>
          <w:rtl/>
          <w:lang w:bidi="fa-IR"/>
        </w:rPr>
        <w:t xml:space="preserve"> عِدَّةٌ مِنْ أَصْحَابِنَا ، عَنْ أَحْمَدَ بْنِ مُحَمَّدٍ ؛</w:t>
      </w:r>
    </w:p>
    <w:p w:rsidR="00E3253D" w:rsidRPr="005D642E" w:rsidRDefault="00E3253D" w:rsidP="00267452">
      <w:pPr>
        <w:pStyle w:val="libNormal"/>
        <w:rPr>
          <w:rtl/>
          <w:lang w:bidi="fa-IR"/>
        </w:rPr>
      </w:pPr>
      <w:r w:rsidRPr="005D642E">
        <w:rPr>
          <w:rtl/>
          <w:lang w:bidi="fa-IR"/>
        </w:rPr>
        <w:t>وَ</w:t>
      </w:r>
      <w:r>
        <w:rPr>
          <w:rFonts w:hint="cs"/>
          <w:rtl/>
          <w:lang w:bidi="fa-IR"/>
        </w:rPr>
        <w:t xml:space="preserve"> </w:t>
      </w:r>
      <w:r w:rsidRPr="007C12DB">
        <w:rPr>
          <w:rStyle w:val="libFootnotenumChar"/>
          <w:rtl/>
        </w:rPr>
        <w:t>(7)</w:t>
      </w:r>
      <w:r w:rsidRPr="005D642E">
        <w:rPr>
          <w:rtl/>
          <w:lang w:bidi="fa-IR"/>
        </w:rPr>
        <w:t xml:space="preserve"> أَبُو دَاوُدَ جَمِيعاً ، عَنِ الْحُسَيْنِ بْنِ سَعِيدٍ ، عَنِ النَّضْرِ بْنِ سُوَيْدٍ وَفَضَالَةَ بْنِ أَيُّوبَ ، عَنْ عَبْدِ اللهِ بْنِ سِنَانٍ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 « في حيضتها »</w:t>
      </w:r>
      <w:r w:rsidR="00E3253D">
        <w:rPr>
          <w:rtl/>
        </w:rPr>
        <w:t>.</w:t>
      </w:r>
      <w:r w:rsidR="00E3253D" w:rsidRPr="005D642E">
        <w:rPr>
          <w:rtl/>
        </w:rPr>
        <w:t xml:space="preserve"> وفي « بخ » : « في أيّام حيضها »</w:t>
      </w:r>
      <w:r w:rsidR="00E3253D">
        <w:rPr>
          <w:rtl/>
        </w:rPr>
        <w:t>.</w:t>
      </w:r>
    </w:p>
    <w:p w:rsidR="00E3253D" w:rsidRPr="005D642E" w:rsidRDefault="0042621E" w:rsidP="00872428">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387 ، ح 1194 ، معلّقاً عن أحمد بن محمّد ؛ </w:t>
      </w:r>
      <w:r w:rsidR="00E3253D" w:rsidRPr="002F4D34">
        <w:rPr>
          <w:rStyle w:val="libFootnoteBoldChar"/>
          <w:rtl/>
        </w:rPr>
        <w:t>الاستبصار</w:t>
      </w:r>
      <w:r w:rsidR="00E3253D" w:rsidRPr="005D642E">
        <w:rPr>
          <w:rtl/>
        </w:rPr>
        <w:t xml:space="preserve"> ، ج 1 ، ص 139 ، ح 479 ، بسنده عن أحمد بن محمّد. راجع : </w:t>
      </w:r>
      <w:r w:rsidR="00E3253D" w:rsidRPr="002F4D34">
        <w:rPr>
          <w:rStyle w:val="libFootnoteBoldChar"/>
          <w:rtl/>
        </w:rPr>
        <w:t>التهذيب</w:t>
      </w:r>
      <w:r w:rsidR="00E3253D" w:rsidRPr="005D642E">
        <w:rPr>
          <w:rtl/>
        </w:rPr>
        <w:t xml:space="preserve"> ، ج 1 ، ص 387 ، ح 1193 </w:t>
      </w:r>
      <w:r w:rsidR="00E3253D">
        <w:rPr>
          <w:rtl/>
        </w:rPr>
        <w:t>و 1</w:t>
      </w:r>
      <w:r w:rsidR="00E3253D" w:rsidRPr="005D642E">
        <w:rPr>
          <w:rtl/>
        </w:rPr>
        <w:t xml:space="preserve">196 ؛ </w:t>
      </w:r>
      <w:r w:rsidR="00E3253D" w:rsidRPr="00E678B5">
        <w:rPr>
          <w:rStyle w:val="libFootnoteBoldChar"/>
          <w:rtl/>
        </w:rPr>
        <w:t>والاستبصار</w:t>
      </w:r>
      <w:r w:rsidR="00E3253D" w:rsidRPr="005D642E">
        <w:rPr>
          <w:rtl/>
        </w:rPr>
        <w:t xml:space="preserve"> ، ج 1 ، ص 139 ، ح 477 </w:t>
      </w:r>
      <w:r w:rsidR="00E3253D">
        <w:rPr>
          <w:rtl/>
        </w:rPr>
        <w:t>و 4</w:t>
      </w:r>
      <w:r w:rsidR="00E3253D" w:rsidRPr="005D642E">
        <w:rPr>
          <w:rtl/>
        </w:rPr>
        <w:t>78 ؛ وص 140 ، ح 481</w:t>
      </w:r>
      <w:r w:rsidR="00872428">
        <w:rPr>
          <w:rFonts w:hint="cs"/>
          <w:rtl/>
        </w:rPr>
        <w:t>.</w:t>
      </w:r>
      <w:r w:rsidR="00E3253D" w:rsidRPr="002F4D34">
        <w:rPr>
          <w:rStyle w:val="libFootnoteBoldChar"/>
          <w:rtl/>
        </w:rPr>
        <w:t>الوافي</w:t>
      </w:r>
      <w:r w:rsidR="00E3253D" w:rsidRPr="005D642E">
        <w:rPr>
          <w:rtl/>
        </w:rPr>
        <w:t xml:space="preserve"> ، ج 6 ، ص 465 ، ح 4695 ؛ </w:t>
      </w:r>
      <w:r w:rsidR="00E3253D" w:rsidRPr="002F4D34">
        <w:rPr>
          <w:rStyle w:val="libFootnoteBoldChar"/>
          <w:rtl/>
        </w:rPr>
        <w:t>الوسائل</w:t>
      </w:r>
      <w:r w:rsidR="00E3253D" w:rsidRPr="005D642E">
        <w:rPr>
          <w:rtl/>
        </w:rPr>
        <w:t xml:space="preserve"> ، ج 2 ، ص 331 ، ذيل ح 2283.</w:t>
      </w:r>
    </w:p>
    <w:tbl>
      <w:tblPr>
        <w:tblStyle w:val="TableGrid"/>
        <w:bidiVisual/>
        <w:tblW w:w="0" w:type="auto"/>
        <w:tblLook w:val="04A0" w:firstRow="1" w:lastRow="0" w:firstColumn="1" w:lastColumn="0" w:noHBand="0" w:noVBand="1"/>
      </w:tblPr>
      <w:tblGrid>
        <w:gridCol w:w="4006"/>
        <w:gridCol w:w="4006"/>
      </w:tblGrid>
      <w:tr w:rsidR="00167449" w:rsidTr="00167449">
        <w:tc>
          <w:tcPr>
            <w:tcW w:w="4006" w:type="dxa"/>
          </w:tcPr>
          <w:p w:rsidR="00167449" w:rsidRDefault="00167449" w:rsidP="00E3253D">
            <w:pPr>
              <w:pStyle w:val="libFootnote0"/>
              <w:rPr>
                <w:rStyle w:val="libFootnote0Char"/>
                <w:rtl/>
              </w:rPr>
            </w:pPr>
            <w:r w:rsidRPr="0042621E">
              <w:rPr>
                <w:rStyle w:val="libFootnote0Char"/>
                <w:rtl/>
              </w:rPr>
              <w:t>(3).</w:t>
            </w:r>
            <w:r w:rsidRPr="005D642E">
              <w:rPr>
                <w:rtl/>
              </w:rPr>
              <w:t xml:space="preserve"> في التهذيب </w:t>
            </w:r>
            <w:r w:rsidRPr="00E678B5">
              <w:rPr>
                <w:rStyle w:val="libFootnoteBoldChar"/>
                <w:rtl/>
              </w:rPr>
              <w:t>والاستبصار</w:t>
            </w:r>
            <w:r w:rsidRPr="005D642E">
              <w:rPr>
                <w:rtl/>
              </w:rPr>
              <w:t xml:space="preserve"> : « أبا إبراهيم »</w:t>
            </w:r>
            <w:r>
              <w:rPr>
                <w:rtl/>
              </w:rPr>
              <w:t>.</w:t>
            </w:r>
          </w:p>
        </w:tc>
        <w:tc>
          <w:tcPr>
            <w:tcW w:w="4006" w:type="dxa"/>
          </w:tcPr>
          <w:p w:rsidR="00167449" w:rsidRDefault="00167449" w:rsidP="00167449">
            <w:pPr>
              <w:pStyle w:val="libFootnote0"/>
              <w:rPr>
                <w:rStyle w:val="libFootnote0Char"/>
                <w:rtl/>
              </w:rPr>
            </w:pPr>
            <w:r w:rsidRPr="0042621E">
              <w:rPr>
                <w:rStyle w:val="libFootnote0Char"/>
                <w:rtl/>
              </w:rPr>
              <w:t>(4).</w:t>
            </w:r>
            <w:r w:rsidRPr="005D642E">
              <w:rPr>
                <w:rtl/>
              </w:rPr>
              <w:t xml:space="preserve"> في«جن»وحاشية«بح،بخ»والوسائل:+«الصلاة»</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بخ » : « إن »</w:t>
      </w:r>
      <w:r w:rsidR="00E3253D">
        <w:rPr>
          <w:rtl/>
        </w:rPr>
        <w:t>.</w:t>
      </w:r>
    </w:p>
    <w:p w:rsidR="00E3253D" w:rsidRPr="005D642E" w:rsidRDefault="0042621E" w:rsidP="006A1A21">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386 ، ح 1189 ؛ </w:t>
      </w:r>
      <w:r w:rsidR="00E3253D" w:rsidRPr="00E678B5">
        <w:rPr>
          <w:rStyle w:val="libFootnoteBoldChar"/>
          <w:rtl/>
        </w:rPr>
        <w:t>والاستبصار</w:t>
      </w:r>
      <w:r w:rsidR="00E3253D" w:rsidRPr="005D642E">
        <w:rPr>
          <w:rtl/>
        </w:rPr>
        <w:t xml:space="preserve"> ، ج 1 ، ص 139 ، ح 476 ، بسندهما عن صفوان</w:t>
      </w:r>
      <w:r w:rsidR="006A1A21">
        <w:rPr>
          <w:rFonts w:hint="cs"/>
          <w:rtl/>
        </w:rPr>
        <w:t>.</w:t>
      </w:r>
      <w:r w:rsidR="00E3253D" w:rsidRPr="002F4D34">
        <w:rPr>
          <w:rStyle w:val="libFootnoteBoldChar"/>
          <w:rtl/>
        </w:rPr>
        <w:t>الوافي</w:t>
      </w:r>
      <w:r w:rsidR="00E3253D" w:rsidRPr="005D642E">
        <w:rPr>
          <w:rtl/>
        </w:rPr>
        <w:t xml:space="preserve"> ، ج 6 ، ص 465 ، ح 4696 ؛ </w:t>
      </w:r>
      <w:r w:rsidR="00E3253D" w:rsidRPr="002F4D34">
        <w:rPr>
          <w:rStyle w:val="libFootnoteBoldChar"/>
          <w:rtl/>
        </w:rPr>
        <w:t>الوسائل</w:t>
      </w:r>
      <w:r w:rsidR="00E3253D" w:rsidRPr="005D642E">
        <w:rPr>
          <w:rtl/>
        </w:rPr>
        <w:t xml:space="preserve"> ، ج 2 ، ص 330 ، ح 2278.</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السند تحويل بعطف « أبو داود » على « عدّة من أصحابنا ، عن أحمد بن محمّد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أَنَّهُ سُئِلَ عَنِ الْح</w:t>
      </w:r>
      <w:r>
        <w:rPr>
          <w:rtl/>
          <w:lang w:bidi="fa-IR"/>
        </w:rPr>
        <w:t>ُبْلى تَرَى الدَّمَ : أَ</w:t>
      </w:r>
      <w:r w:rsidRPr="005D642E">
        <w:rPr>
          <w:rtl/>
          <w:lang w:bidi="fa-IR"/>
        </w:rPr>
        <w:t>تَتْرُكُ الصَّلَاةَ</w:t>
      </w:r>
      <w:r>
        <w:rPr>
          <w:rtl/>
          <w:lang w:bidi="fa-IR"/>
        </w:rPr>
        <w:t>؟</w:t>
      </w:r>
    </w:p>
    <w:p w:rsidR="00E3253D" w:rsidRPr="005D642E" w:rsidRDefault="00E3253D" w:rsidP="00E3253D">
      <w:pPr>
        <w:pStyle w:val="libNormal"/>
        <w:rPr>
          <w:rtl/>
          <w:lang w:bidi="fa-IR"/>
        </w:rPr>
      </w:pPr>
      <w:r w:rsidRPr="005D642E">
        <w:rPr>
          <w:rtl/>
          <w:lang w:bidi="fa-IR"/>
        </w:rPr>
        <w:t xml:space="preserve">فَقَالَ : « نَعَمْ ؛ إِنَّ الْحُبْلى رُبَّمَا قَذَفَتْ بِالدَّمِ </w:t>
      </w:r>
      <w:r w:rsidRPr="007C12DB">
        <w:rPr>
          <w:rStyle w:val="libFootnotenumChar"/>
          <w:rtl/>
        </w:rPr>
        <w:t>(1)</w:t>
      </w:r>
      <w:r w:rsidRPr="005D642E">
        <w:rPr>
          <w:rtl/>
          <w:lang w:bidi="fa-IR"/>
        </w:rPr>
        <w:t xml:space="preserve"> »</w:t>
      </w:r>
      <w:r>
        <w:rPr>
          <w:rtl/>
          <w:lang w:bidi="fa-IR"/>
        </w:rPr>
        <w:t>.</w:t>
      </w:r>
      <w:r w:rsidRPr="005D642E">
        <w:rPr>
          <w:rtl/>
          <w:lang w:bidi="fa-IR"/>
        </w:rPr>
        <w:t xml:space="preserve"> </w:t>
      </w:r>
      <w:r w:rsidRPr="007C12DB">
        <w:rPr>
          <w:rStyle w:val="libFootnotenumChar"/>
          <w:rtl/>
        </w:rPr>
        <w:t>(2)</w:t>
      </w:r>
    </w:p>
    <w:p w:rsidR="00E3253D" w:rsidRPr="005D642E" w:rsidRDefault="00E3253D" w:rsidP="00E3253D">
      <w:pPr>
        <w:pStyle w:val="libNormal"/>
        <w:rPr>
          <w:rtl/>
          <w:lang w:bidi="fa-IR"/>
        </w:rPr>
      </w:pPr>
      <w:r w:rsidRPr="00F923E0">
        <w:rPr>
          <w:rtl/>
        </w:rPr>
        <w:t>4198</w:t>
      </w:r>
      <w:r w:rsidRPr="00246318">
        <w:rPr>
          <w:rStyle w:val="libBold2Char"/>
          <w:rtl/>
        </w:rPr>
        <w:t xml:space="preserve"> / 6.</w:t>
      </w:r>
      <w:r w:rsidRPr="005D642E">
        <w:rPr>
          <w:rtl/>
          <w:lang w:bidi="fa-IR"/>
        </w:rPr>
        <w:t xml:space="preserve"> عَلِيُّ بْنُ إِبْرَاهِيمَ ، عَنْ أَبِيهِ ، عَنِ ابْنِ أَبِي عُمَيْرٍ ، عَنْ سُلَيْمَانَ بْنِ خَالِدٍ </w:t>
      </w:r>
      <w:r w:rsidRPr="007C12DB">
        <w:rPr>
          <w:rStyle w:val="libFootnotenumChar"/>
          <w:rtl/>
        </w:rPr>
        <w:t>(3)</w:t>
      </w:r>
      <w:r w:rsidR="00577A34">
        <w:rPr>
          <w:rtl/>
          <w:lang w:bidi="fa-IR"/>
        </w:rPr>
        <w:t xml:space="preserve">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جُعِلْتُ فِدَاكَ ، الْحُبْلى رُبَّمَا طَمِثَتْ</w:t>
      </w:r>
      <w:r>
        <w:rPr>
          <w:rtl/>
          <w:lang w:bidi="fa-IR"/>
        </w:rPr>
        <w:t>؟</w:t>
      </w:r>
    </w:p>
    <w:p w:rsidR="00E3253D" w:rsidRPr="005D642E" w:rsidRDefault="00E3253D" w:rsidP="00E3253D">
      <w:pPr>
        <w:pStyle w:val="libNormal"/>
        <w:rPr>
          <w:rtl/>
          <w:lang w:bidi="fa-IR"/>
        </w:rPr>
      </w:pPr>
      <w:r w:rsidRPr="005D642E">
        <w:rPr>
          <w:rtl/>
          <w:lang w:bidi="fa-IR"/>
        </w:rPr>
        <w:t xml:space="preserve">فَقَالَ : « نَعَمْ ، وَذلِكَ أَنَّ الْوَلَدَ فِي بَطْنِ أُمِّهِ غِذَاؤُهُ </w:t>
      </w:r>
      <w:r w:rsidRPr="007C12DB">
        <w:rPr>
          <w:rStyle w:val="libFootnotenumChar"/>
          <w:rtl/>
        </w:rPr>
        <w:t>(4)</w:t>
      </w:r>
      <w:r w:rsidRPr="005D642E">
        <w:rPr>
          <w:rtl/>
          <w:lang w:bidi="fa-IR"/>
        </w:rPr>
        <w:t xml:space="preserve"> الدَّمُ ، فَرُبَّمَا كَثُرَ فَفَضَلَ عَنْهُ ، فَإِذَا فَضَلَ دَفَعَتْهُ </w:t>
      </w:r>
      <w:r w:rsidRPr="007C12DB">
        <w:rPr>
          <w:rStyle w:val="libFootnotenumChar"/>
          <w:rtl/>
        </w:rPr>
        <w:t>(5)</w:t>
      </w:r>
      <w:r w:rsidRPr="005D642E">
        <w:rPr>
          <w:rtl/>
          <w:lang w:bidi="fa-IR"/>
        </w:rPr>
        <w:t xml:space="preserve"> ، فَإِذَا دَفَعَتْهُ </w:t>
      </w:r>
      <w:r w:rsidRPr="007C12DB">
        <w:rPr>
          <w:rStyle w:val="libFootnotenumChar"/>
          <w:rtl/>
        </w:rPr>
        <w:t>(6)</w:t>
      </w:r>
      <w:r w:rsidRPr="005D642E">
        <w:rPr>
          <w:rtl/>
          <w:lang w:bidi="fa-IR"/>
        </w:rPr>
        <w:t xml:space="preserve"> حَرُمَتْ عَلَيْهَا الصَّلَاةُ »</w:t>
      </w:r>
      <w:r>
        <w:rPr>
          <w:rtl/>
          <w:lang w:bidi="fa-IR"/>
        </w:rPr>
        <w:t>.</w:t>
      </w:r>
    </w:p>
    <w:p w:rsidR="00E3253D" w:rsidRPr="005D642E" w:rsidRDefault="00546943" w:rsidP="00E3253D">
      <w:pPr>
        <w:pStyle w:val="libNormal"/>
        <w:rPr>
          <w:rtl/>
          <w:lang w:bidi="fa-IR"/>
        </w:rPr>
      </w:pPr>
      <w:r>
        <w:rPr>
          <w:rFonts w:hint="cs"/>
          <w:rtl/>
          <w:lang w:bidi="fa-IR"/>
        </w:rPr>
        <w:t xml:space="preserve">* </w:t>
      </w:r>
      <w:r w:rsidR="00E3253D" w:rsidRPr="005D642E">
        <w:rPr>
          <w:rtl/>
          <w:lang w:bidi="fa-IR"/>
        </w:rPr>
        <w:t xml:space="preserve">وَفِي رِوَايَةٍ أُخْرى : « إِذَا </w:t>
      </w:r>
      <w:r w:rsidR="00E3253D" w:rsidRPr="007C12DB">
        <w:rPr>
          <w:rStyle w:val="libFootnotenumChar"/>
          <w:rtl/>
        </w:rPr>
        <w:t>(7)</w:t>
      </w:r>
      <w:r w:rsidR="00E3253D" w:rsidRPr="005D642E">
        <w:rPr>
          <w:rtl/>
          <w:lang w:bidi="fa-IR"/>
        </w:rPr>
        <w:t xml:space="preserve"> كَانَ كَذلِكَ ، تَأَخَّرَ الْوِلَادَةُ »</w:t>
      </w:r>
      <w:r w:rsidR="00E3253D">
        <w:rPr>
          <w:rtl/>
          <w:lang w:bidi="fa-IR"/>
        </w:rPr>
        <w:t>.</w:t>
      </w:r>
      <w:r w:rsidR="00E3253D" w:rsidRPr="005D642E">
        <w:rPr>
          <w:rtl/>
          <w:lang w:bidi="fa-IR"/>
        </w:rPr>
        <w:t xml:space="preserve"> </w:t>
      </w:r>
      <w:r w:rsidR="00E3253D" w:rsidRPr="007C12DB">
        <w:rPr>
          <w:rStyle w:val="libFootnotenumChar"/>
          <w:rtl/>
        </w:rPr>
        <w:t>(8)</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حاشية « بث » : « الدم »</w:t>
      </w:r>
      <w:r w:rsidR="00E3253D">
        <w:rPr>
          <w:rtl/>
        </w:rPr>
        <w:t>.</w:t>
      </w:r>
      <w:r w:rsidR="00E3253D" w:rsidRPr="005D642E">
        <w:rPr>
          <w:rtl/>
        </w:rPr>
        <w:t xml:space="preserve"> وقوله : « قذفت بالدم » أي رمت به ؛ من القَذْف ، وهو الرمي بقوّة. راجع : </w:t>
      </w:r>
      <w:r w:rsidR="00E3253D" w:rsidRPr="002F4D34">
        <w:rPr>
          <w:rStyle w:val="libFootnoteBoldChar"/>
          <w:rtl/>
        </w:rPr>
        <w:t>النهاية</w:t>
      </w:r>
      <w:r w:rsidR="00E3253D" w:rsidRPr="005D642E">
        <w:rPr>
          <w:rtl/>
        </w:rPr>
        <w:t xml:space="preserve"> ، ج 4 ، ص 29 ؛ </w:t>
      </w:r>
      <w:r w:rsidR="00E3253D" w:rsidRPr="002F4D34">
        <w:rPr>
          <w:rStyle w:val="libFootnoteBoldChar"/>
          <w:rtl/>
        </w:rPr>
        <w:t>مجمع البحرين</w:t>
      </w:r>
      <w:r w:rsidR="00E3253D" w:rsidRPr="005D642E">
        <w:rPr>
          <w:rtl/>
        </w:rPr>
        <w:t xml:space="preserve"> ، ج 5 ، ص 107 ( قذف )</w:t>
      </w:r>
      <w:r w:rsidR="00E3253D">
        <w:rPr>
          <w:rtl/>
        </w:rPr>
        <w:t>.</w:t>
      </w:r>
    </w:p>
    <w:p w:rsidR="00E3253D" w:rsidRPr="005D642E" w:rsidRDefault="0042621E" w:rsidP="00577A34">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386 ، ح 1187 ، معلّقاً عن الحسين بن سعيد ؛ </w:t>
      </w:r>
      <w:r w:rsidR="00E3253D" w:rsidRPr="002F4D34">
        <w:rPr>
          <w:rStyle w:val="libFootnoteBoldChar"/>
          <w:rtl/>
        </w:rPr>
        <w:t>الاستبصار</w:t>
      </w:r>
      <w:r w:rsidR="00E3253D" w:rsidRPr="005D642E">
        <w:rPr>
          <w:rtl/>
        </w:rPr>
        <w:t xml:space="preserve"> ، ج 1 ، ص 138 ، ح 474 ، بسنده عن الحسين بن سعيد. وفي </w:t>
      </w:r>
      <w:r w:rsidR="00E3253D" w:rsidRPr="002F4D34">
        <w:rPr>
          <w:rStyle w:val="libFootnoteBoldChar"/>
          <w:rtl/>
        </w:rPr>
        <w:t>التهذيب</w:t>
      </w:r>
      <w:r w:rsidR="00E3253D" w:rsidRPr="005D642E">
        <w:rPr>
          <w:rtl/>
        </w:rPr>
        <w:t xml:space="preserve"> ، ج 1 ، ص 386 ، ح 1188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139 ، ح 475 ، بسند آخر. </w:t>
      </w:r>
      <w:r w:rsidR="00E3253D" w:rsidRPr="002F4D34">
        <w:rPr>
          <w:rStyle w:val="libFootnoteBoldChar"/>
          <w:rtl/>
        </w:rPr>
        <w:t>الفقيه</w:t>
      </w:r>
      <w:r w:rsidR="00E3253D" w:rsidRPr="005D642E">
        <w:rPr>
          <w:rtl/>
        </w:rPr>
        <w:t xml:space="preserve"> ، ج 1 ، ص 91 ، ذيل ح 197 ، وفي الثلاثة الأخيرة مع اختلاف يسير </w:t>
      </w:r>
      <w:r w:rsidR="000E1D56">
        <w:rPr>
          <w:rFonts w:hint="cs"/>
          <w:rtl/>
        </w:rPr>
        <w:t>.</w:t>
      </w:r>
      <w:r w:rsidR="00E3253D" w:rsidRPr="002F4D34">
        <w:rPr>
          <w:rStyle w:val="libFootnoteBoldChar"/>
          <w:rtl/>
        </w:rPr>
        <w:t>الوافي</w:t>
      </w:r>
      <w:r w:rsidR="00E3253D" w:rsidRPr="005D642E">
        <w:rPr>
          <w:rtl/>
        </w:rPr>
        <w:t xml:space="preserve"> ، ج 6 ، ص 465 ، ح 4697 ؛ </w:t>
      </w:r>
      <w:r w:rsidR="00E3253D" w:rsidRPr="002F4D34">
        <w:rPr>
          <w:rStyle w:val="libFootnoteBoldChar"/>
          <w:rtl/>
        </w:rPr>
        <w:t>الوسائل</w:t>
      </w:r>
      <w:r w:rsidR="00E3253D" w:rsidRPr="005D642E">
        <w:rPr>
          <w:rtl/>
        </w:rPr>
        <w:t xml:space="preserve"> ، ج 2 ، ص 329 ، ح 2277.</w:t>
      </w:r>
    </w:p>
    <w:p w:rsidR="000E1D56" w:rsidRDefault="0042621E" w:rsidP="000E1D56">
      <w:pPr>
        <w:pStyle w:val="libFootnote0"/>
        <w:rPr>
          <w:rtl/>
        </w:rPr>
      </w:pPr>
      <w:r w:rsidRPr="0042621E">
        <w:rPr>
          <w:rStyle w:val="libFootnote0Char"/>
          <w:rtl/>
        </w:rPr>
        <w:t>(3).</w:t>
      </w:r>
      <w:r w:rsidR="00E3253D" w:rsidRPr="005D642E">
        <w:rPr>
          <w:rtl/>
        </w:rPr>
        <w:t xml:space="preserve"> لم نجد رواية ابن</w:t>
      </w:r>
      <w:r w:rsidR="000E1D56">
        <w:rPr>
          <w:rtl/>
        </w:rPr>
        <w:t xml:space="preserve"> أبي عمير عن سليمان بن خالد إل</w:t>
      </w:r>
      <w:r w:rsidR="000E1D56">
        <w:rPr>
          <w:rFonts w:hint="cs"/>
          <w:rtl/>
        </w:rPr>
        <w:t>ّ</w:t>
      </w:r>
      <w:r w:rsidR="000E1D56">
        <w:rPr>
          <w:rtl/>
        </w:rPr>
        <w:t>ا</w:t>
      </w:r>
      <w:r w:rsidR="00E3253D" w:rsidRPr="005D642E">
        <w:rPr>
          <w:rtl/>
        </w:rPr>
        <w:t xml:space="preserve">في سند هذا الخبر وسند خبرٍ رواه الشيخ الطوسي في </w:t>
      </w:r>
      <w:r w:rsidR="00E3253D" w:rsidRPr="002F4D34">
        <w:rPr>
          <w:rStyle w:val="libFootnoteBoldChar"/>
          <w:rtl/>
        </w:rPr>
        <w:t>التهذيب</w:t>
      </w:r>
      <w:r w:rsidR="00E3253D" w:rsidRPr="005D642E">
        <w:rPr>
          <w:rtl/>
        </w:rPr>
        <w:t xml:space="preserve"> ، ج 8 ، ص 99 ، ح 333 ؛ </w:t>
      </w:r>
      <w:r w:rsidR="00E3253D" w:rsidRPr="00E678B5">
        <w:rPr>
          <w:rStyle w:val="libFootnoteBoldChar"/>
          <w:rtl/>
        </w:rPr>
        <w:t>والاستبصار</w:t>
      </w:r>
      <w:r w:rsidR="00E3253D" w:rsidRPr="005D642E">
        <w:rPr>
          <w:rtl/>
        </w:rPr>
        <w:t xml:space="preserve"> ، ج 3 ، ص 318 ، ح 1133.</w:t>
      </w:r>
    </w:p>
    <w:p w:rsidR="00E3253D" w:rsidRPr="005D642E" w:rsidRDefault="00E3253D" w:rsidP="000E1D56">
      <w:pPr>
        <w:pStyle w:val="libFootnote0"/>
        <w:rPr>
          <w:rtl/>
          <w:lang w:bidi="fa-IR"/>
        </w:rPr>
      </w:pPr>
      <w:r w:rsidRPr="005D642E">
        <w:rPr>
          <w:rtl/>
        </w:rPr>
        <w:t xml:space="preserve">والمراد من سليمان بن خالد هذا ، هو سليمان بن خالد الأقطع الذي كان من أصحاب أبي جعفر وأبي عبدالله </w:t>
      </w:r>
      <w:r w:rsidRPr="00E91577">
        <w:rPr>
          <w:rStyle w:val="libFootnoteAlaemChar"/>
          <w:rtl/>
        </w:rPr>
        <w:t>عليهما‌السلام</w:t>
      </w:r>
      <w:r w:rsidRPr="005D642E">
        <w:rPr>
          <w:rtl/>
        </w:rPr>
        <w:t xml:space="preserve"> ، ومات في حياة أبي عبدالله </w:t>
      </w:r>
      <w:r w:rsidRPr="000E1D56">
        <w:rPr>
          <w:rStyle w:val="libFootnoteAlaemChar"/>
          <w:rtl/>
        </w:rPr>
        <w:t>عليه‌السلام</w:t>
      </w:r>
      <w:r w:rsidRPr="005D642E">
        <w:rPr>
          <w:rtl/>
        </w:rPr>
        <w:t xml:space="preserve"> ، كما صرّح بذلك النجاشي والشيخ الطوسي في رجاليهما</w:t>
      </w:r>
      <w:r>
        <w:rPr>
          <w:rtl/>
        </w:rPr>
        <w:t xml:space="preserve"> </w:t>
      </w:r>
      <w:r w:rsidR="007642BC">
        <w:rPr>
          <w:rtl/>
        </w:rPr>
        <w:t>-</w:t>
      </w:r>
      <w:r>
        <w:rPr>
          <w:rtl/>
        </w:rPr>
        <w:t xml:space="preserve"> </w:t>
      </w:r>
      <w:r w:rsidRPr="005D642E">
        <w:rPr>
          <w:rtl/>
        </w:rPr>
        <w:t>وكان ذلك قبل سنة 148</w:t>
      </w:r>
      <w:r>
        <w:rPr>
          <w:rtl/>
        </w:rPr>
        <w:t xml:space="preserve"> </w:t>
      </w:r>
      <w:r w:rsidR="007642BC">
        <w:rPr>
          <w:rtl/>
        </w:rPr>
        <w:t>-</w:t>
      </w:r>
      <w:r>
        <w:rPr>
          <w:rtl/>
        </w:rPr>
        <w:t xml:space="preserve"> </w:t>
      </w:r>
      <w:r w:rsidRPr="005D642E">
        <w:rPr>
          <w:rtl/>
        </w:rPr>
        <w:t xml:space="preserve">وقد مات ابن أبي عمير سنة 217 ولم يدرك أبا عبدالله </w:t>
      </w:r>
      <w:r w:rsidRPr="000E1D56">
        <w:rPr>
          <w:rStyle w:val="libFootnoteAlaemChar"/>
          <w:rtl/>
        </w:rPr>
        <w:t>عليه‌السلام</w:t>
      </w:r>
      <w:r w:rsidRPr="005D642E">
        <w:rPr>
          <w:rtl/>
        </w:rPr>
        <w:t xml:space="preserve"> ، كما يظهر من مواضع ترجمته وأسناده ، فعليه ، لايبعد وقوع خللٍ في سندنا هذا وما ورد في التهذيب </w:t>
      </w:r>
      <w:r w:rsidRPr="00E678B5">
        <w:rPr>
          <w:rStyle w:val="libFootnoteBoldChar"/>
          <w:rtl/>
        </w:rPr>
        <w:t>والاستبصار</w:t>
      </w:r>
      <w:r w:rsidRPr="005D642E">
        <w:rPr>
          <w:rtl/>
        </w:rPr>
        <w:t xml:space="preserve"> من سقط أو إرسال. راجع : </w:t>
      </w:r>
      <w:r w:rsidRPr="002F4D34">
        <w:rPr>
          <w:rStyle w:val="libFootnoteBoldChar"/>
          <w:rtl/>
        </w:rPr>
        <w:t>رجال النجاشي</w:t>
      </w:r>
      <w:r w:rsidRPr="005D642E">
        <w:rPr>
          <w:rtl/>
        </w:rPr>
        <w:t xml:space="preserve"> ، ص 183 ، الرقم 484 ؛ وص 326 ، الرقم 887 ؛ </w:t>
      </w:r>
      <w:r w:rsidRPr="002F4D34">
        <w:rPr>
          <w:rStyle w:val="libFootnoteBoldChar"/>
          <w:rtl/>
        </w:rPr>
        <w:t>رجال الطوسي</w:t>
      </w:r>
      <w:r w:rsidRPr="005D642E">
        <w:rPr>
          <w:rtl/>
        </w:rPr>
        <w:t xml:space="preserve"> ، ص 215 ، الرقم 2838.</w:t>
      </w:r>
    </w:p>
    <w:p w:rsidR="00E3253D" w:rsidRPr="005D642E" w:rsidRDefault="00E3253D" w:rsidP="00E3253D">
      <w:pPr>
        <w:pStyle w:val="libFootnote0"/>
        <w:rPr>
          <w:rtl/>
          <w:lang w:bidi="fa-IR"/>
        </w:rPr>
      </w:pPr>
      <w:r w:rsidRPr="00B60612">
        <w:rPr>
          <w:rtl/>
        </w:rPr>
        <w:t xml:space="preserve">ويؤيّد ذلك أنّ هشام بن سالم </w:t>
      </w:r>
      <w:r w:rsidR="007642BC" w:rsidRPr="00B60612">
        <w:rPr>
          <w:rtl/>
        </w:rPr>
        <w:t>-</w:t>
      </w:r>
      <w:r w:rsidRPr="00B60612">
        <w:rPr>
          <w:rtl/>
        </w:rPr>
        <w:t xml:space="preserve"> وهو من مشايخ ابن أبي عمير </w:t>
      </w:r>
      <w:r w:rsidR="007642BC" w:rsidRPr="00B60612">
        <w:rPr>
          <w:rtl/>
        </w:rPr>
        <w:t>-</w:t>
      </w:r>
      <w:r w:rsidRPr="00B60612">
        <w:rPr>
          <w:rtl/>
        </w:rPr>
        <w:t xml:space="preserve"> قد أكثر من الرواية عن سليمان بن خالد ، وتوسّط بينه وبين ابن أبي عمير في عدّة من الأسناد. راجع : </w:t>
      </w:r>
      <w:r w:rsidRPr="002F4D34">
        <w:rPr>
          <w:rStyle w:val="libFootnoteBoldChar"/>
          <w:rtl/>
        </w:rPr>
        <w:t>معجم رجال الحديث</w:t>
      </w:r>
      <w:r w:rsidRPr="00B60612">
        <w:rPr>
          <w:rtl/>
        </w:rPr>
        <w:t xml:space="preserve"> ، ج 19 ، ص 423 </w:t>
      </w:r>
      <w:r w:rsidR="007642BC" w:rsidRPr="00B60612">
        <w:rPr>
          <w:rtl/>
        </w:rPr>
        <w:t>-</w:t>
      </w:r>
      <w:r w:rsidRPr="00B60612">
        <w:rPr>
          <w:rtl/>
        </w:rPr>
        <w:t xml:space="preserve"> 424.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وفي المطبوع : « غذاه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ى ، بح ، بخ ، بف ، جح ، جن » </w:t>
      </w:r>
      <w:r w:rsidR="000D749A" w:rsidRPr="000D749A">
        <w:rPr>
          <w:rStyle w:val="libFootnoteBoldChar"/>
          <w:rtl/>
        </w:rPr>
        <w:t>والوافي</w:t>
      </w:r>
      <w:r w:rsidR="00E3253D" w:rsidRPr="005D642E">
        <w:rPr>
          <w:rtl/>
        </w:rPr>
        <w:t xml:space="preserve"> والوسائل : « دفقته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ى ، بح ، بخ ، بف ، جح ، جن » </w:t>
      </w:r>
      <w:r w:rsidR="000D749A" w:rsidRPr="000D749A">
        <w:rPr>
          <w:rStyle w:val="libFootnoteBoldChar"/>
          <w:rtl/>
        </w:rPr>
        <w:t>والوافي</w:t>
      </w:r>
      <w:r w:rsidR="00E3253D" w:rsidRPr="005D642E">
        <w:rPr>
          <w:rtl/>
        </w:rPr>
        <w:t xml:space="preserve"> والوسائل : « دفقته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إن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علل الشرائع</w:t>
      </w:r>
      <w:r w:rsidR="00E3253D" w:rsidRPr="005D642E">
        <w:rPr>
          <w:rtl/>
        </w:rPr>
        <w:t xml:space="preserve"> ، ص 291 ، ح 1 ، بسند آخر عن أبي عبدالله ، عن عليّ </w:t>
      </w:r>
      <w:r w:rsidR="00E3253D" w:rsidRPr="00E91577">
        <w:rPr>
          <w:rStyle w:val="libFootnoteAlaemChar"/>
          <w:rtl/>
        </w:rPr>
        <w:t>عليهما‌السلام</w:t>
      </w:r>
      <w:r w:rsidR="00E3253D" w:rsidRPr="005D642E">
        <w:rPr>
          <w:rtl/>
        </w:rPr>
        <w:t xml:space="preserve">. </w:t>
      </w:r>
      <w:r w:rsidR="00E3253D" w:rsidRPr="002F4D34">
        <w:rPr>
          <w:rStyle w:val="libFootnoteBoldChar"/>
          <w:rtl/>
        </w:rPr>
        <w:t>الفقيه</w:t>
      </w:r>
      <w:r w:rsidR="00E3253D" w:rsidRPr="005D642E">
        <w:rPr>
          <w:rtl/>
        </w:rPr>
        <w:t xml:space="preserve"> ، ج 1 ، ص 91 ، ح 197 ، </w:t>
      </w:r>
      <w:r w:rsidR="00E9157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210" w:name="_Toc344647280"/>
      <w:bookmarkStart w:id="211" w:name="_Toc462226795"/>
      <w:bookmarkStart w:id="212" w:name="_Toc40975903"/>
      <w:r w:rsidRPr="005D642E">
        <w:rPr>
          <w:rtl/>
          <w:lang w:bidi="fa-IR"/>
        </w:rPr>
        <w:lastRenderedPageBreak/>
        <w:t>13</w:t>
      </w:r>
      <w:r>
        <w:rPr>
          <w:rtl/>
          <w:lang w:bidi="fa-IR"/>
        </w:rPr>
        <w:t xml:space="preserve"> </w:t>
      </w:r>
      <w:r w:rsidR="007642BC">
        <w:rPr>
          <w:rtl/>
          <w:lang w:bidi="fa-IR"/>
        </w:rPr>
        <w:t>-</w:t>
      </w:r>
      <w:r>
        <w:rPr>
          <w:rtl/>
          <w:lang w:bidi="fa-IR"/>
        </w:rPr>
        <w:t xml:space="preserve"> </w:t>
      </w:r>
      <w:r w:rsidRPr="005D642E">
        <w:rPr>
          <w:rtl/>
          <w:lang w:bidi="fa-IR"/>
        </w:rPr>
        <w:t>بَابُ النُّفَسَاءِ‌</w:t>
      </w:r>
      <w:bookmarkEnd w:id="210"/>
      <w:bookmarkEnd w:id="211"/>
      <w:bookmarkEnd w:id="212"/>
    </w:p>
    <w:p w:rsidR="00E3253D" w:rsidRPr="005D642E" w:rsidRDefault="00E3253D" w:rsidP="00E3253D">
      <w:pPr>
        <w:pStyle w:val="libNormal"/>
        <w:rPr>
          <w:rtl/>
          <w:lang w:bidi="fa-IR"/>
        </w:rPr>
      </w:pPr>
      <w:r w:rsidRPr="00F923E0">
        <w:rPr>
          <w:rtl/>
        </w:rPr>
        <w:t>4199</w:t>
      </w:r>
      <w:r w:rsidRPr="00246318">
        <w:rPr>
          <w:rStyle w:val="libBold2Char"/>
          <w:rtl/>
        </w:rPr>
        <w:t xml:space="preserve"> / 1.</w:t>
      </w:r>
      <w:r w:rsidRPr="005D642E">
        <w:rPr>
          <w:rtl/>
          <w:lang w:bidi="fa-IR"/>
        </w:rPr>
        <w:t xml:space="preserve"> عَلِيُّ بْنُ إِبْرَاهِيمَ ، عَنْ أَبِيهِ ، عَنِ ابْنِ أَبِي عُمَيْرٍ ، عَنْ عُمَرَ بْنِ أُذَيْنَةَ ، عَنِ الْفُضَيْلِ بْنِ يَسَارٍ وَزُرَارَةَ </w:t>
      </w:r>
      <w:r w:rsidRPr="007C12DB">
        <w:rPr>
          <w:rStyle w:val="libFootnotenumChar"/>
          <w:rtl/>
        </w:rPr>
        <w:t>(1)</w:t>
      </w:r>
      <w:r w:rsidRPr="005D642E">
        <w:rPr>
          <w:rtl/>
          <w:lang w:bidi="fa-IR"/>
        </w:rPr>
        <w:t xml:space="preserve"> :</w:t>
      </w:r>
    </w:p>
    <w:p w:rsidR="00E3253D" w:rsidRPr="005D642E" w:rsidRDefault="00E3253D" w:rsidP="00EE6CC1">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 النُّفَسَاءُ تَكُفُّ عَنِ الصَّلَاةِ أَيَّامَ أَقْرَائِهَا </w:t>
      </w:r>
      <w:r w:rsidRPr="007C12DB">
        <w:rPr>
          <w:rStyle w:val="libFootnotenumChar"/>
          <w:rtl/>
        </w:rPr>
        <w:t>(2)</w:t>
      </w:r>
      <w:r w:rsidRPr="005D642E">
        <w:rPr>
          <w:rtl/>
          <w:lang w:bidi="fa-IR"/>
        </w:rPr>
        <w:t xml:space="preserve"> الَّتِي كَانَتْ تَمْكُثُ </w:t>
      </w:r>
      <w:r w:rsidRPr="007C12DB">
        <w:rPr>
          <w:rStyle w:val="libFootnotenumChar"/>
          <w:rtl/>
        </w:rPr>
        <w:t>(3)</w:t>
      </w:r>
      <w:r w:rsidRPr="005D642E">
        <w:rPr>
          <w:rtl/>
          <w:lang w:bidi="fa-IR"/>
        </w:rPr>
        <w:t xml:space="preserve"> فِيهَا ، ثُمَّ تَغْتَسِلُ ، وَتَعْمَلُ كَمَا </w:t>
      </w:r>
      <w:r w:rsidRPr="007C12DB">
        <w:rPr>
          <w:rStyle w:val="libFootnotenumChar"/>
          <w:rtl/>
        </w:rPr>
        <w:t>(4)</w:t>
      </w:r>
      <w:r w:rsidRPr="005D642E">
        <w:rPr>
          <w:rtl/>
          <w:lang w:bidi="fa-IR"/>
        </w:rPr>
        <w:t xml:space="preserve"> تَعْمَلُ </w:t>
      </w:r>
      <w:r w:rsidRPr="007C12DB">
        <w:rPr>
          <w:rStyle w:val="libFootnotenumChar"/>
          <w:rtl/>
        </w:rPr>
        <w:t>(5)</w:t>
      </w:r>
      <w:r w:rsidRPr="005D642E">
        <w:rPr>
          <w:rtl/>
          <w:lang w:bidi="fa-IR"/>
        </w:rPr>
        <w:t xml:space="preserve"> الْمُسْتَحَاضَةُ »</w:t>
      </w:r>
      <w:r>
        <w:rPr>
          <w:rtl/>
          <w:lang w:bidi="fa-IR"/>
        </w:rPr>
        <w:t>.</w:t>
      </w:r>
      <w:r w:rsidRPr="005D642E">
        <w:rPr>
          <w:rtl/>
          <w:lang w:bidi="fa-IR"/>
        </w:rPr>
        <w:t xml:space="preserve"> </w:t>
      </w:r>
      <w:r w:rsidRPr="007C12DB">
        <w:rPr>
          <w:rStyle w:val="libFootnotenumChar"/>
          <w:rtl/>
        </w:rPr>
        <w:t>(6)</w:t>
      </w:r>
    </w:p>
    <w:p w:rsidR="00E3253D" w:rsidRPr="005D642E" w:rsidRDefault="00E3253D" w:rsidP="00E3253D">
      <w:pPr>
        <w:pStyle w:val="libNormal"/>
        <w:rPr>
          <w:rtl/>
          <w:lang w:bidi="fa-IR"/>
        </w:rPr>
      </w:pPr>
      <w:r w:rsidRPr="00F923E0">
        <w:rPr>
          <w:rtl/>
        </w:rPr>
        <w:t>4200</w:t>
      </w:r>
      <w:r w:rsidRPr="00246318">
        <w:rPr>
          <w:rStyle w:val="libBold2Char"/>
          <w:rtl/>
        </w:rPr>
        <w:t xml:space="preserve"> / 2.</w:t>
      </w:r>
      <w:r w:rsidRPr="005D642E">
        <w:rPr>
          <w:rtl/>
          <w:lang w:bidi="fa-IR"/>
        </w:rPr>
        <w:t xml:space="preserve"> عِدَّةٌ مِنْ أَصْحَابِنَا ، عَنْ أَحْمَدَ بْنِ مُحَمَّدٍ ، عَنْ عَلِيِّ بْنِ الْحَكَمِ ، عَنْ عَبْدِ اللهِ بْنِ بُكَيْرٍ ، عَنْ عَبْدِ الرَّحْمنِ بْنِ أَعْيَنَ ، قَالَ :</w:t>
      </w:r>
    </w:p>
    <w:p w:rsidR="00E3253D" w:rsidRPr="005D642E" w:rsidRDefault="00E3253D" w:rsidP="00E3253D">
      <w:pPr>
        <w:pStyle w:val="libNormal"/>
        <w:rPr>
          <w:rtl/>
          <w:lang w:bidi="fa-IR"/>
        </w:rPr>
      </w:pPr>
      <w:r w:rsidRPr="005D642E">
        <w:rPr>
          <w:rtl/>
          <w:lang w:bidi="fa-IR"/>
        </w:rPr>
        <w:t xml:space="preserve">قُلْتُ لَهُ : إِنَّ امْرَأَةَ عَبْدِ الْمَلِكِ وَلَدَتْ ، فَعَدَّ لَهَا </w:t>
      </w:r>
      <w:r w:rsidRPr="007C12DB">
        <w:rPr>
          <w:rStyle w:val="libFootnotenumChar"/>
          <w:rtl/>
        </w:rPr>
        <w:t>(7)</w:t>
      </w:r>
      <w:r w:rsidRPr="005D642E">
        <w:rPr>
          <w:rtl/>
          <w:lang w:bidi="fa-IR"/>
        </w:rPr>
        <w:t xml:space="preserve"> أَيَّامَ حَيْضِهَا ، ثُمَّ </w:t>
      </w:r>
      <w:r w:rsidRPr="007C12DB">
        <w:rPr>
          <w:rStyle w:val="libFootnotenumChar"/>
          <w:rtl/>
        </w:rPr>
        <w:t>(8)</w:t>
      </w:r>
      <w:r w:rsidRPr="005D642E">
        <w:rPr>
          <w:rtl/>
          <w:lang w:bidi="fa-IR"/>
        </w:rPr>
        <w:t xml:space="preserve"> أَمَرَهَا ، فَاغْتَسَلَتْ ،</w:t>
      </w:r>
    </w:p>
    <w:p w:rsidR="00E3253D" w:rsidRPr="005D642E" w:rsidRDefault="00E3253D" w:rsidP="00E3253D">
      <w:pPr>
        <w:pStyle w:val="libLine"/>
        <w:rPr>
          <w:rtl/>
          <w:lang w:bidi="fa-IR"/>
        </w:rPr>
      </w:pPr>
      <w:r w:rsidRPr="005D642E">
        <w:rPr>
          <w:rtl/>
          <w:lang w:bidi="fa-IR"/>
        </w:rPr>
        <w:t>__________________</w:t>
      </w:r>
    </w:p>
    <w:p w:rsidR="00E3253D" w:rsidRPr="005D642E" w:rsidRDefault="0014583A" w:rsidP="00E3253D">
      <w:pPr>
        <w:pStyle w:val="libFootnote0"/>
        <w:rPr>
          <w:rtl/>
          <w:lang w:bidi="fa-IR"/>
        </w:rPr>
      </w:pPr>
      <w:r>
        <w:rPr>
          <w:rFonts w:hint="cs"/>
          <w:rtl/>
        </w:rPr>
        <w:t xml:space="preserve">= </w:t>
      </w:r>
      <w:r w:rsidR="00E3253D" w:rsidRPr="005D642E">
        <w:rPr>
          <w:rtl/>
        </w:rPr>
        <w:t xml:space="preserve">مرسلاً عن أميرالمؤمنين </w:t>
      </w:r>
      <w:r w:rsidR="00E3253D" w:rsidRPr="002C4306">
        <w:rPr>
          <w:rStyle w:val="libFootnoteAlaemChar"/>
          <w:rtl/>
        </w:rPr>
        <w:t>عليه‌السلام</w:t>
      </w:r>
      <w:r w:rsidR="00E3253D" w:rsidRPr="005D642E">
        <w:rPr>
          <w:rtl/>
        </w:rPr>
        <w:t xml:space="preserve"> ، وفيهما هذه الفقرة : « أنّ الولد في بطن ا</w:t>
      </w:r>
      <w:r w:rsidR="002C4306">
        <w:rPr>
          <w:rFonts w:hint="cs"/>
          <w:rtl/>
        </w:rPr>
        <w:t>ُ</w:t>
      </w:r>
      <w:r w:rsidR="00E3253D" w:rsidRPr="005D642E">
        <w:rPr>
          <w:rtl/>
        </w:rPr>
        <w:t xml:space="preserve">مّه غذاؤه الدم » مع اختلاف يسير </w:t>
      </w:r>
      <w:r w:rsidR="002C4306">
        <w:rPr>
          <w:rFonts w:hint="cs"/>
          <w:rtl/>
        </w:rPr>
        <w:t>.</w:t>
      </w:r>
      <w:r w:rsidR="00E3253D" w:rsidRPr="002F4D34">
        <w:rPr>
          <w:rStyle w:val="libFootnoteBoldChar"/>
          <w:rtl/>
        </w:rPr>
        <w:t>الوافي</w:t>
      </w:r>
      <w:r w:rsidR="00E3253D" w:rsidRPr="005D642E">
        <w:rPr>
          <w:rtl/>
        </w:rPr>
        <w:t xml:space="preserve"> ، ج 6 ، ص 466 ، ح 4698 </w:t>
      </w:r>
      <w:r w:rsidR="00E3253D">
        <w:rPr>
          <w:rtl/>
        </w:rPr>
        <w:t>و 4</w:t>
      </w:r>
      <w:r w:rsidR="00E3253D" w:rsidRPr="005D642E">
        <w:rPr>
          <w:rtl/>
        </w:rPr>
        <w:t xml:space="preserve">699 ؛ </w:t>
      </w:r>
      <w:r w:rsidR="00E3253D" w:rsidRPr="002F4D34">
        <w:rPr>
          <w:rStyle w:val="libFootnoteBoldChar"/>
          <w:rtl/>
        </w:rPr>
        <w:t>الوسائل</w:t>
      </w:r>
      <w:r w:rsidR="00E3253D" w:rsidRPr="005D642E">
        <w:rPr>
          <w:rtl/>
        </w:rPr>
        <w:t xml:space="preserve"> ، ج 2 ، ص 334 ، ح 2290 </w:t>
      </w:r>
      <w:r w:rsidR="00E3253D">
        <w:rPr>
          <w:rtl/>
        </w:rPr>
        <w:t>و 2</w:t>
      </w:r>
      <w:r w:rsidR="00E3253D" w:rsidRPr="005D642E">
        <w:rPr>
          <w:rtl/>
        </w:rPr>
        <w:t>291.</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 ص 173 : « عن زرارة » بدل « وزرارة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الأقراء » : جمع القرء ، وهو بضمّ القاف وفتحها وسكون الراء من الأضداد يقع على الحيض والطهر. وقيل : هو بالفتح بمعنى الطهر ، وبالضمّ بمعنى الحيض ، والأوّل هو الأشهر. راجع : </w:t>
      </w:r>
      <w:r w:rsidR="00E3253D" w:rsidRPr="002F4D34">
        <w:rPr>
          <w:rStyle w:val="libFootnoteBoldChar"/>
          <w:rtl/>
        </w:rPr>
        <w:t>النهاية</w:t>
      </w:r>
      <w:r w:rsidR="00E3253D" w:rsidRPr="005D642E">
        <w:rPr>
          <w:rtl/>
        </w:rPr>
        <w:t xml:space="preserve"> ، ج 4 ، ص 32 ؛ </w:t>
      </w:r>
      <w:r w:rsidR="00E3253D" w:rsidRPr="002F4D34">
        <w:rPr>
          <w:rStyle w:val="libFootnoteBoldChar"/>
          <w:rtl/>
        </w:rPr>
        <w:t>لسان العرب</w:t>
      </w:r>
      <w:r w:rsidR="00E3253D" w:rsidRPr="005D642E">
        <w:rPr>
          <w:rtl/>
        </w:rPr>
        <w:t xml:space="preserve"> ، ج 1 ، ص 130 ( قرأ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تمكث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كلّما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 « تعمله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107 ، ح 278 ؛ وص 175 ، ح 499 ؛ </w:t>
      </w:r>
      <w:r w:rsidR="00E3253D" w:rsidRPr="00E678B5">
        <w:rPr>
          <w:rStyle w:val="libFootnoteBoldChar"/>
          <w:rtl/>
        </w:rPr>
        <w:t>والاستبصار</w:t>
      </w:r>
      <w:r w:rsidR="00E3253D" w:rsidRPr="005D642E">
        <w:rPr>
          <w:rtl/>
        </w:rPr>
        <w:t xml:space="preserve"> ، ج 1 ، ص 150 ، ح 519 ، بسندهما عن الكليني. وفي </w:t>
      </w:r>
      <w:r w:rsidR="00E3253D" w:rsidRPr="002F4D34">
        <w:rPr>
          <w:rStyle w:val="libFootnoteBoldChar"/>
          <w:rtl/>
        </w:rPr>
        <w:t>التهذيب</w:t>
      </w:r>
      <w:r w:rsidR="00E3253D" w:rsidRPr="005D642E">
        <w:rPr>
          <w:rtl/>
        </w:rPr>
        <w:t xml:space="preserve"> ، ج 1 ، ص 176 ، ح 504 ؛ وص 173 ، ح 495 ؛ </w:t>
      </w:r>
      <w:r w:rsidR="00E3253D" w:rsidRPr="00E678B5">
        <w:rPr>
          <w:rStyle w:val="libFootnoteBoldChar"/>
          <w:rtl/>
        </w:rPr>
        <w:t>والاستبصار</w:t>
      </w:r>
      <w:r w:rsidR="00E3253D" w:rsidRPr="005D642E">
        <w:rPr>
          <w:rtl/>
        </w:rPr>
        <w:t xml:space="preserve"> ، ج 1 ، ص 151 ، ح 524 ، بسند آخر عن ابن أبي عمير ، مع اختلاف يسير. وفي </w:t>
      </w:r>
      <w:r w:rsidR="00E3253D" w:rsidRPr="002F4D34">
        <w:rPr>
          <w:rStyle w:val="libFootnoteBoldChar"/>
          <w:rtl/>
        </w:rPr>
        <w:t>التهذيب</w:t>
      </w:r>
      <w:r w:rsidR="00E3253D" w:rsidRPr="005D642E">
        <w:rPr>
          <w:rtl/>
        </w:rPr>
        <w:t xml:space="preserve"> ، ج 1 ، ص 175 ، ح 502 ؛ </w:t>
      </w:r>
      <w:r w:rsidR="00E3253D" w:rsidRPr="00E678B5">
        <w:rPr>
          <w:rStyle w:val="libFootnoteBoldChar"/>
          <w:rtl/>
        </w:rPr>
        <w:t>والاستبصار</w:t>
      </w:r>
      <w:r w:rsidR="00E3253D" w:rsidRPr="005D642E">
        <w:rPr>
          <w:rtl/>
        </w:rPr>
        <w:t xml:space="preserve"> ، ج 1 ، ص 151 ، ح 522 ، بسند آخر عن أبي عبدالله </w:t>
      </w:r>
      <w:r w:rsidR="00E3253D" w:rsidRPr="002C4306">
        <w:rPr>
          <w:rStyle w:val="libFootnoteAlaemChar"/>
          <w:rtl/>
        </w:rPr>
        <w:t>عليه‌السلام</w:t>
      </w:r>
      <w:r w:rsidR="00E3253D" w:rsidRPr="005D642E">
        <w:rPr>
          <w:rtl/>
        </w:rPr>
        <w:t xml:space="preserve"> ، مع اختلاف </w:t>
      </w:r>
      <w:r w:rsidR="002C4306">
        <w:rPr>
          <w:rFonts w:hint="cs"/>
          <w:rtl/>
        </w:rPr>
        <w:t>.</w:t>
      </w:r>
      <w:r w:rsidR="00E3253D" w:rsidRPr="002F4D34">
        <w:rPr>
          <w:rStyle w:val="libFootnoteBoldChar"/>
          <w:rtl/>
        </w:rPr>
        <w:t>الوافي</w:t>
      </w:r>
      <w:r w:rsidR="00E3253D" w:rsidRPr="005D642E">
        <w:rPr>
          <w:rtl/>
        </w:rPr>
        <w:t xml:space="preserve"> ، ج 6 ، ص 475 ، ح 4720 ؛ </w:t>
      </w:r>
      <w:r w:rsidR="00E3253D" w:rsidRPr="002F4D34">
        <w:rPr>
          <w:rStyle w:val="libFootnoteBoldChar"/>
          <w:rtl/>
        </w:rPr>
        <w:t>الوسائل</w:t>
      </w:r>
      <w:r w:rsidR="00E3253D" w:rsidRPr="005D642E">
        <w:rPr>
          <w:rtl/>
        </w:rPr>
        <w:t xml:space="preserve"> ، ج 2 ، ص 382 ، ذيل ح 2412.</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ا</w:t>
      </w:r>
      <w:r w:rsidR="002C4306">
        <w:rPr>
          <w:rFonts w:hint="cs"/>
          <w:rtl/>
        </w:rPr>
        <w:t>ُ</w:t>
      </w:r>
      <w:r w:rsidR="00E3253D" w:rsidRPr="005D642E">
        <w:rPr>
          <w:rtl/>
        </w:rPr>
        <w:t>ريد بالمستتر في قوله : فعدّ لها ، عبدالملك وهو أخو عبدالرحمن ، وفي قوله : « فقال » ، الإمام إمّا</w:t>
      </w:r>
      <w:r w:rsidR="00E3253D">
        <w:rPr>
          <w:rFonts w:hint="cs"/>
          <w:rtl/>
        </w:rPr>
        <w:t xml:space="preserve"> </w:t>
      </w:r>
      <w:r w:rsidR="00E3253D" w:rsidRPr="005D642E">
        <w:rPr>
          <w:rtl/>
        </w:rPr>
        <w:t xml:space="preserve">الباقر وإمّا الصادق </w:t>
      </w:r>
      <w:r w:rsidR="00E3253D" w:rsidRPr="002C4306">
        <w:rPr>
          <w:rStyle w:val="libFootnoteAlaemChar"/>
          <w:rtl/>
        </w:rPr>
        <w:t>عليهما‌السلام</w:t>
      </w:r>
      <w:r w:rsidR="00E3253D" w:rsidRPr="005D642E">
        <w:rPr>
          <w:rtl/>
        </w:rPr>
        <w:t xml:space="preserve"> ، وبالمجرور في « أمربه » الأمر المذكور من الغسل والاحتشاء والتنظيف والصلاة ؛ فإنّ ذلك سبب العافية »</w:t>
      </w:r>
      <w:r w:rsidR="00E3253D">
        <w:rPr>
          <w:rtl/>
        </w:rPr>
        <w:t>.</w:t>
      </w:r>
      <w:r w:rsidR="00E3253D" w:rsidRPr="005D642E">
        <w:rPr>
          <w:rtl/>
        </w:rPr>
        <w:t xml:space="preserve"> وراجع أيضاً : </w:t>
      </w:r>
      <w:r w:rsidR="00E3253D" w:rsidRPr="002F4D34">
        <w:rPr>
          <w:rStyle w:val="libFootnoteBoldChar"/>
          <w:rtl/>
        </w:rPr>
        <w:t>مرآة العقول</w:t>
      </w:r>
      <w:r w:rsidR="00E3253D" w:rsidRPr="005D642E">
        <w:rPr>
          <w:rtl/>
        </w:rPr>
        <w:t xml:space="preserve"> ، ج 13 ، ص 240.</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غ » : « </w:t>
      </w:r>
      <w:r w:rsidR="00E3253D">
        <w:rPr>
          <w:rtl/>
        </w:rPr>
        <w:t>و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وَاحْتَشَتْ ، وَأَمَرَهَا </w:t>
      </w:r>
      <w:r w:rsidRPr="007C12DB">
        <w:rPr>
          <w:rStyle w:val="libFootnotenumChar"/>
          <w:rtl/>
        </w:rPr>
        <w:t>(1)</w:t>
      </w:r>
      <w:r w:rsidRPr="005D642E">
        <w:rPr>
          <w:rtl/>
          <w:lang w:bidi="fa-IR"/>
        </w:rPr>
        <w:t xml:space="preserve"> أَنْ تَلْبَسَ ثَوْبَيْنِ نَظِيفَيْنِ </w:t>
      </w:r>
      <w:r w:rsidRPr="007C12DB">
        <w:rPr>
          <w:rStyle w:val="libFootnotenumChar"/>
          <w:rtl/>
        </w:rPr>
        <w:t>(2)</w:t>
      </w:r>
      <w:r w:rsidRPr="005D642E">
        <w:rPr>
          <w:rtl/>
          <w:lang w:bidi="fa-IR"/>
        </w:rPr>
        <w:t xml:space="preserve"> ، وَأَمَرَهَا </w:t>
      </w:r>
      <w:r w:rsidRPr="007C12DB">
        <w:rPr>
          <w:rStyle w:val="libFootnotenumChar"/>
          <w:rtl/>
        </w:rPr>
        <w:t>(3)</w:t>
      </w:r>
      <w:r w:rsidRPr="005D642E">
        <w:rPr>
          <w:rtl/>
          <w:lang w:bidi="fa-IR"/>
        </w:rPr>
        <w:t xml:space="preserve"> بِالصَّلَاةِ ، فَقَالَتْ لَهُ : لَاتَطِيبُ نَفْسِي أَنْ أَدْخُلَ الْمَسْجِدَ ، فَدَعْنِي أَقُومُ خَارِجاً مِنْهُ </w:t>
      </w:r>
      <w:r w:rsidRPr="007C12DB">
        <w:rPr>
          <w:rStyle w:val="libFootnotenumChar"/>
          <w:rtl/>
        </w:rPr>
        <w:t>(4)</w:t>
      </w:r>
      <w:r w:rsidRPr="005D642E">
        <w:rPr>
          <w:rtl/>
          <w:lang w:bidi="fa-IR"/>
        </w:rPr>
        <w:t xml:space="preserve"> ، وَأَسْجُدُ فِيهِ.</w:t>
      </w:r>
    </w:p>
    <w:p w:rsidR="00E3253D" w:rsidRPr="005D642E" w:rsidRDefault="00E3253D" w:rsidP="00E3253D">
      <w:pPr>
        <w:pStyle w:val="libNormal"/>
        <w:rPr>
          <w:rtl/>
          <w:lang w:bidi="fa-IR"/>
        </w:rPr>
      </w:pPr>
      <w:r w:rsidRPr="005D642E">
        <w:rPr>
          <w:rtl/>
          <w:lang w:bidi="fa-IR"/>
        </w:rPr>
        <w:t xml:space="preserve">فَقَالَ : « قَدْ أَمَرَ </w:t>
      </w:r>
      <w:r w:rsidRPr="007C12DB">
        <w:rPr>
          <w:rStyle w:val="libFootnotenumChar"/>
          <w:rtl/>
        </w:rPr>
        <w:t>(5)</w:t>
      </w:r>
      <w:r w:rsidRPr="005D642E">
        <w:rPr>
          <w:rtl/>
          <w:lang w:bidi="fa-IR"/>
        </w:rPr>
        <w:t xml:space="preserve"> بِهِ </w:t>
      </w:r>
      <w:r w:rsidRPr="007C12DB">
        <w:rPr>
          <w:rStyle w:val="libFootnotenumChar"/>
          <w:rtl/>
        </w:rPr>
        <w:t>(6)</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 قَالَ </w:t>
      </w:r>
      <w:r w:rsidRPr="007C12DB">
        <w:rPr>
          <w:rStyle w:val="libFootnotenumChar"/>
          <w:rtl/>
        </w:rPr>
        <w:t>(7)</w:t>
      </w:r>
      <w:r w:rsidRPr="005D642E">
        <w:rPr>
          <w:rtl/>
          <w:lang w:bidi="fa-IR"/>
        </w:rPr>
        <w:t xml:space="preserve"> : « وَانْقَطَعَ </w:t>
      </w:r>
      <w:r w:rsidRPr="007C12DB">
        <w:rPr>
          <w:rStyle w:val="libFootnotenumChar"/>
          <w:rtl/>
        </w:rPr>
        <w:t>(8)</w:t>
      </w:r>
      <w:r w:rsidRPr="005D642E">
        <w:rPr>
          <w:rtl/>
          <w:lang w:bidi="fa-IR"/>
        </w:rPr>
        <w:t xml:space="preserve"> الدَّمُ عَنِ الْمَرْأَةِ ، وَرَأَتِ الطُّهْرَ ، وَأَمَرَ عَلِيٌّ </w:t>
      </w:r>
      <w:r w:rsidRPr="00AC51C5">
        <w:rPr>
          <w:rStyle w:val="libAlaemChar"/>
          <w:rtl/>
        </w:rPr>
        <w:t>عليه‌السلام</w:t>
      </w:r>
      <w:r w:rsidRPr="005D642E">
        <w:rPr>
          <w:rtl/>
          <w:lang w:bidi="fa-IR"/>
        </w:rPr>
        <w:t xml:space="preserve"> بِهذَا قَبْلَكُمْ ، فَانْقَطَعَ الدَّمُ عَنِ الْمَرْأَةِ ، وَرَأَتِ الطُّهْرَ ، فَمَا فَعَلَتْ صَاحِبَتُكُمْ </w:t>
      </w:r>
      <w:r w:rsidRPr="007C12DB">
        <w:rPr>
          <w:rStyle w:val="libFootnotenumChar"/>
          <w:rtl/>
        </w:rPr>
        <w:t>(9)</w:t>
      </w:r>
      <w:r>
        <w:rPr>
          <w:rtl/>
          <w:lang w:bidi="fa-IR"/>
        </w:rPr>
        <w:t>؟</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قُلْتُ : مَا أَدْرِي.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F923E0">
        <w:rPr>
          <w:rtl/>
        </w:rPr>
        <w:t>4201</w:t>
      </w:r>
      <w:r w:rsidRPr="00246318">
        <w:rPr>
          <w:rStyle w:val="libBold2Char"/>
          <w:rtl/>
        </w:rPr>
        <w:t xml:space="preserve"> / 3.</w:t>
      </w:r>
      <w:r w:rsidRPr="005D642E">
        <w:rPr>
          <w:rtl/>
          <w:lang w:bidi="fa-IR"/>
        </w:rPr>
        <w:t xml:space="preserve"> عَلِيُّ بْنُ إِبْرَاهِيمَ ، عَنْ أَبِيهِ رَفَعَهُ ، قَالَ :</w:t>
      </w:r>
    </w:p>
    <w:p w:rsidR="00E3253D" w:rsidRPr="005D642E" w:rsidRDefault="00E3253D" w:rsidP="00E3253D">
      <w:pPr>
        <w:pStyle w:val="libNormal"/>
        <w:rPr>
          <w:rtl/>
          <w:lang w:bidi="fa-IR"/>
        </w:rPr>
      </w:pPr>
      <w:r w:rsidRPr="005D642E">
        <w:rPr>
          <w:rtl/>
          <w:lang w:bidi="fa-IR"/>
        </w:rPr>
        <w:t xml:space="preserve">سَأَلَتِ امْرَأَةٌ أَبَا عَبْدِ اللهِ </w:t>
      </w:r>
      <w:r w:rsidRPr="00AC51C5">
        <w:rPr>
          <w:rStyle w:val="libAlaemChar"/>
          <w:rtl/>
        </w:rPr>
        <w:t>عليه‌السلام</w:t>
      </w:r>
      <w:r w:rsidRPr="005D642E">
        <w:rPr>
          <w:rtl/>
          <w:lang w:bidi="fa-IR"/>
        </w:rPr>
        <w:t xml:space="preserve"> ، فَقَالَتْ : إِنِّي كُنْتُ أَقْعُدُ فِي </w:t>
      </w:r>
      <w:r w:rsidRPr="007C12DB">
        <w:rPr>
          <w:rStyle w:val="libFootnotenumChar"/>
          <w:rtl/>
        </w:rPr>
        <w:t>(11)</w:t>
      </w:r>
      <w:r w:rsidRPr="005D642E">
        <w:rPr>
          <w:rtl/>
          <w:lang w:bidi="fa-IR"/>
        </w:rPr>
        <w:t xml:space="preserve"> نِفَاسِي عِشْرِينَ يَوْماً حَتّى أَفْتَوْنِي بِثَمَانِيَةَ عَشَرَ يَوْماً.</w:t>
      </w:r>
    </w:p>
    <w:p w:rsidR="00E3253D" w:rsidRPr="005D642E" w:rsidRDefault="00E3253D" w:rsidP="00E3253D">
      <w:pPr>
        <w:pStyle w:val="libNormal"/>
        <w:rPr>
          <w:rtl/>
          <w:lang w:bidi="fa-IR"/>
        </w:rPr>
      </w:pPr>
      <w:r w:rsidRPr="005D642E">
        <w:rPr>
          <w:rtl/>
          <w:lang w:bidi="fa-IR"/>
        </w:rPr>
        <w:t xml:space="preserve">فَقَالَ أَبُو عَبْدِ اللهِ </w:t>
      </w:r>
      <w:r w:rsidRPr="00AC51C5">
        <w:rPr>
          <w:rStyle w:val="libAlaemChar"/>
          <w:rtl/>
        </w:rPr>
        <w:t>عليه‌السلام</w:t>
      </w:r>
      <w:r w:rsidRPr="005D642E">
        <w:rPr>
          <w:rtl/>
          <w:lang w:bidi="fa-IR"/>
        </w:rPr>
        <w:t xml:space="preserve"> : « وَلِمَ أَفْتَوْكِ بِثَمَانِيَةَ عَشَرَ يَوْماً</w:t>
      </w:r>
      <w:r>
        <w:rPr>
          <w:rtl/>
          <w:lang w:bidi="fa-IR"/>
        </w:rPr>
        <w:t>؟</w:t>
      </w:r>
      <w:r w:rsidRPr="005D642E">
        <w:rPr>
          <w:rtl/>
          <w:lang w:bidi="fa-IR"/>
        </w:rPr>
        <w:t xml:space="preserve"> »</w:t>
      </w:r>
      <w:r>
        <w:rPr>
          <w:rtl/>
          <w:lang w:bidi="fa-IR"/>
        </w:rPr>
        <w:t>.</w:t>
      </w:r>
    </w:p>
    <w:p w:rsidR="00E3253D" w:rsidRPr="005D642E" w:rsidRDefault="00E3253D" w:rsidP="00E3253D">
      <w:pPr>
        <w:pStyle w:val="libNormal"/>
        <w:rPr>
          <w:rtl/>
          <w:lang w:bidi="fa-IR"/>
        </w:rPr>
      </w:pPr>
      <w:r w:rsidRPr="005D642E">
        <w:rPr>
          <w:rtl/>
          <w:lang w:bidi="fa-IR"/>
        </w:rPr>
        <w:t xml:space="preserve">فَقَالَ رَجُلٌ </w:t>
      </w:r>
      <w:r w:rsidRPr="007C12DB">
        <w:rPr>
          <w:rStyle w:val="libFootnotenumChar"/>
          <w:rtl/>
        </w:rPr>
        <w:t>(12)</w:t>
      </w:r>
      <w:r w:rsidRPr="005D642E">
        <w:rPr>
          <w:rtl/>
          <w:lang w:bidi="fa-IR"/>
        </w:rPr>
        <w:t xml:space="preserve"> : لِلْحَدِيثِ </w:t>
      </w:r>
      <w:r w:rsidRPr="007C12DB">
        <w:rPr>
          <w:rStyle w:val="libFootnotenumChar"/>
          <w:rtl/>
        </w:rPr>
        <w:t>(13)</w:t>
      </w:r>
      <w:r w:rsidRPr="005D642E">
        <w:rPr>
          <w:rtl/>
          <w:lang w:bidi="fa-IR"/>
        </w:rPr>
        <w:t xml:space="preserve"> الَّذِي رُوِيَ عَنْ رَسُولِ اللهِ </w:t>
      </w:r>
      <w:r w:rsidR="0042621E" w:rsidRPr="0042621E">
        <w:rPr>
          <w:rStyle w:val="libAlaemChar"/>
          <w:rtl/>
        </w:rPr>
        <w:t>صلى‌الله‌عليه‌وآله</w:t>
      </w:r>
      <w:r w:rsidRPr="005D642E">
        <w:rPr>
          <w:rtl/>
          <w:lang w:bidi="fa-IR"/>
        </w:rPr>
        <w:t xml:space="preserve"> </w:t>
      </w:r>
      <w:r w:rsidRPr="007C12DB">
        <w:rPr>
          <w:rStyle w:val="libFootnotenumChar"/>
          <w:rtl/>
        </w:rPr>
        <w:t>(14)</w:t>
      </w:r>
      <w:r w:rsidRPr="005D642E">
        <w:rPr>
          <w:rtl/>
          <w:lang w:bidi="fa-IR"/>
        </w:rPr>
        <w:t xml:space="preserve"> ، قَالَ لِأَسْمَاءَ بِنْتِ‌</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C4306" w:rsidTr="002C4306">
        <w:tc>
          <w:tcPr>
            <w:tcW w:w="4006" w:type="dxa"/>
          </w:tcPr>
          <w:p w:rsidR="002C4306" w:rsidRDefault="002C4306" w:rsidP="00E3253D">
            <w:pPr>
              <w:pStyle w:val="libFootnote0"/>
              <w:rPr>
                <w:rStyle w:val="libFootnote0Char"/>
                <w:rtl/>
              </w:rPr>
            </w:pPr>
            <w:r w:rsidRPr="0042621E">
              <w:rPr>
                <w:rStyle w:val="libFootnote0Char"/>
                <w:rtl/>
              </w:rPr>
              <w:t>(1).</w:t>
            </w:r>
            <w:r>
              <w:rPr>
                <w:rtl/>
              </w:rPr>
              <w:t xml:space="preserve"> </w:t>
            </w:r>
            <w:r w:rsidRPr="005D642E">
              <w:rPr>
                <w:rtl/>
              </w:rPr>
              <w:t>في « جن » : « أمرها » بدون الواو.</w:t>
            </w:r>
          </w:p>
        </w:tc>
        <w:tc>
          <w:tcPr>
            <w:tcW w:w="4006" w:type="dxa"/>
          </w:tcPr>
          <w:p w:rsidR="002C4306" w:rsidRDefault="002C4306" w:rsidP="00E3253D">
            <w:pPr>
              <w:pStyle w:val="libFootnote0"/>
              <w:rPr>
                <w:rStyle w:val="libFootnote0Char"/>
                <w:rtl/>
              </w:rPr>
            </w:pPr>
            <w:r w:rsidRPr="0042621E">
              <w:rPr>
                <w:rStyle w:val="libFootnote0Char"/>
                <w:rtl/>
              </w:rPr>
              <w:t>(2).</w:t>
            </w:r>
            <w:r w:rsidRPr="005D642E">
              <w:rPr>
                <w:rtl/>
              </w:rPr>
              <w:t xml:space="preserve"> في « غ » : « قطيفين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بح » وحاشية « بخ » : « فأمرها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معظم النسخ التي قوبلت وحاشية « غ » </w:t>
      </w:r>
      <w:r w:rsidR="000D749A" w:rsidRPr="000D749A">
        <w:rPr>
          <w:rStyle w:val="libFootnoteBoldChar"/>
          <w:rtl/>
        </w:rPr>
        <w:t>والوافي</w:t>
      </w:r>
      <w:r w:rsidR="00E3253D" w:rsidRPr="005D642E">
        <w:rPr>
          <w:rtl/>
        </w:rPr>
        <w:t xml:space="preserve"> والوسائل. وفي « غ » والمطبوع : « عنه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بخ » : « قد أمرنا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بس ، جح ، جس » وحاشية « غ » والوسائل : « بذا »</w:t>
      </w:r>
      <w:r w:rsidR="00E3253D">
        <w:rPr>
          <w:rtl/>
        </w:rPr>
        <w:t>.</w:t>
      </w:r>
      <w:r w:rsidR="00E3253D" w:rsidRPr="005D642E">
        <w:rPr>
          <w:rtl/>
        </w:rPr>
        <w:t xml:space="preserve"> وفي « بح ، بث » : « بنا »</w:t>
      </w:r>
      <w:r w:rsidR="00E3253D">
        <w:rPr>
          <w:rtl/>
        </w:rPr>
        <w:t>.</w:t>
      </w:r>
      <w:r w:rsidR="00591486">
        <w:rPr>
          <w:rtl/>
        </w:rPr>
        <w:t xml:space="preserve"> وفي «بخ</w:t>
      </w:r>
      <w:r w:rsidR="00E3253D" w:rsidRPr="005D642E">
        <w:rPr>
          <w:rtl/>
        </w:rPr>
        <w:t>» : « هذا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 ظ ، غ ، ى ، بث ، بح ، بس ، جح ، جن »</w:t>
      </w:r>
      <w:r w:rsidR="00E3253D">
        <w:rPr>
          <w:rtl/>
        </w:rPr>
        <w:t>.</w:t>
      </w:r>
      <w:r w:rsidR="00E3253D" w:rsidRPr="005D642E">
        <w:rPr>
          <w:rtl/>
        </w:rPr>
        <w:t xml:space="preserve"> وفي « بخ ، بف ، جس » :</w:t>
      </w:r>
      <w:r w:rsidR="00E3253D">
        <w:rPr>
          <w:rtl/>
        </w:rPr>
        <w:t xml:space="preserve"> </w:t>
      </w:r>
      <w:r w:rsidR="007642BC">
        <w:rPr>
          <w:rtl/>
        </w:rPr>
        <w:t>-</w:t>
      </w:r>
      <w:r w:rsidR="00E3253D">
        <w:rPr>
          <w:rtl/>
        </w:rPr>
        <w:t xml:space="preserve"> </w:t>
      </w:r>
      <w:r w:rsidR="00E3253D" w:rsidRPr="005D642E">
        <w:rPr>
          <w:rtl/>
        </w:rPr>
        <w:t>« قال »</w:t>
      </w:r>
      <w:r w:rsidR="00E3253D">
        <w:rPr>
          <w:rtl/>
        </w:rPr>
        <w:t>.</w:t>
      </w:r>
      <w:r w:rsidR="00E3253D" w:rsidRPr="005D642E">
        <w:rPr>
          <w:rtl/>
        </w:rPr>
        <w:t xml:space="preserve"> وفي المطبوع : « [ وقال ]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 ظ ، غ ، ى ، بث ، بح ، بخ ، بس ، بف ، جن » </w:t>
      </w:r>
      <w:r w:rsidR="000D749A" w:rsidRPr="000D749A">
        <w:rPr>
          <w:rStyle w:val="libFootnoteBoldChar"/>
          <w:rtl/>
        </w:rPr>
        <w:t>والوافي</w:t>
      </w:r>
      <w:r w:rsidR="00E3253D" w:rsidRPr="005D642E">
        <w:rPr>
          <w:rtl/>
        </w:rPr>
        <w:t>. وفي « جح ، جس » والوسائل والمطبوع : « فانقطع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الوافي</w:t>
      </w:r>
      <w:r w:rsidR="00E3253D" w:rsidRPr="005D642E">
        <w:rPr>
          <w:rtl/>
        </w:rPr>
        <w:t xml:space="preserve"> : « المراد بالصاحبة امرأة عبدالملك ، فما فعلت ، أي هل عوفيت أم لا</w:t>
      </w:r>
      <w:r w:rsidR="00E3253D">
        <w:rPr>
          <w:rtl/>
        </w:rPr>
        <w:t>؟</w:t>
      </w:r>
      <w:r w:rsidR="00E3253D" w:rsidRPr="005D642E">
        <w:rPr>
          <w:rtl/>
        </w:rPr>
        <w:t xml:space="preserve"> »</w:t>
      </w:r>
      <w:r w:rsidR="00E3253D">
        <w:rPr>
          <w:rtl/>
        </w:rPr>
        <w:t>.</w:t>
      </w:r>
      <w:r w:rsidR="00E3253D" w:rsidRPr="005D642E">
        <w:rPr>
          <w:rtl/>
        </w:rPr>
        <w:t xml:space="preserve"> ونحوه في </w:t>
      </w:r>
      <w:r w:rsidR="00E3253D" w:rsidRPr="002F4D34">
        <w:rPr>
          <w:rStyle w:val="libFootnoteBoldChar"/>
          <w:rtl/>
        </w:rPr>
        <w:t>مرآة العقول</w:t>
      </w:r>
      <w:r w:rsidR="00E3253D" w:rsidRPr="005D642E">
        <w:rPr>
          <w:rtl/>
        </w:rPr>
        <w:t xml:space="preserve"> ، ج 13 ، ص 240.</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6 ، ص 476 ، ح 4721 ؛ </w:t>
      </w:r>
      <w:r w:rsidR="00E3253D" w:rsidRPr="002F4D34">
        <w:rPr>
          <w:rStyle w:val="libFootnoteBoldChar"/>
          <w:rtl/>
        </w:rPr>
        <w:t>الوسائل</w:t>
      </w:r>
      <w:r w:rsidR="00E3253D" w:rsidRPr="005D642E">
        <w:rPr>
          <w:rtl/>
        </w:rPr>
        <w:t xml:space="preserve"> ، ج 2 ، ص 385 ، ح 2420.</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من »</w:t>
      </w:r>
      <w:r w:rsidR="00E3253D">
        <w:rPr>
          <w:rtl/>
        </w:rPr>
        <w:t>.</w:t>
      </w:r>
    </w:p>
    <w:tbl>
      <w:tblPr>
        <w:tblStyle w:val="TableGrid"/>
        <w:bidiVisual/>
        <w:tblW w:w="0" w:type="auto"/>
        <w:tblLook w:val="04A0" w:firstRow="1" w:lastRow="0" w:firstColumn="1" w:lastColumn="0" w:noHBand="0" w:noVBand="1"/>
      </w:tblPr>
      <w:tblGrid>
        <w:gridCol w:w="4006"/>
        <w:gridCol w:w="4006"/>
      </w:tblGrid>
      <w:tr w:rsidR="00346C10" w:rsidTr="00346C10">
        <w:tc>
          <w:tcPr>
            <w:tcW w:w="4006" w:type="dxa"/>
          </w:tcPr>
          <w:p w:rsidR="00346C10" w:rsidRDefault="00346C10" w:rsidP="00E3253D">
            <w:pPr>
              <w:pStyle w:val="libFootnote0"/>
              <w:rPr>
                <w:rStyle w:val="libFootnote0Char"/>
                <w:rtl/>
              </w:rPr>
            </w:pPr>
            <w:r w:rsidRPr="0042621E">
              <w:rPr>
                <w:rStyle w:val="libFootnote0Char"/>
                <w:rtl/>
              </w:rPr>
              <w:t>(12).</w:t>
            </w:r>
            <w:r>
              <w:rPr>
                <w:rtl/>
              </w:rPr>
              <w:t xml:space="preserve"> في الاستبصار : «فقالت</w:t>
            </w:r>
            <w:r w:rsidRPr="005D642E">
              <w:rPr>
                <w:rtl/>
              </w:rPr>
              <w:t>» بدل « فقال رجل »</w:t>
            </w:r>
            <w:r>
              <w:rPr>
                <w:rtl/>
              </w:rPr>
              <w:t>.</w:t>
            </w:r>
          </w:p>
        </w:tc>
        <w:tc>
          <w:tcPr>
            <w:tcW w:w="4006" w:type="dxa"/>
          </w:tcPr>
          <w:p w:rsidR="00346C10" w:rsidRDefault="00346C10" w:rsidP="00E3253D">
            <w:pPr>
              <w:pStyle w:val="libFootnote0"/>
              <w:rPr>
                <w:rStyle w:val="libFootnote0Char"/>
                <w:rtl/>
              </w:rPr>
            </w:pPr>
            <w:r w:rsidRPr="0042621E">
              <w:rPr>
                <w:rStyle w:val="libFootnote0Char"/>
                <w:rtl/>
              </w:rPr>
              <w:t>(13).</w:t>
            </w:r>
            <w:r w:rsidRPr="005D642E">
              <w:rPr>
                <w:rtl/>
              </w:rPr>
              <w:t xml:space="preserve"> في « جس » : « الحديث »</w:t>
            </w:r>
            <w:r>
              <w:rPr>
                <w:rtl/>
              </w:rPr>
              <w:t>.</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بف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أنّه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عُمَيْسٍ حِينَ </w:t>
      </w:r>
      <w:r w:rsidRPr="007C12DB">
        <w:rPr>
          <w:rStyle w:val="libFootnotenumChar"/>
          <w:rtl/>
        </w:rPr>
        <w:t>(1)</w:t>
      </w:r>
      <w:r w:rsidRPr="005D642E">
        <w:rPr>
          <w:rtl/>
          <w:lang w:bidi="fa-IR"/>
        </w:rPr>
        <w:t xml:space="preserve"> نَفِسَتْ بِمُحَمَّدِ بْنِ أَبِي بَكْرٍ.</w:t>
      </w:r>
    </w:p>
    <w:p w:rsidR="00E3253D" w:rsidRPr="005D642E" w:rsidRDefault="00E3253D" w:rsidP="00E3253D">
      <w:pPr>
        <w:pStyle w:val="libNormal"/>
        <w:rPr>
          <w:rtl/>
          <w:lang w:bidi="fa-IR"/>
        </w:rPr>
      </w:pPr>
      <w:r w:rsidRPr="005D642E">
        <w:rPr>
          <w:rtl/>
          <w:lang w:bidi="fa-IR"/>
        </w:rPr>
        <w:t xml:space="preserve">فَقَالَ أَبُو عَبْدِ اللهِ </w:t>
      </w:r>
      <w:r w:rsidRPr="00AC51C5">
        <w:rPr>
          <w:rStyle w:val="libAlaemChar"/>
          <w:rtl/>
        </w:rPr>
        <w:t>عليه‌السلام</w:t>
      </w:r>
      <w:r w:rsidRPr="005D642E">
        <w:rPr>
          <w:rtl/>
          <w:lang w:bidi="fa-IR"/>
        </w:rPr>
        <w:t xml:space="preserve"> : « إِنَّ أَسْمَاءَ </w:t>
      </w:r>
      <w:r w:rsidRPr="007C12DB">
        <w:rPr>
          <w:rStyle w:val="libFootnotenumChar"/>
          <w:rtl/>
        </w:rPr>
        <w:t>(2)</w:t>
      </w:r>
      <w:r w:rsidRPr="005D642E">
        <w:rPr>
          <w:rtl/>
          <w:lang w:bidi="fa-IR"/>
        </w:rPr>
        <w:t xml:space="preserve"> سَأَلَتْ رَسُولَ اللهِ </w:t>
      </w:r>
      <w:r w:rsidR="0042621E" w:rsidRPr="0042621E">
        <w:rPr>
          <w:rStyle w:val="libAlaemChar"/>
          <w:rtl/>
        </w:rPr>
        <w:t>صلى‌الله‌عليه‌وآله</w:t>
      </w:r>
      <w:r w:rsidRPr="005D642E">
        <w:rPr>
          <w:rtl/>
          <w:lang w:bidi="fa-IR"/>
        </w:rPr>
        <w:t xml:space="preserve"> وَقَدْ أُتِيَ بِهَا </w:t>
      </w:r>
      <w:r w:rsidRPr="007C12DB">
        <w:rPr>
          <w:rStyle w:val="libFootnotenumChar"/>
          <w:rtl/>
        </w:rPr>
        <w:t>(3)</w:t>
      </w:r>
      <w:r w:rsidRPr="005D642E">
        <w:rPr>
          <w:rtl/>
          <w:lang w:bidi="fa-IR"/>
        </w:rPr>
        <w:t xml:space="preserve"> ثَمَانِيَةَ عَشَرَ‌</w:t>
      </w:r>
      <w:r>
        <w:rPr>
          <w:rFonts w:hint="cs"/>
          <w:rtl/>
          <w:lang w:bidi="fa-IR"/>
        </w:rPr>
        <w:t xml:space="preserve"> </w:t>
      </w:r>
      <w:r w:rsidRPr="005D642E">
        <w:rPr>
          <w:rtl/>
          <w:lang w:bidi="fa-IR"/>
        </w:rPr>
        <w:t xml:space="preserve">يَوْماً ، وَلَوْ سَأَلَتْهُ قَبْلَ ذلِكَ ، لَأَمَرَهَا أَنْ تَغْتَسِلَ ، وَتَفْعَلَ مَا </w:t>
      </w:r>
      <w:r w:rsidRPr="007C12DB">
        <w:rPr>
          <w:rStyle w:val="libFootnotenumChar"/>
          <w:rtl/>
        </w:rPr>
        <w:t>(4)</w:t>
      </w:r>
      <w:r w:rsidRPr="005D642E">
        <w:rPr>
          <w:rtl/>
          <w:lang w:bidi="fa-IR"/>
        </w:rPr>
        <w:t xml:space="preserve"> تَفْعَلُهُ </w:t>
      </w:r>
      <w:r w:rsidRPr="007C12DB">
        <w:rPr>
          <w:rStyle w:val="libFootnotenumChar"/>
          <w:rtl/>
        </w:rPr>
        <w:t>(5)</w:t>
      </w:r>
      <w:r w:rsidRPr="005D642E">
        <w:rPr>
          <w:rtl/>
          <w:lang w:bidi="fa-IR"/>
        </w:rPr>
        <w:t xml:space="preserve"> الْمُسْتَحَاضَةُ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5E1FA6" w:rsidRDefault="00E3253D" w:rsidP="005E1FA6">
      <w:pPr>
        <w:pStyle w:val="libNormal"/>
        <w:rPr>
          <w:rtl/>
          <w:lang w:bidi="fa-IR"/>
        </w:rPr>
      </w:pPr>
      <w:r w:rsidRPr="00F923E0">
        <w:rPr>
          <w:rtl/>
        </w:rPr>
        <w:t>4202</w:t>
      </w:r>
      <w:r w:rsidRPr="00246318">
        <w:rPr>
          <w:rStyle w:val="libBold2Char"/>
          <w:rtl/>
        </w:rPr>
        <w:t xml:space="preserve"> / 4.</w:t>
      </w:r>
      <w:r w:rsidRPr="005D642E">
        <w:rPr>
          <w:rtl/>
          <w:lang w:bidi="fa-IR"/>
        </w:rPr>
        <w:t xml:space="preserve"> عِدَّةٌ مِنْ أَصْحَابِنَا ، عَنْ أَحْمَدَ بْنِ مُحَمَّدٍ ؛</w:t>
      </w:r>
    </w:p>
    <w:p w:rsidR="005E1FA6" w:rsidRDefault="005E1FA6" w:rsidP="005E1FA6">
      <w:pPr>
        <w:pStyle w:val="libNormal"/>
        <w:rPr>
          <w:rtl/>
          <w:lang w:bidi="fa-IR"/>
        </w:rPr>
      </w:pPr>
      <w:r>
        <w:rPr>
          <w:rFonts w:hint="cs"/>
          <w:rtl/>
          <w:lang w:bidi="fa-IR"/>
        </w:rPr>
        <w:t xml:space="preserve">              </w:t>
      </w:r>
      <w:r w:rsidR="00E3253D" w:rsidRPr="005D642E">
        <w:rPr>
          <w:rtl/>
          <w:lang w:bidi="fa-IR"/>
        </w:rPr>
        <w:t>وَعَلِيُّ بْنُ إِبْرَاهِيمَ ، عَنْ أَبِيهِ ؛</w:t>
      </w:r>
    </w:p>
    <w:p w:rsidR="00E3253D" w:rsidRPr="005D642E" w:rsidRDefault="005E1FA6" w:rsidP="005E1FA6">
      <w:pPr>
        <w:pStyle w:val="libNormal"/>
        <w:rPr>
          <w:rtl/>
          <w:lang w:bidi="fa-IR"/>
        </w:rPr>
      </w:pPr>
      <w:r>
        <w:rPr>
          <w:rFonts w:hint="cs"/>
          <w:rtl/>
          <w:lang w:bidi="fa-IR"/>
        </w:rPr>
        <w:t xml:space="preserve">              </w:t>
      </w:r>
      <w:r w:rsidR="00E3253D" w:rsidRPr="005D642E">
        <w:rPr>
          <w:rtl/>
          <w:lang w:bidi="fa-IR"/>
        </w:rPr>
        <w:t>وَمُحَمَّدُ بْنُ إِسْمَاعِيلَ ، عَنِ الْفَضْلِ بْنِ شَاذَانَ جَمِيعاً ، عَنْ حَمَّادِ بْنِ عِيسى ، عَنْ حَرِيزٍ ، عَنْ زُرَارَةَ ، قَالَ :</w:t>
      </w:r>
    </w:p>
    <w:p w:rsidR="00E3253D" w:rsidRPr="005D642E" w:rsidRDefault="00E3253D" w:rsidP="00E3253D">
      <w:pPr>
        <w:pStyle w:val="libNormal"/>
        <w:rPr>
          <w:rtl/>
          <w:lang w:bidi="fa-IR"/>
        </w:rPr>
      </w:pPr>
      <w:r w:rsidRPr="005D642E">
        <w:rPr>
          <w:rtl/>
          <w:lang w:bidi="fa-IR"/>
        </w:rPr>
        <w:t xml:space="preserve">قُلْتُ لَهُ </w:t>
      </w:r>
      <w:r w:rsidRPr="007C12DB">
        <w:rPr>
          <w:rStyle w:val="libFootnotenumChar"/>
          <w:rtl/>
        </w:rPr>
        <w:t>(7)</w:t>
      </w:r>
      <w:r w:rsidRPr="005D642E">
        <w:rPr>
          <w:rtl/>
          <w:lang w:bidi="fa-IR"/>
        </w:rPr>
        <w:t xml:space="preserve"> : النُّفَسَاءُ مَتى تُصَلِّي</w:t>
      </w:r>
      <w:r>
        <w:rPr>
          <w:rtl/>
          <w:lang w:bidi="fa-IR"/>
        </w:rPr>
        <w:t>؟</w:t>
      </w:r>
    </w:p>
    <w:p w:rsidR="00E3253D" w:rsidRPr="005D642E" w:rsidRDefault="00E3253D" w:rsidP="00E3253D">
      <w:pPr>
        <w:pStyle w:val="libNormal"/>
        <w:rPr>
          <w:rtl/>
          <w:lang w:bidi="fa-IR"/>
        </w:rPr>
      </w:pPr>
      <w:r w:rsidRPr="005D642E">
        <w:rPr>
          <w:rtl/>
          <w:lang w:bidi="fa-IR"/>
        </w:rPr>
        <w:t xml:space="preserve">قَالَ : « تَقْعُدُ بِقَدْرِ </w:t>
      </w:r>
      <w:r w:rsidRPr="007C12DB">
        <w:rPr>
          <w:rStyle w:val="libFootnotenumChar"/>
          <w:rtl/>
        </w:rPr>
        <w:t>(8)</w:t>
      </w:r>
      <w:r w:rsidRPr="005D642E">
        <w:rPr>
          <w:rtl/>
          <w:lang w:bidi="fa-IR"/>
        </w:rPr>
        <w:t xml:space="preserve"> حَيْضِهَا ، وَتَسْتَظْهِرُ بِيَوْمَيْنِ </w:t>
      </w:r>
      <w:r w:rsidRPr="007C12DB">
        <w:rPr>
          <w:rStyle w:val="libFootnotenumChar"/>
          <w:rtl/>
        </w:rPr>
        <w:t>(9)</w:t>
      </w:r>
      <w:r w:rsidRPr="005D642E">
        <w:rPr>
          <w:rtl/>
          <w:lang w:bidi="fa-IR"/>
        </w:rPr>
        <w:t xml:space="preserve"> ، فَإ</w:t>
      </w:r>
      <w:r w:rsidR="005E1FA6">
        <w:rPr>
          <w:rtl/>
          <w:lang w:bidi="fa-IR"/>
        </w:rPr>
        <w:t>ِنِ انْقَطَعَ الدَّمُ ، وَإِل</w:t>
      </w:r>
      <w:r w:rsidR="005E1FA6">
        <w:rPr>
          <w:rFonts w:hint="cs"/>
          <w:rtl/>
          <w:lang w:bidi="fa-IR"/>
        </w:rPr>
        <w:t>َّ</w:t>
      </w:r>
      <w:r w:rsidR="005E1FA6">
        <w:rPr>
          <w:rtl/>
          <w:lang w:bidi="fa-IR"/>
        </w:rPr>
        <w:t>ا</w:t>
      </w:r>
      <w:r w:rsidRPr="005D642E">
        <w:rPr>
          <w:rtl/>
          <w:lang w:bidi="fa-IR"/>
        </w:rPr>
        <w:t xml:space="preserve"> اغْتَسَلَتْ ، وَاحْتَشَتْ </w:t>
      </w:r>
      <w:r w:rsidRPr="007C12DB">
        <w:rPr>
          <w:rStyle w:val="libFootnotenumChar"/>
          <w:rtl/>
        </w:rPr>
        <w:t>(10)</w:t>
      </w:r>
      <w:r w:rsidRPr="005D642E">
        <w:rPr>
          <w:rtl/>
          <w:lang w:bidi="fa-IR"/>
        </w:rPr>
        <w:t xml:space="preserve"> ، وَاسْتَثْفَرَتْ </w:t>
      </w:r>
      <w:r w:rsidRPr="007C12DB">
        <w:rPr>
          <w:rStyle w:val="libFootnotenumChar"/>
          <w:rtl/>
        </w:rPr>
        <w:t>(11)</w:t>
      </w:r>
      <w:r w:rsidRPr="005D642E">
        <w:rPr>
          <w:rtl/>
          <w:lang w:bidi="fa-IR"/>
        </w:rPr>
        <w:t xml:space="preserve"> ، وَصَلَّتْ ؛ وَإِنْ </w:t>
      </w:r>
      <w:r w:rsidRPr="007C12DB">
        <w:rPr>
          <w:rStyle w:val="libFootnotenumChar"/>
          <w:rtl/>
        </w:rPr>
        <w:t>(12)</w:t>
      </w:r>
      <w:r w:rsidRPr="005D642E">
        <w:rPr>
          <w:rtl/>
          <w:lang w:bidi="fa-IR"/>
        </w:rPr>
        <w:t xml:space="preserve"> جَازَ الدَّمُ الْكُرْسُفَ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3891"/>
        <w:gridCol w:w="4121"/>
      </w:tblGrid>
      <w:tr w:rsidR="00692A30" w:rsidTr="00C87E72">
        <w:tc>
          <w:tcPr>
            <w:tcW w:w="3891" w:type="dxa"/>
          </w:tcPr>
          <w:p w:rsidR="00692A30" w:rsidRDefault="00692A30" w:rsidP="00E3253D">
            <w:pPr>
              <w:pStyle w:val="libFootnote0"/>
              <w:rPr>
                <w:rStyle w:val="libFootnote0Char"/>
                <w:rtl/>
              </w:rPr>
            </w:pPr>
            <w:r w:rsidRPr="0042621E">
              <w:rPr>
                <w:rStyle w:val="libFootnote0Char"/>
                <w:rtl/>
              </w:rPr>
              <w:t>(1).</w:t>
            </w:r>
            <w:r>
              <w:rPr>
                <w:rtl/>
              </w:rPr>
              <w:t xml:space="preserve"> </w:t>
            </w:r>
            <w:r w:rsidRPr="005D642E">
              <w:rPr>
                <w:rtl/>
              </w:rPr>
              <w:t>في الوسائل : « حيث »</w:t>
            </w:r>
            <w:r>
              <w:rPr>
                <w:rtl/>
              </w:rPr>
              <w:t>.</w:t>
            </w:r>
          </w:p>
        </w:tc>
        <w:tc>
          <w:tcPr>
            <w:tcW w:w="4121" w:type="dxa"/>
          </w:tcPr>
          <w:p w:rsidR="00692A30" w:rsidRDefault="00692A30" w:rsidP="00E3253D">
            <w:pPr>
              <w:pStyle w:val="libFootnote0"/>
              <w:rPr>
                <w:rStyle w:val="libFootnote0Char"/>
                <w:rtl/>
              </w:rPr>
            </w:pPr>
            <w:r w:rsidRPr="0042621E">
              <w:rPr>
                <w:rStyle w:val="libFootnote0Char"/>
                <w:rtl/>
              </w:rPr>
              <w:t>(2).</w:t>
            </w:r>
            <w:r w:rsidR="00C87E72">
              <w:rPr>
                <w:rFonts w:hint="cs"/>
                <w:rtl/>
              </w:rPr>
              <w:t xml:space="preserve"> </w:t>
            </w:r>
            <w:r w:rsidR="00C87E72">
              <w:rPr>
                <w:rtl/>
              </w:rPr>
              <w:t>في«جس»:+«أتت</w:t>
            </w:r>
            <w:r w:rsidRPr="005D642E">
              <w:rPr>
                <w:rtl/>
              </w:rPr>
              <w:t>»</w:t>
            </w:r>
            <w:r>
              <w:rPr>
                <w:rtl/>
              </w:rPr>
              <w:t>.</w:t>
            </w:r>
            <w:r w:rsidR="00C87E72">
              <w:rPr>
                <w:rtl/>
              </w:rPr>
              <w:t>وفي التهذيب:+«بنت</w:t>
            </w:r>
            <w:r w:rsidR="00C87E72">
              <w:rPr>
                <w:rFonts w:hint="cs"/>
                <w:rtl/>
              </w:rPr>
              <w:t xml:space="preserve"> </w:t>
            </w:r>
            <w:r w:rsidR="00C87E72">
              <w:rPr>
                <w:rtl/>
              </w:rPr>
              <w:t>عميس</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بح ، بف » وحاشية « بخ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لها »</w:t>
      </w:r>
      <w:r w:rsidR="00E3253D">
        <w:rPr>
          <w:rtl/>
        </w:rPr>
        <w:t>.</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بها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كما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غ ، ى ، بس ، جس » والوسائل </w:t>
      </w:r>
      <w:r w:rsidR="00B60612" w:rsidRPr="00B60612">
        <w:rPr>
          <w:rStyle w:val="libFootnoteBoldChar"/>
          <w:rtl/>
        </w:rPr>
        <w:t>والتهذيب</w:t>
      </w:r>
      <w:r w:rsidR="00E3253D" w:rsidRPr="005D642E">
        <w:rPr>
          <w:rtl/>
        </w:rPr>
        <w:t xml:space="preserve"> : « تفعل »</w:t>
      </w:r>
      <w:r w:rsidR="00E3253D">
        <w:rPr>
          <w:rtl/>
        </w:rPr>
        <w:t>.</w:t>
      </w:r>
    </w:p>
    <w:p w:rsidR="00E3253D" w:rsidRPr="005D642E" w:rsidRDefault="0042621E" w:rsidP="004B73B0">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178 ، ح 512 ؛ </w:t>
      </w:r>
      <w:r w:rsidR="00E3253D" w:rsidRPr="00E678B5">
        <w:rPr>
          <w:rStyle w:val="libFootnoteBoldChar"/>
          <w:rtl/>
        </w:rPr>
        <w:t>والاستبصار</w:t>
      </w:r>
      <w:r w:rsidR="00E3253D" w:rsidRPr="005D642E">
        <w:rPr>
          <w:rtl/>
        </w:rPr>
        <w:t xml:space="preserve"> ، ج 1 ، ص 153 ، ح 532 ، بسندهما عن الكليني. </w:t>
      </w:r>
      <w:r w:rsidR="00E3253D" w:rsidRPr="002F4D34">
        <w:rPr>
          <w:rStyle w:val="libFootnoteBoldChar"/>
          <w:rtl/>
        </w:rPr>
        <w:t>الفقيه</w:t>
      </w:r>
      <w:r w:rsidR="00E3253D" w:rsidRPr="005D642E">
        <w:rPr>
          <w:rtl/>
        </w:rPr>
        <w:t xml:space="preserve"> ، ج 1 ، ص 101 ، من دون الإسناد إلى المعصوم </w:t>
      </w:r>
      <w:r w:rsidR="00E3253D" w:rsidRPr="004B73B0">
        <w:rPr>
          <w:rStyle w:val="libFootnoteAlaemChar"/>
          <w:rtl/>
        </w:rPr>
        <w:t>عليه‌السلام</w:t>
      </w:r>
      <w:r w:rsidR="00E3253D" w:rsidRPr="005D642E">
        <w:rPr>
          <w:rtl/>
        </w:rPr>
        <w:t xml:space="preserve">. راجع : </w:t>
      </w:r>
      <w:r w:rsidR="00E3253D" w:rsidRPr="002F4D34">
        <w:rPr>
          <w:rStyle w:val="libFootnoteBoldChar"/>
          <w:rtl/>
        </w:rPr>
        <w:t>الكافي</w:t>
      </w:r>
      <w:r w:rsidR="00E3253D" w:rsidRPr="005D642E">
        <w:rPr>
          <w:rtl/>
        </w:rPr>
        <w:t xml:space="preserve"> ، كتاب الحجّ ، باب أنّ المستحاضة تطوف بالبيت ، ح 7696 ؛ </w:t>
      </w:r>
      <w:r w:rsidR="00B60612" w:rsidRPr="00B60612">
        <w:rPr>
          <w:rStyle w:val="libFootnoteBoldChar"/>
          <w:rtl/>
        </w:rPr>
        <w:t>والتهذيب</w:t>
      </w:r>
      <w:r w:rsidR="00E3253D" w:rsidRPr="005D642E">
        <w:rPr>
          <w:rtl/>
        </w:rPr>
        <w:t xml:space="preserve"> ، ج 1 ، ص 179 ، ح 513 </w:t>
      </w:r>
      <w:r w:rsidR="00E3253D">
        <w:rPr>
          <w:rtl/>
        </w:rPr>
        <w:t>و 5</w:t>
      </w:r>
      <w:r w:rsidR="00E3253D" w:rsidRPr="005D642E">
        <w:rPr>
          <w:rtl/>
        </w:rPr>
        <w:t xml:space="preserve">14 ؛ وج 5 ، ص 399 ، ح 1388 </w:t>
      </w:r>
      <w:r w:rsidR="004B73B0">
        <w:rPr>
          <w:rFonts w:hint="cs"/>
          <w:rtl/>
        </w:rPr>
        <w:t>.</w:t>
      </w:r>
      <w:r w:rsidR="00E3253D" w:rsidRPr="002F4D34">
        <w:rPr>
          <w:rStyle w:val="libFootnoteBoldChar"/>
          <w:rtl/>
        </w:rPr>
        <w:t>الوافي</w:t>
      </w:r>
      <w:r w:rsidR="00610FB8">
        <w:rPr>
          <w:rtl/>
        </w:rPr>
        <w:t>،ج 6،ص 478،ح 4725</w:t>
      </w:r>
      <w:r w:rsidR="00E3253D" w:rsidRPr="005D642E">
        <w:rPr>
          <w:rtl/>
        </w:rPr>
        <w:t>؛</w:t>
      </w:r>
      <w:r w:rsidR="00E3253D" w:rsidRPr="002F4D34">
        <w:rPr>
          <w:rStyle w:val="libFootnoteBoldChar"/>
          <w:rtl/>
        </w:rPr>
        <w:t>الوسائل</w:t>
      </w:r>
      <w:r w:rsidR="00610FB8">
        <w:rPr>
          <w:rtl/>
        </w:rPr>
        <w:t>،ج 2،ص 384</w:t>
      </w:r>
      <w:r w:rsidR="00E3253D" w:rsidRPr="005D642E">
        <w:rPr>
          <w:rtl/>
        </w:rPr>
        <w:t>،ح 2418.</w:t>
      </w:r>
      <w:r w:rsidR="004B73B0">
        <w:rPr>
          <w:rFonts w:hint="cs"/>
          <w:rtl/>
        </w:rPr>
        <w:t xml:space="preserve">    </w:t>
      </w:r>
      <w:r w:rsidRPr="0042621E">
        <w:rPr>
          <w:rStyle w:val="libFootnote0Char"/>
          <w:rtl/>
        </w:rPr>
        <w:t>(7).</w:t>
      </w:r>
      <w:r w:rsidR="00E3253D" w:rsidRPr="005D642E">
        <w:rPr>
          <w:rtl/>
        </w:rPr>
        <w:t xml:space="preserve"> في « غ ، بس » :</w:t>
      </w:r>
      <w:r w:rsidR="00E3253D">
        <w:rPr>
          <w:rtl/>
        </w:rPr>
        <w:t xml:space="preserve"> </w:t>
      </w:r>
      <w:r w:rsidR="007642BC">
        <w:rPr>
          <w:rtl/>
        </w:rPr>
        <w:t>-</w:t>
      </w:r>
      <w:r w:rsidR="00E3253D">
        <w:rPr>
          <w:rtl/>
        </w:rPr>
        <w:t xml:space="preserve"> </w:t>
      </w:r>
      <w:r w:rsidR="00E3253D" w:rsidRPr="005D642E">
        <w:rPr>
          <w:rtl/>
        </w:rPr>
        <w:t>« له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 « قدر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الاستظهار : الاحتياط واستيثاق. وقال العل</w:t>
      </w:r>
      <w:r w:rsidR="00610FB8">
        <w:rPr>
          <w:rFonts w:hint="cs"/>
          <w:rtl/>
        </w:rPr>
        <w:t>ّ</w:t>
      </w:r>
      <w:r w:rsidR="00E3253D" w:rsidRPr="005D642E">
        <w:rPr>
          <w:rtl/>
        </w:rPr>
        <w:t>امة الفيض : « استظهار المرأة أن</w:t>
      </w:r>
      <w:r w:rsidR="00E3253D">
        <w:rPr>
          <w:rtl/>
        </w:rPr>
        <w:t xml:space="preserve"> تترك عبادتها حتّى يظهر حالها أ</w:t>
      </w:r>
      <w:r w:rsidR="00E3253D" w:rsidRPr="005D642E">
        <w:rPr>
          <w:rtl/>
        </w:rPr>
        <w:t>حائض ، أم طاهر</w:t>
      </w:r>
      <w:r w:rsidR="00E3253D">
        <w:rPr>
          <w:rtl/>
        </w:rPr>
        <w:t>؟</w:t>
      </w:r>
      <w:r w:rsidR="00E3253D" w:rsidRPr="005D642E">
        <w:rPr>
          <w:rtl/>
        </w:rPr>
        <w:t xml:space="preserve"> »</w:t>
      </w:r>
      <w:r w:rsidR="00E3253D">
        <w:rPr>
          <w:rtl/>
        </w:rPr>
        <w:t>.</w:t>
      </w:r>
      <w:r w:rsidR="00E3253D" w:rsidRPr="005D642E">
        <w:rPr>
          <w:rtl/>
        </w:rPr>
        <w:t xml:space="preserve"> راجع : </w:t>
      </w:r>
      <w:r w:rsidR="00E3253D" w:rsidRPr="002F4D34">
        <w:rPr>
          <w:rStyle w:val="libFootnoteBoldChar"/>
          <w:rtl/>
        </w:rPr>
        <w:t>لسان العرب</w:t>
      </w:r>
      <w:r w:rsidR="00E3253D" w:rsidRPr="005D642E">
        <w:rPr>
          <w:rtl/>
        </w:rPr>
        <w:t xml:space="preserve"> ، ج 4 ، ص 528 ( ظهر ) ؛ </w:t>
      </w:r>
      <w:r w:rsidR="00E3253D" w:rsidRPr="002F4D34">
        <w:rPr>
          <w:rStyle w:val="libFootnoteBoldChar"/>
          <w:rtl/>
        </w:rPr>
        <w:t>الوافي</w:t>
      </w:r>
      <w:r w:rsidR="00E3253D" w:rsidRPr="005D642E">
        <w:rPr>
          <w:rtl/>
        </w:rPr>
        <w:t xml:space="preserve"> ، ج 6 ، ص 439.</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احتشاء المرأة : استدخالها شيئاً في نفسها يمنع الدم من القطر. راجع : </w:t>
      </w:r>
      <w:r w:rsidR="00E3253D" w:rsidRPr="002F4D34">
        <w:rPr>
          <w:rStyle w:val="libFootnoteBoldChar"/>
          <w:rtl/>
        </w:rPr>
        <w:t>النهاية</w:t>
      </w:r>
      <w:r w:rsidR="00E3253D" w:rsidRPr="005D642E">
        <w:rPr>
          <w:rtl/>
        </w:rPr>
        <w:t xml:space="preserve"> ، ج 1 ، ص 392 ؛ </w:t>
      </w:r>
      <w:r w:rsidR="00E3253D" w:rsidRPr="002F4D34">
        <w:rPr>
          <w:rStyle w:val="libFootnoteBoldChar"/>
          <w:rtl/>
        </w:rPr>
        <w:t>لسان العرب</w:t>
      </w:r>
      <w:r w:rsidR="00E3253D" w:rsidRPr="005D642E">
        <w:rPr>
          <w:rtl/>
        </w:rPr>
        <w:t xml:space="preserve"> ، ج 14 ، ص 179 ( حشا )</w:t>
      </w:r>
      <w:r w:rsidR="00E3253D">
        <w:rPr>
          <w:rtl/>
        </w:rPr>
        <w:t>.</w:t>
      </w:r>
    </w:p>
    <w:p w:rsidR="00E3253D" w:rsidRPr="005D642E" w:rsidRDefault="0042621E" w:rsidP="00240E2B">
      <w:pPr>
        <w:pStyle w:val="libFootnote0"/>
        <w:rPr>
          <w:rtl/>
          <w:lang w:bidi="fa-IR"/>
        </w:rPr>
      </w:pPr>
      <w:r w:rsidRPr="0042621E">
        <w:rPr>
          <w:rStyle w:val="libFootnote0Char"/>
          <w:rtl/>
        </w:rPr>
        <w:t>(11).</w:t>
      </w:r>
      <w:r w:rsidR="00E3253D" w:rsidRPr="005D642E">
        <w:rPr>
          <w:rtl/>
        </w:rPr>
        <w:t xml:space="preserve"> استثفار المرأة : هو أن تأخذ خرقة طويلة عريضة تشدّ أحد طرفيها من قدّام وتخرجها من بين فخذيها وتشدّ طرفها الآخر من وراء بعد أن تحتشي بشي‌ء من القطن ؛ ليمتنع به من سيلان الدم. راجع : </w:t>
      </w:r>
      <w:r w:rsidR="00E3253D" w:rsidRPr="002F4D34">
        <w:rPr>
          <w:rStyle w:val="libFootnoteBoldChar"/>
          <w:rtl/>
        </w:rPr>
        <w:t>النهاية</w:t>
      </w:r>
      <w:r w:rsidR="00E3253D" w:rsidRPr="005D642E">
        <w:rPr>
          <w:rtl/>
        </w:rPr>
        <w:t xml:space="preserve"> ، ج 1 ، ص 214 ( ثفر ) ؛ </w:t>
      </w:r>
      <w:r w:rsidR="00E3253D" w:rsidRPr="002F4D34">
        <w:rPr>
          <w:rStyle w:val="libFootnoteBoldChar"/>
          <w:rtl/>
        </w:rPr>
        <w:t>الحبل المتين</w:t>
      </w:r>
      <w:r w:rsidR="00E3253D" w:rsidRPr="005D642E">
        <w:rPr>
          <w:rtl/>
        </w:rPr>
        <w:t xml:space="preserve"> ، ص 187.</w:t>
      </w:r>
      <w:r w:rsidR="00240E2B">
        <w:rPr>
          <w:rFonts w:hint="cs"/>
          <w:rtl/>
        </w:rPr>
        <w:t xml:space="preserve">          </w:t>
      </w:r>
      <w:r w:rsidRPr="0042621E">
        <w:rPr>
          <w:rStyle w:val="libFootnote0Char"/>
          <w:rtl/>
        </w:rPr>
        <w:t>(12).</w:t>
      </w:r>
      <w:r w:rsidR="00E3253D" w:rsidRPr="005D642E">
        <w:rPr>
          <w:rtl/>
        </w:rPr>
        <w:t xml:space="preserve"> في « ظ ، ى ، بث ، بح ، جح ، جس ، جن » : « فإن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تَعَصَّبَتْ </w:t>
      </w:r>
      <w:r w:rsidRPr="007C12DB">
        <w:rPr>
          <w:rStyle w:val="libFootnotenumChar"/>
          <w:rtl/>
        </w:rPr>
        <w:t>(1)</w:t>
      </w:r>
      <w:r w:rsidRPr="005D642E">
        <w:rPr>
          <w:rtl/>
          <w:lang w:bidi="fa-IR"/>
        </w:rPr>
        <w:t xml:space="preserve"> ، وَاغْتَسَلَتْ ، ثُمَّ صَلَّتِ الْغَدَاةَ بِغُسْلٍ ، وَالظُّهْرَ وَالْعَصْرَ بِغُسْلٍ ، وَالْمَغْرِبَ وَالْعِشَاءَ بِغُسْلٍ ؛ وَإِنْ </w:t>
      </w:r>
      <w:r w:rsidRPr="007C12DB">
        <w:rPr>
          <w:rStyle w:val="libFootnotenumChar"/>
          <w:rtl/>
        </w:rPr>
        <w:t>(2)</w:t>
      </w:r>
      <w:r w:rsidRPr="005D642E">
        <w:rPr>
          <w:rtl/>
          <w:lang w:bidi="fa-IR"/>
        </w:rPr>
        <w:t xml:space="preserve"> لَمْ يَجُزِ الدَّمُ الْكُرْسُفَ </w:t>
      </w:r>
      <w:r w:rsidRPr="007C12DB">
        <w:rPr>
          <w:rStyle w:val="libFootnotenumChar"/>
          <w:rtl/>
        </w:rPr>
        <w:t>(3)</w:t>
      </w:r>
      <w:r w:rsidRPr="005D642E">
        <w:rPr>
          <w:rtl/>
          <w:lang w:bidi="fa-IR"/>
        </w:rPr>
        <w:t xml:space="preserve"> ، صَلَّتْ بِغُسْلٍ وَاحِدٍ »</w:t>
      </w:r>
      <w:r>
        <w:rPr>
          <w:rtl/>
          <w:lang w:bidi="fa-IR"/>
        </w:rPr>
        <w:t>.</w:t>
      </w:r>
    </w:p>
    <w:p w:rsidR="00E3253D" w:rsidRPr="005D642E" w:rsidRDefault="00E3253D" w:rsidP="00E3253D">
      <w:pPr>
        <w:pStyle w:val="libNormal"/>
        <w:rPr>
          <w:rtl/>
          <w:lang w:bidi="fa-IR"/>
        </w:rPr>
      </w:pPr>
      <w:r w:rsidRPr="005D642E">
        <w:rPr>
          <w:rtl/>
          <w:lang w:bidi="fa-IR"/>
        </w:rPr>
        <w:t>قُلْتُ : وَالْحَائِضُ</w:t>
      </w:r>
      <w:r>
        <w:rPr>
          <w:rtl/>
          <w:lang w:bidi="fa-IR"/>
        </w:rPr>
        <w:t>؟</w:t>
      </w:r>
    </w:p>
    <w:p w:rsidR="00E3253D" w:rsidRPr="005D642E" w:rsidRDefault="00E3253D" w:rsidP="00E3253D">
      <w:pPr>
        <w:pStyle w:val="libNormal"/>
        <w:rPr>
          <w:rtl/>
          <w:lang w:bidi="fa-IR"/>
        </w:rPr>
      </w:pPr>
      <w:r w:rsidRPr="005D642E">
        <w:rPr>
          <w:rtl/>
          <w:lang w:bidi="fa-IR"/>
        </w:rPr>
        <w:t xml:space="preserve">قَالَ : « مِثْلُ ذلِكَ سَوَاءً ، فَإِنِ انْقَطَعَ عَنْهَا الدَّمُ </w:t>
      </w:r>
      <w:r w:rsidRPr="007C12DB">
        <w:rPr>
          <w:rStyle w:val="libFootnotenumChar"/>
          <w:rtl/>
        </w:rPr>
        <w:t>(4)</w:t>
      </w:r>
      <w:r w:rsidR="00240E2B">
        <w:rPr>
          <w:rtl/>
          <w:lang w:bidi="fa-IR"/>
        </w:rPr>
        <w:t xml:space="preserve"> ، وَإِل</w:t>
      </w:r>
      <w:r w:rsidR="00240E2B">
        <w:rPr>
          <w:rFonts w:hint="cs"/>
          <w:rtl/>
          <w:lang w:bidi="fa-IR"/>
        </w:rPr>
        <w:t>َّ</w:t>
      </w:r>
      <w:r w:rsidR="00240E2B">
        <w:rPr>
          <w:rtl/>
          <w:lang w:bidi="fa-IR"/>
        </w:rPr>
        <w:t>ا</w:t>
      </w:r>
      <w:r w:rsidRPr="005D642E">
        <w:rPr>
          <w:rtl/>
          <w:lang w:bidi="fa-IR"/>
        </w:rPr>
        <w:t xml:space="preserve"> فَهِيَ مُسْتَحَاضَةٌ ، تَصْنَعُ مِثْلَ النُّفَسَاءِ سَوَاءً ، ثُمَّ تُصَلِّي ، وَلَاتَدَعُ الصَّلَاةَ عَلى حَالٍ ، فَإِنَّ النَّبِيَّ </w:t>
      </w:r>
      <w:r w:rsidR="0042621E" w:rsidRPr="0042621E">
        <w:rPr>
          <w:rStyle w:val="libAlaemChar"/>
          <w:rtl/>
        </w:rPr>
        <w:t>صلى‌الله‌عليه‌وآله</w:t>
      </w:r>
      <w:r w:rsidRPr="005D642E">
        <w:rPr>
          <w:rtl/>
          <w:lang w:bidi="fa-IR"/>
        </w:rPr>
        <w:t xml:space="preserve"> قَالَ : الصَّلَاةُ عِمَادُ دِينِكُمْ »</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A23E4A" w:rsidRDefault="00E3253D" w:rsidP="00A23E4A">
      <w:pPr>
        <w:pStyle w:val="libNormal"/>
        <w:rPr>
          <w:rtl/>
          <w:lang w:bidi="fa-IR"/>
        </w:rPr>
      </w:pPr>
      <w:r w:rsidRPr="00BE477C">
        <w:rPr>
          <w:rtl/>
        </w:rPr>
        <w:t>4203</w:t>
      </w:r>
      <w:r w:rsidRPr="00246318">
        <w:rPr>
          <w:rStyle w:val="libBold2Char"/>
          <w:rtl/>
        </w:rPr>
        <w:t xml:space="preserve"> / 5.</w:t>
      </w:r>
      <w:r w:rsidRPr="005D642E">
        <w:rPr>
          <w:rtl/>
          <w:lang w:bidi="fa-IR"/>
        </w:rPr>
        <w:t xml:space="preserve"> عِدَّةٌ مِنْ أَصْحَابِنَا ، عَنْ أَحْمَدَ بْنِ مُحَمَّدٍ ؛</w:t>
      </w:r>
    </w:p>
    <w:p w:rsidR="00E3253D" w:rsidRPr="005D642E" w:rsidRDefault="00A23E4A" w:rsidP="00A23E4A">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(6)</w:t>
      </w:r>
      <w:r w:rsidR="00E3253D" w:rsidRPr="005D642E">
        <w:rPr>
          <w:rtl/>
          <w:lang w:bidi="fa-IR"/>
        </w:rPr>
        <w:t xml:space="preserve"> أَبُو دَاوُدَ </w:t>
      </w:r>
      <w:r w:rsidR="00E3253D" w:rsidRPr="007C12DB">
        <w:rPr>
          <w:rStyle w:val="libFootnotenumChar"/>
          <w:rtl/>
        </w:rPr>
        <w:t>(7)</w:t>
      </w:r>
      <w:r w:rsidR="00E3253D" w:rsidRPr="005D642E">
        <w:rPr>
          <w:rtl/>
          <w:lang w:bidi="fa-IR"/>
        </w:rPr>
        <w:t xml:space="preserve"> ، عَنِ الْحُسَيْنِ بْنِ سَعِيدٍ ، عَنِ النَّضْرِ بْنِ سُوَيْدٍ ، عَنْ مُحَمَّدِ بْنِ أَبِي حَمْزَةَ ، عَنْ يُونُسَ بْنِ يَعْقُوبَ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تَجْلِسُ النُّفَسَاءُ </w:t>
      </w:r>
      <w:r w:rsidRPr="007C12DB">
        <w:rPr>
          <w:rStyle w:val="libFootnotenumChar"/>
          <w:rtl/>
        </w:rPr>
        <w:t>(8)</w:t>
      </w:r>
      <w:r w:rsidRPr="005D642E">
        <w:rPr>
          <w:rtl/>
          <w:lang w:bidi="fa-IR"/>
        </w:rPr>
        <w:t xml:space="preserve"> أَيَّامَ حَيْضِهَا الَّتِي كَانَتْ تَحِيضُ ، ثُمَّ تَسْتَظْهِرُ ، وَتَغْتَسِلُ ، وَتُصَلِّي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BE477C">
        <w:rPr>
          <w:rtl/>
        </w:rPr>
        <w:t>4204</w:t>
      </w:r>
      <w:r w:rsidRPr="00246318">
        <w:rPr>
          <w:rStyle w:val="libBold2Char"/>
          <w:rtl/>
        </w:rPr>
        <w:t xml:space="preserve"> / 6.</w:t>
      </w:r>
      <w:r w:rsidRPr="005D642E">
        <w:rPr>
          <w:rtl/>
          <w:lang w:bidi="fa-IR"/>
        </w:rPr>
        <w:t xml:space="preserve"> مُحَمَّدُ بْنُ يَحْيى ، عَنْ أَحْمَدَ بْنِ مُحَمَّدٍ ، عَنِ ابْنِ فَضَّالٍ ، عَنِ </w:t>
      </w:r>
      <w:r w:rsidR="00A23E4A">
        <w:rPr>
          <w:rtl/>
          <w:lang w:bidi="fa-IR"/>
        </w:rPr>
        <w:t>ابْنِ بُكَيْرٍ ، عَنْ زُرَارَةَ</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التعصّب : شدّ العِصابة ، وهي العمامة وكلّ ما يُعْصَب به من منديل ونحوه. قال الشيخ البهائي : « وما تضمّنه‌الحديث من التعصّب المراد به التحشّي والاستثفار »</w:t>
      </w:r>
      <w:r w:rsidR="00E3253D">
        <w:rPr>
          <w:rtl/>
        </w:rPr>
        <w:t>.</w:t>
      </w:r>
      <w:r w:rsidR="00E3253D" w:rsidRPr="005D642E">
        <w:rPr>
          <w:rtl/>
        </w:rPr>
        <w:t xml:space="preserve"> راجع : </w:t>
      </w:r>
      <w:r w:rsidR="00E3253D" w:rsidRPr="002F4D34">
        <w:rPr>
          <w:rStyle w:val="libFootnoteBoldChar"/>
          <w:rtl/>
        </w:rPr>
        <w:t>لسان العرب</w:t>
      </w:r>
      <w:r w:rsidR="00E3253D" w:rsidRPr="005D642E">
        <w:rPr>
          <w:rtl/>
        </w:rPr>
        <w:t xml:space="preserve"> ، ج 1 ، ص 602 ( عصب ) ؛ </w:t>
      </w:r>
      <w:r w:rsidR="00E3253D" w:rsidRPr="002F4D34">
        <w:rPr>
          <w:rStyle w:val="libFootnoteBoldChar"/>
          <w:rtl/>
        </w:rPr>
        <w:t>الحبل المتين</w:t>
      </w:r>
      <w:r w:rsidR="00E3253D" w:rsidRPr="005D642E">
        <w:rPr>
          <w:rtl/>
        </w:rPr>
        <w:t xml:space="preserve"> ، ص 189.</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بخ ، بس ، بف » </w:t>
      </w:r>
      <w:r w:rsidR="000D749A" w:rsidRPr="000D749A">
        <w:rPr>
          <w:rStyle w:val="libFootnoteBoldChar"/>
          <w:rtl/>
        </w:rPr>
        <w:t>والوافي</w:t>
      </w:r>
      <w:r w:rsidR="00E3253D" w:rsidRPr="005D642E">
        <w:rPr>
          <w:rtl/>
        </w:rPr>
        <w:t xml:space="preserve"> والوسائل ، ح 2394 </w:t>
      </w:r>
      <w:r w:rsidR="00B60612" w:rsidRPr="00B60612">
        <w:rPr>
          <w:rStyle w:val="libFootnoteBoldChar"/>
          <w:rtl/>
        </w:rPr>
        <w:t>والتهذيب</w:t>
      </w:r>
      <w:r w:rsidR="00E3253D" w:rsidRPr="005D642E">
        <w:rPr>
          <w:rtl/>
        </w:rPr>
        <w:t xml:space="preserve"> : « فإن » ‌</w:t>
      </w:r>
    </w:p>
    <w:tbl>
      <w:tblPr>
        <w:tblStyle w:val="TableGrid"/>
        <w:bidiVisual/>
        <w:tblW w:w="0" w:type="auto"/>
        <w:tblLook w:val="04A0" w:firstRow="1" w:lastRow="0" w:firstColumn="1" w:lastColumn="0" w:noHBand="0" w:noVBand="1"/>
      </w:tblPr>
      <w:tblGrid>
        <w:gridCol w:w="4006"/>
        <w:gridCol w:w="4006"/>
      </w:tblGrid>
      <w:tr w:rsidR="00B93D92" w:rsidTr="00B93D92">
        <w:tc>
          <w:tcPr>
            <w:tcW w:w="4006" w:type="dxa"/>
          </w:tcPr>
          <w:p w:rsidR="00B93D92" w:rsidRDefault="00B93D92" w:rsidP="00E3253D">
            <w:pPr>
              <w:pStyle w:val="libFootnote0"/>
              <w:rPr>
                <w:rStyle w:val="libFootnote0Char"/>
                <w:rtl/>
              </w:rPr>
            </w:pPr>
            <w:r w:rsidRPr="0042621E">
              <w:rPr>
                <w:rStyle w:val="libFootnote0Char"/>
                <w:rtl/>
              </w:rPr>
              <w:t>(3).</w:t>
            </w:r>
            <w:r w:rsidRPr="005D642E">
              <w:rPr>
                <w:rtl/>
              </w:rPr>
              <w:t xml:space="preserve"> في « جن » :</w:t>
            </w:r>
            <w:r>
              <w:rPr>
                <w:rtl/>
              </w:rPr>
              <w:t xml:space="preserve"> - </w:t>
            </w:r>
            <w:r w:rsidRPr="005D642E">
              <w:rPr>
                <w:rtl/>
              </w:rPr>
              <w:t>« الكرسف »</w:t>
            </w:r>
            <w:r>
              <w:rPr>
                <w:rtl/>
              </w:rPr>
              <w:t>.</w:t>
            </w:r>
          </w:p>
        </w:tc>
        <w:tc>
          <w:tcPr>
            <w:tcW w:w="4006" w:type="dxa"/>
          </w:tcPr>
          <w:p w:rsidR="00B93D92" w:rsidRDefault="00B93D92" w:rsidP="00E3253D">
            <w:pPr>
              <w:pStyle w:val="libFootnote0"/>
              <w:rPr>
                <w:rStyle w:val="libFootnote0Char"/>
                <w:rtl/>
              </w:rPr>
            </w:pPr>
            <w:r w:rsidRPr="0042621E">
              <w:rPr>
                <w:rStyle w:val="libFootnote0Char"/>
                <w:rtl/>
              </w:rPr>
              <w:t>(4).</w:t>
            </w:r>
            <w:r w:rsidRPr="005D642E">
              <w:rPr>
                <w:rtl/>
              </w:rPr>
              <w:t xml:space="preserve"> في « ظ ، غ » : « الدم عنها »</w:t>
            </w:r>
            <w:r>
              <w:rPr>
                <w:rtl/>
              </w:rPr>
              <w:t>.</w:t>
            </w:r>
          </w:p>
        </w:tc>
      </w:tr>
    </w:tbl>
    <w:p w:rsidR="00E3253D" w:rsidRPr="005D642E" w:rsidRDefault="0042621E" w:rsidP="00F31909">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173 ، ح 496 ، معلّقاً عن حمّاد بن عيسى </w:t>
      </w:r>
      <w:r w:rsidR="00F31909">
        <w:rPr>
          <w:rFonts w:hint="cs"/>
          <w:rtl/>
        </w:rPr>
        <w:t>.</w:t>
      </w:r>
      <w:r w:rsidR="00E3253D" w:rsidRPr="002F4D34">
        <w:rPr>
          <w:rStyle w:val="libFootnoteBoldChar"/>
          <w:rtl/>
        </w:rPr>
        <w:t>الوافي</w:t>
      </w:r>
      <w:r w:rsidR="00E3253D" w:rsidRPr="005D642E">
        <w:rPr>
          <w:rtl/>
        </w:rPr>
        <w:t xml:space="preserve"> ، ج 6 ، ص 476 ، ح 4722 ؛ </w:t>
      </w:r>
      <w:r w:rsidR="00E3253D" w:rsidRPr="002F4D34">
        <w:rPr>
          <w:rStyle w:val="libFootnoteBoldChar"/>
          <w:rtl/>
        </w:rPr>
        <w:t>الوسائل</w:t>
      </w:r>
      <w:r w:rsidR="00E3253D" w:rsidRPr="005D642E">
        <w:rPr>
          <w:rtl/>
        </w:rPr>
        <w:t xml:space="preserve"> ، ج 2 ، ص 373 ، ح 2394 ؛ وص 383 ، ذيل ح 2413.</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السند تحويل بعطف « أبو داود » على « عدّة من أصحابنا ، عن أحمد بن محمّد »</w:t>
      </w:r>
      <w:r w:rsidR="00E3253D">
        <w:rPr>
          <w:rtl/>
        </w:rPr>
        <w:t>.</w:t>
      </w:r>
    </w:p>
    <w:tbl>
      <w:tblPr>
        <w:tblStyle w:val="TableGrid"/>
        <w:bidiVisual/>
        <w:tblW w:w="0" w:type="auto"/>
        <w:tblLook w:val="04A0" w:firstRow="1" w:lastRow="0" w:firstColumn="1" w:lastColumn="0" w:noHBand="0" w:noVBand="1"/>
      </w:tblPr>
      <w:tblGrid>
        <w:gridCol w:w="4006"/>
        <w:gridCol w:w="4006"/>
      </w:tblGrid>
      <w:tr w:rsidR="00F31909" w:rsidTr="00F31909">
        <w:tc>
          <w:tcPr>
            <w:tcW w:w="4006" w:type="dxa"/>
          </w:tcPr>
          <w:p w:rsidR="00F31909" w:rsidRDefault="00F31909" w:rsidP="00E3253D">
            <w:pPr>
              <w:pStyle w:val="libFootnote0"/>
              <w:rPr>
                <w:rStyle w:val="libFootnote0Char"/>
                <w:rtl/>
              </w:rPr>
            </w:pPr>
            <w:r w:rsidRPr="0042621E">
              <w:rPr>
                <w:rStyle w:val="libFootnote0Char"/>
                <w:rtl/>
              </w:rPr>
              <w:t>(7).</w:t>
            </w:r>
            <w:r w:rsidRPr="005D642E">
              <w:rPr>
                <w:rtl/>
              </w:rPr>
              <w:t xml:space="preserve"> في الاستبصار :</w:t>
            </w:r>
            <w:r>
              <w:rPr>
                <w:rtl/>
              </w:rPr>
              <w:t xml:space="preserve"> - </w:t>
            </w:r>
            <w:r w:rsidRPr="005D642E">
              <w:rPr>
                <w:rtl/>
              </w:rPr>
              <w:t>« وأبو داود »</w:t>
            </w:r>
            <w:r>
              <w:rPr>
                <w:rtl/>
              </w:rPr>
              <w:t>.</w:t>
            </w:r>
          </w:p>
        </w:tc>
        <w:tc>
          <w:tcPr>
            <w:tcW w:w="4006" w:type="dxa"/>
          </w:tcPr>
          <w:p w:rsidR="00F31909" w:rsidRDefault="00F31909" w:rsidP="00E3253D">
            <w:pPr>
              <w:pStyle w:val="libFootnote0"/>
              <w:rPr>
                <w:rStyle w:val="libFootnote0Char"/>
                <w:rtl/>
              </w:rPr>
            </w:pPr>
            <w:r w:rsidRPr="0042621E">
              <w:rPr>
                <w:rStyle w:val="libFootnote0Char"/>
                <w:rtl/>
              </w:rPr>
              <w:t>(8).</w:t>
            </w:r>
            <w:r w:rsidRPr="005D642E">
              <w:rPr>
                <w:rtl/>
              </w:rPr>
              <w:t xml:space="preserve"> في التهذيب </w:t>
            </w:r>
            <w:r w:rsidRPr="00E678B5">
              <w:rPr>
                <w:rStyle w:val="libFootnoteBoldChar"/>
                <w:rtl/>
              </w:rPr>
              <w:t>والاستبصار</w:t>
            </w:r>
            <w:r w:rsidRPr="005D642E">
              <w:rPr>
                <w:rtl/>
              </w:rPr>
              <w:t xml:space="preserve"> : « النفساء تجلس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175 ، ح 500 ؛ </w:t>
      </w:r>
      <w:r w:rsidR="00E3253D" w:rsidRPr="00E678B5">
        <w:rPr>
          <w:rStyle w:val="libFootnoteBoldChar"/>
          <w:rtl/>
        </w:rPr>
        <w:t>والاستبصار</w:t>
      </w:r>
      <w:r w:rsidR="00E3253D" w:rsidRPr="005D642E">
        <w:rPr>
          <w:rtl/>
        </w:rPr>
        <w:t xml:space="preserve"> ، ج 1 ، ص 150 ، ح 520 ، بسندهما عن الكليني </w:t>
      </w:r>
      <w:r w:rsidR="00557015">
        <w:rPr>
          <w:rFonts w:hint="cs"/>
          <w:rtl/>
        </w:rPr>
        <w:t>.</w:t>
      </w:r>
      <w:r w:rsidR="00E3253D" w:rsidRPr="002F4D34">
        <w:rPr>
          <w:rStyle w:val="libFootnoteBoldChar"/>
          <w:rtl/>
        </w:rPr>
        <w:t>الوافي</w:t>
      </w:r>
      <w:r w:rsidR="00E3253D" w:rsidRPr="005D642E">
        <w:rPr>
          <w:rtl/>
        </w:rPr>
        <w:t xml:space="preserve"> ، ج 6 ، ص 477 ، ح 4723 ؛ </w:t>
      </w:r>
      <w:r w:rsidR="00E3253D" w:rsidRPr="002F4D34">
        <w:rPr>
          <w:rStyle w:val="libFootnoteBoldChar"/>
          <w:rtl/>
        </w:rPr>
        <w:t>الوسائل</w:t>
      </w:r>
      <w:r w:rsidR="00E3253D" w:rsidRPr="005D642E">
        <w:rPr>
          <w:rtl/>
        </w:rPr>
        <w:t xml:space="preserve"> ، ج 2 ، ص 381 ، ح 2408 ؛ وص 385 ، ح 2419.</w:t>
      </w:r>
    </w:p>
    <w:p w:rsidR="00E3253D" w:rsidRDefault="00E3253D" w:rsidP="00E3253D">
      <w:pPr>
        <w:pStyle w:val="libNormal"/>
        <w:rPr>
          <w:rtl/>
          <w:lang w:bidi="fa-IR"/>
        </w:rPr>
      </w:pPr>
      <w:r>
        <w:rPr>
          <w:rtl/>
          <w:lang w:bidi="fa-IR"/>
        </w:rPr>
        <w:br w:type="page"/>
      </w:r>
    </w:p>
    <w:p w:rsidR="00E3253D" w:rsidRPr="005D642E" w:rsidRDefault="00E3253D" w:rsidP="00557015">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 تَقْعُدُ النُّفَسَاءُ أَيَّامَهَا الَّتِي كَانَتْ تَقْعُدُ فِي الْحَيْضِ ، وَتَسْتَظْهِرُ بِيَوْمَيْنِ »</w:t>
      </w:r>
      <w:r>
        <w:rPr>
          <w:rtl/>
          <w:lang w:bidi="fa-IR"/>
        </w:rPr>
        <w:t>.</w:t>
      </w:r>
      <w:r w:rsidRPr="005D642E">
        <w:rPr>
          <w:rtl/>
          <w:lang w:bidi="fa-IR"/>
        </w:rPr>
        <w:t xml:space="preserve"> </w:t>
      </w:r>
      <w:r w:rsidRPr="007C12DB">
        <w:rPr>
          <w:rStyle w:val="libFootnotenumChar"/>
          <w:rtl/>
        </w:rPr>
        <w:t>(1)</w:t>
      </w:r>
    </w:p>
    <w:p w:rsidR="00E3253D" w:rsidRPr="005D642E" w:rsidRDefault="00E3253D" w:rsidP="00E3253D">
      <w:pPr>
        <w:pStyle w:val="Heading2Center"/>
        <w:rPr>
          <w:rtl/>
          <w:lang w:bidi="fa-IR"/>
        </w:rPr>
      </w:pPr>
      <w:bookmarkStart w:id="213" w:name="_Toc344647281"/>
      <w:bookmarkStart w:id="214" w:name="_Toc462226796"/>
      <w:bookmarkStart w:id="215" w:name="_Toc40975904"/>
      <w:r w:rsidRPr="005D642E">
        <w:rPr>
          <w:rtl/>
          <w:lang w:bidi="fa-IR"/>
        </w:rPr>
        <w:t>14</w:t>
      </w:r>
      <w:r>
        <w:rPr>
          <w:rtl/>
          <w:lang w:bidi="fa-IR"/>
        </w:rPr>
        <w:t xml:space="preserve"> </w:t>
      </w:r>
      <w:r w:rsidR="007642BC">
        <w:rPr>
          <w:rtl/>
          <w:lang w:bidi="fa-IR"/>
        </w:rPr>
        <w:t>-</w:t>
      </w:r>
      <w:r>
        <w:rPr>
          <w:rtl/>
          <w:lang w:bidi="fa-IR"/>
        </w:rPr>
        <w:t xml:space="preserve"> </w:t>
      </w:r>
      <w:r w:rsidRPr="005D642E">
        <w:rPr>
          <w:rtl/>
          <w:lang w:bidi="fa-IR"/>
        </w:rPr>
        <w:t xml:space="preserve">بَابُ النُّفَسَاءِ تَطْهُرُ </w:t>
      </w:r>
      <w:r w:rsidRPr="007C12DB">
        <w:rPr>
          <w:rStyle w:val="libFootnotenumChar"/>
          <w:rtl/>
        </w:rPr>
        <w:t>(2)</w:t>
      </w:r>
      <w:r>
        <w:rPr>
          <w:rtl/>
        </w:rPr>
        <w:t xml:space="preserve"> </w:t>
      </w:r>
      <w:r w:rsidRPr="005D642E">
        <w:rPr>
          <w:rtl/>
          <w:lang w:bidi="fa-IR"/>
        </w:rPr>
        <w:t xml:space="preserve">ثُمَّ تَرَى الدَّمَ أَوْ </w:t>
      </w:r>
      <w:r w:rsidRPr="007C12DB">
        <w:rPr>
          <w:rStyle w:val="libFootnotenumChar"/>
          <w:rtl/>
        </w:rPr>
        <w:t>(3)</w:t>
      </w:r>
      <w:r>
        <w:rPr>
          <w:rtl/>
          <w:lang w:bidi="fa-IR"/>
        </w:rPr>
        <w:t xml:space="preserve"> </w:t>
      </w:r>
      <w:r w:rsidRPr="005D642E">
        <w:rPr>
          <w:rtl/>
          <w:lang w:bidi="fa-IR"/>
        </w:rPr>
        <w:t xml:space="preserve">رَأَتِ الدَّمَ </w:t>
      </w:r>
      <w:r w:rsidRPr="007C12DB">
        <w:rPr>
          <w:rStyle w:val="libFootnotenumChar"/>
          <w:rtl/>
        </w:rPr>
        <w:t>(4)</w:t>
      </w:r>
      <w:r>
        <w:rPr>
          <w:rtl/>
        </w:rPr>
        <w:t xml:space="preserve"> </w:t>
      </w:r>
      <w:r w:rsidRPr="005D642E">
        <w:rPr>
          <w:rtl/>
          <w:lang w:bidi="fa-IR"/>
        </w:rPr>
        <w:t>قَبْلَ أَنْ تَلِدَ‌</w:t>
      </w:r>
      <w:bookmarkEnd w:id="213"/>
      <w:bookmarkEnd w:id="214"/>
      <w:bookmarkEnd w:id="215"/>
    </w:p>
    <w:p w:rsidR="00E3253D" w:rsidRPr="005D642E" w:rsidRDefault="00E3253D" w:rsidP="00E3253D">
      <w:pPr>
        <w:pStyle w:val="libNormal"/>
        <w:rPr>
          <w:rtl/>
          <w:lang w:bidi="fa-IR"/>
        </w:rPr>
      </w:pPr>
      <w:r w:rsidRPr="00BE477C">
        <w:rPr>
          <w:rtl/>
        </w:rPr>
        <w:t>4205</w:t>
      </w:r>
      <w:r w:rsidRPr="00246318">
        <w:rPr>
          <w:rStyle w:val="libBold2Char"/>
          <w:rtl/>
        </w:rPr>
        <w:t xml:space="preserve"> / 1.</w:t>
      </w:r>
      <w:r w:rsidRPr="005D642E">
        <w:rPr>
          <w:rtl/>
          <w:lang w:bidi="fa-IR"/>
        </w:rPr>
        <w:t xml:space="preserve"> مُحَمَّدُ بْنُ أَبِي عَبْدِ اللهِ ، عَنْ مُعَاوِيَةَ بْنِ حُكَيْمٍ ، عَنْ عَبْدِ اللهِ بْنِ الْمُغِيرَةِ :</w:t>
      </w:r>
    </w:p>
    <w:p w:rsidR="00E3253D" w:rsidRPr="005D642E" w:rsidRDefault="00E3253D" w:rsidP="00E3253D">
      <w:pPr>
        <w:pStyle w:val="libNormal"/>
        <w:rPr>
          <w:rtl/>
          <w:lang w:bidi="fa-IR"/>
        </w:rPr>
      </w:pPr>
      <w:r w:rsidRPr="005D642E">
        <w:rPr>
          <w:rtl/>
          <w:lang w:bidi="fa-IR"/>
        </w:rPr>
        <w:t xml:space="preserve">عَنْ أَبِي الْحَسَنِ الْأَوَّلِ </w:t>
      </w:r>
      <w:r w:rsidRPr="00AC51C5">
        <w:rPr>
          <w:rStyle w:val="libAlaemChar"/>
          <w:rtl/>
        </w:rPr>
        <w:t>عليه‌السلام</w:t>
      </w:r>
      <w:r w:rsidRPr="005D642E">
        <w:rPr>
          <w:rtl/>
          <w:lang w:bidi="fa-IR"/>
        </w:rPr>
        <w:t xml:space="preserve"> فِي امْرَأَةٍ </w:t>
      </w:r>
      <w:r w:rsidRPr="007C12DB">
        <w:rPr>
          <w:rStyle w:val="libFootnotenumChar"/>
          <w:rtl/>
        </w:rPr>
        <w:t>(5)</w:t>
      </w:r>
      <w:r w:rsidRPr="005D642E">
        <w:rPr>
          <w:rtl/>
          <w:lang w:bidi="fa-IR"/>
        </w:rPr>
        <w:t xml:space="preserve"> نَفِسَتْ ، فَتَرَكَتِ الصَّلَاةَ ثَلَاثِينَ يَوْماً ، ثُمَّ تَطَهَّرَتْ </w:t>
      </w:r>
      <w:r w:rsidRPr="007C12DB">
        <w:rPr>
          <w:rStyle w:val="libFootnotenumChar"/>
          <w:rtl/>
        </w:rPr>
        <w:t>(6)</w:t>
      </w:r>
      <w:r w:rsidRPr="005D642E">
        <w:rPr>
          <w:rtl/>
          <w:lang w:bidi="fa-IR"/>
        </w:rPr>
        <w:t xml:space="preserve"> ، ثُمَّ رَأَتِ الدَّمَ بَعْدَ ذلِكَ</w:t>
      </w:r>
      <w:r>
        <w:rPr>
          <w:rtl/>
          <w:lang w:bidi="fa-IR"/>
        </w:rPr>
        <w:t>؟</w:t>
      </w:r>
    </w:p>
    <w:p w:rsidR="00E3253D" w:rsidRPr="005D642E" w:rsidRDefault="00E3253D" w:rsidP="00E3253D">
      <w:pPr>
        <w:pStyle w:val="libNormal"/>
        <w:rPr>
          <w:rtl/>
          <w:lang w:bidi="fa-IR"/>
        </w:rPr>
      </w:pPr>
      <w:r w:rsidRPr="005D642E">
        <w:rPr>
          <w:rtl/>
          <w:lang w:bidi="fa-IR"/>
        </w:rPr>
        <w:t xml:space="preserve">قَالَ : « تَدَعُ الصَّلَاةَ ؛ لِأَنَّ أَيَّامَهَا أَيَّامُ الطُّهْرِ ، قَدْ </w:t>
      </w:r>
      <w:r w:rsidRPr="007C12DB">
        <w:rPr>
          <w:rStyle w:val="libFootnotenumChar"/>
          <w:rtl/>
        </w:rPr>
        <w:t>(7)</w:t>
      </w:r>
      <w:r w:rsidRPr="005D642E">
        <w:rPr>
          <w:rtl/>
          <w:lang w:bidi="fa-IR"/>
        </w:rPr>
        <w:t xml:space="preserve"> جَازَتْ مَعَ </w:t>
      </w:r>
      <w:r w:rsidRPr="007C12DB">
        <w:rPr>
          <w:rStyle w:val="libFootnotenumChar"/>
          <w:rtl/>
        </w:rPr>
        <w:t>(8)</w:t>
      </w:r>
      <w:r w:rsidRPr="005D642E">
        <w:rPr>
          <w:rtl/>
          <w:lang w:bidi="fa-IR"/>
        </w:rPr>
        <w:t xml:space="preserve"> أَيَّامِ النِّفَاسِ »</w:t>
      </w:r>
      <w:r>
        <w:rPr>
          <w:rtl/>
          <w:lang w:bidi="fa-IR"/>
        </w:rPr>
        <w:t>.</w:t>
      </w:r>
      <w:r w:rsidRPr="005D642E">
        <w:rPr>
          <w:rtl/>
          <w:lang w:bidi="fa-IR"/>
        </w:rPr>
        <w:t xml:space="preserve"> </w:t>
      </w:r>
      <w:r w:rsidRPr="007C12DB">
        <w:rPr>
          <w:rStyle w:val="libFootnotenumChar"/>
          <w:rtl/>
        </w:rPr>
        <w:t>(9)</w:t>
      </w:r>
      <w:r w:rsidRPr="005D642E">
        <w:rPr>
          <w:rtl/>
          <w:lang w:bidi="fa-IR"/>
        </w:rPr>
        <w:t xml:space="preserve"> ‌</w:t>
      </w:r>
    </w:p>
    <w:p w:rsidR="00BB77F2" w:rsidRDefault="00E3253D" w:rsidP="00BB77F2">
      <w:pPr>
        <w:pStyle w:val="libNormal"/>
        <w:rPr>
          <w:rtl/>
          <w:lang w:bidi="fa-IR"/>
        </w:rPr>
      </w:pPr>
      <w:r w:rsidRPr="00BE477C">
        <w:rPr>
          <w:rtl/>
        </w:rPr>
        <w:t>4206</w:t>
      </w:r>
      <w:r w:rsidRPr="00246318">
        <w:rPr>
          <w:rStyle w:val="libBold2Char"/>
          <w:rtl/>
        </w:rPr>
        <w:t xml:space="preserve"> / 2.</w:t>
      </w:r>
      <w:r w:rsidRPr="005D642E">
        <w:rPr>
          <w:rtl/>
          <w:lang w:bidi="fa-IR"/>
        </w:rPr>
        <w:t xml:space="preserve"> مُحَمَّدُ بْنُ إِسْمَاعِيلَ ، عَنِ الْفَضْلِ بْنِ شَاذَانَ ؛</w:t>
      </w:r>
    </w:p>
    <w:p w:rsidR="00E3253D" w:rsidRPr="005D642E" w:rsidRDefault="00BB77F2" w:rsidP="00BB77F2">
      <w:pPr>
        <w:pStyle w:val="libNormal"/>
        <w:rPr>
          <w:rtl/>
          <w:lang w:bidi="fa-IR"/>
        </w:rPr>
      </w:pPr>
      <w:r>
        <w:rPr>
          <w:rFonts w:hint="cs"/>
          <w:rtl/>
          <w:lang w:bidi="fa-IR"/>
        </w:rPr>
        <w:t xml:space="preserve">               </w:t>
      </w:r>
      <w:r w:rsidR="00E3253D" w:rsidRPr="005D642E">
        <w:rPr>
          <w:rtl/>
          <w:lang w:bidi="fa-IR"/>
        </w:rPr>
        <w:t>وَمُحَمَّدُ بْنُ يَحْيى ، عَنْ مُحَمَّدِ بْنِ الْحُسَيْنِ جَمِيعاً ، عَنْ صَفْوَانَ بْنِ يَحْيى ، عَنْ عَبْدِ الرَّحْمنِ بْنِ الْحَجَّاجِ ، قَالَ :</w:t>
      </w:r>
    </w:p>
    <w:p w:rsidR="00E3253D" w:rsidRPr="005D642E" w:rsidRDefault="00E3253D" w:rsidP="00E3253D">
      <w:pPr>
        <w:pStyle w:val="libNormal"/>
        <w:rPr>
          <w:rtl/>
          <w:lang w:bidi="fa-IR"/>
        </w:rPr>
      </w:pPr>
      <w:r w:rsidRPr="005D642E">
        <w:rPr>
          <w:rtl/>
          <w:lang w:bidi="fa-IR"/>
        </w:rPr>
        <w:t xml:space="preserve">سَأَلْتُ أَبَا إِبْرَاهِيمَ </w:t>
      </w:r>
      <w:r w:rsidRPr="00AC51C5">
        <w:rPr>
          <w:rStyle w:val="libAlaemChar"/>
          <w:rtl/>
        </w:rPr>
        <w:t>عليه‌السلام</w:t>
      </w:r>
      <w:r w:rsidRPr="005D642E">
        <w:rPr>
          <w:rtl/>
          <w:lang w:bidi="fa-IR"/>
        </w:rPr>
        <w:t xml:space="preserve"> عَنِ امْرَأَةٍ نَفِسَتْ ، فَمَكَثَتْ ثَلَاثِينَ يَوْماً </w:t>
      </w:r>
      <w:r w:rsidRPr="007C12DB">
        <w:rPr>
          <w:rStyle w:val="libFootnotenumChar"/>
          <w:rtl/>
        </w:rPr>
        <w:t>(10)</w:t>
      </w:r>
      <w:r w:rsidRPr="005D642E">
        <w:rPr>
          <w:rtl/>
          <w:lang w:bidi="fa-IR"/>
        </w:rPr>
        <w:t xml:space="preserve"> أَوْ أَكْثَرَ ، ثُمَّ طَهُرَتْ وَصَلَّتْ ، ثُمَّ رَأَتْ </w:t>
      </w:r>
      <w:r w:rsidRPr="007C12DB">
        <w:rPr>
          <w:rStyle w:val="libFootnotenumChar"/>
          <w:rtl/>
        </w:rPr>
        <w:t>(11)</w:t>
      </w:r>
      <w:r w:rsidRPr="005D642E">
        <w:rPr>
          <w:rtl/>
          <w:lang w:bidi="fa-IR"/>
        </w:rPr>
        <w:t xml:space="preserve"> دَماً أَوْ صُفْرَةً</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175 ، ح 501 ؛ </w:t>
      </w:r>
      <w:r w:rsidR="00E3253D" w:rsidRPr="002F4D34">
        <w:rPr>
          <w:rStyle w:val="libFootnoteBoldChar"/>
          <w:rtl/>
        </w:rPr>
        <w:t>الاستبصار</w:t>
      </w:r>
      <w:r w:rsidR="00E3253D" w:rsidRPr="005D642E">
        <w:rPr>
          <w:rtl/>
        </w:rPr>
        <w:t xml:space="preserve"> ، ج 1 ، ص 151 ، ح 521 ، بسندهما عن الكليني </w:t>
      </w:r>
      <w:r w:rsidR="00BB77F2">
        <w:rPr>
          <w:rFonts w:hint="cs"/>
          <w:rtl/>
        </w:rPr>
        <w:t>.</w:t>
      </w:r>
      <w:r w:rsidR="00E3253D" w:rsidRPr="002F4D34">
        <w:rPr>
          <w:rStyle w:val="libFootnoteBoldChar"/>
          <w:rtl/>
        </w:rPr>
        <w:t>الوافي</w:t>
      </w:r>
      <w:r w:rsidR="00E3253D" w:rsidRPr="005D642E">
        <w:rPr>
          <w:rtl/>
        </w:rPr>
        <w:t xml:space="preserve"> ، ج 6 ، ص 478 ، ح 4724 ؛ </w:t>
      </w:r>
      <w:r w:rsidR="00E3253D" w:rsidRPr="002F4D34">
        <w:rPr>
          <w:rStyle w:val="libFootnoteBoldChar"/>
          <w:rtl/>
        </w:rPr>
        <w:t>الوسائل</w:t>
      </w:r>
      <w:r w:rsidR="00E3253D" w:rsidRPr="005D642E">
        <w:rPr>
          <w:rtl/>
        </w:rPr>
        <w:t xml:space="preserve"> ، ج 2 ، ص 384 ، ح 2416.</w:t>
      </w:r>
    </w:p>
    <w:tbl>
      <w:tblPr>
        <w:tblStyle w:val="TableGrid"/>
        <w:bidiVisual/>
        <w:tblW w:w="0" w:type="auto"/>
        <w:tblLook w:val="04A0" w:firstRow="1" w:lastRow="0" w:firstColumn="1" w:lastColumn="0" w:noHBand="0" w:noVBand="1"/>
      </w:tblPr>
      <w:tblGrid>
        <w:gridCol w:w="4006"/>
        <w:gridCol w:w="4006"/>
      </w:tblGrid>
      <w:tr w:rsidR="009141AF" w:rsidTr="009141AF">
        <w:tc>
          <w:tcPr>
            <w:tcW w:w="4006" w:type="dxa"/>
          </w:tcPr>
          <w:p w:rsidR="009141AF" w:rsidRDefault="009141AF" w:rsidP="00E3253D">
            <w:pPr>
              <w:pStyle w:val="libFootnote0"/>
              <w:rPr>
                <w:rStyle w:val="libFootnote0Char"/>
                <w:rtl/>
              </w:rPr>
            </w:pPr>
            <w:r w:rsidRPr="0042621E">
              <w:rPr>
                <w:rStyle w:val="libFootnote0Char"/>
                <w:rtl/>
              </w:rPr>
              <w:t>(2).</w:t>
            </w:r>
            <w:r w:rsidRPr="005D642E">
              <w:rPr>
                <w:rtl/>
              </w:rPr>
              <w:t xml:space="preserve"> في « بخ » : « تستظهر »</w:t>
            </w:r>
            <w:r>
              <w:rPr>
                <w:rtl/>
              </w:rPr>
              <w:t>.</w:t>
            </w:r>
          </w:p>
        </w:tc>
        <w:tc>
          <w:tcPr>
            <w:tcW w:w="4006" w:type="dxa"/>
          </w:tcPr>
          <w:p w:rsidR="009141AF" w:rsidRDefault="009141AF" w:rsidP="00E3253D">
            <w:pPr>
              <w:pStyle w:val="libFootnote0"/>
              <w:rPr>
                <w:rStyle w:val="libFootnote0Char"/>
                <w:rtl/>
              </w:rPr>
            </w:pPr>
            <w:r w:rsidRPr="0042621E">
              <w:rPr>
                <w:rStyle w:val="libFootnote0Char"/>
                <w:rtl/>
              </w:rPr>
              <w:t>(3).</w:t>
            </w:r>
            <w:r w:rsidRPr="005D642E">
              <w:rPr>
                <w:rtl/>
              </w:rPr>
              <w:t xml:space="preserve"> في « بخ ، جس » : « </w:t>
            </w:r>
            <w:r>
              <w:rPr>
                <w:rtl/>
              </w:rPr>
              <w:t>و ».</w:t>
            </w:r>
          </w:p>
        </w:tc>
      </w:tr>
      <w:tr w:rsidR="009141AF" w:rsidTr="009141AF">
        <w:tc>
          <w:tcPr>
            <w:tcW w:w="4006" w:type="dxa"/>
          </w:tcPr>
          <w:p w:rsidR="009141AF" w:rsidRDefault="009141AF" w:rsidP="00E3253D">
            <w:pPr>
              <w:pStyle w:val="libFootnote0"/>
              <w:rPr>
                <w:rStyle w:val="libFootnote0Char"/>
                <w:rtl/>
              </w:rPr>
            </w:pPr>
            <w:r w:rsidRPr="0042621E">
              <w:rPr>
                <w:rStyle w:val="libFootnote0Char"/>
                <w:rtl/>
              </w:rPr>
              <w:t>(4).</w:t>
            </w:r>
            <w:r w:rsidRPr="005D642E">
              <w:rPr>
                <w:rtl/>
              </w:rPr>
              <w:t xml:space="preserve"> في « غ » :</w:t>
            </w:r>
            <w:r>
              <w:rPr>
                <w:rtl/>
              </w:rPr>
              <w:t xml:space="preserve"> - </w:t>
            </w:r>
            <w:r w:rsidRPr="005D642E">
              <w:rPr>
                <w:rtl/>
              </w:rPr>
              <w:t>« الدم »</w:t>
            </w:r>
            <w:r>
              <w:rPr>
                <w:rtl/>
              </w:rPr>
              <w:t>.</w:t>
            </w:r>
          </w:p>
        </w:tc>
        <w:tc>
          <w:tcPr>
            <w:tcW w:w="4006" w:type="dxa"/>
          </w:tcPr>
          <w:p w:rsidR="009141AF" w:rsidRDefault="009141AF" w:rsidP="00E3253D">
            <w:pPr>
              <w:pStyle w:val="libFootnote0"/>
              <w:rPr>
                <w:rStyle w:val="libFootnote0Char"/>
                <w:rtl/>
              </w:rPr>
            </w:pPr>
            <w:r w:rsidRPr="0042621E">
              <w:rPr>
                <w:rStyle w:val="libFootnote0Char"/>
                <w:rtl/>
              </w:rPr>
              <w:t>(5).</w:t>
            </w:r>
            <w:r w:rsidRPr="005D642E">
              <w:rPr>
                <w:rtl/>
              </w:rPr>
              <w:t xml:space="preserve"> في « جس » : « المرأة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 « طهرت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 ظ ، غ ، ى ، بث ، بخ ، بس ، بف ، جح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 بح ، جن » والوسائل والمطبوع : « وقد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والوسائل </w:t>
      </w:r>
      <w:r w:rsidR="00B60612" w:rsidRPr="00B60612">
        <w:rPr>
          <w:rStyle w:val="libFootnoteBoldChar"/>
          <w:rtl/>
        </w:rPr>
        <w:t>والتهذيب</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مع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402 ، ح 1260 ، معلّقاً عن محمّد بن أبي عبدالله </w:t>
      </w:r>
      <w:r w:rsidR="00B93657">
        <w:rPr>
          <w:rFonts w:hint="cs"/>
          <w:rtl/>
        </w:rPr>
        <w:t>.</w:t>
      </w:r>
      <w:r w:rsidR="00E3253D" w:rsidRPr="002F4D34">
        <w:rPr>
          <w:rStyle w:val="libFootnoteBoldChar"/>
          <w:rtl/>
        </w:rPr>
        <w:t>الوافي</w:t>
      </w:r>
      <w:r w:rsidR="00E3253D" w:rsidRPr="005D642E">
        <w:rPr>
          <w:rtl/>
        </w:rPr>
        <w:t xml:space="preserve"> ، ج 6 ، ص 478 ، ح 4726 ؛ </w:t>
      </w:r>
      <w:r w:rsidR="00E3253D" w:rsidRPr="002F4D34">
        <w:rPr>
          <w:rStyle w:val="libFootnoteBoldChar"/>
          <w:rtl/>
        </w:rPr>
        <w:t>الوسائل</w:t>
      </w:r>
      <w:r w:rsidR="00E3253D" w:rsidRPr="005D642E">
        <w:rPr>
          <w:rtl/>
        </w:rPr>
        <w:t xml:space="preserve"> ، ج 2 ، ص 393 ، ح 2443.</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وبقيت ثلاثين ليلة » بدل « فمكثت ثلاثين يوماً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الاستبصار : « ورأت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إِنْ كَانَتْ صُفْرَةً ، فَلْتَغْتَسِلْ </w:t>
      </w:r>
      <w:r w:rsidRPr="007C12DB">
        <w:rPr>
          <w:rStyle w:val="libFootnotenumChar"/>
          <w:rtl/>
        </w:rPr>
        <w:t>(1)</w:t>
      </w:r>
      <w:r w:rsidRPr="005D642E">
        <w:rPr>
          <w:rtl/>
          <w:lang w:bidi="fa-IR"/>
        </w:rPr>
        <w:t xml:space="preserve"> ، وَلْتُصَلِّ ، وَلَاتُمْسِكْ عَنِ الصَّلَاةِ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E477C">
        <w:rPr>
          <w:rtl/>
        </w:rPr>
        <w:t>4207</w:t>
      </w:r>
      <w:r w:rsidRPr="00246318">
        <w:rPr>
          <w:rStyle w:val="libBold2Char"/>
          <w:rtl/>
        </w:rPr>
        <w:t xml:space="preserve"> / 3.</w:t>
      </w:r>
      <w:r w:rsidRPr="005D642E">
        <w:rPr>
          <w:rtl/>
          <w:lang w:bidi="fa-IR"/>
        </w:rPr>
        <w:t xml:space="preserve"> أَبُو عَلِيٍّ الْأَشْعَرِيُّ ، عَنْ مُحَمَّدِ بْنِ أَحْمَدَ ، عَنْ أَحْمَدَ بْنِ الْحَسَنِ بْنِ عَلِيٍّ ، عَنْ عَمْرِو بْنِ سَعِيدٍ ، عَنْ مُصَدِّقِ بْنِ صَدَقَةَ ، عَنْ عَمَّارِ بْنِ مُوسى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الْمَرْأَةِ يُصِيبُهَا الطَّلْقُ </w:t>
      </w:r>
      <w:r w:rsidRPr="007C12DB">
        <w:rPr>
          <w:rStyle w:val="libFootnotenumChar"/>
          <w:rtl/>
        </w:rPr>
        <w:t>(3)</w:t>
      </w:r>
      <w:r w:rsidRPr="005D642E">
        <w:rPr>
          <w:rtl/>
          <w:lang w:bidi="fa-IR"/>
        </w:rPr>
        <w:t xml:space="preserve"> أَيَّاماً ، أَوْ يَوْماً </w:t>
      </w:r>
      <w:r w:rsidRPr="007C12DB">
        <w:rPr>
          <w:rStyle w:val="libFootnotenumChar"/>
          <w:rtl/>
        </w:rPr>
        <w:t>(4)</w:t>
      </w:r>
      <w:r w:rsidRPr="005D642E">
        <w:rPr>
          <w:rtl/>
          <w:lang w:bidi="fa-IR"/>
        </w:rPr>
        <w:t xml:space="preserve"> ، أَوْ يَوْمَيْنِ ، فَتَرَى الصُّفْرَةَ أَوْ دَماً</w:t>
      </w:r>
      <w:r>
        <w:rPr>
          <w:rtl/>
          <w:lang w:bidi="fa-IR"/>
        </w:rPr>
        <w:t>؟</w:t>
      </w:r>
    </w:p>
    <w:p w:rsidR="00E3253D" w:rsidRPr="005D642E" w:rsidRDefault="00E3253D" w:rsidP="002D437B">
      <w:pPr>
        <w:pStyle w:val="libNormal"/>
        <w:rPr>
          <w:rtl/>
          <w:lang w:bidi="fa-IR"/>
        </w:rPr>
      </w:pPr>
      <w:r w:rsidRPr="005D642E">
        <w:rPr>
          <w:rtl/>
          <w:lang w:bidi="fa-IR"/>
        </w:rPr>
        <w:t xml:space="preserve">قَالَ </w:t>
      </w:r>
      <w:r w:rsidRPr="007C12DB">
        <w:rPr>
          <w:rStyle w:val="libFootnotenumChar"/>
          <w:rtl/>
        </w:rPr>
        <w:t>(5)</w:t>
      </w:r>
      <w:r w:rsidRPr="005D642E">
        <w:rPr>
          <w:rtl/>
          <w:lang w:bidi="fa-IR"/>
        </w:rPr>
        <w:t xml:space="preserve"> : « تُصَلِّي </w:t>
      </w:r>
      <w:r w:rsidRPr="007C12DB">
        <w:rPr>
          <w:rStyle w:val="libFootnotenumChar"/>
          <w:rtl/>
        </w:rPr>
        <w:t>(6)</w:t>
      </w:r>
      <w:r w:rsidRPr="005D642E">
        <w:rPr>
          <w:rtl/>
          <w:lang w:bidi="fa-IR"/>
        </w:rPr>
        <w:t xml:space="preserve"> مَا لَمْ تَلِدْ ، فَإِنْ غَلَبَهَا الْوَجَعُ ، فَفَاتَهَا </w:t>
      </w:r>
      <w:r w:rsidRPr="007C12DB">
        <w:rPr>
          <w:rStyle w:val="libFootnotenumChar"/>
          <w:rtl/>
        </w:rPr>
        <w:t>(7)</w:t>
      </w:r>
      <w:r w:rsidRPr="005D642E">
        <w:rPr>
          <w:rtl/>
          <w:lang w:bidi="fa-IR"/>
        </w:rPr>
        <w:t xml:space="preserve"> صَلَاةٌ </w:t>
      </w:r>
      <w:r w:rsidRPr="007C12DB">
        <w:rPr>
          <w:rStyle w:val="libFootnotenumChar"/>
          <w:rtl/>
        </w:rPr>
        <w:t>(8)</w:t>
      </w:r>
      <w:r w:rsidRPr="005D642E">
        <w:rPr>
          <w:rtl/>
          <w:lang w:bidi="fa-IR"/>
        </w:rPr>
        <w:t xml:space="preserve"> لَمْ تَقْدِرْ </w:t>
      </w:r>
      <w:r w:rsidRPr="007C12DB">
        <w:rPr>
          <w:rStyle w:val="libFootnotenumChar"/>
          <w:rtl/>
        </w:rPr>
        <w:t>(9)</w:t>
      </w:r>
      <w:r w:rsidRPr="005D642E">
        <w:rPr>
          <w:rtl/>
          <w:lang w:bidi="fa-IR"/>
        </w:rPr>
        <w:t xml:space="preserve"> أَنْ تُصَلِّيَهَا مِنَ الْوَجَعِ ، فَعَلَيْهَا قَضَاءُ تِلْكَ الصَّلَاةِ بَعْدَ مَا تَطْهُرُ »</w:t>
      </w:r>
      <w:r>
        <w:rPr>
          <w:rtl/>
          <w:lang w:bidi="fa-IR"/>
        </w:rPr>
        <w:t>.</w:t>
      </w:r>
      <w:r w:rsidRPr="005D642E">
        <w:rPr>
          <w:rtl/>
          <w:lang w:bidi="fa-IR"/>
        </w:rPr>
        <w:t xml:space="preserve"> </w:t>
      </w:r>
      <w:r w:rsidRPr="007C12DB">
        <w:rPr>
          <w:rStyle w:val="libFootnotenumChar"/>
          <w:rtl/>
        </w:rPr>
        <w:t>(10)</w:t>
      </w:r>
    </w:p>
    <w:p w:rsidR="00E3253D" w:rsidRPr="005D642E" w:rsidRDefault="00E3253D" w:rsidP="00E3253D">
      <w:pPr>
        <w:pStyle w:val="Heading2Center"/>
        <w:rPr>
          <w:rtl/>
          <w:lang w:bidi="fa-IR"/>
        </w:rPr>
      </w:pPr>
      <w:bookmarkStart w:id="216" w:name="_Toc344647282"/>
      <w:bookmarkStart w:id="217" w:name="_Toc462226797"/>
      <w:bookmarkStart w:id="218" w:name="_Toc40975905"/>
      <w:r w:rsidRPr="005D642E">
        <w:rPr>
          <w:rtl/>
          <w:lang w:bidi="fa-IR"/>
        </w:rPr>
        <w:t>15</w:t>
      </w:r>
      <w:r>
        <w:rPr>
          <w:rtl/>
          <w:lang w:bidi="fa-IR"/>
        </w:rPr>
        <w:t xml:space="preserve"> </w:t>
      </w:r>
      <w:r w:rsidR="007642BC">
        <w:rPr>
          <w:rtl/>
          <w:lang w:bidi="fa-IR"/>
        </w:rPr>
        <w:t>-</w:t>
      </w:r>
      <w:r>
        <w:rPr>
          <w:rtl/>
          <w:lang w:bidi="fa-IR"/>
        </w:rPr>
        <w:t xml:space="preserve"> </w:t>
      </w:r>
      <w:r w:rsidRPr="005D642E">
        <w:rPr>
          <w:rtl/>
          <w:lang w:bidi="fa-IR"/>
        </w:rPr>
        <w:t xml:space="preserve">بَابُ مَا يَجِبُ عَلَى الْحَائِضِ فِي </w:t>
      </w:r>
      <w:r w:rsidRPr="007C12DB">
        <w:rPr>
          <w:rStyle w:val="libFootnotenumChar"/>
          <w:rtl/>
        </w:rPr>
        <w:t>(11)</w:t>
      </w:r>
      <w:r>
        <w:rPr>
          <w:rtl/>
        </w:rPr>
        <w:t xml:space="preserve"> </w:t>
      </w:r>
      <w:r w:rsidRPr="005D642E">
        <w:rPr>
          <w:rtl/>
          <w:lang w:bidi="fa-IR"/>
        </w:rPr>
        <w:t xml:space="preserve">أَوْقَاتِ الصَّلَاةِ </w:t>
      </w:r>
      <w:r w:rsidRPr="007C12DB">
        <w:rPr>
          <w:rStyle w:val="libFootnotenumChar"/>
          <w:rtl/>
        </w:rPr>
        <w:t>(12)</w:t>
      </w:r>
      <w:r w:rsidRPr="005D642E">
        <w:rPr>
          <w:rtl/>
          <w:lang w:bidi="fa-IR"/>
        </w:rPr>
        <w:t xml:space="preserve"> ‌</w:t>
      </w:r>
      <w:bookmarkEnd w:id="216"/>
      <w:bookmarkEnd w:id="217"/>
      <w:bookmarkEnd w:id="218"/>
    </w:p>
    <w:p w:rsidR="00E3253D" w:rsidRPr="005D642E" w:rsidRDefault="00E3253D" w:rsidP="00E3253D">
      <w:pPr>
        <w:pStyle w:val="libNormal"/>
        <w:rPr>
          <w:rtl/>
          <w:lang w:bidi="fa-IR"/>
        </w:rPr>
      </w:pPr>
      <w:r w:rsidRPr="00BE477C">
        <w:rPr>
          <w:rtl/>
        </w:rPr>
        <w:t>4208</w:t>
      </w:r>
      <w:r w:rsidRPr="00246318">
        <w:rPr>
          <w:rStyle w:val="libBold2Char"/>
          <w:rtl/>
        </w:rPr>
        <w:t xml:space="preserve"> / 1.</w:t>
      </w:r>
      <w:r w:rsidRPr="005D642E">
        <w:rPr>
          <w:rtl/>
          <w:lang w:bidi="fa-IR"/>
        </w:rPr>
        <w:t xml:space="preserve"> عَلِيُّ بْنُ إِبْرَاهِيمَ ، عَنْ أَبِيهِ ، عَنْ حَمَّادِ بْنِ عِيسى ، عَنْ حَرِيزٍ </w:t>
      </w:r>
      <w:r w:rsidRPr="007C12DB">
        <w:rPr>
          <w:rStyle w:val="libFootnotenumChar"/>
          <w:rtl/>
        </w:rPr>
        <w:t>(13)</w:t>
      </w:r>
      <w:r w:rsidRPr="005D642E">
        <w:rPr>
          <w:rtl/>
          <w:lang w:bidi="fa-IR"/>
        </w:rPr>
        <w:t xml:space="preserve"> ، عَنْ مُحَمَّدِ بْنِ‌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ج 13 ، ص 243 : « الأمر بالغسل إمّا بالحمل على غير القليلة أو عليها أيضاً استحباباً ، ولعلّ الخبر الأوّل محمول على ما إذا صادف العادة أو كان بصفة الحيض وهذا على عدمهما. وهذا ممّا يدلّ على أنّ قول الأصحاب : كلّ دم يمكن أن يكون حيضاً فهو حيض ليس على عمومه كما أومأنا إليه سابقاً ، والله يعلم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176 ، ح 503 ؛ </w:t>
      </w:r>
      <w:r w:rsidR="00E3253D" w:rsidRPr="00E678B5">
        <w:rPr>
          <w:rStyle w:val="libFootnoteBoldChar"/>
          <w:rtl/>
        </w:rPr>
        <w:t>والاستبصار</w:t>
      </w:r>
      <w:r w:rsidR="00E3253D" w:rsidRPr="005D642E">
        <w:rPr>
          <w:rtl/>
        </w:rPr>
        <w:t xml:space="preserve"> ، ج 1 ، ص 151 ، ح 523 ، بسندهما عن صفوان بن يحيى ، مع زيادة في آخرهما </w:t>
      </w:r>
      <w:r w:rsidR="0095680F">
        <w:rPr>
          <w:rFonts w:hint="cs"/>
          <w:rtl/>
        </w:rPr>
        <w:t>.</w:t>
      </w:r>
      <w:r w:rsidR="00E3253D" w:rsidRPr="002F4D34">
        <w:rPr>
          <w:rStyle w:val="libFootnoteBoldChar"/>
          <w:rtl/>
        </w:rPr>
        <w:t>الوافي</w:t>
      </w:r>
      <w:r w:rsidR="00E3253D" w:rsidRPr="005D642E">
        <w:rPr>
          <w:rtl/>
        </w:rPr>
        <w:t xml:space="preserve"> ، ج 6 ، ص 478 ، ح 4727 ؛ </w:t>
      </w:r>
      <w:r w:rsidR="00E3253D" w:rsidRPr="002F4D34">
        <w:rPr>
          <w:rStyle w:val="libFootnoteBoldChar"/>
          <w:rtl/>
        </w:rPr>
        <w:t>الوسائل</w:t>
      </w:r>
      <w:r w:rsidR="00E3253D" w:rsidRPr="005D642E">
        <w:rPr>
          <w:rtl/>
        </w:rPr>
        <w:t xml:space="preserve"> ، ج 2 ، ص 393 ، ح 2444.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الطَلْق » : وجع الولادة. راجع : </w:t>
      </w:r>
      <w:r w:rsidR="00E3253D" w:rsidRPr="002F4D34">
        <w:rPr>
          <w:rStyle w:val="libFootnoteBoldChar"/>
          <w:rtl/>
        </w:rPr>
        <w:t>النهاية</w:t>
      </w:r>
      <w:r w:rsidR="00E3253D" w:rsidRPr="005D642E">
        <w:rPr>
          <w:rtl/>
        </w:rPr>
        <w:t xml:space="preserve"> ، ج 3 ، ص 136 ( طلق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ظ ، غ ، ى ، بث ، بح ، بخ ، بس ، جح ، جن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بف ، جس » والمطبوع :</w:t>
      </w:r>
      <w:r w:rsidR="00E3253D">
        <w:rPr>
          <w:rtl/>
        </w:rPr>
        <w:t xml:space="preserve"> </w:t>
      </w:r>
      <w:r w:rsidR="007642BC">
        <w:rPr>
          <w:rtl/>
        </w:rPr>
        <w:t>-</w:t>
      </w:r>
      <w:r w:rsidR="00E3253D">
        <w:rPr>
          <w:rtl/>
        </w:rPr>
        <w:t xml:space="preserve"> </w:t>
      </w:r>
      <w:r w:rsidR="00E3253D" w:rsidRPr="005D642E">
        <w:rPr>
          <w:rtl/>
        </w:rPr>
        <w:t>« أو يوماً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فقال »</w:t>
      </w:r>
      <w:r w:rsidR="00E3253D">
        <w:rPr>
          <w:rtl/>
        </w:rPr>
        <w:t>.</w:t>
      </w:r>
    </w:p>
    <w:tbl>
      <w:tblPr>
        <w:tblStyle w:val="TableGrid"/>
        <w:bidiVisual/>
        <w:tblW w:w="0" w:type="auto"/>
        <w:tblLook w:val="04A0" w:firstRow="1" w:lastRow="0" w:firstColumn="1" w:lastColumn="0" w:noHBand="0" w:noVBand="1"/>
      </w:tblPr>
      <w:tblGrid>
        <w:gridCol w:w="4006"/>
        <w:gridCol w:w="4006"/>
      </w:tblGrid>
      <w:tr w:rsidR="00CC4A4B" w:rsidTr="00CC4A4B">
        <w:tc>
          <w:tcPr>
            <w:tcW w:w="4006" w:type="dxa"/>
          </w:tcPr>
          <w:p w:rsidR="00CC4A4B" w:rsidRDefault="00CC4A4B" w:rsidP="00E3253D">
            <w:pPr>
              <w:pStyle w:val="libFootnote0"/>
              <w:rPr>
                <w:rStyle w:val="libFootnote0Char"/>
                <w:rtl/>
              </w:rPr>
            </w:pPr>
            <w:r w:rsidRPr="0042621E">
              <w:rPr>
                <w:rStyle w:val="libFootnote0Char"/>
                <w:rtl/>
              </w:rPr>
              <w:t>(6).</w:t>
            </w:r>
            <w:r w:rsidRPr="005D642E">
              <w:rPr>
                <w:rtl/>
              </w:rPr>
              <w:t xml:space="preserve"> في « بح ، جح ، جس » : « تصلّ »</w:t>
            </w:r>
            <w:r>
              <w:rPr>
                <w:rtl/>
              </w:rPr>
              <w:t>.</w:t>
            </w:r>
          </w:p>
        </w:tc>
        <w:tc>
          <w:tcPr>
            <w:tcW w:w="4006" w:type="dxa"/>
          </w:tcPr>
          <w:p w:rsidR="00CC4A4B" w:rsidRDefault="00487B3B" w:rsidP="00E3253D">
            <w:pPr>
              <w:pStyle w:val="libFootnote0"/>
              <w:rPr>
                <w:rStyle w:val="libFootnote0Char"/>
                <w:rtl/>
              </w:rPr>
            </w:pPr>
            <w:r w:rsidRPr="0042621E">
              <w:rPr>
                <w:rStyle w:val="libFootnote0Char"/>
                <w:rtl/>
              </w:rPr>
              <w:t>(7).</w:t>
            </w:r>
            <w:r w:rsidRPr="005D642E">
              <w:rPr>
                <w:rtl/>
              </w:rPr>
              <w:t xml:space="preserve"> في الوسائل : « ففاتتها »</w:t>
            </w:r>
            <w:r>
              <w:rPr>
                <w:rtl/>
              </w:rPr>
              <w:t>.</w:t>
            </w:r>
          </w:p>
        </w:tc>
      </w:tr>
      <w:tr w:rsidR="00CC4A4B" w:rsidTr="00CC4A4B">
        <w:tc>
          <w:tcPr>
            <w:tcW w:w="4006" w:type="dxa"/>
          </w:tcPr>
          <w:p w:rsidR="00CC4A4B" w:rsidRDefault="00A6513C" w:rsidP="00E3253D">
            <w:pPr>
              <w:pStyle w:val="libFootnote0"/>
              <w:rPr>
                <w:rStyle w:val="libFootnote0Char"/>
                <w:rtl/>
              </w:rPr>
            </w:pPr>
            <w:r w:rsidRPr="0042621E">
              <w:rPr>
                <w:rStyle w:val="libFootnote0Char"/>
                <w:rtl/>
              </w:rPr>
              <w:t>(8).</w:t>
            </w:r>
            <w:r w:rsidRPr="005D642E">
              <w:rPr>
                <w:rtl/>
              </w:rPr>
              <w:t xml:space="preserve"> في حاشية « بخ » : « الصلاة »</w:t>
            </w:r>
            <w:r>
              <w:rPr>
                <w:rtl/>
              </w:rPr>
              <w:t>.</w:t>
            </w:r>
          </w:p>
        </w:tc>
        <w:tc>
          <w:tcPr>
            <w:tcW w:w="4006" w:type="dxa"/>
          </w:tcPr>
          <w:p w:rsidR="00CC4A4B" w:rsidRDefault="00A6513C" w:rsidP="00E3253D">
            <w:pPr>
              <w:pStyle w:val="libFootnote0"/>
              <w:rPr>
                <w:rStyle w:val="libFootnote0Char"/>
                <w:rtl/>
              </w:rPr>
            </w:pPr>
            <w:r w:rsidRPr="0042621E">
              <w:rPr>
                <w:rStyle w:val="libFootnote0Char"/>
                <w:rtl/>
              </w:rPr>
              <w:t>(9).</w:t>
            </w:r>
            <w:r w:rsidRPr="005D642E">
              <w:rPr>
                <w:rtl/>
              </w:rPr>
              <w:t xml:space="preserve"> في التهذيب : + « على »</w:t>
            </w:r>
            <w:r>
              <w:rPr>
                <w:rtl/>
              </w:rPr>
              <w:t>.</w:t>
            </w:r>
          </w:p>
        </w:tc>
      </w:tr>
    </w:tbl>
    <w:p w:rsidR="00E3253D" w:rsidRPr="005D642E" w:rsidRDefault="0042621E" w:rsidP="008020FB">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403 ، ح 1261 ، معلّقاً عن محمّد بن أحمد </w:t>
      </w:r>
      <w:r w:rsidR="008020FB">
        <w:rPr>
          <w:rFonts w:hint="cs"/>
          <w:rtl/>
        </w:rPr>
        <w:t>.</w:t>
      </w:r>
      <w:r w:rsidR="00E3253D" w:rsidRPr="002F4D34">
        <w:rPr>
          <w:rStyle w:val="libFootnoteBoldChar"/>
          <w:rtl/>
        </w:rPr>
        <w:t>الوافي</w:t>
      </w:r>
      <w:r w:rsidR="00E3253D" w:rsidRPr="005D642E">
        <w:rPr>
          <w:rtl/>
        </w:rPr>
        <w:t xml:space="preserve"> ، ج 6 ، ص 484 ، ح 4742 ؛ </w:t>
      </w:r>
      <w:r w:rsidR="00E3253D" w:rsidRPr="002F4D34">
        <w:rPr>
          <w:rStyle w:val="libFootnoteBoldChar"/>
          <w:rtl/>
        </w:rPr>
        <w:t>الوسائل</w:t>
      </w:r>
      <w:r w:rsidR="00E3253D" w:rsidRPr="005D642E">
        <w:rPr>
          <w:rtl/>
        </w:rPr>
        <w:t xml:space="preserve"> ، ج 2 ، ص 391 ، ح 2440.</w:t>
      </w:r>
      <w:r w:rsidR="00591486">
        <w:rPr>
          <w:rFonts w:hint="cs"/>
          <w:rtl/>
        </w:rPr>
        <w:t xml:space="preserve">     </w:t>
      </w:r>
      <w:r w:rsidR="008020FB">
        <w:rPr>
          <w:rFonts w:hint="cs"/>
          <w:rtl/>
        </w:rPr>
        <w:t xml:space="preserve"> </w:t>
      </w:r>
      <w:r w:rsidRPr="0042621E">
        <w:rPr>
          <w:rStyle w:val="libFootnote0Char"/>
          <w:rtl/>
        </w:rPr>
        <w:t>(11).</w:t>
      </w:r>
      <w:r w:rsidR="00E3253D" w:rsidRPr="005D642E">
        <w:rPr>
          <w:rtl/>
        </w:rPr>
        <w:t xml:space="preserve"> في حاشية « بث » </w:t>
      </w:r>
      <w:r w:rsidR="000D749A" w:rsidRPr="000D749A">
        <w:rPr>
          <w:rStyle w:val="libFootnoteBoldChar"/>
          <w:rtl/>
        </w:rPr>
        <w:t>والوافي</w:t>
      </w:r>
      <w:r w:rsidR="00E3253D" w:rsidRPr="005D642E">
        <w:rPr>
          <w:rtl/>
        </w:rPr>
        <w:t xml:space="preserve"> : + « أوّل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بث ، بخ ، بف ، جس » وحاشية « بح » : « الصلوات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هكذا في « ظ ، ى ، بث ، بح ، بس ، بف ، جح ، جس ، جن »</w:t>
      </w:r>
      <w:r w:rsidR="00E3253D">
        <w:rPr>
          <w:rtl/>
        </w:rPr>
        <w:t>.</w:t>
      </w:r>
      <w:r w:rsidR="00E3253D" w:rsidRPr="005D642E">
        <w:rPr>
          <w:rtl/>
        </w:rPr>
        <w:t xml:space="preserve"> والوسائل وفي « بخ » والمطبوع : + « عن زرارة »</w:t>
      </w:r>
      <w:r w:rsidR="00E3253D">
        <w:rPr>
          <w:rtl/>
        </w:rPr>
        <w:t>.</w:t>
      </w:r>
      <w:r w:rsidR="00E3253D" w:rsidRPr="005D642E">
        <w:rPr>
          <w:rtl/>
        </w:rPr>
        <w:t xml:space="preserve"> </w:t>
      </w:r>
      <w:r w:rsidR="008020F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مسْلِمٍ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الْحَائِضِ تَطَهَّرُ </w:t>
      </w:r>
      <w:r w:rsidRPr="007C12DB">
        <w:rPr>
          <w:rStyle w:val="libFootnotenumChar"/>
          <w:rtl/>
        </w:rPr>
        <w:t>(1)</w:t>
      </w:r>
      <w:r w:rsidRPr="005D642E">
        <w:rPr>
          <w:rtl/>
          <w:lang w:bidi="fa-IR"/>
        </w:rPr>
        <w:t xml:space="preserve"> يَوْمَ </w:t>
      </w:r>
      <w:r w:rsidRPr="007C12DB">
        <w:rPr>
          <w:rStyle w:val="libFootnotenumChar"/>
          <w:rtl/>
        </w:rPr>
        <w:t>(2)</w:t>
      </w:r>
      <w:r w:rsidRPr="005D642E">
        <w:rPr>
          <w:rtl/>
          <w:lang w:bidi="fa-IR"/>
        </w:rPr>
        <w:t xml:space="preserve"> الْجُمُعَةِ </w:t>
      </w:r>
      <w:r w:rsidRPr="007C12DB">
        <w:rPr>
          <w:rStyle w:val="libFootnotenumChar"/>
          <w:rtl/>
        </w:rPr>
        <w:t>(3)</w:t>
      </w:r>
      <w:r w:rsidRPr="005D642E">
        <w:rPr>
          <w:rtl/>
          <w:lang w:bidi="fa-IR"/>
        </w:rPr>
        <w:t xml:space="preserve"> ، وَتَذْكُرُ اللهَ </w:t>
      </w:r>
      <w:r w:rsidRPr="007C12DB">
        <w:rPr>
          <w:rStyle w:val="libFootnotenumChar"/>
          <w:rtl/>
        </w:rPr>
        <w:t>(4)</w:t>
      </w:r>
      <w:r>
        <w:rPr>
          <w:rtl/>
          <w:lang w:bidi="fa-IR"/>
        </w:rPr>
        <w:t>؟</w:t>
      </w:r>
    </w:p>
    <w:p w:rsidR="00E3253D" w:rsidRPr="005D642E" w:rsidRDefault="00E3253D" w:rsidP="00E3253D">
      <w:pPr>
        <w:pStyle w:val="libNormal"/>
        <w:rPr>
          <w:rtl/>
          <w:lang w:bidi="fa-IR"/>
        </w:rPr>
      </w:pPr>
      <w:r w:rsidRPr="005D642E">
        <w:rPr>
          <w:rtl/>
          <w:lang w:bidi="fa-IR"/>
        </w:rPr>
        <w:t xml:space="preserve">قَالَ : « أَمَّا الطُّهْرُ ، فَلَا ، وَلكِنَّهَا تَتَوَضَّأُ </w:t>
      </w:r>
      <w:r w:rsidRPr="007C12DB">
        <w:rPr>
          <w:rStyle w:val="libFootnotenumChar"/>
          <w:rtl/>
        </w:rPr>
        <w:t>(5)</w:t>
      </w:r>
      <w:r w:rsidRPr="005D642E">
        <w:rPr>
          <w:rtl/>
          <w:lang w:bidi="fa-IR"/>
        </w:rPr>
        <w:t xml:space="preserve"> فِي وَقْتِ الصَّلَاةِ ، ثُمَّ تَسْتَقْبِلُ</w:t>
      </w:r>
      <w:r w:rsidR="00591486">
        <w:rPr>
          <w:rtl/>
          <w:lang w:bidi="fa-IR"/>
        </w:rPr>
        <w:t xml:space="preserve"> الْقِبْلَةَ ، وَتَذْكُرُ اللهَ</w:t>
      </w:r>
      <w:r w:rsidRPr="005D642E">
        <w:rPr>
          <w:rtl/>
          <w:lang w:bidi="fa-IR"/>
        </w:rPr>
        <w:t>»</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256DBF">
        <w:rPr>
          <w:rtl/>
        </w:rPr>
        <w:t>4209</w:t>
      </w:r>
      <w:r w:rsidRPr="00246318">
        <w:rPr>
          <w:rStyle w:val="libBold2Char"/>
          <w:rtl/>
        </w:rPr>
        <w:t xml:space="preserve"> / 2.</w:t>
      </w:r>
      <w:r w:rsidRPr="005D642E">
        <w:rPr>
          <w:rtl/>
          <w:lang w:bidi="fa-IR"/>
        </w:rPr>
        <w:t xml:space="preserve"> مُحَمَّدُ بْنُ إِسْمَاعِيلَ ، عَنِ الْفَضْلِ بْنِ شَاذَانَ ، عَنِ ابْنِ أَبِي عُمَيْرٍ وَحَمَّادٍ ، عَنْ مُعَاوِيَةَ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تَتَوَضَّأُ الْمَرْأَةُ الْحَائِضُ إِذَا أَرَادَتْ أَنْ تَأْكُلَ ، وَإِذَا </w:t>
      </w:r>
      <w:r w:rsidRPr="007C12DB">
        <w:rPr>
          <w:rStyle w:val="libFootnotenumChar"/>
          <w:rtl/>
        </w:rPr>
        <w:t>(7)</w:t>
      </w:r>
      <w:r w:rsidRPr="005D642E">
        <w:rPr>
          <w:rtl/>
          <w:lang w:bidi="fa-IR"/>
        </w:rPr>
        <w:t xml:space="preserve"> كَان وَقْتُ الصَّلَاةِ تَوَضَّأَتْ ، وَاسْتَقْبَلَتِ الْقِبْلَةَ ، وَهَلَّلَتْ ، وَكَبَّرَتْ ، وَتَلَتِ الْقُرْآنَ ، وَذَكَرَتِ اللهَ عَزَّ وَجَلَّ »</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256DBF">
        <w:rPr>
          <w:rtl/>
        </w:rPr>
        <w:t>4210</w:t>
      </w:r>
      <w:r w:rsidRPr="00246318">
        <w:rPr>
          <w:rStyle w:val="libBold2Char"/>
          <w:rtl/>
        </w:rPr>
        <w:t xml:space="preserve"> / 3.</w:t>
      </w:r>
      <w:r w:rsidRPr="005D642E">
        <w:rPr>
          <w:rtl/>
          <w:lang w:bidi="fa-IR"/>
        </w:rPr>
        <w:t xml:space="preserve"> عَلِيُّ بْنُ إِبْرَاهِيمَ ، عَنْ أَبِيهِ ، عَنِ ابْنِ أَبِي عُمَيْرٍ ، عَنْ عَمَّارِ بْنِ مَرْوَانَ ، عَنْ زَيْدٍ الشَّحَّامِ ، قَالَ :</w:t>
      </w:r>
    </w:p>
    <w:p w:rsidR="00E3253D"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يَنْبَغِي لِلْحَائِضِ أَنْ تَتَوَضَّأَ عِنْدَ وَقْتِ كُلِّ صَلَاةٍ ، ثُمَّ </w:t>
      </w:r>
      <w:r w:rsidRPr="007C12DB">
        <w:rPr>
          <w:rStyle w:val="libFootnotenumChar"/>
          <w:rtl/>
        </w:rPr>
        <w:t>(9)</w:t>
      </w:r>
    </w:p>
    <w:p w:rsidR="00E3253D" w:rsidRPr="005D642E" w:rsidRDefault="00E3253D" w:rsidP="00E3253D">
      <w:pPr>
        <w:pStyle w:val="libLine"/>
        <w:rPr>
          <w:rtl/>
          <w:lang w:bidi="fa-IR"/>
        </w:rPr>
      </w:pPr>
      <w:r w:rsidRPr="005D642E">
        <w:rPr>
          <w:rtl/>
          <w:lang w:bidi="fa-IR"/>
        </w:rPr>
        <w:t>__________________</w:t>
      </w:r>
    </w:p>
    <w:p w:rsidR="00E3253D" w:rsidRPr="005D642E" w:rsidRDefault="002E6381" w:rsidP="00E3253D">
      <w:pPr>
        <w:pStyle w:val="libFootnote0"/>
        <w:rPr>
          <w:rtl/>
          <w:lang w:bidi="fa-IR"/>
        </w:rPr>
      </w:pPr>
      <w:r>
        <w:rPr>
          <w:rFonts w:hint="cs"/>
          <w:rtl/>
        </w:rPr>
        <w:t xml:space="preserve">= </w:t>
      </w:r>
      <w:r w:rsidR="00E3253D" w:rsidRPr="005D642E">
        <w:rPr>
          <w:rtl/>
        </w:rPr>
        <w:t xml:space="preserve">هذا ، وقد روى حريز [ بن عبدالله ] عن محمّد بن مسلم في كثيرٍ من الأسناد جدّاً ولم يثبت توسّط زرارة بين حريز وبين محمّد بن مسلم في موضع. راجع : </w:t>
      </w:r>
      <w:r w:rsidR="00E3253D" w:rsidRPr="002F4D34">
        <w:rPr>
          <w:rStyle w:val="libFootnoteBoldChar"/>
          <w:rtl/>
        </w:rPr>
        <w:t>معجم رجال الحديث</w:t>
      </w:r>
      <w:r w:rsidR="00E3253D" w:rsidRPr="005D642E">
        <w:rPr>
          <w:rtl/>
        </w:rPr>
        <w:t xml:space="preserve"> ، ج 4 ، ص 484</w:t>
      </w:r>
      <w:r w:rsidR="00E3253D">
        <w:rPr>
          <w:rtl/>
        </w:rPr>
        <w:t xml:space="preserve"> </w:t>
      </w:r>
      <w:r w:rsidR="007642BC">
        <w:rPr>
          <w:rtl/>
        </w:rPr>
        <w:t>-</w:t>
      </w:r>
      <w:r w:rsidR="00E3253D">
        <w:rPr>
          <w:rtl/>
        </w:rPr>
        <w:t xml:space="preserve"> </w:t>
      </w:r>
      <w:r w:rsidR="00E3253D" w:rsidRPr="005D642E">
        <w:rPr>
          <w:rtl/>
        </w:rPr>
        <w:t>489 ؛ وص 495.</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بحذف إحدى التاءين. وفي الوافي : « تطّهّر من الاطّهار بالإدغام بمعنى الاغتسال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بيوم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244 : « المشهور فيها</w:t>
      </w:r>
      <w:r w:rsidR="00E3253D">
        <w:rPr>
          <w:rtl/>
        </w:rPr>
        <w:t xml:space="preserve"> </w:t>
      </w:r>
      <w:r w:rsidR="007642BC">
        <w:rPr>
          <w:rtl/>
        </w:rPr>
        <w:t>-</w:t>
      </w:r>
      <w:r w:rsidR="00E3253D">
        <w:rPr>
          <w:rtl/>
        </w:rPr>
        <w:t xml:space="preserve"> </w:t>
      </w:r>
      <w:r w:rsidR="00E3253D" w:rsidRPr="005D642E">
        <w:rPr>
          <w:rtl/>
        </w:rPr>
        <w:t>أي الجمعة</w:t>
      </w:r>
      <w:r w:rsidR="00E3253D">
        <w:rPr>
          <w:rtl/>
        </w:rPr>
        <w:t xml:space="preserve"> </w:t>
      </w:r>
      <w:r w:rsidR="007642BC">
        <w:rPr>
          <w:rtl/>
        </w:rPr>
        <w:t>-</w:t>
      </w:r>
      <w:r w:rsidR="00E3253D">
        <w:rPr>
          <w:rtl/>
        </w:rPr>
        <w:t xml:space="preserve"> </w:t>
      </w:r>
      <w:r w:rsidR="00E3253D" w:rsidRPr="005D642E">
        <w:rPr>
          <w:rtl/>
        </w:rPr>
        <w:t>الاستحباب ، وظاهر المصنّف الوجوب ، كما نقل عن ابن بابويه أيضاً لحسن زرارة ، وهو مع عدم صراحته في الوجوب محمول على الاستحباب جمعاً بين الأدلّة ، ولو لم يتمكّن من الوضوء ففي مشروعيّة التيمّم لها قولان أظهرهما العدم »</w:t>
      </w:r>
      <w:r w:rsidR="00E3253D">
        <w:rPr>
          <w:rtl/>
        </w:rPr>
        <w:t>.</w:t>
      </w:r>
    </w:p>
    <w:tbl>
      <w:tblPr>
        <w:tblStyle w:val="TableGrid"/>
        <w:bidiVisual/>
        <w:tblW w:w="0" w:type="auto"/>
        <w:tblLook w:val="04A0" w:firstRow="1" w:lastRow="0" w:firstColumn="1" w:lastColumn="0" w:noHBand="0" w:noVBand="1"/>
      </w:tblPr>
      <w:tblGrid>
        <w:gridCol w:w="4006"/>
        <w:gridCol w:w="4006"/>
      </w:tblGrid>
      <w:tr w:rsidR="00D95F67" w:rsidTr="00D95F67">
        <w:tc>
          <w:tcPr>
            <w:tcW w:w="4006" w:type="dxa"/>
          </w:tcPr>
          <w:p w:rsidR="00D95F67" w:rsidRDefault="00D95F67" w:rsidP="00E3253D">
            <w:pPr>
              <w:pStyle w:val="libFootnote0"/>
              <w:rPr>
                <w:rStyle w:val="libFootnote0Char"/>
                <w:rtl/>
              </w:rPr>
            </w:pPr>
            <w:r w:rsidRPr="0042621E">
              <w:rPr>
                <w:rStyle w:val="libFootnote0Char"/>
                <w:rtl/>
              </w:rPr>
              <w:t>(4).</w:t>
            </w:r>
            <w:r w:rsidRPr="005D642E">
              <w:rPr>
                <w:rtl/>
              </w:rPr>
              <w:t xml:space="preserve"> في « بخ » : « لله »</w:t>
            </w:r>
            <w:r>
              <w:rPr>
                <w:rtl/>
              </w:rPr>
              <w:t>.</w:t>
            </w:r>
          </w:p>
        </w:tc>
        <w:tc>
          <w:tcPr>
            <w:tcW w:w="4006" w:type="dxa"/>
          </w:tcPr>
          <w:p w:rsidR="00D95F67" w:rsidRDefault="00D95F67" w:rsidP="00E3253D">
            <w:pPr>
              <w:pStyle w:val="libFootnote0"/>
              <w:rPr>
                <w:rStyle w:val="libFootnote0Char"/>
                <w:rtl/>
              </w:rPr>
            </w:pPr>
            <w:r w:rsidRPr="0042621E">
              <w:rPr>
                <w:rStyle w:val="libFootnote0Char"/>
                <w:rtl/>
              </w:rPr>
              <w:t>(5).</w:t>
            </w:r>
            <w:r w:rsidR="00861AF7">
              <w:rPr>
                <w:rtl/>
              </w:rPr>
              <w:t>في«ظ،غ،ى،بح،بف،جح»وحاشية«بث»:«توضّأ</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6 ، ص 485 ، ح 4746 ؛ </w:t>
      </w:r>
      <w:r w:rsidR="00E3253D" w:rsidRPr="002F4D34">
        <w:rPr>
          <w:rStyle w:val="libFootnoteBoldChar"/>
          <w:rtl/>
        </w:rPr>
        <w:t>الوسائل</w:t>
      </w:r>
      <w:r w:rsidR="00E3253D" w:rsidRPr="005D642E">
        <w:rPr>
          <w:rtl/>
        </w:rPr>
        <w:t xml:space="preserve"> ، ج 2 ، ص 314 ، ح 2227 ؛ وص 346 ، ح 2325.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وإن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6 ، ص 486 ، ح 4748 ؛ </w:t>
      </w:r>
      <w:r w:rsidR="00E3253D" w:rsidRPr="002F4D34">
        <w:rPr>
          <w:rStyle w:val="libFootnoteBoldChar"/>
          <w:rtl/>
        </w:rPr>
        <w:t>الوسائل</w:t>
      </w:r>
      <w:r w:rsidR="00E3253D" w:rsidRPr="005D642E">
        <w:rPr>
          <w:rtl/>
        </w:rPr>
        <w:t xml:space="preserve"> ، ج 2 ، ص 346 ، ح 2326.</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حاشية « بح » : « </w:t>
      </w:r>
      <w:r w:rsidR="00E3253D">
        <w:rPr>
          <w:rtl/>
        </w:rPr>
        <w:t>و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تَسْتَقْبِلَ الْقِبْلَةَ ، وَتَذْكُرَ </w:t>
      </w:r>
      <w:r w:rsidRPr="007C12DB">
        <w:rPr>
          <w:rStyle w:val="libFootnotenumChar"/>
          <w:rtl/>
        </w:rPr>
        <w:t>(1)</w:t>
      </w:r>
      <w:r w:rsidRPr="005D642E">
        <w:rPr>
          <w:rtl/>
          <w:lang w:bidi="fa-IR"/>
        </w:rPr>
        <w:t xml:space="preserve"> اللهَ مِقْدَارَ مَا كَانَتْ تُصَلِّي »</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CA120B" w:rsidRDefault="00E3253D" w:rsidP="00CA120B">
      <w:pPr>
        <w:pStyle w:val="libNormal"/>
        <w:rPr>
          <w:rtl/>
          <w:lang w:bidi="fa-IR"/>
        </w:rPr>
      </w:pPr>
      <w:r w:rsidRPr="00256DBF">
        <w:rPr>
          <w:rtl/>
        </w:rPr>
        <w:t>4211</w:t>
      </w:r>
      <w:r w:rsidRPr="00246318">
        <w:rPr>
          <w:rStyle w:val="libBold2Char"/>
          <w:rtl/>
        </w:rPr>
        <w:t xml:space="preserve"> / 4.</w:t>
      </w:r>
      <w:r w:rsidRPr="005D642E">
        <w:rPr>
          <w:rtl/>
          <w:lang w:bidi="fa-IR"/>
        </w:rPr>
        <w:t xml:space="preserve"> عَلِيُّ بْنُ إِبْرَاهِيمَ ، عَنْ أَبِيهِ ؛</w:t>
      </w:r>
    </w:p>
    <w:p w:rsidR="00E3253D" w:rsidRPr="005D642E" w:rsidRDefault="00591486" w:rsidP="00CA120B">
      <w:pPr>
        <w:pStyle w:val="libNormal"/>
        <w:rPr>
          <w:rtl/>
          <w:lang w:bidi="fa-IR"/>
        </w:rPr>
      </w:pPr>
      <w:r>
        <w:rPr>
          <w:rFonts w:hint="cs"/>
          <w:rtl/>
          <w:lang w:bidi="fa-IR"/>
        </w:rPr>
        <w:t xml:space="preserve">          </w:t>
      </w:r>
      <w:r w:rsidR="00CA120B">
        <w:rPr>
          <w:rFonts w:hint="cs"/>
          <w:rtl/>
          <w:lang w:bidi="fa-IR"/>
        </w:rPr>
        <w:t xml:space="preserve">   </w:t>
      </w:r>
      <w:r w:rsidR="00E3253D" w:rsidRPr="005D642E">
        <w:rPr>
          <w:rtl/>
          <w:lang w:bidi="fa-IR"/>
        </w:rPr>
        <w:t>وَمُحَمَّدُ بْنُ إِسْمَاعِيلَ ، عَنِ الْفَضْلِ بْنِ شَاذَانَ جَمِيعاً ، عَنْ حَمَّادِ بْنِ عِيسى ، عَنْ حَرِيزٍ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w:t>
      </w:r>
      <w:r w:rsidRPr="007C12DB">
        <w:rPr>
          <w:rStyle w:val="libFootnotenumChar"/>
          <w:rtl/>
        </w:rPr>
        <w:t>(3)</w:t>
      </w:r>
      <w:r w:rsidRPr="005D642E">
        <w:rPr>
          <w:rtl/>
          <w:lang w:bidi="fa-IR"/>
        </w:rPr>
        <w:t xml:space="preserve"> ، قَالَ </w:t>
      </w:r>
      <w:r w:rsidRPr="007C12DB">
        <w:rPr>
          <w:rStyle w:val="libFootnotenumChar"/>
          <w:rtl/>
        </w:rPr>
        <w:t>(4)</w:t>
      </w:r>
      <w:r w:rsidRPr="005D642E">
        <w:rPr>
          <w:rtl/>
          <w:lang w:bidi="fa-IR"/>
        </w:rPr>
        <w:t xml:space="preserve"> : « إِذَا كَانَتِ الْمَرْأَةُ طَامِثاً </w:t>
      </w:r>
      <w:r w:rsidRPr="007C12DB">
        <w:rPr>
          <w:rStyle w:val="libFootnotenumChar"/>
          <w:rtl/>
        </w:rPr>
        <w:t>(5)</w:t>
      </w:r>
      <w:r w:rsidRPr="005D642E">
        <w:rPr>
          <w:rtl/>
          <w:lang w:bidi="fa-IR"/>
        </w:rPr>
        <w:t xml:space="preserve"> ، فَلَا تَحِلُّ </w:t>
      </w:r>
      <w:r w:rsidRPr="007C12DB">
        <w:rPr>
          <w:rStyle w:val="libFootnotenumChar"/>
          <w:rtl/>
        </w:rPr>
        <w:t>(6)</w:t>
      </w:r>
      <w:r w:rsidRPr="005D642E">
        <w:rPr>
          <w:rtl/>
          <w:lang w:bidi="fa-IR"/>
        </w:rPr>
        <w:t xml:space="preserve"> لَهَا الصَّلَاةُ ، وَعَلَيْهَا أَنْ تَتَوَضَّأَ </w:t>
      </w:r>
      <w:r w:rsidRPr="007C12DB">
        <w:rPr>
          <w:rStyle w:val="libFootnotenumChar"/>
          <w:rtl/>
        </w:rPr>
        <w:t>(7)</w:t>
      </w:r>
      <w:r w:rsidRPr="005D642E">
        <w:rPr>
          <w:rtl/>
          <w:lang w:bidi="fa-IR"/>
        </w:rPr>
        <w:t xml:space="preserve"> وُضُوءَ الصَّلَاةِ عِنْدَ وَقْتِ كُلِّ صَلَاةٍ ، ثُمَّ تَقْعُدَ فِي مَوْضِعٍ طَاهِرٍ ، فَتَذْكُرَ </w:t>
      </w:r>
      <w:r w:rsidRPr="007C12DB">
        <w:rPr>
          <w:rStyle w:val="libFootnotenumChar"/>
          <w:rtl/>
        </w:rPr>
        <w:t>(8)</w:t>
      </w:r>
      <w:r w:rsidRPr="005D642E">
        <w:rPr>
          <w:rtl/>
          <w:lang w:bidi="fa-IR"/>
        </w:rPr>
        <w:t xml:space="preserve"> اللهَ عَزَّ وَجَلَّ ، وَتُسَبِّحَهُ ، وَتُهَلِّلَهُ ، وَتَحْمُدَهُ </w:t>
      </w:r>
      <w:r w:rsidRPr="007C12DB">
        <w:rPr>
          <w:rStyle w:val="libFootnotenumChar"/>
          <w:rtl/>
        </w:rPr>
        <w:t>(9)</w:t>
      </w:r>
      <w:r w:rsidRPr="005D642E">
        <w:rPr>
          <w:rtl/>
          <w:lang w:bidi="fa-IR"/>
        </w:rPr>
        <w:t xml:space="preserve"> كَمِقْدَارِ </w:t>
      </w:r>
      <w:r w:rsidRPr="007C12DB">
        <w:rPr>
          <w:rStyle w:val="libFootnotenumChar"/>
          <w:rtl/>
        </w:rPr>
        <w:t>(10)</w:t>
      </w:r>
      <w:r w:rsidRPr="005D642E">
        <w:rPr>
          <w:rtl/>
          <w:lang w:bidi="fa-IR"/>
        </w:rPr>
        <w:t xml:space="preserve"> صَلَاتِهَا ، ثُمَّ تَفْرُغُ </w:t>
      </w:r>
      <w:r w:rsidRPr="007C12DB">
        <w:rPr>
          <w:rStyle w:val="libFootnotenumChar"/>
          <w:rtl/>
        </w:rPr>
        <w:t>(11)</w:t>
      </w:r>
      <w:r w:rsidRPr="005D642E">
        <w:rPr>
          <w:rtl/>
          <w:lang w:bidi="fa-IR"/>
        </w:rPr>
        <w:t xml:space="preserve"> لِحَاجَتِهَا »</w:t>
      </w:r>
      <w:r>
        <w:rPr>
          <w:rtl/>
          <w:lang w:bidi="fa-IR"/>
        </w:rPr>
        <w:t>.</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 « فتذكر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159 ، ح 455 ، بسنده عن الكليني </w:t>
      </w:r>
      <w:r w:rsidR="00CA120B">
        <w:rPr>
          <w:rFonts w:hint="cs"/>
          <w:rtl/>
        </w:rPr>
        <w:t>.</w:t>
      </w:r>
      <w:r w:rsidR="00E3253D" w:rsidRPr="002F4D34">
        <w:rPr>
          <w:rStyle w:val="libFootnoteBoldChar"/>
          <w:rtl/>
        </w:rPr>
        <w:t>الوافي</w:t>
      </w:r>
      <w:r w:rsidR="00E3253D" w:rsidRPr="005D642E">
        <w:rPr>
          <w:rtl/>
        </w:rPr>
        <w:t xml:space="preserve"> ، ج 6 ، ص 485 ، ح 4745 ؛ </w:t>
      </w:r>
      <w:r w:rsidR="00E3253D" w:rsidRPr="002F4D34">
        <w:rPr>
          <w:rStyle w:val="libFootnoteBoldChar"/>
          <w:rtl/>
        </w:rPr>
        <w:t>الوسائل</w:t>
      </w:r>
      <w:r w:rsidR="00E3253D" w:rsidRPr="005D642E">
        <w:rPr>
          <w:rtl/>
        </w:rPr>
        <w:t xml:space="preserve"> ، ج 2 ، ص 345 ، ح 2324.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بس ، بف ، جس » : « أبي عبدالله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ظ ، بخ ، بس » وحاشية « جن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 قال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الطامث » : الحائض ، من الطمث بمعنى الحيض. وقيل : إذا حاضت أوّل ما تحيض. وخصّ بعضهم به حيض الجارية. راجع </w:t>
      </w:r>
      <w:r w:rsidR="00E3253D" w:rsidRPr="002F4D34">
        <w:rPr>
          <w:rStyle w:val="libFootnoteBoldChar"/>
          <w:rtl/>
        </w:rPr>
        <w:t>: لسان العرب</w:t>
      </w:r>
      <w:r w:rsidR="00E3253D" w:rsidRPr="005D642E">
        <w:rPr>
          <w:rtl/>
        </w:rPr>
        <w:t xml:space="preserve"> ، ج 2 ، ص 165 ؛ </w:t>
      </w:r>
      <w:r w:rsidR="00E3253D" w:rsidRPr="002F4D34">
        <w:rPr>
          <w:rStyle w:val="libFootnoteBoldChar"/>
          <w:rtl/>
        </w:rPr>
        <w:t>القاموس المحيط</w:t>
      </w:r>
      <w:r w:rsidR="00E3253D" w:rsidRPr="005D642E">
        <w:rPr>
          <w:rtl/>
        </w:rPr>
        <w:t xml:space="preserve"> ، ج 1 ، ص 273 ( طمث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بس ، بف » : « فلا يحلّ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وحاشية « بخ » : « أن توضّأ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وتذكر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تحمده وتهلّله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حاشية « بث » </w:t>
      </w:r>
      <w:r w:rsidR="00B60612" w:rsidRPr="00B60612">
        <w:rPr>
          <w:rStyle w:val="libFootnoteBoldChar"/>
          <w:rtl/>
        </w:rPr>
        <w:t>والتهذيب</w:t>
      </w:r>
      <w:r w:rsidR="00E3253D" w:rsidRPr="005D642E">
        <w:rPr>
          <w:rtl/>
        </w:rPr>
        <w:t xml:space="preserve"> : « بمقدار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مرآة العقول</w:t>
      </w:r>
      <w:r w:rsidR="00E3253D" w:rsidRPr="005D642E">
        <w:rPr>
          <w:rtl/>
        </w:rPr>
        <w:t xml:space="preserve"> : « الفراغ بمعنى القصد ، جاء متعدّياً باللام أيضاً ، قال في </w:t>
      </w:r>
      <w:r w:rsidR="00E3253D" w:rsidRPr="002F4D34">
        <w:rPr>
          <w:rStyle w:val="libFootnoteBoldChar"/>
          <w:rtl/>
        </w:rPr>
        <w:t>القاموس</w:t>
      </w:r>
      <w:r w:rsidR="00E3253D" w:rsidRPr="005D642E">
        <w:rPr>
          <w:rtl/>
        </w:rPr>
        <w:t xml:space="preserve"> : فرغ له وإليه : قصده ، ويمكن أن يكون الفراغ بمعناه المشهور واللام سببيّة ، وأن تكون : تتفرّغ ، فحذفت منه إحدى التاءين ، يقال : تفرّغ ، أي تخلّى من الشغل. وقال في </w:t>
      </w:r>
      <w:r w:rsidR="00E3253D" w:rsidRPr="002F4D34">
        <w:rPr>
          <w:rStyle w:val="libFootnoteBoldChar"/>
          <w:rtl/>
        </w:rPr>
        <w:t>المنتهى</w:t>
      </w:r>
      <w:r w:rsidR="00E3253D" w:rsidRPr="005D642E">
        <w:rPr>
          <w:rtl/>
        </w:rPr>
        <w:t xml:space="preserve"> : ينبغي أن يراد من اللام في « لحاجتها » معنى « إلى » لينتظم مع المعنى المناسب هنا لتفرغ ، وهو تقصد ، ففي </w:t>
      </w:r>
      <w:r w:rsidR="00E3253D" w:rsidRPr="002F4D34">
        <w:rPr>
          <w:rStyle w:val="libFootnoteBoldChar"/>
          <w:rtl/>
        </w:rPr>
        <w:t>القاموس</w:t>
      </w:r>
      <w:r w:rsidR="00E3253D" w:rsidRPr="005D642E">
        <w:rPr>
          <w:rtl/>
        </w:rPr>
        <w:t xml:space="preserve"> : فرغ إليه : قصد »</w:t>
      </w:r>
      <w:r w:rsidR="00E3253D">
        <w:rPr>
          <w:rtl/>
        </w:rPr>
        <w:t>.</w:t>
      </w:r>
      <w:r w:rsidR="00E3253D" w:rsidRPr="005D642E">
        <w:rPr>
          <w:rtl/>
        </w:rPr>
        <w:t xml:space="preserve"> وراجع : </w:t>
      </w:r>
      <w:r w:rsidR="00E3253D" w:rsidRPr="002F4D34">
        <w:rPr>
          <w:rStyle w:val="libFootnoteBoldChar"/>
          <w:rtl/>
        </w:rPr>
        <w:t>القاموس المحيط</w:t>
      </w:r>
      <w:r w:rsidR="00E3253D" w:rsidRPr="005D642E">
        <w:rPr>
          <w:rtl/>
        </w:rPr>
        <w:t xml:space="preserve"> ، ج 2 ، ص 1050 ( فرغ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159 ، ح 456 ، بسنده عن الكليني </w:t>
      </w:r>
      <w:r w:rsidR="004F3553">
        <w:rPr>
          <w:rFonts w:hint="cs"/>
          <w:rtl/>
        </w:rPr>
        <w:t>.</w:t>
      </w:r>
      <w:r w:rsidR="00E3253D" w:rsidRPr="002F4D34">
        <w:rPr>
          <w:rStyle w:val="libFootnoteBoldChar"/>
          <w:rtl/>
        </w:rPr>
        <w:t>الوافي</w:t>
      </w:r>
      <w:r w:rsidR="00E3253D" w:rsidRPr="005D642E">
        <w:rPr>
          <w:rtl/>
        </w:rPr>
        <w:t xml:space="preserve"> ، ج 6 ، ص 485 ، ح 4744 ؛ </w:t>
      </w:r>
      <w:r w:rsidR="00E3253D" w:rsidRPr="002F4D34">
        <w:rPr>
          <w:rStyle w:val="libFootnoteBoldChar"/>
          <w:rtl/>
        </w:rPr>
        <w:t>الوسائل</w:t>
      </w:r>
      <w:r w:rsidR="00E3253D" w:rsidRPr="005D642E">
        <w:rPr>
          <w:rtl/>
        </w:rPr>
        <w:t xml:space="preserve"> ، ج 1 ، ص 386 ، ح 1019 ؛ </w:t>
      </w:r>
      <w:r w:rsidR="00E3253D" w:rsidRPr="002F4D34">
        <w:rPr>
          <w:rStyle w:val="libFootnoteBoldChar"/>
          <w:rtl/>
        </w:rPr>
        <w:t>وفيه</w:t>
      </w:r>
      <w:r w:rsidR="00E3253D" w:rsidRPr="005D642E">
        <w:rPr>
          <w:rtl/>
        </w:rPr>
        <w:t xml:space="preserve"> ، ج 2 ، ص 343 ، ح 2318 ، إلى قوله : « فلا تحلّ لها الصلاة » ؛ وص 345 ، ح 2323.</w:t>
      </w:r>
    </w:p>
    <w:p w:rsidR="00E3253D" w:rsidRDefault="00E3253D" w:rsidP="00E3253D">
      <w:pPr>
        <w:pStyle w:val="libNormal"/>
        <w:rPr>
          <w:rtl/>
          <w:lang w:bidi="fa-IR"/>
        </w:rPr>
      </w:pPr>
      <w:r>
        <w:rPr>
          <w:rtl/>
          <w:lang w:bidi="fa-IR"/>
        </w:rPr>
        <w:br w:type="page"/>
      </w:r>
    </w:p>
    <w:p w:rsidR="00E3253D" w:rsidRDefault="00E3253D" w:rsidP="00E3253D">
      <w:pPr>
        <w:pStyle w:val="Heading2Center"/>
        <w:rPr>
          <w:rtl/>
          <w:lang w:bidi="fa-IR"/>
        </w:rPr>
      </w:pPr>
      <w:bookmarkStart w:id="219" w:name="_Toc344647283"/>
      <w:bookmarkStart w:id="220" w:name="_Toc462226798"/>
      <w:bookmarkStart w:id="221" w:name="_Toc40975906"/>
      <w:r w:rsidRPr="005D642E">
        <w:rPr>
          <w:rtl/>
          <w:lang w:bidi="fa-IR"/>
        </w:rPr>
        <w:lastRenderedPageBreak/>
        <w:t>16</w:t>
      </w:r>
      <w:r>
        <w:rPr>
          <w:rtl/>
          <w:lang w:bidi="fa-IR"/>
        </w:rPr>
        <w:t xml:space="preserve"> </w:t>
      </w:r>
      <w:r w:rsidR="007642BC">
        <w:rPr>
          <w:rtl/>
          <w:lang w:bidi="fa-IR"/>
        </w:rPr>
        <w:t>-</w:t>
      </w:r>
      <w:r>
        <w:rPr>
          <w:rtl/>
          <w:lang w:bidi="fa-IR"/>
        </w:rPr>
        <w:t xml:space="preserve"> </w:t>
      </w:r>
      <w:r w:rsidRPr="005D642E">
        <w:rPr>
          <w:rtl/>
          <w:lang w:bidi="fa-IR"/>
        </w:rPr>
        <w:t>بَابُ الْمَرْأَةِ تَحِيضُ بَعْدَ دُخُولِ وَقْتِ الصَّلَاةِ قَبْلَ أَنْ تُصَلِّيَهَا ،</w:t>
      </w:r>
      <w:bookmarkEnd w:id="219"/>
      <w:bookmarkEnd w:id="220"/>
      <w:bookmarkEnd w:id="221"/>
      <w:r w:rsidRPr="005D642E">
        <w:rPr>
          <w:rtl/>
          <w:lang w:bidi="fa-IR"/>
        </w:rPr>
        <w:t xml:space="preserve"> </w:t>
      </w:r>
    </w:p>
    <w:p w:rsidR="00E3253D" w:rsidRPr="005D642E" w:rsidRDefault="00E3253D" w:rsidP="00E3253D">
      <w:pPr>
        <w:pStyle w:val="Heading2Center"/>
        <w:rPr>
          <w:rtl/>
          <w:lang w:bidi="fa-IR"/>
        </w:rPr>
      </w:pPr>
      <w:bookmarkStart w:id="222" w:name="_Toc344647284"/>
      <w:bookmarkStart w:id="223" w:name="_Toc462226799"/>
      <w:bookmarkStart w:id="224" w:name="_Toc40975907"/>
      <w:r w:rsidRPr="005D642E">
        <w:rPr>
          <w:rtl/>
          <w:lang w:bidi="fa-IR"/>
        </w:rPr>
        <w:t xml:space="preserve">أَوْ تَطْهُرُ قَبْلَ دُخُولِ وَقْتِهَا ، فَتَتَوَانى </w:t>
      </w:r>
      <w:r w:rsidRPr="007C12DB">
        <w:rPr>
          <w:rStyle w:val="libFootnotenumChar"/>
          <w:rtl/>
        </w:rPr>
        <w:t>(1)</w:t>
      </w:r>
      <w:r>
        <w:rPr>
          <w:rtl/>
          <w:lang w:bidi="fa-IR"/>
        </w:rPr>
        <w:t xml:space="preserve"> </w:t>
      </w:r>
      <w:r w:rsidRPr="005D642E">
        <w:rPr>
          <w:rtl/>
          <w:lang w:bidi="fa-IR"/>
        </w:rPr>
        <w:t xml:space="preserve">فِي الْغُسْلِ </w:t>
      </w:r>
      <w:r w:rsidRPr="007C12DB">
        <w:rPr>
          <w:rStyle w:val="libFootnotenumChar"/>
          <w:rtl/>
        </w:rPr>
        <w:t>(2)</w:t>
      </w:r>
      <w:r w:rsidRPr="005D642E">
        <w:rPr>
          <w:rtl/>
          <w:lang w:bidi="fa-IR"/>
        </w:rPr>
        <w:t xml:space="preserve"> ‌</w:t>
      </w:r>
      <w:bookmarkEnd w:id="222"/>
      <w:bookmarkEnd w:id="223"/>
      <w:bookmarkEnd w:id="224"/>
    </w:p>
    <w:p w:rsidR="00E3253D" w:rsidRPr="005D642E" w:rsidRDefault="00E3253D" w:rsidP="00E3253D">
      <w:pPr>
        <w:pStyle w:val="libNormal"/>
        <w:rPr>
          <w:rtl/>
          <w:lang w:bidi="fa-IR"/>
        </w:rPr>
      </w:pPr>
      <w:r w:rsidRPr="00150EB8">
        <w:rPr>
          <w:rtl/>
        </w:rPr>
        <w:t>4212</w:t>
      </w:r>
      <w:r w:rsidRPr="00246318">
        <w:rPr>
          <w:rStyle w:val="libBold2Char"/>
          <w:rtl/>
        </w:rPr>
        <w:t xml:space="preserve"> / 1.</w:t>
      </w:r>
      <w:r w:rsidRPr="005D642E">
        <w:rPr>
          <w:rtl/>
          <w:lang w:bidi="fa-IR"/>
        </w:rPr>
        <w:t xml:space="preserve"> مُحَمَّدُ بْنُ يَحْيى ، عَنْ أَحْمَدَ بْنِ مُحَمَّدٍ ، عَنِ ابْنِ مَحْبُوبٍ ، عَنِ الْفَضْلِ بْنِ يُونُسَ ، قَالَ :</w:t>
      </w:r>
    </w:p>
    <w:p w:rsidR="00E3253D" w:rsidRPr="005D642E" w:rsidRDefault="00E3253D" w:rsidP="00E3253D">
      <w:pPr>
        <w:pStyle w:val="libNormal"/>
        <w:rPr>
          <w:rtl/>
          <w:lang w:bidi="fa-IR"/>
        </w:rPr>
      </w:pPr>
      <w:r w:rsidRPr="005D642E">
        <w:rPr>
          <w:rtl/>
          <w:lang w:bidi="fa-IR"/>
        </w:rPr>
        <w:t xml:space="preserve">سَأَلْتُ أَبَا الْحَسَنِ الْأَوَّلَ </w:t>
      </w:r>
      <w:r w:rsidRPr="00AC51C5">
        <w:rPr>
          <w:rStyle w:val="libAlaemChar"/>
          <w:rtl/>
        </w:rPr>
        <w:t>عليه‌السلام</w:t>
      </w:r>
      <w:r w:rsidRPr="005D642E">
        <w:rPr>
          <w:rtl/>
          <w:lang w:bidi="fa-IR"/>
        </w:rPr>
        <w:t xml:space="preserve"> ، قُلْتُ : الْمَرْأَةُ تَرَى الطُّهْرَ قَبْلَ غُرُوبِ الشَّمْسِ كَيْفَ تَصْنَعُ بِالصَّلَاةِ</w:t>
      </w:r>
      <w:r>
        <w:rPr>
          <w:rtl/>
          <w:lang w:bidi="fa-IR"/>
        </w:rPr>
        <w:t>؟</w:t>
      </w:r>
    </w:p>
    <w:p w:rsidR="00E3253D" w:rsidRPr="005D642E" w:rsidRDefault="00E3253D" w:rsidP="00E3253D">
      <w:pPr>
        <w:pStyle w:val="libNormal"/>
        <w:rPr>
          <w:rtl/>
          <w:lang w:bidi="fa-IR"/>
        </w:rPr>
      </w:pPr>
      <w:r w:rsidRPr="005D642E">
        <w:rPr>
          <w:rtl/>
          <w:lang w:bidi="fa-IR"/>
        </w:rPr>
        <w:t xml:space="preserve">قَالَ : « إِذَا رَأَتِ </w:t>
      </w:r>
      <w:r w:rsidRPr="007C12DB">
        <w:rPr>
          <w:rStyle w:val="libFootnotenumChar"/>
          <w:rtl/>
        </w:rPr>
        <w:t>(3)</w:t>
      </w:r>
      <w:r w:rsidRPr="005D642E">
        <w:rPr>
          <w:rtl/>
          <w:lang w:bidi="fa-IR"/>
        </w:rPr>
        <w:t xml:space="preserve"> الطُّهْرَ بَعْدَ مَا يَمْضِي </w:t>
      </w:r>
      <w:r w:rsidRPr="007C12DB">
        <w:rPr>
          <w:rStyle w:val="libFootnotenumChar"/>
          <w:rtl/>
        </w:rPr>
        <w:t>(4)</w:t>
      </w:r>
      <w:r w:rsidRPr="005D642E">
        <w:rPr>
          <w:rtl/>
          <w:lang w:bidi="fa-IR"/>
        </w:rPr>
        <w:t xml:space="preserve"> مِنْ زَوَالِ </w:t>
      </w:r>
      <w:r w:rsidRPr="007C12DB">
        <w:rPr>
          <w:rStyle w:val="libFootnotenumChar"/>
          <w:rtl/>
        </w:rPr>
        <w:t>(5)</w:t>
      </w:r>
      <w:r w:rsidRPr="005D642E">
        <w:rPr>
          <w:rtl/>
          <w:lang w:bidi="fa-IR"/>
        </w:rPr>
        <w:t xml:space="preserve"> الشَّمْسِ </w:t>
      </w:r>
      <w:r w:rsidRPr="007C12DB">
        <w:rPr>
          <w:rStyle w:val="libFootnotenumChar"/>
          <w:rtl/>
        </w:rPr>
        <w:t>(6)</w:t>
      </w:r>
      <w:r w:rsidRPr="005D642E">
        <w:rPr>
          <w:rtl/>
          <w:lang w:bidi="fa-IR"/>
        </w:rPr>
        <w:t xml:space="preserve"> أَرْبَعَةُ أ</w:t>
      </w:r>
      <w:r w:rsidR="004F3553">
        <w:rPr>
          <w:rtl/>
          <w:lang w:bidi="fa-IR"/>
        </w:rPr>
        <w:t>َقْدَامٍ ، فَلَا تُصَلِّي إِل</w:t>
      </w:r>
      <w:r w:rsidR="004F3553">
        <w:rPr>
          <w:rFonts w:hint="cs"/>
          <w:rtl/>
          <w:lang w:bidi="fa-IR"/>
        </w:rPr>
        <w:t>َّ</w:t>
      </w:r>
      <w:r w:rsidR="004F3553">
        <w:rPr>
          <w:rtl/>
          <w:lang w:bidi="fa-IR"/>
        </w:rPr>
        <w:t>ا</w:t>
      </w:r>
      <w:r w:rsidRPr="005D642E">
        <w:rPr>
          <w:rtl/>
          <w:lang w:bidi="fa-IR"/>
        </w:rPr>
        <w:t xml:space="preserve"> الْعَصْرَ ؛ لِأَنَّ وَقْتَ الظُّهْرِ </w:t>
      </w:r>
      <w:r w:rsidRPr="007C12DB">
        <w:rPr>
          <w:rStyle w:val="libFootnotenumChar"/>
          <w:rtl/>
        </w:rPr>
        <w:t>(7)</w:t>
      </w:r>
      <w:r w:rsidRPr="005D642E">
        <w:rPr>
          <w:rtl/>
          <w:lang w:bidi="fa-IR"/>
        </w:rPr>
        <w:t xml:space="preserve"> دَخَلَ عَلَيْهَا وَهِيَ فِي الدَّمِ ، وَخَرَجَ عَنْهَا الْوَقْتُ وَهِيَ فِي الدَّمِ ، فَلَمْ يَجِبْ عَلَيْهَا أَنْ تُصَلِّيَ الظُّهْرَ ، وَمَا طَرَحَ اللهُ عَنْهَا مِنَ الصَّلَاةِ وَهِيَ فِي الدَّمِ أَكْثَرُ »</w:t>
      </w:r>
      <w:r>
        <w:rPr>
          <w:rtl/>
          <w:lang w:bidi="fa-IR"/>
        </w:rPr>
        <w:t>.</w:t>
      </w:r>
    </w:p>
    <w:p w:rsidR="00E3253D" w:rsidRPr="005D642E" w:rsidRDefault="00E3253D" w:rsidP="00E3253D">
      <w:pPr>
        <w:pStyle w:val="libNormal"/>
        <w:rPr>
          <w:rtl/>
          <w:lang w:bidi="fa-IR"/>
        </w:rPr>
      </w:pPr>
      <w:r w:rsidRPr="005D642E">
        <w:rPr>
          <w:rtl/>
          <w:lang w:bidi="fa-IR"/>
        </w:rPr>
        <w:t xml:space="preserve">قَالَ : « وَإِذَا </w:t>
      </w:r>
      <w:r w:rsidRPr="007C12DB">
        <w:rPr>
          <w:rStyle w:val="libFootnotenumChar"/>
          <w:rtl/>
        </w:rPr>
        <w:t>(8)</w:t>
      </w:r>
      <w:r w:rsidRPr="005D642E">
        <w:rPr>
          <w:rtl/>
          <w:lang w:bidi="fa-IR"/>
        </w:rPr>
        <w:t xml:space="preserve"> رَأَتِ الْمَرْأَةُ الدَّمَ </w:t>
      </w:r>
      <w:r w:rsidRPr="007C12DB">
        <w:rPr>
          <w:rStyle w:val="libFootnotenumChar"/>
          <w:rtl/>
        </w:rPr>
        <w:t>(9)</w:t>
      </w:r>
      <w:r w:rsidRPr="005D642E">
        <w:rPr>
          <w:rtl/>
          <w:lang w:bidi="fa-IR"/>
        </w:rPr>
        <w:t xml:space="preserve"> بَعْدَ مَا يَمْضِي مِنْ زَوَالِ الشَّمْسِ أَرْبَعَةُ أَقْدَامٍ ، فَلْتُمْسِكْ عَنِ الصَّلَاةِ ، فَإِذَا طَهُرَتْ مِنَ الدَّمِ ، فَلْتَقْضِ صَلَاةَ </w:t>
      </w:r>
      <w:r w:rsidRPr="007C12DB">
        <w:rPr>
          <w:rStyle w:val="libFootnotenumChar"/>
          <w:rtl/>
        </w:rPr>
        <w:t>(10)</w:t>
      </w:r>
      <w:r w:rsidRPr="005D642E">
        <w:rPr>
          <w:rtl/>
          <w:lang w:bidi="fa-IR"/>
        </w:rPr>
        <w:t xml:space="preserve"> الظُّهْرِ ؛ لِأَنَّ وَقْتَ الظُّهْرِ دَخَلَ عَلَيْهَا وَهِيَ طَاهِرٌ </w:t>
      </w:r>
      <w:r w:rsidRPr="007C12DB">
        <w:rPr>
          <w:rStyle w:val="libFootnotenumChar"/>
          <w:rtl/>
        </w:rPr>
        <w:t>(11)</w:t>
      </w:r>
      <w:r w:rsidRPr="005D642E">
        <w:rPr>
          <w:rtl/>
          <w:lang w:bidi="fa-IR"/>
        </w:rPr>
        <w:t xml:space="preserve"> ، وَخَرَجَ عَنْهَا وَقْتُ الظُّهْرِ وَهِيَ طَاهِرٌ </w:t>
      </w:r>
      <w:r w:rsidRPr="007C12DB">
        <w:rPr>
          <w:rStyle w:val="libFootnotenumChar"/>
          <w:rtl/>
        </w:rPr>
        <w:t>(12)</w:t>
      </w:r>
      <w:r w:rsidRPr="005D642E">
        <w:rPr>
          <w:rtl/>
          <w:lang w:bidi="fa-IR"/>
        </w:rPr>
        <w:t xml:space="preserve"> ، فَضَيَّعَتْ صَلَاةَ الظُّهْرِ ، فَوَجَبَ عَلَيْهَا قَضَاؤُهَا »</w:t>
      </w:r>
      <w:r>
        <w:rPr>
          <w:rtl/>
          <w:lang w:bidi="fa-IR"/>
        </w:rPr>
        <w:t>.</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41E0C" w:rsidTr="00F41E0C">
        <w:tc>
          <w:tcPr>
            <w:tcW w:w="4006" w:type="dxa"/>
          </w:tcPr>
          <w:p w:rsidR="00F41E0C" w:rsidRDefault="00F41E0C" w:rsidP="00E3253D">
            <w:pPr>
              <w:pStyle w:val="libFootnote0"/>
              <w:rPr>
                <w:rStyle w:val="libFootnote0Char"/>
                <w:rtl/>
              </w:rPr>
            </w:pPr>
            <w:r w:rsidRPr="0042621E">
              <w:rPr>
                <w:rStyle w:val="libFootnote0Char"/>
                <w:rtl/>
              </w:rPr>
              <w:t>(1).</w:t>
            </w:r>
            <w:r>
              <w:rPr>
                <w:rtl/>
              </w:rPr>
              <w:t xml:space="preserve"> </w:t>
            </w:r>
            <w:r w:rsidRPr="005D642E">
              <w:rPr>
                <w:rtl/>
              </w:rPr>
              <w:t>في « بث » : « فتوانى »</w:t>
            </w:r>
            <w:r>
              <w:rPr>
                <w:rtl/>
              </w:rPr>
              <w:t>.</w:t>
            </w:r>
          </w:p>
        </w:tc>
        <w:tc>
          <w:tcPr>
            <w:tcW w:w="4006" w:type="dxa"/>
          </w:tcPr>
          <w:p w:rsidR="00F41E0C" w:rsidRDefault="00F41E0C" w:rsidP="00E3253D">
            <w:pPr>
              <w:pStyle w:val="libFootnote0"/>
              <w:rPr>
                <w:rStyle w:val="libFootnote0Char"/>
                <w:rtl/>
              </w:rPr>
            </w:pPr>
            <w:r w:rsidRPr="0042621E">
              <w:rPr>
                <w:rStyle w:val="libFootnote0Char"/>
                <w:rtl/>
              </w:rPr>
              <w:t>(2).</w:t>
            </w:r>
            <w:r w:rsidRPr="005D642E">
              <w:rPr>
                <w:rtl/>
              </w:rPr>
              <w:t xml:space="preserve"> في « جن » : « بالغسل »</w:t>
            </w:r>
            <w:r>
              <w:rPr>
                <w:rtl/>
              </w:rPr>
              <w:t>.</w:t>
            </w:r>
          </w:p>
        </w:tc>
      </w:tr>
      <w:tr w:rsidR="00F41E0C" w:rsidTr="00F41E0C">
        <w:tc>
          <w:tcPr>
            <w:tcW w:w="4006" w:type="dxa"/>
          </w:tcPr>
          <w:p w:rsidR="00F41E0C" w:rsidRDefault="006F68CB" w:rsidP="00E3253D">
            <w:pPr>
              <w:pStyle w:val="libFootnote0"/>
              <w:rPr>
                <w:rStyle w:val="libFootnote0Char"/>
                <w:rtl/>
              </w:rPr>
            </w:pPr>
            <w:r w:rsidRPr="0042621E">
              <w:rPr>
                <w:rStyle w:val="libFootnote0Char"/>
                <w:rtl/>
              </w:rPr>
              <w:t>(3).</w:t>
            </w:r>
            <w:r w:rsidRPr="005D642E">
              <w:rPr>
                <w:rtl/>
              </w:rPr>
              <w:t xml:space="preserve"> في « بخ ، جس » : « إذا أرادت »</w:t>
            </w:r>
            <w:r>
              <w:rPr>
                <w:rtl/>
              </w:rPr>
              <w:t>.</w:t>
            </w:r>
          </w:p>
        </w:tc>
        <w:tc>
          <w:tcPr>
            <w:tcW w:w="4006" w:type="dxa"/>
          </w:tcPr>
          <w:p w:rsidR="00F41E0C" w:rsidRDefault="006F68CB" w:rsidP="00E3253D">
            <w:pPr>
              <w:pStyle w:val="libFootnote0"/>
              <w:rPr>
                <w:rStyle w:val="libFootnote0Char"/>
                <w:rtl/>
              </w:rPr>
            </w:pPr>
            <w:r w:rsidRPr="0042621E">
              <w:rPr>
                <w:rStyle w:val="libFootnote0Char"/>
                <w:rtl/>
              </w:rPr>
              <w:t>(4).</w:t>
            </w:r>
            <w:r w:rsidRPr="005D642E">
              <w:rPr>
                <w:rtl/>
              </w:rPr>
              <w:t xml:space="preserve"> في « بح » : « ما تمضي »</w:t>
            </w:r>
            <w:r>
              <w:rPr>
                <w:rtl/>
              </w:rPr>
              <w:t>.</w:t>
            </w:r>
          </w:p>
        </w:tc>
      </w:tr>
      <w:tr w:rsidR="00F41E0C" w:rsidTr="00F41E0C">
        <w:tc>
          <w:tcPr>
            <w:tcW w:w="4006" w:type="dxa"/>
          </w:tcPr>
          <w:p w:rsidR="00F41E0C" w:rsidRDefault="00192A34" w:rsidP="00E3253D">
            <w:pPr>
              <w:pStyle w:val="libFootnote0"/>
              <w:rPr>
                <w:rStyle w:val="libFootnote0Char"/>
                <w:rtl/>
              </w:rPr>
            </w:pPr>
            <w:r w:rsidRPr="0042621E">
              <w:rPr>
                <w:rStyle w:val="libFootnote0Char"/>
                <w:rtl/>
              </w:rPr>
              <w:t>(5).</w:t>
            </w:r>
            <w:r w:rsidRPr="005D642E">
              <w:rPr>
                <w:rtl/>
              </w:rPr>
              <w:t xml:space="preserve"> في « جس » : « من الزوال »</w:t>
            </w:r>
            <w:r>
              <w:rPr>
                <w:rtl/>
              </w:rPr>
              <w:t>.</w:t>
            </w:r>
          </w:p>
        </w:tc>
        <w:tc>
          <w:tcPr>
            <w:tcW w:w="4006" w:type="dxa"/>
          </w:tcPr>
          <w:p w:rsidR="00F41E0C" w:rsidRDefault="00192A34" w:rsidP="00E3253D">
            <w:pPr>
              <w:pStyle w:val="libFootnote0"/>
              <w:rPr>
                <w:rStyle w:val="libFootnote0Char"/>
                <w:rtl/>
              </w:rPr>
            </w:pPr>
            <w:r w:rsidRPr="0042621E">
              <w:rPr>
                <w:rStyle w:val="libFootnote0Char"/>
                <w:rtl/>
              </w:rPr>
              <w:t>(6).</w:t>
            </w:r>
            <w:r w:rsidRPr="005D642E">
              <w:rPr>
                <w:rtl/>
              </w:rPr>
              <w:t xml:space="preserve"> في « جس ، جن » :</w:t>
            </w:r>
            <w:r>
              <w:rPr>
                <w:rtl/>
              </w:rPr>
              <w:t xml:space="preserve"> - </w:t>
            </w:r>
            <w:r w:rsidRPr="005D642E">
              <w:rPr>
                <w:rtl/>
              </w:rPr>
              <w:t>« الشمس »</w:t>
            </w:r>
            <w:r>
              <w:rPr>
                <w:rtl/>
              </w:rPr>
              <w:t>.</w:t>
            </w:r>
          </w:p>
        </w:tc>
      </w:tr>
      <w:tr w:rsidR="00F41E0C" w:rsidTr="00F41E0C">
        <w:tc>
          <w:tcPr>
            <w:tcW w:w="4006" w:type="dxa"/>
          </w:tcPr>
          <w:p w:rsidR="00F41E0C" w:rsidRDefault="00192A34" w:rsidP="00E3253D">
            <w:pPr>
              <w:pStyle w:val="libFootnote0"/>
              <w:rPr>
                <w:rStyle w:val="libFootnote0Char"/>
                <w:rtl/>
              </w:rPr>
            </w:pPr>
            <w:r w:rsidRPr="0042621E">
              <w:rPr>
                <w:rStyle w:val="libFootnote0Char"/>
                <w:rtl/>
              </w:rPr>
              <w:t>(7).</w:t>
            </w:r>
            <w:r w:rsidRPr="005D642E">
              <w:rPr>
                <w:rtl/>
              </w:rPr>
              <w:t xml:space="preserve"> في « ظ » : + « قد »</w:t>
            </w:r>
            <w:r>
              <w:rPr>
                <w:rtl/>
              </w:rPr>
              <w:t>.</w:t>
            </w:r>
          </w:p>
        </w:tc>
        <w:tc>
          <w:tcPr>
            <w:tcW w:w="4006" w:type="dxa"/>
          </w:tcPr>
          <w:p w:rsidR="00F41E0C" w:rsidRDefault="00192A34" w:rsidP="00E3253D">
            <w:pPr>
              <w:pStyle w:val="libFootnote0"/>
              <w:rPr>
                <w:rStyle w:val="libFootnote0Char"/>
                <w:rtl/>
              </w:rPr>
            </w:pPr>
            <w:r w:rsidRPr="0042621E">
              <w:rPr>
                <w:rStyle w:val="libFootnote0Char"/>
                <w:rtl/>
              </w:rPr>
              <w:t>(8).</w:t>
            </w:r>
            <w:r w:rsidRPr="005D642E">
              <w:rPr>
                <w:rtl/>
              </w:rPr>
              <w:t xml:space="preserve"> في « بث ، بخ » : « فإذا »</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بف » </w:t>
      </w:r>
      <w:r w:rsidR="00E3253D" w:rsidRPr="003B3913">
        <w:rPr>
          <w:rStyle w:val="libFootnoteBoldChar"/>
          <w:rtl/>
        </w:rPr>
        <w:t>وقرب الإسناد</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الدم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 ح 1199 </w:t>
      </w:r>
      <w:r w:rsidR="00E3253D" w:rsidRPr="00E678B5">
        <w:rPr>
          <w:rStyle w:val="libFootnoteBoldChar"/>
          <w:rtl/>
        </w:rPr>
        <w:t>والاستبصار</w:t>
      </w:r>
      <w:r w:rsidR="00E3253D" w:rsidRPr="005D642E">
        <w:rPr>
          <w:rtl/>
        </w:rPr>
        <w:t xml:space="preserve"> ، ح 485 :</w:t>
      </w:r>
      <w:r w:rsidR="00E3253D">
        <w:rPr>
          <w:rtl/>
        </w:rPr>
        <w:t xml:space="preserve"> </w:t>
      </w:r>
      <w:r w:rsidR="007642BC">
        <w:rPr>
          <w:rtl/>
        </w:rPr>
        <w:t>-</w:t>
      </w:r>
      <w:r w:rsidR="00E3253D">
        <w:rPr>
          <w:rtl/>
        </w:rPr>
        <w:t xml:space="preserve"> </w:t>
      </w:r>
      <w:r w:rsidR="00E3253D" w:rsidRPr="005D642E">
        <w:rPr>
          <w:rtl/>
        </w:rPr>
        <w:t>« صلاة »</w:t>
      </w:r>
      <w:r w:rsidR="00E3253D">
        <w:rPr>
          <w:rtl/>
        </w:rPr>
        <w:t>.</w:t>
      </w:r>
    </w:p>
    <w:tbl>
      <w:tblPr>
        <w:tblStyle w:val="TableGrid"/>
        <w:bidiVisual/>
        <w:tblW w:w="0" w:type="auto"/>
        <w:tblLook w:val="04A0" w:firstRow="1" w:lastRow="0" w:firstColumn="1" w:lastColumn="0" w:noHBand="0" w:noVBand="1"/>
      </w:tblPr>
      <w:tblGrid>
        <w:gridCol w:w="4006"/>
        <w:gridCol w:w="4006"/>
      </w:tblGrid>
      <w:tr w:rsidR="00CC3489" w:rsidTr="00CC3489">
        <w:tc>
          <w:tcPr>
            <w:tcW w:w="4006" w:type="dxa"/>
          </w:tcPr>
          <w:p w:rsidR="00CC3489" w:rsidRDefault="00CC3489" w:rsidP="00E3253D">
            <w:pPr>
              <w:pStyle w:val="libFootnote0"/>
              <w:rPr>
                <w:rStyle w:val="libFootnote0Char"/>
                <w:rtl/>
              </w:rPr>
            </w:pPr>
            <w:r w:rsidRPr="0042621E">
              <w:rPr>
                <w:rStyle w:val="libFootnote0Char"/>
                <w:rtl/>
              </w:rPr>
              <w:t>(11).</w:t>
            </w:r>
            <w:r w:rsidRPr="005D642E">
              <w:rPr>
                <w:rtl/>
              </w:rPr>
              <w:t xml:space="preserve"> في الاستبصار ، ح 485 : « طاهرة »</w:t>
            </w:r>
            <w:r>
              <w:rPr>
                <w:rtl/>
              </w:rPr>
              <w:t>.</w:t>
            </w:r>
          </w:p>
        </w:tc>
        <w:tc>
          <w:tcPr>
            <w:tcW w:w="4006" w:type="dxa"/>
          </w:tcPr>
          <w:p w:rsidR="00CC3489" w:rsidRDefault="00CC3489" w:rsidP="00E3253D">
            <w:pPr>
              <w:pStyle w:val="libFootnote0"/>
              <w:rPr>
                <w:rStyle w:val="libFootnote0Char"/>
                <w:rtl/>
              </w:rPr>
            </w:pPr>
            <w:r w:rsidRPr="0042621E">
              <w:rPr>
                <w:rStyle w:val="libFootnote0Char"/>
                <w:rtl/>
              </w:rPr>
              <w:t>(12).</w:t>
            </w:r>
            <w:r w:rsidRPr="005D642E">
              <w:rPr>
                <w:rtl/>
              </w:rPr>
              <w:t xml:space="preserve"> في الاستبصار ، ح 485 : « طاهرة »</w:t>
            </w:r>
            <w:r>
              <w:rPr>
                <w:rtl/>
              </w:rPr>
              <w:t>.</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الاستبصار</w:t>
      </w:r>
      <w:r w:rsidR="00E3253D" w:rsidRPr="005D642E">
        <w:rPr>
          <w:rtl/>
        </w:rPr>
        <w:t xml:space="preserve"> ، ج 1 ، ص 142 ، ح 485 ، بسنده عن الكليني ، </w:t>
      </w:r>
      <w:r w:rsidR="00E3253D" w:rsidRPr="002F4D34">
        <w:rPr>
          <w:rStyle w:val="libFootnoteBoldChar"/>
          <w:rtl/>
        </w:rPr>
        <w:t>التهذيب</w:t>
      </w:r>
      <w:r w:rsidR="00E3253D" w:rsidRPr="005D642E">
        <w:rPr>
          <w:rtl/>
        </w:rPr>
        <w:t xml:space="preserve"> ، ج 1 ، ص 389 ، ح 1199 ، معلّقاً عن محمّد </w:t>
      </w:r>
      <w:r w:rsidR="00C5656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150EB8">
        <w:rPr>
          <w:rtl/>
        </w:rPr>
        <w:lastRenderedPageBreak/>
        <w:t>4213</w:t>
      </w:r>
      <w:r w:rsidRPr="00246318">
        <w:rPr>
          <w:rStyle w:val="libBold2Char"/>
          <w:rtl/>
        </w:rPr>
        <w:t xml:space="preserve"> / 2.</w:t>
      </w:r>
      <w:r w:rsidRPr="005D642E">
        <w:rPr>
          <w:rtl/>
          <w:lang w:bidi="fa-IR"/>
        </w:rPr>
        <w:t xml:space="preserve"> مُحَمَّدُ بْنُ يَحْيى ، عَنْ أَحْمَدَ بْنِ مُحَمَّدٍ ، عَنِ الْحَجَّالِ ، عَنْ ثَعْلَبَةَ ، عَنْ مَعْمَرِ بْنِ عُمَرَ </w:t>
      </w:r>
      <w:r w:rsidRPr="007C12DB">
        <w:rPr>
          <w:rStyle w:val="libFootnotenumChar"/>
          <w:rtl/>
        </w:rPr>
        <w:t>(1)</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عَنِ الْحَائِضِ تَطْهُرُ عِنْدَ الْعَصْرِ : تُصَلِّي الْأُولى</w:t>
      </w:r>
      <w:r>
        <w:rPr>
          <w:rtl/>
          <w:lang w:bidi="fa-IR"/>
        </w:rPr>
        <w:t>؟</w:t>
      </w:r>
    </w:p>
    <w:p w:rsidR="00E3253D" w:rsidRPr="005D642E" w:rsidRDefault="00E3253D" w:rsidP="00E3253D">
      <w:pPr>
        <w:pStyle w:val="libNormal"/>
        <w:rPr>
          <w:rtl/>
          <w:lang w:bidi="fa-IR"/>
        </w:rPr>
      </w:pPr>
      <w:r w:rsidRPr="005D642E">
        <w:rPr>
          <w:rtl/>
          <w:lang w:bidi="fa-IR"/>
        </w:rPr>
        <w:t xml:space="preserve">قَالَ : « لَا ، إِنَّمَا تُصَلِّي الصَّلَاةَ الَّتِي تَطْهُرُ عِنْدَهَا </w:t>
      </w:r>
      <w:r w:rsidRPr="007C12DB">
        <w:rPr>
          <w:rStyle w:val="libFootnotenumChar"/>
          <w:rtl/>
        </w:rPr>
        <w:t>(2)</w:t>
      </w:r>
      <w:r w:rsidRPr="005D642E">
        <w:rPr>
          <w:rtl/>
          <w:lang w:bidi="fa-IR"/>
        </w:rPr>
        <w:t xml:space="preserve"> »</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150EB8">
        <w:rPr>
          <w:rtl/>
        </w:rPr>
        <w:t>4214</w:t>
      </w:r>
      <w:r w:rsidRPr="00246318">
        <w:rPr>
          <w:rStyle w:val="libBold2Char"/>
          <w:rtl/>
        </w:rPr>
        <w:t xml:space="preserve"> / 3.</w:t>
      </w:r>
      <w:r w:rsidRPr="005D642E">
        <w:rPr>
          <w:rtl/>
          <w:lang w:bidi="fa-IR"/>
        </w:rPr>
        <w:t xml:space="preserve"> عَلِيُّ بْنُ إِبْرَاهِيمَ ، عَنْ أَبِيهِ ، عَنِ ابْنِ مَحْبُوبٍ ، عَنْ عَلِيِّ بْنِ رِئَابٍ </w:t>
      </w:r>
      <w:r w:rsidRPr="007C12DB">
        <w:rPr>
          <w:rStyle w:val="libFootnotenumChar"/>
          <w:rtl/>
        </w:rPr>
        <w:t>(4)</w:t>
      </w:r>
      <w:r w:rsidRPr="005D642E">
        <w:rPr>
          <w:rtl/>
          <w:lang w:bidi="fa-IR"/>
        </w:rPr>
        <w:t xml:space="preserve"> ، عَنْ أَبِي عُبَيْدَةَ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w:t>
      </w:r>
      <w:r w:rsidRPr="007C12DB">
        <w:rPr>
          <w:rStyle w:val="libFootnotenumChar"/>
          <w:rtl/>
        </w:rPr>
        <w:t>(5)</w:t>
      </w:r>
      <w:r w:rsidRPr="005D642E">
        <w:rPr>
          <w:rtl/>
          <w:lang w:bidi="fa-IR"/>
        </w:rPr>
        <w:t xml:space="preserve"> ، قَالَ : « إِذَا رَأَتِ الْمَرْأَةُ الطُّهْرَ وَقَدْ دَخَلَ</w:t>
      </w:r>
      <w:r w:rsidR="005225E6">
        <w:rPr>
          <w:rFonts w:hint="cs"/>
          <w:rtl/>
          <w:lang w:bidi="fa-IR"/>
        </w:rPr>
        <w:t>................</w:t>
      </w:r>
      <w:r w:rsidR="005225E6">
        <w:rPr>
          <w:rFonts w:hint="cs"/>
          <w:rtl/>
          <w:lang w:bidi="fa-IR"/>
        </w:rPr>
        <w:tab/>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3C1822" w:rsidP="00E3253D">
      <w:pPr>
        <w:pStyle w:val="libFootnote0"/>
        <w:rPr>
          <w:rtl/>
          <w:lang w:bidi="fa-IR"/>
        </w:rPr>
      </w:pPr>
      <w:r>
        <w:rPr>
          <w:rFonts w:hint="cs"/>
          <w:rtl/>
        </w:rPr>
        <w:t xml:space="preserve">= </w:t>
      </w:r>
      <w:r w:rsidR="00E3253D" w:rsidRPr="005D642E">
        <w:rPr>
          <w:rtl/>
        </w:rPr>
        <w:t>بن يحيى</w:t>
      </w:r>
      <w:r w:rsidR="00E3253D" w:rsidRPr="002F4D34">
        <w:rPr>
          <w:rStyle w:val="libFootnoteBoldChar"/>
          <w:rtl/>
        </w:rPr>
        <w:t>. قرب الإسناد</w:t>
      </w:r>
      <w:r w:rsidR="00E3253D" w:rsidRPr="005D642E">
        <w:rPr>
          <w:rtl/>
        </w:rPr>
        <w:t xml:space="preserve"> ، ص 313 ، ح 1217 ، عن أحمد بن محمّد ، مع اختلاف يسير. راجع : </w:t>
      </w:r>
      <w:r w:rsidR="00E3253D" w:rsidRPr="002F4D34">
        <w:rPr>
          <w:rStyle w:val="libFootnoteBoldChar"/>
          <w:rtl/>
        </w:rPr>
        <w:t>التهذيب</w:t>
      </w:r>
      <w:r w:rsidR="00E3253D" w:rsidRPr="005D642E">
        <w:rPr>
          <w:rtl/>
        </w:rPr>
        <w:t xml:space="preserve"> ، ج 1 ، ص 389 ، ح 1200 ؛ وص 390 ، ح 1203 ؛ </w:t>
      </w:r>
      <w:r w:rsidR="00E3253D" w:rsidRPr="00E678B5">
        <w:rPr>
          <w:rStyle w:val="libFootnoteBoldChar"/>
          <w:rtl/>
        </w:rPr>
        <w:t>والاستبصار</w:t>
      </w:r>
      <w:r w:rsidR="00E3253D" w:rsidRPr="005D642E">
        <w:rPr>
          <w:rtl/>
        </w:rPr>
        <w:t xml:space="preserve"> ، ج 1 ، ص 142 ، ح 486 ؛ وص 143 ، ح 487 </w:t>
      </w:r>
      <w:r w:rsidR="00E3253D">
        <w:rPr>
          <w:rtl/>
        </w:rPr>
        <w:t>و 4</w:t>
      </w:r>
      <w:r w:rsidR="00E3253D" w:rsidRPr="005D642E">
        <w:rPr>
          <w:rtl/>
        </w:rPr>
        <w:t xml:space="preserve">89 ؛ </w:t>
      </w:r>
      <w:r w:rsidR="000D749A" w:rsidRPr="000D749A">
        <w:rPr>
          <w:rStyle w:val="libFootnoteBoldChar"/>
          <w:rtl/>
        </w:rPr>
        <w:t>والجعفريّات</w:t>
      </w:r>
      <w:r w:rsidR="00E3253D" w:rsidRPr="005D642E">
        <w:rPr>
          <w:rtl/>
        </w:rPr>
        <w:t xml:space="preserve"> ، ص 24 </w:t>
      </w:r>
      <w:r w:rsidR="00C81377">
        <w:rPr>
          <w:rFonts w:hint="cs"/>
          <w:rtl/>
        </w:rPr>
        <w:t>.</w:t>
      </w:r>
      <w:r w:rsidR="00E3253D" w:rsidRPr="002F4D34">
        <w:rPr>
          <w:rStyle w:val="libFootnoteBoldChar"/>
          <w:rtl/>
        </w:rPr>
        <w:t>الوافي</w:t>
      </w:r>
      <w:r w:rsidR="00E3253D" w:rsidRPr="005D642E">
        <w:rPr>
          <w:rtl/>
        </w:rPr>
        <w:t xml:space="preserve"> ، ج 6 ، ص 498 ، ح 4783 ؛ </w:t>
      </w:r>
      <w:r w:rsidR="00E3253D" w:rsidRPr="002F4D34">
        <w:rPr>
          <w:rStyle w:val="libFootnoteBoldChar"/>
          <w:rtl/>
        </w:rPr>
        <w:t>الوسائل</w:t>
      </w:r>
      <w:r w:rsidR="00E3253D" w:rsidRPr="005D642E">
        <w:rPr>
          <w:rtl/>
        </w:rPr>
        <w:t xml:space="preserve"> ، ج 2 ، ص 359 ، ح 2360 ، من قوله : « قال : وإذا رأت المرأة الدم » ؛ </w:t>
      </w:r>
      <w:r w:rsidR="00E3253D" w:rsidRPr="002F4D34">
        <w:rPr>
          <w:rStyle w:val="libFootnoteBoldChar"/>
          <w:rtl/>
        </w:rPr>
        <w:t>فيه</w:t>
      </w:r>
      <w:r w:rsidR="00E3253D" w:rsidRPr="005D642E">
        <w:rPr>
          <w:rtl/>
        </w:rPr>
        <w:t xml:space="preserve"> ، ص 361 ، ح 2367 ، إلى قوله : « وهي في الدم أكثر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النسخ </w:t>
      </w:r>
      <w:r w:rsidR="000D749A" w:rsidRPr="000D749A">
        <w:rPr>
          <w:rStyle w:val="libFootnoteBoldChar"/>
          <w:rtl/>
        </w:rPr>
        <w:t>والوافي</w:t>
      </w:r>
      <w:r w:rsidR="00E3253D" w:rsidRPr="005D642E">
        <w:rPr>
          <w:rtl/>
        </w:rPr>
        <w:t xml:space="preserve"> والوسائل وظاهر مرآة العقول وحاشية المطبوع. وفي المطبوع </w:t>
      </w:r>
      <w:r w:rsidR="00E3253D" w:rsidRPr="00E678B5">
        <w:rPr>
          <w:rStyle w:val="libFootnoteBoldChar"/>
          <w:rtl/>
        </w:rPr>
        <w:t>والاستبصار</w:t>
      </w:r>
      <w:r w:rsidR="00E3253D" w:rsidRPr="005D642E">
        <w:rPr>
          <w:rtl/>
        </w:rPr>
        <w:t xml:space="preserve"> : « معمر بن يحيى »</w:t>
      </w:r>
      <w:r w:rsidR="00E3253D">
        <w:rPr>
          <w:rtl/>
        </w:rPr>
        <w:t>.</w:t>
      </w:r>
    </w:p>
    <w:p w:rsidR="00E3253D" w:rsidRPr="005D642E" w:rsidRDefault="00E3253D" w:rsidP="00E3253D">
      <w:pPr>
        <w:pStyle w:val="libFootnote0"/>
        <w:rPr>
          <w:rtl/>
          <w:lang w:bidi="fa-IR"/>
        </w:rPr>
      </w:pPr>
      <w:r w:rsidRPr="00B60612">
        <w:rPr>
          <w:rtl/>
        </w:rPr>
        <w:t xml:space="preserve">ومَعْمَر بن عُمَر ومُعَمَّر بن يحيى كلاهما من مشايخ ثعلبة بن ميمون. راجع : </w:t>
      </w:r>
      <w:r w:rsidRPr="002F4D34">
        <w:rPr>
          <w:rStyle w:val="libFootnoteBoldChar"/>
          <w:rtl/>
        </w:rPr>
        <w:t>معجم رجال الحديث</w:t>
      </w:r>
      <w:r w:rsidRPr="00B60612">
        <w:rPr>
          <w:rtl/>
        </w:rPr>
        <w:t xml:space="preserve"> ، ج 3 ، ص 532 ؛ وص 538 </w:t>
      </w:r>
      <w:r w:rsidR="007642BC" w:rsidRPr="00B60612">
        <w:rPr>
          <w:rtl/>
        </w:rPr>
        <w:t>-</w:t>
      </w:r>
      <w:r w:rsidRPr="00B60612">
        <w:rPr>
          <w:rtl/>
        </w:rPr>
        <w:t xml:space="preserve"> 539.</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w:t>
      </w:r>
      <w:r w:rsidR="00E3253D" w:rsidRPr="005D642E">
        <w:rPr>
          <w:rtl/>
        </w:rPr>
        <w:t xml:space="preserve">ل ، ج 13 ، ص 246 : « قال الفاضل التستري </w:t>
      </w:r>
      <w:r w:rsidR="00E3253D" w:rsidRPr="00023E8C">
        <w:rPr>
          <w:rStyle w:val="libFootnoteAlaemChar"/>
          <w:rtl/>
        </w:rPr>
        <w:t>رحمه‌الله</w:t>
      </w:r>
      <w:r w:rsidR="00E3253D" w:rsidRPr="005D642E">
        <w:rPr>
          <w:rtl/>
        </w:rPr>
        <w:t xml:space="preserve"> : لعلّ هذا عند </w:t>
      </w:r>
      <w:r w:rsidR="00023E8C">
        <w:rPr>
          <w:rtl/>
        </w:rPr>
        <w:t>تضيّق الوقت بحيث لم يبق وقت إل</w:t>
      </w:r>
      <w:r w:rsidR="00023E8C">
        <w:rPr>
          <w:rFonts w:hint="cs"/>
          <w:rtl/>
        </w:rPr>
        <w:t>ّ</w:t>
      </w:r>
      <w:r w:rsidR="00023E8C">
        <w:rPr>
          <w:rtl/>
        </w:rPr>
        <w:t>ا</w:t>
      </w:r>
      <w:r w:rsidR="00153C6F">
        <w:rPr>
          <w:rtl/>
        </w:rPr>
        <w:t>للعصر ، وإل</w:t>
      </w:r>
      <w:r w:rsidR="00153C6F">
        <w:rPr>
          <w:rFonts w:hint="cs"/>
          <w:rtl/>
        </w:rPr>
        <w:t>ّ</w:t>
      </w:r>
      <w:r w:rsidR="00153C6F">
        <w:rPr>
          <w:rtl/>
        </w:rPr>
        <w:t>ا</w:t>
      </w:r>
      <w:r w:rsidR="00E3253D" w:rsidRPr="005D642E">
        <w:rPr>
          <w:rtl/>
        </w:rPr>
        <w:t xml:space="preserve"> فالظاهر أنّ وقت الإجزاء موسّع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الاستبصار</w:t>
      </w:r>
      <w:r w:rsidR="00E3253D" w:rsidRPr="005D642E">
        <w:rPr>
          <w:rtl/>
        </w:rPr>
        <w:t xml:space="preserve"> ، ج 1 ، ص 141 ، ح 484 ، بسنده عن الكليني. </w:t>
      </w:r>
      <w:r w:rsidR="00E3253D" w:rsidRPr="002F4D34">
        <w:rPr>
          <w:rStyle w:val="libFootnoteBoldChar"/>
          <w:rtl/>
        </w:rPr>
        <w:t>التهذيب</w:t>
      </w:r>
      <w:r w:rsidR="00E3253D" w:rsidRPr="005D642E">
        <w:rPr>
          <w:rtl/>
        </w:rPr>
        <w:t xml:space="preserve"> ، ج 1 ، ص 389 ، ح 1198 ، معلّقاً عن محمّد بن يحيى ، إلأ</w:t>
      </w:r>
      <w:r w:rsidR="00E3253D">
        <w:rPr>
          <w:rFonts w:hint="cs"/>
          <w:rtl/>
        </w:rPr>
        <w:t xml:space="preserve"> </w:t>
      </w:r>
      <w:r w:rsidR="00E3253D" w:rsidRPr="005D642E">
        <w:rPr>
          <w:rtl/>
        </w:rPr>
        <w:t>أَنّ فيهما « معمر بن يحيى » بدل « معمر بن عمر »</w:t>
      </w:r>
      <w:r w:rsidR="00E3253D">
        <w:rPr>
          <w:rtl/>
        </w:rPr>
        <w:t>.</w:t>
      </w:r>
      <w:r w:rsidR="00E3253D" w:rsidRPr="005D642E">
        <w:rPr>
          <w:rtl/>
        </w:rPr>
        <w:t xml:space="preserve"> </w:t>
      </w:r>
      <w:r w:rsidR="00E3253D" w:rsidRPr="002F4D34">
        <w:rPr>
          <w:rStyle w:val="libFootnoteBoldChar"/>
          <w:rtl/>
        </w:rPr>
        <w:t>وفيه</w:t>
      </w:r>
      <w:r w:rsidR="00E3253D" w:rsidRPr="005D642E">
        <w:rPr>
          <w:rtl/>
        </w:rPr>
        <w:t xml:space="preserve"> ، ص 390 ، ح 1201 وح 1202 ؛ </w:t>
      </w:r>
      <w:r w:rsidR="00E3253D" w:rsidRPr="00E678B5">
        <w:rPr>
          <w:rStyle w:val="libFootnoteBoldChar"/>
          <w:rtl/>
        </w:rPr>
        <w:t>والاستبصار</w:t>
      </w:r>
      <w:r w:rsidR="00E3253D" w:rsidRPr="005D642E">
        <w:rPr>
          <w:rtl/>
        </w:rPr>
        <w:t xml:space="preserve"> ، ج 1 ، ص 142 ، ح 487 ، بسند آخر عن أبي عبدالله </w:t>
      </w:r>
      <w:r w:rsidR="00E3253D" w:rsidRPr="00023E8C">
        <w:rPr>
          <w:rStyle w:val="libFootnoteAlaemChar"/>
          <w:rtl/>
        </w:rPr>
        <w:t>عليه‌السلام</w:t>
      </w:r>
      <w:r w:rsidR="00E3253D" w:rsidRPr="005D642E">
        <w:rPr>
          <w:rtl/>
        </w:rPr>
        <w:t xml:space="preserve"> ، مع اختلاف. </w:t>
      </w:r>
      <w:r w:rsidR="00E3253D" w:rsidRPr="002F4D34">
        <w:rPr>
          <w:rStyle w:val="libFootnoteBoldChar"/>
          <w:rtl/>
        </w:rPr>
        <w:t>الفقيه</w:t>
      </w:r>
      <w:r w:rsidR="00E3253D" w:rsidRPr="005D642E">
        <w:rPr>
          <w:rtl/>
        </w:rPr>
        <w:t xml:space="preserve"> ، ج 1 ، ص 93 ، ذيل ح 198 ، مع اختلاف يسير </w:t>
      </w:r>
      <w:r w:rsidR="00153C6F">
        <w:rPr>
          <w:rFonts w:hint="cs"/>
          <w:rtl/>
        </w:rPr>
        <w:t>.</w:t>
      </w:r>
      <w:r w:rsidR="00E3253D" w:rsidRPr="002F4D34">
        <w:rPr>
          <w:rStyle w:val="libFootnoteBoldChar"/>
          <w:rtl/>
        </w:rPr>
        <w:t>الوافي</w:t>
      </w:r>
      <w:r w:rsidR="00E3253D" w:rsidRPr="005D642E">
        <w:rPr>
          <w:rtl/>
        </w:rPr>
        <w:t xml:space="preserve"> ، ج 6 ، ص 494 ، ح 4774 ؛ </w:t>
      </w:r>
      <w:r w:rsidR="00E3253D" w:rsidRPr="002F4D34">
        <w:rPr>
          <w:rStyle w:val="libFootnoteBoldChar"/>
          <w:rtl/>
        </w:rPr>
        <w:t>الوسائل</w:t>
      </w:r>
      <w:r w:rsidR="00E3253D" w:rsidRPr="005D642E">
        <w:rPr>
          <w:rtl/>
        </w:rPr>
        <w:t xml:space="preserve"> ، ج 2 ، ص 362 ، ح 2368.</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بث ، بخ ، بس ، بف ، جح ، جس ، جن » : « عليّ بن يزيد »</w:t>
      </w:r>
      <w:r w:rsidR="00E3253D">
        <w:rPr>
          <w:rtl/>
        </w:rPr>
        <w:t>.</w:t>
      </w:r>
      <w:r w:rsidR="00E3253D" w:rsidRPr="005D642E">
        <w:rPr>
          <w:rtl/>
        </w:rPr>
        <w:t xml:space="preserve"> وفي « بح » وحاشية « ظ » والوسائل : « عليّ بن‌زيد » ، والظاهر أنّهما سهو ؛ فإنّه مضافاً إلى أنّا لم نجد رواية ابن محبوب</w:t>
      </w:r>
      <w:r w:rsidR="00E3253D">
        <w:rPr>
          <w:rtl/>
        </w:rPr>
        <w:t xml:space="preserve"> </w:t>
      </w:r>
      <w:r w:rsidR="007642BC">
        <w:rPr>
          <w:rtl/>
        </w:rPr>
        <w:t>-</w:t>
      </w:r>
      <w:r w:rsidR="00E3253D">
        <w:rPr>
          <w:rtl/>
        </w:rPr>
        <w:t xml:space="preserve"> </w:t>
      </w:r>
      <w:r w:rsidR="00E3253D" w:rsidRPr="005D642E">
        <w:rPr>
          <w:rtl/>
        </w:rPr>
        <w:t>وهو الحسن</w:t>
      </w:r>
      <w:r w:rsidR="00E3253D">
        <w:rPr>
          <w:rtl/>
        </w:rPr>
        <w:t xml:space="preserve"> </w:t>
      </w:r>
      <w:r w:rsidR="007642BC">
        <w:rPr>
          <w:rtl/>
        </w:rPr>
        <w:t>-</w:t>
      </w:r>
      <w:r w:rsidR="00E3253D">
        <w:rPr>
          <w:rtl/>
        </w:rPr>
        <w:t xml:space="preserve"> </w:t>
      </w:r>
      <w:r w:rsidR="00E3253D" w:rsidRPr="005D642E">
        <w:rPr>
          <w:rtl/>
        </w:rPr>
        <w:t xml:space="preserve">عن « عليّ بن زيد » أو « عليّ بن يزيد » في موضع ، روى عليّ بن رئاب كتاب أبي عبيدة الحذّاء ، وتوسّط بينه وبين [ الحسن ] بن محبوب في أسناد عديدة. راجع : </w:t>
      </w:r>
      <w:r w:rsidR="00E3253D" w:rsidRPr="002F4D34">
        <w:rPr>
          <w:rStyle w:val="libFootnoteBoldChar"/>
          <w:rtl/>
        </w:rPr>
        <w:t>رجال النجاشي</w:t>
      </w:r>
      <w:r w:rsidR="00E3253D" w:rsidRPr="005D642E">
        <w:rPr>
          <w:rtl/>
        </w:rPr>
        <w:t xml:space="preserve"> ، ص 170 ، الرقم 449 ؛ </w:t>
      </w:r>
      <w:r w:rsidR="00E3253D" w:rsidRPr="002F4D34">
        <w:rPr>
          <w:rStyle w:val="libFootnoteBoldChar"/>
          <w:rtl/>
        </w:rPr>
        <w:t>معجم رجال الحديث</w:t>
      </w:r>
      <w:r w:rsidR="00E3253D" w:rsidRPr="005D642E">
        <w:rPr>
          <w:rtl/>
        </w:rPr>
        <w:t xml:space="preserve"> ، ج 12 ، ص 287</w:t>
      </w:r>
      <w:r w:rsidR="00E3253D">
        <w:rPr>
          <w:rtl/>
        </w:rPr>
        <w:t xml:space="preserve"> </w:t>
      </w:r>
      <w:r w:rsidR="007642BC">
        <w:rPr>
          <w:rtl/>
        </w:rPr>
        <w:t>-</w:t>
      </w:r>
      <w:r w:rsidR="00E3253D">
        <w:rPr>
          <w:rtl/>
        </w:rPr>
        <w:t xml:space="preserve"> </w:t>
      </w:r>
      <w:r w:rsidR="00E3253D" w:rsidRPr="005D642E">
        <w:rPr>
          <w:rtl/>
        </w:rPr>
        <w:t>288 ؛ وج 22 ، ص 381</w:t>
      </w:r>
      <w:r w:rsidR="00E3253D">
        <w:rPr>
          <w:rtl/>
        </w:rPr>
        <w:t xml:space="preserve"> </w:t>
      </w:r>
      <w:r w:rsidR="007642BC">
        <w:rPr>
          <w:rtl/>
        </w:rPr>
        <w:t>-</w:t>
      </w:r>
      <w:r w:rsidR="00E3253D">
        <w:rPr>
          <w:rtl/>
        </w:rPr>
        <w:t xml:space="preserve"> </w:t>
      </w:r>
      <w:r w:rsidR="00E3253D" w:rsidRPr="005D642E">
        <w:rPr>
          <w:rtl/>
        </w:rPr>
        <w:t>382.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 ح 2369 </w:t>
      </w:r>
      <w:r w:rsidR="00E3253D" w:rsidRPr="00E678B5">
        <w:rPr>
          <w:rStyle w:val="libFootnoteBoldChar"/>
          <w:rtl/>
        </w:rPr>
        <w:t>والاستبصار</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xml:space="preserve">« عن أبي عبدالله </w:t>
      </w:r>
      <w:r w:rsidR="00E3253D" w:rsidRPr="00153C6F">
        <w:rPr>
          <w:rStyle w:val="libFootnoteAlaemChar"/>
          <w:rtl/>
        </w:rPr>
        <w:t>عليه‌السلام</w:t>
      </w:r>
      <w:r w:rsidR="00E3253D" w:rsidRPr="005D642E">
        <w:rPr>
          <w:rtl/>
        </w:rPr>
        <w:t xml:space="preserve"> » ، </w:t>
      </w:r>
      <w:r w:rsidR="00153C6F">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عَلَيْهَا </w:t>
      </w:r>
      <w:r w:rsidRPr="007C12DB">
        <w:rPr>
          <w:rStyle w:val="libFootnotenumChar"/>
          <w:rtl/>
        </w:rPr>
        <w:t>(1)</w:t>
      </w:r>
      <w:r w:rsidRPr="005D642E">
        <w:rPr>
          <w:rtl/>
          <w:lang w:bidi="fa-IR"/>
        </w:rPr>
        <w:t xml:space="preserve"> وَقْتُ الصَّلَاةِ ، ثُمَّ </w:t>
      </w:r>
      <w:r w:rsidRPr="007C12DB">
        <w:rPr>
          <w:rStyle w:val="libFootnotenumChar"/>
          <w:rtl/>
        </w:rPr>
        <w:t>(2)</w:t>
      </w:r>
      <w:r w:rsidRPr="005D642E">
        <w:rPr>
          <w:rtl/>
          <w:lang w:bidi="fa-IR"/>
        </w:rPr>
        <w:t xml:space="preserve"> أَخَّرَتِ الْغُسْلَ </w:t>
      </w:r>
      <w:r w:rsidRPr="007C12DB">
        <w:rPr>
          <w:rStyle w:val="libFootnotenumChar"/>
          <w:rtl/>
        </w:rPr>
        <w:t>(3)</w:t>
      </w:r>
      <w:r w:rsidRPr="005D642E">
        <w:rPr>
          <w:rtl/>
          <w:lang w:bidi="fa-IR"/>
        </w:rPr>
        <w:t xml:space="preserve"> حَتّى يَدْخُلَ </w:t>
      </w:r>
      <w:r w:rsidRPr="007C12DB">
        <w:rPr>
          <w:rStyle w:val="libFootnotenumChar"/>
          <w:rtl/>
        </w:rPr>
        <w:t>(4)</w:t>
      </w:r>
      <w:r w:rsidRPr="005D642E">
        <w:rPr>
          <w:rtl/>
          <w:lang w:bidi="fa-IR"/>
        </w:rPr>
        <w:t xml:space="preserve"> وَقْتُ صَلَاةٍ أُخْرى ، كَانَ عَلَيْهَا قَضَاءُ تِلْكَ الصَّلَاةِ الَّتِي فَرَّطَتْ فِيهَا ، فَإِذَا </w:t>
      </w:r>
      <w:r w:rsidRPr="007C12DB">
        <w:rPr>
          <w:rStyle w:val="libFootnotenumChar"/>
          <w:rtl/>
        </w:rPr>
        <w:t>(5)</w:t>
      </w:r>
      <w:r w:rsidRPr="005D642E">
        <w:rPr>
          <w:rtl/>
          <w:lang w:bidi="fa-IR"/>
        </w:rPr>
        <w:t xml:space="preserve"> طَهُرَتْ فِي وَقْتِ وُجُوبِ الصَّلَاةِ </w:t>
      </w:r>
      <w:r w:rsidRPr="007C12DB">
        <w:rPr>
          <w:rStyle w:val="libFootnotenumChar"/>
          <w:rtl/>
        </w:rPr>
        <w:t>(6)</w:t>
      </w:r>
      <w:r w:rsidRPr="005D642E">
        <w:rPr>
          <w:rtl/>
          <w:lang w:bidi="fa-IR"/>
        </w:rPr>
        <w:t xml:space="preserve"> ، فَأَخَّرَتِ </w:t>
      </w:r>
      <w:r w:rsidRPr="007C12DB">
        <w:rPr>
          <w:rStyle w:val="libFootnotenumChar"/>
          <w:rtl/>
        </w:rPr>
        <w:t>(7)</w:t>
      </w:r>
      <w:r w:rsidRPr="005D642E">
        <w:rPr>
          <w:rtl/>
          <w:lang w:bidi="fa-IR"/>
        </w:rPr>
        <w:t xml:space="preserve"> الصَّلَاةَ حَتّى يَدْخُلَ </w:t>
      </w:r>
      <w:r w:rsidRPr="007C12DB">
        <w:rPr>
          <w:rStyle w:val="libFootnotenumChar"/>
          <w:rtl/>
        </w:rPr>
        <w:t>(8)</w:t>
      </w:r>
      <w:r w:rsidRPr="005D642E">
        <w:rPr>
          <w:rtl/>
          <w:lang w:bidi="fa-IR"/>
        </w:rPr>
        <w:t xml:space="preserve"> وَقْتُ صَلَاةٍ أُخْرى </w:t>
      </w:r>
      <w:r w:rsidRPr="007C12DB">
        <w:rPr>
          <w:rStyle w:val="libFootnotenumChar"/>
          <w:rtl/>
        </w:rPr>
        <w:t>(9)</w:t>
      </w:r>
      <w:r w:rsidRPr="005D642E">
        <w:rPr>
          <w:rtl/>
          <w:lang w:bidi="fa-IR"/>
        </w:rPr>
        <w:t xml:space="preserve"> ، ثُمَّ رَأَتْ دَماً ، كَانَ عَلَيْهَا قَضَاءُ تِلْكَ الصَّلَاةِ الَّتِي فَرَّطَتْ فِيهَا »</w:t>
      </w:r>
      <w:r>
        <w:rPr>
          <w:rtl/>
          <w:lang w:bidi="fa-IR"/>
        </w:rPr>
        <w:t>.</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8973C6">
        <w:rPr>
          <w:rtl/>
        </w:rPr>
        <w:t>4215</w:t>
      </w:r>
      <w:r w:rsidRPr="00246318">
        <w:rPr>
          <w:rStyle w:val="libBold2Char"/>
          <w:rtl/>
        </w:rPr>
        <w:t xml:space="preserve"> / 4.</w:t>
      </w:r>
      <w:r w:rsidRPr="005D642E">
        <w:rPr>
          <w:rtl/>
          <w:lang w:bidi="fa-IR"/>
        </w:rPr>
        <w:t xml:space="preserve"> ابْنُ مَحْبُوبٍ </w:t>
      </w:r>
      <w:r w:rsidRPr="007C12DB">
        <w:rPr>
          <w:rStyle w:val="libFootnotenumChar"/>
          <w:rtl/>
        </w:rPr>
        <w:t>(11)</w:t>
      </w:r>
      <w:r w:rsidRPr="005D642E">
        <w:rPr>
          <w:rtl/>
          <w:lang w:bidi="fa-IR"/>
        </w:rPr>
        <w:t xml:space="preserve"> ، عَنْ عَلِيِّ بْنِ رِئَابٍ ، عَنْ عُبَيْدِ بْنِ زُرَارَةَ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قَالَ </w:t>
      </w:r>
      <w:r w:rsidRPr="007C12DB">
        <w:rPr>
          <w:rStyle w:val="libFootnotenumChar"/>
          <w:rtl/>
        </w:rPr>
        <w:t>(12)</w:t>
      </w:r>
      <w:r w:rsidRPr="005D642E">
        <w:rPr>
          <w:rtl/>
          <w:lang w:bidi="fa-IR"/>
        </w:rPr>
        <w:t xml:space="preserve"> : « أَيُّمَا امْرَأَةٌ رَأَتِ الطُّهْرَ وَهِيَ قَادِرَةٌ عَلى أَنْ‌</w:t>
      </w:r>
    </w:p>
    <w:p w:rsidR="00E3253D" w:rsidRPr="005D642E" w:rsidRDefault="00E3253D" w:rsidP="00E3253D">
      <w:pPr>
        <w:pStyle w:val="libLine"/>
        <w:rPr>
          <w:rtl/>
          <w:lang w:bidi="fa-IR"/>
        </w:rPr>
      </w:pPr>
      <w:r w:rsidRPr="005D642E">
        <w:rPr>
          <w:rtl/>
          <w:lang w:bidi="fa-IR"/>
        </w:rPr>
        <w:t>__________________</w:t>
      </w:r>
    </w:p>
    <w:p w:rsidR="00E3253D" w:rsidRPr="005D642E" w:rsidRDefault="00901D29" w:rsidP="00E3253D">
      <w:pPr>
        <w:pStyle w:val="libFootnote0"/>
        <w:rPr>
          <w:rtl/>
          <w:lang w:bidi="fa-IR"/>
        </w:rPr>
      </w:pPr>
      <w:r>
        <w:rPr>
          <w:rFonts w:hint="cs"/>
          <w:rtl/>
        </w:rPr>
        <w:t xml:space="preserve">= </w:t>
      </w:r>
      <w:r w:rsidR="00E3253D" w:rsidRPr="005D642E">
        <w:rPr>
          <w:rtl/>
        </w:rPr>
        <w:t xml:space="preserve">وروى أبوعبيدة [ الحذّاء ] عن أبي عبدالله </w:t>
      </w:r>
      <w:r w:rsidR="00E3253D" w:rsidRPr="00BF5083">
        <w:rPr>
          <w:rStyle w:val="libFootnoteAlaemChar"/>
          <w:rtl/>
        </w:rPr>
        <w:t>عليه‌السلام</w:t>
      </w:r>
      <w:r w:rsidR="00E3253D" w:rsidRPr="005D642E">
        <w:rPr>
          <w:rtl/>
        </w:rPr>
        <w:t xml:space="preserve"> في عددٍ من الأسناد. راجع : </w:t>
      </w:r>
      <w:r w:rsidR="00E3253D" w:rsidRPr="002F4D34">
        <w:rPr>
          <w:rStyle w:val="libFootnoteBoldChar"/>
          <w:rtl/>
        </w:rPr>
        <w:t>معجم رجال الحديث</w:t>
      </w:r>
      <w:r w:rsidR="00E3253D" w:rsidRPr="005D642E">
        <w:rPr>
          <w:rtl/>
        </w:rPr>
        <w:t xml:space="preserve"> ، ج 21 ، ص 419</w:t>
      </w:r>
      <w:r w:rsidR="00E3253D">
        <w:rPr>
          <w:rtl/>
        </w:rPr>
        <w:t xml:space="preserve"> </w:t>
      </w:r>
      <w:r w:rsidR="007642BC">
        <w:rPr>
          <w:rtl/>
        </w:rPr>
        <w:t>-</w:t>
      </w:r>
      <w:r w:rsidR="00E3253D">
        <w:rPr>
          <w:rtl/>
        </w:rPr>
        <w:t xml:space="preserve"> </w:t>
      </w:r>
      <w:r w:rsidR="00E3253D" w:rsidRPr="005D642E">
        <w:rPr>
          <w:rtl/>
        </w:rPr>
        <w:t>420 ؛ وص 422</w:t>
      </w:r>
      <w:r w:rsidR="00E3253D">
        <w:rPr>
          <w:rtl/>
        </w:rPr>
        <w:t xml:space="preserve"> </w:t>
      </w:r>
      <w:r w:rsidR="007642BC">
        <w:rPr>
          <w:rtl/>
        </w:rPr>
        <w:t>-</w:t>
      </w:r>
      <w:r w:rsidR="00E3253D">
        <w:rPr>
          <w:rtl/>
        </w:rPr>
        <w:t xml:space="preserve"> </w:t>
      </w:r>
      <w:r w:rsidR="00E3253D" w:rsidRPr="005D642E">
        <w:rPr>
          <w:rtl/>
        </w:rPr>
        <w:t>423.</w:t>
      </w:r>
    </w:p>
    <w:p w:rsidR="00E3253D" w:rsidRDefault="00E3253D" w:rsidP="00E3253D">
      <w:pPr>
        <w:pStyle w:val="libFootnote0"/>
        <w:rPr>
          <w:rtl/>
        </w:rPr>
      </w:pPr>
      <w:r w:rsidRPr="00B60612">
        <w:rPr>
          <w:rtl/>
        </w:rPr>
        <w:t xml:space="preserve">ويؤيّد ذلك أنّ الخبر ورد في </w:t>
      </w:r>
      <w:r w:rsidRPr="002F4D34">
        <w:rPr>
          <w:rStyle w:val="libFootnoteBoldChar"/>
          <w:rtl/>
        </w:rPr>
        <w:t>التهذيب</w:t>
      </w:r>
      <w:r w:rsidRPr="00B60612">
        <w:rPr>
          <w:rtl/>
        </w:rPr>
        <w:t xml:space="preserve"> ، ج 1 ، ص 391 ، ح 1208 ، بإسناده عن عليّ بن إبراهيم ، بنفس السند عن أبي عبدالله </w:t>
      </w:r>
      <w:r w:rsidRPr="00BF5083">
        <w:rPr>
          <w:rStyle w:val="libFootnoteAlaemChar"/>
          <w:rtl/>
        </w:rPr>
        <w:t>عليه‌السلام</w:t>
      </w:r>
      <w:r w:rsidRPr="00B60612">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وهي في »</w:t>
      </w:r>
      <w:r w:rsidR="00E3253D">
        <w:rPr>
          <w:rtl/>
        </w:rPr>
        <w:t>.</w:t>
      </w:r>
      <w:r w:rsidR="00E3253D" w:rsidRPr="005D642E">
        <w:rPr>
          <w:rtl/>
        </w:rPr>
        <w:t xml:space="preserve"> وفي « جن » : « وقت دخل عليها » كلاهما بدل « وقد دخل عليها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الاستبصار : « طهرت المرأة في وقت » بدل « رأت المرأة</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وقت الصلاة ثمّ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الاستبصار : « الصلاة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غ ، ى ، بث ، بح ، بخ ، جح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ح 1208 </w:t>
      </w:r>
      <w:r w:rsidR="00E3253D" w:rsidRPr="00E678B5">
        <w:rPr>
          <w:rStyle w:val="libFootnoteBoldChar"/>
          <w:rtl/>
        </w:rPr>
        <w:t>والاستبصار</w:t>
      </w:r>
      <w:r w:rsidR="00E3253D" w:rsidRPr="005D642E">
        <w:rPr>
          <w:rtl/>
        </w:rPr>
        <w:t>. وفي « بس ، جس » والمطبوع : « حتّى تدخل »</w:t>
      </w:r>
      <w:r w:rsidR="00E3253D">
        <w:rPr>
          <w:rtl/>
        </w:rPr>
        <w:t>.</w:t>
      </w:r>
      <w:r w:rsidR="00E3253D" w:rsidRPr="005D642E">
        <w:rPr>
          <w:rtl/>
        </w:rPr>
        <w:t xml:space="preserve"> وفي « ظ ، بف ، جن » يحتمل الأمران.</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بف » </w:t>
      </w:r>
      <w:r w:rsidR="00B60612" w:rsidRPr="00B60612">
        <w:rPr>
          <w:rStyle w:val="libFootnoteBoldChar"/>
          <w:rtl/>
        </w:rPr>
        <w:t>والتهذيب</w:t>
      </w:r>
      <w:r w:rsidR="00E3253D" w:rsidRPr="005D642E">
        <w:rPr>
          <w:rtl/>
        </w:rPr>
        <w:t xml:space="preserve"> ، ح 1208 : « وإذا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بث ، بح ، بس ، بف ، جح ، جن » </w:t>
      </w:r>
      <w:r w:rsidR="000D749A" w:rsidRPr="000D749A">
        <w:rPr>
          <w:rStyle w:val="libFootnoteBoldChar"/>
          <w:rtl/>
        </w:rPr>
        <w:t>والوافي</w:t>
      </w:r>
      <w:r w:rsidR="00E3253D" w:rsidRPr="005D642E">
        <w:rPr>
          <w:rtl/>
        </w:rPr>
        <w:t xml:space="preserve"> والوسائل ، ح 2361 </w:t>
      </w:r>
      <w:r w:rsidR="00B60612" w:rsidRPr="00B60612">
        <w:rPr>
          <w:rStyle w:val="libFootnoteBoldChar"/>
          <w:rtl/>
        </w:rPr>
        <w:t>والتهذيب</w:t>
      </w:r>
      <w:r w:rsidR="00E3253D" w:rsidRPr="005D642E">
        <w:rPr>
          <w:rtl/>
        </w:rPr>
        <w:t xml:space="preserve"> ، ح 1208 :</w:t>
      </w:r>
      <w:r w:rsidR="00E3253D">
        <w:rPr>
          <w:rtl/>
        </w:rPr>
        <w:t xml:space="preserve"> </w:t>
      </w:r>
      <w:r w:rsidR="007642BC">
        <w:rPr>
          <w:rtl/>
        </w:rPr>
        <w:t>-</w:t>
      </w:r>
      <w:r w:rsidR="00E3253D">
        <w:rPr>
          <w:rtl/>
        </w:rPr>
        <w:t xml:space="preserve"> </w:t>
      </w:r>
      <w:r w:rsidR="00E3253D" w:rsidRPr="005D642E">
        <w:rPr>
          <w:rtl/>
        </w:rPr>
        <w:t>« وجوب الصلاة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بح ، جح » : « وأخّرت »</w:t>
      </w:r>
      <w:r w:rsidR="00E3253D">
        <w:rPr>
          <w:rtl/>
        </w:rPr>
        <w:t>.</w:t>
      </w:r>
      <w:r w:rsidR="00E3253D" w:rsidRPr="005D642E">
        <w:rPr>
          <w:rtl/>
        </w:rPr>
        <w:t xml:space="preserve"> وفي « بف » : « تأخّرت » بدل « فأخّرت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بف » : « حتّى تدخل »</w:t>
      </w:r>
      <w:r w:rsidR="00E3253D">
        <w:rPr>
          <w:rtl/>
        </w:rPr>
        <w:t>.</w:t>
      </w:r>
      <w:r w:rsidR="00E3253D" w:rsidRPr="005D642E">
        <w:rPr>
          <w:rtl/>
        </w:rPr>
        <w:t xml:space="preserve"> وفي « جس » : « حتّى تدخل في »</w:t>
      </w:r>
      <w:r w:rsidR="00E3253D">
        <w:rPr>
          <w:rtl/>
        </w:rPr>
        <w:t>.</w:t>
      </w:r>
      <w:r w:rsidR="00E3253D" w:rsidRPr="005D642E">
        <w:rPr>
          <w:rtl/>
        </w:rPr>
        <w:t xml:space="preserve"> وفي الوافي : « حتّى دخل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الاستبصار :</w:t>
      </w:r>
      <w:r w:rsidR="00E3253D">
        <w:rPr>
          <w:rtl/>
        </w:rPr>
        <w:t xml:space="preserve"> </w:t>
      </w:r>
      <w:r w:rsidR="007642BC">
        <w:rPr>
          <w:rtl/>
        </w:rPr>
        <w:t>-</w:t>
      </w:r>
      <w:r w:rsidR="00E3253D">
        <w:rPr>
          <w:rtl/>
        </w:rPr>
        <w:t xml:space="preserve"> </w:t>
      </w:r>
      <w:r w:rsidR="00E3253D" w:rsidRPr="005D642E">
        <w:rPr>
          <w:rtl/>
        </w:rPr>
        <w:t>« كان عليها قضاء</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وقت صلاة ا</w:t>
      </w:r>
      <w:r w:rsidR="00BF5083">
        <w:rPr>
          <w:rFonts w:hint="cs"/>
          <w:rtl/>
        </w:rPr>
        <w:t>ُ</w:t>
      </w:r>
      <w:r w:rsidR="00E3253D" w:rsidRPr="005D642E">
        <w:rPr>
          <w:rtl/>
        </w:rPr>
        <w:t>خرى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الاستبصار</w:t>
      </w:r>
      <w:r w:rsidR="00E3253D" w:rsidRPr="005D642E">
        <w:rPr>
          <w:rtl/>
        </w:rPr>
        <w:t xml:space="preserve"> ، ج 1 ، ص 145 ، ح 496 ، بسنده عن الكليني. </w:t>
      </w:r>
      <w:r w:rsidR="00E3253D" w:rsidRPr="002F4D34">
        <w:rPr>
          <w:rStyle w:val="libFootnoteBoldChar"/>
          <w:rtl/>
        </w:rPr>
        <w:t>التهذيب</w:t>
      </w:r>
      <w:r w:rsidR="00E3253D" w:rsidRPr="005D642E">
        <w:rPr>
          <w:rtl/>
        </w:rPr>
        <w:t xml:space="preserve"> ، ج 1 ، ص 391 ، ح 1208 ، معلّقاً عن عليّ بن إبراهيم. </w:t>
      </w:r>
      <w:r w:rsidR="00E3253D" w:rsidRPr="002F4D34">
        <w:rPr>
          <w:rStyle w:val="libFootnoteBoldChar"/>
          <w:rtl/>
        </w:rPr>
        <w:t>وفيه</w:t>
      </w:r>
      <w:r w:rsidR="00E3253D" w:rsidRPr="005D642E">
        <w:rPr>
          <w:rtl/>
        </w:rPr>
        <w:t xml:space="preserve"> ، ص 392 ، ح 1211 ، بسند آخر ، من قوله : « فإذا طهرت في وقت وجوب الصلاة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92 ، ذيل ح 198 ، وفيهما مع اختلاف يسير </w:t>
      </w:r>
      <w:r w:rsidR="00BF5083">
        <w:rPr>
          <w:rFonts w:hint="cs"/>
          <w:rtl/>
        </w:rPr>
        <w:t>.</w:t>
      </w:r>
      <w:r w:rsidR="00E3253D" w:rsidRPr="002F4D34">
        <w:rPr>
          <w:rStyle w:val="libFootnoteBoldChar"/>
          <w:rtl/>
        </w:rPr>
        <w:t>الوافي</w:t>
      </w:r>
      <w:r w:rsidR="00E3253D" w:rsidRPr="005D642E">
        <w:rPr>
          <w:rtl/>
        </w:rPr>
        <w:t xml:space="preserve"> ، ج 6 ، ص 493 ، ح 4768 ؛ </w:t>
      </w:r>
      <w:r w:rsidR="00E3253D" w:rsidRPr="002F4D34">
        <w:rPr>
          <w:rStyle w:val="libFootnoteBoldChar"/>
          <w:rtl/>
        </w:rPr>
        <w:t>الوسائل</w:t>
      </w:r>
      <w:r w:rsidR="00E3253D" w:rsidRPr="005D642E">
        <w:rPr>
          <w:rtl/>
        </w:rPr>
        <w:t xml:space="preserve"> ، ج 2 ، ص 359 ، ح 2361 ، من قوله : « فإذا طهرت في وقت وجوب الصلاة » ؛ </w:t>
      </w:r>
      <w:r w:rsidR="00E3253D" w:rsidRPr="002F4D34">
        <w:rPr>
          <w:rStyle w:val="libFootnoteBoldChar"/>
          <w:rtl/>
        </w:rPr>
        <w:t>وفيه</w:t>
      </w:r>
      <w:r w:rsidR="00E3253D" w:rsidRPr="005D642E">
        <w:rPr>
          <w:rtl/>
        </w:rPr>
        <w:t xml:space="preserve"> ، ص 362 ، ح 2369 ، إلى قوله : « تلك الصلاة التي فرّطت فيها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السند معلّق على سابقه. ويروي عن ابن محبوب ، عليّ بن إبراهيم ، عن أبيه.</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بس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قال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تَغْتَسِلَ فِي </w:t>
      </w:r>
      <w:r w:rsidRPr="007C12DB">
        <w:rPr>
          <w:rStyle w:val="libFootnotenumChar"/>
          <w:rtl/>
        </w:rPr>
        <w:t>(1)</w:t>
      </w:r>
      <w:r w:rsidRPr="005D642E">
        <w:rPr>
          <w:rtl/>
          <w:lang w:bidi="fa-IR"/>
        </w:rPr>
        <w:t xml:space="preserve"> وَقْتِ صَلَاةٍ ، فَفَرَّطَتْ فِيهَا حَتّى يَدْخُلَ وَقْتُ صَلَاةٍ أُخْرى ، كَانَ عَلَيْهَا قَضَاءُ تِلْكَ الصَّلَاةِ الَّتِي فَرَّطَتْ فِيهَا ، وَإِنْ </w:t>
      </w:r>
      <w:r w:rsidRPr="007C12DB">
        <w:rPr>
          <w:rStyle w:val="libFootnotenumChar"/>
          <w:rtl/>
        </w:rPr>
        <w:t>(2)</w:t>
      </w:r>
      <w:r w:rsidRPr="005D642E">
        <w:rPr>
          <w:rtl/>
          <w:lang w:bidi="fa-IR"/>
        </w:rPr>
        <w:t xml:space="preserve"> رَأَتِ الطُّهْرَ فِي وَقْتِ صَلَاةٍ ، فَقَامَتْ فِي تَهْيِئَةِ ذلِكَ ، فَجَازَ وَقْتُ صَلَاةٍ </w:t>
      </w:r>
      <w:r w:rsidRPr="007C12DB">
        <w:rPr>
          <w:rStyle w:val="libFootnotenumChar"/>
          <w:rtl/>
        </w:rPr>
        <w:t>(3)</w:t>
      </w:r>
      <w:r w:rsidRPr="005D642E">
        <w:rPr>
          <w:rtl/>
          <w:lang w:bidi="fa-IR"/>
        </w:rPr>
        <w:t xml:space="preserve"> ، وَدَخَلَ وَقْتُ صَلَاةٍ أُخْرى ، فَلَيْسَ عَلَيْهَا قَضَاءٌ ، وَتُصَلِّي الصَّلَاةَ </w:t>
      </w:r>
      <w:r w:rsidRPr="007C12DB">
        <w:rPr>
          <w:rStyle w:val="libFootnotenumChar"/>
          <w:rtl/>
        </w:rPr>
        <w:t>(4)</w:t>
      </w:r>
      <w:r w:rsidRPr="005D642E">
        <w:rPr>
          <w:rtl/>
          <w:lang w:bidi="fa-IR"/>
        </w:rPr>
        <w:t xml:space="preserve"> الَّتِي دَخَلَ وَقْتُهَا </w:t>
      </w:r>
      <w:r w:rsidRPr="007C12DB">
        <w:rPr>
          <w:rStyle w:val="libFootnotenumChar"/>
          <w:rtl/>
        </w:rPr>
        <w:t>(5)</w:t>
      </w:r>
      <w:r w:rsidRPr="005D642E">
        <w:rPr>
          <w:rtl/>
          <w:lang w:bidi="fa-IR"/>
        </w:rPr>
        <w:t xml:space="preserve"> »</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8973C6">
        <w:rPr>
          <w:rtl/>
        </w:rPr>
        <w:t>4216</w:t>
      </w:r>
      <w:r w:rsidRPr="00246318">
        <w:rPr>
          <w:rStyle w:val="libBold2Char"/>
          <w:rtl/>
        </w:rPr>
        <w:t xml:space="preserve"> / 5.</w:t>
      </w:r>
      <w:r w:rsidRPr="005D642E">
        <w:rPr>
          <w:rtl/>
          <w:lang w:bidi="fa-IR"/>
        </w:rPr>
        <w:t xml:space="preserve"> ابْنُ مَحْبُوبٍ </w:t>
      </w:r>
      <w:r w:rsidRPr="007C12DB">
        <w:rPr>
          <w:rStyle w:val="libFootnotenumChar"/>
          <w:rtl/>
        </w:rPr>
        <w:t>(7)</w:t>
      </w:r>
      <w:r w:rsidRPr="005D642E">
        <w:rPr>
          <w:rtl/>
          <w:lang w:bidi="fa-IR"/>
        </w:rPr>
        <w:t xml:space="preserve"> ، عَنْ عَلِيِّ بْنِ رِئَابٍ ، عَنْ أَبِي الْوَرْدِ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عَنِ الْمَرْأَةِ تَكُونُ فِي صَلَاةِ الظُّهْرِ وَقَدْ صَلَّتْ رَكْعَتَيْنِ ، ثُمَّ تَرَى الدَّمَ</w:t>
      </w:r>
      <w:r>
        <w:rPr>
          <w:rtl/>
          <w:lang w:bidi="fa-IR"/>
        </w:rPr>
        <w:t>؟</w:t>
      </w:r>
    </w:p>
    <w:p w:rsidR="00E3253D" w:rsidRPr="005D642E" w:rsidRDefault="00E3253D" w:rsidP="00650A50">
      <w:pPr>
        <w:pStyle w:val="libNormal"/>
        <w:rPr>
          <w:rtl/>
          <w:lang w:bidi="fa-IR"/>
        </w:rPr>
      </w:pPr>
      <w:r w:rsidRPr="005D642E">
        <w:rPr>
          <w:rtl/>
          <w:lang w:bidi="fa-IR"/>
        </w:rPr>
        <w:t xml:space="preserve">قَالَ : « تَقُومُ مِنْ مَسْجِدِهَا ، وَلَاتَقْضِي الرَّكْعَتَيْنِ </w:t>
      </w:r>
      <w:r w:rsidRPr="007C12DB">
        <w:rPr>
          <w:rStyle w:val="libFootnotenumChar"/>
          <w:rtl/>
        </w:rPr>
        <w:t>(8)</w:t>
      </w:r>
      <w:r w:rsidRPr="005D642E">
        <w:rPr>
          <w:rtl/>
          <w:lang w:bidi="fa-IR"/>
        </w:rPr>
        <w:t xml:space="preserve"> ، وَإِنْ كَانَتْ </w:t>
      </w:r>
      <w:r w:rsidRPr="007C12DB">
        <w:rPr>
          <w:rStyle w:val="libFootnotenumChar"/>
          <w:rtl/>
        </w:rPr>
        <w:t>(9)</w:t>
      </w:r>
      <w:r w:rsidRPr="005D642E">
        <w:rPr>
          <w:rtl/>
          <w:lang w:bidi="fa-IR"/>
        </w:rPr>
        <w:t xml:space="preserve"> رَأَتِ الدَّمَ وَهِيَ فِي صَلَاةِ الْمَغْرِبِ وَقَدْ صَلَّتْ رَكْعَتَيْنِ ، فَلْتَقُمْ مِنْ مَسْجِدِهَا </w:t>
      </w:r>
      <w:r w:rsidRPr="007C12DB">
        <w:rPr>
          <w:rStyle w:val="libFootnotenumChar"/>
          <w:rtl/>
        </w:rPr>
        <w:t>(10)</w:t>
      </w:r>
      <w:r w:rsidRPr="005D642E">
        <w:rPr>
          <w:rtl/>
          <w:lang w:bidi="fa-IR"/>
        </w:rPr>
        <w:t xml:space="preserve"> ، فَإِذَا طَهُرَتْ </w:t>
      </w:r>
      <w:r w:rsidRPr="007C12DB">
        <w:rPr>
          <w:rStyle w:val="libFootnotenumChar"/>
          <w:rtl/>
        </w:rPr>
        <w:t>(11)</w:t>
      </w:r>
      <w:r w:rsidRPr="005D642E">
        <w:rPr>
          <w:rtl/>
          <w:lang w:bidi="fa-IR"/>
        </w:rPr>
        <w:t xml:space="preserve"> ، فَلْتَقْضِ الرَّكْعَةَ الَّتِي فَاتَتْهَا مِنَ الْمَغْرِبِ »</w:t>
      </w:r>
      <w:r>
        <w:rPr>
          <w:rtl/>
          <w:lang w:bidi="fa-IR"/>
        </w:rPr>
        <w:t>.</w:t>
      </w:r>
      <w:r w:rsidRPr="005D642E">
        <w:rPr>
          <w:rtl/>
          <w:lang w:bidi="fa-IR"/>
        </w:rPr>
        <w:t xml:space="preserve"> </w:t>
      </w:r>
      <w:r w:rsidRPr="007C12DB">
        <w:rPr>
          <w:rStyle w:val="libFootnotenumChar"/>
          <w:rtl/>
        </w:rPr>
        <w:t>(12)</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الوافي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في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w:t>
      </w:r>
      <w:r w:rsidR="00B60612" w:rsidRPr="00B60612">
        <w:rPr>
          <w:rStyle w:val="libFootnoteBoldChar"/>
          <w:rtl/>
        </w:rPr>
        <w:t>والتهذيب</w:t>
      </w:r>
      <w:r w:rsidR="00E3253D" w:rsidRPr="005D642E">
        <w:rPr>
          <w:rtl/>
        </w:rPr>
        <w:t xml:space="preserve"> : « فإن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w:t>
      </w:r>
      <w:r w:rsidR="00B60612" w:rsidRPr="00B60612">
        <w:rPr>
          <w:rStyle w:val="libFootnoteBoldChar"/>
          <w:rtl/>
        </w:rPr>
        <w:t>والتهذيب</w:t>
      </w:r>
      <w:r w:rsidR="00E3253D" w:rsidRPr="005D642E">
        <w:rPr>
          <w:rtl/>
        </w:rPr>
        <w:t xml:space="preserve"> : « الصلاة »</w:t>
      </w:r>
      <w:r w:rsidR="00E3253D">
        <w:rPr>
          <w:rtl/>
        </w:rPr>
        <w:t>.</w:t>
      </w:r>
    </w:p>
    <w:tbl>
      <w:tblPr>
        <w:tblStyle w:val="TableGrid"/>
        <w:bidiVisual/>
        <w:tblW w:w="0" w:type="auto"/>
        <w:tblLook w:val="04A0" w:firstRow="1" w:lastRow="0" w:firstColumn="1" w:lastColumn="0" w:noHBand="0" w:noVBand="1"/>
      </w:tblPr>
      <w:tblGrid>
        <w:gridCol w:w="4006"/>
        <w:gridCol w:w="4006"/>
      </w:tblGrid>
      <w:tr w:rsidR="00941757" w:rsidTr="00941757">
        <w:tc>
          <w:tcPr>
            <w:tcW w:w="4006" w:type="dxa"/>
          </w:tcPr>
          <w:p w:rsidR="00941757" w:rsidRDefault="00941757" w:rsidP="00E3253D">
            <w:pPr>
              <w:pStyle w:val="libFootnote0"/>
              <w:rPr>
                <w:rStyle w:val="libFootnote0Char"/>
                <w:rtl/>
              </w:rPr>
            </w:pPr>
            <w:r w:rsidRPr="0042621E">
              <w:rPr>
                <w:rStyle w:val="libFootnote0Char"/>
                <w:rtl/>
              </w:rPr>
              <w:t>(4).</w:t>
            </w:r>
            <w:r w:rsidRPr="005D642E">
              <w:rPr>
                <w:rtl/>
              </w:rPr>
              <w:t xml:space="preserve"> في « ظ » : « صلاة »</w:t>
            </w:r>
            <w:r>
              <w:rPr>
                <w:rtl/>
              </w:rPr>
              <w:t>.</w:t>
            </w:r>
          </w:p>
        </w:tc>
        <w:tc>
          <w:tcPr>
            <w:tcW w:w="4006" w:type="dxa"/>
          </w:tcPr>
          <w:p w:rsidR="00941757" w:rsidRDefault="00941757" w:rsidP="00E3253D">
            <w:pPr>
              <w:pStyle w:val="libFootnote0"/>
              <w:rPr>
                <w:rStyle w:val="libFootnote0Char"/>
                <w:rtl/>
              </w:rPr>
            </w:pPr>
            <w:r w:rsidRPr="0042621E">
              <w:rPr>
                <w:rStyle w:val="libFootnote0Char"/>
                <w:rtl/>
              </w:rPr>
              <w:t>(5).</w:t>
            </w:r>
            <w:r w:rsidRPr="005D642E">
              <w:rPr>
                <w:rtl/>
              </w:rPr>
              <w:t xml:space="preserve"> هذه الرواية بتمامها لم ترد في « جس »</w:t>
            </w:r>
            <w:r>
              <w:rPr>
                <w:rtl/>
              </w:rPr>
              <w:t>.</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392 ، ح 1209 ، معلّقاً عن ابن محبوب. </w:t>
      </w:r>
      <w:r w:rsidR="00E3253D" w:rsidRPr="002F4D34">
        <w:rPr>
          <w:rStyle w:val="libFootnoteBoldChar"/>
          <w:rtl/>
        </w:rPr>
        <w:t>الفقيه</w:t>
      </w:r>
      <w:r w:rsidR="00E3253D" w:rsidRPr="005D642E">
        <w:rPr>
          <w:rtl/>
        </w:rPr>
        <w:t xml:space="preserve"> ، ج 1 ، ص 92 ، ذيل ح 198 ، مع اختلاف يسير </w:t>
      </w:r>
      <w:r w:rsidR="00AB33E4">
        <w:rPr>
          <w:rFonts w:hint="cs"/>
          <w:rtl/>
        </w:rPr>
        <w:t>.</w:t>
      </w:r>
      <w:r w:rsidR="00E3253D" w:rsidRPr="002F4D34">
        <w:rPr>
          <w:rStyle w:val="libFootnoteBoldChar"/>
          <w:rtl/>
        </w:rPr>
        <w:t>الوافي</w:t>
      </w:r>
      <w:r w:rsidR="00E3253D" w:rsidRPr="005D642E">
        <w:rPr>
          <w:rtl/>
        </w:rPr>
        <w:t xml:space="preserve"> ، ج 6 ، ص 493 ، ح 4769 ؛ </w:t>
      </w:r>
      <w:r w:rsidR="00E3253D" w:rsidRPr="002F4D34">
        <w:rPr>
          <w:rStyle w:val="libFootnoteBoldChar"/>
          <w:rtl/>
        </w:rPr>
        <w:t>الوسائل</w:t>
      </w:r>
      <w:r w:rsidR="00E3253D" w:rsidRPr="005D642E">
        <w:rPr>
          <w:rtl/>
        </w:rPr>
        <w:t xml:space="preserve"> ، ج 2 ، ص 361 ، ح 2366.</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السند معلّق ، كسابقه.</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ظ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ح 1210 </w:t>
      </w:r>
      <w:r w:rsidR="00E3253D" w:rsidRPr="00E678B5">
        <w:rPr>
          <w:rStyle w:val="libFootnoteBoldChar"/>
          <w:rtl/>
        </w:rPr>
        <w:t>والاستبصار</w:t>
      </w:r>
      <w:r w:rsidR="00E3253D" w:rsidRPr="005D642E">
        <w:rPr>
          <w:rtl/>
        </w:rPr>
        <w:t xml:space="preserve"> : + « قال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 « فإن كانت »</w:t>
      </w:r>
      <w:r w:rsidR="00E3253D">
        <w:rPr>
          <w:rtl/>
        </w:rPr>
        <w:t>.</w:t>
      </w:r>
      <w:r w:rsidR="00E3253D" w:rsidRPr="005D642E">
        <w:rPr>
          <w:rtl/>
        </w:rPr>
        <w:t xml:space="preserve"> وفي التهذيب ، ح 1210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كانت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ح 1210 </w:t>
      </w:r>
      <w:r w:rsidR="00E3253D" w:rsidRPr="00E678B5">
        <w:rPr>
          <w:rStyle w:val="libFootnoteBoldChar"/>
          <w:rtl/>
        </w:rPr>
        <w:t>والاستبصار</w:t>
      </w:r>
      <w:r w:rsidR="00E3253D" w:rsidRPr="005D642E">
        <w:rPr>
          <w:rtl/>
        </w:rPr>
        <w:t>. وفي المطبوع : « مسجد » بدون الضمير.</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الوسائل : « تطهرت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392 ، ح 1210 ؛ </w:t>
      </w:r>
      <w:r w:rsidR="00E3253D" w:rsidRPr="00E678B5">
        <w:rPr>
          <w:rStyle w:val="libFootnoteBoldChar"/>
          <w:rtl/>
        </w:rPr>
        <w:t>والاستبصار</w:t>
      </w:r>
      <w:r w:rsidR="00E3253D" w:rsidRPr="005D642E">
        <w:rPr>
          <w:rtl/>
        </w:rPr>
        <w:t xml:space="preserve"> ، ج 1 ، ص 144 ، ح 495 ، معلّقاً عن ابن محبوب. </w:t>
      </w:r>
      <w:r w:rsidR="00E3253D" w:rsidRPr="002F4D34">
        <w:rPr>
          <w:rStyle w:val="libFootnoteBoldChar"/>
          <w:rtl/>
        </w:rPr>
        <w:t>التهذيب</w:t>
      </w:r>
      <w:r w:rsidR="00E3253D" w:rsidRPr="005D642E">
        <w:rPr>
          <w:rtl/>
        </w:rPr>
        <w:t xml:space="preserve"> ، ج 1 ، ص 394 ، ح 1220 ، بسند آخر عن أبي عبدالله </w:t>
      </w:r>
      <w:r w:rsidR="00E3253D" w:rsidRPr="00F727C3">
        <w:rPr>
          <w:rStyle w:val="libFootnoteAlaemChar"/>
          <w:rtl/>
        </w:rPr>
        <w:t>عليه‌السلام</w:t>
      </w:r>
      <w:r w:rsidR="00E3253D" w:rsidRPr="005D642E">
        <w:rPr>
          <w:rtl/>
        </w:rPr>
        <w:t xml:space="preserve"> ، إلى قوله : « ولاتقضي الركعتين »</w:t>
      </w:r>
      <w:r w:rsidR="00E3253D">
        <w:rPr>
          <w:rtl/>
        </w:rPr>
        <w:t>.</w:t>
      </w:r>
      <w:r w:rsidR="00E3253D" w:rsidRPr="005D642E">
        <w:rPr>
          <w:rtl/>
        </w:rPr>
        <w:t xml:space="preserve"> </w:t>
      </w:r>
      <w:r w:rsidR="00E3253D" w:rsidRPr="002F4D34">
        <w:rPr>
          <w:rStyle w:val="libFootnoteBoldChar"/>
          <w:rtl/>
        </w:rPr>
        <w:t>الفقيه</w:t>
      </w:r>
      <w:r w:rsidR="00E3253D" w:rsidRPr="005D642E">
        <w:rPr>
          <w:rtl/>
        </w:rPr>
        <w:t xml:space="preserve"> ، ج 1 ، ص 93 ، ذيل ح 198 ، وفيهما مع اختلاف يسير </w:t>
      </w:r>
      <w:r w:rsidR="00AB33E4">
        <w:rPr>
          <w:rFonts w:hint="cs"/>
          <w:rtl/>
        </w:rPr>
        <w:t>.</w:t>
      </w:r>
      <w:r w:rsidR="00E3253D" w:rsidRPr="002F4D34">
        <w:rPr>
          <w:rStyle w:val="libFootnoteBoldChar"/>
          <w:rtl/>
        </w:rPr>
        <w:t>الوافي</w:t>
      </w:r>
      <w:r w:rsidR="00E3253D" w:rsidRPr="005D642E">
        <w:rPr>
          <w:rtl/>
        </w:rPr>
        <w:t xml:space="preserve"> ، ج 6 ، ص 496 ، ح 4770 ؛ </w:t>
      </w:r>
      <w:r w:rsidR="00E3253D" w:rsidRPr="002F4D34">
        <w:rPr>
          <w:rStyle w:val="libFootnoteBoldChar"/>
          <w:rtl/>
        </w:rPr>
        <w:t>الوسائل</w:t>
      </w:r>
      <w:r w:rsidR="00E3253D" w:rsidRPr="005D642E">
        <w:rPr>
          <w:rtl/>
        </w:rPr>
        <w:t xml:space="preserve"> ، ج 2 ، ص 360 ، ح 2362.</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225" w:name="_Toc344647285"/>
      <w:bookmarkStart w:id="226" w:name="_Toc462226800"/>
      <w:bookmarkStart w:id="227" w:name="_Toc40975908"/>
      <w:r w:rsidRPr="005D642E">
        <w:rPr>
          <w:rtl/>
          <w:lang w:bidi="fa-IR"/>
        </w:rPr>
        <w:lastRenderedPageBreak/>
        <w:t>17</w:t>
      </w:r>
      <w:r>
        <w:rPr>
          <w:rtl/>
          <w:lang w:bidi="fa-IR"/>
        </w:rPr>
        <w:t xml:space="preserve"> </w:t>
      </w:r>
      <w:r w:rsidR="007642BC">
        <w:rPr>
          <w:rtl/>
          <w:lang w:bidi="fa-IR"/>
        </w:rPr>
        <w:t>-</w:t>
      </w:r>
      <w:r>
        <w:rPr>
          <w:rtl/>
          <w:lang w:bidi="fa-IR"/>
        </w:rPr>
        <w:t xml:space="preserve"> </w:t>
      </w:r>
      <w:r w:rsidRPr="005D642E">
        <w:rPr>
          <w:rtl/>
          <w:lang w:bidi="fa-IR"/>
        </w:rPr>
        <w:t xml:space="preserve">بَابُ الْمَرْأَةِ </w:t>
      </w:r>
      <w:r w:rsidRPr="007C12DB">
        <w:rPr>
          <w:rStyle w:val="libFootnotenumChar"/>
          <w:rtl/>
        </w:rPr>
        <w:t>(1)</w:t>
      </w:r>
      <w:r>
        <w:rPr>
          <w:rtl/>
        </w:rPr>
        <w:t xml:space="preserve"> </w:t>
      </w:r>
      <w:r w:rsidRPr="005D642E">
        <w:rPr>
          <w:rtl/>
          <w:lang w:bidi="fa-IR"/>
        </w:rPr>
        <w:t>تَكُونُ فِي الصَّلَاةِ فَتَحُسُّ بِالْحَيْضِ‌</w:t>
      </w:r>
      <w:bookmarkEnd w:id="225"/>
      <w:bookmarkEnd w:id="226"/>
      <w:bookmarkEnd w:id="227"/>
    </w:p>
    <w:p w:rsidR="00E3253D" w:rsidRPr="005D642E" w:rsidRDefault="00E3253D" w:rsidP="00E3253D">
      <w:pPr>
        <w:pStyle w:val="libNormal"/>
        <w:rPr>
          <w:rtl/>
          <w:lang w:bidi="fa-IR"/>
        </w:rPr>
      </w:pPr>
      <w:r w:rsidRPr="008973C6">
        <w:rPr>
          <w:rtl/>
        </w:rPr>
        <w:t>4217</w:t>
      </w:r>
      <w:r w:rsidRPr="00246318">
        <w:rPr>
          <w:rStyle w:val="libBold2Char"/>
          <w:rtl/>
        </w:rPr>
        <w:t xml:space="preserve"> / 1.</w:t>
      </w:r>
      <w:r w:rsidRPr="005D642E">
        <w:rPr>
          <w:rtl/>
          <w:lang w:bidi="fa-IR"/>
        </w:rPr>
        <w:t xml:space="preserve"> مُحَمَّدُ بْنُ يَحْيى ، عَنْ مُحَمَّدِ بْنِ أَحْمَدَ ، عَنْ أَحْمَدَ بْنِ الْحَسَنِ بْنِ عَلِيٍّ ، عَنْ عَمْرِو بْنِ سَعِيدٍ ، عَنْ مُصَدِّقِ بْنِ صَدَقَةَ ، عَنْ عَمَّارِ بْنِ مُوسى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الْمَرْأَةِ تَكُونُ فِي الصَّلَاةِ ، فَتَظُنُّ أَنَّهَا قَدْ حَاضَتْ</w:t>
      </w:r>
      <w:r>
        <w:rPr>
          <w:rtl/>
          <w:lang w:bidi="fa-IR"/>
        </w:rPr>
        <w:t>؟</w:t>
      </w:r>
    </w:p>
    <w:p w:rsidR="00E3253D" w:rsidRPr="005D642E" w:rsidRDefault="00E3253D" w:rsidP="00E3253D">
      <w:pPr>
        <w:pStyle w:val="libNormal"/>
        <w:rPr>
          <w:rtl/>
          <w:lang w:bidi="fa-IR"/>
        </w:rPr>
      </w:pPr>
      <w:r w:rsidRPr="005D642E">
        <w:rPr>
          <w:rtl/>
          <w:lang w:bidi="fa-IR"/>
        </w:rPr>
        <w:t xml:space="preserve">قَالَ : « تُدْخِلُ يَدَهَا </w:t>
      </w:r>
      <w:r w:rsidRPr="007C12DB">
        <w:rPr>
          <w:rStyle w:val="libFootnotenumChar"/>
          <w:rtl/>
        </w:rPr>
        <w:t>(2)</w:t>
      </w:r>
      <w:r w:rsidRPr="005D642E">
        <w:rPr>
          <w:rtl/>
          <w:lang w:bidi="fa-IR"/>
        </w:rPr>
        <w:t xml:space="preserve"> ، فَتَمَسُّ </w:t>
      </w:r>
      <w:r w:rsidRPr="007C12DB">
        <w:rPr>
          <w:rStyle w:val="libFootnotenumChar"/>
          <w:rtl/>
        </w:rPr>
        <w:t>(3)</w:t>
      </w:r>
      <w:r w:rsidRPr="005D642E">
        <w:rPr>
          <w:rtl/>
          <w:lang w:bidi="fa-IR"/>
        </w:rPr>
        <w:t xml:space="preserve"> الْمَوْضِعَ ، فَإِنْ رَأَتْ شَيْئاً ، انْصَرَفَتْ ؛ وَإِنْ لَمْ تَرَ شَيْئاً ، أَتَمَّتْ صَلَاتَهَا »</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228" w:name="_Toc344647286"/>
      <w:bookmarkStart w:id="229" w:name="_Toc462226801"/>
      <w:bookmarkStart w:id="230" w:name="_Toc40975909"/>
      <w:r w:rsidRPr="005D642E">
        <w:rPr>
          <w:rtl/>
          <w:lang w:bidi="fa-IR"/>
        </w:rPr>
        <w:t>18</w:t>
      </w:r>
      <w:r>
        <w:rPr>
          <w:rtl/>
          <w:lang w:bidi="fa-IR"/>
        </w:rPr>
        <w:t xml:space="preserve"> </w:t>
      </w:r>
      <w:r w:rsidR="007642BC">
        <w:rPr>
          <w:rtl/>
          <w:lang w:bidi="fa-IR"/>
        </w:rPr>
        <w:t>-</w:t>
      </w:r>
      <w:r>
        <w:rPr>
          <w:rtl/>
          <w:lang w:bidi="fa-IR"/>
        </w:rPr>
        <w:t xml:space="preserve"> </w:t>
      </w:r>
      <w:r w:rsidRPr="005D642E">
        <w:rPr>
          <w:rtl/>
          <w:lang w:bidi="fa-IR"/>
        </w:rPr>
        <w:t xml:space="preserve">بَابُ الْحَائِضِ تَقْضِي الصَّوْمَ </w:t>
      </w:r>
      <w:r w:rsidRPr="007C12DB">
        <w:rPr>
          <w:rStyle w:val="libFootnotenumChar"/>
          <w:rtl/>
        </w:rPr>
        <w:t>(5)</w:t>
      </w:r>
      <w:r>
        <w:rPr>
          <w:rtl/>
        </w:rPr>
        <w:t xml:space="preserve"> </w:t>
      </w:r>
      <w:r w:rsidRPr="005D642E">
        <w:rPr>
          <w:rtl/>
          <w:lang w:bidi="fa-IR"/>
        </w:rPr>
        <w:t>وَلَاتَقْضِي الصَّلَاةَ‌</w:t>
      </w:r>
      <w:bookmarkEnd w:id="228"/>
      <w:bookmarkEnd w:id="229"/>
      <w:bookmarkEnd w:id="230"/>
    </w:p>
    <w:p w:rsidR="00E3253D" w:rsidRPr="005D642E" w:rsidRDefault="00E3253D" w:rsidP="00E3253D">
      <w:pPr>
        <w:pStyle w:val="libNormal"/>
        <w:rPr>
          <w:rtl/>
          <w:lang w:bidi="fa-IR"/>
        </w:rPr>
      </w:pPr>
      <w:r w:rsidRPr="008973C6">
        <w:rPr>
          <w:rtl/>
        </w:rPr>
        <w:t>4218</w:t>
      </w:r>
      <w:r w:rsidRPr="00246318">
        <w:rPr>
          <w:rStyle w:val="libBold2Char"/>
          <w:rtl/>
        </w:rPr>
        <w:t xml:space="preserve"> / 1.</w:t>
      </w:r>
      <w:r w:rsidRPr="005D642E">
        <w:rPr>
          <w:rtl/>
          <w:lang w:bidi="fa-IR"/>
        </w:rPr>
        <w:t xml:space="preserve"> الْحُسَيْنُ بْنُ مُحَمَّدٍ الْأَشْعَرِيُّ </w:t>
      </w:r>
      <w:r w:rsidRPr="007C12DB">
        <w:rPr>
          <w:rStyle w:val="libFootnotenumChar"/>
          <w:rtl/>
        </w:rPr>
        <w:t>(6)</w:t>
      </w:r>
      <w:r w:rsidRPr="005D642E">
        <w:rPr>
          <w:rtl/>
          <w:lang w:bidi="fa-IR"/>
        </w:rPr>
        <w:t xml:space="preserve"> ، عَنْ مُعَلَّى بْنِ مُحَمَّدٍ ، عَنِ الْوَشَّاءِ ، عَنْ أَبَانٍ ، عَمَّنْ أَخْبَرَهُ :</w:t>
      </w:r>
    </w:p>
    <w:p w:rsidR="00E3253D" w:rsidRPr="005D642E" w:rsidRDefault="00E3253D" w:rsidP="00E3253D">
      <w:pPr>
        <w:pStyle w:val="libNormal"/>
        <w:rPr>
          <w:rtl/>
          <w:lang w:bidi="fa-IR"/>
        </w:rPr>
      </w:pPr>
      <w:r w:rsidRPr="005D642E">
        <w:rPr>
          <w:rtl/>
          <w:lang w:bidi="fa-IR"/>
        </w:rPr>
        <w:t xml:space="preserve">عَنْ أَبِي جَعْفَرٍ وَأَبِي عَبْدِ اللهِ </w:t>
      </w:r>
      <w:r w:rsidRPr="00AC51C5">
        <w:rPr>
          <w:rStyle w:val="libAlaemChar"/>
          <w:rtl/>
        </w:rPr>
        <w:t>عليهما‌السلام</w:t>
      </w:r>
      <w:r w:rsidRPr="005D642E">
        <w:rPr>
          <w:rtl/>
          <w:lang w:bidi="fa-IR"/>
        </w:rPr>
        <w:t xml:space="preserve"> ، قَالَا : « الْحَائِضُ تَقْضِي الصِّ</w:t>
      </w:r>
      <w:r w:rsidR="00591486">
        <w:rPr>
          <w:rtl/>
          <w:lang w:bidi="fa-IR"/>
        </w:rPr>
        <w:t>يَامَ ، وَلَاتَقْضِي الصَّلَاةَ</w:t>
      </w:r>
      <w:r w:rsidRPr="005D642E">
        <w:rPr>
          <w:rtl/>
          <w:lang w:bidi="fa-IR"/>
        </w:rPr>
        <w:t>»</w:t>
      </w:r>
      <w:r>
        <w:rPr>
          <w:rtl/>
          <w:lang w:bidi="fa-IR"/>
        </w:rPr>
        <w:t>.</w:t>
      </w:r>
      <w:r w:rsidRPr="007C12DB">
        <w:rPr>
          <w:rStyle w:val="libFootnotenumChar"/>
          <w:rtl/>
        </w:rPr>
        <w:t>(7)</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727C3" w:rsidTr="00F727C3">
        <w:tc>
          <w:tcPr>
            <w:tcW w:w="4006" w:type="dxa"/>
          </w:tcPr>
          <w:p w:rsidR="00F727C3" w:rsidRDefault="00F727C3" w:rsidP="00E3253D">
            <w:pPr>
              <w:pStyle w:val="libFootnote0"/>
              <w:rPr>
                <w:rStyle w:val="libFootnote0Char"/>
                <w:rtl/>
              </w:rPr>
            </w:pPr>
            <w:r w:rsidRPr="0042621E">
              <w:rPr>
                <w:rStyle w:val="libFootnote0Char"/>
                <w:rtl/>
              </w:rPr>
              <w:t>(1).</w:t>
            </w:r>
            <w:r>
              <w:rPr>
                <w:rtl/>
              </w:rPr>
              <w:t xml:space="preserve"> </w:t>
            </w:r>
            <w:r w:rsidRPr="005D642E">
              <w:rPr>
                <w:rtl/>
              </w:rPr>
              <w:t>في « بح » : + « التي »</w:t>
            </w:r>
            <w:r>
              <w:rPr>
                <w:rtl/>
              </w:rPr>
              <w:t>.</w:t>
            </w:r>
          </w:p>
        </w:tc>
        <w:tc>
          <w:tcPr>
            <w:tcW w:w="4006" w:type="dxa"/>
          </w:tcPr>
          <w:p w:rsidR="00F727C3" w:rsidRDefault="00F727C3" w:rsidP="00E3253D">
            <w:pPr>
              <w:pStyle w:val="libFootnote0"/>
              <w:rPr>
                <w:rStyle w:val="libFootnote0Char"/>
                <w:rtl/>
              </w:rPr>
            </w:pPr>
            <w:r w:rsidRPr="0042621E">
              <w:rPr>
                <w:rStyle w:val="libFootnote0Char"/>
                <w:rtl/>
              </w:rPr>
              <w:t>(2).</w:t>
            </w:r>
            <w:r w:rsidRPr="005D642E">
              <w:rPr>
                <w:rtl/>
              </w:rPr>
              <w:t xml:space="preserve"> في حاشية « بث » : + « في الموضع »</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 « وتمسّ »</w:t>
      </w:r>
      <w:r w:rsidR="00E3253D">
        <w:rPr>
          <w:rtl/>
        </w:rPr>
        <w:t>.</w:t>
      </w:r>
      <w:r w:rsidR="00E3253D" w:rsidRPr="005D642E">
        <w:rPr>
          <w:rtl/>
        </w:rPr>
        <w:t xml:space="preserve"> وفي « بث » وحاشية « بخ » : « فتمسح »</w:t>
      </w:r>
      <w:r w:rsidR="00E3253D">
        <w:rPr>
          <w:rtl/>
        </w:rPr>
        <w:t>.</w:t>
      </w:r>
    </w:p>
    <w:p w:rsidR="00E3253D" w:rsidRPr="005D642E" w:rsidRDefault="0042621E" w:rsidP="00AE3EB7">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394 ، ح 1222 ، معلّقاً عن محمّد بن أحمد بن يحيى. </w:t>
      </w:r>
      <w:r w:rsidR="00E3253D" w:rsidRPr="002F4D34">
        <w:rPr>
          <w:rStyle w:val="libFootnoteBoldChar"/>
          <w:rtl/>
        </w:rPr>
        <w:t>الفقيه</w:t>
      </w:r>
      <w:r w:rsidR="00E3253D" w:rsidRPr="005D642E">
        <w:rPr>
          <w:rtl/>
        </w:rPr>
        <w:t xml:space="preserve"> ، ج 1 ، ص 94 ، ذيل ح 198 ، مع اختلاف يسير </w:t>
      </w:r>
      <w:r w:rsidR="00AE3EB7">
        <w:rPr>
          <w:rFonts w:hint="cs"/>
          <w:rtl/>
        </w:rPr>
        <w:t>.</w:t>
      </w:r>
      <w:r w:rsidR="00E3253D" w:rsidRPr="002F4D34">
        <w:rPr>
          <w:rStyle w:val="libFootnoteBoldChar"/>
          <w:rtl/>
        </w:rPr>
        <w:t>الوافي</w:t>
      </w:r>
      <w:r w:rsidR="00E3253D" w:rsidRPr="005D642E">
        <w:rPr>
          <w:rtl/>
        </w:rPr>
        <w:t xml:space="preserve"> ، ج 6 ، ص 498 ، ح 4784 ؛ </w:t>
      </w:r>
      <w:r w:rsidR="00E3253D" w:rsidRPr="002F4D34">
        <w:rPr>
          <w:rStyle w:val="libFootnoteBoldChar"/>
          <w:rtl/>
        </w:rPr>
        <w:t>الوسائل</w:t>
      </w:r>
      <w:r w:rsidR="00AE3EB7">
        <w:rPr>
          <w:rtl/>
        </w:rPr>
        <w:t xml:space="preserve"> ، ج 1 ، ص 270 ، ح 704 ؛ وج 2،ص 355،ح 2351؛وج 7،ص 283،</w:t>
      </w:r>
      <w:r w:rsidR="00E3253D" w:rsidRPr="005D642E">
        <w:rPr>
          <w:rtl/>
        </w:rPr>
        <w:t>ح 9352.</w:t>
      </w:r>
      <w:r w:rsidR="00AE3EB7">
        <w:rPr>
          <w:rFonts w:hint="cs"/>
          <w:rtl/>
        </w:rPr>
        <w:t xml:space="preserve">  </w:t>
      </w:r>
      <w:r w:rsidRPr="0042621E">
        <w:rPr>
          <w:rStyle w:val="libFootnote0Char"/>
          <w:rtl/>
        </w:rPr>
        <w:t>(5).</w:t>
      </w:r>
      <w:r w:rsidR="00E3253D" w:rsidRPr="005D642E">
        <w:rPr>
          <w:rtl/>
        </w:rPr>
        <w:t xml:space="preserve"> في « جس » وحاشية « بث ، بخ » : « الصيام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الأشعري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160 ، ح 457 ، بسنده عن الكليني. </w:t>
      </w:r>
      <w:r w:rsidR="00E3253D" w:rsidRPr="002F4D34">
        <w:rPr>
          <w:rStyle w:val="libFootnoteBoldChar"/>
          <w:rtl/>
        </w:rPr>
        <w:t>الخصال</w:t>
      </w:r>
      <w:r w:rsidR="00E3253D" w:rsidRPr="005D642E">
        <w:rPr>
          <w:rtl/>
        </w:rPr>
        <w:t xml:space="preserve"> ، ص 606 ، أبواب الثمانين ومافوقه ، ضمن الحديث الطويل 9 ، بسند آخر عن أبي عبدالله </w:t>
      </w:r>
      <w:r w:rsidR="00E3253D" w:rsidRPr="00AE3EB7">
        <w:rPr>
          <w:rStyle w:val="libFootnoteAlaemChar"/>
          <w:rtl/>
        </w:rPr>
        <w:t>عليه‌السلام</w:t>
      </w:r>
      <w:r w:rsidR="00E3253D" w:rsidRPr="005D642E">
        <w:rPr>
          <w:rtl/>
        </w:rPr>
        <w:t xml:space="preserve">. </w:t>
      </w:r>
      <w:r w:rsidR="00E3253D" w:rsidRPr="002F4D34">
        <w:rPr>
          <w:rStyle w:val="libFootnoteBoldChar"/>
          <w:rtl/>
        </w:rPr>
        <w:t>عيون الأخبار</w:t>
      </w:r>
      <w:r w:rsidR="00E3253D" w:rsidRPr="005D642E">
        <w:rPr>
          <w:rtl/>
        </w:rPr>
        <w:t xml:space="preserve"> ، ج 2 ، ص 124 ، ضمن ح 1 ، بسند آخر عن الرضا </w:t>
      </w:r>
      <w:r w:rsidR="00E3253D" w:rsidRPr="00AE3EB7">
        <w:rPr>
          <w:rStyle w:val="libFootnoteAlaemChar"/>
          <w:rtl/>
        </w:rPr>
        <w:t>عليه‌السلام</w:t>
      </w:r>
      <w:r w:rsidR="00E3253D" w:rsidRPr="005D642E">
        <w:rPr>
          <w:rtl/>
        </w:rPr>
        <w:t xml:space="preserve">. </w:t>
      </w:r>
      <w:r w:rsidR="00E3253D" w:rsidRPr="002F4D34">
        <w:rPr>
          <w:rStyle w:val="libFootnoteBoldChar"/>
          <w:rtl/>
        </w:rPr>
        <w:t>تحف العقول</w:t>
      </w:r>
      <w:r w:rsidR="00E3253D" w:rsidRPr="005D642E">
        <w:rPr>
          <w:rtl/>
        </w:rPr>
        <w:t xml:space="preserve"> ، ص 419 ، ضمن الحديث الطويل ، عن الرضا </w:t>
      </w:r>
      <w:r w:rsidR="00E3253D" w:rsidRPr="00AE3EB7">
        <w:rPr>
          <w:rStyle w:val="libFootnoteAlaemChar"/>
          <w:rtl/>
        </w:rPr>
        <w:t>عليه‌السلام</w:t>
      </w:r>
      <w:r w:rsidR="00E3253D" w:rsidRPr="005D642E">
        <w:rPr>
          <w:rtl/>
        </w:rPr>
        <w:t xml:space="preserve"> ، وفي الثلاثة الأخيرة مع اختلاف يسير. وراجع : </w:t>
      </w:r>
      <w:r w:rsidR="00E3253D" w:rsidRPr="002F4D34">
        <w:rPr>
          <w:rStyle w:val="libFootnoteBoldChar"/>
          <w:rtl/>
        </w:rPr>
        <w:t>تفسير العيّاشي</w:t>
      </w:r>
      <w:r w:rsidR="00E3253D" w:rsidRPr="005D642E">
        <w:rPr>
          <w:rtl/>
        </w:rPr>
        <w:t xml:space="preserve"> ، ج 1 ، ص 172 ، ح 42 </w:t>
      </w:r>
      <w:r w:rsidR="00E3253D" w:rsidRPr="002F4D34">
        <w:rPr>
          <w:rStyle w:val="libFootnoteBoldChar"/>
          <w:rtl/>
        </w:rPr>
        <w:t>الوافي</w:t>
      </w:r>
      <w:r w:rsidR="00E3253D" w:rsidRPr="005D642E">
        <w:rPr>
          <w:rtl/>
        </w:rPr>
        <w:t xml:space="preserve"> ، ج 6 ، ص 491 ، ح 4767 ؛ وج 8 ، ص 1007 ، ح 7611 ؛ وج 11 ، ص 328 ، ح 10974 ؛ </w:t>
      </w:r>
      <w:r w:rsidR="00E3253D" w:rsidRPr="002F4D34">
        <w:rPr>
          <w:rStyle w:val="libFootnoteBoldChar"/>
          <w:rtl/>
        </w:rPr>
        <w:t>الوسائل</w:t>
      </w:r>
      <w:r w:rsidR="00E3253D" w:rsidRPr="005D642E">
        <w:rPr>
          <w:rtl/>
        </w:rPr>
        <w:t xml:space="preserve"> ، ج 2 ، ص 347 ، ح 2330.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8973C6">
        <w:rPr>
          <w:rtl/>
        </w:rPr>
        <w:lastRenderedPageBreak/>
        <w:t>4219</w:t>
      </w:r>
      <w:r w:rsidRPr="00246318">
        <w:rPr>
          <w:rStyle w:val="libBold2Char"/>
          <w:rtl/>
        </w:rPr>
        <w:t xml:space="preserve"> / 2.</w:t>
      </w:r>
      <w:r w:rsidRPr="005D642E">
        <w:rPr>
          <w:rtl/>
          <w:lang w:bidi="fa-IR"/>
        </w:rPr>
        <w:t xml:space="preserve"> عَلِيُّ بْنُ إِبْرَاهِيمَ ، عَنْ أَبِيهِ ، عَنِ ابْنِ أَبِي عُمَيْرٍ </w:t>
      </w:r>
      <w:r w:rsidRPr="007C12DB">
        <w:rPr>
          <w:rStyle w:val="libFootnotenumChar"/>
          <w:rtl/>
        </w:rPr>
        <w:t>(1)</w:t>
      </w:r>
      <w:r w:rsidRPr="005D642E">
        <w:rPr>
          <w:rtl/>
          <w:lang w:bidi="fa-IR"/>
        </w:rPr>
        <w:t xml:space="preserve"> ، عَنِ</w:t>
      </w:r>
      <w:r w:rsidR="00AE3EB7">
        <w:rPr>
          <w:rtl/>
          <w:lang w:bidi="fa-IR"/>
        </w:rPr>
        <w:t xml:space="preserve"> الْحَسَنِ بْنِ رَاشِدٍ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الْحَائِضُ تَقْضِي الصَّلَاةَ </w:t>
      </w:r>
      <w:r w:rsidRPr="007C12DB">
        <w:rPr>
          <w:rStyle w:val="libFootnotenumChar"/>
          <w:rtl/>
        </w:rPr>
        <w:t>(2)</w:t>
      </w:r>
      <w:r>
        <w:rPr>
          <w:rtl/>
          <w:lang w:bidi="fa-IR"/>
        </w:rPr>
        <w:t>؟</w:t>
      </w:r>
      <w:r w:rsidRPr="005D642E">
        <w:rPr>
          <w:rtl/>
          <w:lang w:bidi="fa-IR"/>
        </w:rPr>
        <w:t xml:space="preserve"> قَالَ : « لَا </w:t>
      </w:r>
      <w:r w:rsidRPr="007C12DB">
        <w:rPr>
          <w:rStyle w:val="libFootnotenumChar"/>
          <w:rtl/>
        </w:rPr>
        <w:t>(3)</w:t>
      </w:r>
      <w:r w:rsidRPr="005D642E">
        <w:rPr>
          <w:rtl/>
          <w:lang w:bidi="fa-IR"/>
        </w:rPr>
        <w:t xml:space="preserve"> » قُلْتُ : تَقْضِي الصَّوْمَ </w:t>
      </w:r>
      <w:r w:rsidRPr="007C12DB">
        <w:rPr>
          <w:rStyle w:val="libFootnotenumChar"/>
          <w:rtl/>
        </w:rPr>
        <w:t>(4)</w:t>
      </w:r>
      <w:r>
        <w:rPr>
          <w:rtl/>
          <w:lang w:bidi="fa-IR"/>
        </w:rPr>
        <w:t>؟</w:t>
      </w:r>
      <w:r w:rsidRPr="008973C6">
        <w:t xml:space="preserve"> </w:t>
      </w:r>
      <w:r w:rsidRPr="005D642E">
        <w:rPr>
          <w:rtl/>
          <w:lang w:bidi="fa-IR"/>
        </w:rPr>
        <w:t xml:space="preserve">قَالَ : « نَعَمْ </w:t>
      </w:r>
      <w:r w:rsidRPr="007C12DB">
        <w:rPr>
          <w:rStyle w:val="libFootnotenumChar"/>
          <w:rtl/>
        </w:rPr>
        <w:t>(5)</w:t>
      </w:r>
      <w:r w:rsidRPr="005D642E">
        <w:rPr>
          <w:rtl/>
          <w:lang w:bidi="fa-IR"/>
        </w:rPr>
        <w:t xml:space="preserve"> » قُلْتُ : مِنْ أَيْنَ جَاءَ هذَا </w:t>
      </w:r>
      <w:r w:rsidRPr="007C12DB">
        <w:rPr>
          <w:rStyle w:val="libFootnotenumChar"/>
          <w:rtl/>
        </w:rPr>
        <w:t>(6)</w:t>
      </w:r>
      <w:r>
        <w:rPr>
          <w:rtl/>
          <w:lang w:bidi="fa-IR"/>
        </w:rPr>
        <w:t>؟</w:t>
      </w:r>
      <w:r w:rsidRPr="005D642E">
        <w:rPr>
          <w:rtl/>
          <w:lang w:bidi="fa-IR"/>
        </w:rPr>
        <w:t xml:space="preserve"> قَالَ : « إِنَّ </w:t>
      </w:r>
      <w:r w:rsidRPr="007C12DB">
        <w:rPr>
          <w:rStyle w:val="libFootnotenumChar"/>
          <w:rtl/>
        </w:rPr>
        <w:t>(7)</w:t>
      </w:r>
      <w:r w:rsidRPr="005D642E">
        <w:rPr>
          <w:rtl/>
          <w:lang w:bidi="fa-IR"/>
        </w:rPr>
        <w:t xml:space="preserve"> أَوَّلَ مَنْ </w:t>
      </w:r>
      <w:r w:rsidRPr="007C12DB">
        <w:rPr>
          <w:rStyle w:val="libFootnotenumChar"/>
          <w:rtl/>
        </w:rPr>
        <w:t>(8)</w:t>
      </w:r>
      <w:r w:rsidRPr="005D642E">
        <w:rPr>
          <w:rtl/>
          <w:lang w:bidi="fa-IR"/>
        </w:rPr>
        <w:t xml:space="preserve"> قَاسَ إِبْلِيسُ </w:t>
      </w:r>
      <w:r w:rsidRPr="007C12DB">
        <w:rPr>
          <w:rStyle w:val="libFootnotenumChar"/>
          <w:rtl/>
        </w:rPr>
        <w:t>(9)</w:t>
      </w:r>
      <w:r w:rsidRPr="005D642E">
        <w:rPr>
          <w:rtl/>
          <w:lang w:bidi="fa-IR"/>
        </w:rPr>
        <w:t>»</w:t>
      </w:r>
      <w:r>
        <w:rPr>
          <w:rtl/>
          <w:lang w:bidi="fa-IR"/>
        </w:rPr>
        <w:t>.</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8973C6">
        <w:rPr>
          <w:rtl/>
        </w:rPr>
        <w:t>4220</w:t>
      </w:r>
      <w:r w:rsidRPr="00246318">
        <w:rPr>
          <w:rStyle w:val="libBold2Char"/>
          <w:rtl/>
        </w:rPr>
        <w:t xml:space="preserve"> / 3.</w:t>
      </w:r>
      <w:r w:rsidRPr="005D642E">
        <w:rPr>
          <w:rtl/>
          <w:lang w:bidi="fa-IR"/>
        </w:rPr>
        <w:t xml:space="preserve"> عَلِيٌّ </w:t>
      </w:r>
      <w:r w:rsidRPr="007C12DB">
        <w:rPr>
          <w:rStyle w:val="libFootnotenumChar"/>
          <w:rtl/>
        </w:rPr>
        <w:t>(11)</w:t>
      </w:r>
      <w:r w:rsidRPr="005D642E">
        <w:rPr>
          <w:rtl/>
          <w:lang w:bidi="fa-IR"/>
        </w:rPr>
        <w:t xml:space="preserve"> ، عَنْ أَبِيهِ ، عَنِ ابْنِ أَبِي عُمَيْرٍ ، عَنِ ابْنِ أُذَيْنَةَ ، عَنْ زُرَارَةَ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عَنْ قَضَاءِ الْحَائِضِ الصَّلَاةَ ، ثُمَّ تَقْضِي الصِّيَامَ</w:t>
      </w:r>
      <w:r>
        <w:rPr>
          <w:rtl/>
          <w:lang w:bidi="fa-IR"/>
        </w:rPr>
        <w:t>؟</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AE3EB7">
      <w:pPr>
        <w:pStyle w:val="libNormal"/>
        <w:rPr>
          <w:rtl/>
          <w:lang w:bidi="fa-IR"/>
        </w:rPr>
      </w:pPr>
      <w:r w:rsidRPr="005D642E">
        <w:rPr>
          <w:rtl/>
          <w:lang w:bidi="fa-IR"/>
        </w:rPr>
        <w:t xml:space="preserve">قَالَ </w:t>
      </w:r>
      <w:r w:rsidRPr="007C12DB">
        <w:rPr>
          <w:rStyle w:val="libFootnotenumChar"/>
          <w:rtl/>
        </w:rPr>
        <w:t>(13)</w:t>
      </w:r>
      <w:r w:rsidRPr="005D642E">
        <w:rPr>
          <w:rtl/>
          <w:lang w:bidi="fa-IR"/>
        </w:rPr>
        <w:t xml:space="preserve"> : « لَيْسَ عَلَيْهَا أَنْ تَقْضِيَ الصَّلَاةَ ، وَعَلَيْهَا أَنْ تَقْضِيَ صَوْمَ شَهْرِ رَمَضَانَ » ثُمَّ أَقْبَلَ عَلَيَّ ، فَقَالَ </w:t>
      </w:r>
      <w:r w:rsidRPr="007C12DB">
        <w:rPr>
          <w:rStyle w:val="libFootnotenumChar"/>
          <w:rtl/>
        </w:rPr>
        <w:t>(14)</w:t>
      </w:r>
      <w:r w:rsidRPr="005D642E">
        <w:rPr>
          <w:rtl/>
          <w:lang w:bidi="fa-IR"/>
        </w:rPr>
        <w:t xml:space="preserve"> : « إِنَّ رَسُولَ اللهِ </w:t>
      </w:r>
      <w:r w:rsidR="00AE3EB7" w:rsidRPr="0042621E">
        <w:rPr>
          <w:rStyle w:val="libAlaemChar"/>
          <w:rtl/>
        </w:rPr>
        <w:t>صلى‌الله‌عليه‌وآله</w:t>
      </w:r>
      <w:r w:rsidR="00AE3EB7" w:rsidRPr="005D642E">
        <w:rPr>
          <w:rtl/>
        </w:rPr>
        <w:t xml:space="preserve"> </w:t>
      </w:r>
      <w:r w:rsidRPr="005D642E">
        <w:rPr>
          <w:rtl/>
          <w:lang w:bidi="fa-IR"/>
        </w:rPr>
        <w:t xml:space="preserve">كَانَ يَأْمُرُ بِذلِكَ فَاطِمَةَ </w:t>
      </w:r>
      <w:r w:rsidRPr="00AC51C5">
        <w:rPr>
          <w:rStyle w:val="libAlaemChar"/>
          <w:rtl/>
        </w:rPr>
        <w:t>عليها‌السلام</w:t>
      </w:r>
      <w:r w:rsidRPr="005D642E">
        <w:rPr>
          <w:rtl/>
          <w:lang w:bidi="fa-IR"/>
        </w:rPr>
        <w:t xml:space="preserve"> </w:t>
      </w:r>
      <w:r w:rsidRPr="007C12DB">
        <w:rPr>
          <w:rStyle w:val="libFootnotenumChar"/>
          <w:rtl/>
        </w:rPr>
        <w:t>(15)</w:t>
      </w:r>
      <w:r w:rsidRPr="005D642E">
        <w:rPr>
          <w:rtl/>
          <w:lang w:bidi="fa-IR"/>
        </w:rPr>
        <w:t xml:space="preserve"> ، وَكَانَتْ‌</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الكافي ، ح 6535 :</w:t>
      </w:r>
      <w:r w:rsidR="00E3253D">
        <w:rPr>
          <w:rtl/>
        </w:rPr>
        <w:t xml:space="preserve"> </w:t>
      </w:r>
      <w:r w:rsidR="007642BC">
        <w:rPr>
          <w:rtl/>
        </w:rPr>
        <w:t>-</w:t>
      </w:r>
      <w:r w:rsidR="00E3253D">
        <w:rPr>
          <w:rtl/>
        </w:rPr>
        <w:t xml:space="preserve"> </w:t>
      </w:r>
      <w:r w:rsidR="00E3253D" w:rsidRPr="005D642E">
        <w:rPr>
          <w:rtl/>
        </w:rPr>
        <w:t>« عن ابن أبي عمير »</w:t>
      </w:r>
      <w:r w:rsidR="00E3253D">
        <w:rPr>
          <w:rtl/>
        </w:rPr>
        <w:t>.</w:t>
      </w:r>
      <w:r w:rsidR="00E3253D" w:rsidRPr="005D642E">
        <w:rPr>
          <w:rtl/>
        </w:rPr>
        <w:t xml:space="preserve"> ويأتي ، أنّ الظاهر وقوع سقط هناك.</w:t>
      </w:r>
    </w:p>
    <w:tbl>
      <w:tblPr>
        <w:tblStyle w:val="TableGrid"/>
        <w:bidiVisual/>
        <w:tblW w:w="0" w:type="auto"/>
        <w:tblLook w:val="04A0" w:firstRow="1" w:lastRow="0" w:firstColumn="1" w:lastColumn="0" w:noHBand="0" w:noVBand="1"/>
      </w:tblPr>
      <w:tblGrid>
        <w:gridCol w:w="4006"/>
        <w:gridCol w:w="4006"/>
      </w:tblGrid>
      <w:tr w:rsidR="0001112C" w:rsidTr="0001112C">
        <w:tc>
          <w:tcPr>
            <w:tcW w:w="4006" w:type="dxa"/>
          </w:tcPr>
          <w:p w:rsidR="0001112C" w:rsidRDefault="0001112C" w:rsidP="00E3253D">
            <w:pPr>
              <w:pStyle w:val="libFootnote0"/>
              <w:rPr>
                <w:rStyle w:val="libFootnote0Char"/>
                <w:rtl/>
              </w:rPr>
            </w:pPr>
            <w:r w:rsidRPr="0042621E">
              <w:rPr>
                <w:rStyle w:val="libFootnote0Char"/>
                <w:rtl/>
              </w:rPr>
              <w:t>(2).</w:t>
            </w:r>
            <w:r w:rsidRPr="005D642E">
              <w:rPr>
                <w:rtl/>
              </w:rPr>
              <w:t xml:space="preserve"> في الوافي والكافي ، ح 6535 : « الصوم</w:t>
            </w:r>
            <w:r>
              <w:rPr>
                <w:rtl/>
              </w:rPr>
              <w:t xml:space="preserve"> ».</w:t>
            </w:r>
          </w:p>
        </w:tc>
        <w:tc>
          <w:tcPr>
            <w:tcW w:w="4006" w:type="dxa"/>
          </w:tcPr>
          <w:p w:rsidR="0001112C" w:rsidRDefault="0001112C" w:rsidP="00E3253D">
            <w:pPr>
              <w:pStyle w:val="libFootnote0"/>
              <w:rPr>
                <w:rStyle w:val="libFootnote0Char"/>
                <w:rtl/>
              </w:rPr>
            </w:pPr>
            <w:r w:rsidRPr="0042621E">
              <w:rPr>
                <w:rStyle w:val="libFootnote0Char"/>
                <w:rtl/>
              </w:rPr>
              <w:t>(3).</w:t>
            </w:r>
            <w:r w:rsidRPr="005D642E">
              <w:rPr>
                <w:rtl/>
              </w:rPr>
              <w:t xml:space="preserve"> في الوافي والكافي ، ح 6535 : « نعم</w:t>
            </w:r>
            <w:r>
              <w:rPr>
                <w:rtl/>
              </w:rPr>
              <w:t xml:space="preserve"> ».</w:t>
            </w:r>
          </w:p>
        </w:tc>
      </w:tr>
      <w:tr w:rsidR="0001112C" w:rsidTr="0001112C">
        <w:tc>
          <w:tcPr>
            <w:tcW w:w="4006" w:type="dxa"/>
          </w:tcPr>
          <w:p w:rsidR="0001112C" w:rsidRDefault="00921128" w:rsidP="00E3253D">
            <w:pPr>
              <w:pStyle w:val="libFootnote0"/>
              <w:rPr>
                <w:rStyle w:val="libFootnote0Char"/>
                <w:rtl/>
              </w:rPr>
            </w:pPr>
            <w:r w:rsidRPr="0042621E">
              <w:rPr>
                <w:rStyle w:val="libFootnote0Char"/>
                <w:rtl/>
              </w:rPr>
              <w:t>(4).</w:t>
            </w:r>
            <w:r w:rsidRPr="005D642E">
              <w:rPr>
                <w:rtl/>
              </w:rPr>
              <w:t xml:space="preserve"> في الوافي والكافي ، ح 6535 : « الصلاة</w:t>
            </w:r>
            <w:r>
              <w:rPr>
                <w:rtl/>
              </w:rPr>
              <w:t xml:space="preserve"> ».</w:t>
            </w:r>
          </w:p>
        </w:tc>
        <w:tc>
          <w:tcPr>
            <w:tcW w:w="4006" w:type="dxa"/>
          </w:tcPr>
          <w:p w:rsidR="0001112C" w:rsidRDefault="00921128" w:rsidP="00E3253D">
            <w:pPr>
              <w:pStyle w:val="libFootnote0"/>
              <w:rPr>
                <w:rStyle w:val="libFootnote0Char"/>
                <w:rtl/>
              </w:rPr>
            </w:pPr>
            <w:r w:rsidRPr="0042621E">
              <w:rPr>
                <w:rStyle w:val="libFootnote0Char"/>
                <w:rtl/>
              </w:rPr>
              <w:t>(5).</w:t>
            </w:r>
            <w:r w:rsidRPr="005D642E">
              <w:rPr>
                <w:rtl/>
              </w:rPr>
              <w:t xml:space="preserve"> في الوافي والكافي ، ح 6535 : « لا</w:t>
            </w:r>
            <w:r>
              <w:rPr>
                <w:rtl/>
              </w:rPr>
              <w:t xml:space="preserve"> ».</w:t>
            </w:r>
          </w:p>
        </w:tc>
      </w:tr>
      <w:tr w:rsidR="0001112C" w:rsidTr="0001112C">
        <w:tc>
          <w:tcPr>
            <w:tcW w:w="4006" w:type="dxa"/>
          </w:tcPr>
          <w:p w:rsidR="0001112C" w:rsidRDefault="00FA7B06" w:rsidP="00E3253D">
            <w:pPr>
              <w:pStyle w:val="libFootnote0"/>
              <w:rPr>
                <w:rStyle w:val="libFootnote0Char"/>
                <w:rtl/>
              </w:rPr>
            </w:pPr>
            <w:r w:rsidRPr="0042621E">
              <w:rPr>
                <w:rStyle w:val="libFootnote0Char"/>
                <w:rtl/>
              </w:rPr>
              <w:t>(6).</w:t>
            </w:r>
            <w:r w:rsidRPr="005D642E">
              <w:rPr>
                <w:rtl/>
              </w:rPr>
              <w:t xml:space="preserve"> في الكافي ، ح 6436 : « ذا</w:t>
            </w:r>
            <w:r>
              <w:rPr>
                <w:rtl/>
              </w:rPr>
              <w:t xml:space="preserve"> ».</w:t>
            </w:r>
          </w:p>
        </w:tc>
        <w:tc>
          <w:tcPr>
            <w:tcW w:w="4006" w:type="dxa"/>
          </w:tcPr>
          <w:p w:rsidR="0001112C" w:rsidRDefault="00FA7B06" w:rsidP="00E3253D">
            <w:pPr>
              <w:pStyle w:val="libFootnote0"/>
              <w:rPr>
                <w:rStyle w:val="libFootnote0Char"/>
                <w:rtl/>
              </w:rPr>
            </w:pPr>
            <w:r w:rsidRPr="0042621E">
              <w:rPr>
                <w:rStyle w:val="libFootnote0Char"/>
                <w:rtl/>
              </w:rPr>
              <w:t>(7).</w:t>
            </w:r>
            <w:r w:rsidRPr="005D642E">
              <w:rPr>
                <w:rtl/>
              </w:rPr>
              <w:t xml:space="preserve"> في « غ » :</w:t>
            </w:r>
            <w:r>
              <w:rPr>
                <w:rtl/>
              </w:rPr>
              <w:t xml:space="preserve"> - </w:t>
            </w:r>
            <w:r w:rsidRPr="005D642E">
              <w:rPr>
                <w:rtl/>
              </w:rPr>
              <w:t>« إنّ</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 « ما</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248 : « كان استبعاده نشأ عن قياس الصلاة بالصوم فلذا أجابه </w:t>
      </w:r>
      <w:r w:rsidR="00E3253D" w:rsidRPr="00D60822">
        <w:rPr>
          <w:rStyle w:val="libFootnoteAlaemChar"/>
          <w:rtl/>
        </w:rPr>
        <w:t>عليه‌السلام</w:t>
      </w:r>
      <w:r w:rsidR="00E3253D" w:rsidRPr="005D642E">
        <w:rPr>
          <w:rtl/>
        </w:rPr>
        <w:t xml:space="preserve"> بردّ القياس</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الكافي</w:t>
      </w:r>
      <w:r w:rsidR="00E3253D" w:rsidRPr="005D642E">
        <w:rPr>
          <w:rtl/>
        </w:rPr>
        <w:t xml:space="preserve"> ، كتاب الصيام ، باب الطيب والريحان للصائم ، ح 6436 ، مع زيادة في آخره ؛ و، باب صوم الحائض والمستحاضة ، ح 6535. </w:t>
      </w:r>
      <w:r w:rsidR="00E3253D" w:rsidRPr="002F4D34">
        <w:rPr>
          <w:rStyle w:val="libFootnoteBoldChar"/>
          <w:rtl/>
        </w:rPr>
        <w:t>التهذيب</w:t>
      </w:r>
      <w:r w:rsidR="00E3253D" w:rsidRPr="005D642E">
        <w:rPr>
          <w:rtl/>
        </w:rPr>
        <w:t xml:space="preserve"> ، ج 1 ، ص 160 ، ح 458 ، بطريقين ، أحدهما ينتهي الى عليّ بن إبراهيم والآخر إلى الكليني ؛ </w:t>
      </w:r>
      <w:r w:rsidR="00E3253D" w:rsidRPr="002F4D34">
        <w:rPr>
          <w:rStyle w:val="libFootnoteBoldChar"/>
          <w:rtl/>
        </w:rPr>
        <w:t>وفيه</w:t>
      </w:r>
      <w:r w:rsidR="00E3253D" w:rsidRPr="005D642E">
        <w:rPr>
          <w:rtl/>
        </w:rPr>
        <w:t xml:space="preserve"> ، ج 4 ، ص 267 ، ح 807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2 ، ص 93 ، ح 301 ، معلّقاً عن الكليني ، مع زيادة في آخره. </w:t>
      </w:r>
      <w:r w:rsidR="00E3253D" w:rsidRPr="002F4D34">
        <w:rPr>
          <w:rStyle w:val="libFootnoteBoldChar"/>
          <w:rtl/>
        </w:rPr>
        <w:t>الكافي</w:t>
      </w:r>
      <w:r w:rsidR="00E3253D" w:rsidRPr="005D642E">
        <w:rPr>
          <w:rtl/>
        </w:rPr>
        <w:t xml:space="preserve"> ، كتاب فضل العلم ، باب البدع والرأي</w:t>
      </w:r>
      <w:r w:rsidR="00E3253D">
        <w:rPr>
          <w:rtl/>
        </w:rPr>
        <w:t xml:space="preserve"> ..</w:t>
      </w:r>
      <w:r w:rsidR="00E3253D" w:rsidRPr="005D642E">
        <w:rPr>
          <w:rtl/>
        </w:rPr>
        <w:t xml:space="preserve">. ، ح 175 ، بسند آخر ، مع زيادة في آخره ؛ </w:t>
      </w:r>
      <w:r w:rsidR="00E3253D" w:rsidRPr="002F4D34">
        <w:rPr>
          <w:rStyle w:val="libFootnoteBoldChar"/>
          <w:rtl/>
        </w:rPr>
        <w:t>علل الشرائع</w:t>
      </w:r>
      <w:r w:rsidR="00E3253D" w:rsidRPr="005D642E">
        <w:rPr>
          <w:rtl/>
        </w:rPr>
        <w:t xml:space="preserve"> ، ص 86 ، ذيل ح 2 ، بسند آخر. </w:t>
      </w:r>
      <w:r w:rsidR="00E3253D" w:rsidRPr="002F4D34">
        <w:rPr>
          <w:rStyle w:val="libFootnoteBoldChar"/>
          <w:rtl/>
        </w:rPr>
        <w:t>المحاسن</w:t>
      </w:r>
      <w:r w:rsidR="00E3253D" w:rsidRPr="005D642E">
        <w:rPr>
          <w:rtl/>
        </w:rPr>
        <w:t xml:space="preserve"> ، ص 214 ، كتاب مصابيح الظلم ، ح 96 ، بسند آخر عن أبي جعفر </w:t>
      </w:r>
      <w:r w:rsidR="00E3253D" w:rsidRPr="00D60822">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91 ، ذيل ح 197 ، وفي الأربعة الأخيرة مع اختلاف يسير </w:t>
      </w:r>
      <w:r w:rsidR="00D60822">
        <w:rPr>
          <w:rFonts w:hint="cs"/>
          <w:rtl/>
        </w:rPr>
        <w:t>.</w:t>
      </w:r>
      <w:r w:rsidR="00E3253D" w:rsidRPr="002F4D34">
        <w:rPr>
          <w:rStyle w:val="libFootnoteBoldChar"/>
          <w:rtl/>
        </w:rPr>
        <w:t>الوافي</w:t>
      </w:r>
      <w:r w:rsidR="00E3253D" w:rsidRPr="005D642E">
        <w:rPr>
          <w:rtl/>
        </w:rPr>
        <w:t xml:space="preserve"> ، ج 11 ، ص 328 ، ح 10975 ؛ </w:t>
      </w:r>
      <w:r w:rsidR="00E3253D" w:rsidRPr="002F4D34">
        <w:rPr>
          <w:rStyle w:val="libFootnoteBoldChar"/>
          <w:rtl/>
        </w:rPr>
        <w:t>الوسائل</w:t>
      </w:r>
      <w:r w:rsidR="00E3253D" w:rsidRPr="005D642E">
        <w:rPr>
          <w:rtl/>
        </w:rPr>
        <w:t xml:space="preserve"> ، ج 2 ، ص 347 ، ح 2329.</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جن » والوسائل </w:t>
      </w:r>
      <w:r w:rsidR="00B60612" w:rsidRPr="00B60612">
        <w:rPr>
          <w:rStyle w:val="libFootnoteBoldChar"/>
          <w:rtl/>
        </w:rPr>
        <w:t>والتهذيب</w:t>
      </w:r>
      <w:r w:rsidR="00E3253D" w:rsidRPr="005D642E">
        <w:rPr>
          <w:rtl/>
        </w:rPr>
        <w:t xml:space="preserve"> : + « بن إبراهيم</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غ » : « الصوم الصيام</w:t>
      </w:r>
      <w:r w:rsidR="00E3253D">
        <w:rPr>
          <w:rtl/>
        </w:rPr>
        <w:t xml:space="preserve"> ».</w:t>
      </w:r>
      <w:r w:rsidR="00E3253D" w:rsidRPr="005D642E">
        <w:rPr>
          <w:rtl/>
        </w:rPr>
        <w:t xml:space="preserve"> وفي المطبوع : « الصوم</w:t>
      </w:r>
      <w:r w:rsidR="00E3253D">
        <w:rPr>
          <w:rtl/>
        </w:rPr>
        <w:t xml:space="preserve"> ».</w:t>
      </w:r>
      <w:r w:rsidR="00E3253D">
        <w:rPr>
          <w:rFonts w:hint="cs"/>
          <w:rtl/>
          <w:lang w:bidi="fa-IR"/>
        </w:rPr>
        <w:t xml:space="preserve"> </w:t>
      </w:r>
      <w:r w:rsidR="00152A25">
        <w:rPr>
          <w:rFonts w:hint="cs"/>
          <w:rtl/>
          <w:lang w:bidi="fa-IR"/>
        </w:rPr>
        <w:t xml:space="preserve">                                    </w:t>
      </w:r>
      <w:r w:rsidRPr="0042621E">
        <w:rPr>
          <w:rStyle w:val="libFootnote0Char"/>
          <w:rtl/>
        </w:rPr>
        <w:t>(13).</w:t>
      </w:r>
      <w:r w:rsidR="00E3253D" w:rsidRPr="005D642E">
        <w:rPr>
          <w:rtl/>
        </w:rPr>
        <w:t xml:space="preserve"> في التهذيب : « فقال</w:t>
      </w:r>
      <w:r w:rsidR="00E3253D">
        <w:rPr>
          <w:rtl/>
        </w:rPr>
        <w:t xml:space="preserve"> ».</w:t>
      </w:r>
      <w:r w:rsidR="00E3253D" w:rsidRPr="005D642E">
        <w:rPr>
          <w:rtl/>
        </w:rPr>
        <w:t xml:space="preserve"> وفي الوافي : + « فقال</w:t>
      </w:r>
      <w:r w:rsidR="00E3253D">
        <w:rPr>
          <w:rtl/>
        </w:rPr>
        <w:t xml:space="preserve"> </w:t>
      </w:r>
      <w:r w:rsidR="007642BC">
        <w:rPr>
          <w:rtl/>
        </w:rPr>
        <w:t>-</w:t>
      </w:r>
      <w:r w:rsidR="00E3253D">
        <w:rPr>
          <w:rtl/>
        </w:rPr>
        <w:t xml:space="preserve"> </w:t>
      </w:r>
      <w:r w:rsidR="00E3253D" w:rsidRPr="005D642E">
        <w:rPr>
          <w:rtl/>
        </w:rPr>
        <w:t>خ ل</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وقال</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 xml:space="preserve">نقل الشيخ البهائي في </w:t>
      </w:r>
      <w:r w:rsidR="00E3253D" w:rsidRPr="002F4D34">
        <w:rPr>
          <w:rStyle w:val="libFootnoteBoldChar"/>
          <w:rtl/>
        </w:rPr>
        <w:t>مشرق الشمسين</w:t>
      </w:r>
      <w:r w:rsidR="00E3253D" w:rsidRPr="005D642E">
        <w:rPr>
          <w:rtl/>
        </w:rPr>
        <w:t xml:space="preserve"> ، ص 275</w:t>
      </w:r>
      <w:r w:rsidR="00E3253D">
        <w:rPr>
          <w:rtl/>
        </w:rPr>
        <w:t xml:space="preserve"> </w:t>
      </w:r>
      <w:r w:rsidR="007642BC">
        <w:rPr>
          <w:rtl/>
        </w:rPr>
        <w:t>-</w:t>
      </w:r>
      <w:r w:rsidR="00E3253D">
        <w:rPr>
          <w:rtl/>
        </w:rPr>
        <w:t xml:space="preserve"> </w:t>
      </w:r>
      <w:r w:rsidR="00E3253D" w:rsidRPr="005D642E">
        <w:rPr>
          <w:rtl/>
        </w:rPr>
        <w:t xml:space="preserve">276 حديثاً في أنّ فاطمة الزهراء </w:t>
      </w:r>
      <w:r w:rsidR="00E3253D" w:rsidRPr="00D60822">
        <w:rPr>
          <w:rStyle w:val="libFootnoteAlaemChar"/>
          <w:rtl/>
        </w:rPr>
        <w:t>عليها‌السلام</w:t>
      </w:r>
      <w:r w:rsidR="00E3253D" w:rsidRPr="005D642E">
        <w:rPr>
          <w:rtl/>
        </w:rPr>
        <w:t xml:space="preserve"> كانت متبرّاة من الحيض ، ثمّ قال : « فهذا الحديث إمّا أن يطرح رأساً ، أو يؤوّل بأنّه </w:t>
      </w:r>
      <w:r w:rsidRPr="00481C13">
        <w:rPr>
          <w:rStyle w:val="libFootnoteAlaemChar"/>
          <w:rtl/>
        </w:rPr>
        <w:t>صلى‌الله‌عليه‌وآله</w:t>
      </w:r>
      <w:r w:rsidR="00E3253D" w:rsidRPr="005D642E">
        <w:rPr>
          <w:rtl/>
        </w:rPr>
        <w:t xml:space="preserve"> كان يأمر فاطمة </w:t>
      </w:r>
      <w:r w:rsidR="00E3253D" w:rsidRPr="00481C13">
        <w:rPr>
          <w:rStyle w:val="libFootnoteAlaemChar"/>
          <w:rtl/>
        </w:rPr>
        <w:t>عليها‌السلام</w:t>
      </w:r>
      <w:r w:rsidR="00E3253D" w:rsidRPr="005D642E">
        <w:rPr>
          <w:rtl/>
        </w:rPr>
        <w:t xml:space="preserve"> بتعليم ذلك » ، كما هو الظاهر من آخر الحديث. ونحوه في </w:t>
      </w:r>
      <w:r w:rsidR="00E3253D" w:rsidRPr="002F4D34">
        <w:rPr>
          <w:rStyle w:val="libFootnoteBoldChar"/>
          <w:rtl/>
        </w:rPr>
        <w:t>مرآة العقول</w:t>
      </w:r>
      <w:r w:rsidR="00E3253D" w:rsidRPr="005D642E">
        <w:rPr>
          <w:rtl/>
        </w:rPr>
        <w:t xml:space="preserve"> ، ج 13 ، ص 248.</w:t>
      </w:r>
    </w:p>
    <w:p w:rsidR="00E3253D" w:rsidRDefault="00E3253D" w:rsidP="00E3253D">
      <w:pPr>
        <w:pStyle w:val="libNormal"/>
        <w:rPr>
          <w:rtl/>
          <w:lang w:bidi="fa-IR"/>
        </w:rPr>
      </w:pPr>
      <w:r>
        <w:rPr>
          <w:rtl/>
          <w:lang w:bidi="fa-IR"/>
        </w:rPr>
        <w:lastRenderedPageBreak/>
        <w:br w:type="page"/>
      </w:r>
    </w:p>
    <w:p w:rsidR="00E3253D" w:rsidRPr="005D642E" w:rsidRDefault="00E3253D" w:rsidP="00E3253D">
      <w:pPr>
        <w:pStyle w:val="libNormal0"/>
        <w:rPr>
          <w:rtl/>
          <w:lang w:bidi="fa-IR"/>
        </w:rPr>
      </w:pPr>
      <w:r w:rsidRPr="005D642E">
        <w:rPr>
          <w:rtl/>
          <w:lang w:bidi="fa-IR"/>
        </w:rPr>
        <w:lastRenderedPageBreak/>
        <w:t xml:space="preserve">تَأْمُرُ </w:t>
      </w:r>
      <w:r w:rsidRPr="007C12DB">
        <w:rPr>
          <w:rStyle w:val="libFootnotenumChar"/>
          <w:rtl/>
        </w:rPr>
        <w:t>(1)</w:t>
      </w:r>
      <w:r w:rsidRPr="005D642E">
        <w:rPr>
          <w:rtl/>
          <w:lang w:bidi="fa-IR"/>
        </w:rPr>
        <w:t xml:space="preserve"> بِذلِكَ الْمُؤْمِنَاتِ</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D31A55">
        <w:rPr>
          <w:rtl/>
        </w:rPr>
        <w:t>4221</w:t>
      </w:r>
      <w:r w:rsidRPr="00246318">
        <w:rPr>
          <w:rStyle w:val="libBold2Char"/>
          <w:rtl/>
        </w:rPr>
        <w:t xml:space="preserve"> / 4.</w:t>
      </w:r>
      <w:r w:rsidRPr="005D642E">
        <w:rPr>
          <w:rtl/>
          <w:lang w:bidi="fa-IR"/>
        </w:rPr>
        <w:t xml:space="preserve"> الْحُسَيْنُ بْنُ مُحَمَّدٍ الْأَشْعَرِىُّ </w:t>
      </w:r>
      <w:r w:rsidRPr="007C12DB">
        <w:rPr>
          <w:rStyle w:val="libFootnotenumChar"/>
          <w:rtl/>
        </w:rPr>
        <w:t>(3)</w:t>
      </w:r>
      <w:r w:rsidRPr="005D642E">
        <w:rPr>
          <w:rtl/>
          <w:lang w:bidi="fa-IR"/>
        </w:rPr>
        <w:t xml:space="preserve"> ، عَنْ مُعَلَّى بْنِ مُحَمَّدٍ </w:t>
      </w:r>
      <w:r w:rsidRPr="007C12DB">
        <w:rPr>
          <w:rStyle w:val="libFootnotenumChar"/>
          <w:rtl/>
        </w:rPr>
        <w:t>(4)</w:t>
      </w:r>
      <w:r w:rsidRPr="005D642E">
        <w:rPr>
          <w:rtl/>
          <w:lang w:bidi="fa-IR"/>
        </w:rPr>
        <w:t xml:space="preserve"> ، عَنِ الْوَشَّاءِ ، عَنْ أَبَانِ بْنِ عُثْمَانَ ، عَنْ إِسْمَاعِيلَ الْجُعْفِيِّ ، قَالَ :</w:t>
      </w:r>
    </w:p>
    <w:p w:rsidR="00E3253D" w:rsidRPr="005D642E" w:rsidRDefault="00E3253D" w:rsidP="00E3253D">
      <w:pPr>
        <w:pStyle w:val="libNormal"/>
        <w:rPr>
          <w:rtl/>
          <w:lang w:bidi="fa-IR"/>
        </w:rPr>
      </w:pPr>
      <w:r w:rsidRPr="005D642E">
        <w:rPr>
          <w:rtl/>
          <w:lang w:bidi="fa-IR"/>
        </w:rPr>
        <w:t xml:space="preserve">قُلْتُ لِأَبِي جَعْفَرٍ </w:t>
      </w:r>
      <w:r w:rsidRPr="00AC51C5">
        <w:rPr>
          <w:rStyle w:val="libAlaemChar"/>
          <w:rtl/>
        </w:rPr>
        <w:t>عليه‌السلام</w:t>
      </w:r>
      <w:r w:rsidRPr="005D642E">
        <w:rPr>
          <w:rtl/>
          <w:lang w:bidi="fa-IR"/>
        </w:rPr>
        <w:t xml:space="preserve"> : إِنَّ الْمُغِيرَةَ بْنَ سَعِيدٍ </w:t>
      </w:r>
      <w:r w:rsidRPr="007C12DB">
        <w:rPr>
          <w:rStyle w:val="libFootnotenumChar"/>
          <w:rtl/>
        </w:rPr>
        <w:t>(5)</w:t>
      </w:r>
      <w:r w:rsidRPr="005D642E">
        <w:rPr>
          <w:rtl/>
          <w:lang w:bidi="fa-IR"/>
        </w:rPr>
        <w:t xml:space="preserve"> رَوى عَنْكَ أَنَّكَ قُلْتَ لَهُ : إِنَّ الْحَائِضَ تَقْضِي الصَّلَاةَ</w:t>
      </w:r>
      <w:r>
        <w:rPr>
          <w:rtl/>
          <w:lang w:bidi="fa-IR"/>
        </w:rPr>
        <w:t>؟</w:t>
      </w:r>
    </w:p>
    <w:p w:rsidR="00E3253D" w:rsidRPr="005D642E" w:rsidRDefault="00E3253D" w:rsidP="00E3253D">
      <w:pPr>
        <w:pStyle w:val="libNormal"/>
        <w:rPr>
          <w:rtl/>
          <w:lang w:bidi="fa-IR"/>
        </w:rPr>
      </w:pPr>
      <w:r w:rsidRPr="005D642E">
        <w:rPr>
          <w:rtl/>
          <w:lang w:bidi="fa-IR"/>
        </w:rPr>
        <w:t xml:space="preserve">فَقَالَ : « مَا </w:t>
      </w:r>
      <w:r w:rsidRPr="007C12DB">
        <w:rPr>
          <w:rStyle w:val="libFootnotenumChar"/>
          <w:rtl/>
        </w:rPr>
        <w:t>(6)</w:t>
      </w:r>
      <w:r w:rsidRPr="005D642E">
        <w:rPr>
          <w:rtl/>
          <w:lang w:bidi="fa-IR"/>
        </w:rPr>
        <w:t xml:space="preserve"> لَهُ</w:t>
      </w:r>
      <w:r>
        <w:rPr>
          <w:rtl/>
          <w:lang w:bidi="fa-IR"/>
        </w:rPr>
        <w:t>؟</w:t>
      </w:r>
      <w:r w:rsidRPr="005D642E">
        <w:rPr>
          <w:rtl/>
          <w:lang w:bidi="fa-IR"/>
        </w:rPr>
        <w:t xml:space="preserve"> لَاوَفَّقَهُ اللهُ ، إِنَّ امْرَأَةَ عِمْرَانَ نَذَرَتْ مَا فِي بَطْنِهَا مُحَرَّراً </w:t>
      </w:r>
      <w:r w:rsidRPr="007C12DB">
        <w:rPr>
          <w:rStyle w:val="libFootnotenumChar"/>
          <w:rtl/>
        </w:rPr>
        <w:t>(7)</w:t>
      </w:r>
      <w:r w:rsidRPr="005D642E">
        <w:rPr>
          <w:rtl/>
          <w:lang w:bidi="fa-IR"/>
        </w:rPr>
        <w:t xml:space="preserve"> ، وَالْمُحَرَّرُ لِلْمَسْجِدِ يَدْخُلُهُ ، ثُمَّ لَايَخْرُجُ مِنْهُ أَبَداً</w:t>
      </w:r>
      <w:r>
        <w:rPr>
          <w:rFonts w:hint="cs"/>
          <w:rtl/>
          <w:lang w:bidi="fa-IR"/>
        </w:rPr>
        <w:t xml:space="preserve"> </w:t>
      </w:r>
      <w:r w:rsidRPr="00AC51C5">
        <w:rPr>
          <w:rStyle w:val="libAlaemChar"/>
          <w:rtl/>
        </w:rPr>
        <w:t>(</w:t>
      </w:r>
      <w:r w:rsidRPr="00AC51C5">
        <w:rPr>
          <w:rStyle w:val="libAieChar"/>
          <w:rtl/>
        </w:rPr>
        <w:t xml:space="preserve"> فَلَمّا وَضَعَتْها قالَتْ رَبِّ إِنِّي وَضَعْتُها أُنْثى </w:t>
      </w:r>
      <w:r w:rsidRPr="00AC51C5">
        <w:rPr>
          <w:rStyle w:val="libAlaemChar"/>
          <w:rtl/>
        </w:rPr>
        <w:t>)</w:t>
      </w:r>
      <w:r w:rsidRPr="005D642E">
        <w:rPr>
          <w:rtl/>
          <w:lang w:bidi="fa-IR"/>
        </w:rPr>
        <w:t xml:space="preserve"> ، </w:t>
      </w:r>
      <w:r w:rsidRPr="00AC51C5">
        <w:rPr>
          <w:rStyle w:val="libAlaemChar"/>
          <w:rtl/>
        </w:rPr>
        <w:t>(</w:t>
      </w:r>
      <w:r w:rsidRPr="00AC51C5">
        <w:rPr>
          <w:rStyle w:val="libAieChar"/>
          <w:rtl/>
        </w:rPr>
        <w:t xml:space="preserve"> وَلَيْسَ الذَّكَرُ كَالْأُنْثى </w:t>
      </w:r>
      <w:r w:rsidRPr="00AC51C5">
        <w:rPr>
          <w:rStyle w:val="libAlaemChar"/>
          <w:rtl/>
        </w:rPr>
        <w:t>)</w:t>
      </w:r>
      <w:r w:rsidRPr="005D642E">
        <w:rPr>
          <w:rtl/>
          <w:lang w:bidi="fa-IR"/>
        </w:rPr>
        <w:t xml:space="preserve"> </w:t>
      </w:r>
      <w:r w:rsidRPr="007C12DB">
        <w:rPr>
          <w:rStyle w:val="libFootnotenumChar"/>
          <w:rtl/>
        </w:rPr>
        <w:t>(8)</w:t>
      </w:r>
      <w:r w:rsidRPr="005D642E">
        <w:rPr>
          <w:rtl/>
          <w:lang w:bidi="fa-IR"/>
        </w:rPr>
        <w:t xml:space="preserve"> ، فَلَمَّا وَضَعَتْهَا أَدْخَلَتْهَا الْمَسْجِدَ ، فَسَاهَمَتْ عَلَيْهَا الْأَنْبِيَاءُ ، فَأَصَابَتِ الْقُرْعَةُ زَكَرِيَّا ، فَكَفَّلَهَا </w:t>
      </w:r>
      <w:r w:rsidRPr="007C12DB">
        <w:rPr>
          <w:rStyle w:val="libFootnotenumChar"/>
          <w:rtl/>
        </w:rPr>
        <w:t>(9)</w:t>
      </w:r>
      <w:r w:rsidRPr="005D642E">
        <w:rPr>
          <w:rtl/>
          <w:lang w:bidi="fa-IR"/>
        </w:rPr>
        <w:t xml:space="preserve"> </w:t>
      </w:r>
      <w:r w:rsidR="00481C13">
        <w:rPr>
          <w:rFonts w:hint="cs"/>
          <w:rtl/>
          <w:lang w:bidi="fa-IR"/>
        </w:rPr>
        <w:t>......................................................</w:t>
      </w:r>
      <w:r w:rsidR="00481C13">
        <w:rPr>
          <w:rFonts w:hint="cs"/>
          <w:rtl/>
          <w:lang w:bidi="fa-IR"/>
        </w:rPr>
        <w:tab/>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غ ، بث ، بح ، بخ ، بس ، بف ، جح ، جس » والوسائل : « كان يأمر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160 ، ح 459 ، بطريقين ، أحدهما ينتهي إلى عليّ بن إبراهيم ، والآخر إلى الكليني </w:t>
      </w:r>
      <w:r w:rsidR="00A611F0">
        <w:rPr>
          <w:rFonts w:hint="cs"/>
          <w:rtl/>
        </w:rPr>
        <w:t>.</w:t>
      </w:r>
      <w:r w:rsidR="00E3253D" w:rsidRPr="002F4D34">
        <w:rPr>
          <w:rStyle w:val="libFootnoteBoldChar"/>
          <w:rtl/>
        </w:rPr>
        <w:t>الوافي</w:t>
      </w:r>
      <w:r w:rsidR="00E3253D" w:rsidRPr="005D642E">
        <w:rPr>
          <w:rtl/>
        </w:rPr>
        <w:t xml:space="preserve"> ، ج 11 ، ص 327 ، ح 10973 ؛ </w:t>
      </w:r>
      <w:r w:rsidR="00E3253D" w:rsidRPr="002F4D34">
        <w:rPr>
          <w:rStyle w:val="libFootnoteBoldChar"/>
          <w:rtl/>
        </w:rPr>
        <w:t>الوسائل</w:t>
      </w:r>
      <w:r w:rsidR="00E3253D" w:rsidRPr="005D642E">
        <w:rPr>
          <w:rtl/>
        </w:rPr>
        <w:t xml:space="preserve"> ، ج 2 ، ص 347 ، ح 2328.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ظ ، ى ، بث ، بح ، بخ ، بس ، جح ، جن</w:t>
      </w:r>
      <w:r w:rsidR="00E3253D">
        <w:rPr>
          <w:rtl/>
        </w:rPr>
        <w:t xml:space="preserve"> ».</w:t>
      </w:r>
      <w:r w:rsidR="00E3253D" w:rsidRPr="005D642E">
        <w:rPr>
          <w:rtl/>
        </w:rPr>
        <w:t xml:space="preserve"> وفي « بف ، جس » والمطبوع :</w:t>
      </w:r>
      <w:r w:rsidR="00E3253D">
        <w:rPr>
          <w:rtl/>
        </w:rPr>
        <w:t xml:space="preserve"> </w:t>
      </w:r>
      <w:r w:rsidR="007642BC">
        <w:rPr>
          <w:rtl/>
        </w:rPr>
        <w:t>-</w:t>
      </w:r>
      <w:r w:rsidR="00E3253D">
        <w:rPr>
          <w:rtl/>
        </w:rPr>
        <w:t xml:space="preserve"> </w:t>
      </w:r>
      <w:r w:rsidR="00E3253D" w:rsidRPr="005D642E">
        <w:rPr>
          <w:rtl/>
        </w:rPr>
        <w:t>« الأشْعَريّ</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ى ، بث ، بح ، بف ، جح ، جس</w:t>
      </w:r>
      <w:r w:rsidR="00E3253D">
        <w:rPr>
          <w:rtl/>
        </w:rPr>
        <w:t xml:space="preserve"> ».</w:t>
      </w:r>
      <w:r w:rsidR="00E3253D" w:rsidRPr="005D642E">
        <w:rPr>
          <w:rtl/>
        </w:rPr>
        <w:t xml:space="preserve"> وفي « ظ ، بخ ، بس ، جن » والمطبوع :</w:t>
      </w:r>
      <w:r w:rsidR="00E3253D">
        <w:rPr>
          <w:rtl/>
        </w:rPr>
        <w:t xml:space="preserve"> </w:t>
      </w:r>
      <w:r w:rsidR="007642BC">
        <w:rPr>
          <w:rtl/>
        </w:rPr>
        <w:t>-</w:t>
      </w:r>
      <w:r w:rsidR="00E3253D">
        <w:rPr>
          <w:rtl/>
        </w:rPr>
        <w:t xml:space="preserve"> </w:t>
      </w:r>
      <w:r w:rsidR="00E3253D" w:rsidRPr="005D642E">
        <w:rPr>
          <w:rtl/>
        </w:rPr>
        <w:t>« بن محمّد</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بث ، بح ، بخ ، بس ، جن » وحاشية « ظ ، جح » : « شعبة</w:t>
      </w:r>
      <w:r w:rsidR="00E3253D">
        <w:rPr>
          <w:rtl/>
        </w:rPr>
        <w:t xml:space="preserve"> ».</w:t>
      </w:r>
      <w:r w:rsidR="00E3253D" w:rsidRPr="005D642E">
        <w:rPr>
          <w:rtl/>
        </w:rPr>
        <w:t xml:space="preserve"> وهو سهو ؛ فإنّ المغيرة بن شعبة كان من‌أصحاب النبيّ </w:t>
      </w:r>
      <w:r w:rsidRPr="009F045F">
        <w:rPr>
          <w:rStyle w:val="libFootnoteAlaemChar"/>
          <w:rtl/>
        </w:rPr>
        <w:t>صلى‌الله‌عليه‌وآله</w:t>
      </w:r>
      <w:r w:rsidR="00E3253D" w:rsidRPr="005D642E">
        <w:rPr>
          <w:rtl/>
        </w:rPr>
        <w:t xml:space="preserve"> ولم يدرك أبا جعفر </w:t>
      </w:r>
      <w:r w:rsidR="00E3253D" w:rsidRPr="00A611F0">
        <w:rPr>
          <w:rStyle w:val="libFootnoteAlaemChar"/>
          <w:rtl/>
        </w:rPr>
        <w:t>عليه‌السلام</w:t>
      </w:r>
      <w:r w:rsidR="00E3253D" w:rsidRPr="005D642E">
        <w:rPr>
          <w:rtl/>
        </w:rPr>
        <w:t xml:space="preserve">. راجع : </w:t>
      </w:r>
      <w:r w:rsidR="00E3253D" w:rsidRPr="002F4D34">
        <w:rPr>
          <w:rStyle w:val="libFootnoteBoldChar"/>
          <w:rtl/>
        </w:rPr>
        <w:t>تهذيب الكمال</w:t>
      </w:r>
      <w:r w:rsidR="00E3253D" w:rsidRPr="005D642E">
        <w:rPr>
          <w:rtl/>
        </w:rPr>
        <w:t xml:space="preserve"> ، ج 28 ، ص 369 ، الرقم 6132.</w:t>
      </w:r>
    </w:p>
    <w:p w:rsidR="00E3253D" w:rsidRPr="005D642E" w:rsidRDefault="00E3253D" w:rsidP="00E3253D">
      <w:pPr>
        <w:pStyle w:val="libFootnote0"/>
        <w:rPr>
          <w:rtl/>
          <w:lang w:bidi="fa-IR"/>
        </w:rPr>
      </w:pPr>
      <w:r w:rsidRPr="00B60612">
        <w:rPr>
          <w:rtl/>
        </w:rPr>
        <w:t xml:space="preserve">وأمّا المغيرة بن سعيد ، فهو الذي ورد في بعض الأخبار أنّه كان يكذب على أبي جعفر </w:t>
      </w:r>
      <w:r w:rsidRPr="00A611F0">
        <w:rPr>
          <w:rStyle w:val="libFootnoteAlaemChar"/>
          <w:rtl/>
        </w:rPr>
        <w:t>عليه‌السلام</w:t>
      </w:r>
      <w:r w:rsidRPr="00B60612">
        <w:rPr>
          <w:rtl/>
        </w:rPr>
        <w:t>. ا</w:t>
      </w:r>
      <w:r w:rsidR="00A611F0">
        <w:rPr>
          <w:rFonts w:hint="cs"/>
          <w:rtl/>
        </w:rPr>
        <w:t>ُ</w:t>
      </w:r>
      <w:r w:rsidRPr="00B60612">
        <w:rPr>
          <w:rtl/>
        </w:rPr>
        <w:t xml:space="preserve">نظر على سبيل المثال : </w:t>
      </w:r>
      <w:r w:rsidRPr="002F4D34">
        <w:rPr>
          <w:rStyle w:val="libFootnoteBoldChar"/>
          <w:rtl/>
        </w:rPr>
        <w:t>رجال الكشّي</w:t>
      </w:r>
      <w:r w:rsidRPr="00B60612">
        <w:rPr>
          <w:rtl/>
        </w:rPr>
        <w:t xml:space="preserve"> ، ص 223 ، الرقم 399 و 400.</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جن » : « فما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تحرير الولد : أن يفرده لطاعة الله عزّوجلّ وخدمة المسجد. وقيل : المحرّر : النذير والنذيرة ، وكان يفعل ذلك بنو إسرائيل ، كان أحدهم ربّما وُلد له ولد فربّما حرّره ، أي جعله نذيرة في خدمة الكنيسة ما عاش لايسعه تركها في دينه. راجع : </w:t>
      </w:r>
      <w:r w:rsidR="00E3253D" w:rsidRPr="002F4D34">
        <w:rPr>
          <w:rStyle w:val="libFootnoteBoldChar"/>
          <w:rtl/>
        </w:rPr>
        <w:t>لسان العرب</w:t>
      </w:r>
      <w:r w:rsidR="00E3253D" w:rsidRPr="005D642E">
        <w:rPr>
          <w:rtl/>
        </w:rPr>
        <w:t xml:space="preserve"> ، ج 4 ، ص 181 ( حرر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آل عمران </w:t>
      </w:r>
      <w:r w:rsidRPr="0042621E">
        <w:rPr>
          <w:rStyle w:val="libFootnote0Char"/>
          <w:rtl/>
        </w:rPr>
        <w:t>(3)</w:t>
      </w:r>
      <w:r w:rsidR="00E3253D" w:rsidRPr="005D642E">
        <w:rPr>
          <w:rtl/>
        </w:rPr>
        <w:t xml:space="preserve"> : 36 ؛ وتمام الآية هكذا : </w:t>
      </w:r>
      <w:r w:rsidR="00E3253D" w:rsidRPr="00591486">
        <w:rPr>
          <w:rStyle w:val="libFootnoteAlaemChar"/>
          <w:rtl/>
        </w:rPr>
        <w:t>(</w:t>
      </w:r>
      <w:r w:rsidR="00E3253D" w:rsidRPr="00EB702D">
        <w:rPr>
          <w:rStyle w:val="libFootnoteAieChar"/>
          <w:rtl/>
        </w:rPr>
        <w:t xml:space="preserve"> فَلَمّ</w:t>
      </w:r>
      <w:r w:rsidR="00A611F0">
        <w:rPr>
          <w:rStyle w:val="libFootnoteAieChar"/>
          <w:rFonts w:hint="cs"/>
          <w:rtl/>
        </w:rPr>
        <w:t>َ</w:t>
      </w:r>
      <w:r w:rsidR="00E3253D" w:rsidRPr="00EB702D">
        <w:rPr>
          <w:rStyle w:val="libFootnoteAieChar"/>
          <w:rtl/>
        </w:rPr>
        <w:t>ا وَضَعَتْه</w:t>
      </w:r>
      <w:r w:rsidR="00A611F0">
        <w:rPr>
          <w:rStyle w:val="libFootnoteAieChar"/>
          <w:rFonts w:hint="cs"/>
          <w:rtl/>
        </w:rPr>
        <w:t>َ</w:t>
      </w:r>
      <w:r w:rsidR="00E3253D" w:rsidRPr="00EB702D">
        <w:rPr>
          <w:rStyle w:val="libFootnoteAieChar"/>
          <w:rtl/>
        </w:rPr>
        <w:t>ا ق</w:t>
      </w:r>
      <w:r w:rsidR="00A611F0">
        <w:rPr>
          <w:rStyle w:val="libFootnoteAieChar"/>
          <w:rFonts w:hint="cs"/>
          <w:rtl/>
        </w:rPr>
        <w:t>َ</w:t>
      </w:r>
      <w:r w:rsidR="00E3253D" w:rsidRPr="00EB702D">
        <w:rPr>
          <w:rStyle w:val="libFootnoteAieChar"/>
          <w:rtl/>
        </w:rPr>
        <w:t>الَتْ رَبِّ إِنِّي وَضَعْتُها أُنْث</w:t>
      </w:r>
      <w:r w:rsidR="00A611F0">
        <w:rPr>
          <w:rStyle w:val="libFootnoteAieChar"/>
          <w:rFonts w:hint="cs"/>
          <w:rtl/>
        </w:rPr>
        <w:t>َ</w:t>
      </w:r>
      <w:r w:rsidR="00E3253D" w:rsidRPr="00EB702D">
        <w:rPr>
          <w:rStyle w:val="libFootnoteAieChar"/>
          <w:rtl/>
        </w:rPr>
        <w:t>ى وَاللهُ أَعْلَمُ بِما وَضَعَتْ وَلَيْسَ الذَّكَرُ كَالْأُنْث</w:t>
      </w:r>
      <w:r w:rsidR="00A611F0">
        <w:rPr>
          <w:rStyle w:val="libFootnoteAieChar"/>
          <w:rFonts w:hint="cs"/>
          <w:rtl/>
        </w:rPr>
        <w:t>َ</w:t>
      </w:r>
      <w:r w:rsidR="00E3253D" w:rsidRPr="00EB702D">
        <w:rPr>
          <w:rStyle w:val="libFootnoteAieChar"/>
          <w:rtl/>
        </w:rPr>
        <w:t xml:space="preserve">ى </w:t>
      </w:r>
      <w:r w:rsidR="00E3253D" w:rsidRPr="00591486">
        <w:rPr>
          <w:rStyle w:val="libFootnoteAlaemChar"/>
          <w:rtl/>
        </w:rPr>
        <w:t>)</w:t>
      </w:r>
      <w:r w:rsidR="00E3253D" w:rsidRPr="005D642E">
        <w:rPr>
          <w:rtl/>
        </w:rPr>
        <w:t xml:space="preserve"> الآية.</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ظ ، غ ، بث ، بح ، بخ ، بف ، جح</w:t>
      </w:r>
      <w:r w:rsidR="00E3253D">
        <w:rPr>
          <w:rtl/>
        </w:rPr>
        <w:t xml:space="preserve"> ».</w:t>
      </w:r>
      <w:r w:rsidR="00E3253D" w:rsidRPr="005D642E">
        <w:rPr>
          <w:rtl/>
        </w:rPr>
        <w:t xml:space="preserve"> وفي « ى ، بس ، جن » </w:t>
      </w:r>
      <w:r w:rsidR="000D749A" w:rsidRPr="000D749A">
        <w:rPr>
          <w:rStyle w:val="libFootnoteBoldChar"/>
          <w:rtl/>
        </w:rPr>
        <w:t>والوافي</w:t>
      </w:r>
      <w:r w:rsidR="00E3253D" w:rsidRPr="005D642E">
        <w:rPr>
          <w:rtl/>
        </w:rPr>
        <w:t xml:space="preserve"> والوسائل والبحار : « فكفلها » بالتخفيف. وفي « جس » والمطبوع : « وكفّلها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زَكَرِيَّا </w:t>
      </w:r>
      <w:r w:rsidRPr="007C12DB">
        <w:rPr>
          <w:rStyle w:val="libFootnotenumChar"/>
          <w:rtl/>
        </w:rPr>
        <w:t>(1)</w:t>
      </w:r>
      <w:r w:rsidRPr="005D642E">
        <w:rPr>
          <w:rtl/>
          <w:lang w:bidi="fa-IR"/>
        </w:rPr>
        <w:t xml:space="preserve"> ، فَلَمْ تَخْرُجْ مِنَ الْمَسْجِدِ حَتّى بَلَغَتْ ، فَلَمَّا بَلَغَتْ مَا تَبْلُغُ </w:t>
      </w:r>
      <w:r w:rsidRPr="007C12DB">
        <w:rPr>
          <w:rStyle w:val="libFootnotenumChar"/>
          <w:rtl/>
        </w:rPr>
        <w:t>(2)</w:t>
      </w:r>
      <w:r w:rsidRPr="005D642E">
        <w:rPr>
          <w:rtl/>
          <w:lang w:bidi="fa-IR"/>
        </w:rPr>
        <w:t xml:space="preserve"> النِّسَاءُ ، خَرَجَتْ ، فَهَلْ كَانَتْ تَقْدِرُ عَلى أَنْ تَقْضِيَ تِلْكَ الْأَيَّامَ الَّتِي خَرَجَتْ </w:t>
      </w:r>
      <w:r w:rsidRPr="007C12DB">
        <w:rPr>
          <w:rStyle w:val="libFootnotenumChar"/>
          <w:rtl/>
        </w:rPr>
        <w:t>(3)</w:t>
      </w:r>
      <w:r w:rsidRPr="005D642E">
        <w:rPr>
          <w:rtl/>
          <w:lang w:bidi="fa-IR"/>
        </w:rPr>
        <w:t xml:space="preserve"> وَهِيَ عَلَيْهَا أَنْ تَكُونَ </w:t>
      </w:r>
      <w:r w:rsidRPr="007C12DB">
        <w:rPr>
          <w:rStyle w:val="libFootnotenumChar"/>
          <w:rtl/>
        </w:rPr>
        <w:t>(4)</w:t>
      </w:r>
      <w:r w:rsidRPr="005D642E">
        <w:rPr>
          <w:rtl/>
          <w:lang w:bidi="fa-IR"/>
        </w:rPr>
        <w:t xml:space="preserve"> الدَّهْرَ فِي الْمَسْجِدِ</w:t>
      </w:r>
      <w:r>
        <w:rPr>
          <w:rtl/>
          <w:lang w:bidi="fa-IR"/>
        </w:rPr>
        <w:t>؟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231" w:name="_Toc344647287"/>
      <w:bookmarkStart w:id="232" w:name="_Toc462226802"/>
      <w:bookmarkStart w:id="233" w:name="_Toc40975910"/>
      <w:r w:rsidRPr="005D642E">
        <w:rPr>
          <w:rtl/>
          <w:lang w:bidi="fa-IR"/>
        </w:rPr>
        <w:t>19</w:t>
      </w:r>
      <w:r>
        <w:rPr>
          <w:rtl/>
          <w:lang w:bidi="fa-IR"/>
        </w:rPr>
        <w:t xml:space="preserve"> </w:t>
      </w:r>
      <w:r w:rsidR="007642BC">
        <w:rPr>
          <w:rtl/>
          <w:lang w:bidi="fa-IR"/>
        </w:rPr>
        <w:t>-</w:t>
      </w:r>
      <w:r>
        <w:rPr>
          <w:rtl/>
          <w:lang w:bidi="fa-IR"/>
        </w:rPr>
        <w:t xml:space="preserve"> </w:t>
      </w:r>
      <w:r w:rsidRPr="005D642E">
        <w:rPr>
          <w:rtl/>
          <w:lang w:bidi="fa-IR"/>
        </w:rPr>
        <w:t xml:space="preserve">بَابُ الْحَائِضِ وَالنُّفَسَاءِ تَقْرَءَانِ </w:t>
      </w:r>
      <w:r w:rsidRPr="007C12DB">
        <w:rPr>
          <w:rStyle w:val="libFootnotenumChar"/>
          <w:rtl/>
        </w:rPr>
        <w:t>(6)</w:t>
      </w:r>
      <w:r>
        <w:rPr>
          <w:rtl/>
        </w:rPr>
        <w:t xml:space="preserve"> </w:t>
      </w:r>
      <w:r w:rsidRPr="005D642E">
        <w:rPr>
          <w:rtl/>
          <w:lang w:bidi="fa-IR"/>
        </w:rPr>
        <w:t>الْقُرْآنَ‌</w:t>
      </w:r>
      <w:bookmarkEnd w:id="231"/>
      <w:bookmarkEnd w:id="232"/>
      <w:bookmarkEnd w:id="233"/>
    </w:p>
    <w:p w:rsidR="00E3253D" w:rsidRPr="005D642E" w:rsidRDefault="00E3253D" w:rsidP="00E3253D">
      <w:pPr>
        <w:pStyle w:val="libNormal"/>
        <w:rPr>
          <w:rtl/>
          <w:lang w:bidi="fa-IR"/>
        </w:rPr>
      </w:pPr>
      <w:r w:rsidRPr="00D31A55">
        <w:rPr>
          <w:rtl/>
        </w:rPr>
        <w:t>4222</w:t>
      </w:r>
      <w:r w:rsidRPr="00246318">
        <w:rPr>
          <w:rStyle w:val="libBold2Char"/>
          <w:rtl/>
        </w:rPr>
        <w:t xml:space="preserve"> / 1.</w:t>
      </w:r>
      <w:r w:rsidRPr="005D642E">
        <w:rPr>
          <w:rtl/>
          <w:lang w:bidi="fa-IR"/>
        </w:rPr>
        <w:t xml:space="preserve"> مُحَمَّدُ بْنُ إِسْمَاعِيلَ ، عَنِ الْفَضْلِ بْنِ شَاذَانَ ، عَنِ ابْنِ أَبِي عُمَيْرٍ وَحَمَّادٍ ، عَنْ مُعَاوِيَةَ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الْحَائِضُ تَقْرَأُ </w:t>
      </w:r>
      <w:r w:rsidRPr="007C12DB">
        <w:rPr>
          <w:rStyle w:val="libFootnotenumChar"/>
          <w:rtl/>
        </w:rPr>
        <w:t>(7)</w:t>
      </w:r>
      <w:r w:rsidRPr="005D642E">
        <w:rPr>
          <w:rtl/>
          <w:lang w:bidi="fa-IR"/>
        </w:rPr>
        <w:t xml:space="preserve"> الْقُرْآنَ ، وَتَحْمَدُ اللهَ</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D31A55">
        <w:rPr>
          <w:rtl/>
        </w:rPr>
        <w:t>4223</w:t>
      </w:r>
      <w:r w:rsidRPr="00246318">
        <w:rPr>
          <w:rStyle w:val="libBold2Char"/>
          <w:rtl/>
        </w:rPr>
        <w:t xml:space="preserve"> / 2.</w:t>
      </w:r>
      <w:r w:rsidRPr="005D642E">
        <w:rPr>
          <w:rtl/>
          <w:lang w:bidi="fa-IR"/>
        </w:rPr>
        <w:t xml:space="preserve"> عَلِيُّ بْنُ إِبْرَاهِيمَ ، عَنْ أَبِيهِ ، عَنِ ابْنِ أَبِي عُمَيْرٍ ، عَنْ زَيْدٍ الشَّحَّامِ :</w:t>
      </w:r>
    </w:p>
    <w:p w:rsidR="00E3253D"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تَقْرَأُ الْحَائِضُ </w:t>
      </w:r>
      <w:r w:rsidRPr="007C12DB">
        <w:rPr>
          <w:rStyle w:val="libFootnotenumChar"/>
          <w:rtl/>
        </w:rPr>
        <w:t>(9)</w:t>
      </w:r>
      <w:r w:rsidRPr="005D642E">
        <w:rPr>
          <w:rtl/>
          <w:lang w:bidi="fa-IR"/>
        </w:rPr>
        <w:t xml:space="preserve"> الْقُرْآنَ ، وَالنُّفَسَاءُ وَالْجُنُبُ أَيْضاً</w:t>
      </w:r>
      <w:r>
        <w:rPr>
          <w:rtl/>
          <w:lang w:bidi="fa-IR"/>
        </w:rPr>
        <w:t xml:space="preserve"> ».</w:t>
      </w:r>
      <w:r w:rsidRPr="005D642E">
        <w:rPr>
          <w:rtl/>
          <w:lang w:bidi="fa-IR"/>
        </w:rPr>
        <w:t xml:space="preserve"> </w:t>
      </w:r>
      <w:r w:rsidRPr="007C12DB">
        <w:rPr>
          <w:rStyle w:val="libFootnotenumChar"/>
          <w:rtl/>
        </w:rPr>
        <w:t>(10)</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F3671" w:rsidTr="004F3671">
        <w:tc>
          <w:tcPr>
            <w:tcW w:w="4006" w:type="dxa"/>
          </w:tcPr>
          <w:p w:rsidR="004F3671" w:rsidRDefault="004F3671" w:rsidP="00E3253D">
            <w:pPr>
              <w:pStyle w:val="libFootnote0"/>
              <w:rPr>
                <w:rStyle w:val="libFootnote0Char"/>
                <w:rtl/>
              </w:rPr>
            </w:pPr>
            <w:r w:rsidRPr="0042621E">
              <w:rPr>
                <w:rStyle w:val="libFootnote0Char"/>
                <w:rtl/>
              </w:rPr>
              <w:t>(1).</w:t>
            </w:r>
            <w:r>
              <w:rPr>
                <w:rtl/>
              </w:rPr>
              <w:t xml:space="preserve"> </w:t>
            </w:r>
            <w:r w:rsidRPr="005D642E">
              <w:rPr>
                <w:rtl/>
              </w:rPr>
              <w:t xml:space="preserve">في « بخ ، جس » </w:t>
            </w:r>
            <w:r w:rsidRPr="000D749A">
              <w:rPr>
                <w:rStyle w:val="libFootnoteBoldChar"/>
                <w:rtl/>
              </w:rPr>
              <w:t>والوافي</w:t>
            </w:r>
            <w:r w:rsidRPr="005D642E">
              <w:rPr>
                <w:rtl/>
              </w:rPr>
              <w:t xml:space="preserve"> والوسائل :</w:t>
            </w:r>
            <w:r>
              <w:rPr>
                <w:rtl/>
              </w:rPr>
              <w:t xml:space="preserve"> - «</w:t>
            </w:r>
            <w:r w:rsidRPr="005D642E">
              <w:rPr>
                <w:rtl/>
              </w:rPr>
              <w:t>زكريّا</w:t>
            </w:r>
            <w:r>
              <w:rPr>
                <w:rtl/>
              </w:rPr>
              <w:t>».</w:t>
            </w:r>
          </w:p>
        </w:tc>
        <w:tc>
          <w:tcPr>
            <w:tcW w:w="4006" w:type="dxa"/>
          </w:tcPr>
          <w:p w:rsidR="004F3671" w:rsidRDefault="004F3671" w:rsidP="00E3253D">
            <w:pPr>
              <w:pStyle w:val="libFootnote0"/>
              <w:rPr>
                <w:rStyle w:val="libFootnote0Char"/>
                <w:rtl/>
              </w:rPr>
            </w:pPr>
            <w:r w:rsidRPr="0042621E">
              <w:rPr>
                <w:rStyle w:val="libFootnote0Char"/>
                <w:rtl/>
              </w:rPr>
              <w:t>(2).</w:t>
            </w:r>
            <w:r w:rsidRPr="005D642E">
              <w:rPr>
                <w:rtl/>
              </w:rPr>
              <w:t xml:space="preserve"> في « بخ ، بس ، بف » : « ما يبلغ</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قال في </w:t>
      </w:r>
      <w:r w:rsidR="00E3253D" w:rsidRPr="002F4D34">
        <w:rPr>
          <w:rStyle w:val="libFootnoteBoldChar"/>
          <w:rtl/>
        </w:rPr>
        <w:t>مرآة العقول</w:t>
      </w:r>
      <w:r w:rsidR="00E3253D" w:rsidRPr="005D642E">
        <w:rPr>
          <w:rtl/>
        </w:rPr>
        <w:t xml:space="preserve"> : « يحتمل أن يكون للمحرّر في شرعهم عبادات مخصوصة تستوعب جميع أوقاتهم فلوكان عليها قضاء الصلوات التي فاتتها لزم التكليف بما لايطاق : ويحتمل أن يكون باعتبار أصل الكون في المسجد ؛ فإنّه عبادة أيضاً ، هذا أظهر من العبارة كما لايخفى » ثمّ ذكر احتمالات ا</w:t>
      </w:r>
      <w:r w:rsidR="00F90678">
        <w:rPr>
          <w:rFonts w:hint="cs"/>
          <w:rtl/>
        </w:rPr>
        <w:t>ُ</w:t>
      </w:r>
      <w:r w:rsidR="00E3253D" w:rsidRPr="005D642E">
        <w:rPr>
          <w:rtl/>
        </w:rPr>
        <w:t>خر.</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جس » : « أن يكون</w:t>
      </w:r>
      <w:r w:rsidR="00E3253D">
        <w:rPr>
          <w:rtl/>
        </w:rPr>
        <w:t xml:space="preserve"> ».</w:t>
      </w:r>
      <w:r w:rsidR="00E3253D" w:rsidRPr="005D642E">
        <w:rPr>
          <w:rtl/>
        </w:rPr>
        <w:t xml:space="preserve"> وفي « بخ » : + « في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علل الشرائع</w:t>
      </w:r>
      <w:r w:rsidR="00E3253D" w:rsidRPr="005D642E">
        <w:rPr>
          <w:rtl/>
        </w:rPr>
        <w:t xml:space="preserve"> ، ص 578 ، ح 6 ، بسنده عن أبان بن عثمان. </w:t>
      </w:r>
      <w:r w:rsidR="00E3253D" w:rsidRPr="002F4D34">
        <w:rPr>
          <w:rStyle w:val="libFootnoteBoldChar"/>
          <w:rtl/>
        </w:rPr>
        <w:t>تفسير العيّاشي</w:t>
      </w:r>
      <w:r w:rsidR="00E3253D" w:rsidRPr="005D642E">
        <w:rPr>
          <w:rtl/>
        </w:rPr>
        <w:t xml:space="preserve"> ، ج 1 ، ص 172 ، ح 42 ، عن إسماعيل بن عبد الرحمن الجعفي ، عن أبي عبدالله </w:t>
      </w:r>
      <w:r w:rsidR="00E3253D" w:rsidRPr="00F52144">
        <w:rPr>
          <w:rStyle w:val="libFootnoteAlaemChar"/>
          <w:rtl/>
        </w:rPr>
        <w:t>عليه‌السلام</w:t>
      </w:r>
      <w:r w:rsidR="00E3253D" w:rsidRPr="005D642E">
        <w:rPr>
          <w:rtl/>
        </w:rPr>
        <w:t xml:space="preserve"> ، وفيهما مع اختلاف يسير </w:t>
      </w:r>
      <w:r w:rsidR="00F52144">
        <w:rPr>
          <w:rFonts w:hint="cs"/>
          <w:rtl/>
        </w:rPr>
        <w:t>.</w:t>
      </w:r>
      <w:r w:rsidR="00E3253D" w:rsidRPr="002F4D34">
        <w:rPr>
          <w:rStyle w:val="libFootnoteBoldChar"/>
          <w:rtl/>
        </w:rPr>
        <w:t>الوافي</w:t>
      </w:r>
      <w:r w:rsidR="00E3253D" w:rsidRPr="005D642E">
        <w:rPr>
          <w:rtl/>
        </w:rPr>
        <w:t xml:space="preserve"> ، ج 8 ، ص 1007 ، ح 7612 ؛ </w:t>
      </w:r>
      <w:r w:rsidR="00E3253D" w:rsidRPr="002F4D34">
        <w:rPr>
          <w:rStyle w:val="libFootnoteBoldChar"/>
          <w:rtl/>
        </w:rPr>
        <w:t>الوسائل</w:t>
      </w:r>
      <w:r w:rsidR="00E3253D" w:rsidRPr="005D642E">
        <w:rPr>
          <w:rtl/>
        </w:rPr>
        <w:t xml:space="preserve"> ، ج 2 ، ص 348 ، ح 2331 ؛ </w:t>
      </w:r>
      <w:r w:rsidR="00E3253D" w:rsidRPr="002F4D34">
        <w:rPr>
          <w:rStyle w:val="libFootnoteBoldChar"/>
          <w:rtl/>
        </w:rPr>
        <w:t>البحار</w:t>
      </w:r>
      <w:r w:rsidR="00E3253D" w:rsidRPr="005D642E">
        <w:rPr>
          <w:rtl/>
        </w:rPr>
        <w:t xml:space="preserve"> ، ج 14 ، ص 202 ، ح 13.</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بخ ، بس ، جح ، جس ، جن » : « يقرآن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 « تقرأ الحائض</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128 ، ح 348 ؛ </w:t>
      </w:r>
      <w:r w:rsidR="00E3253D" w:rsidRPr="00E678B5">
        <w:rPr>
          <w:rStyle w:val="libFootnoteBoldChar"/>
          <w:rtl/>
        </w:rPr>
        <w:t>والاستبصار</w:t>
      </w:r>
      <w:r w:rsidR="00E3253D" w:rsidRPr="005D642E">
        <w:rPr>
          <w:rtl/>
        </w:rPr>
        <w:t xml:space="preserve"> ، ج 1 ، ص 114 ، ح 382 ، بسند آخر هكذا : « الحائض تقرأ ما شاءت من القرآن</w:t>
      </w:r>
      <w:r w:rsidR="00E3253D">
        <w:rPr>
          <w:rtl/>
        </w:rPr>
        <w:t xml:space="preserve"> ».</w:t>
      </w:r>
      <w:r w:rsidR="00E3253D" w:rsidRPr="005D642E">
        <w:rPr>
          <w:rtl/>
        </w:rPr>
        <w:t xml:space="preserve"> </w:t>
      </w:r>
      <w:r w:rsidR="00E3253D" w:rsidRPr="002F4D34">
        <w:rPr>
          <w:rStyle w:val="libFootnoteBoldChar"/>
          <w:rtl/>
        </w:rPr>
        <w:t>التهذيب</w:t>
      </w:r>
      <w:r w:rsidR="00E3253D" w:rsidRPr="005D642E">
        <w:rPr>
          <w:rtl/>
        </w:rPr>
        <w:t xml:space="preserve"> ، ج 2 ، ص 292 ، ح 1172 ، بسند آخر ، مع اختلاف. راجع : </w:t>
      </w:r>
      <w:r w:rsidR="00E3253D" w:rsidRPr="002F4D34">
        <w:rPr>
          <w:rStyle w:val="libFootnoteBoldChar"/>
          <w:rtl/>
        </w:rPr>
        <w:t>الاستبصار</w:t>
      </w:r>
      <w:r w:rsidR="00E3253D" w:rsidRPr="005D642E">
        <w:rPr>
          <w:rtl/>
        </w:rPr>
        <w:t xml:space="preserve"> ، ج 1 ، ص 320 ، ح 1193 </w:t>
      </w:r>
      <w:r w:rsidR="00F52144">
        <w:rPr>
          <w:rFonts w:hint="cs"/>
          <w:rtl/>
        </w:rPr>
        <w:t>.</w:t>
      </w:r>
      <w:r w:rsidR="00E3253D" w:rsidRPr="002F4D34">
        <w:rPr>
          <w:rStyle w:val="libFootnoteBoldChar"/>
          <w:rtl/>
        </w:rPr>
        <w:t>الوافي</w:t>
      </w:r>
      <w:r w:rsidR="00E3253D" w:rsidRPr="005D642E">
        <w:rPr>
          <w:rtl/>
        </w:rPr>
        <w:t xml:space="preserve"> ، ج 6 ، ص 486 ، ح 4749 ؛ </w:t>
      </w:r>
      <w:r w:rsidR="00E3253D" w:rsidRPr="002F4D34">
        <w:rPr>
          <w:rStyle w:val="libFootnoteBoldChar"/>
          <w:rtl/>
        </w:rPr>
        <w:t>الوسائل</w:t>
      </w:r>
      <w:r w:rsidR="00E3253D" w:rsidRPr="005D642E">
        <w:rPr>
          <w:rtl/>
        </w:rPr>
        <w:t xml:space="preserve"> ، ج 2 ، ص 343 ، ح 2317.</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بخ ، بف » </w:t>
      </w:r>
      <w:r w:rsidR="000D749A" w:rsidRPr="000D749A">
        <w:rPr>
          <w:rStyle w:val="libFootnoteBoldChar"/>
          <w:rtl/>
        </w:rPr>
        <w:t>والوافي</w:t>
      </w:r>
      <w:r w:rsidR="00E3253D" w:rsidRPr="005D642E">
        <w:rPr>
          <w:rtl/>
        </w:rPr>
        <w:t xml:space="preserve"> : « الحائض تقرأ</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128 ، ح 346 ؛ </w:t>
      </w:r>
      <w:r w:rsidR="00E3253D" w:rsidRPr="00E678B5">
        <w:rPr>
          <w:rStyle w:val="libFootnoteBoldChar"/>
          <w:rtl/>
        </w:rPr>
        <w:t>والاستبصار</w:t>
      </w:r>
      <w:r w:rsidR="00E3253D" w:rsidRPr="005D642E">
        <w:rPr>
          <w:rtl/>
        </w:rPr>
        <w:t xml:space="preserve"> ، ج 1 ، ص 114 ، ح 380 ، بسند آخر عن أبي جعفر </w:t>
      </w:r>
      <w:r w:rsidR="00E3253D" w:rsidRPr="00286CDC">
        <w:rPr>
          <w:rStyle w:val="libFootnoteAlaemChar"/>
          <w:rtl/>
        </w:rPr>
        <w:t>عليه‌السلام</w:t>
      </w:r>
      <w:r w:rsidR="00E3253D" w:rsidRPr="005D642E">
        <w:rPr>
          <w:rtl/>
        </w:rPr>
        <w:t xml:space="preserve"> </w:t>
      </w:r>
      <w:r w:rsidR="00F5214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31A55">
        <w:rPr>
          <w:rtl/>
        </w:rPr>
        <w:lastRenderedPageBreak/>
        <w:t>4224</w:t>
      </w:r>
      <w:r w:rsidRPr="00246318">
        <w:rPr>
          <w:rStyle w:val="libBold2Char"/>
          <w:rtl/>
        </w:rPr>
        <w:t xml:space="preserve"> / 3.</w:t>
      </w:r>
      <w:r w:rsidRPr="005D642E">
        <w:rPr>
          <w:rtl/>
          <w:lang w:bidi="fa-IR"/>
        </w:rPr>
        <w:t xml:space="preserve"> مُحَمَّدُ بْنُ يَحْيى ، عَنْ أَحْمَدَ بْنِ مُحَمَّدٍ ، عَنِ الْحَسَنِ بْنِ مَحْبُوبٍ ، عَنِ </w:t>
      </w:r>
      <w:r w:rsidRPr="007C12DB">
        <w:rPr>
          <w:rStyle w:val="libFootnotenumChar"/>
          <w:rtl/>
        </w:rPr>
        <w:t>(1)</w:t>
      </w:r>
      <w:r w:rsidRPr="005D642E">
        <w:rPr>
          <w:rtl/>
          <w:lang w:bidi="fa-IR"/>
        </w:rPr>
        <w:t xml:space="preserve"> ابْنِ رِئَابٍ ، عَنْ أَبِي عُبَيْدَةَ </w:t>
      </w:r>
      <w:r w:rsidRPr="007C12DB">
        <w:rPr>
          <w:rStyle w:val="libFootnotenumChar"/>
          <w:rtl/>
        </w:rPr>
        <w:t>(2)</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عَنِ الطَّامِثِ </w:t>
      </w:r>
      <w:r w:rsidRPr="007C12DB">
        <w:rPr>
          <w:rStyle w:val="libFootnotenumChar"/>
          <w:rtl/>
        </w:rPr>
        <w:t>(3)</w:t>
      </w:r>
      <w:r w:rsidRPr="005D642E">
        <w:rPr>
          <w:rtl/>
          <w:lang w:bidi="fa-IR"/>
        </w:rPr>
        <w:t xml:space="preserve"> تَسْمَعُ السَّجْدَةَ</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(4)</w:t>
      </w:r>
      <w:r w:rsidRPr="005D642E">
        <w:rPr>
          <w:rtl/>
          <w:lang w:bidi="fa-IR"/>
        </w:rPr>
        <w:t xml:space="preserve"> : « إِنْ كَانَتْ </w:t>
      </w:r>
      <w:r w:rsidRPr="007C12DB">
        <w:rPr>
          <w:rStyle w:val="libFootnotenumChar"/>
          <w:rtl/>
        </w:rPr>
        <w:t>(5)</w:t>
      </w:r>
      <w:r w:rsidRPr="005D642E">
        <w:rPr>
          <w:rtl/>
          <w:lang w:bidi="fa-IR"/>
        </w:rPr>
        <w:t xml:space="preserve"> مِنَ الْعَزَائِمِ ، فَلْتَسْجُدْ </w:t>
      </w:r>
      <w:r w:rsidRPr="007C12DB">
        <w:rPr>
          <w:rStyle w:val="libFootnotenumChar"/>
          <w:rtl/>
        </w:rPr>
        <w:t>(6)</w:t>
      </w:r>
      <w:r w:rsidRPr="005D642E">
        <w:rPr>
          <w:rtl/>
          <w:lang w:bidi="fa-IR"/>
        </w:rPr>
        <w:t xml:space="preserve"> إِذَا سَمِعَتْهَا</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D31A55">
        <w:rPr>
          <w:rtl/>
        </w:rPr>
        <w:t>4225</w:t>
      </w:r>
      <w:r w:rsidRPr="00246318">
        <w:rPr>
          <w:rStyle w:val="libBold2Char"/>
          <w:rtl/>
        </w:rPr>
        <w:t xml:space="preserve"> / 4.</w:t>
      </w:r>
      <w:r w:rsidRPr="005D642E">
        <w:rPr>
          <w:rtl/>
          <w:lang w:bidi="fa-IR"/>
        </w:rPr>
        <w:t xml:space="preserve"> مُحَمَّدُ بْنُ إِسْمَاعِيلَ ، عَنِ الْفَضْلِ بْنِ شَاذَانَ ، عَنْ صَفْوَانَ بْنِ يَحْيى ، عَنْ مَنْصُورِ بْنِ حَازِمٍ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التَّعْوِيذِ </w:t>
      </w:r>
      <w:r w:rsidRPr="007C12DB">
        <w:rPr>
          <w:rStyle w:val="libFootnotenumChar"/>
          <w:rtl/>
        </w:rPr>
        <w:t>(8)</w:t>
      </w:r>
      <w:r w:rsidRPr="005D642E">
        <w:rPr>
          <w:rtl/>
          <w:lang w:bidi="fa-IR"/>
        </w:rPr>
        <w:t xml:space="preserve"> يُعَلَّقُ عَلَى الْحَائِضِ</w:t>
      </w:r>
      <w:r>
        <w:rPr>
          <w:rtl/>
          <w:lang w:bidi="fa-IR"/>
        </w:rPr>
        <w:t>؟</w:t>
      </w:r>
    </w:p>
    <w:p w:rsidR="00E3253D" w:rsidRPr="005D642E" w:rsidRDefault="00E3253D" w:rsidP="00E3253D">
      <w:pPr>
        <w:pStyle w:val="libNormal"/>
        <w:rPr>
          <w:rtl/>
          <w:lang w:bidi="fa-IR"/>
        </w:rPr>
      </w:pPr>
      <w:r w:rsidRPr="005D642E">
        <w:rPr>
          <w:rtl/>
          <w:lang w:bidi="fa-IR"/>
        </w:rPr>
        <w:t xml:space="preserve">فَقَالَ : « نَعَمْ إِذَا كَانَ فِي جِلْدٍ ، أَوْ فِضَّةٍ ، أَوْ قَصَبَةِ </w:t>
      </w:r>
      <w:r w:rsidRPr="007C12DB">
        <w:rPr>
          <w:rStyle w:val="libFootnotenumChar"/>
          <w:rtl/>
        </w:rPr>
        <w:t>(9)</w:t>
      </w:r>
      <w:r w:rsidRPr="005D642E">
        <w:rPr>
          <w:rtl/>
          <w:lang w:bidi="fa-IR"/>
        </w:rPr>
        <w:t xml:space="preserve"> </w:t>
      </w:r>
      <w:r w:rsidR="007C30F0">
        <w:rPr>
          <w:rFonts w:hint="cs"/>
          <w:rtl/>
          <w:lang w:bidi="fa-IR"/>
        </w:rPr>
        <w:t>.......................</w:t>
      </w:r>
      <w:r w:rsidR="007C30F0">
        <w:rPr>
          <w:rFonts w:hint="cs"/>
          <w:rtl/>
          <w:lang w:bidi="fa-IR"/>
        </w:rPr>
        <w:tab/>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D83387" w:rsidP="00E3253D">
      <w:pPr>
        <w:pStyle w:val="libFootnote0"/>
        <w:rPr>
          <w:rtl/>
          <w:lang w:bidi="fa-IR"/>
        </w:rPr>
      </w:pPr>
      <w:r>
        <w:rPr>
          <w:rFonts w:hint="cs"/>
          <w:rtl/>
        </w:rPr>
        <w:t xml:space="preserve">= </w:t>
      </w:r>
      <w:r w:rsidR="00E3253D" w:rsidRPr="005D642E">
        <w:rPr>
          <w:rtl/>
        </w:rPr>
        <w:t>هكذا : « لا بأس أن تتلو الحائض والجنب القرآن</w:t>
      </w:r>
      <w:r w:rsidR="00E3253D">
        <w:rPr>
          <w:rtl/>
        </w:rPr>
        <w:t xml:space="preserve"> ».</w:t>
      </w:r>
      <w:r w:rsidR="00E3253D" w:rsidRPr="005D642E">
        <w:rPr>
          <w:rtl/>
        </w:rPr>
        <w:t xml:space="preserve"> وفي </w:t>
      </w:r>
      <w:r w:rsidR="00E3253D" w:rsidRPr="002F4D34">
        <w:rPr>
          <w:rStyle w:val="libFootnoteBoldChar"/>
          <w:rtl/>
        </w:rPr>
        <w:t>التهذيب</w:t>
      </w:r>
      <w:r w:rsidR="00E3253D" w:rsidRPr="005D642E">
        <w:rPr>
          <w:rtl/>
        </w:rPr>
        <w:t xml:space="preserve"> ، ج 1 ، ص 128 ، ح 349 ؛ </w:t>
      </w:r>
      <w:r w:rsidR="00E3253D" w:rsidRPr="00E678B5">
        <w:rPr>
          <w:rStyle w:val="libFootnoteBoldChar"/>
          <w:rtl/>
        </w:rPr>
        <w:t>والاستبصار</w:t>
      </w:r>
      <w:r w:rsidR="00E3253D" w:rsidRPr="005D642E">
        <w:rPr>
          <w:rtl/>
        </w:rPr>
        <w:t xml:space="preserve"> ، ج 1 ، ص 114 ، ح 381 ، بسند آخر. وفي </w:t>
      </w:r>
      <w:r w:rsidR="00E3253D" w:rsidRPr="002F4D34">
        <w:rPr>
          <w:rStyle w:val="libFootnoteBoldChar"/>
          <w:rtl/>
        </w:rPr>
        <w:t>علل الشرائع</w:t>
      </w:r>
      <w:r w:rsidR="00E3253D" w:rsidRPr="005D642E">
        <w:rPr>
          <w:rtl/>
        </w:rPr>
        <w:t xml:space="preserve"> ، ص 288 ، ذيل ح 1 ؛ </w:t>
      </w:r>
      <w:r w:rsidR="00B60612" w:rsidRPr="00B60612">
        <w:rPr>
          <w:rStyle w:val="libFootnoteBoldChar"/>
          <w:rtl/>
        </w:rPr>
        <w:t>والتهذيب</w:t>
      </w:r>
      <w:r w:rsidR="00E3253D" w:rsidRPr="005D642E">
        <w:rPr>
          <w:rtl/>
        </w:rPr>
        <w:t xml:space="preserve"> ، ج 1 ، ص 371 ، ح 1132 ، بسند آخر عن أبي جعفر </w:t>
      </w:r>
      <w:r w:rsidR="00E3253D" w:rsidRPr="002E6966">
        <w:rPr>
          <w:rStyle w:val="libFootnoteAlaemChar"/>
          <w:rtl/>
        </w:rPr>
        <w:t>عليه‌السلام</w:t>
      </w:r>
      <w:r w:rsidR="00E3253D" w:rsidRPr="005D642E">
        <w:rPr>
          <w:rtl/>
        </w:rPr>
        <w:t xml:space="preserve"> ، وفيه مع زيادة في آخره ، وفي الأربعة الأخيرة مع اختلاف </w:t>
      </w:r>
      <w:r w:rsidR="002E6966">
        <w:rPr>
          <w:rFonts w:hint="cs"/>
          <w:rtl/>
        </w:rPr>
        <w:t>.</w:t>
      </w:r>
      <w:r w:rsidR="00E3253D" w:rsidRPr="002F4D34">
        <w:rPr>
          <w:rStyle w:val="libFootnoteBoldChar"/>
          <w:rtl/>
        </w:rPr>
        <w:t>الوافي</w:t>
      </w:r>
      <w:r w:rsidR="00E3253D" w:rsidRPr="005D642E">
        <w:rPr>
          <w:rtl/>
        </w:rPr>
        <w:t xml:space="preserve"> ، ج 6 ، ص 486 ، ح 4750 ؛ </w:t>
      </w:r>
      <w:r w:rsidR="00E3253D" w:rsidRPr="002F4D34">
        <w:rPr>
          <w:rStyle w:val="libFootnoteBoldChar"/>
          <w:rtl/>
        </w:rPr>
        <w:t>الوسائل</w:t>
      </w:r>
      <w:r w:rsidR="00E3253D" w:rsidRPr="005D642E">
        <w:rPr>
          <w:rtl/>
        </w:rPr>
        <w:t xml:space="preserve"> ، ج 2 ، ص 215 ، ح 1964.</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ظ ، ى ، بح ، بس ، بف ، جس ، جن</w:t>
      </w:r>
      <w:r w:rsidR="00E3253D">
        <w:rPr>
          <w:rtl/>
        </w:rPr>
        <w:t xml:space="preserve"> ».</w:t>
      </w:r>
      <w:r w:rsidR="00E3253D" w:rsidRPr="005D642E">
        <w:rPr>
          <w:rtl/>
        </w:rPr>
        <w:t xml:space="preserve"> وفي « بث ، بخ ، جح » والمطبوع : + « عليّ</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والوسائل : + « الحذّاء</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الطامث » : الحائض ، من الطمث بمعنى الحيض. وقيل : إذا حاضت أوّل ما تحيض. وخصّ بعضهم به حيض الجارية. راجع : </w:t>
      </w:r>
      <w:r w:rsidR="00E3253D" w:rsidRPr="002F4D34">
        <w:rPr>
          <w:rStyle w:val="libFootnoteBoldChar"/>
          <w:rtl/>
        </w:rPr>
        <w:t>لسان العرب</w:t>
      </w:r>
      <w:r w:rsidR="00E3253D" w:rsidRPr="005D642E">
        <w:rPr>
          <w:rtl/>
        </w:rPr>
        <w:t xml:space="preserve"> ، ج 3 ، ص 165 ؛ </w:t>
      </w:r>
      <w:r w:rsidR="00E3253D" w:rsidRPr="002F4D34">
        <w:rPr>
          <w:rStyle w:val="libFootnoteBoldChar"/>
          <w:rtl/>
        </w:rPr>
        <w:t>القاموس المحيط</w:t>
      </w:r>
      <w:r w:rsidR="00E3253D" w:rsidRPr="005D642E">
        <w:rPr>
          <w:rtl/>
        </w:rPr>
        <w:t xml:space="preserve"> ، ج 1 ، ص 273 ( طمث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ى ، بث ، بح ، بس ، جح ، جس » والوسائل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 « إن كان</w:t>
      </w:r>
      <w:r w:rsidR="00E3253D">
        <w:rPr>
          <w:rtl/>
        </w:rPr>
        <w:t xml:space="preserve"> ».</w:t>
      </w:r>
      <w:r w:rsidR="00E3253D" w:rsidRPr="005D642E">
        <w:rPr>
          <w:rtl/>
        </w:rPr>
        <w:t xml:space="preserve"> وفي « بخ ، بس ، بف ، جس ، جن » وحاشية « بث ، جح » : « إذا كانت</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الاستبصار : « تسجد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129 ، ح 353 ؛ </w:t>
      </w:r>
      <w:r w:rsidR="00E3253D" w:rsidRPr="00E678B5">
        <w:rPr>
          <w:rStyle w:val="libFootnoteBoldChar"/>
          <w:rtl/>
        </w:rPr>
        <w:t>والاستبصار</w:t>
      </w:r>
      <w:r w:rsidR="00E3253D" w:rsidRPr="005D642E">
        <w:rPr>
          <w:rtl/>
        </w:rPr>
        <w:t xml:space="preserve"> ، ج 1 ، ص 115 ، ح 385 ، بسندهما عن الحسن بن محبوب. وفي </w:t>
      </w:r>
      <w:r w:rsidR="00E3253D" w:rsidRPr="002F4D34">
        <w:rPr>
          <w:rStyle w:val="libFootnoteBoldChar"/>
          <w:rtl/>
        </w:rPr>
        <w:t>الكافي</w:t>
      </w:r>
      <w:r w:rsidR="00E3253D" w:rsidRPr="005D642E">
        <w:rPr>
          <w:rtl/>
        </w:rPr>
        <w:t xml:space="preserve"> ، كتاب الصلاة ، باب عزائم السجود ، ذيل ح 5010 ؛ </w:t>
      </w:r>
      <w:r w:rsidR="00B60612" w:rsidRPr="00B60612">
        <w:rPr>
          <w:rStyle w:val="libFootnoteBoldChar"/>
          <w:rtl/>
        </w:rPr>
        <w:t>والتهذيب</w:t>
      </w:r>
      <w:r w:rsidR="00E3253D" w:rsidRPr="002F4D34">
        <w:rPr>
          <w:rStyle w:val="libFootnoteBoldChar"/>
          <w:rtl/>
        </w:rPr>
        <w:t xml:space="preserve"> </w:t>
      </w:r>
      <w:r w:rsidR="00E3253D" w:rsidRPr="005D642E">
        <w:rPr>
          <w:rtl/>
        </w:rPr>
        <w:t xml:space="preserve">، ج 2 ، ص 291 ، ذيل ح 24 ، بسند آخر عن أبي عبدالله </w:t>
      </w:r>
      <w:r w:rsidR="00E3253D" w:rsidRPr="00D93B42">
        <w:rPr>
          <w:rStyle w:val="libFootnoteAlaemChar"/>
          <w:rtl/>
        </w:rPr>
        <w:t>عليه‌السلام</w:t>
      </w:r>
      <w:r w:rsidR="00E3253D" w:rsidRPr="005D642E">
        <w:rPr>
          <w:rtl/>
        </w:rPr>
        <w:t xml:space="preserve"> هكذا : « والحائض تسجد إذا سمعت السجدة » </w:t>
      </w:r>
      <w:r w:rsidR="00D93B42">
        <w:rPr>
          <w:rFonts w:hint="cs"/>
          <w:rtl/>
        </w:rPr>
        <w:t>.</w:t>
      </w:r>
      <w:r w:rsidR="00E3253D" w:rsidRPr="002F4D34">
        <w:rPr>
          <w:rStyle w:val="libFootnoteBoldChar"/>
          <w:rtl/>
        </w:rPr>
        <w:t>الوافي</w:t>
      </w:r>
      <w:r w:rsidR="00E3253D" w:rsidRPr="005D642E">
        <w:rPr>
          <w:rtl/>
        </w:rPr>
        <w:t xml:space="preserve"> ، ج 6 ، ص 487 ، ح 4754 ؛ </w:t>
      </w:r>
      <w:r w:rsidR="00E3253D" w:rsidRPr="002F4D34">
        <w:rPr>
          <w:rStyle w:val="libFootnoteBoldChar"/>
          <w:rtl/>
        </w:rPr>
        <w:t>الوسائل</w:t>
      </w:r>
      <w:r w:rsidR="00E3253D" w:rsidRPr="005D642E">
        <w:rPr>
          <w:rtl/>
        </w:rPr>
        <w:t xml:space="preserve"> ، ج 2 ، ص 340 ، ح 2308.</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التعويذ » : الرُقية التي يرقى بها الإنسان من فزع أو جنون ؛ لأنّه يعاذ بها. راجع : </w:t>
      </w:r>
      <w:r w:rsidR="00E3253D" w:rsidRPr="002F4D34">
        <w:rPr>
          <w:rStyle w:val="libFootnoteBoldChar"/>
          <w:rtl/>
        </w:rPr>
        <w:t>لسان العرب</w:t>
      </w:r>
      <w:r w:rsidR="00E3253D" w:rsidRPr="005D642E">
        <w:rPr>
          <w:rtl/>
        </w:rPr>
        <w:t xml:space="preserve"> ، ج 3 ، ص 499 ( عوذ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 + « أو</w:t>
      </w:r>
      <w:r w:rsidR="00E3253D">
        <w:rPr>
          <w:rtl/>
        </w:rPr>
        <w:t xml:space="preserve"> ».</w:t>
      </w:r>
      <w:r w:rsidR="00E3253D" w:rsidRPr="005D642E">
        <w:rPr>
          <w:rtl/>
        </w:rPr>
        <w:t xml:space="preserve"> </w:t>
      </w:r>
      <w:r w:rsidR="00E3253D">
        <w:rPr>
          <w:rtl/>
        </w:rPr>
        <w:t>و «</w:t>
      </w:r>
      <w:r w:rsidR="00E3253D" w:rsidRPr="005D642E">
        <w:rPr>
          <w:rtl/>
        </w:rPr>
        <w:t xml:space="preserve"> القصبة » : واحدة القَصَب ، وهو كلّ عظم مستد</w:t>
      </w:r>
      <w:r w:rsidR="00145623">
        <w:rPr>
          <w:rtl/>
        </w:rPr>
        <w:t>ير أجوف ، وكلّ ما اتّخذ من فضّة</w:t>
      </w:r>
      <w:r w:rsidR="00D93B4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حَدِيدٍ</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D31A55">
        <w:rPr>
          <w:rtl/>
        </w:rPr>
        <w:t>4226</w:t>
      </w:r>
      <w:r w:rsidRPr="00246318">
        <w:rPr>
          <w:rStyle w:val="libBold2Char"/>
          <w:rtl/>
        </w:rPr>
        <w:t xml:space="preserve"> / 5.</w:t>
      </w:r>
      <w:r w:rsidRPr="005D642E">
        <w:rPr>
          <w:rtl/>
          <w:lang w:bidi="fa-IR"/>
        </w:rPr>
        <w:t xml:space="preserve"> عَلِيُّ بْنُ إِبْرَاهِيمَ ، عَنْ أَبِيهِ ، عَنِ ابْنِ أَبِي عُمَيْرٍ ، عَنْ دَاوُدَ بْنِ فَرْقَدٍ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التَّعْوِيذِ يُعَلَّقُ عَلَى الْحَائِضِ</w:t>
      </w:r>
      <w:r>
        <w:rPr>
          <w:rtl/>
          <w:lang w:bidi="fa-IR"/>
        </w:rPr>
        <w:t>؟</w:t>
      </w:r>
    </w:p>
    <w:p w:rsidR="00E3253D" w:rsidRPr="005D642E" w:rsidRDefault="00E3253D" w:rsidP="00E3253D">
      <w:pPr>
        <w:pStyle w:val="libNormal"/>
        <w:rPr>
          <w:rtl/>
          <w:lang w:bidi="fa-IR"/>
        </w:rPr>
      </w:pPr>
      <w:r w:rsidRPr="005D642E">
        <w:rPr>
          <w:rtl/>
          <w:lang w:bidi="fa-IR"/>
        </w:rPr>
        <w:t xml:space="preserve">قَالَ : « نَعَمْ ، لَابَأْسَ » قَالَ : وَقَالَ </w:t>
      </w:r>
      <w:r w:rsidRPr="007C12DB">
        <w:rPr>
          <w:rStyle w:val="libFootnotenumChar"/>
          <w:rtl/>
        </w:rPr>
        <w:t>(2)</w:t>
      </w:r>
      <w:r w:rsidRPr="005D642E">
        <w:rPr>
          <w:rtl/>
          <w:lang w:bidi="fa-IR"/>
        </w:rPr>
        <w:t xml:space="preserve"> : « تَقْرَؤُهُ </w:t>
      </w:r>
      <w:r w:rsidRPr="007C12DB">
        <w:rPr>
          <w:rStyle w:val="libFootnotenumChar"/>
          <w:rtl/>
        </w:rPr>
        <w:t>(3)</w:t>
      </w:r>
      <w:r w:rsidRPr="005D642E">
        <w:rPr>
          <w:rtl/>
          <w:lang w:bidi="fa-IR"/>
        </w:rPr>
        <w:t xml:space="preserve"> ، وَتَكْتُبُهُ ، وَلَاتُصِيبُهُ يَدُهَا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145623" w:rsidP="00E3253D">
      <w:pPr>
        <w:pStyle w:val="libNormal"/>
        <w:rPr>
          <w:rtl/>
          <w:lang w:bidi="fa-IR"/>
        </w:rPr>
      </w:pPr>
      <w:r>
        <w:rPr>
          <w:rFonts w:hint="cs"/>
          <w:rtl/>
          <w:lang w:bidi="fa-IR"/>
        </w:rPr>
        <w:t xml:space="preserve">* </w:t>
      </w:r>
      <w:r w:rsidR="00E3253D" w:rsidRPr="005D642E">
        <w:rPr>
          <w:rtl/>
          <w:lang w:bidi="fa-IR"/>
        </w:rPr>
        <w:t>وَرُوِيَ : « أَنَّهَا لَا تَكْتُبُ الْقُرْآنَ</w:t>
      </w:r>
      <w:r w:rsidR="00E3253D">
        <w:rPr>
          <w:rtl/>
          <w:lang w:bidi="fa-IR"/>
        </w:rPr>
        <w:t xml:space="preserve"> ».</w:t>
      </w:r>
      <w:r w:rsidR="00E3253D" w:rsidRPr="005D642E">
        <w:rPr>
          <w:rtl/>
          <w:lang w:bidi="fa-IR"/>
        </w:rPr>
        <w:t xml:space="preserve"> </w:t>
      </w:r>
      <w:r w:rsidR="00E3253D" w:rsidRPr="007C12DB">
        <w:rPr>
          <w:rStyle w:val="libFootnotenumChar"/>
          <w:rtl/>
        </w:rPr>
        <w:t>(6)</w:t>
      </w:r>
      <w:r w:rsidR="00E3253D" w:rsidRPr="005D642E">
        <w:rPr>
          <w:rtl/>
          <w:lang w:bidi="fa-IR"/>
        </w:rPr>
        <w:t xml:space="preserve"> ‌</w:t>
      </w:r>
    </w:p>
    <w:p w:rsidR="00E3253D" w:rsidRPr="005D642E" w:rsidRDefault="00E3253D" w:rsidP="00E3253D">
      <w:pPr>
        <w:pStyle w:val="Heading2Center"/>
        <w:rPr>
          <w:rtl/>
          <w:lang w:bidi="fa-IR"/>
        </w:rPr>
      </w:pPr>
      <w:bookmarkStart w:id="234" w:name="_Toc344647288"/>
      <w:bookmarkStart w:id="235" w:name="_Toc462226803"/>
      <w:bookmarkStart w:id="236" w:name="_Toc40975911"/>
      <w:r w:rsidRPr="005D642E">
        <w:rPr>
          <w:rtl/>
          <w:lang w:bidi="fa-IR"/>
        </w:rPr>
        <w:t>20</w:t>
      </w:r>
      <w:r>
        <w:rPr>
          <w:rtl/>
          <w:lang w:bidi="fa-IR"/>
        </w:rPr>
        <w:t xml:space="preserve"> </w:t>
      </w:r>
      <w:r w:rsidR="007642BC">
        <w:rPr>
          <w:rtl/>
          <w:lang w:bidi="fa-IR"/>
        </w:rPr>
        <w:t>-</w:t>
      </w:r>
      <w:r>
        <w:rPr>
          <w:rtl/>
          <w:lang w:bidi="fa-IR"/>
        </w:rPr>
        <w:t xml:space="preserve"> </w:t>
      </w:r>
      <w:r w:rsidRPr="005D642E">
        <w:rPr>
          <w:rtl/>
          <w:lang w:bidi="fa-IR"/>
        </w:rPr>
        <w:t>بَابُ الْحَائِضِ تَأْخُذُ مِنَ الْمَسْجِدِ وَلَاتَضَعُ فِيهِ شَيْئاً‌</w:t>
      </w:r>
      <w:bookmarkEnd w:id="234"/>
      <w:bookmarkEnd w:id="235"/>
      <w:bookmarkEnd w:id="236"/>
    </w:p>
    <w:p w:rsidR="00E3253D" w:rsidRPr="005D642E" w:rsidRDefault="00E3253D" w:rsidP="00E3253D">
      <w:pPr>
        <w:pStyle w:val="libNormal"/>
        <w:rPr>
          <w:rtl/>
          <w:lang w:bidi="fa-IR"/>
        </w:rPr>
      </w:pPr>
      <w:r w:rsidRPr="00D31A55">
        <w:rPr>
          <w:rtl/>
        </w:rPr>
        <w:t>4227</w:t>
      </w:r>
      <w:r w:rsidRPr="00246318">
        <w:rPr>
          <w:rStyle w:val="libBold2Char"/>
          <w:rtl/>
        </w:rPr>
        <w:t xml:space="preserve"> / 1.</w:t>
      </w:r>
      <w:r w:rsidRPr="005D642E">
        <w:rPr>
          <w:rtl/>
          <w:lang w:bidi="fa-IR"/>
        </w:rPr>
        <w:t xml:space="preserve"> مُحَمَّدُ بْنُ يَحْيى ، عَنْ أَحْمَدَ بْنِ مُحَمَّدٍ ، عَنْ حَمَّادِ بْنِ عِيسى ، عَنْ حَرِيزٍ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سَأَلْتُهُ : كَيْفَ صَارَتِ الْحَائِضُ تَأْخُذُ مَا فِي الْمَسْجِدِ ، وَلَا تَضَعُ فِيهِ </w:t>
      </w:r>
      <w:r w:rsidRPr="007C12DB">
        <w:rPr>
          <w:rStyle w:val="libFootnotenumChar"/>
          <w:rtl/>
        </w:rPr>
        <w:t>(7)</w:t>
      </w:r>
      <w:r>
        <w:rPr>
          <w:rtl/>
          <w:lang w:bidi="fa-IR"/>
        </w:rPr>
        <w:t>؟</w:t>
      </w:r>
    </w:p>
    <w:p w:rsidR="00E3253D" w:rsidRPr="005D642E" w:rsidRDefault="00E3253D" w:rsidP="00E3253D">
      <w:pPr>
        <w:pStyle w:val="libNormal"/>
        <w:rPr>
          <w:rtl/>
          <w:lang w:bidi="fa-IR"/>
        </w:rPr>
      </w:pPr>
      <w:r w:rsidRPr="005D642E">
        <w:rPr>
          <w:rtl/>
          <w:lang w:bidi="fa-IR"/>
        </w:rPr>
        <w:t>فَقَالَ : « لِأَنَّ الْحَائِضَ تَسْتَطِيعُ أَنْ تَضَعَ مَا فِي يَدِهَا فِي غَيْرِهِ ، وَلَاتَسْتَطِيعُ أَنْ‌</w:t>
      </w:r>
    </w:p>
    <w:p w:rsidR="00E3253D" w:rsidRPr="005D642E" w:rsidRDefault="00E3253D" w:rsidP="00E3253D">
      <w:pPr>
        <w:pStyle w:val="libLine"/>
        <w:rPr>
          <w:rtl/>
          <w:lang w:bidi="fa-IR"/>
        </w:rPr>
      </w:pPr>
      <w:r w:rsidRPr="005D642E">
        <w:rPr>
          <w:rtl/>
          <w:lang w:bidi="fa-IR"/>
        </w:rPr>
        <w:t>__________________</w:t>
      </w:r>
    </w:p>
    <w:p w:rsidR="00E3253D" w:rsidRPr="005D642E" w:rsidRDefault="00145623" w:rsidP="00E3253D">
      <w:pPr>
        <w:pStyle w:val="libFootnote0"/>
        <w:rPr>
          <w:rtl/>
          <w:lang w:bidi="fa-IR"/>
        </w:rPr>
      </w:pPr>
      <w:r>
        <w:rPr>
          <w:rFonts w:hint="cs"/>
          <w:rtl/>
        </w:rPr>
        <w:t xml:space="preserve">= </w:t>
      </w:r>
      <w:r w:rsidR="00E3253D" w:rsidRPr="005D642E">
        <w:rPr>
          <w:rtl/>
        </w:rPr>
        <w:t xml:space="preserve">أو غيرها. راجع : </w:t>
      </w:r>
      <w:r w:rsidR="00E3253D" w:rsidRPr="002F4D34">
        <w:rPr>
          <w:rStyle w:val="libFootnoteBoldChar"/>
          <w:rtl/>
        </w:rPr>
        <w:t>لسان العرب</w:t>
      </w:r>
      <w:r w:rsidR="00E3253D" w:rsidRPr="005D642E">
        <w:rPr>
          <w:rtl/>
        </w:rPr>
        <w:t xml:space="preserve"> ، ج 1 ، ص 675 ( قصب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6 ، ص 488 ، ح 4755 ؛ </w:t>
      </w:r>
      <w:r w:rsidR="00E3253D" w:rsidRPr="002F4D34">
        <w:rPr>
          <w:rStyle w:val="libFootnoteBoldChar"/>
          <w:rtl/>
        </w:rPr>
        <w:t>الوسائل</w:t>
      </w:r>
      <w:r w:rsidR="00E3253D" w:rsidRPr="005D642E">
        <w:rPr>
          <w:rtl/>
        </w:rPr>
        <w:t xml:space="preserve"> ، ج 2 ، ص 342 ، ح 2315 ؛ وج 3 ، ص 511 ، ح 4318 ؛ </w:t>
      </w:r>
      <w:r w:rsidR="00E3253D" w:rsidRPr="002F4D34">
        <w:rPr>
          <w:rStyle w:val="libFootnoteBoldChar"/>
          <w:rtl/>
        </w:rPr>
        <w:t>البحار</w:t>
      </w:r>
      <w:r w:rsidR="00E3253D" w:rsidRPr="005D642E">
        <w:rPr>
          <w:rtl/>
        </w:rPr>
        <w:t xml:space="preserve"> ، ج 66 ، ص 537 ، ح 37.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 « تقرأ</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غ » : « بيدها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183 ، ح 526 ، بسنده عن داود ، عن رجل ، عن أبي عبدالله </w:t>
      </w:r>
      <w:r w:rsidR="00E3253D" w:rsidRPr="00B17DC6">
        <w:rPr>
          <w:rStyle w:val="libFootnoteAlaemChar"/>
          <w:rtl/>
        </w:rPr>
        <w:t>عليه‌السلام</w:t>
      </w:r>
      <w:r w:rsidR="00E3253D" w:rsidRPr="005D642E">
        <w:rPr>
          <w:rtl/>
        </w:rPr>
        <w:t xml:space="preserve"> ، مع اختلاف يسير </w:t>
      </w:r>
      <w:r w:rsidR="00B17DC6">
        <w:rPr>
          <w:rFonts w:hint="cs"/>
          <w:rtl/>
        </w:rPr>
        <w:t>.</w:t>
      </w:r>
      <w:r w:rsidR="00E3253D" w:rsidRPr="002F4D34">
        <w:rPr>
          <w:rStyle w:val="libFootnoteBoldChar"/>
          <w:rtl/>
        </w:rPr>
        <w:t>الوافي</w:t>
      </w:r>
      <w:r w:rsidR="00E3253D" w:rsidRPr="005D642E">
        <w:rPr>
          <w:rtl/>
        </w:rPr>
        <w:t xml:space="preserve"> ، ج 6 ، ص 488 ، ح 4756 ؛ </w:t>
      </w:r>
      <w:r w:rsidR="00E3253D" w:rsidRPr="002F4D34">
        <w:rPr>
          <w:rStyle w:val="libFootnoteBoldChar"/>
          <w:rtl/>
        </w:rPr>
        <w:t>الوسائل</w:t>
      </w:r>
      <w:r w:rsidR="00E3253D" w:rsidRPr="005D642E">
        <w:rPr>
          <w:rtl/>
        </w:rPr>
        <w:t xml:space="preserve"> ، ج 2 ، ص 342 ، ح 2313.</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6 ، ص 488 ، ح 4757 ؛ </w:t>
      </w:r>
      <w:r w:rsidR="00E3253D" w:rsidRPr="002F4D34">
        <w:rPr>
          <w:rStyle w:val="libFootnoteBoldChar"/>
          <w:rtl/>
        </w:rPr>
        <w:t>الوسائل</w:t>
      </w:r>
      <w:r w:rsidR="00E3253D" w:rsidRPr="005D642E">
        <w:rPr>
          <w:rtl/>
        </w:rPr>
        <w:t xml:space="preserve"> ، ج 2 ، ص 342 ، ح 2314.</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252 : « النهي عن الوضع محمول عند أكثر ا</w:t>
      </w:r>
      <w:r w:rsidR="00DB19C1">
        <w:rPr>
          <w:rtl/>
        </w:rPr>
        <w:t>لأصحاب على التحريم ، وعند سل</w:t>
      </w:r>
      <w:r w:rsidR="00DB19C1">
        <w:rPr>
          <w:rFonts w:hint="cs"/>
          <w:rtl/>
        </w:rPr>
        <w:t>ّ</w:t>
      </w:r>
      <w:r w:rsidR="00DB19C1">
        <w:rPr>
          <w:rtl/>
        </w:rPr>
        <w:t>ا</w:t>
      </w:r>
      <w:r w:rsidR="00E3253D" w:rsidRPr="005D642E">
        <w:rPr>
          <w:rtl/>
        </w:rPr>
        <w:t>ر على الكراهة ، والعمل على المشهور. وذكر الأكثر أنّه لافرق في الوضع بين كونه من خارج المسجد أو داخله ، كما يقتضيه إطلاق الخبر</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4B57E3" w:rsidP="00E3253D">
      <w:pPr>
        <w:pStyle w:val="libNormal0"/>
        <w:rPr>
          <w:rtl/>
          <w:lang w:bidi="fa-IR"/>
        </w:rPr>
      </w:pPr>
      <w:r>
        <w:rPr>
          <w:rtl/>
          <w:lang w:bidi="fa-IR"/>
        </w:rPr>
        <w:lastRenderedPageBreak/>
        <w:t>تَأْخُذَ مَا فِيهِ إِل</w:t>
      </w:r>
      <w:r>
        <w:rPr>
          <w:rFonts w:hint="cs"/>
          <w:rtl/>
          <w:lang w:bidi="fa-IR"/>
        </w:rPr>
        <w:t>َّ</w:t>
      </w:r>
      <w:r>
        <w:rPr>
          <w:rtl/>
          <w:lang w:bidi="fa-IR"/>
        </w:rPr>
        <w:t>ا</w:t>
      </w:r>
      <w:r w:rsidR="00E3253D" w:rsidRPr="005D642E">
        <w:rPr>
          <w:rtl/>
          <w:lang w:bidi="fa-IR"/>
        </w:rPr>
        <w:t xml:space="preserve"> مِنْهُ</w:t>
      </w:r>
      <w:r w:rsidR="00E3253D">
        <w:rPr>
          <w:rtl/>
          <w:lang w:bidi="fa-IR"/>
        </w:rPr>
        <w:t xml:space="preserve"> ».</w:t>
      </w:r>
      <w:r w:rsidR="00E3253D" w:rsidRPr="005D642E">
        <w:rPr>
          <w:rtl/>
          <w:lang w:bidi="fa-IR"/>
        </w:rPr>
        <w:t xml:space="preserve"> </w:t>
      </w:r>
      <w:r w:rsidR="00E3253D" w:rsidRPr="007C12DB">
        <w:rPr>
          <w:rStyle w:val="libFootnotenumChar"/>
          <w:rtl/>
        </w:rPr>
        <w:t>(1)</w:t>
      </w:r>
      <w:r w:rsidR="00E3253D" w:rsidRPr="005D642E">
        <w:rPr>
          <w:rtl/>
          <w:lang w:bidi="fa-IR"/>
        </w:rPr>
        <w:t xml:space="preserve"> ‌</w:t>
      </w:r>
    </w:p>
    <w:p w:rsidR="00E3253D" w:rsidRPr="005D642E" w:rsidRDefault="00E3253D" w:rsidP="00E3253D">
      <w:pPr>
        <w:pStyle w:val="Heading2Center"/>
        <w:rPr>
          <w:rtl/>
          <w:lang w:bidi="fa-IR"/>
        </w:rPr>
      </w:pPr>
      <w:bookmarkStart w:id="237" w:name="_Toc344647289"/>
      <w:bookmarkStart w:id="238" w:name="_Toc462226804"/>
      <w:bookmarkStart w:id="239" w:name="_Toc40975912"/>
      <w:r w:rsidRPr="005D642E">
        <w:rPr>
          <w:rtl/>
          <w:lang w:bidi="fa-IR"/>
        </w:rPr>
        <w:t>21</w:t>
      </w:r>
      <w:r>
        <w:rPr>
          <w:rtl/>
          <w:lang w:bidi="fa-IR"/>
        </w:rPr>
        <w:t xml:space="preserve"> </w:t>
      </w:r>
      <w:r w:rsidR="007642BC">
        <w:rPr>
          <w:rtl/>
          <w:lang w:bidi="fa-IR"/>
        </w:rPr>
        <w:t>-</w:t>
      </w:r>
      <w:r>
        <w:rPr>
          <w:rtl/>
          <w:lang w:bidi="fa-IR"/>
        </w:rPr>
        <w:t xml:space="preserve"> </w:t>
      </w:r>
      <w:r w:rsidRPr="005D642E">
        <w:rPr>
          <w:rtl/>
          <w:lang w:bidi="fa-IR"/>
        </w:rPr>
        <w:t xml:space="preserve">بَابُ الْمَرْأَةِ يَرْتَفِعُ طَمْثُهَا ثُمَّ يَعُودُ ، وَحَدِّ الْيَأْسِ </w:t>
      </w:r>
      <w:r w:rsidRPr="007C12DB">
        <w:rPr>
          <w:rStyle w:val="libFootnotenumChar"/>
          <w:rtl/>
        </w:rPr>
        <w:t>(2)</w:t>
      </w:r>
      <w:r>
        <w:rPr>
          <w:rtl/>
        </w:rPr>
        <w:t xml:space="preserve"> </w:t>
      </w:r>
      <w:r w:rsidRPr="005D642E">
        <w:rPr>
          <w:rtl/>
          <w:lang w:bidi="fa-IR"/>
        </w:rPr>
        <w:t xml:space="preserve">مِنَ الْمَحِيضِ </w:t>
      </w:r>
      <w:r w:rsidRPr="007C12DB">
        <w:rPr>
          <w:rStyle w:val="libFootnotenumChar"/>
          <w:rtl/>
        </w:rPr>
        <w:t>(3)</w:t>
      </w:r>
      <w:r w:rsidRPr="005D642E">
        <w:rPr>
          <w:rtl/>
          <w:lang w:bidi="fa-IR"/>
        </w:rPr>
        <w:t xml:space="preserve"> ‌</w:t>
      </w:r>
      <w:bookmarkEnd w:id="237"/>
      <w:bookmarkEnd w:id="238"/>
      <w:bookmarkEnd w:id="239"/>
    </w:p>
    <w:p w:rsidR="00E3253D" w:rsidRPr="005D642E" w:rsidRDefault="00E3253D" w:rsidP="00E3253D">
      <w:pPr>
        <w:pStyle w:val="libNormal"/>
        <w:rPr>
          <w:rtl/>
          <w:lang w:bidi="fa-IR"/>
        </w:rPr>
      </w:pPr>
      <w:r w:rsidRPr="00D31A55">
        <w:rPr>
          <w:rtl/>
        </w:rPr>
        <w:t>4228</w:t>
      </w:r>
      <w:r w:rsidRPr="00246318">
        <w:rPr>
          <w:rStyle w:val="libBold2Char"/>
          <w:rtl/>
        </w:rPr>
        <w:t xml:space="preserve"> / 1.</w:t>
      </w:r>
      <w:r w:rsidRPr="005D642E">
        <w:rPr>
          <w:rtl/>
          <w:lang w:bidi="fa-IR"/>
        </w:rPr>
        <w:t xml:space="preserve"> أَبُو عَلِيٍّ الْأَشْعَرِيُّ ، عَنْ مُحَمَّدِ بْنِ عَبْدِ الْجَبَّارِ ، عَنْ صَفْوَانَ بْنِ يَحْيى ، عَنِ الْعِيصِ بْنِ الْقَاسِمِ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امْرَأَةٍ ذَهَبَ طَمْثُهَا سِنِينَ ، ثُمَّ عَادَ إِلَيْهَا شَيْ‌ءٌ</w:t>
      </w:r>
      <w:r>
        <w:rPr>
          <w:rtl/>
          <w:lang w:bidi="fa-IR"/>
        </w:rPr>
        <w:t>؟</w:t>
      </w:r>
    </w:p>
    <w:p w:rsidR="00E3253D" w:rsidRPr="005D642E" w:rsidRDefault="00E3253D" w:rsidP="00E3253D">
      <w:pPr>
        <w:pStyle w:val="libNormal"/>
        <w:rPr>
          <w:rtl/>
          <w:lang w:bidi="fa-IR"/>
        </w:rPr>
      </w:pPr>
      <w:r w:rsidRPr="005D642E">
        <w:rPr>
          <w:rtl/>
          <w:lang w:bidi="fa-IR"/>
        </w:rPr>
        <w:t xml:space="preserve">قَالَ : « تَتْرُكُ الصَّلَاةَ حَتّى تَطْهُرَ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D31A55">
        <w:rPr>
          <w:rtl/>
        </w:rPr>
        <w:t>4229</w:t>
      </w:r>
      <w:r w:rsidRPr="00246318">
        <w:rPr>
          <w:rStyle w:val="libBold2Char"/>
          <w:rtl/>
        </w:rPr>
        <w:t xml:space="preserve"> / 2.</w:t>
      </w:r>
      <w:r w:rsidRPr="005D642E">
        <w:rPr>
          <w:rtl/>
          <w:lang w:bidi="fa-IR"/>
        </w:rPr>
        <w:t xml:space="preserve"> عَلِيُّ بْنُ مُحَمَّدٍ ، عَنْ سَهْلِ بْنِ زِيَادٍ ، عَنْ أَحْمَدَ بْنِ مُحَمَّدِ بْنِ أَبِي نَصْرٍ ، عَنْ بَعْضِ أَصْحَابِنَا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الْمَرْأَةُ الَّتِي قَدْ </w:t>
      </w:r>
      <w:r w:rsidRPr="007C12DB">
        <w:rPr>
          <w:rStyle w:val="libFootnotenumChar"/>
          <w:rtl/>
        </w:rPr>
        <w:t>(6)</w:t>
      </w:r>
      <w:r w:rsidRPr="005D642E">
        <w:rPr>
          <w:rtl/>
          <w:lang w:bidi="fa-IR"/>
        </w:rPr>
        <w:t xml:space="preserve"> يَئِسَتْ مِنَ الْمَحِيضِ </w:t>
      </w:r>
      <w:r w:rsidRPr="007C12DB">
        <w:rPr>
          <w:rStyle w:val="libFootnotenumChar"/>
          <w:rtl/>
        </w:rPr>
        <w:t>(7)</w:t>
      </w:r>
      <w:r w:rsidRPr="005D642E">
        <w:rPr>
          <w:rtl/>
          <w:lang w:bidi="fa-IR"/>
        </w:rPr>
        <w:t xml:space="preserve"> حَدُّهَا خَمْسُونَ سَنَةً</w:t>
      </w:r>
      <w:r>
        <w:rPr>
          <w:rtl/>
          <w:lang w:bidi="fa-IR"/>
        </w:rPr>
        <w:t xml:space="preserve"> ».</w:t>
      </w:r>
      <w:r w:rsidRPr="007C12DB">
        <w:rPr>
          <w:rStyle w:val="libFootnotenumChar"/>
          <w:rtl/>
        </w:rPr>
        <w:t>(8)</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397 ، ح 1233 ، معلّقاً عن أحمد بن محمّد. </w:t>
      </w:r>
      <w:r w:rsidR="00E3253D" w:rsidRPr="002F4D34">
        <w:rPr>
          <w:rStyle w:val="libFootnoteBoldChar"/>
          <w:rtl/>
        </w:rPr>
        <w:t>علل الشرائع</w:t>
      </w:r>
      <w:r w:rsidR="00E3253D" w:rsidRPr="005D642E">
        <w:rPr>
          <w:rtl/>
        </w:rPr>
        <w:t xml:space="preserve"> ، ص 288 ، ضمن ح 1 ، بسنده عن حمّاد بن عيسى ، عن حريز ، عن زرارة ومحمّد بن مسلم ، عن أبي جعفر </w:t>
      </w:r>
      <w:r w:rsidR="00E3253D" w:rsidRPr="00BC528E">
        <w:rPr>
          <w:rStyle w:val="libFootnoteAlaemChar"/>
          <w:rtl/>
        </w:rPr>
        <w:t>عليه‌السلام</w:t>
      </w:r>
      <w:r w:rsidR="00E3253D" w:rsidRPr="005D642E">
        <w:rPr>
          <w:rtl/>
        </w:rPr>
        <w:t xml:space="preserve"> ، مع اختلاف يسير. </w:t>
      </w:r>
      <w:r w:rsidR="00E3253D" w:rsidRPr="002F4D34">
        <w:rPr>
          <w:rStyle w:val="libFootnoteBoldChar"/>
          <w:rtl/>
        </w:rPr>
        <w:t>تفسير القمّي</w:t>
      </w:r>
      <w:r w:rsidR="00E3253D" w:rsidRPr="005D642E">
        <w:rPr>
          <w:rtl/>
        </w:rPr>
        <w:t xml:space="preserve"> ، ج 1 ، ص 139 ، ضمن الحديث ، مرسلاً ، مع اختلاف. راجع : </w:t>
      </w:r>
      <w:r w:rsidR="00E3253D" w:rsidRPr="002F4D34">
        <w:rPr>
          <w:rStyle w:val="libFootnoteBoldChar"/>
          <w:rtl/>
        </w:rPr>
        <w:t>الكافي</w:t>
      </w:r>
      <w:r w:rsidR="00E3253D" w:rsidRPr="005D642E">
        <w:rPr>
          <w:rtl/>
        </w:rPr>
        <w:t xml:space="preserve"> ، كتاب الطهارة ، باب الجنب يأكل ويشرب</w:t>
      </w:r>
      <w:r w:rsidR="00E3253D">
        <w:rPr>
          <w:rtl/>
        </w:rPr>
        <w:t xml:space="preserve"> ..</w:t>
      </w:r>
      <w:r w:rsidR="00E3253D" w:rsidRPr="005D642E">
        <w:rPr>
          <w:rtl/>
        </w:rPr>
        <w:t xml:space="preserve">. ، ح 4050 ؛ </w:t>
      </w:r>
      <w:r w:rsidR="00B60612" w:rsidRPr="00B60612">
        <w:rPr>
          <w:rStyle w:val="libFootnoteBoldChar"/>
          <w:rtl/>
        </w:rPr>
        <w:t>والتهذيب</w:t>
      </w:r>
      <w:r w:rsidR="00E3253D" w:rsidRPr="005D642E">
        <w:rPr>
          <w:rtl/>
        </w:rPr>
        <w:t xml:space="preserve"> ، ج 1 ، ص 125 ، ح 339 ؛ و</w:t>
      </w:r>
      <w:r w:rsidR="00E3253D" w:rsidRPr="002F4D34">
        <w:rPr>
          <w:rStyle w:val="libFootnoteBoldChar"/>
          <w:rtl/>
        </w:rPr>
        <w:t>تفسير القميّ</w:t>
      </w:r>
      <w:r w:rsidR="00E3253D" w:rsidRPr="005D642E">
        <w:rPr>
          <w:rtl/>
        </w:rPr>
        <w:t xml:space="preserve"> ، ج 1 ، ص 139 ؛ و</w:t>
      </w:r>
      <w:r w:rsidR="00E3253D" w:rsidRPr="002F4D34">
        <w:rPr>
          <w:rStyle w:val="libFootnoteBoldChar"/>
          <w:rtl/>
        </w:rPr>
        <w:t>فقه الرضا</w:t>
      </w:r>
      <w:r w:rsidR="00E3253D" w:rsidRPr="005D642E">
        <w:rPr>
          <w:rtl/>
        </w:rPr>
        <w:t xml:space="preserve"> </w:t>
      </w:r>
      <w:r w:rsidR="00E3253D" w:rsidRPr="00BC528E">
        <w:rPr>
          <w:rStyle w:val="libFootnoteAlaemChar"/>
          <w:rtl/>
        </w:rPr>
        <w:t>عليه‌السلام</w:t>
      </w:r>
      <w:r w:rsidR="00E3253D" w:rsidRPr="005D642E">
        <w:rPr>
          <w:rtl/>
        </w:rPr>
        <w:t xml:space="preserve"> ، ص 84 ؛ </w:t>
      </w:r>
      <w:r w:rsidR="009E68BB" w:rsidRPr="009E68BB">
        <w:rPr>
          <w:rStyle w:val="libFootnoteBoldChar"/>
          <w:rtl/>
        </w:rPr>
        <w:t>وتفسير العيّاشي</w:t>
      </w:r>
      <w:r w:rsidR="00E3253D" w:rsidRPr="005D642E">
        <w:rPr>
          <w:rtl/>
        </w:rPr>
        <w:t xml:space="preserve"> ، ج 1 ، ص 243 ، ح 138 </w:t>
      </w:r>
      <w:r w:rsidR="00BC528E">
        <w:rPr>
          <w:rFonts w:hint="cs"/>
          <w:rtl/>
        </w:rPr>
        <w:t>.</w:t>
      </w:r>
      <w:r w:rsidR="00E3253D" w:rsidRPr="002F4D34">
        <w:rPr>
          <w:rStyle w:val="libFootnoteBoldChar"/>
          <w:rtl/>
        </w:rPr>
        <w:t>الوافي</w:t>
      </w:r>
      <w:r w:rsidR="00E3253D" w:rsidRPr="005D642E">
        <w:rPr>
          <w:rtl/>
        </w:rPr>
        <w:t xml:space="preserve"> ، ج 6 ، ص 488 ، ح 4759 ؛ </w:t>
      </w:r>
      <w:r w:rsidR="00E3253D" w:rsidRPr="002F4D34">
        <w:rPr>
          <w:rStyle w:val="libFootnoteBoldChar"/>
          <w:rtl/>
        </w:rPr>
        <w:t>الوسائل</w:t>
      </w:r>
      <w:r w:rsidR="00E3253D" w:rsidRPr="005D642E">
        <w:rPr>
          <w:rtl/>
        </w:rPr>
        <w:t xml:space="preserve"> ، ج 2 ، ص 340 ، ح 2307.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ى ، بث ، بح ، بخ ، بس ، جح ، جس » : « الإياس</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ى ، بح ، بس ، جس » : « من الحيض</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وظاهره ترك الصلاة بمجرّد الرؤية ، ويمكن حمله على ما إذا صادف العادة</w:t>
      </w:r>
      <w:r w:rsidR="00E3253D">
        <w:rPr>
          <w:rtl/>
        </w:rPr>
        <w:t xml:space="preserve"> ».</w:t>
      </w:r>
    </w:p>
    <w:p w:rsidR="00E3253D" w:rsidRPr="005D642E" w:rsidRDefault="0042621E" w:rsidP="00B94C21">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397 ، ح 1234 ، معلّقاً عن أبي عليّ الأشعري </w:t>
      </w:r>
      <w:r w:rsidR="00BC528E">
        <w:rPr>
          <w:rFonts w:hint="cs"/>
          <w:rtl/>
        </w:rPr>
        <w:t>.</w:t>
      </w:r>
      <w:r w:rsidR="00E3253D" w:rsidRPr="002F4D34">
        <w:rPr>
          <w:rStyle w:val="libFootnoteBoldChar"/>
          <w:rtl/>
        </w:rPr>
        <w:t>الوافي</w:t>
      </w:r>
      <w:r w:rsidR="00E3253D" w:rsidRPr="005D642E">
        <w:rPr>
          <w:rtl/>
        </w:rPr>
        <w:t xml:space="preserve"> ، ج 6 ، ص 443 ، ح 4673 ؛ </w:t>
      </w:r>
      <w:r w:rsidR="00E3253D" w:rsidRPr="002F4D34">
        <w:rPr>
          <w:rStyle w:val="libFootnoteBoldChar"/>
          <w:rtl/>
        </w:rPr>
        <w:t>الوسائل</w:t>
      </w:r>
      <w:r w:rsidR="00E3253D" w:rsidRPr="005D642E">
        <w:rPr>
          <w:rtl/>
        </w:rPr>
        <w:t xml:space="preserve"> ، ج 2 ، ص 337 ، ح 2303.</w:t>
      </w:r>
      <w:r w:rsidR="00B94C21">
        <w:rPr>
          <w:rFonts w:hint="cs"/>
          <w:rtl/>
        </w:rPr>
        <w:t xml:space="preserve">                   </w:t>
      </w:r>
      <w:r w:rsidRPr="0042621E">
        <w:rPr>
          <w:rStyle w:val="libFootnote0Char"/>
          <w:rtl/>
        </w:rPr>
        <w:t>(6).</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قد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 « من الحيض</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397 ، ح 1235 ، معلّقاً عن سهل بن زياد </w:t>
      </w:r>
      <w:r w:rsidR="00B94C21">
        <w:rPr>
          <w:rFonts w:hint="cs"/>
          <w:rtl/>
        </w:rPr>
        <w:t>.</w:t>
      </w:r>
      <w:r w:rsidR="00E3253D" w:rsidRPr="002F4D34">
        <w:rPr>
          <w:rStyle w:val="libFootnoteBoldChar"/>
          <w:rtl/>
        </w:rPr>
        <w:t>الوافي</w:t>
      </w:r>
      <w:r w:rsidR="00E3253D" w:rsidRPr="005D642E">
        <w:rPr>
          <w:rtl/>
        </w:rPr>
        <w:t xml:space="preserve"> ، ج 6 ، ص 444 ، ح 4676 ؛ </w:t>
      </w:r>
      <w:r w:rsidR="00E3253D" w:rsidRPr="002F4D34">
        <w:rPr>
          <w:rStyle w:val="libFootnoteBoldChar"/>
          <w:rtl/>
        </w:rPr>
        <w:t>الوسائل</w:t>
      </w:r>
      <w:r w:rsidR="00E3253D" w:rsidRPr="005D642E">
        <w:rPr>
          <w:rtl/>
        </w:rPr>
        <w:t xml:space="preserve"> ، ج 2 ، ص 335 ، ح 2296.</w:t>
      </w:r>
    </w:p>
    <w:p w:rsidR="00E3253D" w:rsidRDefault="00E3253D" w:rsidP="00E3253D">
      <w:pPr>
        <w:pStyle w:val="libNormal"/>
        <w:rPr>
          <w:rtl/>
          <w:lang w:bidi="fa-IR"/>
        </w:rPr>
      </w:pPr>
      <w:r>
        <w:rPr>
          <w:rtl/>
          <w:lang w:bidi="fa-IR"/>
        </w:rPr>
        <w:br w:type="page"/>
      </w:r>
    </w:p>
    <w:p w:rsidR="00E3253D" w:rsidRPr="005D642E" w:rsidRDefault="00B94C21" w:rsidP="00B94C21">
      <w:pPr>
        <w:pStyle w:val="libNormal"/>
        <w:rPr>
          <w:rtl/>
          <w:lang w:bidi="fa-IR"/>
        </w:rPr>
      </w:pPr>
      <w:r>
        <w:rPr>
          <w:rFonts w:hint="cs"/>
          <w:rtl/>
          <w:lang w:bidi="fa-IR"/>
        </w:rPr>
        <w:lastRenderedPageBreak/>
        <w:t xml:space="preserve">* </w:t>
      </w:r>
      <w:r w:rsidR="00E3253D" w:rsidRPr="005D642E">
        <w:rPr>
          <w:rtl/>
          <w:lang w:bidi="fa-IR"/>
        </w:rPr>
        <w:t xml:space="preserve">وَرُوِيَ : « سِتُّونَ </w:t>
      </w:r>
      <w:r w:rsidR="00E3253D" w:rsidRPr="007C12DB">
        <w:rPr>
          <w:rStyle w:val="libFootnotenumChar"/>
          <w:rtl/>
        </w:rPr>
        <w:t>(1)</w:t>
      </w:r>
      <w:r w:rsidR="00E3253D" w:rsidRPr="005D642E">
        <w:rPr>
          <w:rtl/>
          <w:lang w:bidi="fa-IR"/>
        </w:rPr>
        <w:t xml:space="preserve"> سَنَةً » أَيْضاً. </w:t>
      </w:r>
      <w:r w:rsidR="00E3253D" w:rsidRPr="007C12DB">
        <w:rPr>
          <w:rStyle w:val="libFootnotenumChar"/>
          <w:rtl/>
        </w:rPr>
        <w:t>(2)</w:t>
      </w:r>
      <w:r w:rsidR="00E3253D" w:rsidRPr="005D642E">
        <w:rPr>
          <w:rtl/>
          <w:lang w:bidi="fa-IR"/>
        </w:rPr>
        <w:t xml:space="preserve"> ‌</w:t>
      </w:r>
    </w:p>
    <w:p w:rsidR="00E3253D" w:rsidRPr="005D642E" w:rsidRDefault="00E3253D" w:rsidP="00E3253D">
      <w:pPr>
        <w:pStyle w:val="libNormal"/>
        <w:rPr>
          <w:rtl/>
          <w:lang w:bidi="fa-IR"/>
        </w:rPr>
      </w:pPr>
      <w:r w:rsidRPr="00D31A55">
        <w:rPr>
          <w:rtl/>
        </w:rPr>
        <w:t>4230</w:t>
      </w:r>
      <w:r w:rsidRPr="00246318">
        <w:rPr>
          <w:rStyle w:val="libBold2Char"/>
          <w:rtl/>
        </w:rPr>
        <w:t xml:space="preserve"> / 3.</w:t>
      </w:r>
      <w:r w:rsidRPr="005D642E">
        <w:rPr>
          <w:rtl/>
          <w:lang w:bidi="fa-IR"/>
        </w:rPr>
        <w:t xml:space="preserve"> عِدَّةٌ مِنْ أَصْحَابِنَا ، عَنْ أَحْمَدَ بْنِ مُحَمَّدٍ ، عَنِ الْحَسَنِ بْنِ ظَرِيفٍ </w:t>
      </w:r>
      <w:r w:rsidRPr="007C12DB">
        <w:rPr>
          <w:rStyle w:val="libFootnotenumChar"/>
          <w:rtl/>
        </w:rPr>
        <w:t>(3)</w:t>
      </w:r>
      <w:r w:rsidRPr="005D642E">
        <w:rPr>
          <w:rtl/>
          <w:lang w:bidi="fa-IR"/>
        </w:rPr>
        <w:t xml:space="preserve"> ، عَنِ ابْنِ أَبِي عُمَيْرٍ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بَلَغَتِ الْمَرْأَةُ خَمْسِينَ سَنَةً ، لَمْ تَرَ حُمْرَةً </w:t>
      </w:r>
      <w:r w:rsidRPr="007C12DB">
        <w:rPr>
          <w:rStyle w:val="libFootnotenumChar"/>
          <w:rtl/>
        </w:rPr>
        <w:t>(4)</w:t>
      </w:r>
      <w:r w:rsidRPr="005D642E">
        <w:rPr>
          <w:rtl/>
          <w:lang w:bidi="fa-IR"/>
        </w:rPr>
        <w:t xml:space="preserve"> إِ</w:t>
      </w:r>
      <w:r w:rsidR="00A413B0">
        <w:rPr>
          <w:rtl/>
          <w:lang w:bidi="fa-IR"/>
        </w:rPr>
        <w:t>ل</w:t>
      </w:r>
      <w:r w:rsidR="00A413B0">
        <w:rPr>
          <w:rFonts w:hint="cs"/>
          <w:rtl/>
          <w:lang w:bidi="fa-IR"/>
        </w:rPr>
        <w:t>َّ</w:t>
      </w:r>
      <w:r w:rsidR="00A413B0">
        <w:rPr>
          <w:rtl/>
          <w:lang w:bidi="fa-IR"/>
        </w:rPr>
        <w:t>ا</w:t>
      </w:r>
      <w:r w:rsidRPr="005D642E">
        <w:rPr>
          <w:rtl/>
          <w:lang w:bidi="fa-IR"/>
        </w:rPr>
        <w:t xml:space="preserve"> أَنْ تَكُونَ امْرَأَةً </w:t>
      </w:r>
      <w:r w:rsidRPr="007C12DB">
        <w:rPr>
          <w:rStyle w:val="libFootnotenumChar"/>
          <w:rtl/>
        </w:rPr>
        <w:t>(5)</w:t>
      </w:r>
      <w:r w:rsidRPr="005D642E">
        <w:rPr>
          <w:rtl/>
          <w:lang w:bidi="fa-IR"/>
        </w:rPr>
        <w:t xml:space="preserve"> مِنْ قُرَيْشٍ</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D31A55">
        <w:rPr>
          <w:rtl/>
        </w:rPr>
        <w:t>4231</w:t>
      </w:r>
      <w:r w:rsidRPr="00246318">
        <w:rPr>
          <w:rStyle w:val="libBold2Char"/>
          <w:rtl/>
        </w:rPr>
        <w:t xml:space="preserve"> / 4.</w:t>
      </w:r>
      <w:r w:rsidRPr="005D642E">
        <w:rPr>
          <w:rtl/>
          <w:lang w:bidi="fa-IR"/>
        </w:rPr>
        <w:t xml:space="preserve"> مُحَمَّدُ بْنُ إِسْمَاعِيلَ ، عَنِ الْفَضْلِ بْنِ شَاذَانَ ، عَنْ صَفْوَانَ بْنِ يَحْيى ، عَنْ عَبْدِ الرَّحْمنِ بْنِ الْحَجَّاجِ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حَدُّ الَّتِي قَدْ </w:t>
      </w:r>
      <w:r w:rsidRPr="007C12DB">
        <w:rPr>
          <w:rStyle w:val="libFootnotenumChar"/>
          <w:rtl/>
        </w:rPr>
        <w:t>(7)</w:t>
      </w:r>
      <w:r w:rsidRPr="005D642E">
        <w:rPr>
          <w:rtl/>
          <w:lang w:bidi="fa-IR"/>
        </w:rPr>
        <w:t xml:space="preserve"> يَئِسَتْ مِنَ الْمَحِيضِ </w:t>
      </w:r>
      <w:r w:rsidRPr="007C12DB">
        <w:rPr>
          <w:rStyle w:val="libFootnotenumChar"/>
          <w:rtl/>
        </w:rPr>
        <w:t>(8)</w:t>
      </w:r>
      <w:r w:rsidRPr="005D642E">
        <w:rPr>
          <w:rtl/>
          <w:lang w:bidi="fa-IR"/>
        </w:rPr>
        <w:t xml:space="preserve"> خَمْسُونَ سَنَةً</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 « سبعون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6 ، ص 444 ، ح 4677 ؛ </w:t>
      </w:r>
      <w:r w:rsidR="00E3253D" w:rsidRPr="002F4D34">
        <w:rPr>
          <w:rStyle w:val="libFootnoteBoldChar"/>
          <w:rtl/>
        </w:rPr>
        <w:t>الوسائل</w:t>
      </w:r>
      <w:r w:rsidR="00E3253D" w:rsidRPr="005D642E">
        <w:rPr>
          <w:rtl/>
        </w:rPr>
        <w:t xml:space="preserve"> ، ج 2 ، ص 336 ، ح 2297.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ى ، بس ، جح ، جن » والوسائل. وفي « ظ ، بث ، بح ، بخ ، بف » والمطبوع : « الحسن بن طريف</w:t>
      </w:r>
      <w:r w:rsidR="00E3253D">
        <w:rPr>
          <w:rtl/>
        </w:rPr>
        <w:t xml:space="preserve"> ».</w:t>
      </w:r>
      <w:r w:rsidR="00E3253D" w:rsidRPr="005D642E">
        <w:rPr>
          <w:rtl/>
        </w:rPr>
        <w:t xml:space="preserve"> وفي « جس » : « الحسين بن طريق</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والحسن هو الحسن بن ظريف بن ناصح. راجع : </w:t>
      </w:r>
      <w:r w:rsidRPr="002F4D34">
        <w:rPr>
          <w:rStyle w:val="libFootnoteBoldChar"/>
          <w:rtl/>
        </w:rPr>
        <w:t>رجال النجاشي</w:t>
      </w:r>
      <w:r w:rsidRPr="00B60612">
        <w:rPr>
          <w:rtl/>
        </w:rPr>
        <w:t xml:space="preserve"> ، ص 61 ، الرقم 140 ؛ </w:t>
      </w:r>
      <w:r w:rsidR="0059794D" w:rsidRPr="0059794D">
        <w:rPr>
          <w:rStyle w:val="libFootnoteBoldChar"/>
          <w:rtl/>
        </w:rPr>
        <w:t>الفهرست للطوسي</w:t>
      </w:r>
      <w:r w:rsidRPr="00B60612">
        <w:rPr>
          <w:rtl/>
        </w:rPr>
        <w:t xml:space="preserve"> ، ص 48 ، الرقم 156.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جح » : « الحمرة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 « المرأة</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397 ، ح 1236 ، معلّقاً عن أحمد بن محمّد. </w:t>
      </w:r>
      <w:r w:rsidR="00E3253D" w:rsidRPr="002F4D34">
        <w:rPr>
          <w:rStyle w:val="libFootnoteBoldChar"/>
          <w:rtl/>
        </w:rPr>
        <w:t>الفقيه</w:t>
      </w:r>
      <w:r w:rsidR="00E3253D" w:rsidRPr="005D642E">
        <w:rPr>
          <w:rtl/>
        </w:rPr>
        <w:t xml:space="preserve"> ، ج 1 ، ص 92 ، ح 198 ، مرسلاً ؛ </w:t>
      </w:r>
      <w:r w:rsidR="00E3253D" w:rsidRPr="002F4D34">
        <w:rPr>
          <w:rStyle w:val="libFootnoteBoldChar"/>
          <w:rtl/>
        </w:rPr>
        <w:t>وفيه</w:t>
      </w:r>
      <w:r w:rsidR="00E3253D" w:rsidRPr="005D642E">
        <w:rPr>
          <w:rtl/>
        </w:rPr>
        <w:t xml:space="preserve"> ، ج 3 ، ص 514 ، ح 4805 ، مرسلاً ، من دون الإسناد إلى المعصوم </w:t>
      </w:r>
      <w:r w:rsidR="00E3253D" w:rsidRPr="000D7421">
        <w:rPr>
          <w:rStyle w:val="libFootnoteAlaemChar"/>
          <w:rtl/>
        </w:rPr>
        <w:t>عليه‌السلام</w:t>
      </w:r>
      <w:r w:rsidR="00E3253D" w:rsidRPr="005D642E">
        <w:rPr>
          <w:rtl/>
        </w:rPr>
        <w:t xml:space="preserve"> ، وفيهما مع اختلاف يسير </w:t>
      </w:r>
      <w:r w:rsidR="00E3253D" w:rsidRPr="002F4D34">
        <w:rPr>
          <w:rStyle w:val="libFootnoteBoldChar"/>
          <w:rtl/>
        </w:rPr>
        <w:t>الوافي</w:t>
      </w:r>
      <w:r w:rsidR="00E3253D" w:rsidRPr="005D642E">
        <w:rPr>
          <w:rtl/>
        </w:rPr>
        <w:t xml:space="preserve"> ، ج 6 ، ص 444 ، ح 4674 ؛ </w:t>
      </w:r>
      <w:r w:rsidR="00E3253D" w:rsidRPr="002F4D34">
        <w:rPr>
          <w:rStyle w:val="libFootnoteBoldChar"/>
          <w:rtl/>
        </w:rPr>
        <w:t>الوسائل</w:t>
      </w:r>
      <w:r w:rsidR="00E3253D" w:rsidRPr="005D642E">
        <w:rPr>
          <w:rtl/>
        </w:rPr>
        <w:t xml:space="preserve"> ، ج 2 ، ص 335 ، ح 2295.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قد</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بث » وحاشية « ظ ، غ ، بخ » : « من الحيض</w:t>
      </w:r>
      <w:r w:rsidR="00E3253D">
        <w:rPr>
          <w:rtl/>
        </w:rPr>
        <w:t xml:space="preserve"> ».</w:t>
      </w:r>
      <w:r w:rsidR="00E3253D" w:rsidRPr="005D642E">
        <w:rPr>
          <w:rtl/>
        </w:rPr>
        <w:t xml:space="preserve"> وفي « بخ » :</w:t>
      </w:r>
      <w:r w:rsidR="00E3253D">
        <w:rPr>
          <w:rtl/>
        </w:rPr>
        <w:t xml:space="preserve"> </w:t>
      </w:r>
      <w:r w:rsidR="007642BC">
        <w:rPr>
          <w:rtl/>
        </w:rPr>
        <w:t>-</w:t>
      </w:r>
      <w:r w:rsidR="00E3253D">
        <w:rPr>
          <w:rtl/>
        </w:rPr>
        <w:t xml:space="preserve"> </w:t>
      </w:r>
      <w:r w:rsidR="00E3253D" w:rsidRPr="005D642E">
        <w:rPr>
          <w:rtl/>
        </w:rPr>
        <w:t>« من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397 ، ح 1237 ، معلّقاً عن الكليني. وفي </w:t>
      </w:r>
      <w:r w:rsidR="00E3253D" w:rsidRPr="002F4D34">
        <w:rPr>
          <w:rStyle w:val="libFootnoteBoldChar"/>
          <w:rtl/>
        </w:rPr>
        <w:t>الكافي</w:t>
      </w:r>
      <w:r w:rsidR="00E3253D" w:rsidRPr="005D642E">
        <w:rPr>
          <w:rtl/>
        </w:rPr>
        <w:t xml:space="preserve"> ، كتاب الطلاق ، باب طلاق التي لم تبلغ والتي قد يئست من المحيض ، ذيل ح 10763 ؛ </w:t>
      </w:r>
      <w:r w:rsidR="00B60612" w:rsidRPr="00B60612">
        <w:rPr>
          <w:rStyle w:val="libFootnoteBoldChar"/>
          <w:rtl/>
        </w:rPr>
        <w:t>والتهذيب</w:t>
      </w:r>
      <w:r w:rsidR="00E3253D" w:rsidRPr="005D642E">
        <w:rPr>
          <w:rtl/>
        </w:rPr>
        <w:t xml:space="preserve"> ، ج 8 ، ص 67 ، ذيل ح 222 ؛ وص 137 ، ذيل ح 478 ؛ </w:t>
      </w:r>
      <w:r w:rsidR="00E3253D" w:rsidRPr="00E678B5">
        <w:rPr>
          <w:rStyle w:val="libFootnoteBoldChar"/>
          <w:rtl/>
        </w:rPr>
        <w:t>والاستبصار</w:t>
      </w:r>
      <w:r w:rsidR="00E3253D" w:rsidRPr="005D642E">
        <w:rPr>
          <w:rtl/>
        </w:rPr>
        <w:t xml:space="preserve"> ، ج 3 ، ص 337 ، ذيل ح 1202 ، بسند آخر عن صفوان ، عن عبدالرحمن بن الحجّاج ، مع اختلاف يسير </w:t>
      </w:r>
      <w:r w:rsidR="000D7421">
        <w:rPr>
          <w:rFonts w:hint="cs"/>
          <w:rtl/>
        </w:rPr>
        <w:t>.</w:t>
      </w:r>
      <w:r w:rsidR="00E3253D" w:rsidRPr="002F4D34">
        <w:rPr>
          <w:rStyle w:val="libFootnoteBoldChar"/>
          <w:rtl/>
        </w:rPr>
        <w:t>الوافي</w:t>
      </w:r>
      <w:r w:rsidR="00E3253D" w:rsidRPr="005D642E">
        <w:rPr>
          <w:rtl/>
        </w:rPr>
        <w:t xml:space="preserve"> ، ج 6 ، ص 444 ، ح 4675 ؛ </w:t>
      </w:r>
      <w:r w:rsidR="00E3253D" w:rsidRPr="002F4D34">
        <w:rPr>
          <w:rStyle w:val="libFootnoteBoldChar"/>
          <w:rtl/>
        </w:rPr>
        <w:t>الوسائل</w:t>
      </w:r>
      <w:r w:rsidR="00E3253D" w:rsidRPr="005D642E">
        <w:rPr>
          <w:rtl/>
        </w:rPr>
        <w:t xml:space="preserve"> ، ج 2 ، ص 335 ، ح 2294.</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240" w:name="_Toc344647290"/>
      <w:bookmarkStart w:id="241" w:name="_Toc462226805"/>
      <w:bookmarkStart w:id="242" w:name="_Toc40975913"/>
      <w:r w:rsidRPr="005D642E">
        <w:rPr>
          <w:rtl/>
          <w:lang w:bidi="fa-IR"/>
        </w:rPr>
        <w:lastRenderedPageBreak/>
        <w:t>22</w:t>
      </w:r>
      <w:r>
        <w:rPr>
          <w:rtl/>
          <w:lang w:bidi="fa-IR"/>
        </w:rPr>
        <w:t xml:space="preserve"> </w:t>
      </w:r>
      <w:r w:rsidR="007642BC">
        <w:rPr>
          <w:rtl/>
          <w:lang w:bidi="fa-IR"/>
        </w:rPr>
        <w:t>-</w:t>
      </w:r>
      <w:r>
        <w:rPr>
          <w:rtl/>
          <w:lang w:bidi="fa-IR"/>
        </w:rPr>
        <w:t xml:space="preserve"> </w:t>
      </w:r>
      <w:r w:rsidRPr="005D642E">
        <w:rPr>
          <w:rtl/>
          <w:lang w:bidi="fa-IR"/>
        </w:rPr>
        <w:t>بَابُ الْمَرْأَةِ يَرْتَفِعُ طَمْثُهَا مِنْ عِلَّةٍ ، فَتُسْقَى الدَّوَاءَ لِيَعُودَ طَمْثُهَا‌</w:t>
      </w:r>
      <w:bookmarkEnd w:id="240"/>
      <w:bookmarkEnd w:id="241"/>
      <w:bookmarkEnd w:id="242"/>
    </w:p>
    <w:p w:rsidR="00E3253D" w:rsidRPr="005D642E" w:rsidRDefault="00E3253D" w:rsidP="00E3253D">
      <w:pPr>
        <w:pStyle w:val="libNormal"/>
        <w:rPr>
          <w:rtl/>
          <w:lang w:bidi="fa-IR"/>
        </w:rPr>
      </w:pPr>
      <w:r w:rsidRPr="00ED0EEE">
        <w:rPr>
          <w:rtl/>
        </w:rPr>
        <w:t>4232</w:t>
      </w:r>
      <w:r w:rsidRPr="00246318">
        <w:rPr>
          <w:rStyle w:val="libBold2Char"/>
          <w:rtl/>
        </w:rPr>
        <w:t xml:space="preserve"> / 1.</w:t>
      </w:r>
      <w:r w:rsidRPr="005D642E">
        <w:rPr>
          <w:rtl/>
          <w:lang w:bidi="fa-IR"/>
        </w:rPr>
        <w:t xml:space="preserve"> عِدَّةٌ مِنْ أَصْحَابِنَا ، عَنْ أَحْمَدَ بْنِ مُحَمَّدٍ ، عَنِ ابْنِ مَحْبُوبٍ ، عَنْ رِفَاعَةَ بْنِ مُوسَى النَّخَّاسِ ، قَالَ :</w:t>
      </w:r>
    </w:p>
    <w:p w:rsidR="00E3253D" w:rsidRPr="005D642E" w:rsidRDefault="00E3253D" w:rsidP="00E3253D">
      <w:pPr>
        <w:pStyle w:val="libNormal"/>
        <w:rPr>
          <w:rtl/>
          <w:lang w:bidi="fa-IR"/>
        </w:rPr>
      </w:pPr>
      <w:r w:rsidRPr="005D642E">
        <w:rPr>
          <w:rtl/>
          <w:lang w:bidi="fa-IR"/>
        </w:rPr>
        <w:t xml:space="preserve">سَأَلْتُ أَبَا الْحَسَنِ مُوسَى بْنَ جَعْفَرٍ </w:t>
      </w:r>
      <w:r w:rsidRPr="00AC51C5">
        <w:rPr>
          <w:rStyle w:val="libAlaemChar"/>
          <w:rtl/>
        </w:rPr>
        <w:t>عليهما‌السلام</w:t>
      </w:r>
      <w:r w:rsidRPr="005D642E">
        <w:rPr>
          <w:rtl/>
          <w:lang w:bidi="fa-IR"/>
        </w:rPr>
        <w:t xml:space="preserve"> : قُلْتُ </w:t>
      </w:r>
      <w:r w:rsidRPr="007C12DB">
        <w:rPr>
          <w:rStyle w:val="libFootnotenumChar"/>
          <w:rtl/>
        </w:rPr>
        <w:t>(1)</w:t>
      </w:r>
      <w:r w:rsidRPr="005D642E">
        <w:rPr>
          <w:rtl/>
          <w:lang w:bidi="fa-IR"/>
        </w:rPr>
        <w:t xml:space="preserve"> : أَشْتَرِي الْجَارِيَةَ ، فَتَمْكُثُ عِنْدِي الْأَشْهُرَ لَاتَطْمَثُ ، وَلَيْسَ ذلِكَ مِنْ كِبَرٍ ، وَأُرِيهَا </w:t>
      </w:r>
      <w:r w:rsidRPr="007C12DB">
        <w:rPr>
          <w:rStyle w:val="libFootnotenumChar"/>
          <w:rtl/>
        </w:rPr>
        <w:t>(2)</w:t>
      </w:r>
      <w:r w:rsidRPr="005D642E">
        <w:rPr>
          <w:rtl/>
          <w:lang w:bidi="fa-IR"/>
        </w:rPr>
        <w:t xml:space="preserve"> النِّسَاءَ ، فَيَقُلْنَ </w:t>
      </w:r>
      <w:r w:rsidRPr="007C12DB">
        <w:rPr>
          <w:rStyle w:val="libFootnotenumChar"/>
          <w:rtl/>
        </w:rPr>
        <w:t>(3)</w:t>
      </w:r>
      <w:r w:rsidRPr="005D642E">
        <w:rPr>
          <w:rtl/>
          <w:lang w:bidi="fa-IR"/>
        </w:rPr>
        <w:t xml:space="preserve"> لِي : لَيْسَ بِهَا حَبَلٌ ، فَلِي </w:t>
      </w:r>
      <w:r w:rsidRPr="007C12DB">
        <w:rPr>
          <w:rStyle w:val="libFootnotenumChar"/>
          <w:rtl/>
        </w:rPr>
        <w:t>(4)</w:t>
      </w:r>
      <w:r w:rsidRPr="005D642E">
        <w:rPr>
          <w:rtl/>
          <w:lang w:bidi="fa-IR"/>
        </w:rPr>
        <w:t xml:space="preserve"> أَنْ أَنْكِحَهَا فِي فَرْجِهَا</w:t>
      </w:r>
      <w:r>
        <w:rPr>
          <w:rtl/>
          <w:lang w:bidi="fa-IR"/>
        </w:rPr>
        <w:t>؟</w:t>
      </w:r>
    </w:p>
    <w:p w:rsidR="00E3253D" w:rsidRPr="005D642E" w:rsidRDefault="00E3253D" w:rsidP="00E3253D">
      <w:pPr>
        <w:pStyle w:val="libNormal"/>
        <w:rPr>
          <w:rtl/>
          <w:lang w:bidi="fa-IR"/>
        </w:rPr>
      </w:pPr>
      <w:r w:rsidRPr="005D642E">
        <w:rPr>
          <w:rtl/>
          <w:lang w:bidi="fa-IR"/>
        </w:rPr>
        <w:t xml:space="preserve">فَقَالَ : « إِنَّ الطَّمْثَ قَدْ تَحْبِسُهُ </w:t>
      </w:r>
      <w:r w:rsidRPr="007C12DB">
        <w:rPr>
          <w:rStyle w:val="libFootnotenumChar"/>
          <w:rtl/>
        </w:rPr>
        <w:t>(5)</w:t>
      </w:r>
      <w:r w:rsidRPr="005D642E">
        <w:rPr>
          <w:rtl/>
          <w:lang w:bidi="fa-IR"/>
        </w:rPr>
        <w:t xml:space="preserve"> الرِّيحُ مِنْ غَيْرِ حَبَلٍ ، فَلَا بَأْسَ أَنْ تَمَسَّهَا </w:t>
      </w:r>
      <w:r w:rsidRPr="007C12DB">
        <w:rPr>
          <w:rStyle w:val="libFootnotenumChar"/>
          <w:rtl/>
        </w:rPr>
        <w:t>(6)</w:t>
      </w:r>
      <w:r w:rsidRPr="005D642E">
        <w:rPr>
          <w:rtl/>
          <w:lang w:bidi="fa-IR"/>
        </w:rPr>
        <w:t xml:space="preserve"> فِي الْفَرْجِ</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 فَإِنْ </w:t>
      </w:r>
      <w:r w:rsidRPr="007C12DB">
        <w:rPr>
          <w:rStyle w:val="libFootnotenumChar"/>
          <w:rtl/>
        </w:rPr>
        <w:t>(7)</w:t>
      </w:r>
      <w:r w:rsidRPr="005D642E">
        <w:rPr>
          <w:rtl/>
          <w:lang w:bidi="fa-IR"/>
        </w:rPr>
        <w:t xml:space="preserve"> كَانَ بِهَا حَبَلٌ </w:t>
      </w:r>
      <w:r w:rsidRPr="007C12DB">
        <w:rPr>
          <w:rStyle w:val="libFootnotenumChar"/>
          <w:rtl/>
        </w:rPr>
        <w:t>(8)</w:t>
      </w:r>
      <w:r w:rsidRPr="005D642E">
        <w:rPr>
          <w:rtl/>
          <w:lang w:bidi="fa-IR"/>
        </w:rPr>
        <w:t xml:space="preserve"> ، فَمَا لِي مِنْهَا </w:t>
      </w:r>
      <w:r w:rsidRPr="007C12DB">
        <w:rPr>
          <w:rStyle w:val="libFootnotenumChar"/>
          <w:rtl/>
        </w:rPr>
        <w:t>(9)</w:t>
      </w:r>
      <w:r>
        <w:rPr>
          <w:rtl/>
          <w:lang w:bidi="fa-IR"/>
        </w:rPr>
        <w:t>؟</w:t>
      </w:r>
    </w:p>
    <w:p w:rsidR="00E3253D" w:rsidRPr="005D642E" w:rsidRDefault="00E3253D" w:rsidP="00E3253D">
      <w:pPr>
        <w:pStyle w:val="libNormal"/>
        <w:rPr>
          <w:rtl/>
          <w:lang w:bidi="fa-IR"/>
        </w:rPr>
      </w:pPr>
      <w:r w:rsidRPr="005D642E">
        <w:rPr>
          <w:rtl/>
          <w:lang w:bidi="fa-IR"/>
        </w:rPr>
        <w:t xml:space="preserve">قَالَ : « إِنْ أَرَدْتَ </w:t>
      </w:r>
      <w:r w:rsidRPr="007C12DB">
        <w:rPr>
          <w:rStyle w:val="libFootnotenumChar"/>
          <w:rtl/>
        </w:rPr>
        <w:t>(10)</w:t>
      </w:r>
      <w:r w:rsidRPr="005D642E">
        <w:rPr>
          <w:rtl/>
          <w:lang w:bidi="fa-IR"/>
        </w:rPr>
        <w:t xml:space="preserve"> فِيمَا </w:t>
      </w:r>
      <w:r w:rsidRPr="007C12DB">
        <w:rPr>
          <w:rStyle w:val="libFootnotenumChar"/>
          <w:rtl/>
        </w:rPr>
        <w:t>(11)</w:t>
      </w:r>
      <w:r w:rsidRPr="005D642E">
        <w:rPr>
          <w:rtl/>
          <w:lang w:bidi="fa-IR"/>
        </w:rPr>
        <w:t xml:space="preserve"> دُونَ الْفَرْجِ</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والكافي ، ح 10041 : « فقلت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 « أريتها</w:t>
      </w:r>
      <w:r w:rsidR="00E3253D">
        <w:rPr>
          <w:rtl/>
        </w:rPr>
        <w:t xml:space="preserve"> ».</w:t>
      </w:r>
      <w:r w:rsidR="00E3253D" w:rsidRPr="005D642E">
        <w:rPr>
          <w:rtl/>
        </w:rPr>
        <w:t xml:space="preserve"> وفي الوافي والكافي ، ح 10041 : « فا</w:t>
      </w:r>
      <w:r w:rsidR="000D7421">
        <w:rPr>
          <w:rFonts w:hint="cs"/>
          <w:rtl/>
        </w:rPr>
        <w:t>ُ</w:t>
      </w:r>
      <w:r w:rsidR="00E3253D" w:rsidRPr="005D642E">
        <w:rPr>
          <w:rtl/>
        </w:rPr>
        <w:t>ريها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w:t>
      </w:r>
      <w:r w:rsidR="00B60612" w:rsidRPr="00B60612">
        <w:rPr>
          <w:rStyle w:val="libFootnoteBoldChar"/>
          <w:rtl/>
        </w:rPr>
        <w:t>والتهذيب</w:t>
      </w:r>
      <w:r w:rsidR="00E3253D" w:rsidRPr="005D642E">
        <w:rPr>
          <w:rtl/>
        </w:rPr>
        <w:t xml:space="preserve"> ، ح 622 </w:t>
      </w:r>
      <w:r w:rsidR="00E3253D" w:rsidRPr="00E678B5">
        <w:rPr>
          <w:rStyle w:val="libFootnoteBoldChar"/>
          <w:rtl/>
        </w:rPr>
        <w:t>والاستبصار</w:t>
      </w:r>
      <w:r w:rsidR="00E3253D" w:rsidRPr="005D642E">
        <w:rPr>
          <w:rtl/>
        </w:rPr>
        <w:t xml:space="preserve"> : « فقلن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والكافي ، ح 10041 </w:t>
      </w:r>
      <w:r w:rsidR="00B60612" w:rsidRPr="00B60612">
        <w:rPr>
          <w:rStyle w:val="libFootnoteBoldChar"/>
          <w:rtl/>
        </w:rPr>
        <w:t>والتهذيب</w:t>
      </w:r>
      <w:r w:rsidR="00E3253D">
        <w:rPr>
          <w:rtl/>
        </w:rPr>
        <w:t xml:space="preserve"> ، ح 622 </w:t>
      </w:r>
      <w:r w:rsidR="00E3253D" w:rsidRPr="00E678B5">
        <w:rPr>
          <w:rStyle w:val="libFootnoteBoldChar"/>
          <w:rtl/>
        </w:rPr>
        <w:t>والاستبصار</w:t>
      </w:r>
      <w:r w:rsidR="00E3253D">
        <w:rPr>
          <w:rtl/>
        </w:rPr>
        <w:t xml:space="preserve"> : « أ</w:t>
      </w:r>
      <w:r w:rsidR="00E3253D" w:rsidRPr="005D642E">
        <w:rPr>
          <w:rtl/>
        </w:rPr>
        <w:t>فلي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ى ، بث ، بخ ، بس ، بف ، جس » </w:t>
      </w:r>
      <w:r w:rsidR="000D749A" w:rsidRPr="000D749A">
        <w:rPr>
          <w:rStyle w:val="libFootnoteBoldChar"/>
          <w:rtl/>
        </w:rPr>
        <w:t>والوافي</w:t>
      </w:r>
      <w:r w:rsidR="00E3253D" w:rsidRPr="005D642E">
        <w:rPr>
          <w:rtl/>
        </w:rPr>
        <w:t xml:space="preserve"> : « قد يحبسه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بح ، جح ، جن » والوسائل ، ح 2306 : « بأن تمسّها</w:t>
      </w:r>
      <w:r w:rsidR="00E3253D">
        <w:rPr>
          <w:rtl/>
        </w:rPr>
        <w:t xml:space="preserve"> ».</w:t>
      </w:r>
      <w:r w:rsidR="00E3253D" w:rsidRPr="005D642E">
        <w:rPr>
          <w:rtl/>
        </w:rPr>
        <w:t xml:space="preserve"> وفي « بخ ، بس ، جس » : « أن يمسّها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بس ، بف » </w:t>
      </w:r>
      <w:r w:rsidR="000D749A" w:rsidRPr="000D749A">
        <w:rPr>
          <w:rStyle w:val="libFootnoteBoldChar"/>
          <w:rtl/>
        </w:rPr>
        <w:t>والوافي</w:t>
      </w:r>
      <w:r w:rsidR="00E3253D" w:rsidRPr="005D642E">
        <w:rPr>
          <w:rtl/>
        </w:rPr>
        <w:t xml:space="preserve"> : « وإن</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 « حمل</w:t>
      </w:r>
      <w:r w:rsidR="00E3253D">
        <w:rPr>
          <w:rtl/>
        </w:rPr>
        <w:t xml:space="preserve"> ».</w:t>
      </w:r>
      <w:r w:rsidR="00E3253D" w:rsidRPr="005D642E">
        <w:rPr>
          <w:rtl/>
        </w:rPr>
        <w:t xml:space="preserve"> وفي « جن » :</w:t>
      </w:r>
      <w:r w:rsidR="00E3253D">
        <w:rPr>
          <w:rtl/>
        </w:rPr>
        <w:t xml:space="preserve"> </w:t>
      </w:r>
      <w:r w:rsidR="007642BC">
        <w:rPr>
          <w:rtl/>
        </w:rPr>
        <w:t>-</w:t>
      </w:r>
      <w:r w:rsidR="00E3253D">
        <w:rPr>
          <w:rtl/>
        </w:rPr>
        <w:t xml:space="preserve"> </w:t>
      </w:r>
      <w:r w:rsidR="00E3253D" w:rsidRPr="005D642E">
        <w:rPr>
          <w:rtl/>
        </w:rPr>
        <w:t>« حبل</w:t>
      </w:r>
      <w:r w:rsidR="00E3253D">
        <w:rPr>
          <w:rtl/>
        </w:rPr>
        <w:t xml:space="preserve"> ».</w:t>
      </w:r>
      <w:r w:rsidR="00E3253D" w:rsidRPr="005D642E">
        <w:rPr>
          <w:rtl/>
        </w:rPr>
        <w:t xml:space="preserve"> وفي الوافي والكافي ، ح 10041 : « كانت حبلى » بدل « كان بها حبل</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منها</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بح ، جس » </w:t>
      </w:r>
      <w:r w:rsidR="000D749A" w:rsidRPr="000D749A">
        <w:rPr>
          <w:rStyle w:val="libFootnoteBoldChar"/>
          <w:rtl/>
        </w:rPr>
        <w:t>والوافي</w:t>
      </w:r>
      <w:r w:rsidR="00E3253D" w:rsidRPr="005D642E">
        <w:rPr>
          <w:rtl/>
        </w:rPr>
        <w:t xml:space="preserve"> : « إن أردت قال » بدل « قال : إن أردت</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غ ، جس » : « ما</w:t>
      </w:r>
      <w:r w:rsidR="00E3253D">
        <w:rPr>
          <w:rtl/>
        </w:rPr>
        <w:t xml:space="preserve"> ».</w:t>
      </w:r>
      <w:r w:rsidR="00E3253D" w:rsidRPr="005D642E">
        <w:rPr>
          <w:rtl/>
        </w:rPr>
        <w:t xml:space="preserve"> وفي « ى » : « فبما</w:t>
      </w:r>
      <w:r w:rsidR="00E3253D">
        <w:rPr>
          <w:rtl/>
        </w:rPr>
        <w:t xml:space="preserve"> ».</w:t>
      </w:r>
      <w:r w:rsidR="00E3253D" w:rsidRPr="005D642E">
        <w:rPr>
          <w:rtl/>
        </w:rPr>
        <w:t xml:space="preserve"> وفي الوافي : « لك ما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الكافي</w:t>
      </w:r>
      <w:r w:rsidR="00E3253D" w:rsidRPr="005D642E">
        <w:rPr>
          <w:rtl/>
        </w:rPr>
        <w:t xml:space="preserve"> ، كتاب النكاح ، باب الأمة يشتريها الرجل وهي حبلى ، ح 10041 ، عن محمّد بن يحيى ، عن أحمد بن محمّد. وفي </w:t>
      </w:r>
      <w:r w:rsidR="00E3253D" w:rsidRPr="002F4D34">
        <w:rPr>
          <w:rStyle w:val="libFootnoteBoldChar"/>
          <w:rtl/>
        </w:rPr>
        <w:t>التهذيب</w:t>
      </w:r>
      <w:r w:rsidR="00E3253D" w:rsidRPr="005D642E">
        <w:rPr>
          <w:rtl/>
        </w:rPr>
        <w:t xml:space="preserve"> ، ج 8 ، ص 177 ، ح 622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3 ، ص 364 ، ح 1305 ، معلّقاً عن الحسن بن محبوب ، مع اختلاف يسير وزيادة في آخره. </w:t>
      </w:r>
      <w:r w:rsidR="00E3253D" w:rsidRPr="002F4D34">
        <w:rPr>
          <w:rStyle w:val="libFootnoteBoldChar"/>
          <w:rtl/>
        </w:rPr>
        <w:t>الفقيه</w:t>
      </w:r>
      <w:r w:rsidR="00E3253D" w:rsidRPr="005D642E">
        <w:rPr>
          <w:rtl/>
        </w:rPr>
        <w:t xml:space="preserve"> ، ج 1 ، ص 94 ، ح 199 ، مرسلاً ، مع اختلاف يسير. </w:t>
      </w:r>
      <w:r w:rsidR="000D742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D0EEE">
        <w:rPr>
          <w:rtl/>
        </w:rPr>
        <w:lastRenderedPageBreak/>
        <w:t>4233</w:t>
      </w:r>
      <w:r w:rsidRPr="00246318">
        <w:rPr>
          <w:rStyle w:val="libBold2Char"/>
          <w:rtl/>
        </w:rPr>
        <w:t xml:space="preserve"> / 2.</w:t>
      </w:r>
      <w:r w:rsidRPr="005D642E">
        <w:rPr>
          <w:rtl/>
          <w:lang w:bidi="fa-IR"/>
        </w:rPr>
        <w:t xml:space="preserve"> ابْنُ مَحْبُوبٍ </w:t>
      </w:r>
      <w:r w:rsidRPr="007C12DB">
        <w:rPr>
          <w:rStyle w:val="libFootnotenumChar"/>
          <w:rtl/>
        </w:rPr>
        <w:t>(1)</w:t>
      </w:r>
      <w:r w:rsidRPr="005D642E">
        <w:rPr>
          <w:rtl/>
          <w:lang w:bidi="fa-IR"/>
        </w:rPr>
        <w:t xml:space="preserve"> ، عَنْ رِفَاعَةَ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أَشْتَرِي الْجَارِيَةَ ، فَرُبَّمَا احْتَبَسَ طَمْثُهَا مِنْ فَسَادِ دَمٍ </w:t>
      </w:r>
      <w:r w:rsidRPr="007C12DB">
        <w:rPr>
          <w:rStyle w:val="libFootnotenumChar"/>
          <w:rtl/>
        </w:rPr>
        <w:t>(2)</w:t>
      </w:r>
      <w:r w:rsidRPr="005D642E">
        <w:rPr>
          <w:rtl/>
          <w:lang w:bidi="fa-IR"/>
        </w:rPr>
        <w:t xml:space="preserve"> ، أَوْ رِيحٍ فِي رَحِمٍ </w:t>
      </w:r>
      <w:r w:rsidRPr="007C12DB">
        <w:rPr>
          <w:rStyle w:val="libFootnotenumChar"/>
          <w:rtl/>
        </w:rPr>
        <w:t>(3)</w:t>
      </w:r>
      <w:r w:rsidRPr="005D642E">
        <w:rPr>
          <w:rtl/>
          <w:lang w:bidi="fa-IR"/>
        </w:rPr>
        <w:t xml:space="preserve"> ، فَتُسْقَى الدَّوَاءَ </w:t>
      </w:r>
      <w:r w:rsidRPr="007C12DB">
        <w:rPr>
          <w:rStyle w:val="libFootnotenumChar"/>
          <w:rtl/>
        </w:rPr>
        <w:t>(4)</w:t>
      </w:r>
      <w:r w:rsidRPr="005D642E">
        <w:rPr>
          <w:rtl/>
          <w:lang w:bidi="fa-IR"/>
        </w:rPr>
        <w:t xml:space="preserve"> لِذلِكَ ، فَتَطْمَثُ </w:t>
      </w:r>
      <w:r w:rsidRPr="007C12DB">
        <w:rPr>
          <w:rStyle w:val="libFootnotenumChar"/>
          <w:rtl/>
        </w:rPr>
        <w:t>(5)</w:t>
      </w:r>
      <w:r>
        <w:rPr>
          <w:rtl/>
          <w:lang w:bidi="fa-IR"/>
        </w:rPr>
        <w:t xml:space="preserve"> مِنْ يَوْمِهَا ، أَ</w:t>
      </w:r>
      <w:r w:rsidRPr="005D642E">
        <w:rPr>
          <w:rtl/>
          <w:lang w:bidi="fa-IR"/>
        </w:rPr>
        <w:t xml:space="preserve">فَيَجُوزُ لِي ذلِكَ وَأَنَا </w:t>
      </w:r>
      <w:r w:rsidRPr="007C12DB">
        <w:rPr>
          <w:rStyle w:val="libFootnotenumChar"/>
          <w:rtl/>
        </w:rPr>
        <w:t>(6)</w:t>
      </w:r>
      <w:r w:rsidRPr="005D642E">
        <w:rPr>
          <w:rtl/>
          <w:lang w:bidi="fa-IR"/>
        </w:rPr>
        <w:t xml:space="preserve"> لَا أَدْرِي </w:t>
      </w:r>
      <w:r w:rsidRPr="007C12DB">
        <w:rPr>
          <w:rStyle w:val="libFootnotenumChar"/>
          <w:rtl/>
        </w:rPr>
        <w:t>(7)</w:t>
      </w:r>
      <w:r w:rsidRPr="005D642E">
        <w:rPr>
          <w:rtl/>
          <w:lang w:bidi="fa-IR"/>
        </w:rPr>
        <w:t xml:space="preserve"> مِنْ </w:t>
      </w:r>
      <w:r w:rsidRPr="007C12DB">
        <w:rPr>
          <w:rStyle w:val="libFootnotenumChar"/>
          <w:rtl/>
        </w:rPr>
        <w:t>(8)</w:t>
      </w:r>
      <w:r w:rsidRPr="005D642E">
        <w:rPr>
          <w:rtl/>
          <w:lang w:bidi="fa-IR"/>
        </w:rPr>
        <w:t xml:space="preserve"> حَبَلٍ هُوَ ، أَوْ مِنْ </w:t>
      </w:r>
      <w:r w:rsidRPr="007C12DB">
        <w:rPr>
          <w:rStyle w:val="libFootnotenumChar"/>
          <w:rtl/>
        </w:rPr>
        <w:t>(9)</w:t>
      </w:r>
      <w:r w:rsidRPr="005D642E">
        <w:rPr>
          <w:rtl/>
          <w:lang w:bidi="fa-IR"/>
        </w:rPr>
        <w:t xml:space="preserve"> غَيْرِهِ</w:t>
      </w:r>
      <w:r>
        <w:rPr>
          <w:rtl/>
          <w:lang w:bidi="fa-IR"/>
        </w:rPr>
        <w:t>؟</w:t>
      </w:r>
    </w:p>
    <w:p w:rsidR="00E3253D" w:rsidRPr="005D642E" w:rsidRDefault="00E3253D" w:rsidP="00E3253D">
      <w:pPr>
        <w:pStyle w:val="libNormal"/>
        <w:rPr>
          <w:rtl/>
          <w:lang w:bidi="fa-IR"/>
        </w:rPr>
      </w:pPr>
      <w:r w:rsidRPr="005D642E">
        <w:rPr>
          <w:rtl/>
          <w:lang w:bidi="fa-IR"/>
        </w:rPr>
        <w:t xml:space="preserve">فَقَالَ لِي </w:t>
      </w:r>
      <w:r w:rsidRPr="007C12DB">
        <w:rPr>
          <w:rStyle w:val="libFootnotenumChar"/>
          <w:rtl/>
        </w:rPr>
        <w:t>(10)</w:t>
      </w:r>
      <w:r w:rsidRPr="005D642E">
        <w:rPr>
          <w:rtl/>
          <w:lang w:bidi="fa-IR"/>
        </w:rPr>
        <w:t xml:space="preserve"> : « لَا تَفْعَلْ ذلِكَ</w:t>
      </w:r>
      <w:r>
        <w:rPr>
          <w:rtl/>
          <w:lang w:bidi="fa-IR"/>
        </w:rPr>
        <w:t xml:space="preserve"> ».</w:t>
      </w:r>
    </w:p>
    <w:p w:rsidR="00E3253D" w:rsidRPr="005D642E" w:rsidRDefault="00E3253D" w:rsidP="00E3253D">
      <w:pPr>
        <w:pStyle w:val="libNormal"/>
        <w:rPr>
          <w:rtl/>
          <w:lang w:bidi="fa-IR"/>
        </w:rPr>
      </w:pPr>
      <w:r w:rsidRPr="005D642E">
        <w:rPr>
          <w:rtl/>
          <w:lang w:bidi="fa-IR"/>
        </w:rPr>
        <w:t xml:space="preserve">فَقُلْتُ لَهُ : إِنَّهُ </w:t>
      </w:r>
      <w:r w:rsidRPr="007C12DB">
        <w:rPr>
          <w:rStyle w:val="libFootnotenumChar"/>
          <w:rtl/>
        </w:rPr>
        <w:t>(11)</w:t>
      </w:r>
      <w:r w:rsidRPr="005D642E">
        <w:rPr>
          <w:rtl/>
          <w:lang w:bidi="fa-IR"/>
        </w:rPr>
        <w:t xml:space="preserve"> إِنَّمَا </w:t>
      </w:r>
      <w:r w:rsidRPr="007C12DB">
        <w:rPr>
          <w:rStyle w:val="libFootnotenumChar"/>
          <w:rtl/>
        </w:rPr>
        <w:t>(12)</w:t>
      </w:r>
      <w:r w:rsidRPr="005D642E">
        <w:rPr>
          <w:rtl/>
          <w:lang w:bidi="fa-IR"/>
        </w:rPr>
        <w:t xml:space="preserve"> ارْتَفَعَ طَمْثُهَا مِنْهَا شَهْراً ، وَلَوْ كَانَ ذلِكَ مِنْ حَبَلٍ إِنَّمَا كَانَ نُطْفَةً كَنُطْفَةِ الرَّجُلِ الَّذِي يَعْزِلُ</w:t>
      </w:r>
      <w:r>
        <w:rPr>
          <w:rtl/>
          <w:lang w:bidi="fa-IR"/>
        </w:rPr>
        <w:t>؟</w:t>
      </w:r>
    </w:p>
    <w:p w:rsidR="00E3253D" w:rsidRPr="005D642E" w:rsidRDefault="00E3253D" w:rsidP="00E3253D">
      <w:pPr>
        <w:pStyle w:val="libNormal"/>
        <w:rPr>
          <w:rtl/>
          <w:lang w:bidi="fa-IR"/>
        </w:rPr>
      </w:pPr>
      <w:r w:rsidRPr="005D642E">
        <w:rPr>
          <w:rtl/>
          <w:lang w:bidi="fa-IR"/>
        </w:rPr>
        <w:t xml:space="preserve">فَقَالَ لِي : « إِنَّ النُّطْفَةَ إِذَا وَقَعَتْ فِي الرَّحِمِ ، تَصِيرُ إِلى عَلَقَةٍ ، ثُمَّ إِلى مُضْغَةٍ ، ثُمَّ إِلى مَا شَاءَ </w:t>
      </w:r>
      <w:r w:rsidRPr="007C12DB">
        <w:rPr>
          <w:rStyle w:val="libFootnotenumChar"/>
          <w:rtl/>
        </w:rPr>
        <w:t>(13)</w:t>
      </w:r>
      <w:r w:rsidRPr="005D642E">
        <w:rPr>
          <w:rtl/>
          <w:lang w:bidi="fa-IR"/>
        </w:rPr>
        <w:t xml:space="preserve"> اللهُ ، وَإِنَّ النُّطْفَةَ إِذَا وَقَعَتْ فِي غَيْرِ الرَّحِمِ ، لَمْ يُخْلَقْ مِنْهَا شَيْ‌ءٌ ، فَلَا تَسْقِهَا دَوَاءً إِذَا ارْتَفَعَ طَمْثُهَا شَهْراً ، وَجَازَ </w:t>
      </w:r>
      <w:r w:rsidRPr="007C12DB">
        <w:rPr>
          <w:rStyle w:val="libFootnotenumChar"/>
          <w:rtl/>
        </w:rPr>
        <w:t>(14)</w:t>
      </w:r>
      <w:r w:rsidRPr="005D642E">
        <w:rPr>
          <w:rtl/>
          <w:lang w:bidi="fa-IR"/>
        </w:rPr>
        <w:t xml:space="preserve"> وَقْتُهَا الَّذِي كَانَتْ تَطْمَثُ فِيهِ</w:t>
      </w:r>
      <w:r>
        <w:rPr>
          <w:rtl/>
          <w:lang w:bidi="fa-IR"/>
        </w:rPr>
        <w:t xml:space="preserve"> ».</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1747D7" w:rsidP="00E3253D">
      <w:pPr>
        <w:pStyle w:val="libFootnote0"/>
        <w:rPr>
          <w:rtl/>
          <w:lang w:bidi="fa-IR"/>
        </w:rPr>
      </w:pPr>
      <w:r>
        <w:rPr>
          <w:rFonts w:hint="cs"/>
          <w:rtl/>
        </w:rPr>
        <w:t xml:space="preserve">= </w:t>
      </w:r>
      <w:r w:rsidR="00E3253D" w:rsidRPr="005D642E">
        <w:rPr>
          <w:rtl/>
        </w:rPr>
        <w:t xml:space="preserve">وراجع : </w:t>
      </w:r>
      <w:r w:rsidR="00E3253D" w:rsidRPr="002F4D34">
        <w:rPr>
          <w:rStyle w:val="libFootnoteBoldChar"/>
          <w:rtl/>
        </w:rPr>
        <w:t>التهذيب</w:t>
      </w:r>
      <w:r w:rsidR="00E3253D" w:rsidRPr="005D642E">
        <w:rPr>
          <w:rtl/>
        </w:rPr>
        <w:t xml:space="preserve"> ، ج 8 ، ص 177 ، ح 621 </w:t>
      </w:r>
      <w:r w:rsidR="00E3253D" w:rsidRPr="002F4D34">
        <w:rPr>
          <w:rStyle w:val="libFootnoteBoldChar"/>
          <w:rtl/>
        </w:rPr>
        <w:t>الوافي</w:t>
      </w:r>
      <w:r w:rsidR="00E3253D" w:rsidRPr="005D642E">
        <w:rPr>
          <w:rtl/>
        </w:rPr>
        <w:t xml:space="preserve"> ، ج 23 ، ص 1273 ، ح 23220 ؛ </w:t>
      </w:r>
      <w:r w:rsidR="00E3253D" w:rsidRPr="002F4D34">
        <w:rPr>
          <w:rStyle w:val="libFootnoteBoldChar"/>
          <w:rtl/>
        </w:rPr>
        <w:t>الوسائل</w:t>
      </w:r>
      <w:r w:rsidR="00E3253D" w:rsidRPr="005D642E">
        <w:rPr>
          <w:rtl/>
        </w:rPr>
        <w:t xml:space="preserve"> ، ج 2 ، ص 339 ، ح 2306 ؛ وج 21 ، ص 86 ، ح 26594.</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ابن محبوب ، عدّة من أصحابنا ، عن أحمد بن محمّد.</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الدم</w:t>
      </w:r>
      <w:r w:rsidR="00E3253D">
        <w:rPr>
          <w:rtl/>
        </w:rPr>
        <w:t xml:space="preserve"> ».</w:t>
      </w:r>
    </w:p>
    <w:p w:rsidR="00E3253D" w:rsidRPr="005D642E" w:rsidRDefault="0042621E" w:rsidP="001558C5">
      <w:pPr>
        <w:pStyle w:val="libFootnote0"/>
        <w:rPr>
          <w:rtl/>
          <w:lang w:bidi="fa-IR"/>
        </w:rPr>
      </w:pPr>
      <w:r w:rsidRPr="0042621E">
        <w:rPr>
          <w:rStyle w:val="libFootnote0Char"/>
          <w:rtl/>
        </w:rPr>
        <w:t>(3).</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وفي « بح » والمطبوع : « الرحم</w:t>
      </w:r>
      <w:r w:rsidR="00E3253D">
        <w:rPr>
          <w:rtl/>
        </w:rPr>
        <w:t xml:space="preserve"> ».</w:t>
      </w:r>
      <w:r w:rsidR="00E3253D" w:rsidRPr="005D642E">
        <w:rPr>
          <w:rtl/>
        </w:rPr>
        <w:t xml:space="preserve"> وفي « جح » :</w:t>
      </w:r>
      <w:r w:rsidR="00E3253D">
        <w:rPr>
          <w:rtl/>
        </w:rPr>
        <w:t xml:space="preserve"> </w:t>
      </w:r>
      <w:r w:rsidR="007642BC">
        <w:rPr>
          <w:rtl/>
        </w:rPr>
        <w:t>-</w:t>
      </w:r>
      <w:r w:rsidR="00E3253D">
        <w:rPr>
          <w:rtl/>
        </w:rPr>
        <w:t xml:space="preserve"> </w:t>
      </w:r>
      <w:r w:rsidR="00E3253D" w:rsidRPr="005D642E">
        <w:rPr>
          <w:rtl/>
        </w:rPr>
        <w:t>« في‌رحم</w:t>
      </w:r>
      <w:r w:rsidR="00E3253D">
        <w:rPr>
          <w:rtl/>
        </w:rPr>
        <w:t xml:space="preserve"> ».</w:t>
      </w:r>
      <w:r w:rsidR="001558C5">
        <w:rPr>
          <w:rFonts w:hint="cs"/>
          <w:rtl/>
        </w:rPr>
        <w:t xml:space="preserve">                                      </w:t>
      </w:r>
      <w:r w:rsidR="00591486">
        <w:rPr>
          <w:rFonts w:hint="cs"/>
          <w:rtl/>
        </w:rPr>
        <w:t xml:space="preserve">  </w:t>
      </w:r>
      <w:r w:rsidR="008E2F11">
        <w:rPr>
          <w:rFonts w:hint="cs"/>
          <w:rtl/>
        </w:rPr>
        <w:t xml:space="preserve">      </w:t>
      </w:r>
      <w:r w:rsidR="001558C5">
        <w:rPr>
          <w:rFonts w:hint="cs"/>
          <w:rtl/>
        </w:rPr>
        <w:t xml:space="preserve">   </w:t>
      </w:r>
      <w:r w:rsidRPr="0042621E">
        <w:rPr>
          <w:rStyle w:val="libFootnote0Char"/>
          <w:rtl/>
        </w:rPr>
        <w:t>(4).</w:t>
      </w:r>
      <w:r w:rsidR="00E3253D" w:rsidRPr="005D642E">
        <w:rPr>
          <w:rtl/>
        </w:rPr>
        <w:t xml:space="preserve"> في « غ ، ى ، جس » والوسائل : « دواء</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558C5" w:rsidTr="001558C5">
        <w:tc>
          <w:tcPr>
            <w:tcW w:w="4006" w:type="dxa"/>
          </w:tcPr>
          <w:p w:rsidR="001558C5" w:rsidRDefault="001558C5" w:rsidP="00E3253D">
            <w:pPr>
              <w:pStyle w:val="libFootnote0"/>
              <w:rPr>
                <w:rStyle w:val="libFootnote0Char"/>
                <w:rtl/>
              </w:rPr>
            </w:pPr>
            <w:r w:rsidRPr="0042621E">
              <w:rPr>
                <w:rStyle w:val="libFootnote0Char"/>
                <w:rtl/>
              </w:rPr>
              <w:t>(5).</w:t>
            </w:r>
            <w:r w:rsidRPr="005D642E">
              <w:rPr>
                <w:rtl/>
              </w:rPr>
              <w:t xml:space="preserve"> في حاشية « بح » : « فطمثت</w:t>
            </w:r>
            <w:r>
              <w:rPr>
                <w:rtl/>
              </w:rPr>
              <w:t xml:space="preserve"> ».</w:t>
            </w:r>
          </w:p>
        </w:tc>
        <w:tc>
          <w:tcPr>
            <w:tcW w:w="4006" w:type="dxa"/>
          </w:tcPr>
          <w:p w:rsidR="001558C5" w:rsidRDefault="001558C5" w:rsidP="00E3253D">
            <w:pPr>
              <w:pStyle w:val="libFootnote0"/>
              <w:rPr>
                <w:rStyle w:val="libFootnote0Char"/>
                <w:rtl/>
              </w:rPr>
            </w:pPr>
            <w:r w:rsidRPr="0042621E">
              <w:rPr>
                <w:rStyle w:val="libFootnote0Char"/>
                <w:rtl/>
              </w:rPr>
              <w:t>(6).</w:t>
            </w:r>
            <w:r w:rsidR="008E2F11">
              <w:rPr>
                <w:rtl/>
              </w:rPr>
              <w:t xml:space="preserve"> في «ظ ، غ ، بث، بح ، بس، جح</w:t>
            </w:r>
            <w:r w:rsidRPr="005D642E">
              <w:rPr>
                <w:rtl/>
              </w:rPr>
              <w:t>» : « وإنّي</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 ذلك</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أمن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 « أو » بدل « هو أو من</w:t>
      </w:r>
      <w:r w:rsidR="00E3253D">
        <w:rPr>
          <w:rtl/>
        </w:rPr>
        <w:t xml:space="preserve"> ».</w:t>
      </w:r>
      <w:r w:rsidR="00E3253D" w:rsidRPr="005D642E">
        <w:rPr>
          <w:rtl/>
        </w:rPr>
        <w:t xml:space="preserve"> وفي الوسائل :</w:t>
      </w:r>
      <w:r w:rsidR="00E3253D">
        <w:rPr>
          <w:rtl/>
        </w:rPr>
        <w:t xml:space="preserve"> </w:t>
      </w:r>
      <w:r w:rsidR="007642BC">
        <w:rPr>
          <w:rtl/>
        </w:rPr>
        <w:t>-</w:t>
      </w:r>
      <w:r w:rsidR="00E3253D">
        <w:rPr>
          <w:rtl/>
        </w:rPr>
        <w:t xml:space="preserve"> </w:t>
      </w:r>
      <w:r w:rsidR="00E3253D" w:rsidRPr="005D642E">
        <w:rPr>
          <w:rtl/>
        </w:rPr>
        <w:t>« من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25230" w:rsidTr="00825230">
        <w:tc>
          <w:tcPr>
            <w:tcW w:w="4006" w:type="dxa"/>
          </w:tcPr>
          <w:p w:rsidR="00825230" w:rsidRDefault="00825230" w:rsidP="00E3253D">
            <w:pPr>
              <w:pStyle w:val="libFootnote0"/>
              <w:rPr>
                <w:rStyle w:val="libFootnote0Char"/>
                <w:rtl/>
              </w:rPr>
            </w:pPr>
            <w:r w:rsidRPr="0042621E">
              <w:rPr>
                <w:rStyle w:val="libFootnote0Char"/>
                <w:rtl/>
              </w:rPr>
              <w:t>(10).</w:t>
            </w:r>
            <w:r w:rsidRPr="005D642E">
              <w:rPr>
                <w:rtl/>
              </w:rPr>
              <w:t xml:space="preserve"> في « بس » </w:t>
            </w:r>
            <w:r w:rsidRPr="000D749A">
              <w:rPr>
                <w:rStyle w:val="libFootnoteBoldChar"/>
                <w:rtl/>
              </w:rPr>
              <w:t>والوافي</w:t>
            </w:r>
            <w:r w:rsidRPr="005D642E">
              <w:rPr>
                <w:rtl/>
              </w:rPr>
              <w:t xml:space="preserve"> :</w:t>
            </w:r>
            <w:r>
              <w:rPr>
                <w:rtl/>
              </w:rPr>
              <w:t xml:space="preserve"> - </w:t>
            </w:r>
            <w:r w:rsidRPr="005D642E">
              <w:rPr>
                <w:rtl/>
              </w:rPr>
              <w:t>« لي</w:t>
            </w:r>
            <w:r>
              <w:rPr>
                <w:rtl/>
              </w:rPr>
              <w:t xml:space="preserve"> ».</w:t>
            </w:r>
          </w:p>
        </w:tc>
        <w:tc>
          <w:tcPr>
            <w:tcW w:w="4006" w:type="dxa"/>
          </w:tcPr>
          <w:p w:rsidR="00825230" w:rsidRDefault="00825230" w:rsidP="00E3253D">
            <w:pPr>
              <w:pStyle w:val="libFootnote0"/>
              <w:rPr>
                <w:rStyle w:val="libFootnote0Char"/>
                <w:rtl/>
              </w:rPr>
            </w:pPr>
            <w:r w:rsidRPr="0042621E">
              <w:rPr>
                <w:rStyle w:val="libFootnote0Char"/>
                <w:rtl/>
              </w:rPr>
              <w:t>(11).</w:t>
            </w:r>
            <w:r w:rsidRPr="005D642E">
              <w:rPr>
                <w:rtl/>
              </w:rPr>
              <w:t xml:space="preserve"> في « جس » :</w:t>
            </w:r>
            <w:r>
              <w:rPr>
                <w:rtl/>
              </w:rPr>
              <w:t xml:space="preserve"> - </w:t>
            </w:r>
            <w:r w:rsidRPr="005D642E">
              <w:rPr>
                <w:rtl/>
              </w:rPr>
              <w:t>« إنّه</w:t>
            </w:r>
            <w:r>
              <w:rPr>
                <w:rtl/>
              </w:rPr>
              <w:t xml:space="preserve"> ».</w:t>
            </w:r>
          </w:p>
        </w:tc>
      </w:tr>
      <w:tr w:rsidR="00825230" w:rsidTr="00825230">
        <w:tc>
          <w:tcPr>
            <w:tcW w:w="4006" w:type="dxa"/>
          </w:tcPr>
          <w:p w:rsidR="00825230" w:rsidRDefault="00825230" w:rsidP="00E3253D">
            <w:pPr>
              <w:pStyle w:val="libFootnote0"/>
              <w:rPr>
                <w:rStyle w:val="libFootnote0Char"/>
                <w:rtl/>
              </w:rPr>
            </w:pPr>
            <w:r w:rsidRPr="0042621E">
              <w:rPr>
                <w:rStyle w:val="libFootnote0Char"/>
                <w:rtl/>
              </w:rPr>
              <w:t>(12).</w:t>
            </w:r>
            <w:r w:rsidRPr="005D642E">
              <w:rPr>
                <w:rtl/>
              </w:rPr>
              <w:t xml:space="preserve"> في « بح » : « ربّما</w:t>
            </w:r>
            <w:r>
              <w:rPr>
                <w:rtl/>
              </w:rPr>
              <w:t xml:space="preserve"> ».</w:t>
            </w:r>
          </w:p>
        </w:tc>
        <w:tc>
          <w:tcPr>
            <w:tcW w:w="4006" w:type="dxa"/>
          </w:tcPr>
          <w:p w:rsidR="00825230" w:rsidRDefault="00825230" w:rsidP="00E3253D">
            <w:pPr>
              <w:pStyle w:val="libFootnote0"/>
              <w:rPr>
                <w:rStyle w:val="libFootnote0Char"/>
                <w:rtl/>
              </w:rPr>
            </w:pPr>
            <w:r w:rsidRPr="0042621E">
              <w:rPr>
                <w:rStyle w:val="libFootnote0Char"/>
                <w:rtl/>
              </w:rPr>
              <w:t>(13).</w:t>
            </w:r>
            <w:r w:rsidRPr="005D642E">
              <w:rPr>
                <w:rtl/>
              </w:rPr>
              <w:t xml:space="preserve"> في « بخ » : « يشاء</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بخ ، جح » : « أو جاز</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الفقيه</w:t>
      </w:r>
      <w:r w:rsidR="00E3253D" w:rsidRPr="005D642E">
        <w:rPr>
          <w:rtl/>
        </w:rPr>
        <w:t xml:space="preserve"> ، ج 1 ، ص 94 ، ذيل ح 199 ، مع اختلاف يسير </w:t>
      </w:r>
      <w:r w:rsidR="00300D58">
        <w:rPr>
          <w:rFonts w:hint="cs"/>
          <w:rtl/>
        </w:rPr>
        <w:t>.</w:t>
      </w:r>
      <w:r w:rsidR="00E3253D" w:rsidRPr="002F4D34">
        <w:rPr>
          <w:rStyle w:val="libFootnoteBoldChar"/>
          <w:rtl/>
        </w:rPr>
        <w:t>الوافي</w:t>
      </w:r>
      <w:r w:rsidR="00E3253D" w:rsidRPr="005D642E">
        <w:rPr>
          <w:rtl/>
        </w:rPr>
        <w:t xml:space="preserve"> ، ج 23 ، ص 1273 ، ح 23222 ؛ </w:t>
      </w:r>
      <w:r w:rsidR="00E3253D" w:rsidRPr="002F4D34">
        <w:rPr>
          <w:rStyle w:val="libFootnoteBoldChar"/>
          <w:rtl/>
        </w:rPr>
        <w:t>الوسائل</w:t>
      </w:r>
      <w:r w:rsidR="00E3253D" w:rsidRPr="005D642E">
        <w:rPr>
          <w:rtl/>
        </w:rPr>
        <w:t xml:space="preserve"> ، ج 2 ، ص 338 ، ح 2305.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D0EEE">
        <w:rPr>
          <w:rtl/>
        </w:rPr>
        <w:lastRenderedPageBreak/>
        <w:t>4234</w:t>
      </w:r>
      <w:r w:rsidRPr="00246318">
        <w:rPr>
          <w:rStyle w:val="libBold2Char"/>
          <w:rtl/>
        </w:rPr>
        <w:t xml:space="preserve"> / 3.</w:t>
      </w:r>
      <w:r w:rsidRPr="005D642E">
        <w:rPr>
          <w:rtl/>
          <w:lang w:bidi="fa-IR"/>
        </w:rPr>
        <w:t xml:space="preserve"> مُحَمَّدُ بْنُ يَحْيى ، عَنْ أَحْمَدَ بْنِ مُحَمَّدٍ ، عَنِ ابْنِ مَحْبُوبٍ ، عَنْ مَالِكِ بْنِ عَطِيَّةَ ، عَنْ دَاوُدَ بْنِ فَرْقَدٍ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رَجُلٍ اشْتَرى جَارِيَةً مُدْرِكَةً ، وَلَمْ تَحِضْ عِنْدَهُ حَتّى مَضى لِذلِكَ </w:t>
      </w:r>
      <w:r w:rsidRPr="007C12DB">
        <w:rPr>
          <w:rStyle w:val="libFootnotenumChar"/>
          <w:rtl/>
        </w:rPr>
        <w:t>(1)</w:t>
      </w:r>
      <w:r w:rsidRPr="005D642E">
        <w:rPr>
          <w:rtl/>
          <w:lang w:bidi="fa-IR"/>
        </w:rPr>
        <w:t xml:space="preserve"> سِتَّةُ أَشْهُرٍ وَلَيْسَ بِهَا حَبَلٌ</w:t>
      </w:r>
      <w:r>
        <w:rPr>
          <w:rtl/>
          <w:lang w:bidi="fa-IR"/>
        </w:rPr>
        <w:t>؟</w:t>
      </w:r>
    </w:p>
    <w:p w:rsidR="00E3253D" w:rsidRPr="005D642E" w:rsidRDefault="00E3253D" w:rsidP="00E3253D">
      <w:pPr>
        <w:pStyle w:val="libNormal"/>
        <w:rPr>
          <w:rtl/>
          <w:lang w:bidi="fa-IR"/>
        </w:rPr>
      </w:pPr>
      <w:r w:rsidRPr="005D642E">
        <w:rPr>
          <w:rtl/>
          <w:lang w:bidi="fa-IR"/>
        </w:rPr>
        <w:t xml:space="preserve">قَالَ : « إِنْ كَانَ مِثْلُهَا تَحِيضُ وَلَمْ يَكُنْ ذلِكَ مِنْ كِبَرٍ ، فَهذَا عَيْبٌ تُرَدُّ مِنْهُ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243" w:name="_Toc344647291"/>
      <w:bookmarkStart w:id="244" w:name="_Toc462226806"/>
      <w:bookmarkStart w:id="245" w:name="_Toc40975914"/>
      <w:r w:rsidRPr="005D642E">
        <w:rPr>
          <w:rtl/>
          <w:lang w:bidi="fa-IR"/>
        </w:rPr>
        <w:t>23</w:t>
      </w:r>
      <w:r>
        <w:rPr>
          <w:rtl/>
          <w:lang w:bidi="fa-IR"/>
        </w:rPr>
        <w:t xml:space="preserve"> </w:t>
      </w:r>
      <w:r w:rsidR="007642BC">
        <w:rPr>
          <w:rtl/>
          <w:lang w:bidi="fa-IR"/>
        </w:rPr>
        <w:t>-</w:t>
      </w:r>
      <w:r>
        <w:rPr>
          <w:rtl/>
          <w:lang w:bidi="fa-IR"/>
        </w:rPr>
        <w:t xml:space="preserve"> </w:t>
      </w:r>
      <w:r w:rsidRPr="005D642E">
        <w:rPr>
          <w:rtl/>
          <w:lang w:bidi="fa-IR"/>
        </w:rPr>
        <w:t>بَابُ الْحَائِضِ تَخْتَضِبُ‌</w:t>
      </w:r>
      <w:bookmarkEnd w:id="243"/>
      <w:bookmarkEnd w:id="244"/>
      <w:bookmarkEnd w:id="245"/>
    </w:p>
    <w:p w:rsidR="00E3253D" w:rsidRPr="005D642E" w:rsidRDefault="00E3253D" w:rsidP="00E3253D">
      <w:pPr>
        <w:pStyle w:val="libNormal"/>
        <w:rPr>
          <w:rtl/>
          <w:lang w:bidi="fa-IR"/>
        </w:rPr>
      </w:pPr>
      <w:r w:rsidRPr="00ED0EEE">
        <w:rPr>
          <w:rtl/>
        </w:rPr>
        <w:t>4235</w:t>
      </w:r>
      <w:r w:rsidRPr="00246318">
        <w:rPr>
          <w:rStyle w:val="libBold2Char"/>
          <w:rtl/>
        </w:rPr>
        <w:t xml:space="preserve"> / 1.</w:t>
      </w:r>
      <w:r w:rsidRPr="005D642E">
        <w:rPr>
          <w:rtl/>
          <w:lang w:bidi="fa-IR"/>
        </w:rPr>
        <w:t xml:space="preserve"> عِدَّةٌ مِنْ أَصْحَابِنَا ، عَنْ أَحْمَدَ بْنِ مُحَمَّدٍ ، عَنْ مُحَمَّدِ بْنِ سَهْلِ بْنِ الْيَسَعِ ، عَنْ أَبِيهِ </w:t>
      </w:r>
      <w:r w:rsidRPr="007C12DB">
        <w:rPr>
          <w:rStyle w:val="libFootnotenumChar"/>
          <w:rtl/>
        </w:rPr>
        <w:t>(4)</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الْحَسَنِ </w:t>
      </w:r>
      <w:r w:rsidRPr="00AC51C5">
        <w:rPr>
          <w:rStyle w:val="libAlaemChar"/>
          <w:rtl/>
        </w:rPr>
        <w:t>عليه‌السلام</w:t>
      </w:r>
      <w:r w:rsidRPr="005D642E">
        <w:rPr>
          <w:rtl/>
          <w:lang w:bidi="fa-IR"/>
        </w:rPr>
        <w:t xml:space="preserve"> عَنِ الْمَرْأَةِ </w:t>
      </w:r>
      <w:r w:rsidRPr="007C12DB">
        <w:rPr>
          <w:rStyle w:val="libFootnotenumChar"/>
          <w:rtl/>
        </w:rPr>
        <w:t>(5)</w:t>
      </w:r>
      <w:r w:rsidRPr="005D642E">
        <w:rPr>
          <w:rtl/>
          <w:lang w:bidi="fa-IR"/>
        </w:rPr>
        <w:t xml:space="preserve"> تَخْتَضِبُ وَهِيَ حَائِضٌ</w:t>
      </w:r>
      <w:r>
        <w:rPr>
          <w:rtl/>
          <w:lang w:bidi="fa-IR"/>
        </w:rPr>
        <w:t>؟</w:t>
      </w:r>
    </w:p>
    <w:p w:rsidR="00E3253D" w:rsidRPr="005D642E" w:rsidRDefault="00E3253D" w:rsidP="00E3253D">
      <w:pPr>
        <w:pStyle w:val="libNormal"/>
        <w:rPr>
          <w:rtl/>
          <w:lang w:bidi="fa-IR"/>
        </w:rPr>
      </w:pPr>
      <w:r w:rsidRPr="005D642E">
        <w:rPr>
          <w:rtl/>
          <w:lang w:bidi="fa-IR"/>
        </w:rPr>
        <w:t xml:space="preserve">قَالَ : « لَا بَأْسَ بِهِ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كذلك</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يردّ منه</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256 : « الحديث الثالث صحيح ، وكان الأنسب ذكره في كتاب البيع</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الكافي</w:t>
      </w:r>
      <w:r w:rsidR="00E3253D" w:rsidRPr="005D642E">
        <w:rPr>
          <w:rtl/>
        </w:rPr>
        <w:t xml:space="preserve"> ، كتاب المعيشة ، باب من يشتري الرقيق فيظهر به</w:t>
      </w:r>
      <w:r w:rsidR="00E3253D">
        <w:rPr>
          <w:rtl/>
        </w:rPr>
        <w:t xml:space="preserve"> ..</w:t>
      </w:r>
      <w:r w:rsidR="00E3253D" w:rsidRPr="005D642E">
        <w:rPr>
          <w:rtl/>
        </w:rPr>
        <w:t xml:space="preserve">. ، ح 8960 ، عن عدّة من أصحابنا ، عن سهل بن زياد وأحمد بن محمّد جيمعاً ، عن ابن محبوب. وفي </w:t>
      </w:r>
      <w:r w:rsidR="00E3253D" w:rsidRPr="002F4D34">
        <w:rPr>
          <w:rStyle w:val="libFootnoteBoldChar"/>
          <w:rtl/>
        </w:rPr>
        <w:t>الفقيه</w:t>
      </w:r>
      <w:r w:rsidR="00E3253D" w:rsidRPr="005D642E">
        <w:rPr>
          <w:rtl/>
        </w:rPr>
        <w:t xml:space="preserve"> ، ج 3 ، ص 450 ، ح 4556 ؛ </w:t>
      </w:r>
      <w:r w:rsidR="00B60612" w:rsidRPr="00B60612">
        <w:rPr>
          <w:rStyle w:val="libFootnoteBoldChar"/>
          <w:rtl/>
        </w:rPr>
        <w:t>والتهذيب</w:t>
      </w:r>
      <w:r w:rsidR="00E3253D" w:rsidRPr="005D642E">
        <w:rPr>
          <w:rtl/>
        </w:rPr>
        <w:t xml:space="preserve"> ، ج 7 ، ص 65 ، ح 281 ؛ وج 8 ، ص 209 ، ح 743 ، بسند آخر عن الحسن بن محبوب. </w:t>
      </w:r>
      <w:r w:rsidR="00E3253D" w:rsidRPr="002F4D34">
        <w:rPr>
          <w:rStyle w:val="libFootnoteBoldChar"/>
          <w:rtl/>
        </w:rPr>
        <w:t>الفقيه</w:t>
      </w:r>
      <w:r w:rsidR="00E3253D" w:rsidRPr="005D642E">
        <w:rPr>
          <w:rtl/>
        </w:rPr>
        <w:t xml:space="preserve"> ، ج 1 ، ص 94 ، ذيل ح 199 ، وفي كلّ المصادر مع اختلاف يسير </w:t>
      </w:r>
      <w:r w:rsidR="00300D58">
        <w:rPr>
          <w:rFonts w:hint="cs"/>
          <w:rtl/>
        </w:rPr>
        <w:t>.</w:t>
      </w:r>
      <w:r w:rsidR="00E3253D" w:rsidRPr="002F4D34">
        <w:rPr>
          <w:rStyle w:val="libFootnoteBoldChar"/>
          <w:rtl/>
        </w:rPr>
        <w:t>الوافي</w:t>
      </w:r>
      <w:r w:rsidR="00E3253D" w:rsidRPr="005D642E">
        <w:rPr>
          <w:rtl/>
        </w:rPr>
        <w:t xml:space="preserve"> ، ج 18 ، ص 751 ، ح 18227 ؛ </w:t>
      </w:r>
      <w:r w:rsidR="00E3253D" w:rsidRPr="002F4D34">
        <w:rPr>
          <w:rStyle w:val="libFootnoteBoldChar"/>
          <w:rtl/>
        </w:rPr>
        <w:t>الوسائل</w:t>
      </w:r>
      <w:r w:rsidR="00E3253D" w:rsidRPr="005D642E">
        <w:rPr>
          <w:rtl/>
        </w:rPr>
        <w:t xml:space="preserve"> ، ج 2 ، ص 338 ، ح 2304.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التهذيب ، ج 1 ، ص 182 : « محمّد بن سهل ، عن أبيه ، عن سهل بن اليسع ، عن أبيه</w:t>
      </w:r>
      <w:r w:rsidR="00E3253D">
        <w:rPr>
          <w:rtl/>
        </w:rPr>
        <w:t xml:space="preserve"> ».</w:t>
      </w:r>
      <w:r w:rsidR="00E3253D" w:rsidRPr="005D642E">
        <w:rPr>
          <w:rtl/>
        </w:rPr>
        <w:t xml:space="preserve"> والمذكور في بعض نسخه : « محمّد بن سهل بن اليسع ، عن أبيه » كما هاهنا. وهو الصواب ؛ فقد روى أحمد بن محمّد بن عيسى ، محمّد بن سهل بن اليسع ، كتاب أبيه سهل ، وورد هذا الارتباط في بعض الأسناد. راجع : </w:t>
      </w:r>
      <w:r w:rsidR="00E3253D" w:rsidRPr="002F4D34">
        <w:rPr>
          <w:rStyle w:val="libFootnoteBoldChar"/>
          <w:rtl/>
        </w:rPr>
        <w:t>رجال النجاشي</w:t>
      </w:r>
      <w:r w:rsidR="00E3253D" w:rsidRPr="005D642E">
        <w:rPr>
          <w:rtl/>
        </w:rPr>
        <w:t xml:space="preserve"> ، ص 186 ، الرقم 494 ؛ </w:t>
      </w:r>
      <w:r w:rsidR="00E3253D" w:rsidRPr="002F4D34">
        <w:rPr>
          <w:rStyle w:val="libFootnoteBoldChar"/>
          <w:rtl/>
        </w:rPr>
        <w:t>معجم رجال الحديث</w:t>
      </w:r>
      <w:r w:rsidR="00E3253D" w:rsidRPr="005D642E">
        <w:rPr>
          <w:rtl/>
        </w:rPr>
        <w:t xml:space="preserve"> ، ج 16 ، ص 412.</w:t>
      </w:r>
    </w:p>
    <w:tbl>
      <w:tblPr>
        <w:tblStyle w:val="TableGrid"/>
        <w:bidiVisual/>
        <w:tblW w:w="0" w:type="auto"/>
        <w:tblLook w:val="04A0" w:firstRow="1" w:lastRow="0" w:firstColumn="1" w:lastColumn="0" w:noHBand="0" w:noVBand="1"/>
      </w:tblPr>
      <w:tblGrid>
        <w:gridCol w:w="4006"/>
        <w:gridCol w:w="4006"/>
      </w:tblGrid>
      <w:tr w:rsidR="00300D58" w:rsidTr="00300D58">
        <w:tc>
          <w:tcPr>
            <w:tcW w:w="4006" w:type="dxa"/>
          </w:tcPr>
          <w:p w:rsidR="00300D58" w:rsidRDefault="00300D58" w:rsidP="00E3253D">
            <w:pPr>
              <w:pStyle w:val="libFootnote0"/>
              <w:rPr>
                <w:rStyle w:val="libFootnote0Char"/>
                <w:rtl/>
              </w:rPr>
            </w:pPr>
            <w:r w:rsidRPr="0042621E">
              <w:rPr>
                <w:rStyle w:val="libFootnote0Char"/>
                <w:rtl/>
              </w:rPr>
              <w:t>(5).</w:t>
            </w:r>
            <w:r w:rsidRPr="005D642E">
              <w:rPr>
                <w:rtl/>
              </w:rPr>
              <w:t xml:space="preserve"> في « جن » : « امرأة</w:t>
            </w:r>
            <w:r>
              <w:rPr>
                <w:rtl/>
              </w:rPr>
              <w:t xml:space="preserve"> ».</w:t>
            </w:r>
          </w:p>
        </w:tc>
        <w:tc>
          <w:tcPr>
            <w:tcW w:w="4006" w:type="dxa"/>
          </w:tcPr>
          <w:p w:rsidR="00300D58" w:rsidRDefault="00300D58" w:rsidP="00E3253D">
            <w:pPr>
              <w:pStyle w:val="libFootnote0"/>
              <w:rPr>
                <w:rStyle w:val="libFootnote0Char"/>
                <w:rtl/>
              </w:rPr>
            </w:pPr>
            <w:r w:rsidRPr="0042621E">
              <w:rPr>
                <w:rStyle w:val="libFootnote0Char"/>
                <w:rtl/>
              </w:rPr>
              <w:t>(6).</w:t>
            </w:r>
            <w:r w:rsidRPr="005D642E">
              <w:rPr>
                <w:rtl/>
              </w:rPr>
              <w:t xml:space="preserve"> في « جن » :</w:t>
            </w:r>
            <w:r>
              <w:rPr>
                <w:rtl/>
              </w:rPr>
              <w:t xml:space="preserve"> - </w:t>
            </w:r>
            <w:r w:rsidRPr="005D642E">
              <w:rPr>
                <w:rtl/>
              </w:rPr>
              <w:t>« به</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182 ، ح 522 ، بسنده عن الكليني. </w:t>
      </w:r>
      <w:r w:rsidR="00E3253D" w:rsidRPr="002F4D34">
        <w:rPr>
          <w:rStyle w:val="libFootnoteBoldChar"/>
          <w:rtl/>
        </w:rPr>
        <w:t>وفيه</w:t>
      </w:r>
      <w:r w:rsidR="00E3253D" w:rsidRPr="005D642E">
        <w:rPr>
          <w:rtl/>
        </w:rPr>
        <w:t xml:space="preserve"> ، ص 183 ، ح 525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116 ، </w:t>
      </w:r>
      <w:r w:rsidR="00011D2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D0EEE">
        <w:rPr>
          <w:rtl/>
        </w:rPr>
        <w:lastRenderedPageBreak/>
        <w:t>4236</w:t>
      </w:r>
      <w:r w:rsidRPr="00246318">
        <w:rPr>
          <w:rStyle w:val="libBold2Char"/>
          <w:rtl/>
        </w:rPr>
        <w:t xml:space="preserve"> / 2.</w:t>
      </w:r>
      <w:r w:rsidRPr="005D642E">
        <w:rPr>
          <w:rtl/>
          <w:lang w:bidi="fa-IR"/>
        </w:rPr>
        <w:t xml:space="preserve"> أَحْمَدُ بْنُ مُحَمَّدٍ </w:t>
      </w:r>
      <w:r w:rsidRPr="007C12DB">
        <w:rPr>
          <w:rStyle w:val="libFootnotenumChar"/>
          <w:rtl/>
        </w:rPr>
        <w:t>(1)</w:t>
      </w:r>
      <w:r w:rsidRPr="005D642E">
        <w:rPr>
          <w:rtl/>
          <w:lang w:bidi="fa-IR"/>
        </w:rPr>
        <w:t xml:space="preserve"> ، عَنِ الْحُسَيْنِ بْنِ سَعِيدٍ ، عَنِ النَّضْرِ بْنِ سُوَيْدٍ ، عَنْ مُحَمَّدِ بْنِ أَبِي حَمْزَةَ </w:t>
      </w:r>
      <w:r w:rsidRPr="007C12DB">
        <w:rPr>
          <w:rStyle w:val="libFootnotenumChar"/>
          <w:rtl/>
        </w:rPr>
        <w:t>(2)</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قُلْتُ لِأَبِي إِبْرَاهِيمَ </w:t>
      </w:r>
      <w:r w:rsidRPr="00AC51C5">
        <w:rPr>
          <w:rStyle w:val="libAlaemChar"/>
          <w:rtl/>
        </w:rPr>
        <w:t>عليه‌السلام</w:t>
      </w:r>
      <w:r w:rsidRPr="005D642E">
        <w:rPr>
          <w:rtl/>
          <w:lang w:bidi="fa-IR"/>
        </w:rPr>
        <w:t xml:space="preserve"> : تَخْتَضِبُ الْمَرْأَةُ وَهِيَ طَامِثٌ</w:t>
      </w:r>
      <w:r>
        <w:rPr>
          <w:rtl/>
          <w:lang w:bidi="fa-IR"/>
        </w:rPr>
        <w:t>؟</w:t>
      </w:r>
      <w:r w:rsidRPr="005D642E">
        <w:rPr>
          <w:rtl/>
          <w:lang w:bidi="fa-IR"/>
        </w:rPr>
        <w:t xml:space="preserve"> فَقَالَ </w:t>
      </w:r>
      <w:r w:rsidRPr="007C12DB">
        <w:rPr>
          <w:rStyle w:val="libFootnotenumChar"/>
          <w:rtl/>
        </w:rPr>
        <w:t>(3)</w:t>
      </w:r>
      <w:r w:rsidRPr="005D642E">
        <w:rPr>
          <w:rtl/>
          <w:lang w:bidi="fa-IR"/>
        </w:rPr>
        <w:t xml:space="preserve"> : « نَعَمْ</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246" w:name="_Toc344647292"/>
      <w:bookmarkStart w:id="247" w:name="_Toc462226807"/>
      <w:bookmarkStart w:id="248" w:name="_Toc40975915"/>
      <w:r w:rsidRPr="005D642E">
        <w:rPr>
          <w:rtl/>
          <w:lang w:bidi="fa-IR"/>
        </w:rPr>
        <w:t>24</w:t>
      </w:r>
      <w:r>
        <w:rPr>
          <w:rtl/>
          <w:lang w:bidi="fa-IR"/>
        </w:rPr>
        <w:t xml:space="preserve"> </w:t>
      </w:r>
      <w:r w:rsidR="007642BC">
        <w:rPr>
          <w:rtl/>
          <w:lang w:bidi="fa-IR"/>
        </w:rPr>
        <w:t>-</w:t>
      </w:r>
      <w:r>
        <w:rPr>
          <w:rtl/>
          <w:lang w:bidi="fa-IR"/>
        </w:rPr>
        <w:t xml:space="preserve"> </w:t>
      </w:r>
      <w:r w:rsidRPr="005D642E">
        <w:rPr>
          <w:rtl/>
          <w:lang w:bidi="fa-IR"/>
        </w:rPr>
        <w:t>بَابُ غَسْلِ ثِيَابِ الْحَائِضِ‌</w:t>
      </w:r>
      <w:bookmarkEnd w:id="246"/>
      <w:bookmarkEnd w:id="247"/>
      <w:bookmarkEnd w:id="248"/>
    </w:p>
    <w:p w:rsidR="00E3253D" w:rsidRPr="005D642E" w:rsidRDefault="00E3253D" w:rsidP="00E3253D">
      <w:pPr>
        <w:pStyle w:val="libNormal"/>
        <w:rPr>
          <w:rtl/>
          <w:lang w:bidi="fa-IR"/>
        </w:rPr>
      </w:pPr>
      <w:r w:rsidRPr="00ED0EEE">
        <w:rPr>
          <w:rtl/>
        </w:rPr>
        <w:t>4237</w:t>
      </w:r>
      <w:r w:rsidRPr="00246318">
        <w:rPr>
          <w:rStyle w:val="libBold2Char"/>
          <w:rtl/>
        </w:rPr>
        <w:t xml:space="preserve"> / 1.</w:t>
      </w:r>
      <w:r w:rsidRPr="005D642E">
        <w:rPr>
          <w:rtl/>
          <w:lang w:bidi="fa-IR"/>
        </w:rPr>
        <w:t xml:space="preserve"> مُحَمَّدُ بْنُ يَحْيى ، عَنْ أَحْمَدَ بْنِ مُحَمَّدٍ ، عَنِ ابْنِ مَحْبُوبٍ ، عَنْ هِشَامِ بْنِ سَالِمٍ ، عَنْ سَوْرَةَ بْنِ كُلَيْبٍ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w:t>
      </w:r>
      <w:r>
        <w:rPr>
          <w:rtl/>
          <w:lang w:bidi="fa-IR"/>
        </w:rPr>
        <w:t>َنِ الْمَرْأَةِ الْحَائِضِ : أَ</w:t>
      </w:r>
      <w:r w:rsidRPr="005D642E">
        <w:rPr>
          <w:rtl/>
          <w:lang w:bidi="fa-IR"/>
        </w:rPr>
        <w:t>تَغْسِلُ ثِيَابَهَا الَّتِي لَبِسَتْهَا فِي طَمْثِهَا</w:t>
      </w:r>
      <w:r>
        <w:rPr>
          <w:rtl/>
          <w:lang w:bidi="fa-IR"/>
        </w:rPr>
        <w:t>؟</w:t>
      </w:r>
    </w:p>
    <w:p w:rsidR="00E3253D" w:rsidRPr="005D642E" w:rsidRDefault="00E3253D" w:rsidP="00E3253D">
      <w:pPr>
        <w:pStyle w:val="libNormal"/>
        <w:rPr>
          <w:rtl/>
          <w:lang w:bidi="fa-IR"/>
        </w:rPr>
      </w:pPr>
      <w:r w:rsidRPr="005D642E">
        <w:rPr>
          <w:rtl/>
          <w:lang w:bidi="fa-IR"/>
        </w:rPr>
        <w:t>قَالَ : « تَغْسِلُ مَا أَصَابَ ثِيَابَهَا مِنَ الدَّمِ ، وَتَدَعُ مَا سِوى ذلِكَ</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لَهُ </w:t>
      </w:r>
      <w:r w:rsidRPr="007C12DB">
        <w:rPr>
          <w:rStyle w:val="libFootnotenumChar"/>
          <w:rtl/>
        </w:rPr>
        <w:t>(5)</w:t>
      </w:r>
      <w:r w:rsidRPr="005D642E">
        <w:rPr>
          <w:rtl/>
          <w:lang w:bidi="fa-IR"/>
        </w:rPr>
        <w:t xml:space="preserve"> : وَقَدْ عَرِقَتْ فِيهَا</w:t>
      </w:r>
      <w:r>
        <w:rPr>
          <w:rtl/>
          <w:lang w:bidi="fa-IR"/>
        </w:rPr>
        <w:t>؟</w:t>
      </w:r>
      <w:r w:rsidRPr="005D642E">
        <w:rPr>
          <w:rtl/>
          <w:lang w:bidi="fa-IR"/>
        </w:rPr>
        <w:t xml:space="preserve"> قَالَ : « إِنَّ الْعَرَقَ لَيْسَ مِنَ الْحَيْضِ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36824" w:rsidP="00E3253D">
      <w:pPr>
        <w:pStyle w:val="libFootnote0"/>
        <w:rPr>
          <w:rtl/>
          <w:lang w:bidi="fa-IR"/>
        </w:rPr>
      </w:pPr>
      <w:r>
        <w:rPr>
          <w:rFonts w:hint="cs"/>
          <w:rtl/>
        </w:rPr>
        <w:t xml:space="preserve">= </w:t>
      </w:r>
      <w:r w:rsidR="00E3253D" w:rsidRPr="005D642E">
        <w:rPr>
          <w:rtl/>
        </w:rPr>
        <w:t xml:space="preserve">ح 390 ، بسند آخر عن العبد الصالح </w:t>
      </w:r>
      <w:r w:rsidR="00E3253D" w:rsidRPr="00442EF6">
        <w:rPr>
          <w:rStyle w:val="libFootnoteAlaemChar"/>
          <w:rtl/>
        </w:rPr>
        <w:t>عليه‌السلام</w:t>
      </w:r>
      <w:r w:rsidR="00E3253D" w:rsidRPr="005D642E">
        <w:rPr>
          <w:rtl/>
        </w:rPr>
        <w:t xml:space="preserve"> ، مع اختلاف يسير وزيادة في أوّله </w:t>
      </w:r>
      <w:r w:rsidR="00442EF6">
        <w:rPr>
          <w:rFonts w:hint="cs"/>
          <w:rtl/>
        </w:rPr>
        <w:t>.</w:t>
      </w:r>
      <w:r w:rsidR="00E3253D" w:rsidRPr="002F4D34">
        <w:rPr>
          <w:rStyle w:val="libFootnoteBoldChar"/>
          <w:rtl/>
        </w:rPr>
        <w:t>الوافي</w:t>
      </w:r>
      <w:r w:rsidR="00E3253D" w:rsidRPr="005D642E">
        <w:rPr>
          <w:rtl/>
        </w:rPr>
        <w:t xml:space="preserve"> ، ج 6 ، ص 489 ، ح 4763 ؛ </w:t>
      </w:r>
      <w:r w:rsidR="00E3253D" w:rsidRPr="002F4D34">
        <w:rPr>
          <w:rStyle w:val="libFootnoteBoldChar"/>
          <w:rtl/>
        </w:rPr>
        <w:t>الوسائل</w:t>
      </w:r>
      <w:r w:rsidR="00E3253D" w:rsidRPr="005D642E">
        <w:rPr>
          <w:rtl/>
        </w:rPr>
        <w:t xml:space="preserve"> ، ج 2 ، ص 352 ، ح 2342.</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أحمد بن محمّد ، عدّة من أصحابنا.</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 + « عن عليّ بن أبي حمزة</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في بعض النسخ بعد قوله : عن محمّد بن أبي حمزة : عن عليّ بن أبي حمزة</w:t>
      </w:r>
      <w:r w:rsidR="00E3253D">
        <w:rPr>
          <w:rtl/>
        </w:rPr>
        <w:t xml:space="preserve"> ».</w:t>
      </w:r>
    </w:p>
    <w:p w:rsidR="00E3253D" w:rsidRPr="005D642E" w:rsidRDefault="00E3253D" w:rsidP="00B60612">
      <w:pPr>
        <w:pStyle w:val="libFootnote0"/>
        <w:rPr>
          <w:rtl/>
          <w:lang w:bidi="fa-IR"/>
        </w:rPr>
      </w:pPr>
      <w:r w:rsidRPr="0095070A">
        <w:rPr>
          <w:rtl/>
        </w:rPr>
        <w:t>هذا ، ولم نجد رواية محمّد بن أبي حمزة ، عن عليّ بن أبي حمزة ، في شي‌ءٍ من الأسناد والطرق ، بل لم نر اجتماعهما</w:t>
      </w:r>
      <w:r>
        <w:rPr>
          <w:rtl/>
        </w:rPr>
        <w:t xml:space="preserve"> </w:t>
      </w:r>
      <w:r w:rsidR="007642BC">
        <w:rPr>
          <w:rtl/>
        </w:rPr>
        <w:t>-</w:t>
      </w:r>
      <w:r>
        <w:rPr>
          <w:rtl/>
        </w:rPr>
        <w:t xml:space="preserve"> </w:t>
      </w:r>
      <w:r w:rsidRPr="0095070A">
        <w:rPr>
          <w:rtl/>
        </w:rPr>
        <w:t>بأيّ نحوٍ كان</w:t>
      </w:r>
      <w:r>
        <w:rPr>
          <w:rtl/>
        </w:rPr>
        <w:t xml:space="preserve"> </w:t>
      </w:r>
      <w:r w:rsidR="007642BC">
        <w:rPr>
          <w:rtl/>
        </w:rPr>
        <w:t>-</w:t>
      </w:r>
      <w:r>
        <w:rPr>
          <w:rtl/>
        </w:rPr>
        <w:t xml:space="preserve"> </w:t>
      </w:r>
      <w:r w:rsidRPr="0095070A">
        <w:rPr>
          <w:rtl/>
        </w:rPr>
        <w:t>في سندٍ واحدٍ.</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جح » والمطبوع : « قال</w:t>
      </w:r>
      <w:r w:rsidR="00E3253D">
        <w:rPr>
          <w:rtl/>
        </w:rPr>
        <w:t xml:space="preserve"> ».</w:t>
      </w:r>
    </w:p>
    <w:p w:rsidR="00E3253D" w:rsidRPr="005D642E" w:rsidRDefault="0042621E" w:rsidP="00442EF6">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182 ، ح 523 ، بسنده عن الكليني </w:t>
      </w:r>
      <w:r w:rsidR="00442EF6">
        <w:rPr>
          <w:rFonts w:hint="cs"/>
          <w:rtl/>
        </w:rPr>
        <w:t>.</w:t>
      </w:r>
      <w:r w:rsidR="00E3253D" w:rsidRPr="002F4D34">
        <w:rPr>
          <w:rStyle w:val="libFootnoteBoldChar"/>
          <w:rtl/>
        </w:rPr>
        <w:t>الوافي</w:t>
      </w:r>
      <w:r w:rsidR="00E3253D" w:rsidRPr="005D642E">
        <w:rPr>
          <w:rtl/>
        </w:rPr>
        <w:t xml:space="preserve"> ، ج 6 ، ص 490 ، ح 4764 ؛ </w:t>
      </w:r>
      <w:r w:rsidR="00E3253D" w:rsidRPr="002F4D34">
        <w:rPr>
          <w:rStyle w:val="libFootnoteBoldChar"/>
          <w:rtl/>
        </w:rPr>
        <w:t>الوسائل</w:t>
      </w:r>
      <w:r w:rsidR="00E3253D" w:rsidRPr="005D642E">
        <w:rPr>
          <w:rtl/>
        </w:rPr>
        <w:t xml:space="preserve"> ، ج 2 ، ص 353 ، ح 2343.</w:t>
      </w:r>
      <w:r w:rsidR="00442EF6">
        <w:rPr>
          <w:rFonts w:hint="cs"/>
          <w:rtl/>
        </w:rPr>
        <w:t xml:space="preserve">               </w:t>
      </w:r>
      <w:r w:rsidRPr="0042621E">
        <w:rPr>
          <w:rStyle w:val="libFootnote0Char"/>
          <w:rtl/>
        </w:rPr>
        <w:t>(5).</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w:t>
      </w:r>
      <w:r w:rsidR="00B60612" w:rsidRPr="00B60612">
        <w:rPr>
          <w:rStyle w:val="libFootnoteBoldChar"/>
          <w:rtl/>
        </w:rPr>
        <w:t>والتهذيب</w:t>
      </w:r>
      <w:r w:rsidR="00E3253D" w:rsidRPr="005D642E">
        <w:rPr>
          <w:rtl/>
        </w:rPr>
        <w:t xml:space="preserve"> ، ح 769 : « الحيضة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270 ، ح 796 ؛ </w:t>
      </w:r>
      <w:r w:rsidR="00E3253D" w:rsidRPr="00E678B5">
        <w:rPr>
          <w:rStyle w:val="libFootnoteBoldChar"/>
          <w:rtl/>
        </w:rPr>
        <w:t>والاستبصار</w:t>
      </w:r>
      <w:r w:rsidR="00E3253D" w:rsidRPr="005D642E">
        <w:rPr>
          <w:rtl/>
        </w:rPr>
        <w:t xml:space="preserve"> ، ج 1 ، ص 186 ، ح 652 ، بسندهما عن الحسن بن محبوب. وفي </w:t>
      </w:r>
      <w:r w:rsidR="00E3253D" w:rsidRPr="002F4D34">
        <w:rPr>
          <w:rStyle w:val="libFootnoteBoldChar"/>
          <w:rtl/>
        </w:rPr>
        <w:t>التهذيب</w:t>
      </w:r>
      <w:r w:rsidR="00E3253D" w:rsidRPr="005D642E">
        <w:rPr>
          <w:rtl/>
        </w:rPr>
        <w:t xml:space="preserve"> ، ج 1 ، ص 270 ، ح 795 ؛ </w:t>
      </w:r>
      <w:r w:rsidR="00E3253D" w:rsidRPr="00E678B5">
        <w:rPr>
          <w:rStyle w:val="libFootnoteBoldChar"/>
          <w:rtl/>
        </w:rPr>
        <w:t>والاستبصار</w:t>
      </w:r>
      <w:r w:rsidR="00E3253D" w:rsidRPr="005D642E">
        <w:rPr>
          <w:rtl/>
        </w:rPr>
        <w:t xml:space="preserve"> ، ج 1 ، ص 186 ، ح 649 </w:t>
      </w:r>
      <w:r w:rsidR="00E3253D">
        <w:rPr>
          <w:rtl/>
        </w:rPr>
        <w:t>و 6</w:t>
      </w:r>
      <w:r w:rsidR="00E3253D" w:rsidRPr="005D642E">
        <w:rPr>
          <w:rtl/>
        </w:rPr>
        <w:t xml:space="preserve">51 ، بسند آخر ، مع اختلاف. وفي </w:t>
      </w:r>
      <w:r w:rsidR="00E3253D" w:rsidRPr="002F4D34">
        <w:rPr>
          <w:rStyle w:val="libFootnoteBoldChar"/>
          <w:rtl/>
        </w:rPr>
        <w:t>التهذيب</w:t>
      </w:r>
      <w:r w:rsidR="00E3253D" w:rsidRPr="005D642E">
        <w:rPr>
          <w:rtl/>
        </w:rPr>
        <w:t xml:space="preserve"> ، ج 1 ، ص 269 ، ح 792 ؛ </w:t>
      </w:r>
      <w:r w:rsidR="00E3253D" w:rsidRPr="00E678B5">
        <w:rPr>
          <w:rStyle w:val="libFootnoteBoldChar"/>
          <w:rtl/>
        </w:rPr>
        <w:t>والاستبصار</w:t>
      </w:r>
      <w:r w:rsidR="00E3253D" w:rsidRPr="005D642E">
        <w:rPr>
          <w:rtl/>
        </w:rPr>
        <w:t xml:space="preserve"> ، ج 1 ، ص 185 ، ح 648 ، بسند آخر عن السجّاد ، عن </w:t>
      </w:r>
      <w:r w:rsidR="002C549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D0EEE">
        <w:rPr>
          <w:rtl/>
        </w:rPr>
        <w:lastRenderedPageBreak/>
        <w:t>4238</w:t>
      </w:r>
      <w:r w:rsidRPr="00246318">
        <w:rPr>
          <w:rStyle w:val="libBold2Char"/>
          <w:rtl/>
        </w:rPr>
        <w:t xml:space="preserve"> / 2.</w:t>
      </w:r>
      <w:r w:rsidRPr="005D642E">
        <w:rPr>
          <w:rtl/>
          <w:lang w:bidi="fa-IR"/>
        </w:rPr>
        <w:t xml:space="preserve"> عَلِيُّ بْنُ إِبْرَاهِيمَ ، عَنْ أَبِيهِ ، عَنِ ابْنِ أَبِي عُمَيْرٍ ، عَنْ عُقْبَةَ بْنِ مُحْرِزٍ ، عَنْ إِسْحَاقَ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الْحَائِضُ تُصَلِّي فِي ثَوْبِهَا مَا لَمْ يُصِبْهُ دَمٌ</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ED0EEE">
        <w:rPr>
          <w:rtl/>
        </w:rPr>
        <w:t>4239</w:t>
      </w:r>
      <w:r w:rsidRPr="00246318">
        <w:rPr>
          <w:rStyle w:val="libBold2Char"/>
          <w:rtl/>
        </w:rPr>
        <w:t xml:space="preserve"> / 3.</w:t>
      </w:r>
      <w:r w:rsidRPr="005D642E">
        <w:rPr>
          <w:rtl/>
          <w:lang w:bidi="fa-IR"/>
        </w:rPr>
        <w:t xml:space="preserve"> مُحَمَّدُ بْنُ يَحْيى ، عَنْ أَحْمَدَ بْنِ مُحَمَّدٍ ، عَنِ الْحُسَيْنِ بْنِ سَعِيدٍ ، عَنِ الْقَاسِمِ بْنِ مُحَمَّدٍ ، عَنْ عَلِيِّ بْنِ أَبِي حَمْزَةَ :</w:t>
      </w:r>
    </w:p>
    <w:p w:rsidR="00E3253D" w:rsidRPr="005D642E" w:rsidRDefault="00E3253D" w:rsidP="00E3253D">
      <w:pPr>
        <w:pStyle w:val="libNormal"/>
        <w:rPr>
          <w:rtl/>
          <w:lang w:bidi="fa-IR"/>
        </w:rPr>
      </w:pPr>
      <w:r w:rsidRPr="005D642E">
        <w:rPr>
          <w:rtl/>
          <w:lang w:bidi="fa-IR"/>
        </w:rPr>
        <w:t xml:space="preserve">عَنِ الْعَبْدِ الصَّالِحِ </w:t>
      </w:r>
      <w:r w:rsidRPr="00AC51C5">
        <w:rPr>
          <w:rStyle w:val="libAlaemChar"/>
          <w:rtl/>
        </w:rPr>
        <w:t>عليه‌السلام</w:t>
      </w:r>
      <w:r w:rsidRPr="005D642E">
        <w:rPr>
          <w:rtl/>
          <w:lang w:bidi="fa-IR"/>
        </w:rPr>
        <w:t xml:space="preserve"> ، قَالَ : سَأَلَتْهُ أُمُّ وَلَدٍ لِأَبِيهِ ، فَقَالَتْ : جُعِلْتُ فِدَاكَ ، إِنِّي أُرِيدُ أَنْ</w:t>
      </w:r>
      <w:r w:rsidRPr="00ED0EEE">
        <w:t xml:space="preserve"> </w:t>
      </w:r>
      <w:r w:rsidRPr="005D642E">
        <w:rPr>
          <w:rtl/>
          <w:lang w:bidi="fa-IR"/>
        </w:rPr>
        <w:t xml:space="preserve">أَسْأَلَكَ عَنْ شَيْ‌ءٍ وَأَنَا </w:t>
      </w:r>
      <w:r w:rsidRPr="007C12DB">
        <w:rPr>
          <w:rStyle w:val="libFootnotenumChar"/>
          <w:rtl/>
        </w:rPr>
        <w:t>(2)</w:t>
      </w:r>
      <w:r w:rsidRPr="005D642E">
        <w:rPr>
          <w:rtl/>
          <w:lang w:bidi="fa-IR"/>
        </w:rPr>
        <w:t xml:space="preserve"> أَسْتَحْيِي مِنْهُ </w:t>
      </w:r>
      <w:r w:rsidRPr="007C12DB">
        <w:rPr>
          <w:rStyle w:val="libFootnotenumChar"/>
          <w:rtl/>
        </w:rPr>
        <w:t>(3)</w:t>
      </w:r>
      <w:r w:rsidRPr="005D642E">
        <w:rPr>
          <w:rtl/>
          <w:lang w:bidi="fa-IR"/>
        </w:rPr>
        <w:t xml:space="preserve"> ، فَقَالَ </w:t>
      </w:r>
      <w:r w:rsidRPr="007C12DB">
        <w:rPr>
          <w:rStyle w:val="libFootnotenumChar"/>
          <w:rtl/>
        </w:rPr>
        <w:t>(4)</w:t>
      </w:r>
      <w:r w:rsidRPr="005D642E">
        <w:rPr>
          <w:rtl/>
          <w:lang w:bidi="fa-IR"/>
        </w:rPr>
        <w:t xml:space="preserve"> : « سَلِي </w:t>
      </w:r>
      <w:r w:rsidRPr="007C12DB">
        <w:rPr>
          <w:rStyle w:val="libFootnotenumChar"/>
          <w:rtl/>
        </w:rPr>
        <w:t>(5)</w:t>
      </w:r>
      <w:r w:rsidRPr="005D642E">
        <w:rPr>
          <w:rtl/>
          <w:lang w:bidi="fa-IR"/>
        </w:rPr>
        <w:t xml:space="preserve"> ، وَلَاتَسْتَحْيِي » قَالَتْ </w:t>
      </w:r>
      <w:r w:rsidRPr="007C12DB">
        <w:rPr>
          <w:rStyle w:val="libFootnotenumChar"/>
          <w:rtl/>
        </w:rPr>
        <w:t>(6)</w:t>
      </w:r>
      <w:r w:rsidRPr="005D642E">
        <w:rPr>
          <w:rtl/>
          <w:lang w:bidi="fa-IR"/>
        </w:rPr>
        <w:t xml:space="preserve"> : أَصَابَ ثَوْبِي دَمُ الْحَيْضِ ، فَغَسَلْتُهُ </w:t>
      </w:r>
      <w:r w:rsidRPr="007C12DB">
        <w:rPr>
          <w:rStyle w:val="libFootnotenumChar"/>
          <w:rtl/>
        </w:rPr>
        <w:t>(7)</w:t>
      </w:r>
      <w:r w:rsidRPr="005D642E">
        <w:rPr>
          <w:rtl/>
          <w:lang w:bidi="fa-IR"/>
        </w:rPr>
        <w:t xml:space="preserve"> ، فَلَمْ يَذْهَبْ </w:t>
      </w:r>
      <w:r w:rsidRPr="007C12DB">
        <w:rPr>
          <w:rStyle w:val="libFootnotenumChar"/>
          <w:rtl/>
        </w:rPr>
        <w:t>(8)</w:t>
      </w:r>
      <w:r w:rsidRPr="005D642E">
        <w:rPr>
          <w:rtl/>
          <w:lang w:bidi="fa-IR"/>
        </w:rPr>
        <w:t xml:space="preserve"> أَثَرُهُ</w:t>
      </w:r>
      <w:r>
        <w:rPr>
          <w:rtl/>
          <w:lang w:bidi="fa-IR"/>
        </w:rPr>
        <w:t>؟</w:t>
      </w:r>
    </w:p>
    <w:p w:rsidR="00E3253D" w:rsidRPr="005D642E" w:rsidRDefault="00E3253D" w:rsidP="00E3253D">
      <w:pPr>
        <w:pStyle w:val="libNormal"/>
        <w:rPr>
          <w:rtl/>
          <w:lang w:bidi="fa-IR"/>
        </w:rPr>
      </w:pPr>
      <w:r w:rsidRPr="005D642E">
        <w:rPr>
          <w:rtl/>
          <w:lang w:bidi="fa-IR"/>
        </w:rPr>
        <w:t xml:space="preserve">فَقَالَ : « اصْبَغِيهِ بِمِشْقٍ </w:t>
      </w:r>
      <w:r w:rsidRPr="007C12DB">
        <w:rPr>
          <w:rStyle w:val="libFootnotenumChar"/>
          <w:rtl/>
        </w:rPr>
        <w:t>(9)</w:t>
      </w:r>
      <w:r w:rsidRPr="005D642E">
        <w:rPr>
          <w:rtl/>
          <w:lang w:bidi="fa-IR"/>
        </w:rPr>
        <w:t xml:space="preserve"> حَتّى يَخْتَلِطَ وَيَذْهَبَ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9A7766" w:rsidP="00E3253D">
      <w:pPr>
        <w:pStyle w:val="libFootnote0"/>
        <w:rPr>
          <w:rtl/>
          <w:lang w:bidi="fa-IR"/>
        </w:rPr>
      </w:pPr>
      <w:r>
        <w:rPr>
          <w:rFonts w:hint="cs"/>
          <w:rtl/>
        </w:rPr>
        <w:t xml:space="preserve">= </w:t>
      </w:r>
      <w:r w:rsidR="00E3253D" w:rsidRPr="005D642E">
        <w:rPr>
          <w:rtl/>
        </w:rPr>
        <w:t xml:space="preserve">آبائه </w:t>
      </w:r>
      <w:r w:rsidR="00E3253D" w:rsidRPr="004F5DCA">
        <w:rPr>
          <w:rStyle w:val="libFootnoteAlaemChar"/>
          <w:rtl/>
        </w:rPr>
        <w:t>عليهم‌السلام</w:t>
      </w:r>
      <w:r w:rsidR="00E3253D" w:rsidRPr="005D642E">
        <w:rPr>
          <w:rtl/>
        </w:rPr>
        <w:t xml:space="preserve"> عن رسول الله </w:t>
      </w:r>
      <w:r w:rsidR="0042621E" w:rsidRPr="004F5DCA">
        <w:rPr>
          <w:rStyle w:val="libFootnoteAlaemChar"/>
          <w:rtl/>
        </w:rPr>
        <w:t>صلى‌الله‌عليه‌وآله</w:t>
      </w:r>
      <w:r w:rsidR="00E3253D" w:rsidRPr="005D642E">
        <w:rPr>
          <w:rtl/>
        </w:rPr>
        <w:t xml:space="preserve"> ، وتمام الرواية فيهما هكذا : « إنّ العرق ليس من الحيض</w:t>
      </w:r>
      <w:r w:rsidR="00E3253D">
        <w:rPr>
          <w:rtl/>
        </w:rPr>
        <w:t xml:space="preserve"> ».</w:t>
      </w:r>
      <w:r w:rsidR="00E3253D" w:rsidRPr="005D642E">
        <w:rPr>
          <w:rtl/>
        </w:rPr>
        <w:t xml:space="preserve"> </w:t>
      </w:r>
      <w:r w:rsidR="00E3253D" w:rsidRPr="002F4D34">
        <w:rPr>
          <w:rStyle w:val="libFootnoteBoldChar"/>
          <w:rtl/>
        </w:rPr>
        <w:t>الفقيه</w:t>
      </w:r>
      <w:r w:rsidR="00E3253D" w:rsidRPr="005D642E">
        <w:rPr>
          <w:rtl/>
        </w:rPr>
        <w:t xml:space="preserve"> ، ج 1 ، ص 94 ، ذيل ح 199 ، مع اختلاف. وراجع : </w:t>
      </w:r>
      <w:r w:rsidR="00E3253D" w:rsidRPr="002F4D34">
        <w:rPr>
          <w:rStyle w:val="libFootnoteBoldChar"/>
          <w:rtl/>
        </w:rPr>
        <w:t>الجعفريّات</w:t>
      </w:r>
      <w:r w:rsidR="00E3253D" w:rsidRPr="005D642E">
        <w:rPr>
          <w:rtl/>
        </w:rPr>
        <w:t xml:space="preserve"> ، ص 11 </w:t>
      </w:r>
      <w:r w:rsidR="004F5DCA">
        <w:rPr>
          <w:rFonts w:hint="cs"/>
          <w:rtl/>
        </w:rPr>
        <w:t>.</w:t>
      </w:r>
      <w:r w:rsidR="00E3253D" w:rsidRPr="002F4D34">
        <w:rPr>
          <w:rStyle w:val="libFootnoteBoldChar"/>
          <w:rtl/>
        </w:rPr>
        <w:t>الوافي</w:t>
      </w:r>
      <w:r w:rsidR="00E3253D" w:rsidRPr="005D642E">
        <w:rPr>
          <w:rtl/>
        </w:rPr>
        <w:t xml:space="preserve"> ، ج 6 ، ص 173 ، ح 4029 ؛ </w:t>
      </w:r>
      <w:r w:rsidR="00E3253D" w:rsidRPr="002F4D34">
        <w:rPr>
          <w:rStyle w:val="libFootnoteBoldChar"/>
          <w:rtl/>
        </w:rPr>
        <w:t>الوسائل</w:t>
      </w:r>
      <w:r w:rsidR="00E3253D" w:rsidRPr="005D642E">
        <w:rPr>
          <w:rtl/>
        </w:rPr>
        <w:t xml:space="preserve"> ، ج 3 ، ص 449 ، ح 4138.</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6 ، ص 173 ، ح 4030 ؛ </w:t>
      </w:r>
      <w:r w:rsidR="00E3253D" w:rsidRPr="002F4D34">
        <w:rPr>
          <w:rStyle w:val="libFootnoteBoldChar"/>
          <w:rtl/>
        </w:rPr>
        <w:t>الوسائل</w:t>
      </w:r>
      <w:r w:rsidR="00E3253D" w:rsidRPr="005D642E">
        <w:rPr>
          <w:rtl/>
        </w:rPr>
        <w:t xml:space="preserve"> ، ج 3 ، ص 449 ، ح 4140.</w:t>
      </w:r>
    </w:p>
    <w:tbl>
      <w:tblPr>
        <w:tblStyle w:val="TableGrid"/>
        <w:bidiVisual/>
        <w:tblW w:w="0" w:type="auto"/>
        <w:tblLook w:val="04A0" w:firstRow="1" w:lastRow="0" w:firstColumn="1" w:lastColumn="0" w:noHBand="0" w:noVBand="1"/>
      </w:tblPr>
      <w:tblGrid>
        <w:gridCol w:w="4006"/>
        <w:gridCol w:w="4006"/>
      </w:tblGrid>
      <w:tr w:rsidR="00D30424" w:rsidTr="00D30424">
        <w:tc>
          <w:tcPr>
            <w:tcW w:w="4006" w:type="dxa"/>
          </w:tcPr>
          <w:p w:rsidR="00D30424" w:rsidRDefault="00D30424" w:rsidP="00E3253D">
            <w:pPr>
              <w:pStyle w:val="libFootnote0"/>
              <w:rPr>
                <w:rStyle w:val="libFootnote0Char"/>
                <w:rtl/>
              </w:rPr>
            </w:pPr>
            <w:r w:rsidRPr="0042621E">
              <w:rPr>
                <w:rStyle w:val="libFootnote0Char"/>
                <w:rtl/>
              </w:rPr>
              <w:t>(2).</w:t>
            </w:r>
            <w:r w:rsidRPr="005D642E">
              <w:rPr>
                <w:rtl/>
              </w:rPr>
              <w:t xml:space="preserve"> في « جح » : « وإنّما</w:t>
            </w:r>
            <w:r>
              <w:rPr>
                <w:rtl/>
              </w:rPr>
              <w:t xml:space="preserve"> ».</w:t>
            </w:r>
          </w:p>
        </w:tc>
        <w:tc>
          <w:tcPr>
            <w:tcW w:w="4006" w:type="dxa"/>
          </w:tcPr>
          <w:p w:rsidR="00D30424" w:rsidRDefault="00D30424" w:rsidP="00E3253D">
            <w:pPr>
              <w:pStyle w:val="libFootnote0"/>
              <w:rPr>
                <w:rStyle w:val="libFootnote0Char"/>
                <w:rtl/>
              </w:rPr>
            </w:pPr>
            <w:r w:rsidRPr="0042621E">
              <w:rPr>
                <w:rStyle w:val="libFootnote0Char"/>
                <w:rtl/>
              </w:rPr>
              <w:t>(3).</w:t>
            </w:r>
            <w:r w:rsidRPr="005D642E">
              <w:rPr>
                <w:rtl/>
              </w:rPr>
              <w:t xml:space="preserve"> في « بف » :</w:t>
            </w:r>
            <w:r>
              <w:rPr>
                <w:rtl/>
              </w:rPr>
              <w:t xml:space="preserve"> - </w:t>
            </w:r>
            <w:r w:rsidRPr="005D642E">
              <w:rPr>
                <w:rtl/>
              </w:rPr>
              <w:t>« منه</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ى ، بث ، بخ ، بس ، بف ، جن » والكافي ، ح 4091 </w:t>
      </w:r>
      <w:r w:rsidR="00B60612" w:rsidRPr="00B60612">
        <w:rPr>
          <w:rStyle w:val="libFootnoteBoldChar"/>
          <w:rtl/>
        </w:rPr>
        <w:t>والتهذيب</w:t>
      </w:r>
      <w:r w:rsidR="00E3253D" w:rsidRPr="005D642E">
        <w:rPr>
          <w:rtl/>
        </w:rPr>
        <w:t xml:space="preserve"> ، ح 800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ح 800 : « سليني</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 ح 4101 :</w:t>
      </w:r>
      <w:r w:rsidR="00E3253D">
        <w:rPr>
          <w:rtl/>
        </w:rPr>
        <w:t xml:space="preserve"> </w:t>
      </w:r>
      <w:r w:rsidR="007642BC">
        <w:rPr>
          <w:rtl/>
        </w:rPr>
        <w:t>-</w:t>
      </w:r>
      <w:r w:rsidR="00E3253D">
        <w:rPr>
          <w:rtl/>
        </w:rPr>
        <w:t xml:space="preserve"> </w:t>
      </w:r>
      <w:r w:rsidR="00E3253D" w:rsidRPr="005D642E">
        <w:rPr>
          <w:rtl/>
        </w:rPr>
        <w:t>« جعلت فداك</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لا تستحيي ، قالت</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34334" w:rsidTr="00334334">
        <w:tc>
          <w:tcPr>
            <w:tcW w:w="4006" w:type="dxa"/>
          </w:tcPr>
          <w:p w:rsidR="00334334" w:rsidRDefault="00334334" w:rsidP="00E3253D">
            <w:pPr>
              <w:pStyle w:val="libFootnote0"/>
              <w:rPr>
                <w:rStyle w:val="libFootnote0Char"/>
                <w:rtl/>
              </w:rPr>
            </w:pPr>
            <w:r w:rsidRPr="0042621E">
              <w:rPr>
                <w:rStyle w:val="libFootnote0Char"/>
                <w:rtl/>
              </w:rPr>
              <w:t>(7).</w:t>
            </w:r>
            <w:r w:rsidRPr="005D642E">
              <w:rPr>
                <w:rtl/>
              </w:rPr>
              <w:t xml:space="preserve"> في « جس » :</w:t>
            </w:r>
            <w:r>
              <w:rPr>
                <w:rtl/>
              </w:rPr>
              <w:t xml:space="preserve"> - </w:t>
            </w:r>
            <w:r w:rsidRPr="005D642E">
              <w:rPr>
                <w:rtl/>
              </w:rPr>
              <w:t>« فغسلته</w:t>
            </w:r>
            <w:r>
              <w:rPr>
                <w:rtl/>
              </w:rPr>
              <w:t xml:space="preserve"> ».</w:t>
            </w:r>
          </w:p>
        </w:tc>
        <w:tc>
          <w:tcPr>
            <w:tcW w:w="4006" w:type="dxa"/>
          </w:tcPr>
          <w:p w:rsidR="00334334" w:rsidRDefault="00334334" w:rsidP="00E3253D">
            <w:pPr>
              <w:pStyle w:val="libFootnote0"/>
              <w:rPr>
                <w:rStyle w:val="libFootnote0Char"/>
                <w:rtl/>
              </w:rPr>
            </w:pPr>
            <w:r w:rsidRPr="0042621E">
              <w:rPr>
                <w:rStyle w:val="libFootnote0Char"/>
                <w:rtl/>
              </w:rPr>
              <w:t>(8).</w:t>
            </w:r>
            <w:r w:rsidRPr="005D642E">
              <w:rPr>
                <w:rtl/>
              </w:rPr>
              <w:t xml:space="preserve"> في « بح ، جح » : « ولم يذهب</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بمشق</w:t>
      </w:r>
      <w:r w:rsidR="00E3253D">
        <w:rPr>
          <w:rtl/>
        </w:rPr>
        <w:t xml:space="preserve"> ».</w:t>
      </w:r>
      <w:r w:rsidR="00E3253D" w:rsidRPr="005D642E">
        <w:rPr>
          <w:rtl/>
        </w:rPr>
        <w:t xml:space="preserve"> والمِشْق : المَغْرَة ، وهي طين أحمر. </w:t>
      </w:r>
      <w:r w:rsidR="00E3253D" w:rsidRPr="002F4D34">
        <w:rPr>
          <w:rStyle w:val="libFootnoteBoldChar"/>
          <w:rtl/>
        </w:rPr>
        <w:t>المغرب</w:t>
      </w:r>
      <w:r w:rsidR="00E3253D" w:rsidRPr="005D642E">
        <w:rPr>
          <w:rtl/>
        </w:rPr>
        <w:t xml:space="preserve"> ، ص 430 ( مشق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 ح 800 : + « أثره</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13 ص 257 : « الظاهر أنّه لمّا لم يكن عبرة باللون بعد إزالة العين ويحصل من رؤية اللون أثر في النفس ، فلذا أمرها </w:t>
      </w:r>
      <w:r w:rsidR="00E3253D" w:rsidRPr="00AA57B4">
        <w:rPr>
          <w:rStyle w:val="libFootnoteAlaemChar"/>
          <w:rtl/>
        </w:rPr>
        <w:t>عليه‌السلام</w:t>
      </w:r>
      <w:r w:rsidR="00E3253D" w:rsidRPr="005D642E">
        <w:rPr>
          <w:rtl/>
        </w:rPr>
        <w:t xml:space="preserve"> بالصبغ ؛ لئلاّ تتميّز وترتفع استنكاف النفس ، ويحتمل أن يكون الصبغ بالمشق مؤثّراً في إزالة الدم ولونه ، لكنّه بعيد</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الثوب يصيبه الدم والمدّة ، ح 4091. وفي </w:t>
      </w:r>
      <w:r w:rsidR="00E3253D" w:rsidRPr="002F4D34">
        <w:rPr>
          <w:rStyle w:val="libFootnoteBoldChar"/>
          <w:rtl/>
        </w:rPr>
        <w:t>التهذيب</w:t>
      </w:r>
      <w:r w:rsidR="00E3253D" w:rsidRPr="005D642E">
        <w:rPr>
          <w:rtl/>
        </w:rPr>
        <w:t xml:space="preserve"> ، ج 1 ، ص 272 ، ح 800 ، بسنده عن الحسين بن سعيد. </w:t>
      </w:r>
      <w:r w:rsidR="00E3253D" w:rsidRPr="002F4D34">
        <w:rPr>
          <w:rStyle w:val="libFootnoteBoldChar"/>
          <w:rtl/>
        </w:rPr>
        <w:t>وفيه</w:t>
      </w:r>
      <w:r w:rsidR="00E3253D" w:rsidRPr="005D642E">
        <w:rPr>
          <w:rtl/>
        </w:rPr>
        <w:t xml:space="preserve"> أيضاً ، ص 257 ، ذيل ح 746 ، بسند آخر عن أبي جعفر وأبي عبدالله </w:t>
      </w:r>
      <w:r w:rsidR="00E3253D" w:rsidRPr="00AA57B4">
        <w:rPr>
          <w:rStyle w:val="libFootnoteAlaemChar"/>
          <w:rtl/>
        </w:rPr>
        <w:t>عليهما‌السلام</w:t>
      </w:r>
      <w:r w:rsidR="00E3253D" w:rsidRPr="005D642E">
        <w:rPr>
          <w:rtl/>
        </w:rPr>
        <w:t xml:space="preserve">. </w:t>
      </w:r>
      <w:r w:rsidR="00E3253D" w:rsidRPr="002F4D34">
        <w:rPr>
          <w:rStyle w:val="libFootnoteBoldChar"/>
          <w:rtl/>
        </w:rPr>
        <w:t>وفيه</w:t>
      </w:r>
      <w:r w:rsidR="00E3253D" w:rsidRPr="005D642E">
        <w:rPr>
          <w:rtl/>
        </w:rPr>
        <w:t xml:space="preserve"> ، ص 272 ، ح 801 ، بسند آخر عن أبي عبدالله </w:t>
      </w:r>
      <w:r w:rsidR="00E3253D" w:rsidRPr="00AA57B4">
        <w:rPr>
          <w:rStyle w:val="libFootnoteAlaemChar"/>
          <w:rtl/>
        </w:rPr>
        <w:t>عليه‌السلام</w:t>
      </w:r>
      <w:r w:rsidR="00E3253D" w:rsidRPr="005D642E">
        <w:rPr>
          <w:rtl/>
        </w:rPr>
        <w:t xml:space="preserve"> ، وفيهما من قوله : « أصاب ثوبي دم الحيض » مع اختلاف يسير </w:t>
      </w:r>
      <w:r w:rsidR="00AA57B4">
        <w:rPr>
          <w:rFonts w:hint="cs"/>
          <w:rtl/>
        </w:rPr>
        <w:t>.</w:t>
      </w:r>
      <w:r w:rsidR="00E3253D" w:rsidRPr="002F4D34">
        <w:rPr>
          <w:rStyle w:val="libFootnoteBoldChar"/>
          <w:rtl/>
        </w:rPr>
        <w:t>الوافي</w:t>
      </w:r>
      <w:r w:rsidR="00E3253D" w:rsidRPr="005D642E">
        <w:rPr>
          <w:rtl/>
        </w:rPr>
        <w:t xml:space="preserve"> ، ج 6 ، ص 184 ، ح 4058 ؛ </w:t>
      </w:r>
      <w:r w:rsidR="00E3253D" w:rsidRPr="002F4D34">
        <w:rPr>
          <w:rStyle w:val="libFootnoteBoldChar"/>
          <w:rtl/>
        </w:rPr>
        <w:t>الوسائل</w:t>
      </w:r>
      <w:r w:rsidR="00E3253D" w:rsidRPr="005D642E">
        <w:rPr>
          <w:rtl/>
        </w:rPr>
        <w:t xml:space="preserve"> ، ج 2 ، ص 369 ، ح 2389 ؛ وج 3 ، ص 439 ، ح 4101.</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249" w:name="_Toc344647293"/>
      <w:bookmarkStart w:id="250" w:name="_Toc462226808"/>
      <w:bookmarkStart w:id="251" w:name="_Toc40975916"/>
      <w:r w:rsidRPr="005D642E">
        <w:rPr>
          <w:rtl/>
          <w:lang w:bidi="fa-IR"/>
        </w:rPr>
        <w:lastRenderedPageBreak/>
        <w:t>25</w:t>
      </w:r>
      <w:r>
        <w:rPr>
          <w:rtl/>
          <w:lang w:bidi="fa-IR"/>
        </w:rPr>
        <w:t xml:space="preserve"> </w:t>
      </w:r>
      <w:r w:rsidR="007642BC">
        <w:rPr>
          <w:rtl/>
          <w:lang w:bidi="fa-IR"/>
        </w:rPr>
        <w:t>-</w:t>
      </w:r>
      <w:r>
        <w:rPr>
          <w:rtl/>
          <w:lang w:bidi="fa-IR"/>
        </w:rPr>
        <w:t xml:space="preserve"> </w:t>
      </w:r>
      <w:r w:rsidRPr="005D642E">
        <w:rPr>
          <w:rtl/>
          <w:lang w:bidi="fa-IR"/>
        </w:rPr>
        <w:t xml:space="preserve">بَابُ الْحَائِضِ تَتَنَاوَلُ </w:t>
      </w:r>
      <w:r w:rsidRPr="007C12DB">
        <w:rPr>
          <w:rStyle w:val="libFootnotenumChar"/>
          <w:rtl/>
        </w:rPr>
        <w:t>(1)</w:t>
      </w:r>
      <w:r>
        <w:rPr>
          <w:rtl/>
        </w:rPr>
        <w:t xml:space="preserve"> </w:t>
      </w:r>
      <w:r w:rsidRPr="005D642E">
        <w:rPr>
          <w:rtl/>
          <w:lang w:bidi="fa-IR"/>
        </w:rPr>
        <w:t xml:space="preserve">الْخُمْرَةَ </w:t>
      </w:r>
      <w:r w:rsidRPr="007C12DB">
        <w:rPr>
          <w:rStyle w:val="libFootnotenumChar"/>
          <w:rtl/>
        </w:rPr>
        <w:t>(2)</w:t>
      </w:r>
      <w:r>
        <w:rPr>
          <w:rtl/>
        </w:rPr>
        <w:t xml:space="preserve"> </w:t>
      </w:r>
      <w:r w:rsidRPr="005D642E">
        <w:rPr>
          <w:rtl/>
          <w:lang w:bidi="fa-IR"/>
        </w:rPr>
        <w:t>أَوِ الْمَاءَ‌</w:t>
      </w:r>
      <w:bookmarkEnd w:id="249"/>
      <w:bookmarkEnd w:id="250"/>
      <w:bookmarkEnd w:id="251"/>
    </w:p>
    <w:p w:rsidR="00E3253D" w:rsidRPr="005D642E" w:rsidRDefault="00E3253D" w:rsidP="00E3253D">
      <w:pPr>
        <w:pStyle w:val="libNormal"/>
        <w:rPr>
          <w:rtl/>
          <w:lang w:bidi="fa-IR"/>
        </w:rPr>
      </w:pPr>
      <w:r w:rsidRPr="00ED0EEE">
        <w:rPr>
          <w:rtl/>
        </w:rPr>
        <w:t>4240</w:t>
      </w:r>
      <w:r w:rsidRPr="00246318">
        <w:rPr>
          <w:rStyle w:val="libBold2Char"/>
          <w:rtl/>
        </w:rPr>
        <w:t xml:space="preserve"> / 1.</w:t>
      </w:r>
      <w:r w:rsidRPr="005D642E">
        <w:rPr>
          <w:rtl/>
          <w:lang w:bidi="fa-IR"/>
        </w:rPr>
        <w:t xml:space="preserve"> مُحَمَّدُ بْنُ إِسْمَاعِيلَ ، عَنِ الْفَضْلِ بْنِ شَاذَانَ ، عَنِ ابْنِ أَبِي عُمَيْرٍ ، عَنْ مُعَاوِيَةَ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الْحَائِضِ تُنَاوِلُ الرَّجُلَ الْمَاءَ</w:t>
      </w:r>
      <w:r>
        <w:rPr>
          <w:rtl/>
          <w:lang w:bidi="fa-IR"/>
        </w:rPr>
        <w:t>؟</w:t>
      </w:r>
    </w:p>
    <w:p w:rsidR="00E3253D" w:rsidRPr="005D642E" w:rsidRDefault="00E3253D" w:rsidP="00E3253D">
      <w:pPr>
        <w:pStyle w:val="libNormal"/>
        <w:rPr>
          <w:rtl/>
          <w:lang w:bidi="fa-IR"/>
        </w:rPr>
      </w:pPr>
      <w:r w:rsidRPr="005D642E">
        <w:rPr>
          <w:rtl/>
          <w:lang w:bidi="fa-IR"/>
        </w:rPr>
        <w:t xml:space="preserve">فَقَالَ : « قَدْ كَانَ بَعْضُ نِسَاءِ النَّبِيِّ </w:t>
      </w:r>
      <w:r w:rsidR="0042621E" w:rsidRPr="0042621E">
        <w:rPr>
          <w:rStyle w:val="libAlaemChar"/>
          <w:rtl/>
        </w:rPr>
        <w:t>صلى‌الله‌عليه‌وآله</w:t>
      </w:r>
      <w:r w:rsidRPr="005D642E">
        <w:rPr>
          <w:rtl/>
          <w:lang w:bidi="fa-IR"/>
        </w:rPr>
        <w:t xml:space="preserve"> تَسْكُبُ </w:t>
      </w:r>
      <w:r w:rsidRPr="007C12DB">
        <w:rPr>
          <w:rStyle w:val="libFootnotenumChar"/>
          <w:rtl/>
        </w:rPr>
        <w:t>(3)</w:t>
      </w:r>
      <w:r w:rsidRPr="005D642E">
        <w:rPr>
          <w:rtl/>
          <w:lang w:bidi="fa-IR"/>
        </w:rPr>
        <w:t xml:space="preserve"> عَلَيْهِ الْمَاءَ وَهِيَ حَائِضٌ ، وَتُنَاوِلُهُ الْخُمْرَةَ</w:t>
      </w:r>
      <w:r>
        <w:rPr>
          <w:rtl/>
          <w:lang w:bidi="fa-IR"/>
        </w:rPr>
        <w:t>».</w:t>
      </w:r>
      <w:r w:rsidRPr="005D642E">
        <w:rPr>
          <w:rtl/>
          <w:lang w:bidi="fa-IR"/>
        </w:rPr>
        <w:t xml:space="preserve"> </w:t>
      </w:r>
      <w:r w:rsidRPr="007C12DB">
        <w:rPr>
          <w:rStyle w:val="libFootnotenumChar"/>
          <w:rtl/>
        </w:rPr>
        <w:t>(4)</w:t>
      </w:r>
      <w:r w:rsidRPr="005D642E">
        <w:rPr>
          <w:rtl/>
          <w:lang w:bidi="fa-IR"/>
        </w:rPr>
        <w:t xml:space="preserve"> ‌</w:t>
      </w:r>
    </w:p>
    <w:p w:rsidR="00E3253D" w:rsidRDefault="00E3253D" w:rsidP="00E3253D">
      <w:pPr>
        <w:pStyle w:val="libCenter"/>
        <w:rPr>
          <w:lang w:bidi="fa-IR"/>
        </w:rPr>
      </w:pPr>
      <w:r w:rsidRPr="005D642E">
        <w:rPr>
          <w:rtl/>
          <w:lang w:bidi="fa-IR"/>
        </w:rPr>
        <w:t>تَمَّ كِتَابُ الْحَيْضِ مِنْ كِتَابِ الْكَافِي ؛ وَالْحَمْدُ لِلّهِ رَبِّ الْعَالَمِينَ ،</w:t>
      </w:r>
    </w:p>
    <w:p w:rsidR="00E3253D" w:rsidRPr="005D642E" w:rsidRDefault="00E3253D" w:rsidP="00E3253D">
      <w:pPr>
        <w:pStyle w:val="libCenter"/>
        <w:rPr>
          <w:rtl/>
          <w:lang w:bidi="fa-IR"/>
        </w:rPr>
      </w:pPr>
      <w:r w:rsidRPr="005D642E">
        <w:rPr>
          <w:rtl/>
          <w:lang w:bidi="fa-IR"/>
        </w:rPr>
        <w:t xml:space="preserve">وَصَلَّى اللهُ عَلى مُحَمَّدٍ وَآلِهِ. </w:t>
      </w:r>
      <w:r w:rsidRPr="007C12DB">
        <w:rPr>
          <w:rStyle w:val="libFootnotenumChar"/>
          <w:rtl/>
        </w:rPr>
        <w:t>(5)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ى ، بث » : « تناول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قال الجوهري : « الخُمْرَةُ</w:t>
      </w:r>
      <w:r w:rsidR="00E3253D">
        <w:rPr>
          <w:rtl/>
        </w:rPr>
        <w:t xml:space="preserve"> </w:t>
      </w:r>
      <w:r w:rsidR="007642BC">
        <w:rPr>
          <w:rtl/>
        </w:rPr>
        <w:t>-</w:t>
      </w:r>
      <w:r w:rsidR="00E3253D">
        <w:rPr>
          <w:rtl/>
        </w:rPr>
        <w:t xml:space="preserve"> </w:t>
      </w:r>
      <w:r w:rsidR="00E3253D" w:rsidRPr="005D642E">
        <w:rPr>
          <w:rtl/>
        </w:rPr>
        <w:t>بالضمّ</w:t>
      </w:r>
      <w:r w:rsidR="00E3253D">
        <w:rPr>
          <w:rtl/>
        </w:rPr>
        <w:t xml:space="preserve"> </w:t>
      </w:r>
      <w:r w:rsidR="007642BC">
        <w:rPr>
          <w:rtl/>
        </w:rPr>
        <w:t>-</w:t>
      </w:r>
      <w:r w:rsidR="00E3253D">
        <w:rPr>
          <w:rtl/>
        </w:rPr>
        <w:t xml:space="preserve"> </w:t>
      </w:r>
      <w:r w:rsidR="00E3253D" w:rsidRPr="005D642E">
        <w:rPr>
          <w:rtl/>
        </w:rPr>
        <w:t>سجّادة تُعمَل من سَعَف النخل وتُرمَل بالخيوط</w:t>
      </w:r>
      <w:r w:rsidR="00E3253D">
        <w:rPr>
          <w:rtl/>
        </w:rPr>
        <w:t xml:space="preserve"> ».</w:t>
      </w:r>
      <w:r w:rsidR="00E3253D" w:rsidRPr="005D642E">
        <w:rPr>
          <w:rtl/>
        </w:rPr>
        <w:t xml:space="preserve"> وقال ابن الأثير : « الخمرة : هي ما يضع الرجل عليه وجهه في سجوده من حصير أو نسيجة خوص ونحو ذ</w:t>
      </w:r>
      <w:r w:rsidR="00AA57B4">
        <w:rPr>
          <w:rtl/>
        </w:rPr>
        <w:t>لك من النبات ، ولاتكون خمرة إل</w:t>
      </w:r>
      <w:r w:rsidR="00AA57B4">
        <w:rPr>
          <w:rFonts w:hint="cs"/>
          <w:rtl/>
        </w:rPr>
        <w:t>ّ</w:t>
      </w:r>
      <w:r w:rsidR="00AA57B4">
        <w:rPr>
          <w:rtl/>
        </w:rPr>
        <w:t>ا</w:t>
      </w:r>
      <w:r w:rsidR="00E3253D" w:rsidRPr="005D642E">
        <w:rPr>
          <w:rtl/>
        </w:rPr>
        <w:t>في هذا المقدار ، وسمّيت خمرة لأنّ خيوطها مستورة بسَعَفها</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649 ؛ </w:t>
      </w:r>
      <w:r w:rsidR="00E3253D" w:rsidRPr="002F4D34">
        <w:rPr>
          <w:rStyle w:val="libFootnoteBoldChar"/>
          <w:rtl/>
        </w:rPr>
        <w:t>النهاية</w:t>
      </w:r>
      <w:r w:rsidR="00E3253D" w:rsidRPr="005D642E">
        <w:rPr>
          <w:rtl/>
        </w:rPr>
        <w:t xml:space="preserve"> ، ج 2 ، ص 77 ( خمر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تسكب » أي تصبّ. راجع : </w:t>
      </w:r>
      <w:r w:rsidR="00E3253D" w:rsidRPr="002F4D34">
        <w:rPr>
          <w:rStyle w:val="libFootnoteBoldChar"/>
          <w:rtl/>
        </w:rPr>
        <w:t>الصحاح</w:t>
      </w:r>
      <w:r w:rsidR="00E3253D" w:rsidRPr="005D642E">
        <w:rPr>
          <w:rtl/>
        </w:rPr>
        <w:t xml:space="preserve"> ، ج 1 ، ص 148 ( سكب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397 ، ح 1238 ، معلّقاً عن محمّد بن إسماعيل. </w:t>
      </w:r>
      <w:r w:rsidR="00E3253D" w:rsidRPr="002F4D34">
        <w:rPr>
          <w:rStyle w:val="libFootnoteBoldChar"/>
          <w:rtl/>
        </w:rPr>
        <w:t>المحاسن</w:t>
      </w:r>
      <w:r w:rsidR="00E3253D" w:rsidRPr="005D642E">
        <w:rPr>
          <w:rtl/>
        </w:rPr>
        <w:t xml:space="preserve"> ، ص 317 ، كتاب العلل ، ح 41 ، بسند آخر عن أبي جعفر </w:t>
      </w:r>
      <w:r w:rsidR="00E3253D" w:rsidRPr="00AA57B4">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67 ، ح 154 ، مرسلاً عن رسول الله </w:t>
      </w:r>
      <w:r w:rsidRPr="00AA57B4">
        <w:rPr>
          <w:rStyle w:val="libFootnoteAlaemChar"/>
          <w:rtl/>
        </w:rPr>
        <w:t>صلى‌الله‌عليه‌وآله</w:t>
      </w:r>
      <w:r w:rsidR="00E3253D" w:rsidRPr="005D642E">
        <w:rPr>
          <w:rtl/>
        </w:rPr>
        <w:t xml:space="preserve"> ، وفيهما مع اختلاف </w:t>
      </w:r>
      <w:r w:rsidR="008C35F7">
        <w:rPr>
          <w:rFonts w:hint="cs"/>
          <w:rtl/>
        </w:rPr>
        <w:t>.</w:t>
      </w:r>
      <w:r w:rsidR="00E3253D" w:rsidRPr="002F4D34">
        <w:rPr>
          <w:rStyle w:val="libFootnoteBoldChar"/>
          <w:rtl/>
        </w:rPr>
        <w:t>الوافي</w:t>
      </w:r>
      <w:r w:rsidR="00E3253D" w:rsidRPr="005D642E">
        <w:rPr>
          <w:rtl/>
        </w:rPr>
        <w:t xml:space="preserve"> ، ج 6 ، ص 489 ، ح 4760 ؛ </w:t>
      </w:r>
      <w:r w:rsidR="00E3253D" w:rsidRPr="002F4D34">
        <w:rPr>
          <w:rStyle w:val="libFootnoteBoldChar"/>
          <w:rtl/>
        </w:rPr>
        <w:t>الوسائل</w:t>
      </w:r>
      <w:r w:rsidR="00E3253D" w:rsidRPr="005D642E">
        <w:rPr>
          <w:rtl/>
        </w:rPr>
        <w:t xml:space="preserve"> ، ج 2 ، ص 356 ، ح 2353.</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النسخ بدل « تمّ الكتاب الحيض</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محمّد وآله » عبارات مختلفة.</w:t>
      </w:r>
    </w:p>
    <w:p w:rsidR="00E3253D" w:rsidRDefault="00E3253D" w:rsidP="00E3253D">
      <w:pPr>
        <w:pStyle w:val="libNormal"/>
        <w:rPr>
          <w:rtl/>
          <w:lang w:bidi="fa-IR"/>
        </w:rPr>
      </w:pPr>
      <w:r>
        <w:rPr>
          <w:rtl/>
          <w:lang w:bidi="fa-IR"/>
        </w:rPr>
        <w:br w:type="page"/>
      </w:r>
    </w:p>
    <w:p w:rsidR="00E3253D" w:rsidRDefault="00E3253D" w:rsidP="00E3253D">
      <w:pPr>
        <w:pStyle w:val="libNormal"/>
        <w:rPr>
          <w:rtl/>
          <w:lang w:bidi="fa-IR"/>
        </w:rPr>
      </w:pPr>
      <w:r>
        <w:rPr>
          <w:rtl/>
          <w:lang w:bidi="fa-IR"/>
        </w:rPr>
        <w:lastRenderedPageBreak/>
        <w:br w:type="page"/>
      </w:r>
    </w:p>
    <w:p w:rsidR="00E3253D" w:rsidRPr="008E429E" w:rsidRDefault="00E3253D" w:rsidP="00973936">
      <w:pPr>
        <w:pStyle w:val="Heading1Center"/>
      </w:pPr>
      <w:bookmarkStart w:id="252" w:name="_Toc344647294"/>
      <w:bookmarkStart w:id="253" w:name="_Toc40975917"/>
      <w:r w:rsidRPr="00973936">
        <w:rPr>
          <w:rtl/>
        </w:rPr>
        <w:lastRenderedPageBreak/>
        <w:t>(11)</w:t>
      </w:r>
      <w:bookmarkEnd w:id="252"/>
      <w:bookmarkEnd w:id="253"/>
    </w:p>
    <w:p w:rsidR="00E3253D" w:rsidRPr="00973936" w:rsidRDefault="00E3253D" w:rsidP="00973936">
      <w:pPr>
        <w:pStyle w:val="Heading1Center"/>
        <w:rPr>
          <w:rtl/>
        </w:rPr>
      </w:pPr>
      <w:bookmarkStart w:id="254" w:name="_Toc344647295"/>
      <w:bookmarkStart w:id="255" w:name="_Toc462226809"/>
      <w:bookmarkStart w:id="256" w:name="_Toc40975918"/>
      <w:r w:rsidRPr="00973936">
        <w:rPr>
          <w:rtl/>
        </w:rPr>
        <w:t>كتاب الجنائز‌</w:t>
      </w:r>
      <w:bookmarkEnd w:id="254"/>
      <w:bookmarkEnd w:id="255"/>
      <w:bookmarkEnd w:id="256"/>
    </w:p>
    <w:p w:rsidR="00E3253D" w:rsidRDefault="00E3253D" w:rsidP="00E3253D">
      <w:pPr>
        <w:pStyle w:val="libNormal"/>
        <w:rPr>
          <w:rtl/>
          <w:lang w:bidi="fa-IR"/>
        </w:rPr>
      </w:pPr>
      <w:r>
        <w:rPr>
          <w:rtl/>
          <w:lang w:bidi="fa-IR"/>
        </w:rPr>
        <w:br w:type="page"/>
      </w:r>
    </w:p>
    <w:p w:rsidR="00E3253D" w:rsidRDefault="00E3253D" w:rsidP="00E3253D">
      <w:pPr>
        <w:pStyle w:val="libNormal"/>
        <w:rPr>
          <w:rtl/>
          <w:lang w:bidi="fa-IR"/>
        </w:rPr>
      </w:pPr>
      <w:r>
        <w:rPr>
          <w:rtl/>
          <w:lang w:bidi="fa-IR"/>
        </w:rPr>
        <w:lastRenderedPageBreak/>
        <w:br w:type="page"/>
      </w:r>
    </w:p>
    <w:p w:rsidR="00E3253D" w:rsidRPr="005D642E" w:rsidRDefault="00E3253D" w:rsidP="00E3253D">
      <w:pPr>
        <w:pStyle w:val="libCenter"/>
        <w:rPr>
          <w:rtl/>
          <w:lang w:bidi="fa-IR"/>
        </w:rPr>
      </w:pPr>
      <w:r w:rsidRPr="00246318">
        <w:rPr>
          <w:rStyle w:val="libBold2Char"/>
          <w:rtl/>
        </w:rPr>
        <w:lastRenderedPageBreak/>
        <w:t>بِسْمِ اللهِ الرَّحْمنِ الرَّحِيمِ</w:t>
      </w:r>
      <w:r w:rsidRPr="005D642E">
        <w:rPr>
          <w:rtl/>
          <w:lang w:bidi="fa-IR"/>
        </w:rPr>
        <w:t xml:space="preserve"> </w:t>
      </w:r>
      <w:r w:rsidRPr="007C12DB">
        <w:rPr>
          <w:rStyle w:val="libFootnotenumChar"/>
          <w:rtl/>
        </w:rPr>
        <w:t>(1)</w:t>
      </w:r>
      <w:r w:rsidRPr="005D642E">
        <w:rPr>
          <w:rtl/>
          <w:lang w:bidi="fa-IR"/>
        </w:rPr>
        <w:t xml:space="preserve"> ‌</w:t>
      </w:r>
    </w:p>
    <w:p w:rsidR="00E3253D" w:rsidRDefault="00E3253D" w:rsidP="00E3253D">
      <w:pPr>
        <w:pStyle w:val="libCenterBold1"/>
        <w:rPr>
          <w:lang w:bidi="fa-IR"/>
        </w:rPr>
      </w:pPr>
      <w:r w:rsidRPr="005D642E">
        <w:rPr>
          <w:rtl/>
          <w:lang w:bidi="fa-IR"/>
        </w:rPr>
        <w:t>[11]</w:t>
      </w:r>
    </w:p>
    <w:p w:rsidR="00E3253D" w:rsidRPr="005D642E" w:rsidRDefault="00E3253D" w:rsidP="00E3253D">
      <w:pPr>
        <w:pStyle w:val="libCenterBold1"/>
        <w:rPr>
          <w:rtl/>
          <w:lang w:bidi="fa-IR"/>
        </w:rPr>
      </w:pPr>
      <w:r w:rsidRPr="005D642E">
        <w:rPr>
          <w:rtl/>
          <w:lang w:bidi="fa-IR"/>
        </w:rPr>
        <w:t xml:space="preserve">كِتَابُ الْجَنَائِزِ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257" w:name="_Toc344647296"/>
      <w:bookmarkStart w:id="258" w:name="_Toc462226810"/>
      <w:bookmarkStart w:id="259" w:name="_Toc40975919"/>
      <w:r w:rsidRPr="005D642E">
        <w:rPr>
          <w:rtl/>
          <w:lang w:bidi="fa-IR"/>
        </w:rPr>
        <w:t>1</w:t>
      </w:r>
      <w:r>
        <w:rPr>
          <w:rtl/>
          <w:lang w:bidi="fa-IR"/>
        </w:rPr>
        <w:t xml:space="preserve"> </w:t>
      </w:r>
      <w:r w:rsidR="007642BC">
        <w:rPr>
          <w:rtl/>
          <w:lang w:bidi="fa-IR"/>
        </w:rPr>
        <w:t>-</w:t>
      </w:r>
      <w:r>
        <w:rPr>
          <w:rtl/>
          <w:lang w:bidi="fa-IR"/>
        </w:rPr>
        <w:t xml:space="preserve"> </w:t>
      </w:r>
      <w:r w:rsidRPr="005D642E">
        <w:rPr>
          <w:rtl/>
          <w:lang w:bidi="fa-IR"/>
        </w:rPr>
        <w:t xml:space="preserve">بَابُ </w:t>
      </w:r>
      <w:r w:rsidRPr="007C12DB">
        <w:rPr>
          <w:rStyle w:val="libFootnotenumChar"/>
          <w:rtl/>
        </w:rPr>
        <w:t>(3)</w:t>
      </w:r>
      <w:r>
        <w:rPr>
          <w:rtl/>
        </w:rPr>
        <w:t xml:space="preserve"> </w:t>
      </w:r>
      <w:r w:rsidRPr="005D642E">
        <w:rPr>
          <w:rtl/>
          <w:lang w:bidi="fa-IR"/>
        </w:rPr>
        <w:t xml:space="preserve">عِلَلِ الْمَوْتِ وَأَنَّ الْمُؤْمِنَ يَمُوتُ بِكُلِّ مِيتَةٍ </w:t>
      </w:r>
      <w:r w:rsidRPr="007C12DB">
        <w:rPr>
          <w:rStyle w:val="libFootnotenumChar"/>
          <w:rtl/>
        </w:rPr>
        <w:t>(4)</w:t>
      </w:r>
      <w:r w:rsidRPr="005D642E">
        <w:rPr>
          <w:rtl/>
          <w:lang w:bidi="fa-IR"/>
        </w:rPr>
        <w:t xml:space="preserve"> ‌</w:t>
      </w:r>
      <w:bookmarkEnd w:id="257"/>
      <w:bookmarkEnd w:id="258"/>
      <w:bookmarkEnd w:id="259"/>
    </w:p>
    <w:p w:rsidR="00E3253D" w:rsidRPr="005D642E" w:rsidRDefault="00E3253D" w:rsidP="00E3253D">
      <w:pPr>
        <w:pStyle w:val="libNormal"/>
        <w:rPr>
          <w:rtl/>
          <w:lang w:bidi="fa-IR"/>
        </w:rPr>
      </w:pPr>
      <w:r w:rsidRPr="00EC0DA7">
        <w:rPr>
          <w:rtl/>
        </w:rPr>
        <w:t>4241</w:t>
      </w:r>
      <w:r w:rsidRPr="00246318">
        <w:rPr>
          <w:rStyle w:val="libBold2Char"/>
          <w:rtl/>
        </w:rPr>
        <w:t xml:space="preserve"> / 1.</w:t>
      </w:r>
      <w:r w:rsidRPr="005D642E">
        <w:rPr>
          <w:rtl/>
          <w:lang w:bidi="fa-IR"/>
        </w:rPr>
        <w:t xml:space="preserve"> عَلِيُّ بْنُ إِبْرَاهِيمَ ، عَنْ أَبِيهِ ، عَنِ ابْنِ فَضَّالٍ ، عَمَّنْ حَدَّثَهُ ، عَنْ سَعْدِ بْنِ طَرِيفٍ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كَانَ النَّاسُ يَعْتَبِطُونَ اعْتِبَاطاً </w:t>
      </w:r>
      <w:r w:rsidRPr="007C12DB">
        <w:rPr>
          <w:rStyle w:val="libFootnotenumChar"/>
          <w:rtl/>
        </w:rPr>
        <w:t>(6)</w:t>
      </w:r>
      <w:r w:rsidRPr="005D642E">
        <w:rPr>
          <w:rtl/>
          <w:lang w:bidi="fa-IR"/>
        </w:rPr>
        <w:t xml:space="preserve"> ، فَلَمَّا كَانَ زَمَانُ إِبْرَاهِيمَ </w:t>
      </w:r>
      <w:r w:rsidRPr="00AC51C5">
        <w:rPr>
          <w:rStyle w:val="libAlaemChar"/>
          <w:rtl/>
        </w:rPr>
        <w:t>عليه‌السلام</w:t>
      </w:r>
      <w:r w:rsidRPr="005D642E">
        <w:rPr>
          <w:rtl/>
          <w:lang w:bidi="fa-IR"/>
        </w:rPr>
        <w:t xml:space="preserve"> ، قَالَ : يَا رَبِّ ، اجْعَلْ لِلْمَوْتِ عِلَّةً يُؤْجَرُ بِهَا الْمَيِّتُ ، وَيُسَلّى بِهَا </w:t>
      </w:r>
      <w:r w:rsidRPr="007C12DB">
        <w:rPr>
          <w:rStyle w:val="libFootnotenumChar"/>
          <w:rtl/>
        </w:rPr>
        <w:t>(7)</w:t>
      </w:r>
      <w:r w:rsidRPr="005D642E">
        <w:rPr>
          <w:rtl/>
          <w:lang w:bidi="fa-IR"/>
        </w:rPr>
        <w:t xml:space="preserve"> عَنِ الْمُصَابِ </w:t>
      </w:r>
      <w:r w:rsidRPr="007C12DB">
        <w:rPr>
          <w:rStyle w:val="libFootnotenumChar"/>
          <w:rtl/>
        </w:rPr>
        <w:t>(8)</w:t>
      </w:r>
      <w:r w:rsidRPr="005D642E">
        <w:rPr>
          <w:rtl/>
          <w:lang w:bidi="fa-IR"/>
        </w:rPr>
        <w:t xml:space="preserve"> » قَالَ </w:t>
      </w:r>
      <w:r w:rsidRPr="007C12DB">
        <w:rPr>
          <w:rStyle w:val="libFootnotenumChar"/>
          <w:rtl/>
        </w:rPr>
        <w:t>(9)</w:t>
      </w:r>
      <w:r w:rsidRPr="005D642E">
        <w:rPr>
          <w:rtl/>
          <w:lang w:bidi="fa-IR"/>
        </w:rPr>
        <w:t xml:space="preserve"> : « فَأَنْزَلَ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الْمُومَ </w:t>
      </w:r>
      <w:r w:rsidRPr="007C12DB">
        <w:rPr>
          <w:rStyle w:val="libFootnotenumChar"/>
          <w:rtl/>
        </w:rPr>
        <w:t>(10)</w:t>
      </w:r>
      <w:r w:rsidRPr="005D642E">
        <w:rPr>
          <w:rtl/>
          <w:lang w:bidi="fa-IR"/>
        </w:rPr>
        <w:t xml:space="preserve"> وَهُوَ الْبِرْسَامُ ، ثُمَّ‌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 + « وبه ثقتي</w:t>
      </w:r>
      <w:r w:rsidR="00E3253D">
        <w:rPr>
          <w:rtl/>
        </w:rPr>
        <w:t xml:space="preserve"> ».</w:t>
      </w:r>
      <w:r w:rsidR="00E3253D" w:rsidRPr="005D642E">
        <w:rPr>
          <w:rtl/>
        </w:rPr>
        <w:t xml:space="preserve"> وفي « غ ، بح » : + « وبه نستعين</w:t>
      </w:r>
      <w:r w:rsidR="00E3253D">
        <w:rPr>
          <w:rtl/>
        </w:rPr>
        <w:t xml:space="preserve"> ».</w:t>
      </w:r>
      <w:r w:rsidR="00E3253D" w:rsidRPr="005D642E">
        <w:rPr>
          <w:rtl/>
        </w:rPr>
        <w:t xml:space="preserve"> وفي « بس » : + « ربّ وفّق ويسّر لإتمامه بالعجلة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262BC9" w:rsidTr="00262BC9">
        <w:tc>
          <w:tcPr>
            <w:tcW w:w="4006" w:type="dxa"/>
          </w:tcPr>
          <w:p w:rsidR="00262BC9" w:rsidRDefault="00262BC9" w:rsidP="00E3253D">
            <w:pPr>
              <w:pStyle w:val="libFootnote0"/>
              <w:rPr>
                <w:rStyle w:val="libFootnote0Char"/>
                <w:rtl/>
              </w:rPr>
            </w:pPr>
            <w:r w:rsidRPr="0042621E">
              <w:rPr>
                <w:rStyle w:val="libFootnote0Char"/>
                <w:rtl/>
              </w:rPr>
              <w:t>(2).</w:t>
            </w:r>
            <w:r w:rsidRPr="005D642E">
              <w:rPr>
                <w:rtl/>
              </w:rPr>
              <w:t xml:space="preserve"> في « بس ، جس » :</w:t>
            </w:r>
            <w:r>
              <w:rPr>
                <w:rtl/>
              </w:rPr>
              <w:t xml:space="preserve"> - </w:t>
            </w:r>
            <w:r w:rsidRPr="005D642E">
              <w:rPr>
                <w:rtl/>
              </w:rPr>
              <w:t>« كتاب الجنائز</w:t>
            </w:r>
            <w:r>
              <w:rPr>
                <w:rtl/>
              </w:rPr>
              <w:t xml:space="preserve"> ».</w:t>
            </w:r>
          </w:p>
        </w:tc>
        <w:tc>
          <w:tcPr>
            <w:tcW w:w="4006" w:type="dxa"/>
          </w:tcPr>
          <w:p w:rsidR="00262BC9" w:rsidRDefault="00262BC9" w:rsidP="00E3253D">
            <w:pPr>
              <w:pStyle w:val="libFootnote0"/>
              <w:rPr>
                <w:rStyle w:val="libFootnote0Char"/>
                <w:rtl/>
              </w:rPr>
            </w:pPr>
            <w:r w:rsidRPr="0042621E">
              <w:rPr>
                <w:rStyle w:val="libFootnote0Char"/>
                <w:rtl/>
              </w:rPr>
              <w:t>(3).</w:t>
            </w:r>
            <w:r w:rsidRPr="005D642E">
              <w:rPr>
                <w:rtl/>
              </w:rPr>
              <w:t xml:space="preserve"> في « جس » : « كتاب</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الميتة » : الحال من أحوال الموت ، كالجِلسة والرِكبة ، يقال : مات فلان ميتة حسنة ، أي كما يموت الشهداء. راجع : </w:t>
      </w:r>
      <w:r w:rsidR="00E3253D" w:rsidRPr="002F4D34">
        <w:rPr>
          <w:rStyle w:val="libFootnoteBoldChar"/>
          <w:rtl/>
        </w:rPr>
        <w:t>لسان العرب</w:t>
      </w:r>
      <w:r w:rsidR="00E3253D" w:rsidRPr="005D642E">
        <w:rPr>
          <w:rtl/>
        </w:rPr>
        <w:t xml:space="preserve"> ، ج 2 ، ص 92 ( ميت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البحار ، ج 12 : « ظريف</w:t>
      </w:r>
      <w:r w:rsidR="00E3253D">
        <w:rPr>
          <w:rtl/>
        </w:rPr>
        <w:t xml:space="preserve"> ».</w:t>
      </w:r>
      <w:r w:rsidR="00E3253D" w:rsidRPr="005D642E">
        <w:rPr>
          <w:rtl/>
        </w:rPr>
        <w:t xml:space="preserve"> وهو سهو ، كما تقدّم في </w:t>
      </w:r>
      <w:r w:rsidR="00E3253D" w:rsidRPr="002F4D34">
        <w:rPr>
          <w:rStyle w:val="libFootnoteBoldChar"/>
          <w:rtl/>
        </w:rPr>
        <w:t>الكافي</w:t>
      </w:r>
      <w:r w:rsidR="00E3253D" w:rsidRPr="005D642E">
        <w:rPr>
          <w:rtl/>
        </w:rPr>
        <w:t xml:space="preserve"> ، ذيل ح 2 ، فلاحظ.</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الاعتباط » : الموت بلا علّة. </w:t>
      </w:r>
      <w:r w:rsidR="00E3253D" w:rsidRPr="002F4D34">
        <w:rPr>
          <w:rStyle w:val="libFootnoteBoldChar"/>
          <w:rtl/>
        </w:rPr>
        <w:t>النهاية</w:t>
      </w:r>
      <w:r w:rsidR="00E3253D" w:rsidRPr="005D642E">
        <w:rPr>
          <w:rtl/>
        </w:rPr>
        <w:t xml:space="preserve"> ، ج 3 ، ص 17 ؛ </w:t>
      </w:r>
      <w:r w:rsidR="00E3253D" w:rsidRPr="002F4D34">
        <w:rPr>
          <w:rStyle w:val="libFootnoteBoldChar"/>
          <w:rtl/>
        </w:rPr>
        <w:t>لسان العرب</w:t>
      </w:r>
      <w:r w:rsidR="00E3253D" w:rsidRPr="005D642E">
        <w:rPr>
          <w:rtl/>
        </w:rPr>
        <w:t xml:space="preserve"> ، ج 7 ، ص 347 ( عبط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يُسلّى بها </w:t>
      </w:r>
      <w:r w:rsidR="007850CE">
        <w:rPr>
          <w:rtl/>
        </w:rPr>
        <w:t>» ، أي يُكْشَف بها ، يقال : سل</w:t>
      </w:r>
      <w:r w:rsidR="007850CE">
        <w:rPr>
          <w:rFonts w:hint="cs"/>
          <w:rtl/>
        </w:rPr>
        <w:t>ّ</w:t>
      </w:r>
      <w:r w:rsidR="007850CE">
        <w:rPr>
          <w:rtl/>
        </w:rPr>
        <w:t>ا</w:t>
      </w:r>
      <w:r w:rsidR="00E3253D" w:rsidRPr="005D642E">
        <w:rPr>
          <w:rtl/>
        </w:rPr>
        <w:t xml:space="preserve">ني فلان من همّي تسلية وأسلاني ، أي كشفه عنّي ، وانسلى عنه الغمّ‌وتسلّى بمعنى ، أي الكشف. راجع : </w:t>
      </w:r>
      <w:r w:rsidR="00E3253D" w:rsidRPr="002F4D34">
        <w:rPr>
          <w:rStyle w:val="libFootnoteBoldChar"/>
          <w:rtl/>
        </w:rPr>
        <w:t>الصحاح</w:t>
      </w:r>
      <w:r w:rsidR="00E3253D" w:rsidRPr="005D642E">
        <w:rPr>
          <w:rtl/>
        </w:rPr>
        <w:t xml:space="preserve"> ، ج 6 ، ص 2381 ( سلا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سلاه وسلا عنه كدعا ، وسليه وسلي عنه كرضي : نسيه ، والمصاب : مفعول من المصيبة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439F3" w:rsidTr="00A439F3">
        <w:tc>
          <w:tcPr>
            <w:tcW w:w="4006" w:type="dxa"/>
          </w:tcPr>
          <w:p w:rsidR="00A439F3" w:rsidRDefault="00A439F3" w:rsidP="00E3253D">
            <w:pPr>
              <w:pStyle w:val="libFootnote0"/>
              <w:rPr>
                <w:rStyle w:val="libFootnote0Char"/>
                <w:rtl/>
              </w:rPr>
            </w:pPr>
            <w:r w:rsidRPr="0042621E">
              <w:rPr>
                <w:rStyle w:val="libFootnote0Char"/>
                <w:rtl/>
              </w:rPr>
              <w:t>(8).</w:t>
            </w:r>
            <w:r w:rsidRPr="005D642E">
              <w:rPr>
                <w:rtl/>
              </w:rPr>
              <w:t xml:space="preserve"> في « ى » والبحار ، ج 12 : « المصائب</w:t>
            </w:r>
            <w:r>
              <w:rPr>
                <w:rtl/>
              </w:rPr>
              <w:t xml:space="preserve"> ».</w:t>
            </w:r>
          </w:p>
        </w:tc>
        <w:tc>
          <w:tcPr>
            <w:tcW w:w="4006" w:type="dxa"/>
          </w:tcPr>
          <w:p w:rsidR="00A439F3" w:rsidRDefault="00A439F3" w:rsidP="00E3253D">
            <w:pPr>
              <w:pStyle w:val="libFootnote0"/>
              <w:rPr>
                <w:rStyle w:val="libFootnote0Char"/>
                <w:rtl/>
              </w:rPr>
            </w:pPr>
            <w:r w:rsidRPr="0042621E">
              <w:rPr>
                <w:rStyle w:val="libFootnote0Char"/>
                <w:rtl/>
              </w:rPr>
              <w:t>(9).</w:t>
            </w:r>
            <w:r w:rsidRPr="005D642E">
              <w:rPr>
                <w:rtl/>
              </w:rPr>
              <w:t xml:space="preserve"> في « ى » :</w:t>
            </w:r>
            <w:r>
              <w:rPr>
                <w:rtl/>
              </w:rPr>
              <w:t xml:space="preserve"> - </w:t>
            </w:r>
            <w:r w:rsidRPr="005D642E">
              <w:rPr>
                <w:rtl/>
              </w:rPr>
              <w:t>« قال</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الموم » : هو البِرْسام مع الحمّى ، والبرسام : علّة يهذى فيها ، أي يتكلّم بغير معقول. راجع : </w:t>
      </w:r>
      <w:r w:rsidR="00E3253D" w:rsidRPr="002F4D34">
        <w:rPr>
          <w:rStyle w:val="libFootnoteBoldChar"/>
          <w:rtl/>
        </w:rPr>
        <w:t>النهاية</w:t>
      </w:r>
      <w:r w:rsidR="00E3253D" w:rsidRPr="005D642E">
        <w:rPr>
          <w:rtl/>
        </w:rPr>
        <w:t xml:space="preserve"> ، </w:t>
      </w:r>
      <w:r w:rsidR="000838D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أَنْزَلَ </w:t>
      </w:r>
      <w:r w:rsidRPr="007C12DB">
        <w:rPr>
          <w:rStyle w:val="libFootnotenumChar"/>
          <w:rtl/>
        </w:rPr>
        <w:t>(1)</w:t>
      </w:r>
      <w:r w:rsidRPr="005D642E">
        <w:rPr>
          <w:rtl/>
          <w:lang w:bidi="fa-IR"/>
        </w:rPr>
        <w:t xml:space="preserve"> بَعْدَهُ الدَّاءَ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EC0DA7">
        <w:rPr>
          <w:rtl/>
        </w:rPr>
        <w:t>4242</w:t>
      </w:r>
      <w:r w:rsidRPr="00246318">
        <w:rPr>
          <w:rStyle w:val="libBold2Char"/>
          <w:rtl/>
        </w:rPr>
        <w:t xml:space="preserve"> / 2.</w:t>
      </w:r>
      <w:r w:rsidRPr="005D642E">
        <w:rPr>
          <w:rtl/>
          <w:lang w:bidi="fa-IR"/>
        </w:rPr>
        <w:t xml:space="preserve"> مُحَمَّدُ بْنُ يَحْيى ، عَنْ أَحْمَدَ بْنِ مُحَمَّدِ بْنِ عِيسى ، عَنِ ابْنِ فَضَّالٍ ، عَنْ عَاصِمِ بْنِ حُمَيْدٍ ، عَنْ سَعْدِ بْنِ طَرِيفٍ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كَانَ النَّاسُ يَعْتَبِطُونَ اعْتِبَاطاً ، فَقَالَ إِبْرَاهِيمُ </w:t>
      </w:r>
      <w:r w:rsidRPr="00AC51C5">
        <w:rPr>
          <w:rStyle w:val="libAlaemChar"/>
          <w:rtl/>
        </w:rPr>
        <w:t>عليه‌السلام</w:t>
      </w:r>
      <w:r w:rsidRPr="005D642E">
        <w:rPr>
          <w:rtl/>
          <w:lang w:bidi="fa-IR"/>
        </w:rPr>
        <w:t xml:space="preserve"> : يَا رَبِّ </w:t>
      </w:r>
      <w:r w:rsidRPr="007C12DB">
        <w:rPr>
          <w:rStyle w:val="libFootnotenumChar"/>
          <w:rtl/>
        </w:rPr>
        <w:t>(5)</w:t>
      </w:r>
      <w:r w:rsidRPr="005D642E">
        <w:rPr>
          <w:rtl/>
          <w:lang w:bidi="fa-IR"/>
        </w:rPr>
        <w:t xml:space="preserve"> ، لَوْ جَعَلْتَ لِلْمَوْتِ عِلَّةً يُعْرَفُ بِهَا ، وَيُسَلّى </w:t>
      </w:r>
      <w:r w:rsidRPr="007C12DB">
        <w:rPr>
          <w:rStyle w:val="libFootnotenumChar"/>
          <w:rtl/>
        </w:rPr>
        <w:t>(6)</w:t>
      </w:r>
      <w:r w:rsidRPr="005D642E">
        <w:rPr>
          <w:rtl/>
          <w:lang w:bidi="fa-IR"/>
        </w:rPr>
        <w:t xml:space="preserve"> عَنِ الْمُصَابِ ، فَأَنْزَلَ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الْمُومَ وَهُوَ الْبِرْسَامُ ، ثُمَّ أَنْزَلَ </w:t>
      </w:r>
      <w:r w:rsidRPr="007C12DB">
        <w:rPr>
          <w:rStyle w:val="libFootnotenumChar"/>
          <w:rtl/>
        </w:rPr>
        <w:t>(7)</w:t>
      </w:r>
      <w:r w:rsidRPr="005D642E">
        <w:rPr>
          <w:rtl/>
          <w:lang w:bidi="fa-IR"/>
        </w:rPr>
        <w:t xml:space="preserve"> الدَّاءَ بَعْدَهُ</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EC0DA7">
        <w:rPr>
          <w:rtl/>
        </w:rPr>
        <w:t>4243</w:t>
      </w:r>
      <w:r w:rsidRPr="00246318">
        <w:rPr>
          <w:rStyle w:val="libBold2Char"/>
          <w:rtl/>
        </w:rPr>
        <w:t xml:space="preserve"> / 3.</w:t>
      </w:r>
      <w:r w:rsidRPr="005D642E">
        <w:rPr>
          <w:rtl/>
          <w:lang w:bidi="fa-IR"/>
        </w:rPr>
        <w:t xml:space="preserve"> مُحَمَّدٌ ، عَنْ أَحْمَدَ بْنِ مُحَمَّدٍ ، عَنْ مُحَمَّدِ بْنِ إِسْمَاعِيلَ ، عَنْ سَعْدَانَ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سَمِعْتُهُ يَقُولُ : « الْحُمّى رَائِدُ </w:t>
      </w:r>
      <w:r w:rsidRPr="007C12DB">
        <w:rPr>
          <w:rStyle w:val="libFootnotenumChar"/>
          <w:rtl/>
        </w:rPr>
        <w:t>(9)</w:t>
      </w:r>
      <w:r w:rsidRPr="005D642E">
        <w:rPr>
          <w:rtl/>
          <w:lang w:bidi="fa-IR"/>
        </w:rPr>
        <w:t xml:space="preserve"> الْمَوْتِ ، وَهُوَ </w:t>
      </w:r>
      <w:r w:rsidRPr="007C12DB">
        <w:rPr>
          <w:rStyle w:val="libFootnotenumChar"/>
          <w:rtl/>
        </w:rPr>
        <w:t>(10)</w:t>
      </w:r>
      <w:r w:rsidRPr="005D642E">
        <w:rPr>
          <w:rtl/>
          <w:lang w:bidi="fa-IR"/>
        </w:rPr>
        <w:t xml:space="preserve"> سِجْنُ اللهِ فِي الْأَرْضِ ، وَهُوَ </w:t>
      </w:r>
      <w:r w:rsidRPr="007C12DB">
        <w:rPr>
          <w:rStyle w:val="libFootnotenumChar"/>
          <w:rtl/>
        </w:rPr>
        <w:t>(11)</w:t>
      </w:r>
      <w:r w:rsidRPr="005D642E">
        <w:rPr>
          <w:rtl/>
          <w:lang w:bidi="fa-IR"/>
        </w:rPr>
        <w:t xml:space="preserve"> حَظُّ </w:t>
      </w:r>
      <w:r w:rsidRPr="007C12DB">
        <w:rPr>
          <w:rStyle w:val="libFootnotenumChar"/>
          <w:rtl/>
        </w:rPr>
        <w:t>(12)</w:t>
      </w:r>
      <w:r w:rsidRPr="005D642E">
        <w:rPr>
          <w:rtl/>
          <w:lang w:bidi="fa-IR"/>
        </w:rPr>
        <w:t xml:space="preserve"> الْمُؤْمِنِ مِنَ النَّارِ</w:t>
      </w:r>
      <w:r>
        <w:rPr>
          <w:rtl/>
          <w:lang w:bidi="fa-IR"/>
        </w:rPr>
        <w:t xml:space="preserve"> ».</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974AA0" w:rsidP="00E3253D">
      <w:pPr>
        <w:pStyle w:val="libFootnote0"/>
        <w:rPr>
          <w:rtl/>
          <w:lang w:bidi="fa-IR"/>
        </w:rPr>
      </w:pPr>
      <w:r>
        <w:rPr>
          <w:rFonts w:hint="cs"/>
          <w:rtl/>
        </w:rPr>
        <w:t xml:space="preserve">= </w:t>
      </w:r>
      <w:r w:rsidR="00E3253D" w:rsidRPr="005D642E">
        <w:rPr>
          <w:rtl/>
        </w:rPr>
        <w:t xml:space="preserve">ج 4 ، ص 373 ( موم ) ؛ </w:t>
      </w:r>
      <w:r w:rsidR="00E3253D" w:rsidRPr="002F4D34">
        <w:rPr>
          <w:rStyle w:val="libFootnoteBoldChar"/>
          <w:rtl/>
        </w:rPr>
        <w:t>القاموس المحيط</w:t>
      </w:r>
      <w:r w:rsidR="00E3253D" w:rsidRPr="005D642E">
        <w:rPr>
          <w:rtl/>
        </w:rPr>
        <w:t xml:space="preserve"> ، ج 2 ، ص 1424 ( برسم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بس » : + «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جن » : « الداء بعده</w:t>
      </w:r>
      <w:r w:rsidR="00E3253D">
        <w:rPr>
          <w:rtl/>
        </w:rPr>
        <w:t xml:space="preserve"> ».</w:t>
      </w:r>
      <w:r w:rsidR="00E3253D" w:rsidRPr="005D642E">
        <w:rPr>
          <w:rtl/>
        </w:rPr>
        <w:t xml:space="preserve"> وفي « جس » : « بعد الداء » ، وقوله </w:t>
      </w:r>
      <w:r w:rsidR="00E3253D" w:rsidRPr="008E429E">
        <w:rPr>
          <w:rStyle w:val="libFootnoteAlaemChar"/>
          <w:rtl/>
        </w:rPr>
        <w:t>عليه‌السلام</w:t>
      </w:r>
      <w:r w:rsidR="00E3253D" w:rsidRPr="005D642E">
        <w:rPr>
          <w:rtl/>
        </w:rPr>
        <w:t xml:space="preserve"> : « بعده الداء » ، أي سائر أنواعه من الأمراض. راجع : </w:t>
      </w:r>
      <w:r w:rsidR="00E3253D" w:rsidRPr="002F4D34">
        <w:rPr>
          <w:rStyle w:val="libFootnoteBoldChar"/>
          <w:rtl/>
        </w:rPr>
        <w:t>الوافي</w:t>
      </w:r>
      <w:r w:rsidR="00E3253D" w:rsidRPr="005D642E">
        <w:rPr>
          <w:rtl/>
        </w:rPr>
        <w:t xml:space="preserve"> ، ج 24 ، ص 199 ؛ </w:t>
      </w:r>
      <w:r w:rsidR="00E3253D" w:rsidRPr="002F4D34">
        <w:rPr>
          <w:rStyle w:val="libFootnoteBoldChar"/>
          <w:rtl/>
        </w:rPr>
        <w:t>مرآة العقول</w:t>
      </w:r>
      <w:r w:rsidR="00E3253D" w:rsidRPr="005D642E">
        <w:rPr>
          <w:rtl/>
        </w:rPr>
        <w:t xml:space="preserve"> ، ج 13 ، ص 258.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24 ، ص 199 ، ح 23889 ؛ </w:t>
      </w:r>
      <w:r w:rsidR="00E3253D" w:rsidRPr="002F4D34">
        <w:rPr>
          <w:rStyle w:val="libFootnoteBoldChar"/>
          <w:rtl/>
        </w:rPr>
        <w:t>البحار</w:t>
      </w:r>
      <w:r w:rsidR="00E3253D" w:rsidRPr="005D642E">
        <w:rPr>
          <w:rtl/>
        </w:rPr>
        <w:t xml:space="preserve"> ، ج 12 ، ص 13 ، ح 41 ؛ وج 81 ، ص 189 ، ذيل ح 45.</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البحار ، ج 12 : « ظريف</w:t>
      </w:r>
      <w:r w:rsidR="00E3253D">
        <w:rPr>
          <w:rtl/>
        </w:rPr>
        <w:t xml:space="preserve"> ».</w:t>
      </w:r>
      <w:r w:rsidR="00E3253D" w:rsidRPr="005D642E">
        <w:rPr>
          <w:rtl/>
        </w:rPr>
        <w:t xml:space="preserve"> وهو سهو ، كما تقدّم آنفاً.</w:t>
      </w:r>
    </w:p>
    <w:tbl>
      <w:tblPr>
        <w:tblStyle w:val="TableGrid"/>
        <w:bidiVisual/>
        <w:tblW w:w="0" w:type="auto"/>
        <w:tblLook w:val="04A0" w:firstRow="1" w:lastRow="0" w:firstColumn="1" w:lastColumn="0" w:noHBand="0" w:noVBand="1"/>
      </w:tblPr>
      <w:tblGrid>
        <w:gridCol w:w="4006"/>
        <w:gridCol w:w="4006"/>
      </w:tblGrid>
      <w:tr w:rsidR="008E429E" w:rsidTr="008E429E">
        <w:tc>
          <w:tcPr>
            <w:tcW w:w="4006" w:type="dxa"/>
          </w:tcPr>
          <w:p w:rsidR="008E429E" w:rsidRDefault="008E429E" w:rsidP="00E3253D">
            <w:pPr>
              <w:pStyle w:val="libFootnote0"/>
              <w:rPr>
                <w:rStyle w:val="libFootnote0Char"/>
                <w:rtl/>
              </w:rPr>
            </w:pPr>
            <w:r w:rsidRPr="0042621E">
              <w:rPr>
                <w:rStyle w:val="libFootnote0Char"/>
                <w:rtl/>
              </w:rPr>
              <w:t>(5).</w:t>
            </w:r>
            <w:r w:rsidRPr="005D642E">
              <w:rPr>
                <w:rtl/>
              </w:rPr>
              <w:t xml:space="preserve"> في « بث » : + « يا ربّ</w:t>
            </w:r>
            <w:r>
              <w:rPr>
                <w:rtl/>
              </w:rPr>
              <w:t xml:space="preserve"> ».</w:t>
            </w:r>
          </w:p>
        </w:tc>
        <w:tc>
          <w:tcPr>
            <w:tcW w:w="4006" w:type="dxa"/>
          </w:tcPr>
          <w:p w:rsidR="008E429E" w:rsidRDefault="008E429E" w:rsidP="00E3253D">
            <w:pPr>
              <w:pStyle w:val="libFootnote0"/>
              <w:rPr>
                <w:rStyle w:val="libFootnote0Char"/>
                <w:rtl/>
              </w:rPr>
            </w:pPr>
            <w:r w:rsidRPr="0042621E">
              <w:rPr>
                <w:rStyle w:val="libFootnote0Char"/>
                <w:rtl/>
              </w:rPr>
              <w:t>(6).</w:t>
            </w:r>
            <w:r w:rsidRPr="005D642E">
              <w:rPr>
                <w:rtl/>
              </w:rPr>
              <w:t xml:space="preserve"> في « جس » : + « بها</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24 ، ص 199 ، ح 23890 ؛ </w:t>
      </w:r>
      <w:r w:rsidR="00E3253D" w:rsidRPr="002F4D34">
        <w:rPr>
          <w:rStyle w:val="libFootnoteBoldChar"/>
          <w:rtl/>
        </w:rPr>
        <w:t>البحار</w:t>
      </w:r>
      <w:r w:rsidR="00E3253D" w:rsidRPr="005D642E">
        <w:rPr>
          <w:rtl/>
        </w:rPr>
        <w:t xml:space="preserve"> ، ج 12 ، ص 13 ، ذيل ح 41 ؛ وج 81 ، ص 189 ، ذيل ح 45.</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الرائد » : الذي يُرسَل في طلب أرض الكلأ لل</w:t>
      </w:r>
      <w:r w:rsidR="006915B3">
        <w:rPr>
          <w:rtl/>
        </w:rPr>
        <w:t>نزول. قال العل</w:t>
      </w:r>
      <w:r w:rsidR="006915B3">
        <w:rPr>
          <w:rFonts w:hint="cs"/>
          <w:rtl/>
        </w:rPr>
        <w:t>ّ</w:t>
      </w:r>
      <w:r w:rsidR="006915B3">
        <w:rPr>
          <w:rtl/>
        </w:rPr>
        <w:t>ا</w:t>
      </w:r>
      <w:r w:rsidR="00E3253D" w:rsidRPr="005D642E">
        <w:rPr>
          <w:rtl/>
        </w:rPr>
        <w:t>مة المجلسي : « والمراد أنّها تأتي لتهيئة منزل‌الموت ولإعلام الناس بنزوله ، كما أنّ بقدوم الرائد يستدلّ الناس على قدوم القوم</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478 ( رود ) ؛ </w:t>
      </w:r>
      <w:r w:rsidR="00E3253D" w:rsidRPr="002F4D34">
        <w:rPr>
          <w:rStyle w:val="libFootnoteBoldChar"/>
          <w:rtl/>
        </w:rPr>
        <w:t>الوافي</w:t>
      </w:r>
      <w:r w:rsidR="00E3253D" w:rsidRPr="005D642E">
        <w:rPr>
          <w:rtl/>
        </w:rPr>
        <w:t xml:space="preserve"> ، ج 24 ، ص 200 ؛ </w:t>
      </w:r>
      <w:r w:rsidR="00E3253D" w:rsidRPr="002F4D34">
        <w:rPr>
          <w:rStyle w:val="libFootnoteBoldChar"/>
          <w:rtl/>
        </w:rPr>
        <w:t>مرآة العقول</w:t>
      </w:r>
      <w:r w:rsidR="00E3253D" w:rsidRPr="005D642E">
        <w:rPr>
          <w:rtl/>
        </w:rPr>
        <w:t xml:space="preserve"> ، ج 13 ، ص 259.</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ى ، بث ، بس ، بف ، جس ، جن » : « وهي</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 « فهي</w:t>
      </w:r>
      <w:r w:rsidR="00E3253D">
        <w:rPr>
          <w:rtl/>
        </w:rPr>
        <w:t xml:space="preserve"> ».</w:t>
      </w:r>
      <w:r w:rsidR="00E3253D" w:rsidRPr="005D642E">
        <w:rPr>
          <w:rtl/>
        </w:rPr>
        <w:t xml:space="preserve"> وفي « غ ، ى ، بح ، بس ، بف ، جح ، جس » : « وهي</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جس » : « حفظ</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الخصال</w:t>
      </w:r>
      <w:r w:rsidR="00E3253D" w:rsidRPr="005D642E">
        <w:rPr>
          <w:rtl/>
        </w:rPr>
        <w:t xml:space="preserve"> ، ص 620 ، أبواب الثمانين وما فوقه ، ضمن الحديث الطويل 10 ، بسند آخر عن أبي عبدالله ، </w:t>
      </w:r>
      <w:r w:rsidR="002A57B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C0DA7">
        <w:rPr>
          <w:rtl/>
        </w:rPr>
        <w:lastRenderedPageBreak/>
        <w:t>4244</w:t>
      </w:r>
      <w:r w:rsidRPr="00246318">
        <w:rPr>
          <w:rStyle w:val="libBold2Char"/>
          <w:rtl/>
        </w:rPr>
        <w:t xml:space="preserve"> / 4.</w:t>
      </w:r>
      <w:r w:rsidRPr="005D642E">
        <w:rPr>
          <w:rtl/>
          <w:lang w:bidi="fa-IR"/>
        </w:rPr>
        <w:t xml:space="preserve"> عَلِيُّ بْنُ إِبْرَاهِيمَ ، عَنْ أَبِيهِ ، عَنِ ابْنِ فَضَّالٍ ، عَنْ مُحَمَّدِ بْنِ الْحُصَيْنِ </w:t>
      </w:r>
      <w:r w:rsidRPr="007C12DB">
        <w:rPr>
          <w:rStyle w:val="libFootnotenumChar"/>
          <w:rtl/>
        </w:rPr>
        <w:t>(1)</w:t>
      </w:r>
      <w:r w:rsidRPr="005D642E">
        <w:rPr>
          <w:rtl/>
          <w:lang w:bidi="fa-IR"/>
        </w:rPr>
        <w:t xml:space="preserve"> ، عَنْ مُحَمَّدِ بْنِ الْفُضَيْلِ </w:t>
      </w:r>
      <w:r w:rsidRPr="007C12DB">
        <w:rPr>
          <w:rStyle w:val="libFootnotenumChar"/>
          <w:rtl/>
        </w:rPr>
        <w:t>(2)</w:t>
      </w:r>
      <w:r w:rsidRPr="005D642E">
        <w:rPr>
          <w:rtl/>
          <w:lang w:bidi="fa-IR"/>
        </w:rPr>
        <w:t xml:space="preserve"> ، عَنْ عَبْدِ الرَّحْمنِ بْنِ يَزِيدَ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مَاتَ دَاوُدُ النَّبِيُّ </w:t>
      </w:r>
      <w:r w:rsidRPr="00AC51C5">
        <w:rPr>
          <w:rStyle w:val="libAlaemChar"/>
          <w:rtl/>
        </w:rPr>
        <w:t>عليه‌السلام</w:t>
      </w:r>
      <w:r w:rsidRPr="005D642E">
        <w:rPr>
          <w:rtl/>
          <w:lang w:bidi="fa-IR"/>
        </w:rPr>
        <w:t xml:space="preserve"> يَوْمَ السَّبْتِ مَفْجُوءاً ، فَأَظَلَّتْهُ الطَّيْرُ </w:t>
      </w:r>
      <w:r w:rsidRPr="007C12DB">
        <w:rPr>
          <w:rStyle w:val="libFootnotenumChar"/>
          <w:rtl/>
        </w:rPr>
        <w:t>(4)</w:t>
      </w:r>
      <w:r w:rsidRPr="005D642E">
        <w:rPr>
          <w:rtl/>
          <w:lang w:bidi="fa-IR"/>
        </w:rPr>
        <w:t xml:space="preserve"> بِأَجْنِحَتِهَا ، وَمَاتَ مُوسى كَلِيمُ اللهِ </w:t>
      </w:r>
      <w:r w:rsidRPr="00AC51C5">
        <w:rPr>
          <w:rStyle w:val="libAlaemChar"/>
          <w:rtl/>
        </w:rPr>
        <w:t>عليه‌السلام</w:t>
      </w:r>
      <w:r w:rsidRPr="005D642E">
        <w:rPr>
          <w:rtl/>
          <w:lang w:bidi="fa-IR"/>
        </w:rPr>
        <w:t xml:space="preserve"> فِي التِّيهِ </w:t>
      </w:r>
      <w:r w:rsidRPr="007C12DB">
        <w:rPr>
          <w:rStyle w:val="libFootnotenumChar"/>
          <w:rtl/>
        </w:rPr>
        <w:t>(5)</w:t>
      </w:r>
      <w:r w:rsidRPr="005D642E">
        <w:rPr>
          <w:rtl/>
          <w:lang w:bidi="fa-IR"/>
        </w:rPr>
        <w:t xml:space="preserve"> ، فَصَاحَ صَائِحٌ مِنَ السَّمَاءِ : مَاتَ مُوسى </w:t>
      </w:r>
      <w:r w:rsidRPr="00AC51C5">
        <w:rPr>
          <w:rStyle w:val="libAlaemChar"/>
          <w:rtl/>
        </w:rPr>
        <w:t>عليه‌السلام</w:t>
      </w:r>
      <w:r w:rsidRPr="005D642E">
        <w:rPr>
          <w:rtl/>
          <w:lang w:bidi="fa-IR"/>
        </w:rPr>
        <w:t xml:space="preserve"> ، وَأَيُّ نَفْسٍ لَاتَمُوتُ</w:t>
      </w:r>
      <w:r>
        <w:rPr>
          <w:rtl/>
          <w:lang w:bidi="fa-IR"/>
        </w:rPr>
        <w:t>؟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646FFA" w:rsidP="00E3253D">
      <w:pPr>
        <w:pStyle w:val="libFootnote0"/>
        <w:rPr>
          <w:rtl/>
          <w:lang w:bidi="fa-IR"/>
        </w:rPr>
      </w:pPr>
      <w:r>
        <w:rPr>
          <w:rFonts w:hint="cs"/>
          <w:rtl/>
        </w:rPr>
        <w:t xml:space="preserve">= </w:t>
      </w:r>
      <w:r w:rsidR="00E3253D" w:rsidRPr="005D642E">
        <w:rPr>
          <w:rtl/>
        </w:rPr>
        <w:t xml:space="preserve">عن آبائه ، عن أميرالمؤمنين </w:t>
      </w:r>
      <w:r w:rsidR="00E3253D" w:rsidRPr="005271AB">
        <w:rPr>
          <w:rStyle w:val="libFootnoteAlaemChar"/>
          <w:rtl/>
        </w:rPr>
        <w:t>عليهم‌السلام</w:t>
      </w:r>
      <w:r w:rsidR="00E3253D" w:rsidRPr="005D642E">
        <w:rPr>
          <w:rtl/>
        </w:rPr>
        <w:t xml:space="preserve"> ؛ </w:t>
      </w:r>
      <w:r w:rsidR="00E3253D" w:rsidRPr="002F4D34">
        <w:rPr>
          <w:rStyle w:val="libFootnoteBoldChar"/>
          <w:rtl/>
        </w:rPr>
        <w:t>الجعفريّات</w:t>
      </w:r>
      <w:r w:rsidR="00E3253D" w:rsidRPr="005D642E">
        <w:rPr>
          <w:rtl/>
        </w:rPr>
        <w:t xml:space="preserve"> ، ص 250 ، بسند آخرعن النبيّ </w:t>
      </w:r>
      <w:r w:rsidR="0042621E" w:rsidRPr="005271AB">
        <w:rPr>
          <w:rStyle w:val="libFootnoteAlaemChar"/>
          <w:rtl/>
        </w:rPr>
        <w:t>صلى‌الله‌عليه‌وآله</w:t>
      </w:r>
      <w:r w:rsidR="00E3253D" w:rsidRPr="005D642E">
        <w:rPr>
          <w:rtl/>
        </w:rPr>
        <w:t xml:space="preserve">. </w:t>
      </w:r>
      <w:r w:rsidR="00E3253D" w:rsidRPr="002F4D34">
        <w:rPr>
          <w:rStyle w:val="libFootnoteBoldChar"/>
          <w:rtl/>
        </w:rPr>
        <w:t>تحف العقول</w:t>
      </w:r>
      <w:r w:rsidR="00E3253D" w:rsidRPr="005D642E">
        <w:rPr>
          <w:rtl/>
        </w:rPr>
        <w:t xml:space="preserve"> ، ص 110 ، عن أميرالمؤمنين </w:t>
      </w:r>
      <w:r w:rsidR="00E3253D" w:rsidRPr="005271AB">
        <w:rPr>
          <w:rStyle w:val="libFootnoteAlaemChar"/>
          <w:rtl/>
        </w:rPr>
        <w:t>عليه‌السلام</w:t>
      </w:r>
      <w:r w:rsidR="00E3253D" w:rsidRPr="005D642E">
        <w:rPr>
          <w:rtl/>
        </w:rPr>
        <w:t xml:space="preserve"> ، وفي كلّها إلى قوله : « وهو سجن الله في الأرض » مع زيادة في آخره. </w:t>
      </w:r>
      <w:r w:rsidR="00E3253D" w:rsidRPr="002F4D34">
        <w:rPr>
          <w:rStyle w:val="libFootnoteBoldChar"/>
          <w:rtl/>
        </w:rPr>
        <w:t>فقه</w:t>
      </w:r>
      <w:r w:rsidR="00E3253D" w:rsidRPr="005D642E">
        <w:rPr>
          <w:rtl/>
        </w:rPr>
        <w:t xml:space="preserve"> </w:t>
      </w:r>
      <w:r w:rsidR="00E3253D" w:rsidRPr="002F4D34">
        <w:rPr>
          <w:rStyle w:val="libFootnoteBoldChar"/>
          <w:rtl/>
        </w:rPr>
        <w:t>الرضا</w:t>
      </w:r>
      <w:r w:rsidR="00E3253D" w:rsidRPr="005D642E">
        <w:rPr>
          <w:rtl/>
        </w:rPr>
        <w:t xml:space="preserve"> </w:t>
      </w:r>
      <w:r w:rsidR="00E3253D" w:rsidRPr="005271AB">
        <w:rPr>
          <w:rStyle w:val="libFootnoteAlaemChar"/>
          <w:rtl/>
        </w:rPr>
        <w:t>عليه‌السلام</w:t>
      </w:r>
      <w:r w:rsidR="00E3253D" w:rsidRPr="005D642E">
        <w:rPr>
          <w:rtl/>
        </w:rPr>
        <w:t xml:space="preserve"> ، ص 341 ، وتمام الرواية فيه : « أنّها [ الحمى ] حظّ المؤمن من النّار » </w:t>
      </w:r>
      <w:r w:rsidR="005271AB">
        <w:rPr>
          <w:rFonts w:hint="cs"/>
          <w:rtl/>
        </w:rPr>
        <w:t>.</w:t>
      </w:r>
      <w:r w:rsidR="00E3253D" w:rsidRPr="002F4D34">
        <w:rPr>
          <w:rStyle w:val="libFootnoteBoldChar"/>
          <w:rtl/>
        </w:rPr>
        <w:t>الوافي</w:t>
      </w:r>
      <w:r w:rsidR="00E3253D" w:rsidRPr="005D642E">
        <w:rPr>
          <w:rtl/>
        </w:rPr>
        <w:t xml:space="preserve"> ، ج 24 ، ص 200 ، ح 23891 ؛ </w:t>
      </w:r>
      <w:r w:rsidR="00E3253D" w:rsidRPr="002F4D34">
        <w:rPr>
          <w:rStyle w:val="libFootnoteBoldChar"/>
          <w:rtl/>
        </w:rPr>
        <w:t>الوسائل</w:t>
      </w:r>
      <w:r w:rsidR="00E3253D" w:rsidRPr="005D642E">
        <w:rPr>
          <w:rtl/>
        </w:rPr>
        <w:t xml:space="preserve"> ، ج 2 ، ص 398 ، ح 2454.</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والبحار : « الحسين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جح » : « فضيل</w:t>
      </w:r>
      <w:r w:rsidR="00E3253D">
        <w:rPr>
          <w:rtl/>
        </w:rPr>
        <w:t xml:space="preserve"> ».</w:t>
      </w:r>
    </w:p>
    <w:p w:rsidR="00E3253D" w:rsidRDefault="0042621E" w:rsidP="00E3253D">
      <w:pPr>
        <w:pStyle w:val="libFootnote0"/>
      </w:pPr>
      <w:r w:rsidRPr="0042621E">
        <w:rPr>
          <w:rStyle w:val="libFootnote0Char"/>
          <w:rtl/>
        </w:rPr>
        <w:t>(3).</w:t>
      </w:r>
      <w:r w:rsidR="00E3253D" w:rsidRPr="005D642E">
        <w:rPr>
          <w:rtl/>
        </w:rPr>
        <w:t xml:space="preserve"> روى محمّد بن الفضيل ، عن عبدالرحمن بن زيد [ بن أسلم ] في الم</w:t>
      </w:r>
      <w:r w:rsidR="00E3253D" w:rsidRPr="002F4D34">
        <w:rPr>
          <w:rStyle w:val="libFootnoteBoldChar"/>
          <w:rtl/>
        </w:rPr>
        <w:t>ح</w:t>
      </w:r>
      <w:r w:rsidR="00E3253D" w:rsidRPr="005D642E">
        <w:rPr>
          <w:rtl/>
        </w:rPr>
        <w:t xml:space="preserve">اسن ، ص 504 ، ح 639 ؛ وص 527 ، ح 761 ؛ وص 532 ، ح 788 ؛ وفي </w:t>
      </w:r>
      <w:r w:rsidR="00E3253D" w:rsidRPr="002F4D34">
        <w:rPr>
          <w:rStyle w:val="libFootnoteBoldChar"/>
          <w:rtl/>
        </w:rPr>
        <w:t>الكافي</w:t>
      </w:r>
      <w:r w:rsidR="00E3253D" w:rsidRPr="005D642E">
        <w:rPr>
          <w:rtl/>
        </w:rPr>
        <w:t xml:space="preserve"> ، ح 6005 وح 11964</w:t>
      </w:r>
      <w:r w:rsidR="00E3253D">
        <w:rPr>
          <w:rtl/>
        </w:rPr>
        <w:t xml:space="preserve"> </w:t>
      </w:r>
      <w:r w:rsidR="007642BC">
        <w:rPr>
          <w:rtl/>
        </w:rPr>
        <w:t>-</w:t>
      </w:r>
      <w:r w:rsidR="00E3253D">
        <w:rPr>
          <w:rtl/>
        </w:rPr>
        <w:t xml:space="preserve"> </w:t>
      </w:r>
      <w:r w:rsidR="00E3253D" w:rsidRPr="005D642E">
        <w:rPr>
          <w:rtl/>
        </w:rPr>
        <w:t xml:space="preserve">وهو مأخوذ من </w:t>
      </w:r>
      <w:r w:rsidR="00E3253D" w:rsidRPr="002F4D34">
        <w:rPr>
          <w:rStyle w:val="libFootnoteBoldChar"/>
          <w:rtl/>
        </w:rPr>
        <w:t>المحاسن</w:t>
      </w:r>
      <w:r w:rsidR="00E3253D" w:rsidRPr="005D642E">
        <w:rPr>
          <w:rtl/>
        </w:rPr>
        <w:t xml:space="preserve"> ، ص 504</w:t>
      </w:r>
      <w:r w:rsidR="00E3253D">
        <w:rPr>
          <w:rtl/>
        </w:rPr>
        <w:t xml:space="preserve"> </w:t>
      </w:r>
      <w:r w:rsidR="007642BC">
        <w:rPr>
          <w:rtl/>
        </w:rPr>
        <w:t>-</w:t>
      </w:r>
      <w:r w:rsidR="00E3253D">
        <w:rPr>
          <w:rtl/>
        </w:rPr>
        <w:t xml:space="preserve"> </w:t>
      </w:r>
      <w:r w:rsidR="00E3253D" w:rsidRPr="005D642E">
        <w:rPr>
          <w:rtl/>
        </w:rPr>
        <w:t>وح 12105</w:t>
      </w:r>
      <w:r w:rsidR="00E3253D">
        <w:rPr>
          <w:rtl/>
        </w:rPr>
        <w:t xml:space="preserve"> </w:t>
      </w:r>
      <w:r w:rsidR="007642BC">
        <w:rPr>
          <w:rtl/>
        </w:rPr>
        <w:t>-</w:t>
      </w:r>
      <w:r w:rsidR="00E3253D">
        <w:rPr>
          <w:rtl/>
        </w:rPr>
        <w:t xml:space="preserve"> </w:t>
      </w:r>
      <w:r w:rsidR="00E3253D" w:rsidRPr="005D642E">
        <w:rPr>
          <w:rtl/>
        </w:rPr>
        <w:t xml:space="preserve">وهو مأخوذ من </w:t>
      </w:r>
      <w:r w:rsidR="00E3253D" w:rsidRPr="002F4D34">
        <w:rPr>
          <w:rStyle w:val="libFootnoteBoldChar"/>
          <w:rtl/>
        </w:rPr>
        <w:t>المحاسن</w:t>
      </w:r>
      <w:r w:rsidR="00E3253D" w:rsidRPr="005D642E">
        <w:rPr>
          <w:rtl/>
        </w:rPr>
        <w:t xml:space="preserve"> ، ص 527</w:t>
      </w:r>
      <w:r w:rsidR="00E3253D">
        <w:rPr>
          <w:rtl/>
        </w:rPr>
        <w:t xml:space="preserve"> </w:t>
      </w:r>
      <w:r w:rsidR="007642BC">
        <w:rPr>
          <w:rtl/>
        </w:rPr>
        <w:t>-</w:t>
      </w:r>
      <w:r w:rsidR="00E3253D">
        <w:rPr>
          <w:rtl/>
        </w:rPr>
        <w:t xml:space="preserve"> </w:t>
      </w:r>
      <w:r w:rsidR="00E3253D" w:rsidRPr="005D642E">
        <w:rPr>
          <w:rtl/>
        </w:rPr>
        <w:t>وح 12602 ؛ و</w:t>
      </w:r>
      <w:r w:rsidR="00E3253D" w:rsidRPr="002F4D34">
        <w:rPr>
          <w:rStyle w:val="libFootnoteBoldChar"/>
          <w:rtl/>
        </w:rPr>
        <w:t>ثواب الأعمال</w:t>
      </w:r>
      <w:r w:rsidR="00E3253D" w:rsidRPr="005D642E">
        <w:rPr>
          <w:rtl/>
        </w:rPr>
        <w:t xml:space="preserve"> ، ص 169 ، ح 9 ؛ </w:t>
      </w:r>
      <w:r w:rsidR="00B60612" w:rsidRPr="00B60612">
        <w:rPr>
          <w:rStyle w:val="libFootnoteBoldChar"/>
          <w:rtl/>
        </w:rPr>
        <w:t>والتهذيب</w:t>
      </w:r>
      <w:r w:rsidR="00E3253D" w:rsidRPr="005D642E">
        <w:rPr>
          <w:rtl/>
        </w:rPr>
        <w:t xml:space="preserve"> ، ج 3 ، ص 236 ، ح 625. وعبدالرحمن بن زيد هذا هو المذكور في مصادر العامّة و</w:t>
      </w:r>
      <w:r w:rsidR="00E3253D" w:rsidRPr="002F4D34">
        <w:rPr>
          <w:rStyle w:val="libFootnoteBoldChar"/>
          <w:rtl/>
        </w:rPr>
        <w:t>رجال الطوسي</w:t>
      </w:r>
      <w:r w:rsidR="00E3253D" w:rsidRPr="005D642E">
        <w:rPr>
          <w:rtl/>
        </w:rPr>
        <w:t xml:space="preserve">. راجع : </w:t>
      </w:r>
      <w:r w:rsidR="00E3253D" w:rsidRPr="002F4D34">
        <w:rPr>
          <w:rStyle w:val="libFootnoteBoldChar"/>
          <w:rtl/>
        </w:rPr>
        <w:t>تهذيب الكمال</w:t>
      </w:r>
      <w:r w:rsidR="00E3253D" w:rsidRPr="005D642E">
        <w:rPr>
          <w:rtl/>
        </w:rPr>
        <w:t xml:space="preserve"> ، ج 17 ، ص 114 ، الرقم 3820 ؛ </w:t>
      </w:r>
      <w:r w:rsidR="00E3253D" w:rsidRPr="002F4D34">
        <w:rPr>
          <w:rStyle w:val="libFootnoteBoldChar"/>
          <w:rtl/>
        </w:rPr>
        <w:t>سير أعلام النبلاء</w:t>
      </w:r>
      <w:r w:rsidR="00E3253D" w:rsidRPr="005D642E">
        <w:rPr>
          <w:rtl/>
        </w:rPr>
        <w:t xml:space="preserve"> ، ج 8 ، ص 349 ، الرقم 94 ؛ </w:t>
      </w:r>
      <w:r w:rsidR="00E3253D" w:rsidRPr="002F4D34">
        <w:rPr>
          <w:rStyle w:val="libFootnoteBoldChar"/>
          <w:rtl/>
        </w:rPr>
        <w:t>رجال الطوسي</w:t>
      </w:r>
      <w:r w:rsidR="00E3253D" w:rsidRPr="005D642E">
        <w:rPr>
          <w:rtl/>
        </w:rPr>
        <w:t xml:space="preserve"> ، ص 236 ، الرقم 3227.</w:t>
      </w:r>
    </w:p>
    <w:p w:rsidR="00E3253D" w:rsidRPr="005D642E" w:rsidRDefault="00E3253D" w:rsidP="00E3253D">
      <w:pPr>
        <w:pStyle w:val="libFootnote0"/>
        <w:rPr>
          <w:rtl/>
          <w:lang w:bidi="fa-IR"/>
        </w:rPr>
      </w:pPr>
      <w:r w:rsidRPr="005D642E">
        <w:rPr>
          <w:rtl/>
        </w:rPr>
        <w:t xml:space="preserve">والظاهر أنّ « عبدالرحمن بن يزيد » في ما نحن فيه محرّف من « عبدالرحمن بن زيد » كما أنّ عبدالرحمن بن يزيد بن أسلم المذكور في </w:t>
      </w:r>
      <w:r w:rsidRPr="002F4D34">
        <w:rPr>
          <w:rStyle w:val="libFootnoteBoldChar"/>
          <w:rtl/>
        </w:rPr>
        <w:t>رجال البرقي</w:t>
      </w:r>
      <w:r w:rsidRPr="005D642E">
        <w:rPr>
          <w:rtl/>
        </w:rPr>
        <w:t xml:space="preserve"> ، ص 24 محرّف.</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بح » : « الطيور</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بخ ، بف » </w:t>
      </w:r>
      <w:r w:rsidR="000D749A" w:rsidRPr="000D749A">
        <w:rPr>
          <w:rStyle w:val="libFootnoteBoldChar"/>
          <w:rtl/>
        </w:rPr>
        <w:t>والوافي</w:t>
      </w:r>
      <w:r w:rsidR="00E3253D" w:rsidRPr="005D642E">
        <w:rPr>
          <w:rtl/>
        </w:rPr>
        <w:t xml:space="preserve"> : « بالتيه</w:t>
      </w:r>
      <w:r w:rsidR="00E3253D">
        <w:rPr>
          <w:rtl/>
        </w:rPr>
        <w:t xml:space="preserve"> ».</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التيه</w:t>
      </w:r>
      <w:r w:rsidR="00E3253D">
        <w:rPr>
          <w:rtl/>
        </w:rPr>
        <w:t xml:space="preserve"> ».</w:t>
      </w:r>
      <w:r w:rsidR="00E3253D" w:rsidRPr="005D642E">
        <w:rPr>
          <w:rtl/>
        </w:rPr>
        <w:t xml:space="preserve"> </w:t>
      </w:r>
      <w:r w:rsidR="00E3253D">
        <w:rPr>
          <w:rtl/>
        </w:rPr>
        <w:t>و «</w:t>
      </w:r>
      <w:r w:rsidR="00E3253D" w:rsidRPr="005D642E">
        <w:rPr>
          <w:rtl/>
        </w:rPr>
        <w:t xml:space="preserve"> الِتيهُ » : المفازة ، أي الفلاة التي لا ماء فيها ، يتاه ويتحيّر فيها. راجع : </w:t>
      </w:r>
      <w:r w:rsidR="00E3253D" w:rsidRPr="002F4D34">
        <w:rPr>
          <w:rStyle w:val="libFootnoteBoldChar"/>
          <w:rtl/>
        </w:rPr>
        <w:t>الصحاح</w:t>
      </w:r>
      <w:r w:rsidR="00E3253D" w:rsidRPr="005D642E">
        <w:rPr>
          <w:rtl/>
        </w:rPr>
        <w:t xml:space="preserve"> ، ج 6 ، ص 2229 ( تيه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الزهد</w:t>
      </w:r>
      <w:r w:rsidR="00E3253D" w:rsidRPr="005D642E">
        <w:rPr>
          <w:rtl/>
        </w:rPr>
        <w:t xml:space="preserve"> ، ص 151 ، ح 219 ، عن محمّد بن الحضرمي الحسين [ الحصين ] ، عن محمّد بن الفضيل ، عن عبدالرحمن بن زيد [ يزيد ] ، عن أبي عبدالله ، عن آبائه </w:t>
      </w:r>
      <w:r w:rsidR="00E3253D" w:rsidRPr="005271AB">
        <w:rPr>
          <w:rStyle w:val="libFootnoteAlaemChar"/>
          <w:rtl/>
        </w:rPr>
        <w:t>عليهم‌السلام</w:t>
      </w:r>
      <w:r w:rsidR="00E3253D" w:rsidRPr="005D642E">
        <w:rPr>
          <w:rtl/>
        </w:rPr>
        <w:t xml:space="preserve"> عن النبيّ </w:t>
      </w:r>
      <w:r w:rsidRPr="005271AB">
        <w:rPr>
          <w:rStyle w:val="libFootnoteAlaemChar"/>
          <w:rtl/>
        </w:rPr>
        <w:t>صلى‌الله‌عليه‌وآله</w:t>
      </w:r>
      <w:r w:rsidR="00E3253D" w:rsidRPr="005D642E">
        <w:rPr>
          <w:rtl/>
        </w:rPr>
        <w:t xml:space="preserve">. وفي </w:t>
      </w:r>
      <w:r w:rsidR="000D749A" w:rsidRPr="000D749A">
        <w:rPr>
          <w:rStyle w:val="libFootnoteBoldChar"/>
          <w:rtl/>
        </w:rPr>
        <w:t>الأمالي للصدوق</w:t>
      </w:r>
      <w:r w:rsidR="00E3253D" w:rsidRPr="005D642E">
        <w:rPr>
          <w:rtl/>
        </w:rPr>
        <w:t xml:space="preserve"> ، ص 232 ، المجلس 41 ، ضمن الحديث الطويل 2 ؛ و</w:t>
      </w:r>
      <w:r w:rsidR="00E3253D" w:rsidRPr="002F4D34">
        <w:rPr>
          <w:rStyle w:val="libFootnoteBoldChar"/>
          <w:rtl/>
        </w:rPr>
        <w:t>كمال الدين</w:t>
      </w:r>
      <w:r w:rsidR="00E3253D" w:rsidRPr="005D642E">
        <w:rPr>
          <w:rtl/>
        </w:rPr>
        <w:t xml:space="preserve"> ، ص 153 ، ضمن الحديث الطويل 17 ، بسند آخر عن أبي عبدالله </w:t>
      </w:r>
      <w:r w:rsidR="00E3253D" w:rsidRPr="005271AB">
        <w:rPr>
          <w:rStyle w:val="libFootnoteAlaemChar"/>
          <w:rtl/>
        </w:rPr>
        <w:t>عليه‌السلام</w:t>
      </w:r>
      <w:r w:rsidR="00E3253D" w:rsidRPr="005D642E">
        <w:rPr>
          <w:rtl/>
        </w:rPr>
        <w:t xml:space="preserve"> ، من دون الإسناد إلى النبيّ </w:t>
      </w:r>
      <w:r w:rsidRPr="005271AB">
        <w:rPr>
          <w:rStyle w:val="libFootnoteAlaemChar"/>
          <w:rtl/>
        </w:rPr>
        <w:t>صلى‌الله‌عليه‌وآله</w:t>
      </w:r>
      <w:r w:rsidR="00E3253D" w:rsidRPr="005D642E">
        <w:rPr>
          <w:rtl/>
        </w:rPr>
        <w:t xml:space="preserve"> ، من قوله : « مات موسى كليم الله </w:t>
      </w:r>
      <w:r w:rsidR="00E3253D" w:rsidRPr="005271AB">
        <w:rPr>
          <w:rStyle w:val="libFootnoteAlaemChar"/>
          <w:rtl/>
        </w:rPr>
        <w:t>عليه‌السلام</w:t>
      </w:r>
      <w:r w:rsidR="00E3253D" w:rsidRPr="005D642E">
        <w:rPr>
          <w:rtl/>
        </w:rPr>
        <w:t xml:space="preserve"> في التيه » مع اختلاف يسير </w:t>
      </w:r>
      <w:r w:rsidR="005271AB">
        <w:rPr>
          <w:rFonts w:hint="cs"/>
          <w:rtl/>
        </w:rPr>
        <w:t>.</w:t>
      </w:r>
      <w:r w:rsidR="00E3253D" w:rsidRPr="002F4D34">
        <w:rPr>
          <w:rStyle w:val="libFootnoteBoldChar"/>
          <w:rtl/>
        </w:rPr>
        <w:t>الوافي</w:t>
      </w:r>
      <w:r w:rsidR="00E3253D" w:rsidRPr="005D642E">
        <w:rPr>
          <w:rtl/>
        </w:rPr>
        <w:t xml:space="preserve"> ، ج 24 ، ص 205 ، ح 23902 ؛ </w:t>
      </w:r>
      <w:r w:rsidR="00E3253D" w:rsidRPr="002F4D34">
        <w:rPr>
          <w:rStyle w:val="libFootnoteBoldChar"/>
          <w:rtl/>
        </w:rPr>
        <w:t>البحار</w:t>
      </w:r>
      <w:r w:rsidR="00E3253D" w:rsidRPr="005D642E">
        <w:rPr>
          <w:rtl/>
        </w:rPr>
        <w:t xml:space="preserve"> ، ج 13 ، ص 371 ، ح 18 ، من قوله : « مات موسى كليم الله » ؛ وج 14 ، ص 2 ، ح 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C0DA7">
        <w:rPr>
          <w:rtl/>
        </w:rPr>
        <w:lastRenderedPageBreak/>
        <w:t>4245</w:t>
      </w:r>
      <w:r w:rsidRPr="00246318">
        <w:rPr>
          <w:rStyle w:val="libBold2Char"/>
          <w:rtl/>
        </w:rPr>
        <w:t xml:space="preserve"> / 5.</w:t>
      </w:r>
      <w:r w:rsidRPr="005D642E">
        <w:rPr>
          <w:rtl/>
          <w:lang w:bidi="fa-IR"/>
        </w:rPr>
        <w:t xml:space="preserve"> عِدَّةٌ مِنْ أَصْحَابِنَا ، عَنْ سَهْلِ بْنِ زِيَادٍ ، عَنْ أَحْمَدَ بْنِ مُحَمَّدِ بْنِ أَبِي نَصْرٍ وَالْحَسَنِ بْنِ مَحْبُوبٍ ، عَنْ أَبِي جَمِيلَةَ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إِنَّ مَوْتَ الْفَجْأَةِ تَخْفِيفٌ عَنِ الْمُؤْمِنِ ، وَأَخْذَةُ أَسَفٍ </w:t>
      </w:r>
      <w:r w:rsidRPr="007C12DB">
        <w:rPr>
          <w:rStyle w:val="libFootnotenumChar"/>
          <w:rtl/>
        </w:rPr>
        <w:t>(1)</w:t>
      </w:r>
      <w:r w:rsidRPr="005D642E">
        <w:rPr>
          <w:rtl/>
          <w:lang w:bidi="fa-IR"/>
        </w:rPr>
        <w:t xml:space="preserve"> عَلَى </w:t>
      </w:r>
      <w:r w:rsidRPr="007C12DB">
        <w:rPr>
          <w:rStyle w:val="libFootnotenumChar"/>
          <w:rtl/>
        </w:rPr>
        <w:t>(2)</w:t>
      </w:r>
      <w:r w:rsidRPr="005D642E">
        <w:rPr>
          <w:rtl/>
          <w:lang w:bidi="fa-IR"/>
        </w:rPr>
        <w:t xml:space="preserve"> الْكَافِرِ</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EC0DA7">
        <w:rPr>
          <w:rtl/>
        </w:rPr>
        <w:t>4246</w:t>
      </w:r>
      <w:r w:rsidRPr="00246318">
        <w:rPr>
          <w:rStyle w:val="libBold2Char"/>
          <w:rtl/>
        </w:rPr>
        <w:t xml:space="preserve"> / 6.</w:t>
      </w:r>
      <w:r w:rsidRPr="005D642E">
        <w:rPr>
          <w:rtl/>
          <w:lang w:bidi="fa-IR"/>
        </w:rPr>
        <w:t xml:space="preserve"> مُحَمَّدُ بْنُ يَحْيى ، عَنْ أَحْمَدَ بْنِ مُحَمَّدٍ أَوْ غَيْرِهِ ، عَنْ عَلِيِّ بْنِ حَدِيدٍ :</w:t>
      </w:r>
    </w:p>
    <w:p w:rsidR="00E3253D" w:rsidRPr="005D642E" w:rsidRDefault="00E3253D" w:rsidP="00E3253D">
      <w:pPr>
        <w:pStyle w:val="libNormal"/>
        <w:rPr>
          <w:rtl/>
          <w:lang w:bidi="fa-IR"/>
        </w:rPr>
      </w:pPr>
      <w:r w:rsidRPr="005D642E">
        <w:rPr>
          <w:rtl/>
          <w:lang w:bidi="fa-IR"/>
        </w:rPr>
        <w:t xml:space="preserve">عَنِ الرِّضَا </w:t>
      </w:r>
      <w:r w:rsidRPr="00AC51C5">
        <w:rPr>
          <w:rStyle w:val="libAlaemChar"/>
          <w:rtl/>
        </w:rPr>
        <w:t>عليه‌السلام</w:t>
      </w:r>
      <w:r w:rsidRPr="005D642E">
        <w:rPr>
          <w:rtl/>
          <w:lang w:bidi="fa-IR"/>
        </w:rPr>
        <w:t xml:space="preserve"> ، قَالَ : « أَكْثَرُ مَنْ يَمُوتُ مِنْ مَوَالِينَا بِالْبَطَنِ الذَّرِيعِ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C0DA7">
        <w:rPr>
          <w:rtl/>
        </w:rPr>
        <w:t>4247</w:t>
      </w:r>
      <w:r w:rsidRPr="00246318">
        <w:rPr>
          <w:rStyle w:val="libBold2Char"/>
          <w:rtl/>
        </w:rPr>
        <w:t xml:space="preserve"> / 7.</w:t>
      </w:r>
      <w:r w:rsidRPr="005D642E">
        <w:rPr>
          <w:rtl/>
          <w:lang w:bidi="fa-IR"/>
        </w:rPr>
        <w:t xml:space="preserve"> مُحَمَّدُ بْنُ يَحْيى ، عَنْ مُوسَى بْنِ الْحَسَنِ ، عَنِ الْهَيْثَمِ بْنِ أَبِي مَسْرُوقٍ ، عَنْ شَيْخٍ مِنْ أَصْحَابِنَا</w:t>
      </w:r>
      <w:r>
        <w:rPr>
          <w:rtl/>
          <w:lang w:bidi="fa-IR"/>
        </w:rPr>
        <w:t xml:space="preserve"> </w:t>
      </w:r>
      <w:r w:rsidR="007642BC">
        <w:rPr>
          <w:rtl/>
          <w:lang w:bidi="fa-IR"/>
        </w:rPr>
        <w:t>-</w:t>
      </w:r>
      <w:r>
        <w:rPr>
          <w:rtl/>
          <w:lang w:bidi="fa-IR"/>
        </w:rPr>
        <w:t xml:space="preserve"> </w:t>
      </w:r>
      <w:r w:rsidRPr="005D642E">
        <w:rPr>
          <w:rtl/>
          <w:lang w:bidi="fa-IR"/>
        </w:rPr>
        <w:t>يُكَنّى بِأَبِي عَبْدِ اللهِ</w:t>
      </w:r>
      <w:r>
        <w:rPr>
          <w:rtl/>
          <w:lang w:bidi="fa-IR"/>
        </w:rPr>
        <w:t xml:space="preserve"> </w:t>
      </w:r>
      <w:r w:rsidR="007642BC">
        <w:rPr>
          <w:rtl/>
          <w:lang w:bidi="fa-IR"/>
        </w:rPr>
        <w:t>-</w:t>
      </w:r>
      <w:r>
        <w:rPr>
          <w:rtl/>
          <w:lang w:bidi="fa-IR"/>
        </w:rPr>
        <w:t xml:space="preserve"> </w:t>
      </w:r>
      <w:r w:rsidRPr="005D642E">
        <w:rPr>
          <w:rtl/>
          <w:lang w:bidi="fa-IR"/>
        </w:rPr>
        <w:t xml:space="preserve">عَنْ رَجُلٍ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الْحُمّى رَائِدُ الْمَوْتِ ، وَسِجْنُ اللهِ تَعَالى فِي أَرْضِهِ ، وَفَوْرُهَا </w:t>
      </w:r>
      <w:r w:rsidRPr="007C12DB">
        <w:rPr>
          <w:rStyle w:val="libFootnotenumChar"/>
          <w:rtl/>
        </w:rPr>
        <w:t>(7)</w:t>
      </w:r>
      <w:r w:rsidRPr="005D642E">
        <w:rPr>
          <w:rtl/>
          <w:lang w:bidi="fa-IR"/>
        </w:rPr>
        <w:t xml:space="preserve"> مِنْ جَهَنَّمَ ، وَهِيَ حَظُّ كُلِّ مُؤْمِنٍ مِنَ النَّارِ</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5271AB">
        <w:rPr>
          <w:rtl/>
        </w:rPr>
        <w:t>قال العل</w:t>
      </w:r>
      <w:r w:rsidR="005271AB">
        <w:rPr>
          <w:rFonts w:hint="cs"/>
          <w:rtl/>
        </w:rPr>
        <w:t>ّ</w:t>
      </w:r>
      <w:r w:rsidR="005271AB">
        <w:rPr>
          <w:rtl/>
        </w:rPr>
        <w:t>ا</w:t>
      </w:r>
      <w:r w:rsidR="00E3253D" w:rsidRPr="005D642E">
        <w:rPr>
          <w:rtl/>
        </w:rPr>
        <w:t xml:space="preserve">مة المجلسي : « قوله </w:t>
      </w:r>
      <w:r w:rsidR="00E3253D" w:rsidRPr="00E70B30">
        <w:rPr>
          <w:rStyle w:val="libFootnoteAlaemChar"/>
          <w:rtl/>
        </w:rPr>
        <w:t>عليه‌السلام</w:t>
      </w:r>
      <w:r w:rsidR="00E3253D" w:rsidRPr="005D642E">
        <w:rPr>
          <w:rtl/>
        </w:rPr>
        <w:t xml:space="preserve"> : وأخذة أسف ، أي أخذة توجب تأسّفه ، ويمكن أن يقرأ بكسر السين ، قال في </w:t>
      </w:r>
      <w:r w:rsidR="00E3253D" w:rsidRPr="002F4D34">
        <w:rPr>
          <w:rStyle w:val="libFootnoteBoldChar"/>
          <w:rtl/>
        </w:rPr>
        <w:t>النهاية</w:t>
      </w:r>
      <w:r w:rsidR="00E3253D" w:rsidRPr="005D642E">
        <w:rPr>
          <w:rtl/>
        </w:rPr>
        <w:t xml:space="preserve"> : في حديث : موت الفجأة راحة للمؤمن وأخذة أَسَفٍ للكافر ، أي أخذة غضب أو غضبان ، يقال أسف يأسف أسفاً فهو آسف ، إذا غضب</w:t>
      </w:r>
      <w:r w:rsidR="00E3253D">
        <w:rPr>
          <w:rtl/>
        </w:rPr>
        <w:t xml:space="preserve"> ».</w:t>
      </w:r>
      <w:r w:rsidR="00E3253D" w:rsidRPr="005D642E">
        <w:rPr>
          <w:rtl/>
        </w:rPr>
        <w:t xml:space="preserve"> راجع : </w:t>
      </w:r>
      <w:r w:rsidR="00E3253D" w:rsidRPr="002F4D34">
        <w:rPr>
          <w:rStyle w:val="libFootnoteBoldChar"/>
          <w:rtl/>
        </w:rPr>
        <w:t>مرآة العقول</w:t>
      </w:r>
      <w:r w:rsidR="00E3253D" w:rsidRPr="005D642E">
        <w:rPr>
          <w:rtl/>
        </w:rPr>
        <w:t xml:space="preserve"> ، ج 13 ، ص 260 ؛ </w:t>
      </w:r>
      <w:r w:rsidR="00E3253D" w:rsidRPr="002F4D34">
        <w:rPr>
          <w:rStyle w:val="libFootnoteBoldChar"/>
          <w:rtl/>
        </w:rPr>
        <w:t>النهاية</w:t>
      </w:r>
      <w:r w:rsidR="00E3253D" w:rsidRPr="005D642E">
        <w:rPr>
          <w:rtl/>
        </w:rPr>
        <w:t xml:space="preserve"> ، ج 1 ، ص 48 ( أسف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معظم النسخ التي قوبلت </w:t>
      </w:r>
      <w:r w:rsidR="009E68BB" w:rsidRPr="009E68BB">
        <w:rPr>
          <w:rStyle w:val="libFootnoteBoldChar"/>
          <w:rtl/>
        </w:rPr>
        <w:t>وتحف العقول</w:t>
      </w:r>
      <w:r w:rsidR="00E3253D" w:rsidRPr="005D642E">
        <w:rPr>
          <w:rtl/>
        </w:rPr>
        <w:t xml:space="preserve"> ، ج 1. وفي « بح ، بف ، جح » والمطبوع : « عن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الفقيه</w:t>
      </w:r>
      <w:r w:rsidR="00E3253D" w:rsidRPr="005D642E">
        <w:rPr>
          <w:rtl/>
        </w:rPr>
        <w:t xml:space="preserve"> ، ج 4 ، ص 363 ، ضمن الحديث الطويل 5762 ، بسند آخر عن النبيّ </w:t>
      </w:r>
      <w:r w:rsidRPr="00E70B30">
        <w:rPr>
          <w:rStyle w:val="libFootnoteAlaemChar"/>
          <w:rtl/>
        </w:rPr>
        <w:t>صلى‌الله‌عليه‌وآله</w:t>
      </w:r>
      <w:r w:rsidR="00E3253D" w:rsidRPr="005D642E">
        <w:rPr>
          <w:rtl/>
        </w:rPr>
        <w:t xml:space="preserve"> ، مع اختلاف يسير. </w:t>
      </w:r>
      <w:r w:rsidR="00E3253D" w:rsidRPr="002F4D34">
        <w:rPr>
          <w:rStyle w:val="libFootnoteBoldChar"/>
          <w:rtl/>
        </w:rPr>
        <w:t>وفيه</w:t>
      </w:r>
      <w:r w:rsidR="00E3253D" w:rsidRPr="005D642E">
        <w:rPr>
          <w:rtl/>
        </w:rPr>
        <w:t xml:space="preserve"> ، ج 1 ، ص 134 ، ح 357 ، مرسلاً عن النبيّ </w:t>
      </w:r>
      <w:r w:rsidRPr="00E70B30">
        <w:rPr>
          <w:rStyle w:val="libFootnoteAlaemChar"/>
          <w:rtl/>
        </w:rPr>
        <w:t>صلى‌الله‌عليه‌وآله</w:t>
      </w:r>
      <w:r w:rsidR="00E3253D" w:rsidRPr="005D642E">
        <w:rPr>
          <w:rtl/>
        </w:rPr>
        <w:t xml:space="preserve"> </w:t>
      </w:r>
      <w:r w:rsidR="00E70B30">
        <w:rPr>
          <w:rFonts w:hint="cs"/>
          <w:rtl/>
        </w:rPr>
        <w:t>.</w:t>
      </w:r>
      <w:r w:rsidR="00E3253D" w:rsidRPr="002F4D34">
        <w:rPr>
          <w:rStyle w:val="libFootnoteBoldChar"/>
          <w:rtl/>
        </w:rPr>
        <w:t>الوافي</w:t>
      </w:r>
      <w:r w:rsidR="00E3253D" w:rsidRPr="005D642E">
        <w:rPr>
          <w:rtl/>
        </w:rPr>
        <w:t xml:space="preserve"> ، ج 24 ، ص 205 ، ح 23901.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البَطَن » : داء البطن ، يقال : بُطن الرجل ، على ما لم يسمّ فاعله ، أي اشتكى بطنه. </w:t>
      </w:r>
      <w:r w:rsidR="00E3253D">
        <w:rPr>
          <w:rtl/>
        </w:rPr>
        <w:t>و «</w:t>
      </w:r>
      <w:r w:rsidR="00E3253D" w:rsidRPr="005D642E">
        <w:rPr>
          <w:rtl/>
        </w:rPr>
        <w:t xml:space="preserve"> الذريع » :</w:t>
      </w:r>
      <w:r w:rsidR="00E70B30">
        <w:rPr>
          <w:rtl/>
        </w:rPr>
        <w:t xml:space="preserve"> السريع وزناً ومعنىً. قال العل</w:t>
      </w:r>
      <w:r w:rsidR="00E70B30">
        <w:rPr>
          <w:rFonts w:hint="cs"/>
          <w:rtl/>
        </w:rPr>
        <w:t>ّ</w:t>
      </w:r>
      <w:r w:rsidR="00E70B30">
        <w:rPr>
          <w:rtl/>
        </w:rPr>
        <w:t>ا</w:t>
      </w:r>
      <w:r w:rsidR="00E3253D" w:rsidRPr="005D642E">
        <w:rPr>
          <w:rtl/>
        </w:rPr>
        <w:t>مة المجلسي : « والمراد هنا الإسهال الذي يتواتر الدفع فيه فيقتل ، أو الأعمّ منه ومن الأدواء التي تحدث بسبب كثرة الأكل كالهيضة والقولنج وأشباههما</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5 ، ص 2079 ؛ </w:t>
      </w:r>
      <w:r w:rsidR="00E3253D" w:rsidRPr="002F4D34">
        <w:rPr>
          <w:rStyle w:val="libFootnoteBoldChar"/>
          <w:rtl/>
        </w:rPr>
        <w:t>القاموس المحيط</w:t>
      </w:r>
      <w:r w:rsidR="00E3253D" w:rsidRPr="005D642E">
        <w:rPr>
          <w:rtl/>
        </w:rPr>
        <w:t xml:space="preserve"> ، ج 2 ، ص 1552 ( بطن ) ؛ </w:t>
      </w:r>
      <w:r w:rsidR="00E3253D" w:rsidRPr="002F4D34">
        <w:rPr>
          <w:rStyle w:val="libFootnoteBoldChar"/>
          <w:rtl/>
        </w:rPr>
        <w:t>المصباح المنير</w:t>
      </w:r>
      <w:r w:rsidR="00E3253D" w:rsidRPr="005D642E">
        <w:rPr>
          <w:rtl/>
        </w:rPr>
        <w:t xml:space="preserve"> ، ص 208 ( ذرع )</w:t>
      </w:r>
      <w:r w:rsidR="00E3253D">
        <w:rPr>
          <w:rtl/>
        </w:rPr>
        <w:t>.</w:t>
      </w:r>
    </w:p>
    <w:tbl>
      <w:tblPr>
        <w:tblStyle w:val="TableGrid"/>
        <w:bidiVisual/>
        <w:tblW w:w="0" w:type="auto"/>
        <w:tblLook w:val="04A0" w:firstRow="1" w:lastRow="0" w:firstColumn="1" w:lastColumn="0" w:noHBand="0" w:noVBand="1"/>
      </w:tblPr>
      <w:tblGrid>
        <w:gridCol w:w="4006"/>
        <w:gridCol w:w="4006"/>
      </w:tblGrid>
      <w:tr w:rsidR="00A646E9" w:rsidTr="00A646E9">
        <w:tc>
          <w:tcPr>
            <w:tcW w:w="4006" w:type="dxa"/>
          </w:tcPr>
          <w:p w:rsidR="00A646E9" w:rsidRDefault="00A646E9" w:rsidP="00E3253D">
            <w:pPr>
              <w:pStyle w:val="libFootnote0"/>
              <w:rPr>
                <w:rStyle w:val="libFootnote0Char"/>
                <w:rtl/>
              </w:rPr>
            </w:pPr>
            <w:r w:rsidRPr="0042621E">
              <w:rPr>
                <w:rStyle w:val="libFootnote0Char"/>
                <w:rtl/>
              </w:rPr>
              <w:t>(5).</w:t>
            </w:r>
            <w:r w:rsidRPr="005D642E">
              <w:rPr>
                <w:rtl/>
              </w:rPr>
              <w:t xml:space="preserve"> </w:t>
            </w:r>
            <w:r w:rsidRPr="002F4D34">
              <w:rPr>
                <w:rStyle w:val="libFootnoteBoldChar"/>
                <w:rtl/>
              </w:rPr>
              <w:t>الوافي</w:t>
            </w:r>
            <w:r w:rsidRPr="005D642E">
              <w:rPr>
                <w:rtl/>
              </w:rPr>
              <w:t xml:space="preserve"> ، ج 24 ، ص 201 ، ح 23893.</w:t>
            </w:r>
          </w:p>
        </w:tc>
        <w:tc>
          <w:tcPr>
            <w:tcW w:w="4006" w:type="dxa"/>
          </w:tcPr>
          <w:p w:rsidR="00A646E9" w:rsidRDefault="00A646E9" w:rsidP="00E3253D">
            <w:pPr>
              <w:pStyle w:val="libFootnote0"/>
              <w:rPr>
                <w:rStyle w:val="libFootnote0Char"/>
                <w:rtl/>
              </w:rPr>
            </w:pPr>
            <w:r w:rsidRPr="0042621E">
              <w:rPr>
                <w:rStyle w:val="libFootnote0Char"/>
                <w:rtl/>
              </w:rPr>
              <w:t>(6).</w:t>
            </w:r>
            <w:r w:rsidRPr="005D642E">
              <w:rPr>
                <w:rtl/>
              </w:rPr>
              <w:t xml:space="preserve"> في « جن » :</w:t>
            </w:r>
            <w:r>
              <w:rPr>
                <w:rtl/>
              </w:rPr>
              <w:t xml:space="preserve"> - </w:t>
            </w:r>
            <w:r w:rsidRPr="005D642E">
              <w:rPr>
                <w:rtl/>
              </w:rPr>
              <w:t>« عن رجل</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الثواب : + « وحرها</w:t>
      </w:r>
      <w:r w:rsidR="00E3253D">
        <w:rPr>
          <w:rtl/>
        </w:rPr>
        <w:t xml:space="preserve"> ».</w:t>
      </w:r>
      <w:r w:rsidR="00B14316">
        <w:rPr>
          <w:rtl/>
        </w:rPr>
        <w:t xml:space="preserve"> والفَوْر : الهيجان. قال العل</w:t>
      </w:r>
      <w:r w:rsidR="00B14316">
        <w:rPr>
          <w:rFonts w:hint="cs"/>
          <w:rtl/>
        </w:rPr>
        <w:t>ّ</w:t>
      </w:r>
      <w:r w:rsidR="00B14316">
        <w:rPr>
          <w:rtl/>
        </w:rPr>
        <w:t>ا</w:t>
      </w:r>
      <w:r w:rsidR="00E3253D" w:rsidRPr="005D642E">
        <w:rPr>
          <w:rtl/>
        </w:rPr>
        <w:t>مة المجلسي : « وكون فورها من جهنّم لعلّه على المجاز ، أي لشدّتها كأنّها من جهنّم</w:t>
      </w:r>
      <w:r w:rsidR="00E3253D">
        <w:rPr>
          <w:rtl/>
        </w:rPr>
        <w:t xml:space="preserve"> ».</w:t>
      </w:r>
      <w:r w:rsidR="00E3253D" w:rsidRPr="005D642E">
        <w:rPr>
          <w:rtl/>
        </w:rPr>
        <w:t xml:space="preserve"> وقيل غير ذلك. راجع : </w:t>
      </w:r>
      <w:r w:rsidR="00E3253D" w:rsidRPr="002F4D34">
        <w:rPr>
          <w:rStyle w:val="libFootnoteBoldChar"/>
          <w:rtl/>
        </w:rPr>
        <w:t>القاموس المحيط</w:t>
      </w:r>
      <w:r w:rsidR="00E3253D" w:rsidRPr="005D642E">
        <w:rPr>
          <w:rtl/>
        </w:rPr>
        <w:t xml:space="preserve"> ، ج 1 ، ص 638 ( فور ) ؛ </w:t>
      </w:r>
      <w:r w:rsidR="00E3253D" w:rsidRPr="002F4D34">
        <w:rPr>
          <w:rStyle w:val="libFootnoteBoldChar"/>
          <w:rtl/>
        </w:rPr>
        <w:t>الوافي</w:t>
      </w:r>
      <w:r w:rsidR="00E3253D" w:rsidRPr="005D642E">
        <w:rPr>
          <w:rtl/>
        </w:rPr>
        <w:t xml:space="preserve"> ، ج 24 ، ص 200 ؛ </w:t>
      </w:r>
      <w:r w:rsidR="00E3253D" w:rsidRPr="002F4D34">
        <w:rPr>
          <w:rStyle w:val="libFootnoteBoldChar"/>
          <w:rtl/>
        </w:rPr>
        <w:t>مرآة العقول</w:t>
      </w:r>
      <w:r w:rsidR="00E3253D" w:rsidRPr="005D642E">
        <w:rPr>
          <w:rtl/>
        </w:rPr>
        <w:t xml:space="preserve"> ، ج 13 ، ص 260.</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ثواب الأعمال</w:t>
      </w:r>
      <w:r w:rsidR="00E3253D" w:rsidRPr="005D642E">
        <w:rPr>
          <w:rtl/>
        </w:rPr>
        <w:t xml:space="preserve"> ، ص 228 ، ح 1 ، بسنده عن الهيثم بن أبي مسروق </w:t>
      </w:r>
      <w:r w:rsidR="003310CB">
        <w:rPr>
          <w:rFonts w:hint="cs"/>
          <w:rtl/>
        </w:rPr>
        <w:t>.</w:t>
      </w:r>
      <w:r w:rsidR="00E3253D" w:rsidRPr="002F4D34">
        <w:rPr>
          <w:rStyle w:val="libFootnoteBoldChar"/>
          <w:rtl/>
        </w:rPr>
        <w:t>الوافي</w:t>
      </w:r>
      <w:r w:rsidR="00E3253D" w:rsidRPr="005D642E">
        <w:rPr>
          <w:rtl/>
        </w:rPr>
        <w:t xml:space="preserve"> ، ج 24 ، ص 200 ، </w:t>
      </w:r>
      <w:r w:rsidR="001A47A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4760B6">
        <w:rPr>
          <w:rtl/>
        </w:rPr>
        <w:lastRenderedPageBreak/>
        <w:t>4248</w:t>
      </w:r>
      <w:r w:rsidRPr="00246318">
        <w:rPr>
          <w:rStyle w:val="libBold2Char"/>
          <w:rtl/>
        </w:rPr>
        <w:t xml:space="preserve"> / 8.</w:t>
      </w:r>
      <w:r w:rsidRPr="005D642E">
        <w:rPr>
          <w:rtl/>
          <w:lang w:bidi="fa-IR"/>
        </w:rPr>
        <w:t xml:space="preserve"> مُحَمَّدُ بْنُ يَحْيى ، عَنْ مُحَمَّدِ بْنِ الْحُسَيْنِ ، عَنْ صَفْوَانَ ، عَنْ مُعَاوِيَةَ بْنِ عَمَّارٍ ، عَنْ نَاجِيَةَ </w:t>
      </w:r>
      <w:r w:rsidRPr="007C12DB">
        <w:rPr>
          <w:rStyle w:val="libFootnotenumChar"/>
          <w:rtl/>
        </w:rPr>
        <w:t>(1)</w:t>
      </w:r>
      <w:r w:rsidRPr="005D642E">
        <w:rPr>
          <w:rtl/>
          <w:lang w:bidi="fa-IR"/>
        </w:rPr>
        <w:t xml:space="preserve"> ، قَالَ :</w:t>
      </w:r>
    </w:p>
    <w:p w:rsidR="00E3253D" w:rsidRPr="005D642E" w:rsidRDefault="00E3253D" w:rsidP="00594DC9">
      <w:pPr>
        <w:pStyle w:val="libNormal"/>
        <w:rPr>
          <w:rtl/>
          <w:lang w:bidi="fa-IR"/>
        </w:rPr>
      </w:pPr>
      <w:r w:rsidRPr="005D642E">
        <w:rPr>
          <w:rtl/>
          <w:lang w:bidi="fa-IR"/>
        </w:rPr>
        <w:t xml:space="preserve">قَالَ أَبُو جَعْفَرٍ </w:t>
      </w:r>
      <w:r w:rsidRPr="00AC51C5">
        <w:rPr>
          <w:rStyle w:val="libAlaemChar"/>
          <w:rtl/>
        </w:rPr>
        <w:t>عليه‌السلام</w:t>
      </w:r>
      <w:r w:rsidRPr="005D642E">
        <w:rPr>
          <w:rtl/>
          <w:lang w:bidi="fa-IR"/>
        </w:rPr>
        <w:t xml:space="preserve"> : « إِنَّ الْمُؤْمِنَ يُبْتَلى بِكُلِّ بَلِيَّةٍ ، وَيَمُوتُ ب</w:t>
      </w:r>
      <w:r w:rsidR="00F12DF3">
        <w:rPr>
          <w:rtl/>
          <w:lang w:bidi="fa-IR"/>
        </w:rPr>
        <w:t>ِكُلِّ مِيتَةٍ ، إِل</w:t>
      </w:r>
      <w:r w:rsidR="00F12DF3">
        <w:rPr>
          <w:rFonts w:hint="cs"/>
          <w:rtl/>
          <w:lang w:bidi="fa-IR"/>
        </w:rPr>
        <w:t>َّ</w:t>
      </w:r>
      <w:r w:rsidR="00F12DF3">
        <w:rPr>
          <w:rtl/>
          <w:lang w:bidi="fa-IR"/>
        </w:rPr>
        <w:t>ا</w:t>
      </w:r>
      <w:r w:rsidRPr="005D642E">
        <w:rPr>
          <w:rtl/>
          <w:lang w:bidi="fa-IR"/>
        </w:rPr>
        <w:t xml:space="preserve"> أَنَّهُ لَايَقْتُلُ نَفْسَهُ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4760B6">
        <w:rPr>
          <w:rtl/>
        </w:rPr>
        <w:t>4249</w:t>
      </w:r>
      <w:r w:rsidRPr="00246318">
        <w:rPr>
          <w:rStyle w:val="libBold2Char"/>
          <w:rtl/>
        </w:rPr>
        <w:t xml:space="preserve"> / 9.</w:t>
      </w:r>
      <w:r w:rsidRPr="005D642E">
        <w:rPr>
          <w:rtl/>
          <w:lang w:bidi="fa-IR"/>
        </w:rPr>
        <w:t xml:space="preserve"> حُمَيْدُ بْنُ زِيَادٍ ، عَنِ الْحَسَنِ بْنِ مُحَمَّدٍ </w:t>
      </w:r>
      <w:r w:rsidRPr="007C12DB">
        <w:rPr>
          <w:rStyle w:val="libFootnotenumChar"/>
          <w:rtl/>
        </w:rPr>
        <w:t>(4)</w:t>
      </w:r>
      <w:r w:rsidRPr="005D642E">
        <w:rPr>
          <w:rtl/>
          <w:lang w:bidi="fa-IR"/>
        </w:rPr>
        <w:t xml:space="preserve"> ، عَنْ وُهَيْبِ بْنِ حَفْصٍ ، عَنْ أَبِي بَصِيرٍ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مِيتَةِ الْمُؤْمِنِ</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(5)</w:t>
      </w:r>
      <w:r w:rsidRPr="005D642E">
        <w:rPr>
          <w:rtl/>
          <w:lang w:bidi="fa-IR"/>
        </w:rPr>
        <w:t xml:space="preserve"> : « يَمُوتُ الْمُؤْمِنُ بِكُلِّ مِيتَةٍ : يَمُوتُ غَرَقاً ، وَيَمُوتُ بِالْهَدْمِ ، وَيُبْتَلى بِالسَّبُعِ ، وَيَمُوتُ بِالصَّاعِقَةِ ، وَلَاتُصِيبُ </w:t>
      </w:r>
      <w:r w:rsidRPr="007C12DB">
        <w:rPr>
          <w:rStyle w:val="libFootnotenumChar"/>
          <w:rtl/>
        </w:rPr>
        <w:t>(6)</w:t>
      </w:r>
      <w:r w:rsidRPr="005D642E">
        <w:rPr>
          <w:rtl/>
          <w:lang w:bidi="fa-IR"/>
        </w:rPr>
        <w:t xml:space="preserve"> ذَاكِراً لِلّهِ </w:t>
      </w:r>
      <w:r w:rsidRPr="007C12DB">
        <w:rPr>
          <w:rStyle w:val="libFootnotenumChar"/>
          <w:rtl/>
        </w:rPr>
        <w:t>(7)</w:t>
      </w:r>
      <w:r w:rsidRPr="005D642E">
        <w:rPr>
          <w:rtl/>
          <w:lang w:bidi="fa-IR"/>
        </w:rPr>
        <w:t xml:space="preserve"> تَعَالى</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4760B6">
        <w:rPr>
          <w:rtl/>
        </w:rPr>
        <w:t>4250</w:t>
      </w:r>
      <w:r w:rsidRPr="00246318">
        <w:rPr>
          <w:rStyle w:val="libBold2Char"/>
          <w:rtl/>
        </w:rPr>
        <w:t xml:space="preserve"> / 10.</w:t>
      </w:r>
      <w:r w:rsidRPr="005D642E">
        <w:rPr>
          <w:rtl/>
          <w:lang w:bidi="fa-IR"/>
        </w:rPr>
        <w:t xml:space="preserve"> عِدَّةٌ مِنْ أَصْحَابِنَا ، عَنْ سَهْلِ بْنِ زِيَادٍ ، عَنْ مُحَمَّدِ بْنِ سِنَانٍ ، عَنْ عُثْمَانَ النَّوَّاءِ ، عَمَّنْ ذَكَرَهُ :</w:t>
      </w:r>
    </w:p>
    <w:p w:rsidR="00E3253D" w:rsidRPr="005D642E" w:rsidRDefault="00E3253D" w:rsidP="00E3253D">
      <w:pPr>
        <w:pStyle w:val="libLine"/>
        <w:rPr>
          <w:rtl/>
          <w:lang w:bidi="fa-IR"/>
        </w:rPr>
      </w:pPr>
      <w:r w:rsidRPr="005D642E">
        <w:rPr>
          <w:rtl/>
          <w:lang w:bidi="fa-IR"/>
        </w:rPr>
        <w:t>__________________</w:t>
      </w:r>
    </w:p>
    <w:p w:rsidR="00E3253D" w:rsidRPr="005D642E" w:rsidRDefault="00066E40" w:rsidP="00E3253D">
      <w:pPr>
        <w:pStyle w:val="libFootnote0"/>
        <w:rPr>
          <w:rtl/>
          <w:lang w:bidi="fa-IR"/>
        </w:rPr>
      </w:pPr>
      <w:r>
        <w:rPr>
          <w:rFonts w:hint="cs"/>
          <w:rtl/>
        </w:rPr>
        <w:t xml:space="preserve">= </w:t>
      </w:r>
      <w:r w:rsidR="00E3253D" w:rsidRPr="005D642E">
        <w:rPr>
          <w:rtl/>
        </w:rPr>
        <w:t xml:space="preserve">ح 23892 ؛ </w:t>
      </w:r>
      <w:r w:rsidR="00E3253D" w:rsidRPr="002F4D34">
        <w:rPr>
          <w:rStyle w:val="libFootnoteBoldChar"/>
          <w:rtl/>
        </w:rPr>
        <w:t>الوسائل</w:t>
      </w:r>
      <w:r w:rsidR="00E3253D" w:rsidRPr="005D642E">
        <w:rPr>
          <w:rtl/>
        </w:rPr>
        <w:t xml:space="preserve"> ، ج 2 ، ص 398 ، ح 2455.</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النسخ التي قوبلت. وفي المطبوع : « ناحية</w:t>
      </w:r>
      <w:r w:rsidR="00E3253D">
        <w:rPr>
          <w:rtl/>
        </w:rPr>
        <w:t xml:space="preserve"> ».</w:t>
      </w:r>
    </w:p>
    <w:p w:rsidR="00E3253D" w:rsidRPr="005D642E" w:rsidRDefault="00E3253D" w:rsidP="00E3253D">
      <w:pPr>
        <w:pStyle w:val="libFootnote0"/>
        <w:rPr>
          <w:rtl/>
          <w:lang w:bidi="fa-IR"/>
        </w:rPr>
      </w:pPr>
      <w:r w:rsidRPr="00B60612">
        <w:rPr>
          <w:rtl/>
        </w:rPr>
        <w:t xml:space="preserve">وناجية بن أبي عمارة هوا لمذكور في أصحاب أبي جعفر </w:t>
      </w:r>
      <w:r w:rsidRPr="00AF6572">
        <w:rPr>
          <w:rStyle w:val="libFootnoteAlaemChar"/>
          <w:rtl/>
        </w:rPr>
        <w:t>عليه‌السلام</w:t>
      </w:r>
      <w:r w:rsidRPr="00B60612">
        <w:rPr>
          <w:rtl/>
        </w:rPr>
        <w:t xml:space="preserve">. وتقدّم الخبر في </w:t>
      </w:r>
      <w:r w:rsidRPr="002F4D34">
        <w:rPr>
          <w:rStyle w:val="libFootnoteBoldChar"/>
          <w:rtl/>
        </w:rPr>
        <w:t>الكافي</w:t>
      </w:r>
      <w:r w:rsidRPr="00B60612">
        <w:rPr>
          <w:rtl/>
        </w:rPr>
        <w:t xml:space="preserve"> ، ح 2363 بنفس السند عن ناجية. راجع : </w:t>
      </w:r>
      <w:r w:rsidRPr="002F4D34">
        <w:rPr>
          <w:rStyle w:val="libFootnoteBoldChar"/>
          <w:rtl/>
        </w:rPr>
        <w:t>رجال البرقي</w:t>
      </w:r>
      <w:r w:rsidRPr="00B60612">
        <w:rPr>
          <w:rtl/>
        </w:rPr>
        <w:t xml:space="preserve"> ، ص 15 ؛ </w:t>
      </w:r>
      <w:r w:rsidRPr="002F4D34">
        <w:rPr>
          <w:rStyle w:val="libFootnoteBoldChar"/>
          <w:rtl/>
        </w:rPr>
        <w:t>رجال الطوسي</w:t>
      </w:r>
      <w:r w:rsidRPr="00B60612">
        <w:rPr>
          <w:rtl/>
        </w:rPr>
        <w:t xml:space="preserve"> ، ص 147 ، الرقم 1632.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مرآة العقول : « لعلّه محمول على المؤمن الكامل</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الكافي</w:t>
      </w:r>
      <w:r w:rsidR="00E3253D" w:rsidRPr="005D642E">
        <w:rPr>
          <w:rtl/>
        </w:rPr>
        <w:t xml:space="preserve"> ، كتاب الإيمان والكفر ، باب شدّة ابتلاء المؤمن ، ذيل ح 2363. وفي كتاب </w:t>
      </w:r>
      <w:r w:rsidR="00E3253D" w:rsidRPr="002F4D34">
        <w:rPr>
          <w:rStyle w:val="libFootnoteBoldChar"/>
          <w:rtl/>
        </w:rPr>
        <w:t>سليم بن قيس</w:t>
      </w:r>
      <w:r w:rsidR="00E3253D" w:rsidRPr="005D642E">
        <w:rPr>
          <w:rtl/>
        </w:rPr>
        <w:t xml:space="preserve"> ، ص 663 ، ضمن الحديث الطويل 12 ، بسند آخر عن أميرالمؤمنين </w:t>
      </w:r>
      <w:r w:rsidR="00E3253D" w:rsidRPr="00AF6572">
        <w:rPr>
          <w:rStyle w:val="libFootnoteAlaemChar"/>
          <w:rtl/>
        </w:rPr>
        <w:t>عليه‌السلام</w:t>
      </w:r>
      <w:r w:rsidR="00E3253D" w:rsidRPr="005D642E">
        <w:rPr>
          <w:rtl/>
        </w:rPr>
        <w:t xml:space="preserve"> ، مع اختلاف يسير </w:t>
      </w:r>
      <w:r w:rsidR="00AF6572">
        <w:rPr>
          <w:rFonts w:hint="cs"/>
          <w:rtl/>
        </w:rPr>
        <w:t>.</w:t>
      </w:r>
      <w:r w:rsidR="00E3253D" w:rsidRPr="002F4D34">
        <w:rPr>
          <w:rStyle w:val="libFootnoteBoldChar"/>
          <w:rtl/>
        </w:rPr>
        <w:t>الوافي</w:t>
      </w:r>
      <w:r w:rsidR="00E3253D" w:rsidRPr="005D642E">
        <w:rPr>
          <w:rtl/>
        </w:rPr>
        <w:t xml:space="preserve"> ، ج 24 ، ص 203 ، ح 23898 ؛ </w:t>
      </w:r>
      <w:r w:rsidR="00E3253D" w:rsidRPr="002F4D34">
        <w:rPr>
          <w:rStyle w:val="libFootnoteBoldChar"/>
          <w:rtl/>
        </w:rPr>
        <w:t>الوسائل</w:t>
      </w:r>
      <w:r w:rsidR="00E3253D" w:rsidRPr="005D642E">
        <w:rPr>
          <w:rtl/>
        </w:rPr>
        <w:t xml:space="preserve"> ، ج 29 ، ص 24 ، ح 35061 ؛ </w:t>
      </w:r>
      <w:r w:rsidR="00E3253D" w:rsidRPr="002F4D34">
        <w:rPr>
          <w:rStyle w:val="libFootnoteBoldChar"/>
          <w:rtl/>
        </w:rPr>
        <w:t>البحار</w:t>
      </w:r>
      <w:r w:rsidR="00E3253D" w:rsidRPr="005D642E">
        <w:rPr>
          <w:rtl/>
        </w:rPr>
        <w:t xml:space="preserve"> ، ج 67 ، ص 201 ، ذيل ح 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الكافي ، ح 3205 : + « بن سماعة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والكافي ، ح 3205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AF6572">
        <w:rPr>
          <w:rStyle w:val="libFootnoteAlaemChar"/>
          <w:rtl/>
        </w:rPr>
        <w:t>عليه‌السلام</w:t>
      </w:r>
      <w:r w:rsidR="00E3253D" w:rsidRPr="005D642E">
        <w:rPr>
          <w:rtl/>
        </w:rPr>
        <w:t xml:space="preserve"> : ولاتصيب ، أي الصاعقة ، أو جميع ما ذكر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ذاكر الله » بالاضافة.</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الكافي</w:t>
      </w:r>
      <w:r w:rsidR="00E3253D" w:rsidRPr="005D642E">
        <w:rPr>
          <w:rtl/>
        </w:rPr>
        <w:t xml:space="preserve"> ، كتاب الدعاء ، باب أنّ الصاعقة لاتصيب ذاكراً ، ح 3205. </w:t>
      </w:r>
      <w:r w:rsidR="00E3253D" w:rsidRPr="002F4D34">
        <w:rPr>
          <w:rStyle w:val="libFootnoteBoldChar"/>
          <w:rtl/>
        </w:rPr>
        <w:t>وفيه</w:t>
      </w:r>
      <w:r w:rsidR="00E3253D" w:rsidRPr="005D642E">
        <w:rPr>
          <w:rtl/>
        </w:rPr>
        <w:t xml:space="preserve"> ، نفس الباب ، ح 3203 ، بسند آخر ، مع اختلاف </w:t>
      </w:r>
      <w:r w:rsidR="00AF6572">
        <w:rPr>
          <w:rFonts w:hint="cs"/>
          <w:rtl/>
        </w:rPr>
        <w:t>.</w:t>
      </w:r>
      <w:r w:rsidR="00E3253D" w:rsidRPr="002F4D34">
        <w:rPr>
          <w:rStyle w:val="libFootnoteBoldChar"/>
          <w:rtl/>
        </w:rPr>
        <w:t>الوافي</w:t>
      </w:r>
      <w:r w:rsidR="00E3253D" w:rsidRPr="005D642E">
        <w:rPr>
          <w:rtl/>
        </w:rPr>
        <w:t xml:space="preserve"> ، ج 24 ، ص 203 ، ح 23899 ؛ </w:t>
      </w:r>
      <w:r w:rsidR="00E3253D" w:rsidRPr="002F4D34">
        <w:rPr>
          <w:rStyle w:val="libFootnoteBoldChar"/>
          <w:rtl/>
        </w:rPr>
        <w:t>الوسائل</w:t>
      </w:r>
      <w:r w:rsidR="00E3253D" w:rsidRPr="005D642E">
        <w:rPr>
          <w:rtl/>
        </w:rPr>
        <w:t xml:space="preserve"> ، ج 7 ، ص 161 ، ح 9007.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 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يَبْتَلِي الْمُؤْمِنَ بِكُلِّ بَلِيَّةٍ ، وَيُمِيتُهُ بِكُلِّ مِيتَةٍ ، وَلَايَبْتَلِيهِ </w:t>
      </w:r>
      <w:r w:rsidRPr="007C12DB">
        <w:rPr>
          <w:rStyle w:val="libFootnotenumChar"/>
          <w:rtl/>
        </w:rPr>
        <w:t>(1)</w:t>
      </w:r>
      <w:r>
        <w:rPr>
          <w:rtl/>
          <w:lang w:bidi="fa-IR"/>
        </w:rPr>
        <w:t xml:space="preserve"> بِذَهَابِ عَقْلِهِ ، أَ</w:t>
      </w:r>
      <w:r w:rsidRPr="005D642E">
        <w:rPr>
          <w:rtl/>
          <w:lang w:bidi="fa-IR"/>
        </w:rPr>
        <w:t xml:space="preserve">مَا تَرى أَيُّوبَ </w:t>
      </w:r>
      <w:r w:rsidRPr="00AC51C5">
        <w:rPr>
          <w:rStyle w:val="libAlaemChar"/>
          <w:rtl/>
        </w:rPr>
        <w:t>عليه‌السلام</w:t>
      </w:r>
      <w:r w:rsidRPr="005D642E">
        <w:rPr>
          <w:rtl/>
          <w:lang w:bidi="fa-IR"/>
        </w:rPr>
        <w:t xml:space="preserve"> كَيْفَ سَلَّطَ إِبْلِيسَ عَلى مَالِهِ وَ</w:t>
      </w:r>
      <w:r>
        <w:rPr>
          <w:rFonts w:hint="cs"/>
          <w:rtl/>
          <w:lang w:bidi="fa-IR"/>
        </w:rPr>
        <w:t xml:space="preserve"> </w:t>
      </w:r>
      <w:r w:rsidRPr="007C12DB">
        <w:rPr>
          <w:rStyle w:val="libFootnotenumChar"/>
          <w:rtl/>
        </w:rPr>
        <w:t>(2)</w:t>
      </w:r>
      <w:r w:rsidRPr="005D642E">
        <w:rPr>
          <w:rtl/>
          <w:lang w:bidi="fa-IR"/>
        </w:rPr>
        <w:t xml:space="preserve"> وُلْدِهِ ، وَعَلى أَهْلِهِ ، وَعَلى كُلِّ شَيْ‌ءٍ مِنْهُ ، وَلَمْ يُسَلِّطْهُ </w:t>
      </w:r>
      <w:r w:rsidRPr="007C12DB">
        <w:rPr>
          <w:rStyle w:val="libFootnotenumChar"/>
          <w:rtl/>
        </w:rPr>
        <w:t>(3)</w:t>
      </w:r>
      <w:r w:rsidRPr="005D642E">
        <w:rPr>
          <w:rtl/>
          <w:lang w:bidi="fa-IR"/>
        </w:rPr>
        <w:t xml:space="preserve"> عَلى عَقْلِهِ</w:t>
      </w:r>
      <w:r>
        <w:rPr>
          <w:rtl/>
          <w:lang w:bidi="fa-IR"/>
        </w:rPr>
        <w:t>؟</w:t>
      </w:r>
      <w:r w:rsidRPr="005D642E">
        <w:rPr>
          <w:rtl/>
          <w:lang w:bidi="fa-IR"/>
        </w:rPr>
        <w:t xml:space="preserve"> تَرَكَ لَهُ </w:t>
      </w:r>
      <w:r w:rsidRPr="007C12DB">
        <w:rPr>
          <w:rStyle w:val="libFootnotenumChar"/>
          <w:rtl/>
        </w:rPr>
        <w:t>(4)</w:t>
      </w:r>
      <w:r w:rsidRPr="005D642E">
        <w:rPr>
          <w:rtl/>
          <w:lang w:bidi="fa-IR"/>
        </w:rPr>
        <w:t xml:space="preserve"> مَا يُوَحِّدُ </w:t>
      </w:r>
      <w:r w:rsidRPr="007C12DB">
        <w:rPr>
          <w:rStyle w:val="libFootnotenumChar"/>
          <w:rtl/>
        </w:rPr>
        <w:t>(5)</w:t>
      </w:r>
      <w:r w:rsidRPr="005D642E">
        <w:rPr>
          <w:rtl/>
          <w:lang w:bidi="fa-IR"/>
        </w:rPr>
        <w:t xml:space="preserve">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بِهِ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260" w:name="_Toc344647297"/>
      <w:bookmarkStart w:id="261" w:name="_Toc462226811"/>
      <w:bookmarkStart w:id="262" w:name="_Toc40975920"/>
      <w:r w:rsidRPr="005D642E">
        <w:rPr>
          <w:rtl/>
          <w:lang w:bidi="fa-IR"/>
        </w:rPr>
        <w:t>2</w:t>
      </w:r>
      <w:r>
        <w:rPr>
          <w:rtl/>
          <w:lang w:bidi="fa-IR"/>
        </w:rPr>
        <w:t xml:space="preserve"> </w:t>
      </w:r>
      <w:r w:rsidR="007642BC">
        <w:rPr>
          <w:rtl/>
          <w:lang w:bidi="fa-IR"/>
        </w:rPr>
        <w:t>-</w:t>
      </w:r>
      <w:r>
        <w:rPr>
          <w:rtl/>
          <w:lang w:bidi="fa-IR"/>
        </w:rPr>
        <w:t xml:space="preserve"> </w:t>
      </w:r>
      <w:r w:rsidRPr="005D642E">
        <w:rPr>
          <w:rtl/>
          <w:lang w:bidi="fa-IR"/>
        </w:rPr>
        <w:t xml:space="preserve">بَابُ ثَوَابِ الْمَرَضِ </w:t>
      </w:r>
      <w:r w:rsidRPr="007C12DB">
        <w:rPr>
          <w:rStyle w:val="libFootnotenumChar"/>
          <w:rtl/>
        </w:rPr>
        <w:t>(8)</w:t>
      </w:r>
      <w:r w:rsidRPr="005D642E">
        <w:rPr>
          <w:rtl/>
          <w:lang w:bidi="fa-IR"/>
        </w:rPr>
        <w:t xml:space="preserve"> ‌</w:t>
      </w:r>
      <w:bookmarkEnd w:id="260"/>
      <w:bookmarkEnd w:id="261"/>
      <w:bookmarkEnd w:id="262"/>
    </w:p>
    <w:p w:rsidR="00E3253D" w:rsidRPr="005D642E" w:rsidRDefault="00E3253D" w:rsidP="00E3253D">
      <w:pPr>
        <w:pStyle w:val="libNormal"/>
        <w:rPr>
          <w:rtl/>
          <w:lang w:bidi="fa-IR"/>
        </w:rPr>
      </w:pPr>
      <w:r w:rsidRPr="004760B6">
        <w:rPr>
          <w:rtl/>
        </w:rPr>
        <w:t>4251</w:t>
      </w:r>
      <w:r w:rsidRPr="00246318">
        <w:rPr>
          <w:rStyle w:val="libBold2Char"/>
          <w:rtl/>
        </w:rPr>
        <w:t xml:space="preserve"> / 1.</w:t>
      </w:r>
      <w:r w:rsidRPr="005D642E">
        <w:rPr>
          <w:rtl/>
          <w:lang w:bidi="fa-IR"/>
        </w:rPr>
        <w:t xml:space="preserve"> عِدَّةٌ مِنْ أَصْحَابِنَا ، عَنْ أَحْمَدَ بْنِ مُحَمَّدٍ ، عَنِ ابْنِ مَحْبُوبٍ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قَالَ </w:t>
      </w:r>
      <w:r w:rsidRPr="007C12DB">
        <w:rPr>
          <w:rStyle w:val="libFootnotenumChar"/>
          <w:rtl/>
        </w:rPr>
        <w:t>(9)</w:t>
      </w:r>
      <w:r w:rsidRPr="005D642E">
        <w:rPr>
          <w:rtl/>
          <w:lang w:bidi="fa-IR"/>
        </w:rPr>
        <w:t xml:space="preserve"> : « إِنَّ رَسُولَ اللهِ </w:t>
      </w:r>
      <w:r w:rsidR="0042621E" w:rsidRPr="0042621E">
        <w:rPr>
          <w:rStyle w:val="libAlaemChar"/>
          <w:rtl/>
        </w:rPr>
        <w:t>صلى‌الله‌عليه‌وآله</w:t>
      </w:r>
      <w:r w:rsidRPr="005D642E">
        <w:rPr>
          <w:rtl/>
          <w:lang w:bidi="fa-IR"/>
        </w:rPr>
        <w:t xml:space="preserve"> رَفَعَ رَأْسَهُ إِلَى السَّمَاءِ ، فَتَبَسَّمَ ، فَقِيلَ لَهُ : يَا رَسُولَ اللهِ ، رَأَيْنَاكَ رَفَعْتَ </w:t>
      </w:r>
      <w:r w:rsidRPr="007C12DB">
        <w:rPr>
          <w:rStyle w:val="libFootnotenumChar"/>
          <w:rtl/>
        </w:rPr>
        <w:t>(10)</w:t>
      </w:r>
      <w:r w:rsidRPr="005D642E">
        <w:rPr>
          <w:rtl/>
          <w:lang w:bidi="fa-IR"/>
        </w:rPr>
        <w:t xml:space="preserve"> رَأْسَكَ إِلَى السَّمَاءِ ، فَتَبَسَّمْتَ </w:t>
      </w:r>
      <w:r w:rsidRPr="007C12DB">
        <w:rPr>
          <w:rStyle w:val="libFootnotenumChar"/>
          <w:rtl/>
        </w:rPr>
        <w:t>(11)</w:t>
      </w:r>
      <w:r>
        <w:rPr>
          <w:rtl/>
          <w:lang w:bidi="fa-IR"/>
        </w:rPr>
        <w:t>؟</w:t>
      </w:r>
      <w:r w:rsidRPr="005D642E">
        <w:rPr>
          <w:rtl/>
          <w:lang w:bidi="fa-IR"/>
        </w:rPr>
        <w:t xml:space="preserve"> قَالَ :</w:t>
      </w:r>
      <w:r>
        <w:rPr>
          <w:lang w:bidi="fa-IR"/>
        </w:rPr>
        <w:t xml:space="preserve"> </w:t>
      </w:r>
      <w:r w:rsidRPr="005D642E">
        <w:rPr>
          <w:rtl/>
          <w:lang w:bidi="fa-IR"/>
        </w:rPr>
        <w:t xml:space="preserve">نَعَمْ ، عَجِبْتُ </w:t>
      </w:r>
      <w:r w:rsidRPr="007C12DB">
        <w:rPr>
          <w:rStyle w:val="libFootnotenumChar"/>
          <w:rtl/>
        </w:rPr>
        <w:t>(12)</w:t>
      </w:r>
      <w:r w:rsidRPr="005D642E">
        <w:rPr>
          <w:rtl/>
          <w:lang w:bidi="fa-IR"/>
        </w:rPr>
        <w:t xml:space="preserve"> لِمَلَكَيْنِ </w:t>
      </w:r>
      <w:r w:rsidRPr="007C12DB">
        <w:rPr>
          <w:rStyle w:val="libFootnotenumChar"/>
          <w:rtl/>
        </w:rPr>
        <w:t>(13)</w:t>
      </w:r>
      <w:r w:rsidRPr="005D642E">
        <w:rPr>
          <w:rtl/>
          <w:lang w:bidi="fa-IR"/>
        </w:rPr>
        <w:t xml:space="preserve"> هَبَطَا مِنَ السَّمَاءِ إِلَى الْأَرْضِ يَلْتَمِسَانِ عَبْداً صَالِحاً مُؤْمِناً </w:t>
      </w:r>
      <w:r w:rsidRPr="007C12DB">
        <w:rPr>
          <w:rStyle w:val="libFootnotenumChar"/>
          <w:rtl/>
        </w:rPr>
        <w:t>(14)</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 « ولا يبليه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البحار والكافي ، ح 2373 : + « على</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بث ، بح ، بخ ، بس ، جح ، جس » </w:t>
      </w:r>
      <w:r w:rsidR="000D749A" w:rsidRPr="000D749A">
        <w:rPr>
          <w:rStyle w:val="libFootnoteBoldChar"/>
          <w:rtl/>
        </w:rPr>
        <w:t>والوافي</w:t>
      </w:r>
      <w:r w:rsidR="00E3253D" w:rsidRPr="005D642E">
        <w:rPr>
          <w:rtl/>
        </w:rPr>
        <w:t xml:space="preserve"> والبحار والكافي ، ح 2373 : « ولم يُسَلّط</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r w:rsidR="00E3253D" w:rsidRPr="005D642E">
        <w:rPr>
          <w:rtl/>
        </w:rPr>
        <w:t xml:space="preserve"> وفي حاشية « بخ » : « تركه</w:t>
      </w:r>
      <w:r w:rsidR="00E3253D">
        <w:rPr>
          <w:rtl/>
        </w:rPr>
        <w:t xml:space="preserve"> ».</w:t>
      </w:r>
      <w:r w:rsidR="00E3253D" w:rsidRPr="005D642E">
        <w:rPr>
          <w:rtl/>
        </w:rPr>
        <w:t xml:space="preserve"> وفي الوافي : « تركه له</w:t>
      </w:r>
      <w:r w:rsidR="00E3253D">
        <w:rPr>
          <w:rtl/>
        </w:rPr>
        <w:t xml:space="preserve"> ».</w:t>
      </w:r>
    </w:p>
    <w:p w:rsidR="00E3253D" w:rsidRPr="005D642E" w:rsidRDefault="0042621E" w:rsidP="00AF6572">
      <w:pPr>
        <w:pStyle w:val="libFootnote0"/>
        <w:rPr>
          <w:rtl/>
          <w:lang w:bidi="fa-IR"/>
        </w:rPr>
      </w:pPr>
      <w:r w:rsidRPr="0042621E">
        <w:rPr>
          <w:rStyle w:val="libFootnote0Char"/>
          <w:rtl/>
        </w:rPr>
        <w:t>(5).</w:t>
      </w:r>
      <w:r w:rsidR="00E3253D" w:rsidRPr="005D642E">
        <w:rPr>
          <w:rtl/>
        </w:rPr>
        <w:t xml:space="preserve"> في « ظ ، غ ، ى ، بث ، بخ ، بس ، جح ، جس ، جن » :</w:t>
      </w:r>
      <w:r w:rsidR="00E3253D">
        <w:rPr>
          <w:rtl/>
        </w:rPr>
        <w:t xml:space="preserve"> </w:t>
      </w:r>
      <w:r w:rsidR="007642BC">
        <w:rPr>
          <w:rtl/>
        </w:rPr>
        <w:t>-</w:t>
      </w:r>
      <w:r w:rsidR="00E3253D">
        <w:rPr>
          <w:rtl/>
        </w:rPr>
        <w:t xml:space="preserve"> </w:t>
      </w:r>
      <w:r w:rsidR="00E3253D" w:rsidRPr="005D642E">
        <w:rPr>
          <w:rtl/>
        </w:rPr>
        <w:t>« ما</w:t>
      </w:r>
      <w:r w:rsidR="00E3253D">
        <w:rPr>
          <w:rtl/>
        </w:rPr>
        <w:t xml:space="preserve"> ».</w:t>
      </w:r>
      <w:r w:rsidR="00E3253D" w:rsidRPr="005D642E">
        <w:rPr>
          <w:rtl/>
        </w:rPr>
        <w:t xml:space="preserve"> وفي البحار والكافي ، ح 2373 : « ليوحّد » بدل « ما يوحّد</w:t>
      </w:r>
      <w:r w:rsidR="00E3253D">
        <w:rPr>
          <w:rtl/>
        </w:rPr>
        <w:t xml:space="preserve"> ».</w:t>
      </w:r>
      <w:r w:rsidR="00591486">
        <w:rPr>
          <w:rFonts w:hint="cs"/>
          <w:rtl/>
        </w:rPr>
        <w:t xml:space="preserve">                         </w:t>
      </w:r>
      <w:r w:rsidR="00AF6572">
        <w:rPr>
          <w:rFonts w:hint="cs"/>
          <w:rtl/>
        </w:rPr>
        <w:t xml:space="preserve">   </w:t>
      </w:r>
      <w:r w:rsidRPr="0042621E">
        <w:rPr>
          <w:rStyle w:val="libFootnote0Char"/>
          <w:rtl/>
        </w:rPr>
        <w:t>(6).</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به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الكافي</w:t>
      </w:r>
      <w:r w:rsidR="00E3253D" w:rsidRPr="005D642E">
        <w:rPr>
          <w:rtl/>
        </w:rPr>
        <w:t xml:space="preserve"> ، كتاب الإيمان والكفر ، باب شدّة ابتلاء المؤمن ، ح 2373 ، عن محمّد بن يحيى ، عن أحمد بن محمّد ، عن محمّد بن سنان </w:t>
      </w:r>
      <w:r w:rsidR="00CF7CD2">
        <w:rPr>
          <w:rFonts w:hint="cs"/>
          <w:rtl/>
        </w:rPr>
        <w:t>.</w:t>
      </w:r>
      <w:r w:rsidR="00E3253D" w:rsidRPr="002F4D34">
        <w:rPr>
          <w:rStyle w:val="libFootnoteBoldChar"/>
          <w:rtl/>
        </w:rPr>
        <w:t>الوافي</w:t>
      </w:r>
      <w:r w:rsidR="00E3253D" w:rsidRPr="005D642E">
        <w:rPr>
          <w:rtl/>
        </w:rPr>
        <w:t xml:space="preserve"> ، ج 24 ، ص 203 ، ح 23900 ؛ </w:t>
      </w:r>
      <w:r w:rsidR="00E3253D" w:rsidRPr="002F4D34">
        <w:rPr>
          <w:rStyle w:val="libFootnoteBoldChar"/>
          <w:rtl/>
        </w:rPr>
        <w:t>البحار</w:t>
      </w:r>
      <w:r w:rsidR="00E3253D" w:rsidRPr="005D642E">
        <w:rPr>
          <w:rtl/>
        </w:rPr>
        <w:t xml:space="preserve"> ، ج 12 ، ص 341 ، ذيل ح 1.</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جن » وحاشية « غ ، بخ » : « المريض</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ظ ، غ ، ى ، بث ، بح ، بس ، جح ، جس ، جن » والوسائل والبحار. وفي « بف » والمطبوع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بف » : « ترفع</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الوسائل : « فسئل عن ذلك » بدل « فقيل له</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فتبسّمت</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F7CD2" w:rsidTr="00CF7CD2">
        <w:tc>
          <w:tcPr>
            <w:tcW w:w="4006" w:type="dxa"/>
          </w:tcPr>
          <w:p w:rsidR="00CF7CD2" w:rsidRDefault="00CF7CD2" w:rsidP="00E3253D">
            <w:pPr>
              <w:pStyle w:val="libFootnote0"/>
              <w:rPr>
                <w:rStyle w:val="libFootnote0Char"/>
                <w:rtl/>
              </w:rPr>
            </w:pPr>
            <w:r w:rsidRPr="0042621E">
              <w:rPr>
                <w:rStyle w:val="libFootnote0Char"/>
                <w:rtl/>
              </w:rPr>
              <w:t>(12).</w:t>
            </w:r>
            <w:r w:rsidRPr="005D642E">
              <w:rPr>
                <w:rtl/>
              </w:rPr>
              <w:t xml:space="preserve"> في « بخ » : « تعجّبت</w:t>
            </w:r>
            <w:r>
              <w:rPr>
                <w:rtl/>
              </w:rPr>
              <w:t xml:space="preserve"> ».</w:t>
            </w:r>
          </w:p>
        </w:tc>
        <w:tc>
          <w:tcPr>
            <w:tcW w:w="4006" w:type="dxa"/>
          </w:tcPr>
          <w:p w:rsidR="00CF7CD2" w:rsidRDefault="00CF7CD2" w:rsidP="00E3253D">
            <w:pPr>
              <w:pStyle w:val="libFootnote0"/>
              <w:rPr>
                <w:rStyle w:val="libFootnote0Char"/>
                <w:rtl/>
              </w:rPr>
            </w:pPr>
            <w:r w:rsidRPr="0042621E">
              <w:rPr>
                <w:rStyle w:val="libFootnote0Char"/>
                <w:rtl/>
              </w:rPr>
              <w:t>(13).</w:t>
            </w:r>
            <w:r>
              <w:rPr>
                <w:rtl/>
              </w:rPr>
              <w:t xml:space="preserve"> </w:t>
            </w:r>
            <w:r w:rsidRPr="005D642E">
              <w:rPr>
                <w:rtl/>
              </w:rPr>
              <w:t>في الوافي : « من ملكين</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هكذا في جميع النسخ التي قوبلت والوسائل. وفي المطبوع : « مؤمناً صالحاً</w:t>
      </w:r>
      <w:r w:rsidR="00E3253D">
        <w:rPr>
          <w:rtl/>
        </w:rPr>
        <w:t xml:space="preserve"> ».</w:t>
      </w:r>
      <w:r w:rsidR="00E3253D" w:rsidRPr="005D642E">
        <w:rPr>
          <w:rtl/>
        </w:rPr>
        <w:t xml:space="preserve"> وفي الوافي :</w:t>
      </w:r>
      <w:r w:rsidR="00E3253D">
        <w:rPr>
          <w:rtl/>
        </w:rPr>
        <w:t xml:space="preserve"> </w:t>
      </w:r>
      <w:r w:rsidR="007642BC">
        <w:rPr>
          <w:rtl/>
        </w:rPr>
        <w:t>-</w:t>
      </w:r>
      <w:r w:rsidR="00E3253D">
        <w:rPr>
          <w:rtl/>
        </w:rPr>
        <w:t xml:space="preserve"> </w:t>
      </w:r>
      <w:r w:rsidR="00E3253D" w:rsidRPr="005D642E">
        <w:rPr>
          <w:rtl/>
        </w:rPr>
        <w:t>« مؤمناً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فِي مُصَلًّى كَانَ يُصَلِّي فِيهِ لِيَكْتُبَا لَهُ </w:t>
      </w:r>
      <w:r w:rsidRPr="007C12DB">
        <w:rPr>
          <w:rStyle w:val="libFootnotenumChar"/>
          <w:rtl/>
        </w:rPr>
        <w:t>(1)</w:t>
      </w:r>
      <w:r w:rsidRPr="005D642E">
        <w:rPr>
          <w:rtl/>
          <w:lang w:bidi="fa-IR"/>
        </w:rPr>
        <w:t xml:space="preserve"> عَمَلَهُ فِي يَوْمِهِ وَلَيْلَتِهِ ، فَلَمْ يَجِدَاهُ فِي مُصَلاَّهُ ، فَعَرَجَا </w:t>
      </w:r>
      <w:r w:rsidRPr="007C12DB">
        <w:rPr>
          <w:rStyle w:val="libFootnotenumChar"/>
          <w:rtl/>
        </w:rPr>
        <w:t>(2)</w:t>
      </w:r>
      <w:r w:rsidRPr="005D642E">
        <w:rPr>
          <w:rtl/>
          <w:lang w:bidi="fa-IR"/>
        </w:rPr>
        <w:t xml:space="preserve"> إِلَى السَّمَاءِ ، فَقَالَا : رَبَّنَا ، عَبْدُكَ فُلَانٌ الْمُؤْمِنُ </w:t>
      </w:r>
      <w:r w:rsidRPr="007C12DB">
        <w:rPr>
          <w:rStyle w:val="libFootnotenumChar"/>
          <w:rtl/>
        </w:rPr>
        <w:t>(3)</w:t>
      </w:r>
      <w:r w:rsidRPr="005D642E">
        <w:rPr>
          <w:rtl/>
          <w:lang w:bidi="fa-IR"/>
        </w:rPr>
        <w:t xml:space="preserve"> الْتَمَسْنَاهُ فِي مُصَلاَّهُ لِنَكْتُبَ لَهُ </w:t>
      </w:r>
      <w:r w:rsidRPr="007C12DB">
        <w:rPr>
          <w:rStyle w:val="libFootnotenumChar"/>
          <w:rtl/>
        </w:rPr>
        <w:t>(4)</w:t>
      </w:r>
      <w:r w:rsidRPr="005D642E">
        <w:rPr>
          <w:rtl/>
          <w:lang w:bidi="fa-IR"/>
        </w:rPr>
        <w:t xml:space="preserve"> عَمَلَهُ لِيَوْمِهِ وَلَيْلَتِهِ ، فَلَمْ نُصِبْهُ </w:t>
      </w:r>
      <w:r w:rsidRPr="007C12DB">
        <w:rPr>
          <w:rStyle w:val="libFootnotenumChar"/>
          <w:rtl/>
        </w:rPr>
        <w:t>(5)</w:t>
      </w:r>
      <w:r w:rsidRPr="005D642E">
        <w:rPr>
          <w:rtl/>
          <w:lang w:bidi="fa-IR"/>
        </w:rPr>
        <w:t xml:space="preserve"> ، فَوَجَدْنَاهُ </w:t>
      </w:r>
      <w:r w:rsidRPr="007C12DB">
        <w:rPr>
          <w:rStyle w:val="libFootnotenumChar"/>
          <w:rtl/>
        </w:rPr>
        <w:t>(6)</w:t>
      </w:r>
      <w:r w:rsidRPr="005D642E">
        <w:rPr>
          <w:rtl/>
          <w:lang w:bidi="fa-IR"/>
        </w:rPr>
        <w:t xml:space="preserve"> فِي حِبَالِكَ </w:t>
      </w:r>
      <w:r w:rsidRPr="007C12DB">
        <w:rPr>
          <w:rStyle w:val="libFootnotenumChar"/>
          <w:rtl/>
        </w:rPr>
        <w:t>(7)</w:t>
      </w:r>
      <w:r>
        <w:rPr>
          <w:rtl/>
          <w:lang w:bidi="fa-IR"/>
        </w:rPr>
        <w:t>؟</w:t>
      </w:r>
      <w:r w:rsidRPr="005D642E">
        <w:rPr>
          <w:rtl/>
          <w:lang w:bidi="fa-IR"/>
        </w:rPr>
        <w:t xml:space="preserve"> فَقَالَ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 اكْتُبَا لِعَبْدِي مِثْلَ مَا كَانَ يَعْمَلُهُ فِي صِحَّتِهِ مِنَ الْخَيْرِ فِي يَوْمِهِ وَلَيْلَتِهِ مَا دَامَ فِي حِبَالِي ؛ فَإِنَّ عَلَيَّ أَنْ أَكْتُبَ لَهُ أَجْرَ مَا كَانَ يَعْمَلُهُ </w:t>
      </w:r>
      <w:r w:rsidRPr="007C12DB">
        <w:rPr>
          <w:rStyle w:val="libFootnotenumChar"/>
          <w:rtl/>
        </w:rPr>
        <w:t>(8)</w:t>
      </w:r>
      <w:r w:rsidRPr="005D642E">
        <w:rPr>
          <w:rtl/>
          <w:lang w:bidi="fa-IR"/>
        </w:rPr>
        <w:t xml:space="preserve"> إِذَا </w:t>
      </w:r>
      <w:r w:rsidRPr="007C12DB">
        <w:rPr>
          <w:rStyle w:val="libFootnotenumChar"/>
          <w:rtl/>
        </w:rPr>
        <w:t>(9)</w:t>
      </w:r>
      <w:r w:rsidRPr="005D642E">
        <w:rPr>
          <w:rtl/>
          <w:lang w:bidi="fa-IR"/>
        </w:rPr>
        <w:t xml:space="preserve"> حَبَسْتُهُ عَنْهُ</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5D4077">
        <w:rPr>
          <w:rtl/>
        </w:rPr>
        <w:t>4252</w:t>
      </w:r>
      <w:r w:rsidRPr="00246318">
        <w:rPr>
          <w:rStyle w:val="libBold2Char"/>
          <w:rtl/>
        </w:rPr>
        <w:t xml:space="preserve"> / 2.</w:t>
      </w:r>
      <w:r w:rsidRPr="005D642E">
        <w:rPr>
          <w:rtl/>
          <w:lang w:bidi="fa-IR"/>
        </w:rPr>
        <w:t xml:space="preserve"> عَلِيُّ بْنُ إِبْرَاهِيمَ ، عَنْ أَبِيهِ ، عَنْ عَمْرِو بْنِ عُثْمَانَ ، عَنِ الْمُفَضَّلِ بْنِ صَالِحٍ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النَّبِيُّ </w:t>
      </w:r>
      <w:r w:rsidRPr="007C12DB">
        <w:rPr>
          <w:rStyle w:val="libFootnotenumChar"/>
          <w:rtl/>
        </w:rPr>
        <w:t>(11)</w:t>
      </w:r>
      <w:r w:rsidRPr="005D642E">
        <w:rPr>
          <w:rtl/>
          <w:lang w:bidi="fa-IR"/>
        </w:rPr>
        <w:t xml:space="preserve"> </w:t>
      </w:r>
      <w:r w:rsidR="0042621E" w:rsidRPr="0042621E">
        <w:rPr>
          <w:rStyle w:val="libAlaemChar"/>
          <w:rtl/>
        </w:rPr>
        <w:t>صلى‌الله‌عليه‌وآله</w:t>
      </w:r>
      <w:r w:rsidRPr="005D642E">
        <w:rPr>
          <w:rtl/>
          <w:lang w:bidi="fa-IR"/>
        </w:rPr>
        <w:t xml:space="preserve"> : إِنَّ الْمُسْلِمَ </w:t>
      </w:r>
      <w:r w:rsidRPr="007C12DB">
        <w:rPr>
          <w:rStyle w:val="libFootnotenumChar"/>
          <w:rtl/>
        </w:rPr>
        <w:t>(12)</w:t>
      </w:r>
      <w:r w:rsidRPr="005D642E">
        <w:rPr>
          <w:rtl/>
          <w:lang w:bidi="fa-IR"/>
        </w:rPr>
        <w:t xml:space="preserve"> إِذَا غَلَبَهُ ضَعْفُ الْكِبَرِ ، أَمَرَ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الْمَلَكَ أَنْ يَكْتُبَ لَهُ فِي حَالِهِ تِلْكَ مِثْلَ مَا كَانَ يَعْمَلُ </w:t>
      </w:r>
      <w:r w:rsidRPr="007C12DB">
        <w:rPr>
          <w:rStyle w:val="libFootnotenumChar"/>
          <w:rtl/>
        </w:rPr>
        <w:t>(13)</w:t>
      </w:r>
      <w:r w:rsidRPr="005D642E">
        <w:rPr>
          <w:rtl/>
          <w:lang w:bidi="fa-IR"/>
        </w:rPr>
        <w:t xml:space="preserve"> وَهُوَ شَابٌّ نَشِيطٌ صَحِيحٌ ، وَمِثْلَ ذلِكَ إِذَا مَرِضَ </w:t>
      </w:r>
      <w:r w:rsidRPr="007C12DB">
        <w:rPr>
          <w:rStyle w:val="libFootnotenumChar"/>
          <w:rtl/>
        </w:rPr>
        <w:t>(14)</w:t>
      </w:r>
      <w:r w:rsidRPr="005D642E">
        <w:rPr>
          <w:rtl/>
          <w:lang w:bidi="fa-IR"/>
        </w:rPr>
        <w:t xml:space="preserve"> ، وَكَّلَ اللهُ بِهِ مَلَكاً يَكْتُبُ </w:t>
      </w:r>
      <w:r w:rsidRPr="007C12DB">
        <w:rPr>
          <w:rStyle w:val="libFootnotenumChar"/>
          <w:rtl/>
        </w:rPr>
        <w:t>(15)</w:t>
      </w:r>
      <w:r w:rsidRPr="005D642E">
        <w:rPr>
          <w:rtl/>
          <w:lang w:bidi="fa-IR"/>
        </w:rPr>
        <w:t xml:space="preserve"> لَهُ فِي سُقْمِهِ مَا كَانَ يَعْمَلُ مِنَ الْخَيْرِ فِي صِحَّتِهِ </w:t>
      </w:r>
      <w:r w:rsidRPr="007C12DB">
        <w:rPr>
          <w:rStyle w:val="libFootnotenumChar"/>
          <w:rtl/>
        </w:rPr>
        <w:t>(16)</w:t>
      </w:r>
      <w:r w:rsidRPr="005D642E">
        <w:rPr>
          <w:rtl/>
          <w:lang w:bidi="fa-IR"/>
        </w:rPr>
        <w:t xml:space="preserve"> حَتّى يَرْفَعَهُ اللهُ وَيَقْبِضَهُ ؛ وَكَذلِكَ الْكَافِرُ إِذَا اشْتَغَلَ بِسُقْمٍ فِي‌</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5798F" w:rsidTr="00E5798F">
        <w:tc>
          <w:tcPr>
            <w:tcW w:w="4006" w:type="dxa"/>
          </w:tcPr>
          <w:p w:rsidR="00E5798F" w:rsidRDefault="00E5798F" w:rsidP="00E3253D">
            <w:pPr>
              <w:pStyle w:val="libFootnote0"/>
              <w:rPr>
                <w:rStyle w:val="libFootnote0Char"/>
                <w:rtl/>
              </w:rPr>
            </w:pPr>
            <w:r w:rsidRPr="0042621E">
              <w:rPr>
                <w:rStyle w:val="libFootnote0Char"/>
                <w:rtl/>
              </w:rPr>
              <w:t>(1).</w:t>
            </w:r>
            <w:r>
              <w:rPr>
                <w:rtl/>
              </w:rPr>
              <w:t xml:space="preserve"> </w:t>
            </w:r>
            <w:r w:rsidRPr="005D642E">
              <w:rPr>
                <w:rtl/>
              </w:rPr>
              <w:t>في « بخ » :</w:t>
            </w:r>
            <w:r>
              <w:rPr>
                <w:rtl/>
              </w:rPr>
              <w:t xml:space="preserve"> - </w:t>
            </w:r>
            <w:r w:rsidRPr="005D642E">
              <w:rPr>
                <w:rtl/>
              </w:rPr>
              <w:t>« له</w:t>
            </w:r>
            <w:r>
              <w:rPr>
                <w:rtl/>
              </w:rPr>
              <w:t xml:space="preserve"> ».</w:t>
            </w:r>
          </w:p>
        </w:tc>
        <w:tc>
          <w:tcPr>
            <w:tcW w:w="4006" w:type="dxa"/>
          </w:tcPr>
          <w:p w:rsidR="00E5798F" w:rsidRDefault="00E5798F" w:rsidP="00E3253D">
            <w:pPr>
              <w:pStyle w:val="libFootnote0"/>
              <w:rPr>
                <w:rStyle w:val="libFootnote0Char"/>
                <w:rtl/>
              </w:rPr>
            </w:pPr>
            <w:r w:rsidRPr="0042621E">
              <w:rPr>
                <w:rStyle w:val="libFootnote0Char"/>
                <w:rtl/>
              </w:rPr>
              <w:t>(2).</w:t>
            </w:r>
            <w:r w:rsidRPr="005D642E">
              <w:rPr>
                <w:rtl/>
              </w:rPr>
              <w:t xml:space="preserve"> في « بث ، جح » : « فرجعا</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وفي « بخ » :</w:t>
      </w:r>
      <w:r w:rsidR="00E3253D">
        <w:rPr>
          <w:rtl/>
        </w:rPr>
        <w:t xml:space="preserve"> </w:t>
      </w:r>
      <w:r w:rsidR="007642BC">
        <w:rPr>
          <w:rtl/>
        </w:rPr>
        <w:t>-</w:t>
      </w:r>
      <w:r w:rsidR="00E3253D">
        <w:rPr>
          <w:rtl/>
        </w:rPr>
        <w:t xml:space="preserve"> </w:t>
      </w:r>
      <w:r w:rsidR="00E3253D" w:rsidRPr="005D642E">
        <w:rPr>
          <w:rtl/>
        </w:rPr>
        <w:t>« فلان</w:t>
      </w:r>
      <w:r w:rsidR="00E3253D">
        <w:rPr>
          <w:rtl/>
        </w:rPr>
        <w:t xml:space="preserve"> ».</w:t>
      </w:r>
      <w:r w:rsidR="00161CA2">
        <w:rPr>
          <w:rtl/>
        </w:rPr>
        <w:t xml:space="preserve"> وفي المطبوع :«</w:t>
      </w:r>
      <w:r w:rsidR="00E3253D" w:rsidRPr="005D642E">
        <w:rPr>
          <w:rtl/>
        </w:rPr>
        <w:t>المؤمن فلان</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جح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فلم نصبه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بف » : « ووجدناه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قال في </w:t>
      </w:r>
      <w:r w:rsidR="00E3253D" w:rsidRPr="002F4D34">
        <w:rPr>
          <w:rStyle w:val="libFootnoteBoldChar"/>
          <w:rtl/>
        </w:rPr>
        <w:t>الحبل المتين</w:t>
      </w:r>
      <w:r w:rsidR="00E3253D" w:rsidRPr="005D642E">
        <w:rPr>
          <w:rtl/>
        </w:rPr>
        <w:t xml:space="preserve"> ، ص 199 : « والمراد من قول الملكين : وجدناه في حبالك ، إنّا وجدناه ممنوعاً عن أفعاله الإراديّة كالمربوط بالحبال</w:t>
      </w:r>
      <w:r w:rsidR="00E3253D">
        <w:rPr>
          <w:rtl/>
        </w:rPr>
        <w:t xml:space="preserve"> ».</w:t>
      </w:r>
      <w:r w:rsidR="00E3253D" w:rsidRPr="005D642E">
        <w:rPr>
          <w:rtl/>
        </w:rPr>
        <w:t xml:space="preserve"> وقال في </w:t>
      </w:r>
      <w:r w:rsidR="00E3253D" w:rsidRPr="002F4D34">
        <w:rPr>
          <w:rStyle w:val="libFootnoteBoldChar"/>
          <w:rtl/>
        </w:rPr>
        <w:t>الوافي</w:t>
      </w:r>
      <w:r w:rsidR="00E3253D" w:rsidRPr="005D642E">
        <w:rPr>
          <w:rtl/>
        </w:rPr>
        <w:t xml:space="preserve"> : « الحبال : المصيدة ، شبّه المرض بالمصيدة لأنّه يغلق على العبد أبواب السير والتوسّع في الطاعات ، كما تغلق المصيدة على الصيد</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والوسائل : + « في صحّته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بث ، بخ ، بف ، جس » </w:t>
      </w:r>
      <w:r w:rsidR="000D749A" w:rsidRPr="000D749A">
        <w:rPr>
          <w:rStyle w:val="libFootnoteBoldChar"/>
          <w:rtl/>
        </w:rPr>
        <w:t>والوافي</w:t>
      </w:r>
      <w:r w:rsidR="00E3253D" w:rsidRPr="005D642E">
        <w:rPr>
          <w:rtl/>
        </w:rPr>
        <w:t xml:space="preserve"> والوسائل : « إذ</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24 ، ص 210 ، ح 23906 ؛ </w:t>
      </w:r>
      <w:r w:rsidR="00E3253D" w:rsidRPr="002F4D34">
        <w:rPr>
          <w:rStyle w:val="libFootnoteBoldChar"/>
          <w:rtl/>
        </w:rPr>
        <w:t>الوسائل</w:t>
      </w:r>
      <w:r w:rsidR="00E3253D" w:rsidRPr="005D642E">
        <w:rPr>
          <w:rtl/>
        </w:rPr>
        <w:t xml:space="preserve"> ، ج 2 ، ص 397 ، ح 2451 ؛ البحار ، ج 22 ، ص 83 ، ح 32.</w:t>
      </w:r>
    </w:p>
    <w:tbl>
      <w:tblPr>
        <w:tblStyle w:val="TableGrid"/>
        <w:bidiVisual/>
        <w:tblW w:w="0" w:type="auto"/>
        <w:tblLook w:val="04A0" w:firstRow="1" w:lastRow="0" w:firstColumn="1" w:lastColumn="0" w:noHBand="0" w:noVBand="1"/>
      </w:tblPr>
      <w:tblGrid>
        <w:gridCol w:w="4006"/>
        <w:gridCol w:w="4006"/>
      </w:tblGrid>
      <w:tr w:rsidR="00161CA2" w:rsidTr="00161CA2">
        <w:tc>
          <w:tcPr>
            <w:tcW w:w="4006" w:type="dxa"/>
          </w:tcPr>
          <w:p w:rsidR="00161CA2" w:rsidRDefault="00161CA2" w:rsidP="00E3253D">
            <w:pPr>
              <w:pStyle w:val="libFootnote0"/>
              <w:rPr>
                <w:rStyle w:val="libFootnote0Char"/>
                <w:rtl/>
              </w:rPr>
            </w:pPr>
            <w:r w:rsidRPr="0042621E">
              <w:rPr>
                <w:rStyle w:val="libFootnote0Char"/>
                <w:rtl/>
              </w:rPr>
              <w:t>(11).</w:t>
            </w:r>
            <w:r w:rsidRPr="005D642E">
              <w:rPr>
                <w:rtl/>
              </w:rPr>
              <w:t xml:space="preserve"> في « ظ » </w:t>
            </w:r>
            <w:r w:rsidRPr="000D749A">
              <w:rPr>
                <w:rStyle w:val="libFootnoteBoldChar"/>
                <w:rtl/>
              </w:rPr>
              <w:t>والوافي</w:t>
            </w:r>
            <w:r w:rsidRPr="005D642E">
              <w:rPr>
                <w:rtl/>
              </w:rPr>
              <w:t xml:space="preserve"> : « رسول الله</w:t>
            </w:r>
            <w:r>
              <w:rPr>
                <w:rtl/>
              </w:rPr>
              <w:t xml:space="preserve"> ».</w:t>
            </w:r>
          </w:p>
        </w:tc>
        <w:tc>
          <w:tcPr>
            <w:tcW w:w="4006" w:type="dxa"/>
          </w:tcPr>
          <w:p w:rsidR="00161CA2" w:rsidRDefault="00161CA2" w:rsidP="00E3253D">
            <w:pPr>
              <w:pStyle w:val="libFootnote0"/>
              <w:rPr>
                <w:rStyle w:val="libFootnote0Char"/>
                <w:rtl/>
              </w:rPr>
            </w:pPr>
            <w:r w:rsidRPr="0042621E">
              <w:rPr>
                <w:rStyle w:val="libFootnote0Char"/>
                <w:rtl/>
              </w:rPr>
              <w:t>(12).</w:t>
            </w:r>
            <w:r w:rsidR="00FA796D">
              <w:rPr>
                <w:rtl/>
              </w:rPr>
              <w:t xml:space="preserve"> في«بح،بخ،بف»وحاشية«بس</w:t>
            </w:r>
            <w:r w:rsidRPr="005D642E">
              <w:rPr>
                <w:rtl/>
              </w:rPr>
              <w:t>»</w:t>
            </w:r>
            <w:r w:rsidRPr="000D749A">
              <w:rPr>
                <w:rStyle w:val="libFootnoteBoldChar"/>
                <w:rtl/>
              </w:rPr>
              <w:t>والوافي</w:t>
            </w:r>
            <w:r w:rsidR="00FA796D">
              <w:rPr>
                <w:rtl/>
              </w:rPr>
              <w:t>:«</w:t>
            </w:r>
            <w:r w:rsidRPr="005D642E">
              <w:rPr>
                <w:rtl/>
              </w:rPr>
              <w:t>المؤمن</w:t>
            </w:r>
            <w:r>
              <w:rPr>
                <w:rtl/>
              </w:rPr>
              <w:t>».</w:t>
            </w:r>
          </w:p>
        </w:tc>
      </w:tr>
      <w:tr w:rsidR="00161CA2" w:rsidTr="00161CA2">
        <w:tc>
          <w:tcPr>
            <w:tcW w:w="4006" w:type="dxa"/>
          </w:tcPr>
          <w:p w:rsidR="00161CA2" w:rsidRDefault="00FA796D" w:rsidP="00E3253D">
            <w:pPr>
              <w:pStyle w:val="libFootnote0"/>
              <w:rPr>
                <w:rStyle w:val="libFootnote0Char"/>
                <w:rtl/>
              </w:rPr>
            </w:pPr>
            <w:r w:rsidRPr="0042621E">
              <w:rPr>
                <w:rStyle w:val="libFootnote0Char"/>
                <w:rtl/>
              </w:rPr>
              <w:t>(13).</w:t>
            </w:r>
            <w:r w:rsidRPr="005D642E">
              <w:rPr>
                <w:rtl/>
              </w:rPr>
              <w:t xml:space="preserve"> في « جن » : « يعمله</w:t>
            </w:r>
            <w:r>
              <w:rPr>
                <w:rtl/>
              </w:rPr>
              <w:t xml:space="preserve"> ».</w:t>
            </w:r>
          </w:p>
        </w:tc>
        <w:tc>
          <w:tcPr>
            <w:tcW w:w="4006" w:type="dxa"/>
          </w:tcPr>
          <w:p w:rsidR="00161CA2" w:rsidRDefault="00FA796D" w:rsidP="00E3253D">
            <w:pPr>
              <w:pStyle w:val="libFootnote0"/>
              <w:rPr>
                <w:rStyle w:val="libFootnote0Char"/>
                <w:rtl/>
              </w:rPr>
            </w:pPr>
            <w:r w:rsidRPr="0042621E">
              <w:rPr>
                <w:rStyle w:val="libFootnote0Char"/>
                <w:rtl/>
              </w:rPr>
              <w:t>(14).</w:t>
            </w:r>
            <w:r w:rsidRPr="005D642E">
              <w:rPr>
                <w:rtl/>
              </w:rPr>
              <w:t xml:space="preserve"> في الوسائل : + « المؤمن</w:t>
            </w:r>
            <w:r>
              <w:rPr>
                <w:rtl/>
              </w:rPr>
              <w:t xml:space="preserve"> ».</w:t>
            </w:r>
          </w:p>
        </w:tc>
      </w:tr>
      <w:tr w:rsidR="00161CA2" w:rsidTr="00161CA2">
        <w:tc>
          <w:tcPr>
            <w:tcW w:w="4006" w:type="dxa"/>
          </w:tcPr>
          <w:p w:rsidR="00161CA2" w:rsidRDefault="00FA796D" w:rsidP="00E3253D">
            <w:pPr>
              <w:pStyle w:val="libFootnote0"/>
              <w:rPr>
                <w:rStyle w:val="libFootnote0Char"/>
                <w:rtl/>
              </w:rPr>
            </w:pPr>
            <w:r w:rsidRPr="0042621E">
              <w:rPr>
                <w:rStyle w:val="libFootnote0Char"/>
                <w:rtl/>
              </w:rPr>
              <w:t>(15).</w:t>
            </w:r>
            <w:r w:rsidRPr="005D642E">
              <w:rPr>
                <w:rtl/>
              </w:rPr>
              <w:t xml:space="preserve"> في « بخ ، بف » </w:t>
            </w:r>
            <w:r w:rsidRPr="000D749A">
              <w:rPr>
                <w:rStyle w:val="libFootnoteBoldChar"/>
                <w:rtl/>
              </w:rPr>
              <w:t>والوافي</w:t>
            </w:r>
            <w:r w:rsidRPr="005D642E">
              <w:rPr>
                <w:rtl/>
              </w:rPr>
              <w:t xml:space="preserve"> : « فيكتب</w:t>
            </w:r>
            <w:r>
              <w:rPr>
                <w:rtl/>
              </w:rPr>
              <w:t xml:space="preserve"> ».</w:t>
            </w:r>
          </w:p>
        </w:tc>
        <w:tc>
          <w:tcPr>
            <w:tcW w:w="4006" w:type="dxa"/>
          </w:tcPr>
          <w:p w:rsidR="00161CA2" w:rsidRDefault="00FA796D" w:rsidP="00E3253D">
            <w:pPr>
              <w:pStyle w:val="libFootnote0"/>
              <w:rPr>
                <w:rStyle w:val="libFootnote0Char"/>
                <w:rtl/>
              </w:rPr>
            </w:pPr>
            <w:r w:rsidRPr="005D642E">
              <w:rPr>
                <w:rtl/>
              </w:rPr>
              <w:t>(1</w:t>
            </w:r>
            <w:r>
              <w:rPr>
                <w:rtl/>
              </w:rPr>
              <w:t>6)</w:t>
            </w:r>
            <w:r w:rsidRPr="005D642E">
              <w:rPr>
                <w:rtl/>
              </w:rPr>
              <w:t xml:space="preserve"> في الوافي :</w:t>
            </w:r>
            <w:r>
              <w:rPr>
                <w:rtl/>
              </w:rPr>
              <w:t xml:space="preserve"> - </w:t>
            </w:r>
            <w:r w:rsidRPr="005D642E">
              <w:rPr>
                <w:rtl/>
              </w:rPr>
              <w:t>« في صحّته</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جَسَدِهِ ، كَتَبَ اللهُ </w:t>
      </w:r>
      <w:r w:rsidRPr="007C12DB">
        <w:rPr>
          <w:rStyle w:val="libFootnotenumChar"/>
          <w:rtl/>
        </w:rPr>
        <w:t>(1)</w:t>
      </w:r>
      <w:r w:rsidRPr="005D642E">
        <w:rPr>
          <w:rtl/>
          <w:lang w:bidi="fa-IR"/>
        </w:rPr>
        <w:t xml:space="preserve"> لَهُ مَا كَانَ يَعْمَلُ مِنْ شَرٍّ </w:t>
      </w:r>
      <w:r w:rsidRPr="007C12DB">
        <w:rPr>
          <w:rStyle w:val="libFootnotenumChar"/>
          <w:rtl/>
        </w:rPr>
        <w:t>(2)</w:t>
      </w:r>
      <w:r w:rsidRPr="005D642E">
        <w:rPr>
          <w:rtl/>
          <w:lang w:bidi="fa-IR"/>
        </w:rPr>
        <w:t xml:space="preserve"> فِي صِحَّتِهِ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5D4077">
        <w:rPr>
          <w:rtl/>
        </w:rPr>
        <w:t>4253</w:t>
      </w:r>
      <w:r w:rsidRPr="00246318">
        <w:rPr>
          <w:rStyle w:val="libBold2Char"/>
          <w:rtl/>
        </w:rPr>
        <w:t xml:space="preserve"> / 3.</w:t>
      </w:r>
      <w:r w:rsidRPr="005D642E">
        <w:rPr>
          <w:rtl/>
          <w:lang w:bidi="fa-IR"/>
        </w:rPr>
        <w:t xml:space="preserve"> عَلِيُّ بْنُ إِبْرَاهِيمَ ، عَنْ أَبِيهِ ، عَنْ عَبْدِ اللهِ بْنِ الْمُغِيرَةِ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يَقُولُ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لِلْمَلَكِ الْمُوَكَّلِ بِالْمُؤْمِنِ </w:t>
      </w:r>
      <w:r w:rsidRPr="007C12DB">
        <w:rPr>
          <w:rStyle w:val="libFootnotenumChar"/>
          <w:rtl/>
        </w:rPr>
        <w:t>(5)</w:t>
      </w:r>
      <w:r w:rsidRPr="005D642E">
        <w:rPr>
          <w:rtl/>
          <w:lang w:bidi="fa-IR"/>
        </w:rPr>
        <w:t xml:space="preserve"> : إِذَا مَرِضَ ، اكْتُبْ لَهُ مَا كُنْتَ تَكْتُبُ لَهُ فِي صِحَّتِهِ ؛ فَإِنِّي أَنَا الَّذِي صَيَّرْتُهُ فِي حِبَالِي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D4077">
        <w:rPr>
          <w:rtl/>
        </w:rPr>
        <w:t>4254</w:t>
      </w:r>
      <w:r w:rsidRPr="00246318">
        <w:rPr>
          <w:rStyle w:val="libBold2Char"/>
          <w:rtl/>
        </w:rPr>
        <w:t xml:space="preserve"> / 4.</w:t>
      </w:r>
      <w:r w:rsidRPr="005D642E">
        <w:rPr>
          <w:rtl/>
          <w:lang w:bidi="fa-IR"/>
        </w:rPr>
        <w:t xml:space="preserve"> عَلِيٌّ ، عَنْ أَبِيهِ ، عَنْ عَبْدِ اللهِ بْنِ الْمُغِيرَةِ ، عَنْ أَبِي الصَّبَّاحِ ، قَالَ :</w:t>
      </w:r>
    </w:p>
    <w:p w:rsidR="00E3253D" w:rsidRPr="005D642E" w:rsidRDefault="00E3253D" w:rsidP="00E3253D">
      <w:pPr>
        <w:pStyle w:val="libNormal"/>
        <w:rPr>
          <w:rtl/>
          <w:lang w:bidi="fa-IR"/>
        </w:rPr>
      </w:pPr>
      <w:r w:rsidRPr="005D642E">
        <w:rPr>
          <w:rtl/>
          <w:lang w:bidi="fa-IR"/>
        </w:rPr>
        <w:t xml:space="preserve">قَالَ أَبُو جَعْفَرٍ </w:t>
      </w:r>
      <w:r w:rsidR="0042621E" w:rsidRPr="0042621E">
        <w:rPr>
          <w:rStyle w:val="libAlaemChar"/>
          <w:rtl/>
        </w:rPr>
        <w:t>صلى‌الله‌عليه‌وآله</w:t>
      </w:r>
      <w:r w:rsidRPr="005D642E">
        <w:rPr>
          <w:rtl/>
          <w:lang w:bidi="fa-IR"/>
        </w:rPr>
        <w:t xml:space="preserve"> : « سَهَرُ لَيْلَةٍ مِنْ مَرَضٍ أَفْضَلُ مِنْ عِبَادَةِ سَنَةٍ</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5D4077">
        <w:rPr>
          <w:rtl/>
        </w:rPr>
        <w:t>4255</w:t>
      </w:r>
      <w:r w:rsidRPr="00246318">
        <w:rPr>
          <w:rStyle w:val="libBold2Char"/>
          <w:rtl/>
        </w:rPr>
        <w:t xml:space="preserve"> / 5.</w:t>
      </w:r>
      <w:r w:rsidRPr="005D642E">
        <w:rPr>
          <w:rtl/>
          <w:lang w:bidi="fa-IR"/>
        </w:rPr>
        <w:t xml:space="preserve"> عِدَّةٌ مِنْ أَصْحَابِنَا ، عَنْ سَهْلِ بْنِ زِيَادٍ ، عَنِ ابْنِ مَحْبُوبٍ ، عَنْ عَبْدِ الْحَمِيدِ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صَعِدَ مَلَكَا الْعَبْدِ </w:t>
      </w:r>
      <w:r w:rsidRPr="007C12DB">
        <w:rPr>
          <w:rStyle w:val="libFootnotenumChar"/>
          <w:rtl/>
        </w:rPr>
        <w:t>(9)</w:t>
      </w:r>
      <w:r w:rsidRPr="005D642E">
        <w:rPr>
          <w:rtl/>
          <w:lang w:bidi="fa-IR"/>
        </w:rPr>
        <w:t xml:space="preserve"> الْمَرِيضِ إِلَى السَّمَاءِ عِنْدَ كُلِّ مَسَاءٍ ، يَقُولُ الرَّبُّ</w:t>
      </w:r>
      <w:r>
        <w:rPr>
          <w:rtl/>
          <w:lang w:bidi="fa-IR"/>
        </w:rPr>
        <w:t xml:space="preserve"> </w:t>
      </w:r>
      <w:r w:rsidR="007642BC">
        <w:rPr>
          <w:rtl/>
          <w:lang w:bidi="fa-IR"/>
        </w:rPr>
        <w:t>-</w:t>
      </w:r>
      <w:r>
        <w:rPr>
          <w:rtl/>
          <w:lang w:bidi="fa-IR"/>
        </w:rPr>
        <w:t xml:space="preserve"> </w:t>
      </w:r>
      <w:r w:rsidRPr="005D642E">
        <w:rPr>
          <w:rtl/>
          <w:lang w:bidi="fa-IR"/>
        </w:rPr>
        <w:t>تَبَارَكَ وَتَعَالى</w:t>
      </w:r>
      <w:r>
        <w:rPr>
          <w:rtl/>
          <w:lang w:bidi="fa-IR"/>
        </w:rPr>
        <w:t xml:space="preserve"> </w:t>
      </w:r>
      <w:r w:rsidR="007642BC">
        <w:rPr>
          <w:rtl/>
          <w:lang w:bidi="fa-IR"/>
        </w:rPr>
        <w:t>-</w:t>
      </w:r>
      <w:r>
        <w:rPr>
          <w:rtl/>
          <w:lang w:bidi="fa-IR"/>
        </w:rPr>
        <w:t xml:space="preserve"> </w:t>
      </w:r>
      <w:r w:rsidRPr="005D642E">
        <w:rPr>
          <w:rtl/>
          <w:lang w:bidi="fa-IR"/>
        </w:rPr>
        <w:t>: مَاذَا كَتَبْتُمَا لِعَبْدِي فِي مَرَضِهِ</w:t>
      </w:r>
      <w:r>
        <w:rPr>
          <w:rtl/>
          <w:lang w:bidi="fa-IR"/>
        </w:rPr>
        <w:t>؟</w:t>
      </w:r>
      <w:r w:rsidRPr="005D642E">
        <w:rPr>
          <w:rtl/>
          <w:lang w:bidi="fa-IR"/>
        </w:rPr>
        <w:t xml:space="preserve"> فَيَقُولَانِ :</w:t>
      </w:r>
      <w:r>
        <w:rPr>
          <w:rFonts w:hint="cs"/>
          <w:rtl/>
          <w:lang w:bidi="fa-IR"/>
        </w:rPr>
        <w:t xml:space="preserve"> </w:t>
      </w:r>
      <w:r w:rsidRPr="005D642E">
        <w:rPr>
          <w:rtl/>
          <w:lang w:bidi="fa-IR"/>
        </w:rPr>
        <w:t xml:space="preserve">الشِّكَايَةَ ، فَيَقُولُ : مَا أَنْصَفْتُ عَبْدِي إِنْ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حَبَسْتُهُ فِي حَبْسٍ مِنْ حَبْسِي ، ثُمَّ أَمْنَعُهُ </w:t>
      </w:r>
      <w:r w:rsidRPr="007C12DB">
        <w:rPr>
          <w:rStyle w:val="libFootnotenumChar"/>
          <w:rtl/>
        </w:rPr>
        <w:t>(</w:t>
      </w:r>
      <w:r w:rsidRPr="007C12DB">
        <w:rPr>
          <w:rStyle w:val="libFootnotenumChar"/>
          <w:rFonts w:hint="cs"/>
          <w:rtl/>
        </w:rPr>
        <w:t>11</w:t>
      </w:r>
      <w:r w:rsidRPr="007C12DB">
        <w:rPr>
          <w:rStyle w:val="libFootnotenumChar"/>
          <w:rtl/>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 « يكتب » بدل « كتب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وفي « بخ » :</w:t>
      </w:r>
      <w:r w:rsidR="00E3253D">
        <w:rPr>
          <w:rtl/>
        </w:rPr>
        <w:t xml:space="preserve"> </w:t>
      </w:r>
      <w:r w:rsidR="007642BC">
        <w:rPr>
          <w:rtl/>
        </w:rPr>
        <w:t>-</w:t>
      </w:r>
      <w:r w:rsidR="00E3253D">
        <w:rPr>
          <w:rtl/>
        </w:rPr>
        <w:t xml:space="preserve"> </w:t>
      </w:r>
      <w:r w:rsidR="00E3253D" w:rsidRPr="005D642E">
        <w:rPr>
          <w:rtl/>
        </w:rPr>
        <w:t>« حتّى يرفعه</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في صحّته</w:t>
      </w:r>
      <w:r w:rsidR="00E3253D">
        <w:rPr>
          <w:rtl/>
        </w:rPr>
        <w:t xml:space="preserve"> ».</w:t>
      </w:r>
      <w:r w:rsidR="00E3253D" w:rsidRPr="005D642E">
        <w:rPr>
          <w:rtl/>
        </w:rPr>
        <w:t xml:space="preserve"> وفي المطبوع : « من الشرّ</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263 : « فإن قيل : كيف يكتب الشرّ على الكافر مع أنّه لم يعمله</w:t>
      </w:r>
      <w:r w:rsidR="00E3253D">
        <w:rPr>
          <w:rtl/>
        </w:rPr>
        <w:t>؟</w:t>
      </w:r>
      <w:r w:rsidR="00E3253D" w:rsidRPr="005D642E">
        <w:rPr>
          <w:rtl/>
        </w:rPr>
        <w:t xml:space="preserve"> قلنا : لا استبعاد في أن يكلّفه الله بترك العزم على الشرّ ويعاقبه عليه عقاب أصل الفعل. فإن قيل : ورد في الأخبار أنّ في تلك الا</w:t>
      </w:r>
      <w:r w:rsidR="0002235A">
        <w:rPr>
          <w:rFonts w:hint="cs"/>
          <w:rtl/>
        </w:rPr>
        <w:t>ُ</w:t>
      </w:r>
      <w:r w:rsidR="00E3253D" w:rsidRPr="005D642E">
        <w:rPr>
          <w:rtl/>
        </w:rPr>
        <w:t>مّة لايكتب النيّة للشرور والمعاصي ، قلنا : لعلّ ذلك مخصوص بالمؤمنين لابمطلق الا</w:t>
      </w:r>
      <w:r w:rsidR="0002235A">
        <w:rPr>
          <w:rFonts w:hint="cs"/>
          <w:rtl/>
        </w:rPr>
        <w:t>ُ</w:t>
      </w:r>
      <w:r w:rsidR="00E3253D" w:rsidRPr="005D642E">
        <w:rPr>
          <w:rtl/>
        </w:rPr>
        <w:t>مّة</w:t>
      </w:r>
      <w:r w:rsidR="00E3253D">
        <w:rPr>
          <w:rtl/>
        </w:rPr>
        <w:t xml:space="preserve"> ».</w:t>
      </w:r>
    </w:p>
    <w:p w:rsidR="00E3253D" w:rsidRPr="005D642E" w:rsidRDefault="0042621E" w:rsidP="00AF1DA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24 ، ص 211 ، ح 23908 ؛ </w:t>
      </w:r>
      <w:r w:rsidR="00E3253D" w:rsidRPr="002F4D34">
        <w:rPr>
          <w:rStyle w:val="libFootnoteBoldChar"/>
          <w:rtl/>
        </w:rPr>
        <w:t>الوسائل</w:t>
      </w:r>
      <w:r w:rsidR="00E3253D" w:rsidRPr="005D642E">
        <w:rPr>
          <w:rtl/>
        </w:rPr>
        <w:t xml:space="preserve"> ، ج 2 ، ص 399 ، ح 2458 ، من قوله : « إذا مرض » » إلى قوله : « يرفعه الله ويقبضه</w:t>
      </w:r>
      <w:r w:rsidR="00E3253D">
        <w:rPr>
          <w:rtl/>
        </w:rPr>
        <w:t xml:space="preserve"> ».</w:t>
      </w:r>
      <w:r w:rsidR="00AF1DAD">
        <w:rPr>
          <w:rFonts w:hint="cs"/>
          <w:rtl/>
        </w:rPr>
        <w:t xml:space="preserve">                </w:t>
      </w:r>
      <w:r w:rsidRPr="0042621E">
        <w:rPr>
          <w:rStyle w:val="libFootnote0Char"/>
          <w:rtl/>
        </w:rPr>
        <w:t>(5).</w:t>
      </w:r>
      <w:r w:rsidR="00E3253D" w:rsidRPr="005D642E">
        <w:rPr>
          <w:rtl/>
        </w:rPr>
        <w:t xml:space="preserve"> في « غ » : « للمؤمن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 « حباله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211 ، ح 23907 ؛ </w:t>
      </w:r>
      <w:r w:rsidR="00E3253D" w:rsidRPr="002F4D34">
        <w:rPr>
          <w:rStyle w:val="libFootnoteBoldChar"/>
          <w:rtl/>
        </w:rPr>
        <w:t>الوسائل</w:t>
      </w:r>
      <w:r w:rsidR="00E3253D" w:rsidRPr="005D642E">
        <w:rPr>
          <w:rtl/>
        </w:rPr>
        <w:t xml:space="preserve"> ، ج 2 ، ص 398 ، ح 2452.</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24 ، ص 212 ، ح 23911 ؛ </w:t>
      </w:r>
      <w:r w:rsidR="00E3253D" w:rsidRPr="002F4D34">
        <w:rPr>
          <w:rStyle w:val="libFootnoteBoldChar"/>
          <w:rtl/>
        </w:rPr>
        <w:t>الوسائل</w:t>
      </w:r>
      <w:r w:rsidR="00E3253D" w:rsidRPr="005D642E">
        <w:rPr>
          <w:rtl/>
        </w:rPr>
        <w:t xml:space="preserve"> ، ج 2 ، ص 398 ، ح 2453.</w:t>
      </w:r>
    </w:p>
    <w:tbl>
      <w:tblPr>
        <w:tblStyle w:val="TableGrid"/>
        <w:bidiVisual/>
        <w:tblW w:w="0" w:type="auto"/>
        <w:tblLook w:val="04A0" w:firstRow="1" w:lastRow="0" w:firstColumn="1" w:lastColumn="0" w:noHBand="0" w:noVBand="1"/>
      </w:tblPr>
      <w:tblGrid>
        <w:gridCol w:w="4006"/>
        <w:gridCol w:w="4006"/>
      </w:tblGrid>
      <w:tr w:rsidR="00AF1DAD" w:rsidTr="00AF1DAD">
        <w:tc>
          <w:tcPr>
            <w:tcW w:w="4006" w:type="dxa"/>
          </w:tcPr>
          <w:p w:rsidR="00AF1DAD" w:rsidRDefault="00AF1DAD" w:rsidP="00E3253D">
            <w:pPr>
              <w:pStyle w:val="libFootnote0"/>
              <w:rPr>
                <w:rStyle w:val="libFootnote0Char"/>
                <w:rtl/>
              </w:rPr>
            </w:pPr>
            <w:r w:rsidRPr="0042621E">
              <w:rPr>
                <w:rStyle w:val="libFootnote0Char"/>
                <w:rtl/>
              </w:rPr>
              <w:t>(9).</w:t>
            </w:r>
            <w:r w:rsidRPr="005D642E">
              <w:rPr>
                <w:rtl/>
              </w:rPr>
              <w:t xml:space="preserve"> في « بخ » : « لعبد</w:t>
            </w:r>
            <w:r>
              <w:rPr>
                <w:rtl/>
              </w:rPr>
              <w:t xml:space="preserve"> ».</w:t>
            </w:r>
          </w:p>
        </w:tc>
        <w:tc>
          <w:tcPr>
            <w:tcW w:w="4006" w:type="dxa"/>
          </w:tcPr>
          <w:p w:rsidR="00AF1DAD" w:rsidRDefault="00AF1DAD" w:rsidP="00E3253D">
            <w:pPr>
              <w:pStyle w:val="libFootnote0"/>
              <w:rPr>
                <w:rStyle w:val="libFootnote0Char"/>
                <w:rtl/>
              </w:rPr>
            </w:pPr>
            <w:r w:rsidRPr="0042621E">
              <w:rPr>
                <w:rStyle w:val="libFootnote0Char"/>
                <w:rtl/>
              </w:rPr>
              <w:t>(10).</w:t>
            </w:r>
            <w:r>
              <w:rPr>
                <w:rtl/>
              </w:rPr>
              <w:t xml:space="preserve"> </w:t>
            </w:r>
            <w:r w:rsidRPr="005D642E">
              <w:rPr>
                <w:rtl/>
              </w:rPr>
              <w:t xml:space="preserve">في « بف » </w:t>
            </w:r>
            <w:r w:rsidRPr="000D749A">
              <w:rPr>
                <w:rStyle w:val="libFootnoteBoldChar"/>
                <w:rtl/>
              </w:rPr>
              <w:t>والوافي</w:t>
            </w:r>
            <w:r w:rsidRPr="005D642E">
              <w:rPr>
                <w:rtl/>
              </w:rPr>
              <w:t xml:space="preserve"> : « إذ</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بس » : + « من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الشِّكَايَةَ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 اكْتُبَا لِعَبْدِي مِثْلَ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مَا كُنْتُمَا تَكْتُبَانِ لَهُ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مِنَ الْخَيْرِ فِي صِحَّتِهِ ، وَلَاتَكْتُبَا عَلَيْهِ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سَيِّئَةً حَتّى أُطْلِقَهُ مِنْ حَبْسِي ؛ فَإِنَّهُ فِي حَبْسٍ مِنْ حَبْسِي </w:t>
      </w:r>
      <w:r w:rsidRPr="007C12DB">
        <w:rPr>
          <w:rStyle w:val="libFootnotenumChar"/>
          <w:rtl/>
        </w:rPr>
        <w:t>(</w:t>
      </w:r>
      <w:r w:rsidRPr="007C12DB">
        <w:rPr>
          <w:rStyle w:val="libFootnotenumChar"/>
          <w:rFonts w:hint="cs"/>
          <w:rtl/>
        </w:rPr>
        <w:t>5</w:t>
      </w:r>
      <w:r w:rsidRPr="007C12DB">
        <w:rPr>
          <w:rStyle w:val="libFootnotenumChar"/>
          <w:rtl/>
        </w:rPr>
        <w:t>)</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7B09A0">
        <w:rPr>
          <w:rtl/>
        </w:rPr>
        <w:t>4256</w:t>
      </w:r>
      <w:r w:rsidRPr="00246318">
        <w:rPr>
          <w:rStyle w:val="libBold2Char"/>
          <w:rtl/>
        </w:rPr>
        <w:t xml:space="preserve"> / 6.</w:t>
      </w:r>
      <w:r w:rsidRPr="005D642E">
        <w:rPr>
          <w:rtl/>
          <w:lang w:bidi="fa-IR"/>
        </w:rPr>
        <w:t xml:space="preserve"> مُحَمَّدُ بْنُ يَحْيى ، عَنْ أَحْمَدَ بْنِ مُحَمَّدِ بْنِ عِيسى ، عَنِ الْحُسَيْنِ بْنِ سَعِيدٍ ، عَنِ النَّضْرِ بْنِ سُوَيْدٍ ، عَنْ دُرُسْتَ ، عَنْ زُرَارَةَ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 سَهَرُ لَيْلَةٍ مِنْ مَرَضٍ أَوْ وَجَعٍ ، أَفْضَلُ وَأَعْظَمُ أَجْراً مِنْ عِبَادَةِ سَنَةٍ</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7B09A0">
        <w:rPr>
          <w:rtl/>
        </w:rPr>
        <w:t>4257</w:t>
      </w:r>
      <w:r w:rsidRPr="00246318">
        <w:rPr>
          <w:rStyle w:val="libBold2Char"/>
          <w:rtl/>
        </w:rPr>
        <w:t xml:space="preserve"> / 7.</w:t>
      </w:r>
      <w:r w:rsidRPr="005D642E">
        <w:rPr>
          <w:rtl/>
          <w:lang w:bidi="fa-IR"/>
        </w:rPr>
        <w:t xml:space="preserve"> عَنْهُ ، عَنْ أَحْمَدَ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 عَنْ أَحْمَدَ بْنِ مُحَمَّدِ بْنِ أَبِي نَصْرٍ ، عَنْ دُرُسْتَ ، قَالَ :</w:t>
      </w:r>
    </w:p>
    <w:p w:rsidR="00E3253D" w:rsidRPr="005D642E" w:rsidRDefault="00E3253D" w:rsidP="00E3253D">
      <w:pPr>
        <w:pStyle w:val="libNormal"/>
        <w:rPr>
          <w:rtl/>
          <w:lang w:bidi="fa-IR"/>
        </w:rPr>
      </w:pPr>
      <w:r w:rsidRPr="005D642E">
        <w:rPr>
          <w:rtl/>
          <w:lang w:bidi="fa-IR"/>
        </w:rPr>
        <w:t xml:space="preserve">سَمِعْتُ أَبَا إِبْرَاهِيمَ </w:t>
      </w:r>
      <w:r w:rsidRPr="00AC51C5">
        <w:rPr>
          <w:rStyle w:val="libAlaemChar"/>
          <w:rtl/>
        </w:rPr>
        <w:t>عليه‌السلام</w:t>
      </w:r>
      <w:r w:rsidRPr="005D642E">
        <w:rPr>
          <w:rtl/>
          <w:lang w:bidi="fa-IR"/>
        </w:rPr>
        <w:t xml:space="preserve"> يَقُولُ : « إِذَا مَرِضَ الْمُؤْمِنُ ، أَوْحَى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إِلى صَاحِبِ الشِّمَالِ : لَاتَكْتُبْ </w:t>
      </w:r>
      <w:r w:rsidRPr="007C12DB">
        <w:rPr>
          <w:rStyle w:val="libFootnotenumChar"/>
          <w:rtl/>
        </w:rPr>
        <w:t>(</w:t>
      </w:r>
      <w:r w:rsidRPr="007C12DB">
        <w:rPr>
          <w:rStyle w:val="libFootnotenumChar"/>
          <w:rFonts w:hint="cs"/>
          <w:rtl/>
        </w:rPr>
        <w:t>9</w:t>
      </w:r>
      <w:r w:rsidRPr="007C12DB">
        <w:rPr>
          <w:rStyle w:val="libFootnotenumChar"/>
          <w:rtl/>
        </w:rPr>
        <w:t>)</w:t>
      </w:r>
      <w:r w:rsidRPr="005D642E">
        <w:rPr>
          <w:rtl/>
          <w:lang w:bidi="fa-IR"/>
        </w:rPr>
        <w:t xml:space="preserve"> عَلى عَبْدِي مَا دَامَ فِي حَبْسِي وَوَثَاقِي ذَنْباً ، وَيُوحِي إِلى صَاحِبِ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الْيَمِينِ : أَنِ اكْتُبْ لِعَبْدِي مَا كُنْتَ تَكْتُبُهُ </w:t>
      </w:r>
      <w:r w:rsidRPr="007C12DB">
        <w:rPr>
          <w:rStyle w:val="libFootnotenumChar"/>
          <w:rtl/>
        </w:rPr>
        <w:t>(</w:t>
      </w:r>
      <w:r w:rsidRPr="007C12DB">
        <w:rPr>
          <w:rStyle w:val="libFootnotenumChar"/>
          <w:rFonts w:hint="cs"/>
          <w:rtl/>
        </w:rPr>
        <w:t>11</w:t>
      </w:r>
      <w:r w:rsidRPr="007C12DB">
        <w:rPr>
          <w:rStyle w:val="libFootnotenumChar"/>
          <w:rtl/>
        </w:rPr>
        <w:t>)</w:t>
      </w:r>
      <w:r w:rsidRPr="005D642E">
        <w:rPr>
          <w:rtl/>
          <w:lang w:bidi="fa-IR"/>
        </w:rPr>
        <w:t xml:space="preserve"> فِي صِحَّتِهِ مِنَ الْحَسَنَاتِ</w:t>
      </w:r>
      <w:r>
        <w:rPr>
          <w:rtl/>
          <w:lang w:bidi="fa-IR"/>
        </w:rPr>
        <w:t xml:space="preserve"> ».</w:t>
      </w:r>
      <w:r w:rsidRPr="005D642E">
        <w:rPr>
          <w:rtl/>
          <w:lang w:bidi="fa-IR"/>
        </w:rPr>
        <w:t xml:space="preserve"> </w:t>
      </w:r>
      <w:r w:rsidRPr="007C12DB">
        <w:rPr>
          <w:rStyle w:val="libFootnotenumChar"/>
          <w:rtl/>
        </w:rPr>
        <w:t>(1</w:t>
      </w:r>
      <w:r w:rsidRPr="007C12DB">
        <w:rPr>
          <w:rStyle w:val="libFootnotenumChar"/>
          <w:rFonts w:hint="cs"/>
          <w:rtl/>
        </w:rPr>
        <w:t>2</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7B09A0">
        <w:rPr>
          <w:rtl/>
        </w:rPr>
        <w:t>4258</w:t>
      </w:r>
      <w:r w:rsidRPr="00246318">
        <w:rPr>
          <w:rStyle w:val="libBold2Char"/>
          <w:rtl/>
        </w:rPr>
        <w:t xml:space="preserve"> / 8.</w:t>
      </w:r>
      <w:r w:rsidRPr="005D642E">
        <w:rPr>
          <w:rtl/>
          <w:lang w:bidi="fa-IR"/>
        </w:rPr>
        <w:t xml:space="preserve"> عِدَّةٌ مِنْ أَصْحَابِنَا ، عَنْ أَحْمَدَ بْنِ مُحَمَّدٍ ، عَنِ ابْنِ مَحْبُوبٍ ، عَنْ حَفْصِ بْنِ‌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 + « فيقول</w:t>
      </w:r>
      <w:r w:rsidR="00E3253D">
        <w:rPr>
          <w:rtl/>
        </w:rPr>
        <w:t xml:space="preserve"> ».</w:t>
      </w:r>
      <w:r w:rsidR="00E3253D" w:rsidRPr="005D642E">
        <w:rPr>
          <w:rtl/>
        </w:rPr>
        <w:t xml:space="preserve"> وفي « بخ » :</w:t>
      </w:r>
      <w:r w:rsidR="00E3253D">
        <w:rPr>
          <w:rtl/>
        </w:rPr>
        <w:t xml:space="preserve"> </w:t>
      </w:r>
      <w:r w:rsidR="007642BC">
        <w:rPr>
          <w:rtl/>
        </w:rPr>
        <w:t>-</w:t>
      </w:r>
      <w:r w:rsidR="00E3253D">
        <w:rPr>
          <w:rtl/>
        </w:rPr>
        <w:t xml:space="preserve"> </w:t>
      </w:r>
      <w:r w:rsidR="00E3253D" w:rsidRPr="005D642E">
        <w:rPr>
          <w:rtl/>
        </w:rPr>
        <w:t>« الشكاية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40FB9" w:rsidTr="00D40FB9">
        <w:tc>
          <w:tcPr>
            <w:tcW w:w="4006" w:type="dxa"/>
          </w:tcPr>
          <w:p w:rsidR="00D40FB9" w:rsidRDefault="00D40FB9" w:rsidP="00E3253D">
            <w:pPr>
              <w:pStyle w:val="libFootnote0"/>
              <w:rPr>
                <w:rStyle w:val="libFootnote0Char"/>
                <w:rtl/>
              </w:rPr>
            </w:pPr>
            <w:r w:rsidRPr="0042621E">
              <w:rPr>
                <w:rStyle w:val="libFootnote0Char"/>
                <w:rtl/>
              </w:rPr>
              <w:t>(2).</w:t>
            </w:r>
            <w:r w:rsidRPr="005D642E">
              <w:rPr>
                <w:rtl/>
              </w:rPr>
              <w:t xml:space="preserve"> في « بح » :</w:t>
            </w:r>
            <w:r>
              <w:rPr>
                <w:rtl/>
              </w:rPr>
              <w:t xml:space="preserve"> - </w:t>
            </w:r>
            <w:r w:rsidRPr="005D642E">
              <w:rPr>
                <w:rtl/>
              </w:rPr>
              <w:t>« لعبدي مثل</w:t>
            </w:r>
            <w:r>
              <w:rPr>
                <w:rtl/>
              </w:rPr>
              <w:t xml:space="preserve"> ».</w:t>
            </w:r>
          </w:p>
        </w:tc>
        <w:tc>
          <w:tcPr>
            <w:tcW w:w="4006" w:type="dxa"/>
          </w:tcPr>
          <w:p w:rsidR="00D40FB9" w:rsidRDefault="00D40FB9" w:rsidP="00E3253D">
            <w:pPr>
              <w:pStyle w:val="libFootnote0"/>
              <w:rPr>
                <w:rStyle w:val="libFootnote0Char"/>
                <w:rtl/>
              </w:rPr>
            </w:pPr>
            <w:r w:rsidRPr="0042621E">
              <w:rPr>
                <w:rStyle w:val="libFootnote0Char"/>
                <w:rtl/>
              </w:rPr>
              <w:t>(3).</w:t>
            </w:r>
            <w:r w:rsidRPr="005D642E">
              <w:rPr>
                <w:rtl/>
              </w:rPr>
              <w:t xml:space="preserve"> في « جن » :</w:t>
            </w:r>
            <w:r>
              <w:rPr>
                <w:rtl/>
              </w:rPr>
              <w:t xml:space="preserve"> - </w:t>
            </w:r>
            <w:r w:rsidRPr="005D642E">
              <w:rPr>
                <w:rtl/>
              </w:rPr>
              <w:t>« له</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w:t>
      </w:r>
      <w:r w:rsidR="00E3253D">
        <w:rPr>
          <w:rtl/>
        </w:rPr>
        <w:t xml:space="preserve"> </w:t>
      </w:r>
      <w:r w:rsidR="007642BC">
        <w:rPr>
          <w:rtl/>
        </w:rPr>
        <w:t>-</w:t>
      </w:r>
      <w:r w:rsidR="00E3253D">
        <w:rPr>
          <w:rtl/>
        </w:rPr>
        <w:t xml:space="preserve"> </w:t>
      </w:r>
      <w:r w:rsidR="00E3253D" w:rsidRPr="005D642E">
        <w:rPr>
          <w:rtl/>
        </w:rPr>
        <w:t>«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بخ » </w:t>
      </w:r>
      <w:r w:rsidR="000D749A" w:rsidRPr="000D749A">
        <w:rPr>
          <w:rStyle w:val="libFootnoteBoldChar"/>
          <w:rtl/>
        </w:rPr>
        <w:t>والوافي</w:t>
      </w:r>
      <w:r w:rsidR="00E3253D" w:rsidRPr="005D642E">
        <w:rPr>
          <w:rtl/>
        </w:rPr>
        <w:t xml:space="preserve"> : « فإنّه حبس في حبسي » بدل « فإنّه في حبس من حبسي</w:t>
      </w:r>
      <w:r w:rsidR="00E3253D">
        <w:rPr>
          <w:rtl/>
        </w:rPr>
        <w:t xml:space="preserve"> ».</w:t>
      </w:r>
      <w:r w:rsidR="00E3253D" w:rsidRPr="005D642E">
        <w:rPr>
          <w:rtl/>
        </w:rPr>
        <w:t xml:space="preserve"> وفي « غ » :</w:t>
      </w:r>
      <w:r w:rsidR="00E3253D">
        <w:rPr>
          <w:rtl/>
        </w:rPr>
        <w:t xml:space="preserve"> </w:t>
      </w:r>
      <w:r w:rsidR="007642BC">
        <w:rPr>
          <w:rtl/>
        </w:rPr>
        <w:t>-</w:t>
      </w:r>
      <w:r w:rsidR="00E3253D">
        <w:rPr>
          <w:rtl/>
        </w:rPr>
        <w:t xml:space="preserve"> </w:t>
      </w:r>
      <w:r w:rsidR="00E3253D" w:rsidRPr="005D642E">
        <w:rPr>
          <w:rtl/>
        </w:rPr>
        <w:t>« فإنّه في حبس من حبسي</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24 ، ص 212 ، ح 23909 ؛ </w:t>
      </w:r>
      <w:r w:rsidR="00E3253D" w:rsidRPr="002F4D34">
        <w:rPr>
          <w:rStyle w:val="libFootnoteBoldChar"/>
          <w:rtl/>
        </w:rPr>
        <w:t>الوسائل</w:t>
      </w:r>
      <w:r w:rsidR="00E3253D" w:rsidRPr="005D642E">
        <w:rPr>
          <w:rtl/>
        </w:rPr>
        <w:t xml:space="preserve"> ، ج 2 ، ص 410 ، ح 2499 ؛ </w:t>
      </w:r>
      <w:r w:rsidR="00E3253D" w:rsidRPr="002F4D34">
        <w:rPr>
          <w:rStyle w:val="libFootnoteBoldChar"/>
          <w:rtl/>
        </w:rPr>
        <w:t>البحار</w:t>
      </w:r>
      <w:r w:rsidR="00E3253D" w:rsidRPr="005D642E">
        <w:rPr>
          <w:rtl/>
        </w:rPr>
        <w:t xml:space="preserve"> ، ج 59 ، ص 187 ، ح 34.</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212 ، ح 23912 ؛ </w:t>
      </w:r>
      <w:r w:rsidR="00E3253D" w:rsidRPr="002F4D34">
        <w:rPr>
          <w:rStyle w:val="libFootnoteBoldChar"/>
          <w:rtl/>
        </w:rPr>
        <w:t>الوسائل</w:t>
      </w:r>
      <w:r w:rsidR="00E3253D" w:rsidRPr="005D642E">
        <w:rPr>
          <w:rtl/>
        </w:rPr>
        <w:t xml:space="preserve"> ، ج 2 ، ص 399 ، ح 2454.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بث ، بس ، جس » :</w:t>
      </w:r>
      <w:r w:rsidR="00E3253D">
        <w:rPr>
          <w:rtl/>
        </w:rPr>
        <w:t xml:space="preserve"> </w:t>
      </w:r>
      <w:r w:rsidR="007642BC">
        <w:rPr>
          <w:rtl/>
        </w:rPr>
        <w:t>-</w:t>
      </w:r>
      <w:r w:rsidR="00E3253D">
        <w:rPr>
          <w:rtl/>
        </w:rPr>
        <w:t xml:space="preserve"> </w:t>
      </w:r>
      <w:r w:rsidR="00E3253D" w:rsidRPr="005D642E">
        <w:rPr>
          <w:rtl/>
        </w:rPr>
        <w:t>« عن أحمد</w:t>
      </w:r>
      <w:r w:rsidR="00E3253D">
        <w:rPr>
          <w:rtl/>
        </w:rPr>
        <w:t xml:space="preserve"> ».</w:t>
      </w:r>
      <w:r w:rsidR="00E3253D" w:rsidRPr="005D642E">
        <w:rPr>
          <w:rtl/>
        </w:rPr>
        <w:t xml:space="preserve"> هذا ، والضمير على فرض صحّة هذه النسخ راجع إلى أحمد بن محمّد بن عيسى ، فيكون</w:t>
      </w:r>
      <w:r w:rsidR="006670AA">
        <w:rPr>
          <w:rtl/>
        </w:rPr>
        <w:t xml:space="preserve"> السند معلّقاً على سابقه ، وإل</w:t>
      </w:r>
      <w:r w:rsidR="006670AA">
        <w:rPr>
          <w:rFonts w:hint="cs"/>
          <w:rtl/>
        </w:rPr>
        <w:t>ّ</w:t>
      </w:r>
      <w:r w:rsidR="006670AA">
        <w:rPr>
          <w:rtl/>
        </w:rPr>
        <w:t>ا</w:t>
      </w:r>
      <w:r w:rsidR="00E3253D" w:rsidRPr="005D642E">
        <w:rPr>
          <w:rtl/>
        </w:rPr>
        <w:t xml:space="preserve"> فمرجع الضمير هو محمّد بن يحيى ، والمراد من « أحمد » هو أحمد بن محمّد بن عيسى.</w:t>
      </w:r>
      <w:r w:rsidR="00E3253D">
        <w:rPr>
          <w:rFonts w:hint="cs"/>
          <w:rtl/>
          <w:lang w:bidi="fa-IR"/>
        </w:rPr>
        <w:t xml:space="preserve"> </w:t>
      </w:r>
      <w:r w:rsidR="00D50D40">
        <w:rPr>
          <w:rFonts w:hint="cs"/>
          <w:rtl/>
          <w:lang w:bidi="fa-IR"/>
        </w:rPr>
        <w:t xml:space="preserve">                              </w:t>
      </w:r>
      <w:r w:rsidRPr="0042621E">
        <w:rPr>
          <w:rStyle w:val="libFootnote0Char"/>
          <w:rtl/>
        </w:rPr>
        <w:t>(9).</w:t>
      </w:r>
      <w:r w:rsidR="00E3253D" w:rsidRPr="005D642E">
        <w:rPr>
          <w:rtl/>
        </w:rPr>
        <w:t xml:space="preserve"> في « جح » : « لايكتب</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حاشية « جن » : « لصاحب » بدل « إلى صاحب</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غ ، ى ، بح ، بس ، جن » والوسائل والبحار : « تكتب له</w:t>
      </w:r>
      <w:r w:rsidR="00E3253D">
        <w:rPr>
          <w:rtl/>
        </w:rPr>
        <w:t xml:space="preserve"> ».</w:t>
      </w:r>
      <w:r w:rsidR="00E3253D" w:rsidRPr="005D642E">
        <w:rPr>
          <w:rtl/>
        </w:rPr>
        <w:t xml:space="preserve"> وفي « بث » : « تكتبه له</w:t>
      </w:r>
      <w:r w:rsidR="00E3253D">
        <w:rPr>
          <w:rtl/>
        </w:rPr>
        <w:t xml:space="preserve"> ».</w:t>
      </w:r>
      <w:r w:rsidR="00E3253D" w:rsidRPr="005D642E">
        <w:rPr>
          <w:rtl/>
        </w:rPr>
        <w:t xml:space="preserve"> وفي « جح ، جس » : « يكتب له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الوافي</w:t>
      </w:r>
      <w:r w:rsidR="00E3253D" w:rsidRPr="005D642E">
        <w:rPr>
          <w:rtl/>
        </w:rPr>
        <w:t xml:space="preserve"> ، ج 24 ، ص 212 ، ح 23910 ؛ </w:t>
      </w:r>
      <w:r w:rsidR="00E3253D" w:rsidRPr="002F4D34">
        <w:rPr>
          <w:rStyle w:val="libFootnoteBoldChar"/>
          <w:rtl/>
        </w:rPr>
        <w:t>الوسائل</w:t>
      </w:r>
      <w:r w:rsidR="00E3253D" w:rsidRPr="005D642E">
        <w:rPr>
          <w:rtl/>
        </w:rPr>
        <w:t xml:space="preserve"> ، ج 2 ، ص 399 ، ح 2457 ؛ </w:t>
      </w:r>
      <w:r w:rsidR="00E3253D" w:rsidRPr="002F4D34">
        <w:rPr>
          <w:rStyle w:val="libFootnoteBoldChar"/>
          <w:rtl/>
        </w:rPr>
        <w:t>البحار</w:t>
      </w:r>
      <w:r w:rsidR="00E3253D" w:rsidRPr="005D642E">
        <w:rPr>
          <w:rtl/>
        </w:rPr>
        <w:t xml:space="preserve"> ، ج 59 ، ص 187 ، ح 35.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غِيَاثٍ ، عَنْ حَجَّاجٍ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الْجَسَدُ إِذَا لَمْ يَمْرَضْ أَشِرَ </w:t>
      </w:r>
      <w:r w:rsidRPr="007C12DB">
        <w:rPr>
          <w:rStyle w:val="libFootnotenumChar"/>
          <w:rtl/>
        </w:rPr>
        <w:t>(1)</w:t>
      </w:r>
      <w:r w:rsidRPr="005D642E">
        <w:rPr>
          <w:rtl/>
          <w:lang w:bidi="fa-IR"/>
        </w:rPr>
        <w:t xml:space="preserve"> ، وَلَاخَيْرَ فِي جَسَدٍ لَايَمْرَضُ </w:t>
      </w:r>
      <w:r w:rsidRPr="007C12DB">
        <w:rPr>
          <w:rStyle w:val="libFootnotenumChar"/>
          <w:rtl/>
        </w:rPr>
        <w:t>(2)</w:t>
      </w:r>
      <w:r w:rsidRPr="005D642E">
        <w:rPr>
          <w:rtl/>
          <w:lang w:bidi="fa-IR"/>
        </w:rPr>
        <w:t xml:space="preserve"> بِأَشَرٍ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0B14BB">
        <w:rPr>
          <w:rtl/>
        </w:rPr>
        <w:t>4259</w:t>
      </w:r>
      <w:r w:rsidRPr="00246318">
        <w:rPr>
          <w:rStyle w:val="libBold2Char"/>
          <w:rtl/>
        </w:rPr>
        <w:t xml:space="preserve"> / 9.</w:t>
      </w:r>
      <w:r w:rsidRPr="005D642E">
        <w:rPr>
          <w:rtl/>
          <w:lang w:bidi="fa-IR"/>
        </w:rPr>
        <w:t xml:space="preserve"> أَبُو عَلِيٍّ الْأَشْعَرِيُّ ، عَنْ مُحَمَّدِ بْنِ حَسَّانَ ، عَنْ مُحَمَّدِ بْنِ عَلِيٍّ ، عَنْ مُحَمَّدِ بْنِ الْفُضَيْلِ ، عَنْ أَبِي حَمْزَةَ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حُمّى لَيْلَةٍ تَعْدِلُ </w:t>
      </w:r>
      <w:r w:rsidRPr="007C12DB">
        <w:rPr>
          <w:rStyle w:val="libFootnotenumChar"/>
          <w:rtl/>
        </w:rPr>
        <w:t>(5)</w:t>
      </w:r>
      <w:r w:rsidRPr="005D642E">
        <w:rPr>
          <w:rtl/>
          <w:lang w:bidi="fa-IR"/>
        </w:rPr>
        <w:t xml:space="preserve"> عِبَادَةَ سَنَةٍ ، وَحُمّى لَيْلَتَيْنِ تَعْدِلُ عِبَادَةَ سَنَتَيْنِ </w:t>
      </w:r>
      <w:r w:rsidRPr="007C12DB">
        <w:rPr>
          <w:rStyle w:val="libFootnotenumChar"/>
          <w:rtl/>
        </w:rPr>
        <w:t>(6)</w:t>
      </w:r>
      <w:r w:rsidRPr="005D642E">
        <w:rPr>
          <w:rtl/>
          <w:lang w:bidi="fa-IR"/>
        </w:rPr>
        <w:t xml:space="preserve"> ، وَحُمّى ثَلَاثٍ </w:t>
      </w:r>
      <w:r w:rsidRPr="007C12DB">
        <w:rPr>
          <w:rStyle w:val="libFootnotenumChar"/>
          <w:rtl/>
        </w:rPr>
        <w:t>(7)</w:t>
      </w:r>
      <w:r w:rsidRPr="005D642E">
        <w:rPr>
          <w:rtl/>
          <w:lang w:bidi="fa-IR"/>
        </w:rPr>
        <w:t xml:space="preserve"> تَعْدِلُ عِبَادَةَ سَبْعِينَ سَنَةً</w:t>
      </w:r>
      <w:r>
        <w:rPr>
          <w:rtl/>
          <w:lang w:bidi="fa-IR"/>
        </w:rPr>
        <w:t xml:space="preserve"> ».</w:t>
      </w:r>
    </w:p>
    <w:p w:rsidR="00E3253D" w:rsidRPr="005D642E" w:rsidRDefault="00E3253D" w:rsidP="00E3253D">
      <w:pPr>
        <w:pStyle w:val="libNormal"/>
        <w:rPr>
          <w:rtl/>
          <w:lang w:bidi="fa-IR"/>
        </w:rPr>
      </w:pPr>
      <w:r w:rsidRPr="005D642E">
        <w:rPr>
          <w:rtl/>
          <w:lang w:bidi="fa-IR"/>
        </w:rPr>
        <w:t>قَالَ : قُلْتُ : فَإِنْ لَمْ يَبْلُغْ سَبْعِينَ سَنَةً</w:t>
      </w:r>
      <w:r>
        <w:rPr>
          <w:rtl/>
          <w:lang w:bidi="fa-IR"/>
        </w:rPr>
        <w:t>؟</w:t>
      </w:r>
      <w:r w:rsidRPr="005D642E">
        <w:rPr>
          <w:rtl/>
          <w:lang w:bidi="fa-IR"/>
        </w:rPr>
        <w:t xml:space="preserve"> قَالَ : « فَلِأُمِّهِ وَأَبِيهِ </w:t>
      </w:r>
      <w:r w:rsidRPr="007C12DB">
        <w:rPr>
          <w:rStyle w:val="libFootnotenumChar"/>
          <w:rtl/>
        </w:rPr>
        <w:t>(8)</w:t>
      </w:r>
      <w:r>
        <w:rPr>
          <w:rtl/>
          <w:lang w:bidi="fa-IR"/>
        </w:rPr>
        <w:t xml:space="preserve"> ».</w:t>
      </w:r>
    </w:p>
    <w:p w:rsidR="00E3253D" w:rsidRPr="005D642E" w:rsidRDefault="00E3253D" w:rsidP="00E3253D">
      <w:pPr>
        <w:pStyle w:val="libNormal"/>
        <w:rPr>
          <w:rtl/>
          <w:lang w:bidi="fa-IR"/>
        </w:rPr>
      </w:pPr>
      <w:r w:rsidRPr="005D642E">
        <w:rPr>
          <w:rtl/>
          <w:lang w:bidi="fa-IR"/>
        </w:rPr>
        <w:t>قَالَ : قُلْتُ : فَإِنْ لَمْ يَبْلُغَا</w:t>
      </w:r>
      <w:r>
        <w:rPr>
          <w:rtl/>
          <w:lang w:bidi="fa-IR"/>
        </w:rPr>
        <w:t>؟</w:t>
      </w:r>
      <w:r w:rsidRPr="005D642E">
        <w:rPr>
          <w:rtl/>
          <w:lang w:bidi="fa-IR"/>
        </w:rPr>
        <w:t xml:space="preserve"> قَالَ : « فَلِقَرَابَتِهِ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(9)</w:t>
      </w:r>
      <w:r w:rsidRPr="005D642E">
        <w:rPr>
          <w:rtl/>
          <w:lang w:bidi="fa-IR"/>
        </w:rPr>
        <w:t xml:space="preserve"> : قُلْتُ </w:t>
      </w:r>
      <w:r w:rsidRPr="007C12DB">
        <w:rPr>
          <w:rStyle w:val="libFootnotenumChar"/>
          <w:rtl/>
        </w:rPr>
        <w:t>(10)</w:t>
      </w:r>
      <w:r w:rsidRPr="005D642E">
        <w:rPr>
          <w:rtl/>
          <w:lang w:bidi="fa-IR"/>
        </w:rPr>
        <w:t xml:space="preserve"> : فَإِنْ لَمْ يَبْلُغْ </w:t>
      </w:r>
      <w:r w:rsidRPr="007C12DB">
        <w:rPr>
          <w:rStyle w:val="libFootnotenumChar"/>
          <w:rtl/>
        </w:rPr>
        <w:t>(11)</w:t>
      </w:r>
      <w:r w:rsidRPr="005D642E">
        <w:rPr>
          <w:rtl/>
          <w:lang w:bidi="fa-IR"/>
        </w:rPr>
        <w:t xml:space="preserve"> قَرَابَتُهُ</w:t>
      </w:r>
      <w:r>
        <w:rPr>
          <w:rtl/>
          <w:lang w:bidi="fa-IR"/>
        </w:rPr>
        <w:t>؟</w:t>
      </w:r>
      <w:r w:rsidRPr="005D642E">
        <w:rPr>
          <w:rtl/>
          <w:lang w:bidi="fa-IR"/>
        </w:rPr>
        <w:t xml:space="preserve"> قَالَ : « فَجِيرَانُهُ </w:t>
      </w:r>
      <w:r w:rsidRPr="007C12DB">
        <w:rPr>
          <w:rStyle w:val="libFootnotenumChar"/>
          <w:rtl/>
        </w:rPr>
        <w:t>(12)</w:t>
      </w:r>
      <w:r>
        <w:rPr>
          <w:rtl/>
          <w:lang w:bidi="fa-IR"/>
        </w:rPr>
        <w:t xml:space="preserve"> ».</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أَشِرَ » ، أي فرح ، والأَشَرُ : البَطَر ، وهو شدّة المرح ، والمرح : شدّة الفرح. راجع : </w:t>
      </w:r>
      <w:r w:rsidR="00E3253D" w:rsidRPr="002F4D34">
        <w:rPr>
          <w:rStyle w:val="libFootnoteBoldChar"/>
          <w:rtl/>
        </w:rPr>
        <w:t>الصحاح</w:t>
      </w:r>
      <w:r w:rsidR="00E3253D" w:rsidRPr="005D642E">
        <w:rPr>
          <w:rtl/>
        </w:rPr>
        <w:t xml:space="preserve"> ، ج 2 ، ص 579 ( أشر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ما لم يمرض</w:t>
      </w:r>
      <w:r w:rsidR="00E3253D">
        <w:rPr>
          <w:rtl/>
        </w:rPr>
        <w:t xml:space="preserve"> ».</w:t>
      </w:r>
      <w:r w:rsidR="00E3253D" w:rsidRPr="005D642E">
        <w:rPr>
          <w:rtl/>
        </w:rPr>
        <w:t xml:space="preserve"> وفي الوافي : « لم يمرض » كلاهما بدل « لايمرض</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بس » وحاشية « بث ، بخ » </w:t>
      </w:r>
      <w:r w:rsidR="000D749A" w:rsidRPr="000D749A">
        <w:rPr>
          <w:rStyle w:val="libFootnoteBoldChar"/>
          <w:rtl/>
        </w:rPr>
        <w:t>والوافي</w:t>
      </w:r>
      <w:r w:rsidR="00E3253D" w:rsidRPr="005D642E">
        <w:rPr>
          <w:rtl/>
        </w:rPr>
        <w:t xml:space="preserve"> : « يأشر » فعلاً ، ثمّ قال في الوافي : « كذا يوجد في النسخ ، فإن صحّ فالتقدير : فإن من لم يمرض يأشر</w:t>
      </w:r>
      <w:r w:rsidR="00E3253D">
        <w:rPr>
          <w:rtl/>
        </w:rPr>
        <w:t xml:space="preserve"> ».</w:t>
      </w:r>
      <w:r w:rsidR="00D50D40">
        <w:rPr>
          <w:rtl/>
        </w:rPr>
        <w:t xml:space="preserve"> وقال العل</w:t>
      </w:r>
      <w:r w:rsidR="00D50D40">
        <w:rPr>
          <w:rFonts w:hint="cs"/>
          <w:rtl/>
        </w:rPr>
        <w:t>ّ</w:t>
      </w:r>
      <w:r w:rsidR="00D50D40">
        <w:rPr>
          <w:rtl/>
        </w:rPr>
        <w:t>ا</w:t>
      </w:r>
      <w:r w:rsidR="00E3253D" w:rsidRPr="005D642E">
        <w:rPr>
          <w:rtl/>
        </w:rPr>
        <w:t xml:space="preserve">مة المجلسي : « قوله </w:t>
      </w:r>
      <w:r w:rsidR="00E3253D" w:rsidRPr="00D50D40">
        <w:rPr>
          <w:rStyle w:val="libFootnoteAlaemChar"/>
          <w:rtl/>
        </w:rPr>
        <w:t>عليه‌السلام</w:t>
      </w:r>
      <w:r w:rsidR="00E3253D" w:rsidRPr="005D642E">
        <w:rPr>
          <w:rtl/>
        </w:rPr>
        <w:t xml:space="preserve"> : بأشر ، أي حال كونه متلبّساً بأشر أو بسببه</w:t>
      </w:r>
      <w:r w:rsidR="00E3253D">
        <w:rPr>
          <w:rtl/>
        </w:rPr>
        <w:t xml:space="preserve"> ..</w:t>
      </w:r>
      <w:r w:rsidR="00E3253D" w:rsidRPr="005D642E">
        <w:rPr>
          <w:rtl/>
        </w:rPr>
        <w:t>. وفي بعض النسخ بصيغة الفعل ، فيكون حالاً أيضاً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24 ، ص 213 ، ح 23913.</w:t>
      </w:r>
    </w:p>
    <w:p w:rsidR="00E3253D" w:rsidRPr="005D642E" w:rsidRDefault="0042621E" w:rsidP="004470A4">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وربّما يقرأ : يعدّل ، على بناء التفعيل ؛ يعني يجعل عبادة تلك السنين مقبولة كاملة خالية عن‌النقص والإفراط والتفريط</w:t>
      </w:r>
      <w:r w:rsidR="00E3253D">
        <w:rPr>
          <w:rtl/>
        </w:rPr>
        <w:t xml:space="preserve"> ».</w:t>
      </w:r>
      <w:r w:rsidR="00591486">
        <w:rPr>
          <w:rFonts w:hint="cs"/>
          <w:rtl/>
        </w:rPr>
        <w:t xml:space="preserve">                        </w:t>
      </w:r>
      <w:r w:rsidR="004470A4">
        <w:rPr>
          <w:rFonts w:hint="cs"/>
          <w:rtl/>
        </w:rPr>
        <w:t xml:space="preserve">     </w:t>
      </w:r>
      <w:r w:rsidRPr="0042621E">
        <w:rPr>
          <w:rStyle w:val="libFootnote0Char"/>
          <w:rtl/>
        </w:rPr>
        <w:t>(6).</w:t>
      </w:r>
      <w:r w:rsidR="00E3253D" w:rsidRPr="005D642E">
        <w:rPr>
          <w:rtl/>
        </w:rPr>
        <w:t xml:space="preserve"> في « غ ، بخ » : « ستّين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جح » والوسائل : + « ليال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والوسائل : « فلأبيه ولا</w:t>
      </w:r>
      <w:r w:rsidR="006B35BF">
        <w:rPr>
          <w:rFonts w:hint="cs"/>
          <w:rtl/>
        </w:rPr>
        <w:t>ُ</w:t>
      </w:r>
      <w:r w:rsidR="00E3253D" w:rsidRPr="005D642E">
        <w:rPr>
          <w:rtl/>
        </w:rPr>
        <w:t>مّه</w:t>
      </w:r>
      <w:r w:rsidR="00E3253D">
        <w:rPr>
          <w:rtl/>
        </w:rPr>
        <w:t xml:space="preserve"> ».</w:t>
      </w:r>
      <w:r w:rsidR="00A811F9">
        <w:rPr>
          <w:rtl/>
        </w:rPr>
        <w:t xml:space="preserve"> وفي « بث ، جن » : « فل</w:t>
      </w:r>
      <w:r w:rsidR="00E3253D" w:rsidRPr="005D642E">
        <w:rPr>
          <w:rtl/>
        </w:rPr>
        <w:t>ا</w:t>
      </w:r>
      <w:r w:rsidR="00A811F9">
        <w:rPr>
          <w:rFonts w:hint="cs"/>
          <w:rtl/>
        </w:rPr>
        <w:t>ُ</w:t>
      </w:r>
      <w:r w:rsidR="00E3253D" w:rsidRPr="005D642E">
        <w:rPr>
          <w:rtl/>
        </w:rPr>
        <w:t>مّه ولأبيه</w:t>
      </w:r>
      <w:r w:rsidR="00E3253D">
        <w:rPr>
          <w:rtl/>
        </w:rPr>
        <w:t xml:space="preserve"> ».</w:t>
      </w:r>
      <w:r w:rsidR="00E3253D" w:rsidRPr="005D642E">
        <w:rPr>
          <w:rtl/>
        </w:rPr>
        <w:t xml:space="preserve"> وفي « بح » : « فلأبيه وا</w:t>
      </w:r>
      <w:r w:rsidR="008E3500">
        <w:rPr>
          <w:rFonts w:hint="cs"/>
          <w:rtl/>
        </w:rPr>
        <w:t>ُ</w:t>
      </w:r>
      <w:r w:rsidR="00E3253D" w:rsidRPr="005D642E">
        <w:rPr>
          <w:rtl/>
        </w:rPr>
        <w:t>مّه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E3500" w:rsidTr="008E3500">
        <w:tc>
          <w:tcPr>
            <w:tcW w:w="4006" w:type="dxa"/>
          </w:tcPr>
          <w:p w:rsidR="008E3500" w:rsidRDefault="008E3500" w:rsidP="00E3253D">
            <w:pPr>
              <w:pStyle w:val="libFootnote0"/>
              <w:rPr>
                <w:rStyle w:val="libFootnote0Char"/>
                <w:rtl/>
                <w:lang w:bidi="fa-IR"/>
              </w:rPr>
            </w:pPr>
            <w:r w:rsidRPr="0042621E">
              <w:rPr>
                <w:rStyle w:val="libFootnote0Char"/>
                <w:rtl/>
              </w:rPr>
              <w:t>(9).</w:t>
            </w:r>
            <w:r w:rsidRPr="005D642E">
              <w:rPr>
                <w:rtl/>
              </w:rPr>
              <w:t xml:space="preserve"> في « ى ، بث ، بخ ، بف » :</w:t>
            </w:r>
            <w:r>
              <w:rPr>
                <w:rtl/>
              </w:rPr>
              <w:t xml:space="preserve"> - </w:t>
            </w:r>
            <w:r w:rsidRPr="005D642E">
              <w:rPr>
                <w:rtl/>
              </w:rPr>
              <w:t>« قال</w:t>
            </w:r>
            <w:r>
              <w:rPr>
                <w:rtl/>
              </w:rPr>
              <w:t xml:space="preserve"> ».</w:t>
            </w:r>
          </w:p>
        </w:tc>
        <w:tc>
          <w:tcPr>
            <w:tcW w:w="4006" w:type="dxa"/>
          </w:tcPr>
          <w:p w:rsidR="008E3500" w:rsidRDefault="008E3500" w:rsidP="00E3253D">
            <w:pPr>
              <w:pStyle w:val="libFootnote0"/>
              <w:rPr>
                <w:rStyle w:val="libFootnote0Char"/>
                <w:rtl/>
                <w:lang w:bidi="fa-IR"/>
              </w:rPr>
            </w:pPr>
            <w:r w:rsidRPr="0042621E">
              <w:rPr>
                <w:rStyle w:val="libFootnote0Char"/>
                <w:rtl/>
              </w:rPr>
              <w:t>(10).</w:t>
            </w:r>
            <w:r w:rsidRPr="005D642E">
              <w:rPr>
                <w:rtl/>
              </w:rPr>
              <w:t xml:space="preserve"> في « غ ، ى ، بس ، جس » :</w:t>
            </w:r>
            <w:r>
              <w:rPr>
                <w:rtl/>
              </w:rPr>
              <w:t xml:space="preserve"> - </w:t>
            </w:r>
            <w:r w:rsidRPr="005D642E">
              <w:rPr>
                <w:rtl/>
              </w:rPr>
              <w:t>« قلت</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ى ، بث ، بح ، جح » : « لم تبلغ</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فلجيرانه</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الوافي</w:t>
      </w:r>
      <w:r w:rsidR="00E3253D" w:rsidRPr="005D642E">
        <w:rPr>
          <w:rtl/>
        </w:rPr>
        <w:t xml:space="preserve"> ، ج 24 ، ص 213 ، ح 23914 ؛ </w:t>
      </w:r>
      <w:r w:rsidR="00E3253D" w:rsidRPr="002F4D34">
        <w:rPr>
          <w:rStyle w:val="libFootnoteBoldChar"/>
          <w:rtl/>
        </w:rPr>
        <w:t>الوسائل</w:t>
      </w:r>
      <w:r w:rsidR="00E3253D" w:rsidRPr="005D642E">
        <w:rPr>
          <w:rtl/>
        </w:rPr>
        <w:t xml:space="preserve"> ، ج 2 ، ص 400 ، ح 2460.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0B14BB">
        <w:rPr>
          <w:rtl/>
        </w:rPr>
        <w:lastRenderedPageBreak/>
        <w:t>4260</w:t>
      </w:r>
      <w:r w:rsidRPr="00246318">
        <w:rPr>
          <w:rStyle w:val="libBold2Char"/>
          <w:rtl/>
        </w:rPr>
        <w:t xml:space="preserve"> / 10.</w:t>
      </w:r>
      <w:r w:rsidRPr="005D642E">
        <w:rPr>
          <w:rtl/>
          <w:lang w:bidi="fa-IR"/>
        </w:rPr>
        <w:t xml:space="preserve"> مُحَمَّدُ بْنُ يَحْيى ، عَنْ مُحَمَّدِ بْنِ الْحُسَيْنِ ، عَنِ الْحَكَمِ بْنِ مِسْكِينٍ ، عَنْ مُحَمَّدِ بْنِ مَرْوَانَ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حُمّى لَيْلَةٍ كَفَّارَةٌ لِمَا </w:t>
      </w:r>
      <w:r w:rsidRPr="007C12DB">
        <w:rPr>
          <w:rStyle w:val="libFootnotenumChar"/>
          <w:rtl/>
        </w:rPr>
        <w:t>(1)</w:t>
      </w:r>
      <w:r w:rsidRPr="005D642E">
        <w:rPr>
          <w:rtl/>
          <w:lang w:bidi="fa-IR"/>
        </w:rPr>
        <w:t xml:space="preserve"> قَبْلَهَا وَلِمَا بَعْدَهَا</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263" w:name="_Toc344647298"/>
      <w:bookmarkStart w:id="264" w:name="_Toc462226812"/>
      <w:bookmarkStart w:id="265" w:name="_Toc40975921"/>
      <w:r w:rsidRPr="005D642E">
        <w:rPr>
          <w:rtl/>
          <w:lang w:bidi="fa-IR"/>
        </w:rPr>
        <w:t>3</w:t>
      </w:r>
      <w:r>
        <w:rPr>
          <w:rtl/>
          <w:lang w:bidi="fa-IR"/>
        </w:rPr>
        <w:t xml:space="preserve"> </w:t>
      </w:r>
      <w:r w:rsidR="007642BC">
        <w:rPr>
          <w:rtl/>
          <w:lang w:bidi="fa-IR"/>
        </w:rPr>
        <w:t>-</w:t>
      </w:r>
      <w:r>
        <w:rPr>
          <w:rtl/>
          <w:lang w:bidi="fa-IR"/>
        </w:rPr>
        <w:t xml:space="preserve"> </w:t>
      </w:r>
      <w:r w:rsidRPr="005D642E">
        <w:rPr>
          <w:rtl/>
          <w:lang w:bidi="fa-IR"/>
        </w:rPr>
        <w:t>بَابٌ آخَرُ مِنْهُ‌</w:t>
      </w:r>
      <w:bookmarkEnd w:id="263"/>
      <w:bookmarkEnd w:id="264"/>
      <w:bookmarkEnd w:id="265"/>
    </w:p>
    <w:p w:rsidR="00E3253D" w:rsidRPr="005D642E" w:rsidRDefault="00E3253D" w:rsidP="00E3253D">
      <w:pPr>
        <w:pStyle w:val="libNormal"/>
        <w:rPr>
          <w:rtl/>
          <w:lang w:bidi="fa-IR"/>
        </w:rPr>
      </w:pPr>
      <w:r w:rsidRPr="000B14BB">
        <w:rPr>
          <w:rtl/>
        </w:rPr>
        <w:t>4261</w:t>
      </w:r>
      <w:r w:rsidRPr="00246318">
        <w:rPr>
          <w:rStyle w:val="libBold2Char"/>
          <w:rtl/>
        </w:rPr>
        <w:t xml:space="preserve"> / 1.</w:t>
      </w:r>
      <w:r w:rsidRPr="005D642E">
        <w:rPr>
          <w:rtl/>
          <w:lang w:bidi="fa-IR"/>
        </w:rPr>
        <w:t xml:space="preserve"> أَبُو عَلِيٍّ الْأَشْعَرِيُّ ، عَنْ مُحَمَّدِ بْنِ سَالِمٍ ، عَنْ أَحْمَدَ بْنِ النَّضْرِ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قَالَ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 مَنْ مَرِضَ ثَلَاثاً ، فَلَمْ يَشْكُ إِلى أَحَدٍ مِنْ عُوَّادِهِ </w:t>
      </w:r>
      <w:r w:rsidRPr="007C12DB">
        <w:rPr>
          <w:rStyle w:val="libFootnotenumChar"/>
          <w:rtl/>
        </w:rPr>
        <w:t>(3)</w:t>
      </w:r>
      <w:r w:rsidRPr="005D642E">
        <w:rPr>
          <w:rtl/>
          <w:lang w:bidi="fa-IR"/>
        </w:rPr>
        <w:t xml:space="preserve"> ، أَبْدَلْتُهُ لَحْماً خَيْراً مِنْ لَحْمِهِ ، وَدَماً خَيْراً مِنْ دَمِهِ ، فَإِنْ عَافَيْتُهُ ، عَافَيْتُهُ وَلَاذَنْبَ لَهُ </w:t>
      </w:r>
      <w:r w:rsidRPr="007C12DB">
        <w:rPr>
          <w:rStyle w:val="libFootnotenumChar"/>
          <w:rtl/>
        </w:rPr>
        <w:t>(4)</w:t>
      </w:r>
      <w:r w:rsidRPr="005D642E">
        <w:rPr>
          <w:rtl/>
          <w:lang w:bidi="fa-IR"/>
        </w:rPr>
        <w:t xml:space="preserve"> ، وَإِنْ قَبَضْتُهُ ، قَبَضْتُهُ إِلى رَحْمَتِي</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0B14BB">
        <w:rPr>
          <w:rtl/>
        </w:rPr>
        <w:t>4262</w:t>
      </w:r>
      <w:r w:rsidRPr="00246318">
        <w:rPr>
          <w:rStyle w:val="libBold2Char"/>
          <w:rtl/>
        </w:rPr>
        <w:t xml:space="preserve"> / 2.</w:t>
      </w:r>
      <w:r w:rsidRPr="005D642E">
        <w:rPr>
          <w:rtl/>
          <w:lang w:bidi="fa-IR"/>
        </w:rPr>
        <w:t xml:space="preserve"> عَلِيُّ بْنُ إِبْرَاهِيمَ ، عَنْ أَبِيهِ ، عَنْ بَعْضِ أَصْحَابِهِ </w:t>
      </w:r>
      <w:r w:rsidRPr="007C12DB">
        <w:rPr>
          <w:rStyle w:val="libFootnotenumChar"/>
          <w:rtl/>
        </w:rPr>
        <w:t>(6)</w:t>
      </w:r>
      <w:r w:rsidRPr="005D642E">
        <w:rPr>
          <w:rtl/>
          <w:lang w:bidi="fa-IR"/>
        </w:rPr>
        <w:t xml:space="preserve"> ، عَنْ أَبِي حَمْزَةَ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اللهُ</w:t>
      </w:r>
      <w:r>
        <w:rPr>
          <w:rtl/>
          <w:lang w:bidi="fa-IR"/>
        </w:rPr>
        <w:t xml:space="preserve"> </w:t>
      </w:r>
      <w:r w:rsidR="007642BC">
        <w:rPr>
          <w:rtl/>
          <w:lang w:bidi="fa-IR"/>
        </w:rPr>
        <w:t>-</w:t>
      </w:r>
      <w:r>
        <w:rPr>
          <w:rtl/>
          <w:lang w:bidi="fa-IR"/>
        </w:rPr>
        <w:t xml:space="preserve"> </w:t>
      </w:r>
      <w:r w:rsidRPr="005D642E">
        <w:rPr>
          <w:rtl/>
          <w:lang w:bidi="fa-IR"/>
        </w:rPr>
        <w:t>تَبَارَكَ وَتَعَالى</w:t>
      </w:r>
      <w:r>
        <w:rPr>
          <w:rtl/>
          <w:lang w:bidi="fa-IR"/>
        </w:rPr>
        <w:t xml:space="preserve"> </w:t>
      </w:r>
      <w:r w:rsidR="007642BC">
        <w:rPr>
          <w:rtl/>
          <w:lang w:bidi="fa-IR"/>
        </w:rPr>
        <w:t>-</w:t>
      </w:r>
      <w:r>
        <w:rPr>
          <w:rtl/>
          <w:lang w:bidi="fa-IR"/>
        </w:rPr>
        <w:t xml:space="preserve"> </w:t>
      </w:r>
      <w:r w:rsidRPr="005D642E">
        <w:rPr>
          <w:rtl/>
          <w:lang w:bidi="fa-IR"/>
        </w:rPr>
        <w:t xml:space="preserve">: مَا مِنْ عَبْدٍ ابْتَلَيْتُهُ </w:t>
      </w:r>
      <w:r w:rsidRPr="007C12DB">
        <w:rPr>
          <w:rStyle w:val="libFootnotenumChar"/>
          <w:rtl/>
        </w:rPr>
        <w:t>(7)</w:t>
      </w:r>
      <w:r w:rsidRPr="005D642E">
        <w:rPr>
          <w:rtl/>
          <w:lang w:bidi="fa-IR"/>
        </w:rPr>
        <w:t xml:space="preserve"> بِبَلَاءٍ </w:t>
      </w:r>
      <w:r w:rsidRPr="007C12DB">
        <w:rPr>
          <w:rStyle w:val="libFootnotenumChar"/>
          <w:rtl/>
        </w:rPr>
        <w:t>(8)</w:t>
      </w:r>
      <w:r w:rsidRPr="005D642E">
        <w:rPr>
          <w:rtl/>
          <w:lang w:bidi="fa-IR"/>
        </w:rPr>
        <w:t xml:space="preserve"> ، فَلَمْ يَشْكُ </w:t>
      </w:r>
      <w:r w:rsidRPr="007C12DB">
        <w:rPr>
          <w:rStyle w:val="libFootnotenumChar"/>
          <w:rtl/>
        </w:rPr>
        <w:t>(9)</w:t>
      </w:r>
      <w:r w:rsidR="00B02828">
        <w:rPr>
          <w:rtl/>
          <w:lang w:bidi="fa-IR"/>
        </w:rPr>
        <w:t xml:space="preserve"> إِلى عُوَّادِهِ ، إِل</w:t>
      </w:r>
      <w:r w:rsidR="00B02828">
        <w:rPr>
          <w:rFonts w:hint="cs"/>
          <w:rtl/>
          <w:lang w:bidi="fa-IR"/>
        </w:rPr>
        <w:t>َّ</w:t>
      </w:r>
      <w:r w:rsidR="00B02828">
        <w:rPr>
          <w:rtl/>
          <w:lang w:bidi="fa-IR"/>
        </w:rPr>
        <w:t>ا</w:t>
      </w:r>
      <w:r w:rsidRPr="005D642E">
        <w:rPr>
          <w:rtl/>
          <w:lang w:bidi="fa-IR"/>
        </w:rPr>
        <w:t xml:space="preserve"> أَبْدَلْتُهُ لَحْماً خَيْراً مِنْ لَحْمِهِ ، وَدَماً خَيْراً مِنْ دَمِهِ ، فَإِنْ‌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ما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ثواب الأعمال</w:t>
      </w:r>
      <w:r w:rsidR="00E3253D" w:rsidRPr="005D642E">
        <w:rPr>
          <w:rtl/>
        </w:rPr>
        <w:t xml:space="preserve"> ، ص 229 ، ح 2 ، بسنده عن محمّد بن الحسين بن أبي الخطّاب ، عن الحكم بن مسكين. راجع : </w:t>
      </w:r>
      <w:r w:rsidR="00E3253D" w:rsidRPr="002F4D34">
        <w:rPr>
          <w:rStyle w:val="libFootnoteBoldChar"/>
          <w:rtl/>
        </w:rPr>
        <w:t>ثواب الأعمال</w:t>
      </w:r>
      <w:r w:rsidR="00E3253D" w:rsidRPr="005D642E">
        <w:rPr>
          <w:rtl/>
        </w:rPr>
        <w:t xml:space="preserve"> ، ص 229 ، ح 1 ؛ و</w:t>
      </w:r>
      <w:r w:rsidR="00E3253D" w:rsidRPr="002F4D34">
        <w:rPr>
          <w:rStyle w:val="libFootnoteBoldChar"/>
          <w:rtl/>
        </w:rPr>
        <w:t>علل الشرائع</w:t>
      </w:r>
      <w:r w:rsidR="00E3253D" w:rsidRPr="005D642E">
        <w:rPr>
          <w:rtl/>
        </w:rPr>
        <w:t xml:space="preserve"> ، ص 297 ، ح 1 ؛ </w:t>
      </w:r>
      <w:r w:rsidR="009E68BB" w:rsidRPr="009E68BB">
        <w:rPr>
          <w:rStyle w:val="libFootnoteBoldChar"/>
          <w:rtl/>
        </w:rPr>
        <w:t>و</w:t>
      </w:r>
      <w:r w:rsidR="009E68BB" w:rsidRPr="0035521A">
        <w:rPr>
          <w:rStyle w:val="libFootnoteBoldChar"/>
          <w:rtl/>
        </w:rPr>
        <w:t>الأمالي للطوسي</w:t>
      </w:r>
      <w:r w:rsidR="00E3253D" w:rsidRPr="005D642E">
        <w:rPr>
          <w:rtl/>
        </w:rPr>
        <w:t xml:space="preserve"> ، ص 630 ، المجلس 30 ، ح 11 ؛ و</w:t>
      </w:r>
      <w:r w:rsidR="00E3253D" w:rsidRPr="002F4D34">
        <w:rPr>
          <w:rStyle w:val="libFootnoteBoldChar"/>
          <w:rtl/>
        </w:rPr>
        <w:t>فقه الرضا</w:t>
      </w:r>
      <w:r w:rsidR="00E3253D" w:rsidRPr="005D642E">
        <w:rPr>
          <w:rtl/>
        </w:rPr>
        <w:t xml:space="preserve"> </w:t>
      </w:r>
      <w:r w:rsidR="00E3253D" w:rsidRPr="00D64A66">
        <w:rPr>
          <w:rStyle w:val="libFootnoteAlaemChar"/>
          <w:rtl/>
        </w:rPr>
        <w:t>عليه‌السلام</w:t>
      </w:r>
      <w:r w:rsidR="00E3253D" w:rsidRPr="005D642E">
        <w:rPr>
          <w:rtl/>
        </w:rPr>
        <w:t xml:space="preserve"> ، ص 341 </w:t>
      </w:r>
      <w:r w:rsidR="00D64A66">
        <w:rPr>
          <w:rFonts w:hint="cs"/>
          <w:rtl/>
        </w:rPr>
        <w:t>.</w:t>
      </w:r>
      <w:r w:rsidR="00E3253D" w:rsidRPr="002F4D34">
        <w:rPr>
          <w:rStyle w:val="libFootnoteBoldChar"/>
          <w:rtl/>
        </w:rPr>
        <w:t>الوافي</w:t>
      </w:r>
      <w:r w:rsidR="00E3253D" w:rsidRPr="005D642E">
        <w:rPr>
          <w:rtl/>
        </w:rPr>
        <w:t xml:space="preserve"> ، ج 24 ، ص 213 ، ح 23915 ؛ </w:t>
      </w:r>
      <w:r w:rsidR="00E3253D" w:rsidRPr="002F4D34">
        <w:rPr>
          <w:rStyle w:val="libFootnoteBoldChar"/>
          <w:rtl/>
        </w:rPr>
        <w:t>الوسائل</w:t>
      </w:r>
      <w:r w:rsidR="00E3253D" w:rsidRPr="005D642E">
        <w:rPr>
          <w:rtl/>
        </w:rPr>
        <w:t xml:space="preserve"> ، ج 2 ، ص 399 ، ح 2459.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عُوّاده » ، أي زوّاره ، قال ابن الأثير : « وكلّ من أتاك مرّة بعد ا</w:t>
      </w:r>
      <w:r w:rsidR="00D64A66">
        <w:rPr>
          <w:rFonts w:hint="cs"/>
          <w:rtl/>
        </w:rPr>
        <w:t>ُ</w:t>
      </w:r>
      <w:r w:rsidR="00E3253D" w:rsidRPr="005D642E">
        <w:rPr>
          <w:rtl/>
        </w:rPr>
        <w:t>خرى فهو عائد ، وإن اشتهر ذلك في عيادةالمريض حتّى صارت كأنّه مختصّ به</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3 ، ص 317 ( عود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266 : « قوله </w:t>
      </w:r>
      <w:r w:rsidR="00E3253D" w:rsidRPr="00D64A66">
        <w:rPr>
          <w:rStyle w:val="libFootnoteAlaemChar"/>
          <w:rtl/>
        </w:rPr>
        <w:t>عليه‌السلام</w:t>
      </w:r>
      <w:r w:rsidR="00E3253D" w:rsidRPr="005D642E">
        <w:rPr>
          <w:rtl/>
        </w:rPr>
        <w:t xml:space="preserve"> : ولا ذنب له ، أي غفرت ذنوبه السابقة ، لا أنّه لا يكتب له ذنب بعد ذلك</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24 ، ص 214 ، ح 23916 ؛ </w:t>
      </w:r>
      <w:r w:rsidR="00E3253D" w:rsidRPr="002F4D34">
        <w:rPr>
          <w:rStyle w:val="libFootnoteBoldChar"/>
          <w:rtl/>
        </w:rPr>
        <w:t>الوسائل</w:t>
      </w:r>
      <w:r w:rsidR="00E3253D" w:rsidRPr="005D642E">
        <w:rPr>
          <w:rtl/>
        </w:rPr>
        <w:t xml:space="preserve"> ، ج 2 ، ص 407 ، ح 2483.</w:t>
      </w:r>
    </w:p>
    <w:tbl>
      <w:tblPr>
        <w:tblStyle w:val="TableGrid"/>
        <w:bidiVisual/>
        <w:tblW w:w="0" w:type="auto"/>
        <w:tblLook w:val="04A0" w:firstRow="1" w:lastRow="0" w:firstColumn="1" w:lastColumn="0" w:noHBand="0" w:noVBand="1"/>
      </w:tblPr>
      <w:tblGrid>
        <w:gridCol w:w="4006"/>
        <w:gridCol w:w="4006"/>
      </w:tblGrid>
      <w:tr w:rsidR="009F2F09" w:rsidTr="009F2F09">
        <w:tc>
          <w:tcPr>
            <w:tcW w:w="4006" w:type="dxa"/>
          </w:tcPr>
          <w:p w:rsidR="009F2F09" w:rsidRDefault="009F2F09" w:rsidP="00E3253D">
            <w:pPr>
              <w:pStyle w:val="libFootnote0"/>
              <w:rPr>
                <w:rStyle w:val="libFootnote0Char"/>
                <w:rtl/>
              </w:rPr>
            </w:pPr>
            <w:r w:rsidRPr="0042621E">
              <w:rPr>
                <w:rStyle w:val="libFootnote0Char"/>
                <w:rtl/>
              </w:rPr>
              <w:t>(6).</w:t>
            </w:r>
            <w:r w:rsidRPr="005D642E">
              <w:rPr>
                <w:rtl/>
              </w:rPr>
              <w:t xml:space="preserve"> في « ى » : « أصحابنا</w:t>
            </w:r>
            <w:r>
              <w:rPr>
                <w:rtl/>
              </w:rPr>
              <w:t xml:space="preserve"> ».</w:t>
            </w:r>
          </w:p>
        </w:tc>
        <w:tc>
          <w:tcPr>
            <w:tcW w:w="4006" w:type="dxa"/>
          </w:tcPr>
          <w:p w:rsidR="009F2F09" w:rsidRDefault="009F2F09" w:rsidP="00E3253D">
            <w:pPr>
              <w:pStyle w:val="libFootnote0"/>
              <w:rPr>
                <w:rStyle w:val="libFootnote0Char"/>
                <w:rtl/>
              </w:rPr>
            </w:pPr>
            <w:r w:rsidRPr="0042621E">
              <w:rPr>
                <w:rStyle w:val="libFootnote0Char"/>
                <w:rtl/>
              </w:rPr>
              <w:t>(7).</w:t>
            </w:r>
            <w:r w:rsidRPr="005D642E">
              <w:rPr>
                <w:rtl/>
              </w:rPr>
              <w:t xml:space="preserve"> في حاشية « جن » : « ابتليت</w:t>
            </w:r>
            <w:r>
              <w:rPr>
                <w:rtl/>
              </w:rPr>
              <w:t xml:space="preserve"> ».</w:t>
            </w:r>
          </w:p>
        </w:tc>
      </w:tr>
      <w:tr w:rsidR="009F2F09" w:rsidTr="009F2F09">
        <w:tc>
          <w:tcPr>
            <w:tcW w:w="4006" w:type="dxa"/>
          </w:tcPr>
          <w:p w:rsidR="009F2F09" w:rsidRDefault="009F2F09" w:rsidP="00E3253D">
            <w:pPr>
              <w:pStyle w:val="libFootnote0"/>
              <w:rPr>
                <w:rStyle w:val="libFootnote0Char"/>
                <w:rtl/>
              </w:rPr>
            </w:pPr>
            <w:r w:rsidRPr="0042621E">
              <w:rPr>
                <w:rStyle w:val="libFootnote0Char"/>
                <w:rtl/>
              </w:rPr>
              <w:t>(8).</w:t>
            </w:r>
            <w:r w:rsidRPr="005D642E">
              <w:rPr>
                <w:rtl/>
              </w:rPr>
              <w:t xml:space="preserve"> في حاشية « بح » : « ابتلاء</w:t>
            </w:r>
            <w:r>
              <w:rPr>
                <w:rtl/>
              </w:rPr>
              <w:t xml:space="preserve"> ».</w:t>
            </w:r>
          </w:p>
        </w:tc>
        <w:tc>
          <w:tcPr>
            <w:tcW w:w="4006" w:type="dxa"/>
          </w:tcPr>
          <w:p w:rsidR="009F2F09" w:rsidRDefault="009F2F09" w:rsidP="00E3253D">
            <w:pPr>
              <w:pStyle w:val="libFootnote0"/>
              <w:rPr>
                <w:rStyle w:val="libFootnote0Char"/>
                <w:rtl/>
              </w:rPr>
            </w:pPr>
            <w:r w:rsidRPr="0042621E">
              <w:rPr>
                <w:rStyle w:val="libFootnote0Char"/>
                <w:rtl/>
              </w:rPr>
              <w:t>(9).</w:t>
            </w:r>
            <w:r w:rsidRPr="005D642E">
              <w:rPr>
                <w:rtl/>
              </w:rPr>
              <w:t xml:space="preserve"> في جس » : « فلا يشك</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قَبَضْتُهُ ، قَبَضْتُهُ إِلى رَحْمَتِي ؛ وَإِنْ عَاشَ ، عَاشَ وَلَيْسَ لَهُ ذَنْبٌ</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0B14BB">
        <w:rPr>
          <w:rtl/>
        </w:rPr>
        <w:t>4263</w:t>
      </w:r>
      <w:r w:rsidRPr="00246318">
        <w:rPr>
          <w:rStyle w:val="libBold2Char"/>
          <w:rtl/>
        </w:rPr>
        <w:t xml:space="preserve"> / 3.</w:t>
      </w:r>
      <w:r w:rsidRPr="005D642E">
        <w:rPr>
          <w:rtl/>
          <w:lang w:bidi="fa-IR"/>
        </w:rPr>
        <w:t xml:space="preserve"> الْحُسَيْنُ بْنُ مُحَمَّدٍ ، عَنْ عَبْدِ رَبِّهِ </w:t>
      </w:r>
      <w:r w:rsidRPr="007C12DB">
        <w:rPr>
          <w:rStyle w:val="libFootnotenumChar"/>
          <w:rtl/>
        </w:rPr>
        <w:t>(2)</w:t>
      </w:r>
      <w:r w:rsidRPr="005D642E">
        <w:rPr>
          <w:rtl/>
          <w:lang w:bidi="fa-IR"/>
        </w:rPr>
        <w:t xml:space="preserve"> بْنِ عَامِرٍ ، عَنْ عَلِيِّ بْنِ مَهْزِيَارَ ، عَنِ الْحَسَنِ بْنِ الْفَضْلِ ، عَنْ غَالِبِ بْنِ عُثْمَانَ ، عَنْ بَشِيرٍ الدَّهَّانِ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 أَيُّمَا عَبْدٍ ابْتَلَيْتُهُ بِبَلِيَّةٍ ، فَكَتَمَ ذلِكَ </w:t>
      </w:r>
      <w:r w:rsidRPr="007C12DB">
        <w:rPr>
          <w:rStyle w:val="libFootnotenumChar"/>
          <w:rtl/>
        </w:rPr>
        <w:t>(3)</w:t>
      </w:r>
      <w:r w:rsidRPr="005D642E">
        <w:rPr>
          <w:rtl/>
          <w:lang w:bidi="fa-IR"/>
        </w:rPr>
        <w:t xml:space="preserve"> عُوَّادَهُ ثَلَاثاً ، أَبْدَلْتُهُ لَحْماً خَيْراً مِنْ لَحْمِهِ ، وَدَماً خَيْراً مِنْ دَمِهِ ، وَبَشَراً </w:t>
      </w:r>
      <w:r w:rsidRPr="007C12DB">
        <w:rPr>
          <w:rStyle w:val="libFootnotenumChar"/>
          <w:rtl/>
        </w:rPr>
        <w:t>(4)</w:t>
      </w:r>
      <w:r w:rsidRPr="005D642E">
        <w:rPr>
          <w:rtl/>
          <w:lang w:bidi="fa-IR"/>
        </w:rPr>
        <w:t xml:space="preserve"> خَيْراً مِنْ بَشَرِهِ ، فَإِنْ أَبْقَيْتُهُ ، أَبْقَيْتُهُ وَلَاذَنْبَ لَهُ </w:t>
      </w:r>
      <w:r w:rsidRPr="007C12DB">
        <w:rPr>
          <w:rStyle w:val="libFootnotenumChar"/>
          <w:rtl/>
        </w:rPr>
        <w:t>(5)</w:t>
      </w:r>
      <w:r w:rsidRPr="005D642E">
        <w:rPr>
          <w:rtl/>
          <w:lang w:bidi="fa-IR"/>
        </w:rPr>
        <w:t xml:space="preserve"> ؛ وَإِنْ مَاتَ ، مَاتَ إِلى رَحْمَتِي</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0B14BB">
        <w:rPr>
          <w:rtl/>
        </w:rPr>
        <w:t>4264</w:t>
      </w:r>
      <w:r w:rsidRPr="00246318">
        <w:rPr>
          <w:rStyle w:val="libBold2Char"/>
          <w:rtl/>
        </w:rPr>
        <w:t xml:space="preserve"> / 4.</w:t>
      </w:r>
      <w:r w:rsidRPr="005D642E">
        <w:rPr>
          <w:rtl/>
          <w:lang w:bidi="fa-IR"/>
        </w:rPr>
        <w:t xml:space="preserve"> حُمَيْدُ بْنُ زِيَادٍ ، عَنِ الْحَسَنِ بْنِ مُحَمَّدٍ الْكِنْدِيِّ </w:t>
      </w:r>
      <w:r w:rsidRPr="007C12DB">
        <w:rPr>
          <w:rStyle w:val="libFootnotenumChar"/>
          <w:rtl/>
        </w:rPr>
        <w:t>(7)</w:t>
      </w:r>
      <w:r w:rsidRPr="005D642E">
        <w:rPr>
          <w:rtl/>
          <w:lang w:bidi="fa-IR"/>
        </w:rPr>
        <w:t xml:space="preserve"> ، عَنْ أَحْمَدَ بْنِ الْحَسَنِ الْمِيثَمِيِّ ، عَنْ رَجُلٍ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مَرِضَ لَيْلَةً ، فَقَبِلَهَا بِقَبُولِهَا ، كَتَبَ اللهُ</w:t>
      </w:r>
      <w:r>
        <w:rPr>
          <w:rtl/>
          <w:lang w:bidi="fa-IR"/>
        </w:rPr>
        <w:t xml:space="preserve"> </w:t>
      </w:r>
      <w:r w:rsidR="007642BC">
        <w:rPr>
          <w:rtl/>
          <w:lang w:bidi="fa-IR"/>
        </w:rPr>
        <w:t>-</w:t>
      </w:r>
      <w:r>
        <w:rPr>
          <w:rtl/>
          <w:lang w:bidi="fa-IR"/>
        </w:rPr>
        <w:t xml:space="preserve"> </w:t>
      </w:r>
      <w:r w:rsidRPr="005D642E">
        <w:rPr>
          <w:rtl/>
          <w:lang w:bidi="fa-IR"/>
        </w:rPr>
        <w:t xml:space="preserve">عَزَّ وَجَلَّ </w:t>
      </w:r>
      <w:r w:rsidR="007642BC">
        <w:rPr>
          <w:rtl/>
          <w:lang w:bidi="fa-IR"/>
        </w:rPr>
        <w:t>-</w:t>
      </w:r>
      <w:r>
        <w:rPr>
          <w:lang w:bidi="fa-IR"/>
        </w:rPr>
        <w:t xml:space="preserve"> </w:t>
      </w:r>
      <w:r w:rsidRPr="005D642E">
        <w:rPr>
          <w:rtl/>
          <w:lang w:bidi="fa-IR"/>
        </w:rPr>
        <w:t xml:space="preserve">لَهُ عِبَادَةَ سِتِّينَ سَنَةً » قُلْتُ : مَا مَعْنى قَبُولِهَا </w:t>
      </w:r>
      <w:r w:rsidRPr="007C12DB">
        <w:rPr>
          <w:rStyle w:val="libFootnotenumChar"/>
          <w:rtl/>
        </w:rPr>
        <w:t>(8)</w:t>
      </w:r>
      <w:r>
        <w:rPr>
          <w:rtl/>
          <w:lang w:bidi="fa-IR"/>
        </w:rPr>
        <w:t>؟</w:t>
      </w:r>
      <w:r w:rsidRPr="005D642E">
        <w:rPr>
          <w:rtl/>
          <w:lang w:bidi="fa-IR"/>
        </w:rPr>
        <w:t xml:space="preserve"> قَالَ : « لَا يَشْكُو مَا أَصَابَهُ فِيهَا إِلى أَحَدٍ</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24 ، ص 214 ، ح 23917 ؛ </w:t>
      </w:r>
      <w:r w:rsidR="00E3253D" w:rsidRPr="002F4D34">
        <w:rPr>
          <w:rStyle w:val="libFootnoteBoldChar"/>
          <w:rtl/>
        </w:rPr>
        <w:t>الوسائل</w:t>
      </w:r>
      <w:r w:rsidR="00E3253D" w:rsidRPr="005D642E">
        <w:rPr>
          <w:rtl/>
        </w:rPr>
        <w:t xml:space="preserve"> ، ج 2 ، ص 406 ، ح 2481.</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ى ، بث ، بخ ، بس ، بف ، جح ، جس ، جن » وحاشية « غ</w:t>
      </w:r>
      <w:r w:rsidR="00E3253D">
        <w:rPr>
          <w:rtl/>
        </w:rPr>
        <w:t xml:space="preserve"> ».</w:t>
      </w:r>
      <w:r w:rsidR="00E3253D" w:rsidRPr="005D642E">
        <w:rPr>
          <w:rtl/>
        </w:rPr>
        <w:t xml:space="preserve"> وفي « ظ ، بح » والوسائل والمطبوع : « عبدالله</w:t>
      </w:r>
      <w:r w:rsidR="00E3253D">
        <w:rPr>
          <w:rtl/>
        </w:rPr>
        <w:t xml:space="preserve"> ».</w:t>
      </w:r>
      <w:r w:rsidR="00E3253D" w:rsidRPr="005D642E">
        <w:rPr>
          <w:rtl/>
        </w:rPr>
        <w:t xml:space="preserve"> وابن عامر هذا ، هو عبدالله بن عامر بن عمران الأشعري ، عمّ الحسين بن محمّد ، عُبّرَ عنه في ما نحن فيه بعبد ربّه. روى عنه الحسين كتابه وتكررّت روايته عنه في الأسناد. راجع : </w:t>
      </w:r>
      <w:r w:rsidR="00E3253D" w:rsidRPr="002F4D34">
        <w:rPr>
          <w:rStyle w:val="libFootnoteBoldChar"/>
          <w:rtl/>
        </w:rPr>
        <w:t>رجال النجاشي</w:t>
      </w:r>
      <w:r w:rsidR="00E3253D" w:rsidRPr="005D642E">
        <w:rPr>
          <w:rtl/>
        </w:rPr>
        <w:t xml:space="preserve"> ، ص 218 ، الرقم 570 ؛ </w:t>
      </w:r>
      <w:r w:rsidR="00E3253D" w:rsidRPr="002F4D34">
        <w:rPr>
          <w:rStyle w:val="libFootnoteBoldChar"/>
          <w:rtl/>
        </w:rPr>
        <w:t>معجم رجال الحديث</w:t>
      </w:r>
      <w:r w:rsidR="00E3253D" w:rsidRPr="005D642E">
        <w:rPr>
          <w:rtl/>
        </w:rPr>
        <w:t xml:space="preserve"> ، ج 6 ، ص 341.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 من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البَشَرة والبَشَر : ظاهر جلد الإنسان. </w:t>
      </w:r>
      <w:r w:rsidR="00E3253D" w:rsidRPr="002F4D34">
        <w:rPr>
          <w:rStyle w:val="libFootnoteBoldChar"/>
          <w:rtl/>
        </w:rPr>
        <w:t>الصحاح</w:t>
      </w:r>
      <w:r w:rsidR="00E3253D" w:rsidRPr="005D642E">
        <w:rPr>
          <w:rtl/>
        </w:rPr>
        <w:t xml:space="preserve"> ، ج 2 ، ص 590 ( بشر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ولا ذنبه</w:t>
      </w:r>
      <w:r w:rsidR="00E3253D">
        <w:rPr>
          <w:rtl/>
        </w:rPr>
        <w:t xml:space="preserve"> ».</w:t>
      </w:r>
      <w:r w:rsidR="00E3253D" w:rsidRPr="005D642E">
        <w:rPr>
          <w:rtl/>
        </w:rPr>
        <w:t xml:space="preserve"> وفي حاشية « بح » : « فلا ذنب 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24 ، ص 214 ، ح 23918 ؛ </w:t>
      </w:r>
      <w:r w:rsidR="00E3253D" w:rsidRPr="002F4D34">
        <w:rPr>
          <w:rStyle w:val="libFootnoteBoldChar"/>
          <w:rtl/>
        </w:rPr>
        <w:t>الوسائل</w:t>
      </w:r>
      <w:r w:rsidR="00E3253D" w:rsidRPr="005D642E">
        <w:rPr>
          <w:rtl/>
        </w:rPr>
        <w:t xml:space="preserve"> ، ج 2 ، ص 405 ، ح 2478.</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النسخ والوسائل. وفي المطبوع : « الحسن بن عليّ الكندي</w:t>
      </w:r>
      <w:r w:rsidR="00E3253D">
        <w:rPr>
          <w:rtl/>
        </w:rPr>
        <w:t xml:space="preserve"> ».</w:t>
      </w:r>
      <w:r w:rsidR="00E3253D" w:rsidRPr="005D642E">
        <w:rPr>
          <w:rtl/>
        </w:rPr>
        <w:t xml:space="preserve"> والصواب ما أثبتناه ؛ فقد روى حميد بن‌زياد عن الحسن بن محمّد بن سماعة كتاب أحمد بن الحسن بن إسماعيل بن شعيب بن ميثم ، وابن سماعة هو أبو محمّد الكنديّ. وقد روى حميد بن زياد عنه بعنوان الحسن بن محمّد الكندي في بعض الأسناد. راجع : </w:t>
      </w:r>
      <w:r w:rsidR="00E3253D" w:rsidRPr="002F4D34">
        <w:rPr>
          <w:rStyle w:val="libFootnoteBoldChar"/>
          <w:rtl/>
        </w:rPr>
        <w:t>رجال النجاشي</w:t>
      </w:r>
      <w:r w:rsidR="00E3253D" w:rsidRPr="005D642E">
        <w:rPr>
          <w:rtl/>
        </w:rPr>
        <w:t xml:space="preserve"> ، ص 40 ، الرقم 84 ؛ وص 74 ، الرقم 179 ؛ </w:t>
      </w:r>
      <w:r w:rsidR="00E3253D" w:rsidRPr="002F4D34">
        <w:rPr>
          <w:rStyle w:val="libFootnoteBoldChar"/>
          <w:rtl/>
        </w:rPr>
        <w:t>معجم رجال الحديث</w:t>
      </w:r>
      <w:r w:rsidR="00E3253D" w:rsidRPr="005D642E">
        <w:rPr>
          <w:rtl/>
        </w:rPr>
        <w:t xml:space="preserve"> ، ج 6 ، ص 462</w:t>
      </w:r>
      <w:r w:rsidR="00E3253D">
        <w:rPr>
          <w:rtl/>
        </w:rPr>
        <w:t xml:space="preserve"> </w:t>
      </w:r>
      <w:r w:rsidR="007642BC">
        <w:rPr>
          <w:rtl/>
        </w:rPr>
        <w:t>-</w:t>
      </w:r>
      <w:r w:rsidR="00E3253D">
        <w:rPr>
          <w:rtl/>
        </w:rPr>
        <w:t xml:space="preserve"> </w:t>
      </w:r>
      <w:r w:rsidR="00E3253D" w:rsidRPr="005D642E">
        <w:rPr>
          <w:rtl/>
        </w:rPr>
        <w:t>463.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الوسائل : « قبلها بقبولها » بدل « قبولها</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BF6289">
        <w:rPr>
          <w:rStyle w:val="libFootnoteAlaemChar"/>
          <w:rtl/>
        </w:rPr>
        <w:t>عليه‌السلام</w:t>
      </w:r>
      <w:r w:rsidR="00E3253D" w:rsidRPr="005D642E">
        <w:rPr>
          <w:rtl/>
        </w:rPr>
        <w:t xml:space="preserve"> ، ص 341 ، مع اختلاف يسير </w:t>
      </w:r>
      <w:r w:rsidR="00BF6289">
        <w:rPr>
          <w:rFonts w:hint="cs"/>
          <w:rtl/>
        </w:rPr>
        <w:t>.</w:t>
      </w:r>
      <w:r w:rsidR="00E3253D" w:rsidRPr="002F4D34">
        <w:rPr>
          <w:rStyle w:val="libFootnoteBoldChar"/>
          <w:rtl/>
        </w:rPr>
        <w:t>الوافي</w:t>
      </w:r>
      <w:r w:rsidR="00E3253D" w:rsidRPr="005D642E">
        <w:rPr>
          <w:rtl/>
        </w:rPr>
        <w:t xml:space="preserve"> ، ج 24 ، ص 215 ، ح 23919 ؛ </w:t>
      </w:r>
      <w:r w:rsidR="00E3253D" w:rsidRPr="002F4D34">
        <w:rPr>
          <w:rStyle w:val="libFootnoteBoldChar"/>
          <w:rtl/>
        </w:rPr>
        <w:t>الوسائل</w:t>
      </w:r>
      <w:r w:rsidR="00E3253D" w:rsidRPr="005D642E">
        <w:rPr>
          <w:rtl/>
        </w:rPr>
        <w:t xml:space="preserve"> ، ج 2 ، ص 406 ، ح 2482.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723FF">
        <w:rPr>
          <w:rtl/>
        </w:rPr>
        <w:lastRenderedPageBreak/>
        <w:t>4265</w:t>
      </w:r>
      <w:r w:rsidRPr="00246318">
        <w:rPr>
          <w:rStyle w:val="libBold2Char"/>
          <w:rtl/>
        </w:rPr>
        <w:t xml:space="preserve"> / 5.</w:t>
      </w:r>
      <w:r w:rsidRPr="005D642E">
        <w:rPr>
          <w:rtl/>
          <w:lang w:bidi="fa-IR"/>
        </w:rPr>
        <w:t xml:space="preserve"> عِدَّةٌ مِنْ أَصْحَابِنَا ، عَنْ أَحْمَدَ بْنِ أَبِي عَبْدِ اللهِ ، عَنِ الْعَرْزَمِيِّ </w:t>
      </w:r>
      <w:r w:rsidRPr="007C12DB">
        <w:rPr>
          <w:rStyle w:val="libFootnotenumChar"/>
          <w:rtl/>
        </w:rPr>
        <w:t>(1)</w:t>
      </w:r>
      <w:r w:rsidRPr="005D642E">
        <w:rPr>
          <w:rtl/>
          <w:lang w:bidi="fa-IR"/>
        </w:rPr>
        <w:t xml:space="preserve"> ، عَنْ أَبِيهِ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اشْتَكى لَيْلَةً ، فَقَبِلَهَا بِقَبُولِهَا ، وَأَدّى إِلَى اللهِ شُكْرَهَا ، كَانَتْ كَعِبَادَةِ </w:t>
      </w:r>
      <w:r w:rsidRPr="007C12DB">
        <w:rPr>
          <w:rStyle w:val="libFootnotenumChar"/>
          <w:rtl/>
        </w:rPr>
        <w:t>(2)</w:t>
      </w:r>
      <w:r w:rsidRPr="005D642E">
        <w:rPr>
          <w:rtl/>
          <w:lang w:bidi="fa-IR"/>
        </w:rPr>
        <w:t xml:space="preserve"> سِتِّينَ سَنَةً</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أَبِي : فَقُلْتُ لَهُ : مَا </w:t>
      </w:r>
      <w:r w:rsidRPr="007C12DB">
        <w:rPr>
          <w:rStyle w:val="libFootnotenumChar"/>
          <w:rtl/>
        </w:rPr>
        <w:t>(3)</w:t>
      </w:r>
      <w:r w:rsidRPr="005D642E">
        <w:rPr>
          <w:rtl/>
          <w:lang w:bidi="fa-IR"/>
        </w:rPr>
        <w:t xml:space="preserve"> قَبُولُهَا</w:t>
      </w:r>
      <w:r>
        <w:rPr>
          <w:rtl/>
          <w:lang w:bidi="fa-IR"/>
        </w:rPr>
        <w:t>؟</w:t>
      </w:r>
    </w:p>
    <w:p w:rsidR="00E3253D" w:rsidRPr="005D642E" w:rsidRDefault="00E3253D" w:rsidP="00E3253D">
      <w:pPr>
        <w:pStyle w:val="libNormal"/>
        <w:rPr>
          <w:rtl/>
          <w:lang w:bidi="fa-IR"/>
        </w:rPr>
      </w:pPr>
      <w:r w:rsidRPr="005D642E">
        <w:rPr>
          <w:rtl/>
          <w:lang w:bidi="fa-IR"/>
        </w:rPr>
        <w:t>قَالَ : « يَصْبِرُ عَلَيْهَا ، وَلَايُخْبِرُ بِمَا كَانَ فِيهَا ، فَإِذَا أَصْبَحَ حَمِدَ اللهَ عَلى مَا كَانَ</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5723FF">
        <w:rPr>
          <w:rtl/>
        </w:rPr>
        <w:t>4266</w:t>
      </w:r>
      <w:r w:rsidRPr="00246318">
        <w:rPr>
          <w:rStyle w:val="libBold2Char"/>
          <w:rtl/>
        </w:rPr>
        <w:t xml:space="preserve"> / 6.</w:t>
      </w:r>
      <w:r w:rsidRPr="005D642E">
        <w:rPr>
          <w:rtl/>
          <w:lang w:bidi="fa-IR"/>
        </w:rPr>
        <w:t xml:space="preserve"> عَلِيُّ بْنُ إِبْرَاهِيمَ ، عَنْ أَبِيهِ ، عَنِ ابْنِ أَبِي عُمَيْرٍ ، عَنْ بَعْضِ أَصْحَابِهِ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مَنْ مَرِضَ ثَلَاثَةَ أَيَّامٍ ، فَكَتَمَهُ ، وَلَمْ يُخْبِرْ </w:t>
      </w:r>
      <w:r w:rsidRPr="007C12DB">
        <w:rPr>
          <w:rStyle w:val="libFootnotenumChar"/>
          <w:rtl/>
        </w:rPr>
        <w:t>(5)</w:t>
      </w:r>
      <w:r w:rsidRPr="005D642E">
        <w:rPr>
          <w:rtl/>
          <w:lang w:bidi="fa-IR"/>
        </w:rPr>
        <w:t xml:space="preserve"> بِهِ أَحَداً ، أَبْدَلَ </w:t>
      </w:r>
      <w:r w:rsidRPr="007C12DB">
        <w:rPr>
          <w:rStyle w:val="libFootnotenumChar"/>
          <w:rtl/>
        </w:rPr>
        <w:t>(6)</w:t>
      </w:r>
      <w:r w:rsidRPr="005D642E">
        <w:rPr>
          <w:rtl/>
          <w:lang w:bidi="fa-IR"/>
        </w:rPr>
        <w:t xml:space="preserve">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لَهُ لَحْماً خَيْراً مِنْ لَحْمِهِ ، وَدَماً خَيْراً مِنْ دَمِهِ ، وَبَشَرَةً </w:t>
      </w:r>
      <w:r w:rsidRPr="007C12DB">
        <w:rPr>
          <w:rStyle w:val="libFootnotenumChar"/>
          <w:rtl/>
        </w:rPr>
        <w:t>(7)</w:t>
      </w:r>
      <w:r w:rsidRPr="005D642E">
        <w:rPr>
          <w:rtl/>
          <w:lang w:bidi="fa-IR"/>
        </w:rPr>
        <w:t xml:space="preserve"> خَيْراً مِنْ بَشَرَتِهِ </w:t>
      </w:r>
      <w:r w:rsidRPr="007C12DB">
        <w:rPr>
          <w:rStyle w:val="libFootnotenumChar"/>
          <w:rtl/>
        </w:rPr>
        <w:t>(8)</w:t>
      </w:r>
      <w:r w:rsidRPr="005D642E">
        <w:rPr>
          <w:rtl/>
          <w:lang w:bidi="fa-IR"/>
        </w:rPr>
        <w:t xml:space="preserve"> ، وَشَعْراً خَيْراً مِنْ شَعْرِهِ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قُلْتُ </w:t>
      </w:r>
      <w:r w:rsidRPr="007C12DB">
        <w:rPr>
          <w:rStyle w:val="libFootnotenumChar"/>
          <w:rtl/>
        </w:rPr>
        <w:t>(9)</w:t>
      </w:r>
      <w:r w:rsidRPr="005D642E">
        <w:rPr>
          <w:rtl/>
          <w:lang w:bidi="fa-IR"/>
        </w:rPr>
        <w:t xml:space="preserve"> : جُعِلْتُ فِدَاكَ ، وَكَيْفَ يُبْدِلُهُ</w:t>
      </w:r>
      <w:r>
        <w:rPr>
          <w:rtl/>
          <w:lang w:bidi="fa-IR"/>
        </w:rPr>
        <w:t>؟</w:t>
      </w:r>
    </w:p>
    <w:p w:rsidR="00E3253D" w:rsidRPr="005D642E" w:rsidRDefault="00E3253D" w:rsidP="00E3253D">
      <w:pPr>
        <w:pStyle w:val="libNormal"/>
        <w:rPr>
          <w:rtl/>
          <w:lang w:bidi="fa-IR"/>
        </w:rPr>
      </w:pPr>
      <w:r w:rsidRPr="005D642E">
        <w:rPr>
          <w:rtl/>
          <w:lang w:bidi="fa-IR"/>
        </w:rPr>
        <w:t xml:space="preserve">قَالَ : « يُبْدِلُهُ لَحْماً وَشَعْراً وَدَماً </w:t>
      </w:r>
      <w:r w:rsidRPr="007C12DB">
        <w:rPr>
          <w:rStyle w:val="libFootnotenumChar"/>
          <w:rtl/>
        </w:rPr>
        <w:t>(10)</w:t>
      </w:r>
      <w:r w:rsidRPr="005D642E">
        <w:rPr>
          <w:rtl/>
          <w:lang w:bidi="fa-IR"/>
        </w:rPr>
        <w:t xml:space="preserve"> وَبَشَرَةً </w:t>
      </w:r>
      <w:r w:rsidRPr="007C12DB">
        <w:rPr>
          <w:rStyle w:val="libFootnotenumChar"/>
          <w:rtl/>
        </w:rPr>
        <w:t>(11)</w:t>
      </w:r>
      <w:r w:rsidRPr="005D642E">
        <w:rPr>
          <w:rtl/>
          <w:lang w:bidi="fa-IR"/>
        </w:rPr>
        <w:t xml:space="preserve"> لَمْ يُذْنِبْ فِيهَا </w:t>
      </w:r>
      <w:r w:rsidRPr="007C12DB">
        <w:rPr>
          <w:rStyle w:val="libFootnotenumChar"/>
          <w:rtl/>
        </w:rPr>
        <w:t>(12)</w:t>
      </w:r>
      <w:r>
        <w:rPr>
          <w:rtl/>
          <w:lang w:bidi="fa-IR"/>
        </w:rPr>
        <w:t xml:space="preserve"> ».</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ظ ، ى ، بث ، بح ، بخ ، بف ، جح</w:t>
      </w:r>
      <w:r w:rsidR="00E3253D">
        <w:rPr>
          <w:rtl/>
        </w:rPr>
        <w:t xml:space="preserve"> ».</w:t>
      </w:r>
      <w:r w:rsidR="00E3253D" w:rsidRPr="005D642E">
        <w:rPr>
          <w:rtl/>
        </w:rPr>
        <w:t xml:space="preserve"> وفي « بس ، جس » والمطبوع : « العزرمي</w:t>
      </w:r>
      <w:r w:rsidR="00E3253D">
        <w:rPr>
          <w:rtl/>
        </w:rPr>
        <w:t xml:space="preserve"> ».</w:t>
      </w:r>
    </w:p>
    <w:p w:rsidR="00E3253D" w:rsidRPr="005D642E" w:rsidRDefault="00E3253D" w:rsidP="00BF6289">
      <w:pPr>
        <w:pStyle w:val="libFootnote0"/>
        <w:rPr>
          <w:rtl/>
          <w:lang w:bidi="fa-IR"/>
        </w:rPr>
      </w:pPr>
      <w:r w:rsidRPr="00B60612">
        <w:rPr>
          <w:rtl/>
        </w:rPr>
        <w:t xml:space="preserve">والمذكور في الأنساب هو « العرزميّ ». راجع : </w:t>
      </w:r>
      <w:r w:rsidRPr="002F4D34">
        <w:rPr>
          <w:rStyle w:val="libFootnoteBoldChar"/>
          <w:rtl/>
        </w:rPr>
        <w:t>الإكمال</w:t>
      </w:r>
      <w:r w:rsidRPr="00B60612">
        <w:rPr>
          <w:rtl/>
        </w:rPr>
        <w:t xml:space="preserve"> لابن ما كولأ ، ج 7 ، ص 37 ؛ </w:t>
      </w:r>
      <w:r w:rsidRPr="00E60B57">
        <w:rPr>
          <w:rStyle w:val="libFootnoteBoldChar"/>
          <w:rtl/>
        </w:rPr>
        <w:t>الأنساب للسمعاني</w:t>
      </w:r>
      <w:r w:rsidRPr="00B60612">
        <w:rPr>
          <w:rtl/>
        </w:rPr>
        <w:t xml:space="preserve"> ، ج 4 ، ص 178.</w:t>
      </w:r>
      <w:r w:rsidR="00BF6289">
        <w:rPr>
          <w:rFonts w:hint="cs"/>
          <w:rtl/>
        </w:rPr>
        <w:t xml:space="preserve">        </w:t>
      </w:r>
      <w:r w:rsidR="00591486">
        <w:rPr>
          <w:rFonts w:hint="cs"/>
          <w:rtl/>
        </w:rPr>
        <w:t xml:space="preserve">                             </w:t>
      </w:r>
      <w:r w:rsidR="00BF6289">
        <w:rPr>
          <w:rFonts w:hint="cs"/>
          <w:rtl/>
        </w:rPr>
        <w:t xml:space="preserve">   </w:t>
      </w:r>
      <w:r w:rsidR="00A67D87">
        <w:rPr>
          <w:rFonts w:hint="cs"/>
          <w:rtl/>
        </w:rPr>
        <w:t xml:space="preserve">    </w:t>
      </w:r>
      <w:r w:rsidR="00BF6289">
        <w:rPr>
          <w:rFonts w:hint="cs"/>
          <w:rtl/>
        </w:rPr>
        <w:t xml:space="preserve"> </w:t>
      </w:r>
      <w:r w:rsidR="0042621E" w:rsidRPr="0042621E">
        <w:rPr>
          <w:rStyle w:val="libFootnote0Char"/>
          <w:rtl/>
        </w:rPr>
        <w:t>(2).</w:t>
      </w:r>
      <w:r w:rsidRPr="005D642E">
        <w:rPr>
          <w:rtl/>
        </w:rPr>
        <w:t xml:space="preserve"> في ثواب الأعمال : « كفّارة</w:t>
      </w:r>
      <w:r>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 + « معنى</w:t>
      </w:r>
      <w:r w:rsidR="00E3253D">
        <w:rPr>
          <w:rtl/>
        </w:rPr>
        <w:t xml:space="preserve"> ».</w:t>
      </w:r>
    </w:p>
    <w:p w:rsidR="00E3253D" w:rsidRPr="005D642E" w:rsidRDefault="0042621E" w:rsidP="00A67D87">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ثواب الأعمال</w:t>
      </w:r>
      <w:r w:rsidR="00E3253D" w:rsidRPr="005D642E">
        <w:rPr>
          <w:rtl/>
        </w:rPr>
        <w:t xml:space="preserve"> ، ص 229 ، ح 1 ، بسند آخر ، إلى قوله : « قال : يصبر عليها » مع اختلاف يسير </w:t>
      </w:r>
      <w:r w:rsidR="00A67D87">
        <w:rPr>
          <w:rFonts w:hint="cs"/>
          <w:rtl/>
        </w:rPr>
        <w:t>.</w:t>
      </w:r>
      <w:r w:rsidR="00E3253D" w:rsidRPr="002F4D34">
        <w:rPr>
          <w:rStyle w:val="libFootnoteBoldChar"/>
          <w:rtl/>
        </w:rPr>
        <w:t>الوافي</w:t>
      </w:r>
      <w:r w:rsidR="00E3253D" w:rsidRPr="005D642E">
        <w:rPr>
          <w:rtl/>
        </w:rPr>
        <w:t xml:space="preserve"> ، ج 24 ، ص 215 ، ح 23920 ؛ </w:t>
      </w:r>
      <w:r w:rsidR="00E3253D" w:rsidRPr="002F4D34">
        <w:rPr>
          <w:rStyle w:val="libFootnoteBoldChar"/>
          <w:rtl/>
        </w:rPr>
        <w:t>الوسائل</w:t>
      </w:r>
      <w:r w:rsidR="00E3253D" w:rsidRPr="005D642E">
        <w:rPr>
          <w:rtl/>
        </w:rPr>
        <w:t xml:space="preserve"> ، ج 2 ، ص 405 ، ح 2479.</w:t>
      </w:r>
    </w:p>
    <w:tbl>
      <w:tblPr>
        <w:tblStyle w:val="TableGrid"/>
        <w:bidiVisual/>
        <w:tblW w:w="0" w:type="auto"/>
        <w:tblLook w:val="04A0" w:firstRow="1" w:lastRow="0" w:firstColumn="1" w:lastColumn="0" w:noHBand="0" w:noVBand="1"/>
      </w:tblPr>
      <w:tblGrid>
        <w:gridCol w:w="4006"/>
        <w:gridCol w:w="4006"/>
      </w:tblGrid>
      <w:tr w:rsidR="00A67D87" w:rsidTr="00A67D87">
        <w:tc>
          <w:tcPr>
            <w:tcW w:w="4006" w:type="dxa"/>
          </w:tcPr>
          <w:p w:rsidR="00A67D87" w:rsidRDefault="00A67D87" w:rsidP="00E3253D">
            <w:pPr>
              <w:pStyle w:val="libFootnote0"/>
              <w:rPr>
                <w:rStyle w:val="libFootnote0Char"/>
                <w:rtl/>
                <w:lang w:bidi="fa-IR"/>
              </w:rPr>
            </w:pPr>
            <w:r w:rsidRPr="0042621E">
              <w:rPr>
                <w:rStyle w:val="libFootnote0Char"/>
                <w:rtl/>
              </w:rPr>
              <w:t>(5).</w:t>
            </w:r>
            <w:r w:rsidRPr="005D642E">
              <w:rPr>
                <w:rtl/>
              </w:rPr>
              <w:t xml:space="preserve"> في « ظ » : « فلم يخبر</w:t>
            </w:r>
            <w:r>
              <w:rPr>
                <w:rtl/>
              </w:rPr>
              <w:t xml:space="preserve"> ».</w:t>
            </w:r>
          </w:p>
        </w:tc>
        <w:tc>
          <w:tcPr>
            <w:tcW w:w="4006" w:type="dxa"/>
          </w:tcPr>
          <w:p w:rsidR="00A67D87" w:rsidRDefault="00A67D87" w:rsidP="00E3253D">
            <w:pPr>
              <w:pStyle w:val="libFootnote0"/>
              <w:rPr>
                <w:rStyle w:val="libFootnote0Char"/>
                <w:rtl/>
                <w:lang w:bidi="fa-IR"/>
              </w:rPr>
            </w:pPr>
            <w:r w:rsidRPr="0042621E">
              <w:rPr>
                <w:rStyle w:val="libFootnote0Char"/>
                <w:rtl/>
              </w:rPr>
              <w:t>(6).</w:t>
            </w:r>
            <w:r w:rsidRPr="005D642E">
              <w:rPr>
                <w:rtl/>
              </w:rPr>
              <w:t xml:space="preserve"> في « بف » : « بدّل</w:t>
            </w:r>
            <w:r>
              <w:rPr>
                <w:rtl/>
              </w:rPr>
              <w:t xml:space="preserve"> ».</w:t>
            </w:r>
          </w:p>
        </w:tc>
      </w:tr>
      <w:tr w:rsidR="00A67D87" w:rsidTr="00A67D87">
        <w:tc>
          <w:tcPr>
            <w:tcW w:w="4006" w:type="dxa"/>
          </w:tcPr>
          <w:p w:rsidR="00A67D87" w:rsidRDefault="00A67D87" w:rsidP="00E3253D">
            <w:pPr>
              <w:pStyle w:val="libFootnote0"/>
              <w:rPr>
                <w:rStyle w:val="libFootnote0Char"/>
                <w:rtl/>
                <w:lang w:bidi="fa-IR"/>
              </w:rPr>
            </w:pPr>
            <w:r w:rsidRPr="0042621E">
              <w:rPr>
                <w:rStyle w:val="libFootnote0Char"/>
                <w:rtl/>
              </w:rPr>
              <w:t>(7).</w:t>
            </w:r>
            <w:r w:rsidRPr="005D642E">
              <w:rPr>
                <w:rtl/>
              </w:rPr>
              <w:t xml:space="preserve"> في « جن » : « بشراً</w:t>
            </w:r>
            <w:r>
              <w:rPr>
                <w:rtl/>
              </w:rPr>
              <w:t xml:space="preserve"> ».</w:t>
            </w:r>
          </w:p>
        </w:tc>
        <w:tc>
          <w:tcPr>
            <w:tcW w:w="4006" w:type="dxa"/>
          </w:tcPr>
          <w:p w:rsidR="00A67D87" w:rsidRDefault="00A67D87" w:rsidP="00E3253D">
            <w:pPr>
              <w:pStyle w:val="libFootnote0"/>
              <w:rPr>
                <w:rStyle w:val="libFootnote0Char"/>
                <w:rtl/>
                <w:lang w:bidi="fa-IR"/>
              </w:rPr>
            </w:pPr>
            <w:r w:rsidRPr="0042621E">
              <w:rPr>
                <w:rStyle w:val="libFootnote0Char"/>
                <w:rtl/>
              </w:rPr>
              <w:t>(8).</w:t>
            </w:r>
            <w:r w:rsidRPr="005D642E">
              <w:rPr>
                <w:rtl/>
              </w:rPr>
              <w:t xml:space="preserve"> في « جن » : « بشره</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 له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ودماً وشعراً</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والوسائل : « وبشراً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w:t>
      </w:r>
      <w:r w:rsidR="00E3253D" w:rsidRPr="002F4D34">
        <w:rPr>
          <w:rStyle w:val="libFootnoteBoldChar"/>
          <w:rtl/>
        </w:rPr>
        <w:t>مرآة العقول</w:t>
      </w:r>
      <w:r w:rsidR="00E3253D" w:rsidRPr="005D642E">
        <w:rPr>
          <w:rtl/>
        </w:rPr>
        <w:t xml:space="preserve"> : « ولعلّ المراد أنّه تعالى يرفع عنها حكم الذنب واستحقاق العقوبة ، كما ورد في الأخبار : كيوم ولدته ا</w:t>
      </w:r>
      <w:r w:rsidR="006A2527">
        <w:rPr>
          <w:rFonts w:hint="cs"/>
          <w:rtl/>
        </w:rPr>
        <w:t>ُ</w:t>
      </w:r>
      <w:r w:rsidR="00E3253D" w:rsidRPr="005D642E">
        <w:rPr>
          <w:rtl/>
        </w:rPr>
        <w:t>مّه</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الوافي</w:t>
      </w:r>
      <w:r w:rsidR="00E3253D" w:rsidRPr="005D642E">
        <w:rPr>
          <w:rtl/>
        </w:rPr>
        <w:t xml:space="preserve"> ، ج 24 ، ص 215 ، ح 23921 ؛ </w:t>
      </w:r>
      <w:r w:rsidR="00E3253D" w:rsidRPr="002F4D34">
        <w:rPr>
          <w:rStyle w:val="libFootnoteBoldChar"/>
          <w:rtl/>
        </w:rPr>
        <w:t>الوسائل</w:t>
      </w:r>
      <w:r w:rsidR="00E3253D" w:rsidRPr="005D642E">
        <w:rPr>
          <w:rtl/>
        </w:rPr>
        <w:t xml:space="preserve"> ، ج 2 ، ص 406 ، ح 2480.</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266" w:name="_Toc344647299"/>
      <w:bookmarkStart w:id="267" w:name="_Toc462226813"/>
      <w:bookmarkStart w:id="268" w:name="_Toc40975922"/>
      <w:r w:rsidRPr="005D642E">
        <w:rPr>
          <w:rtl/>
          <w:lang w:bidi="fa-IR"/>
        </w:rPr>
        <w:lastRenderedPageBreak/>
        <w:t>4</w:t>
      </w:r>
      <w:r>
        <w:rPr>
          <w:rtl/>
          <w:lang w:bidi="fa-IR"/>
        </w:rPr>
        <w:t xml:space="preserve"> </w:t>
      </w:r>
      <w:r w:rsidR="007642BC">
        <w:rPr>
          <w:rtl/>
          <w:lang w:bidi="fa-IR"/>
        </w:rPr>
        <w:t>-</w:t>
      </w:r>
      <w:r>
        <w:rPr>
          <w:rtl/>
          <w:lang w:bidi="fa-IR"/>
        </w:rPr>
        <w:t xml:space="preserve"> </w:t>
      </w:r>
      <w:r w:rsidRPr="005D642E">
        <w:rPr>
          <w:rtl/>
          <w:lang w:bidi="fa-IR"/>
        </w:rPr>
        <w:t xml:space="preserve">بَابُ حَدِّ الشِّكَايَةِ </w:t>
      </w:r>
      <w:r w:rsidRPr="007C12DB">
        <w:rPr>
          <w:rStyle w:val="libFootnotenumChar"/>
          <w:rtl/>
        </w:rPr>
        <w:t>(1)</w:t>
      </w:r>
      <w:r w:rsidRPr="005D642E">
        <w:rPr>
          <w:rtl/>
          <w:lang w:bidi="fa-IR"/>
        </w:rPr>
        <w:t xml:space="preserve"> ‌</w:t>
      </w:r>
      <w:bookmarkEnd w:id="266"/>
      <w:bookmarkEnd w:id="267"/>
      <w:bookmarkEnd w:id="268"/>
    </w:p>
    <w:p w:rsidR="00E3253D" w:rsidRPr="005D642E" w:rsidRDefault="00E3253D" w:rsidP="00E3253D">
      <w:pPr>
        <w:pStyle w:val="libNormal"/>
        <w:rPr>
          <w:rtl/>
          <w:lang w:bidi="fa-IR"/>
        </w:rPr>
      </w:pPr>
      <w:r w:rsidRPr="005723FF">
        <w:rPr>
          <w:rtl/>
        </w:rPr>
        <w:t>4267</w:t>
      </w:r>
      <w:r w:rsidRPr="00246318">
        <w:rPr>
          <w:rStyle w:val="libBold2Char"/>
          <w:rtl/>
        </w:rPr>
        <w:t xml:space="preserve"> / 1.</w:t>
      </w:r>
      <w:r w:rsidRPr="005D642E">
        <w:rPr>
          <w:rtl/>
          <w:lang w:bidi="fa-IR"/>
        </w:rPr>
        <w:t xml:space="preserve"> عَلِيُّ بْنُ إِبْرَاهِيمَ ، عَنْ أَبِيهِ ، عَنِ ابْنِ أَبِي عُمَيْرٍ ، عَنْ جَمِيلِ بْنِ صَالِحٍ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عَنْ حَدِّ الشِّكَايَةِ </w:t>
      </w:r>
      <w:r w:rsidRPr="007C12DB">
        <w:rPr>
          <w:rStyle w:val="libFootnotenumChar"/>
          <w:rtl/>
        </w:rPr>
        <w:t>(2)</w:t>
      </w:r>
      <w:r w:rsidRPr="005D642E">
        <w:rPr>
          <w:rtl/>
          <w:lang w:bidi="fa-IR"/>
        </w:rPr>
        <w:t xml:space="preserve"> لِلْمَرِيضِ</w:t>
      </w:r>
      <w:r>
        <w:rPr>
          <w:rtl/>
          <w:lang w:bidi="fa-IR"/>
        </w:rPr>
        <w:t>؟</w:t>
      </w:r>
    </w:p>
    <w:p w:rsidR="00E3253D" w:rsidRPr="005D642E" w:rsidRDefault="00E3253D" w:rsidP="00E3253D">
      <w:pPr>
        <w:pStyle w:val="libNormal"/>
        <w:rPr>
          <w:rtl/>
          <w:lang w:bidi="fa-IR"/>
        </w:rPr>
      </w:pPr>
      <w:r w:rsidRPr="005D642E">
        <w:rPr>
          <w:rtl/>
          <w:lang w:bidi="fa-IR"/>
        </w:rPr>
        <w:t xml:space="preserve">فَقَالَ : « إِنَّ الرَّجُلَ يَقُولُ : حُمِمْتُ الْيَوْمَ وَسَهِرْتُ الْبَارِحَةَ </w:t>
      </w:r>
      <w:r w:rsidRPr="007C12DB">
        <w:rPr>
          <w:rStyle w:val="libFootnotenumChar"/>
          <w:rtl/>
        </w:rPr>
        <w:t>(3)</w:t>
      </w:r>
      <w:r w:rsidRPr="005D642E">
        <w:rPr>
          <w:rtl/>
          <w:lang w:bidi="fa-IR"/>
        </w:rPr>
        <w:t xml:space="preserve"> ، وَقَدْ صَدَقَ ، وَلَيْسَ هذَا </w:t>
      </w:r>
      <w:r w:rsidRPr="007C12DB">
        <w:rPr>
          <w:rStyle w:val="libFootnotenumChar"/>
          <w:rtl/>
        </w:rPr>
        <w:t>(4)</w:t>
      </w:r>
      <w:r w:rsidRPr="005D642E">
        <w:rPr>
          <w:rtl/>
          <w:lang w:bidi="fa-IR"/>
        </w:rPr>
        <w:t xml:space="preserve"> شِكَايَةً </w:t>
      </w:r>
      <w:r w:rsidRPr="007C12DB">
        <w:rPr>
          <w:rStyle w:val="libFootnotenumChar"/>
          <w:rtl/>
        </w:rPr>
        <w:t>(5)</w:t>
      </w:r>
      <w:r w:rsidRPr="005D642E">
        <w:rPr>
          <w:rtl/>
          <w:lang w:bidi="fa-IR"/>
        </w:rPr>
        <w:t xml:space="preserve"> ، وَإِنَّمَا الشَّكْوى أَنْ يَقُولَ </w:t>
      </w:r>
      <w:r w:rsidRPr="007C12DB">
        <w:rPr>
          <w:rStyle w:val="libFootnotenumChar"/>
          <w:rtl/>
        </w:rPr>
        <w:t>(6)</w:t>
      </w:r>
      <w:r w:rsidRPr="005D642E">
        <w:rPr>
          <w:rtl/>
          <w:lang w:bidi="fa-IR"/>
        </w:rPr>
        <w:t xml:space="preserve"> : لَقَدِ </w:t>
      </w:r>
      <w:r w:rsidRPr="007C12DB">
        <w:rPr>
          <w:rStyle w:val="libFootnotenumChar"/>
          <w:rtl/>
        </w:rPr>
        <w:t>(7)</w:t>
      </w:r>
      <w:r w:rsidRPr="005D642E">
        <w:rPr>
          <w:rtl/>
          <w:lang w:bidi="fa-IR"/>
        </w:rPr>
        <w:t xml:space="preserve"> ابْتُلِيتُ بِمَا لَمْ يُبْتَلَ بِهِ أَحَدٌ ، وَيَقُولَ </w:t>
      </w:r>
      <w:r w:rsidRPr="007C12DB">
        <w:rPr>
          <w:rStyle w:val="libFootnotenumChar"/>
          <w:rtl/>
        </w:rPr>
        <w:t>(8)</w:t>
      </w:r>
      <w:r w:rsidRPr="005D642E">
        <w:rPr>
          <w:rtl/>
          <w:lang w:bidi="fa-IR"/>
        </w:rPr>
        <w:t xml:space="preserve"> :</w:t>
      </w:r>
      <w:r>
        <w:rPr>
          <w:lang w:bidi="fa-IR"/>
        </w:rPr>
        <w:t xml:space="preserve"> </w:t>
      </w:r>
      <w:r w:rsidRPr="005D642E">
        <w:rPr>
          <w:rtl/>
          <w:lang w:bidi="fa-IR"/>
        </w:rPr>
        <w:t xml:space="preserve">لَقَدْ أَصَابَنِي مَا لَمْ يُصِبْ أَحَداً ، وَلَيْسَ الشَّكْوى أَنْ يَقُولَ </w:t>
      </w:r>
      <w:r w:rsidRPr="007C12DB">
        <w:rPr>
          <w:rStyle w:val="libFootnotenumChar"/>
          <w:rtl/>
        </w:rPr>
        <w:t>(9)</w:t>
      </w:r>
      <w:r w:rsidRPr="005D642E">
        <w:rPr>
          <w:rtl/>
          <w:lang w:bidi="fa-IR"/>
        </w:rPr>
        <w:t xml:space="preserve"> : سَهِرْتُ الْبَارِحَةَ وَحُمِمْتُ الْيَوْمَ ، وَنَحْوَ هذَا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Heading2Center"/>
        <w:rPr>
          <w:rtl/>
          <w:lang w:bidi="fa-IR"/>
        </w:rPr>
      </w:pPr>
      <w:bookmarkStart w:id="269" w:name="_Toc344647300"/>
      <w:bookmarkStart w:id="270" w:name="_Toc462226814"/>
      <w:bookmarkStart w:id="271" w:name="_Toc40975923"/>
      <w:r w:rsidRPr="005D642E">
        <w:rPr>
          <w:rtl/>
          <w:lang w:bidi="fa-IR"/>
        </w:rPr>
        <w:t>5</w:t>
      </w:r>
      <w:r>
        <w:rPr>
          <w:rtl/>
          <w:lang w:bidi="fa-IR"/>
        </w:rPr>
        <w:t xml:space="preserve"> </w:t>
      </w:r>
      <w:r w:rsidR="007642BC">
        <w:rPr>
          <w:rtl/>
          <w:lang w:bidi="fa-IR"/>
        </w:rPr>
        <w:t>-</w:t>
      </w:r>
      <w:r>
        <w:rPr>
          <w:rtl/>
          <w:lang w:bidi="fa-IR"/>
        </w:rPr>
        <w:t xml:space="preserve"> </w:t>
      </w:r>
      <w:r w:rsidRPr="005D642E">
        <w:rPr>
          <w:rtl/>
          <w:lang w:bidi="fa-IR"/>
        </w:rPr>
        <w:t>بَابُ الْمَرِيضِ يُؤْذِنُ بِهِ النَّاسَ‌</w:t>
      </w:r>
      <w:bookmarkEnd w:id="269"/>
      <w:bookmarkEnd w:id="270"/>
      <w:bookmarkEnd w:id="271"/>
    </w:p>
    <w:p w:rsidR="00E3253D" w:rsidRPr="005D642E" w:rsidRDefault="00E3253D" w:rsidP="00E3253D">
      <w:pPr>
        <w:pStyle w:val="libNormal"/>
        <w:rPr>
          <w:rtl/>
          <w:lang w:bidi="fa-IR"/>
        </w:rPr>
      </w:pPr>
      <w:r w:rsidRPr="005723FF">
        <w:rPr>
          <w:rtl/>
        </w:rPr>
        <w:t>4268</w:t>
      </w:r>
      <w:r w:rsidRPr="00246318">
        <w:rPr>
          <w:rStyle w:val="libBold2Char"/>
          <w:rtl/>
        </w:rPr>
        <w:t xml:space="preserve"> / 1.</w:t>
      </w:r>
      <w:r w:rsidRPr="005D642E">
        <w:rPr>
          <w:rtl/>
          <w:lang w:bidi="fa-IR"/>
        </w:rPr>
        <w:t xml:space="preserve"> عَلِيُّ بْنُ إِبْرَاهِيمَ ، عَنْ أَبِيهِ ، عَنِ ابْ</w:t>
      </w:r>
      <w:r w:rsidR="006A2527">
        <w:rPr>
          <w:rtl/>
          <w:lang w:bidi="fa-IR"/>
        </w:rPr>
        <w:t>نِ مَحْبُوبٍ ، عَنْ أَبِي وَل</w:t>
      </w:r>
      <w:r w:rsidR="006A2527">
        <w:rPr>
          <w:rFonts w:hint="cs"/>
          <w:rtl/>
          <w:lang w:bidi="fa-IR"/>
        </w:rPr>
        <w:t>َّ</w:t>
      </w:r>
      <w:r w:rsidR="006A2527">
        <w:rPr>
          <w:rtl/>
          <w:lang w:bidi="fa-IR"/>
        </w:rPr>
        <w:t>ا</w:t>
      </w:r>
      <w:r w:rsidRPr="005D642E">
        <w:rPr>
          <w:rtl/>
          <w:lang w:bidi="fa-IR"/>
        </w:rPr>
        <w:t xml:space="preserve">دٍ الْحَنَّاطِ </w:t>
      </w:r>
      <w:r w:rsidRPr="007C12DB">
        <w:rPr>
          <w:rStyle w:val="libFootnotenumChar"/>
          <w:rtl/>
        </w:rPr>
        <w:t>(12)</w:t>
      </w:r>
      <w:r w:rsidRPr="005D642E">
        <w:rPr>
          <w:rtl/>
          <w:lang w:bidi="fa-IR"/>
        </w:rPr>
        <w:t xml:space="preserve"> ،</w:t>
      </w:r>
      <w:r>
        <w:rPr>
          <w:rFonts w:hint="cs"/>
          <w:rtl/>
          <w:lang w:bidi="fa-IR"/>
        </w:rPr>
        <w:t xml:space="preserve"> </w:t>
      </w:r>
      <w:r w:rsidRPr="005D642E">
        <w:rPr>
          <w:rtl/>
          <w:lang w:bidi="fa-IR"/>
        </w:rPr>
        <w:t>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ى ، بث ، بح ، بس ، جح ، جن » : « الشكاة</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ى ، بث ، بح ، بس ، جح ، جن » والوسائل : « الشكاة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السَهَر : عدم النوم في الليل كلّه أو في بعضه ، يقال : سهر الليل كلّه أو بعضه إذا لم ينم. </w:t>
      </w:r>
      <w:r w:rsidR="00E3253D">
        <w:rPr>
          <w:rtl/>
        </w:rPr>
        <w:t>و «</w:t>
      </w:r>
      <w:r w:rsidR="00E3253D" w:rsidRPr="005D642E">
        <w:rPr>
          <w:rtl/>
        </w:rPr>
        <w:t xml:space="preserve"> البارحة » : أقرب ليلةمضت. راجع : </w:t>
      </w:r>
      <w:r w:rsidR="00E3253D" w:rsidRPr="002F4D34">
        <w:rPr>
          <w:rStyle w:val="libFootnoteBoldChar"/>
          <w:rtl/>
        </w:rPr>
        <w:t>الصحاح</w:t>
      </w:r>
      <w:r w:rsidR="00E3253D" w:rsidRPr="005D642E">
        <w:rPr>
          <w:rtl/>
        </w:rPr>
        <w:t xml:space="preserve"> ، ج 1 ، ص 355 ( برح ) ؛ </w:t>
      </w:r>
      <w:r w:rsidR="00E3253D" w:rsidRPr="002F4D34">
        <w:rPr>
          <w:rStyle w:val="libFootnoteBoldChar"/>
          <w:rtl/>
        </w:rPr>
        <w:t>المصباح المنير</w:t>
      </w:r>
      <w:r w:rsidR="00E3253D" w:rsidRPr="005D642E">
        <w:rPr>
          <w:rtl/>
        </w:rPr>
        <w:t xml:space="preserve"> ، ص 293 ( سهر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بح » : « هكذا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غ ، ى ، بث ، بح ، بس ، جح ، جس » والوسائل : « شكاة</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المعاني : « تقول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والمعاني. وفي المطبوع : « قد</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D51E1" w:rsidTr="001D51E1">
        <w:tc>
          <w:tcPr>
            <w:tcW w:w="4006" w:type="dxa"/>
          </w:tcPr>
          <w:p w:rsidR="001D51E1" w:rsidRDefault="001D51E1" w:rsidP="00E3253D">
            <w:pPr>
              <w:pStyle w:val="libFootnote0"/>
              <w:rPr>
                <w:rStyle w:val="libFootnote0Char"/>
                <w:rtl/>
              </w:rPr>
            </w:pPr>
            <w:r w:rsidRPr="0042621E">
              <w:rPr>
                <w:rStyle w:val="libFootnote0Char"/>
                <w:rtl/>
              </w:rPr>
              <w:t>(8).</w:t>
            </w:r>
            <w:r w:rsidRPr="005D642E">
              <w:rPr>
                <w:rtl/>
              </w:rPr>
              <w:t xml:space="preserve"> في المعاني : « أو تقول » بدل « ويقول</w:t>
            </w:r>
            <w:r>
              <w:rPr>
                <w:rtl/>
              </w:rPr>
              <w:t xml:space="preserve"> ».</w:t>
            </w:r>
          </w:p>
        </w:tc>
        <w:tc>
          <w:tcPr>
            <w:tcW w:w="4006" w:type="dxa"/>
          </w:tcPr>
          <w:p w:rsidR="001D51E1" w:rsidRDefault="001D51E1" w:rsidP="00E3253D">
            <w:pPr>
              <w:pStyle w:val="libFootnote0"/>
              <w:rPr>
                <w:rStyle w:val="libFootnote0Char"/>
                <w:rtl/>
              </w:rPr>
            </w:pPr>
            <w:r w:rsidRPr="0042621E">
              <w:rPr>
                <w:rStyle w:val="libFootnote0Char"/>
                <w:rtl/>
              </w:rPr>
              <w:t>(9).</w:t>
            </w:r>
            <w:r w:rsidRPr="005D642E">
              <w:rPr>
                <w:rtl/>
              </w:rPr>
              <w:t xml:space="preserve"> في المعاني : « أن تقول</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مرآة العقول</w:t>
      </w:r>
      <w:r w:rsidR="00E3253D" w:rsidRPr="005D642E">
        <w:rPr>
          <w:rtl/>
        </w:rPr>
        <w:t xml:space="preserve"> : « كأنّ هذا تفسير </w:t>
      </w:r>
      <w:r w:rsidR="00440236">
        <w:rPr>
          <w:rtl/>
        </w:rPr>
        <w:t>للشكاية التي تحبط الثواب ، وإل</w:t>
      </w:r>
      <w:r w:rsidR="00440236">
        <w:rPr>
          <w:rFonts w:hint="cs"/>
          <w:rtl/>
        </w:rPr>
        <w:t>ّ</w:t>
      </w:r>
      <w:r w:rsidR="00440236">
        <w:rPr>
          <w:rtl/>
        </w:rPr>
        <w:t>ا</w:t>
      </w:r>
      <w:r w:rsidR="00E3253D" w:rsidRPr="005D642E">
        <w:rPr>
          <w:rtl/>
        </w:rPr>
        <w:t xml:space="preserve"> فالأفضل أن لايخبر به أحداً ، كما يظهر من الأخبار السابقة. ويمكن حمل هذا الخبر على الإخبار لغرض ، كإخبار الطبيب مثلاً</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معاني الأخبار</w:t>
      </w:r>
      <w:r w:rsidR="00E3253D" w:rsidRPr="005D642E">
        <w:rPr>
          <w:rtl/>
        </w:rPr>
        <w:t xml:space="preserve"> ، ص 142 ، ح 1 ، بسنده عن محمّد بن أبي عمير ، من قوله : « إنّما الشكوى أن يقول » </w:t>
      </w:r>
      <w:r w:rsidR="006C4A35">
        <w:rPr>
          <w:rFonts w:hint="cs"/>
          <w:rtl/>
        </w:rPr>
        <w:t>.</w:t>
      </w:r>
      <w:r w:rsidR="00E3253D" w:rsidRPr="002F4D34">
        <w:rPr>
          <w:rStyle w:val="libFootnoteBoldChar"/>
          <w:rtl/>
        </w:rPr>
        <w:t>الوافي</w:t>
      </w:r>
      <w:r w:rsidR="00E3253D" w:rsidRPr="005D642E">
        <w:rPr>
          <w:rtl/>
        </w:rPr>
        <w:t xml:space="preserve"> ، ج 24 ، ص 215 ، ح 23922 ؛ </w:t>
      </w:r>
      <w:r w:rsidR="00E3253D" w:rsidRPr="002F4D34">
        <w:rPr>
          <w:rStyle w:val="libFootnoteBoldChar"/>
          <w:rtl/>
        </w:rPr>
        <w:t>الوسائل</w:t>
      </w:r>
      <w:r w:rsidR="00E3253D" w:rsidRPr="005D642E">
        <w:rPr>
          <w:rtl/>
        </w:rPr>
        <w:t xml:space="preserve"> ، ج 2 ، ص 410 ، ح 2498.</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أورد ابن إدريس الخبر</w:t>
      </w:r>
      <w:r w:rsidR="00E3253D">
        <w:rPr>
          <w:rtl/>
        </w:rPr>
        <w:t xml:space="preserve"> </w:t>
      </w:r>
      <w:r w:rsidR="007642BC">
        <w:rPr>
          <w:rtl/>
        </w:rPr>
        <w:t>-</w:t>
      </w:r>
      <w:r w:rsidR="00E3253D">
        <w:rPr>
          <w:rtl/>
        </w:rPr>
        <w:t xml:space="preserve"> </w:t>
      </w:r>
      <w:r w:rsidR="00E3253D" w:rsidRPr="005D642E">
        <w:rPr>
          <w:rtl/>
        </w:rPr>
        <w:t>مع زيادة</w:t>
      </w:r>
      <w:r w:rsidR="00E3253D">
        <w:rPr>
          <w:rtl/>
        </w:rPr>
        <w:t xml:space="preserve"> </w:t>
      </w:r>
      <w:r w:rsidR="007642BC">
        <w:rPr>
          <w:rtl/>
        </w:rPr>
        <w:t>-</w:t>
      </w:r>
      <w:r w:rsidR="00E3253D">
        <w:rPr>
          <w:rtl/>
        </w:rPr>
        <w:t xml:space="preserve"> </w:t>
      </w:r>
      <w:r w:rsidR="00E3253D" w:rsidRPr="005D642E">
        <w:rPr>
          <w:rtl/>
        </w:rPr>
        <w:t xml:space="preserve">في مستطرفات </w:t>
      </w:r>
      <w:r w:rsidR="00E3253D" w:rsidRPr="002F4D34">
        <w:rPr>
          <w:rStyle w:val="libFootnoteBoldChar"/>
          <w:rtl/>
        </w:rPr>
        <w:t>السرائر</w:t>
      </w:r>
      <w:r w:rsidR="00E3253D" w:rsidRPr="005D642E">
        <w:rPr>
          <w:rtl/>
        </w:rPr>
        <w:t xml:space="preserve"> نقلاً من كتاب المشيخة للحسن بن محبوب </w:t>
      </w:r>
      <w:r w:rsidR="006C4A35">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عَبْدِ اللهِ بْنِ سِنَانٍ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يَنْبَغِي لِلْمَرِيضِ مِنْكُمْ أَنْ يُؤْذِنَ إِخْوَانَهُ بِمَرَضِهِ ، فَيَعُودُونَهُ </w:t>
      </w:r>
      <w:r w:rsidRPr="007C12DB">
        <w:rPr>
          <w:rStyle w:val="libFootnotenumChar"/>
          <w:rtl/>
        </w:rPr>
        <w:t>(1)</w:t>
      </w:r>
      <w:r w:rsidRPr="005D642E">
        <w:rPr>
          <w:rtl/>
          <w:lang w:bidi="fa-IR"/>
        </w:rPr>
        <w:t xml:space="preserve"> ، فَيُؤْجَرُ فِيهِمْ </w:t>
      </w:r>
      <w:r w:rsidRPr="007C12DB">
        <w:rPr>
          <w:rStyle w:val="libFootnotenumChar"/>
          <w:rtl/>
        </w:rPr>
        <w:t>(2)</w:t>
      </w:r>
      <w:r w:rsidRPr="005D642E">
        <w:rPr>
          <w:rtl/>
          <w:lang w:bidi="fa-IR"/>
        </w:rPr>
        <w:t xml:space="preserve"> ، وَيُؤْجَرُونَ </w:t>
      </w:r>
      <w:r w:rsidRPr="007C12DB">
        <w:rPr>
          <w:rStyle w:val="libFootnotenumChar"/>
          <w:rtl/>
        </w:rPr>
        <w:t>(3)</w:t>
      </w:r>
      <w:r w:rsidRPr="005D642E">
        <w:rPr>
          <w:rtl/>
          <w:lang w:bidi="fa-IR"/>
        </w:rPr>
        <w:t xml:space="preserve"> فِيهِ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فَقِيلَ لَهُ : نَعَمْ </w:t>
      </w:r>
      <w:r w:rsidRPr="007C12DB">
        <w:rPr>
          <w:rStyle w:val="libFootnotenumChar"/>
          <w:rtl/>
        </w:rPr>
        <w:t>(4)</w:t>
      </w:r>
      <w:r w:rsidRPr="005D642E">
        <w:rPr>
          <w:rtl/>
          <w:lang w:bidi="fa-IR"/>
        </w:rPr>
        <w:t xml:space="preserve"> هُمْ </w:t>
      </w:r>
      <w:r w:rsidRPr="007C12DB">
        <w:rPr>
          <w:rStyle w:val="libFootnotenumChar"/>
          <w:rtl/>
        </w:rPr>
        <w:t>(5)</w:t>
      </w:r>
      <w:r w:rsidRPr="005D642E">
        <w:rPr>
          <w:rtl/>
          <w:lang w:bidi="fa-IR"/>
        </w:rPr>
        <w:t xml:space="preserve"> يُؤْجَرُونَ </w:t>
      </w:r>
      <w:r w:rsidRPr="007C12DB">
        <w:rPr>
          <w:rStyle w:val="libFootnotenumChar"/>
          <w:rtl/>
        </w:rPr>
        <w:t>(6)</w:t>
      </w:r>
      <w:r w:rsidRPr="005D642E">
        <w:rPr>
          <w:rtl/>
          <w:lang w:bidi="fa-IR"/>
        </w:rPr>
        <w:t xml:space="preserve"> بِمَمْشَاهُمْ </w:t>
      </w:r>
      <w:r w:rsidRPr="007C12DB">
        <w:rPr>
          <w:rStyle w:val="libFootnotenumChar"/>
          <w:rtl/>
        </w:rPr>
        <w:t>(7)</w:t>
      </w:r>
      <w:r w:rsidRPr="005D642E">
        <w:rPr>
          <w:rtl/>
          <w:lang w:bidi="fa-IR"/>
        </w:rPr>
        <w:t xml:space="preserve"> إِلَيْهِ ، فَكَيْفَ يُؤْجَرُ هُوَ </w:t>
      </w:r>
      <w:r w:rsidRPr="007C12DB">
        <w:rPr>
          <w:rStyle w:val="libFootnotenumChar"/>
          <w:rtl/>
        </w:rPr>
        <w:t>(8)</w:t>
      </w:r>
      <w:r w:rsidRPr="005D642E">
        <w:rPr>
          <w:rtl/>
          <w:lang w:bidi="fa-IR"/>
        </w:rPr>
        <w:t xml:space="preserve"> فِيهِمْ</w:t>
      </w:r>
      <w:r>
        <w:rPr>
          <w:rtl/>
          <w:lang w:bidi="fa-IR"/>
        </w:rPr>
        <w:t>؟</w:t>
      </w:r>
    </w:p>
    <w:p w:rsidR="00E3253D" w:rsidRPr="005D642E" w:rsidRDefault="00E3253D" w:rsidP="00E3253D">
      <w:pPr>
        <w:pStyle w:val="libNormal"/>
        <w:rPr>
          <w:rtl/>
          <w:lang w:bidi="fa-IR"/>
        </w:rPr>
      </w:pPr>
      <w:r w:rsidRPr="005D642E">
        <w:rPr>
          <w:rtl/>
          <w:lang w:bidi="fa-IR"/>
        </w:rPr>
        <w:t xml:space="preserve">قَالَ : فَقَالَ : « بِاكْتِسَابِهِ لَهُمُ الْحَسَنَاتِ ، فَيُؤْجَرُ فِيهِمْ ، فَيُكْتَبُ لَهُ بِذلِكَ عَشْرُ حَسَنَاتٍ ، وَيُرْفَعُ </w:t>
      </w:r>
      <w:r w:rsidRPr="007C12DB">
        <w:rPr>
          <w:rStyle w:val="libFootnotenumChar"/>
          <w:rtl/>
        </w:rPr>
        <w:t>(9)</w:t>
      </w:r>
      <w:r w:rsidRPr="005D642E">
        <w:rPr>
          <w:rtl/>
          <w:lang w:bidi="fa-IR"/>
        </w:rPr>
        <w:t xml:space="preserve"> لَهُ عَشْرُ دَرَجَاتٍ ، وَيُمْحى </w:t>
      </w:r>
      <w:r w:rsidRPr="007C12DB">
        <w:rPr>
          <w:rStyle w:val="libFootnotenumChar"/>
          <w:rtl/>
        </w:rPr>
        <w:t>(10)</w:t>
      </w:r>
      <w:r w:rsidRPr="005D642E">
        <w:rPr>
          <w:rtl/>
          <w:lang w:bidi="fa-IR"/>
        </w:rPr>
        <w:t xml:space="preserve"> بِهَا </w:t>
      </w:r>
      <w:r w:rsidRPr="007C12DB">
        <w:rPr>
          <w:rStyle w:val="libFootnotenumChar"/>
          <w:rtl/>
        </w:rPr>
        <w:t>(11)</w:t>
      </w:r>
      <w:r w:rsidRPr="005D642E">
        <w:rPr>
          <w:rtl/>
          <w:lang w:bidi="fa-IR"/>
        </w:rPr>
        <w:t xml:space="preserve"> عَنْهُ عَشْرُ سَيِّئَاتٍ</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r w:rsidRPr="005D642E">
        <w:t>‌</w:t>
      </w:r>
    </w:p>
    <w:p w:rsidR="00E3253D" w:rsidRPr="005D642E" w:rsidRDefault="00E3253D" w:rsidP="00E3253D">
      <w:pPr>
        <w:pStyle w:val="libNormal"/>
        <w:rPr>
          <w:rtl/>
          <w:lang w:bidi="fa-IR"/>
        </w:rPr>
      </w:pPr>
      <w:r w:rsidRPr="007232B2">
        <w:rPr>
          <w:rtl/>
        </w:rPr>
        <w:t>4269</w:t>
      </w:r>
      <w:r w:rsidRPr="00246318">
        <w:rPr>
          <w:rStyle w:val="libBold2Char"/>
          <w:rtl/>
        </w:rPr>
        <w:t xml:space="preserve"> / 2.</w:t>
      </w:r>
      <w:r w:rsidRPr="005D642E">
        <w:rPr>
          <w:rtl/>
          <w:lang w:bidi="fa-IR"/>
        </w:rPr>
        <w:t xml:space="preserve"> مُحَمَّدُ بْنُ يَحْيى ، عَنْ أَحْمَدَ بْنِ مُحَمَّدِ بْنِ عِيسى ، عَنْ عَبْدِ الْعَزِيزِ بْنِ الْمُهْتَدِي ، عَنْ يُونُسَ ، قَالَ :</w:t>
      </w:r>
    </w:p>
    <w:p w:rsidR="00E3253D" w:rsidRPr="005D642E" w:rsidRDefault="00E3253D" w:rsidP="00E3253D">
      <w:pPr>
        <w:pStyle w:val="libNormal"/>
        <w:rPr>
          <w:rtl/>
          <w:lang w:bidi="fa-IR"/>
        </w:rPr>
      </w:pPr>
      <w:r w:rsidRPr="005D642E">
        <w:rPr>
          <w:rtl/>
          <w:lang w:bidi="fa-IR"/>
        </w:rPr>
        <w:t xml:space="preserve">قَالَ أَبُو الْحَسَنِ </w:t>
      </w:r>
      <w:r w:rsidRPr="00AC51C5">
        <w:rPr>
          <w:rStyle w:val="libAlaemChar"/>
          <w:rtl/>
        </w:rPr>
        <w:t>عليه‌السلام</w:t>
      </w:r>
      <w:r w:rsidRPr="005D642E">
        <w:rPr>
          <w:rtl/>
          <w:lang w:bidi="fa-IR"/>
        </w:rPr>
        <w:t xml:space="preserve"> : « إِذَا مَرِضَ أَحَدُكُمْ ، فَلْيَأْذَنْ لِلنَّاسِ </w:t>
      </w:r>
      <w:r w:rsidRPr="007C12DB">
        <w:rPr>
          <w:rStyle w:val="libFootnotenumChar"/>
          <w:rtl/>
        </w:rPr>
        <w:t>(13)</w:t>
      </w:r>
      <w:r w:rsidRPr="005D642E">
        <w:rPr>
          <w:rtl/>
          <w:lang w:bidi="fa-IR"/>
        </w:rPr>
        <w:t xml:space="preserve"> يَدْخُلُونَ عَلَيْهِ ؛ فَإِنَّهُ لَيْسَ‌</w:t>
      </w:r>
    </w:p>
    <w:p w:rsidR="00E3253D" w:rsidRPr="005D642E" w:rsidRDefault="00E3253D" w:rsidP="00E3253D">
      <w:pPr>
        <w:pStyle w:val="libLine"/>
        <w:rPr>
          <w:rtl/>
          <w:lang w:bidi="fa-IR"/>
        </w:rPr>
      </w:pPr>
      <w:r w:rsidRPr="005D642E">
        <w:rPr>
          <w:rtl/>
          <w:lang w:bidi="fa-IR"/>
        </w:rPr>
        <w:t>__________________</w:t>
      </w:r>
    </w:p>
    <w:p w:rsidR="00892114" w:rsidRDefault="00D541C1" w:rsidP="00892114">
      <w:pPr>
        <w:pStyle w:val="libFootnote0"/>
        <w:rPr>
          <w:rtl/>
        </w:rPr>
      </w:pPr>
      <w:r>
        <w:rPr>
          <w:rFonts w:hint="cs"/>
          <w:rtl/>
        </w:rPr>
        <w:t xml:space="preserve">= </w:t>
      </w:r>
      <w:r w:rsidR="00D24024">
        <w:rPr>
          <w:rtl/>
        </w:rPr>
        <w:t>هكذا : « أبو ول</w:t>
      </w:r>
      <w:r w:rsidR="00D24024">
        <w:rPr>
          <w:rFonts w:hint="cs"/>
          <w:rtl/>
        </w:rPr>
        <w:t>ّ</w:t>
      </w:r>
      <w:r w:rsidR="00D24024">
        <w:rPr>
          <w:rtl/>
        </w:rPr>
        <w:t>ا</w:t>
      </w:r>
      <w:r w:rsidR="00E3253D" w:rsidRPr="005D642E">
        <w:rPr>
          <w:rtl/>
        </w:rPr>
        <w:t xml:space="preserve">د الحناط وعبدالله بن سنان قالا سمعنا أباعبدالله </w:t>
      </w:r>
      <w:r w:rsidR="00E3253D" w:rsidRPr="00074CD7">
        <w:rPr>
          <w:rStyle w:val="libFootnoteAlaemChar"/>
          <w:rtl/>
        </w:rPr>
        <w:t>عليه‌السلام</w:t>
      </w:r>
      <w:r w:rsidR="00E3253D">
        <w:rPr>
          <w:rtl/>
        </w:rPr>
        <w:t xml:space="preserve"> ».</w:t>
      </w:r>
      <w:r w:rsidR="00E3253D" w:rsidRPr="005D642E">
        <w:rPr>
          <w:rtl/>
        </w:rPr>
        <w:t xml:space="preserve"> راجع : </w:t>
      </w:r>
      <w:r w:rsidR="00E3253D" w:rsidRPr="002F4D34">
        <w:rPr>
          <w:rStyle w:val="libFootnoteBoldChar"/>
          <w:rtl/>
        </w:rPr>
        <w:t>السرائر</w:t>
      </w:r>
      <w:r w:rsidR="00E3253D" w:rsidRPr="005D642E">
        <w:rPr>
          <w:rtl/>
        </w:rPr>
        <w:t xml:space="preserve"> ، ج 3 ، ص 596. وستأتي الزيادة في ص 166 ، ح 1 ، بسندين</w:t>
      </w:r>
      <w:r w:rsidR="00D24024">
        <w:rPr>
          <w:rtl/>
        </w:rPr>
        <w:t xml:space="preserve"> عن الحسن بن محبوب ، عن أبي ول</w:t>
      </w:r>
      <w:r w:rsidR="00D24024">
        <w:rPr>
          <w:rFonts w:hint="cs"/>
          <w:rtl/>
        </w:rPr>
        <w:t>ّ</w:t>
      </w:r>
      <w:r w:rsidR="00D24024">
        <w:rPr>
          <w:rtl/>
        </w:rPr>
        <w:t>ا</w:t>
      </w:r>
      <w:r w:rsidR="00E3253D" w:rsidRPr="005D642E">
        <w:rPr>
          <w:rtl/>
        </w:rPr>
        <w:t xml:space="preserve">د وعبدالله بن سنان جميعاً ، عن أبي عبدالله </w:t>
      </w:r>
      <w:r w:rsidR="00E3253D" w:rsidRPr="00D24024">
        <w:rPr>
          <w:rStyle w:val="libFootnoteAlaemChar"/>
          <w:rtl/>
        </w:rPr>
        <w:t>عليه‌السلام</w:t>
      </w:r>
      <w:r w:rsidR="00074CD7">
        <w:rPr>
          <w:rtl/>
        </w:rPr>
        <w:t>. وعطف ابن سنان على أبي ول</w:t>
      </w:r>
      <w:r w:rsidR="00074CD7">
        <w:rPr>
          <w:rFonts w:hint="cs"/>
          <w:rtl/>
        </w:rPr>
        <w:t>ّ</w:t>
      </w:r>
      <w:r w:rsidR="00074CD7">
        <w:rPr>
          <w:rtl/>
        </w:rPr>
        <w:t>ا</w:t>
      </w:r>
      <w:r w:rsidR="00E3253D" w:rsidRPr="005D642E">
        <w:rPr>
          <w:rtl/>
        </w:rPr>
        <w:t>د ، هو الظاهر من ملاحظه طبقة الراويين ، فلاحظ.</w:t>
      </w:r>
    </w:p>
    <w:p w:rsidR="00E3253D" w:rsidRPr="005D642E" w:rsidRDefault="00E3253D" w:rsidP="00892114">
      <w:pPr>
        <w:pStyle w:val="libFootnote0"/>
        <w:rPr>
          <w:rtl/>
          <w:lang w:bidi="fa-IR"/>
        </w:rPr>
      </w:pPr>
      <w:r w:rsidRPr="005D642E">
        <w:rPr>
          <w:rtl/>
        </w:rPr>
        <w:t xml:space="preserve">ويؤيّد ذلك ما تقدّم في </w:t>
      </w:r>
      <w:r w:rsidRPr="002F4D34">
        <w:rPr>
          <w:rStyle w:val="libFootnoteBoldChar"/>
          <w:rtl/>
        </w:rPr>
        <w:t>الكافي</w:t>
      </w:r>
      <w:r w:rsidRPr="005D642E">
        <w:rPr>
          <w:rtl/>
        </w:rPr>
        <w:t xml:space="preserve"> ، ح 1568 </w:t>
      </w:r>
      <w:r w:rsidR="00892114">
        <w:rPr>
          <w:rtl/>
        </w:rPr>
        <w:t>من رواية ابن محبوب ، عن أبي ول</w:t>
      </w:r>
      <w:r w:rsidR="00892114">
        <w:rPr>
          <w:rFonts w:hint="cs"/>
          <w:rtl/>
        </w:rPr>
        <w:t>ّ</w:t>
      </w:r>
      <w:r w:rsidR="00892114">
        <w:rPr>
          <w:rtl/>
        </w:rPr>
        <w:t>ا</w:t>
      </w:r>
      <w:r w:rsidRPr="005D642E">
        <w:rPr>
          <w:rtl/>
        </w:rPr>
        <w:t xml:space="preserve">د الحنّاط وعبدالله بن سنان ، عن أبي عبدالله </w:t>
      </w:r>
      <w:r w:rsidRPr="00074CD7">
        <w:rPr>
          <w:rStyle w:val="libFootnoteAlaemChar"/>
          <w:rtl/>
        </w:rPr>
        <w:t>عليه‌السلام</w:t>
      </w:r>
      <w:r w:rsidRPr="005D642E">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فيعودوه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الحبل المتين</w:t>
      </w:r>
      <w:r w:rsidR="00E3253D" w:rsidRPr="005D642E">
        <w:rPr>
          <w:rtl/>
        </w:rPr>
        <w:t xml:space="preserve"> ، ص 199 : « ولفظة « في » في الحديث للسببيّة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جح » : « فيؤجرون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نعم</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 « فهم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بخ ، بف » </w:t>
      </w:r>
      <w:r w:rsidR="000D749A" w:rsidRPr="000D749A">
        <w:rPr>
          <w:rStyle w:val="libFootnoteBoldChar"/>
          <w:rtl/>
        </w:rPr>
        <w:t>والوافي</w:t>
      </w:r>
      <w:r w:rsidR="00E3253D" w:rsidRPr="005D642E">
        <w:rPr>
          <w:rtl/>
        </w:rPr>
        <w:t xml:space="preserve"> والوسائل : + « فيه</w:t>
      </w:r>
      <w:r w:rsidR="00E3253D">
        <w:rPr>
          <w:rtl/>
        </w:rPr>
        <w:t xml:space="preserve"> ».</w:t>
      </w:r>
      <w:r w:rsidR="00E3253D" w:rsidRPr="005D642E">
        <w:rPr>
          <w:rtl/>
        </w:rPr>
        <w:t xml:space="preserve"> وفي « بخ » : « يؤجرونه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ى ، بث ، بخ ، بف ، جح ، جس » </w:t>
      </w:r>
      <w:r w:rsidR="000D749A" w:rsidRPr="000D749A">
        <w:rPr>
          <w:rStyle w:val="libFootnoteBoldChar"/>
          <w:rtl/>
        </w:rPr>
        <w:t>والوافي</w:t>
      </w:r>
      <w:r w:rsidR="00E3253D" w:rsidRPr="005D642E">
        <w:rPr>
          <w:rtl/>
        </w:rPr>
        <w:t xml:space="preserve"> : « لممشاهم</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غ ، ى ، بس ، جح ، جس ، جن » والوسائل :</w:t>
      </w:r>
      <w:r w:rsidR="00E3253D">
        <w:rPr>
          <w:rtl/>
        </w:rPr>
        <w:t xml:space="preserve"> </w:t>
      </w:r>
      <w:r w:rsidR="007642BC">
        <w:rPr>
          <w:rtl/>
        </w:rPr>
        <w:t>-</w:t>
      </w:r>
      <w:r w:rsidR="00E3253D">
        <w:rPr>
          <w:rtl/>
        </w:rPr>
        <w:t xml:space="preserve"> </w:t>
      </w:r>
      <w:r w:rsidR="00E3253D" w:rsidRPr="005D642E">
        <w:rPr>
          <w:rtl/>
        </w:rPr>
        <w:t>« هو</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6C0030" w:rsidTr="006C0030">
        <w:tc>
          <w:tcPr>
            <w:tcW w:w="4006" w:type="dxa"/>
          </w:tcPr>
          <w:p w:rsidR="006C0030" w:rsidRDefault="006C0030" w:rsidP="00E3253D">
            <w:pPr>
              <w:pStyle w:val="libFootnote0"/>
              <w:rPr>
                <w:rStyle w:val="libFootnote0Char"/>
                <w:rtl/>
              </w:rPr>
            </w:pPr>
            <w:r w:rsidRPr="0042621E">
              <w:rPr>
                <w:rStyle w:val="libFootnote0Char"/>
                <w:rtl/>
              </w:rPr>
              <w:t>(9).</w:t>
            </w:r>
            <w:r w:rsidRPr="005D642E">
              <w:rPr>
                <w:rtl/>
              </w:rPr>
              <w:t xml:space="preserve"> في الوافي : « وترفع</w:t>
            </w:r>
            <w:r>
              <w:rPr>
                <w:rtl/>
              </w:rPr>
              <w:t xml:space="preserve"> ».</w:t>
            </w:r>
          </w:p>
        </w:tc>
        <w:tc>
          <w:tcPr>
            <w:tcW w:w="4006" w:type="dxa"/>
          </w:tcPr>
          <w:p w:rsidR="006C0030" w:rsidRDefault="006C0030" w:rsidP="00E3253D">
            <w:pPr>
              <w:pStyle w:val="libFootnote0"/>
              <w:rPr>
                <w:rStyle w:val="libFootnote0Char"/>
                <w:rtl/>
              </w:rPr>
            </w:pPr>
            <w:r w:rsidRPr="0042621E">
              <w:rPr>
                <w:rStyle w:val="libFootnote0Char"/>
                <w:rtl/>
              </w:rPr>
              <w:t>(10).</w:t>
            </w:r>
            <w:r w:rsidRPr="005D642E">
              <w:rPr>
                <w:rtl/>
              </w:rPr>
              <w:t xml:space="preserve"> في الوافي : « وتمحى</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بح ، بف ، جس » : « به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الوافي</w:t>
      </w:r>
      <w:r w:rsidR="00E3253D" w:rsidRPr="005D642E">
        <w:rPr>
          <w:rtl/>
        </w:rPr>
        <w:t xml:space="preserve"> ، ج 24 ، ص 216 ، ح 23923 ؛ </w:t>
      </w:r>
      <w:r w:rsidR="00E3253D" w:rsidRPr="002F4D34">
        <w:rPr>
          <w:rStyle w:val="libFootnoteBoldChar"/>
          <w:rtl/>
        </w:rPr>
        <w:t>الوسائل</w:t>
      </w:r>
      <w:r w:rsidR="00E3253D" w:rsidRPr="005D642E">
        <w:rPr>
          <w:rtl/>
        </w:rPr>
        <w:t xml:space="preserve"> ، ج 2 ، ص 413 ، ح 2506.</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بح » وحاشية « ظ » </w:t>
      </w:r>
      <w:r w:rsidR="000D749A" w:rsidRPr="000D749A">
        <w:rPr>
          <w:rStyle w:val="libFootnoteBoldChar"/>
          <w:rtl/>
        </w:rPr>
        <w:t>والوافي</w:t>
      </w:r>
      <w:r w:rsidR="00E3253D" w:rsidRPr="005D642E">
        <w:rPr>
          <w:rtl/>
        </w:rPr>
        <w:t xml:space="preserve"> : « الناس</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A80F0C" w:rsidP="00E3253D">
      <w:pPr>
        <w:pStyle w:val="libNormal0"/>
        <w:rPr>
          <w:rtl/>
          <w:lang w:bidi="fa-IR"/>
        </w:rPr>
      </w:pPr>
      <w:r>
        <w:rPr>
          <w:rtl/>
          <w:lang w:bidi="fa-IR"/>
        </w:rPr>
        <w:lastRenderedPageBreak/>
        <w:t>مِنْ أَحَدٍ إِل</w:t>
      </w:r>
      <w:r>
        <w:rPr>
          <w:rFonts w:hint="cs"/>
          <w:rtl/>
          <w:lang w:bidi="fa-IR"/>
        </w:rPr>
        <w:t>َّ</w:t>
      </w:r>
      <w:r>
        <w:rPr>
          <w:rtl/>
          <w:lang w:bidi="fa-IR"/>
        </w:rPr>
        <w:t>ا</w:t>
      </w:r>
      <w:r w:rsidR="00E3253D" w:rsidRPr="005D642E">
        <w:rPr>
          <w:rtl/>
          <w:lang w:bidi="fa-IR"/>
        </w:rPr>
        <w:t xml:space="preserve"> وَلَهُ دَعْوَةٌ مُسْتَجَابَةٌ</w:t>
      </w:r>
      <w:r w:rsidR="00E3253D">
        <w:rPr>
          <w:rtl/>
          <w:lang w:bidi="fa-IR"/>
        </w:rPr>
        <w:t xml:space="preserve"> ».</w:t>
      </w:r>
      <w:r w:rsidR="00E3253D" w:rsidRPr="005D642E">
        <w:rPr>
          <w:rtl/>
          <w:lang w:bidi="fa-IR"/>
        </w:rPr>
        <w:t xml:space="preserve"> </w:t>
      </w:r>
      <w:r w:rsidR="00E3253D" w:rsidRPr="007C12DB">
        <w:rPr>
          <w:rStyle w:val="libFootnotenumChar"/>
          <w:rtl/>
        </w:rPr>
        <w:t>(1)</w:t>
      </w:r>
      <w:r w:rsidR="00E3253D" w:rsidRPr="005D642E">
        <w:rPr>
          <w:rtl/>
          <w:lang w:bidi="fa-IR"/>
        </w:rPr>
        <w:t xml:space="preserve"> ‌</w:t>
      </w:r>
    </w:p>
    <w:p w:rsidR="00E3253D" w:rsidRPr="005D642E" w:rsidRDefault="00E3253D" w:rsidP="00E3253D">
      <w:pPr>
        <w:pStyle w:val="libNormal"/>
        <w:rPr>
          <w:rtl/>
          <w:lang w:bidi="fa-IR"/>
        </w:rPr>
      </w:pPr>
      <w:r w:rsidRPr="007232B2">
        <w:rPr>
          <w:rtl/>
        </w:rPr>
        <w:t>4270</w:t>
      </w:r>
      <w:r w:rsidRPr="00246318">
        <w:rPr>
          <w:rStyle w:val="libBold2Char"/>
          <w:rtl/>
        </w:rPr>
        <w:t xml:space="preserve"> / 3.</w:t>
      </w:r>
      <w:r w:rsidRPr="005D642E">
        <w:rPr>
          <w:rtl/>
          <w:lang w:bidi="fa-IR"/>
        </w:rPr>
        <w:t xml:space="preserve"> مُحَمَّدُ بْنُ يَحْيى ، عَنْ أَحْمَدَ بْنِ مُحَمَّدٍ ، عَنْ مُحَمَّدِ بْنِ خَالِدٍ ، عَنِ الْقَاسِمِ بْنِ مُحَمَّدٍ ، عَنْ عَبْدِ الرَّحْمنِ بْنِ مُحَمَّدٍ ، عَنْ سَيْفِ بْنِ عَمِيرَةَ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إِذَا دَخَلَ أَحَدُكُمْ عَلى أَخِيهِ عَائِداً لَهُ </w:t>
      </w:r>
      <w:r w:rsidRPr="007C12DB">
        <w:rPr>
          <w:rStyle w:val="libFootnotenumChar"/>
          <w:rtl/>
        </w:rPr>
        <w:t>(2)</w:t>
      </w:r>
      <w:r w:rsidRPr="005D642E">
        <w:rPr>
          <w:rtl/>
          <w:lang w:bidi="fa-IR"/>
        </w:rPr>
        <w:t xml:space="preserve"> ، فَلْيَسْأَلْهُ </w:t>
      </w:r>
      <w:r w:rsidRPr="007C12DB">
        <w:rPr>
          <w:rStyle w:val="libFootnotenumChar"/>
          <w:rtl/>
        </w:rPr>
        <w:t>(3)</w:t>
      </w:r>
      <w:r w:rsidRPr="005D642E">
        <w:rPr>
          <w:rtl/>
          <w:lang w:bidi="fa-IR"/>
        </w:rPr>
        <w:t xml:space="preserve"> يَدْعُو لَهُ ، فَإِنَّ دُعَاءَهُ مِثْلُ دُعَاءِ الْمَلَائِكَةِ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272" w:name="_Toc344647301"/>
      <w:bookmarkStart w:id="273" w:name="_Toc462226815"/>
      <w:bookmarkStart w:id="274" w:name="_Toc40975924"/>
      <w:r w:rsidRPr="005D642E">
        <w:rPr>
          <w:rtl/>
          <w:lang w:bidi="fa-IR"/>
        </w:rPr>
        <w:t>6</w:t>
      </w:r>
      <w:r>
        <w:rPr>
          <w:rtl/>
          <w:lang w:bidi="fa-IR"/>
        </w:rPr>
        <w:t xml:space="preserve"> </w:t>
      </w:r>
      <w:r w:rsidR="007642BC">
        <w:rPr>
          <w:rtl/>
          <w:lang w:bidi="fa-IR"/>
        </w:rPr>
        <w:t>-</w:t>
      </w:r>
      <w:r>
        <w:rPr>
          <w:rtl/>
          <w:lang w:bidi="fa-IR"/>
        </w:rPr>
        <w:t xml:space="preserve"> </w:t>
      </w:r>
      <w:r w:rsidRPr="005D642E">
        <w:rPr>
          <w:rtl/>
          <w:lang w:bidi="fa-IR"/>
        </w:rPr>
        <w:t>بَابٌ فِي كَمْ يُعَادُ الْمَرِيضُ وَقَدْرِ مَا يَجْلِسُ عِنْدَهُ وَتَمَامِ الْعِيَادَةِ‌</w:t>
      </w:r>
      <w:bookmarkEnd w:id="272"/>
      <w:bookmarkEnd w:id="273"/>
      <w:bookmarkEnd w:id="274"/>
    </w:p>
    <w:p w:rsidR="00E3253D" w:rsidRPr="005D642E" w:rsidRDefault="00E3253D" w:rsidP="00E3253D">
      <w:pPr>
        <w:pStyle w:val="libNormal"/>
        <w:rPr>
          <w:rtl/>
          <w:lang w:bidi="fa-IR"/>
        </w:rPr>
      </w:pPr>
      <w:r w:rsidRPr="007232B2">
        <w:rPr>
          <w:rtl/>
        </w:rPr>
        <w:t>4271</w:t>
      </w:r>
      <w:r w:rsidRPr="00246318">
        <w:rPr>
          <w:rStyle w:val="libBold2Char"/>
          <w:rtl/>
        </w:rPr>
        <w:t xml:space="preserve"> / 1.</w:t>
      </w:r>
      <w:r w:rsidRPr="005D642E">
        <w:rPr>
          <w:rtl/>
          <w:lang w:bidi="fa-IR"/>
        </w:rPr>
        <w:t xml:space="preserve"> عِدَّةٌ مِنْ أَصْحَابِنَا ، عَنْ سَهْلِ بْنِ زِيَادٍ ، عَنْ عَلِيِّ بْنِ أَسْبَاطٍ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عِيَادَةَ فِي وَجَعِ </w:t>
      </w:r>
      <w:r w:rsidRPr="007C12DB">
        <w:rPr>
          <w:rStyle w:val="libFootnotenumChar"/>
          <w:rtl/>
        </w:rPr>
        <w:t>(6)</w:t>
      </w:r>
      <w:r w:rsidRPr="005D642E">
        <w:rPr>
          <w:rtl/>
          <w:lang w:bidi="fa-IR"/>
        </w:rPr>
        <w:t xml:space="preserve"> الْعَيْنِ ، وَلَاتَكُونُ </w:t>
      </w:r>
      <w:r w:rsidRPr="007C12DB">
        <w:rPr>
          <w:rStyle w:val="libFootnotenumChar"/>
          <w:rtl/>
        </w:rPr>
        <w:t>(7)</w:t>
      </w:r>
      <w:r w:rsidRPr="005D642E">
        <w:rPr>
          <w:rtl/>
          <w:lang w:bidi="fa-IR"/>
        </w:rPr>
        <w:t xml:space="preserve"> عِيَادَةٌ فِي أَقَلَّ مِنْ ثَلَاثَةِ أَيَّامٍ ، فَإِذَا </w:t>
      </w:r>
      <w:r w:rsidRPr="007C12DB">
        <w:rPr>
          <w:rStyle w:val="libFootnotenumChar"/>
          <w:rtl/>
        </w:rPr>
        <w:t>(8)</w:t>
      </w:r>
      <w:r w:rsidRPr="005D642E">
        <w:rPr>
          <w:rtl/>
          <w:lang w:bidi="fa-IR"/>
        </w:rPr>
        <w:t xml:space="preserve"> وَجَبَتْ ، فَيَوْمٌ </w:t>
      </w:r>
      <w:r w:rsidRPr="007C12DB">
        <w:rPr>
          <w:rStyle w:val="libFootnotenumChar"/>
          <w:rtl/>
        </w:rPr>
        <w:t>(9)</w:t>
      </w:r>
      <w:r w:rsidRPr="005D642E">
        <w:rPr>
          <w:rtl/>
          <w:lang w:bidi="fa-IR"/>
        </w:rPr>
        <w:t xml:space="preserve"> ، وَيَوْمٌ لَا ، فَإِذَا طَالَتِ الْعِلَّةُ ، تُرِكَ الْمَرِيضُ‌</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24 ، ص 216 ، ح 23924 ؛ </w:t>
      </w:r>
      <w:r w:rsidR="00E3253D" w:rsidRPr="002F4D34">
        <w:rPr>
          <w:rStyle w:val="libFootnoteBoldChar"/>
          <w:rtl/>
        </w:rPr>
        <w:t>الوسائل</w:t>
      </w:r>
      <w:r w:rsidR="00E3253D" w:rsidRPr="005D642E">
        <w:rPr>
          <w:rtl/>
        </w:rPr>
        <w:t xml:space="preserve"> ، ج 2 ، ص 414 ، ح 2506.</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بف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r w:rsidR="00E3253D" w:rsidRPr="005D642E">
        <w:rPr>
          <w:rtl/>
        </w:rPr>
        <w:t xml:space="preserve"> وفي « بخ » : « عليلاً » بدل « عائداً 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 + « أن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الوافي</w:t>
      </w:r>
      <w:r w:rsidR="00E3253D" w:rsidRPr="005D642E">
        <w:rPr>
          <w:rtl/>
        </w:rPr>
        <w:t xml:space="preserve"> : « وذلك لانكسار قواه الشهويّة والغضبيّة بالمرض وإنابته إلى الله فيشبه الملائكة » وفي </w:t>
      </w:r>
      <w:r w:rsidR="00E3253D" w:rsidRPr="002F4D34">
        <w:rPr>
          <w:rStyle w:val="libFootnoteBoldChar"/>
          <w:rtl/>
        </w:rPr>
        <w:t>مرآة العقول</w:t>
      </w:r>
      <w:r w:rsidR="00E3253D" w:rsidRPr="005D642E">
        <w:rPr>
          <w:rtl/>
        </w:rPr>
        <w:t xml:space="preserve"> ، ج 13 ، ص 269 : « ويحتمل أن يكون الضمير المرفوع في قوله : يسأله ، عائداً إلى العائد وإلى المريض ، وعلى الأوّل فكون دعائه مثل دعاء الملائكة في الاستجابة ؛ لأنّه مغفور كُفّر عن ذنوبه ، وعلى الثاني فباعتبار مشايعة الملائكة له فيتابعونه في الدعاء ، أو لما ذكرنا في الأوّل ، أو لوجه آخر فيهما لانعرفه ، فتأمّل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24 ، ص 221 ، ح 23931 ؛ الو</w:t>
      </w:r>
      <w:r w:rsidR="00E3253D" w:rsidRPr="002F4D34">
        <w:rPr>
          <w:rStyle w:val="libFootnoteBoldChar"/>
          <w:rtl/>
        </w:rPr>
        <w:t>س</w:t>
      </w:r>
      <w:r w:rsidR="00E3253D" w:rsidRPr="005D642E">
        <w:rPr>
          <w:rtl/>
        </w:rPr>
        <w:t>ائل ، ج 2 ، ص 420 ، ح 2524.</w:t>
      </w:r>
    </w:p>
    <w:tbl>
      <w:tblPr>
        <w:tblStyle w:val="TableGrid"/>
        <w:bidiVisual/>
        <w:tblW w:w="0" w:type="auto"/>
        <w:tblLook w:val="04A0" w:firstRow="1" w:lastRow="0" w:firstColumn="1" w:lastColumn="0" w:noHBand="0" w:noVBand="1"/>
      </w:tblPr>
      <w:tblGrid>
        <w:gridCol w:w="4006"/>
        <w:gridCol w:w="4006"/>
      </w:tblGrid>
      <w:tr w:rsidR="007F149E" w:rsidTr="007F149E">
        <w:tc>
          <w:tcPr>
            <w:tcW w:w="4006" w:type="dxa"/>
          </w:tcPr>
          <w:p w:rsidR="007F149E" w:rsidRDefault="007F149E" w:rsidP="00E3253D">
            <w:pPr>
              <w:pStyle w:val="libFootnote0"/>
              <w:rPr>
                <w:rStyle w:val="libFootnote0Char"/>
                <w:rtl/>
              </w:rPr>
            </w:pPr>
            <w:r w:rsidRPr="0042621E">
              <w:rPr>
                <w:rStyle w:val="libFootnote0Char"/>
                <w:rtl/>
              </w:rPr>
              <w:t>(6).</w:t>
            </w:r>
            <w:r w:rsidRPr="005D642E">
              <w:rPr>
                <w:rtl/>
              </w:rPr>
              <w:t xml:space="preserve"> في « بخ ، بف » </w:t>
            </w:r>
            <w:r w:rsidRPr="000D749A">
              <w:rPr>
                <w:rStyle w:val="libFootnoteBoldChar"/>
                <w:rtl/>
              </w:rPr>
              <w:t>والوافي</w:t>
            </w:r>
            <w:r w:rsidRPr="005D642E">
              <w:rPr>
                <w:rtl/>
              </w:rPr>
              <w:t xml:space="preserve"> : « مرض</w:t>
            </w:r>
            <w:r>
              <w:rPr>
                <w:rtl/>
              </w:rPr>
              <w:t xml:space="preserve"> ».</w:t>
            </w:r>
          </w:p>
        </w:tc>
        <w:tc>
          <w:tcPr>
            <w:tcW w:w="4006" w:type="dxa"/>
          </w:tcPr>
          <w:p w:rsidR="007F149E" w:rsidRDefault="007F149E" w:rsidP="00E3253D">
            <w:pPr>
              <w:pStyle w:val="libFootnote0"/>
              <w:rPr>
                <w:rStyle w:val="libFootnote0Char"/>
                <w:rtl/>
              </w:rPr>
            </w:pPr>
            <w:r w:rsidRPr="0042621E">
              <w:rPr>
                <w:rStyle w:val="libFootnote0Char"/>
                <w:rtl/>
              </w:rPr>
              <w:t>(7).</w:t>
            </w:r>
            <w:r w:rsidR="00EF1E86">
              <w:rPr>
                <w:rtl/>
              </w:rPr>
              <w:t xml:space="preserve"> في«غ ،بخ ،بف ، جح، جس</w:t>
            </w:r>
            <w:r w:rsidRPr="005D642E">
              <w:rPr>
                <w:rtl/>
              </w:rPr>
              <w:t>» : « ولايكون</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غ » : « إن</w:t>
      </w:r>
      <w:r w:rsidR="00E3253D">
        <w:rPr>
          <w:rtl/>
        </w:rPr>
        <w:t xml:space="preserve"> ».</w:t>
      </w:r>
      <w:r w:rsidR="00E3253D" w:rsidRPr="005D642E">
        <w:rPr>
          <w:rtl/>
        </w:rPr>
        <w:t xml:space="preserve"> وفي الوافي : « فإن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7E6D98">
        <w:rPr>
          <w:rtl/>
        </w:rPr>
        <w:t xml:space="preserve"> قال العل</w:t>
      </w:r>
      <w:r w:rsidR="007E6D98">
        <w:rPr>
          <w:rFonts w:hint="cs"/>
          <w:rtl/>
        </w:rPr>
        <w:t>ّ</w:t>
      </w:r>
      <w:r w:rsidR="007E6D98">
        <w:rPr>
          <w:rtl/>
        </w:rPr>
        <w:t>ا</w:t>
      </w:r>
      <w:r w:rsidR="00E3253D" w:rsidRPr="005D642E">
        <w:rPr>
          <w:rtl/>
        </w:rPr>
        <w:t>مة الفيض : « يعني لابدّ أن يكون بين العيادتين ثلاثة أيّام ، فإن دعت ضرورة إلى كثرة العيادة فيوم ويوم لا تزاد ، على ذلك</w:t>
      </w:r>
      <w:r w:rsidR="00E3253D">
        <w:rPr>
          <w:rtl/>
        </w:rPr>
        <w:t xml:space="preserve"> ».</w:t>
      </w:r>
      <w:r w:rsidR="00E3253D" w:rsidRPr="005D642E">
        <w:rPr>
          <w:rtl/>
        </w:rPr>
        <w:t xml:space="preserve"> وقال ال</w:t>
      </w:r>
      <w:r w:rsidR="00355A0D">
        <w:rPr>
          <w:rtl/>
        </w:rPr>
        <w:t>عل</w:t>
      </w:r>
      <w:r w:rsidR="00355A0D">
        <w:rPr>
          <w:rFonts w:hint="cs"/>
          <w:rtl/>
        </w:rPr>
        <w:t>ّ</w:t>
      </w:r>
      <w:r w:rsidR="00355A0D">
        <w:rPr>
          <w:rtl/>
        </w:rPr>
        <w:t>ا</w:t>
      </w:r>
      <w:r w:rsidR="00E3253D" w:rsidRPr="005D642E">
        <w:rPr>
          <w:rtl/>
        </w:rPr>
        <w:t>مة المجلسي : « قوله : فيوم ، أي يوم يكون ويوم لايكون ، والشائع في مثل ذلك أن يقال : يومَ يومَ بفتحهما</w:t>
      </w:r>
      <w:r w:rsidR="00E3253D">
        <w:rPr>
          <w:rtl/>
        </w:rPr>
        <w:t xml:space="preserve"> ».</w:t>
      </w:r>
      <w:r w:rsidR="00E3253D" w:rsidRPr="005D642E">
        <w:rPr>
          <w:rtl/>
        </w:rPr>
        <w:t xml:space="preserve"> راجع : </w:t>
      </w:r>
      <w:r w:rsidR="00E3253D" w:rsidRPr="002F4D34">
        <w:rPr>
          <w:rStyle w:val="libFootnoteBoldChar"/>
          <w:rtl/>
        </w:rPr>
        <w:t>الوافي</w:t>
      </w:r>
      <w:r w:rsidR="00E3253D" w:rsidRPr="005D642E">
        <w:rPr>
          <w:rtl/>
        </w:rPr>
        <w:t xml:space="preserve"> ، ج 24 ، ص 219 ؛ </w:t>
      </w:r>
      <w:r w:rsidR="00E3253D" w:rsidRPr="002F4D34">
        <w:rPr>
          <w:rStyle w:val="libFootnoteBoldChar"/>
          <w:rtl/>
        </w:rPr>
        <w:t>مرآة العقول</w:t>
      </w:r>
      <w:r w:rsidR="00E3253D" w:rsidRPr="005D642E">
        <w:rPr>
          <w:rtl/>
        </w:rPr>
        <w:t xml:space="preserve"> ، ج 13 ، ص 270.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وَعِيَالَهُ</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194AC3">
        <w:rPr>
          <w:rtl/>
        </w:rPr>
        <w:t>4272</w:t>
      </w:r>
      <w:r w:rsidRPr="00246318">
        <w:rPr>
          <w:rStyle w:val="libBold2Char"/>
          <w:rtl/>
        </w:rPr>
        <w:t xml:space="preserve"> / 2.</w:t>
      </w:r>
      <w:r w:rsidRPr="005D642E">
        <w:rPr>
          <w:rtl/>
          <w:lang w:bidi="fa-IR"/>
        </w:rPr>
        <w:t xml:space="preserve"> عَلِيُّ بْنُ إِبْرَاهِيمَ ، عَنْ أَبِيهِ ، عَنْ عَبْدِ اللهِ بْنِ الْمُغِيرَةِ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الْعِيَادَةُ قَدْرَ فُوَاقِ نَاقَةٍ </w:t>
      </w:r>
      <w:r w:rsidRPr="007C12DB">
        <w:rPr>
          <w:rStyle w:val="libFootnotenumChar"/>
          <w:rtl/>
        </w:rPr>
        <w:t>(2)</w:t>
      </w:r>
      <w:r w:rsidRPr="005D642E">
        <w:rPr>
          <w:rtl/>
          <w:lang w:bidi="fa-IR"/>
        </w:rPr>
        <w:t xml:space="preserve"> ، أَوْ حَلْبِ نَاقَةٍ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194AC3">
        <w:rPr>
          <w:rtl/>
        </w:rPr>
        <w:t>4273</w:t>
      </w:r>
      <w:r w:rsidRPr="00246318">
        <w:rPr>
          <w:rStyle w:val="libBold2Char"/>
          <w:rtl/>
        </w:rPr>
        <w:t xml:space="preserve"> / 3.</w:t>
      </w:r>
      <w:r w:rsidRPr="005D642E">
        <w:rPr>
          <w:rtl/>
          <w:lang w:bidi="fa-IR"/>
        </w:rPr>
        <w:t xml:space="preserve"> مُحَمَّدُ بْنُ يَحْيى ، عَنْ مُوسَى بْنِ الْحَسَنِ ، عَنِ الْفَضْلِ بْنِ عَامِرٍ أَبِي الْعَبَّاسِ ، عَنْ مُوسَى بْنِ الْقَاسِمِ ، قَالَ : حَدَّثَنِي أَبُو زَيْدٍ ، قَالَ :</w:t>
      </w:r>
    </w:p>
    <w:p w:rsidR="00E3253D" w:rsidRPr="005D642E" w:rsidRDefault="00E3253D" w:rsidP="00E3253D">
      <w:pPr>
        <w:pStyle w:val="libNormal"/>
        <w:rPr>
          <w:rtl/>
          <w:lang w:bidi="fa-IR"/>
        </w:rPr>
      </w:pPr>
      <w:r w:rsidRPr="005D642E">
        <w:rPr>
          <w:rtl/>
          <w:lang w:bidi="fa-IR"/>
        </w:rPr>
        <w:t xml:space="preserve">أَخْبَرَنِي مَوْلًى لِجَعْفَرِ بْنِ مُحَمَّدٍ </w:t>
      </w:r>
      <w:r w:rsidRPr="00AC51C5">
        <w:rPr>
          <w:rStyle w:val="libAlaemChar"/>
          <w:rtl/>
        </w:rPr>
        <w:t>عليهما‌السلام</w:t>
      </w:r>
      <w:r w:rsidRPr="005D642E">
        <w:rPr>
          <w:rtl/>
          <w:lang w:bidi="fa-IR"/>
        </w:rPr>
        <w:t xml:space="preserve"> ، قَالَ : مَرِضَ بَعْضُ مَوَالِيهِ ، فَخَرَجْنَا إِلَيْهِ نَعُودُهُ وَنَحْنُ عِدَّةٌ مِنْ مَوَالِي جَعْفَرٍ </w:t>
      </w:r>
      <w:r w:rsidRPr="007C12DB">
        <w:rPr>
          <w:rStyle w:val="libFootnotenumChar"/>
          <w:rtl/>
        </w:rPr>
        <w:t>(5)</w:t>
      </w:r>
      <w:r w:rsidRPr="005D642E">
        <w:rPr>
          <w:rtl/>
          <w:lang w:bidi="fa-IR"/>
        </w:rPr>
        <w:t xml:space="preserve"> ، فَاسْتَقْبَلَنَا جَعْفَرٌ </w:t>
      </w:r>
      <w:r w:rsidRPr="00AC51C5">
        <w:rPr>
          <w:rStyle w:val="libAlaemChar"/>
          <w:rtl/>
        </w:rPr>
        <w:t>عليه‌السلام</w:t>
      </w:r>
      <w:r w:rsidRPr="005D642E">
        <w:rPr>
          <w:rtl/>
          <w:lang w:bidi="fa-IR"/>
        </w:rPr>
        <w:t xml:space="preserve"> فِي بَعْضِ الطَّرِيقِ ، فَقَالَ لَنَا : « أَيْنَ تُرِيدُونَ</w:t>
      </w:r>
      <w:r>
        <w:rPr>
          <w:rtl/>
          <w:lang w:bidi="fa-IR"/>
        </w:rPr>
        <w:t>؟</w:t>
      </w:r>
      <w:r w:rsidRPr="005D642E">
        <w:rPr>
          <w:rtl/>
          <w:lang w:bidi="fa-IR"/>
        </w:rPr>
        <w:t xml:space="preserve"> » فَقُلْنَا : نُرِيدُ فُلَاناً نَعُودُهُ ، فَقَالَ لَنَا : « قِفُوا » فَوَقَفْنَا ، فَقَالَ : « مَعَ أَحَدِكُمْ تُفَّاحَةٌ ، أَوْ سَفَرْجَلَةٌ ، أَوْ أُتْرُجَّةٌ ، أَوْ لُعْقَةٌ </w:t>
      </w:r>
      <w:r w:rsidRPr="007C12DB">
        <w:rPr>
          <w:rStyle w:val="libFootnotenumChar"/>
          <w:rtl/>
        </w:rPr>
        <w:t>(6)</w:t>
      </w:r>
      <w:r w:rsidRPr="005D642E">
        <w:rPr>
          <w:rtl/>
          <w:lang w:bidi="fa-IR"/>
        </w:rPr>
        <w:t xml:space="preserve"> مِنْ طِيبٍ ، أَوْ قِطْعَةٌ مِنْ </w:t>
      </w:r>
      <w:r w:rsidRPr="007C12DB">
        <w:rPr>
          <w:rStyle w:val="libFootnotenumChar"/>
          <w:rtl/>
        </w:rPr>
        <w:t>(7)</w:t>
      </w:r>
      <w:r w:rsidRPr="005D642E">
        <w:rPr>
          <w:rtl/>
          <w:lang w:bidi="fa-IR"/>
        </w:rPr>
        <w:t xml:space="preserve"> عُودِ بَخُورٍ </w:t>
      </w:r>
      <w:r w:rsidRPr="007C12DB">
        <w:rPr>
          <w:rStyle w:val="libFootnotenumChar"/>
          <w:rtl/>
        </w:rPr>
        <w:t>(8)</w:t>
      </w:r>
      <w:r>
        <w:rPr>
          <w:rtl/>
          <w:lang w:bidi="fa-IR"/>
        </w:rPr>
        <w:t>؟</w:t>
      </w:r>
      <w:r w:rsidRPr="005D642E">
        <w:rPr>
          <w:rtl/>
          <w:lang w:bidi="fa-IR"/>
        </w:rPr>
        <w:t xml:space="preserve"> » فَقُلْنَا : مَا مَعَنَا شَي</w:t>
      </w:r>
      <w:r>
        <w:rPr>
          <w:rtl/>
          <w:lang w:bidi="fa-IR"/>
        </w:rPr>
        <w:t>ْ‌ءٌ مِنْ هذَا ، فَقَالَ : « أَ</w:t>
      </w:r>
      <w:r w:rsidRPr="005D642E">
        <w:rPr>
          <w:rtl/>
          <w:lang w:bidi="fa-IR"/>
        </w:rPr>
        <w:t>مَا تَعْلَمُونَ أَنَّ الْمَرِيضَ يَسْتَرِيحُ إِلى كُلِّ مَا أُدْخِلَ بِهِ عَلَيْهِ</w:t>
      </w:r>
      <w:r>
        <w:rPr>
          <w:rtl/>
          <w:lang w:bidi="fa-IR"/>
        </w:rPr>
        <w:t>؟!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24 ، ص 219 ، ح 23925 ؛ </w:t>
      </w:r>
      <w:r w:rsidR="00E3253D" w:rsidRPr="002F4D34">
        <w:rPr>
          <w:rStyle w:val="libFootnoteBoldChar"/>
          <w:rtl/>
        </w:rPr>
        <w:t>الوسائل</w:t>
      </w:r>
      <w:r w:rsidR="00E3253D" w:rsidRPr="005D642E">
        <w:rPr>
          <w:rtl/>
        </w:rPr>
        <w:t xml:space="preserve"> ، ج 2 ، ص 421 ، ح 2529.</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فُواق الناقة وفَواقها : هو ما بين الحلبتين من الوقت ؛ لأنّ الناقة تحلب ثمّ تترك وقتاً يرضعها الفصيل ؛ لتدرّ ثمّ تحلب ، أو ما بين فتح يدك وقبضها على الضرع. ق</w:t>
      </w:r>
      <w:r w:rsidR="003672B4">
        <w:rPr>
          <w:rtl/>
        </w:rPr>
        <w:t>ال العل</w:t>
      </w:r>
      <w:r w:rsidR="003672B4">
        <w:rPr>
          <w:rFonts w:hint="cs"/>
          <w:rtl/>
        </w:rPr>
        <w:t>ّ</w:t>
      </w:r>
      <w:r w:rsidR="003672B4">
        <w:rPr>
          <w:rtl/>
        </w:rPr>
        <w:t>ا</w:t>
      </w:r>
      <w:r w:rsidR="00E3253D" w:rsidRPr="005D642E">
        <w:rPr>
          <w:rtl/>
        </w:rPr>
        <w:t>مة الفيض : « والمراد عدم إطالة العائد جلوسه عند المريض</w:t>
      </w:r>
      <w:r w:rsidR="00E3253D">
        <w:rPr>
          <w:rtl/>
        </w:rPr>
        <w:t>».</w:t>
      </w:r>
      <w:r w:rsidR="00E3253D" w:rsidRPr="005D642E">
        <w:rPr>
          <w:rtl/>
        </w:rPr>
        <w:t xml:space="preserve"> راجع : </w:t>
      </w:r>
      <w:r w:rsidR="00E3253D" w:rsidRPr="002F4D34">
        <w:rPr>
          <w:rStyle w:val="libFootnoteBoldChar"/>
          <w:rtl/>
        </w:rPr>
        <w:t>القاموس المحيط</w:t>
      </w:r>
      <w:r w:rsidR="00E3253D" w:rsidRPr="005D642E">
        <w:rPr>
          <w:rtl/>
        </w:rPr>
        <w:t xml:space="preserve"> ، ج 2 ، ص 1219 ( فوق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والظاهر أنّ الشكّ من الراوي ، ويحتمل كون الإبهام والتخيير وقع من الإمام </w:t>
      </w:r>
      <w:r w:rsidR="00E3253D" w:rsidRPr="00591486">
        <w:rPr>
          <w:rStyle w:val="libFootnoteAlaemChar"/>
          <w:rtl/>
        </w:rPr>
        <w:t>عليه‌السلام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24 ، ص 221 ، ح 23930 ؛ </w:t>
      </w:r>
      <w:r w:rsidR="00E3253D" w:rsidRPr="002F4D34">
        <w:rPr>
          <w:rStyle w:val="libFootnoteBoldChar"/>
          <w:rtl/>
        </w:rPr>
        <w:t>الوسائل</w:t>
      </w:r>
      <w:r w:rsidR="00E3253D" w:rsidRPr="005D642E">
        <w:rPr>
          <w:rtl/>
        </w:rPr>
        <w:t xml:space="preserve"> ، ج 2 ، ص 425 ، ح 2543.</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جعفر</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اللَعْق : اللَحْس ، وهو الأكل بالإصبع ، أو التناول بها أو باللسان ، يقال : لعقه ، أي أكله بإصبعه ، أو تناول بها أوبلسانه. واللُعْقَة بضمّ اللام : اسم لما يُعلَق بالإصبع ، أو اسم لما تأخذه المِلْعقة ، وهي الآلة المعروفة. راجع : </w:t>
      </w:r>
      <w:r w:rsidR="00E3253D" w:rsidRPr="002F4D34">
        <w:rPr>
          <w:rStyle w:val="libFootnoteBoldChar"/>
          <w:rtl/>
        </w:rPr>
        <w:t>الصحاح</w:t>
      </w:r>
      <w:r w:rsidR="00E3253D" w:rsidRPr="005D642E">
        <w:rPr>
          <w:rtl/>
        </w:rPr>
        <w:t xml:space="preserve"> ، ج 4 ، ص 1550 ؛ </w:t>
      </w:r>
      <w:r w:rsidR="00E3253D" w:rsidRPr="002F4D34">
        <w:rPr>
          <w:rStyle w:val="libFootnoteBoldChar"/>
          <w:rtl/>
        </w:rPr>
        <w:t>المصباح المنير</w:t>
      </w:r>
      <w:r w:rsidR="00E3253D" w:rsidRPr="005D642E">
        <w:rPr>
          <w:rtl/>
        </w:rPr>
        <w:t xml:space="preserve"> ، ص 554 ( لعق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من</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العُود » : كلّ خشبة دقّت. وقيل : « العُود » : خشبة كلّ شجرة ، دقّ أو غلظ. </w:t>
      </w:r>
      <w:r w:rsidR="00E3253D">
        <w:rPr>
          <w:rtl/>
        </w:rPr>
        <w:t>و «</w:t>
      </w:r>
      <w:r w:rsidR="00E3253D" w:rsidRPr="005D642E">
        <w:rPr>
          <w:rtl/>
        </w:rPr>
        <w:t xml:space="preserve"> البخور » ، كصبور : ما يُتبخّربه. </w:t>
      </w:r>
      <w:r w:rsidR="00E3253D">
        <w:rPr>
          <w:rtl/>
        </w:rPr>
        <w:t>و «</w:t>
      </w:r>
      <w:r w:rsidR="00E3253D" w:rsidRPr="005D642E">
        <w:rPr>
          <w:rtl/>
        </w:rPr>
        <w:t xml:space="preserve"> عود البخور » : العود الذي يُتبخّر به ، وهي الخشبة المطرّاة المنقطعة ، يُدخّن بها ويُستجمر ويتبخّربها ، غلب عليها الاسم لكرمه. راجع : </w:t>
      </w:r>
      <w:r w:rsidR="00E3253D" w:rsidRPr="002F4D34">
        <w:rPr>
          <w:rStyle w:val="libFootnoteBoldChar"/>
          <w:rtl/>
        </w:rPr>
        <w:t>لسان العرب</w:t>
      </w:r>
      <w:r w:rsidR="00E3253D" w:rsidRPr="005D642E">
        <w:rPr>
          <w:rtl/>
        </w:rPr>
        <w:t xml:space="preserve"> ، ج 3 ، ص 319 ( عود ) ؛ </w:t>
      </w:r>
      <w:r w:rsidR="00E3253D" w:rsidRPr="002F4D34">
        <w:rPr>
          <w:rStyle w:val="libFootnoteBoldChar"/>
          <w:rtl/>
        </w:rPr>
        <w:t>القاموس المحيط</w:t>
      </w:r>
      <w:r w:rsidR="00E3253D" w:rsidRPr="005D642E">
        <w:rPr>
          <w:rtl/>
        </w:rPr>
        <w:t xml:space="preserve"> ، ج 1 ، ص 497 ( بخر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الوافي</w:t>
      </w:r>
      <w:r w:rsidR="00E3253D" w:rsidRPr="005D642E">
        <w:rPr>
          <w:rtl/>
        </w:rPr>
        <w:t xml:space="preserve"> ، ج 24 ، ص 219 ، ح 23926 ؛ </w:t>
      </w:r>
      <w:r w:rsidR="00E3253D" w:rsidRPr="002F4D34">
        <w:rPr>
          <w:rStyle w:val="libFootnoteBoldChar"/>
          <w:rtl/>
        </w:rPr>
        <w:t>الوسائل</w:t>
      </w:r>
      <w:r w:rsidR="00E3253D" w:rsidRPr="005D642E">
        <w:rPr>
          <w:rtl/>
        </w:rPr>
        <w:t xml:space="preserve"> ، ج 2 ، ص 427 ، ح 2547.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7E3A2F">
        <w:rPr>
          <w:rtl/>
        </w:rPr>
        <w:lastRenderedPageBreak/>
        <w:t>4274</w:t>
      </w:r>
      <w:r w:rsidRPr="00246318">
        <w:rPr>
          <w:rStyle w:val="libBold2Char"/>
          <w:rtl/>
        </w:rPr>
        <w:t xml:space="preserve"> / 4.</w:t>
      </w:r>
      <w:r w:rsidRPr="005D642E">
        <w:rPr>
          <w:rtl/>
          <w:lang w:bidi="fa-IR"/>
        </w:rPr>
        <w:t xml:space="preserve"> عِدَّةٌ مِنْ أَصْحَابِنَا ، عَنْ سَهْلِ بْنِ زِيَادٍ ، عَنْ مُحَمَّدِ بْنِ سُلَيْمَانَ ، عَنْ مُوسَى بْنِ قَادِمٍ ، عَنْ رَجُلٍ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تَمَامُ الْعِيَادَةِ لِلْمَرِيضِ أَنْ تَضَعَ </w:t>
      </w:r>
      <w:r w:rsidRPr="007C12DB">
        <w:rPr>
          <w:rStyle w:val="libFootnotenumChar"/>
          <w:rtl/>
        </w:rPr>
        <w:t>(1)</w:t>
      </w:r>
      <w:r w:rsidRPr="005D642E">
        <w:rPr>
          <w:rtl/>
          <w:lang w:bidi="fa-IR"/>
        </w:rPr>
        <w:t xml:space="preserve"> يَدَكَ عَلى ذِرَاعِهِ </w:t>
      </w:r>
      <w:r w:rsidRPr="007C12DB">
        <w:rPr>
          <w:rStyle w:val="libFootnotenumChar"/>
          <w:rtl/>
        </w:rPr>
        <w:t>(2)</w:t>
      </w:r>
      <w:r w:rsidRPr="005D642E">
        <w:rPr>
          <w:rtl/>
          <w:lang w:bidi="fa-IR"/>
        </w:rPr>
        <w:t xml:space="preserve"> ، وَتُعَجِّلَ الْقِيَامَ مِنْ عِنْدِهِ ؛ فَإِنَّ عِيَادَةَ النَّوْكى </w:t>
      </w:r>
      <w:r w:rsidRPr="007C12DB">
        <w:rPr>
          <w:rStyle w:val="libFootnotenumChar"/>
          <w:rtl/>
        </w:rPr>
        <w:t>(3)</w:t>
      </w:r>
      <w:r w:rsidRPr="005D642E">
        <w:rPr>
          <w:rtl/>
          <w:lang w:bidi="fa-IR"/>
        </w:rPr>
        <w:t xml:space="preserve"> أَشَدُّ عَلَى الْمَرِيضِ مِنْ وَجَعِهِ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7E3A2F">
        <w:rPr>
          <w:rtl/>
        </w:rPr>
        <w:t>4275</w:t>
      </w:r>
      <w:r w:rsidRPr="00246318">
        <w:rPr>
          <w:rStyle w:val="libBold2Char"/>
          <w:rtl/>
        </w:rPr>
        <w:t xml:space="preserve"> / 5.</w:t>
      </w:r>
      <w:r w:rsidRPr="005D642E">
        <w:rPr>
          <w:rtl/>
          <w:lang w:bidi="fa-IR"/>
        </w:rPr>
        <w:t xml:space="preserve"> حُمَيْدُ بْنُ زِيَادٍ ، عَنِ الْحَسَنِ بْنِ مُحَمَّدِ بْنِ سَمَاعَةَ </w:t>
      </w:r>
      <w:r w:rsidRPr="007C12DB">
        <w:rPr>
          <w:rStyle w:val="libFootnotenumChar"/>
          <w:rtl/>
        </w:rPr>
        <w:t>(5)</w:t>
      </w:r>
      <w:r w:rsidRPr="005D642E">
        <w:rPr>
          <w:rtl/>
          <w:lang w:bidi="fa-IR"/>
        </w:rPr>
        <w:t xml:space="preserve"> ، عَنْ غَيْرِ وَاحِدٍ ، عَنْ أَبَانٍ ، عَنْ أَبِي يَحْيى </w:t>
      </w:r>
      <w:r w:rsidRPr="007C12DB">
        <w:rPr>
          <w:rStyle w:val="libFootnotenumChar"/>
          <w:rtl/>
        </w:rPr>
        <w:t>(6)</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تَمَامُ الْعِيَادَةِ أَنْ تَضَعَ </w:t>
      </w:r>
      <w:r w:rsidRPr="007C12DB">
        <w:rPr>
          <w:rStyle w:val="libFootnotenumChar"/>
          <w:rtl/>
        </w:rPr>
        <w:t>(7)</w:t>
      </w:r>
      <w:r w:rsidRPr="005D642E">
        <w:rPr>
          <w:rtl/>
          <w:lang w:bidi="fa-IR"/>
        </w:rPr>
        <w:t xml:space="preserve"> يَدَكَ عَلَى الْمَرِيضِ إِذَا دَخَلْتَ عَلَيْهِ</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7E3A2F">
        <w:rPr>
          <w:rtl/>
        </w:rPr>
        <w:t>4276</w:t>
      </w:r>
      <w:r w:rsidRPr="00246318">
        <w:rPr>
          <w:rStyle w:val="libBold2Char"/>
          <w:rtl/>
        </w:rPr>
        <w:t xml:space="preserve"> / 6.</w:t>
      </w:r>
      <w:r w:rsidRPr="005D642E">
        <w:rPr>
          <w:rtl/>
          <w:lang w:bidi="fa-IR"/>
        </w:rPr>
        <w:t xml:space="preserve"> عَلِيُّ بْنُ إِبْرَاهِيمَ ، عَنْ هَارُونَ بْنِ مُسْلِمٍ ، عَنْ مَسْعَدَةَ بْنِ صَدَقَةَ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أَمِيرَ الْمُؤْمِنِينَ</w:t>
      </w:r>
      <w:r>
        <w:rPr>
          <w:rtl/>
          <w:lang w:bidi="fa-IR"/>
        </w:rPr>
        <w:t xml:space="preserve"> </w:t>
      </w:r>
      <w:r w:rsidR="007642BC">
        <w:rPr>
          <w:rtl/>
          <w:lang w:bidi="fa-IR"/>
        </w:rPr>
        <w:t>-</w:t>
      </w:r>
      <w:r>
        <w:rPr>
          <w:rtl/>
          <w:lang w:bidi="fa-IR"/>
        </w:rPr>
        <w:t xml:space="preserve"> </w:t>
      </w:r>
      <w:r w:rsidRPr="005D642E">
        <w:rPr>
          <w:rtl/>
          <w:lang w:bidi="fa-IR"/>
        </w:rPr>
        <w:t>صَلَواتُ اللهِ عَلَيْهِ</w:t>
      </w:r>
      <w:r>
        <w:rPr>
          <w:rtl/>
          <w:lang w:bidi="fa-IR"/>
        </w:rPr>
        <w:t xml:space="preserve"> </w:t>
      </w:r>
      <w:r w:rsidR="007642BC">
        <w:rPr>
          <w:rtl/>
          <w:lang w:bidi="fa-IR"/>
        </w:rPr>
        <w:t>-</w:t>
      </w:r>
      <w:r>
        <w:rPr>
          <w:rtl/>
          <w:lang w:bidi="fa-IR"/>
        </w:rPr>
        <w:t xml:space="preserve"> </w:t>
      </w:r>
      <w:r w:rsidRPr="005D642E">
        <w:rPr>
          <w:rtl/>
          <w:lang w:bidi="fa-IR"/>
        </w:rPr>
        <w:t>قَالَ : إِنَّ مِنْ أَعْظَمِ الْعُوَّادِ أَجْراً عِنْدَ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لَمَنْ إِذَا عَادَ أَخَاهُ </w:t>
      </w:r>
      <w:r w:rsidRPr="007C12DB">
        <w:rPr>
          <w:rStyle w:val="libFootnotenumChar"/>
          <w:rtl/>
        </w:rPr>
        <w:t>(9)</w:t>
      </w:r>
      <w:r w:rsidRPr="005D642E">
        <w:rPr>
          <w:rtl/>
          <w:lang w:bidi="fa-IR"/>
        </w:rPr>
        <w:t xml:space="preserve"> خَفَّفَ الْجُلُوسَ ، </w:t>
      </w:r>
      <w:r w:rsidR="00FC624C">
        <w:rPr>
          <w:rtl/>
          <w:lang w:bidi="fa-IR"/>
        </w:rPr>
        <w:t>إِل</w:t>
      </w:r>
      <w:r w:rsidR="00FC624C">
        <w:rPr>
          <w:rFonts w:hint="cs"/>
          <w:rtl/>
          <w:lang w:bidi="fa-IR"/>
        </w:rPr>
        <w:t>َّ</w:t>
      </w:r>
      <w:r w:rsidR="00FC624C">
        <w:rPr>
          <w:rtl/>
          <w:lang w:bidi="fa-IR"/>
        </w:rPr>
        <w:t>ا</w:t>
      </w:r>
      <w:r w:rsidRPr="005D642E">
        <w:rPr>
          <w:rtl/>
          <w:lang w:bidi="fa-IR"/>
        </w:rPr>
        <w:t xml:space="preserve"> أَنْ يَكُونَ</w:t>
      </w:r>
      <w:r>
        <w:rPr>
          <w:lang w:bidi="fa-IR"/>
        </w:rPr>
        <w:t xml:space="preserve"> </w:t>
      </w:r>
      <w:r w:rsidRPr="005D642E">
        <w:rPr>
          <w:rtl/>
          <w:lang w:bidi="fa-IR"/>
        </w:rPr>
        <w:t xml:space="preserve">الْمَرِيضُ يُحِبُّ ذلِكَ وَيُرِيدُهُ ، وَيَسْأَلُهُ </w:t>
      </w:r>
      <w:r w:rsidRPr="007C12DB">
        <w:rPr>
          <w:rStyle w:val="libFootnotenumChar"/>
          <w:rtl/>
        </w:rPr>
        <w:t>(10)</w:t>
      </w:r>
      <w:r w:rsidRPr="005D642E">
        <w:rPr>
          <w:rtl/>
          <w:lang w:bidi="fa-IR"/>
        </w:rPr>
        <w:t xml:space="preserve"> ذلِكَ ، وَقَالَ </w:t>
      </w:r>
      <w:r w:rsidRPr="00AC51C5">
        <w:rPr>
          <w:rStyle w:val="libAlaemChar"/>
          <w:rtl/>
        </w:rPr>
        <w:t>عليه‌السلام</w:t>
      </w:r>
      <w:r w:rsidRPr="005D642E">
        <w:rPr>
          <w:rtl/>
          <w:lang w:bidi="fa-IR"/>
        </w:rPr>
        <w:t xml:space="preserve"> </w:t>
      </w:r>
      <w:r w:rsidRPr="007C12DB">
        <w:rPr>
          <w:rStyle w:val="libFootnotenumChar"/>
          <w:rtl/>
        </w:rPr>
        <w:t>(11)</w:t>
      </w:r>
      <w:r w:rsidRPr="005D642E">
        <w:rPr>
          <w:rtl/>
          <w:lang w:bidi="fa-IR"/>
        </w:rPr>
        <w:t xml:space="preserve"> : مِنْ تَمَامِ الْعِيَادَةِ أَنْ يَضَعَ‌</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أن تدع</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لعلّ وضع يده على ذراعه عند الدعاء ، قال في </w:t>
      </w:r>
      <w:r w:rsidR="00E3253D" w:rsidRPr="002F4D34">
        <w:rPr>
          <w:rStyle w:val="libFootnoteBoldChar"/>
          <w:rtl/>
        </w:rPr>
        <w:t>الدروس</w:t>
      </w:r>
      <w:r w:rsidR="00E3253D" w:rsidRPr="005D642E">
        <w:rPr>
          <w:rtl/>
        </w:rPr>
        <w:t xml:space="preserve"> : ويضع العائد يده على ذراع المريض ويدعوله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النَوْكى » : جمع الأنْوَك ، وهو الأحمق ؛ من النُوك</w:t>
      </w:r>
      <w:r w:rsidR="00E3253D">
        <w:rPr>
          <w:rtl/>
        </w:rPr>
        <w:t xml:space="preserve"> </w:t>
      </w:r>
      <w:r w:rsidR="007642BC">
        <w:rPr>
          <w:rtl/>
        </w:rPr>
        <w:t>-</w:t>
      </w:r>
      <w:r w:rsidR="00E3253D">
        <w:rPr>
          <w:rtl/>
        </w:rPr>
        <w:t xml:space="preserve"> </w:t>
      </w:r>
      <w:r w:rsidR="00E3253D" w:rsidRPr="005D642E">
        <w:rPr>
          <w:rtl/>
        </w:rPr>
        <w:t>بضمّ النون وفتحها</w:t>
      </w:r>
      <w:r w:rsidR="00E3253D">
        <w:rPr>
          <w:rtl/>
        </w:rPr>
        <w:t xml:space="preserve"> </w:t>
      </w:r>
      <w:r w:rsidR="007642BC">
        <w:rPr>
          <w:rtl/>
        </w:rPr>
        <w:t>-</w:t>
      </w:r>
      <w:r w:rsidR="00E3253D">
        <w:rPr>
          <w:rtl/>
        </w:rPr>
        <w:t xml:space="preserve"> </w:t>
      </w:r>
      <w:r w:rsidR="00E3253D" w:rsidRPr="005D642E">
        <w:rPr>
          <w:rtl/>
        </w:rPr>
        <w:t xml:space="preserve">وهو الحمق. وقد يجمع على نُوك أيضاً. راجع : </w:t>
      </w:r>
      <w:r w:rsidR="00E3253D" w:rsidRPr="002F4D34">
        <w:rPr>
          <w:rStyle w:val="libFootnoteBoldChar"/>
          <w:rtl/>
        </w:rPr>
        <w:t>لسان العرب</w:t>
      </w:r>
      <w:r w:rsidR="00E3253D" w:rsidRPr="005D642E">
        <w:rPr>
          <w:rtl/>
        </w:rPr>
        <w:t xml:space="preserve"> ، ج 10 ، ص 501 ؛ </w:t>
      </w:r>
      <w:r w:rsidR="00E3253D" w:rsidRPr="002F4D34">
        <w:rPr>
          <w:rStyle w:val="libFootnoteBoldChar"/>
          <w:rtl/>
        </w:rPr>
        <w:t>القاموس المحيط</w:t>
      </w:r>
      <w:r w:rsidR="00E3253D" w:rsidRPr="005D642E">
        <w:rPr>
          <w:rtl/>
        </w:rPr>
        <w:t xml:space="preserve"> ، ج 2 ، ص 1265 ( نوك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24 ، ص 220 ، ح 23927 ؛ </w:t>
      </w:r>
      <w:r w:rsidR="00E3253D" w:rsidRPr="002F4D34">
        <w:rPr>
          <w:rStyle w:val="libFootnoteBoldChar"/>
          <w:rtl/>
        </w:rPr>
        <w:t>الوسائل</w:t>
      </w:r>
      <w:r w:rsidR="00E3253D" w:rsidRPr="005D642E">
        <w:rPr>
          <w:rtl/>
        </w:rPr>
        <w:t xml:space="preserve"> ، ج 2 ، ص 426 ، ح 2545.</w:t>
      </w:r>
    </w:p>
    <w:p w:rsidR="00E3253D" w:rsidRPr="005D642E" w:rsidRDefault="0042621E" w:rsidP="00B860F5">
      <w:pPr>
        <w:pStyle w:val="libFootnote0"/>
        <w:rPr>
          <w:rtl/>
          <w:lang w:bidi="fa-IR"/>
        </w:rPr>
      </w:pPr>
      <w:r w:rsidRPr="0042621E">
        <w:rPr>
          <w:rStyle w:val="libFootnote0Char"/>
          <w:rtl/>
        </w:rPr>
        <w:t>(5).</w:t>
      </w:r>
      <w:r w:rsidR="00E3253D" w:rsidRPr="005D642E">
        <w:rPr>
          <w:rtl/>
        </w:rPr>
        <w:t xml:space="preserve"> هكذا في النسخ. وفي المطبوع : « الحسن بن محمّد ، عن سماعة</w:t>
      </w:r>
      <w:r w:rsidR="00E3253D">
        <w:rPr>
          <w:rtl/>
        </w:rPr>
        <w:t xml:space="preserve"> ».</w:t>
      </w:r>
      <w:r w:rsidR="00E3253D" w:rsidRPr="005D642E">
        <w:rPr>
          <w:rtl/>
        </w:rPr>
        <w:t xml:space="preserve"> والصواب ما أثبتناه ؛ فقد أكثر [ الحسن بن‌محمّد ] بن سماعة من الرواية عن غير واحد ، عن أبان [ بن عثمان ]</w:t>
      </w:r>
      <w:r w:rsidR="00E3253D">
        <w:rPr>
          <w:rtl/>
        </w:rPr>
        <w:t>.</w:t>
      </w:r>
      <w:r w:rsidR="00E3253D" w:rsidRPr="005D642E">
        <w:rPr>
          <w:rtl/>
        </w:rPr>
        <w:t xml:space="preserve"> راجع : </w:t>
      </w:r>
      <w:r w:rsidR="00E3253D" w:rsidRPr="002F4D34">
        <w:rPr>
          <w:rStyle w:val="libFootnoteBoldChar"/>
          <w:rtl/>
        </w:rPr>
        <w:t>معجم رجال الحديث</w:t>
      </w:r>
      <w:r w:rsidR="00E3253D" w:rsidRPr="005D642E">
        <w:rPr>
          <w:rtl/>
        </w:rPr>
        <w:t xml:space="preserve"> ، ج 5 ، ص 389</w:t>
      </w:r>
      <w:r w:rsidR="00E3253D">
        <w:rPr>
          <w:rtl/>
        </w:rPr>
        <w:t xml:space="preserve"> </w:t>
      </w:r>
      <w:r w:rsidR="007642BC">
        <w:rPr>
          <w:rtl/>
        </w:rPr>
        <w:t>-</w:t>
      </w:r>
      <w:r w:rsidR="00E3253D">
        <w:rPr>
          <w:rtl/>
        </w:rPr>
        <w:t xml:space="preserve"> </w:t>
      </w:r>
      <w:r w:rsidR="00E3253D" w:rsidRPr="005D642E">
        <w:rPr>
          <w:rtl/>
        </w:rPr>
        <w:t>390 ؛ وج 22 ، ص 392.</w:t>
      </w:r>
      <w:r w:rsidR="00B860F5">
        <w:rPr>
          <w:rFonts w:hint="cs"/>
          <w:rtl/>
        </w:rPr>
        <w:t xml:space="preserve">                            </w:t>
      </w:r>
      <w:r w:rsidRPr="0042621E">
        <w:rPr>
          <w:rStyle w:val="libFootnote0Char"/>
          <w:rtl/>
        </w:rPr>
        <w:t>(6).</w:t>
      </w:r>
      <w:r w:rsidR="00E3253D" w:rsidRPr="005D642E">
        <w:rPr>
          <w:rtl/>
        </w:rPr>
        <w:t xml:space="preserve"> في « جس » : « ابن يحيى</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بف » </w:t>
      </w:r>
      <w:r w:rsidR="000D749A" w:rsidRPr="000D749A">
        <w:rPr>
          <w:rStyle w:val="libFootnoteBoldChar"/>
          <w:rtl/>
        </w:rPr>
        <w:t>والوافي</w:t>
      </w:r>
      <w:r w:rsidR="00E3253D" w:rsidRPr="005D642E">
        <w:rPr>
          <w:rtl/>
        </w:rPr>
        <w:t xml:space="preserve"> : « أن تدع</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35521A">
        <w:rPr>
          <w:rStyle w:val="libFootnoteBoldChar"/>
          <w:rtl/>
        </w:rPr>
        <w:t>الأمالي للطوسي</w:t>
      </w:r>
      <w:r w:rsidR="00E3253D" w:rsidRPr="005D642E">
        <w:rPr>
          <w:rtl/>
        </w:rPr>
        <w:t xml:space="preserve"> ، ص 639 ، المجلس 32 ، صدر ح 6 ، بسند آخر عن النبيّ </w:t>
      </w:r>
      <w:r w:rsidRPr="00AD16B0">
        <w:rPr>
          <w:rStyle w:val="libFootnoteAlaemChar"/>
          <w:rtl/>
        </w:rPr>
        <w:t>صلى‌الله‌عليه‌وآله</w:t>
      </w:r>
      <w:r w:rsidR="00E3253D" w:rsidRPr="005D642E">
        <w:rPr>
          <w:rtl/>
        </w:rPr>
        <w:t xml:space="preserve"> ، مع اختلاف يسير </w:t>
      </w:r>
      <w:r w:rsidR="00AD16B0">
        <w:rPr>
          <w:rFonts w:hint="cs"/>
          <w:rtl/>
        </w:rPr>
        <w:t>.</w:t>
      </w:r>
      <w:r w:rsidR="00E3253D" w:rsidRPr="002F4D34">
        <w:rPr>
          <w:rStyle w:val="libFootnoteBoldChar"/>
          <w:rtl/>
        </w:rPr>
        <w:t>الوافي</w:t>
      </w:r>
      <w:r w:rsidR="00E3253D" w:rsidRPr="005D642E">
        <w:rPr>
          <w:rtl/>
        </w:rPr>
        <w:t xml:space="preserve"> ، ج 24 ، ص 220 ، ح 23928 ؛ </w:t>
      </w:r>
      <w:r w:rsidR="00E3253D" w:rsidRPr="002F4D34">
        <w:rPr>
          <w:rStyle w:val="libFootnoteBoldChar"/>
          <w:rtl/>
        </w:rPr>
        <w:t>الوسائل</w:t>
      </w:r>
      <w:r w:rsidR="00E3253D" w:rsidRPr="005D642E">
        <w:rPr>
          <w:rtl/>
        </w:rPr>
        <w:t xml:space="preserve"> ، ج 2 ، ص 426 ، ح 2546.</w:t>
      </w:r>
    </w:p>
    <w:tbl>
      <w:tblPr>
        <w:tblStyle w:val="TableGrid"/>
        <w:bidiVisual/>
        <w:tblW w:w="0" w:type="auto"/>
        <w:tblLook w:val="04A0" w:firstRow="1" w:lastRow="0" w:firstColumn="1" w:lastColumn="0" w:noHBand="0" w:noVBand="1"/>
      </w:tblPr>
      <w:tblGrid>
        <w:gridCol w:w="4006"/>
        <w:gridCol w:w="4006"/>
      </w:tblGrid>
      <w:tr w:rsidR="00AD16B0" w:rsidTr="00AD16B0">
        <w:tc>
          <w:tcPr>
            <w:tcW w:w="4006" w:type="dxa"/>
          </w:tcPr>
          <w:p w:rsidR="00AD16B0" w:rsidRDefault="00AD16B0" w:rsidP="00E3253D">
            <w:pPr>
              <w:pStyle w:val="libFootnote0"/>
              <w:rPr>
                <w:rStyle w:val="libFootnote0Char"/>
                <w:rtl/>
              </w:rPr>
            </w:pPr>
            <w:r w:rsidRPr="0042621E">
              <w:rPr>
                <w:rStyle w:val="libFootnote0Char"/>
                <w:rtl/>
              </w:rPr>
              <w:t>(9).</w:t>
            </w:r>
            <w:r w:rsidRPr="005D642E">
              <w:rPr>
                <w:rtl/>
              </w:rPr>
              <w:t xml:space="preserve"> في قرب الإسناد : + « المؤمن</w:t>
            </w:r>
            <w:r>
              <w:rPr>
                <w:rtl/>
              </w:rPr>
              <w:t xml:space="preserve"> ».</w:t>
            </w:r>
          </w:p>
        </w:tc>
        <w:tc>
          <w:tcPr>
            <w:tcW w:w="4006" w:type="dxa"/>
          </w:tcPr>
          <w:p w:rsidR="00AD16B0" w:rsidRDefault="00AD16B0" w:rsidP="00E3253D">
            <w:pPr>
              <w:pStyle w:val="libFootnote0"/>
              <w:rPr>
                <w:rStyle w:val="libFootnote0Char"/>
                <w:rtl/>
              </w:rPr>
            </w:pPr>
            <w:r w:rsidRPr="0042621E">
              <w:rPr>
                <w:rStyle w:val="libFootnote0Char"/>
                <w:rtl/>
              </w:rPr>
              <w:t>(10).</w:t>
            </w:r>
            <w:r w:rsidRPr="005D642E">
              <w:rPr>
                <w:rtl/>
              </w:rPr>
              <w:t xml:space="preserve"> في « بخ ، بف » : + « عن</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قرب الإسناد : + « إنّ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الْعَائِدُ إِحْدى يَدَيْهِ عَلَى الْأُخْرى </w:t>
      </w:r>
      <w:r w:rsidRPr="007C12DB">
        <w:rPr>
          <w:rStyle w:val="libFootnotenumChar"/>
          <w:rtl/>
        </w:rPr>
        <w:t>(1)</w:t>
      </w:r>
      <w:r w:rsidRPr="005D642E">
        <w:rPr>
          <w:rtl/>
          <w:lang w:bidi="fa-IR"/>
        </w:rPr>
        <w:t xml:space="preserve"> ، أَوْ عَلى جَبْهَتِهِ</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275" w:name="_Toc344647302"/>
      <w:bookmarkStart w:id="276" w:name="_Toc462226816"/>
      <w:bookmarkStart w:id="277" w:name="_Toc40975925"/>
      <w:r w:rsidRPr="005D642E">
        <w:rPr>
          <w:rtl/>
          <w:lang w:bidi="fa-IR"/>
        </w:rPr>
        <w:t>7</w:t>
      </w:r>
      <w:r>
        <w:rPr>
          <w:rtl/>
          <w:lang w:bidi="fa-IR"/>
        </w:rPr>
        <w:t xml:space="preserve"> </w:t>
      </w:r>
      <w:r w:rsidR="007642BC">
        <w:rPr>
          <w:rtl/>
          <w:lang w:bidi="fa-IR"/>
        </w:rPr>
        <w:t>-</w:t>
      </w:r>
      <w:r>
        <w:rPr>
          <w:rtl/>
          <w:lang w:bidi="fa-IR"/>
        </w:rPr>
        <w:t xml:space="preserve"> </w:t>
      </w:r>
      <w:r w:rsidRPr="005D642E">
        <w:rPr>
          <w:rtl/>
          <w:lang w:bidi="fa-IR"/>
        </w:rPr>
        <w:t xml:space="preserve">بَابُ حَدِّ </w:t>
      </w:r>
      <w:r w:rsidRPr="007C12DB">
        <w:rPr>
          <w:rStyle w:val="libFootnotenumChar"/>
          <w:rtl/>
        </w:rPr>
        <w:t>(3)</w:t>
      </w:r>
      <w:r>
        <w:rPr>
          <w:rtl/>
        </w:rPr>
        <w:t xml:space="preserve"> </w:t>
      </w:r>
      <w:r w:rsidRPr="005D642E">
        <w:rPr>
          <w:rtl/>
          <w:lang w:bidi="fa-IR"/>
        </w:rPr>
        <w:t xml:space="preserve">مَوْتِ الْفَجْأَةِ </w:t>
      </w:r>
      <w:r w:rsidRPr="007C12DB">
        <w:rPr>
          <w:rStyle w:val="libFootnotenumChar"/>
          <w:rtl/>
        </w:rPr>
        <w:t>(4)</w:t>
      </w:r>
      <w:r w:rsidRPr="005D642E">
        <w:rPr>
          <w:rtl/>
          <w:lang w:bidi="fa-IR"/>
        </w:rPr>
        <w:t xml:space="preserve"> ‌</w:t>
      </w:r>
      <w:bookmarkEnd w:id="275"/>
      <w:bookmarkEnd w:id="276"/>
      <w:bookmarkEnd w:id="277"/>
    </w:p>
    <w:p w:rsidR="00E3253D" w:rsidRPr="005D642E" w:rsidRDefault="00E3253D" w:rsidP="00E3253D">
      <w:pPr>
        <w:pStyle w:val="libNormal"/>
        <w:rPr>
          <w:rtl/>
          <w:lang w:bidi="fa-IR"/>
        </w:rPr>
      </w:pPr>
      <w:r w:rsidRPr="007E3A2F">
        <w:rPr>
          <w:rtl/>
        </w:rPr>
        <w:t>4277</w:t>
      </w:r>
      <w:r w:rsidRPr="00246318">
        <w:rPr>
          <w:rStyle w:val="libBold2Char"/>
          <w:rtl/>
        </w:rPr>
        <w:t xml:space="preserve"> / 1.</w:t>
      </w:r>
      <w:r w:rsidRPr="005D642E">
        <w:rPr>
          <w:rtl/>
          <w:lang w:bidi="fa-IR"/>
        </w:rPr>
        <w:t xml:space="preserve"> مُحَمَّدُ بْنُ يَحْيى ، عَنْ مُوسَى بْنِ الْحَسَنِ ، عَنْ أَبِي الْحَسَنِ النَّهْدِيِّ رَفَعَ الْحَدِيثَ ، قَالَ :</w:t>
      </w:r>
    </w:p>
    <w:p w:rsidR="00E3253D" w:rsidRPr="005D642E" w:rsidRDefault="00E3253D" w:rsidP="00E3253D">
      <w:pPr>
        <w:pStyle w:val="libNormal"/>
        <w:rPr>
          <w:rtl/>
          <w:lang w:bidi="fa-IR"/>
        </w:rPr>
      </w:pPr>
      <w:r w:rsidRPr="005D642E">
        <w:rPr>
          <w:rtl/>
          <w:lang w:bidi="fa-IR"/>
        </w:rPr>
        <w:t xml:space="preserve">كَانَ أَبُو جَعْفَرٍ </w:t>
      </w:r>
      <w:r w:rsidRPr="00AC51C5">
        <w:rPr>
          <w:rStyle w:val="libAlaemChar"/>
          <w:rtl/>
        </w:rPr>
        <w:t>عليه‌السلام</w:t>
      </w:r>
      <w:r w:rsidRPr="005D642E">
        <w:rPr>
          <w:rtl/>
          <w:lang w:bidi="fa-IR"/>
        </w:rPr>
        <w:t xml:space="preserve"> يَقُولُ : « مَنْ مَاتَ دُونَ الْأَرْبَعِينَ ، فَقَدِ اخْتُرِمَ </w:t>
      </w:r>
      <w:r w:rsidRPr="007C12DB">
        <w:rPr>
          <w:rStyle w:val="libFootnotenumChar"/>
          <w:rtl/>
        </w:rPr>
        <w:t>(5)</w:t>
      </w:r>
      <w:r w:rsidRPr="005D642E">
        <w:rPr>
          <w:rtl/>
          <w:lang w:bidi="fa-IR"/>
        </w:rPr>
        <w:t xml:space="preserve"> ؛ وَقَالَ </w:t>
      </w:r>
      <w:r w:rsidRPr="007C12DB">
        <w:rPr>
          <w:rStyle w:val="libFootnotenumChar"/>
          <w:rtl/>
        </w:rPr>
        <w:t>(6)</w:t>
      </w:r>
      <w:r w:rsidRPr="005D642E">
        <w:rPr>
          <w:rtl/>
          <w:lang w:bidi="fa-IR"/>
        </w:rPr>
        <w:t xml:space="preserve"> : مَنْ مَاتَ دُونَ أَرْبَعَةَ عَشَرَ يَوْماً ، فَمَوْتُهُ مَوْتُ فَجْأَةٍ</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7E3A2F">
        <w:rPr>
          <w:rtl/>
        </w:rPr>
        <w:t>4278</w:t>
      </w:r>
      <w:r w:rsidRPr="00246318">
        <w:rPr>
          <w:rStyle w:val="libBold2Char"/>
          <w:rtl/>
        </w:rPr>
        <w:t xml:space="preserve"> / 2.</w:t>
      </w:r>
      <w:r w:rsidRPr="005D642E">
        <w:rPr>
          <w:rtl/>
          <w:lang w:bidi="fa-IR"/>
        </w:rPr>
        <w:t xml:space="preserve"> عَنْهُ </w:t>
      </w:r>
      <w:r w:rsidRPr="007C12DB">
        <w:rPr>
          <w:rStyle w:val="libFootnotenumChar"/>
          <w:rtl/>
        </w:rPr>
        <w:t>(8)</w:t>
      </w:r>
      <w:r w:rsidRPr="005D642E">
        <w:rPr>
          <w:rtl/>
          <w:lang w:bidi="fa-IR"/>
        </w:rPr>
        <w:t xml:space="preserve"> ، عَنْ يَعْقُوبَ بْنِ يَزِيدَ ، عَنْ يَحْيَى بْنِ الْمُبَارَكِ ، عَنْ بُهْلُولِ بْنِ مُسْلِمٍ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قوله </w:t>
      </w:r>
      <w:r w:rsidR="00E3253D" w:rsidRPr="00397B12">
        <w:rPr>
          <w:rStyle w:val="libFootnoteAlaemChar"/>
          <w:rtl/>
        </w:rPr>
        <w:t>عليه‌السلام</w:t>
      </w:r>
      <w:r w:rsidR="00E3253D" w:rsidRPr="005D642E">
        <w:rPr>
          <w:rtl/>
        </w:rPr>
        <w:t xml:space="preserve"> : أن يضع إلى آخره ، كأنّ هذا على سبيل التمثيل ، والمراد إظهار الحزن والتأسّف على مرضه ؛ فإنّ هذين الفعلين متعارفان بين الناس لإظهار الحزن والتحسّر ، وإرجاع ضميري يديه وجبهته إلى المريض بعيد جدّاً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قرب الإسناد</w:t>
      </w:r>
      <w:r w:rsidR="00E3253D" w:rsidRPr="005D642E">
        <w:rPr>
          <w:rtl/>
        </w:rPr>
        <w:t xml:space="preserve"> ، ص 13 ، ح 39 ، عن هارون بن مسلم ، عن مسعدة بن صدقه ، عن جعفر بن محمّد ، عن أبيه ، عن أميرالمؤمنين </w:t>
      </w:r>
      <w:r w:rsidR="00E3253D" w:rsidRPr="00397B12">
        <w:rPr>
          <w:rStyle w:val="libFootnoteAlaemChar"/>
          <w:rtl/>
        </w:rPr>
        <w:t>عليهم‌السلام</w:t>
      </w:r>
      <w:r w:rsidR="00E3253D" w:rsidRPr="005D642E">
        <w:rPr>
          <w:rtl/>
        </w:rPr>
        <w:t xml:space="preserve"> </w:t>
      </w:r>
      <w:r w:rsidR="00397B12">
        <w:rPr>
          <w:rFonts w:hint="cs"/>
          <w:rtl/>
        </w:rPr>
        <w:t>.</w:t>
      </w:r>
      <w:r w:rsidR="00E3253D" w:rsidRPr="002F4D34">
        <w:rPr>
          <w:rStyle w:val="libFootnoteBoldChar"/>
          <w:rtl/>
        </w:rPr>
        <w:t>الوافي</w:t>
      </w:r>
      <w:r w:rsidR="00E3253D" w:rsidRPr="005D642E">
        <w:rPr>
          <w:rtl/>
        </w:rPr>
        <w:t xml:space="preserve"> ، ج 24 ، ص 220 ، ح 23929 ؛ </w:t>
      </w:r>
      <w:r w:rsidR="00E3253D" w:rsidRPr="002F4D34">
        <w:rPr>
          <w:rStyle w:val="libFootnoteBoldChar"/>
          <w:rtl/>
        </w:rPr>
        <w:t>الوسائل</w:t>
      </w:r>
      <w:r w:rsidR="00E3253D" w:rsidRPr="005D642E">
        <w:rPr>
          <w:rtl/>
        </w:rPr>
        <w:t xml:space="preserve"> ، ج 2 ، ص 425 ، ح 2544.</w:t>
      </w:r>
    </w:p>
    <w:tbl>
      <w:tblPr>
        <w:tblStyle w:val="TableGrid"/>
        <w:bidiVisual/>
        <w:tblW w:w="0" w:type="auto"/>
        <w:tblLook w:val="04A0" w:firstRow="1" w:lastRow="0" w:firstColumn="1" w:lastColumn="0" w:noHBand="0" w:noVBand="1"/>
      </w:tblPr>
      <w:tblGrid>
        <w:gridCol w:w="4006"/>
        <w:gridCol w:w="4006"/>
      </w:tblGrid>
      <w:tr w:rsidR="00397B12" w:rsidTr="00397B12">
        <w:tc>
          <w:tcPr>
            <w:tcW w:w="4006" w:type="dxa"/>
          </w:tcPr>
          <w:p w:rsidR="00397B12" w:rsidRDefault="00397B12" w:rsidP="00E3253D">
            <w:pPr>
              <w:pStyle w:val="libFootnote0"/>
              <w:rPr>
                <w:rStyle w:val="libFootnote0Char"/>
                <w:rtl/>
              </w:rPr>
            </w:pPr>
            <w:r w:rsidRPr="0042621E">
              <w:rPr>
                <w:rStyle w:val="libFootnote0Char"/>
                <w:rtl/>
              </w:rPr>
              <w:t>(3).</w:t>
            </w:r>
            <w:r w:rsidRPr="005D642E">
              <w:rPr>
                <w:rtl/>
              </w:rPr>
              <w:t xml:space="preserve"> في « بف » :</w:t>
            </w:r>
            <w:r>
              <w:rPr>
                <w:rtl/>
              </w:rPr>
              <w:t xml:space="preserve"> - </w:t>
            </w:r>
            <w:r w:rsidRPr="005D642E">
              <w:rPr>
                <w:rtl/>
              </w:rPr>
              <w:t>« حدّ</w:t>
            </w:r>
            <w:r>
              <w:rPr>
                <w:rtl/>
              </w:rPr>
              <w:t xml:space="preserve"> ».</w:t>
            </w:r>
          </w:p>
        </w:tc>
        <w:tc>
          <w:tcPr>
            <w:tcW w:w="4006" w:type="dxa"/>
          </w:tcPr>
          <w:p w:rsidR="00397B12" w:rsidRDefault="00397B12" w:rsidP="00E3253D">
            <w:pPr>
              <w:pStyle w:val="libFootnote0"/>
              <w:rPr>
                <w:rStyle w:val="libFootnote0Char"/>
                <w:rtl/>
              </w:rPr>
            </w:pPr>
            <w:r w:rsidRPr="0042621E">
              <w:rPr>
                <w:rStyle w:val="libFootnote0Char"/>
                <w:rtl/>
              </w:rPr>
              <w:t>(4).</w:t>
            </w:r>
            <w:r w:rsidR="00F55AB1">
              <w:rPr>
                <w:rtl/>
              </w:rPr>
              <w:t xml:space="preserve"> في«ظ،بس،جح،جس،جن»</w:t>
            </w:r>
            <w:r w:rsidRPr="005D642E">
              <w:rPr>
                <w:rtl/>
              </w:rPr>
              <w:t>:</w:t>
            </w:r>
            <w:r>
              <w:rPr>
                <w:rtl/>
              </w:rPr>
              <w:t>-</w:t>
            </w:r>
            <w:r w:rsidR="00F55AB1">
              <w:rPr>
                <w:rtl/>
              </w:rPr>
              <w:t>«حدّ</w:t>
            </w:r>
            <w:r w:rsidRPr="005D642E">
              <w:rPr>
                <w:rtl/>
              </w:rPr>
              <w:t>موت الفجأة</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بس ، جس » : « احترم</w:t>
      </w:r>
      <w:r w:rsidR="00E3253D">
        <w:rPr>
          <w:rtl/>
        </w:rPr>
        <w:t xml:space="preserve"> ».</w:t>
      </w:r>
      <w:r w:rsidR="00E3253D" w:rsidRPr="005D642E">
        <w:rPr>
          <w:rtl/>
        </w:rPr>
        <w:t xml:space="preserve"> </w:t>
      </w:r>
      <w:r w:rsidR="00E3253D">
        <w:rPr>
          <w:rtl/>
        </w:rPr>
        <w:t>و «</w:t>
      </w:r>
      <w:r w:rsidR="00E3253D" w:rsidRPr="005D642E">
        <w:rPr>
          <w:rtl/>
        </w:rPr>
        <w:t xml:space="preserve"> اخترم » ، على صيغة المجهول : مات وذهب ؛ من الاخترام ، وهو الهلاك‌بآفات الدهر. وقيل : هو الموت والذهاب من البين. وقيل : هو </w:t>
      </w:r>
      <w:r w:rsidR="006D0C65">
        <w:rPr>
          <w:rtl/>
        </w:rPr>
        <w:t>الاستيصال والاقتطاع. وقال العل</w:t>
      </w:r>
      <w:r w:rsidR="006D0C65">
        <w:rPr>
          <w:rFonts w:hint="cs"/>
          <w:rtl/>
        </w:rPr>
        <w:t>ّ</w:t>
      </w:r>
      <w:r w:rsidR="006D0C65">
        <w:rPr>
          <w:rtl/>
        </w:rPr>
        <w:t>ا</w:t>
      </w:r>
      <w:r w:rsidR="00E3253D" w:rsidRPr="005D642E">
        <w:rPr>
          <w:rtl/>
        </w:rPr>
        <w:t>مة الفيض : « وكأنّ المراد أنّ إدراك الموت قبل تمام الأربعين سنة موتٌ قبل الإدراك وبلوغ الكمال ، ووقوعه في مرض لايبلغ أربعة عشر يوماً فجأة</w:t>
      </w:r>
      <w:r w:rsidR="00E3253D">
        <w:rPr>
          <w:rtl/>
        </w:rPr>
        <w:t xml:space="preserve"> ».</w:t>
      </w:r>
      <w:r w:rsidR="00E3253D" w:rsidRPr="005D642E">
        <w:rPr>
          <w:rtl/>
        </w:rPr>
        <w:t xml:space="preserve"> راجع : </w:t>
      </w:r>
      <w:r w:rsidR="00E3253D" w:rsidRPr="002F4D34">
        <w:rPr>
          <w:rStyle w:val="libFootnoteBoldChar"/>
          <w:rtl/>
        </w:rPr>
        <w:t>لسان العرب</w:t>
      </w:r>
      <w:r w:rsidR="00E3253D" w:rsidRPr="005D642E">
        <w:rPr>
          <w:rtl/>
        </w:rPr>
        <w:t xml:space="preserve"> ، ج 12 ، ص 172 ؛ </w:t>
      </w:r>
      <w:r w:rsidR="00E3253D" w:rsidRPr="002F4D34">
        <w:rPr>
          <w:rStyle w:val="libFootnoteBoldChar"/>
          <w:rtl/>
        </w:rPr>
        <w:t>المصباح المنير</w:t>
      </w:r>
      <w:r w:rsidR="00E3253D" w:rsidRPr="005D642E">
        <w:rPr>
          <w:rtl/>
        </w:rPr>
        <w:t xml:space="preserve"> ، ص 167.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206 ، ح 23904.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أرجع الضمير في </w:t>
      </w:r>
      <w:r w:rsidR="00E3253D" w:rsidRPr="002F4D34">
        <w:rPr>
          <w:rStyle w:val="libFootnoteBoldChar"/>
          <w:rtl/>
        </w:rPr>
        <w:t>معجم رجال الحديث</w:t>
      </w:r>
      <w:r w:rsidR="00E3253D" w:rsidRPr="005D642E">
        <w:rPr>
          <w:rtl/>
        </w:rPr>
        <w:t xml:space="preserve"> ، ج 20 ، ص 283 إلى موسى بن الحسن ، لكن لم نجد</w:t>
      </w:r>
      <w:r w:rsidR="00E3253D">
        <w:rPr>
          <w:rtl/>
        </w:rPr>
        <w:t xml:space="preserve"> </w:t>
      </w:r>
      <w:r w:rsidR="007642BC">
        <w:rPr>
          <w:rtl/>
        </w:rPr>
        <w:t>-</w:t>
      </w:r>
      <w:r w:rsidR="00E3253D">
        <w:rPr>
          <w:rtl/>
        </w:rPr>
        <w:t xml:space="preserve"> </w:t>
      </w:r>
      <w:r w:rsidR="00E3253D" w:rsidRPr="005D642E">
        <w:rPr>
          <w:rtl/>
        </w:rPr>
        <w:t>مع الفحص‌الأكيد</w:t>
      </w:r>
      <w:r w:rsidR="00E3253D">
        <w:rPr>
          <w:rtl/>
        </w:rPr>
        <w:t xml:space="preserve"> </w:t>
      </w:r>
      <w:r w:rsidR="007642BC">
        <w:rPr>
          <w:rtl/>
        </w:rPr>
        <w:t>-</w:t>
      </w:r>
      <w:r w:rsidR="00E3253D">
        <w:rPr>
          <w:rtl/>
        </w:rPr>
        <w:t xml:space="preserve"> </w:t>
      </w:r>
      <w:r w:rsidR="00E3253D" w:rsidRPr="005D642E">
        <w:rPr>
          <w:rtl/>
        </w:rPr>
        <w:t xml:space="preserve">رواية موسى بن الحسن عن يعقوب بن يزيد في موضع. والظاهر رجوع الضمير إلى محمّد بن يحيى ؛ فقد روى أحمد بن محمّد بن يحيى العطّار ، عن أبيه ، عن يعقوب بن يزيد ، في </w:t>
      </w:r>
      <w:r w:rsidR="000D749A" w:rsidRPr="000D749A">
        <w:rPr>
          <w:rStyle w:val="libFootnoteBoldChar"/>
          <w:rtl/>
        </w:rPr>
        <w:t>الأمالي للصدوق</w:t>
      </w:r>
      <w:r w:rsidR="00E3253D" w:rsidRPr="005D642E">
        <w:rPr>
          <w:rtl/>
        </w:rPr>
        <w:t xml:space="preserve"> ، ص 342 ، المجلس 65 ، ح 9 ؛ وص 434 ، المجلس 80 ، ح 7. وقال الصدوق في مشيخة </w:t>
      </w:r>
      <w:r w:rsidR="00E3253D" w:rsidRPr="002F4D34">
        <w:rPr>
          <w:rStyle w:val="libFootnoteBoldChar"/>
          <w:rtl/>
        </w:rPr>
        <w:t>الفقيه</w:t>
      </w:r>
      <w:r w:rsidR="00E3253D" w:rsidRPr="005D642E">
        <w:rPr>
          <w:rtl/>
        </w:rPr>
        <w:t xml:space="preserve"> حين ذكر طريقه إلى يعقوب بن يزيد : « وما كان فيه عن يعقوب بن يزيد فقد رويته عن أبي ومحمّد بن الحسن رضي الله عنهما ، عن </w:t>
      </w:r>
      <w:r w:rsidR="000D014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عَنْ حِصْنٍ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مَاتَ فِي أَقَلَّ مِنْ أَرْبَعَةَ عَشَرَ يَوْماً ، كَانَ مَوْتُهُ </w:t>
      </w:r>
      <w:r w:rsidRPr="007C12DB">
        <w:rPr>
          <w:rStyle w:val="libFootnotenumChar"/>
          <w:rtl/>
        </w:rPr>
        <w:t>(2)</w:t>
      </w:r>
      <w:r w:rsidRPr="005D642E">
        <w:rPr>
          <w:rtl/>
          <w:lang w:bidi="fa-IR"/>
        </w:rPr>
        <w:t xml:space="preserve"> فَجْأَةً</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278" w:name="_Toc344647303"/>
      <w:bookmarkStart w:id="279" w:name="_Toc462226817"/>
      <w:bookmarkStart w:id="280" w:name="_Toc40975926"/>
      <w:r w:rsidRPr="005D642E">
        <w:rPr>
          <w:rtl/>
          <w:lang w:bidi="fa-IR"/>
        </w:rPr>
        <w:t>8</w:t>
      </w:r>
      <w:r>
        <w:rPr>
          <w:rtl/>
          <w:lang w:bidi="fa-IR"/>
        </w:rPr>
        <w:t xml:space="preserve"> </w:t>
      </w:r>
      <w:r w:rsidR="007642BC">
        <w:rPr>
          <w:rtl/>
          <w:lang w:bidi="fa-IR"/>
        </w:rPr>
        <w:t>-</w:t>
      </w:r>
      <w:r>
        <w:rPr>
          <w:rtl/>
          <w:lang w:bidi="fa-IR"/>
        </w:rPr>
        <w:t xml:space="preserve"> </w:t>
      </w:r>
      <w:r w:rsidRPr="005D642E">
        <w:rPr>
          <w:rtl/>
          <w:lang w:bidi="fa-IR"/>
        </w:rPr>
        <w:t>بَابُ ثَوَابِ عِيَادَةِ الْمَرِيضِ‌</w:t>
      </w:r>
      <w:bookmarkEnd w:id="278"/>
      <w:bookmarkEnd w:id="279"/>
      <w:bookmarkEnd w:id="280"/>
    </w:p>
    <w:p w:rsidR="00E3253D" w:rsidRPr="005D642E" w:rsidRDefault="00E3253D" w:rsidP="00E3253D">
      <w:pPr>
        <w:pStyle w:val="libNormal"/>
        <w:rPr>
          <w:rtl/>
          <w:lang w:bidi="fa-IR"/>
        </w:rPr>
      </w:pPr>
      <w:r w:rsidRPr="00944C87">
        <w:rPr>
          <w:rtl/>
        </w:rPr>
        <w:t>4279</w:t>
      </w:r>
      <w:r w:rsidRPr="00246318">
        <w:rPr>
          <w:rStyle w:val="libBold2Char"/>
          <w:rtl/>
        </w:rPr>
        <w:t xml:space="preserve"> / 1.</w:t>
      </w:r>
      <w:r w:rsidRPr="005D642E">
        <w:rPr>
          <w:rtl/>
          <w:lang w:bidi="fa-IR"/>
        </w:rPr>
        <w:t xml:space="preserve"> عِدَّةٌ مِنْ أَصْحَابِنَا ، عَنْ سَهْلِ بْنِ زِيَادٍ ، عَنِ ابْنِ فَضَّالٍ ، عَنْ عَلِيِّ بْنِ عُقْبَةَ ، عَنْ مُيَسِّرٍ ، قَالَ :</w:t>
      </w:r>
    </w:p>
    <w:p w:rsidR="00E3253D" w:rsidRPr="005D642E" w:rsidRDefault="00E3253D" w:rsidP="00E3253D">
      <w:pPr>
        <w:pStyle w:val="libNormal"/>
        <w:rPr>
          <w:rtl/>
          <w:lang w:bidi="fa-IR"/>
        </w:rPr>
      </w:pPr>
      <w:r w:rsidRPr="005D642E">
        <w:rPr>
          <w:rtl/>
          <w:lang w:bidi="fa-IR"/>
        </w:rPr>
        <w:t xml:space="preserve">سَمِعْتُ أَبَا جَعْفَرٍ </w:t>
      </w:r>
      <w:r w:rsidRPr="00AC51C5">
        <w:rPr>
          <w:rStyle w:val="libAlaemChar"/>
          <w:rtl/>
        </w:rPr>
        <w:t>عليه‌السلام</w:t>
      </w:r>
      <w:r w:rsidRPr="005D642E">
        <w:rPr>
          <w:rtl/>
          <w:lang w:bidi="fa-IR"/>
        </w:rPr>
        <w:t xml:space="preserve"> يَقُولُ : « مَنْ عَادَ امْرَأً مُسْلِماً فِي مَرَضِهِ ، صَلّى عَلَيْهِ يَوْمَئِذٍ سَبْعُونَ أَلْفَ مَلَكٍ ، إِنْ كَانَ صَبَاحاً حَتّى يُمْسُوا ، وَإِنْ كَانَ مَسَاءً حَتّى يُصْبِحُوا ، مَعَ أَنَّ لَهُ خَرِيفاً </w:t>
      </w:r>
      <w:r w:rsidRPr="007C12DB">
        <w:rPr>
          <w:rStyle w:val="libFootnotenumChar"/>
          <w:rtl/>
        </w:rPr>
        <w:t>(4)</w:t>
      </w:r>
      <w:r w:rsidRPr="005D642E">
        <w:rPr>
          <w:rtl/>
          <w:lang w:bidi="fa-IR"/>
        </w:rPr>
        <w:t xml:space="preserve"> فِي الْجَنَّةِ</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944C87">
        <w:rPr>
          <w:rtl/>
        </w:rPr>
        <w:t>4280</w:t>
      </w:r>
      <w:r w:rsidRPr="00246318">
        <w:rPr>
          <w:rStyle w:val="libBold2Char"/>
          <w:rtl/>
        </w:rPr>
        <w:t xml:space="preserve"> / 2.</w:t>
      </w:r>
      <w:r w:rsidRPr="005D642E">
        <w:rPr>
          <w:rtl/>
          <w:lang w:bidi="fa-IR"/>
        </w:rPr>
        <w:t xml:space="preserve"> مُحَمَّدُ بْنُ يَحْيى ، عَنْ أَحْمَدَ بْنِ مُحَمَّدِ بْنِ عِيسى ، عَنِ ابْنِ فَضَّالٍ ، عَنْ‌</w:t>
      </w:r>
    </w:p>
    <w:p w:rsidR="00E3253D" w:rsidRPr="005D642E" w:rsidRDefault="00E3253D" w:rsidP="00E3253D">
      <w:pPr>
        <w:pStyle w:val="libLine"/>
        <w:rPr>
          <w:rtl/>
          <w:lang w:bidi="fa-IR"/>
        </w:rPr>
      </w:pPr>
      <w:r w:rsidRPr="005D642E">
        <w:rPr>
          <w:rtl/>
          <w:lang w:bidi="fa-IR"/>
        </w:rPr>
        <w:t>__________________</w:t>
      </w:r>
    </w:p>
    <w:p w:rsidR="00E3253D" w:rsidRPr="005D642E" w:rsidRDefault="005A4258" w:rsidP="00E3253D">
      <w:pPr>
        <w:pStyle w:val="libFootnote0"/>
        <w:rPr>
          <w:rtl/>
          <w:lang w:bidi="fa-IR"/>
        </w:rPr>
      </w:pPr>
      <w:r>
        <w:rPr>
          <w:rFonts w:hint="cs"/>
          <w:rtl/>
        </w:rPr>
        <w:t xml:space="preserve">= </w:t>
      </w:r>
      <w:r w:rsidR="00E3253D" w:rsidRPr="005D642E">
        <w:rPr>
          <w:rtl/>
        </w:rPr>
        <w:t xml:space="preserve">سعد بن عبدالله ، وعبدالله بن جعفر الحميري ، ومحمّد بن يحيى العطّار وأحمد بن إدريس رضي الله عنهم ، عن يعقوب بن يزيد. راجع : </w:t>
      </w:r>
      <w:r w:rsidR="00E3253D" w:rsidRPr="002F4D34">
        <w:rPr>
          <w:rStyle w:val="libFootnoteBoldChar"/>
          <w:rtl/>
        </w:rPr>
        <w:t>الفقيه</w:t>
      </w:r>
      <w:r w:rsidR="00E3253D" w:rsidRPr="005D642E">
        <w:rPr>
          <w:rtl/>
        </w:rPr>
        <w:t xml:space="preserve"> ، ج 4 ، ص 532.</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ظ ، ى ، بث ، بخ ، بف ، جس</w:t>
      </w:r>
      <w:r w:rsidR="00E3253D">
        <w:rPr>
          <w:rtl/>
        </w:rPr>
        <w:t xml:space="preserve"> ».</w:t>
      </w:r>
      <w:r w:rsidR="00E3253D" w:rsidRPr="005D642E">
        <w:rPr>
          <w:rtl/>
        </w:rPr>
        <w:t xml:space="preserve"> وفي « بح ، بس » : « حصين</w:t>
      </w:r>
      <w:r w:rsidR="00E3253D">
        <w:rPr>
          <w:rtl/>
        </w:rPr>
        <w:t xml:space="preserve"> ».</w:t>
      </w:r>
      <w:r w:rsidR="00E3253D" w:rsidRPr="005D642E">
        <w:rPr>
          <w:rtl/>
        </w:rPr>
        <w:t xml:space="preserve"> وفي « جح » والمطبوع : « حفص</w:t>
      </w:r>
      <w:r w:rsidR="00E3253D">
        <w:rPr>
          <w:rtl/>
        </w:rPr>
        <w:t xml:space="preserve"> ».</w:t>
      </w:r>
      <w:r w:rsidR="00E3253D" w:rsidRPr="005D642E">
        <w:rPr>
          <w:rtl/>
        </w:rPr>
        <w:t xml:space="preserve"> وفي « جن » : « حسين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 + « موت</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24 ، ص 207 ، ح 23905.</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الخَريف » : فعيل بمعنى مفعول ، وهو الثمر المُجتنى ، أي ال</w:t>
      </w:r>
      <w:r w:rsidR="001D45E2">
        <w:rPr>
          <w:rFonts w:hint="cs"/>
          <w:rtl/>
        </w:rPr>
        <w:t>ـ</w:t>
      </w:r>
      <w:r w:rsidR="001D45E2">
        <w:rPr>
          <w:rtl/>
        </w:rPr>
        <w:t>مُتناوَل. قال العل</w:t>
      </w:r>
      <w:r w:rsidR="001D45E2">
        <w:rPr>
          <w:rFonts w:hint="cs"/>
          <w:rtl/>
        </w:rPr>
        <w:t>ّ</w:t>
      </w:r>
      <w:r w:rsidR="001D45E2">
        <w:rPr>
          <w:rtl/>
        </w:rPr>
        <w:t>ا</w:t>
      </w:r>
      <w:r w:rsidR="00E3253D" w:rsidRPr="005D642E">
        <w:rPr>
          <w:rtl/>
        </w:rPr>
        <w:t>مة المجلسي : « ولعلّ المراد هنا قطعة من الجنّة يخترف ويقتطع له ، كما يدلّ عليه الخبر الآتي. ويحتمل أن يكون تسميته خريفاً من باب تسمية المحلّ باسم الحالّ</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4 ، ص 1349 ؛ </w:t>
      </w:r>
      <w:r w:rsidR="00E3253D" w:rsidRPr="002F4D34">
        <w:rPr>
          <w:rStyle w:val="libFootnoteBoldChar"/>
          <w:rtl/>
        </w:rPr>
        <w:t>النهاية</w:t>
      </w:r>
      <w:r w:rsidR="00E3253D" w:rsidRPr="005D642E">
        <w:rPr>
          <w:rtl/>
        </w:rPr>
        <w:t xml:space="preserve"> ، ج 2 ، ص 24 ( خرف ) ؛ </w:t>
      </w:r>
      <w:r w:rsidR="00E3253D" w:rsidRPr="002F4D34">
        <w:rPr>
          <w:rStyle w:val="libFootnoteBoldChar"/>
          <w:rtl/>
        </w:rPr>
        <w:t>مرآة العقول</w:t>
      </w:r>
      <w:r w:rsidR="00E3253D" w:rsidRPr="005D642E">
        <w:rPr>
          <w:rtl/>
        </w:rPr>
        <w:t xml:space="preserve"> ، ج 13 ، ص 273.</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35521A">
        <w:rPr>
          <w:rStyle w:val="libFootnoteBoldChar"/>
          <w:rtl/>
        </w:rPr>
        <w:t>الأمالي للطوسي</w:t>
      </w:r>
      <w:r w:rsidR="00E3253D" w:rsidRPr="005D642E">
        <w:rPr>
          <w:rtl/>
        </w:rPr>
        <w:t xml:space="preserve"> ، ص 635 ، المجلس 31 ، ح 13 ، بسند آخر عن أميرالمؤمنين </w:t>
      </w:r>
      <w:r w:rsidR="00E3253D" w:rsidRPr="00393638">
        <w:rPr>
          <w:rStyle w:val="libFootnoteAlaemChar"/>
          <w:rtl/>
        </w:rPr>
        <w:t>عليه‌السلام</w:t>
      </w:r>
      <w:r w:rsidR="00E3253D" w:rsidRPr="005D642E">
        <w:rPr>
          <w:rtl/>
        </w:rPr>
        <w:t xml:space="preserve"> عن النبيّ </w:t>
      </w:r>
      <w:r w:rsidRPr="00393638">
        <w:rPr>
          <w:rStyle w:val="libFootnoteAlaemChar"/>
          <w:rtl/>
        </w:rPr>
        <w:t>صلى‌الله‌عليه‌وآله</w:t>
      </w:r>
      <w:r w:rsidR="00E3253D" w:rsidRPr="005D642E">
        <w:rPr>
          <w:rtl/>
        </w:rPr>
        <w:t xml:space="preserve"> ؛ وفيه ، نفس المجلس ، ح 14 ؛ وص 403 ، المجلس 14 ، ح 49 ، بسند آخر عن أميرالمؤمنين </w:t>
      </w:r>
      <w:r w:rsidR="00E3253D" w:rsidRPr="00393638">
        <w:rPr>
          <w:rStyle w:val="libFootnoteAlaemChar"/>
          <w:rtl/>
        </w:rPr>
        <w:t>عليه‌السلام</w:t>
      </w:r>
      <w:r w:rsidR="00E3253D" w:rsidRPr="005D642E">
        <w:rPr>
          <w:rtl/>
        </w:rPr>
        <w:t xml:space="preserve"> ، مع زيادة في أوّله ، وفي كلّها مع اختلاف يسير </w:t>
      </w:r>
      <w:r w:rsidR="00393638">
        <w:rPr>
          <w:rFonts w:hint="cs"/>
          <w:rtl/>
        </w:rPr>
        <w:t>.</w:t>
      </w:r>
      <w:r w:rsidR="00E3253D" w:rsidRPr="002F4D34">
        <w:rPr>
          <w:rStyle w:val="libFootnoteBoldChar"/>
          <w:rtl/>
        </w:rPr>
        <w:t>الوافي</w:t>
      </w:r>
      <w:r w:rsidR="00E3253D" w:rsidRPr="005D642E">
        <w:rPr>
          <w:rtl/>
        </w:rPr>
        <w:t xml:space="preserve"> ، ج 24 ، ص 223 ، ح 23933 ؛ </w:t>
      </w:r>
      <w:r w:rsidR="00E3253D" w:rsidRPr="002F4D34">
        <w:rPr>
          <w:rStyle w:val="libFootnoteBoldChar"/>
          <w:rtl/>
        </w:rPr>
        <w:t>الوسائل</w:t>
      </w:r>
      <w:r w:rsidR="00E3253D" w:rsidRPr="005D642E">
        <w:rPr>
          <w:rtl/>
        </w:rPr>
        <w:t xml:space="preserve"> ، ج 2 ، ص 419 ، ح 2522.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عَبْدِ اللهِ بْنِ بُكَيْرٍ ، عَنْ فُضَيْلِ بْنِ يَسَارٍ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عَادَ مَرِيضاً ، شَيَّعَهُ سَبْعُونَ أَلْفَ مَلَكٍ يَسْتَغْفِرُونَ لَهُ حَتّى يَرْجِعَ إِلى مَنْزِلِهِ</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944C87">
        <w:rPr>
          <w:rtl/>
        </w:rPr>
        <w:t>4281</w:t>
      </w:r>
      <w:r w:rsidRPr="00246318">
        <w:rPr>
          <w:rStyle w:val="libBold2Char"/>
          <w:rtl/>
        </w:rPr>
        <w:t xml:space="preserve"> / 3.</w:t>
      </w:r>
      <w:r w:rsidRPr="005D642E">
        <w:rPr>
          <w:rtl/>
          <w:lang w:bidi="fa-IR"/>
        </w:rPr>
        <w:t xml:space="preserve"> عَنْهُ ، عَنْ أَحْمَدَ </w:t>
      </w:r>
      <w:r w:rsidRPr="007C12DB">
        <w:rPr>
          <w:rStyle w:val="libFootnotenumChar"/>
          <w:rtl/>
        </w:rPr>
        <w:t>(2)</w:t>
      </w:r>
      <w:r w:rsidRPr="005D642E">
        <w:rPr>
          <w:rtl/>
          <w:lang w:bidi="fa-IR"/>
        </w:rPr>
        <w:t xml:space="preserve"> ، عَنِ ابْنِ فَضَّالٍ ، عَنْ مُحَمَّدِ بْنِ الْفُضَيْلِ ، عَنْ أَبِي حَمْزَةَ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أَيُّمَا مُؤْمِنٍ عَادَ مُؤْمِناً ، خَاضَ </w:t>
      </w:r>
      <w:r w:rsidRPr="007C12DB">
        <w:rPr>
          <w:rStyle w:val="libFootnotenumChar"/>
          <w:rtl/>
        </w:rPr>
        <w:t>(3)</w:t>
      </w:r>
      <w:r w:rsidRPr="005D642E">
        <w:rPr>
          <w:rtl/>
          <w:lang w:bidi="fa-IR"/>
        </w:rPr>
        <w:t xml:space="preserve"> الرَّحْمَةَ خَوْضاً ، فَإِذَا جَلَسَ ، غَمَرَتْهُ الرَّحْمَةُ ؛ فَإِذَا انْصَرَفَ ، وَكَّلَ اللهُ بِهِ سَبْعِينَ أَلْفَ مَلَكٍ يَسْتَغْفِرُونَ لَهُ ، وَيَسْتَرْحِمُونَ </w:t>
      </w:r>
      <w:r w:rsidRPr="007C12DB">
        <w:rPr>
          <w:rStyle w:val="libFootnotenumChar"/>
          <w:rtl/>
        </w:rPr>
        <w:t>(4)</w:t>
      </w:r>
      <w:r w:rsidRPr="005D642E">
        <w:rPr>
          <w:rtl/>
          <w:lang w:bidi="fa-IR"/>
        </w:rPr>
        <w:t xml:space="preserve"> عَلَيْهِ ، وَيَقُولُونَ : طِبْتَ وَطَابَتْ لَكَ الْجَنَّةُ إِلى تِلْكَ السَّاعَةِ مِنْ غَدٍ ، وَكَانَ لَهُ</w:t>
      </w:r>
      <w:r>
        <w:rPr>
          <w:rtl/>
          <w:lang w:bidi="fa-IR"/>
        </w:rPr>
        <w:t xml:space="preserve"> </w:t>
      </w:r>
      <w:r w:rsidR="007642BC">
        <w:rPr>
          <w:rtl/>
          <w:lang w:bidi="fa-IR"/>
        </w:rPr>
        <w:t>-</w:t>
      </w:r>
      <w:r>
        <w:rPr>
          <w:rtl/>
          <w:lang w:bidi="fa-IR"/>
        </w:rPr>
        <w:t xml:space="preserve"> </w:t>
      </w:r>
      <w:r w:rsidRPr="005D642E">
        <w:rPr>
          <w:rtl/>
          <w:lang w:bidi="fa-IR"/>
        </w:rPr>
        <w:t xml:space="preserve">يَا أَبَا حَمْزَةَ </w:t>
      </w:r>
      <w:r w:rsidRPr="007C12DB">
        <w:rPr>
          <w:rStyle w:val="libFootnotenumChar"/>
          <w:rtl/>
        </w:rPr>
        <w:t>(5)</w:t>
      </w:r>
      <w:r>
        <w:rPr>
          <w:rtl/>
          <w:lang w:bidi="fa-IR"/>
        </w:rPr>
        <w:t xml:space="preserve"> </w:t>
      </w:r>
      <w:r w:rsidR="007642BC">
        <w:rPr>
          <w:rtl/>
          <w:lang w:bidi="fa-IR"/>
        </w:rPr>
        <w:t>-</w:t>
      </w:r>
      <w:r>
        <w:rPr>
          <w:rtl/>
          <w:lang w:bidi="fa-IR"/>
        </w:rPr>
        <w:t xml:space="preserve"> </w:t>
      </w:r>
      <w:r w:rsidRPr="005D642E">
        <w:rPr>
          <w:rtl/>
          <w:lang w:bidi="fa-IR"/>
        </w:rPr>
        <w:t>خَرِيفٌ فِي الْجَنَّةِ</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 وَمَا </w:t>
      </w:r>
      <w:r w:rsidRPr="007C12DB">
        <w:rPr>
          <w:rStyle w:val="libFootnotenumChar"/>
          <w:rtl/>
        </w:rPr>
        <w:t>(6)</w:t>
      </w:r>
      <w:r w:rsidRPr="005D642E">
        <w:rPr>
          <w:rtl/>
          <w:lang w:bidi="fa-IR"/>
        </w:rPr>
        <w:t xml:space="preserve"> الْخَرِيفُ جُعِلْتُ فِدَاكَ</w:t>
      </w:r>
      <w:r>
        <w:rPr>
          <w:rtl/>
          <w:lang w:bidi="fa-IR"/>
        </w:rPr>
        <w:t>؟</w:t>
      </w:r>
    </w:p>
    <w:p w:rsidR="00E3253D" w:rsidRPr="005D642E" w:rsidRDefault="00E3253D" w:rsidP="00E3253D">
      <w:pPr>
        <w:pStyle w:val="libNormal"/>
        <w:rPr>
          <w:rtl/>
          <w:lang w:bidi="fa-IR"/>
        </w:rPr>
      </w:pPr>
      <w:r w:rsidRPr="005D642E">
        <w:rPr>
          <w:rtl/>
          <w:lang w:bidi="fa-IR"/>
        </w:rPr>
        <w:t>قَالَ : « زَاوِيَةٌ فِي الْجَنَّةِ يَسِيرُ الرَّاكِبُ فِيهَا أَرْبَعِينَ عَاماً</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944C87">
        <w:rPr>
          <w:rtl/>
        </w:rPr>
        <w:t>4282</w:t>
      </w:r>
      <w:r w:rsidRPr="00246318">
        <w:rPr>
          <w:rStyle w:val="libBold2Char"/>
          <w:rtl/>
        </w:rPr>
        <w:t xml:space="preserve"> / 4.</w:t>
      </w:r>
      <w:r w:rsidRPr="005D642E">
        <w:rPr>
          <w:rtl/>
          <w:lang w:bidi="fa-IR"/>
        </w:rPr>
        <w:t xml:space="preserve"> عَلِيُّ بْنُ إِبْرَاهِيمَ ، عَنْ أَبِيهِ ، عَنِ ابْنِ مَحْبُوبٍ ، عَنْ دَاوُدَ الرَّقِّيِّ ، عَنْ رَجُلٍ مِنْ أَصْحَابِهِ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المؤمن</w:t>
      </w:r>
      <w:r w:rsidR="00E3253D" w:rsidRPr="005D642E">
        <w:rPr>
          <w:rtl/>
        </w:rPr>
        <w:t xml:space="preserve"> ، ص 59 ، ح 149 ، مرسلاً عن أميرالمؤمنين </w:t>
      </w:r>
      <w:r w:rsidR="00E3253D" w:rsidRPr="00393638">
        <w:rPr>
          <w:rStyle w:val="libFootnoteAlaemChar"/>
          <w:rtl/>
        </w:rPr>
        <w:t>عليه‌السلام</w:t>
      </w:r>
      <w:r w:rsidR="00E3253D" w:rsidRPr="005D642E">
        <w:rPr>
          <w:rtl/>
        </w:rPr>
        <w:t xml:space="preserve"> ، مع اختلاف يسير وزيادة في أوّله </w:t>
      </w:r>
      <w:r w:rsidR="00393638">
        <w:rPr>
          <w:rFonts w:hint="cs"/>
          <w:rtl/>
        </w:rPr>
        <w:t>.</w:t>
      </w:r>
      <w:r w:rsidR="00E3253D" w:rsidRPr="002F4D34">
        <w:rPr>
          <w:rStyle w:val="libFootnoteBoldChar"/>
          <w:rtl/>
        </w:rPr>
        <w:t>الوافي</w:t>
      </w:r>
      <w:r w:rsidR="00E3253D" w:rsidRPr="005D642E">
        <w:rPr>
          <w:rtl/>
        </w:rPr>
        <w:t xml:space="preserve"> ، ج 24 ، ص 224 ، ح 23934 ؛ </w:t>
      </w:r>
      <w:r w:rsidR="00E3253D" w:rsidRPr="002F4D34">
        <w:rPr>
          <w:rStyle w:val="libFootnoteBoldChar"/>
          <w:rtl/>
        </w:rPr>
        <w:t>الوسائل</w:t>
      </w:r>
      <w:r w:rsidR="00E3253D" w:rsidRPr="005D642E">
        <w:rPr>
          <w:rtl/>
        </w:rPr>
        <w:t xml:space="preserve"> ، ج 2 ، ص 415 ، ح 2510.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ظ ، ى ، بح ، بخ ، بس ، بف ، جس ، جن</w:t>
      </w:r>
      <w:r w:rsidR="00E3253D">
        <w:rPr>
          <w:rtl/>
        </w:rPr>
        <w:t xml:space="preserve"> ».</w:t>
      </w:r>
      <w:r w:rsidR="00E3253D" w:rsidRPr="005D642E">
        <w:rPr>
          <w:rtl/>
        </w:rPr>
        <w:t xml:space="preserve"> وفي « بث ، جح » والمطبوع وحاشية « بح ، بخ » : + « بن محمّد</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التي قوبلت‌والوسائل والبحار والمؤمن ، ص 61. وفي « بح » والمطبوع : + « في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93638" w:rsidTr="00393638">
        <w:tc>
          <w:tcPr>
            <w:tcW w:w="4006" w:type="dxa"/>
          </w:tcPr>
          <w:p w:rsidR="00393638" w:rsidRDefault="00393638" w:rsidP="00E3253D">
            <w:pPr>
              <w:pStyle w:val="libFootnote0"/>
              <w:rPr>
                <w:rStyle w:val="libFootnote0Char"/>
                <w:rtl/>
              </w:rPr>
            </w:pPr>
            <w:r w:rsidRPr="0042621E">
              <w:rPr>
                <w:rStyle w:val="libFootnote0Char"/>
                <w:rtl/>
              </w:rPr>
              <w:t>(4).</w:t>
            </w:r>
            <w:r w:rsidRPr="005D642E">
              <w:rPr>
                <w:rtl/>
              </w:rPr>
              <w:t xml:space="preserve"> في حاشية « بث » والبحار : « يترحّمون</w:t>
            </w:r>
            <w:r>
              <w:rPr>
                <w:rtl/>
              </w:rPr>
              <w:t xml:space="preserve"> ».</w:t>
            </w:r>
          </w:p>
        </w:tc>
        <w:tc>
          <w:tcPr>
            <w:tcW w:w="4006" w:type="dxa"/>
          </w:tcPr>
          <w:p w:rsidR="00393638" w:rsidRDefault="00393638" w:rsidP="00E3253D">
            <w:pPr>
              <w:pStyle w:val="libFootnote0"/>
              <w:rPr>
                <w:rStyle w:val="libFootnote0Char"/>
                <w:rtl/>
              </w:rPr>
            </w:pPr>
            <w:r w:rsidRPr="0042621E">
              <w:rPr>
                <w:rStyle w:val="libFootnote0Char"/>
                <w:rtl/>
              </w:rPr>
              <w:t>(5).</w:t>
            </w:r>
            <w:r w:rsidRPr="005D642E">
              <w:rPr>
                <w:rtl/>
              </w:rPr>
              <w:t xml:space="preserve"> في الوافي : « يا باحمزة</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غ ، ى ، بث ، بخ ، بس ، بف ، جس ، جن » والبحار : « ما » بدون الواو.</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35521A">
        <w:rPr>
          <w:rStyle w:val="libFootnoteBoldChar"/>
          <w:rtl/>
        </w:rPr>
        <w:t>الأمالي للطوسي</w:t>
      </w:r>
      <w:r w:rsidR="00E3253D" w:rsidRPr="005D642E">
        <w:rPr>
          <w:rtl/>
        </w:rPr>
        <w:t xml:space="preserve"> ، ص 182 ، المجلس 7 ، ضمن ح 8 ، بسند آخر عن رسول الله </w:t>
      </w:r>
      <w:r w:rsidRPr="00393638">
        <w:rPr>
          <w:rStyle w:val="libFootnoteAlaemChar"/>
          <w:rtl/>
        </w:rPr>
        <w:t>صلى‌الله‌عليه‌وآله</w:t>
      </w:r>
      <w:r w:rsidR="00E3253D" w:rsidRPr="005D642E">
        <w:rPr>
          <w:rtl/>
        </w:rPr>
        <w:t xml:space="preserve"> ، إلى قوله : « غمرته الرحمة</w:t>
      </w:r>
      <w:r w:rsidR="00E3253D">
        <w:rPr>
          <w:rtl/>
        </w:rPr>
        <w:t xml:space="preserve"> ».</w:t>
      </w:r>
      <w:r w:rsidR="00E3253D" w:rsidRPr="005D642E">
        <w:rPr>
          <w:rtl/>
        </w:rPr>
        <w:t xml:space="preserve"> </w:t>
      </w:r>
      <w:r w:rsidR="00E3253D" w:rsidRPr="002F4D34">
        <w:rPr>
          <w:rStyle w:val="libFootnoteBoldChar"/>
          <w:rtl/>
        </w:rPr>
        <w:t>المؤمن</w:t>
      </w:r>
      <w:r w:rsidR="00E3253D" w:rsidRPr="005D642E">
        <w:rPr>
          <w:rtl/>
        </w:rPr>
        <w:t xml:space="preserve"> ، ص 61 ، ح 158 ، مرسلاً ، مع زيادة في أوّله. </w:t>
      </w:r>
      <w:r w:rsidR="00E3253D" w:rsidRPr="002F4D34">
        <w:rPr>
          <w:rStyle w:val="libFootnoteBoldChar"/>
          <w:rtl/>
        </w:rPr>
        <w:t>وفيه</w:t>
      </w:r>
      <w:r w:rsidR="00E3253D" w:rsidRPr="005D642E">
        <w:rPr>
          <w:rtl/>
        </w:rPr>
        <w:t xml:space="preserve"> ، ص 60 ، ح 154 ، مرسلاً عن أبي عبدالله </w:t>
      </w:r>
      <w:r w:rsidR="00E3253D" w:rsidRPr="00393638">
        <w:rPr>
          <w:rStyle w:val="libFootnoteAlaemChar"/>
          <w:rtl/>
        </w:rPr>
        <w:t>عليه‌السلام</w:t>
      </w:r>
      <w:r w:rsidR="00E3253D" w:rsidRPr="005D642E">
        <w:rPr>
          <w:rtl/>
        </w:rPr>
        <w:t xml:space="preserve"> عن رسول الله </w:t>
      </w:r>
      <w:r w:rsidRPr="00393638">
        <w:rPr>
          <w:rStyle w:val="libFootnoteAlaemChar"/>
          <w:rtl/>
        </w:rPr>
        <w:t>صلى‌الله‌عليه‌وآله</w:t>
      </w:r>
      <w:r w:rsidR="00E3253D" w:rsidRPr="005D642E">
        <w:rPr>
          <w:rtl/>
        </w:rPr>
        <w:t xml:space="preserve"> ، إلى قوله : « إلى تلك الساعة من غد » وفي كلّها مع اختلاف يسير. راجع : </w:t>
      </w:r>
      <w:r w:rsidR="00E3253D" w:rsidRPr="002F4D34">
        <w:rPr>
          <w:rStyle w:val="libFootnoteBoldChar"/>
          <w:rtl/>
        </w:rPr>
        <w:t>الكافي</w:t>
      </w:r>
      <w:r w:rsidR="00E3253D" w:rsidRPr="005D642E">
        <w:rPr>
          <w:rtl/>
        </w:rPr>
        <w:t xml:space="preserve"> ، كتاب الإيمان والكفر ، باب زيارة الإخوان ، ح 2082 ؛ و</w:t>
      </w:r>
      <w:r w:rsidR="00E3253D" w:rsidRPr="002F4D34">
        <w:rPr>
          <w:rStyle w:val="libFootnoteBoldChar"/>
          <w:rtl/>
        </w:rPr>
        <w:t>المؤمن</w:t>
      </w:r>
      <w:r w:rsidR="00E3253D" w:rsidRPr="005D642E">
        <w:rPr>
          <w:rtl/>
        </w:rPr>
        <w:t xml:space="preserve"> ، ص 58 ، ح 146 </w:t>
      </w:r>
      <w:r w:rsidR="00DE20BC">
        <w:rPr>
          <w:rFonts w:hint="cs"/>
          <w:rtl/>
        </w:rPr>
        <w:t>.</w:t>
      </w:r>
      <w:r w:rsidR="00E3253D" w:rsidRPr="002F4D34">
        <w:rPr>
          <w:rStyle w:val="libFootnoteBoldChar"/>
          <w:rtl/>
        </w:rPr>
        <w:t>الوافي</w:t>
      </w:r>
      <w:r w:rsidR="00E3253D" w:rsidRPr="005D642E">
        <w:rPr>
          <w:rtl/>
        </w:rPr>
        <w:t xml:space="preserve"> ، ج 24 ، ص 223 ، ح 23932 ؛ </w:t>
      </w:r>
      <w:r w:rsidR="00E3253D" w:rsidRPr="002F4D34">
        <w:rPr>
          <w:rStyle w:val="libFootnoteBoldChar"/>
          <w:rtl/>
        </w:rPr>
        <w:t>الوسائل</w:t>
      </w:r>
      <w:r w:rsidR="00E3253D" w:rsidRPr="005D642E">
        <w:rPr>
          <w:rtl/>
        </w:rPr>
        <w:t xml:space="preserve"> ، ج 2 ، ص 415 ، ح 2511 ؛ </w:t>
      </w:r>
      <w:r w:rsidR="00E3253D" w:rsidRPr="002F4D34">
        <w:rPr>
          <w:rStyle w:val="libFootnoteBoldChar"/>
          <w:rtl/>
        </w:rPr>
        <w:t>البحار</w:t>
      </w:r>
      <w:r w:rsidR="00E3253D" w:rsidRPr="005D642E">
        <w:rPr>
          <w:rtl/>
        </w:rPr>
        <w:t xml:space="preserve"> ، ج 81 ، ص 216 ، ذيل ح 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عَنْ أَبِي عَبْدِ اللهِ </w:t>
      </w:r>
      <w:r w:rsidRPr="00AC51C5">
        <w:rPr>
          <w:rStyle w:val="libAlaemChar"/>
          <w:rtl/>
        </w:rPr>
        <w:t>عليه‌السلام</w:t>
      </w:r>
      <w:r w:rsidRPr="005D642E">
        <w:rPr>
          <w:rtl/>
          <w:lang w:bidi="fa-IR"/>
        </w:rPr>
        <w:t xml:space="preserve"> ، قَالَ : « أَيُّمَا </w:t>
      </w:r>
      <w:r w:rsidRPr="007C12DB">
        <w:rPr>
          <w:rStyle w:val="libFootnotenumChar"/>
          <w:rtl/>
        </w:rPr>
        <w:t>(1)</w:t>
      </w:r>
      <w:r w:rsidRPr="005D642E">
        <w:rPr>
          <w:rtl/>
          <w:lang w:bidi="fa-IR"/>
        </w:rPr>
        <w:t xml:space="preserve"> مُؤْمِنٍ عَادَ مُؤْمِناً فِي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فِي مَرَضِهِ ، وَكَّلَ اللهُ بِهِ مَلَكاً مِنَ الْعُوَّادِ يَعُودُهُ فِي قَبْرِهِ ، وَيَسْتَغْفِرُ لَهُ إِلى يَوْمِ الْقِيَامَةِ</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944C87">
        <w:rPr>
          <w:rtl/>
        </w:rPr>
        <w:t>4283</w:t>
      </w:r>
      <w:r w:rsidRPr="00246318">
        <w:rPr>
          <w:rStyle w:val="libBold2Char"/>
          <w:rtl/>
        </w:rPr>
        <w:t xml:space="preserve"> / 5.</w:t>
      </w:r>
      <w:r w:rsidRPr="005D642E">
        <w:rPr>
          <w:rtl/>
          <w:lang w:bidi="fa-IR"/>
        </w:rPr>
        <w:t xml:space="preserve"> عِدَّةٌ مِنْ أَصْحَابِنَا ، عَنْ أَحْمَدَ بْنِ أَبِي عَبْدِ اللهِ </w:t>
      </w:r>
      <w:r w:rsidRPr="007C12DB">
        <w:rPr>
          <w:rStyle w:val="libFootnotenumChar"/>
          <w:rtl/>
        </w:rPr>
        <w:t>(3)</w:t>
      </w:r>
      <w:r w:rsidRPr="005D642E">
        <w:rPr>
          <w:rtl/>
          <w:lang w:bidi="fa-IR"/>
        </w:rPr>
        <w:t xml:space="preserve"> ، عَنْ عَبْدِ الرَّحْمنِ بْنِ أَبِي نَجْرَانَ ، عَنْ صَفْوَانَ الْجَمَّالِ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عَادَ مَرِيضاً مِنَ الْمُسْلِمِينَ ، وَكَّلَ اللهُ بِهِ أَبَداً سَبْعِينَ أَلْفاً مِنَ الْمَلَائِكَةِ يَغْشَوْنَ رَحْلَهُ </w:t>
      </w:r>
      <w:r w:rsidRPr="007C12DB">
        <w:rPr>
          <w:rStyle w:val="libFootnotenumChar"/>
          <w:rtl/>
        </w:rPr>
        <w:t>(4)</w:t>
      </w:r>
      <w:r w:rsidRPr="005D642E">
        <w:rPr>
          <w:rtl/>
          <w:lang w:bidi="fa-IR"/>
        </w:rPr>
        <w:t xml:space="preserve"> ، وَيُسَبِّحُونَ </w:t>
      </w:r>
      <w:r w:rsidRPr="007C12DB">
        <w:rPr>
          <w:rStyle w:val="libFootnotenumChar"/>
          <w:rtl/>
        </w:rPr>
        <w:t>(5)</w:t>
      </w:r>
      <w:r w:rsidRPr="005D642E">
        <w:rPr>
          <w:rtl/>
          <w:lang w:bidi="fa-IR"/>
        </w:rPr>
        <w:t xml:space="preserve"> فِيهِ ، وَيُقَدِّسُونَ ، وَيُهَلِّلُونَ ، وَيُكَبِّرُونَ إِلى يَوْمِ الْقِيَامَةِ ، نِصْفُ صَلَاتِهِمْ </w:t>
      </w:r>
      <w:r w:rsidRPr="007C12DB">
        <w:rPr>
          <w:rStyle w:val="libFootnotenumChar"/>
          <w:rtl/>
        </w:rPr>
        <w:t>(6)</w:t>
      </w:r>
      <w:r w:rsidRPr="005D642E">
        <w:rPr>
          <w:rtl/>
          <w:lang w:bidi="fa-IR"/>
        </w:rPr>
        <w:t xml:space="preserve"> لِعَائِدِ الْمَرِيضِ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944C87">
        <w:rPr>
          <w:rtl/>
        </w:rPr>
        <w:t>4284</w:t>
      </w:r>
      <w:r w:rsidRPr="00246318">
        <w:rPr>
          <w:rStyle w:val="libBold2Char"/>
          <w:rtl/>
        </w:rPr>
        <w:t xml:space="preserve"> / 6.</w:t>
      </w:r>
      <w:r w:rsidRPr="005D642E">
        <w:rPr>
          <w:rtl/>
          <w:lang w:bidi="fa-IR"/>
        </w:rPr>
        <w:t xml:space="preserve"> عِدَّةٌ مِنْ أَصْحَابِنَا ، عَنْ سَهْلِ بْنِ زِيَادٍ ، عَنِ ابْنِ مَحْبُوبٍ ، عَنْ وَهْبِ </w:t>
      </w:r>
      <w:r w:rsidRPr="007C12DB">
        <w:rPr>
          <w:rStyle w:val="libFootnotenumChar"/>
          <w:rtl/>
        </w:rPr>
        <w:t>(9)</w:t>
      </w:r>
      <w:r w:rsidRPr="005D642E">
        <w:rPr>
          <w:rtl/>
          <w:lang w:bidi="fa-IR"/>
        </w:rPr>
        <w:t xml:space="preserve"> بْنِ عَبْدِ رَبِّهِ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أَيُّمَا مُؤْمِنٍ عَادَ مُؤْمِناً مَرِيضاً </w:t>
      </w:r>
      <w:r w:rsidRPr="007C12DB">
        <w:rPr>
          <w:rStyle w:val="libFootnotenumChar"/>
          <w:rtl/>
        </w:rPr>
        <w:t>(10)</w:t>
      </w:r>
      <w:r w:rsidRPr="005D642E">
        <w:rPr>
          <w:rtl/>
          <w:lang w:bidi="fa-IR"/>
        </w:rPr>
        <w:t xml:space="preserve"> فِي مَرَضِهِ حِينَ‌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ى ، بث ، بح ، بس ، جح ، جس ، جن » وحاشية « بخ » والوسائل : « أيّ</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ثواب الأعمال</w:t>
      </w:r>
      <w:r w:rsidR="00E3253D" w:rsidRPr="005D642E">
        <w:rPr>
          <w:rtl/>
        </w:rPr>
        <w:t xml:space="preserve"> ، ص 345 ، ضمن الحديث الطويل 1 ، بسند آخر عن رسول‌الله </w:t>
      </w:r>
      <w:r w:rsidRPr="001C0BD2">
        <w:rPr>
          <w:rStyle w:val="libFootnoteAlaemChar"/>
          <w:rtl/>
        </w:rPr>
        <w:t>صلى‌الله‌عليه‌وآله</w:t>
      </w:r>
      <w:r w:rsidR="00E3253D" w:rsidRPr="005D642E">
        <w:rPr>
          <w:rtl/>
        </w:rPr>
        <w:t xml:space="preserve"> ، مع اختلاف يسير </w:t>
      </w:r>
      <w:r w:rsidR="001C0BD2">
        <w:rPr>
          <w:rFonts w:hint="cs"/>
          <w:rtl/>
        </w:rPr>
        <w:t>.</w:t>
      </w:r>
      <w:r w:rsidR="00E3253D" w:rsidRPr="002F4D34">
        <w:rPr>
          <w:rStyle w:val="libFootnoteBoldChar"/>
          <w:rtl/>
        </w:rPr>
        <w:t>الوافي</w:t>
      </w:r>
      <w:r w:rsidR="00E3253D" w:rsidRPr="005D642E">
        <w:rPr>
          <w:rtl/>
        </w:rPr>
        <w:t xml:space="preserve"> ، ج 24 ، ص 224 ، ح 23935 ؛ </w:t>
      </w:r>
      <w:r w:rsidR="00E3253D" w:rsidRPr="002F4D34">
        <w:rPr>
          <w:rStyle w:val="libFootnoteBoldChar"/>
          <w:rtl/>
        </w:rPr>
        <w:t>الوسائل</w:t>
      </w:r>
      <w:r w:rsidR="00E3253D" w:rsidRPr="005D642E">
        <w:rPr>
          <w:rtl/>
        </w:rPr>
        <w:t xml:space="preserve"> ، ج 2 ، ص 415 ، ح 2512.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 « أحمد بن محمّد أبي عبدالله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يغشون رحله » ، أي يجيئون منزله ومسكنه وداره. راجع : </w:t>
      </w:r>
      <w:r w:rsidR="00E3253D" w:rsidRPr="002F4D34">
        <w:rPr>
          <w:rStyle w:val="libFootnoteBoldChar"/>
          <w:rtl/>
        </w:rPr>
        <w:t>الصحاح</w:t>
      </w:r>
      <w:r w:rsidR="00E3253D" w:rsidRPr="005D642E">
        <w:rPr>
          <w:rtl/>
        </w:rPr>
        <w:t xml:space="preserve"> ، ج 6 ، ص 2447 ( غشا ) ؛ </w:t>
      </w:r>
      <w:r w:rsidR="00E3253D" w:rsidRPr="002F4D34">
        <w:rPr>
          <w:rStyle w:val="libFootnoteBoldChar"/>
          <w:rtl/>
        </w:rPr>
        <w:t>النهاية</w:t>
      </w:r>
      <w:r w:rsidR="00E3253D" w:rsidRPr="005D642E">
        <w:rPr>
          <w:rtl/>
        </w:rPr>
        <w:t xml:space="preserve"> ، ج 2 ، ص 209 ( رحل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بث ، بخ ، بف ، جس ، جن » </w:t>
      </w:r>
      <w:r w:rsidR="000D749A" w:rsidRPr="000D749A">
        <w:rPr>
          <w:rStyle w:val="libFootnoteBoldChar"/>
          <w:rtl/>
        </w:rPr>
        <w:t>والوافي</w:t>
      </w:r>
      <w:r w:rsidR="00E3253D" w:rsidRPr="005D642E">
        <w:rPr>
          <w:rtl/>
        </w:rPr>
        <w:t xml:space="preserve"> : « يسبّحون » بدون الواو.</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صلاتهم ، أي ذكرهم وعبادتهم</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275 : « قوله </w:t>
      </w:r>
      <w:r w:rsidR="00E3253D" w:rsidRPr="001C0BD2">
        <w:rPr>
          <w:rStyle w:val="libFootnoteAlaemChar"/>
          <w:rtl/>
        </w:rPr>
        <w:t>عليه‌السلام</w:t>
      </w:r>
      <w:r w:rsidR="00E3253D" w:rsidRPr="005D642E">
        <w:rPr>
          <w:rtl/>
        </w:rPr>
        <w:t xml:space="preserve"> : صلاتهم ، أي ذكرهم وتسبيحهم ؛ لأنّه مكان صلواتهم أو استغفارهم ودعائهم</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بح » وحاشية « غ » : « المرضى</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24 ، ص 224 ، ح 23936 ؛ </w:t>
      </w:r>
      <w:r w:rsidR="00E3253D" w:rsidRPr="002F4D34">
        <w:rPr>
          <w:rStyle w:val="libFootnoteBoldChar"/>
          <w:rtl/>
        </w:rPr>
        <w:t>الوسائل</w:t>
      </w:r>
      <w:r w:rsidR="00E3253D" w:rsidRPr="005D642E">
        <w:rPr>
          <w:rtl/>
        </w:rPr>
        <w:t xml:space="preserve"> ، ج 2 ، ص 414 ، ح 2509 ؛ </w:t>
      </w:r>
      <w:r w:rsidR="00E3253D" w:rsidRPr="002F4D34">
        <w:rPr>
          <w:rStyle w:val="libFootnoteBoldChar"/>
          <w:rtl/>
        </w:rPr>
        <w:t>البحار</w:t>
      </w:r>
      <w:r w:rsidR="00E3253D" w:rsidRPr="005D642E">
        <w:rPr>
          <w:rtl/>
        </w:rPr>
        <w:t xml:space="preserve"> ، ج 59 ، ص 187 ، ح 36.</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ى ، بث ، بخ ، بس ، بف ، جح ، جن » : « وهيب</w:t>
      </w:r>
      <w:r w:rsidR="00E3253D">
        <w:rPr>
          <w:rtl/>
        </w:rPr>
        <w:t xml:space="preserve"> ».</w:t>
      </w:r>
      <w:r w:rsidR="00E3253D" w:rsidRPr="005D642E">
        <w:rPr>
          <w:rtl/>
        </w:rPr>
        <w:t xml:space="preserve"> وهو سهو ؛ فإنّ المذكور في كتب الرجال هو وهب بن‌عبد ربّه ، أخو شهاب وعبدالخالق ابني عبد ربّه. ولوهبٍ هذا كتاب رواه عنه الحسن بن محبوب. راجع : </w:t>
      </w:r>
      <w:r w:rsidR="00E3253D" w:rsidRPr="002F4D34">
        <w:rPr>
          <w:rStyle w:val="libFootnoteBoldChar"/>
          <w:rtl/>
        </w:rPr>
        <w:t>رجال النجاشي</w:t>
      </w:r>
      <w:r w:rsidR="00E3253D" w:rsidRPr="005D642E">
        <w:rPr>
          <w:rtl/>
        </w:rPr>
        <w:t xml:space="preserve"> ، ص 430 ، الرقم 1156 ؛ </w:t>
      </w:r>
      <w:r w:rsidR="0059794D" w:rsidRPr="0059794D">
        <w:rPr>
          <w:rStyle w:val="libFootnoteBoldChar"/>
          <w:rtl/>
        </w:rPr>
        <w:t>الفهرست للطوسي</w:t>
      </w:r>
      <w:r w:rsidR="00E3253D" w:rsidRPr="005D642E">
        <w:rPr>
          <w:rtl/>
        </w:rPr>
        <w:t xml:space="preserve"> ، ص 487 ، الرقم 777.</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مريضاً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944C87">
        <w:rPr>
          <w:rtl/>
        </w:rPr>
        <w:lastRenderedPageBreak/>
        <w:t xml:space="preserve">يُصْبِحُ </w:t>
      </w:r>
      <w:r w:rsidRPr="005D642E">
        <w:rPr>
          <w:rtl/>
          <w:lang w:bidi="fa-IR"/>
        </w:rPr>
        <w:t xml:space="preserve">، شَيَّعَهُ سَبْعُونَ أَلْفَ مَلَكٍ ، فَإِذَا </w:t>
      </w:r>
      <w:r w:rsidRPr="007C12DB">
        <w:rPr>
          <w:rStyle w:val="libFootnotenumChar"/>
          <w:rtl/>
        </w:rPr>
        <w:t>(1)</w:t>
      </w:r>
      <w:r w:rsidRPr="005D642E">
        <w:rPr>
          <w:rtl/>
          <w:lang w:bidi="fa-IR"/>
        </w:rPr>
        <w:t xml:space="preserve"> قَعَدَ غَمَرَتْهُ الرَّحْمَةُ ، وَاسْتَغْفَرُوا </w:t>
      </w:r>
      <w:r w:rsidRPr="007C12DB">
        <w:rPr>
          <w:rStyle w:val="libFootnotenumChar"/>
          <w:rtl/>
        </w:rPr>
        <w:t>(2)</w:t>
      </w:r>
      <w:r w:rsidRPr="005D642E">
        <w:rPr>
          <w:rtl/>
          <w:lang w:bidi="fa-IR"/>
        </w:rPr>
        <w:t xml:space="preserve">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لَهُ </w:t>
      </w:r>
      <w:r w:rsidRPr="007C12DB">
        <w:rPr>
          <w:rStyle w:val="libFootnotenumChar"/>
          <w:rtl/>
        </w:rPr>
        <w:t>(3)</w:t>
      </w:r>
      <w:r w:rsidRPr="005D642E">
        <w:rPr>
          <w:rtl/>
          <w:lang w:bidi="fa-IR"/>
        </w:rPr>
        <w:t xml:space="preserve"> حَتّى يُمْسِيَ ، وَإِنْ عَادَهُ </w:t>
      </w:r>
      <w:r w:rsidRPr="007C12DB">
        <w:rPr>
          <w:rStyle w:val="libFootnotenumChar"/>
          <w:rtl/>
        </w:rPr>
        <w:t>(4)</w:t>
      </w:r>
      <w:r w:rsidRPr="005D642E">
        <w:rPr>
          <w:rtl/>
          <w:lang w:bidi="fa-IR"/>
        </w:rPr>
        <w:t xml:space="preserve"> مَسَاءً كَانَ لَهُ مِثْلُ ذلِكَ حَتّى يُصْبِحَ</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944C87">
        <w:rPr>
          <w:rtl/>
        </w:rPr>
        <w:t>4285</w:t>
      </w:r>
      <w:r w:rsidRPr="00246318">
        <w:rPr>
          <w:rStyle w:val="libBold2Char"/>
          <w:rtl/>
        </w:rPr>
        <w:t xml:space="preserve"> / 7.</w:t>
      </w:r>
      <w:r w:rsidRPr="005D642E">
        <w:rPr>
          <w:rtl/>
          <w:lang w:bidi="fa-IR"/>
        </w:rPr>
        <w:t xml:space="preserve"> أَبُو عَلِيٍّ الْأَشْعَرِيُّ ، عَنِ الْحَسَنِ بْنِ عَلِيٍّ ، عَنْ عَبْدِ اللهِ بْنِ الْمُغِيرَةِ </w:t>
      </w:r>
      <w:r w:rsidRPr="007C12DB">
        <w:rPr>
          <w:rStyle w:val="libFootnotenumChar"/>
          <w:rtl/>
        </w:rPr>
        <w:t>(6)</w:t>
      </w:r>
      <w:r w:rsidRPr="005D642E">
        <w:rPr>
          <w:rtl/>
          <w:lang w:bidi="fa-IR"/>
        </w:rPr>
        <w:t xml:space="preserve"> ، عَنْ عُبَيْسِ بْنِ هِشَامٍ ، عَنْ إِبْرَاهِيمَ بْنِ مِهْزَمٍ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عَادَ مَرِيضاً ، وَكَّلَ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بِهِ مَلَكاً يَعُودُهُ فِي قَبْرِهِ</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944C87">
        <w:rPr>
          <w:rtl/>
        </w:rPr>
        <w:t>4286</w:t>
      </w:r>
      <w:r w:rsidRPr="00246318">
        <w:rPr>
          <w:rStyle w:val="libBold2Char"/>
          <w:rtl/>
        </w:rPr>
        <w:t xml:space="preserve"> / 8.</w:t>
      </w:r>
      <w:r w:rsidRPr="005D642E">
        <w:rPr>
          <w:rtl/>
          <w:lang w:bidi="fa-IR"/>
        </w:rPr>
        <w:t xml:space="preserve"> مُحَمَّدُ بْنُ يَحْيى ، عَنْ أَحْمَدَ بْنِ مُحَمَّدٍ ، عَنِ ابْنِ مَحْبُوبٍ ، عَنْ مُعَاوِيَةَ بْنِ وَهْبٍ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أَيُّمَا مُؤْمِنٍ عَادَ مُؤْمِناً </w:t>
      </w:r>
      <w:r w:rsidRPr="007C12DB">
        <w:rPr>
          <w:rStyle w:val="libFootnotenumChar"/>
          <w:rtl/>
        </w:rPr>
        <w:t>(8)</w:t>
      </w:r>
      <w:r w:rsidRPr="005D642E">
        <w:rPr>
          <w:rtl/>
          <w:lang w:bidi="fa-IR"/>
        </w:rPr>
        <w:t xml:space="preserve"> حِينَ </w:t>
      </w:r>
      <w:r w:rsidRPr="007C12DB">
        <w:rPr>
          <w:rStyle w:val="libFootnotenumChar"/>
          <w:rtl/>
        </w:rPr>
        <w:t>(9)</w:t>
      </w:r>
      <w:r w:rsidRPr="005D642E">
        <w:rPr>
          <w:rtl/>
          <w:lang w:bidi="fa-IR"/>
        </w:rPr>
        <w:t xml:space="preserve"> يُصْبِحُ ، شَيَّعَهُ سَبْعُونَ‌</w:t>
      </w:r>
      <w:r>
        <w:rPr>
          <w:rFonts w:hint="cs"/>
          <w:rtl/>
          <w:lang w:bidi="fa-IR"/>
        </w:rPr>
        <w:t xml:space="preserve"> </w:t>
      </w:r>
      <w:r w:rsidRPr="005D642E">
        <w:rPr>
          <w:rtl/>
          <w:lang w:bidi="fa-IR"/>
        </w:rPr>
        <w:t xml:space="preserve">أَلْفَ مَلَكٍ ، فَإِذَا قَعَدَ غَمَرَتْهُ الرَّحْمَةُ ، وَاسْتَغْفَرُوا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لَهُ حَتّى يُمْسِيَ ، وَإِنْ عَادَهُ مَسَاءً كَانَ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 « إذا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فاستغفروا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C0BD2" w:rsidTr="001C0BD2">
        <w:tc>
          <w:tcPr>
            <w:tcW w:w="4006" w:type="dxa"/>
          </w:tcPr>
          <w:p w:rsidR="001C0BD2" w:rsidRDefault="001C0BD2" w:rsidP="00E3253D">
            <w:pPr>
              <w:pStyle w:val="libFootnote0"/>
              <w:rPr>
                <w:rStyle w:val="libFootnote0Char"/>
                <w:rtl/>
              </w:rPr>
            </w:pPr>
            <w:r w:rsidRPr="0042621E">
              <w:rPr>
                <w:rStyle w:val="libFootnote0Char"/>
                <w:rtl/>
              </w:rPr>
              <w:t>(3).</w:t>
            </w:r>
            <w:r w:rsidRPr="005D642E">
              <w:rPr>
                <w:rtl/>
              </w:rPr>
              <w:t xml:space="preserve"> في « جن » :</w:t>
            </w:r>
            <w:r>
              <w:rPr>
                <w:rtl/>
              </w:rPr>
              <w:t xml:space="preserve"> - </w:t>
            </w:r>
            <w:r w:rsidRPr="005D642E">
              <w:rPr>
                <w:rtl/>
              </w:rPr>
              <w:t>« له</w:t>
            </w:r>
            <w:r>
              <w:rPr>
                <w:rtl/>
              </w:rPr>
              <w:t xml:space="preserve"> ».</w:t>
            </w:r>
          </w:p>
        </w:tc>
        <w:tc>
          <w:tcPr>
            <w:tcW w:w="4006" w:type="dxa"/>
          </w:tcPr>
          <w:p w:rsidR="001C0BD2" w:rsidRDefault="001C0BD2" w:rsidP="00E3253D">
            <w:pPr>
              <w:pStyle w:val="libFootnote0"/>
              <w:rPr>
                <w:rStyle w:val="libFootnote0Char"/>
                <w:rtl/>
              </w:rPr>
            </w:pPr>
            <w:r w:rsidRPr="0042621E">
              <w:rPr>
                <w:rStyle w:val="libFootnote0Char"/>
                <w:rtl/>
              </w:rPr>
              <w:t>(4).</w:t>
            </w:r>
            <w:r w:rsidRPr="005D642E">
              <w:rPr>
                <w:rtl/>
              </w:rPr>
              <w:t xml:space="preserve"> في « بث » : « وإن عاد</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المؤمن</w:t>
      </w:r>
      <w:r w:rsidR="00E3253D" w:rsidRPr="005D642E">
        <w:rPr>
          <w:rtl/>
        </w:rPr>
        <w:t xml:space="preserve"> ، ص 58 ، ح 147 ، مرسلاً مع اختلاف يسير </w:t>
      </w:r>
      <w:r w:rsidR="001C0BD2">
        <w:rPr>
          <w:rFonts w:hint="cs"/>
          <w:rtl/>
        </w:rPr>
        <w:t>.</w:t>
      </w:r>
      <w:r w:rsidR="00E3253D" w:rsidRPr="002F4D34">
        <w:rPr>
          <w:rStyle w:val="libFootnoteBoldChar"/>
          <w:rtl/>
        </w:rPr>
        <w:t>الوافي</w:t>
      </w:r>
      <w:r w:rsidR="00E3253D" w:rsidRPr="005D642E">
        <w:rPr>
          <w:rtl/>
        </w:rPr>
        <w:t xml:space="preserve"> ، ج 24 ، ص 224 ، ح 23937 ؛ </w:t>
      </w:r>
      <w:r w:rsidR="00E3253D" w:rsidRPr="002F4D34">
        <w:rPr>
          <w:rStyle w:val="libFootnoteBoldChar"/>
          <w:rtl/>
        </w:rPr>
        <w:t>الوسائل</w:t>
      </w:r>
      <w:r w:rsidR="00E3253D" w:rsidRPr="005D642E">
        <w:rPr>
          <w:rtl/>
        </w:rPr>
        <w:t xml:space="preserve"> ، ج 2 ، ص 418 ، ذيل ح 2521.</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الظاهر وقوع التحريف في العنوان ، وأنّ الصواب هو الحسن بن عليّ بن عبدالله بن المغيرة ؛ فقد روى الحسن‌بن عليّ الكوفي كتاب عبيس بن هشام ، كما في </w:t>
      </w:r>
      <w:r w:rsidR="0059794D" w:rsidRPr="0059794D">
        <w:rPr>
          <w:rStyle w:val="libFootnoteBoldChar"/>
          <w:rtl/>
        </w:rPr>
        <w:t>الفهرست للطوسي</w:t>
      </w:r>
      <w:r w:rsidR="00E3253D" w:rsidRPr="005D642E">
        <w:rPr>
          <w:rtl/>
        </w:rPr>
        <w:t xml:space="preserve"> ، ص 346 ، الرقم 547 ، وتقدّم في ذيل ح 4106 أنّ الحسن بن عليّ الكوفي هو الحسن بن عليّ بن عبدالله بن المغيرة.</w:t>
      </w:r>
    </w:p>
    <w:p w:rsidR="00E3253D" w:rsidRPr="005D642E" w:rsidRDefault="00E3253D" w:rsidP="00E3253D">
      <w:pPr>
        <w:pStyle w:val="libFootnote0"/>
        <w:rPr>
          <w:rtl/>
          <w:lang w:bidi="fa-IR"/>
        </w:rPr>
      </w:pPr>
      <w:r w:rsidRPr="00B60612">
        <w:rPr>
          <w:rtl/>
        </w:rPr>
        <w:t xml:space="preserve">ويؤيّد ذلك ما ورد في </w:t>
      </w:r>
      <w:r w:rsidRPr="002F4D34">
        <w:rPr>
          <w:rStyle w:val="libFootnoteBoldChar"/>
          <w:rtl/>
        </w:rPr>
        <w:t>الكافي</w:t>
      </w:r>
      <w:r w:rsidRPr="00B60612">
        <w:rPr>
          <w:rtl/>
        </w:rPr>
        <w:t xml:space="preserve"> ، ح 3492 و 8739 و 10757 من رواية أبي عليّ الأشعري ، عن الحسن بن علىّ بن عبدالله ، عن عبيس بن هشام ، كما يؤيّده ما ورد في طريق النجاشي إلى كتاب ثابت بن جرير من رواية أحمد بن إدريس </w:t>
      </w:r>
      <w:r w:rsidR="007642BC" w:rsidRPr="00B60612">
        <w:rPr>
          <w:rtl/>
        </w:rPr>
        <w:t>-</w:t>
      </w:r>
      <w:r w:rsidRPr="00B60612">
        <w:rPr>
          <w:rtl/>
        </w:rPr>
        <w:t xml:space="preserve"> وهو أبو عليّ الأشعري شيخ الكليني </w:t>
      </w:r>
      <w:r w:rsidR="007642BC" w:rsidRPr="00B60612">
        <w:rPr>
          <w:rtl/>
        </w:rPr>
        <w:t>-</w:t>
      </w:r>
      <w:r w:rsidRPr="00B60612">
        <w:rPr>
          <w:rtl/>
        </w:rPr>
        <w:t xml:space="preserve"> عن الحسن بن عليّ بن عبدالله بن المغيرة ، عن عبيس بن هشام. راجع : </w:t>
      </w:r>
      <w:r w:rsidRPr="002F4D34">
        <w:rPr>
          <w:rStyle w:val="libFootnoteBoldChar"/>
          <w:rtl/>
        </w:rPr>
        <w:t>رجال النجاشي</w:t>
      </w:r>
      <w:r w:rsidRPr="00B60612">
        <w:rPr>
          <w:rtl/>
        </w:rPr>
        <w:t xml:space="preserve"> ، ص 117 ، الرقم 299.</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225 ، ح 23939 ؛ </w:t>
      </w:r>
      <w:r w:rsidR="00E3253D" w:rsidRPr="002F4D34">
        <w:rPr>
          <w:rStyle w:val="libFootnoteBoldChar"/>
          <w:rtl/>
        </w:rPr>
        <w:t>الوسائل</w:t>
      </w:r>
      <w:r w:rsidR="00E3253D" w:rsidRPr="005D642E">
        <w:rPr>
          <w:rtl/>
        </w:rPr>
        <w:t xml:space="preserve"> ، ج 2 ، ص 415 ، ح 2513.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والوسائل : + « مريضاً</w:t>
      </w:r>
      <w:r w:rsidR="00E3253D">
        <w:rPr>
          <w:rtl/>
        </w:rPr>
        <w:t xml:space="preserve"> ».</w:t>
      </w:r>
      <w:r w:rsidR="00E3253D" w:rsidRPr="005D642E">
        <w:rPr>
          <w:rtl/>
        </w:rPr>
        <w:t xml:space="preserve"> وفي « جن » : « مريضاً</w:t>
      </w:r>
      <w:r w:rsidR="00E3253D">
        <w:rPr>
          <w:rtl/>
        </w:rPr>
        <w:t xml:space="preserve"> ».</w:t>
      </w:r>
      <w:r w:rsidR="00E3253D" w:rsidRPr="005D642E">
        <w:rPr>
          <w:rtl/>
        </w:rPr>
        <w:t xml:space="preserve"> وفي الوافي : + « مريضاً في مرضه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C0BD2" w:rsidTr="001C0BD2">
        <w:tc>
          <w:tcPr>
            <w:tcW w:w="4006" w:type="dxa"/>
          </w:tcPr>
          <w:p w:rsidR="001C0BD2" w:rsidRDefault="001C0BD2" w:rsidP="00E3253D">
            <w:pPr>
              <w:pStyle w:val="libFootnote0"/>
              <w:rPr>
                <w:rStyle w:val="libFootnote0Char"/>
                <w:rtl/>
              </w:rPr>
            </w:pPr>
            <w:r w:rsidRPr="0042621E">
              <w:rPr>
                <w:rStyle w:val="libFootnote0Char"/>
                <w:rtl/>
              </w:rPr>
              <w:t>(9).</w:t>
            </w:r>
            <w:r w:rsidRPr="005D642E">
              <w:rPr>
                <w:rtl/>
              </w:rPr>
              <w:t xml:space="preserve"> في « ى ، جح » وحاشية « بح » : « حتّى</w:t>
            </w:r>
            <w:r>
              <w:rPr>
                <w:rtl/>
              </w:rPr>
              <w:t xml:space="preserve"> ».</w:t>
            </w:r>
          </w:p>
        </w:tc>
        <w:tc>
          <w:tcPr>
            <w:tcW w:w="4006" w:type="dxa"/>
          </w:tcPr>
          <w:p w:rsidR="001C0BD2" w:rsidRDefault="001C0BD2" w:rsidP="00E3253D">
            <w:pPr>
              <w:pStyle w:val="libFootnote0"/>
              <w:rPr>
                <w:rStyle w:val="libFootnote0Char"/>
                <w:rtl/>
              </w:rPr>
            </w:pPr>
            <w:r w:rsidRPr="0042621E">
              <w:rPr>
                <w:rStyle w:val="libFootnote0Char"/>
                <w:rtl/>
              </w:rPr>
              <w:t>(10).</w:t>
            </w:r>
            <w:r>
              <w:rPr>
                <w:rtl/>
              </w:rPr>
              <w:t xml:space="preserve"> في«جس»:«</w:t>
            </w:r>
            <w:r w:rsidRPr="005D642E">
              <w:rPr>
                <w:rtl/>
              </w:rPr>
              <w:t>واستغفر</w:t>
            </w:r>
            <w:r>
              <w:rPr>
                <w:rtl/>
              </w:rPr>
              <w:t>».وفي الوافي:+«</w:t>
            </w:r>
            <w:r w:rsidRPr="005D642E">
              <w:rPr>
                <w:rtl/>
              </w:rPr>
              <w:t>الله تعالى</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لَهُ مِثْلُ ذلِكَ حَتّى يُصْبِحَ</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944C87">
        <w:rPr>
          <w:rtl/>
        </w:rPr>
        <w:t>4287</w:t>
      </w:r>
      <w:r w:rsidRPr="00246318">
        <w:rPr>
          <w:rStyle w:val="libBold2Char"/>
          <w:rtl/>
        </w:rPr>
        <w:t xml:space="preserve"> / 9.</w:t>
      </w:r>
      <w:r w:rsidRPr="005D642E">
        <w:rPr>
          <w:rtl/>
          <w:lang w:bidi="fa-IR"/>
        </w:rPr>
        <w:t xml:space="preserve"> مُحَمَّدُ بْنُ يَحْيى ، عَنْ أَحْمَدَ بْنِ مُحَمَّدٍ ، عَنِ ابْنِ سِنَانٍ ، عَنْ أَبِي الْجَارُودِ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كَانَ فِيمَا نَاجى بِهِ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مُوسى رَبَّهُ : أَنْ قَالَ : يَا رَبِّ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 مَا بَلَغَ مِنْ عِيَادَةِ الْمَرِيضِ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مِنَ الْأَجْرِ</w:t>
      </w:r>
      <w:r>
        <w:rPr>
          <w:rtl/>
          <w:lang w:bidi="fa-IR"/>
        </w:rPr>
        <w:t>؟</w:t>
      </w:r>
      <w:r w:rsidRPr="005D642E">
        <w:rPr>
          <w:rtl/>
          <w:lang w:bidi="fa-IR"/>
        </w:rPr>
        <w:t xml:space="preserve"> فَقَالَ اللهُ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عَزَّ وَجَلَّ : أُوَكِّلُ بِهِ مَلَكاً يَعُودُهُ فِي قَبْرِهِ إِلى مَحْشَرِهِ</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944C87">
        <w:rPr>
          <w:rtl/>
        </w:rPr>
        <w:t>4288</w:t>
      </w:r>
      <w:r w:rsidRPr="00246318">
        <w:rPr>
          <w:rStyle w:val="libBold2Char"/>
          <w:rtl/>
        </w:rPr>
        <w:t xml:space="preserve"> / 10.</w:t>
      </w:r>
      <w:r w:rsidRPr="005D642E">
        <w:rPr>
          <w:rtl/>
          <w:lang w:bidi="fa-IR"/>
        </w:rPr>
        <w:t xml:space="preserve"> عَلِيُّ بْنُ إِبْرَاهِيمَ ، عَنْ هَارُونَ بْنِ مُسْلِمٍ ، عَنْ مَسْعَدَةَ بْنِ صَدَقَةَ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مَنْ عَادَ مَرِيضاً ، نَادى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مُنَادٍ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مِنَ السَّمَاءِ بِاسْمِهِ : يَا فُلَانُ ، طِبْتَ وَطَابَ </w:t>
      </w:r>
      <w:r w:rsidRPr="007C12DB">
        <w:rPr>
          <w:rStyle w:val="libFootnotenumChar"/>
          <w:rtl/>
        </w:rPr>
        <w:t>(</w:t>
      </w:r>
      <w:r w:rsidRPr="007C12DB">
        <w:rPr>
          <w:rStyle w:val="libFootnotenumChar"/>
          <w:rFonts w:hint="cs"/>
          <w:rtl/>
        </w:rPr>
        <w:t>9</w:t>
      </w:r>
      <w:r w:rsidRPr="007C12DB">
        <w:rPr>
          <w:rStyle w:val="libFootnotenumChar"/>
          <w:rtl/>
        </w:rPr>
        <w:t>)</w:t>
      </w:r>
      <w:r w:rsidRPr="005D642E">
        <w:rPr>
          <w:rtl/>
          <w:lang w:bidi="fa-IR"/>
        </w:rPr>
        <w:t xml:space="preserve"> مَمْشَاكَ بِثَوَابٍ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مِنَ الْجَنَّةِ </w:t>
      </w:r>
      <w:r w:rsidRPr="007C12DB">
        <w:rPr>
          <w:rStyle w:val="libFootnotenumChar"/>
          <w:rtl/>
        </w:rPr>
        <w:t>(</w:t>
      </w:r>
      <w:r w:rsidRPr="007C12DB">
        <w:rPr>
          <w:rStyle w:val="libFootnotenumChar"/>
          <w:rFonts w:hint="cs"/>
          <w:rtl/>
        </w:rPr>
        <w:t>11</w:t>
      </w:r>
      <w:r w:rsidRPr="007C12DB">
        <w:rPr>
          <w:rStyle w:val="libFootnotenumChar"/>
          <w:rtl/>
        </w:rPr>
        <w:t>)</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w:t>
      </w:r>
      <w:r w:rsidR="00E3253D" w:rsidRPr="002F4D34">
        <w:rPr>
          <w:rStyle w:val="libFootnoteBoldChar"/>
          <w:rtl/>
        </w:rPr>
        <w:t>الوافي</w:t>
      </w:r>
      <w:r w:rsidR="00E3253D" w:rsidRPr="005D642E">
        <w:rPr>
          <w:rtl/>
        </w:rPr>
        <w:t xml:space="preserve"> ، ج 24 ، ص 225 ، ح 23938 ؛ </w:t>
      </w:r>
      <w:r w:rsidR="00E3253D" w:rsidRPr="002F4D34">
        <w:rPr>
          <w:rStyle w:val="libFootnoteBoldChar"/>
          <w:rtl/>
        </w:rPr>
        <w:t>الوسائل</w:t>
      </w:r>
      <w:r w:rsidR="00E3253D" w:rsidRPr="005D642E">
        <w:rPr>
          <w:rtl/>
        </w:rPr>
        <w:t xml:space="preserve"> ، ج 2 ، ص 418 ، ح 2521.</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به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ثواب الأعمال : + « أعلمني</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قوله : من عيادة المريض ، يحتمل أن يكون كلمة « من » زائدة ، ويحتمل أن يكون سببيّةوالضمير المرفوع في « بلغ » راجعاً إلى الإنسان ومفعوله الضمير الراجع إلى « ما » ، </w:t>
      </w:r>
      <w:r w:rsidR="00E3253D">
        <w:rPr>
          <w:rtl/>
        </w:rPr>
        <w:t>و «</w:t>
      </w:r>
      <w:r w:rsidR="00E3253D" w:rsidRPr="005D642E">
        <w:rPr>
          <w:rtl/>
        </w:rPr>
        <w:t xml:space="preserve"> من » في قوله ، من الأجر ، بيانيّة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بخ ، بف ، جس »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ثواب الأعمال</w:t>
      </w:r>
      <w:r w:rsidR="00E3253D" w:rsidRPr="005D642E">
        <w:rPr>
          <w:rtl/>
        </w:rPr>
        <w:t xml:space="preserve"> ، ص 231 ، صدر ح 1 ، بسنده عن أحمد بن محمّد بن عيسى ، عن محمّد بن سنان. </w:t>
      </w:r>
      <w:r w:rsidR="00E3253D" w:rsidRPr="002F4D34">
        <w:rPr>
          <w:rStyle w:val="libFootnoteBoldChar"/>
          <w:rtl/>
        </w:rPr>
        <w:t>الفقيه</w:t>
      </w:r>
      <w:r w:rsidR="00E3253D" w:rsidRPr="005D642E">
        <w:rPr>
          <w:rtl/>
        </w:rPr>
        <w:t xml:space="preserve"> ، ج 1 ، ص 140 ، ح 387 ، مرسلاً ، مع زيادة في آخره </w:t>
      </w:r>
      <w:r w:rsidR="008E798A">
        <w:rPr>
          <w:rFonts w:hint="cs"/>
          <w:rtl/>
        </w:rPr>
        <w:t>.</w:t>
      </w:r>
      <w:r w:rsidR="00E3253D" w:rsidRPr="002F4D34">
        <w:rPr>
          <w:rStyle w:val="libFootnoteBoldChar"/>
          <w:rtl/>
        </w:rPr>
        <w:t>الوافي</w:t>
      </w:r>
      <w:r w:rsidR="00E3253D" w:rsidRPr="005D642E">
        <w:rPr>
          <w:rtl/>
        </w:rPr>
        <w:t xml:space="preserve"> ، ج 24 ، ص 225 ، ح 23940 ؛ </w:t>
      </w:r>
      <w:r w:rsidR="00E3253D" w:rsidRPr="002F4D34">
        <w:rPr>
          <w:rStyle w:val="libFootnoteBoldChar"/>
          <w:rtl/>
        </w:rPr>
        <w:t>الوسائل</w:t>
      </w:r>
      <w:r w:rsidR="00E3253D" w:rsidRPr="005D642E">
        <w:rPr>
          <w:rtl/>
        </w:rPr>
        <w:t xml:space="preserve"> ، ج 2 ، ص 416 ، ح 2515.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E3253D" w:rsidRPr="003B3913">
        <w:rPr>
          <w:rStyle w:val="libFootnoteBoldChar"/>
          <w:rtl/>
        </w:rPr>
        <w:t>وقرب الإسناد</w:t>
      </w:r>
      <w:r w:rsidR="00E3253D" w:rsidRPr="005D642E">
        <w:rPr>
          <w:rtl/>
        </w:rPr>
        <w:t>. وفي المطبوع : « ناداه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منادي</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النسخ التي قوبلت </w:t>
      </w:r>
      <w:r w:rsidR="000D749A" w:rsidRPr="000D749A">
        <w:rPr>
          <w:rStyle w:val="libFootnoteBoldChar"/>
          <w:rtl/>
        </w:rPr>
        <w:t>والوافي</w:t>
      </w:r>
      <w:r w:rsidR="00E3253D" w:rsidRPr="005D642E">
        <w:rPr>
          <w:rtl/>
        </w:rPr>
        <w:t>. وفي المطبوع : + « [ لك ]</w:t>
      </w:r>
      <w:r w:rsidR="00E3253D">
        <w:rPr>
          <w:rtl/>
        </w:rPr>
        <w:t xml:space="preserve"> ».</w:t>
      </w:r>
      <w:r w:rsidR="00E3253D" w:rsidRPr="005D642E">
        <w:rPr>
          <w:rtl/>
        </w:rPr>
        <w:t xml:space="preserve"> وفي « بح » : « وطابت</w:t>
      </w:r>
      <w:r w:rsidR="00E3253D">
        <w:rPr>
          <w:rtl/>
        </w:rPr>
        <w:t xml:space="preserve"> ».</w:t>
      </w:r>
      <w:r w:rsidR="00E3253D" w:rsidRPr="005D642E">
        <w:rPr>
          <w:rtl/>
        </w:rPr>
        <w:t xml:space="preserve"> وفي « جس » : « وأطاب</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بف » </w:t>
      </w:r>
      <w:r w:rsidR="00E3253D" w:rsidRPr="003B3913">
        <w:rPr>
          <w:rStyle w:val="libFootnoteBoldChar"/>
          <w:rtl/>
        </w:rPr>
        <w:t>وقرب الإسناد</w:t>
      </w:r>
      <w:r w:rsidR="00E3253D" w:rsidRPr="005D642E">
        <w:rPr>
          <w:rtl/>
        </w:rPr>
        <w:t xml:space="preserve"> : « تبوّأت</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8E798A">
        <w:rPr>
          <w:rStyle w:val="libFootnoteAlaemChar"/>
          <w:rtl/>
        </w:rPr>
        <w:t>عليه‌السلام</w:t>
      </w:r>
      <w:r w:rsidR="00E3253D" w:rsidRPr="005D642E">
        <w:rPr>
          <w:rtl/>
        </w:rPr>
        <w:t xml:space="preserve"> : بثواب ، أي بسبب ثواب</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قرب الإسناد : + « منزلاً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قرب الإسناد</w:t>
      </w:r>
      <w:r w:rsidR="00E3253D" w:rsidRPr="005D642E">
        <w:rPr>
          <w:rtl/>
        </w:rPr>
        <w:t xml:space="preserve"> ، ص 13 ، ح 40 ، عن هارون بن مسلم. </w:t>
      </w:r>
      <w:r w:rsidR="00E3253D" w:rsidRPr="002F4D34">
        <w:rPr>
          <w:rStyle w:val="libFootnoteBoldChar"/>
          <w:rtl/>
        </w:rPr>
        <w:t>الجعفريّات</w:t>
      </w:r>
      <w:r w:rsidR="00E3253D" w:rsidRPr="005D642E">
        <w:rPr>
          <w:rtl/>
        </w:rPr>
        <w:t xml:space="preserve"> ، ص 193 ، بسند آخر عن جعفر بن محمّد ، عن آبائه </w:t>
      </w:r>
      <w:r w:rsidR="00E3253D" w:rsidRPr="008E798A">
        <w:rPr>
          <w:rStyle w:val="libFootnoteAlaemChar"/>
          <w:rtl/>
        </w:rPr>
        <w:t>عليهم‌السلام</w:t>
      </w:r>
      <w:r w:rsidR="00E3253D" w:rsidRPr="005D642E">
        <w:rPr>
          <w:rtl/>
        </w:rPr>
        <w:t xml:space="preserve"> عن النبيّ </w:t>
      </w:r>
      <w:r w:rsidRPr="008E798A">
        <w:rPr>
          <w:rStyle w:val="libFootnoteAlaemChar"/>
          <w:rtl/>
        </w:rPr>
        <w:t>صلى‌الله‌عليه‌وآله</w:t>
      </w:r>
      <w:r w:rsidR="00E3253D" w:rsidRPr="005D642E">
        <w:rPr>
          <w:rtl/>
        </w:rPr>
        <w:t xml:space="preserve"> </w:t>
      </w:r>
      <w:r w:rsidR="008E798A">
        <w:rPr>
          <w:rFonts w:hint="cs"/>
          <w:rtl/>
        </w:rPr>
        <w:t>.</w:t>
      </w:r>
      <w:r w:rsidR="00E3253D" w:rsidRPr="002F4D34">
        <w:rPr>
          <w:rStyle w:val="libFootnoteBoldChar"/>
          <w:rtl/>
        </w:rPr>
        <w:t>الوافي</w:t>
      </w:r>
      <w:r w:rsidR="00E3253D" w:rsidRPr="005D642E">
        <w:rPr>
          <w:rtl/>
        </w:rPr>
        <w:t xml:space="preserve"> ، ج 24 ، ص 225 ، ح 23941 ؛ </w:t>
      </w:r>
      <w:r w:rsidR="00E3253D" w:rsidRPr="002F4D34">
        <w:rPr>
          <w:rStyle w:val="libFootnoteBoldChar"/>
          <w:rtl/>
        </w:rPr>
        <w:t>الوسائل</w:t>
      </w:r>
      <w:r w:rsidR="00E3253D" w:rsidRPr="005D642E">
        <w:rPr>
          <w:rtl/>
        </w:rPr>
        <w:t xml:space="preserve"> ، ج 2 ، ص 416 ، ح 2514.</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281" w:name="_Toc344647304"/>
      <w:bookmarkStart w:id="282" w:name="_Toc462226818"/>
      <w:bookmarkStart w:id="283" w:name="_Toc40975927"/>
      <w:r w:rsidRPr="005D642E">
        <w:rPr>
          <w:rtl/>
          <w:lang w:bidi="fa-IR"/>
        </w:rPr>
        <w:lastRenderedPageBreak/>
        <w:t>9</w:t>
      </w:r>
      <w:r>
        <w:rPr>
          <w:rtl/>
          <w:lang w:bidi="fa-IR"/>
        </w:rPr>
        <w:t xml:space="preserve"> </w:t>
      </w:r>
      <w:r w:rsidR="007642BC">
        <w:rPr>
          <w:rtl/>
          <w:lang w:bidi="fa-IR"/>
        </w:rPr>
        <w:t>-</w:t>
      </w:r>
      <w:r>
        <w:rPr>
          <w:rtl/>
          <w:lang w:bidi="fa-IR"/>
        </w:rPr>
        <w:t xml:space="preserve"> </w:t>
      </w:r>
      <w:r w:rsidRPr="005D642E">
        <w:rPr>
          <w:rtl/>
          <w:lang w:bidi="fa-IR"/>
        </w:rPr>
        <w:t>بَابُ تَلْقِينِ الْمَيِّتِ‌</w:t>
      </w:r>
      <w:bookmarkEnd w:id="281"/>
      <w:bookmarkEnd w:id="282"/>
      <w:bookmarkEnd w:id="283"/>
    </w:p>
    <w:p w:rsidR="00E3253D" w:rsidRPr="005D642E" w:rsidRDefault="00E3253D" w:rsidP="00E3253D">
      <w:pPr>
        <w:pStyle w:val="libNormal"/>
        <w:rPr>
          <w:rtl/>
          <w:lang w:bidi="fa-IR"/>
        </w:rPr>
      </w:pPr>
      <w:r w:rsidRPr="00944C87">
        <w:rPr>
          <w:rtl/>
        </w:rPr>
        <w:t>4289</w:t>
      </w:r>
      <w:r w:rsidRPr="00246318">
        <w:rPr>
          <w:rStyle w:val="libBold2Char"/>
          <w:rtl/>
        </w:rPr>
        <w:t xml:space="preserve"> / 1.</w:t>
      </w:r>
      <w:r w:rsidRPr="005D642E">
        <w:rPr>
          <w:rtl/>
          <w:lang w:bidi="fa-IR"/>
        </w:rPr>
        <w:t xml:space="preserve"> عَلِيُّ بْنُ إِبْرَاهِيمَ ، عَنْ أَبِيهِ </w:t>
      </w:r>
      <w:r w:rsidRPr="007C12DB">
        <w:rPr>
          <w:rStyle w:val="libFootnotenumChar"/>
          <w:rtl/>
        </w:rPr>
        <w:t>(1)</w:t>
      </w:r>
      <w:r w:rsidRPr="005D642E">
        <w:rPr>
          <w:rtl/>
          <w:lang w:bidi="fa-IR"/>
        </w:rPr>
        <w:t xml:space="preserve">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حَضَرْتَ الْمَيِّتَ قَبْلَ أَنْ يَمُوتَ ، فَلَقِّنْهُ</w:t>
      </w:r>
      <w:r w:rsidR="00DA4A7D">
        <w:rPr>
          <w:rtl/>
          <w:lang w:bidi="fa-IR"/>
        </w:rPr>
        <w:t xml:space="preserve"> شَهَادَةَ أَنْ لَا إِلهَ إِل</w:t>
      </w:r>
      <w:r w:rsidR="00DA4A7D">
        <w:rPr>
          <w:rFonts w:hint="cs"/>
          <w:rtl/>
          <w:lang w:bidi="fa-IR"/>
        </w:rPr>
        <w:t>َّ</w:t>
      </w:r>
      <w:r w:rsidR="00DA4A7D">
        <w:rPr>
          <w:rtl/>
          <w:lang w:bidi="fa-IR"/>
        </w:rPr>
        <w:t>ا</w:t>
      </w:r>
      <w:r w:rsidRPr="005D642E">
        <w:rPr>
          <w:rtl/>
          <w:lang w:bidi="fa-IR"/>
        </w:rPr>
        <w:t xml:space="preserve"> اللهُ وَحْدَهُ لَاشَرِيكَ لَهُ ، وَأَنَّ مُحَمَّداً عَبْدُهُ وَرَسُولُهُ</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944C87">
        <w:rPr>
          <w:rtl/>
        </w:rPr>
        <w:t>4290</w:t>
      </w:r>
      <w:r w:rsidRPr="00246318">
        <w:rPr>
          <w:rStyle w:val="libBold2Char"/>
          <w:rtl/>
        </w:rPr>
        <w:t xml:space="preserve"> / 2.</w:t>
      </w:r>
      <w:r w:rsidRPr="005D642E">
        <w:rPr>
          <w:rtl/>
          <w:lang w:bidi="fa-IR"/>
        </w:rPr>
        <w:t xml:space="preserve"> عَنْهُ ، عَنْ أَبِيهِ </w:t>
      </w:r>
      <w:r w:rsidRPr="007C12DB">
        <w:rPr>
          <w:rStyle w:val="libFootnotenumChar"/>
          <w:rtl/>
        </w:rPr>
        <w:t>(3)</w:t>
      </w:r>
      <w:r w:rsidRPr="005D642E">
        <w:rPr>
          <w:rtl/>
          <w:lang w:bidi="fa-IR"/>
        </w:rPr>
        <w:t xml:space="preserve"> ، عَنِ ابْنِ أَبِي عُمَيْرٍ ، عَنْ أَبِي أَيُّوبَ ، عَنْ مُحَمَّدِ بْنِ مُسْلِمٍ ، عَنْ أَبِي جَعْفَرٍ </w:t>
      </w:r>
      <w:r w:rsidRPr="00AC51C5">
        <w:rPr>
          <w:rStyle w:val="libAlaemChar"/>
          <w:rtl/>
        </w:rPr>
        <w:t>عليه‌السلام</w:t>
      </w:r>
      <w:r w:rsidRPr="005D642E">
        <w:rPr>
          <w:rtl/>
          <w:lang w:bidi="fa-IR"/>
        </w:rPr>
        <w:t xml:space="preserve"> ؛</w:t>
      </w:r>
    </w:p>
    <w:p w:rsidR="00E3253D" w:rsidRPr="005D642E" w:rsidRDefault="00E3253D" w:rsidP="00E3253D">
      <w:pPr>
        <w:pStyle w:val="libNormal"/>
        <w:rPr>
          <w:rtl/>
          <w:lang w:bidi="fa-IR"/>
        </w:rPr>
      </w:pPr>
      <w:r w:rsidRPr="005D642E">
        <w:rPr>
          <w:rtl/>
          <w:lang w:bidi="fa-IR"/>
        </w:rPr>
        <w:t>وَ</w:t>
      </w:r>
      <w:r>
        <w:rPr>
          <w:rFonts w:hint="cs"/>
          <w:rtl/>
          <w:lang w:bidi="fa-IR"/>
        </w:rPr>
        <w:t xml:space="preserve"> </w:t>
      </w:r>
      <w:r w:rsidRPr="007C12DB">
        <w:rPr>
          <w:rStyle w:val="libFootnotenumChar"/>
          <w:rtl/>
        </w:rPr>
        <w:t>(4)</w:t>
      </w:r>
      <w:r w:rsidRPr="005D642E">
        <w:rPr>
          <w:rtl/>
          <w:lang w:bidi="fa-IR"/>
        </w:rPr>
        <w:t xml:space="preserve"> حَفْصِ بْنِ الْبَخْتَرِيِّ ، عَنْ أَبِي عَبْدِ اللهِ </w:t>
      </w:r>
      <w:r w:rsidRPr="00AC51C5">
        <w:rPr>
          <w:rStyle w:val="libAlaemChar"/>
          <w:rtl/>
        </w:rPr>
        <w:t>عليه‌السلام</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 إِنَّكُمْ تُلَقِّنُونَ مَوْتَاكُمْ عِنْدَ الْمَوْتِ </w:t>
      </w:r>
      <w:r w:rsidRPr="007C12DB">
        <w:rPr>
          <w:rStyle w:val="libFootnotenumChar"/>
          <w:rtl/>
        </w:rPr>
        <w:t>(5)</w:t>
      </w:r>
      <w:r w:rsidRPr="005D642E">
        <w:rPr>
          <w:rtl/>
          <w:lang w:bidi="fa-IR"/>
        </w:rPr>
        <w:t xml:space="preserve"> لَا</w:t>
      </w:r>
      <w:r>
        <w:rPr>
          <w:rFonts w:hint="cs"/>
          <w:rtl/>
          <w:lang w:bidi="fa-IR"/>
        </w:rPr>
        <w:t xml:space="preserve"> </w:t>
      </w:r>
      <w:r w:rsidR="00DA4A7D">
        <w:rPr>
          <w:rtl/>
          <w:lang w:bidi="fa-IR"/>
        </w:rPr>
        <w:t>إِلهَ إِل</w:t>
      </w:r>
      <w:r w:rsidR="00DA4A7D">
        <w:rPr>
          <w:rFonts w:hint="cs"/>
          <w:rtl/>
          <w:lang w:bidi="fa-IR"/>
        </w:rPr>
        <w:t>َّ</w:t>
      </w:r>
      <w:r w:rsidR="00DA4A7D">
        <w:rPr>
          <w:rtl/>
          <w:lang w:bidi="fa-IR"/>
        </w:rPr>
        <w:t>ا</w:t>
      </w:r>
      <w:r w:rsidRPr="005D642E">
        <w:rPr>
          <w:rtl/>
          <w:lang w:bidi="fa-IR"/>
        </w:rPr>
        <w:t xml:space="preserve"> اللهُ ، وَنَحْنُ نُلَقِّنُ </w:t>
      </w:r>
      <w:r w:rsidRPr="007C12DB">
        <w:rPr>
          <w:rStyle w:val="libFootnotenumChar"/>
          <w:rtl/>
        </w:rPr>
        <w:t>(6)</w:t>
      </w:r>
      <w:r w:rsidRPr="005D642E">
        <w:rPr>
          <w:rtl/>
          <w:lang w:bidi="fa-IR"/>
        </w:rPr>
        <w:t xml:space="preserve"> مَوْتَانَا مُحَمَّدٌ‌</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w:t>
      </w:r>
      <w:r w:rsidR="00E3253D">
        <w:rPr>
          <w:rtl/>
        </w:rPr>
        <w:t xml:space="preserve"> </w:t>
      </w:r>
      <w:r w:rsidR="007642BC">
        <w:rPr>
          <w:rtl/>
        </w:rPr>
        <w:t>-</w:t>
      </w:r>
      <w:r w:rsidR="00E3253D">
        <w:rPr>
          <w:rtl/>
        </w:rPr>
        <w:t xml:space="preserve"> </w:t>
      </w:r>
      <w:r w:rsidR="00E3253D" w:rsidRPr="005D642E">
        <w:rPr>
          <w:rtl/>
        </w:rPr>
        <w:t>« عن أبيه » لكنّه مذكور في بعض نسخه المعتبرة.</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286 ، ح 836 ، بسنده عن الكليني. </w:t>
      </w:r>
      <w:r w:rsidR="00E3253D" w:rsidRPr="002F4D34">
        <w:rPr>
          <w:rStyle w:val="libFootnoteBoldChar"/>
          <w:rtl/>
        </w:rPr>
        <w:t>فقه الرضا</w:t>
      </w:r>
      <w:r w:rsidR="00E3253D" w:rsidRPr="005D642E">
        <w:rPr>
          <w:rtl/>
        </w:rPr>
        <w:t xml:space="preserve"> </w:t>
      </w:r>
      <w:r w:rsidR="00E3253D" w:rsidRPr="00734881">
        <w:rPr>
          <w:rStyle w:val="libFootnoteAlaemChar"/>
          <w:rtl/>
        </w:rPr>
        <w:t>عليه‌السلام</w:t>
      </w:r>
      <w:r w:rsidR="00E3253D" w:rsidRPr="005D642E">
        <w:rPr>
          <w:rtl/>
        </w:rPr>
        <w:t xml:space="preserve"> ، ص 165 ، مع اختلاف يسير </w:t>
      </w:r>
      <w:r w:rsidR="00734881">
        <w:rPr>
          <w:rFonts w:hint="cs"/>
          <w:rtl/>
        </w:rPr>
        <w:t>.</w:t>
      </w:r>
      <w:r w:rsidR="00E3253D" w:rsidRPr="002F4D34">
        <w:rPr>
          <w:rStyle w:val="libFootnoteBoldChar"/>
          <w:rtl/>
        </w:rPr>
        <w:t>الوافي</w:t>
      </w:r>
      <w:r w:rsidR="00E3253D" w:rsidRPr="005D642E">
        <w:rPr>
          <w:rtl/>
        </w:rPr>
        <w:t xml:space="preserve"> ، ج 24 ، ص 231 ، ح 23948 ؛ </w:t>
      </w:r>
      <w:r w:rsidR="00E3253D" w:rsidRPr="002F4D34">
        <w:rPr>
          <w:rStyle w:val="libFootnoteBoldChar"/>
          <w:rtl/>
        </w:rPr>
        <w:t>الوسائل</w:t>
      </w:r>
      <w:r w:rsidR="00E3253D" w:rsidRPr="005D642E">
        <w:rPr>
          <w:rtl/>
        </w:rPr>
        <w:t xml:space="preserve"> ، ج 2 ، ص 454 ، ح 2629.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بح ، بخ ، بس ، بف ، جس ، جن » :</w:t>
      </w:r>
      <w:r w:rsidR="00E3253D">
        <w:rPr>
          <w:rtl/>
        </w:rPr>
        <w:t xml:space="preserve"> </w:t>
      </w:r>
      <w:r w:rsidR="007642BC">
        <w:rPr>
          <w:rtl/>
        </w:rPr>
        <w:t>-</w:t>
      </w:r>
      <w:r w:rsidR="00E3253D">
        <w:rPr>
          <w:rtl/>
        </w:rPr>
        <w:t xml:space="preserve"> </w:t>
      </w:r>
      <w:r w:rsidR="00E3253D" w:rsidRPr="005D642E">
        <w:rPr>
          <w:rtl/>
        </w:rPr>
        <w:t>« عن أبيه » ، ولذا يبدو للذهن أنّ الصواب في العبارة هو « عنه ، عن‌ابن أبي عمير » ، وأنّ الضمير راجع إلى لفظة « أبيه » ، لكن لم نجد هذا النوع من التعبير في ذيل أسناد عليّ بن إبراهيم ، بل المذكور في غير واحد من الأسناد « عنه ، عن أبيه ، عن ابن أبي عمير</w:t>
      </w:r>
      <w:r w:rsidR="00E3253D">
        <w:rPr>
          <w:rtl/>
        </w:rPr>
        <w:t xml:space="preserve"> ».</w:t>
      </w:r>
      <w:r w:rsidR="00E3253D" w:rsidRPr="005D642E">
        <w:rPr>
          <w:rtl/>
        </w:rPr>
        <w:t xml:space="preserve"> وتقدّم في الكافي ، ذيل ح 3389 </w:t>
      </w:r>
      <w:r w:rsidR="00E3253D">
        <w:rPr>
          <w:rtl/>
        </w:rPr>
        <w:t>و 3</w:t>
      </w:r>
      <w:r w:rsidR="00E3253D" w:rsidRPr="005D642E">
        <w:rPr>
          <w:rtl/>
        </w:rPr>
        <w:t xml:space="preserve">530 </w:t>
      </w:r>
      <w:r w:rsidR="00E3253D">
        <w:rPr>
          <w:rtl/>
        </w:rPr>
        <w:t>و 3</w:t>
      </w:r>
      <w:r w:rsidR="00E3253D" w:rsidRPr="005D642E">
        <w:rPr>
          <w:rtl/>
        </w:rPr>
        <w:t xml:space="preserve">795 ، أنّه لم يثبت رجوع الضمير إلى إبراهيم بن هاشم المعبّر عنه بلفظة « أبيه » في شي‌ءٍ من أسناد </w:t>
      </w:r>
      <w:r w:rsidR="00E3253D" w:rsidRPr="002F4D34">
        <w:rPr>
          <w:rStyle w:val="libFootnoteBoldChar"/>
          <w:rtl/>
        </w:rPr>
        <w:t>الكافي</w:t>
      </w:r>
      <w:r w:rsidR="00E3253D" w:rsidRPr="005D642E">
        <w:rPr>
          <w:rtl/>
        </w:rPr>
        <w:t>.</w:t>
      </w:r>
    </w:p>
    <w:p w:rsidR="00E3253D" w:rsidRPr="005D642E" w:rsidRDefault="00E3253D" w:rsidP="00B60612">
      <w:pPr>
        <w:pStyle w:val="libFootnote0"/>
        <w:rPr>
          <w:rtl/>
          <w:lang w:bidi="fa-IR"/>
        </w:rPr>
      </w:pPr>
      <w:r w:rsidRPr="0095070A">
        <w:rPr>
          <w:rtl/>
        </w:rPr>
        <w:t>فعليه لايحصل الاطمئنان بصحّة ما ورد في أكثر النسخ ، بل احتمال سقط « عن أبيه » فيها</w:t>
      </w:r>
      <w:r>
        <w:rPr>
          <w:rtl/>
        </w:rPr>
        <w:t xml:space="preserve"> </w:t>
      </w:r>
      <w:r w:rsidR="007642BC">
        <w:rPr>
          <w:rtl/>
        </w:rPr>
        <w:t>-</w:t>
      </w:r>
      <w:r>
        <w:rPr>
          <w:rtl/>
        </w:rPr>
        <w:t xml:space="preserve"> </w:t>
      </w:r>
      <w:r w:rsidRPr="0095070A">
        <w:rPr>
          <w:rtl/>
        </w:rPr>
        <w:t xml:space="preserve">لوجود المشابهة بين « عنه » </w:t>
      </w:r>
      <w:r>
        <w:rPr>
          <w:rtl/>
        </w:rPr>
        <w:t>و «</w:t>
      </w:r>
      <w:r w:rsidRPr="0095070A">
        <w:rPr>
          <w:rtl/>
        </w:rPr>
        <w:t xml:space="preserve"> أبيه » في الكتابة</w:t>
      </w:r>
      <w:r>
        <w:rPr>
          <w:rtl/>
        </w:rPr>
        <w:t xml:space="preserve"> </w:t>
      </w:r>
      <w:r w:rsidR="007642BC">
        <w:rPr>
          <w:rtl/>
        </w:rPr>
        <w:t>-</w:t>
      </w:r>
      <w:r>
        <w:rPr>
          <w:rtl/>
        </w:rPr>
        <w:t xml:space="preserve"> </w:t>
      </w:r>
      <w:r w:rsidRPr="0095070A">
        <w:rPr>
          <w:rtl/>
        </w:rPr>
        <w:t>قويّ.</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السند تحويل بعطف « حفص بن البختري ، عن أبي عبدالله </w:t>
      </w:r>
      <w:r w:rsidR="00E3253D" w:rsidRPr="00734881">
        <w:rPr>
          <w:rStyle w:val="libFootnoteAlaemChar"/>
          <w:rtl/>
        </w:rPr>
        <w:t>عليه‌السلام</w:t>
      </w:r>
      <w:r w:rsidR="00E3253D" w:rsidRPr="005D642E">
        <w:rPr>
          <w:rtl/>
        </w:rPr>
        <w:t xml:space="preserve"> » على « أبي أيّوب ، عن محمّد بن مسلم ، عن أبي جعفر </w:t>
      </w:r>
      <w:r w:rsidR="00E3253D" w:rsidRPr="00734881">
        <w:rPr>
          <w:rStyle w:val="libFootnoteAlaemChar"/>
          <w:rtl/>
        </w:rPr>
        <w:t>عليه‌السلام</w:t>
      </w:r>
      <w:r w:rsidR="00E3253D" w:rsidRPr="005D642E">
        <w:rPr>
          <w:rtl/>
        </w:rPr>
        <w:t xml:space="preserve"> » ؛ فقد روى ابن أبي عمير كتاب حفص بن البختري ، ووردت رواية ابن أبي عمير ، عن حفص بن البختري ، عن أبي عبدالله </w:t>
      </w:r>
      <w:r w:rsidR="00E3253D" w:rsidRPr="00734881">
        <w:rPr>
          <w:rStyle w:val="libFootnoteAlaemChar"/>
          <w:rtl/>
        </w:rPr>
        <w:t>عليه‌السلام</w:t>
      </w:r>
      <w:r w:rsidR="00E3253D" w:rsidRPr="005D642E">
        <w:rPr>
          <w:rtl/>
        </w:rPr>
        <w:t xml:space="preserve"> في كثيرٍ من الأسناد. راجع : </w:t>
      </w:r>
      <w:r w:rsidR="00E3253D" w:rsidRPr="002F4D34">
        <w:rPr>
          <w:rStyle w:val="libFootnoteBoldChar"/>
          <w:rtl/>
        </w:rPr>
        <w:t>رجال النجاشي</w:t>
      </w:r>
      <w:r w:rsidR="00E3253D" w:rsidRPr="005D642E">
        <w:rPr>
          <w:rtl/>
        </w:rPr>
        <w:t xml:space="preserve"> ، ص 134 ، الرقم 344 ؛ </w:t>
      </w:r>
      <w:r w:rsidR="0059794D" w:rsidRPr="0059794D">
        <w:rPr>
          <w:rStyle w:val="libFootnoteBoldChar"/>
          <w:rtl/>
        </w:rPr>
        <w:t>الفهرست للطوسي</w:t>
      </w:r>
      <w:r w:rsidR="00E3253D" w:rsidRPr="005D642E">
        <w:rPr>
          <w:rtl/>
        </w:rPr>
        <w:t xml:space="preserve"> ، ص 158 ، الرقم 243 ؛ </w:t>
      </w:r>
      <w:r w:rsidR="00E3253D" w:rsidRPr="002F4D34">
        <w:rPr>
          <w:rStyle w:val="libFootnoteBoldChar"/>
          <w:rtl/>
        </w:rPr>
        <w:t>معجم رجال الحديث</w:t>
      </w:r>
      <w:r w:rsidR="00E3253D" w:rsidRPr="005D642E">
        <w:rPr>
          <w:rtl/>
        </w:rPr>
        <w:t xml:space="preserve"> ، ج 6 ، ص 361</w:t>
      </w:r>
      <w:r w:rsidR="00E3253D">
        <w:rPr>
          <w:rtl/>
        </w:rPr>
        <w:t xml:space="preserve"> </w:t>
      </w:r>
      <w:r w:rsidR="007642BC">
        <w:rPr>
          <w:rtl/>
        </w:rPr>
        <w:t>-</w:t>
      </w:r>
      <w:r w:rsidR="00E3253D">
        <w:rPr>
          <w:rtl/>
        </w:rPr>
        <w:t xml:space="preserve"> </w:t>
      </w:r>
      <w:r w:rsidR="00E3253D" w:rsidRPr="005D642E">
        <w:rPr>
          <w:rtl/>
        </w:rPr>
        <w:t>363.</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جن » : + « شهادة أن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8872BF">
        <w:rPr>
          <w:rtl/>
        </w:rPr>
        <w:t xml:space="preserve"> قال العل</w:t>
      </w:r>
      <w:r w:rsidR="008872BF">
        <w:rPr>
          <w:rFonts w:hint="cs"/>
          <w:rtl/>
        </w:rPr>
        <w:t>ّ</w:t>
      </w:r>
      <w:r w:rsidR="008872BF">
        <w:rPr>
          <w:rtl/>
        </w:rPr>
        <w:t>ا</w:t>
      </w:r>
      <w:r w:rsidR="00E3253D" w:rsidRPr="005D642E">
        <w:rPr>
          <w:rtl/>
        </w:rPr>
        <w:t>مة الفيض : « وذلك لأنّهم مستغنون عن تلقين التوحيد ؛ لأنّه خمّر بطينتهم لاينفكّون عنه</w:t>
      </w:r>
      <w:r w:rsidR="00E3253D">
        <w:rPr>
          <w:rtl/>
        </w:rPr>
        <w:t xml:space="preserve"> ».</w:t>
      </w:r>
      <w:r w:rsidR="00E3253D" w:rsidRPr="005D642E">
        <w:rPr>
          <w:rtl/>
        </w:rPr>
        <w:t xml:space="preserve"> وقال </w:t>
      </w:r>
      <w:r w:rsidR="001D6B75">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رَسُولُ اللهِ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314029">
        <w:rPr>
          <w:rtl/>
        </w:rPr>
        <w:t>4291</w:t>
      </w:r>
      <w:r w:rsidRPr="00246318">
        <w:rPr>
          <w:rStyle w:val="libBold2Char"/>
          <w:rtl/>
        </w:rPr>
        <w:t xml:space="preserve"> / 3.</w:t>
      </w:r>
      <w:r w:rsidRPr="005D642E">
        <w:rPr>
          <w:rtl/>
          <w:lang w:bidi="fa-IR"/>
        </w:rPr>
        <w:t xml:space="preserve"> عَلِيٌّ </w:t>
      </w:r>
      <w:r w:rsidRPr="007C12DB">
        <w:rPr>
          <w:rStyle w:val="libFootnotenumChar"/>
          <w:rtl/>
        </w:rPr>
        <w:t>(2)</w:t>
      </w:r>
      <w:r w:rsidRPr="005D642E">
        <w:rPr>
          <w:rtl/>
          <w:lang w:bidi="fa-IR"/>
        </w:rPr>
        <w:t xml:space="preserve"> ، عَنْ أَبِيهِ ، عَنْ حَمَّادِ بْنِ عِيسى ، عَنْ حَرِيزٍ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إِذَا أَدْرَكْتَ الرَّجُلَ عِنْدَ النَّزْعِ ، فَلَقِّنْهُ كَلِمَاتِ الْفَرَجِ : لَا</w:t>
      </w:r>
      <w:r>
        <w:rPr>
          <w:rFonts w:hint="cs"/>
          <w:rtl/>
          <w:lang w:bidi="fa-IR"/>
        </w:rPr>
        <w:t xml:space="preserve"> </w:t>
      </w:r>
      <w:r w:rsidR="00A811DF">
        <w:rPr>
          <w:rtl/>
          <w:lang w:bidi="fa-IR"/>
        </w:rPr>
        <w:t>إِلهَ إِل</w:t>
      </w:r>
      <w:r w:rsidR="00A811DF">
        <w:rPr>
          <w:rFonts w:hint="cs"/>
          <w:rtl/>
          <w:lang w:bidi="fa-IR"/>
        </w:rPr>
        <w:t>َّ</w:t>
      </w:r>
      <w:r w:rsidR="00A811DF">
        <w:rPr>
          <w:rtl/>
          <w:lang w:bidi="fa-IR"/>
        </w:rPr>
        <w:t>ا</w:t>
      </w:r>
      <w:r w:rsidRPr="005D642E">
        <w:rPr>
          <w:rtl/>
          <w:lang w:bidi="fa-IR"/>
        </w:rPr>
        <w:t xml:space="preserve"> اللهُ الْحَلِيمُ الْكَرِيمُ ، لَا</w:t>
      </w:r>
      <w:r>
        <w:rPr>
          <w:rFonts w:hint="cs"/>
          <w:rtl/>
          <w:lang w:bidi="fa-IR"/>
        </w:rPr>
        <w:t xml:space="preserve"> </w:t>
      </w:r>
      <w:r w:rsidR="00490BB8">
        <w:rPr>
          <w:rtl/>
          <w:lang w:bidi="fa-IR"/>
        </w:rPr>
        <w:t>إِلهَ إِل</w:t>
      </w:r>
      <w:r w:rsidR="00490BB8">
        <w:rPr>
          <w:rFonts w:hint="cs"/>
          <w:rtl/>
          <w:lang w:bidi="fa-IR"/>
        </w:rPr>
        <w:t>َّ</w:t>
      </w:r>
      <w:r w:rsidR="00490BB8">
        <w:rPr>
          <w:rtl/>
          <w:lang w:bidi="fa-IR"/>
        </w:rPr>
        <w:t>ا</w:t>
      </w:r>
      <w:r w:rsidRPr="005D642E">
        <w:rPr>
          <w:rtl/>
          <w:lang w:bidi="fa-IR"/>
        </w:rPr>
        <w:t xml:space="preserve"> اللهُ الْعَلِيُّ الْعَظِيمُ ، سُبْحَانَ اللهِ رَبِّ السَّمَاوَاتِ السَّبْعِ ، وَرَبِّ الْأَرَضِينَ السَّبْعِ ، وَمَا فِيهِنَّ وَمَا بَيْنَهُنَّ وَمَا تَحْتَهُنَّ </w:t>
      </w:r>
      <w:r w:rsidRPr="007C12DB">
        <w:rPr>
          <w:rStyle w:val="libFootnotenumChar"/>
          <w:rtl/>
        </w:rPr>
        <w:t>(3)</w:t>
      </w:r>
      <w:r w:rsidRPr="005D642E">
        <w:rPr>
          <w:rtl/>
          <w:lang w:bidi="fa-IR"/>
        </w:rPr>
        <w:t xml:space="preserve"> وَ</w:t>
      </w:r>
      <w:r>
        <w:rPr>
          <w:rFonts w:hint="cs"/>
          <w:rtl/>
          <w:lang w:bidi="fa-IR"/>
        </w:rPr>
        <w:t xml:space="preserve"> </w:t>
      </w:r>
      <w:r w:rsidRPr="007C12DB">
        <w:rPr>
          <w:rStyle w:val="libFootnotenumChar"/>
          <w:rtl/>
        </w:rPr>
        <w:t>(4)</w:t>
      </w:r>
      <w:r w:rsidRPr="005D642E">
        <w:rPr>
          <w:rtl/>
          <w:lang w:bidi="fa-IR"/>
        </w:rPr>
        <w:t xml:space="preserve"> رَبِّ الْعَرْشِ الْعَظِيمِ ، وَالْحَمْدُ لِلّهِ رَبِّ الْعَالَمِينَ</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وَقَالَ </w:t>
      </w:r>
      <w:r w:rsidRPr="007C12DB">
        <w:rPr>
          <w:rStyle w:val="libFootnotenumChar"/>
          <w:rtl/>
        </w:rPr>
        <w:t>(5)</w:t>
      </w:r>
      <w:r w:rsidRPr="005D642E">
        <w:rPr>
          <w:rtl/>
          <w:lang w:bidi="fa-IR"/>
        </w:rPr>
        <w:t xml:space="preserve"> أَبُو جَعْفَرٍ </w:t>
      </w:r>
      <w:r w:rsidRPr="00AC51C5">
        <w:rPr>
          <w:rStyle w:val="libAlaemChar"/>
          <w:rtl/>
        </w:rPr>
        <w:t>عليه‌السلام</w:t>
      </w:r>
      <w:r w:rsidRPr="005D642E">
        <w:rPr>
          <w:rtl/>
          <w:lang w:bidi="fa-IR"/>
        </w:rPr>
        <w:t xml:space="preserve"> : « لَوْ أَدْرَكْتُ عِكْرِمَةَ عِنْدَ الْمَوْتِ لَنَفَعْتُهُ</w:t>
      </w:r>
      <w:r>
        <w:rPr>
          <w:rtl/>
          <w:lang w:bidi="fa-IR"/>
        </w:rPr>
        <w:t xml:space="preserve"> ».</w:t>
      </w:r>
    </w:p>
    <w:p w:rsidR="00E3253D" w:rsidRPr="005D642E" w:rsidRDefault="00E3253D" w:rsidP="00E3253D">
      <w:pPr>
        <w:pStyle w:val="libNormal"/>
        <w:rPr>
          <w:rtl/>
          <w:lang w:bidi="fa-IR"/>
        </w:rPr>
      </w:pPr>
      <w:r w:rsidRPr="005D642E">
        <w:rPr>
          <w:rtl/>
          <w:lang w:bidi="fa-IR"/>
        </w:rPr>
        <w:t xml:space="preserve">فَقِيلَ لِأَبِي عَبْدِ اللهِ </w:t>
      </w:r>
      <w:r w:rsidRPr="00AC51C5">
        <w:rPr>
          <w:rStyle w:val="libAlaemChar"/>
          <w:rtl/>
        </w:rPr>
        <w:t>عليه‌السلام</w:t>
      </w:r>
      <w:r w:rsidRPr="005D642E">
        <w:rPr>
          <w:rtl/>
          <w:lang w:bidi="fa-IR"/>
        </w:rPr>
        <w:t xml:space="preserve"> : بِمَا ذَا كَانَ يَنْفَعُهُ</w:t>
      </w:r>
      <w:r>
        <w:rPr>
          <w:rtl/>
          <w:lang w:bidi="fa-IR"/>
        </w:rPr>
        <w:t>؟</w:t>
      </w:r>
      <w:r w:rsidRPr="005D642E">
        <w:rPr>
          <w:rtl/>
          <w:lang w:bidi="fa-IR"/>
        </w:rPr>
        <w:t xml:space="preserve"> قَالَ : « يُلَقِّنُهُ </w:t>
      </w:r>
      <w:r w:rsidRPr="007C12DB">
        <w:rPr>
          <w:rStyle w:val="libFootnotenumChar"/>
          <w:rtl/>
        </w:rPr>
        <w:t>(6)</w:t>
      </w:r>
      <w:r w:rsidRPr="005D642E">
        <w:rPr>
          <w:rtl/>
          <w:lang w:bidi="fa-IR"/>
        </w:rPr>
        <w:t xml:space="preserve"> مَا أَنْتُمْ عَلَيْهِ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314029">
        <w:rPr>
          <w:rtl/>
        </w:rPr>
        <w:t>4292</w:t>
      </w:r>
      <w:r w:rsidRPr="00246318">
        <w:rPr>
          <w:rStyle w:val="libBold2Char"/>
          <w:rtl/>
        </w:rPr>
        <w:t xml:space="preserve"> / 4.</w:t>
      </w:r>
      <w:r w:rsidRPr="005D642E">
        <w:rPr>
          <w:rtl/>
          <w:lang w:bidi="fa-IR"/>
        </w:rPr>
        <w:t xml:space="preserve"> مُحَمَّدُ بْنُ يَحْيى ، عَنْ أَحْمَدَ بْنِ مُحَمَّدٍ ، عَنِ الْحُسَيْنِ بْنِ سَعِيدٍ ، عَنِ النَّضْرِ بْنِ سُوَيْدٍ ، عَنْ دَاوُدَ بْنِ سُلَيْمَانَ الْكُوفِيِّ ، عَنْ أَبِي بَكْرٍ الْحَضْرَمِيِّ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154B93" w:rsidP="00E3253D">
      <w:pPr>
        <w:pStyle w:val="libFootnote0"/>
        <w:rPr>
          <w:rtl/>
          <w:lang w:bidi="fa-IR"/>
        </w:rPr>
      </w:pPr>
      <w:r>
        <w:rPr>
          <w:rFonts w:hint="cs"/>
          <w:rtl/>
        </w:rPr>
        <w:t xml:space="preserve">= </w:t>
      </w:r>
      <w:r w:rsidR="00954BBD">
        <w:rPr>
          <w:rtl/>
        </w:rPr>
        <w:t>العل</w:t>
      </w:r>
      <w:r w:rsidR="00954BBD">
        <w:rPr>
          <w:rFonts w:hint="cs"/>
          <w:rtl/>
        </w:rPr>
        <w:t>ّ</w:t>
      </w:r>
      <w:r w:rsidR="00954BBD">
        <w:rPr>
          <w:rtl/>
        </w:rPr>
        <w:t>ا</w:t>
      </w:r>
      <w:r w:rsidR="00E3253D" w:rsidRPr="005D642E">
        <w:rPr>
          <w:rtl/>
        </w:rPr>
        <w:t xml:space="preserve">مة المجلسي : « قوله </w:t>
      </w:r>
      <w:r w:rsidR="00E3253D" w:rsidRPr="004309F6">
        <w:rPr>
          <w:rStyle w:val="libFootnoteAlaemChar"/>
          <w:rtl/>
        </w:rPr>
        <w:t>عليه‌السلام</w:t>
      </w:r>
      <w:r w:rsidR="00E3253D" w:rsidRPr="005D642E">
        <w:rPr>
          <w:rtl/>
        </w:rPr>
        <w:t xml:space="preserve"> : إنّكم ، أي من عندكم من العامّة يكتفون في التلقين بالشهادة بالتوحيد ، ونحن نضمّ إليها الشهادة بالرسالة » ثمّ ذكر وجوهاً ا</w:t>
      </w:r>
      <w:r w:rsidR="004309F6">
        <w:rPr>
          <w:rFonts w:hint="cs"/>
          <w:rtl/>
        </w:rPr>
        <w:t>ُ</w:t>
      </w:r>
      <w:r w:rsidR="00E3253D" w:rsidRPr="005D642E">
        <w:rPr>
          <w:rtl/>
        </w:rPr>
        <w:t>خر وقال : « ولايخفى بعد ما سوى الأوّل</w:t>
      </w:r>
      <w:r w:rsidR="00E3253D">
        <w:rPr>
          <w:rtl/>
        </w:rPr>
        <w:t xml:space="preserve"> ».</w:t>
      </w:r>
      <w:r w:rsidR="00E3253D" w:rsidRPr="005D642E">
        <w:rPr>
          <w:rtl/>
        </w:rPr>
        <w:t xml:space="preserve"> راجع : </w:t>
      </w:r>
      <w:r w:rsidR="00E3253D" w:rsidRPr="002F4D34">
        <w:rPr>
          <w:rStyle w:val="libFootnoteBoldChar"/>
          <w:rtl/>
        </w:rPr>
        <w:t>مرآة العقول</w:t>
      </w:r>
      <w:r w:rsidR="00E3253D" w:rsidRPr="005D642E">
        <w:rPr>
          <w:rtl/>
        </w:rPr>
        <w:t xml:space="preserve"> ، ج 13 ، ص 277.</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الفقيه</w:t>
      </w:r>
      <w:r w:rsidR="00E3253D" w:rsidRPr="005D642E">
        <w:rPr>
          <w:rtl/>
        </w:rPr>
        <w:t xml:space="preserve"> ، ج 1 ، ص 131 ، ح 344 ، مرسلاً عن أبي جعفر </w:t>
      </w:r>
      <w:r w:rsidR="00E3253D" w:rsidRPr="004309F6">
        <w:rPr>
          <w:rStyle w:val="libFootnoteAlaemChar"/>
          <w:rtl/>
        </w:rPr>
        <w:t>عليه‌السلام</w:t>
      </w:r>
      <w:r w:rsidR="00E3253D" w:rsidRPr="005D642E">
        <w:rPr>
          <w:rtl/>
        </w:rPr>
        <w:t xml:space="preserve"> ، مع اختلاف يسير </w:t>
      </w:r>
      <w:r w:rsidR="004309F6">
        <w:rPr>
          <w:rFonts w:hint="cs"/>
          <w:rtl/>
        </w:rPr>
        <w:t>.</w:t>
      </w:r>
      <w:r w:rsidR="00E3253D" w:rsidRPr="002F4D34">
        <w:rPr>
          <w:rStyle w:val="libFootnoteBoldChar"/>
          <w:rtl/>
        </w:rPr>
        <w:t>الوافي</w:t>
      </w:r>
      <w:r w:rsidR="00E3253D" w:rsidRPr="005D642E">
        <w:rPr>
          <w:rtl/>
        </w:rPr>
        <w:t xml:space="preserve"> ، ج 24 ، ص 231 ، ح 23949 ؛ </w:t>
      </w:r>
      <w:r w:rsidR="00E3253D" w:rsidRPr="002F4D34">
        <w:rPr>
          <w:rStyle w:val="libFootnoteBoldChar"/>
          <w:rtl/>
        </w:rPr>
        <w:t>الوسائل</w:t>
      </w:r>
      <w:r w:rsidR="00E3253D" w:rsidRPr="005D642E">
        <w:rPr>
          <w:rtl/>
        </w:rPr>
        <w:t xml:space="preserve"> ، ج 2 ، ص 454 ، ح 2630.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عليّ بن إبراهيم</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ى ، بح ، بخ ، جس ، جن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وما تحتهنّ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 هو</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المطبوع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 « تلقّنه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يعنى بما أنتم عليه ، الإقرار بالأئمّة </w:t>
      </w:r>
      <w:r w:rsidR="00E3253D" w:rsidRPr="004309F6">
        <w:rPr>
          <w:rStyle w:val="libFootnoteAlaemChar"/>
          <w:rtl/>
        </w:rPr>
        <w:t>عليهم‌السلام</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288 ، ح 839 ، بسنده عن الكليني. </w:t>
      </w:r>
      <w:r w:rsidR="00E3253D" w:rsidRPr="002F4D34">
        <w:rPr>
          <w:rStyle w:val="libFootnoteBoldChar"/>
          <w:rtl/>
        </w:rPr>
        <w:t>رجال الكشّي</w:t>
      </w:r>
      <w:r w:rsidR="00E3253D" w:rsidRPr="005D642E">
        <w:rPr>
          <w:rtl/>
        </w:rPr>
        <w:t xml:space="preserve"> ، ص 216 ، ح 387 ، بسنده عن حمّاد بن عيسى ، مع زيادة في آخره. </w:t>
      </w:r>
      <w:r w:rsidR="00E3253D" w:rsidRPr="002F4D34">
        <w:rPr>
          <w:rStyle w:val="libFootnoteBoldChar"/>
          <w:rtl/>
        </w:rPr>
        <w:t>الفقيه</w:t>
      </w:r>
      <w:r w:rsidR="00E3253D" w:rsidRPr="005D642E">
        <w:rPr>
          <w:rtl/>
        </w:rPr>
        <w:t xml:space="preserve"> ، ج 1 ، ص 134 ، ح 356 ، مرسلاً ، وفيهما من قوله : « لو أدركت عكرمة عند الموت » مع اختلاف يسير </w:t>
      </w:r>
      <w:r w:rsidR="004309F6">
        <w:rPr>
          <w:rFonts w:hint="cs"/>
          <w:rtl/>
        </w:rPr>
        <w:t>.</w:t>
      </w:r>
      <w:r w:rsidR="00E3253D" w:rsidRPr="002F4D34">
        <w:rPr>
          <w:rStyle w:val="libFootnoteBoldChar"/>
          <w:rtl/>
        </w:rPr>
        <w:t>الوافي</w:t>
      </w:r>
      <w:r w:rsidR="00E3253D" w:rsidRPr="005D642E">
        <w:rPr>
          <w:rtl/>
        </w:rPr>
        <w:t xml:space="preserve"> ، ج 24 ، ص 232 ، ح 23951 ؛ </w:t>
      </w:r>
      <w:r w:rsidR="00E3253D" w:rsidRPr="002F4D34">
        <w:rPr>
          <w:rStyle w:val="libFootnoteBoldChar"/>
          <w:rtl/>
        </w:rPr>
        <w:t>الوسائل</w:t>
      </w:r>
      <w:r w:rsidR="00E3253D" w:rsidRPr="005D642E">
        <w:rPr>
          <w:rtl/>
        </w:rPr>
        <w:t xml:space="preserve"> ، ج 2 ، ص 457 ، ح 2641 ، من قوله : « لو أدركت عكرمة عند الموت » ؛ </w:t>
      </w:r>
      <w:r w:rsidR="00E3253D" w:rsidRPr="002F4D34">
        <w:rPr>
          <w:rStyle w:val="libFootnoteBoldChar"/>
          <w:rtl/>
        </w:rPr>
        <w:t>وفيه</w:t>
      </w:r>
      <w:r w:rsidR="00E3253D" w:rsidRPr="005D642E">
        <w:rPr>
          <w:rtl/>
        </w:rPr>
        <w:t xml:space="preserve"> ، ص 459 ، ح 2645 ، إلى قوله : « الحمد لله</w:t>
      </w:r>
      <w:r w:rsidR="00591486">
        <w:rPr>
          <w:rFonts w:hint="cs"/>
          <w:rtl/>
        </w:rPr>
        <w:t xml:space="preserve"> </w:t>
      </w:r>
      <w:r w:rsidR="00E3253D" w:rsidRPr="005D642E">
        <w:rPr>
          <w:rtl/>
        </w:rPr>
        <w:t>‌ربّ العالمين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مَرِضَ رَجُلٌ مِنْ أَهْلِ بَيْتِي ، فَأَتَيْتُهُ عَائِداً لَهُ </w:t>
      </w:r>
      <w:r w:rsidRPr="007C12DB">
        <w:rPr>
          <w:rStyle w:val="libFootnotenumChar"/>
          <w:rtl/>
        </w:rPr>
        <w:t>(1)</w:t>
      </w:r>
      <w:r w:rsidRPr="005D642E">
        <w:rPr>
          <w:rtl/>
          <w:lang w:bidi="fa-IR"/>
        </w:rPr>
        <w:t xml:space="preserve"> ، فَقُلْتُ لَهُ : يَا </w:t>
      </w:r>
      <w:r w:rsidRPr="007C12DB">
        <w:rPr>
          <w:rStyle w:val="libFootnotenumChar"/>
          <w:rtl/>
        </w:rPr>
        <w:t>(2)</w:t>
      </w:r>
      <w:r w:rsidRPr="005D642E">
        <w:rPr>
          <w:rtl/>
          <w:lang w:bidi="fa-IR"/>
        </w:rPr>
        <w:t xml:space="preserve"> ابْنَ أَخِي </w:t>
      </w:r>
      <w:r w:rsidRPr="007C12DB">
        <w:rPr>
          <w:rStyle w:val="libFootnotenumChar"/>
          <w:rtl/>
        </w:rPr>
        <w:t>(3)</w:t>
      </w:r>
      <w:r w:rsidRPr="005D642E">
        <w:rPr>
          <w:rtl/>
          <w:lang w:bidi="fa-IR"/>
        </w:rPr>
        <w:t xml:space="preserve"> ، إِنَّ لَكَ عِنْدِي </w:t>
      </w:r>
      <w:r w:rsidRPr="007C12DB">
        <w:rPr>
          <w:rStyle w:val="libFootnotenumChar"/>
          <w:rtl/>
        </w:rPr>
        <w:t>(4)</w:t>
      </w:r>
      <w:r w:rsidRPr="005D642E">
        <w:rPr>
          <w:rtl/>
          <w:lang w:bidi="fa-IR"/>
        </w:rPr>
        <w:t xml:space="preserve"> نَصِيحَةً </w:t>
      </w:r>
      <w:r>
        <w:rPr>
          <w:rtl/>
          <w:lang w:bidi="fa-IR"/>
        </w:rPr>
        <w:t>أَ</w:t>
      </w:r>
      <w:r w:rsidRPr="005D642E">
        <w:rPr>
          <w:rtl/>
          <w:lang w:bidi="fa-IR"/>
        </w:rPr>
        <w:t xml:space="preserve">تَقْبَلُهَا </w:t>
      </w:r>
      <w:r w:rsidRPr="007C12DB">
        <w:rPr>
          <w:rStyle w:val="libFootnotenumChar"/>
          <w:rtl/>
        </w:rPr>
        <w:t>(5)</w:t>
      </w:r>
      <w:r>
        <w:rPr>
          <w:rtl/>
          <w:lang w:bidi="fa-IR"/>
        </w:rPr>
        <w:t>؟</w:t>
      </w:r>
      <w:r w:rsidRPr="005D642E">
        <w:rPr>
          <w:rtl/>
          <w:lang w:bidi="fa-IR"/>
        </w:rPr>
        <w:t xml:space="preserve"> فَقَالَ </w:t>
      </w:r>
      <w:r w:rsidRPr="007C12DB">
        <w:rPr>
          <w:rStyle w:val="libFootnotenumChar"/>
          <w:rtl/>
        </w:rPr>
        <w:t>(6)</w:t>
      </w:r>
      <w:r w:rsidRPr="005D642E">
        <w:rPr>
          <w:rtl/>
          <w:lang w:bidi="fa-IR"/>
        </w:rPr>
        <w:t xml:space="preserve"> : نَعَمْ ، فَقُلْتُ </w:t>
      </w:r>
      <w:r w:rsidRPr="007C12DB">
        <w:rPr>
          <w:rStyle w:val="libFootnotenumChar"/>
          <w:rtl/>
        </w:rPr>
        <w:t>(7)</w:t>
      </w:r>
      <w:r w:rsidRPr="005D642E">
        <w:rPr>
          <w:rtl/>
          <w:lang w:bidi="fa-IR"/>
        </w:rPr>
        <w:t xml:space="preserve"> : قُلْ : أَشْهَدُ أَنْ لَا</w:t>
      </w:r>
      <w:r>
        <w:rPr>
          <w:rFonts w:hint="cs"/>
          <w:rtl/>
          <w:lang w:bidi="fa-IR"/>
        </w:rPr>
        <w:t xml:space="preserve"> </w:t>
      </w:r>
      <w:r w:rsidR="004309F6">
        <w:rPr>
          <w:rtl/>
          <w:lang w:bidi="fa-IR"/>
        </w:rPr>
        <w:t>إِلهَ إِل</w:t>
      </w:r>
      <w:r w:rsidR="004309F6">
        <w:rPr>
          <w:rFonts w:hint="cs"/>
          <w:rtl/>
          <w:lang w:bidi="fa-IR"/>
        </w:rPr>
        <w:t>َّ</w:t>
      </w:r>
      <w:r w:rsidR="004309F6">
        <w:rPr>
          <w:rtl/>
          <w:lang w:bidi="fa-IR"/>
        </w:rPr>
        <w:t>ا</w:t>
      </w:r>
      <w:r w:rsidRPr="005D642E">
        <w:rPr>
          <w:rtl/>
          <w:lang w:bidi="fa-IR"/>
        </w:rPr>
        <w:t xml:space="preserve"> اللهُ وَحْدَهُ لَا شَرِيكَ لَهُ ، فَشَهِدَ بِذلِكَ </w:t>
      </w:r>
      <w:r w:rsidRPr="007C12DB">
        <w:rPr>
          <w:rStyle w:val="libFootnotenumChar"/>
          <w:rtl/>
        </w:rPr>
        <w:t>(8)</w:t>
      </w:r>
    </w:p>
    <w:p w:rsidR="00E3253D" w:rsidRPr="005D642E" w:rsidRDefault="00E3253D" w:rsidP="00E3253D">
      <w:pPr>
        <w:pStyle w:val="libNormal"/>
        <w:rPr>
          <w:rtl/>
          <w:lang w:bidi="fa-IR"/>
        </w:rPr>
      </w:pPr>
      <w:r w:rsidRPr="005D642E">
        <w:rPr>
          <w:rtl/>
          <w:lang w:bidi="fa-IR"/>
        </w:rPr>
        <w:t xml:space="preserve">فَقُلْتُ </w:t>
      </w:r>
      <w:r w:rsidRPr="007C12DB">
        <w:rPr>
          <w:rStyle w:val="libFootnotenumChar"/>
          <w:rtl/>
        </w:rPr>
        <w:t>(9)</w:t>
      </w:r>
      <w:r w:rsidRPr="005D642E">
        <w:rPr>
          <w:rtl/>
          <w:lang w:bidi="fa-IR"/>
        </w:rPr>
        <w:t xml:space="preserve"> : قُلْ : وَأَنَّ </w:t>
      </w:r>
      <w:r w:rsidRPr="007C12DB">
        <w:rPr>
          <w:rStyle w:val="libFootnotenumChar"/>
          <w:rtl/>
        </w:rPr>
        <w:t>(10)</w:t>
      </w:r>
      <w:r w:rsidRPr="005D642E">
        <w:rPr>
          <w:rtl/>
          <w:lang w:bidi="fa-IR"/>
        </w:rPr>
        <w:t xml:space="preserve"> مُحَمَّداً رَسُولُ اللهِ </w:t>
      </w:r>
      <w:r w:rsidRPr="007C12DB">
        <w:rPr>
          <w:rStyle w:val="libFootnotenumChar"/>
          <w:rtl/>
        </w:rPr>
        <w:t>(11)</w:t>
      </w:r>
      <w:r w:rsidRPr="005D642E">
        <w:rPr>
          <w:rtl/>
          <w:lang w:bidi="fa-IR"/>
        </w:rPr>
        <w:t xml:space="preserve"> ، فَشَهِدَ بِذلِكَ ، فَقُلْتُ </w:t>
      </w:r>
      <w:r w:rsidRPr="007C12DB">
        <w:rPr>
          <w:rStyle w:val="libFootnotenumChar"/>
          <w:rtl/>
        </w:rPr>
        <w:t>(12)</w:t>
      </w:r>
      <w:r w:rsidRPr="005D642E">
        <w:rPr>
          <w:rtl/>
          <w:lang w:bidi="fa-IR"/>
        </w:rPr>
        <w:t xml:space="preserve"> : إِنَّ هذَا لَا تَنْتَفِعُ </w:t>
      </w:r>
      <w:r w:rsidRPr="007C12DB">
        <w:rPr>
          <w:rStyle w:val="libFootnotenumChar"/>
          <w:rtl/>
        </w:rPr>
        <w:t>(13)</w:t>
      </w:r>
      <w:r w:rsidR="00230299">
        <w:rPr>
          <w:rtl/>
          <w:lang w:bidi="fa-IR"/>
        </w:rPr>
        <w:t xml:space="preserve"> بِهِ إِل</w:t>
      </w:r>
      <w:r w:rsidR="00230299">
        <w:rPr>
          <w:rFonts w:hint="cs"/>
          <w:rtl/>
          <w:lang w:bidi="fa-IR"/>
        </w:rPr>
        <w:t>َّ</w:t>
      </w:r>
      <w:r w:rsidR="00230299">
        <w:rPr>
          <w:rtl/>
          <w:lang w:bidi="fa-IR"/>
        </w:rPr>
        <w:t>ا</w:t>
      </w:r>
      <w:r w:rsidRPr="005D642E">
        <w:rPr>
          <w:rtl/>
          <w:lang w:bidi="fa-IR"/>
        </w:rPr>
        <w:t xml:space="preserve"> أَنْ </w:t>
      </w:r>
      <w:r w:rsidRPr="007C12DB">
        <w:rPr>
          <w:rStyle w:val="libFootnotenumChar"/>
          <w:rtl/>
        </w:rPr>
        <w:t>(14)</w:t>
      </w:r>
      <w:r w:rsidRPr="005D642E">
        <w:rPr>
          <w:rtl/>
          <w:lang w:bidi="fa-IR"/>
        </w:rPr>
        <w:t xml:space="preserve"> يَكُونَ مِنْكَ عَلى يَقِينٍ ، فَذَكَرَ أَنَّهُ مِنْهُ عَلى يَقِينٍ.</w:t>
      </w:r>
    </w:p>
    <w:p w:rsidR="00E3253D" w:rsidRPr="005D642E" w:rsidRDefault="00E3253D" w:rsidP="00E3253D">
      <w:pPr>
        <w:pStyle w:val="libNormal"/>
        <w:rPr>
          <w:rtl/>
          <w:lang w:bidi="fa-IR"/>
        </w:rPr>
      </w:pPr>
      <w:r w:rsidRPr="005D642E">
        <w:rPr>
          <w:rtl/>
          <w:lang w:bidi="fa-IR"/>
        </w:rPr>
        <w:t xml:space="preserve">فَقُلْتُ : قُلْ </w:t>
      </w:r>
      <w:r w:rsidRPr="007C12DB">
        <w:rPr>
          <w:rStyle w:val="libFootnotenumChar"/>
          <w:rtl/>
        </w:rPr>
        <w:t>(15)</w:t>
      </w:r>
      <w:r w:rsidRPr="005D642E">
        <w:rPr>
          <w:rtl/>
          <w:lang w:bidi="fa-IR"/>
        </w:rPr>
        <w:t xml:space="preserve"> : أَشْهَدُ أَنَّ عَلِيّاً وَصِيُّهُ وَهُوَ الْخَلِيفَةُ مِنْ بَعْدِهِ ، وَالْإِمَامُ الْمُفْتَرَضُ الطَّاعَةِ مِنْ بَعْدِهِ ، فَشَهِدَ بِذلِكَ ، فَقُلْتُ لَهُ : إِنَّكَ لَنْ تَنْتَفِعَ </w:t>
      </w:r>
      <w:r w:rsidRPr="007C12DB">
        <w:rPr>
          <w:rStyle w:val="libFootnotenumChar"/>
          <w:rtl/>
        </w:rPr>
        <w:t>(16)</w:t>
      </w:r>
      <w:r w:rsidRPr="005D642E">
        <w:rPr>
          <w:rtl/>
          <w:lang w:bidi="fa-IR"/>
        </w:rPr>
        <w:t xml:space="preserve"> بِذلِكَ حَتّى يَكُونَ </w:t>
      </w:r>
      <w:r w:rsidRPr="007C12DB">
        <w:rPr>
          <w:rStyle w:val="libFootnotenumChar"/>
          <w:rtl/>
        </w:rPr>
        <w:t>(17)</w:t>
      </w:r>
      <w:r w:rsidRPr="005D642E">
        <w:rPr>
          <w:rtl/>
          <w:lang w:bidi="fa-IR"/>
        </w:rPr>
        <w:t xml:space="preserve"> مِنْكَ عَلى يَقِينٍ </w:t>
      </w:r>
      <w:r w:rsidRPr="007C12DB">
        <w:rPr>
          <w:rStyle w:val="libFootnotenumChar"/>
          <w:rtl/>
        </w:rPr>
        <w:t>(18)</w:t>
      </w:r>
      <w:r w:rsidRPr="005D642E">
        <w:rPr>
          <w:rtl/>
          <w:lang w:bidi="fa-IR"/>
        </w:rPr>
        <w:t xml:space="preserve"> ، فَذَكَرَ أَنَّهُ مِنْهُ </w:t>
      </w:r>
      <w:r w:rsidRPr="007C12DB">
        <w:rPr>
          <w:rStyle w:val="libFootnotenumChar"/>
          <w:rtl/>
        </w:rPr>
        <w:t>(19)</w:t>
      </w:r>
      <w:r w:rsidRPr="005D642E">
        <w:rPr>
          <w:rtl/>
          <w:lang w:bidi="fa-IR"/>
        </w:rPr>
        <w:t xml:space="preserve"> عَلى يَقِينٍ.</w:t>
      </w:r>
    </w:p>
    <w:p w:rsidR="00E3253D" w:rsidRPr="005D642E" w:rsidRDefault="00E3253D" w:rsidP="00E3253D">
      <w:pPr>
        <w:pStyle w:val="libNormal"/>
        <w:rPr>
          <w:rtl/>
          <w:lang w:bidi="fa-IR"/>
        </w:rPr>
      </w:pPr>
      <w:r w:rsidRPr="005D642E">
        <w:rPr>
          <w:rtl/>
          <w:lang w:bidi="fa-IR"/>
        </w:rPr>
        <w:t xml:space="preserve">ثُمَّ سَمَّيْتُ لَهُ </w:t>
      </w:r>
      <w:r w:rsidRPr="007C12DB">
        <w:rPr>
          <w:rStyle w:val="libFootnotenumChar"/>
          <w:rtl/>
        </w:rPr>
        <w:t>(20)</w:t>
      </w:r>
      <w:r w:rsidRPr="005D642E">
        <w:rPr>
          <w:rtl/>
          <w:lang w:bidi="fa-IR"/>
        </w:rPr>
        <w:t xml:space="preserve"> الْأَئِمَّةَ </w:t>
      </w:r>
      <w:r w:rsidRPr="00AC51C5">
        <w:rPr>
          <w:rStyle w:val="libAlaemChar"/>
          <w:rtl/>
        </w:rPr>
        <w:t>عليهم‌السلام</w:t>
      </w:r>
      <w:r w:rsidRPr="005D642E">
        <w:rPr>
          <w:rtl/>
          <w:lang w:bidi="fa-IR"/>
        </w:rPr>
        <w:t xml:space="preserve"> </w:t>
      </w:r>
      <w:r w:rsidRPr="007C12DB">
        <w:rPr>
          <w:rStyle w:val="libFootnotenumChar"/>
          <w:rtl/>
        </w:rPr>
        <w:t>(21)</w:t>
      </w:r>
      <w:r w:rsidRPr="005D642E">
        <w:rPr>
          <w:rtl/>
          <w:lang w:bidi="fa-IR"/>
        </w:rPr>
        <w:t xml:space="preserve"> رَجُلاً‌</w:t>
      </w:r>
      <w:r w:rsidR="008D47CF">
        <w:rPr>
          <w:rFonts w:hint="cs"/>
          <w:rtl/>
          <w:lang w:bidi="fa-IR"/>
        </w:rPr>
        <w:t>.........................................</w:t>
      </w:r>
      <w:r w:rsidR="008D47CF">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التي قوبلت </w:t>
      </w:r>
      <w:r w:rsidR="00B60612" w:rsidRPr="00B60612">
        <w:rPr>
          <w:rStyle w:val="libFootnoteBoldChar"/>
          <w:rtl/>
        </w:rPr>
        <w:t>والتهذيب</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205E93" w:rsidTr="00205E93">
        <w:tc>
          <w:tcPr>
            <w:tcW w:w="4006" w:type="dxa"/>
          </w:tcPr>
          <w:p w:rsidR="00205E93" w:rsidRDefault="00205E93" w:rsidP="00E3253D">
            <w:pPr>
              <w:pStyle w:val="libFootnote0"/>
              <w:rPr>
                <w:rStyle w:val="libFootnote0Char"/>
                <w:rtl/>
              </w:rPr>
            </w:pPr>
            <w:r w:rsidRPr="0042621E">
              <w:rPr>
                <w:rStyle w:val="libFootnote0Char"/>
                <w:rtl/>
              </w:rPr>
              <w:t>(2).</w:t>
            </w:r>
            <w:r w:rsidRPr="005D642E">
              <w:rPr>
                <w:rtl/>
              </w:rPr>
              <w:t xml:space="preserve"> في « بس ، جس » :</w:t>
            </w:r>
            <w:r>
              <w:rPr>
                <w:rtl/>
              </w:rPr>
              <w:t xml:space="preserve"> - </w:t>
            </w:r>
            <w:r w:rsidRPr="005D642E">
              <w:rPr>
                <w:rtl/>
              </w:rPr>
              <w:t>« يا</w:t>
            </w:r>
            <w:r>
              <w:rPr>
                <w:rtl/>
              </w:rPr>
              <w:t xml:space="preserve"> ».</w:t>
            </w:r>
          </w:p>
        </w:tc>
        <w:tc>
          <w:tcPr>
            <w:tcW w:w="4006" w:type="dxa"/>
          </w:tcPr>
          <w:p w:rsidR="00205E93" w:rsidRDefault="00205E93" w:rsidP="00E3253D">
            <w:pPr>
              <w:pStyle w:val="libFootnote0"/>
              <w:rPr>
                <w:rStyle w:val="libFootnote0Char"/>
                <w:rtl/>
              </w:rPr>
            </w:pPr>
            <w:r w:rsidRPr="0042621E">
              <w:rPr>
                <w:rStyle w:val="libFootnote0Char"/>
                <w:rtl/>
              </w:rPr>
              <w:t>(3).</w:t>
            </w:r>
            <w:r w:rsidRPr="005D642E">
              <w:rPr>
                <w:rtl/>
              </w:rPr>
              <w:t xml:space="preserve"> في الوافي : « أخ</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بح ، بس ، جح ، جس » وحاشية « ظ ، بخ ، جن » : « لي عندك » بدل « لك عندي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 « تقبّلها منّي</w:t>
      </w:r>
      <w:r w:rsidR="00E3253D">
        <w:rPr>
          <w:rtl/>
        </w:rPr>
        <w:t xml:space="preserve"> ».</w:t>
      </w:r>
      <w:r w:rsidR="00E3253D" w:rsidRPr="005D642E">
        <w:rPr>
          <w:rtl/>
        </w:rPr>
        <w:t xml:space="preserve"> وفي « بف » : « تقبلها » كلاهما بدون همزة الاستفهام. وفي « جح » : + « منّي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65791" w:rsidTr="00865791">
        <w:tc>
          <w:tcPr>
            <w:tcW w:w="4006" w:type="dxa"/>
          </w:tcPr>
          <w:p w:rsidR="00865791" w:rsidRDefault="00865791" w:rsidP="00E3253D">
            <w:pPr>
              <w:pStyle w:val="libFootnote0"/>
              <w:rPr>
                <w:rStyle w:val="libFootnote0Char"/>
                <w:rtl/>
              </w:rPr>
            </w:pPr>
            <w:r w:rsidRPr="0042621E">
              <w:rPr>
                <w:rStyle w:val="libFootnote0Char"/>
                <w:rtl/>
              </w:rPr>
              <w:t>(6).</w:t>
            </w:r>
            <w:r w:rsidRPr="005D642E">
              <w:rPr>
                <w:rtl/>
              </w:rPr>
              <w:t xml:space="preserve"> في « ى ، بس » : « قال</w:t>
            </w:r>
            <w:r>
              <w:rPr>
                <w:rtl/>
              </w:rPr>
              <w:t xml:space="preserve"> ».</w:t>
            </w:r>
          </w:p>
        </w:tc>
        <w:tc>
          <w:tcPr>
            <w:tcW w:w="4006" w:type="dxa"/>
          </w:tcPr>
          <w:p w:rsidR="00865791" w:rsidRDefault="00865791" w:rsidP="00E3253D">
            <w:pPr>
              <w:pStyle w:val="libFootnote0"/>
              <w:rPr>
                <w:rStyle w:val="libFootnote0Char"/>
                <w:rtl/>
              </w:rPr>
            </w:pPr>
            <w:r w:rsidRPr="0042621E">
              <w:rPr>
                <w:rStyle w:val="libFootnote0Char"/>
                <w:rtl/>
              </w:rPr>
              <w:t>(7).</w:t>
            </w:r>
            <w:r w:rsidRPr="005D642E">
              <w:rPr>
                <w:rtl/>
              </w:rPr>
              <w:t xml:space="preserve"> في « بخ » </w:t>
            </w:r>
            <w:r w:rsidRPr="000D749A">
              <w:rPr>
                <w:rStyle w:val="libFootnoteBoldChar"/>
                <w:rtl/>
              </w:rPr>
              <w:t>والوافي</w:t>
            </w:r>
            <w:r w:rsidRPr="005D642E">
              <w:rPr>
                <w:rtl/>
              </w:rPr>
              <w:t xml:space="preserve"> : « قلت</w:t>
            </w:r>
            <w:r>
              <w:rPr>
                <w:rtl/>
              </w:rPr>
              <w:t xml:space="preserve"> ».</w:t>
            </w:r>
          </w:p>
        </w:tc>
      </w:tr>
    </w:tbl>
    <w:p w:rsidR="00E3253D" w:rsidRPr="005D642E" w:rsidRDefault="0042621E" w:rsidP="00D335D2">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وفي المطبوع : + </w:t>
      </w:r>
      <w:r w:rsidR="00EF7DA4">
        <w:rPr>
          <w:rtl/>
        </w:rPr>
        <w:t>« فقلت : إنّ هذا لاتنتفع به إل</w:t>
      </w:r>
      <w:r w:rsidR="00EF7DA4">
        <w:rPr>
          <w:rFonts w:hint="cs"/>
          <w:rtl/>
        </w:rPr>
        <w:t>ّ</w:t>
      </w:r>
      <w:r w:rsidR="00EF7DA4">
        <w:rPr>
          <w:rtl/>
        </w:rPr>
        <w:t>ا</w:t>
      </w:r>
      <w:r w:rsidR="00E3253D">
        <w:rPr>
          <w:rFonts w:hint="cs"/>
          <w:rtl/>
        </w:rPr>
        <w:t xml:space="preserve"> </w:t>
      </w:r>
      <w:r w:rsidR="00E3253D" w:rsidRPr="005D642E">
        <w:rPr>
          <w:rtl/>
        </w:rPr>
        <w:t>أن يكون منك على يقين ، فذكر أنّه منه على يقين</w:t>
      </w:r>
      <w:r w:rsidR="00E3253D">
        <w:rPr>
          <w:rtl/>
        </w:rPr>
        <w:t xml:space="preserve"> ».</w:t>
      </w:r>
      <w:r w:rsidR="00D335D2">
        <w:rPr>
          <w:rFonts w:hint="cs"/>
          <w:rtl/>
        </w:rPr>
        <w:t xml:space="preserve">          </w:t>
      </w:r>
      <w:r w:rsidRPr="0042621E">
        <w:rPr>
          <w:rStyle w:val="libFootnote0Char"/>
          <w:rtl/>
        </w:rPr>
        <w:t>(9).</w:t>
      </w:r>
      <w:r w:rsidR="00E3253D" w:rsidRPr="005D642E">
        <w:rPr>
          <w:rtl/>
        </w:rPr>
        <w:t xml:space="preserve"> في التهذيب : + « </w:t>
      </w:r>
      <w:r w:rsidR="00E3253D">
        <w:rPr>
          <w:rtl/>
        </w:rPr>
        <w:t>و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المطبوع : « أشهد أنّ » بدل « وأنّ</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 ظ » والمطبوع : « عبده ورسوله » بدل « رسول الله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32E8F" w:rsidTr="00932E8F">
        <w:tc>
          <w:tcPr>
            <w:tcW w:w="4006" w:type="dxa"/>
          </w:tcPr>
          <w:p w:rsidR="00932E8F" w:rsidRDefault="00932E8F" w:rsidP="00E3253D">
            <w:pPr>
              <w:pStyle w:val="libFootnote0"/>
              <w:rPr>
                <w:rStyle w:val="libFootnote0Char"/>
                <w:rtl/>
              </w:rPr>
            </w:pPr>
            <w:r w:rsidRPr="0042621E">
              <w:rPr>
                <w:rStyle w:val="libFootnote0Char"/>
                <w:rtl/>
              </w:rPr>
              <w:t>(12).</w:t>
            </w:r>
            <w:r w:rsidRPr="005D642E">
              <w:rPr>
                <w:rtl/>
              </w:rPr>
              <w:t xml:space="preserve"> في « بح ، جح ، جن » : + « له</w:t>
            </w:r>
            <w:r>
              <w:rPr>
                <w:rtl/>
              </w:rPr>
              <w:t xml:space="preserve"> ».</w:t>
            </w:r>
          </w:p>
        </w:tc>
        <w:tc>
          <w:tcPr>
            <w:tcW w:w="4006" w:type="dxa"/>
          </w:tcPr>
          <w:p w:rsidR="00932E8F" w:rsidRDefault="00932E8F" w:rsidP="00E3253D">
            <w:pPr>
              <w:pStyle w:val="libFootnote0"/>
              <w:rPr>
                <w:rStyle w:val="libFootnote0Char"/>
                <w:rtl/>
              </w:rPr>
            </w:pPr>
            <w:r w:rsidRPr="0042621E">
              <w:rPr>
                <w:rStyle w:val="libFootnote0Char"/>
                <w:rtl/>
              </w:rPr>
              <w:t>(13).</w:t>
            </w:r>
            <w:r>
              <w:rPr>
                <w:rtl/>
              </w:rPr>
              <w:t xml:space="preserve"> في «ى،بث،بخ،بف،جس،جن</w:t>
            </w:r>
            <w:r w:rsidRPr="005D642E">
              <w:rPr>
                <w:rtl/>
              </w:rPr>
              <w:t>» : « لاينتفع</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w:t>
      </w:r>
      <w:r w:rsidR="009D71B2">
        <w:rPr>
          <w:rtl/>
        </w:rPr>
        <w:t>في المطبوع : « حتّى » بدل « إل</w:t>
      </w:r>
      <w:r w:rsidR="009D71B2">
        <w:rPr>
          <w:rFonts w:hint="cs"/>
          <w:rtl/>
        </w:rPr>
        <w:t>ّ</w:t>
      </w:r>
      <w:r w:rsidR="009D71B2">
        <w:rPr>
          <w:rtl/>
        </w:rPr>
        <w:t>ا</w:t>
      </w:r>
      <w:r w:rsidR="00E3253D" w:rsidRPr="005D642E">
        <w:rPr>
          <w:rtl/>
        </w:rPr>
        <w:t xml:space="preserve"> أن</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 xml:space="preserve">في « غ ، بخ ، بس ، بف ، جس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قل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5015B" w:rsidTr="0005015B">
        <w:tc>
          <w:tcPr>
            <w:tcW w:w="4006" w:type="dxa"/>
          </w:tcPr>
          <w:p w:rsidR="0005015B" w:rsidRDefault="0005015B" w:rsidP="00E3253D">
            <w:pPr>
              <w:pStyle w:val="libFootnote0"/>
              <w:rPr>
                <w:rtl/>
              </w:rPr>
            </w:pPr>
            <w:r w:rsidRPr="005D642E">
              <w:rPr>
                <w:rtl/>
              </w:rPr>
              <w:t>(1</w:t>
            </w:r>
            <w:r>
              <w:rPr>
                <w:rtl/>
              </w:rPr>
              <w:t>6)</w:t>
            </w:r>
            <w:r w:rsidRPr="005D642E">
              <w:rPr>
                <w:rtl/>
              </w:rPr>
              <w:t xml:space="preserve"> في « بف » </w:t>
            </w:r>
            <w:r w:rsidRPr="000D749A">
              <w:rPr>
                <w:rStyle w:val="libFootnoteBoldChar"/>
                <w:rtl/>
              </w:rPr>
              <w:t>والوافي</w:t>
            </w:r>
            <w:r w:rsidRPr="005D642E">
              <w:rPr>
                <w:rtl/>
              </w:rPr>
              <w:t xml:space="preserve"> : « لاتنتفع</w:t>
            </w:r>
            <w:r>
              <w:rPr>
                <w:rtl/>
              </w:rPr>
              <w:t xml:space="preserve"> ».</w:t>
            </w:r>
          </w:p>
        </w:tc>
        <w:tc>
          <w:tcPr>
            <w:tcW w:w="4006" w:type="dxa"/>
          </w:tcPr>
          <w:p w:rsidR="0005015B" w:rsidRDefault="0005015B" w:rsidP="00E3253D">
            <w:pPr>
              <w:pStyle w:val="libFootnote0"/>
              <w:rPr>
                <w:rtl/>
              </w:rPr>
            </w:pPr>
            <w:r w:rsidRPr="005D642E">
              <w:rPr>
                <w:rtl/>
              </w:rPr>
              <w:t>(1</w:t>
            </w:r>
            <w:r>
              <w:rPr>
                <w:rtl/>
              </w:rPr>
              <w:t>7)</w:t>
            </w:r>
            <w:r w:rsidRPr="005D642E">
              <w:rPr>
                <w:rtl/>
              </w:rPr>
              <w:t xml:space="preserve"> في « بح ، بخ ، جح » : « حتّى تكون</w:t>
            </w:r>
            <w:r>
              <w:rPr>
                <w:rtl/>
              </w:rPr>
              <w:t xml:space="preserve"> ».</w:t>
            </w:r>
          </w:p>
        </w:tc>
      </w:tr>
    </w:tbl>
    <w:p w:rsidR="00E3253D" w:rsidRPr="005D642E" w:rsidRDefault="00E3253D" w:rsidP="00E3253D">
      <w:pPr>
        <w:pStyle w:val="libFootnote0"/>
        <w:rPr>
          <w:rtl/>
          <w:lang w:bidi="fa-IR"/>
        </w:rPr>
      </w:pPr>
      <w:r w:rsidRPr="005D642E">
        <w:rPr>
          <w:rtl/>
        </w:rPr>
        <w:t>(1</w:t>
      </w:r>
      <w:r>
        <w:rPr>
          <w:rtl/>
        </w:rPr>
        <w:t>8)</w:t>
      </w:r>
      <w:r w:rsidRPr="005D642E">
        <w:rPr>
          <w:rtl/>
        </w:rPr>
        <w:t xml:space="preserve"> في « بث ، جس » وحاشية « بس » : + « فشهد بذلك</w:t>
      </w:r>
      <w:r>
        <w:rPr>
          <w:rtl/>
        </w:rPr>
        <w:t xml:space="preserve"> ».</w:t>
      </w:r>
    </w:p>
    <w:p w:rsidR="00E3253D" w:rsidRPr="005D642E" w:rsidRDefault="00E3253D" w:rsidP="00E3253D">
      <w:pPr>
        <w:pStyle w:val="libFootnote0"/>
        <w:rPr>
          <w:rtl/>
          <w:lang w:bidi="fa-IR"/>
        </w:rPr>
      </w:pPr>
      <w:r w:rsidRPr="005D642E">
        <w:rPr>
          <w:rtl/>
        </w:rPr>
        <w:t>(1</w:t>
      </w:r>
      <w:r>
        <w:rPr>
          <w:rtl/>
        </w:rPr>
        <w:t>9)</w:t>
      </w:r>
      <w:r w:rsidRPr="005D642E">
        <w:rPr>
          <w:rtl/>
        </w:rPr>
        <w:t xml:space="preserve"> في « ظ ، ى ، بث ، بس ، جح ، جس » :</w:t>
      </w:r>
      <w:r>
        <w:rPr>
          <w:rtl/>
        </w:rPr>
        <w:t xml:space="preserve"> </w:t>
      </w:r>
      <w:r w:rsidR="007642BC">
        <w:rPr>
          <w:rtl/>
        </w:rPr>
        <w:t>-</w:t>
      </w:r>
      <w:r>
        <w:rPr>
          <w:rtl/>
        </w:rPr>
        <w:t xml:space="preserve"> </w:t>
      </w:r>
      <w:r w:rsidRPr="005D642E">
        <w:rPr>
          <w:rtl/>
        </w:rPr>
        <w:t>« منه</w:t>
      </w:r>
      <w:r>
        <w:rPr>
          <w:rtl/>
        </w:rPr>
        <w:t xml:space="preserve"> ».</w:t>
      </w:r>
    </w:p>
    <w:p w:rsidR="00E3253D" w:rsidRPr="005D642E" w:rsidRDefault="00E3253D" w:rsidP="00E3253D">
      <w:pPr>
        <w:pStyle w:val="libFootnote0"/>
        <w:rPr>
          <w:rtl/>
          <w:lang w:bidi="fa-IR"/>
        </w:rPr>
      </w:pPr>
      <w:r>
        <w:rPr>
          <w:rtl/>
        </w:rPr>
        <w:t>(20)</w:t>
      </w:r>
      <w:r w:rsidRPr="005D642E">
        <w:rPr>
          <w:rtl/>
        </w:rPr>
        <w:t xml:space="preserve"> هكذا في جميع النسخ التي قوبلت </w:t>
      </w:r>
      <w:r w:rsidR="000D749A" w:rsidRPr="000D749A">
        <w:rPr>
          <w:rStyle w:val="libFootnoteBoldChar"/>
          <w:rtl/>
        </w:rPr>
        <w:t>والوافي</w:t>
      </w:r>
      <w:r w:rsidRPr="005D642E">
        <w:rPr>
          <w:rtl/>
        </w:rPr>
        <w:t xml:space="preserve"> </w:t>
      </w:r>
      <w:r w:rsidR="00B60612" w:rsidRPr="00B60612">
        <w:rPr>
          <w:rStyle w:val="libFootnoteBoldChar"/>
          <w:rtl/>
        </w:rPr>
        <w:t>والتهذيب</w:t>
      </w:r>
      <w:r w:rsidRPr="005D642E">
        <w:rPr>
          <w:rtl/>
        </w:rPr>
        <w:t>. وفي المطبوع :</w:t>
      </w:r>
      <w:r>
        <w:rPr>
          <w:rtl/>
        </w:rPr>
        <w:t xml:space="preserve"> </w:t>
      </w:r>
      <w:r w:rsidR="007642BC">
        <w:rPr>
          <w:rtl/>
        </w:rPr>
        <w:t>-</w:t>
      </w:r>
      <w:r>
        <w:rPr>
          <w:rtl/>
        </w:rPr>
        <w:t xml:space="preserve"> </w:t>
      </w:r>
      <w:r w:rsidRPr="005D642E">
        <w:rPr>
          <w:rtl/>
        </w:rPr>
        <w:t>« له</w:t>
      </w:r>
      <w:r>
        <w:rPr>
          <w:rtl/>
        </w:rPr>
        <w:t xml:space="preserve"> ».</w:t>
      </w:r>
    </w:p>
    <w:p w:rsidR="00E3253D" w:rsidRPr="005D642E" w:rsidRDefault="00E3253D" w:rsidP="00E3253D">
      <w:pPr>
        <w:pStyle w:val="libFootnote0"/>
        <w:rPr>
          <w:rtl/>
          <w:lang w:bidi="fa-IR"/>
        </w:rPr>
      </w:pPr>
      <w:r w:rsidRPr="005D642E">
        <w:rPr>
          <w:rtl/>
        </w:rPr>
        <w:t>(2</w:t>
      </w:r>
      <w:r>
        <w:rPr>
          <w:rtl/>
        </w:rPr>
        <w:t>1)</w:t>
      </w:r>
      <w:r w:rsidRPr="005D642E">
        <w:rPr>
          <w:rtl/>
        </w:rPr>
        <w:t xml:space="preserve"> هكذا في جميع النسخ التي قوبلت. وفي المطبوع :</w:t>
      </w:r>
      <w:r>
        <w:rPr>
          <w:rtl/>
        </w:rPr>
        <w:t xml:space="preserve"> </w:t>
      </w:r>
      <w:r w:rsidR="007642BC">
        <w:rPr>
          <w:rtl/>
        </w:rPr>
        <w:t>-</w:t>
      </w:r>
      <w:r>
        <w:rPr>
          <w:rtl/>
        </w:rPr>
        <w:t xml:space="preserve"> </w:t>
      </w:r>
      <w:r w:rsidRPr="005D642E">
        <w:rPr>
          <w:rtl/>
        </w:rPr>
        <w:t xml:space="preserve">« </w:t>
      </w:r>
      <w:r w:rsidRPr="006B0776">
        <w:rPr>
          <w:rtl/>
        </w:rPr>
        <w:t>عليهم</w:t>
      </w:r>
      <w:r w:rsidR="006B0776">
        <w:rPr>
          <w:rFonts w:hint="cs"/>
          <w:rtl/>
        </w:rPr>
        <w:t xml:space="preserve"> </w:t>
      </w:r>
      <w:r w:rsidRPr="006B0776">
        <w:rPr>
          <w:rtl/>
        </w:rPr>
        <w:t>‌السلام</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رَجُلاً </w:t>
      </w:r>
      <w:r w:rsidRPr="007C12DB">
        <w:rPr>
          <w:rStyle w:val="libFootnotenumChar"/>
          <w:rtl/>
        </w:rPr>
        <w:t>(1)</w:t>
      </w:r>
      <w:r w:rsidRPr="005D642E">
        <w:rPr>
          <w:rtl/>
          <w:lang w:bidi="fa-IR"/>
        </w:rPr>
        <w:t xml:space="preserve"> ، فَأَقَرَّ بِذلِكَ ، وَذَكَرَ أَنَّهُ </w:t>
      </w:r>
      <w:r w:rsidRPr="007C12DB">
        <w:rPr>
          <w:rStyle w:val="libFootnotenumChar"/>
          <w:rtl/>
        </w:rPr>
        <w:t>(2)</w:t>
      </w:r>
      <w:r w:rsidRPr="005D642E">
        <w:rPr>
          <w:rtl/>
          <w:lang w:bidi="fa-IR"/>
        </w:rPr>
        <w:t xml:space="preserve"> عَلى يَقِينٍ ، فَلَمْ يَلْبَثِ الرَّجُلُ </w:t>
      </w:r>
      <w:r w:rsidRPr="007C12DB">
        <w:rPr>
          <w:rStyle w:val="libFootnotenumChar"/>
          <w:rtl/>
        </w:rPr>
        <w:t>(3)</w:t>
      </w:r>
      <w:r w:rsidRPr="005D642E">
        <w:rPr>
          <w:rtl/>
          <w:lang w:bidi="fa-IR"/>
        </w:rPr>
        <w:t xml:space="preserve"> أَنْ تُوُفِّيَ ، فَجَزِعَ أَهْلُهُ عَلَيْهِ جَزَعاً شَدِيداً.</w:t>
      </w:r>
    </w:p>
    <w:p w:rsidR="00E3253D" w:rsidRPr="005D642E" w:rsidRDefault="00E3253D" w:rsidP="00E3253D">
      <w:pPr>
        <w:pStyle w:val="libNormal"/>
        <w:rPr>
          <w:rtl/>
          <w:lang w:bidi="fa-IR"/>
        </w:rPr>
      </w:pPr>
      <w:r w:rsidRPr="005D642E">
        <w:rPr>
          <w:rtl/>
          <w:lang w:bidi="fa-IR"/>
        </w:rPr>
        <w:t xml:space="preserve">قَالَ : فَغِبْتُ عَنْهُمْ ، ثُمَّ أَتَيْتُهُمْ بَعْدَ ذلِكَ </w:t>
      </w:r>
      <w:r w:rsidRPr="007C12DB">
        <w:rPr>
          <w:rStyle w:val="libFootnotenumChar"/>
          <w:rtl/>
        </w:rPr>
        <w:t>(4)</w:t>
      </w:r>
      <w:r w:rsidRPr="005D642E">
        <w:rPr>
          <w:rtl/>
          <w:lang w:bidi="fa-IR"/>
        </w:rPr>
        <w:t xml:space="preserve"> ، فَرَأَيْتُ عَزَاءً </w:t>
      </w:r>
      <w:r w:rsidRPr="007C12DB">
        <w:rPr>
          <w:rStyle w:val="libFootnotenumChar"/>
          <w:rtl/>
        </w:rPr>
        <w:t>(5)</w:t>
      </w:r>
      <w:r w:rsidRPr="005D642E">
        <w:rPr>
          <w:rtl/>
          <w:lang w:bidi="fa-IR"/>
        </w:rPr>
        <w:t xml:space="preserve"> حَسَناً ، فَقُلْتُ : كَيْفَ تَجِدُونَكُمْ </w:t>
      </w:r>
      <w:r w:rsidRPr="007C12DB">
        <w:rPr>
          <w:rStyle w:val="libFootnotenumChar"/>
          <w:rtl/>
        </w:rPr>
        <w:t>(6)</w:t>
      </w:r>
      <w:r>
        <w:rPr>
          <w:rtl/>
          <w:lang w:bidi="fa-IR"/>
        </w:rPr>
        <w:t>؟</w:t>
      </w:r>
      <w:r w:rsidRPr="005D642E">
        <w:rPr>
          <w:rtl/>
          <w:lang w:bidi="fa-IR"/>
        </w:rPr>
        <w:t xml:space="preserve"> كَيْفَ عَزَاؤُكِ </w:t>
      </w:r>
      <w:r w:rsidRPr="007C12DB">
        <w:rPr>
          <w:rStyle w:val="libFootnotenumChar"/>
          <w:rtl/>
        </w:rPr>
        <w:t>(7)</w:t>
      </w:r>
      <w:r w:rsidRPr="005D642E">
        <w:rPr>
          <w:rtl/>
          <w:lang w:bidi="fa-IR"/>
        </w:rPr>
        <w:t xml:space="preserve"> أَيَّتُهَا الْمَرْأَةُ</w:t>
      </w:r>
      <w:r>
        <w:rPr>
          <w:rtl/>
          <w:lang w:bidi="fa-IR"/>
        </w:rPr>
        <w:t>؟</w:t>
      </w:r>
      <w:r w:rsidRPr="005D642E">
        <w:rPr>
          <w:rtl/>
          <w:lang w:bidi="fa-IR"/>
        </w:rPr>
        <w:t xml:space="preserve"> فَقَالَتْ </w:t>
      </w:r>
      <w:r w:rsidRPr="007C12DB">
        <w:rPr>
          <w:rStyle w:val="libFootnotenumChar"/>
          <w:rtl/>
        </w:rPr>
        <w:t>(8)</w:t>
      </w:r>
      <w:r w:rsidRPr="005D642E">
        <w:rPr>
          <w:rtl/>
          <w:lang w:bidi="fa-IR"/>
        </w:rPr>
        <w:t xml:space="preserve"> : وَاللهِ ، لَقَدْ أُصِبْنَا بِمُصِيبَةٍ عَظِيمَةٍ‌</w:t>
      </w:r>
      <w:r>
        <w:rPr>
          <w:lang w:bidi="fa-IR"/>
        </w:rPr>
        <w:t xml:space="preserve"> </w:t>
      </w:r>
      <w:r w:rsidRPr="005D642E">
        <w:rPr>
          <w:rtl/>
          <w:lang w:bidi="fa-IR"/>
        </w:rPr>
        <w:t xml:space="preserve">بِوَفَاةِ فُلَانٍ رَحِمَهُ اللهُ ، وَكَانَ </w:t>
      </w:r>
      <w:r w:rsidRPr="007C12DB">
        <w:rPr>
          <w:rStyle w:val="libFootnotenumChar"/>
          <w:rtl/>
        </w:rPr>
        <w:t>(9)</w:t>
      </w:r>
      <w:r w:rsidRPr="005D642E">
        <w:rPr>
          <w:rtl/>
          <w:lang w:bidi="fa-IR"/>
        </w:rPr>
        <w:t xml:space="preserve"> مِمَّا سَخَا بِنَفْسِي </w:t>
      </w:r>
      <w:r w:rsidRPr="007C12DB">
        <w:rPr>
          <w:rStyle w:val="libFootnotenumChar"/>
          <w:rtl/>
        </w:rPr>
        <w:t>(10)</w:t>
      </w:r>
      <w:r w:rsidRPr="005D642E">
        <w:rPr>
          <w:rtl/>
          <w:lang w:bidi="fa-IR"/>
        </w:rPr>
        <w:t xml:space="preserve"> لَرُؤْيَا رَأَيْتُهَا </w:t>
      </w:r>
      <w:r w:rsidRPr="007C12DB">
        <w:rPr>
          <w:rStyle w:val="libFootnotenumChar"/>
          <w:rtl/>
        </w:rPr>
        <w:t>(11)</w:t>
      </w:r>
      <w:r w:rsidRPr="005D642E">
        <w:rPr>
          <w:rtl/>
          <w:lang w:bidi="fa-IR"/>
        </w:rPr>
        <w:t xml:space="preserve"> اللَّيْلَةَ ، فَقُلْتُ </w:t>
      </w:r>
      <w:r w:rsidRPr="007C12DB">
        <w:rPr>
          <w:rStyle w:val="libFootnotenumChar"/>
          <w:rtl/>
        </w:rPr>
        <w:t>(12)</w:t>
      </w:r>
      <w:r w:rsidRPr="005D642E">
        <w:rPr>
          <w:rtl/>
          <w:lang w:bidi="fa-IR"/>
        </w:rPr>
        <w:t xml:space="preserve"> : وَمَا تِلْكَ الرُّؤْيَا</w:t>
      </w:r>
      <w:r>
        <w:rPr>
          <w:rtl/>
          <w:lang w:bidi="fa-IR"/>
        </w:rPr>
        <w:t>؟</w:t>
      </w:r>
      <w:r w:rsidRPr="005D642E">
        <w:rPr>
          <w:rtl/>
          <w:lang w:bidi="fa-IR"/>
        </w:rPr>
        <w:t xml:space="preserve"> قَالَتْ : رَأَيْتُ فُلَاناً</w:t>
      </w:r>
      <w:r>
        <w:rPr>
          <w:rtl/>
          <w:lang w:bidi="fa-IR"/>
        </w:rPr>
        <w:t xml:space="preserve"> </w:t>
      </w:r>
      <w:r w:rsidR="007642BC">
        <w:rPr>
          <w:rtl/>
          <w:lang w:bidi="fa-IR"/>
        </w:rPr>
        <w:t>-</w:t>
      </w:r>
      <w:r>
        <w:rPr>
          <w:rtl/>
          <w:lang w:bidi="fa-IR"/>
        </w:rPr>
        <w:t xml:space="preserve"> </w:t>
      </w:r>
      <w:r w:rsidRPr="005D642E">
        <w:rPr>
          <w:rtl/>
          <w:lang w:bidi="fa-IR"/>
        </w:rPr>
        <w:t xml:space="preserve">تَعْنِي </w:t>
      </w:r>
      <w:r w:rsidRPr="007C12DB">
        <w:rPr>
          <w:rStyle w:val="libFootnotenumChar"/>
          <w:rtl/>
        </w:rPr>
        <w:t>(13)</w:t>
      </w:r>
      <w:r w:rsidRPr="005D642E">
        <w:rPr>
          <w:rtl/>
          <w:lang w:bidi="fa-IR"/>
        </w:rPr>
        <w:t xml:space="preserve"> الْمَيِّتَ</w:t>
      </w:r>
      <w:r>
        <w:rPr>
          <w:rtl/>
          <w:lang w:bidi="fa-IR"/>
        </w:rPr>
        <w:t xml:space="preserve"> </w:t>
      </w:r>
      <w:r w:rsidR="007642BC">
        <w:rPr>
          <w:rtl/>
          <w:lang w:bidi="fa-IR"/>
        </w:rPr>
        <w:t>-</w:t>
      </w:r>
      <w:r>
        <w:rPr>
          <w:rtl/>
          <w:lang w:bidi="fa-IR"/>
        </w:rPr>
        <w:t xml:space="preserve"> </w:t>
      </w:r>
      <w:r w:rsidRPr="005D642E">
        <w:rPr>
          <w:rtl/>
          <w:lang w:bidi="fa-IR"/>
        </w:rPr>
        <w:t xml:space="preserve">حَيّاً سَلِيماً ، فَقُلْتُ : فُلَانٌ </w:t>
      </w:r>
      <w:r w:rsidRPr="007C12DB">
        <w:rPr>
          <w:rStyle w:val="libFootnotenumChar"/>
          <w:rtl/>
        </w:rPr>
        <w:t>(14)</w:t>
      </w:r>
      <w:r>
        <w:rPr>
          <w:rtl/>
          <w:lang w:bidi="fa-IR"/>
        </w:rPr>
        <w:t>؟</w:t>
      </w:r>
      <w:r w:rsidRPr="005D642E">
        <w:rPr>
          <w:rtl/>
          <w:lang w:bidi="fa-IR"/>
        </w:rPr>
        <w:t xml:space="preserve"> قَالَ </w:t>
      </w:r>
      <w:r w:rsidRPr="007C12DB">
        <w:rPr>
          <w:rStyle w:val="libFootnotenumChar"/>
          <w:rtl/>
        </w:rPr>
        <w:t>(15)</w:t>
      </w:r>
      <w:r w:rsidRPr="005D642E">
        <w:rPr>
          <w:rtl/>
          <w:lang w:bidi="fa-IR"/>
        </w:rPr>
        <w:t xml:space="preserve"> :</w:t>
      </w:r>
      <w:r>
        <w:rPr>
          <w:lang w:bidi="fa-IR"/>
        </w:rPr>
        <w:t xml:space="preserve"> </w:t>
      </w:r>
      <w:r>
        <w:rPr>
          <w:rtl/>
          <w:lang w:bidi="fa-IR"/>
        </w:rPr>
        <w:t>نَعَمْ ، فَقُلْتُ لَهُ : أَ</w:t>
      </w:r>
      <w:r w:rsidRPr="005D642E">
        <w:rPr>
          <w:rtl/>
          <w:lang w:bidi="fa-IR"/>
        </w:rPr>
        <w:t xml:space="preserve">مَا </w:t>
      </w:r>
      <w:r w:rsidRPr="007C12DB">
        <w:rPr>
          <w:rStyle w:val="libFootnotenumChar"/>
          <w:rtl/>
        </w:rPr>
        <w:t>(16)</w:t>
      </w:r>
      <w:r w:rsidRPr="005D642E">
        <w:rPr>
          <w:rtl/>
          <w:lang w:bidi="fa-IR"/>
        </w:rPr>
        <w:t xml:space="preserve"> كُنْتَ مِتَّ </w:t>
      </w:r>
      <w:r w:rsidRPr="007C12DB">
        <w:rPr>
          <w:rStyle w:val="libFootnotenumChar"/>
          <w:rtl/>
        </w:rPr>
        <w:t>(17)</w:t>
      </w:r>
      <w:r>
        <w:rPr>
          <w:rtl/>
          <w:lang w:bidi="fa-IR"/>
        </w:rPr>
        <w:t>؟</w:t>
      </w:r>
      <w:r w:rsidRPr="005D642E">
        <w:rPr>
          <w:rtl/>
          <w:lang w:bidi="fa-IR"/>
        </w:rPr>
        <w:t xml:space="preserve"> فَقَالَ : بَلى ، وَلكِنْ نَجَوْتُ بِكَلِمَاتٍ لَقِّنِّيهَا </w:t>
      </w:r>
      <w:r w:rsidRPr="007C12DB">
        <w:rPr>
          <w:rStyle w:val="libFootnotenumChar"/>
          <w:rtl/>
        </w:rPr>
        <w:t>(18)</w:t>
      </w:r>
      <w:r w:rsidRPr="005D642E">
        <w:rPr>
          <w:rtl/>
          <w:lang w:bidi="fa-IR"/>
        </w:rPr>
        <w:t xml:space="preserve"> أَبُو بَكْرٍ ، وَ‌</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غ ، ى ، بث ، بح ، بس ، جح ، جس ، جن » : « فرجلاً</w:t>
      </w:r>
      <w:r w:rsidR="00E3253D">
        <w:rPr>
          <w:rtl/>
        </w:rPr>
        <w:t xml:space="preserve"> ».</w:t>
      </w:r>
      <w:r w:rsidR="00E3253D" w:rsidRPr="005D642E">
        <w:rPr>
          <w:rtl/>
        </w:rPr>
        <w:t xml:space="preserve"> وفي التهذيب : « واحداً بعد واحد » بدل « رجلاًرجلاً</w:t>
      </w:r>
      <w:r w:rsidR="00E3253D">
        <w:rPr>
          <w:rtl/>
        </w:rPr>
        <w:t xml:space="preserve"> ».</w:t>
      </w:r>
      <w:r w:rsidR="00E3253D" w:rsidRPr="005D642E">
        <w:rPr>
          <w:rtl/>
        </w:rPr>
        <w:t xml:space="preserve"> وما أثبتناه موافق للوافي والمطبوع </w:t>
      </w:r>
      <w:r w:rsidR="00E3253D">
        <w:rPr>
          <w:rtl/>
        </w:rPr>
        <w:t>و «</w:t>
      </w:r>
      <w:r w:rsidR="00E3253D" w:rsidRPr="005D642E">
        <w:rPr>
          <w:rtl/>
        </w:rPr>
        <w:t xml:space="preserve"> بخ ، بف</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7224B" w:rsidTr="0007224B">
        <w:tc>
          <w:tcPr>
            <w:tcW w:w="4006" w:type="dxa"/>
          </w:tcPr>
          <w:p w:rsidR="0007224B" w:rsidRDefault="0007224B" w:rsidP="00E3253D">
            <w:pPr>
              <w:pStyle w:val="libFootnote0"/>
              <w:rPr>
                <w:rStyle w:val="libFootnote0Char"/>
                <w:rtl/>
              </w:rPr>
            </w:pPr>
            <w:r w:rsidRPr="0042621E">
              <w:rPr>
                <w:rStyle w:val="libFootnote0Char"/>
                <w:rtl/>
              </w:rPr>
              <w:t>(2).</w:t>
            </w:r>
            <w:r w:rsidRPr="005D642E">
              <w:rPr>
                <w:rtl/>
              </w:rPr>
              <w:t xml:space="preserve"> في حاشية « بخ » : + « منه</w:t>
            </w:r>
            <w:r>
              <w:rPr>
                <w:rtl/>
              </w:rPr>
              <w:t xml:space="preserve"> ».</w:t>
            </w:r>
          </w:p>
        </w:tc>
        <w:tc>
          <w:tcPr>
            <w:tcW w:w="4006" w:type="dxa"/>
          </w:tcPr>
          <w:p w:rsidR="0007224B" w:rsidRDefault="0007224B" w:rsidP="00E3253D">
            <w:pPr>
              <w:pStyle w:val="libFootnote0"/>
              <w:rPr>
                <w:rStyle w:val="libFootnote0Char"/>
                <w:rtl/>
              </w:rPr>
            </w:pPr>
            <w:r w:rsidRPr="0042621E">
              <w:rPr>
                <w:rStyle w:val="libFootnote0Char"/>
                <w:rtl/>
              </w:rPr>
              <w:t>(3).</w:t>
            </w:r>
            <w:r w:rsidRPr="005D642E">
              <w:rPr>
                <w:rtl/>
              </w:rPr>
              <w:t xml:space="preserve"> في « ظ ، ى ، بث » : + « حتّى</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بعد ذلك</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المطبوع : « عراء</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حاشية « بث ، بخ » : « ترونكم</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العَزاء : الصبر عن كلّ ما فقدتَ. وقيل : حسنه. راجع : </w:t>
      </w:r>
      <w:r w:rsidR="00E3253D" w:rsidRPr="002F4D34">
        <w:rPr>
          <w:rStyle w:val="libFootnoteBoldChar"/>
          <w:rtl/>
        </w:rPr>
        <w:t>لسان العرب</w:t>
      </w:r>
      <w:r w:rsidR="00E3253D" w:rsidRPr="005D642E">
        <w:rPr>
          <w:rtl/>
        </w:rPr>
        <w:t xml:space="preserve"> ، ج 15 ، ص 52 ( عزا )</w:t>
      </w:r>
      <w:r w:rsidR="00E3253D">
        <w:rPr>
          <w:rtl/>
        </w:rPr>
        <w:t>.</w:t>
      </w:r>
    </w:p>
    <w:tbl>
      <w:tblPr>
        <w:tblStyle w:val="TableGrid"/>
        <w:bidiVisual/>
        <w:tblW w:w="0" w:type="auto"/>
        <w:tblLook w:val="04A0" w:firstRow="1" w:lastRow="0" w:firstColumn="1" w:lastColumn="0" w:noHBand="0" w:noVBand="1"/>
      </w:tblPr>
      <w:tblGrid>
        <w:gridCol w:w="4006"/>
        <w:gridCol w:w="4006"/>
      </w:tblGrid>
      <w:tr w:rsidR="007957E5" w:rsidTr="007957E5">
        <w:tc>
          <w:tcPr>
            <w:tcW w:w="4006" w:type="dxa"/>
          </w:tcPr>
          <w:p w:rsidR="007957E5" w:rsidRDefault="007957E5" w:rsidP="00E3253D">
            <w:pPr>
              <w:pStyle w:val="libFootnote0"/>
              <w:rPr>
                <w:rStyle w:val="libFootnote0Char"/>
                <w:rtl/>
              </w:rPr>
            </w:pPr>
            <w:r w:rsidRPr="0042621E">
              <w:rPr>
                <w:rStyle w:val="libFootnote0Char"/>
                <w:rtl/>
              </w:rPr>
              <w:t>(8).</w:t>
            </w:r>
            <w:r w:rsidRPr="005D642E">
              <w:rPr>
                <w:rtl/>
              </w:rPr>
              <w:t xml:space="preserve"> في « بف » </w:t>
            </w:r>
            <w:r w:rsidRPr="000D749A">
              <w:rPr>
                <w:rStyle w:val="libFootnoteBoldChar"/>
                <w:rtl/>
              </w:rPr>
              <w:t>والوافي</w:t>
            </w:r>
            <w:r w:rsidRPr="005D642E">
              <w:rPr>
                <w:rtl/>
              </w:rPr>
              <w:t xml:space="preserve"> : « قالت</w:t>
            </w:r>
            <w:r>
              <w:rPr>
                <w:rtl/>
              </w:rPr>
              <w:t xml:space="preserve"> ».</w:t>
            </w:r>
          </w:p>
        </w:tc>
        <w:tc>
          <w:tcPr>
            <w:tcW w:w="4006" w:type="dxa"/>
          </w:tcPr>
          <w:p w:rsidR="007957E5" w:rsidRDefault="007957E5" w:rsidP="00E3253D">
            <w:pPr>
              <w:pStyle w:val="libFootnote0"/>
              <w:rPr>
                <w:rStyle w:val="libFootnote0Char"/>
                <w:rtl/>
              </w:rPr>
            </w:pPr>
            <w:r w:rsidRPr="0042621E">
              <w:rPr>
                <w:rStyle w:val="libFootnote0Char"/>
                <w:rtl/>
              </w:rPr>
              <w:t>(9).</w:t>
            </w:r>
            <w:r w:rsidRPr="005D642E">
              <w:rPr>
                <w:rtl/>
              </w:rPr>
              <w:t xml:space="preserve"> في « ظ » : « فكان</w:t>
            </w:r>
            <w:r>
              <w:rPr>
                <w:rtl/>
              </w:rPr>
              <w:t xml:space="preserve"> ».</w:t>
            </w:r>
          </w:p>
        </w:tc>
      </w:tr>
    </w:tbl>
    <w:p w:rsidR="00E3253D" w:rsidRPr="005D642E" w:rsidRDefault="0042621E" w:rsidP="00333826">
      <w:pPr>
        <w:pStyle w:val="libFootnote0"/>
        <w:rPr>
          <w:rtl/>
          <w:lang w:bidi="fa-IR"/>
        </w:rPr>
      </w:pPr>
      <w:r w:rsidRPr="0042621E">
        <w:rPr>
          <w:rStyle w:val="libFootnote0Char"/>
          <w:rtl/>
        </w:rPr>
        <w:t>(10).</w:t>
      </w:r>
      <w:r w:rsidR="00E3253D" w:rsidRPr="005D642E">
        <w:rPr>
          <w:rtl/>
        </w:rPr>
        <w:t xml:space="preserve"> في التهذيب : + « له</w:t>
      </w:r>
      <w:r w:rsidR="00E3253D">
        <w:rPr>
          <w:rtl/>
        </w:rPr>
        <w:t xml:space="preserve"> ».</w:t>
      </w:r>
      <w:r w:rsidR="00E3253D" w:rsidRPr="005D642E">
        <w:rPr>
          <w:rtl/>
        </w:rPr>
        <w:t xml:space="preserve"> وفي اللغة : سَخِيتْ نفسي عن الشي‌ء : إذا تركته. وسخّى نفسه عنه وبنفسه : تركه. وسخّيت نفسي عنه : تركته و</w:t>
      </w:r>
      <w:r w:rsidR="00E14D52">
        <w:rPr>
          <w:rtl/>
        </w:rPr>
        <w:t>لم تنازعني نفسي إليه. قال العل</w:t>
      </w:r>
      <w:r w:rsidR="00E14D52">
        <w:rPr>
          <w:rFonts w:hint="cs"/>
          <w:rtl/>
        </w:rPr>
        <w:t>ّ</w:t>
      </w:r>
      <w:r w:rsidR="00E14D52">
        <w:rPr>
          <w:rtl/>
        </w:rPr>
        <w:t>ا</w:t>
      </w:r>
      <w:r w:rsidR="00E3253D" w:rsidRPr="005D642E">
        <w:rPr>
          <w:rtl/>
        </w:rPr>
        <w:t>مة الفيض : « سخى بنفسي ، أي أسخى نفسي ببذل الروح ؛ يع</w:t>
      </w:r>
      <w:r w:rsidR="001C71C8">
        <w:rPr>
          <w:rtl/>
        </w:rPr>
        <w:t>ني هوّن عليّ الموت » وقال العل</w:t>
      </w:r>
      <w:r w:rsidR="001C71C8">
        <w:rPr>
          <w:rFonts w:hint="cs"/>
          <w:rtl/>
        </w:rPr>
        <w:t>ّ</w:t>
      </w:r>
      <w:r w:rsidR="001C71C8">
        <w:rPr>
          <w:rtl/>
        </w:rPr>
        <w:t>ا</w:t>
      </w:r>
      <w:r w:rsidR="00E3253D" w:rsidRPr="005D642E">
        <w:rPr>
          <w:rtl/>
        </w:rPr>
        <w:t>مة المجلسي : « قولها : ممّا سخى بنفسي لرؤيا ، كأنّه بالبناء للمعلوم من باب منع وعلم ، أو على البناء للمجهول من باب التفعيل لمكان الباء ، واللام لام التأكيد ومدخوله خبر كان ، أي تلك الرؤيا جعلتني سخيّاً في هذه المصيبة</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6 ، ص 2373 ؛ </w:t>
      </w:r>
      <w:r w:rsidR="00E3253D" w:rsidRPr="002F4D34">
        <w:rPr>
          <w:rStyle w:val="libFootnoteBoldChar"/>
          <w:rtl/>
        </w:rPr>
        <w:t>لسان العرب</w:t>
      </w:r>
      <w:r w:rsidR="00E3253D" w:rsidRPr="005D642E">
        <w:rPr>
          <w:rtl/>
        </w:rPr>
        <w:t xml:space="preserve"> ، ج 14 ، ص 373 ( سخا )</w:t>
      </w:r>
      <w:r w:rsidR="00E3253D">
        <w:rPr>
          <w:rtl/>
        </w:rPr>
        <w:t>.</w:t>
      </w:r>
      <w:r w:rsidR="00333826">
        <w:rPr>
          <w:rFonts w:hint="cs"/>
          <w:rtl/>
        </w:rPr>
        <w:t xml:space="preserve">             </w:t>
      </w:r>
      <w:r w:rsidR="00591486">
        <w:rPr>
          <w:rFonts w:hint="cs"/>
          <w:rtl/>
        </w:rPr>
        <w:t xml:space="preserve">                              </w:t>
      </w:r>
      <w:r w:rsidR="00333826">
        <w:rPr>
          <w:rFonts w:hint="cs"/>
          <w:rtl/>
        </w:rPr>
        <w:t xml:space="preserve">      </w:t>
      </w:r>
      <w:r w:rsidRPr="0042621E">
        <w:rPr>
          <w:rStyle w:val="libFootnote0Char"/>
          <w:rtl/>
        </w:rPr>
        <w:t>(11).</w:t>
      </w:r>
      <w:r w:rsidR="00E3253D" w:rsidRPr="005D642E">
        <w:rPr>
          <w:rtl/>
        </w:rPr>
        <w:t xml:space="preserve"> في « ظ » : + « في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33826" w:rsidTr="00333826">
        <w:tc>
          <w:tcPr>
            <w:tcW w:w="4006" w:type="dxa"/>
          </w:tcPr>
          <w:p w:rsidR="00333826" w:rsidRDefault="00333826" w:rsidP="00E3253D">
            <w:pPr>
              <w:pStyle w:val="libFootnote0"/>
              <w:rPr>
                <w:rStyle w:val="libFootnote0Char"/>
                <w:rtl/>
              </w:rPr>
            </w:pPr>
            <w:r w:rsidRPr="0042621E">
              <w:rPr>
                <w:rStyle w:val="libFootnote0Char"/>
                <w:rtl/>
              </w:rPr>
              <w:t>(12).</w:t>
            </w:r>
            <w:r w:rsidRPr="005D642E">
              <w:rPr>
                <w:rtl/>
              </w:rPr>
              <w:t xml:space="preserve"> في حاشية « بخ » : + « له</w:t>
            </w:r>
            <w:r>
              <w:rPr>
                <w:rtl/>
              </w:rPr>
              <w:t xml:space="preserve"> ».</w:t>
            </w:r>
          </w:p>
        </w:tc>
        <w:tc>
          <w:tcPr>
            <w:tcW w:w="4006" w:type="dxa"/>
          </w:tcPr>
          <w:p w:rsidR="00333826" w:rsidRDefault="00333826" w:rsidP="00E3253D">
            <w:pPr>
              <w:pStyle w:val="libFootnote0"/>
              <w:rPr>
                <w:rStyle w:val="libFootnote0Char"/>
                <w:rtl/>
              </w:rPr>
            </w:pPr>
            <w:r w:rsidRPr="0042621E">
              <w:rPr>
                <w:rStyle w:val="libFootnote0Char"/>
                <w:rtl/>
              </w:rPr>
              <w:t>(13).</w:t>
            </w:r>
            <w:r w:rsidRPr="005D642E">
              <w:rPr>
                <w:rtl/>
              </w:rPr>
              <w:t xml:space="preserve"> في « بح » : « يعني</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الظاهر أنّ « فلان » منصوب في كلام المجلسي وإن طبع مرفوعاً ؛ فإنّه خطأ مطبعي ؛ لانّه فسّره في </w:t>
      </w:r>
      <w:r w:rsidR="00E3253D" w:rsidRPr="002F4D34">
        <w:rPr>
          <w:rStyle w:val="libFootnoteBoldChar"/>
          <w:rtl/>
        </w:rPr>
        <w:t>مرآة العقول</w:t>
      </w:r>
      <w:r w:rsidR="00E3253D" w:rsidRPr="005D642E">
        <w:rPr>
          <w:rtl/>
        </w:rPr>
        <w:t xml:space="preserve"> : « أي أجدك أو أظنّك أو أراك فلاناً</w:t>
      </w:r>
      <w:r w:rsidR="00E3253D">
        <w:rPr>
          <w:rtl/>
        </w:rPr>
        <w:t xml:space="preserve"> ».</w:t>
      </w:r>
      <w:r w:rsidR="00E3253D" w:rsidRPr="005D642E">
        <w:rPr>
          <w:rtl/>
        </w:rPr>
        <w:t xml:space="preserve"> وفي هامش المطبوع : « في بعض النسخ : فلاناً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65944" w:rsidTr="00465944">
        <w:tc>
          <w:tcPr>
            <w:tcW w:w="4006" w:type="dxa"/>
          </w:tcPr>
          <w:p w:rsidR="00465944" w:rsidRDefault="00465944" w:rsidP="00E3253D">
            <w:pPr>
              <w:pStyle w:val="libFootnote0"/>
              <w:rPr>
                <w:rStyle w:val="libFootnote0Char"/>
                <w:rtl/>
                <w:lang w:bidi="fa-IR"/>
              </w:rPr>
            </w:pPr>
            <w:r w:rsidRPr="0042621E">
              <w:rPr>
                <w:rStyle w:val="libFootnote0Char"/>
                <w:rtl/>
              </w:rPr>
              <w:t>(15).</w:t>
            </w:r>
            <w:r w:rsidRPr="005D642E">
              <w:rPr>
                <w:rtl/>
              </w:rPr>
              <w:t xml:space="preserve"> في « بخ ، بف » </w:t>
            </w:r>
            <w:r w:rsidRPr="000D749A">
              <w:rPr>
                <w:rStyle w:val="libFootnoteBoldChar"/>
                <w:rtl/>
              </w:rPr>
              <w:t>والوافي</w:t>
            </w:r>
            <w:r w:rsidRPr="005D642E">
              <w:rPr>
                <w:rtl/>
              </w:rPr>
              <w:t xml:space="preserve"> : « فقال</w:t>
            </w:r>
            <w:r>
              <w:rPr>
                <w:rtl/>
              </w:rPr>
              <w:t xml:space="preserve"> ».</w:t>
            </w:r>
          </w:p>
        </w:tc>
        <w:tc>
          <w:tcPr>
            <w:tcW w:w="4006" w:type="dxa"/>
          </w:tcPr>
          <w:p w:rsidR="00465944" w:rsidRDefault="00465944" w:rsidP="00E3253D">
            <w:pPr>
              <w:pStyle w:val="libFootnote0"/>
              <w:rPr>
                <w:rStyle w:val="libFootnote0Char"/>
                <w:rtl/>
                <w:lang w:bidi="fa-IR"/>
              </w:rPr>
            </w:pPr>
            <w:r w:rsidRPr="005D642E">
              <w:rPr>
                <w:rtl/>
              </w:rPr>
              <w:t>(1</w:t>
            </w:r>
            <w:r>
              <w:rPr>
                <w:rtl/>
              </w:rPr>
              <w:t>6)</w:t>
            </w:r>
            <w:r w:rsidRPr="005D642E">
              <w:rPr>
                <w:rtl/>
              </w:rPr>
              <w:t xml:space="preserve"> في « بث » : « ما » بدون همزة الاستفهام.</w:t>
            </w:r>
          </w:p>
        </w:tc>
      </w:tr>
    </w:tbl>
    <w:p w:rsidR="00E3253D" w:rsidRPr="005D642E" w:rsidRDefault="00E3253D" w:rsidP="00E3253D">
      <w:pPr>
        <w:pStyle w:val="libFootnote0"/>
        <w:rPr>
          <w:rtl/>
          <w:lang w:bidi="fa-IR"/>
        </w:rPr>
      </w:pPr>
      <w:r w:rsidRPr="005D642E">
        <w:rPr>
          <w:rtl/>
        </w:rPr>
        <w:t>(1</w:t>
      </w:r>
      <w:r>
        <w:rPr>
          <w:rtl/>
        </w:rPr>
        <w:t>7)</w:t>
      </w:r>
      <w:r w:rsidRPr="005D642E">
        <w:rPr>
          <w:rtl/>
        </w:rPr>
        <w:t xml:space="preserve"> في التهذيب : « أكنت ميّتاً » بدل « أما كنت متّ</w:t>
      </w:r>
      <w:r>
        <w:rPr>
          <w:rtl/>
        </w:rPr>
        <w:t xml:space="preserve"> ».</w:t>
      </w:r>
    </w:p>
    <w:p w:rsidR="00E3253D" w:rsidRPr="005D642E" w:rsidRDefault="00E3253D" w:rsidP="00E3253D">
      <w:pPr>
        <w:pStyle w:val="libFootnote0"/>
        <w:rPr>
          <w:rtl/>
          <w:lang w:bidi="fa-IR"/>
        </w:rPr>
      </w:pPr>
      <w:r w:rsidRPr="005D642E">
        <w:rPr>
          <w:rtl/>
        </w:rPr>
        <w:t>(1</w:t>
      </w:r>
      <w:r>
        <w:rPr>
          <w:rtl/>
        </w:rPr>
        <w:t>8)</w:t>
      </w:r>
      <w:r w:rsidRPr="005D642E">
        <w:rPr>
          <w:rtl/>
        </w:rPr>
        <w:t xml:space="preserve"> في « ظ ، بس ، بف ، جح » </w:t>
      </w:r>
      <w:r w:rsidR="00B60612" w:rsidRPr="00B60612">
        <w:rPr>
          <w:rStyle w:val="libFootnoteBoldChar"/>
          <w:rtl/>
        </w:rPr>
        <w:t>والتهذيب</w:t>
      </w:r>
      <w:r w:rsidRPr="005D642E">
        <w:rPr>
          <w:rtl/>
        </w:rPr>
        <w:t xml:space="preserve"> : « لقّنيهنّ</w:t>
      </w:r>
      <w:r>
        <w:rPr>
          <w:rtl/>
        </w:rPr>
        <w:t xml:space="preserve"> ».</w:t>
      </w:r>
      <w:r w:rsidRPr="005D642E">
        <w:rPr>
          <w:rtl/>
        </w:rPr>
        <w:t xml:space="preserve"> وفي « غ ، بح » : « لقّيتهنّ</w:t>
      </w:r>
      <w:r>
        <w:rPr>
          <w:rtl/>
        </w:rPr>
        <w:t xml:space="preserve"> ».</w:t>
      </w:r>
      <w:r w:rsidRPr="005D642E">
        <w:rPr>
          <w:rtl/>
        </w:rPr>
        <w:t xml:space="preserve"> وفي الوافي : « لقّينهنّ</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لَوْلَا ذلِكَ لَكِدْتُ </w:t>
      </w:r>
      <w:r w:rsidRPr="007C12DB">
        <w:rPr>
          <w:rStyle w:val="libFootnotenumChar"/>
          <w:rtl/>
        </w:rPr>
        <w:t>(1)</w:t>
      </w:r>
      <w:r w:rsidRPr="005D642E">
        <w:rPr>
          <w:rtl/>
          <w:lang w:bidi="fa-IR"/>
        </w:rPr>
        <w:t xml:space="preserve"> أَهْلِكُ.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314029">
        <w:rPr>
          <w:rtl/>
        </w:rPr>
        <w:t>4293</w:t>
      </w:r>
      <w:r w:rsidRPr="00246318">
        <w:rPr>
          <w:rStyle w:val="libBold2Char"/>
          <w:rtl/>
        </w:rPr>
        <w:t xml:space="preserve"> / 5.</w:t>
      </w:r>
      <w:r w:rsidRPr="005D642E">
        <w:rPr>
          <w:rtl/>
          <w:lang w:bidi="fa-IR"/>
        </w:rPr>
        <w:t xml:space="preserve"> عَنْهُ ، عَنْ أَحْمَدَ بْنِ مُحَمَّدٍ ، عَنِ الْحُسَيْنِ بْنِ سَعِيدٍ ، عَنِ الْقَاسِمِ بْنِ مُحَمَّدٍ ، عَنْ عَلِيِّ بْنِ أَبِي حَمْزَةَ ، عَنْ أَبِي بَصِيرٍ :</w:t>
      </w:r>
    </w:p>
    <w:p w:rsidR="00E3253D" w:rsidRPr="005D642E" w:rsidRDefault="00E3253D" w:rsidP="00E3253D">
      <w:pPr>
        <w:pStyle w:val="libNormal"/>
        <w:rPr>
          <w:rtl/>
          <w:lang w:bidi="fa-IR"/>
        </w:rPr>
      </w:pPr>
      <w:r w:rsidRPr="005D642E">
        <w:rPr>
          <w:rtl/>
          <w:lang w:bidi="fa-IR"/>
        </w:rPr>
        <w:t xml:space="preserve">عَنْ‌أَبِي جَعْفَرٍ </w:t>
      </w:r>
      <w:r w:rsidRPr="00AC51C5">
        <w:rPr>
          <w:rStyle w:val="libAlaemChar"/>
          <w:rtl/>
        </w:rPr>
        <w:t>عليه‌السلام</w:t>
      </w:r>
      <w:r w:rsidRPr="005D642E">
        <w:rPr>
          <w:rtl/>
          <w:lang w:bidi="fa-IR"/>
        </w:rPr>
        <w:t xml:space="preserve"> ، قَالَ : كُنَّا </w:t>
      </w:r>
      <w:r w:rsidRPr="007C12DB">
        <w:rPr>
          <w:rStyle w:val="libFootnotenumChar"/>
          <w:rtl/>
        </w:rPr>
        <w:t>(3)</w:t>
      </w:r>
      <w:r w:rsidRPr="005D642E">
        <w:rPr>
          <w:rtl/>
          <w:lang w:bidi="fa-IR"/>
        </w:rPr>
        <w:t xml:space="preserve"> عِنْدَهُ وَعِنْدَهُ حُمْرَانُ إِذْ دَخَلَ عَلَيْهِ </w:t>
      </w:r>
      <w:r w:rsidRPr="007C12DB">
        <w:rPr>
          <w:rStyle w:val="libFootnotenumChar"/>
          <w:rtl/>
        </w:rPr>
        <w:t>(4)</w:t>
      </w:r>
      <w:r w:rsidRPr="005D642E">
        <w:rPr>
          <w:rtl/>
          <w:lang w:bidi="fa-IR"/>
        </w:rPr>
        <w:t xml:space="preserve"> مَوْلًى لَهُ </w:t>
      </w:r>
      <w:r w:rsidRPr="007C12DB">
        <w:rPr>
          <w:rStyle w:val="libFootnotenumChar"/>
          <w:rtl/>
        </w:rPr>
        <w:t>(5)</w:t>
      </w:r>
      <w:r w:rsidRPr="005D642E">
        <w:rPr>
          <w:rtl/>
          <w:lang w:bidi="fa-IR"/>
        </w:rPr>
        <w:t xml:space="preserve"> ، فَقَالَ لَهُ </w:t>
      </w:r>
      <w:r w:rsidRPr="007C12DB">
        <w:rPr>
          <w:rStyle w:val="libFootnotenumChar"/>
          <w:rtl/>
        </w:rPr>
        <w:t>(6)</w:t>
      </w:r>
      <w:r w:rsidRPr="005D642E">
        <w:rPr>
          <w:rtl/>
          <w:lang w:bidi="fa-IR"/>
        </w:rPr>
        <w:t xml:space="preserve"> : جُعِلْتُ فِدَاكَ </w:t>
      </w:r>
      <w:r w:rsidRPr="007C12DB">
        <w:rPr>
          <w:rStyle w:val="libFootnotenumChar"/>
          <w:rtl/>
        </w:rPr>
        <w:t>(7)</w:t>
      </w:r>
      <w:r w:rsidRPr="005D642E">
        <w:rPr>
          <w:rtl/>
          <w:lang w:bidi="fa-IR"/>
        </w:rPr>
        <w:t xml:space="preserve"> ، هذَا عِكْرِمَةُ فِي الْمَوْتِ ؛ وَكَانَ يَرى </w:t>
      </w:r>
      <w:r w:rsidRPr="007C12DB">
        <w:rPr>
          <w:rStyle w:val="libFootnotenumChar"/>
          <w:rtl/>
        </w:rPr>
        <w:t>(8)</w:t>
      </w:r>
      <w:r w:rsidRPr="005D642E">
        <w:rPr>
          <w:rtl/>
          <w:lang w:bidi="fa-IR"/>
        </w:rPr>
        <w:t xml:space="preserve"> رَأْيَ الْخَوَارِجِ ، وَكَانَ مُنْقَطِعاً إِلى أَبِي جَعْفَرٍ </w:t>
      </w:r>
      <w:r w:rsidRPr="00AC51C5">
        <w:rPr>
          <w:rStyle w:val="libAlaemChar"/>
          <w:rtl/>
        </w:rPr>
        <w:t>عليه‌السلام</w:t>
      </w:r>
      <w:r w:rsidRPr="005D642E">
        <w:rPr>
          <w:rtl/>
          <w:lang w:bidi="fa-IR"/>
        </w:rPr>
        <w:t xml:space="preserve"> </w:t>
      </w:r>
      <w:r w:rsidRPr="007C12DB">
        <w:rPr>
          <w:rStyle w:val="libFootnotenumChar"/>
          <w:rtl/>
        </w:rPr>
        <w:t>(9)</w:t>
      </w:r>
    </w:p>
    <w:p w:rsidR="00E3253D" w:rsidRPr="005D642E" w:rsidRDefault="00E3253D" w:rsidP="00E3253D">
      <w:pPr>
        <w:pStyle w:val="libNormal"/>
        <w:rPr>
          <w:rtl/>
          <w:lang w:bidi="fa-IR"/>
        </w:rPr>
      </w:pPr>
      <w:r w:rsidRPr="005D642E">
        <w:rPr>
          <w:rtl/>
          <w:lang w:bidi="fa-IR"/>
        </w:rPr>
        <w:t xml:space="preserve">فَقَالَ لَنَا أَبُو جَعْفَرٍ </w:t>
      </w:r>
      <w:r w:rsidRPr="00AC51C5">
        <w:rPr>
          <w:rStyle w:val="libAlaemChar"/>
          <w:rtl/>
        </w:rPr>
        <w:t>عليه‌السلام</w:t>
      </w:r>
      <w:r w:rsidRPr="005D642E">
        <w:rPr>
          <w:rtl/>
          <w:lang w:bidi="fa-IR"/>
        </w:rPr>
        <w:t xml:space="preserve"> : « أَنْظِرُونِي </w:t>
      </w:r>
      <w:r w:rsidRPr="007C12DB">
        <w:rPr>
          <w:rStyle w:val="libFootnotenumChar"/>
          <w:rtl/>
        </w:rPr>
        <w:t>(10)</w:t>
      </w:r>
      <w:r w:rsidRPr="005D642E">
        <w:rPr>
          <w:rtl/>
          <w:lang w:bidi="fa-IR"/>
        </w:rPr>
        <w:t xml:space="preserve"> حَتّى أَرْجِعَ إِلَيْكُمْ » فَقُلْنَا </w:t>
      </w:r>
      <w:r w:rsidRPr="007C12DB">
        <w:rPr>
          <w:rStyle w:val="libFootnotenumChar"/>
          <w:rtl/>
        </w:rPr>
        <w:t>(11)</w:t>
      </w:r>
      <w:r w:rsidRPr="005D642E">
        <w:rPr>
          <w:rtl/>
          <w:lang w:bidi="fa-IR"/>
        </w:rPr>
        <w:t xml:space="preserve"> : نَعَمْ ، فَمَا لَبِثَ أَنْ رَجَعَ ، فَقَالَ : « أَمَا إِنِّي </w:t>
      </w:r>
      <w:r w:rsidRPr="007C12DB">
        <w:rPr>
          <w:rStyle w:val="libFootnotenumChar"/>
          <w:rtl/>
        </w:rPr>
        <w:t>(12)</w:t>
      </w:r>
      <w:r w:rsidRPr="005D642E">
        <w:rPr>
          <w:rtl/>
          <w:lang w:bidi="fa-IR"/>
        </w:rPr>
        <w:t xml:space="preserve"> لَوْ أَدْرَكْتُ عِكْرِمَةَ قَبْلَ أَنْ تَقَعَ </w:t>
      </w:r>
      <w:r w:rsidRPr="007C12DB">
        <w:rPr>
          <w:rStyle w:val="libFootnotenumChar"/>
          <w:rtl/>
        </w:rPr>
        <w:t>(13)</w:t>
      </w:r>
      <w:r w:rsidRPr="005D642E">
        <w:rPr>
          <w:rtl/>
          <w:lang w:bidi="fa-IR"/>
        </w:rPr>
        <w:t xml:space="preserve"> النَّفْسُ </w:t>
      </w:r>
      <w:r w:rsidRPr="007C12DB">
        <w:rPr>
          <w:rStyle w:val="libFootnotenumChar"/>
          <w:rtl/>
        </w:rPr>
        <w:t>(14)</w:t>
      </w:r>
      <w:r w:rsidRPr="005D642E">
        <w:rPr>
          <w:rtl/>
          <w:lang w:bidi="fa-IR"/>
        </w:rPr>
        <w:t xml:space="preserve"> مَوْقِعَهَا ، لَعَلَّمْتُهُ كَلِمَاتٍ يَنْتَفِعُ بِهَا ، وَلكِنِّي </w:t>
      </w:r>
      <w:r w:rsidRPr="007C12DB">
        <w:rPr>
          <w:rStyle w:val="libFootnotenumChar"/>
          <w:rtl/>
        </w:rPr>
        <w:t>(15)</w:t>
      </w:r>
      <w:r w:rsidRPr="005D642E">
        <w:rPr>
          <w:rtl/>
          <w:lang w:bidi="fa-IR"/>
        </w:rPr>
        <w:t xml:space="preserve"> أَدْرَكْتُهُ وَقَدْ </w:t>
      </w:r>
      <w:r w:rsidRPr="007C12DB">
        <w:rPr>
          <w:rStyle w:val="libFootnotenumChar"/>
          <w:rtl/>
        </w:rPr>
        <w:t>(16)</w:t>
      </w:r>
      <w:r w:rsidRPr="005D642E">
        <w:rPr>
          <w:rtl/>
          <w:lang w:bidi="fa-IR"/>
        </w:rPr>
        <w:t xml:space="preserve"> وَقَعَتِ النَّفْسُ مَوْقِعَهَا</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w:t>
      </w:r>
      <w:r w:rsidRPr="007C12DB">
        <w:rPr>
          <w:rStyle w:val="libFootnotenumChar"/>
          <w:rtl/>
        </w:rPr>
        <w:t>(17)</w:t>
      </w:r>
      <w:r w:rsidRPr="005D642E">
        <w:rPr>
          <w:rtl/>
          <w:lang w:bidi="fa-IR"/>
        </w:rPr>
        <w:t xml:space="preserve"> : جُعِلْتُ فِدَاكَ ، وَمَا ذَاكَ </w:t>
      </w:r>
      <w:r w:rsidRPr="007C12DB">
        <w:rPr>
          <w:rStyle w:val="libFootnotenumChar"/>
          <w:rtl/>
        </w:rPr>
        <w:t>(18)</w:t>
      </w:r>
      <w:r w:rsidRPr="005D642E">
        <w:rPr>
          <w:rtl/>
          <w:lang w:bidi="fa-IR"/>
        </w:rPr>
        <w:t xml:space="preserve"> الْكَلَامُ</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ى ، غ ، بث ، بح ، بس ، جس ، جن » </w:t>
      </w:r>
      <w:r w:rsidR="00B60612" w:rsidRPr="00B60612">
        <w:rPr>
          <w:rStyle w:val="libFootnoteBoldChar"/>
          <w:rtl/>
        </w:rPr>
        <w:t>والتهذيب</w:t>
      </w:r>
      <w:r w:rsidR="00E3253D" w:rsidRPr="005D642E">
        <w:rPr>
          <w:rtl/>
        </w:rPr>
        <w:t xml:space="preserve"> : « كدت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287 ، ح 837 ، بسنده عن الكليني </w:t>
      </w:r>
      <w:r w:rsidR="006463D3">
        <w:rPr>
          <w:rFonts w:hint="cs"/>
          <w:rtl/>
        </w:rPr>
        <w:t>.</w:t>
      </w:r>
      <w:r w:rsidR="00E3253D" w:rsidRPr="002F4D34">
        <w:rPr>
          <w:rStyle w:val="libFootnoteBoldChar"/>
          <w:rtl/>
        </w:rPr>
        <w:t>الوافي</w:t>
      </w:r>
      <w:r w:rsidR="00E3253D" w:rsidRPr="005D642E">
        <w:rPr>
          <w:rtl/>
        </w:rPr>
        <w:t xml:space="preserve"> ، ج 24 ، ص 234 ، ح 23955.</w:t>
      </w:r>
    </w:p>
    <w:tbl>
      <w:tblPr>
        <w:tblStyle w:val="TableGrid"/>
        <w:bidiVisual/>
        <w:tblW w:w="0" w:type="auto"/>
        <w:tblLook w:val="04A0" w:firstRow="1" w:lastRow="0" w:firstColumn="1" w:lastColumn="0" w:noHBand="0" w:noVBand="1"/>
      </w:tblPr>
      <w:tblGrid>
        <w:gridCol w:w="4006"/>
        <w:gridCol w:w="4006"/>
      </w:tblGrid>
      <w:tr w:rsidR="006463D3" w:rsidTr="006463D3">
        <w:tc>
          <w:tcPr>
            <w:tcW w:w="4006" w:type="dxa"/>
          </w:tcPr>
          <w:p w:rsidR="006463D3" w:rsidRDefault="006463D3" w:rsidP="00E3253D">
            <w:pPr>
              <w:pStyle w:val="libFootnote0"/>
              <w:rPr>
                <w:rStyle w:val="libFootnote0Char"/>
                <w:rtl/>
              </w:rPr>
            </w:pPr>
            <w:r w:rsidRPr="0042621E">
              <w:rPr>
                <w:rStyle w:val="libFootnote0Char"/>
                <w:rtl/>
              </w:rPr>
              <w:t>(3).</w:t>
            </w:r>
            <w:r w:rsidRPr="005D642E">
              <w:rPr>
                <w:rtl/>
              </w:rPr>
              <w:t xml:space="preserve"> في « جن » : « كنت</w:t>
            </w:r>
            <w:r>
              <w:rPr>
                <w:rtl/>
              </w:rPr>
              <w:t xml:space="preserve"> ».</w:t>
            </w:r>
          </w:p>
        </w:tc>
        <w:tc>
          <w:tcPr>
            <w:tcW w:w="4006" w:type="dxa"/>
          </w:tcPr>
          <w:p w:rsidR="006463D3" w:rsidRDefault="006463D3" w:rsidP="00E3253D">
            <w:pPr>
              <w:pStyle w:val="libFootnote0"/>
              <w:rPr>
                <w:rStyle w:val="libFootnote0Char"/>
                <w:rtl/>
              </w:rPr>
            </w:pPr>
            <w:r w:rsidRPr="0042621E">
              <w:rPr>
                <w:rStyle w:val="libFootnote0Char"/>
                <w:rtl/>
              </w:rPr>
              <w:t>(4).</w:t>
            </w:r>
            <w:r w:rsidRPr="005D642E">
              <w:rPr>
                <w:rtl/>
              </w:rPr>
              <w:t xml:space="preserve"> في « بف » :</w:t>
            </w:r>
            <w:r>
              <w:rPr>
                <w:rtl/>
              </w:rPr>
              <w:t xml:space="preserve"> - </w:t>
            </w:r>
            <w:r w:rsidRPr="005D642E">
              <w:rPr>
                <w:rtl/>
              </w:rPr>
              <w:t>« عليه</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وعنده حمران إذ دخل عليه مولى له</w:t>
      </w:r>
      <w:r w:rsidR="00E3253D">
        <w:rPr>
          <w:rtl/>
        </w:rPr>
        <w:t xml:space="preserve"> ».</w:t>
      </w:r>
    </w:p>
    <w:p w:rsidR="00E3253D" w:rsidRPr="005D642E" w:rsidRDefault="0042621E" w:rsidP="006463D3">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والبحار </w:t>
      </w:r>
      <w:r w:rsidR="00B60612" w:rsidRPr="00B60612">
        <w:rPr>
          <w:rStyle w:val="libFootnoteBoldChar"/>
          <w:rtl/>
        </w:rPr>
        <w:t>والتهذيب</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r w:rsidR="00E3253D" w:rsidRPr="005D642E">
        <w:rPr>
          <w:rtl/>
        </w:rPr>
        <w:t xml:space="preserve"> وفي الوسائل : « فقيل‌له</w:t>
      </w:r>
      <w:r w:rsidR="00E3253D">
        <w:rPr>
          <w:rtl/>
        </w:rPr>
        <w:t xml:space="preserve"> ».</w:t>
      </w:r>
      <w:r w:rsidR="006463D3">
        <w:rPr>
          <w:rFonts w:hint="cs"/>
          <w:rtl/>
        </w:rPr>
        <w:t xml:space="preserve">                                                          </w:t>
      </w:r>
      <w:r w:rsidRPr="0042621E">
        <w:rPr>
          <w:rStyle w:val="libFootnote0Char"/>
          <w:rtl/>
        </w:rPr>
        <w:t>(7).</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جعلت فداك</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الوافي</w:t>
      </w:r>
      <w:r w:rsidR="00E3253D" w:rsidRPr="005D642E">
        <w:rPr>
          <w:rtl/>
        </w:rPr>
        <w:t xml:space="preserve"> : « قوله : وكان يرى ، وكان منقطعاً ، أي مائلاً محبّاً ، من كلام أبي بصير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xml:space="preserve">« وكان منقطعاً إلى أبي جعفر </w:t>
      </w:r>
      <w:r w:rsidR="00E3253D" w:rsidRPr="006463D3">
        <w:rPr>
          <w:rStyle w:val="libFootnoteAlaemChar"/>
          <w:rtl/>
        </w:rPr>
        <w:t>عليه‌السلام</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6463D3">
        <w:rPr>
          <w:rStyle w:val="libFootnoteAlaemChar"/>
          <w:rtl/>
        </w:rPr>
        <w:t>عليه‌السلام</w:t>
      </w:r>
      <w:r w:rsidR="00E3253D" w:rsidRPr="005D642E">
        <w:rPr>
          <w:rtl/>
        </w:rPr>
        <w:t xml:space="preserve"> : أنظروا ، على بناء المجرّد بمعنى الانتظار ، أو على بناء الإفعال بمعنى الإمهال</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بث ، بخ ، بس ، بف ، جح ، جس ، جن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قلنا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C7B0C" w:rsidTr="000C7B0C">
        <w:tc>
          <w:tcPr>
            <w:tcW w:w="4006" w:type="dxa"/>
          </w:tcPr>
          <w:p w:rsidR="000C7B0C" w:rsidRDefault="000C7B0C" w:rsidP="00E3253D">
            <w:pPr>
              <w:pStyle w:val="libFootnote0"/>
              <w:rPr>
                <w:rStyle w:val="libFootnote0Char"/>
                <w:rtl/>
              </w:rPr>
            </w:pPr>
            <w:r w:rsidRPr="0042621E">
              <w:rPr>
                <w:rStyle w:val="libFootnote0Char"/>
                <w:rtl/>
              </w:rPr>
              <w:t>(12).</w:t>
            </w:r>
            <w:r w:rsidRPr="005D642E">
              <w:rPr>
                <w:rtl/>
              </w:rPr>
              <w:t xml:space="preserve"> في « بف » </w:t>
            </w:r>
            <w:r w:rsidRPr="000D749A">
              <w:rPr>
                <w:rStyle w:val="libFootnoteBoldChar"/>
                <w:rtl/>
              </w:rPr>
              <w:t>والوافي</w:t>
            </w:r>
            <w:r w:rsidRPr="005D642E">
              <w:rPr>
                <w:rtl/>
              </w:rPr>
              <w:t xml:space="preserve"> :</w:t>
            </w:r>
            <w:r>
              <w:rPr>
                <w:rtl/>
              </w:rPr>
              <w:t xml:space="preserve"> - </w:t>
            </w:r>
            <w:r w:rsidRPr="005D642E">
              <w:rPr>
                <w:rtl/>
              </w:rPr>
              <w:t>« إنّي</w:t>
            </w:r>
            <w:r>
              <w:rPr>
                <w:rtl/>
              </w:rPr>
              <w:t xml:space="preserve"> ».</w:t>
            </w:r>
          </w:p>
        </w:tc>
        <w:tc>
          <w:tcPr>
            <w:tcW w:w="4006" w:type="dxa"/>
          </w:tcPr>
          <w:p w:rsidR="000C7B0C" w:rsidRDefault="000C7B0C" w:rsidP="00E3253D">
            <w:pPr>
              <w:pStyle w:val="libFootnote0"/>
              <w:rPr>
                <w:rStyle w:val="libFootnote0Char"/>
                <w:rtl/>
              </w:rPr>
            </w:pPr>
            <w:r w:rsidRPr="0042621E">
              <w:rPr>
                <w:rStyle w:val="libFootnote0Char"/>
                <w:rtl/>
              </w:rPr>
              <w:t>(13).</w:t>
            </w:r>
            <w:r w:rsidRPr="005D642E">
              <w:rPr>
                <w:rtl/>
              </w:rPr>
              <w:t xml:space="preserve"> في « جس » : « أن يقع</w:t>
            </w:r>
            <w:r>
              <w:rPr>
                <w:rtl/>
              </w:rPr>
              <w:t xml:space="preserve"> ».</w:t>
            </w:r>
          </w:p>
        </w:tc>
      </w:tr>
      <w:tr w:rsidR="000C7B0C" w:rsidTr="000C7B0C">
        <w:tc>
          <w:tcPr>
            <w:tcW w:w="4006" w:type="dxa"/>
          </w:tcPr>
          <w:p w:rsidR="000C7B0C" w:rsidRDefault="00CC77FF" w:rsidP="00E3253D">
            <w:pPr>
              <w:pStyle w:val="libFootnote0"/>
              <w:rPr>
                <w:rStyle w:val="libFootnote0Char"/>
                <w:rtl/>
              </w:rPr>
            </w:pPr>
            <w:r w:rsidRPr="0042621E">
              <w:rPr>
                <w:rStyle w:val="libFootnote0Char"/>
                <w:rtl/>
              </w:rPr>
              <w:t>(14).</w:t>
            </w:r>
            <w:r w:rsidRPr="005D642E">
              <w:rPr>
                <w:rtl/>
              </w:rPr>
              <w:t xml:space="preserve"> في « ى » :</w:t>
            </w:r>
            <w:r>
              <w:rPr>
                <w:rtl/>
              </w:rPr>
              <w:t xml:space="preserve"> - </w:t>
            </w:r>
            <w:r w:rsidRPr="005D642E">
              <w:rPr>
                <w:rtl/>
              </w:rPr>
              <w:t>« النفس</w:t>
            </w:r>
            <w:r>
              <w:rPr>
                <w:rtl/>
              </w:rPr>
              <w:t xml:space="preserve"> ».</w:t>
            </w:r>
          </w:p>
        </w:tc>
        <w:tc>
          <w:tcPr>
            <w:tcW w:w="4006" w:type="dxa"/>
          </w:tcPr>
          <w:p w:rsidR="000C7B0C" w:rsidRDefault="00CC77FF" w:rsidP="00E3253D">
            <w:pPr>
              <w:pStyle w:val="libFootnote0"/>
              <w:rPr>
                <w:rStyle w:val="libFootnote0Char"/>
                <w:rtl/>
              </w:rPr>
            </w:pPr>
            <w:r w:rsidRPr="0042621E">
              <w:rPr>
                <w:rStyle w:val="libFootnote0Char"/>
                <w:rtl/>
              </w:rPr>
              <w:t>(15).</w:t>
            </w:r>
            <w:r w:rsidRPr="005D642E">
              <w:rPr>
                <w:rtl/>
              </w:rPr>
              <w:t xml:space="preserve"> في « بح » : + « قد</w:t>
            </w:r>
            <w:r>
              <w:rPr>
                <w:rtl/>
              </w:rPr>
              <w:t xml:space="preserve"> ».</w:t>
            </w:r>
          </w:p>
        </w:tc>
      </w:tr>
    </w:tbl>
    <w:p w:rsidR="00E3253D" w:rsidRPr="005D642E" w:rsidRDefault="00E3253D" w:rsidP="00E3253D">
      <w:pPr>
        <w:pStyle w:val="libFootnote0"/>
        <w:rPr>
          <w:rtl/>
          <w:lang w:bidi="fa-IR"/>
        </w:rPr>
      </w:pPr>
      <w:r w:rsidRPr="005D642E">
        <w:rPr>
          <w:rtl/>
        </w:rPr>
        <w:t>(1</w:t>
      </w:r>
      <w:r>
        <w:rPr>
          <w:rtl/>
        </w:rPr>
        <w:t>6)</w:t>
      </w:r>
      <w:r w:rsidRPr="005D642E">
        <w:rPr>
          <w:rtl/>
        </w:rPr>
        <w:t xml:space="preserve"> في « ى » : « قد » بدون الواو.</w:t>
      </w:r>
    </w:p>
    <w:p w:rsidR="00E3253D" w:rsidRPr="005D642E" w:rsidRDefault="00E3253D" w:rsidP="00E3253D">
      <w:pPr>
        <w:pStyle w:val="libFootnote0"/>
        <w:rPr>
          <w:rtl/>
          <w:lang w:bidi="fa-IR"/>
        </w:rPr>
      </w:pPr>
      <w:r w:rsidRPr="005D642E">
        <w:rPr>
          <w:rtl/>
        </w:rPr>
        <w:t>(1</w:t>
      </w:r>
      <w:r>
        <w:rPr>
          <w:rtl/>
        </w:rPr>
        <w:t>7)</w:t>
      </w:r>
      <w:r w:rsidRPr="005D642E">
        <w:rPr>
          <w:rtl/>
        </w:rPr>
        <w:t xml:space="preserve"> في « ظ ، غ ، بث ، بح ، جح ، جن » والوسائل والبحار </w:t>
      </w:r>
      <w:r w:rsidR="00B60612" w:rsidRPr="00B60612">
        <w:rPr>
          <w:rStyle w:val="libFootnoteBoldChar"/>
          <w:rtl/>
        </w:rPr>
        <w:t>والتهذيب</w:t>
      </w:r>
      <w:r w:rsidRPr="005D642E">
        <w:rPr>
          <w:rtl/>
        </w:rPr>
        <w:t xml:space="preserve"> : « فقلت</w:t>
      </w:r>
      <w:r>
        <w:rPr>
          <w:rtl/>
        </w:rPr>
        <w:t xml:space="preserve"> ».</w:t>
      </w:r>
    </w:p>
    <w:p w:rsidR="00E3253D" w:rsidRPr="005D642E" w:rsidRDefault="00E3253D" w:rsidP="00E3253D">
      <w:pPr>
        <w:pStyle w:val="libFootnote0"/>
        <w:rPr>
          <w:rtl/>
          <w:lang w:bidi="fa-IR"/>
        </w:rPr>
      </w:pPr>
      <w:r w:rsidRPr="005D642E">
        <w:rPr>
          <w:rtl/>
        </w:rPr>
        <w:t>(1</w:t>
      </w:r>
      <w:r>
        <w:rPr>
          <w:rtl/>
        </w:rPr>
        <w:t>8)</w:t>
      </w:r>
      <w:r w:rsidRPr="005D642E">
        <w:rPr>
          <w:rtl/>
        </w:rPr>
        <w:t xml:space="preserve"> في « ظ ، بث ، جس ، جن » والبحار </w:t>
      </w:r>
      <w:r w:rsidR="00B60612" w:rsidRPr="00B60612">
        <w:rPr>
          <w:rStyle w:val="libFootnoteBoldChar"/>
          <w:rtl/>
        </w:rPr>
        <w:t>والتهذيب</w:t>
      </w:r>
      <w:r w:rsidRPr="005D642E">
        <w:rPr>
          <w:rtl/>
        </w:rPr>
        <w:t xml:space="preserve"> : « ذلك</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w:t>
      </w:r>
      <w:r w:rsidRPr="007C12DB">
        <w:rPr>
          <w:rStyle w:val="libFootnotenumChar"/>
          <w:rtl/>
        </w:rPr>
        <w:t>(1)</w:t>
      </w:r>
      <w:r w:rsidRPr="005D642E">
        <w:rPr>
          <w:rtl/>
          <w:lang w:bidi="fa-IR"/>
        </w:rPr>
        <w:t xml:space="preserve"> : « هُوَ</w:t>
      </w:r>
      <w:r>
        <w:rPr>
          <w:rtl/>
          <w:lang w:bidi="fa-IR"/>
        </w:rPr>
        <w:t xml:space="preserve"> </w:t>
      </w:r>
      <w:r w:rsidR="007642BC">
        <w:rPr>
          <w:rtl/>
          <w:lang w:bidi="fa-IR"/>
        </w:rPr>
        <w:t>-</w:t>
      </w:r>
      <w:r>
        <w:rPr>
          <w:rtl/>
          <w:lang w:bidi="fa-IR"/>
        </w:rPr>
        <w:t xml:space="preserve"> </w:t>
      </w:r>
      <w:r w:rsidRPr="005D642E">
        <w:rPr>
          <w:rtl/>
          <w:lang w:bidi="fa-IR"/>
        </w:rPr>
        <w:t xml:space="preserve">وَاللهِ </w:t>
      </w:r>
      <w:r w:rsidRPr="007C12DB">
        <w:rPr>
          <w:rStyle w:val="libFootnotenumChar"/>
          <w:rtl/>
        </w:rPr>
        <w:t>(2)</w:t>
      </w:r>
      <w:r>
        <w:rPr>
          <w:rtl/>
          <w:lang w:bidi="fa-IR"/>
        </w:rPr>
        <w:t xml:space="preserve"> </w:t>
      </w:r>
      <w:r w:rsidR="007642BC">
        <w:rPr>
          <w:rtl/>
          <w:lang w:bidi="fa-IR"/>
        </w:rPr>
        <w:t>-</w:t>
      </w:r>
      <w:r>
        <w:rPr>
          <w:rtl/>
          <w:lang w:bidi="fa-IR"/>
        </w:rPr>
        <w:t xml:space="preserve"> </w:t>
      </w:r>
      <w:r w:rsidRPr="005D642E">
        <w:rPr>
          <w:rtl/>
          <w:lang w:bidi="fa-IR"/>
        </w:rPr>
        <w:t xml:space="preserve">مَا أَنْتُمْ عَلَيْهِ ، فَلَقِّنُوا </w:t>
      </w:r>
      <w:r w:rsidRPr="007C12DB">
        <w:rPr>
          <w:rStyle w:val="libFootnotenumChar"/>
          <w:rtl/>
        </w:rPr>
        <w:t>(3)</w:t>
      </w:r>
      <w:r w:rsidRPr="005D642E">
        <w:rPr>
          <w:rtl/>
          <w:lang w:bidi="fa-IR"/>
        </w:rPr>
        <w:t xml:space="preserve"> مَوْتَاكُمْ عِنْدَ الْمَوْتِ شَهَادَةَ أَنْ لَا</w:t>
      </w:r>
      <w:r>
        <w:rPr>
          <w:rFonts w:hint="cs"/>
          <w:rtl/>
          <w:lang w:bidi="fa-IR"/>
        </w:rPr>
        <w:t xml:space="preserve"> </w:t>
      </w:r>
      <w:r w:rsidR="00511BF3">
        <w:rPr>
          <w:rtl/>
          <w:lang w:bidi="fa-IR"/>
        </w:rPr>
        <w:t>إِلهَ إِل</w:t>
      </w:r>
      <w:r w:rsidR="00511BF3">
        <w:rPr>
          <w:rFonts w:hint="cs"/>
          <w:rtl/>
          <w:lang w:bidi="fa-IR"/>
        </w:rPr>
        <w:t>َّ</w:t>
      </w:r>
      <w:r w:rsidR="00511BF3">
        <w:rPr>
          <w:rtl/>
          <w:lang w:bidi="fa-IR"/>
        </w:rPr>
        <w:t>ا</w:t>
      </w:r>
      <w:r w:rsidRPr="005D642E">
        <w:rPr>
          <w:rtl/>
          <w:lang w:bidi="fa-IR"/>
        </w:rPr>
        <w:t xml:space="preserve"> اللهُ ، وَالْوَلَايَةَ</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682E6C">
        <w:rPr>
          <w:rtl/>
        </w:rPr>
        <w:t>4294</w:t>
      </w:r>
      <w:r w:rsidRPr="00246318">
        <w:rPr>
          <w:rStyle w:val="libBold2Char"/>
          <w:rtl/>
        </w:rPr>
        <w:t xml:space="preserve"> / 6.</w:t>
      </w:r>
      <w:r w:rsidRPr="005D642E">
        <w:rPr>
          <w:rtl/>
          <w:lang w:bidi="fa-IR"/>
        </w:rPr>
        <w:t xml:space="preserve"> عَلِيُّ بْنُ مُحَمَّدِ بْنِ بُنْدَارَ </w:t>
      </w:r>
      <w:r w:rsidRPr="007C12DB">
        <w:rPr>
          <w:rStyle w:val="libFootnotenumChar"/>
          <w:rtl/>
        </w:rPr>
        <w:t>(5)</w:t>
      </w:r>
      <w:r w:rsidRPr="005D642E">
        <w:rPr>
          <w:rtl/>
          <w:lang w:bidi="fa-IR"/>
        </w:rPr>
        <w:t xml:space="preserve"> ، عَنْ أَحْمَدَ بْنِ أَبِي عَبْدِ اللهِ ، عَنْ مُحَمَّدِ بْنِ عَلِيٍّ ، عَنْ عَبْدِ الرَّحْمنِ بْنِ أَبِي هَاشِمٍ ، عَنْ أَبِي خَدِيجَةَ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مَا مِنْ أَ</w:t>
      </w:r>
      <w:r w:rsidR="003123D6">
        <w:rPr>
          <w:rtl/>
          <w:lang w:bidi="fa-IR"/>
        </w:rPr>
        <w:t>حَدٍ يَحْضُرُهُ الْمَوْتُ إِل</w:t>
      </w:r>
      <w:r w:rsidR="003123D6">
        <w:rPr>
          <w:rFonts w:hint="cs"/>
          <w:rtl/>
          <w:lang w:bidi="fa-IR"/>
        </w:rPr>
        <w:t>َّ</w:t>
      </w:r>
      <w:r w:rsidR="003123D6">
        <w:rPr>
          <w:rtl/>
          <w:lang w:bidi="fa-IR"/>
        </w:rPr>
        <w:t>ا</w:t>
      </w:r>
      <w:r w:rsidRPr="005D642E">
        <w:rPr>
          <w:rtl/>
          <w:lang w:bidi="fa-IR"/>
        </w:rPr>
        <w:t xml:space="preserve"> وَكَّلَ بِهِ إِبْلِيسُ مِنْ شَيَاطِينِهِ مَنْ </w:t>
      </w:r>
      <w:r w:rsidRPr="007C12DB">
        <w:rPr>
          <w:rStyle w:val="libFootnotenumChar"/>
          <w:rtl/>
        </w:rPr>
        <w:t>(6)</w:t>
      </w:r>
      <w:r w:rsidRPr="005D642E">
        <w:rPr>
          <w:rtl/>
          <w:lang w:bidi="fa-IR"/>
        </w:rPr>
        <w:t xml:space="preserve"> يَأْمُرُهُ بِالْكُفْرِ ، وَيُشَكِّكُهُ فِي دِينِهِ حَتّى تَخْرُجَ </w:t>
      </w:r>
      <w:r w:rsidRPr="007C12DB">
        <w:rPr>
          <w:rStyle w:val="libFootnotenumChar"/>
          <w:rtl/>
        </w:rPr>
        <w:t>(7)</w:t>
      </w:r>
      <w:r w:rsidRPr="005D642E">
        <w:rPr>
          <w:rtl/>
          <w:lang w:bidi="fa-IR"/>
        </w:rPr>
        <w:t xml:space="preserve"> نَفْسُهُ ، فَمَنْ كَانَ مُؤْمِناً لَمْ يَقْدِرْ </w:t>
      </w:r>
      <w:r w:rsidRPr="007C12DB">
        <w:rPr>
          <w:rStyle w:val="libFootnotenumChar"/>
          <w:rtl/>
        </w:rPr>
        <w:t>(8)</w:t>
      </w:r>
      <w:r w:rsidRPr="005D642E">
        <w:rPr>
          <w:rtl/>
          <w:lang w:bidi="fa-IR"/>
        </w:rPr>
        <w:t xml:space="preserve"> عَلَيْهِ </w:t>
      </w:r>
      <w:r w:rsidRPr="007C12DB">
        <w:rPr>
          <w:rStyle w:val="libFootnotenumChar"/>
          <w:rtl/>
        </w:rPr>
        <w:t>(9)</w:t>
      </w:r>
      <w:r w:rsidRPr="005D642E">
        <w:rPr>
          <w:rtl/>
          <w:lang w:bidi="fa-IR"/>
        </w:rPr>
        <w:t xml:space="preserve"> ، فَإِذَا حَضَرْتُمْ مَوْتَاكُمْ ، فَلَقِّنُوهُمْ شَهَادَةَ أَنْ لَا</w:t>
      </w:r>
      <w:r>
        <w:rPr>
          <w:rFonts w:hint="cs"/>
          <w:rtl/>
          <w:lang w:bidi="fa-IR"/>
        </w:rPr>
        <w:t xml:space="preserve"> </w:t>
      </w:r>
      <w:r w:rsidR="00FE584B">
        <w:rPr>
          <w:rtl/>
          <w:lang w:bidi="fa-IR"/>
        </w:rPr>
        <w:t>إِلهَ إِل</w:t>
      </w:r>
      <w:r w:rsidR="00FE584B">
        <w:rPr>
          <w:rFonts w:hint="cs"/>
          <w:rtl/>
          <w:lang w:bidi="fa-IR"/>
        </w:rPr>
        <w:t>َّ</w:t>
      </w:r>
      <w:r w:rsidR="00FE584B">
        <w:rPr>
          <w:rtl/>
          <w:lang w:bidi="fa-IR"/>
        </w:rPr>
        <w:t>ا</w:t>
      </w:r>
      <w:r w:rsidRPr="005D642E">
        <w:rPr>
          <w:rtl/>
          <w:lang w:bidi="fa-IR"/>
        </w:rPr>
        <w:t xml:space="preserve"> اللهُ ، وَأَنَّ مُحَمَّداً رَسُولُ اللهِ </w:t>
      </w:r>
      <w:r w:rsidR="0042621E" w:rsidRPr="0042621E">
        <w:rPr>
          <w:rStyle w:val="libAlaemChar"/>
          <w:rtl/>
        </w:rPr>
        <w:t>صلى‌الله‌عليه‌وآله</w:t>
      </w:r>
      <w:r w:rsidRPr="005D642E">
        <w:rPr>
          <w:rtl/>
          <w:lang w:bidi="fa-IR"/>
        </w:rPr>
        <w:t xml:space="preserve"> حَتّى يَمُوتَ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3D3817" w:rsidP="00E3253D">
      <w:pPr>
        <w:pStyle w:val="libNormal"/>
        <w:rPr>
          <w:rtl/>
          <w:lang w:bidi="fa-IR"/>
        </w:rPr>
      </w:pPr>
      <w:r>
        <w:rPr>
          <w:rFonts w:hint="cs"/>
          <w:rtl/>
          <w:lang w:bidi="fa-IR"/>
        </w:rPr>
        <w:t xml:space="preserve">* </w:t>
      </w:r>
      <w:r w:rsidR="00E3253D" w:rsidRPr="005D642E">
        <w:rPr>
          <w:rtl/>
          <w:lang w:bidi="fa-IR"/>
        </w:rPr>
        <w:t xml:space="preserve">وَفِي رِوَايَةٍ أُخْرى ، قَالَ : « فَلَقِّنْهُ </w:t>
      </w:r>
      <w:r w:rsidR="00E3253D" w:rsidRPr="007C12DB">
        <w:rPr>
          <w:rStyle w:val="libFootnotenumChar"/>
          <w:rtl/>
        </w:rPr>
        <w:t>(12)</w:t>
      </w:r>
      <w:r w:rsidR="00E3253D" w:rsidRPr="005D642E">
        <w:rPr>
          <w:rtl/>
          <w:lang w:bidi="fa-IR"/>
        </w:rPr>
        <w:t xml:space="preserve"> كَلِمَاتِ الْفَرَجِ ، وَالشَّهَادَتَيْنِ ، وَتُسَمِّي </w:t>
      </w:r>
      <w:r w:rsidR="00E3253D" w:rsidRPr="007C12DB">
        <w:rPr>
          <w:rStyle w:val="libFootnotenumChar"/>
          <w:rtl/>
        </w:rPr>
        <w:t>(13)</w:t>
      </w:r>
      <w:r w:rsidR="00E3253D" w:rsidRPr="005D642E">
        <w:rPr>
          <w:rtl/>
          <w:lang w:bidi="fa-IR"/>
        </w:rPr>
        <w:t xml:space="preserve"> لَهُ‌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ى ، جن » والبحار </w:t>
      </w:r>
      <w:r w:rsidR="00B60612" w:rsidRPr="00B60612">
        <w:rPr>
          <w:rStyle w:val="libFootnoteBoldChar"/>
          <w:rtl/>
        </w:rPr>
        <w:t>والتهذيب</w:t>
      </w:r>
      <w:r w:rsidR="00E3253D" w:rsidRPr="005D642E">
        <w:rPr>
          <w:rtl/>
        </w:rPr>
        <w:t xml:space="preserve">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بخ » : « الله » بدون الواو.</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3D3817">
        <w:rPr>
          <w:rStyle w:val="libFootnoteAlaemChar"/>
          <w:rtl/>
        </w:rPr>
        <w:t>عليه‌السلام</w:t>
      </w:r>
      <w:r w:rsidR="00E3253D" w:rsidRPr="005D642E">
        <w:rPr>
          <w:rtl/>
        </w:rPr>
        <w:t xml:space="preserve"> : فلقّنوا ، يحتمل أن يكون هذا التفريع باعتبار أنّه إذا كان ينفع الكافر فالمسلم بطريق أولى ، أو أنّه ل</w:t>
      </w:r>
      <w:r w:rsidR="003D3817">
        <w:rPr>
          <w:rFonts w:hint="cs"/>
          <w:rtl/>
        </w:rPr>
        <w:t>ـ</w:t>
      </w:r>
      <w:r w:rsidR="00E3253D" w:rsidRPr="005D642E">
        <w:rPr>
          <w:rtl/>
        </w:rPr>
        <w:t>مّا كان نافعاً للاعتقادات فلقّنوا ؛ لئلاّ يذهب الشيطان بدينكم. وشهادة الرسالة داخلة في الولاية</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287 ، ح 837 ، بسنده عن الكليني </w:t>
      </w:r>
      <w:r w:rsidR="003D3817">
        <w:rPr>
          <w:rFonts w:hint="cs"/>
          <w:rtl/>
        </w:rPr>
        <w:t>.</w:t>
      </w:r>
      <w:r w:rsidR="00E3253D" w:rsidRPr="002F4D34">
        <w:rPr>
          <w:rStyle w:val="libFootnoteBoldChar"/>
          <w:rtl/>
        </w:rPr>
        <w:t>الوافي</w:t>
      </w:r>
      <w:r w:rsidR="00E3253D" w:rsidRPr="005D642E">
        <w:rPr>
          <w:rtl/>
        </w:rPr>
        <w:t xml:space="preserve"> ، ج 24 ، ص 232 ، ح 23952 ؛ </w:t>
      </w:r>
      <w:r w:rsidR="00E3253D" w:rsidRPr="002F4D34">
        <w:rPr>
          <w:rStyle w:val="libFootnoteBoldChar"/>
          <w:rtl/>
        </w:rPr>
        <w:t>الوسائل</w:t>
      </w:r>
      <w:r w:rsidR="00E3253D" w:rsidRPr="005D642E">
        <w:rPr>
          <w:rtl/>
        </w:rPr>
        <w:t xml:space="preserve"> ، ج 2 ، ص 458 ، ح 2642 ؛ </w:t>
      </w:r>
      <w:r w:rsidR="00E3253D" w:rsidRPr="002F4D34">
        <w:rPr>
          <w:rStyle w:val="libFootnoteBoldChar"/>
          <w:rtl/>
        </w:rPr>
        <w:t>البحار</w:t>
      </w:r>
      <w:r w:rsidR="00E3253D" w:rsidRPr="005D642E">
        <w:rPr>
          <w:rtl/>
        </w:rPr>
        <w:t xml:space="preserve"> ، ج 46 ، ص 333 ، ح 17.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البحار ، ج 63 : « ما بنداد » بدل « بندار</w:t>
      </w:r>
      <w:r w:rsidR="00E3253D">
        <w:rPr>
          <w:rtl/>
        </w:rPr>
        <w:t xml:space="preserve"> ».</w:t>
      </w:r>
      <w:r w:rsidR="00E3253D" w:rsidRPr="005D642E">
        <w:rPr>
          <w:rtl/>
        </w:rPr>
        <w:t xml:space="preserve"> وهو سهو ؛ فقد روى عليّ بن محمّد بن بندار ، عن أحمد بن أبي‌عبدالله</w:t>
      </w:r>
      <w:r w:rsidR="00E3253D">
        <w:rPr>
          <w:rtl/>
        </w:rPr>
        <w:t xml:space="preserve"> </w:t>
      </w:r>
      <w:r w:rsidR="007642BC">
        <w:rPr>
          <w:rtl/>
        </w:rPr>
        <w:t>-</w:t>
      </w:r>
      <w:r w:rsidR="00E3253D">
        <w:rPr>
          <w:rtl/>
        </w:rPr>
        <w:t xml:space="preserve"> </w:t>
      </w:r>
      <w:r w:rsidR="00E3253D" w:rsidRPr="005D642E">
        <w:rPr>
          <w:rtl/>
        </w:rPr>
        <w:t>وهو جدّه لأمّه</w:t>
      </w:r>
      <w:r w:rsidR="00E3253D">
        <w:rPr>
          <w:rtl/>
        </w:rPr>
        <w:t xml:space="preserve"> </w:t>
      </w:r>
      <w:r w:rsidR="007642BC">
        <w:rPr>
          <w:rtl/>
        </w:rPr>
        <w:t>-</w:t>
      </w:r>
      <w:r w:rsidR="00E3253D">
        <w:rPr>
          <w:rtl/>
        </w:rPr>
        <w:t xml:space="preserve"> </w:t>
      </w:r>
      <w:r w:rsidR="00E3253D" w:rsidRPr="005D642E">
        <w:rPr>
          <w:rtl/>
        </w:rPr>
        <w:t xml:space="preserve">في كثيرٍ من أسناد </w:t>
      </w:r>
      <w:r w:rsidR="00E3253D" w:rsidRPr="002F4D34">
        <w:rPr>
          <w:rStyle w:val="libFootnoteBoldChar"/>
          <w:rtl/>
        </w:rPr>
        <w:t>الكافي</w:t>
      </w:r>
      <w:r w:rsidR="00E3253D" w:rsidRPr="005D642E">
        <w:rPr>
          <w:rtl/>
        </w:rPr>
        <w:t xml:space="preserve">. راجع : </w:t>
      </w:r>
      <w:r w:rsidR="00E3253D" w:rsidRPr="002F4D34">
        <w:rPr>
          <w:rStyle w:val="libFootnoteBoldChar"/>
          <w:rtl/>
        </w:rPr>
        <w:t>معجم رجال الحديث</w:t>
      </w:r>
      <w:r w:rsidR="00E3253D" w:rsidRPr="005D642E">
        <w:rPr>
          <w:rtl/>
        </w:rPr>
        <w:t xml:space="preserve"> ، ج 12 ، ص 331</w:t>
      </w:r>
      <w:r w:rsidR="00E3253D">
        <w:rPr>
          <w:rtl/>
        </w:rPr>
        <w:t xml:space="preserve"> </w:t>
      </w:r>
      <w:r w:rsidR="007642BC">
        <w:rPr>
          <w:rtl/>
        </w:rPr>
        <w:t>-</w:t>
      </w:r>
      <w:r w:rsidR="00E3253D">
        <w:rPr>
          <w:rtl/>
        </w:rPr>
        <w:t xml:space="preserve"> </w:t>
      </w:r>
      <w:r w:rsidR="00E3253D" w:rsidRPr="005D642E">
        <w:rPr>
          <w:rtl/>
        </w:rPr>
        <w:t xml:space="preserve">332 ؛ </w:t>
      </w:r>
      <w:r w:rsidR="00E3253D" w:rsidRPr="002F4D34">
        <w:rPr>
          <w:rStyle w:val="libFootnoteBoldChar"/>
          <w:rtl/>
        </w:rPr>
        <w:t>رجال النجاشي</w:t>
      </w:r>
      <w:r w:rsidR="00E3253D" w:rsidRPr="005D642E">
        <w:rPr>
          <w:rtl/>
        </w:rPr>
        <w:t xml:space="preserve"> ، ص 353 ، الرقم 947.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والبحار </w:t>
      </w:r>
      <w:r w:rsidR="009E68BB" w:rsidRPr="009E68BB">
        <w:rPr>
          <w:rStyle w:val="libFootnoteBoldChar"/>
          <w:rtl/>
        </w:rPr>
        <w:t>وتحف العقول</w:t>
      </w:r>
      <w:r w:rsidR="00E3253D" w:rsidRPr="005D642E">
        <w:rPr>
          <w:rtl/>
        </w:rPr>
        <w:t>. وفي المطبوع : « شيطانه أن</w:t>
      </w:r>
      <w:r w:rsidR="00E3253D">
        <w:rPr>
          <w:rtl/>
        </w:rPr>
        <w:t xml:space="preserve"> ».</w:t>
      </w:r>
    </w:p>
    <w:p w:rsidR="00E3253D" w:rsidRPr="005D642E" w:rsidRDefault="0042621E" w:rsidP="008B61DD">
      <w:pPr>
        <w:pStyle w:val="libFootnote0"/>
        <w:rPr>
          <w:rtl/>
          <w:lang w:bidi="fa-IR"/>
        </w:rPr>
      </w:pPr>
      <w:r w:rsidRPr="0042621E">
        <w:rPr>
          <w:rStyle w:val="libFootnote0Char"/>
          <w:rtl/>
        </w:rPr>
        <w:t>(7).</w:t>
      </w:r>
      <w:r w:rsidR="00E3253D" w:rsidRPr="005D642E">
        <w:rPr>
          <w:rtl/>
        </w:rPr>
        <w:t xml:space="preserve"> في « بث ، بس ، جح » </w:t>
      </w:r>
      <w:r w:rsidR="009E68BB" w:rsidRPr="009E68BB">
        <w:rPr>
          <w:rStyle w:val="libFootnoteBoldChar"/>
          <w:rtl/>
        </w:rPr>
        <w:t>و</w:t>
      </w:r>
      <w:r w:rsidR="008B61DD">
        <w:rPr>
          <w:rStyle w:val="libFootnoteBoldChar"/>
          <w:rFonts w:hint="cs"/>
          <w:rtl/>
        </w:rPr>
        <w:t>الفقيه</w:t>
      </w:r>
      <w:r w:rsidR="00E3253D" w:rsidRPr="005D642E">
        <w:rPr>
          <w:rtl/>
        </w:rPr>
        <w:t>: « حتّى يخرج</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 « لايقدر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الفقيه :</w:t>
      </w:r>
      <w:r w:rsidR="00E3253D">
        <w:rPr>
          <w:rtl/>
        </w:rPr>
        <w:t xml:space="preserve"> </w:t>
      </w:r>
      <w:r w:rsidR="007642BC">
        <w:rPr>
          <w:rtl/>
        </w:rPr>
        <w:t>-</w:t>
      </w:r>
      <w:r w:rsidR="00E3253D">
        <w:rPr>
          <w:rtl/>
        </w:rPr>
        <w:t xml:space="preserve"> </w:t>
      </w:r>
      <w:r w:rsidR="00E3253D" w:rsidRPr="005D642E">
        <w:rPr>
          <w:rtl/>
        </w:rPr>
        <w:t>« فمن كان مؤمناً لم يقدر عليه</w:t>
      </w:r>
      <w:r w:rsidR="00E3253D">
        <w:rPr>
          <w:rtl/>
        </w:rPr>
        <w:t xml:space="preserve"> ».</w:t>
      </w:r>
    </w:p>
    <w:p w:rsidR="00E3253D" w:rsidRPr="005D642E" w:rsidRDefault="0042621E" w:rsidP="00C73E07">
      <w:pPr>
        <w:pStyle w:val="libFootnote0"/>
        <w:rPr>
          <w:rtl/>
          <w:lang w:bidi="fa-IR"/>
        </w:rPr>
      </w:pPr>
      <w:r w:rsidRPr="0042621E">
        <w:rPr>
          <w:rStyle w:val="libFootnote0Char"/>
          <w:rtl/>
        </w:rPr>
        <w:t>(10).</w:t>
      </w:r>
      <w:r w:rsidR="00E3253D" w:rsidRPr="005D642E">
        <w:rPr>
          <w:rtl/>
        </w:rPr>
        <w:t xml:space="preserve"> في الوافي والوسائل </w:t>
      </w:r>
      <w:r w:rsidR="00C73E07" w:rsidRPr="009E68BB">
        <w:rPr>
          <w:rStyle w:val="libFootnoteBoldChar"/>
          <w:rtl/>
        </w:rPr>
        <w:t>و</w:t>
      </w:r>
      <w:r w:rsidR="00C73E07">
        <w:rPr>
          <w:rStyle w:val="libFootnoteBoldChar"/>
          <w:rFonts w:hint="cs"/>
          <w:rtl/>
        </w:rPr>
        <w:t>الفقيه</w:t>
      </w:r>
      <w:r w:rsidR="00E3253D" w:rsidRPr="005D642E">
        <w:rPr>
          <w:rtl/>
        </w:rPr>
        <w:t>: « حتّى يموتوا</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الفقيه</w:t>
      </w:r>
      <w:r w:rsidR="00E3253D" w:rsidRPr="005D642E">
        <w:rPr>
          <w:rtl/>
        </w:rPr>
        <w:t xml:space="preserve"> ، ج 1 ، ص 133 ، ح 350 ، مرسلاً </w:t>
      </w:r>
      <w:r w:rsidR="00C73E07">
        <w:rPr>
          <w:rFonts w:hint="cs"/>
          <w:rtl/>
        </w:rPr>
        <w:t>.</w:t>
      </w:r>
      <w:r w:rsidR="00E3253D" w:rsidRPr="002F4D34">
        <w:rPr>
          <w:rStyle w:val="libFootnoteBoldChar"/>
          <w:rtl/>
        </w:rPr>
        <w:t>الوافي</w:t>
      </w:r>
      <w:r w:rsidR="00E3253D" w:rsidRPr="005D642E">
        <w:rPr>
          <w:rtl/>
        </w:rPr>
        <w:t xml:space="preserve"> ، ج 24 ، ص 233 ، ح 23953 ؛ </w:t>
      </w:r>
      <w:r w:rsidR="00E3253D" w:rsidRPr="002F4D34">
        <w:rPr>
          <w:rStyle w:val="libFootnoteBoldChar"/>
          <w:rtl/>
        </w:rPr>
        <w:t>الوسائل</w:t>
      </w:r>
      <w:r w:rsidR="00E3253D" w:rsidRPr="005D642E">
        <w:rPr>
          <w:rtl/>
        </w:rPr>
        <w:t xml:space="preserve"> ، ج 2 ، ص 455 ، ح 2631 ؛ </w:t>
      </w:r>
      <w:r w:rsidR="00E3253D" w:rsidRPr="002F4D34">
        <w:rPr>
          <w:rStyle w:val="libFootnoteBoldChar"/>
          <w:rtl/>
        </w:rPr>
        <w:t>البحار</w:t>
      </w:r>
      <w:r w:rsidR="00E3253D" w:rsidRPr="005D642E">
        <w:rPr>
          <w:rtl/>
        </w:rPr>
        <w:t xml:space="preserve"> ، ج 6 ، ص 195 ، ح 47 ؛ وج 63 ، ص 257 ، ح 128.</w:t>
      </w:r>
    </w:p>
    <w:tbl>
      <w:tblPr>
        <w:tblStyle w:val="TableGrid"/>
        <w:bidiVisual/>
        <w:tblW w:w="0" w:type="auto"/>
        <w:tblLook w:val="04A0" w:firstRow="1" w:lastRow="0" w:firstColumn="1" w:lastColumn="0" w:noHBand="0" w:noVBand="1"/>
      </w:tblPr>
      <w:tblGrid>
        <w:gridCol w:w="4006"/>
        <w:gridCol w:w="4006"/>
      </w:tblGrid>
      <w:tr w:rsidR="00766A15" w:rsidTr="00766A15">
        <w:tc>
          <w:tcPr>
            <w:tcW w:w="4006" w:type="dxa"/>
          </w:tcPr>
          <w:p w:rsidR="00766A15" w:rsidRDefault="00766A15" w:rsidP="00E3253D">
            <w:pPr>
              <w:pStyle w:val="libFootnote0"/>
              <w:rPr>
                <w:rStyle w:val="libFootnote0Char"/>
                <w:rtl/>
              </w:rPr>
            </w:pPr>
            <w:r w:rsidRPr="0042621E">
              <w:rPr>
                <w:rStyle w:val="libFootnote0Char"/>
                <w:rtl/>
              </w:rPr>
              <w:t>(12).</w:t>
            </w:r>
            <w:r w:rsidRPr="005D642E">
              <w:rPr>
                <w:rtl/>
              </w:rPr>
              <w:t xml:space="preserve"> في الوافي : « تلقنه</w:t>
            </w:r>
            <w:r>
              <w:rPr>
                <w:rtl/>
              </w:rPr>
              <w:t xml:space="preserve"> ».</w:t>
            </w:r>
          </w:p>
        </w:tc>
        <w:tc>
          <w:tcPr>
            <w:tcW w:w="4006" w:type="dxa"/>
          </w:tcPr>
          <w:p w:rsidR="00766A15" w:rsidRDefault="00766A15" w:rsidP="00E3253D">
            <w:pPr>
              <w:pStyle w:val="libFootnote0"/>
              <w:rPr>
                <w:rStyle w:val="libFootnote0Char"/>
                <w:rtl/>
              </w:rPr>
            </w:pPr>
            <w:r w:rsidRPr="0042621E">
              <w:rPr>
                <w:rStyle w:val="libFootnote0Char"/>
                <w:rtl/>
              </w:rPr>
              <w:t>(13).</w:t>
            </w:r>
            <w:r>
              <w:rPr>
                <w:rtl/>
              </w:rPr>
              <w:t xml:space="preserve"> </w:t>
            </w:r>
            <w:r w:rsidRPr="005D642E">
              <w:rPr>
                <w:rtl/>
              </w:rPr>
              <w:t>في « بث ، جح » : « ويسمّى</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الْإِقْرَارَ بِالْأَئِمَّةِ </w:t>
      </w:r>
      <w:r w:rsidRPr="00AC51C5">
        <w:rPr>
          <w:rStyle w:val="libAlaemChar"/>
          <w:rtl/>
        </w:rPr>
        <w:t>عليهم‌السلام</w:t>
      </w:r>
      <w:r w:rsidRPr="005D642E">
        <w:rPr>
          <w:rtl/>
          <w:lang w:bidi="fa-IR"/>
        </w:rPr>
        <w:t xml:space="preserve"> وَاحِداً بَعْدَ وَاحِدٍ حَتّى يَنْقَطِعَ عَنْهُ الْكَلَامُ</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204F4F">
        <w:rPr>
          <w:rtl/>
        </w:rPr>
        <w:t>4295</w:t>
      </w:r>
      <w:r w:rsidRPr="00246318">
        <w:rPr>
          <w:rStyle w:val="libBold2Char"/>
          <w:rtl/>
        </w:rPr>
        <w:t xml:space="preserve"> / 7.</w:t>
      </w:r>
      <w:r w:rsidRPr="005D642E">
        <w:rPr>
          <w:rtl/>
          <w:lang w:bidi="fa-IR"/>
        </w:rPr>
        <w:t xml:space="preserve"> عِدَّةٌ مِنْ أَصْحَابِنَا ، عَنْ سَهْلِ بْنِ زِيَادٍ ، عَنْ جَعْفَرِ بْنِ مُحَمَّدٍ الْأَشْعَرِيِّ ، عَنْ عَبْدِ اللهِ بْنِ مَيْمُونٍ الْقَدَّاحِ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كَانَ أَمِيرُ الْمُؤْمِنِينَ </w:t>
      </w:r>
      <w:r w:rsidRPr="00AC51C5">
        <w:rPr>
          <w:rStyle w:val="libAlaemChar"/>
          <w:rtl/>
        </w:rPr>
        <w:t>عليه‌السلام</w:t>
      </w:r>
      <w:r w:rsidRPr="005D642E">
        <w:rPr>
          <w:rtl/>
          <w:lang w:bidi="fa-IR"/>
        </w:rPr>
        <w:t xml:space="preserve"> إِذَا حَضَرَ أَحَداً مِنْ أَهْلِ بَيْتِهِ الْمَوْتُ ، قَالَ لَهُ : قُلْ </w:t>
      </w:r>
      <w:r w:rsidRPr="007C12DB">
        <w:rPr>
          <w:rStyle w:val="libFootnotenumChar"/>
          <w:rtl/>
        </w:rPr>
        <w:t>(2)</w:t>
      </w:r>
      <w:r w:rsidRPr="005D642E">
        <w:rPr>
          <w:rtl/>
          <w:lang w:bidi="fa-IR"/>
        </w:rPr>
        <w:t xml:space="preserve"> : لَا</w:t>
      </w:r>
      <w:r>
        <w:rPr>
          <w:rFonts w:hint="cs"/>
          <w:rtl/>
          <w:lang w:bidi="fa-IR"/>
        </w:rPr>
        <w:t xml:space="preserve"> </w:t>
      </w:r>
      <w:r w:rsidR="002672CD">
        <w:rPr>
          <w:rtl/>
          <w:lang w:bidi="fa-IR"/>
        </w:rPr>
        <w:t>إِلهَ إِل</w:t>
      </w:r>
      <w:r w:rsidR="002672CD">
        <w:rPr>
          <w:rFonts w:hint="cs"/>
          <w:rtl/>
          <w:lang w:bidi="fa-IR"/>
        </w:rPr>
        <w:t>َّ</w:t>
      </w:r>
      <w:r w:rsidR="002672CD">
        <w:rPr>
          <w:rtl/>
          <w:lang w:bidi="fa-IR"/>
        </w:rPr>
        <w:t>ا</w:t>
      </w:r>
      <w:r w:rsidRPr="005D642E">
        <w:rPr>
          <w:rtl/>
          <w:lang w:bidi="fa-IR"/>
        </w:rPr>
        <w:t xml:space="preserve"> اللهُ الْعَلِيُّ الْعَظِيمُ ، سُبْحَانَ اللهِ رَبِّ السَّمَاوَاتِ السَّبْعِ ، وَرَبِّ </w:t>
      </w:r>
      <w:r w:rsidRPr="007C12DB">
        <w:rPr>
          <w:rStyle w:val="libFootnotenumChar"/>
          <w:rtl/>
        </w:rPr>
        <w:t>(3)</w:t>
      </w:r>
      <w:r w:rsidRPr="005D642E">
        <w:rPr>
          <w:rtl/>
          <w:lang w:bidi="fa-IR"/>
        </w:rPr>
        <w:t xml:space="preserve"> الْأَرَضِينَ السَّبْعِ </w:t>
      </w:r>
      <w:r w:rsidRPr="007C12DB">
        <w:rPr>
          <w:rStyle w:val="libFootnotenumChar"/>
          <w:rtl/>
        </w:rPr>
        <w:t>(4)</w:t>
      </w:r>
      <w:r w:rsidRPr="005D642E">
        <w:rPr>
          <w:rtl/>
          <w:lang w:bidi="fa-IR"/>
        </w:rPr>
        <w:t xml:space="preserve"> ، وَمَا بَيْنَهُمَا </w:t>
      </w:r>
      <w:r w:rsidRPr="007C12DB">
        <w:rPr>
          <w:rStyle w:val="libFootnotenumChar"/>
          <w:rtl/>
        </w:rPr>
        <w:t>(5)</w:t>
      </w:r>
      <w:r w:rsidRPr="005D642E">
        <w:rPr>
          <w:rtl/>
          <w:lang w:bidi="fa-IR"/>
        </w:rPr>
        <w:t xml:space="preserve"> ، وَرَبِّ الْعَرْشِ الْعَظِيمِ ، وَالْحَمْدُ لِلّهِ رَبِّ الْعَالَمِينَ ، فَإِذَا قَالَهَا الْمَرِيضُ ، قَالَ </w:t>
      </w:r>
      <w:r w:rsidRPr="007C12DB">
        <w:rPr>
          <w:rStyle w:val="libFootnotenumChar"/>
          <w:rtl/>
        </w:rPr>
        <w:t>(6)</w:t>
      </w:r>
      <w:r w:rsidRPr="005D642E">
        <w:rPr>
          <w:rtl/>
          <w:lang w:bidi="fa-IR"/>
        </w:rPr>
        <w:t xml:space="preserve"> : اذْهَبْ ، فَلَيْسَ عَلَيْكَ بَأْسٌ</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204F4F">
        <w:rPr>
          <w:rtl/>
        </w:rPr>
        <w:t>4296</w:t>
      </w:r>
      <w:r w:rsidRPr="00246318">
        <w:rPr>
          <w:rStyle w:val="libBold2Char"/>
          <w:rtl/>
        </w:rPr>
        <w:t xml:space="preserve"> / 8.</w:t>
      </w:r>
      <w:r w:rsidRPr="005D642E">
        <w:rPr>
          <w:rtl/>
          <w:lang w:bidi="fa-IR"/>
        </w:rPr>
        <w:t xml:space="preserve"> سَهْلُ بْنُ زِيَادٍ </w:t>
      </w:r>
      <w:r w:rsidRPr="007C12DB">
        <w:rPr>
          <w:rStyle w:val="libFootnotenumChar"/>
          <w:rtl/>
        </w:rPr>
        <w:t>(8)</w:t>
      </w:r>
      <w:r w:rsidRPr="005D642E">
        <w:rPr>
          <w:rtl/>
          <w:lang w:bidi="fa-IR"/>
        </w:rPr>
        <w:t xml:space="preserve"> ، عَنْ مُحَمَّدِ بْنِ الْحَسَنِ بْنِ شَمُّونٍ ، عَنْ عَبْدِ اللهِ بْنِ عَبْدِ الرَّحْمنِ </w:t>
      </w:r>
      <w:r w:rsidRPr="007C12DB">
        <w:rPr>
          <w:rStyle w:val="libFootnotenumChar"/>
          <w:rtl/>
        </w:rPr>
        <w:t>(9)</w:t>
      </w:r>
      <w:r w:rsidRPr="005D642E">
        <w:rPr>
          <w:rtl/>
          <w:lang w:bidi="fa-IR"/>
        </w:rPr>
        <w:t xml:space="preserve"> ، عَنْ عَبْدِ اللهِ بْنِ الْقَاسِمِ ، عَنْ أَبِي بَكْرٍ الْحَضْرَمِيِّ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وَاللهِ ، لَوْ أَنَّ عَابِدَ وَثَنٍ </w:t>
      </w:r>
      <w:r w:rsidRPr="007C12DB">
        <w:rPr>
          <w:rStyle w:val="libFootnotenumChar"/>
          <w:rtl/>
        </w:rPr>
        <w:t>(10)</w:t>
      </w:r>
      <w:r w:rsidRPr="005D642E">
        <w:rPr>
          <w:rtl/>
          <w:lang w:bidi="fa-IR"/>
        </w:rPr>
        <w:t xml:space="preserve"> وَصَفَ مَا تَصِفُونَ عِنْدَ خُرُوجِ نَفْسِهِ ، مَا طَعِمَتِ النَّارُ مِنْ جَسَدِهِ شَيْئاً أَبَداً </w:t>
      </w:r>
      <w:r w:rsidRPr="007C12DB">
        <w:rPr>
          <w:rStyle w:val="libFootnotenumChar"/>
          <w:rtl/>
        </w:rPr>
        <w:t>(11)</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الفقيه</w:t>
      </w:r>
      <w:r w:rsidR="00E3253D" w:rsidRPr="005D642E">
        <w:rPr>
          <w:rtl/>
        </w:rPr>
        <w:t xml:space="preserve"> ، ج 1 ، ص 134 ، ذيل ح 355 ، مرسلاً عن الصادق </w:t>
      </w:r>
      <w:r w:rsidR="00E3253D" w:rsidRPr="0022087B">
        <w:rPr>
          <w:rStyle w:val="libFootnoteAlaemChar"/>
          <w:rtl/>
        </w:rPr>
        <w:t>عليه‌السلام</w:t>
      </w:r>
      <w:r w:rsidR="00E3253D" w:rsidRPr="005D642E">
        <w:rPr>
          <w:rtl/>
        </w:rPr>
        <w:t xml:space="preserve"> ، وتمام الرواية فيه : « فلقَّنوا موتاكم كلمات الفرج » </w:t>
      </w:r>
      <w:r w:rsidR="0022087B">
        <w:rPr>
          <w:rFonts w:hint="cs"/>
          <w:rtl/>
        </w:rPr>
        <w:t>.</w:t>
      </w:r>
      <w:r w:rsidR="00E3253D" w:rsidRPr="002F4D34">
        <w:rPr>
          <w:rStyle w:val="libFootnoteBoldChar"/>
          <w:rtl/>
        </w:rPr>
        <w:t>الوافي</w:t>
      </w:r>
      <w:r w:rsidR="00E3253D" w:rsidRPr="005D642E">
        <w:rPr>
          <w:rtl/>
        </w:rPr>
        <w:t xml:space="preserve"> ، ج 24 ، ص 233 ، ح 23954 ؛ </w:t>
      </w:r>
      <w:r w:rsidR="00E3253D" w:rsidRPr="002F4D34">
        <w:rPr>
          <w:rStyle w:val="libFootnoteBoldChar"/>
          <w:rtl/>
        </w:rPr>
        <w:t>الوسائل</w:t>
      </w:r>
      <w:r w:rsidR="00E3253D" w:rsidRPr="005D642E">
        <w:rPr>
          <w:rtl/>
        </w:rPr>
        <w:t xml:space="preserve"> ، ج 2 ، ص 458 ، ح 2643 ؛ </w:t>
      </w:r>
      <w:r w:rsidR="00E3253D" w:rsidRPr="002F4D34">
        <w:rPr>
          <w:rStyle w:val="libFootnoteBoldChar"/>
          <w:rtl/>
        </w:rPr>
        <w:t>البحار</w:t>
      </w:r>
      <w:r w:rsidR="00E3253D" w:rsidRPr="005D642E">
        <w:rPr>
          <w:rtl/>
        </w:rPr>
        <w:t xml:space="preserve"> ، ج 63 ، ص 258 ، ح 129.</w:t>
      </w:r>
    </w:p>
    <w:tbl>
      <w:tblPr>
        <w:tblStyle w:val="TableGrid"/>
        <w:bidiVisual/>
        <w:tblW w:w="0" w:type="auto"/>
        <w:tblLook w:val="04A0" w:firstRow="1" w:lastRow="0" w:firstColumn="1" w:lastColumn="0" w:noHBand="0" w:noVBand="1"/>
      </w:tblPr>
      <w:tblGrid>
        <w:gridCol w:w="4006"/>
        <w:gridCol w:w="4006"/>
      </w:tblGrid>
      <w:tr w:rsidR="008627C0" w:rsidTr="008627C0">
        <w:tc>
          <w:tcPr>
            <w:tcW w:w="4006" w:type="dxa"/>
          </w:tcPr>
          <w:p w:rsidR="008627C0" w:rsidRDefault="00ED6DDC" w:rsidP="00E3253D">
            <w:pPr>
              <w:pStyle w:val="libFootnote0"/>
              <w:rPr>
                <w:rStyle w:val="libFootnote0Char"/>
                <w:rtl/>
              </w:rPr>
            </w:pPr>
            <w:r w:rsidRPr="0042621E">
              <w:rPr>
                <w:rStyle w:val="libFootnote0Char"/>
                <w:rtl/>
              </w:rPr>
              <w:t>(2).</w:t>
            </w:r>
            <w:r>
              <w:rPr>
                <w:rtl/>
              </w:rPr>
              <w:t xml:space="preserve"> في التهذيب : + « لا إله إل</w:t>
            </w:r>
            <w:r>
              <w:rPr>
                <w:rFonts w:hint="cs"/>
                <w:rtl/>
              </w:rPr>
              <w:t>ّ</w:t>
            </w:r>
            <w:r>
              <w:rPr>
                <w:rtl/>
              </w:rPr>
              <w:t>ا</w:t>
            </w:r>
            <w:r>
              <w:rPr>
                <w:rFonts w:hint="cs"/>
                <w:rtl/>
              </w:rPr>
              <w:t xml:space="preserve"> </w:t>
            </w:r>
            <w:r w:rsidRPr="005D642E">
              <w:rPr>
                <w:rtl/>
              </w:rPr>
              <w:t>الله الحليم الكريم</w:t>
            </w:r>
            <w:r>
              <w:rPr>
                <w:rtl/>
              </w:rPr>
              <w:t xml:space="preserve"> ».</w:t>
            </w:r>
          </w:p>
        </w:tc>
        <w:tc>
          <w:tcPr>
            <w:tcW w:w="4006" w:type="dxa"/>
          </w:tcPr>
          <w:p w:rsidR="008627C0" w:rsidRDefault="00ED6DDC" w:rsidP="00E3253D">
            <w:pPr>
              <w:pStyle w:val="libFootnote0"/>
              <w:rPr>
                <w:rStyle w:val="libFootnote0Char"/>
                <w:rtl/>
              </w:rPr>
            </w:pPr>
            <w:r w:rsidRPr="0042621E">
              <w:rPr>
                <w:rStyle w:val="libFootnote0Char"/>
                <w:rtl/>
              </w:rPr>
              <w:t>(3).</w:t>
            </w:r>
            <w:r w:rsidRPr="005D642E">
              <w:rPr>
                <w:rtl/>
              </w:rPr>
              <w:t xml:space="preserve"> في « غ ، بس ، جس » :</w:t>
            </w:r>
            <w:r>
              <w:rPr>
                <w:rtl/>
              </w:rPr>
              <w:t xml:space="preserve"> - </w:t>
            </w:r>
            <w:r w:rsidRPr="005D642E">
              <w:rPr>
                <w:rtl/>
              </w:rPr>
              <w:t>« ربّ</w:t>
            </w:r>
            <w:r>
              <w:rPr>
                <w:rtl/>
              </w:rPr>
              <w:t xml:space="preserve"> ».</w:t>
            </w:r>
          </w:p>
        </w:tc>
      </w:tr>
      <w:tr w:rsidR="008627C0" w:rsidTr="008627C0">
        <w:tc>
          <w:tcPr>
            <w:tcW w:w="4006" w:type="dxa"/>
          </w:tcPr>
          <w:p w:rsidR="008627C0" w:rsidRDefault="00ED6DDC" w:rsidP="00E3253D">
            <w:pPr>
              <w:pStyle w:val="libFootnote0"/>
              <w:rPr>
                <w:rStyle w:val="libFootnote0Char"/>
                <w:rtl/>
              </w:rPr>
            </w:pPr>
            <w:r w:rsidRPr="0042621E">
              <w:rPr>
                <w:rStyle w:val="libFootnote0Char"/>
                <w:rtl/>
              </w:rPr>
              <w:t>(4).</w:t>
            </w:r>
            <w:r w:rsidRPr="005D642E">
              <w:rPr>
                <w:rtl/>
              </w:rPr>
              <w:t xml:space="preserve"> في حاشية « بث » : + « وما فيهنّ وما بينهنّ</w:t>
            </w:r>
            <w:r>
              <w:rPr>
                <w:rtl/>
              </w:rPr>
              <w:t xml:space="preserve"> ».</w:t>
            </w:r>
          </w:p>
        </w:tc>
        <w:tc>
          <w:tcPr>
            <w:tcW w:w="4006" w:type="dxa"/>
          </w:tcPr>
          <w:p w:rsidR="008627C0" w:rsidRDefault="00ED6DDC" w:rsidP="00E3253D">
            <w:pPr>
              <w:pStyle w:val="libFootnote0"/>
              <w:rPr>
                <w:rStyle w:val="libFootnote0Char"/>
                <w:rtl/>
              </w:rPr>
            </w:pPr>
            <w:r w:rsidRPr="0042621E">
              <w:rPr>
                <w:rStyle w:val="libFootnote0Char"/>
                <w:rtl/>
              </w:rPr>
              <w:t>(5).</w:t>
            </w:r>
            <w:r w:rsidRPr="005D642E">
              <w:rPr>
                <w:rtl/>
              </w:rPr>
              <w:t xml:space="preserve"> في « بف » : « وما فيها</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 « له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288 ، ح 840 ، بسنده عن الكليني </w:t>
      </w:r>
      <w:r w:rsidR="007E57A8">
        <w:rPr>
          <w:rFonts w:hint="cs"/>
          <w:rtl/>
        </w:rPr>
        <w:t>.</w:t>
      </w:r>
      <w:r w:rsidR="00E3253D" w:rsidRPr="002F4D34">
        <w:rPr>
          <w:rStyle w:val="libFootnoteBoldChar"/>
          <w:rtl/>
        </w:rPr>
        <w:t>الوافي</w:t>
      </w:r>
      <w:r w:rsidR="00E3253D" w:rsidRPr="005D642E">
        <w:rPr>
          <w:rtl/>
        </w:rPr>
        <w:t xml:space="preserve"> ، ج 24 ، ص 235 ، ح 23957 ؛ </w:t>
      </w:r>
      <w:r w:rsidR="00E3253D" w:rsidRPr="002F4D34">
        <w:rPr>
          <w:rStyle w:val="libFootnoteBoldChar"/>
          <w:rtl/>
        </w:rPr>
        <w:t>الوسائل</w:t>
      </w:r>
      <w:r w:rsidR="00E3253D" w:rsidRPr="005D642E">
        <w:rPr>
          <w:rtl/>
        </w:rPr>
        <w:t xml:space="preserve"> ، ج 2 ، ص 460 ، ح 2467.</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السند معلّق على سابقه. ويروي عن سهل بن زياد ، عدّة من أصحابنا.</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النسخ والوسائل. وفي المطبوع : « عبدالله بن الرحمن</w:t>
      </w:r>
      <w:r w:rsidR="00E3253D">
        <w:rPr>
          <w:rtl/>
        </w:rPr>
        <w:t xml:space="preserve"> ».</w:t>
      </w:r>
      <w:r w:rsidR="00E3253D" w:rsidRPr="005D642E">
        <w:rPr>
          <w:rtl/>
        </w:rPr>
        <w:t xml:space="preserve"> وقد أكثر محمّد بن الحسن بن شمّون من الرواية عن عبدالله بن عبد الرحمن [ الأصمّ ]</w:t>
      </w:r>
      <w:r w:rsidR="00E3253D">
        <w:rPr>
          <w:rtl/>
        </w:rPr>
        <w:t>.</w:t>
      </w:r>
      <w:r w:rsidR="00E3253D" w:rsidRPr="005D642E">
        <w:rPr>
          <w:rtl/>
        </w:rPr>
        <w:t xml:space="preserve"> راجع : </w:t>
      </w:r>
      <w:r w:rsidR="00E3253D" w:rsidRPr="002F4D34">
        <w:rPr>
          <w:rStyle w:val="libFootnoteBoldChar"/>
          <w:rtl/>
        </w:rPr>
        <w:t>معجم رجال الحديث</w:t>
      </w:r>
      <w:r w:rsidR="00E3253D" w:rsidRPr="005D642E">
        <w:rPr>
          <w:rtl/>
        </w:rPr>
        <w:t xml:space="preserve"> ، ج 15 ، ص 383</w:t>
      </w:r>
      <w:r w:rsidR="00E3253D">
        <w:rPr>
          <w:rtl/>
        </w:rPr>
        <w:t xml:space="preserve"> </w:t>
      </w:r>
      <w:r w:rsidR="007642BC">
        <w:rPr>
          <w:rtl/>
        </w:rPr>
        <w:t>-</w:t>
      </w:r>
      <w:r w:rsidR="00E3253D">
        <w:rPr>
          <w:rtl/>
        </w:rPr>
        <w:t xml:space="preserve"> </w:t>
      </w:r>
      <w:r w:rsidR="00E3253D" w:rsidRPr="005D642E">
        <w:rPr>
          <w:rtl/>
        </w:rPr>
        <w:t>385.</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قال ابن الأثير : « الفرق بين الوثن والصنم أنّ الوثن كلّ ما له جثّة معمولة من جواهر الأرض أو من الخشب‌والحجارة ، كصورة آدميّ تُعمَل وتُنصَب فتُعبَد. والصنم : الصورة بلا جثّة. ومنهم من لم يفرق بينهما وأطلقهما على المعنيين. وقد يطلق الوثن على غير الصورة</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5 ، ص 151 ( وثن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مرآة العقول</w:t>
      </w:r>
      <w:r w:rsidR="00E3253D" w:rsidRPr="005D642E">
        <w:rPr>
          <w:rtl/>
        </w:rPr>
        <w:t xml:space="preserve"> : « الحديث الثامن</w:t>
      </w:r>
      <w:r w:rsidR="00E3253D">
        <w:rPr>
          <w:rtl/>
        </w:rPr>
        <w:t xml:space="preserve"> ..</w:t>
      </w:r>
      <w:r w:rsidR="00E3253D" w:rsidRPr="005D642E">
        <w:rPr>
          <w:rtl/>
        </w:rPr>
        <w:t>. حمل على عدم معاينة أحوال الآخرة</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35521A">
        <w:rPr>
          <w:rStyle w:val="libFootnoteBoldChar"/>
          <w:rtl/>
        </w:rPr>
        <w:t>الأمالي للطوسي</w:t>
      </w:r>
      <w:r w:rsidR="00E3253D" w:rsidRPr="005D642E">
        <w:rPr>
          <w:rtl/>
        </w:rPr>
        <w:t xml:space="preserve"> ، ص 419 ، المجلس 14 ، ح 91 ، بسنده عن أبي بكر الحضرمي ، مع اختلاف يسير </w:t>
      </w:r>
      <w:r w:rsidR="00111A7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04F4F">
        <w:rPr>
          <w:rtl/>
        </w:rPr>
        <w:lastRenderedPageBreak/>
        <w:t>4297</w:t>
      </w:r>
      <w:r w:rsidRPr="00246318">
        <w:rPr>
          <w:rStyle w:val="libBold2Char"/>
          <w:rtl/>
        </w:rPr>
        <w:t xml:space="preserve"> / 9.</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 أَنَّ رَسُولَ اللهِ </w:t>
      </w:r>
      <w:r w:rsidR="0042621E" w:rsidRPr="0042621E">
        <w:rPr>
          <w:rStyle w:val="libAlaemChar"/>
          <w:rtl/>
        </w:rPr>
        <w:t>صلى‌الله‌عليه‌وآله</w:t>
      </w:r>
      <w:r w:rsidRPr="005D642E">
        <w:rPr>
          <w:rtl/>
          <w:lang w:bidi="fa-IR"/>
        </w:rPr>
        <w:t xml:space="preserve"> دَخَلَ عَلى رَجُلٍ مِنْ بَنِي هَاشِمٍ وَهُوَ يَقْضِي </w:t>
      </w:r>
      <w:r w:rsidRPr="007C12DB">
        <w:rPr>
          <w:rStyle w:val="libFootnotenumChar"/>
          <w:rtl/>
        </w:rPr>
        <w:t>(1)</w:t>
      </w:r>
      <w:r w:rsidRPr="005D642E">
        <w:rPr>
          <w:rtl/>
          <w:lang w:bidi="fa-IR"/>
        </w:rPr>
        <w:t xml:space="preserve"> ، فَقَالَ لَهُ رَسُولُ اللهِ </w:t>
      </w:r>
      <w:r w:rsidR="0042621E" w:rsidRPr="0042621E">
        <w:rPr>
          <w:rStyle w:val="libAlaemChar"/>
          <w:rtl/>
        </w:rPr>
        <w:t>صلى‌الله‌عليه‌وآله</w:t>
      </w:r>
      <w:r w:rsidRPr="005D642E">
        <w:rPr>
          <w:rtl/>
          <w:lang w:bidi="fa-IR"/>
        </w:rPr>
        <w:t xml:space="preserve"> : قُلْ : لَا</w:t>
      </w:r>
      <w:r>
        <w:rPr>
          <w:rFonts w:hint="cs"/>
          <w:rtl/>
          <w:lang w:bidi="fa-IR"/>
        </w:rPr>
        <w:t xml:space="preserve"> </w:t>
      </w:r>
      <w:r w:rsidR="004C2862">
        <w:rPr>
          <w:rtl/>
          <w:lang w:bidi="fa-IR"/>
        </w:rPr>
        <w:t>إِلهَ إِل</w:t>
      </w:r>
      <w:r w:rsidR="004C2862">
        <w:rPr>
          <w:rFonts w:hint="cs"/>
          <w:rtl/>
          <w:lang w:bidi="fa-IR"/>
        </w:rPr>
        <w:t>َّ</w:t>
      </w:r>
      <w:r w:rsidR="004C2862">
        <w:rPr>
          <w:rtl/>
          <w:lang w:bidi="fa-IR"/>
        </w:rPr>
        <w:t>ا</w:t>
      </w:r>
      <w:r w:rsidRPr="005D642E">
        <w:rPr>
          <w:rtl/>
          <w:lang w:bidi="fa-IR"/>
        </w:rPr>
        <w:t xml:space="preserve"> اللهُ الْعَلِيُّ الْعَظِيمُ ، لَا</w:t>
      </w:r>
      <w:r>
        <w:rPr>
          <w:rFonts w:hint="cs"/>
          <w:rtl/>
          <w:lang w:bidi="fa-IR"/>
        </w:rPr>
        <w:t xml:space="preserve"> </w:t>
      </w:r>
      <w:r w:rsidR="007A7B60">
        <w:rPr>
          <w:rtl/>
          <w:lang w:bidi="fa-IR"/>
        </w:rPr>
        <w:t>إِلهَ إِل</w:t>
      </w:r>
      <w:r w:rsidR="007A7B60">
        <w:rPr>
          <w:rFonts w:hint="cs"/>
          <w:rtl/>
          <w:lang w:bidi="fa-IR"/>
        </w:rPr>
        <w:t>َّ</w:t>
      </w:r>
      <w:r w:rsidR="007A7B60">
        <w:rPr>
          <w:rtl/>
          <w:lang w:bidi="fa-IR"/>
        </w:rPr>
        <w:t>ا</w:t>
      </w:r>
      <w:r w:rsidRPr="005D642E">
        <w:rPr>
          <w:rtl/>
          <w:lang w:bidi="fa-IR"/>
        </w:rPr>
        <w:t xml:space="preserve"> اللهُ الْحَلِيمُ الْكَرِيمُ </w:t>
      </w:r>
      <w:r w:rsidRPr="007C12DB">
        <w:rPr>
          <w:rStyle w:val="libFootnotenumChar"/>
          <w:rtl/>
        </w:rPr>
        <w:t>(2)</w:t>
      </w:r>
      <w:r w:rsidRPr="005D642E">
        <w:rPr>
          <w:rtl/>
          <w:lang w:bidi="fa-IR"/>
        </w:rPr>
        <w:t xml:space="preserve"> ، سُبْحَانَ اللهِ رَبِّ السَّمَاوَاتِ السَّبْعِ ، وَرَبِّ الْأَرَضِينَ السَّبْعِ ، وَمَا بَيْنَهُنَّ ، وَ</w:t>
      </w:r>
      <w:r>
        <w:rPr>
          <w:rFonts w:hint="cs"/>
          <w:rtl/>
          <w:lang w:bidi="fa-IR"/>
        </w:rPr>
        <w:t xml:space="preserve"> </w:t>
      </w:r>
      <w:r w:rsidRPr="007C12DB">
        <w:rPr>
          <w:rStyle w:val="libFootnotenumChar"/>
          <w:rtl/>
        </w:rPr>
        <w:t>(3)</w:t>
      </w:r>
      <w:r w:rsidRPr="005D642E">
        <w:rPr>
          <w:rtl/>
          <w:lang w:bidi="fa-IR"/>
        </w:rPr>
        <w:t xml:space="preserve"> رَبِّ الْعَرْشِ الْعَظِيمِ ، وَالْحَمْدُ لِلّهِ رَبِّ الْعَالَمِينَ ، فَقَالَهَا ، فَقَالَ رَسُولُ اللهِ </w:t>
      </w:r>
      <w:r w:rsidR="0042621E" w:rsidRPr="0042621E">
        <w:rPr>
          <w:rStyle w:val="libAlaemChar"/>
          <w:rtl/>
        </w:rPr>
        <w:t>صلى‌الله‌عليه‌وآله</w:t>
      </w:r>
      <w:r w:rsidRPr="005D642E">
        <w:rPr>
          <w:rtl/>
          <w:lang w:bidi="fa-IR"/>
        </w:rPr>
        <w:t xml:space="preserve"> : الْحَمْدُ لِلّهِ الَّذِي اسْتَنْقَذَهُ مِنَ النَّارِ</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204F4F">
        <w:rPr>
          <w:rtl/>
        </w:rPr>
        <w:t>4298</w:t>
      </w:r>
      <w:r w:rsidRPr="00246318">
        <w:rPr>
          <w:rStyle w:val="libBold2Char"/>
          <w:rtl/>
        </w:rPr>
        <w:t xml:space="preserve"> / 10.</w:t>
      </w:r>
      <w:r w:rsidRPr="005D642E">
        <w:rPr>
          <w:rtl/>
          <w:lang w:bidi="fa-IR"/>
        </w:rPr>
        <w:t xml:space="preserve"> مُحَمَّدُ بْنُ يَحْيى ، عَنْ مُحَمَّدِ بْنِ الْحُسَيْنِ ، عَنْ عَبْدِ الرَّحْمنِ بْنِ أَبِي هَاشِمٍ ، عَنْ سَالِمٍ أَبِي سَلَمَةَ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حَضَرَ رَجُلاً الْمَوْتُ ، فَقِيلَ : يَا رَسُولَ اللهِ ، إِنَّ فُلَاناً قَدْ‌</w:t>
      </w:r>
      <w:r>
        <w:rPr>
          <w:lang w:bidi="fa-IR"/>
        </w:rPr>
        <w:t xml:space="preserve"> </w:t>
      </w:r>
      <w:r w:rsidRPr="005D642E">
        <w:rPr>
          <w:rtl/>
          <w:lang w:bidi="fa-IR"/>
        </w:rPr>
        <w:t xml:space="preserve">حَضَرَهُ الْمَوْتُ ، فَنَهَضَ رَسُولُ اللهِ </w:t>
      </w:r>
      <w:r w:rsidR="0042621E" w:rsidRPr="0042621E">
        <w:rPr>
          <w:rStyle w:val="libAlaemChar"/>
          <w:rtl/>
        </w:rPr>
        <w:t>صلى‌الله‌عليه‌وآله</w:t>
      </w:r>
      <w:r w:rsidRPr="005D642E">
        <w:rPr>
          <w:rtl/>
          <w:lang w:bidi="fa-IR"/>
        </w:rPr>
        <w:t xml:space="preserve"> وَمَعَهُ نَاسٌ </w:t>
      </w:r>
      <w:r w:rsidRPr="007C12DB">
        <w:rPr>
          <w:rStyle w:val="libFootnotenumChar"/>
          <w:rtl/>
        </w:rPr>
        <w:t>(6)</w:t>
      </w:r>
      <w:r w:rsidRPr="005D642E">
        <w:rPr>
          <w:rtl/>
          <w:lang w:bidi="fa-IR"/>
        </w:rPr>
        <w:t xml:space="preserve"> مِنْ أَصْحَابِهِ حَتّى أَتَاهُ وَهُوَ مُغْمًى عَلَيْهِ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فَقَالَ : يَا مَلَكَ الْمَوْتِ ، كُفَّ عَنِ </w:t>
      </w:r>
      <w:r w:rsidRPr="007C12DB">
        <w:rPr>
          <w:rStyle w:val="libFootnotenumChar"/>
          <w:rtl/>
        </w:rPr>
        <w:t>(7)</w:t>
      </w:r>
      <w:r w:rsidRPr="005D642E">
        <w:rPr>
          <w:rtl/>
          <w:lang w:bidi="fa-IR"/>
        </w:rPr>
        <w:t xml:space="preserve"> الرَّجُلِ حَتّى أَسْأَلَهُ </w:t>
      </w:r>
      <w:r w:rsidRPr="007C12DB">
        <w:rPr>
          <w:rStyle w:val="libFootnotenumChar"/>
          <w:rtl/>
        </w:rPr>
        <w:t>(8)</w:t>
      </w:r>
      <w:r w:rsidRPr="005D642E">
        <w:rPr>
          <w:rtl/>
          <w:lang w:bidi="fa-IR"/>
        </w:rPr>
        <w:t xml:space="preserve"> ، فَأَفَاقَ الرَّجُلُ ، فَقَالَ‌</w:t>
      </w:r>
    </w:p>
    <w:p w:rsidR="00E3253D" w:rsidRPr="005D642E" w:rsidRDefault="00E3253D" w:rsidP="00E3253D">
      <w:pPr>
        <w:pStyle w:val="libLine"/>
        <w:rPr>
          <w:rtl/>
          <w:lang w:bidi="fa-IR"/>
        </w:rPr>
      </w:pPr>
      <w:r w:rsidRPr="005D642E">
        <w:rPr>
          <w:rtl/>
          <w:lang w:bidi="fa-IR"/>
        </w:rPr>
        <w:t>__________________</w:t>
      </w:r>
    </w:p>
    <w:p w:rsidR="00E3253D" w:rsidRPr="005D642E" w:rsidRDefault="00ED338A" w:rsidP="00E3253D">
      <w:pPr>
        <w:pStyle w:val="libFootnote0"/>
        <w:rPr>
          <w:rtl/>
          <w:lang w:bidi="fa-IR"/>
        </w:rPr>
      </w:pPr>
      <w:r w:rsidRPr="00A95E95">
        <w:rPr>
          <w:rFonts w:hint="cs"/>
          <w:rtl/>
        </w:rPr>
        <w:t xml:space="preserve">= </w:t>
      </w:r>
      <w:r w:rsidR="00751C0E">
        <w:rPr>
          <w:rFonts w:hint="cs"/>
          <w:rtl/>
        </w:rPr>
        <w:t xml:space="preserve">. </w:t>
      </w:r>
      <w:r w:rsidR="00E3253D" w:rsidRPr="002F4D34">
        <w:rPr>
          <w:rStyle w:val="libFootnoteBoldChar"/>
          <w:rtl/>
        </w:rPr>
        <w:t>الوافي</w:t>
      </w:r>
      <w:r w:rsidR="00E3253D" w:rsidRPr="005D642E">
        <w:rPr>
          <w:rtl/>
        </w:rPr>
        <w:t xml:space="preserve"> ، ج 24 ، ص 234 ، ح 23956 ؛ </w:t>
      </w:r>
      <w:r w:rsidR="00E3253D" w:rsidRPr="002F4D34">
        <w:rPr>
          <w:rStyle w:val="libFootnoteBoldChar"/>
          <w:rtl/>
        </w:rPr>
        <w:t>الوسائل</w:t>
      </w:r>
      <w:r w:rsidR="00E3253D" w:rsidRPr="005D642E">
        <w:rPr>
          <w:rtl/>
        </w:rPr>
        <w:t xml:space="preserve"> ، ج 2 ، ص 459 ، ح 2644.</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يقضي » أي يموت ، يقال : قضى</w:t>
      </w:r>
      <w:r w:rsidR="00751C0E">
        <w:rPr>
          <w:rtl/>
        </w:rPr>
        <w:t xml:space="preserve"> فلان ، أي مات ومضى. وقال العل</w:t>
      </w:r>
      <w:r w:rsidR="00751C0E">
        <w:rPr>
          <w:rFonts w:hint="cs"/>
          <w:rtl/>
        </w:rPr>
        <w:t>ّ</w:t>
      </w:r>
      <w:r w:rsidR="00751C0E">
        <w:rPr>
          <w:rtl/>
        </w:rPr>
        <w:t>ا</w:t>
      </w:r>
      <w:r w:rsidR="00E3253D" w:rsidRPr="005D642E">
        <w:rPr>
          <w:rtl/>
        </w:rPr>
        <w:t xml:space="preserve">مة المجلسي : « قوله : وهو يقضي ، على‌بناء المعلوم من قوله تعالى : </w:t>
      </w:r>
      <w:r w:rsidR="00E3253D" w:rsidRPr="001F550C">
        <w:rPr>
          <w:rStyle w:val="libFootnoteAlaemChar"/>
          <w:rtl/>
        </w:rPr>
        <w:t>(</w:t>
      </w:r>
      <w:r w:rsidR="00E3253D" w:rsidRPr="00EB702D">
        <w:rPr>
          <w:rStyle w:val="libFootnoteAieChar"/>
          <w:rtl/>
        </w:rPr>
        <w:t xml:space="preserve"> فَمِنْهُمْ مَنْ قَضى نَحْبَهُ </w:t>
      </w:r>
      <w:r w:rsidR="00E3253D" w:rsidRPr="001F550C">
        <w:rPr>
          <w:rStyle w:val="libFootnoteAlaemChar"/>
          <w:rtl/>
        </w:rPr>
        <w:t>)</w:t>
      </w:r>
      <w:r w:rsidR="00E3253D" w:rsidRPr="005D642E">
        <w:rPr>
          <w:rtl/>
        </w:rPr>
        <w:t xml:space="preserve"> [ الأحزاب (33) : 23 ] ويحتمل المجهول أيضاً ، أي يقع عليه قضاء الله ، والأوّل أظهر</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6 ، ص 2464 ( قضى ) ؛ </w:t>
      </w:r>
      <w:r w:rsidR="00E3253D" w:rsidRPr="002F4D34">
        <w:rPr>
          <w:rStyle w:val="libFootnoteBoldChar"/>
          <w:rtl/>
        </w:rPr>
        <w:t xml:space="preserve">مرآة العقول </w:t>
      </w:r>
      <w:r w:rsidR="00E3253D" w:rsidRPr="005D642E">
        <w:rPr>
          <w:rtl/>
        </w:rPr>
        <w:t>، ج 13 ، ص 280.</w:t>
      </w:r>
    </w:p>
    <w:tbl>
      <w:tblPr>
        <w:tblStyle w:val="TableGrid"/>
        <w:bidiVisual/>
        <w:tblW w:w="0" w:type="auto"/>
        <w:tblLook w:val="04A0" w:firstRow="1" w:lastRow="0" w:firstColumn="1" w:lastColumn="0" w:noHBand="0" w:noVBand="1"/>
      </w:tblPr>
      <w:tblGrid>
        <w:gridCol w:w="4006"/>
        <w:gridCol w:w="4006"/>
      </w:tblGrid>
      <w:tr w:rsidR="001F550C" w:rsidTr="001F550C">
        <w:tc>
          <w:tcPr>
            <w:tcW w:w="4006" w:type="dxa"/>
          </w:tcPr>
          <w:p w:rsidR="001F550C" w:rsidRDefault="001F550C" w:rsidP="00E3253D">
            <w:pPr>
              <w:pStyle w:val="libFootnote0"/>
              <w:rPr>
                <w:rStyle w:val="libFootnote0Char"/>
                <w:rtl/>
              </w:rPr>
            </w:pPr>
            <w:r w:rsidRPr="0042621E">
              <w:rPr>
                <w:rStyle w:val="libFootnote0Char"/>
                <w:rtl/>
              </w:rPr>
              <w:t>(2).</w:t>
            </w:r>
            <w:r w:rsidRPr="005D642E">
              <w:rPr>
                <w:rtl/>
              </w:rPr>
              <w:t xml:space="preserve"> في حاشية « جن » : « الحكيم</w:t>
            </w:r>
            <w:r>
              <w:rPr>
                <w:rtl/>
              </w:rPr>
              <w:t xml:space="preserve"> ».</w:t>
            </w:r>
          </w:p>
        </w:tc>
        <w:tc>
          <w:tcPr>
            <w:tcW w:w="4006" w:type="dxa"/>
          </w:tcPr>
          <w:p w:rsidR="001F550C" w:rsidRDefault="001F550C" w:rsidP="00E3253D">
            <w:pPr>
              <w:pStyle w:val="libFootnote0"/>
              <w:rPr>
                <w:rStyle w:val="libFootnote0Char"/>
                <w:rtl/>
              </w:rPr>
            </w:pPr>
            <w:r w:rsidRPr="0042621E">
              <w:rPr>
                <w:rStyle w:val="libFootnote0Char"/>
                <w:rtl/>
              </w:rPr>
              <w:t>(3).</w:t>
            </w:r>
            <w:r w:rsidRPr="005D642E">
              <w:rPr>
                <w:rtl/>
              </w:rPr>
              <w:t xml:space="preserve"> في « جس » : + « هو</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الفقيه</w:t>
      </w:r>
      <w:r w:rsidR="00E3253D" w:rsidRPr="005D642E">
        <w:rPr>
          <w:rtl/>
        </w:rPr>
        <w:t xml:space="preserve"> ، ج 1 ، ص 131 ، ح 343 ، مرسلاً ، مع اختلاف يسير </w:t>
      </w:r>
      <w:r w:rsidR="00CA2F82">
        <w:rPr>
          <w:rFonts w:hint="cs"/>
          <w:rtl/>
        </w:rPr>
        <w:t>.</w:t>
      </w:r>
      <w:r w:rsidR="00E3253D" w:rsidRPr="002F4D34">
        <w:rPr>
          <w:rStyle w:val="libFootnoteBoldChar"/>
          <w:rtl/>
        </w:rPr>
        <w:t>الوافي</w:t>
      </w:r>
      <w:r w:rsidR="00E3253D" w:rsidRPr="005D642E">
        <w:rPr>
          <w:rtl/>
        </w:rPr>
        <w:t xml:space="preserve"> ، ج 24 ، ص 235 ، ح 23958 ؛ </w:t>
      </w:r>
      <w:r w:rsidR="00E3253D" w:rsidRPr="002F4D34">
        <w:rPr>
          <w:rStyle w:val="libFootnoteBoldChar"/>
          <w:rtl/>
        </w:rPr>
        <w:t>الوسائل</w:t>
      </w:r>
      <w:r w:rsidR="00E3253D" w:rsidRPr="005D642E">
        <w:rPr>
          <w:rtl/>
        </w:rPr>
        <w:t xml:space="preserve"> ، ج 2 ، ص 459 ، ح 2646.</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 بس ، جس</w:t>
      </w:r>
      <w:r w:rsidR="00E3253D">
        <w:rPr>
          <w:rtl/>
        </w:rPr>
        <w:t xml:space="preserve"> ».</w:t>
      </w:r>
      <w:r w:rsidR="00E3253D" w:rsidRPr="005D642E">
        <w:rPr>
          <w:rtl/>
        </w:rPr>
        <w:t xml:space="preserve"> وفي « ظ ، ى ، بث ، بح ، بخ ، جح ، جن » والوسائل والبحار والمطبوع : « سالم بن أبي سلمة</w:t>
      </w:r>
      <w:r w:rsidR="00E3253D">
        <w:rPr>
          <w:rtl/>
        </w:rPr>
        <w:t xml:space="preserve"> ».</w:t>
      </w:r>
      <w:r w:rsidR="00E3253D" w:rsidRPr="005D642E">
        <w:rPr>
          <w:rtl/>
        </w:rPr>
        <w:t xml:space="preserve"> وفي « بف » : « سالم بن سلمة</w:t>
      </w:r>
      <w:r w:rsidR="00E3253D">
        <w:rPr>
          <w:rtl/>
        </w:rPr>
        <w:t xml:space="preserve"> ».</w:t>
      </w:r>
      <w:r w:rsidR="00E3253D" w:rsidRPr="005D642E">
        <w:rPr>
          <w:rtl/>
        </w:rPr>
        <w:t xml:space="preserve"> والصواب ما أثبتناه ، كما تقدّم تفصيل الكلام في </w:t>
      </w:r>
      <w:r w:rsidR="00E3253D" w:rsidRPr="002F4D34">
        <w:rPr>
          <w:rStyle w:val="libFootnoteBoldChar"/>
          <w:rtl/>
        </w:rPr>
        <w:t>الكافي</w:t>
      </w:r>
      <w:r w:rsidR="00E3253D" w:rsidRPr="005D642E">
        <w:rPr>
          <w:rtl/>
        </w:rPr>
        <w:t xml:space="preserve"> ، ذيل ح 3592.</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والبحار. وفي المطبوع : « ا</w:t>
      </w:r>
      <w:r w:rsidR="00CA2F82">
        <w:rPr>
          <w:rFonts w:hint="cs"/>
          <w:rtl/>
        </w:rPr>
        <w:t>ُ</w:t>
      </w:r>
      <w:r w:rsidR="00E3253D" w:rsidRPr="005D642E">
        <w:rPr>
          <w:rtl/>
        </w:rPr>
        <w:t>ناس</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 هذا » ، ولكن يُرى مشطوباً.</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بح ، بخ ، بس ، جح ، جن » </w:t>
      </w:r>
      <w:r w:rsidR="000D749A" w:rsidRPr="000D749A">
        <w:rPr>
          <w:rStyle w:val="libFootnoteBoldChar"/>
          <w:rtl/>
        </w:rPr>
        <w:t>والوافي</w:t>
      </w:r>
      <w:r w:rsidR="00E3253D" w:rsidRPr="005D642E">
        <w:rPr>
          <w:rtl/>
        </w:rPr>
        <w:t xml:space="preserve"> والوسائل والبحار ، ج 22 : « حتّى ا</w:t>
      </w:r>
      <w:r w:rsidR="00CA2F82">
        <w:rPr>
          <w:rFonts w:hint="cs"/>
          <w:rtl/>
        </w:rPr>
        <w:t>ُ</w:t>
      </w:r>
      <w:r w:rsidR="00E3253D" w:rsidRPr="005D642E">
        <w:rPr>
          <w:rtl/>
        </w:rPr>
        <w:t>سائله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النَّبِيُّ </w:t>
      </w:r>
      <w:r w:rsidR="0042621E" w:rsidRPr="0042621E">
        <w:rPr>
          <w:rStyle w:val="libAlaemChar"/>
          <w:rtl/>
        </w:rPr>
        <w:t>صلى‌الله‌عليه‌وآله</w:t>
      </w:r>
      <w:r w:rsidRPr="005D642E">
        <w:rPr>
          <w:rtl/>
          <w:lang w:bidi="fa-IR"/>
        </w:rPr>
        <w:t xml:space="preserve"> : مَا رَأَيْتَ</w:t>
      </w:r>
      <w:r>
        <w:rPr>
          <w:rtl/>
          <w:lang w:bidi="fa-IR"/>
        </w:rPr>
        <w:t>؟</w:t>
      </w:r>
      <w:r w:rsidRPr="005D642E">
        <w:rPr>
          <w:rtl/>
          <w:lang w:bidi="fa-IR"/>
        </w:rPr>
        <w:t xml:space="preserve"> قَالَ : رَأَيْتُ </w:t>
      </w:r>
      <w:r w:rsidRPr="007C12DB">
        <w:rPr>
          <w:rStyle w:val="libFootnotenumChar"/>
          <w:rtl/>
        </w:rPr>
        <w:t>(1)</w:t>
      </w:r>
      <w:r w:rsidRPr="005D642E">
        <w:rPr>
          <w:rtl/>
          <w:lang w:bidi="fa-IR"/>
        </w:rPr>
        <w:t xml:space="preserve"> بَيَاضاً </w:t>
      </w:r>
      <w:r w:rsidRPr="007C12DB">
        <w:rPr>
          <w:rStyle w:val="libFootnotenumChar"/>
          <w:rtl/>
        </w:rPr>
        <w:t>(2)</w:t>
      </w:r>
      <w:r w:rsidRPr="005D642E">
        <w:rPr>
          <w:rtl/>
          <w:lang w:bidi="fa-IR"/>
        </w:rPr>
        <w:t xml:space="preserve"> كَثِيراً </w:t>
      </w:r>
      <w:r w:rsidRPr="007C12DB">
        <w:rPr>
          <w:rStyle w:val="libFootnotenumChar"/>
          <w:rtl/>
        </w:rPr>
        <w:t>(3)</w:t>
      </w:r>
      <w:r w:rsidRPr="005D642E">
        <w:rPr>
          <w:rtl/>
          <w:lang w:bidi="fa-IR"/>
        </w:rPr>
        <w:t xml:space="preserve"> ، وَسَوَاداً كَثِيراً </w:t>
      </w:r>
      <w:r w:rsidRPr="007C12DB">
        <w:rPr>
          <w:rStyle w:val="libFootnotenumChar"/>
          <w:rtl/>
        </w:rPr>
        <w:t>(4)</w:t>
      </w:r>
      <w:r w:rsidRPr="005D642E">
        <w:rPr>
          <w:rtl/>
          <w:lang w:bidi="fa-IR"/>
        </w:rPr>
        <w:t xml:space="preserve"> ، قَالَ </w:t>
      </w:r>
      <w:r w:rsidRPr="007C12DB">
        <w:rPr>
          <w:rStyle w:val="libFootnotenumChar"/>
          <w:rtl/>
        </w:rPr>
        <w:t>(5)</w:t>
      </w:r>
      <w:r w:rsidRPr="005D642E">
        <w:rPr>
          <w:rtl/>
          <w:lang w:bidi="fa-IR"/>
        </w:rPr>
        <w:t xml:space="preserve"> : فَأَيُّهُمَا كَانَ </w:t>
      </w:r>
      <w:r w:rsidRPr="007C12DB">
        <w:rPr>
          <w:rStyle w:val="libFootnotenumChar"/>
          <w:rtl/>
        </w:rPr>
        <w:t>(6)</w:t>
      </w:r>
      <w:r w:rsidRPr="005D642E">
        <w:rPr>
          <w:rtl/>
          <w:lang w:bidi="fa-IR"/>
        </w:rPr>
        <w:t xml:space="preserve"> أَقْرَبَ إِلَيْكَ </w:t>
      </w:r>
      <w:r w:rsidRPr="007C12DB">
        <w:rPr>
          <w:rStyle w:val="libFootnotenumChar"/>
          <w:rtl/>
        </w:rPr>
        <w:t>(7)</w:t>
      </w:r>
      <w:r>
        <w:rPr>
          <w:rtl/>
          <w:lang w:bidi="fa-IR"/>
        </w:rPr>
        <w:t>؟</w:t>
      </w:r>
      <w:r w:rsidRPr="005D642E">
        <w:rPr>
          <w:rtl/>
          <w:lang w:bidi="fa-IR"/>
        </w:rPr>
        <w:t xml:space="preserve"> فَقَالَ : السَّوَادُ ، فَقَالَ النَّبِيُّ </w:t>
      </w:r>
      <w:r w:rsidR="0042621E" w:rsidRPr="0042621E">
        <w:rPr>
          <w:rStyle w:val="libAlaemChar"/>
          <w:rtl/>
        </w:rPr>
        <w:t>صلى‌الله‌عليه‌وآله</w:t>
      </w:r>
      <w:r w:rsidRPr="005D642E">
        <w:rPr>
          <w:rtl/>
          <w:lang w:bidi="fa-IR"/>
        </w:rPr>
        <w:t xml:space="preserve"> : قُلِ : الل</w:t>
      </w:r>
      <w:r w:rsidR="003B4954">
        <w:rPr>
          <w:rFonts w:hint="cs"/>
          <w:rtl/>
          <w:lang w:bidi="fa-IR"/>
        </w:rPr>
        <w:t>ّ</w:t>
      </w:r>
      <w:r w:rsidRPr="005D642E">
        <w:rPr>
          <w:rtl/>
          <w:lang w:bidi="fa-IR"/>
        </w:rPr>
        <w:t xml:space="preserve">هُمَّ اغْفِرْ لِيَ الْكَثِيرَ </w:t>
      </w:r>
      <w:r w:rsidRPr="007C12DB">
        <w:rPr>
          <w:rStyle w:val="libFootnotenumChar"/>
          <w:rtl/>
        </w:rPr>
        <w:t>(8)</w:t>
      </w:r>
      <w:r w:rsidRPr="005D642E">
        <w:rPr>
          <w:rtl/>
          <w:lang w:bidi="fa-IR"/>
        </w:rPr>
        <w:t xml:space="preserve"> مِنْ مَعَاصِيكَ ، وَاقْبَلْ مِنِّي الْيَسِيرَ مِنْ طَاعَتِكَ ، فَقَالَهُ </w:t>
      </w:r>
      <w:r w:rsidRPr="007C12DB">
        <w:rPr>
          <w:rStyle w:val="libFootnotenumChar"/>
          <w:rtl/>
        </w:rPr>
        <w:t>(9)</w:t>
      </w:r>
      <w:r w:rsidRPr="005D642E">
        <w:rPr>
          <w:rtl/>
          <w:lang w:bidi="fa-IR"/>
        </w:rPr>
        <w:t xml:space="preserve"> ، ثُمَّ أُغْمِيَ عَلَيْهِ ، فَقَالَ </w:t>
      </w:r>
      <w:r w:rsidRPr="007C12DB">
        <w:rPr>
          <w:rStyle w:val="libFootnotenumChar"/>
          <w:rtl/>
        </w:rPr>
        <w:t>(10)</w:t>
      </w:r>
      <w:r w:rsidRPr="005D642E">
        <w:rPr>
          <w:rtl/>
          <w:lang w:bidi="fa-IR"/>
        </w:rPr>
        <w:t xml:space="preserve"> : يَا مَلَكَ الْمَوْتِ ، خَفِّفْ عَنْهُ </w:t>
      </w:r>
      <w:r w:rsidRPr="007C12DB">
        <w:rPr>
          <w:rStyle w:val="libFootnotenumChar"/>
          <w:rtl/>
        </w:rPr>
        <w:t>(11)</w:t>
      </w:r>
      <w:r w:rsidRPr="005D642E">
        <w:rPr>
          <w:rtl/>
          <w:lang w:bidi="fa-IR"/>
        </w:rPr>
        <w:t xml:space="preserve"> حَتّى أَسْأَلَهُ </w:t>
      </w:r>
      <w:r w:rsidRPr="007C12DB">
        <w:rPr>
          <w:rStyle w:val="libFootnotenumChar"/>
          <w:rtl/>
        </w:rPr>
        <w:t>(12)</w:t>
      </w:r>
      <w:r w:rsidRPr="005D642E">
        <w:rPr>
          <w:rtl/>
          <w:lang w:bidi="fa-IR"/>
        </w:rPr>
        <w:t xml:space="preserve"> ، فَأَفَاقَ الرَّجُلُ ، فَقَالَ : مَا رَأَيْتَ</w:t>
      </w:r>
      <w:r>
        <w:rPr>
          <w:rtl/>
          <w:lang w:bidi="fa-IR"/>
        </w:rPr>
        <w:t>؟</w:t>
      </w:r>
      <w:r w:rsidRPr="005D642E">
        <w:rPr>
          <w:rtl/>
          <w:lang w:bidi="fa-IR"/>
        </w:rPr>
        <w:t xml:space="preserve"> قَالَ : رَأَيْتُ بَيَاضاً كَثِيراً </w:t>
      </w:r>
      <w:r w:rsidRPr="007C12DB">
        <w:rPr>
          <w:rStyle w:val="libFootnotenumChar"/>
          <w:rtl/>
        </w:rPr>
        <w:t>(13)</w:t>
      </w:r>
      <w:r w:rsidRPr="005D642E">
        <w:rPr>
          <w:rtl/>
          <w:lang w:bidi="fa-IR"/>
        </w:rPr>
        <w:t xml:space="preserve"> ، وَسَوَاداً كَثِيراً </w:t>
      </w:r>
      <w:r w:rsidRPr="007C12DB">
        <w:rPr>
          <w:rStyle w:val="libFootnotenumChar"/>
          <w:rtl/>
        </w:rPr>
        <w:t>(14)</w:t>
      </w:r>
      <w:r w:rsidRPr="005D642E">
        <w:rPr>
          <w:rtl/>
          <w:lang w:bidi="fa-IR"/>
        </w:rPr>
        <w:t xml:space="preserve"> ، قَالَ </w:t>
      </w:r>
      <w:r w:rsidRPr="007C12DB">
        <w:rPr>
          <w:rStyle w:val="libFootnotenumChar"/>
          <w:rtl/>
        </w:rPr>
        <w:t>(15)</w:t>
      </w:r>
      <w:r w:rsidRPr="005D642E">
        <w:rPr>
          <w:rtl/>
          <w:lang w:bidi="fa-IR"/>
        </w:rPr>
        <w:t xml:space="preserve"> : فَأَيُّهُمَا </w:t>
      </w:r>
      <w:r w:rsidRPr="007C12DB">
        <w:rPr>
          <w:rStyle w:val="libFootnotenumChar"/>
          <w:rtl/>
        </w:rPr>
        <w:t>(16)</w:t>
      </w:r>
      <w:r w:rsidRPr="005D642E">
        <w:rPr>
          <w:rtl/>
          <w:lang w:bidi="fa-IR"/>
        </w:rPr>
        <w:t xml:space="preserve"> كَانَ </w:t>
      </w:r>
      <w:r w:rsidRPr="007C12DB">
        <w:rPr>
          <w:rStyle w:val="libFootnotenumChar"/>
          <w:rtl/>
        </w:rPr>
        <w:t>(17)</w:t>
      </w:r>
      <w:r w:rsidRPr="005D642E">
        <w:rPr>
          <w:rtl/>
          <w:lang w:bidi="fa-IR"/>
        </w:rPr>
        <w:t xml:space="preserve"> أَقْرَبَ إِلَيْكَ</w:t>
      </w:r>
      <w:r>
        <w:rPr>
          <w:rtl/>
          <w:lang w:bidi="fa-IR"/>
        </w:rPr>
        <w:t>؟</w:t>
      </w:r>
      <w:r w:rsidRPr="005D642E">
        <w:rPr>
          <w:rtl/>
          <w:lang w:bidi="fa-IR"/>
        </w:rPr>
        <w:t xml:space="preserve"> فَقَالَ : الْبَيَاضُ ، فَقَالَ رَسُولُ اللهِ </w:t>
      </w:r>
      <w:r w:rsidR="0042621E" w:rsidRPr="0042621E">
        <w:rPr>
          <w:rStyle w:val="libAlaemChar"/>
          <w:rtl/>
        </w:rPr>
        <w:t>صلى‌الله‌عليه‌وآله</w:t>
      </w:r>
      <w:r w:rsidRPr="005D642E">
        <w:rPr>
          <w:rtl/>
          <w:lang w:bidi="fa-IR"/>
        </w:rPr>
        <w:t xml:space="preserve"> : غَفَرَ اللهُ لِصَاحِبِكُمْ </w:t>
      </w:r>
      <w:r w:rsidRPr="007C12DB">
        <w:rPr>
          <w:rStyle w:val="libFootnotenumChar"/>
          <w:rtl/>
        </w:rPr>
        <w:t>(18)</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فَقَالَ أَبُو عَبْدِ اللهِ </w:t>
      </w:r>
      <w:r w:rsidRPr="007C12DB">
        <w:rPr>
          <w:rStyle w:val="libFootnotenumChar"/>
          <w:rtl/>
        </w:rPr>
        <w:t>(19)</w:t>
      </w:r>
      <w:r w:rsidRPr="005D642E">
        <w:rPr>
          <w:rtl/>
          <w:lang w:bidi="fa-IR"/>
        </w:rPr>
        <w:t xml:space="preserve"> </w:t>
      </w:r>
      <w:r w:rsidRPr="00AC51C5">
        <w:rPr>
          <w:rStyle w:val="libAlaemChar"/>
          <w:rtl/>
        </w:rPr>
        <w:t>عليه‌السلام</w:t>
      </w:r>
      <w:r w:rsidRPr="005D642E">
        <w:rPr>
          <w:rtl/>
          <w:lang w:bidi="fa-IR"/>
        </w:rPr>
        <w:t xml:space="preserve"> : « إِذَا حَضَرْتُمْ مَيِّتاً ، فَقُولُوا لَهُ هذَا الْكَلَامَ لِيَقُولَهُ </w:t>
      </w:r>
      <w:r w:rsidRPr="007C12DB">
        <w:rPr>
          <w:rStyle w:val="libFootnotenumChar"/>
          <w:rtl/>
        </w:rPr>
        <w:t>(20)</w:t>
      </w:r>
      <w:r>
        <w:rPr>
          <w:rtl/>
          <w:lang w:bidi="fa-IR"/>
        </w:rPr>
        <w:t xml:space="preserve"> ».</w:t>
      </w:r>
      <w:r w:rsidRPr="005D642E">
        <w:rPr>
          <w:rtl/>
          <w:lang w:bidi="fa-IR"/>
        </w:rPr>
        <w:t xml:space="preserve"> </w:t>
      </w:r>
      <w:r w:rsidRPr="007C12DB">
        <w:rPr>
          <w:rStyle w:val="libFootnotenumChar"/>
          <w:rtl/>
        </w:rPr>
        <w:t>(21)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w:t>
      </w:r>
      <w:r w:rsidR="00E3253D">
        <w:rPr>
          <w:rtl/>
        </w:rPr>
        <w:t xml:space="preserve"> </w:t>
      </w:r>
      <w:r w:rsidR="007642BC">
        <w:rPr>
          <w:rtl/>
        </w:rPr>
        <w:t>-</w:t>
      </w:r>
      <w:r w:rsidR="00E3253D">
        <w:rPr>
          <w:rtl/>
        </w:rPr>
        <w:t xml:space="preserve"> </w:t>
      </w:r>
      <w:r w:rsidR="00E3253D" w:rsidRPr="005D642E">
        <w:rPr>
          <w:rtl/>
        </w:rPr>
        <w:t>« رأيت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ولعلّ البياض عقائده وأعماله الحسنة والسواد أعماله القبيحة ، وفي بعض الأخبار أنّه قال : رأيت أبيضين وأسودين ، فيمكن أن يكون الأبيضان الملكين ، والأسودان شيطانين يريدان إغواءه ، أو أتاه الملائكة بصور حسنة وقبيحة ؛ لأنّه إذا صادقوه من السعداء توجّه إليه ملائكة الرحمة وإن كان من الأشقياء توجّه إليه ملائكة الغضب</w:t>
      </w:r>
      <w:r w:rsidR="00E3253D">
        <w:rPr>
          <w:rtl/>
        </w:rPr>
        <w:t xml:space="preserve"> ».</w:t>
      </w:r>
      <w:r w:rsidR="00E3253D">
        <w:rPr>
          <w:rFonts w:hint="cs"/>
          <w:rtl/>
          <w:lang w:bidi="fa-IR"/>
        </w:rPr>
        <w:t xml:space="preserve"> </w:t>
      </w:r>
      <w:r w:rsidR="00EB4DE1">
        <w:rPr>
          <w:rFonts w:hint="cs"/>
          <w:rtl/>
          <w:lang w:bidi="fa-IR"/>
        </w:rPr>
        <w:t xml:space="preserve">            </w:t>
      </w:r>
      <w:r w:rsidR="00591486">
        <w:rPr>
          <w:rFonts w:hint="cs"/>
          <w:rtl/>
          <w:lang w:bidi="fa-IR"/>
        </w:rPr>
        <w:t xml:space="preserve">                              </w:t>
      </w:r>
      <w:r w:rsidR="00EB4DE1">
        <w:rPr>
          <w:rFonts w:hint="cs"/>
          <w:rtl/>
          <w:lang w:bidi="fa-IR"/>
        </w:rPr>
        <w:t xml:space="preserve">     </w:t>
      </w:r>
      <w:r w:rsidRPr="0042621E">
        <w:rPr>
          <w:rStyle w:val="libFootnote0Char"/>
          <w:rtl/>
        </w:rPr>
        <w:t>(3).</w:t>
      </w:r>
      <w:r w:rsidR="00E3253D" w:rsidRPr="005D642E">
        <w:rPr>
          <w:rtl/>
        </w:rPr>
        <w:t xml:space="preserve"> في « جس » : « كبيراً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B4DE1" w:rsidTr="00EB4DE1">
        <w:tc>
          <w:tcPr>
            <w:tcW w:w="4006" w:type="dxa"/>
          </w:tcPr>
          <w:p w:rsidR="00EB4DE1" w:rsidRDefault="00EB4DE1" w:rsidP="00E3253D">
            <w:pPr>
              <w:pStyle w:val="libFootnote0"/>
              <w:rPr>
                <w:rStyle w:val="libFootnote0Char"/>
                <w:rtl/>
              </w:rPr>
            </w:pPr>
            <w:r w:rsidRPr="0042621E">
              <w:rPr>
                <w:rStyle w:val="libFootnote0Char"/>
                <w:rtl/>
              </w:rPr>
              <w:t>(4).</w:t>
            </w:r>
            <w:r w:rsidRPr="005D642E">
              <w:rPr>
                <w:rtl/>
              </w:rPr>
              <w:t xml:space="preserve"> في « جس » : « كبيراً</w:t>
            </w:r>
            <w:r>
              <w:rPr>
                <w:rtl/>
              </w:rPr>
              <w:t xml:space="preserve"> ».</w:t>
            </w:r>
          </w:p>
        </w:tc>
        <w:tc>
          <w:tcPr>
            <w:tcW w:w="4006" w:type="dxa"/>
          </w:tcPr>
          <w:p w:rsidR="00EB4DE1" w:rsidRDefault="00EB4DE1" w:rsidP="00E3253D">
            <w:pPr>
              <w:pStyle w:val="libFootnote0"/>
              <w:rPr>
                <w:rStyle w:val="libFootnote0Char"/>
                <w:rtl/>
              </w:rPr>
            </w:pPr>
            <w:r w:rsidRPr="0042621E">
              <w:rPr>
                <w:rStyle w:val="libFootnote0Char"/>
                <w:rtl/>
              </w:rPr>
              <w:t>(5).</w:t>
            </w:r>
            <w:r w:rsidRPr="005D642E">
              <w:rPr>
                <w:rtl/>
              </w:rPr>
              <w:t xml:space="preserve"> في « بح ، جن » </w:t>
            </w:r>
            <w:r w:rsidRPr="000D749A">
              <w:rPr>
                <w:rStyle w:val="libFootnoteBoldChar"/>
                <w:rtl/>
              </w:rPr>
              <w:t>والوافي</w:t>
            </w:r>
            <w:r w:rsidRPr="005D642E">
              <w:rPr>
                <w:rtl/>
              </w:rPr>
              <w:t xml:space="preserve"> : « فقال</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كان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ى ، بث ، بخ ، بس ، جس » : + « منك</w:t>
      </w:r>
      <w:r w:rsidR="00E3253D">
        <w:rPr>
          <w:rtl/>
        </w:rPr>
        <w:t xml:space="preserve"> ».</w:t>
      </w:r>
      <w:r w:rsidR="00E3253D" w:rsidRPr="005D642E">
        <w:rPr>
          <w:rtl/>
        </w:rPr>
        <w:t xml:space="preserve"> وفي « بف » وحاشية « جح » </w:t>
      </w:r>
      <w:r w:rsidR="000D749A" w:rsidRPr="000D749A">
        <w:rPr>
          <w:rStyle w:val="libFootnoteBoldChar"/>
          <w:rtl/>
        </w:rPr>
        <w:t>والوافي</w:t>
      </w:r>
      <w:r w:rsidR="00E3253D" w:rsidRPr="005D642E">
        <w:rPr>
          <w:rtl/>
        </w:rPr>
        <w:t xml:space="preserve"> والبحار ، ج 22 : « منك » بدل « إليك</w:t>
      </w:r>
      <w:r w:rsidR="00E3253D">
        <w:rPr>
          <w:rtl/>
        </w:rPr>
        <w:t xml:space="preserve"> ».</w:t>
      </w:r>
      <w:r w:rsidR="00E3253D">
        <w:rPr>
          <w:rFonts w:hint="cs"/>
          <w:rtl/>
          <w:lang w:bidi="fa-IR"/>
        </w:rPr>
        <w:t xml:space="preserve"> </w:t>
      </w:r>
      <w:r w:rsidR="00591486">
        <w:rPr>
          <w:rFonts w:hint="cs"/>
          <w:rtl/>
          <w:lang w:bidi="fa-IR"/>
        </w:rPr>
        <w:t xml:space="preserve">                    </w:t>
      </w:r>
      <w:r w:rsidR="00B146B1">
        <w:rPr>
          <w:rFonts w:hint="cs"/>
          <w:rtl/>
          <w:lang w:bidi="fa-IR"/>
        </w:rPr>
        <w:t xml:space="preserve"> </w:t>
      </w:r>
      <w:r w:rsidR="006D0501">
        <w:rPr>
          <w:rFonts w:hint="cs"/>
          <w:rtl/>
          <w:lang w:bidi="fa-IR"/>
        </w:rPr>
        <w:t xml:space="preserve"> </w:t>
      </w:r>
      <w:r w:rsidRPr="0042621E">
        <w:rPr>
          <w:rStyle w:val="libFootnote0Char"/>
          <w:rtl/>
        </w:rPr>
        <w:t>(8).</w:t>
      </w:r>
      <w:r w:rsidR="00E3253D" w:rsidRPr="005D642E">
        <w:rPr>
          <w:rtl/>
        </w:rPr>
        <w:t xml:space="preserve"> في « جس » : « الكبير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2E1ECE" w:rsidTr="002E1ECE">
        <w:tc>
          <w:tcPr>
            <w:tcW w:w="4006" w:type="dxa"/>
          </w:tcPr>
          <w:p w:rsidR="002E1ECE" w:rsidRDefault="002E1ECE" w:rsidP="00E3253D">
            <w:pPr>
              <w:pStyle w:val="libFootnote0"/>
              <w:rPr>
                <w:rStyle w:val="libFootnote0Char"/>
                <w:rtl/>
              </w:rPr>
            </w:pPr>
            <w:r w:rsidRPr="0042621E">
              <w:rPr>
                <w:rStyle w:val="libFootnote0Char"/>
                <w:rtl/>
              </w:rPr>
              <w:t>(9).</w:t>
            </w:r>
            <w:r w:rsidRPr="005D642E">
              <w:rPr>
                <w:rtl/>
              </w:rPr>
              <w:t xml:space="preserve"> في « غ » والبحار ، ج 22 : « فقال</w:t>
            </w:r>
            <w:r>
              <w:rPr>
                <w:rtl/>
              </w:rPr>
              <w:t xml:space="preserve"> ».</w:t>
            </w:r>
          </w:p>
        </w:tc>
        <w:tc>
          <w:tcPr>
            <w:tcW w:w="4006" w:type="dxa"/>
          </w:tcPr>
          <w:p w:rsidR="002E1ECE" w:rsidRDefault="002E1ECE" w:rsidP="00E3253D">
            <w:pPr>
              <w:pStyle w:val="libFootnote0"/>
              <w:rPr>
                <w:rStyle w:val="libFootnote0Char"/>
                <w:rtl/>
              </w:rPr>
            </w:pPr>
            <w:r w:rsidRPr="0042621E">
              <w:rPr>
                <w:rStyle w:val="libFootnote0Char"/>
                <w:rtl/>
              </w:rPr>
              <w:t>(10).</w:t>
            </w:r>
            <w:r w:rsidRPr="005D642E">
              <w:rPr>
                <w:rtl/>
              </w:rPr>
              <w:t xml:space="preserve"> في « بخ » : « ثمّ قال</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البحار : + « ساعته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بث ، بخ ، بس ، جح ، جس ، جن » </w:t>
      </w:r>
      <w:r w:rsidR="000D749A" w:rsidRPr="000D749A">
        <w:rPr>
          <w:rStyle w:val="libFootnoteBoldChar"/>
          <w:rtl/>
        </w:rPr>
        <w:t>والوافي</w:t>
      </w:r>
      <w:r w:rsidR="00E3253D" w:rsidRPr="005D642E">
        <w:rPr>
          <w:rtl/>
        </w:rPr>
        <w:t xml:space="preserve"> والوسائل والبحار ، ج 22 : « حتّى ا</w:t>
      </w:r>
      <w:r w:rsidR="005821E2">
        <w:rPr>
          <w:rFonts w:hint="cs"/>
          <w:rtl/>
        </w:rPr>
        <w:t>ُ</w:t>
      </w:r>
      <w:r w:rsidR="00E3253D" w:rsidRPr="005D642E">
        <w:rPr>
          <w:rtl/>
        </w:rPr>
        <w:t>سائله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821E2" w:rsidTr="005821E2">
        <w:tc>
          <w:tcPr>
            <w:tcW w:w="4006" w:type="dxa"/>
          </w:tcPr>
          <w:p w:rsidR="005821E2" w:rsidRDefault="005821E2" w:rsidP="00E3253D">
            <w:pPr>
              <w:pStyle w:val="libFootnote0"/>
              <w:rPr>
                <w:rStyle w:val="libFootnote0Char"/>
                <w:rtl/>
              </w:rPr>
            </w:pPr>
            <w:r w:rsidRPr="0042621E">
              <w:rPr>
                <w:rStyle w:val="libFootnote0Char"/>
                <w:rtl/>
              </w:rPr>
              <w:t>(13).</w:t>
            </w:r>
            <w:r>
              <w:rPr>
                <w:rtl/>
              </w:rPr>
              <w:t xml:space="preserve"> </w:t>
            </w:r>
            <w:r w:rsidRPr="005D642E">
              <w:rPr>
                <w:rtl/>
              </w:rPr>
              <w:t>في « جس » : « كبيراً</w:t>
            </w:r>
            <w:r>
              <w:rPr>
                <w:rtl/>
              </w:rPr>
              <w:t xml:space="preserve"> ».</w:t>
            </w:r>
          </w:p>
        </w:tc>
        <w:tc>
          <w:tcPr>
            <w:tcW w:w="4006" w:type="dxa"/>
          </w:tcPr>
          <w:p w:rsidR="005821E2" w:rsidRDefault="005821E2" w:rsidP="00E3253D">
            <w:pPr>
              <w:pStyle w:val="libFootnote0"/>
              <w:rPr>
                <w:rStyle w:val="libFootnote0Char"/>
                <w:rtl/>
              </w:rPr>
            </w:pPr>
            <w:r w:rsidRPr="0042621E">
              <w:rPr>
                <w:rStyle w:val="libFootnote0Char"/>
                <w:rtl/>
              </w:rPr>
              <w:t>(14).</w:t>
            </w:r>
            <w:r w:rsidRPr="005D642E">
              <w:rPr>
                <w:rtl/>
              </w:rPr>
              <w:t xml:space="preserve"> في « جس » : « كبيراً</w:t>
            </w:r>
            <w:r>
              <w:rPr>
                <w:rtl/>
              </w:rPr>
              <w:t xml:space="preserve"> ».</w:t>
            </w:r>
          </w:p>
        </w:tc>
      </w:tr>
    </w:tbl>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ى ، بث ، بح ، بف ، جح ، جن » والبحار ، ج 22 : « فقال</w:t>
      </w:r>
      <w:r w:rsidR="00E3253D">
        <w:rPr>
          <w:rtl/>
        </w:rPr>
        <w:t xml:space="preserve"> ».</w:t>
      </w:r>
    </w:p>
    <w:p w:rsidR="00E3253D" w:rsidRPr="005D642E" w:rsidRDefault="00E3253D" w:rsidP="00E3253D">
      <w:pPr>
        <w:pStyle w:val="libFootnote0"/>
        <w:rPr>
          <w:rtl/>
          <w:lang w:bidi="fa-IR"/>
        </w:rPr>
      </w:pPr>
      <w:r w:rsidRPr="005D642E">
        <w:rPr>
          <w:rtl/>
        </w:rPr>
        <w:t>(1</w:t>
      </w:r>
      <w:r>
        <w:rPr>
          <w:rtl/>
        </w:rPr>
        <w:t>6)</w:t>
      </w:r>
      <w:r w:rsidRPr="005D642E">
        <w:rPr>
          <w:rtl/>
        </w:rPr>
        <w:t xml:space="preserve"> في « بح ، بف » : « أيّهما</w:t>
      </w:r>
      <w:r>
        <w:rPr>
          <w:rtl/>
        </w:rPr>
        <w:t xml:space="preserve"> ».</w:t>
      </w:r>
    </w:p>
    <w:p w:rsidR="00E3253D" w:rsidRPr="005D642E" w:rsidRDefault="00E3253D" w:rsidP="00E3253D">
      <w:pPr>
        <w:pStyle w:val="libFootnote0"/>
        <w:rPr>
          <w:rtl/>
          <w:lang w:bidi="fa-IR"/>
        </w:rPr>
      </w:pPr>
      <w:r w:rsidRPr="005D642E">
        <w:rPr>
          <w:rtl/>
        </w:rPr>
        <w:t>(1</w:t>
      </w:r>
      <w:r>
        <w:rPr>
          <w:rtl/>
        </w:rPr>
        <w:t>7)</w:t>
      </w:r>
      <w:r w:rsidRPr="005D642E">
        <w:rPr>
          <w:rtl/>
        </w:rPr>
        <w:t xml:space="preserve"> في « ظ ، غ ، ى ، بث ، بخ ، بس ، جح ، جس » والوسائل :</w:t>
      </w:r>
      <w:r>
        <w:rPr>
          <w:rtl/>
        </w:rPr>
        <w:t xml:space="preserve"> </w:t>
      </w:r>
      <w:r w:rsidR="007642BC">
        <w:rPr>
          <w:rtl/>
        </w:rPr>
        <w:t>-</w:t>
      </w:r>
      <w:r>
        <w:rPr>
          <w:rtl/>
        </w:rPr>
        <w:t xml:space="preserve"> </w:t>
      </w:r>
      <w:r w:rsidRPr="005D642E">
        <w:rPr>
          <w:rtl/>
        </w:rPr>
        <w:t>« كان</w:t>
      </w:r>
      <w:r>
        <w:rPr>
          <w:rtl/>
        </w:rPr>
        <w:t xml:space="preserve"> ».</w:t>
      </w:r>
    </w:p>
    <w:p w:rsidR="00E3253D" w:rsidRPr="005D642E" w:rsidRDefault="00E3253D" w:rsidP="00E3253D">
      <w:pPr>
        <w:pStyle w:val="libFootnote0"/>
        <w:rPr>
          <w:rtl/>
          <w:lang w:bidi="fa-IR"/>
        </w:rPr>
      </w:pPr>
      <w:r w:rsidRPr="005D642E">
        <w:rPr>
          <w:rtl/>
        </w:rPr>
        <w:t>(1</w:t>
      </w:r>
      <w:r>
        <w:rPr>
          <w:rtl/>
        </w:rPr>
        <w:t>8)</w:t>
      </w:r>
      <w:r w:rsidRPr="005D642E">
        <w:rPr>
          <w:rtl/>
        </w:rPr>
        <w:t xml:space="preserve"> في </w:t>
      </w:r>
      <w:r w:rsidRPr="002F4D34">
        <w:rPr>
          <w:rStyle w:val="libFootnoteBoldChar"/>
          <w:rtl/>
        </w:rPr>
        <w:t>الوافي</w:t>
      </w:r>
      <w:r w:rsidRPr="005D642E">
        <w:rPr>
          <w:rtl/>
        </w:rPr>
        <w:t xml:space="preserve"> : « وذلك لأنّ الاعتراف بالذنب كفّارة له</w:t>
      </w:r>
      <w:r>
        <w:rPr>
          <w:rtl/>
        </w:rPr>
        <w:t xml:space="preserve"> ».</w:t>
      </w:r>
    </w:p>
    <w:tbl>
      <w:tblPr>
        <w:tblStyle w:val="TableGrid"/>
        <w:bidiVisual/>
        <w:tblW w:w="0" w:type="auto"/>
        <w:tblLook w:val="04A0" w:firstRow="1" w:lastRow="0" w:firstColumn="1" w:lastColumn="0" w:noHBand="0" w:noVBand="1"/>
      </w:tblPr>
      <w:tblGrid>
        <w:gridCol w:w="4006"/>
        <w:gridCol w:w="4006"/>
      </w:tblGrid>
      <w:tr w:rsidR="00352380" w:rsidTr="00352380">
        <w:tc>
          <w:tcPr>
            <w:tcW w:w="4006" w:type="dxa"/>
          </w:tcPr>
          <w:p w:rsidR="00352380" w:rsidRDefault="00352380" w:rsidP="00E3253D">
            <w:pPr>
              <w:pStyle w:val="libFootnote0"/>
              <w:rPr>
                <w:rtl/>
              </w:rPr>
            </w:pPr>
            <w:r w:rsidRPr="005D642E">
              <w:rPr>
                <w:rtl/>
              </w:rPr>
              <w:t>(1</w:t>
            </w:r>
            <w:r>
              <w:rPr>
                <w:rtl/>
              </w:rPr>
              <w:t>9)</w:t>
            </w:r>
            <w:r w:rsidRPr="005D642E">
              <w:rPr>
                <w:rtl/>
              </w:rPr>
              <w:t xml:space="preserve"> في « جس » : « أبوجعفر</w:t>
            </w:r>
            <w:r>
              <w:rPr>
                <w:rtl/>
              </w:rPr>
              <w:t xml:space="preserve"> ».</w:t>
            </w:r>
          </w:p>
        </w:tc>
        <w:tc>
          <w:tcPr>
            <w:tcW w:w="4006" w:type="dxa"/>
          </w:tcPr>
          <w:p w:rsidR="00352380" w:rsidRDefault="00352380" w:rsidP="00E3253D">
            <w:pPr>
              <w:pStyle w:val="libFootnote0"/>
              <w:rPr>
                <w:rtl/>
              </w:rPr>
            </w:pPr>
            <w:r>
              <w:rPr>
                <w:rtl/>
              </w:rPr>
              <w:t>(20)</w:t>
            </w:r>
            <w:r w:rsidRPr="005D642E">
              <w:rPr>
                <w:rtl/>
              </w:rPr>
              <w:t xml:space="preserve"> في « بخ » :</w:t>
            </w:r>
            <w:r>
              <w:rPr>
                <w:rtl/>
              </w:rPr>
              <w:t xml:space="preserve"> - </w:t>
            </w:r>
            <w:r w:rsidRPr="005D642E">
              <w:rPr>
                <w:rtl/>
              </w:rPr>
              <w:t>« ليقوله</w:t>
            </w:r>
            <w:r>
              <w:rPr>
                <w:rtl/>
              </w:rPr>
              <w:t xml:space="preserve"> ».</w:t>
            </w:r>
          </w:p>
        </w:tc>
      </w:tr>
    </w:tbl>
    <w:p w:rsidR="00E3253D" w:rsidRPr="005D642E" w:rsidRDefault="00E3253D" w:rsidP="00E3253D">
      <w:pPr>
        <w:pStyle w:val="libFootnote0"/>
        <w:rPr>
          <w:rtl/>
          <w:lang w:bidi="fa-IR"/>
        </w:rPr>
      </w:pPr>
      <w:r w:rsidRPr="005D642E">
        <w:rPr>
          <w:rtl/>
        </w:rPr>
        <w:t>(2</w:t>
      </w:r>
      <w:r>
        <w:rPr>
          <w:rtl/>
        </w:rPr>
        <w:t>1)</w:t>
      </w:r>
      <w:r w:rsidRPr="005D642E">
        <w:rPr>
          <w:rtl/>
        </w:rPr>
        <w:t xml:space="preserve"> </w:t>
      </w:r>
      <w:r w:rsidRPr="002F4D34">
        <w:rPr>
          <w:rStyle w:val="libFootnoteBoldChar"/>
          <w:rtl/>
        </w:rPr>
        <w:t>الوافي</w:t>
      </w:r>
      <w:r w:rsidRPr="005D642E">
        <w:rPr>
          <w:rtl/>
        </w:rPr>
        <w:t xml:space="preserve"> ، ج 24 ، ص 236 ، ح 23959 ؛ </w:t>
      </w:r>
      <w:r w:rsidRPr="002F4D34">
        <w:rPr>
          <w:rStyle w:val="libFootnoteBoldChar"/>
          <w:rtl/>
        </w:rPr>
        <w:t>الوسائل</w:t>
      </w:r>
      <w:r w:rsidRPr="005D642E">
        <w:rPr>
          <w:rtl/>
        </w:rPr>
        <w:t xml:space="preserve"> ، ج 2 ، ص 461 ، ح 2649 ؛ </w:t>
      </w:r>
      <w:r w:rsidRPr="002F4D34">
        <w:rPr>
          <w:rStyle w:val="libFootnoteBoldChar"/>
          <w:rtl/>
        </w:rPr>
        <w:t>البحار</w:t>
      </w:r>
      <w:r w:rsidRPr="005D642E">
        <w:rPr>
          <w:rtl/>
        </w:rPr>
        <w:t xml:space="preserve"> ، ج 6 ، ص 195 ، ح 48 ؛ وج 22 ، ص 124 ، ح 95.</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284" w:name="_Toc344647305"/>
      <w:bookmarkStart w:id="285" w:name="_Toc462226819"/>
      <w:bookmarkStart w:id="286" w:name="_Toc40975928"/>
      <w:r w:rsidRPr="005D642E">
        <w:rPr>
          <w:rtl/>
          <w:lang w:bidi="fa-IR"/>
        </w:rPr>
        <w:lastRenderedPageBreak/>
        <w:t>10</w:t>
      </w:r>
      <w:r>
        <w:rPr>
          <w:rtl/>
          <w:lang w:bidi="fa-IR"/>
        </w:rPr>
        <w:t xml:space="preserve"> </w:t>
      </w:r>
      <w:r w:rsidR="007642BC">
        <w:rPr>
          <w:rtl/>
          <w:lang w:bidi="fa-IR"/>
        </w:rPr>
        <w:t>-</w:t>
      </w:r>
      <w:r>
        <w:rPr>
          <w:rtl/>
          <w:lang w:bidi="fa-IR"/>
        </w:rPr>
        <w:t xml:space="preserve"> </w:t>
      </w:r>
      <w:r w:rsidRPr="005D642E">
        <w:rPr>
          <w:rtl/>
          <w:lang w:bidi="fa-IR"/>
        </w:rPr>
        <w:t xml:space="preserve">بَابُ إِذَا عَسُرَ عَلَى الْمَيِّتِ الْمَوْتُ </w:t>
      </w:r>
      <w:r w:rsidRPr="007C12DB">
        <w:rPr>
          <w:rStyle w:val="libFootnotenumChar"/>
          <w:rtl/>
        </w:rPr>
        <w:t>(1)</w:t>
      </w:r>
      <w:r>
        <w:rPr>
          <w:rtl/>
        </w:rPr>
        <w:t xml:space="preserve"> </w:t>
      </w:r>
      <w:r w:rsidRPr="005D642E">
        <w:rPr>
          <w:rtl/>
          <w:lang w:bidi="fa-IR"/>
        </w:rPr>
        <w:t>وَاشْتَدَّ عَلَيْهِ النَّزْعُ‌</w:t>
      </w:r>
      <w:bookmarkEnd w:id="284"/>
      <w:bookmarkEnd w:id="285"/>
      <w:bookmarkEnd w:id="286"/>
    </w:p>
    <w:p w:rsidR="00E3253D" w:rsidRPr="005D642E" w:rsidRDefault="00E3253D" w:rsidP="00E3253D">
      <w:pPr>
        <w:pStyle w:val="libNormal"/>
        <w:rPr>
          <w:rtl/>
          <w:lang w:bidi="fa-IR"/>
        </w:rPr>
      </w:pPr>
      <w:r w:rsidRPr="00204F4F">
        <w:rPr>
          <w:rtl/>
        </w:rPr>
        <w:t>4299</w:t>
      </w:r>
      <w:r w:rsidRPr="00246318">
        <w:rPr>
          <w:rStyle w:val="libBold2Char"/>
          <w:rtl/>
        </w:rPr>
        <w:t xml:space="preserve"> / 1.</w:t>
      </w:r>
      <w:r w:rsidRPr="005D642E">
        <w:rPr>
          <w:rtl/>
          <w:lang w:bidi="fa-IR"/>
        </w:rPr>
        <w:t xml:space="preserve"> عَلِيُّ بْنُ إِبْرَاهِيمَ ، عَنْ أَبِيهِ ، عَنِ ابْنِ أَبِي عُمَيْرٍ ، عَنِ الْحُسَيْنِ بْنِ عُثْمَانَ ، عَنْ ذَرِيحٍ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قَالَ عَلِيُّ بْنُ الْحُسَيْنِ </w:t>
      </w:r>
      <w:r w:rsidRPr="00AC51C5">
        <w:rPr>
          <w:rStyle w:val="libAlaemChar"/>
          <w:rtl/>
        </w:rPr>
        <w:t>عليهما‌السلام</w:t>
      </w:r>
      <w:r w:rsidRPr="005D642E">
        <w:rPr>
          <w:rtl/>
          <w:lang w:bidi="fa-IR"/>
        </w:rPr>
        <w:t xml:space="preserve"> : إِنَّ أَبَا سَعِيدٍ الْخُدْرِيَّ كَانَ مِنْ أَصْحَابِ رَسُولِ اللهِ </w:t>
      </w:r>
      <w:r w:rsidR="0042621E" w:rsidRPr="0042621E">
        <w:rPr>
          <w:rStyle w:val="libAlaemChar"/>
          <w:rtl/>
        </w:rPr>
        <w:t>صلى‌الله‌عليه‌وآله</w:t>
      </w:r>
      <w:r w:rsidRPr="005D642E">
        <w:rPr>
          <w:rtl/>
          <w:lang w:bidi="fa-IR"/>
        </w:rPr>
        <w:t xml:space="preserve"> ، وَكَانَ مُسْتَقِيماً ، فَنَزَعَ ثَلَاثَةَ أَيَّامٍ ، فَغَسَّلَهُ </w:t>
      </w:r>
      <w:r w:rsidRPr="007C12DB">
        <w:rPr>
          <w:rStyle w:val="libFootnotenumChar"/>
          <w:rtl/>
        </w:rPr>
        <w:t>(2)</w:t>
      </w:r>
      <w:r w:rsidRPr="005D642E">
        <w:rPr>
          <w:rtl/>
          <w:lang w:bidi="fa-IR"/>
        </w:rPr>
        <w:t xml:space="preserve"> أَهْلُهُ ، ثُمَّ حُمِلَ إِلى مُصَلاَّهُ ، فَمَاتَ فِيهِ</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204F4F">
        <w:rPr>
          <w:rtl/>
        </w:rPr>
        <w:t>4300</w:t>
      </w:r>
      <w:r w:rsidRPr="00246318">
        <w:rPr>
          <w:rStyle w:val="libBold2Char"/>
          <w:rtl/>
        </w:rPr>
        <w:t xml:space="preserve"> / 2.</w:t>
      </w:r>
      <w:r w:rsidRPr="005D642E">
        <w:rPr>
          <w:rtl/>
          <w:lang w:bidi="fa-IR"/>
        </w:rPr>
        <w:t xml:space="preserve"> مُحَمَّدُ بْنُ يَحْيى ، عَنْ أَحْمَدَ بْنِ مُحَمَّدٍ ، عَنِ الْحُسَيْنِ بْنِ سَعِيدٍ ، عَنِ النَّضْرِ بْنِ سُوَيْدٍ ، عَنْ عَبْدِ اللهِ بْنِ سِنَانٍ :</w:t>
      </w:r>
    </w:p>
    <w:p w:rsidR="00E3253D" w:rsidRPr="005D642E" w:rsidRDefault="00E3253D" w:rsidP="006F08A3">
      <w:pPr>
        <w:pStyle w:val="libNormal"/>
        <w:rPr>
          <w:rtl/>
          <w:lang w:bidi="fa-IR"/>
        </w:rPr>
      </w:pPr>
      <w:r w:rsidRPr="005D642E">
        <w:rPr>
          <w:rtl/>
          <w:lang w:bidi="fa-IR"/>
        </w:rPr>
        <w:t xml:space="preserve">عَنْ أَبِي عَبْدِ اللهِ </w:t>
      </w:r>
      <w:r w:rsidR="006F08A3" w:rsidRPr="00AC51C5">
        <w:rPr>
          <w:rStyle w:val="libAlaemChar"/>
          <w:rtl/>
        </w:rPr>
        <w:t>عليه‌السلام</w:t>
      </w:r>
      <w:r w:rsidR="006F08A3" w:rsidRPr="005D642E">
        <w:rPr>
          <w:rtl/>
          <w:lang w:bidi="fa-IR"/>
        </w:rPr>
        <w:t xml:space="preserve"> </w:t>
      </w:r>
      <w:r w:rsidRPr="005D642E">
        <w:rPr>
          <w:rtl/>
          <w:lang w:bidi="fa-IR"/>
        </w:rPr>
        <w:t xml:space="preserve">، قَالَ : « إِذَا عَسُرَ عَلَى الْمَيِّتِ مَوْتُهُ وَنَزْعُهُ </w:t>
      </w:r>
      <w:r w:rsidRPr="007C12DB">
        <w:rPr>
          <w:rStyle w:val="libFootnotenumChar"/>
          <w:rtl/>
        </w:rPr>
        <w:t>(4)</w:t>
      </w:r>
      <w:r w:rsidR="00F44D06">
        <w:rPr>
          <w:rtl/>
          <w:lang w:bidi="fa-IR"/>
        </w:rPr>
        <w:t xml:space="preserve"> ، قُرِّبَ إِلى مُصَل</w:t>
      </w:r>
      <w:r w:rsidR="00F44D06">
        <w:rPr>
          <w:rFonts w:hint="cs"/>
          <w:rtl/>
          <w:lang w:bidi="fa-IR"/>
        </w:rPr>
        <w:t>َّ</w:t>
      </w:r>
      <w:r w:rsidR="00F44D06">
        <w:rPr>
          <w:rtl/>
          <w:lang w:bidi="fa-IR"/>
        </w:rPr>
        <w:t>ا</w:t>
      </w:r>
      <w:r w:rsidRPr="005D642E">
        <w:rPr>
          <w:rtl/>
          <w:lang w:bidi="fa-IR"/>
        </w:rPr>
        <w:t>هُ الَّذِي كَانَ يُصَلِّي فِيهِ</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204F4F">
        <w:rPr>
          <w:rtl/>
        </w:rPr>
        <w:t>4301</w:t>
      </w:r>
      <w:r w:rsidRPr="00246318">
        <w:rPr>
          <w:rStyle w:val="libBold2Char"/>
          <w:rtl/>
        </w:rPr>
        <w:t xml:space="preserve"> / 3.</w:t>
      </w:r>
      <w:r w:rsidRPr="005D642E">
        <w:rPr>
          <w:rtl/>
          <w:lang w:bidi="fa-IR"/>
        </w:rPr>
        <w:t xml:space="preserve"> عَلِيُّ بْنُ إِبْرَاهِيمَ ، عَنْ أَبِيهِ ، عَنْ حَمَّادٍ ، عَنْ حَرِيزٍ ، عَنْ زُرَارَةَ ، قَالَ :</w:t>
      </w:r>
    </w:p>
    <w:p w:rsidR="00E3253D" w:rsidRPr="005D642E" w:rsidRDefault="00E3253D" w:rsidP="00E3253D">
      <w:pPr>
        <w:pStyle w:val="libNormal"/>
        <w:rPr>
          <w:rtl/>
          <w:lang w:bidi="fa-IR"/>
        </w:rPr>
      </w:pPr>
      <w:r w:rsidRPr="005D642E">
        <w:rPr>
          <w:rtl/>
          <w:lang w:bidi="fa-IR"/>
        </w:rPr>
        <w:t xml:space="preserve">إِذَا اشْتَدَّ </w:t>
      </w:r>
      <w:r w:rsidRPr="007C12DB">
        <w:rPr>
          <w:rStyle w:val="libFootnotenumChar"/>
          <w:rtl/>
        </w:rPr>
        <w:t>(6)</w:t>
      </w:r>
      <w:r w:rsidRPr="005D642E">
        <w:rPr>
          <w:rtl/>
          <w:lang w:bidi="fa-IR"/>
        </w:rPr>
        <w:t xml:space="preserve"> عَلَيْهِ ا</w:t>
      </w:r>
      <w:r w:rsidR="004163D5">
        <w:rPr>
          <w:rtl/>
          <w:lang w:bidi="fa-IR"/>
        </w:rPr>
        <w:t>لنَّزْعُ ، فَضَعْهُ فِي مُصَل</w:t>
      </w:r>
      <w:r w:rsidR="004163D5">
        <w:rPr>
          <w:rFonts w:hint="cs"/>
          <w:rtl/>
          <w:lang w:bidi="fa-IR"/>
        </w:rPr>
        <w:t>َّ</w:t>
      </w:r>
      <w:r w:rsidR="004163D5">
        <w:rPr>
          <w:rtl/>
          <w:lang w:bidi="fa-IR"/>
        </w:rPr>
        <w:t>ا</w:t>
      </w:r>
      <w:r w:rsidRPr="005D642E">
        <w:rPr>
          <w:rtl/>
          <w:lang w:bidi="fa-IR"/>
        </w:rPr>
        <w:t>هُ الَّذِي كَانَ يُصَلِّي فِيهِ ، أَوْ‌</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 + « به</w:t>
      </w:r>
      <w:r w:rsidR="00E3253D">
        <w:rPr>
          <w:rtl/>
        </w:rPr>
        <w:t xml:space="preserve"> ».</w:t>
      </w:r>
      <w:r w:rsidR="00E3253D" w:rsidRPr="005D642E">
        <w:rPr>
          <w:rtl/>
        </w:rPr>
        <w:t xml:space="preserve"> وفي « جن » :</w:t>
      </w:r>
      <w:r w:rsidR="00E3253D">
        <w:rPr>
          <w:rtl/>
        </w:rPr>
        <w:t xml:space="preserve"> </w:t>
      </w:r>
      <w:r w:rsidR="007642BC">
        <w:rPr>
          <w:rtl/>
        </w:rPr>
        <w:t>-</w:t>
      </w:r>
      <w:r w:rsidR="00E3253D">
        <w:rPr>
          <w:rtl/>
        </w:rPr>
        <w:t xml:space="preserve"> </w:t>
      </w:r>
      <w:r w:rsidR="00E3253D" w:rsidRPr="005D642E">
        <w:rPr>
          <w:rtl/>
        </w:rPr>
        <w:t>« الموت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281 : « الظاهر أنّ التغسيل ليس غسل الميّت ، بل المراد إمّا الغسل من النجاسات ، أو غسل استحبّ لذلك ولم يذكره الأصحاب</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رجال الكشّي</w:t>
      </w:r>
      <w:r w:rsidR="00E3253D" w:rsidRPr="005D642E">
        <w:rPr>
          <w:rtl/>
        </w:rPr>
        <w:t xml:space="preserve"> ، ص 40 ، ح 85 ، بسنده عن ابن أبي عمير ، مع زيادة. </w:t>
      </w:r>
      <w:r w:rsidR="00E3253D" w:rsidRPr="002F4D34">
        <w:rPr>
          <w:rStyle w:val="libFootnoteBoldChar"/>
          <w:rtl/>
        </w:rPr>
        <w:t>وفيه</w:t>
      </w:r>
      <w:r w:rsidR="00E3253D" w:rsidRPr="005D642E">
        <w:rPr>
          <w:rtl/>
        </w:rPr>
        <w:t xml:space="preserve"> ، ص 40 ، ح 83 ؛ </w:t>
      </w:r>
      <w:r w:rsidR="00B60612" w:rsidRPr="00B60612">
        <w:rPr>
          <w:rStyle w:val="libFootnoteBoldChar"/>
          <w:rtl/>
        </w:rPr>
        <w:t>والتهذيب</w:t>
      </w:r>
      <w:r w:rsidR="00E3253D" w:rsidRPr="005D642E">
        <w:rPr>
          <w:rtl/>
        </w:rPr>
        <w:t xml:space="preserve"> ، ج 1 ، ص 465 ، صدر ح 1521 ، بسندهما عن ذريح ، عن أبي عبدالله </w:t>
      </w:r>
      <w:r w:rsidR="00E3253D" w:rsidRPr="00B7645B">
        <w:rPr>
          <w:rStyle w:val="libFootnoteAlaemChar"/>
          <w:rtl/>
        </w:rPr>
        <w:t>عليه‌السلام</w:t>
      </w:r>
      <w:r w:rsidR="00E3253D" w:rsidRPr="005D642E">
        <w:rPr>
          <w:rtl/>
        </w:rPr>
        <w:t xml:space="preserve"> ، من دون الإسناد إلى عليّ بن الحسين </w:t>
      </w:r>
      <w:r w:rsidR="00E3253D" w:rsidRPr="00B7645B">
        <w:rPr>
          <w:rStyle w:val="libFootnoteAlaemChar"/>
          <w:rtl/>
        </w:rPr>
        <w:t>عليهما‌السلام</w:t>
      </w:r>
      <w:r w:rsidR="00E3253D" w:rsidRPr="005D642E">
        <w:rPr>
          <w:rtl/>
        </w:rPr>
        <w:t xml:space="preserve"> ، وفي كلّها مع اختلاف يسير </w:t>
      </w:r>
      <w:r w:rsidR="00B7645B">
        <w:rPr>
          <w:rFonts w:hint="cs"/>
          <w:rtl/>
        </w:rPr>
        <w:t>.</w:t>
      </w:r>
      <w:r w:rsidR="00E3253D" w:rsidRPr="002F4D34">
        <w:rPr>
          <w:rStyle w:val="libFootnoteBoldChar"/>
          <w:rtl/>
        </w:rPr>
        <w:t>الوافي</w:t>
      </w:r>
      <w:r w:rsidR="00E3253D" w:rsidRPr="005D642E">
        <w:rPr>
          <w:rtl/>
        </w:rPr>
        <w:t xml:space="preserve"> ، ج 24 ، ص 239 ، ح 23963 ؛ </w:t>
      </w:r>
      <w:r w:rsidR="00E3253D" w:rsidRPr="002F4D34">
        <w:rPr>
          <w:rStyle w:val="libFootnoteBoldChar"/>
          <w:rtl/>
        </w:rPr>
        <w:t>الوسائل</w:t>
      </w:r>
      <w:r w:rsidR="00E3253D" w:rsidRPr="005D642E">
        <w:rPr>
          <w:rtl/>
        </w:rPr>
        <w:t xml:space="preserve"> ، ج 2 ، ص 463 ، ح 2654.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 « فنزعه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427 ، ح 1356 ، معلّقاً عن الحسين بن سعيد ، مع اختلاف يسير </w:t>
      </w:r>
      <w:r w:rsidR="00300D39">
        <w:rPr>
          <w:rFonts w:hint="cs"/>
          <w:rtl/>
        </w:rPr>
        <w:t>.</w:t>
      </w:r>
      <w:r w:rsidR="00E3253D" w:rsidRPr="002F4D34">
        <w:rPr>
          <w:rStyle w:val="libFootnoteBoldChar"/>
          <w:rtl/>
        </w:rPr>
        <w:t>الوافي</w:t>
      </w:r>
      <w:r w:rsidR="00E3253D" w:rsidRPr="005D642E">
        <w:rPr>
          <w:rtl/>
        </w:rPr>
        <w:t xml:space="preserve"> ، ج 24 ، ص 239 ، ح 23965 ؛ </w:t>
      </w:r>
      <w:r w:rsidR="00E3253D" w:rsidRPr="002F4D34">
        <w:rPr>
          <w:rStyle w:val="libFootnoteBoldChar"/>
          <w:rtl/>
        </w:rPr>
        <w:t>الوسائل</w:t>
      </w:r>
      <w:r w:rsidR="00E3253D" w:rsidRPr="005D642E">
        <w:rPr>
          <w:rtl/>
        </w:rPr>
        <w:t xml:space="preserve"> ، ج 2 ، ص 463 ، ح 2652.</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غ » : « أشدّ</w:t>
      </w:r>
      <w:r w:rsidR="00E3253D">
        <w:rPr>
          <w:rtl/>
        </w:rPr>
        <w:t xml:space="preserve"> ».</w:t>
      </w:r>
      <w:r w:rsidR="00E3253D" w:rsidRPr="005D642E">
        <w:rPr>
          <w:rtl/>
        </w:rPr>
        <w:t xml:space="preserve"> وفي المطبوع : « اشتدّت</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300D39">
      <w:pPr>
        <w:pStyle w:val="libNormal0"/>
        <w:rPr>
          <w:rtl/>
          <w:lang w:bidi="fa-IR"/>
        </w:rPr>
      </w:pPr>
      <w:r w:rsidRPr="005D642E">
        <w:rPr>
          <w:rtl/>
          <w:lang w:bidi="fa-IR"/>
        </w:rPr>
        <w:lastRenderedPageBreak/>
        <w:t xml:space="preserve">عَلَيْهِ </w:t>
      </w:r>
      <w:r w:rsidRPr="007C12DB">
        <w:rPr>
          <w:rStyle w:val="libFootnotenumChar"/>
          <w:rtl/>
        </w:rPr>
        <w:t>(1)</w:t>
      </w:r>
      <w:r w:rsidR="00300D39" w:rsidRPr="00300D39">
        <w:rPr>
          <w:rStyle w:val="libNormalChar"/>
          <w:rFonts w:hint="cs"/>
          <w:rtl/>
        </w:rPr>
        <w:t>.</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720A6">
        <w:rPr>
          <w:rtl/>
        </w:rPr>
        <w:t>4302</w:t>
      </w:r>
      <w:r w:rsidRPr="00246318">
        <w:rPr>
          <w:rStyle w:val="libBold2Char"/>
          <w:rtl/>
        </w:rPr>
        <w:t xml:space="preserve"> / 4.</w:t>
      </w:r>
      <w:r w:rsidRPr="005D642E">
        <w:rPr>
          <w:rtl/>
          <w:lang w:bidi="fa-IR"/>
        </w:rPr>
        <w:t xml:space="preserve"> الْحُسَيْنُ بْنُ مُحَمَّدٍ ، عَنْ مُعَلَّى بْنِ مُحَمَّدٍ ، عَنِ الْوَشَّاءِ ، عَنْ أَبَانٍ ، عَنْ لَيْثٍ الْمُرَادِيِّ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قَالَ : « إِنَّ أَبَا سَعِيدٍ الْخُدْرِيَّ قَدْ رَزَقَهُ اللهُ هذَا الرَّأْيَ ، وَإِنَّهُ قَدِ اشْتَدَّ </w:t>
      </w:r>
      <w:r w:rsidRPr="007C12DB">
        <w:rPr>
          <w:rStyle w:val="libFootnotenumChar"/>
          <w:rtl/>
        </w:rPr>
        <w:t>(3)</w:t>
      </w:r>
      <w:r w:rsidRPr="005D642E">
        <w:rPr>
          <w:rtl/>
          <w:lang w:bidi="fa-IR"/>
        </w:rPr>
        <w:t xml:space="preserve"> نَزْعُهُ ، فَقَالَ : احْمِلُونِي </w:t>
      </w:r>
      <w:r w:rsidRPr="007C12DB">
        <w:rPr>
          <w:rStyle w:val="libFootnotenumChar"/>
          <w:rtl/>
        </w:rPr>
        <w:t>(4)</w:t>
      </w:r>
      <w:r w:rsidR="00300D39">
        <w:rPr>
          <w:rtl/>
          <w:lang w:bidi="fa-IR"/>
        </w:rPr>
        <w:t xml:space="preserve"> إِلى مُصَل</w:t>
      </w:r>
      <w:r w:rsidR="00300D39">
        <w:rPr>
          <w:rFonts w:hint="cs"/>
          <w:rtl/>
          <w:lang w:bidi="fa-IR"/>
        </w:rPr>
        <w:t>َّ</w:t>
      </w:r>
      <w:r w:rsidR="00300D39">
        <w:rPr>
          <w:rtl/>
          <w:lang w:bidi="fa-IR"/>
        </w:rPr>
        <w:t>ا</w:t>
      </w:r>
      <w:r w:rsidRPr="005D642E">
        <w:rPr>
          <w:rtl/>
          <w:lang w:bidi="fa-IR"/>
        </w:rPr>
        <w:t xml:space="preserve">يَ </w:t>
      </w:r>
      <w:r w:rsidRPr="007C12DB">
        <w:rPr>
          <w:rStyle w:val="libFootnotenumChar"/>
          <w:rtl/>
        </w:rPr>
        <w:t>(5)</w:t>
      </w:r>
      <w:r w:rsidRPr="005D642E">
        <w:rPr>
          <w:rtl/>
          <w:lang w:bidi="fa-IR"/>
        </w:rPr>
        <w:t xml:space="preserve"> ، فَحَمَلُوهُ ، فَلَمْ يَلْبَثْ أَنْ هَلَكَ</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B720A6">
        <w:rPr>
          <w:rtl/>
        </w:rPr>
        <w:t>4303</w:t>
      </w:r>
      <w:r w:rsidRPr="00246318">
        <w:rPr>
          <w:rStyle w:val="libBold2Char"/>
          <w:rtl/>
        </w:rPr>
        <w:t xml:space="preserve"> / 5.</w:t>
      </w:r>
      <w:r w:rsidRPr="005D642E">
        <w:rPr>
          <w:rtl/>
          <w:lang w:bidi="fa-IR"/>
        </w:rPr>
        <w:t xml:space="preserve"> مُحَمَّدُ بْنُ يَحْيى ، عَنْ مُوسَى بْنِ الْحَسَنِ ، عَنْ سُلَيْمَانَ الْجَعْفَرِيِّ </w:t>
      </w:r>
      <w:r w:rsidRPr="007C12DB">
        <w:rPr>
          <w:rStyle w:val="libFootnotenumChar"/>
          <w:rtl/>
        </w:rPr>
        <w:t>(7)</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رَأَيْتُ أَبَا الْحَسَنِ </w:t>
      </w:r>
      <w:r w:rsidRPr="007C12DB">
        <w:rPr>
          <w:rStyle w:val="libFootnotenumChar"/>
          <w:rtl/>
        </w:rPr>
        <w:t>(8)</w:t>
      </w:r>
      <w:r w:rsidRPr="005D642E">
        <w:rPr>
          <w:rtl/>
          <w:lang w:bidi="fa-IR"/>
        </w:rPr>
        <w:t xml:space="preserve"> يَقُولُ لِابْنِهِ الْقَاسِمِ : « قُمْ يَا بُنَيَّ ، فَاقْرَأْ عِنْدَ رَأْسِ أَخِيكَ</w:t>
      </w:r>
      <w:r>
        <w:rPr>
          <w:rFonts w:hint="cs"/>
          <w:rtl/>
          <w:lang w:bidi="fa-IR"/>
        </w:rPr>
        <w:t xml:space="preserve"> </w:t>
      </w:r>
      <w:r w:rsidRPr="00AC51C5">
        <w:rPr>
          <w:rStyle w:val="libAlaemChar"/>
          <w:rtl/>
        </w:rPr>
        <w:t>(</w:t>
      </w:r>
      <w:r w:rsidRPr="00AC51C5">
        <w:rPr>
          <w:rStyle w:val="libAieChar"/>
          <w:rtl/>
        </w:rPr>
        <w:t xml:space="preserve"> وَالصَّافّ</w:t>
      </w:r>
      <w:r w:rsidR="00D61E87">
        <w:rPr>
          <w:rStyle w:val="libAieChar"/>
          <w:rFonts w:hint="cs"/>
          <w:rtl/>
        </w:rPr>
        <w:t>َ</w:t>
      </w:r>
      <w:r w:rsidR="00D61E87">
        <w:rPr>
          <w:rStyle w:val="libAieChar"/>
          <w:rtl/>
        </w:rPr>
        <w:t>اتِ صَفّ</w:t>
      </w:r>
      <w:r w:rsidRPr="00AC51C5">
        <w:rPr>
          <w:rStyle w:val="libAieChar"/>
          <w:rtl/>
        </w:rPr>
        <w:t>ا</w:t>
      </w:r>
      <w:r w:rsidR="00D61E87">
        <w:rPr>
          <w:rStyle w:val="libAieChar"/>
          <w:rFonts w:hint="cs"/>
          <w:rtl/>
        </w:rPr>
        <w:t>ً</w:t>
      </w:r>
      <w:r w:rsidRPr="00AC51C5">
        <w:rPr>
          <w:rStyle w:val="libAieChar"/>
          <w:rtl/>
        </w:rPr>
        <w:t xml:space="preserve"> </w:t>
      </w:r>
      <w:r w:rsidRPr="00AC51C5">
        <w:rPr>
          <w:rStyle w:val="libAlaemChar"/>
          <w:rtl/>
        </w:rPr>
        <w:t>)</w:t>
      </w:r>
      <w:r w:rsidRPr="005D642E">
        <w:rPr>
          <w:rtl/>
          <w:lang w:bidi="fa-IR"/>
        </w:rPr>
        <w:t xml:space="preserve"> حَتّى تَسْتَتِمَّهَا </w:t>
      </w:r>
      <w:r w:rsidRPr="007C12DB">
        <w:rPr>
          <w:rStyle w:val="libFootnotenumChar"/>
          <w:rtl/>
        </w:rPr>
        <w:t>(9)</w:t>
      </w:r>
      <w:r w:rsidRPr="005D642E">
        <w:rPr>
          <w:rtl/>
          <w:lang w:bidi="fa-IR"/>
        </w:rPr>
        <w:t xml:space="preserve"> » فَقَرَأَ ، فَلَمَّا بَلَغَ</w:t>
      </w:r>
      <w:r>
        <w:rPr>
          <w:rFonts w:hint="cs"/>
          <w:rtl/>
          <w:lang w:bidi="fa-IR"/>
        </w:rPr>
        <w:t xml:space="preserve"> </w:t>
      </w:r>
      <w:r w:rsidRPr="00AC51C5">
        <w:rPr>
          <w:rStyle w:val="libAlaemChar"/>
          <w:rtl/>
        </w:rPr>
        <w:t>(</w:t>
      </w:r>
      <w:r w:rsidRPr="00AC51C5">
        <w:rPr>
          <w:rStyle w:val="libAieChar"/>
          <w:rtl/>
        </w:rPr>
        <w:t xml:space="preserve"> أَهُمْ أَشَدُّ خَلْقاً أَمْ مَنْ خَلَقْنا </w:t>
      </w:r>
      <w:r w:rsidRPr="00AC51C5">
        <w:rPr>
          <w:rStyle w:val="libAlaemChar"/>
          <w:rtl/>
        </w:rPr>
        <w:t>)</w:t>
      </w:r>
      <w:r w:rsidRPr="005D642E">
        <w:rPr>
          <w:rtl/>
          <w:lang w:bidi="fa-IR"/>
        </w:rPr>
        <w:t xml:space="preserve"> </w:t>
      </w:r>
      <w:r w:rsidRPr="007C12DB">
        <w:rPr>
          <w:rStyle w:val="libFootnotenumChar"/>
          <w:rtl/>
        </w:rPr>
        <w:t>(10)</w:t>
      </w:r>
      <w:r w:rsidRPr="005D642E">
        <w:rPr>
          <w:rtl/>
          <w:lang w:bidi="fa-IR"/>
        </w:rPr>
        <w:t xml:space="preserve"> قَضَى‌</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قوله </w:t>
      </w:r>
      <w:r w:rsidR="00E3253D" w:rsidRPr="00D61E87">
        <w:rPr>
          <w:rStyle w:val="libFootnoteAlaemChar"/>
          <w:rtl/>
        </w:rPr>
        <w:t>عليه‌السلام</w:t>
      </w:r>
      <w:r w:rsidR="00E3253D" w:rsidRPr="005D642E">
        <w:rPr>
          <w:rtl/>
        </w:rPr>
        <w:t xml:space="preserve"> : فيه أو عليه ، أي المكان الذي يصلّي فيه أو الثوب الذي يصلّي عليه ، والحمل على ترديد الراوي بعيد</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427 ، ح 1357 ، معلّقاً عن عليّ ، عن أبيه. </w:t>
      </w:r>
      <w:r w:rsidR="00E3253D" w:rsidRPr="002F4D34">
        <w:rPr>
          <w:rStyle w:val="libFootnoteBoldChar"/>
          <w:rtl/>
        </w:rPr>
        <w:t>الفقيه</w:t>
      </w:r>
      <w:r w:rsidR="00E3253D" w:rsidRPr="005D642E">
        <w:rPr>
          <w:rtl/>
        </w:rPr>
        <w:t xml:space="preserve"> ، ج 1 ، ص 138 ، ذيل ح 374 ، مع اختلاف يسير </w:t>
      </w:r>
      <w:r w:rsidR="00EA0D9B">
        <w:rPr>
          <w:rFonts w:hint="cs"/>
          <w:rtl/>
        </w:rPr>
        <w:t>.</w:t>
      </w:r>
      <w:r w:rsidR="00E3253D" w:rsidRPr="002F4D34">
        <w:rPr>
          <w:rStyle w:val="libFootnoteBoldChar"/>
          <w:rtl/>
        </w:rPr>
        <w:t>الوافي</w:t>
      </w:r>
      <w:r w:rsidR="00E3253D" w:rsidRPr="005D642E">
        <w:rPr>
          <w:rtl/>
        </w:rPr>
        <w:t xml:space="preserve"> ، ج 24 ، ص 240 ، ح 23966 ؛ </w:t>
      </w:r>
      <w:r w:rsidR="00E3253D" w:rsidRPr="002F4D34">
        <w:rPr>
          <w:rStyle w:val="libFootnoteBoldChar"/>
          <w:rtl/>
        </w:rPr>
        <w:t>الوسائل</w:t>
      </w:r>
      <w:r w:rsidR="00E3253D" w:rsidRPr="005D642E">
        <w:rPr>
          <w:rtl/>
        </w:rPr>
        <w:t xml:space="preserve"> ، ج 2 ، ص 463 ، ح 2653.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ى ، بث ، بخ ، جس ، جن » </w:t>
      </w:r>
      <w:r w:rsidR="000D749A" w:rsidRPr="000D749A">
        <w:rPr>
          <w:rStyle w:val="libFootnoteBoldChar"/>
          <w:rtl/>
        </w:rPr>
        <w:t>والوافي</w:t>
      </w:r>
      <w:r w:rsidR="00E3253D" w:rsidRPr="005D642E">
        <w:rPr>
          <w:rtl/>
        </w:rPr>
        <w:t xml:space="preserve"> والوسائل :</w:t>
      </w:r>
      <w:r w:rsidR="00E3253D">
        <w:rPr>
          <w:rtl/>
        </w:rPr>
        <w:t xml:space="preserve"> </w:t>
      </w:r>
      <w:r w:rsidR="007642BC">
        <w:rPr>
          <w:rtl/>
        </w:rPr>
        <w:t>-</w:t>
      </w:r>
      <w:r w:rsidR="00E3253D">
        <w:rPr>
          <w:rtl/>
        </w:rPr>
        <w:t xml:space="preserve"> </w:t>
      </w:r>
      <w:r w:rsidR="00E3253D" w:rsidRPr="005D642E">
        <w:rPr>
          <w:rtl/>
        </w:rPr>
        <w:t>« قد</w:t>
      </w:r>
      <w:r w:rsidR="00E3253D">
        <w:rPr>
          <w:rtl/>
        </w:rPr>
        <w:t xml:space="preserve"> ».</w:t>
      </w:r>
      <w:r w:rsidR="00E3253D" w:rsidRPr="005D642E">
        <w:rPr>
          <w:rtl/>
        </w:rPr>
        <w:t xml:space="preserve"> وفي الوافي : + «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 + « احملوني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ينبغي حمل الخبر الأوّل على هذا ؛ ليصحّ استشهاده </w:t>
      </w:r>
      <w:r w:rsidR="00E3253D" w:rsidRPr="00EA0D9B">
        <w:rPr>
          <w:rStyle w:val="libFootnoteAlaemChar"/>
          <w:rtl/>
        </w:rPr>
        <w:t>عليه‌السلام</w:t>
      </w:r>
      <w:r w:rsidR="00E3253D" w:rsidRPr="005D642E">
        <w:rPr>
          <w:rtl/>
        </w:rPr>
        <w:t xml:space="preserve"> </w:t>
      </w:r>
      <w:r w:rsidR="00077417">
        <w:rPr>
          <w:rtl/>
        </w:rPr>
        <w:t>بقوله ؛ لأنّه من الصحابة ، وإل</w:t>
      </w:r>
      <w:r w:rsidR="00077417">
        <w:rPr>
          <w:rFonts w:hint="cs"/>
          <w:rtl/>
        </w:rPr>
        <w:t>ّ</w:t>
      </w:r>
      <w:r w:rsidR="00077417">
        <w:rPr>
          <w:rtl/>
        </w:rPr>
        <w:t>ا</w:t>
      </w:r>
      <w:r w:rsidR="00E3253D" w:rsidRPr="005D642E">
        <w:rPr>
          <w:rtl/>
        </w:rPr>
        <w:t xml:space="preserve"> فالاستشهاد بفعل أهله بعيد</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رجال الكشّي</w:t>
      </w:r>
      <w:r w:rsidR="00E3253D" w:rsidRPr="005D642E">
        <w:rPr>
          <w:rtl/>
        </w:rPr>
        <w:t xml:space="preserve"> ، ص 40 ، ح 84 ، بسنده عن ليث المرادي ، مع اختلاف يسير </w:t>
      </w:r>
      <w:r w:rsidR="00D57608">
        <w:rPr>
          <w:rFonts w:hint="cs"/>
          <w:rtl/>
        </w:rPr>
        <w:t>.</w:t>
      </w:r>
      <w:r w:rsidR="00E3253D" w:rsidRPr="002F4D34">
        <w:rPr>
          <w:rStyle w:val="libFootnoteBoldChar"/>
          <w:rtl/>
        </w:rPr>
        <w:t>الوافي</w:t>
      </w:r>
      <w:r w:rsidR="00E3253D" w:rsidRPr="005D642E">
        <w:rPr>
          <w:rtl/>
        </w:rPr>
        <w:t xml:space="preserve"> ، ج 24 ، ص 239 ، ح 23964 ؛ </w:t>
      </w:r>
      <w:r w:rsidR="00E3253D" w:rsidRPr="002F4D34">
        <w:rPr>
          <w:rStyle w:val="libFootnoteBoldChar"/>
          <w:rtl/>
        </w:rPr>
        <w:t>الوسائل</w:t>
      </w:r>
      <w:r w:rsidR="00E3253D" w:rsidRPr="005D642E">
        <w:rPr>
          <w:rtl/>
        </w:rPr>
        <w:t xml:space="preserve"> ، ج 2 ، ص 464 ، ح 2655.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البحار ، ص 289 : « الجوهري</w:t>
      </w:r>
      <w:r w:rsidR="00E3253D">
        <w:rPr>
          <w:rtl/>
        </w:rPr>
        <w:t xml:space="preserve"> ».</w:t>
      </w:r>
      <w:r w:rsidR="00E3253D" w:rsidRPr="005D642E">
        <w:rPr>
          <w:rtl/>
        </w:rPr>
        <w:t xml:space="preserve"> وهو سهو ؛ فإنّه لم يثبت في رواتنا من يسمّى بسليمان ويلقّب بالجوهري. وسليمان هذا ، هو سليمان بن جعفر الجعفرى ، الراوي عن أبي الحسن موسى بن جعفر والرضا </w:t>
      </w:r>
      <w:r w:rsidR="00E3253D" w:rsidRPr="00D57608">
        <w:rPr>
          <w:rStyle w:val="libFootnoteAlaemChar"/>
          <w:rtl/>
        </w:rPr>
        <w:t>عليهما‌السلام</w:t>
      </w:r>
      <w:r w:rsidR="00E3253D" w:rsidRPr="005D642E">
        <w:rPr>
          <w:rtl/>
        </w:rPr>
        <w:t xml:space="preserve">. راجع : </w:t>
      </w:r>
      <w:r w:rsidR="00E3253D" w:rsidRPr="002F4D34">
        <w:rPr>
          <w:rStyle w:val="libFootnoteBoldChar"/>
          <w:rtl/>
        </w:rPr>
        <w:t>رجال البرقي</w:t>
      </w:r>
      <w:r w:rsidR="00E3253D" w:rsidRPr="005D642E">
        <w:rPr>
          <w:rtl/>
        </w:rPr>
        <w:t xml:space="preserve"> ، ص 52 </w:t>
      </w:r>
      <w:r w:rsidR="00E3253D">
        <w:rPr>
          <w:rtl/>
        </w:rPr>
        <w:t>و 5</w:t>
      </w:r>
      <w:r w:rsidR="00E3253D" w:rsidRPr="005D642E">
        <w:rPr>
          <w:rtl/>
        </w:rPr>
        <w:t xml:space="preserve">3 ؛ </w:t>
      </w:r>
      <w:r w:rsidR="00E3253D" w:rsidRPr="002F4D34">
        <w:rPr>
          <w:rStyle w:val="libFootnoteBoldChar"/>
          <w:rtl/>
        </w:rPr>
        <w:t>رجال النجالشي</w:t>
      </w:r>
      <w:r w:rsidR="00E3253D" w:rsidRPr="005D642E">
        <w:rPr>
          <w:rtl/>
        </w:rPr>
        <w:t xml:space="preserve"> ، ص 182 ، الرقم 483.</w:t>
      </w:r>
    </w:p>
    <w:p w:rsidR="00E3253D" w:rsidRPr="005D642E" w:rsidRDefault="00E3253D" w:rsidP="00D57608">
      <w:pPr>
        <w:pStyle w:val="libFootnote0"/>
        <w:rPr>
          <w:rtl/>
          <w:lang w:bidi="fa-IR"/>
        </w:rPr>
      </w:pPr>
      <w:r w:rsidRPr="00B60612">
        <w:rPr>
          <w:rtl/>
        </w:rPr>
        <w:t xml:space="preserve">هذا ، وما ورد في </w:t>
      </w:r>
      <w:r w:rsidRPr="002F4D34">
        <w:rPr>
          <w:rStyle w:val="libFootnoteBoldChar"/>
          <w:rtl/>
        </w:rPr>
        <w:t>المحاسن</w:t>
      </w:r>
      <w:r w:rsidRPr="00B60612">
        <w:rPr>
          <w:rtl/>
        </w:rPr>
        <w:t xml:space="preserve"> ، ص 549 ، ح 878 ، عن سليمان بن جعفر الجوهري ، عن أبي الحسن موسى بن جعفر </w:t>
      </w:r>
      <w:r w:rsidRPr="00D57608">
        <w:rPr>
          <w:rStyle w:val="libFootnoteAlaemChar"/>
          <w:rtl/>
        </w:rPr>
        <w:t>عليه‌السلام</w:t>
      </w:r>
      <w:r w:rsidRPr="00B60612">
        <w:rPr>
          <w:rtl/>
        </w:rPr>
        <w:t xml:space="preserve"> ، فإنّ المذكور في </w:t>
      </w:r>
      <w:r w:rsidRPr="002F4D34">
        <w:rPr>
          <w:rStyle w:val="libFootnoteBoldChar"/>
          <w:rtl/>
        </w:rPr>
        <w:t>الوسائل</w:t>
      </w:r>
      <w:r w:rsidRPr="00B60612">
        <w:rPr>
          <w:rtl/>
        </w:rPr>
        <w:t xml:space="preserve"> ، ج 25 ، ص 167 ، ح 31543 ؛ و</w:t>
      </w:r>
      <w:r w:rsidRPr="002F4D34">
        <w:rPr>
          <w:rStyle w:val="libFootnoteBoldChar"/>
          <w:rtl/>
        </w:rPr>
        <w:t>البحار</w:t>
      </w:r>
      <w:r w:rsidRPr="00B60612">
        <w:rPr>
          <w:rtl/>
        </w:rPr>
        <w:t xml:space="preserve"> ، ج 66 ، ص 170 ، ح 10 ، هو سليمان بن جعفر الجعفري.</w:t>
      </w:r>
      <w:r w:rsidR="00D57608">
        <w:rPr>
          <w:rFonts w:hint="cs"/>
          <w:rtl/>
        </w:rPr>
        <w:t xml:space="preserve">                              </w:t>
      </w:r>
      <w:r w:rsidR="0042621E" w:rsidRPr="0042621E">
        <w:rPr>
          <w:rStyle w:val="libFootnote0Char"/>
          <w:rtl/>
        </w:rPr>
        <w:t>(8).</w:t>
      </w:r>
      <w:r w:rsidRPr="005D642E">
        <w:rPr>
          <w:rtl/>
        </w:rPr>
        <w:t xml:space="preserve"> في الوافي : + « الأوّل </w:t>
      </w:r>
      <w:r w:rsidRPr="00D57608">
        <w:rPr>
          <w:rStyle w:val="libFootnoteAlaemChar"/>
          <w:rtl/>
        </w:rPr>
        <w:t>عليه‌السلام</w:t>
      </w:r>
      <w:r>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 « حتّى يستمّها</w:t>
      </w:r>
      <w:r w:rsidR="00E3253D">
        <w:rPr>
          <w:rtl/>
        </w:rPr>
        <w:t xml:space="preserve"> ».</w:t>
      </w:r>
      <w:r w:rsidR="00E3253D" w:rsidRPr="005D642E">
        <w:rPr>
          <w:rtl/>
        </w:rPr>
        <w:t xml:space="preserve"> وفي « بس » : « حتّى تستمّها</w:t>
      </w:r>
      <w:r w:rsidR="00E3253D">
        <w:rPr>
          <w:rtl/>
        </w:rPr>
        <w:t xml:space="preserve"> ».</w:t>
      </w:r>
      <w:r w:rsidR="00E3253D" w:rsidRPr="005D642E">
        <w:rPr>
          <w:rtl/>
        </w:rPr>
        <w:t xml:space="preserve"> وفي « جن » : « حتّى تمّها</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الصافّات (37) : 11.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الْفَتى ، فَلَمَّا سُجِّيَ </w:t>
      </w:r>
      <w:r w:rsidRPr="007C12DB">
        <w:rPr>
          <w:rStyle w:val="libFootnotenumChar"/>
          <w:rtl/>
        </w:rPr>
        <w:t>(1)</w:t>
      </w:r>
      <w:r w:rsidRPr="005D642E">
        <w:rPr>
          <w:rtl/>
          <w:lang w:bidi="fa-IR"/>
        </w:rPr>
        <w:t xml:space="preserve"> وَخَرَجُوا ، أَقْبَلَ </w:t>
      </w:r>
      <w:r w:rsidRPr="007C12DB">
        <w:rPr>
          <w:rStyle w:val="libFootnotenumChar"/>
          <w:rtl/>
        </w:rPr>
        <w:t>(2)</w:t>
      </w:r>
      <w:r w:rsidRPr="005D642E">
        <w:rPr>
          <w:rtl/>
          <w:lang w:bidi="fa-IR"/>
        </w:rPr>
        <w:t xml:space="preserve"> عَلَيْهِ يَعْقُوبُ بْنُ جَعْفَرٍ ، فَقَالَ لَهُ : كُنَّا نَعْهَدُ الْمَيِّتَ إِذَا نُزِلَ بِهِ الْمَوْتُ </w:t>
      </w:r>
      <w:r w:rsidRPr="007C12DB">
        <w:rPr>
          <w:rStyle w:val="libFootnotenumChar"/>
          <w:rtl/>
        </w:rPr>
        <w:t>(3)</w:t>
      </w:r>
      <w:r w:rsidRPr="005D642E">
        <w:rPr>
          <w:rtl/>
          <w:lang w:bidi="fa-IR"/>
        </w:rPr>
        <w:t xml:space="preserve"> ، يُقْرَأُ </w:t>
      </w:r>
      <w:r w:rsidRPr="007C12DB">
        <w:rPr>
          <w:rStyle w:val="libFootnotenumChar"/>
          <w:rtl/>
        </w:rPr>
        <w:t>(4)</w:t>
      </w:r>
      <w:r w:rsidRPr="005D642E">
        <w:rPr>
          <w:rtl/>
          <w:lang w:bidi="fa-IR"/>
        </w:rPr>
        <w:t xml:space="preserve"> عِنْدَهُ</w:t>
      </w:r>
      <w:r w:rsidRPr="00AC51C5">
        <w:rPr>
          <w:rStyle w:val="libAlaemChar"/>
          <w:rtl/>
        </w:rPr>
        <w:t>(</w:t>
      </w:r>
      <w:r w:rsidRPr="00AC51C5">
        <w:rPr>
          <w:rStyle w:val="libAieChar"/>
          <w:rtl/>
        </w:rPr>
        <w:t xml:space="preserve"> يس</w:t>
      </w:r>
      <w:r w:rsidR="008E1EB6">
        <w:rPr>
          <w:rStyle w:val="libAieChar"/>
          <w:rFonts w:hint="cs"/>
          <w:rtl/>
        </w:rPr>
        <w:t xml:space="preserve"> *</w:t>
      </w:r>
      <w:r w:rsidRPr="00AC51C5">
        <w:rPr>
          <w:rStyle w:val="libAieChar"/>
          <w:rtl/>
        </w:rPr>
        <w:t xml:space="preserve"> وَالْقُرْآنِ الْحَكِيمِ </w:t>
      </w:r>
      <w:r w:rsidRPr="00AC51C5">
        <w:rPr>
          <w:rStyle w:val="libAlaemChar"/>
          <w:rtl/>
        </w:rPr>
        <w:t>)</w:t>
      </w:r>
      <w:r w:rsidRPr="005D642E">
        <w:rPr>
          <w:rtl/>
          <w:lang w:bidi="fa-IR"/>
        </w:rPr>
        <w:t xml:space="preserve"> فَصِرْتَ </w:t>
      </w:r>
      <w:r w:rsidRPr="007C12DB">
        <w:rPr>
          <w:rStyle w:val="libFootnotenumChar"/>
          <w:rtl/>
        </w:rPr>
        <w:t>(5)</w:t>
      </w:r>
      <w:r w:rsidRPr="005D642E">
        <w:rPr>
          <w:rtl/>
          <w:lang w:bidi="fa-IR"/>
        </w:rPr>
        <w:t xml:space="preserve"> تَأْمُرُنَا بِ</w:t>
      </w:r>
      <w:r w:rsidR="00317B73">
        <w:rPr>
          <w:rFonts w:hint="cs"/>
          <w:rtl/>
          <w:lang w:bidi="fa-IR"/>
        </w:rPr>
        <w:t>ـ</w:t>
      </w:r>
      <w:r w:rsidRPr="005D642E">
        <w:rPr>
          <w:rtl/>
          <w:lang w:bidi="fa-IR"/>
        </w:rPr>
        <w:t xml:space="preserve"> « الصَّافَّاتِ »</w:t>
      </w:r>
      <w:r>
        <w:rPr>
          <w:rtl/>
          <w:lang w:bidi="fa-IR"/>
        </w:rPr>
        <w:t>؟</w:t>
      </w:r>
      <w:r>
        <w:rPr>
          <w:lang w:bidi="fa-IR"/>
        </w:rPr>
        <w:t xml:space="preserve"> </w:t>
      </w:r>
      <w:r w:rsidRPr="005D642E">
        <w:rPr>
          <w:rtl/>
          <w:lang w:bidi="fa-IR"/>
        </w:rPr>
        <w:t xml:space="preserve">فَقَالَ : « يَا بُنَيَّ لَمْ تُقْرَأْ </w:t>
      </w:r>
      <w:r w:rsidRPr="007C12DB">
        <w:rPr>
          <w:rStyle w:val="libFootnotenumChar"/>
          <w:rtl/>
        </w:rPr>
        <w:t>(6)</w:t>
      </w:r>
      <w:r w:rsidRPr="005D642E">
        <w:rPr>
          <w:rtl/>
          <w:lang w:bidi="fa-IR"/>
        </w:rPr>
        <w:t xml:space="preserve"> عِنْدَ </w:t>
      </w:r>
      <w:r w:rsidRPr="007C12DB">
        <w:rPr>
          <w:rStyle w:val="libFootnotenumChar"/>
          <w:rtl/>
        </w:rPr>
        <w:t>(7)</w:t>
      </w:r>
      <w:r w:rsidRPr="005D642E">
        <w:rPr>
          <w:rtl/>
          <w:lang w:bidi="fa-IR"/>
        </w:rPr>
        <w:t xml:space="preserve"> مَكْرُوبٍ مِنْ مَوْتٍ </w:t>
      </w:r>
      <w:r w:rsidRPr="007C12DB">
        <w:rPr>
          <w:rStyle w:val="libFootnotenumChar"/>
          <w:rtl/>
        </w:rPr>
        <w:t>(8)</w:t>
      </w:r>
      <w:r w:rsidR="00491C93">
        <w:rPr>
          <w:rtl/>
          <w:lang w:bidi="fa-IR"/>
        </w:rPr>
        <w:t xml:space="preserve"> قَطُّ إِل</w:t>
      </w:r>
      <w:r w:rsidR="00491C93">
        <w:rPr>
          <w:rFonts w:hint="cs"/>
          <w:rtl/>
          <w:lang w:bidi="fa-IR"/>
        </w:rPr>
        <w:t>َّ</w:t>
      </w:r>
      <w:r w:rsidR="00491C93">
        <w:rPr>
          <w:rtl/>
          <w:lang w:bidi="fa-IR"/>
        </w:rPr>
        <w:t>ا</w:t>
      </w:r>
      <w:r w:rsidRPr="005D642E">
        <w:rPr>
          <w:rtl/>
          <w:lang w:bidi="fa-IR"/>
        </w:rPr>
        <w:t xml:space="preserve"> عَجَّلَ اللهُ رَاحَتَهُ</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Heading2Center"/>
        <w:rPr>
          <w:rtl/>
          <w:lang w:bidi="fa-IR"/>
        </w:rPr>
      </w:pPr>
      <w:bookmarkStart w:id="287" w:name="_Toc344647306"/>
      <w:bookmarkStart w:id="288" w:name="_Toc462226820"/>
      <w:bookmarkStart w:id="289" w:name="_Toc40975929"/>
      <w:r w:rsidRPr="005D642E">
        <w:rPr>
          <w:rtl/>
          <w:lang w:bidi="fa-IR"/>
        </w:rPr>
        <w:t>11</w:t>
      </w:r>
      <w:r>
        <w:rPr>
          <w:rtl/>
          <w:lang w:bidi="fa-IR"/>
        </w:rPr>
        <w:t xml:space="preserve"> </w:t>
      </w:r>
      <w:r w:rsidR="007642BC">
        <w:rPr>
          <w:rtl/>
          <w:lang w:bidi="fa-IR"/>
        </w:rPr>
        <w:t>-</w:t>
      </w:r>
      <w:r>
        <w:rPr>
          <w:rtl/>
          <w:lang w:bidi="fa-IR"/>
        </w:rPr>
        <w:t xml:space="preserve"> </w:t>
      </w:r>
      <w:r w:rsidRPr="005D642E">
        <w:rPr>
          <w:rtl/>
          <w:lang w:bidi="fa-IR"/>
        </w:rPr>
        <w:t>بَابُ تَوْجِيهِ الْمَيِّتِ إِلَى الْقِبْلَةِ‌</w:t>
      </w:r>
      <w:bookmarkEnd w:id="287"/>
      <w:bookmarkEnd w:id="288"/>
      <w:bookmarkEnd w:id="289"/>
    </w:p>
    <w:p w:rsidR="00E3253D" w:rsidRPr="005D642E" w:rsidRDefault="00E3253D" w:rsidP="00E3253D">
      <w:pPr>
        <w:pStyle w:val="libNormal"/>
        <w:rPr>
          <w:rtl/>
          <w:lang w:bidi="fa-IR"/>
        </w:rPr>
      </w:pPr>
      <w:r w:rsidRPr="00333EA4">
        <w:rPr>
          <w:rtl/>
        </w:rPr>
        <w:t>4304</w:t>
      </w:r>
      <w:r w:rsidRPr="00246318">
        <w:rPr>
          <w:rStyle w:val="libBold2Char"/>
          <w:rtl/>
        </w:rPr>
        <w:t xml:space="preserve"> / 1.</w:t>
      </w:r>
      <w:r w:rsidRPr="005D642E">
        <w:rPr>
          <w:rtl/>
          <w:lang w:bidi="fa-IR"/>
        </w:rPr>
        <w:t xml:space="preserve"> عَلِيُّ بْنُ إِبْرَاهِيمَ ، عَنْ أَبِيهِ ، عَنِ ابْنِ أَبِي عُمَيْرٍ ، عَنْ إِبْرَاهِيمَ الشَّعِيرِيِّ وَغَيْرِ وَاحِدٍ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فِي تَوْجِيهِ الْمَيِّتِ </w:t>
      </w:r>
      <w:r w:rsidRPr="007C12DB">
        <w:rPr>
          <w:rStyle w:val="libFootnotenumChar"/>
          <w:rtl/>
        </w:rPr>
        <w:t>(11)</w:t>
      </w:r>
      <w:r w:rsidRPr="005D642E">
        <w:rPr>
          <w:rtl/>
          <w:lang w:bidi="fa-IR"/>
        </w:rPr>
        <w:t xml:space="preserve"> :</w:t>
      </w:r>
      <w:r w:rsidR="00DA0762">
        <w:rPr>
          <w:rFonts w:hint="cs"/>
          <w:rtl/>
          <w:lang w:bidi="fa-IR"/>
        </w:rPr>
        <w:t>...............................</w:t>
      </w:r>
      <w:r w:rsidR="00DA0762">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سُجّي » ، أي مدّ عليه ثوب وغطّي به. راجع : </w:t>
      </w:r>
      <w:r w:rsidR="00E3253D" w:rsidRPr="002F4D34">
        <w:rPr>
          <w:rStyle w:val="libFootnoteBoldChar"/>
          <w:rtl/>
        </w:rPr>
        <w:t>الصحاح</w:t>
      </w:r>
      <w:r w:rsidR="00E3253D" w:rsidRPr="005D642E">
        <w:rPr>
          <w:rtl/>
        </w:rPr>
        <w:t xml:space="preserve"> ، ج 6 ، ص 2372 ؛ </w:t>
      </w:r>
      <w:r w:rsidR="00E3253D" w:rsidRPr="002F4D34">
        <w:rPr>
          <w:rStyle w:val="libFootnoteBoldChar"/>
          <w:rtl/>
        </w:rPr>
        <w:t>لسان العرب</w:t>
      </w:r>
      <w:r w:rsidR="00E3253D" w:rsidRPr="005D642E">
        <w:rPr>
          <w:rtl/>
        </w:rPr>
        <w:t xml:space="preserve"> ، ج 14 ، ص 371 ( سجا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فأقبل</w:t>
      </w:r>
      <w:r w:rsidR="00E3253D">
        <w:rPr>
          <w:rtl/>
        </w:rPr>
        <w:t xml:space="preserve"> ».</w:t>
      </w:r>
    </w:p>
    <w:p w:rsidR="00E3253D" w:rsidRPr="005D642E" w:rsidRDefault="0042621E" w:rsidP="00E66A02">
      <w:pPr>
        <w:pStyle w:val="libFootnote0"/>
        <w:rPr>
          <w:rtl/>
          <w:lang w:bidi="fa-IR"/>
        </w:rPr>
      </w:pPr>
      <w:r w:rsidRPr="0042621E">
        <w:rPr>
          <w:rStyle w:val="libFootnote0Char"/>
          <w:rtl/>
        </w:rPr>
        <w:t>(3).</w:t>
      </w:r>
      <w:r w:rsidR="00E3253D" w:rsidRPr="005D642E">
        <w:rPr>
          <w:rtl/>
        </w:rPr>
        <w:t xml:space="preserve"> هكذا في « ظ ، ى ، بث ، بح ، بخ ، بف ، جح ، جن » </w:t>
      </w:r>
      <w:r w:rsidR="000D749A" w:rsidRPr="000D749A">
        <w:rPr>
          <w:rStyle w:val="libFootnoteBoldChar"/>
          <w:rtl/>
        </w:rPr>
        <w:t>والوافي</w:t>
      </w:r>
      <w:r w:rsidR="00E3253D" w:rsidRPr="005D642E">
        <w:rPr>
          <w:rtl/>
        </w:rPr>
        <w:t xml:space="preserve"> والوسائل والبحار. وفي « غ ، بس ، جس » والمطبوع :</w:t>
      </w:r>
      <w:r w:rsidR="00E3253D">
        <w:rPr>
          <w:rtl/>
        </w:rPr>
        <w:t xml:space="preserve"> </w:t>
      </w:r>
      <w:r w:rsidR="007642BC">
        <w:rPr>
          <w:rtl/>
        </w:rPr>
        <w:t>-</w:t>
      </w:r>
      <w:r w:rsidR="00E3253D">
        <w:rPr>
          <w:rtl/>
        </w:rPr>
        <w:t xml:space="preserve"> </w:t>
      </w:r>
      <w:r w:rsidR="00E3253D" w:rsidRPr="005D642E">
        <w:rPr>
          <w:rtl/>
        </w:rPr>
        <w:t>« الموت</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E66A02">
        <w:rPr>
          <w:rStyle w:val="libFootnoteAlaemChar"/>
          <w:rtl/>
        </w:rPr>
        <w:t>عليه‌السلام</w:t>
      </w:r>
      <w:r w:rsidR="00E3253D" w:rsidRPr="005D642E">
        <w:rPr>
          <w:rtl/>
        </w:rPr>
        <w:t xml:space="preserve"> : إذا نزل به ، بالبناء للمفعول أيضاً ، أي إذا حضره الموت ، وفي بعض النسخ : إذا نزل به الموت ، فهو على البناء للفاعل. ثمّ اعلم أنّ تخصيص الصافّات لتعجيل الفرج لاينافي استحباب قراءة يس عند الميّت وإن كان أكثر الأخبار الواردة في ذلك عامّيّة ، ويؤيّده العمومات الواردة في بركة القرآن مطلقاً وعند تلك الحالة</w:t>
      </w:r>
      <w:r w:rsidR="00E3253D">
        <w:rPr>
          <w:rtl/>
        </w:rPr>
        <w:t xml:space="preserve"> ».</w:t>
      </w:r>
      <w:r w:rsidR="00E66A02">
        <w:rPr>
          <w:rFonts w:hint="cs"/>
          <w:rtl/>
        </w:rPr>
        <w:t xml:space="preserve">                               </w:t>
      </w:r>
      <w:r w:rsidRPr="0042621E">
        <w:rPr>
          <w:rStyle w:val="libFootnote0Char"/>
          <w:rtl/>
        </w:rPr>
        <w:t>(4).</w:t>
      </w:r>
      <w:r w:rsidR="00E3253D" w:rsidRPr="005D642E">
        <w:rPr>
          <w:rtl/>
        </w:rPr>
        <w:t xml:space="preserve"> في الوافي : « تقرأ</w:t>
      </w:r>
      <w:r w:rsidR="00E3253D">
        <w:rPr>
          <w:rtl/>
        </w:rPr>
        <w:t xml:space="preserve"> ».</w:t>
      </w:r>
      <w:r w:rsidR="00E3253D" w:rsidRPr="005D642E">
        <w:rPr>
          <w:rtl/>
        </w:rPr>
        <w:t xml:space="preserve"> وفي التهذيب : « نقرأ</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والبحار ، ص 289 </w:t>
      </w:r>
      <w:r w:rsidR="00B60612" w:rsidRPr="00B60612">
        <w:rPr>
          <w:rStyle w:val="libFootnoteBoldChar"/>
          <w:rtl/>
        </w:rPr>
        <w:t>والتهذيب</w:t>
      </w:r>
      <w:r w:rsidR="00E3253D" w:rsidRPr="005D642E">
        <w:rPr>
          <w:rtl/>
        </w:rPr>
        <w:t>. وفي المطبوع : « وصرت</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والبحار. وفي « جس » والمطبوع : « لم يقرأ</w:t>
      </w:r>
      <w:r w:rsidR="00E3253D">
        <w:rPr>
          <w:rtl/>
        </w:rPr>
        <w:t xml:space="preserve"> ».</w:t>
      </w:r>
      <w:r w:rsidR="00E3253D" w:rsidRPr="005D642E">
        <w:rPr>
          <w:rtl/>
        </w:rPr>
        <w:t xml:space="preserve"> وفي التهذيب : « لاتقرأ</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والبحار </w:t>
      </w:r>
      <w:r w:rsidR="00B60612" w:rsidRPr="00B60612">
        <w:rPr>
          <w:rStyle w:val="libFootnoteBoldChar"/>
          <w:rtl/>
        </w:rPr>
        <w:t>والتهذيب</w:t>
      </w:r>
      <w:r w:rsidR="00E3253D" w:rsidRPr="005D642E">
        <w:rPr>
          <w:rtl/>
        </w:rPr>
        <w:t>. وفي المطبوع : « عبد</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من موت</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427 ، ح 1358 ، معلّقاً عن محمّد بن يحيى </w:t>
      </w:r>
      <w:r w:rsidR="00714666">
        <w:rPr>
          <w:rFonts w:hint="cs"/>
          <w:rtl/>
        </w:rPr>
        <w:t>.</w:t>
      </w:r>
      <w:r w:rsidR="00E3253D" w:rsidRPr="002F4D34">
        <w:rPr>
          <w:rStyle w:val="libFootnoteBoldChar"/>
          <w:rtl/>
        </w:rPr>
        <w:t>الوافي</w:t>
      </w:r>
      <w:r w:rsidR="00E3253D" w:rsidRPr="005D642E">
        <w:rPr>
          <w:rtl/>
        </w:rPr>
        <w:t xml:space="preserve"> ، ج 24 ، ص 240 ، ح 23967 ؛ </w:t>
      </w:r>
      <w:r w:rsidR="00E3253D" w:rsidRPr="002F4D34">
        <w:rPr>
          <w:rStyle w:val="libFootnoteBoldChar"/>
          <w:rtl/>
        </w:rPr>
        <w:t>الوسائل</w:t>
      </w:r>
      <w:r w:rsidR="00E3253D" w:rsidRPr="005D642E">
        <w:rPr>
          <w:rtl/>
        </w:rPr>
        <w:t xml:space="preserve"> ، ج 2 ، ص 465 ، ح 2659 ؛ </w:t>
      </w:r>
      <w:r w:rsidR="00E3253D" w:rsidRPr="002F4D34">
        <w:rPr>
          <w:rStyle w:val="libFootnoteBoldChar"/>
          <w:rtl/>
        </w:rPr>
        <w:t>البحار</w:t>
      </w:r>
      <w:r w:rsidR="00E3253D" w:rsidRPr="005D642E">
        <w:rPr>
          <w:rtl/>
        </w:rPr>
        <w:t xml:space="preserve"> ، ج 48 ، ص 289 ، ح 6 ؛ وص 310.</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التهذيب : « عن غير واحد » بدل « وغير واحد</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ظاهر أخبار الباب التوجيه بعد الموت ، وحملها الأكثر على حالة الاحتضار ، فالمراد بالميّت المشرف على</w:t>
      </w:r>
      <w:r w:rsidR="00E3253D">
        <w:rPr>
          <w:rFonts w:hint="cs"/>
          <w:rtl/>
        </w:rPr>
        <w:t xml:space="preserve"> </w:t>
      </w:r>
      <w:r w:rsidR="0071466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 تَسْتَقْبِلُ </w:t>
      </w:r>
      <w:r w:rsidRPr="007C12DB">
        <w:rPr>
          <w:rStyle w:val="libFootnotenumChar"/>
          <w:rtl/>
        </w:rPr>
        <w:t>(1)</w:t>
      </w:r>
      <w:r w:rsidRPr="005D642E">
        <w:rPr>
          <w:rtl/>
          <w:lang w:bidi="fa-IR"/>
        </w:rPr>
        <w:t xml:space="preserve"> بِوَجْهِهِ الْقِبْلَةَ ، وَتَجْعَلُ </w:t>
      </w:r>
      <w:r w:rsidRPr="007C12DB">
        <w:rPr>
          <w:rStyle w:val="libFootnotenumChar"/>
          <w:rtl/>
        </w:rPr>
        <w:t>(2)</w:t>
      </w:r>
      <w:r w:rsidRPr="005D642E">
        <w:rPr>
          <w:rtl/>
          <w:lang w:bidi="fa-IR"/>
        </w:rPr>
        <w:t xml:space="preserve"> قَدَمَيْهِ </w:t>
      </w:r>
      <w:r w:rsidRPr="007C12DB">
        <w:rPr>
          <w:rStyle w:val="libFootnotenumChar"/>
          <w:rtl/>
        </w:rPr>
        <w:t>(3)</w:t>
      </w:r>
      <w:r w:rsidRPr="005D642E">
        <w:rPr>
          <w:rtl/>
          <w:lang w:bidi="fa-IR"/>
        </w:rPr>
        <w:t xml:space="preserve"> مِمَّا يَلِي </w:t>
      </w:r>
      <w:r w:rsidRPr="007C12DB">
        <w:rPr>
          <w:rStyle w:val="libFootnotenumChar"/>
          <w:rtl/>
        </w:rPr>
        <w:t>(4)</w:t>
      </w:r>
      <w:r w:rsidRPr="005D642E">
        <w:rPr>
          <w:rtl/>
          <w:lang w:bidi="fa-IR"/>
        </w:rPr>
        <w:t xml:space="preserve"> الْقِبْلَةَ</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33EA4">
        <w:rPr>
          <w:rtl/>
        </w:rPr>
        <w:t>4305</w:t>
      </w:r>
      <w:r w:rsidRPr="00246318">
        <w:rPr>
          <w:rStyle w:val="libBold2Char"/>
          <w:rtl/>
        </w:rPr>
        <w:t xml:space="preserve"> / 2.</w:t>
      </w:r>
      <w:r w:rsidRPr="005D642E">
        <w:rPr>
          <w:rtl/>
          <w:lang w:bidi="fa-IR"/>
        </w:rPr>
        <w:t xml:space="preserve"> حُمَيْدُ بْنُ زِيَادٍ ، عَنِ الْحَسَنِ </w:t>
      </w:r>
      <w:r w:rsidRPr="007C12DB">
        <w:rPr>
          <w:rStyle w:val="libFootnotenumChar"/>
          <w:rtl/>
        </w:rPr>
        <w:t>(6)</w:t>
      </w:r>
      <w:r w:rsidRPr="005D642E">
        <w:rPr>
          <w:rtl/>
          <w:lang w:bidi="fa-IR"/>
        </w:rPr>
        <w:t xml:space="preserve"> بْنِ مُحَمَّدٍ ، عَنْ مُحَمَّدِ بْنِ أَبِي حَمْزَةَ ، عَنْ مُعَاوِيَةَ بْنِ عَمَّارٍ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w:t>
      </w:r>
      <w:r w:rsidRPr="007C12DB">
        <w:rPr>
          <w:rStyle w:val="libFootnotenumChar"/>
          <w:rtl/>
        </w:rPr>
        <w:t>(7)</w:t>
      </w:r>
      <w:r w:rsidRPr="005D642E">
        <w:rPr>
          <w:rtl/>
          <w:lang w:bidi="fa-IR"/>
        </w:rPr>
        <w:t xml:space="preserve"> الْمَيِّتِ ، فَقَالَ : « اسْتَقْبِلْ بِبَاطِنِ قَدَمَيْهِ الْقِبْلَةَ</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333EA4">
        <w:rPr>
          <w:rtl/>
        </w:rPr>
        <w:t>4306</w:t>
      </w:r>
      <w:r w:rsidRPr="00246318">
        <w:rPr>
          <w:rStyle w:val="libBold2Char"/>
          <w:rtl/>
        </w:rPr>
        <w:t xml:space="preserve"> / 3.</w:t>
      </w:r>
      <w:r w:rsidRPr="005D642E">
        <w:rPr>
          <w:rtl/>
          <w:lang w:bidi="fa-IR"/>
        </w:rPr>
        <w:t xml:space="preserve"> عَلِيُّ بْنُ إِبْرَاهِيمَ ، عَنْ أَبِيهِ ، عَنِ ابْنِ أَبِي عُمَيْرٍ ، عَنْ هِشَامِ بْنِ سَالِمٍ ، عَنْ سُلَيْمَانَ بْنِ خَالِدٍ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مَاتَ لِأَحَدِكُمْ مَيِّتٌ ، فَسَجُّوهُ </w:t>
      </w:r>
      <w:r w:rsidRPr="007C12DB">
        <w:rPr>
          <w:rStyle w:val="libFootnotenumChar"/>
          <w:rtl/>
        </w:rPr>
        <w:t>(9)</w:t>
      </w:r>
      <w:r w:rsidRPr="005D642E">
        <w:rPr>
          <w:rtl/>
          <w:lang w:bidi="fa-IR"/>
        </w:rPr>
        <w:t xml:space="preserve"> تُجَاهَ الْقِبْلَةِ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E3253D" w:rsidP="00E3253D">
      <w:pPr>
        <w:pStyle w:val="libFootnote0"/>
        <w:rPr>
          <w:rtl/>
          <w:lang w:bidi="fa-IR"/>
        </w:rPr>
      </w:pPr>
      <w:r w:rsidRPr="005D642E">
        <w:rPr>
          <w:rtl/>
        </w:rPr>
        <w:t>‌</w:t>
      </w:r>
      <w:r w:rsidR="00712F39">
        <w:rPr>
          <w:rFonts w:hint="cs"/>
          <w:rtl/>
        </w:rPr>
        <w:t xml:space="preserve">= </w:t>
      </w:r>
      <w:r w:rsidRPr="005D642E">
        <w:rPr>
          <w:rtl/>
        </w:rPr>
        <w:t xml:space="preserve">الموت ، كما هو الظاهر من الخبر الذي روي في </w:t>
      </w:r>
      <w:r w:rsidRPr="002F4D34">
        <w:rPr>
          <w:rStyle w:val="libFootnoteBoldChar"/>
          <w:rtl/>
        </w:rPr>
        <w:t>الفقيه</w:t>
      </w:r>
      <w:r w:rsidRPr="005D642E">
        <w:rPr>
          <w:rtl/>
        </w:rPr>
        <w:t xml:space="preserve"> ، ج 1 ، ص 133 ، ح 349 ، نعم ، يمكن تعميمها بحيث ت</w:t>
      </w:r>
      <w:r w:rsidR="00712F39">
        <w:rPr>
          <w:rtl/>
        </w:rPr>
        <w:t>شمل الحالتين ، كما احتمله العل</w:t>
      </w:r>
      <w:r w:rsidR="00712F39">
        <w:rPr>
          <w:rFonts w:hint="cs"/>
          <w:rtl/>
        </w:rPr>
        <w:t>ّ</w:t>
      </w:r>
      <w:r w:rsidR="00712F39">
        <w:rPr>
          <w:rtl/>
        </w:rPr>
        <w:t>ا</w:t>
      </w:r>
      <w:r w:rsidRPr="005D642E">
        <w:rPr>
          <w:rtl/>
        </w:rPr>
        <w:t xml:space="preserve">مة المجلسي. راجع : </w:t>
      </w:r>
      <w:r w:rsidRPr="002F4D34">
        <w:rPr>
          <w:rStyle w:val="libFootnoteBoldChar"/>
          <w:rtl/>
        </w:rPr>
        <w:t>الوافي</w:t>
      </w:r>
      <w:r w:rsidRPr="005D642E">
        <w:rPr>
          <w:rtl/>
        </w:rPr>
        <w:t xml:space="preserve"> ، ج 24 ، ص 227 ؛ </w:t>
      </w:r>
      <w:r w:rsidRPr="002F4D34">
        <w:rPr>
          <w:rStyle w:val="libFootnoteBoldChar"/>
          <w:rtl/>
        </w:rPr>
        <w:t xml:space="preserve">مرآة العقول </w:t>
      </w:r>
      <w:r w:rsidRPr="005D642E">
        <w:rPr>
          <w:rtl/>
        </w:rPr>
        <w:t>، ج 13 ، ص 283.</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بح ، بس ، جح ، جس » </w:t>
      </w:r>
      <w:r w:rsidR="00B60612" w:rsidRPr="00B60612">
        <w:rPr>
          <w:rStyle w:val="libFootnoteBoldChar"/>
          <w:rtl/>
        </w:rPr>
        <w:t>والتهذيب</w:t>
      </w:r>
      <w:r w:rsidR="00E3253D" w:rsidRPr="005D642E">
        <w:rPr>
          <w:rtl/>
        </w:rPr>
        <w:t xml:space="preserve"> : « يستقبل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بح ، بس ، جح ، جس ، جن » </w:t>
      </w:r>
      <w:r w:rsidR="00B60612" w:rsidRPr="00B60612">
        <w:rPr>
          <w:rStyle w:val="libFootnoteBoldChar"/>
          <w:rtl/>
        </w:rPr>
        <w:t>والتهذيب</w:t>
      </w:r>
      <w:r w:rsidR="00E3253D" w:rsidRPr="005D642E">
        <w:rPr>
          <w:rtl/>
        </w:rPr>
        <w:t xml:space="preserve"> : « ويجعل</w:t>
      </w:r>
      <w:r w:rsidR="00E3253D">
        <w:rPr>
          <w:rtl/>
        </w:rPr>
        <w:t xml:space="preserve"> ».</w:t>
      </w:r>
    </w:p>
    <w:p w:rsidR="00E3253D" w:rsidRPr="005D642E" w:rsidRDefault="0042621E" w:rsidP="00591486">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283 : « قوله </w:t>
      </w:r>
      <w:r w:rsidR="00591486" w:rsidRPr="00591486">
        <w:rPr>
          <w:rStyle w:val="libFootnoteAlaemChar"/>
          <w:rtl/>
        </w:rPr>
        <w:t>عليه‌السلام</w:t>
      </w:r>
      <w:r w:rsidR="00E3253D" w:rsidRPr="005D642E">
        <w:rPr>
          <w:rtl/>
        </w:rPr>
        <w:t>: وتجعل قدميه ، الظاهر أنّ هذا بيان الاستقبال بالوجه ، ويحتمل أن يكون الاستقبال برفع رأسه حتّى يستقبل وجهه القبلة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 + « إلى</w:t>
      </w:r>
      <w:r w:rsidR="00E3253D">
        <w:rPr>
          <w:rtl/>
        </w:rPr>
        <w:t xml:space="preserve"> ».</w:t>
      </w:r>
      <w:r w:rsidR="00E3253D" w:rsidRPr="005D642E">
        <w:rPr>
          <w:rtl/>
        </w:rPr>
        <w:t xml:space="preserve"> وفي « بف » : « ممّا تلي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285 ، ح 833 ، بسنده عن الكليني </w:t>
      </w:r>
      <w:r w:rsidR="00E3253D" w:rsidRPr="002F4D34">
        <w:rPr>
          <w:rStyle w:val="libFootnoteBoldChar"/>
          <w:rtl/>
        </w:rPr>
        <w:t>الوافي</w:t>
      </w:r>
      <w:r w:rsidR="00E3253D" w:rsidRPr="005D642E">
        <w:rPr>
          <w:rtl/>
        </w:rPr>
        <w:t xml:space="preserve"> ، ج 24 ، ص 227 ، ح 23942 ؛ </w:t>
      </w:r>
      <w:r w:rsidR="00E3253D" w:rsidRPr="002F4D34">
        <w:rPr>
          <w:rStyle w:val="libFootnoteBoldChar"/>
          <w:rtl/>
        </w:rPr>
        <w:t>الوسائل</w:t>
      </w:r>
      <w:r w:rsidR="00E3253D" w:rsidRPr="005D642E">
        <w:rPr>
          <w:rtl/>
        </w:rPr>
        <w:t xml:space="preserve"> ، ج 2 ، ص 453 ، ح 2625.</w:t>
      </w:r>
    </w:p>
    <w:p w:rsidR="00E3253D" w:rsidRPr="005D642E" w:rsidRDefault="0042621E" w:rsidP="004B46AE">
      <w:pPr>
        <w:pStyle w:val="libFootnote0"/>
        <w:rPr>
          <w:rtl/>
          <w:lang w:bidi="fa-IR"/>
        </w:rPr>
      </w:pPr>
      <w:r w:rsidRPr="0042621E">
        <w:rPr>
          <w:rStyle w:val="libFootnote0Char"/>
          <w:rtl/>
        </w:rPr>
        <w:t>(6).</w:t>
      </w:r>
      <w:r w:rsidR="00E3253D" w:rsidRPr="005D642E">
        <w:rPr>
          <w:rtl/>
        </w:rPr>
        <w:t xml:space="preserve"> في « ى ، بث ، بخ ، بس ، جس » وحاشية « جن » : « الحسين</w:t>
      </w:r>
      <w:r w:rsidR="00E3253D">
        <w:rPr>
          <w:rtl/>
        </w:rPr>
        <w:t xml:space="preserve"> ».</w:t>
      </w:r>
      <w:r w:rsidR="00E3253D" w:rsidRPr="005D642E">
        <w:rPr>
          <w:rtl/>
        </w:rPr>
        <w:t xml:space="preserve"> وهو سهو ؛ فقد توسّط [ الحسن بن محمّد ] بن‌سماعة بين حميد بن زياد وبين محمّد بن أبي حمزة في بعض الأسناد. راجع : </w:t>
      </w:r>
      <w:r w:rsidR="00E3253D" w:rsidRPr="002F4D34">
        <w:rPr>
          <w:rStyle w:val="libFootnoteBoldChar"/>
          <w:rtl/>
        </w:rPr>
        <w:t>معجم رجال الحديث</w:t>
      </w:r>
      <w:r w:rsidR="00E3253D" w:rsidRPr="005D642E">
        <w:rPr>
          <w:rtl/>
        </w:rPr>
        <w:t xml:space="preserve"> ، ج 5 ، ص 385</w:t>
      </w:r>
      <w:r w:rsidR="00E3253D">
        <w:rPr>
          <w:rtl/>
        </w:rPr>
        <w:t xml:space="preserve"> </w:t>
      </w:r>
      <w:r w:rsidR="007642BC">
        <w:rPr>
          <w:rtl/>
        </w:rPr>
        <w:t>-</w:t>
      </w:r>
      <w:r w:rsidR="00E3253D">
        <w:rPr>
          <w:rtl/>
        </w:rPr>
        <w:t xml:space="preserve"> </w:t>
      </w:r>
      <w:r w:rsidR="00E3253D" w:rsidRPr="005D642E">
        <w:rPr>
          <w:rtl/>
        </w:rPr>
        <w:t>386 ؛ وج 22 ، ص 391.</w:t>
      </w:r>
      <w:r w:rsidR="004B46AE">
        <w:rPr>
          <w:rFonts w:hint="cs"/>
          <w:rtl/>
        </w:rPr>
        <w:t xml:space="preserve">                     </w:t>
      </w:r>
      <w:r w:rsidRPr="0042621E">
        <w:rPr>
          <w:rStyle w:val="libFootnote0Char"/>
          <w:rtl/>
        </w:rPr>
        <w:t>(7).</w:t>
      </w:r>
      <w:r w:rsidR="00E3253D" w:rsidRPr="005D642E">
        <w:rPr>
          <w:rtl/>
        </w:rPr>
        <w:t xml:space="preserve"> في الفقيه : + « توجيه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285 ، ح 834 ، بسنده عن الكليني. </w:t>
      </w:r>
      <w:r w:rsidR="00E3253D" w:rsidRPr="002F4D34">
        <w:rPr>
          <w:rStyle w:val="libFootnoteBoldChar"/>
          <w:rtl/>
        </w:rPr>
        <w:t>الفقيه</w:t>
      </w:r>
      <w:r w:rsidR="00E3253D" w:rsidRPr="005D642E">
        <w:rPr>
          <w:rtl/>
        </w:rPr>
        <w:t xml:space="preserve"> ، ج 1 ، ص 132 ، ح 348 ، مرسلاً </w:t>
      </w:r>
      <w:r w:rsidR="004B46AE">
        <w:rPr>
          <w:rFonts w:hint="cs"/>
          <w:rtl/>
        </w:rPr>
        <w:t>.</w:t>
      </w:r>
      <w:r w:rsidR="00E3253D" w:rsidRPr="002F4D34">
        <w:rPr>
          <w:rStyle w:val="libFootnoteBoldChar"/>
          <w:rtl/>
        </w:rPr>
        <w:t>الوافي</w:t>
      </w:r>
      <w:r w:rsidR="00E3253D" w:rsidRPr="005D642E">
        <w:rPr>
          <w:rtl/>
        </w:rPr>
        <w:t xml:space="preserve"> ، ج 24 ، ص 227 ، ح 23943 ؛ </w:t>
      </w:r>
      <w:r w:rsidR="00E3253D" w:rsidRPr="002F4D34">
        <w:rPr>
          <w:rStyle w:val="libFootnoteBoldChar"/>
          <w:rtl/>
        </w:rPr>
        <w:t>الوسائل</w:t>
      </w:r>
      <w:r w:rsidR="00E3253D" w:rsidRPr="005D642E">
        <w:rPr>
          <w:rtl/>
        </w:rPr>
        <w:t xml:space="preserve"> ، ج 2 ، ص 453 ، ح 2626.</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تسجية الميّت : مدّ الثوب عليه وتغطيته به. راجع : </w:t>
      </w:r>
      <w:r w:rsidR="00E3253D" w:rsidRPr="002F4D34">
        <w:rPr>
          <w:rStyle w:val="libFootnoteBoldChar"/>
          <w:rtl/>
        </w:rPr>
        <w:t>الصحاح</w:t>
      </w:r>
      <w:r w:rsidR="00E3253D" w:rsidRPr="005D642E">
        <w:rPr>
          <w:rtl/>
        </w:rPr>
        <w:t xml:space="preserve"> ، ج 6 ، ص 2372 ؛ </w:t>
      </w:r>
      <w:r w:rsidR="00E3253D" w:rsidRPr="002F4D34">
        <w:rPr>
          <w:rStyle w:val="libFootnoteBoldChar"/>
          <w:rtl/>
        </w:rPr>
        <w:t>لسان العرب</w:t>
      </w:r>
      <w:r w:rsidR="00E3253D" w:rsidRPr="005D642E">
        <w:rPr>
          <w:rtl/>
        </w:rPr>
        <w:t xml:space="preserve"> ، ج 14 ، ص 371 ( سجا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الحبل المتين</w:t>
      </w:r>
      <w:r w:rsidR="00E3253D" w:rsidRPr="005D642E">
        <w:rPr>
          <w:rtl/>
        </w:rPr>
        <w:t xml:space="preserve"> ، ص 204 : « وقوله </w:t>
      </w:r>
      <w:r w:rsidR="00E3253D" w:rsidRPr="004B46AE">
        <w:rPr>
          <w:rStyle w:val="libFootnoteAlaemChar"/>
          <w:rtl/>
        </w:rPr>
        <w:t>عليه‌السلام</w:t>
      </w:r>
      <w:r w:rsidR="00E3253D" w:rsidRPr="005D642E">
        <w:rPr>
          <w:rtl/>
        </w:rPr>
        <w:t xml:space="preserve"> : فسجّوه تجاه القبلة ، كناية عن توجيهه إليها ، يقال : قعدت تجاه زيد ، أي تلقاه. والظاهر أنّ المراد بموضع المغتسل : الحفرة التي يجمع فيها ماء الغسل. والمستقبل بالبناء للمفعول بمعنى الاستقبال. وقد دلّ هذا الحديث على وجوب التوجيه إلى القبلة حال الغسل أيضاً وكثير من الأصحاب على الاستحباب</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وَكَذلِكَ إِذَا غُسِّلَ ، يُحْفَرُ لَهُ مَوْضِعُ الْمُغْتَسَلِ تُجَاهَ الْقِبْلَةِ ، فَيَكُونُ مُسْتَقْبِلَ بَاطِنَ </w:t>
      </w:r>
      <w:r w:rsidRPr="007C12DB">
        <w:rPr>
          <w:rStyle w:val="libFootnotenumChar"/>
          <w:rtl/>
        </w:rPr>
        <w:t>(1)</w:t>
      </w:r>
      <w:r w:rsidRPr="005D642E">
        <w:rPr>
          <w:rtl/>
          <w:lang w:bidi="fa-IR"/>
        </w:rPr>
        <w:t xml:space="preserve"> قَدَمَيْهِ وَوَجْهِهِ إِلَى الْقِبْلَةِ</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290" w:name="_Toc344647307"/>
      <w:bookmarkStart w:id="291" w:name="_Toc462226821"/>
      <w:bookmarkStart w:id="292" w:name="_Toc40975930"/>
      <w:r w:rsidRPr="005D642E">
        <w:rPr>
          <w:rtl/>
          <w:lang w:bidi="fa-IR"/>
        </w:rPr>
        <w:t>12</w:t>
      </w:r>
      <w:r>
        <w:rPr>
          <w:rtl/>
          <w:lang w:bidi="fa-IR"/>
        </w:rPr>
        <w:t xml:space="preserve"> </w:t>
      </w:r>
      <w:r w:rsidR="007642BC">
        <w:rPr>
          <w:rtl/>
          <w:lang w:bidi="fa-IR"/>
        </w:rPr>
        <w:t>-</w:t>
      </w:r>
      <w:r>
        <w:rPr>
          <w:rtl/>
          <w:lang w:bidi="fa-IR"/>
        </w:rPr>
        <w:t xml:space="preserve"> </w:t>
      </w:r>
      <w:r w:rsidRPr="005D642E">
        <w:rPr>
          <w:rtl/>
          <w:lang w:bidi="fa-IR"/>
        </w:rPr>
        <w:t>بَابُ أَنَّ الْمُؤْمِنَ لَايُكْرَهُ عَلى قَبْضِ رُوحِهِ‌</w:t>
      </w:r>
      <w:bookmarkEnd w:id="290"/>
      <w:bookmarkEnd w:id="291"/>
      <w:bookmarkEnd w:id="292"/>
    </w:p>
    <w:p w:rsidR="00E3253D" w:rsidRPr="005D642E" w:rsidRDefault="00E3253D" w:rsidP="00E3253D">
      <w:pPr>
        <w:pStyle w:val="libNormal"/>
        <w:rPr>
          <w:rtl/>
          <w:lang w:bidi="fa-IR"/>
        </w:rPr>
      </w:pPr>
      <w:r w:rsidRPr="00333EA4">
        <w:rPr>
          <w:rtl/>
        </w:rPr>
        <w:t>4307</w:t>
      </w:r>
      <w:r w:rsidRPr="00246318">
        <w:rPr>
          <w:rStyle w:val="libBold2Char"/>
          <w:rtl/>
        </w:rPr>
        <w:t xml:space="preserve"> / 1.</w:t>
      </w:r>
      <w:r w:rsidRPr="005D642E">
        <w:rPr>
          <w:rtl/>
          <w:lang w:bidi="fa-IR"/>
        </w:rPr>
        <w:t xml:space="preserve"> أَبُو عَلِيٍّ الْأَشْعَرِيُّ ، عَنْ مُحَمَّدِ بْنِ عَبْدِ الْجَبَّارِ ، عَنْ أَبِي مُحَمَّدٍ الْأَنْصَارِيِّ</w:t>
      </w:r>
      <w:r>
        <w:rPr>
          <w:rtl/>
          <w:lang w:bidi="fa-IR"/>
        </w:rPr>
        <w:t xml:space="preserve"> </w:t>
      </w:r>
      <w:r w:rsidR="007642BC">
        <w:rPr>
          <w:rtl/>
          <w:lang w:bidi="fa-IR"/>
        </w:rPr>
        <w:t>-</w:t>
      </w:r>
      <w:r>
        <w:rPr>
          <w:rtl/>
          <w:lang w:bidi="fa-IR"/>
        </w:rPr>
        <w:t xml:space="preserve"> </w:t>
      </w:r>
      <w:r w:rsidRPr="005D642E">
        <w:rPr>
          <w:rtl/>
          <w:lang w:bidi="fa-IR"/>
        </w:rPr>
        <w:t>قَالَ : وَكَانَ خَيِّراً</w:t>
      </w:r>
      <w:r>
        <w:rPr>
          <w:rtl/>
          <w:lang w:bidi="fa-IR"/>
        </w:rPr>
        <w:t xml:space="preserve"> </w:t>
      </w:r>
      <w:r w:rsidR="007642BC">
        <w:rPr>
          <w:rtl/>
          <w:lang w:bidi="fa-IR"/>
        </w:rPr>
        <w:t>-</w:t>
      </w:r>
      <w:r>
        <w:rPr>
          <w:rtl/>
          <w:lang w:bidi="fa-IR"/>
        </w:rPr>
        <w:t xml:space="preserve"> </w:t>
      </w:r>
      <w:r w:rsidRPr="005D642E">
        <w:rPr>
          <w:rtl/>
          <w:lang w:bidi="fa-IR"/>
        </w:rPr>
        <w:t>قَالَ : حَدَّثَنِي أَبُو الْيَقْظَانِ عَمَّارٌ الْأَسَدِيُّ :</w:t>
      </w:r>
    </w:p>
    <w:p w:rsidR="00E3253D" w:rsidRPr="005D642E" w:rsidRDefault="00E3253D" w:rsidP="004B46AE">
      <w:pPr>
        <w:pStyle w:val="libNormal"/>
        <w:rPr>
          <w:rtl/>
          <w:lang w:bidi="fa-IR"/>
        </w:rPr>
      </w:pPr>
      <w:r w:rsidRPr="005D642E">
        <w:rPr>
          <w:rtl/>
          <w:lang w:bidi="fa-IR"/>
        </w:rPr>
        <w:t xml:space="preserve">عَنْ أَبِي عَبْدِ اللهِ </w:t>
      </w:r>
      <w:r w:rsidR="004B46AE" w:rsidRPr="00AC51C5">
        <w:rPr>
          <w:rStyle w:val="libAlaemChar"/>
          <w:rtl/>
        </w:rPr>
        <w:t>عليه‌السلام</w:t>
      </w:r>
      <w:r w:rsidR="004B46AE" w:rsidRPr="005D642E">
        <w:rPr>
          <w:rtl/>
          <w:lang w:bidi="fa-IR"/>
        </w:rPr>
        <w:t xml:space="preserve"> </w:t>
      </w:r>
      <w:r w:rsidRPr="005D642E">
        <w:rPr>
          <w:rtl/>
          <w:lang w:bidi="fa-IR"/>
        </w:rPr>
        <w:t xml:space="preserve">، قَالَ : « قَالَ رَسُولُ اللهِ </w:t>
      </w:r>
      <w:r w:rsidR="0042621E" w:rsidRPr="0042621E">
        <w:rPr>
          <w:rStyle w:val="libAlaemChar"/>
          <w:rtl/>
        </w:rPr>
        <w:t>صلى‌الله‌عليه‌وآله</w:t>
      </w:r>
      <w:r w:rsidRPr="005D642E">
        <w:rPr>
          <w:rtl/>
          <w:lang w:bidi="fa-IR"/>
        </w:rPr>
        <w:t xml:space="preserve"> : لَوْ أَنَّ مُؤْمِناً أَقْسَمَ عَلى رَبِّهِ أَنْ لَا يُمِيتَهُ ، مَا أَمَاتَهُ أَبَداً ، وَلكِنْ إِذَا كَانَ ذلِكَ ، أَوْ إِذَا حَضَرَ أَجَلُهُ </w:t>
      </w:r>
      <w:r w:rsidRPr="007C12DB">
        <w:rPr>
          <w:rStyle w:val="libFootnotenumChar"/>
          <w:rtl/>
        </w:rPr>
        <w:t>(3)</w:t>
      </w:r>
      <w:r w:rsidRPr="005D642E">
        <w:rPr>
          <w:rtl/>
          <w:lang w:bidi="fa-IR"/>
        </w:rPr>
        <w:t xml:space="preserve"> ، بَعَثَ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إِلَيْهِ رِيحَيْنِ : رِيحاً </w:t>
      </w:r>
      <w:r w:rsidRPr="007C12DB">
        <w:rPr>
          <w:rStyle w:val="libFootnotenumChar"/>
          <w:rtl/>
        </w:rPr>
        <w:t>(4)</w:t>
      </w:r>
      <w:r w:rsidRPr="005D642E">
        <w:rPr>
          <w:rtl/>
          <w:lang w:bidi="fa-IR"/>
        </w:rPr>
        <w:t xml:space="preserve"> يُقَالُ لَهَا </w:t>
      </w:r>
      <w:r w:rsidRPr="007C12DB">
        <w:rPr>
          <w:rStyle w:val="libFootnotenumChar"/>
          <w:rtl/>
        </w:rPr>
        <w:t>(5)</w:t>
      </w:r>
      <w:r w:rsidRPr="005D642E">
        <w:rPr>
          <w:rtl/>
          <w:lang w:bidi="fa-IR"/>
        </w:rPr>
        <w:t xml:space="preserve"> : الْمُنْسِيَةُ وَرِيحاً يُقَالُ لَهَا </w:t>
      </w:r>
      <w:r w:rsidRPr="007C12DB">
        <w:rPr>
          <w:rStyle w:val="libFootnotenumChar"/>
          <w:rtl/>
        </w:rPr>
        <w:t>(6)</w:t>
      </w:r>
      <w:r w:rsidRPr="005D642E">
        <w:rPr>
          <w:rtl/>
          <w:lang w:bidi="fa-IR"/>
        </w:rPr>
        <w:t xml:space="preserve"> : الْمُسَخِّيَةُ ، فَأَمَّا الْمُنْسِيَةُ ، فَإِنَّهَا تُنْسِيهِ أَهْلَهُ وَمَالَهُ ، وَأَمَّا الْمُسَخِّيَةُ ، فَإِنَّهَا تُسَخِّي نَفْسَهُ عَنِ الدُّنْيَا </w:t>
      </w:r>
      <w:r w:rsidRPr="007C12DB">
        <w:rPr>
          <w:rStyle w:val="libFootnotenumChar"/>
          <w:rtl/>
        </w:rPr>
        <w:t>(7)</w:t>
      </w:r>
      <w:r w:rsidRPr="005D642E">
        <w:rPr>
          <w:rtl/>
          <w:lang w:bidi="fa-IR"/>
        </w:rPr>
        <w:t xml:space="preserve"> حَتّى يَخْتَارَ مَا‌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معظم النسخ التي قوبلت والوسائل </w:t>
      </w:r>
      <w:r w:rsidR="00B60612" w:rsidRPr="00B60612">
        <w:rPr>
          <w:rStyle w:val="libFootnoteBoldChar"/>
          <w:rtl/>
        </w:rPr>
        <w:t>والتهذيب</w:t>
      </w:r>
      <w:r w:rsidR="00E3253D" w:rsidRPr="005D642E">
        <w:rPr>
          <w:rtl/>
        </w:rPr>
        <w:t xml:space="preserve"> ، ص 298. وفي « جن » والمطبوع : « مستقبلاً بباطن</w:t>
      </w:r>
      <w:r w:rsidR="00E3253D">
        <w:rPr>
          <w:rtl/>
        </w:rPr>
        <w:t>».</w:t>
      </w:r>
      <w:r w:rsidR="00E3253D" w:rsidRPr="005D642E">
        <w:rPr>
          <w:rtl/>
        </w:rPr>
        <w:t xml:space="preserve"> وفي الوافي : « يستقبل بباطن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286 ، ح 835 ، بسنده عن الكليني. </w:t>
      </w:r>
      <w:r w:rsidR="00E3253D" w:rsidRPr="002F4D34">
        <w:rPr>
          <w:rStyle w:val="libFootnoteBoldChar"/>
          <w:rtl/>
        </w:rPr>
        <w:t>وفيه</w:t>
      </w:r>
      <w:r w:rsidR="00E3253D" w:rsidRPr="005D642E">
        <w:rPr>
          <w:rtl/>
        </w:rPr>
        <w:t xml:space="preserve"> ، ص 298 ، ح 872 ، معلّقاً عن ابن أبي عمير. </w:t>
      </w:r>
      <w:r w:rsidR="00E3253D" w:rsidRPr="002F4D34">
        <w:rPr>
          <w:rStyle w:val="libFootnoteBoldChar"/>
          <w:rtl/>
        </w:rPr>
        <w:t>الفقيه</w:t>
      </w:r>
      <w:r w:rsidR="00E3253D" w:rsidRPr="005D642E">
        <w:rPr>
          <w:rtl/>
        </w:rPr>
        <w:t xml:space="preserve"> ، ج 1 ، ص 193 ، ح 591 ، مرسلاً ، إلى قوله : « تجاه القبلة » </w:t>
      </w:r>
      <w:r w:rsidR="006C0065">
        <w:rPr>
          <w:rFonts w:hint="cs"/>
          <w:rtl/>
        </w:rPr>
        <w:t>.</w:t>
      </w:r>
      <w:r w:rsidR="00E3253D" w:rsidRPr="002F4D34">
        <w:rPr>
          <w:rStyle w:val="libFootnoteBoldChar"/>
          <w:rtl/>
        </w:rPr>
        <w:t>الوافي</w:t>
      </w:r>
      <w:r w:rsidR="00E3253D" w:rsidRPr="005D642E">
        <w:rPr>
          <w:rtl/>
        </w:rPr>
        <w:t xml:space="preserve"> ، ج 24 ، ص 228 ، ح 23945 ؛ </w:t>
      </w:r>
      <w:r w:rsidR="00E3253D" w:rsidRPr="002F4D34">
        <w:rPr>
          <w:rStyle w:val="libFootnoteBoldChar"/>
          <w:rtl/>
        </w:rPr>
        <w:t>الوسائل</w:t>
      </w:r>
      <w:r w:rsidR="00E3253D" w:rsidRPr="005D642E">
        <w:rPr>
          <w:rtl/>
        </w:rPr>
        <w:t xml:space="preserve"> ، ج 2 ، ص 452 ، ح 2624.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ج 13 ، ص 284 : « قوله : أو إذا حضر ، الترديد من الراوي وليس في بعض النسخ كلمة « أو » فهو بيان لما تقدّم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بف » : « ريح</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6C0065" w:rsidTr="006C0065">
        <w:tc>
          <w:tcPr>
            <w:tcW w:w="4006" w:type="dxa"/>
          </w:tcPr>
          <w:p w:rsidR="006C0065" w:rsidRDefault="006C0065" w:rsidP="00E3253D">
            <w:pPr>
              <w:pStyle w:val="libFootnote0"/>
              <w:rPr>
                <w:rStyle w:val="libFootnote0Char"/>
                <w:rtl/>
              </w:rPr>
            </w:pPr>
            <w:r w:rsidRPr="0042621E">
              <w:rPr>
                <w:rStyle w:val="libFootnote0Char"/>
                <w:rtl/>
              </w:rPr>
              <w:t>(5).</w:t>
            </w:r>
            <w:r>
              <w:rPr>
                <w:rtl/>
              </w:rPr>
              <w:t xml:space="preserve"> في«بخ»</w:t>
            </w:r>
            <w:r w:rsidRPr="005D642E">
              <w:rPr>
                <w:rtl/>
              </w:rPr>
              <w:t>:</w:t>
            </w:r>
            <w:r>
              <w:rPr>
                <w:rtl/>
              </w:rPr>
              <w:t xml:space="preserve"> - «</w:t>
            </w:r>
            <w:r w:rsidRPr="005D642E">
              <w:rPr>
                <w:rtl/>
              </w:rPr>
              <w:t>لها</w:t>
            </w:r>
            <w:r>
              <w:rPr>
                <w:rtl/>
              </w:rPr>
              <w:t>». وفي «جن</w:t>
            </w:r>
            <w:r w:rsidRPr="005D642E">
              <w:rPr>
                <w:rtl/>
              </w:rPr>
              <w:t xml:space="preserve">» </w:t>
            </w:r>
            <w:r w:rsidRPr="000D749A">
              <w:rPr>
                <w:rStyle w:val="libFootnoteBoldChar"/>
                <w:rtl/>
              </w:rPr>
              <w:t>والوافي</w:t>
            </w:r>
            <w:r w:rsidRPr="005D642E">
              <w:rPr>
                <w:rtl/>
              </w:rPr>
              <w:t xml:space="preserve"> : « له</w:t>
            </w:r>
            <w:r>
              <w:rPr>
                <w:rtl/>
              </w:rPr>
              <w:t xml:space="preserve"> ».</w:t>
            </w:r>
          </w:p>
        </w:tc>
        <w:tc>
          <w:tcPr>
            <w:tcW w:w="4006" w:type="dxa"/>
          </w:tcPr>
          <w:p w:rsidR="006C0065" w:rsidRDefault="006C0065" w:rsidP="00E3253D">
            <w:pPr>
              <w:pStyle w:val="libFootnote0"/>
              <w:rPr>
                <w:rStyle w:val="libFootnote0Char"/>
                <w:rtl/>
              </w:rPr>
            </w:pPr>
            <w:r w:rsidRPr="0042621E">
              <w:rPr>
                <w:rStyle w:val="libFootnote0Char"/>
                <w:rtl/>
              </w:rPr>
              <w:t>(6).</w:t>
            </w:r>
            <w:r w:rsidRPr="005D642E">
              <w:rPr>
                <w:rtl/>
              </w:rPr>
              <w:t xml:space="preserve"> في الوافي : « له</w:t>
            </w:r>
            <w:r>
              <w:rPr>
                <w:rtl/>
              </w:rPr>
              <w:t xml:space="preserve"> ».</w:t>
            </w:r>
          </w:p>
        </w:tc>
      </w:tr>
    </w:tbl>
    <w:p w:rsidR="00E3253D" w:rsidRPr="005D642E" w:rsidRDefault="0042621E" w:rsidP="0035521A">
      <w:pPr>
        <w:pStyle w:val="libFootnote0"/>
        <w:rPr>
          <w:rtl/>
          <w:lang w:bidi="fa-IR"/>
        </w:rPr>
      </w:pPr>
      <w:r w:rsidRPr="0042621E">
        <w:rPr>
          <w:rStyle w:val="libFootnote0Char"/>
          <w:rtl/>
        </w:rPr>
        <w:t>(7).</w:t>
      </w:r>
      <w:r w:rsidR="00E3253D" w:rsidRPr="005D642E">
        <w:rPr>
          <w:rtl/>
        </w:rPr>
        <w:t xml:space="preserve"> في اللغة : سَخِيَتْ نفسي عن الشي‌ء : إذا تركتْه. وسخّى نفسَه عنه وبنفسه : تركه. وسخّيت نفسي عنه : تركته‌ولم</w:t>
      </w:r>
      <w:r w:rsidR="004F3F33">
        <w:rPr>
          <w:rtl/>
        </w:rPr>
        <w:t xml:space="preserve"> تنازعني نفسي إليه. وظاهر العل</w:t>
      </w:r>
      <w:r w:rsidR="004F3F33">
        <w:rPr>
          <w:rFonts w:hint="cs"/>
          <w:rtl/>
        </w:rPr>
        <w:t>ّ</w:t>
      </w:r>
      <w:r w:rsidR="004F3F33">
        <w:rPr>
          <w:rtl/>
        </w:rPr>
        <w:t>ا</w:t>
      </w:r>
      <w:r w:rsidR="00E3253D" w:rsidRPr="005D642E">
        <w:rPr>
          <w:rtl/>
        </w:rPr>
        <w:t xml:space="preserve">مة المجلسي أنّه قرأ « المنسية » </w:t>
      </w:r>
      <w:r w:rsidR="00E3253D">
        <w:rPr>
          <w:rtl/>
        </w:rPr>
        <w:t>و «</w:t>
      </w:r>
      <w:r w:rsidR="00E3253D" w:rsidRPr="005D642E">
        <w:rPr>
          <w:rtl/>
        </w:rPr>
        <w:t xml:space="preserve"> المسخية » </w:t>
      </w:r>
      <w:r w:rsidR="00E3253D">
        <w:rPr>
          <w:rtl/>
        </w:rPr>
        <w:t>و «</w:t>
      </w:r>
      <w:r w:rsidR="00E3253D" w:rsidRPr="005D642E">
        <w:rPr>
          <w:rtl/>
        </w:rPr>
        <w:t xml:space="preserve"> سخي » من باب المجرّد ، حيث قال : « الريحان تحتملان الحقيقة ويمكن أن يكونا مجازين عمّا يعرض له من ألطافه تعالى ، كتمثّل أهله وماله وأولاده له بحيث يعلم أنّها لاتنفعه ، فهي المنسيّة ، ورؤية النبيّ والأئمّة</w:t>
      </w:r>
      <w:r w:rsidR="00E3253D">
        <w:rPr>
          <w:rtl/>
        </w:rPr>
        <w:t xml:space="preserve"> </w:t>
      </w:r>
      <w:r w:rsidR="007642BC">
        <w:rPr>
          <w:rtl/>
        </w:rPr>
        <w:t>-</w:t>
      </w:r>
      <w:r w:rsidR="00E3253D">
        <w:rPr>
          <w:rtl/>
        </w:rPr>
        <w:t xml:space="preserve"> </w:t>
      </w:r>
      <w:r w:rsidR="00E3253D" w:rsidRPr="005D642E">
        <w:rPr>
          <w:rtl/>
        </w:rPr>
        <w:t>صلوات الله عليهم</w:t>
      </w:r>
      <w:r w:rsidR="00E3253D">
        <w:rPr>
          <w:rtl/>
        </w:rPr>
        <w:t xml:space="preserve"> </w:t>
      </w:r>
      <w:r w:rsidR="007642BC">
        <w:rPr>
          <w:rtl/>
        </w:rPr>
        <w:t>-</w:t>
      </w:r>
      <w:r w:rsidR="00E3253D">
        <w:rPr>
          <w:rtl/>
        </w:rPr>
        <w:t xml:space="preserve"> </w:t>
      </w:r>
      <w:r w:rsidR="00E3253D" w:rsidRPr="005D642E">
        <w:rPr>
          <w:rtl/>
        </w:rPr>
        <w:t xml:space="preserve">ومكانه من الجنّة ، فهي المسخيّة. وفي </w:t>
      </w:r>
      <w:r w:rsidR="00E3253D" w:rsidRPr="002F4D34">
        <w:rPr>
          <w:rStyle w:val="libFootnoteBoldChar"/>
          <w:rtl/>
        </w:rPr>
        <w:t>الصحاح</w:t>
      </w:r>
      <w:r w:rsidR="00E3253D" w:rsidRPr="005D642E">
        <w:rPr>
          <w:rtl/>
        </w:rPr>
        <w:t xml:space="preserve"> : سخت عن الشي‌ء ، إذا تركته</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6 ، ص 2373 ؛ </w:t>
      </w:r>
      <w:r w:rsidR="00E3253D" w:rsidRPr="0035521A">
        <w:rPr>
          <w:rStyle w:val="libFootnoteBoldChar"/>
          <w:rtl/>
        </w:rPr>
        <w:t>ول</w:t>
      </w:r>
      <w:r w:rsidR="00E3253D" w:rsidRPr="002F4D34">
        <w:rPr>
          <w:rStyle w:val="libFootnoteBoldChar"/>
          <w:rtl/>
        </w:rPr>
        <w:t>سان العرب</w:t>
      </w:r>
      <w:r w:rsidR="00E3253D" w:rsidRPr="005D642E">
        <w:rPr>
          <w:rtl/>
        </w:rPr>
        <w:t xml:space="preserve"> ، ج 14 ، ص 373 ( سخا ) ؛ </w:t>
      </w:r>
      <w:r w:rsidR="00E3253D" w:rsidRPr="002F4D34">
        <w:rPr>
          <w:rStyle w:val="libFootnoteBoldChar"/>
          <w:rtl/>
        </w:rPr>
        <w:t xml:space="preserve">مرآة العقول </w:t>
      </w:r>
      <w:r w:rsidR="00E3253D" w:rsidRPr="005D642E">
        <w:rPr>
          <w:rtl/>
        </w:rPr>
        <w:t>، ج 13 ، ص 284.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عِنْدَ اللهِ</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333EA4">
        <w:rPr>
          <w:rtl/>
        </w:rPr>
        <w:t>4308</w:t>
      </w:r>
      <w:r w:rsidRPr="00246318">
        <w:rPr>
          <w:rStyle w:val="libBold2Char"/>
          <w:rtl/>
        </w:rPr>
        <w:t xml:space="preserve"> / 2.</w:t>
      </w:r>
      <w:r w:rsidRPr="005D642E">
        <w:rPr>
          <w:rtl/>
          <w:lang w:bidi="fa-IR"/>
        </w:rPr>
        <w:t xml:space="preserve"> عِدَّةٌ مِنْ أَصْحَابِنَا ، عَنْ سَهْلِ بْنِ زِيَادٍ ، عَنْ مُحَمَّدِ بْنِ سُلَيْمَانَ ، عَنْ أَبِيهِ </w:t>
      </w:r>
      <w:r w:rsidRPr="007C12DB">
        <w:rPr>
          <w:rStyle w:val="libFootnotenumChar"/>
          <w:rtl/>
        </w:rPr>
        <w:t>(2)</w:t>
      </w:r>
      <w:r w:rsidRPr="005D642E">
        <w:rPr>
          <w:rtl/>
          <w:lang w:bidi="fa-IR"/>
        </w:rPr>
        <w:t xml:space="preserve"> ، عَنْ سَدِيرٍ الصَّيْرَفِيِّ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جُعِلْتُ فِدَاكَ ، يَا ابْنَ رَسُولِ اللهِ ، هَلْ يُكْرَهُ الْمُؤْمِنُ عَلى قَبْضِ رُوحِهِ</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(3)</w:t>
      </w:r>
      <w:r w:rsidRPr="005D642E">
        <w:rPr>
          <w:rtl/>
          <w:lang w:bidi="fa-IR"/>
        </w:rPr>
        <w:t xml:space="preserve"> : « لَا وَاللهِ ؛ إِنَّهُ إِذَا أَتَاهُ مَلَكُ الْمَوْتِ لِقَبْضِ </w:t>
      </w:r>
      <w:r w:rsidRPr="007C12DB">
        <w:rPr>
          <w:rStyle w:val="libFootnotenumChar"/>
          <w:rtl/>
        </w:rPr>
        <w:t>(4)</w:t>
      </w:r>
      <w:r w:rsidRPr="005D642E">
        <w:rPr>
          <w:rtl/>
          <w:lang w:bidi="fa-IR"/>
        </w:rPr>
        <w:t xml:space="preserve"> رُوحِهِ ، جَزِعَ عِنْدَ ذلِكَ ، فَيَقُولُ لَهُ مَلَكُ </w:t>
      </w:r>
      <w:r w:rsidRPr="007C12DB">
        <w:rPr>
          <w:rStyle w:val="libFootnotenumChar"/>
          <w:rtl/>
        </w:rPr>
        <w:t>(5)</w:t>
      </w:r>
      <w:r w:rsidRPr="005D642E">
        <w:rPr>
          <w:rtl/>
          <w:lang w:bidi="fa-IR"/>
        </w:rPr>
        <w:t xml:space="preserve"> الْمَوْتِ : يَا وَلِيَّ اللهِ ، لَاتَجْزَعْ ، فَوَ الَّذِي </w:t>
      </w:r>
      <w:r w:rsidRPr="007C12DB">
        <w:rPr>
          <w:rStyle w:val="libFootnotenumChar"/>
          <w:rtl/>
        </w:rPr>
        <w:t>(6)</w:t>
      </w:r>
      <w:r w:rsidRPr="005D642E">
        <w:rPr>
          <w:rtl/>
          <w:lang w:bidi="fa-IR"/>
        </w:rPr>
        <w:t xml:space="preserve"> بَعَثَ مُحَمَّداً </w:t>
      </w:r>
      <w:r w:rsidR="0042621E" w:rsidRPr="0042621E">
        <w:rPr>
          <w:rStyle w:val="libAlaemChar"/>
          <w:rtl/>
        </w:rPr>
        <w:t>صلى‌الله‌عليه‌وآله</w:t>
      </w:r>
      <w:r w:rsidRPr="005D642E">
        <w:rPr>
          <w:rtl/>
          <w:lang w:bidi="fa-IR"/>
        </w:rPr>
        <w:t xml:space="preserve"> لَأَنَا أَبَرُّ بِكَ وَأَشْفَقُ عَلَيْكَ مِنْ وَالِدٍ رَحِيمٍ ، لَوْ حَضَرَكَ افْتَحْ عَيْنَيْكَ </w:t>
      </w:r>
      <w:r w:rsidRPr="007C12DB">
        <w:rPr>
          <w:rStyle w:val="libFootnotenumChar"/>
          <w:rtl/>
        </w:rPr>
        <w:t>(7)</w:t>
      </w:r>
      <w:r w:rsidRPr="005D642E">
        <w:rPr>
          <w:rtl/>
          <w:lang w:bidi="fa-IR"/>
        </w:rPr>
        <w:t xml:space="preserve"> فَانْظُرْ</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وَيُمَثَّلُ </w:t>
      </w:r>
      <w:r w:rsidRPr="007C12DB">
        <w:rPr>
          <w:rStyle w:val="libFootnotenumChar"/>
          <w:rtl/>
        </w:rPr>
        <w:t>(8)</w:t>
      </w:r>
      <w:r w:rsidRPr="005D642E">
        <w:rPr>
          <w:rtl/>
          <w:lang w:bidi="fa-IR"/>
        </w:rPr>
        <w:t xml:space="preserve"> لَهُ رَسُولُ اللهِ </w:t>
      </w:r>
      <w:r w:rsidR="0042621E" w:rsidRPr="0042621E">
        <w:rPr>
          <w:rStyle w:val="libAlaemChar"/>
          <w:rtl/>
        </w:rPr>
        <w:t>صلى‌الله‌عليه‌وآله</w:t>
      </w:r>
      <w:r w:rsidRPr="005D642E">
        <w:rPr>
          <w:rtl/>
          <w:lang w:bidi="fa-IR"/>
        </w:rPr>
        <w:t xml:space="preserve"> وَأَمِيرُ الْمُؤْمِنِينَ وَفَاطِمَةُ وَالْحَسَنُ وَالْحُسَيْنُ وَالْأَئِمَّةُ مِنْ </w:t>
      </w:r>
      <w:r w:rsidRPr="007C12DB">
        <w:rPr>
          <w:rStyle w:val="libFootnotenumChar"/>
          <w:rtl/>
        </w:rPr>
        <w:t>(9)</w:t>
      </w:r>
      <w:r w:rsidRPr="005D642E">
        <w:rPr>
          <w:rtl/>
          <w:lang w:bidi="fa-IR"/>
        </w:rPr>
        <w:t xml:space="preserve"> ذُرِّيَّتِهِمْ </w:t>
      </w:r>
      <w:r w:rsidRPr="00AC51C5">
        <w:rPr>
          <w:rStyle w:val="libAlaemChar"/>
          <w:rtl/>
        </w:rPr>
        <w:t>عليهم‌السلام</w:t>
      </w:r>
      <w:r w:rsidRPr="005D642E">
        <w:rPr>
          <w:rtl/>
          <w:lang w:bidi="fa-IR"/>
        </w:rPr>
        <w:t xml:space="preserve"> ، فَيُقَالُ لَهُ : هذَا رَسُولُ اللهِ وَأَمِيرُ الْمُؤْمِنِينَ وَفَاطِمَةُ وَالْحَسَنُ وَالْحُسَيْنُ وَالْأَئِمَّةُ </w:t>
      </w:r>
      <w:r w:rsidRPr="00AC51C5">
        <w:rPr>
          <w:rStyle w:val="libAlaemChar"/>
          <w:rtl/>
        </w:rPr>
        <w:t>عليهم‌السلام</w:t>
      </w:r>
      <w:r w:rsidRPr="005D642E">
        <w:rPr>
          <w:rtl/>
          <w:lang w:bidi="fa-IR"/>
        </w:rPr>
        <w:t xml:space="preserve"> رُفَقَاؤُكَ » قَالَ : « فَيَفْتَحُ عَيْنَهُ </w:t>
      </w:r>
      <w:r w:rsidRPr="007C12DB">
        <w:rPr>
          <w:rStyle w:val="libFootnotenumChar"/>
          <w:rtl/>
        </w:rPr>
        <w:t>(10)</w:t>
      </w:r>
      <w:r w:rsidRPr="005D642E">
        <w:rPr>
          <w:rtl/>
          <w:lang w:bidi="fa-IR"/>
        </w:rPr>
        <w:t xml:space="preserve"> فَيَنْظُرُ ، فَيُنَادِي رُوحَهُ مُنَادٍ مِنْ قِبَلِ رَبِّ الْعِزَّةِ ، فَيَقُولُ : </w:t>
      </w:r>
      <w:r w:rsidRPr="00AC51C5">
        <w:rPr>
          <w:rStyle w:val="libAlaemChar"/>
          <w:rtl/>
        </w:rPr>
        <w:t>(</w:t>
      </w:r>
      <w:r w:rsidRPr="00AC51C5">
        <w:rPr>
          <w:rStyle w:val="libAieChar"/>
          <w:rtl/>
        </w:rPr>
        <w:t xml:space="preserve"> يا أَيَّتُهَا النَّفْسُ الْمُطْمَئِنَّةُ </w:t>
      </w:r>
      <w:r w:rsidRPr="00AC51C5">
        <w:rPr>
          <w:rStyle w:val="libAlaemChar"/>
          <w:rtl/>
        </w:rPr>
        <w:t>)</w:t>
      </w:r>
      <w:r w:rsidRPr="005D642E">
        <w:rPr>
          <w:rtl/>
          <w:lang w:bidi="fa-IR"/>
        </w:rPr>
        <w:t xml:space="preserve"> إِلى مُحَمَّدٍ وَأَهْلِ بَيْتِهِ</w:t>
      </w:r>
      <w:r>
        <w:rPr>
          <w:rFonts w:hint="cs"/>
          <w:rtl/>
          <w:lang w:bidi="fa-IR"/>
        </w:rPr>
        <w:t xml:space="preserve"> </w:t>
      </w:r>
      <w:r w:rsidRPr="00AC51C5">
        <w:rPr>
          <w:rStyle w:val="libAlaemChar"/>
          <w:rtl/>
        </w:rPr>
        <w:t>(</w:t>
      </w:r>
      <w:r w:rsidRPr="00AC51C5">
        <w:rPr>
          <w:rStyle w:val="libAieChar"/>
          <w:rtl/>
        </w:rPr>
        <w:t xml:space="preserve"> ارْجِعِي إِلى رَبِّكِ راضِيَةً </w:t>
      </w:r>
      <w:r w:rsidRPr="00AC51C5">
        <w:rPr>
          <w:rStyle w:val="libAlaemChar"/>
          <w:rtl/>
        </w:rPr>
        <w:t>)</w:t>
      </w:r>
      <w:r w:rsidRPr="005D642E">
        <w:rPr>
          <w:rtl/>
          <w:lang w:bidi="fa-IR"/>
        </w:rPr>
        <w:t xml:space="preserve"> بِالْوَلَايَةِ</w:t>
      </w:r>
      <w:r>
        <w:rPr>
          <w:rFonts w:hint="cs"/>
          <w:rtl/>
          <w:lang w:bidi="fa-IR"/>
        </w:rPr>
        <w:t xml:space="preserve"> </w:t>
      </w:r>
      <w:r w:rsidRPr="00AC51C5">
        <w:rPr>
          <w:rStyle w:val="libAlaemChar"/>
          <w:rtl/>
        </w:rPr>
        <w:t>(</w:t>
      </w:r>
      <w:r w:rsidRPr="00AC51C5">
        <w:rPr>
          <w:rStyle w:val="libAieChar"/>
          <w:rtl/>
        </w:rPr>
        <w:t xml:space="preserve"> مَرْضِيَّةً </w:t>
      </w:r>
      <w:r w:rsidRPr="00AC51C5">
        <w:rPr>
          <w:rStyle w:val="libAlaemChar"/>
          <w:rtl/>
        </w:rPr>
        <w:t>)</w:t>
      </w:r>
      <w:r w:rsidRPr="005D642E">
        <w:rPr>
          <w:rtl/>
          <w:lang w:bidi="fa-IR"/>
        </w:rPr>
        <w:t xml:space="preserve"> بِالثَّوَابِ</w:t>
      </w:r>
      <w:r>
        <w:rPr>
          <w:rFonts w:hint="cs"/>
          <w:rtl/>
          <w:lang w:bidi="fa-IR"/>
        </w:rPr>
        <w:t xml:space="preserve"> </w:t>
      </w:r>
      <w:r w:rsidRPr="00AC51C5">
        <w:rPr>
          <w:rStyle w:val="libAlaemChar"/>
          <w:rtl/>
        </w:rPr>
        <w:t>(</w:t>
      </w:r>
      <w:r w:rsidRPr="00AC51C5">
        <w:rPr>
          <w:rStyle w:val="libAieChar"/>
          <w:rtl/>
        </w:rPr>
        <w:t xml:space="preserve"> فَادْخُلِي فِي عِبادِي </w:t>
      </w:r>
      <w:r w:rsidRPr="00AC51C5">
        <w:rPr>
          <w:rStyle w:val="libAlaemChar"/>
          <w:rtl/>
        </w:rPr>
        <w:t>)</w:t>
      </w:r>
      <w:r w:rsidRPr="005D642E">
        <w:rPr>
          <w:rtl/>
          <w:lang w:bidi="fa-IR"/>
        </w:rPr>
        <w:t xml:space="preserve"> يَعْنِي مُحَمَّداً وَأَهْلَ بَيْتِهِ</w:t>
      </w:r>
      <w:r>
        <w:rPr>
          <w:rFonts w:hint="cs"/>
          <w:rtl/>
          <w:lang w:bidi="fa-IR"/>
        </w:rPr>
        <w:t xml:space="preserve"> </w:t>
      </w:r>
      <w:r w:rsidRPr="00AC51C5">
        <w:rPr>
          <w:rStyle w:val="libAlaemChar"/>
          <w:rtl/>
        </w:rPr>
        <w:t>(</w:t>
      </w:r>
      <w:r w:rsidRPr="00AC51C5">
        <w:rPr>
          <w:rStyle w:val="libAieChar"/>
          <w:rtl/>
        </w:rPr>
        <w:t xml:space="preserve"> وَ</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معاني الأخبار</w:t>
      </w:r>
      <w:r w:rsidR="00E3253D" w:rsidRPr="005D642E">
        <w:rPr>
          <w:rtl/>
        </w:rPr>
        <w:t xml:space="preserve"> ، ص 142 ، ح 1 ، بسنده عن أبي محمّد الأنصاري ، مع اختلاف يسير. </w:t>
      </w:r>
      <w:r w:rsidR="00E3253D" w:rsidRPr="0035521A">
        <w:rPr>
          <w:rStyle w:val="libFootnoteBoldChar"/>
          <w:rtl/>
        </w:rPr>
        <w:t>الأمالي للطوسي</w:t>
      </w:r>
      <w:r w:rsidR="00E3253D" w:rsidRPr="005D642E">
        <w:rPr>
          <w:rtl/>
        </w:rPr>
        <w:t xml:space="preserve"> ، ص 414 ، المجلس 14 ، ح 80 ، بسند آخر عن أبي عبدالله ، عن عليّ بن الحسين </w:t>
      </w:r>
      <w:r w:rsidR="00E3253D" w:rsidRPr="0035521A">
        <w:rPr>
          <w:rStyle w:val="libFootnoteAlaemChar"/>
          <w:rtl/>
        </w:rPr>
        <w:t>عليهم‌السلام</w:t>
      </w:r>
      <w:r w:rsidR="00E3253D" w:rsidRPr="005D642E">
        <w:rPr>
          <w:rtl/>
        </w:rPr>
        <w:t xml:space="preserve"> ، مع اختلاف </w:t>
      </w:r>
      <w:r w:rsidR="0035521A">
        <w:rPr>
          <w:rFonts w:hint="cs"/>
          <w:rtl/>
        </w:rPr>
        <w:t>.</w:t>
      </w:r>
      <w:r w:rsidR="00E3253D" w:rsidRPr="002F4D34">
        <w:rPr>
          <w:rStyle w:val="libFootnoteBoldChar"/>
          <w:rtl/>
        </w:rPr>
        <w:t>الوافي</w:t>
      </w:r>
      <w:r w:rsidR="00E3253D" w:rsidRPr="005D642E">
        <w:rPr>
          <w:rtl/>
        </w:rPr>
        <w:t xml:space="preserve"> ، ج 24 ، ص 243 ، ح 23972.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البحار ، ج 61 :</w:t>
      </w:r>
      <w:r w:rsidR="00E3253D">
        <w:rPr>
          <w:rtl/>
        </w:rPr>
        <w:t xml:space="preserve"> </w:t>
      </w:r>
      <w:r w:rsidR="007642BC">
        <w:rPr>
          <w:rtl/>
        </w:rPr>
        <w:t>-</w:t>
      </w:r>
      <w:r w:rsidR="00E3253D">
        <w:rPr>
          <w:rtl/>
        </w:rPr>
        <w:t xml:space="preserve"> </w:t>
      </w:r>
      <w:r w:rsidR="00E3253D" w:rsidRPr="005D642E">
        <w:rPr>
          <w:rtl/>
        </w:rPr>
        <w:t>« عن أبيه</w:t>
      </w:r>
      <w:r w:rsidR="00E3253D">
        <w:rPr>
          <w:rtl/>
        </w:rPr>
        <w:t xml:space="preserve"> ».</w:t>
      </w:r>
      <w:r w:rsidR="00E3253D" w:rsidRPr="005D642E">
        <w:rPr>
          <w:rtl/>
        </w:rPr>
        <w:t xml:space="preserve"> والظاهر من طبقة سدير ثبوت « عن أبيه » في السند.</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جح » : « ليقبض</w:t>
      </w:r>
      <w:r w:rsidR="00E3253D">
        <w:rPr>
          <w:rtl/>
        </w:rPr>
        <w:t xml:space="preserve"> ».</w:t>
      </w:r>
      <w:r w:rsidR="00E3253D" w:rsidRPr="005D642E">
        <w:rPr>
          <w:rtl/>
        </w:rPr>
        <w:t xml:space="preserve"> وفي « بخ ، بف » </w:t>
      </w:r>
      <w:r w:rsidR="000D749A" w:rsidRPr="000D749A">
        <w:rPr>
          <w:rStyle w:val="libFootnoteBoldChar"/>
          <w:rtl/>
        </w:rPr>
        <w:t>والوافي</w:t>
      </w:r>
      <w:r w:rsidR="00E3253D" w:rsidRPr="005D642E">
        <w:rPr>
          <w:rtl/>
        </w:rPr>
        <w:t xml:space="preserve"> : « بقبض</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 « الملك</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بف » : « والذي</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معظم النسخ التي قوبلت والبحار. وفي « بف » والمطبوع : « عينك</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 « وتمثل</w:t>
      </w:r>
      <w:r w:rsidR="00E3253D">
        <w:rPr>
          <w:rtl/>
        </w:rPr>
        <w:t xml:space="preserve"> ».</w:t>
      </w:r>
      <w:r w:rsidR="00E3253D" w:rsidRPr="005D642E">
        <w:rPr>
          <w:rtl/>
        </w:rPr>
        <w:t xml:space="preserve"> وفي البحار ، ج 61 : « ويتمثّل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5521A" w:rsidTr="0035521A">
        <w:tc>
          <w:tcPr>
            <w:tcW w:w="4006" w:type="dxa"/>
          </w:tcPr>
          <w:p w:rsidR="0035521A" w:rsidRDefault="0035521A" w:rsidP="00E3253D">
            <w:pPr>
              <w:pStyle w:val="libFootnote0"/>
              <w:rPr>
                <w:rStyle w:val="libFootnote0Char"/>
                <w:rtl/>
              </w:rPr>
            </w:pPr>
            <w:r w:rsidRPr="0042621E">
              <w:rPr>
                <w:rStyle w:val="libFootnote0Char"/>
                <w:rtl/>
              </w:rPr>
              <w:t>(9).</w:t>
            </w:r>
            <w:r w:rsidRPr="005D642E">
              <w:rPr>
                <w:rtl/>
              </w:rPr>
              <w:t xml:space="preserve"> في « جن » : « </w:t>
            </w:r>
            <w:r>
              <w:rPr>
                <w:rtl/>
              </w:rPr>
              <w:t>و »</w:t>
            </w:r>
            <w:r w:rsidRPr="005D642E">
              <w:rPr>
                <w:rtl/>
              </w:rPr>
              <w:t xml:space="preserve"> بدل « من</w:t>
            </w:r>
            <w:r>
              <w:rPr>
                <w:rtl/>
              </w:rPr>
              <w:t xml:space="preserve"> ».</w:t>
            </w:r>
          </w:p>
        </w:tc>
        <w:tc>
          <w:tcPr>
            <w:tcW w:w="4006" w:type="dxa"/>
          </w:tcPr>
          <w:p w:rsidR="0035521A" w:rsidRDefault="0035521A" w:rsidP="00E3253D">
            <w:pPr>
              <w:pStyle w:val="libFootnote0"/>
              <w:rPr>
                <w:rStyle w:val="libFootnote0Char"/>
                <w:rtl/>
              </w:rPr>
            </w:pPr>
            <w:r w:rsidRPr="0042621E">
              <w:rPr>
                <w:rStyle w:val="libFootnote0Char"/>
                <w:rtl/>
              </w:rPr>
              <w:t>(10).</w:t>
            </w:r>
            <w:r w:rsidR="00A35AEA">
              <w:rPr>
                <w:rtl/>
              </w:rPr>
              <w:t xml:space="preserve"> في «ظ ،غ،ى ،بث،جن » والبحار : «</w:t>
            </w:r>
            <w:r w:rsidRPr="005D642E">
              <w:rPr>
                <w:rtl/>
              </w:rPr>
              <w:t>عينيه</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AC51C5">
        <w:rPr>
          <w:rStyle w:val="libAieChar"/>
          <w:rtl/>
        </w:rPr>
        <w:lastRenderedPageBreak/>
        <w:t xml:space="preserve">ادْخُلِي جَنَّتِي </w:t>
      </w:r>
      <w:r w:rsidRPr="00AC51C5">
        <w:rPr>
          <w:rStyle w:val="libAlaemChar"/>
          <w:rtl/>
        </w:rPr>
        <w:t>)</w:t>
      </w:r>
      <w:r w:rsidRPr="005D642E">
        <w:rPr>
          <w:rtl/>
          <w:lang w:bidi="fa-IR"/>
        </w:rPr>
        <w:t xml:space="preserve"> </w:t>
      </w:r>
      <w:r w:rsidRPr="007C12DB">
        <w:rPr>
          <w:rStyle w:val="libFootnotenumChar"/>
          <w:rtl/>
        </w:rPr>
        <w:t>(1)</w:t>
      </w:r>
      <w:r w:rsidRPr="005D642E">
        <w:rPr>
          <w:rtl/>
          <w:lang w:bidi="fa-IR"/>
        </w:rPr>
        <w:t xml:space="preserve"> فَمَا </w:t>
      </w:r>
      <w:r w:rsidRPr="007C12DB">
        <w:rPr>
          <w:rStyle w:val="libFootnotenumChar"/>
          <w:rtl/>
        </w:rPr>
        <w:t>(2)</w:t>
      </w:r>
      <w:r w:rsidRPr="005D642E">
        <w:rPr>
          <w:rtl/>
          <w:lang w:bidi="fa-IR"/>
        </w:rPr>
        <w:t xml:space="preserve"> شَيْ‌ءٌ أَحَبَّ إِلَيْهِ مِنِ اسْتِلَالِ </w:t>
      </w:r>
      <w:r w:rsidRPr="007C12DB">
        <w:rPr>
          <w:rStyle w:val="libFootnotenumChar"/>
          <w:rtl/>
        </w:rPr>
        <w:t>(3)</w:t>
      </w:r>
      <w:r w:rsidRPr="005D642E">
        <w:rPr>
          <w:rtl/>
          <w:lang w:bidi="fa-IR"/>
        </w:rPr>
        <w:t xml:space="preserve"> رُوحِهِ ، وَاللُّحُوقِ بِالْمُنَادِي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293" w:name="_Toc344647308"/>
      <w:bookmarkStart w:id="294" w:name="_Toc462226822"/>
      <w:bookmarkStart w:id="295" w:name="_Toc40975931"/>
      <w:r w:rsidRPr="005D642E">
        <w:rPr>
          <w:rtl/>
          <w:lang w:bidi="fa-IR"/>
        </w:rPr>
        <w:t>13</w:t>
      </w:r>
      <w:r>
        <w:rPr>
          <w:rtl/>
          <w:lang w:bidi="fa-IR"/>
        </w:rPr>
        <w:t xml:space="preserve"> </w:t>
      </w:r>
      <w:r w:rsidR="007642BC">
        <w:rPr>
          <w:rtl/>
          <w:lang w:bidi="fa-IR"/>
        </w:rPr>
        <w:t>-</w:t>
      </w:r>
      <w:r>
        <w:rPr>
          <w:rtl/>
          <w:lang w:bidi="fa-IR"/>
        </w:rPr>
        <w:t xml:space="preserve"> </w:t>
      </w:r>
      <w:r w:rsidRPr="005D642E">
        <w:rPr>
          <w:rtl/>
          <w:lang w:bidi="fa-IR"/>
        </w:rPr>
        <w:t>بَابُ مَا يُعَايِنُ الْمُؤْمِنُ وَالْكَافِرُ‌</w:t>
      </w:r>
      <w:bookmarkEnd w:id="293"/>
      <w:bookmarkEnd w:id="294"/>
      <w:bookmarkEnd w:id="295"/>
    </w:p>
    <w:p w:rsidR="00E3253D" w:rsidRPr="005D642E" w:rsidRDefault="00E3253D" w:rsidP="00E3253D">
      <w:pPr>
        <w:pStyle w:val="libNormal"/>
        <w:rPr>
          <w:rtl/>
          <w:lang w:bidi="fa-IR"/>
        </w:rPr>
      </w:pPr>
      <w:r w:rsidRPr="00333EA4">
        <w:rPr>
          <w:rtl/>
        </w:rPr>
        <w:t>4309</w:t>
      </w:r>
      <w:r w:rsidRPr="00246318">
        <w:rPr>
          <w:rStyle w:val="libBold2Char"/>
          <w:rtl/>
        </w:rPr>
        <w:t xml:space="preserve"> / 1.</w:t>
      </w:r>
      <w:r w:rsidRPr="005D642E">
        <w:rPr>
          <w:rtl/>
          <w:lang w:bidi="fa-IR"/>
        </w:rPr>
        <w:t xml:space="preserve"> عِدَّةٌ مِنْ أَصْحَابِنَا ، عَنْ سَهْلِ بْنِ زِيَادٍ ، عَنِ ابْنِ فَضَّالٍ ، عَنْ عَلِيِّ بْنِ عُقْبَةَ ، عَنْ أَبِيهِ ، قَالَ :</w:t>
      </w:r>
    </w:p>
    <w:p w:rsidR="00E3253D" w:rsidRPr="005D642E" w:rsidRDefault="00E3253D" w:rsidP="00E3253D">
      <w:pPr>
        <w:pStyle w:val="libNormal"/>
        <w:rPr>
          <w:rtl/>
          <w:lang w:bidi="fa-IR"/>
        </w:rPr>
      </w:pPr>
      <w:r w:rsidRPr="005D642E">
        <w:rPr>
          <w:rtl/>
          <w:lang w:bidi="fa-IR"/>
        </w:rPr>
        <w:t xml:space="preserve">قَالَ لِي أَبُو عَبْدِ اللهِ </w:t>
      </w:r>
      <w:r w:rsidRPr="00AC51C5">
        <w:rPr>
          <w:rStyle w:val="libAlaemChar"/>
          <w:rtl/>
        </w:rPr>
        <w:t>عليه‌السلام</w:t>
      </w:r>
      <w:r w:rsidRPr="005D642E">
        <w:rPr>
          <w:rtl/>
          <w:lang w:bidi="fa-IR"/>
        </w:rPr>
        <w:t xml:space="preserve"> : « يَا عُقْبَةُ ، لَايَقْبَلُ اللهُ مِنَ الْعِبَادِ يَوْمَ الْقِيَامَ</w:t>
      </w:r>
      <w:r w:rsidR="00A35AEA">
        <w:rPr>
          <w:rtl/>
          <w:lang w:bidi="fa-IR"/>
        </w:rPr>
        <w:t>ةِ إِل</w:t>
      </w:r>
      <w:r w:rsidR="00A35AEA">
        <w:rPr>
          <w:rFonts w:hint="cs"/>
          <w:rtl/>
          <w:lang w:bidi="fa-IR"/>
        </w:rPr>
        <w:t>َّ</w:t>
      </w:r>
      <w:r w:rsidR="00A35AEA">
        <w:rPr>
          <w:rtl/>
          <w:lang w:bidi="fa-IR"/>
        </w:rPr>
        <w:t>ا</w:t>
      </w:r>
      <w:r w:rsidRPr="005D642E">
        <w:rPr>
          <w:rtl/>
          <w:lang w:bidi="fa-IR"/>
        </w:rPr>
        <w:t xml:space="preserve"> هذَا الْأَمْرَ الَّذِي أَنْتُمْ عَلَيْهِ ، وَمَا بَيْنَ أَحَدِكُمْ وَبَيْنَ أَنْ يَرى مَا تَقَرُّ بِهِ عَيْنُهُ </w:t>
      </w:r>
      <w:r w:rsidRPr="007C12DB">
        <w:rPr>
          <w:rStyle w:val="libFootnotenumChar"/>
          <w:rtl/>
        </w:rPr>
        <w:t>(6)</w:t>
      </w:r>
      <w:r w:rsidR="00A35AEA">
        <w:rPr>
          <w:rtl/>
          <w:lang w:bidi="fa-IR"/>
        </w:rPr>
        <w:t xml:space="preserve"> إِل</w:t>
      </w:r>
      <w:r w:rsidR="00A35AEA">
        <w:rPr>
          <w:rFonts w:hint="cs"/>
          <w:rtl/>
          <w:lang w:bidi="fa-IR"/>
        </w:rPr>
        <w:t>َّ</w:t>
      </w:r>
      <w:r w:rsidR="00A35AEA">
        <w:rPr>
          <w:rtl/>
          <w:lang w:bidi="fa-IR"/>
        </w:rPr>
        <w:t>ا</w:t>
      </w:r>
      <w:r w:rsidRPr="005D642E">
        <w:rPr>
          <w:rtl/>
          <w:lang w:bidi="fa-IR"/>
        </w:rPr>
        <w:t xml:space="preserve"> أَنْ تَبْلُغَ نَفْسُهُ إِلى هذِهِ </w:t>
      </w:r>
      <w:r w:rsidRPr="007C12DB">
        <w:rPr>
          <w:rStyle w:val="libFootnotenumChar"/>
          <w:rtl/>
        </w:rPr>
        <w:t>(7)</w:t>
      </w:r>
      <w:r w:rsidRPr="005D642E">
        <w:rPr>
          <w:rtl/>
          <w:lang w:bidi="fa-IR"/>
        </w:rPr>
        <w:t xml:space="preserve"> » ثُمَّ أَهْوى بِيَدِهِ إِلَى الْوَرِيدِ ، ثُمَّ اتَّكَأَ.</w:t>
      </w:r>
    </w:p>
    <w:p w:rsidR="00E3253D" w:rsidRPr="005D642E" w:rsidRDefault="00E3253D" w:rsidP="00E3253D">
      <w:pPr>
        <w:pStyle w:val="libNormal"/>
        <w:rPr>
          <w:rtl/>
          <w:lang w:bidi="fa-IR"/>
        </w:rPr>
      </w:pPr>
      <w:r w:rsidRPr="005D642E">
        <w:rPr>
          <w:rtl/>
          <w:lang w:bidi="fa-IR"/>
        </w:rPr>
        <w:t xml:space="preserve">وَكَانَ مَعِيَ الْمُعَلّى ، فَغَمَزَنِي أَنْ أَسْأَلَهُ ، فَقُلْتُ : يَا ابْنَ رَسُولِ اللهِ ، فَإِذَا </w:t>
      </w:r>
      <w:r w:rsidRPr="007C12DB">
        <w:rPr>
          <w:rStyle w:val="libFootnotenumChar"/>
          <w:rtl/>
        </w:rPr>
        <w:t>(8)</w:t>
      </w:r>
      <w:r w:rsidRPr="005D642E">
        <w:rPr>
          <w:rtl/>
          <w:lang w:bidi="fa-IR"/>
        </w:rPr>
        <w:t xml:space="preserve"> بَلَغَتْ‌</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الفجر (89) : 27</w:t>
      </w:r>
      <w:r w:rsidR="00E3253D">
        <w:rPr>
          <w:rtl/>
        </w:rPr>
        <w:t xml:space="preserve"> </w:t>
      </w:r>
      <w:r w:rsidR="007642BC">
        <w:rPr>
          <w:rtl/>
        </w:rPr>
        <w:t>-</w:t>
      </w:r>
      <w:r w:rsidR="00E3253D">
        <w:rPr>
          <w:rtl/>
        </w:rPr>
        <w:t xml:space="preserve"> </w:t>
      </w:r>
      <w:r w:rsidR="00E3253D" w:rsidRPr="005D642E">
        <w:rPr>
          <w:rtl/>
        </w:rPr>
        <w:t>30.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جح » والبحار ، ج 6 : + « من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السَلّ والاستلال : انتزاع الشي‌ء وإخراجه في رفق. راجع : </w:t>
      </w:r>
      <w:r w:rsidR="00E3253D" w:rsidRPr="002F4D34">
        <w:rPr>
          <w:rStyle w:val="libFootnoteBoldChar"/>
          <w:rtl/>
        </w:rPr>
        <w:t>لسان العرب</w:t>
      </w:r>
      <w:r w:rsidR="00E3253D" w:rsidRPr="005D642E">
        <w:rPr>
          <w:rtl/>
        </w:rPr>
        <w:t xml:space="preserve"> ، ج 11 ، ص 338 ؛ </w:t>
      </w:r>
      <w:r w:rsidR="00E3253D" w:rsidRPr="002F4D34">
        <w:rPr>
          <w:rStyle w:val="libFootnoteBoldChar"/>
          <w:rtl/>
        </w:rPr>
        <w:t>القاموس المحيط</w:t>
      </w:r>
      <w:r w:rsidR="00E3253D" w:rsidRPr="005D642E">
        <w:rPr>
          <w:rtl/>
        </w:rPr>
        <w:t xml:space="preserve"> ، ج 2 ، ص 1342 ( سلل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A35AEA">
        <w:rPr>
          <w:rStyle w:val="libFootnoteAlaemChar"/>
          <w:rtl/>
        </w:rPr>
        <w:t>عليه‌السلام</w:t>
      </w:r>
      <w:r w:rsidR="00E3253D" w:rsidRPr="005D642E">
        <w:rPr>
          <w:rtl/>
        </w:rPr>
        <w:t xml:space="preserve"> : واللحوق بالمنادي ، على بناء الفاعل ، ويحتمل بناء المفعول ، أي المنادى له من محمّد وأهل بيته </w:t>
      </w:r>
      <w:r w:rsidR="00E3253D" w:rsidRPr="00A35AEA">
        <w:rPr>
          <w:rStyle w:val="libFootnoteAlaemChar"/>
          <w:rtl/>
        </w:rPr>
        <w:t>عليهم‌السلام</w:t>
      </w:r>
      <w:r w:rsidR="00E3253D" w:rsidRPr="005D642E">
        <w:rPr>
          <w:rtl/>
        </w:rPr>
        <w:t xml:space="preserve"> والجنّة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فضائل الشيعة</w:t>
      </w:r>
      <w:r w:rsidR="00E3253D" w:rsidRPr="005D642E">
        <w:rPr>
          <w:rtl/>
        </w:rPr>
        <w:t xml:space="preserve"> ، ص 30 ، ح 24 ، بسنده عن عبّاد بن سليمان ، عن سدير الصيرفي. </w:t>
      </w:r>
      <w:r w:rsidR="00E3253D" w:rsidRPr="002F4D34">
        <w:rPr>
          <w:rStyle w:val="libFootnoteBoldChar"/>
          <w:rtl/>
        </w:rPr>
        <w:t>تفسير فرات</w:t>
      </w:r>
      <w:r w:rsidR="00E3253D" w:rsidRPr="005D642E">
        <w:rPr>
          <w:rtl/>
        </w:rPr>
        <w:t xml:space="preserve"> ، ص 554 ، ح 709 ، بسند آخر ، مع زيادة ، وفيهما مع اختلاف يسير. </w:t>
      </w:r>
      <w:r w:rsidR="00E3253D" w:rsidRPr="002F4D34">
        <w:rPr>
          <w:rStyle w:val="libFootnoteBoldChar"/>
          <w:rtl/>
        </w:rPr>
        <w:t>وفيه</w:t>
      </w:r>
      <w:r w:rsidR="00E3253D" w:rsidRPr="005D642E">
        <w:rPr>
          <w:rtl/>
        </w:rPr>
        <w:t xml:space="preserve"> ، ص 553 ، ح 708 ، بسند آخر ، مع اختلاف وزيادة </w:t>
      </w:r>
      <w:r w:rsidR="00A35AEA">
        <w:rPr>
          <w:rFonts w:hint="cs"/>
          <w:rtl/>
        </w:rPr>
        <w:t>.</w:t>
      </w:r>
      <w:r w:rsidR="00E3253D" w:rsidRPr="002F4D34">
        <w:rPr>
          <w:rStyle w:val="libFootnoteBoldChar"/>
          <w:rtl/>
        </w:rPr>
        <w:t>الوافي</w:t>
      </w:r>
      <w:r w:rsidR="00E3253D" w:rsidRPr="005D642E">
        <w:rPr>
          <w:rtl/>
        </w:rPr>
        <w:t xml:space="preserve"> ، ج 24 ، ص 243 ، ح 23973 ؛ </w:t>
      </w:r>
      <w:r w:rsidR="00E3253D" w:rsidRPr="002F4D34">
        <w:rPr>
          <w:rStyle w:val="libFootnoteBoldChar"/>
          <w:rtl/>
        </w:rPr>
        <w:t>البحار</w:t>
      </w:r>
      <w:r w:rsidR="00E3253D" w:rsidRPr="005D642E">
        <w:rPr>
          <w:rtl/>
        </w:rPr>
        <w:t xml:space="preserve"> ، ج 6 ، ص 196 ، ح 49 ؛ وج 61 ، ص 48 ، ح 24.</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تقرّبه عينه » ، أي تبرد وينقطع بكاؤها واستحرارها بالدمع ؛ فإنّ للسرور دمعة باردة ، وللحزن دمعة حارّة. وقيل : هو من القَرار ، أي ترى ما كانت متشوّقة إليه فتقرّ وتنام. وقيل : تسرّ وتفرح. وفي </w:t>
      </w:r>
      <w:r w:rsidR="00E3253D" w:rsidRPr="002F4D34">
        <w:rPr>
          <w:rStyle w:val="libFootnoteBoldChar"/>
          <w:rtl/>
        </w:rPr>
        <w:t>الوافي</w:t>
      </w:r>
      <w:r w:rsidR="00E3253D" w:rsidRPr="005D642E">
        <w:rPr>
          <w:rtl/>
        </w:rPr>
        <w:t xml:space="preserve"> : « قرّة العين : برودتها وانقطاع بكائها ورؤيتها ما كانت مشتاقة إليه ، والقُرّ بالضمّ : ضدّ الحرّ ، والعرب تزعم أن دمع الباكي من شدّة السرور بارد ، ودمع الباكي من الحزن حارّ ، فقرّة العين كناية عن الفرح والسرور والظفر بالمطلوب</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4 ، ص 38</w:t>
      </w:r>
      <w:r w:rsidR="00E3253D">
        <w:rPr>
          <w:rtl/>
        </w:rPr>
        <w:t xml:space="preserve"> </w:t>
      </w:r>
      <w:r w:rsidR="007642BC">
        <w:rPr>
          <w:rtl/>
        </w:rPr>
        <w:t>-</w:t>
      </w:r>
      <w:r w:rsidR="00E3253D">
        <w:rPr>
          <w:rtl/>
        </w:rPr>
        <w:t xml:space="preserve"> </w:t>
      </w:r>
      <w:r w:rsidR="00E3253D" w:rsidRPr="005D642E">
        <w:rPr>
          <w:rtl/>
        </w:rPr>
        <w:t xml:space="preserve">39 ؛ </w:t>
      </w:r>
      <w:r w:rsidR="00E3253D" w:rsidRPr="002F4D34">
        <w:rPr>
          <w:rStyle w:val="libFootnoteBoldChar"/>
          <w:rtl/>
        </w:rPr>
        <w:t>لسان العرب</w:t>
      </w:r>
      <w:r w:rsidR="00E3253D" w:rsidRPr="005D642E">
        <w:rPr>
          <w:rtl/>
        </w:rPr>
        <w:t xml:space="preserve"> ، ج 5 ، ص 86 ( قرر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هذا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بث ، بخ ، بس ، بف ، جس ، جن » </w:t>
      </w:r>
      <w:r w:rsidR="000D749A" w:rsidRPr="000D749A">
        <w:rPr>
          <w:rStyle w:val="libFootnoteBoldChar"/>
          <w:rtl/>
        </w:rPr>
        <w:t>والوافي</w:t>
      </w:r>
      <w:r w:rsidR="00E3253D" w:rsidRPr="005D642E">
        <w:rPr>
          <w:rtl/>
        </w:rPr>
        <w:t xml:space="preserve"> </w:t>
      </w:r>
      <w:r w:rsidR="000D749A" w:rsidRPr="000D749A">
        <w:rPr>
          <w:rStyle w:val="libFootnoteBoldChar"/>
          <w:rtl/>
        </w:rPr>
        <w:t>والمحاسن</w:t>
      </w:r>
      <w:r w:rsidR="00E3253D" w:rsidRPr="005D642E">
        <w:rPr>
          <w:rtl/>
        </w:rPr>
        <w:t xml:space="preserve"> : « إذا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نَفْسُهُ هذِهِ أَيَّ شَيْ‌ءٍ يَرى</w:t>
      </w:r>
      <w:r>
        <w:rPr>
          <w:rtl/>
          <w:lang w:bidi="fa-IR"/>
        </w:rPr>
        <w:t>؟</w:t>
      </w:r>
      <w:r w:rsidRPr="005D642E">
        <w:rPr>
          <w:rtl/>
          <w:lang w:bidi="fa-IR"/>
        </w:rPr>
        <w:t xml:space="preserve"> فَقُلْتُ لَهُ بِضْعَ </w:t>
      </w:r>
      <w:r w:rsidRPr="007C12DB">
        <w:rPr>
          <w:rStyle w:val="libFootnotenumChar"/>
          <w:rtl/>
        </w:rPr>
        <w:t>(1)</w:t>
      </w:r>
      <w:r w:rsidRPr="005D642E">
        <w:rPr>
          <w:rtl/>
          <w:lang w:bidi="fa-IR"/>
        </w:rPr>
        <w:t xml:space="preserve"> عَشْرَةَ مَرَّةً : أَيَّ شَيْ‌ءٍ </w:t>
      </w:r>
      <w:r w:rsidRPr="007C12DB">
        <w:rPr>
          <w:rStyle w:val="libFootnotenumChar"/>
          <w:rtl/>
        </w:rPr>
        <w:t>(2)</w:t>
      </w:r>
      <w:r>
        <w:rPr>
          <w:rtl/>
          <w:lang w:bidi="fa-IR"/>
        </w:rPr>
        <w:t>؟</w:t>
      </w:r>
      <w:r w:rsidRPr="005D642E">
        <w:rPr>
          <w:rtl/>
          <w:lang w:bidi="fa-IR"/>
        </w:rPr>
        <w:t xml:space="preserve"> فَقَالَ فِي كُلِّهَا :</w:t>
      </w:r>
      <w:r>
        <w:rPr>
          <w:lang w:bidi="fa-IR"/>
        </w:rPr>
        <w:t xml:space="preserve"> </w:t>
      </w:r>
      <w:r w:rsidRPr="005D642E">
        <w:rPr>
          <w:rtl/>
          <w:lang w:bidi="fa-IR"/>
        </w:rPr>
        <w:t xml:space="preserve">« يَرى » وَلَايَزِيدُ </w:t>
      </w:r>
      <w:r w:rsidRPr="007C12DB">
        <w:rPr>
          <w:rStyle w:val="libFootnotenumChar"/>
          <w:rtl/>
        </w:rPr>
        <w:t>(3)</w:t>
      </w:r>
      <w:r w:rsidRPr="005D642E">
        <w:rPr>
          <w:rtl/>
          <w:lang w:bidi="fa-IR"/>
        </w:rPr>
        <w:t xml:space="preserve"> عَلَيْهَا.</w:t>
      </w:r>
    </w:p>
    <w:p w:rsidR="00E3253D" w:rsidRPr="005D642E" w:rsidRDefault="00E3253D" w:rsidP="00E3253D">
      <w:pPr>
        <w:pStyle w:val="libNormal"/>
        <w:rPr>
          <w:rtl/>
          <w:lang w:bidi="fa-IR"/>
        </w:rPr>
      </w:pPr>
      <w:r w:rsidRPr="005D642E">
        <w:rPr>
          <w:rtl/>
          <w:lang w:bidi="fa-IR"/>
        </w:rPr>
        <w:t>ثُمَّ جَلَسَ فِي آخِرِهَا ، فَقَالَ : « يَا عُقْبَةُ » فَقُلْتُ : لَبَّيْكَ وَسَعْدَيْ</w:t>
      </w:r>
      <w:r w:rsidR="00A35AEA">
        <w:rPr>
          <w:rtl/>
          <w:lang w:bidi="fa-IR"/>
        </w:rPr>
        <w:t>كَ ، فَقَالَ : « أَبَيْتَ إِل</w:t>
      </w:r>
      <w:r w:rsidR="00A35AEA">
        <w:rPr>
          <w:rFonts w:hint="cs"/>
          <w:rtl/>
          <w:lang w:bidi="fa-IR"/>
        </w:rPr>
        <w:t>َّ</w:t>
      </w:r>
      <w:r w:rsidR="00A35AEA">
        <w:rPr>
          <w:rtl/>
          <w:lang w:bidi="fa-IR"/>
        </w:rPr>
        <w:t>ا</w:t>
      </w:r>
      <w:r w:rsidRPr="005D642E">
        <w:rPr>
          <w:rtl/>
          <w:lang w:bidi="fa-IR"/>
        </w:rPr>
        <w:t xml:space="preserve"> أَنْ تَعْلَمَ </w:t>
      </w:r>
      <w:r w:rsidRPr="007C12DB">
        <w:rPr>
          <w:rStyle w:val="libFootnotenumChar"/>
          <w:rtl/>
        </w:rPr>
        <w:t>(4)</w:t>
      </w:r>
      <w:r>
        <w:rPr>
          <w:rtl/>
          <w:lang w:bidi="fa-IR"/>
        </w:rPr>
        <w:t>؟</w:t>
      </w:r>
      <w:r w:rsidRPr="005D642E">
        <w:rPr>
          <w:rtl/>
          <w:lang w:bidi="fa-IR"/>
        </w:rPr>
        <w:t xml:space="preserve"> » فَقُلْتُ : نَعَمْ يَا ابْنَ رَسُولِ اللهِ ، إِنَّمَا دِينِي مَعَ دِينِكَ ، فَإِذَا ذَهَبَ دِينِي كَانَ ذلِكَ </w:t>
      </w:r>
      <w:r w:rsidRPr="007C12DB">
        <w:rPr>
          <w:rStyle w:val="libFootnotenumChar"/>
          <w:rtl/>
        </w:rPr>
        <w:t>(5)</w:t>
      </w:r>
      <w:r w:rsidRPr="005D642E">
        <w:rPr>
          <w:rtl/>
          <w:lang w:bidi="fa-IR"/>
        </w:rPr>
        <w:t xml:space="preserve"> ، كَيْفَ لِي بِكَ يَا ابْنَ رَسُولِ اللهِ كُلَّ سَاعَةٍ</w:t>
      </w:r>
      <w:r>
        <w:rPr>
          <w:rtl/>
          <w:lang w:bidi="fa-IR"/>
        </w:rPr>
        <w:t>؟</w:t>
      </w:r>
      <w:r w:rsidRPr="005D642E">
        <w:rPr>
          <w:rtl/>
          <w:lang w:bidi="fa-IR"/>
        </w:rPr>
        <w:t xml:space="preserve"> وَبَكَيْتُ </w:t>
      </w:r>
      <w:r w:rsidRPr="007C12DB">
        <w:rPr>
          <w:rStyle w:val="libFootnotenumChar"/>
          <w:rtl/>
        </w:rPr>
        <w:t>(6)</w:t>
      </w:r>
      <w:r w:rsidRPr="005D642E">
        <w:rPr>
          <w:rtl/>
          <w:lang w:bidi="fa-IR"/>
        </w:rPr>
        <w:t xml:space="preserve"> ، فَرَقَّ لِي ، فَقَالَ </w:t>
      </w:r>
      <w:r w:rsidRPr="007C12DB">
        <w:rPr>
          <w:rStyle w:val="libFootnotenumChar"/>
          <w:rtl/>
        </w:rPr>
        <w:t>(7)</w:t>
      </w:r>
      <w:r w:rsidRPr="005D642E">
        <w:rPr>
          <w:rtl/>
          <w:lang w:bidi="fa-IR"/>
        </w:rPr>
        <w:t xml:space="preserve"> : « يَرَاهُمَا وَاللهِ</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w:t>
      </w:r>
      <w:r w:rsidRPr="007C12DB">
        <w:rPr>
          <w:rStyle w:val="libFootnotenumChar"/>
          <w:rtl/>
        </w:rPr>
        <w:t>(8)</w:t>
      </w:r>
      <w:r w:rsidRPr="005D642E">
        <w:rPr>
          <w:rtl/>
          <w:lang w:bidi="fa-IR"/>
        </w:rPr>
        <w:t xml:space="preserve"> : بِأَبِي وَأُمِّي مَنْ هُمَا</w:t>
      </w:r>
      <w:r>
        <w:rPr>
          <w:rtl/>
          <w:lang w:bidi="fa-IR"/>
        </w:rPr>
        <w:t>؟</w:t>
      </w:r>
    </w:p>
    <w:p w:rsidR="00E3253D" w:rsidRPr="005D642E" w:rsidRDefault="00E3253D" w:rsidP="00E3253D">
      <w:pPr>
        <w:pStyle w:val="libNormal"/>
        <w:rPr>
          <w:rtl/>
          <w:lang w:bidi="fa-IR"/>
        </w:rPr>
      </w:pPr>
      <w:r w:rsidRPr="005D642E">
        <w:rPr>
          <w:rtl/>
          <w:lang w:bidi="fa-IR"/>
        </w:rPr>
        <w:t xml:space="preserve">قَالَ : « ذلِكَ </w:t>
      </w:r>
      <w:r w:rsidRPr="007C12DB">
        <w:rPr>
          <w:rStyle w:val="libFootnotenumChar"/>
          <w:rtl/>
        </w:rPr>
        <w:t>(9)</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وَعَلِيٌّ </w:t>
      </w:r>
      <w:r w:rsidRPr="00AC51C5">
        <w:rPr>
          <w:rStyle w:val="libAlaemChar"/>
          <w:rtl/>
        </w:rPr>
        <w:t>عليه‌السلام</w:t>
      </w:r>
      <w:r w:rsidRPr="005D642E">
        <w:rPr>
          <w:rtl/>
          <w:lang w:bidi="fa-IR"/>
        </w:rPr>
        <w:t xml:space="preserve"> ، يَا عُقْبَةُ ، لَنْ تَمُوتَ نَفْسٌ مُؤْمِنَةٌ أَبَداً </w:t>
      </w:r>
      <w:r w:rsidRPr="007C12DB">
        <w:rPr>
          <w:rStyle w:val="libFootnotenumChar"/>
          <w:rtl/>
        </w:rPr>
        <w:t>(10)</w:t>
      </w:r>
      <w:r w:rsidRPr="005D642E">
        <w:rPr>
          <w:rtl/>
          <w:lang w:bidi="fa-IR"/>
        </w:rPr>
        <w:t xml:space="preserve"> حَتّى تَرَاهُمَا</w:t>
      </w:r>
      <w:r>
        <w:rPr>
          <w:rtl/>
          <w:lang w:bidi="fa-IR"/>
        </w:rPr>
        <w:t xml:space="preserve"> ».</w:t>
      </w:r>
    </w:p>
    <w:p w:rsidR="00E3253D" w:rsidRDefault="00E3253D" w:rsidP="00E3253D">
      <w:pPr>
        <w:pStyle w:val="libNormal"/>
        <w:rPr>
          <w:rtl/>
          <w:lang w:bidi="fa-IR"/>
        </w:rPr>
      </w:pPr>
      <w:r w:rsidRPr="005D642E">
        <w:rPr>
          <w:rtl/>
          <w:lang w:bidi="fa-IR"/>
        </w:rPr>
        <w:t xml:space="preserve">قُلْتُ : فَإِذَا </w:t>
      </w:r>
      <w:r w:rsidRPr="007C12DB">
        <w:rPr>
          <w:rStyle w:val="libFootnotenumChar"/>
          <w:rtl/>
        </w:rPr>
        <w:t>(11)</w:t>
      </w:r>
      <w:r w:rsidRPr="005D642E">
        <w:rPr>
          <w:rtl/>
          <w:lang w:bidi="fa-IR"/>
        </w:rPr>
        <w:t xml:space="preserve"> نَظَ</w:t>
      </w:r>
      <w:r>
        <w:rPr>
          <w:rtl/>
          <w:lang w:bidi="fa-IR"/>
        </w:rPr>
        <w:t>رَ إِلَيْهِمَا الْمُؤْمِنُ ، أَ</w:t>
      </w:r>
      <w:r w:rsidRPr="005D642E">
        <w:rPr>
          <w:rtl/>
          <w:lang w:bidi="fa-IR"/>
        </w:rPr>
        <w:t xml:space="preserve">يَرْجِعُ </w:t>
      </w:r>
      <w:r w:rsidRPr="007C12DB">
        <w:rPr>
          <w:rStyle w:val="libFootnotenumChar"/>
          <w:rtl/>
        </w:rPr>
        <w:t>(12)</w:t>
      </w:r>
      <w:r w:rsidRPr="005D642E">
        <w:rPr>
          <w:rtl/>
          <w:lang w:bidi="fa-IR"/>
        </w:rPr>
        <w:t xml:space="preserve"> إِلَى الدُّنْيَا</w:t>
      </w:r>
      <w:r>
        <w:rPr>
          <w:rtl/>
          <w:lang w:bidi="fa-IR"/>
        </w:rPr>
        <w:t>؟</w:t>
      </w:r>
    </w:p>
    <w:p w:rsidR="00E3253D" w:rsidRPr="005D642E" w:rsidRDefault="00E3253D" w:rsidP="00E3253D">
      <w:pPr>
        <w:pStyle w:val="libNormal"/>
        <w:rPr>
          <w:rtl/>
          <w:lang w:bidi="fa-IR"/>
        </w:rPr>
      </w:pPr>
      <w:r w:rsidRPr="005D642E">
        <w:rPr>
          <w:rtl/>
          <w:lang w:bidi="fa-IR"/>
        </w:rPr>
        <w:t>فَقَالَ : « لَا ، يَمْضِي أَمَامَهُ ، إِذَا نَظَرَ إِلَيْهِمَا مَضى أَمَامَهُ</w:t>
      </w:r>
      <w:r>
        <w:rPr>
          <w:rtl/>
          <w:lang w:bidi="fa-IR"/>
        </w:rPr>
        <w:t xml:space="preserve"> ».</w:t>
      </w:r>
    </w:p>
    <w:p w:rsidR="00E3253D" w:rsidRPr="005D642E" w:rsidRDefault="00E3253D" w:rsidP="00E3253D">
      <w:pPr>
        <w:pStyle w:val="libNormal"/>
        <w:rPr>
          <w:rtl/>
          <w:lang w:bidi="fa-IR"/>
        </w:rPr>
      </w:pPr>
      <w:r w:rsidRPr="005D642E">
        <w:rPr>
          <w:rtl/>
          <w:lang w:bidi="fa-IR"/>
        </w:rPr>
        <w:t xml:space="preserve">فَقُلْتُ </w:t>
      </w:r>
      <w:r w:rsidRPr="007C12DB">
        <w:rPr>
          <w:rStyle w:val="libFootnotenumChar"/>
          <w:rtl/>
        </w:rPr>
        <w:t>(</w:t>
      </w:r>
      <w:r w:rsidRPr="007C12DB">
        <w:rPr>
          <w:rStyle w:val="libFootnotenumChar"/>
          <w:rFonts w:hint="cs"/>
          <w:rtl/>
        </w:rPr>
        <w:t>13</w:t>
      </w:r>
      <w:r w:rsidRPr="007C12DB">
        <w:rPr>
          <w:rStyle w:val="libFootnotenumChar"/>
          <w:rtl/>
        </w:rPr>
        <w:t>)</w:t>
      </w:r>
      <w:r w:rsidRPr="005D642E">
        <w:rPr>
          <w:rtl/>
          <w:lang w:bidi="fa-IR"/>
        </w:rPr>
        <w:t xml:space="preserve"> لَهُ : يَقُولَانِ شَيْئاً</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بث ، بف » : « بضعة</w:t>
      </w:r>
      <w:r w:rsidR="00E3253D">
        <w:rPr>
          <w:rtl/>
        </w:rPr>
        <w:t xml:space="preserve"> ».</w:t>
      </w:r>
      <w:r w:rsidR="00E3253D" w:rsidRPr="005D642E">
        <w:rPr>
          <w:rtl/>
        </w:rPr>
        <w:t xml:space="preserve"> والبِضْع والبِضعة في العدد : قطعة مبهمة غير محدودة. راجع : </w:t>
      </w:r>
      <w:r w:rsidR="00E3253D" w:rsidRPr="002F4D34">
        <w:rPr>
          <w:rStyle w:val="libFootnoteBoldChar"/>
          <w:rtl/>
        </w:rPr>
        <w:t>المصباح المنير</w:t>
      </w:r>
      <w:r w:rsidR="00E3253D" w:rsidRPr="005D642E">
        <w:rPr>
          <w:rtl/>
        </w:rPr>
        <w:t xml:space="preserve"> ، ص 51 ( بضع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بف » </w:t>
      </w:r>
      <w:r w:rsidR="000D749A" w:rsidRPr="000D749A">
        <w:rPr>
          <w:rStyle w:val="libFootnoteBoldChar"/>
          <w:rtl/>
        </w:rPr>
        <w:t>والمحاسن</w:t>
      </w:r>
      <w:r w:rsidR="00E3253D" w:rsidRPr="005D642E">
        <w:rPr>
          <w:rtl/>
        </w:rPr>
        <w:t xml:space="preserve"> </w:t>
      </w:r>
      <w:r w:rsidR="009E68BB" w:rsidRPr="009E68BB">
        <w:rPr>
          <w:rStyle w:val="libFootnoteBoldChar"/>
          <w:rtl/>
        </w:rPr>
        <w:t>وتفسير العيّاشي</w:t>
      </w:r>
      <w:r w:rsidR="00E3253D" w:rsidRPr="005D642E">
        <w:rPr>
          <w:rtl/>
        </w:rPr>
        <w:t xml:space="preserve"> : + « يرى</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ى ، بح ، جح ، جس ، جن » : « لايزيد » بدون الواو. وفي « بث » : « فلا يزيد</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أن يعلم</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الوافي</w:t>
      </w:r>
      <w:r w:rsidR="00E3253D" w:rsidRPr="005D642E">
        <w:rPr>
          <w:rtl/>
        </w:rPr>
        <w:t xml:space="preserve"> : « كان في « كان ذلك » تامّة ، أي إذا ذهب ديني تحقّق تخلّفي عنك ومفارقتي إيّاك وعدم اكتراثي</w:t>
      </w:r>
      <w:r w:rsidR="007D33DE">
        <w:rPr>
          <w:rFonts w:hint="cs"/>
          <w:rtl/>
        </w:rPr>
        <w:t xml:space="preserve"> </w:t>
      </w:r>
      <w:r w:rsidR="00E3253D" w:rsidRPr="005D642E">
        <w:rPr>
          <w:rtl/>
        </w:rPr>
        <w:t>‌بالجهل بما تعلم</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3 ، ص 86 : «</w:t>
      </w:r>
      <w:r w:rsidR="00E3253D">
        <w:rPr>
          <w:rtl/>
        </w:rPr>
        <w:t xml:space="preserve"> ..</w:t>
      </w:r>
      <w:r w:rsidR="00E3253D" w:rsidRPr="005D642E">
        <w:rPr>
          <w:rtl/>
        </w:rPr>
        <w:t>. كان ذلك ، أي الخسران والهلاك والعذاب الأبدي ، فذلك إشارة إلى ما هو المعلوم ممّا يترتّب على من فسدت عقيدته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D33DE" w:rsidTr="007D33DE">
        <w:tc>
          <w:tcPr>
            <w:tcW w:w="4006" w:type="dxa"/>
          </w:tcPr>
          <w:p w:rsidR="007D33DE" w:rsidRDefault="007D33DE" w:rsidP="00E3253D">
            <w:pPr>
              <w:pStyle w:val="libFootnote0"/>
              <w:rPr>
                <w:rStyle w:val="libFootnote0Char"/>
                <w:rtl/>
              </w:rPr>
            </w:pPr>
            <w:r w:rsidRPr="0042621E">
              <w:rPr>
                <w:rStyle w:val="libFootnote0Char"/>
                <w:rtl/>
              </w:rPr>
              <w:t>(6).</w:t>
            </w:r>
            <w:r w:rsidRPr="005D642E">
              <w:rPr>
                <w:rtl/>
              </w:rPr>
              <w:t xml:space="preserve"> في « غ » : « فبكيت</w:t>
            </w:r>
            <w:r>
              <w:rPr>
                <w:rtl/>
              </w:rPr>
              <w:t xml:space="preserve"> ».</w:t>
            </w:r>
          </w:p>
        </w:tc>
        <w:tc>
          <w:tcPr>
            <w:tcW w:w="4006" w:type="dxa"/>
          </w:tcPr>
          <w:p w:rsidR="007D33DE" w:rsidRDefault="007D33DE" w:rsidP="00E3253D">
            <w:pPr>
              <w:pStyle w:val="libFootnote0"/>
              <w:rPr>
                <w:rStyle w:val="libFootnote0Char"/>
                <w:rtl/>
              </w:rPr>
            </w:pPr>
            <w:r w:rsidRPr="0042621E">
              <w:rPr>
                <w:rStyle w:val="libFootnote0Char"/>
                <w:rtl/>
              </w:rPr>
              <w:t>(7).</w:t>
            </w:r>
            <w:r w:rsidRPr="005D642E">
              <w:rPr>
                <w:rtl/>
              </w:rPr>
              <w:t xml:space="preserve"> في الوافي : « وقال</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w:t>
      </w:r>
      <w:r w:rsidR="000D749A" w:rsidRPr="000D749A">
        <w:rPr>
          <w:rStyle w:val="libFootnoteBoldChar"/>
          <w:rtl/>
        </w:rPr>
        <w:t>والمحاسن</w:t>
      </w:r>
      <w:r w:rsidR="00E3253D" w:rsidRPr="005D642E">
        <w:rPr>
          <w:rtl/>
        </w:rPr>
        <w:t>. وفي المطبوع : « فقلت</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بث ، جس » </w:t>
      </w:r>
      <w:r w:rsidR="000D749A" w:rsidRPr="000D749A">
        <w:rPr>
          <w:rStyle w:val="libFootnoteBoldChar"/>
          <w:rtl/>
        </w:rPr>
        <w:t>والوافي</w:t>
      </w:r>
      <w:r w:rsidR="00E3253D" w:rsidRPr="005D642E">
        <w:rPr>
          <w:rtl/>
        </w:rPr>
        <w:t xml:space="preserve"> </w:t>
      </w:r>
      <w:r w:rsidR="000D749A" w:rsidRPr="000D749A">
        <w:rPr>
          <w:rStyle w:val="libFootnoteBoldChar"/>
          <w:rtl/>
        </w:rPr>
        <w:t>والمحاسن</w:t>
      </w:r>
      <w:r w:rsidR="00E3253D" w:rsidRPr="005D642E">
        <w:rPr>
          <w:rtl/>
        </w:rPr>
        <w:t xml:space="preserve"> : « ذاك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D33DE" w:rsidTr="007D33DE">
        <w:tc>
          <w:tcPr>
            <w:tcW w:w="4006" w:type="dxa"/>
          </w:tcPr>
          <w:p w:rsidR="007D33DE" w:rsidRDefault="007D33DE" w:rsidP="00E3253D">
            <w:pPr>
              <w:pStyle w:val="libFootnote0"/>
              <w:rPr>
                <w:rStyle w:val="libFootnote0Char"/>
                <w:rtl/>
              </w:rPr>
            </w:pPr>
            <w:r w:rsidRPr="0042621E">
              <w:rPr>
                <w:rStyle w:val="libFootnote0Char"/>
                <w:rtl/>
              </w:rPr>
              <w:t>(10).</w:t>
            </w:r>
            <w:r w:rsidRPr="005D642E">
              <w:rPr>
                <w:rtl/>
              </w:rPr>
              <w:t xml:space="preserve"> في الوافي :</w:t>
            </w:r>
            <w:r>
              <w:rPr>
                <w:rtl/>
              </w:rPr>
              <w:t xml:space="preserve"> - </w:t>
            </w:r>
            <w:r w:rsidRPr="005D642E">
              <w:rPr>
                <w:rtl/>
              </w:rPr>
              <w:t>« أبداً</w:t>
            </w:r>
            <w:r>
              <w:rPr>
                <w:rtl/>
              </w:rPr>
              <w:t xml:space="preserve"> ».</w:t>
            </w:r>
          </w:p>
        </w:tc>
        <w:tc>
          <w:tcPr>
            <w:tcW w:w="4006" w:type="dxa"/>
          </w:tcPr>
          <w:p w:rsidR="007D33DE" w:rsidRDefault="007D33DE" w:rsidP="00E3253D">
            <w:pPr>
              <w:pStyle w:val="libFootnote0"/>
              <w:rPr>
                <w:rStyle w:val="libFootnote0Char"/>
                <w:rtl/>
              </w:rPr>
            </w:pPr>
            <w:r w:rsidRPr="0042621E">
              <w:rPr>
                <w:rStyle w:val="libFootnote0Char"/>
                <w:rtl/>
              </w:rPr>
              <w:t>(11).</w:t>
            </w:r>
            <w:r w:rsidRPr="005D642E">
              <w:rPr>
                <w:rtl/>
              </w:rPr>
              <w:t xml:space="preserve"> في « ى » : « إذا</w:t>
            </w:r>
            <w:r>
              <w:rPr>
                <w:rtl/>
              </w:rPr>
              <w:t xml:space="preserve"> ».</w:t>
            </w:r>
          </w:p>
        </w:tc>
      </w:tr>
      <w:tr w:rsidR="007D33DE" w:rsidTr="007D33DE">
        <w:tc>
          <w:tcPr>
            <w:tcW w:w="4006" w:type="dxa"/>
          </w:tcPr>
          <w:p w:rsidR="007D33DE" w:rsidRDefault="007D33DE" w:rsidP="00E3253D">
            <w:pPr>
              <w:pStyle w:val="libFootnote0"/>
              <w:rPr>
                <w:rStyle w:val="libFootnote0Char"/>
                <w:rtl/>
              </w:rPr>
            </w:pPr>
            <w:r w:rsidRPr="0042621E">
              <w:rPr>
                <w:rStyle w:val="libFootnote0Char"/>
                <w:rtl/>
              </w:rPr>
              <w:t>(12).</w:t>
            </w:r>
            <w:r>
              <w:rPr>
                <w:rtl/>
              </w:rPr>
              <w:t xml:space="preserve"> في « ظ » : « أ</w:t>
            </w:r>
            <w:r w:rsidRPr="005D642E">
              <w:rPr>
                <w:rtl/>
              </w:rPr>
              <w:t>يراجع</w:t>
            </w:r>
            <w:r>
              <w:rPr>
                <w:rtl/>
              </w:rPr>
              <w:t xml:space="preserve"> ».</w:t>
            </w:r>
          </w:p>
        </w:tc>
        <w:tc>
          <w:tcPr>
            <w:tcW w:w="4006" w:type="dxa"/>
          </w:tcPr>
          <w:p w:rsidR="007D33DE" w:rsidRDefault="007D33DE" w:rsidP="00E3253D">
            <w:pPr>
              <w:pStyle w:val="libFootnote0"/>
              <w:rPr>
                <w:rStyle w:val="libFootnote0Char"/>
                <w:rtl/>
              </w:rPr>
            </w:pPr>
            <w:r w:rsidRPr="0042621E">
              <w:rPr>
                <w:rStyle w:val="libFootnote0Char"/>
                <w:rtl/>
              </w:rPr>
              <w:t>(13).</w:t>
            </w:r>
            <w:r>
              <w:rPr>
                <w:rtl/>
              </w:rPr>
              <w:t xml:space="preserve"> </w:t>
            </w:r>
            <w:r w:rsidRPr="005D642E">
              <w:rPr>
                <w:rtl/>
              </w:rPr>
              <w:t>في « بث ، بخ ، بف ، جن » : « قلت</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نَعَمْ ، يَدْخُلَانِ جَمِيعاً عَلَى الْمُؤْمِنِ ، فَيَجْلِسُ رَسُولُ اللهِ </w:t>
      </w:r>
      <w:r w:rsidR="0042621E" w:rsidRPr="0042621E">
        <w:rPr>
          <w:rStyle w:val="libAlaemChar"/>
          <w:rtl/>
        </w:rPr>
        <w:t>صلى‌الله‌عليه‌وآله</w:t>
      </w:r>
      <w:r w:rsidRPr="005D642E">
        <w:rPr>
          <w:rtl/>
          <w:lang w:bidi="fa-IR"/>
        </w:rPr>
        <w:t xml:space="preserve"> عِنْدَ رَأْسِهِ ، وَعَلِيٌّ </w:t>
      </w:r>
      <w:r w:rsidRPr="00AC51C5">
        <w:rPr>
          <w:rStyle w:val="libAlaemChar"/>
          <w:rtl/>
        </w:rPr>
        <w:t>عليه‌السلام</w:t>
      </w:r>
      <w:r w:rsidRPr="005D642E">
        <w:rPr>
          <w:rtl/>
          <w:lang w:bidi="fa-IR"/>
        </w:rPr>
        <w:t xml:space="preserve"> عِنْدَ رِجْلَيْهِ ، فَيُكِبُّ عَلَيْهِ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 فَيَقُولُ : يَا وَلِيَّ اللهِ ، أَبْشِرْ ، أَنَا رَسُولُ اللهِ ، إِنِّي خَيْرٌ لَكَ مِمَّا تَرَكْتَ مِنَ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الدُّنْيَا ، ثُمَّ يَنْهَضُ رَسُولُ اللهِ </w:t>
      </w:r>
      <w:r w:rsidR="0042621E" w:rsidRPr="0042621E">
        <w:rPr>
          <w:rStyle w:val="libAlaemChar"/>
          <w:rtl/>
        </w:rPr>
        <w:t>صلى‌الله‌عليه‌وآله</w:t>
      </w:r>
      <w:r w:rsidRPr="005D642E">
        <w:rPr>
          <w:rtl/>
          <w:lang w:bidi="fa-IR"/>
        </w:rPr>
        <w:t xml:space="preserve"> ، فَيَقُومُ عَلِيٌّ </w:t>
      </w:r>
      <w:r w:rsidRPr="00AC51C5">
        <w:rPr>
          <w:rStyle w:val="libAlaemChar"/>
          <w:rtl/>
        </w:rPr>
        <w:t>عليه‌السلام</w:t>
      </w:r>
      <w:r w:rsidRPr="005D642E">
        <w:rPr>
          <w:rtl/>
          <w:lang w:bidi="fa-IR"/>
        </w:rPr>
        <w:t xml:space="preserve"> حَتّى يُكِبَّ عَلَيْهِ ، فَيَقُولُ : يَا وَلِيَّ اللهِ ، أَبْشِرْ ، أَنَا عَلِيُّ بْنُ أَبِي طَالِبٍ الَّذِي كُنْتَ تُحِبُّ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 أَمَا لَأَنْفَعَنَّكَ</w:t>
      </w:r>
      <w:r>
        <w:rPr>
          <w:rtl/>
          <w:lang w:bidi="fa-IR"/>
        </w:rPr>
        <w:t xml:space="preserve"> ».</w:t>
      </w:r>
    </w:p>
    <w:p w:rsidR="00E3253D" w:rsidRPr="005D642E" w:rsidRDefault="00E3253D" w:rsidP="00E3253D">
      <w:pPr>
        <w:pStyle w:val="libNormal"/>
        <w:rPr>
          <w:rtl/>
          <w:lang w:bidi="fa-IR"/>
        </w:rPr>
      </w:pPr>
      <w:r w:rsidRPr="005D642E">
        <w:rPr>
          <w:rtl/>
          <w:lang w:bidi="fa-IR"/>
        </w:rPr>
        <w:t xml:space="preserve">ثُمَّ قَالَ : « إِنَّ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هذَا فِي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كِتَابِ اللهِ عَزَّ وَجَلَّ</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 أَيْنَ</w:t>
      </w:r>
      <w:r>
        <w:rPr>
          <w:rtl/>
          <w:lang w:bidi="fa-IR"/>
        </w:rPr>
        <w:t xml:space="preserve"> </w:t>
      </w:r>
      <w:r w:rsidR="007642BC">
        <w:rPr>
          <w:rtl/>
          <w:lang w:bidi="fa-IR"/>
        </w:rPr>
        <w:t>-</w:t>
      </w:r>
      <w:r>
        <w:rPr>
          <w:rtl/>
          <w:lang w:bidi="fa-IR"/>
        </w:rPr>
        <w:t xml:space="preserve"> </w:t>
      </w:r>
      <w:r w:rsidRPr="005D642E">
        <w:rPr>
          <w:rtl/>
          <w:lang w:bidi="fa-IR"/>
        </w:rPr>
        <w:t>جَعَلَنِيَ اللهُ فِدَاكَ</w:t>
      </w:r>
      <w:r>
        <w:rPr>
          <w:rtl/>
          <w:lang w:bidi="fa-IR"/>
        </w:rPr>
        <w:t xml:space="preserve"> </w:t>
      </w:r>
      <w:r w:rsidR="007642BC">
        <w:rPr>
          <w:rtl/>
          <w:lang w:bidi="fa-IR"/>
        </w:rPr>
        <w:t>-</w:t>
      </w:r>
      <w:r>
        <w:rPr>
          <w:rtl/>
          <w:lang w:bidi="fa-IR"/>
        </w:rPr>
        <w:t xml:space="preserve"> </w:t>
      </w:r>
      <w:r w:rsidRPr="005D642E">
        <w:rPr>
          <w:rtl/>
          <w:lang w:bidi="fa-IR"/>
        </w:rPr>
        <w:t xml:space="preserve">هذَا مِنْ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كِتَابِ اللهِ </w:t>
      </w:r>
      <w:r w:rsidRPr="007C12DB">
        <w:rPr>
          <w:rStyle w:val="libFootnotenumChar"/>
          <w:rtl/>
        </w:rPr>
        <w:t>(</w:t>
      </w:r>
      <w:r w:rsidRPr="007C12DB">
        <w:rPr>
          <w:rStyle w:val="libFootnotenumChar"/>
          <w:rFonts w:hint="cs"/>
          <w:rtl/>
        </w:rPr>
        <w:t>8</w:t>
      </w:r>
      <w:r w:rsidRPr="007C12DB">
        <w:rPr>
          <w:rStyle w:val="libFootnotenumChar"/>
          <w:rtl/>
        </w:rPr>
        <w:t>)</w:t>
      </w:r>
      <w:r>
        <w:rPr>
          <w:rtl/>
          <w:lang w:bidi="fa-IR"/>
        </w:rPr>
        <w:t>؟</w:t>
      </w:r>
    </w:p>
    <w:p w:rsidR="00E3253D" w:rsidRPr="005D642E" w:rsidRDefault="00E3253D" w:rsidP="00E3253D">
      <w:pPr>
        <w:pStyle w:val="libNormal"/>
        <w:rPr>
          <w:rtl/>
          <w:lang w:bidi="fa-IR"/>
        </w:rPr>
      </w:pPr>
      <w:r w:rsidRPr="005D642E">
        <w:rPr>
          <w:rtl/>
          <w:lang w:bidi="fa-IR"/>
        </w:rPr>
        <w:t>قَالَ : « فِي يُونُسَ قَوْلُ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هاهُنَا</w:t>
      </w:r>
      <w:r w:rsidRPr="00AC51C5">
        <w:rPr>
          <w:rStyle w:val="libAlaemChar"/>
          <w:rtl/>
        </w:rPr>
        <w:t>(</w:t>
      </w:r>
      <w:r w:rsidRPr="00AC51C5">
        <w:rPr>
          <w:rStyle w:val="libAieChar"/>
          <w:rtl/>
        </w:rPr>
        <w:t xml:space="preserve"> الَّذِينَ آمَنُوا وَكانُوا يَتَّقُونَ </w:t>
      </w:r>
      <w:r w:rsidR="007D33DE">
        <w:rPr>
          <w:rStyle w:val="libAieChar"/>
          <w:rFonts w:hint="cs"/>
          <w:rtl/>
        </w:rPr>
        <w:t xml:space="preserve">* </w:t>
      </w:r>
      <w:r w:rsidRPr="00AC51C5">
        <w:rPr>
          <w:rStyle w:val="libAieChar"/>
          <w:rtl/>
        </w:rPr>
        <w:t xml:space="preserve">لَهُمُ الْبُشْرى فِي الْحَياةِ الدُّنْيا وَفِي الْآخِرَةِ لا تَبْدِيلَ لِكَلِماتِ اللهِ ذلِكَ هُوَ الْفَوْزُ الْعَظِيمُ </w:t>
      </w:r>
      <w:r w:rsidRPr="00AC51C5">
        <w:rPr>
          <w:rStyle w:val="libAlaemChar"/>
          <w:rtl/>
        </w:rPr>
        <w:t>)</w:t>
      </w:r>
      <w:r w:rsidRPr="005D642E">
        <w:rPr>
          <w:rtl/>
          <w:lang w:bidi="fa-IR"/>
        </w:rPr>
        <w:t xml:space="preserve"> </w:t>
      </w:r>
      <w:r w:rsidRPr="007C12DB">
        <w:rPr>
          <w:rStyle w:val="libFootnotenumChar"/>
          <w:rtl/>
        </w:rPr>
        <w:t>(</w:t>
      </w:r>
      <w:r w:rsidRPr="007C12DB">
        <w:rPr>
          <w:rStyle w:val="libFootnotenumChar"/>
          <w:rFonts w:hint="cs"/>
          <w:rtl/>
        </w:rPr>
        <w:t>9</w:t>
      </w:r>
      <w:r w:rsidRPr="007C12DB">
        <w:rPr>
          <w:rStyle w:val="libFootnotenumChar"/>
          <w:rtl/>
        </w:rPr>
        <w:t>)</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4C186C">
        <w:rPr>
          <w:rtl/>
        </w:rPr>
        <w:t>4310</w:t>
      </w:r>
      <w:r w:rsidRPr="00246318">
        <w:rPr>
          <w:rStyle w:val="libBold2Char"/>
          <w:rtl/>
        </w:rPr>
        <w:t xml:space="preserve"> / 2.</w:t>
      </w:r>
      <w:r w:rsidRPr="005D642E">
        <w:rPr>
          <w:rtl/>
          <w:lang w:bidi="fa-IR"/>
        </w:rPr>
        <w:t xml:space="preserve"> عَلِيُّ بْنُ إِبْرَاهِيمَ ، عَنْ مُحَمَّدِ بْنِ عِيسى ، عَنْ يُونُسَ ، عَنْ خَالِدِ بْنِ عُمَارَةَ </w:t>
      </w:r>
      <w:r w:rsidRPr="007C12DB">
        <w:rPr>
          <w:rStyle w:val="libFootnotenumChar"/>
          <w:rtl/>
        </w:rPr>
        <w:t>(</w:t>
      </w:r>
      <w:r w:rsidRPr="007C12DB">
        <w:rPr>
          <w:rStyle w:val="libFootnotenumChar"/>
          <w:rFonts w:hint="cs"/>
          <w:rtl/>
        </w:rPr>
        <w:t>11</w:t>
      </w:r>
      <w:r w:rsidRPr="007C12DB">
        <w:rPr>
          <w:rStyle w:val="libFootnotenumChar"/>
          <w:rtl/>
        </w:rPr>
        <w:t>)</w:t>
      </w:r>
      <w:r w:rsidRPr="005D642E">
        <w:rPr>
          <w:rtl/>
          <w:lang w:bidi="fa-IR"/>
        </w:rPr>
        <w:t xml:space="preserve"> ، عَنْ أَبِي بَصِيرٍ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 فيكبّ عليه » ، أي يُقبل عليه ويلزمه ، يقال : أكبّ الرجلُ يُكبّ على عمل ، أي أقبل عليه ولزمه. ومجي‌ء</w:t>
      </w:r>
      <w:r w:rsidR="007D33DE">
        <w:rPr>
          <w:rFonts w:hint="cs"/>
          <w:rtl/>
        </w:rPr>
        <w:t xml:space="preserve"> </w:t>
      </w:r>
      <w:r w:rsidR="007D33DE">
        <w:rPr>
          <w:rtl/>
        </w:rPr>
        <w:t>الإفعال لل</w:t>
      </w:r>
      <w:r w:rsidR="007D33DE">
        <w:rPr>
          <w:rFonts w:hint="cs"/>
          <w:rtl/>
        </w:rPr>
        <w:t>ّ</w:t>
      </w:r>
      <w:r w:rsidR="007D33DE">
        <w:rPr>
          <w:rtl/>
        </w:rPr>
        <w:t>ا</w:t>
      </w:r>
      <w:r w:rsidR="00E3253D" w:rsidRPr="005D642E">
        <w:rPr>
          <w:rtl/>
        </w:rPr>
        <w:t xml:space="preserve">زم من النوادر. راجع : </w:t>
      </w:r>
      <w:r w:rsidR="00E3253D" w:rsidRPr="002F4D34">
        <w:rPr>
          <w:rStyle w:val="libFootnoteBoldChar"/>
          <w:rtl/>
        </w:rPr>
        <w:t>الصحاح</w:t>
      </w:r>
      <w:r w:rsidR="00E3253D" w:rsidRPr="005D642E">
        <w:rPr>
          <w:rtl/>
        </w:rPr>
        <w:t xml:space="preserve"> ، ج 1 ، ص 208 ؛ </w:t>
      </w:r>
      <w:r w:rsidR="00E3253D" w:rsidRPr="002F4D34">
        <w:rPr>
          <w:rStyle w:val="libFootnoteBoldChar"/>
          <w:rtl/>
        </w:rPr>
        <w:t>لسان العرب</w:t>
      </w:r>
      <w:r w:rsidR="00E3253D" w:rsidRPr="005D642E">
        <w:rPr>
          <w:rtl/>
        </w:rPr>
        <w:t xml:space="preserve"> ، ج 1 ، ص 693</w:t>
      </w:r>
      <w:r w:rsidR="00E3253D">
        <w:rPr>
          <w:rtl/>
        </w:rPr>
        <w:t xml:space="preserve"> </w:t>
      </w:r>
      <w:r w:rsidR="007642BC">
        <w:rPr>
          <w:rtl/>
        </w:rPr>
        <w:t>-</w:t>
      </w:r>
      <w:r w:rsidR="00E3253D">
        <w:rPr>
          <w:rtl/>
        </w:rPr>
        <w:t xml:space="preserve"> </w:t>
      </w:r>
      <w:r w:rsidR="007D33DE">
        <w:rPr>
          <w:rtl/>
        </w:rPr>
        <w:t>694 (كبب</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 « في</w:t>
      </w:r>
      <w:r w:rsidR="00E3253D">
        <w:rPr>
          <w:rtl/>
        </w:rPr>
        <w:t xml:space="preserve"> ».</w:t>
      </w:r>
    </w:p>
    <w:p w:rsidR="00E3253D" w:rsidRPr="005D642E" w:rsidRDefault="0042621E" w:rsidP="007D33DE">
      <w:pPr>
        <w:pStyle w:val="libFootnote0"/>
        <w:rPr>
          <w:rtl/>
          <w:lang w:bidi="fa-IR"/>
        </w:rPr>
      </w:pPr>
      <w:r w:rsidRPr="0042621E">
        <w:rPr>
          <w:rStyle w:val="libFootnote0Char"/>
          <w:rtl/>
        </w:rPr>
        <w:t>(3).</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والبحار. وفي المطبوع : « تحبّه</w:t>
      </w:r>
      <w:r w:rsidR="00E3253D">
        <w:rPr>
          <w:rtl/>
        </w:rPr>
        <w:t xml:space="preserve"> ».</w:t>
      </w:r>
      <w:r w:rsidR="00E3253D" w:rsidRPr="005D642E">
        <w:rPr>
          <w:rtl/>
        </w:rPr>
        <w:t xml:space="preserve"> وفي المحاسن </w:t>
      </w:r>
      <w:r w:rsidR="009E68BB" w:rsidRPr="009E68BB">
        <w:rPr>
          <w:rStyle w:val="libFootnoteBoldChar"/>
          <w:rtl/>
        </w:rPr>
        <w:t>وتفسير العيّاشي</w:t>
      </w:r>
      <w:r w:rsidR="00E3253D" w:rsidRPr="005D642E">
        <w:rPr>
          <w:rtl/>
        </w:rPr>
        <w:t xml:space="preserve"> : « تحبّني</w:t>
      </w:r>
      <w:r w:rsidR="00E3253D">
        <w:rPr>
          <w:rtl/>
        </w:rPr>
        <w:t xml:space="preserve"> ».</w:t>
      </w:r>
      <w:r w:rsidR="007D33DE">
        <w:rPr>
          <w:rFonts w:hint="cs"/>
          <w:rtl/>
        </w:rPr>
        <w:t xml:space="preserve">                                            </w:t>
      </w:r>
      <w:r w:rsidRPr="0042621E">
        <w:rPr>
          <w:rStyle w:val="libFootnote0Char"/>
          <w:rtl/>
        </w:rPr>
        <w:t>(4).</w:t>
      </w:r>
      <w:r w:rsidR="00E3253D" w:rsidRPr="005D642E">
        <w:rPr>
          <w:rtl/>
        </w:rPr>
        <w:t xml:space="preserve"> في « ظ » :</w:t>
      </w:r>
      <w:r w:rsidR="00E3253D">
        <w:rPr>
          <w:rtl/>
        </w:rPr>
        <w:t xml:space="preserve"> </w:t>
      </w:r>
      <w:r w:rsidR="007642BC">
        <w:rPr>
          <w:rtl/>
        </w:rPr>
        <w:t>-</w:t>
      </w:r>
      <w:r w:rsidR="00E3253D">
        <w:rPr>
          <w:rtl/>
        </w:rPr>
        <w:t xml:space="preserve"> </w:t>
      </w:r>
      <w:r w:rsidR="00E3253D" w:rsidRPr="005D642E">
        <w:rPr>
          <w:rtl/>
        </w:rPr>
        <w:t>« إنّ</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بخ » : « من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غ ، ى ، بث ، بح ، بس ، جح ، جن » والبحار : « فقلت</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وحاشية « بث » : « في</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جن » : « أين هذا من كتاب الله جعلني فداك</w:t>
      </w:r>
      <w:r w:rsidR="00E3253D">
        <w:rPr>
          <w:rtl/>
        </w:rPr>
        <w:t xml:space="preserve"> ».</w:t>
      </w:r>
      <w:r w:rsidR="00E3253D" w:rsidRPr="005D642E">
        <w:rPr>
          <w:rtl/>
        </w:rPr>
        <w:t xml:space="preserve"> وفي « بس » والبحار :</w:t>
      </w:r>
      <w:r w:rsidR="00E3253D">
        <w:rPr>
          <w:rtl/>
        </w:rPr>
        <w:t xml:space="preserve"> </w:t>
      </w:r>
      <w:r w:rsidR="007642BC">
        <w:rPr>
          <w:rtl/>
        </w:rPr>
        <w:t>-</w:t>
      </w:r>
      <w:r w:rsidR="00E3253D">
        <w:rPr>
          <w:rtl/>
        </w:rPr>
        <w:t xml:space="preserve"> </w:t>
      </w:r>
      <w:r w:rsidR="00E3253D" w:rsidRPr="005D642E">
        <w:rPr>
          <w:rtl/>
        </w:rPr>
        <w:t>« هذا من كتاب الله</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يونس </w:t>
      </w:r>
      <w:r w:rsidRPr="0042621E">
        <w:rPr>
          <w:rStyle w:val="libFootnote0Char"/>
          <w:rtl/>
        </w:rPr>
        <w:t>(10)</w:t>
      </w:r>
      <w:r w:rsidR="00E3253D" w:rsidRPr="005D642E">
        <w:rPr>
          <w:rtl/>
        </w:rPr>
        <w:t xml:space="preserve"> : 63</w:t>
      </w:r>
      <w:r w:rsidR="00E3253D">
        <w:rPr>
          <w:rtl/>
        </w:rPr>
        <w:t xml:space="preserve"> </w:t>
      </w:r>
      <w:r w:rsidR="007642BC">
        <w:rPr>
          <w:rtl/>
        </w:rPr>
        <w:t>-</w:t>
      </w:r>
      <w:r w:rsidR="00E3253D">
        <w:rPr>
          <w:rtl/>
        </w:rPr>
        <w:t xml:space="preserve"> </w:t>
      </w:r>
      <w:r w:rsidR="00E3253D" w:rsidRPr="005D642E">
        <w:rPr>
          <w:rtl/>
        </w:rPr>
        <w:t>64.</w:t>
      </w:r>
    </w:p>
    <w:p w:rsidR="00E3253D" w:rsidRPr="005D642E" w:rsidRDefault="0042621E" w:rsidP="00591486">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المحاسن</w:t>
      </w:r>
      <w:r w:rsidR="00E3253D" w:rsidRPr="005D642E">
        <w:rPr>
          <w:rtl/>
        </w:rPr>
        <w:t xml:space="preserve"> ، ص 175 ، كتاب الصفوة ، ح 158 ، عن ابن فضّال ، عن عليّ بن عقبة ، عن عقبة بن خالد ، عن أبي عبدالله </w:t>
      </w:r>
      <w:r w:rsidR="00591486" w:rsidRPr="00591486">
        <w:rPr>
          <w:rStyle w:val="libFootnoteAlaemChar"/>
          <w:rtl/>
        </w:rPr>
        <w:t>عليه‌السلام</w:t>
      </w:r>
      <w:r w:rsidR="00E3253D" w:rsidRPr="005D642E">
        <w:rPr>
          <w:rtl/>
        </w:rPr>
        <w:t xml:space="preserve">. </w:t>
      </w:r>
      <w:r w:rsidR="00E3253D" w:rsidRPr="002F4D34">
        <w:rPr>
          <w:rStyle w:val="libFootnoteBoldChar"/>
          <w:rtl/>
        </w:rPr>
        <w:t>تفسير العيّاشي</w:t>
      </w:r>
      <w:r w:rsidR="00E3253D" w:rsidRPr="005D642E">
        <w:rPr>
          <w:rtl/>
        </w:rPr>
        <w:t xml:space="preserve"> ، ج 2 ، ص 125 ، ح 33 ، عن عقبة بن خالد ، عن أبي عبدالله </w:t>
      </w:r>
      <w:r w:rsidR="00E3253D" w:rsidRPr="007D33DE">
        <w:rPr>
          <w:rStyle w:val="libFootnoteAlaemChar"/>
          <w:rtl/>
        </w:rPr>
        <w:t>عليه‌السلام</w:t>
      </w:r>
      <w:r w:rsidR="00E3253D" w:rsidRPr="005D642E">
        <w:rPr>
          <w:rtl/>
        </w:rPr>
        <w:t xml:space="preserve"> ، وفيهما مع اختلاف يسير </w:t>
      </w:r>
      <w:r w:rsidR="007D33DE">
        <w:rPr>
          <w:rFonts w:hint="cs"/>
          <w:rtl/>
        </w:rPr>
        <w:t>.</w:t>
      </w:r>
      <w:r w:rsidR="00E3253D" w:rsidRPr="002F4D34">
        <w:rPr>
          <w:rStyle w:val="libFootnoteBoldChar"/>
          <w:rtl/>
        </w:rPr>
        <w:t>الوافي</w:t>
      </w:r>
      <w:r w:rsidR="00E3253D" w:rsidRPr="005D642E">
        <w:rPr>
          <w:rtl/>
        </w:rPr>
        <w:t xml:space="preserve"> ، ج 24 ، ص 247 ، ح 23976 ؛ </w:t>
      </w:r>
      <w:r w:rsidR="00E3253D" w:rsidRPr="002F4D34">
        <w:rPr>
          <w:rStyle w:val="libFootnoteBoldChar"/>
          <w:rtl/>
        </w:rPr>
        <w:t>البحار</w:t>
      </w:r>
      <w:r w:rsidR="00E3253D" w:rsidRPr="005D642E">
        <w:rPr>
          <w:rtl/>
        </w:rPr>
        <w:t xml:space="preserve"> ، ج 39 ، ص 237 ، ح 23 ، ملخّصاً.</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بخ » : « عمّار</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أَبُو عَبْدِ اللهِ </w:t>
      </w:r>
      <w:r w:rsidRPr="00AC51C5">
        <w:rPr>
          <w:rStyle w:val="libAlaemChar"/>
          <w:rtl/>
        </w:rPr>
        <w:t>عليه‌السلام</w:t>
      </w:r>
      <w:r w:rsidRPr="005D642E">
        <w:rPr>
          <w:rtl/>
          <w:lang w:bidi="fa-IR"/>
        </w:rPr>
        <w:t xml:space="preserve"> : « إِذَا حِيلَ بَيْنَهُ وَبَيْنَ الْكَلَامِ ، أَتَاهُ رَسُولُ اللهِ </w:t>
      </w:r>
      <w:r w:rsidR="0042621E" w:rsidRPr="0042621E">
        <w:rPr>
          <w:rStyle w:val="libAlaemChar"/>
          <w:rtl/>
        </w:rPr>
        <w:t>صلى‌الله‌عليه‌وآله</w:t>
      </w:r>
      <w:r w:rsidRPr="005D642E">
        <w:rPr>
          <w:rtl/>
          <w:lang w:bidi="fa-IR"/>
        </w:rPr>
        <w:t xml:space="preserve"> وَمَنْ شَاءَ اللهُ </w:t>
      </w:r>
      <w:r w:rsidRPr="007C12DB">
        <w:rPr>
          <w:rStyle w:val="libFootnotenumChar"/>
          <w:rtl/>
        </w:rPr>
        <w:t>(1)</w:t>
      </w:r>
      <w:r w:rsidRPr="005D642E">
        <w:rPr>
          <w:rtl/>
          <w:lang w:bidi="fa-IR"/>
        </w:rPr>
        <w:t xml:space="preserve"> ، فَجَلَسَ رَسُولُ اللهِ </w:t>
      </w:r>
      <w:r w:rsidR="0042621E" w:rsidRPr="0042621E">
        <w:rPr>
          <w:rStyle w:val="libAlaemChar"/>
          <w:rtl/>
        </w:rPr>
        <w:t>صلى‌الله‌عليه‌وآله</w:t>
      </w:r>
      <w:r w:rsidRPr="005D642E">
        <w:rPr>
          <w:rtl/>
          <w:lang w:bidi="fa-IR"/>
        </w:rPr>
        <w:t xml:space="preserve"> </w:t>
      </w:r>
      <w:r w:rsidRPr="007C12DB">
        <w:rPr>
          <w:rStyle w:val="libFootnotenumChar"/>
          <w:rtl/>
        </w:rPr>
        <w:t>(2)</w:t>
      </w:r>
      <w:r w:rsidRPr="005D642E">
        <w:rPr>
          <w:rtl/>
          <w:lang w:bidi="fa-IR"/>
        </w:rPr>
        <w:t xml:space="preserve"> عَنْ </w:t>
      </w:r>
      <w:r w:rsidRPr="007C12DB">
        <w:rPr>
          <w:rStyle w:val="libFootnotenumChar"/>
          <w:rtl/>
        </w:rPr>
        <w:t>(3)</w:t>
      </w:r>
      <w:r w:rsidRPr="005D642E">
        <w:rPr>
          <w:rtl/>
          <w:lang w:bidi="fa-IR"/>
        </w:rPr>
        <w:t xml:space="preserve"> يَمِينِهِ ، وَالْآخَرُ عَنْ يَسَارِهِ </w:t>
      </w:r>
      <w:r w:rsidRPr="007C12DB">
        <w:rPr>
          <w:rStyle w:val="libFootnotenumChar"/>
          <w:rtl/>
        </w:rPr>
        <w:t>(4)</w:t>
      </w:r>
      <w:r w:rsidRPr="005D642E">
        <w:rPr>
          <w:rtl/>
          <w:lang w:bidi="fa-IR"/>
        </w:rPr>
        <w:t xml:space="preserve"> ، فَيَقُولُ لَهُ رَسُولُ اللهِ </w:t>
      </w:r>
      <w:r w:rsidR="0042621E" w:rsidRPr="0042621E">
        <w:rPr>
          <w:rStyle w:val="libAlaemChar"/>
          <w:rtl/>
        </w:rPr>
        <w:t>صلى‌الله‌عليه‌وآله</w:t>
      </w:r>
      <w:r w:rsidRPr="005D642E">
        <w:rPr>
          <w:rtl/>
          <w:lang w:bidi="fa-IR"/>
        </w:rPr>
        <w:t xml:space="preserve"> : أَمَّا مَا كُنْتَ تَرْجُو ، فَهُوَ ذَا أَمَامَكَ ، وَأَمَّا مَا كُنْتَ تَخَافُ مِنْهُ </w:t>
      </w:r>
      <w:r w:rsidRPr="007C12DB">
        <w:rPr>
          <w:rStyle w:val="libFootnotenumChar"/>
          <w:rtl/>
        </w:rPr>
        <w:t>(5)</w:t>
      </w:r>
      <w:r w:rsidRPr="005D642E">
        <w:rPr>
          <w:rtl/>
          <w:lang w:bidi="fa-IR"/>
        </w:rPr>
        <w:t xml:space="preserve"> ، فَقَدْ أَمِنْتَ مِنْهُ.</w:t>
      </w:r>
    </w:p>
    <w:p w:rsidR="00E3253D" w:rsidRPr="005D642E" w:rsidRDefault="00E3253D" w:rsidP="00E3253D">
      <w:pPr>
        <w:pStyle w:val="libNormal"/>
        <w:rPr>
          <w:rtl/>
          <w:lang w:bidi="fa-IR"/>
        </w:rPr>
      </w:pPr>
      <w:r w:rsidRPr="005D642E">
        <w:rPr>
          <w:rtl/>
          <w:lang w:bidi="fa-IR"/>
        </w:rPr>
        <w:t xml:space="preserve">ثُمَّ يُفْتَحُ لَهُ بَابٌ </w:t>
      </w:r>
      <w:r w:rsidRPr="007C12DB">
        <w:rPr>
          <w:rStyle w:val="libFootnotenumChar"/>
          <w:rtl/>
        </w:rPr>
        <w:t>(6)</w:t>
      </w:r>
      <w:r w:rsidRPr="005D642E">
        <w:rPr>
          <w:rtl/>
          <w:lang w:bidi="fa-IR"/>
        </w:rPr>
        <w:t xml:space="preserve"> إِلَى الْجَنَّةِ ، فَيَقُولُ </w:t>
      </w:r>
      <w:r w:rsidRPr="007C12DB">
        <w:rPr>
          <w:rStyle w:val="libFootnotenumChar"/>
          <w:rtl/>
        </w:rPr>
        <w:t>(7)</w:t>
      </w:r>
      <w:r w:rsidRPr="005D642E">
        <w:rPr>
          <w:rtl/>
          <w:lang w:bidi="fa-IR"/>
        </w:rPr>
        <w:t xml:space="preserve"> : هذَا مَنْزِلُكَ مِنَ الْجَنَّةِ ، فَإِنْ شِئْتَ‌</w:t>
      </w:r>
      <w:r>
        <w:rPr>
          <w:lang w:bidi="fa-IR"/>
        </w:rPr>
        <w:t xml:space="preserve"> </w:t>
      </w:r>
      <w:r w:rsidRPr="005D642E">
        <w:rPr>
          <w:rtl/>
          <w:lang w:bidi="fa-IR"/>
        </w:rPr>
        <w:t xml:space="preserve">رَدَدْنَاكَ إِلَى الدُّنْيَا وَلَكَ فِيهَا ذَهَبٌ وَفِضَّةٌ ، فَيَقُولُ : لَاحَاجَةَ لِي فِي الدُّنْيَا ، فَعِنْدَ ذلِكَ يَبْيَضُّ لَوْنُهُ ، وَيَرْشَحُ </w:t>
      </w:r>
      <w:r w:rsidRPr="007C12DB">
        <w:rPr>
          <w:rStyle w:val="libFootnotenumChar"/>
          <w:rtl/>
        </w:rPr>
        <w:t>(8)</w:t>
      </w:r>
      <w:r w:rsidRPr="005D642E">
        <w:rPr>
          <w:rtl/>
          <w:lang w:bidi="fa-IR"/>
        </w:rPr>
        <w:t xml:space="preserve"> جَبِينُهُ ، وَتَقَلَّصُ </w:t>
      </w:r>
      <w:r w:rsidRPr="007C12DB">
        <w:rPr>
          <w:rStyle w:val="libFootnotenumChar"/>
          <w:rtl/>
        </w:rPr>
        <w:t>(9)</w:t>
      </w:r>
      <w:r w:rsidRPr="005D642E">
        <w:rPr>
          <w:rtl/>
          <w:lang w:bidi="fa-IR"/>
        </w:rPr>
        <w:t xml:space="preserve"> شَفَتَاهُ ، وَتَنْتَشِرُ </w:t>
      </w:r>
      <w:r w:rsidRPr="007C12DB">
        <w:rPr>
          <w:rStyle w:val="libFootnotenumChar"/>
          <w:rtl/>
        </w:rPr>
        <w:t>(10)</w:t>
      </w:r>
      <w:r w:rsidRPr="005D642E">
        <w:rPr>
          <w:rtl/>
          <w:lang w:bidi="fa-IR"/>
        </w:rPr>
        <w:t xml:space="preserve"> مَنْخِرَاهُ </w:t>
      </w:r>
      <w:r w:rsidRPr="007C12DB">
        <w:rPr>
          <w:rStyle w:val="libFootnotenumChar"/>
          <w:rtl/>
        </w:rPr>
        <w:t>(11)</w:t>
      </w:r>
      <w:r w:rsidRPr="005D642E">
        <w:rPr>
          <w:rtl/>
          <w:lang w:bidi="fa-IR"/>
        </w:rPr>
        <w:t xml:space="preserve"> ، وَتَدْمَعُ عَيْنُهُ الْيُسْرى ، فَأَيَّ هذِهِ الْعَلَامَاتِ رَأَيْتَ فَاكْتَفِ بِهَا ، فَإِذَا خَرَجَتِ النَّفْسُ مِنَ الْجَسَدِ </w:t>
      </w:r>
      <w:r w:rsidRPr="007C12DB">
        <w:rPr>
          <w:rStyle w:val="libFootnotenumChar"/>
          <w:rtl/>
        </w:rPr>
        <w:t>(12)</w:t>
      </w:r>
      <w:r w:rsidRPr="005D642E">
        <w:rPr>
          <w:rtl/>
          <w:lang w:bidi="fa-IR"/>
        </w:rPr>
        <w:t xml:space="preserve"> ، فَيُعْرَضُ عَلَيْهَا </w:t>
      </w:r>
      <w:r w:rsidRPr="007C12DB">
        <w:rPr>
          <w:rStyle w:val="libFootnotenumChar"/>
          <w:rtl/>
        </w:rPr>
        <w:t>(13)</w:t>
      </w:r>
      <w:r w:rsidRPr="005D642E">
        <w:rPr>
          <w:rtl/>
          <w:lang w:bidi="fa-IR"/>
        </w:rPr>
        <w:t xml:space="preserve"> كَمَا عُرِضَ </w:t>
      </w:r>
      <w:r w:rsidRPr="007C12DB">
        <w:rPr>
          <w:rStyle w:val="libFootnotenumChar"/>
          <w:rtl/>
        </w:rPr>
        <w:t>(14)</w:t>
      </w:r>
      <w:r w:rsidRPr="005D642E">
        <w:rPr>
          <w:rtl/>
          <w:lang w:bidi="fa-IR"/>
        </w:rPr>
        <w:t xml:space="preserve"> عَلَيْهِ وَهِيَ </w:t>
      </w:r>
      <w:r w:rsidRPr="007C12DB">
        <w:rPr>
          <w:rStyle w:val="libFootnotenumChar"/>
          <w:rtl/>
        </w:rPr>
        <w:t>(15)</w:t>
      </w:r>
      <w:r w:rsidRPr="005D642E">
        <w:rPr>
          <w:rtl/>
          <w:lang w:bidi="fa-IR"/>
        </w:rPr>
        <w:t xml:space="preserve"> فِي الْجَسَدِ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0C28AC">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كنّي</w:t>
      </w:r>
      <w:r w:rsidR="00E3253D">
        <w:rPr>
          <w:rtl/>
        </w:rPr>
        <w:t xml:space="preserve"> ب</w:t>
      </w:r>
      <w:r w:rsidR="000C28AC">
        <w:rPr>
          <w:rFonts w:hint="cs"/>
          <w:rtl/>
        </w:rPr>
        <w:t>ـ</w:t>
      </w:r>
      <w:r w:rsidR="00E3253D">
        <w:rPr>
          <w:rtl/>
        </w:rPr>
        <w:t xml:space="preserve"> </w:t>
      </w:r>
      <w:r w:rsidR="00E3253D" w:rsidRPr="005D642E">
        <w:rPr>
          <w:rtl/>
        </w:rPr>
        <w:t xml:space="preserve">« من شاء الله » عن أميرالمؤمنين </w:t>
      </w:r>
      <w:r w:rsidR="00E3253D" w:rsidRPr="000C28AC">
        <w:rPr>
          <w:rStyle w:val="libFootnoteAlaemChar"/>
          <w:rtl/>
        </w:rPr>
        <w:t>عليه‌السلام</w:t>
      </w:r>
      <w:r w:rsidR="00E3253D" w:rsidRPr="005D642E">
        <w:rPr>
          <w:rtl/>
        </w:rPr>
        <w:t xml:space="preserve"> ، وإنّما لم يصرّح باسمه </w:t>
      </w:r>
      <w:r w:rsidR="00E3253D" w:rsidRPr="000C28AC">
        <w:rPr>
          <w:rStyle w:val="libFootnoteAlaemChar"/>
          <w:rtl/>
        </w:rPr>
        <w:t>عليه‌السلام</w:t>
      </w:r>
      <w:r w:rsidR="00E3253D" w:rsidRPr="005D642E">
        <w:rPr>
          <w:rtl/>
        </w:rPr>
        <w:t xml:space="preserve"> كتماناً على المخالفين المنكرين</w:t>
      </w:r>
      <w:r w:rsidR="00E3253D">
        <w:rPr>
          <w:rtl/>
        </w:rPr>
        <w:t xml:space="preserve"> ».</w:t>
      </w:r>
      <w:r w:rsidR="000C28AC">
        <w:rPr>
          <w:rFonts w:hint="cs"/>
          <w:rtl/>
        </w:rPr>
        <w:t xml:space="preserve">                                </w:t>
      </w:r>
      <w:r w:rsidRPr="0042621E">
        <w:rPr>
          <w:rStyle w:val="libFootnote0Char"/>
          <w:rtl/>
        </w:rPr>
        <w:t>(2).</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xml:space="preserve">« ومن شاء الله فجلس رسول الله </w:t>
      </w:r>
      <w:r w:rsidRPr="000C28AC">
        <w:rPr>
          <w:rStyle w:val="libFootnoteAlaemChar"/>
          <w:rtl/>
        </w:rPr>
        <w:t>صلى‌الله‌عليه‌وآله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 « من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بف » </w:t>
      </w:r>
      <w:r w:rsidR="000D749A" w:rsidRPr="000D749A">
        <w:rPr>
          <w:rStyle w:val="libFootnoteBoldChar"/>
          <w:rtl/>
        </w:rPr>
        <w:t>والوافي</w:t>
      </w:r>
      <w:r w:rsidR="00E3253D" w:rsidRPr="005D642E">
        <w:rPr>
          <w:rtl/>
        </w:rPr>
        <w:t xml:space="preserve"> : « عن شماله » وقال في </w:t>
      </w:r>
      <w:r w:rsidR="00E3253D" w:rsidRPr="002F4D34">
        <w:rPr>
          <w:rStyle w:val="libFootnoteBoldChar"/>
          <w:rtl/>
        </w:rPr>
        <w:t>الوافي</w:t>
      </w:r>
      <w:r w:rsidR="00E3253D" w:rsidRPr="005D642E">
        <w:rPr>
          <w:rtl/>
        </w:rPr>
        <w:t xml:space="preserve"> : « التوفيق بينه وبين ما مرّ في الحديث السابق أن يقال : قد وقد</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بخ ، بس ، جس » </w:t>
      </w:r>
      <w:r w:rsidR="000D749A" w:rsidRPr="000D749A">
        <w:rPr>
          <w:rStyle w:val="libFootnoteBoldChar"/>
          <w:rtl/>
        </w:rPr>
        <w:t>والوافي</w:t>
      </w:r>
      <w:r w:rsidR="00E3253D" w:rsidRPr="005D642E">
        <w:rPr>
          <w:rtl/>
        </w:rPr>
        <w:t xml:space="preserve"> والبحار ، ج 61 :</w:t>
      </w:r>
      <w:r w:rsidR="00E3253D">
        <w:rPr>
          <w:rtl/>
        </w:rPr>
        <w:t xml:space="preserve"> </w:t>
      </w:r>
      <w:r w:rsidR="007642BC">
        <w:rPr>
          <w:rtl/>
        </w:rPr>
        <w:t>-</w:t>
      </w:r>
      <w:r w:rsidR="00E3253D">
        <w:rPr>
          <w:rtl/>
        </w:rPr>
        <w:t xml:space="preserve"> </w:t>
      </w:r>
      <w:r w:rsidR="00E3253D" w:rsidRPr="005D642E">
        <w:rPr>
          <w:rtl/>
        </w:rPr>
        <w:t>« منه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C28AC" w:rsidTr="000C28AC">
        <w:tc>
          <w:tcPr>
            <w:tcW w:w="4006" w:type="dxa"/>
          </w:tcPr>
          <w:p w:rsidR="000C28AC" w:rsidRDefault="000C28AC" w:rsidP="00E3253D">
            <w:pPr>
              <w:pStyle w:val="libFootnote0"/>
              <w:rPr>
                <w:rStyle w:val="libFootnote0Char"/>
                <w:rtl/>
              </w:rPr>
            </w:pPr>
            <w:r w:rsidRPr="0042621E">
              <w:rPr>
                <w:rStyle w:val="libFootnote0Char"/>
                <w:rtl/>
              </w:rPr>
              <w:t>(6).</w:t>
            </w:r>
            <w:r w:rsidRPr="005D642E">
              <w:rPr>
                <w:rtl/>
              </w:rPr>
              <w:t xml:space="preserve"> في الوافي : « باباً</w:t>
            </w:r>
            <w:r>
              <w:rPr>
                <w:rtl/>
              </w:rPr>
              <w:t xml:space="preserve"> ».</w:t>
            </w:r>
          </w:p>
        </w:tc>
        <w:tc>
          <w:tcPr>
            <w:tcW w:w="4006" w:type="dxa"/>
          </w:tcPr>
          <w:p w:rsidR="000C28AC" w:rsidRDefault="000C28AC" w:rsidP="00E3253D">
            <w:pPr>
              <w:pStyle w:val="libFootnote0"/>
              <w:rPr>
                <w:rStyle w:val="libFootnote0Char"/>
                <w:rtl/>
              </w:rPr>
            </w:pPr>
            <w:r w:rsidRPr="0042621E">
              <w:rPr>
                <w:rStyle w:val="libFootnote0Char"/>
                <w:rtl/>
              </w:rPr>
              <w:t>(7).</w:t>
            </w:r>
            <w:r w:rsidRPr="005D642E">
              <w:rPr>
                <w:rtl/>
              </w:rPr>
              <w:t xml:space="preserve"> في الوافي : + « له</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الرَشْح » : العرق ؛ لأنّه يخرج من البدن شيئاً فشيئاً ، كما يرشح الإناء المتخلخل الأجزاء. راجع : </w:t>
      </w:r>
      <w:r w:rsidR="00E3253D" w:rsidRPr="002F4D34">
        <w:rPr>
          <w:rStyle w:val="libFootnoteBoldChar"/>
          <w:rtl/>
        </w:rPr>
        <w:t>النهاية</w:t>
      </w:r>
      <w:r w:rsidR="00E3253D" w:rsidRPr="005D642E">
        <w:rPr>
          <w:rtl/>
        </w:rPr>
        <w:t xml:space="preserve"> ، ج 2 ، ص 224 ( رشح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التقلّص » : الانزواء والتشمّر والانضمام والانقباض. راجع : </w:t>
      </w:r>
      <w:r w:rsidR="00E3253D" w:rsidRPr="002F4D34">
        <w:rPr>
          <w:rStyle w:val="libFootnoteBoldChar"/>
          <w:rtl/>
        </w:rPr>
        <w:t>لسان العرب</w:t>
      </w:r>
      <w:r w:rsidR="00E3253D" w:rsidRPr="005D642E">
        <w:rPr>
          <w:rtl/>
        </w:rPr>
        <w:t xml:space="preserve"> ، ج 7 ، ص 79 ؛ </w:t>
      </w:r>
      <w:r w:rsidR="00E3253D" w:rsidRPr="002F4D34">
        <w:rPr>
          <w:rStyle w:val="libFootnoteBoldChar"/>
          <w:rtl/>
        </w:rPr>
        <w:t>القاموس المحيط</w:t>
      </w:r>
      <w:r w:rsidR="00E3253D" w:rsidRPr="005D642E">
        <w:rPr>
          <w:rtl/>
        </w:rPr>
        <w:t xml:space="preserve"> ، ج 1 ، ص 853 ( قلص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بح ، بخ ، بس » : « وينتشر</w:t>
      </w:r>
      <w:r w:rsidR="00E3253D">
        <w:rPr>
          <w:rtl/>
        </w:rPr>
        <w:t xml:space="preserve"> ».</w:t>
      </w:r>
      <w:r w:rsidR="00E3253D" w:rsidRPr="005D642E">
        <w:rPr>
          <w:rtl/>
        </w:rPr>
        <w:t xml:space="preserve"> وفي « بث ، بف » وحاشية « غ ، جن » </w:t>
      </w:r>
      <w:r w:rsidR="000D749A" w:rsidRPr="000D749A">
        <w:rPr>
          <w:rStyle w:val="libFootnoteBoldChar"/>
          <w:rtl/>
        </w:rPr>
        <w:t>والوافي</w:t>
      </w:r>
      <w:r w:rsidR="00E3253D" w:rsidRPr="005D642E">
        <w:rPr>
          <w:rtl/>
        </w:rPr>
        <w:t xml:space="preserve"> : « وينشر</w:t>
      </w:r>
      <w:r w:rsidR="00E3253D">
        <w:rPr>
          <w:rtl/>
        </w:rPr>
        <w:t>».</w:t>
      </w:r>
      <w:r w:rsidR="00E3253D" w:rsidRPr="005D642E">
        <w:rPr>
          <w:rtl/>
        </w:rPr>
        <w:t xml:space="preserve"> وفي حاشية « بح » : « وتنشقّ</w:t>
      </w:r>
      <w:r w:rsidR="00E3253D">
        <w:rPr>
          <w:rtl/>
        </w:rPr>
        <w:t xml:space="preserve"> ».</w:t>
      </w:r>
    </w:p>
    <w:p w:rsidR="00E3253D" w:rsidRPr="005D642E" w:rsidRDefault="0042621E" w:rsidP="00A66517">
      <w:pPr>
        <w:pStyle w:val="libFootnote0"/>
        <w:rPr>
          <w:rtl/>
          <w:lang w:bidi="fa-IR"/>
        </w:rPr>
      </w:pPr>
      <w:r w:rsidRPr="0042621E">
        <w:rPr>
          <w:rStyle w:val="libFootnote0Char"/>
          <w:rtl/>
        </w:rPr>
        <w:t>(11).</w:t>
      </w:r>
      <w:r w:rsidR="00E3253D" w:rsidRPr="005D642E">
        <w:rPr>
          <w:rtl/>
        </w:rPr>
        <w:t xml:space="preserve"> المنخران : ثقبا الأنف ، وانتشارهما : ارتفاعهما وانتفاخهما ؛ من الانتشار ، وهو الانتفاخ في عصب الدابّة يكون من التعب ، وقيل : هو أن يصيبه عنت فيزول العصب عن موضعه. راجع : </w:t>
      </w:r>
      <w:r w:rsidR="00E3253D" w:rsidRPr="002F4D34">
        <w:rPr>
          <w:rStyle w:val="libFootnoteBoldChar"/>
          <w:rtl/>
        </w:rPr>
        <w:t>لسان العرب</w:t>
      </w:r>
      <w:r w:rsidR="00E3253D" w:rsidRPr="005D642E">
        <w:rPr>
          <w:rtl/>
        </w:rPr>
        <w:t xml:space="preserve"> ، ج 5 ، ص 198 </w:t>
      </w:r>
      <w:r w:rsidR="00E3253D">
        <w:rPr>
          <w:rtl/>
        </w:rPr>
        <w:t>و 2</w:t>
      </w:r>
      <w:r w:rsidR="00E3253D" w:rsidRPr="005D642E">
        <w:rPr>
          <w:rtl/>
        </w:rPr>
        <w:t>09 ( نخر ) و</w:t>
      </w:r>
      <w:r w:rsidR="00E3253D">
        <w:rPr>
          <w:rFonts w:hint="cs"/>
          <w:rtl/>
        </w:rPr>
        <w:t xml:space="preserve"> </w:t>
      </w:r>
      <w:r w:rsidR="00E3253D" w:rsidRPr="005D642E">
        <w:rPr>
          <w:rtl/>
        </w:rPr>
        <w:t>( نشر )</w:t>
      </w:r>
      <w:r w:rsidR="00E3253D">
        <w:rPr>
          <w:rtl/>
        </w:rPr>
        <w:t>.</w:t>
      </w:r>
      <w:r w:rsidR="00A66517">
        <w:rPr>
          <w:rFonts w:hint="cs"/>
          <w:rtl/>
        </w:rPr>
        <w:t xml:space="preserve">                                  </w:t>
      </w:r>
      <w:r w:rsidRPr="0042621E">
        <w:rPr>
          <w:rStyle w:val="libFootnote0Char"/>
          <w:rtl/>
        </w:rPr>
        <w:t>(12).</w:t>
      </w:r>
      <w:r w:rsidR="00E3253D" w:rsidRPr="005D642E">
        <w:rPr>
          <w:rtl/>
        </w:rPr>
        <w:t xml:space="preserve"> في « ظ ، غ » : « البدن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66517" w:rsidTr="00A66517">
        <w:tc>
          <w:tcPr>
            <w:tcW w:w="4006" w:type="dxa"/>
          </w:tcPr>
          <w:p w:rsidR="00A66517" w:rsidRDefault="00A66517" w:rsidP="00E3253D">
            <w:pPr>
              <w:pStyle w:val="libFootnote0"/>
              <w:rPr>
                <w:rStyle w:val="libFootnote0Char"/>
                <w:rtl/>
              </w:rPr>
            </w:pPr>
            <w:r w:rsidRPr="0042621E">
              <w:rPr>
                <w:rStyle w:val="libFootnote0Char"/>
                <w:rtl/>
              </w:rPr>
              <w:t>(13).</w:t>
            </w:r>
            <w:r w:rsidRPr="005D642E">
              <w:rPr>
                <w:rtl/>
              </w:rPr>
              <w:t xml:space="preserve"> في « جس » : « عليه</w:t>
            </w:r>
            <w:r>
              <w:rPr>
                <w:rtl/>
              </w:rPr>
              <w:t xml:space="preserve"> ».</w:t>
            </w:r>
          </w:p>
        </w:tc>
        <w:tc>
          <w:tcPr>
            <w:tcW w:w="4006" w:type="dxa"/>
          </w:tcPr>
          <w:p w:rsidR="00A66517" w:rsidRDefault="00A66517" w:rsidP="00E3253D">
            <w:pPr>
              <w:pStyle w:val="libFootnote0"/>
              <w:rPr>
                <w:rStyle w:val="libFootnote0Char"/>
                <w:rtl/>
              </w:rPr>
            </w:pPr>
            <w:r w:rsidRPr="0042621E">
              <w:rPr>
                <w:rStyle w:val="libFootnote0Char"/>
                <w:rtl/>
              </w:rPr>
              <w:t>(14).</w:t>
            </w:r>
            <w:r>
              <w:rPr>
                <w:rtl/>
              </w:rPr>
              <w:t xml:space="preserve"> في «ى ،بخ ،جن » والبحار ، ج 6:«</w:t>
            </w:r>
            <w:r w:rsidRPr="005D642E">
              <w:rPr>
                <w:rtl/>
              </w:rPr>
              <w:t>يعرض</w:t>
            </w:r>
            <w:r>
              <w:rPr>
                <w:rtl/>
              </w:rPr>
              <w:t>».</w:t>
            </w:r>
          </w:p>
        </w:tc>
      </w:tr>
    </w:tbl>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بف ، جس » : « وهو</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فَتَخْتَارُ </w:t>
      </w:r>
      <w:r w:rsidRPr="007C12DB">
        <w:rPr>
          <w:rStyle w:val="libFootnotenumChar"/>
          <w:rtl/>
        </w:rPr>
        <w:t>(1)</w:t>
      </w:r>
      <w:r w:rsidRPr="005D642E">
        <w:rPr>
          <w:rtl/>
          <w:lang w:bidi="fa-IR"/>
        </w:rPr>
        <w:t xml:space="preserve"> الْآخِرَةَ ، فَتُغَسِّلُهُ </w:t>
      </w:r>
      <w:r w:rsidRPr="007C12DB">
        <w:rPr>
          <w:rStyle w:val="libFootnotenumChar"/>
          <w:rtl/>
        </w:rPr>
        <w:t>(2)</w:t>
      </w:r>
      <w:r w:rsidRPr="005D642E">
        <w:rPr>
          <w:rtl/>
          <w:lang w:bidi="fa-IR"/>
        </w:rPr>
        <w:t xml:space="preserve"> فِيمَنْ يُغَسِّلُهُ ، وَتُقَلِّبُهُ </w:t>
      </w:r>
      <w:r w:rsidRPr="007C12DB">
        <w:rPr>
          <w:rStyle w:val="libFootnotenumChar"/>
          <w:rtl/>
        </w:rPr>
        <w:t>(3)</w:t>
      </w:r>
      <w:r w:rsidRPr="005D642E">
        <w:rPr>
          <w:rtl/>
          <w:lang w:bidi="fa-IR"/>
        </w:rPr>
        <w:t xml:space="preserve"> فِيمَنْ يُقَلِّبُهُ ، فَإِذَا أُدْرِجَ فِي أَكْفَانِهِ ، وَوُضِعَ عَلى سَرِيرِهِ ، خَرَجَتْ رُوحُهُ تَمْشِي بَيْنَ أَيْدِي </w:t>
      </w:r>
      <w:r w:rsidRPr="007C12DB">
        <w:rPr>
          <w:rStyle w:val="libFootnotenumChar"/>
          <w:rtl/>
        </w:rPr>
        <w:t>(4)</w:t>
      </w:r>
      <w:r w:rsidRPr="005D642E">
        <w:rPr>
          <w:rtl/>
          <w:lang w:bidi="fa-IR"/>
        </w:rPr>
        <w:t xml:space="preserve"> الْقَوْمِ قُدُماً </w:t>
      </w:r>
      <w:r w:rsidRPr="007C12DB">
        <w:rPr>
          <w:rStyle w:val="libFootnotenumChar"/>
          <w:rtl/>
        </w:rPr>
        <w:t>(5)</w:t>
      </w:r>
      <w:r w:rsidRPr="005D642E">
        <w:rPr>
          <w:rtl/>
          <w:lang w:bidi="fa-IR"/>
        </w:rPr>
        <w:t xml:space="preserve"> ، وَتَلْقَاهُ أَرْوَاحُ الْمُؤْمِنِينَ يُسَلِّمُونَ </w:t>
      </w:r>
      <w:r w:rsidRPr="007C12DB">
        <w:rPr>
          <w:rStyle w:val="libFootnotenumChar"/>
          <w:rtl/>
        </w:rPr>
        <w:t>(6)</w:t>
      </w:r>
      <w:r w:rsidRPr="005D642E">
        <w:rPr>
          <w:rtl/>
          <w:lang w:bidi="fa-IR"/>
        </w:rPr>
        <w:t xml:space="preserve"> عَلَيْهِ ، وَيُبَشِّرُونَهُ بِمَا أَعَدَّ اللهُ لَهُ</w:t>
      </w:r>
      <w:r>
        <w:rPr>
          <w:rtl/>
          <w:lang w:bidi="fa-IR"/>
        </w:rPr>
        <w:t xml:space="preserve"> </w:t>
      </w:r>
      <w:r w:rsidR="007642BC">
        <w:rPr>
          <w:rtl/>
          <w:lang w:bidi="fa-IR"/>
        </w:rPr>
        <w:t>-</w:t>
      </w:r>
      <w:r>
        <w:rPr>
          <w:rtl/>
          <w:lang w:bidi="fa-IR"/>
        </w:rPr>
        <w:t xml:space="preserve"> </w:t>
      </w:r>
      <w:r w:rsidRPr="005D642E">
        <w:rPr>
          <w:rtl/>
          <w:lang w:bidi="fa-IR"/>
        </w:rPr>
        <w:t>جَلَّ ثَنَاؤُهُ</w:t>
      </w:r>
      <w:r>
        <w:rPr>
          <w:rtl/>
          <w:lang w:bidi="fa-IR"/>
        </w:rPr>
        <w:t xml:space="preserve"> </w:t>
      </w:r>
      <w:r w:rsidR="007642BC">
        <w:rPr>
          <w:rtl/>
          <w:lang w:bidi="fa-IR"/>
        </w:rPr>
        <w:t>-</w:t>
      </w:r>
      <w:r>
        <w:rPr>
          <w:rtl/>
          <w:lang w:bidi="fa-IR"/>
        </w:rPr>
        <w:t xml:space="preserve"> </w:t>
      </w:r>
      <w:r w:rsidRPr="005D642E">
        <w:rPr>
          <w:rtl/>
          <w:lang w:bidi="fa-IR"/>
        </w:rPr>
        <w:t xml:space="preserve">مِنَ النَّعِيمِ ، فَإِذَا وُضِعَ فِي قَبْرِهِ ، رُدَّ إِلَيْهِ </w:t>
      </w:r>
      <w:r w:rsidRPr="007C12DB">
        <w:rPr>
          <w:rStyle w:val="libFootnotenumChar"/>
          <w:rtl/>
        </w:rPr>
        <w:t>(7)</w:t>
      </w:r>
      <w:r w:rsidRPr="005D642E">
        <w:rPr>
          <w:rtl/>
          <w:lang w:bidi="fa-IR"/>
        </w:rPr>
        <w:t xml:space="preserve"> الرُّوحُ إِلى وَرِكَيْهِ ، ثُمَّ يُسْأَلُ عَمَّا يَعْلَمُ </w:t>
      </w:r>
      <w:r w:rsidRPr="007C12DB">
        <w:rPr>
          <w:rStyle w:val="libFootnotenumChar"/>
          <w:rtl/>
        </w:rPr>
        <w:t>(8)</w:t>
      </w:r>
      <w:r w:rsidRPr="005D642E">
        <w:rPr>
          <w:rtl/>
          <w:lang w:bidi="fa-IR"/>
        </w:rPr>
        <w:t xml:space="preserve"> ، فَإِذَا جَاءَ بِمَا يَعْلَمُ ، فُتِحَ لَهُ ذلِكَ الْبَابُ الَّذِي أَرَاهُ رَسُولُ اللهِ </w:t>
      </w:r>
      <w:r w:rsidR="0042621E" w:rsidRPr="0042621E">
        <w:rPr>
          <w:rStyle w:val="libAlaemChar"/>
          <w:rtl/>
        </w:rPr>
        <w:t>صلى‌الله‌عليه‌وآله</w:t>
      </w:r>
      <w:r w:rsidRPr="005D642E">
        <w:rPr>
          <w:rtl/>
          <w:lang w:bidi="fa-IR"/>
        </w:rPr>
        <w:t xml:space="preserve"> ، فَيَدْخُلُ عَلَيْهِ مِنْ نُورِهَا </w:t>
      </w:r>
      <w:r w:rsidRPr="007C12DB">
        <w:rPr>
          <w:rStyle w:val="libFootnotenumChar"/>
          <w:rtl/>
        </w:rPr>
        <w:t>(9)</w:t>
      </w:r>
      <w:r w:rsidRPr="005D642E">
        <w:rPr>
          <w:rtl/>
          <w:lang w:bidi="fa-IR"/>
        </w:rPr>
        <w:t xml:space="preserve"> وَبَرْدِهَا وَطِيبِ رِيحِهَا</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قُلْتُ : جُعِلْتُ فِدَاكَ ، فَأَيْنَ </w:t>
      </w:r>
      <w:r w:rsidRPr="007C12DB">
        <w:rPr>
          <w:rStyle w:val="libFootnotenumChar"/>
          <w:rtl/>
        </w:rPr>
        <w:t>(10)</w:t>
      </w:r>
      <w:r w:rsidRPr="005D642E">
        <w:rPr>
          <w:rtl/>
          <w:lang w:bidi="fa-IR"/>
        </w:rPr>
        <w:t xml:space="preserve"> ضَغْطَةُ الْقَبْرِ</w:t>
      </w:r>
      <w:r>
        <w:rPr>
          <w:rtl/>
          <w:lang w:bidi="fa-IR"/>
        </w:rPr>
        <w:t>؟</w:t>
      </w:r>
    </w:p>
    <w:p w:rsidR="00E3253D" w:rsidRPr="005D642E" w:rsidRDefault="00E3253D" w:rsidP="00E3253D">
      <w:pPr>
        <w:pStyle w:val="libNormal"/>
        <w:rPr>
          <w:rtl/>
          <w:lang w:bidi="fa-IR"/>
        </w:rPr>
      </w:pPr>
      <w:r w:rsidRPr="005D642E">
        <w:rPr>
          <w:rtl/>
          <w:lang w:bidi="fa-IR"/>
        </w:rPr>
        <w:t xml:space="preserve">فَقَالَ : « هَيْهَاتَ ، مَا عَلَى الْمُؤْمِنِينَ </w:t>
      </w:r>
      <w:r w:rsidRPr="007C12DB">
        <w:rPr>
          <w:rStyle w:val="libFootnotenumChar"/>
          <w:rtl/>
        </w:rPr>
        <w:t>(11)</w:t>
      </w:r>
      <w:r w:rsidRPr="005D642E">
        <w:rPr>
          <w:rtl/>
          <w:lang w:bidi="fa-IR"/>
        </w:rPr>
        <w:t xml:space="preserve"> مِنْهَا </w:t>
      </w:r>
      <w:r w:rsidRPr="007C12DB">
        <w:rPr>
          <w:rStyle w:val="libFootnotenumChar"/>
          <w:rtl/>
        </w:rPr>
        <w:t>(12)</w:t>
      </w:r>
      <w:r w:rsidRPr="005D642E">
        <w:rPr>
          <w:rtl/>
          <w:lang w:bidi="fa-IR"/>
        </w:rPr>
        <w:t xml:space="preserve"> شَيْ‌ءٌ ، وَاللهِ ، إِنَّ هذِهِ الْأَرْضَ‌</w:t>
      </w:r>
      <w:r>
        <w:rPr>
          <w:rFonts w:hint="cs"/>
          <w:rtl/>
          <w:lang w:bidi="fa-IR"/>
        </w:rPr>
        <w:t xml:space="preserve"> </w:t>
      </w:r>
      <w:r w:rsidRPr="005D642E">
        <w:rPr>
          <w:rtl/>
          <w:lang w:bidi="fa-IR"/>
        </w:rPr>
        <w:t xml:space="preserve">لَتَفْتَخِرُ </w:t>
      </w:r>
      <w:r w:rsidRPr="007C12DB">
        <w:rPr>
          <w:rStyle w:val="libFootnotenumChar"/>
          <w:rtl/>
        </w:rPr>
        <w:t>(</w:t>
      </w:r>
      <w:r w:rsidRPr="007C12DB">
        <w:rPr>
          <w:rStyle w:val="libFootnotenumChar"/>
          <w:rFonts w:hint="cs"/>
          <w:rtl/>
        </w:rPr>
        <w:t>13</w:t>
      </w:r>
      <w:r w:rsidRPr="007C12DB">
        <w:rPr>
          <w:rStyle w:val="libFootnotenumChar"/>
          <w:rtl/>
        </w:rPr>
        <w:t>)</w:t>
      </w:r>
      <w:r w:rsidRPr="005D642E">
        <w:rPr>
          <w:rtl/>
          <w:lang w:bidi="fa-IR"/>
        </w:rPr>
        <w:t xml:space="preserve"> عَلى هذِهِ ، فَتَقُولُ </w:t>
      </w:r>
      <w:r w:rsidRPr="007C12DB">
        <w:rPr>
          <w:rStyle w:val="libFootnotenumChar"/>
          <w:rtl/>
        </w:rPr>
        <w:t>(</w:t>
      </w:r>
      <w:r w:rsidRPr="007C12DB">
        <w:rPr>
          <w:rStyle w:val="libFootnotenumChar"/>
          <w:rFonts w:hint="cs"/>
          <w:rtl/>
        </w:rPr>
        <w:t>14</w:t>
      </w:r>
      <w:r w:rsidRPr="007C12DB">
        <w:rPr>
          <w:rStyle w:val="libFootnotenumChar"/>
          <w:rtl/>
        </w:rPr>
        <w:t>)</w:t>
      </w:r>
      <w:r w:rsidRPr="005D642E">
        <w:rPr>
          <w:rtl/>
          <w:lang w:bidi="fa-IR"/>
        </w:rPr>
        <w:t xml:space="preserve"> : وَطِئَ عَلى ظَهْرِي مُؤْمِنٌ ، وَلَمْ يَطَأْ عَلى ظَهْرِكِ مُؤْمِنٌ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ى ، بح ، بخ ، بس ، بف ، جس » والبحار : « فيختار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بخ ، بس ، بف ، جح ، جس » والبحار : « فيغسّله</w:t>
      </w:r>
      <w:r w:rsidR="00E3253D">
        <w:rPr>
          <w:rtl/>
        </w:rPr>
        <w:t xml:space="preserve"> ».</w:t>
      </w:r>
      <w:r w:rsidR="00E3253D" w:rsidRPr="005D642E">
        <w:rPr>
          <w:rtl/>
        </w:rPr>
        <w:t xml:space="preserve"> وفي « غ » : « فغسله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بخ ، بس ، بف ، جح ، جن » والبحار : « ويقلبه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يدي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يقال : مضى قُدُماً ، إذا لم يعرّج ولم ينثن ، وقد تسكن الدال ويقال : قَدَمَ بالفتح يَقْدُمُ قَدْماً ، أي تقدّم. وقيل : القُدُم : المضيّ أمامَ أمامَ. راجع : </w:t>
      </w:r>
      <w:r w:rsidR="00E3253D" w:rsidRPr="002F4D34">
        <w:rPr>
          <w:rStyle w:val="libFootnoteBoldChar"/>
          <w:rtl/>
        </w:rPr>
        <w:t>النهاية</w:t>
      </w:r>
      <w:r w:rsidR="00E3253D" w:rsidRPr="005D642E">
        <w:rPr>
          <w:rtl/>
        </w:rPr>
        <w:t xml:space="preserve"> ، ج 4 ، ص 26 ؛ </w:t>
      </w:r>
      <w:r w:rsidR="00E3253D" w:rsidRPr="002F4D34">
        <w:rPr>
          <w:rStyle w:val="libFootnoteBoldChar"/>
          <w:rtl/>
        </w:rPr>
        <w:t>لسان العرب</w:t>
      </w:r>
      <w:r w:rsidR="00E3253D" w:rsidRPr="005D642E">
        <w:rPr>
          <w:rtl/>
        </w:rPr>
        <w:t xml:space="preserve"> ، ج 12 ، ص 466 ( قدم )</w:t>
      </w:r>
      <w:r w:rsidR="00E3253D">
        <w:rPr>
          <w:rtl/>
        </w:rPr>
        <w:t>.</w:t>
      </w:r>
    </w:p>
    <w:tbl>
      <w:tblPr>
        <w:tblStyle w:val="TableGrid"/>
        <w:bidiVisual/>
        <w:tblW w:w="0" w:type="auto"/>
        <w:tblLook w:val="04A0" w:firstRow="1" w:lastRow="0" w:firstColumn="1" w:lastColumn="0" w:noHBand="0" w:noVBand="1"/>
      </w:tblPr>
      <w:tblGrid>
        <w:gridCol w:w="4006"/>
        <w:gridCol w:w="4006"/>
      </w:tblGrid>
      <w:tr w:rsidR="00A66517" w:rsidTr="00A66517">
        <w:tc>
          <w:tcPr>
            <w:tcW w:w="4006" w:type="dxa"/>
          </w:tcPr>
          <w:p w:rsidR="00A66517" w:rsidRDefault="00A66517" w:rsidP="00E3253D">
            <w:pPr>
              <w:pStyle w:val="libFootnote0"/>
              <w:rPr>
                <w:rStyle w:val="libFootnote0Char"/>
                <w:rtl/>
              </w:rPr>
            </w:pPr>
            <w:r w:rsidRPr="0042621E">
              <w:rPr>
                <w:rStyle w:val="libFootnote0Char"/>
                <w:rtl/>
              </w:rPr>
              <w:t>(6).</w:t>
            </w:r>
            <w:r w:rsidRPr="005D642E">
              <w:rPr>
                <w:rtl/>
              </w:rPr>
              <w:t xml:space="preserve"> في « بخ ، بف » : « فيسلّمون</w:t>
            </w:r>
            <w:r>
              <w:rPr>
                <w:rtl/>
              </w:rPr>
              <w:t xml:space="preserve"> ».</w:t>
            </w:r>
          </w:p>
        </w:tc>
        <w:tc>
          <w:tcPr>
            <w:tcW w:w="4006" w:type="dxa"/>
          </w:tcPr>
          <w:p w:rsidR="00A66517" w:rsidRDefault="00A66517" w:rsidP="00E3253D">
            <w:pPr>
              <w:pStyle w:val="libFootnote0"/>
              <w:rPr>
                <w:rStyle w:val="libFootnote0Char"/>
                <w:rtl/>
              </w:rPr>
            </w:pPr>
            <w:r w:rsidRPr="0042621E">
              <w:rPr>
                <w:rStyle w:val="libFootnote0Char"/>
                <w:rtl/>
              </w:rPr>
              <w:t>(7).</w:t>
            </w:r>
            <w:r w:rsidRPr="005D642E">
              <w:rPr>
                <w:rtl/>
              </w:rPr>
              <w:t xml:space="preserve"> في حاشية « بح » : « ردّ الله إليه</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A66517">
        <w:rPr>
          <w:rStyle w:val="libFootnoteAlaemChar"/>
          <w:rtl/>
        </w:rPr>
        <w:t>عليه‌السلام</w:t>
      </w:r>
      <w:r w:rsidR="00E3253D" w:rsidRPr="005D642E">
        <w:rPr>
          <w:rtl/>
        </w:rPr>
        <w:t xml:space="preserve"> : ثمّ يسأل عمّا يعلم ، على بناء المعلوم أو المجهول ، أي ما يجب أن يعلم</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والبحار. وفي المطبوع : + « وضوئها</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جس » : « وأين</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A66517">
        <w:rPr>
          <w:rStyle w:val="libFootnoteAlaemChar"/>
          <w:rtl/>
        </w:rPr>
        <w:t>عليه‌السلام</w:t>
      </w:r>
      <w:r w:rsidR="00E3253D" w:rsidRPr="005D642E">
        <w:rPr>
          <w:rtl/>
        </w:rPr>
        <w:t xml:space="preserve"> : ما على المؤمنين ، لايخفى أنّ الجمع بين هذا الخبر وخبر فاطمة بنت أسد لايخلومن إشكال ، ولا يمكن بحمل هذا على المؤمن الكامل ؛ لأنّها من أهل البيت وكانت مرضيّة </w:t>
      </w:r>
      <w:r w:rsidR="00A66517">
        <w:rPr>
          <w:rtl/>
        </w:rPr>
        <w:t>كاملة ، كما يظهر من الأخبار إل</w:t>
      </w:r>
      <w:r w:rsidR="00A66517">
        <w:rPr>
          <w:rFonts w:hint="cs"/>
          <w:rtl/>
        </w:rPr>
        <w:t>ّ</w:t>
      </w:r>
      <w:r w:rsidR="00A66517">
        <w:rPr>
          <w:rtl/>
        </w:rPr>
        <w:t>ا</w:t>
      </w:r>
      <w:r w:rsidR="00E3253D">
        <w:rPr>
          <w:rFonts w:hint="cs"/>
          <w:rtl/>
        </w:rPr>
        <w:t xml:space="preserve"> </w:t>
      </w:r>
      <w:r w:rsidR="00E3253D" w:rsidRPr="005D642E">
        <w:rPr>
          <w:rtl/>
        </w:rPr>
        <w:t xml:space="preserve">أن يقال : إنّها كانت في ذلك الزمان فنسخت وارتفعت رحمة على هذه الأُمّة ، أو يقال : فعل النبيّ </w:t>
      </w:r>
      <w:r w:rsidRPr="00A66517">
        <w:rPr>
          <w:rStyle w:val="libFootnoteAlaemChar"/>
          <w:rtl/>
        </w:rPr>
        <w:t>صلى‌الله‌عليه‌وآله</w:t>
      </w:r>
      <w:r w:rsidR="00E3253D" w:rsidRPr="005D642E">
        <w:rPr>
          <w:rtl/>
        </w:rPr>
        <w:t xml:space="preserve"> ذلك لها لزيادة الاحتياط والاطمئنان ، وخبر سعد بن معاذ أشكل من خبرها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66517" w:rsidTr="00A66517">
        <w:tc>
          <w:tcPr>
            <w:tcW w:w="4006" w:type="dxa"/>
          </w:tcPr>
          <w:p w:rsidR="00A66517" w:rsidRDefault="00A66517" w:rsidP="00E3253D">
            <w:pPr>
              <w:pStyle w:val="libFootnote0"/>
              <w:rPr>
                <w:rStyle w:val="libFootnote0Char"/>
                <w:rtl/>
              </w:rPr>
            </w:pPr>
            <w:r w:rsidRPr="0042621E">
              <w:rPr>
                <w:rStyle w:val="libFootnote0Char"/>
                <w:rtl/>
              </w:rPr>
              <w:t>(12).</w:t>
            </w:r>
            <w:r w:rsidRPr="005D642E">
              <w:rPr>
                <w:rtl/>
              </w:rPr>
              <w:t xml:space="preserve"> في « بح » : + « من</w:t>
            </w:r>
            <w:r>
              <w:rPr>
                <w:rtl/>
              </w:rPr>
              <w:t xml:space="preserve"> ».</w:t>
            </w:r>
          </w:p>
        </w:tc>
        <w:tc>
          <w:tcPr>
            <w:tcW w:w="4006" w:type="dxa"/>
          </w:tcPr>
          <w:p w:rsidR="00A66517" w:rsidRDefault="00A66517" w:rsidP="00E3253D">
            <w:pPr>
              <w:pStyle w:val="libFootnote0"/>
              <w:rPr>
                <w:rStyle w:val="libFootnote0Char"/>
                <w:rtl/>
              </w:rPr>
            </w:pPr>
            <w:r w:rsidRPr="0042621E">
              <w:rPr>
                <w:rStyle w:val="libFootnote0Char"/>
                <w:rtl/>
              </w:rPr>
              <w:t>(13).</w:t>
            </w:r>
            <w:r>
              <w:rPr>
                <w:rtl/>
              </w:rPr>
              <w:t xml:space="preserve"> </w:t>
            </w:r>
            <w:r w:rsidRPr="005D642E">
              <w:rPr>
                <w:rtl/>
              </w:rPr>
              <w:t>في « غ ، جس » : « لتفخر</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هكذا في « ظ ، غ ، بث ، بس ، جح ، جس » والبحار ، ج 6. وفي « ى ، بح ، بخ ، بف ، جن » والمطبوع </w:t>
      </w:r>
      <w:r w:rsidR="000D749A" w:rsidRPr="000D749A">
        <w:rPr>
          <w:rStyle w:val="libFootnoteBoldChar"/>
          <w:rtl/>
        </w:rPr>
        <w:t>والوافي</w:t>
      </w:r>
      <w:r w:rsidR="00E3253D" w:rsidRPr="005D642E">
        <w:rPr>
          <w:rtl/>
        </w:rPr>
        <w:t xml:space="preserve"> : « فيقول</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وَتَقُولُ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لَهُ الْأَرْضُ : وَاللهِ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 لَقَدْ كُنْتُ أُحِبُّكَ وَأَنْتَ تَمْشِي عَلى ظَهْرِي ، فَأَمَّا إِذَا وُلِّيتُكَ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 فَسَتَعْلَمُ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مَا ذَا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أَصْنَعُ بِكَ ، فَتَفْسَحُ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لَهُ مَدَّ بَصَرِهِ</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00472F">
        <w:rPr>
          <w:rtl/>
        </w:rPr>
        <w:t>4311</w:t>
      </w:r>
      <w:r w:rsidRPr="00246318">
        <w:rPr>
          <w:rStyle w:val="libBold2Char"/>
          <w:rtl/>
        </w:rPr>
        <w:t xml:space="preserve"> / 3.</w:t>
      </w:r>
      <w:r w:rsidRPr="005D642E">
        <w:rPr>
          <w:rtl/>
          <w:lang w:bidi="fa-IR"/>
        </w:rPr>
        <w:t xml:space="preserve"> مُحَمَّدُ بْنُ يَحْيى ، عَنْ أَحْمَدَ بْنِ مُحَمَّدِ بْنِ عِيسى ، عَنِ ابْنِ فَضَّالٍ ، عَنْ يُونُسَ بْنِ يَعْقُوبَ ، عَنْ سَعِيدِ بْنِ يَسَارٍ :</w:t>
      </w:r>
    </w:p>
    <w:p w:rsidR="00E3253D" w:rsidRPr="005D642E" w:rsidRDefault="00E3253D" w:rsidP="00E3253D">
      <w:pPr>
        <w:pStyle w:val="libNormal"/>
        <w:rPr>
          <w:rtl/>
          <w:lang w:bidi="fa-IR"/>
        </w:rPr>
      </w:pPr>
      <w:r w:rsidRPr="005D642E">
        <w:rPr>
          <w:rtl/>
          <w:lang w:bidi="fa-IR"/>
        </w:rPr>
        <w:t>أَنَّهُ حَضَرَ أَحَدَ ابْنَيْ سَابُورَ</w:t>
      </w:r>
      <w:r>
        <w:rPr>
          <w:rtl/>
          <w:lang w:bidi="fa-IR"/>
        </w:rPr>
        <w:t xml:space="preserve"> </w:t>
      </w:r>
      <w:r w:rsidR="007642BC">
        <w:rPr>
          <w:rtl/>
          <w:lang w:bidi="fa-IR"/>
        </w:rPr>
        <w:t>-</w:t>
      </w:r>
      <w:r>
        <w:rPr>
          <w:rtl/>
          <w:lang w:bidi="fa-IR"/>
        </w:rPr>
        <w:t xml:space="preserve"> </w:t>
      </w:r>
      <w:r w:rsidRPr="005D642E">
        <w:rPr>
          <w:rtl/>
          <w:lang w:bidi="fa-IR"/>
        </w:rPr>
        <w:t xml:space="preserve">وَكَانَ لَهُمَا فَضْلٌ وَوَرَعٌ وَإِخْبَاتٌ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 فَمَرِضَ </w:t>
      </w:r>
      <w:r w:rsidRPr="007C12DB">
        <w:rPr>
          <w:rStyle w:val="libFootnotenumChar"/>
          <w:rtl/>
        </w:rPr>
        <w:t>(</w:t>
      </w:r>
      <w:r w:rsidRPr="007C12DB">
        <w:rPr>
          <w:rStyle w:val="libFootnotenumChar"/>
          <w:rFonts w:hint="cs"/>
          <w:rtl/>
        </w:rPr>
        <w:t>9</w:t>
      </w:r>
      <w:r w:rsidRPr="007C12DB">
        <w:rPr>
          <w:rStyle w:val="libFootnotenumChar"/>
          <w:rtl/>
        </w:rPr>
        <w:t>)</w:t>
      </w:r>
      <w:r w:rsidRPr="005D642E">
        <w:rPr>
          <w:rtl/>
          <w:lang w:bidi="fa-IR"/>
        </w:rPr>
        <w:t xml:space="preserve"> أَحَدُهُمَا ، وَلَا </w:t>
      </w:r>
      <w:r w:rsidRPr="007C12DB">
        <w:rPr>
          <w:rStyle w:val="libFootnotenumChar"/>
          <w:rtl/>
        </w:rPr>
        <w:t>(</w:t>
      </w:r>
      <w:r w:rsidRPr="007C12DB">
        <w:rPr>
          <w:rStyle w:val="libFootnotenumChar"/>
          <w:rFonts w:hint="cs"/>
          <w:rtl/>
        </w:rPr>
        <w:t>10</w:t>
      </w:r>
      <w:r w:rsidRPr="007C12DB">
        <w:rPr>
          <w:rStyle w:val="libFootnotenumChar"/>
          <w:rtl/>
        </w:rPr>
        <w:t>)</w:t>
      </w:r>
      <w:r w:rsidR="004C378E">
        <w:rPr>
          <w:rtl/>
          <w:lang w:bidi="fa-IR"/>
        </w:rPr>
        <w:t xml:space="preserve"> أَحْسَبُهُ إِل</w:t>
      </w:r>
      <w:r w:rsidR="004C378E">
        <w:rPr>
          <w:rFonts w:hint="cs"/>
          <w:rtl/>
          <w:lang w:bidi="fa-IR"/>
        </w:rPr>
        <w:t>َّ</w:t>
      </w:r>
      <w:r w:rsidR="004C378E">
        <w:rPr>
          <w:rtl/>
          <w:lang w:bidi="fa-IR"/>
        </w:rPr>
        <w:t>ا</w:t>
      </w:r>
      <w:r w:rsidRPr="005D642E">
        <w:rPr>
          <w:rtl/>
          <w:lang w:bidi="fa-IR"/>
        </w:rPr>
        <w:t xml:space="preserve"> زَكَرِيَّا بْنَ سَابُورَ</w:t>
      </w:r>
      <w:r>
        <w:rPr>
          <w:rtl/>
          <w:lang w:bidi="fa-IR"/>
        </w:rPr>
        <w:t xml:space="preserve"> </w:t>
      </w:r>
      <w:r w:rsidR="007642BC">
        <w:rPr>
          <w:rtl/>
          <w:lang w:bidi="fa-IR"/>
        </w:rPr>
        <w:t>-</w:t>
      </w:r>
      <w:r>
        <w:rPr>
          <w:rtl/>
          <w:lang w:bidi="fa-IR"/>
        </w:rPr>
        <w:t xml:space="preserve"> </w:t>
      </w:r>
      <w:r w:rsidRPr="005D642E">
        <w:rPr>
          <w:rtl/>
          <w:lang w:bidi="fa-IR"/>
        </w:rPr>
        <w:t xml:space="preserve">قَالَ : فَحَضَرْتُهُ </w:t>
      </w:r>
      <w:r w:rsidRPr="007C12DB">
        <w:rPr>
          <w:rStyle w:val="libFootnotenumChar"/>
          <w:rtl/>
        </w:rPr>
        <w:t>(</w:t>
      </w:r>
      <w:r w:rsidRPr="007C12DB">
        <w:rPr>
          <w:rStyle w:val="libFootnotenumChar"/>
          <w:rFonts w:hint="cs"/>
          <w:rtl/>
        </w:rPr>
        <w:t>11</w:t>
      </w:r>
      <w:r w:rsidRPr="007C12DB">
        <w:rPr>
          <w:rStyle w:val="libFootnotenumChar"/>
          <w:rtl/>
        </w:rPr>
        <w:t>)</w:t>
      </w:r>
      <w:r w:rsidRPr="005D642E">
        <w:rPr>
          <w:rtl/>
          <w:lang w:bidi="fa-IR"/>
        </w:rPr>
        <w:t xml:space="preserve"> عِنْدَ مَوْتِهِ ، فَبَسَطَ يَدَهُ ، ثُمَّ قَالَ : ابْيَضَّتْ يَدِي يَا عَلِيُّ ، قَالَ : فَدَخَلْتُ عَلى أَبِي عَبْدِ اللهِ </w:t>
      </w:r>
      <w:r w:rsidRPr="00AC51C5">
        <w:rPr>
          <w:rStyle w:val="libAlaemChar"/>
          <w:rtl/>
        </w:rPr>
        <w:t>عليه‌السلام</w:t>
      </w:r>
      <w:r w:rsidRPr="005D642E">
        <w:rPr>
          <w:rtl/>
          <w:lang w:bidi="fa-IR"/>
        </w:rPr>
        <w:t xml:space="preserve"> وَعِنْدَهُ مُحَمَّدُ بْنُ مُسْلِمٍ ، قَالَ : فَلَمَّا قُمْتُ مِنْ عِنْدِهِ ، ظَنَنْتُ أَنَّ مُحَمَّداً يُخْبِرُهُ بِخَبَرِ الرَّجُلِ ، فَأَتْبَعَنِي بِرَسُولٍ ، فَرَجَعْتُ إِلَيْهِ ، فَقَالَ : « أَخْبِرْنِي عَنْ هذَا الرَّجُلِ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الَّذِي</w:t>
      </w:r>
      <w:r>
        <w:rPr>
          <w:lang w:bidi="fa-IR"/>
        </w:rPr>
        <w:t xml:space="preserve"> </w:t>
      </w:r>
      <w:r w:rsidRPr="005D642E">
        <w:rPr>
          <w:rtl/>
          <w:lang w:bidi="fa-IR"/>
        </w:rPr>
        <w:t>حَضَرْتَهُ عِنْدَ الْمَوْتِ أَيَّ شَيْ‌ءٍ سَمِعْتَهُ يَقُولُ</w:t>
      </w:r>
      <w:r>
        <w:rPr>
          <w:rtl/>
          <w:lang w:bidi="fa-IR"/>
        </w:rPr>
        <w:t>؟</w:t>
      </w:r>
      <w:r w:rsidRPr="005D642E">
        <w:rPr>
          <w:rtl/>
          <w:lang w:bidi="fa-IR"/>
        </w:rPr>
        <w:t xml:space="preserve"> » قَالَ : قُلْتُ : بَسَطَ يَدَهُ ، وَقَالَ </w:t>
      </w:r>
      <w:r w:rsidRPr="007C12DB">
        <w:rPr>
          <w:rStyle w:val="libFootnotenumChar"/>
          <w:rtl/>
        </w:rPr>
        <w:t>(</w:t>
      </w:r>
      <w:r w:rsidRPr="007C12DB">
        <w:rPr>
          <w:rStyle w:val="libFootnotenumChar"/>
          <w:rFonts w:hint="cs"/>
          <w:rtl/>
        </w:rPr>
        <w:t>13</w:t>
      </w:r>
      <w:r w:rsidRPr="007C12DB">
        <w:rPr>
          <w:rStyle w:val="libFootnotenumChar"/>
          <w:rtl/>
        </w:rPr>
        <w:t>)</w:t>
      </w:r>
      <w:r w:rsidRPr="005D642E">
        <w:rPr>
          <w:rtl/>
          <w:lang w:bidi="fa-IR"/>
        </w:rPr>
        <w:t xml:space="preserve"> :</w:t>
      </w:r>
      <w:r>
        <w:rPr>
          <w:lang w:bidi="fa-IR"/>
        </w:rPr>
        <w:t xml:space="preserve"> </w:t>
      </w:r>
      <w:r w:rsidRPr="005D642E">
        <w:rPr>
          <w:rtl/>
          <w:lang w:bidi="fa-IR"/>
        </w:rPr>
        <w:t xml:space="preserve">ابْيَضَّتْ يَدِي يَا عَلِيُّ ، فَقَالَ أَبُو عَبْدِ اللهِ </w:t>
      </w:r>
      <w:r w:rsidRPr="00AC51C5">
        <w:rPr>
          <w:rStyle w:val="libAlaemChar"/>
          <w:rtl/>
        </w:rPr>
        <w:t>عليه‌السلام</w:t>
      </w:r>
      <w:r w:rsidRPr="005D642E">
        <w:rPr>
          <w:rtl/>
          <w:lang w:bidi="fa-IR"/>
        </w:rPr>
        <w:t xml:space="preserve"> : « وَاللهِ رَآهُ </w:t>
      </w:r>
      <w:r w:rsidRPr="007C12DB">
        <w:rPr>
          <w:rStyle w:val="libFootnotenumChar"/>
          <w:rtl/>
        </w:rPr>
        <w:t>(</w:t>
      </w:r>
      <w:r w:rsidRPr="007C12DB">
        <w:rPr>
          <w:rStyle w:val="libFootnotenumChar"/>
          <w:rFonts w:hint="cs"/>
          <w:rtl/>
        </w:rPr>
        <w:t>14</w:t>
      </w:r>
      <w:r w:rsidRPr="007C12DB">
        <w:rPr>
          <w:rStyle w:val="libFootnotenumChar"/>
          <w:rtl/>
        </w:rPr>
        <w:t>)</w:t>
      </w:r>
      <w:r w:rsidRPr="005D642E">
        <w:rPr>
          <w:rtl/>
          <w:lang w:bidi="fa-IR"/>
        </w:rPr>
        <w:t xml:space="preserve"> ، وَاللهِ رَآهُ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بح ، بخ ، بف ، جح » : « ويقول</w:t>
      </w:r>
      <w:r w:rsidR="00E3253D">
        <w:rPr>
          <w:rtl/>
        </w:rPr>
        <w:t xml:space="preserve"> ».</w:t>
      </w:r>
      <w:r w:rsidR="00E3253D" w:rsidRPr="005D642E">
        <w:rPr>
          <w:rtl/>
        </w:rPr>
        <w:t xml:space="preserve"> وفي حاشية « بح » : « فتقول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والبحار ، ج 6 :</w:t>
      </w:r>
      <w:r w:rsidR="00E3253D">
        <w:rPr>
          <w:rtl/>
        </w:rPr>
        <w:t xml:space="preserve"> </w:t>
      </w:r>
      <w:r w:rsidR="007642BC">
        <w:rPr>
          <w:rtl/>
        </w:rPr>
        <w:t>-</w:t>
      </w:r>
      <w:r w:rsidR="00E3253D">
        <w:rPr>
          <w:rtl/>
        </w:rPr>
        <w:t xml:space="preserve"> </w:t>
      </w:r>
      <w:r w:rsidR="00E3253D" w:rsidRPr="005D642E">
        <w:rPr>
          <w:rtl/>
        </w:rPr>
        <w:t>« والله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 « فأمّا ذا » بدل « فأمّا إذا ولّيتك</w:t>
      </w:r>
      <w:r w:rsidR="00E3253D">
        <w:rPr>
          <w:rtl/>
        </w:rPr>
        <w:t xml:space="preserve"> ».</w:t>
      </w:r>
      <w:r w:rsidR="00E3253D" w:rsidRPr="005D642E">
        <w:rPr>
          <w:rtl/>
        </w:rPr>
        <w:t xml:space="preserve"> وفي </w:t>
      </w:r>
      <w:r w:rsidR="00E3253D" w:rsidRPr="002F4D34">
        <w:rPr>
          <w:rStyle w:val="libFootnoteBoldChar"/>
          <w:rtl/>
        </w:rPr>
        <w:t>الوافي</w:t>
      </w:r>
      <w:r w:rsidR="00E3253D" w:rsidRPr="005D642E">
        <w:rPr>
          <w:rtl/>
        </w:rPr>
        <w:t xml:space="preserve"> : « إذا ولّيتك ، أي صرت وليّ أمرك والمنصرف فيك</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 وليتك ، أي قربت منك ؛ من الوليّ بمعنى القرب ، أو تولّيت أمرك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C378E" w:rsidTr="004C378E">
        <w:tc>
          <w:tcPr>
            <w:tcW w:w="4006" w:type="dxa"/>
          </w:tcPr>
          <w:p w:rsidR="004C378E" w:rsidRDefault="004C378E" w:rsidP="00E3253D">
            <w:pPr>
              <w:pStyle w:val="libFootnote0"/>
              <w:rPr>
                <w:rStyle w:val="libFootnote0Char"/>
                <w:rtl/>
              </w:rPr>
            </w:pPr>
            <w:r w:rsidRPr="0042621E">
              <w:rPr>
                <w:rStyle w:val="libFootnote0Char"/>
                <w:rtl/>
              </w:rPr>
              <w:t>(4).</w:t>
            </w:r>
            <w:r w:rsidRPr="005D642E">
              <w:rPr>
                <w:rtl/>
              </w:rPr>
              <w:t xml:space="preserve"> في « غ » : « فتعلم</w:t>
            </w:r>
            <w:r>
              <w:rPr>
                <w:rtl/>
              </w:rPr>
              <w:t xml:space="preserve"> ».</w:t>
            </w:r>
          </w:p>
        </w:tc>
        <w:tc>
          <w:tcPr>
            <w:tcW w:w="4006" w:type="dxa"/>
          </w:tcPr>
          <w:p w:rsidR="004C378E" w:rsidRDefault="004C378E" w:rsidP="00E3253D">
            <w:pPr>
              <w:pStyle w:val="libFootnote0"/>
              <w:rPr>
                <w:rStyle w:val="libFootnote0Char"/>
                <w:rtl/>
              </w:rPr>
            </w:pPr>
            <w:r w:rsidRPr="0042621E">
              <w:rPr>
                <w:rStyle w:val="libFootnote0Char"/>
                <w:rtl/>
              </w:rPr>
              <w:t>(5).</w:t>
            </w:r>
            <w:r w:rsidRPr="005D642E">
              <w:rPr>
                <w:rtl/>
              </w:rPr>
              <w:t xml:space="preserve"> في « غ » والبحار ، ج 6 :</w:t>
            </w:r>
            <w:r>
              <w:rPr>
                <w:rtl/>
              </w:rPr>
              <w:t xml:space="preserve"> - </w:t>
            </w:r>
            <w:r w:rsidRPr="005D642E">
              <w:rPr>
                <w:rtl/>
              </w:rPr>
              <w:t>« ذا</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والبحار ، ج 6 : « فتفتح</w:t>
      </w:r>
      <w:r w:rsidR="00E3253D">
        <w:rPr>
          <w:rtl/>
        </w:rPr>
        <w:t xml:space="preserve"> ».</w:t>
      </w:r>
      <w:r w:rsidR="00E3253D" w:rsidRPr="005D642E">
        <w:rPr>
          <w:rtl/>
        </w:rPr>
        <w:t xml:space="preserve"> وفي « بح » : « فتفسّح » بالتضعيف. وفي « بخ » : « فيفسح</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248 ، ح 23977 ؛ </w:t>
      </w:r>
      <w:r w:rsidR="00E3253D" w:rsidRPr="002F4D34">
        <w:rPr>
          <w:rStyle w:val="libFootnoteBoldChar"/>
          <w:rtl/>
        </w:rPr>
        <w:t>البحار</w:t>
      </w:r>
      <w:r w:rsidR="00E3253D" w:rsidRPr="005D642E">
        <w:rPr>
          <w:rtl/>
        </w:rPr>
        <w:t xml:space="preserve"> ، ج 6 ، ص 196 ، ح 50 ؛ </w:t>
      </w:r>
      <w:r w:rsidR="00E3253D" w:rsidRPr="002F4D34">
        <w:rPr>
          <w:rStyle w:val="libFootnoteBoldChar"/>
          <w:rtl/>
        </w:rPr>
        <w:t>وفيه</w:t>
      </w:r>
      <w:r w:rsidR="00E3253D" w:rsidRPr="005D642E">
        <w:rPr>
          <w:rtl/>
        </w:rPr>
        <w:t xml:space="preserve"> ، ج 61 ، ص 49 ، ح 25 ، إلى قوله : « من نورها وضوئها وبردها وطيب ريحها</w:t>
      </w:r>
      <w:r w:rsidR="00E3253D">
        <w:rPr>
          <w:rtl/>
        </w:rPr>
        <w:t xml:space="preserve"> ».</w:t>
      </w:r>
    </w:p>
    <w:p w:rsidR="00E3253D" w:rsidRPr="005D642E" w:rsidRDefault="0042621E" w:rsidP="004926E8">
      <w:pPr>
        <w:pStyle w:val="libFootnote0"/>
        <w:rPr>
          <w:rtl/>
          <w:lang w:bidi="fa-IR"/>
        </w:rPr>
      </w:pPr>
      <w:r w:rsidRPr="0042621E">
        <w:rPr>
          <w:rStyle w:val="libFootnote0Char"/>
          <w:rtl/>
        </w:rPr>
        <w:t>(8).</w:t>
      </w:r>
      <w:r w:rsidR="00E3253D" w:rsidRPr="005D642E">
        <w:rPr>
          <w:rtl/>
        </w:rPr>
        <w:t xml:space="preserve"> « الإخبات » : الخشوع والتواضع ، وأصله من الخَبْت ، وهو المطمئنّ من الأرض. راجع : </w:t>
      </w:r>
      <w:r w:rsidR="00E3253D" w:rsidRPr="002F4D34">
        <w:rPr>
          <w:rStyle w:val="libFootnoteBoldChar"/>
          <w:rtl/>
        </w:rPr>
        <w:t>النهاية</w:t>
      </w:r>
      <w:r w:rsidR="00E3253D" w:rsidRPr="005D642E">
        <w:rPr>
          <w:rtl/>
        </w:rPr>
        <w:t xml:space="preserve"> ، ج 2 ، ص 4 ( خبت )</w:t>
      </w:r>
      <w:r w:rsidR="00E3253D">
        <w:rPr>
          <w:rtl/>
        </w:rPr>
        <w:t>.</w:t>
      </w:r>
      <w:r w:rsidR="004926E8">
        <w:rPr>
          <w:rFonts w:hint="cs"/>
          <w:rtl/>
        </w:rPr>
        <w:t xml:space="preserve">         </w:t>
      </w:r>
      <w:r w:rsidR="00FE5E85">
        <w:rPr>
          <w:rFonts w:hint="cs"/>
          <w:rtl/>
        </w:rPr>
        <w:t xml:space="preserve">                              </w:t>
      </w:r>
      <w:r w:rsidR="004926E8">
        <w:rPr>
          <w:rFonts w:hint="cs"/>
          <w:rtl/>
        </w:rPr>
        <w:t xml:space="preserve">       </w:t>
      </w:r>
      <w:r w:rsidRPr="0042621E">
        <w:rPr>
          <w:rStyle w:val="libFootnote0Char"/>
          <w:rtl/>
        </w:rPr>
        <w:t>(9).</w:t>
      </w:r>
      <w:r w:rsidR="00E3253D" w:rsidRPr="005D642E">
        <w:rPr>
          <w:rtl/>
        </w:rPr>
        <w:t xml:space="preserve"> في « ى » : « ومرض</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معظم النسخ التي قوبلت والبحار ، ج 47 ورجال الكشّي. وفي « ظ » والمطبوع : « وما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926E8" w:rsidTr="004926E8">
        <w:tc>
          <w:tcPr>
            <w:tcW w:w="4006" w:type="dxa"/>
          </w:tcPr>
          <w:p w:rsidR="004926E8" w:rsidRDefault="004926E8" w:rsidP="00E3253D">
            <w:pPr>
              <w:pStyle w:val="libFootnote0"/>
              <w:rPr>
                <w:rStyle w:val="libFootnote0Char"/>
                <w:rtl/>
              </w:rPr>
            </w:pPr>
            <w:r w:rsidRPr="0042621E">
              <w:rPr>
                <w:rStyle w:val="libFootnote0Char"/>
                <w:rtl/>
              </w:rPr>
              <w:t>(11).</w:t>
            </w:r>
            <w:r w:rsidRPr="005D642E">
              <w:rPr>
                <w:rtl/>
              </w:rPr>
              <w:t xml:space="preserve"> في البحار ، ج 47 : « فحضرت</w:t>
            </w:r>
            <w:r>
              <w:rPr>
                <w:rtl/>
              </w:rPr>
              <w:t xml:space="preserve"> ».</w:t>
            </w:r>
          </w:p>
        </w:tc>
        <w:tc>
          <w:tcPr>
            <w:tcW w:w="4006" w:type="dxa"/>
          </w:tcPr>
          <w:p w:rsidR="004926E8" w:rsidRDefault="004926E8" w:rsidP="00E3253D">
            <w:pPr>
              <w:pStyle w:val="libFootnote0"/>
              <w:rPr>
                <w:rStyle w:val="libFootnote0Char"/>
                <w:rtl/>
              </w:rPr>
            </w:pPr>
            <w:r w:rsidRPr="0042621E">
              <w:rPr>
                <w:rStyle w:val="libFootnote0Char"/>
                <w:rtl/>
              </w:rPr>
              <w:t>(12).</w:t>
            </w:r>
            <w:r w:rsidRPr="005D642E">
              <w:rPr>
                <w:rtl/>
              </w:rPr>
              <w:t xml:space="preserve"> في « جس » :</w:t>
            </w:r>
            <w:r>
              <w:rPr>
                <w:rtl/>
              </w:rPr>
              <w:t xml:space="preserve"> - </w:t>
            </w:r>
            <w:r w:rsidRPr="005D642E">
              <w:rPr>
                <w:rtl/>
              </w:rPr>
              <w:t>« الرجل</w:t>
            </w:r>
            <w:r>
              <w:rPr>
                <w:rtl/>
              </w:rPr>
              <w:t xml:space="preserve"> ».</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وفي « ظ » والمطبوع : « ثمّ قال</w:t>
      </w:r>
      <w:r w:rsidR="00E3253D">
        <w:rPr>
          <w:rtl/>
        </w:rPr>
        <w:t xml:space="preserve"> ».</w:t>
      </w:r>
      <w:r w:rsidR="00E3253D" w:rsidRPr="005D642E">
        <w:rPr>
          <w:rtl/>
        </w:rPr>
        <w:t xml:space="preserve"> وفي « جس » : « قال » بدون الواو.</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بف ، جس » </w:t>
      </w:r>
      <w:r w:rsidR="000D749A" w:rsidRPr="000D749A">
        <w:rPr>
          <w:rStyle w:val="libFootnoteBoldChar"/>
          <w:rtl/>
        </w:rPr>
        <w:t>والوافي</w:t>
      </w:r>
      <w:r w:rsidR="00E3253D" w:rsidRPr="005D642E">
        <w:rPr>
          <w:rtl/>
        </w:rPr>
        <w:t xml:space="preserve"> والبحار ورجال الكشّي : « رآه والله » ثلاث مرّات.</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وَاللهِ رَآهُ</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00472F">
        <w:rPr>
          <w:rtl/>
        </w:rPr>
        <w:t>4312</w:t>
      </w:r>
      <w:r w:rsidRPr="00246318">
        <w:rPr>
          <w:rStyle w:val="libBold2Char"/>
          <w:rtl/>
        </w:rPr>
        <w:t xml:space="preserve"> / 4.</w:t>
      </w:r>
      <w:r w:rsidRPr="005D642E">
        <w:rPr>
          <w:rtl/>
          <w:lang w:bidi="fa-IR"/>
        </w:rPr>
        <w:t xml:space="preserve"> مُحَمَّدُ بْنُ يَحْيى ، عَنْ أَحْمَدَ بْنِ مُحَمَّدٍ ، عَنْ مُحَمَّدِ بْنِ سِنَانٍ ، عَنْ عَمَّارِ بْنِ مَرْوَانَ ، قَالَ :</w:t>
      </w:r>
    </w:p>
    <w:p w:rsidR="00E3253D" w:rsidRPr="005D642E" w:rsidRDefault="00E3253D" w:rsidP="00E3253D">
      <w:pPr>
        <w:pStyle w:val="libNormal"/>
        <w:rPr>
          <w:rtl/>
          <w:lang w:bidi="fa-IR"/>
        </w:rPr>
      </w:pPr>
      <w:r w:rsidRPr="005D642E">
        <w:rPr>
          <w:rtl/>
          <w:lang w:bidi="fa-IR"/>
        </w:rPr>
        <w:t xml:space="preserve">حَدَّثَنِي مَنْ سَمِعَ أَبَا عَبْدِ اللهِ </w:t>
      </w:r>
      <w:r w:rsidRPr="00AC51C5">
        <w:rPr>
          <w:rStyle w:val="libAlaemChar"/>
          <w:rtl/>
        </w:rPr>
        <w:t>عليه‌السلام</w:t>
      </w:r>
      <w:r w:rsidRPr="005D642E">
        <w:rPr>
          <w:rtl/>
          <w:lang w:bidi="fa-IR"/>
        </w:rPr>
        <w:t xml:space="preserve"> يَقُولُ : « مِنْكُمْ وَاللهِ يُقْبَلُ ، وَلَكُمْ وَاللهِ يُغْفَرُ ، إِنَّهُ لَيْسَ بَيْنَ أَحَدِكُمْ </w:t>
      </w:r>
      <w:r w:rsidRPr="007C12DB">
        <w:rPr>
          <w:rStyle w:val="libFootnotenumChar"/>
          <w:rtl/>
        </w:rPr>
        <w:t>(2)</w:t>
      </w:r>
      <w:r w:rsidRPr="005D642E">
        <w:rPr>
          <w:rtl/>
          <w:lang w:bidi="fa-IR"/>
        </w:rPr>
        <w:t xml:space="preserve"> وَبَيْنَ أَنْ يَغْتَبِطَ </w:t>
      </w:r>
      <w:r w:rsidRPr="007C12DB">
        <w:rPr>
          <w:rStyle w:val="libFootnotenumChar"/>
          <w:rtl/>
        </w:rPr>
        <w:t>(3)</w:t>
      </w:r>
      <w:r w:rsidRPr="005D642E">
        <w:rPr>
          <w:rtl/>
          <w:lang w:bidi="fa-IR"/>
        </w:rPr>
        <w:t xml:space="preserve"> وَيَرَى السُّ</w:t>
      </w:r>
      <w:r w:rsidR="004926E8">
        <w:rPr>
          <w:rtl/>
          <w:lang w:bidi="fa-IR"/>
        </w:rPr>
        <w:t>رُورَ وَقُرَّةَ الْعَيْنِ إِل</w:t>
      </w:r>
      <w:r w:rsidR="004926E8">
        <w:rPr>
          <w:rFonts w:hint="cs"/>
          <w:rtl/>
          <w:lang w:bidi="fa-IR"/>
        </w:rPr>
        <w:t>َّ</w:t>
      </w:r>
      <w:r w:rsidR="004926E8">
        <w:rPr>
          <w:rtl/>
          <w:lang w:bidi="fa-IR"/>
        </w:rPr>
        <w:t>ا</w:t>
      </w:r>
      <w:r w:rsidRPr="005D642E">
        <w:rPr>
          <w:rtl/>
          <w:lang w:bidi="fa-IR"/>
        </w:rPr>
        <w:t xml:space="preserve"> أَنْ تَبْلُغَ نَفْسُهُ هاهُنَا » وَأَوْمَأَ بِيَدِهِ إِلى حَلْقِهِ.</w:t>
      </w:r>
    </w:p>
    <w:p w:rsidR="00E3253D" w:rsidRPr="005D642E" w:rsidRDefault="00E3253D" w:rsidP="00E3253D">
      <w:pPr>
        <w:pStyle w:val="libNormal"/>
        <w:rPr>
          <w:rtl/>
          <w:lang w:bidi="fa-IR"/>
        </w:rPr>
      </w:pPr>
      <w:r w:rsidRPr="005D642E">
        <w:rPr>
          <w:rtl/>
          <w:lang w:bidi="fa-IR"/>
        </w:rPr>
        <w:t xml:space="preserve">ثُمَّ قَالَ : « إِنَّهُ إِذَا كَانَ ذلِكَ </w:t>
      </w:r>
      <w:r w:rsidRPr="007C12DB">
        <w:rPr>
          <w:rStyle w:val="libFootnotenumChar"/>
          <w:rtl/>
        </w:rPr>
        <w:t>(4)</w:t>
      </w:r>
      <w:r w:rsidRPr="005D642E">
        <w:rPr>
          <w:rtl/>
          <w:lang w:bidi="fa-IR"/>
        </w:rPr>
        <w:t xml:space="preserve"> وَاحْتُضِرَ ، حَضَرَهُ رَسُولُ اللهِ </w:t>
      </w:r>
      <w:r w:rsidR="0042621E" w:rsidRPr="0042621E">
        <w:rPr>
          <w:rStyle w:val="libAlaemChar"/>
          <w:rtl/>
        </w:rPr>
        <w:t>صلى‌الله‌عليه‌وآله</w:t>
      </w:r>
      <w:r w:rsidRPr="005D642E">
        <w:rPr>
          <w:rtl/>
          <w:lang w:bidi="fa-IR"/>
        </w:rPr>
        <w:t xml:space="preserve"> وَعَلِيٌّ </w:t>
      </w:r>
      <w:r w:rsidRPr="00AC51C5">
        <w:rPr>
          <w:rStyle w:val="libAlaemChar"/>
          <w:rtl/>
        </w:rPr>
        <w:t>عليه‌السلام</w:t>
      </w:r>
      <w:r w:rsidRPr="005D642E">
        <w:rPr>
          <w:rtl/>
          <w:lang w:bidi="fa-IR"/>
        </w:rPr>
        <w:t xml:space="preserve"> وَجَبْرَئِيلُ وَمَلَكُ الْمَوْتِ </w:t>
      </w:r>
      <w:r w:rsidRPr="00AC51C5">
        <w:rPr>
          <w:rStyle w:val="libAlaemChar"/>
          <w:rtl/>
        </w:rPr>
        <w:t>عليهما‌السلام</w:t>
      </w:r>
      <w:r w:rsidRPr="005D642E">
        <w:rPr>
          <w:rtl/>
          <w:lang w:bidi="fa-IR"/>
        </w:rPr>
        <w:t xml:space="preserve"> ، فَيَدْنُو مِنْهُ عَلِيٌّ </w:t>
      </w:r>
      <w:r w:rsidRPr="00AC51C5">
        <w:rPr>
          <w:rStyle w:val="libAlaemChar"/>
          <w:rtl/>
        </w:rPr>
        <w:t>عليه‌السلام</w:t>
      </w:r>
      <w:r w:rsidRPr="005D642E">
        <w:rPr>
          <w:rtl/>
          <w:lang w:bidi="fa-IR"/>
        </w:rPr>
        <w:t xml:space="preserve"> ، فَيَقُولُ : يَا رَسُولَ اللهِ ، إِنَّ هذَا كَانَ يُحِبُّنَا أَهْلَ الْبَيْتِ ، فَأَحِبَّهُ ، وَيَقُولُ رَسُولُ اللهِ </w:t>
      </w:r>
      <w:r w:rsidR="0042621E" w:rsidRPr="0042621E">
        <w:rPr>
          <w:rStyle w:val="libAlaemChar"/>
          <w:rtl/>
        </w:rPr>
        <w:t>صلى‌الله‌عليه‌وآله</w:t>
      </w:r>
      <w:r w:rsidRPr="005D642E">
        <w:rPr>
          <w:rtl/>
          <w:lang w:bidi="fa-IR"/>
        </w:rPr>
        <w:t xml:space="preserve"> : يَا جَبْرَئِيلُ ، إِنَّ هذَا كَانَ يُحِبُّ اللهَ وَرَسُولَهُ وَأَهْلَ بَيْتِ رَسُولِهِ </w:t>
      </w:r>
      <w:r w:rsidRPr="007C12DB">
        <w:rPr>
          <w:rStyle w:val="libFootnotenumChar"/>
          <w:rtl/>
        </w:rPr>
        <w:t>(5)</w:t>
      </w:r>
      <w:r w:rsidRPr="005D642E">
        <w:rPr>
          <w:rtl/>
          <w:lang w:bidi="fa-IR"/>
        </w:rPr>
        <w:t xml:space="preserve"> ، فَأَحِبَّهُ </w:t>
      </w:r>
      <w:r w:rsidRPr="007C12DB">
        <w:rPr>
          <w:rStyle w:val="libFootnotenumChar"/>
          <w:rtl/>
        </w:rPr>
        <w:t>(6)</w:t>
      </w:r>
      <w:r w:rsidRPr="005D642E">
        <w:rPr>
          <w:rtl/>
          <w:lang w:bidi="fa-IR"/>
        </w:rPr>
        <w:t xml:space="preserve"> ، وَيَقُولُ جَبْرَئِيلُ لِمَلَكِ الْمَوْتِ : إِنَّ هذَا كَانَ يُحِبُّ اللهَ وَرَسُولَهُ وَأَهْلَ بَيْتِ رَسُولِهِ ، فَأَحِبَّهُ ، وَارْفُقْ بِهِ ، فَيَدْنُو مِنْهُ مَلَكُ الْمَوْتِ ، فَيَقُولُ : يَا عَبْدَ اللهِ ، أَخَذْتَ فَكَاكَ رَقَبَتِكَ</w:t>
      </w:r>
      <w:r w:rsidRPr="007C12DB">
        <w:rPr>
          <w:rStyle w:val="libFootnotenumChar"/>
          <w:rtl/>
        </w:rPr>
        <w:t>(7)</w:t>
      </w:r>
      <w:r>
        <w:rPr>
          <w:rtl/>
          <w:lang w:bidi="fa-IR"/>
        </w:rPr>
        <w:t>؟</w:t>
      </w:r>
      <w:r w:rsidRPr="005D642E">
        <w:rPr>
          <w:rtl/>
          <w:lang w:bidi="fa-IR"/>
        </w:rPr>
        <w:t xml:space="preserve"> أَخَذْتَ أَمَانَ بَرَاءَتِكَ</w:t>
      </w:r>
      <w:r>
        <w:rPr>
          <w:rtl/>
          <w:lang w:bidi="fa-IR"/>
        </w:rPr>
        <w:t>؟</w:t>
      </w:r>
      <w:r w:rsidRPr="005D642E">
        <w:rPr>
          <w:rtl/>
          <w:lang w:bidi="fa-IR"/>
        </w:rPr>
        <w:t xml:space="preserve"> تَمَسَّكْتَ بِالْعِصْمَةِ الْكُبْرى فِي الْحَيَاةِ الدُّنْيَا</w:t>
      </w:r>
      <w:r>
        <w:rPr>
          <w:rtl/>
          <w:lang w:bidi="fa-IR"/>
        </w:rPr>
        <w:t>؟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رجال الكشّي</w:t>
      </w:r>
      <w:r w:rsidR="00E3253D" w:rsidRPr="005D642E">
        <w:rPr>
          <w:rtl/>
        </w:rPr>
        <w:t xml:space="preserve"> ، ص 335 ، ح 614 ، بسنده عن ابن فضّال ، مع اختلاف يسير </w:t>
      </w:r>
      <w:r w:rsidR="004926E8" w:rsidRPr="004926E8">
        <w:rPr>
          <w:rStyle w:val="libFootnoteBoldChar"/>
          <w:rFonts w:hint="cs"/>
          <w:rtl/>
        </w:rPr>
        <w:t>.</w:t>
      </w:r>
      <w:r w:rsidR="00E3253D" w:rsidRPr="002F4D34">
        <w:rPr>
          <w:rStyle w:val="libFootnoteBoldChar"/>
          <w:rtl/>
        </w:rPr>
        <w:t>الوافي</w:t>
      </w:r>
      <w:r w:rsidR="00E3253D" w:rsidRPr="005D642E">
        <w:rPr>
          <w:rtl/>
        </w:rPr>
        <w:t xml:space="preserve"> ، ج 24 ، ص 250 ، ح 23978 ؛ </w:t>
      </w:r>
      <w:r w:rsidR="00E3253D" w:rsidRPr="002F4D34">
        <w:rPr>
          <w:rStyle w:val="libFootnoteBoldChar"/>
          <w:rtl/>
        </w:rPr>
        <w:t>البحار</w:t>
      </w:r>
      <w:r w:rsidR="00E3253D" w:rsidRPr="005D642E">
        <w:rPr>
          <w:rtl/>
        </w:rPr>
        <w:t xml:space="preserve"> ، ج 39 ، ص 237 ، ح 24 ؛ وج 47 ، ص 362 ، ح 75.</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الوافي</w:t>
      </w:r>
      <w:r w:rsidR="00E3253D" w:rsidRPr="005D642E">
        <w:rPr>
          <w:rtl/>
        </w:rPr>
        <w:t xml:space="preserve"> : « ضمائر خطاب الجمع في منكم ولكم وأحدكم للشيعة وتقديم الظرف للحصر</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الاغتباط : التبجّح والفرح بالحال الحسنة ؛ من الغِبْطَة وهو حسن الحال. وقيل : الاغت</w:t>
      </w:r>
      <w:r w:rsidR="004926E8">
        <w:rPr>
          <w:rtl/>
        </w:rPr>
        <w:t>باط : الفرح بالنعمة. وقال العل</w:t>
      </w:r>
      <w:r w:rsidR="004926E8">
        <w:rPr>
          <w:rFonts w:hint="cs"/>
          <w:rtl/>
        </w:rPr>
        <w:t>ّ</w:t>
      </w:r>
      <w:r w:rsidR="004926E8">
        <w:rPr>
          <w:rtl/>
        </w:rPr>
        <w:t>ا</w:t>
      </w:r>
      <w:r w:rsidR="00E3253D" w:rsidRPr="005D642E">
        <w:rPr>
          <w:rtl/>
        </w:rPr>
        <w:t xml:space="preserve">مة الفيض : « </w:t>
      </w:r>
      <w:r w:rsidR="004926E8">
        <w:rPr>
          <w:rtl/>
        </w:rPr>
        <w:t>اغتبط : حسن حاله » ، وقال العل</w:t>
      </w:r>
      <w:r w:rsidR="004926E8">
        <w:rPr>
          <w:rFonts w:hint="cs"/>
          <w:rtl/>
        </w:rPr>
        <w:t>ّ</w:t>
      </w:r>
      <w:r w:rsidR="004926E8">
        <w:rPr>
          <w:rtl/>
        </w:rPr>
        <w:t>ا</w:t>
      </w:r>
      <w:r w:rsidR="00E3253D" w:rsidRPr="005D642E">
        <w:rPr>
          <w:rtl/>
        </w:rPr>
        <w:t xml:space="preserve">مة المجلسي : « قوله </w:t>
      </w:r>
      <w:r w:rsidR="00E3253D" w:rsidRPr="004926E8">
        <w:rPr>
          <w:rStyle w:val="libFootnoteAlaemChar"/>
          <w:rtl/>
        </w:rPr>
        <w:t>عليه‌السلام</w:t>
      </w:r>
      <w:r w:rsidR="00E3253D" w:rsidRPr="005D642E">
        <w:rPr>
          <w:rtl/>
        </w:rPr>
        <w:t xml:space="preserve"> : أن يغتبط ، أي يصير مغبوطاً محسوداً ، أي يصير بحيث لو علم أحد حاله لأمّله ورجاه واغتبطه</w:t>
      </w:r>
      <w:r w:rsidR="00E3253D">
        <w:rPr>
          <w:rtl/>
        </w:rPr>
        <w:t xml:space="preserve"> ».</w:t>
      </w:r>
      <w:r w:rsidR="00E3253D" w:rsidRPr="005D642E">
        <w:rPr>
          <w:rtl/>
        </w:rPr>
        <w:t xml:space="preserve"> ويجوز أن يقرأ الفعل معلوماً ومجهولاً. راجع : </w:t>
      </w:r>
      <w:r w:rsidR="00E3253D" w:rsidRPr="002F4D34">
        <w:rPr>
          <w:rStyle w:val="libFootnoteBoldChar"/>
          <w:rtl/>
        </w:rPr>
        <w:t>لسان العرب</w:t>
      </w:r>
      <w:r w:rsidR="00E3253D" w:rsidRPr="005D642E">
        <w:rPr>
          <w:rtl/>
        </w:rPr>
        <w:t xml:space="preserve"> ، ج 7 ، ص 358 ؛ </w:t>
      </w:r>
      <w:r w:rsidR="00E3253D" w:rsidRPr="002F4D34">
        <w:rPr>
          <w:rStyle w:val="libFootnoteBoldChar"/>
          <w:rtl/>
        </w:rPr>
        <w:t>القاموس المحيط</w:t>
      </w:r>
      <w:r w:rsidR="00E3253D" w:rsidRPr="005D642E">
        <w:rPr>
          <w:rtl/>
        </w:rPr>
        <w:t xml:space="preserve"> ، ج 1 ، ص 916 ( غبط )</w:t>
      </w:r>
      <w:r w:rsidR="00E3253D">
        <w:rPr>
          <w:rtl/>
        </w:rPr>
        <w:t>.</w:t>
      </w:r>
    </w:p>
    <w:tbl>
      <w:tblPr>
        <w:tblStyle w:val="TableGrid"/>
        <w:bidiVisual/>
        <w:tblW w:w="0" w:type="auto"/>
        <w:tblLook w:val="04A0" w:firstRow="1" w:lastRow="0" w:firstColumn="1" w:lastColumn="0" w:noHBand="0" w:noVBand="1"/>
      </w:tblPr>
      <w:tblGrid>
        <w:gridCol w:w="4006"/>
        <w:gridCol w:w="4006"/>
      </w:tblGrid>
      <w:tr w:rsidR="004926E8" w:rsidTr="004926E8">
        <w:tc>
          <w:tcPr>
            <w:tcW w:w="4006" w:type="dxa"/>
          </w:tcPr>
          <w:p w:rsidR="004926E8" w:rsidRDefault="004926E8" w:rsidP="00E3253D">
            <w:pPr>
              <w:pStyle w:val="libFootnote0"/>
              <w:rPr>
                <w:rStyle w:val="libFootnote0Char"/>
                <w:rtl/>
              </w:rPr>
            </w:pPr>
            <w:r w:rsidRPr="0042621E">
              <w:rPr>
                <w:rStyle w:val="libFootnote0Char"/>
                <w:rtl/>
              </w:rPr>
              <w:t>(4).</w:t>
            </w:r>
            <w:r w:rsidRPr="005D642E">
              <w:rPr>
                <w:rtl/>
              </w:rPr>
              <w:t xml:space="preserve"> في « جس » : « كذلك</w:t>
            </w:r>
            <w:r>
              <w:rPr>
                <w:rtl/>
              </w:rPr>
              <w:t xml:space="preserve"> ».</w:t>
            </w:r>
          </w:p>
        </w:tc>
        <w:tc>
          <w:tcPr>
            <w:tcW w:w="4006" w:type="dxa"/>
          </w:tcPr>
          <w:p w:rsidR="004926E8" w:rsidRDefault="004926E8" w:rsidP="00E3253D">
            <w:pPr>
              <w:pStyle w:val="libFootnote0"/>
              <w:rPr>
                <w:rStyle w:val="libFootnote0Char"/>
                <w:rtl/>
              </w:rPr>
            </w:pPr>
            <w:r w:rsidRPr="0042621E">
              <w:rPr>
                <w:rStyle w:val="libFootnote0Char"/>
                <w:rtl/>
              </w:rPr>
              <w:t>(5).</w:t>
            </w:r>
            <w:r w:rsidRPr="005D642E">
              <w:rPr>
                <w:rtl/>
              </w:rPr>
              <w:t xml:space="preserve"> في « جح » : « رسول الله</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ى ، بخ ، بس » :</w:t>
      </w:r>
      <w:r w:rsidR="00E3253D">
        <w:rPr>
          <w:rtl/>
        </w:rPr>
        <w:t xml:space="preserve"> </w:t>
      </w:r>
      <w:r w:rsidR="007642BC">
        <w:rPr>
          <w:rtl/>
        </w:rPr>
        <w:t>-</w:t>
      </w:r>
      <w:r w:rsidR="00E3253D">
        <w:rPr>
          <w:rtl/>
        </w:rPr>
        <w:t xml:space="preserve"> </w:t>
      </w:r>
      <w:r w:rsidR="00E3253D" w:rsidRPr="005D642E">
        <w:rPr>
          <w:rtl/>
        </w:rPr>
        <w:t>« فأحبّه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أخذت فكاك رقبتك ، استفهام كنّى بذلك عن معرفة الأئمّة </w:t>
      </w:r>
      <w:r w:rsidR="00E3253D" w:rsidRPr="004926E8">
        <w:rPr>
          <w:rStyle w:val="libFootnoteAlaemChar"/>
          <w:rtl/>
        </w:rPr>
        <w:t>عليهم‌السلام</w:t>
      </w:r>
      <w:r w:rsidR="00E3253D" w:rsidRPr="005D642E">
        <w:rPr>
          <w:rtl/>
        </w:rPr>
        <w:t xml:space="preserve"> والتشيّع. فيوفّقه الله ، أي يفهم تلك‌</w:t>
      </w:r>
      <w:r w:rsidR="00E74ACB">
        <w:rPr>
          <w:rFonts w:hint="cs"/>
          <w:rtl/>
        </w:rPr>
        <w:t xml:space="preserve"> </w:t>
      </w:r>
      <w:r w:rsidR="00E3253D" w:rsidRPr="005D642E">
        <w:rPr>
          <w:rtl/>
        </w:rPr>
        <w:t>الكناية</w:t>
      </w:r>
      <w:r w:rsidR="00E3253D">
        <w:rPr>
          <w:rtl/>
        </w:rPr>
        <w:t xml:space="preserve"> ».</w:t>
      </w:r>
      <w:r w:rsidR="00E3253D" w:rsidRPr="005D642E">
        <w:rPr>
          <w:rtl/>
        </w:rPr>
        <w:t xml:space="preserve"> ونحوه في </w:t>
      </w:r>
      <w:r w:rsidR="00E3253D" w:rsidRPr="002F4D34">
        <w:rPr>
          <w:rStyle w:val="libFootnoteBoldChar"/>
          <w:rtl/>
        </w:rPr>
        <w:t>مرآة العقول</w:t>
      </w:r>
      <w:r w:rsidR="00E3253D" w:rsidRPr="005D642E">
        <w:rPr>
          <w:rtl/>
        </w:rPr>
        <w:t xml:space="preserve"> ، ج 13 ، ص 291.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قَالَ : « فَيُوَفِّقُهُ اللهُ عَزَّ وَجَلَّ ، فَيَقُولُ : نَعَمْ ، فَيَقُولُ : وَمَا ذَاكَ </w:t>
      </w:r>
      <w:r w:rsidRPr="007C12DB">
        <w:rPr>
          <w:rStyle w:val="libFootnotenumChar"/>
          <w:rtl/>
        </w:rPr>
        <w:t>(1)</w:t>
      </w:r>
      <w:r>
        <w:rPr>
          <w:rtl/>
          <w:lang w:bidi="fa-IR"/>
        </w:rPr>
        <w:t>؟</w:t>
      </w:r>
      <w:r w:rsidRPr="005D642E">
        <w:rPr>
          <w:rtl/>
          <w:lang w:bidi="fa-IR"/>
        </w:rPr>
        <w:t xml:space="preserve"> فَيَقُولُ : وَلَايَةُ عَلِيِّ بْنِ أَبِي طَالِبٍ </w:t>
      </w:r>
      <w:r w:rsidRPr="00AC51C5">
        <w:rPr>
          <w:rStyle w:val="libAlaemChar"/>
          <w:rtl/>
        </w:rPr>
        <w:t>عليه‌السلام</w:t>
      </w:r>
      <w:r w:rsidRPr="005D642E">
        <w:rPr>
          <w:rtl/>
          <w:lang w:bidi="fa-IR"/>
        </w:rPr>
        <w:t xml:space="preserve"> ، فَيَقُولُ : صَدَقْتَ ، أَمَّا الَّذِي كُنْتَ تَحْذَرُهُ ، فَقَدْ آمَنَكَ اللهُ مِنْهُ </w:t>
      </w:r>
      <w:r w:rsidRPr="007C12DB">
        <w:rPr>
          <w:rStyle w:val="libFootnotenumChar"/>
          <w:rtl/>
        </w:rPr>
        <w:t>(2)</w:t>
      </w:r>
      <w:r w:rsidRPr="005D642E">
        <w:rPr>
          <w:rtl/>
          <w:lang w:bidi="fa-IR"/>
        </w:rPr>
        <w:t xml:space="preserve"> ، وَأَمَّا الَّذِي كُنْتَ تَرْجُوهُ ، فَقَدْ أَدْرَكْتَهُ ، أَبْشِرْ بِالسَّلَفِ الصَّالِحِ مُرَافَقَةِ </w:t>
      </w:r>
      <w:r w:rsidRPr="007C12DB">
        <w:rPr>
          <w:rStyle w:val="libFootnotenumChar"/>
          <w:rtl/>
        </w:rPr>
        <w:t>(3)</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وَعَلِيٍّ وَفَاطِمَةَ </w:t>
      </w:r>
      <w:r w:rsidRPr="00AC51C5">
        <w:rPr>
          <w:rStyle w:val="libAlaemChar"/>
          <w:rtl/>
        </w:rPr>
        <w:t>عليهما‌السلام</w:t>
      </w:r>
      <w:r w:rsidRPr="005D642E">
        <w:rPr>
          <w:rtl/>
          <w:lang w:bidi="fa-IR"/>
        </w:rPr>
        <w:t>.</w:t>
      </w:r>
    </w:p>
    <w:p w:rsidR="00E3253D" w:rsidRPr="005D642E" w:rsidRDefault="00E74ACB" w:rsidP="00E3253D">
      <w:pPr>
        <w:pStyle w:val="libNormal"/>
        <w:rPr>
          <w:rtl/>
          <w:lang w:bidi="fa-IR"/>
        </w:rPr>
      </w:pPr>
      <w:r>
        <w:rPr>
          <w:rtl/>
          <w:lang w:bidi="fa-IR"/>
        </w:rPr>
        <w:t>ثُمَّ يَسُلُّ نَفْسَهُ سَل</w:t>
      </w:r>
      <w:r>
        <w:rPr>
          <w:rFonts w:hint="cs"/>
          <w:rtl/>
          <w:lang w:bidi="fa-IR"/>
        </w:rPr>
        <w:t>ّ</w:t>
      </w:r>
      <w:r>
        <w:rPr>
          <w:rtl/>
          <w:lang w:bidi="fa-IR"/>
        </w:rPr>
        <w:t>ا</w:t>
      </w:r>
      <w:r>
        <w:rPr>
          <w:rFonts w:hint="cs"/>
          <w:rtl/>
          <w:lang w:bidi="fa-IR"/>
        </w:rPr>
        <w:t>ً</w:t>
      </w:r>
      <w:r w:rsidR="00E3253D" w:rsidRPr="005D642E">
        <w:rPr>
          <w:rtl/>
          <w:lang w:bidi="fa-IR"/>
        </w:rPr>
        <w:t xml:space="preserve"> </w:t>
      </w:r>
      <w:r w:rsidR="00E3253D" w:rsidRPr="007C12DB">
        <w:rPr>
          <w:rStyle w:val="libFootnotenumChar"/>
          <w:rtl/>
        </w:rPr>
        <w:t>(4)</w:t>
      </w:r>
      <w:r w:rsidR="00E3253D" w:rsidRPr="005D642E">
        <w:rPr>
          <w:rtl/>
          <w:lang w:bidi="fa-IR"/>
        </w:rPr>
        <w:t xml:space="preserve"> رَفِيقاً </w:t>
      </w:r>
      <w:r w:rsidR="00E3253D" w:rsidRPr="007C12DB">
        <w:rPr>
          <w:rStyle w:val="libFootnotenumChar"/>
          <w:rtl/>
        </w:rPr>
        <w:t>(5)</w:t>
      </w:r>
      <w:r w:rsidR="00E3253D" w:rsidRPr="005D642E">
        <w:rPr>
          <w:rtl/>
          <w:lang w:bidi="fa-IR"/>
        </w:rPr>
        <w:t xml:space="preserve"> ، ثُمَّ يَنْزِلُ بِكَفَنِهِ مِنَ الْجَنَّةِ </w:t>
      </w:r>
      <w:r w:rsidR="00E3253D" w:rsidRPr="007C12DB">
        <w:rPr>
          <w:rStyle w:val="libFootnotenumChar"/>
          <w:rtl/>
        </w:rPr>
        <w:t>(6)</w:t>
      </w:r>
      <w:r w:rsidR="00E3253D" w:rsidRPr="005D642E">
        <w:rPr>
          <w:rtl/>
          <w:lang w:bidi="fa-IR"/>
        </w:rPr>
        <w:t xml:space="preserve"> وَحَنُوطِهِ </w:t>
      </w:r>
      <w:r w:rsidR="00E3253D" w:rsidRPr="007C12DB">
        <w:rPr>
          <w:rStyle w:val="libFootnotenumChar"/>
          <w:rtl/>
        </w:rPr>
        <w:t>(7)</w:t>
      </w:r>
      <w:r w:rsidR="00E3253D" w:rsidRPr="005D642E">
        <w:rPr>
          <w:rtl/>
          <w:lang w:bidi="fa-IR"/>
        </w:rPr>
        <w:t xml:space="preserve"> مِنَ الْجَنَّةِ بِمِسْكٍ أَذْفَرَ </w:t>
      </w:r>
      <w:r w:rsidR="00E3253D" w:rsidRPr="007C12DB">
        <w:rPr>
          <w:rStyle w:val="libFootnotenumChar"/>
          <w:rtl/>
        </w:rPr>
        <w:t>(8)</w:t>
      </w:r>
      <w:r w:rsidR="00E3253D" w:rsidRPr="005D642E">
        <w:rPr>
          <w:rtl/>
          <w:lang w:bidi="fa-IR"/>
        </w:rPr>
        <w:t xml:space="preserve"> ، فَيُكَفَّنُ بِذلِكَ الْكَفَنِ ، وَيُحَنَّطُ بِذلِكَ الْحَنُوطِ </w:t>
      </w:r>
      <w:r w:rsidR="00E3253D" w:rsidRPr="007C12DB">
        <w:rPr>
          <w:rStyle w:val="libFootnotenumChar"/>
          <w:rtl/>
        </w:rPr>
        <w:t>(9)</w:t>
      </w:r>
      <w:r w:rsidR="00E3253D" w:rsidRPr="005D642E">
        <w:rPr>
          <w:rtl/>
          <w:lang w:bidi="fa-IR"/>
        </w:rPr>
        <w:t xml:space="preserve"> ، ثُمَّ يُكْسى حُلَّةً صَفْرَاءَ مِنْ حُلَلِ الْجَنَّةِ ، فَإِذَا </w:t>
      </w:r>
      <w:r w:rsidR="00E3253D" w:rsidRPr="007C12DB">
        <w:rPr>
          <w:rStyle w:val="libFootnotenumChar"/>
          <w:rtl/>
        </w:rPr>
        <w:t>(10)</w:t>
      </w:r>
      <w:r w:rsidR="00E3253D" w:rsidRPr="005D642E">
        <w:rPr>
          <w:rtl/>
          <w:lang w:bidi="fa-IR"/>
        </w:rPr>
        <w:t xml:space="preserve"> وُضِعَ فِي قَبْرِهِ ، فُتِحَ لَهُ بَابٌ </w:t>
      </w:r>
      <w:r w:rsidR="00E3253D" w:rsidRPr="007C12DB">
        <w:rPr>
          <w:rStyle w:val="libFootnotenumChar"/>
          <w:rtl/>
        </w:rPr>
        <w:t>(11)</w:t>
      </w:r>
      <w:r w:rsidR="00E3253D" w:rsidRPr="005D642E">
        <w:rPr>
          <w:rtl/>
          <w:lang w:bidi="fa-IR"/>
        </w:rPr>
        <w:t xml:space="preserve"> مِنْ أَبْوَابِ الْجَنَّةِ يَدْخُلُ </w:t>
      </w:r>
      <w:r w:rsidR="00E3253D" w:rsidRPr="007C12DB">
        <w:rPr>
          <w:rStyle w:val="libFootnotenumChar"/>
          <w:rtl/>
        </w:rPr>
        <w:t>(12)</w:t>
      </w:r>
      <w:r w:rsidR="00E3253D" w:rsidRPr="005D642E">
        <w:rPr>
          <w:rtl/>
          <w:lang w:bidi="fa-IR"/>
        </w:rPr>
        <w:t xml:space="preserve"> عَلَيْهِ مِنْ رَوْحِهَا </w:t>
      </w:r>
      <w:r w:rsidR="00E3253D" w:rsidRPr="007C12DB">
        <w:rPr>
          <w:rStyle w:val="libFootnotenumChar"/>
          <w:rtl/>
        </w:rPr>
        <w:t>(13)</w:t>
      </w:r>
      <w:r w:rsidR="00E3253D" w:rsidRPr="005D642E">
        <w:rPr>
          <w:rtl/>
          <w:lang w:bidi="fa-IR"/>
        </w:rPr>
        <w:t xml:space="preserve"> وَرَيْحَانِهَا ، ثُمَّ يُفْسَحُ لَهُ عَنْ </w:t>
      </w:r>
      <w:r w:rsidR="00E3253D" w:rsidRPr="007C12DB">
        <w:rPr>
          <w:rStyle w:val="libFootnotenumChar"/>
          <w:rtl/>
        </w:rPr>
        <w:t>(14)</w:t>
      </w:r>
      <w:r w:rsidR="00E3253D" w:rsidRPr="005D642E">
        <w:rPr>
          <w:rtl/>
          <w:lang w:bidi="fa-IR"/>
        </w:rPr>
        <w:t xml:space="preserve"> أَمَامِهِ مَسِيرَةَ شَهْرٍ ، وَعَنْ يَمِينِهِ وَعَنْ يَسَارِهِ </w:t>
      </w:r>
      <w:r w:rsidR="00E3253D" w:rsidRPr="007C12DB">
        <w:rPr>
          <w:rStyle w:val="libFootnotenumChar"/>
          <w:rtl/>
        </w:rPr>
        <w:t>(15)</w:t>
      </w:r>
      <w:r w:rsidR="00E3253D" w:rsidRPr="005D642E">
        <w:rPr>
          <w:rtl/>
          <w:lang w:bidi="fa-IR"/>
        </w:rPr>
        <w:t xml:space="preserve"> ،</w:t>
      </w:r>
      <w:r w:rsidR="00E3253D">
        <w:rPr>
          <w:lang w:bidi="fa-IR"/>
        </w:rPr>
        <w:t xml:space="preserve"> </w:t>
      </w:r>
      <w:r w:rsidR="00E3253D" w:rsidRPr="005D642E">
        <w:rPr>
          <w:rtl/>
          <w:lang w:bidi="fa-IR"/>
        </w:rPr>
        <w:t xml:space="preserve">ثُمَّ يُقَالُ لَهُ : نَمْ نَوْمَةَ الْعَرُوسِ عَلى فِرَاشِهَا </w:t>
      </w:r>
      <w:r w:rsidR="00E3253D" w:rsidRPr="007C12DB">
        <w:rPr>
          <w:rStyle w:val="libFootnotenumChar"/>
          <w:rtl/>
        </w:rPr>
        <w:t>(16)</w:t>
      </w:r>
      <w:r w:rsidR="00E3253D" w:rsidRPr="005D642E">
        <w:rPr>
          <w:rtl/>
          <w:lang w:bidi="fa-IR"/>
        </w:rPr>
        <w:t xml:space="preserve"> ، أَبْشِرْ بِرَوْحٍ وَرَيْحَانٍ ، وَجَنَّةِ نَعِيمٍ ، وَرَبٍّ‌</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معظم النسخ التي قوبلت. وفي « بخ » والمطبوع </w:t>
      </w:r>
      <w:r w:rsidR="000D749A" w:rsidRPr="000D749A">
        <w:rPr>
          <w:rStyle w:val="libFootnoteBoldChar"/>
          <w:rtl/>
        </w:rPr>
        <w:t>والوافي</w:t>
      </w:r>
      <w:r w:rsidR="00E3253D" w:rsidRPr="005D642E">
        <w:rPr>
          <w:rtl/>
        </w:rPr>
        <w:t xml:space="preserve"> : « ذلك</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بث » : « عنه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E74ACB">
        <w:rPr>
          <w:rStyle w:val="libFootnoteAlaemChar"/>
          <w:rtl/>
        </w:rPr>
        <w:t>عليه‌السلام</w:t>
      </w:r>
      <w:r w:rsidR="00E3253D" w:rsidRPr="005D642E">
        <w:rPr>
          <w:rtl/>
        </w:rPr>
        <w:t xml:space="preserve"> : أبشر بالسلف ، أي مرافقة السلف الصالح النبيّ والأئمّة ، فقوله : مرافقة ، بدل أو</w:t>
      </w:r>
      <w:r w:rsidR="00E74ACB">
        <w:rPr>
          <w:rFonts w:hint="cs"/>
          <w:rtl/>
        </w:rPr>
        <w:t xml:space="preserve"> </w:t>
      </w:r>
      <w:r w:rsidR="00E3253D" w:rsidRPr="005D642E">
        <w:rPr>
          <w:rtl/>
        </w:rPr>
        <w:t>عطف بيان للسلف الصالح. ويمكن أن يقرأ : مرافقة ، بالتنوين ؛ ليكون تمييزاً ، ورسول الله مجروراً لكونه بدلاً أو عطف بيان للسلف</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السَلُّ » : انتزاع الشي‌ء وإخراجه في رفق. راجع : </w:t>
      </w:r>
      <w:r w:rsidR="00E3253D" w:rsidRPr="002F4D34">
        <w:rPr>
          <w:rStyle w:val="libFootnoteBoldChar"/>
          <w:rtl/>
        </w:rPr>
        <w:t>لسان العرب</w:t>
      </w:r>
      <w:r w:rsidR="00E3253D" w:rsidRPr="005D642E">
        <w:rPr>
          <w:rtl/>
        </w:rPr>
        <w:t xml:space="preserve"> ، ج 11 ، ص 338 ( سلل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 « رقيقاً</w:t>
      </w:r>
      <w:r w:rsidR="00E3253D">
        <w:rPr>
          <w:rtl/>
        </w:rPr>
        <w:t xml:space="preserve"> ».</w:t>
      </w:r>
    </w:p>
    <w:p w:rsidR="00E3253D" w:rsidRPr="005D642E" w:rsidRDefault="0042621E" w:rsidP="00E74ACB">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 عدم رؤيتنا للكفن والحنوط كعدم رؤية الملائكة والجنّ لكونهم أجساماً لطيفة يراهم بعض ولا يراهم بعض ، وربّما يرتكب فيه التجوّز</w:t>
      </w:r>
      <w:r w:rsidR="00E3253D">
        <w:rPr>
          <w:rtl/>
        </w:rPr>
        <w:t xml:space="preserve"> ».</w:t>
      </w:r>
      <w:r w:rsidR="00E74ACB">
        <w:rPr>
          <w:rFonts w:hint="cs"/>
          <w:rtl/>
        </w:rPr>
        <w:t xml:space="preserve">               </w:t>
      </w:r>
      <w:r w:rsidRPr="0042621E">
        <w:rPr>
          <w:rStyle w:val="libFootnote0Char"/>
          <w:rtl/>
        </w:rPr>
        <w:t>(7).</w:t>
      </w:r>
      <w:r w:rsidR="00E3253D" w:rsidRPr="005D642E">
        <w:rPr>
          <w:rtl/>
        </w:rPr>
        <w:t xml:space="preserve"> في « بث ، بخ » : « حنوط</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الأذفر » : الأجود والأطيب والأذكى. راجع : </w:t>
      </w:r>
      <w:r w:rsidR="00E3253D" w:rsidRPr="002F4D34">
        <w:rPr>
          <w:rStyle w:val="libFootnoteBoldChar"/>
          <w:rtl/>
        </w:rPr>
        <w:t>الصحاح</w:t>
      </w:r>
      <w:r w:rsidR="00E3253D" w:rsidRPr="005D642E">
        <w:rPr>
          <w:rtl/>
        </w:rPr>
        <w:t xml:space="preserve"> ، ج 2 ، ص 663 ؛ </w:t>
      </w:r>
      <w:r w:rsidR="00E3253D" w:rsidRPr="002F4D34">
        <w:rPr>
          <w:rStyle w:val="libFootnoteBoldChar"/>
          <w:rtl/>
        </w:rPr>
        <w:t>لسان العرب</w:t>
      </w:r>
      <w:r w:rsidR="00E3253D" w:rsidRPr="005D642E">
        <w:rPr>
          <w:rtl/>
        </w:rPr>
        <w:t xml:space="preserve"> ، ج 4 ، ص 306 ( ذفر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غ ، ى ، بث ، بح ، بس ، جح ، جس » :</w:t>
      </w:r>
      <w:r w:rsidR="00E3253D">
        <w:rPr>
          <w:rtl/>
        </w:rPr>
        <w:t xml:space="preserve"> </w:t>
      </w:r>
      <w:r w:rsidR="007642BC">
        <w:rPr>
          <w:rtl/>
        </w:rPr>
        <w:t>-</w:t>
      </w:r>
      <w:r w:rsidR="00E3253D">
        <w:rPr>
          <w:rtl/>
        </w:rPr>
        <w:t xml:space="preserve"> </w:t>
      </w:r>
      <w:r w:rsidR="00E3253D" w:rsidRPr="005D642E">
        <w:rPr>
          <w:rtl/>
        </w:rPr>
        <w:t>« الحنوط</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74ACB" w:rsidTr="00E74ACB">
        <w:tc>
          <w:tcPr>
            <w:tcW w:w="4006" w:type="dxa"/>
          </w:tcPr>
          <w:p w:rsidR="00E74ACB" w:rsidRDefault="00E74ACB" w:rsidP="00E3253D">
            <w:pPr>
              <w:pStyle w:val="libFootnote0"/>
              <w:rPr>
                <w:rStyle w:val="libFootnote0Char"/>
                <w:rtl/>
              </w:rPr>
            </w:pPr>
            <w:r w:rsidRPr="0042621E">
              <w:rPr>
                <w:rStyle w:val="libFootnote0Char"/>
                <w:rtl/>
              </w:rPr>
              <w:t>(10).</w:t>
            </w:r>
            <w:r w:rsidRPr="005D642E">
              <w:rPr>
                <w:rtl/>
              </w:rPr>
              <w:t xml:space="preserve"> في الوافي : « وإذا</w:t>
            </w:r>
            <w:r>
              <w:rPr>
                <w:rtl/>
              </w:rPr>
              <w:t xml:space="preserve"> ».</w:t>
            </w:r>
          </w:p>
        </w:tc>
        <w:tc>
          <w:tcPr>
            <w:tcW w:w="4006" w:type="dxa"/>
          </w:tcPr>
          <w:p w:rsidR="00E74ACB" w:rsidRDefault="00E74ACB" w:rsidP="00E3253D">
            <w:pPr>
              <w:pStyle w:val="libFootnote0"/>
              <w:rPr>
                <w:rStyle w:val="libFootnote0Char"/>
                <w:rtl/>
              </w:rPr>
            </w:pPr>
            <w:r w:rsidRPr="0042621E">
              <w:rPr>
                <w:rStyle w:val="libFootnote0Char"/>
                <w:rtl/>
              </w:rPr>
              <w:t>(11).</w:t>
            </w:r>
            <w:r w:rsidRPr="005D642E">
              <w:rPr>
                <w:rtl/>
              </w:rPr>
              <w:t xml:space="preserve"> في حاشية « بث » : « فتح الله له باباً</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بخ ، بف » : « ويدخل</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بخ » : « ريحها » بدل « من روحها</w:t>
      </w:r>
      <w:r w:rsidR="00E3253D">
        <w:rPr>
          <w:rtl/>
        </w:rPr>
        <w:t xml:space="preserve"> ».</w:t>
      </w:r>
      <w:r w:rsidR="00E3253D" w:rsidRPr="005D642E">
        <w:rPr>
          <w:rtl/>
        </w:rPr>
        <w:t xml:space="preserve"> </w:t>
      </w:r>
      <w:r w:rsidR="00E3253D">
        <w:rPr>
          <w:rtl/>
        </w:rPr>
        <w:t>و «</w:t>
      </w:r>
      <w:r w:rsidR="00E3253D" w:rsidRPr="005D642E">
        <w:rPr>
          <w:rtl/>
        </w:rPr>
        <w:t xml:space="preserve"> الرَوْح » : الراحة والسرور والفرح والرحمة ونسيم الريح. راجع : </w:t>
      </w:r>
      <w:r w:rsidR="00E3253D" w:rsidRPr="002F4D34">
        <w:rPr>
          <w:rStyle w:val="libFootnoteBoldChar"/>
          <w:rtl/>
        </w:rPr>
        <w:t>القاموس المحيط</w:t>
      </w:r>
      <w:r w:rsidR="00E3253D" w:rsidRPr="005D642E">
        <w:rPr>
          <w:rtl/>
        </w:rPr>
        <w:t xml:space="preserve"> ، ج 1 ، ص 335 ؛ </w:t>
      </w:r>
      <w:r w:rsidR="00E3253D" w:rsidRPr="002F4D34">
        <w:rPr>
          <w:rStyle w:val="libFootnoteBoldChar"/>
          <w:rtl/>
        </w:rPr>
        <w:t>تاج العروس</w:t>
      </w:r>
      <w:r w:rsidR="00E3253D" w:rsidRPr="005D642E">
        <w:rPr>
          <w:rtl/>
        </w:rPr>
        <w:t xml:space="preserve"> ، ج 4 ، ص 58 ( روح )</w:t>
      </w:r>
      <w:r w:rsidR="00E3253D">
        <w:rPr>
          <w:rtl/>
        </w:rPr>
        <w:t>.</w:t>
      </w:r>
    </w:p>
    <w:tbl>
      <w:tblPr>
        <w:tblStyle w:val="TableGrid"/>
        <w:bidiVisual/>
        <w:tblW w:w="0" w:type="auto"/>
        <w:tblLook w:val="04A0" w:firstRow="1" w:lastRow="0" w:firstColumn="1" w:lastColumn="0" w:noHBand="0" w:noVBand="1"/>
      </w:tblPr>
      <w:tblGrid>
        <w:gridCol w:w="4006"/>
        <w:gridCol w:w="4006"/>
      </w:tblGrid>
      <w:tr w:rsidR="00E74ACB" w:rsidTr="00E74ACB">
        <w:tc>
          <w:tcPr>
            <w:tcW w:w="4006" w:type="dxa"/>
          </w:tcPr>
          <w:p w:rsidR="00E74ACB" w:rsidRDefault="00E74ACB" w:rsidP="00E3253D">
            <w:pPr>
              <w:pStyle w:val="libFootnote0"/>
              <w:rPr>
                <w:rStyle w:val="libFootnote0Char"/>
                <w:rtl/>
              </w:rPr>
            </w:pPr>
            <w:r w:rsidRPr="0042621E">
              <w:rPr>
                <w:rStyle w:val="libFootnote0Char"/>
                <w:rtl/>
              </w:rPr>
              <w:t>(14).</w:t>
            </w:r>
            <w:r w:rsidRPr="005D642E">
              <w:rPr>
                <w:rtl/>
              </w:rPr>
              <w:t xml:space="preserve"> في « بخ ، بس » : « من</w:t>
            </w:r>
            <w:r>
              <w:rPr>
                <w:rtl/>
              </w:rPr>
              <w:t xml:space="preserve"> ».</w:t>
            </w:r>
          </w:p>
        </w:tc>
        <w:tc>
          <w:tcPr>
            <w:tcW w:w="4006" w:type="dxa"/>
          </w:tcPr>
          <w:p w:rsidR="00E74ACB" w:rsidRDefault="00E74ACB" w:rsidP="00E3253D">
            <w:pPr>
              <w:pStyle w:val="libFootnote0"/>
              <w:rPr>
                <w:rStyle w:val="libFootnote0Char"/>
                <w:rtl/>
              </w:rPr>
            </w:pPr>
            <w:r w:rsidRPr="0042621E">
              <w:rPr>
                <w:rStyle w:val="libFootnote0Char"/>
                <w:rtl/>
              </w:rPr>
              <w:t>(15).</w:t>
            </w:r>
            <w:r w:rsidRPr="005D642E">
              <w:rPr>
                <w:rtl/>
              </w:rPr>
              <w:t xml:space="preserve"> في « بخ » : « شماله</w:t>
            </w:r>
            <w:r>
              <w:rPr>
                <w:rtl/>
              </w:rPr>
              <w:t xml:space="preserve"> ».</w:t>
            </w:r>
          </w:p>
        </w:tc>
      </w:tr>
    </w:tbl>
    <w:p w:rsidR="00E3253D" w:rsidRPr="005D642E" w:rsidRDefault="00E3253D" w:rsidP="00E3253D">
      <w:pPr>
        <w:pStyle w:val="libFootnote0"/>
        <w:rPr>
          <w:rtl/>
          <w:lang w:bidi="fa-IR"/>
        </w:rPr>
      </w:pPr>
      <w:r w:rsidRPr="005D642E">
        <w:rPr>
          <w:rtl/>
        </w:rPr>
        <w:t>(1</w:t>
      </w:r>
      <w:r>
        <w:rPr>
          <w:rtl/>
        </w:rPr>
        <w:t>6)</w:t>
      </w:r>
      <w:r w:rsidRPr="005D642E">
        <w:rPr>
          <w:rtl/>
        </w:rPr>
        <w:t xml:space="preserve"> في « غ ، بخ ، بف » : « فرشها</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غَيْرِ غَضْبَانَ ، ثُمَّ يَزُورُ آلَ مُحَمَّدٍ فِي جِنَانِ </w:t>
      </w:r>
      <w:r w:rsidRPr="007C12DB">
        <w:rPr>
          <w:rStyle w:val="libFootnotenumChar"/>
          <w:rtl/>
        </w:rPr>
        <w:t>(1)</w:t>
      </w:r>
      <w:r w:rsidRPr="005D642E">
        <w:rPr>
          <w:rtl/>
          <w:lang w:bidi="fa-IR"/>
        </w:rPr>
        <w:t xml:space="preserve"> رَضْوى </w:t>
      </w:r>
      <w:r w:rsidRPr="007C12DB">
        <w:rPr>
          <w:rStyle w:val="libFootnotenumChar"/>
          <w:rtl/>
        </w:rPr>
        <w:t>(2)</w:t>
      </w:r>
      <w:r w:rsidRPr="005D642E">
        <w:rPr>
          <w:rtl/>
          <w:lang w:bidi="fa-IR"/>
        </w:rPr>
        <w:t xml:space="preserve"> ، فَيَأْكُلُ مَعَهُمْ مِنْ طَعَامِهِمْ ، وَيَشْرَبُ مَعَهُمْ </w:t>
      </w:r>
      <w:r w:rsidRPr="007C12DB">
        <w:rPr>
          <w:rStyle w:val="libFootnotenumChar"/>
          <w:rtl/>
        </w:rPr>
        <w:t>(3)</w:t>
      </w:r>
      <w:r w:rsidRPr="005D642E">
        <w:rPr>
          <w:rtl/>
          <w:lang w:bidi="fa-IR"/>
        </w:rPr>
        <w:t xml:space="preserve"> مِنْ </w:t>
      </w:r>
      <w:r w:rsidRPr="007C12DB">
        <w:rPr>
          <w:rStyle w:val="libFootnotenumChar"/>
          <w:rtl/>
        </w:rPr>
        <w:t>(4)</w:t>
      </w:r>
      <w:r w:rsidRPr="005D642E">
        <w:rPr>
          <w:rtl/>
          <w:lang w:bidi="fa-IR"/>
        </w:rPr>
        <w:t xml:space="preserve"> شَرَابِهِمْ ، وَيَتَحَدَّثُ </w:t>
      </w:r>
      <w:r w:rsidRPr="007C12DB">
        <w:rPr>
          <w:rStyle w:val="libFootnotenumChar"/>
          <w:rtl/>
        </w:rPr>
        <w:t>(5)</w:t>
      </w:r>
      <w:r w:rsidRPr="005D642E">
        <w:rPr>
          <w:rtl/>
          <w:lang w:bidi="fa-IR"/>
        </w:rPr>
        <w:t xml:space="preserve"> مَعَهُمْ </w:t>
      </w:r>
      <w:r w:rsidRPr="007C12DB">
        <w:rPr>
          <w:rStyle w:val="libFootnotenumChar"/>
          <w:rtl/>
        </w:rPr>
        <w:t>(6)</w:t>
      </w:r>
      <w:r w:rsidRPr="005D642E">
        <w:rPr>
          <w:rtl/>
          <w:lang w:bidi="fa-IR"/>
        </w:rPr>
        <w:t xml:space="preserve"> فِي مَجَالِسِهِمْ </w:t>
      </w:r>
      <w:r w:rsidRPr="007C12DB">
        <w:rPr>
          <w:rStyle w:val="libFootnotenumChar"/>
          <w:rtl/>
        </w:rPr>
        <w:t>(7)</w:t>
      </w:r>
      <w:r w:rsidRPr="005D642E">
        <w:rPr>
          <w:rtl/>
          <w:lang w:bidi="fa-IR"/>
        </w:rPr>
        <w:t xml:space="preserve"> حَتّى يَقُومَ قَائِمُنَا أَهْلَ الْبَيْتِ ، فَإِذَا قَامَ قَائِمُنَا بَعَثَهُمُ اللهُ ، فَأَقْبَلُوا مَعَهُ يُلَبُّونَ زُمَراً </w:t>
      </w:r>
      <w:r w:rsidRPr="007C12DB">
        <w:rPr>
          <w:rStyle w:val="libFootnotenumChar"/>
          <w:rtl/>
        </w:rPr>
        <w:t>(8)</w:t>
      </w:r>
      <w:r w:rsidRPr="005D642E">
        <w:rPr>
          <w:rtl/>
          <w:lang w:bidi="fa-IR"/>
        </w:rPr>
        <w:t xml:space="preserve"> زُمَراً ، فَعِنْدَ ذلِكَ يَرْتَابُ الْمُبْطِلُونَ ، وَيَضْمَحِلُّ الْمُحِلُّونَ </w:t>
      </w:r>
      <w:r w:rsidRPr="007C12DB">
        <w:rPr>
          <w:rStyle w:val="libFootnotenumChar"/>
          <w:rtl/>
        </w:rPr>
        <w:t>(9)</w:t>
      </w:r>
      <w:r w:rsidRPr="005D642E">
        <w:rPr>
          <w:rtl/>
          <w:lang w:bidi="fa-IR"/>
        </w:rPr>
        <w:t xml:space="preserve"> ، وَقَلِيلٌ مَا يَكُونُونَ ، هَلَكَتِ </w:t>
      </w:r>
      <w:r w:rsidRPr="007C12DB">
        <w:rPr>
          <w:rStyle w:val="libFootnotenumChar"/>
          <w:rtl/>
        </w:rPr>
        <w:t>(10)</w:t>
      </w:r>
      <w:r w:rsidRPr="005D642E">
        <w:rPr>
          <w:rtl/>
          <w:lang w:bidi="fa-IR"/>
        </w:rPr>
        <w:t xml:space="preserve"> الْمَحَاضِيرُ </w:t>
      </w:r>
      <w:r w:rsidRPr="007C12DB">
        <w:rPr>
          <w:rStyle w:val="libFootnotenumChar"/>
          <w:rtl/>
        </w:rPr>
        <w:t>(11)</w:t>
      </w:r>
      <w:r w:rsidRPr="005D642E">
        <w:rPr>
          <w:rtl/>
          <w:lang w:bidi="fa-IR"/>
        </w:rPr>
        <w:t xml:space="preserve"> ، وَنَجَا الْمُقَرَّبُونَ </w:t>
      </w:r>
      <w:r w:rsidRPr="007C12DB">
        <w:rPr>
          <w:rStyle w:val="libFootnotenumChar"/>
          <w:rtl/>
        </w:rPr>
        <w:t>(12)</w:t>
      </w:r>
      <w:r w:rsidRPr="005D642E">
        <w:rPr>
          <w:rtl/>
          <w:lang w:bidi="fa-IR"/>
        </w:rPr>
        <w:t xml:space="preserve"> ، مِنْ أَجْلِ ذلِكَ قَالَ رَسُولُ اللهِ </w:t>
      </w:r>
      <w:r w:rsidR="0042621E" w:rsidRPr="0042621E">
        <w:rPr>
          <w:rStyle w:val="libAlaemChar"/>
          <w:rtl/>
        </w:rPr>
        <w:t>صلى‌الله‌عليه‌وآله</w:t>
      </w:r>
      <w:r w:rsidRPr="005D642E">
        <w:rPr>
          <w:rtl/>
          <w:lang w:bidi="fa-IR"/>
        </w:rPr>
        <w:t xml:space="preserve"> لِعَلِيٍّ </w:t>
      </w:r>
      <w:r w:rsidRPr="00AC51C5">
        <w:rPr>
          <w:rStyle w:val="libAlaemChar"/>
          <w:rtl/>
        </w:rPr>
        <w:t>عليه‌السلام</w:t>
      </w:r>
      <w:r w:rsidRPr="005D642E">
        <w:rPr>
          <w:rtl/>
          <w:lang w:bidi="fa-IR"/>
        </w:rPr>
        <w:t xml:space="preserve"> : أَنْتَ أَخِي ، وَمِيعَادُ مَا بَيْنِي‌</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في جنّات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رضوى ، اسم الموضع الذي فيه جنّة الدنيا.</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والبحار والزهد. وفي المطبوع :</w:t>
      </w:r>
      <w:r w:rsidR="00E3253D">
        <w:rPr>
          <w:rtl/>
        </w:rPr>
        <w:t xml:space="preserve"> </w:t>
      </w:r>
      <w:r w:rsidR="007642BC">
        <w:rPr>
          <w:rtl/>
        </w:rPr>
        <w:t>-</w:t>
      </w:r>
      <w:r w:rsidR="00E3253D">
        <w:rPr>
          <w:rtl/>
        </w:rPr>
        <w:t xml:space="preserve"> </w:t>
      </w:r>
      <w:r w:rsidR="00E3253D" w:rsidRPr="005D642E">
        <w:rPr>
          <w:rtl/>
        </w:rPr>
        <w:t>« معهم</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77A2E" w:rsidTr="00377A2E">
        <w:tc>
          <w:tcPr>
            <w:tcW w:w="4006" w:type="dxa"/>
          </w:tcPr>
          <w:p w:rsidR="00377A2E" w:rsidRDefault="00377A2E" w:rsidP="00E3253D">
            <w:pPr>
              <w:pStyle w:val="libFootnote0"/>
              <w:rPr>
                <w:rStyle w:val="libFootnote0Char"/>
                <w:rtl/>
              </w:rPr>
            </w:pPr>
            <w:r w:rsidRPr="0042621E">
              <w:rPr>
                <w:rStyle w:val="libFootnote0Char"/>
                <w:rtl/>
              </w:rPr>
              <w:t>(4).</w:t>
            </w:r>
            <w:r w:rsidRPr="005D642E">
              <w:rPr>
                <w:rtl/>
              </w:rPr>
              <w:t xml:space="preserve"> في « بث » :</w:t>
            </w:r>
            <w:r>
              <w:rPr>
                <w:rtl/>
              </w:rPr>
              <w:t xml:space="preserve"> - </w:t>
            </w:r>
            <w:r w:rsidRPr="005D642E">
              <w:rPr>
                <w:rtl/>
              </w:rPr>
              <w:t>« من</w:t>
            </w:r>
            <w:r>
              <w:rPr>
                <w:rtl/>
              </w:rPr>
              <w:t xml:space="preserve"> ».</w:t>
            </w:r>
          </w:p>
        </w:tc>
        <w:tc>
          <w:tcPr>
            <w:tcW w:w="4006" w:type="dxa"/>
          </w:tcPr>
          <w:p w:rsidR="00377A2E" w:rsidRDefault="00377A2E" w:rsidP="00E3253D">
            <w:pPr>
              <w:pStyle w:val="libFootnote0"/>
              <w:rPr>
                <w:rStyle w:val="libFootnote0Char"/>
                <w:rtl/>
              </w:rPr>
            </w:pPr>
            <w:r w:rsidRPr="0042621E">
              <w:rPr>
                <w:rStyle w:val="libFootnote0Char"/>
                <w:rtl/>
              </w:rPr>
              <w:t>(5).</w:t>
            </w:r>
            <w:r w:rsidRPr="005D642E">
              <w:rPr>
                <w:rtl/>
              </w:rPr>
              <w:t xml:space="preserve"> في « جس » : « فيتحدّث</w:t>
            </w:r>
            <w:r>
              <w:rPr>
                <w:rtl/>
              </w:rPr>
              <w:t xml:space="preserve"> ».</w:t>
            </w:r>
          </w:p>
        </w:tc>
      </w:tr>
      <w:tr w:rsidR="00377A2E" w:rsidTr="00377A2E">
        <w:tc>
          <w:tcPr>
            <w:tcW w:w="4006" w:type="dxa"/>
          </w:tcPr>
          <w:p w:rsidR="00377A2E" w:rsidRDefault="00377A2E" w:rsidP="00E3253D">
            <w:pPr>
              <w:pStyle w:val="libFootnote0"/>
              <w:rPr>
                <w:rStyle w:val="libFootnote0Char"/>
                <w:rtl/>
              </w:rPr>
            </w:pPr>
            <w:r w:rsidRPr="0042621E">
              <w:rPr>
                <w:rStyle w:val="libFootnote0Char"/>
                <w:rtl/>
              </w:rPr>
              <w:t>(6).</w:t>
            </w:r>
            <w:r w:rsidRPr="005D642E">
              <w:rPr>
                <w:rtl/>
              </w:rPr>
              <w:t xml:space="preserve"> في « بح » :</w:t>
            </w:r>
            <w:r>
              <w:rPr>
                <w:rtl/>
              </w:rPr>
              <w:t xml:space="preserve"> - </w:t>
            </w:r>
            <w:r w:rsidRPr="005D642E">
              <w:rPr>
                <w:rtl/>
              </w:rPr>
              <w:t>« معهم</w:t>
            </w:r>
            <w:r>
              <w:rPr>
                <w:rtl/>
              </w:rPr>
              <w:t xml:space="preserve"> ».</w:t>
            </w:r>
          </w:p>
        </w:tc>
        <w:tc>
          <w:tcPr>
            <w:tcW w:w="4006" w:type="dxa"/>
          </w:tcPr>
          <w:p w:rsidR="00377A2E" w:rsidRDefault="00377A2E" w:rsidP="00E3253D">
            <w:pPr>
              <w:pStyle w:val="libFootnote0"/>
              <w:rPr>
                <w:rStyle w:val="libFootnote0Char"/>
                <w:rtl/>
              </w:rPr>
            </w:pPr>
            <w:r w:rsidRPr="0042621E">
              <w:rPr>
                <w:rStyle w:val="libFootnote0Char"/>
                <w:rtl/>
              </w:rPr>
              <w:t>(7).</w:t>
            </w:r>
            <w:r w:rsidRPr="005D642E">
              <w:rPr>
                <w:rtl/>
              </w:rPr>
              <w:t xml:space="preserve"> في « بخ ، بف » : « في مجالستهم</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يلبّون » من التلبية إجابةً له </w:t>
      </w:r>
      <w:r w:rsidR="00E3253D" w:rsidRPr="00377A2E">
        <w:rPr>
          <w:rStyle w:val="libFootnoteAlaemChar"/>
          <w:rtl/>
        </w:rPr>
        <w:t>عليه‌السلام</w:t>
      </w:r>
      <w:r w:rsidR="00E3253D" w:rsidRPr="005D642E">
        <w:rPr>
          <w:rtl/>
        </w:rPr>
        <w:t xml:space="preserve"> أو للربّ تعالى. </w:t>
      </w:r>
      <w:r w:rsidR="00E3253D">
        <w:rPr>
          <w:rtl/>
        </w:rPr>
        <w:t>و «</w:t>
      </w:r>
      <w:r w:rsidR="00E3253D" w:rsidRPr="005D642E">
        <w:rPr>
          <w:rtl/>
        </w:rPr>
        <w:t xml:space="preserve"> زُمَر » : جمع الزُمْرة ، وهي الفوج والجماعة في تفرقة. راجع : </w:t>
      </w:r>
      <w:r w:rsidR="00E3253D" w:rsidRPr="002F4D34">
        <w:rPr>
          <w:rStyle w:val="libFootnoteBoldChar"/>
          <w:rtl/>
        </w:rPr>
        <w:t>القاموس المحيط</w:t>
      </w:r>
      <w:r w:rsidR="00E3253D" w:rsidRPr="005D642E">
        <w:rPr>
          <w:rtl/>
        </w:rPr>
        <w:t xml:space="preserve"> ، ج 1 ، ص 565 ( زمر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 « المخلّون</w:t>
      </w:r>
      <w:r w:rsidR="00E3253D">
        <w:rPr>
          <w:rtl/>
        </w:rPr>
        <w:t xml:space="preserve"> ».</w:t>
      </w:r>
      <w:r w:rsidR="00E3253D" w:rsidRPr="005D642E">
        <w:rPr>
          <w:rtl/>
        </w:rPr>
        <w:t xml:space="preserve"> وفي حاشية « بف » : « المبطلون</w:t>
      </w:r>
      <w:r w:rsidR="00E3253D">
        <w:rPr>
          <w:rtl/>
        </w:rPr>
        <w:t xml:space="preserve"> ».</w:t>
      </w:r>
      <w:r w:rsidR="00E3253D" w:rsidRPr="005D642E">
        <w:rPr>
          <w:rtl/>
        </w:rPr>
        <w:t xml:space="preserve"> وفي حاشية « جح » : « المجبلون</w:t>
      </w:r>
      <w:r w:rsidR="00E3253D">
        <w:rPr>
          <w:rtl/>
        </w:rPr>
        <w:t xml:space="preserve"> ».</w:t>
      </w:r>
      <w:r w:rsidR="00E3253D" w:rsidRPr="005D642E">
        <w:rPr>
          <w:rtl/>
        </w:rPr>
        <w:t xml:space="preserve"> وفي </w:t>
      </w:r>
      <w:r w:rsidR="00E3253D" w:rsidRPr="002F4D34">
        <w:rPr>
          <w:rStyle w:val="libFootnoteBoldChar"/>
          <w:rtl/>
        </w:rPr>
        <w:t>الوافي</w:t>
      </w:r>
      <w:r w:rsidR="00E3253D" w:rsidRPr="005D642E">
        <w:rPr>
          <w:rtl/>
        </w:rPr>
        <w:t xml:space="preserve"> : « ويضمحلّ المحلّون ، كأنّه بكسر الحاء المهملة من المَحْل بمعنى الكيد والمكر</w:t>
      </w:r>
      <w:r w:rsidR="00E3253D">
        <w:rPr>
          <w:rtl/>
        </w:rPr>
        <w:t xml:space="preserve"> ».</w:t>
      </w:r>
      <w:r w:rsidR="00E3253D" w:rsidRPr="005D642E">
        <w:rPr>
          <w:rtl/>
        </w:rPr>
        <w:t xml:space="preserve"> وراجع : </w:t>
      </w:r>
      <w:r w:rsidR="00E3253D" w:rsidRPr="002F4D34">
        <w:rPr>
          <w:rStyle w:val="libFootnoteBoldChar"/>
          <w:rtl/>
        </w:rPr>
        <w:t>القاموس المحيط</w:t>
      </w:r>
      <w:r w:rsidR="00E3253D" w:rsidRPr="005D642E">
        <w:rPr>
          <w:rtl/>
        </w:rPr>
        <w:t xml:space="preserve"> ، ج 2 ، ص 1395 ( محل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 « هلك</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كذا في « بث » والمطبوع. وفي « ظ ، غ ، ى ، بخ ، بس ، جح ، جن » : « المحاضر</w:t>
      </w:r>
      <w:r w:rsidR="00E3253D">
        <w:rPr>
          <w:rtl/>
        </w:rPr>
        <w:t xml:space="preserve"> ».</w:t>
      </w:r>
      <w:r w:rsidR="00E3253D" w:rsidRPr="005D642E">
        <w:rPr>
          <w:rtl/>
        </w:rPr>
        <w:t xml:space="preserve"> وفي « بح » : « الحاضرون</w:t>
      </w:r>
      <w:r w:rsidR="00E3253D">
        <w:rPr>
          <w:rtl/>
        </w:rPr>
        <w:t xml:space="preserve"> ».</w:t>
      </w:r>
      <w:r w:rsidR="00E3253D" w:rsidRPr="005D642E">
        <w:rPr>
          <w:rtl/>
        </w:rPr>
        <w:t xml:space="preserve"> وفي « بف » </w:t>
      </w:r>
      <w:r w:rsidR="000D749A" w:rsidRPr="000D749A">
        <w:rPr>
          <w:rStyle w:val="libFootnoteBoldChar"/>
          <w:rtl/>
        </w:rPr>
        <w:t>والوافي</w:t>
      </w:r>
      <w:r w:rsidR="00E3253D" w:rsidRPr="005D642E">
        <w:rPr>
          <w:rtl/>
        </w:rPr>
        <w:t xml:space="preserve"> : « المحاصير</w:t>
      </w:r>
      <w:r w:rsidR="00E3253D">
        <w:rPr>
          <w:rtl/>
        </w:rPr>
        <w:t xml:space="preserve"> ».</w:t>
      </w:r>
      <w:r w:rsidR="00E3253D" w:rsidRPr="005D642E">
        <w:rPr>
          <w:rtl/>
        </w:rPr>
        <w:t xml:space="preserve"> وفي « جس » : « المحاصر</w:t>
      </w:r>
      <w:r w:rsidR="00E3253D">
        <w:rPr>
          <w:rtl/>
        </w:rPr>
        <w:t xml:space="preserve"> ».</w:t>
      </w:r>
      <w:r w:rsidR="00E3253D" w:rsidRPr="005D642E">
        <w:rPr>
          <w:rtl/>
        </w:rPr>
        <w:t xml:space="preserve"> </w:t>
      </w:r>
      <w:r w:rsidR="00E3253D">
        <w:rPr>
          <w:rtl/>
        </w:rPr>
        <w:t>و «</w:t>
      </w:r>
      <w:r w:rsidR="00E3253D" w:rsidRPr="005D642E">
        <w:rPr>
          <w:rtl/>
        </w:rPr>
        <w:t xml:space="preserve"> المحاضير » : جمع المِحْضِير ، وهو كثير العَدْو ، يقال : هذا فرس مِحْضِير وهذه فرس محضير ، أي كثير العَدْو وشديد الحُضْر وهو العَدْو ، ولايقال : مِحْضار ، وهو من النوادر. والحُضْر والإحضار : ار</w:t>
      </w:r>
      <w:r w:rsidR="00377A2E">
        <w:rPr>
          <w:rtl/>
        </w:rPr>
        <w:t>تفاع الفرس في عَدْوه. قال العل</w:t>
      </w:r>
      <w:r w:rsidR="00377A2E">
        <w:rPr>
          <w:rFonts w:hint="cs"/>
          <w:rtl/>
        </w:rPr>
        <w:t>ّ</w:t>
      </w:r>
      <w:r w:rsidR="00377A2E">
        <w:rPr>
          <w:rtl/>
        </w:rPr>
        <w:t>ا</w:t>
      </w:r>
      <w:r w:rsidR="00E3253D" w:rsidRPr="005D642E">
        <w:rPr>
          <w:rtl/>
        </w:rPr>
        <w:t xml:space="preserve">مة المجلسي : « لعلّ المراد ذمّ الاستعجال في طلب الفرج بقيام القائم </w:t>
      </w:r>
      <w:r w:rsidR="00E3253D" w:rsidRPr="00377A2E">
        <w:rPr>
          <w:rStyle w:val="libFootnoteAlaemChar"/>
          <w:rtl/>
        </w:rPr>
        <w:t>عليه‌السلام</w:t>
      </w:r>
      <w:r w:rsidR="00E3253D" w:rsidRPr="005D642E">
        <w:rPr>
          <w:rtl/>
        </w:rPr>
        <w:t xml:space="preserve"> والاعتراض على التأخير ، أي هلك المستعجلون ، وربّما يقرأ بالصاد من حصر النفس وضيق الصدر ، كما قال تعالى : </w:t>
      </w:r>
      <w:r w:rsidR="00E3253D" w:rsidRPr="00FE5E85">
        <w:rPr>
          <w:rStyle w:val="libFootnoteAlaemChar"/>
          <w:rtl/>
        </w:rPr>
        <w:t>(</w:t>
      </w:r>
      <w:r w:rsidR="00E3253D" w:rsidRPr="00EB702D">
        <w:rPr>
          <w:rStyle w:val="libFootnoteAieChar"/>
          <w:rtl/>
        </w:rPr>
        <w:t xml:space="preserve"> حَصِرَتْ صُدُورُهُمْ </w:t>
      </w:r>
      <w:r w:rsidR="00E3253D" w:rsidRPr="00FE5E85">
        <w:rPr>
          <w:rStyle w:val="libFootnoteAlaemChar"/>
          <w:rtl/>
        </w:rPr>
        <w:t>)</w:t>
      </w:r>
      <w:r w:rsidR="00E3253D" w:rsidRPr="005D642E">
        <w:rPr>
          <w:rtl/>
        </w:rPr>
        <w:t xml:space="preserve"> [ النساء </w:t>
      </w:r>
      <w:r w:rsidRPr="0042621E">
        <w:rPr>
          <w:rStyle w:val="libFootnote0Char"/>
          <w:rtl/>
        </w:rPr>
        <w:t>(4).</w:t>
      </w:r>
      <w:r w:rsidR="00E3253D" w:rsidRPr="005D642E">
        <w:rPr>
          <w:rtl/>
        </w:rPr>
        <w:t xml:space="preserve"> : 90 ]</w:t>
      </w:r>
      <w:r w:rsidR="00E3253D">
        <w:rPr>
          <w:rtl/>
        </w:rPr>
        <w:t xml:space="preserve"> ».</w:t>
      </w:r>
      <w:r w:rsidR="00377A2E">
        <w:rPr>
          <w:rtl/>
        </w:rPr>
        <w:t xml:space="preserve"> وقال العل</w:t>
      </w:r>
      <w:r w:rsidR="00377A2E">
        <w:rPr>
          <w:rFonts w:hint="cs"/>
          <w:rtl/>
        </w:rPr>
        <w:t>ّ</w:t>
      </w:r>
      <w:r w:rsidR="00377A2E">
        <w:rPr>
          <w:rtl/>
        </w:rPr>
        <w:t>ا</w:t>
      </w:r>
      <w:r w:rsidR="00E3253D" w:rsidRPr="005D642E">
        <w:rPr>
          <w:rtl/>
        </w:rPr>
        <w:t xml:space="preserve">مة الفيض : « هلكت المحاصير ، أي المستعجلون ، كذا فسّر في خبر آخر عن أبي جعفر </w:t>
      </w:r>
      <w:r w:rsidR="00E3253D" w:rsidRPr="00377A2E">
        <w:rPr>
          <w:rStyle w:val="libFootnoteAlaemChar"/>
          <w:rtl/>
        </w:rPr>
        <w:t>عليه‌السلام</w:t>
      </w:r>
      <w:r w:rsidR="00E3253D" w:rsidRPr="005D642E">
        <w:rPr>
          <w:rtl/>
        </w:rPr>
        <w:t xml:space="preserve"> مضى في كتاب الحجّة ، وهو إمّا بالمهملات من الحَصَر بالتحريك بمعنى ضيق الصدر في مقابلة انشراح الصدر والبصيرة في الدين والثبات على الأمر ، وإمّا بالمعجمة بين المهملتين من الحضر بمعنى العدْو</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630 </w:t>
      </w:r>
      <w:r w:rsidR="00E3253D">
        <w:rPr>
          <w:rtl/>
        </w:rPr>
        <w:t>و 6</w:t>
      </w:r>
      <w:r w:rsidR="00E3253D" w:rsidRPr="005D642E">
        <w:rPr>
          <w:rtl/>
        </w:rPr>
        <w:t xml:space="preserve">32 ؛ </w:t>
      </w:r>
      <w:r w:rsidR="00E3253D" w:rsidRPr="002F4D34">
        <w:rPr>
          <w:rStyle w:val="libFootnoteBoldChar"/>
          <w:rtl/>
        </w:rPr>
        <w:t>لسان العرب</w:t>
      </w:r>
      <w:r w:rsidR="00E3253D" w:rsidRPr="005D642E">
        <w:rPr>
          <w:rtl/>
        </w:rPr>
        <w:t xml:space="preserve"> ، ج 4 ، ص 193 </w:t>
      </w:r>
      <w:r w:rsidR="00E3253D">
        <w:rPr>
          <w:rtl/>
        </w:rPr>
        <w:t>و 2</w:t>
      </w:r>
      <w:r w:rsidR="00E3253D" w:rsidRPr="005D642E">
        <w:rPr>
          <w:rtl/>
        </w:rPr>
        <w:t>01 ( حصر ) و</w:t>
      </w:r>
      <w:r w:rsidR="00E3253D">
        <w:rPr>
          <w:rFonts w:hint="cs"/>
          <w:rtl/>
        </w:rPr>
        <w:t xml:space="preserve"> </w:t>
      </w:r>
      <w:r w:rsidR="00E3253D" w:rsidRPr="005D642E">
        <w:rPr>
          <w:rtl/>
        </w:rPr>
        <w:t>( حضر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w:t>
      </w:r>
      <w:r w:rsidR="00E3253D" w:rsidRPr="002F4D34">
        <w:rPr>
          <w:rStyle w:val="libFootnoteBoldChar"/>
          <w:rtl/>
        </w:rPr>
        <w:t>مرآة العقول</w:t>
      </w:r>
      <w:r w:rsidR="00E3253D" w:rsidRPr="005D642E">
        <w:rPr>
          <w:rtl/>
        </w:rPr>
        <w:t xml:space="preserve"> : « نجا المقرّبون ، بفتح الراء ؛ فإنّهم أهل التسليم والانقياد لايعترضون على الله تعالى فيما</w:t>
      </w:r>
      <w:r w:rsidR="00377A2E">
        <w:rPr>
          <w:rFonts w:hint="cs"/>
          <w:rtl/>
        </w:rPr>
        <w:t xml:space="preserve"> </w:t>
      </w:r>
      <w:r w:rsidR="00E3253D" w:rsidRPr="005D642E">
        <w:rPr>
          <w:rtl/>
        </w:rPr>
        <w:t>يقضى عليهم ؛ أو بكسر الراء ، أي الذين يقولون : الفرج قريب ولا يستبطئونه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وَبَيْنَكَ وَادِي السَّلَامِ </w:t>
      </w:r>
      <w:r w:rsidRPr="007C12DB">
        <w:rPr>
          <w:rStyle w:val="libFootnotenumChar"/>
          <w:rtl/>
        </w:rPr>
        <w:t>(1)</w:t>
      </w:r>
      <w:r>
        <w:rPr>
          <w:rtl/>
          <w:lang w:bidi="fa-IR"/>
        </w:rPr>
        <w:t xml:space="preserve"> ».</w:t>
      </w:r>
    </w:p>
    <w:p w:rsidR="00E3253D" w:rsidRPr="005D642E" w:rsidRDefault="00E3253D" w:rsidP="00377A2E">
      <w:pPr>
        <w:pStyle w:val="libNormal"/>
        <w:rPr>
          <w:rtl/>
          <w:lang w:bidi="fa-IR"/>
        </w:rPr>
      </w:pPr>
      <w:r w:rsidRPr="005D642E">
        <w:rPr>
          <w:rtl/>
          <w:lang w:bidi="fa-IR"/>
        </w:rPr>
        <w:t xml:space="preserve">قَالَ : « وَإِذَا احْتُضِرَ الْكَافِرُ ، حَضَرَهُ رَسُولُ اللهِ </w:t>
      </w:r>
      <w:r w:rsidR="0042621E" w:rsidRPr="0042621E">
        <w:rPr>
          <w:rStyle w:val="libAlaemChar"/>
          <w:rtl/>
        </w:rPr>
        <w:t>صلى‌الله‌عليه‌وآله</w:t>
      </w:r>
      <w:r w:rsidRPr="005D642E">
        <w:rPr>
          <w:rtl/>
          <w:lang w:bidi="fa-IR"/>
        </w:rPr>
        <w:t xml:space="preserve"> وَعَلِيٌّ </w:t>
      </w:r>
      <w:r w:rsidRPr="00AC51C5">
        <w:rPr>
          <w:rStyle w:val="libAlaemChar"/>
          <w:rtl/>
        </w:rPr>
        <w:t>عليه‌السلام</w:t>
      </w:r>
      <w:r w:rsidRPr="005D642E">
        <w:rPr>
          <w:rtl/>
          <w:lang w:bidi="fa-IR"/>
        </w:rPr>
        <w:t xml:space="preserve"> وَجَبْرَئِيلُ وَمَلَكُ الْمَوْتِ </w:t>
      </w:r>
      <w:r w:rsidRPr="00AC51C5">
        <w:rPr>
          <w:rStyle w:val="libAlaemChar"/>
          <w:rtl/>
        </w:rPr>
        <w:t>عليهما‌السلام</w:t>
      </w:r>
      <w:r w:rsidRPr="005D642E">
        <w:rPr>
          <w:rtl/>
          <w:lang w:bidi="fa-IR"/>
        </w:rPr>
        <w:t xml:space="preserve"> ، فَيَدْنُو مِنْهُ عَلِيٌّ </w:t>
      </w:r>
      <w:r w:rsidRPr="00AC51C5">
        <w:rPr>
          <w:rStyle w:val="libAlaemChar"/>
          <w:rtl/>
        </w:rPr>
        <w:t>عليه‌السلام</w:t>
      </w:r>
      <w:r w:rsidRPr="005D642E">
        <w:rPr>
          <w:rtl/>
          <w:lang w:bidi="fa-IR"/>
        </w:rPr>
        <w:t xml:space="preserve"> ، فَيَقُولُ : يَا رَسُولَ اللهِ ، إِنَّ هذَا كَانَ يُبْغِضُنَا </w:t>
      </w:r>
      <w:r w:rsidRPr="007C12DB">
        <w:rPr>
          <w:rStyle w:val="libFootnotenumChar"/>
          <w:rtl/>
        </w:rPr>
        <w:t>(2)</w:t>
      </w:r>
      <w:r w:rsidRPr="005D642E">
        <w:rPr>
          <w:rtl/>
          <w:lang w:bidi="fa-IR"/>
        </w:rPr>
        <w:t xml:space="preserve"> أَهْلَ الْبَيْتِ ، فَأَبْغِضْهُ ، وَيَقُولُ رَسُولُ اللهِ </w:t>
      </w:r>
      <w:r w:rsidR="00377A2E" w:rsidRPr="0042621E">
        <w:rPr>
          <w:rStyle w:val="libAlaemChar"/>
          <w:rtl/>
        </w:rPr>
        <w:t>صلى‌الله‌عليه‌وآله</w:t>
      </w:r>
      <w:r w:rsidRPr="005D642E">
        <w:rPr>
          <w:rtl/>
          <w:lang w:bidi="fa-IR"/>
        </w:rPr>
        <w:t xml:space="preserve">: يَا جَبْرَئِيلُ ، إِنَّ هذَا كَانَ يُبْغِضُ اللهَ وَرَسُولَهُ وَأَهْلَ بَيْتِ رَسُولِهِ ، فَأَبْغِضْهُ ، وَيَقُولُ </w:t>
      </w:r>
      <w:r w:rsidRPr="007C12DB">
        <w:rPr>
          <w:rStyle w:val="libFootnotenumChar"/>
          <w:rtl/>
        </w:rPr>
        <w:t>(3)</w:t>
      </w:r>
      <w:r w:rsidRPr="005D642E">
        <w:rPr>
          <w:rtl/>
          <w:lang w:bidi="fa-IR"/>
        </w:rPr>
        <w:t xml:space="preserve"> جَبْرَئِيلُ : يَا مَلَكَ الْمَوْتِ ، إِنَّ هذَا كَانَ يُبْغِضُ اللهَ وَرَسُولَهُ وَأَهْلَ بَيْتِ رَسُولِهِ ، فَأَبْغِضْهُ وَاعْنُفْ عَلَيْهِ </w:t>
      </w:r>
      <w:r w:rsidRPr="007C12DB">
        <w:rPr>
          <w:rStyle w:val="libFootnotenumChar"/>
          <w:rtl/>
        </w:rPr>
        <w:t>(4)</w:t>
      </w:r>
      <w:r w:rsidRPr="005D642E">
        <w:rPr>
          <w:rtl/>
          <w:lang w:bidi="fa-IR"/>
        </w:rPr>
        <w:t xml:space="preserve"> ، فَيَدْنُو مِنْهُ مَلَكُ الْمَوْتِ ، فَيَقُولُ :</w:t>
      </w:r>
      <w:r>
        <w:rPr>
          <w:lang w:bidi="fa-IR"/>
        </w:rPr>
        <w:t xml:space="preserve"> </w:t>
      </w:r>
      <w:r w:rsidRPr="005D642E">
        <w:rPr>
          <w:rtl/>
          <w:lang w:bidi="fa-IR"/>
        </w:rPr>
        <w:t>يَا عَبْدَ اللهِ ، أَخَذْتَ فَكَاكَ رِهَانِكَ</w:t>
      </w:r>
      <w:r>
        <w:rPr>
          <w:rtl/>
          <w:lang w:bidi="fa-IR"/>
        </w:rPr>
        <w:t>؟</w:t>
      </w:r>
      <w:r w:rsidRPr="005D642E">
        <w:rPr>
          <w:rtl/>
          <w:lang w:bidi="fa-IR"/>
        </w:rPr>
        <w:t xml:space="preserve"> أَخَذْتَ </w:t>
      </w:r>
      <w:r w:rsidRPr="007C12DB">
        <w:rPr>
          <w:rStyle w:val="libFootnotenumChar"/>
          <w:rtl/>
        </w:rPr>
        <w:t>(5)</w:t>
      </w:r>
      <w:r w:rsidRPr="005D642E">
        <w:rPr>
          <w:rtl/>
          <w:lang w:bidi="fa-IR"/>
        </w:rPr>
        <w:t xml:space="preserve"> أَمَانَ بَرَاءَتِكَ </w:t>
      </w:r>
      <w:r w:rsidRPr="007C12DB">
        <w:rPr>
          <w:rStyle w:val="libFootnotenumChar"/>
          <w:rtl/>
        </w:rPr>
        <w:t>(6)</w:t>
      </w:r>
      <w:r>
        <w:rPr>
          <w:rtl/>
          <w:lang w:bidi="fa-IR"/>
        </w:rPr>
        <w:t>؟</w:t>
      </w:r>
      <w:r w:rsidRPr="005D642E">
        <w:rPr>
          <w:rtl/>
          <w:lang w:bidi="fa-IR"/>
        </w:rPr>
        <w:t xml:space="preserve"> تَمَسَّكْتَ بِالْعِصْمَةِ الْكُبْرى فِي الْحَيَاةِ الدُّنْيَا</w:t>
      </w:r>
      <w:r>
        <w:rPr>
          <w:rtl/>
          <w:lang w:bidi="fa-IR"/>
        </w:rPr>
        <w:t>؟</w:t>
      </w:r>
      <w:r w:rsidRPr="005D642E">
        <w:rPr>
          <w:rtl/>
          <w:lang w:bidi="fa-IR"/>
        </w:rPr>
        <w:t xml:space="preserve"> فَيَقُولُ : لَا ، فَيَقُولُ : أَبْشِرْ يَا عَدُوَّ اللهِ بِسَخَطِ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وَعَذَابِهِ وَالنَّارِ </w:t>
      </w:r>
      <w:r w:rsidRPr="007C12DB">
        <w:rPr>
          <w:rStyle w:val="libFootnotenumChar"/>
          <w:rtl/>
        </w:rPr>
        <w:t>(7)</w:t>
      </w:r>
      <w:r w:rsidRPr="005D642E">
        <w:rPr>
          <w:rtl/>
          <w:lang w:bidi="fa-IR"/>
        </w:rPr>
        <w:t xml:space="preserve"> ، أَمَّا الَّذِي كُنْتَ تَحْذَرُهُ </w:t>
      </w:r>
      <w:r w:rsidRPr="007C12DB">
        <w:rPr>
          <w:rStyle w:val="libFootnotenumChar"/>
          <w:rtl/>
        </w:rPr>
        <w:t>(8)</w:t>
      </w:r>
      <w:r w:rsidRPr="005D642E">
        <w:rPr>
          <w:rtl/>
          <w:lang w:bidi="fa-IR"/>
        </w:rPr>
        <w:t xml:space="preserve"> فَقَدْ نَزَلَ بِكَ</w:t>
      </w:r>
      <w:r w:rsidR="00377A2E">
        <w:rPr>
          <w:rtl/>
          <w:lang w:bidi="fa-IR"/>
        </w:rPr>
        <w:t xml:space="preserve"> ، ثُمَّ يَسُلُّ نَفْسَهُ سَل</w:t>
      </w:r>
      <w:r w:rsidR="00377A2E">
        <w:rPr>
          <w:rFonts w:hint="cs"/>
          <w:rtl/>
          <w:lang w:bidi="fa-IR"/>
        </w:rPr>
        <w:t>ّ</w:t>
      </w:r>
      <w:r w:rsidR="00377A2E">
        <w:rPr>
          <w:rtl/>
          <w:lang w:bidi="fa-IR"/>
        </w:rPr>
        <w:t>ا</w:t>
      </w:r>
      <w:r w:rsidR="00377A2E">
        <w:rPr>
          <w:rFonts w:hint="cs"/>
          <w:rtl/>
          <w:lang w:bidi="fa-IR"/>
        </w:rPr>
        <w:t>ً</w:t>
      </w:r>
      <w:r w:rsidRPr="005D642E">
        <w:rPr>
          <w:rtl/>
          <w:lang w:bidi="fa-IR"/>
        </w:rPr>
        <w:t xml:space="preserve"> عَنِيفاً ، ثُمَّ يُوَكِّلُ بِرُوحِهِ ثَلَاثَمِائَةِ شَيْطَانٍ كُلُّهُمْ يَبْزُقُ </w:t>
      </w:r>
      <w:r w:rsidRPr="007C12DB">
        <w:rPr>
          <w:rStyle w:val="libFootnotenumChar"/>
          <w:rtl/>
        </w:rPr>
        <w:t>(9)</w:t>
      </w:r>
      <w:r w:rsidRPr="005D642E">
        <w:rPr>
          <w:rtl/>
          <w:lang w:bidi="fa-IR"/>
        </w:rPr>
        <w:t xml:space="preserve"> فِي وَجْهِهِ ، وَيَتَأَذّى بِرُوحِهِ ، فَإِذَا وُضِعَ فِي قَبْرِهِ ، فُتِحَ لَهُ بَابٌ مِنْ أَبْوَابِ النَّارِ ، فَيَدْخُلُ عَلَيْهِ </w:t>
      </w:r>
      <w:r w:rsidRPr="007C12DB">
        <w:rPr>
          <w:rStyle w:val="libFootnotenumChar"/>
          <w:rtl/>
        </w:rPr>
        <w:t>(10)</w:t>
      </w:r>
      <w:r w:rsidRPr="005D642E">
        <w:rPr>
          <w:rtl/>
          <w:lang w:bidi="fa-IR"/>
        </w:rPr>
        <w:t xml:space="preserve"> مِنْ فَيْحِهَا </w:t>
      </w:r>
      <w:r w:rsidRPr="007C12DB">
        <w:rPr>
          <w:rStyle w:val="libFootnotenumChar"/>
          <w:rtl/>
        </w:rPr>
        <w:t>(11)</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377A2E">
        <w:rPr>
          <w:rtl/>
        </w:rPr>
        <w:t>قال العل</w:t>
      </w:r>
      <w:r w:rsidR="00377A2E">
        <w:rPr>
          <w:rFonts w:hint="cs"/>
          <w:rtl/>
        </w:rPr>
        <w:t>ّ</w:t>
      </w:r>
      <w:r w:rsidR="00377A2E">
        <w:rPr>
          <w:rtl/>
        </w:rPr>
        <w:t>ا</w:t>
      </w:r>
      <w:r w:rsidR="00E3253D" w:rsidRPr="005D642E">
        <w:rPr>
          <w:rtl/>
        </w:rPr>
        <w:t>مة الفيض : « وادي السلام : هو ظهر الكوفة</w:t>
      </w:r>
      <w:r w:rsidR="00E3253D">
        <w:rPr>
          <w:rtl/>
        </w:rPr>
        <w:t xml:space="preserve"> ».</w:t>
      </w:r>
      <w:r w:rsidR="00377A2E">
        <w:rPr>
          <w:rtl/>
        </w:rPr>
        <w:t xml:space="preserve"> وقال العل</w:t>
      </w:r>
      <w:r w:rsidR="00377A2E">
        <w:rPr>
          <w:rFonts w:hint="cs"/>
          <w:rtl/>
        </w:rPr>
        <w:t>ّ</w:t>
      </w:r>
      <w:r w:rsidR="00377A2E">
        <w:rPr>
          <w:rtl/>
        </w:rPr>
        <w:t>ا</w:t>
      </w:r>
      <w:r w:rsidR="00E3253D" w:rsidRPr="005D642E">
        <w:rPr>
          <w:rtl/>
        </w:rPr>
        <w:t>مة المجلسي : « وادي السلام : النجف</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 مبغضنا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والبحار. وفي « ظ » والمطبوع : « فيقول</w:t>
      </w:r>
      <w:r w:rsidR="00E3253D">
        <w:rPr>
          <w:rtl/>
        </w:rPr>
        <w:t xml:space="preserve"> ».</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ويقول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بف » </w:t>
      </w:r>
      <w:r w:rsidR="000D749A" w:rsidRPr="000D749A">
        <w:rPr>
          <w:rStyle w:val="libFootnoteBoldChar"/>
          <w:rtl/>
        </w:rPr>
        <w:t>والوافي</w:t>
      </w:r>
      <w:r w:rsidR="00E3253D" w:rsidRPr="005D642E">
        <w:rPr>
          <w:rtl/>
        </w:rPr>
        <w:t xml:space="preserve"> : « واعنف به</w:t>
      </w:r>
      <w:r w:rsidR="00E3253D">
        <w:rPr>
          <w:rtl/>
        </w:rPr>
        <w:t xml:space="preserve"> ».</w:t>
      </w:r>
      <w:r w:rsidR="00E3253D" w:rsidRPr="005D642E">
        <w:rPr>
          <w:rtl/>
        </w:rPr>
        <w:t xml:space="preserve"> وقوله : « اعنف عليه » ، أي لا ترفق به وعامله بشدّة ؛ من العُنْف ، وهو ضدّالرفق ، قال ابن الأثير : « هو بالضمّ الشدّة والمشقّة ، وكلّ ما في الرفق من الخير ففي العنف من الشرّ مثله</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4 ، ص 1407 ؛ </w:t>
      </w:r>
      <w:r w:rsidR="00E3253D" w:rsidRPr="002F4D34">
        <w:rPr>
          <w:rStyle w:val="libFootnoteBoldChar"/>
          <w:rtl/>
        </w:rPr>
        <w:t>النهاية</w:t>
      </w:r>
      <w:r w:rsidR="00E3253D" w:rsidRPr="005D642E">
        <w:rPr>
          <w:rtl/>
        </w:rPr>
        <w:t xml:space="preserve"> ، ج 3 ، ص 309 ( عنف )</w:t>
      </w:r>
      <w:r w:rsidR="00E3253D">
        <w:rPr>
          <w:rtl/>
        </w:rPr>
        <w:t>.</w:t>
      </w:r>
    </w:p>
    <w:tbl>
      <w:tblPr>
        <w:tblStyle w:val="TableGrid"/>
        <w:bidiVisual/>
        <w:tblW w:w="0" w:type="auto"/>
        <w:tblLook w:val="04A0" w:firstRow="1" w:lastRow="0" w:firstColumn="1" w:lastColumn="0" w:noHBand="0" w:noVBand="1"/>
      </w:tblPr>
      <w:tblGrid>
        <w:gridCol w:w="4006"/>
        <w:gridCol w:w="4006"/>
      </w:tblGrid>
      <w:tr w:rsidR="006B480B" w:rsidTr="006B480B">
        <w:tc>
          <w:tcPr>
            <w:tcW w:w="4006" w:type="dxa"/>
          </w:tcPr>
          <w:p w:rsidR="006B480B" w:rsidRDefault="006B480B" w:rsidP="00E3253D">
            <w:pPr>
              <w:pStyle w:val="libFootnote0"/>
              <w:rPr>
                <w:rStyle w:val="libFootnote0Char"/>
                <w:rtl/>
              </w:rPr>
            </w:pPr>
            <w:r w:rsidRPr="0042621E">
              <w:rPr>
                <w:rStyle w:val="libFootnote0Char"/>
                <w:rtl/>
              </w:rPr>
              <w:t>(5).</w:t>
            </w:r>
            <w:r w:rsidRPr="005D642E">
              <w:rPr>
                <w:rtl/>
              </w:rPr>
              <w:t xml:space="preserve"> في الوافي : « وأخذت</w:t>
            </w:r>
            <w:r>
              <w:rPr>
                <w:rtl/>
              </w:rPr>
              <w:t xml:space="preserve"> ».</w:t>
            </w:r>
          </w:p>
        </w:tc>
        <w:tc>
          <w:tcPr>
            <w:tcW w:w="4006" w:type="dxa"/>
          </w:tcPr>
          <w:p w:rsidR="006B480B" w:rsidRDefault="006B480B" w:rsidP="00E3253D">
            <w:pPr>
              <w:pStyle w:val="libFootnote0"/>
              <w:rPr>
                <w:rStyle w:val="libFootnote0Char"/>
                <w:rtl/>
              </w:rPr>
            </w:pPr>
            <w:r w:rsidRPr="0042621E">
              <w:rPr>
                <w:rStyle w:val="libFootnote0Char"/>
                <w:rtl/>
              </w:rPr>
              <w:t>(6).</w:t>
            </w:r>
            <w:r w:rsidRPr="005D642E">
              <w:rPr>
                <w:rtl/>
              </w:rPr>
              <w:t xml:space="preserve"> في « بخ » والبحار والزهد : + « من النار</w:t>
            </w:r>
            <w:r>
              <w:rPr>
                <w:rtl/>
              </w:rPr>
              <w:t xml:space="preserve"> ».</w:t>
            </w:r>
          </w:p>
        </w:tc>
      </w:tr>
      <w:tr w:rsidR="006B480B" w:rsidTr="006B480B">
        <w:tc>
          <w:tcPr>
            <w:tcW w:w="4006" w:type="dxa"/>
          </w:tcPr>
          <w:p w:rsidR="006B480B" w:rsidRDefault="006B480B" w:rsidP="00E3253D">
            <w:pPr>
              <w:pStyle w:val="libFootnote0"/>
              <w:rPr>
                <w:rStyle w:val="libFootnote0Char"/>
                <w:rtl/>
              </w:rPr>
            </w:pPr>
            <w:r w:rsidRPr="0042621E">
              <w:rPr>
                <w:rStyle w:val="libFootnote0Char"/>
                <w:rtl/>
              </w:rPr>
              <w:t>(7).</w:t>
            </w:r>
            <w:r w:rsidRPr="005D642E">
              <w:rPr>
                <w:rtl/>
              </w:rPr>
              <w:t xml:space="preserve"> في « جس » : « النار » بدون الواو.</w:t>
            </w:r>
          </w:p>
        </w:tc>
        <w:tc>
          <w:tcPr>
            <w:tcW w:w="4006" w:type="dxa"/>
          </w:tcPr>
          <w:p w:rsidR="006B480B" w:rsidRDefault="006B480B" w:rsidP="00E3253D">
            <w:pPr>
              <w:pStyle w:val="libFootnote0"/>
              <w:rPr>
                <w:rStyle w:val="libFootnote0Char"/>
                <w:rtl/>
              </w:rPr>
            </w:pPr>
            <w:r w:rsidRPr="0042621E">
              <w:rPr>
                <w:rStyle w:val="libFootnote0Char"/>
                <w:rtl/>
              </w:rPr>
              <w:t>(8).</w:t>
            </w:r>
            <w:r>
              <w:rPr>
                <w:rtl/>
              </w:rPr>
              <w:t xml:space="preserve"> في «ظ ،غ ،بث ،بخ ، بس ، جس» : «</w:t>
            </w:r>
            <w:r w:rsidRPr="005D642E">
              <w:rPr>
                <w:rtl/>
              </w:rPr>
              <w:t>تحذر</w:t>
            </w:r>
            <w:r>
              <w:rPr>
                <w:rtl/>
              </w:rPr>
              <w:t>».</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 « ينزق</w:t>
      </w:r>
      <w:r w:rsidR="00E3253D">
        <w:rPr>
          <w:rtl/>
        </w:rPr>
        <w:t xml:space="preserve"> ».</w:t>
      </w:r>
      <w:r w:rsidR="00E3253D" w:rsidRPr="005D642E">
        <w:rPr>
          <w:rtl/>
        </w:rPr>
        <w:t xml:space="preserve"> وفي الوافي : « يبرق</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عليه</w:t>
      </w:r>
      <w:r w:rsidR="00E3253D">
        <w:rPr>
          <w:rtl/>
        </w:rPr>
        <w:t xml:space="preserve"> ».</w:t>
      </w:r>
      <w:r w:rsidR="00E3253D" w:rsidRPr="005D642E">
        <w:rPr>
          <w:rtl/>
        </w:rPr>
        <w:t xml:space="preserve"> وفي « بف </w:t>
      </w:r>
      <w:r w:rsidR="00E3253D" w:rsidRPr="006B480B">
        <w:rPr>
          <w:rtl/>
        </w:rPr>
        <w:t xml:space="preserve">» </w:t>
      </w:r>
      <w:r w:rsidR="000D749A" w:rsidRPr="006B480B">
        <w:rPr>
          <w:rtl/>
        </w:rPr>
        <w:t>والوافي</w:t>
      </w:r>
      <w:r w:rsidR="00E3253D" w:rsidRPr="005D642E">
        <w:rPr>
          <w:rtl/>
        </w:rPr>
        <w:t xml:space="preserve"> : « يدخل عليه » بدون الفاء.</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 ت ، ظ ، غ ، ى ، بذ ، بس ، بى ، جت ، جح ، جس ، جش ، جن » </w:t>
      </w:r>
      <w:r w:rsidR="000D749A" w:rsidRPr="000D749A">
        <w:rPr>
          <w:rStyle w:val="libFootnoteBoldChar"/>
          <w:rtl/>
        </w:rPr>
        <w:t>والوافي</w:t>
      </w:r>
      <w:r w:rsidR="00E3253D" w:rsidRPr="005D642E">
        <w:rPr>
          <w:rtl/>
        </w:rPr>
        <w:t>. وفي « ر ، بث ، بح ، بز ، بف ، جص ، جى » والمطبوع : « قيحها » بالقاف. وفي « بخ » : « قبحها</w:t>
      </w:r>
      <w:r w:rsidR="00E3253D">
        <w:rPr>
          <w:rtl/>
        </w:rPr>
        <w:t xml:space="preserve"> ».</w:t>
      </w:r>
      <w:r w:rsidR="006B480B">
        <w:rPr>
          <w:rtl/>
        </w:rPr>
        <w:t xml:space="preserve"> وفي حاشية « بح</w:t>
      </w:r>
      <w:r w:rsidR="00E3253D" w:rsidRPr="005D642E">
        <w:rPr>
          <w:rtl/>
        </w:rPr>
        <w:t>» : « ضجّها</w:t>
      </w:r>
      <w:r w:rsidR="00E3253D">
        <w:rPr>
          <w:rtl/>
        </w:rPr>
        <w:t xml:space="preserve"> ».</w:t>
      </w:r>
      <w:r w:rsidR="00E3253D" w:rsidRPr="005D642E">
        <w:rPr>
          <w:rtl/>
        </w:rPr>
        <w:t xml:space="preserve"> والفَيْحُ : سطوع الحرّ وفورانه ، ويقال : فَوْحُ النار بالواو ، أي شدّة غليانها وحرّها. راجع : </w:t>
      </w:r>
      <w:r w:rsidR="00E3253D" w:rsidRPr="002F4D34">
        <w:rPr>
          <w:rStyle w:val="libFootnoteBoldChar"/>
          <w:rtl/>
        </w:rPr>
        <w:t>النهاية</w:t>
      </w:r>
      <w:r w:rsidR="00E3253D" w:rsidRPr="005D642E">
        <w:rPr>
          <w:rtl/>
        </w:rPr>
        <w:t xml:space="preserve"> ، ج 3 ، ص 477 ( فوح ) ، وص 484 ( فيح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وَلَهَبِهَا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370CA2">
        <w:rPr>
          <w:rtl/>
        </w:rPr>
        <w:t>4313</w:t>
      </w:r>
      <w:r w:rsidRPr="00246318">
        <w:rPr>
          <w:rStyle w:val="libBold2Char"/>
          <w:rtl/>
        </w:rPr>
        <w:t xml:space="preserve"> / 5.</w:t>
      </w:r>
      <w:r w:rsidRPr="005D642E">
        <w:rPr>
          <w:rtl/>
          <w:lang w:bidi="fa-IR"/>
        </w:rPr>
        <w:t xml:space="preserve"> مُحَمَّدُ بْنُ يَحْيى ، عَنْ أَحْمَدَ بْنِ مُحَمَّدٍ ، عَنِ الْحُسَيْنِ بْنِ سَعِيدٍ ، عَنِ النَّضْرِ بْنِ سُوَيْدٍ ، عَنْ يَحْيَى الْحَلَبِيِّ ، عَنِ ابْنِ مُسْكَانَ ، عَنْ عَبْدِ الرَّحِيمِ </w:t>
      </w:r>
      <w:r w:rsidRPr="007C12DB">
        <w:rPr>
          <w:rStyle w:val="libFootnotenumChar"/>
          <w:rtl/>
        </w:rPr>
        <w:t>(3)</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قُلْتُ لِأَبِي جَعْفَرٍ </w:t>
      </w:r>
      <w:r w:rsidRPr="00AC51C5">
        <w:rPr>
          <w:rStyle w:val="libAlaemChar"/>
          <w:rtl/>
        </w:rPr>
        <w:t>عليه‌السلام</w:t>
      </w:r>
      <w:r w:rsidRPr="005D642E">
        <w:rPr>
          <w:rtl/>
          <w:lang w:bidi="fa-IR"/>
        </w:rPr>
        <w:t xml:space="preserve"> : حَدَّثَنِي صَالِحُ بْنُ مِيثَمٍ ، عَنْ عَبَايَةَ </w:t>
      </w:r>
      <w:r w:rsidRPr="007C12DB">
        <w:rPr>
          <w:rStyle w:val="libFootnotenumChar"/>
          <w:rtl/>
        </w:rPr>
        <w:t>(4)</w:t>
      </w:r>
      <w:r w:rsidRPr="005D642E">
        <w:rPr>
          <w:rtl/>
          <w:lang w:bidi="fa-IR"/>
        </w:rPr>
        <w:t xml:space="preserve"> الْأَسَدِيِّ أَنَّهُ سَمِعَ عَلِيّاً </w:t>
      </w:r>
      <w:r w:rsidRPr="00AC51C5">
        <w:rPr>
          <w:rStyle w:val="libAlaemChar"/>
          <w:rtl/>
        </w:rPr>
        <w:t>عليه‌السلام</w:t>
      </w:r>
      <w:r w:rsidRPr="005D642E">
        <w:rPr>
          <w:rtl/>
          <w:lang w:bidi="fa-IR"/>
        </w:rPr>
        <w:t xml:space="preserve"> يَقُولُ : « وَاللهِ ، لَايُبْغِضُنِي عَبْدٌ أَبَداً يَمُوتُ عَ</w:t>
      </w:r>
      <w:r w:rsidR="006B480B">
        <w:rPr>
          <w:rtl/>
          <w:lang w:bidi="fa-IR"/>
        </w:rPr>
        <w:t>لى بُغْضِي إِل</w:t>
      </w:r>
      <w:r w:rsidR="006B480B">
        <w:rPr>
          <w:rFonts w:hint="cs"/>
          <w:rtl/>
          <w:lang w:bidi="fa-IR"/>
        </w:rPr>
        <w:t>َّ</w:t>
      </w:r>
      <w:r w:rsidR="006B480B">
        <w:rPr>
          <w:rtl/>
          <w:lang w:bidi="fa-IR"/>
        </w:rPr>
        <w:t>ا</w:t>
      </w:r>
      <w:r w:rsidRPr="005D642E">
        <w:rPr>
          <w:rtl/>
          <w:lang w:bidi="fa-IR"/>
        </w:rPr>
        <w:t xml:space="preserve"> رَآنِي عِنْدَ مَوْتِهِ حَيْثُ</w:t>
      </w:r>
      <w:r>
        <w:rPr>
          <w:lang w:bidi="fa-IR"/>
        </w:rPr>
        <w:t xml:space="preserve"> </w:t>
      </w:r>
      <w:r w:rsidRPr="005D642E">
        <w:rPr>
          <w:rtl/>
          <w:lang w:bidi="fa-IR"/>
        </w:rPr>
        <w:t>يَكْرَهُ ، وَلَايُحِبُّنِي عَبْدٌ أَبَ</w:t>
      </w:r>
      <w:r w:rsidR="006B480B">
        <w:rPr>
          <w:rtl/>
          <w:lang w:bidi="fa-IR"/>
        </w:rPr>
        <w:t>داً فَيَمُوتُ عَلى حُبِّي إِل</w:t>
      </w:r>
      <w:r w:rsidR="006B480B">
        <w:rPr>
          <w:rFonts w:hint="cs"/>
          <w:rtl/>
          <w:lang w:bidi="fa-IR"/>
        </w:rPr>
        <w:t>َّ</w:t>
      </w:r>
      <w:r w:rsidR="006B480B">
        <w:rPr>
          <w:rtl/>
          <w:lang w:bidi="fa-IR"/>
        </w:rPr>
        <w:t>ا</w:t>
      </w:r>
      <w:r w:rsidRPr="005D642E">
        <w:rPr>
          <w:rtl/>
          <w:lang w:bidi="fa-IR"/>
        </w:rPr>
        <w:t xml:space="preserve"> رَآنِي عِنْدَ مَوْتِهِ حَيْثُ يُحِبُّ</w:t>
      </w:r>
      <w:r>
        <w:rPr>
          <w:rtl/>
          <w:lang w:bidi="fa-IR"/>
        </w:rPr>
        <w:t xml:space="preserve"> ».</w:t>
      </w:r>
    </w:p>
    <w:p w:rsidR="00E3253D" w:rsidRPr="005D642E" w:rsidRDefault="00E3253D" w:rsidP="00E3253D">
      <w:pPr>
        <w:pStyle w:val="libNormal"/>
        <w:rPr>
          <w:rtl/>
          <w:lang w:bidi="fa-IR"/>
        </w:rPr>
      </w:pPr>
      <w:r w:rsidRPr="005D642E">
        <w:rPr>
          <w:rtl/>
          <w:lang w:bidi="fa-IR"/>
        </w:rPr>
        <w:t xml:space="preserve">فَقَالَ أَبُو جَعْفَرٍ </w:t>
      </w:r>
      <w:r w:rsidRPr="00AC51C5">
        <w:rPr>
          <w:rStyle w:val="libAlaemChar"/>
          <w:rtl/>
        </w:rPr>
        <w:t>عليه‌السلام</w:t>
      </w:r>
      <w:r w:rsidRPr="005D642E">
        <w:rPr>
          <w:rtl/>
          <w:lang w:bidi="fa-IR"/>
        </w:rPr>
        <w:t xml:space="preserve"> : « نَعَمْ ، وَرَسُولُ اللهِ </w:t>
      </w:r>
      <w:r w:rsidR="0042621E" w:rsidRPr="0042621E">
        <w:rPr>
          <w:rStyle w:val="libAlaemChar"/>
          <w:rtl/>
        </w:rPr>
        <w:t>صلى‌الله‌عليه‌وآله</w:t>
      </w:r>
      <w:r w:rsidRPr="005D642E">
        <w:rPr>
          <w:rtl/>
          <w:lang w:bidi="fa-IR"/>
        </w:rPr>
        <w:t xml:space="preserve"> بِالْيَمِينِ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370CA2">
        <w:rPr>
          <w:rtl/>
        </w:rPr>
        <w:t>4314</w:t>
      </w:r>
      <w:r w:rsidRPr="00246318">
        <w:rPr>
          <w:rStyle w:val="libBold2Char"/>
          <w:rtl/>
        </w:rPr>
        <w:t xml:space="preserve"> / 6.</w:t>
      </w:r>
      <w:r w:rsidRPr="005D642E">
        <w:rPr>
          <w:rtl/>
          <w:lang w:bidi="fa-IR"/>
        </w:rPr>
        <w:t xml:space="preserve"> مُحَمَّدُ بْنُ يَحْيى ، عَنْ أَحْمَدَ بْنِ مُحَمَّدٍ ، عَنْ عَلِيِّ بْنِ الْحَكَمِ ، عَنْ مُعَاوِيَةَ بْنِ وَهْبٍ ، عَنْ يَحْيَى بْنِ سَابُورٍ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فِي الْمَيِّتِ : « تَدْمَعُ عَيْنَاهُ </w:t>
      </w:r>
      <w:r w:rsidRPr="007C12DB">
        <w:rPr>
          <w:rStyle w:val="libFootnotenumChar"/>
          <w:rtl/>
        </w:rPr>
        <w:t>(7)</w:t>
      </w:r>
      <w:r w:rsidRPr="005D642E">
        <w:rPr>
          <w:rtl/>
          <w:lang w:bidi="fa-IR"/>
        </w:rPr>
        <w:t xml:space="preserve"> عِنْدَ الْمَوْتِ » فَقَالَ : « ذلِكَ عِنْدَ مُعَايَنَةِ رَسُولِ اللهِ </w:t>
      </w:r>
      <w:r w:rsidR="0042621E" w:rsidRPr="0042621E">
        <w:rPr>
          <w:rStyle w:val="libAlaemChar"/>
          <w:rtl/>
        </w:rPr>
        <w:t>صلى‌الله‌عليه‌وآله</w:t>
      </w:r>
      <w:r w:rsidRPr="005D642E">
        <w:rPr>
          <w:rtl/>
          <w:lang w:bidi="fa-IR"/>
        </w:rPr>
        <w:t xml:space="preserve"> ، فَيَرى مَا</w:t>
      </w:r>
      <w:r>
        <w:rPr>
          <w:rtl/>
          <w:lang w:bidi="fa-IR"/>
        </w:rPr>
        <w:t xml:space="preserve"> يَسُرُّهُ » ثُمَّ قَالَ : « أَ</w:t>
      </w:r>
      <w:r w:rsidRPr="005D642E">
        <w:rPr>
          <w:rtl/>
          <w:lang w:bidi="fa-IR"/>
        </w:rPr>
        <w:t>مَا تَرَى الرَّجُلَ يَرى مَا يَسُرُّهُ وَمَا‌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غ ، بس » وحاشية « بح » : « ولهيبها</w:t>
      </w:r>
      <w:r w:rsidR="00E3253D">
        <w:rPr>
          <w:rtl/>
        </w:rPr>
        <w:t xml:space="preserve"> ».</w:t>
      </w:r>
      <w:r w:rsidR="00E3253D" w:rsidRPr="005D642E">
        <w:rPr>
          <w:rtl/>
        </w:rPr>
        <w:t xml:space="preserve"> واللهَب واللهْب : اشتعال النار إذا خلص من الدخان ، أو لهبها : لسانها ، ولهيبها : حرّها. راجع : </w:t>
      </w:r>
      <w:r w:rsidR="00E3253D" w:rsidRPr="002F4D34">
        <w:rPr>
          <w:rStyle w:val="libFootnoteBoldChar"/>
          <w:rtl/>
        </w:rPr>
        <w:t>القاموس المحيط</w:t>
      </w:r>
      <w:r w:rsidR="00E3253D" w:rsidRPr="005D642E">
        <w:rPr>
          <w:rtl/>
        </w:rPr>
        <w:t xml:space="preserve"> ، ج 1 ، ص 227 ( لهب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الزهد</w:t>
      </w:r>
      <w:r w:rsidR="00E3253D" w:rsidRPr="005D642E">
        <w:rPr>
          <w:rtl/>
        </w:rPr>
        <w:t xml:space="preserve"> ، ص 151 ، ح 223 ، عن محمّد بن سنان ، مع اختلاف يسير. راجع : </w:t>
      </w:r>
      <w:r w:rsidR="00E3253D" w:rsidRPr="002F4D34">
        <w:rPr>
          <w:rStyle w:val="libFootnoteBoldChar"/>
          <w:rtl/>
        </w:rPr>
        <w:t>المحاسن</w:t>
      </w:r>
      <w:r w:rsidR="00E3253D" w:rsidRPr="005D642E">
        <w:rPr>
          <w:rtl/>
        </w:rPr>
        <w:t xml:space="preserve"> ، ص 177 ، كتاب الصفوة ، ح 160 </w:t>
      </w:r>
      <w:r w:rsidR="006B480B">
        <w:rPr>
          <w:rFonts w:hint="cs"/>
          <w:rtl/>
        </w:rPr>
        <w:t>.</w:t>
      </w:r>
      <w:r w:rsidR="00E3253D" w:rsidRPr="002F4D34">
        <w:rPr>
          <w:rStyle w:val="libFootnoteBoldChar"/>
          <w:rtl/>
        </w:rPr>
        <w:t>الوافي</w:t>
      </w:r>
      <w:r w:rsidR="00E3253D" w:rsidRPr="005D642E">
        <w:rPr>
          <w:rtl/>
        </w:rPr>
        <w:t xml:space="preserve"> ، ج 24 ، ص 251 ، ح 23979 ؛ </w:t>
      </w:r>
      <w:r w:rsidR="00E3253D" w:rsidRPr="002F4D34">
        <w:rPr>
          <w:rStyle w:val="libFootnoteBoldChar"/>
          <w:rtl/>
        </w:rPr>
        <w:t>البحار</w:t>
      </w:r>
      <w:r w:rsidR="00E3253D" w:rsidRPr="005D642E">
        <w:rPr>
          <w:rtl/>
        </w:rPr>
        <w:t xml:space="preserve"> ، ج 6 ، ص 197 ، ح 51.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والبحار : + « القصير</w:t>
      </w:r>
      <w:r w:rsidR="00E3253D">
        <w:rPr>
          <w:rtl/>
        </w:rPr>
        <w:t xml:space="preserve"> ».</w:t>
      </w:r>
      <w:r w:rsidR="00E3253D" w:rsidRPr="005D642E">
        <w:rPr>
          <w:rtl/>
        </w:rPr>
        <w:t xml:space="preserve"> وتقدّمت في </w:t>
      </w:r>
      <w:r w:rsidR="00E3253D" w:rsidRPr="002F4D34">
        <w:rPr>
          <w:rStyle w:val="libFootnoteBoldChar"/>
          <w:rtl/>
        </w:rPr>
        <w:t>الكافي</w:t>
      </w:r>
      <w:r w:rsidR="00E3253D" w:rsidRPr="005D642E">
        <w:rPr>
          <w:rtl/>
        </w:rPr>
        <w:t xml:space="preserve"> ، ح 760 رواية ابن مسكان ، عن عبدالرحيم بن روح القصير ، وتأتي في </w:t>
      </w:r>
      <w:r w:rsidR="00E3253D" w:rsidRPr="002F4D34">
        <w:rPr>
          <w:rStyle w:val="libFootnoteBoldChar"/>
          <w:rtl/>
        </w:rPr>
        <w:t>الكافي</w:t>
      </w:r>
      <w:r w:rsidR="00E3253D" w:rsidRPr="005D642E">
        <w:rPr>
          <w:rtl/>
        </w:rPr>
        <w:t xml:space="preserve"> ، ح 15270 رواية عبدالله بن مسكان ، عن عبدالرحيم القصير.</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بس » وحاشية « بث » : « حبالة</w:t>
      </w:r>
      <w:r w:rsidR="00E3253D">
        <w:rPr>
          <w:rtl/>
        </w:rPr>
        <w:t xml:space="preserve"> ».</w:t>
      </w:r>
      <w:r w:rsidR="00E3253D" w:rsidRPr="005D642E">
        <w:rPr>
          <w:rtl/>
        </w:rPr>
        <w:t xml:space="preserve"> وفي الوافي : « عبابة</w:t>
      </w:r>
      <w:r w:rsidR="00E3253D">
        <w:rPr>
          <w:rtl/>
        </w:rPr>
        <w:t xml:space="preserve"> ».</w:t>
      </w:r>
      <w:r w:rsidR="00E3253D" w:rsidRPr="005D642E">
        <w:rPr>
          <w:rtl/>
        </w:rPr>
        <w:t xml:space="preserve"> والأسدي هذا ، هو عباية بن ربعي الأسدي الذي عُدَّ</w:t>
      </w:r>
      <w:r w:rsidR="006B480B">
        <w:rPr>
          <w:rFonts w:hint="cs"/>
          <w:rtl/>
        </w:rPr>
        <w:t xml:space="preserve"> </w:t>
      </w:r>
      <w:r w:rsidR="00E3253D" w:rsidRPr="005D642E">
        <w:rPr>
          <w:rtl/>
        </w:rPr>
        <w:t xml:space="preserve">من خواصّ أميرالمؤمنين </w:t>
      </w:r>
      <w:r w:rsidR="00E3253D" w:rsidRPr="006B480B">
        <w:rPr>
          <w:rStyle w:val="libFootnoteAlaemChar"/>
          <w:rtl/>
        </w:rPr>
        <w:t>عليه‌السلام</w:t>
      </w:r>
      <w:r w:rsidR="00E3253D" w:rsidRPr="005D642E">
        <w:rPr>
          <w:rtl/>
        </w:rPr>
        <w:t xml:space="preserve">. راجع : </w:t>
      </w:r>
      <w:r w:rsidR="00E3253D" w:rsidRPr="002F4D34">
        <w:rPr>
          <w:rStyle w:val="libFootnoteBoldChar"/>
          <w:rtl/>
        </w:rPr>
        <w:t>رجال البرقي</w:t>
      </w:r>
      <w:r w:rsidR="00E3253D" w:rsidRPr="005D642E">
        <w:rPr>
          <w:rtl/>
        </w:rPr>
        <w:t xml:space="preserve"> ، ص 5 ؛ </w:t>
      </w:r>
      <w:r w:rsidR="00E3253D" w:rsidRPr="002F4D34">
        <w:rPr>
          <w:rStyle w:val="libFootnoteBoldChar"/>
          <w:rtl/>
        </w:rPr>
        <w:t>رجال الطوسي</w:t>
      </w:r>
      <w:r w:rsidR="00E3253D" w:rsidRPr="005D642E">
        <w:rPr>
          <w:rtl/>
        </w:rPr>
        <w:t xml:space="preserve"> ، ص 71 ، الرقم 656.</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الوافي</w:t>
      </w:r>
      <w:r w:rsidR="00E3253D" w:rsidRPr="005D642E">
        <w:rPr>
          <w:rtl/>
        </w:rPr>
        <w:t xml:space="preserve"> : « يعني : ورأى رسول الله أيضاً على يمينه صلوات الله عليهم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الزهد</w:t>
      </w:r>
      <w:r w:rsidR="00E3253D" w:rsidRPr="005D642E">
        <w:rPr>
          <w:rtl/>
        </w:rPr>
        <w:t xml:space="preserve"> ، ص 156 ، ح 226 ، عن النضر بن سويد ، مع اختلاف يسير </w:t>
      </w:r>
      <w:r w:rsidR="006B480B">
        <w:rPr>
          <w:rFonts w:hint="cs"/>
          <w:rtl/>
        </w:rPr>
        <w:t>.</w:t>
      </w:r>
      <w:r w:rsidR="00E3253D" w:rsidRPr="002F4D34">
        <w:rPr>
          <w:rStyle w:val="libFootnoteBoldChar"/>
          <w:rtl/>
        </w:rPr>
        <w:t>الوافي</w:t>
      </w:r>
      <w:r w:rsidR="00E3253D" w:rsidRPr="005D642E">
        <w:rPr>
          <w:rtl/>
        </w:rPr>
        <w:t xml:space="preserve"> ، ج 24 ، ص 253 ، ح 23980 ؛ </w:t>
      </w:r>
      <w:r w:rsidR="00E3253D" w:rsidRPr="002F4D34">
        <w:rPr>
          <w:rStyle w:val="libFootnoteBoldChar"/>
          <w:rtl/>
        </w:rPr>
        <w:t>البحار</w:t>
      </w:r>
      <w:r w:rsidR="00E3253D" w:rsidRPr="005D642E">
        <w:rPr>
          <w:rtl/>
        </w:rPr>
        <w:t xml:space="preserve"> ، ج 6 ، ص 199 ، ح 52 ؛ وج 39 ، ص 238 ، ح 25.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وفي « جس » : « عيناى</w:t>
      </w:r>
      <w:r w:rsidR="00E3253D">
        <w:rPr>
          <w:rtl/>
        </w:rPr>
        <w:t xml:space="preserve"> ».</w:t>
      </w:r>
      <w:r w:rsidR="006B480B">
        <w:rPr>
          <w:rtl/>
        </w:rPr>
        <w:t xml:space="preserve"> وفي المطبوع : «</w:t>
      </w:r>
      <w:r w:rsidR="00E3253D" w:rsidRPr="005D642E">
        <w:rPr>
          <w:rtl/>
        </w:rPr>
        <w:t>عينه</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يُحِبُّ </w:t>
      </w:r>
      <w:r w:rsidRPr="007C12DB">
        <w:rPr>
          <w:rStyle w:val="libFootnotenumChar"/>
          <w:rtl/>
        </w:rPr>
        <w:t>(1)</w:t>
      </w:r>
      <w:r w:rsidRPr="005D642E">
        <w:rPr>
          <w:rtl/>
          <w:lang w:bidi="fa-IR"/>
        </w:rPr>
        <w:t xml:space="preserve"> ، فَتَدْمَعُ </w:t>
      </w:r>
      <w:r w:rsidRPr="007C12DB">
        <w:rPr>
          <w:rStyle w:val="libFootnotenumChar"/>
          <w:rtl/>
        </w:rPr>
        <w:t>(2)</w:t>
      </w:r>
      <w:r w:rsidRPr="005D642E">
        <w:rPr>
          <w:rtl/>
          <w:lang w:bidi="fa-IR"/>
        </w:rPr>
        <w:t xml:space="preserve"> عَيْنُهُ </w:t>
      </w:r>
      <w:r w:rsidRPr="007C12DB">
        <w:rPr>
          <w:rStyle w:val="libFootnotenumChar"/>
          <w:rtl/>
        </w:rPr>
        <w:t>(3)</w:t>
      </w:r>
      <w:r w:rsidRPr="005D642E">
        <w:rPr>
          <w:rtl/>
          <w:lang w:bidi="fa-IR"/>
        </w:rPr>
        <w:t xml:space="preserve"> لِذلِكَ وَيَضْحَكُ</w:t>
      </w:r>
      <w:r>
        <w:rPr>
          <w:rtl/>
          <w:lang w:bidi="fa-IR"/>
        </w:rPr>
        <w:t xml:space="preserve"> ».</w:t>
      </w:r>
      <w:r w:rsidRPr="005D642E">
        <w:rPr>
          <w:rtl/>
          <w:lang w:bidi="fa-IR"/>
        </w:rPr>
        <w:t xml:space="preserve"> </w:t>
      </w:r>
      <w:r w:rsidRPr="007C12DB">
        <w:rPr>
          <w:rStyle w:val="libFootnotenumChar"/>
          <w:rtl/>
        </w:rPr>
        <w:t>(4)</w:t>
      </w:r>
    </w:p>
    <w:p w:rsidR="00E3253D" w:rsidRPr="005D642E" w:rsidRDefault="00E3253D" w:rsidP="00E3253D">
      <w:pPr>
        <w:pStyle w:val="libNormal"/>
        <w:rPr>
          <w:rtl/>
          <w:lang w:bidi="fa-IR"/>
        </w:rPr>
      </w:pPr>
      <w:r w:rsidRPr="00370CA2">
        <w:rPr>
          <w:rtl/>
        </w:rPr>
        <w:t>4315</w:t>
      </w:r>
      <w:r w:rsidRPr="00246318">
        <w:rPr>
          <w:rStyle w:val="libBold2Char"/>
          <w:rtl/>
        </w:rPr>
        <w:t xml:space="preserve"> / 7.</w:t>
      </w:r>
      <w:r w:rsidRPr="005D642E">
        <w:rPr>
          <w:rtl/>
          <w:lang w:bidi="fa-IR"/>
        </w:rPr>
        <w:t xml:space="preserve"> حُمَيْدُ بْنُ زِيَادٍ ، عَنِ الْحَسَنِ بْنِ مُحَمَّدٍ الْكِنْدِيِّ ، عَنْ غَيْرِ وَاحِدٍ ، عَنْ أَبَانِ بْنِ عُثْمَانَ ، عَنْ عَامِرِ بْنِ عَبْدِ اللهِ بْنِ جُذَاعَةَ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سَمِعْتُهُ يَقُولُ : « إِنَّ النَّفْسَ إِذَا وَقَعَتْ فِي الْحَلْقِ ، أَتَاهُ مَلَكٌ </w:t>
      </w:r>
      <w:r w:rsidRPr="007C12DB">
        <w:rPr>
          <w:rStyle w:val="libFootnotenumChar"/>
          <w:rtl/>
        </w:rPr>
        <w:t>(5)</w:t>
      </w:r>
      <w:r w:rsidRPr="005D642E">
        <w:rPr>
          <w:rtl/>
          <w:lang w:bidi="fa-IR"/>
        </w:rPr>
        <w:t xml:space="preserve"> ، فَقَالَ لَهُ </w:t>
      </w:r>
      <w:r w:rsidRPr="007C12DB">
        <w:rPr>
          <w:rStyle w:val="libFootnotenumChar"/>
          <w:rtl/>
        </w:rPr>
        <w:t>(6)</w:t>
      </w:r>
      <w:r w:rsidRPr="005D642E">
        <w:rPr>
          <w:rtl/>
          <w:lang w:bidi="fa-IR"/>
        </w:rPr>
        <w:t xml:space="preserve"> : يَا هذَا</w:t>
      </w:r>
      <w:r>
        <w:rPr>
          <w:rtl/>
          <w:lang w:bidi="fa-IR"/>
        </w:rPr>
        <w:t xml:space="preserve"> </w:t>
      </w:r>
      <w:r w:rsidR="007642BC">
        <w:rPr>
          <w:rtl/>
          <w:lang w:bidi="fa-IR"/>
        </w:rPr>
        <w:t>-</w:t>
      </w:r>
      <w:r>
        <w:rPr>
          <w:rtl/>
          <w:lang w:bidi="fa-IR"/>
        </w:rPr>
        <w:t xml:space="preserve"> </w:t>
      </w:r>
      <w:r w:rsidRPr="005D642E">
        <w:rPr>
          <w:rtl/>
          <w:lang w:bidi="fa-IR"/>
        </w:rPr>
        <w:t xml:space="preserve">أَوْ </w:t>
      </w:r>
      <w:r w:rsidRPr="007C12DB">
        <w:rPr>
          <w:rStyle w:val="libFootnotenumChar"/>
          <w:rtl/>
        </w:rPr>
        <w:t>(7)</w:t>
      </w:r>
      <w:r w:rsidRPr="005D642E">
        <w:rPr>
          <w:rtl/>
          <w:lang w:bidi="fa-IR"/>
        </w:rPr>
        <w:t xml:space="preserve"> يَا فُلَانُ</w:t>
      </w:r>
      <w:r>
        <w:rPr>
          <w:rtl/>
          <w:lang w:bidi="fa-IR"/>
        </w:rPr>
        <w:t xml:space="preserve"> </w:t>
      </w:r>
      <w:r w:rsidR="007642BC">
        <w:rPr>
          <w:rtl/>
          <w:lang w:bidi="fa-IR"/>
        </w:rPr>
        <w:t>-</w:t>
      </w:r>
      <w:r>
        <w:rPr>
          <w:rtl/>
          <w:lang w:bidi="fa-IR"/>
        </w:rPr>
        <w:t xml:space="preserve"> </w:t>
      </w:r>
      <w:r w:rsidRPr="005D642E">
        <w:rPr>
          <w:rtl/>
          <w:lang w:bidi="fa-IR"/>
        </w:rPr>
        <w:t xml:space="preserve">أَمَّا مَا كُنْتَ تَرْجُو ، فَأْيَسْ </w:t>
      </w:r>
      <w:r w:rsidRPr="007C12DB">
        <w:rPr>
          <w:rStyle w:val="libFootnotenumChar"/>
          <w:rtl/>
        </w:rPr>
        <w:t>(8)</w:t>
      </w:r>
      <w:r w:rsidRPr="005D642E">
        <w:rPr>
          <w:rtl/>
          <w:lang w:bidi="fa-IR"/>
        </w:rPr>
        <w:t xml:space="preserve"> مِنْهُ وَهُوَ الرُّجُوعُ إِلَى الدُّنْيَا ، وَأَمَّا مَا كُنْتَ </w:t>
      </w:r>
      <w:r w:rsidRPr="007C12DB">
        <w:rPr>
          <w:rStyle w:val="libFootnotenumChar"/>
          <w:rtl/>
        </w:rPr>
        <w:t>(9)</w:t>
      </w:r>
      <w:r w:rsidRPr="005D642E">
        <w:rPr>
          <w:rtl/>
          <w:lang w:bidi="fa-IR"/>
        </w:rPr>
        <w:t xml:space="preserve"> تَخَافُ </w:t>
      </w:r>
      <w:r w:rsidRPr="007C12DB">
        <w:rPr>
          <w:rStyle w:val="libFootnotenumChar"/>
          <w:rtl/>
        </w:rPr>
        <w:t>(10)</w:t>
      </w:r>
      <w:r w:rsidRPr="005D642E">
        <w:rPr>
          <w:rtl/>
          <w:lang w:bidi="fa-IR"/>
        </w:rPr>
        <w:t xml:space="preserve"> ، فَقَدْ </w:t>
      </w:r>
      <w:r w:rsidRPr="007C12DB">
        <w:rPr>
          <w:rStyle w:val="libFootnotenumChar"/>
          <w:rtl/>
        </w:rPr>
        <w:t>(11)</w:t>
      </w:r>
      <w:r w:rsidRPr="005D642E">
        <w:rPr>
          <w:rtl/>
          <w:lang w:bidi="fa-IR"/>
        </w:rPr>
        <w:t xml:space="preserve"> أَمِنْتَ مِنْهُ</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370CA2">
        <w:rPr>
          <w:rtl/>
        </w:rPr>
        <w:t>4316</w:t>
      </w:r>
      <w:r w:rsidRPr="00246318">
        <w:rPr>
          <w:rStyle w:val="libBold2Char"/>
          <w:rtl/>
        </w:rPr>
        <w:t xml:space="preserve"> / 8.</w:t>
      </w:r>
      <w:r w:rsidRPr="005D642E">
        <w:rPr>
          <w:rtl/>
          <w:lang w:bidi="fa-IR"/>
        </w:rPr>
        <w:t xml:space="preserve"> أَبَانُ بْنُ عُثْمَانَ </w:t>
      </w:r>
      <w:r w:rsidRPr="007C12DB">
        <w:rPr>
          <w:rStyle w:val="libFootnotenumChar"/>
          <w:rtl/>
        </w:rPr>
        <w:t>(13)</w:t>
      </w:r>
      <w:r w:rsidRPr="005D642E">
        <w:rPr>
          <w:rtl/>
          <w:lang w:bidi="fa-IR"/>
        </w:rPr>
        <w:t xml:space="preserve"> ، عَنْ عُقْبَةَ :</w:t>
      </w:r>
    </w:p>
    <w:p w:rsidR="00E3253D" w:rsidRPr="005D642E" w:rsidRDefault="00E3253D" w:rsidP="00E3253D">
      <w:pPr>
        <w:pStyle w:val="libNormal"/>
        <w:rPr>
          <w:rtl/>
          <w:lang w:bidi="fa-IR"/>
        </w:rPr>
      </w:pPr>
      <w:r w:rsidRPr="005D642E">
        <w:rPr>
          <w:rtl/>
          <w:lang w:bidi="fa-IR"/>
        </w:rPr>
        <w:t xml:space="preserve">أَنَّهُ سَمِعَ أَبَا عَبْدِ اللهِ </w:t>
      </w:r>
      <w:r w:rsidRPr="00AC51C5">
        <w:rPr>
          <w:rStyle w:val="libAlaemChar"/>
          <w:rtl/>
        </w:rPr>
        <w:t>عليه‌السلام</w:t>
      </w:r>
      <w:r w:rsidRPr="005D642E">
        <w:rPr>
          <w:rtl/>
          <w:lang w:bidi="fa-IR"/>
        </w:rPr>
        <w:t xml:space="preserve"> يَقُولُ : « إِنَّ الرَّجُلَ إِذَا وَقَعَتْ نَفْسُهُ فِي صَدْرِهِ ، رَأى </w:t>
      </w:r>
      <w:r w:rsidRPr="007C12DB">
        <w:rPr>
          <w:rStyle w:val="libFootnotenumChar"/>
          <w:rtl/>
        </w:rPr>
        <w:t>(14)</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 جُعِلْتُ فِدَاكَ ، وَمَا </w:t>
      </w:r>
      <w:r w:rsidRPr="007C12DB">
        <w:rPr>
          <w:rStyle w:val="libFootnotenumChar"/>
          <w:rtl/>
        </w:rPr>
        <w:t>(15)</w:t>
      </w:r>
      <w:r w:rsidRPr="005D642E">
        <w:rPr>
          <w:rtl/>
          <w:lang w:bidi="fa-IR"/>
        </w:rPr>
        <w:t xml:space="preserve"> يَرى</w:t>
      </w:r>
      <w:r>
        <w:rPr>
          <w:rtl/>
          <w:lang w:bidi="fa-IR"/>
        </w:rPr>
        <w:t>؟</w:t>
      </w:r>
    </w:p>
    <w:p w:rsidR="00E3253D" w:rsidRPr="005D642E" w:rsidRDefault="00E3253D" w:rsidP="00E3253D">
      <w:pPr>
        <w:pStyle w:val="libNormal"/>
        <w:rPr>
          <w:rtl/>
          <w:lang w:bidi="fa-IR"/>
        </w:rPr>
      </w:pPr>
      <w:r w:rsidRPr="005D642E">
        <w:rPr>
          <w:rtl/>
          <w:lang w:bidi="fa-IR"/>
        </w:rPr>
        <w:t xml:space="preserve">قَالَ : « يَرى رَسُولَ اللهِ </w:t>
      </w:r>
      <w:r w:rsidR="0042621E" w:rsidRPr="0042621E">
        <w:rPr>
          <w:rStyle w:val="libAlaemChar"/>
          <w:rtl/>
        </w:rPr>
        <w:t>صلى‌الله‌عليه‌وآله</w:t>
      </w:r>
      <w:r w:rsidRPr="005D642E">
        <w:rPr>
          <w:rtl/>
          <w:lang w:bidi="fa-IR"/>
        </w:rPr>
        <w:t xml:space="preserve"> ، فَيَقُولُ لَهُ رَسُولُ اللهِ </w:t>
      </w:r>
      <w:r w:rsidR="0042621E" w:rsidRPr="0042621E">
        <w:rPr>
          <w:rStyle w:val="libAlaemChar"/>
          <w:rtl/>
        </w:rPr>
        <w:t>صلى‌الله‌عليه‌وآله</w:t>
      </w:r>
      <w:r w:rsidRPr="005D642E">
        <w:rPr>
          <w:rtl/>
          <w:lang w:bidi="fa-IR"/>
        </w:rPr>
        <w:t xml:space="preserve"> : أَنَا رَسُولُ اللهِ ، أَبْشِرْ</w:t>
      </w:r>
      <w:r>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w:t>
      </w:r>
      <w:r w:rsidR="000D749A" w:rsidRPr="000D749A">
        <w:rPr>
          <w:rStyle w:val="libFootnoteBoldChar"/>
          <w:rtl/>
        </w:rPr>
        <w:t>والوافي</w:t>
      </w:r>
      <w:r w:rsidR="00E3253D" w:rsidRPr="005D642E">
        <w:rPr>
          <w:rtl/>
        </w:rPr>
        <w:t xml:space="preserve"> : « وما يحبّه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 فيدمع</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بخ » : « عيناه</w:t>
      </w:r>
      <w:r w:rsidR="00E3253D">
        <w:rPr>
          <w:rtl/>
        </w:rPr>
        <w:t xml:space="preserve"> ».</w:t>
      </w:r>
    </w:p>
    <w:p w:rsidR="00E3253D" w:rsidRPr="005D642E" w:rsidRDefault="0042621E" w:rsidP="000129A3">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الزهد</w:t>
      </w:r>
      <w:r w:rsidR="00E3253D" w:rsidRPr="005D642E">
        <w:rPr>
          <w:rtl/>
        </w:rPr>
        <w:t xml:space="preserve"> ، ص 155 ، ح 225 ؛ </w:t>
      </w:r>
      <w:r w:rsidR="00E3253D" w:rsidRPr="000129A3">
        <w:rPr>
          <w:rStyle w:val="libFootnoteBoldChar"/>
          <w:rtl/>
        </w:rPr>
        <w:t>و</w:t>
      </w:r>
      <w:r w:rsidR="00E3253D" w:rsidRPr="002F4D34">
        <w:rPr>
          <w:rStyle w:val="libFootnoteBoldChar"/>
          <w:rtl/>
        </w:rPr>
        <w:t>علل الشرائع</w:t>
      </w:r>
      <w:r w:rsidR="00E3253D" w:rsidRPr="005D642E">
        <w:rPr>
          <w:rtl/>
        </w:rPr>
        <w:t xml:space="preserve"> ، ص 306 ، ح 1 ؛ </w:t>
      </w:r>
      <w:r w:rsidR="00E3253D" w:rsidRPr="000129A3">
        <w:rPr>
          <w:rStyle w:val="libFootnoteBoldChar"/>
          <w:rtl/>
        </w:rPr>
        <w:t>وم</w:t>
      </w:r>
      <w:r w:rsidR="00E3253D" w:rsidRPr="002F4D34">
        <w:rPr>
          <w:rStyle w:val="libFootnoteBoldChar"/>
          <w:rtl/>
        </w:rPr>
        <w:t xml:space="preserve">عاني الأخبار </w:t>
      </w:r>
      <w:r w:rsidR="00E3253D" w:rsidRPr="005D642E">
        <w:rPr>
          <w:rtl/>
        </w:rPr>
        <w:t xml:space="preserve">، ص 236 ، ح 2 ، بسند آخر عن معاوية بن وهب. </w:t>
      </w:r>
      <w:r w:rsidR="00E3253D" w:rsidRPr="002F4D34">
        <w:rPr>
          <w:rStyle w:val="libFootnoteBoldChar"/>
          <w:rtl/>
        </w:rPr>
        <w:t>الفقيه</w:t>
      </w:r>
      <w:r w:rsidR="00E3253D" w:rsidRPr="005D642E">
        <w:rPr>
          <w:rtl/>
        </w:rPr>
        <w:t xml:space="preserve"> ، ج 1 ، ص 135 ، ح 361 ، مرسلاً ، وفي كلّ المصادر مع اختلاف يسير </w:t>
      </w:r>
      <w:r w:rsidR="000129A3">
        <w:rPr>
          <w:rFonts w:hint="cs"/>
          <w:rtl/>
        </w:rPr>
        <w:t>.</w:t>
      </w:r>
      <w:r w:rsidR="00E3253D" w:rsidRPr="002F4D34">
        <w:rPr>
          <w:rStyle w:val="libFootnoteBoldChar"/>
          <w:rtl/>
        </w:rPr>
        <w:t>الوافي</w:t>
      </w:r>
      <w:r w:rsidR="00E3253D" w:rsidRPr="005D642E">
        <w:rPr>
          <w:rtl/>
        </w:rPr>
        <w:t xml:space="preserve"> ، ج 24 ، ص 253 ، ح 23981.</w:t>
      </w:r>
      <w:r w:rsidR="000129A3">
        <w:rPr>
          <w:rFonts w:hint="cs"/>
          <w:rtl/>
        </w:rPr>
        <w:t xml:space="preserve">    </w:t>
      </w:r>
      <w:r w:rsidRPr="0042621E">
        <w:rPr>
          <w:rStyle w:val="libFootnote0Char"/>
          <w:rtl/>
        </w:rPr>
        <w:t>(5).</w:t>
      </w:r>
      <w:r w:rsidR="00E3253D" w:rsidRPr="005D642E">
        <w:rPr>
          <w:rtl/>
        </w:rPr>
        <w:t xml:space="preserve"> في « ى ، بث ، بخ ، بف ، جن » </w:t>
      </w:r>
      <w:r w:rsidR="000D749A" w:rsidRPr="000D749A">
        <w:rPr>
          <w:rStyle w:val="libFootnoteBoldChar"/>
          <w:rtl/>
        </w:rPr>
        <w:t>والوافي</w:t>
      </w:r>
      <w:r w:rsidR="00E3253D" w:rsidRPr="005D642E">
        <w:rPr>
          <w:rtl/>
        </w:rPr>
        <w:t xml:space="preserve"> : + « الموت</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E3253D">
            <w:pPr>
              <w:pStyle w:val="libFootnote0"/>
              <w:rPr>
                <w:rStyle w:val="libFootnote0Char"/>
                <w:rtl/>
              </w:rPr>
            </w:pPr>
            <w:r w:rsidRPr="0042621E">
              <w:rPr>
                <w:rStyle w:val="libFootnote0Char"/>
                <w:rtl/>
              </w:rPr>
              <w:t>(6).</w:t>
            </w:r>
            <w:r w:rsidRPr="005D642E">
              <w:rPr>
                <w:rtl/>
              </w:rPr>
              <w:t xml:space="preserve"> في الوافي :</w:t>
            </w:r>
            <w:r>
              <w:rPr>
                <w:rtl/>
              </w:rPr>
              <w:t xml:space="preserve"> - </w:t>
            </w:r>
            <w:r w:rsidRPr="005D642E">
              <w:rPr>
                <w:rtl/>
              </w:rPr>
              <w:t>« له</w:t>
            </w:r>
            <w:r>
              <w:rPr>
                <w:rtl/>
              </w:rPr>
              <w:t xml:space="preserve"> ».</w:t>
            </w:r>
          </w:p>
        </w:tc>
        <w:tc>
          <w:tcPr>
            <w:tcW w:w="4006" w:type="dxa"/>
          </w:tcPr>
          <w:p w:rsidR="000129A3" w:rsidRDefault="000129A3" w:rsidP="00E3253D">
            <w:pPr>
              <w:pStyle w:val="libFootnote0"/>
              <w:rPr>
                <w:rStyle w:val="libFootnote0Char"/>
                <w:rtl/>
              </w:rPr>
            </w:pPr>
            <w:r w:rsidRPr="0042621E">
              <w:rPr>
                <w:rStyle w:val="libFootnote0Char"/>
                <w:rtl/>
              </w:rPr>
              <w:t>(7).</w:t>
            </w:r>
            <w:r w:rsidRPr="005D642E">
              <w:rPr>
                <w:rtl/>
              </w:rPr>
              <w:t xml:space="preserve"> في « غ » : « </w:t>
            </w:r>
            <w:r>
              <w:rPr>
                <w:rtl/>
              </w:rPr>
              <w:t>و ».</w:t>
            </w:r>
          </w:p>
        </w:tc>
      </w:tr>
      <w:tr w:rsidR="000129A3" w:rsidTr="000129A3">
        <w:tc>
          <w:tcPr>
            <w:tcW w:w="4006" w:type="dxa"/>
          </w:tcPr>
          <w:p w:rsidR="000129A3" w:rsidRDefault="000129A3" w:rsidP="00E3253D">
            <w:pPr>
              <w:pStyle w:val="libFootnote0"/>
              <w:rPr>
                <w:rStyle w:val="libFootnote0Char"/>
                <w:rtl/>
              </w:rPr>
            </w:pPr>
            <w:r w:rsidRPr="0042621E">
              <w:rPr>
                <w:rStyle w:val="libFootnote0Char"/>
                <w:rtl/>
              </w:rPr>
              <w:t>(8).</w:t>
            </w:r>
            <w:r w:rsidRPr="005D642E">
              <w:rPr>
                <w:rtl/>
              </w:rPr>
              <w:t xml:space="preserve"> في « بث » : « فآيس</w:t>
            </w:r>
            <w:r>
              <w:rPr>
                <w:rtl/>
              </w:rPr>
              <w:t xml:space="preserve"> ».</w:t>
            </w:r>
          </w:p>
        </w:tc>
        <w:tc>
          <w:tcPr>
            <w:tcW w:w="4006" w:type="dxa"/>
          </w:tcPr>
          <w:p w:rsidR="000129A3" w:rsidRDefault="000129A3" w:rsidP="00E3253D">
            <w:pPr>
              <w:pStyle w:val="libFootnote0"/>
              <w:rPr>
                <w:rStyle w:val="libFootnote0Char"/>
                <w:rtl/>
              </w:rPr>
            </w:pPr>
            <w:r w:rsidRPr="0042621E">
              <w:rPr>
                <w:rStyle w:val="libFootnote0Char"/>
                <w:rtl/>
              </w:rPr>
              <w:t>(9).</w:t>
            </w:r>
            <w:r w:rsidRPr="005D642E">
              <w:rPr>
                <w:rtl/>
              </w:rPr>
              <w:t xml:space="preserve"> في الوافي :</w:t>
            </w:r>
            <w:r>
              <w:rPr>
                <w:rtl/>
              </w:rPr>
              <w:t xml:space="preserve"> - </w:t>
            </w:r>
            <w:r w:rsidRPr="005D642E">
              <w:rPr>
                <w:rtl/>
              </w:rPr>
              <w:t>« كنت</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مرآة العقول</w:t>
      </w:r>
      <w:r w:rsidR="00E3253D" w:rsidRPr="005D642E">
        <w:rPr>
          <w:rtl/>
        </w:rPr>
        <w:t xml:space="preserve"> : « المراد بالنفس نفس المؤمن أو مطلقاً ، فالمراد بقوله : وأمّا ما تخاف ، أي من ا</w:t>
      </w:r>
      <w:r w:rsidR="000129A3">
        <w:rPr>
          <w:rFonts w:hint="cs"/>
          <w:rtl/>
        </w:rPr>
        <w:t>ُ</w:t>
      </w:r>
      <w:r w:rsidR="00E3253D" w:rsidRPr="005D642E">
        <w:rPr>
          <w:rtl/>
        </w:rPr>
        <w:t>مور الدنيا ، فلا ينافي خوف الكافر من عذاب الاخرة ، فيكون الغرض يأسه من الدنيا بالكلّيّة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E3253D">
            <w:pPr>
              <w:pStyle w:val="libFootnote0"/>
              <w:rPr>
                <w:rStyle w:val="libFootnote0Char"/>
                <w:rtl/>
              </w:rPr>
            </w:pPr>
            <w:r w:rsidRPr="0042621E">
              <w:rPr>
                <w:rStyle w:val="libFootnote0Char"/>
                <w:rtl/>
              </w:rPr>
              <w:t>(11).</w:t>
            </w:r>
            <w:r w:rsidRPr="005D642E">
              <w:rPr>
                <w:rtl/>
              </w:rPr>
              <w:t xml:space="preserve"> في « بح » : « قد</w:t>
            </w:r>
            <w:r>
              <w:rPr>
                <w:rtl/>
              </w:rPr>
              <w:t xml:space="preserve"> ».</w:t>
            </w:r>
          </w:p>
        </w:tc>
        <w:tc>
          <w:tcPr>
            <w:tcW w:w="4006" w:type="dxa"/>
          </w:tcPr>
          <w:p w:rsidR="000129A3" w:rsidRDefault="000129A3" w:rsidP="00E3253D">
            <w:pPr>
              <w:pStyle w:val="libFootnote0"/>
              <w:rPr>
                <w:rStyle w:val="libFootnote0Char"/>
                <w:rtl/>
              </w:rPr>
            </w:pPr>
            <w:r w:rsidRPr="0042621E">
              <w:rPr>
                <w:rStyle w:val="libFootnote0Char"/>
                <w:rtl/>
              </w:rPr>
              <w:t>(12).</w:t>
            </w:r>
            <w:r w:rsidRPr="005D642E">
              <w:rPr>
                <w:rtl/>
              </w:rPr>
              <w:t xml:space="preserve"> </w:t>
            </w:r>
            <w:r w:rsidRPr="002F4D34">
              <w:rPr>
                <w:rStyle w:val="libFootnoteBoldChar"/>
                <w:rtl/>
              </w:rPr>
              <w:t>الوافي</w:t>
            </w:r>
            <w:r w:rsidRPr="005D642E">
              <w:rPr>
                <w:rtl/>
              </w:rPr>
              <w:t xml:space="preserve"> ، ج 24 ، ص 254 ، ح 23982.</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السند معلّق على سابقه. ويروي عن أبان بن عثمان ، حميد بن زياد ، عن الحسن بن محمّد الكندي ، عن غير واحد.</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 « يرى</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 xml:space="preserve">في « بف » </w:t>
      </w:r>
      <w:r w:rsidR="000D749A" w:rsidRPr="000D749A">
        <w:rPr>
          <w:rStyle w:val="libFootnoteBoldChar"/>
          <w:rtl/>
        </w:rPr>
        <w:t>والوافي</w:t>
      </w:r>
      <w:r w:rsidR="00E3253D" w:rsidRPr="005D642E">
        <w:rPr>
          <w:rtl/>
        </w:rPr>
        <w:t xml:space="preserve"> : « ما » بدون الواو.</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lastRenderedPageBreak/>
        <w:t xml:space="preserve">ثُمَّ قَالَ </w:t>
      </w:r>
      <w:r w:rsidRPr="007C12DB">
        <w:rPr>
          <w:rStyle w:val="libFootnotenumChar"/>
          <w:rtl/>
        </w:rPr>
        <w:t>(1)</w:t>
      </w:r>
      <w:r w:rsidRPr="005D642E">
        <w:rPr>
          <w:rtl/>
          <w:lang w:bidi="fa-IR"/>
        </w:rPr>
        <w:t xml:space="preserve"> : « ثُمّ </w:t>
      </w:r>
      <w:r w:rsidRPr="007C12DB">
        <w:rPr>
          <w:rStyle w:val="libFootnotenumChar"/>
          <w:rtl/>
        </w:rPr>
        <w:t>(2)</w:t>
      </w:r>
      <w:r w:rsidRPr="005D642E">
        <w:rPr>
          <w:rtl/>
          <w:lang w:bidi="fa-IR"/>
        </w:rPr>
        <w:t xml:space="preserve"> يَرى عَلِيَّ بْنَ أَبِي طَالِبٍ </w:t>
      </w:r>
      <w:r w:rsidRPr="00AC51C5">
        <w:rPr>
          <w:rStyle w:val="libAlaemChar"/>
          <w:rtl/>
        </w:rPr>
        <w:t>عليه‌السلام</w:t>
      </w:r>
      <w:r w:rsidRPr="005D642E">
        <w:rPr>
          <w:rtl/>
          <w:lang w:bidi="fa-IR"/>
        </w:rPr>
        <w:t xml:space="preserve"> ، فَيَقُولُ </w:t>
      </w:r>
      <w:r w:rsidRPr="007C12DB">
        <w:rPr>
          <w:rStyle w:val="libFootnotenumChar"/>
          <w:rtl/>
        </w:rPr>
        <w:t>(3)</w:t>
      </w:r>
      <w:r w:rsidRPr="005D642E">
        <w:rPr>
          <w:rtl/>
          <w:lang w:bidi="fa-IR"/>
        </w:rPr>
        <w:t xml:space="preserve"> : أَنَا عَلِيُّ بْنُ أَبِي طَالِبٍ الَّذِي كُنْتَ تُحِبُّهُ ، تُحِبُّ </w:t>
      </w:r>
      <w:r w:rsidRPr="007C12DB">
        <w:rPr>
          <w:rStyle w:val="libFootnotenumChar"/>
          <w:rtl/>
        </w:rPr>
        <w:t>(4)</w:t>
      </w:r>
      <w:r w:rsidRPr="005D642E">
        <w:rPr>
          <w:rtl/>
          <w:lang w:bidi="fa-IR"/>
        </w:rPr>
        <w:t xml:space="preserve"> أَنْ </w:t>
      </w:r>
      <w:r w:rsidRPr="007C12DB">
        <w:rPr>
          <w:rStyle w:val="libFootnotenumChar"/>
          <w:rtl/>
        </w:rPr>
        <w:t>(5)</w:t>
      </w:r>
      <w:r w:rsidRPr="005D642E">
        <w:rPr>
          <w:rtl/>
          <w:lang w:bidi="fa-IR"/>
        </w:rPr>
        <w:t xml:space="preserve"> أَنْفَعَكَ الْيَوْمَ</w:t>
      </w:r>
      <w:r>
        <w:rPr>
          <w:rtl/>
          <w:lang w:bidi="fa-IR"/>
        </w:rPr>
        <w:t xml:space="preserve"> ».</w:t>
      </w:r>
    </w:p>
    <w:p w:rsidR="00E3253D" w:rsidRPr="005D642E" w:rsidRDefault="00E3253D" w:rsidP="00E3253D">
      <w:pPr>
        <w:pStyle w:val="libNormal"/>
        <w:rPr>
          <w:rtl/>
          <w:lang w:bidi="fa-IR"/>
        </w:rPr>
      </w:pPr>
      <w:r w:rsidRPr="005D642E">
        <w:rPr>
          <w:rtl/>
          <w:lang w:bidi="fa-IR"/>
        </w:rPr>
        <w:t>قَالَ : قُل</w:t>
      </w:r>
      <w:r>
        <w:rPr>
          <w:rtl/>
          <w:lang w:bidi="fa-IR"/>
        </w:rPr>
        <w:t>ْتُ لَهُ : أَ</w:t>
      </w:r>
      <w:r w:rsidRPr="005D642E">
        <w:rPr>
          <w:rtl/>
          <w:lang w:bidi="fa-IR"/>
        </w:rPr>
        <w:t>يَكُونُ أَحَدٌ مِنَ النَّاسِ يَرى هذَا ، ثُمَّ يَرْجِعُ إِلَى الدُّنْيَا</w:t>
      </w:r>
      <w:r>
        <w:rPr>
          <w:rtl/>
          <w:lang w:bidi="fa-IR"/>
        </w:rPr>
        <w:t>؟</w:t>
      </w:r>
    </w:p>
    <w:p w:rsidR="00E3253D" w:rsidRPr="005D642E" w:rsidRDefault="00E3253D" w:rsidP="00E3253D">
      <w:pPr>
        <w:pStyle w:val="libNormal"/>
        <w:rPr>
          <w:rtl/>
          <w:lang w:bidi="fa-IR"/>
        </w:rPr>
      </w:pPr>
      <w:r w:rsidRPr="005D642E">
        <w:rPr>
          <w:rtl/>
          <w:lang w:bidi="fa-IR"/>
        </w:rPr>
        <w:t xml:space="preserve">قَالَ : قَالَ : « لَا </w:t>
      </w:r>
      <w:r w:rsidRPr="007C12DB">
        <w:rPr>
          <w:rStyle w:val="libFootnotenumChar"/>
          <w:rtl/>
        </w:rPr>
        <w:t>(6)</w:t>
      </w:r>
      <w:r w:rsidRPr="005D642E">
        <w:rPr>
          <w:rtl/>
          <w:lang w:bidi="fa-IR"/>
        </w:rPr>
        <w:t xml:space="preserve"> ، إِذَا رَأى هذَا أَبَداً مَاتَ </w:t>
      </w:r>
      <w:r w:rsidRPr="007C12DB">
        <w:rPr>
          <w:rStyle w:val="libFootnotenumChar"/>
          <w:rtl/>
        </w:rPr>
        <w:t>(7)</w:t>
      </w:r>
      <w:r w:rsidRPr="005D642E">
        <w:rPr>
          <w:rtl/>
          <w:lang w:bidi="fa-IR"/>
        </w:rPr>
        <w:t xml:space="preserve"> » وَأَعْظَمَ ذلِكَ </w:t>
      </w:r>
      <w:r w:rsidRPr="007C12DB">
        <w:rPr>
          <w:rStyle w:val="libFootnotenumChar"/>
          <w:rtl/>
        </w:rPr>
        <w:t>(8)</w:t>
      </w:r>
      <w:r w:rsidRPr="005D642E">
        <w:rPr>
          <w:rtl/>
          <w:lang w:bidi="fa-IR"/>
        </w:rPr>
        <w:t xml:space="preserve"> ، قَالَ : « وَذلِكَ </w:t>
      </w:r>
      <w:r w:rsidRPr="007C12DB">
        <w:rPr>
          <w:rStyle w:val="libFootnotenumChar"/>
          <w:rtl/>
        </w:rPr>
        <w:t>(9)</w:t>
      </w:r>
      <w:r w:rsidRPr="005D642E">
        <w:rPr>
          <w:rtl/>
          <w:lang w:bidi="fa-IR"/>
        </w:rPr>
        <w:t xml:space="preserve"> فِي الْقُرْآنِ قَوْلُ اللهِ عَزَّ وَجَلَّ : </w:t>
      </w:r>
      <w:r w:rsidRPr="00AC51C5">
        <w:rPr>
          <w:rStyle w:val="libAlaemChar"/>
          <w:rtl/>
        </w:rPr>
        <w:t>(</w:t>
      </w:r>
      <w:r w:rsidRPr="00AC51C5">
        <w:rPr>
          <w:rStyle w:val="libAieChar"/>
          <w:rtl/>
        </w:rPr>
        <w:t xml:space="preserve"> الَّذِينَ آمَنُوا وَكانُوا يَتَّقُونَ </w:t>
      </w:r>
      <w:r w:rsidR="000129A3">
        <w:rPr>
          <w:rStyle w:val="libAieChar"/>
          <w:rFonts w:hint="cs"/>
          <w:rtl/>
        </w:rPr>
        <w:t xml:space="preserve">* </w:t>
      </w:r>
      <w:r w:rsidRPr="00AC51C5">
        <w:rPr>
          <w:rStyle w:val="libAieChar"/>
          <w:rtl/>
        </w:rPr>
        <w:t xml:space="preserve">لَهُمُ الْبُشْرى فِي الْحَياةِ الدُّنْيا وَفِي الْآخِرَةِ لا تَبْدِيلَ لِكَلِماتِ اللهِ </w:t>
      </w:r>
      <w:r w:rsidRPr="00AC51C5">
        <w:rPr>
          <w:rStyle w:val="libAlaemChar"/>
          <w:rtl/>
        </w:rPr>
        <w:t>)</w:t>
      </w:r>
      <w:r w:rsidRPr="005D642E">
        <w:rPr>
          <w:rtl/>
          <w:lang w:bidi="fa-IR"/>
        </w:rPr>
        <w:t xml:space="preserve">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370CA2">
        <w:rPr>
          <w:rtl/>
        </w:rPr>
        <w:t>4317</w:t>
      </w:r>
      <w:r w:rsidRPr="00246318">
        <w:rPr>
          <w:rStyle w:val="libBold2Char"/>
          <w:rtl/>
        </w:rPr>
        <w:t xml:space="preserve"> / 9.</w:t>
      </w:r>
      <w:r w:rsidRPr="005D642E">
        <w:rPr>
          <w:rtl/>
          <w:lang w:bidi="fa-IR"/>
        </w:rPr>
        <w:t xml:space="preserve"> عِدَّةٌ مِنْ أَصْحَابِنَا ، عَنْ سَهْلِ بْنِ زِيَادٍ ، عَنِ ابْنِ مَحْبُوبٍ ، عَنْ عَبْدِ الْعَزِيزِ الْعَبْدِيِّ ، عَنِ ابْنِ أَبِي يَعْفُورٍ ، قَالَ :</w:t>
      </w:r>
    </w:p>
    <w:p w:rsidR="00E3253D" w:rsidRPr="005D642E" w:rsidRDefault="00E3253D" w:rsidP="00E3253D">
      <w:pPr>
        <w:pStyle w:val="libNormal"/>
        <w:rPr>
          <w:rtl/>
          <w:lang w:bidi="fa-IR"/>
        </w:rPr>
      </w:pPr>
      <w:r w:rsidRPr="005D642E">
        <w:rPr>
          <w:rtl/>
          <w:lang w:bidi="fa-IR"/>
        </w:rPr>
        <w:t xml:space="preserve">كَانَ خَطَّابٌ الْجُهَنِيُّ خَلِيطاً لَنَا ، وَكَانَ شَدِيدَ النَّصْبِ </w:t>
      </w:r>
      <w:r w:rsidRPr="007C12DB">
        <w:rPr>
          <w:rStyle w:val="libFootnotenumChar"/>
          <w:rtl/>
        </w:rPr>
        <w:t>(12)</w:t>
      </w:r>
      <w:r w:rsidRPr="005D642E">
        <w:rPr>
          <w:rtl/>
          <w:lang w:bidi="fa-IR"/>
        </w:rPr>
        <w:t xml:space="preserve"> لآِلِ مُحَمَّدٍ </w:t>
      </w:r>
      <w:r w:rsidRPr="00AC51C5">
        <w:rPr>
          <w:rStyle w:val="libAlaemChar"/>
          <w:rtl/>
        </w:rPr>
        <w:t>عليهم‌السلام</w:t>
      </w:r>
      <w:r w:rsidRPr="005D642E">
        <w:rPr>
          <w:rtl/>
          <w:lang w:bidi="fa-IR"/>
        </w:rPr>
        <w:t xml:space="preserve"> ، وَكَانَ‌</w:t>
      </w:r>
      <w:r>
        <w:rPr>
          <w:lang w:bidi="fa-IR"/>
        </w:rPr>
        <w:t xml:space="preserve"> </w:t>
      </w:r>
      <w:r w:rsidRPr="005D642E">
        <w:rPr>
          <w:rtl/>
          <w:lang w:bidi="fa-IR"/>
        </w:rPr>
        <w:t xml:space="preserve">يَصْحَبُ نَجْدَةَ الْحَرُورِيَّ </w:t>
      </w:r>
      <w:r w:rsidRPr="007C12DB">
        <w:rPr>
          <w:rStyle w:val="libFootnotenumChar"/>
          <w:rtl/>
        </w:rPr>
        <w:t>(13)</w:t>
      </w:r>
      <w:r w:rsidRPr="005D642E">
        <w:rPr>
          <w:rtl/>
          <w:lang w:bidi="fa-IR"/>
        </w:rPr>
        <w:t xml:space="preserve"> ، قَالَ : فَدَخَلْتُ عَلَيْهِ أَعُودُهُ لِلْخُلْطَةِ وَالتَّقِيَّةِ ، فَإِذَا هُوَ مُغْمًى‌</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معظم النسخ التي قوبلت. وفي « بف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ثمّ</w:t>
      </w:r>
      <w:r w:rsidR="00E3253D">
        <w:rPr>
          <w:rtl/>
        </w:rPr>
        <w:t xml:space="preserve"> ».</w:t>
      </w:r>
      <w:r w:rsidR="00E3253D" w:rsidRPr="005D642E">
        <w:rPr>
          <w:rtl/>
        </w:rPr>
        <w:t xml:space="preserve"> وفي المطبوع :</w:t>
      </w:r>
      <w:r w:rsidR="00E3253D">
        <w:rPr>
          <w:rtl/>
        </w:rPr>
        <w:t xml:space="preserve"> </w:t>
      </w:r>
      <w:r w:rsidR="007642BC">
        <w:rPr>
          <w:rtl/>
        </w:rPr>
        <w:t>-</w:t>
      </w:r>
      <w:r w:rsidR="00E3253D">
        <w:rPr>
          <w:rtl/>
        </w:rPr>
        <w:t xml:space="preserve"> </w:t>
      </w:r>
      <w:r w:rsidR="00E3253D" w:rsidRPr="005D642E">
        <w:rPr>
          <w:rtl/>
        </w:rPr>
        <w:t>« ثمّ قال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E3253D">
            <w:pPr>
              <w:pStyle w:val="libFootnote0"/>
              <w:rPr>
                <w:rStyle w:val="libFootnote0Char"/>
                <w:rtl/>
              </w:rPr>
            </w:pPr>
            <w:r w:rsidRPr="0042621E">
              <w:rPr>
                <w:rStyle w:val="libFootnote0Char"/>
                <w:rtl/>
              </w:rPr>
              <w:t>(2).</w:t>
            </w:r>
            <w:r w:rsidRPr="005D642E">
              <w:rPr>
                <w:rtl/>
              </w:rPr>
              <w:t xml:space="preserve"> في الوافي : « أم » بدل « ثمّ</w:t>
            </w:r>
            <w:r>
              <w:rPr>
                <w:rtl/>
              </w:rPr>
              <w:t xml:space="preserve"> ».</w:t>
            </w:r>
          </w:p>
        </w:tc>
        <w:tc>
          <w:tcPr>
            <w:tcW w:w="4006" w:type="dxa"/>
          </w:tcPr>
          <w:p w:rsidR="000129A3" w:rsidRDefault="000129A3" w:rsidP="00E3253D">
            <w:pPr>
              <w:pStyle w:val="libFootnote0"/>
              <w:rPr>
                <w:rStyle w:val="libFootnote0Char"/>
                <w:rtl/>
              </w:rPr>
            </w:pPr>
            <w:r w:rsidRPr="0042621E">
              <w:rPr>
                <w:rStyle w:val="libFootnote0Char"/>
                <w:rtl/>
              </w:rPr>
              <w:t>(3).</w:t>
            </w:r>
            <w:r w:rsidRPr="005D642E">
              <w:rPr>
                <w:rtl/>
              </w:rPr>
              <w:t xml:space="preserve"> في « جن » : + « له</w:t>
            </w:r>
            <w:r>
              <w:rPr>
                <w:rtl/>
              </w:rPr>
              <w:t xml:space="preserve"> ».</w:t>
            </w:r>
          </w:p>
        </w:tc>
      </w:tr>
      <w:tr w:rsidR="000129A3" w:rsidTr="000129A3">
        <w:tc>
          <w:tcPr>
            <w:tcW w:w="4006" w:type="dxa"/>
          </w:tcPr>
          <w:p w:rsidR="000129A3" w:rsidRDefault="000129A3" w:rsidP="00E3253D">
            <w:pPr>
              <w:pStyle w:val="libFootnote0"/>
              <w:rPr>
                <w:rStyle w:val="libFootnote0Char"/>
                <w:rtl/>
              </w:rPr>
            </w:pPr>
            <w:r w:rsidRPr="0042621E">
              <w:rPr>
                <w:rStyle w:val="libFootnote0Char"/>
                <w:rtl/>
              </w:rPr>
              <w:t>(4).</w:t>
            </w:r>
            <w:r w:rsidRPr="005D642E">
              <w:rPr>
                <w:rtl/>
              </w:rPr>
              <w:t xml:space="preserve"> في الوافي :</w:t>
            </w:r>
            <w:r>
              <w:rPr>
                <w:rtl/>
              </w:rPr>
              <w:t xml:space="preserve"> - </w:t>
            </w:r>
            <w:r w:rsidRPr="005D642E">
              <w:rPr>
                <w:rtl/>
              </w:rPr>
              <w:t>« تحبّ</w:t>
            </w:r>
            <w:r>
              <w:rPr>
                <w:rtl/>
              </w:rPr>
              <w:t xml:space="preserve"> ».</w:t>
            </w:r>
          </w:p>
        </w:tc>
        <w:tc>
          <w:tcPr>
            <w:tcW w:w="4006" w:type="dxa"/>
          </w:tcPr>
          <w:p w:rsidR="000129A3" w:rsidRDefault="000129A3" w:rsidP="00E3253D">
            <w:pPr>
              <w:pStyle w:val="libFootnote0"/>
              <w:rPr>
                <w:rStyle w:val="libFootnote0Char"/>
                <w:rtl/>
              </w:rPr>
            </w:pPr>
            <w:r w:rsidRPr="0042621E">
              <w:rPr>
                <w:rStyle w:val="libFootnote0Char"/>
                <w:rtl/>
              </w:rPr>
              <w:t>(5).</w:t>
            </w:r>
            <w:r w:rsidRPr="005D642E">
              <w:rPr>
                <w:rtl/>
              </w:rPr>
              <w:t xml:space="preserve"> في « بف » </w:t>
            </w:r>
            <w:r w:rsidRPr="000129A3">
              <w:rPr>
                <w:rtl/>
              </w:rPr>
              <w:t>والوافي</w:t>
            </w:r>
            <w:r w:rsidRPr="005D642E">
              <w:rPr>
                <w:rtl/>
              </w:rPr>
              <w:t xml:space="preserve"> : « أنا</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بث ، بخ ، جن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r w:rsidR="00E3253D" w:rsidRPr="005D642E">
        <w:rPr>
          <w:rtl/>
        </w:rPr>
        <w:t xml:space="preserve"> وفي « غ ، ى ، بس ، جس » :</w:t>
      </w:r>
      <w:r w:rsidR="00E3253D">
        <w:rPr>
          <w:rtl/>
        </w:rPr>
        <w:t xml:space="preserve"> </w:t>
      </w:r>
      <w:r w:rsidR="007642BC">
        <w:rPr>
          <w:rtl/>
        </w:rPr>
        <w:t>-</w:t>
      </w:r>
      <w:r w:rsidR="00E3253D">
        <w:rPr>
          <w:rtl/>
        </w:rPr>
        <w:t xml:space="preserve"> </w:t>
      </w:r>
      <w:r w:rsidR="00E3253D" w:rsidRPr="005D642E">
        <w:rPr>
          <w:rtl/>
        </w:rPr>
        <w:t>« قال : لا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مات أبداً</w:t>
      </w:r>
      <w:r w:rsidR="00E3253D">
        <w:rPr>
          <w:rtl/>
        </w:rPr>
        <w:t xml:space="preserve"> ».</w:t>
      </w:r>
      <w:r w:rsidR="00E3253D" w:rsidRPr="005D642E">
        <w:rPr>
          <w:rtl/>
        </w:rPr>
        <w:t xml:space="preserve"> وقال في </w:t>
      </w:r>
      <w:r w:rsidR="00E3253D" w:rsidRPr="002F4D34">
        <w:rPr>
          <w:rStyle w:val="libFootnoteBoldChar"/>
          <w:rtl/>
        </w:rPr>
        <w:t>الوافي</w:t>
      </w:r>
      <w:r w:rsidR="00E3253D" w:rsidRPr="005D642E">
        <w:rPr>
          <w:rtl/>
        </w:rPr>
        <w:t xml:space="preserve"> : « أبداً مات ، أي مات موتاً دائماً لارجعة بعده ،</w:t>
      </w:r>
      <w:r w:rsidR="000129A3">
        <w:rPr>
          <w:rtl/>
        </w:rPr>
        <w:t xml:space="preserve"> أو المعنى : ما رأى هذا قطّ إل</w:t>
      </w:r>
      <w:r w:rsidR="000129A3">
        <w:rPr>
          <w:rFonts w:hint="cs"/>
          <w:rtl/>
        </w:rPr>
        <w:t>ّ</w:t>
      </w:r>
      <w:r w:rsidR="000129A3">
        <w:rPr>
          <w:rtl/>
        </w:rPr>
        <w:t>ا</w:t>
      </w:r>
      <w:r w:rsidR="000129A3">
        <w:rPr>
          <w:rFonts w:hint="cs"/>
          <w:rtl/>
        </w:rPr>
        <w:t xml:space="preserve"> </w:t>
      </w:r>
      <w:r w:rsidR="00E3253D" w:rsidRPr="005D642E">
        <w:rPr>
          <w:rtl/>
        </w:rPr>
        <w:t>مات</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0129A3">
        <w:rPr>
          <w:rStyle w:val="libFootnoteAlaemChar"/>
          <w:rtl/>
        </w:rPr>
        <w:t>عليه‌السلام</w:t>
      </w:r>
      <w:r w:rsidR="00E3253D" w:rsidRPr="005D642E">
        <w:rPr>
          <w:rtl/>
        </w:rPr>
        <w:t xml:space="preserve"> : أبداً ، أي هذا دائماً لازم للموت</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الوافي</w:t>
      </w:r>
      <w:r w:rsidR="00E3253D" w:rsidRPr="005D642E">
        <w:rPr>
          <w:rtl/>
        </w:rPr>
        <w:t xml:space="preserve"> : « أعظم ذلك ، أي عدّ سؤالي عظيماً » وقال ابنه علم الهدى في هامش </w:t>
      </w:r>
      <w:r w:rsidR="00E3253D" w:rsidRPr="002F4D34">
        <w:rPr>
          <w:rStyle w:val="libFootnoteBoldChar"/>
          <w:rtl/>
        </w:rPr>
        <w:t>الوافي</w:t>
      </w:r>
      <w:r w:rsidR="00E3253D" w:rsidRPr="005D642E">
        <w:rPr>
          <w:rtl/>
        </w:rPr>
        <w:t xml:space="preserve"> : « ولنا أن نجعل قوله : وأعظم ذلك ، عطفاً على قوله : مات ؛ يعني مات وعدّ ما رأى وما بشّر به عظيماً لم يرد معهما رجوعاً إلى الدنيا</w:t>
      </w:r>
      <w:r w:rsidR="00E3253D">
        <w:rPr>
          <w:rtl/>
        </w:rPr>
        <w:t xml:space="preserve"> ».</w:t>
      </w:r>
      <w:r w:rsidR="00E3253D" w:rsidRPr="005D642E">
        <w:rPr>
          <w:rtl/>
        </w:rPr>
        <w:t xml:space="preserve"> وعلى الأوّل فهو كلام الراوي وعلى الثاني كلام الإمام </w:t>
      </w:r>
      <w:r w:rsidR="00E3253D" w:rsidRPr="000129A3">
        <w:rPr>
          <w:rStyle w:val="libFootnoteAlaemChar"/>
          <w:rtl/>
        </w:rPr>
        <w:t>عليه‌السلام</w:t>
      </w:r>
      <w:r w:rsidR="00E3253D" w:rsidRPr="005D642E">
        <w:rPr>
          <w:rtl/>
        </w:rPr>
        <w:t xml:space="preserve"> </w:t>
      </w:r>
      <w:r w:rsidR="000129A3">
        <w:rPr>
          <w:rtl/>
        </w:rPr>
        <w:t>، وذكرهما العل</w:t>
      </w:r>
      <w:r w:rsidR="000129A3">
        <w:rPr>
          <w:rFonts w:hint="cs"/>
          <w:rtl/>
        </w:rPr>
        <w:t>ّ</w:t>
      </w:r>
      <w:r w:rsidR="000129A3">
        <w:rPr>
          <w:rtl/>
        </w:rPr>
        <w:t>ا</w:t>
      </w:r>
      <w:r w:rsidR="00E3253D" w:rsidRPr="005D642E">
        <w:rPr>
          <w:rtl/>
        </w:rPr>
        <w:t>مة المجلسي واستظهر الأوّل.</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E3253D">
            <w:pPr>
              <w:pStyle w:val="libFootnote0"/>
              <w:rPr>
                <w:rStyle w:val="libFootnote0Char"/>
                <w:rtl/>
              </w:rPr>
            </w:pPr>
            <w:r w:rsidRPr="0042621E">
              <w:rPr>
                <w:rStyle w:val="libFootnote0Char"/>
                <w:rtl/>
              </w:rPr>
              <w:t>(9).</w:t>
            </w:r>
            <w:r w:rsidRPr="005D642E">
              <w:rPr>
                <w:rtl/>
              </w:rPr>
              <w:t xml:space="preserve"> في « ى » : « ذلك » بدون الواو.</w:t>
            </w:r>
          </w:p>
        </w:tc>
        <w:tc>
          <w:tcPr>
            <w:tcW w:w="4006" w:type="dxa"/>
          </w:tcPr>
          <w:p w:rsidR="000129A3" w:rsidRDefault="000129A3" w:rsidP="00E3253D">
            <w:pPr>
              <w:pStyle w:val="libFootnote0"/>
              <w:rPr>
                <w:rStyle w:val="libFootnote0Char"/>
                <w:rtl/>
              </w:rPr>
            </w:pPr>
            <w:r w:rsidRPr="0042621E">
              <w:rPr>
                <w:rStyle w:val="libFootnote0Char"/>
                <w:rtl/>
              </w:rPr>
              <w:t>(10).</w:t>
            </w:r>
            <w:r w:rsidRPr="005D642E">
              <w:rPr>
                <w:rtl/>
              </w:rPr>
              <w:t xml:space="preserve"> يونس </w:t>
            </w:r>
            <w:r w:rsidRPr="0042621E">
              <w:rPr>
                <w:rStyle w:val="libFootnote0Char"/>
                <w:rtl/>
              </w:rPr>
              <w:t>(10)</w:t>
            </w:r>
            <w:r w:rsidRPr="005D642E">
              <w:rPr>
                <w:rtl/>
              </w:rPr>
              <w:t xml:space="preserve"> : 63</w:t>
            </w:r>
            <w:r>
              <w:rPr>
                <w:rtl/>
              </w:rPr>
              <w:t xml:space="preserve"> - </w:t>
            </w:r>
            <w:r w:rsidRPr="005D642E">
              <w:rPr>
                <w:rtl/>
              </w:rPr>
              <w:t>64.</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الوافي</w:t>
      </w:r>
      <w:r w:rsidR="00E3253D" w:rsidRPr="005D642E">
        <w:rPr>
          <w:rtl/>
        </w:rPr>
        <w:t xml:space="preserve"> ، ج 24 ، ص 254 ، ح 23983.</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 شديد النصب » ، أي شديد البغض والعداوة ، وأهل النصب : المتديّنون ببغضة عليّ </w:t>
      </w:r>
      <w:r w:rsidR="00E3253D" w:rsidRPr="000129A3">
        <w:rPr>
          <w:rStyle w:val="libFootnoteAlaemChar"/>
          <w:rtl/>
        </w:rPr>
        <w:t>عليه‌السلام</w:t>
      </w:r>
      <w:r w:rsidR="00E3253D" w:rsidRPr="005D642E">
        <w:rPr>
          <w:rtl/>
        </w:rPr>
        <w:t xml:space="preserve"> ؛ لأنّهم نصبوا له ، أي</w:t>
      </w:r>
      <w:r w:rsidR="000129A3">
        <w:rPr>
          <w:rFonts w:hint="cs"/>
          <w:rtl/>
        </w:rPr>
        <w:t xml:space="preserve"> </w:t>
      </w:r>
      <w:r w:rsidR="00E3253D" w:rsidRPr="005D642E">
        <w:rPr>
          <w:rtl/>
        </w:rPr>
        <w:t xml:space="preserve">‌عادوه. راجع : </w:t>
      </w:r>
      <w:r w:rsidR="00E3253D" w:rsidRPr="002F4D34">
        <w:rPr>
          <w:rStyle w:val="libFootnoteBoldChar"/>
          <w:rtl/>
        </w:rPr>
        <w:t>القاموس المحيط</w:t>
      </w:r>
      <w:r w:rsidR="00E3253D" w:rsidRPr="005D642E">
        <w:rPr>
          <w:rtl/>
        </w:rPr>
        <w:t xml:space="preserve"> ، ج 1 ، ص 230 ( نصب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والبحار. وفي المطبوع : « الحروريّة</w:t>
      </w:r>
      <w:r w:rsidR="00E3253D">
        <w:rPr>
          <w:rtl/>
        </w:rPr>
        <w:t xml:space="preserve"> ».</w:t>
      </w:r>
      <w:r w:rsidR="00E3253D" w:rsidRPr="005D642E">
        <w:rPr>
          <w:rtl/>
        </w:rPr>
        <w:t xml:space="preserve"> وقال في </w:t>
      </w:r>
      <w:r w:rsidR="00E3253D" w:rsidRPr="002F4D34">
        <w:rPr>
          <w:rStyle w:val="libFootnoteBoldChar"/>
          <w:rtl/>
        </w:rPr>
        <w:t>الوافي</w:t>
      </w:r>
      <w:r w:rsidR="00E3253D" w:rsidRPr="005D642E">
        <w:rPr>
          <w:rtl/>
        </w:rPr>
        <w:t xml:space="preserve"> : « الحروريّة : طائفة من الخوارج منسوبة إلى حروراء ، وهي قرية بالكوفة رئيسهم نجدة</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عَلَيْهِ فِي حَدِّ الْمَوْتِ ، فَسَمِعْتُهُ يَقُولُ : مَا لِي وَلَكَ يَا عَلِيُّ ، فَأَخْبَرْتُ بِذلِكَ أَبَا عَبْدِ اللهِ </w:t>
      </w:r>
      <w:r w:rsidRPr="00AC51C5">
        <w:rPr>
          <w:rStyle w:val="libAlaemChar"/>
          <w:rtl/>
        </w:rPr>
        <w:t>عليه‌السلام</w:t>
      </w:r>
      <w:r w:rsidRPr="005D642E">
        <w:rPr>
          <w:rtl/>
          <w:lang w:bidi="fa-IR"/>
        </w:rPr>
        <w:t xml:space="preserve"> ، فَقَالَ أَبُو عَبْدِ اللهِ </w:t>
      </w:r>
      <w:r w:rsidRPr="00AC51C5">
        <w:rPr>
          <w:rStyle w:val="libAlaemChar"/>
          <w:rtl/>
        </w:rPr>
        <w:t>عليه‌السلام</w:t>
      </w:r>
      <w:r w:rsidRPr="005D642E">
        <w:rPr>
          <w:rtl/>
          <w:lang w:bidi="fa-IR"/>
        </w:rPr>
        <w:t xml:space="preserve"> : « رَآهُ وَرَبِّ الْكَعْبَةِ ، رَآهُ وَرَبِّ الْكَعْبَةِ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370CA2">
        <w:rPr>
          <w:rtl/>
        </w:rPr>
        <w:t>4318</w:t>
      </w:r>
      <w:r w:rsidRPr="00246318">
        <w:rPr>
          <w:rStyle w:val="libBold2Char"/>
          <w:rtl/>
        </w:rPr>
        <w:t xml:space="preserve"> / 10.</w:t>
      </w:r>
      <w:r w:rsidRPr="005D642E">
        <w:rPr>
          <w:rtl/>
          <w:lang w:bidi="fa-IR"/>
        </w:rPr>
        <w:t xml:space="preserve"> سَهْلُ بْنُ زِيَادٍ </w:t>
      </w:r>
      <w:r w:rsidRPr="007C12DB">
        <w:rPr>
          <w:rStyle w:val="libFootnotenumChar"/>
          <w:rtl/>
        </w:rPr>
        <w:t>(3)</w:t>
      </w:r>
      <w:r w:rsidRPr="005D642E">
        <w:rPr>
          <w:rtl/>
          <w:lang w:bidi="fa-IR"/>
        </w:rPr>
        <w:t xml:space="preserve"> ، عَنْ أَحْمَدَ بْنِ مُحَمَّدِ بْنِ أَبِي نَصْرٍ ، عَنْ حَمَّادِ بْنِ عُثْمَانَ ، عَنْ عَبْدِ الْحَمِيدِ بْنِ عَوَّاضٍ ، قَالَ :</w:t>
      </w:r>
    </w:p>
    <w:p w:rsidR="00E3253D" w:rsidRPr="005D642E" w:rsidRDefault="00E3253D" w:rsidP="00FE5E85">
      <w:pPr>
        <w:pStyle w:val="libNormal"/>
        <w:rPr>
          <w:rtl/>
          <w:lang w:bidi="fa-IR"/>
        </w:rPr>
      </w:pPr>
      <w:r w:rsidRPr="005D642E">
        <w:rPr>
          <w:rtl/>
          <w:lang w:bidi="fa-IR"/>
        </w:rPr>
        <w:t xml:space="preserve">سَمِعْتُ أَبَا عَبْدِ اللهِ </w:t>
      </w:r>
      <w:r w:rsidR="00FE5E85" w:rsidRPr="00AC51C5">
        <w:rPr>
          <w:rStyle w:val="libAlaemChar"/>
          <w:rtl/>
        </w:rPr>
        <w:t>عليه‌السلام</w:t>
      </w:r>
      <w:r w:rsidR="00FE5E85" w:rsidRPr="005D642E">
        <w:rPr>
          <w:rtl/>
          <w:lang w:bidi="fa-IR"/>
        </w:rPr>
        <w:t xml:space="preserve"> </w:t>
      </w:r>
      <w:r w:rsidRPr="005D642E">
        <w:rPr>
          <w:rtl/>
          <w:lang w:bidi="fa-IR"/>
        </w:rPr>
        <w:t xml:space="preserve">يَقُولُ : « إِذَا بَلَغَتْ نَفْسُ أَحَدِكُمْ هذِهِ ، قِيلَ لَهُ : أَمَّا </w:t>
      </w:r>
      <w:r w:rsidRPr="007C12DB">
        <w:rPr>
          <w:rStyle w:val="libFootnotenumChar"/>
          <w:rtl/>
        </w:rPr>
        <w:t>(4)</w:t>
      </w:r>
      <w:r w:rsidRPr="005D642E">
        <w:rPr>
          <w:rtl/>
          <w:lang w:bidi="fa-IR"/>
        </w:rPr>
        <w:t xml:space="preserve"> مَا كُنْتَ تَحْذَرُ </w:t>
      </w:r>
      <w:r w:rsidRPr="007C12DB">
        <w:rPr>
          <w:rStyle w:val="libFootnotenumChar"/>
          <w:rtl/>
        </w:rPr>
        <w:t>(5)</w:t>
      </w:r>
      <w:r w:rsidRPr="005D642E">
        <w:rPr>
          <w:rtl/>
          <w:lang w:bidi="fa-IR"/>
        </w:rPr>
        <w:t xml:space="preserve"> مِنْ هَمِّ الدُّنْيَا وَحُزْنِهَا ، فَقَدْ أَمِنْتَ مِنْهُ ، وَيُقَالُ لَهُ : رَسُولُ اللهِ </w:t>
      </w:r>
      <w:r w:rsidR="0042621E" w:rsidRPr="0042621E">
        <w:rPr>
          <w:rStyle w:val="libAlaemChar"/>
          <w:rtl/>
        </w:rPr>
        <w:t>صلى‌الله‌عليه‌وآله</w:t>
      </w:r>
      <w:r w:rsidRPr="005D642E">
        <w:rPr>
          <w:rtl/>
          <w:lang w:bidi="fa-IR"/>
        </w:rPr>
        <w:t xml:space="preserve"> وَعَلِيٌّ وَفَاطِمَةُ </w:t>
      </w:r>
      <w:r w:rsidRPr="00AC51C5">
        <w:rPr>
          <w:rStyle w:val="libAlaemChar"/>
          <w:rtl/>
        </w:rPr>
        <w:t>عليهما‌السلام</w:t>
      </w:r>
      <w:r w:rsidRPr="005D642E">
        <w:rPr>
          <w:rtl/>
          <w:lang w:bidi="fa-IR"/>
        </w:rPr>
        <w:t xml:space="preserve"> أَمَامَكَ</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370CA2">
        <w:rPr>
          <w:rtl/>
        </w:rPr>
        <w:t>4319</w:t>
      </w:r>
      <w:r w:rsidRPr="00246318">
        <w:rPr>
          <w:rStyle w:val="libBold2Char"/>
          <w:rtl/>
        </w:rPr>
        <w:t xml:space="preserve"> / 11.</w:t>
      </w:r>
      <w:r w:rsidRPr="005D642E">
        <w:rPr>
          <w:rtl/>
          <w:lang w:bidi="fa-IR"/>
        </w:rPr>
        <w:t xml:space="preserve"> عِدَّةٌ مِنْ أَصْحَابِنَا ، عَنْ سَهْلِ بْنِ زِيَادٍ ، عَنْ مُحَمَّدِ بْنِ عَلِيٍّ </w:t>
      </w:r>
      <w:r w:rsidRPr="007C12DB">
        <w:rPr>
          <w:rStyle w:val="libFootnotenumChar"/>
          <w:rtl/>
        </w:rPr>
        <w:t>(7)</w:t>
      </w:r>
      <w:r w:rsidRPr="005D642E">
        <w:rPr>
          <w:rtl/>
          <w:lang w:bidi="fa-IR"/>
        </w:rPr>
        <w:t xml:space="preserve"> ، عَنْ مُحَمَّدِ </w:t>
      </w:r>
      <w:r w:rsidRPr="007C12DB">
        <w:rPr>
          <w:rStyle w:val="libFootnotenumChar"/>
          <w:rtl/>
        </w:rPr>
        <w:t>(8)</w:t>
      </w:r>
      <w:r w:rsidRPr="005D642E">
        <w:rPr>
          <w:rtl/>
          <w:lang w:bidi="fa-IR"/>
        </w:rPr>
        <w:t xml:space="preserve"> بْنِ الْفُضَيْلِ ، عَنْ أَبِي حَمْزَةَ ، قَالَ :</w:t>
      </w:r>
    </w:p>
    <w:p w:rsidR="00E3253D" w:rsidRPr="005D642E" w:rsidRDefault="00E3253D" w:rsidP="00E3253D">
      <w:pPr>
        <w:pStyle w:val="libNormal"/>
        <w:rPr>
          <w:rtl/>
          <w:lang w:bidi="fa-IR"/>
        </w:rPr>
      </w:pPr>
      <w:r w:rsidRPr="005D642E">
        <w:rPr>
          <w:rtl/>
          <w:lang w:bidi="fa-IR"/>
        </w:rPr>
        <w:t xml:space="preserve">سَمِعْتُ أَبَا جَعْفَرٍ </w:t>
      </w:r>
      <w:r w:rsidRPr="00AC51C5">
        <w:rPr>
          <w:rStyle w:val="libAlaemChar"/>
          <w:rtl/>
        </w:rPr>
        <w:t>عليه‌السلام</w:t>
      </w:r>
      <w:r w:rsidRPr="005D642E">
        <w:rPr>
          <w:rtl/>
          <w:lang w:bidi="fa-IR"/>
        </w:rPr>
        <w:t xml:space="preserve"> يَقُولُ : « إِنَّ آيَةَ الْمُؤْمِنِ إِذَا حَضَرَهُ </w:t>
      </w:r>
      <w:r w:rsidRPr="007C12DB">
        <w:rPr>
          <w:rStyle w:val="libFootnotenumChar"/>
          <w:rtl/>
        </w:rPr>
        <w:t>(9)</w:t>
      </w:r>
      <w:r w:rsidRPr="005D642E">
        <w:rPr>
          <w:rtl/>
          <w:lang w:bidi="fa-IR"/>
        </w:rPr>
        <w:t xml:space="preserve"> الْمَوْتُ يَبْيَاضُّ </w:t>
      </w:r>
      <w:r w:rsidRPr="007C12DB">
        <w:rPr>
          <w:rStyle w:val="libFootnotenumChar"/>
          <w:rtl/>
        </w:rPr>
        <w:t>(10)</w:t>
      </w:r>
      <w:r w:rsidRPr="005D642E">
        <w:rPr>
          <w:rtl/>
          <w:lang w:bidi="fa-IR"/>
        </w:rPr>
        <w:t xml:space="preserve"> وَجْهُهُ أَشَدَّ مِنْ بَيَاضِ لَوْنِهِ ، وَيَرْشَحُ </w:t>
      </w:r>
      <w:r w:rsidRPr="007C12DB">
        <w:rPr>
          <w:rStyle w:val="libFootnotenumChar"/>
          <w:rtl/>
        </w:rPr>
        <w:t>(11)</w:t>
      </w:r>
      <w:r w:rsidRPr="005D642E">
        <w:rPr>
          <w:rtl/>
          <w:lang w:bidi="fa-IR"/>
        </w:rPr>
        <w:t xml:space="preserve"> جَبِينُهُ ، وَيَسِيلُ مِنْ‌</w:t>
      </w:r>
      <w:r w:rsidR="000129A3">
        <w:rPr>
          <w:rFonts w:hint="cs"/>
          <w:rtl/>
          <w:lang w:bidi="fa-IR"/>
        </w:rPr>
        <w:t xml:space="preserve"> ..................................</w:t>
      </w:r>
      <w:r w:rsidR="000129A3">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بف » وحاشية « بح » والبحار : + « رآه وربّ الكعبة</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24 ، ص 255 ، ح 23984 ؛ </w:t>
      </w:r>
      <w:r w:rsidR="00E3253D" w:rsidRPr="002F4D34">
        <w:rPr>
          <w:rStyle w:val="libFootnoteBoldChar"/>
          <w:rtl/>
        </w:rPr>
        <w:t>البحار</w:t>
      </w:r>
      <w:r w:rsidR="00E3253D" w:rsidRPr="005D642E">
        <w:rPr>
          <w:rtl/>
        </w:rPr>
        <w:t xml:space="preserve"> ، ج 6 ، ص 199 ، ح 53 ؛ وج 39 ، ص 238 ، ح 26 ؛ وج 47 ، ص 362.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السند معلّق على سابقه. ويروي عن سهل بن زياد ، عدّة من أصحابنا.</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E3253D">
            <w:pPr>
              <w:pStyle w:val="libFootnote0"/>
              <w:rPr>
                <w:rStyle w:val="libFootnote0Char"/>
                <w:rtl/>
              </w:rPr>
            </w:pPr>
            <w:r w:rsidRPr="0042621E">
              <w:rPr>
                <w:rStyle w:val="libFootnote0Char"/>
                <w:rtl/>
              </w:rPr>
              <w:t>(4).</w:t>
            </w:r>
            <w:r w:rsidRPr="005D642E">
              <w:rPr>
                <w:rtl/>
              </w:rPr>
              <w:t xml:space="preserve"> في « جس » : « وأمّا</w:t>
            </w:r>
            <w:r>
              <w:rPr>
                <w:rtl/>
              </w:rPr>
              <w:t xml:space="preserve"> ».</w:t>
            </w:r>
          </w:p>
        </w:tc>
        <w:tc>
          <w:tcPr>
            <w:tcW w:w="4006" w:type="dxa"/>
          </w:tcPr>
          <w:p w:rsidR="000129A3" w:rsidRDefault="000129A3" w:rsidP="00E3253D">
            <w:pPr>
              <w:pStyle w:val="libFootnote0"/>
              <w:rPr>
                <w:rStyle w:val="libFootnote0Char"/>
                <w:rtl/>
              </w:rPr>
            </w:pPr>
            <w:r w:rsidRPr="0042621E">
              <w:rPr>
                <w:rStyle w:val="libFootnote0Char"/>
                <w:rtl/>
              </w:rPr>
              <w:t>(5).</w:t>
            </w:r>
            <w:r w:rsidRPr="005D642E">
              <w:rPr>
                <w:rtl/>
              </w:rPr>
              <w:t xml:space="preserve"> في المحاسن : « تحزن</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المحاسن</w:t>
      </w:r>
      <w:r w:rsidR="00E3253D" w:rsidRPr="005D642E">
        <w:rPr>
          <w:rtl/>
        </w:rPr>
        <w:t xml:space="preserve"> ، ص 175 ، كتاب الصفوة ، ح 155 ، عن حمّاد بن عثمان ، وبسند آخر عن أبي عبدالله </w:t>
      </w:r>
      <w:r w:rsidR="00E3253D" w:rsidRPr="000129A3">
        <w:rPr>
          <w:rStyle w:val="libFootnoteAlaemChar"/>
          <w:rtl/>
        </w:rPr>
        <w:t>عليه‌السلام</w:t>
      </w:r>
      <w:r w:rsidR="00E3253D" w:rsidRPr="005D642E">
        <w:rPr>
          <w:rtl/>
        </w:rPr>
        <w:t xml:space="preserve">. </w:t>
      </w:r>
      <w:r w:rsidR="00E3253D" w:rsidRPr="002F4D34">
        <w:rPr>
          <w:rStyle w:val="libFootnoteBoldChar"/>
          <w:rtl/>
        </w:rPr>
        <w:t>وفيه</w:t>
      </w:r>
      <w:r w:rsidR="00E3253D" w:rsidRPr="005D642E">
        <w:rPr>
          <w:rtl/>
        </w:rPr>
        <w:t xml:space="preserve"> ، ح 156 </w:t>
      </w:r>
      <w:r w:rsidR="00E3253D">
        <w:rPr>
          <w:rtl/>
        </w:rPr>
        <w:t>و 1</w:t>
      </w:r>
      <w:r w:rsidR="00E3253D" w:rsidRPr="005D642E">
        <w:rPr>
          <w:rtl/>
        </w:rPr>
        <w:t xml:space="preserve">57 ؛ وص 174 ، ح 152 ، بسند آخر ومع اختلاف </w:t>
      </w:r>
      <w:r w:rsidR="000129A3">
        <w:rPr>
          <w:rFonts w:hint="cs"/>
          <w:rtl/>
        </w:rPr>
        <w:t>.</w:t>
      </w:r>
      <w:r w:rsidR="00E3253D" w:rsidRPr="002F4D34">
        <w:rPr>
          <w:rStyle w:val="libFootnoteBoldChar"/>
          <w:rtl/>
        </w:rPr>
        <w:t>الوافي</w:t>
      </w:r>
      <w:r w:rsidR="00E3253D" w:rsidRPr="005D642E">
        <w:rPr>
          <w:rtl/>
        </w:rPr>
        <w:t xml:space="preserve"> ، ج 24 ، ص 255 ، ح 23985 ؛ </w:t>
      </w:r>
      <w:r w:rsidR="00E3253D" w:rsidRPr="002F4D34">
        <w:rPr>
          <w:rStyle w:val="libFootnoteBoldChar"/>
          <w:rtl/>
        </w:rPr>
        <w:t>البحار</w:t>
      </w:r>
      <w:r w:rsidR="00E3253D" w:rsidRPr="005D642E">
        <w:rPr>
          <w:rtl/>
        </w:rPr>
        <w:t xml:space="preserve"> ، ج 6 ، ص 200 ، ح 54.</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البحار ، ج 6 :</w:t>
      </w:r>
      <w:r w:rsidR="00E3253D">
        <w:rPr>
          <w:rtl/>
        </w:rPr>
        <w:t xml:space="preserve"> </w:t>
      </w:r>
      <w:r w:rsidR="007642BC">
        <w:rPr>
          <w:rtl/>
        </w:rPr>
        <w:t>-</w:t>
      </w:r>
      <w:r w:rsidR="00E3253D">
        <w:rPr>
          <w:rtl/>
        </w:rPr>
        <w:t xml:space="preserve"> </w:t>
      </w:r>
      <w:r w:rsidR="00E3253D" w:rsidRPr="005D642E">
        <w:rPr>
          <w:rtl/>
        </w:rPr>
        <w:t>« عن محمّد بن علي</w:t>
      </w:r>
      <w:r w:rsidR="00E3253D">
        <w:rPr>
          <w:rtl/>
        </w:rPr>
        <w:t xml:space="preserve"> ».</w:t>
      </w:r>
      <w:r w:rsidR="00E3253D" w:rsidRPr="005D642E">
        <w:rPr>
          <w:rtl/>
        </w:rPr>
        <w:t xml:space="preserve"> ولعلّ موجبه جواز النظر من « محمّد » في « محمّد بن علي » إلى « محمّد » في محمّد بن الفضيل » ، فوقع السقط.</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E3253D">
            <w:pPr>
              <w:pStyle w:val="libFootnote0"/>
              <w:rPr>
                <w:rStyle w:val="libFootnote0Char"/>
                <w:rtl/>
              </w:rPr>
            </w:pPr>
            <w:r w:rsidRPr="0042621E">
              <w:rPr>
                <w:rStyle w:val="libFootnote0Char"/>
                <w:rtl/>
              </w:rPr>
              <w:t>(8).</w:t>
            </w:r>
            <w:r w:rsidRPr="005D642E">
              <w:rPr>
                <w:rtl/>
              </w:rPr>
              <w:t xml:space="preserve"> في « ظ » :</w:t>
            </w:r>
            <w:r>
              <w:rPr>
                <w:rtl/>
              </w:rPr>
              <w:t xml:space="preserve"> - </w:t>
            </w:r>
            <w:r w:rsidRPr="005D642E">
              <w:rPr>
                <w:rtl/>
              </w:rPr>
              <w:t>« محمّد</w:t>
            </w:r>
            <w:r>
              <w:rPr>
                <w:rtl/>
              </w:rPr>
              <w:t xml:space="preserve"> ».</w:t>
            </w:r>
          </w:p>
        </w:tc>
        <w:tc>
          <w:tcPr>
            <w:tcW w:w="4006" w:type="dxa"/>
          </w:tcPr>
          <w:p w:rsidR="000129A3" w:rsidRDefault="000129A3" w:rsidP="00E3253D">
            <w:pPr>
              <w:pStyle w:val="libFootnote0"/>
              <w:rPr>
                <w:rStyle w:val="libFootnote0Char"/>
                <w:rtl/>
              </w:rPr>
            </w:pPr>
            <w:r w:rsidRPr="0042621E">
              <w:rPr>
                <w:rStyle w:val="libFootnote0Char"/>
                <w:rtl/>
              </w:rPr>
              <w:t>(9).</w:t>
            </w:r>
            <w:r w:rsidRPr="005D642E">
              <w:rPr>
                <w:rtl/>
              </w:rPr>
              <w:t xml:space="preserve"> في « بخ » : « حضر</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بح ، جح ، جس ، جن » وحاشية « غ » : « بياض</w:t>
      </w:r>
      <w:r w:rsidR="00E3253D">
        <w:rPr>
          <w:rtl/>
        </w:rPr>
        <w:t xml:space="preserve"> ».</w:t>
      </w:r>
      <w:r w:rsidR="00E3253D" w:rsidRPr="005D642E">
        <w:rPr>
          <w:rtl/>
        </w:rPr>
        <w:t xml:space="preserve"> وفي الوافي : « أن يبياضّ</w:t>
      </w:r>
      <w:r w:rsidR="00E3253D">
        <w:rPr>
          <w:rtl/>
        </w:rPr>
        <w:t xml:space="preserve"> ».</w:t>
      </w:r>
      <w:r w:rsidR="00E3253D" w:rsidRPr="005D642E">
        <w:rPr>
          <w:rtl/>
        </w:rPr>
        <w:t xml:space="preserve"> وفي البحار ، ج 6 : « يبيّض</w:t>
      </w:r>
      <w:r w:rsidR="00E3253D">
        <w:rPr>
          <w:rtl/>
        </w:rPr>
        <w:t xml:space="preserve"> ».</w:t>
      </w:r>
      <w:r w:rsidR="00E3253D" w:rsidRPr="005D642E">
        <w:rPr>
          <w:rtl/>
        </w:rPr>
        <w:t xml:space="preserve"> وفي البحار ، ج 61 : « ببياض</w:t>
      </w:r>
      <w:r w:rsidR="00E3253D">
        <w:rPr>
          <w:rtl/>
        </w:rPr>
        <w:t xml:space="preserve"> ».</w:t>
      </w:r>
      <w:r w:rsidR="00E3253D" w:rsidRPr="005D642E">
        <w:rPr>
          <w:rtl/>
        </w:rPr>
        <w:t xml:space="preserve"> وفي الفقيه : « أن يبيضّ</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الوافي : « وترشح</w:t>
      </w:r>
      <w:r w:rsidR="00E3253D">
        <w:rPr>
          <w:rtl/>
        </w:rPr>
        <w:t xml:space="preserve"> ».</w:t>
      </w:r>
      <w:r w:rsidR="00E3253D" w:rsidRPr="005D642E">
        <w:rPr>
          <w:rtl/>
        </w:rPr>
        <w:t xml:space="preserve"> والرَشْح : العرق ؛ لأنّه يخرج من البدن شيئاً فشيئاً ، كما يرشح الإناء المتخلخل </w:t>
      </w:r>
      <w:r w:rsidR="000129A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عَيْنَيْهِ </w:t>
      </w:r>
      <w:r w:rsidRPr="007C12DB">
        <w:rPr>
          <w:rStyle w:val="libFootnotenumChar"/>
          <w:rtl/>
        </w:rPr>
        <w:t>(1)</w:t>
      </w:r>
      <w:r w:rsidRPr="005D642E">
        <w:rPr>
          <w:rtl/>
          <w:lang w:bidi="fa-IR"/>
        </w:rPr>
        <w:t xml:space="preserve"> كَهَيْئَةِ الدُّمُوعِ ، فَيَكُونُ ذلِكَ خُرُوجَ نَفْسِهِ ؛ وَإِنَّ الْكَافِرَ تَخْرُجُ </w:t>
      </w:r>
      <w:r w:rsidRPr="007C12DB">
        <w:rPr>
          <w:rStyle w:val="libFootnotenumChar"/>
          <w:rtl/>
        </w:rPr>
        <w:t>(2)</w:t>
      </w:r>
      <w:r w:rsidRPr="005D642E">
        <w:rPr>
          <w:rtl/>
          <w:lang w:bidi="fa-IR"/>
        </w:rPr>
        <w:t xml:space="preserve"> نَفْسُهُ سَلًّا </w:t>
      </w:r>
      <w:r w:rsidRPr="007C12DB">
        <w:rPr>
          <w:rStyle w:val="libFootnotenumChar"/>
          <w:rtl/>
        </w:rPr>
        <w:t>(3)</w:t>
      </w:r>
      <w:r w:rsidRPr="005D642E">
        <w:rPr>
          <w:rtl/>
          <w:lang w:bidi="fa-IR"/>
        </w:rPr>
        <w:t xml:space="preserve"> مِنْ شِدْقِهِ </w:t>
      </w:r>
      <w:r w:rsidRPr="007C12DB">
        <w:rPr>
          <w:rStyle w:val="libFootnotenumChar"/>
          <w:rtl/>
        </w:rPr>
        <w:t>(4)</w:t>
      </w:r>
      <w:r w:rsidRPr="005D642E">
        <w:rPr>
          <w:rtl/>
          <w:lang w:bidi="fa-IR"/>
        </w:rPr>
        <w:t xml:space="preserve"> كَزَبَدِ الْبَعِيرِ </w:t>
      </w:r>
      <w:r w:rsidRPr="007C12DB">
        <w:rPr>
          <w:rStyle w:val="libFootnotenumChar"/>
          <w:rtl/>
        </w:rPr>
        <w:t>(5)</w:t>
      </w:r>
      <w:r w:rsidRPr="005D642E">
        <w:rPr>
          <w:rtl/>
          <w:lang w:bidi="fa-IR"/>
        </w:rPr>
        <w:t xml:space="preserve"> ، أَوْ كَمَا تَخْرُجُ </w:t>
      </w:r>
      <w:r w:rsidRPr="007C12DB">
        <w:rPr>
          <w:rStyle w:val="libFootnotenumChar"/>
          <w:rtl/>
        </w:rPr>
        <w:t>(6)</w:t>
      </w:r>
      <w:r w:rsidRPr="005D642E">
        <w:rPr>
          <w:rtl/>
          <w:lang w:bidi="fa-IR"/>
        </w:rPr>
        <w:t xml:space="preserve"> نَفْسُ الْبَعِيرِ</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370CA2">
        <w:rPr>
          <w:rtl/>
        </w:rPr>
        <w:t>4320</w:t>
      </w:r>
      <w:r w:rsidRPr="00246318">
        <w:rPr>
          <w:rStyle w:val="libBold2Char"/>
          <w:rtl/>
        </w:rPr>
        <w:t xml:space="preserve"> / 12.</w:t>
      </w:r>
      <w:r w:rsidRPr="005D642E">
        <w:rPr>
          <w:rtl/>
          <w:lang w:bidi="fa-IR"/>
        </w:rPr>
        <w:t xml:space="preserve"> مُحَمَّدُ بْنُ يَحْيى ، عَنْ أَحْمَدَ بْنِ مُحَمَّدٍ </w:t>
      </w:r>
      <w:r w:rsidRPr="007C12DB">
        <w:rPr>
          <w:rStyle w:val="libFootnotenumChar"/>
          <w:rtl/>
        </w:rPr>
        <w:t>(8)</w:t>
      </w:r>
      <w:r w:rsidRPr="005D642E">
        <w:rPr>
          <w:rtl/>
          <w:lang w:bidi="fa-IR"/>
        </w:rPr>
        <w:t xml:space="preserve"> ، عَنْ مُحَمَّدِ بْنِ خَالِدٍ وَالْحُسَيْنِ بْنِ سَعِيدٍ جَمِيعاً ، عَنِ الْقَاسِمِ بْنِ مُحَمَّدٍ ، عَنْ عَبْدِ الصَّمَدِ بْنِ بَشِيرٍ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 أَصْلَحَكَ اللهُ ، مَنْ أَحَبَّ لِقَاءَ اللهِ أَحَبَّ اللهُ لِقَاءَهُ ، وَمَنْ أَبْغَضَ لِقَاءَ اللهِ أَبْغَضَ اللهُ لِقَاءَهُ </w:t>
      </w:r>
      <w:r w:rsidRPr="007C12DB">
        <w:rPr>
          <w:rStyle w:val="libFootnotenumChar"/>
          <w:rtl/>
        </w:rPr>
        <w:t>(9)</w:t>
      </w:r>
      <w:r>
        <w:rPr>
          <w:rtl/>
          <w:lang w:bidi="fa-IR"/>
        </w:rPr>
        <w:t>؟</w:t>
      </w:r>
      <w:r w:rsidRPr="005D642E">
        <w:rPr>
          <w:rtl/>
          <w:lang w:bidi="fa-IR"/>
        </w:rPr>
        <w:t xml:space="preserve"> قَالَ : « نَعَمْ » قُلْتُ : فَوَ اللهِ ، إِنَّا </w:t>
      </w:r>
      <w:r w:rsidRPr="007C12DB">
        <w:rPr>
          <w:rStyle w:val="libFootnotenumChar"/>
          <w:rtl/>
        </w:rPr>
        <w:t>(10)</w:t>
      </w:r>
      <w:r w:rsidRPr="005D642E">
        <w:rPr>
          <w:rtl/>
          <w:lang w:bidi="fa-IR"/>
        </w:rPr>
        <w:t xml:space="preserve"> لَنَكْرَهُ الْمَوْتَ ، فَقَالَ : « لَيْسَ ذلِكَ حَيْثُ تَذْهَبُ ، إِنَّمَا ذلِكَ </w:t>
      </w:r>
      <w:r w:rsidRPr="007C12DB">
        <w:rPr>
          <w:rStyle w:val="libFootnotenumChar"/>
          <w:rtl/>
        </w:rPr>
        <w:t>(11)</w:t>
      </w:r>
      <w:r w:rsidRPr="005D642E">
        <w:rPr>
          <w:rtl/>
          <w:lang w:bidi="fa-IR"/>
        </w:rPr>
        <w:t xml:space="preserve"> عِنْدَ الْمُعَايَنَةِ ، إِذَا رَأى </w:t>
      </w:r>
      <w:r w:rsidRPr="007C12DB">
        <w:rPr>
          <w:rStyle w:val="libFootnotenumChar"/>
          <w:rtl/>
        </w:rPr>
        <w:t>(12)</w:t>
      </w:r>
      <w:r w:rsidRPr="005D642E">
        <w:rPr>
          <w:rtl/>
          <w:lang w:bidi="fa-IR"/>
        </w:rPr>
        <w:t xml:space="preserve"> مَا يُحِبُّ ، فَلَيْسَ </w:t>
      </w:r>
      <w:r w:rsidRPr="007C12DB">
        <w:rPr>
          <w:rStyle w:val="libFootnotenumChar"/>
          <w:rtl/>
        </w:rPr>
        <w:t>(13)</w:t>
      </w:r>
      <w:r w:rsidRPr="005D642E">
        <w:rPr>
          <w:rtl/>
          <w:lang w:bidi="fa-IR"/>
        </w:rPr>
        <w:t xml:space="preserve"> شَيْ‌ءٌ أَحَبَّ إِلَيْهِ مِنْ أَنْ يَتَقَدَّمَ ، وَاللهُ تَعَالى يُحِبُّ لِقَاءَهُ </w:t>
      </w:r>
      <w:r w:rsidRPr="007C12DB">
        <w:rPr>
          <w:rStyle w:val="libFootnotenumChar"/>
          <w:rtl/>
        </w:rPr>
        <w:t>(14)</w:t>
      </w:r>
      <w:r w:rsidRPr="005D642E">
        <w:rPr>
          <w:rtl/>
          <w:lang w:bidi="fa-IR"/>
        </w:rPr>
        <w:t xml:space="preserve"> ، وَهُوَ يُحِبُّ لِقَاءَ اللهِ حِينَئِذٍ ؛ وَإِذَا رَأى مَا يَكْرَهُ ، فَلَيْسَ شَيْ‌ءٌ أَبْغَضَ إِلَيْهِ مِنْ لِقَاءِ اللهِ ، وَاللهُ يُبْغِضُ لِقَاءَهُ </w:t>
      </w:r>
      <w:r w:rsidRPr="007C12DB">
        <w:rPr>
          <w:rStyle w:val="libFootnotenumChar"/>
          <w:rtl/>
        </w:rPr>
        <w:t>(15)</w:t>
      </w:r>
      <w:r>
        <w:rPr>
          <w:rtl/>
          <w:lang w:bidi="fa-IR"/>
        </w:rPr>
        <w:t xml:space="preserve"> ».</w:t>
      </w:r>
      <w:r w:rsidRPr="005D642E">
        <w:rPr>
          <w:rtl/>
          <w:lang w:bidi="fa-IR"/>
        </w:rPr>
        <w:t xml:space="preserve"> </w:t>
      </w:r>
      <w:r w:rsidRPr="007C12DB">
        <w:rPr>
          <w:rStyle w:val="libFootnotenumChar"/>
          <w:rtl/>
        </w:rPr>
        <w:t>(16)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0129A3" w:rsidP="00E3253D">
      <w:pPr>
        <w:pStyle w:val="libFootnote0"/>
        <w:rPr>
          <w:rtl/>
          <w:lang w:bidi="fa-IR"/>
        </w:rPr>
      </w:pPr>
      <w:r>
        <w:rPr>
          <w:rFonts w:hint="cs"/>
          <w:rtl/>
        </w:rPr>
        <w:t xml:space="preserve">= </w:t>
      </w:r>
      <w:r w:rsidR="00E3253D" w:rsidRPr="005D642E">
        <w:rPr>
          <w:rtl/>
        </w:rPr>
        <w:t xml:space="preserve">الأجزاء. راجع : </w:t>
      </w:r>
      <w:r w:rsidR="00E3253D" w:rsidRPr="002F4D34">
        <w:rPr>
          <w:rStyle w:val="libFootnoteBoldChar"/>
          <w:rtl/>
        </w:rPr>
        <w:t>النهاية</w:t>
      </w:r>
      <w:r w:rsidR="00E3253D" w:rsidRPr="005D642E">
        <w:rPr>
          <w:rtl/>
        </w:rPr>
        <w:t xml:space="preserve"> ، ج 2 ، ص 224 ( رشح )</w:t>
      </w:r>
      <w:r w:rsidR="00E3253D">
        <w:rPr>
          <w:rtl/>
        </w:rPr>
        <w:t>.</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0129A3">
            <w:pPr>
              <w:pStyle w:val="libFootnote0"/>
              <w:rPr>
                <w:rStyle w:val="libFootnote0Char"/>
                <w:rtl/>
                <w:lang w:bidi="fa-IR"/>
              </w:rPr>
            </w:pPr>
            <w:r w:rsidRPr="0042621E">
              <w:rPr>
                <w:rStyle w:val="libFootnote0Char"/>
                <w:rtl/>
              </w:rPr>
              <w:t>(1).</w:t>
            </w:r>
            <w:r>
              <w:rPr>
                <w:rtl/>
              </w:rPr>
              <w:t xml:space="preserve"> في «غ ،ى ،بح ،جح ،جن »:«</w:t>
            </w:r>
            <w:r w:rsidRPr="005D642E">
              <w:rPr>
                <w:rtl/>
              </w:rPr>
              <w:t>من عينه</w:t>
            </w:r>
            <w:r>
              <w:rPr>
                <w:rtl/>
              </w:rPr>
              <w:t xml:space="preserve"> ».</w:t>
            </w:r>
          </w:p>
        </w:tc>
        <w:tc>
          <w:tcPr>
            <w:tcW w:w="4006" w:type="dxa"/>
          </w:tcPr>
          <w:p w:rsidR="000129A3" w:rsidRDefault="000129A3" w:rsidP="000129A3">
            <w:pPr>
              <w:pStyle w:val="libFootnote0"/>
              <w:rPr>
                <w:rStyle w:val="libFootnote0Char"/>
                <w:rtl/>
                <w:lang w:bidi="fa-IR"/>
              </w:rPr>
            </w:pPr>
            <w:r w:rsidRPr="0042621E">
              <w:rPr>
                <w:rStyle w:val="libFootnote0Char"/>
                <w:rtl/>
              </w:rPr>
              <w:t>(2).</w:t>
            </w:r>
            <w:r>
              <w:rPr>
                <w:rtl/>
              </w:rPr>
              <w:t xml:space="preserve"> في «غ ،بح ،بخ ،</w:t>
            </w:r>
            <w:r w:rsidRPr="005D642E">
              <w:rPr>
                <w:rtl/>
              </w:rPr>
              <w:t xml:space="preserve">جس » </w:t>
            </w:r>
            <w:r w:rsidRPr="000D749A">
              <w:rPr>
                <w:rStyle w:val="libFootnoteBoldChar"/>
                <w:rtl/>
              </w:rPr>
              <w:t>والوافي</w:t>
            </w:r>
            <w:r w:rsidRPr="005D642E">
              <w:rPr>
                <w:rtl/>
              </w:rPr>
              <w:t xml:space="preserve"> : « يخرج</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وحاشية « بث » والبحار : « سيلاً</w:t>
      </w:r>
      <w:r w:rsidR="00E3253D">
        <w:rPr>
          <w:rtl/>
        </w:rPr>
        <w:t xml:space="preserve"> ».</w:t>
      </w:r>
      <w:r w:rsidR="00E3253D" w:rsidRPr="005D642E">
        <w:rPr>
          <w:rtl/>
        </w:rPr>
        <w:t xml:space="preserve"> </w:t>
      </w:r>
      <w:r w:rsidR="00E3253D">
        <w:rPr>
          <w:rtl/>
        </w:rPr>
        <w:t>و «</w:t>
      </w:r>
      <w:r w:rsidR="00E3253D" w:rsidRPr="005D642E">
        <w:rPr>
          <w:rtl/>
        </w:rPr>
        <w:t xml:space="preserve"> السَلُّ » : إخراج الشي‌ء من الشي‌ء بجذب ونزع ، كسلّ السيف من الغمد والشعرة من العجين ، يقال : سلّه فانسلّ. راجع : </w:t>
      </w:r>
      <w:r w:rsidR="00E3253D" w:rsidRPr="002F4D34">
        <w:rPr>
          <w:rStyle w:val="libFootnoteBoldChar"/>
          <w:rtl/>
        </w:rPr>
        <w:t>المغرب</w:t>
      </w:r>
      <w:r w:rsidR="00E3253D" w:rsidRPr="005D642E">
        <w:rPr>
          <w:rtl/>
        </w:rPr>
        <w:t xml:space="preserve"> ، ص 232 ( سلل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الشَدْق » : جانب الفم. راجع : </w:t>
      </w:r>
      <w:r w:rsidR="00E3253D" w:rsidRPr="002F4D34">
        <w:rPr>
          <w:rStyle w:val="libFootnoteBoldChar"/>
          <w:rtl/>
        </w:rPr>
        <w:t>الصحاح</w:t>
      </w:r>
      <w:r w:rsidR="00E3253D" w:rsidRPr="005D642E">
        <w:rPr>
          <w:rtl/>
        </w:rPr>
        <w:t xml:space="preserve"> ، ج 4 ، ص 1500 ( شدق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زَبَد البعير » : هو لُغامه الأبيض الذي تتلطّخ به مشافره إذا هاج. واللُغام : ما يخرج من فمه من اللعاب. المشافر جمع المِشْفَر ، وهو الشفه. راجع : </w:t>
      </w:r>
      <w:r w:rsidR="00E3253D" w:rsidRPr="002F4D34">
        <w:rPr>
          <w:rStyle w:val="libFootnoteBoldChar"/>
          <w:rtl/>
        </w:rPr>
        <w:t>لسان العرب</w:t>
      </w:r>
      <w:r w:rsidR="00E3253D" w:rsidRPr="005D642E">
        <w:rPr>
          <w:rtl/>
        </w:rPr>
        <w:t xml:space="preserve"> ، ج 3 ، ص 193 ( زبد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بخ ، جح ، جن » </w:t>
      </w:r>
      <w:r w:rsidR="000D749A" w:rsidRPr="000D749A">
        <w:rPr>
          <w:rStyle w:val="libFootnoteBoldChar"/>
          <w:rtl/>
        </w:rPr>
        <w:t>والوافي</w:t>
      </w:r>
      <w:r w:rsidR="00E3253D" w:rsidRPr="005D642E">
        <w:rPr>
          <w:rtl/>
        </w:rPr>
        <w:t xml:space="preserve"> : « كما يخرج</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135 ، ح 363 ، مرسلاً عن أبي جعفر </w:t>
      </w:r>
      <w:r w:rsidR="00E3253D" w:rsidRPr="000129A3">
        <w:rPr>
          <w:rStyle w:val="libFootnoteAlaemChar"/>
          <w:rtl/>
        </w:rPr>
        <w:t>عليه‌السلام</w:t>
      </w:r>
      <w:r w:rsidR="00E3253D" w:rsidRPr="005D642E">
        <w:rPr>
          <w:rtl/>
        </w:rPr>
        <w:t xml:space="preserve"> ، مع اختلاف يسير </w:t>
      </w:r>
      <w:r w:rsidR="000129A3">
        <w:rPr>
          <w:rFonts w:hint="cs"/>
          <w:rtl/>
        </w:rPr>
        <w:t>.</w:t>
      </w:r>
      <w:r w:rsidR="00E3253D" w:rsidRPr="002F4D34">
        <w:rPr>
          <w:rStyle w:val="libFootnoteBoldChar"/>
          <w:rtl/>
        </w:rPr>
        <w:t>الوافي</w:t>
      </w:r>
      <w:r w:rsidR="00E3253D" w:rsidRPr="005D642E">
        <w:rPr>
          <w:rtl/>
        </w:rPr>
        <w:t xml:space="preserve"> ، ج 24 ، ص 255 ، ح 23986 ؛ </w:t>
      </w:r>
      <w:r w:rsidR="00E3253D" w:rsidRPr="002F4D34">
        <w:rPr>
          <w:rStyle w:val="libFootnoteBoldChar"/>
          <w:rtl/>
        </w:rPr>
        <w:t>البحار</w:t>
      </w:r>
      <w:r w:rsidR="00E3253D" w:rsidRPr="005D642E">
        <w:rPr>
          <w:rtl/>
        </w:rPr>
        <w:t xml:space="preserve"> ، ج 6 ، ص 165 ، ح 34 ؛ وج 61 ، ص 49 ، ح 26.</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E3253D">
            <w:pPr>
              <w:pStyle w:val="libFootnote0"/>
              <w:rPr>
                <w:rStyle w:val="libFootnote0Char"/>
                <w:rtl/>
                <w:lang w:bidi="fa-IR"/>
              </w:rPr>
            </w:pPr>
            <w:r w:rsidRPr="0042621E">
              <w:rPr>
                <w:rStyle w:val="libFootnote0Char"/>
                <w:rtl/>
              </w:rPr>
              <w:t>(8).</w:t>
            </w:r>
            <w:r w:rsidRPr="005D642E">
              <w:rPr>
                <w:rtl/>
              </w:rPr>
              <w:t xml:space="preserve"> في « بح » :</w:t>
            </w:r>
            <w:r>
              <w:rPr>
                <w:rtl/>
              </w:rPr>
              <w:t xml:space="preserve"> - </w:t>
            </w:r>
            <w:r w:rsidRPr="005D642E">
              <w:rPr>
                <w:rtl/>
              </w:rPr>
              <w:t>« بن محمّد</w:t>
            </w:r>
            <w:r>
              <w:rPr>
                <w:rtl/>
              </w:rPr>
              <w:t xml:space="preserve"> ».</w:t>
            </w:r>
          </w:p>
        </w:tc>
        <w:tc>
          <w:tcPr>
            <w:tcW w:w="4006" w:type="dxa"/>
          </w:tcPr>
          <w:p w:rsidR="000129A3" w:rsidRDefault="000129A3" w:rsidP="00E3253D">
            <w:pPr>
              <w:pStyle w:val="libFootnote0"/>
              <w:rPr>
                <w:rStyle w:val="libFootnote0Char"/>
                <w:rtl/>
                <w:lang w:bidi="fa-IR"/>
              </w:rPr>
            </w:pPr>
            <w:r w:rsidRPr="0042621E">
              <w:rPr>
                <w:rStyle w:val="libFootnote0Char"/>
                <w:rtl/>
              </w:rPr>
              <w:t>(9).</w:t>
            </w:r>
            <w:r w:rsidRPr="005D642E">
              <w:rPr>
                <w:rtl/>
              </w:rPr>
              <w:t xml:space="preserve"> في « بث ، جن » : « لقاه</w:t>
            </w:r>
            <w:r>
              <w:rPr>
                <w:rtl/>
              </w:rPr>
              <w:t xml:space="preserve"> ».</w:t>
            </w:r>
          </w:p>
        </w:tc>
      </w:tr>
      <w:tr w:rsidR="000129A3" w:rsidTr="000129A3">
        <w:tc>
          <w:tcPr>
            <w:tcW w:w="4006" w:type="dxa"/>
          </w:tcPr>
          <w:p w:rsidR="000129A3" w:rsidRDefault="000129A3" w:rsidP="00E3253D">
            <w:pPr>
              <w:pStyle w:val="libFootnote0"/>
              <w:rPr>
                <w:rStyle w:val="libFootnote0Char"/>
                <w:rtl/>
                <w:lang w:bidi="fa-IR"/>
              </w:rPr>
            </w:pPr>
            <w:r w:rsidRPr="0042621E">
              <w:rPr>
                <w:rStyle w:val="libFootnote0Char"/>
                <w:rtl/>
              </w:rPr>
              <w:t>(10).</w:t>
            </w:r>
            <w:r w:rsidRPr="005D642E">
              <w:rPr>
                <w:rtl/>
              </w:rPr>
              <w:t xml:space="preserve"> في حاشية « بث » : « إنّنا</w:t>
            </w:r>
            <w:r>
              <w:rPr>
                <w:rtl/>
              </w:rPr>
              <w:t xml:space="preserve"> ».</w:t>
            </w:r>
          </w:p>
        </w:tc>
        <w:tc>
          <w:tcPr>
            <w:tcW w:w="4006" w:type="dxa"/>
          </w:tcPr>
          <w:p w:rsidR="000129A3" w:rsidRDefault="000129A3" w:rsidP="00E3253D">
            <w:pPr>
              <w:pStyle w:val="libFootnote0"/>
              <w:rPr>
                <w:rStyle w:val="libFootnote0Char"/>
                <w:rtl/>
                <w:lang w:bidi="fa-IR"/>
              </w:rPr>
            </w:pPr>
            <w:r w:rsidRPr="0042621E">
              <w:rPr>
                <w:rStyle w:val="libFootnote0Char"/>
                <w:rtl/>
              </w:rPr>
              <w:t>(11).</w:t>
            </w:r>
            <w:r w:rsidRPr="005D642E">
              <w:rPr>
                <w:rtl/>
              </w:rPr>
              <w:t xml:space="preserve"> في « بخ » والزهد : « ذاك</w:t>
            </w:r>
            <w:r>
              <w:rPr>
                <w:rtl/>
              </w:rPr>
              <w:t xml:space="preserve"> ».</w:t>
            </w:r>
          </w:p>
        </w:tc>
      </w:tr>
      <w:tr w:rsidR="000129A3" w:rsidTr="000129A3">
        <w:tc>
          <w:tcPr>
            <w:tcW w:w="4006" w:type="dxa"/>
          </w:tcPr>
          <w:p w:rsidR="000129A3" w:rsidRDefault="000129A3" w:rsidP="00E3253D">
            <w:pPr>
              <w:pStyle w:val="libFootnote0"/>
              <w:rPr>
                <w:rStyle w:val="libFootnote0Char"/>
                <w:rtl/>
                <w:lang w:bidi="fa-IR"/>
              </w:rPr>
            </w:pPr>
            <w:r w:rsidRPr="0042621E">
              <w:rPr>
                <w:rStyle w:val="libFootnote0Char"/>
                <w:rtl/>
              </w:rPr>
              <w:t>(12).</w:t>
            </w:r>
            <w:r w:rsidRPr="005D642E">
              <w:rPr>
                <w:rtl/>
              </w:rPr>
              <w:t xml:space="preserve"> في « بف » : « إذ ا</w:t>
            </w:r>
            <w:r>
              <w:rPr>
                <w:rFonts w:hint="cs"/>
                <w:rtl/>
              </w:rPr>
              <w:t>ُ</w:t>
            </w:r>
            <w:r w:rsidRPr="005D642E">
              <w:rPr>
                <w:rtl/>
              </w:rPr>
              <w:t>ري</w:t>
            </w:r>
            <w:r>
              <w:rPr>
                <w:rtl/>
              </w:rPr>
              <w:t xml:space="preserve"> ».</w:t>
            </w:r>
          </w:p>
        </w:tc>
        <w:tc>
          <w:tcPr>
            <w:tcW w:w="4006" w:type="dxa"/>
          </w:tcPr>
          <w:p w:rsidR="000129A3" w:rsidRDefault="000129A3" w:rsidP="00E3253D">
            <w:pPr>
              <w:pStyle w:val="libFootnote0"/>
              <w:rPr>
                <w:rStyle w:val="libFootnote0Char"/>
                <w:rtl/>
                <w:lang w:bidi="fa-IR"/>
              </w:rPr>
            </w:pPr>
            <w:r w:rsidRPr="0042621E">
              <w:rPr>
                <w:rStyle w:val="libFootnote0Char"/>
                <w:rtl/>
              </w:rPr>
              <w:t>(13).</w:t>
            </w:r>
            <w:r>
              <w:rPr>
                <w:rtl/>
              </w:rPr>
              <w:t xml:space="preserve"> في «</w:t>
            </w:r>
            <w:r w:rsidRPr="005D642E">
              <w:rPr>
                <w:rtl/>
              </w:rPr>
              <w:t>بخ » : « وليس</w:t>
            </w:r>
            <w:r>
              <w:rPr>
                <w:rtl/>
              </w:rPr>
              <w:t>». وفي «بف</w:t>
            </w:r>
            <w:r w:rsidRPr="005D642E">
              <w:rPr>
                <w:rtl/>
              </w:rPr>
              <w:t>» : « ليس</w:t>
            </w:r>
            <w:r>
              <w:rPr>
                <w:rtl/>
              </w:rPr>
              <w:t xml:space="preserve"> ».</w:t>
            </w:r>
          </w:p>
        </w:tc>
      </w:tr>
      <w:tr w:rsidR="000129A3" w:rsidTr="000129A3">
        <w:tc>
          <w:tcPr>
            <w:tcW w:w="4006" w:type="dxa"/>
          </w:tcPr>
          <w:p w:rsidR="000129A3" w:rsidRDefault="000129A3" w:rsidP="00E3253D">
            <w:pPr>
              <w:pStyle w:val="libFootnote0"/>
              <w:rPr>
                <w:rStyle w:val="libFootnote0Char"/>
                <w:rtl/>
                <w:lang w:bidi="fa-IR"/>
              </w:rPr>
            </w:pPr>
            <w:r w:rsidRPr="0042621E">
              <w:rPr>
                <w:rStyle w:val="libFootnote0Char"/>
                <w:rtl/>
              </w:rPr>
              <w:t>(14).</w:t>
            </w:r>
            <w:r w:rsidRPr="005D642E">
              <w:rPr>
                <w:rtl/>
              </w:rPr>
              <w:t xml:space="preserve"> في « بث ، جن » : « لقاه</w:t>
            </w:r>
            <w:r>
              <w:rPr>
                <w:rtl/>
              </w:rPr>
              <w:t xml:space="preserve"> ».</w:t>
            </w:r>
          </w:p>
        </w:tc>
        <w:tc>
          <w:tcPr>
            <w:tcW w:w="4006" w:type="dxa"/>
          </w:tcPr>
          <w:p w:rsidR="000129A3" w:rsidRDefault="000129A3" w:rsidP="00E3253D">
            <w:pPr>
              <w:pStyle w:val="libFootnote0"/>
              <w:rPr>
                <w:rStyle w:val="libFootnote0Char"/>
                <w:rtl/>
                <w:lang w:bidi="fa-IR"/>
              </w:rPr>
            </w:pPr>
            <w:r w:rsidRPr="0042621E">
              <w:rPr>
                <w:rStyle w:val="libFootnote0Char"/>
                <w:rtl/>
              </w:rPr>
              <w:t>(15).</w:t>
            </w:r>
            <w:r w:rsidRPr="005D642E">
              <w:rPr>
                <w:rtl/>
              </w:rPr>
              <w:t xml:space="preserve"> في « جن » : « لقاه</w:t>
            </w:r>
            <w:r>
              <w:rPr>
                <w:rtl/>
              </w:rPr>
              <w:t xml:space="preserve"> ».</w:t>
            </w:r>
          </w:p>
        </w:tc>
      </w:tr>
    </w:tbl>
    <w:p w:rsidR="00E3253D" w:rsidRPr="005D642E" w:rsidRDefault="00E3253D" w:rsidP="00E3253D">
      <w:pPr>
        <w:pStyle w:val="libFootnote0"/>
        <w:rPr>
          <w:rtl/>
          <w:lang w:bidi="fa-IR"/>
        </w:rPr>
      </w:pPr>
      <w:r w:rsidRPr="005D642E">
        <w:rPr>
          <w:rtl/>
        </w:rPr>
        <w:t>(1</w:t>
      </w:r>
      <w:r>
        <w:rPr>
          <w:rtl/>
        </w:rPr>
        <w:t>6)</w:t>
      </w:r>
      <w:r w:rsidRPr="005D642E">
        <w:rPr>
          <w:rtl/>
        </w:rPr>
        <w:t xml:space="preserve"> </w:t>
      </w:r>
      <w:r w:rsidRPr="002F4D34">
        <w:rPr>
          <w:rStyle w:val="libFootnoteBoldChar"/>
          <w:rtl/>
        </w:rPr>
        <w:t>الزهد</w:t>
      </w:r>
      <w:r w:rsidRPr="005D642E">
        <w:rPr>
          <w:rtl/>
        </w:rPr>
        <w:t xml:space="preserve"> ، ص 155 ، ح 224 ، عن القاسم بن محمّد ، مع اختلاف يسير. </w:t>
      </w:r>
      <w:r w:rsidRPr="002F4D34">
        <w:rPr>
          <w:rStyle w:val="libFootnoteBoldChar"/>
          <w:rtl/>
        </w:rPr>
        <w:t>معاني الأخبار</w:t>
      </w:r>
      <w:r w:rsidRPr="005D642E">
        <w:rPr>
          <w:rtl/>
        </w:rPr>
        <w:t xml:space="preserve"> ، ص 236 ، ح 1 ، بسنده عن القاسم بن محمّد. </w:t>
      </w:r>
      <w:r w:rsidRPr="002F4D34">
        <w:rPr>
          <w:rStyle w:val="libFootnoteBoldChar"/>
          <w:rtl/>
        </w:rPr>
        <w:t>مصباح الشريعة</w:t>
      </w:r>
      <w:r w:rsidRPr="005D642E">
        <w:rPr>
          <w:rtl/>
        </w:rPr>
        <w:t xml:space="preserve"> ، ص 171 ، الباب 81 ، عن الصادق </w:t>
      </w:r>
      <w:r w:rsidRPr="000129A3">
        <w:rPr>
          <w:rStyle w:val="libFootnoteAlaemChar"/>
          <w:rtl/>
        </w:rPr>
        <w:t>عليه‌السلام</w:t>
      </w:r>
      <w:r w:rsidRPr="005D642E">
        <w:rPr>
          <w:rtl/>
        </w:rPr>
        <w:t xml:space="preserve"> عن النبيّ </w:t>
      </w:r>
      <w:r w:rsidR="0042621E" w:rsidRPr="000129A3">
        <w:rPr>
          <w:rStyle w:val="libFootnoteAlaemChar"/>
          <w:rtl/>
        </w:rPr>
        <w:t>صلى‌الله‌عليه‌وآله</w:t>
      </w:r>
      <w:r w:rsidRPr="005D642E">
        <w:rPr>
          <w:rtl/>
        </w:rPr>
        <w:t xml:space="preserve"> ، من قوله : « من أحبّ </w:t>
      </w:r>
      <w:r w:rsidR="000129A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3F1D59">
        <w:rPr>
          <w:rtl/>
        </w:rPr>
        <w:lastRenderedPageBreak/>
        <w:t>4321</w:t>
      </w:r>
      <w:r w:rsidRPr="00246318">
        <w:rPr>
          <w:rStyle w:val="libBold2Char"/>
          <w:rtl/>
        </w:rPr>
        <w:t xml:space="preserve"> / 13.</w:t>
      </w:r>
      <w:r w:rsidRPr="005D642E">
        <w:rPr>
          <w:rtl/>
          <w:lang w:bidi="fa-IR"/>
        </w:rPr>
        <w:t xml:space="preserve"> أَبُو عَلِيٍّ الْأَشْعَرِيُّ ، عَنْ مُحَمَّدِ بْنِ عَبْدِ الْجَبَّارِ ، عَنْ صَفْوَانَ بْنِ يَحْيى ، عَنْ أَبِي الْمُسْتَهِلِّ ، عَنْ مُحَمَّدِ بْنِ حَنْظَلَةَ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جُعِلْتُ فِدَاكَ ، حَدِيثٌ سَمِعْتُهُ مِنْ بَعْضِ شِيعَتِكَ وَمَوَالِيكَ يَرْوِيهِ عَنْ أَبِيكَ</w:t>
      </w:r>
      <w:r>
        <w:rPr>
          <w:rtl/>
          <w:lang w:bidi="fa-IR"/>
        </w:rPr>
        <w:t>؟</w:t>
      </w:r>
      <w:r w:rsidRPr="005D642E">
        <w:rPr>
          <w:rtl/>
          <w:lang w:bidi="fa-IR"/>
        </w:rPr>
        <w:t xml:space="preserve"> قَالَ : « وَمَا هُوَ</w:t>
      </w:r>
      <w:r>
        <w:rPr>
          <w:rtl/>
          <w:lang w:bidi="fa-IR"/>
        </w:rPr>
        <w:t>؟</w:t>
      </w:r>
      <w:r w:rsidRPr="005D642E">
        <w:rPr>
          <w:rtl/>
          <w:lang w:bidi="fa-IR"/>
        </w:rPr>
        <w:t xml:space="preserve"> » قُلْتُ : زَعَمُوا أَنَّهُ كَانَ يَقُولُ : « أَغْبَطُ مَا يَكُونُ امْرُؤٌ بِمَا نَحْنُ عَلَيْهِ إِذَا كَانَتِ النَّفْسُ فِي هذِهِ</w:t>
      </w:r>
      <w:r>
        <w:rPr>
          <w:rtl/>
          <w:lang w:bidi="fa-IR"/>
        </w:rPr>
        <w:t xml:space="preserve"> ».</w:t>
      </w:r>
    </w:p>
    <w:p w:rsidR="00E3253D" w:rsidRPr="005D642E" w:rsidRDefault="00E3253D" w:rsidP="00E3253D">
      <w:pPr>
        <w:pStyle w:val="libNormal"/>
        <w:rPr>
          <w:rtl/>
          <w:lang w:bidi="fa-IR"/>
        </w:rPr>
      </w:pPr>
      <w:r w:rsidRPr="005D642E">
        <w:rPr>
          <w:rtl/>
          <w:lang w:bidi="fa-IR"/>
        </w:rPr>
        <w:t xml:space="preserve">فَقَالَ : « نَعَمْ ، إِذَا كَانَ ذلِكَ </w:t>
      </w:r>
      <w:r w:rsidRPr="007C12DB">
        <w:rPr>
          <w:rStyle w:val="libFootnotenumChar"/>
          <w:rtl/>
        </w:rPr>
        <w:t>(1)</w:t>
      </w:r>
      <w:r w:rsidRPr="005D642E">
        <w:rPr>
          <w:rtl/>
          <w:lang w:bidi="fa-IR"/>
        </w:rPr>
        <w:t xml:space="preserve"> أَتَاهُ نَبِيُّ اللهِ ، وَأَتَاهُ عَلِيٌّ ، وَأَتَاهُ جَبْرَئِيلُ ، وَأَتَاهُ مَلَكُ الْمَوْتِ </w:t>
      </w:r>
      <w:r w:rsidRPr="00AC51C5">
        <w:rPr>
          <w:rStyle w:val="libAlaemChar"/>
          <w:rtl/>
        </w:rPr>
        <w:t>عليهم‌السلام</w:t>
      </w:r>
      <w:r w:rsidRPr="005D642E">
        <w:rPr>
          <w:rtl/>
          <w:lang w:bidi="fa-IR"/>
        </w:rPr>
        <w:t xml:space="preserve"> ، فَيَقُولُ ذلِكَ الْمَلَكُ لِعَلِيٍّ </w:t>
      </w:r>
      <w:r w:rsidRPr="00AC51C5">
        <w:rPr>
          <w:rStyle w:val="libAlaemChar"/>
          <w:rtl/>
        </w:rPr>
        <w:t>عليه‌السلام</w:t>
      </w:r>
      <w:r w:rsidRPr="005D642E">
        <w:rPr>
          <w:rtl/>
          <w:lang w:bidi="fa-IR"/>
        </w:rPr>
        <w:t xml:space="preserve"> : يَا عَلِيُّ ، إِنَّ فُلَاناً كَانَ مُوَالِياً لَكَ وَلِأَهْلِ بَيْتِكَ ، فَيَق</w:t>
      </w:r>
      <w:r w:rsidR="000129A3">
        <w:rPr>
          <w:rtl/>
          <w:lang w:bidi="fa-IR"/>
        </w:rPr>
        <w:t>ُولُ : نَعَمْ ، كَانَ يَتَوَل</w:t>
      </w:r>
      <w:r w:rsidR="000129A3">
        <w:rPr>
          <w:rFonts w:hint="cs"/>
          <w:rtl/>
          <w:lang w:bidi="fa-IR"/>
        </w:rPr>
        <w:t>َّ</w:t>
      </w:r>
      <w:r w:rsidR="000129A3">
        <w:rPr>
          <w:rtl/>
          <w:lang w:bidi="fa-IR"/>
        </w:rPr>
        <w:t>ا</w:t>
      </w:r>
      <w:r w:rsidRPr="005D642E">
        <w:rPr>
          <w:rtl/>
          <w:lang w:bidi="fa-IR"/>
        </w:rPr>
        <w:t xml:space="preserve">نَا </w:t>
      </w:r>
      <w:r w:rsidRPr="007C12DB">
        <w:rPr>
          <w:rStyle w:val="libFootnotenumChar"/>
          <w:rtl/>
        </w:rPr>
        <w:t>(2)</w:t>
      </w:r>
      <w:r w:rsidRPr="005D642E">
        <w:rPr>
          <w:rtl/>
          <w:lang w:bidi="fa-IR"/>
        </w:rPr>
        <w:t xml:space="preserve"> ، وَيَتَبَرَّأُ مِنْ عَدُوِّنَا ، فَيَقُولُ ذلِكَ نَبِيُّ اللهِ لِجَبْرَئِيلَ ، فَيَرْفَعُ ذلِكَ جَبْرَئِيلُ إِلَى اللهِ عَزَّ وَجَلَّ</w:t>
      </w:r>
      <w:r>
        <w:rPr>
          <w:rtl/>
          <w:lang w:bidi="fa-IR"/>
        </w:rPr>
        <w:t xml:space="preserve"> ».</w:t>
      </w:r>
      <w:r w:rsidRPr="005D642E">
        <w:rPr>
          <w:rtl/>
          <w:lang w:bidi="fa-IR"/>
        </w:rPr>
        <w:t xml:space="preserve"> </w:t>
      </w:r>
      <w:r w:rsidRPr="007C12DB">
        <w:rPr>
          <w:rStyle w:val="libFootnotenumChar"/>
          <w:rtl/>
        </w:rPr>
        <w:t>(3)</w:t>
      </w:r>
    </w:p>
    <w:p w:rsidR="00E3253D" w:rsidRPr="005D642E" w:rsidRDefault="00E3253D" w:rsidP="00E3253D">
      <w:pPr>
        <w:pStyle w:val="libNormal"/>
        <w:rPr>
          <w:rtl/>
          <w:lang w:bidi="fa-IR"/>
        </w:rPr>
      </w:pPr>
      <w:r w:rsidRPr="003F1D59">
        <w:rPr>
          <w:rtl/>
        </w:rPr>
        <w:t>4322</w:t>
      </w:r>
      <w:r w:rsidRPr="00246318">
        <w:rPr>
          <w:rStyle w:val="libBold2Char"/>
          <w:rtl/>
        </w:rPr>
        <w:t xml:space="preserve"> / 14.</w:t>
      </w:r>
      <w:r w:rsidRPr="005D642E">
        <w:rPr>
          <w:rtl/>
          <w:lang w:bidi="fa-IR"/>
        </w:rPr>
        <w:t xml:space="preserve"> وَعَنْهُ </w:t>
      </w:r>
      <w:r w:rsidRPr="007C12DB">
        <w:rPr>
          <w:rStyle w:val="libFootnotenumChar"/>
          <w:rtl/>
        </w:rPr>
        <w:t>(4)</w:t>
      </w:r>
      <w:r w:rsidRPr="005D642E">
        <w:rPr>
          <w:rtl/>
          <w:lang w:bidi="fa-IR"/>
        </w:rPr>
        <w:t xml:space="preserve"> ، عَنْ صَفْوَانَ ، عَنْ جَارُودِ بْنِ الْمُنْذِرِ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بَلَغَتْ نَفْسُ أَحَدِكُمْ هذِهِ</w:t>
      </w:r>
      <w:r>
        <w:rPr>
          <w:rtl/>
          <w:lang w:bidi="fa-IR"/>
        </w:rPr>
        <w:t xml:space="preserve"> </w:t>
      </w:r>
      <w:r w:rsidR="007642BC">
        <w:rPr>
          <w:rtl/>
          <w:lang w:bidi="fa-IR"/>
        </w:rPr>
        <w:t>-</w:t>
      </w:r>
      <w:r>
        <w:rPr>
          <w:rtl/>
          <w:lang w:bidi="fa-IR"/>
        </w:rPr>
        <w:t xml:space="preserve"> </w:t>
      </w:r>
      <w:r w:rsidRPr="005D642E">
        <w:rPr>
          <w:rtl/>
          <w:lang w:bidi="fa-IR"/>
        </w:rPr>
        <w:t>وَأَوْمَأَ بِيَدِهِ إِلى حَلْقِهِ</w:t>
      </w:r>
      <w:r>
        <w:rPr>
          <w:rtl/>
          <w:lang w:bidi="fa-IR"/>
        </w:rPr>
        <w:t xml:space="preserve"> </w:t>
      </w:r>
      <w:r w:rsidR="007642BC">
        <w:rPr>
          <w:rtl/>
          <w:lang w:bidi="fa-IR"/>
        </w:rPr>
        <w:t>-</w:t>
      </w:r>
      <w:r>
        <w:rPr>
          <w:rtl/>
          <w:lang w:bidi="fa-IR"/>
        </w:rPr>
        <w:t xml:space="preserve"> </w:t>
      </w:r>
      <w:r w:rsidRPr="005D642E">
        <w:rPr>
          <w:rtl/>
          <w:lang w:bidi="fa-IR"/>
        </w:rPr>
        <w:t>قَرَّتْ عَيْنُهُ</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F1D59">
        <w:rPr>
          <w:rtl/>
        </w:rPr>
        <w:t>4323</w:t>
      </w:r>
      <w:r w:rsidRPr="00246318">
        <w:rPr>
          <w:rStyle w:val="libBold2Char"/>
          <w:rtl/>
        </w:rPr>
        <w:t xml:space="preserve"> / 15.</w:t>
      </w:r>
      <w:r w:rsidRPr="005D642E">
        <w:rPr>
          <w:rtl/>
          <w:lang w:bidi="fa-IR"/>
        </w:rPr>
        <w:t xml:space="preserve"> مُحَمَّدُ بْنُ يَحْيى ، عَنْ أَحْمَدَ بْنِ مُحَمَّدِ بْنِ عِيسى ، عَنِ الْحُسَيْنِ بْنِ سَعِيدٍ ، عَنِ النَّضْرِ بْنِ سُوَيْدٍ ، عَنْ يَحْيَى الْحَلَبِيِّ ، عَنْ سُلَيْمَانَ بْنِ دَاوُدَ ، عَنْ أَبِي بَصِيرٍ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قَوْلُهُ عَزَّ وَجَلَّ : </w:t>
      </w:r>
      <w:r w:rsidRPr="00AC51C5">
        <w:rPr>
          <w:rStyle w:val="libAlaemChar"/>
          <w:rtl/>
        </w:rPr>
        <w:t>(</w:t>
      </w:r>
      <w:r w:rsidRPr="00AC51C5">
        <w:rPr>
          <w:rStyle w:val="libAieChar"/>
          <w:rtl/>
        </w:rPr>
        <w:t xml:space="preserve"> فَلَوْ ل</w:t>
      </w:r>
      <w:r w:rsidR="000129A3">
        <w:rPr>
          <w:rStyle w:val="libAieChar"/>
          <w:rFonts w:hint="cs"/>
          <w:rtl/>
        </w:rPr>
        <w:t>َ</w:t>
      </w:r>
      <w:r w:rsidRPr="00AC51C5">
        <w:rPr>
          <w:rStyle w:val="libAieChar"/>
          <w:rtl/>
        </w:rPr>
        <w:t xml:space="preserve">ا إِذا بَلَغَتِ الْحُلْقُومَ </w:t>
      </w:r>
      <w:r w:rsidRPr="00AC51C5">
        <w:rPr>
          <w:rStyle w:val="libAlaemChar"/>
          <w:rtl/>
        </w:rPr>
        <w:t>)</w:t>
      </w:r>
      <w:r w:rsidRPr="005D642E">
        <w:rPr>
          <w:rtl/>
          <w:lang w:bidi="fa-IR"/>
        </w:rPr>
        <w:t xml:space="preserve"> </w:t>
      </w:r>
      <w:r w:rsidRPr="007C12DB">
        <w:rPr>
          <w:rStyle w:val="libFootnotenumChar"/>
          <w:rtl/>
        </w:rPr>
        <w:t>(6)</w:t>
      </w:r>
      <w:r w:rsidRPr="005D642E">
        <w:rPr>
          <w:rtl/>
          <w:lang w:bidi="fa-IR"/>
        </w:rPr>
        <w:t xml:space="preserve"> إِلى قَوْلِهِ</w:t>
      </w:r>
      <w:r>
        <w:rPr>
          <w:rFonts w:hint="cs"/>
          <w:rtl/>
          <w:lang w:bidi="fa-IR"/>
        </w:rPr>
        <w:t xml:space="preserve"> </w:t>
      </w:r>
      <w:r w:rsidRPr="00AC51C5">
        <w:rPr>
          <w:rStyle w:val="libAlaemChar"/>
          <w:rtl/>
        </w:rPr>
        <w:t>(</w:t>
      </w:r>
      <w:r w:rsidRPr="00AC51C5">
        <w:rPr>
          <w:rStyle w:val="libAieChar"/>
          <w:rtl/>
        </w:rPr>
        <w:t xml:space="preserve"> إِنْ كُنْتُمْ</w:t>
      </w:r>
    </w:p>
    <w:p w:rsidR="00E3253D" w:rsidRPr="005D642E" w:rsidRDefault="00E3253D" w:rsidP="00E3253D">
      <w:pPr>
        <w:pStyle w:val="libLine"/>
        <w:rPr>
          <w:rtl/>
          <w:lang w:bidi="fa-IR"/>
        </w:rPr>
      </w:pPr>
      <w:r w:rsidRPr="005D642E">
        <w:rPr>
          <w:rtl/>
          <w:lang w:bidi="fa-IR"/>
        </w:rPr>
        <w:t>__________________</w:t>
      </w:r>
    </w:p>
    <w:p w:rsidR="00E3253D" w:rsidRPr="005D642E" w:rsidRDefault="000129A3" w:rsidP="00E3253D">
      <w:pPr>
        <w:pStyle w:val="libFootnote0"/>
        <w:rPr>
          <w:rtl/>
          <w:lang w:bidi="fa-IR"/>
        </w:rPr>
      </w:pPr>
      <w:r>
        <w:rPr>
          <w:rFonts w:hint="cs"/>
          <w:rtl/>
        </w:rPr>
        <w:t xml:space="preserve">= </w:t>
      </w:r>
      <w:r w:rsidR="00E3253D" w:rsidRPr="005D642E">
        <w:rPr>
          <w:rtl/>
        </w:rPr>
        <w:t xml:space="preserve">لقاء الله » إلى قوله : « أبغض الله لقاءه » مع اختلاف يسير </w:t>
      </w:r>
      <w:r>
        <w:rPr>
          <w:rFonts w:hint="cs"/>
          <w:rtl/>
        </w:rPr>
        <w:t>.</w:t>
      </w:r>
      <w:r w:rsidR="00E3253D" w:rsidRPr="002F4D34">
        <w:rPr>
          <w:rStyle w:val="libFootnoteBoldChar"/>
          <w:rtl/>
        </w:rPr>
        <w:t>الوافي</w:t>
      </w:r>
      <w:r w:rsidR="00E3253D" w:rsidRPr="005D642E">
        <w:rPr>
          <w:rtl/>
        </w:rPr>
        <w:t xml:space="preserve"> ، ج 24 ، ص 256 ، ح 23987 ؛ </w:t>
      </w:r>
      <w:r w:rsidR="00E3253D" w:rsidRPr="002F4D34">
        <w:rPr>
          <w:rStyle w:val="libFootnoteBoldChar"/>
          <w:rtl/>
        </w:rPr>
        <w:t>الوسائل</w:t>
      </w:r>
      <w:r w:rsidR="00E3253D" w:rsidRPr="005D642E">
        <w:rPr>
          <w:rtl/>
        </w:rPr>
        <w:t xml:space="preserve"> ، ج 2 ، ص 428 ، ح 2550.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غ ، ى » : « ذاك</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بث ، بخ ، جح ، جن » : « يتوالانا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24 ، ص 256 ، ح 23988 ؛ </w:t>
      </w:r>
      <w:r w:rsidR="00E3253D" w:rsidRPr="002F4D34">
        <w:rPr>
          <w:rStyle w:val="libFootnoteBoldChar"/>
          <w:rtl/>
        </w:rPr>
        <w:t>البحار</w:t>
      </w:r>
      <w:r w:rsidR="00E3253D" w:rsidRPr="005D642E">
        <w:rPr>
          <w:rtl/>
        </w:rPr>
        <w:t xml:space="preserve"> ، ج 39 ، ص 239 ، ح 27.</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الضمير راجع إلى محمّد بن عبدالجبّار المذكور في السند السابق.</w:t>
      </w:r>
    </w:p>
    <w:tbl>
      <w:tblPr>
        <w:tblStyle w:val="TableGrid"/>
        <w:bidiVisual/>
        <w:tblW w:w="0" w:type="auto"/>
        <w:tblLook w:val="04A0" w:firstRow="1" w:lastRow="0" w:firstColumn="1" w:lastColumn="0" w:noHBand="0" w:noVBand="1"/>
      </w:tblPr>
      <w:tblGrid>
        <w:gridCol w:w="4006"/>
        <w:gridCol w:w="4006"/>
      </w:tblGrid>
      <w:tr w:rsidR="000129A3" w:rsidTr="000129A3">
        <w:tc>
          <w:tcPr>
            <w:tcW w:w="4006" w:type="dxa"/>
          </w:tcPr>
          <w:p w:rsidR="000129A3" w:rsidRDefault="000129A3" w:rsidP="00E3253D">
            <w:pPr>
              <w:pStyle w:val="libFootnote0"/>
              <w:rPr>
                <w:rStyle w:val="libFootnote0Char"/>
                <w:rtl/>
              </w:rPr>
            </w:pPr>
            <w:r w:rsidRPr="0042621E">
              <w:rPr>
                <w:rStyle w:val="libFootnote0Char"/>
                <w:rtl/>
              </w:rPr>
              <w:t>(5).</w:t>
            </w:r>
            <w:r w:rsidRPr="005D642E">
              <w:rPr>
                <w:rtl/>
              </w:rPr>
              <w:t xml:space="preserve"> </w:t>
            </w:r>
            <w:r w:rsidRPr="002F4D34">
              <w:rPr>
                <w:rStyle w:val="libFootnoteBoldChar"/>
                <w:rtl/>
              </w:rPr>
              <w:t>الوافي</w:t>
            </w:r>
            <w:r w:rsidRPr="005D642E">
              <w:rPr>
                <w:rtl/>
              </w:rPr>
              <w:t xml:space="preserve"> ، ج 24 ، ص 257 ، ح 23989.</w:t>
            </w:r>
          </w:p>
        </w:tc>
        <w:tc>
          <w:tcPr>
            <w:tcW w:w="4006" w:type="dxa"/>
          </w:tcPr>
          <w:p w:rsidR="000129A3" w:rsidRDefault="000129A3" w:rsidP="00E3253D">
            <w:pPr>
              <w:pStyle w:val="libFootnote0"/>
              <w:rPr>
                <w:rStyle w:val="libFootnote0Char"/>
                <w:rtl/>
              </w:rPr>
            </w:pPr>
            <w:r w:rsidRPr="0042621E">
              <w:rPr>
                <w:rStyle w:val="libFootnote0Char"/>
                <w:rtl/>
              </w:rPr>
              <w:t>(6).</w:t>
            </w:r>
            <w:r w:rsidRPr="005D642E">
              <w:rPr>
                <w:rtl/>
              </w:rPr>
              <w:t xml:space="preserve"> في « جس » </w:t>
            </w:r>
            <w:r w:rsidRPr="000D749A">
              <w:rPr>
                <w:rStyle w:val="libFootnoteBoldChar"/>
                <w:rtl/>
              </w:rPr>
              <w:t>والوافي</w:t>
            </w:r>
            <w:r w:rsidRPr="005D642E">
              <w:rPr>
                <w:rtl/>
              </w:rPr>
              <w:t xml:space="preserve"> : +</w:t>
            </w:r>
            <w:r w:rsidRPr="000129A3">
              <w:rPr>
                <w:rStyle w:val="libFootnoteAlaemChar"/>
                <w:rtl/>
              </w:rPr>
              <w:t>(</w:t>
            </w:r>
            <w:r w:rsidRPr="00EB702D">
              <w:rPr>
                <w:rStyle w:val="libFootnoteAieChar"/>
                <w:rtl/>
              </w:rPr>
              <w:t xml:space="preserve"> وَأَنْتُمْ </w:t>
            </w:r>
            <w:r w:rsidRPr="000129A3">
              <w:rPr>
                <w:rStyle w:val="libFootnoteAlaemChar"/>
                <w:rtl/>
              </w:rPr>
              <w:t>)</w:t>
            </w:r>
            <w:r w:rsidRPr="005D642E">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AC51C5">
        <w:rPr>
          <w:rStyle w:val="libAieChar"/>
          <w:rtl/>
        </w:rPr>
        <w:lastRenderedPageBreak/>
        <w:t xml:space="preserve">صادِقِينَ </w:t>
      </w:r>
      <w:r w:rsidRPr="00AC51C5">
        <w:rPr>
          <w:rStyle w:val="libAlaemChar"/>
          <w:rtl/>
        </w:rPr>
        <w:t>)</w:t>
      </w:r>
      <w:r w:rsidRPr="005D642E">
        <w:rPr>
          <w:rtl/>
          <w:lang w:bidi="fa-IR"/>
        </w:rPr>
        <w:t xml:space="preserve"> </w:t>
      </w:r>
      <w:r w:rsidRPr="007C12DB">
        <w:rPr>
          <w:rStyle w:val="libFootnotenumChar"/>
          <w:rtl/>
        </w:rPr>
        <w:t>(1)</w:t>
      </w:r>
      <w:r>
        <w:rPr>
          <w:rtl/>
          <w:lang w:bidi="fa-IR"/>
        </w:rPr>
        <w:t>؟</w:t>
      </w:r>
    </w:p>
    <w:p w:rsidR="00E3253D" w:rsidRPr="005D642E" w:rsidRDefault="00E3253D" w:rsidP="00E3253D">
      <w:pPr>
        <w:pStyle w:val="libNormal"/>
        <w:rPr>
          <w:rtl/>
          <w:lang w:bidi="fa-IR"/>
        </w:rPr>
      </w:pPr>
      <w:r w:rsidRPr="005D642E">
        <w:rPr>
          <w:rtl/>
          <w:lang w:bidi="fa-IR"/>
        </w:rPr>
        <w:t xml:space="preserve">فَقَالَ : « إِنَّهَا إِذَا بَلَغَتِ الْحُلْقُومَ ، ثُمَّ </w:t>
      </w:r>
      <w:r w:rsidRPr="007C12DB">
        <w:rPr>
          <w:rStyle w:val="libFootnotenumChar"/>
          <w:rtl/>
        </w:rPr>
        <w:t>(2)</w:t>
      </w:r>
      <w:r w:rsidRPr="005D642E">
        <w:rPr>
          <w:rtl/>
          <w:lang w:bidi="fa-IR"/>
        </w:rPr>
        <w:t xml:space="preserve"> أُرِيَ مَنْزِلَهُ مِنَ </w:t>
      </w:r>
      <w:r w:rsidRPr="007C12DB">
        <w:rPr>
          <w:rStyle w:val="libFootnotenumChar"/>
          <w:rtl/>
        </w:rPr>
        <w:t>(3)</w:t>
      </w:r>
      <w:r w:rsidRPr="005D642E">
        <w:rPr>
          <w:rtl/>
          <w:lang w:bidi="fa-IR"/>
        </w:rPr>
        <w:t xml:space="preserve"> الْجَنَّةِ ، فَيَقُولُ : رُدُّونِي إِلَى الدُّنْيَا حَتّى أُخْبِرَ أَهْلِي بِمَا أَرى ، فَيُقَالُ لَهُ : لَيْسَ إِلى ذلِكَ سَبِيلٌ</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3F1D59">
        <w:rPr>
          <w:rtl/>
        </w:rPr>
        <w:t>4324</w:t>
      </w:r>
      <w:r w:rsidRPr="00246318">
        <w:rPr>
          <w:rStyle w:val="libBold2Char"/>
          <w:rtl/>
        </w:rPr>
        <w:t xml:space="preserve"> / 16.</w:t>
      </w:r>
      <w:r w:rsidRPr="005D642E">
        <w:rPr>
          <w:rtl/>
          <w:lang w:bidi="fa-IR"/>
        </w:rPr>
        <w:t xml:space="preserve"> سَهْلُ بْنُ زِيَادٍ </w:t>
      </w:r>
      <w:r w:rsidRPr="007C12DB">
        <w:rPr>
          <w:rStyle w:val="libFootnotenumChar"/>
          <w:rtl/>
        </w:rPr>
        <w:t>(5)</w:t>
      </w:r>
      <w:r w:rsidRPr="005D642E">
        <w:rPr>
          <w:rtl/>
          <w:lang w:bidi="fa-IR"/>
        </w:rPr>
        <w:t xml:space="preserve"> ، عَنْ غَيْرِ وَاحِدٍ مِنْ أَصْحَابِنَا ، قَالَ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(6)</w:t>
      </w:r>
      <w:r w:rsidRPr="005D642E">
        <w:rPr>
          <w:rtl/>
          <w:lang w:bidi="fa-IR"/>
        </w:rPr>
        <w:t xml:space="preserve"> : « إِذَا رَأَيْتَ الْمَيِّتَ قَدْ شَخَصَ بِبَصَرِهِ </w:t>
      </w:r>
      <w:r w:rsidRPr="007C12DB">
        <w:rPr>
          <w:rStyle w:val="libFootnotenumChar"/>
          <w:rtl/>
        </w:rPr>
        <w:t>(7)</w:t>
      </w:r>
      <w:r w:rsidRPr="005D642E">
        <w:rPr>
          <w:rtl/>
          <w:lang w:bidi="fa-IR"/>
        </w:rPr>
        <w:t xml:space="preserve"> ، وَسَالَتْ عَيْنُهُ الْيُسْرى ، وَرَشَحَ جَبِينُهُ ، وَتَقَلَّصَتْ </w:t>
      </w:r>
      <w:r w:rsidRPr="007C12DB">
        <w:rPr>
          <w:rStyle w:val="libFootnotenumChar"/>
          <w:rtl/>
        </w:rPr>
        <w:t>(8)</w:t>
      </w:r>
      <w:r w:rsidRPr="005D642E">
        <w:rPr>
          <w:rtl/>
          <w:lang w:bidi="fa-IR"/>
        </w:rPr>
        <w:t xml:space="preserve"> شَفَتَاهُ ، وَانْتَشَرَتْ مَنْخِرَاهُ </w:t>
      </w:r>
      <w:r w:rsidRPr="007C12DB">
        <w:rPr>
          <w:rStyle w:val="libFootnotenumChar"/>
          <w:rtl/>
        </w:rPr>
        <w:t>(9)</w:t>
      </w:r>
      <w:r w:rsidRPr="005D642E">
        <w:rPr>
          <w:rtl/>
          <w:lang w:bidi="fa-IR"/>
        </w:rPr>
        <w:t xml:space="preserve"> ، فَأَيَّ </w:t>
      </w:r>
      <w:r w:rsidRPr="007C12DB">
        <w:rPr>
          <w:rStyle w:val="libFootnotenumChar"/>
          <w:rtl/>
        </w:rPr>
        <w:t>(10)</w:t>
      </w:r>
      <w:r w:rsidRPr="005D642E">
        <w:rPr>
          <w:rtl/>
          <w:lang w:bidi="fa-IR"/>
        </w:rPr>
        <w:t xml:space="preserve"> شَيْ‌ءٍ رَأَيْتَ مِنْ ذلِكَ </w:t>
      </w:r>
      <w:r w:rsidRPr="007C12DB">
        <w:rPr>
          <w:rStyle w:val="libFootnotenumChar"/>
          <w:rtl/>
        </w:rPr>
        <w:t>(11)</w:t>
      </w:r>
      <w:r w:rsidRPr="005D642E">
        <w:rPr>
          <w:rtl/>
          <w:lang w:bidi="fa-IR"/>
        </w:rPr>
        <w:t xml:space="preserve"> فَحَسْبُكَ بِهَا</w:t>
      </w:r>
      <w:r w:rsidRPr="007C12DB">
        <w:rPr>
          <w:rStyle w:val="libFootnotenumChar"/>
          <w:rtl/>
        </w:rPr>
        <w:t>(12)</w:t>
      </w:r>
      <w:r>
        <w:rPr>
          <w:rtl/>
          <w:lang w:bidi="fa-IR"/>
        </w:rPr>
        <w:t>».</w:t>
      </w:r>
    </w:p>
    <w:p w:rsidR="00E3253D" w:rsidRPr="005D642E" w:rsidRDefault="007D0586" w:rsidP="00E3253D">
      <w:pPr>
        <w:pStyle w:val="libNormal"/>
        <w:rPr>
          <w:rtl/>
          <w:lang w:bidi="fa-IR"/>
        </w:rPr>
      </w:pPr>
      <w:r>
        <w:rPr>
          <w:rFonts w:hint="cs"/>
          <w:rtl/>
          <w:lang w:bidi="fa-IR"/>
        </w:rPr>
        <w:t xml:space="preserve">* </w:t>
      </w:r>
      <w:r w:rsidR="00E3253D" w:rsidRPr="005D642E">
        <w:rPr>
          <w:rtl/>
          <w:lang w:bidi="fa-IR"/>
        </w:rPr>
        <w:t xml:space="preserve">وَفِي رِوَايَةٍ أُخْرى : « وَإِذَا </w:t>
      </w:r>
      <w:r w:rsidR="00E3253D" w:rsidRPr="007C12DB">
        <w:rPr>
          <w:rStyle w:val="libFootnotenumChar"/>
          <w:rtl/>
        </w:rPr>
        <w:t>(13)</w:t>
      </w:r>
      <w:r w:rsidR="00E3253D" w:rsidRPr="005D642E">
        <w:rPr>
          <w:rtl/>
          <w:lang w:bidi="fa-IR"/>
        </w:rPr>
        <w:t xml:space="preserve"> ضَحِكَ أَيْضاً </w:t>
      </w:r>
      <w:r w:rsidR="00E3253D" w:rsidRPr="007C12DB">
        <w:rPr>
          <w:rStyle w:val="libFootnotenumChar"/>
          <w:rtl/>
        </w:rPr>
        <w:t>(14)</w:t>
      </w:r>
      <w:r w:rsidR="00E3253D" w:rsidRPr="005D642E">
        <w:rPr>
          <w:rtl/>
          <w:lang w:bidi="fa-IR"/>
        </w:rPr>
        <w:t xml:space="preserve"> ، فَهُوَ مِنَ الدَّلَالَةِ </w:t>
      </w:r>
      <w:r w:rsidR="00E3253D" w:rsidRPr="007C12DB">
        <w:rPr>
          <w:rStyle w:val="libFootnotenumChar"/>
          <w:rtl/>
        </w:rPr>
        <w:t>(15)</w:t>
      </w:r>
      <w:r w:rsidR="00E3253D">
        <w:rPr>
          <w:rtl/>
          <w:lang w:bidi="fa-IR"/>
        </w:rPr>
        <w:t xml:space="preserve"> ».</w:t>
      </w:r>
      <w:r w:rsidR="00E3253D" w:rsidRPr="005D642E">
        <w:rPr>
          <w:rtl/>
          <w:lang w:bidi="fa-IR"/>
        </w:rPr>
        <w:t xml:space="preserve"> قَالَ : « وَإِذَا </w:t>
      </w:r>
      <w:r w:rsidR="00E3253D" w:rsidRPr="007C12DB">
        <w:rPr>
          <w:rStyle w:val="libFootnotenumChar"/>
          <w:rtl/>
        </w:rPr>
        <w:t>(16)</w:t>
      </w:r>
      <w:r w:rsidR="00E3253D"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D0586" w:rsidTr="007D0586">
        <w:tc>
          <w:tcPr>
            <w:tcW w:w="4006" w:type="dxa"/>
          </w:tcPr>
          <w:p w:rsidR="007D0586" w:rsidRDefault="007D0586" w:rsidP="00E3253D">
            <w:pPr>
              <w:pStyle w:val="libFootnote0"/>
              <w:rPr>
                <w:rStyle w:val="libFootnote0Char"/>
                <w:rtl/>
              </w:rPr>
            </w:pPr>
            <w:r w:rsidRPr="0042621E">
              <w:rPr>
                <w:rStyle w:val="libFootnote0Char"/>
                <w:rtl/>
              </w:rPr>
              <w:t>(1).</w:t>
            </w:r>
            <w:r>
              <w:rPr>
                <w:rtl/>
              </w:rPr>
              <w:t xml:space="preserve"> </w:t>
            </w:r>
            <w:r w:rsidRPr="005D642E">
              <w:rPr>
                <w:rtl/>
              </w:rPr>
              <w:t>الواقعة (56) : 83</w:t>
            </w:r>
            <w:r>
              <w:rPr>
                <w:rtl/>
              </w:rPr>
              <w:t xml:space="preserve"> - </w:t>
            </w:r>
            <w:r w:rsidRPr="005D642E">
              <w:rPr>
                <w:rtl/>
              </w:rPr>
              <w:t>87.</w:t>
            </w:r>
          </w:p>
        </w:tc>
        <w:tc>
          <w:tcPr>
            <w:tcW w:w="4006" w:type="dxa"/>
          </w:tcPr>
          <w:p w:rsidR="007D0586" w:rsidRDefault="007D0586" w:rsidP="00E3253D">
            <w:pPr>
              <w:pStyle w:val="libFootnote0"/>
              <w:rPr>
                <w:rStyle w:val="libFootnote0Char"/>
                <w:rtl/>
              </w:rPr>
            </w:pPr>
            <w:r w:rsidRPr="0042621E">
              <w:rPr>
                <w:rStyle w:val="libFootnote0Char"/>
                <w:rtl/>
              </w:rPr>
              <w:t>(2).</w:t>
            </w:r>
            <w:r>
              <w:rPr>
                <w:rtl/>
              </w:rPr>
              <w:t xml:space="preserve"> في«بخ،بف،جس</w:t>
            </w:r>
            <w:r w:rsidRPr="005D642E">
              <w:rPr>
                <w:rtl/>
              </w:rPr>
              <w:t>»</w:t>
            </w:r>
            <w:r w:rsidRPr="000D749A">
              <w:rPr>
                <w:rStyle w:val="libFootnoteBoldChar"/>
                <w:rtl/>
              </w:rPr>
              <w:t>والوافي</w:t>
            </w:r>
            <w:r w:rsidRPr="005D642E">
              <w:rPr>
                <w:rtl/>
              </w:rPr>
              <w:t xml:space="preserve"> </w:t>
            </w:r>
            <w:r w:rsidRPr="009E68BB">
              <w:rPr>
                <w:rStyle w:val="libFootnoteBoldChar"/>
                <w:rtl/>
              </w:rPr>
              <w:t>وتحف العقول</w:t>
            </w:r>
            <w:r w:rsidRPr="005D642E">
              <w:rPr>
                <w:rtl/>
              </w:rPr>
              <w:t>:</w:t>
            </w:r>
            <w:r>
              <w:rPr>
                <w:rtl/>
              </w:rPr>
              <w:t>-«</w:t>
            </w:r>
            <w:r w:rsidRPr="005D642E">
              <w:rPr>
                <w:rtl/>
              </w:rPr>
              <w:t>ثمّ</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البحار والزهد : « في</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الزهد</w:t>
      </w:r>
      <w:r w:rsidR="00E3253D" w:rsidRPr="005D642E">
        <w:rPr>
          <w:rtl/>
        </w:rPr>
        <w:t xml:space="preserve"> ، ص 156 ، ح 227 ، عن النضر بن سويد. </w:t>
      </w:r>
      <w:r w:rsidR="00E3253D" w:rsidRPr="002F4D34">
        <w:rPr>
          <w:rStyle w:val="libFootnoteBoldChar"/>
          <w:rtl/>
        </w:rPr>
        <w:t>الفقيه</w:t>
      </w:r>
      <w:r w:rsidR="00E3253D" w:rsidRPr="005D642E">
        <w:rPr>
          <w:rtl/>
        </w:rPr>
        <w:t xml:space="preserve"> ، ج 1 ، ص 136 ، ح 367 ، مرسلاً ، وفيهما مع اختلاف يسير </w:t>
      </w:r>
      <w:r w:rsidR="007D0586">
        <w:rPr>
          <w:rFonts w:hint="cs"/>
          <w:rtl/>
        </w:rPr>
        <w:t>.</w:t>
      </w:r>
      <w:r w:rsidR="00E3253D" w:rsidRPr="002F4D34">
        <w:rPr>
          <w:rStyle w:val="libFootnoteBoldChar"/>
          <w:rtl/>
        </w:rPr>
        <w:t>الوافي</w:t>
      </w:r>
      <w:r w:rsidR="00E3253D" w:rsidRPr="005D642E">
        <w:rPr>
          <w:rtl/>
        </w:rPr>
        <w:t xml:space="preserve"> ، ج 24 ، ص 257 ، ح 23990 ؛ </w:t>
      </w:r>
      <w:r w:rsidR="00E3253D" w:rsidRPr="002F4D34">
        <w:rPr>
          <w:rStyle w:val="libFootnoteBoldChar"/>
          <w:rtl/>
        </w:rPr>
        <w:t>البحار</w:t>
      </w:r>
      <w:r w:rsidR="00E3253D" w:rsidRPr="005D642E">
        <w:rPr>
          <w:rtl/>
        </w:rPr>
        <w:t xml:space="preserve"> ، ج 6 ، ص 169 ، ح 43.</w:t>
      </w:r>
    </w:p>
    <w:p w:rsidR="00E3253D" w:rsidRPr="005D642E" w:rsidRDefault="0042621E" w:rsidP="007D0586">
      <w:pPr>
        <w:pStyle w:val="libFootnote0"/>
        <w:rPr>
          <w:rtl/>
          <w:lang w:bidi="fa-IR"/>
        </w:rPr>
      </w:pPr>
      <w:r w:rsidRPr="0042621E">
        <w:rPr>
          <w:rStyle w:val="libFootnote0Char"/>
          <w:rtl/>
        </w:rPr>
        <w:t>(5).</w:t>
      </w:r>
      <w:r w:rsidR="00E3253D" w:rsidRPr="005D642E">
        <w:rPr>
          <w:rtl/>
        </w:rPr>
        <w:t xml:space="preserve"> سهل بن زياد ليس من مشايخ المصنّف. والظاهر وقوع التعليق في السند وأنّ السند المعلّق عليه هو سند الحديث 11.</w:t>
      </w:r>
      <w:r w:rsidR="007D0586">
        <w:rPr>
          <w:rFonts w:hint="cs"/>
          <w:rtl/>
        </w:rPr>
        <w:t xml:space="preserve">                                                       </w:t>
      </w:r>
      <w:r w:rsidRPr="0042621E">
        <w:rPr>
          <w:rStyle w:val="libFootnote0Char"/>
          <w:rtl/>
        </w:rPr>
        <w:t>(6).</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جن » : « بصره</w:t>
      </w:r>
      <w:r w:rsidR="00E3253D">
        <w:rPr>
          <w:rtl/>
        </w:rPr>
        <w:t xml:space="preserve"> ».</w:t>
      </w:r>
      <w:r w:rsidR="00E3253D" w:rsidRPr="005D642E">
        <w:rPr>
          <w:rtl/>
        </w:rPr>
        <w:t xml:space="preserve"> وشخوص البصر : ارتفاع الأجفان إلى فوق وتحديد النظر وانزعاجه. راجع : </w:t>
      </w:r>
      <w:r w:rsidR="00E3253D" w:rsidRPr="002F4D34">
        <w:rPr>
          <w:rStyle w:val="libFootnoteBoldChar"/>
          <w:rtl/>
        </w:rPr>
        <w:t>النهاية</w:t>
      </w:r>
      <w:r w:rsidR="00E3253D" w:rsidRPr="005D642E">
        <w:rPr>
          <w:rtl/>
        </w:rPr>
        <w:t xml:space="preserve"> ، ج 2 ، ص 450 ( شخص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التقلّص : الانزواء والتشمّر والانضمام والانقباض. راجع : </w:t>
      </w:r>
      <w:r w:rsidR="00E3253D" w:rsidRPr="002F4D34">
        <w:rPr>
          <w:rStyle w:val="libFootnoteBoldChar"/>
          <w:rtl/>
        </w:rPr>
        <w:t>لسان العرب</w:t>
      </w:r>
      <w:r w:rsidR="00E3253D" w:rsidRPr="005D642E">
        <w:rPr>
          <w:rtl/>
        </w:rPr>
        <w:t xml:space="preserve"> ، ج 7 ، ص 79 ؛ </w:t>
      </w:r>
      <w:r w:rsidR="00E3253D" w:rsidRPr="002F4D34">
        <w:rPr>
          <w:rStyle w:val="libFootnoteBoldChar"/>
          <w:rtl/>
        </w:rPr>
        <w:t xml:space="preserve">القاموس المحيط </w:t>
      </w:r>
      <w:r w:rsidR="00E3253D" w:rsidRPr="005D642E">
        <w:rPr>
          <w:rtl/>
        </w:rPr>
        <w:t>، ج 1 ، ص 853 ( قلص )</w:t>
      </w:r>
      <w:r w:rsidR="00E3253D">
        <w:rPr>
          <w:rtl/>
        </w:rPr>
        <w:t>.</w:t>
      </w:r>
    </w:p>
    <w:p w:rsidR="00E3253D" w:rsidRPr="005D642E" w:rsidRDefault="0042621E" w:rsidP="00401BE0">
      <w:pPr>
        <w:pStyle w:val="libFootnote0"/>
        <w:rPr>
          <w:rtl/>
          <w:lang w:bidi="fa-IR"/>
        </w:rPr>
      </w:pPr>
      <w:r w:rsidRPr="0042621E">
        <w:rPr>
          <w:rStyle w:val="libFootnote0Char"/>
          <w:rtl/>
        </w:rPr>
        <w:t>(9).</w:t>
      </w:r>
      <w:r w:rsidR="00E3253D" w:rsidRPr="005D642E">
        <w:rPr>
          <w:rtl/>
        </w:rPr>
        <w:t xml:space="preserve"> المِنْخران : ثقبا الأنف ، وانتشارهما : ارتفاعهما وانتفاخهما ؛ من الانتشار وهو الانتفاخ في عصب الدابّة يكون من التعب. وقيل : هو أن يصيبه عنت ، فيزول العصب عن موضعه. راجع : </w:t>
      </w:r>
      <w:r w:rsidR="00E3253D" w:rsidRPr="002F4D34">
        <w:rPr>
          <w:rStyle w:val="libFootnoteBoldChar"/>
          <w:rtl/>
        </w:rPr>
        <w:t>لسان العرب</w:t>
      </w:r>
      <w:r w:rsidR="00E3253D" w:rsidRPr="005D642E">
        <w:rPr>
          <w:rtl/>
        </w:rPr>
        <w:t xml:space="preserve"> ، ج 5 ، ص 198 </w:t>
      </w:r>
      <w:r w:rsidR="00E3253D">
        <w:rPr>
          <w:rtl/>
        </w:rPr>
        <w:t>و 2</w:t>
      </w:r>
      <w:r w:rsidR="00E3253D" w:rsidRPr="005D642E">
        <w:rPr>
          <w:rtl/>
        </w:rPr>
        <w:t xml:space="preserve">09 ( نخر ) </w:t>
      </w:r>
      <w:r w:rsidR="00E3253D">
        <w:rPr>
          <w:rtl/>
        </w:rPr>
        <w:t>و (</w:t>
      </w:r>
      <w:r w:rsidR="00E3253D" w:rsidRPr="005D642E">
        <w:rPr>
          <w:rtl/>
        </w:rPr>
        <w:t xml:space="preserve"> نشر )</w:t>
      </w:r>
      <w:r w:rsidR="00E3253D">
        <w:rPr>
          <w:rtl/>
        </w:rPr>
        <w:t>.</w:t>
      </w:r>
      <w:r w:rsidR="00401BE0">
        <w:rPr>
          <w:rFonts w:hint="cs"/>
          <w:rtl/>
        </w:rPr>
        <w:t xml:space="preserve">                                        </w:t>
      </w:r>
      <w:r w:rsidRPr="0042621E">
        <w:rPr>
          <w:rStyle w:val="libFootnote0Char"/>
          <w:rtl/>
        </w:rPr>
        <w:t>(10).</w:t>
      </w:r>
      <w:r w:rsidR="00E3253D" w:rsidRPr="005D642E">
        <w:rPr>
          <w:rtl/>
        </w:rPr>
        <w:t xml:space="preserve"> في حاشية « بث » : « فأيّما</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بف » </w:t>
      </w:r>
      <w:r w:rsidR="000D749A" w:rsidRPr="000D749A">
        <w:rPr>
          <w:rStyle w:val="libFootnoteBoldChar"/>
          <w:rtl/>
        </w:rPr>
        <w:t>والوافي</w:t>
      </w:r>
      <w:r w:rsidR="00E3253D" w:rsidRPr="005D642E">
        <w:rPr>
          <w:rtl/>
        </w:rPr>
        <w:t xml:space="preserve"> : « من ذلك رأيت</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w:t>
      </w:r>
      <w:r w:rsidR="00E3253D" w:rsidRPr="002F4D34">
        <w:rPr>
          <w:rStyle w:val="libFootnoteBoldChar"/>
          <w:rtl/>
        </w:rPr>
        <w:t>الوافي</w:t>
      </w:r>
      <w:r w:rsidR="00E3253D" w:rsidRPr="005D642E">
        <w:rPr>
          <w:rtl/>
        </w:rPr>
        <w:t xml:space="preserve"> : « فحسبك بها ، أي حسبك بها دلالة على حسن حاله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01BE0" w:rsidTr="00401BE0">
        <w:tc>
          <w:tcPr>
            <w:tcW w:w="4006" w:type="dxa"/>
          </w:tcPr>
          <w:p w:rsidR="00401BE0" w:rsidRDefault="00401BE0" w:rsidP="00E3253D">
            <w:pPr>
              <w:pStyle w:val="libFootnote0"/>
              <w:rPr>
                <w:rStyle w:val="libFootnote0Char"/>
                <w:rtl/>
              </w:rPr>
            </w:pPr>
            <w:r w:rsidRPr="0042621E">
              <w:rPr>
                <w:rStyle w:val="libFootnote0Char"/>
                <w:rtl/>
              </w:rPr>
              <w:t>(13).</w:t>
            </w:r>
            <w:r>
              <w:rPr>
                <w:rtl/>
              </w:rPr>
              <w:t xml:space="preserve"> في «بخ ، بف</w:t>
            </w:r>
            <w:r w:rsidRPr="005D642E">
              <w:rPr>
                <w:rtl/>
              </w:rPr>
              <w:t xml:space="preserve">» </w:t>
            </w:r>
            <w:r w:rsidRPr="000D749A">
              <w:rPr>
                <w:rStyle w:val="libFootnoteBoldChar"/>
                <w:rtl/>
              </w:rPr>
              <w:t>والوافي</w:t>
            </w:r>
            <w:r w:rsidRPr="005D642E">
              <w:rPr>
                <w:rtl/>
              </w:rPr>
              <w:t xml:space="preserve"> : « إذا » بدون الواو.</w:t>
            </w:r>
          </w:p>
        </w:tc>
        <w:tc>
          <w:tcPr>
            <w:tcW w:w="4006" w:type="dxa"/>
          </w:tcPr>
          <w:p w:rsidR="00401BE0" w:rsidRDefault="00401BE0" w:rsidP="00E3253D">
            <w:pPr>
              <w:pStyle w:val="libFootnote0"/>
              <w:rPr>
                <w:rStyle w:val="libFootnote0Char"/>
                <w:rtl/>
              </w:rPr>
            </w:pPr>
            <w:r w:rsidRPr="0042621E">
              <w:rPr>
                <w:rStyle w:val="libFootnote0Char"/>
                <w:rtl/>
              </w:rPr>
              <w:t>(14).</w:t>
            </w:r>
            <w:r w:rsidRPr="005D642E">
              <w:rPr>
                <w:rtl/>
              </w:rPr>
              <w:t xml:space="preserve"> في « ى » :</w:t>
            </w:r>
            <w:r>
              <w:rPr>
                <w:rtl/>
              </w:rPr>
              <w:t xml:space="preserve"> - </w:t>
            </w:r>
            <w:r w:rsidRPr="005D642E">
              <w:rPr>
                <w:rtl/>
              </w:rPr>
              <w:t>« أيضاً</w:t>
            </w:r>
            <w:r>
              <w:rPr>
                <w:rtl/>
              </w:rPr>
              <w:t xml:space="preserve"> ».</w:t>
            </w:r>
          </w:p>
        </w:tc>
      </w:tr>
    </w:tbl>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في « بخ ، بس ، بف ، جح ، جن » وحاشية « ظ » : « الدلائل</w:t>
      </w:r>
      <w:r w:rsidR="00E3253D">
        <w:rPr>
          <w:rtl/>
        </w:rPr>
        <w:t xml:space="preserve"> ».</w:t>
      </w:r>
    </w:p>
    <w:p w:rsidR="00E3253D" w:rsidRPr="005D642E" w:rsidRDefault="00E3253D" w:rsidP="00E3253D">
      <w:pPr>
        <w:pStyle w:val="libFootnote0"/>
        <w:rPr>
          <w:rtl/>
          <w:lang w:bidi="fa-IR"/>
        </w:rPr>
      </w:pPr>
      <w:r w:rsidRPr="005D642E">
        <w:rPr>
          <w:rtl/>
        </w:rPr>
        <w:t>(1</w:t>
      </w:r>
      <w:r>
        <w:rPr>
          <w:rtl/>
        </w:rPr>
        <w:t>6)</w:t>
      </w:r>
      <w:r w:rsidRPr="005D642E">
        <w:rPr>
          <w:rtl/>
        </w:rPr>
        <w:t xml:space="preserve"> في « غ » : « فإذ</w:t>
      </w:r>
      <w:r>
        <w:rPr>
          <w:rtl/>
        </w:rPr>
        <w:t xml:space="preserve"> ».</w:t>
      </w:r>
      <w:r w:rsidRPr="005D642E">
        <w:rPr>
          <w:rtl/>
        </w:rPr>
        <w:t xml:space="preserve"> وفي « جح » : « فإذا</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رَأَيْتَهُ قَدْ خَمَصَ وَجْهُهُ </w:t>
      </w:r>
      <w:r w:rsidRPr="007C12DB">
        <w:rPr>
          <w:rStyle w:val="libFootnotenumChar"/>
          <w:rtl/>
        </w:rPr>
        <w:t>(1)</w:t>
      </w:r>
      <w:r w:rsidRPr="005D642E">
        <w:rPr>
          <w:rtl/>
          <w:lang w:bidi="fa-IR"/>
        </w:rPr>
        <w:t xml:space="preserve"> ، وَسَالَتْ عَيْنُهُ الْيُمْنى ، فَاعْلَمْ أَنَّهُ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296" w:name="_Toc344647309"/>
      <w:bookmarkStart w:id="297" w:name="_Toc462226823"/>
      <w:bookmarkStart w:id="298" w:name="_Toc40975932"/>
      <w:r w:rsidRPr="005D642E">
        <w:rPr>
          <w:rtl/>
          <w:lang w:bidi="fa-IR"/>
        </w:rPr>
        <w:t>14</w:t>
      </w:r>
      <w:r>
        <w:rPr>
          <w:rtl/>
          <w:lang w:bidi="fa-IR"/>
        </w:rPr>
        <w:t xml:space="preserve"> </w:t>
      </w:r>
      <w:r w:rsidR="007642BC">
        <w:rPr>
          <w:rtl/>
          <w:lang w:bidi="fa-IR"/>
        </w:rPr>
        <w:t>-</w:t>
      </w:r>
      <w:r>
        <w:rPr>
          <w:rtl/>
          <w:lang w:bidi="fa-IR"/>
        </w:rPr>
        <w:t xml:space="preserve"> </w:t>
      </w:r>
      <w:r w:rsidRPr="005D642E">
        <w:rPr>
          <w:rtl/>
          <w:lang w:bidi="fa-IR"/>
        </w:rPr>
        <w:t>بَابُ إِخْرَاجِ رُوحِ الْمُؤْمِنِ وَالْكَافِرِ‌</w:t>
      </w:r>
      <w:bookmarkEnd w:id="296"/>
      <w:bookmarkEnd w:id="297"/>
      <w:bookmarkEnd w:id="298"/>
    </w:p>
    <w:p w:rsidR="00E3253D" w:rsidRPr="005D642E" w:rsidRDefault="00E3253D" w:rsidP="00E3253D">
      <w:pPr>
        <w:pStyle w:val="libNormal"/>
        <w:rPr>
          <w:rtl/>
          <w:lang w:bidi="fa-IR"/>
        </w:rPr>
      </w:pPr>
      <w:r w:rsidRPr="00C92759">
        <w:rPr>
          <w:rtl/>
        </w:rPr>
        <w:t>4325</w:t>
      </w:r>
      <w:r w:rsidRPr="00246318">
        <w:rPr>
          <w:rStyle w:val="libBold2Char"/>
          <w:rtl/>
        </w:rPr>
        <w:t xml:space="preserve"> / 1.</w:t>
      </w:r>
      <w:r w:rsidRPr="005D642E">
        <w:rPr>
          <w:rtl/>
          <w:lang w:bidi="fa-IR"/>
        </w:rPr>
        <w:t xml:space="preserve"> عَلِيُّ بْنُ إِبْرَاهِيمَ ، عَنْ أَبِيهِ </w:t>
      </w:r>
      <w:r w:rsidRPr="007C12DB">
        <w:rPr>
          <w:rStyle w:val="libFootnotenumChar"/>
          <w:rtl/>
        </w:rPr>
        <w:t>(4)</w:t>
      </w:r>
      <w:r w:rsidRPr="005D642E">
        <w:rPr>
          <w:rtl/>
          <w:lang w:bidi="fa-IR"/>
        </w:rPr>
        <w:t xml:space="preserve"> ، عَنْ مُحَمَّدِ بْنِ عِيسى ، عَنْ يُونُسَ ، عَنْ إِدْرِيسَ الْقُمِّيِّ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يَأْمُرُ مَلَكَ الْمَوْتِ ، فَيَرُدُّ </w:t>
      </w:r>
      <w:r w:rsidRPr="007C12DB">
        <w:rPr>
          <w:rStyle w:val="libFootnotenumChar"/>
          <w:rtl/>
        </w:rPr>
        <w:t>(5)</w:t>
      </w:r>
      <w:r w:rsidRPr="005D642E">
        <w:rPr>
          <w:rtl/>
          <w:lang w:bidi="fa-IR"/>
        </w:rPr>
        <w:t xml:space="preserve"> نَفْسَ‌</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ى ، بح » : « غمض</w:t>
      </w:r>
      <w:r w:rsidR="00E3253D">
        <w:rPr>
          <w:rtl/>
        </w:rPr>
        <w:t xml:space="preserve"> ».</w:t>
      </w:r>
      <w:r w:rsidR="00E3253D" w:rsidRPr="005D642E">
        <w:rPr>
          <w:rtl/>
        </w:rPr>
        <w:t xml:space="preserve"> وقوله : « قد خمص وجهه »</w:t>
      </w:r>
      <w:r w:rsidR="00401BE0">
        <w:rPr>
          <w:rtl/>
        </w:rPr>
        <w:t xml:space="preserve"> أي سكن ورمه. وقال العل</w:t>
      </w:r>
      <w:r w:rsidR="00401BE0">
        <w:rPr>
          <w:rFonts w:hint="cs"/>
          <w:rtl/>
        </w:rPr>
        <w:t>ّ</w:t>
      </w:r>
      <w:r w:rsidR="00401BE0">
        <w:rPr>
          <w:rtl/>
        </w:rPr>
        <w:t>ا</w:t>
      </w:r>
      <w:r w:rsidR="00E3253D" w:rsidRPr="005D642E">
        <w:rPr>
          <w:rtl/>
        </w:rPr>
        <w:t xml:space="preserve">مة المجلسي : « قوله </w:t>
      </w:r>
      <w:r w:rsidR="00E3253D" w:rsidRPr="00401BE0">
        <w:rPr>
          <w:rStyle w:val="libFootnoteAlaemChar"/>
          <w:rtl/>
        </w:rPr>
        <w:t>عليه‌السلام</w:t>
      </w:r>
      <w:r w:rsidR="00E3253D" w:rsidRPr="005D642E">
        <w:rPr>
          <w:rtl/>
        </w:rPr>
        <w:t xml:space="preserve"> : قد خمص ، وفي بعض النسخ : غمض ، قال في </w:t>
      </w:r>
      <w:r w:rsidR="00E3253D" w:rsidRPr="002F4D34">
        <w:rPr>
          <w:rStyle w:val="libFootnoteBoldChar"/>
          <w:rtl/>
        </w:rPr>
        <w:t>القاموس</w:t>
      </w:r>
      <w:r w:rsidR="00E3253D" w:rsidRPr="005D642E">
        <w:rPr>
          <w:rtl/>
        </w:rPr>
        <w:t xml:space="preserve"> : خمص الجرحُ وانخمص : سكن ورمه ، وخَمصَ البطنُ مثلّثة الميم : خلا ، وقال : الغامض : المطمئنّ من الأرض ، وقد غمض المكان غموضاً وككرم. وعلى التقديرين المراد ظهور الضعف في الوجه وانخسافه. وفي بعض النسخ : حمض بالحاء المهملة والضاد المعجمة ، وحموضة الوجه : عبوسه ، ولعلّه أظهر</w:t>
      </w:r>
      <w:r w:rsidR="00E3253D">
        <w:rPr>
          <w:rtl/>
        </w:rPr>
        <w:t xml:space="preserve"> ».</w:t>
      </w:r>
      <w:r w:rsidR="00E3253D" w:rsidRPr="005D642E">
        <w:rPr>
          <w:rtl/>
        </w:rPr>
        <w:t xml:space="preserve"> راجع : </w:t>
      </w:r>
      <w:r w:rsidR="00E3253D" w:rsidRPr="002F4D34">
        <w:rPr>
          <w:rStyle w:val="libFootnoteBoldChar"/>
          <w:rtl/>
        </w:rPr>
        <w:t>مرآة العقول</w:t>
      </w:r>
      <w:r w:rsidR="00E3253D" w:rsidRPr="005D642E">
        <w:rPr>
          <w:rtl/>
        </w:rPr>
        <w:t xml:space="preserve"> ، ج 13 ، ص 297 ؛ </w:t>
      </w:r>
      <w:r w:rsidR="00E3253D" w:rsidRPr="002F4D34">
        <w:rPr>
          <w:rStyle w:val="libFootnoteBoldChar"/>
          <w:rtl/>
        </w:rPr>
        <w:t>القاموس المحيط</w:t>
      </w:r>
      <w:r w:rsidR="00E3253D" w:rsidRPr="005D642E">
        <w:rPr>
          <w:rtl/>
        </w:rPr>
        <w:t xml:space="preserve"> ، ج 1 ، ص 839 </w:t>
      </w:r>
      <w:r w:rsidR="00E3253D">
        <w:rPr>
          <w:rtl/>
        </w:rPr>
        <w:t>و 8</w:t>
      </w:r>
      <w:r w:rsidR="00E3253D" w:rsidRPr="005D642E">
        <w:rPr>
          <w:rtl/>
        </w:rPr>
        <w:t xml:space="preserve">78 ( خمص ) </w:t>
      </w:r>
      <w:r w:rsidR="00E3253D">
        <w:rPr>
          <w:rtl/>
        </w:rPr>
        <w:t>و (</w:t>
      </w:r>
      <w:r w:rsidR="00E3253D" w:rsidRPr="005D642E">
        <w:rPr>
          <w:rtl/>
        </w:rPr>
        <w:t xml:space="preserve"> غمض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الوافي</w:t>
      </w:r>
      <w:r w:rsidR="00E3253D" w:rsidRPr="005D642E">
        <w:rPr>
          <w:rtl/>
        </w:rPr>
        <w:t xml:space="preserve"> : « فاعلم أنّه ؛ يعني أنّه ليس بذاك</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401BE0">
        <w:rPr>
          <w:rStyle w:val="libFootnoteAlaemChar"/>
          <w:rtl/>
        </w:rPr>
        <w:t>عليه‌السلام</w:t>
      </w:r>
      <w:r w:rsidR="00E3253D" w:rsidRPr="005D642E">
        <w:rPr>
          <w:rtl/>
        </w:rPr>
        <w:t xml:space="preserve"> : فاعلم أنّه ، أي من أهل النار ، أو أنّه مات</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الفقيه</w:t>
      </w:r>
      <w:r w:rsidR="00E3253D" w:rsidRPr="005D642E">
        <w:rPr>
          <w:rtl/>
        </w:rPr>
        <w:t xml:space="preserve"> ، ج 1 ، ص 135 ، ح 362 ، مرسلاً عن أبي عبدالله </w:t>
      </w:r>
      <w:r w:rsidR="00E3253D" w:rsidRPr="00401BE0">
        <w:rPr>
          <w:rStyle w:val="libFootnoteAlaemChar"/>
          <w:rtl/>
        </w:rPr>
        <w:t>عليه‌السلام</w:t>
      </w:r>
      <w:r w:rsidR="00E3253D" w:rsidRPr="005D642E">
        <w:rPr>
          <w:rtl/>
        </w:rPr>
        <w:t xml:space="preserve"> ، إلى قوله : « من ذلك فحسبك بها » مع اختلاف يسير </w:t>
      </w:r>
      <w:r w:rsidR="00401BE0">
        <w:rPr>
          <w:rFonts w:hint="cs"/>
          <w:rtl/>
        </w:rPr>
        <w:t>.</w:t>
      </w:r>
      <w:r w:rsidR="00E3253D" w:rsidRPr="002F4D34">
        <w:rPr>
          <w:rStyle w:val="libFootnoteBoldChar"/>
          <w:rtl/>
        </w:rPr>
        <w:t>الوافي</w:t>
      </w:r>
      <w:r w:rsidR="00E3253D" w:rsidRPr="005D642E">
        <w:rPr>
          <w:rtl/>
        </w:rPr>
        <w:t xml:space="preserve"> ، ج 24 ، ص 257 ، ح 23992 </w:t>
      </w:r>
      <w:r w:rsidR="00E3253D">
        <w:rPr>
          <w:rtl/>
        </w:rPr>
        <w:t>و 2</w:t>
      </w:r>
      <w:r w:rsidR="00E3253D" w:rsidRPr="005D642E">
        <w:rPr>
          <w:rtl/>
        </w:rPr>
        <w:t>3993.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الظاهر زيادة « عن أبيه » في السند ؛ فقد روى عليّ بن إبراهيم ، عن محمّد بن عيسى [ بن عبيد ] عن يونس [ بن‌عبدالرحمن ] في أسنادٍ كثيرةٍ جدّاً ولم يثبت توسّط والده بينه وبين محمّد بن عيسى في موضع. راجع : </w:t>
      </w:r>
      <w:r w:rsidR="00E3253D" w:rsidRPr="002F4D34">
        <w:rPr>
          <w:rStyle w:val="libFootnoteBoldChar"/>
          <w:rtl/>
        </w:rPr>
        <w:t>معجم رجال الحديث</w:t>
      </w:r>
      <w:r w:rsidR="00E3253D" w:rsidRPr="005D642E">
        <w:rPr>
          <w:rtl/>
        </w:rPr>
        <w:t xml:space="preserve"> ، ج 17 ، ص 381</w:t>
      </w:r>
      <w:r w:rsidR="00E3253D">
        <w:rPr>
          <w:rtl/>
        </w:rPr>
        <w:t xml:space="preserve"> </w:t>
      </w:r>
      <w:r w:rsidR="007642BC">
        <w:rPr>
          <w:rtl/>
        </w:rPr>
        <w:t>-</w:t>
      </w:r>
      <w:r w:rsidR="00E3253D">
        <w:rPr>
          <w:rtl/>
        </w:rPr>
        <w:t xml:space="preserve"> </w:t>
      </w:r>
      <w:r w:rsidR="00E3253D" w:rsidRPr="005D642E">
        <w:rPr>
          <w:rtl/>
        </w:rPr>
        <w:t>384 ؛ وص 385</w:t>
      </w:r>
      <w:r w:rsidR="00E3253D">
        <w:rPr>
          <w:rtl/>
        </w:rPr>
        <w:t xml:space="preserve"> </w:t>
      </w:r>
      <w:r w:rsidR="007642BC">
        <w:rPr>
          <w:rtl/>
        </w:rPr>
        <w:t>-</w:t>
      </w:r>
      <w:r w:rsidR="00E3253D">
        <w:rPr>
          <w:rtl/>
        </w:rPr>
        <w:t xml:space="preserve"> </w:t>
      </w:r>
      <w:r w:rsidR="00E3253D" w:rsidRPr="005D642E">
        <w:rPr>
          <w:rtl/>
        </w:rPr>
        <w:t>386 ؛ وص 393</w:t>
      </w:r>
      <w:r w:rsidR="00E3253D">
        <w:rPr>
          <w:rtl/>
        </w:rPr>
        <w:t xml:space="preserve"> </w:t>
      </w:r>
      <w:r w:rsidR="007642BC">
        <w:rPr>
          <w:rtl/>
        </w:rPr>
        <w:t>-</w:t>
      </w:r>
      <w:r w:rsidR="00E3253D">
        <w:rPr>
          <w:rtl/>
        </w:rPr>
        <w:t xml:space="preserve"> </w:t>
      </w:r>
      <w:r w:rsidR="00E3253D" w:rsidRPr="005D642E">
        <w:rPr>
          <w:rtl/>
        </w:rPr>
        <w:t>394.</w:t>
      </w:r>
    </w:p>
    <w:p w:rsidR="00E3253D" w:rsidRPr="005D642E" w:rsidRDefault="00E3253D" w:rsidP="00E3253D">
      <w:pPr>
        <w:pStyle w:val="libNormal0"/>
        <w:rPr>
          <w:rtl/>
          <w:lang w:bidi="fa-IR"/>
        </w:rPr>
      </w:pPr>
      <w:r w:rsidRPr="00B60612">
        <w:rPr>
          <w:rStyle w:val="libFootnote0Char"/>
          <w:rtl/>
        </w:rPr>
        <w:t xml:space="preserve">وتقدّم في </w:t>
      </w:r>
      <w:r w:rsidRPr="002F4D34">
        <w:rPr>
          <w:rStyle w:val="libFootnoteBoldChar"/>
          <w:rtl/>
        </w:rPr>
        <w:t>الكافي</w:t>
      </w:r>
      <w:r w:rsidRPr="00B60612">
        <w:rPr>
          <w:rStyle w:val="libFootnote0Char"/>
          <w:rtl/>
        </w:rPr>
        <w:t xml:space="preserve"> ، ذيل ح 18 أنّ منشأ هذا النوع من التحريف هو الا</w:t>
      </w:r>
      <w:r w:rsidR="00401BE0">
        <w:rPr>
          <w:rStyle w:val="libFootnote0Char"/>
          <w:rFonts w:hint="cs"/>
          <w:rtl/>
        </w:rPr>
        <w:t>ُ</w:t>
      </w:r>
      <w:r w:rsidRPr="00B60612">
        <w:rPr>
          <w:rStyle w:val="libFootnote0Char"/>
          <w:rtl/>
        </w:rPr>
        <w:t>نس الذهني الحاصل من كثرة روايات عليّ بن إبراهيم ، عن أبيه.</w:t>
      </w:r>
    </w:p>
    <w:p w:rsidR="00E3253D" w:rsidRPr="005D642E" w:rsidRDefault="0042621E" w:rsidP="00E3253D">
      <w:pPr>
        <w:pStyle w:val="libFootnote0"/>
        <w:rPr>
          <w:rtl/>
          <w:lang w:bidi="fa-IR"/>
        </w:rPr>
      </w:pPr>
      <w:r w:rsidRPr="0042621E">
        <w:rPr>
          <w:rStyle w:val="libFootnote0Char"/>
          <w:rtl/>
        </w:rPr>
        <w:t>(5).</w:t>
      </w:r>
      <w:r w:rsidR="00401BE0">
        <w:rPr>
          <w:rtl/>
        </w:rPr>
        <w:t xml:space="preserve"> قال العل</w:t>
      </w:r>
      <w:r w:rsidR="00401BE0">
        <w:rPr>
          <w:rFonts w:hint="cs"/>
          <w:rtl/>
        </w:rPr>
        <w:t>ّ</w:t>
      </w:r>
      <w:r w:rsidR="00401BE0">
        <w:rPr>
          <w:rtl/>
        </w:rPr>
        <w:t>ا</w:t>
      </w:r>
      <w:r w:rsidR="00E3253D" w:rsidRPr="005D642E">
        <w:rPr>
          <w:rtl/>
        </w:rPr>
        <w:t>مة الفيض : « كأنّه ا</w:t>
      </w:r>
      <w:r w:rsidR="00401BE0">
        <w:rPr>
          <w:rFonts w:hint="cs"/>
          <w:rtl/>
        </w:rPr>
        <w:t>ُ</w:t>
      </w:r>
      <w:r w:rsidR="00E3253D" w:rsidRPr="005D642E">
        <w:rPr>
          <w:rtl/>
        </w:rPr>
        <w:t>ريد بردّ النفس إبطاؤه في الإخراج ، كأنّه يخرجها تارة ويردّها اخرى ، وبصرفهاعنه إخراجها بغتة</w:t>
      </w:r>
      <w:r w:rsidR="00E3253D">
        <w:rPr>
          <w:rtl/>
        </w:rPr>
        <w:t xml:space="preserve"> ».</w:t>
      </w:r>
      <w:r w:rsidR="00401BE0">
        <w:rPr>
          <w:rtl/>
        </w:rPr>
        <w:t xml:space="preserve"> وقال العل</w:t>
      </w:r>
      <w:r w:rsidR="00401BE0">
        <w:rPr>
          <w:rFonts w:hint="cs"/>
          <w:rtl/>
        </w:rPr>
        <w:t>ّ</w:t>
      </w:r>
      <w:r w:rsidR="00401BE0">
        <w:rPr>
          <w:rtl/>
        </w:rPr>
        <w:t>ا</w:t>
      </w:r>
      <w:r w:rsidR="00E3253D" w:rsidRPr="005D642E">
        <w:rPr>
          <w:rtl/>
        </w:rPr>
        <w:t xml:space="preserve">مة المجلسي : « قوله </w:t>
      </w:r>
      <w:r w:rsidR="00E3253D" w:rsidRPr="00401BE0">
        <w:rPr>
          <w:rStyle w:val="libFootnoteAlaemChar"/>
          <w:rtl/>
        </w:rPr>
        <w:t>عليه‌السلام</w:t>
      </w:r>
      <w:r w:rsidR="00E3253D" w:rsidRPr="005D642E">
        <w:rPr>
          <w:rtl/>
        </w:rPr>
        <w:t xml:space="preserve"> : يأمر ملك الموت ، قيل : المراد أنّه يأمر بأن يريه منزله من الجنّة ، ثمّ يردّ عليه روحه ؛ ليرضى بالموت لذلك زمان نزعه ، فيزعم الناس أنّه شدّد عليه ، والكافر يصرف عنه ، أي هذا الردّ. وأقول : الأظهر أن يقال : المراد أنّه يردّ عليه روحه مرّة بعد اخرى وينزع عنه ؛ ليخفّف بذلك سيّئاته ولايعلم الناس أنّه سبب للتخفيف ، والكافر بخلاف ذلك. وما قيل من أنّ قوله : يصرف عنه ، جملة </w:t>
      </w:r>
      <w:r w:rsidR="00401BE0">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الْمُؤْمِنِ لِيُهَوِّنَ عَلَيْهِ وَيُخْرِجَهَا مِنْ أَحْسَنِ وَجْهِهَا </w:t>
      </w:r>
      <w:r w:rsidRPr="007C12DB">
        <w:rPr>
          <w:rStyle w:val="libFootnotenumChar"/>
          <w:rtl/>
        </w:rPr>
        <w:t>(1)</w:t>
      </w:r>
      <w:r w:rsidRPr="005D642E">
        <w:rPr>
          <w:rtl/>
          <w:lang w:bidi="fa-IR"/>
        </w:rPr>
        <w:t xml:space="preserve"> ، فَيَقُولُ النَّاسُ : لَقَدْ شَدَّدَ عَلى فُلَانٍ الْمَوْتَ ، وَذلِكَ تَهْوِينٌ مِنَ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عَلَيْهِ</w:t>
      </w:r>
      <w:r>
        <w:rPr>
          <w:rtl/>
          <w:lang w:bidi="fa-IR"/>
        </w:rPr>
        <w:t xml:space="preserve"> ».</w:t>
      </w:r>
    </w:p>
    <w:p w:rsidR="00E3253D" w:rsidRPr="005D642E" w:rsidRDefault="00E3253D" w:rsidP="00E3253D">
      <w:pPr>
        <w:pStyle w:val="libNormal"/>
        <w:rPr>
          <w:rtl/>
          <w:lang w:bidi="fa-IR"/>
        </w:rPr>
      </w:pPr>
      <w:r w:rsidRPr="005D642E">
        <w:rPr>
          <w:rtl/>
          <w:lang w:bidi="fa-IR"/>
        </w:rPr>
        <w:t>وَقَالَ : « يُصْرَفُ عَنْهُ</w:t>
      </w:r>
      <w:r>
        <w:rPr>
          <w:rtl/>
          <w:lang w:bidi="fa-IR"/>
        </w:rPr>
        <w:t xml:space="preserve"> </w:t>
      </w:r>
      <w:r w:rsidR="007642BC">
        <w:rPr>
          <w:rtl/>
          <w:lang w:bidi="fa-IR"/>
        </w:rPr>
        <w:t>-</w:t>
      </w:r>
      <w:r>
        <w:rPr>
          <w:rtl/>
          <w:lang w:bidi="fa-IR"/>
        </w:rPr>
        <w:t xml:space="preserve"> </w:t>
      </w:r>
      <w:r w:rsidRPr="005D642E">
        <w:rPr>
          <w:rtl/>
          <w:lang w:bidi="fa-IR"/>
        </w:rPr>
        <w:t xml:space="preserve">إِذَا كَانَ مِمَّنْ </w:t>
      </w:r>
      <w:r w:rsidRPr="007C12DB">
        <w:rPr>
          <w:rStyle w:val="libFootnotenumChar"/>
          <w:rtl/>
        </w:rPr>
        <w:t>(2)</w:t>
      </w:r>
      <w:r w:rsidRPr="005D642E">
        <w:rPr>
          <w:rtl/>
          <w:lang w:bidi="fa-IR"/>
        </w:rPr>
        <w:t xml:space="preserve"> سَخِطَ </w:t>
      </w:r>
      <w:r w:rsidRPr="007C12DB">
        <w:rPr>
          <w:rStyle w:val="libFootnotenumChar"/>
          <w:rtl/>
        </w:rPr>
        <w:t>(3)</w:t>
      </w:r>
      <w:r w:rsidRPr="005D642E">
        <w:rPr>
          <w:rtl/>
          <w:lang w:bidi="fa-IR"/>
        </w:rPr>
        <w:t xml:space="preserve"> اللهُ عَلَيْهِ ، أَوْ مِمَّنْ أَبْغَضَ اللهُ أَمْرَهُ</w:t>
      </w:r>
      <w:r>
        <w:rPr>
          <w:rtl/>
          <w:lang w:bidi="fa-IR"/>
        </w:rPr>
        <w:t xml:space="preserve"> </w:t>
      </w:r>
      <w:r w:rsidR="007642BC">
        <w:rPr>
          <w:rtl/>
          <w:lang w:bidi="fa-IR"/>
        </w:rPr>
        <w:t>-</w:t>
      </w:r>
      <w:r>
        <w:rPr>
          <w:rtl/>
          <w:lang w:bidi="fa-IR"/>
        </w:rPr>
        <w:t xml:space="preserve"> </w:t>
      </w:r>
      <w:r w:rsidRPr="005D642E">
        <w:rPr>
          <w:rtl/>
          <w:lang w:bidi="fa-IR"/>
        </w:rPr>
        <w:t xml:space="preserve">أَنْ يَجْذِبَ الْجَذْبَةَ الَّتِي بَلَغَتْكُمْ بِمِثْلِ السَّفُّودِ </w:t>
      </w:r>
      <w:r w:rsidRPr="007C12DB">
        <w:rPr>
          <w:rStyle w:val="libFootnotenumChar"/>
          <w:rtl/>
        </w:rPr>
        <w:t>(4)</w:t>
      </w:r>
      <w:r w:rsidRPr="005D642E">
        <w:rPr>
          <w:rtl/>
          <w:lang w:bidi="fa-IR"/>
        </w:rPr>
        <w:t xml:space="preserve"> مِنَ الصُّوفِ الْمَبْلُولِ ، فَيَقُولُ النَّاسُ : لَقَدْ هَوَّنَ اللهُ </w:t>
      </w:r>
      <w:r w:rsidRPr="007C12DB">
        <w:rPr>
          <w:rStyle w:val="libFootnotenumChar"/>
          <w:rtl/>
        </w:rPr>
        <w:t>(5)</w:t>
      </w:r>
      <w:r w:rsidRPr="005D642E">
        <w:rPr>
          <w:rtl/>
          <w:lang w:bidi="fa-IR"/>
        </w:rPr>
        <w:t xml:space="preserve"> عَلى فُلَانٍ الْمَوْتَ</w:t>
      </w:r>
      <w:r>
        <w:rPr>
          <w:rtl/>
          <w:lang w:bidi="fa-IR"/>
        </w:rPr>
        <w:t xml:space="preserve"> ».</w:t>
      </w:r>
      <w:r w:rsidRPr="005D642E">
        <w:rPr>
          <w:rtl/>
          <w:lang w:bidi="fa-IR"/>
        </w:rPr>
        <w:t xml:space="preserve"> </w:t>
      </w:r>
      <w:r w:rsidRPr="007C12DB">
        <w:rPr>
          <w:rStyle w:val="libFootnotenumChar"/>
          <w:rtl/>
        </w:rPr>
        <w:t>(6)</w:t>
      </w:r>
    </w:p>
    <w:p w:rsidR="00E3253D" w:rsidRPr="005D642E" w:rsidRDefault="00E3253D" w:rsidP="00E3253D">
      <w:pPr>
        <w:pStyle w:val="libNormal"/>
        <w:rPr>
          <w:rtl/>
          <w:lang w:bidi="fa-IR"/>
        </w:rPr>
      </w:pPr>
      <w:r w:rsidRPr="00C92759">
        <w:rPr>
          <w:rtl/>
        </w:rPr>
        <w:t>4326</w:t>
      </w:r>
      <w:r w:rsidRPr="00246318">
        <w:rPr>
          <w:rStyle w:val="libBold2Char"/>
          <w:rtl/>
        </w:rPr>
        <w:t xml:space="preserve"> / 2.</w:t>
      </w:r>
      <w:r w:rsidRPr="005D642E">
        <w:rPr>
          <w:rtl/>
          <w:lang w:bidi="fa-IR"/>
        </w:rPr>
        <w:t xml:space="preserve"> عَنْهُ </w:t>
      </w:r>
      <w:r w:rsidRPr="007C12DB">
        <w:rPr>
          <w:rStyle w:val="libFootnotenumChar"/>
          <w:rtl/>
        </w:rPr>
        <w:t>(7)</w:t>
      </w:r>
      <w:r w:rsidRPr="005D642E">
        <w:rPr>
          <w:rtl/>
          <w:lang w:bidi="fa-IR"/>
        </w:rPr>
        <w:t xml:space="preserve"> ، عَنْ يُونُسَ ، عَنِ الْهَيْثَمِ بْنِ وَاقِدٍ ، عَنْ رَجُلٍ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دَخَلَ رَسُولُ اللهِ </w:t>
      </w:r>
      <w:r w:rsidR="0042621E" w:rsidRPr="0042621E">
        <w:rPr>
          <w:rStyle w:val="libAlaemChar"/>
          <w:rtl/>
        </w:rPr>
        <w:t>صلى‌الله‌عليه‌وآله</w:t>
      </w:r>
      <w:r w:rsidRPr="005D642E">
        <w:rPr>
          <w:rtl/>
          <w:lang w:bidi="fa-IR"/>
        </w:rPr>
        <w:t xml:space="preserve"> عَلى رَجُلٍ مِنْ أَصْحَابِهِ وَهُوَ يَجُودُ بِنَفْسِهِ </w:t>
      </w:r>
      <w:r w:rsidRPr="007C12DB">
        <w:rPr>
          <w:rStyle w:val="libFootnotenumChar"/>
          <w:rtl/>
        </w:rPr>
        <w:t>(8)</w:t>
      </w:r>
      <w:r w:rsidRPr="005D642E">
        <w:rPr>
          <w:rtl/>
          <w:lang w:bidi="fa-IR"/>
        </w:rPr>
        <w:t xml:space="preserve"> ، فَقَالَ : يَا مَلَكَ الْمَوْتِ ، ارْفُقْ بِصَاحِبِي </w:t>
      </w:r>
      <w:r w:rsidRPr="007C12DB">
        <w:rPr>
          <w:rStyle w:val="libFootnotenumChar"/>
          <w:rtl/>
        </w:rPr>
        <w:t>(9)</w:t>
      </w:r>
      <w:r w:rsidRPr="005D642E">
        <w:rPr>
          <w:rtl/>
          <w:lang w:bidi="fa-IR"/>
        </w:rPr>
        <w:t xml:space="preserve"> ؛ فَإِنَّهُ مُؤْمِنٌ ، فَقَالَ : أَبْشِرْ يَا مُحَمَّدُ ؛ فَإِنِّي بِكُلِّ مُؤْمِنٍ رَفِيقٌ ، وَاعْلَمْ يَا مُحَمَّدُ ، أَنِّي أَقْبِضُ رُوحَ ابْنِ آدَمَ ، فَيَجْزَعُ أَهْلُهُ </w:t>
      </w:r>
      <w:r w:rsidRPr="007C12DB">
        <w:rPr>
          <w:rStyle w:val="libFootnotenumChar"/>
          <w:rtl/>
        </w:rPr>
        <w:t>(10)</w:t>
      </w:r>
      <w:r w:rsidRPr="005D642E">
        <w:rPr>
          <w:rtl/>
          <w:lang w:bidi="fa-IR"/>
        </w:rPr>
        <w:t xml:space="preserve"> ، فَأَقُومُ فِي نَاحِيَةٍ </w:t>
      </w:r>
      <w:r w:rsidRPr="007C12DB">
        <w:rPr>
          <w:rStyle w:val="libFootnotenumChar"/>
          <w:rtl/>
        </w:rPr>
        <w:t>(11)</w:t>
      </w:r>
      <w:r w:rsidRPr="005D642E">
        <w:rPr>
          <w:rtl/>
          <w:lang w:bidi="fa-IR"/>
        </w:rPr>
        <w:t xml:space="preserve"> مِنْ دَارِهِمْ ، فَأَقُولُ </w:t>
      </w:r>
      <w:r w:rsidRPr="007C12DB">
        <w:rPr>
          <w:rStyle w:val="libFootnotenumChar"/>
          <w:rtl/>
        </w:rPr>
        <w:t>(12)</w:t>
      </w:r>
      <w:r w:rsidRPr="005D642E">
        <w:rPr>
          <w:rtl/>
          <w:lang w:bidi="fa-IR"/>
        </w:rPr>
        <w:t xml:space="preserve"> : مَا هذَا الْجَزَعُ</w:t>
      </w:r>
      <w:r>
        <w:rPr>
          <w:rtl/>
          <w:lang w:bidi="fa-IR"/>
        </w:rPr>
        <w:t>؟</w:t>
      </w:r>
      <w:r w:rsidRPr="005D642E">
        <w:rPr>
          <w:rtl/>
          <w:lang w:bidi="fa-IR"/>
        </w:rPr>
        <w:t xml:space="preserve"> فَوَ اللهِ ، مَا تَعَجَّلْنَاهُ </w:t>
      </w:r>
      <w:r w:rsidRPr="007C12DB">
        <w:rPr>
          <w:rStyle w:val="libFootnotenumChar"/>
          <w:rtl/>
        </w:rPr>
        <w:t>(13)</w:t>
      </w:r>
      <w:r w:rsidRPr="005D642E">
        <w:rPr>
          <w:rtl/>
          <w:lang w:bidi="fa-IR"/>
        </w:rPr>
        <w:t xml:space="preserve"> قَبْلَ أَجَلِهِ ،</w:t>
      </w:r>
    </w:p>
    <w:p w:rsidR="00E3253D" w:rsidRPr="005D642E" w:rsidRDefault="00E3253D" w:rsidP="00E3253D">
      <w:pPr>
        <w:pStyle w:val="libLine"/>
        <w:rPr>
          <w:rtl/>
          <w:lang w:bidi="fa-IR"/>
        </w:rPr>
      </w:pPr>
      <w:r w:rsidRPr="005D642E">
        <w:rPr>
          <w:rtl/>
          <w:lang w:bidi="fa-IR"/>
        </w:rPr>
        <w:t>__________________</w:t>
      </w:r>
    </w:p>
    <w:p w:rsidR="00E3253D" w:rsidRPr="005D642E" w:rsidRDefault="00A057B6" w:rsidP="00E3253D">
      <w:pPr>
        <w:pStyle w:val="libFootnote0"/>
        <w:rPr>
          <w:rtl/>
          <w:lang w:bidi="fa-IR"/>
        </w:rPr>
      </w:pPr>
      <w:r>
        <w:rPr>
          <w:rFonts w:hint="cs"/>
          <w:rtl/>
        </w:rPr>
        <w:t xml:space="preserve">= </w:t>
      </w:r>
      <w:r w:rsidR="00E3253D" w:rsidRPr="005D642E">
        <w:rPr>
          <w:rtl/>
        </w:rPr>
        <w:t>دعائيّة من كلام الراوي أن يصرف عنه السوء ، فلا يخفى ما فيه. وقيل : يصرف عنه ، جملة استئنافيّة مؤكّدة لقوله : « وذلك تهوين من الله ، أي يصرف الله السوء عن المؤمن. ويحتمل أن يكون المراد أنّه يردّ الروح إلى جسده بعد قرب النزع مرّة بعد ا</w:t>
      </w:r>
      <w:r>
        <w:rPr>
          <w:rFonts w:hint="cs"/>
          <w:rtl/>
        </w:rPr>
        <w:t>ُ</w:t>
      </w:r>
      <w:r w:rsidR="00E3253D" w:rsidRPr="005D642E">
        <w:rPr>
          <w:rtl/>
        </w:rPr>
        <w:t>خ</w:t>
      </w:r>
      <w:r>
        <w:rPr>
          <w:rtl/>
        </w:rPr>
        <w:t>رى ؛ لئل</w:t>
      </w:r>
      <w:r>
        <w:rPr>
          <w:rFonts w:hint="cs"/>
          <w:rtl/>
        </w:rPr>
        <w:t>ّ</w:t>
      </w:r>
      <w:r>
        <w:rPr>
          <w:rtl/>
        </w:rPr>
        <w:t>ا</w:t>
      </w:r>
      <w:r w:rsidR="00E3253D" w:rsidRPr="005D642E">
        <w:rPr>
          <w:rtl/>
        </w:rPr>
        <w:t xml:space="preserve"> يشقّ عليه مفارقة الدنيا دفعة فيهون عليه ، والكافر يصرف عنه ذلك ، والله يعلم</w:t>
      </w:r>
      <w:r w:rsidR="00E3253D">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بث ، بح ، بخ ، بس ، بف ، جس ، جن » : « وجوهها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057B6" w:rsidTr="00A057B6">
        <w:tc>
          <w:tcPr>
            <w:tcW w:w="4006" w:type="dxa"/>
          </w:tcPr>
          <w:p w:rsidR="00A057B6" w:rsidRDefault="00A057B6" w:rsidP="00E3253D">
            <w:pPr>
              <w:pStyle w:val="libFootnote0"/>
              <w:rPr>
                <w:rStyle w:val="libFootnote0Char"/>
                <w:rtl/>
              </w:rPr>
            </w:pPr>
            <w:r w:rsidRPr="0042621E">
              <w:rPr>
                <w:rStyle w:val="libFootnote0Char"/>
                <w:rtl/>
              </w:rPr>
              <w:t>(2).</w:t>
            </w:r>
            <w:r w:rsidRPr="005D642E">
              <w:rPr>
                <w:rtl/>
              </w:rPr>
              <w:t xml:space="preserve"> في « جح » : « من</w:t>
            </w:r>
            <w:r>
              <w:rPr>
                <w:rtl/>
              </w:rPr>
              <w:t xml:space="preserve"> ».</w:t>
            </w:r>
          </w:p>
        </w:tc>
        <w:tc>
          <w:tcPr>
            <w:tcW w:w="4006" w:type="dxa"/>
          </w:tcPr>
          <w:p w:rsidR="00A057B6" w:rsidRDefault="00A057B6" w:rsidP="00E3253D">
            <w:pPr>
              <w:pStyle w:val="libFootnote0"/>
              <w:rPr>
                <w:rStyle w:val="libFootnote0Char"/>
                <w:rtl/>
              </w:rPr>
            </w:pPr>
            <w:r w:rsidRPr="0042621E">
              <w:rPr>
                <w:rStyle w:val="libFootnote0Char"/>
                <w:rtl/>
              </w:rPr>
              <w:t>(3).</w:t>
            </w:r>
            <w:r w:rsidRPr="005D642E">
              <w:rPr>
                <w:rtl/>
              </w:rPr>
              <w:t xml:space="preserve"> في « بث » : « يسخط</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قال الجوهري : « السَفُّود ، بالتشديد : الحديدة التي يشوى بها اللحم</w:t>
      </w:r>
      <w:r w:rsidR="00E3253D">
        <w:rPr>
          <w:rtl/>
        </w:rPr>
        <w:t xml:space="preserve"> ».</w:t>
      </w:r>
      <w:r w:rsidR="00E3253D" w:rsidRPr="005D642E">
        <w:rPr>
          <w:rtl/>
        </w:rPr>
        <w:t xml:space="preserve"> راجع : </w:t>
      </w:r>
      <w:r w:rsidR="00E3253D" w:rsidRPr="002F4D34">
        <w:rPr>
          <w:rStyle w:val="libFootnoteBoldChar"/>
          <w:rtl/>
        </w:rPr>
        <w:t>الصحاح</w:t>
      </w:r>
      <w:r w:rsidR="00A057B6">
        <w:rPr>
          <w:rtl/>
        </w:rPr>
        <w:t xml:space="preserve"> ، ج 2 ، ص 489 (</w:t>
      </w:r>
      <w:r w:rsidR="00E3253D" w:rsidRPr="005D642E">
        <w:rPr>
          <w:rtl/>
        </w:rPr>
        <w:t>سفد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بس ، جح ، جس » والبحار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24 ، ص 261 ، ح 23998 ؛ </w:t>
      </w:r>
      <w:r w:rsidR="00E3253D" w:rsidRPr="002F4D34">
        <w:rPr>
          <w:rStyle w:val="libFootnoteBoldChar"/>
          <w:rtl/>
        </w:rPr>
        <w:t>البحار</w:t>
      </w:r>
      <w:r w:rsidR="00E3253D" w:rsidRPr="005D642E">
        <w:rPr>
          <w:rtl/>
        </w:rPr>
        <w:t xml:space="preserve"> ، ج 6 ، ص 166 ، ح 35.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الضمير راجع إلى محمّد بن عيسى ، المذكور في السند السابق.</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يجود بنفسه » أي يُخرجها ويدفعها ، كما يدفع الإنسان ماله يجود به ، والجود : الكرم. يريد أنّه كان في النزع</w:t>
      </w:r>
      <w:r w:rsidR="00A057B6">
        <w:rPr>
          <w:rFonts w:hint="cs"/>
          <w:rtl/>
        </w:rPr>
        <w:t xml:space="preserve"> </w:t>
      </w:r>
      <w:r w:rsidR="00E3253D" w:rsidRPr="005D642E">
        <w:rPr>
          <w:rtl/>
        </w:rPr>
        <w:t xml:space="preserve">‌وسياق الموت. راجع : </w:t>
      </w:r>
      <w:r w:rsidR="00E3253D" w:rsidRPr="002F4D34">
        <w:rPr>
          <w:rStyle w:val="libFootnoteBoldChar"/>
          <w:rtl/>
        </w:rPr>
        <w:t>النهاية</w:t>
      </w:r>
      <w:r w:rsidR="00E3253D" w:rsidRPr="005D642E">
        <w:rPr>
          <w:rtl/>
        </w:rPr>
        <w:t xml:space="preserve"> ، ج 1 ، ص 312 ( جود )</w:t>
      </w:r>
      <w:r w:rsidR="00E3253D">
        <w:rPr>
          <w:rtl/>
        </w:rPr>
        <w:t>.</w:t>
      </w:r>
    </w:p>
    <w:tbl>
      <w:tblPr>
        <w:tblStyle w:val="TableGrid"/>
        <w:bidiVisual/>
        <w:tblW w:w="0" w:type="auto"/>
        <w:tblLook w:val="04A0" w:firstRow="1" w:lastRow="0" w:firstColumn="1" w:lastColumn="0" w:noHBand="0" w:noVBand="1"/>
      </w:tblPr>
      <w:tblGrid>
        <w:gridCol w:w="4006"/>
        <w:gridCol w:w="4006"/>
      </w:tblGrid>
      <w:tr w:rsidR="00A057B6" w:rsidTr="00A057B6">
        <w:tc>
          <w:tcPr>
            <w:tcW w:w="4006" w:type="dxa"/>
          </w:tcPr>
          <w:p w:rsidR="00A057B6" w:rsidRDefault="00A057B6" w:rsidP="00E3253D">
            <w:pPr>
              <w:pStyle w:val="libFootnote0"/>
              <w:rPr>
                <w:rStyle w:val="libFootnote0Char"/>
                <w:rtl/>
                <w:lang w:bidi="fa-IR"/>
              </w:rPr>
            </w:pPr>
            <w:r w:rsidRPr="0042621E">
              <w:rPr>
                <w:rStyle w:val="libFootnote0Char"/>
                <w:rtl/>
              </w:rPr>
              <w:t>(9).</w:t>
            </w:r>
            <w:r w:rsidRPr="005D642E">
              <w:rPr>
                <w:rtl/>
              </w:rPr>
              <w:t xml:space="preserve"> في « جح » : « لصاحبي</w:t>
            </w:r>
            <w:r>
              <w:rPr>
                <w:rtl/>
              </w:rPr>
              <w:t xml:space="preserve"> ».</w:t>
            </w:r>
          </w:p>
        </w:tc>
        <w:tc>
          <w:tcPr>
            <w:tcW w:w="4006" w:type="dxa"/>
          </w:tcPr>
          <w:p w:rsidR="00A057B6" w:rsidRDefault="00A057B6" w:rsidP="00E3253D">
            <w:pPr>
              <w:pStyle w:val="libFootnote0"/>
              <w:rPr>
                <w:rStyle w:val="libFootnote0Char"/>
                <w:rtl/>
                <w:lang w:bidi="fa-IR"/>
              </w:rPr>
            </w:pPr>
            <w:r w:rsidRPr="0042621E">
              <w:rPr>
                <w:rStyle w:val="libFootnote0Char"/>
                <w:rtl/>
              </w:rPr>
              <w:t>(10).</w:t>
            </w:r>
            <w:r w:rsidRPr="005D642E">
              <w:rPr>
                <w:rtl/>
              </w:rPr>
              <w:t xml:space="preserve"> في « جس » :</w:t>
            </w:r>
            <w:r>
              <w:rPr>
                <w:rtl/>
              </w:rPr>
              <w:t xml:space="preserve"> - </w:t>
            </w:r>
            <w:r w:rsidRPr="005D642E">
              <w:rPr>
                <w:rtl/>
              </w:rPr>
              <w:t>« فيجزع أهله</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 « بناحية</w:t>
      </w:r>
      <w:r w:rsidR="00E3253D">
        <w:rPr>
          <w:rtl/>
        </w:rPr>
        <w:t xml:space="preserve"> ».</w:t>
      </w:r>
      <w:r w:rsidR="00E3253D" w:rsidRPr="005D642E">
        <w:rPr>
          <w:rtl/>
        </w:rPr>
        <w:t xml:space="preserve"> وفي « بخ » وحاشية « بث » : « من ناحية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057B6" w:rsidTr="00A057B6">
        <w:tc>
          <w:tcPr>
            <w:tcW w:w="4006" w:type="dxa"/>
          </w:tcPr>
          <w:p w:rsidR="00A057B6" w:rsidRDefault="00A057B6" w:rsidP="00E3253D">
            <w:pPr>
              <w:pStyle w:val="libFootnote0"/>
              <w:rPr>
                <w:rStyle w:val="libFootnote0Char"/>
                <w:rtl/>
                <w:lang w:bidi="fa-IR"/>
              </w:rPr>
            </w:pPr>
            <w:r w:rsidRPr="0042621E">
              <w:rPr>
                <w:rStyle w:val="libFootnote0Char"/>
                <w:rtl/>
              </w:rPr>
              <w:t>(12).</w:t>
            </w:r>
            <w:r w:rsidRPr="005D642E">
              <w:rPr>
                <w:rtl/>
              </w:rPr>
              <w:t xml:space="preserve"> في « جس » : « فنقول</w:t>
            </w:r>
            <w:r>
              <w:rPr>
                <w:rtl/>
              </w:rPr>
              <w:t xml:space="preserve"> ».</w:t>
            </w:r>
          </w:p>
        </w:tc>
        <w:tc>
          <w:tcPr>
            <w:tcW w:w="4006" w:type="dxa"/>
          </w:tcPr>
          <w:p w:rsidR="00A057B6" w:rsidRDefault="00A057B6" w:rsidP="00E3253D">
            <w:pPr>
              <w:pStyle w:val="libFootnote0"/>
              <w:rPr>
                <w:rStyle w:val="libFootnote0Char"/>
                <w:rtl/>
                <w:lang w:bidi="fa-IR"/>
              </w:rPr>
            </w:pPr>
            <w:r w:rsidRPr="0042621E">
              <w:rPr>
                <w:rStyle w:val="libFootnote0Char"/>
                <w:rtl/>
              </w:rPr>
              <w:t>(13).</w:t>
            </w:r>
            <w:r w:rsidRPr="005D642E">
              <w:rPr>
                <w:rtl/>
              </w:rPr>
              <w:t xml:space="preserve"> في « جس » : « ما تعجّلنا</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وَمَا كَانَ لَنَا فِي قَبْضِهِ مِنْ ذَنْبٍ ، فَإِنْ تَحْتَسِبُوهُ </w:t>
      </w:r>
      <w:r w:rsidRPr="007C12DB">
        <w:rPr>
          <w:rStyle w:val="libFootnotenumChar"/>
          <w:rtl/>
        </w:rPr>
        <w:t>(1)</w:t>
      </w:r>
      <w:r w:rsidRPr="005D642E">
        <w:rPr>
          <w:rtl/>
          <w:lang w:bidi="fa-IR"/>
        </w:rPr>
        <w:t xml:space="preserve"> وَتَصْبِرُوا ، تُؤْجَرُوا ؛ وَإِنْ تَجْزَعُوا ، تَأْثَمُوا وَتُوزَرُوا </w:t>
      </w:r>
      <w:r w:rsidRPr="007C12DB">
        <w:rPr>
          <w:rStyle w:val="libFootnotenumChar"/>
          <w:rtl/>
        </w:rPr>
        <w:t>(2)</w:t>
      </w:r>
      <w:r w:rsidRPr="005D642E">
        <w:rPr>
          <w:rtl/>
          <w:lang w:bidi="fa-IR"/>
        </w:rPr>
        <w:t xml:space="preserve"> ، وَاعْلَمُوا أَنَّ لَنَا فِيكُمْ عَوْدَةً ، ثُمَّ عَوْدَةً ، فَالْحَذَرَ الْحَذَرَ </w:t>
      </w:r>
      <w:r w:rsidRPr="007C12DB">
        <w:rPr>
          <w:rStyle w:val="libFootnotenumChar"/>
          <w:rtl/>
        </w:rPr>
        <w:t>(3)</w:t>
      </w:r>
      <w:r w:rsidRPr="005D642E">
        <w:rPr>
          <w:rtl/>
          <w:lang w:bidi="fa-IR"/>
        </w:rPr>
        <w:t xml:space="preserve"> ؛ إِنَّهُ لَيْسَ فِي شَرْقِهَا وَلَافِي غَرْبِهَا </w:t>
      </w:r>
      <w:r w:rsidRPr="007C12DB">
        <w:rPr>
          <w:rStyle w:val="libFootnotenumChar"/>
          <w:rtl/>
        </w:rPr>
        <w:t>(4)</w:t>
      </w:r>
      <w:r w:rsidRPr="005D642E">
        <w:rPr>
          <w:rtl/>
          <w:lang w:bidi="fa-IR"/>
        </w:rPr>
        <w:t xml:space="preserve"> أَهْلُ بَيْتِ مَدَرٍ وَلَاوَبَرٍ </w:t>
      </w:r>
      <w:r w:rsidRPr="007C12DB">
        <w:rPr>
          <w:rStyle w:val="libFootnotenumChar"/>
          <w:rtl/>
        </w:rPr>
        <w:t>(5)</w:t>
      </w:r>
      <w:r w:rsidR="00A057B6">
        <w:rPr>
          <w:rtl/>
          <w:lang w:bidi="fa-IR"/>
        </w:rPr>
        <w:t xml:space="preserve"> إِل</w:t>
      </w:r>
      <w:r w:rsidR="00A057B6">
        <w:rPr>
          <w:rFonts w:hint="cs"/>
          <w:rtl/>
          <w:lang w:bidi="fa-IR"/>
        </w:rPr>
        <w:t>َّ</w:t>
      </w:r>
      <w:r w:rsidR="00A057B6">
        <w:rPr>
          <w:rtl/>
          <w:lang w:bidi="fa-IR"/>
        </w:rPr>
        <w:t>ا</w:t>
      </w:r>
      <w:r w:rsidRPr="005D642E">
        <w:rPr>
          <w:rtl/>
          <w:lang w:bidi="fa-IR"/>
        </w:rPr>
        <w:t xml:space="preserve"> وَأَنَا أَتَصَفَّحُهُمْ </w:t>
      </w:r>
      <w:r w:rsidRPr="007C12DB">
        <w:rPr>
          <w:rStyle w:val="libFootnotenumChar"/>
          <w:rtl/>
        </w:rPr>
        <w:t>(6)</w:t>
      </w:r>
      <w:r w:rsidRPr="005D642E">
        <w:rPr>
          <w:rtl/>
          <w:lang w:bidi="fa-IR"/>
        </w:rPr>
        <w:t xml:space="preserve"> فِي كُلِّ يَوْمٍ خَمْسَ مَرَّاتٍ ، وَلَأَنَا </w:t>
      </w:r>
      <w:r w:rsidRPr="007C12DB">
        <w:rPr>
          <w:rStyle w:val="libFootnotenumChar"/>
          <w:rtl/>
        </w:rPr>
        <w:t>(7)</w:t>
      </w:r>
      <w:r w:rsidRPr="005D642E">
        <w:rPr>
          <w:rtl/>
          <w:lang w:bidi="fa-IR"/>
        </w:rPr>
        <w:t xml:space="preserve"> أَعْلَمُ بِصَغِيرِهِمْ وَكَبِيرِهِمْ </w:t>
      </w:r>
      <w:r w:rsidRPr="007C12DB">
        <w:rPr>
          <w:rStyle w:val="libFootnotenumChar"/>
          <w:rtl/>
        </w:rPr>
        <w:t>(8)</w:t>
      </w:r>
      <w:r w:rsidRPr="005D642E">
        <w:rPr>
          <w:rtl/>
          <w:lang w:bidi="fa-IR"/>
        </w:rPr>
        <w:t xml:space="preserve"> مِنْهُمْ بِأَنْفُسِهِمْ ، وَلَوْ أَرَدْتُ قَبْضَ </w:t>
      </w:r>
      <w:r w:rsidRPr="007C12DB">
        <w:rPr>
          <w:rStyle w:val="libFootnotenumChar"/>
          <w:rtl/>
        </w:rPr>
        <w:t>(9)</w:t>
      </w:r>
      <w:r w:rsidRPr="005D642E">
        <w:rPr>
          <w:rtl/>
          <w:lang w:bidi="fa-IR"/>
        </w:rPr>
        <w:t xml:space="preserve"> رُوحِ بَعُوضَةٍ ، مَا قَدَرْتُ عَلَيْهَا حَتّى يَأْمُرَنِي رَبِّي بِهَا ، فَقَالَ رَسُولُ اللهِ </w:t>
      </w:r>
      <w:r w:rsidR="0042621E" w:rsidRPr="0042621E">
        <w:rPr>
          <w:rStyle w:val="libAlaemChar"/>
          <w:rtl/>
        </w:rPr>
        <w:t>صلى‌الله‌عليه‌وآله</w:t>
      </w:r>
      <w:r w:rsidRPr="005D642E">
        <w:rPr>
          <w:rtl/>
          <w:lang w:bidi="fa-IR"/>
        </w:rPr>
        <w:t xml:space="preserve"> : إِنَّمَا يَتَصَفَّحُهُمْ فِي مَوَاقِيتِ‌</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 ظ ، غ ، بث ، بس ، بف ، جح ، جس ، جن » </w:t>
      </w:r>
      <w:r w:rsidR="000D749A" w:rsidRPr="000D749A">
        <w:rPr>
          <w:rStyle w:val="libFootnoteBoldChar"/>
          <w:rtl/>
        </w:rPr>
        <w:t>والوافي</w:t>
      </w:r>
      <w:r w:rsidR="00E3253D" w:rsidRPr="005D642E">
        <w:rPr>
          <w:rtl/>
        </w:rPr>
        <w:t xml:space="preserve"> والوسائل ، ح 3618 والبحار. وفي « ى ، بح ، بخ » : « فإن تحسبوه</w:t>
      </w:r>
      <w:r w:rsidR="00E3253D">
        <w:rPr>
          <w:rtl/>
        </w:rPr>
        <w:t xml:space="preserve"> ».</w:t>
      </w:r>
      <w:r w:rsidR="00E3253D" w:rsidRPr="005D642E">
        <w:rPr>
          <w:rtl/>
        </w:rPr>
        <w:t xml:space="preserve"> وفي المطبوع : « فإن تحتسبوا</w:t>
      </w:r>
      <w:r w:rsidR="00E3253D">
        <w:rPr>
          <w:rtl/>
        </w:rPr>
        <w:t xml:space="preserve"> ».</w:t>
      </w:r>
      <w:r w:rsidR="00E3253D" w:rsidRPr="005D642E">
        <w:rPr>
          <w:rtl/>
        </w:rPr>
        <w:t xml:space="preserve"> وقوله : « فإن تحتسبوه » أي طلبوا وجه الله تعالى وثوابه ، فالاحتساب من الحسب ، كالاعتداد من العدّ ، وإنّما قيل لمن ينوي بعمله وجه الله : احتسبه ؛ لأنّ له حينئذٍ أن يعتدّ عمله فجُعل في مباشرة الفعل كأنّه معتدّ به. والاحتساب في الأعمال الصالحة ، وعند المكروهات هو البِدار إلى طلب الأجر وتحصيله بالتسليم والصبر ، أو باستعمال أنواع البرّ والقيام بها على الوجه المرسوم فيها طلباً </w:t>
      </w:r>
      <w:r w:rsidR="004D2965">
        <w:rPr>
          <w:rtl/>
        </w:rPr>
        <w:t>للثواب المرجوّ منها. وقال العل</w:t>
      </w:r>
      <w:r w:rsidR="004D2965">
        <w:rPr>
          <w:rFonts w:hint="cs"/>
          <w:rtl/>
        </w:rPr>
        <w:t>ّ</w:t>
      </w:r>
      <w:r w:rsidR="004D2965">
        <w:rPr>
          <w:rtl/>
        </w:rPr>
        <w:t>ا</w:t>
      </w:r>
      <w:r w:rsidR="00E3253D" w:rsidRPr="005D642E">
        <w:rPr>
          <w:rtl/>
        </w:rPr>
        <w:t>مة الفيض : « الاحتساب : توقّع الأجر من الله سبحانه</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1 ، ص 382 ( حسب ) ؛ </w:t>
      </w:r>
      <w:r w:rsidR="00E3253D" w:rsidRPr="002F4D34">
        <w:rPr>
          <w:rStyle w:val="libFootnoteBoldChar"/>
          <w:rtl/>
        </w:rPr>
        <w:t>الوافي</w:t>
      </w:r>
      <w:r w:rsidR="00E3253D" w:rsidRPr="005D642E">
        <w:rPr>
          <w:rtl/>
        </w:rPr>
        <w:t xml:space="preserve"> ، ج 24 ، ص 261.</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تُوزَرُوا » أي تأثموا ، يقال : وَزِرَ يَوْزَرُ ، كعلم ووَزَرَ يَزِرُ ، كوعد ، ووُزِرَ يُوزَر بالبناء للمفعول فهو موزور ؛ من</w:t>
      </w:r>
      <w:r w:rsidR="004D2965">
        <w:rPr>
          <w:rFonts w:hint="cs"/>
          <w:rtl/>
        </w:rPr>
        <w:t xml:space="preserve"> </w:t>
      </w:r>
      <w:r w:rsidR="00E3253D" w:rsidRPr="005D642E">
        <w:rPr>
          <w:rtl/>
        </w:rPr>
        <w:t>‌الوِزْر بمعنى الإثم. قال ابن الأثير : « الوِزْر : الحِمْل والثقل ، وأكثر ما يطلق في الحديث على الذنب والإثم ، يقال : وزر ، يزر ، فهو وازر : إذا ح</w:t>
      </w:r>
      <w:r w:rsidR="004D2965">
        <w:rPr>
          <w:rtl/>
        </w:rPr>
        <w:t>مل ما يُثقل ظهره من الأشياء الم</w:t>
      </w:r>
      <w:r w:rsidR="004D2965">
        <w:rPr>
          <w:rFonts w:hint="cs"/>
          <w:rtl/>
        </w:rPr>
        <w:t>ـُ</w:t>
      </w:r>
      <w:r w:rsidR="00E3253D" w:rsidRPr="005D642E">
        <w:rPr>
          <w:rtl/>
        </w:rPr>
        <w:t>ثقَلة ومن الذنوب</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845 ؛ </w:t>
      </w:r>
      <w:r w:rsidR="00E3253D" w:rsidRPr="002F4D34">
        <w:rPr>
          <w:rStyle w:val="libFootnoteBoldChar"/>
          <w:rtl/>
        </w:rPr>
        <w:t>النهاية</w:t>
      </w:r>
      <w:r w:rsidR="00E3253D" w:rsidRPr="005D642E">
        <w:rPr>
          <w:rtl/>
        </w:rPr>
        <w:t xml:space="preserve"> ، ج 5 ، ص 179 ؛ </w:t>
      </w:r>
      <w:r w:rsidR="00E3253D" w:rsidRPr="002F4D34">
        <w:rPr>
          <w:rStyle w:val="libFootnoteBoldChar"/>
          <w:rtl/>
        </w:rPr>
        <w:t>القاموس المحيط</w:t>
      </w:r>
      <w:r w:rsidR="00E3253D" w:rsidRPr="005D642E">
        <w:rPr>
          <w:rtl/>
        </w:rPr>
        <w:t xml:space="preserve"> ، ج 1 ، ص 681 ( وزر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 « فالحذر</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الوافي</w:t>
      </w:r>
      <w:r w:rsidR="00E3253D" w:rsidRPr="005D642E">
        <w:rPr>
          <w:rtl/>
        </w:rPr>
        <w:t xml:space="preserve"> : « الضمير في شرقها وغربها للأرض وإن لم يجر لها ذكر اعتماداً على القرينة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4D2965">
        <w:rPr>
          <w:rtl/>
        </w:rPr>
        <w:t xml:space="preserve"> « الم</w:t>
      </w:r>
      <w:r w:rsidR="004D2965">
        <w:rPr>
          <w:rFonts w:hint="cs"/>
          <w:rtl/>
        </w:rPr>
        <w:t>ـَ</w:t>
      </w:r>
      <w:r w:rsidR="00E3253D" w:rsidRPr="005D642E">
        <w:rPr>
          <w:rtl/>
        </w:rPr>
        <w:t xml:space="preserve">دَرُ » : البِنْية والطين المتماسك ، </w:t>
      </w:r>
      <w:r w:rsidR="00E3253D">
        <w:rPr>
          <w:rtl/>
        </w:rPr>
        <w:t>و «</w:t>
      </w:r>
      <w:r w:rsidR="00E3253D" w:rsidRPr="005D642E">
        <w:rPr>
          <w:rtl/>
        </w:rPr>
        <w:t xml:space="preserve"> الوَبَر » : هو للإبل ونحوه كالصوف للغنم. وأهل بيت المدر : هم أهل القرى والأمصار ؛ لأنّ هؤلاء بيوتهم من الطين. وأهل بيت الوبر : هم سكّان الخيام من أهل البوادي ؛ لأنّ هؤلاء بيوتهم من الشعر أو من وبر الإبل. راجع : </w:t>
      </w:r>
      <w:r w:rsidR="00E3253D" w:rsidRPr="002F4D34">
        <w:rPr>
          <w:rStyle w:val="libFootnoteBoldChar"/>
          <w:rtl/>
        </w:rPr>
        <w:t>النهاية</w:t>
      </w:r>
      <w:r w:rsidR="00E3253D" w:rsidRPr="005D642E">
        <w:rPr>
          <w:rtl/>
        </w:rPr>
        <w:t xml:space="preserve"> ، ج 4 ، ص 309 ( مدر ) ؛ وج 5 ، ص 145 ( وبر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تصفّح الشي‌ء : النظر في صفحاته. قال الشيخ البهائي : « لعلّ المراد به أنّه تنظر إلى صفحات وجوههم نظر المترقّب إلى حلول آجالهم والمنتظر لأمر الله سبحانه فيهم</w:t>
      </w:r>
      <w:r w:rsidR="00E3253D">
        <w:rPr>
          <w:rtl/>
        </w:rPr>
        <w:t xml:space="preserve"> ».</w:t>
      </w:r>
      <w:r w:rsidR="004D2965">
        <w:rPr>
          <w:rtl/>
        </w:rPr>
        <w:t xml:space="preserve"> وقال العل</w:t>
      </w:r>
      <w:r w:rsidR="004D2965">
        <w:rPr>
          <w:rFonts w:hint="cs"/>
          <w:rtl/>
        </w:rPr>
        <w:t>ّ</w:t>
      </w:r>
      <w:r w:rsidR="004D2965">
        <w:rPr>
          <w:rtl/>
        </w:rPr>
        <w:t>ا</w:t>
      </w:r>
      <w:r w:rsidR="00E3253D" w:rsidRPr="005D642E">
        <w:rPr>
          <w:rtl/>
        </w:rPr>
        <w:t>مة الفيض : « أتصفّحهم ، أتطلّع عليهم وأتفقّدهم</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1 ، ص 383 ( صفح ) ؛ </w:t>
      </w:r>
      <w:r w:rsidR="00E3253D" w:rsidRPr="002F4D34">
        <w:rPr>
          <w:rStyle w:val="libFootnoteBoldChar"/>
          <w:rtl/>
        </w:rPr>
        <w:t>الحبل المتين</w:t>
      </w:r>
      <w:r w:rsidR="00E3253D" w:rsidRPr="005D642E">
        <w:rPr>
          <w:rtl/>
        </w:rPr>
        <w:t xml:space="preserve"> ، ص 200.</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وأنا</w:t>
      </w:r>
      <w:r w:rsidR="00E3253D">
        <w:rPr>
          <w:rtl/>
        </w:rPr>
        <w:t xml:space="preserve"> ».</w:t>
      </w:r>
      <w:r w:rsidR="00E3253D" w:rsidRPr="005D642E">
        <w:rPr>
          <w:rtl/>
        </w:rPr>
        <w:t xml:space="preserve"> وفي « بف » </w:t>
      </w:r>
      <w:r w:rsidR="000D749A" w:rsidRPr="000D749A">
        <w:rPr>
          <w:rStyle w:val="libFootnoteBoldChar"/>
          <w:rtl/>
        </w:rPr>
        <w:t>والوافي</w:t>
      </w:r>
      <w:r w:rsidR="00E3253D" w:rsidRPr="005D642E">
        <w:rPr>
          <w:rtl/>
        </w:rPr>
        <w:t xml:space="preserve"> : « فلأنا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وكبيرهم</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بف » : « اقبض</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الصَّلَاةِ ، فَإِنْ كَانَ مِمَّنْ يُوَاظِبُ </w:t>
      </w:r>
      <w:r w:rsidRPr="007C12DB">
        <w:rPr>
          <w:rStyle w:val="libFootnotenumChar"/>
          <w:rtl/>
        </w:rPr>
        <w:t>(1)</w:t>
      </w:r>
      <w:r w:rsidRPr="005D642E">
        <w:rPr>
          <w:rtl/>
          <w:lang w:bidi="fa-IR"/>
        </w:rPr>
        <w:t xml:space="preserve"> عَلَيْهَا عِنْدَ مَوَاقِيتِهَا ، لَقَّنَهُ </w:t>
      </w:r>
      <w:r w:rsidRPr="007C12DB">
        <w:rPr>
          <w:rStyle w:val="libFootnotenumChar"/>
          <w:rtl/>
        </w:rPr>
        <w:t>(2)</w:t>
      </w:r>
      <w:r w:rsidRPr="005D642E">
        <w:rPr>
          <w:rtl/>
          <w:lang w:bidi="fa-IR"/>
        </w:rPr>
        <w:t xml:space="preserve"> شَهَادَةَ أَنْ لَا</w:t>
      </w:r>
      <w:r>
        <w:rPr>
          <w:rFonts w:hint="cs"/>
          <w:rtl/>
          <w:lang w:bidi="fa-IR"/>
        </w:rPr>
        <w:t xml:space="preserve"> </w:t>
      </w:r>
      <w:r w:rsidR="004D2965">
        <w:rPr>
          <w:rtl/>
          <w:lang w:bidi="fa-IR"/>
        </w:rPr>
        <w:t>إِلهَ إِل</w:t>
      </w:r>
      <w:r w:rsidR="004D2965">
        <w:rPr>
          <w:rFonts w:hint="cs"/>
          <w:rtl/>
          <w:lang w:bidi="fa-IR"/>
        </w:rPr>
        <w:t>َّ</w:t>
      </w:r>
      <w:r w:rsidR="004D2965">
        <w:rPr>
          <w:rtl/>
          <w:lang w:bidi="fa-IR"/>
        </w:rPr>
        <w:t>ا</w:t>
      </w:r>
      <w:r w:rsidRPr="005D642E">
        <w:rPr>
          <w:rtl/>
          <w:lang w:bidi="fa-IR"/>
        </w:rPr>
        <w:t xml:space="preserve"> اللهُ ، وَأَنَّ مُحَمَّداً رَسُولُ اللهِ ، وَنَحّى عَنْهُ </w:t>
      </w:r>
      <w:r w:rsidRPr="007C12DB">
        <w:rPr>
          <w:rStyle w:val="libFootnotenumChar"/>
          <w:rtl/>
        </w:rPr>
        <w:t>(3)</w:t>
      </w:r>
      <w:r w:rsidRPr="005D642E">
        <w:rPr>
          <w:rtl/>
          <w:lang w:bidi="fa-IR"/>
        </w:rPr>
        <w:t xml:space="preserve"> مَلَكُ الْمَوْتِ إِبْلِيسَ</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C92759">
        <w:rPr>
          <w:rtl/>
        </w:rPr>
        <w:t>4327</w:t>
      </w:r>
      <w:r w:rsidRPr="00246318">
        <w:rPr>
          <w:rStyle w:val="libBold2Char"/>
          <w:rtl/>
        </w:rPr>
        <w:t xml:space="preserve"> / 3.</w:t>
      </w:r>
      <w:r w:rsidRPr="005D642E">
        <w:rPr>
          <w:rtl/>
          <w:lang w:bidi="fa-IR"/>
        </w:rPr>
        <w:t xml:space="preserve"> عَلِيُّ بْنُ إِبْرَاهِيمَ ، عَنْ أَبِيهِ ، عَنِ ابْنِ مَحْبُوبٍ ، عَنِ الْمُفَضَّلِ بْنِ صَالِحٍ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حَضَرَ رَسُولُ اللهِ </w:t>
      </w:r>
      <w:r w:rsidR="0042621E" w:rsidRPr="0042621E">
        <w:rPr>
          <w:rStyle w:val="libAlaemChar"/>
          <w:rtl/>
        </w:rPr>
        <w:t>صلى‌الله‌عليه‌وآله</w:t>
      </w:r>
      <w:r w:rsidRPr="005D642E">
        <w:rPr>
          <w:rtl/>
          <w:lang w:bidi="fa-IR"/>
        </w:rPr>
        <w:t xml:space="preserve"> رَجُلاً مِنَ الْأَنْصَارِ وَكَانَتْ لَهُ حَالَةٌ </w:t>
      </w:r>
      <w:r w:rsidRPr="007C12DB">
        <w:rPr>
          <w:rStyle w:val="libFootnotenumChar"/>
          <w:rtl/>
        </w:rPr>
        <w:t>(5)</w:t>
      </w:r>
      <w:r w:rsidRPr="005D642E">
        <w:rPr>
          <w:rtl/>
          <w:lang w:bidi="fa-IR"/>
        </w:rPr>
        <w:t xml:space="preserve"> حَسَنَةٌ عِنْدَ رَسُولِ اللهِ </w:t>
      </w:r>
      <w:r w:rsidR="0042621E" w:rsidRPr="0042621E">
        <w:rPr>
          <w:rStyle w:val="libAlaemChar"/>
          <w:rtl/>
        </w:rPr>
        <w:t>صلى‌الله‌عليه‌وآله</w:t>
      </w:r>
      <w:r w:rsidRPr="005D642E">
        <w:rPr>
          <w:rtl/>
          <w:lang w:bidi="fa-IR"/>
        </w:rPr>
        <w:t xml:space="preserve"> ، فَحَضَرَهُ </w:t>
      </w:r>
      <w:r w:rsidRPr="007C12DB">
        <w:rPr>
          <w:rStyle w:val="libFootnotenumChar"/>
          <w:rtl/>
        </w:rPr>
        <w:t>(6)</w:t>
      </w:r>
      <w:r w:rsidRPr="005D642E">
        <w:rPr>
          <w:rtl/>
          <w:lang w:bidi="fa-IR"/>
        </w:rPr>
        <w:t xml:space="preserve"> عِنْدَ مَوْتِهِ ، فَنَظَرَ إِلى مَلَكِ الْمَوْتِ عِنْدَ رَأْسِهِ ، فَقَالَ لَهُ رَسُولُ اللهِ </w:t>
      </w:r>
      <w:r w:rsidR="0042621E" w:rsidRPr="0042621E">
        <w:rPr>
          <w:rStyle w:val="libAlaemChar"/>
          <w:rtl/>
        </w:rPr>
        <w:t>صلى‌الله‌عليه‌وآله</w:t>
      </w:r>
      <w:r w:rsidRPr="005D642E">
        <w:rPr>
          <w:rtl/>
          <w:lang w:bidi="fa-IR"/>
        </w:rPr>
        <w:t xml:space="preserve"> : ارْفُقْ بِصَاحِبِي ؛ فَإِنَّهُ مُؤْمِنٌ ، فَقَالَ لَهُ مَلَكُ الْمَوْتِ : يَا مُحَمَّدُ ، طِبْ نَفْساً ، وَقَرَّ عَيْناً ؛ فَإِنِّي بِكُلِّ مُؤْمِنٍ رَفِيقٌ شَفِيقٌ ، وَاعْلَمْ يَا مُحَمَّدُ ، إِنِّي لَأَحْضُرُ ابْنَ آدَمَ عِنْدَ قَبْضِ رُوحِهِ ، فَإِذَا قَبَضْتُهُ صَرَخَ صَارِخٌ مِنْ أَهْلِهِ عِنْدَ ذلِكَ ، فَأَتَنَحّى فِي جَانِبِ الدَّارِ وَمَعِي رُوحُهُ ، فَأَقُولُ لَهُمْ : وَاللهِ ، مَا ظَلَمْنَاهُ ، وَلَاسَبَقْنَا بِهِ أَجَلَهُ ، وَلَا</w:t>
      </w:r>
      <w:r>
        <w:rPr>
          <w:rFonts w:hint="cs"/>
          <w:rtl/>
          <w:lang w:bidi="fa-IR"/>
        </w:rPr>
        <w:t xml:space="preserve"> </w:t>
      </w:r>
      <w:r w:rsidRPr="005D642E">
        <w:rPr>
          <w:rtl/>
          <w:lang w:bidi="fa-IR"/>
        </w:rPr>
        <w:t xml:space="preserve">اسْتَعْجَلْنَا بِهِ قَدَرَهُ ، وَمَا كَانَ لَنَا فِي قَبْضِ رُوحِهِ مِنْ ذَنْبٍ ، فَإِنْ تَرْضَوْا بِمَا صَنَعَ اللهُ بِهِ </w:t>
      </w:r>
      <w:r w:rsidRPr="007C12DB">
        <w:rPr>
          <w:rStyle w:val="libFootnotenumChar"/>
          <w:rtl/>
        </w:rPr>
        <w:t>(7)</w:t>
      </w:r>
      <w:r w:rsidRPr="005D642E">
        <w:rPr>
          <w:rtl/>
          <w:lang w:bidi="fa-IR"/>
        </w:rPr>
        <w:t xml:space="preserve"> وَتَصْبِرُوا ، تُؤْجَرُوا وَتُحْمَدُوا ؛ وَإِنْ تَجْزَعُوا وَتَسْخَطُوا </w:t>
      </w:r>
      <w:r w:rsidRPr="007C12DB">
        <w:rPr>
          <w:rStyle w:val="libFootnotenumChar"/>
          <w:rtl/>
        </w:rPr>
        <w:t>(8)</w:t>
      </w:r>
      <w:r w:rsidRPr="005D642E">
        <w:rPr>
          <w:rtl/>
          <w:lang w:bidi="fa-IR"/>
        </w:rPr>
        <w:t xml:space="preserve"> ، تَأْثَمُوا وَتُوزَرُوا ، وَمَا لَكُمْ عِنْدَنَا مِنْ عُتْبى </w:t>
      </w:r>
      <w:r w:rsidRPr="007C12DB">
        <w:rPr>
          <w:rStyle w:val="libFootnotenumChar"/>
          <w:rtl/>
        </w:rPr>
        <w:t>(9)</w:t>
      </w:r>
      <w:r w:rsidRPr="005D642E">
        <w:rPr>
          <w:rtl/>
          <w:lang w:bidi="fa-IR"/>
        </w:rPr>
        <w:t xml:space="preserve"> ، وَإِنَّ لَنَا عِنْدَكُمْ أَيْضاً‌</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D2965" w:rsidTr="004D2965">
        <w:tc>
          <w:tcPr>
            <w:tcW w:w="4006" w:type="dxa"/>
          </w:tcPr>
          <w:p w:rsidR="004D2965" w:rsidRDefault="004D2965" w:rsidP="00E3253D">
            <w:pPr>
              <w:pStyle w:val="libFootnote0"/>
              <w:rPr>
                <w:rStyle w:val="libFootnote0Char"/>
                <w:rtl/>
              </w:rPr>
            </w:pPr>
            <w:r w:rsidRPr="0042621E">
              <w:rPr>
                <w:rStyle w:val="libFootnote0Char"/>
                <w:rtl/>
              </w:rPr>
              <w:t>(1).</w:t>
            </w:r>
            <w:r>
              <w:rPr>
                <w:rtl/>
              </w:rPr>
              <w:t xml:space="preserve"> </w:t>
            </w:r>
            <w:r w:rsidRPr="005D642E">
              <w:rPr>
                <w:rtl/>
              </w:rPr>
              <w:t>في الوافي : « واظب</w:t>
            </w:r>
            <w:r>
              <w:rPr>
                <w:rtl/>
              </w:rPr>
              <w:t xml:space="preserve"> ».</w:t>
            </w:r>
          </w:p>
        </w:tc>
        <w:tc>
          <w:tcPr>
            <w:tcW w:w="4006" w:type="dxa"/>
          </w:tcPr>
          <w:p w:rsidR="004D2965" w:rsidRDefault="004D2965" w:rsidP="00E3253D">
            <w:pPr>
              <w:pStyle w:val="libFootnote0"/>
              <w:rPr>
                <w:rStyle w:val="libFootnote0Char"/>
                <w:rtl/>
              </w:rPr>
            </w:pPr>
            <w:r w:rsidRPr="0042621E">
              <w:rPr>
                <w:rStyle w:val="libFootnote0Char"/>
                <w:rtl/>
              </w:rPr>
              <w:t>(2).</w:t>
            </w:r>
            <w:r w:rsidRPr="005D642E">
              <w:rPr>
                <w:rtl/>
              </w:rPr>
              <w:t xml:space="preserve"> في « جح » : « لقّنته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عنه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النوادر ، ح 4761 ، بسند آخر وتمام الرواية فيه. </w:t>
      </w:r>
      <w:r w:rsidR="005A3CDE">
        <w:rPr>
          <w:rtl/>
        </w:rPr>
        <w:t>« ما من أهل بيت شعر ولا وبر إل</w:t>
      </w:r>
      <w:r w:rsidR="005A3CDE">
        <w:rPr>
          <w:rFonts w:hint="cs"/>
          <w:rtl/>
        </w:rPr>
        <w:t>ّ</w:t>
      </w:r>
      <w:r w:rsidR="005A3CDE">
        <w:rPr>
          <w:rtl/>
        </w:rPr>
        <w:t>ا</w:t>
      </w:r>
      <w:r w:rsidR="00E3253D" w:rsidRPr="005D642E">
        <w:rPr>
          <w:rtl/>
        </w:rPr>
        <w:t xml:space="preserve"> وملك الموت يتصفّحهم في كلّ يوم خمس مرّات </w:t>
      </w:r>
      <w:r w:rsidR="005A3CDE">
        <w:rPr>
          <w:rFonts w:hint="cs"/>
          <w:rtl/>
        </w:rPr>
        <w:t>.</w:t>
      </w:r>
      <w:r w:rsidR="00E3253D" w:rsidRPr="002F4D34">
        <w:rPr>
          <w:rStyle w:val="libFootnoteBoldChar"/>
          <w:rtl/>
        </w:rPr>
        <w:t>الوافي</w:t>
      </w:r>
      <w:r w:rsidR="00E3253D" w:rsidRPr="005D642E">
        <w:rPr>
          <w:rtl/>
        </w:rPr>
        <w:t xml:space="preserve"> ، ج 24 ، ص 261 ، ح 23999. وفي </w:t>
      </w:r>
      <w:r w:rsidR="00E3253D" w:rsidRPr="002F4D34">
        <w:rPr>
          <w:rStyle w:val="libFootnoteBoldChar"/>
          <w:rtl/>
        </w:rPr>
        <w:t>الوسائل</w:t>
      </w:r>
      <w:r w:rsidR="00E3253D" w:rsidRPr="005D642E">
        <w:rPr>
          <w:rtl/>
        </w:rPr>
        <w:t xml:space="preserve"> ، ج 2 ، ص 455 ، ح 2632 ؛ وج 3 ، ص 269 ، ح 3618 ؛ وج 4 ، ص 108 ، ح 4639 ، قطعات منه.</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بف ، جس » وحاشية « بث » </w:t>
      </w:r>
      <w:r w:rsidR="000D749A" w:rsidRPr="000D749A">
        <w:rPr>
          <w:rStyle w:val="libFootnoteBoldChar"/>
          <w:rtl/>
        </w:rPr>
        <w:t>والوافي</w:t>
      </w:r>
      <w:r w:rsidR="00E3253D" w:rsidRPr="005D642E">
        <w:rPr>
          <w:rtl/>
        </w:rPr>
        <w:t xml:space="preserve"> : « حال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 « فحضر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ى ، بث ، بح ، بس ، جح ، جس ، جن » :</w:t>
      </w:r>
      <w:r w:rsidR="00E3253D">
        <w:rPr>
          <w:rtl/>
        </w:rPr>
        <w:t xml:space="preserve"> </w:t>
      </w:r>
      <w:r w:rsidR="007642BC">
        <w:rPr>
          <w:rtl/>
        </w:rPr>
        <w:t>-</w:t>
      </w:r>
      <w:r w:rsidR="00E3253D">
        <w:rPr>
          <w:rtl/>
        </w:rPr>
        <w:t xml:space="preserve"> </w:t>
      </w:r>
      <w:r w:rsidR="00E3253D" w:rsidRPr="005D642E">
        <w:rPr>
          <w:rtl/>
        </w:rPr>
        <w:t>« به</w:t>
      </w:r>
      <w:r w:rsidR="00E3253D">
        <w:rPr>
          <w:rtl/>
        </w:rPr>
        <w:t xml:space="preserve"> ».</w:t>
      </w:r>
      <w:r w:rsidR="00E3253D" w:rsidRPr="005D642E">
        <w:rPr>
          <w:rtl/>
        </w:rPr>
        <w:t xml:space="preserve"> وما في المتن مطابق للمطبوع </w:t>
      </w:r>
      <w:r w:rsidR="00E3253D">
        <w:rPr>
          <w:rtl/>
        </w:rPr>
        <w:t>و «</w:t>
      </w:r>
      <w:r w:rsidR="00E3253D" w:rsidRPr="005D642E">
        <w:rPr>
          <w:rtl/>
        </w:rPr>
        <w:t xml:space="preserve"> بخ ، بف » </w:t>
      </w:r>
      <w:r w:rsidR="000D749A" w:rsidRPr="000D749A">
        <w:rPr>
          <w:rStyle w:val="libFootnoteBoldChar"/>
          <w:rtl/>
        </w:rPr>
        <w:t>والوافي</w:t>
      </w:r>
      <w:r w:rsidR="00E3253D" w:rsidRPr="005D642E">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 « تسخطوا » بدون الواو.</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حاشية « بث ، بخ » ومرآة العقول : « عتب</w:t>
      </w:r>
      <w:r w:rsidR="00E3253D">
        <w:rPr>
          <w:rtl/>
        </w:rPr>
        <w:t xml:space="preserve"> ».</w:t>
      </w:r>
      <w:r w:rsidR="00E3253D" w:rsidRPr="005D642E">
        <w:rPr>
          <w:rtl/>
        </w:rPr>
        <w:t xml:space="preserve"> </w:t>
      </w:r>
      <w:r w:rsidR="00E3253D">
        <w:rPr>
          <w:rtl/>
        </w:rPr>
        <w:t>و «</w:t>
      </w:r>
      <w:r w:rsidR="00E3253D" w:rsidRPr="005D642E">
        <w:rPr>
          <w:rtl/>
        </w:rPr>
        <w:t xml:space="preserve"> العُتْبى » : الرضا ، والرجوع عن الذنب والإساءة ، اسم من </w:t>
      </w:r>
      <w:r w:rsidR="005A3CDE">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لَبَقِيَّةً </w:t>
      </w:r>
      <w:r w:rsidRPr="007C12DB">
        <w:rPr>
          <w:rStyle w:val="libFootnotenumChar"/>
          <w:rtl/>
        </w:rPr>
        <w:t>(1)</w:t>
      </w:r>
      <w:r w:rsidRPr="005D642E">
        <w:rPr>
          <w:rtl/>
          <w:lang w:bidi="fa-IR"/>
        </w:rPr>
        <w:t xml:space="preserve"> وَعَوْدَةً </w:t>
      </w:r>
      <w:r w:rsidRPr="007C12DB">
        <w:rPr>
          <w:rStyle w:val="libFootnotenumChar"/>
          <w:rtl/>
        </w:rPr>
        <w:t>(2)</w:t>
      </w:r>
      <w:r w:rsidRPr="005D642E">
        <w:rPr>
          <w:rtl/>
          <w:lang w:bidi="fa-IR"/>
        </w:rPr>
        <w:t xml:space="preserve"> ، فَالْحَذَرَ الْحَذَرَ ، فَمَا مِنْ أَهْلِ بَيْتِ مَدَرٍ وَلَاشَع</w:t>
      </w:r>
      <w:r w:rsidR="005A3CDE">
        <w:rPr>
          <w:rtl/>
          <w:lang w:bidi="fa-IR"/>
        </w:rPr>
        <w:t>ْرٍ فِي بَرٍّ وَلَابَحْرٍ إِل</w:t>
      </w:r>
      <w:r w:rsidR="005A3CDE">
        <w:rPr>
          <w:rFonts w:hint="cs"/>
          <w:rtl/>
          <w:lang w:bidi="fa-IR"/>
        </w:rPr>
        <w:t>َّ</w:t>
      </w:r>
      <w:r w:rsidR="005A3CDE">
        <w:rPr>
          <w:rtl/>
          <w:lang w:bidi="fa-IR"/>
        </w:rPr>
        <w:t>ا</w:t>
      </w:r>
      <w:r w:rsidRPr="005D642E">
        <w:rPr>
          <w:rtl/>
          <w:lang w:bidi="fa-IR"/>
        </w:rPr>
        <w:t xml:space="preserve"> وَأَنَا أَتَصَفَّحُهُمْ فِي كُلِّ يَوْمٍ خَمْسَ مَرَّاتٍ عِنْدَ مَوَاقِيتِ الصَّلَاةِ حَتّى لَأَنَا أَعْلَمُ مِنْهُمْ بِأَنْفُسِهِمْ ، وَلَوْ أَنِّي </w:t>
      </w:r>
      <w:r w:rsidRPr="007C12DB">
        <w:rPr>
          <w:rStyle w:val="libFootnotenumChar"/>
          <w:rtl/>
        </w:rPr>
        <w:t>(3)</w:t>
      </w:r>
      <w:r w:rsidRPr="005D642E">
        <w:rPr>
          <w:rtl/>
          <w:lang w:bidi="fa-IR"/>
        </w:rPr>
        <w:t xml:space="preserve"> يَا مُحَمَّدُ ، أَرَدْتُ قَبْضَ </w:t>
      </w:r>
      <w:r w:rsidRPr="007C12DB">
        <w:rPr>
          <w:rStyle w:val="libFootnotenumChar"/>
          <w:rtl/>
        </w:rPr>
        <w:t>(4)</w:t>
      </w:r>
      <w:r w:rsidRPr="005D642E">
        <w:rPr>
          <w:rtl/>
          <w:lang w:bidi="fa-IR"/>
        </w:rPr>
        <w:t xml:space="preserve"> نَفْسِ </w:t>
      </w:r>
      <w:r w:rsidRPr="007C12DB">
        <w:rPr>
          <w:rStyle w:val="libFootnotenumChar"/>
          <w:rtl/>
        </w:rPr>
        <w:t>(5)</w:t>
      </w:r>
      <w:r w:rsidRPr="005D642E">
        <w:rPr>
          <w:rtl/>
          <w:lang w:bidi="fa-IR"/>
        </w:rPr>
        <w:t xml:space="preserve"> بَعُوضَةٍ ، مَا قَدَرْتُ عَلى قَبْضِهَا </w:t>
      </w:r>
      <w:r w:rsidRPr="007C12DB">
        <w:rPr>
          <w:rStyle w:val="libFootnotenumChar"/>
          <w:rtl/>
        </w:rPr>
        <w:t>(6)</w:t>
      </w:r>
      <w:r w:rsidRPr="005D642E">
        <w:rPr>
          <w:rtl/>
          <w:lang w:bidi="fa-IR"/>
        </w:rPr>
        <w:t xml:space="preserve"> حَتّى يَكُونَ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هُوَ الْآمِرَ بِقَبْضِهَا ، وَإِنِّي لَمُلَقِّنُ الْمُؤْمِنِ عِنْدَ مَوْتِهِ شَهَادَةَ أَنْ لَا</w:t>
      </w:r>
      <w:r>
        <w:rPr>
          <w:rFonts w:hint="cs"/>
          <w:rtl/>
          <w:lang w:bidi="fa-IR"/>
        </w:rPr>
        <w:t xml:space="preserve"> </w:t>
      </w:r>
      <w:r w:rsidRPr="005D642E">
        <w:rPr>
          <w:rtl/>
          <w:lang w:bidi="fa-IR"/>
        </w:rPr>
        <w:t>إِل</w:t>
      </w:r>
      <w:r w:rsidR="005A3CDE">
        <w:rPr>
          <w:rtl/>
          <w:lang w:bidi="fa-IR"/>
        </w:rPr>
        <w:t>هَ إِل</w:t>
      </w:r>
      <w:r w:rsidR="005A3CDE">
        <w:rPr>
          <w:rFonts w:hint="cs"/>
          <w:rtl/>
          <w:lang w:bidi="fa-IR"/>
        </w:rPr>
        <w:t>َّ</w:t>
      </w:r>
      <w:r w:rsidR="005A3CDE">
        <w:rPr>
          <w:rtl/>
          <w:lang w:bidi="fa-IR"/>
        </w:rPr>
        <w:t>ا</w:t>
      </w:r>
      <w:r w:rsidRPr="005D642E">
        <w:rPr>
          <w:rtl/>
          <w:lang w:bidi="fa-IR"/>
        </w:rPr>
        <w:t xml:space="preserve"> اللهُ ، وَأَنَّ مُحَمَّداً رَسُولُ اللهِ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299" w:name="_Toc344647310"/>
      <w:bookmarkStart w:id="300" w:name="_Toc462226824"/>
      <w:bookmarkStart w:id="301" w:name="_Toc40975933"/>
      <w:r w:rsidRPr="005D642E">
        <w:rPr>
          <w:rtl/>
          <w:lang w:bidi="fa-IR"/>
        </w:rPr>
        <w:t>15</w:t>
      </w:r>
      <w:r>
        <w:rPr>
          <w:rtl/>
          <w:lang w:bidi="fa-IR"/>
        </w:rPr>
        <w:t xml:space="preserve"> </w:t>
      </w:r>
      <w:r w:rsidR="007642BC">
        <w:rPr>
          <w:rtl/>
          <w:lang w:bidi="fa-IR"/>
        </w:rPr>
        <w:t>-</w:t>
      </w:r>
      <w:r>
        <w:rPr>
          <w:rtl/>
          <w:lang w:bidi="fa-IR"/>
        </w:rPr>
        <w:t xml:space="preserve"> </w:t>
      </w:r>
      <w:r w:rsidRPr="005D642E">
        <w:rPr>
          <w:rtl/>
          <w:lang w:bidi="fa-IR"/>
        </w:rPr>
        <w:t>بَابُ تَعْجِيلِ الدَّفْنِ‌</w:t>
      </w:r>
      <w:bookmarkEnd w:id="299"/>
      <w:bookmarkEnd w:id="300"/>
      <w:bookmarkEnd w:id="301"/>
    </w:p>
    <w:p w:rsidR="00E3253D" w:rsidRPr="005D642E" w:rsidRDefault="00E3253D" w:rsidP="00E3253D">
      <w:pPr>
        <w:pStyle w:val="libNormal"/>
        <w:rPr>
          <w:rtl/>
          <w:lang w:bidi="fa-IR"/>
        </w:rPr>
      </w:pPr>
      <w:r w:rsidRPr="00C92759">
        <w:rPr>
          <w:rtl/>
        </w:rPr>
        <w:t>4328</w:t>
      </w:r>
      <w:r w:rsidRPr="00246318">
        <w:rPr>
          <w:rStyle w:val="libBold2Char"/>
          <w:rtl/>
        </w:rPr>
        <w:t xml:space="preserve"> / 1.</w:t>
      </w:r>
      <w:r w:rsidRPr="005D642E">
        <w:rPr>
          <w:rtl/>
          <w:lang w:bidi="fa-IR"/>
        </w:rPr>
        <w:t xml:space="preserve"> أَبُو عَلِيٍّ الْأَشْعَرِيُّ ، عَنْ مُحَمَّدِ بْنِ سَالِمٍ ، عَنْ أَحْمَدَ بْنِ النَّضْرِ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يَا مَعْشَرَ النَّاسِ ، لَا</w:t>
      </w:r>
      <w:r>
        <w:rPr>
          <w:rFonts w:hint="cs"/>
          <w:rtl/>
          <w:lang w:bidi="fa-IR"/>
        </w:rPr>
        <w:t xml:space="preserve"> </w:t>
      </w:r>
      <w:r w:rsidRPr="005D642E">
        <w:rPr>
          <w:rtl/>
          <w:lang w:bidi="fa-IR"/>
        </w:rPr>
        <w:t xml:space="preserve">أُلْفِيَنَّ </w:t>
      </w:r>
      <w:r w:rsidRPr="007C12DB">
        <w:rPr>
          <w:rStyle w:val="libFootnotenumChar"/>
          <w:rtl/>
        </w:rPr>
        <w:t>(8)</w:t>
      </w:r>
      <w:r w:rsidRPr="005D642E">
        <w:rPr>
          <w:rtl/>
          <w:lang w:bidi="fa-IR"/>
        </w:rPr>
        <w:t xml:space="preserve"> رَجُلاً مَاتَ‌</w:t>
      </w:r>
    </w:p>
    <w:p w:rsidR="00E3253D" w:rsidRPr="005D642E" w:rsidRDefault="00E3253D" w:rsidP="00E3253D">
      <w:pPr>
        <w:pStyle w:val="libLine"/>
        <w:rPr>
          <w:rtl/>
          <w:lang w:bidi="fa-IR"/>
        </w:rPr>
      </w:pPr>
      <w:r w:rsidRPr="005D642E">
        <w:rPr>
          <w:rtl/>
          <w:lang w:bidi="fa-IR"/>
        </w:rPr>
        <w:t>__________________</w:t>
      </w:r>
    </w:p>
    <w:p w:rsidR="00E3253D" w:rsidRPr="005D642E" w:rsidRDefault="005A3CDE" w:rsidP="00E3253D">
      <w:pPr>
        <w:pStyle w:val="libFootnote0"/>
        <w:rPr>
          <w:rtl/>
          <w:lang w:bidi="fa-IR"/>
        </w:rPr>
      </w:pPr>
      <w:r>
        <w:rPr>
          <w:rFonts w:hint="cs"/>
          <w:rtl/>
        </w:rPr>
        <w:t xml:space="preserve">= </w:t>
      </w:r>
      <w:r w:rsidR="00E3253D" w:rsidRPr="005D642E">
        <w:rPr>
          <w:rtl/>
        </w:rPr>
        <w:t>قولهم : أعتبه ، أي أعطاه العتبى وعاد إلى مسرّت</w:t>
      </w:r>
      <w:r>
        <w:rPr>
          <w:rtl/>
        </w:rPr>
        <w:t>ه راجعاً عن الإساءة. وقال العل</w:t>
      </w:r>
      <w:r>
        <w:rPr>
          <w:rFonts w:hint="cs"/>
          <w:rtl/>
        </w:rPr>
        <w:t>ّ</w:t>
      </w:r>
      <w:r>
        <w:rPr>
          <w:rtl/>
        </w:rPr>
        <w:t>ا</w:t>
      </w:r>
      <w:r w:rsidR="00E3253D" w:rsidRPr="005D642E">
        <w:rPr>
          <w:rtl/>
        </w:rPr>
        <w:t xml:space="preserve">مة المجلسي : « قوله </w:t>
      </w:r>
      <w:r w:rsidR="00E3253D" w:rsidRPr="005A3CDE">
        <w:rPr>
          <w:rStyle w:val="libFootnoteAlaemChar"/>
          <w:rtl/>
        </w:rPr>
        <w:t>عليه‌السلام</w:t>
      </w:r>
      <w:r w:rsidR="00E3253D" w:rsidRPr="005D642E">
        <w:rPr>
          <w:rtl/>
        </w:rPr>
        <w:t xml:space="preserve"> : من عتب ، وفي بعض النسخ : من عتبى</w:t>
      </w:r>
      <w:r w:rsidR="00E3253D">
        <w:rPr>
          <w:rtl/>
        </w:rPr>
        <w:t xml:space="preserve"> ..</w:t>
      </w:r>
      <w:r w:rsidR="00E3253D" w:rsidRPr="005D642E">
        <w:rPr>
          <w:rtl/>
        </w:rPr>
        <w:t>. ولعلّ المعنى : إذا فعلتم ذلك ومتّم عليه فلا ينفعكم الاستعتاب والاسترضاء ، أو ليس لكم علينا من عتاب ، أو ليس لكم أن تطلبوا منّا إرجاع ميّتكم إلى الدنيا ، والثاني إنّما هو على النسخة الا</w:t>
      </w:r>
      <w:r>
        <w:rPr>
          <w:rFonts w:hint="cs"/>
          <w:rtl/>
        </w:rPr>
        <w:t>ُ</w:t>
      </w:r>
      <w:r w:rsidR="00E3253D" w:rsidRPr="005D642E">
        <w:rPr>
          <w:rtl/>
        </w:rPr>
        <w:t>ولى</w:t>
      </w:r>
      <w:r w:rsidR="00E3253D">
        <w:rPr>
          <w:rtl/>
        </w:rPr>
        <w:t>».</w:t>
      </w:r>
      <w:r w:rsidR="00E3253D" w:rsidRPr="005D642E">
        <w:rPr>
          <w:rtl/>
        </w:rPr>
        <w:t xml:space="preserve"> راجع : </w:t>
      </w:r>
      <w:r w:rsidR="00E3253D" w:rsidRPr="002F4D34">
        <w:rPr>
          <w:rStyle w:val="libFootnoteBoldChar"/>
          <w:rtl/>
        </w:rPr>
        <w:t>النهاية</w:t>
      </w:r>
      <w:r w:rsidR="00E3253D" w:rsidRPr="005D642E">
        <w:rPr>
          <w:rtl/>
        </w:rPr>
        <w:t xml:space="preserve"> ، ج 3 ، ص 175 ؛ </w:t>
      </w:r>
      <w:r w:rsidR="00E3253D" w:rsidRPr="002F4D34">
        <w:rPr>
          <w:rStyle w:val="libFootnoteBoldChar"/>
          <w:rtl/>
        </w:rPr>
        <w:t>لسان العرب</w:t>
      </w:r>
      <w:r w:rsidR="00E3253D" w:rsidRPr="005D642E">
        <w:rPr>
          <w:rtl/>
        </w:rPr>
        <w:t xml:space="preserve"> ، ج 1 ، ص 578 ( عتب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 « بقيّة</w:t>
      </w:r>
      <w:r w:rsidR="00E3253D">
        <w:rPr>
          <w:rtl/>
        </w:rPr>
        <w:t xml:space="preserve"> ».</w:t>
      </w:r>
      <w:r w:rsidR="00E3253D" w:rsidRPr="005D642E">
        <w:rPr>
          <w:rtl/>
        </w:rPr>
        <w:t xml:space="preserve"> وفي « بخ ، بف » </w:t>
      </w:r>
      <w:r w:rsidR="000D749A" w:rsidRPr="000D749A">
        <w:rPr>
          <w:rStyle w:val="libFootnoteBoldChar"/>
          <w:rtl/>
        </w:rPr>
        <w:t>والوافي</w:t>
      </w:r>
      <w:r w:rsidR="00E3253D" w:rsidRPr="005D642E">
        <w:rPr>
          <w:rtl/>
        </w:rPr>
        <w:t xml:space="preserve"> : « عودة</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بف » </w:t>
      </w:r>
      <w:r w:rsidR="000D749A" w:rsidRPr="000D749A">
        <w:rPr>
          <w:rStyle w:val="libFootnoteBoldChar"/>
          <w:rtl/>
        </w:rPr>
        <w:t>والوافي</w:t>
      </w:r>
      <w:r w:rsidR="00E3253D" w:rsidRPr="005D642E">
        <w:rPr>
          <w:rtl/>
        </w:rPr>
        <w:t xml:space="preserve"> : « وبقيّة</w:t>
      </w:r>
      <w:r w:rsidR="00E3253D">
        <w:rPr>
          <w:rtl/>
        </w:rPr>
        <w:t xml:space="preserve"> ».</w:t>
      </w:r>
      <w:r w:rsidR="00E3253D" w:rsidRPr="005D642E">
        <w:rPr>
          <w:rtl/>
        </w:rPr>
        <w:t xml:space="preserve"> وفي حاشية « بث » : « ولعودة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A3CDE" w:rsidTr="005A3CDE">
        <w:tc>
          <w:tcPr>
            <w:tcW w:w="4006" w:type="dxa"/>
          </w:tcPr>
          <w:p w:rsidR="005A3CDE" w:rsidRDefault="005A3CDE" w:rsidP="00E3253D">
            <w:pPr>
              <w:pStyle w:val="libFootnote0"/>
              <w:rPr>
                <w:rStyle w:val="libFootnote0Char"/>
                <w:rtl/>
              </w:rPr>
            </w:pPr>
            <w:r w:rsidRPr="0042621E">
              <w:rPr>
                <w:rStyle w:val="libFootnote0Char"/>
                <w:rtl/>
              </w:rPr>
              <w:t>(3).</w:t>
            </w:r>
            <w:r w:rsidRPr="005D642E">
              <w:rPr>
                <w:rtl/>
              </w:rPr>
              <w:t xml:space="preserve"> في « بف » : « أنا</w:t>
            </w:r>
            <w:r>
              <w:rPr>
                <w:rtl/>
              </w:rPr>
              <w:t xml:space="preserve"> ».</w:t>
            </w:r>
          </w:p>
        </w:tc>
        <w:tc>
          <w:tcPr>
            <w:tcW w:w="4006" w:type="dxa"/>
          </w:tcPr>
          <w:p w:rsidR="005A3CDE" w:rsidRDefault="005A3CDE" w:rsidP="00E3253D">
            <w:pPr>
              <w:pStyle w:val="libFootnote0"/>
              <w:rPr>
                <w:rStyle w:val="libFootnote0Char"/>
                <w:rtl/>
              </w:rPr>
            </w:pPr>
            <w:r w:rsidRPr="0042621E">
              <w:rPr>
                <w:rStyle w:val="libFootnote0Char"/>
                <w:rtl/>
              </w:rPr>
              <w:t>(4).</w:t>
            </w:r>
            <w:r w:rsidRPr="005D642E">
              <w:rPr>
                <w:rtl/>
              </w:rPr>
              <w:t xml:space="preserve"> في « بف » : « أن أقبض</w:t>
            </w:r>
            <w:r>
              <w:rPr>
                <w:rtl/>
              </w:rPr>
              <w:t xml:space="preserve"> ».</w:t>
            </w:r>
          </w:p>
        </w:tc>
      </w:tr>
      <w:tr w:rsidR="005A3CDE" w:rsidTr="005A3CDE">
        <w:tc>
          <w:tcPr>
            <w:tcW w:w="4006" w:type="dxa"/>
          </w:tcPr>
          <w:p w:rsidR="005A3CDE" w:rsidRDefault="005A3CDE" w:rsidP="00E3253D">
            <w:pPr>
              <w:pStyle w:val="libFootnote0"/>
              <w:rPr>
                <w:rStyle w:val="libFootnote0Char"/>
                <w:rtl/>
              </w:rPr>
            </w:pPr>
            <w:r w:rsidRPr="0042621E">
              <w:rPr>
                <w:rStyle w:val="libFootnote0Char"/>
                <w:rtl/>
              </w:rPr>
              <w:t>(5).</w:t>
            </w:r>
            <w:r w:rsidRPr="005D642E">
              <w:rPr>
                <w:rtl/>
              </w:rPr>
              <w:t xml:space="preserve"> في « ظ » : « روح</w:t>
            </w:r>
            <w:r>
              <w:rPr>
                <w:rtl/>
              </w:rPr>
              <w:t xml:space="preserve"> ».</w:t>
            </w:r>
          </w:p>
        </w:tc>
        <w:tc>
          <w:tcPr>
            <w:tcW w:w="4006" w:type="dxa"/>
          </w:tcPr>
          <w:p w:rsidR="005A3CDE" w:rsidRDefault="005A3CDE" w:rsidP="00E3253D">
            <w:pPr>
              <w:pStyle w:val="libFootnote0"/>
              <w:rPr>
                <w:rStyle w:val="libFootnote0Char"/>
                <w:rtl/>
              </w:rPr>
            </w:pPr>
            <w:r w:rsidRPr="0042621E">
              <w:rPr>
                <w:rStyle w:val="libFootnote0Char"/>
                <w:rtl/>
              </w:rPr>
              <w:t>(6).</w:t>
            </w:r>
            <w:r w:rsidRPr="005D642E">
              <w:rPr>
                <w:rtl/>
              </w:rPr>
              <w:t xml:space="preserve"> في « ظ » : « عليها » بدل « على قبضها</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262 ، ح 24000 ؛ </w:t>
      </w:r>
      <w:r w:rsidR="00E3253D" w:rsidRPr="002F4D34">
        <w:rPr>
          <w:rStyle w:val="libFootnoteBoldChar"/>
          <w:rtl/>
        </w:rPr>
        <w:t>الوسائل</w:t>
      </w:r>
      <w:r w:rsidR="00E3253D" w:rsidRPr="005D642E">
        <w:rPr>
          <w:rtl/>
        </w:rPr>
        <w:t xml:space="preserve"> ، ج 2 ، ص 455 ، ح 2633 ، من قوله : « إنّي لملقّن المؤمن عند موته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بث ، بح ، بس » ومرآة العقول : « لا ا</w:t>
      </w:r>
      <w:r w:rsidR="005A3CDE">
        <w:rPr>
          <w:rFonts w:hint="cs"/>
          <w:rtl/>
        </w:rPr>
        <w:t>ُ</w:t>
      </w:r>
      <w:r w:rsidR="00E3253D" w:rsidRPr="005D642E">
        <w:rPr>
          <w:rtl/>
        </w:rPr>
        <w:t>لقينّ</w:t>
      </w:r>
      <w:r w:rsidR="00E3253D">
        <w:rPr>
          <w:rtl/>
        </w:rPr>
        <w:t xml:space="preserve"> ».</w:t>
      </w:r>
      <w:r w:rsidR="00E3253D" w:rsidRPr="005D642E">
        <w:rPr>
          <w:rtl/>
        </w:rPr>
        <w:t xml:space="preserve"> وفي « جس » : « لُالفينّ</w:t>
      </w:r>
      <w:r w:rsidR="00E3253D">
        <w:rPr>
          <w:rtl/>
        </w:rPr>
        <w:t xml:space="preserve"> ».</w:t>
      </w:r>
      <w:r w:rsidR="00E3253D" w:rsidRPr="005D642E">
        <w:rPr>
          <w:rtl/>
        </w:rPr>
        <w:t xml:space="preserve"> </w:t>
      </w:r>
      <w:r w:rsidR="00E3253D">
        <w:rPr>
          <w:rtl/>
        </w:rPr>
        <w:t>و «</w:t>
      </w:r>
      <w:r w:rsidR="00E3253D" w:rsidRPr="005D642E">
        <w:rPr>
          <w:rtl/>
        </w:rPr>
        <w:t xml:space="preserve"> لا أُلْفِيَنّ » ، أي لا أجد وألقى ، يقال : ألفيت الشى‌ء ا</w:t>
      </w:r>
      <w:r w:rsidR="005A3CDE">
        <w:rPr>
          <w:rFonts w:hint="cs"/>
          <w:rtl/>
        </w:rPr>
        <w:t>ُ</w:t>
      </w:r>
      <w:r w:rsidR="00E3253D" w:rsidRPr="005D642E">
        <w:rPr>
          <w:rtl/>
        </w:rPr>
        <w:t xml:space="preserve">لفيه إلفاءً ، إذا </w:t>
      </w:r>
      <w:r w:rsidR="005A3CDE">
        <w:rPr>
          <w:rtl/>
        </w:rPr>
        <w:t>وجدته وصادفته ولقيته. قال العل</w:t>
      </w:r>
      <w:r w:rsidR="005A3CDE">
        <w:rPr>
          <w:rFonts w:hint="cs"/>
          <w:rtl/>
        </w:rPr>
        <w:t>ّ</w:t>
      </w:r>
      <w:r w:rsidR="005A3CDE">
        <w:rPr>
          <w:rtl/>
        </w:rPr>
        <w:t>ا</w:t>
      </w:r>
      <w:r w:rsidR="00E3253D" w:rsidRPr="005D642E">
        <w:rPr>
          <w:rtl/>
        </w:rPr>
        <w:t xml:space="preserve">مة الفيض : « وفي بعض نسخ </w:t>
      </w:r>
      <w:r w:rsidR="00E3253D" w:rsidRPr="002F4D34">
        <w:rPr>
          <w:rStyle w:val="libFootnoteBoldChar"/>
          <w:rtl/>
        </w:rPr>
        <w:t>الفقيه</w:t>
      </w:r>
      <w:r w:rsidR="00E3253D" w:rsidRPr="005D642E">
        <w:rPr>
          <w:rtl/>
        </w:rPr>
        <w:t xml:space="preserve"> بالقاف من اللقاء ، ظاهره نهي نفسه عن الإلفاء أو اللقاء والمراد نهي المخاطبين عن الانتظار</w:t>
      </w:r>
      <w:r w:rsidR="00E3253D">
        <w:rPr>
          <w:rtl/>
        </w:rPr>
        <w:t xml:space="preserve"> ».</w:t>
      </w:r>
      <w:r w:rsidR="005A3CDE">
        <w:rPr>
          <w:rtl/>
        </w:rPr>
        <w:t xml:space="preserve"> وقال العل</w:t>
      </w:r>
      <w:r w:rsidR="005A3CDE">
        <w:rPr>
          <w:rFonts w:hint="cs"/>
          <w:rtl/>
        </w:rPr>
        <w:t>ّ</w:t>
      </w:r>
      <w:r w:rsidR="005A3CDE">
        <w:rPr>
          <w:rtl/>
        </w:rPr>
        <w:t>ا</w:t>
      </w:r>
      <w:r w:rsidR="00E3253D" w:rsidRPr="005D642E">
        <w:rPr>
          <w:rtl/>
        </w:rPr>
        <w:t xml:space="preserve">مة المجلسي : « قوله </w:t>
      </w:r>
      <w:r w:rsidR="00E3253D" w:rsidRPr="005A3CDE">
        <w:rPr>
          <w:rStyle w:val="libFootnoteAlaemChar"/>
          <w:rtl/>
        </w:rPr>
        <w:t>عليه‌السلام</w:t>
      </w:r>
      <w:r w:rsidR="00E3253D" w:rsidRPr="005D642E">
        <w:rPr>
          <w:rtl/>
        </w:rPr>
        <w:t xml:space="preserve"> : لا ا</w:t>
      </w:r>
      <w:r w:rsidR="005A3CDE">
        <w:rPr>
          <w:rFonts w:hint="cs"/>
          <w:rtl/>
        </w:rPr>
        <w:t>ُ</w:t>
      </w:r>
      <w:r w:rsidR="00E3253D" w:rsidRPr="005D642E">
        <w:rPr>
          <w:rtl/>
        </w:rPr>
        <w:t>لقينّ ، وفي بعض النسخ : لا ا</w:t>
      </w:r>
      <w:r w:rsidR="005A3CDE">
        <w:rPr>
          <w:rFonts w:hint="cs"/>
          <w:rtl/>
        </w:rPr>
        <w:t>ُ</w:t>
      </w:r>
      <w:r w:rsidR="00E3253D" w:rsidRPr="005D642E">
        <w:rPr>
          <w:rtl/>
        </w:rPr>
        <w:t>لفينّ ، أي لا أجدنّ ، وعلى النسختين يحتمل الإخبار والإنشاء</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4 ، ص 262 ( لقا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لَهُ </w:t>
      </w:r>
      <w:r w:rsidRPr="007C12DB">
        <w:rPr>
          <w:rStyle w:val="libFootnotenumChar"/>
          <w:rtl/>
        </w:rPr>
        <w:t>(1)</w:t>
      </w:r>
      <w:r w:rsidRPr="005D642E">
        <w:rPr>
          <w:rtl/>
          <w:lang w:bidi="fa-IR"/>
        </w:rPr>
        <w:t xml:space="preserve"> مَيِّتٌ </w:t>
      </w:r>
      <w:r w:rsidRPr="007C12DB">
        <w:rPr>
          <w:rStyle w:val="libFootnotenumChar"/>
          <w:rtl/>
        </w:rPr>
        <w:t>(2)</w:t>
      </w:r>
      <w:r w:rsidRPr="005D642E">
        <w:rPr>
          <w:rtl/>
          <w:lang w:bidi="fa-IR"/>
        </w:rPr>
        <w:t xml:space="preserve"> ، فَانْتَظَرَ بِهِ الصُّبْحَ </w:t>
      </w:r>
      <w:r w:rsidRPr="007C12DB">
        <w:rPr>
          <w:rStyle w:val="libFootnotenumChar"/>
          <w:rtl/>
        </w:rPr>
        <w:t>(3)</w:t>
      </w:r>
      <w:r w:rsidRPr="005D642E">
        <w:rPr>
          <w:rtl/>
          <w:lang w:bidi="fa-IR"/>
        </w:rPr>
        <w:t xml:space="preserve"> ، وَلَارَجُلاً مَاتَ لَهُ مَيِّتٌ </w:t>
      </w:r>
      <w:r w:rsidRPr="007C12DB">
        <w:rPr>
          <w:rStyle w:val="libFootnotenumChar"/>
          <w:rtl/>
        </w:rPr>
        <w:t>(4)</w:t>
      </w:r>
      <w:r w:rsidRPr="005D642E">
        <w:rPr>
          <w:rtl/>
          <w:lang w:bidi="fa-IR"/>
        </w:rPr>
        <w:t xml:space="preserve"> نَهَاراً </w:t>
      </w:r>
      <w:r w:rsidRPr="007C12DB">
        <w:rPr>
          <w:rStyle w:val="libFootnotenumChar"/>
          <w:rtl/>
        </w:rPr>
        <w:t>(5)</w:t>
      </w:r>
      <w:r w:rsidRPr="005D642E">
        <w:rPr>
          <w:rtl/>
          <w:lang w:bidi="fa-IR"/>
        </w:rPr>
        <w:t xml:space="preserve"> ، فَانْتَظَرَ بِهِ اللَّيْلَ ، لَا تَنْتَظِرُوا بِمَوْتَاكُمْ </w:t>
      </w:r>
      <w:r w:rsidRPr="007C12DB">
        <w:rPr>
          <w:rStyle w:val="libFootnotenumChar"/>
          <w:rtl/>
        </w:rPr>
        <w:t>(6)</w:t>
      </w:r>
      <w:r w:rsidRPr="005D642E">
        <w:rPr>
          <w:rtl/>
          <w:lang w:bidi="fa-IR"/>
        </w:rPr>
        <w:t xml:space="preserve"> طُلُوعَ الشَّمْسِ وَلَاغُرُوبَهَا ، عَجِّلُوا بِهِمْ إِلى مَضَاجِعِهِمْ </w:t>
      </w:r>
      <w:r w:rsidRPr="007C12DB">
        <w:rPr>
          <w:rStyle w:val="libFootnotenumChar"/>
          <w:rtl/>
        </w:rPr>
        <w:t>(7)</w:t>
      </w:r>
      <w:r w:rsidRPr="005D642E">
        <w:rPr>
          <w:rtl/>
          <w:lang w:bidi="fa-IR"/>
        </w:rPr>
        <w:t xml:space="preserve"> يَرْحَمُكُمُ </w:t>
      </w:r>
      <w:r w:rsidRPr="007C12DB">
        <w:rPr>
          <w:rStyle w:val="libFootnotenumChar"/>
          <w:rtl/>
        </w:rPr>
        <w:t>(8)</w:t>
      </w:r>
      <w:r w:rsidRPr="005D642E">
        <w:rPr>
          <w:rtl/>
          <w:lang w:bidi="fa-IR"/>
        </w:rPr>
        <w:t xml:space="preserve"> اللهُ ، فَقَالَ </w:t>
      </w:r>
      <w:r w:rsidRPr="007C12DB">
        <w:rPr>
          <w:rStyle w:val="libFootnotenumChar"/>
          <w:rtl/>
        </w:rPr>
        <w:t>(9)</w:t>
      </w:r>
      <w:r w:rsidRPr="005D642E">
        <w:rPr>
          <w:rtl/>
          <w:lang w:bidi="fa-IR"/>
        </w:rPr>
        <w:t xml:space="preserve"> النَّاسُ : وَأَنْتَ يَا رَسُولَ اللهِ يَرْحَمُكَ اللهُ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C92759">
        <w:rPr>
          <w:rtl/>
        </w:rPr>
        <w:t>4329</w:t>
      </w:r>
      <w:r w:rsidRPr="00246318">
        <w:rPr>
          <w:rStyle w:val="libBold2Char"/>
          <w:rtl/>
        </w:rPr>
        <w:t xml:space="preserve"> / 2.</w:t>
      </w:r>
      <w:r w:rsidRPr="005D642E">
        <w:rPr>
          <w:rtl/>
          <w:lang w:bidi="fa-IR"/>
        </w:rPr>
        <w:t xml:space="preserve"> مُحَمَّدُ بْنُ يَحْيى ، عَنْ مُحَمَّدِ بْنِ أَحْمَدَ ، عَنِ الْعَبَّاسِ بْنِ مَعْرُوفٍ ، عَنِ الْبَعْقُوبِيِّ </w:t>
      </w:r>
      <w:r w:rsidRPr="007C12DB">
        <w:rPr>
          <w:rStyle w:val="libFootnotenumChar"/>
          <w:rtl/>
        </w:rPr>
        <w:t>(12)</w:t>
      </w:r>
      <w:r w:rsidRPr="005D642E">
        <w:rPr>
          <w:rtl/>
          <w:lang w:bidi="fa-IR"/>
        </w:rPr>
        <w:t xml:space="preserve"> ، عَنْ مُوسَى بْنِ عِيسى ، عَنْ مُحَمَّدِ بْنِ مُيَسِّرٍ ، عَنْ هَارُونَ بْنِ الْجَهْمِ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إِذَا مَاتَ الْمَيِّتُ أَوَّلَ النَّهَارِ </w:t>
      </w:r>
      <w:r w:rsidRPr="007C12DB">
        <w:rPr>
          <w:rStyle w:val="libFootnotenumChar"/>
          <w:rtl/>
        </w:rPr>
        <w:t>(13)</w:t>
      </w:r>
      <w:r w:rsidRPr="005D642E">
        <w:rPr>
          <w:rtl/>
          <w:lang w:bidi="fa-IR"/>
        </w:rPr>
        <w:t xml:space="preserve"> ، فَلَا‌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له مات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بس » وحاشية « جن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 « ليلاً</w:t>
      </w:r>
      <w:r w:rsidR="00E3253D">
        <w:rPr>
          <w:rtl/>
        </w:rPr>
        <w:t xml:space="preserve"> ».</w:t>
      </w:r>
      <w:r w:rsidR="00E3253D" w:rsidRPr="005D642E">
        <w:rPr>
          <w:rtl/>
        </w:rPr>
        <w:t xml:space="preserve"> وفي حاشية « بح » : « رجل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A3CDE" w:rsidTr="005A3CDE">
        <w:tc>
          <w:tcPr>
            <w:tcW w:w="4006" w:type="dxa"/>
          </w:tcPr>
          <w:p w:rsidR="005A3CDE" w:rsidRDefault="005A3CDE" w:rsidP="00E3253D">
            <w:pPr>
              <w:pStyle w:val="libFootnote0"/>
              <w:rPr>
                <w:rStyle w:val="libFootnote0Char"/>
                <w:rtl/>
              </w:rPr>
            </w:pPr>
            <w:r w:rsidRPr="0042621E">
              <w:rPr>
                <w:rStyle w:val="libFootnote0Char"/>
                <w:rtl/>
              </w:rPr>
              <w:t>(3).</w:t>
            </w:r>
            <w:r w:rsidRPr="005D642E">
              <w:rPr>
                <w:rtl/>
              </w:rPr>
              <w:t xml:space="preserve"> في « بف » : « بالصبح » بدل « به الصبح</w:t>
            </w:r>
            <w:r>
              <w:rPr>
                <w:rtl/>
              </w:rPr>
              <w:t xml:space="preserve"> ».</w:t>
            </w:r>
          </w:p>
        </w:tc>
        <w:tc>
          <w:tcPr>
            <w:tcW w:w="4006" w:type="dxa"/>
          </w:tcPr>
          <w:p w:rsidR="005A3CDE" w:rsidRDefault="005A3CDE" w:rsidP="00E3253D">
            <w:pPr>
              <w:pStyle w:val="libFootnote0"/>
              <w:rPr>
                <w:rStyle w:val="libFootnote0Char"/>
                <w:rtl/>
              </w:rPr>
            </w:pPr>
            <w:r w:rsidRPr="0042621E">
              <w:rPr>
                <w:rStyle w:val="libFootnote0Char"/>
                <w:rtl/>
              </w:rPr>
              <w:t>(4).</w:t>
            </w:r>
            <w:r w:rsidRPr="005D642E">
              <w:rPr>
                <w:rtl/>
              </w:rPr>
              <w:t xml:space="preserve"> في « جن » :</w:t>
            </w:r>
            <w:r>
              <w:rPr>
                <w:rtl/>
              </w:rPr>
              <w:t xml:space="preserve"> - </w:t>
            </w:r>
            <w:r w:rsidRPr="005D642E">
              <w:rPr>
                <w:rtl/>
              </w:rPr>
              <w:t>« ميّت</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نهاراً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5A3CDE">
        <w:rPr>
          <w:rStyle w:val="libFootnoteAlaemChar"/>
          <w:rtl/>
        </w:rPr>
        <w:t>عليه‌السلام</w:t>
      </w:r>
      <w:r w:rsidR="00E3253D" w:rsidRPr="005D642E">
        <w:rPr>
          <w:rtl/>
        </w:rPr>
        <w:t xml:space="preserve"> : تنتظروا بموتاكم ، أي لا تؤخّروا تجهيزهم لكراهة الصلاة في هذه الأوقات أو غيرذلك</w:t>
      </w:r>
      <w:r w:rsidR="00E3253D">
        <w:rPr>
          <w:rtl/>
        </w:rPr>
        <w:t xml:space="preserve"> ».</w:t>
      </w:r>
    </w:p>
    <w:p w:rsidR="00E3253D" w:rsidRPr="005D642E" w:rsidRDefault="0042621E" w:rsidP="005A3CDE">
      <w:pPr>
        <w:pStyle w:val="libFootnote0"/>
        <w:rPr>
          <w:rtl/>
          <w:lang w:bidi="fa-IR"/>
        </w:rPr>
      </w:pPr>
      <w:r w:rsidRPr="0042621E">
        <w:rPr>
          <w:rStyle w:val="libFootnote0Char"/>
          <w:rtl/>
        </w:rPr>
        <w:t>(7).</w:t>
      </w:r>
      <w:r w:rsidR="005A3CDE">
        <w:rPr>
          <w:rtl/>
        </w:rPr>
        <w:t xml:space="preserve"> « المضاجع » : جمع الم</w:t>
      </w:r>
      <w:r w:rsidR="005A3CDE">
        <w:rPr>
          <w:rFonts w:hint="cs"/>
          <w:rtl/>
        </w:rPr>
        <w:t>ـَ</w:t>
      </w:r>
      <w:r w:rsidR="00E3253D" w:rsidRPr="005D642E">
        <w:rPr>
          <w:rtl/>
        </w:rPr>
        <w:t xml:space="preserve">ضْجَعْ ، وهو موضع وضع الجنب على الأرض. راجع : </w:t>
      </w:r>
      <w:r w:rsidR="00E3253D" w:rsidRPr="002F4D34">
        <w:rPr>
          <w:rStyle w:val="libFootnoteBoldChar"/>
          <w:rtl/>
        </w:rPr>
        <w:t>الصحاح</w:t>
      </w:r>
      <w:r w:rsidR="00E3253D" w:rsidRPr="005D642E">
        <w:rPr>
          <w:rtl/>
        </w:rPr>
        <w:t xml:space="preserve"> ، ج 3 ، ص 1248 ؛ </w:t>
      </w:r>
      <w:r w:rsidR="00E3253D" w:rsidRPr="002F4D34">
        <w:rPr>
          <w:rStyle w:val="libFootnoteBoldChar"/>
          <w:rtl/>
        </w:rPr>
        <w:t>القاموس المحيط</w:t>
      </w:r>
      <w:r w:rsidR="00E3253D" w:rsidRPr="005D642E">
        <w:rPr>
          <w:rtl/>
        </w:rPr>
        <w:t xml:space="preserve"> ، ج 2 ، ص 993 ( ضجع )</w:t>
      </w:r>
      <w:r w:rsidR="00E3253D">
        <w:rPr>
          <w:rtl/>
        </w:rPr>
        <w:t>.</w:t>
      </w:r>
      <w:r w:rsidR="005A3CDE">
        <w:rPr>
          <w:rFonts w:hint="cs"/>
          <w:rtl/>
        </w:rPr>
        <w:t xml:space="preserve">     </w:t>
      </w:r>
      <w:r w:rsidRPr="0042621E">
        <w:rPr>
          <w:rStyle w:val="libFootnote0Char"/>
          <w:rtl/>
        </w:rPr>
        <w:t>(8).</w:t>
      </w:r>
      <w:r w:rsidR="00E3253D" w:rsidRPr="005D642E">
        <w:rPr>
          <w:rtl/>
        </w:rPr>
        <w:t xml:space="preserve"> في « بف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رحمكم</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بث » ومرآة العقول : + « فرحمك الله</w:t>
      </w:r>
      <w:r w:rsidR="00E3253D">
        <w:rPr>
          <w:rtl/>
        </w:rPr>
        <w:t xml:space="preserve"> ».</w:t>
      </w:r>
      <w:r w:rsidR="00E3253D" w:rsidRPr="005D642E">
        <w:rPr>
          <w:rtl/>
        </w:rPr>
        <w:t xml:space="preserve"> وفي حاشية « بس ، جح » : « فرحمك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427 ، ح 1359 ، معلّقاً عن أبي عليّ الأشعري. </w:t>
      </w:r>
      <w:r w:rsidR="00E3253D" w:rsidRPr="002F4D34">
        <w:rPr>
          <w:rStyle w:val="libFootnoteBoldChar"/>
          <w:rtl/>
        </w:rPr>
        <w:t>الفقيه</w:t>
      </w:r>
      <w:r w:rsidR="00E3253D" w:rsidRPr="005D642E">
        <w:rPr>
          <w:rtl/>
        </w:rPr>
        <w:t xml:space="preserve"> ، ج 1 ، ص 140 ، ح 386 ، مرسلاً عن النبيّ </w:t>
      </w:r>
      <w:r w:rsidRPr="00E60B57">
        <w:rPr>
          <w:rStyle w:val="libFootnoteAlaemChar"/>
          <w:rtl/>
        </w:rPr>
        <w:t>صلى‌الله‌عليه‌وآله</w:t>
      </w:r>
      <w:r w:rsidR="00E3253D" w:rsidRPr="005D642E">
        <w:rPr>
          <w:rtl/>
        </w:rPr>
        <w:t xml:space="preserve"> ، مع اختلاف يسير </w:t>
      </w:r>
      <w:r w:rsidR="00E60B57">
        <w:rPr>
          <w:rFonts w:hint="cs"/>
          <w:rtl/>
        </w:rPr>
        <w:t>.</w:t>
      </w:r>
      <w:r w:rsidR="00E3253D" w:rsidRPr="002F4D34">
        <w:rPr>
          <w:rStyle w:val="libFootnoteBoldChar"/>
          <w:rtl/>
        </w:rPr>
        <w:t>الوافي</w:t>
      </w:r>
      <w:r w:rsidR="00E3253D" w:rsidRPr="005D642E">
        <w:rPr>
          <w:rtl/>
        </w:rPr>
        <w:t xml:space="preserve"> ، ج 24 ، ص 281 ، ح 24031 ؛ </w:t>
      </w:r>
      <w:r w:rsidR="00E3253D" w:rsidRPr="002F4D34">
        <w:rPr>
          <w:rStyle w:val="libFootnoteBoldChar"/>
          <w:rtl/>
        </w:rPr>
        <w:t>الوسائل</w:t>
      </w:r>
      <w:r w:rsidR="00E3253D" w:rsidRPr="005D642E">
        <w:rPr>
          <w:rtl/>
        </w:rPr>
        <w:t xml:space="preserve"> ، ج 2 ، ص 471 ، ذيل ح 2677.</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هكذا في « بخ ، بس » وحاشية المطبوع. وفي « ظ ، ى ، بث ، بح ، بف ، جح » والمطبوع : « اليعقوبي</w:t>
      </w:r>
      <w:r w:rsidR="00E3253D">
        <w:rPr>
          <w:rtl/>
        </w:rPr>
        <w:t xml:space="preserve"> ».</w:t>
      </w:r>
      <w:r w:rsidR="00E3253D" w:rsidRPr="005D642E">
        <w:rPr>
          <w:rtl/>
        </w:rPr>
        <w:t xml:space="preserve"> والبعقوبي نسبة إلى « بعقوبا » وهي قرية بينها وبين بغداد عشرة فراسخ. راجع : </w:t>
      </w:r>
      <w:r w:rsidR="00E3253D" w:rsidRPr="00E60B57">
        <w:rPr>
          <w:rStyle w:val="libFootnoteBoldChar"/>
          <w:rtl/>
        </w:rPr>
        <w:t>الأنساب للسمعاني</w:t>
      </w:r>
      <w:r w:rsidR="00E3253D" w:rsidRPr="005D642E">
        <w:rPr>
          <w:rtl/>
        </w:rPr>
        <w:t xml:space="preserve"> ، ج 1 ، ص 370 ؛ </w:t>
      </w:r>
      <w:r w:rsidR="00E3253D" w:rsidRPr="002F4D34">
        <w:rPr>
          <w:rStyle w:val="libFootnoteBoldChar"/>
          <w:rtl/>
        </w:rPr>
        <w:t>معجم البلدان</w:t>
      </w:r>
      <w:r w:rsidR="00E3253D" w:rsidRPr="005D642E">
        <w:rPr>
          <w:rtl/>
        </w:rPr>
        <w:t xml:space="preserve"> ، ج 1 ، ص 453.</w:t>
      </w:r>
    </w:p>
    <w:p w:rsidR="00E3253D" w:rsidRPr="005D642E" w:rsidRDefault="00E3253D" w:rsidP="00E3253D">
      <w:pPr>
        <w:pStyle w:val="libNormal0"/>
        <w:rPr>
          <w:rtl/>
          <w:lang w:bidi="fa-IR"/>
        </w:rPr>
      </w:pPr>
      <w:r w:rsidRPr="00B60612">
        <w:rPr>
          <w:rStyle w:val="libFootnote0Char"/>
          <w:rtl/>
        </w:rPr>
        <w:t xml:space="preserve">وأشرنا في </w:t>
      </w:r>
      <w:r w:rsidRPr="002F4D34">
        <w:rPr>
          <w:rStyle w:val="libFootnoteBoldChar"/>
          <w:rtl/>
        </w:rPr>
        <w:t>الكافي</w:t>
      </w:r>
      <w:r w:rsidRPr="00B60612">
        <w:rPr>
          <w:rStyle w:val="libFootnote0Char"/>
          <w:rtl/>
        </w:rPr>
        <w:t xml:space="preserve"> ، ذيل ح 260 ، إلى بعض العوامل الموجبة لتحريف « البعقوبي » ب</w:t>
      </w:r>
      <w:r w:rsidR="007642BC" w:rsidRPr="00B60612">
        <w:rPr>
          <w:rStyle w:val="libFootnote0Char"/>
          <w:rtl/>
        </w:rPr>
        <w:t>-</w:t>
      </w:r>
      <w:r w:rsidRPr="00B60612">
        <w:rPr>
          <w:rStyle w:val="libFootnote0Char"/>
          <w:rtl/>
        </w:rPr>
        <w:t xml:space="preserve"> « اليعقوبي » ، فلاحظ.</w:t>
      </w:r>
    </w:p>
    <w:p w:rsidR="00E3253D" w:rsidRPr="005D642E" w:rsidRDefault="00E3253D" w:rsidP="00E3253D">
      <w:pPr>
        <w:pStyle w:val="libFootnote0"/>
        <w:rPr>
          <w:rtl/>
          <w:lang w:bidi="fa-IR"/>
        </w:rPr>
      </w:pPr>
      <w:r w:rsidRPr="00B60612">
        <w:rPr>
          <w:rtl/>
        </w:rPr>
        <w:t xml:space="preserve">ثمّ إنّ الظاهر وقوع تحريف آخر في العنوان ، وأنّ الصواب هو البعقوبي موسى بن عيسى ؛ فقد روى المصنّف عن محمّد بن يحيى وغيره ، عن محمّد بن أحمد ، عن العبّاس بن معروف ، عن موسى بن عيسى اليعقوبي ( البعقوبي </w:t>
      </w:r>
      <w:r w:rsidR="007642BC" w:rsidRPr="00B60612">
        <w:rPr>
          <w:rtl/>
        </w:rPr>
        <w:t>-</w:t>
      </w:r>
      <w:r w:rsidRPr="00B60612">
        <w:rPr>
          <w:rtl/>
        </w:rPr>
        <w:t xml:space="preserve"> خ ل ) ، عن محمّد بن ميسِّر ، عن أبي الجهم </w:t>
      </w:r>
      <w:r w:rsidR="007642BC" w:rsidRPr="00B60612">
        <w:rPr>
          <w:rtl/>
        </w:rPr>
        <w:t>-</w:t>
      </w:r>
      <w:r w:rsidRPr="00B60612">
        <w:rPr>
          <w:rtl/>
        </w:rPr>
        <w:t xml:space="preserve"> وهو كنية هارون بن الجهم </w:t>
      </w:r>
      <w:r w:rsidR="007642BC" w:rsidRPr="00B60612">
        <w:rPr>
          <w:rtl/>
        </w:rPr>
        <w:t>-</w:t>
      </w:r>
      <w:r w:rsidRPr="00B60612">
        <w:rPr>
          <w:rtl/>
        </w:rPr>
        <w:t xml:space="preserve"> في </w:t>
      </w:r>
      <w:r w:rsidRPr="002F4D34">
        <w:rPr>
          <w:rStyle w:val="libFootnoteBoldChar"/>
          <w:rtl/>
        </w:rPr>
        <w:t>الكافي</w:t>
      </w:r>
      <w:r w:rsidRPr="00B60612">
        <w:rPr>
          <w:rtl/>
        </w:rPr>
        <w:t xml:space="preserve"> ، ح 7608.</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ظ ، بث ، بس ، بف ، جس » :</w:t>
      </w:r>
      <w:r w:rsidR="00E3253D">
        <w:rPr>
          <w:rtl/>
        </w:rPr>
        <w:t xml:space="preserve"> </w:t>
      </w:r>
      <w:r w:rsidR="007642BC">
        <w:rPr>
          <w:rtl/>
        </w:rPr>
        <w:t>-</w:t>
      </w:r>
      <w:r w:rsidR="00E3253D">
        <w:rPr>
          <w:rtl/>
        </w:rPr>
        <w:t xml:space="preserve"> </w:t>
      </w:r>
      <w:r w:rsidR="00E3253D" w:rsidRPr="005D642E">
        <w:rPr>
          <w:rtl/>
        </w:rPr>
        <w:t>« أوّل النهار</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lastRenderedPageBreak/>
        <w:t xml:space="preserve">يَقِيلُ </w:t>
      </w:r>
      <w:r w:rsidRPr="007C12DB">
        <w:rPr>
          <w:rStyle w:val="libFootnotenumChar"/>
          <w:rtl/>
        </w:rPr>
        <w:t>(1)</w:t>
      </w:r>
      <w:r w:rsidR="00E60B57">
        <w:rPr>
          <w:rtl/>
          <w:lang w:bidi="fa-IR"/>
        </w:rPr>
        <w:t xml:space="preserve"> إِل</w:t>
      </w:r>
      <w:r w:rsidR="00E60B57">
        <w:rPr>
          <w:rFonts w:hint="cs"/>
          <w:rtl/>
          <w:lang w:bidi="fa-IR"/>
        </w:rPr>
        <w:t>َّ</w:t>
      </w:r>
      <w:r w:rsidR="00E60B57">
        <w:rPr>
          <w:rtl/>
          <w:lang w:bidi="fa-IR"/>
        </w:rPr>
        <w:t>ا</w:t>
      </w:r>
      <w:r w:rsidRPr="005D642E">
        <w:rPr>
          <w:rtl/>
          <w:lang w:bidi="fa-IR"/>
        </w:rPr>
        <w:t xml:space="preserve"> فِي قَبْرِهِ</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302" w:name="_Toc344647311"/>
      <w:bookmarkStart w:id="303" w:name="_Toc462226825"/>
      <w:bookmarkStart w:id="304" w:name="_Toc40975934"/>
      <w:r w:rsidRPr="005D642E">
        <w:rPr>
          <w:rtl/>
          <w:lang w:bidi="fa-IR"/>
        </w:rPr>
        <w:t>16</w:t>
      </w:r>
      <w:r>
        <w:rPr>
          <w:rtl/>
          <w:lang w:bidi="fa-IR"/>
        </w:rPr>
        <w:t xml:space="preserve"> </w:t>
      </w:r>
      <w:r w:rsidR="007642BC">
        <w:rPr>
          <w:rtl/>
          <w:lang w:bidi="fa-IR"/>
        </w:rPr>
        <w:t>-</w:t>
      </w:r>
      <w:r>
        <w:rPr>
          <w:rtl/>
          <w:lang w:bidi="fa-IR"/>
        </w:rPr>
        <w:t xml:space="preserve"> </w:t>
      </w:r>
      <w:r w:rsidRPr="005D642E">
        <w:rPr>
          <w:rtl/>
          <w:lang w:bidi="fa-IR"/>
        </w:rPr>
        <w:t xml:space="preserve">بَابٌ نَادِرٌ </w:t>
      </w:r>
      <w:r w:rsidRPr="007C12DB">
        <w:rPr>
          <w:rStyle w:val="libFootnotenumChar"/>
          <w:rtl/>
        </w:rPr>
        <w:t>(3)</w:t>
      </w:r>
      <w:r w:rsidRPr="005D642E">
        <w:rPr>
          <w:rtl/>
          <w:lang w:bidi="fa-IR"/>
        </w:rPr>
        <w:t xml:space="preserve"> ‌</w:t>
      </w:r>
      <w:bookmarkEnd w:id="302"/>
      <w:bookmarkEnd w:id="303"/>
      <w:bookmarkEnd w:id="304"/>
    </w:p>
    <w:p w:rsidR="00E60B57" w:rsidRDefault="00E3253D" w:rsidP="00E60B57">
      <w:pPr>
        <w:pStyle w:val="libNormal"/>
        <w:rPr>
          <w:rtl/>
          <w:lang w:bidi="fa-IR"/>
        </w:rPr>
      </w:pPr>
      <w:r w:rsidRPr="00AE3CB5">
        <w:rPr>
          <w:rtl/>
        </w:rPr>
        <w:t>4330</w:t>
      </w:r>
      <w:r w:rsidRPr="00246318">
        <w:rPr>
          <w:rStyle w:val="libBold2Char"/>
          <w:rtl/>
        </w:rPr>
        <w:t xml:space="preserve"> / 1.</w:t>
      </w:r>
      <w:r w:rsidRPr="005D642E">
        <w:rPr>
          <w:rtl/>
          <w:lang w:bidi="fa-IR"/>
        </w:rPr>
        <w:t xml:space="preserve"> عَلِيُّ بْنُ مُحَمَّدٍ ، عَنْ صَالِحِ بْنِ أَبِي حَمَّادٍ ؛</w:t>
      </w:r>
    </w:p>
    <w:p w:rsidR="00E3253D" w:rsidRPr="005D642E" w:rsidRDefault="00FE5E85" w:rsidP="00E60B57">
      <w:pPr>
        <w:pStyle w:val="libNormal"/>
        <w:rPr>
          <w:rtl/>
          <w:lang w:bidi="fa-IR"/>
        </w:rPr>
      </w:pPr>
      <w:r>
        <w:rPr>
          <w:rFonts w:hint="cs"/>
          <w:rtl/>
          <w:lang w:bidi="fa-IR"/>
        </w:rPr>
        <w:t xml:space="preserve">          </w:t>
      </w:r>
      <w:r w:rsidR="00E60B57">
        <w:rPr>
          <w:rFonts w:hint="cs"/>
          <w:rtl/>
          <w:lang w:bidi="fa-IR"/>
        </w:rPr>
        <w:t xml:space="preserve">   </w:t>
      </w:r>
      <w:r w:rsidR="00E3253D" w:rsidRPr="005D642E">
        <w:rPr>
          <w:rtl/>
          <w:lang w:bidi="fa-IR"/>
        </w:rPr>
        <w:t>وَالْحُسَيْنُ بْنُ مُحَمَّدٍ ، عَنْ مُعَلَّى بْنِ مُحَمَّدٍ جَمِيعاً ، عَنِ الْوَشَّاءِ ، عَنْ أَحْمَدَ بْنِ عَائِذٍ ، عَنْ أَبِي خَدِيجَةَ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لَيْسَ مِنْ مَيِّتٍ يَ</w:t>
      </w:r>
      <w:r w:rsidR="00E60B57">
        <w:rPr>
          <w:rtl/>
          <w:lang w:bidi="fa-IR"/>
        </w:rPr>
        <w:t>مُوتُ وَيُتْرَكُ وَحْدَهُ إِل</w:t>
      </w:r>
      <w:r w:rsidR="00E60B57">
        <w:rPr>
          <w:rFonts w:hint="cs"/>
          <w:rtl/>
          <w:lang w:bidi="fa-IR"/>
        </w:rPr>
        <w:t>َّ</w:t>
      </w:r>
      <w:r w:rsidR="00E60B57">
        <w:rPr>
          <w:rtl/>
          <w:lang w:bidi="fa-IR"/>
        </w:rPr>
        <w:t>ا</w:t>
      </w:r>
      <w:r w:rsidRPr="005D642E">
        <w:rPr>
          <w:rtl/>
          <w:lang w:bidi="fa-IR"/>
        </w:rPr>
        <w:t xml:space="preserve"> لَعِبَ </w:t>
      </w:r>
      <w:r w:rsidRPr="007C12DB">
        <w:rPr>
          <w:rStyle w:val="libFootnotenumChar"/>
          <w:rtl/>
        </w:rPr>
        <w:t>(4)</w:t>
      </w:r>
      <w:r w:rsidRPr="005D642E">
        <w:rPr>
          <w:rtl/>
          <w:lang w:bidi="fa-IR"/>
        </w:rPr>
        <w:t xml:space="preserve"> الشَّيْطَانُ </w:t>
      </w:r>
      <w:r w:rsidRPr="007C12DB">
        <w:rPr>
          <w:rStyle w:val="libFootnotenumChar"/>
          <w:rtl/>
        </w:rPr>
        <w:t>(5)</w:t>
      </w:r>
      <w:r w:rsidRPr="005D642E">
        <w:rPr>
          <w:rtl/>
          <w:lang w:bidi="fa-IR"/>
        </w:rPr>
        <w:t xml:space="preserve"> فِي جَوْفِهِ</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305" w:name="_Toc344647312"/>
      <w:bookmarkStart w:id="306" w:name="_Toc462226826"/>
      <w:bookmarkStart w:id="307" w:name="_Toc40975935"/>
      <w:r w:rsidRPr="005D642E">
        <w:rPr>
          <w:rtl/>
          <w:lang w:bidi="fa-IR"/>
        </w:rPr>
        <w:t>17</w:t>
      </w:r>
      <w:r>
        <w:rPr>
          <w:rtl/>
          <w:lang w:bidi="fa-IR"/>
        </w:rPr>
        <w:t xml:space="preserve"> </w:t>
      </w:r>
      <w:r w:rsidR="007642BC">
        <w:rPr>
          <w:rtl/>
          <w:lang w:bidi="fa-IR"/>
        </w:rPr>
        <w:t>-</w:t>
      </w:r>
      <w:r>
        <w:rPr>
          <w:rtl/>
          <w:lang w:bidi="fa-IR"/>
        </w:rPr>
        <w:t xml:space="preserve"> </w:t>
      </w:r>
      <w:r w:rsidRPr="005D642E">
        <w:rPr>
          <w:rtl/>
          <w:lang w:bidi="fa-IR"/>
        </w:rPr>
        <w:t>بَابُ الْحَائِضِ تُمَرِّضُ الْمَرِيضَ‌</w:t>
      </w:r>
      <w:bookmarkEnd w:id="305"/>
      <w:bookmarkEnd w:id="306"/>
      <w:bookmarkEnd w:id="307"/>
    </w:p>
    <w:p w:rsidR="00E3253D" w:rsidRPr="005D642E" w:rsidRDefault="00E3253D" w:rsidP="00E3253D">
      <w:pPr>
        <w:pStyle w:val="libNormal"/>
        <w:rPr>
          <w:rtl/>
          <w:lang w:bidi="fa-IR"/>
        </w:rPr>
      </w:pPr>
      <w:r w:rsidRPr="00AE3CB5">
        <w:rPr>
          <w:rtl/>
        </w:rPr>
        <w:t>4331</w:t>
      </w:r>
      <w:r w:rsidRPr="00246318">
        <w:rPr>
          <w:rStyle w:val="libBold2Char"/>
          <w:rtl/>
        </w:rPr>
        <w:t xml:space="preserve"> / 1.</w:t>
      </w:r>
      <w:r w:rsidRPr="005D642E">
        <w:rPr>
          <w:rtl/>
          <w:lang w:bidi="fa-IR"/>
        </w:rPr>
        <w:t xml:space="preserve"> عَلِيُّ بْنُ إِبْرَاهِيمَ ، عَنْ أَبِيهِ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فلا يقيل » من القَيْلُولة ، وهي الاستراحة نصف النهار وإن لم يكن معها نوم ، يقال : قال يقيل قيلولة ، فهو قائل. راجع : </w:t>
      </w:r>
      <w:r w:rsidR="00E3253D" w:rsidRPr="002F4D34">
        <w:rPr>
          <w:rStyle w:val="libFootnoteBoldChar"/>
          <w:rtl/>
        </w:rPr>
        <w:t>النهاية</w:t>
      </w:r>
      <w:r w:rsidR="00E3253D" w:rsidRPr="005D642E">
        <w:rPr>
          <w:rtl/>
        </w:rPr>
        <w:t xml:space="preserve"> ، ج 4 ، ص 133 ؛ </w:t>
      </w:r>
      <w:r w:rsidR="00E3253D" w:rsidRPr="002F4D34">
        <w:rPr>
          <w:rStyle w:val="libFootnoteBoldChar"/>
          <w:rtl/>
        </w:rPr>
        <w:t>الوافي</w:t>
      </w:r>
      <w:r w:rsidR="00E3253D" w:rsidRPr="005D642E">
        <w:rPr>
          <w:rtl/>
        </w:rPr>
        <w:t xml:space="preserve"> ، ج 24 ، ص 282.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428 ، ح 1360 ، معلّقاً عن محمّد بن يحيى. </w:t>
      </w:r>
      <w:r w:rsidR="00E3253D" w:rsidRPr="002F4D34">
        <w:rPr>
          <w:rStyle w:val="libFootnoteBoldChar"/>
          <w:rtl/>
        </w:rPr>
        <w:t>الجعفريّات</w:t>
      </w:r>
      <w:r w:rsidR="00E3253D" w:rsidRPr="005D642E">
        <w:rPr>
          <w:rtl/>
        </w:rPr>
        <w:t xml:space="preserve"> ، ص 207 ، بسند آخر عن جعفر بن محمّد ، عن آبائه </w:t>
      </w:r>
      <w:r w:rsidR="00E3253D" w:rsidRPr="00E60B57">
        <w:rPr>
          <w:rStyle w:val="libFootnoteAlaemChar"/>
          <w:rtl/>
        </w:rPr>
        <w:t>عليهم‌السلام</w:t>
      </w:r>
      <w:r w:rsidR="00E3253D" w:rsidRPr="005D642E">
        <w:rPr>
          <w:rtl/>
        </w:rPr>
        <w:t xml:space="preserve"> عن رسول الله </w:t>
      </w:r>
      <w:r w:rsidRPr="00E60B57">
        <w:rPr>
          <w:rStyle w:val="libFootnoteAlaemChar"/>
          <w:rtl/>
        </w:rPr>
        <w:t>صلى‌الله‌عليه‌وآله</w:t>
      </w:r>
      <w:r w:rsidR="00E3253D" w:rsidRPr="005D642E">
        <w:rPr>
          <w:rtl/>
        </w:rPr>
        <w:t xml:space="preserve"> </w:t>
      </w:r>
      <w:r w:rsidR="00E60B57">
        <w:rPr>
          <w:rFonts w:hint="cs"/>
          <w:rtl/>
        </w:rPr>
        <w:t>.</w:t>
      </w:r>
      <w:r w:rsidR="00E3253D" w:rsidRPr="002F4D34">
        <w:rPr>
          <w:rStyle w:val="libFootnoteBoldChar"/>
          <w:rtl/>
        </w:rPr>
        <w:t>الوافي</w:t>
      </w:r>
      <w:r w:rsidR="00E3253D" w:rsidRPr="005D642E">
        <w:rPr>
          <w:rtl/>
        </w:rPr>
        <w:t xml:space="preserve"> ، ج 24 ، ص 282 ، ح 24032 ؛ </w:t>
      </w:r>
      <w:r w:rsidR="00E3253D" w:rsidRPr="002F4D34">
        <w:rPr>
          <w:rStyle w:val="libFootnoteBoldChar"/>
          <w:rtl/>
        </w:rPr>
        <w:t>الوسائل</w:t>
      </w:r>
      <w:r w:rsidR="00E3253D" w:rsidRPr="005D642E">
        <w:rPr>
          <w:rtl/>
        </w:rPr>
        <w:t xml:space="preserve"> ، ج 2 ، ص 473 ، ح 2681.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نادر</w:t>
      </w:r>
      <w:r w:rsidR="00E3253D">
        <w:rPr>
          <w:rtl/>
        </w:rPr>
        <w:t xml:space="preserve"> ».</w:t>
      </w:r>
      <w:r w:rsidR="00E3253D" w:rsidRPr="005D642E">
        <w:rPr>
          <w:rtl/>
        </w:rPr>
        <w:t xml:space="preserve"> وفي « بح » : « باب النادر</w:t>
      </w:r>
      <w:r w:rsidR="00E3253D">
        <w:rPr>
          <w:rtl/>
        </w:rPr>
        <w:t xml:space="preserve"> ».</w:t>
      </w:r>
      <w:r w:rsidR="00E3253D" w:rsidRPr="005D642E">
        <w:rPr>
          <w:rtl/>
        </w:rPr>
        <w:t xml:space="preserve"> وفي « بف » : « باب ترك الميّت وحده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معظم النسخ التي قوبلت </w:t>
      </w:r>
      <w:r w:rsidR="000D749A" w:rsidRPr="00E60B57">
        <w:rP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جن » والمطبوع : + « به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 « الشياطين</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302 : « كأنّ المراد بلعب الشيطان إرسال الحيوانات والديدان إلى جوفه ، ويحتمل أن يكون المراد بقوله : يموت ، حال الاحتضار ، أي يلعب الشيطان في خاطره بإلقاء الوساوس والتشكيكات</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290 ، ح 844 ، بسنده عن الكليني. </w:t>
      </w:r>
      <w:r w:rsidR="00E3253D" w:rsidRPr="002F4D34">
        <w:rPr>
          <w:rStyle w:val="libFootnoteBoldChar"/>
          <w:rtl/>
        </w:rPr>
        <w:t>علل الشرائع</w:t>
      </w:r>
      <w:r w:rsidR="00E3253D" w:rsidRPr="005D642E">
        <w:rPr>
          <w:rtl/>
        </w:rPr>
        <w:t xml:space="preserve"> ، ص 307 ، ح 1 ، نقلاً عن رسالة أبيه. وفي </w:t>
      </w:r>
      <w:r w:rsidR="00E3253D" w:rsidRPr="002F4D34">
        <w:rPr>
          <w:rStyle w:val="libFootnoteBoldChar"/>
          <w:rtl/>
        </w:rPr>
        <w:t>الفقيه</w:t>
      </w:r>
      <w:r w:rsidR="00E3253D" w:rsidRPr="005D642E">
        <w:rPr>
          <w:rtl/>
        </w:rPr>
        <w:t xml:space="preserve"> ، ج 1 ، ص 142 ، ح 396 ؛ </w:t>
      </w:r>
      <w:r w:rsidR="00E3253D" w:rsidRPr="00E60B57">
        <w:rPr>
          <w:rStyle w:val="libFootnoteBoldChar"/>
          <w:rtl/>
        </w:rPr>
        <w:t>وفق</w:t>
      </w:r>
      <w:r w:rsidR="00E3253D" w:rsidRPr="002F4D34">
        <w:rPr>
          <w:rStyle w:val="libFootnoteBoldChar"/>
          <w:rtl/>
        </w:rPr>
        <w:t>ه الرضا</w:t>
      </w:r>
      <w:r w:rsidR="00E3253D" w:rsidRPr="005D642E">
        <w:rPr>
          <w:rtl/>
        </w:rPr>
        <w:t xml:space="preserve"> </w:t>
      </w:r>
      <w:r w:rsidR="00E3253D" w:rsidRPr="00E60B57">
        <w:rPr>
          <w:rStyle w:val="libFootnoteAlaemChar"/>
          <w:rtl/>
        </w:rPr>
        <w:t>عليه‌السلام</w:t>
      </w:r>
      <w:r w:rsidR="00E3253D" w:rsidRPr="005D642E">
        <w:rPr>
          <w:rtl/>
        </w:rPr>
        <w:t xml:space="preserve"> ، ص 168 ، مرسلاً ، وفي الثلاثة الأخيرة مع اختلاف يسير </w:t>
      </w:r>
      <w:r w:rsidR="00E60B57">
        <w:rPr>
          <w:rFonts w:hint="cs"/>
          <w:rtl/>
        </w:rPr>
        <w:t>.</w:t>
      </w:r>
      <w:r w:rsidR="00E3253D" w:rsidRPr="002F4D34">
        <w:rPr>
          <w:rStyle w:val="libFootnoteBoldChar"/>
          <w:rtl/>
        </w:rPr>
        <w:t>الوافي</w:t>
      </w:r>
      <w:r w:rsidR="00E3253D" w:rsidRPr="005D642E">
        <w:rPr>
          <w:rtl/>
        </w:rPr>
        <w:t xml:space="preserve"> ، ج 24 ، ص 282 ، ح 24034 ؛ </w:t>
      </w:r>
      <w:r w:rsidR="00E3253D" w:rsidRPr="002F4D34">
        <w:rPr>
          <w:rStyle w:val="libFootnoteBoldChar"/>
          <w:rtl/>
        </w:rPr>
        <w:t>الوسائل</w:t>
      </w:r>
      <w:r w:rsidR="00E3253D" w:rsidRPr="005D642E">
        <w:rPr>
          <w:rtl/>
        </w:rPr>
        <w:t xml:space="preserve"> ، ج 2 ، ص 466 ، ح 2660.</w:t>
      </w:r>
    </w:p>
    <w:p w:rsidR="00E3253D" w:rsidRDefault="00E3253D" w:rsidP="00E3253D">
      <w:pPr>
        <w:pStyle w:val="libNormal"/>
        <w:rPr>
          <w:rtl/>
          <w:lang w:bidi="fa-IR"/>
        </w:rPr>
      </w:pPr>
      <w:r>
        <w:rPr>
          <w:rtl/>
          <w:lang w:bidi="fa-IR"/>
        </w:rPr>
        <w:br w:type="page"/>
      </w:r>
    </w:p>
    <w:p w:rsidR="00E3253D" w:rsidRPr="005D642E" w:rsidRDefault="00FE5E85" w:rsidP="00E3253D">
      <w:pPr>
        <w:pStyle w:val="libNormal0"/>
        <w:rPr>
          <w:rtl/>
          <w:lang w:bidi="fa-IR"/>
        </w:rPr>
      </w:pPr>
      <w:r>
        <w:rPr>
          <w:rFonts w:hint="cs"/>
          <w:rtl/>
          <w:lang w:bidi="fa-IR"/>
        </w:rPr>
        <w:lastRenderedPageBreak/>
        <w:t xml:space="preserve">          </w:t>
      </w:r>
      <w:r w:rsidR="00E60B57">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(1)</w:t>
      </w:r>
      <w:r w:rsidR="00E3253D" w:rsidRPr="005D642E">
        <w:rPr>
          <w:rtl/>
          <w:lang w:bidi="fa-IR"/>
        </w:rPr>
        <w:t xml:space="preserve"> عِدَّةٌ مِنْ أَصْحَابِنَا ، عَنْ سَهْلِ بْنِ زِيَادٍ ، عَنِ ابْنِ مَحْبُوبٍ </w:t>
      </w:r>
      <w:r w:rsidR="00E3253D" w:rsidRPr="007C12DB">
        <w:rPr>
          <w:rStyle w:val="libFootnotenumChar"/>
          <w:rtl/>
        </w:rPr>
        <w:t>(2)</w:t>
      </w:r>
      <w:r w:rsidR="00E3253D" w:rsidRPr="005D642E">
        <w:rPr>
          <w:rtl/>
          <w:lang w:bidi="fa-IR"/>
        </w:rPr>
        <w:t xml:space="preserve"> ، عَنْ عَلِيِّ بْنِ أَبِي حَمْزَةَ ، قَالَ :</w:t>
      </w:r>
    </w:p>
    <w:p w:rsidR="00E3253D" w:rsidRPr="005D642E" w:rsidRDefault="00E3253D" w:rsidP="00E3253D">
      <w:pPr>
        <w:pStyle w:val="libNormal"/>
        <w:rPr>
          <w:rtl/>
          <w:lang w:bidi="fa-IR"/>
        </w:rPr>
      </w:pPr>
      <w:r w:rsidRPr="005D642E">
        <w:rPr>
          <w:rtl/>
          <w:lang w:bidi="fa-IR"/>
        </w:rPr>
        <w:t xml:space="preserve">قُلْتُ لِأَبِي الْحَسَنِ </w:t>
      </w:r>
      <w:r w:rsidRPr="00AC51C5">
        <w:rPr>
          <w:rStyle w:val="libAlaemChar"/>
          <w:rtl/>
        </w:rPr>
        <w:t>عليه‌السلام</w:t>
      </w:r>
      <w:r w:rsidRPr="005D642E">
        <w:rPr>
          <w:rtl/>
          <w:lang w:bidi="fa-IR"/>
        </w:rPr>
        <w:t xml:space="preserve"> </w:t>
      </w:r>
      <w:r w:rsidRPr="007C12DB">
        <w:rPr>
          <w:rStyle w:val="libFootnotenumChar"/>
          <w:rtl/>
        </w:rPr>
        <w:t>(3)</w:t>
      </w:r>
      <w:r w:rsidRPr="005D642E">
        <w:rPr>
          <w:rtl/>
          <w:lang w:bidi="fa-IR"/>
        </w:rPr>
        <w:t xml:space="preserve"> : الْمَرْأَةُ تَقْعُدُ عِنْدَ رَأْسِ الْمَرِيضِ</w:t>
      </w:r>
      <w:r>
        <w:rPr>
          <w:rtl/>
          <w:lang w:bidi="fa-IR"/>
        </w:rPr>
        <w:t xml:space="preserve"> </w:t>
      </w:r>
      <w:r w:rsidR="007642BC">
        <w:rPr>
          <w:rtl/>
          <w:lang w:bidi="fa-IR"/>
        </w:rPr>
        <w:t>-</w:t>
      </w:r>
      <w:r>
        <w:rPr>
          <w:rtl/>
          <w:lang w:bidi="fa-IR"/>
        </w:rPr>
        <w:t xml:space="preserve"> </w:t>
      </w:r>
      <w:r w:rsidRPr="005D642E">
        <w:rPr>
          <w:rtl/>
          <w:lang w:bidi="fa-IR"/>
        </w:rPr>
        <w:t xml:space="preserve">وَهِيَ حَائِضٌ </w:t>
      </w:r>
      <w:r w:rsidRPr="007C12DB">
        <w:rPr>
          <w:rStyle w:val="libFootnotenumChar"/>
          <w:rtl/>
        </w:rPr>
        <w:t>(4)</w:t>
      </w:r>
      <w:r>
        <w:rPr>
          <w:rtl/>
          <w:lang w:bidi="fa-IR"/>
        </w:rPr>
        <w:t xml:space="preserve"> </w:t>
      </w:r>
      <w:r w:rsidR="007642BC">
        <w:rPr>
          <w:rtl/>
          <w:lang w:bidi="fa-IR"/>
        </w:rPr>
        <w:t>-</w:t>
      </w:r>
      <w:r>
        <w:rPr>
          <w:rtl/>
          <w:lang w:bidi="fa-IR"/>
        </w:rPr>
        <w:t xml:space="preserve"> </w:t>
      </w:r>
      <w:r w:rsidRPr="005D642E">
        <w:rPr>
          <w:rtl/>
          <w:lang w:bidi="fa-IR"/>
        </w:rPr>
        <w:t>فِي حَدِّ الْمَوْتِ</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(5)</w:t>
      </w:r>
      <w:r w:rsidRPr="005D642E">
        <w:rPr>
          <w:rtl/>
          <w:lang w:bidi="fa-IR"/>
        </w:rPr>
        <w:t xml:space="preserve"> : « لَا بَأْسَ أَنْ تُمَرِّضَهُ </w:t>
      </w:r>
      <w:r w:rsidRPr="007C12DB">
        <w:rPr>
          <w:rStyle w:val="libFootnotenumChar"/>
          <w:rtl/>
        </w:rPr>
        <w:t>(6)</w:t>
      </w:r>
      <w:r w:rsidRPr="005D642E">
        <w:rPr>
          <w:rtl/>
          <w:lang w:bidi="fa-IR"/>
        </w:rPr>
        <w:t xml:space="preserve"> ، فَإِذَا خَافُوا عَلَيْهِ وَقَرُبَ ذلِكَ ، فَلْتَتَنَحَّ </w:t>
      </w:r>
      <w:r w:rsidRPr="007C12DB">
        <w:rPr>
          <w:rStyle w:val="libFootnotenumChar"/>
          <w:rtl/>
        </w:rPr>
        <w:t>(7)</w:t>
      </w:r>
      <w:r w:rsidRPr="005D642E">
        <w:rPr>
          <w:rtl/>
          <w:lang w:bidi="fa-IR"/>
        </w:rPr>
        <w:t xml:space="preserve"> عَنْهُ وَعَنْ قُرْبِهِ ؛ فَإِنَّ الْمَلَائِكَةَ تَتَأَذّى </w:t>
      </w:r>
      <w:r w:rsidRPr="007C12DB">
        <w:rPr>
          <w:rStyle w:val="libFootnotenumChar"/>
          <w:rtl/>
        </w:rPr>
        <w:t>(8)</w:t>
      </w:r>
      <w:r w:rsidRPr="005D642E">
        <w:rPr>
          <w:rtl/>
          <w:lang w:bidi="fa-IR"/>
        </w:rPr>
        <w:t xml:space="preserve"> بِذلِكَ</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Heading2Center"/>
        <w:rPr>
          <w:rtl/>
          <w:lang w:bidi="fa-IR"/>
        </w:rPr>
      </w:pPr>
      <w:bookmarkStart w:id="308" w:name="_Toc344647313"/>
      <w:bookmarkStart w:id="309" w:name="_Toc462226827"/>
      <w:bookmarkStart w:id="310" w:name="_Toc40975936"/>
      <w:r w:rsidRPr="005D642E">
        <w:rPr>
          <w:rtl/>
          <w:lang w:bidi="fa-IR"/>
        </w:rPr>
        <w:t>18</w:t>
      </w:r>
      <w:r>
        <w:rPr>
          <w:rtl/>
          <w:lang w:bidi="fa-IR"/>
        </w:rPr>
        <w:t xml:space="preserve"> </w:t>
      </w:r>
      <w:r w:rsidR="007642BC">
        <w:rPr>
          <w:rtl/>
          <w:lang w:bidi="fa-IR"/>
        </w:rPr>
        <w:t>-</w:t>
      </w:r>
      <w:r>
        <w:rPr>
          <w:rtl/>
          <w:lang w:bidi="fa-IR"/>
        </w:rPr>
        <w:t xml:space="preserve"> </w:t>
      </w:r>
      <w:r w:rsidRPr="005D642E">
        <w:rPr>
          <w:rtl/>
          <w:lang w:bidi="fa-IR"/>
        </w:rPr>
        <w:t xml:space="preserve">بَابُ غُسْلِ المَيِّتِ </w:t>
      </w:r>
      <w:r w:rsidRPr="007C12DB">
        <w:rPr>
          <w:rStyle w:val="libFootnotenumChar"/>
          <w:rtl/>
        </w:rPr>
        <w:t>(10)</w:t>
      </w:r>
      <w:r w:rsidRPr="005D642E">
        <w:rPr>
          <w:rtl/>
          <w:lang w:bidi="fa-IR"/>
        </w:rPr>
        <w:t xml:space="preserve"> ‌</w:t>
      </w:r>
      <w:bookmarkEnd w:id="308"/>
      <w:bookmarkEnd w:id="309"/>
      <w:bookmarkEnd w:id="310"/>
    </w:p>
    <w:p w:rsidR="00E3253D" w:rsidRPr="005D642E" w:rsidRDefault="00E3253D" w:rsidP="00E3253D">
      <w:pPr>
        <w:pStyle w:val="libNormal"/>
        <w:rPr>
          <w:rtl/>
          <w:lang w:bidi="fa-IR"/>
        </w:rPr>
      </w:pPr>
      <w:r w:rsidRPr="00AE3CB5">
        <w:rPr>
          <w:rtl/>
        </w:rPr>
        <w:t>4332</w:t>
      </w:r>
      <w:r w:rsidRPr="00246318">
        <w:rPr>
          <w:rStyle w:val="libBold2Char"/>
          <w:rtl/>
        </w:rPr>
        <w:t xml:space="preserve"> / 1.</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السند تحويل بعطف « عدّة من أصحابنا ، عن سهل بن زياد » على « عليّ بن إبراهيم ، عن أبيه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ورد الخبر في </w:t>
      </w:r>
      <w:r w:rsidR="00E3253D" w:rsidRPr="002F4D34">
        <w:rPr>
          <w:rStyle w:val="libFootnoteBoldChar"/>
          <w:rtl/>
        </w:rPr>
        <w:t>قرب الإسناد</w:t>
      </w:r>
      <w:r w:rsidR="00E3253D" w:rsidRPr="005D642E">
        <w:rPr>
          <w:rtl/>
        </w:rPr>
        <w:t xml:space="preserve"> ، ص 312 ، ح 1214</w:t>
      </w:r>
      <w:r w:rsidR="00E3253D">
        <w:rPr>
          <w:rtl/>
        </w:rPr>
        <w:t xml:space="preserve"> </w:t>
      </w:r>
      <w:r w:rsidR="007642BC">
        <w:rPr>
          <w:rtl/>
        </w:rPr>
        <w:t>-</w:t>
      </w:r>
      <w:r w:rsidR="00E3253D">
        <w:rPr>
          <w:rtl/>
        </w:rPr>
        <w:t xml:space="preserve"> </w:t>
      </w:r>
      <w:r w:rsidR="00E3253D" w:rsidRPr="005D642E">
        <w:rPr>
          <w:rtl/>
        </w:rPr>
        <w:t>مع اختلاف يسير</w:t>
      </w:r>
      <w:r w:rsidR="00E3253D">
        <w:rPr>
          <w:rtl/>
        </w:rPr>
        <w:t xml:space="preserve"> </w:t>
      </w:r>
      <w:r w:rsidR="007642BC">
        <w:rPr>
          <w:rtl/>
        </w:rPr>
        <w:t>-</w:t>
      </w:r>
      <w:r w:rsidR="00E3253D">
        <w:rPr>
          <w:rtl/>
        </w:rPr>
        <w:t xml:space="preserve"> </w:t>
      </w:r>
      <w:r w:rsidR="00E3253D" w:rsidRPr="005D642E">
        <w:rPr>
          <w:rtl/>
        </w:rPr>
        <w:t>عن أحمد بن محمّد</w:t>
      </w:r>
      <w:r w:rsidR="00E3253D">
        <w:rPr>
          <w:rtl/>
        </w:rPr>
        <w:t xml:space="preserve"> </w:t>
      </w:r>
      <w:r w:rsidR="007642BC">
        <w:rPr>
          <w:rtl/>
        </w:rPr>
        <w:t>-</w:t>
      </w:r>
      <w:r w:rsidR="00E3253D">
        <w:rPr>
          <w:rtl/>
        </w:rPr>
        <w:t xml:space="preserve"> </w:t>
      </w:r>
      <w:r w:rsidR="00E3253D" w:rsidRPr="005D642E">
        <w:rPr>
          <w:rtl/>
        </w:rPr>
        <w:t>وقد عبِّر بالضمير</w:t>
      </w:r>
      <w:r w:rsidR="00E3253D">
        <w:rPr>
          <w:rtl/>
        </w:rPr>
        <w:t xml:space="preserve"> </w:t>
      </w:r>
      <w:r w:rsidR="007642BC">
        <w:rPr>
          <w:rtl/>
        </w:rPr>
        <w:t>-</w:t>
      </w:r>
      <w:r w:rsidR="00E3253D">
        <w:rPr>
          <w:rtl/>
        </w:rPr>
        <w:t xml:space="preserve"> </w:t>
      </w:r>
      <w:r w:rsidR="00E3253D" w:rsidRPr="005D642E">
        <w:rPr>
          <w:rtl/>
        </w:rPr>
        <w:t xml:space="preserve">عن عليّ بن محبوب ، عن عليّ بن أبي حمزة. وعنوان « عليّ بن محبوب » في سند </w:t>
      </w:r>
      <w:r w:rsidR="00E3253D" w:rsidRPr="002F4D34">
        <w:rPr>
          <w:rStyle w:val="libFootnoteBoldChar"/>
          <w:rtl/>
        </w:rPr>
        <w:t>قرب الإسناد</w:t>
      </w:r>
      <w:r w:rsidR="00E3253D" w:rsidRPr="005D642E">
        <w:rPr>
          <w:rtl/>
        </w:rPr>
        <w:t xml:space="preserve"> محرّف ؛ فإنّه مضافاً إلى عدم ثبوت راوٍ بهذا العنوان ، روى أحمد بن محمّد [ بن عيسي ] عن [ الحسن ] بن محبوب ، عن عليّ بن أبي حمزة ، في بعض الأسناد. راجع : </w:t>
      </w:r>
      <w:r w:rsidR="00E3253D" w:rsidRPr="002F4D34">
        <w:rPr>
          <w:rStyle w:val="libFootnoteBoldChar"/>
          <w:rtl/>
        </w:rPr>
        <w:t>معجم رجال الحديث</w:t>
      </w:r>
      <w:r w:rsidR="00E3253D" w:rsidRPr="005D642E">
        <w:rPr>
          <w:rtl/>
        </w:rPr>
        <w:t xml:space="preserve"> ، ج 5 ، ص 359 ؛ وح 23 ، ص 269</w:t>
      </w:r>
      <w:r w:rsidR="00E3253D">
        <w:rPr>
          <w:rtl/>
        </w:rPr>
        <w:t xml:space="preserve"> </w:t>
      </w:r>
      <w:r w:rsidR="007642BC">
        <w:rPr>
          <w:rtl/>
        </w:rPr>
        <w:t>-</w:t>
      </w:r>
      <w:r w:rsidR="00E3253D">
        <w:rPr>
          <w:rtl/>
        </w:rPr>
        <w:t xml:space="preserve"> </w:t>
      </w:r>
      <w:r w:rsidR="00E3253D" w:rsidRPr="005D642E">
        <w:rPr>
          <w:rtl/>
        </w:rPr>
        <w:t>270.</w:t>
      </w:r>
    </w:p>
    <w:tbl>
      <w:tblPr>
        <w:tblStyle w:val="TableGrid"/>
        <w:bidiVisual/>
        <w:tblW w:w="0" w:type="auto"/>
        <w:tblLook w:val="04A0" w:firstRow="1" w:lastRow="0" w:firstColumn="1" w:lastColumn="0" w:noHBand="0" w:noVBand="1"/>
      </w:tblPr>
      <w:tblGrid>
        <w:gridCol w:w="4006"/>
        <w:gridCol w:w="4006"/>
      </w:tblGrid>
      <w:tr w:rsidR="00E60B57" w:rsidTr="00E60B57">
        <w:tc>
          <w:tcPr>
            <w:tcW w:w="4006" w:type="dxa"/>
          </w:tcPr>
          <w:p w:rsidR="00E60B57" w:rsidRDefault="00E60B57" w:rsidP="00E3253D">
            <w:pPr>
              <w:pStyle w:val="libFootnote0"/>
              <w:rPr>
                <w:rStyle w:val="libFootnote0Char"/>
                <w:rtl/>
              </w:rPr>
            </w:pPr>
            <w:r w:rsidRPr="0042621E">
              <w:rPr>
                <w:rStyle w:val="libFootnote0Char"/>
                <w:rtl/>
              </w:rPr>
              <w:t>(3).</w:t>
            </w:r>
            <w:r w:rsidRPr="005D642E">
              <w:rPr>
                <w:rtl/>
              </w:rPr>
              <w:t xml:space="preserve"> في « بف » : « لأبي عبدالله</w:t>
            </w:r>
            <w:r>
              <w:rPr>
                <w:rtl/>
              </w:rPr>
              <w:t xml:space="preserve"> ».</w:t>
            </w:r>
          </w:p>
        </w:tc>
        <w:tc>
          <w:tcPr>
            <w:tcW w:w="4006" w:type="dxa"/>
          </w:tcPr>
          <w:p w:rsidR="00E60B57" w:rsidRDefault="00E60B57" w:rsidP="00E3253D">
            <w:pPr>
              <w:pStyle w:val="libFootnote0"/>
              <w:rPr>
                <w:rStyle w:val="libFootnote0Char"/>
                <w:rtl/>
              </w:rPr>
            </w:pPr>
            <w:r w:rsidRPr="0042621E">
              <w:rPr>
                <w:rStyle w:val="libFootnote0Char"/>
                <w:rtl/>
              </w:rPr>
              <w:t>(4).</w:t>
            </w:r>
            <w:r w:rsidRPr="005D642E">
              <w:rPr>
                <w:rtl/>
              </w:rPr>
              <w:t xml:space="preserve"> في « بخ : « حائضة</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التمريض : حسن القيام على المريض ، يقال : مرّضته تمريضاً ، إذا قمت عليه في مرضه. قال سيبويه : أمرض الرجلَ : جعله مريضاً ، ومرّضه تمريضاً : قام عليه ووليه في مرضه وداواه ؛ ليزول مرضه ، جاءت « فعّلت » هنا للسلب وإن كانت في أكثر الأمر إنّما تكون للإثبات. راجع : </w:t>
      </w:r>
      <w:r w:rsidR="00E3253D" w:rsidRPr="002F4D34">
        <w:rPr>
          <w:rStyle w:val="libFootnoteBoldChar"/>
          <w:rtl/>
        </w:rPr>
        <w:t>الصحاح</w:t>
      </w:r>
      <w:r w:rsidR="00E3253D" w:rsidRPr="005D642E">
        <w:rPr>
          <w:rtl/>
        </w:rPr>
        <w:t xml:space="preserve"> ، ج 3 ، ص 1106 ؛ </w:t>
      </w:r>
      <w:r w:rsidR="00E3253D" w:rsidRPr="002F4D34">
        <w:rPr>
          <w:rStyle w:val="libFootnoteBoldChar"/>
          <w:rtl/>
        </w:rPr>
        <w:t>لسان العرب</w:t>
      </w:r>
      <w:r w:rsidR="00E3253D" w:rsidRPr="005D642E">
        <w:rPr>
          <w:rtl/>
        </w:rPr>
        <w:t xml:space="preserve"> ، ج 7 ، ص 231 ( مرض )</w:t>
      </w:r>
      <w:r w:rsidR="00E3253D">
        <w:rPr>
          <w:rtl/>
        </w:rPr>
        <w:t>.</w:t>
      </w:r>
    </w:p>
    <w:p w:rsidR="00E3253D" w:rsidRPr="005D642E" w:rsidRDefault="0042621E" w:rsidP="00E60B57">
      <w:pPr>
        <w:pStyle w:val="libFootnote0"/>
        <w:rPr>
          <w:rtl/>
          <w:lang w:bidi="fa-IR"/>
        </w:rPr>
      </w:pPr>
      <w:r w:rsidRPr="0042621E">
        <w:rPr>
          <w:rStyle w:val="libFootnote0Char"/>
          <w:rtl/>
        </w:rPr>
        <w:t>(7).</w:t>
      </w:r>
      <w:r w:rsidR="00E3253D" w:rsidRPr="005D642E">
        <w:rPr>
          <w:rtl/>
        </w:rPr>
        <w:t xml:space="preserve"> في « بث ، بح ، بخ ، جح » : « فلتنحّ</w:t>
      </w:r>
      <w:r w:rsidR="00E3253D">
        <w:rPr>
          <w:rtl/>
        </w:rPr>
        <w:t xml:space="preserve"> ».</w:t>
      </w:r>
      <w:r w:rsidR="00E3253D" w:rsidRPr="005D642E">
        <w:rPr>
          <w:rtl/>
        </w:rPr>
        <w:t xml:space="preserve"> وفي التهذيب : « فلتنحى</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الأمر بالتنحّي محمول على الاستحباب على المشهور</w:t>
      </w:r>
      <w:r w:rsidR="00E3253D">
        <w:rPr>
          <w:rtl/>
        </w:rPr>
        <w:t xml:space="preserve"> ».</w:t>
      </w:r>
      <w:r w:rsidR="00E60B57">
        <w:rPr>
          <w:rFonts w:hint="cs"/>
          <w:rtl/>
        </w:rPr>
        <w:t xml:space="preserve">                   </w:t>
      </w:r>
      <w:r w:rsidRPr="0042621E">
        <w:rPr>
          <w:rStyle w:val="libFootnote0Char"/>
          <w:rtl/>
        </w:rPr>
        <w:t>(8).</w:t>
      </w:r>
      <w:r w:rsidR="00E3253D" w:rsidRPr="005D642E">
        <w:rPr>
          <w:rtl/>
        </w:rPr>
        <w:t xml:space="preserve"> في « بف » : « تأذّى</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428 ، ح 1361 ، معلّقاً عن سهل بن زياد ، عن الحسن بن محبوب. </w:t>
      </w:r>
      <w:r w:rsidR="00E3253D" w:rsidRPr="002F4D34">
        <w:rPr>
          <w:rStyle w:val="libFootnoteBoldChar"/>
          <w:rtl/>
        </w:rPr>
        <w:t>قرب الإسناد</w:t>
      </w:r>
      <w:r w:rsidR="00E3253D" w:rsidRPr="005D642E">
        <w:rPr>
          <w:rtl/>
        </w:rPr>
        <w:t xml:space="preserve"> ، ص 312 ، ح 1214 ، عن أحمد بن محمّد ، عن عليّ بن محبوب ، مع اختلاف يسير. وراجع : </w:t>
      </w:r>
      <w:r w:rsidR="00E3253D" w:rsidRPr="002F4D34">
        <w:rPr>
          <w:rStyle w:val="libFootnoteBoldChar"/>
          <w:rtl/>
        </w:rPr>
        <w:t>الخصال</w:t>
      </w:r>
      <w:r w:rsidR="00E3253D" w:rsidRPr="005D642E">
        <w:rPr>
          <w:rtl/>
        </w:rPr>
        <w:t xml:space="preserve"> ، ص 585 ، أبواب السبعين ومافوقه ، ح 12 </w:t>
      </w:r>
      <w:r w:rsidR="007749F1">
        <w:rPr>
          <w:rFonts w:hint="cs"/>
          <w:rtl/>
        </w:rPr>
        <w:t>.</w:t>
      </w:r>
      <w:r w:rsidR="00E3253D" w:rsidRPr="002F4D34">
        <w:rPr>
          <w:rStyle w:val="libFootnoteBoldChar"/>
          <w:rtl/>
        </w:rPr>
        <w:t>الوافي</w:t>
      </w:r>
      <w:r w:rsidR="00E3253D" w:rsidRPr="005D642E">
        <w:rPr>
          <w:rtl/>
        </w:rPr>
        <w:t xml:space="preserve"> ، ج 24 ، ص 241 ، ح 23968 ؛ </w:t>
      </w:r>
      <w:r w:rsidR="00E3253D" w:rsidRPr="002F4D34">
        <w:rPr>
          <w:rStyle w:val="libFootnoteBoldChar"/>
          <w:rtl/>
        </w:rPr>
        <w:t>الوسائل</w:t>
      </w:r>
      <w:r w:rsidR="00E3253D" w:rsidRPr="005D642E">
        <w:rPr>
          <w:rtl/>
        </w:rPr>
        <w:t xml:space="preserve"> ، ج 2 ، ص 357 ، ح 2356 ؛ وص 467 ، ح 2662.</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معظم النسخ التي قوبلت. وفي المطبوع : « ميّت</w:t>
      </w:r>
      <w:r w:rsidR="00E3253D">
        <w:rPr>
          <w:rtl/>
        </w:rPr>
        <w:t xml:space="preserve"> ».</w:t>
      </w:r>
      <w:r w:rsidR="00E3253D" w:rsidRPr="005D642E">
        <w:rPr>
          <w:rtl/>
        </w:rPr>
        <w:t xml:space="preserve"> وفي « غ » :</w:t>
      </w:r>
      <w:r w:rsidR="00E3253D">
        <w:rPr>
          <w:rtl/>
        </w:rPr>
        <w:t xml:space="preserve"> </w:t>
      </w:r>
      <w:r w:rsidR="007642BC">
        <w:rPr>
          <w:rtl/>
        </w:rPr>
        <w:t>-</w:t>
      </w:r>
      <w:r w:rsidR="00E3253D">
        <w:rPr>
          <w:rtl/>
        </w:rPr>
        <w:t xml:space="preserve"> </w:t>
      </w:r>
      <w:r w:rsidR="00E3253D" w:rsidRPr="005D642E">
        <w:rPr>
          <w:rtl/>
        </w:rPr>
        <w:t>« غسل الميّت</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أَرَدْتَ غُسْلَ الْمَيِّتِ ، فَاجْعَلْ بَيْنَكَ وَبَيْنَهُ ثَوْباً يَسْتُرُ عَنْكَ </w:t>
      </w:r>
      <w:r w:rsidRPr="007C12DB">
        <w:rPr>
          <w:rStyle w:val="libFootnotenumChar"/>
          <w:rtl/>
        </w:rPr>
        <w:t>(1)</w:t>
      </w:r>
      <w:r w:rsidRPr="005D642E">
        <w:rPr>
          <w:rtl/>
          <w:lang w:bidi="fa-IR"/>
        </w:rPr>
        <w:t xml:space="preserve"> عَوْرَتَهُ </w:t>
      </w:r>
      <w:r w:rsidRPr="007C12DB">
        <w:rPr>
          <w:rStyle w:val="libFootnotenumChar"/>
          <w:rtl/>
        </w:rPr>
        <w:t>(2)</w:t>
      </w:r>
      <w:r w:rsidRPr="005D642E">
        <w:rPr>
          <w:rtl/>
          <w:lang w:bidi="fa-IR"/>
        </w:rPr>
        <w:t xml:space="preserve"> ، إِمَّا قَمِيصٌ </w:t>
      </w:r>
      <w:r w:rsidRPr="007C12DB">
        <w:rPr>
          <w:rStyle w:val="libFootnotenumChar"/>
          <w:rtl/>
        </w:rPr>
        <w:t>(3)</w:t>
      </w:r>
      <w:r w:rsidRPr="005D642E">
        <w:rPr>
          <w:rtl/>
          <w:lang w:bidi="fa-IR"/>
        </w:rPr>
        <w:t xml:space="preserve"> وَإِمَّا </w:t>
      </w:r>
      <w:r w:rsidRPr="007C12DB">
        <w:rPr>
          <w:rStyle w:val="libFootnotenumChar"/>
          <w:rtl/>
        </w:rPr>
        <w:t>(4)</w:t>
      </w:r>
      <w:r w:rsidRPr="005D642E">
        <w:rPr>
          <w:rtl/>
          <w:lang w:bidi="fa-IR"/>
        </w:rPr>
        <w:t xml:space="preserve"> غَيْرُهُ ، ثُمَّ تَبْدَأُ بِكَفَّيْهِ وَ</w:t>
      </w:r>
      <w:r>
        <w:rPr>
          <w:rFonts w:hint="cs"/>
          <w:rtl/>
          <w:lang w:bidi="fa-IR"/>
        </w:rPr>
        <w:t xml:space="preserve"> </w:t>
      </w:r>
      <w:r w:rsidRPr="007C12DB">
        <w:rPr>
          <w:rStyle w:val="libFootnotenumChar"/>
          <w:rtl/>
        </w:rPr>
        <w:t>(5)</w:t>
      </w:r>
      <w:r w:rsidRPr="005D642E">
        <w:rPr>
          <w:rtl/>
          <w:lang w:bidi="fa-IR"/>
        </w:rPr>
        <w:t xml:space="preserve"> رَأْسِهِ ثَلَاثَ مَرَّاتٍ بِالسِّدْرِ ، ثُمَّ سَائِرِ جَسَدِهِ ، وَابْدَأْ بِشِقِّهِ الْأَيْمَنِ ؛ فَإِذَا أَرَدْتَ أَنْ تَغْسِلَ فَرْجَهُ ، فَخُذْ خِرْقَةً نَظِيفَةً ، فَلُفَّهَا عَلى يَدِكَ الْيُسْرى ، ثُمَّ أَدْخِلْ يَدَكَ مِنْ تَحْتِ الثَّوْبِ الَّذِي عَلى فَرْجِ الْمَيِّتِ ، فَاغْسِلْهُ مِنْ غَيْرِ أَنْ تَرى عَوْرَتَهُ ، فَإِذَا فَرَغْتَ مِنْ غُسْلِهِ بِالسِّدْرِ ، فَاغْسِلْهُ مَرَّةً أُخْرى بِمَاءٍ وَكَافُورٍ </w:t>
      </w:r>
      <w:r w:rsidRPr="007C12DB">
        <w:rPr>
          <w:rStyle w:val="libFootnotenumChar"/>
          <w:rtl/>
        </w:rPr>
        <w:t>(6)</w:t>
      </w:r>
      <w:r w:rsidRPr="005D642E">
        <w:rPr>
          <w:rtl/>
          <w:lang w:bidi="fa-IR"/>
        </w:rPr>
        <w:t xml:space="preserve"> وَشَيْ‌ءٍ </w:t>
      </w:r>
      <w:r w:rsidRPr="007C12DB">
        <w:rPr>
          <w:rStyle w:val="libFootnotenumChar"/>
          <w:rtl/>
        </w:rPr>
        <w:t>(7)</w:t>
      </w:r>
      <w:r w:rsidRPr="005D642E">
        <w:rPr>
          <w:rtl/>
          <w:lang w:bidi="fa-IR"/>
        </w:rPr>
        <w:t xml:space="preserve"> مِنْ حَنُوطِهِ </w:t>
      </w:r>
      <w:r w:rsidRPr="007C12DB">
        <w:rPr>
          <w:rStyle w:val="libFootnotenumChar"/>
          <w:rtl/>
        </w:rPr>
        <w:t>(8)</w:t>
      </w:r>
      <w:r w:rsidRPr="005D642E">
        <w:rPr>
          <w:rtl/>
          <w:lang w:bidi="fa-IR"/>
        </w:rPr>
        <w:t xml:space="preserve"> ، ثُمَّ اغْسِلْهُ </w:t>
      </w:r>
      <w:r w:rsidRPr="007C12DB">
        <w:rPr>
          <w:rStyle w:val="libFootnotenumChar"/>
          <w:rtl/>
        </w:rPr>
        <w:t>(9)</w:t>
      </w:r>
      <w:r w:rsidRPr="005D642E">
        <w:rPr>
          <w:rtl/>
          <w:lang w:bidi="fa-IR"/>
        </w:rPr>
        <w:t xml:space="preserve"> بِمَاءٍ بَحْتٍ غَسْلَةً أُخْرى حَتّى إِذَا فَرَغْتَ مِنْ ثَلَاثٍ </w:t>
      </w:r>
      <w:r w:rsidRPr="007C12DB">
        <w:rPr>
          <w:rStyle w:val="libFootnotenumChar"/>
          <w:rtl/>
        </w:rPr>
        <w:t>(10)</w:t>
      </w:r>
      <w:r w:rsidRPr="005D642E">
        <w:rPr>
          <w:rtl/>
          <w:lang w:bidi="fa-IR"/>
        </w:rPr>
        <w:t xml:space="preserve"> ، جَعَلْتَهُ فِي ثَوْبٍ </w:t>
      </w:r>
      <w:r w:rsidRPr="007C12DB">
        <w:rPr>
          <w:rStyle w:val="libFootnotenumChar"/>
          <w:rtl/>
        </w:rPr>
        <w:t>(11)</w:t>
      </w:r>
      <w:r w:rsidRPr="005D642E">
        <w:rPr>
          <w:rtl/>
          <w:lang w:bidi="fa-IR"/>
        </w:rPr>
        <w:t xml:space="preserve"> ، ثُمَّ جَفَّفْتَهُ</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AE3CB5">
        <w:rPr>
          <w:rtl/>
        </w:rPr>
        <w:t>4333</w:t>
      </w:r>
      <w:r w:rsidRPr="00246318">
        <w:rPr>
          <w:rStyle w:val="libBold2Char"/>
          <w:rtl/>
        </w:rPr>
        <w:t xml:space="preserve"> / 2.</w:t>
      </w:r>
      <w:r w:rsidRPr="005D642E">
        <w:rPr>
          <w:rtl/>
          <w:lang w:bidi="fa-IR"/>
        </w:rPr>
        <w:t xml:space="preserve"> مُحَمَّدُ بْنُ يَحْيى ، عَنْ أَحْمَدَ بْنِ مُحَمَّدٍ ، عَنِ الْحُسَيْنِ بْنِ سَعِيدٍ وَمُحَمَّدِ بْنِ خَالِدٍ ، عَنِ النَّضْرِ بْنِ سُوَيْدٍ ، عَنِ ابْنِ مُسْكَانَ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غُسْلِ الْمَيِّتِ ، فَقَالَ : « اغْسِلْهُ بِمَاءٍ وَسِدْرٍ </w:t>
      </w:r>
      <w:r w:rsidRPr="007C12DB">
        <w:rPr>
          <w:rStyle w:val="libFootnotenumChar"/>
          <w:rtl/>
        </w:rPr>
        <w:t>(13)</w:t>
      </w:r>
      <w:r w:rsidRPr="005D642E">
        <w:rPr>
          <w:rtl/>
          <w:lang w:bidi="fa-IR"/>
        </w:rPr>
        <w:t xml:space="preserve"> ، ثُمَّ اغْسِلْهُ عَلى أَثَرِ ذلِكَ غَسْلَةً أُخْرى بِمَاءٍ وَكَافُورٍ وَذَرِيرَةٍ </w:t>
      </w:r>
      <w:r w:rsidRPr="007C12DB">
        <w:rPr>
          <w:rStyle w:val="libFootnotenumChar"/>
          <w:rtl/>
        </w:rPr>
        <w:t>(14)</w:t>
      </w:r>
      <w:r w:rsidRPr="005D642E">
        <w:rPr>
          <w:rtl/>
          <w:lang w:bidi="fa-IR"/>
        </w:rPr>
        <w:t xml:space="preserve"> إِنْ‌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749F1" w:rsidTr="007749F1">
        <w:tc>
          <w:tcPr>
            <w:tcW w:w="4006" w:type="dxa"/>
          </w:tcPr>
          <w:p w:rsidR="007749F1" w:rsidRDefault="007749F1" w:rsidP="00E3253D">
            <w:pPr>
              <w:pStyle w:val="libFootnote0"/>
              <w:rPr>
                <w:rStyle w:val="libFootnote0Char"/>
                <w:rtl/>
              </w:rPr>
            </w:pPr>
            <w:r w:rsidRPr="0042621E">
              <w:rPr>
                <w:rStyle w:val="libFootnote0Char"/>
                <w:rtl/>
              </w:rPr>
              <w:t>(1).</w:t>
            </w:r>
            <w:r>
              <w:rPr>
                <w:rtl/>
              </w:rPr>
              <w:t xml:space="preserve"> </w:t>
            </w:r>
            <w:r w:rsidRPr="005D642E">
              <w:rPr>
                <w:rtl/>
              </w:rPr>
              <w:t>في التهذيب :</w:t>
            </w:r>
            <w:r>
              <w:rPr>
                <w:rtl/>
              </w:rPr>
              <w:t xml:space="preserve"> - </w:t>
            </w:r>
            <w:r w:rsidRPr="005D642E">
              <w:rPr>
                <w:rtl/>
              </w:rPr>
              <w:t>« عنك</w:t>
            </w:r>
            <w:r>
              <w:rPr>
                <w:rtl/>
              </w:rPr>
              <w:t xml:space="preserve"> ».</w:t>
            </w:r>
          </w:p>
        </w:tc>
        <w:tc>
          <w:tcPr>
            <w:tcW w:w="4006" w:type="dxa"/>
          </w:tcPr>
          <w:p w:rsidR="007749F1" w:rsidRDefault="007749F1" w:rsidP="00E3253D">
            <w:pPr>
              <w:pStyle w:val="libFootnote0"/>
              <w:rPr>
                <w:rStyle w:val="libFootnote0Char"/>
                <w:rtl/>
              </w:rPr>
            </w:pPr>
            <w:r w:rsidRPr="0042621E">
              <w:rPr>
                <w:rStyle w:val="libFootnote0Char"/>
                <w:rtl/>
              </w:rPr>
              <w:t>(2).</w:t>
            </w:r>
            <w:r w:rsidRPr="005D642E">
              <w:rPr>
                <w:rtl/>
              </w:rPr>
              <w:t xml:space="preserve"> في « جن » : « عورته عنك</w:t>
            </w:r>
            <w:r>
              <w:rPr>
                <w:rtl/>
              </w:rPr>
              <w:t xml:space="preserve"> ».</w:t>
            </w:r>
          </w:p>
        </w:tc>
      </w:tr>
      <w:tr w:rsidR="007749F1" w:rsidTr="007749F1">
        <w:tc>
          <w:tcPr>
            <w:tcW w:w="4006" w:type="dxa"/>
          </w:tcPr>
          <w:p w:rsidR="007749F1" w:rsidRDefault="007749F1" w:rsidP="00E3253D">
            <w:pPr>
              <w:pStyle w:val="libFootnote0"/>
              <w:rPr>
                <w:rStyle w:val="libFootnote0Char"/>
                <w:rtl/>
              </w:rPr>
            </w:pPr>
            <w:r w:rsidRPr="0042621E">
              <w:rPr>
                <w:rStyle w:val="libFootnote0Char"/>
                <w:rtl/>
              </w:rPr>
              <w:t>(3).</w:t>
            </w:r>
            <w:r w:rsidRPr="005D642E">
              <w:rPr>
                <w:rtl/>
              </w:rPr>
              <w:t xml:space="preserve"> في الوافي </w:t>
            </w:r>
            <w:r w:rsidRPr="007749F1">
              <w:rPr>
                <w:rtl/>
              </w:rPr>
              <w:t xml:space="preserve">والتهذيب </w:t>
            </w:r>
            <w:r w:rsidRPr="005D642E">
              <w:rPr>
                <w:rtl/>
              </w:rPr>
              <w:t>: « قميصاً</w:t>
            </w:r>
            <w:r>
              <w:rPr>
                <w:rtl/>
              </w:rPr>
              <w:t xml:space="preserve"> ».</w:t>
            </w:r>
          </w:p>
        </w:tc>
        <w:tc>
          <w:tcPr>
            <w:tcW w:w="4006" w:type="dxa"/>
          </w:tcPr>
          <w:p w:rsidR="007749F1" w:rsidRDefault="007749F1" w:rsidP="00E3253D">
            <w:pPr>
              <w:pStyle w:val="libFootnote0"/>
              <w:rPr>
                <w:rStyle w:val="libFootnote0Char"/>
                <w:rtl/>
              </w:rPr>
            </w:pPr>
            <w:r w:rsidRPr="0042621E">
              <w:rPr>
                <w:rStyle w:val="libFootnote0Char"/>
                <w:rtl/>
              </w:rPr>
              <w:t>(4).</w:t>
            </w:r>
            <w:r w:rsidRPr="005D642E">
              <w:rPr>
                <w:rtl/>
              </w:rPr>
              <w:t xml:space="preserve"> في « بث » : « أو » بدل « وإمّا</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 « تغسل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حاشية « بث ، بح » : « بماء الكافور » بدل « بماء وكافور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بف ، جس ، جن » وحاشية « بث </w:t>
      </w:r>
      <w:r w:rsidR="00E3253D" w:rsidRPr="007749F1">
        <w:rPr>
          <w:rtl/>
        </w:rPr>
        <w:t xml:space="preserve">» </w:t>
      </w:r>
      <w:r w:rsidR="000D749A" w:rsidRPr="007749F1">
        <w:rPr>
          <w:rtl/>
        </w:rPr>
        <w:t>والوافي</w:t>
      </w:r>
      <w:r w:rsidR="00E3253D" w:rsidRPr="005D642E">
        <w:rPr>
          <w:rtl/>
        </w:rPr>
        <w:t xml:space="preserve"> والوسائل : « وبشي‌ء</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الوسائل : « من حنوط</w:t>
      </w:r>
      <w:r w:rsidR="00E3253D">
        <w:rPr>
          <w:rtl/>
        </w:rPr>
        <w:t xml:space="preserve"> ».</w:t>
      </w:r>
      <w:r w:rsidR="00E3253D" w:rsidRPr="005D642E">
        <w:rPr>
          <w:rtl/>
        </w:rPr>
        <w:t xml:space="preserve"> والحنوط : هو ما يُخلَط من الطيب لأكفان ال</w:t>
      </w:r>
      <w:r w:rsidR="007749F1">
        <w:rPr>
          <w:rtl/>
        </w:rPr>
        <w:t>موتى وأجسامهم خاصّة. وقال العل</w:t>
      </w:r>
      <w:r w:rsidR="007749F1">
        <w:rPr>
          <w:rFonts w:hint="cs"/>
          <w:rtl/>
        </w:rPr>
        <w:t>ّ</w:t>
      </w:r>
      <w:r w:rsidR="007749F1">
        <w:rPr>
          <w:rtl/>
        </w:rPr>
        <w:t>ا</w:t>
      </w:r>
      <w:r w:rsidR="00E3253D" w:rsidRPr="005D642E">
        <w:rPr>
          <w:rtl/>
        </w:rPr>
        <w:t>مة المجلسي : « لعلّ المراد بالحنوط هنا الذريرة</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2 ، ص 450 ( حنط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جن » : « ثمّ يغسله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بف » </w:t>
      </w:r>
      <w:r w:rsidR="000D749A" w:rsidRPr="007749F1">
        <w:rPr>
          <w:rtl/>
        </w:rPr>
        <w:t>والوافي</w:t>
      </w:r>
      <w:r w:rsidR="00E3253D" w:rsidRPr="005D642E">
        <w:rPr>
          <w:rtl/>
        </w:rPr>
        <w:t xml:space="preserve"> : « تلك</w:t>
      </w:r>
      <w:r w:rsidR="00E3253D">
        <w:rPr>
          <w:rtl/>
        </w:rPr>
        <w:t xml:space="preserve"> ».</w:t>
      </w:r>
      <w:r w:rsidR="00E3253D" w:rsidRPr="005D642E">
        <w:rPr>
          <w:rtl/>
        </w:rPr>
        <w:t xml:space="preserve"> وفي « جن » والوسائل </w:t>
      </w:r>
      <w:r w:rsidR="00B60612" w:rsidRPr="00B60612">
        <w:rPr>
          <w:rStyle w:val="libFootnoteBoldChar"/>
          <w:rtl/>
        </w:rPr>
        <w:t>والتهذيب</w:t>
      </w:r>
      <w:r w:rsidR="00E3253D" w:rsidRPr="005D642E">
        <w:rPr>
          <w:rtl/>
        </w:rPr>
        <w:t xml:space="preserve"> : + « غسلات</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 نظيف</w:t>
      </w:r>
      <w:r w:rsidR="00E3253D">
        <w:rPr>
          <w:rtl/>
        </w:rPr>
        <w:t xml:space="preserve"> ».</w:t>
      </w:r>
    </w:p>
    <w:p w:rsidR="00E3253D" w:rsidRPr="005D642E" w:rsidRDefault="0042621E" w:rsidP="007749F1">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299 ، ح 874 ، بسنده عن الكليني </w:t>
      </w:r>
      <w:r w:rsidR="007749F1" w:rsidRPr="007749F1">
        <w:rPr>
          <w:rStyle w:val="libFootnoteBoldChar"/>
          <w:rFonts w:hint="cs"/>
          <w:rtl/>
        </w:rPr>
        <w:t>.</w:t>
      </w:r>
      <w:r w:rsidR="00E3253D" w:rsidRPr="002F4D34">
        <w:rPr>
          <w:rStyle w:val="libFootnoteBoldChar"/>
          <w:rtl/>
        </w:rPr>
        <w:t>الوافي</w:t>
      </w:r>
      <w:r w:rsidR="00E3253D" w:rsidRPr="005D642E">
        <w:rPr>
          <w:rtl/>
        </w:rPr>
        <w:t xml:space="preserve"> ، ج 24 ، ص 317 ، ح 24108 ؛ </w:t>
      </w:r>
      <w:r w:rsidR="00E3253D" w:rsidRPr="002F4D34">
        <w:rPr>
          <w:rStyle w:val="libFootnoteBoldChar"/>
          <w:rtl/>
        </w:rPr>
        <w:t>الوسائل</w:t>
      </w:r>
      <w:r w:rsidR="00E3253D" w:rsidRPr="005D642E">
        <w:rPr>
          <w:rtl/>
        </w:rPr>
        <w:t xml:space="preserve"> ، ج 2 ، ص 479 ، ح 2695.</w:t>
      </w:r>
      <w:r w:rsidR="007749F1">
        <w:rPr>
          <w:rFonts w:hint="cs"/>
          <w:rtl/>
        </w:rPr>
        <w:t xml:space="preserve">                     </w:t>
      </w:r>
      <w:r w:rsidRPr="0042621E">
        <w:rPr>
          <w:rStyle w:val="libFootnote0Char"/>
          <w:rtl/>
        </w:rPr>
        <w:t>(13).</w:t>
      </w:r>
      <w:r w:rsidR="00E3253D" w:rsidRPr="005D642E">
        <w:rPr>
          <w:rtl/>
        </w:rPr>
        <w:t xml:space="preserve"> في « بح » : « بماء سدر</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 xml:space="preserve">« الذَريرة » : نوع من الطيب مجموع من أخلاط. وقيل : هي فُتات ، أي ما فُتّت وكُسرت كِسَراً صغيرة من قصب </w:t>
      </w:r>
      <w:r w:rsidR="007749F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كَانَتْ </w:t>
      </w:r>
      <w:r w:rsidRPr="007C12DB">
        <w:rPr>
          <w:rStyle w:val="libFootnotenumChar"/>
          <w:rtl/>
        </w:rPr>
        <w:t>(1)</w:t>
      </w:r>
      <w:r w:rsidRPr="005D642E">
        <w:rPr>
          <w:rtl/>
          <w:lang w:bidi="fa-IR"/>
        </w:rPr>
        <w:t xml:space="preserve"> ، وَاغْسِلْهُ الثَّالِثَةَ بِمَاءٍ قَرَاحٍ </w:t>
      </w:r>
      <w:r w:rsidRPr="007C12DB">
        <w:rPr>
          <w:rStyle w:val="libFootnotenumChar"/>
          <w:rtl/>
        </w:rPr>
        <w:t>(2)</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 ثَلَاثَ غَسَلَاتٍ </w:t>
      </w:r>
      <w:r w:rsidRPr="007C12DB">
        <w:rPr>
          <w:rStyle w:val="libFootnotenumChar"/>
          <w:rtl/>
        </w:rPr>
        <w:t>(3)</w:t>
      </w:r>
      <w:r w:rsidRPr="005D642E">
        <w:rPr>
          <w:rtl/>
          <w:lang w:bidi="fa-IR"/>
        </w:rPr>
        <w:t xml:space="preserve"> لِجَسَدِهِ كُلِّهِ</w:t>
      </w:r>
      <w:r>
        <w:rPr>
          <w:rtl/>
          <w:lang w:bidi="fa-IR"/>
        </w:rPr>
        <w:t>؟</w:t>
      </w:r>
      <w:r w:rsidRPr="005D642E">
        <w:rPr>
          <w:rtl/>
          <w:lang w:bidi="fa-IR"/>
        </w:rPr>
        <w:t xml:space="preserve"> قَالَ : « نَعَمْ</w:t>
      </w:r>
      <w:r>
        <w:rPr>
          <w:rtl/>
          <w:lang w:bidi="fa-IR"/>
        </w:rPr>
        <w:t xml:space="preserve"> ».</w:t>
      </w:r>
      <w:r w:rsidRPr="005D642E">
        <w:rPr>
          <w:rtl/>
          <w:lang w:bidi="fa-IR"/>
        </w:rPr>
        <w:t xml:space="preserve"> قُلْتُ : يَكُونُ عَلَيْهِ ثَوْبٌ إِذَا غُسِّلَ </w:t>
      </w:r>
      <w:r w:rsidRPr="007C12DB">
        <w:rPr>
          <w:rStyle w:val="libFootnotenumChar"/>
          <w:rtl/>
        </w:rPr>
        <w:t>(4)</w:t>
      </w:r>
      <w:r>
        <w:rPr>
          <w:rtl/>
          <w:lang w:bidi="fa-IR"/>
        </w:rPr>
        <w:t>؟</w:t>
      </w:r>
      <w:r>
        <w:rPr>
          <w:rFonts w:hint="cs"/>
          <w:rtl/>
          <w:lang w:bidi="fa-IR"/>
        </w:rPr>
        <w:t xml:space="preserve"> </w:t>
      </w:r>
      <w:r w:rsidRPr="005D642E">
        <w:rPr>
          <w:rtl/>
          <w:lang w:bidi="fa-IR"/>
        </w:rPr>
        <w:t xml:space="preserve">قَالَ </w:t>
      </w:r>
      <w:r w:rsidRPr="007C12DB">
        <w:rPr>
          <w:rStyle w:val="libFootnotenumChar"/>
          <w:rtl/>
        </w:rPr>
        <w:t>(5)</w:t>
      </w:r>
      <w:r w:rsidRPr="005D642E">
        <w:rPr>
          <w:rtl/>
          <w:lang w:bidi="fa-IR"/>
        </w:rPr>
        <w:t xml:space="preserve"> : « إِنِ اسْتَطَعْتَ أَنْ يَكُونَ عَلَيْهِ قَمِيصٌ ، فَغَسِّلْهُ </w:t>
      </w:r>
      <w:r w:rsidRPr="007C12DB">
        <w:rPr>
          <w:rStyle w:val="libFootnotenumChar"/>
          <w:rtl/>
        </w:rPr>
        <w:t>(6)</w:t>
      </w:r>
      <w:r w:rsidRPr="005D642E">
        <w:rPr>
          <w:rtl/>
          <w:lang w:bidi="fa-IR"/>
        </w:rPr>
        <w:t xml:space="preserve"> مِنْ تَحْتِهِ » وَقَالَ : « أُحِبُّ لِمَنْ غَسَّلَ الْمَيِّتَ أَنْ يَلُفَّ عَلى يَدِهِ الْخِرْقَةَ حِينَ يُغَسِّلُهُ</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AE3CB5">
        <w:rPr>
          <w:rtl/>
        </w:rPr>
        <w:t>4334</w:t>
      </w:r>
      <w:r w:rsidRPr="00246318">
        <w:rPr>
          <w:rStyle w:val="libBold2Char"/>
          <w:rtl/>
        </w:rPr>
        <w:t xml:space="preserve"> / 3.</w:t>
      </w:r>
      <w:r w:rsidRPr="005D642E">
        <w:rPr>
          <w:rtl/>
          <w:lang w:bidi="fa-IR"/>
        </w:rPr>
        <w:t xml:space="preserve"> عِدَّةٌ مِنْ أَصْحَابِنَا ، عَنْ سَهْلِ بْنِ زِيَادٍ ، عَنِ الْحَسَنِ بْنِ مَحْبُوبٍ ، عَنْ عَلِيِّ بْنِ رِئَابٍ ، عَنِ الْحَلَبِيِّ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يُغَسَّلُ الْمَيِّتُ ثَلَاثَ غَسَلَاتٍ : مَرَّةً بِالسِّدْرِ ، وَمَرَّةً بِالْمَاءِ يُطْرَحُ </w:t>
      </w:r>
      <w:r w:rsidRPr="007C12DB">
        <w:rPr>
          <w:rStyle w:val="libFootnotenumChar"/>
          <w:rtl/>
        </w:rPr>
        <w:t>(8)</w:t>
      </w:r>
      <w:r w:rsidRPr="005D642E">
        <w:rPr>
          <w:rtl/>
          <w:lang w:bidi="fa-IR"/>
        </w:rPr>
        <w:t xml:space="preserve"> فِيهِ الْكَافُورُ ، وَمَرَّةً أُخْرى بِالْمَاءِ الْقَرَاحِ </w:t>
      </w:r>
      <w:r w:rsidRPr="007C12DB">
        <w:rPr>
          <w:rStyle w:val="libFootnotenumChar"/>
          <w:rtl/>
        </w:rPr>
        <w:t>(9)</w:t>
      </w:r>
      <w:r w:rsidRPr="005D642E">
        <w:rPr>
          <w:rtl/>
          <w:lang w:bidi="fa-IR"/>
        </w:rPr>
        <w:t xml:space="preserve"> ، ثُمَّ يُكَفَّنُ</w:t>
      </w:r>
      <w:r>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7749F1" w:rsidP="00E3253D">
      <w:pPr>
        <w:pStyle w:val="libFootnote0"/>
        <w:rPr>
          <w:rtl/>
          <w:lang w:bidi="fa-IR"/>
        </w:rPr>
      </w:pPr>
      <w:r>
        <w:rPr>
          <w:rFonts w:hint="cs"/>
          <w:rtl/>
        </w:rPr>
        <w:t xml:space="preserve">= </w:t>
      </w:r>
      <w:r w:rsidR="00E3253D" w:rsidRPr="005D642E">
        <w:rPr>
          <w:rtl/>
        </w:rPr>
        <w:t xml:space="preserve">الطيب ، وهو قصب يؤتى بها من بلد الهند يشبه قصب النُشّاب ، أي قصب السهام. وقيل غير ذلك. راجع : </w:t>
      </w:r>
      <w:r w:rsidR="00E3253D" w:rsidRPr="002F4D34">
        <w:rPr>
          <w:rStyle w:val="libFootnoteBoldChar"/>
          <w:rtl/>
        </w:rPr>
        <w:t>لسان العرب</w:t>
      </w:r>
      <w:r w:rsidR="00E3253D" w:rsidRPr="005D642E">
        <w:rPr>
          <w:rtl/>
        </w:rPr>
        <w:t xml:space="preserve"> ، ج 4 ، ص 303 ؛ </w:t>
      </w:r>
      <w:r w:rsidR="00E3253D" w:rsidRPr="002F4D34">
        <w:rPr>
          <w:rStyle w:val="libFootnoteBoldChar"/>
          <w:rtl/>
        </w:rPr>
        <w:t>المصباح المنير</w:t>
      </w:r>
      <w:r w:rsidR="00E3253D" w:rsidRPr="005D642E">
        <w:rPr>
          <w:rtl/>
        </w:rPr>
        <w:t xml:space="preserve"> ، ص 207 ( ذرر ) ؛ </w:t>
      </w:r>
      <w:r w:rsidR="00E3253D" w:rsidRPr="002F4D34">
        <w:rPr>
          <w:rStyle w:val="libFootnoteBoldChar"/>
          <w:rtl/>
        </w:rPr>
        <w:t>الحبل المتين</w:t>
      </w:r>
      <w:r w:rsidR="00E3253D" w:rsidRPr="005D642E">
        <w:rPr>
          <w:rtl/>
        </w:rPr>
        <w:t xml:space="preserve"> ، ص 210 ؛ </w:t>
      </w:r>
      <w:r w:rsidR="00E3253D" w:rsidRPr="002F4D34">
        <w:rPr>
          <w:rStyle w:val="libFootnoteBoldChar"/>
          <w:rtl/>
        </w:rPr>
        <w:t>الوافي</w:t>
      </w:r>
      <w:r w:rsidR="00E3253D" w:rsidRPr="005D642E">
        <w:rPr>
          <w:rtl/>
        </w:rPr>
        <w:t xml:space="preserve"> ، ج 3 ، ص 48 ؛ </w:t>
      </w:r>
      <w:r w:rsidR="00E3253D" w:rsidRPr="002F4D34">
        <w:rPr>
          <w:rStyle w:val="libFootnoteBoldChar"/>
          <w:rtl/>
        </w:rPr>
        <w:t>مرآة العقول</w:t>
      </w:r>
      <w:r w:rsidR="00E3253D" w:rsidRPr="005D642E">
        <w:rPr>
          <w:rtl/>
        </w:rPr>
        <w:t xml:space="preserve"> ، ج 13 ، ص 304.</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ما تضمّنه</w:t>
      </w:r>
      <w:r w:rsidR="00E3253D">
        <w:rPr>
          <w:rtl/>
        </w:rPr>
        <w:t xml:space="preserve"> </w:t>
      </w:r>
      <w:r w:rsidR="007642BC">
        <w:rPr>
          <w:rtl/>
        </w:rPr>
        <w:t>-</w:t>
      </w:r>
      <w:r w:rsidR="00E3253D">
        <w:rPr>
          <w:rtl/>
        </w:rPr>
        <w:t xml:space="preserve"> </w:t>
      </w:r>
      <w:r w:rsidR="00E3253D" w:rsidRPr="005D642E">
        <w:rPr>
          <w:rtl/>
        </w:rPr>
        <w:t>أي الحديث</w:t>
      </w:r>
      <w:r w:rsidR="00E3253D">
        <w:rPr>
          <w:rtl/>
        </w:rPr>
        <w:t xml:space="preserve"> </w:t>
      </w:r>
      <w:r w:rsidR="007642BC">
        <w:rPr>
          <w:rtl/>
        </w:rPr>
        <w:t>-</w:t>
      </w:r>
      <w:r w:rsidR="00E3253D">
        <w:rPr>
          <w:rtl/>
        </w:rPr>
        <w:t xml:space="preserve"> </w:t>
      </w:r>
      <w:r w:rsidR="00E3253D" w:rsidRPr="005D642E">
        <w:rPr>
          <w:rtl/>
        </w:rPr>
        <w:t xml:space="preserve">من إضافة الذريرة إلى الكافور محمول على الاستحباب ، ولعلّ في قوله </w:t>
      </w:r>
      <w:r w:rsidR="00E3253D" w:rsidRPr="007749F1">
        <w:rPr>
          <w:rStyle w:val="libFootnoteAlaemChar"/>
          <w:rtl/>
        </w:rPr>
        <w:t>عليه‌السلام</w:t>
      </w:r>
      <w:r w:rsidR="00E3253D" w:rsidRPr="005D642E">
        <w:rPr>
          <w:rtl/>
        </w:rPr>
        <w:t xml:space="preserve"> : إن كانت ، نوع إشعار بعدم تحتّمها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قال الجوهري : « الماء القَراح : الذي لايشوبه شي‌ء</w:t>
      </w:r>
      <w:r w:rsidR="00E3253D">
        <w:rPr>
          <w:rtl/>
        </w:rPr>
        <w:t xml:space="preserve"> ».</w:t>
      </w:r>
      <w:r w:rsidR="00E3253D" w:rsidRPr="005D642E">
        <w:rPr>
          <w:rtl/>
        </w:rPr>
        <w:t xml:space="preserve"> وقال ابن الأثير : « هو بالفتح الماء الذي لم يخالطه شي‌ء يُطَيَّب به ، كالعسل والتمر والزبيب</w:t>
      </w:r>
      <w:r w:rsidR="00E3253D">
        <w:rPr>
          <w:rtl/>
        </w:rPr>
        <w:t xml:space="preserve"> ».</w:t>
      </w:r>
      <w:r w:rsidR="00E3253D" w:rsidRPr="005D642E">
        <w:rPr>
          <w:rtl/>
        </w:rPr>
        <w:t xml:space="preserve"> وقال الشيخ البهائي : « المراد من القراح بالفتح : الماء الخالي عن الخليطين ، لا عن كلّ شي‌ء حتّى الطين القليل الغير المخرج له عن الإطلاق ، على ما توهّمه بعضهم من قول بعض اللغويين : القراح : هو الذي لايشوبه شي‌ء</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1 ، ص 396 ؛ </w:t>
      </w:r>
      <w:r w:rsidR="00E3253D" w:rsidRPr="002F4D34">
        <w:rPr>
          <w:rStyle w:val="libFootnoteBoldChar"/>
          <w:rtl/>
        </w:rPr>
        <w:t>النهاية</w:t>
      </w:r>
      <w:r w:rsidR="00E3253D" w:rsidRPr="005D642E">
        <w:rPr>
          <w:rtl/>
        </w:rPr>
        <w:t xml:space="preserve"> ، ج 4 ، ص 36 ( قرح ) ؛ </w:t>
      </w:r>
      <w:r w:rsidR="00E3253D" w:rsidRPr="002F4D34">
        <w:rPr>
          <w:rStyle w:val="libFootnoteBoldChar"/>
          <w:rtl/>
        </w:rPr>
        <w:t>الحبل المتين</w:t>
      </w:r>
      <w:r w:rsidR="00E3253D" w:rsidRPr="005D642E">
        <w:rPr>
          <w:rtl/>
        </w:rPr>
        <w:t xml:space="preserve"> ، ص 210. وللمزيد راجع : </w:t>
      </w:r>
      <w:r w:rsidR="00E3253D" w:rsidRPr="002F4D34">
        <w:rPr>
          <w:rStyle w:val="libFootnoteBoldChar"/>
          <w:rtl/>
        </w:rPr>
        <w:t>الوافي</w:t>
      </w:r>
      <w:r w:rsidR="00E3253D" w:rsidRPr="005D642E">
        <w:rPr>
          <w:rtl/>
        </w:rPr>
        <w:t xml:space="preserve"> ، ج 24 ، ص 317 ؛ </w:t>
      </w:r>
      <w:r w:rsidR="00E3253D" w:rsidRPr="002F4D34">
        <w:rPr>
          <w:rStyle w:val="libFootnoteBoldChar"/>
          <w:rtl/>
        </w:rPr>
        <w:t>مرآة العقول</w:t>
      </w:r>
      <w:r w:rsidR="00E3253D" w:rsidRPr="005D642E">
        <w:rPr>
          <w:rtl/>
        </w:rPr>
        <w:t xml:space="preserve"> ، ج 13 ، ص 304.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ص 300 : « ثلاث غسلات قلت » بدل « قلت : ثلاث غسلات</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 « إذا غسلت</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ص 108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وحاشية « جن » </w:t>
      </w:r>
      <w:r w:rsidR="000D749A" w:rsidRPr="000D749A">
        <w:rPr>
          <w:rStyle w:val="libFootnoteBoldChar"/>
          <w:rtl/>
        </w:rPr>
        <w:t>والوافي</w:t>
      </w:r>
      <w:r w:rsidR="00E3253D" w:rsidRPr="005D642E">
        <w:rPr>
          <w:rtl/>
        </w:rPr>
        <w:t xml:space="preserve"> : « تغسله</w:t>
      </w:r>
      <w:r w:rsidR="00E3253D">
        <w:rPr>
          <w:rtl/>
        </w:rPr>
        <w:t xml:space="preserve"> ».</w:t>
      </w:r>
    </w:p>
    <w:p w:rsidR="00E3253D" w:rsidRPr="005D642E" w:rsidRDefault="0042621E" w:rsidP="004A61BB">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108 ، ح 282 ؛ وص 300 ، ح 875 ، بسندهما عن الكليني. </w:t>
      </w:r>
      <w:r w:rsidR="00E3253D" w:rsidRPr="002F4D34">
        <w:rPr>
          <w:rStyle w:val="libFootnoteBoldChar"/>
          <w:rtl/>
        </w:rPr>
        <w:t>وفيه</w:t>
      </w:r>
      <w:r w:rsidR="00E3253D" w:rsidRPr="005D642E">
        <w:rPr>
          <w:rtl/>
        </w:rPr>
        <w:t xml:space="preserve"> ، ص 446 ، ح 1443 ، بسند آخر ، إلى قوله : « فغسله من تحته » مع اختلاف يسير </w:t>
      </w:r>
      <w:r w:rsidR="004A61BB">
        <w:rPr>
          <w:rFonts w:hint="cs"/>
          <w:rtl/>
        </w:rPr>
        <w:t>.</w:t>
      </w:r>
      <w:r w:rsidR="00E3253D" w:rsidRPr="002F4D34">
        <w:rPr>
          <w:rStyle w:val="libFootnoteBoldChar"/>
          <w:rtl/>
        </w:rPr>
        <w:t>الوافي</w:t>
      </w:r>
      <w:r w:rsidR="00E3253D" w:rsidRPr="005D642E">
        <w:rPr>
          <w:rtl/>
        </w:rPr>
        <w:t xml:space="preserve"> ، ج 24 ، ص 317 ، ح 24109 ؛ </w:t>
      </w:r>
      <w:r w:rsidR="00E3253D" w:rsidRPr="002F4D34">
        <w:rPr>
          <w:rStyle w:val="libFootnoteBoldChar"/>
          <w:rtl/>
        </w:rPr>
        <w:t>الوسائل</w:t>
      </w:r>
      <w:r w:rsidR="00E3253D" w:rsidRPr="005D642E">
        <w:rPr>
          <w:rtl/>
        </w:rPr>
        <w:t xml:space="preserve"> ، ج 2 ، ص 479 ، ح 2694.</w:t>
      </w:r>
      <w:r w:rsidR="004A61BB">
        <w:rPr>
          <w:rFonts w:hint="cs"/>
          <w:rtl/>
        </w:rPr>
        <w:t xml:space="preserve">   </w:t>
      </w:r>
      <w:r w:rsidRPr="0042621E">
        <w:rPr>
          <w:rStyle w:val="libFootnote0Char"/>
          <w:rtl/>
        </w:rPr>
        <w:t>(8).</w:t>
      </w:r>
      <w:r w:rsidR="00E3253D" w:rsidRPr="005D642E">
        <w:rPr>
          <w:rtl/>
        </w:rPr>
        <w:t xml:space="preserve"> في « غ » : « ويطرح</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بس » : « بالقراح » بدل « بالماء القراح</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وَقَالَ : « إِنَّ </w:t>
      </w:r>
      <w:r w:rsidRPr="007C12DB">
        <w:rPr>
          <w:rStyle w:val="libFootnotenumChar"/>
          <w:rtl/>
        </w:rPr>
        <w:t>(1)</w:t>
      </w:r>
      <w:r w:rsidRPr="005D642E">
        <w:rPr>
          <w:rtl/>
          <w:lang w:bidi="fa-IR"/>
        </w:rPr>
        <w:t xml:space="preserve"> أَبِي كَتَبَ فِي وَصِيَّتِهِ أَنْ أُكَفِّنَهُ فِي ثَلَاثَةِ أَثْوَابٍ </w:t>
      </w:r>
      <w:r w:rsidRPr="007C12DB">
        <w:rPr>
          <w:rStyle w:val="libFootnotenumChar"/>
          <w:rtl/>
        </w:rPr>
        <w:t>(2)</w:t>
      </w:r>
      <w:r w:rsidRPr="005D642E">
        <w:rPr>
          <w:rtl/>
          <w:lang w:bidi="fa-IR"/>
        </w:rPr>
        <w:t xml:space="preserve"> : أَحَدُهَا رِدَاءٌ لَهُ حِبَرَةٌ </w:t>
      </w:r>
      <w:r w:rsidRPr="007C12DB">
        <w:rPr>
          <w:rStyle w:val="libFootnotenumChar"/>
          <w:rtl/>
        </w:rPr>
        <w:t>(3)</w:t>
      </w:r>
      <w:r w:rsidRPr="005D642E">
        <w:rPr>
          <w:rtl/>
          <w:lang w:bidi="fa-IR"/>
        </w:rPr>
        <w:t xml:space="preserve"> ، وَثَوْبٌ آخَرُ ، وَقَمِيصٌ</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 وَلِمَ كَتَبَ </w:t>
      </w:r>
      <w:r w:rsidRPr="007C12DB">
        <w:rPr>
          <w:rStyle w:val="libFootnotenumChar"/>
          <w:rtl/>
        </w:rPr>
        <w:t>(4)</w:t>
      </w:r>
      <w:r w:rsidRPr="005D642E">
        <w:rPr>
          <w:rtl/>
          <w:lang w:bidi="fa-IR"/>
        </w:rPr>
        <w:t xml:space="preserve"> هذَا</w:t>
      </w:r>
      <w:r>
        <w:rPr>
          <w:rtl/>
          <w:lang w:bidi="fa-IR"/>
        </w:rPr>
        <w:t>؟</w:t>
      </w:r>
    </w:p>
    <w:p w:rsidR="00E3253D" w:rsidRPr="005D642E" w:rsidRDefault="00E3253D" w:rsidP="00E3253D">
      <w:pPr>
        <w:pStyle w:val="libNormal"/>
        <w:rPr>
          <w:rtl/>
          <w:lang w:bidi="fa-IR"/>
        </w:rPr>
      </w:pPr>
      <w:r w:rsidRPr="005D642E">
        <w:rPr>
          <w:rtl/>
          <w:lang w:bidi="fa-IR"/>
        </w:rPr>
        <w:t xml:space="preserve">قَالَ : « مَخَافَةَ قَوْلِ النَّاسِ </w:t>
      </w:r>
      <w:r w:rsidRPr="007C12DB">
        <w:rPr>
          <w:rStyle w:val="libFootnotenumChar"/>
          <w:rtl/>
        </w:rPr>
        <w:t>(5)</w:t>
      </w:r>
      <w:r w:rsidRPr="005D642E">
        <w:rPr>
          <w:rtl/>
          <w:lang w:bidi="fa-IR"/>
        </w:rPr>
        <w:t xml:space="preserve"> ، وَعَصَّبْنَاهُ </w:t>
      </w:r>
      <w:r w:rsidRPr="007C12DB">
        <w:rPr>
          <w:rStyle w:val="libFootnotenumChar"/>
          <w:rtl/>
        </w:rPr>
        <w:t>(6)</w:t>
      </w:r>
      <w:r w:rsidRPr="005D642E">
        <w:rPr>
          <w:rtl/>
          <w:lang w:bidi="fa-IR"/>
        </w:rPr>
        <w:t xml:space="preserve"> بَعْدَ ذلِكَ بِعِمَامَةٍ ، وَشَقَقْنَا لَهُ الْأَرْضَ </w:t>
      </w:r>
      <w:r w:rsidRPr="007C12DB">
        <w:rPr>
          <w:rStyle w:val="libFootnotenumChar"/>
          <w:rtl/>
        </w:rPr>
        <w:t>(7)</w:t>
      </w:r>
      <w:r w:rsidRPr="005D642E">
        <w:rPr>
          <w:rtl/>
          <w:lang w:bidi="fa-IR"/>
        </w:rPr>
        <w:t xml:space="preserve"> مِنْ أَجْلِ أَنَّهُ كَانَ بَادِناً </w:t>
      </w:r>
      <w:r w:rsidRPr="007C12DB">
        <w:rPr>
          <w:rStyle w:val="libFootnotenumChar"/>
          <w:rtl/>
        </w:rPr>
        <w:t>(8)</w:t>
      </w:r>
      <w:r w:rsidRPr="005D642E">
        <w:rPr>
          <w:rtl/>
          <w:lang w:bidi="fa-IR"/>
        </w:rPr>
        <w:t xml:space="preserve"> ، وَأَمَرَنِي أَنْ أَرْفَعَ </w:t>
      </w:r>
      <w:r w:rsidRPr="007C12DB">
        <w:rPr>
          <w:rStyle w:val="libFootnotenumChar"/>
          <w:rtl/>
        </w:rPr>
        <w:t>(9)</w:t>
      </w:r>
      <w:r w:rsidRPr="005D642E">
        <w:rPr>
          <w:rtl/>
          <w:lang w:bidi="fa-IR"/>
        </w:rPr>
        <w:t xml:space="preserve"> الْقَبْرَ مِنَ الْأَرْضِ أَرْبَعَ أَصَابِعَ مُفَرَّجَاتٍ </w:t>
      </w:r>
      <w:r w:rsidRPr="007C12DB">
        <w:rPr>
          <w:rStyle w:val="libFootnotenumChar"/>
          <w:rtl/>
        </w:rPr>
        <w:t>(10)</w:t>
      </w:r>
      <w:r w:rsidRPr="005D642E">
        <w:rPr>
          <w:rtl/>
          <w:lang w:bidi="fa-IR"/>
        </w:rPr>
        <w:t xml:space="preserve"> » وَذَكَرَ : « أَنَّ رَشَّ الْقَبْرِ بِالْمَاءِ حَسَنٌ</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A61BB" w:rsidTr="004A61BB">
        <w:tc>
          <w:tcPr>
            <w:tcW w:w="4006" w:type="dxa"/>
          </w:tcPr>
          <w:p w:rsidR="004A61BB" w:rsidRDefault="004A61BB" w:rsidP="00E3253D">
            <w:pPr>
              <w:pStyle w:val="libFootnote0"/>
              <w:rPr>
                <w:rStyle w:val="libFootnote0Char"/>
                <w:rtl/>
              </w:rPr>
            </w:pPr>
            <w:r w:rsidRPr="0042621E">
              <w:rPr>
                <w:rStyle w:val="libFootnote0Char"/>
                <w:rtl/>
              </w:rPr>
              <w:t>(1).</w:t>
            </w:r>
            <w:r>
              <w:rPr>
                <w:rtl/>
              </w:rPr>
              <w:t xml:space="preserve"> </w:t>
            </w:r>
            <w:r w:rsidRPr="005D642E">
              <w:rPr>
                <w:rtl/>
              </w:rPr>
              <w:t>في « جن » :</w:t>
            </w:r>
            <w:r>
              <w:rPr>
                <w:rtl/>
              </w:rPr>
              <w:t xml:space="preserve"> - </w:t>
            </w:r>
            <w:r w:rsidRPr="005D642E">
              <w:rPr>
                <w:rtl/>
              </w:rPr>
              <w:t>« إنّ</w:t>
            </w:r>
            <w:r>
              <w:rPr>
                <w:rtl/>
              </w:rPr>
              <w:t xml:space="preserve"> ».</w:t>
            </w:r>
          </w:p>
        </w:tc>
        <w:tc>
          <w:tcPr>
            <w:tcW w:w="4006" w:type="dxa"/>
          </w:tcPr>
          <w:p w:rsidR="004A61BB" w:rsidRDefault="004A61BB" w:rsidP="00E3253D">
            <w:pPr>
              <w:pStyle w:val="libFootnote0"/>
              <w:rPr>
                <w:rStyle w:val="libFootnote0Char"/>
                <w:rtl/>
              </w:rPr>
            </w:pPr>
            <w:r w:rsidRPr="0042621E">
              <w:rPr>
                <w:rStyle w:val="libFootnote0Char"/>
                <w:rtl/>
              </w:rPr>
              <w:t>(2).</w:t>
            </w:r>
            <w:r w:rsidRPr="005D642E">
              <w:rPr>
                <w:rtl/>
              </w:rPr>
              <w:t xml:space="preserve"> في « جس » :</w:t>
            </w:r>
            <w:r>
              <w:rPr>
                <w:rtl/>
              </w:rPr>
              <w:t xml:space="preserve"> - </w:t>
            </w:r>
            <w:r w:rsidRPr="005D642E">
              <w:rPr>
                <w:rtl/>
              </w:rPr>
              <w:t>« أثواب</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الحبرة » بوزن عنبة : بُرْدُ يمانٍ ، يقال : بُرْد حبرة ، على الوصف والإضافة ، والجمع : حِبَرٌ وحِبَرات. راجع : </w:t>
      </w:r>
      <w:r w:rsidR="00E3253D" w:rsidRPr="002F4D34">
        <w:rPr>
          <w:rStyle w:val="libFootnoteBoldChar"/>
          <w:rtl/>
        </w:rPr>
        <w:t>الصحاح</w:t>
      </w:r>
      <w:r w:rsidR="00E3253D" w:rsidRPr="005D642E">
        <w:rPr>
          <w:rtl/>
        </w:rPr>
        <w:t xml:space="preserve"> ، ج 2 ، ص 621 ؛ </w:t>
      </w:r>
      <w:r w:rsidR="00E3253D" w:rsidRPr="002F4D34">
        <w:rPr>
          <w:rStyle w:val="libFootnoteBoldChar"/>
          <w:rtl/>
        </w:rPr>
        <w:t>النهاية</w:t>
      </w:r>
      <w:r w:rsidR="00E3253D" w:rsidRPr="005D642E">
        <w:rPr>
          <w:rtl/>
        </w:rPr>
        <w:t xml:space="preserve"> ، ج 1 ، ص 328 ( حبر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ولم قد كتب</w:t>
      </w:r>
      <w:r w:rsidR="00E3253D">
        <w:rPr>
          <w:rtl/>
        </w:rPr>
        <w:t xml:space="preserve"> ».</w:t>
      </w:r>
      <w:r w:rsidR="00E3253D" w:rsidRPr="005D642E">
        <w:rPr>
          <w:rtl/>
        </w:rPr>
        <w:t xml:space="preserve"> وفي حاشية « جح » والوسائل ، ح 2880 : « كتبت » بدل « كتب</w:t>
      </w:r>
      <w:r w:rsidR="00E3253D">
        <w:rPr>
          <w:rtl/>
        </w:rPr>
        <w:t xml:space="preserve"> ».</w:t>
      </w:r>
      <w:r w:rsidR="00E3253D" w:rsidRPr="005D642E">
        <w:rPr>
          <w:rtl/>
        </w:rPr>
        <w:t xml:space="preserve"> وقال في </w:t>
      </w:r>
      <w:r w:rsidR="00E3253D" w:rsidRPr="002F4D34">
        <w:rPr>
          <w:rStyle w:val="libFootnoteBoldChar"/>
          <w:rtl/>
        </w:rPr>
        <w:t>مرآة العقول</w:t>
      </w:r>
      <w:r w:rsidR="00E3253D" w:rsidRPr="005D642E">
        <w:rPr>
          <w:rtl/>
        </w:rPr>
        <w:t xml:space="preserve"> : « قوله </w:t>
      </w:r>
      <w:r w:rsidR="00E3253D" w:rsidRPr="004A61BB">
        <w:rPr>
          <w:rStyle w:val="libFootnoteAlaemChar"/>
          <w:rtl/>
        </w:rPr>
        <w:t>عليه‌السلام</w:t>
      </w:r>
      <w:r w:rsidR="00E3253D" w:rsidRPr="005D642E">
        <w:rPr>
          <w:rtl/>
        </w:rPr>
        <w:t xml:space="preserve"> : قلت : ولم كتب ، الظاهر أنّه كلام الحلبي ، ويحتمل أن يكون كلام الصادق </w:t>
      </w:r>
      <w:r w:rsidR="00E3253D" w:rsidRPr="004A61BB">
        <w:rPr>
          <w:rStyle w:val="libFootnoteAlaemChar"/>
          <w:rtl/>
        </w:rPr>
        <w:t>عليه‌السلام</w:t>
      </w:r>
      <w:r w:rsidR="00E3253D" w:rsidRPr="005D642E">
        <w:rPr>
          <w:rtl/>
        </w:rPr>
        <w:t xml:space="preserve"> ، فيقرأ « كُتب » على بناء المجهول ، ويدلّ عليه روايات ا</w:t>
      </w:r>
      <w:r w:rsidR="004A61BB">
        <w:rPr>
          <w:rFonts w:hint="cs"/>
          <w:rtl/>
        </w:rPr>
        <w:t>ُ</w:t>
      </w:r>
      <w:r w:rsidR="00E3253D" w:rsidRPr="005D642E">
        <w:rPr>
          <w:rtl/>
        </w:rPr>
        <w:t>خر</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الوافي</w:t>
      </w:r>
      <w:r w:rsidR="00E3253D" w:rsidRPr="005D642E">
        <w:rPr>
          <w:rtl/>
        </w:rPr>
        <w:t xml:space="preserve"> : « وإنّما خاف </w:t>
      </w:r>
      <w:r w:rsidR="00E3253D" w:rsidRPr="004A61BB">
        <w:rPr>
          <w:rStyle w:val="libFootnoteAlaemChar"/>
          <w:rtl/>
        </w:rPr>
        <w:t>عليه‌السلام</w:t>
      </w:r>
      <w:r w:rsidR="00E3253D" w:rsidRPr="005D642E">
        <w:rPr>
          <w:rtl/>
        </w:rPr>
        <w:t xml:space="preserve"> قول الناس ؛ لأنّهم كانوا يزيدون على ذلك في الكفن مع أنّ الزيادة بدعة فوصّى‌</w:t>
      </w:r>
      <w:r w:rsidR="004A61BB">
        <w:rPr>
          <w:rFonts w:hint="cs"/>
          <w:rtl/>
        </w:rPr>
        <w:t xml:space="preserve"> </w:t>
      </w:r>
      <w:r w:rsidR="00E3253D" w:rsidRPr="005D642E">
        <w:rPr>
          <w:rtl/>
        </w:rPr>
        <w:t>عليه بذلك ؛ ليكون الوصيّة عذراً لمن يكفّنه</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305 : « قوله </w:t>
      </w:r>
      <w:r w:rsidR="00E3253D" w:rsidRPr="004A61BB">
        <w:rPr>
          <w:rStyle w:val="libFootnoteAlaemChar"/>
          <w:rtl/>
        </w:rPr>
        <w:t>عليه‌السلام</w:t>
      </w:r>
      <w:r w:rsidR="00E3253D" w:rsidRPr="005D642E">
        <w:rPr>
          <w:rtl/>
        </w:rPr>
        <w:t xml:space="preserve"> : مخافة قول الناس ، أي ليكون له </w:t>
      </w:r>
      <w:r w:rsidR="00E3253D" w:rsidRPr="004A61BB">
        <w:rPr>
          <w:rStyle w:val="libFootnoteAlaemChar"/>
          <w:rtl/>
        </w:rPr>
        <w:t>عليه‌السلام</w:t>
      </w:r>
      <w:r w:rsidR="00E3253D" w:rsidRPr="005D642E">
        <w:rPr>
          <w:rtl/>
        </w:rPr>
        <w:t xml:space="preserve"> عذراً في ترك ما هو المشهور عندهم ، أو يكون المراد قول الناس في إمامته ؛ فإنّ الوصيّة علامة الإمامة</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التعصيب : شدّ الرأس بالعِصابة ، وهي العمامة وكلّ ما يُعصَّبُ به الرأس. راجع : </w:t>
      </w:r>
      <w:r w:rsidR="00E3253D" w:rsidRPr="002F4D34">
        <w:rPr>
          <w:rStyle w:val="libFootnoteBoldChar"/>
          <w:rtl/>
        </w:rPr>
        <w:t>المغرب</w:t>
      </w:r>
      <w:r w:rsidR="00E3253D" w:rsidRPr="005D642E">
        <w:rPr>
          <w:rtl/>
        </w:rPr>
        <w:t xml:space="preserve"> ، ص 316 ؛ </w:t>
      </w:r>
      <w:r w:rsidR="00E3253D" w:rsidRPr="002F4D34">
        <w:rPr>
          <w:rStyle w:val="libFootnoteBoldChar"/>
          <w:rtl/>
        </w:rPr>
        <w:t>لسان العرب</w:t>
      </w:r>
      <w:r w:rsidR="00E3253D" w:rsidRPr="005D642E">
        <w:rPr>
          <w:rtl/>
        </w:rPr>
        <w:t xml:space="preserve"> ، ج 1 ، ص 602 ( عصب )</w:t>
      </w:r>
      <w:r w:rsidR="00E3253D">
        <w:rPr>
          <w:rtl/>
        </w:rPr>
        <w:t>.</w:t>
      </w:r>
    </w:p>
    <w:p w:rsidR="00E3253D" w:rsidRPr="005D642E" w:rsidRDefault="0042621E" w:rsidP="00E3253D">
      <w:pPr>
        <w:pStyle w:val="libFootnote0"/>
        <w:rPr>
          <w:rtl/>
          <w:lang w:bidi="fa-IR"/>
        </w:rPr>
      </w:pPr>
      <w:r w:rsidRPr="0042621E">
        <w:rPr>
          <w:rStyle w:val="libFootnote0Char"/>
          <w:rtl/>
        </w:rPr>
        <w:t>(7).</w:t>
      </w:r>
      <w:r w:rsidR="004A61BB">
        <w:rPr>
          <w:rtl/>
        </w:rPr>
        <w:t xml:space="preserve"> قال العل</w:t>
      </w:r>
      <w:r w:rsidR="004A61BB">
        <w:rPr>
          <w:rFonts w:hint="cs"/>
          <w:rtl/>
        </w:rPr>
        <w:t>ّ</w:t>
      </w:r>
      <w:r w:rsidR="004A61BB">
        <w:rPr>
          <w:rtl/>
        </w:rPr>
        <w:t>ا</w:t>
      </w:r>
      <w:r w:rsidR="00E3253D" w:rsidRPr="005D642E">
        <w:rPr>
          <w:rtl/>
        </w:rPr>
        <w:t>مة الفيض : « شققنا له الأرض ؛ يعني في عرض القبر زائداً على ما جرت به العادة في اللحد لاحتياجه إلى اتّساع في المكان</w:t>
      </w:r>
      <w:r w:rsidR="00E3253D">
        <w:rPr>
          <w:rtl/>
        </w:rPr>
        <w:t xml:space="preserve"> ».</w:t>
      </w:r>
      <w:r w:rsidR="004A61BB">
        <w:rPr>
          <w:rtl/>
        </w:rPr>
        <w:t xml:space="preserve"> وقال العل</w:t>
      </w:r>
      <w:r w:rsidR="004A61BB">
        <w:rPr>
          <w:rFonts w:hint="cs"/>
          <w:rtl/>
        </w:rPr>
        <w:t>ّ</w:t>
      </w:r>
      <w:r w:rsidR="004A61BB">
        <w:rPr>
          <w:rtl/>
        </w:rPr>
        <w:t>ا</w:t>
      </w:r>
      <w:r w:rsidR="00E3253D" w:rsidRPr="005D642E">
        <w:rPr>
          <w:rtl/>
        </w:rPr>
        <w:t>مة المجلسي : « أي تركنا اللحد ؛ لأنّه جسيم البدن وكان لايمكن تهيئة اللحد بقدر بدنه لرخاوة الأرض</w:t>
      </w:r>
      <w:r w:rsidR="00E3253D">
        <w:rPr>
          <w:rtl/>
        </w:rPr>
        <w:t xml:space="preserve"> ».</w:t>
      </w:r>
    </w:p>
    <w:p w:rsidR="00E3253D" w:rsidRPr="005D642E" w:rsidRDefault="0042621E" w:rsidP="004A61BB">
      <w:pPr>
        <w:pStyle w:val="libFootnote0"/>
        <w:rPr>
          <w:rtl/>
          <w:lang w:bidi="fa-IR"/>
        </w:rPr>
      </w:pPr>
      <w:r w:rsidRPr="0042621E">
        <w:rPr>
          <w:rStyle w:val="libFootnote0Char"/>
          <w:rtl/>
        </w:rPr>
        <w:t>(8).</w:t>
      </w:r>
      <w:r w:rsidR="00E3253D" w:rsidRPr="005D642E">
        <w:rPr>
          <w:rtl/>
        </w:rPr>
        <w:t xml:space="preserve"> البادن : السمين الجسيم الضَخيم ؛ من البِدانة ، وهي كثرة اللحم. راجع : </w:t>
      </w:r>
      <w:r w:rsidR="00E3253D" w:rsidRPr="002F4D34">
        <w:rPr>
          <w:rStyle w:val="libFootnoteBoldChar"/>
          <w:rtl/>
        </w:rPr>
        <w:t>الصحاح</w:t>
      </w:r>
      <w:r w:rsidR="00E3253D" w:rsidRPr="005D642E">
        <w:rPr>
          <w:rtl/>
        </w:rPr>
        <w:t xml:space="preserve"> ، ج 5 ، ص 2077 ؛ </w:t>
      </w:r>
      <w:r w:rsidR="00E3253D" w:rsidRPr="002F4D34">
        <w:rPr>
          <w:rStyle w:val="libFootnoteBoldChar"/>
          <w:rtl/>
        </w:rPr>
        <w:t>لسان</w:t>
      </w:r>
      <w:r w:rsidR="004A61BB">
        <w:rPr>
          <w:rStyle w:val="libFootnoteBoldChar"/>
          <w:rFonts w:hint="cs"/>
          <w:rtl/>
        </w:rPr>
        <w:t xml:space="preserve"> </w:t>
      </w:r>
      <w:r w:rsidR="00E3253D" w:rsidRPr="002F4D34">
        <w:rPr>
          <w:rStyle w:val="libFootnoteBoldChar"/>
          <w:rtl/>
        </w:rPr>
        <w:t>‌العرب</w:t>
      </w:r>
      <w:r w:rsidR="00E3253D" w:rsidRPr="005D642E">
        <w:rPr>
          <w:rtl/>
        </w:rPr>
        <w:t xml:space="preserve"> ، ج 13 ، ص 47</w:t>
      </w:r>
      <w:r w:rsidR="00E3253D">
        <w:rPr>
          <w:rtl/>
        </w:rPr>
        <w:t xml:space="preserve"> </w:t>
      </w:r>
      <w:r w:rsidR="007642BC">
        <w:rPr>
          <w:rtl/>
        </w:rPr>
        <w:t>-</w:t>
      </w:r>
      <w:r w:rsidR="00E3253D">
        <w:rPr>
          <w:rtl/>
        </w:rPr>
        <w:t xml:space="preserve"> </w:t>
      </w:r>
      <w:r w:rsidR="00E3253D" w:rsidRPr="005D642E">
        <w:rPr>
          <w:rtl/>
        </w:rPr>
        <w:t>49 ( بدن )</w:t>
      </w:r>
      <w:r w:rsidR="00E3253D">
        <w:rPr>
          <w:rtl/>
        </w:rPr>
        <w:t>.</w:t>
      </w:r>
      <w:r w:rsidR="004A61BB">
        <w:rPr>
          <w:rFonts w:hint="cs"/>
          <w:rtl/>
        </w:rPr>
        <w:t xml:space="preserve">  </w:t>
      </w:r>
      <w:r w:rsidRPr="0042621E">
        <w:rPr>
          <w:rStyle w:val="libFootnote0Char"/>
          <w:rtl/>
        </w:rPr>
        <w:t>(9).</w:t>
      </w:r>
      <w:r w:rsidR="00E3253D" w:rsidRPr="005D642E">
        <w:rPr>
          <w:rtl/>
        </w:rPr>
        <w:t xml:space="preserve"> في حاشية « بح » : « لأن أرفع</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 « منفرجات</w:t>
      </w:r>
      <w:r w:rsidR="00E3253D">
        <w:rPr>
          <w:rtl/>
        </w:rPr>
        <w:t xml:space="preserve"> ».</w:t>
      </w:r>
    </w:p>
    <w:p w:rsidR="00E3253D" w:rsidRPr="005D642E" w:rsidRDefault="0042621E" w:rsidP="004A61BB">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300 ، ح 876 ، بسنده عن الكليني. </w:t>
      </w:r>
      <w:r w:rsidR="00E3253D" w:rsidRPr="002F4D34">
        <w:rPr>
          <w:rStyle w:val="libFootnoteBoldChar"/>
          <w:rtl/>
        </w:rPr>
        <w:t>الكافي</w:t>
      </w:r>
      <w:r w:rsidR="00E3253D" w:rsidRPr="005D642E">
        <w:rPr>
          <w:rtl/>
        </w:rPr>
        <w:t xml:space="preserve"> ، كتاب الحجّة ، باب مولد النبيّ </w:t>
      </w:r>
      <w:r w:rsidR="004A61BB" w:rsidRPr="00E60B57">
        <w:rPr>
          <w:rStyle w:val="libFootnoteAlaemChar"/>
          <w:rtl/>
        </w:rPr>
        <w:t>صلى‌الله‌عليه‌وآله</w:t>
      </w:r>
      <w:r w:rsidR="004A61BB" w:rsidRPr="005D642E">
        <w:rPr>
          <w:rtl/>
        </w:rPr>
        <w:t xml:space="preserve"> </w:t>
      </w:r>
      <w:r w:rsidR="00E3253D" w:rsidRPr="005D642E">
        <w:rPr>
          <w:rtl/>
        </w:rPr>
        <w:t xml:space="preserve">ووفاته ، ح 1227 ، بسند آخر عن أبي جعفر </w:t>
      </w:r>
      <w:r w:rsidR="00E3253D" w:rsidRPr="004A61BB">
        <w:rPr>
          <w:rStyle w:val="libFootnoteAlaemChar"/>
          <w:rtl/>
        </w:rPr>
        <w:t>عليه‌السلام</w:t>
      </w:r>
      <w:r w:rsidR="00E3253D" w:rsidRPr="005D642E">
        <w:rPr>
          <w:rtl/>
        </w:rPr>
        <w:t xml:space="preserve"> ، في وَصيّة النبيّ </w:t>
      </w:r>
      <w:r w:rsidRPr="004A61BB">
        <w:rPr>
          <w:rStyle w:val="libFootnoteAlaemChar"/>
          <w:rtl/>
        </w:rPr>
        <w:t>صلى‌الله‌عليه‌وآله</w:t>
      </w:r>
      <w:r w:rsidR="00E3253D" w:rsidRPr="005D642E">
        <w:rPr>
          <w:rtl/>
        </w:rPr>
        <w:t xml:space="preserve"> لعليّ </w:t>
      </w:r>
      <w:r w:rsidR="00E3253D" w:rsidRPr="00AC51C5">
        <w:rPr>
          <w:rStyle w:val="libAlaemChar"/>
          <w:rtl/>
        </w:rPr>
        <w:t>عليه‌السلام</w:t>
      </w:r>
      <w:r w:rsidR="00E3253D" w:rsidRPr="005D642E">
        <w:rPr>
          <w:rtl/>
        </w:rPr>
        <w:t xml:space="preserve"> ، من قوله : « أمرني أن أرفع القبر » مع </w:t>
      </w:r>
      <w:r w:rsidR="004A61B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9835B1">
        <w:rPr>
          <w:rtl/>
        </w:rPr>
        <w:t>4335</w:t>
      </w:r>
      <w:r w:rsidRPr="00246318">
        <w:rPr>
          <w:rStyle w:val="libBold2Char"/>
          <w:rtl/>
        </w:rPr>
        <w:t xml:space="preserve"> / 4.</w:t>
      </w:r>
      <w:r w:rsidRPr="005D642E">
        <w:rPr>
          <w:rtl/>
          <w:lang w:bidi="fa-IR"/>
        </w:rPr>
        <w:t xml:space="preserve"> عَنْهُ </w:t>
      </w:r>
      <w:r w:rsidRPr="007C12DB">
        <w:rPr>
          <w:rStyle w:val="libFootnotenumChar"/>
          <w:rtl/>
        </w:rPr>
        <w:t>(1)</w:t>
      </w:r>
      <w:r w:rsidRPr="005D642E">
        <w:rPr>
          <w:rtl/>
          <w:lang w:bidi="fa-IR"/>
        </w:rPr>
        <w:t xml:space="preserve"> ، عَنْ مُحَمَّدِ بْنِ سِنَانٍ ، عَنْ عَبْدِ اللهِ الْكَاهِلِيِّ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غُسْلِ الْمَيِّتِ</w:t>
      </w:r>
      <w:r>
        <w:rPr>
          <w:rtl/>
          <w:lang w:bidi="fa-IR"/>
        </w:rPr>
        <w:t>؟</w:t>
      </w:r>
    </w:p>
    <w:p w:rsidR="00E3253D" w:rsidRPr="005D642E" w:rsidRDefault="00E3253D" w:rsidP="00E3253D">
      <w:pPr>
        <w:pStyle w:val="libNormal"/>
        <w:rPr>
          <w:rtl/>
          <w:lang w:bidi="fa-IR"/>
        </w:rPr>
      </w:pPr>
      <w:r w:rsidRPr="005D642E">
        <w:rPr>
          <w:rtl/>
          <w:lang w:bidi="fa-IR"/>
        </w:rPr>
        <w:t xml:space="preserve">فَقَالَ : « اسْتَقْبِلْ بِبَاطِنِ </w:t>
      </w:r>
      <w:r w:rsidRPr="007C12DB">
        <w:rPr>
          <w:rStyle w:val="libFootnotenumChar"/>
          <w:rtl/>
        </w:rPr>
        <w:t>(2)</w:t>
      </w:r>
      <w:r w:rsidRPr="005D642E">
        <w:rPr>
          <w:rtl/>
          <w:lang w:bidi="fa-IR"/>
        </w:rPr>
        <w:t xml:space="preserve"> قَدَمَيْهِ الْقِبْلَةَ حَتّى يَكُونَ وَجْهُهُ مُسْتَقْبِلَ الْقِبْلَةِ ، ثُمَّ تُلَيِّنُ مَفَاصِلَهُ ، فَإِنِ امْتَنَعَتْ عَلَيْكَ فَدَعْهَا ، ثُمَّ ابْدَأْ بِفَرْجِهِ بِمَاءِ السِّدْرِ وَالْحُرُضِ </w:t>
      </w:r>
      <w:r w:rsidRPr="007C12DB">
        <w:rPr>
          <w:rStyle w:val="libFootnotenumChar"/>
          <w:rtl/>
        </w:rPr>
        <w:t>(3)</w:t>
      </w:r>
      <w:r w:rsidRPr="005D642E">
        <w:rPr>
          <w:rtl/>
          <w:lang w:bidi="fa-IR"/>
        </w:rPr>
        <w:t xml:space="preserve"> ، فَاغْسِلْهُ ثَلَاثَ غَسَلَاتٍ ، وَأَكْثِرْ مِنَ الْمَاءِ ، وَامْسَحْ </w:t>
      </w:r>
      <w:r w:rsidRPr="007C12DB">
        <w:rPr>
          <w:rStyle w:val="libFootnotenumChar"/>
          <w:rtl/>
        </w:rPr>
        <w:t>(4)</w:t>
      </w:r>
      <w:r w:rsidRPr="005D642E">
        <w:rPr>
          <w:rtl/>
          <w:lang w:bidi="fa-IR"/>
        </w:rPr>
        <w:t xml:space="preserve"> بَطْنَهُ مَسْحاً رَفِيقاً.</w:t>
      </w:r>
    </w:p>
    <w:p w:rsidR="00E3253D" w:rsidRPr="005D642E" w:rsidRDefault="00E3253D" w:rsidP="00E3253D">
      <w:pPr>
        <w:pStyle w:val="libNormal"/>
        <w:rPr>
          <w:rtl/>
          <w:lang w:bidi="fa-IR"/>
        </w:rPr>
      </w:pPr>
      <w:r w:rsidRPr="005D642E">
        <w:rPr>
          <w:rtl/>
          <w:lang w:bidi="fa-IR"/>
        </w:rPr>
        <w:t xml:space="preserve">ثُمَّ تَحَوَّلْ إِلى رَأْسِهِ ، وَابْدَأْ </w:t>
      </w:r>
      <w:r w:rsidRPr="007C12DB">
        <w:rPr>
          <w:rStyle w:val="libFootnotenumChar"/>
          <w:rtl/>
        </w:rPr>
        <w:t>(5)</w:t>
      </w:r>
      <w:r w:rsidRPr="005D642E">
        <w:rPr>
          <w:rtl/>
          <w:lang w:bidi="fa-IR"/>
        </w:rPr>
        <w:t xml:space="preserve"> بِشِقِّهِ الْأَيْمَنِ مِنْ لِحْيَتِهِ وَرَأْسِهِ ، ثُمَّ ثَنِّ </w:t>
      </w:r>
      <w:r w:rsidRPr="007C12DB">
        <w:rPr>
          <w:rStyle w:val="libFootnotenumChar"/>
          <w:rtl/>
        </w:rPr>
        <w:t>(6)</w:t>
      </w:r>
      <w:r w:rsidRPr="005D642E">
        <w:rPr>
          <w:rtl/>
          <w:lang w:bidi="fa-IR"/>
        </w:rPr>
        <w:t xml:space="preserve"> بِشِقِّهِ الْأَيْسَرِ مِنْ رَأْسِهِ وَلِحْيَتِهِ وَوَجْهِهِ ، وَاغْسِلْهُ </w:t>
      </w:r>
      <w:r w:rsidRPr="007C12DB">
        <w:rPr>
          <w:rStyle w:val="libFootnotenumChar"/>
          <w:rtl/>
        </w:rPr>
        <w:t>(7)</w:t>
      </w:r>
      <w:r w:rsidRPr="005D642E">
        <w:rPr>
          <w:rtl/>
          <w:lang w:bidi="fa-IR"/>
        </w:rPr>
        <w:t xml:space="preserve"> بِرِفْقٍ ، وَإِيَّاكَ‌</w:t>
      </w:r>
      <w:r w:rsidR="004A61BB">
        <w:rPr>
          <w:rFonts w:hint="cs"/>
          <w:rtl/>
          <w:lang w:bidi="fa-IR"/>
        </w:rPr>
        <w:t xml:space="preserve"> ...........................................</w:t>
      </w:r>
      <w:r w:rsidR="004A61BB">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A61BB" w:rsidP="00E3253D">
      <w:pPr>
        <w:pStyle w:val="libFootnote0"/>
        <w:rPr>
          <w:rtl/>
          <w:lang w:bidi="fa-IR"/>
        </w:rPr>
      </w:pPr>
      <w:r>
        <w:rPr>
          <w:rFonts w:hint="cs"/>
          <w:rtl/>
        </w:rPr>
        <w:t xml:space="preserve">= </w:t>
      </w:r>
      <w:r w:rsidR="00E3253D" w:rsidRPr="005D642E">
        <w:rPr>
          <w:rtl/>
        </w:rPr>
        <w:t xml:space="preserve">اختلاف يسير </w:t>
      </w:r>
      <w:r>
        <w:rPr>
          <w:rFonts w:hint="cs"/>
          <w:rtl/>
        </w:rPr>
        <w:t>.</w:t>
      </w:r>
      <w:r w:rsidR="00E3253D" w:rsidRPr="002F4D34">
        <w:rPr>
          <w:rStyle w:val="libFootnoteBoldChar"/>
          <w:rtl/>
        </w:rPr>
        <w:t>الوافي</w:t>
      </w:r>
      <w:r w:rsidR="00E3253D" w:rsidRPr="005D642E">
        <w:rPr>
          <w:rtl/>
        </w:rPr>
        <w:t xml:space="preserve"> ، ج 24 ، ص 318 ، ح 24110 ؛ وفي </w:t>
      </w:r>
      <w:r w:rsidR="00E3253D" w:rsidRPr="002F4D34">
        <w:rPr>
          <w:rStyle w:val="libFootnoteBoldChar"/>
          <w:rtl/>
        </w:rPr>
        <w:t>الوسائل</w:t>
      </w:r>
      <w:r w:rsidR="00E3253D" w:rsidRPr="005D642E">
        <w:rPr>
          <w:rtl/>
        </w:rPr>
        <w:t xml:space="preserve"> ، ج 2 ، ص 481 ، ح 2697 ؛ وج 3 ، ص 10 ، ح 2880 ؛ وص 166 ، ح 3305 ، قطعات منه.</w:t>
      </w:r>
    </w:p>
    <w:p w:rsidR="00E3253D" w:rsidRDefault="0042621E" w:rsidP="00E3253D">
      <w:pPr>
        <w:pStyle w:val="libFootnote0"/>
        <w:rPr>
          <w:rtl/>
        </w:rPr>
      </w:pPr>
      <w:r w:rsidRPr="0042621E">
        <w:rPr>
          <w:rStyle w:val="libFootnote0Char"/>
          <w:rtl/>
        </w:rPr>
        <w:t>(1).</w:t>
      </w:r>
      <w:r w:rsidR="00E3253D">
        <w:rPr>
          <w:rtl/>
        </w:rPr>
        <w:t xml:space="preserve"> </w:t>
      </w:r>
      <w:r w:rsidR="00E3253D" w:rsidRPr="005D642E">
        <w:rPr>
          <w:rtl/>
        </w:rPr>
        <w:t xml:space="preserve">الخبر رواه الشيخ الطوسي في </w:t>
      </w:r>
      <w:r w:rsidR="00E3253D" w:rsidRPr="002F4D34">
        <w:rPr>
          <w:rStyle w:val="libFootnoteBoldChar"/>
          <w:rtl/>
        </w:rPr>
        <w:t>التهذيب</w:t>
      </w:r>
      <w:r w:rsidR="00E3253D" w:rsidRPr="005D642E">
        <w:rPr>
          <w:rtl/>
        </w:rPr>
        <w:t xml:space="preserve"> ، بسنديه عن محمّد بن يعقوب عن عدّة من أصحابنا ، عن سهل بن زياد ، عن الحسن بن محبوب ، عن محمّد بن سنان. والشيخ الحرّ أورد الخبر في </w:t>
      </w:r>
      <w:r w:rsidR="00E3253D" w:rsidRPr="002F4D34">
        <w:rPr>
          <w:rStyle w:val="libFootnoteBoldChar"/>
          <w:rtl/>
        </w:rPr>
        <w:t>الوسائل</w:t>
      </w:r>
      <w:r w:rsidR="00E3253D" w:rsidRPr="005D642E">
        <w:rPr>
          <w:rtl/>
        </w:rPr>
        <w:t xml:space="preserve"> ، ح 2698 ، بعد الحديث الثالث ، وقال : « وبالإسناد عن الحسن بن محبوب ، عن محمّد بن سنان ».</w:t>
      </w:r>
    </w:p>
    <w:p w:rsidR="00E3253D" w:rsidRPr="005D642E" w:rsidRDefault="00E3253D" w:rsidP="00E3253D">
      <w:pPr>
        <w:pStyle w:val="libFootnote0"/>
        <w:rPr>
          <w:rtl/>
          <w:lang w:bidi="fa-IR"/>
        </w:rPr>
      </w:pPr>
      <w:r w:rsidRPr="005D642E">
        <w:rPr>
          <w:rtl/>
        </w:rPr>
        <w:t>فعليه ، أرجع الشيخان الضمير إلى الحسن بن محبوب ، وهذا الأمر لايمكن المساعدة عليه ؛ فإنّا لم نجد</w:t>
      </w:r>
      <w:r>
        <w:rPr>
          <w:rtl/>
        </w:rPr>
        <w:t xml:space="preserve"> </w:t>
      </w:r>
      <w:r w:rsidR="007642BC">
        <w:rPr>
          <w:rtl/>
        </w:rPr>
        <w:t>-</w:t>
      </w:r>
      <w:r>
        <w:rPr>
          <w:rtl/>
        </w:rPr>
        <w:t xml:space="preserve"> </w:t>
      </w:r>
      <w:r w:rsidRPr="005D642E">
        <w:rPr>
          <w:rtl/>
        </w:rPr>
        <w:t>مع الفحص الأكيد</w:t>
      </w:r>
      <w:r>
        <w:rPr>
          <w:rtl/>
        </w:rPr>
        <w:t xml:space="preserve"> </w:t>
      </w:r>
      <w:r w:rsidR="007642BC">
        <w:rPr>
          <w:rtl/>
        </w:rPr>
        <w:t>-</w:t>
      </w:r>
      <w:r>
        <w:rPr>
          <w:rtl/>
        </w:rPr>
        <w:t xml:space="preserve"> </w:t>
      </w:r>
      <w:r w:rsidRPr="005D642E">
        <w:rPr>
          <w:rtl/>
        </w:rPr>
        <w:t xml:space="preserve">في شي‌ءٍ من الأسناد توسّط الحسن بن محبوب بين سهل بن زياد وبين محمّد بن سنان ، وقد وردت رواية سهل بن زياد ، عن محمّد بن سنان في عددٍ من الأسناد. راجع : </w:t>
      </w:r>
      <w:r w:rsidRPr="002F4D34">
        <w:rPr>
          <w:rStyle w:val="libFootnoteBoldChar"/>
          <w:rtl/>
        </w:rPr>
        <w:t>معجم رجال الحديث</w:t>
      </w:r>
      <w:r w:rsidRPr="005D642E">
        <w:rPr>
          <w:rtl/>
        </w:rPr>
        <w:t xml:space="preserve"> ، ج 8 ، ص 527.</w:t>
      </w:r>
    </w:p>
    <w:p w:rsidR="00E3253D" w:rsidRPr="005D642E" w:rsidRDefault="00E3253D" w:rsidP="00B60612">
      <w:pPr>
        <w:pStyle w:val="libFootnote0"/>
        <w:rPr>
          <w:rtl/>
          <w:lang w:bidi="fa-IR"/>
        </w:rPr>
      </w:pPr>
      <w:r w:rsidRPr="0095070A">
        <w:rPr>
          <w:rtl/>
        </w:rPr>
        <w:t>فالظاهر رجوع الضمير إلى سهل بن زياد.</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ى ، بث ، بح ، بس ، بف ، جح ، جس ، جن » والوسائل : « ببطن</w:t>
      </w:r>
      <w:r w:rsidR="00E3253D">
        <w:rPr>
          <w:rtl/>
        </w:rPr>
        <w:t xml:space="preserve"> ».</w:t>
      </w:r>
      <w:r w:rsidR="00E3253D" w:rsidRPr="005D642E">
        <w:rPr>
          <w:rtl/>
        </w:rPr>
        <w:t xml:space="preserve"> وما في المتن مطابق للمطبوع‌</w:t>
      </w:r>
      <w:r w:rsidR="00B60612" w:rsidRPr="00B60612">
        <w:rPr>
          <w:rStyle w:val="libFootnoteBoldChar"/>
          <w:rtl/>
        </w:rPr>
        <w:t>والتهذيب</w:t>
      </w:r>
      <w:r w:rsidR="00E3253D" w:rsidRPr="005D642E">
        <w:rPr>
          <w:rtl/>
        </w:rPr>
        <w:t xml:space="preserve"> </w:t>
      </w:r>
      <w:r w:rsidR="00E3253D">
        <w:rPr>
          <w:rtl/>
        </w:rPr>
        <w:t>و «</w:t>
      </w:r>
      <w:r w:rsidR="00E3253D" w:rsidRPr="005D642E">
        <w:rPr>
          <w:rtl/>
        </w:rPr>
        <w:t xml:space="preserve"> غ</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الحُرُض » بضمّتين وبضمّ فقط : الأُشنان والإشنان</w:t>
      </w:r>
      <w:r w:rsidR="00E3253D">
        <w:rPr>
          <w:rtl/>
        </w:rPr>
        <w:t xml:space="preserve"> </w:t>
      </w:r>
      <w:r w:rsidR="007642BC">
        <w:rPr>
          <w:rtl/>
        </w:rPr>
        <w:t>-</w:t>
      </w:r>
      <w:r w:rsidR="00E3253D">
        <w:rPr>
          <w:rtl/>
        </w:rPr>
        <w:t xml:space="preserve"> </w:t>
      </w:r>
      <w:r w:rsidR="00E3253D" w:rsidRPr="005D642E">
        <w:rPr>
          <w:rtl/>
        </w:rPr>
        <w:t>وهو نوع من النبات</w:t>
      </w:r>
      <w:r w:rsidR="00E3253D">
        <w:rPr>
          <w:rtl/>
        </w:rPr>
        <w:t xml:space="preserve"> </w:t>
      </w:r>
      <w:r w:rsidR="007642BC">
        <w:rPr>
          <w:rtl/>
        </w:rPr>
        <w:t>-</w:t>
      </w:r>
      <w:r w:rsidR="00E3253D">
        <w:rPr>
          <w:rtl/>
        </w:rPr>
        <w:t xml:space="preserve"> </w:t>
      </w:r>
      <w:r w:rsidR="00E3253D" w:rsidRPr="005D642E">
        <w:rPr>
          <w:rtl/>
        </w:rPr>
        <w:t xml:space="preserve">تُغسَل به الأيدي على أثر الطعام. وقيل : الحرض من نجيل السباخ ، أي من نبات الأرض التي لم تُحْرَث ولم تُعْمَر. وقيل : هو من الحَمْض ، وهو كلّ نبت مالح أو حامض يقوم على سوق ولا أصل له ، وقيل في الحمض غير ذلك. راجع : </w:t>
      </w:r>
      <w:r w:rsidR="00E3253D" w:rsidRPr="002F4D34">
        <w:rPr>
          <w:rStyle w:val="libFootnoteBoldChar"/>
          <w:rtl/>
        </w:rPr>
        <w:t>الصحاح</w:t>
      </w:r>
      <w:r w:rsidR="00E3253D" w:rsidRPr="005D642E">
        <w:rPr>
          <w:rtl/>
        </w:rPr>
        <w:t xml:space="preserve"> ، ج 3 ، ص 1070 ( حرض ) ؛ </w:t>
      </w:r>
      <w:r w:rsidR="00E3253D" w:rsidRPr="002F4D34">
        <w:rPr>
          <w:rStyle w:val="libFootnoteBoldChar"/>
          <w:rtl/>
        </w:rPr>
        <w:t>لسان العرب</w:t>
      </w:r>
      <w:r w:rsidR="00E3253D" w:rsidRPr="005D642E">
        <w:rPr>
          <w:rtl/>
        </w:rPr>
        <w:t xml:space="preserve"> ، ج 7 ، ص 135 </w:t>
      </w:r>
      <w:r w:rsidR="00E3253D">
        <w:rPr>
          <w:rtl/>
        </w:rPr>
        <w:t>و 1</w:t>
      </w:r>
      <w:r w:rsidR="00E3253D" w:rsidRPr="005D642E">
        <w:rPr>
          <w:rtl/>
        </w:rPr>
        <w:t xml:space="preserve">38 ( حرض ) </w:t>
      </w:r>
      <w:r w:rsidR="00E3253D">
        <w:rPr>
          <w:rtl/>
        </w:rPr>
        <w:t>و (</w:t>
      </w:r>
      <w:r w:rsidR="00E3253D" w:rsidRPr="005D642E">
        <w:rPr>
          <w:rtl/>
        </w:rPr>
        <w:t xml:space="preserve"> حمض )</w:t>
      </w:r>
      <w:r w:rsidR="00E3253D">
        <w:rPr>
          <w:rtl/>
        </w:rPr>
        <w:t>.</w:t>
      </w:r>
    </w:p>
    <w:tbl>
      <w:tblPr>
        <w:tblStyle w:val="TableGrid"/>
        <w:bidiVisual/>
        <w:tblW w:w="0" w:type="auto"/>
        <w:tblLook w:val="04A0" w:firstRow="1" w:lastRow="0" w:firstColumn="1" w:lastColumn="0" w:noHBand="0" w:noVBand="1"/>
      </w:tblPr>
      <w:tblGrid>
        <w:gridCol w:w="4006"/>
        <w:gridCol w:w="4006"/>
      </w:tblGrid>
      <w:tr w:rsidR="004E054F" w:rsidTr="004E054F">
        <w:tc>
          <w:tcPr>
            <w:tcW w:w="4006" w:type="dxa"/>
          </w:tcPr>
          <w:p w:rsidR="004E054F" w:rsidRDefault="004E054F" w:rsidP="00E3253D">
            <w:pPr>
              <w:pStyle w:val="libFootnote0"/>
              <w:rPr>
                <w:rStyle w:val="libFootnote0Char"/>
                <w:rtl/>
              </w:rPr>
            </w:pPr>
            <w:r w:rsidRPr="0042621E">
              <w:rPr>
                <w:rStyle w:val="libFootnote0Char"/>
                <w:rtl/>
              </w:rPr>
              <w:t>(4).</w:t>
            </w:r>
            <w:r>
              <w:rPr>
                <w:rtl/>
              </w:rPr>
              <w:t xml:space="preserve"> في «ظ ،غ ،بث ،بس ،</w:t>
            </w:r>
            <w:r w:rsidRPr="005D642E">
              <w:rPr>
                <w:rtl/>
              </w:rPr>
              <w:t>جس » : « فامسح</w:t>
            </w:r>
            <w:r>
              <w:rPr>
                <w:rtl/>
              </w:rPr>
              <w:t xml:space="preserve"> ».</w:t>
            </w:r>
          </w:p>
        </w:tc>
        <w:tc>
          <w:tcPr>
            <w:tcW w:w="4006" w:type="dxa"/>
          </w:tcPr>
          <w:p w:rsidR="004E054F" w:rsidRDefault="004E054F" w:rsidP="00E3253D">
            <w:pPr>
              <w:pStyle w:val="libFootnote0"/>
              <w:rPr>
                <w:rStyle w:val="libFootnote0Char"/>
                <w:rtl/>
              </w:rPr>
            </w:pPr>
            <w:r w:rsidRPr="0042621E">
              <w:rPr>
                <w:rStyle w:val="libFootnote0Char"/>
                <w:rtl/>
              </w:rPr>
              <w:t>(5).</w:t>
            </w:r>
            <w:r w:rsidRPr="005D642E">
              <w:rPr>
                <w:rtl/>
              </w:rPr>
              <w:t xml:space="preserve"> في « بف » </w:t>
            </w:r>
            <w:r w:rsidRPr="00B60612">
              <w:rPr>
                <w:rStyle w:val="libFootnoteBoldChar"/>
                <w:rtl/>
              </w:rPr>
              <w:t>والتهذيب</w:t>
            </w:r>
            <w:r w:rsidRPr="005D642E">
              <w:rPr>
                <w:rtl/>
              </w:rPr>
              <w:t xml:space="preserve"> : « فابدأ</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w:t>
      </w:r>
      <w:r w:rsidR="00B60612" w:rsidRPr="00B60612">
        <w:rPr>
          <w:rStyle w:val="libFootnoteBoldChar"/>
          <w:rtl/>
        </w:rPr>
        <w:t>والتهذيب</w:t>
      </w:r>
      <w:r w:rsidR="00E3253D" w:rsidRPr="005D642E">
        <w:rPr>
          <w:rtl/>
        </w:rPr>
        <w:t xml:space="preserve"> : « ثمّ تثنى</w:t>
      </w:r>
      <w:r w:rsidR="00E3253D">
        <w:rPr>
          <w:rtl/>
        </w:rPr>
        <w:t xml:space="preserve"> ».</w:t>
      </w:r>
      <w:r w:rsidR="00E3253D" w:rsidRPr="005D642E">
        <w:rPr>
          <w:rtl/>
        </w:rPr>
        <w:t xml:space="preserve"> إذا فعل الرجل أمراً ثمّ ضمّ إليه أمراً آخر ، قيل : ثنّى بالأمر الثاني يثنّي تثنية. راجع : </w:t>
      </w:r>
      <w:r w:rsidR="00E3253D" w:rsidRPr="002F4D34">
        <w:rPr>
          <w:rStyle w:val="libFootnoteBoldChar"/>
          <w:rtl/>
        </w:rPr>
        <w:t>لسان العرب</w:t>
      </w:r>
      <w:r w:rsidR="00E3253D" w:rsidRPr="005D642E">
        <w:rPr>
          <w:rtl/>
        </w:rPr>
        <w:t xml:space="preserve"> ، ج 14 ، ص 115 ( ثني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بث ، بح ، بس ، جح ، جس ، جن » والوسائل </w:t>
      </w:r>
      <w:r w:rsidR="00B60612" w:rsidRPr="00B60612">
        <w:rPr>
          <w:rStyle w:val="libFootnoteBoldChar"/>
          <w:rtl/>
        </w:rPr>
        <w:t>والتهذيب</w:t>
      </w:r>
      <w:r w:rsidR="00E3253D" w:rsidRPr="005D642E">
        <w:rPr>
          <w:rtl/>
        </w:rPr>
        <w:t xml:space="preserve"> : « فاغسله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وَالْعُنْفَ </w:t>
      </w:r>
      <w:r w:rsidRPr="007C12DB">
        <w:rPr>
          <w:rStyle w:val="libFootnotenumChar"/>
          <w:rtl/>
        </w:rPr>
        <w:t>(1)</w:t>
      </w:r>
      <w:r w:rsidRPr="005D642E">
        <w:rPr>
          <w:rtl/>
          <w:lang w:bidi="fa-IR"/>
        </w:rPr>
        <w:t xml:space="preserve"> ، وَاغْسِلْهُ غَسْلاً نَاعِماً </w:t>
      </w:r>
      <w:r w:rsidRPr="007C12DB">
        <w:rPr>
          <w:rStyle w:val="libFootnotenumChar"/>
          <w:rtl/>
        </w:rPr>
        <w:t>(2)</w:t>
      </w:r>
      <w:r w:rsidRPr="005D642E">
        <w:rPr>
          <w:rtl/>
          <w:lang w:bidi="fa-IR"/>
        </w:rPr>
        <w:t xml:space="preserve"> ، ثُمَّ أَضْجِعْهُ عَلى شِقِّهِ الْأَيْسَرِ لِيَبْدُوَ لَكَ الْأَيْمَنُ ، ثُمَّ اغْسِلْهُ مِنْ قَرْنِهِ إِلى قَدَمَيْهِ </w:t>
      </w:r>
      <w:r w:rsidRPr="007C12DB">
        <w:rPr>
          <w:rStyle w:val="libFootnotenumChar"/>
          <w:rtl/>
        </w:rPr>
        <w:t>(3)</w:t>
      </w:r>
      <w:r w:rsidRPr="005D642E">
        <w:rPr>
          <w:rtl/>
          <w:lang w:bidi="fa-IR"/>
        </w:rPr>
        <w:t xml:space="preserve"> ، وَامْسَحْ يَدَكَ عَلى ظَهْرِهِ وَبَطْنِهِ </w:t>
      </w:r>
      <w:r w:rsidRPr="007C12DB">
        <w:rPr>
          <w:rStyle w:val="libFootnotenumChar"/>
          <w:rtl/>
        </w:rPr>
        <w:t>(4)</w:t>
      </w:r>
      <w:r w:rsidRPr="005D642E">
        <w:rPr>
          <w:rtl/>
          <w:lang w:bidi="fa-IR"/>
        </w:rPr>
        <w:t xml:space="preserve"> ثَلَاثَ </w:t>
      </w:r>
      <w:r w:rsidRPr="007C12DB">
        <w:rPr>
          <w:rStyle w:val="libFootnotenumChar"/>
          <w:rtl/>
        </w:rPr>
        <w:t>(5)</w:t>
      </w:r>
      <w:r w:rsidRPr="005D642E">
        <w:rPr>
          <w:rtl/>
          <w:lang w:bidi="fa-IR"/>
        </w:rPr>
        <w:t xml:space="preserve"> غَسَلَاتٍ ، ثُمَّ رُدَّهُ إِلى </w:t>
      </w:r>
      <w:r w:rsidRPr="007C12DB">
        <w:rPr>
          <w:rStyle w:val="libFootnotenumChar"/>
          <w:rtl/>
        </w:rPr>
        <w:t>(6)</w:t>
      </w:r>
      <w:r w:rsidRPr="005D642E">
        <w:rPr>
          <w:rtl/>
          <w:lang w:bidi="fa-IR"/>
        </w:rPr>
        <w:t xml:space="preserve"> جَنْبِهِ الْأَيْمَنِ لِيَبْدُوَ </w:t>
      </w:r>
      <w:r w:rsidRPr="007C12DB">
        <w:rPr>
          <w:rStyle w:val="libFootnotenumChar"/>
          <w:rtl/>
        </w:rPr>
        <w:t>(7)</w:t>
      </w:r>
      <w:r w:rsidRPr="005D642E">
        <w:rPr>
          <w:rtl/>
          <w:lang w:bidi="fa-IR"/>
        </w:rPr>
        <w:t xml:space="preserve"> لَكَ الْأَيْسَرُ ، فَاغْسِلْهُ بِمَاءٍ مِنْ </w:t>
      </w:r>
      <w:r w:rsidRPr="007C12DB">
        <w:rPr>
          <w:rStyle w:val="libFootnotenumChar"/>
          <w:rtl/>
        </w:rPr>
        <w:t>(8)</w:t>
      </w:r>
      <w:r w:rsidRPr="005D642E">
        <w:rPr>
          <w:rtl/>
          <w:lang w:bidi="fa-IR"/>
        </w:rPr>
        <w:t xml:space="preserve"> قَرْنِهِ إِلى قَدَمَيْهِ </w:t>
      </w:r>
      <w:r w:rsidRPr="007C12DB">
        <w:rPr>
          <w:rStyle w:val="libFootnotenumChar"/>
          <w:rtl/>
        </w:rPr>
        <w:t>(9)</w:t>
      </w:r>
      <w:r w:rsidRPr="005D642E">
        <w:rPr>
          <w:rtl/>
          <w:lang w:bidi="fa-IR"/>
        </w:rPr>
        <w:t xml:space="preserve"> ، وَامْسَحْ يَدَكَ عَلى ظَهْرِهِ وَبَطْنِهِ ثَلَاثَ </w:t>
      </w:r>
      <w:r w:rsidRPr="007C12DB">
        <w:rPr>
          <w:rStyle w:val="libFootnotenumChar"/>
          <w:rtl/>
        </w:rPr>
        <w:t>(10)</w:t>
      </w:r>
      <w:r w:rsidRPr="005D642E">
        <w:rPr>
          <w:rtl/>
          <w:lang w:bidi="fa-IR"/>
        </w:rPr>
        <w:t xml:space="preserve"> غَسَلَاتٍ.</w:t>
      </w:r>
    </w:p>
    <w:p w:rsidR="00E3253D" w:rsidRPr="005D642E" w:rsidRDefault="00E3253D" w:rsidP="00E3253D">
      <w:pPr>
        <w:pStyle w:val="libNormal"/>
        <w:rPr>
          <w:rtl/>
          <w:lang w:bidi="fa-IR"/>
        </w:rPr>
      </w:pPr>
      <w:r w:rsidRPr="005D642E">
        <w:rPr>
          <w:rtl/>
          <w:lang w:bidi="fa-IR"/>
        </w:rPr>
        <w:t xml:space="preserve">ثُمَّ رُدَّهُ إِلى </w:t>
      </w:r>
      <w:r w:rsidRPr="007C12DB">
        <w:rPr>
          <w:rStyle w:val="libFootnotenumChar"/>
          <w:rtl/>
        </w:rPr>
        <w:t>(11)</w:t>
      </w:r>
      <w:r w:rsidRPr="005D642E">
        <w:rPr>
          <w:rtl/>
          <w:lang w:bidi="fa-IR"/>
        </w:rPr>
        <w:t xml:space="preserve"> قَفَاهُ ، فَابْدَأْ </w:t>
      </w:r>
      <w:r w:rsidRPr="007C12DB">
        <w:rPr>
          <w:rStyle w:val="libFootnotenumChar"/>
          <w:rtl/>
        </w:rPr>
        <w:t>(12)</w:t>
      </w:r>
      <w:r w:rsidRPr="005D642E">
        <w:rPr>
          <w:rtl/>
          <w:lang w:bidi="fa-IR"/>
        </w:rPr>
        <w:t xml:space="preserve"> بِفَرْجِهِ </w:t>
      </w:r>
      <w:r w:rsidRPr="007C12DB">
        <w:rPr>
          <w:rStyle w:val="libFootnotenumChar"/>
          <w:rtl/>
        </w:rPr>
        <w:t>(13)</w:t>
      </w:r>
      <w:r w:rsidRPr="005D642E">
        <w:rPr>
          <w:rtl/>
          <w:lang w:bidi="fa-IR"/>
        </w:rPr>
        <w:t xml:space="preserve"> بِمَاءِ الْكَافُورِ ، فَاصْنَعْ كَمَا صَنَعْتَ أَوَّلَ مَرَّةٍ :</w:t>
      </w:r>
      <w:r>
        <w:rPr>
          <w:rFonts w:hint="cs"/>
          <w:rtl/>
          <w:lang w:bidi="fa-IR"/>
        </w:rPr>
        <w:t xml:space="preserve"> </w:t>
      </w:r>
      <w:r w:rsidRPr="005D642E">
        <w:rPr>
          <w:rtl/>
          <w:lang w:bidi="fa-IR"/>
        </w:rPr>
        <w:t xml:space="preserve">اغْسِلْهُ ثَلَاثَ </w:t>
      </w:r>
      <w:r w:rsidRPr="007C12DB">
        <w:rPr>
          <w:rStyle w:val="libFootnotenumChar"/>
          <w:rtl/>
        </w:rPr>
        <w:t>(14)</w:t>
      </w:r>
      <w:r w:rsidRPr="005D642E">
        <w:rPr>
          <w:rtl/>
          <w:lang w:bidi="fa-IR"/>
        </w:rPr>
        <w:t xml:space="preserve"> غَسَلَاتٍ </w:t>
      </w:r>
      <w:r w:rsidRPr="007C12DB">
        <w:rPr>
          <w:rStyle w:val="libFootnotenumChar"/>
          <w:rtl/>
        </w:rPr>
        <w:t>(15)</w:t>
      </w:r>
      <w:r w:rsidRPr="005D642E">
        <w:rPr>
          <w:rtl/>
          <w:lang w:bidi="fa-IR"/>
        </w:rPr>
        <w:t xml:space="preserve"> بِمَاءِ الْكَافُورِ وَالْحُرُضِ ، وَامْسَحْ يَدَكَ عَلى بَطْنِهِ مَسْحاً رَفِيقاً </w:t>
      </w:r>
      <w:r w:rsidRPr="007C12DB">
        <w:rPr>
          <w:rStyle w:val="libFootnotenumChar"/>
          <w:rtl/>
        </w:rPr>
        <w:t>(16)</w:t>
      </w:r>
      <w:r w:rsidRPr="005D642E">
        <w:rPr>
          <w:rtl/>
          <w:lang w:bidi="fa-IR"/>
        </w:rPr>
        <w:t xml:space="preserve"> ، ثُمَّ تَحَوَّلْ إِلى رَأْسِهِ ، فَاصْنَعْ </w:t>
      </w:r>
      <w:r w:rsidRPr="007C12DB">
        <w:rPr>
          <w:rStyle w:val="libFootnotenumChar"/>
          <w:rtl/>
        </w:rPr>
        <w:t>(17)</w:t>
      </w:r>
      <w:r w:rsidRPr="005D642E">
        <w:rPr>
          <w:rtl/>
          <w:lang w:bidi="fa-IR"/>
        </w:rPr>
        <w:t xml:space="preserve"> كَمَا صَنَعْتَ أَوَّلاً بِلِحْيَتِهِ مِنْ </w:t>
      </w:r>
      <w:r w:rsidRPr="007C12DB">
        <w:rPr>
          <w:rStyle w:val="libFootnotenumChar"/>
          <w:rtl/>
        </w:rPr>
        <w:t>(18)</w:t>
      </w:r>
      <w:r w:rsidRPr="005D642E">
        <w:rPr>
          <w:rtl/>
          <w:lang w:bidi="fa-IR"/>
        </w:rPr>
        <w:t xml:space="preserve"> جَانِبَيْهِ كِلاهِمَا وَرَأْسِهِ وَوَجْهِهِ بِمَاءِ الْكَافُورِ ثَلَاثَ غَسَلَاتٍ.</w:t>
      </w:r>
    </w:p>
    <w:p w:rsidR="00E3253D" w:rsidRPr="005D642E" w:rsidRDefault="00E3253D" w:rsidP="00E3253D">
      <w:pPr>
        <w:pStyle w:val="libNormal"/>
        <w:rPr>
          <w:rtl/>
          <w:lang w:bidi="fa-IR"/>
        </w:rPr>
      </w:pPr>
      <w:r w:rsidRPr="005D642E">
        <w:rPr>
          <w:rtl/>
          <w:lang w:bidi="fa-IR"/>
        </w:rPr>
        <w:t xml:space="preserve">ثُمَّ رُدَّهُ إِلَى الْجَانِبِ </w:t>
      </w:r>
      <w:r w:rsidRPr="007C12DB">
        <w:rPr>
          <w:rStyle w:val="libFootnotenumChar"/>
          <w:rtl/>
        </w:rPr>
        <w:t>(19)</w:t>
      </w:r>
      <w:r w:rsidRPr="005D642E">
        <w:rPr>
          <w:rtl/>
          <w:lang w:bidi="fa-IR"/>
        </w:rPr>
        <w:t xml:space="preserve"> الْأَيْسَرِ حَتّى يَبْدُوَ لَكَ الْأَيْمَنُ ، فَاغْسِلْهُ مِنْ قَرْنِهِ </w:t>
      </w:r>
      <w:r w:rsidRPr="007C12DB">
        <w:rPr>
          <w:rStyle w:val="libFootnotenumChar"/>
          <w:rtl/>
        </w:rPr>
        <w:t>(20)</w:t>
      </w:r>
      <w:r w:rsidRPr="005D642E">
        <w:rPr>
          <w:rtl/>
          <w:lang w:bidi="fa-IR"/>
        </w:rPr>
        <w:t xml:space="preserve"> إِلى‌</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العُنْف » : هو بالضمّ : الشدّة والمشقّة ، وكلّ ما في الرفق من الخير ففي العنف من الشرّ مثله. راجع : </w:t>
      </w:r>
      <w:r w:rsidR="00E3253D" w:rsidRPr="002F4D34">
        <w:rPr>
          <w:rStyle w:val="libFootnoteBoldChar"/>
          <w:rtl/>
        </w:rPr>
        <w:t>النهاية</w:t>
      </w:r>
      <w:r w:rsidR="00E3253D" w:rsidRPr="005D642E">
        <w:rPr>
          <w:rtl/>
        </w:rPr>
        <w:t xml:space="preserve"> ، ج 3 ، ص 309 ( عنف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غسلاً ناعماً » ، أي غسلاً ليّناً. راجع : </w:t>
      </w:r>
      <w:r w:rsidR="00E3253D" w:rsidRPr="002F4D34">
        <w:rPr>
          <w:rStyle w:val="libFootnoteBoldChar"/>
          <w:rtl/>
        </w:rPr>
        <w:t>لسان العرب</w:t>
      </w:r>
      <w:r w:rsidR="00E3253D" w:rsidRPr="005D642E">
        <w:rPr>
          <w:rtl/>
        </w:rPr>
        <w:t xml:space="preserve"> ، ج 12 ، ص 579 ( نعم )</w:t>
      </w:r>
      <w:r w:rsidR="00E3253D">
        <w:rPr>
          <w:rtl/>
        </w:rPr>
        <w:t>.</w:t>
      </w:r>
    </w:p>
    <w:tbl>
      <w:tblPr>
        <w:tblStyle w:val="TableGrid"/>
        <w:bidiVisual/>
        <w:tblW w:w="0" w:type="auto"/>
        <w:tblLook w:val="04A0" w:firstRow="1" w:lastRow="0" w:firstColumn="1" w:lastColumn="0" w:noHBand="0" w:noVBand="1"/>
      </w:tblPr>
      <w:tblGrid>
        <w:gridCol w:w="4006"/>
        <w:gridCol w:w="4006"/>
      </w:tblGrid>
      <w:tr w:rsidR="004E054F" w:rsidTr="004E054F">
        <w:tc>
          <w:tcPr>
            <w:tcW w:w="4006" w:type="dxa"/>
          </w:tcPr>
          <w:p w:rsidR="004E054F" w:rsidRDefault="004E054F" w:rsidP="00E3253D">
            <w:pPr>
              <w:pStyle w:val="libFootnote0"/>
              <w:rPr>
                <w:rStyle w:val="libFootnote0Char"/>
                <w:rtl/>
              </w:rPr>
            </w:pPr>
            <w:r w:rsidRPr="0042621E">
              <w:rPr>
                <w:rStyle w:val="libFootnote0Char"/>
                <w:rtl/>
              </w:rPr>
              <w:t>(3).</w:t>
            </w:r>
            <w:r>
              <w:rPr>
                <w:rtl/>
              </w:rPr>
              <w:t xml:space="preserve"> في «بف» وحاشية «بخ</w:t>
            </w:r>
            <w:r w:rsidRPr="005D642E">
              <w:rPr>
                <w:rtl/>
              </w:rPr>
              <w:t xml:space="preserve">» </w:t>
            </w:r>
            <w:r w:rsidRPr="000D749A">
              <w:rPr>
                <w:rStyle w:val="libFootnoteBoldChar"/>
                <w:rtl/>
              </w:rPr>
              <w:t>والوافي</w:t>
            </w:r>
            <w:r w:rsidRPr="005D642E">
              <w:rPr>
                <w:rtl/>
              </w:rPr>
              <w:t xml:space="preserve"> : « قدمه</w:t>
            </w:r>
            <w:r>
              <w:rPr>
                <w:rtl/>
              </w:rPr>
              <w:t xml:space="preserve"> ».</w:t>
            </w:r>
          </w:p>
        </w:tc>
        <w:tc>
          <w:tcPr>
            <w:tcW w:w="4006" w:type="dxa"/>
          </w:tcPr>
          <w:p w:rsidR="004E054F" w:rsidRDefault="004E054F" w:rsidP="00E3253D">
            <w:pPr>
              <w:pStyle w:val="libFootnote0"/>
              <w:rPr>
                <w:rStyle w:val="libFootnote0Char"/>
                <w:rtl/>
              </w:rPr>
            </w:pPr>
            <w:r w:rsidRPr="0042621E">
              <w:rPr>
                <w:rStyle w:val="libFootnote0Char"/>
                <w:rtl/>
              </w:rPr>
              <w:t>(4).</w:t>
            </w:r>
            <w:r w:rsidRPr="005D642E">
              <w:rPr>
                <w:rtl/>
              </w:rPr>
              <w:t xml:space="preserve"> في « بخ ، بف » : « بطنه وظهره</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 بثلاث</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ى ، بث ، بح ، بس ، جس ، جن » والوسائل </w:t>
      </w:r>
      <w:r w:rsidR="00B60612" w:rsidRPr="00B60612">
        <w:rPr>
          <w:rStyle w:val="libFootnoteBoldChar"/>
          <w:rtl/>
        </w:rPr>
        <w:t>والتهذيب</w:t>
      </w:r>
      <w:r w:rsidR="00E3253D" w:rsidRPr="005D642E">
        <w:rPr>
          <w:rtl/>
        </w:rPr>
        <w:t xml:space="preserve"> : « على</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معظم النسخ التي قوبلت والوسائل. وفي « بح ، بف » والمطبوع </w:t>
      </w:r>
      <w:r w:rsidR="00B60612" w:rsidRPr="00B60612">
        <w:rPr>
          <w:rStyle w:val="libFootnoteBoldChar"/>
          <w:rtl/>
        </w:rPr>
        <w:t>والتهذيب</w:t>
      </w:r>
      <w:r w:rsidR="00E3253D" w:rsidRPr="005D642E">
        <w:rPr>
          <w:rtl/>
        </w:rPr>
        <w:t xml:space="preserve"> : « حتّى يبدو</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والوسائل </w:t>
      </w:r>
      <w:r w:rsidR="00B60612" w:rsidRPr="00B60612">
        <w:rPr>
          <w:rStyle w:val="libFootnoteBoldChar"/>
          <w:rtl/>
        </w:rPr>
        <w:t>والتهذيب</w:t>
      </w:r>
      <w:r w:rsidR="00E3253D" w:rsidRPr="005D642E">
        <w:rPr>
          <w:rtl/>
        </w:rPr>
        <w:t>. وفي المطبوع : « ما بين » بدل « بماء من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E054F" w:rsidTr="004E054F">
        <w:tc>
          <w:tcPr>
            <w:tcW w:w="4006" w:type="dxa"/>
          </w:tcPr>
          <w:p w:rsidR="004E054F" w:rsidRDefault="004E054F" w:rsidP="00E3253D">
            <w:pPr>
              <w:pStyle w:val="libFootnote0"/>
              <w:rPr>
                <w:rStyle w:val="libFootnote0Char"/>
                <w:rtl/>
              </w:rPr>
            </w:pPr>
            <w:r w:rsidRPr="0042621E">
              <w:rPr>
                <w:rStyle w:val="libFootnote0Char"/>
                <w:rtl/>
              </w:rPr>
              <w:t>(9).</w:t>
            </w:r>
            <w:r w:rsidRPr="005D642E">
              <w:rPr>
                <w:rtl/>
              </w:rPr>
              <w:t xml:space="preserve"> في « بخ » </w:t>
            </w:r>
            <w:r w:rsidRPr="000D749A">
              <w:rPr>
                <w:rStyle w:val="libFootnoteBoldChar"/>
                <w:rtl/>
              </w:rPr>
              <w:t>والوافي</w:t>
            </w:r>
            <w:r w:rsidRPr="005D642E">
              <w:rPr>
                <w:rtl/>
              </w:rPr>
              <w:t xml:space="preserve"> </w:t>
            </w:r>
            <w:r w:rsidRPr="00B60612">
              <w:rPr>
                <w:rStyle w:val="libFootnoteBoldChar"/>
                <w:rtl/>
              </w:rPr>
              <w:t>والتهذيب</w:t>
            </w:r>
            <w:r w:rsidRPr="005D642E">
              <w:rPr>
                <w:rtl/>
              </w:rPr>
              <w:t xml:space="preserve"> : « قدمه</w:t>
            </w:r>
            <w:r>
              <w:rPr>
                <w:rtl/>
              </w:rPr>
              <w:t xml:space="preserve"> ».</w:t>
            </w:r>
          </w:p>
        </w:tc>
        <w:tc>
          <w:tcPr>
            <w:tcW w:w="4006" w:type="dxa"/>
          </w:tcPr>
          <w:p w:rsidR="004E054F" w:rsidRDefault="004E054F" w:rsidP="00E3253D">
            <w:pPr>
              <w:pStyle w:val="libFootnote0"/>
              <w:rPr>
                <w:rStyle w:val="libFootnote0Char"/>
                <w:rtl/>
              </w:rPr>
            </w:pPr>
            <w:r w:rsidRPr="0042621E">
              <w:rPr>
                <w:rStyle w:val="libFootnote0Char"/>
                <w:rtl/>
              </w:rPr>
              <w:t>(10).</w:t>
            </w:r>
            <w:r w:rsidRPr="005D642E">
              <w:rPr>
                <w:rtl/>
              </w:rPr>
              <w:t xml:space="preserve"> في التهذيب : « بثلاث</w:t>
            </w:r>
            <w:r>
              <w:rPr>
                <w:rtl/>
              </w:rPr>
              <w:t xml:space="preserve"> ».</w:t>
            </w:r>
          </w:p>
        </w:tc>
      </w:tr>
      <w:tr w:rsidR="004E054F" w:rsidTr="004E054F">
        <w:tc>
          <w:tcPr>
            <w:tcW w:w="4006" w:type="dxa"/>
          </w:tcPr>
          <w:p w:rsidR="004E054F" w:rsidRDefault="003D05FC" w:rsidP="00E3253D">
            <w:pPr>
              <w:pStyle w:val="libFootnote0"/>
              <w:rPr>
                <w:rStyle w:val="libFootnote0Char"/>
                <w:rtl/>
              </w:rPr>
            </w:pPr>
            <w:r w:rsidRPr="0042621E">
              <w:rPr>
                <w:rStyle w:val="libFootnote0Char"/>
                <w:rtl/>
              </w:rPr>
              <w:t>(11).</w:t>
            </w:r>
            <w:r w:rsidRPr="005D642E">
              <w:rPr>
                <w:rtl/>
              </w:rPr>
              <w:t xml:space="preserve"> في « غ ، بث » </w:t>
            </w:r>
            <w:r w:rsidRPr="00B60612">
              <w:rPr>
                <w:rStyle w:val="libFootnoteBoldChar"/>
                <w:rtl/>
              </w:rPr>
              <w:t>والتهذيب</w:t>
            </w:r>
            <w:r w:rsidRPr="005D642E">
              <w:rPr>
                <w:rtl/>
              </w:rPr>
              <w:t xml:space="preserve"> : « على</w:t>
            </w:r>
            <w:r>
              <w:rPr>
                <w:rtl/>
              </w:rPr>
              <w:t xml:space="preserve"> ».</w:t>
            </w:r>
          </w:p>
        </w:tc>
        <w:tc>
          <w:tcPr>
            <w:tcW w:w="4006" w:type="dxa"/>
          </w:tcPr>
          <w:p w:rsidR="004E054F" w:rsidRDefault="003D05FC" w:rsidP="00E3253D">
            <w:pPr>
              <w:pStyle w:val="libFootnote0"/>
              <w:rPr>
                <w:rStyle w:val="libFootnote0Char"/>
                <w:rtl/>
              </w:rPr>
            </w:pPr>
            <w:r w:rsidRPr="0042621E">
              <w:rPr>
                <w:rStyle w:val="libFootnote0Char"/>
                <w:rtl/>
              </w:rPr>
              <w:t>(12).</w:t>
            </w:r>
            <w:r w:rsidRPr="005D642E">
              <w:rPr>
                <w:rtl/>
              </w:rPr>
              <w:t xml:space="preserve"> في « غ » : « فابتدأ</w:t>
            </w:r>
            <w:r>
              <w:rPr>
                <w:rtl/>
              </w:rPr>
              <w:t xml:space="preserve"> ».</w:t>
            </w:r>
          </w:p>
        </w:tc>
      </w:tr>
      <w:tr w:rsidR="004E054F" w:rsidTr="004E054F">
        <w:tc>
          <w:tcPr>
            <w:tcW w:w="4006" w:type="dxa"/>
          </w:tcPr>
          <w:p w:rsidR="004E054F" w:rsidRDefault="003D05FC" w:rsidP="00E3253D">
            <w:pPr>
              <w:pStyle w:val="libFootnote0"/>
              <w:rPr>
                <w:rStyle w:val="libFootnote0Char"/>
                <w:rtl/>
              </w:rPr>
            </w:pPr>
            <w:r w:rsidRPr="0042621E">
              <w:rPr>
                <w:rStyle w:val="libFootnote0Char"/>
                <w:rtl/>
              </w:rPr>
              <w:t>(13).</w:t>
            </w:r>
            <w:r>
              <w:rPr>
                <w:rtl/>
              </w:rPr>
              <w:t xml:space="preserve"> </w:t>
            </w:r>
            <w:r w:rsidRPr="005D642E">
              <w:rPr>
                <w:rtl/>
              </w:rPr>
              <w:t>في الوافي : « بفرجيه</w:t>
            </w:r>
            <w:r>
              <w:rPr>
                <w:rtl/>
              </w:rPr>
              <w:t xml:space="preserve"> ».</w:t>
            </w:r>
          </w:p>
        </w:tc>
        <w:tc>
          <w:tcPr>
            <w:tcW w:w="4006" w:type="dxa"/>
          </w:tcPr>
          <w:p w:rsidR="004E054F" w:rsidRDefault="003D05FC" w:rsidP="00E3253D">
            <w:pPr>
              <w:pStyle w:val="libFootnote0"/>
              <w:rPr>
                <w:rStyle w:val="libFootnote0Char"/>
                <w:rtl/>
              </w:rPr>
            </w:pPr>
            <w:r w:rsidRPr="0042621E">
              <w:rPr>
                <w:rStyle w:val="libFootnote0Char"/>
                <w:rtl/>
              </w:rPr>
              <w:t>(14).</w:t>
            </w:r>
            <w:r w:rsidRPr="005D642E">
              <w:rPr>
                <w:rtl/>
              </w:rPr>
              <w:t xml:space="preserve"> في « غ » </w:t>
            </w:r>
            <w:r w:rsidRPr="00B60612">
              <w:rPr>
                <w:rStyle w:val="libFootnoteBoldChar"/>
                <w:rtl/>
              </w:rPr>
              <w:t>والتهذيب</w:t>
            </w:r>
            <w:r w:rsidRPr="005D642E">
              <w:rPr>
                <w:rtl/>
              </w:rPr>
              <w:t xml:space="preserve"> : « بثلاث</w:t>
            </w:r>
            <w:r>
              <w:rPr>
                <w:rtl/>
              </w:rPr>
              <w:t xml:space="preserve"> ».</w:t>
            </w:r>
          </w:p>
        </w:tc>
      </w:tr>
    </w:tbl>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 xml:space="preserve">في « ظ ، ى ، بخ ، بس ، بف ، جس ، جن » </w:t>
      </w:r>
      <w:r w:rsidR="00E3253D" w:rsidRPr="003D05FC">
        <w:rPr>
          <w:rStyle w:val="libFootnoteBoldChar"/>
          <w:rtl/>
        </w:rPr>
        <w:t>ومرآة العقول</w:t>
      </w:r>
      <w:r w:rsidR="00E3253D" w:rsidRPr="005D642E">
        <w:rPr>
          <w:rtl/>
        </w:rPr>
        <w:t xml:space="preserve"> والوسائل :</w:t>
      </w:r>
      <w:r w:rsidR="00E3253D">
        <w:rPr>
          <w:rtl/>
        </w:rPr>
        <w:t xml:space="preserve"> </w:t>
      </w:r>
      <w:r w:rsidR="007642BC">
        <w:rPr>
          <w:rtl/>
        </w:rPr>
        <w:t>-</w:t>
      </w:r>
      <w:r w:rsidR="00E3253D">
        <w:rPr>
          <w:rtl/>
        </w:rPr>
        <w:t xml:space="preserve"> </w:t>
      </w:r>
      <w:r w:rsidR="00E3253D" w:rsidRPr="005D642E">
        <w:rPr>
          <w:rtl/>
        </w:rPr>
        <w:t>« ثمّ ردّه</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ثلاث غسلات</w:t>
      </w:r>
      <w:r w:rsidR="00E3253D">
        <w:rPr>
          <w:rtl/>
        </w:rPr>
        <w:t xml:space="preserve"> ».</w:t>
      </w:r>
      <w:r w:rsidR="00E3253D" w:rsidRPr="005D642E">
        <w:rPr>
          <w:rtl/>
        </w:rPr>
        <w:t xml:space="preserve"> ونقلها في </w:t>
      </w:r>
      <w:r w:rsidR="00E3253D" w:rsidRPr="002F4D34">
        <w:rPr>
          <w:rStyle w:val="libFootnoteBoldChar"/>
          <w:rtl/>
        </w:rPr>
        <w:t>مرآة العقول</w:t>
      </w:r>
      <w:r w:rsidR="00E3253D" w:rsidRPr="005D642E">
        <w:rPr>
          <w:rtl/>
        </w:rPr>
        <w:t xml:space="preserve"> عن التهذيب أيضاً ، ثمّ قال : « وهو الصواب ، ولعلّه سقط من نسّاخ الكتاب</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05FC" w:rsidTr="003D05FC">
        <w:tc>
          <w:tcPr>
            <w:tcW w:w="4006" w:type="dxa"/>
          </w:tcPr>
          <w:p w:rsidR="003D05FC" w:rsidRDefault="003D05FC" w:rsidP="00E3253D">
            <w:pPr>
              <w:pStyle w:val="libFootnote0"/>
              <w:rPr>
                <w:rtl/>
              </w:rPr>
            </w:pPr>
            <w:r w:rsidRPr="005D642E">
              <w:rPr>
                <w:rtl/>
              </w:rPr>
              <w:t>(1</w:t>
            </w:r>
            <w:r>
              <w:rPr>
                <w:rtl/>
              </w:rPr>
              <w:t>6)</w:t>
            </w:r>
            <w:r w:rsidRPr="005D642E">
              <w:rPr>
                <w:rtl/>
              </w:rPr>
              <w:t xml:space="preserve"> في « بح ، جس » : « رقيقاً</w:t>
            </w:r>
            <w:r>
              <w:rPr>
                <w:rtl/>
              </w:rPr>
              <w:t xml:space="preserve"> ».</w:t>
            </w:r>
          </w:p>
        </w:tc>
        <w:tc>
          <w:tcPr>
            <w:tcW w:w="4006" w:type="dxa"/>
          </w:tcPr>
          <w:p w:rsidR="003D05FC" w:rsidRDefault="003D05FC" w:rsidP="00E3253D">
            <w:pPr>
              <w:pStyle w:val="libFootnote0"/>
              <w:rPr>
                <w:rtl/>
              </w:rPr>
            </w:pPr>
            <w:r w:rsidRPr="005D642E">
              <w:rPr>
                <w:rtl/>
              </w:rPr>
              <w:t>(1</w:t>
            </w:r>
            <w:r>
              <w:rPr>
                <w:rtl/>
              </w:rPr>
              <w:t>7)</w:t>
            </w:r>
            <w:r w:rsidRPr="005D642E">
              <w:rPr>
                <w:rtl/>
              </w:rPr>
              <w:t xml:space="preserve"> في حاشية « بث » : « واصنع</w:t>
            </w:r>
            <w:r>
              <w:rPr>
                <w:rtl/>
              </w:rPr>
              <w:t xml:space="preserve"> ».</w:t>
            </w:r>
          </w:p>
        </w:tc>
      </w:tr>
    </w:tbl>
    <w:p w:rsidR="00E3253D" w:rsidRPr="005D642E" w:rsidRDefault="00E3253D" w:rsidP="00E3253D">
      <w:pPr>
        <w:pStyle w:val="libFootnote0"/>
        <w:rPr>
          <w:rtl/>
          <w:lang w:bidi="fa-IR"/>
        </w:rPr>
      </w:pPr>
      <w:r w:rsidRPr="005D642E">
        <w:rPr>
          <w:rtl/>
        </w:rPr>
        <w:t>(1</w:t>
      </w:r>
      <w:r>
        <w:rPr>
          <w:rtl/>
        </w:rPr>
        <w:t>8)</w:t>
      </w:r>
      <w:r w:rsidRPr="005D642E">
        <w:rPr>
          <w:rtl/>
        </w:rPr>
        <w:t xml:space="preserve"> في « جس » : « على</w:t>
      </w:r>
      <w:r>
        <w:rPr>
          <w:rtl/>
        </w:rPr>
        <w:t xml:space="preserve"> ».</w:t>
      </w:r>
    </w:p>
    <w:p w:rsidR="00E3253D" w:rsidRPr="005D642E" w:rsidRDefault="00E3253D" w:rsidP="00E3253D">
      <w:pPr>
        <w:pStyle w:val="libFootnote0"/>
        <w:rPr>
          <w:rtl/>
          <w:lang w:bidi="fa-IR"/>
        </w:rPr>
      </w:pPr>
      <w:r w:rsidRPr="005D642E">
        <w:rPr>
          <w:rtl/>
        </w:rPr>
        <w:t>(1</w:t>
      </w:r>
      <w:r>
        <w:rPr>
          <w:rtl/>
        </w:rPr>
        <w:t>9)</w:t>
      </w:r>
      <w:r w:rsidRPr="005D642E">
        <w:rPr>
          <w:rtl/>
        </w:rPr>
        <w:t xml:space="preserve"> في « غ » وحاشية « بث ، بف » </w:t>
      </w:r>
      <w:r w:rsidR="000D749A" w:rsidRPr="000D749A">
        <w:rPr>
          <w:rStyle w:val="libFootnoteBoldChar"/>
          <w:rtl/>
        </w:rPr>
        <w:t>والوافي</w:t>
      </w:r>
      <w:r w:rsidRPr="005D642E">
        <w:rPr>
          <w:rtl/>
        </w:rPr>
        <w:t xml:space="preserve"> : « جانبه</w:t>
      </w:r>
      <w:r>
        <w:rPr>
          <w:rtl/>
        </w:rPr>
        <w:t xml:space="preserve"> ».</w:t>
      </w:r>
      <w:r w:rsidRPr="005D642E">
        <w:rPr>
          <w:rtl/>
        </w:rPr>
        <w:t xml:space="preserve"> وفي « بخ » : « جانب</w:t>
      </w:r>
      <w:r>
        <w:rPr>
          <w:rtl/>
        </w:rPr>
        <w:t xml:space="preserve"> ».</w:t>
      </w:r>
    </w:p>
    <w:p w:rsidR="00E3253D" w:rsidRPr="005D642E" w:rsidRDefault="00E3253D" w:rsidP="00E3253D">
      <w:pPr>
        <w:pStyle w:val="libFootnote0"/>
        <w:rPr>
          <w:rtl/>
          <w:lang w:bidi="fa-IR"/>
        </w:rPr>
      </w:pPr>
      <w:r>
        <w:rPr>
          <w:rtl/>
        </w:rPr>
        <w:t>(20)</w:t>
      </w:r>
      <w:r w:rsidRPr="005D642E">
        <w:rPr>
          <w:rtl/>
        </w:rPr>
        <w:t xml:space="preserve"> « القَرْن » : الجانب الأعلى من الرأس ، وجمعه : قرون. راجع : </w:t>
      </w:r>
      <w:r w:rsidRPr="002F4D34">
        <w:rPr>
          <w:rStyle w:val="libFootnoteBoldChar"/>
          <w:rtl/>
        </w:rPr>
        <w:t>القاموس المحيط</w:t>
      </w:r>
      <w:r w:rsidRPr="005D642E">
        <w:rPr>
          <w:rtl/>
        </w:rPr>
        <w:t xml:space="preserve"> ، ج 4 ، ص 257 ( قرن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قَدَمَيْهِ </w:t>
      </w:r>
      <w:r w:rsidRPr="007C12DB">
        <w:rPr>
          <w:rStyle w:val="libFootnotenumChar"/>
          <w:rtl/>
        </w:rPr>
        <w:t>(1)</w:t>
      </w:r>
      <w:r w:rsidRPr="005D642E">
        <w:rPr>
          <w:rtl/>
          <w:lang w:bidi="fa-IR"/>
        </w:rPr>
        <w:t xml:space="preserve"> ثَلَاثَ غَسَلَاتٍ.</w:t>
      </w:r>
    </w:p>
    <w:p w:rsidR="00E3253D" w:rsidRPr="005D642E" w:rsidRDefault="00E3253D" w:rsidP="00E3253D">
      <w:pPr>
        <w:pStyle w:val="libNormal"/>
        <w:rPr>
          <w:rtl/>
          <w:lang w:bidi="fa-IR"/>
        </w:rPr>
      </w:pPr>
      <w:r w:rsidRPr="005D642E">
        <w:rPr>
          <w:rtl/>
          <w:lang w:bidi="fa-IR"/>
        </w:rPr>
        <w:t xml:space="preserve">ثُمَّ رُدَّهُ </w:t>
      </w:r>
      <w:r w:rsidRPr="007C12DB">
        <w:rPr>
          <w:rStyle w:val="libFootnotenumChar"/>
          <w:rtl/>
        </w:rPr>
        <w:t>(2)</w:t>
      </w:r>
      <w:r w:rsidRPr="005D642E">
        <w:rPr>
          <w:rtl/>
          <w:lang w:bidi="fa-IR"/>
        </w:rPr>
        <w:t xml:space="preserve"> إِلَى الْجَانِبِ </w:t>
      </w:r>
      <w:r w:rsidRPr="007C12DB">
        <w:rPr>
          <w:rStyle w:val="libFootnotenumChar"/>
          <w:rtl/>
        </w:rPr>
        <w:t>(3)</w:t>
      </w:r>
      <w:r w:rsidRPr="005D642E">
        <w:rPr>
          <w:rtl/>
          <w:lang w:bidi="fa-IR"/>
        </w:rPr>
        <w:t xml:space="preserve"> الْأَيْمَنِ حَتّى يَبْدُوَ لَكَ الْأَيْسَرُ ، فَاغْسِلْهُ </w:t>
      </w:r>
      <w:r w:rsidRPr="007C12DB">
        <w:rPr>
          <w:rStyle w:val="libFootnotenumChar"/>
          <w:rtl/>
        </w:rPr>
        <w:t>(4)</w:t>
      </w:r>
      <w:r w:rsidRPr="005D642E">
        <w:rPr>
          <w:rtl/>
          <w:lang w:bidi="fa-IR"/>
        </w:rPr>
        <w:t xml:space="preserve"> مِنْ قَرْنِهِ </w:t>
      </w:r>
      <w:r w:rsidRPr="007C12DB">
        <w:rPr>
          <w:rStyle w:val="libFootnotenumChar"/>
          <w:rtl/>
        </w:rPr>
        <w:t>(5)</w:t>
      </w:r>
      <w:r w:rsidRPr="005D642E">
        <w:rPr>
          <w:rtl/>
          <w:lang w:bidi="fa-IR"/>
        </w:rPr>
        <w:t xml:space="preserve"> إِلى قَدَمَيْهِ </w:t>
      </w:r>
      <w:r w:rsidRPr="007C12DB">
        <w:rPr>
          <w:rStyle w:val="libFootnotenumChar"/>
          <w:rtl/>
        </w:rPr>
        <w:t>(6)</w:t>
      </w:r>
      <w:r w:rsidRPr="005D642E">
        <w:rPr>
          <w:rtl/>
          <w:lang w:bidi="fa-IR"/>
        </w:rPr>
        <w:t xml:space="preserve"> ثَلَاثَ غَسَلَاتٍ </w:t>
      </w:r>
      <w:r w:rsidRPr="007C12DB">
        <w:rPr>
          <w:rStyle w:val="libFootnotenumChar"/>
          <w:rtl/>
        </w:rPr>
        <w:t>(7)</w:t>
      </w:r>
      <w:r w:rsidRPr="005D642E">
        <w:rPr>
          <w:rtl/>
          <w:lang w:bidi="fa-IR"/>
        </w:rPr>
        <w:t xml:space="preserve"> ، وَأَدْخِلْ يَدَكَ تَحْتَ مَنْكِبَيْهِ </w:t>
      </w:r>
      <w:r w:rsidRPr="007C12DB">
        <w:rPr>
          <w:rStyle w:val="libFootnotenumChar"/>
          <w:rtl/>
        </w:rPr>
        <w:t>(8)</w:t>
      </w:r>
      <w:r w:rsidRPr="005D642E">
        <w:rPr>
          <w:rtl/>
          <w:lang w:bidi="fa-IR"/>
        </w:rPr>
        <w:t xml:space="preserve"> وَ</w:t>
      </w:r>
      <w:r>
        <w:rPr>
          <w:rFonts w:hint="cs"/>
          <w:rtl/>
          <w:lang w:bidi="fa-IR"/>
        </w:rPr>
        <w:t xml:space="preserve"> </w:t>
      </w:r>
      <w:r w:rsidRPr="007C12DB">
        <w:rPr>
          <w:rStyle w:val="libFootnotenumChar"/>
          <w:rtl/>
        </w:rPr>
        <w:t>(9)</w:t>
      </w:r>
      <w:r w:rsidRPr="005D642E">
        <w:rPr>
          <w:rtl/>
          <w:lang w:bidi="fa-IR"/>
        </w:rPr>
        <w:t xml:space="preserve"> ذِرَاعَيْهِ ، وَيَكُونُ الذِّرَاعُ وَالْكَفُّ مَعَ </w:t>
      </w:r>
      <w:r w:rsidRPr="007C12DB">
        <w:rPr>
          <w:rStyle w:val="libFootnotenumChar"/>
          <w:rtl/>
        </w:rPr>
        <w:t>(10)</w:t>
      </w:r>
      <w:r w:rsidRPr="005D642E">
        <w:rPr>
          <w:rtl/>
          <w:lang w:bidi="fa-IR"/>
        </w:rPr>
        <w:t xml:space="preserve"> جَنْبِهِ </w:t>
      </w:r>
      <w:r w:rsidRPr="007C12DB">
        <w:rPr>
          <w:rStyle w:val="libFootnotenumChar"/>
          <w:rtl/>
        </w:rPr>
        <w:t>(11)</w:t>
      </w:r>
      <w:r w:rsidRPr="005D642E">
        <w:rPr>
          <w:rtl/>
          <w:lang w:bidi="fa-IR"/>
        </w:rPr>
        <w:t xml:space="preserve"> ، كُلَّمَا غَسَلْتَ شَيْئاً مِنْهُ أَدْخَلْتَ يَدَكَ تَحْتَ مَنْكِبَيْهِ </w:t>
      </w:r>
      <w:r w:rsidRPr="007C12DB">
        <w:rPr>
          <w:rStyle w:val="libFootnotenumChar"/>
          <w:rtl/>
        </w:rPr>
        <w:t>(12)</w:t>
      </w:r>
      <w:r w:rsidRPr="005D642E">
        <w:rPr>
          <w:rtl/>
          <w:lang w:bidi="fa-IR"/>
        </w:rPr>
        <w:t xml:space="preserve"> وَفِي بَاطِنِ ذِرَاعَيْهِ.</w:t>
      </w:r>
    </w:p>
    <w:p w:rsidR="00E3253D" w:rsidRPr="005D642E" w:rsidRDefault="00E3253D" w:rsidP="00E3253D">
      <w:pPr>
        <w:pStyle w:val="libNormal"/>
        <w:rPr>
          <w:rtl/>
          <w:lang w:bidi="fa-IR"/>
        </w:rPr>
      </w:pPr>
      <w:r w:rsidRPr="005D642E">
        <w:rPr>
          <w:rtl/>
          <w:lang w:bidi="fa-IR"/>
        </w:rPr>
        <w:t xml:space="preserve">ثُمَّ رُدَّهُ إِلى </w:t>
      </w:r>
      <w:r w:rsidRPr="007C12DB">
        <w:rPr>
          <w:rStyle w:val="libFootnotenumChar"/>
          <w:rtl/>
        </w:rPr>
        <w:t>(13)</w:t>
      </w:r>
      <w:r w:rsidRPr="005D642E">
        <w:rPr>
          <w:rtl/>
          <w:lang w:bidi="fa-IR"/>
        </w:rPr>
        <w:t xml:space="preserve"> ظَهْرِهِ ، ثُمَّ اغْسِلْهُ بِمَاءٍ قَرَاحٍ </w:t>
      </w:r>
      <w:r w:rsidRPr="007C12DB">
        <w:rPr>
          <w:rStyle w:val="libFootnotenumChar"/>
          <w:rtl/>
        </w:rPr>
        <w:t>(14)</w:t>
      </w:r>
      <w:r w:rsidRPr="005D642E">
        <w:rPr>
          <w:rtl/>
          <w:lang w:bidi="fa-IR"/>
        </w:rPr>
        <w:t xml:space="preserve"> كَمَا صَنَعْتَ أَوَّلاً </w:t>
      </w:r>
      <w:r w:rsidRPr="007C12DB">
        <w:rPr>
          <w:rStyle w:val="libFootnotenumChar"/>
          <w:rtl/>
        </w:rPr>
        <w:t>(15)</w:t>
      </w:r>
      <w:r w:rsidRPr="005D642E">
        <w:rPr>
          <w:rtl/>
          <w:lang w:bidi="fa-IR"/>
        </w:rPr>
        <w:t xml:space="preserve"> ، تَبْدَأُ بِالْفَرْجِ ، ثُمَّ تَحَوَّلْ إِلَى الرَّأْسِ وَاللِّحْيَةِ وَالْوَجْهِ حَتّى تَصْنَعَ كَمَا صَنَعْتَ </w:t>
      </w:r>
      <w:r w:rsidRPr="007C12DB">
        <w:rPr>
          <w:rStyle w:val="libFootnotenumChar"/>
          <w:rtl/>
        </w:rPr>
        <w:t>(16)</w:t>
      </w:r>
      <w:r w:rsidRPr="005D642E">
        <w:rPr>
          <w:rtl/>
          <w:lang w:bidi="fa-IR"/>
        </w:rPr>
        <w:t xml:space="preserve"> أَوَّلاً بِمَاءٍ قَرَاحٍ ، ثُمَّ أَزِّرْهُ </w:t>
      </w:r>
      <w:r w:rsidRPr="007C12DB">
        <w:rPr>
          <w:rStyle w:val="libFootnotenumChar"/>
          <w:rtl/>
        </w:rPr>
        <w:t>(17)</w:t>
      </w:r>
      <w:r w:rsidRPr="005D642E">
        <w:rPr>
          <w:rtl/>
          <w:lang w:bidi="fa-IR"/>
        </w:rPr>
        <w:t xml:space="preserve"> بِالْخِرْقَةِ ، وَيَكُونُ </w:t>
      </w:r>
      <w:r w:rsidRPr="007C12DB">
        <w:rPr>
          <w:rStyle w:val="libFootnotenumChar"/>
          <w:rtl/>
        </w:rPr>
        <w:t>(18)</w:t>
      </w:r>
      <w:r w:rsidRPr="005D642E">
        <w:rPr>
          <w:rtl/>
          <w:lang w:bidi="fa-IR"/>
        </w:rPr>
        <w:t xml:space="preserve"> تَحْتَهَا الْقُطْنُ تُذْفِرُهُ </w:t>
      </w:r>
      <w:r w:rsidRPr="007C12DB">
        <w:rPr>
          <w:rStyle w:val="libFootnotenumChar"/>
          <w:rtl/>
        </w:rPr>
        <w:t>(19)</w:t>
      </w:r>
      <w:r w:rsidRPr="005D642E">
        <w:rPr>
          <w:rtl/>
          <w:lang w:bidi="fa-IR"/>
        </w:rPr>
        <w:t xml:space="preserve"> بِهِ إِذْفَاراً </w:t>
      </w:r>
      <w:r w:rsidRPr="007C12DB">
        <w:rPr>
          <w:rStyle w:val="libFootnotenumChar"/>
          <w:rtl/>
        </w:rPr>
        <w:t>(20)</w:t>
      </w:r>
      <w:r w:rsidRPr="005D642E">
        <w:rPr>
          <w:rtl/>
          <w:lang w:bidi="fa-IR"/>
        </w:rPr>
        <w:t xml:space="preserve"> قُطْناً‌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ى ، بث ، بخ ، بس ، بف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قدمه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ثمّ تردّه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ى ، بث ، بخ ، جح ، جن » والوسائل : « جانبه</w:t>
      </w:r>
      <w:r w:rsidR="00E3253D">
        <w:rPr>
          <w:rtl/>
        </w:rPr>
        <w:t xml:space="preserve"> ».</w:t>
      </w:r>
      <w:r w:rsidR="00E3253D" w:rsidRPr="005D642E">
        <w:rPr>
          <w:rtl/>
        </w:rPr>
        <w:t xml:space="preserve"> وفي « جس » : « جانب</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05FC" w:rsidTr="003D05FC">
        <w:tc>
          <w:tcPr>
            <w:tcW w:w="4006" w:type="dxa"/>
          </w:tcPr>
          <w:p w:rsidR="003D05FC" w:rsidRDefault="003D05FC" w:rsidP="00E3253D">
            <w:pPr>
              <w:pStyle w:val="libFootnote0"/>
              <w:rPr>
                <w:rStyle w:val="libFootnote0Char"/>
                <w:rtl/>
              </w:rPr>
            </w:pPr>
            <w:r w:rsidRPr="0042621E">
              <w:rPr>
                <w:rStyle w:val="libFootnote0Char"/>
                <w:rtl/>
              </w:rPr>
              <w:t>(4).</w:t>
            </w:r>
            <w:r w:rsidRPr="005D642E">
              <w:rPr>
                <w:rtl/>
              </w:rPr>
              <w:t xml:space="preserve"> في التهذيب : « ثمّ اغسله</w:t>
            </w:r>
            <w:r>
              <w:rPr>
                <w:rtl/>
              </w:rPr>
              <w:t xml:space="preserve"> ».</w:t>
            </w:r>
          </w:p>
        </w:tc>
        <w:tc>
          <w:tcPr>
            <w:tcW w:w="4006" w:type="dxa"/>
          </w:tcPr>
          <w:p w:rsidR="003D05FC" w:rsidRDefault="003D05FC" w:rsidP="00E3253D">
            <w:pPr>
              <w:pStyle w:val="libFootnote0"/>
              <w:rPr>
                <w:rStyle w:val="libFootnote0Char"/>
                <w:rtl/>
              </w:rPr>
            </w:pPr>
            <w:r w:rsidRPr="0042621E">
              <w:rPr>
                <w:rStyle w:val="libFootnote0Char"/>
                <w:rtl/>
              </w:rPr>
              <w:t>(5).</w:t>
            </w:r>
            <w:r w:rsidRPr="005D642E">
              <w:rPr>
                <w:rtl/>
              </w:rPr>
              <w:t xml:space="preserve"> في « غ » :</w:t>
            </w:r>
            <w:r>
              <w:rPr>
                <w:rtl/>
              </w:rPr>
              <w:t xml:space="preserve"> - </w:t>
            </w:r>
            <w:r w:rsidRPr="005D642E">
              <w:rPr>
                <w:rtl/>
              </w:rPr>
              <w:t>« من قرنه</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غ ، ى ، بث ، بخ ، بف ، جس » </w:t>
      </w:r>
      <w:r w:rsidR="000D749A" w:rsidRPr="000D749A">
        <w:rPr>
          <w:rStyle w:val="libFootnoteBoldChar"/>
          <w:rtl/>
        </w:rPr>
        <w:t>والوافي</w:t>
      </w:r>
      <w:r w:rsidR="00E3253D" w:rsidRPr="005D642E">
        <w:rPr>
          <w:rtl/>
        </w:rPr>
        <w:t xml:space="preserve"> والوسائل : « قدمه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بح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ثمّ ردّه إلى الجانب الأيمن</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ثلاث غسلات</w:t>
      </w:r>
      <w:r w:rsidR="00E3253D">
        <w:rPr>
          <w:rtl/>
        </w:rPr>
        <w:t xml:space="preserve"> ».</w:t>
      </w:r>
    </w:p>
    <w:tbl>
      <w:tblPr>
        <w:tblStyle w:val="TableGrid"/>
        <w:bidiVisual/>
        <w:tblW w:w="0" w:type="auto"/>
        <w:tblLook w:val="04A0" w:firstRow="1" w:lastRow="0" w:firstColumn="1" w:lastColumn="0" w:noHBand="0" w:noVBand="1"/>
      </w:tblPr>
      <w:tblGrid>
        <w:gridCol w:w="3891"/>
        <w:gridCol w:w="4121"/>
      </w:tblGrid>
      <w:tr w:rsidR="003D05FC" w:rsidTr="00D64F74">
        <w:tc>
          <w:tcPr>
            <w:tcW w:w="3891" w:type="dxa"/>
          </w:tcPr>
          <w:p w:rsidR="003D05FC" w:rsidRDefault="003D05FC" w:rsidP="00E3253D">
            <w:pPr>
              <w:pStyle w:val="libFootnote0"/>
              <w:rPr>
                <w:rStyle w:val="libFootnote0Char"/>
                <w:rtl/>
              </w:rPr>
            </w:pPr>
            <w:r w:rsidRPr="0042621E">
              <w:rPr>
                <w:rStyle w:val="libFootnote0Char"/>
                <w:rtl/>
              </w:rPr>
              <w:t>(8).</w:t>
            </w:r>
            <w:r>
              <w:rPr>
                <w:rtl/>
              </w:rPr>
              <w:t xml:space="preserve"> في «ى،جس</w:t>
            </w:r>
            <w:r w:rsidRPr="005D642E">
              <w:rPr>
                <w:rtl/>
              </w:rPr>
              <w:t>» وحاشية «بث » : « منكبه</w:t>
            </w:r>
            <w:r>
              <w:rPr>
                <w:rtl/>
              </w:rPr>
              <w:t xml:space="preserve"> ».</w:t>
            </w:r>
          </w:p>
        </w:tc>
        <w:tc>
          <w:tcPr>
            <w:tcW w:w="4121" w:type="dxa"/>
          </w:tcPr>
          <w:p w:rsidR="003D05FC" w:rsidRDefault="003D05FC" w:rsidP="00E3253D">
            <w:pPr>
              <w:pStyle w:val="libFootnote0"/>
              <w:rPr>
                <w:rStyle w:val="libFootnote0Char"/>
                <w:rtl/>
              </w:rPr>
            </w:pPr>
            <w:r w:rsidRPr="0042621E">
              <w:rPr>
                <w:rStyle w:val="libFootnote0Char"/>
                <w:rtl/>
              </w:rPr>
              <w:t>(9).</w:t>
            </w:r>
            <w:r>
              <w:rPr>
                <w:rtl/>
              </w:rPr>
              <w:t xml:space="preserve"> في«غ»:+«</w:t>
            </w:r>
            <w:r w:rsidRPr="005D642E">
              <w:rPr>
                <w:rtl/>
              </w:rPr>
              <w:t>في باطن</w:t>
            </w:r>
            <w:r>
              <w:rPr>
                <w:rtl/>
              </w:rPr>
              <w:t>». وفي «جن» :+«</w:t>
            </w:r>
            <w:r w:rsidRPr="005D642E">
              <w:rPr>
                <w:rtl/>
              </w:rPr>
              <w:t>في بطن</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 « من</w:t>
      </w:r>
      <w:r w:rsidR="00E3253D">
        <w:rPr>
          <w:rtl/>
        </w:rPr>
        <w:t xml:space="preserve"> ».</w:t>
      </w:r>
      <w:r w:rsidR="00E3253D" w:rsidRPr="005D642E">
        <w:rPr>
          <w:rtl/>
        </w:rPr>
        <w:t xml:space="preserve"> وفي « بخ » وحاشية « بث » : « على</w:t>
      </w:r>
      <w:r w:rsidR="00E3253D">
        <w:rPr>
          <w:rtl/>
        </w:rPr>
        <w:t xml:space="preserve"> ».</w:t>
      </w:r>
    </w:p>
    <w:p w:rsidR="00E3253D" w:rsidRPr="005D642E" w:rsidRDefault="0042621E" w:rsidP="00D64F74">
      <w:pPr>
        <w:pStyle w:val="libFootnote0"/>
        <w:rPr>
          <w:rtl/>
          <w:lang w:bidi="fa-IR"/>
        </w:rPr>
      </w:pPr>
      <w:r w:rsidRPr="0042621E">
        <w:rPr>
          <w:rStyle w:val="libFootnote0Char"/>
          <w:rtl/>
        </w:rPr>
        <w:t>(11).</w:t>
      </w:r>
      <w:r w:rsidR="00E3253D" w:rsidRPr="005D642E">
        <w:rPr>
          <w:rtl/>
        </w:rPr>
        <w:t xml:space="preserve"> هكذا في معظم النسخ التي قوبلت. وفي المطبوع : + « طاهرة</w:t>
      </w:r>
      <w:r w:rsidR="00E3253D">
        <w:rPr>
          <w:rtl/>
        </w:rPr>
        <w:t xml:space="preserve"> ».</w:t>
      </w:r>
      <w:r w:rsidR="00E3253D" w:rsidRPr="005D642E">
        <w:rPr>
          <w:rtl/>
        </w:rPr>
        <w:t xml:space="preserve"> وفي « بح » : « جنبيه</w:t>
      </w:r>
      <w:r w:rsidR="00E3253D">
        <w:rPr>
          <w:rtl/>
        </w:rPr>
        <w:t xml:space="preserve"> ».</w:t>
      </w:r>
      <w:r w:rsidR="00E3253D" w:rsidRPr="005D642E">
        <w:rPr>
          <w:rtl/>
        </w:rPr>
        <w:t xml:space="preserve"> وفي « بخ » : « جبينه</w:t>
      </w:r>
      <w:r w:rsidR="00E3253D">
        <w:rPr>
          <w:rtl/>
        </w:rPr>
        <w:t xml:space="preserve"> ».</w:t>
      </w:r>
      <w:r w:rsidR="00E3253D" w:rsidRPr="005D642E">
        <w:rPr>
          <w:rtl/>
        </w:rPr>
        <w:t xml:space="preserve"> وفي التهذيب : + « ظاهرة</w:t>
      </w:r>
      <w:r w:rsidR="00E3253D">
        <w:rPr>
          <w:rtl/>
        </w:rPr>
        <w:t xml:space="preserve"> ».</w:t>
      </w:r>
      <w:r w:rsidR="00E3253D">
        <w:rPr>
          <w:rFonts w:hint="cs"/>
          <w:rtl/>
          <w:lang w:bidi="fa-IR"/>
        </w:rPr>
        <w:t xml:space="preserve"> </w:t>
      </w:r>
      <w:r w:rsidR="003D05FC">
        <w:rPr>
          <w:rFonts w:hint="cs"/>
          <w:rtl/>
          <w:lang w:bidi="fa-IR"/>
        </w:rPr>
        <w:t xml:space="preserve">                </w:t>
      </w:r>
      <w:r w:rsidRPr="0042621E">
        <w:rPr>
          <w:rStyle w:val="libFootnote0Char"/>
          <w:rtl/>
        </w:rPr>
        <w:t>(12).</w:t>
      </w:r>
      <w:r w:rsidR="00E3253D" w:rsidRPr="005D642E">
        <w:rPr>
          <w:rtl/>
        </w:rPr>
        <w:t xml:space="preserve"> في « جس » : « منكبه</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 xml:space="preserve">في « ظ ، غ ، ى ، بث ، بس ، بف ، جس ، جن » </w:t>
      </w:r>
      <w:r w:rsidR="00B60612" w:rsidRPr="00B60612">
        <w:rPr>
          <w:rStyle w:val="libFootnoteBoldChar"/>
          <w:rtl/>
        </w:rPr>
        <w:t>والتهذيب</w:t>
      </w:r>
      <w:r w:rsidR="00E3253D" w:rsidRPr="005D642E">
        <w:rPr>
          <w:rtl/>
        </w:rPr>
        <w:t xml:space="preserve"> : « على</w:t>
      </w:r>
      <w:r w:rsidR="00E3253D">
        <w:rPr>
          <w:rtl/>
        </w:rPr>
        <w:t xml:space="preserve"> ».</w:t>
      </w:r>
    </w:p>
    <w:tbl>
      <w:tblPr>
        <w:tblStyle w:val="TableGrid"/>
        <w:bidiVisual/>
        <w:tblW w:w="0" w:type="auto"/>
        <w:tblLook w:val="04A0" w:firstRow="1" w:lastRow="0" w:firstColumn="1" w:lastColumn="0" w:noHBand="0" w:noVBand="1"/>
      </w:tblPr>
      <w:tblGrid>
        <w:gridCol w:w="3801"/>
        <w:gridCol w:w="4211"/>
      </w:tblGrid>
      <w:tr w:rsidR="003D05FC" w:rsidTr="00D64F74">
        <w:tc>
          <w:tcPr>
            <w:tcW w:w="3801" w:type="dxa"/>
          </w:tcPr>
          <w:p w:rsidR="003D05FC" w:rsidRDefault="003D05FC" w:rsidP="00E3253D">
            <w:pPr>
              <w:pStyle w:val="libFootnote0"/>
              <w:rPr>
                <w:rStyle w:val="libFootnote0Char"/>
                <w:rtl/>
              </w:rPr>
            </w:pPr>
            <w:r w:rsidRPr="0042621E">
              <w:rPr>
                <w:rStyle w:val="libFootnote0Char"/>
                <w:rtl/>
              </w:rPr>
              <w:t>(14).</w:t>
            </w:r>
            <w:r>
              <w:rPr>
                <w:rtl/>
              </w:rPr>
              <w:t xml:space="preserve"> </w:t>
            </w:r>
            <w:r w:rsidRPr="005D642E">
              <w:rPr>
                <w:rtl/>
              </w:rPr>
              <w:t>في التهذيب : « القراح</w:t>
            </w:r>
            <w:r>
              <w:rPr>
                <w:rtl/>
              </w:rPr>
              <w:t xml:space="preserve"> ».</w:t>
            </w:r>
          </w:p>
        </w:tc>
        <w:tc>
          <w:tcPr>
            <w:tcW w:w="4211" w:type="dxa"/>
          </w:tcPr>
          <w:p w:rsidR="003D05FC" w:rsidRDefault="003D05FC" w:rsidP="00E3253D">
            <w:pPr>
              <w:pStyle w:val="libFootnote0"/>
              <w:rPr>
                <w:rStyle w:val="libFootnote0Char"/>
                <w:rtl/>
              </w:rPr>
            </w:pPr>
            <w:r w:rsidRPr="0042621E">
              <w:rPr>
                <w:rStyle w:val="libFootnote0Char"/>
                <w:rtl/>
              </w:rPr>
              <w:t>(15).</w:t>
            </w:r>
            <w:r>
              <w:rPr>
                <w:rtl/>
              </w:rPr>
              <w:t>في«بخ»</w:t>
            </w:r>
            <w:r w:rsidRPr="005D642E">
              <w:rPr>
                <w:rtl/>
              </w:rPr>
              <w:t>:</w:t>
            </w:r>
            <w:r>
              <w:rPr>
                <w:rtl/>
              </w:rPr>
              <w:t>-«</w:t>
            </w:r>
            <w:r w:rsidRPr="005D642E">
              <w:rPr>
                <w:rtl/>
              </w:rPr>
              <w:t>غسلت شيئاً منه</w:t>
            </w:r>
            <w:r>
              <w:rPr>
                <w:rtl/>
              </w:rPr>
              <w:t>-</w:t>
            </w:r>
            <w:r w:rsidRPr="005D642E">
              <w:rPr>
                <w:rtl/>
              </w:rPr>
              <w:t>إلى</w:t>
            </w:r>
            <w:r>
              <w:rPr>
                <w:rtl/>
              </w:rPr>
              <w:t>-</w:t>
            </w:r>
            <w:r w:rsidR="00D64F74">
              <w:rPr>
                <w:rtl/>
              </w:rPr>
              <w:t>كما</w:t>
            </w:r>
            <w:r w:rsidRPr="005D642E">
              <w:rPr>
                <w:rtl/>
              </w:rPr>
              <w:t>صنعت أوّلاً</w:t>
            </w:r>
            <w:r>
              <w:rPr>
                <w:rtl/>
              </w:rPr>
              <w:t>».</w:t>
            </w:r>
          </w:p>
        </w:tc>
      </w:tr>
    </w:tbl>
    <w:p w:rsidR="00E3253D" w:rsidRPr="005D642E" w:rsidRDefault="00E3253D" w:rsidP="00E3253D">
      <w:pPr>
        <w:pStyle w:val="libFootnote0"/>
        <w:rPr>
          <w:rtl/>
          <w:lang w:bidi="fa-IR"/>
        </w:rPr>
      </w:pPr>
      <w:r w:rsidRPr="005D642E">
        <w:rPr>
          <w:rtl/>
        </w:rPr>
        <w:t>(1</w:t>
      </w:r>
      <w:r>
        <w:rPr>
          <w:rtl/>
        </w:rPr>
        <w:t>6)</w:t>
      </w:r>
      <w:r w:rsidRPr="005D642E">
        <w:rPr>
          <w:rtl/>
        </w:rPr>
        <w:t xml:space="preserve"> في « جس » :</w:t>
      </w:r>
      <w:r>
        <w:rPr>
          <w:rtl/>
        </w:rPr>
        <w:t xml:space="preserve"> </w:t>
      </w:r>
      <w:r w:rsidR="007642BC">
        <w:rPr>
          <w:rtl/>
        </w:rPr>
        <w:t>-</w:t>
      </w:r>
      <w:r>
        <w:rPr>
          <w:rtl/>
        </w:rPr>
        <w:t xml:space="preserve"> </w:t>
      </w:r>
      <w:r w:rsidRPr="005D642E">
        <w:rPr>
          <w:rtl/>
        </w:rPr>
        <w:t>« كما صنعت</w:t>
      </w:r>
      <w:r>
        <w:rPr>
          <w:rtl/>
        </w:rPr>
        <w:t xml:space="preserve"> ».</w:t>
      </w:r>
    </w:p>
    <w:p w:rsidR="00E3253D" w:rsidRPr="005D642E" w:rsidRDefault="00E3253D" w:rsidP="00D64F74">
      <w:pPr>
        <w:pStyle w:val="libFootnote0"/>
        <w:rPr>
          <w:rtl/>
          <w:lang w:bidi="fa-IR"/>
        </w:rPr>
      </w:pPr>
      <w:r w:rsidRPr="005D642E">
        <w:rPr>
          <w:rtl/>
        </w:rPr>
        <w:t>(1</w:t>
      </w:r>
      <w:r>
        <w:rPr>
          <w:rtl/>
        </w:rPr>
        <w:t>7)</w:t>
      </w:r>
      <w:r w:rsidRPr="005D642E">
        <w:rPr>
          <w:rtl/>
        </w:rPr>
        <w:t xml:space="preserve"> في التهذيب : « ثمّ أذفره</w:t>
      </w:r>
      <w:r>
        <w:rPr>
          <w:rtl/>
        </w:rPr>
        <w:t xml:space="preserve"> ».</w:t>
      </w:r>
      <w:r w:rsidRPr="005D642E">
        <w:rPr>
          <w:rtl/>
        </w:rPr>
        <w:t xml:space="preserve"> وقوله : « أزّره بالخر</w:t>
      </w:r>
      <w:r w:rsidR="00D64F74">
        <w:rPr>
          <w:rtl/>
        </w:rPr>
        <w:t>قة » ، أي غطّه بها. وقرأه العل</w:t>
      </w:r>
      <w:r w:rsidR="00D64F74">
        <w:rPr>
          <w:rFonts w:hint="cs"/>
          <w:rtl/>
        </w:rPr>
        <w:t>ّ</w:t>
      </w:r>
      <w:r w:rsidR="00D64F74">
        <w:rPr>
          <w:rtl/>
        </w:rPr>
        <w:t>ا</w:t>
      </w:r>
      <w:r w:rsidRPr="005D642E">
        <w:rPr>
          <w:rtl/>
        </w:rPr>
        <w:t>مة الفيض بشدّ الراء ، حيث قال : « والزرّ بتقديم المعجمة : الجمع الشديد والشدّ ، وفي بعض النسخ : اذفره ، وكأنّه بمعناه</w:t>
      </w:r>
      <w:r>
        <w:rPr>
          <w:rtl/>
        </w:rPr>
        <w:t xml:space="preserve"> ».</w:t>
      </w:r>
      <w:r w:rsidRPr="005D642E">
        <w:rPr>
          <w:rtl/>
        </w:rPr>
        <w:t xml:space="preserve"> راجع : </w:t>
      </w:r>
      <w:r w:rsidRPr="002F4D34">
        <w:rPr>
          <w:rStyle w:val="libFootnoteBoldChar"/>
          <w:rtl/>
        </w:rPr>
        <w:t>لسان العرب</w:t>
      </w:r>
      <w:r w:rsidRPr="005D642E">
        <w:rPr>
          <w:rtl/>
        </w:rPr>
        <w:t xml:space="preserve"> ، ج 4 ، ص 18 ( أزر ) ؛ </w:t>
      </w:r>
      <w:r w:rsidRPr="002F4D34">
        <w:rPr>
          <w:rStyle w:val="libFootnoteBoldChar"/>
          <w:rtl/>
        </w:rPr>
        <w:t>الوافي</w:t>
      </w:r>
      <w:r w:rsidRPr="005D642E">
        <w:rPr>
          <w:rtl/>
        </w:rPr>
        <w:t xml:space="preserve"> ، ج 3 ، ص 48.</w:t>
      </w:r>
      <w:r w:rsidR="00D64F74">
        <w:rPr>
          <w:rFonts w:hint="cs"/>
          <w:rtl/>
        </w:rPr>
        <w:t xml:space="preserve">    </w:t>
      </w:r>
      <w:r w:rsidRPr="005D642E">
        <w:rPr>
          <w:rtl/>
        </w:rPr>
        <w:t>(1</w:t>
      </w:r>
      <w:r>
        <w:rPr>
          <w:rtl/>
        </w:rPr>
        <w:t>8)</w:t>
      </w:r>
      <w:r w:rsidRPr="005D642E">
        <w:rPr>
          <w:rtl/>
        </w:rPr>
        <w:t xml:space="preserve"> في « ى » : « وتكون</w:t>
      </w:r>
      <w:r>
        <w:rPr>
          <w:rtl/>
        </w:rPr>
        <w:t xml:space="preserve"> ».</w:t>
      </w:r>
    </w:p>
    <w:p w:rsidR="00E3253D" w:rsidRPr="005D642E" w:rsidRDefault="00E3253D" w:rsidP="00E3253D">
      <w:pPr>
        <w:pStyle w:val="libFootnote0"/>
        <w:rPr>
          <w:rtl/>
          <w:lang w:bidi="fa-IR"/>
        </w:rPr>
      </w:pPr>
      <w:r w:rsidRPr="005D642E">
        <w:rPr>
          <w:rtl/>
        </w:rPr>
        <w:t>(1</w:t>
      </w:r>
      <w:r>
        <w:rPr>
          <w:rtl/>
        </w:rPr>
        <w:t>9)</w:t>
      </w:r>
      <w:r w:rsidRPr="005D642E">
        <w:rPr>
          <w:rtl/>
        </w:rPr>
        <w:t xml:space="preserve"> في « بخ » : « تدفر</w:t>
      </w:r>
      <w:r>
        <w:rPr>
          <w:rtl/>
        </w:rPr>
        <w:t xml:space="preserve"> ».</w:t>
      </w:r>
      <w:r w:rsidRPr="005D642E">
        <w:rPr>
          <w:rtl/>
        </w:rPr>
        <w:t xml:space="preserve"> وفي « بف » : « يذفر</w:t>
      </w:r>
      <w:r>
        <w:rPr>
          <w:rtl/>
        </w:rPr>
        <w:t xml:space="preserve"> ».</w:t>
      </w:r>
      <w:r w:rsidRPr="005D642E">
        <w:rPr>
          <w:rtl/>
        </w:rPr>
        <w:t xml:space="preserve"> وفي « جس » : « تدفره</w:t>
      </w:r>
      <w:r>
        <w:rPr>
          <w:rtl/>
        </w:rPr>
        <w:t xml:space="preserve"> ».</w:t>
      </w:r>
      <w:r w:rsidRPr="005D642E">
        <w:rPr>
          <w:rtl/>
        </w:rPr>
        <w:t xml:space="preserve"> وفي الوافي : « تذفر</w:t>
      </w:r>
      <w:r>
        <w:rPr>
          <w:rtl/>
        </w:rPr>
        <w:t xml:space="preserve"> ».</w:t>
      </w:r>
    </w:p>
    <w:p w:rsidR="00E3253D" w:rsidRPr="005D642E" w:rsidRDefault="00E3253D" w:rsidP="00E3253D">
      <w:pPr>
        <w:pStyle w:val="libFootnote0"/>
        <w:rPr>
          <w:rtl/>
          <w:lang w:bidi="fa-IR"/>
        </w:rPr>
      </w:pPr>
      <w:r>
        <w:rPr>
          <w:rtl/>
        </w:rPr>
        <w:t>(20)</w:t>
      </w:r>
      <w:r w:rsidRPr="005D642E">
        <w:rPr>
          <w:rtl/>
        </w:rPr>
        <w:t xml:space="preserve"> في « بخ » : « إدفاراً</w:t>
      </w:r>
      <w:r>
        <w:rPr>
          <w:rtl/>
        </w:rPr>
        <w:t xml:space="preserve"> ».</w:t>
      </w:r>
      <w:r w:rsidRPr="005D642E">
        <w:rPr>
          <w:rtl/>
        </w:rPr>
        <w:t xml:space="preserve"> ولم </w:t>
      </w:r>
      <w:r w:rsidR="00D64F74">
        <w:rPr>
          <w:rtl/>
        </w:rPr>
        <w:t>نجد الإذفار في اللغة. قال العل</w:t>
      </w:r>
      <w:r w:rsidR="00D64F74">
        <w:rPr>
          <w:rFonts w:hint="cs"/>
          <w:rtl/>
        </w:rPr>
        <w:t>ّ</w:t>
      </w:r>
      <w:r w:rsidR="00D64F74">
        <w:rPr>
          <w:rtl/>
        </w:rPr>
        <w:t>ا</w:t>
      </w:r>
      <w:r w:rsidRPr="005D642E">
        <w:rPr>
          <w:rtl/>
        </w:rPr>
        <w:t>مة الفيض : « والإذفار كأنّه لغة في الإثفار بالثاء المثلّثة وهو الشدّ بالثَفَر ؛ أعني السَيْر</w:t>
      </w:r>
      <w:r>
        <w:rPr>
          <w:rtl/>
        </w:rPr>
        <w:t xml:space="preserve"> ».</w:t>
      </w:r>
      <w:r w:rsidRPr="005D642E">
        <w:rPr>
          <w:rtl/>
        </w:rPr>
        <w:t xml:space="preserve"> يقال : أثفر الدابّةَ ، أي عمل لها ثَفَراً أو شدّها به. والثَفَر بالتحريك : السَيْر </w:t>
      </w:r>
      <w:r w:rsidR="00D64F7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كَثِيراً </w:t>
      </w:r>
      <w:r w:rsidRPr="007C12DB">
        <w:rPr>
          <w:rStyle w:val="libFootnotenumChar"/>
          <w:rtl/>
        </w:rPr>
        <w:t>(1)</w:t>
      </w:r>
      <w:r w:rsidRPr="005D642E">
        <w:rPr>
          <w:rtl/>
          <w:lang w:bidi="fa-IR"/>
        </w:rPr>
        <w:t xml:space="preserve"> ، ثُمَّ تَشُدُّ فَخِذَيْهِ عَلَى </w:t>
      </w:r>
      <w:r w:rsidRPr="007C12DB">
        <w:rPr>
          <w:rStyle w:val="libFootnotenumChar"/>
          <w:rtl/>
        </w:rPr>
        <w:t>(2)</w:t>
      </w:r>
      <w:r w:rsidRPr="005D642E">
        <w:rPr>
          <w:rtl/>
          <w:lang w:bidi="fa-IR"/>
        </w:rPr>
        <w:t xml:space="preserve"> الْقُطْنِ بِالْخِرْقَةِ شَدّاً شَدِيداً حَتّى لَاتَخَافَ </w:t>
      </w:r>
      <w:r w:rsidRPr="007C12DB">
        <w:rPr>
          <w:rStyle w:val="libFootnotenumChar"/>
          <w:rtl/>
        </w:rPr>
        <w:t>(3)</w:t>
      </w:r>
      <w:r w:rsidRPr="005D642E">
        <w:rPr>
          <w:rtl/>
          <w:lang w:bidi="fa-IR"/>
        </w:rPr>
        <w:t xml:space="preserve"> أَنْ يَظْهَرَ شَيْ‌ءٌ ، وَإِيَّاكَ أَنْ تُقْعِدَهُ ، أَوْ تَغْمِزَ بَطْنَهُ ، وَإِيَّاكَ أَنْ تَحْشُوَ فِي </w:t>
      </w:r>
      <w:r w:rsidRPr="007C12DB">
        <w:rPr>
          <w:rStyle w:val="libFootnotenumChar"/>
          <w:rtl/>
        </w:rPr>
        <w:t>(4)</w:t>
      </w:r>
      <w:r w:rsidRPr="005D642E">
        <w:rPr>
          <w:rtl/>
          <w:lang w:bidi="fa-IR"/>
        </w:rPr>
        <w:t xml:space="preserve"> مَسَامِعِهِ شَيْئاً </w:t>
      </w:r>
      <w:r w:rsidRPr="007C12DB">
        <w:rPr>
          <w:rStyle w:val="libFootnotenumChar"/>
          <w:rtl/>
        </w:rPr>
        <w:t>(5)</w:t>
      </w:r>
      <w:r w:rsidRPr="005D642E">
        <w:rPr>
          <w:rtl/>
          <w:lang w:bidi="fa-IR"/>
        </w:rPr>
        <w:t xml:space="preserve"> ، فَإِنْ خِفْتَ أَنْ يَظْهَرَ مِنَ الْمَنْخِرَيْنِ </w:t>
      </w:r>
      <w:r w:rsidRPr="007C12DB">
        <w:rPr>
          <w:rStyle w:val="libFootnotenumChar"/>
          <w:rtl/>
        </w:rPr>
        <w:t>(6)</w:t>
      </w:r>
      <w:r w:rsidRPr="005D642E">
        <w:rPr>
          <w:rtl/>
          <w:lang w:bidi="fa-IR"/>
        </w:rPr>
        <w:t xml:space="preserve"> شَيْ‌ءٌ ، فَلَا عَلَيْكَ أَنْ تُصَيِّرَ ثَمَّ </w:t>
      </w:r>
      <w:r w:rsidRPr="007C12DB">
        <w:rPr>
          <w:rStyle w:val="libFootnotenumChar"/>
          <w:rtl/>
        </w:rPr>
        <w:t>(7)</w:t>
      </w:r>
      <w:r w:rsidRPr="005D642E">
        <w:rPr>
          <w:rtl/>
          <w:lang w:bidi="fa-IR"/>
        </w:rPr>
        <w:t xml:space="preserve"> قُطْناً ، وَإِنْ </w:t>
      </w:r>
      <w:r w:rsidRPr="007C12DB">
        <w:rPr>
          <w:rStyle w:val="libFootnotenumChar"/>
          <w:rtl/>
        </w:rPr>
        <w:t>(8)</w:t>
      </w:r>
      <w:r w:rsidRPr="005D642E">
        <w:rPr>
          <w:rtl/>
          <w:lang w:bidi="fa-IR"/>
        </w:rPr>
        <w:t xml:space="preserve"> لَمْ تَخَفْ ، فَلَا تَجْعَلْ فِيهِ شَيْئاً ، وَلَاتُخَلِّلْ أَظَافِيرَهُ </w:t>
      </w:r>
      <w:r w:rsidRPr="007C12DB">
        <w:rPr>
          <w:rStyle w:val="libFootnotenumChar"/>
          <w:rtl/>
        </w:rPr>
        <w:t>(9)</w:t>
      </w:r>
      <w:r w:rsidRPr="005D642E">
        <w:rPr>
          <w:rtl/>
          <w:lang w:bidi="fa-IR"/>
        </w:rPr>
        <w:t xml:space="preserve"> ؛ وَكَذلِكَ غُسْلُ الْمَرْأَةِ</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9835B1">
        <w:rPr>
          <w:rtl/>
        </w:rPr>
        <w:t>4336</w:t>
      </w:r>
      <w:r w:rsidRPr="00246318">
        <w:rPr>
          <w:rStyle w:val="libBold2Char"/>
          <w:rtl/>
        </w:rPr>
        <w:t xml:space="preserve"> / 5.</w:t>
      </w:r>
      <w:r w:rsidRPr="005D642E">
        <w:rPr>
          <w:rtl/>
          <w:lang w:bidi="fa-IR"/>
        </w:rPr>
        <w:t xml:space="preserve"> عَلِيُّ بْنُ إِبْرَاهِيمَ ، عَنْ أَبِيهِ ، عَنْ رِجَالِهِ ، عَنْ يُونُسَ :</w:t>
      </w:r>
    </w:p>
    <w:p w:rsidR="00E3253D" w:rsidRPr="005D642E" w:rsidRDefault="00E3253D" w:rsidP="00E3253D">
      <w:pPr>
        <w:pStyle w:val="libNormal"/>
        <w:rPr>
          <w:rtl/>
          <w:lang w:bidi="fa-IR"/>
        </w:rPr>
      </w:pPr>
      <w:r w:rsidRPr="005D642E">
        <w:rPr>
          <w:rtl/>
          <w:lang w:bidi="fa-IR"/>
        </w:rPr>
        <w:t xml:space="preserve">عَنْهُمْ </w:t>
      </w:r>
      <w:r w:rsidRPr="00AC51C5">
        <w:rPr>
          <w:rStyle w:val="libAlaemChar"/>
          <w:rtl/>
        </w:rPr>
        <w:t>عليهم‌السلام</w:t>
      </w:r>
      <w:r w:rsidRPr="005D642E">
        <w:rPr>
          <w:rtl/>
          <w:lang w:bidi="fa-IR"/>
        </w:rPr>
        <w:t xml:space="preserve"> ، قَالَ : « إِذَا أَرَدْتَ غُسْلَ الْمَيِّتِ ، فَضَعْهُ عَلَى الْمُغْتَسَلِ مُسْتَقْبِلَ الْقِبْلَةِ ، فَإِنْ كَانَ عَلَيْهِ قَمِيصٌ ، فَأَخْرِجْ يَدَهُ مِنَ الْقَمِيصِ ، وَاجْمَعْ </w:t>
      </w:r>
      <w:r w:rsidRPr="007C12DB">
        <w:rPr>
          <w:rStyle w:val="libFootnotenumChar"/>
          <w:rtl/>
        </w:rPr>
        <w:t>(11)</w:t>
      </w:r>
      <w:r w:rsidRPr="005D642E">
        <w:rPr>
          <w:rtl/>
          <w:lang w:bidi="fa-IR"/>
        </w:rPr>
        <w:t xml:space="preserve"> قَمِيصَهُ عَلى عَوْرَتِهِ ،</w:t>
      </w:r>
    </w:p>
    <w:p w:rsidR="00E3253D" w:rsidRPr="005D642E" w:rsidRDefault="00E3253D" w:rsidP="00E3253D">
      <w:pPr>
        <w:pStyle w:val="libLine"/>
        <w:rPr>
          <w:rtl/>
          <w:lang w:bidi="fa-IR"/>
        </w:rPr>
      </w:pPr>
      <w:r w:rsidRPr="005D642E">
        <w:rPr>
          <w:rtl/>
          <w:lang w:bidi="fa-IR"/>
        </w:rPr>
        <w:t>__________________</w:t>
      </w:r>
    </w:p>
    <w:p w:rsidR="00E3253D" w:rsidRPr="005D642E" w:rsidRDefault="00D64F74" w:rsidP="00E3253D">
      <w:pPr>
        <w:pStyle w:val="libFootnote0"/>
        <w:rPr>
          <w:rtl/>
          <w:lang w:bidi="fa-IR"/>
        </w:rPr>
      </w:pPr>
      <w:r>
        <w:rPr>
          <w:rFonts w:hint="cs"/>
          <w:rtl/>
        </w:rPr>
        <w:t xml:space="preserve">= </w:t>
      </w:r>
      <w:r w:rsidR="00E3253D" w:rsidRPr="005D642E">
        <w:rPr>
          <w:rtl/>
        </w:rPr>
        <w:t xml:space="preserve">الذي في مؤخّر السرج ، والسير : قطعة من الجلد مستطيلة. راجع : </w:t>
      </w:r>
      <w:r w:rsidR="00E3253D" w:rsidRPr="002F4D34">
        <w:rPr>
          <w:rStyle w:val="libFootnoteBoldChar"/>
          <w:rtl/>
        </w:rPr>
        <w:t>لسان العرب</w:t>
      </w:r>
      <w:r w:rsidR="00E3253D" w:rsidRPr="005D642E">
        <w:rPr>
          <w:rtl/>
        </w:rPr>
        <w:t xml:space="preserve"> ، ج 4 ، ص 105 </w:t>
      </w:r>
      <w:r w:rsidR="00E3253D">
        <w:rPr>
          <w:rtl/>
        </w:rPr>
        <w:t>و 3</w:t>
      </w:r>
      <w:r w:rsidR="00E3253D" w:rsidRPr="005D642E">
        <w:rPr>
          <w:rtl/>
        </w:rPr>
        <w:t>07</w:t>
      </w:r>
      <w:r w:rsidR="00E3253D">
        <w:rPr>
          <w:rtl/>
        </w:rPr>
        <w:t xml:space="preserve"> </w:t>
      </w:r>
      <w:r w:rsidR="007642BC">
        <w:rPr>
          <w:rtl/>
        </w:rPr>
        <w:t>-</w:t>
      </w:r>
      <w:r w:rsidR="00E3253D">
        <w:rPr>
          <w:rtl/>
        </w:rPr>
        <w:t xml:space="preserve"> </w:t>
      </w:r>
      <w:r w:rsidR="00E3253D" w:rsidRPr="005D642E">
        <w:rPr>
          <w:rtl/>
        </w:rPr>
        <w:t xml:space="preserve">308 ( ثفر ) </w:t>
      </w:r>
      <w:r w:rsidR="00E3253D">
        <w:rPr>
          <w:rtl/>
        </w:rPr>
        <w:t>و (</w:t>
      </w:r>
      <w:r w:rsidR="00E3253D" w:rsidRPr="005D642E">
        <w:rPr>
          <w:rtl/>
        </w:rPr>
        <w:t xml:space="preserve"> ذفر ) ؛ </w:t>
      </w:r>
      <w:r w:rsidR="00E3253D" w:rsidRPr="002F4D34">
        <w:rPr>
          <w:rStyle w:val="libFootnoteBoldChar"/>
          <w:rtl/>
        </w:rPr>
        <w:t>الوافي</w:t>
      </w:r>
      <w:r w:rsidR="00E3253D" w:rsidRPr="005D642E">
        <w:rPr>
          <w:rtl/>
        </w:rPr>
        <w:t xml:space="preserve"> ، ج 3 ، ص 48.</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كبيراً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بس » : « على فخذيه » بدل « فخذيه على</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بس ، جس ، جن » </w:t>
      </w:r>
      <w:r w:rsidR="00B60612" w:rsidRPr="00B60612">
        <w:rPr>
          <w:rStyle w:val="libFootnoteBoldChar"/>
          <w:rtl/>
        </w:rPr>
        <w:t>والتهذيب</w:t>
      </w:r>
      <w:r w:rsidR="00E3253D" w:rsidRPr="005D642E">
        <w:rPr>
          <w:rtl/>
        </w:rPr>
        <w:t xml:space="preserve"> : « لايخاف</w:t>
      </w:r>
      <w:r w:rsidR="00E3253D">
        <w:rPr>
          <w:rtl/>
        </w:rPr>
        <w:t xml:space="preserve"> ».</w:t>
      </w:r>
    </w:p>
    <w:p w:rsidR="00E3253D" w:rsidRPr="005D642E" w:rsidRDefault="0042621E" w:rsidP="00D64F74">
      <w:pPr>
        <w:pStyle w:val="libFootnote0"/>
        <w:rPr>
          <w:rtl/>
          <w:lang w:bidi="fa-IR"/>
        </w:rPr>
      </w:pPr>
      <w:r w:rsidRPr="0042621E">
        <w:rPr>
          <w:rStyle w:val="libFootnote0Char"/>
          <w:rtl/>
        </w:rPr>
        <w:t>(4).</w:t>
      </w:r>
      <w:r w:rsidR="00E3253D" w:rsidRPr="005D642E">
        <w:rPr>
          <w:rtl/>
        </w:rPr>
        <w:t xml:space="preserve"> في الوافي </w:t>
      </w:r>
      <w:r w:rsidR="009E68BB" w:rsidRPr="009E68BB">
        <w:rPr>
          <w:rStyle w:val="libFootnoteBoldChar"/>
          <w:rtl/>
        </w:rPr>
        <w:t>و</w:t>
      </w:r>
      <w:r w:rsidR="00D64F74">
        <w:rPr>
          <w:rStyle w:val="libFootnoteBoldChar"/>
          <w:rFonts w:hint="cs"/>
          <w:rtl/>
        </w:rPr>
        <w:t>الفقيه</w:t>
      </w:r>
      <w:r w:rsidR="00E3253D" w:rsidRPr="005D642E">
        <w:rPr>
          <w:rtl/>
        </w:rPr>
        <w:t>، ح 589 :</w:t>
      </w:r>
      <w:r w:rsidR="00E3253D">
        <w:rPr>
          <w:rtl/>
        </w:rPr>
        <w:t xml:space="preserve"> </w:t>
      </w:r>
      <w:r w:rsidR="007642BC">
        <w:rPr>
          <w:rtl/>
        </w:rPr>
        <w:t>-</w:t>
      </w:r>
      <w:r w:rsidR="00E3253D">
        <w:rPr>
          <w:rtl/>
        </w:rPr>
        <w:t xml:space="preserve"> </w:t>
      </w:r>
      <w:r w:rsidR="00E3253D" w:rsidRPr="005D642E">
        <w:rPr>
          <w:rtl/>
        </w:rPr>
        <w:t>« في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شيئاً</w:t>
      </w:r>
      <w:r w:rsidR="00E3253D">
        <w:rPr>
          <w:rtl/>
        </w:rPr>
        <w:t xml:space="preserve"> ».</w:t>
      </w:r>
      <w:r w:rsidR="00E3253D" w:rsidRPr="005D642E">
        <w:rPr>
          <w:rtl/>
        </w:rPr>
        <w:t xml:space="preserve"> « أن تحشو في مسامعه شيئاً » ، أي تدخله فيها ، من قولهم : حَشَا الوِسادةَ والفراش وغيرهما يحشوها حشواً ، أي ملأها. راجع : </w:t>
      </w:r>
      <w:r w:rsidR="00E3253D" w:rsidRPr="002F4D34">
        <w:rPr>
          <w:rStyle w:val="libFootnoteBoldChar"/>
          <w:rtl/>
        </w:rPr>
        <w:t>لسان العرب</w:t>
      </w:r>
      <w:r w:rsidR="00E3253D" w:rsidRPr="005D642E">
        <w:rPr>
          <w:rtl/>
        </w:rPr>
        <w:t xml:space="preserve"> ، ج 14 ، ص 180 ( حشا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w:t>
      </w:r>
      <w:r w:rsidR="00B60612" w:rsidRPr="00B60612">
        <w:rPr>
          <w:rStyle w:val="libFootnoteBoldChar"/>
          <w:rtl/>
        </w:rPr>
        <w:t>والتهذيب</w:t>
      </w:r>
      <w:r w:rsidR="00E3253D" w:rsidRPr="005D642E">
        <w:rPr>
          <w:rtl/>
        </w:rPr>
        <w:t xml:space="preserve"> : « من المنخر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ثمّة</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 « فإن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غ ، ى ، بث ، بس ، جس » والوسائل </w:t>
      </w:r>
      <w:r w:rsidR="00B60612" w:rsidRPr="00B60612">
        <w:rPr>
          <w:rStyle w:val="libFootnoteBoldChar"/>
          <w:rtl/>
        </w:rPr>
        <w:t>والتهذيب</w:t>
      </w:r>
      <w:r w:rsidR="00E3253D" w:rsidRPr="005D642E">
        <w:rPr>
          <w:rtl/>
        </w:rPr>
        <w:t xml:space="preserve"> : « أظفاره</w:t>
      </w:r>
      <w:r w:rsidR="00E3253D">
        <w:rPr>
          <w:rtl/>
        </w:rPr>
        <w:t xml:space="preserve"> ».</w:t>
      </w:r>
      <w:r w:rsidR="00E3253D" w:rsidRPr="005D642E">
        <w:rPr>
          <w:rtl/>
        </w:rPr>
        <w:t xml:space="preserve"> وفي « بح » : « أظافره</w:t>
      </w:r>
      <w:r w:rsidR="00E3253D">
        <w:rPr>
          <w:rtl/>
        </w:rPr>
        <w:t xml:space="preserve"> ».</w:t>
      </w:r>
      <w:r w:rsidR="00E3253D" w:rsidRPr="005D642E">
        <w:rPr>
          <w:rtl/>
        </w:rPr>
        <w:t xml:space="preserve"> وتخليل الأظافير : إخراج ما تحتها من الوسخ ، يقال : خلّل الشخص أسنانه تخليلاً ، إذا أخرج ما يبقى من المأكول بينها ، واسم ذلك الخارج خُلالة. راجع : </w:t>
      </w:r>
      <w:r w:rsidR="00E3253D" w:rsidRPr="002F4D34">
        <w:rPr>
          <w:rStyle w:val="libFootnoteBoldChar"/>
          <w:rtl/>
        </w:rPr>
        <w:t>المصباح المنير</w:t>
      </w:r>
      <w:r w:rsidR="00E3253D" w:rsidRPr="005D642E">
        <w:rPr>
          <w:rtl/>
        </w:rPr>
        <w:t xml:space="preserve"> ، ص 180 ( خلل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298 ، ح 873 ، بسنده عن الكليني ، عن عدّة من أصحابنا ، عن سهل بن زياد ، عن الحسن بن محبوب ، عن محمّد بن سنان. </w:t>
      </w:r>
      <w:r w:rsidR="00E3253D" w:rsidRPr="002F4D34">
        <w:rPr>
          <w:rStyle w:val="libFootnoteBoldChar"/>
          <w:rtl/>
        </w:rPr>
        <w:t>الفقيه</w:t>
      </w:r>
      <w:r w:rsidR="00E3253D" w:rsidRPr="005D642E">
        <w:rPr>
          <w:rtl/>
        </w:rPr>
        <w:t xml:space="preserve"> ، ج 1 ، ص 192 ، ح 589 ، مرسلاً ، من قوله : « إيّاك أن تحشو في مسامعه شيئاً » إلى قوله : « وإن لم تخف فلا تجعل فيه شيئاً</w:t>
      </w:r>
      <w:r w:rsidR="00E3253D">
        <w:rPr>
          <w:rtl/>
        </w:rPr>
        <w:t xml:space="preserve"> ».</w:t>
      </w:r>
      <w:r w:rsidR="00E3253D" w:rsidRPr="005D642E">
        <w:rPr>
          <w:rtl/>
        </w:rPr>
        <w:t xml:space="preserve"> </w:t>
      </w:r>
      <w:r w:rsidR="00E3253D" w:rsidRPr="002F4D34">
        <w:rPr>
          <w:rStyle w:val="libFootnoteBoldChar"/>
          <w:rtl/>
        </w:rPr>
        <w:t>وفيه</w:t>
      </w:r>
      <w:r w:rsidR="00E3253D" w:rsidRPr="005D642E">
        <w:rPr>
          <w:rtl/>
        </w:rPr>
        <w:t xml:space="preserve"> ، ح 590 ، مرسلاً ، وتمام الرواية هكذا : « لا تخلّل أظافيره</w:t>
      </w:r>
      <w:r w:rsidR="00E3253D">
        <w:rPr>
          <w:rtl/>
        </w:rPr>
        <w:t xml:space="preserve"> ».</w:t>
      </w:r>
      <w:r w:rsidR="00E3253D" w:rsidRPr="005D642E">
        <w:rPr>
          <w:rtl/>
        </w:rPr>
        <w:t xml:space="preserve"> وراجع : </w:t>
      </w:r>
      <w:r w:rsidR="00E3253D" w:rsidRPr="002F4D34">
        <w:rPr>
          <w:rStyle w:val="libFootnoteBoldChar"/>
          <w:rtl/>
        </w:rPr>
        <w:t>التهذيب</w:t>
      </w:r>
      <w:r w:rsidR="00E3253D" w:rsidRPr="005D642E">
        <w:rPr>
          <w:rtl/>
        </w:rPr>
        <w:t xml:space="preserve"> ، ج 1 ، ص 305 ، ح 887 </w:t>
      </w:r>
      <w:r w:rsidR="00D64F74">
        <w:rPr>
          <w:rFonts w:hint="cs"/>
          <w:rtl/>
        </w:rPr>
        <w:t>.</w:t>
      </w:r>
      <w:r w:rsidR="00E3253D" w:rsidRPr="002F4D34">
        <w:rPr>
          <w:rStyle w:val="libFootnoteBoldChar"/>
          <w:rtl/>
        </w:rPr>
        <w:t>الوافي</w:t>
      </w:r>
      <w:r w:rsidR="00E3253D" w:rsidRPr="005D642E">
        <w:rPr>
          <w:rtl/>
        </w:rPr>
        <w:t xml:space="preserve"> ، ج 24 ، ص 319 ، ح 24111 ؛ </w:t>
      </w:r>
      <w:r w:rsidR="00E3253D" w:rsidRPr="002F4D34">
        <w:rPr>
          <w:rStyle w:val="libFootnoteBoldChar"/>
          <w:rtl/>
        </w:rPr>
        <w:t>الوسائل</w:t>
      </w:r>
      <w:r w:rsidR="00E3253D" w:rsidRPr="005D642E">
        <w:rPr>
          <w:rtl/>
        </w:rPr>
        <w:t xml:space="preserve"> ، ج 2 ، ص 481 ، ح 2698.</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التهذيب : « واجعل</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وَارْفَعْهُ </w:t>
      </w:r>
      <w:r w:rsidRPr="007C12DB">
        <w:rPr>
          <w:rStyle w:val="libFootnotenumChar"/>
          <w:rtl/>
        </w:rPr>
        <w:t>(1)</w:t>
      </w:r>
      <w:r w:rsidRPr="005D642E">
        <w:rPr>
          <w:rtl/>
          <w:lang w:bidi="fa-IR"/>
        </w:rPr>
        <w:t xml:space="preserve"> مِنْ رِجْلَيْهِ إِلى فَوْقِ الرُّكْبَةِ ؛ وَإِنْ لَمْ يَكُنْ عَلَيْهِ قَمِيصٌ ، فَأَلْقِ عَلى عَوْرَتِهِ خِرْقَةً ، وَاعْمِدْ إِلَى السِّدْرِ ، فَصَيِّرْهُ </w:t>
      </w:r>
      <w:r w:rsidRPr="007C12DB">
        <w:rPr>
          <w:rStyle w:val="libFootnotenumChar"/>
          <w:rtl/>
        </w:rPr>
        <w:t>(2)</w:t>
      </w:r>
      <w:r w:rsidRPr="005D642E">
        <w:rPr>
          <w:rtl/>
          <w:lang w:bidi="fa-IR"/>
        </w:rPr>
        <w:t xml:space="preserve"> فِي طَسْتٍ </w:t>
      </w:r>
      <w:r w:rsidRPr="007C12DB">
        <w:rPr>
          <w:rStyle w:val="libFootnotenumChar"/>
          <w:rtl/>
        </w:rPr>
        <w:t>(3)</w:t>
      </w:r>
      <w:r w:rsidRPr="005D642E">
        <w:rPr>
          <w:rtl/>
          <w:lang w:bidi="fa-IR"/>
        </w:rPr>
        <w:t xml:space="preserve"> ، وَصُبَّ عَلَيْهِ الْمَاءَ ، وَاضْرِبْهُ بِيَدِكَ حَتّى تَرْتَفِعَ رَغْوَتُهُ </w:t>
      </w:r>
      <w:r w:rsidRPr="007C12DB">
        <w:rPr>
          <w:rStyle w:val="libFootnotenumChar"/>
          <w:rtl/>
        </w:rPr>
        <w:t>(4)</w:t>
      </w:r>
      <w:r w:rsidRPr="005D642E">
        <w:rPr>
          <w:rtl/>
          <w:lang w:bidi="fa-IR"/>
        </w:rPr>
        <w:t xml:space="preserve"> ، وَاعْزِلِ الرَّغْوَةَ فِي شَيْ‌ءٍ ، وَصُبَّ الْآخَرَ </w:t>
      </w:r>
      <w:r w:rsidRPr="007C12DB">
        <w:rPr>
          <w:rStyle w:val="libFootnotenumChar"/>
          <w:rtl/>
        </w:rPr>
        <w:t>(5)</w:t>
      </w:r>
      <w:r w:rsidRPr="005D642E">
        <w:rPr>
          <w:rtl/>
          <w:lang w:bidi="fa-IR"/>
        </w:rPr>
        <w:t xml:space="preserve"> فِي الْإِجَّانَةِ </w:t>
      </w:r>
      <w:r w:rsidRPr="007C12DB">
        <w:rPr>
          <w:rStyle w:val="libFootnotenumChar"/>
          <w:rtl/>
        </w:rPr>
        <w:t>(6)</w:t>
      </w:r>
      <w:r w:rsidRPr="005D642E">
        <w:rPr>
          <w:rtl/>
          <w:lang w:bidi="fa-IR"/>
        </w:rPr>
        <w:t xml:space="preserve"> الَّتِي فِيهَا الْمَاءُ ، ثُمَّ اغْسِلْ</w:t>
      </w:r>
      <w:r>
        <w:rPr>
          <w:rFonts w:hint="cs"/>
          <w:rtl/>
          <w:lang w:bidi="fa-IR"/>
        </w:rPr>
        <w:t xml:space="preserve"> </w:t>
      </w:r>
      <w:r w:rsidRPr="005D642E">
        <w:rPr>
          <w:rtl/>
          <w:lang w:bidi="fa-IR"/>
        </w:rPr>
        <w:t xml:space="preserve">يَدَيْهِ </w:t>
      </w:r>
      <w:r w:rsidRPr="007C12DB">
        <w:rPr>
          <w:rStyle w:val="libFootnotenumChar"/>
          <w:rtl/>
        </w:rPr>
        <w:t>(7)</w:t>
      </w:r>
      <w:r w:rsidRPr="005D642E">
        <w:rPr>
          <w:rtl/>
          <w:lang w:bidi="fa-IR"/>
        </w:rPr>
        <w:t xml:space="preserve"> ثَلَاثَ مَرَّاتٍ كَمَا يَغْسِلُ </w:t>
      </w:r>
      <w:r w:rsidRPr="007C12DB">
        <w:rPr>
          <w:rStyle w:val="libFootnotenumChar"/>
          <w:rtl/>
        </w:rPr>
        <w:t>(8)</w:t>
      </w:r>
      <w:r w:rsidRPr="005D642E">
        <w:rPr>
          <w:rtl/>
          <w:lang w:bidi="fa-IR"/>
        </w:rPr>
        <w:t xml:space="preserve"> الْإِنْسَانُ مِنَ الْجَنَابَةِ إِلَى نِصْفِ الذِّرَاعِ ، ثُمَّ اغْسِلْ فَرْجَهُ ، وَنَقِّهِ </w:t>
      </w:r>
      <w:r w:rsidRPr="007C12DB">
        <w:rPr>
          <w:rStyle w:val="libFootnotenumChar"/>
          <w:rtl/>
        </w:rPr>
        <w:t>(9)</w:t>
      </w:r>
      <w:r w:rsidRPr="005D642E">
        <w:rPr>
          <w:rtl/>
          <w:lang w:bidi="fa-IR"/>
        </w:rPr>
        <w:t xml:space="preserve"> ، ثُمَّ اغْسِلْ رَأْسَهُ بِالرَّغْوَةِ </w:t>
      </w:r>
      <w:r w:rsidRPr="007C12DB">
        <w:rPr>
          <w:rStyle w:val="libFootnotenumChar"/>
          <w:rtl/>
        </w:rPr>
        <w:t>(10)</w:t>
      </w:r>
      <w:r w:rsidRPr="005D642E">
        <w:rPr>
          <w:rtl/>
          <w:lang w:bidi="fa-IR"/>
        </w:rPr>
        <w:t xml:space="preserve"> ، وَبَالِغْ فِي ذلِكَ ، وَاجْتَهِدْ </w:t>
      </w:r>
      <w:r w:rsidRPr="007C12DB">
        <w:rPr>
          <w:rStyle w:val="libFootnotenumChar"/>
          <w:rtl/>
        </w:rPr>
        <w:t>(11)</w:t>
      </w:r>
      <w:r w:rsidRPr="005D642E">
        <w:rPr>
          <w:rtl/>
          <w:lang w:bidi="fa-IR"/>
        </w:rPr>
        <w:t xml:space="preserve"> أَنْ لَا </w:t>
      </w:r>
      <w:r w:rsidRPr="007C12DB">
        <w:rPr>
          <w:rStyle w:val="libFootnotenumChar"/>
          <w:rtl/>
        </w:rPr>
        <w:t>(12)</w:t>
      </w:r>
      <w:r w:rsidRPr="005D642E">
        <w:rPr>
          <w:rtl/>
          <w:lang w:bidi="fa-IR"/>
        </w:rPr>
        <w:t xml:space="preserve"> يَدْخُلَ الْمَاءُ مَنْخِرَيْهِ وَمَسَامِعَهُ ، ثُمَّ أَضْجِعْهُ عَلى جَانِبِهِ </w:t>
      </w:r>
      <w:r w:rsidRPr="007C12DB">
        <w:rPr>
          <w:rStyle w:val="libFootnotenumChar"/>
          <w:rtl/>
        </w:rPr>
        <w:t>(13)</w:t>
      </w:r>
      <w:r w:rsidRPr="005D642E">
        <w:rPr>
          <w:rtl/>
          <w:lang w:bidi="fa-IR"/>
        </w:rPr>
        <w:t xml:space="preserve"> الْأَيْسَرِ ، وَصُبَّ الْمَاءَ مِنْ نِصْفِ رَأْسِهِ إِلى قَدَمَيْهِ </w:t>
      </w:r>
      <w:r w:rsidRPr="007C12DB">
        <w:rPr>
          <w:rStyle w:val="libFootnotenumChar"/>
          <w:rtl/>
        </w:rPr>
        <w:t>(14)</w:t>
      </w:r>
      <w:r w:rsidRPr="005D642E">
        <w:rPr>
          <w:rtl/>
          <w:lang w:bidi="fa-IR"/>
        </w:rPr>
        <w:t xml:space="preserve"> ثَلَاثَ مَرَّاتٍ ، وَادْلُكْ بَدَنَهُ دَلْكاً رَفِيقاً </w:t>
      </w:r>
      <w:r w:rsidRPr="007C12DB">
        <w:rPr>
          <w:rStyle w:val="libFootnotenumChar"/>
          <w:rtl/>
        </w:rPr>
        <w:t>(15)</w:t>
      </w:r>
      <w:r w:rsidRPr="005D642E">
        <w:rPr>
          <w:rtl/>
          <w:lang w:bidi="fa-IR"/>
        </w:rPr>
        <w:t xml:space="preserve"> ، وَكَذلِكَ ظَهْرَهُ وَبَطْنَهُ </w:t>
      </w:r>
      <w:r w:rsidRPr="007C12DB">
        <w:rPr>
          <w:rStyle w:val="libFootnotenumChar"/>
          <w:rtl/>
        </w:rPr>
        <w:t>(16)</w:t>
      </w:r>
      <w:r w:rsidRPr="005D642E">
        <w:rPr>
          <w:rtl/>
          <w:lang w:bidi="fa-IR"/>
        </w:rPr>
        <w:t xml:space="preserve"> ، ثُمَّ أَضْجِعْهُ عَلى جَانِبِهِ الْأَيْمَنِ ، وَافْعَلْ </w:t>
      </w:r>
      <w:r w:rsidRPr="007C12DB">
        <w:rPr>
          <w:rStyle w:val="libFootnotenumChar"/>
          <w:rtl/>
        </w:rPr>
        <w:t>(17)</w:t>
      </w:r>
      <w:r w:rsidRPr="005D642E">
        <w:rPr>
          <w:rtl/>
          <w:lang w:bidi="fa-IR"/>
        </w:rPr>
        <w:t xml:space="preserve"> بِهِ مِثْلَ ذلِكَ ، ثُمَّ صُبَّ ذلِكَ الْمَاءَ مِنَ الْإِجَّانَةِ ، وَاغْسِلِ الْإِجَّانَةَ بِمَاءٍ قَرَاحٍ </w:t>
      </w:r>
      <w:r w:rsidRPr="007C12DB">
        <w:rPr>
          <w:rStyle w:val="libFootnotenumChar"/>
          <w:rtl/>
        </w:rPr>
        <w:t>(18)</w:t>
      </w:r>
      <w:r w:rsidRPr="005D642E">
        <w:rPr>
          <w:rtl/>
          <w:lang w:bidi="fa-IR"/>
        </w:rPr>
        <w:t xml:space="preserve"> ، وَاغْسِلْ يَدَيْكَ </w:t>
      </w:r>
      <w:r w:rsidRPr="007C12DB">
        <w:rPr>
          <w:rStyle w:val="libFootnotenumChar"/>
          <w:rtl/>
        </w:rPr>
        <w:t>(19)</w:t>
      </w:r>
      <w:r w:rsidRPr="005D642E">
        <w:rPr>
          <w:rtl/>
          <w:lang w:bidi="fa-IR"/>
        </w:rPr>
        <w:t xml:space="preserve"> إِلَى الْمِرْفَقَيْنِ ، ثُمَّ صُبَّ الْمَاءَ فِي الْآنِيَةِ ، وَأَلْقِ فِيهِ حَبَّاتِ‌</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 « فارفعه</w:t>
      </w:r>
      <w:r w:rsidR="00E3253D">
        <w:rPr>
          <w:rtl/>
        </w:rPr>
        <w:t xml:space="preserve"> ».</w:t>
      </w:r>
      <w:r w:rsidR="00E3253D" w:rsidRPr="005D642E">
        <w:rPr>
          <w:rtl/>
        </w:rPr>
        <w:t xml:space="preserve"> وفي الوافي : « وارفع</w:t>
      </w:r>
      <w:r w:rsidR="00E3253D">
        <w:rPr>
          <w:rtl/>
        </w:rPr>
        <w:t xml:space="preserve"> ».</w:t>
      </w:r>
      <w:r w:rsidR="00E3253D" w:rsidRPr="005D642E">
        <w:rPr>
          <w:rtl/>
        </w:rPr>
        <w:t xml:space="preserve"> وفي التهذيب : « وارفعهما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جن » : « واجعله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ى ، بث ، بح ، بخ ، بس ، جح ، جن » والوسائل : « طشت</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الرَغْوَة : الزَبَد ، وهو ما يعلو الماء ونحوه. راجع : </w:t>
      </w:r>
      <w:r w:rsidR="00E3253D" w:rsidRPr="002F4D34">
        <w:rPr>
          <w:rStyle w:val="libFootnoteBoldChar"/>
          <w:rtl/>
        </w:rPr>
        <w:t>لسان العرب</w:t>
      </w:r>
      <w:r w:rsidR="00E3253D" w:rsidRPr="005D642E">
        <w:rPr>
          <w:rtl/>
        </w:rPr>
        <w:t xml:space="preserve"> ، ج 14 ، ص 330 ( رغا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 « فصبّ الآخر</w:t>
      </w:r>
      <w:r w:rsidR="00E3253D">
        <w:rPr>
          <w:rtl/>
        </w:rPr>
        <w:t xml:space="preserve"> ».</w:t>
      </w:r>
      <w:r w:rsidR="00E3253D" w:rsidRPr="005D642E">
        <w:rPr>
          <w:rtl/>
        </w:rPr>
        <w:t xml:space="preserve"> وفي « بخ » : « وصبّ الا</w:t>
      </w:r>
      <w:r w:rsidR="008F7573">
        <w:rPr>
          <w:rFonts w:hint="cs"/>
          <w:rtl/>
        </w:rPr>
        <w:t>ُ</w:t>
      </w:r>
      <w:r w:rsidR="00E3253D" w:rsidRPr="005D642E">
        <w:rPr>
          <w:rtl/>
        </w:rPr>
        <w:t>خرى</w:t>
      </w:r>
      <w:r w:rsidR="00E3253D">
        <w:rPr>
          <w:rtl/>
        </w:rPr>
        <w:t xml:space="preserve"> ».</w:t>
      </w:r>
      <w:r w:rsidR="00E3253D" w:rsidRPr="005D642E">
        <w:rPr>
          <w:rtl/>
        </w:rPr>
        <w:t xml:space="preserve"> وفي الوافي : « وصبّ الآخر</w:t>
      </w:r>
      <w:r w:rsidR="00E3253D">
        <w:rPr>
          <w:rtl/>
        </w:rPr>
        <w:t xml:space="preserve"> ..</w:t>
      </w:r>
      <w:r w:rsidR="00E3253D" w:rsidRPr="005D642E">
        <w:rPr>
          <w:rtl/>
        </w:rPr>
        <w:t>. ، أي صبّ ما بقي في الطست بعد عزل الرغوة</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الإجّانة » : المِرْكَن ، وهو إناء يغسل فيه الثياب. راجع : </w:t>
      </w:r>
      <w:r w:rsidR="00E3253D" w:rsidRPr="002F4D34">
        <w:rPr>
          <w:rStyle w:val="libFootnoteBoldChar"/>
          <w:rtl/>
        </w:rPr>
        <w:t>لسان العرب</w:t>
      </w:r>
      <w:r w:rsidR="00E3253D" w:rsidRPr="005D642E">
        <w:rPr>
          <w:rtl/>
        </w:rPr>
        <w:t xml:space="preserve"> ، ج 13 ، ص 8 ( أجن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جن » : « يده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w:t>
      </w:r>
      <w:r w:rsidR="00B60612" w:rsidRPr="00B60612">
        <w:rPr>
          <w:rStyle w:val="libFootnoteBoldChar"/>
          <w:rtl/>
        </w:rPr>
        <w:t>والتهذيب</w:t>
      </w:r>
      <w:r w:rsidR="00E3253D" w:rsidRPr="005D642E">
        <w:rPr>
          <w:rtl/>
        </w:rPr>
        <w:t xml:space="preserve"> : « يغتسل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F7573" w:rsidTr="008F7573">
        <w:tc>
          <w:tcPr>
            <w:tcW w:w="4006" w:type="dxa"/>
          </w:tcPr>
          <w:p w:rsidR="008F7573" w:rsidRDefault="008F7573" w:rsidP="00E3253D">
            <w:pPr>
              <w:pStyle w:val="libFootnote0"/>
              <w:rPr>
                <w:rStyle w:val="libFootnote0Char"/>
                <w:rtl/>
              </w:rPr>
            </w:pPr>
            <w:r w:rsidRPr="0042621E">
              <w:rPr>
                <w:rStyle w:val="libFootnote0Char"/>
                <w:rtl/>
              </w:rPr>
              <w:t>(9).</w:t>
            </w:r>
            <w:r w:rsidRPr="005D642E">
              <w:rPr>
                <w:rtl/>
              </w:rPr>
              <w:t xml:space="preserve"> في التهذيب : « وأنقه</w:t>
            </w:r>
            <w:r>
              <w:rPr>
                <w:rtl/>
              </w:rPr>
              <w:t xml:space="preserve"> ».</w:t>
            </w:r>
          </w:p>
        </w:tc>
        <w:tc>
          <w:tcPr>
            <w:tcW w:w="4006" w:type="dxa"/>
          </w:tcPr>
          <w:p w:rsidR="008F7573" w:rsidRDefault="008F7573" w:rsidP="00E3253D">
            <w:pPr>
              <w:pStyle w:val="libFootnote0"/>
              <w:rPr>
                <w:rStyle w:val="libFootnote0Char"/>
                <w:rtl/>
              </w:rPr>
            </w:pPr>
            <w:r w:rsidRPr="0042621E">
              <w:rPr>
                <w:rStyle w:val="libFootnote0Char"/>
                <w:rtl/>
              </w:rPr>
              <w:t>(10).</w:t>
            </w:r>
            <w:r w:rsidRPr="005D642E">
              <w:rPr>
                <w:rtl/>
              </w:rPr>
              <w:t xml:space="preserve"> في « جن » : « في الرغوة</w:t>
            </w:r>
            <w:r>
              <w:rPr>
                <w:rtl/>
              </w:rPr>
              <w:t xml:space="preserve"> ».</w:t>
            </w:r>
          </w:p>
        </w:tc>
      </w:tr>
      <w:tr w:rsidR="008F7573" w:rsidTr="008F7573">
        <w:tc>
          <w:tcPr>
            <w:tcW w:w="4006" w:type="dxa"/>
          </w:tcPr>
          <w:p w:rsidR="008F7573" w:rsidRDefault="008F7573" w:rsidP="00E3253D">
            <w:pPr>
              <w:pStyle w:val="libFootnote0"/>
              <w:rPr>
                <w:rStyle w:val="libFootnote0Char"/>
                <w:rtl/>
              </w:rPr>
            </w:pPr>
            <w:r w:rsidRPr="0042621E">
              <w:rPr>
                <w:rStyle w:val="libFootnote0Char"/>
                <w:rtl/>
              </w:rPr>
              <w:t>(11).</w:t>
            </w:r>
            <w:r w:rsidRPr="005D642E">
              <w:rPr>
                <w:rtl/>
              </w:rPr>
              <w:t xml:space="preserve"> في « بخ » </w:t>
            </w:r>
            <w:r w:rsidRPr="000D749A">
              <w:rPr>
                <w:rStyle w:val="libFootnoteBoldChar"/>
                <w:rtl/>
              </w:rPr>
              <w:t>والوافي</w:t>
            </w:r>
            <w:r w:rsidRPr="005D642E">
              <w:rPr>
                <w:rtl/>
              </w:rPr>
              <w:t xml:space="preserve"> : « واجهد</w:t>
            </w:r>
            <w:r>
              <w:rPr>
                <w:rtl/>
              </w:rPr>
              <w:t xml:space="preserve"> ».</w:t>
            </w:r>
          </w:p>
        </w:tc>
        <w:tc>
          <w:tcPr>
            <w:tcW w:w="4006" w:type="dxa"/>
          </w:tcPr>
          <w:p w:rsidR="008F7573" w:rsidRDefault="008F7573" w:rsidP="00E3253D">
            <w:pPr>
              <w:pStyle w:val="libFootnote0"/>
              <w:rPr>
                <w:rStyle w:val="libFootnote0Char"/>
                <w:rtl/>
              </w:rPr>
            </w:pPr>
            <w:r w:rsidRPr="0042621E">
              <w:rPr>
                <w:rStyle w:val="libFootnote0Char"/>
                <w:rtl/>
              </w:rPr>
              <w:t>(12).</w:t>
            </w:r>
            <w:r w:rsidRPr="005D642E">
              <w:rPr>
                <w:rtl/>
              </w:rPr>
              <w:t xml:space="preserve"> في التهذيب : « ألا</w:t>
            </w:r>
            <w:r>
              <w:rPr>
                <w:rtl/>
              </w:rPr>
              <w:t xml:space="preserve"> ».</w:t>
            </w:r>
          </w:p>
        </w:tc>
      </w:tr>
    </w:tbl>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في حاشية « ظ ، بث ، بس » : « جنبه</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 xml:space="preserve">في « غ ، بخ ، بس ، جس ، جن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قدمه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F7573" w:rsidTr="008F7573">
        <w:tc>
          <w:tcPr>
            <w:tcW w:w="4006" w:type="dxa"/>
          </w:tcPr>
          <w:p w:rsidR="008F7573" w:rsidRDefault="008F7573" w:rsidP="00E3253D">
            <w:pPr>
              <w:pStyle w:val="libFootnote0"/>
              <w:rPr>
                <w:rStyle w:val="libFootnote0Char"/>
                <w:rtl/>
              </w:rPr>
            </w:pPr>
            <w:r w:rsidRPr="0042621E">
              <w:rPr>
                <w:rStyle w:val="libFootnote0Char"/>
                <w:rtl/>
              </w:rPr>
              <w:t>(15).</w:t>
            </w:r>
            <w:r>
              <w:rPr>
                <w:rtl/>
              </w:rPr>
              <w:t xml:space="preserve"> </w:t>
            </w:r>
            <w:r w:rsidRPr="005D642E">
              <w:rPr>
                <w:rtl/>
              </w:rPr>
              <w:t>في « بح ، جن » : « رقيقاً</w:t>
            </w:r>
            <w:r>
              <w:rPr>
                <w:rtl/>
              </w:rPr>
              <w:t xml:space="preserve"> ».</w:t>
            </w:r>
          </w:p>
        </w:tc>
        <w:tc>
          <w:tcPr>
            <w:tcW w:w="4006" w:type="dxa"/>
          </w:tcPr>
          <w:p w:rsidR="008F7573" w:rsidRDefault="008F7573" w:rsidP="00E3253D">
            <w:pPr>
              <w:pStyle w:val="libFootnote0"/>
              <w:rPr>
                <w:rStyle w:val="libFootnote0Char"/>
                <w:rtl/>
              </w:rPr>
            </w:pPr>
            <w:r w:rsidRPr="005D642E">
              <w:rPr>
                <w:rtl/>
              </w:rPr>
              <w:t>(1</w:t>
            </w:r>
            <w:r>
              <w:rPr>
                <w:rtl/>
              </w:rPr>
              <w:t>6)</w:t>
            </w:r>
            <w:r w:rsidRPr="005D642E">
              <w:rPr>
                <w:rtl/>
              </w:rPr>
              <w:t xml:space="preserve"> في « غ » : « بطنه وظهره</w:t>
            </w:r>
            <w:r>
              <w:rPr>
                <w:rtl/>
              </w:rPr>
              <w:t xml:space="preserve"> ».</w:t>
            </w:r>
          </w:p>
        </w:tc>
      </w:tr>
    </w:tbl>
    <w:p w:rsidR="00E3253D" w:rsidRPr="005D642E" w:rsidRDefault="00E3253D" w:rsidP="00E3253D">
      <w:pPr>
        <w:pStyle w:val="libFootnote0"/>
        <w:rPr>
          <w:rtl/>
          <w:lang w:bidi="fa-IR"/>
        </w:rPr>
      </w:pPr>
      <w:r w:rsidRPr="005D642E">
        <w:rPr>
          <w:rtl/>
        </w:rPr>
        <w:t>(1</w:t>
      </w:r>
      <w:r>
        <w:rPr>
          <w:rtl/>
        </w:rPr>
        <w:t>7)</w:t>
      </w:r>
      <w:r w:rsidRPr="005D642E">
        <w:rPr>
          <w:rtl/>
        </w:rPr>
        <w:t xml:space="preserve"> في التهذيب : « فافعل</w:t>
      </w:r>
      <w:r>
        <w:rPr>
          <w:rtl/>
        </w:rPr>
        <w:t xml:space="preserve"> ».</w:t>
      </w:r>
    </w:p>
    <w:p w:rsidR="00E3253D" w:rsidRPr="005D642E" w:rsidRDefault="00E3253D" w:rsidP="00E3253D">
      <w:pPr>
        <w:pStyle w:val="libFootnote0"/>
        <w:rPr>
          <w:rtl/>
          <w:lang w:bidi="fa-IR"/>
        </w:rPr>
      </w:pPr>
      <w:r w:rsidRPr="005D642E">
        <w:rPr>
          <w:rtl/>
        </w:rPr>
        <w:t>(1</w:t>
      </w:r>
      <w:r>
        <w:rPr>
          <w:rtl/>
        </w:rPr>
        <w:t>8)</w:t>
      </w:r>
      <w:r w:rsidRPr="005D642E">
        <w:rPr>
          <w:rtl/>
        </w:rPr>
        <w:t xml:space="preserve"> الماء القراح : الذي لايشوبه شي‌ء. </w:t>
      </w:r>
      <w:r w:rsidRPr="002F4D34">
        <w:rPr>
          <w:rStyle w:val="libFootnoteBoldChar"/>
          <w:rtl/>
        </w:rPr>
        <w:t>الصحاح</w:t>
      </w:r>
      <w:r w:rsidRPr="005D642E">
        <w:rPr>
          <w:rtl/>
        </w:rPr>
        <w:t xml:space="preserve"> ، ج 1 ، ص 396 ( قرح )</w:t>
      </w:r>
      <w:r>
        <w:rPr>
          <w:rtl/>
        </w:rPr>
        <w:t>.</w:t>
      </w:r>
      <w:r w:rsidRPr="005D642E">
        <w:rPr>
          <w:rtl/>
        </w:rPr>
        <w:t xml:space="preserve"> وللمزيد راجع : ذيل ح 2 من هذا الباب.</w:t>
      </w:r>
    </w:p>
    <w:p w:rsidR="00E3253D" w:rsidRPr="005D642E" w:rsidRDefault="00E3253D" w:rsidP="00E3253D">
      <w:pPr>
        <w:pStyle w:val="libFootnote0"/>
        <w:rPr>
          <w:rtl/>
          <w:lang w:bidi="fa-IR"/>
        </w:rPr>
      </w:pPr>
      <w:r w:rsidRPr="005D642E">
        <w:rPr>
          <w:rtl/>
        </w:rPr>
        <w:t>(1</w:t>
      </w:r>
      <w:r>
        <w:rPr>
          <w:rtl/>
        </w:rPr>
        <w:t>9)</w:t>
      </w:r>
      <w:r w:rsidRPr="005D642E">
        <w:rPr>
          <w:rtl/>
        </w:rPr>
        <w:t xml:space="preserve"> في حاشية « بث » : « يدك</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كَافُورٍ ، وَافْعَلْ بِهِ كَمَا فَعَلْتَ فِي الْمَرَّةِ الْأُولى ابْدَأْ بِيَدَيْهِ ، ثُمَّ بِفَرْجِهِ ، وَامْسَحْ بَطْنَهُ مَسْحاً رَفِيقاً </w:t>
      </w:r>
      <w:r w:rsidRPr="007C12DB">
        <w:rPr>
          <w:rStyle w:val="libFootnotenumChar"/>
          <w:rtl/>
        </w:rPr>
        <w:t>(1)</w:t>
      </w:r>
      <w:r w:rsidRPr="005D642E">
        <w:rPr>
          <w:rtl/>
          <w:lang w:bidi="fa-IR"/>
        </w:rPr>
        <w:t xml:space="preserve"> ، فَإِنْ خَرَجَ </w:t>
      </w:r>
      <w:r w:rsidRPr="007C12DB">
        <w:rPr>
          <w:rStyle w:val="libFootnotenumChar"/>
          <w:rtl/>
        </w:rPr>
        <w:t>(2)</w:t>
      </w:r>
      <w:r w:rsidRPr="005D642E">
        <w:rPr>
          <w:rtl/>
          <w:lang w:bidi="fa-IR"/>
        </w:rPr>
        <w:t xml:space="preserve"> شَيْ‌ءٌ ، فَأَنْقِهِ ، ثُمَّ اغْسِلْ رَأْسَهُ ، ثُمَّ أَضْجِعْهُ عَلى </w:t>
      </w:r>
      <w:r w:rsidRPr="007C12DB">
        <w:rPr>
          <w:rStyle w:val="libFootnotenumChar"/>
          <w:rtl/>
        </w:rPr>
        <w:t>(3)</w:t>
      </w:r>
      <w:r w:rsidRPr="005D642E">
        <w:rPr>
          <w:rtl/>
          <w:lang w:bidi="fa-IR"/>
        </w:rPr>
        <w:t xml:space="preserve"> جَنْبِهِ الْأَيْسَرِ ، وَاغْسِلْ جَنْبَهُ </w:t>
      </w:r>
      <w:r w:rsidRPr="007C12DB">
        <w:rPr>
          <w:rStyle w:val="libFootnotenumChar"/>
          <w:rtl/>
        </w:rPr>
        <w:t>(4)</w:t>
      </w:r>
      <w:r w:rsidRPr="005D642E">
        <w:rPr>
          <w:rtl/>
          <w:lang w:bidi="fa-IR"/>
        </w:rPr>
        <w:t xml:space="preserve"> الْأَيْمَنَ وَظَهْرَهُ وَبَطْنَهُ ، ثُمَّ أَضْجِعْهُ عَلى جَنْبِهِ </w:t>
      </w:r>
      <w:r w:rsidRPr="007C12DB">
        <w:rPr>
          <w:rStyle w:val="libFootnotenumChar"/>
          <w:rtl/>
        </w:rPr>
        <w:t>(5)</w:t>
      </w:r>
      <w:r w:rsidRPr="005D642E">
        <w:rPr>
          <w:rtl/>
          <w:lang w:bidi="fa-IR"/>
        </w:rPr>
        <w:t xml:space="preserve"> الْأَيْمَنِ ، وَاغْسِلْ </w:t>
      </w:r>
      <w:r w:rsidRPr="007C12DB">
        <w:rPr>
          <w:rStyle w:val="libFootnotenumChar"/>
          <w:rtl/>
        </w:rPr>
        <w:t>(6)</w:t>
      </w:r>
      <w:r w:rsidRPr="005D642E">
        <w:rPr>
          <w:rtl/>
          <w:lang w:bidi="fa-IR"/>
        </w:rPr>
        <w:t xml:space="preserve"> جَنْبَهُ الْأَيْسَرَ </w:t>
      </w:r>
      <w:r w:rsidRPr="007C12DB">
        <w:rPr>
          <w:rStyle w:val="libFootnotenumChar"/>
          <w:rtl/>
        </w:rPr>
        <w:t>(7)</w:t>
      </w:r>
      <w:r w:rsidRPr="005D642E">
        <w:rPr>
          <w:rtl/>
          <w:lang w:bidi="fa-IR"/>
        </w:rPr>
        <w:t xml:space="preserve"> كَمَا فَعَلْتَ أَوَّلَ مَرَّةٍ ، ثُمَّ اغْسِلْ يَدَيْكَ </w:t>
      </w:r>
      <w:r w:rsidRPr="007C12DB">
        <w:rPr>
          <w:rStyle w:val="libFootnotenumChar"/>
          <w:rtl/>
        </w:rPr>
        <w:t>(8)</w:t>
      </w:r>
      <w:r w:rsidRPr="005D642E">
        <w:rPr>
          <w:rtl/>
          <w:lang w:bidi="fa-IR"/>
        </w:rPr>
        <w:t xml:space="preserve"> إِلَى الْمِرْفَقَيْنِ وَالْآنِيَةَ ، وَصُبَّ فِيهَا </w:t>
      </w:r>
      <w:r w:rsidRPr="007C12DB">
        <w:rPr>
          <w:rStyle w:val="libFootnotenumChar"/>
          <w:rtl/>
        </w:rPr>
        <w:t>(9)</w:t>
      </w:r>
      <w:r w:rsidRPr="005D642E">
        <w:rPr>
          <w:rtl/>
          <w:lang w:bidi="fa-IR"/>
        </w:rPr>
        <w:t xml:space="preserve"> الْمَاءَ </w:t>
      </w:r>
      <w:r w:rsidRPr="007C12DB">
        <w:rPr>
          <w:rStyle w:val="libFootnotenumChar"/>
          <w:rtl/>
        </w:rPr>
        <w:t>(10)</w:t>
      </w:r>
      <w:r w:rsidRPr="005D642E">
        <w:rPr>
          <w:rtl/>
          <w:lang w:bidi="fa-IR"/>
        </w:rPr>
        <w:t xml:space="preserve"> الْقَرَاحَ ، وَاغْسِلْهُ </w:t>
      </w:r>
      <w:r w:rsidRPr="007C12DB">
        <w:rPr>
          <w:rStyle w:val="libFootnotenumChar"/>
          <w:rtl/>
        </w:rPr>
        <w:t>(11)</w:t>
      </w:r>
      <w:r w:rsidRPr="005D642E">
        <w:rPr>
          <w:rtl/>
          <w:lang w:bidi="fa-IR"/>
        </w:rPr>
        <w:t xml:space="preserve"> بِمَاءٍ </w:t>
      </w:r>
      <w:r w:rsidRPr="007C12DB">
        <w:rPr>
          <w:rStyle w:val="libFootnotenumChar"/>
          <w:rtl/>
        </w:rPr>
        <w:t>(12)</w:t>
      </w:r>
      <w:r w:rsidRPr="005D642E">
        <w:rPr>
          <w:rtl/>
          <w:lang w:bidi="fa-IR"/>
        </w:rPr>
        <w:t xml:space="preserve"> قَرَاحٍ </w:t>
      </w:r>
      <w:r w:rsidRPr="007C12DB">
        <w:rPr>
          <w:rStyle w:val="libFootnotenumChar"/>
          <w:rtl/>
        </w:rPr>
        <w:t>(13)</w:t>
      </w:r>
      <w:r w:rsidRPr="005D642E">
        <w:rPr>
          <w:rtl/>
          <w:lang w:bidi="fa-IR"/>
        </w:rPr>
        <w:t xml:space="preserve"> كَمَا غَسَلْتَهُ </w:t>
      </w:r>
      <w:r w:rsidRPr="007C12DB">
        <w:rPr>
          <w:rStyle w:val="libFootnotenumChar"/>
          <w:rtl/>
        </w:rPr>
        <w:t>(14)</w:t>
      </w:r>
      <w:r w:rsidRPr="005D642E">
        <w:rPr>
          <w:rtl/>
          <w:lang w:bidi="fa-IR"/>
        </w:rPr>
        <w:t xml:space="preserve"> فِي الْمَرَّتَيْنِ الْأَوَّلَتَيْنِ </w:t>
      </w:r>
      <w:r w:rsidRPr="007C12DB">
        <w:rPr>
          <w:rStyle w:val="libFootnotenumChar"/>
          <w:rtl/>
        </w:rPr>
        <w:t>(15)</w:t>
      </w:r>
      <w:r w:rsidRPr="005D642E">
        <w:rPr>
          <w:rtl/>
          <w:lang w:bidi="fa-IR"/>
        </w:rPr>
        <w:t xml:space="preserve"> ، ثُمَّ نَشِّفْهُ </w:t>
      </w:r>
      <w:r w:rsidRPr="007C12DB">
        <w:rPr>
          <w:rStyle w:val="libFootnotenumChar"/>
          <w:rtl/>
        </w:rPr>
        <w:t>(16)</w:t>
      </w:r>
      <w:r w:rsidRPr="005D642E">
        <w:rPr>
          <w:rtl/>
          <w:lang w:bidi="fa-IR"/>
        </w:rPr>
        <w:t xml:space="preserve"> بِثَوْبٍ طَاهِرٍ ، وَاعْمِدْ إِلى قُطْنٍ ، فَذُرَّ </w:t>
      </w:r>
      <w:r w:rsidRPr="007C12DB">
        <w:rPr>
          <w:rStyle w:val="libFootnotenumChar"/>
          <w:rtl/>
        </w:rPr>
        <w:t>(17)</w:t>
      </w:r>
      <w:r w:rsidRPr="005D642E">
        <w:rPr>
          <w:rtl/>
          <w:lang w:bidi="fa-IR"/>
        </w:rPr>
        <w:t xml:space="preserve"> عَلَيْهِ شَيْئاً مِنْ حَنُوطٍ ، وَضَعْهُ عَلى فَرْجِهِ قُبُلٍ وَدُبُرٍ ، وَاحْشُ </w:t>
      </w:r>
      <w:r w:rsidRPr="007C12DB">
        <w:rPr>
          <w:rStyle w:val="libFootnotenumChar"/>
          <w:rtl/>
        </w:rPr>
        <w:t>(18)</w:t>
      </w:r>
      <w:r w:rsidR="008F7573">
        <w:rPr>
          <w:rtl/>
          <w:lang w:bidi="fa-IR"/>
        </w:rPr>
        <w:t xml:space="preserve"> الْقُطْنَ فِي دُبُرِهِ لِئَل</w:t>
      </w:r>
      <w:r w:rsidR="008F7573">
        <w:rPr>
          <w:rFonts w:hint="cs"/>
          <w:rtl/>
          <w:lang w:bidi="fa-IR"/>
        </w:rPr>
        <w:t>َّ</w:t>
      </w:r>
      <w:r w:rsidR="008F7573">
        <w:rPr>
          <w:rtl/>
          <w:lang w:bidi="fa-IR"/>
        </w:rPr>
        <w:t>ا</w:t>
      </w:r>
      <w:r w:rsidRPr="005D642E">
        <w:rPr>
          <w:rtl/>
          <w:lang w:bidi="fa-IR"/>
        </w:rPr>
        <w:t xml:space="preserve"> يَخْرُجَ </w:t>
      </w:r>
      <w:r w:rsidRPr="007C12DB">
        <w:rPr>
          <w:rStyle w:val="libFootnotenumChar"/>
          <w:rtl/>
        </w:rPr>
        <w:t>(19)</w:t>
      </w:r>
      <w:r w:rsidRPr="005D642E">
        <w:rPr>
          <w:rtl/>
          <w:lang w:bidi="fa-IR"/>
        </w:rPr>
        <w:t xml:space="preserve"> مِنْهُ شَيْ‌ءٌ ، وَخُذْ خِرْقَةً طَوِيلَةً عَرْضُهَا شِبْرٌ ، فَشُدَّهَا </w:t>
      </w:r>
      <w:r w:rsidRPr="007C12DB">
        <w:rPr>
          <w:rStyle w:val="libFootnotenumChar"/>
          <w:rtl/>
        </w:rPr>
        <w:t>(20)</w:t>
      </w:r>
      <w:r w:rsidRPr="005D642E">
        <w:rPr>
          <w:rtl/>
          <w:lang w:bidi="fa-IR"/>
        </w:rPr>
        <w:t xml:space="preserve"> مِنْ‌</w:t>
      </w:r>
      <w:r w:rsidR="008F7573">
        <w:rPr>
          <w:rFonts w:hint="cs"/>
          <w:rtl/>
          <w:lang w:bidi="fa-IR"/>
        </w:rPr>
        <w:t xml:space="preserve"> .............</w:t>
      </w:r>
      <w:r w:rsidR="008F7573">
        <w:rPr>
          <w:rFonts w:hint="cs"/>
          <w:rtl/>
          <w:lang w:bidi="fa-IR"/>
        </w:rPr>
        <w:tab/>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F7573" w:rsidTr="008F7573">
        <w:tc>
          <w:tcPr>
            <w:tcW w:w="4006" w:type="dxa"/>
          </w:tcPr>
          <w:p w:rsidR="008F7573" w:rsidRDefault="008F7573" w:rsidP="00E3253D">
            <w:pPr>
              <w:pStyle w:val="libFootnote0"/>
              <w:rPr>
                <w:rStyle w:val="libFootnote0Char"/>
                <w:rtl/>
              </w:rPr>
            </w:pPr>
            <w:r w:rsidRPr="0042621E">
              <w:rPr>
                <w:rStyle w:val="libFootnote0Char"/>
                <w:rtl/>
              </w:rPr>
              <w:t>(1).</w:t>
            </w:r>
            <w:r>
              <w:rPr>
                <w:rtl/>
              </w:rPr>
              <w:t xml:space="preserve"> </w:t>
            </w:r>
            <w:r w:rsidRPr="005D642E">
              <w:rPr>
                <w:rtl/>
              </w:rPr>
              <w:t>في « بح ، بف ، جن » : « رقيقاً</w:t>
            </w:r>
            <w:r>
              <w:rPr>
                <w:rtl/>
              </w:rPr>
              <w:t xml:space="preserve"> ».</w:t>
            </w:r>
          </w:p>
        </w:tc>
        <w:tc>
          <w:tcPr>
            <w:tcW w:w="4006" w:type="dxa"/>
          </w:tcPr>
          <w:p w:rsidR="008F7573" w:rsidRDefault="008F7573" w:rsidP="00E3253D">
            <w:pPr>
              <w:pStyle w:val="libFootnote0"/>
              <w:rPr>
                <w:rStyle w:val="libFootnote0Char"/>
                <w:rtl/>
              </w:rPr>
            </w:pPr>
            <w:r w:rsidRPr="0042621E">
              <w:rPr>
                <w:rStyle w:val="libFootnote0Char"/>
                <w:rtl/>
              </w:rPr>
              <w:t>(2).</w:t>
            </w:r>
            <w:r w:rsidRPr="005D642E">
              <w:rPr>
                <w:rtl/>
              </w:rPr>
              <w:t xml:space="preserve"> في الوسائل : + « منه</w:t>
            </w:r>
            <w:r>
              <w:rPr>
                <w:rtl/>
              </w:rPr>
              <w:t xml:space="preserve"> ».</w:t>
            </w:r>
          </w:p>
        </w:tc>
      </w:tr>
      <w:tr w:rsidR="008F7573" w:rsidTr="008F7573">
        <w:tc>
          <w:tcPr>
            <w:tcW w:w="4006" w:type="dxa"/>
          </w:tcPr>
          <w:p w:rsidR="008F7573" w:rsidRDefault="008F7573" w:rsidP="00E3253D">
            <w:pPr>
              <w:pStyle w:val="libFootnote0"/>
              <w:rPr>
                <w:rStyle w:val="libFootnote0Char"/>
                <w:rtl/>
              </w:rPr>
            </w:pPr>
            <w:r w:rsidRPr="0042621E">
              <w:rPr>
                <w:rStyle w:val="libFootnote0Char"/>
                <w:rtl/>
              </w:rPr>
              <w:t>(3).</w:t>
            </w:r>
            <w:r w:rsidRPr="005D642E">
              <w:rPr>
                <w:rtl/>
              </w:rPr>
              <w:t xml:space="preserve"> في حاشية « بث » : « إلى</w:t>
            </w:r>
            <w:r>
              <w:rPr>
                <w:rtl/>
              </w:rPr>
              <w:t xml:space="preserve"> ».</w:t>
            </w:r>
          </w:p>
        </w:tc>
        <w:tc>
          <w:tcPr>
            <w:tcW w:w="4006" w:type="dxa"/>
          </w:tcPr>
          <w:p w:rsidR="008F7573" w:rsidRDefault="008F7573" w:rsidP="00E3253D">
            <w:pPr>
              <w:pStyle w:val="libFootnote0"/>
              <w:rPr>
                <w:rStyle w:val="libFootnote0Char"/>
                <w:rtl/>
              </w:rPr>
            </w:pPr>
            <w:r w:rsidRPr="0042621E">
              <w:rPr>
                <w:rStyle w:val="libFootnote0Char"/>
                <w:rtl/>
              </w:rPr>
              <w:t>(4).</w:t>
            </w:r>
            <w:r>
              <w:rPr>
                <w:rtl/>
              </w:rPr>
              <w:t xml:space="preserve"> في «غ ، بث ، جح» وحاشية «بخ»:</w:t>
            </w:r>
            <w:r w:rsidRPr="005D642E">
              <w:rPr>
                <w:rtl/>
              </w:rPr>
              <w:t>« جانبه</w:t>
            </w:r>
            <w:r>
              <w:rPr>
                <w:rtl/>
              </w:rPr>
              <w:t xml:space="preserve"> ».</w:t>
            </w:r>
          </w:p>
        </w:tc>
      </w:tr>
      <w:tr w:rsidR="008F7573" w:rsidTr="008F7573">
        <w:tc>
          <w:tcPr>
            <w:tcW w:w="4006" w:type="dxa"/>
          </w:tcPr>
          <w:p w:rsidR="008F7573" w:rsidRDefault="008F7573" w:rsidP="00E3253D">
            <w:pPr>
              <w:pStyle w:val="libFootnote0"/>
              <w:rPr>
                <w:rStyle w:val="libFootnote0Char"/>
                <w:rtl/>
              </w:rPr>
            </w:pPr>
            <w:r w:rsidRPr="0042621E">
              <w:rPr>
                <w:rStyle w:val="libFootnote0Char"/>
                <w:rtl/>
              </w:rPr>
              <w:t>(5).</w:t>
            </w:r>
            <w:r w:rsidRPr="005D642E">
              <w:rPr>
                <w:rtl/>
              </w:rPr>
              <w:t xml:space="preserve"> في « جن » : « جانبه</w:t>
            </w:r>
            <w:r>
              <w:rPr>
                <w:rtl/>
              </w:rPr>
              <w:t xml:space="preserve"> ».</w:t>
            </w:r>
          </w:p>
        </w:tc>
        <w:tc>
          <w:tcPr>
            <w:tcW w:w="4006" w:type="dxa"/>
          </w:tcPr>
          <w:p w:rsidR="008F7573" w:rsidRDefault="008F7573" w:rsidP="00E3253D">
            <w:pPr>
              <w:pStyle w:val="libFootnote0"/>
              <w:rPr>
                <w:rStyle w:val="libFootnote0Char"/>
                <w:rtl/>
              </w:rPr>
            </w:pPr>
            <w:r w:rsidRPr="0042621E">
              <w:rPr>
                <w:rStyle w:val="libFootnote0Char"/>
                <w:rtl/>
              </w:rPr>
              <w:t>(6).</w:t>
            </w:r>
            <w:r w:rsidRPr="005D642E">
              <w:rPr>
                <w:rtl/>
              </w:rPr>
              <w:t xml:space="preserve"> في « بح » : « واغسله</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واغسل جنبه الأيمن</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واغسل جنبه الأيسر</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بث » : « يدك</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ى ، بث ، بح ، بخ ، بس ، بف ، جح ، جس ، جن » وحاشية « غ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فيه</w:t>
      </w:r>
      <w:r w:rsidR="00E3253D">
        <w:rPr>
          <w:rtl/>
        </w:rPr>
        <w:t xml:space="preserve"> ».</w:t>
      </w:r>
      <w:r w:rsidR="00E3253D" w:rsidRPr="005D642E">
        <w:rPr>
          <w:rtl/>
        </w:rPr>
        <w:t xml:space="preserve"> وما</w:t>
      </w:r>
      <w:r w:rsidR="00E3253D">
        <w:rPr>
          <w:rFonts w:hint="cs"/>
          <w:rtl/>
        </w:rPr>
        <w:t xml:space="preserve"> </w:t>
      </w:r>
      <w:r w:rsidR="00E3253D" w:rsidRPr="005D642E">
        <w:rPr>
          <w:rtl/>
        </w:rPr>
        <w:t xml:space="preserve">أثبتناه مطابق للمطبوع </w:t>
      </w:r>
      <w:r w:rsidR="00E3253D">
        <w:rPr>
          <w:rtl/>
        </w:rPr>
        <w:t>و «</w:t>
      </w:r>
      <w:r w:rsidR="00E3253D" w:rsidRPr="005D642E">
        <w:rPr>
          <w:rtl/>
        </w:rPr>
        <w:t xml:space="preserve"> غ</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ى ، بث ، بس ، جس ، جن » والوسائل : « ماء</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F81666" w:rsidTr="00F81666">
        <w:tc>
          <w:tcPr>
            <w:tcW w:w="4006" w:type="dxa"/>
          </w:tcPr>
          <w:p w:rsidR="00F81666" w:rsidRDefault="00F81666" w:rsidP="00E3253D">
            <w:pPr>
              <w:pStyle w:val="libFootnote0"/>
              <w:rPr>
                <w:rStyle w:val="libFootnote0Char"/>
                <w:rtl/>
              </w:rPr>
            </w:pPr>
            <w:r w:rsidRPr="0042621E">
              <w:rPr>
                <w:rStyle w:val="libFootnote0Char"/>
                <w:rtl/>
              </w:rPr>
              <w:t>(11).</w:t>
            </w:r>
            <w:r w:rsidRPr="005D642E">
              <w:rPr>
                <w:rtl/>
              </w:rPr>
              <w:t xml:space="preserve"> في « ظ » : « واغسل</w:t>
            </w:r>
            <w:r>
              <w:rPr>
                <w:rtl/>
              </w:rPr>
              <w:t xml:space="preserve"> ».</w:t>
            </w:r>
          </w:p>
        </w:tc>
        <w:tc>
          <w:tcPr>
            <w:tcW w:w="4006" w:type="dxa"/>
          </w:tcPr>
          <w:p w:rsidR="00F81666" w:rsidRDefault="00F81666" w:rsidP="00E3253D">
            <w:pPr>
              <w:pStyle w:val="libFootnote0"/>
              <w:rPr>
                <w:rStyle w:val="libFootnote0Char"/>
                <w:rtl/>
              </w:rPr>
            </w:pPr>
            <w:r w:rsidRPr="0042621E">
              <w:rPr>
                <w:rStyle w:val="libFootnote0Char"/>
                <w:rtl/>
              </w:rPr>
              <w:t>(12).</w:t>
            </w:r>
            <w:r>
              <w:rPr>
                <w:rtl/>
              </w:rPr>
              <w:t xml:space="preserve"> في «بس»</w:t>
            </w:r>
            <w:r w:rsidRPr="005D642E">
              <w:rPr>
                <w:rtl/>
              </w:rPr>
              <w:t>:</w:t>
            </w:r>
            <w:r>
              <w:rPr>
                <w:rtl/>
              </w:rPr>
              <w:t>-«</w:t>
            </w:r>
            <w:r w:rsidRPr="005D642E">
              <w:rPr>
                <w:rtl/>
              </w:rPr>
              <w:t>بماء</w:t>
            </w:r>
            <w:r>
              <w:rPr>
                <w:rtl/>
              </w:rPr>
              <w:t>».وفي «بف</w:t>
            </w:r>
            <w:r w:rsidRPr="005D642E">
              <w:rPr>
                <w:rtl/>
              </w:rPr>
              <w:t>»</w:t>
            </w:r>
            <w:r w:rsidRPr="000D749A">
              <w:rPr>
                <w:rStyle w:val="libFootnoteBoldChar"/>
                <w:rtl/>
              </w:rPr>
              <w:t>والوافي</w:t>
            </w:r>
            <w:r>
              <w:rPr>
                <w:rtl/>
              </w:rPr>
              <w:t>:«</w:t>
            </w:r>
            <w:r w:rsidRPr="005D642E">
              <w:rPr>
                <w:rtl/>
              </w:rPr>
              <w:t>بالماء</w:t>
            </w:r>
            <w:r>
              <w:rPr>
                <w:rtl/>
              </w:rPr>
              <w:t>».</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ظ ، غ ، ى ، بث ، بخ ، بف ، جس ، جن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القراح</w:t>
      </w:r>
      <w:r w:rsidR="00E3253D">
        <w:rPr>
          <w:rtl/>
        </w:rPr>
        <w:t xml:space="preserve"> ».</w:t>
      </w:r>
      <w:r w:rsidR="00F81666">
        <w:rPr>
          <w:rtl/>
        </w:rPr>
        <w:t xml:space="preserve"> وفي « بس</w:t>
      </w:r>
      <w:r w:rsidR="00E3253D" w:rsidRPr="005D642E">
        <w:rPr>
          <w:rtl/>
        </w:rPr>
        <w:t>» : « بالقراح</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جس » والوسائل </w:t>
      </w:r>
      <w:r w:rsidR="00B60612" w:rsidRPr="00B60612">
        <w:rPr>
          <w:rStyle w:val="libFootnoteBoldChar"/>
          <w:rtl/>
        </w:rPr>
        <w:t>والتهذيب</w:t>
      </w:r>
      <w:r w:rsidR="00E3253D" w:rsidRPr="005D642E">
        <w:rPr>
          <w:rtl/>
        </w:rPr>
        <w:t xml:space="preserve"> : « كما غسلت</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الوافي : « الا</w:t>
      </w:r>
      <w:r w:rsidR="00F81666">
        <w:rPr>
          <w:rFonts w:hint="cs"/>
          <w:rtl/>
        </w:rPr>
        <w:t>ُ</w:t>
      </w:r>
      <w:r w:rsidR="00E3253D" w:rsidRPr="005D642E">
        <w:rPr>
          <w:rtl/>
        </w:rPr>
        <w:t>وليين</w:t>
      </w:r>
      <w:r w:rsidR="00E3253D">
        <w:rPr>
          <w:rtl/>
        </w:rPr>
        <w:t xml:space="preserve"> ».</w:t>
      </w:r>
    </w:p>
    <w:p w:rsidR="00E3253D" w:rsidRPr="005D642E" w:rsidRDefault="00E3253D" w:rsidP="00E3253D">
      <w:pPr>
        <w:pStyle w:val="libFootnote0"/>
        <w:rPr>
          <w:rtl/>
          <w:lang w:bidi="fa-IR"/>
        </w:rPr>
      </w:pPr>
      <w:r w:rsidRPr="005D642E">
        <w:rPr>
          <w:rtl/>
        </w:rPr>
        <w:t>(1</w:t>
      </w:r>
      <w:r>
        <w:rPr>
          <w:rtl/>
        </w:rPr>
        <w:t>6)</w:t>
      </w:r>
      <w:r w:rsidRPr="005D642E">
        <w:rPr>
          <w:rtl/>
        </w:rPr>
        <w:t xml:space="preserve"> التنشيف : التجفيف ، يقال : نشفت الماء نشفاً من باب ضرب ، إذا أخذته من غدير أو أرض بخرقة ونحوها ، ونشّفته بالتثقيل مبالغة. راجع : </w:t>
      </w:r>
      <w:r w:rsidRPr="002F4D34">
        <w:rPr>
          <w:rStyle w:val="libFootnoteBoldChar"/>
          <w:rtl/>
        </w:rPr>
        <w:t>المصباح المنير</w:t>
      </w:r>
      <w:r w:rsidRPr="005D642E">
        <w:rPr>
          <w:rtl/>
        </w:rPr>
        <w:t xml:space="preserve"> ، ص 606 ( نشف )</w:t>
      </w:r>
      <w:r>
        <w:rPr>
          <w:rtl/>
        </w:rPr>
        <w:t>.</w:t>
      </w:r>
    </w:p>
    <w:p w:rsidR="00E3253D" w:rsidRPr="005D642E" w:rsidRDefault="00E3253D" w:rsidP="00E3253D">
      <w:pPr>
        <w:pStyle w:val="libFootnote0"/>
        <w:rPr>
          <w:rtl/>
          <w:lang w:bidi="fa-IR"/>
        </w:rPr>
      </w:pPr>
      <w:r w:rsidRPr="005D642E">
        <w:rPr>
          <w:rtl/>
        </w:rPr>
        <w:t>(1</w:t>
      </w:r>
      <w:r>
        <w:rPr>
          <w:rtl/>
        </w:rPr>
        <w:t>7)</w:t>
      </w:r>
      <w:r w:rsidRPr="005D642E">
        <w:rPr>
          <w:rtl/>
        </w:rPr>
        <w:t xml:space="preserve"> الذَرُّ : هو أخذك الشي‌ء بأطراف أصابعك تذرّه ذرّالملح المسحوق على الطعام ، وذررت الحبّ والملح ، أي فرّقته. راجع : </w:t>
      </w:r>
      <w:r w:rsidRPr="002F4D34">
        <w:rPr>
          <w:rStyle w:val="libFootnoteBoldChar"/>
          <w:rtl/>
        </w:rPr>
        <w:t>لسان العرب</w:t>
      </w:r>
      <w:r w:rsidRPr="005D642E">
        <w:rPr>
          <w:rtl/>
        </w:rPr>
        <w:t xml:space="preserve"> ، ج 4 ، ص 303 ( ذرر )</w:t>
      </w:r>
      <w:r>
        <w:rPr>
          <w:rtl/>
        </w:rPr>
        <w:t>.</w:t>
      </w:r>
    </w:p>
    <w:tbl>
      <w:tblPr>
        <w:tblStyle w:val="TableGrid"/>
        <w:bidiVisual/>
        <w:tblW w:w="0" w:type="auto"/>
        <w:tblLook w:val="04A0" w:firstRow="1" w:lastRow="0" w:firstColumn="1" w:lastColumn="0" w:noHBand="0" w:noVBand="1"/>
      </w:tblPr>
      <w:tblGrid>
        <w:gridCol w:w="4006"/>
        <w:gridCol w:w="4006"/>
      </w:tblGrid>
      <w:tr w:rsidR="00F81666" w:rsidTr="00F81666">
        <w:tc>
          <w:tcPr>
            <w:tcW w:w="4006" w:type="dxa"/>
          </w:tcPr>
          <w:p w:rsidR="00F81666" w:rsidRDefault="00F81666" w:rsidP="00E3253D">
            <w:pPr>
              <w:pStyle w:val="libFootnote0"/>
              <w:rPr>
                <w:rtl/>
              </w:rPr>
            </w:pPr>
            <w:r w:rsidRPr="005D642E">
              <w:rPr>
                <w:rtl/>
              </w:rPr>
              <w:t>(1</w:t>
            </w:r>
            <w:r>
              <w:rPr>
                <w:rtl/>
              </w:rPr>
              <w:t>8)</w:t>
            </w:r>
            <w:r w:rsidRPr="005D642E">
              <w:rPr>
                <w:rtl/>
              </w:rPr>
              <w:t xml:space="preserve"> في حاشية « بث » : « فاحش</w:t>
            </w:r>
            <w:r>
              <w:rPr>
                <w:rtl/>
              </w:rPr>
              <w:t xml:space="preserve"> ».</w:t>
            </w:r>
          </w:p>
        </w:tc>
        <w:tc>
          <w:tcPr>
            <w:tcW w:w="4006" w:type="dxa"/>
          </w:tcPr>
          <w:p w:rsidR="00F81666" w:rsidRDefault="00F81666" w:rsidP="00E3253D">
            <w:pPr>
              <w:pStyle w:val="libFootnote0"/>
              <w:rPr>
                <w:rtl/>
              </w:rPr>
            </w:pPr>
            <w:r w:rsidRPr="005D642E">
              <w:rPr>
                <w:rtl/>
              </w:rPr>
              <w:t>(1</w:t>
            </w:r>
            <w:r>
              <w:rPr>
                <w:rtl/>
              </w:rPr>
              <w:t>9)</w:t>
            </w:r>
            <w:r w:rsidRPr="005D642E">
              <w:rPr>
                <w:rtl/>
              </w:rPr>
              <w:t xml:space="preserve"> في « غ » : « كيلا يخرج</w:t>
            </w:r>
            <w:r>
              <w:rPr>
                <w:rtl/>
              </w:rPr>
              <w:t xml:space="preserve"> ».</w:t>
            </w:r>
          </w:p>
        </w:tc>
      </w:tr>
    </w:tbl>
    <w:p w:rsidR="00E3253D" w:rsidRPr="005D642E" w:rsidRDefault="00E3253D" w:rsidP="00E3253D">
      <w:pPr>
        <w:pStyle w:val="libFootnote0"/>
        <w:rPr>
          <w:rtl/>
          <w:lang w:bidi="fa-IR"/>
        </w:rPr>
      </w:pPr>
      <w:r>
        <w:rPr>
          <w:rtl/>
        </w:rPr>
        <w:t>(20)</w:t>
      </w:r>
      <w:r w:rsidRPr="005D642E">
        <w:rPr>
          <w:rtl/>
        </w:rPr>
        <w:t xml:space="preserve"> في « ظ ، ى ، بث ، بح ، بس ، جس » وحاشية « جح » : « شدّ بها</w:t>
      </w:r>
      <w:r>
        <w:rPr>
          <w:rtl/>
        </w:rPr>
        <w:t xml:space="preserve"> ».</w:t>
      </w:r>
      <w:r w:rsidRPr="005D642E">
        <w:rPr>
          <w:rtl/>
        </w:rPr>
        <w:t xml:space="preserve"> وفي « بح » : « تشدّ بها</w:t>
      </w:r>
      <w:r>
        <w:rPr>
          <w:rtl/>
        </w:rPr>
        <w:t xml:space="preserve"> ».</w:t>
      </w:r>
      <w:r w:rsidRPr="005D642E">
        <w:rPr>
          <w:rtl/>
        </w:rPr>
        <w:t xml:space="preserve"> وفي « بخ » وحاشية </w:t>
      </w:r>
      <w:r w:rsidR="00F8166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حَقْوَيْهِ </w:t>
      </w:r>
      <w:r w:rsidRPr="007C12DB">
        <w:rPr>
          <w:rStyle w:val="libFootnotenumChar"/>
          <w:rtl/>
        </w:rPr>
        <w:t>(1)</w:t>
      </w:r>
      <w:r w:rsidRPr="005D642E">
        <w:rPr>
          <w:rtl/>
          <w:lang w:bidi="fa-IR"/>
        </w:rPr>
        <w:t xml:space="preserve"> ، وَضُمَّ فَخِذَيْهِ ضَمّاً شَدِيداً ، وَلُفَّهَا </w:t>
      </w:r>
      <w:r w:rsidRPr="007C12DB">
        <w:rPr>
          <w:rStyle w:val="libFootnotenumChar"/>
          <w:rtl/>
        </w:rPr>
        <w:t>(2)</w:t>
      </w:r>
      <w:r w:rsidRPr="005D642E">
        <w:rPr>
          <w:rtl/>
          <w:lang w:bidi="fa-IR"/>
        </w:rPr>
        <w:t xml:space="preserve"> فِي فَخِذَيْهِ ، ثُمَّ أَخْرِجْ رَأْسَهَا مِنْ تَحْتِ رِجْلَيْهِ إِلى جَانِبِ </w:t>
      </w:r>
      <w:r w:rsidRPr="007C12DB">
        <w:rPr>
          <w:rStyle w:val="libFootnotenumChar"/>
          <w:rtl/>
        </w:rPr>
        <w:t>(3)</w:t>
      </w:r>
      <w:r w:rsidRPr="005D642E">
        <w:rPr>
          <w:rtl/>
          <w:lang w:bidi="fa-IR"/>
        </w:rPr>
        <w:t xml:space="preserve"> الْأَيْمَنِ ، وَأَغْرِزْهَا </w:t>
      </w:r>
      <w:r w:rsidRPr="007C12DB">
        <w:rPr>
          <w:rStyle w:val="libFootnotenumChar"/>
          <w:rtl/>
        </w:rPr>
        <w:t>(4)</w:t>
      </w:r>
      <w:r w:rsidRPr="005D642E">
        <w:rPr>
          <w:rtl/>
          <w:lang w:bidi="fa-IR"/>
        </w:rPr>
        <w:t xml:space="preserve"> فِي الْمَوْضِعِ الَّذِي لَفَفْتَ فِيهِ الْخِرْقَةَ ، وَتَكُونُ الْخِرْقَةُ طَوِيلَةً تَلُفُّ فَخِذَيْهِ مِنْ حَقْوَيْهِ إِلى رُكْبَتَيْهِ لَفّاً شَدِيداً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9835B1">
        <w:rPr>
          <w:rtl/>
        </w:rPr>
        <w:t>4337</w:t>
      </w:r>
      <w:r w:rsidRPr="00246318">
        <w:rPr>
          <w:rStyle w:val="libBold2Char"/>
          <w:rtl/>
        </w:rPr>
        <w:t xml:space="preserve"> / 6.</w:t>
      </w:r>
      <w:r w:rsidRPr="005D642E">
        <w:rPr>
          <w:rtl/>
          <w:lang w:bidi="fa-IR"/>
        </w:rPr>
        <w:t xml:space="preserve"> مُحَمَّدُ بْنُ يَحْيى ، عَنِ الْعَمْرَكِيِّ بْنِ عَلِيٍّ ، عَنْ عَلِيِّ بْنِ جَعْفَرٍ :</w:t>
      </w:r>
    </w:p>
    <w:p w:rsidR="00E3253D" w:rsidRPr="005D642E" w:rsidRDefault="00E3253D" w:rsidP="00E3253D">
      <w:pPr>
        <w:pStyle w:val="libNormal"/>
        <w:rPr>
          <w:rtl/>
          <w:lang w:bidi="fa-IR"/>
        </w:rPr>
      </w:pPr>
      <w:r w:rsidRPr="005D642E">
        <w:rPr>
          <w:rtl/>
          <w:lang w:bidi="fa-IR"/>
        </w:rPr>
        <w:t xml:space="preserve">عَنْ أَخِيهِ أَبِي الْحَسَنِ </w:t>
      </w:r>
      <w:r w:rsidRPr="00AC51C5">
        <w:rPr>
          <w:rStyle w:val="libAlaemChar"/>
          <w:rtl/>
        </w:rPr>
        <w:t>عليه‌السلام</w:t>
      </w:r>
      <w:r w:rsidRPr="005D642E">
        <w:rPr>
          <w:rtl/>
          <w:lang w:bidi="fa-IR"/>
        </w:rPr>
        <w:t xml:space="preserve"> ، قَالَ : سَأَلْتُهُ عَنِ الْمَيِّتِ : هَلْ يُغَسَّلُ فِي الْفَضَاءِ</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(7)</w:t>
      </w:r>
      <w:r w:rsidRPr="005D642E">
        <w:rPr>
          <w:rtl/>
          <w:lang w:bidi="fa-IR"/>
        </w:rPr>
        <w:t xml:space="preserve"> : « لَا بَأْسَ ، وَإِنْ سُتِرَ بِسِتْرٍ ، فَهُوَ أَحَبُّ إِلَيَّ</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311" w:name="_Toc344647314"/>
      <w:bookmarkStart w:id="312" w:name="_Toc462226828"/>
      <w:bookmarkStart w:id="313" w:name="_Toc40975937"/>
      <w:r w:rsidRPr="005D642E">
        <w:rPr>
          <w:rtl/>
          <w:lang w:bidi="fa-IR"/>
        </w:rPr>
        <w:t>19</w:t>
      </w:r>
      <w:r>
        <w:rPr>
          <w:rtl/>
          <w:lang w:bidi="fa-IR"/>
        </w:rPr>
        <w:t xml:space="preserve"> </w:t>
      </w:r>
      <w:r w:rsidR="007642BC">
        <w:rPr>
          <w:rtl/>
          <w:lang w:bidi="fa-IR"/>
        </w:rPr>
        <w:t>-</w:t>
      </w:r>
      <w:r>
        <w:rPr>
          <w:rtl/>
          <w:lang w:bidi="fa-IR"/>
        </w:rPr>
        <w:t xml:space="preserve"> </w:t>
      </w:r>
      <w:r w:rsidRPr="005D642E">
        <w:rPr>
          <w:rtl/>
          <w:lang w:bidi="fa-IR"/>
        </w:rPr>
        <w:t xml:space="preserve">بَابُ تَحْنِيطِ الْمَيِّتِ </w:t>
      </w:r>
      <w:r w:rsidRPr="007C12DB">
        <w:rPr>
          <w:rStyle w:val="libFootnotenumChar"/>
          <w:rtl/>
        </w:rPr>
        <w:t>(9)</w:t>
      </w:r>
      <w:r>
        <w:rPr>
          <w:rtl/>
        </w:rPr>
        <w:t xml:space="preserve"> </w:t>
      </w:r>
      <w:r w:rsidRPr="005D642E">
        <w:rPr>
          <w:rtl/>
          <w:lang w:bidi="fa-IR"/>
        </w:rPr>
        <w:t>وَتَكْفِينِهِ‌</w:t>
      </w:r>
      <w:bookmarkEnd w:id="311"/>
      <w:bookmarkEnd w:id="312"/>
      <w:bookmarkEnd w:id="313"/>
    </w:p>
    <w:p w:rsidR="00E3253D" w:rsidRPr="005D642E" w:rsidRDefault="00E3253D" w:rsidP="00E3253D">
      <w:pPr>
        <w:pStyle w:val="libNormal"/>
        <w:rPr>
          <w:rtl/>
          <w:lang w:bidi="fa-IR"/>
        </w:rPr>
      </w:pPr>
      <w:r w:rsidRPr="009835B1">
        <w:rPr>
          <w:rtl/>
        </w:rPr>
        <w:t>4338</w:t>
      </w:r>
      <w:r w:rsidRPr="00246318">
        <w:rPr>
          <w:rStyle w:val="libBold2Char"/>
          <w:rtl/>
        </w:rPr>
        <w:t xml:space="preserve"> / 1.</w:t>
      </w:r>
      <w:r w:rsidRPr="005D642E">
        <w:rPr>
          <w:rtl/>
          <w:lang w:bidi="fa-IR"/>
        </w:rPr>
        <w:t xml:space="preserve"> عَلِيُّ بْنُ إِبْرَاهِيمَ ، عَنْ أَبِيهِ ، عَنْ رِجَالِهِ ، عَنْ يُونُسَ :</w:t>
      </w:r>
    </w:p>
    <w:p w:rsidR="00E3253D" w:rsidRPr="005D642E" w:rsidRDefault="00E3253D" w:rsidP="00E3253D">
      <w:pPr>
        <w:pStyle w:val="libLine"/>
        <w:rPr>
          <w:rtl/>
          <w:lang w:bidi="fa-IR"/>
        </w:rPr>
      </w:pPr>
      <w:r w:rsidRPr="005D642E">
        <w:rPr>
          <w:rtl/>
          <w:lang w:bidi="fa-IR"/>
        </w:rPr>
        <w:t>__________________</w:t>
      </w:r>
    </w:p>
    <w:p w:rsidR="00E3253D" w:rsidRPr="005D642E" w:rsidRDefault="00F81666" w:rsidP="00E3253D">
      <w:pPr>
        <w:pStyle w:val="libFootnote0"/>
        <w:rPr>
          <w:rtl/>
          <w:lang w:bidi="fa-IR"/>
        </w:rPr>
      </w:pPr>
      <w:r>
        <w:rPr>
          <w:rFonts w:hint="cs"/>
          <w:rtl/>
        </w:rPr>
        <w:t xml:space="preserve">= </w:t>
      </w:r>
      <w:r w:rsidR="00E3253D" w:rsidRPr="005D642E">
        <w:rPr>
          <w:rtl/>
        </w:rPr>
        <w:t>« بح » : « فشدّ بها</w:t>
      </w:r>
      <w:r w:rsidR="00E3253D">
        <w:rPr>
          <w:rtl/>
        </w:rPr>
        <w:t xml:space="preserve"> ».</w:t>
      </w:r>
      <w:r w:rsidR="00E3253D" w:rsidRPr="005D642E">
        <w:rPr>
          <w:rtl/>
        </w:rPr>
        <w:t xml:space="preserve"> وفي « جح » : « شدّها</w:t>
      </w:r>
      <w:r w:rsidR="00E3253D">
        <w:rPr>
          <w:rtl/>
        </w:rPr>
        <w:t xml:space="preserve"> ».</w:t>
      </w:r>
      <w:r w:rsidR="00E3253D" w:rsidRPr="005D642E">
        <w:rPr>
          <w:rtl/>
        </w:rPr>
        <w:t xml:space="preserve"> وفي « جن » : « شدّ بهما</w:t>
      </w:r>
      <w:r w:rsidR="00E3253D">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الحَقْو : الخَصْر ومَشَدّ الإزار ، وهو وسط الإنسان فوق الورك. وقيل : الحقو : الكَشْح ، وهو ما بين السرّة و</w:t>
      </w:r>
      <w:r w:rsidR="00F81666">
        <w:rPr>
          <w:rFonts w:hint="cs"/>
          <w:rtl/>
        </w:rPr>
        <w:t xml:space="preserve"> </w:t>
      </w:r>
      <w:r w:rsidR="00E3253D" w:rsidRPr="005D642E">
        <w:rPr>
          <w:rtl/>
        </w:rPr>
        <w:t>وسط</w:t>
      </w:r>
      <w:r w:rsidR="00F81666">
        <w:rPr>
          <w:rFonts w:hint="cs"/>
          <w:rtl/>
        </w:rPr>
        <w:t xml:space="preserve"> </w:t>
      </w:r>
      <w:r w:rsidR="00E3253D" w:rsidRPr="005D642E">
        <w:rPr>
          <w:rtl/>
        </w:rPr>
        <w:t xml:space="preserve">الظهر. وقيل : هو معقد الإزار. راجع : </w:t>
      </w:r>
      <w:r w:rsidR="00E3253D" w:rsidRPr="002F4D34">
        <w:rPr>
          <w:rStyle w:val="libFootnoteBoldChar"/>
          <w:rtl/>
        </w:rPr>
        <w:t>الصحاح</w:t>
      </w:r>
      <w:r w:rsidR="00E3253D" w:rsidRPr="005D642E">
        <w:rPr>
          <w:rtl/>
        </w:rPr>
        <w:t xml:space="preserve"> ، ج 6 ، ص 2317 ؛ </w:t>
      </w:r>
      <w:r w:rsidR="00E3253D" w:rsidRPr="002F4D34">
        <w:rPr>
          <w:rStyle w:val="libFootnoteBoldChar"/>
          <w:rtl/>
        </w:rPr>
        <w:t>لسان العرب</w:t>
      </w:r>
      <w:r w:rsidR="00E3253D" w:rsidRPr="005D642E">
        <w:rPr>
          <w:rtl/>
        </w:rPr>
        <w:t xml:space="preserve"> ، ج 14 ، ص 189 ( حقا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 « ولفهما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ى ، بث ، جس ، جن » </w:t>
      </w:r>
      <w:r w:rsidR="00B60612" w:rsidRPr="00B60612">
        <w:rPr>
          <w:rStyle w:val="libFootnoteBoldChar"/>
          <w:rtl/>
        </w:rPr>
        <w:t>والتهذيب</w:t>
      </w:r>
      <w:r w:rsidR="00E3253D" w:rsidRPr="005D642E">
        <w:rPr>
          <w:rtl/>
        </w:rPr>
        <w:t xml:space="preserve"> : « الجانب</w:t>
      </w:r>
      <w:r w:rsidR="00E3253D">
        <w:rPr>
          <w:rtl/>
        </w:rPr>
        <w:t xml:space="preserve"> ».</w:t>
      </w:r>
    </w:p>
    <w:p w:rsidR="00E3253D" w:rsidRPr="005D642E" w:rsidRDefault="0042621E" w:rsidP="00F81666">
      <w:pPr>
        <w:pStyle w:val="libFootnote0"/>
        <w:rPr>
          <w:rtl/>
          <w:lang w:bidi="fa-IR"/>
        </w:rPr>
      </w:pPr>
      <w:r w:rsidRPr="0042621E">
        <w:rPr>
          <w:rStyle w:val="libFootnote0Char"/>
          <w:rtl/>
        </w:rPr>
        <w:t>(4).</w:t>
      </w:r>
      <w:r w:rsidR="00E3253D" w:rsidRPr="005D642E">
        <w:rPr>
          <w:rtl/>
        </w:rPr>
        <w:t xml:space="preserve"> في التهذيب : « واغمزها</w:t>
      </w:r>
      <w:r w:rsidR="00E3253D">
        <w:rPr>
          <w:rtl/>
        </w:rPr>
        <w:t xml:space="preserve"> ».</w:t>
      </w:r>
      <w:r w:rsidR="00E3253D" w:rsidRPr="005D642E">
        <w:rPr>
          <w:rtl/>
        </w:rPr>
        <w:t xml:space="preserve"> وفي اللغة : غرزته غَرْزاً من باب ضرب : أَثبتّه بالأرض ، وأغرزته بالألف لغة. وفي </w:t>
      </w:r>
      <w:r w:rsidR="00E3253D" w:rsidRPr="002F4D34">
        <w:rPr>
          <w:rStyle w:val="libFootnoteBoldChar"/>
          <w:rtl/>
        </w:rPr>
        <w:t>الوافي</w:t>
      </w:r>
      <w:r w:rsidR="00E3253D" w:rsidRPr="005D642E">
        <w:rPr>
          <w:rtl/>
        </w:rPr>
        <w:t xml:space="preserve"> : « الغرز ، بتوسيط المهملة بين المعجمتين : الإدخال والإخفاء</w:t>
      </w:r>
      <w:r w:rsidR="00E3253D">
        <w:rPr>
          <w:rtl/>
        </w:rPr>
        <w:t xml:space="preserve"> ».</w:t>
      </w:r>
      <w:r w:rsidR="00E3253D" w:rsidRPr="005D642E">
        <w:rPr>
          <w:rtl/>
        </w:rPr>
        <w:t xml:space="preserve"> راجع : </w:t>
      </w:r>
      <w:r w:rsidR="00E3253D" w:rsidRPr="002F4D34">
        <w:rPr>
          <w:rStyle w:val="libFootnoteBoldChar"/>
          <w:rtl/>
        </w:rPr>
        <w:t>المصباح المنير</w:t>
      </w:r>
      <w:r w:rsidR="00F81666">
        <w:rPr>
          <w:rtl/>
        </w:rPr>
        <w:t xml:space="preserve"> ، ص 445 ( غرز</w:t>
      </w:r>
      <w:r w:rsidR="00E3253D" w:rsidRPr="005D642E">
        <w:rPr>
          <w:rtl/>
        </w:rPr>
        <w:t xml:space="preserve">) ؛ </w:t>
      </w:r>
      <w:r w:rsidR="00E3253D" w:rsidRPr="002F4D34">
        <w:rPr>
          <w:rStyle w:val="libFootnoteBoldChar"/>
          <w:rtl/>
        </w:rPr>
        <w:t>الوافي</w:t>
      </w:r>
      <w:r w:rsidR="00E3253D" w:rsidRPr="005D642E">
        <w:rPr>
          <w:rtl/>
        </w:rPr>
        <w:t xml:space="preserve"> ، ج 3 ، ص 49.</w:t>
      </w:r>
      <w:r w:rsidR="00F81666">
        <w:rPr>
          <w:rFonts w:hint="cs"/>
          <w:rtl/>
        </w:rPr>
        <w:t xml:space="preserve">        </w:t>
      </w:r>
      <w:r w:rsidRPr="0042621E">
        <w:rPr>
          <w:rStyle w:val="libFootnote0Char"/>
          <w:rtl/>
        </w:rPr>
        <w:t>(5).</w:t>
      </w:r>
      <w:r w:rsidR="00E3253D" w:rsidRPr="005D642E">
        <w:rPr>
          <w:rtl/>
        </w:rPr>
        <w:t xml:space="preserve"> في « ظ » : « سديداً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301 ، ح 877 ، بسنده عن الكليني </w:t>
      </w:r>
      <w:r w:rsidR="00F81666">
        <w:rPr>
          <w:rFonts w:hint="cs"/>
          <w:rtl/>
        </w:rPr>
        <w:t>.</w:t>
      </w:r>
      <w:r w:rsidR="00E3253D" w:rsidRPr="002F4D34">
        <w:rPr>
          <w:rStyle w:val="libFootnoteBoldChar"/>
          <w:rtl/>
        </w:rPr>
        <w:t>الوافي</w:t>
      </w:r>
      <w:r w:rsidR="00E3253D" w:rsidRPr="005D642E">
        <w:rPr>
          <w:rtl/>
        </w:rPr>
        <w:t xml:space="preserve"> ، ج 24 ، ص 321 ، ح 24113 ؛ </w:t>
      </w:r>
      <w:r w:rsidR="00E3253D" w:rsidRPr="002F4D34">
        <w:rPr>
          <w:rStyle w:val="libFootnoteBoldChar"/>
          <w:rtl/>
        </w:rPr>
        <w:t>الوسائل</w:t>
      </w:r>
      <w:r w:rsidR="00E3253D" w:rsidRPr="005D642E">
        <w:rPr>
          <w:rtl/>
        </w:rPr>
        <w:t xml:space="preserve"> ، ج 2 ، ص 480 ، ح 2696. </w:t>
      </w:r>
      <w:r w:rsidR="00E3253D" w:rsidRPr="002F4D34">
        <w:rPr>
          <w:rStyle w:val="libFootnoteBoldChar"/>
          <w:rtl/>
        </w:rPr>
        <w:t>وفيه</w:t>
      </w:r>
      <w:r w:rsidR="00E3253D" w:rsidRPr="005D642E">
        <w:rPr>
          <w:rtl/>
        </w:rPr>
        <w:t xml:space="preserve"> ، ص 265 ، ح 2116 ، ملخّصاً.</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بث » </w:t>
      </w:r>
      <w:r w:rsidR="009E68BB" w:rsidRPr="009E68BB">
        <w:rPr>
          <w:rStyle w:val="libFootnoteBoldChar"/>
          <w:rtl/>
        </w:rPr>
        <w:t>وتحف العقول</w:t>
      </w:r>
      <w:r w:rsidR="00E3253D" w:rsidRPr="005D642E">
        <w:rPr>
          <w:rtl/>
        </w:rPr>
        <w:t xml:space="preserve">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قرب الإسناد</w:t>
      </w:r>
      <w:r w:rsidR="00E3253D" w:rsidRPr="005D642E">
        <w:rPr>
          <w:rtl/>
        </w:rPr>
        <w:t xml:space="preserve"> ، ص 182 ، ح 671 ، بسنده عن عليّ بن جعفر </w:t>
      </w:r>
      <w:r w:rsidR="00E3253D" w:rsidRPr="00F81666">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142 ، ح 397 ، معلّقاً عن عليّ بن جعفر </w:t>
      </w:r>
      <w:r w:rsidR="00E3253D" w:rsidRPr="00F81666">
        <w:rPr>
          <w:rStyle w:val="libFootnoteAlaemChar"/>
          <w:rtl/>
        </w:rPr>
        <w:t>عليه‌السلام</w:t>
      </w:r>
      <w:r w:rsidR="00E3253D" w:rsidRPr="005D642E">
        <w:rPr>
          <w:rtl/>
        </w:rPr>
        <w:t xml:space="preserve">. </w:t>
      </w:r>
      <w:r w:rsidR="00E3253D" w:rsidRPr="002F4D34">
        <w:rPr>
          <w:rStyle w:val="libFootnoteBoldChar"/>
          <w:rtl/>
        </w:rPr>
        <w:t>التهذيب</w:t>
      </w:r>
      <w:r w:rsidR="00E3253D" w:rsidRPr="005D642E">
        <w:rPr>
          <w:rtl/>
        </w:rPr>
        <w:t xml:space="preserve"> ، ج 1 ، ص 431 ، ح 1379 ، بسنده عن عليّ بن جعفر </w:t>
      </w:r>
      <w:r w:rsidR="00E3253D" w:rsidRPr="00F81666">
        <w:rPr>
          <w:rStyle w:val="libFootnoteAlaemChar"/>
          <w:rtl/>
        </w:rPr>
        <w:t>عليه‌السلام</w:t>
      </w:r>
      <w:r w:rsidR="00E3253D" w:rsidRPr="005D642E">
        <w:rPr>
          <w:rtl/>
        </w:rPr>
        <w:t xml:space="preserve"> ، وفي كلّها مع اختلاف يسير </w:t>
      </w:r>
      <w:r w:rsidR="00F81666">
        <w:rPr>
          <w:rFonts w:hint="cs"/>
          <w:rtl/>
        </w:rPr>
        <w:t>.</w:t>
      </w:r>
      <w:r w:rsidR="00E3253D" w:rsidRPr="002F4D34">
        <w:rPr>
          <w:rStyle w:val="libFootnoteBoldChar"/>
          <w:rtl/>
        </w:rPr>
        <w:t>الوافي</w:t>
      </w:r>
      <w:r w:rsidR="00E3253D" w:rsidRPr="005D642E">
        <w:rPr>
          <w:rtl/>
        </w:rPr>
        <w:t xml:space="preserve"> ، ج 24 ، ص 328 ، ح 24128 ؛ </w:t>
      </w:r>
      <w:r w:rsidR="00E3253D" w:rsidRPr="002F4D34">
        <w:rPr>
          <w:rStyle w:val="libFootnoteBoldChar"/>
          <w:rtl/>
        </w:rPr>
        <w:t>الوسائل</w:t>
      </w:r>
      <w:r w:rsidR="00E3253D" w:rsidRPr="005D642E">
        <w:rPr>
          <w:rtl/>
        </w:rPr>
        <w:t xml:space="preserve"> ، ج 2 ، ص 538 ، ح 2848.</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تحنيط الميّت » : استعمال الحَنوط في بدنه ، والحنوط : هو ما يُخْلَط من الطيب لأكفان الموتى وأجسامهم خاصّة. راجع : </w:t>
      </w:r>
      <w:r w:rsidR="00E3253D" w:rsidRPr="002F4D34">
        <w:rPr>
          <w:rStyle w:val="libFootnoteBoldChar"/>
          <w:rtl/>
        </w:rPr>
        <w:t>النهاية</w:t>
      </w:r>
      <w:r w:rsidR="00E3253D" w:rsidRPr="005D642E">
        <w:rPr>
          <w:rtl/>
        </w:rPr>
        <w:t xml:space="preserve"> ، ج 1 ، ص 450 ( حنط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عَنْهُمْ </w:t>
      </w:r>
      <w:r w:rsidRPr="00AC51C5">
        <w:rPr>
          <w:rStyle w:val="libAlaemChar"/>
          <w:rtl/>
        </w:rPr>
        <w:t>عليهم‌السلام</w:t>
      </w:r>
      <w:r w:rsidRPr="005D642E">
        <w:rPr>
          <w:rtl/>
          <w:lang w:bidi="fa-IR"/>
        </w:rPr>
        <w:t xml:space="preserve"> ، قَالَ </w:t>
      </w:r>
      <w:r w:rsidRPr="007C12DB">
        <w:rPr>
          <w:rStyle w:val="libFootnotenumChar"/>
          <w:rtl/>
        </w:rPr>
        <w:t>(1)</w:t>
      </w:r>
      <w:r w:rsidRPr="005D642E">
        <w:rPr>
          <w:rtl/>
          <w:lang w:bidi="fa-IR"/>
        </w:rPr>
        <w:t xml:space="preserve"> فِي تَحْنِيطِ الْمَيِّتِ </w:t>
      </w:r>
      <w:r w:rsidRPr="007C12DB">
        <w:rPr>
          <w:rStyle w:val="libFootnotenumChar"/>
          <w:rtl/>
        </w:rPr>
        <w:t>(2)</w:t>
      </w:r>
      <w:r w:rsidRPr="005D642E">
        <w:rPr>
          <w:rtl/>
          <w:lang w:bidi="fa-IR"/>
        </w:rPr>
        <w:t xml:space="preserve"> وَتَكْفِينِهِ ، قَالَ : « ابْسُطِ الْحِبَرَةَ </w:t>
      </w:r>
      <w:r w:rsidRPr="007C12DB">
        <w:rPr>
          <w:rStyle w:val="libFootnotenumChar"/>
          <w:rtl/>
        </w:rPr>
        <w:t>(3)</w:t>
      </w:r>
      <w:r w:rsidRPr="005D642E">
        <w:rPr>
          <w:rtl/>
          <w:lang w:bidi="fa-IR"/>
        </w:rPr>
        <w:t xml:space="preserve"> بَسْطاً ، ثُمَّ ابْسُطْ عَلَيْهَا الْإِزَارَ ، ثُمَّ ابْسُطِ الْقَمِيصَ عَلَيْهِ </w:t>
      </w:r>
      <w:r w:rsidRPr="007C12DB">
        <w:rPr>
          <w:rStyle w:val="libFootnotenumChar"/>
          <w:rtl/>
        </w:rPr>
        <w:t>(4)</w:t>
      </w:r>
      <w:r w:rsidRPr="005D642E">
        <w:rPr>
          <w:rtl/>
          <w:lang w:bidi="fa-IR"/>
        </w:rPr>
        <w:t xml:space="preserve"> وَتَرُدُّ </w:t>
      </w:r>
      <w:r w:rsidRPr="007C12DB">
        <w:rPr>
          <w:rStyle w:val="libFootnotenumChar"/>
          <w:rtl/>
        </w:rPr>
        <w:t>(5)</w:t>
      </w:r>
      <w:r w:rsidRPr="005D642E">
        <w:rPr>
          <w:rtl/>
          <w:lang w:bidi="fa-IR"/>
        </w:rPr>
        <w:t xml:space="preserve"> مُقَدَّمَ الْقَمِيصِ عَلَيْهِ </w:t>
      </w:r>
      <w:r w:rsidRPr="007C12DB">
        <w:rPr>
          <w:rStyle w:val="libFootnotenumChar"/>
          <w:rtl/>
        </w:rPr>
        <w:t>(6)</w:t>
      </w:r>
      <w:r w:rsidRPr="005D642E">
        <w:rPr>
          <w:rtl/>
          <w:lang w:bidi="fa-IR"/>
        </w:rPr>
        <w:t xml:space="preserve"> ، ثُمَّ اعْمِدْ إِلى كَافُورٍ مَسْحُوقٍ </w:t>
      </w:r>
      <w:r w:rsidRPr="007C12DB">
        <w:rPr>
          <w:rStyle w:val="libFootnotenumChar"/>
          <w:rtl/>
        </w:rPr>
        <w:t>(7)</w:t>
      </w:r>
      <w:r w:rsidRPr="005D642E">
        <w:rPr>
          <w:rtl/>
          <w:lang w:bidi="fa-IR"/>
        </w:rPr>
        <w:t xml:space="preserve"> ، فَضَعْهُ عَلى جَبْهَتِهِ </w:t>
      </w:r>
      <w:r w:rsidRPr="007C12DB">
        <w:rPr>
          <w:rStyle w:val="libFootnotenumChar"/>
          <w:rtl/>
        </w:rPr>
        <w:t>(8)</w:t>
      </w:r>
      <w:r w:rsidRPr="005D642E">
        <w:rPr>
          <w:rtl/>
          <w:lang w:bidi="fa-IR"/>
        </w:rPr>
        <w:t xml:space="preserve"> مَوْضِعِ سُجُودِهِ ، وَامْسَحْ بِالْكَافُورِ عَلى جَمِيعِ مَفَاصِلِهِ </w:t>
      </w:r>
      <w:r w:rsidRPr="007C12DB">
        <w:rPr>
          <w:rStyle w:val="libFootnotenumChar"/>
          <w:rtl/>
        </w:rPr>
        <w:t>(9)</w:t>
      </w:r>
      <w:r w:rsidRPr="005D642E">
        <w:rPr>
          <w:rtl/>
          <w:lang w:bidi="fa-IR"/>
        </w:rPr>
        <w:t xml:space="preserve"> مِنْ قَرْنِهِ </w:t>
      </w:r>
      <w:r w:rsidRPr="007C12DB">
        <w:rPr>
          <w:rStyle w:val="libFootnotenumChar"/>
          <w:rtl/>
        </w:rPr>
        <w:t>(10)</w:t>
      </w:r>
      <w:r w:rsidRPr="005D642E">
        <w:rPr>
          <w:rtl/>
          <w:lang w:bidi="fa-IR"/>
        </w:rPr>
        <w:t xml:space="preserve"> إِلى قَدَمَيْهِ </w:t>
      </w:r>
      <w:r w:rsidRPr="007C12DB">
        <w:rPr>
          <w:rStyle w:val="libFootnotenumChar"/>
          <w:rtl/>
        </w:rPr>
        <w:t>(11)</w:t>
      </w:r>
      <w:r w:rsidRPr="005D642E">
        <w:rPr>
          <w:rtl/>
          <w:lang w:bidi="fa-IR"/>
        </w:rPr>
        <w:t xml:space="preserve"> ، وَفِي رَأْسِهِ ، وَفِي عُنُقِهِ وَمَنْكِبَيْهِ </w:t>
      </w:r>
      <w:r w:rsidRPr="007C12DB">
        <w:rPr>
          <w:rStyle w:val="libFootnotenumChar"/>
          <w:rtl/>
        </w:rPr>
        <w:t>(12)</w:t>
      </w:r>
      <w:r w:rsidRPr="005D642E">
        <w:rPr>
          <w:rtl/>
          <w:lang w:bidi="fa-IR"/>
        </w:rPr>
        <w:t xml:space="preserve"> وَمَرَافِقِهِ </w:t>
      </w:r>
      <w:r w:rsidRPr="007C12DB">
        <w:rPr>
          <w:rStyle w:val="libFootnotenumChar"/>
          <w:rtl/>
        </w:rPr>
        <w:t>(13)</w:t>
      </w:r>
      <w:r w:rsidRPr="005D642E">
        <w:rPr>
          <w:rtl/>
          <w:lang w:bidi="fa-IR"/>
        </w:rPr>
        <w:t xml:space="preserve"> ، وَفِي </w:t>
      </w:r>
      <w:r w:rsidRPr="007C12DB">
        <w:rPr>
          <w:rStyle w:val="libFootnotenumChar"/>
          <w:rtl/>
        </w:rPr>
        <w:t>(14)</w:t>
      </w:r>
      <w:r w:rsidRPr="005D642E">
        <w:rPr>
          <w:rtl/>
          <w:lang w:bidi="fa-IR"/>
        </w:rPr>
        <w:t xml:space="preserve"> كُلِّ مَفْصِلٍ مِنْ مَفَاصِلِهِ </w:t>
      </w:r>
      <w:r w:rsidRPr="007C12DB">
        <w:rPr>
          <w:rStyle w:val="libFootnotenumChar"/>
          <w:rtl/>
        </w:rPr>
        <w:t>(15)</w:t>
      </w:r>
      <w:r w:rsidRPr="005D642E">
        <w:rPr>
          <w:rtl/>
          <w:lang w:bidi="fa-IR"/>
        </w:rPr>
        <w:t xml:space="preserve"> مِنَ الْيَدَيْنِ وَالرِّجْلَيْنِ ، وَفِي </w:t>
      </w:r>
      <w:r w:rsidRPr="007C12DB">
        <w:rPr>
          <w:rStyle w:val="libFootnotenumChar"/>
          <w:rtl/>
        </w:rPr>
        <w:t>(16)</w:t>
      </w:r>
      <w:r w:rsidRPr="005D642E">
        <w:rPr>
          <w:rtl/>
          <w:lang w:bidi="fa-IR"/>
        </w:rPr>
        <w:t xml:space="preserve"> وَسَطِ رَاحَتَيْهِ ، ثُمَّ يُحْمَلُ ، فَيُوضَعُ </w:t>
      </w:r>
      <w:r w:rsidRPr="007C12DB">
        <w:rPr>
          <w:rStyle w:val="libFootnotenumChar"/>
          <w:rtl/>
        </w:rPr>
        <w:t>(17)</w:t>
      </w:r>
      <w:r w:rsidRPr="005D642E">
        <w:rPr>
          <w:rtl/>
          <w:lang w:bidi="fa-IR"/>
        </w:rPr>
        <w:t xml:space="preserve"> عَلى قَمِيصِهِ ، وَيُرَدُّ </w:t>
      </w:r>
      <w:r w:rsidRPr="007C12DB">
        <w:rPr>
          <w:rStyle w:val="libFootnotenumChar"/>
          <w:rtl/>
        </w:rPr>
        <w:t>(18)</w:t>
      </w:r>
      <w:r w:rsidRPr="005D642E">
        <w:rPr>
          <w:rtl/>
          <w:lang w:bidi="fa-IR"/>
        </w:rPr>
        <w:t xml:space="preserve"> مُقَدَّمُ الْقَمِيصِ عَلَيْهِ ، وَيَكُونُ </w:t>
      </w:r>
      <w:r w:rsidRPr="007C12DB">
        <w:rPr>
          <w:rStyle w:val="libFootnotenumChar"/>
          <w:rtl/>
        </w:rPr>
        <w:t>(19)</w:t>
      </w:r>
      <w:r w:rsidRPr="005D642E">
        <w:rPr>
          <w:rtl/>
          <w:lang w:bidi="fa-IR"/>
        </w:rPr>
        <w:t xml:space="preserve"> الْقَمِيصُ </w:t>
      </w:r>
      <w:r w:rsidRPr="007C12DB">
        <w:rPr>
          <w:rStyle w:val="libFootnotenumChar"/>
          <w:rtl/>
        </w:rPr>
        <w:t>(20)</w:t>
      </w:r>
      <w:r w:rsidRPr="005D642E">
        <w:rPr>
          <w:rtl/>
          <w:lang w:bidi="fa-IR"/>
        </w:rPr>
        <w:t xml:space="preserve"> غَيْرَ مَكْفُوفٍ‌</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C75FA" w:rsidTr="007C75FA">
        <w:tc>
          <w:tcPr>
            <w:tcW w:w="4006" w:type="dxa"/>
          </w:tcPr>
          <w:p w:rsidR="007C75FA" w:rsidRDefault="007C75FA" w:rsidP="00E3253D">
            <w:pPr>
              <w:pStyle w:val="libFootnote0"/>
              <w:rPr>
                <w:rStyle w:val="libFootnote0Char"/>
                <w:rtl/>
              </w:rPr>
            </w:pPr>
            <w:r w:rsidRPr="0042621E">
              <w:rPr>
                <w:rStyle w:val="libFootnote0Char"/>
                <w:rtl/>
              </w:rPr>
              <w:t>(1).</w:t>
            </w:r>
            <w:r>
              <w:rPr>
                <w:rtl/>
              </w:rPr>
              <w:t xml:space="preserve"> </w:t>
            </w:r>
            <w:r w:rsidRPr="005D642E">
              <w:rPr>
                <w:rtl/>
              </w:rPr>
              <w:t>في الوافي :</w:t>
            </w:r>
            <w:r>
              <w:rPr>
                <w:rtl/>
              </w:rPr>
              <w:t xml:space="preserve"> - </w:t>
            </w:r>
            <w:r w:rsidRPr="005D642E">
              <w:rPr>
                <w:rtl/>
              </w:rPr>
              <w:t>« قال</w:t>
            </w:r>
            <w:r>
              <w:rPr>
                <w:rtl/>
              </w:rPr>
              <w:t xml:space="preserve"> ».</w:t>
            </w:r>
          </w:p>
        </w:tc>
        <w:tc>
          <w:tcPr>
            <w:tcW w:w="4006" w:type="dxa"/>
          </w:tcPr>
          <w:p w:rsidR="007C75FA" w:rsidRDefault="007C75FA" w:rsidP="00E3253D">
            <w:pPr>
              <w:pStyle w:val="libFootnote0"/>
              <w:rPr>
                <w:rStyle w:val="libFootnote0Char"/>
                <w:rtl/>
              </w:rPr>
            </w:pPr>
            <w:r w:rsidRPr="0042621E">
              <w:rPr>
                <w:rStyle w:val="libFootnote0Char"/>
                <w:rtl/>
              </w:rPr>
              <w:t>(2).</w:t>
            </w:r>
            <w:r w:rsidRPr="005D642E">
              <w:rPr>
                <w:rtl/>
              </w:rPr>
              <w:t xml:space="preserve"> في الوافي : « المؤمن</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الحبرة » بوزن عنبة : بُرْد يمان ، يقال : برد حبرة ، على الوصف والإضافة ، والجمع : حِبَرٌ وحِبَرات. راجع : </w:t>
      </w:r>
      <w:r w:rsidR="00E3253D" w:rsidRPr="002F4D34">
        <w:rPr>
          <w:rStyle w:val="libFootnoteBoldChar"/>
          <w:rtl/>
        </w:rPr>
        <w:t>الصحاح</w:t>
      </w:r>
      <w:r w:rsidR="00E3253D" w:rsidRPr="005D642E">
        <w:rPr>
          <w:rtl/>
        </w:rPr>
        <w:t xml:space="preserve"> ، ج 2 ، ص 621 ؛ </w:t>
      </w:r>
      <w:r w:rsidR="00E3253D" w:rsidRPr="002F4D34">
        <w:rPr>
          <w:rStyle w:val="libFootnoteBoldChar"/>
          <w:rtl/>
        </w:rPr>
        <w:t>النهاية</w:t>
      </w:r>
      <w:r w:rsidR="00E3253D" w:rsidRPr="005D642E">
        <w:rPr>
          <w:rtl/>
        </w:rPr>
        <w:t xml:space="preserve"> ، ج 1 ، ص 328 ( حبر )</w:t>
      </w:r>
      <w:r w:rsidR="00E3253D">
        <w:rPr>
          <w:rtl/>
        </w:rPr>
        <w:t>.</w:t>
      </w:r>
    </w:p>
    <w:tbl>
      <w:tblPr>
        <w:tblStyle w:val="TableGrid"/>
        <w:bidiVisual/>
        <w:tblW w:w="0" w:type="auto"/>
        <w:tblLook w:val="04A0" w:firstRow="1" w:lastRow="0" w:firstColumn="1" w:lastColumn="0" w:noHBand="0" w:noVBand="1"/>
      </w:tblPr>
      <w:tblGrid>
        <w:gridCol w:w="4006"/>
        <w:gridCol w:w="4006"/>
      </w:tblGrid>
      <w:tr w:rsidR="007C75FA" w:rsidTr="007C75FA">
        <w:tc>
          <w:tcPr>
            <w:tcW w:w="4006" w:type="dxa"/>
          </w:tcPr>
          <w:p w:rsidR="007C75FA" w:rsidRDefault="007C75FA" w:rsidP="00E3253D">
            <w:pPr>
              <w:pStyle w:val="libFootnote0"/>
              <w:rPr>
                <w:rStyle w:val="libFootnote0Char"/>
                <w:rtl/>
              </w:rPr>
            </w:pPr>
            <w:r w:rsidRPr="0042621E">
              <w:rPr>
                <w:rStyle w:val="libFootnote0Char"/>
                <w:rtl/>
              </w:rPr>
              <w:t>(4).</w:t>
            </w:r>
            <w:r w:rsidRPr="005D642E">
              <w:rPr>
                <w:rtl/>
              </w:rPr>
              <w:t xml:space="preserve"> في حاشية « بح » : « عليها</w:t>
            </w:r>
            <w:r>
              <w:rPr>
                <w:rtl/>
              </w:rPr>
              <w:t xml:space="preserve"> ».</w:t>
            </w:r>
          </w:p>
        </w:tc>
        <w:tc>
          <w:tcPr>
            <w:tcW w:w="4006" w:type="dxa"/>
          </w:tcPr>
          <w:p w:rsidR="007C75FA" w:rsidRDefault="007C75FA" w:rsidP="00E3253D">
            <w:pPr>
              <w:pStyle w:val="libFootnote0"/>
              <w:rPr>
                <w:rStyle w:val="libFootnote0Char"/>
                <w:rtl/>
              </w:rPr>
            </w:pPr>
            <w:r w:rsidRPr="0042621E">
              <w:rPr>
                <w:rStyle w:val="libFootnote0Char"/>
                <w:rtl/>
              </w:rPr>
              <w:t>(5).</w:t>
            </w:r>
            <w:r w:rsidRPr="005D642E">
              <w:rPr>
                <w:rtl/>
              </w:rPr>
              <w:t xml:space="preserve"> في « بخ ، بف » : « ويردّ</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جح » وحاشية « بث ، بخ ، جن » : « عليها</w:t>
      </w:r>
      <w:r w:rsidR="00E3253D">
        <w:rPr>
          <w:rtl/>
        </w:rPr>
        <w:t xml:space="preserve"> ».</w:t>
      </w:r>
      <w:r w:rsidR="00E3253D" w:rsidRPr="005D642E">
        <w:rPr>
          <w:rtl/>
        </w:rPr>
        <w:t xml:space="preserve"> وفي </w:t>
      </w:r>
      <w:r w:rsidR="00E3253D" w:rsidRPr="002F4D34">
        <w:rPr>
          <w:rStyle w:val="libFootnoteBoldChar"/>
          <w:rtl/>
        </w:rPr>
        <w:t>الوافي</w:t>
      </w:r>
      <w:r w:rsidR="00E3253D" w:rsidRPr="005D642E">
        <w:rPr>
          <w:rtl/>
        </w:rPr>
        <w:t xml:space="preserve"> : « تردّ مقدّم القميص عليه ؛ يعني تثنيه أوّلاً بوضع نصفه الفوقاني على التحتاني مرّة ؛ لتبصره على هيأة القميص ، ثمّ إذا أردت وضع الميّت عليه ترفعه وتردّه عليه مرّة ا</w:t>
      </w:r>
      <w:r w:rsidR="007C75FA">
        <w:rPr>
          <w:rFonts w:hint="cs"/>
          <w:rtl/>
        </w:rPr>
        <w:t>ُ</w:t>
      </w:r>
      <w:r w:rsidR="00E3253D" w:rsidRPr="005D642E">
        <w:rPr>
          <w:rtl/>
        </w:rPr>
        <w:t>خرى</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308 : « تردّ مقدّم القميص عليه ، أي تلفّ مقدّمه ؛ لتبسط على وضع بعد وضعه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السَحْق : الدقّ أشدّ الدقّ ، وقيل : السحق : الدقّ الرقيق ، وقيل : هو الدقّ بعد الدقّ ، وقيل : السحق : دون الدقّ. والدقّ : اللين ، ضدّ الغلظ. راجع : </w:t>
      </w:r>
      <w:r w:rsidR="00E3253D" w:rsidRPr="002F4D34">
        <w:rPr>
          <w:rStyle w:val="libFootnoteBoldChar"/>
          <w:rtl/>
        </w:rPr>
        <w:t>لسان العرب</w:t>
      </w:r>
      <w:r w:rsidR="00E3253D" w:rsidRPr="005D642E">
        <w:rPr>
          <w:rtl/>
        </w:rPr>
        <w:t xml:space="preserve"> ، ج 10 ، ص 152 ( سحق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 + « </w:t>
      </w:r>
      <w:r w:rsidR="00E3253D">
        <w:rPr>
          <w:rtl/>
        </w:rPr>
        <w:t>و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 مغابنه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القَرْن : الجانب الأعلى من الرأس. راجع : </w:t>
      </w:r>
      <w:r w:rsidR="00E3253D" w:rsidRPr="002F4D34">
        <w:rPr>
          <w:rStyle w:val="libFootnoteBoldChar"/>
          <w:rtl/>
        </w:rPr>
        <w:t>القاموس المحيط</w:t>
      </w:r>
      <w:r w:rsidR="00E3253D" w:rsidRPr="005D642E">
        <w:rPr>
          <w:rtl/>
        </w:rPr>
        <w:t xml:space="preserve"> ، ج 2 ، ص 1606 ( قرن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ى ، بس ، جح ، جس ، جن » وحاشية « بث » </w:t>
      </w:r>
      <w:r w:rsidR="000D749A" w:rsidRPr="000D749A">
        <w:rPr>
          <w:rStyle w:val="libFootnoteBoldChar"/>
          <w:rtl/>
        </w:rPr>
        <w:t>والوافي</w:t>
      </w:r>
      <w:r w:rsidR="00E3253D" w:rsidRPr="005D642E">
        <w:rPr>
          <w:rtl/>
        </w:rPr>
        <w:t xml:space="preserve"> والوسائل ، ح 2954 : « قدمه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غ ، بح ، جح » : « ومنكبه</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في « غ » : « ومرفقه</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بح » : « في » بدون الواو.</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بخ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من قرنه إلى قدميه</w:t>
      </w:r>
      <w:r w:rsidR="00E3253D">
        <w:rPr>
          <w:rtl/>
        </w:rPr>
        <w:t xml:space="preserve"> ..</w:t>
      </w:r>
      <w:r w:rsidR="00E3253D" w:rsidRPr="005D642E">
        <w:rPr>
          <w:rtl/>
        </w:rPr>
        <w:t>. من مفاصله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C75FA" w:rsidTr="007C75FA">
        <w:tc>
          <w:tcPr>
            <w:tcW w:w="4006" w:type="dxa"/>
          </w:tcPr>
          <w:p w:rsidR="007C75FA" w:rsidRDefault="007C75FA" w:rsidP="00E3253D">
            <w:pPr>
              <w:pStyle w:val="libFootnote0"/>
              <w:rPr>
                <w:rtl/>
              </w:rPr>
            </w:pPr>
            <w:r w:rsidRPr="005D642E">
              <w:rPr>
                <w:rtl/>
              </w:rPr>
              <w:t>(1</w:t>
            </w:r>
            <w:r>
              <w:rPr>
                <w:rtl/>
              </w:rPr>
              <w:t>6)</w:t>
            </w:r>
            <w:r w:rsidRPr="005D642E">
              <w:rPr>
                <w:rtl/>
              </w:rPr>
              <w:t xml:space="preserve"> في التهذيب : « من » بدل « وفي</w:t>
            </w:r>
            <w:r>
              <w:rPr>
                <w:rtl/>
              </w:rPr>
              <w:t xml:space="preserve"> ».</w:t>
            </w:r>
          </w:p>
        </w:tc>
        <w:tc>
          <w:tcPr>
            <w:tcW w:w="4006" w:type="dxa"/>
          </w:tcPr>
          <w:p w:rsidR="007C75FA" w:rsidRDefault="007C75FA" w:rsidP="00E3253D">
            <w:pPr>
              <w:pStyle w:val="libFootnote0"/>
              <w:rPr>
                <w:rtl/>
              </w:rPr>
            </w:pPr>
            <w:r w:rsidRPr="005D642E">
              <w:rPr>
                <w:rtl/>
              </w:rPr>
              <w:t>(1</w:t>
            </w:r>
            <w:r>
              <w:rPr>
                <w:rtl/>
              </w:rPr>
              <w:t>7)</w:t>
            </w:r>
            <w:r w:rsidRPr="005D642E">
              <w:rPr>
                <w:rtl/>
              </w:rPr>
              <w:t xml:space="preserve"> في حاشية « بح » : « ويوضع</w:t>
            </w:r>
            <w:r>
              <w:rPr>
                <w:rtl/>
              </w:rPr>
              <w:t xml:space="preserve"> ».</w:t>
            </w:r>
          </w:p>
        </w:tc>
      </w:tr>
      <w:tr w:rsidR="007C75FA" w:rsidTr="007C75FA">
        <w:tc>
          <w:tcPr>
            <w:tcW w:w="4006" w:type="dxa"/>
          </w:tcPr>
          <w:p w:rsidR="007C75FA" w:rsidRDefault="007C75FA" w:rsidP="00E3253D">
            <w:pPr>
              <w:pStyle w:val="libFootnote0"/>
              <w:rPr>
                <w:rtl/>
              </w:rPr>
            </w:pPr>
            <w:r w:rsidRPr="005D642E">
              <w:rPr>
                <w:rtl/>
              </w:rPr>
              <w:t>(1</w:t>
            </w:r>
            <w:r>
              <w:rPr>
                <w:rtl/>
              </w:rPr>
              <w:t>8)</w:t>
            </w:r>
            <w:r w:rsidR="00C23DE8">
              <w:rPr>
                <w:rtl/>
              </w:rPr>
              <w:t xml:space="preserve"> في «بح ،جح»:«</w:t>
            </w:r>
            <w:r w:rsidRPr="005D642E">
              <w:rPr>
                <w:rtl/>
              </w:rPr>
              <w:t>وتردّ</w:t>
            </w:r>
            <w:r>
              <w:rPr>
                <w:rtl/>
              </w:rPr>
              <w:t>».</w:t>
            </w:r>
            <w:r w:rsidR="00C23DE8">
              <w:rPr>
                <w:rtl/>
              </w:rPr>
              <w:t xml:space="preserve"> وفي «بخ»:</w:t>
            </w:r>
            <w:r w:rsidRPr="005D642E">
              <w:rPr>
                <w:rtl/>
              </w:rPr>
              <w:t>« فيردّ</w:t>
            </w:r>
            <w:r>
              <w:rPr>
                <w:rtl/>
              </w:rPr>
              <w:t xml:space="preserve"> ».</w:t>
            </w:r>
          </w:p>
        </w:tc>
        <w:tc>
          <w:tcPr>
            <w:tcW w:w="4006" w:type="dxa"/>
          </w:tcPr>
          <w:p w:rsidR="007C75FA" w:rsidRDefault="007C75FA" w:rsidP="00E3253D">
            <w:pPr>
              <w:pStyle w:val="libFootnote0"/>
              <w:rPr>
                <w:rtl/>
              </w:rPr>
            </w:pPr>
            <w:r w:rsidRPr="005D642E">
              <w:rPr>
                <w:rtl/>
              </w:rPr>
              <w:t>(1</w:t>
            </w:r>
            <w:r>
              <w:rPr>
                <w:rtl/>
              </w:rPr>
              <w:t>9)</w:t>
            </w:r>
            <w:r w:rsidRPr="005D642E">
              <w:rPr>
                <w:rtl/>
              </w:rPr>
              <w:t xml:space="preserve"> في « بف » : « فيكون</w:t>
            </w:r>
            <w:r>
              <w:rPr>
                <w:rtl/>
              </w:rPr>
              <w:t xml:space="preserve"> ».</w:t>
            </w:r>
          </w:p>
        </w:tc>
      </w:tr>
    </w:tbl>
    <w:p w:rsidR="00E3253D" w:rsidRPr="005D642E" w:rsidRDefault="00E3253D" w:rsidP="00E3253D">
      <w:pPr>
        <w:pStyle w:val="libFootnote0"/>
        <w:rPr>
          <w:rtl/>
          <w:lang w:bidi="fa-IR"/>
        </w:rPr>
      </w:pPr>
      <w:r>
        <w:rPr>
          <w:rtl/>
        </w:rPr>
        <w:t>(20)</w:t>
      </w:r>
      <w:r w:rsidRPr="005D642E">
        <w:rPr>
          <w:rtl/>
        </w:rPr>
        <w:t xml:space="preserve"> في « غ » :</w:t>
      </w:r>
      <w:r>
        <w:rPr>
          <w:rtl/>
        </w:rPr>
        <w:t xml:space="preserve"> </w:t>
      </w:r>
      <w:r w:rsidR="007642BC">
        <w:rPr>
          <w:rtl/>
        </w:rPr>
        <w:t>-</w:t>
      </w:r>
      <w:r>
        <w:rPr>
          <w:rtl/>
        </w:rPr>
        <w:t xml:space="preserve"> </w:t>
      </w:r>
      <w:r w:rsidRPr="005D642E">
        <w:rPr>
          <w:rtl/>
        </w:rPr>
        <w:t>« ويكون القميص</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وَلَامَزْرُورٍ </w:t>
      </w:r>
      <w:r w:rsidRPr="007C12DB">
        <w:rPr>
          <w:rStyle w:val="libFootnotenumChar"/>
          <w:rtl/>
        </w:rPr>
        <w:t>(1)</w:t>
      </w:r>
      <w:r w:rsidRPr="005D642E">
        <w:rPr>
          <w:rtl/>
          <w:lang w:bidi="fa-IR"/>
        </w:rPr>
        <w:t xml:space="preserve"> ، وَيَجْعَلُ لَهُ </w:t>
      </w:r>
      <w:r w:rsidRPr="007C12DB">
        <w:rPr>
          <w:rStyle w:val="libFootnotenumChar"/>
          <w:rtl/>
        </w:rPr>
        <w:t>(2)</w:t>
      </w:r>
      <w:r w:rsidRPr="005D642E">
        <w:rPr>
          <w:rtl/>
          <w:lang w:bidi="fa-IR"/>
        </w:rPr>
        <w:t xml:space="preserve"> قِطْعَتَيْنِ مِنْ جَرِيدِ النَّخْلِ </w:t>
      </w:r>
      <w:r w:rsidRPr="007C12DB">
        <w:rPr>
          <w:rStyle w:val="libFootnotenumChar"/>
          <w:rtl/>
        </w:rPr>
        <w:t>(3)</w:t>
      </w:r>
      <w:r w:rsidRPr="005D642E">
        <w:rPr>
          <w:rtl/>
          <w:lang w:bidi="fa-IR"/>
        </w:rPr>
        <w:t xml:space="preserve"> رَطْباً قَدْرَ ذِرَاعٍ : يُجْعَلُ لَهُ </w:t>
      </w:r>
      <w:r w:rsidRPr="007C12DB">
        <w:rPr>
          <w:rStyle w:val="libFootnotenumChar"/>
          <w:rtl/>
        </w:rPr>
        <w:t>(4)</w:t>
      </w:r>
      <w:r w:rsidRPr="005D642E">
        <w:rPr>
          <w:rtl/>
          <w:lang w:bidi="fa-IR"/>
        </w:rPr>
        <w:t xml:space="preserve"> وَاحِدَةٌ بَيْنَ رُكْبَتَيْهِ نِصْفٌ مِمَّا </w:t>
      </w:r>
      <w:r w:rsidRPr="007C12DB">
        <w:rPr>
          <w:rStyle w:val="libFootnotenumChar"/>
          <w:rtl/>
        </w:rPr>
        <w:t>(5)</w:t>
      </w:r>
      <w:r w:rsidRPr="005D642E">
        <w:rPr>
          <w:rtl/>
          <w:lang w:bidi="fa-IR"/>
        </w:rPr>
        <w:t xml:space="preserve"> يَلِي السَّاقَ ، وَنِصْفٌ مِمَّا </w:t>
      </w:r>
      <w:r w:rsidRPr="007C12DB">
        <w:rPr>
          <w:rStyle w:val="libFootnotenumChar"/>
          <w:rtl/>
        </w:rPr>
        <w:t>(6)</w:t>
      </w:r>
      <w:r w:rsidRPr="005D642E">
        <w:rPr>
          <w:rtl/>
          <w:lang w:bidi="fa-IR"/>
        </w:rPr>
        <w:t xml:space="preserve"> يَلِي الْفَخِذَ ، وَيُجْعَلُ </w:t>
      </w:r>
      <w:r w:rsidRPr="007C12DB">
        <w:rPr>
          <w:rStyle w:val="libFootnotenumChar"/>
          <w:rtl/>
        </w:rPr>
        <w:t>(7)</w:t>
      </w:r>
      <w:r w:rsidRPr="005D642E">
        <w:rPr>
          <w:rtl/>
          <w:lang w:bidi="fa-IR"/>
        </w:rPr>
        <w:t xml:space="preserve"> الْأُخْرى تَحْتَ إِبْطِهِ الْأَيْمَنِ ، وَلَايُجْعَلُ فِي مَنْخِرَيْهِ ، وَلَافِي بَصَرِهِ وَمَسَامِعِهِ </w:t>
      </w:r>
      <w:r w:rsidRPr="007C12DB">
        <w:rPr>
          <w:rStyle w:val="libFootnotenumChar"/>
          <w:rtl/>
        </w:rPr>
        <w:t>(8)</w:t>
      </w:r>
      <w:r w:rsidRPr="005D642E">
        <w:rPr>
          <w:rtl/>
          <w:lang w:bidi="fa-IR"/>
        </w:rPr>
        <w:t xml:space="preserve"> ، وَلَاعَلى </w:t>
      </w:r>
      <w:r w:rsidRPr="007C12DB">
        <w:rPr>
          <w:rStyle w:val="libFootnotenumChar"/>
          <w:rtl/>
        </w:rPr>
        <w:t>(9)</w:t>
      </w:r>
      <w:r w:rsidRPr="005D642E">
        <w:rPr>
          <w:rtl/>
          <w:lang w:bidi="fa-IR"/>
        </w:rPr>
        <w:t xml:space="preserve"> وَجْهِهِ قُطْناً </w:t>
      </w:r>
      <w:r w:rsidRPr="007C12DB">
        <w:rPr>
          <w:rStyle w:val="libFootnotenumChar"/>
          <w:rtl/>
        </w:rPr>
        <w:t>(10)</w:t>
      </w:r>
      <w:r w:rsidRPr="005D642E">
        <w:rPr>
          <w:rtl/>
          <w:lang w:bidi="fa-IR"/>
        </w:rPr>
        <w:t xml:space="preserve"> وَلَاكَافُوراً </w:t>
      </w:r>
      <w:r w:rsidRPr="007C12DB">
        <w:rPr>
          <w:rStyle w:val="libFootnotenumChar"/>
          <w:rtl/>
        </w:rPr>
        <w:t>(11)</w:t>
      </w:r>
      <w:r w:rsidRPr="005D642E">
        <w:rPr>
          <w:rtl/>
          <w:lang w:bidi="fa-IR"/>
        </w:rPr>
        <w:t xml:space="preserve"> ، ثُمَّ يُعَمَّمُ يُؤْخَذُ وَسَطُ الْعِمَامَةِ ، فَيُثْنى </w:t>
      </w:r>
      <w:r w:rsidRPr="007C12DB">
        <w:rPr>
          <w:rStyle w:val="libFootnotenumChar"/>
          <w:rtl/>
        </w:rPr>
        <w:t>(12)</w:t>
      </w:r>
      <w:r w:rsidRPr="005D642E">
        <w:rPr>
          <w:rtl/>
          <w:lang w:bidi="fa-IR"/>
        </w:rPr>
        <w:t xml:space="preserve"> عَلى رَأْسِهِ بِالتَّدْوِيرِ </w:t>
      </w:r>
      <w:r w:rsidRPr="007C12DB">
        <w:rPr>
          <w:rStyle w:val="libFootnotenumChar"/>
          <w:rtl/>
        </w:rPr>
        <w:t>(13)</w:t>
      </w:r>
      <w:r w:rsidRPr="005D642E">
        <w:rPr>
          <w:rtl/>
          <w:lang w:bidi="fa-IR"/>
        </w:rPr>
        <w:t xml:space="preserve"> ، ثُمَّ يُلْقى فَضْلُ الشِّقِّ </w:t>
      </w:r>
      <w:r w:rsidRPr="007C12DB">
        <w:rPr>
          <w:rStyle w:val="libFootnotenumChar"/>
          <w:rtl/>
        </w:rPr>
        <w:t>(14)</w:t>
      </w:r>
      <w:r w:rsidRPr="005D642E">
        <w:rPr>
          <w:rtl/>
          <w:lang w:bidi="fa-IR"/>
        </w:rPr>
        <w:t xml:space="preserve"> الْأَيْمَنِ عَلَى الْأَيْسَرِ ، وَالْأَيْسَرِ عَلَى الْأَيْمَنِ ، ثُمَّ يُمَدُّ عَلى صَدْرِهِ</w:t>
      </w:r>
      <w:r>
        <w:rPr>
          <w:rtl/>
          <w:lang w:bidi="fa-IR"/>
        </w:rPr>
        <w:t xml:space="preserve"> ».</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بث » وحاشية « بخ ، جح » : « لا مزرّر</w:t>
      </w:r>
      <w:r w:rsidR="00E3253D">
        <w:rPr>
          <w:rtl/>
        </w:rPr>
        <w:t xml:space="preserve"> ».</w:t>
      </w:r>
      <w:r w:rsidR="00E3253D" w:rsidRPr="005D642E">
        <w:rPr>
          <w:rtl/>
        </w:rPr>
        <w:t xml:space="preserve"> وفي </w:t>
      </w:r>
      <w:r w:rsidR="00E3253D" w:rsidRPr="002F4D34">
        <w:rPr>
          <w:rStyle w:val="libFootnoteBoldChar"/>
          <w:rtl/>
        </w:rPr>
        <w:t>مشرق الشمسين</w:t>
      </w:r>
      <w:r w:rsidR="00E3253D" w:rsidRPr="005D642E">
        <w:rPr>
          <w:rtl/>
        </w:rPr>
        <w:t xml:space="preserve"> ، ص 303 : « غير مزرور ، أي خال عن‌</w:t>
      </w:r>
      <w:r w:rsidR="00C23DE8">
        <w:rPr>
          <w:rFonts w:hint="cs"/>
          <w:rtl/>
        </w:rPr>
        <w:t xml:space="preserve"> </w:t>
      </w:r>
      <w:r w:rsidR="00E3253D" w:rsidRPr="005D642E">
        <w:rPr>
          <w:rtl/>
        </w:rPr>
        <w:t>الأزرار ، والثوب المكفوف : ما خيطت حاشيته</w:t>
      </w:r>
      <w:r w:rsidR="00E3253D">
        <w:rPr>
          <w:rtl/>
        </w:rPr>
        <w:t xml:space="preserve"> ».</w:t>
      </w:r>
      <w:r w:rsidR="00E3253D" w:rsidRPr="005D642E">
        <w:rPr>
          <w:rtl/>
        </w:rPr>
        <w:t xml:space="preserve"> في </w:t>
      </w:r>
      <w:r w:rsidR="00E3253D" w:rsidRPr="002F4D34">
        <w:rPr>
          <w:rStyle w:val="libFootnoteBoldChar"/>
          <w:rtl/>
        </w:rPr>
        <w:t>الوافي</w:t>
      </w:r>
      <w:r w:rsidR="00E3253D" w:rsidRPr="005D642E">
        <w:rPr>
          <w:rtl/>
        </w:rPr>
        <w:t xml:space="preserve"> : « غير مكفوف ولامزرور ؛ ليس له كفّ ولا أزرار</w:t>
      </w:r>
      <w:r w:rsidR="00E3253D">
        <w:rPr>
          <w:rtl/>
        </w:rPr>
        <w:t xml:space="preserve"> ».</w:t>
      </w:r>
      <w:r w:rsidR="00E3253D" w:rsidRPr="005D642E">
        <w:rPr>
          <w:rtl/>
        </w:rPr>
        <w:t xml:space="preserve"> والأزرار : جمع الزِرّ ، وهو الذي يوضع في القميص. وقيل : الزرّ : العروة التي تجعل الحبّة فيها. راجع : </w:t>
      </w:r>
      <w:r w:rsidR="00E3253D" w:rsidRPr="002F4D34">
        <w:rPr>
          <w:rStyle w:val="libFootnoteBoldChar"/>
          <w:rtl/>
        </w:rPr>
        <w:t>لسان العرب</w:t>
      </w:r>
      <w:r w:rsidR="00E3253D" w:rsidRPr="005D642E">
        <w:rPr>
          <w:rtl/>
        </w:rPr>
        <w:t xml:space="preserve"> ، ج 4 ، ص 321 ( زرر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 ح 2938 : « وتجعل له يعني الميّت</w:t>
      </w:r>
      <w:r w:rsidR="00E3253D">
        <w:rPr>
          <w:rtl/>
        </w:rPr>
        <w:t xml:space="preserve"> ».</w:t>
      </w:r>
      <w:r w:rsidR="00E3253D" w:rsidRPr="005D642E">
        <w:rPr>
          <w:rtl/>
        </w:rPr>
        <w:t xml:space="preserve"> وفي التهذيب : « وتجعل 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w:t>
      </w:r>
      <w:r w:rsidR="000D749A" w:rsidRPr="000D749A">
        <w:rPr>
          <w:rStyle w:val="libFootnoteBoldChar"/>
          <w:rtl/>
        </w:rPr>
        <w:t>والوافي</w:t>
      </w:r>
      <w:r w:rsidR="00E3253D" w:rsidRPr="005D642E">
        <w:rPr>
          <w:rtl/>
        </w:rPr>
        <w:t xml:space="preserve"> : « جرائد النخل</w:t>
      </w:r>
      <w:r w:rsidR="00E3253D">
        <w:rPr>
          <w:rtl/>
        </w:rPr>
        <w:t xml:space="preserve"> ».</w:t>
      </w:r>
      <w:r w:rsidR="00E3253D" w:rsidRPr="005D642E">
        <w:rPr>
          <w:rtl/>
        </w:rPr>
        <w:t xml:space="preserve"> وقوله : « جَريد النخل » : الغصن الذي يُجْرَد عنه الخُوص ، أي الورقُ ، ولايسمّى جريداً ما دام عليه الخوص ، وإنّما يسمّى سَعَفاً. قال الشيخ البهائي : « وربّما يسمّى الجريد سَعَفاً أيضاً</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455 ؛ </w:t>
      </w:r>
      <w:r w:rsidR="00E3253D" w:rsidRPr="002F4D34">
        <w:rPr>
          <w:rStyle w:val="libFootnoteBoldChar"/>
          <w:rtl/>
        </w:rPr>
        <w:t>المصباح المنير</w:t>
      </w:r>
      <w:r w:rsidR="00E3253D" w:rsidRPr="005D642E">
        <w:rPr>
          <w:rtl/>
        </w:rPr>
        <w:t xml:space="preserve"> ، ص 96 ( جرد ) ؛ </w:t>
      </w:r>
      <w:r w:rsidR="00E3253D" w:rsidRPr="002F4D34">
        <w:rPr>
          <w:rStyle w:val="libFootnoteBoldChar"/>
          <w:rtl/>
        </w:rPr>
        <w:t>الحبل المتين</w:t>
      </w:r>
      <w:r w:rsidR="00E3253D" w:rsidRPr="005D642E">
        <w:rPr>
          <w:rtl/>
        </w:rPr>
        <w:t xml:space="preserve"> ، ص 230.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w:t>
      </w:r>
      <w:r w:rsidR="00B60612" w:rsidRPr="00B60612">
        <w:rPr>
          <w:rStyle w:val="libFootnoteBoldChar"/>
          <w:rtl/>
        </w:rPr>
        <w:t>والتهذيب</w:t>
      </w:r>
      <w:r w:rsidR="00E3253D" w:rsidRPr="005D642E">
        <w:rPr>
          <w:rtl/>
        </w:rPr>
        <w:t xml:space="preserve"> : « تجعل له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بس ، جس ، جن » وحاشية « بث ، جح » والوسائل ، ح 2938 : « فيما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بس ، جس ، جن » والوسائل ، ح 2938 : « فيما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23DE8" w:rsidTr="00C23DE8">
        <w:tc>
          <w:tcPr>
            <w:tcW w:w="4006" w:type="dxa"/>
          </w:tcPr>
          <w:p w:rsidR="00C23DE8" w:rsidRDefault="00C23DE8" w:rsidP="00E3253D">
            <w:pPr>
              <w:pStyle w:val="libFootnote0"/>
              <w:rPr>
                <w:rStyle w:val="libFootnote0Char"/>
                <w:rtl/>
              </w:rPr>
            </w:pPr>
            <w:r w:rsidRPr="0042621E">
              <w:rPr>
                <w:rStyle w:val="libFootnote0Char"/>
                <w:rtl/>
              </w:rPr>
              <w:t>(7).</w:t>
            </w:r>
            <w:r w:rsidRPr="005D642E">
              <w:rPr>
                <w:rtl/>
              </w:rPr>
              <w:t xml:space="preserve"> في التهذيب : « وتجعل</w:t>
            </w:r>
            <w:r>
              <w:rPr>
                <w:rtl/>
              </w:rPr>
              <w:t xml:space="preserve"> ».</w:t>
            </w:r>
          </w:p>
        </w:tc>
        <w:tc>
          <w:tcPr>
            <w:tcW w:w="4006" w:type="dxa"/>
          </w:tcPr>
          <w:p w:rsidR="00C23DE8" w:rsidRDefault="00C23DE8" w:rsidP="00E3253D">
            <w:pPr>
              <w:pStyle w:val="libFootnote0"/>
              <w:rPr>
                <w:rStyle w:val="libFootnote0Char"/>
                <w:rtl/>
              </w:rPr>
            </w:pPr>
            <w:r w:rsidRPr="0042621E">
              <w:rPr>
                <w:rStyle w:val="libFootnote0Char"/>
                <w:rtl/>
              </w:rPr>
              <w:t>(8).</w:t>
            </w:r>
            <w:r w:rsidRPr="005D642E">
              <w:rPr>
                <w:rtl/>
              </w:rPr>
              <w:t xml:space="preserve"> في « جن » : « ولا في مسامعه</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على</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C23DE8">
        <w:rPr>
          <w:rStyle w:val="libFootnoteAlaemChar"/>
          <w:rtl/>
        </w:rPr>
        <w:t>عليه‌السلام</w:t>
      </w:r>
      <w:r w:rsidR="00E3253D" w:rsidRPr="005D642E">
        <w:rPr>
          <w:rtl/>
        </w:rPr>
        <w:t xml:space="preserve"> : ولا على وجهه ، أي سوى الجبهة والأنف</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الوافي</w:t>
      </w:r>
      <w:r w:rsidR="00E3253D" w:rsidRPr="005D642E">
        <w:rPr>
          <w:rtl/>
        </w:rPr>
        <w:t xml:space="preserve"> : « وما في هذا الخبر وغيره من المنع من جعل الكافور على مسامعه وبصره ومنخره ووجهه ينافي ما يأتي من الأمر به في أخبار ا</w:t>
      </w:r>
      <w:r w:rsidR="00C23DE8">
        <w:rPr>
          <w:rFonts w:hint="cs"/>
          <w:rtl/>
        </w:rPr>
        <w:t>ُ</w:t>
      </w:r>
      <w:r w:rsidR="00E3253D" w:rsidRPr="005D642E">
        <w:rPr>
          <w:rtl/>
        </w:rPr>
        <w:t>خر ، ولعلّ الترك أحوط</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والأخبار في تحنيط المسامع مختلفة ، وقد يحمل أخبار المنع على الإدخال ، وأخبار الأمر على جعله عليها ، ويمكن حمل الأمر على التقيّة</w:t>
      </w:r>
      <w:r w:rsidR="00E3253D">
        <w:rPr>
          <w:rtl/>
        </w:rPr>
        <w:t xml:space="preserve"> ».</w:t>
      </w:r>
    </w:p>
    <w:p w:rsidR="00E3253D" w:rsidRPr="005D642E" w:rsidRDefault="0042621E" w:rsidP="00C23DE8">
      <w:pPr>
        <w:pStyle w:val="libFootnote0"/>
        <w:rPr>
          <w:rtl/>
          <w:lang w:bidi="fa-IR"/>
        </w:rPr>
      </w:pPr>
      <w:r w:rsidRPr="0042621E">
        <w:rPr>
          <w:rStyle w:val="libFootnote0Char"/>
          <w:rtl/>
        </w:rPr>
        <w:t>(12).</w:t>
      </w:r>
      <w:r w:rsidR="00E3253D" w:rsidRPr="005D642E">
        <w:rPr>
          <w:rtl/>
        </w:rPr>
        <w:t xml:space="preserve"> في « ظ » : « فتثنى</w:t>
      </w:r>
      <w:r w:rsidR="00E3253D">
        <w:rPr>
          <w:rtl/>
        </w:rPr>
        <w:t xml:space="preserve"> ».</w:t>
      </w:r>
      <w:r w:rsidR="00E3253D" w:rsidRPr="005D642E">
        <w:rPr>
          <w:rtl/>
        </w:rPr>
        <w:t xml:space="preserve"> ويُثنى ، أي يُعْطَف ، يقال : ثنيت الشي‌ءَ أثنيه ثنياً من باب رمى ، إذا عطفته ورددته. راجع : </w:t>
      </w:r>
      <w:r w:rsidR="00E3253D" w:rsidRPr="002F4D34">
        <w:rPr>
          <w:rStyle w:val="libFootnoteBoldChar"/>
          <w:rtl/>
        </w:rPr>
        <w:t>المصباح المنير</w:t>
      </w:r>
      <w:r w:rsidR="00E3253D" w:rsidRPr="005D642E">
        <w:rPr>
          <w:rtl/>
        </w:rPr>
        <w:t xml:space="preserve"> ، ص 85 ( ثنى )</w:t>
      </w:r>
      <w:r w:rsidR="00E3253D">
        <w:rPr>
          <w:rtl/>
        </w:rPr>
        <w:t>.</w:t>
      </w:r>
      <w:r w:rsidR="00C23DE8">
        <w:rPr>
          <w:rFonts w:hint="cs"/>
          <w:rtl/>
        </w:rPr>
        <w:t xml:space="preserve">        </w:t>
      </w:r>
      <w:r w:rsidRPr="0042621E">
        <w:rPr>
          <w:rStyle w:val="libFootnote0Char"/>
          <w:rtl/>
        </w:rPr>
        <w:t>(13).</w:t>
      </w:r>
      <w:r w:rsidR="00E3253D">
        <w:rPr>
          <w:rtl/>
        </w:rPr>
        <w:t xml:space="preserve"> </w:t>
      </w:r>
      <w:r w:rsidR="00E3253D" w:rsidRPr="005D642E">
        <w:rPr>
          <w:rtl/>
        </w:rPr>
        <w:t>في التهذيب : « بالتدور</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الشقّ</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التهذيب</w:t>
      </w:r>
      <w:r w:rsidR="00E3253D" w:rsidRPr="005D642E">
        <w:rPr>
          <w:rtl/>
        </w:rPr>
        <w:t xml:space="preserve"> ، ج 1 ، ص 306 ، ح 888 ، بسنده عن الكليني </w:t>
      </w:r>
      <w:r w:rsidR="00C23DE8">
        <w:rPr>
          <w:rFonts w:hint="cs"/>
          <w:rtl/>
        </w:rPr>
        <w:t>.</w:t>
      </w:r>
      <w:r w:rsidR="00E3253D" w:rsidRPr="002F4D34">
        <w:rPr>
          <w:rStyle w:val="libFootnoteBoldChar"/>
          <w:rtl/>
        </w:rPr>
        <w:t>الوافي</w:t>
      </w:r>
      <w:r w:rsidR="00E3253D" w:rsidRPr="005D642E">
        <w:rPr>
          <w:rtl/>
        </w:rPr>
        <w:t xml:space="preserve"> ، ج 24 ، ص 363 ، ح 24215 ؛ </w:t>
      </w:r>
      <w:r w:rsidR="00E3253D" w:rsidRPr="002F4D34">
        <w:rPr>
          <w:rStyle w:val="libFootnoteBoldChar"/>
          <w:rtl/>
        </w:rPr>
        <w:t>الوسائل</w:t>
      </w:r>
      <w:r w:rsidR="00E3253D" w:rsidRPr="005D642E">
        <w:rPr>
          <w:rtl/>
        </w:rPr>
        <w:t xml:space="preserve"> ، ج 3 ، ص 32 ، ح 2954 ؛ </w:t>
      </w:r>
      <w:r w:rsidR="00E3253D" w:rsidRPr="002F4D34">
        <w:rPr>
          <w:rStyle w:val="libFootnoteBoldChar"/>
          <w:rtl/>
        </w:rPr>
        <w:t>فيه</w:t>
      </w:r>
      <w:r w:rsidR="00E3253D" w:rsidRPr="005D642E">
        <w:rPr>
          <w:rtl/>
        </w:rPr>
        <w:t xml:space="preserve"> ، ص 27 ، ح 2938 ، من قوله : « يجعل له قطعتين من جريد » إلى قوله : « تحت إبطه الأيمن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9835B1">
        <w:rPr>
          <w:rtl/>
        </w:rPr>
        <w:t>4339</w:t>
      </w:r>
      <w:r w:rsidRPr="00246318">
        <w:rPr>
          <w:rStyle w:val="libBold2Char"/>
          <w:rtl/>
        </w:rPr>
        <w:t xml:space="preserve"> / 2.</w:t>
      </w:r>
      <w:r w:rsidRPr="005D642E">
        <w:rPr>
          <w:rtl/>
          <w:lang w:bidi="fa-IR"/>
        </w:rPr>
        <w:t xml:space="preserve"> عَلِيُّ بْنُ إِبْرَاهِيمَ ، عَنْ أَبِيهِ ، عَنْ عَمْرِو بْنِ عُثْمَانَ ، عَنْ مُفَضَّلِ بْنِ صَالِحٍ ، عَنْ زَيْدٍ الشَّحَّامِ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sidRPr="005D642E">
        <w:rPr>
          <w:rtl/>
          <w:lang w:bidi="fa-IR"/>
        </w:rPr>
        <w:t xml:space="preserve"> عَنْ رَسُولِ اللهِ </w:t>
      </w:r>
      <w:r w:rsidR="0042621E" w:rsidRPr="0042621E">
        <w:rPr>
          <w:rStyle w:val="libAlaemChar"/>
          <w:rtl/>
        </w:rPr>
        <w:t>صلى‌الله‌عليه‌وآله</w:t>
      </w:r>
      <w:r w:rsidRPr="005D642E">
        <w:rPr>
          <w:rtl/>
          <w:lang w:bidi="fa-IR"/>
        </w:rPr>
        <w:t xml:space="preserve"> : بِمَ كُفِّنَ</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(1)</w:t>
      </w:r>
      <w:r w:rsidRPr="005D642E">
        <w:rPr>
          <w:rtl/>
          <w:lang w:bidi="fa-IR"/>
        </w:rPr>
        <w:t xml:space="preserve"> : « فِي ثَلَاثَةِ </w:t>
      </w:r>
      <w:r w:rsidRPr="007C12DB">
        <w:rPr>
          <w:rStyle w:val="libFootnotenumChar"/>
          <w:rtl/>
        </w:rPr>
        <w:t>(2)</w:t>
      </w:r>
      <w:r w:rsidRPr="005D642E">
        <w:rPr>
          <w:rtl/>
          <w:lang w:bidi="fa-IR"/>
        </w:rPr>
        <w:t xml:space="preserve"> أَثْوَابٍ : ثَوْبَيْنِ صُحَارِيَّيْنِ </w:t>
      </w:r>
      <w:r w:rsidRPr="007C12DB">
        <w:rPr>
          <w:rStyle w:val="libFootnotenumChar"/>
          <w:rtl/>
        </w:rPr>
        <w:t>(3)</w:t>
      </w:r>
      <w:r w:rsidRPr="005D642E">
        <w:rPr>
          <w:rtl/>
          <w:lang w:bidi="fa-IR"/>
        </w:rPr>
        <w:t xml:space="preserve"> ، وَبُرْدٍ حِبَرَةٍ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9835B1">
        <w:rPr>
          <w:rtl/>
        </w:rPr>
        <w:t>4340</w:t>
      </w:r>
      <w:r w:rsidRPr="00246318">
        <w:rPr>
          <w:rStyle w:val="libBold2Char"/>
          <w:rtl/>
        </w:rPr>
        <w:t xml:space="preserve"> / 3.</w:t>
      </w:r>
      <w:r w:rsidRPr="005D642E">
        <w:rPr>
          <w:rtl/>
          <w:lang w:bidi="fa-IR"/>
        </w:rPr>
        <w:t xml:space="preserve"> عِدَّةٌ مِنْ أَصْحَابِنَا ، عَنْ أَحْمَدَ بْنِ مُحَمَّدٍ ، عَنْ عُثْمَانَ بْنِ عِيسى ، عَنْ سَمَاعَةَ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كَفَّنْتَ الْمَيِّتَ ، فَذُرَّ </w:t>
      </w:r>
      <w:r w:rsidRPr="007C12DB">
        <w:rPr>
          <w:rStyle w:val="libFootnotenumChar"/>
          <w:rtl/>
        </w:rPr>
        <w:t>(6)</w:t>
      </w:r>
      <w:r w:rsidRPr="005D642E">
        <w:rPr>
          <w:rtl/>
          <w:lang w:bidi="fa-IR"/>
        </w:rPr>
        <w:t xml:space="preserve"> عَلى كُلِّ ثَوْبٍ شَيْئاً مِنْ ذَرِيرَةٍ </w:t>
      </w:r>
      <w:r w:rsidRPr="007C12DB">
        <w:rPr>
          <w:rStyle w:val="libFootnotenumChar"/>
          <w:rtl/>
        </w:rPr>
        <w:t>(7)</w:t>
      </w:r>
      <w:r w:rsidRPr="005D642E">
        <w:rPr>
          <w:rtl/>
          <w:lang w:bidi="fa-IR"/>
        </w:rPr>
        <w:t xml:space="preserve"> وَكَافُورٍ</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بث » : « بثلاثة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صُحار : قرية باليمن ينتسب الثوب إليها. وقيل : هو من الصُحْرة ، وهي حمرة خفيّة كالغُبرة ، يقال : ثوب أصحر وصُحاريّ. وقال الجوهري : « صُحار بالضمّ : قصبة عمّان ممّا يلي الجبل</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709 ؛ </w:t>
      </w:r>
      <w:r w:rsidR="00E3253D" w:rsidRPr="002F4D34">
        <w:rPr>
          <w:rStyle w:val="libFootnoteBoldChar"/>
          <w:rtl/>
        </w:rPr>
        <w:t>النهاية</w:t>
      </w:r>
      <w:r w:rsidR="00E3253D" w:rsidRPr="005D642E">
        <w:rPr>
          <w:rtl/>
        </w:rPr>
        <w:t xml:space="preserve"> ، ج 3 ، ص 12 ( صحر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البُرْد : ثوب مخطّط. وقد يطلق على غير المخطّط أيضاً. والحِبَرة بوزن عنبة : بُردُ يمانٍ ، يقال : برد حبرة ، على الوصف والإضافة ، والجمع : حِبَر وحِبَرات. راجع : </w:t>
      </w:r>
      <w:r w:rsidR="00E3253D" w:rsidRPr="002F4D34">
        <w:rPr>
          <w:rStyle w:val="libFootnoteBoldChar"/>
          <w:rtl/>
        </w:rPr>
        <w:t>الصحاح</w:t>
      </w:r>
      <w:r w:rsidR="00E3253D" w:rsidRPr="005D642E">
        <w:rPr>
          <w:rtl/>
        </w:rPr>
        <w:t xml:space="preserve"> ، ج 2 ، ص 621 ؛ </w:t>
      </w:r>
      <w:r w:rsidR="00E3253D" w:rsidRPr="002F4D34">
        <w:rPr>
          <w:rStyle w:val="libFootnoteBoldChar"/>
          <w:rtl/>
        </w:rPr>
        <w:t>النهاية</w:t>
      </w:r>
      <w:r w:rsidR="002D4EFF">
        <w:rPr>
          <w:rtl/>
        </w:rPr>
        <w:t xml:space="preserve"> ، ج 1 ، ص 328 (حبر</w:t>
      </w:r>
      <w:r w:rsidR="00E3253D" w:rsidRPr="005D642E">
        <w:rPr>
          <w:rtl/>
        </w:rPr>
        <w:t xml:space="preserve">) ؛ </w:t>
      </w:r>
      <w:r w:rsidR="00E3253D" w:rsidRPr="002F4D34">
        <w:rPr>
          <w:rStyle w:val="libFootnoteBoldChar"/>
          <w:rtl/>
        </w:rPr>
        <w:t>لسان العرب</w:t>
      </w:r>
      <w:r w:rsidR="00E3253D" w:rsidRPr="005D642E">
        <w:rPr>
          <w:rtl/>
        </w:rPr>
        <w:t xml:space="preserve"> ، ج 3 ، ص 87 ؛ </w:t>
      </w:r>
      <w:r w:rsidR="00E3253D" w:rsidRPr="002F4D34">
        <w:rPr>
          <w:rStyle w:val="libFootnoteBoldChar"/>
          <w:rtl/>
        </w:rPr>
        <w:t>القاموس المحيط</w:t>
      </w:r>
      <w:r w:rsidR="00E3253D" w:rsidRPr="005D642E">
        <w:rPr>
          <w:rtl/>
        </w:rPr>
        <w:t xml:space="preserve"> ، ج 1 ، ص 394 ( برد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الكافي</w:t>
      </w:r>
      <w:r w:rsidR="00E3253D" w:rsidRPr="005D642E">
        <w:rPr>
          <w:rtl/>
        </w:rPr>
        <w:t xml:space="preserve"> ، كتاب الحجّة ، باب أنّه لي</w:t>
      </w:r>
      <w:r w:rsidR="002D4EFF">
        <w:rPr>
          <w:rtl/>
        </w:rPr>
        <w:t>س شي‌ء من الحقّ في يد الناس إل</w:t>
      </w:r>
      <w:r w:rsidR="002D4EFF">
        <w:rPr>
          <w:rFonts w:hint="cs"/>
          <w:rtl/>
        </w:rPr>
        <w:t>ّ</w:t>
      </w:r>
      <w:r w:rsidR="002D4EFF">
        <w:rPr>
          <w:rtl/>
        </w:rPr>
        <w:t>ا</w:t>
      </w:r>
      <w:r w:rsidR="002D4EFF">
        <w:rPr>
          <w:rFonts w:hint="cs"/>
          <w:rtl/>
        </w:rPr>
        <w:t xml:space="preserve"> </w:t>
      </w:r>
      <w:r w:rsidR="00E3253D" w:rsidRPr="005D642E">
        <w:rPr>
          <w:rtl/>
        </w:rPr>
        <w:t xml:space="preserve">ما خرج من عند الأئمّة </w:t>
      </w:r>
      <w:r w:rsidR="00E3253D" w:rsidRPr="002D4EFF">
        <w:rPr>
          <w:rStyle w:val="libFootnoteAlaemChar"/>
          <w:rtl/>
        </w:rPr>
        <w:t>عليهم‌السلام</w:t>
      </w:r>
      <w:r w:rsidR="00E3253D">
        <w:rPr>
          <w:rtl/>
        </w:rPr>
        <w:t xml:space="preserve"> ..</w:t>
      </w:r>
      <w:r w:rsidR="00E3253D" w:rsidRPr="005D642E">
        <w:rPr>
          <w:rtl/>
        </w:rPr>
        <w:t xml:space="preserve">. ، ضمن ح 1052 ، بسند آخر. </w:t>
      </w:r>
      <w:r w:rsidR="00E3253D" w:rsidRPr="002F4D34">
        <w:rPr>
          <w:rStyle w:val="libFootnoteBoldChar"/>
          <w:rtl/>
        </w:rPr>
        <w:t>التهذيب</w:t>
      </w:r>
      <w:r w:rsidR="00E3253D" w:rsidRPr="005D642E">
        <w:rPr>
          <w:rtl/>
        </w:rPr>
        <w:t xml:space="preserve"> ، ج 1 ، ص 292 ، ح 853 ، بسند آخر عن أبي جعفر </w:t>
      </w:r>
      <w:r w:rsidR="00E3253D" w:rsidRPr="002D4EFF">
        <w:rPr>
          <w:rStyle w:val="libFootnoteAlaemChar"/>
          <w:rtl/>
        </w:rPr>
        <w:t>عليه‌السلام</w:t>
      </w:r>
      <w:r w:rsidR="00E3253D" w:rsidRPr="005D642E">
        <w:rPr>
          <w:rtl/>
        </w:rPr>
        <w:t xml:space="preserve">. </w:t>
      </w:r>
      <w:r w:rsidR="00E3253D" w:rsidRPr="002F4D34">
        <w:rPr>
          <w:rStyle w:val="libFootnoteBoldChar"/>
          <w:rtl/>
        </w:rPr>
        <w:t>وفيه</w:t>
      </w:r>
      <w:r w:rsidR="00E3253D" w:rsidRPr="005D642E">
        <w:rPr>
          <w:rtl/>
        </w:rPr>
        <w:t xml:space="preserve"> ، ص 291 ، ح 850 ، بسند آخر من دون الإسناد إلى المعصوم </w:t>
      </w:r>
      <w:r w:rsidR="00E3253D" w:rsidRPr="002D4EFF">
        <w:rPr>
          <w:rStyle w:val="libFootnoteAlaemChar"/>
          <w:rtl/>
        </w:rPr>
        <w:t>عليه‌السلام</w:t>
      </w:r>
      <w:r w:rsidR="00E3253D" w:rsidRPr="005D642E">
        <w:rPr>
          <w:rtl/>
        </w:rPr>
        <w:t xml:space="preserve"> ، مع زيادة في أوّله وآخره. وفي كلّ المصادر مع اختلاف يسير. وراجع : </w:t>
      </w:r>
      <w:r w:rsidR="00E3253D" w:rsidRPr="002F4D34">
        <w:rPr>
          <w:rStyle w:val="libFootnoteBoldChar"/>
          <w:rtl/>
        </w:rPr>
        <w:t>الفقيه</w:t>
      </w:r>
      <w:r w:rsidR="00E3253D" w:rsidRPr="005D642E">
        <w:rPr>
          <w:rtl/>
        </w:rPr>
        <w:t xml:space="preserve"> ، ج 1 ، ص 152 ، ح 419 </w:t>
      </w:r>
      <w:r w:rsidR="002D4EFF">
        <w:rPr>
          <w:rFonts w:hint="cs"/>
          <w:rtl/>
        </w:rPr>
        <w:t>.</w:t>
      </w:r>
      <w:r w:rsidR="00E3253D" w:rsidRPr="002F4D34">
        <w:rPr>
          <w:rStyle w:val="libFootnoteBoldChar"/>
          <w:rtl/>
        </w:rPr>
        <w:t>الوافي</w:t>
      </w:r>
      <w:r w:rsidR="00E3253D" w:rsidRPr="005D642E">
        <w:rPr>
          <w:rtl/>
        </w:rPr>
        <w:t xml:space="preserve"> ، ج 24 ، ص 357 ، ح 24200 ؛ </w:t>
      </w:r>
      <w:r w:rsidR="00E3253D" w:rsidRPr="002F4D34">
        <w:rPr>
          <w:rStyle w:val="libFootnoteBoldChar"/>
          <w:rtl/>
        </w:rPr>
        <w:t>الوسائل</w:t>
      </w:r>
      <w:r w:rsidR="00E3253D" w:rsidRPr="005D642E">
        <w:rPr>
          <w:rtl/>
        </w:rPr>
        <w:t xml:space="preserve"> ، ج 3 ، ص 9 ، ح 2877 ؛ </w:t>
      </w:r>
      <w:r w:rsidR="00E3253D" w:rsidRPr="002F4D34">
        <w:rPr>
          <w:rStyle w:val="libFootnoteBoldChar"/>
          <w:rtl/>
        </w:rPr>
        <w:t>البحار</w:t>
      </w:r>
      <w:r w:rsidR="00E3253D" w:rsidRPr="005D642E">
        <w:rPr>
          <w:rtl/>
        </w:rPr>
        <w:t xml:space="preserve"> ، ج 22 ، ص 538 ، ح 40.</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الذَرّ » : هو أخذك الشي‌ء بأطراف أصابعك تذرّه ذرّ الملح المسحوق على الطعام. وذررت الملح والحبّ ، أي</w:t>
      </w:r>
      <w:r w:rsidR="002D4EFF">
        <w:rPr>
          <w:rFonts w:hint="cs"/>
          <w:rtl/>
        </w:rPr>
        <w:t xml:space="preserve"> </w:t>
      </w:r>
      <w:r w:rsidR="00E3253D" w:rsidRPr="005D642E">
        <w:rPr>
          <w:rtl/>
        </w:rPr>
        <w:t xml:space="preserve">‌فرّقته. راجع : </w:t>
      </w:r>
      <w:r w:rsidR="00E3253D" w:rsidRPr="002F4D34">
        <w:rPr>
          <w:rStyle w:val="libFootnoteBoldChar"/>
          <w:rtl/>
        </w:rPr>
        <w:t>لسان العرب</w:t>
      </w:r>
      <w:r w:rsidR="00E3253D" w:rsidRPr="005D642E">
        <w:rPr>
          <w:rtl/>
        </w:rPr>
        <w:t xml:space="preserve"> ، ج 4 ، ص 303 ( ذرر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الذريرة » : نوع من الطيب مجموع من أخلاط. وقيل : هي فُتات ، أي ما فُتّت وكُسرت كِسَراً صغيرة من قصب الطيب ، وهو قصب يؤتى بها من بلد الهند يشبه قصب النُشّاب ، أي قصب السهام. وقيل غير ذلك. راجع : </w:t>
      </w:r>
      <w:r w:rsidR="00E3253D" w:rsidRPr="002F4D34">
        <w:rPr>
          <w:rStyle w:val="libFootnoteBoldChar"/>
          <w:rtl/>
        </w:rPr>
        <w:t>لسان العرب</w:t>
      </w:r>
      <w:r w:rsidR="00E3253D" w:rsidRPr="005D642E">
        <w:rPr>
          <w:rtl/>
        </w:rPr>
        <w:t xml:space="preserve"> ، ج 4 ، ص 303 ؛ </w:t>
      </w:r>
      <w:r w:rsidR="00E3253D" w:rsidRPr="002F4D34">
        <w:rPr>
          <w:rStyle w:val="libFootnoteBoldChar"/>
          <w:rtl/>
        </w:rPr>
        <w:t>المصباح المنير</w:t>
      </w:r>
      <w:r w:rsidR="00E3253D" w:rsidRPr="005D642E">
        <w:rPr>
          <w:rtl/>
        </w:rPr>
        <w:t xml:space="preserve"> ، ص 207 ( زرر ) ؛ </w:t>
      </w:r>
      <w:r w:rsidR="00E3253D" w:rsidRPr="002F4D34">
        <w:rPr>
          <w:rStyle w:val="libFootnoteBoldChar"/>
          <w:rtl/>
        </w:rPr>
        <w:t>الحبل المتين</w:t>
      </w:r>
      <w:r w:rsidR="00E3253D" w:rsidRPr="005D642E">
        <w:rPr>
          <w:rtl/>
        </w:rPr>
        <w:t xml:space="preserve"> ، ص 210.</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307 ، ح 889 ؛ وص 435 ، ح 1399 ، معلّقاً عن الحسين بن سعيد ، عن عثمان بن عيسى ، وفي الأخير مع زيادة في آخره </w:t>
      </w:r>
      <w:r w:rsidR="002D4EFF">
        <w:rPr>
          <w:rFonts w:hint="cs"/>
          <w:rtl/>
        </w:rPr>
        <w:t>.</w:t>
      </w:r>
      <w:r w:rsidR="00E3253D" w:rsidRPr="002F4D34">
        <w:rPr>
          <w:rStyle w:val="libFootnoteBoldChar"/>
          <w:rtl/>
        </w:rPr>
        <w:t>الوافي</w:t>
      </w:r>
      <w:r w:rsidR="00E3253D" w:rsidRPr="005D642E">
        <w:rPr>
          <w:rtl/>
        </w:rPr>
        <w:t xml:space="preserve"> ، ج 24 ، ص 364 ، ح 24216 ؛ </w:t>
      </w:r>
      <w:r w:rsidR="00E3253D" w:rsidRPr="002F4D34">
        <w:rPr>
          <w:rStyle w:val="libFootnoteBoldChar"/>
          <w:rtl/>
        </w:rPr>
        <w:t>الوسائل</w:t>
      </w:r>
      <w:r w:rsidR="00E3253D" w:rsidRPr="005D642E">
        <w:rPr>
          <w:rtl/>
        </w:rPr>
        <w:t xml:space="preserve"> ، ج 3 ، ص 35 ، ح 2958.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D69C1">
        <w:rPr>
          <w:rtl/>
        </w:rPr>
        <w:t>4341</w:t>
      </w:r>
      <w:r w:rsidRPr="00246318">
        <w:rPr>
          <w:rStyle w:val="libBold2Char"/>
          <w:rtl/>
        </w:rPr>
        <w:t xml:space="preserve"> / 4.</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أَرَدْتَ أَنْ تُحَنِّطَ الْمَيِّتَ ، فَاعْمِدْ إِلَى الْكَافُورِ ، فَامْسَحْ بِهِ آثَارَ السُّجُودِ مِنْهُ ، وَمَفَاصِلَهُ كُلَّهَا ، وَرَأْسَهُ وَلِحْيَتَهُ ، وَعَلى صَدْرِهِ </w:t>
      </w:r>
      <w:r w:rsidRPr="007C12DB">
        <w:rPr>
          <w:rStyle w:val="libFootnotenumChar"/>
          <w:rtl/>
        </w:rPr>
        <w:t>(1)</w:t>
      </w:r>
      <w:r w:rsidRPr="005D642E">
        <w:rPr>
          <w:rtl/>
          <w:lang w:bidi="fa-IR"/>
        </w:rPr>
        <w:t xml:space="preserve"> مِنَ الْحَنُوطِ</w:t>
      </w:r>
      <w:r>
        <w:rPr>
          <w:rtl/>
          <w:lang w:bidi="fa-IR"/>
        </w:rPr>
        <w:t xml:space="preserve"> ».</w:t>
      </w:r>
      <w:r w:rsidRPr="005D642E">
        <w:rPr>
          <w:rtl/>
          <w:lang w:bidi="fa-IR"/>
        </w:rPr>
        <w:t xml:space="preserve"> وَقَالَ : « حَنُوطُ الرَّجُلِ </w:t>
      </w:r>
      <w:r w:rsidRPr="007C12DB">
        <w:rPr>
          <w:rStyle w:val="libFootnotenumChar"/>
          <w:rtl/>
        </w:rPr>
        <w:t>(2)</w:t>
      </w:r>
      <w:r w:rsidRPr="005D642E">
        <w:rPr>
          <w:rtl/>
          <w:lang w:bidi="fa-IR"/>
        </w:rPr>
        <w:t xml:space="preserve"> وَالْمَرْأَةِ سَوَاءٌ</w:t>
      </w:r>
      <w:r>
        <w:rPr>
          <w:rtl/>
          <w:lang w:bidi="fa-IR"/>
        </w:rPr>
        <w:t xml:space="preserve"> ».</w:t>
      </w:r>
      <w:r w:rsidRPr="005D642E">
        <w:rPr>
          <w:rtl/>
          <w:lang w:bidi="fa-IR"/>
        </w:rPr>
        <w:t xml:space="preserve"> وَقَالَ : « وَأَكْرَهُ </w:t>
      </w:r>
      <w:r w:rsidRPr="007C12DB">
        <w:rPr>
          <w:rStyle w:val="libFootnotenumChar"/>
          <w:rtl/>
        </w:rPr>
        <w:t>(3)</w:t>
      </w:r>
      <w:r w:rsidRPr="005D642E">
        <w:rPr>
          <w:rtl/>
          <w:lang w:bidi="fa-IR"/>
        </w:rPr>
        <w:t xml:space="preserve"> أَنْ يُتْبَعَ بِمِجْمَرَةٍ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6D69C1">
        <w:rPr>
          <w:rtl/>
        </w:rPr>
        <w:t>4342</w:t>
      </w:r>
      <w:r w:rsidRPr="00246318">
        <w:rPr>
          <w:rStyle w:val="libBold2Char"/>
          <w:rtl/>
        </w:rPr>
        <w:t xml:space="preserve"> / 5.</w:t>
      </w:r>
      <w:r w:rsidRPr="005D642E">
        <w:rPr>
          <w:rtl/>
          <w:lang w:bidi="fa-IR"/>
        </w:rPr>
        <w:t xml:space="preserve"> عَلِيُّ بْنُ إِبْرَاهِيمَ ، عَنْ أَبِيهِ ، عَنْ حَمَّادِ بْنِ عِيسى </w:t>
      </w:r>
      <w:r w:rsidRPr="007C12DB">
        <w:rPr>
          <w:rStyle w:val="libFootnotenumChar"/>
          <w:rtl/>
        </w:rPr>
        <w:t>(6)</w:t>
      </w:r>
      <w:r w:rsidRPr="005D642E">
        <w:rPr>
          <w:rtl/>
          <w:lang w:bidi="fa-IR"/>
        </w:rPr>
        <w:t xml:space="preserve"> ، عَنْ حَرِيزٍ ، عَنْ زُرَارَةَ‌</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2D4EFF">
      <w:pPr>
        <w:pStyle w:val="libFootnote0"/>
        <w:rPr>
          <w:rtl/>
          <w:lang w:bidi="fa-IR"/>
        </w:rPr>
      </w:pPr>
      <w:r w:rsidRPr="0042621E">
        <w:rPr>
          <w:rStyle w:val="libFootnote0Char"/>
          <w:rtl/>
        </w:rPr>
        <w:t>(1).</w:t>
      </w:r>
      <w:r w:rsidR="00E3253D" w:rsidRPr="005D642E">
        <w:rPr>
          <w:rtl/>
        </w:rPr>
        <w:t xml:space="preserve"> في </w:t>
      </w:r>
      <w:r w:rsidR="00E3253D" w:rsidRPr="002F4D34">
        <w:rPr>
          <w:rStyle w:val="libFootnoteBoldChar"/>
          <w:rtl/>
        </w:rPr>
        <w:t>الحبل المتين</w:t>
      </w:r>
      <w:r w:rsidR="00E3253D" w:rsidRPr="005D642E">
        <w:rPr>
          <w:rtl/>
        </w:rPr>
        <w:t xml:space="preserve"> ، ص 229 : « الجارّ في قوله </w:t>
      </w:r>
      <w:r w:rsidR="00E3253D" w:rsidRPr="002D4EFF">
        <w:rPr>
          <w:rStyle w:val="libFootnoteAlaemChar"/>
          <w:rtl/>
        </w:rPr>
        <w:t>عليه‌السلام</w:t>
      </w:r>
      <w:r w:rsidR="00E3253D" w:rsidRPr="005D642E">
        <w:rPr>
          <w:rtl/>
        </w:rPr>
        <w:t xml:space="preserve"> : وعلى صدره ، متعلّق بمحذوف ، أي ضع على صدره ، ويحتمل تعلّقه</w:t>
      </w:r>
      <w:r w:rsidR="00E3253D">
        <w:rPr>
          <w:rtl/>
        </w:rPr>
        <w:t xml:space="preserve"> ب</w:t>
      </w:r>
      <w:r w:rsidR="002D4EFF">
        <w:rPr>
          <w:rFonts w:hint="cs"/>
          <w:rtl/>
        </w:rPr>
        <w:t>ـ</w:t>
      </w:r>
      <w:r w:rsidR="00E3253D">
        <w:rPr>
          <w:rtl/>
        </w:rPr>
        <w:t xml:space="preserve"> </w:t>
      </w:r>
      <w:r w:rsidR="00E3253D" w:rsidRPr="005D642E">
        <w:rPr>
          <w:rtl/>
        </w:rPr>
        <w:t>« امسح » وهو بعيد</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 « الحنوط للرجل » بدل « حنوط الرجل</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 « ويكره</w:t>
      </w:r>
      <w:r w:rsidR="00E3253D">
        <w:rPr>
          <w:rtl/>
        </w:rPr>
        <w:t xml:space="preserve"> ».</w:t>
      </w:r>
      <w:r w:rsidR="00E3253D" w:rsidRPr="005D642E">
        <w:rPr>
          <w:rtl/>
        </w:rPr>
        <w:t xml:space="preserve"> وفي « جح » : « أكره » بدون الواو.</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المِجْمَر ، وقد تؤنّث ، وهي التي تُدَخَّن بها الثياب ، قيل : من أنّثه ذهب به إلى النار ، ومن ذكّره عنى به الموضع. وقيل : المجمر ، بكسر الميم : هو الذي يوضع فيه النار للبخور. راجع : </w:t>
      </w:r>
      <w:r w:rsidR="00E3253D" w:rsidRPr="002F4D34">
        <w:rPr>
          <w:rStyle w:val="libFootnoteBoldChar"/>
          <w:rtl/>
        </w:rPr>
        <w:t>النهاية</w:t>
      </w:r>
      <w:r w:rsidR="00E3253D" w:rsidRPr="005D642E">
        <w:rPr>
          <w:rtl/>
        </w:rPr>
        <w:t xml:space="preserve"> ، ج 1 ، ص 293 ؛ </w:t>
      </w:r>
      <w:r w:rsidR="00E3253D" w:rsidRPr="002F4D34">
        <w:rPr>
          <w:rStyle w:val="libFootnoteBoldChar"/>
          <w:rtl/>
        </w:rPr>
        <w:t>لسان العرب</w:t>
      </w:r>
      <w:r w:rsidR="00E3253D" w:rsidRPr="005D642E">
        <w:rPr>
          <w:rtl/>
        </w:rPr>
        <w:t xml:space="preserve"> ، ج 4 ، ص 144 ( جمر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307 ، ح 890 ؛ </w:t>
      </w:r>
      <w:r w:rsidR="00E3253D" w:rsidRPr="00E678B5">
        <w:rPr>
          <w:rStyle w:val="libFootnoteBoldChar"/>
          <w:rtl/>
        </w:rPr>
        <w:t>والاستبصار</w:t>
      </w:r>
      <w:r w:rsidR="00E3253D" w:rsidRPr="005D642E">
        <w:rPr>
          <w:rtl/>
        </w:rPr>
        <w:t xml:space="preserve"> ، ج 1 ، ص 212 ، ح 746 ، بسندهما عن الكليني. </w:t>
      </w:r>
      <w:r w:rsidR="00E3253D" w:rsidRPr="002F4D34">
        <w:rPr>
          <w:rStyle w:val="libFootnoteBoldChar"/>
          <w:rtl/>
        </w:rPr>
        <w:t>الكافي</w:t>
      </w:r>
      <w:r w:rsidR="00E3253D" w:rsidRPr="005D642E">
        <w:rPr>
          <w:rtl/>
        </w:rPr>
        <w:t xml:space="preserve"> ، كتاب الجنائز ، باب كراهية تجمير الكفن وتسخين الماء ، ح 4360 ، بسند آخر ، وتمام الرواية فيه : « إنّ النبيّ </w:t>
      </w:r>
      <w:r w:rsidRPr="002D4EFF">
        <w:rPr>
          <w:rStyle w:val="libFootnoteAlaemChar"/>
          <w:rtl/>
        </w:rPr>
        <w:t>صلى‌الله‌عليه‌وآله</w:t>
      </w:r>
      <w:r w:rsidR="00E3253D" w:rsidRPr="005D642E">
        <w:rPr>
          <w:rtl/>
        </w:rPr>
        <w:t xml:space="preserve"> نهى أن تتبع جنازة بمجمرة</w:t>
      </w:r>
      <w:r w:rsidR="00E3253D">
        <w:rPr>
          <w:rtl/>
        </w:rPr>
        <w:t xml:space="preserve"> ».</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2D4EFF">
        <w:rPr>
          <w:rStyle w:val="libFootnoteAlaemChar"/>
          <w:rtl/>
        </w:rPr>
        <w:t>عليه‌السلام</w:t>
      </w:r>
      <w:r w:rsidR="00E3253D" w:rsidRPr="005D642E">
        <w:rPr>
          <w:rtl/>
        </w:rPr>
        <w:t xml:space="preserve"> ، ص 185 ، ذيل الحديث ، وتمام الرواية فيه : « حنوط الرجل </w:t>
      </w:r>
      <w:r w:rsidR="000D749A" w:rsidRPr="000D749A">
        <w:rPr>
          <w:rStyle w:val="libFootnoteBoldChar"/>
          <w:rtl/>
        </w:rPr>
        <w:t>والمرآة</w:t>
      </w:r>
      <w:r w:rsidR="00E3253D" w:rsidRPr="005D642E">
        <w:rPr>
          <w:rtl/>
        </w:rPr>
        <w:t xml:space="preserve"> سواء » </w:t>
      </w:r>
      <w:r w:rsidR="00710A89">
        <w:rPr>
          <w:rFonts w:hint="cs"/>
          <w:rtl/>
        </w:rPr>
        <w:t>.</w:t>
      </w:r>
      <w:r w:rsidR="00E3253D" w:rsidRPr="002F4D34">
        <w:rPr>
          <w:rStyle w:val="libFootnoteBoldChar"/>
          <w:rtl/>
        </w:rPr>
        <w:t>الوافي</w:t>
      </w:r>
      <w:r w:rsidR="00E3253D" w:rsidRPr="005D642E">
        <w:rPr>
          <w:rtl/>
        </w:rPr>
        <w:t xml:space="preserve"> ، ج 24 ، ص 364 ، ح 24218 ؛ </w:t>
      </w:r>
      <w:r w:rsidR="00E3253D" w:rsidRPr="002F4D34">
        <w:rPr>
          <w:rStyle w:val="libFootnoteBoldChar"/>
          <w:rtl/>
        </w:rPr>
        <w:t>الوسائل</w:t>
      </w:r>
      <w:r w:rsidR="00E3253D" w:rsidRPr="005D642E">
        <w:rPr>
          <w:rtl/>
        </w:rPr>
        <w:t xml:space="preserve"> ، ج 3 ، ص 17 ، ح 2904 ؛ وص 32 ، ح 2952 ؛ وص 158 ، ح 3284.</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حاشية « بث ، بح ، بخ ، بف</w:t>
      </w:r>
      <w:r w:rsidR="00E3253D">
        <w:rPr>
          <w:rtl/>
        </w:rPr>
        <w:t xml:space="preserve"> ».</w:t>
      </w:r>
      <w:r w:rsidR="00E3253D" w:rsidRPr="005D642E">
        <w:rPr>
          <w:rtl/>
        </w:rPr>
        <w:t xml:space="preserve"> وفي النسخ والمطبوع والوسائل : « حمّاد بن عثمان</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 فإنّ هذا الطريق أشهر طرق الكليني إلى روايات حريز بن عبدالله ، تكرّر في قريب من أربعمائة مورد في أسناد </w:t>
      </w:r>
      <w:r w:rsidRPr="002F4D34">
        <w:rPr>
          <w:rStyle w:val="libFootnoteBoldChar"/>
          <w:rtl/>
        </w:rPr>
        <w:t>الكافي</w:t>
      </w:r>
      <w:r w:rsidRPr="00B60612">
        <w:rPr>
          <w:rtl/>
        </w:rPr>
        <w:t>. والمذكور في أربعين ومأتين مورد هو حمّاد بن عيسى ، وفي الباقي حمّاد المطلق المراد منه حمّاد بن عيسى.</w:t>
      </w:r>
    </w:p>
    <w:p w:rsidR="00E3253D" w:rsidRPr="005D642E" w:rsidRDefault="00E3253D" w:rsidP="00E3253D">
      <w:pPr>
        <w:pStyle w:val="libFootnote0"/>
        <w:rPr>
          <w:rtl/>
          <w:lang w:bidi="fa-IR"/>
        </w:rPr>
      </w:pPr>
      <w:r w:rsidRPr="00B60612">
        <w:rPr>
          <w:rtl/>
        </w:rPr>
        <w:t xml:space="preserve">وأمّا حمّاد بن عثمان ، فقد توفّي سنة تسعين ومائة ، كما صرّح به النجاشي في رجاله ، ص 143 ، الرقم 371 ، والظاهر من طبقة إبراهيم بن هاشم والد عليّ ، أنّه لم يدرك حمّاد بن عثمان ، ولذا قال الشيخ الصدوق في مشيخة </w:t>
      </w:r>
      <w:r w:rsidRPr="002F4D34">
        <w:rPr>
          <w:rStyle w:val="libFootnoteBoldChar"/>
          <w:rtl/>
        </w:rPr>
        <w:t>الفقيه</w:t>
      </w:r>
      <w:r w:rsidRPr="00B60612">
        <w:rPr>
          <w:rtl/>
        </w:rPr>
        <w:t xml:space="preserve"> ، ج 4 ، ص 513 حين ما ذكر طريقه إلى وصيّة أميرالمؤمنين </w:t>
      </w:r>
      <w:r w:rsidRPr="00710A89">
        <w:rPr>
          <w:rStyle w:val="libFootnoteAlaemChar"/>
          <w:rtl/>
        </w:rPr>
        <w:t>عليه‌السلام</w:t>
      </w:r>
      <w:r w:rsidRPr="00B60612">
        <w:rPr>
          <w:rtl/>
        </w:rPr>
        <w:t xml:space="preserve"> لابنه محمّد بن الحنفيّة وهو مشتمل على « عليّ بن إبراهيم بن هاشم ، عن أبيه عن حمّاد بن عيسى » : « ويغلط أكثر الناس في هذا الإسناد ، فيجعلون مكان حمّاد بن عيسى ، حمّاد بن عثمان ، وإبراهيم بن هاشم لم يلق حمّاد بن عثمان وإنّما لقي حمّاد بن عيسى وروى عنه ».</w:t>
      </w:r>
      <w:r w:rsidR="00710A8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وَمُحَمَّدِ بْنِ مُسْلِمٍ ، قَالَا :</w:t>
      </w:r>
    </w:p>
    <w:p w:rsidR="00E3253D" w:rsidRPr="005D642E" w:rsidRDefault="00E3253D" w:rsidP="00E3253D">
      <w:pPr>
        <w:pStyle w:val="libNormal"/>
        <w:rPr>
          <w:rtl/>
          <w:lang w:bidi="fa-IR"/>
        </w:rPr>
      </w:pPr>
      <w:r w:rsidRPr="005D642E">
        <w:rPr>
          <w:rtl/>
          <w:lang w:bidi="fa-IR"/>
        </w:rPr>
        <w:t xml:space="preserve">قُلْنَا لِأَبِي جَعْفَرٍ </w:t>
      </w:r>
      <w:r w:rsidRPr="007C12DB">
        <w:rPr>
          <w:rStyle w:val="libFootnotenumChar"/>
          <w:rtl/>
        </w:rPr>
        <w:t>(1)</w:t>
      </w:r>
      <w:r w:rsidRPr="005D642E">
        <w:rPr>
          <w:rtl/>
          <w:lang w:bidi="fa-IR"/>
        </w:rPr>
        <w:t xml:space="preserve"> </w:t>
      </w:r>
      <w:r w:rsidRPr="00AC51C5">
        <w:rPr>
          <w:rStyle w:val="libAlaemChar"/>
          <w:rtl/>
        </w:rPr>
        <w:t>عليه‌السلام</w:t>
      </w:r>
      <w:r w:rsidRPr="005D642E">
        <w:rPr>
          <w:rtl/>
          <w:lang w:bidi="fa-IR"/>
        </w:rPr>
        <w:t xml:space="preserve"> : الْعِمَامَةُ لِلْمَيِّتِ مِنَ الْكَفَنِ </w:t>
      </w:r>
      <w:r w:rsidRPr="007C12DB">
        <w:rPr>
          <w:rStyle w:val="libFootnotenumChar"/>
          <w:rtl/>
        </w:rPr>
        <w:t>(2)</w:t>
      </w:r>
      <w:r>
        <w:rPr>
          <w:rtl/>
          <w:lang w:bidi="fa-IR"/>
        </w:rPr>
        <w:t>؟</w:t>
      </w:r>
    </w:p>
    <w:p w:rsidR="00E3253D" w:rsidRPr="005D642E" w:rsidRDefault="00E3253D" w:rsidP="00E3253D">
      <w:pPr>
        <w:pStyle w:val="libNormal"/>
        <w:rPr>
          <w:rtl/>
          <w:lang w:bidi="fa-IR"/>
        </w:rPr>
      </w:pPr>
      <w:r w:rsidRPr="005D642E">
        <w:rPr>
          <w:rtl/>
          <w:lang w:bidi="fa-IR"/>
        </w:rPr>
        <w:t xml:space="preserve">قَالَ : « لَا </w:t>
      </w:r>
      <w:r w:rsidRPr="007C12DB">
        <w:rPr>
          <w:rStyle w:val="libFootnotenumChar"/>
          <w:rtl/>
        </w:rPr>
        <w:t>(3)</w:t>
      </w:r>
      <w:r w:rsidRPr="005D642E">
        <w:rPr>
          <w:rtl/>
          <w:lang w:bidi="fa-IR"/>
        </w:rPr>
        <w:t xml:space="preserve"> ، إِنَّمَا الْكَفَنُ الْمَفْرُوضُ ثَلَاثَةُ أَثْوَابٍ ، وَ</w:t>
      </w:r>
      <w:r>
        <w:rPr>
          <w:rFonts w:hint="cs"/>
          <w:rtl/>
          <w:lang w:bidi="fa-IR"/>
        </w:rPr>
        <w:t xml:space="preserve"> </w:t>
      </w:r>
      <w:r w:rsidRPr="007C12DB">
        <w:rPr>
          <w:rStyle w:val="libFootnotenumChar"/>
          <w:rtl/>
        </w:rPr>
        <w:t>(4)</w:t>
      </w:r>
      <w:r w:rsidRPr="005D642E">
        <w:rPr>
          <w:rtl/>
          <w:lang w:bidi="fa-IR"/>
        </w:rPr>
        <w:t xml:space="preserve"> ثَوْبٌ تَامٌّ </w:t>
      </w:r>
      <w:r w:rsidRPr="007C12DB">
        <w:rPr>
          <w:rStyle w:val="libFootnotenumChar"/>
          <w:rtl/>
        </w:rPr>
        <w:t>(5)</w:t>
      </w:r>
      <w:r w:rsidRPr="005D642E">
        <w:rPr>
          <w:rtl/>
          <w:lang w:bidi="fa-IR"/>
        </w:rPr>
        <w:t xml:space="preserve"> لَا</w:t>
      </w:r>
      <w:r>
        <w:rPr>
          <w:rFonts w:hint="cs"/>
          <w:rtl/>
          <w:lang w:bidi="fa-IR"/>
        </w:rPr>
        <w:t xml:space="preserve"> </w:t>
      </w:r>
      <w:r w:rsidRPr="005D642E">
        <w:rPr>
          <w:rtl/>
          <w:lang w:bidi="fa-IR"/>
        </w:rPr>
        <w:t xml:space="preserve">أَقَلَّ مِنْهُ يُوَارِي بِهِ </w:t>
      </w:r>
      <w:r w:rsidRPr="007C12DB">
        <w:rPr>
          <w:rStyle w:val="libFootnotenumChar"/>
          <w:rtl/>
        </w:rPr>
        <w:t>(6)</w:t>
      </w:r>
      <w:r w:rsidRPr="005D642E">
        <w:rPr>
          <w:rtl/>
          <w:lang w:bidi="fa-IR"/>
        </w:rPr>
        <w:t xml:space="preserve"> جَسَدَهُ كُلَّهُ ، فَمَا زَادَ فَهُوَ سُنَّةٌ إِلى أَنْ يَبْلُغَ </w:t>
      </w:r>
      <w:r w:rsidRPr="007C12DB">
        <w:rPr>
          <w:rStyle w:val="libFootnotenumChar"/>
          <w:rtl/>
        </w:rPr>
        <w:t>(7)</w:t>
      </w:r>
      <w:r w:rsidRPr="005D642E">
        <w:rPr>
          <w:rtl/>
          <w:lang w:bidi="fa-IR"/>
        </w:rPr>
        <w:t xml:space="preserve"> خَمْسَةَ أَثْوَابٍ </w:t>
      </w:r>
      <w:r w:rsidRPr="007C12DB">
        <w:rPr>
          <w:rStyle w:val="libFootnotenumChar"/>
          <w:rtl/>
        </w:rPr>
        <w:t>(8)</w:t>
      </w:r>
      <w:r w:rsidRPr="005D642E">
        <w:rPr>
          <w:rtl/>
          <w:lang w:bidi="fa-IR"/>
        </w:rPr>
        <w:t xml:space="preserve"> ، فَمَا زَادَ فَهُوَ مُبْتَدَعٌ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710A89" w:rsidP="00E3253D">
      <w:pPr>
        <w:pStyle w:val="libFootnote0"/>
        <w:rPr>
          <w:rtl/>
          <w:lang w:bidi="fa-IR"/>
        </w:rPr>
      </w:pPr>
      <w:r>
        <w:rPr>
          <w:rFonts w:hint="cs"/>
          <w:rtl/>
        </w:rPr>
        <w:t xml:space="preserve">= </w:t>
      </w:r>
      <w:r w:rsidR="00E3253D" w:rsidRPr="00B60612">
        <w:rPr>
          <w:rtl/>
        </w:rPr>
        <w:t xml:space="preserve">ويؤيّد ذلك ما ورد في كثير من الأسناد من رواية إبراهيم بن هاشم ، عن ابن أبي عمير ، عن حمّاد بن عثمان. راجع : </w:t>
      </w:r>
      <w:r w:rsidR="00E3253D" w:rsidRPr="002F4D34">
        <w:rPr>
          <w:rStyle w:val="libFootnoteBoldChar"/>
          <w:rtl/>
        </w:rPr>
        <w:t>معجم رجال الحديث</w:t>
      </w:r>
      <w:r w:rsidR="00E3253D" w:rsidRPr="00B60612">
        <w:rPr>
          <w:rtl/>
        </w:rPr>
        <w:t xml:space="preserve"> ، ج 22 ، ص 274 </w:t>
      </w:r>
      <w:r w:rsidR="007642BC" w:rsidRPr="00B60612">
        <w:rPr>
          <w:rtl/>
        </w:rPr>
        <w:t>-</w:t>
      </w:r>
      <w:r w:rsidR="00E3253D" w:rsidRPr="00B60612">
        <w:rPr>
          <w:rtl/>
        </w:rPr>
        <w:t xml:space="preserve"> 276.</w:t>
      </w:r>
    </w:p>
    <w:p w:rsidR="00E3253D" w:rsidRPr="005D642E" w:rsidRDefault="00E3253D" w:rsidP="00B60612">
      <w:pPr>
        <w:pStyle w:val="libFootnote0"/>
        <w:rPr>
          <w:rtl/>
          <w:lang w:bidi="fa-IR"/>
        </w:rPr>
      </w:pPr>
      <w:r w:rsidRPr="0095070A">
        <w:rPr>
          <w:rtl/>
        </w:rPr>
        <w:t>هذا ، والظاهر أنّ رداءة الخطّ في بعض الخطوط القديمة وكتابة « عثمان » من دون الألف « عثمن » أوجبا التحريف في ما نحن فيه.</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بث » : « لأبي عبدالله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الكفن هي » بدل « من الكفن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10A89" w:rsidTr="00710A89">
        <w:tc>
          <w:tcPr>
            <w:tcW w:w="4006" w:type="dxa"/>
          </w:tcPr>
          <w:p w:rsidR="00710A89" w:rsidRDefault="00710A89" w:rsidP="00E3253D">
            <w:pPr>
              <w:pStyle w:val="libFootnote0"/>
              <w:rPr>
                <w:rStyle w:val="libFootnote0Char"/>
                <w:rtl/>
              </w:rPr>
            </w:pPr>
            <w:r w:rsidRPr="0042621E">
              <w:rPr>
                <w:rStyle w:val="libFootnote0Char"/>
                <w:rtl/>
              </w:rPr>
              <w:t>(3).</w:t>
            </w:r>
            <w:r w:rsidRPr="005D642E">
              <w:rPr>
                <w:rtl/>
              </w:rPr>
              <w:t xml:space="preserve"> في ظاهر مرآة العقول : « ليس من الكفن</w:t>
            </w:r>
            <w:r>
              <w:rPr>
                <w:rtl/>
              </w:rPr>
              <w:t xml:space="preserve"> ».</w:t>
            </w:r>
          </w:p>
        </w:tc>
        <w:tc>
          <w:tcPr>
            <w:tcW w:w="4006" w:type="dxa"/>
          </w:tcPr>
          <w:p w:rsidR="00710A89" w:rsidRDefault="00710A89" w:rsidP="00E3253D">
            <w:pPr>
              <w:pStyle w:val="libFootnote0"/>
              <w:rPr>
                <w:rStyle w:val="libFootnote0Char"/>
                <w:rtl/>
              </w:rPr>
            </w:pPr>
            <w:r w:rsidRPr="0042621E">
              <w:rPr>
                <w:rStyle w:val="libFootnote0Char"/>
                <w:rtl/>
              </w:rPr>
              <w:t>(4).</w:t>
            </w:r>
            <w:r w:rsidRPr="005D642E">
              <w:rPr>
                <w:rtl/>
              </w:rPr>
              <w:t xml:space="preserve"> في الوسائل : « أو</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جح » : « تمام</w:t>
      </w:r>
      <w:r w:rsidR="00E3253D">
        <w:rPr>
          <w:rtl/>
        </w:rPr>
        <w:t xml:space="preserve"> ».</w:t>
      </w:r>
      <w:r w:rsidR="00E3253D" w:rsidRPr="005D642E">
        <w:rPr>
          <w:rtl/>
        </w:rPr>
        <w:t xml:space="preserve"> وقال الشيخ البهائي : « ما تضمّنه</w:t>
      </w:r>
      <w:r w:rsidR="00E3253D">
        <w:rPr>
          <w:rtl/>
        </w:rPr>
        <w:t xml:space="preserve"> ..</w:t>
      </w:r>
      <w:r w:rsidR="00E3253D" w:rsidRPr="005D642E">
        <w:rPr>
          <w:rtl/>
        </w:rPr>
        <w:t>. من تكفين الرجل في ثلاثة أ</w:t>
      </w:r>
      <w:r w:rsidR="00710A89">
        <w:rPr>
          <w:rtl/>
        </w:rPr>
        <w:t>ثواب أطبق عليه الأصحاب سوى سل</w:t>
      </w:r>
      <w:r w:rsidR="00710A89">
        <w:rPr>
          <w:rFonts w:hint="cs"/>
          <w:rtl/>
        </w:rPr>
        <w:t>ّ</w:t>
      </w:r>
      <w:r w:rsidR="00710A89">
        <w:rPr>
          <w:rtl/>
        </w:rPr>
        <w:t>ا</w:t>
      </w:r>
      <w:r w:rsidR="00E3253D" w:rsidRPr="005D642E">
        <w:rPr>
          <w:rtl/>
        </w:rPr>
        <w:t xml:space="preserve">ر ؛ فإنّه اكتفى بالواحد ، والأحاديث الدالّة على الثلاثة كثيرة ، واستدلّ شيخنا في </w:t>
      </w:r>
      <w:r w:rsidR="00E3253D" w:rsidRPr="002F4D34">
        <w:rPr>
          <w:rStyle w:val="libFootnoteBoldChar"/>
          <w:rtl/>
        </w:rPr>
        <w:t>الذكرى</w:t>
      </w:r>
      <w:r w:rsidR="00710A89">
        <w:rPr>
          <w:rtl/>
        </w:rPr>
        <w:t xml:space="preserve"> لسل</w:t>
      </w:r>
      <w:r w:rsidR="00710A89">
        <w:rPr>
          <w:rFonts w:hint="cs"/>
          <w:rtl/>
        </w:rPr>
        <w:t>ّ</w:t>
      </w:r>
      <w:r w:rsidR="00710A89">
        <w:rPr>
          <w:rtl/>
        </w:rPr>
        <w:t>ا</w:t>
      </w:r>
      <w:r w:rsidR="00E3253D" w:rsidRPr="005D642E">
        <w:rPr>
          <w:rtl/>
        </w:rPr>
        <w:t xml:space="preserve">ر بما تضمّنه الحديث الثالث من قوله </w:t>
      </w:r>
      <w:r w:rsidR="00E3253D" w:rsidRPr="00710A89">
        <w:rPr>
          <w:rStyle w:val="libFootnoteAlaemChar"/>
          <w:rtl/>
        </w:rPr>
        <w:t>عليه‌السلام</w:t>
      </w:r>
      <w:r w:rsidR="00E3253D" w:rsidRPr="005D642E">
        <w:rPr>
          <w:rtl/>
        </w:rPr>
        <w:t xml:space="preserve"> : وثوب تامّ لا أقلّ منه ، ثمّ أجاب تارة بحمل الثوب التامّ على التقيّة ؛ لأنّه موافق لمذهب العامّة من الاجتزاء بالواحد ، وا</w:t>
      </w:r>
      <w:r w:rsidR="00710A89">
        <w:rPr>
          <w:rFonts w:hint="cs"/>
          <w:rtl/>
        </w:rPr>
        <w:t>ُ</w:t>
      </w:r>
      <w:r w:rsidR="00E3253D" w:rsidRPr="005D642E">
        <w:rPr>
          <w:rtl/>
        </w:rPr>
        <w:t xml:space="preserve">خرى بأنّه من عطف الخاصّ على العامّ ، وهو كما ترى. والنسخ في هذا الحديث مختلفة ، ففي بعض نسخ </w:t>
      </w:r>
      <w:r w:rsidR="00E3253D" w:rsidRPr="002F4D34">
        <w:rPr>
          <w:rStyle w:val="libFootnoteBoldChar"/>
          <w:rtl/>
        </w:rPr>
        <w:t>التهذيب</w:t>
      </w:r>
      <w:r w:rsidR="00E3253D" w:rsidRPr="005D642E">
        <w:rPr>
          <w:rtl/>
        </w:rPr>
        <w:t xml:space="preserve"> كما نقلناه ويوافقه كثير من نسخ </w:t>
      </w:r>
      <w:r w:rsidR="00E3253D" w:rsidRPr="002F4D34">
        <w:rPr>
          <w:rStyle w:val="libFootnoteBoldChar"/>
          <w:rtl/>
        </w:rPr>
        <w:t>الكافي</w:t>
      </w:r>
      <w:r w:rsidR="00E3253D" w:rsidRPr="005D642E">
        <w:rPr>
          <w:rtl/>
        </w:rPr>
        <w:t xml:space="preserve"> وهو المطابق لما نقله شيخنا في </w:t>
      </w:r>
      <w:r w:rsidR="00E3253D" w:rsidRPr="002F4D34">
        <w:rPr>
          <w:rStyle w:val="libFootnoteBoldChar"/>
          <w:rtl/>
        </w:rPr>
        <w:t>الذكرى</w:t>
      </w:r>
      <w:r w:rsidR="00E3253D" w:rsidRPr="005D642E">
        <w:rPr>
          <w:rtl/>
        </w:rPr>
        <w:t xml:space="preserve"> ، وفي بعضها هكذا : إنّما المفروض ثلاثة أثواب تامّ لا أقلّ منه ، وهذه النسخة هي الموافقة لما</w:t>
      </w:r>
      <w:r w:rsidR="00963BC1">
        <w:rPr>
          <w:rtl/>
        </w:rPr>
        <w:t xml:space="preserve"> نقله المحقّق في المعتبر والعل</w:t>
      </w:r>
      <w:r w:rsidR="00963BC1">
        <w:rPr>
          <w:rFonts w:hint="cs"/>
          <w:rtl/>
        </w:rPr>
        <w:t>ّ</w:t>
      </w:r>
      <w:r w:rsidR="00963BC1">
        <w:rPr>
          <w:rtl/>
        </w:rPr>
        <w:t>ا</w:t>
      </w:r>
      <w:r w:rsidR="00E3253D" w:rsidRPr="005D642E">
        <w:rPr>
          <w:rtl/>
        </w:rPr>
        <w:t xml:space="preserve">مة في كتبه الاستدلاليّة ، ولفظة « تامّ » فيها خبر مبتدأ محذوف ، أي وهو تامّ. وفي بعض النسخ المعتبرة من </w:t>
      </w:r>
      <w:r w:rsidR="00E3253D" w:rsidRPr="002F4D34">
        <w:rPr>
          <w:rStyle w:val="libFootnoteBoldChar"/>
          <w:rtl/>
        </w:rPr>
        <w:t>التهذيب</w:t>
      </w:r>
      <w:r w:rsidR="00E3253D" w:rsidRPr="005D642E">
        <w:rPr>
          <w:rtl/>
        </w:rPr>
        <w:t xml:space="preserve"> : أو ثوب تامّ ، بلفظ « أو » بدل الواو ، وهي موافقة في المعنى للنسخة الاولى على أوّل الحملين السابقين. ويمكن حملها على حال الضرورة أيضاً</w:t>
      </w:r>
      <w:r w:rsidR="00E3253D">
        <w:rPr>
          <w:rtl/>
        </w:rPr>
        <w:t xml:space="preserve"> ».</w:t>
      </w:r>
      <w:r w:rsidR="00963BC1">
        <w:rPr>
          <w:rtl/>
        </w:rPr>
        <w:t xml:space="preserve"> وقال العل</w:t>
      </w:r>
      <w:r w:rsidR="00963BC1">
        <w:rPr>
          <w:rFonts w:hint="cs"/>
          <w:rtl/>
        </w:rPr>
        <w:t>ّ</w:t>
      </w:r>
      <w:r w:rsidR="00963BC1">
        <w:rPr>
          <w:rtl/>
        </w:rPr>
        <w:t>ا</w:t>
      </w:r>
      <w:r w:rsidR="00E3253D" w:rsidRPr="005D642E">
        <w:rPr>
          <w:rtl/>
        </w:rPr>
        <w:t xml:space="preserve">مة الفيض : « هذا الخبر ممّا يشمّ منه رائحة التقيّة ، كما يومي إليه تعبير الراوي فيه عن أبي عبدالله </w:t>
      </w:r>
      <w:r w:rsidR="00E3253D" w:rsidRPr="00963BC1">
        <w:rPr>
          <w:rStyle w:val="libFootnoteAlaemChar"/>
          <w:rtl/>
        </w:rPr>
        <w:t>عليه‌السلام</w:t>
      </w:r>
      <w:r w:rsidR="00E3253D" w:rsidRPr="005D642E">
        <w:rPr>
          <w:rtl/>
        </w:rPr>
        <w:t xml:space="preserve"> بالشيخ على ما يوجد في نسخ </w:t>
      </w:r>
      <w:r w:rsidR="00E3253D" w:rsidRPr="002F4D34">
        <w:rPr>
          <w:rStyle w:val="libFootnoteBoldChar"/>
          <w:rtl/>
        </w:rPr>
        <w:t>الكافي</w:t>
      </w:r>
      <w:r w:rsidR="00E3253D" w:rsidRPr="005D642E">
        <w:rPr>
          <w:rtl/>
        </w:rPr>
        <w:t xml:space="preserve"> كافّة ، وفي بعض نسخ </w:t>
      </w:r>
      <w:r w:rsidR="00E3253D" w:rsidRPr="002F4D34">
        <w:rPr>
          <w:rStyle w:val="libFootnoteBoldChar"/>
          <w:rtl/>
        </w:rPr>
        <w:t>التهذيب</w:t>
      </w:r>
      <w:r w:rsidR="00E3253D" w:rsidRPr="005D642E">
        <w:rPr>
          <w:rtl/>
        </w:rPr>
        <w:t xml:space="preserve"> : ثلاثة أثواب تامّ ، بدون « وثوب » وفي بعضها : أو ثوب تامّ ، وكأنّه الصحيح ، وعلى النسختين فلا تقيّة في الحكم</w:t>
      </w:r>
      <w:r w:rsidR="00E3253D">
        <w:rPr>
          <w:rtl/>
        </w:rPr>
        <w:t>».</w:t>
      </w:r>
      <w:r w:rsidR="00E3253D" w:rsidRPr="005D642E">
        <w:rPr>
          <w:rtl/>
        </w:rPr>
        <w:t xml:space="preserve"> راجع : </w:t>
      </w:r>
      <w:r w:rsidR="00E3253D" w:rsidRPr="002F4D34">
        <w:rPr>
          <w:rStyle w:val="libFootnoteBoldChar"/>
          <w:rtl/>
        </w:rPr>
        <w:t>الحبل المتين</w:t>
      </w:r>
      <w:r w:rsidR="00E3253D" w:rsidRPr="005D642E">
        <w:rPr>
          <w:rtl/>
        </w:rPr>
        <w:t xml:space="preserve"> ، ص 227 ؛ </w:t>
      </w:r>
      <w:r w:rsidR="00E3253D" w:rsidRPr="002F4D34">
        <w:rPr>
          <w:rStyle w:val="libFootnoteBoldChar"/>
          <w:rtl/>
        </w:rPr>
        <w:t>الوافي</w:t>
      </w:r>
      <w:r w:rsidR="00E3253D" w:rsidRPr="005D642E">
        <w:rPr>
          <w:rtl/>
        </w:rPr>
        <w:t xml:space="preserve"> ، ج 24 ، ص 259. وراجع أيضاً : </w:t>
      </w:r>
      <w:r w:rsidR="00E3253D" w:rsidRPr="002F4D34">
        <w:rPr>
          <w:rStyle w:val="libFootnoteBoldChar"/>
          <w:rtl/>
        </w:rPr>
        <w:t>ذكرى الشيعة</w:t>
      </w:r>
      <w:r w:rsidR="00E3253D" w:rsidRPr="005D642E">
        <w:rPr>
          <w:rtl/>
        </w:rPr>
        <w:t xml:space="preserve"> ، ج 1 ، ص 353 ؛ </w:t>
      </w:r>
      <w:r w:rsidR="00E3253D" w:rsidRPr="002F4D34">
        <w:rPr>
          <w:rStyle w:val="libFootnoteBoldChar"/>
          <w:rtl/>
        </w:rPr>
        <w:t>منتقى‌الجمان</w:t>
      </w:r>
      <w:r w:rsidR="00E3253D" w:rsidRPr="005D642E">
        <w:rPr>
          <w:rtl/>
        </w:rPr>
        <w:t xml:space="preserve"> ، ج 1 ، ص 261.</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به</w:t>
      </w:r>
      <w:r w:rsidR="00E3253D">
        <w:rPr>
          <w:rtl/>
        </w:rPr>
        <w:t xml:space="preserve"> ».</w:t>
      </w:r>
      <w:r w:rsidR="00E3253D" w:rsidRPr="005D642E">
        <w:rPr>
          <w:rtl/>
        </w:rPr>
        <w:t xml:space="preserve"> وفي الوسائل </w:t>
      </w:r>
      <w:r w:rsidR="00B60612" w:rsidRPr="00B60612">
        <w:rPr>
          <w:rStyle w:val="libFootnoteBoldChar"/>
          <w:rtl/>
        </w:rPr>
        <w:t>والتهذيب</w:t>
      </w:r>
      <w:r w:rsidR="00E3253D" w:rsidRPr="005D642E">
        <w:rPr>
          <w:rtl/>
        </w:rPr>
        <w:t xml:space="preserve"> : « فيه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جن » : « أن تبلغ</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أثواب</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بف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فمبتدع » بدل « فهو مبتدع</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وَالْعِمَامَةُ سُنَّةٌ</w:t>
      </w:r>
      <w:r>
        <w:rPr>
          <w:rtl/>
          <w:lang w:bidi="fa-IR"/>
        </w:rPr>
        <w:t xml:space="preserve"> ».</w:t>
      </w:r>
    </w:p>
    <w:p w:rsidR="00E3253D" w:rsidRPr="005D642E" w:rsidRDefault="00E3253D" w:rsidP="00E3253D">
      <w:pPr>
        <w:pStyle w:val="libNormal"/>
        <w:rPr>
          <w:rtl/>
          <w:lang w:bidi="fa-IR"/>
        </w:rPr>
      </w:pPr>
      <w:r w:rsidRPr="005D642E">
        <w:rPr>
          <w:rtl/>
          <w:lang w:bidi="fa-IR"/>
        </w:rPr>
        <w:t xml:space="preserve">وَقَالَ : « أَمَرَ النَّبِيُّ </w:t>
      </w:r>
      <w:r w:rsidR="0042621E" w:rsidRPr="0042621E">
        <w:rPr>
          <w:rStyle w:val="libAlaemChar"/>
          <w:rtl/>
        </w:rPr>
        <w:t>صلى‌الله‌عليه‌وآله</w:t>
      </w:r>
      <w:r w:rsidRPr="005D642E">
        <w:rPr>
          <w:rtl/>
          <w:lang w:bidi="fa-IR"/>
        </w:rPr>
        <w:t xml:space="preserve"> بِالْعِمَامَةِ ، وَعُمِّمَ النَّبِيُّ </w:t>
      </w:r>
      <w:r w:rsidR="0042621E" w:rsidRPr="0042621E">
        <w:rPr>
          <w:rStyle w:val="libAlaemChar"/>
          <w:rtl/>
        </w:rPr>
        <w:t>صلى‌الله‌عليه‌وآله</w:t>
      </w:r>
      <w:r>
        <w:rPr>
          <w:rtl/>
          <w:lang w:bidi="fa-IR"/>
        </w:rPr>
        <w:t xml:space="preserve"> ».</w:t>
      </w:r>
    </w:p>
    <w:p w:rsidR="00E3253D" w:rsidRPr="005D642E" w:rsidRDefault="00E3253D" w:rsidP="00E3253D">
      <w:pPr>
        <w:pStyle w:val="libNormal"/>
        <w:rPr>
          <w:rtl/>
          <w:lang w:bidi="fa-IR"/>
        </w:rPr>
      </w:pPr>
      <w:r w:rsidRPr="005D642E">
        <w:rPr>
          <w:rtl/>
          <w:lang w:bidi="fa-IR"/>
        </w:rPr>
        <w:t xml:space="preserve">وَبَعَثَ إِلَيْنَا </w:t>
      </w:r>
      <w:r w:rsidRPr="007C12DB">
        <w:rPr>
          <w:rStyle w:val="libFootnotenumChar"/>
          <w:rtl/>
        </w:rPr>
        <w:t>(1)</w:t>
      </w:r>
      <w:r w:rsidRPr="005D642E">
        <w:rPr>
          <w:rtl/>
          <w:lang w:bidi="fa-IR"/>
        </w:rPr>
        <w:t xml:space="preserve"> الشَّيْخُ </w:t>
      </w:r>
      <w:r w:rsidRPr="007C12DB">
        <w:rPr>
          <w:rStyle w:val="libFootnotenumChar"/>
          <w:rtl/>
        </w:rPr>
        <w:t>(2)</w:t>
      </w:r>
      <w:r>
        <w:rPr>
          <w:rtl/>
          <w:lang w:bidi="fa-IR"/>
        </w:rPr>
        <w:t xml:space="preserve"> </w:t>
      </w:r>
      <w:r w:rsidR="007642BC">
        <w:rPr>
          <w:rtl/>
          <w:lang w:bidi="fa-IR"/>
        </w:rPr>
        <w:t>-</w:t>
      </w:r>
      <w:r>
        <w:rPr>
          <w:rtl/>
          <w:lang w:bidi="fa-IR"/>
        </w:rPr>
        <w:t xml:space="preserve"> </w:t>
      </w:r>
      <w:r w:rsidRPr="005D642E">
        <w:rPr>
          <w:rtl/>
          <w:lang w:bidi="fa-IR"/>
        </w:rPr>
        <w:t xml:space="preserve">وَنَحْنُ بِالْمَدِينَةِ </w:t>
      </w:r>
      <w:r w:rsidRPr="007C12DB">
        <w:rPr>
          <w:rStyle w:val="libFootnotenumChar"/>
          <w:rtl/>
        </w:rPr>
        <w:t>(3)</w:t>
      </w:r>
      <w:r w:rsidRPr="005D642E">
        <w:rPr>
          <w:rtl/>
          <w:lang w:bidi="fa-IR"/>
        </w:rPr>
        <w:t xml:space="preserve"> لَمَّا مَاتَ </w:t>
      </w:r>
      <w:r w:rsidRPr="007C12DB">
        <w:rPr>
          <w:rStyle w:val="libFootnotenumChar"/>
          <w:rtl/>
        </w:rPr>
        <w:t>(4)</w:t>
      </w:r>
      <w:r w:rsidRPr="005D642E">
        <w:rPr>
          <w:rtl/>
          <w:lang w:bidi="fa-IR"/>
        </w:rPr>
        <w:t xml:space="preserve"> أَبُو عُبَيْدَةَ الْحَذَّاءُ </w:t>
      </w:r>
      <w:r w:rsidRPr="007C12DB">
        <w:rPr>
          <w:rStyle w:val="libFootnotenumChar"/>
          <w:rtl/>
        </w:rPr>
        <w:t>(5)</w:t>
      </w:r>
      <w:r>
        <w:rPr>
          <w:rtl/>
          <w:lang w:bidi="fa-IR"/>
        </w:rPr>
        <w:t xml:space="preserve"> </w:t>
      </w:r>
      <w:r w:rsidR="007642BC">
        <w:rPr>
          <w:rtl/>
          <w:lang w:bidi="fa-IR"/>
        </w:rPr>
        <w:t>-</w:t>
      </w:r>
      <w:r>
        <w:rPr>
          <w:rtl/>
          <w:lang w:bidi="fa-IR"/>
        </w:rPr>
        <w:t xml:space="preserve"> </w:t>
      </w:r>
      <w:r w:rsidRPr="005D642E">
        <w:rPr>
          <w:rtl/>
          <w:lang w:bidi="fa-IR"/>
        </w:rPr>
        <w:t xml:space="preserve">بِدِينَارٍ ، وَأَمَرَنَا أَنْ نَشْتَرِيَ لَهُ </w:t>
      </w:r>
      <w:r w:rsidRPr="007C12DB">
        <w:rPr>
          <w:rStyle w:val="libFootnotenumChar"/>
          <w:rtl/>
        </w:rPr>
        <w:t>(6)</w:t>
      </w:r>
      <w:r w:rsidRPr="005D642E">
        <w:rPr>
          <w:rtl/>
          <w:lang w:bidi="fa-IR"/>
        </w:rPr>
        <w:t xml:space="preserve"> حَنُوطاً وَعِمَامَةً ، فَفَعَلْنَا.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C8397F">
        <w:rPr>
          <w:rtl/>
        </w:rPr>
        <w:t>4343</w:t>
      </w:r>
      <w:r w:rsidRPr="00246318">
        <w:rPr>
          <w:rStyle w:val="libBold2Char"/>
          <w:rtl/>
        </w:rPr>
        <w:t xml:space="preserve"> / 6.</w:t>
      </w:r>
      <w:r w:rsidRPr="005D642E">
        <w:rPr>
          <w:rtl/>
          <w:lang w:bidi="fa-IR"/>
        </w:rPr>
        <w:t xml:space="preserve"> عِدَّةٌ مِنْ أَصْحَابِنَا ، عَنْ سَهْلِ بْنِ زِيَادٍ ، عَنْ أَحْمَدَ بْنِ مُحَمَّدِ بْنِ أَبِي نَصْرٍ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الْمَيِّتُ يُكَفَّنُ فِي ثَلَاثَةٍ سِوَى الْعِمَامَةِ وَالْخِرْقَةِ ، يَشُدُّ بِهَا وَرِكَيْهِ لِكَيْلَا </w:t>
      </w:r>
      <w:r w:rsidRPr="007C12DB">
        <w:rPr>
          <w:rStyle w:val="libFootnotenumChar"/>
          <w:rtl/>
        </w:rPr>
        <w:t>(8)</w:t>
      </w:r>
      <w:r w:rsidRPr="005D642E">
        <w:rPr>
          <w:rtl/>
          <w:lang w:bidi="fa-IR"/>
        </w:rPr>
        <w:t xml:space="preserve"> يَبْدُوَ مِنْهُ شَيْ‌ءٌ ، وَالْخِرْقَةُ وَالْعِمَامَةُ لَابُدَّ مِنْهُمَا ، وَلَيْسَتَا مِنَ الْكَفَنِ</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C8397F">
        <w:rPr>
          <w:rtl/>
        </w:rPr>
        <w:t>4344</w:t>
      </w:r>
      <w:r w:rsidRPr="00246318">
        <w:rPr>
          <w:rStyle w:val="libBold2Char"/>
          <w:rtl/>
        </w:rPr>
        <w:t xml:space="preserve"> / 7.</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كَتَبَ أَبِي فِي وَصِيَّتِهِ أَنْ أُكَفِّنَهُ </w:t>
      </w:r>
      <w:r w:rsidRPr="007C12DB">
        <w:rPr>
          <w:rStyle w:val="libFootnotenumChar"/>
          <w:rtl/>
        </w:rPr>
        <w:t>(10)</w:t>
      </w:r>
      <w:r w:rsidRPr="005D642E">
        <w:rPr>
          <w:rtl/>
          <w:lang w:bidi="fa-IR"/>
        </w:rPr>
        <w:t xml:space="preserve"> فِي ثَلَاثَةِ </w:t>
      </w:r>
      <w:r w:rsidRPr="007C12DB">
        <w:rPr>
          <w:rStyle w:val="libFootnotenumChar"/>
          <w:rtl/>
        </w:rPr>
        <w:t>(11)</w:t>
      </w:r>
      <w:r w:rsidRPr="005D642E">
        <w:rPr>
          <w:rtl/>
          <w:lang w:bidi="fa-IR"/>
        </w:rPr>
        <w:t xml:space="preserve"> أَثْوَابٍ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الوسائل : « وبعثنا » بدل « وبعث إلينا</w:t>
      </w:r>
      <w:r w:rsidR="00E3253D">
        <w:rPr>
          <w:rtl/>
        </w:rPr>
        <w:t xml:space="preserve"> ».</w:t>
      </w:r>
    </w:p>
    <w:p w:rsidR="00E3253D" w:rsidRPr="005D642E" w:rsidRDefault="0042621E" w:rsidP="00963BC1">
      <w:pPr>
        <w:pStyle w:val="libFootnote0"/>
        <w:rPr>
          <w:rtl/>
          <w:lang w:bidi="fa-IR"/>
        </w:rPr>
      </w:pPr>
      <w:r w:rsidRPr="0042621E">
        <w:rPr>
          <w:rStyle w:val="libFootnote0Char"/>
          <w:rtl/>
        </w:rPr>
        <w:t>(2).</w:t>
      </w:r>
      <w:r w:rsidR="00E3253D" w:rsidRPr="005D642E">
        <w:rPr>
          <w:rtl/>
        </w:rPr>
        <w:t xml:space="preserve"> هكذا في « غ ، ى ، بث ، بس ، بف ، جح ، جس ، جن » </w:t>
      </w:r>
      <w:r w:rsidR="000D749A" w:rsidRPr="000D749A">
        <w:rPr>
          <w:rStyle w:val="libFootnoteBoldChar"/>
          <w:rtl/>
        </w:rPr>
        <w:t>والوافي</w:t>
      </w:r>
      <w:r w:rsidR="00E3253D" w:rsidRPr="005D642E">
        <w:rPr>
          <w:rtl/>
        </w:rPr>
        <w:t xml:space="preserve"> ومرآة العقول. وفي « ظ ، بخ » : + « </w:t>
      </w:r>
      <w:r w:rsidR="00E3253D" w:rsidRPr="00963BC1">
        <w:rPr>
          <w:rStyle w:val="libFootnoteAlaemChar"/>
          <w:rtl/>
        </w:rPr>
        <w:t>عليه‌السلام</w:t>
      </w:r>
      <w:r w:rsidR="00E3253D">
        <w:rPr>
          <w:rtl/>
        </w:rPr>
        <w:t xml:space="preserve"> ».</w:t>
      </w:r>
      <w:r w:rsidR="00E3253D" w:rsidRPr="005D642E">
        <w:rPr>
          <w:rtl/>
        </w:rPr>
        <w:t xml:space="preserve"> وفي المطبوع : + « الصادق </w:t>
      </w:r>
      <w:r w:rsidR="00E3253D" w:rsidRPr="00963BC1">
        <w:rPr>
          <w:rStyle w:val="libFootnoteAlaemChar"/>
          <w:rtl/>
        </w:rPr>
        <w:t>عليه‌السلام</w:t>
      </w:r>
      <w:r w:rsidR="00E3253D">
        <w:rPr>
          <w:rtl/>
        </w:rPr>
        <w:t xml:space="preserve"> ».</w:t>
      </w:r>
      <w:r w:rsidR="00E3253D" w:rsidRPr="005D642E">
        <w:rPr>
          <w:rtl/>
        </w:rPr>
        <w:t xml:space="preserve"> وفي « بح » : + « أبو جعفر </w:t>
      </w:r>
      <w:r w:rsidR="00E3253D" w:rsidRPr="00963BC1">
        <w:rPr>
          <w:rStyle w:val="libFootnoteAlaemChar"/>
          <w:rtl/>
        </w:rPr>
        <w:t>عليه‌السلام</w:t>
      </w:r>
      <w:r w:rsidR="00E3253D">
        <w:rPr>
          <w:rtl/>
        </w:rPr>
        <w:t xml:space="preserve"> ».</w:t>
      </w:r>
      <w:r w:rsidR="00E3253D" w:rsidRPr="005D642E">
        <w:rPr>
          <w:rtl/>
        </w:rPr>
        <w:t xml:space="preserve"> وفي الوسائل </w:t>
      </w:r>
      <w:r w:rsidR="00B60612" w:rsidRPr="00B60612">
        <w:rPr>
          <w:rStyle w:val="libFootnoteBoldChar"/>
          <w:rtl/>
        </w:rPr>
        <w:t>والتهذيب</w:t>
      </w:r>
      <w:r w:rsidR="00E3253D" w:rsidRPr="005D642E">
        <w:rPr>
          <w:rtl/>
        </w:rPr>
        <w:t xml:space="preserve"> : « أبو عبدالله </w:t>
      </w:r>
      <w:r w:rsidR="00E3253D" w:rsidRPr="00963BC1">
        <w:rPr>
          <w:rStyle w:val="libFootnoteAlaemChar"/>
          <w:rtl/>
        </w:rPr>
        <w:t>عليه‌السلام</w:t>
      </w:r>
      <w:r w:rsidR="00E3253D" w:rsidRPr="005D642E">
        <w:rPr>
          <w:rtl/>
        </w:rPr>
        <w:t xml:space="preserve"> » بدل « الشيخ</w:t>
      </w:r>
      <w:r w:rsidR="00E3253D">
        <w:rPr>
          <w:rtl/>
        </w:rPr>
        <w:t xml:space="preserve"> ».</w:t>
      </w:r>
      <w:r w:rsidR="00963BC1">
        <w:rPr>
          <w:rFonts w:hint="cs"/>
          <w:rtl/>
        </w:rPr>
        <w:t xml:space="preserve">                     </w:t>
      </w:r>
      <w:r w:rsidRPr="0042621E">
        <w:rPr>
          <w:rStyle w:val="libFootnote0Char"/>
          <w:rtl/>
        </w:rPr>
        <w:t>(3).</w:t>
      </w:r>
      <w:r w:rsidR="00E3253D" w:rsidRPr="005D642E">
        <w:rPr>
          <w:rtl/>
        </w:rPr>
        <w:t xml:space="preserve"> في « جن » : « في المدينة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63BC1" w:rsidTr="00963BC1">
        <w:tc>
          <w:tcPr>
            <w:tcW w:w="4006" w:type="dxa"/>
          </w:tcPr>
          <w:p w:rsidR="00963BC1" w:rsidRDefault="00963BC1" w:rsidP="00E3253D">
            <w:pPr>
              <w:pStyle w:val="libFootnote0"/>
              <w:rPr>
                <w:rStyle w:val="libFootnote0Char"/>
                <w:rtl/>
              </w:rPr>
            </w:pPr>
            <w:r w:rsidRPr="0042621E">
              <w:rPr>
                <w:rStyle w:val="libFootnote0Char"/>
                <w:rtl/>
              </w:rPr>
              <w:t>(4).</w:t>
            </w:r>
            <w:r>
              <w:rPr>
                <w:rtl/>
              </w:rPr>
              <w:t xml:space="preserve"> في الوافي والوسائل : «ومات» بدل «لم</w:t>
            </w:r>
            <w:r>
              <w:rPr>
                <w:rFonts w:hint="cs"/>
                <w:rtl/>
              </w:rPr>
              <w:t>ـّ</w:t>
            </w:r>
            <w:r w:rsidRPr="005D642E">
              <w:rPr>
                <w:rtl/>
              </w:rPr>
              <w:t>ا مات</w:t>
            </w:r>
            <w:r>
              <w:rPr>
                <w:rtl/>
              </w:rPr>
              <w:t xml:space="preserve"> ».</w:t>
            </w:r>
          </w:p>
        </w:tc>
        <w:tc>
          <w:tcPr>
            <w:tcW w:w="4006" w:type="dxa"/>
          </w:tcPr>
          <w:p w:rsidR="00963BC1" w:rsidRDefault="00963BC1" w:rsidP="00E3253D">
            <w:pPr>
              <w:pStyle w:val="libFootnote0"/>
              <w:rPr>
                <w:rStyle w:val="libFootnote0Char"/>
                <w:rtl/>
              </w:rPr>
            </w:pPr>
            <w:r w:rsidRPr="0042621E">
              <w:rPr>
                <w:rStyle w:val="libFootnote0Char"/>
                <w:rtl/>
              </w:rPr>
              <w:t>(5).</w:t>
            </w:r>
            <w:r w:rsidRPr="005D642E">
              <w:rPr>
                <w:rtl/>
              </w:rPr>
              <w:t xml:space="preserve"> في الوسائل : + « وبعث معنا</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963BC1">
        <w:rPr>
          <w:rtl/>
        </w:rPr>
        <w:t xml:space="preserve"> في «جس» : «</w:t>
      </w:r>
      <w:r w:rsidR="00E3253D" w:rsidRPr="005D642E">
        <w:rPr>
          <w:rtl/>
        </w:rPr>
        <w:t>أن يشتري له</w:t>
      </w:r>
      <w:r w:rsidR="00E3253D">
        <w:rPr>
          <w:rtl/>
        </w:rPr>
        <w:t>».</w:t>
      </w:r>
      <w:r w:rsidR="00E3253D" w:rsidRPr="005D642E">
        <w:rPr>
          <w:rtl/>
        </w:rPr>
        <w:t xml:space="preserve"> وفي الوسائل : « فأمرنا بأن نشتري » بدل « وأمرنا أن نشتري له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292 ، ح 854 ، بسنده عن حريز. </w:t>
      </w:r>
      <w:r w:rsidR="00E3253D" w:rsidRPr="002F4D34">
        <w:rPr>
          <w:rStyle w:val="libFootnoteBoldChar"/>
          <w:rtl/>
        </w:rPr>
        <w:t>وفيه</w:t>
      </w:r>
      <w:r w:rsidR="00E3253D" w:rsidRPr="005D642E">
        <w:rPr>
          <w:rtl/>
        </w:rPr>
        <w:t xml:space="preserve"> ، ص 291 ، ح 851 ، بسند آخر عن أبي عبدالله وأبي جعفر </w:t>
      </w:r>
      <w:r w:rsidR="00E3253D" w:rsidRPr="00963BC1">
        <w:rPr>
          <w:rStyle w:val="libFootnoteAlaemChar"/>
          <w:rtl/>
        </w:rPr>
        <w:t>عليهما‌السلام</w:t>
      </w:r>
      <w:r w:rsidR="00E3253D" w:rsidRPr="005D642E">
        <w:rPr>
          <w:rtl/>
        </w:rPr>
        <w:t xml:space="preserve">. </w:t>
      </w:r>
      <w:r w:rsidR="00E3253D" w:rsidRPr="002F4D34">
        <w:rPr>
          <w:rStyle w:val="libFootnoteBoldChar"/>
          <w:rtl/>
        </w:rPr>
        <w:t>الفقيه</w:t>
      </w:r>
      <w:r w:rsidR="00E3253D" w:rsidRPr="005D642E">
        <w:rPr>
          <w:rtl/>
        </w:rPr>
        <w:t xml:space="preserve"> ، ج 1 ، ص 152 ، ذيل ح 418 ، وفيهما إلى قوله : « فمازاد فهو مبتدع » مع اختلاف </w:t>
      </w:r>
      <w:r w:rsidR="00963BC1">
        <w:rPr>
          <w:rFonts w:hint="cs"/>
          <w:rtl/>
        </w:rPr>
        <w:t>.</w:t>
      </w:r>
      <w:r w:rsidR="00E3253D" w:rsidRPr="002F4D34">
        <w:rPr>
          <w:rStyle w:val="libFootnoteBoldChar"/>
          <w:rtl/>
        </w:rPr>
        <w:t>الوافي</w:t>
      </w:r>
      <w:r w:rsidR="00E3253D" w:rsidRPr="005D642E">
        <w:rPr>
          <w:rtl/>
        </w:rPr>
        <w:t xml:space="preserve"> ، ج 24 ، ص 359 ، ح 24203 ؛ </w:t>
      </w:r>
      <w:r w:rsidR="00E3253D" w:rsidRPr="002F4D34">
        <w:rPr>
          <w:rStyle w:val="libFootnoteBoldChar"/>
          <w:rtl/>
        </w:rPr>
        <w:t>الوسائل</w:t>
      </w:r>
      <w:r w:rsidR="00E3253D" w:rsidRPr="005D642E">
        <w:rPr>
          <w:rtl/>
        </w:rPr>
        <w:t xml:space="preserve"> ، ج 3 ، ص 6 ، ح 2868.</w:t>
      </w:r>
    </w:p>
    <w:p w:rsidR="00E3253D" w:rsidRPr="005D642E" w:rsidRDefault="0042621E" w:rsidP="00E3253D">
      <w:pPr>
        <w:pStyle w:val="libFootnote0"/>
        <w:rPr>
          <w:rtl/>
          <w:lang w:bidi="fa-IR"/>
        </w:rPr>
      </w:pPr>
      <w:r w:rsidRPr="0042621E">
        <w:rPr>
          <w:rStyle w:val="libFootnote0Char"/>
          <w:rtl/>
        </w:rPr>
        <w:t>(8).</w:t>
      </w:r>
      <w:r w:rsidR="00963BC1">
        <w:rPr>
          <w:rtl/>
        </w:rPr>
        <w:t xml:space="preserve"> في حاشية « بث » : « لئل</w:t>
      </w:r>
      <w:r w:rsidR="00963BC1">
        <w:rPr>
          <w:rFonts w:hint="cs"/>
          <w:rtl/>
        </w:rPr>
        <w:t>ّ</w:t>
      </w:r>
      <w:r w:rsidR="00963BC1">
        <w:rPr>
          <w:rtl/>
        </w:rPr>
        <w:t>ا</w:t>
      </w:r>
      <w:r w:rsidR="00E3253D">
        <w:rPr>
          <w:rtl/>
        </w:rPr>
        <w:t xml:space="preserve"> ».</w:t>
      </w:r>
    </w:p>
    <w:p w:rsidR="00E3253D" w:rsidRPr="005D642E" w:rsidRDefault="0042621E" w:rsidP="00963BC1">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293 ، ح 856 ، بسنده عن الكليني </w:t>
      </w:r>
      <w:r w:rsidR="00963BC1">
        <w:rPr>
          <w:rFonts w:hint="cs"/>
          <w:rtl/>
        </w:rPr>
        <w:t>.</w:t>
      </w:r>
      <w:r w:rsidR="00E3253D" w:rsidRPr="002F4D34">
        <w:rPr>
          <w:rStyle w:val="libFootnoteBoldChar"/>
          <w:rtl/>
        </w:rPr>
        <w:t>الوافي</w:t>
      </w:r>
      <w:r w:rsidR="00E3253D" w:rsidRPr="005D642E">
        <w:rPr>
          <w:rtl/>
        </w:rPr>
        <w:t xml:space="preserve"> ، ج 24 ، ص 360 ، ح 24206 ؛ </w:t>
      </w:r>
      <w:r w:rsidR="00E3253D" w:rsidRPr="002F4D34">
        <w:rPr>
          <w:rStyle w:val="libFootnoteBoldChar"/>
          <w:rtl/>
        </w:rPr>
        <w:t>الوسائل</w:t>
      </w:r>
      <w:r w:rsidR="00E3253D" w:rsidRPr="005D642E">
        <w:rPr>
          <w:rtl/>
        </w:rPr>
        <w:t xml:space="preserve"> ، ج 3 ، ص 9 ، ح 2878.</w:t>
      </w:r>
      <w:r w:rsidR="00963BC1">
        <w:rPr>
          <w:rFonts w:hint="cs"/>
          <w:rtl/>
        </w:rPr>
        <w:t xml:space="preserve">                     </w:t>
      </w:r>
      <w:r w:rsidRPr="0042621E">
        <w:rPr>
          <w:rStyle w:val="libFootnote0Char"/>
          <w:rtl/>
        </w:rPr>
        <w:t>(10).</w:t>
      </w:r>
      <w:r w:rsidR="00E3253D" w:rsidRPr="005D642E">
        <w:rPr>
          <w:rtl/>
        </w:rPr>
        <w:t xml:space="preserve"> في حاشية « غ » : « نكفّنه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بث ، بف ، جس ، جن » </w:t>
      </w:r>
      <w:r w:rsidR="00B60612" w:rsidRPr="00B60612">
        <w:rPr>
          <w:rStyle w:val="libFootnoteBoldChar"/>
          <w:rtl/>
        </w:rPr>
        <w:t>والتهذيب</w:t>
      </w:r>
      <w:r w:rsidR="00E3253D" w:rsidRPr="005D642E">
        <w:rPr>
          <w:rtl/>
        </w:rPr>
        <w:t xml:space="preserve"> : « بثلاثة</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أَحَدُهَا رِدَاءٌ لَهُ حِبَرَةٌ كَانَ يُصَلِّي فِيهِ يَوْمَ الْجُمُعَةِ ، وَثَوْبٌ آخَرُ ، وَقَمِيصٌ ، فَقُلْتُ لِأَبِي :</w:t>
      </w:r>
      <w:r>
        <w:rPr>
          <w:rFonts w:hint="cs"/>
          <w:rtl/>
          <w:lang w:bidi="fa-IR"/>
        </w:rPr>
        <w:t xml:space="preserve"> </w:t>
      </w:r>
      <w:r w:rsidRPr="005D642E">
        <w:rPr>
          <w:rtl/>
          <w:lang w:bidi="fa-IR"/>
        </w:rPr>
        <w:t xml:space="preserve">لِمَ تَكْتُبُ </w:t>
      </w:r>
      <w:r w:rsidRPr="007C12DB">
        <w:rPr>
          <w:rStyle w:val="libFootnotenumChar"/>
          <w:rtl/>
        </w:rPr>
        <w:t>(1)</w:t>
      </w:r>
      <w:r w:rsidRPr="005D642E">
        <w:rPr>
          <w:rtl/>
          <w:lang w:bidi="fa-IR"/>
        </w:rPr>
        <w:t xml:space="preserve"> هذَا</w:t>
      </w:r>
      <w:r>
        <w:rPr>
          <w:rtl/>
          <w:lang w:bidi="fa-IR"/>
        </w:rPr>
        <w:t>؟</w:t>
      </w:r>
      <w:r w:rsidRPr="005D642E">
        <w:rPr>
          <w:rtl/>
          <w:lang w:bidi="fa-IR"/>
        </w:rPr>
        <w:t xml:space="preserve"> فَقَالَ : أَخَافُ أَنْ يَغْلِبَكَ النَّاسُ ، وَإِنْ </w:t>
      </w:r>
      <w:r w:rsidRPr="007C12DB">
        <w:rPr>
          <w:rStyle w:val="libFootnotenumChar"/>
          <w:rtl/>
        </w:rPr>
        <w:t>(2)</w:t>
      </w:r>
      <w:r w:rsidRPr="005D642E">
        <w:rPr>
          <w:rtl/>
          <w:lang w:bidi="fa-IR"/>
        </w:rPr>
        <w:t xml:space="preserve"> قَالُوا : كَفِّنْهُ فِي أَرْبَعَةٍ أَوْ خَمْسَةٍ ، فَلَا تَفْعَلْ ، وَعَمِّمْنِي </w:t>
      </w:r>
      <w:r w:rsidRPr="007C12DB">
        <w:rPr>
          <w:rStyle w:val="libFootnotenumChar"/>
          <w:rtl/>
        </w:rPr>
        <w:t>(3)</w:t>
      </w:r>
      <w:r w:rsidRPr="005D642E">
        <w:rPr>
          <w:rtl/>
          <w:lang w:bidi="fa-IR"/>
        </w:rPr>
        <w:t xml:space="preserve"> بِعِمَامَةٍ </w:t>
      </w:r>
      <w:r w:rsidRPr="007C12DB">
        <w:rPr>
          <w:rStyle w:val="libFootnotenumChar"/>
          <w:rtl/>
        </w:rPr>
        <w:t>(4)</w:t>
      </w:r>
      <w:r w:rsidRPr="005D642E">
        <w:rPr>
          <w:rtl/>
          <w:lang w:bidi="fa-IR"/>
        </w:rPr>
        <w:t xml:space="preserve"> ، وَلَيْسَ تُعَدُّ الْعِمَامَةُ مِنَ الْكَفَنِ ، إِنَّمَا يُعَدُّ مَا يُلَفُّ بِهِ الْجَسَدُ</w:t>
      </w:r>
      <w:r>
        <w:rPr>
          <w:rtl/>
          <w:lang w:bidi="fa-IR"/>
        </w:rPr>
        <w:t xml:space="preserve"> ».</w:t>
      </w:r>
      <w:r w:rsidRPr="007C12DB">
        <w:rPr>
          <w:rStyle w:val="libFootnotenumChar"/>
          <w:rtl/>
        </w:rPr>
        <w:t>(5)</w:t>
      </w:r>
      <w:r w:rsidRPr="005D642E">
        <w:rPr>
          <w:rtl/>
          <w:lang w:bidi="fa-IR"/>
        </w:rPr>
        <w:t>‌</w:t>
      </w:r>
    </w:p>
    <w:p w:rsidR="00E3253D" w:rsidRPr="005D642E" w:rsidRDefault="00E3253D" w:rsidP="00E3253D">
      <w:pPr>
        <w:pStyle w:val="libNormal"/>
        <w:rPr>
          <w:rtl/>
          <w:lang w:bidi="fa-IR"/>
        </w:rPr>
      </w:pPr>
      <w:r w:rsidRPr="00C8397F">
        <w:rPr>
          <w:rtl/>
        </w:rPr>
        <w:t>4345</w:t>
      </w:r>
      <w:r w:rsidRPr="00246318">
        <w:rPr>
          <w:rStyle w:val="libBold2Char"/>
          <w:rtl/>
        </w:rPr>
        <w:t xml:space="preserve"> / 8.</w:t>
      </w:r>
      <w:r w:rsidRPr="005D642E">
        <w:rPr>
          <w:rtl/>
          <w:lang w:bidi="fa-IR"/>
        </w:rPr>
        <w:t xml:space="preserve"> عَلِيٌّ </w:t>
      </w:r>
      <w:r w:rsidRPr="007C12DB">
        <w:rPr>
          <w:rStyle w:val="libFootnotenumChar"/>
          <w:rtl/>
        </w:rPr>
        <w:t>(6)</w:t>
      </w:r>
      <w:r w:rsidRPr="005D642E">
        <w:rPr>
          <w:rtl/>
          <w:lang w:bidi="fa-IR"/>
        </w:rPr>
        <w:t xml:space="preserve"> ، عَنْ أَبِيهِ ، عَنِ ابْنِ أَبِي عُمَيْرٍ ، عَنْ أَبِي أَيُّوبَ الْخَرَّازِ </w:t>
      </w:r>
      <w:r w:rsidRPr="007C12DB">
        <w:rPr>
          <w:rStyle w:val="libFootnotenumChar"/>
          <w:rtl/>
        </w:rPr>
        <w:t>(7)</w:t>
      </w:r>
      <w:r w:rsidRPr="005D642E">
        <w:rPr>
          <w:rtl/>
          <w:lang w:bidi="fa-IR"/>
        </w:rPr>
        <w:t xml:space="preserve"> ، عَنْ عُثْمَانَ النَّوَّاءِ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إِنِّي أَغْسِلُ </w:t>
      </w:r>
      <w:r w:rsidRPr="007C12DB">
        <w:rPr>
          <w:rStyle w:val="libFootnotenumChar"/>
          <w:rtl/>
        </w:rPr>
        <w:t>(8)</w:t>
      </w:r>
      <w:r w:rsidRPr="005D642E">
        <w:rPr>
          <w:rtl/>
          <w:lang w:bidi="fa-IR"/>
        </w:rPr>
        <w:t xml:space="preserve"> الْمَوْتى ، قَالَ </w:t>
      </w:r>
      <w:r w:rsidRPr="007C12DB">
        <w:rPr>
          <w:rStyle w:val="libFootnotenumChar"/>
          <w:rtl/>
        </w:rPr>
        <w:t>(9)</w:t>
      </w:r>
      <w:r w:rsidRPr="005D642E">
        <w:rPr>
          <w:rtl/>
          <w:lang w:bidi="fa-IR"/>
        </w:rPr>
        <w:t xml:space="preserve"> : « وَتُحْسِنُ</w:t>
      </w:r>
      <w:r>
        <w:rPr>
          <w:rtl/>
          <w:lang w:bidi="fa-IR"/>
        </w:rPr>
        <w:t>؟</w:t>
      </w:r>
      <w:r w:rsidRPr="005D642E">
        <w:rPr>
          <w:rtl/>
          <w:lang w:bidi="fa-IR"/>
        </w:rPr>
        <w:t xml:space="preserve"> » قُلْتُ : إِنِّي أَغْسِلُ </w:t>
      </w:r>
      <w:r w:rsidRPr="007C12DB">
        <w:rPr>
          <w:rStyle w:val="libFootnotenumChar"/>
          <w:rtl/>
        </w:rPr>
        <w:t>(10)</w:t>
      </w:r>
      <w:r w:rsidRPr="005D642E">
        <w:rPr>
          <w:rtl/>
          <w:lang w:bidi="fa-IR"/>
        </w:rPr>
        <w:t xml:space="preserve"> ، فَقَالَ : « إِذَا غَسَلْتَ فَارْفُقْ بِهِ ، وَلَاتَغْمِزْهُ ، وَلَاتَمَسَّ مَسَامِعَهُ بِكَافُورٍ ، وَإِذَا عَمَّمْتَهُ فَلَا تُعَمِّمْهُ عِمَّةَ الْأَعْرَابِيِّ </w:t>
      </w:r>
      <w:r w:rsidRPr="007C12DB">
        <w:rPr>
          <w:rStyle w:val="libFootnotenumChar"/>
          <w:rtl/>
        </w:rPr>
        <w:t>(11)</w:t>
      </w:r>
      <w:r>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بث » : « لم نكتب</w:t>
      </w:r>
      <w:r w:rsidR="00E3253D">
        <w:rPr>
          <w:rtl/>
        </w:rPr>
        <w:t xml:space="preserve"> ».</w:t>
      </w:r>
      <w:r w:rsidR="00E3253D" w:rsidRPr="005D642E">
        <w:rPr>
          <w:rtl/>
        </w:rPr>
        <w:t xml:space="preserve"> وفي الوافي : « ولم تكتب</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بف » </w:t>
      </w:r>
      <w:r w:rsidR="000D749A" w:rsidRPr="000D749A">
        <w:rPr>
          <w:rStyle w:val="libFootnoteBoldChar"/>
          <w:rtl/>
        </w:rPr>
        <w:t>والوافي</w:t>
      </w:r>
      <w:r w:rsidR="00E3253D" w:rsidRPr="005D642E">
        <w:rPr>
          <w:rtl/>
        </w:rPr>
        <w:t xml:space="preserve"> : « فإن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ى ، بث ، بح ، بس ، جح ، جس ، جن » : « وعمّمه</w:t>
      </w:r>
      <w:r w:rsidR="00E3253D">
        <w:rPr>
          <w:rtl/>
        </w:rPr>
        <w:t xml:space="preserve"> ».</w:t>
      </w:r>
      <w:r w:rsidR="00E3253D" w:rsidRPr="005D642E">
        <w:rPr>
          <w:rtl/>
        </w:rPr>
        <w:t xml:space="preserve"> وما في المتن مطابق للمطبوع </w:t>
      </w:r>
      <w:r w:rsidR="00E3253D">
        <w:rPr>
          <w:rtl/>
        </w:rPr>
        <w:t>و «</w:t>
      </w:r>
      <w:r w:rsidR="00E3253D" w:rsidRPr="005D642E">
        <w:rPr>
          <w:rtl/>
        </w:rPr>
        <w:t xml:space="preserve"> بخ ، بف</w:t>
      </w:r>
      <w:r w:rsidR="00E3253D">
        <w:rPr>
          <w:rtl/>
        </w:rPr>
        <w:t xml:space="preserve"> ».</w:t>
      </w:r>
      <w:r w:rsidR="00E3253D" w:rsidRPr="005D642E">
        <w:rPr>
          <w:rtl/>
        </w:rPr>
        <w:t xml:space="preserve"> وفي‌الوسائل : « وعمّمه بعد</w:t>
      </w:r>
      <w:r w:rsidR="00E3253D">
        <w:rPr>
          <w:rtl/>
        </w:rPr>
        <w:t xml:space="preserve"> ».</w:t>
      </w:r>
      <w:r w:rsidR="00E3253D" w:rsidRPr="005D642E">
        <w:rPr>
          <w:rtl/>
        </w:rPr>
        <w:t xml:space="preserve"> وفي التهذيب : + « بعد</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منتقى الجمان</w:t>
      </w:r>
      <w:r w:rsidR="00E3253D" w:rsidRPr="005D642E">
        <w:rPr>
          <w:rtl/>
        </w:rPr>
        <w:t xml:space="preserve"> ، ج 1 ، ص 262 : « رواه الشيخ متّصلاً بطريقه عن محمّد بن يعقوب ببقيّة السند ، وساق المتن إلى أن قال : فإن قالوا : كفّنه في أربعة أو خمسة ، فلا تفعل ، قال : وعمّمه بعد بعمامة ، إلى آخر الحديث. ولا يخفى أنّ إسقاط كلمة « قال » قبل قوله : وعمّمه ، على ما في </w:t>
      </w:r>
      <w:r w:rsidR="00E3253D" w:rsidRPr="002F4D34">
        <w:rPr>
          <w:rStyle w:val="libFootnoteBoldChar"/>
          <w:rtl/>
        </w:rPr>
        <w:t>الكافي</w:t>
      </w:r>
      <w:r w:rsidR="00E3253D" w:rsidRPr="005D642E">
        <w:rPr>
          <w:rtl/>
        </w:rPr>
        <w:t xml:space="preserve"> ليس على ما ينبغي ، وكأنّه من سهو النسّاخ</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293 ، ح 857 ، بسنده عن الكليني. </w:t>
      </w:r>
      <w:r w:rsidR="00E3253D" w:rsidRPr="002F4D34">
        <w:rPr>
          <w:rStyle w:val="libFootnoteBoldChar"/>
          <w:rtl/>
        </w:rPr>
        <w:t>الفقيه</w:t>
      </w:r>
      <w:r w:rsidR="00E3253D" w:rsidRPr="005D642E">
        <w:rPr>
          <w:rtl/>
        </w:rPr>
        <w:t xml:space="preserve"> ، ج 1 ، ص 153 ، ح 421 ، مرسلاً ، إلى قوله : « يوم الجمعة وثوب آخر وقميص</w:t>
      </w:r>
      <w:r w:rsidR="00E3253D">
        <w:rPr>
          <w:rtl/>
        </w:rPr>
        <w:t xml:space="preserve"> ».</w:t>
      </w:r>
      <w:r w:rsidR="00E3253D" w:rsidRPr="005D642E">
        <w:rPr>
          <w:rtl/>
        </w:rPr>
        <w:t xml:space="preserve"> وفيهما مع اختلاف يسير </w:t>
      </w:r>
      <w:r w:rsidR="001E53B9">
        <w:rPr>
          <w:rFonts w:hint="cs"/>
          <w:rtl/>
        </w:rPr>
        <w:t>.</w:t>
      </w:r>
      <w:r w:rsidR="00E3253D" w:rsidRPr="002F4D34">
        <w:rPr>
          <w:rStyle w:val="libFootnoteBoldChar"/>
          <w:rtl/>
        </w:rPr>
        <w:t>الوافي</w:t>
      </w:r>
      <w:r w:rsidR="00E3253D" w:rsidRPr="005D642E">
        <w:rPr>
          <w:rtl/>
        </w:rPr>
        <w:t xml:space="preserve"> ، ج 24 ، ص 358 ، ح 24201 ؛ </w:t>
      </w:r>
      <w:r w:rsidR="00E3253D" w:rsidRPr="002F4D34">
        <w:rPr>
          <w:rStyle w:val="libFootnoteBoldChar"/>
          <w:rtl/>
        </w:rPr>
        <w:t>الوسائل</w:t>
      </w:r>
      <w:r w:rsidR="00E3253D" w:rsidRPr="005D642E">
        <w:rPr>
          <w:rtl/>
        </w:rPr>
        <w:t xml:space="preserve"> ، ج 3 ، ص 9 ، ح 2876 ؛ </w:t>
      </w:r>
      <w:r w:rsidR="00E3253D" w:rsidRPr="002F4D34">
        <w:rPr>
          <w:rStyle w:val="libFootnoteBoldChar"/>
          <w:rtl/>
        </w:rPr>
        <w:t>البحار</w:t>
      </w:r>
      <w:r w:rsidR="00E3253D" w:rsidRPr="005D642E">
        <w:rPr>
          <w:rtl/>
        </w:rPr>
        <w:t xml:space="preserve"> ، ج 46 ، ص 220 ، ح 24.</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والوسائل : + « بن إبراهيم</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 ى ، بث ، جح » والوسائل. وفي « ظ ، بح ، بس ، بف ، جس ، جن » والمطبوع : « الخزّاز</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 كما تقدّم في </w:t>
      </w:r>
      <w:r w:rsidRPr="002F4D34">
        <w:rPr>
          <w:rStyle w:val="libFootnoteBoldChar"/>
          <w:rtl/>
        </w:rPr>
        <w:t>الكافي</w:t>
      </w:r>
      <w:r w:rsidRPr="00B60612">
        <w:rPr>
          <w:rtl/>
        </w:rPr>
        <w:t xml:space="preserve"> ، ذيل ح 75.</w:t>
      </w:r>
    </w:p>
    <w:tbl>
      <w:tblPr>
        <w:tblStyle w:val="TableGrid"/>
        <w:bidiVisual/>
        <w:tblW w:w="0" w:type="auto"/>
        <w:tblLook w:val="04A0" w:firstRow="1" w:lastRow="0" w:firstColumn="1" w:lastColumn="0" w:noHBand="0" w:noVBand="1"/>
      </w:tblPr>
      <w:tblGrid>
        <w:gridCol w:w="3944"/>
        <w:gridCol w:w="4068"/>
      </w:tblGrid>
      <w:tr w:rsidR="001E53B9" w:rsidTr="001E53B9">
        <w:tc>
          <w:tcPr>
            <w:tcW w:w="3944" w:type="dxa"/>
          </w:tcPr>
          <w:p w:rsidR="001E53B9" w:rsidRDefault="001E53B9" w:rsidP="00E3253D">
            <w:pPr>
              <w:pStyle w:val="libFootnote0"/>
              <w:rPr>
                <w:rStyle w:val="libFootnote0Char"/>
                <w:rtl/>
              </w:rPr>
            </w:pPr>
            <w:r w:rsidRPr="0042621E">
              <w:rPr>
                <w:rStyle w:val="libFootnote0Char"/>
                <w:rtl/>
              </w:rPr>
              <w:t>(8).</w:t>
            </w:r>
            <w:r w:rsidRPr="005D642E">
              <w:rPr>
                <w:rtl/>
              </w:rPr>
              <w:t xml:space="preserve"> في « ى ، بح ، بف » : « اغسّل</w:t>
            </w:r>
            <w:r>
              <w:rPr>
                <w:rtl/>
              </w:rPr>
              <w:t xml:space="preserve"> ».</w:t>
            </w:r>
          </w:p>
        </w:tc>
        <w:tc>
          <w:tcPr>
            <w:tcW w:w="4068" w:type="dxa"/>
          </w:tcPr>
          <w:p w:rsidR="001E53B9" w:rsidRDefault="001E53B9" w:rsidP="00E3253D">
            <w:pPr>
              <w:pStyle w:val="libFootnote0"/>
              <w:rPr>
                <w:rStyle w:val="libFootnote0Char"/>
                <w:rtl/>
              </w:rPr>
            </w:pPr>
            <w:r w:rsidRPr="0042621E">
              <w:rPr>
                <w:rStyle w:val="libFootnote0Char"/>
                <w:rtl/>
              </w:rPr>
              <w:t>(9).</w:t>
            </w:r>
            <w:r>
              <w:rPr>
                <w:rtl/>
              </w:rPr>
              <w:t>في«ى»:«</w:t>
            </w:r>
            <w:r w:rsidRPr="005D642E">
              <w:rPr>
                <w:rtl/>
              </w:rPr>
              <w:t>وقال</w:t>
            </w:r>
            <w:r>
              <w:rPr>
                <w:rtl/>
              </w:rPr>
              <w:t>».وفي«بف»وحاشية «جن»:«</w:t>
            </w:r>
            <w:r w:rsidRPr="005D642E">
              <w:rPr>
                <w:rtl/>
              </w:rPr>
              <w:t>فقال</w:t>
            </w:r>
            <w:r>
              <w:rPr>
                <w:rtl/>
              </w:rPr>
              <w:t>».</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بف » : « اغسّل</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بح » : « عمامة الأعرابي</w:t>
      </w:r>
      <w:r w:rsidR="00E3253D">
        <w:rPr>
          <w:rtl/>
        </w:rPr>
        <w:t xml:space="preserve"> ».</w:t>
      </w:r>
      <w:r w:rsidR="00E3253D" w:rsidRPr="005D642E">
        <w:rPr>
          <w:rtl/>
        </w:rPr>
        <w:t xml:space="preserve"> </w:t>
      </w:r>
      <w:r w:rsidR="00E3253D">
        <w:rPr>
          <w:rtl/>
        </w:rPr>
        <w:t>و «</w:t>
      </w:r>
      <w:r w:rsidR="00E3253D" w:rsidRPr="005D642E">
        <w:rPr>
          <w:rtl/>
        </w:rPr>
        <w:t xml:space="preserve"> العِمَّةُ » : الاعتما</w:t>
      </w:r>
      <w:r w:rsidR="001E53B9">
        <w:rPr>
          <w:rtl/>
        </w:rPr>
        <w:t>م ، وهو لبس العمامة. وقال العل</w:t>
      </w:r>
      <w:r w:rsidR="001E53B9">
        <w:rPr>
          <w:rFonts w:hint="cs"/>
          <w:rtl/>
        </w:rPr>
        <w:t>ّ</w:t>
      </w:r>
      <w:r w:rsidR="001E53B9">
        <w:rPr>
          <w:rtl/>
        </w:rPr>
        <w:t>ا</w:t>
      </w:r>
      <w:r w:rsidR="00E3253D" w:rsidRPr="005D642E">
        <w:rPr>
          <w:rtl/>
        </w:rPr>
        <w:t xml:space="preserve">مة المجلسي : « يمكن أن يكون </w:t>
      </w:r>
      <w:r w:rsidR="001E53B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قُلْتُ : كَيْفَ </w:t>
      </w:r>
      <w:r w:rsidRPr="007C12DB">
        <w:rPr>
          <w:rStyle w:val="libFootnotenumChar"/>
          <w:rtl/>
        </w:rPr>
        <w:t>(1)</w:t>
      </w:r>
      <w:r w:rsidRPr="005D642E">
        <w:rPr>
          <w:rtl/>
          <w:lang w:bidi="fa-IR"/>
        </w:rPr>
        <w:t xml:space="preserve"> أَصْنَعُ</w:t>
      </w:r>
      <w:r>
        <w:rPr>
          <w:rtl/>
          <w:lang w:bidi="fa-IR"/>
        </w:rPr>
        <w:t>؟</w:t>
      </w:r>
      <w:r w:rsidRPr="005D642E">
        <w:rPr>
          <w:rtl/>
          <w:lang w:bidi="fa-IR"/>
        </w:rPr>
        <w:t xml:space="preserve"> قَالَ </w:t>
      </w:r>
      <w:r w:rsidRPr="007C12DB">
        <w:rPr>
          <w:rStyle w:val="libFootnotenumChar"/>
          <w:rtl/>
        </w:rPr>
        <w:t>(2)</w:t>
      </w:r>
      <w:r w:rsidRPr="005D642E">
        <w:rPr>
          <w:rtl/>
          <w:lang w:bidi="fa-IR"/>
        </w:rPr>
        <w:t xml:space="preserve"> : « خُذْ حَدَّ </w:t>
      </w:r>
      <w:r w:rsidRPr="007C12DB">
        <w:rPr>
          <w:rStyle w:val="libFootnotenumChar"/>
          <w:rtl/>
        </w:rPr>
        <w:t>(3)</w:t>
      </w:r>
      <w:r w:rsidRPr="005D642E">
        <w:rPr>
          <w:rtl/>
          <w:lang w:bidi="fa-IR"/>
        </w:rPr>
        <w:t xml:space="preserve"> الْعِمَامَةِ مِنْ وَسَطِهَا ، وَانْشُرْهَا عَلى رَأْسِهِ ، ثُمَّ رُدَّهَا إِلى خَلْفِهِ ، وَاطْرَحْ طَرَفَيْهَا </w:t>
      </w:r>
      <w:r w:rsidRPr="007C12DB">
        <w:rPr>
          <w:rStyle w:val="libFootnotenumChar"/>
          <w:rtl/>
        </w:rPr>
        <w:t>(4)</w:t>
      </w:r>
      <w:r w:rsidRPr="005D642E">
        <w:rPr>
          <w:rtl/>
          <w:lang w:bidi="fa-IR"/>
        </w:rPr>
        <w:t xml:space="preserve"> عَلى صَدْرِهِ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C8397F">
        <w:rPr>
          <w:rtl/>
        </w:rPr>
        <w:t>4346</w:t>
      </w:r>
      <w:r w:rsidRPr="00246318">
        <w:rPr>
          <w:rStyle w:val="libBold2Char"/>
          <w:rtl/>
        </w:rPr>
        <w:t xml:space="preserve"> / 9.</w:t>
      </w:r>
      <w:r w:rsidRPr="005D642E">
        <w:rPr>
          <w:rtl/>
          <w:lang w:bidi="fa-IR"/>
        </w:rPr>
        <w:t xml:space="preserve"> مُحَمَّدُ بْنُ يَحْيى ، عَنْ أَحْمَدَ بْنِ مُحَمَّدٍ ، عَنِ الْحُسَيْنِ بْنِ سَعِيدٍ ، عَنِ النَّضْر</w:t>
      </w:r>
      <w:r>
        <w:rPr>
          <w:rFonts w:hint="cs"/>
          <w:rtl/>
          <w:lang w:bidi="fa-IR"/>
        </w:rPr>
        <w:t xml:space="preserve"> </w:t>
      </w:r>
      <w:r w:rsidRPr="005D642E">
        <w:rPr>
          <w:rtl/>
          <w:lang w:bidi="fa-IR"/>
        </w:rPr>
        <w:t>بْنِ سُوَيْدٍ ، عَنْ عَبْدِ اللهِ بْنِ سِنَانٍ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كَيْفَ أَصْنَعُ </w:t>
      </w:r>
      <w:r w:rsidRPr="007C12DB">
        <w:rPr>
          <w:rStyle w:val="libFootnotenumChar"/>
          <w:rtl/>
        </w:rPr>
        <w:t>(7)</w:t>
      </w:r>
      <w:r w:rsidRPr="005D642E">
        <w:rPr>
          <w:rtl/>
          <w:lang w:bidi="fa-IR"/>
        </w:rPr>
        <w:t xml:space="preserve"> بِالْكَفَنِ</w:t>
      </w:r>
      <w:r>
        <w:rPr>
          <w:rtl/>
          <w:lang w:bidi="fa-IR"/>
        </w:rPr>
        <w:t>؟</w:t>
      </w:r>
    </w:p>
    <w:p w:rsidR="00E3253D" w:rsidRPr="005D642E" w:rsidRDefault="00E3253D" w:rsidP="00E3253D">
      <w:pPr>
        <w:pStyle w:val="libNormal"/>
        <w:rPr>
          <w:rtl/>
          <w:lang w:bidi="fa-IR"/>
        </w:rPr>
      </w:pPr>
      <w:r w:rsidRPr="005D642E">
        <w:rPr>
          <w:rtl/>
          <w:lang w:bidi="fa-IR"/>
        </w:rPr>
        <w:t xml:space="preserve">قَالَ : « تُؤْخَذُ </w:t>
      </w:r>
      <w:r w:rsidRPr="007C12DB">
        <w:rPr>
          <w:rStyle w:val="libFootnotenumChar"/>
          <w:rtl/>
        </w:rPr>
        <w:t>(8)</w:t>
      </w:r>
      <w:r w:rsidRPr="005D642E">
        <w:rPr>
          <w:rtl/>
          <w:lang w:bidi="fa-IR"/>
        </w:rPr>
        <w:t xml:space="preserve"> خِرْقَةٌ ، فَتُشَدُّ بِهَا </w:t>
      </w:r>
      <w:r w:rsidRPr="007C12DB">
        <w:rPr>
          <w:rStyle w:val="libFootnotenumChar"/>
          <w:rtl/>
        </w:rPr>
        <w:t>(9)</w:t>
      </w:r>
      <w:r w:rsidRPr="005D642E">
        <w:rPr>
          <w:rtl/>
          <w:lang w:bidi="fa-IR"/>
        </w:rPr>
        <w:t xml:space="preserve"> عَلى مَقْعَدَتِهِ وَرِجْلَيْهِ » قُلْتُ : فَالْإِزَارُ</w:t>
      </w:r>
      <w:r>
        <w:rPr>
          <w:rtl/>
          <w:lang w:bidi="fa-IR"/>
        </w:rPr>
        <w:t>؟</w:t>
      </w:r>
      <w:r w:rsidRPr="005D642E">
        <w:rPr>
          <w:rtl/>
          <w:lang w:bidi="fa-IR"/>
        </w:rPr>
        <w:t xml:space="preserve"> قَالَ </w:t>
      </w:r>
      <w:r w:rsidRPr="007C12DB">
        <w:rPr>
          <w:rStyle w:val="libFootnotenumChar"/>
          <w:rtl/>
        </w:rPr>
        <w:t>(10)</w:t>
      </w:r>
      <w:r w:rsidR="00661E2C">
        <w:rPr>
          <w:rtl/>
          <w:lang w:bidi="fa-IR"/>
        </w:rPr>
        <w:t xml:space="preserve"> : «</w:t>
      </w:r>
      <w:r w:rsidRPr="005D642E">
        <w:rPr>
          <w:rtl/>
          <w:lang w:bidi="fa-IR"/>
        </w:rPr>
        <w:t xml:space="preserve">إِنَّهَا لَا تُعَدُّ شَيْئاً ، إِنَّمَا تُصْنَعُ </w:t>
      </w:r>
      <w:r w:rsidRPr="007C12DB">
        <w:rPr>
          <w:rStyle w:val="libFootnotenumChar"/>
          <w:rtl/>
        </w:rPr>
        <w:t>(11)</w:t>
      </w:r>
      <w:r w:rsidRPr="005D642E">
        <w:rPr>
          <w:rtl/>
          <w:lang w:bidi="fa-IR"/>
        </w:rPr>
        <w:t xml:space="preserve"> لِيُضَمَّ </w:t>
      </w:r>
      <w:r w:rsidRPr="007C12DB">
        <w:rPr>
          <w:rStyle w:val="libFootnotenumChar"/>
          <w:rtl/>
        </w:rPr>
        <w:t>(12)</w:t>
      </w:r>
      <w:r w:rsidRPr="005D642E">
        <w:rPr>
          <w:rtl/>
          <w:lang w:bidi="fa-IR"/>
        </w:rPr>
        <w:t xml:space="preserve"> مَا هُنَاكَ‌</w:t>
      </w:r>
      <w:r w:rsidR="00661E2C">
        <w:rPr>
          <w:rFonts w:hint="cs"/>
          <w:rtl/>
          <w:lang w:bidi="fa-IR"/>
        </w:rPr>
        <w:t xml:space="preserve"> .............................</w:t>
      </w:r>
      <w:r w:rsidR="00661E2C">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661E2C" w:rsidP="000450C4">
      <w:pPr>
        <w:pStyle w:val="libFootnote0"/>
        <w:rPr>
          <w:rtl/>
          <w:lang w:bidi="fa-IR"/>
        </w:rPr>
      </w:pPr>
      <w:r>
        <w:rPr>
          <w:rFonts w:hint="cs"/>
          <w:rtl/>
        </w:rPr>
        <w:t xml:space="preserve">= </w:t>
      </w:r>
      <w:r w:rsidR="00E3253D" w:rsidRPr="005D642E">
        <w:rPr>
          <w:rtl/>
        </w:rPr>
        <w:t>المراد بعمّة الأعرابي ، التي لاحنك لها كما فهم فيكون سؤال السائل عن سائر كيفيّات العمامة. ويحتمل أن يكون المراد بعمّة الأعرابي التي لايلقي طرفاها ، وهو الظاهر من أكثر الأخبار بل من كلام بعض الأصحاب واللغويّين أيضاً ، كما حقّقناه في كتابنا الكبير</w:t>
      </w:r>
      <w:r w:rsidR="00E3253D">
        <w:rPr>
          <w:rtl/>
        </w:rPr>
        <w:t xml:space="preserve"> ».</w:t>
      </w:r>
      <w:r w:rsidR="00E3253D" w:rsidRPr="005D642E">
        <w:rPr>
          <w:rtl/>
        </w:rPr>
        <w:t xml:space="preserve"> المراد ببعض الأصحاب هو السيّد بن الطاووس وببعض اللغويين الزمخشري وابن الأثير ، نصّ عليهم في </w:t>
      </w:r>
      <w:r w:rsidR="00E3253D" w:rsidRPr="002F4D34">
        <w:rPr>
          <w:rStyle w:val="libFootnoteBoldChar"/>
          <w:rtl/>
        </w:rPr>
        <w:t>البحار</w:t>
      </w:r>
      <w:r w:rsidR="00E3253D" w:rsidRPr="005D642E">
        <w:rPr>
          <w:rtl/>
        </w:rPr>
        <w:t xml:space="preserve"> بعد ما قال</w:t>
      </w:r>
      <w:r w:rsidR="00E3253D">
        <w:rPr>
          <w:rtl/>
        </w:rPr>
        <w:t xml:space="preserve"> </w:t>
      </w:r>
      <w:r w:rsidR="007642BC">
        <w:rPr>
          <w:rtl/>
        </w:rPr>
        <w:t>-</w:t>
      </w:r>
      <w:r w:rsidR="00E3253D">
        <w:rPr>
          <w:rtl/>
        </w:rPr>
        <w:t xml:space="preserve"> </w:t>
      </w:r>
      <w:r w:rsidR="00E3253D" w:rsidRPr="005D642E">
        <w:rPr>
          <w:rtl/>
        </w:rPr>
        <w:t>بعد نقل أخبار في الباب</w:t>
      </w:r>
      <w:r w:rsidR="00E3253D">
        <w:rPr>
          <w:rtl/>
        </w:rPr>
        <w:t xml:space="preserve"> </w:t>
      </w:r>
      <w:r w:rsidR="007642BC">
        <w:rPr>
          <w:rtl/>
        </w:rPr>
        <w:t>-</w:t>
      </w:r>
      <w:r w:rsidR="00E3253D">
        <w:rPr>
          <w:rtl/>
        </w:rPr>
        <w:t xml:space="preserve"> </w:t>
      </w:r>
      <w:r w:rsidR="00E3253D" w:rsidRPr="005D642E">
        <w:rPr>
          <w:rtl/>
        </w:rPr>
        <w:t>: « وأقول : لم يتعرّض في شي‌ء في تلك الروايات لإدارة العمامة تحت الحنك على الوجه الذي فهمه أهل عصرنا ، مع التعرّض لتفصيل أحوال العمائم وكيفيّتها » ثمّ أيّده بظاهر كلام السيّد وكلام الزمخشري وابن الأثير ؛ حيث قالا في تفسير التلحّي بالعمائم : « أن لا يجعل شيئاً منها تحت حنكه</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5 ، ص 1992 ؛ </w:t>
      </w:r>
      <w:r w:rsidR="00E3253D" w:rsidRPr="002F4D34">
        <w:rPr>
          <w:rStyle w:val="libFootnoteBoldChar"/>
          <w:rtl/>
        </w:rPr>
        <w:t>القاموس المحيط</w:t>
      </w:r>
      <w:r w:rsidR="00E3253D" w:rsidRPr="005D642E">
        <w:rPr>
          <w:rtl/>
        </w:rPr>
        <w:t xml:space="preserve"> ، ج 2 ، ص 1502 ( عمم ) ؛ </w:t>
      </w:r>
      <w:r w:rsidR="00E3253D" w:rsidRPr="002F4D34">
        <w:rPr>
          <w:rStyle w:val="libFootnoteBoldChar"/>
          <w:rtl/>
        </w:rPr>
        <w:t>مرآة العقول</w:t>
      </w:r>
      <w:r w:rsidR="00E3253D" w:rsidRPr="005D642E">
        <w:rPr>
          <w:rtl/>
        </w:rPr>
        <w:t xml:space="preserve"> ، ج 13 ، ص 312 ؛ </w:t>
      </w:r>
      <w:r w:rsidR="00E3253D" w:rsidRPr="002F4D34">
        <w:rPr>
          <w:rStyle w:val="libFootnoteBoldChar"/>
          <w:rtl/>
        </w:rPr>
        <w:t>البحار</w:t>
      </w:r>
      <w:r w:rsidR="00E3253D" w:rsidRPr="005D642E">
        <w:rPr>
          <w:rtl/>
        </w:rPr>
        <w:t xml:space="preserve"> ، ج 83 ، ص 199 ، ذيل عنوان « بيان » ؛ </w:t>
      </w:r>
      <w:r w:rsidR="00E3253D" w:rsidRPr="002F4D34">
        <w:rPr>
          <w:rStyle w:val="libFootnoteBoldChar"/>
          <w:rtl/>
        </w:rPr>
        <w:t>الفائق</w:t>
      </w:r>
      <w:r w:rsidR="00E3253D" w:rsidRPr="005D642E">
        <w:rPr>
          <w:rtl/>
        </w:rPr>
        <w:t xml:space="preserve"> ، ج 3 ، ص 310 ؛ </w:t>
      </w:r>
      <w:r w:rsidR="00E3253D" w:rsidRPr="002F4D34">
        <w:rPr>
          <w:rStyle w:val="libFootnoteBoldChar"/>
          <w:rtl/>
        </w:rPr>
        <w:t>النهاية</w:t>
      </w:r>
      <w:r w:rsidR="00E3253D" w:rsidRPr="005D642E">
        <w:rPr>
          <w:rtl/>
        </w:rPr>
        <w:t xml:space="preserve"> ، ج 4 ، ص 243 ( لحا )</w:t>
      </w:r>
      <w:r w:rsidR="00E3253D">
        <w:rPr>
          <w:rtl/>
        </w:rPr>
        <w:t>.</w:t>
      </w:r>
    </w:p>
    <w:tbl>
      <w:tblPr>
        <w:tblStyle w:val="TableGrid"/>
        <w:bidiVisual/>
        <w:tblW w:w="0" w:type="auto"/>
        <w:tblLook w:val="04A0" w:firstRow="1" w:lastRow="0" w:firstColumn="1" w:lastColumn="0" w:noHBand="0" w:noVBand="1"/>
      </w:tblPr>
      <w:tblGrid>
        <w:gridCol w:w="4006"/>
        <w:gridCol w:w="4006"/>
      </w:tblGrid>
      <w:tr w:rsidR="000450C4" w:rsidTr="000450C4">
        <w:tc>
          <w:tcPr>
            <w:tcW w:w="4006" w:type="dxa"/>
          </w:tcPr>
          <w:p w:rsidR="000450C4" w:rsidRDefault="000450C4" w:rsidP="00E3253D">
            <w:pPr>
              <w:pStyle w:val="libFootnote0"/>
              <w:rPr>
                <w:rStyle w:val="libFootnote0Char"/>
                <w:rtl/>
              </w:rPr>
            </w:pPr>
            <w:r w:rsidRPr="0042621E">
              <w:rPr>
                <w:rStyle w:val="libFootnote0Char"/>
                <w:rtl/>
              </w:rPr>
              <w:t>(1).</w:t>
            </w:r>
            <w:r>
              <w:rPr>
                <w:rtl/>
              </w:rPr>
              <w:t xml:space="preserve"> </w:t>
            </w:r>
            <w:r w:rsidRPr="005D642E">
              <w:rPr>
                <w:rtl/>
              </w:rPr>
              <w:t>في التهذيب ، ص 309 : « وكيف</w:t>
            </w:r>
            <w:r>
              <w:rPr>
                <w:rtl/>
              </w:rPr>
              <w:t xml:space="preserve"> ».</w:t>
            </w:r>
          </w:p>
        </w:tc>
        <w:tc>
          <w:tcPr>
            <w:tcW w:w="4006" w:type="dxa"/>
          </w:tcPr>
          <w:p w:rsidR="000450C4" w:rsidRDefault="000450C4" w:rsidP="00E3253D">
            <w:pPr>
              <w:pStyle w:val="libFootnote0"/>
              <w:rPr>
                <w:rStyle w:val="libFootnote0Char"/>
                <w:rtl/>
              </w:rPr>
            </w:pPr>
            <w:r w:rsidRPr="0042621E">
              <w:rPr>
                <w:rStyle w:val="libFootnote0Char"/>
                <w:rtl/>
              </w:rPr>
              <w:t>(2).</w:t>
            </w:r>
            <w:r w:rsidRPr="005D642E">
              <w:rPr>
                <w:rtl/>
              </w:rPr>
              <w:t xml:space="preserve"> في « بخ ، بف » </w:t>
            </w:r>
            <w:r w:rsidRPr="000D749A">
              <w:rPr>
                <w:rStyle w:val="libFootnoteBoldChar"/>
                <w:rtl/>
              </w:rPr>
              <w:t>والوافي</w:t>
            </w:r>
            <w:r w:rsidRPr="005D642E">
              <w:rPr>
                <w:rtl/>
              </w:rPr>
              <w:t xml:space="preserve"> : « فقال</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وفي « ظ » والمطبوع والوسائل </w:t>
      </w:r>
      <w:r w:rsidR="00B60612" w:rsidRPr="00B60612">
        <w:rPr>
          <w:rStyle w:val="libFootnoteBoldChar"/>
          <w:rtl/>
        </w:rPr>
        <w:t>والتهذيب</w:t>
      </w:r>
      <w:r w:rsidR="00E3253D" w:rsidRPr="005D642E">
        <w:rPr>
          <w:rtl/>
        </w:rPr>
        <w:t xml:space="preserve"> ، ص 309 :</w:t>
      </w:r>
      <w:r w:rsidR="00E3253D">
        <w:rPr>
          <w:rtl/>
        </w:rPr>
        <w:t xml:space="preserve"> </w:t>
      </w:r>
      <w:r w:rsidR="007642BC">
        <w:rPr>
          <w:rtl/>
        </w:rPr>
        <w:t>-</w:t>
      </w:r>
      <w:r w:rsidR="00E3253D">
        <w:rPr>
          <w:rtl/>
        </w:rPr>
        <w:t xml:space="preserve"> </w:t>
      </w:r>
      <w:r w:rsidR="00215D01">
        <w:rPr>
          <w:rtl/>
        </w:rPr>
        <w:t>«</w:t>
      </w:r>
      <w:r w:rsidR="00E3253D" w:rsidRPr="005D642E">
        <w:rPr>
          <w:rtl/>
        </w:rPr>
        <w:t>حدّ</w:t>
      </w:r>
      <w:r w:rsidR="00E3253D">
        <w:rPr>
          <w:rtl/>
        </w:rPr>
        <w:t>».</w:t>
      </w:r>
    </w:p>
    <w:tbl>
      <w:tblPr>
        <w:tblStyle w:val="TableGrid"/>
        <w:bidiVisual/>
        <w:tblW w:w="0" w:type="auto"/>
        <w:tblLook w:val="04A0" w:firstRow="1" w:lastRow="0" w:firstColumn="1" w:lastColumn="0" w:noHBand="0" w:noVBand="1"/>
      </w:tblPr>
      <w:tblGrid>
        <w:gridCol w:w="4006"/>
        <w:gridCol w:w="4006"/>
      </w:tblGrid>
      <w:tr w:rsidR="00215D01" w:rsidTr="00215D01">
        <w:tc>
          <w:tcPr>
            <w:tcW w:w="4006" w:type="dxa"/>
          </w:tcPr>
          <w:p w:rsidR="00215D01" w:rsidRDefault="00215D01" w:rsidP="00E3253D">
            <w:pPr>
              <w:pStyle w:val="libFootnote0"/>
              <w:rPr>
                <w:rStyle w:val="libFootnote0Char"/>
                <w:rtl/>
              </w:rPr>
            </w:pPr>
            <w:r w:rsidRPr="0042621E">
              <w:rPr>
                <w:rStyle w:val="libFootnote0Char"/>
                <w:rtl/>
              </w:rPr>
              <w:t>(4).</w:t>
            </w:r>
            <w:r w:rsidRPr="005D642E">
              <w:rPr>
                <w:rtl/>
              </w:rPr>
              <w:t xml:space="preserve"> في « بف » : « طرفها</w:t>
            </w:r>
            <w:r>
              <w:rPr>
                <w:rtl/>
              </w:rPr>
              <w:t xml:space="preserve"> ».</w:t>
            </w:r>
          </w:p>
        </w:tc>
        <w:tc>
          <w:tcPr>
            <w:tcW w:w="4006" w:type="dxa"/>
          </w:tcPr>
          <w:p w:rsidR="00215D01" w:rsidRDefault="00215D01" w:rsidP="00E3253D">
            <w:pPr>
              <w:pStyle w:val="libFootnote0"/>
              <w:rPr>
                <w:rStyle w:val="libFootnote0Char"/>
                <w:rtl/>
              </w:rPr>
            </w:pPr>
            <w:r w:rsidRPr="0042621E">
              <w:rPr>
                <w:rStyle w:val="libFootnote0Char"/>
                <w:rtl/>
              </w:rPr>
              <w:t>(5).</w:t>
            </w:r>
            <w:r w:rsidRPr="005D642E">
              <w:rPr>
                <w:rtl/>
              </w:rPr>
              <w:t xml:space="preserve"> في حاشية « جن » : « وجهه</w:t>
            </w:r>
            <w:r>
              <w:rPr>
                <w:rtl/>
              </w:rPr>
              <w:t xml:space="preserve"> ».</w:t>
            </w:r>
          </w:p>
        </w:tc>
      </w:tr>
    </w:tbl>
    <w:p w:rsidR="00E3253D" w:rsidRPr="005D642E" w:rsidRDefault="0042621E" w:rsidP="00A30487">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309 ، ح 899 ، بسنده عن الكليني. </w:t>
      </w:r>
      <w:r w:rsidR="00E3253D" w:rsidRPr="002F4D34">
        <w:rPr>
          <w:rStyle w:val="libFootnoteBoldChar"/>
          <w:rtl/>
        </w:rPr>
        <w:t>وفيه</w:t>
      </w:r>
      <w:r w:rsidR="00E3253D" w:rsidRPr="005D642E">
        <w:rPr>
          <w:rtl/>
        </w:rPr>
        <w:t xml:space="preserve"> ، ص 445 ، ح 1441 ؛ </w:t>
      </w:r>
      <w:r w:rsidR="00E3253D" w:rsidRPr="00E678B5">
        <w:rPr>
          <w:rStyle w:val="libFootnoteBoldChar"/>
          <w:rtl/>
        </w:rPr>
        <w:t>والاستبصار</w:t>
      </w:r>
      <w:r w:rsidR="00E3253D" w:rsidRPr="005D642E">
        <w:rPr>
          <w:rtl/>
        </w:rPr>
        <w:t xml:space="preserve"> ، ج 1 ، ص 205 ، ح 722 ، بسندهما عن ابن أبي عمير ، عن إبراهيم الخزّاز ، عن عثمان النواء ، إلى قوله : « ولا تمسّ مسامعه بكافور » مع اختلاف يسير </w:t>
      </w:r>
      <w:r w:rsidR="00A30487">
        <w:rPr>
          <w:rFonts w:hint="cs"/>
          <w:rtl/>
        </w:rPr>
        <w:t>.</w:t>
      </w:r>
      <w:r w:rsidR="00E3253D" w:rsidRPr="002F4D34">
        <w:rPr>
          <w:rStyle w:val="libFootnoteBoldChar"/>
          <w:rtl/>
        </w:rPr>
        <w:t>الوافي</w:t>
      </w:r>
      <w:r w:rsidR="00E3253D" w:rsidRPr="005D642E">
        <w:rPr>
          <w:rtl/>
        </w:rPr>
        <w:t xml:space="preserve"> ، ج 24 ، ص 365 ، ح 24220 ؛ </w:t>
      </w:r>
      <w:r w:rsidR="00E3253D" w:rsidRPr="002F4D34">
        <w:rPr>
          <w:rStyle w:val="libFootnoteBoldChar"/>
          <w:rtl/>
        </w:rPr>
        <w:t>الوسائل</w:t>
      </w:r>
      <w:r w:rsidR="00E3253D" w:rsidRPr="005D642E">
        <w:rPr>
          <w:rtl/>
        </w:rPr>
        <w:t xml:space="preserve"> ، ج 3 ، ص 36 ، ح 2961 ؛ </w:t>
      </w:r>
      <w:r w:rsidR="00E3253D" w:rsidRPr="002F4D34">
        <w:rPr>
          <w:rStyle w:val="libFootnoteBoldChar"/>
          <w:rtl/>
        </w:rPr>
        <w:t>البحار</w:t>
      </w:r>
      <w:r w:rsidR="00E3253D" w:rsidRPr="005D642E">
        <w:rPr>
          <w:rtl/>
        </w:rPr>
        <w:t xml:space="preserve"> ، ج 83 ، ص 200 ، ذيل ح 3.</w:t>
      </w:r>
      <w:r w:rsidR="00A30487">
        <w:rPr>
          <w:rFonts w:hint="cs"/>
          <w:rtl/>
        </w:rPr>
        <w:t xml:space="preserve">  </w:t>
      </w:r>
      <w:r w:rsidRPr="0042621E">
        <w:rPr>
          <w:rStyle w:val="libFootnote0Char"/>
          <w:rtl/>
        </w:rPr>
        <w:t>(7).</w:t>
      </w:r>
      <w:r w:rsidR="00E3253D" w:rsidRPr="005D642E">
        <w:rPr>
          <w:rtl/>
        </w:rPr>
        <w:t xml:space="preserve"> في « جس » : « كيف يصنع</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جن » والوسائل : « تؤخذ</w:t>
      </w:r>
      <w:r w:rsidR="00E3253D">
        <w:rPr>
          <w:rtl/>
        </w:rPr>
        <w:t xml:space="preserve"> ».</w:t>
      </w:r>
      <w:r w:rsidR="00E3253D" w:rsidRPr="005D642E">
        <w:rPr>
          <w:rtl/>
        </w:rPr>
        <w:t xml:space="preserve"> وفي « غ ، ى ، بث ، بس » : « يؤخذ</w:t>
      </w:r>
      <w:r w:rsidR="00E3253D">
        <w:rPr>
          <w:rtl/>
        </w:rPr>
        <w:t xml:space="preserve"> ».</w:t>
      </w:r>
      <w:r w:rsidR="00E3253D" w:rsidRPr="005D642E">
        <w:rPr>
          <w:rtl/>
        </w:rPr>
        <w:t xml:space="preserve"> وفي الوافي : « خذ</w:t>
      </w:r>
      <w:r w:rsidR="00E3253D">
        <w:rPr>
          <w:rtl/>
        </w:rPr>
        <w:t xml:space="preserve"> ».</w:t>
      </w:r>
    </w:p>
    <w:p w:rsidR="00E3253D" w:rsidRPr="005D642E" w:rsidRDefault="0042621E" w:rsidP="00A30487">
      <w:pPr>
        <w:pStyle w:val="libFootnote0"/>
        <w:rPr>
          <w:rtl/>
          <w:lang w:bidi="fa-IR"/>
        </w:rPr>
      </w:pPr>
      <w:r w:rsidRPr="0042621E">
        <w:rPr>
          <w:rStyle w:val="libFootnote0Char"/>
          <w:rtl/>
        </w:rPr>
        <w:t>(9).</w:t>
      </w:r>
      <w:r w:rsidR="00E3253D" w:rsidRPr="005D642E">
        <w:rPr>
          <w:rtl/>
        </w:rPr>
        <w:t xml:space="preserve"> في « غ ، ى ، بح ، جح ، جن » : « يشدّ بها</w:t>
      </w:r>
      <w:r w:rsidR="00E3253D">
        <w:rPr>
          <w:rtl/>
        </w:rPr>
        <w:t xml:space="preserve"> ».</w:t>
      </w:r>
      <w:r w:rsidR="00E3253D" w:rsidRPr="005D642E">
        <w:rPr>
          <w:rtl/>
        </w:rPr>
        <w:t xml:space="preserve"> وفي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بها</w:t>
      </w:r>
      <w:r w:rsidR="00E3253D">
        <w:rPr>
          <w:rtl/>
        </w:rPr>
        <w:t xml:space="preserve"> ».</w:t>
      </w:r>
      <w:r w:rsidR="00A30487">
        <w:rPr>
          <w:rtl/>
        </w:rPr>
        <w:t xml:space="preserve"> وفي حاشية « بث » :«</w:t>
      </w:r>
      <w:r w:rsidR="00E3253D" w:rsidRPr="005D642E">
        <w:rPr>
          <w:rtl/>
        </w:rPr>
        <w:t>فيشدّها</w:t>
      </w:r>
      <w:r w:rsidR="00E3253D">
        <w:rPr>
          <w:rtl/>
        </w:rPr>
        <w:t>».</w:t>
      </w:r>
      <w:r w:rsidR="00A30487">
        <w:rPr>
          <w:rtl/>
        </w:rPr>
        <w:t>وفي الوسائل :«</w:t>
      </w:r>
      <w:r w:rsidR="00E3253D" w:rsidRPr="005D642E">
        <w:rPr>
          <w:rtl/>
        </w:rPr>
        <w:t>فيشدّ بها</w:t>
      </w:r>
      <w:r w:rsidR="00E3253D">
        <w:rPr>
          <w:rtl/>
        </w:rPr>
        <w:t>».</w:t>
      </w:r>
      <w:r w:rsidR="00A30487">
        <w:rPr>
          <w:rFonts w:hint="cs"/>
          <w:rtl/>
        </w:rPr>
        <w:t xml:space="preserve">    </w:t>
      </w:r>
      <w:r w:rsidRPr="0042621E">
        <w:rPr>
          <w:rStyle w:val="libFootnote0Char"/>
          <w:rtl/>
        </w:rPr>
        <w:t>(10).</w:t>
      </w:r>
      <w:r w:rsidR="00E3253D" w:rsidRPr="005D642E">
        <w:rPr>
          <w:rtl/>
        </w:rPr>
        <w:t xml:space="preserve"> في الوسائل : + « لا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30487" w:rsidTr="00A30487">
        <w:tc>
          <w:tcPr>
            <w:tcW w:w="4006" w:type="dxa"/>
          </w:tcPr>
          <w:p w:rsidR="00A30487" w:rsidRDefault="00A30487" w:rsidP="00E3253D">
            <w:pPr>
              <w:pStyle w:val="libFootnote0"/>
              <w:rPr>
                <w:rStyle w:val="libFootnote0Char"/>
                <w:rtl/>
              </w:rPr>
            </w:pPr>
            <w:r w:rsidRPr="0042621E">
              <w:rPr>
                <w:rStyle w:val="libFootnote0Char"/>
                <w:rtl/>
              </w:rPr>
              <w:t>(11).</w:t>
            </w:r>
            <w:r w:rsidRPr="005D642E">
              <w:rPr>
                <w:rtl/>
              </w:rPr>
              <w:t xml:space="preserve"> في « ظ ، ى ، بخ ، بس » : « إنّما يصنع</w:t>
            </w:r>
            <w:r>
              <w:rPr>
                <w:rtl/>
              </w:rPr>
              <w:t xml:space="preserve"> ».</w:t>
            </w:r>
          </w:p>
        </w:tc>
        <w:tc>
          <w:tcPr>
            <w:tcW w:w="4006" w:type="dxa"/>
          </w:tcPr>
          <w:p w:rsidR="00A30487" w:rsidRDefault="00A30487" w:rsidP="00E3253D">
            <w:pPr>
              <w:pStyle w:val="libFootnote0"/>
              <w:rPr>
                <w:rStyle w:val="libFootnote0Char"/>
                <w:rtl/>
              </w:rPr>
            </w:pPr>
            <w:r w:rsidRPr="0042621E">
              <w:rPr>
                <w:rStyle w:val="libFootnote0Char"/>
                <w:rtl/>
              </w:rPr>
              <w:t>(12).</w:t>
            </w:r>
            <w:r w:rsidRPr="005D642E">
              <w:rPr>
                <w:rtl/>
              </w:rPr>
              <w:t xml:space="preserve"> في الوسائل : « لتضمّ</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8574E6" w:rsidP="00E3253D">
      <w:pPr>
        <w:pStyle w:val="libNormal0"/>
        <w:rPr>
          <w:rtl/>
          <w:lang w:bidi="fa-IR"/>
        </w:rPr>
      </w:pPr>
      <w:r>
        <w:rPr>
          <w:rtl/>
          <w:lang w:bidi="fa-IR"/>
        </w:rPr>
        <w:t>لِئَل</w:t>
      </w:r>
      <w:r>
        <w:rPr>
          <w:rFonts w:hint="cs"/>
          <w:rtl/>
          <w:lang w:bidi="fa-IR"/>
        </w:rPr>
        <w:t>َّ</w:t>
      </w:r>
      <w:r>
        <w:rPr>
          <w:rtl/>
          <w:lang w:bidi="fa-IR"/>
        </w:rPr>
        <w:t>ا</w:t>
      </w:r>
      <w:r w:rsidR="00E3253D" w:rsidRPr="005D642E">
        <w:rPr>
          <w:rtl/>
          <w:lang w:bidi="fa-IR"/>
        </w:rPr>
        <w:t xml:space="preserve"> </w:t>
      </w:r>
      <w:r w:rsidR="00E3253D" w:rsidRPr="007C12DB">
        <w:rPr>
          <w:rStyle w:val="libFootnotenumChar"/>
          <w:rtl/>
        </w:rPr>
        <w:t>(1)</w:t>
      </w:r>
      <w:r w:rsidR="00E3253D" w:rsidRPr="005D642E">
        <w:rPr>
          <w:rtl/>
          <w:lang w:bidi="fa-IR"/>
        </w:rPr>
        <w:t xml:space="preserve"> يَخْرُجَ مِنْهُ شَيْ‌ءٌ ، وَمَا يُصْنَعُ </w:t>
      </w:r>
      <w:r w:rsidR="00E3253D" w:rsidRPr="007C12DB">
        <w:rPr>
          <w:rStyle w:val="libFootnotenumChar"/>
          <w:rtl/>
        </w:rPr>
        <w:t>(2)</w:t>
      </w:r>
      <w:r w:rsidR="00E3253D" w:rsidRPr="005D642E">
        <w:rPr>
          <w:rtl/>
          <w:lang w:bidi="fa-IR"/>
        </w:rPr>
        <w:t xml:space="preserve"> مِنَ الْقُطْنِ أَفْضَلُ مِنْهَا ، ثُمَّ يُخْرَقُ </w:t>
      </w:r>
      <w:r w:rsidR="00E3253D" w:rsidRPr="007C12DB">
        <w:rPr>
          <w:rStyle w:val="libFootnotenumChar"/>
          <w:rtl/>
        </w:rPr>
        <w:t>(3)</w:t>
      </w:r>
      <w:r w:rsidR="00E3253D" w:rsidRPr="005D642E">
        <w:rPr>
          <w:rtl/>
          <w:lang w:bidi="fa-IR"/>
        </w:rPr>
        <w:t xml:space="preserve"> الْقَمِيصُ إِذَا غُسِّلَ ، وَيُنْزَعُ </w:t>
      </w:r>
      <w:r w:rsidR="00E3253D" w:rsidRPr="007C12DB">
        <w:rPr>
          <w:rStyle w:val="libFootnotenumChar"/>
          <w:rtl/>
        </w:rPr>
        <w:t>(4)</w:t>
      </w:r>
      <w:r w:rsidR="00E3253D" w:rsidRPr="005D642E">
        <w:rPr>
          <w:rtl/>
          <w:lang w:bidi="fa-IR"/>
        </w:rPr>
        <w:t xml:space="preserve"> مِنْ رِجْلَيْهِ » قَالَ : « ثُمَّ الْكَفَنُ قَمِيصٌ غَيْرُ مَزْرُورٍ ، وَلَامَكْفُوفٍ </w:t>
      </w:r>
      <w:r w:rsidR="00E3253D" w:rsidRPr="007C12DB">
        <w:rPr>
          <w:rStyle w:val="libFootnotenumChar"/>
          <w:rtl/>
        </w:rPr>
        <w:t>(5)</w:t>
      </w:r>
      <w:r w:rsidR="00E3253D" w:rsidRPr="005D642E">
        <w:rPr>
          <w:rtl/>
          <w:lang w:bidi="fa-IR"/>
        </w:rPr>
        <w:t xml:space="preserve"> ، وَعِمَامَةٌ </w:t>
      </w:r>
      <w:r w:rsidR="00E3253D" w:rsidRPr="007C12DB">
        <w:rPr>
          <w:rStyle w:val="libFootnotenumChar"/>
          <w:rtl/>
        </w:rPr>
        <w:t>(6)</w:t>
      </w:r>
      <w:r w:rsidR="00E3253D" w:rsidRPr="005D642E">
        <w:rPr>
          <w:rtl/>
          <w:lang w:bidi="fa-IR"/>
        </w:rPr>
        <w:t xml:space="preserve"> يُعَصَّبُ </w:t>
      </w:r>
      <w:r w:rsidR="00E3253D" w:rsidRPr="007C12DB">
        <w:rPr>
          <w:rStyle w:val="libFootnotenumChar"/>
          <w:rtl/>
        </w:rPr>
        <w:t>(7)</w:t>
      </w:r>
      <w:r w:rsidR="00E3253D" w:rsidRPr="005D642E">
        <w:rPr>
          <w:rtl/>
          <w:lang w:bidi="fa-IR"/>
        </w:rPr>
        <w:t xml:space="preserve"> بِهَا رَأْسُهُ ، وَيُرَدُّ فَضْلُهَا عَلى رِجْلَيْهِ </w:t>
      </w:r>
      <w:r w:rsidR="00E3253D" w:rsidRPr="007C12DB">
        <w:rPr>
          <w:rStyle w:val="libFootnotenumChar"/>
          <w:rtl/>
        </w:rPr>
        <w:t>(8)</w:t>
      </w:r>
      <w:r w:rsidR="00E3253D">
        <w:rPr>
          <w:rtl/>
          <w:lang w:bidi="fa-IR"/>
        </w:rPr>
        <w:t xml:space="preserve"> ».</w:t>
      </w:r>
      <w:r w:rsidR="00E3253D" w:rsidRPr="005D642E">
        <w:rPr>
          <w:rtl/>
          <w:lang w:bidi="fa-IR"/>
        </w:rPr>
        <w:t xml:space="preserve"> </w:t>
      </w:r>
      <w:r w:rsidR="00E3253D" w:rsidRPr="007C12DB">
        <w:rPr>
          <w:rStyle w:val="libFootnotenumChar"/>
          <w:rtl/>
        </w:rPr>
        <w:t>(9)</w:t>
      </w:r>
      <w:r w:rsidR="00E3253D" w:rsidRPr="005D642E">
        <w:rPr>
          <w:rtl/>
          <w:lang w:bidi="fa-IR"/>
        </w:rPr>
        <w:t xml:space="preserve"> ‌</w:t>
      </w:r>
    </w:p>
    <w:p w:rsidR="00E3253D" w:rsidRPr="005D642E" w:rsidRDefault="00E3253D" w:rsidP="00E3253D">
      <w:pPr>
        <w:pStyle w:val="libNormal"/>
        <w:rPr>
          <w:rtl/>
          <w:lang w:bidi="fa-IR"/>
        </w:rPr>
      </w:pPr>
      <w:r w:rsidRPr="00C8397F">
        <w:rPr>
          <w:rtl/>
        </w:rPr>
        <w:t>4347</w:t>
      </w:r>
      <w:r w:rsidRPr="00246318">
        <w:rPr>
          <w:rStyle w:val="libBold2Char"/>
          <w:rtl/>
        </w:rPr>
        <w:t xml:space="preserve"> / 10.</w:t>
      </w:r>
      <w:r w:rsidRPr="005D642E">
        <w:rPr>
          <w:rtl/>
          <w:lang w:bidi="fa-IR"/>
        </w:rPr>
        <w:t xml:space="preserve"> عَلِيُّ بْنُ إِبْرَاهِيمَ ، عَنْ أَبِيهِ ، عَنِ ابْنِ أَبِي عُمَيْرٍ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الْعِمَامَةِ لِلْمَيِّتِ ، فَقَالَ : « حَنِّكْهُ</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وأن لا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بس » وحاشية « بخ » : « وما يضع</w:t>
      </w:r>
      <w:r w:rsidR="00E3253D">
        <w:rPr>
          <w:rtl/>
        </w:rPr>
        <w:t xml:space="preserve"> ».</w:t>
      </w:r>
      <w:r w:rsidR="00E3253D" w:rsidRPr="005D642E">
        <w:rPr>
          <w:rtl/>
        </w:rPr>
        <w:t xml:space="preserve"> وفي « بف » </w:t>
      </w:r>
      <w:r w:rsidR="000D749A" w:rsidRPr="000D749A">
        <w:rPr>
          <w:rStyle w:val="libFootnoteBoldChar"/>
          <w:rtl/>
        </w:rPr>
        <w:t>والوافي</w:t>
      </w:r>
      <w:r w:rsidR="00E3253D" w:rsidRPr="005D642E">
        <w:rPr>
          <w:rtl/>
        </w:rPr>
        <w:t xml:space="preserve"> : « وما تضع</w:t>
      </w:r>
      <w:r w:rsidR="00E3253D">
        <w:rPr>
          <w:rtl/>
        </w:rPr>
        <w:t xml:space="preserve"> ».</w:t>
      </w:r>
      <w:r w:rsidR="00E3253D" w:rsidRPr="005D642E">
        <w:rPr>
          <w:rtl/>
        </w:rPr>
        <w:t xml:space="preserve"> وفي حاشية « بث » : « وما يوضع</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بث ، بح ، بخ ، بس ، بف ، جح » </w:t>
      </w:r>
      <w:r w:rsidR="000D749A" w:rsidRPr="000D749A">
        <w:rPr>
          <w:rStyle w:val="libFootnoteBoldChar"/>
          <w:rtl/>
        </w:rPr>
        <w:t>والوافي</w:t>
      </w:r>
      <w:r w:rsidR="00E3253D" w:rsidRPr="005D642E">
        <w:rPr>
          <w:rtl/>
        </w:rPr>
        <w:t xml:space="preserve"> : « ثمّ تخرق</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 « وتنزع</w:t>
      </w:r>
      <w:r w:rsidR="00E3253D">
        <w:rPr>
          <w:rtl/>
        </w:rPr>
        <w:t xml:space="preserve"> ».</w:t>
      </w:r>
      <w:r w:rsidR="00E3253D" w:rsidRPr="005D642E">
        <w:rPr>
          <w:rtl/>
        </w:rPr>
        <w:t xml:space="preserve"> وفي « بخ » : « ونزع</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مشرق الشمسين</w:t>
      </w:r>
      <w:r w:rsidR="00E3253D" w:rsidRPr="005D642E">
        <w:rPr>
          <w:rtl/>
        </w:rPr>
        <w:t xml:space="preserve"> ، ص 303 : « غير مزور ، أي خال عن الأزرار ، والثوب المكفوف ما خيطت حاشيته</w:t>
      </w:r>
      <w:r w:rsidR="00E3253D">
        <w:rPr>
          <w:rtl/>
        </w:rPr>
        <w:t xml:space="preserve"> ».</w:t>
      </w:r>
      <w:r w:rsidR="00E3253D" w:rsidRPr="005D642E">
        <w:rPr>
          <w:rtl/>
        </w:rPr>
        <w:t xml:space="preserve"> وفي الوافي : « غير مكفوف ولامزرور ، يعني ليس له كفّ ولا أزرار</w:t>
      </w:r>
      <w:r w:rsidR="00E3253D">
        <w:rPr>
          <w:rtl/>
        </w:rPr>
        <w:t xml:space="preserve"> ».</w:t>
      </w:r>
      <w:r w:rsidR="00E3253D" w:rsidRPr="005D642E">
        <w:rPr>
          <w:rtl/>
        </w:rPr>
        <w:t xml:space="preserve"> والأزرار : جمع الزِرّ ، وهو الذي يوضع في القميص. وقيل : الزرّ : العروة التي تجعل الحبّة فيها. راجع : </w:t>
      </w:r>
      <w:r w:rsidR="00E3253D" w:rsidRPr="002F4D34">
        <w:rPr>
          <w:rStyle w:val="libFootnoteBoldChar"/>
          <w:rtl/>
        </w:rPr>
        <w:t>لسان العرب</w:t>
      </w:r>
      <w:r w:rsidR="00E3253D" w:rsidRPr="005D642E">
        <w:rPr>
          <w:rtl/>
        </w:rPr>
        <w:t xml:space="preserve"> ، ج 4 ، ص 321 ( زرر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حاشية « بث » : « بعمامة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التعصيب : شدّ الرأس بالعِصابة ، وهي العمامة وكلّ ما يُعَصَّب به الرأس. راجع : </w:t>
      </w:r>
      <w:r w:rsidR="00E3253D" w:rsidRPr="002F4D34">
        <w:rPr>
          <w:rStyle w:val="libFootnoteBoldChar"/>
          <w:rtl/>
        </w:rPr>
        <w:t>المغرب</w:t>
      </w:r>
      <w:r w:rsidR="00E3253D" w:rsidRPr="005D642E">
        <w:rPr>
          <w:rtl/>
        </w:rPr>
        <w:t xml:space="preserve"> ، ص 316 ؛ </w:t>
      </w:r>
      <w:r w:rsidR="00E3253D" w:rsidRPr="002F4D34">
        <w:rPr>
          <w:rStyle w:val="libFootnoteBoldChar"/>
          <w:rtl/>
        </w:rPr>
        <w:t>لسان العرب</w:t>
      </w:r>
      <w:r w:rsidR="00E3253D" w:rsidRPr="005D642E">
        <w:rPr>
          <w:rtl/>
        </w:rPr>
        <w:t xml:space="preserve"> ، ج 1 ، ص 602 ( عصب )</w:t>
      </w:r>
      <w:r w:rsidR="00E3253D">
        <w:rPr>
          <w:rtl/>
        </w:rPr>
        <w:t>.</w:t>
      </w:r>
      <w:r w:rsidR="00E3253D" w:rsidRPr="005D642E">
        <w:rPr>
          <w:rtl/>
        </w:rPr>
        <w:t xml:space="preserve"> قال الشيخ البهائي في </w:t>
      </w:r>
      <w:r w:rsidR="00E3253D" w:rsidRPr="002F4D34">
        <w:rPr>
          <w:rStyle w:val="libFootnoteBoldChar"/>
          <w:rtl/>
        </w:rPr>
        <w:t>مشرق الشمسين</w:t>
      </w:r>
      <w:r w:rsidR="00E3253D" w:rsidRPr="005D642E">
        <w:rPr>
          <w:rtl/>
        </w:rPr>
        <w:t xml:space="preserve"> ، ص 303 : « لا يخفى أنّ هذا الحديث يعطي بظاهره أنّ العمامة من الكفن ، وقد ذكر الفقهاء في كتب الفروع أنّها ليست منه وفرّعوا على ذلك عدم قطع سارقها من القبر ؛ لأنّه حرز للكفن لا لها ، وقد دلّ حديث زرارة السابق</w:t>
      </w:r>
      <w:r w:rsidR="00E3253D">
        <w:rPr>
          <w:rtl/>
        </w:rPr>
        <w:t xml:space="preserve"> </w:t>
      </w:r>
      <w:r w:rsidR="007642BC">
        <w:rPr>
          <w:rtl/>
        </w:rPr>
        <w:t>-</w:t>
      </w:r>
      <w:r w:rsidR="00E3253D">
        <w:rPr>
          <w:rtl/>
        </w:rPr>
        <w:t xml:space="preserve"> </w:t>
      </w:r>
      <w:r w:rsidR="00E3253D" w:rsidRPr="005D642E">
        <w:rPr>
          <w:rtl/>
        </w:rPr>
        <w:t>وهو الخامس هاهنا</w:t>
      </w:r>
      <w:r w:rsidR="00E3253D">
        <w:rPr>
          <w:rtl/>
        </w:rPr>
        <w:t xml:space="preserve"> </w:t>
      </w:r>
      <w:r w:rsidR="007642BC">
        <w:rPr>
          <w:rtl/>
        </w:rPr>
        <w:t>-</w:t>
      </w:r>
      <w:r w:rsidR="00E3253D">
        <w:rPr>
          <w:rtl/>
        </w:rPr>
        <w:t xml:space="preserve"> </w:t>
      </w:r>
      <w:r w:rsidR="00E3253D" w:rsidRPr="005D642E">
        <w:rPr>
          <w:rtl/>
        </w:rPr>
        <w:t>على خروجها عن الكفن الواجب</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جح » : « وجهه</w:t>
      </w:r>
      <w:r w:rsidR="00E3253D">
        <w:rPr>
          <w:rtl/>
        </w:rPr>
        <w:t xml:space="preserve"> ».</w:t>
      </w:r>
      <w:r w:rsidR="00E3253D" w:rsidRPr="005D642E">
        <w:rPr>
          <w:rtl/>
        </w:rPr>
        <w:t xml:space="preserve"> وفي </w:t>
      </w:r>
      <w:r w:rsidR="00E3253D" w:rsidRPr="002F4D34">
        <w:rPr>
          <w:rStyle w:val="libFootnoteBoldChar"/>
          <w:rtl/>
        </w:rPr>
        <w:t>منتقى الجمان</w:t>
      </w:r>
      <w:r w:rsidR="00E3253D" w:rsidRPr="005D642E">
        <w:rPr>
          <w:rtl/>
        </w:rPr>
        <w:t xml:space="preserve"> ، ج 1 ، ص 258 : « لا يخفى ما في متن الحديث من القصور ، لا سيّما قوله في العمامة : يردّ فضلها على رجليه ؛ فإنّه تصحيف بغير توقّف ، وفي بعض الأخبار الضعيفة : يلقى فضلها على وجهه ، وهو قريب لأن يصحّف برجليه ، لكنّ الحديث المتضمّن لذلك مختلف اللفظ في </w:t>
      </w:r>
      <w:r w:rsidR="00E3253D" w:rsidRPr="002F4D34">
        <w:rPr>
          <w:rStyle w:val="libFootnoteBoldChar"/>
          <w:rtl/>
        </w:rPr>
        <w:t>التهذيب</w:t>
      </w:r>
      <w:r w:rsidR="00E3253D" w:rsidRPr="005D642E">
        <w:rPr>
          <w:rtl/>
        </w:rPr>
        <w:t xml:space="preserve"> و</w:t>
      </w:r>
      <w:r w:rsidR="00E3253D" w:rsidRPr="002F4D34">
        <w:rPr>
          <w:rStyle w:val="libFootnoteBoldChar"/>
          <w:rtl/>
        </w:rPr>
        <w:t>الكافي</w:t>
      </w:r>
      <w:r w:rsidR="00E3253D">
        <w:rPr>
          <w:rtl/>
        </w:rPr>
        <w:t xml:space="preserve"> ..</w:t>
      </w:r>
      <w:r w:rsidR="00E3253D" w:rsidRPr="005D642E">
        <w:rPr>
          <w:rtl/>
        </w:rPr>
        <w:t>. وبالجملة فالغالب على أخبار هذا الباب قصور العبارة أو اختلالها</w:t>
      </w:r>
      <w:r w:rsidR="00E3253D">
        <w:rPr>
          <w:rtl/>
        </w:rPr>
        <w:t xml:space="preserve"> ».</w:t>
      </w:r>
      <w:r w:rsidR="00E3253D" w:rsidRPr="005D642E">
        <w:rPr>
          <w:rtl/>
        </w:rPr>
        <w:t xml:space="preserve"> وفي </w:t>
      </w:r>
      <w:r w:rsidR="00E3253D" w:rsidRPr="002F4D34">
        <w:rPr>
          <w:rStyle w:val="libFootnoteBoldChar"/>
          <w:rtl/>
        </w:rPr>
        <w:t>مشرق الشمسين</w:t>
      </w:r>
      <w:r w:rsidR="00E3253D" w:rsidRPr="005D642E">
        <w:rPr>
          <w:rtl/>
        </w:rPr>
        <w:t xml:space="preserve"> ، ص 304 : « واعلم أنّ في كثير من النسخ : ويردّ فضلها على رجليه ، وهو من قلم الناسخ ، وفي بعض الروايات : ويلقى فضلها على صدره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308 ، ح 894 ، بسنده عن الكليني. </w:t>
      </w:r>
      <w:r w:rsidR="00E3253D" w:rsidRPr="002F4D34">
        <w:rPr>
          <w:rStyle w:val="libFootnoteBoldChar"/>
          <w:rtl/>
        </w:rPr>
        <w:t>الفقيه</w:t>
      </w:r>
      <w:r w:rsidR="00E3253D" w:rsidRPr="005D642E">
        <w:rPr>
          <w:rtl/>
        </w:rPr>
        <w:t xml:space="preserve"> ، ج 1 ، ص 147 ، ح 414 ، مرسلاً ، وتمام الرواية فيه : « ينبغي أن يكون القميص للميّت غير مكفوف ولامزرَّر » </w:t>
      </w:r>
      <w:r w:rsidR="00B50AC8">
        <w:rPr>
          <w:rFonts w:hint="cs"/>
          <w:rtl/>
        </w:rPr>
        <w:t>.</w:t>
      </w:r>
      <w:r w:rsidR="00E3253D" w:rsidRPr="002F4D34">
        <w:rPr>
          <w:rStyle w:val="libFootnoteBoldChar"/>
          <w:rtl/>
        </w:rPr>
        <w:t>الوافي</w:t>
      </w:r>
      <w:r w:rsidR="00E3253D" w:rsidRPr="005D642E">
        <w:rPr>
          <w:rtl/>
        </w:rPr>
        <w:t xml:space="preserve"> ، ج 24 ، ص 365 ، ح 24221 ؛ </w:t>
      </w:r>
      <w:r w:rsidR="00E3253D" w:rsidRPr="002F4D34">
        <w:rPr>
          <w:rStyle w:val="libFootnoteBoldChar"/>
          <w:rtl/>
        </w:rPr>
        <w:t>الوسائل</w:t>
      </w:r>
      <w:r w:rsidR="00E3253D" w:rsidRPr="005D642E">
        <w:rPr>
          <w:rtl/>
        </w:rPr>
        <w:t xml:space="preserve"> ، ج 3 ، ص 8 ، ح 2874.</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308 ، ح 895 ، بسنده عن الكليني </w:t>
      </w:r>
      <w:r w:rsidR="00E0751B">
        <w:rPr>
          <w:rFonts w:hint="cs"/>
          <w:rtl/>
        </w:rPr>
        <w:t>.</w:t>
      </w:r>
      <w:r w:rsidR="00E3253D" w:rsidRPr="002F4D34">
        <w:rPr>
          <w:rStyle w:val="libFootnoteBoldChar"/>
          <w:rtl/>
        </w:rPr>
        <w:t>الوافي</w:t>
      </w:r>
      <w:r w:rsidR="00E3253D" w:rsidRPr="005D642E">
        <w:rPr>
          <w:rtl/>
        </w:rPr>
        <w:t xml:space="preserve"> ، ج 24 ، ص 366 ، ح 24222 ؛ </w:t>
      </w:r>
      <w:r w:rsidR="00E3253D" w:rsidRPr="002F4D34">
        <w:rPr>
          <w:rStyle w:val="libFootnoteBoldChar"/>
          <w:rtl/>
        </w:rPr>
        <w:t>الوسائل</w:t>
      </w:r>
      <w:r w:rsidR="00E3253D" w:rsidRPr="005D642E">
        <w:rPr>
          <w:rtl/>
        </w:rPr>
        <w:t xml:space="preserve"> ، </w:t>
      </w:r>
      <w:r w:rsidR="0049245C">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C8397F">
        <w:rPr>
          <w:rtl/>
        </w:rPr>
        <w:t>4348</w:t>
      </w:r>
      <w:r w:rsidRPr="00246318">
        <w:rPr>
          <w:rStyle w:val="libBold2Char"/>
          <w:rtl/>
        </w:rPr>
        <w:t xml:space="preserve"> / 11.</w:t>
      </w:r>
      <w:r w:rsidRPr="005D642E">
        <w:rPr>
          <w:rtl/>
          <w:lang w:bidi="fa-IR"/>
        </w:rPr>
        <w:t xml:space="preserve"> عِدَّةٌ مِنْ أَصْحَابِنَا ، عَنْ سَهْلِ بْنِ زِيَادٍ ، عَنِ ابْنِ مَحْبُوبٍ ، عَنْ مُعَاوِيَةَ بْنِ وَهْبٍ :</w:t>
      </w:r>
    </w:p>
    <w:p w:rsidR="00E3253D" w:rsidRPr="005D642E" w:rsidRDefault="00E3253D" w:rsidP="00AE4A22">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يُكَفَّنُ الْمَيِّتُ فِي خَمْسَةِ أَثْوَابٍ </w:t>
      </w:r>
      <w:r w:rsidRPr="007C12DB">
        <w:rPr>
          <w:rStyle w:val="libFootnotenumChar"/>
          <w:rtl/>
        </w:rPr>
        <w:t>(1)</w:t>
      </w:r>
      <w:r w:rsidRPr="005D642E">
        <w:rPr>
          <w:rtl/>
          <w:lang w:bidi="fa-IR"/>
        </w:rPr>
        <w:t xml:space="preserve"> : قَمِيصٍ لَايُزَرُّ عَلَيْهِ </w:t>
      </w:r>
      <w:r w:rsidRPr="007C12DB">
        <w:rPr>
          <w:rStyle w:val="libFootnotenumChar"/>
          <w:rtl/>
        </w:rPr>
        <w:t>(2)</w:t>
      </w:r>
      <w:r w:rsidRPr="005D642E">
        <w:rPr>
          <w:rtl/>
          <w:lang w:bidi="fa-IR"/>
        </w:rPr>
        <w:t xml:space="preserve"> ، وَإِزَارٍ ، وَخِرْقَةٍ يُعَصَّبُ بِهَا وَسَطُهُ </w:t>
      </w:r>
      <w:r w:rsidRPr="007C12DB">
        <w:rPr>
          <w:rStyle w:val="libFootnotenumChar"/>
          <w:rtl/>
        </w:rPr>
        <w:t>(3)</w:t>
      </w:r>
      <w:r w:rsidRPr="005D642E">
        <w:rPr>
          <w:rtl/>
          <w:lang w:bidi="fa-IR"/>
        </w:rPr>
        <w:t xml:space="preserve"> ، وَبُرْدٍ </w:t>
      </w:r>
      <w:r w:rsidRPr="007C12DB">
        <w:rPr>
          <w:rStyle w:val="libFootnotenumChar"/>
          <w:rtl/>
        </w:rPr>
        <w:t>(4)</w:t>
      </w:r>
      <w:r w:rsidRPr="005D642E">
        <w:rPr>
          <w:rtl/>
          <w:lang w:bidi="fa-IR"/>
        </w:rPr>
        <w:t xml:space="preserve"> يُلَفُّ فِيهِ ، وَعِمَامَةٍ يُعَمَّمُ بِهَا </w:t>
      </w:r>
      <w:r w:rsidRPr="007C12DB">
        <w:rPr>
          <w:rStyle w:val="libFootnotenumChar"/>
          <w:rtl/>
        </w:rPr>
        <w:t>(5)</w:t>
      </w:r>
      <w:r w:rsidRPr="005D642E">
        <w:rPr>
          <w:rtl/>
          <w:lang w:bidi="fa-IR"/>
        </w:rPr>
        <w:t xml:space="preserve"> ، وَيُلْقى فَضْلُهَا عَلى </w:t>
      </w:r>
      <w:r w:rsidRPr="007C12DB">
        <w:rPr>
          <w:rStyle w:val="libFootnotenumChar"/>
          <w:rtl/>
        </w:rPr>
        <w:t>(6)</w:t>
      </w:r>
      <w:r w:rsidRPr="005D642E">
        <w:rPr>
          <w:rtl/>
          <w:lang w:bidi="fa-IR"/>
        </w:rPr>
        <w:t xml:space="preserve"> صَدْرِهِ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p>
    <w:p w:rsidR="00E3253D" w:rsidRPr="005D642E" w:rsidRDefault="00E3253D" w:rsidP="00E3253D">
      <w:pPr>
        <w:pStyle w:val="libNormal"/>
        <w:rPr>
          <w:rtl/>
          <w:lang w:bidi="fa-IR"/>
        </w:rPr>
      </w:pPr>
      <w:r w:rsidRPr="00C8397F">
        <w:rPr>
          <w:rtl/>
        </w:rPr>
        <w:t>4349</w:t>
      </w:r>
      <w:r w:rsidRPr="00246318">
        <w:rPr>
          <w:rStyle w:val="libBold2Char"/>
          <w:rtl/>
        </w:rPr>
        <w:t xml:space="preserve"> / 12.</w:t>
      </w:r>
      <w:r w:rsidRPr="005D642E">
        <w:rPr>
          <w:rtl/>
          <w:lang w:bidi="fa-IR"/>
        </w:rPr>
        <w:t xml:space="preserve"> عَلِيُّ بْنُ إِبْرَاهِيمَ ، عَنْ أَبِيهِ ، عَنْ عَبْدِ اللهِ بْنِ الْمُغِيرَةِ ، عَنْ غَيْرِ وَاحِدٍ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الْكَافُورُ هُوَ </w:t>
      </w:r>
      <w:r w:rsidRPr="007C12DB">
        <w:rPr>
          <w:rStyle w:val="libFootnotenumChar"/>
          <w:rtl/>
        </w:rPr>
        <w:t>(9)</w:t>
      </w:r>
      <w:r w:rsidRPr="005D642E">
        <w:rPr>
          <w:rtl/>
          <w:lang w:bidi="fa-IR"/>
        </w:rPr>
        <w:t xml:space="preserve"> الْحَنُوطُ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F5428" w:rsidP="00E3253D">
      <w:pPr>
        <w:pStyle w:val="libFootnote0"/>
        <w:rPr>
          <w:rtl/>
          <w:lang w:bidi="fa-IR"/>
        </w:rPr>
      </w:pPr>
      <w:r>
        <w:rPr>
          <w:rFonts w:hint="cs"/>
          <w:rtl/>
        </w:rPr>
        <w:t xml:space="preserve">= </w:t>
      </w:r>
      <w:r w:rsidR="00E3253D" w:rsidRPr="005D642E">
        <w:rPr>
          <w:rtl/>
        </w:rPr>
        <w:t>ج 3 ، ص 32 ، ح 2953.</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لا منافاة بين الخبرين</w:t>
      </w:r>
      <w:r w:rsidR="00E3253D">
        <w:rPr>
          <w:rtl/>
        </w:rPr>
        <w:t xml:space="preserve"> </w:t>
      </w:r>
      <w:r w:rsidR="007642BC">
        <w:rPr>
          <w:rtl/>
        </w:rPr>
        <w:t>-</w:t>
      </w:r>
      <w:r w:rsidR="00E3253D">
        <w:rPr>
          <w:rtl/>
        </w:rPr>
        <w:t xml:space="preserve"> </w:t>
      </w:r>
      <w:r w:rsidR="00E3253D" w:rsidRPr="005D642E">
        <w:rPr>
          <w:rtl/>
        </w:rPr>
        <w:t>أي السابع والحادي عشر</w:t>
      </w:r>
      <w:r w:rsidR="00E3253D">
        <w:rPr>
          <w:rtl/>
        </w:rPr>
        <w:t xml:space="preserve"> </w:t>
      </w:r>
      <w:r w:rsidR="007642BC">
        <w:rPr>
          <w:rtl/>
        </w:rPr>
        <w:t>-</w:t>
      </w:r>
      <w:r w:rsidR="00E3253D">
        <w:rPr>
          <w:rtl/>
        </w:rPr>
        <w:t xml:space="preserve"> </w:t>
      </w:r>
      <w:r w:rsidR="00E3253D" w:rsidRPr="005D642E">
        <w:rPr>
          <w:rtl/>
        </w:rPr>
        <w:t>لأنّ في الأوّل إنّما عدّ ما يلفّ به الجسد ، كماصرّح به ، وفي الثاني مجموع ما يكفّن به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لايُزَرّ عليه » ، أي لا يشدّ أزراره إن كانت له أزرار ، يقال : زررت القميص أزرّه بالضمّ زرّاً ، إذا شددت أزراره. والأزرار : جمع الزِرّ ، وهو الذي يوضع في القميص. وقيل : الزِرّ : العروة التي تجعل الحبّة فيها. راجع : </w:t>
      </w:r>
      <w:r w:rsidR="00E3253D" w:rsidRPr="002F4D34">
        <w:rPr>
          <w:rStyle w:val="libFootnoteBoldChar"/>
          <w:rtl/>
        </w:rPr>
        <w:t>الصحاح</w:t>
      </w:r>
      <w:r w:rsidR="00E3253D" w:rsidRPr="005D642E">
        <w:rPr>
          <w:rtl/>
        </w:rPr>
        <w:t xml:space="preserve"> ، ج 2 ، ص 669 ؛ </w:t>
      </w:r>
      <w:r w:rsidR="00E3253D" w:rsidRPr="002F4D34">
        <w:rPr>
          <w:rStyle w:val="libFootnoteBoldChar"/>
          <w:rtl/>
        </w:rPr>
        <w:t>لسان العرب</w:t>
      </w:r>
      <w:r w:rsidR="00E3253D" w:rsidRPr="005D642E">
        <w:rPr>
          <w:rtl/>
        </w:rPr>
        <w:t xml:space="preserve"> ، ج 4 ، ص 321 ( زرر ) ؛ </w:t>
      </w:r>
      <w:r w:rsidR="00E3253D" w:rsidRPr="002F4D34">
        <w:rPr>
          <w:rStyle w:val="libFootnoteBoldChar"/>
          <w:rtl/>
        </w:rPr>
        <w:t>الوافي</w:t>
      </w:r>
      <w:r w:rsidR="00E3253D" w:rsidRPr="005D642E">
        <w:rPr>
          <w:rtl/>
        </w:rPr>
        <w:t xml:space="preserve"> ، ج 3 ، ص 54.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يُعَصَّب بها وسطُه » ، أي يُشَدُّ. راجع : </w:t>
      </w:r>
      <w:r w:rsidR="00E3253D" w:rsidRPr="002F4D34">
        <w:rPr>
          <w:rStyle w:val="libFootnoteBoldChar"/>
          <w:rtl/>
        </w:rPr>
        <w:t>لسان العرب</w:t>
      </w:r>
      <w:r w:rsidR="00E3253D" w:rsidRPr="005D642E">
        <w:rPr>
          <w:rtl/>
        </w:rPr>
        <w:t xml:space="preserve"> ، ج 1 ، ص 602 ( عصب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 « ويردّ</w:t>
      </w:r>
      <w:r w:rsidR="00E3253D">
        <w:rPr>
          <w:rtl/>
        </w:rPr>
        <w:t xml:space="preserve"> ».</w:t>
      </w:r>
      <w:r w:rsidR="00E3253D" w:rsidRPr="005D642E">
        <w:rPr>
          <w:rtl/>
        </w:rPr>
        <w:t xml:space="preserve"> </w:t>
      </w:r>
      <w:r w:rsidR="00E3253D">
        <w:rPr>
          <w:rtl/>
        </w:rPr>
        <w:t>و «</w:t>
      </w:r>
      <w:r w:rsidR="00E3253D" w:rsidRPr="005D642E">
        <w:rPr>
          <w:rtl/>
        </w:rPr>
        <w:t xml:space="preserve"> البُرْد » : ثوب مخطّط. وقد يطلق على غير المخطّط أيضاً. راجع : </w:t>
      </w:r>
      <w:r w:rsidR="00E3253D" w:rsidRPr="002F4D34">
        <w:rPr>
          <w:rStyle w:val="libFootnoteBoldChar"/>
          <w:rtl/>
        </w:rPr>
        <w:t>لسان العرب</w:t>
      </w:r>
      <w:r w:rsidR="00E3253D" w:rsidRPr="005D642E">
        <w:rPr>
          <w:rtl/>
        </w:rPr>
        <w:t xml:space="preserve"> ، ج 3 ، ص 87 ؛ </w:t>
      </w:r>
      <w:r w:rsidR="00E3253D" w:rsidRPr="002F4D34">
        <w:rPr>
          <w:rStyle w:val="libFootnoteBoldChar"/>
          <w:rtl/>
        </w:rPr>
        <w:t>القاموس المحيط</w:t>
      </w:r>
      <w:r w:rsidR="00E3253D" w:rsidRPr="005D642E">
        <w:rPr>
          <w:rtl/>
        </w:rPr>
        <w:t xml:space="preserve"> ، ج 1 ، ص 394 ( برد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غ ، ى ، بث ، بس ، جح ، جس » والوسائل </w:t>
      </w:r>
      <w:r w:rsidR="00B60612" w:rsidRPr="00B60612">
        <w:rPr>
          <w:rStyle w:val="libFootnoteBoldChar"/>
          <w:rtl/>
        </w:rPr>
        <w:t>والتهذيب</w:t>
      </w:r>
      <w:r w:rsidR="00E3253D" w:rsidRPr="005D642E">
        <w:rPr>
          <w:rtl/>
        </w:rPr>
        <w:t xml:space="preserve"> : « يعتمّ بها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حاشية « جح » : « في</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بخ ، جح ، جن » </w:t>
      </w:r>
      <w:r w:rsidR="00B60612" w:rsidRPr="00B60612">
        <w:rPr>
          <w:rStyle w:val="libFootnoteBoldChar"/>
          <w:rtl/>
        </w:rPr>
        <w:t>والتهذيب</w:t>
      </w:r>
      <w:r w:rsidR="00E3253D" w:rsidRPr="005D642E">
        <w:rPr>
          <w:rtl/>
        </w:rPr>
        <w:t xml:space="preserve"> : « وجهه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293 ، ح 858 ، بسنده عن الكليني. </w:t>
      </w:r>
      <w:r w:rsidR="00E3253D" w:rsidRPr="002F4D34">
        <w:rPr>
          <w:rStyle w:val="libFootnoteBoldChar"/>
          <w:rtl/>
        </w:rPr>
        <w:t>وفيه</w:t>
      </w:r>
      <w:r w:rsidR="00E3253D" w:rsidRPr="005D642E">
        <w:rPr>
          <w:rtl/>
        </w:rPr>
        <w:t xml:space="preserve"> ، ص 310 ، ح 900 ، معلّقاً عن سهل بن زياد </w:t>
      </w:r>
      <w:r w:rsidR="00382784">
        <w:rPr>
          <w:rFonts w:hint="cs"/>
          <w:rtl/>
        </w:rPr>
        <w:t>.</w:t>
      </w:r>
      <w:r w:rsidR="00E3253D" w:rsidRPr="002F4D34">
        <w:rPr>
          <w:rStyle w:val="libFootnoteBoldChar"/>
          <w:rtl/>
        </w:rPr>
        <w:t>الوافي</w:t>
      </w:r>
      <w:r w:rsidR="00E3253D" w:rsidRPr="005D642E">
        <w:rPr>
          <w:rtl/>
        </w:rPr>
        <w:t xml:space="preserve"> ، ج 24 ، ص 358 ، ح 24202 ؛ </w:t>
      </w:r>
      <w:r w:rsidR="00E3253D" w:rsidRPr="002F4D34">
        <w:rPr>
          <w:rStyle w:val="libFootnoteBoldChar"/>
          <w:rtl/>
        </w:rPr>
        <w:t>الوسائل</w:t>
      </w:r>
      <w:r w:rsidR="00E3253D" w:rsidRPr="005D642E">
        <w:rPr>
          <w:rtl/>
        </w:rPr>
        <w:t xml:space="preserve"> ، ج 3 ، ص 10 ، ح 2879.</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 « فهو</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الحَنوط » : هو ما يُخلَط من الطيب لأكفان الموتى وأجسامهم خاصّة. راجع : </w:t>
      </w:r>
      <w:r w:rsidR="00E3253D" w:rsidRPr="002F4D34">
        <w:rPr>
          <w:rStyle w:val="libFootnoteBoldChar"/>
          <w:rtl/>
        </w:rPr>
        <w:t>النهاية</w:t>
      </w:r>
      <w:r w:rsidR="00E3253D" w:rsidRPr="005D642E">
        <w:rPr>
          <w:rtl/>
        </w:rPr>
        <w:t xml:space="preserve"> ، ج 1 ، ص 450 ( حنط )</w:t>
      </w:r>
      <w:r w:rsidR="00E3253D">
        <w:rPr>
          <w:rtl/>
        </w:rPr>
        <w:t>.</w:t>
      </w:r>
      <w:r w:rsidR="00582DD8">
        <w:rPr>
          <w:rtl/>
        </w:rPr>
        <w:t xml:space="preserve"> وقال العل</w:t>
      </w:r>
      <w:r w:rsidR="00582DD8">
        <w:rPr>
          <w:rFonts w:hint="cs"/>
          <w:rtl/>
        </w:rPr>
        <w:t>ّ</w:t>
      </w:r>
      <w:r w:rsidR="00582DD8">
        <w:rPr>
          <w:rtl/>
        </w:rPr>
        <w:t>ا</w:t>
      </w:r>
      <w:r w:rsidR="00E3253D" w:rsidRPr="005D642E">
        <w:rPr>
          <w:rtl/>
        </w:rPr>
        <w:t xml:space="preserve">مة المجلسي في </w:t>
      </w:r>
      <w:r w:rsidR="00E3253D" w:rsidRPr="002F4D34">
        <w:rPr>
          <w:rStyle w:val="libFootnoteBoldChar"/>
          <w:rtl/>
        </w:rPr>
        <w:t>مرآة العقول</w:t>
      </w:r>
      <w:r w:rsidR="00E3253D" w:rsidRPr="005D642E">
        <w:rPr>
          <w:rtl/>
        </w:rPr>
        <w:t xml:space="preserve"> : « الحديث</w:t>
      </w:r>
      <w:r w:rsidR="00E3253D">
        <w:rPr>
          <w:rtl/>
        </w:rPr>
        <w:t xml:space="preserve"> ....</w:t>
      </w:r>
      <w:r w:rsidR="00E3253D" w:rsidRPr="005D642E">
        <w:rPr>
          <w:rtl/>
        </w:rPr>
        <w:t xml:space="preserve"> يدلّ على حصر الحنوط في الكافور لتعريف المبتدأ باللام وضمير الفعل فلا يجوز بالمسك وغيره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الوافي</w:t>
      </w:r>
      <w:r w:rsidR="00E3253D" w:rsidRPr="005D642E">
        <w:rPr>
          <w:rtl/>
        </w:rPr>
        <w:t xml:space="preserve"> ، ج 24 ، ص 314 ، ح 24100 ؛ </w:t>
      </w:r>
      <w:r w:rsidR="00E3253D" w:rsidRPr="002F4D34">
        <w:rPr>
          <w:rStyle w:val="libFootnoteBoldChar"/>
          <w:rtl/>
        </w:rPr>
        <w:t>الوسائل</w:t>
      </w:r>
      <w:r w:rsidR="00E3253D" w:rsidRPr="005D642E">
        <w:rPr>
          <w:rtl/>
        </w:rPr>
        <w:t xml:space="preserve"> ، ج 3 ، ص 17 ، ح 2907.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C8397F">
        <w:rPr>
          <w:rtl/>
        </w:rPr>
        <w:t>4350</w:t>
      </w:r>
      <w:r w:rsidRPr="00246318">
        <w:rPr>
          <w:rStyle w:val="libBold2Char"/>
          <w:rtl/>
        </w:rPr>
        <w:t xml:space="preserve"> / 13.</w:t>
      </w:r>
      <w:r w:rsidRPr="005D642E">
        <w:rPr>
          <w:rtl/>
          <w:lang w:bidi="fa-IR"/>
        </w:rPr>
        <w:t xml:space="preserve"> عَلِيُّ بْنُ إِبْرَاهِيمَ </w:t>
      </w:r>
      <w:r w:rsidRPr="007C12DB">
        <w:rPr>
          <w:rStyle w:val="libFootnotenumChar"/>
          <w:rtl/>
        </w:rPr>
        <w:t>(1)</w:t>
      </w:r>
      <w:r w:rsidRPr="005D642E">
        <w:rPr>
          <w:rtl/>
          <w:lang w:bidi="fa-IR"/>
        </w:rPr>
        <w:t xml:space="preserve"> ، عَنْ صَالِحِ بْنِ السِّنْدِيِّ ، عَنْ جَعْفَرِ بْنِ بَشِيرٍ ، عَنْ دَاوُدَ بْنِ سِرْحَانَ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لِي </w:t>
      </w:r>
      <w:r w:rsidRPr="007C12DB">
        <w:rPr>
          <w:rStyle w:val="libFootnotenumChar"/>
          <w:rtl/>
        </w:rPr>
        <w:t>(2)</w:t>
      </w:r>
      <w:r w:rsidRPr="005D642E">
        <w:rPr>
          <w:rtl/>
          <w:lang w:bidi="fa-IR"/>
        </w:rPr>
        <w:t xml:space="preserve"> فِي كَفْنِ أَبِي عُبَيْدَةَ الْحَذَّاءِ : « إِنَّمَا الْحَنُوطُ الْكَافُورُ ، وَلكِنِ اذْهَبْ ، فَاصْنَعْ كَمَا يَصْنَعُ النَّاسُ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C8397F">
        <w:rPr>
          <w:rtl/>
        </w:rPr>
        <w:t>4351</w:t>
      </w:r>
      <w:r w:rsidRPr="00246318">
        <w:rPr>
          <w:rStyle w:val="libBold2Char"/>
          <w:rtl/>
        </w:rPr>
        <w:t xml:space="preserve"> / 14.</w:t>
      </w:r>
      <w:r w:rsidRPr="005D642E">
        <w:rPr>
          <w:rtl/>
          <w:lang w:bidi="fa-IR"/>
        </w:rPr>
        <w:t xml:space="preserve"> مُحَمَّدُ بْنُ يَحْيى ، عَنْ أَحْمَدَ بْنِ مُحَمَّدٍ ، عَنْ مُحَمَّدِ بْنِ سِنَانٍ ، عَنْ دَاوُدَ بْنِ سِرْحَانَ ، قَالَ :</w:t>
      </w:r>
    </w:p>
    <w:p w:rsidR="00E3253D" w:rsidRPr="005D642E" w:rsidRDefault="00E3253D" w:rsidP="00E3253D">
      <w:pPr>
        <w:pStyle w:val="libNormal"/>
        <w:rPr>
          <w:rtl/>
          <w:lang w:bidi="fa-IR"/>
        </w:rPr>
      </w:pPr>
      <w:r w:rsidRPr="005D642E">
        <w:rPr>
          <w:rtl/>
          <w:lang w:bidi="fa-IR"/>
        </w:rPr>
        <w:t xml:space="preserve">مَاتَ أَبُو عُبَيْدَةَ الْحَذَّاءُ وَأَنَا بِالْمَدِينَةِ ، فَأَرْسَلَ إِلَيَّ أَبُو عَبْدِ اللهِ </w:t>
      </w:r>
      <w:r w:rsidRPr="00AC51C5">
        <w:rPr>
          <w:rStyle w:val="libAlaemChar"/>
          <w:rtl/>
        </w:rPr>
        <w:t>عليه‌السلام</w:t>
      </w:r>
      <w:r w:rsidRPr="005D642E">
        <w:rPr>
          <w:rtl/>
          <w:lang w:bidi="fa-IR"/>
        </w:rPr>
        <w:t xml:space="preserve"> بِدِينَارٍ ، وَقَالَ </w:t>
      </w:r>
      <w:r w:rsidRPr="007C12DB">
        <w:rPr>
          <w:rStyle w:val="libFootnotenumChar"/>
          <w:rtl/>
        </w:rPr>
        <w:t>(5)</w:t>
      </w:r>
      <w:r w:rsidRPr="005D642E">
        <w:rPr>
          <w:rtl/>
          <w:lang w:bidi="fa-IR"/>
        </w:rPr>
        <w:t xml:space="preserve"> :</w:t>
      </w:r>
      <w:r>
        <w:rPr>
          <w:rFonts w:hint="cs"/>
          <w:rtl/>
          <w:lang w:bidi="fa-IR"/>
        </w:rPr>
        <w:t xml:space="preserve"> </w:t>
      </w:r>
      <w:r w:rsidRPr="005D642E">
        <w:rPr>
          <w:rtl/>
          <w:lang w:bidi="fa-IR"/>
        </w:rPr>
        <w:t xml:space="preserve">« اشْتَرِ بِهذَا حَنُوطاً ، وَاعْلَمْ أَنَّ الْحَنُوطَ هُوَ الْكَافُورُ </w:t>
      </w:r>
      <w:r w:rsidRPr="007C12DB">
        <w:rPr>
          <w:rStyle w:val="libFootnotenumChar"/>
          <w:rtl/>
        </w:rPr>
        <w:t>(6)</w:t>
      </w:r>
      <w:r w:rsidRPr="005D642E">
        <w:rPr>
          <w:rtl/>
          <w:lang w:bidi="fa-IR"/>
        </w:rPr>
        <w:t xml:space="preserve"> ، وَلكِنِ </w:t>
      </w:r>
      <w:r w:rsidRPr="007C12DB">
        <w:rPr>
          <w:rStyle w:val="libFootnotenumChar"/>
          <w:rtl/>
        </w:rPr>
        <w:t>(7)</w:t>
      </w:r>
      <w:r w:rsidRPr="005D642E">
        <w:rPr>
          <w:rtl/>
          <w:lang w:bidi="fa-IR"/>
        </w:rPr>
        <w:t xml:space="preserve"> اصْنَعْ كَمَا يَصْنَعُ النَّاسُ</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فَلَمَّا مَضَيْتُ أَتْبَعَنِي </w:t>
      </w:r>
      <w:r w:rsidRPr="007C12DB">
        <w:rPr>
          <w:rStyle w:val="libFootnotenumChar"/>
          <w:rtl/>
        </w:rPr>
        <w:t>(8)</w:t>
      </w:r>
      <w:r w:rsidRPr="005D642E">
        <w:rPr>
          <w:rtl/>
          <w:lang w:bidi="fa-IR"/>
        </w:rPr>
        <w:t xml:space="preserve"> بِدِينَارٍ ، وَقَالَ </w:t>
      </w:r>
      <w:r w:rsidRPr="007C12DB">
        <w:rPr>
          <w:rStyle w:val="libFootnotenumChar"/>
          <w:rtl/>
        </w:rPr>
        <w:t>(9)</w:t>
      </w:r>
      <w:r w:rsidRPr="005D642E">
        <w:rPr>
          <w:rtl/>
          <w:lang w:bidi="fa-IR"/>
        </w:rPr>
        <w:t xml:space="preserve"> : « اشْتَرِ </w:t>
      </w:r>
      <w:r w:rsidRPr="007C12DB">
        <w:rPr>
          <w:rStyle w:val="libFootnotenumChar"/>
          <w:rtl/>
        </w:rPr>
        <w:t>(10)</w:t>
      </w:r>
      <w:r w:rsidRPr="005D642E">
        <w:rPr>
          <w:rtl/>
          <w:lang w:bidi="fa-IR"/>
        </w:rPr>
        <w:t xml:space="preserve"> بِهذَا كَافُوراً</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بخ ، بس ، بف ، جح ، جس</w:t>
      </w:r>
      <w:r w:rsidR="00E3253D">
        <w:rPr>
          <w:rtl/>
        </w:rPr>
        <w:t xml:space="preserve"> ».</w:t>
      </w:r>
      <w:r w:rsidR="00E3253D" w:rsidRPr="005D642E">
        <w:rPr>
          <w:rtl/>
        </w:rPr>
        <w:t xml:space="preserve"> وفي « ظ ، ى ، بح ، جن » وحاشية « جح » والمطبوع والوسائل : + « عن‌أبيه</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 كما تقدّم تفصيل الكلام في </w:t>
      </w:r>
      <w:r w:rsidRPr="002F4D34">
        <w:rPr>
          <w:rStyle w:val="libFootnoteBoldChar"/>
          <w:rtl/>
        </w:rPr>
        <w:t>الكافي</w:t>
      </w:r>
      <w:r w:rsidRPr="00B60612">
        <w:rPr>
          <w:rtl/>
        </w:rPr>
        <w:t xml:space="preserve"> ، ذيل ح 3695 ، فلاحظ.</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بس ، جح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لي</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153064">
        <w:rPr>
          <w:rStyle w:val="libFootnoteAlaemChar"/>
          <w:rtl/>
        </w:rPr>
        <w:t>عليه‌السلام</w:t>
      </w:r>
      <w:r w:rsidR="00E3253D" w:rsidRPr="005D642E">
        <w:rPr>
          <w:rtl/>
        </w:rPr>
        <w:t xml:space="preserve"> : كما يصنع الناس ، أي من الحنوط بالمسك ، قال في </w:t>
      </w:r>
      <w:r w:rsidR="00E3253D" w:rsidRPr="002F4D34">
        <w:rPr>
          <w:rStyle w:val="libFootnoteBoldChar"/>
          <w:rtl/>
        </w:rPr>
        <w:t>المختلف</w:t>
      </w:r>
      <w:r w:rsidR="00E3253D" w:rsidRPr="005D642E">
        <w:rPr>
          <w:rtl/>
        </w:rPr>
        <w:t xml:space="preserve"> : المشهور أنّه يكره أن يجعل مع الكافور مسك ، وروى ابن بابويه استحبابه. انتهى. وأقول : لعلّ رواية الاستحباب محمولة على التقيّة ، والترك أولى</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436 ، ح 1404 ؛ و</w:t>
      </w:r>
      <w:r w:rsidR="00E3253D" w:rsidRPr="002F4D34">
        <w:rPr>
          <w:rStyle w:val="libFootnoteBoldChar"/>
          <w:rtl/>
        </w:rPr>
        <w:t>رجال الكشّي</w:t>
      </w:r>
      <w:r w:rsidR="00E3253D" w:rsidRPr="005D642E">
        <w:rPr>
          <w:rtl/>
        </w:rPr>
        <w:t xml:space="preserve"> ، ص 368 ، ح 688 ؛ بسندهما عن جعفر بن بشير </w:t>
      </w:r>
      <w:r w:rsidR="00153064">
        <w:rPr>
          <w:rFonts w:hint="cs"/>
          <w:rtl/>
        </w:rPr>
        <w:t>.</w:t>
      </w:r>
      <w:r w:rsidR="00E3253D" w:rsidRPr="002F4D34">
        <w:rPr>
          <w:rStyle w:val="libFootnoteBoldChar"/>
          <w:rtl/>
        </w:rPr>
        <w:t>الوافي</w:t>
      </w:r>
      <w:r w:rsidR="00E3253D" w:rsidRPr="005D642E">
        <w:rPr>
          <w:rtl/>
        </w:rPr>
        <w:t xml:space="preserve"> ، ج 24 ، ص 313 ، ح 24099 ؛ </w:t>
      </w:r>
      <w:r w:rsidR="00E3253D" w:rsidRPr="002F4D34">
        <w:rPr>
          <w:rStyle w:val="libFootnoteBoldChar"/>
          <w:rtl/>
        </w:rPr>
        <w:t>الوسائل</w:t>
      </w:r>
      <w:r w:rsidR="00E3253D" w:rsidRPr="005D642E">
        <w:rPr>
          <w:rtl/>
        </w:rPr>
        <w:t xml:space="preserve"> ، ج 3 ، ص 18 ، ح 2910.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ى ، بح ، جح ، جن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في هذه الأخبار ردّ على العامّة ، حيث يحنّطون ميّتهم بالمسك وغيره ، والغرض من التحنيط حفظ بدن الميّت من الهوامّ وإنّما رائحة الكافور تدفعها عنه ، والحنوط يق</w:t>
      </w:r>
      <w:r w:rsidR="00154302">
        <w:rPr>
          <w:rtl/>
        </w:rPr>
        <w:t>ال لكلّ طيب يحنّط به الميّت إل</w:t>
      </w:r>
      <w:r w:rsidR="00154302">
        <w:rPr>
          <w:rFonts w:hint="cs"/>
          <w:rtl/>
        </w:rPr>
        <w:t>ّ</w:t>
      </w:r>
      <w:r w:rsidR="00154302">
        <w:rPr>
          <w:rtl/>
        </w:rPr>
        <w:t>ا</w:t>
      </w:r>
      <w:r w:rsidR="00E3253D">
        <w:rPr>
          <w:rFonts w:hint="cs"/>
          <w:rtl/>
        </w:rPr>
        <w:t xml:space="preserve"> </w:t>
      </w:r>
      <w:r w:rsidR="00E3253D" w:rsidRPr="005D642E">
        <w:rPr>
          <w:rtl/>
        </w:rPr>
        <w:t xml:space="preserve">أنّ السنّة جرت أن يحنّط بالكافور ، كما ورد عن أهل البيت </w:t>
      </w:r>
      <w:r w:rsidR="00E3253D" w:rsidRPr="00153064">
        <w:rPr>
          <w:rStyle w:val="libFootnoteAlaemChar"/>
          <w:rtl/>
        </w:rPr>
        <w:t>عليهم‌السلام</w:t>
      </w:r>
      <w:r w:rsidR="00E3253D" w:rsidRPr="005D642E">
        <w:rPr>
          <w:rtl/>
        </w:rPr>
        <w:t xml:space="preserve"> ، وهو طيب معروف</w:t>
      </w:r>
      <w:r w:rsidR="00E3253D">
        <w:rPr>
          <w:rtl/>
        </w:rPr>
        <w:t xml:space="preserve"> ..</w:t>
      </w:r>
      <w:r w:rsidR="00E3253D" w:rsidRPr="005D642E">
        <w:rPr>
          <w:rtl/>
        </w:rPr>
        <w:t>.</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بف » :</w:t>
      </w:r>
      <w:r w:rsidR="00E3253D">
        <w:rPr>
          <w:rtl/>
        </w:rPr>
        <w:t xml:space="preserve"> </w:t>
      </w:r>
      <w:r w:rsidR="007642BC">
        <w:rPr>
          <w:rtl/>
        </w:rPr>
        <w:t>-</w:t>
      </w:r>
      <w:r w:rsidR="00E3253D">
        <w:rPr>
          <w:rtl/>
        </w:rPr>
        <w:t xml:space="preserve"> </w:t>
      </w:r>
      <w:r w:rsidR="00E3253D" w:rsidRPr="005D642E">
        <w:rPr>
          <w:rtl/>
        </w:rPr>
        <w:t>« لكن</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بف » : « تبعني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E3125" w:rsidTr="005E3125">
        <w:tc>
          <w:tcPr>
            <w:tcW w:w="4006" w:type="dxa"/>
          </w:tcPr>
          <w:p w:rsidR="005E3125" w:rsidRDefault="005E3125" w:rsidP="00E3253D">
            <w:pPr>
              <w:pStyle w:val="libFootnote0"/>
              <w:rPr>
                <w:rStyle w:val="libFootnote0Char"/>
                <w:rtl/>
              </w:rPr>
            </w:pPr>
            <w:r w:rsidRPr="0042621E">
              <w:rPr>
                <w:rStyle w:val="libFootnote0Char"/>
                <w:rtl/>
              </w:rPr>
              <w:t>(9).</w:t>
            </w:r>
            <w:r w:rsidRPr="005D642E">
              <w:rPr>
                <w:rtl/>
              </w:rPr>
              <w:t xml:space="preserve"> في « ظ ، ى ، بس ، جس ، جن » : « فقال</w:t>
            </w:r>
            <w:r>
              <w:rPr>
                <w:rtl/>
              </w:rPr>
              <w:t xml:space="preserve"> ».</w:t>
            </w:r>
          </w:p>
        </w:tc>
        <w:tc>
          <w:tcPr>
            <w:tcW w:w="4006" w:type="dxa"/>
          </w:tcPr>
          <w:p w:rsidR="005E3125" w:rsidRDefault="005E3125" w:rsidP="00E3253D">
            <w:pPr>
              <w:pStyle w:val="libFootnote0"/>
              <w:rPr>
                <w:rStyle w:val="libFootnote0Char"/>
                <w:rtl/>
              </w:rPr>
            </w:pPr>
            <w:r w:rsidRPr="0042621E">
              <w:rPr>
                <w:rStyle w:val="libFootnote0Char"/>
                <w:rtl/>
              </w:rPr>
              <w:t>(10).</w:t>
            </w:r>
            <w:r w:rsidRPr="005D642E">
              <w:rPr>
                <w:rtl/>
              </w:rPr>
              <w:t xml:space="preserve"> في « جن » : « تشتر</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الوافي</w:t>
      </w:r>
      <w:r w:rsidR="00E3253D" w:rsidRPr="005D642E">
        <w:rPr>
          <w:rtl/>
        </w:rPr>
        <w:t xml:space="preserve"> ، ج 24 ، ص 313 ، ح 24098 ؛ </w:t>
      </w:r>
      <w:r w:rsidR="00E3253D" w:rsidRPr="002F4D34">
        <w:rPr>
          <w:rStyle w:val="libFootnoteBoldChar"/>
          <w:rtl/>
        </w:rPr>
        <w:t>الوسائل</w:t>
      </w:r>
      <w:r w:rsidR="00E3253D" w:rsidRPr="005D642E">
        <w:rPr>
          <w:rtl/>
        </w:rPr>
        <w:t xml:space="preserve"> ، ج 3 ، ص 19 ، ح 2911.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FF174E">
        <w:rPr>
          <w:rtl/>
        </w:rPr>
        <w:t>4352</w:t>
      </w:r>
      <w:r w:rsidRPr="00246318">
        <w:rPr>
          <w:rStyle w:val="libBold2Char"/>
          <w:rtl/>
        </w:rPr>
        <w:t xml:space="preserve"> / 15.</w:t>
      </w:r>
      <w:r w:rsidRPr="005D642E">
        <w:rPr>
          <w:rtl/>
          <w:lang w:bidi="fa-IR"/>
        </w:rPr>
        <w:t xml:space="preserve"> حُمَيْدُ بْنُ زِيَادٍ ، عَنِ الْحَسَنِ بْنِ مُحَمَّدٍ الْكِنْدِيِّ ، عَنْ أَحْمَدَ بْنِ الْحَسَنِ الْمِيثَمِيِّ ، عَنْ أَبَانِ بْنِ عُثْمَانَ ، عَنْ عَبْدِ الرَّحْمنِ بْنِ أَبِي عَبْدِ اللهِ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الْحَنُوطِ لِلْمَيِّتِ</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(1)</w:t>
      </w:r>
      <w:r w:rsidRPr="005D642E">
        <w:rPr>
          <w:rtl/>
          <w:lang w:bidi="fa-IR"/>
        </w:rPr>
        <w:t xml:space="preserve"> : « اجْعَلْهُ فِي مَسَاجِدِهِ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FF174E">
        <w:rPr>
          <w:rtl/>
        </w:rPr>
        <w:t>4353</w:t>
      </w:r>
      <w:r w:rsidRPr="00246318">
        <w:rPr>
          <w:rStyle w:val="libBold2Char"/>
          <w:rtl/>
        </w:rPr>
        <w:t xml:space="preserve"> / 16.</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 أَنَّ النَّبِيَّ </w:t>
      </w:r>
      <w:r w:rsidR="0042621E" w:rsidRPr="0042621E">
        <w:rPr>
          <w:rStyle w:val="libAlaemChar"/>
          <w:rtl/>
        </w:rPr>
        <w:t>صلى‌الله‌عليه‌وآله</w:t>
      </w:r>
      <w:r w:rsidRPr="005D642E">
        <w:rPr>
          <w:rtl/>
          <w:lang w:bidi="fa-IR"/>
        </w:rPr>
        <w:t xml:space="preserve"> نَهى </w:t>
      </w:r>
      <w:r w:rsidRPr="007C12DB">
        <w:rPr>
          <w:rStyle w:val="libFootnotenumChar"/>
          <w:rtl/>
        </w:rPr>
        <w:t>(4)</w:t>
      </w:r>
      <w:r w:rsidRPr="005D642E">
        <w:rPr>
          <w:rtl/>
          <w:lang w:bidi="fa-IR"/>
        </w:rPr>
        <w:t xml:space="preserve"> أَنْ يُوضَعَ عَلَى النَّعْشِ الْحَنُوطُ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314" w:name="_Toc344647315"/>
      <w:bookmarkStart w:id="315" w:name="_Toc462226829"/>
      <w:bookmarkStart w:id="316" w:name="_Toc40975938"/>
      <w:r w:rsidRPr="005D642E">
        <w:rPr>
          <w:rtl/>
          <w:lang w:bidi="fa-IR"/>
        </w:rPr>
        <w:t>20</w:t>
      </w:r>
      <w:r>
        <w:rPr>
          <w:rtl/>
          <w:lang w:bidi="fa-IR"/>
        </w:rPr>
        <w:t xml:space="preserve"> </w:t>
      </w:r>
      <w:r w:rsidR="007642BC">
        <w:rPr>
          <w:rtl/>
          <w:lang w:bidi="fa-IR"/>
        </w:rPr>
        <w:t>-</w:t>
      </w:r>
      <w:r>
        <w:rPr>
          <w:rtl/>
          <w:lang w:bidi="fa-IR"/>
        </w:rPr>
        <w:t xml:space="preserve"> </w:t>
      </w:r>
      <w:r w:rsidRPr="005D642E">
        <w:rPr>
          <w:rtl/>
          <w:lang w:bidi="fa-IR"/>
        </w:rPr>
        <w:t>بَابُ تَكْفِينِ الْمَرْأَةِ‌</w:t>
      </w:r>
      <w:bookmarkEnd w:id="314"/>
      <w:bookmarkEnd w:id="315"/>
      <w:bookmarkEnd w:id="316"/>
    </w:p>
    <w:p w:rsidR="00E3253D" w:rsidRPr="005D642E" w:rsidRDefault="00E3253D" w:rsidP="00E3253D">
      <w:pPr>
        <w:pStyle w:val="libNormal"/>
        <w:rPr>
          <w:rtl/>
          <w:lang w:bidi="fa-IR"/>
        </w:rPr>
      </w:pPr>
      <w:r w:rsidRPr="00FF174E">
        <w:rPr>
          <w:rtl/>
        </w:rPr>
        <w:t>4354</w:t>
      </w:r>
      <w:r w:rsidRPr="00246318">
        <w:rPr>
          <w:rStyle w:val="libBold2Char"/>
          <w:rtl/>
        </w:rPr>
        <w:t xml:space="preserve"> / 1.</w:t>
      </w:r>
      <w:r w:rsidRPr="005D642E">
        <w:rPr>
          <w:rtl/>
          <w:lang w:bidi="fa-IR"/>
        </w:rPr>
        <w:t xml:space="preserve"> حُمَيْدُ بْنُ زِيَادٍ ، عَنِ الْحَسَنِ بْنِ مُحَمَّدٍ الْكِنْدِيِّ ، عَنْ غَيْرِ وَاحِدٍ ، عَنْ أَبَانِ بْنِ عُثْمَانَ ، عَنْ عَبْدِ الرَّحْمنِ بْنِ أَبِي عَبْدِ اللهِ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 فِي كَمْ تُكَفَّنُ الْمَرْأَةُ</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(7)</w:t>
      </w:r>
      <w:r w:rsidRPr="005D642E">
        <w:rPr>
          <w:rtl/>
          <w:lang w:bidi="fa-IR"/>
        </w:rPr>
        <w:t xml:space="preserve"> : « تُكَفَّنُ </w:t>
      </w:r>
      <w:r w:rsidRPr="007C12DB">
        <w:rPr>
          <w:rStyle w:val="libFootnotenumChar"/>
          <w:rtl/>
        </w:rPr>
        <w:t>(8)</w:t>
      </w:r>
      <w:r w:rsidRPr="005D642E">
        <w:rPr>
          <w:rtl/>
          <w:lang w:bidi="fa-IR"/>
        </w:rPr>
        <w:t xml:space="preserve"> فِي خَمْسَةِ أَثْوَابٍ أَحَدُهَا الْخِمَارُ </w:t>
      </w:r>
      <w:r w:rsidRPr="007C12DB">
        <w:rPr>
          <w:rStyle w:val="libFootnotenumChar"/>
          <w:rtl/>
        </w:rPr>
        <w:t>(9)</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التي قوبلت </w:t>
      </w:r>
      <w:r w:rsidR="000D749A" w:rsidRPr="000D749A">
        <w:rPr>
          <w:rStyle w:val="libFootnoteBoldChar"/>
          <w:rtl/>
        </w:rPr>
        <w:t>والوافي</w:t>
      </w:r>
      <w:r w:rsidR="00E3253D" w:rsidRPr="005D642E">
        <w:rPr>
          <w:rtl/>
        </w:rPr>
        <w:t xml:space="preserve"> والوسائل. وفي المطبوع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 + « السبعة</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يمكن تعميم المساجد بحيث تشمل الأنف والصدر ، إذ الأوّل يستحبّ في جميع السجدات ، والثاني في سجدة الشكر</w:t>
      </w:r>
      <w:r w:rsidR="00E3253D">
        <w:rPr>
          <w:rtl/>
        </w:rPr>
        <w:t xml:space="preserve"> ».</w:t>
      </w:r>
    </w:p>
    <w:tbl>
      <w:tblPr>
        <w:tblStyle w:val="TableGrid"/>
        <w:bidiVisual/>
        <w:tblW w:w="0" w:type="auto"/>
        <w:tblLook w:val="04A0" w:firstRow="1" w:lastRow="0" w:firstColumn="1" w:lastColumn="0" w:noHBand="0" w:noVBand="1"/>
      </w:tblPr>
      <w:tblGrid>
        <w:gridCol w:w="5213"/>
        <w:gridCol w:w="2799"/>
      </w:tblGrid>
      <w:tr w:rsidR="005E24E9" w:rsidTr="005E24E9">
        <w:tc>
          <w:tcPr>
            <w:tcW w:w="4006" w:type="dxa"/>
          </w:tcPr>
          <w:p w:rsidR="005E24E9" w:rsidRDefault="005E24E9" w:rsidP="005E24E9">
            <w:pPr>
              <w:pStyle w:val="libFootnote0"/>
              <w:rPr>
                <w:rStyle w:val="libFootnote0Char"/>
                <w:rtl/>
              </w:rPr>
            </w:pPr>
            <w:r w:rsidRPr="0042621E">
              <w:rPr>
                <w:rStyle w:val="libFootnote0Char"/>
                <w:rtl/>
              </w:rPr>
              <w:t>(3).</w:t>
            </w:r>
            <w:r w:rsidRPr="002F4D34">
              <w:rPr>
                <w:rStyle w:val="libFootnoteBoldChar"/>
                <w:rtl/>
              </w:rPr>
              <w:t>الوافي</w:t>
            </w:r>
            <w:r>
              <w:rPr>
                <w:rtl/>
              </w:rPr>
              <w:t>،ج24،</w:t>
            </w:r>
            <w:r w:rsidRPr="005D642E">
              <w:rPr>
                <w:rtl/>
              </w:rPr>
              <w:t>ص365</w:t>
            </w:r>
            <w:r>
              <w:rPr>
                <w:rtl/>
              </w:rPr>
              <w:t>،</w:t>
            </w:r>
            <w:r w:rsidRPr="005D642E">
              <w:rPr>
                <w:rtl/>
              </w:rPr>
              <w:t>ح24219؛</w:t>
            </w:r>
            <w:r w:rsidRPr="002F4D34">
              <w:rPr>
                <w:rStyle w:val="libFootnoteBoldChar"/>
                <w:rtl/>
              </w:rPr>
              <w:t>الوسائل</w:t>
            </w:r>
            <w:r>
              <w:rPr>
                <w:rtl/>
              </w:rPr>
              <w:t>،</w:t>
            </w:r>
            <w:r w:rsidRPr="005D642E">
              <w:rPr>
                <w:rtl/>
              </w:rPr>
              <w:t>ج3</w:t>
            </w:r>
            <w:r>
              <w:rPr>
                <w:rtl/>
              </w:rPr>
              <w:t>،ص36،</w:t>
            </w:r>
            <w:r w:rsidRPr="005D642E">
              <w:rPr>
                <w:rtl/>
              </w:rPr>
              <w:t>ح2960.</w:t>
            </w:r>
          </w:p>
        </w:tc>
        <w:tc>
          <w:tcPr>
            <w:tcW w:w="4006" w:type="dxa"/>
          </w:tcPr>
          <w:p w:rsidR="005E24E9" w:rsidRDefault="005E24E9" w:rsidP="00E3253D">
            <w:pPr>
              <w:pStyle w:val="libFootnote0"/>
              <w:rPr>
                <w:rStyle w:val="libFootnote0Char"/>
                <w:rtl/>
              </w:rPr>
            </w:pPr>
            <w:r w:rsidRPr="0042621E">
              <w:rPr>
                <w:rStyle w:val="libFootnote0Char"/>
                <w:rtl/>
              </w:rPr>
              <w:t>(4).</w:t>
            </w:r>
            <w:r w:rsidRPr="005D642E">
              <w:rPr>
                <w:rtl/>
              </w:rPr>
              <w:t xml:space="preserve"> في « بف » : « ينهى</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الحنوط إمّا الكافور للإسراف والبدعة ، أو المسك للنهي عن تقريبه الميّت ، أو الأعمّ</w:t>
      </w:r>
      <w:r w:rsidR="00E3253D">
        <w:rPr>
          <w:rtl/>
        </w:rPr>
        <w:t xml:space="preserve"> ».</w:t>
      </w:r>
    </w:p>
    <w:p w:rsidR="00E3253D" w:rsidRPr="005D642E" w:rsidRDefault="0042621E" w:rsidP="005E24E9">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437 ، ح 1408 ، معلّقاً عن عليّ ، عن أبيه ، عن النوفلي. </w:t>
      </w:r>
      <w:r w:rsidR="00E3253D" w:rsidRPr="002F4D34">
        <w:rPr>
          <w:rStyle w:val="libFootnoteBoldChar"/>
          <w:rtl/>
        </w:rPr>
        <w:t>الجعفريّات</w:t>
      </w:r>
      <w:r w:rsidR="00E3253D" w:rsidRPr="005D642E">
        <w:rPr>
          <w:rtl/>
        </w:rPr>
        <w:t xml:space="preserve"> ، ص 205 ، بسند آخر عن جعفر بن محمّد ، عن آبائه </w:t>
      </w:r>
      <w:r w:rsidR="00E3253D" w:rsidRPr="005E24E9">
        <w:rPr>
          <w:rStyle w:val="libFootnoteAlaemChar"/>
          <w:rtl/>
        </w:rPr>
        <w:t>عليهم‌السلام</w:t>
      </w:r>
      <w:r w:rsidR="00E3253D" w:rsidRPr="005D642E">
        <w:rPr>
          <w:rtl/>
        </w:rPr>
        <w:t xml:space="preserve"> عن رسول الله </w:t>
      </w:r>
      <w:r w:rsidRPr="005E24E9">
        <w:rPr>
          <w:rStyle w:val="libFootnoteAlaemChar"/>
          <w:rtl/>
        </w:rPr>
        <w:t>صلى‌الله‌عليه‌وآله</w:t>
      </w:r>
      <w:r w:rsidR="00E3253D" w:rsidRPr="005D642E">
        <w:rPr>
          <w:rtl/>
        </w:rPr>
        <w:t xml:space="preserve"> </w:t>
      </w:r>
      <w:r w:rsidR="005E24E9">
        <w:rPr>
          <w:rFonts w:hint="cs"/>
          <w:rtl/>
        </w:rPr>
        <w:t>.</w:t>
      </w:r>
      <w:r w:rsidR="00E3253D" w:rsidRPr="002F4D34">
        <w:rPr>
          <w:rStyle w:val="libFootnoteBoldChar"/>
          <w:rtl/>
        </w:rPr>
        <w:t>الوافي</w:t>
      </w:r>
      <w:r w:rsidR="00E3253D" w:rsidRPr="005D642E">
        <w:rPr>
          <w:rtl/>
        </w:rPr>
        <w:t xml:space="preserve"> ، ج 24 ، ص 368 ، ح 24228 ؛ </w:t>
      </w:r>
      <w:r w:rsidR="00E3253D" w:rsidRPr="002F4D34">
        <w:rPr>
          <w:rStyle w:val="libFootnoteBoldChar"/>
          <w:rtl/>
        </w:rPr>
        <w:t>الوسائل</w:t>
      </w:r>
      <w:r w:rsidR="00E3253D" w:rsidRPr="005D642E">
        <w:rPr>
          <w:rtl/>
        </w:rPr>
        <w:t xml:space="preserve"> ، ج 3 ، ص 38 ، ح 2967.</w:t>
      </w:r>
      <w:r w:rsidR="005E24E9">
        <w:rPr>
          <w:rFonts w:hint="cs"/>
          <w:rtl/>
        </w:rPr>
        <w:t xml:space="preserve">       </w:t>
      </w:r>
      <w:r w:rsidRPr="0042621E">
        <w:rPr>
          <w:rStyle w:val="libFootnote0Char"/>
          <w:rtl/>
        </w:rPr>
        <w:t>(7).</w:t>
      </w:r>
      <w:r w:rsidR="00E3253D" w:rsidRPr="005D642E">
        <w:rPr>
          <w:rtl/>
        </w:rPr>
        <w:t xml:space="preserve"> في « بخ ، بف » : « فقال</w:t>
      </w:r>
      <w:r w:rsidR="00E3253D">
        <w:rPr>
          <w:rtl/>
        </w:rPr>
        <w:t xml:space="preserve"> ».</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بف ، جح » : « يكفّن</w:t>
      </w:r>
      <w:r w:rsidR="00E3253D">
        <w:rPr>
          <w:rtl/>
        </w:rPr>
        <w:t xml:space="preserve"> ».</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تكفّن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الخِمار » النصيف ، وهو ثوب تتغطّى به المرأة فوق ثيابها كلّها ، سمّى نصيفاً لأنّه نَصَفَ بين الناس وبينها فحجز أبصارهم عنها ، أو الخمار : ما تغطّي به المرأة رأسها. راجع : </w:t>
      </w:r>
      <w:r w:rsidR="00E3253D" w:rsidRPr="002F4D34">
        <w:rPr>
          <w:rStyle w:val="libFootnoteBoldChar"/>
          <w:rtl/>
        </w:rPr>
        <w:t>لسان العرب</w:t>
      </w:r>
      <w:r w:rsidR="00E3253D" w:rsidRPr="005D642E">
        <w:rPr>
          <w:rtl/>
        </w:rPr>
        <w:t xml:space="preserve"> ، ج 4 ، ص 257 ( خمر ) ؛ وج 9 ، ص 332 ( نصف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324 ، ح 946 ، بسنده عن الكليني </w:t>
      </w:r>
      <w:r w:rsidR="002F0A1C">
        <w:rPr>
          <w:rFonts w:hint="cs"/>
          <w:rtl/>
        </w:rPr>
        <w:t>.</w:t>
      </w:r>
      <w:r w:rsidR="00E3253D" w:rsidRPr="002F4D34">
        <w:rPr>
          <w:rStyle w:val="libFootnoteBoldChar"/>
          <w:rtl/>
        </w:rPr>
        <w:t>الوافي</w:t>
      </w:r>
      <w:r w:rsidR="00E3253D" w:rsidRPr="005D642E">
        <w:rPr>
          <w:rtl/>
        </w:rPr>
        <w:t xml:space="preserve"> ، ج 24 ، ص 360 ، ح 24207 ؛ </w:t>
      </w:r>
      <w:r w:rsidR="00E3253D" w:rsidRPr="002F4D34">
        <w:rPr>
          <w:rStyle w:val="libFootnoteBoldChar"/>
          <w:rtl/>
        </w:rPr>
        <w:t>الوسائل</w:t>
      </w:r>
      <w:r w:rsidR="00E3253D" w:rsidRPr="005D642E">
        <w:rPr>
          <w:rtl/>
        </w:rPr>
        <w:t xml:space="preserve"> ، </w:t>
      </w:r>
      <w:r w:rsidR="002F0A1C">
        <w:rPr>
          <w:rFonts w:hint="cs"/>
          <w:rtl/>
        </w:rPr>
        <w:t>ج 3 ،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B946D8">
        <w:rPr>
          <w:rtl/>
        </w:rPr>
        <w:t>4355</w:t>
      </w:r>
      <w:r w:rsidRPr="00246318">
        <w:rPr>
          <w:rStyle w:val="libBold2Char"/>
          <w:rtl/>
        </w:rPr>
        <w:t xml:space="preserve"> / 2.</w:t>
      </w:r>
      <w:r w:rsidRPr="005D642E">
        <w:rPr>
          <w:rtl/>
          <w:lang w:bidi="fa-IR"/>
        </w:rPr>
        <w:t xml:space="preserve"> عِدَّةٌ مِنْ أَصْحَابِنَا ، عَنْ سَهْلِ بْنِ زِيَادٍ ، عَنْ بَعْضِ أَصْحَابِنَا </w:t>
      </w:r>
      <w:r w:rsidRPr="007C12DB">
        <w:rPr>
          <w:rStyle w:val="libFootnotenumChar"/>
          <w:rtl/>
        </w:rPr>
        <w:t>(1)</w:t>
      </w:r>
      <w:r w:rsidRPr="005D642E">
        <w:rPr>
          <w:rtl/>
          <w:lang w:bidi="fa-IR"/>
        </w:rPr>
        <w:t xml:space="preserve"> رَفَعَهُ ، قَالَ :</w:t>
      </w:r>
    </w:p>
    <w:p w:rsidR="00E3253D" w:rsidRPr="005D642E" w:rsidRDefault="00E3253D" w:rsidP="00E3253D">
      <w:pPr>
        <w:pStyle w:val="libNormal"/>
        <w:rPr>
          <w:rtl/>
          <w:lang w:bidi="fa-IR"/>
        </w:rPr>
      </w:pPr>
      <w:r w:rsidRPr="005D642E">
        <w:rPr>
          <w:rtl/>
          <w:lang w:bidi="fa-IR"/>
        </w:rPr>
        <w:t>سَأَلْتُهُ : كَيْفَ تُكَفَّنُ الْمَرْأَةُ</w:t>
      </w:r>
      <w:r>
        <w:rPr>
          <w:rtl/>
          <w:lang w:bidi="fa-IR"/>
        </w:rPr>
        <w:t>؟</w:t>
      </w:r>
    </w:p>
    <w:p w:rsidR="00E3253D" w:rsidRPr="005D642E" w:rsidRDefault="00E3253D" w:rsidP="00E3253D">
      <w:pPr>
        <w:pStyle w:val="libNormal"/>
        <w:rPr>
          <w:rtl/>
          <w:lang w:bidi="fa-IR"/>
        </w:rPr>
      </w:pPr>
      <w:r w:rsidRPr="005D642E">
        <w:rPr>
          <w:rtl/>
          <w:lang w:bidi="fa-IR"/>
        </w:rPr>
        <w:t xml:space="preserve">فَقَالَ : « كَمَا يُكَفَّنُ </w:t>
      </w:r>
      <w:r w:rsidRPr="007C12DB">
        <w:rPr>
          <w:rStyle w:val="libFootnotenumChar"/>
          <w:rtl/>
        </w:rPr>
        <w:t>(2)</w:t>
      </w:r>
      <w:r w:rsidRPr="005D642E">
        <w:rPr>
          <w:rtl/>
          <w:lang w:bidi="fa-IR"/>
        </w:rPr>
        <w:t xml:space="preserve"> الرَّجُلُ ، غَيْرَ أَنَّا نَشُدُّ </w:t>
      </w:r>
      <w:r w:rsidRPr="007C12DB">
        <w:rPr>
          <w:rStyle w:val="libFootnotenumChar"/>
          <w:rtl/>
        </w:rPr>
        <w:t>(3)</w:t>
      </w:r>
      <w:r w:rsidRPr="005D642E">
        <w:rPr>
          <w:rtl/>
          <w:lang w:bidi="fa-IR"/>
        </w:rPr>
        <w:t xml:space="preserve"> عَلى ثَدْيَيْهَا </w:t>
      </w:r>
      <w:r w:rsidRPr="007C12DB">
        <w:rPr>
          <w:rStyle w:val="libFootnotenumChar"/>
          <w:rtl/>
        </w:rPr>
        <w:t>(4)</w:t>
      </w:r>
      <w:r w:rsidRPr="005D642E">
        <w:rPr>
          <w:rtl/>
          <w:lang w:bidi="fa-IR"/>
        </w:rPr>
        <w:t xml:space="preserve"> خِرْقَةً تَضُمُّ الثَّدْيَ </w:t>
      </w:r>
      <w:r w:rsidRPr="007C12DB">
        <w:rPr>
          <w:rStyle w:val="libFootnotenumChar"/>
          <w:rtl/>
        </w:rPr>
        <w:t>(5)</w:t>
      </w:r>
      <w:r w:rsidRPr="005D642E">
        <w:rPr>
          <w:rtl/>
          <w:lang w:bidi="fa-IR"/>
        </w:rPr>
        <w:t xml:space="preserve"> إِلَى الصَّدْرِ ، وَتُشَدُّ عَلى </w:t>
      </w:r>
      <w:r w:rsidRPr="007C12DB">
        <w:rPr>
          <w:rStyle w:val="libFootnotenumChar"/>
          <w:rtl/>
        </w:rPr>
        <w:t>(6)</w:t>
      </w:r>
      <w:r w:rsidRPr="005D642E">
        <w:rPr>
          <w:rtl/>
          <w:lang w:bidi="fa-IR"/>
        </w:rPr>
        <w:t xml:space="preserve"> ظَهْرِهَا ، وَيُصْنَعُ </w:t>
      </w:r>
      <w:r w:rsidRPr="007C12DB">
        <w:rPr>
          <w:rStyle w:val="libFootnotenumChar"/>
          <w:rtl/>
        </w:rPr>
        <w:t>(7)</w:t>
      </w:r>
      <w:r w:rsidRPr="005D642E">
        <w:rPr>
          <w:rtl/>
          <w:lang w:bidi="fa-IR"/>
        </w:rPr>
        <w:t xml:space="preserve"> لَهَا </w:t>
      </w:r>
      <w:r w:rsidRPr="007C12DB">
        <w:rPr>
          <w:rStyle w:val="libFootnotenumChar"/>
          <w:rtl/>
        </w:rPr>
        <w:t>(8)</w:t>
      </w:r>
      <w:r w:rsidRPr="005D642E">
        <w:rPr>
          <w:rtl/>
          <w:lang w:bidi="fa-IR"/>
        </w:rPr>
        <w:t xml:space="preserve"> الْقُطْنُ أَكْثَرَ مِمَّا يُصْنَعُ </w:t>
      </w:r>
      <w:r w:rsidRPr="007C12DB">
        <w:rPr>
          <w:rStyle w:val="libFootnotenumChar"/>
          <w:rtl/>
        </w:rPr>
        <w:t>(9)</w:t>
      </w:r>
      <w:r w:rsidRPr="005D642E">
        <w:rPr>
          <w:rtl/>
          <w:lang w:bidi="fa-IR"/>
        </w:rPr>
        <w:t xml:space="preserve"> لِلرِّجَالِ ، وَيُحْشَى الْقُبُلُ وَالدُّبُرُ بِالْقُطْنِ وَالْحَنُوطِ </w:t>
      </w:r>
      <w:r w:rsidRPr="007C12DB">
        <w:rPr>
          <w:rStyle w:val="libFootnotenumChar"/>
          <w:rtl/>
        </w:rPr>
        <w:t>(10)</w:t>
      </w:r>
      <w:r w:rsidRPr="005D642E">
        <w:rPr>
          <w:rtl/>
          <w:lang w:bidi="fa-IR"/>
        </w:rPr>
        <w:t xml:space="preserve"> ، ثُمَّ تُشَدُّ </w:t>
      </w:r>
      <w:r w:rsidRPr="007C12DB">
        <w:rPr>
          <w:rStyle w:val="libFootnotenumChar"/>
          <w:rtl/>
        </w:rPr>
        <w:t>(11)</w:t>
      </w:r>
      <w:r w:rsidRPr="005D642E">
        <w:rPr>
          <w:rtl/>
          <w:lang w:bidi="fa-IR"/>
        </w:rPr>
        <w:t xml:space="preserve"> عَلَيْهَا الْخِرْقَةُ شَدّاً شَدِيداً</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B946D8">
        <w:rPr>
          <w:rtl/>
        </w:rPr>
        <w:t>4356</w:t>
      </w:r>
      <w:r w:rsidRPr="00246318">
        <w:rPr>
          <w:rStyle w:val="libBold2Char"/>
          <w:rtl/>
        </w:rPr>
        <w:t xml:space="preserve"> / 3.</w:t>
      </w:r>
      <w:r w:rsidRPr="005D642E">
        <w:rPr>
          <w:rtl/>
          <w:lang w:bidi="fa-IR"/>
        </w:rPr>
        <w:t xml:space="preserve"> الْحُسَيْنُ بْنُ مُحَمَّدٍ ، عَنْ عَبْدِ اللهِ بْنِ عَامِرٍ ، عَنْ عَلِيِّ بْنِ مَهْزِيَارَ ، عَنْ فَضَالَةَ ، عَنِ القَاسِمِ </w:t>
      </w:r>
      <w:r w:rsidRPr="007C12DB">
        <w:rPr>
          <w:rStyle w:val="libFootnotenumChar"/>
          <w:rtl/>
        </w:rPr>
        <w:t>(13)</w:t>
      </w:r>
      <w:r w:rsidRPr="005D642E">
        <w:rPr>
          <w:rtl/>
          <w:lang w:bidi="fa-IR"/>
        </w:rPr>
        <w:t xml:space="preserve"> بْنِ بُرَيْدٍ </w:t>
      </w:r>
      <w:r w:rsidRPr="007C12DB">
        <w:rPr>
          <w:rStyle w:val="libFootnotenumChar"/>
          <w:rtl/>
        </w:rPr>
        <w:t>(14)</w:t>
      </w:r>
      <w:r w:rsidRPr="005D642E">
        <w:rPr>
          <w:rtl/>
          <w:lang w:bidi="fa-IR"/>
        </w:rPr>
        <w:t xml:space="preserve"> ، عَنْ مُحَمَّدِ بْنِ مُسْلِمٍ :</w:t>
      </w:r>
    </w:p>
    <w:p w:rsidR="00E3253D" w:rsidRPr="005D642E" w:rsidRDefault="00E3253D" w:rsidP="00E3253D">
      <w:pPr>
        <w:pStyle w:val="libLine"/>
        <w:rPr>
          <w:rtl/>
          <w:lang w:bidi="fa-IR"/>
        </w:rPr>
      </w:pPr>
      <w:r w:rsidRPr="005D642E">
        <w:rPr>
          <w:rtl/>
          <w:lang w:bidi="fa-IR"/>
        </w:rPr>
        <w:t>__________________</w:t>
      </w:r>
    </w:p>
    <w:p w:rsidR="00E3253D" w:rsidRPr="005D642E" w:rsidRDefault="00976F1D" w:rsidP="00E3253D">
      <w:pPr>
        <w:pStyle w:val="libFootnote0"/>
        <w:rPr>
          <w:rtl/>
          <w:lang w:bidi="fa-IR"/>
        </w:rPr>
      </w:pPr>
      <w:r>
        <w:rPr>
          <w:rFonts w:hint="cs"/>
          <w:rtl/>
        </w:rPr>
        <w:t xml:space="preserve">= </w:t>
      </w:r>
      <w:r w:rsidR="00E3253D" w:rsidRPr="005D642E">
        <w:rPr>
          <w:rtl/>
        </w:rPr>
        <w:t>ص 12 ، ح 2884.</w:t>
      </w:r>
    </w:p>
    <w:tbl>
      <w:tblPr>
        <w:tblStyle w:val="TableGrid"/>
        <w:bidiVisual/>
        <w:tblW w:w="0" w:type="auto"/>
        <w:tblLook w:val="04A0" w:firstRow="1" w:lastRow="0" w:firstColumn="1" w:lastColumn="0" w:noHBand="0" w:noVBand="1"/>
      </w:tblPr>
      <w:tblGrid>
        <w:gridCol w:w="4006"/>
        <w:gridCol w:w="4006"/>
      </w:tblGrid>
      <w:tr w:rsidR="00005859" w:rsidTr="00005859">
        <w:tc>
          <w:tcPr>
            <w:tcW w:w="4006" w:type="dxa"/>
          </w:tcPr>
          <w:p w:rsidR="00005859" w:rsidRDefault="00005859" w:rsidP="00E3253D">
            <w:pPr>
              <w:pStyle w:val="libFootnote0"/>
              <w:rPr>
                <w:rStyle w:val="libFootnote0Char"/>
                <w:rtl/>
              </w:rPr>
            </w:pPr>
            <w:r w:rsidRPr="0042621E">
              <w:rPr>
                <w:rStyle w:val="libFootnote0Char"/>
                <w:rtl/>
              </w:rPr>
              <w:t>(1).</w:t>
            </w:r>
            <w:r>
              <w:rPr>
                <w:rtl/>
              </w:rPr>
              <w:t xml:space="preserve"> </w:t>
            </w:r>
            <w:r w:rsidRPr="005D642E">
              <w:rPr>
                <w:rtl/>
              </w:rPr>
              <w:t>في الوافي : « أصحابه</w:t>
            </w:r>
            <w:r>
              <w:rPr>
                <w:rtl/>
              </w:rPr>
              <w:t xml:space="preserve"> ».</w:t>
            </w:r>
          </w:p>
        </w:tc>
        <w:tc>
          <w:tcPr>
            <w:tcW w:w="4006" w:type="dxa"/>
          </w:tcPr>
          <w:p w:rsidR="00005859" w:rsidRDefault="00005859" w:rsidP="00E3253D">
            <w:pPr>
              <w:pStyle w:val="libFootnote0"/>
              <w:rPr>
                <w:rStyle w:val="libFootnote0Char"/>
                <w:rtl/>
              </w:rPr>
            </w:pPr>
            <w:r w:rsidRPr="0042621E">
              <w:rPr>
                <w:rStyle w:val="libFootnote0Char"/>
                <w:rtl/>
              </w:rPr>
              <w:t>(2).</w:t>
            </w:r>
            <w:r w:rsidRPr="005D642E">
              <w:rPr>
                <w:rtl/>
              </w:rPr>
              <w:t xml:space="preserve"> في « بخ » : « كما نكفّن</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قوبلت والوسائل. وفي المطبوع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أنّها تشدّ</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93EE9" w:rsidTr="00193EE9">
        <w:tc>
          <w:tcPr>
            <w:tcW w:w="4006" w:type="dxa"/>
          </w:tcPr>
          <w:p w:rsidR="00193EE9" w:rsidRDefault="00193EE9" w:rsidP="00E3253D">
            <w:pPr>
              <w:pStyle w:val="libFootnote0"/>
              <w:rPr>
                <w:rStyle w:val="libFootnote0Char"/>
                <w:rtl/>
              </w:rPr>
            </w:pPr>
            <w:r w:rsidRPr="0042621E">
              <w:rPr>
                <w:rStyle w:val="libFootnote0Char"/>
                <w:rtl/>
              </w:rPr>
              <w:t>(4).</w:t>
            </w:r>
            <w:r w:rsidRPr="005D642E">
              <w:rPr>
                <w:rtl/>
              </w:rPr>
              <w:t xml:space="preserve"> في حاشية « بح » : « ثديها</w:t>
            </w:r>
            <w:r>
              <w:rPr>
                <w:rtl/>
              </w:rPr>
              <w:t xml:space="preserve"> ».</w:t>
            </w:r>
          </w:p>
        </w:tc>
        <w:tc>
          <w:tcPr>
            <w:tcW w:w="4006" w:type="dxa"/>
          </w:tcPr>
          <w:p w:rsidR="00193EE9" w:rsidRDefault="00193EE9" w:rsidP="00E3253D">
            <w:pPr>
              <w:pStyle w:val="libFootnote0"/>
              <w:rPr>
                <w:rStyle w:val="libFootnote0Char"/>
                <w:rtl/>
              </w:rPr>
            </w:pPr>
            <w:r w:rsidRPr="0042621E">
              <w:rPr>
                <w:rStyle w:val="libFootnote0Char"/>
                <w:rtl/>
              </w:rPr>
              <w:t>(5).</w:t>
            </w:r>
            <w:r w:rsidRPr="005D642E">
              <w:rPr>
                <w:rtl/>
              </w:rPr>
              <w:t xml:space="preserve"> في التهذيب : « الثديين</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 « إلى</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وحاشية « بح ، بف » </w:t>
      </w:r>
      <w:r w:rsidR="000D749A" w:rsidRPr="000D749A">
        <w:rPr>
          <w:rStyle w:val="libFootnoteBoldChar"/>
          <w:rtl/>
        </w:rPr>
        <w:t>والوافي</w:t>
      </w:r>
      <w:r w:rsidR="00E3253D" w:rsidRPr="005D642E">
        <w:rPr>
          <w:rtl/>
        </w:rPr>
        <w:t xml:space="preserve"> : « يوضع</w:t>
      </w:r>
      <w:r w:rsidR="00E3253D">
        <w:rPr>
          <w:rtl/>
        </w:rPr>
        <w:t xml:space="preserve"> ».</w:t>
      </w:r>
      <w:r w:rsidR="00E3253D" w:rsidRPr="005D642E">
        <w:rPr>
          <w:rtl/>
        </w:rPr>
        <w:t xml:space="preserve"> وفي حاشية « غ » : « نضع</w:t>
      </w:r>
      <w:r w:rsidR="00E3253D">
        <w:rPr>
          <w:rtl/>
        </w:rPr>
        <w:t xml:space="preserve"> ».</w:t>
      </w:r>
      <w:r w:rsidR="00E3253D" w:rsidRPr="005D642E">
        <w:rPr>
          <w:rtl/>
        </w:rPr>
        <w:t xml:space="preserve"> وفي حاشية « بخ » : « توضع</w:t>
      </w:r>
      <w:r w:rsidR="00E3253D">
        <w:rPr>
          <w:rtl/>
        </w:rPr>
        <w:t xml:space="preserve"> ».</w:t>
      </w:r>
      <w:r w:rsidR="00E3253D" w:rsidRPr="005D642E">
        <w:rPr>
          <w:rtl/>
        </w:rPr>
        <w:t xml:space="preserve"> وفي التهذيب : « تضع</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غ ، بث » : « فيها</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 « يضع</w:t>
      </w:r>
      <w:r w:rsidR="00E3253D">
        <w:rPr>
          <w:rtl/>
        </w:rPr>
        <w:t xml:space="preserve"> ».</w:t>
      </w:r>
      <w:r w:rsidR="00E3253D" w:rsidRPr="005D642E">
        <w:rPr>
          <w:rtl/>
        </w:rPr>
        <w:t xml:space="preserve"> وفي « بخ ، بف » وحاشية « غ ، بث » </w:t>
      </w:r>
      <w:r w:rsidR="000D749A" w:rsidRPr="000D749A">
        <w:rPr>
          <w:rStyle w:val="libFootnoteBoldChar"/>
          <w:rtl/>
        </w:rPr>
        <w:t>والوافي</w:t>
      </w:r>
      <w:r w:rsidR="00E3253D" w:rsidRPr="005D642E">
        <w:rPr>
          <w:rtl/>
        </w:rPr>
        <w:t xml:space="preserve"> : « يوضع</w:t>
      </w:r>
      <w:r w:rsidR="00E3253D">
        <w:rPr>
          <w:rtl/>
        </w:rPr>
        <w:t xml:space="preserve"> ».</w:t>
      </w:r>
      <w:r w:rsidR="00E3253D" w:rsidRPr="005D642E">
        <w:rPr>
          <w:rtl/>
        </w:rPr>
        <w:t xml:space="preserve"> وفي حاشية « بخ » : « توضع</w:t>
      </w:r>
      <w:r w:rsidR="00E3253D">
        <w:rPr>
          <w:rtl/>
        </w:rPr>
        <w:t xml:space="preserve"> ».</w:t>
      </w:r>
      <w:r w:rsidR="00E3253D" w:rsidRPr="005D642E">
        <w:rPr>
          <w:rtl/>
        </w:rPr>
        <w:t xml:space="preserve"> وفي التهذيب : « تضع</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193EE9">
        <w:rPr>
          <w:rStyle w:val="libFootnoteAlaemChar"/>
          <w:rtl/>
        </w:rPr>
        <w:t>عليه‌السلام</w:t>
      </w:r>
      <w:r w:rsidR="00E3253D" w:rsidRPr="005D642E">
        <w:rPr>
          <w:rtl/>
        </w:rPr>
        <w:t xml:space="preserve"> : والحنوط ، أي يذرّ على القطن الكافور والذريرة ، كما ورد في غيره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غ ، ى ، بث ، بح ، بخ ، بس ، جح ، جن » </w:t>
      </w:r>
      <w:r w:rsidR="000D749A" w:rsidRPr="000D749A">
        <w:rPr>
          <w:rStyle w:val="libFootnoteBoldChar"/>
          <w:rtl/>
        </w:rPr>
        <w:t>والوافي</w:t>
      </w:r>
      <w:r w:rsidR="00E3253D" w:rsidRPr="005D642E">
        <w:rPr>
          <w:rtl/>
        </w:rPr>
        <w:t xml:space="preserve"> : « ثمّ يشدّ</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324 ، ح 944 ، بسنده عن الكليني </w:t>
      </w:r>
      <w:r w:rsidR="00903401">
        <w:rPr>
          <w:rFonts w:hint="cs"/>
          <w:rtl/>
        </w:rPr>
        <w:t>.</w:t>
      </w:r>
      <w:r w:rsidR="00E3253D" w:rsidRPr="002F4D34">
        <w:rPr>
          <w:rStyle w:val="libFootnoteBoldChar"/>
          <w:rtl/>
        </w:rPr>
        <w:t>الوافي</w:t>
      </w:r>
      <w:r w:rsidR="00E3253D" w:rsidRPr="005D642E">
        <w:rPr>
          <w:rtl/>
        </w:rPr>
        <w:t xml:space="preserve"> ، ج 24 ، ص 366 ، ح 24223 ؛ </w:t>
      </w:r>
      <w:r w:rsidR="00E3253D" w:rsidRPr="002F4D34">
        <w:rPr>
          <w:rStyle w:val="libFootnoteBoldChar"/>
          <w:rtl/>
        </w:rPr>
        <w:t>الوسائل</w:t>
      </w:r>
      <w:r w:rsidR="00E3253D" w:rsidRPr="005D642E">
        <w:rPr>
          <w:rtl/>
        </w:rPr>
        <w:t xml:space="preserve"> ، ج 3 ، ص 11 ، ح 2882.</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قاسم</w:t>
      </w:r>
      <w:r w:rsidR="00E3253D">
        <w:rPr>
          <w:rtl/>
        </w:rPr>
        <w:t xml:space="preserve"> ».</w:t>
      </w:r>
    </w:p>
    <w:p w:rsidR="00903401" w:rsidRDefault="0042621E" w:rsidP="00903401">
      <w:pPr>
        <w:pStyle w:val="libFootnote0"/>
        <w:rPr>
          <w:rtl/>
        </w:rPr>
      </w:pPr>
      <w:r w:rsidRPr="0042621E">
        <w:rPr>
          <w:rStyle w:val="libFootnote0Char"/>
          <w:rtl/>
        </w:rPr>
        <w:t>(14).</w:t>
      </w:r>
      <w:r w:rsidR="00E3253D" w:rsidRPr="005D642E">
        <w:rPr>
          <w:rtl/>
        </w:rPr>
        <w:t xml:space="preserve"> هكذا في « ظ ، ى ، بح ، جح » والوسائل </w:t>
      </w:r>
      <w:r w:rsidR="00B60612" w:rsidRPr="00B60612">
        <w:rPr>
          <w:rStyle w:val="libFootnoteBoldChar"/>
          <w:rtl/>
        </w:rPr>
        <w:t>والتهذيب</w:t>
      </w:r>
      <w:r w:rsidR="00E3253D" w:rsidRPr="005D642E">
        <w:rPr>
          <w:rtl/>
        </w:rPr>
        <w:t xml:space="preserve">. وفي « غ ، بث ، بخ ، بس ، بف ، جس ، جن » والمطبوع </w:t>
      </w:r>
      <w:r w:rsidR="000D749A" w:rsidRPr="000D749A">
        <w:rPr>
          <w:rStyle w:val="libFootnoteBoldChar"/>
          <w:rtl/>
        </w:rPr>
        <w:t>والوافي</w:t>
      </w:r>
      <w:r w:rsidR="00E3253D" w:rsidRPr="005D642E">
        <w:rPr>
          <w:rtl/>
        </w:rPr>
        <w:t xml:space="preserve"> : « يزيد</w:t>
      </w:r>
      <w:r w:rsidR="00E3253D">
        <w:rPr>
          <w:rtl/>
        </w:rPr>
        <w:t xml:space="preserve"> ».</w:t>
      </w:r>
    </w:p>
    <w:p w:rsidR="00E3253D" w:rsidRPr="005D642E" w:rsidRDefault="00E3253D" w:rsidP="00903401">
      <w:pPr>
        <w:pStyle w:val="libFootnote0"/>
        <w:rPr>
          <w:rtl/>
          <w:lang w:bidi="fa-IR"/>
        </w:rPr>
      </w:pPr>
      <w:r w:rsidRPr="005D642E">
        <w:rPr>
          <w:rtl/>
        </w:rPr>
        <w:t xml:space="preserve">والصواب ما أثبتناه. والمراد من القاسم هذا ، هو القاسم بن بُرَيد بن معاوية العجلي ؛ فقد روى فضالة بن أيّوب كتاب القاسم بن بُرَيد ، كما في </w:t>
      </w:r>
      <w:r w:rsidRPr="002F4D34">
        <w:rPr>
          <w:rStyle w:val="libFootnoteBoldChar"/>
          <w:rtl/>
        </w:rPr>
        <w:t>رجال النجاشي</w:t>
      </w:r>
      <w:r w:rsidRPr="005D642E">
        <w:rPr>
          <w:rtl/>
        </w:rPr>
        <w:t xml:space="preserve"> ، ص 313 ، الرقم 857 ، ووردت رواية فضالة بن أيّوب ، عن </w:t>
      </w:r>
      <w:r w:rsidR="0090340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9206E1">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يُكَفَّنُ الرَّجُلُ فِي ثَلَاثَةِ أَثْوَابٍ ، وَالْمَرْأَةُ إِذَا كَانَتْ عَظِيمَةً </w:t>
      </w:r>
      <w:r w:rsidRPr="007C12DB">
        <w:rPr>
          <w:rStyle w:val="libFootnotenumChar"/>
          <w:rtl/>
        </w:rPr>
        <w:t>(1)</w:t>
      </w:r>
      <w:r w:rsidRPr="005D642E">
        <w:rPr>
          <w:rtl/>
          <w:lang w:bidi="fa-IR"/>
        </w:rPr>
        <w:t xml:space="preserve"> فِي خَمْسَةٍ : دِرْعٍ </w:t>
      </w:r>
      <w:r w:rsidRPr="007C12DB">
        <w:rPr>
          <w:rStyle w:val="libFootnotenumChar"/>
          <w:rtl/>
        </w:rPr>
        <w:t>(2)</w:t>
      </w:r>
      <w:r w:rsidRPr="005D642E">
        <w:rPr>
          <w:rtl/>
          <w:lang w:bidi="fa-IR"/>
        </w:rPr>
        <w:t xml:space="preserve"> ، وَمِنْطَقٍ </w:t>
      </w:r>
      <w:r w:rsidRPr="007C12DB">
        <w:rPr>
          <w:rStyle w:val="libFootnotenumChar"/>
          <w:rtl/>
        </w:rPr>
        <w:t>(3)</w:t>
      </w:r>
      <w:r w:rsidRPr="005D642E">
        <w:rPr>
          <w:rtl/>
          <w:lang w:bidi="fa-IR"/>
        </w:rPr>
        <w:t xml:space="preserve"> ، وَخِمَارٍ </w:t>
      </w:r>
      <w:r w:rsidRPr="007C12DB">
        <w:rPr>
          <w:rStyle w:val="libFootnotenumChar"/>
          <w:rtl/>
        </w:rPr>
        <w:t>(4)</w:t>
      </w:r>
      <w:r w:rsidRPr="005D642E">
        <w:rPr>
          <w:rtl/>
          <w:lang w:bidi="fa-IR"/>
        </w:rPr>
        <w:t xml:space="preserve"> ، وَلِفَافَتَيْنِ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317" w:name="_Toc344647316"/>
      <w:bookmarkStart w:id="318" w:name="_Toc462226830"/>
      <w:bookmarkStart w:id="319" w:name="_Toc40975939"/>
      <w:r w:rsidRPr="005D642E">
        <w:rPr>
          <w:rtl/>
          <w:lang w:bidi="fa-IR"/>
        </w:rPr>
        <w:t>21</w:t>
      </w:r>
      <w:r>
        <w:rPr>
          <w:rtl/>
          <w:lang w:bidi="fa-IR"/>
        </w:rPr>
        <w:t xml:space="preserve"> </w:t>
      </w:r>
      <w:r w:rsidR="007642BC">
        <w:rPr>
          <w:rtl/>
          <w:lang w:bidi="fa-IR"/>
        </w:rPr>
        <w:t>-</w:t>
      </w:r>
      <w:r>
        <w:rPr>
          <w:rtl/>
          <w:lang w:bidi="fa-IR"/>
        </w:rPr>
        <w:t xml:space="preserve"> </w:t>
      </w:r>
      <w:r w:rsidRPr="005D642E">
        <w:rPr>
          <w:rtl/>
          <w:lang w:bidi="fa-IR"/>
        </w:rPr>
        <w:t xml:space="preserve">بَابُ كَرَاهِيَةِ تَجْمِيرِ الْكَفَنِ </w:t>
      </w:r>
      <w:r w:rsidRPr="007C12DB">
        <w:rPr>
          <w:rStyle w:val="libFootnotenumChar"/>
          <w:rtl/>
        </w:rPr>
        <w:t>(7)</w:t>
      </w:r>
      <w:r>
        <w:rPr>
          <w:rtl/>
        </w:rPr>
        <w:t xml:space="preserve"> </w:t>
      </w:r>
      <w:r w:rsidRPr="005D642E">
        <w:rPr>
          <w:rtl/>
          <w:lang w:bidi="fa-IR"/>
        </w:rPr>
        <w:t>وَتَسْخِينِ الْمَاءِ‌</w:t>
      </w:r>
      <w:bookmarkEnd w:id="317"/>
      <w:bookmarkEnd w:id="318"/>
      <w:bookmarkEnd w:id="319"/>
    </w:p>
    <w:p w:rsidR="00E3253D" w:rsidRPr="005D642E" w:rsidRDefault="00E3253D" w:rsidP="00E3253D">
      <w:pPr>
        <w:pStyle w:val="libNormal"/>
        <w:rPr>
          <w:rtl/>
          <w:lang w:bidi="fa-IR"/>
        </w:rPr>
      </w:pPr>
      <w:r w:rsidRPr="00EC2AC4">
        <w:rPr>
          <w:rtl/>
        </w:rPr>
        <w:t>4357</w:t>
      </w:r>
      <w:r w:rsidRPr="00246318">
        <w:rPr>
          <w:rStyle w:val="libBold2Char"/>
          <w:rtl/>
        </w:rPr>
        <w:t xml:space="preserve"> / 1.</w:t>
      </w:r>
      <w:r w:rsidRPr="005D642E">
        <w:rPr>
          <w:rtl/>
          <w:lang w:bidi="fa-IR"/>
        </w:rPr>
        <w:t xml:space="preserve"> عَلِيُّ بْنُ إِبْرَاهِيمَ ، عَنْ أَبِيهِ ، عَنِ ابْنِ أَبِي عُمَيْرٍ ، عَنْ بَعْضِ أَصْحَابِهِ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9206E1" w:rsidP="00E3253D">
      <w:pPr>
        <w:pStyle w:val="libFootnote0"/>
        <w:rPr>
          <w:rtl/>
          <w:lang w:bidi="fa-IR"/>
        </w:rPr>
      </w:pPr>
      <w:r>
        <w:rPr>
          <w:rFonts w:hint="cs"/>
          <w:rtl/>
        </w:rPr>
        <w:t xml:space="preserve">= </w:t>
      </w:r>
      <w:r w:rsidR="00E3253D" w:rsidRPr="005D642E">
        <w:rPr>
          <w:rtl/>
        </w:rPr>
        <w:t xml:space="preserve">القاسم بن بُرَيد العجلي ، عن محمّد بن مسلم في </w:t>
      </w:r>
      <w:r w:rsidR="00E3253D" w:rsidRPr="002F4D34">
        <w:rPr>
          <w:rStyle w:val="libFootnoteBoldChar"/>
          <w:rtl/>
        </w:rPr>
        <w:t>الزهد</w:t>
      </w:r>
      <w:r w:rsidR="00E3253D" w:rsidRPr="005D642E">
        <w:rPr>
          <w:rtl/>
        </w:rPr>
        <w:t xml:space="preserve"> ، ص 70 ، ح 186 ، وتوسّط القاسم بن بُرَيد بين فضالة [ بن أيّوب ] ومحمّد بن مسلم في بعض الأسناد. راجع : </w:t>
      </w:r>
      <w:r w:rsidR="00E3253D" w:rsidRPr="002F4D34">
        <w:rPr>
          <w:rStyle w:val="libFootnoteBoldChar"/>
          <w:rtl/>
        </w:rPr>
        <w:t>معجم رجال الحديث</w:t>
      </w:r>
      <w:r w:rsidR="00E3253D" w:rsidRPr="005D642E">
        <w:rPr>
          <w:rtl/>
        </w:rPr>
        <w:t xml:space="preserve"> ، ج 14 ، ص 347</w:t>
      </w:r>
      <w:r w:rsidR="00E3253D">
        <w:rPr>
          <w:rtl/>
        </w:rPr>
        <w:t xml:space="preserve"> </w:t>
      </w:r>
      <w:r w:rsidR="007642BC">
        <w:rPr>
          <w:rtl/>
        </w:rPr>
        <w:t>-</w:t>
      </w:r>
      <w:r w:rsidR="00E3253D">
        <w:rPr>
          <w:rtl/>
        </w:rPr>
        <w:t xml:space="preserve"> </w:t>
      </w:r>
      <w:r w:rsidR="00E3253D" w:rsidRPr="005D642E">
        <w:rPr>
          <w:rtl/>
        </w:rPr>
        <w:t>348.</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قال الشيخ البهائي : « عظيمة ، أي ذات شأن</w:t>
      </w:r>
      <w:r w:rsidR="00E3253D">
        <w:rPr>
          <w:rtl/>
        </w:rPr>
        <w:t xml:space="preserve"> ».</w:t>
      </w:r>
      <w:r w:rsidR="0066125A">
        <w:rPr>
          <w:rtl/>
        </w:rPr>
        <w:t xml:space="preserve"> وقال العل</w:t>
      </w:r>
      <w:r w:rsidR="0066125A">
        <w:rPr>
          <w:rFonts w:hint="cs"/>
          <w:rtl/>
        </w:rPr>
        <w:t>ّ</w:t>
      </w:r>
      <w:r w:rsidR="0066125A">
        <w:rPr>
          <w:rtl/>
        </w:rPr>
        <w:t>ا</w:t>
      </w:r>
      <w:r w:rsidR="00E3253D" w:rsidRPr="005D642E">
        <w:rPr>
          <w:rtl/>
        </w:rPr>
        <w:t>مة المجلسي : « ويحتمل ذات مال أو ذات بدن جسيم</w:t>
      </w:r>
      <w:r w:rsidR="00E3253D">
        <w:rPr>
          <w:rtl/>
        </w:rPr>
        <w:t xml:space="preserve"> ».</w:t>
      </w:r>
      <w:r w:rsidR="00E3253D" w:rsidRPr="005D642E">
        <w:rPr>
          <w:rtl/>
        </w:rPr>
        <w:t xml:space="preserve"> راجع : </w:t>
      </w:r>
      <w:r w:rsidR="00E3253D" w:rsidRPr="002F4D34">
        <w:rPr>
          <w:rStyle w:val="libFootnoteBoldChar"/>
          <w:rtl/>
        </w:rPr>
        <w:t>مشرق الشمسين</w:t>
      </w:r>
      <w:r w:rsidR="00E3253D" w:rsidRPr="005D642E">
        <w:rPr>
          <w:rtl/>
        </w:rPr>
        <w:t xml:space="preserve"> ، ص 302 ؛ </w:t>
      </w:r>
      <w:r w:rsidR="00E3253D" w:rsidRPr="002F4D34">
        <w:rPr>
          <w:rStyle w:val="libFootnoteBoldChar"/>
          <w:rtl/>
        </w:rPr>
        <w:t>مرآة العقول</w:t>
      </w:r>
      <w:r w:rsidR="00E3253D" w:rsidRPr="005D642E">
        <w:rPr>
          <w:rtl/>
        </w:rPr>
        <w:t xml:space="preserve"> ، ج 13 ، ص 316.</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قال ابن الأثير : « درع المرأة : قميصها</w:t>
      </w:r>
      <w:r w:rsidR="00E3253D">
        <w:rPr>
          <w:rtl/>
        </w:rPr>
        <w:t xml:space="preserve"> ».</w:t>
      </w:r>
      <w:r w:rsidR="00E3253D" w:rsidRPr="005D642E">
        <w:rPr>
          <w:rtl/>
        </w:rPr>
        <w:t xml:space="preserve"> وقال الشيخ البهائي : « المراد بالدرع القميص</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2 ، ص 114 ( درع ) ؛ </w:t>
      </w:r>
      <w:r w:rsidR="00E3253D" w:rsidRPr="002F4D34">
        <w:rPr>
          <w:rStyle w:val="libFootnoteBoldChar"/>
          <w:rtl/>
        </w:rPr>
        <w:t>الحبل المتين</w:t>
      </w:r>
      <w:r w:rsidR="00E3253D" w:rsidRPr="005D642E">
        <w:rPr>
          <w:rtl/>
        </w:rPr>
        <w:t xml:space="preserve"> ، ص 226 ؛ </w:t>
      </w:r>
      <w:r w:rsidR="00E3253D" w:rsidRPr="002F4D34">
        <w:rPr>
          <w:rStyle w:val="libFootnoteBoldChar"/>
          <w:rtl/>
        </w:rPr>
        <w:t>مشرق الشمسين</w:t>
      </w:r>
      <w:r w:rsidR="00E3253D" w:rsidRPr="005D642E">
        <w:rPr>
          <w:rtl/>
        </w:rPr>
        <w:t xml:space="preserve"> ، ص 302.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بث » </w:t>
      </w:r>
      <w:r w:rsidR="00B60612" w:rsidRPr="00B60612">
        <w:rPr>
          <w:rStyle w:val="libFootnoteBoldChar"/>
          <w:rtl/>
        </w:rPr>
        <w:t>والتهذيب</w:t>
      </w:r>
      <w:r w:rsidR="00E3253D" w:rsidRPr="005D642E">
        <w:rPr>
          <w:rtl/>
        </w:rPr>
        <w:t xml:space="preserve"> : « منطقة</w:t>
      </w:r>
      <w:r w:rsidR="00E3253D">
        <w:rPr>
          <w:rtl/>
        </w:rPr>
        <w:t xml:space="preserve"> ».</w:t>
      </w:r>
      <w:r w:rsidR="00E3253D" w:rsidRPr="005D642E">
        <w:rPr>
          <w:rtl/>
        </w:rPr>
        <w:t xml:space="preserve"> وقال ابن الأثير : « المنطق : هو أن تلبس المرأة ثوبها ، ثمّ تشدّ وسطها بشي‌ء وترفع وسط ثوبها وترسله على ا</w:t>
      </w:r>
      <w:r w:rsidR="00CE3D7F">
        <w:rPr>
          <w:rtl/>
        </w:rPr>
        <w:t>لأسفل عند معاناة الأشغال ؛ لئل</w:t>
      </w:r>
      <w:r w:rsidR="00CE3D7F">
        <w:rPr>
          <w:rFonts w:hint="cs"/>
          <w:rtl/>
        </w:rPr>
        <w:t>ّ</w:t>
      </w:r>
      <w:r w:rsidR="00CE3D7F">
        <w:rPr>
          <w:rtl/>
        </w:rPr>
        <w:t>ا</w:t>
      </w:r>
      <w:r w:rsidR="00E3253D" w:rsidRPr="005D642E">
        <w:rPr>
          <w:rtl/>
        </w:rPr>
        <w:t xml:space="preserve"> تعثر في ذيلها</w:t>
      </w:r>
      <w:r w:rsidR="00E3253D">
        <w:rPr>
          <w:rtl/>
        </w:rPr>
        <w:t xml:space="preserve"> ».</w:t>
      </w:r>
      <w:r w:rsidR="00E3253D" w:rsidRPr="005D642E">
        <w:rPr>
          <w:rtl/>
        </w:rPr>
        <w:t xml:space="preserve"> وقال صاحب </w:t>
      </w:r>
      <w:r w:rsidR="00E3253D" w:rsidRPr="002F4D34">
        <w:rPr>
          <w:rStyle w:val="libFootnoteBoldChar"/>
          <w:rtl/>
        </w:rPr>
        <w:t>القاموس</w:t>
      </w:r>
      <w:r w:rsidR="00E3253D" w:rsidRPr="005D642E">
        <w:rPr>
          <w:rtl/>
        </w:rPr>
        <w:t xml:space="preserve"> : « المنطق كمنبر : شُقّة تلبسها المرأة وتشدّ وسطها ، فترسل الأعلى على الأسفل إلى الأرض والأسفل ينجرّ على الأرض ليس لها حُجْزَة ولا نَيفق ولا ساقان</w:t>
      </w:r>
      <w:r w:rsidR="00E3253D">
        <w:rPr>
          <w:rtl/>
        </w:rPr>
        <w:t xml:space="preserve"> ».</w:t>
      </w:r>
      <w:r w:rsidR="00E3253D" w:rsidRPr="005D642E">
        <w:rPr>
          <w:rtl/>
        </w:rPr>
        <w:t xml:space="preserve"> والشيخ البهائي بعد ما نقل مقالة صاحب </w:t>
      </w:r>
      <w:r w:rsidR="00E3253D" w:rsidRPr="002F4D34">
        <w:rPr>
          <w:rStyle w:val="libFootnoteBoldChar"/>
          <w:rtl/>
        </w:rPr>
        <w:t>القاموس</w:t>
      </w:r>
      <w:r w:rsidR="00E3253D" w:rsidRPr="005D642E">
        <w:rPr>
          <w:rtl/>
        </w:rPr>
        <w:t xml:space="preserve"> ، قال : « ولعلّ المراد به هنا المئزر ، كما قال شيخنا في </w:t>
      </w:r>
      <w:r w:rsidR="00E3253D" w:rsidRPr="002F4D34">
        <w:rPr>
          <w:rStyle w:val="libFootnoteBoldChar"/>
          <w:rtl/>
        </w:rPr>
        <w:t>الذكرى</w:t>
      </w:r>
      <w:r w:rsidR="00E3253D" w:rsidRPr="005D642E">
        <w:rPr>
          <w:rtl/>
        </w:rPr>
        <w:t>. وقال بعض الأصحاب : لعلّ المراد ما يشدّ بها الثديان ، وهو كماترى ؛ لأنّ كلام أهل اللغة يخالفه ، وأيضاً فالتسمية بالمنطق يدلّ علي أنّه يشدّ في الوسط ؛ لأنّه مأخوذ من المنطقة ، وأيضاً فالمئزر في هذا الحديث غير مذكور ، فينبغي حمل المنطق عليه</w:t>
      </w:r>
      <w:r w:rsidR="00E3253D">
        <w:rPr>
          <w:rtl/>
        </w:rPr>
        <w:t xml:space="preserve"> ».</w:t>
      </w:r>
      <w:r w:rsidR="00E3253D" w:rsidRPr="005D642E">
        <w:rPr>
          <w:rtl/>
        </w:rPr>
        <w:t xml:space="preserve"> والعلاّمة المجلسي بعد نقل كلام الشيخ البهائي ، قال : « وأقول : الظاهر المراد به الخرقة التي تلفّ على الفخذين ؛ فإنّها تشدّ على الوسط ، ولا يدلّ الأخبار على المئزر كما لا يخفى على المتدرّب فيها</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5 ، ص 75 ؛ </w:t>
      </w:r>
      <w:r w:rsidR="00E3253D" w:rsidRPr="002F4D34">
        <w:rPr>
          <w:rStyle w:val="libFootnoteBoldChar"/>
          <w:rtl/>
        </w:rPr>
        <w:t>القاموس المحيط</w:t>
      </w:r>
      <w:r w:rsidR="00E3253D" w:rsidRPr="005D642E">
        <w:rPr>
          <w:rtl/>
        </w:rPr>
        <w:t xml:space="preserve"> ، ج 2 ، ص 1226 ( نطق ) ؛ </w:t>
      </w:r>
      <w:r w:rsidR="00E3253D" w:rsidRPr="002F4D34">
        <w:rPr>
          <w:rStyle w:val="libFootnoteBoldChar"/>
          <w:rtl/>
        </w:rPr>
        <w:t>ذكرى الشيعة</w:t>
      </w:r>
      <w:r w:rsidR="00E3253D" w:rsidRPr="005D642E">
        <w:rPr>
          <w:rtl/>
        </w:rPr>
        <w:t xml:space="preserve"> ، ج 1 ، ص 363 ؛ </w:t>
      </w:r>
      <w:r w:rsidR="00E3253D" w:rsidRPr="002F4D34">
        <w:rPr>
          <w:rStyle w:val="libFootnoteBoldChar"/>
          <w:rtl/>
        </w:rPr>
        <w:t>الحبل المتين</w:t>
      </w:r>
      <w:r w:rsidR="00E3253D" w:rsidRPr="005D642E">
        <w:rPr>
          <w:rtl/>
        </w:rPr>
        <w:t xml:space="preserve"> ، ص 226 ؛ </w:t>
      </w:r>
      <w:r w:rsidR="00E3253D" w:rsidRPr="002F4D34">
        <w:rPr>
          <w:rStyle w:val="libFootnoteBoldChar"/>
          <w:rtl/>
        </w:rPr>
        <w:t>مشرق الشمسين</w:t>
      </w:r>
      <w:r w:rsidR="00E3253D" w:rsidRPr="005D642E">
        <w:rPr>
          <w:rtl/>
        </w:rPr>
        <w:t xml:space="preserve"> ، ص 307 ؛ </w:t>
      </w:r>
      <w:r w:rsidR="00E3253D" w:rsidRPr="002F4D34">
        <w:rPr>
          <w:rStyle w:val="libFootnoteBoldChar"/>
          <w:rtl/>
        </w:rPr>
        <w:t>مرآة العقول</w:t>
      </w:r>
      <w:r w:rsidR="00E3253D" w:rsidRPr="005D642E">
        <w:rPr>
          <w:rtl/>
        </w:rPr>
        <w:t xml:space="preserve"> ، ج 13 ، ص 316.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 « خمار ومنطق</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اللِفافة » بالكسر : ما يُلَفّ على الرِجل وغيرها ، والجمع : لفائف. راجع : </w:t>
      </w:r>
      <w:r w:rsidR="00E3253D" w:rsidRPr="002F4D34">
        <w:rPr>
          <w:rStyle w:val="libFootnoteBoldChar"/>
          <w:rtl/>
        </w:rPr>
        <w:t>المصباح المنير</w:t>
      </w:r>
      <w:r w:rsidR="00E3253D" w:rsidRPr="005D642E">
        <w:rPr>
          <w:rtl/>
        </w:rPr>
        <w:t xml:space="preserve"> ، ص 556 ( لفف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324 ، ح 945 ، بسنده عن الكليني </w:t>
      </w:r>
      <w:r w:rsidR="00E3253D" w:rsidRPr="002F4D34">
        <w:rPr>
          <w:rStyle w:val="libFootnoteBoldChar"/>
          <w:rtl/>
        </w:rPr>
        <w:t>الوافي</w:t>
      </w:r>
      <w:r w:rsidR="00E3253D" w:rsidRPr="005D642E">
        <w:rPr>
          <w:rtl/>
        </w:rPr>
        <w:t xml:space="preserve"> ، ج 24 ، ص 359 ، ح 24205 ؛ </w:t>
      </w:r>
      <w:r w:rsidR="00E3253D" w:rsidRPr="002F4D34">
        <w:rPr>
          <w:rStyle w:val="libFootnoteBoldChar"/>
          <w:rtl/>
        </w:rPr>
        <w:t>الوسائل</w:t>
      </w:r>
      <w:r w:rsidR="00E3253D" w:rsidRPr="005D642E">
        <w:rPr>
          <w:rtl/>
        </w:rPr>
        <w:t xml:space="preserve"> ، ج 3 ، ص 8 ، ح 2875.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تجمير الكفن وإجماره : تبخيره‌بالطيب ، والتجمير أكثر. راجع : </w:t>
      </w:r>
      <w:r w:rsidR="00E3253D" w:rsidRPr="002F4D34">
        <w:rPr>
          <w:rStyle w:val="libFootnoteBoldChar"/>
          <w:rtl/>
        </w:rPr>
        <w:t>النهاية</w:t>
      </w:r>
      <w:r w:rsidR="00E3253D" w:rsidRPr="005D642E">
        <w:rPr>
          <w:rtl/>
        </w:rPr>
        <w:t xml:space="preserve"> ، ج 1 ، ص 293 ؛ </w:t>
      </w:r>
      <w:r w:rsidR="00E3253D" w:rsidRPr="002F4D34">
        <w:rPr>
          <w:rStyle w:val="libFootnoteBoldChar"/>
          <w:rtl/>
        </w:rPr>
        <w:t>المغرب</w:t>
      </w:r>
      <w:r w:rsidR="00E3253D" w:rsidRPr="005D642E">
        <w:rPr>
          <w:rtl/>
        </w:rPr>
        <w:t xml:space="preserve"> ، ص 88 ( جمر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جس » : « أصحابنا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يُجَمَّرُ </w:t>
      </w:r>
      <w:r w:rsidRPr="007C12DB">
        <w:rPr>
          <w:rStyle w:val="libFootnotenumChar"/>
          <w:rtl/>
        </w:rPr>
        <w:t>(1)</w:t>
      </w:r>
      <w:r w:rsidRPr="005D642E">
        <w:rPr>
          <w:rtl/>
          <w:lang w:bidi="fa-IR"/>
        </w:rPr>
        <w:t xml:space="preserve"> الْكَفَنُ</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149F2">
        <w:rPr>
          <w:rtl/>
        </w:rPr>
        <w:t>4358</w:t>
      </w:r>
      <w:r w:rsidRPr="00246318">
        <w:rPr>
          <w:rStyle w:val="libBold2Char"/>
          <w:rtl/>
        </w:rPr>
        <w:t xml:space="preserve"> / 2.</w:t>
      </w:r>
      <w:r w:rsidRPr="005D642E">
        <w:rPr>
          <w:rtl/>
          <w:lang w:bidi="fa-IR"/>
        </w:rPr>
        <w:t xml:space="preserve"> عِدَّةٌ مِنْ أَصْحَابِنَا ، عَنْ سَهْلِ بْنِ زِيَادٍ ، عَنْ يَعْقُوبَ بْنِ يَزِيدَ ، عَنْ عِدَّةٍ مِنْ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يُسَخَّنُ </w:t>
      </w:r>
      <w:r w:rsidRPr="007C12DB">
        <w:rPr>
          <w:rStyle w:val="libFootnotenumChar"/>
          <w:rtl/>
        </w:rPr>
        <w:t>(3)</w:t>
      </w:r>
      <w:r w:rsidRPr="005D642E">
        <w:rPr>
          <w:rtl/>
          <w:lang w:bidi="fa-IR"/>
        </w:rPr>
        <w:t xml:space="preserve"> الْمَاءُ لِلْمَيِّتِ </w:t>
      </w:r>
      <w:r w:rsidRPr="007C12DB">
        <w:rPr>
          <w:rStyle w:val="libFootnotenumChar"/>
          <w:rtl/>
        </w:rPr>
        <w:t>(4)</w:t>
      </w:r>
      <w:r w:rsidRPr="005D642E">
        <w:rPr>
          <w:rtl/>
          <w:lang w:bidi="fa-IR"/>
        </w:rPr>
        <w:t xml:space="preserve"> ، وَلَايُعَجَّلُ </w:t>
      </w:r>
      <w:r w:rsidRPr="007C12DB">
        <w:rPr>
          <w:rStyle w:val="libFootnotenumChar"/>
          <w:rtl/>
        </w:rPr>
        <w:t>(5)</w:t>
      </w:r>
      <w:r w:rsidRPr="005D642E">
        <w:rPr>
          <w:rtl/>
          <w:lang w:bidi="fa-IR"/>
        </w:rPr>
        <w:t xml:space="preserve"> لَهُ النَّارُ ، وَلَا يُحَنَّطُ </w:t>
      </w:r>
      <w:r w:rsidRPr="007C12DB">
        <w:rPr>
          <w:rStyle w:val="libFootnotenumChar"/>
          <w:rtl/>
        </w:rPr>
        <w:t>(6)</w:t>
      </w:r>
      <w:r w:rsidRPr="005D642E">
        <w:rPr>
          <w:rtl/>
          <w:lang w:bidi="fa-IR"/>
        </w:rPr>
        <w:t xml:space="preserve"> بِمِسْكٍ</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149F2">
        <w:rPr>
          <w:rtl/>
        </w:rPr>
        <w:t>4359</w:t>
      </w:r>
      <w:r w:rsidRPr="00246318">
        <w:rPr>
          <w:rStyle w:val="libBold2Char"/>
          <w:rtl/>
        </w:rPr>
        <w:t xml:space="preserve"> / 3.</w:t>
      </w:r>
      <w:r w:rsidRPr="005D642E">
        <w:rPr>
          <w:rtl/>
          <w:lang w:bidi="fa-IR"/>
        </w:rPr>
        <w:t xml:space="preserve"> أَحْمَدُ بْنُ مُحَمَّدٍ الْكُوفِيُّ </w:t>
      </w:r>
      <w:r w:rsidRPr="007C12DB">
        <w:rPr>
          <w:rStyle w:val="libFootnotenumChar"/>
          <w:rtl/>
        </w:rPr>
        <w:t>(8)</w:t>
      </w:r>
      <w:r w:rsidRPr="005D642E">
        <w:rPr>
          <w:rtl/>
          <w:lang w:bidi="fa-IR"/>
        </w:rPr>
        <w:t xml:space="preserve"> ، عَنِ ابْنِ جُمْهُورٍ ، عَنْ أَبِيهِ ، عَنْ مُحَمَّدِ بْنِ سِنَانٍ ، عَنِ الْمُفَضَّلِ بْنِ عُمَرَ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 « لا تجمر</w:t>
      </w:r>
      <w:r w:rsidR="00E3253D">
        <w:rPr>
          <w:rtl/>
        </w:rPr>
        <w:t xml:space="preserve"> ».</w:t>
      </w:r>
      <w:r w:rsidR="00E3253D" w:rsidRPr="005D642E">
        <w:rPr>
          <w:rtl/>
        </w:rPr>
        <w:t xml:space="preserve"> وفي الوافي : « لا تجمّروا</w:t>
      </w:r>
      <w:r w:rsidR="00E3253D">
        <w:rPr>
          <w:rtl/>
        </w:rPr>
        <w:t xml:space="preserve"> ».</w:t>
      </w:r>
    </w:p>
    <w:p w:rsidR="00E3253D" w:rsidRPr="005D642E" w:rsidRDefault="0042621E" w:rsidP="004F4955">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294 ، ح 862 ، بسنده عن الكليني </w:t>
      </w:r>
      <w:r w:rsidR="00AD68B7">
        <w:rPr>
          <w:rFonts w:hint="cs"/>
          <w:rtl/>
        </w:rPr>
        <w:t>.</w:t>
      </w:r>
      <w:r w:rsidR="00E3253D" w:rsidRPr="002F4D34">
        <w:rPr>
          <w:rStyle w:val="libFootnoteBoldChar"/>
          <w:rtl/>
        </w:rPr>
        <w:t>الوافي</w:t>
      </w:r>
      <w:r w:rsidR="00E3253D" w:rsidRPr="005D642E">
        <w:rPr>
          <w:rtl/>
        </w:rPr>
        <w:t xml:space="preserve"> ، ج 24 ، ص 367 ، ح 24225 ؛ </w:t>
      </w:r>
      <w:r w:rsidR="00E3253D" w:rsidRPr="002F4D34">
        <w:rPr>
          <w:rStyle w:val="libFootnoteBoldChar"/>
          <w:rtl/>
        </w:rPr>
        <w:t>الوسائل</w:t>
      </w:r>
      <w:r w:rsidR="00E3253D" w:rsidRPr="005D642E">
        <w:rPr>
          <w:rtl/>
        </w:rPr>
        <w:t xml:space="preserve"> ، ج 3 ، ص 17 ، ح 2905.</w:t>
      </w:r>
      <w:r w:rsidR="004F4955">
        <w:rPr>
          <w:rFonts w:hint="cs"/>
          <w:rtl/>
        </w:rPr>
        <w:t xml:space="preserve">                                     </w:t>
      </w:r>
      <w:r w:rsidRPr="0042621E">
        <w:rPr>
          <w:rStyle w:val="libFootnote0Char"/>
          <w:rtl/>
        </w:rPr>
        <w:t>(3).</w:t>
      </w:r>
      <w:r w:rsidR="00E3253D" w:rsidRPr="005D642E">
        <w:rPr>
          <w:rtl/>
        </w:rPr>
        <w:t xml:space="preserve"> في « جن » : « لاتسخن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ى ، بخ ، بس ، بف ، جس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ح 937 : « للميّت الماء</w:t>
      </w:r>
      <w:r w:rsidR="00E3253D">
        <w:rPr>
          <w:rtl/>
        </w:rPr>
        <w:t xml:space="preserve"> ».</w:t>
      </w:r>
      <w:r w:rsidR="00E3253D" w:rsidRPr="005D642E">
        <w:rPr>
          <w:rtl/>
        </w:rPr>
        <w:t xml:space="preserve"> وقال في </w:t>
      </w:r>
      <w:r w:rsidR="00E3253D" w:rsidRPr="002F4D34">
        <w:rPr>
          <w:rStyle w:val="libFootnoteBoldChar"/>
          <w:rtl/>
        </w:rPr>
        <w:t>مرآة العقول</w:t>
      </w:r>
      <w:r w:rsidR="00E3253D" w:rsidRPr="005D642E">
        <w:rPr>
          <w:rtl/>
        </w:rPr>
        <w:t xml:space="preserve"> ، ج 13 ، ص 317 : « قيّد بعض الأصحاب النهي عن التسخين بعدم الضرورة فيه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بخ ، جح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ح 937 : « لايعجّل » بدون الواو. وفي « ى » والوسائل : « لاتعجل » بدون الواو. وفي « بح » : « ولا تعجّل</w:t>
      </w:r>
      <w:r w:rsidR="00E3253D">
        <w:rPr>
          <w:rtl/>
        </w:rPr>
        <w:t xml:space="preserve"> ».</w:t>
      </w:r>
      <w:r w:rsidR="00E3253D" w:rsidRPr="005D642E">
        <w:rPr>
          <w:rtl/>
        </w:rPr>
        <w:t xml:space="preserve"> وفي « جن » : « ولا تعجل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 « ولا تحنّط</w:t>
      </w:r>
      <w:r w:rsidR="00E3253D">
        <w:rPr>
          <w:rtl/>
        </w:rPr>
        <w:t xml:space="preserve"> ».</w:t>
      </w:r>
      <w:r w:rsidR="00E3253D" w:rsidRPr="005D642E">
        <w:rPr>
          <w:rtl/>
        </w:rPr>
        <w:t xml:space="preserve"> وتحنيط الميّت : استعمال الحَنوط في بدنه. والحَنوط : هو ما يُخْلَط من الطيب لأكفان الموتى وأجسامهم خاصّة. راجع : </w:t>
      </w:r>
      <w:r w:rsidR="00E3253D" w:rsidRPr="002F4D34">
        <w:rPr>
          <w:rStyle w:val="libFootnoteBoldChar"/>
          <w:rtl/>
        </w:rPr>
        <w:t>النهاية</w:t>
      </w:r>
      <w:r w:rsidR="00E3253D" w:rsidRPr="005D642E">
        <w:rPr>
          <w:rtl/>
        </w:rPr>
        <w:t xml:space="preserve"> ، ج 1 ، ص 450 ( حنط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322 ، ح 937 ، بسنده عن الكليني. </w:t>
      </w:r>
      <w:r w:rsidR="00E3253D" w:rsidRPr="002F4D34">
        <w:rPr>
          <w:rStyle w:val="libFootnoteBoldChar"/>
          <w:rtl/>
        </w:rPr>
        <w:t>وفيه</w:t>
      </w:r>
      <w:r w:rsidR="00E3253D" w:rsidRPr="005D642E">
        <w:rPr>
          <w:rtl/>
        </w:rPr>
        <w:t xml:space="preserve"> ، ح 938 ، بسند آخر عن أبي جعفر </w:t>
      </w:r>
      <w:r w:rsidR="00E3253D" w:rsidRPr="008F6028">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142 ، ح 394 ، مرسلاً عن أبي جعفر </w:t>
      </w:r>
      <w:r w:rsidR="00E3253D" w:rsidRPr="004F4955">
        <w:rPr>
          <w:rStyle w:val="libFootnoteAlaemChar"/>
          <w:rtl/>
        </w:rPr>
        <w:t>عليه‌السلام</w:t>
      </w:r>
      <w:r w:rsidR="00E3253D" w:rsidRPr="005D642E">
        <w:rPr>
          <w:rtl/>
        </w:rPr>
        <w:t xml:space="preserve"> ، وتمام الرواية فيهما : « لا يسخّن الماء للميّت » </w:t>
      </w:r>
      <w:r w:rsidR="008F6028">
        <w:rPr>
          <w:rFonts w:hint="cs"/>
          <w:rtl/>
        </w:rPr>
        <w:t>.</w:t>
      </w:r>
      <w:r w:rsidR="00E3253D" w:rsidRPr="002F4D34">
        <w:rPr>
          <w:rStyle w:val="libFootnoteBoldChar"/>
          <w:rtl/>
        </w:rPr>
        <w:t>الوافي</w:t>
      </w:r>
      <w:r w:rsidR="00E3253D" w:rsidRPr="005D642E">
        <w:rPr>
          <w:rtl/>
        </w:rPr>
        <w:t xml:space="preserve"> ، ج 24 ، ص 328 ، ح 24130 ؛ </w:t>
      </w:r>
      <w:r w:rsidR="00E3253D" w:rsidRPr="002F4D34">
        <w:rPr>
          <w:rStyle w:val="libFootnoteBoldChar"/>
          <w:rtl/>
        </w:rPr>
        <w:t>الوسائل</w:t>
      </w:r>
      <w:r w:rsidR="00E3253D" w:rsidRPr="005D642E">
        <w:rPr>
          <w:rtl/>
        </w:rPr>
        <w:t xml:space="preserve"> ، ج 2 ، ص 499 ، ح 2745 ؛ وج 3 ، ص 18 ، ح 2909.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عدّة من أصحابنا ، عن أحمد بن محمّد الكوفي » ، وهو سهو.</w:t>
      </w:r>
    </w:p>
    <w:p w:rsidR="00E3253D" w:rsidRPr="005D642E" w:rsidRDefault="00E3253D" w:rsidP="00B60612">
      <w:pPr>
        <w:pStyle w:val="libFootnote0"/>
        <w:rPr>
          <w:rtl/>
          <w:lang w:bidi="fa-IR"/>
        </w:rPr>
      </w:pPr>
      <w:r w:rsidRPr="0095070A">
        <w:rPr>
          <w:rtl/>
        </w:rPr>
        <w:t>والظاهر أنّ منشأ هذا السهو ، أنّ الشيخ الطوسي والشيخ الحرّ تلقّيا السند معلّقاً على سابقه ، فأضافا إليه : « عدّة من أصحابنا » كالراوي عن أحمد بن محمّد الكوفي.</w:t>
      </w:r>
    </w:p>
    <w:p w:rsidR="00E3253D" w:rsidRPr="005D642E" w:rsidRDefault="00E3253D" w:rsidP="00E3253D">
      <w:pPr>
        <w:pStyle w:val="libFootnote0"/>
        <w:rPr>
          <w:rtl/>
          <w:lang w:bidi="fa-IR"/>
        </w:rPr>
      </w:pPr>
      <w:r w:rsidRPr="00B60612">
        <w:rPr>
          <w:rtl/>
        </w:rPr>
        <w:t xml:space="preserve">والمتتبّع في أسناد </w:t>
      </w:r>
      <w:r w:rsidRPr="002F4D34">
        <w:rPr>
          <w:rStyle w:val="libFootnoteBoldChar"/>
          <w:rtl/>
        </w:rPr>
        <w:t>الكافي</w:t>
      </w:r>
      <w:r w:rsidRPr="00B60612">
        <w:rPr>
          <w:rtl/>
        </w:rPr>
        <w:t xml:space="preserve"> يرى أنّ أحمد بن محمّد في مشايخ عدّة المصنّف منحصر في أحمد بن محمّد بن عيسى وأحمد بن محمّد بن خالد ، لاغيرهما ، كما يرى أنّ المصنّف يروي عن أحمد بن محمّد الكوفي </w:t>
      </w:r>
      <w:r w:rsidR="007642BC" w:rsidRPr="00B60612">
        <w:rPr>
          <w:rtl/>
        </w:rPr>
        <w:t>-</w:t>
      </w:r>
      <w:r w:rsidRPr="00B60612">
        <w:rPr>
          <w:rtl/>
        </w:rPr>
        <w:t xml:space="preserve"> وهو مشترك بين أحمد بن محمّد العاصمي وأحمد بن محمّد بن سعيد ابن عقدة في بادي النظر ، ومت</w:t>
      </w:r>
      <w:r w:rsidR="008F6028">
        <w:rPr>
          <w:rtl/>
        </w:rPr>
        <w:t>عيّن في العاصمي على التحقيق إل</w:t>
      </w:r>
      <w:r w:rsidR="008F6028">
        <w:rPr>
          <w:rFonts w:hint="cs"/>
          <w:rtl/>
        </w:rPr>
        <w:t>ّ</w:t>
      </w:r>
      <w:r w:rsidR="008F6028">
        <w:rPr>
          <w:rtl/>
        </w:rPr>
        <w:t>ا</w:t>
      </w:r>
      <w:r w:rsidRPr="00B60612">
        <w:rPr>
          <w:rtl/>
        </w:rPr>
        <w:t xml:space="preserve">في </w:t>
      </w:r>
      <w:r w:rsidRPr="002F4D34">
        <w:rPr>
          <w:rStyle w:val="libFootnoteBoldChar"/>
          <w:rtl/>
        </w:rPr>
        <w:t>الكافي</w:t>
      </w:r>
      <w:r w:rsidRPr="00B60612">
        <w:rPr>
          <w:rtl/>
        </w:rPr>
        <w:t xml:space="preserve"> ، ح 14837 </w:t>
      </w:r>
      <w:r w:rsidR="007642BC" w:rsidRPr="00B60612">
        <w:rPr>
          <w:rtl/>
        </w:rPr>
        <w:t>-</w:t>
      </w:r>
      <w:r w:rsidRPr="00B60612">
        <w:rPr>
          <w:rtl/>
        </w:rPr>
        <w:t xml:space="preserve"> مباشرةً. راجع : </w:t>
      </w:r>
      <w:r w:rsidRPr="002F4D34">
        <w:rPr>
          <w:rStyle w:val="libFootnoteBoldChar"/>
          <w:rtl/>
        </w:rPr>
        <w:t>معجم رجال الحديث</w:t>
      </w:r>
      <w:r w:rsidRPr="00B60612">
        <w:rPr>
          <w:rtl/>
        </w:rPr>
        <w:t xml:space="preserve"> ، ج 2 ، ص 335 ، الرقم 952.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قَالَ : وَحَدَّثَنَا </w:t>
      </w:r>
      <w:r w:rsidRPr="007C12DB">
        <w:rPr>
          <w:rStyle w:val="libFootnotenumChar"/>
          <w:rtl/>
        </w:rPr>
        <w:t>(1)</w:t>
      </w:r>
      <w:r w:rsidRPr="005D642E">
        <w:rPr>
          <w:rtl/>
          <w:lang w:bidi="fa-IR"/>
        </w:rPr>
        <w:t xml:space="preserve"> عَبْدُ اللهِ بْنُ عَبْدِ الرَّحْمنِ ، عَنْ حَرِيزٍ ، عَنْ مُحَمَّدِ بْنِ مُسْلِمٍ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 </w:t>
      </w:r>
      <w:r w:rsidRPr="00AC51C5">
        <w:rPr>
          <w:rStyle w:val="libAlaemChar"/>
          <w:rtl/>
        </w:rPr>
        <w:t>عليه‌السلام</w:t>
      </w:r>
      <w:r w:rsidRPr="005D642E">
        <w:rPr>
          <w:rtl/>
          <w:lang w:bidi="fa-IR"/>
        </w:rPr>
        <w:t xml:space="preserve"> : لَاتُجَمِّرُوا الْأَكْفَانَ ، وَلَاتَمْسَحُوا </w:t>
      </w:r>
      <w:r w:rsidRPr="007C12DB">
        <w:rPr>
          <w:rStyle w:val="libFootnotenumChar"/>
          <w:rtl/>
        </w:rPr>
        <w:t>(2)</w:t>
      </w:r>
      <w:r w:rsidR="00882B4F">
        <w:rPr>
          <w:rtl/>
          <w:lang w:bidi="fa-IR"/>
        </w:rPr>
        <w:t xml:space="preserve"> مَوْتَاكُمْ بِالطِّيبِ إِل</w:t>
      </w:r>
      <w:r w:rsidR="00882B4F">
        <w:rPr>
          <w:rFonts w:hint="cs"/>
          <w:rtl/>
          <w:lang w:bidi="fa-IR"/>
        </w:rPr>
        <w:t>َّ</w:t>
      </w:r>
      <w:r w:rsidR="00882B4F">
        <w:rPr>
          <w:rtl/>
          <w:lang w:bidi="fa-IR"/>
        </w:rPr>
        <w:t>ا</w:t>
      </w:r>
      <w:r w:rsidRPr="005D642E">
        <w:rPr>
          <w:rtl/>
          <w:lang w:bidi="fa-IR"/>
        </w:rPr>
        <w:t xml:space="preserve"> بِالْكَافُورِ </w:t>
      </w:r>
      <w:r w:rsidRPr="007C12DB">
        <w:rPr>
          <w:rStyle w:val="libFootnotenumChar"/>
          <w:rtl/>
        </w:rPr>
        <w:t>(3)</w:t>
      </w:r>
      <w:r w:rsidRPr="005D642E">
        <w:rPr>
          <w:rtl/>
          <w:lang w:bidi="fa-IR"/>
        </w:rPr>
        <w:t xml:space="preserve"> ؛ فَإِنَّ الْمَيِّتَ‌</w:t>
      </w:r>
      <w:r w:rsidR="00AA5F66">
        <w:rPr>
          <w:rFonts w:hint="cs"/>
          <w:rtl/>
          <w:lang w:bidi="fa-IR"/>
        </w:rPr>
        <w:t>.......................................</w:t>
      </w:r>
      <w:r w:rsidR="00AA5F66">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AC51C5" w:rsidRDefault="0042621E" w:rsidP="00E3253D">
      <w:pPr>
        <w:pStyle w:val="libFootnote0"/>
        <w:rPr>
          <w:rStyle w:val="libAlaemChar"/>
          <w:rtl/>
        </w:rPr>
      </w:pPr>
      <w:r w:rsidRPr="0042621E">
        <w:rPr>
          <w:rStyle w:val="libFootnote0Char"/>
          <w:rtl/>
        </w:rPr>
        <w:t>(1).</w:t>
      </w:r>
      <w:r w:rsidR="00E3253D">
        <w:rPr>
          <w:rtl/>
        </w:rPr>
        <w:t xml:space="preserve"> </w:t>
      </w:r>
      <w:r w:rsidR="00E3253D" w:rsidRPr="005D642E">
        <w:rPr>
          <w:rtl/>
        </w:rPr>
        <w:t xml:space="preserve">في « غ ، بث ، بخ ، بف ، جس » : « حدّثنا » بدون الواو. وفي الوافي : « عن » بدل « قال : وحدّثنا » ؛ وظاهر هذه‌النسخ أنّ المفضّل بن عمر يروي عن عبدالله بن عبدالرحمن. لكن يدفع هذا الاحتمال ما سيأتي في </w:t>
      </w:r>
      <w:r w:rsidR="00E3253D" w:rsidRPr="002F4D34">
        <w:rPr>
          <w:rStyle w:val="libFootnoteBoldChar"/>
          <w:rtl/>
        </w:rPr>
        <w:t>الكافي</w:t>
      </w:r>
      <w:r w:rsidR="00E3253D" w:rsidRPr="005D642E">
        <w:rPr>
          <w:rtl/>
        </w:rPr>
        <w:t xml:space="preserve"> ، ح 4685 وح 8264 ، من رواية أحمد بن محمّد الكوفي ، عن ابن جمهور ، عن أبيه ، عن محمّد بن سنان ، عن مفضّل بن عمر ، عن أبي عبدالله </w:t>
      </w:r>
      <w:r w:rsidR="00E3253D" w:rsidRPr="00265B0E">
        <w:rPr>
          <w:rStyle w:val="libFootnoteAlaemChar"/>
          <w:rtl/>
        </w:rPr>
        <w:t>عليه‌السلام</w:t>
      </w:r>
      <w:r w:rsidR="00E3253D" w:rsidRPr="005D642E">
        <w:rPr>
          <w:rtl/>
        </w:rPr>
        <w:t xml:space="preserve"> ؛ وعن عبدالله بن عبدالرحمن الأصمّ ، عن حريز ، عن محمّد بن مسلم ، عن أبي عبدالله </w:t>
      </w:r>
      <w:r w:rsidR="00E3253D" w:rsidRPr="00265B0E">
        <w:rPr>
          <w:rStyle w:val="libFootnoteAlaemChar"/>
          <w:rtl/>
        </w:rPr>
        <w:t>عليه‌السلام</w:t>
      </w:r>
      <w:r w:rsidR="00E3253D" w:rsidRPr="005D642E">
        <w:rPr>
          <w:rtl/>
        </w:rPr>
        <w:t xml:space="preserve"> ، كما يدفعه ما يأتي في ح 4637 ، من رواية أحمد بن محمّد الكوفي ، عن ابن جمهور ، عن أبيه ، عن محمّد بن سنان ، عن المفضّل بن عمر ، عن أبي عبدالله </w:t>
      </w:r>
      <w:r w:rsidR="00E3253D" w:rsidRPr="00FE5E85">
        <w:rPr>
          <w:rStyle w:val="libFootnoteAlaemChar"/>
          <w:rtl/>
        </w:rPr>
        <w:t>عليه‌السلام</w:t>
      </w:r>
      <w:r w:rsidR="00E3253D" w:rsidRPr="005D642E">
        <w:rPr>
          <w:rtl/>
        </w:rPr>
        <w:t xml:space="preserve"> ، قال : وحدّثنا الأصمّ ، عن حريز ، عن محمّد بن مسلم ، عن أبي عبدالله </w:t>
      </w:r>
      <w:r w:rsidR="00E3253D" w:rsidRPr="00265B0E">
        <w:rPr>
          <w:rStyle w:val="libFootnoteAlaemChar"/>
          <w:rtl/>
        </w:rPr>
        <w:t>عليه‌السلام</w:t>
      </w:r>
      <w:r w:rsidR="00265B0E">
        <w:rPr>
          <w:rStyle w:val="libFootnoteAlaemChar"/>
          <w:rFonts w:hint="cs"/>
          <w:rtl/>
        </w:rPr>
        <w:t>.</w:t>
      </w:r>
    </w:p>
    <w:p w:rsidR="00E3253D" w:rsidRPr="005D642E" w:rsidRDefault="00E3253D" w:rsidP="00E3253D">
      <w:pPr>
        <w:pStyle w:val="libFootnote0"/>
        <w:rPr>
          <w:rtl/>
          <w:lang w:bidi="fa-IR"/>
        </w:rPr>
      </w:pPr>
      <w:r w:rsidRPr="005D642E">
        <w:rPr>
          <w:rtl/>
        </w:rPr>
        <w:t xml:space="preserve">والتأمّل في هذه الأسناد الثلاثة يورث أمرين : الأوّل : اتّحادها مع سندنا هذا ، والثاني : اشتمالها على التحويل ؛ فإنّ المفضّل بن عمر الراوي عن أبي عبدالله </w:t>
      </w:r>
      <w:r w:rsidRPr="00265B0E">
        <w:rPr>
          <w:rStyle w:val="libFootnoteAlaemChar"/>
          <w:rtl/>
        </w:rPr>
        <w:t>عليه‌السلام</w:t>
      </w:r>
      <w:r w:rsidRPr="005D642E">
        <w:rPr>
          <w:rtl/>
        </w:rPr>
        <w:t xml:space="preserve"> ، لايصلح أن يروي عنه </w:t>
      </w:r>
      <w:r w:rsidRPr="00FE5E85">
        <w:rPr>
          <w:rStyle w:val="libFootnoteAlaemChar"/>
          <w:rtl/>
        </w:rPr>
        <w:t>عليه‌السلام</w:t>
      </w:r>
      <w:r w:rsidRPr="005D642E">
        <w:rPr>
          <w:rtl/>
        </w:rPr>
        <w:t xml:space="preserve"> بثلاث وسائط ، فلا يكون المفضّل راوياً عن عبدالله بن عبدالرحمن.</w:t>
      </w:r>
    </w:p>
    <w:p w:rsidR="00E3253D" w:rsidRPr="005D642E" w:rsidRDefault="00E3253D" w:rsidP="00E3253D">
      <w:pPr>
        <w:pStyle w:val="libFootnote0"/>
        <w:rPr>
          <w:rtl/>
          <w:lang w:bidi="fa-IR"/>
        </w:rPr>
      </w:pPr>
      <w:r w:rsidRPr="00B60612">
        <w:rPr>
          <w:rtl/>
        </w:rPr>
        <w:t xml:space="preserve">والظاهر أنّ الراوي عن عبدالله بن عبدالرحمن الأصمّ هو والد ابن جمهور ، والمراد به محمّد بن جمهور. أمّا الأخير ، فيدلّ عليه ما تقدّم في </w:t>
      </w:r>
      <w:r w:rsidRPr="002F4D34">
        <w:rPr>
          <w:rStyle w:val="libFootnoteBoldChar"/>
          <w:rtl/>
        </w:rPr>
        <w:t>الكافي</w:t>
      </w:r>
      <w:r w:rsidRPr="00B60612">
        <w:rPr>
          <w:rtl/>
        </w:rPr>
        <w:t xml:space="preserve"> ، ذيل ح 524 و 1124 ، من رواية محمّد بن جمهور [ العمّي ] عن محمّد بن سنان ، عن المفضّل [ بن عمر ] ، عن أبي عبدالله </w:t>
      </w:r>
      <w:r w:rsidRPr="00265B0E">
        <w:rPr>
          <w:rStyle w:val="libFootnoteAlaemChar"/>
          <w:rtl/>
        </w:rPr>
        <w:t>عليه‌السلام</w:t>
      </w:r>
      <w:r w:rsidRPr="00B60612">
        <w:rPr>
          <w:rtl/>
        </w:rPr>
        <w:t>.</w:t>
      </w:r>
    </w:p>
    <w:p w:rsidR="00E3253D" w:rsidRPr="005D642E" w:rsidRDefault="00E3253D" w:rsidP="00E3253D">
      <w:pPr>
        <w:pStyle w:val="libNormal"/>
        <w:rPr>
          <w:rtl/>
          <w:lang w:bidi="fa-IR"/>
        </w:rPr>
      </w:pPr>
      <w:r w:rsidRPr="00B60612">
        <w:rPr>
          <w:rStyle w:val="libFootnote0Char"/>
          <w:rtl/>
        </w:rPr>
        <w:t xml:space="preserve">وأمّا الأوّل </w:t>
      </w:r>
      <w:r w:rsidR="007642BC" w:rsidRPr="00B60612">
        <w:rPr>
          <w:rStyle w:val="libFootnote0Char"/>
          <w:rtl/>
        </w:rPr>
        <w:t>-</w:t>
      </w:r>
      <w:r w:rsidRPr="00B60612">
        <w:rPr>
          <w:rStyle w:val="libFootnote0Char"/>
          <w:rtl/>
        </w:rPr>
        <w:t xml:space="preserve"> وهو كون محمّد بن جمهور راوياً عن عبدالله بن عبدالرحمن </w:t>
      </w:r>
      <w:r w:rsidR="007642BC" w:rsidRPr="00B60612">
        <w:rPr>
          <w:rStyle w:val="libFootnote0Char"/>
          <w:rtl/>
        </w:rPr>
        <w:t>-</w:t>
      </w:r>
      <w:r w:rsidRPr="00B60612">
        <w:rPr>
          <w:rStyle w:val="libFootnote0Char"/>
          <w:rtl/>
        </w:rPr>
        <w:t xml:space="preserve"> فيدلّ عليه ما تقدّم في </w:t>
      </w:r>
      <w:r w:rsidRPr="002F4D34">
        <w:rPr>
          <w:rStyle w:val="libFootnoteBoldChar"/>
          <w:rtl/>
        </w:rPr>
        <w:t>الكافي</w:t>
      </w:r>
      <w:r w:rsidRPr="00B60612">
        <w:rPr>
          <w:rStyle w:val="libFootnote0Char"/>
          <w:rtl/>
        </w:rPr>
        <w:t xml:space="preserve"> ، ح 477 و 576 و 963 و 2869 ، من رواية محمّد بن جمهور ، عن عبدالله بن عبدالرحمن [ الأصمّ ].</w:t>
      </w:r>
    </w:p>
    <w:p w:rsidR="00E3253D" w:rsidRPr="005D642E" w:rsidRDefault="00E3253D" w:rsidP="00B60612">
      <w:pPr>
        <w:pStyle w:val="libFootnote0"/>
        <w:rPr>
          <w:rtl/>
          <w:lang w:bidi="fa-IR"/>
        </w:rPr>
      </w:pPr>
      <w:r w:rsidRPr="0095070A">
        <w:rPr>
          <w:rtl/>
        </w:rPr>
        <w:t xml:space="preserve">فتحصّل ممّا مرّ أنّ الضمير المستتر في « قال » </w:t>
      </w:r>
      <w:r>
        <w:rPr>
          <w:rtl/>
        </w:rPr>
        <w:t>و «</w:t>
      </w:r>
      <w:r w:rsidRPr="0095070A">
        <w:rPr>
          <w:rtl/>
        </w:rPr>
        <w:t xml:space="preserve"> حدّثنا » راجع إلى والد ابن جمهور ، وأنّ في السند تحويلاً ينحلّ إلى سندين ، وهُما :</w:t>
      </w:r>
    </w:p>
    <w:p w:rsidR="00E3253D" w:rsidRPr="005D642E" w:rsidRDefault="00E3253D" w:rsidP="00E3253D">
      <w:pPr>
        <w:pStyle w:val="libFootnote0"/>
        <w:rPr>
          <w:rtl/>
          <w:lang w:bidi="fa-IR"/>
        </w:rPr>
      </w:pPr>
      <w:r w:rsidRPr="00B60612">
        <w:rPr>
          <w:rtl/>
        </w:rPr>
        <w:t xml:space="preserve">أحمد بن محمّد الكوفي ، عن ابن جمهور ، عن أبيه ، عن محمّد بن سنان ، عن المفضّل بن عمر ، عن أبي عبدالله </w:t>
      </w:r>
      <w:r w:rsidRPr="00265B0E">
        <w:rPr>
          <w:rStyle w:val="libFootnoteAlaemChar"/>
          <w:rtl/>
        </w:rPr>
        <w:t>عليه‌السلام</w:t>
      </w:r>
      <w:r w:rsidRPr="00B60612">
        <w:rPr>
          <w:rtl/>
        </w:rPr>
        <w:t>.</w:t>
      </w:r>
    </w:p>
    <w:p w:rsidR="00E3253D" w:rsidRPr="005D642E" w:rsidRDefault="00E3253D" w:rsidP="00E3253D">
      <w:pPr>
        <w:pStyle w:val="libFootnote0"/>
        <w:rPr>
          <w:rtl/>
          <w:lang w:bidi="fa-IR"/>
        </w:rPr>
      </w:pPr>
      <w:r w:rsidRPr="00B60612">
        <w:rPr>
          <w:rtl/>
        </w:rPr>
        <w:t xml:space="preserve">وأحمد بن محمّد الكوفي ، عن ابن جمهور ، عن أبيه ، قال : حدّثنا عبدالله بن عبدالرحمن ، عن حريز ، عن محمّد بن مسلم ، عن أبي عبدالله </w:t>
      </w:r>
      <w:r w:rsidRPr="00265B0E">
        <w:rPr>
          <w:rStyle w:val="libFootnoteAlaemChar"/>
          <w:rtl/>
        </w:rPr>
        <w:t>عليه‌السلام</w:t>
      </w:r>
      <w:r w:rsidRPr="00B60612">
        <w:rPr>
          <w:rtl/>
        </w:rPr>
        <w:t>.</w:t>
      </w:r>
    </w:p>
    <w:p w:rsidR="00E3253D" w:rsidRPr="005D642E" w:rsidRDefault="00E3253D" w:rsidP="00E3253D">
      <w:pPr>
        <w:pStyle w:val="libFootnote0"/>
        <w:rPr>
          <w:rtl/>
          <w:lang w:bidi="fa-IR"/>
        </w:rPr>
      </w:pPr>
      <w:r w:rsidRPr="00B60612">
        <w:rPr>
          <w:rtl/>
        </w:rPr>
        <w:t>ويؤيّد ذلك أنّ المصنّف يروي عن عبدالله بن عبدالرحمن [ الأصمّ ] بثلاث وسائط. ا</w:t>
      </w:r>
      <w:r w:rsidR="00265B0E">
        <w:rPr>
          <w:rFonts w:hint="cs"/>
          <w:rtl/>
        </w:rPr>
        <w:t>ُ</w:t>
      </w:r>
      <w:r w:rsidRPr="00B60612">
        <w:rPr>
          <w:rtl/>
        </w:rPr>
        <w:t xml:space="preserve">نظر على سبيل المثال : </w:t>
      </w:r>
      <w:r w:rsidRPr="002F4D34">
        <w:rPr>
          <w:rStyle w:val="libFootnoteBoldChar"/>
          <w:rtl/>
        </w:rPr>
        <w:t>الكافي</w:t>
      </w:r>
      <w:r w:rsidRPr="00B60612">
        <w:rPr>
          <w:rtl/>
        </w:rPr>
        <w:t xml:space="preserve"> ، ح 522 و 661 و 1406 و 2429 و 2676 و 2872 و 4629 و 4702 و 4840.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 « وتمسحوا » بدون « لا</w:t>
      </w:r>
      <w:r w:rsidR="00E3253D">
        <w:rPr>
          <w:rtl/>
        </w:rPr>
        <w:t xml:space="preserve"> ».</w:t>
      </w:r>
      <w:r w:rsidR="00E3253D" w:rsidRPr="005D642E">
        <w:rPr>
          <w:rtl/>
        </w:rPr>
        <w:t xml:space="preserve"> وفي « جح » : « ولا تمسّحوا</w:t>
      </w:r>
      <w:r w:rsidR="00E3253D">
        <w:rPr>
          <w:rtl/>
        </w:rPr>
        <w:t xml:space="preserve"> ».</w:t>
      </w:r>
      <w:r w:rsidR="00E3253D" w:rsidRPr="005D642E">
        <w:rPr>
          <w:rtl/>
        </w:rPr>
        <w:t xml:space="preserve"> وفي التهذيب والتحف : « ولا تمسوا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البحار والتحف </w:t>
      </w:r>
      <w:r w:rsidR="009E68BB" w:rsidRPr="009E68BB">
        <w:rPr>
          <w:rStyle w:val="libFootnoteBoldChar"/>
          <w:rtl/>
        </w:rPr>
        <w:t>والخصال</w:t>
      </w:r>
      <w:r w:rsidR="00E3253D" w:rsidRPr="005D642E">
        <w:rPr>
          <w:rtl/>
        </w:rPr>
        <w:t xml:space="preserve"> والعلل : « الكافور</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بِمَنْزِلَةِ الْمُحْرِمِ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E922F4">
        <w:rPr>
          <w:rtl/>
        </w:rPr>
        <w:t>4360</w:t>
      </w:r>
      <w:r w:rsidRPr="00246318">
        <w:rPr>
          <w:rStyle w:val="libBold2Char"/>
          <w:rtl/>
        </w:rPr>
        <w:t xml:space="preserve"> / 4.</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 أَنَّ النَّبِيَّ </w:t>
      </w:r>
      <w:r w:rsidR="0042621E" w:rsidRPr="0042621E">
        <w:rPr>
          <w:rStyle w:val="libAlaemChar"/>
          <w:rtl/>
        </w:rPr>
        <w:t>صلى‌الله‌عليه‌وآله</w:t>
      </w:r>
      <w:r w:rsidRPr="005D642E">
        <w:rPr>
          <w:rtl/>
          <w:lang w:bidi="fa-IR"/>
        </w:rPr>
        <w:t xml:space="preserve"> نَهى أَنْ تُتْبَعَ </w:t>
      </w:r>
      <w:r w:rsidRPr="007C12DB">
        <w:rPr>
          <w:rStyle w:val="libFootnotenumChar"/>
          <w:rtl/>
        </w:rPr>
        <w:t>(3)</w:t>
      </w:r>
      <w:r w:rsidRPr="005D642E">
        <w:rPr>
          <w:rtl/>
          <w:lang w:bidi="fa-IR"/>
        </w:rPr>
        <w:t xml:space="preserve"> جَنَازَةٌ بِمِجْمَرَةٍ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320" w:name="_Toc344647317"/>
      <w:bookmarkStart w:id="321" w:name="_Toc462226831"/>
      <w:bookmarkStart w:id="322" w:name="_Toc40975940"/>
      <w:r w:rsidRPr="005D642E">
        <w:rPr>
          <w:rtl/>
          <w:lang w:bidi="fa-IR"/>
        </w:rPr>
        <w:t>22</w:t>
      </w:r>
      <w:r>
        <w:rPr>
          <w:rtl/>
          <w:lang w:bidi="fa-IR"/>
        </w:rPr>
        <w:t xml:space="preserve"> </w:t>
      </w:r>
      <w:r w:rsidR="007642BC">
        <w:rPr>
          <w:rtl/>
          <w:lang w:bidi="fa-IR"/>
        </w:rPr>
        <w:t>-</w:t>
      </w:r>
      <w:r>
        <w:rPr>
          <w:rtl/>
          <w:lang w:bidi="fa-IR"/>
        </w:rPr>
        <w:t xml:space="preserve"> </w:t>
      </w:r>
      <w:r w:rsidRPr="005D642E">
        <w:rPr>
          <w:rtl/>
          <w:lang w:bidi="fa-IR"/>
        </w:rPr>
        <w:t xml:space="preserve">بَابُ مَا يُسْتَحَبُّ مِنَ الثِّيَابِ لِلْكَفَنِ </w:t>
      </w:r>
      <w:r w:rsidRPr="007C12DB">
        <w:rPr>
          <w:rStyle w:val="libFootnotenumChar"/>
          <w:rtl/>
        </w:rPr>
        <w:t>(6)</w:t>
      </w:r>
      <w:r>
        <w:rPr>
          <w:rtl/>
        </w:rPr>
        <w:t xml:space="preserve"> </w:t>
      </w:r>
      <w:r w:rsidRPr="005D642E">
        <w:rPr>
          <w:rtl/>
          <w:lang w:bidi="fa-IR"/>
        </w:rPr>
        <w:t>وَمَا يُكْرَهُ‌</w:t>
      </w:r>
      <w:bookmarkEnd w:id="320"/>
      <w:bookmarkEnd w:id="321"/>
      <w:bookmarkEnd w:id="322"/>
    </w:p>
    <w:p w:rsidR="00E3253D" w:rsidRPr="005D642E" w:rsidRDefault="00E3253D" w:rsidP="00E3253D">
      <w:pPr>
        <w:pStyle w:val="libNormal"/>
        <w:rPr>
          <w:rtl/>
          <w:lang w:bidi="fa-IR"/>
        </w:rPr>
      </w:pPr>
      <w:r w:rsidRPr="00E922F4">
        <w:rPr>
          <w:rtl/>
        </w:rPr>
        <w:t>4361</w:t>
      </w:r>
      <w:r w:rsidRPr="00246318">
        <w:rPr>
          <w:rStyle w:val="libBold2Char"/>
          <w:rtl/>
        </w:rPr>
        <w:t xml:space="preserve"> / 1.</w:t>
      </w:r>
      <w:r w:rsidRPr="005D642E">
        <w:rPr>
          <w:rtl/>
          <w:lang w:bidi="fa-IR"/>
        </w:rPr>
        <w:t xml:space="preserve"> عَلِيُّ بْنُ إِبْرَاهِيمَ ، عَنْ أَبِيهِ ، عَنِ ابْنِ أَبِي عُمَيْرٍ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أَجِيدُوا أَكْفَانَ مَوْتَاكُمْ ؛ فَإِنَّهَا زِينَتُهُمْ</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E922F4">
        <w:rPr>
          <w:rtl/>
        </w:rPr>
        <w:t>4362</w:t>
      </w:r>
      <w:r w:rsidRPr="00246318">
        <w:rPr>
          <w:rStyle w:val="libBold2Char"/>
          <w:rtl/>
        </w:rPr>
        <w:t xml:space="preserve"> / 2.</w:t>
      </w:r>
      <w:r w:rsidRPr="005D642E">
        <w:rPr>
          <w:rtl/>
          <w:lang w:bidi="fa-IR"/>
        </w:rPr>
        <w:t xml:space="preserve"> عِدَّةٌ مِنْ أَصْحَابِنَا ، عَنْ سَهْلِ بْنِ زِيَادٍ ، عَنْ أَحْمَدَ بْنِ مُحَمَّدِ بْنِ أَبِي نَصْرٍ ، عَنْ أَبِي جَمِيلَةَ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رَسُولُ اللهِ </w:t>
      </w:r>
      <w:r w:rsidRPr="007C12DB">
        <w:rPr>
          <w:rStyle w:val="libFootnotenumChar"/>
          <w:rtl/>
        </w:rPr>
        <w:t>(8)</w:t>
      </w:r>
      <w:r w:rsidRPr="005D642E">
        <w:rPr>
          <w:rtl/>
          <w:lang w:bidi="fa-IR"/>
        </w:rPr>
        <w:t xml:space="preserve"> </w:t>
      </w:r>
      <w:r w:rsidR="0042621E" w:rsidRPr="0042621E">
        <w:rPr>
          <w:rStyle w:val="libAlaemChar"/>
          <w:rtl/>
        </w:rPr>
        <w:t>صلى‌الله‌عليه‌وآله</w:t>
      </w:r>
      <w:r w:rsidRPr="005D642E">
        <w:rPr>
          <w:rtl/>
          <w:lang w:bidi="fa-IR"/>
        </w:rPr>
        <w:t xml:space="preserve"> : لَيْسَ مِنْ لِبَاسِكُمْ شَيْ‌ءٌ أَحْسَنَ مِنَ‌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قوله </w:t>
      </w:r>
      <w:r w:rsidR="00E3253D" w:rsidRPr="00360888">
        <w:rPr>
          <w:rStyle w:val="libFootnoteAlaemChar"/>
          <w:rtl/>
        </w:rPr>
        <w:t>عليه‌السلام</w:t>
      </w:r>
      <w:r w:rsidR="00E3253D" w:rsidRPr="005D642E">
        <w:rPr>
          <w:rtl/>
        </w:rPr>
        <w:t xml:space="preserve"> : بمنزلة المحرم ، أي فيما سوى الكافور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295 ، ح 863 ؛ </w:t>
      </w:r>
      <w:r w:rsidR="00E3253D" w:rsidRPr="00E678B5">
        <w:rPr>
          <w:rStyle w:val="libFootnoteBoldChar"/>
          <w:rtl/>
        </w:rPr>
        <w:t>والاستبصار</w:t>
      </w:r>
      <w:r w:rsidR="00E3253D" w:rsidRPr="005D642E">
        <w:rPr>
          <w:rtl/>
        </w:rPr>
        <w:t xml:space="preserve"> ، ج 1 ، ص 209 ، ح 735 ، بسندهما عن الكليني. </w:t>
      </w:r>
      <w:r w:rsidR="00E3253D" w:rsidRPr="002F4D34">
        <w:rPr>
          <w:rStyle w:val="libFootnoteBoldChar"/>
          <w:rtl/>
        </w:rPr>
        <w:t>الخصال</w:t>
      </w:r>
      <w:r w:rsidR="00E3253D" w:rsidRPr="005D642E">
        <w:rPr>
          <w:rtl/>
        </w:rPr>
        <w:t xml:space="preserve"> ، ص 618 ، أبواب الثمانين ومافوقه ، ضمن الحديث الطويل 10 ، بسنده عن أبي بصير ومحمّد بن مسلم ، عن أبي عبدالله ، عن آبائه ، عن أميرالمؤمنين </w:t>
      </w:r>
      <w:r w:rsidR="00E3253D" w:rsidRPr="00360888">
        <w:rPr>
          <w:rStyle w:val="libFootnoteAlaemChar"/>
          <w:rtl/>
        </w:rPr>
        <w:t>عليهم‌السلام</w:t>
      </w:r>
      <w:r w:rsidR="00E3253D" w:rsidRPr="005D642E">
        <w:rPr>
          <w:rtl/>
        </w:rPr>
        <w:t xml:space="preserve">. </w:t>
      </w:r>
      <w:r w:rsidR="00E3253D" w:rsidRPr="002F4D34">
        <w:rPr>
          <w:rStyle w:val="libFootnoteBoldChar"/>
          <w:rtl/>
        </w:rPr>
        <w:t>علل الشرائع</w:t>
      </w:r>
      <w:r w:rsidR="00E3253D" w:rsidRPr="005D642E">
        <w:rPr>
          <w:rtl/>
        </w:rPr>
        <w:t xml:space="preserve"> ، ص 308 ، ح 1 ، بسند آخر عن أبي عبدالله ، عن آبائه ، عن أميرالمؤمنين </w:t>
      </w:r>
      <w:r w:rsidR="00E3253D" w:rsidRPr="00360888">
        <w:rPr>
          <w:rStyle w:val="libFootnoteAlaemChar"/>
          <w:rtl/>
        </w:rPr>
        <w:t>عليهم‌السلام</w:t>
      </w:r>
      <w:r w:rsidR="00E3253D" w:rsidRPr="005D642E">
        <w:rPr>
          <w:rtl/>
        </w:rPr>
        <w:t xml:space="preserve"> </w:t>
      </w:r>
      <w:r w:rsidR="00360888">
        <w:rPr>
          <w:rFonts w:hint="cs"/>
          <w:rtl/>
        </w:rPr>
        <w:t>.</w:t>
      </w:r>
      <w:r w:rsidR="00E3253D" w:rsidRPr="002F4D34">
        <w:rPr>
          <w:rStyle w:val="libFootnoteBoldChar"/>
          <w:rtl/>
        </w:rPr>
        <w:t>الوافي</w:t>
      </w:r>
      <w:r w:rsidR="00E3253D" w:rsidRPr="005D642E">
        <w:rPr>
          <w:rtl/>
        </w:rPr>
        <w:t xml:space="preserve"> ، ج 24 ، ص 367 ، ح 24226 ؛ </w:t>
      </w:r>
      <w:r w:rsidR="00E3253D" w:rsidRPr="002F4D34">
        <w:rPr>
          <w:rStyle w:val="libFootnoteBoldChar"/>
          <w:rtl/>
        </w:rPr>
        <w:t>الوسائل</w:t>
      </w:r>
      <w:r w:rsidR="00E3253D" w:rsidRPr="005D642E">
        <w:rPr>
          <w:rtl/>
        </w:rPr>
        <w:t xml:space="preserve"> ، ج 3 ، ص 18 ، ح 2908.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بث ، بح ، بخ ، بس ، بف ، جس ، جن » : « أن يتبع</w:t>
      </w:r>
      <w:r w:rsidR="00E3253D">
        <w:rPr>
          <w:rtl/>
        </w:rPr>
        <w:t xml:space="preserve"> ».</w:t>
      </w:r>
      <w:r w:rsidR="00E3253D" w:rsidRPr="005D642E">
        <w:rPr>
          <w:rtl/>
        </w:rPr>
        <w:t xml:space="preserve"> وفي الوافي : « ان نتبع</w:t>
      </w:r>
      <w:r w:rsidR="00E3253D">
        <w:rPr>
          <w:rtl/>
        </w:rPr>
        <w:t xml:space="preserve"> ».</w:t>
      </w:r>
      <w:r w:rsidR="00E3253D" w:rsidRPr="005D642E">
        <w:rPr>
          <w:rtl/>
        </w:rPr>
        <w:t xml:space="preserve"> وما أثبتناه موافق للمطبوع </w:t>
      </w:r>
      <w:r w:rsidR="00E3253D">
        <w:rPr>
          <w:rtl/>
        </w:rPr>
        <w:t>و «</w:t>
      </w:r>
      <w:r w:rsidR="00E3253D" w:rsidRPr="005D642E">
        <w:rPr>
          <w:rtl/>
        </w:rPr>
        <w:t xml:space="preserve"> ى ، جح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المِجْمَرُ والمِجْمَرةُ : هي التي تُدخَّنُ بها الثياب ، قيل : من أنّثه ذهب به إلى النار ، ومن ذكّره عنى به الموضع. وقيل : هي التي يوضع فيها الجَمْر مع الدُخنة وقد اجتمر بها. والجَمْر : النار المتّقدة ، أي المشتعلة. راجع : </w:t>
      </w:r>
      <w:r w:rsidR="00E3253D" w:rsidRPr="002F4D34">
        <w:rPr>
          <w:rStyle w:val="libFootnoteBoldChar"/>
          <w:rtl/>
        </w:rPr>
        <w:t>النهاية</w:t>
      </w:r>
      <w:r w:rsidR="00E3253D" w:rsidRPr="005D642E">
        <w:rPr>
          <w:rtl/>
        </w:rPr>
        <w:t xml:space="preserve"> ، ج 1 ، ص 293 ؛ </w:t>
      </w:r>
      <w:r w:rsidR="00E3253D" w:rsidRPr="002F4D34">
        <w:rPr>
          <w:rStyle w:val="libFootnoteBoldChar"/>
          <w:rtl/>
        </w:rPr>
        <w:t>لسان العرب</w:t>
      </w:r>
      <w:r w:rsidR="00E3253D" w:rsidRPr="005D642E">
        <w:rPr>
          <w:rtl/>
        </w:rPr>
        <w:t xml:space="preserve"> ، ج 4 ، ص 144 ( جمر )</w:t>
      </w:r>
      <w:r w:rsidR="00E3253D">
        <w:rPr>
          <w:rtl/>
        </w:rPr>
        <w:t>.</w:t>
      </w:r>
    </w:p>
    <w:p w:rsidR="00E3253D" w:rsidRPr="005D642E" w:rsidRDefault="0042621E" w:rsidP="00360888">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295 ، ح 864 ؛ </w:t>
      </w:r>
      <w:r w:rsidR="00E3253D" w:rsidRPr="00E678B5">
        <w:rPr>
          <w:rStyle w:val="libFootnoteBoldChar"/>
          <w:rtl/>
        </w:rPr>
        <w:t>والاستبصار</w:t>
      </w:r>
      <w:r w:rsidR="00E3253D" w:rsidRPr="005D642E">
        <w:rPr>
          <w:rtl/>
        </w:rPr>
        <w:t xml:space="preserve"> ، ج 1 ، ص 209 ، ح 736. بسنده عن الكليني. وراجع : </w:t>
      </w:r>
      <w:r w:rsidR="00E3253D" w:rsidRPr="002F4D34">
        <w:rPr>
          <w:rStyle w:val="libFootnoteBoldChar"/>
          <w:rtl/>
        </w:rPr>
        <w:t>الكافي</w:t>
      </w:r>
      <w:r w:rsidR="00E3253D" w:rsidRPr="005D642E">
        <w:rPr>
          <w:rtl/>
        </w:rPr>
        <w:t xml:space="preserve"> ، كتاب الجنائز ، باب تحنيط الميّت وتكفينه ، ح 4341 ومصادره </w:t>
      </w:r>
      <w:r w:rsidR="00360888">
        <w:rPr>
          <w:rFonts w:hint="cs"/>
          <w:rtl/>
        </w:rPr>
        <w:t>.</w:t>
      </w:r>
      <w:r w:rsidR="00E3253D" w:rsidRPr="002F4D34">
        <w:rPr>
          <w:rStyle w:val="libFootnoteBoldChar"/>
          <w:rtl/>
        </w:rPr>
        <w:t>الوافي</w:t>
      </w:r>
      <w:r w:rsidR="00E3253D" w:rsidRPr="005D642E">
        <w:rPr>
          <w:rtl/>
        </w:rPr>
        <w:t xml:space="preserve"> ، ج 24 ، ص 367 ، ح 24227 ؛ </w:t>
      </w:r>
      <w:r w:rsidR="00E3253D" w:rsidRPr="002F4D34">
        <w:rPr>
          <w:rStyle w:val="libFootnoteBoldChar"/>
          <w:rtl/>
        </w:rPr>
        <w:t>الوسائل</w:t>
      </w:r>
      <w:r w:rsidR="00E3253D" w:rsidRPr="005D642E">
        <w:rPr>
          <w:rtl/>
        </w:rPr>
        <w:t xml:space="preserve"> ، ج 3 ، ص 17 ، ح 2906.</w:t>
      </w:r>
      <w:r w:rsidR="00360888">
        <w:rPr>
          <w:rFonts w:hint="cs"/>
          <w:rtl/>
        </w:rPr>
        <w:t xml:space="preserve">     </w:t>
      </w:r>
      <w:r w:rsidRPr="0042621E">
        <w:rPr>
          <w:rStyle w:val="libFootnote0Char"/>
          <w:rtl/>
        </w:rPr>
        <w:t>(6).</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للكفن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ثواب الأعمال</w:t>
      </w:r>
      <w:r w:rsidR="00E3253D" w:rsidRPr="005D642E">
        <w:rPr>
          <w:rtl/>
        </w:rPr>
        <w:t xml:space="preserve"> ، ص 234 ، ح 1 ؛ و</w:t>
      </w:r>
      <w:r w:rsidR="00E3253D" w:rsidRPr="002F4D34">
        <w:rPr>
          <w:rStyle w:val="libFootnoteBoldChar"/>
          <w:rtl/>
        </w:rPr>
        <w:t>علل الشرائع</w:t>
      </w:r>
      <w:r w:rsidR="00E3253D" w:rsidRPr="005D642E">
        <w:rPr>
          <w:rtl/>
        </w:rPr>
        <w:t xml:space="preserve"> ، ص 301 ، ح 1 ، بسند آخر. </w:t>
      </w:r>
      <w:r w:rsidR="00E3253D" w:rsidRPr="002F4D34">
        <w:rPr>
          <w:rStyle w:val="libFootnoteBoldChar"/>
          <w:rtl/>
        </w:rPr>
        <w:t>الفقيه</w:t>
      </w:r>
      <w:r w:rsidR="00E3253D" w:rsidRPr="005D642E">
        <w:rPr>
          <w:rtl/>
        </w:rPr>
        <w:t xml:space="preserve"> ، ج 1 ، ص 146 ، ح 409 ، مرسلاً </w:t>
      </w:r>
      <w:r w:rsidR="00AE41A6">
        <w:rPr>
          <w:rFonts w:hint="cs"/>
          <w:rtl/>
        </w:rPr>
        <w:t>.</w:t>
      </w:r>
      <w:r w:rsidR="00E3253D" w:rsidRPr="002F4D34">
        <w:rPr>
          <w:rStyle w:val="libFootnoteBoldChar"/>
          <w:rtl/>
        </w:rPr>
        <w:t>الوافي</w:t>
      </w:r>
      <w:r w:rsidR="00E3253D" w:rsidRPr="005D642E">
        <w:rPr>
          <w:rtl/>
        </w:rPr>
        <w:t xml:space="preserve"> ، ج 24 ، ص 373 ، ح 24243 ؛ </w:t>
      </w:r>
      <w:r w:rsidR="00E3253D" w:rsidRPr="002F4D34">
        <w:rPr>
          <w:rStyle w:val="libFootnoteBoldChar"/>
          <w:rtl/>
        </w:rPr>
        <w:t>الوسائل</w:t>
      </w:r>
      <w:r w:rsidR="00E3253D" w:rsidRPr="005D642E">
        <w:rPr>
          <w:rtl/>
        </w:rPr>
        <w:t xml:space="preserve"> ، ج 3 ، ص 39 ، ح 2971.</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 « النبيّ</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الْبَيَاضِ ، فَأَلْبِسُوهُ </w:t>
      </w:r>
      <w:r w:rsidRPr="007C12DB">
        <w:rPr>
          <w:rStyle w:val="libFootnotenumChar"/>
          <w:rtl/>
        </w:rPr>
        <w:t>(1)</w:t>
      </w:r>
      <w:r w:rsidRPr="005D642E">
        <w:rPr>
          <w:rtl/>
          <w:lang w:bidi="fa-IR"/>
        </w:rPr>
        <w:t xml:space="preserve"> مَوْتَاكُمْ</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E922F4">
        <w:rPr>
          <w:rtl/>
        </w:rPr>
        <w:t>4363</w:t>
      </w:r>
      <w:r w:rsidRPr="00246318">
        <w:rPr>
          <w:rStyle w:val="libBold2Char"/>
          <w:rtl/>
        </w:rPr>
        <w:t xml:space="preserve"> / 3.</w:t>
      </w:r>
      <w:r w:rsidRPr="005D642E">
        <w:rPr>
          <w:rtl/>
          <w:lang w:bidi="fa-IR"/>
        </w:rPr>
        <w:t xml:space="preserve"> عِدَّةٌ مِنْ أَصْحَابِنَا ، عَنْ أَحْمَدَ بْنِ مُحَمَّدِ بْنِ خَالِدٍ ، عَنْ عَمْرِو بْنِ عُثْمَانَ وَغَيْرِهِ ، عَنِ الْمُفَضَّلِ بْنِ صَالِحٍ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النَّبِيُّ </w:t>
      </w:r>
      <w:r w:rsidR="0042621E" w:rsidRPr="0042621E">
        <w:rPr>
          <w:rStyle w:val="libAlaemChar"/>
          <w:rtl/>
        </w:rPr>
        <w:t>صلى‌الله‌عليه‌وآله</w:t>
      </w:r>
      <w:r w:rsidRPr="005D642E">
        <w:rPr>
          <w:rtl/>
          <w:lang w:bidi="fa-IR"/>
        </w:rPr>
        <w:t xml:space="preserve"> : لَيْسَ مِنْ لِبَاسِكُمْ شَيْ‌ءٌ أَحْسَنَ مِنَ الْبَيَاضِ ، فَأَلْبِسُوهُ ، وَكَفِّنُوا فِيهِ مَوْتَاكُمْ</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E922F4">
        <w:rPr>
          <w:rtl/>
        </w:rPr>
        <w:t>4364</w:t>
      </w:r>
      <w:r w:rsidRPr="00246318">
        <w:rPr>
          <w:rStyle w:val="libBold2Char"/>
          <w:rtl/>
        </w:rPr>
        <w:t xml:space="preserve"> / 4.</w:t>
      </w:r>
      <w:r w:rsidRPr="005D642E">
        <w:rPr>
          <w:rtl/>
          <w:lang w:bidi="fa-IR"/>
        </w:rPr>
        <w:t xml:space="preserve"> عَلِيُّ بْنُ إِبْرَاهِيمَ ، عَنْ أَبِيهِ ، عَنْ عَبْدِ اللهِ بْنِ الْمُغِيرَةِ ، </w:t>
      </w:r>
      <w:r w:rsidR="00AE41A6">
        <w:rPr>
          <w:rtl/>
          <w:lang w:bidi="fa-IR"/>
        </w:rPr>
        <w:t>عَنْ بَعْضِ أَصْحَابِهِ ، قَالَ</w:t>
      </w:r>
      <w:r w:rsidRPr="005D642E">
        <w:rPr>
          <w:rtl/>
          <w:lang w:bidi="fa-IR"/>
        </w:rPr>
        <w:t>:</w:t>
      </w:r>
    </w:p>
    <w:p w:rsidR="00E3253D" w:rsidRPr="005D642E" w:rsidRDefault="00E3253D" w:rsidP="00B013B6">
      <w:pPr>
        <w:pStyle w:val="libNormal"/>
        <w:rPr>
          <w:rtl/>
          <w:lang w:bidi="fa-IR"/>
        </w:rPr>
      </w:pPr>
      <w:r w:rsidRPr="005D642E">
        <w:rPr>
          <w:rtl/>
          <w:lang w:bidi="fa-IR"/>
        </w:rPr>
        <w:t xml:space="preserve">يُسْتَحَبُّ أَنْ يَكُونَ فِي كَفَنِهِ ثَوْبٌ كَانَ يُصَلِّي فِيهِ نَظِيفٌ ؛ فَإِنَّ ذلِكَ </w:t>
      </w:r>
      <w:r w:rsidRPr="007C12DB">
        <w:rPr>
          <w:rStyle w:val="libFootnotenumChar"/>
          <w:rtl/>
        </w:rPr>
        <w:t>(4)</w:t>
      </w:r>
      <w:r w:rsidRPr="005D642E">
        <w:rPr>
          <w:rtl/>
          <w:lang w:bidi="fa-IR"/>
        </w:rPr>
        <w:t xml:space="preserve"> يُسْتَحَبُّ أَنْ يُكَفَّنَ </w:t>
      </w:r>
      <w:r w:rsidRPr="007C12DB">
        <w:rPr>
          <w:rStyle w:val="libFootnotenumChar"/>
          <w:rtl/>
        </w:rPr>
        <w:t>(5)</w:t>
      </w:r>
      <w:r w:rsidRPr="005D642E">
        <w:rPr>
          <w:rtl/>
          <w:lang w:bidi="fa-IR"/>
        </w:rPr>
        <w:t xml:space="preserve"> فِيمَا </w:t>
      </w:r>
      <w:r w:rsidRPr="007C12DB">
        <w:rPr>
          <w:rStyle w:val="libFootnotenumChar"/>
          <w:rtl/>
        </w:rPr>
        <w:t>(6)</w:t>
      </w:r>
      <w:r w:rsidRPr="005D642E">
        <w:rPr>
          <w:rtl/>
          <w:lang w:bidi="fa-IR"/>
        </w:rPr>
        <w:t xml:space="preserve"> كَانَ يُصَلِّي فِيهِ </w:t>
      </w:r>
      <w:r w:rsidRPr="007C12DB">
        <w:rPr>
          <w:rStyle w:val="libFootnotenumChar"/>
          <w:rtl/>
        </w:rPr>
        <w:t>(7)</w:t>
      </w:r>
      <w:r w:rsidR="00B013B6">
        <w:rPr>
          <w:rFonts w:hint="cs"/>
          <w:rtl/>
          <w:lang w:bidi="fa-IR"/>
        </w:rPr>
        <w:t>.</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E922F4">
        <w:rPr>
          <w:rtl/>
        </w:rPr>
        <w:t>4365</w:t>
      </w:r>
      <w:r w:rsidRPr="00246318">
        <w:rPr>
          <w:rStyle w:val="libBold2Char"/>
          <w:rtl/>
        </w:rPr>
        <w:t xml:space="preserve"> / 5.</w:t>
      </w:r>
      <w:r w:rsidRPr="005D642E">
        <w:rPr>
          <w:rtl/>
          <w:lang w:bidi="fa-IR"/>
        </w:rPr>
        <w:t xml:space="preserve"> أَبُو عَلِيٍّ الْأَشْعَرِيُّ ، عَنْ بَعْضِ أَصْحَابِنَا ، عَنِ ابْنِ فَضَّالٍ ، عَنْ مَرْوَانَ ، عَنْ عَبْدِ الْمَلِكِ </w:t>
      </w:r>
      <w:r w:rsidRPr="007C12DB">
        <w:rPr>
          <w:rStyle w:val="libFootnotenumChar"/>
          <w:rtl/>
        </w:rPr>
        <w:t>(9)</w:t>
      </w:r>
      <w:r w:rsidRPr="005D642E">
        <w:rPr>
          <w:rtl/>
          <w:lang w:bidi="fa-IR"/>
        </w:rPr>
        <w:t xml:space="preserve">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حاشية « بث ، بخ » </w:t>
      </w:r>
      <w:r w:rsidR="00B60612" w:rsidRPr="00B60612">
        <w:rPr>
          <w:rStyle w:val="libFootnoteBoldChar"/>
          <w:rtl/>
        </w:rPr>
        <w:t>والتهذيب</w:t>
      </w:r>
      <w:r w:rsidR="00E3253D" w:rsidRPr="005D642E">
        <w:rPr>
          <w:rtl/>
        </w:rPr>
        <w:t xml:space="preserve"> : + « وكفّنوا فيه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434 ، ح 1390 ، معلّقاً عن سهل بن زياد </w:t>
      </w:r>
      <w:r w:rsidR="00B013B6">
        <w:rPr>
          <w:rFonts w:hint="cs"/>
          <w:rtl/>
        </w:rPr>
        <w:t>.</w:t>
      </w:r>
      <w:r w:rsidR="00E3253D" w:rsidRPr="002F4D34">
        <w:rPr>
          <w:rStyle w:val="libFootnoteBoldChar"/>
          <w:rtl/>
        </w:rPr>
        <w:t>الوافي</w:t>
      </w:r>
      <w:r w:rsidR="00E3253D" w:rsidRPr="005D642E">
        <w:rPr>
          <w:rtl/>
        </w:rPr>
        <w:t xml:space="preserve"> ، ج 24 ، ص 373 ، ح 24244 ؛ </w:t>
      </w:r>
      <w:r w:rsidR="00E3253D" w:rsidRPr="002F4D34">
        <w:rPr>
          <w:rStyle w:val="libFootnoteBoldChar"/>
          <w:rtl/>
        </w:rPr>
        <w:t>الوسائل</w:t>
      </w:r>
      <w:r w:rsidR="00E3253D" w:rsidRPr="005D642E">
        <w:rPr>
          <w:rtl/>
        </w:rPr>
        <w:t xml:space="preserve"> ، ج 3 ، ص 41 ، ذيل ح 2978.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الكافي</w:t>
      </w:r>
      <w:r w:rsidR="00E3253D" w:rsidRPr="005D642E">
        <w:rPr>
          <w:rtl/>
        </w:rPr>
        <w:t xml:space="preserve"> ، كتاب الزيّ والتجمّل ، باب لباس البياض والقطن ، ح 12462 </w:t>
      </w:r>
      <w:r w:rsidR="00E3253D">
        <w:rPr>
          <w:rtl/>
        </w:rPr>
        <w:t>و 1</w:t>
      </w:r>
      <w:r w:rsidR="00E3253D" w:rsidRPr="005D642E">
        <w:rPr>
          <w:rtl/>
        </w:rPr>
        <w:t xml:space="preserve">2463 ، بسند آخر عن أبي عبدالله </w:t>
      </w:r>
      <w:r w:rsidR="00E3253D" w:rsidRPr="00B013B6">
        <w:rPr>
          <w:rStyle w:val="libFootnoteAlaemChar"/>
          <w:rtl/>
        </w:rPr>
        <w:t>عليه‌السلام</w:t>
      </w:r>
      <w:r w:rsidR="00E3253D" w:rsidRPr="005D642E">
        <w:rPr>
          <w:rtl/>
        </w:rPr>
        <w:t xml:space="preserve">. </w:t>
      </w:r>
      <w:r w:rsidR="00E3253D" w:rsidRPr="0035521A">
        <w:rPr>
          <w:rStyle w:val="libFootnoteBoldChar"/>
          <w:rtl/>
        </w:rPr>
        <w:t>الأمالي للطوسي</w:t>
      </w:r>
      <w:r w:rsidR="00E3253D" w:rsidRPr="005D642E">
        <w:rPr>
          <w:rtl/>
        </w:rPr>
        <w:t xml:space="preserve"> ، ص 388 ، المجلس 13 ، ح 102 ، بسند آخر عن النبيّ </w:t>
      </w:r>
      <w:r w:rsidRPr="00904D6D">
        <w:rPr>
          <w:rStyle w:val="libFootnoteAlaemChar"/>
          <w:rtl/>
        </w:rPr>
        <w:t>صلى‌الله‌عليه‌وآله</w:t>
      </w:r>
      <w:r w:rsidR="00E3253D" w:rsidRPr="005D642E">
        <w:rPr>
          <w:rtl/>
        </w:rPr>
        <w:t xml:space="preserve"> ، وفي كلّها مع اختلاف يسير </w:t>
      </w:r>
      <w:r w:rsidR="00904D6D">
        <w:rPr>
          <w:rFonts w:hint="cs"/>
          <w:rtl/>
        </w:rPr>
        <w:t>.</w:t>
      </w:r>
      <w:r w:rsidR="00E3253D" w:rsidRPr="002F4D34">
        <w:rPr>
          <w:rStyle w:val="libFootnoteBoldChar"/>
          <w:rtl/>
        </w:rPr>
        <w:t>الوافي</w:t>
      </w:r>
      <w:r w:rsidR="00E3253D" w:rsidRPr="005D642E">
        <w:rPr>
          <w:rtl/>
        </w:rPr>
        <w:t xml:space="preserve"> ، ج 24 ، ص 374 ، ح 24245 ؛ </w:t>
      </w:r>
      <w:r w:rsidR="00E3253D" w:rsidRPr="002F4D34">
        <w:rPr>
          <w:rStyle w:val="libFootnoteBoldChar"/>
          <w:rtl/>
        </w:rPr>
        <w:t>الوسائل</w:t>
      </w:r>
      <w:r w:rsidR="00E3253D" w:rsidRPr="005D642E">
        <w:rPr>
          <w:rtl/>
        </w:rPr>
        <w:t xml:space="preserve"> ، ج 3 ، ص 41 ، ح 2978 ؛ وج 5 ، ص 27 ، ذيل ح 5798.</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جس » :</w:t>
      </w:r>
      <w:r w:rsidR="00E3253D">
        <w:rPr>
          <w:rtl/>
        </w:rPr>
        <w:t xml:space="preserve"> </w:t>
      </w:r>
      <w:r w:rsidR="007642BC">
        <w:rPr>
          <w:rtl/>
        </w:rPr>
        <w:t>-</w:t>
      </w:r>
      <w:r w:rsidR="00E3253D">
        <w:rPr>
          <w:rtl/>
        </w:rPr>
        <w:t xml:space="preserve"> </w:t>
      </w:r>
      <w:r w:rsidR="00E3253D" w:rsidRPr="005D642E">
        <w:rPr>
          <w:rtl/>
        </w:rPr>
        <w:t>« يستحبّ أن يكون</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فإنّ ذلك</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الوافي</w:t>
      </w:r>
      <w:r w:rsidR="00E3253D" w:rsidRPr="005D642E">
        <w:rPr>
          <w:rtl/>
        </w:rPr>
        <w:t xml:space="preserve"> : « قوله : أن يكفّن ، بدل من ذلك</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بف » : « ممّا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مرآة العقول</w:t>
      </w:r>
      <w:r w:rsidR="00E3253D" w:rsidRPr="005D642E">
        <w:rPr>
          <w:rtl/>
        </w:rPr>
        <w:t xml:space="preserve"> ، ج 13 ، ص 319 : « قوله </w:t>
      </w:r>
      <w:r w:rsidR="00E3253D" w:rsidRPr="00904D6D">
        <w:rPr>
          <w:rStyle w:val="libFootnoteAlaemChar"/>
          <w:rtl/>
        </w:rPr>
        <w:t>عليه‌السلام</w:t>
      </w:r>
      <w:r w:rsidR="00E3253D" w:rsidRPr="005D642E">
        <w:rPr>
          <w:rtl/>
        </w:rPr>
        <w:t xml:space="preserve"> : كان يصلّي فيه ، على بناء الفاعل أو المفعول ، والأوّل أظهر</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292 ، ح 852 ، بسنده عن عبدالله بن المغيرة ، عن علاء ، عن محمّد بن مسلم ، عن أبي جعفر </w:t>
      </w:r>
      <w:r w:rsidR="00E3253D" w:rsidRPr="00904D6D">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146 ، ح 410 ، مرسلاً عن الباقر </w:t>
      </w:r>
      <w:r w:rsidR="00E3253D" w:rsidRPr="00904D6D">
        <w:rPr>
          <w:rStyle w:val="libFootnoteAlaemChar"/>
          <w:rtl/>
        </w:rPr>
        <w:t>عليه‌السلام</w:t>
      </w:r>
      <w:r w:rsidR="00E3253D" w:rsidRPr="005D642E">
        <w:rPr>
          <w:rtl/>
        </w:rPr>
        <w:t xml:space="preserve"> ، وفيهما مع اختلاف يسير. وراجع : </w:t>
      </w:r>
      <w:r w:rsidR="00E3253D" w:rsidRPr="002F4D34">
        <w:rPr>
          <w:rStyle w:val="libFootnoteBoldChar"/>
          <w:rtl/>
        </w:rPr>
        <w:t>التهذيب</w:t>
      </w:r>
      <w:r w:rsidR="00E3253D" w:rsidRPr="005D642E">
        <w:rPr>
          <w:rtl/>
        </w:rPr>
        <w:t xml:space="preserve"> ، ج 1 ، ص 292 ، ح 855 </w:t>
      </w:r>
      <w:r w:rsidR="00904D6D">
        <w:rPr>
          <w:rFonts w:hint="cs"/>
          <w:rtl/>
        </w:rPr>
        <w:t>.</w:t>
      </w:r>
      <w:r w:rsidR="00E3253D" w:rsidRPr="002F4D34">
        <w:rPr>
          <w:rStyle w:val="libFootnoteBoldChar"/>
          <w:rtl/>
        </w:rPr>
        <w:t>الوافي</w:t>
      </w:r>
      <w:r w:rsidR="00E3253D" w:rsidRPr="005D642E">
        <w:rPr>
          <w:rtl/>
        </w:rPr>
        <w:t xml:space="preserve"> ، ج 24 ، ص 377 ، ح 24253 ؛ </w:t>
      </w:r>
      <w:r w:rsidR="00E3253D" w:rsidRPr="002F4D34">
        <w:rPr>
          <w:rStyle w:val="libFootnoteBoldChar"/>
          <w:rtl/>
        </w:rPr>
        <w:t>الوسائل</w:t>
      </w:r>
      <w:r w:rsidR="00E3253D" w:rsidRPr="005D642E">
        <w:rPr>
          <w:rtl/>
        </w:rPr>
        <w:t xml:space="preserve"> ، ج 3 ، ص 15 ، ح 2899.</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الوسائل : « مروان بن عبدالملك » بدل « مروان عن عبدالملك</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سَأَلْتُ أَبَا الْحَسَنِ </w:t>
      </w:r>
      <w:r w:rsidRPr="00AC51C5">
        <w:rPr>
          <w:rStyle w:val="libAlaemChar"/>
          <w:rtl/>
        </w:rPr>
        <w:t>عليه‌السلام</w:t>
      </w:r>
      <w:r w:rsidRPr="005D642E">
        <w:rPr>
          <w:rtl/>
          <w:lang w:bidi="fa-IR"/>
        </w:rPr>
        <w:t xml:space="preserve"> عَنْ رَجُلٍ اشْتَرى مِنْ كِسْوَةِ الْكَعْبَةِ شَيْئاً ، فَقَضى </w:t>
      </w:r>
      <w:r w:rsidRPr="007C12DB">
        <w:rPr>
          <w:rStyle w:val="libFootnotenumChar"/>
          <w:rtl/>
        </w:rPr>
        <w:t>(1)</w:t>
      </w:r>
      <w:r w:rsidRPr="005D642E">
        <w:rPr>
          <w:rtl/>
          <w:lang w:bidi="fa-IR"/>
        </w:rPr>
        <w:t xml:space="preserve"> بِبَعْضِهِ حَاجَتَهُ </w:t>
      </w:r>
      <w:r w:rsidRPr="007C12DB">
        <w:rPr>
          <w:rStyle w:val="libFootnotenumChar"/>
          <w:rtl/>
        </w:rPr>
        <w:t>(2)</w:t>
      </w:r>
      <w:r w:rsidRPr="005D642E">
        <w:rPr>
          <w:rtl/>
          <w:lang w:bidi="fa-IR"/>
        </w:rPr>
        <w:t xml:space="preserve"> ، وَبَقِيَ بَعْضُهُ فِي يَدِهِ ، هَلْ يَصْلُحُ بَيْعُهُ</w:t>
      </w:r>
      <w:r>
        <w:rPr>
          <w:rtl/>
          <w:lang w:bidi="fa-IR"/>
        </w:rPr>
        <w:t>؟</w:t>
      </w:r>
    </w:p>
    <w:p w:rsidR="00E3253D" w:rsidRPr="005D642E" w:rsidRDefault="00E3253D" w:rsidP="00E3253D">
      <w:pPr>
        <w:pStyle w:val="libNormal"/>
        <w:rPr>
          <w:rtl/>
          <w:lang w:bidi="fa-IR"/>
        </w:rPr>
      </w:pPr>
      <w:r w:rsidRPr="005D642E">
        <w:rPr>
          <w:rtl/>
          <w:lang w:bidi="fa-IR"/>
        </w:rPr>
        <w:t xml:space="preserve">قَالَ : « يَبِيعُ مَا أَرَادَ ، وَيَهَبُ مَا لَمْ يُرِدْ </w:t>
      </w:r>
      <w:r w:rsidRPr="007C12DB">
        <w:rPr>
          <w:rStyle w:val="libFootnotenumChar"/>
          <w:rtl/>
        </w:rPr>
        <w:t>(3)</w:t>
      </w:r>
      <w:r w:rsidRPr="005D642E">
        <w:rPr>
          <w:rtl/>
          <w:lang w:bidi="fa-IR"/>
        </w:rPr>
        <w:t xml:space="preserve"> ، وَيَسْتَنْفِعُ بِهِ ، وَيَطْلُبُ بَرَكَتَهُ</w:t>
      </w:r>
      <w:r>
        <w:rPr>
          <w:rtl/>
          <w:lang w:bidi="fa-IR"/>
        </w:rPr>
        <w:t xml:space="preserve"> ».</w:t>
      </w:r>
    </w:p>
    <w:p w:rsidR="00E3253D" w:rsidRPr="005D642E" w:rsidRDefault="00E3253D" w:rsidP="00E3253D">
      <w:pPr>
        <w:pStyle w:val="libNormal"/>
        <w:rPr>
          <w:rtl/>
          <w:lang w:bidi="fa-IR"/>
        </w:rPr>
      </w:pPr>
      <w:r>
        <w:rPr>
          <w:rtl/>
          <w:lang w:bidi="fa-IR"/>
        </w:rPr>
        <w:t>قُلْتُ : أَ</w:t>
      </w:r>
      <w:r w:rsidRPr="005D642E">
        <w:rPr>
          <w:rtl/>
          <w:lang w:bidi="fa-IR"/>
        </w:rPr>
        <w:t>يُكَفَّنُ بِهِ الْمَيِّتُ</w:t>
      </w:r>
      <w:r>
        <w:rPr>
          <w:rtl/>
          <w:lang w:bidi="fa-IR"/>
        </w:rPr>
        <w:t>؟</w:t>
      </w:r>
      <w:r w:rsidRPr="005D642E">
        <w:rPr>
          <w:rtl/>
          <w:lang w:bidi="fa-IR"/>
        </w:rPr>
        <w:t xml:space="preserve"> قَالَ : « لَا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922F4">
        <w:rPr>
          <w:rtl/>
        </w:rPr>
        <w:t>4366</w:t>
      </w:r>
      <w:r w:rsidRPr="00246318">
        <w:rPr>
          <w:rStyle w:val="libBold2Char"/>
          <w:rtl/>
        </w:rPr>
        <w:t xml:space="preserve"> / 6.</w:t>
      </w:r>
      <w:r w:rsidRPr="005D642E">
        <w:rPr>
          <w:rtl/>
          <w:lang w:bidi="fa-IR"/>
        </w:rPr>
        <w:t xml:space="preserve"> مُحَمَّدُ بْنُ يَحْيى ، عَنْ مُحَمَّدِبْنِ أَحْمَدَ ، عَنْ مُحَمَّدِ بْنِ عِيسى </w:t>
      </w:r>
      <w:r w:rsidRPr="007C12DB">
        <w:rPr>
          <w:rStyle w:val="libFootnotenumChar"/>
          <w:rtl/>
        </w:rPr>
        <w:t>(6)</w:t>
      </w:r>
      <w:r w:rsidRPr="005D642E">
        <w:rPr>
          <w:rtl/>
          <w:lang w:bidi="fa-IR"/>
        </w:rPr>
        <w:t xml:space="preserve">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الوسائل ، ح 17688 : « فاقتضى</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بف » : « حاجة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 « ما يريد » بدل « ما لم يرد</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النهي عن الكفن لكونه حريراً ، وتجويز البيع والشراء لأنّه ليس وقفاً ، بل يحبس سنة ؛ ليكون بعده لسدنة البيت أو يعمل من نماء ما وقف كذلك</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434 ، ح 1391 ، معلّقاً عن أبي عليّ الأشعري. </w:t>
      </w:r>
      <w:r w:rsidR="00E3253D" w:rsidRPr="002F4D34">
        <w:rPr>
          <w:rStyle w:val="libFootnoteBoldChar"/>
          <w:rtl/>
        </w:rPr>
        <w:t>وفيه</w:t>
      </w:r>
      <w:r w:rsidR="00E3253D" w:rsidRPr="005D642E">
        <w:rPr>
          <w:rtl/>
        </w:rPr>
        <w:t xml:space="preserve"> ، ص 436 ، ح 1401 ، بسند آخر عن أبي جعفر </w:t>
      </w:r>
      <w:r w:rsidR="00E3253D" w:rsidRPr="00904D6D">
        <w:rPr>
          <w:rStyle w:val="libFootnoteAlaemChar"/>
          <w:rtl/>
        </w:rPr>
        <w:t>عليه‌السلام</w:t>
      </w:r>
      <w:r w:rsidR="00E3253D" w:rsidRPr="005D642E">
        <w:rPr>
          <w:rtl/>
        </w:rPr>
        <w:t xml:space="preserve"> ؛ </w:t>
      </w:r>
      <w:r w:rsidR="00E3253D" w:rsidRPr="002F4D34">
        <w:rPr>
          <w:rStyle w:val="libFootnoteBoldChar"/>
          <w:rtl/>
        </w:rPr>
        <w:t>وفيه</w:t>
      </w:r>
      <w:r w:rsidR="00E3253D" w:rsidRPr="005D642E">
        <w:rPr>
          <w:rtl/>
        </w:rPr>
        <w:t xml:space="preserve"> أيضاً ، ح 1402 ، بسند آخر عن أبي الحسن موسى </w:t>
      </w:r>
      <w:r w:rsidR="00E3253D" w:rsidRPr="00904D6D">
        <w:rPr>
          <w:rStyle w:val="libFootnoteAlaemChar"/>
          <w:rtl/>
        </w:rPr>
        <w:t>عليه‌السلام</w:t>
      </w:r>
      <w:r w:rsidR="00E3253D" w:rsidRPr="005D642E">
        <w:rPr>
          <w:rtl/>
        </w:rPr>
        <w:t xml:space="preserve"> ، وفيهما مع اختلاف. </w:t>
      </w:r>
      <w:r w:rsidR="00E3253D" w:rsidRPr="002F4D34">
        <w:rPr>
          <w:rStyle w:val="libFootnoteBoldChar"/>
          <w:rtl/>
        </w:rPr>
        <w:t>الفقيه</w:t>
      </w:r>
      <w:r w:rsidR="00E3253D" w:rsidRPr="005D642E">
        <w:rPr>
          <w:rtl/>
        </w:rPr>
        <w:t xml:space="preserve"> ، ج 1 ، ص 147 ، ح 413 ، مرسلاً عن موسى بن جعفر </w:t>
      </w:r>
      <w:r w:rsidR="00E3253D" w:rsidRPr="00904D6D">
        <w:rPr>
          <w:rStyle w:val="libFootnoteAlaemChar"/>
          <w:rtl/>
        </w:rPr>
        <w:t>عليهما‌السلام</w:t>
      </w:r>
      <w:r w:rsidR="00E3253D" w:rsidRPr="005D642E">
        <w:rPr>
          <w:rtl/>
        </w:rPr>
        <w:t xml:space="preserve"> </w:t>
      </w:r>
      <w:r w:rsidR="00904D6D">
        <w:rPr>
          <w:rFonts w:hint="cs"/>
          <w:rtl/>
        </w:rPr>
        <w:t>.</w:t>
      </w:r>
      <w:r w:rsidR="00E3253D" w:rsidRPr="002F4D34">
        <w:rPr>
          <w:rStyle w:val="libFootnoteBoldChar"/>
          <w:rtl/>
        </w:rPr>
        <w:t>الوافي</w:t>
      </w:r>
      <w:r w:rsidR="00E3253D" w:rsidRPr="005D642E">
        <w:rPr>
          <w:rtl/>
        </w:rPr>
        <w:t xml:space="preserve"> ، ج 24 ، ص 379 ، ح 24260 ؛ </w:t>
      </w:r>
      <w:r w:rsidR="00E3253D" w:rsidRPr="002F4D34">
        <w:rPr>
          <w:rStyle w:val="libFootnoteBoldChar"/>
          <w:rtl/>
        </w:rPr>
        <w:t>الوسائل</w:t>
      </w:r>
      <w:r w:rsidR="00E3253D" w:rsidRPr="005D642E">
        <w:rPr>
          <w:rtl/>
        </w:rPr>
        <w:t xml:space="preserve"> ، ج 3 ، ص 44 ، ح 2983 ؛ وج 13 ، ص 258 ، ح 17688.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النسخ وحاشية المطبوع نقلاً من أكثر النسخ. وفي المطبوع والوسائل : « محمّد بن يحيى ، عن أحمدبن محمّد بن عيسى</w:t>
      </w:r>
      <w:r w:rsidR="00E3253D">
        <w:rPr>
          <w:rtl/>
        </w:rPr>
        <w:t xml:space="preserve"> ».</w:t>
      </w:r>
      <w:r w:rsidR="00E3253D" w:rsidRPr="005D642E">
        <w:rPr>
          <w:rtl/>
        </w:rPr>
        <w:t xml:space="preserve"> وفي </w:t>
      </w:r>
      <w:r w:rsidR="00E3253D" w:rsidRPr="002F4D34">
        <w:rPr>
          <w:rStyle w:val="libFootnoteBoldChar"/>
          <w:rtl/>
        </w:rPr>
        <w:t>البحار</w:t>
      </w:r>
      <w:r w:rsidR="00E3253D" w:rsidRPr="005D642E">
        <w:rPr>
          <w:rtl/>
        </w:rPr>
        <w:t xml:space="preserve"> : « محمّد بن يحيى ، عن أحمد بن محمّد ، عن محمّد بن عيسى</w:t>
      </w:r>
      <w:r w:rsidR="00E3253D">
        <w:rPr>
          <w:rtl/>
        </w:rPr>
        <w:t xml:space="preserve"> ».</w:t>
      </w:r>
      <w:r w:rsidR="00E3253D" w:rsidRPr="005D642E">
        <w:rPr>
          <w:rtl/>
        </w:rPr>
        <w:t xml:space="preserve"> وقد روى محمّد بن يحيى ، عن محمّد بن أحمد ، عن محمّد بن عيسى في أسناد عديدة. راجع : </w:t>
      </w:r>
      <w:r w:rsidR="00E3253D" w:rsidRPr="002F4D34">
        <w:rPr>
          <w:rStyle w:val="libFootnoteBoldChar"/>
          <w:rtl/>
        </w:rPr>
        <w:t>معجم رجال الحديث</w:t>
      </w:r>
      <w:r w:rsidR="00E3253D" w:rsidRPr="005D642E">
        <w:rPr>
          <w:rtl/>
        </w:rPr>
        <w:t xml:space="preserve"> ، ج 14 ، ص 444</w:t>
      </w:r>
      <w:r w:rsidR="00E3253D">
        <w:rPr>
          <w:rtl/>
        </w:rPr>
        <w:t xml:space="preserve"> </w:t>
      </w:r>
      <w:r w:rsidR="007642BC">
        <w:rPr>
          <w:rtl/>
        </w:rPr>
        <w:t>-</w:t>
      </w:r>
      <w:r w:rsidR="00E3253D">
        <w:rPr>
          <w:rtl/>
        </w:rPr>
        <w:t xml:space="preserve"> </w:t>
      </w:r>
      <w:r w:rsidR="00E3253D" w:rsidRPr="005D642E">
        <w:rPr>
          <w:rtl/>
        </w:rPr>
        <w:t>445.</w:t>
      </w:r>
    </w:p>
    <w:p w:rsidR="00E3253D" w:rsidRPr="005D642E" w:rsidRDefault="00E3253D" w:rsidP="00E3253D">
      <w:pPr>
        <w:pStyle w:val="libFootnote0"/>
        <w:rPr>
          <w:rtl/>
          <w:lang w:bidi="fa-IR"/>
        </w:rPr>
      </w:pPr>
      <w:r w:rsidRPr="00B60612">
        <w:rPr>
          <w:rtl/>
        </w:rPr>
        <w:t xml:space="preserve">هذا ، وقد أكثر محمّد بن يحيى من الرواية عن محمّد بن الحسين ، وتوسّط محمّد بن الحسين بين محمّد بن يحيى وبين عبدالرحمن بن أبي هاشم في عددٍ من الأسناد. راجع : </w:t>
      </w:r>
      <w:r w:rsidRPr="002F4D34">
        <w:rPr>
          <w:rStyle w:val="libFootnoteBoldChar"/>
          <w:rtl/>
        </w:rPr>
        <w:t>معجم رجال الحديث</w:t>
      </w:r>
      <w:r w:rsidRPr="00B60612">
        <w:rPr>
          <w:rtl/>
        </w:rPr>
        <w:t xml:space="preserve"> ، ج 15 ، ص 412 ؛ وج 18 ، ص 379.</w:t>
      </w:r>
    </w:p>
    <w:p w:rsidR="00E3253D" w:rsidRPr="005D642E" w:rsidRDefault="00E3253D" w:rsidP="00B60612">
      <w:pPr>
        <w:pStyle w:val="libFootnote0"/>
        <w:rPr>
          <w:rtl/>
          <w:lang w:bidi="fa-IR"/>
        </w:rPr>
      </w:pPr>
      <w:r w:rsidRPr="0095070A">
        <w:rPr>
          <w:rtl/>
        </w:rPr>
        <w:t>فعليه الظاهر وقوع التحريف في سند الكتاب ، حتّى على ما أثبتناه. ويُحتَمَل على بُعدٍ أن يكون الأصل في السند هكذا : « محمّد بن يحيى ، عن محمّد بن أحمد ، عن محمّد بن عيسى ؛ ومحمّد بن الحسين ، عن عبدالرحمن بن أبي هاشم » بأن يكون « محمّد بن الحسين » معطوفاً على « محمّد بن أحمد ، عن محمّد بن عيسى » فيروي محمّد بن يحيى عن عبدالرحمن بن أبي هاشم تارةً بواسطتين وا</w:t>
      </w:r>
      <w:r w:rsidR="00904D6D">
        <w:rPr>
          <w:rFonts w:hint="cs"/>
          <w:rtl/>
        </w:rPr>
        <w:t>ُ</w:t>
      </w:r>
      <w:r w:rsidRPr="0095070A">
        <w:rPr>
          <w:rtl/>
        </w:rPr>
        <w:t>خرى بواسطة واحدة.</w:t>
      </w:r>
    </w:p>
    <w:p w:rsidR="00E3253D" w:rsidRPr="005D642E" w:rsidRDefault="00E3253D" w:rsidP="00E3253D">
      <w:pPr>
        <w:pStyle w:val="libFootnote0"/>
        <w:rPr>
          <w:rtl/>
          <w:lang w:bidi="fa-IR"/>
        </w:rPr>
      </w:pPr>
      <w:r w:rsidRPr="00B60612">
        <w:rPr>
          <w:rtl/>
        </w:rPr>
        <w:t xml:space="preserve">ويؤيّد ذلك ما ورد في </w:t>
      </w:r>
      <w:r w:rsidRPr="002F4D34">
        <w:rPr>
          <w:rStyle w:val="libFootnoteBoldChar"/>
          <w:rtl/>
        </w:rPr>
        <w:t>كمال الدين</w:t>
      </w:r>
      <w:r w:rsidRPr="00B60612">
        <w:rPr>
          <w:rtl/>
        </w:rPr>
        <w:t xml:space="preserve"> ، ص 300 ، ح 7 ؛ </w:t>
      </w:r>
      <w:r w:rsidR="00B60612" w:rsidRPr="00B60612">
        <w:rPr>
          <w:rStyle w:val="libFootnoteBoldChar"/>
          <w:rtl/>
        </w:rPr>
        <w:t>والتهذيب</w:t>
      </w:r>
      <w:r w:rsidRPr="002F4D34">
        <w:rPr>
          <w:rStyle w:val="libFootnoteBoldChar"/>
          <w:rtl/>
        </w:rPr>
        <w:t xml:space="preserve"> </w:t>
      </w:r>
      <w:r w:rsidRPr="00B60612">
        <w:rPr>
          <w:rtl/>
        </w:rPr>
        <w:t>، ج 3 ، ص 275 ، ح 800 من رواية محمّد بن عيسى عن عبدالرحمن بن أبي هاشم ، وأنّ محمّد بن يحيى روى عن محمّد بن أحمد ، عن محمّد بن عيسى في عددٍ من الأسناد.</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مُحَمَّدِ بْنِ الْحُسَيْنِ ، عَنْ عَبْدِ الرَّحْمنِ بْنِ أَبِي هَاشِمٍ ، عَنْ أَبِي خَدِيجَةَ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تَنَوَّقُوا </w:t>
      </w:r>
      <w:r w:rsidRPr="007C12DB">
        <w:rPr>
          <w:rStyle w:val="libFootnotenumChar"/>
          <w:rtl/>
        </w:rPr>
        <w:t>(1)</w:t>
      </w:r>
      <w:r w:rsidRPr="005D642E">
        <w:rPr>
          <w:rtl/>
          <w:lang w:bidi="fa-IR"/>
        </w:rPr>
        <w:t xml:space="preserve"> فِي الْأَكْفَانِ </w:t>
      </w:r>
      <w:r w:rsidRPr="007C12DB">
        <w:rPr>
          <w:rStyle w:val="libFootnotenumChar"/>
          <w:rtl/>
        </w:rPr>
        <w:t>(2)</w:t>
      </w:r>
      <w:r w:rsidRPr="005D642E">
        <w:rPr>
          <w:rtl/>
          <w:lang w:bidi="fa-IR"/>
        </w:rPr>
        <w:t xml:space="preserve"> ؛ فَإِنَّكُمْ تُبْعَثُونَ بِهَا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E922F4">
        <w:rPr>
          <w:rtl/>
        </w:rPr>
        <w:t>4367</w:t>
      </w:r>
      <w:r w:rsidRPr="00246318">
        <w:rPr>
          <w:rStyle w:val="libBold2Char"/>
          <w:rtl/>
        </w:rPr>
        <w:t xml:space="preserve"> / 7.</w:t>
      </w:r>
      <w:r w:rsidRPr="005D642E">
        <w:rPr>
          <w:rtl/>
          <w:lang w:bidi="fa-IR"/>
        </w:rPr>
        <w:t xml:space="preserve"> مُحَمَّدُ بْنُ يَحْيى ، عَنْ مُحَمَّدِ بْنِ الْحُسَيْنِ ، عَنْ عَبْدِ الرَّحْمنِ بْنِ أَبِي هَاشِمٍ ، عَنْ أَبِي خَدِيجَةَ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الْكَتَّانُ كَانَ لِبَنِي إِسْرَائِيلَ يُكَفَّنُونَ بِهِ ، وَالْقُطْنُ </w:t>
      </w:r>
      <w:r w:rsidRPr="007C12DB">
        <w:rPr>
          <w:rStyle w:val="libFootnotenumChar"/>
          <w:rtl/>
        </w:rPr>
        <w:t>(5)</w:t>
      </w:r>
      <w:r w:rsidRPr="005D642E">
        <w:rPr>
          <w:rtl/>
          <w:lang w:bidi="fa-IR"/>
        </w:rPr>
        <w:t xml:space="preserve"> لِامَّةِ مُحَمَّدٍ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E922F4">
        <w:rPr>
          <w:rtl/>
        </w:rPr>
        <w:t>4368</w:t>
      </w:r>
      <w:r w:rsidRPr="00246318">
        <w:rPr>
          <w:rStyle w:val="libBold2Char"/>
          <w:rtl/>
        </w:rPr>
        <w:t xml:space="preserve"> / 8.</w:t>
      </w:r>
      <w:r w:rsidRPr="005D642E">
        <w:rPr>
          <w:rtl/>
          <w:lang w:bidi="fa-IR"/>
        </w:rPr>
        <w:t xml:space="preserve"> عِدَّةٌ مِنْ أَصْحَابِنَا ، عَنْ سَهْلِ بْنِ زِيَادٍ ، عَنْ مُحَمَّدِ بْنِ عَمْرِو بْنِ سَعِيدٍ ، عَنْ يُونُسَ بْنِ يَعْقُوبَ :</w:t>
      </w:r>
    </w:p>
    <w:p w:rsidR="00E3253D" w:rsidRPr="005D642E" w:rsidRDefault="00E3253D" w:rsidP="00E3253D">
      <w:pPr>
        <w:pStyle w:val="libNormal"/>
        <w:rPr>
          <w:rtl/>
          <w:lang w:bidi="fa-IR"/>
        </w:rPr>
      </w:pPr>
      <w:r w:rsidRPr="005D642E">
        <w:rPr>
          <w:rtl/>
          <w:lang w:bidi="fa-IR"/>
        </w:rPr>
        <w:t xml:space="preserve">عَنْ أَبِي الْحَسَنِ الْأَوَّلِ </w:t>
      </w:r>
      <w:r w:rsidRPr="00AC51C5">
        <w:rPr>
          <w:rStyle w:val="libAlaemChar"/>
          <w:rtl/>
        </w:rPr>
        <w:t>عليه‌السلام</w:t>
      </w:r>
      <w:r w:rsidRPr="005D642E">
        <w:rPr>
          <w:rtl/>
          <w:lang w:bidi="fa-IR"/>
        </w:rPr>
        <w:t xml:space="preserve"> ، قَالَ : سَمِعْتُهُ يَقُولُ : « إِنِّي كَفَّنْتُ أَبِي فِي ثَوْبَيْنِ شَطَوِيَّيْنِ </w:t>
      </w:r>
      <w:r w:rsidRPr="007C12DB">
        <w:rPr>
          <w:rStyle w:val="libFootnotenumChar"/>
          <w:rtl/>
        </w:rPr>
        <w:t>(7)</w:t>
      </w:r>
      <w:r w:rsidRPr="005D642E">
        <w:rPr>
          <w:rtl/>
          <w:lang w:bidi="fa-IR"/>
        </w:rPr>
        <w:t xml:space="preserve"> كَانَ يُحْرِمُ‌</w:t>
      </w:r>
      <w:r w:rsidR="008B462E">
        <w:rPr>
          <w:rFonts w:hint="cs"/>
          <w:rtl/>
          <w:lang w:bidi="fa-IR"/>
        </w:rPr>
        <w:t>................................................................</w:t>
      </w:r>
      <w:r w:rsidR="008B462E">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تنوّقوا » أي بالغوا ، يقال : تنوّق فلان في منطقه وملبسه وا</w:t>
      </w:r>
      <w:r w:rsidR="00E8223A">
        <w:rPr>
          <w:rFonts w:hint="cs"/>
          <w:rtl/>
        </w:rPr>
        <w:t>ُ</w:t>
      </w:r>
      <w:r w:rsidR="00E3253D" w:rsidRPr="005D642E">
        <w:rPr>
          <w:rtl/>
        </w:rPr>
        <w:t xml:space="preserve">موره ، إذا تجوّد وبالغ ، وتنيّق لغة. راجع : </w:t>
      </w:r>
      <w:r w:rsidR="00E3253D" w:rsidRPr="002F4D34">
        <w:rPr>
          <w:rStyle w:val="libFootnoteBoldChar"/>
          <w:rtl/>
        </w:rPr>
        <w:t>لسان العرب</w:t>
      </w:r>
      <w:r w:rsidR="00E3253D" w:rsidRPr="005D642E">
        <w:rPr>
          <w:rtl/>
        </w:rPr>
        <w:t xml:space="preserve"> ، ج 10 ، ص 363 ؛ </w:t>
      </w:r>
      <w:r w:rsidR="00E3253D" w:rsidRPr="002F4D34">
        <w:rPr>
          <w:rStyle w:val="libFootnoteBoldChar"/>
          <w:rtl/>
        </w:rPr>
        <w:t>القاموس المحيط</w:t>
      </w:r>
      <w:r w:rsidR="00E3253D" w:rsidRPr="005D642E">
        <w:rPr>
          <w:rtl/>
        </w:rPr>
        <w:t xml:space="preserve"> ، ج 2 ، ص 1228 ( نوق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 « بالأكفان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لاينافي هذا الخبر ما ورد في حشر الموتى عراة ، ولعلّهم ابتداءً يحشرون عراة ، ثمّ يلبسون أكفانهم ، أو هذا في المؤمنين الكاملين وتلك في غيرهم ، وما عمله النبيّ </w:t>
      </w:r>
      <w:r w:rsidRPr="00E8223A">
        <w:rPr>
          <w:rStyle w:val="libFootnoteAlaemChar"/>
          <w:rtl/>
        </w:rPr>
        <w:t>صلى‌الله‌عليه‌وآله</w:t>
      </w:r>
      <w:r w:rsidR="00E3253D" w:rsidRPr="005D642E">
        <w:rPr>
          <w:rtl/>
        </w:rPr>
        <w:t xml:space="preserve"> في فاطمة بنت أسد</w:t>
      </w:r>
      <w:r w:rsidR="00E3253D">
        <w:rPr>
          <w:rtl/>
        </w:rPr>
        <w:t xml:space="preserve"> </w:t>
      </w:r>
      <w:r w:rsidR="007642BC">
        <w:rPr>
          <w:rtl/>
        </w:rPr>
        <w:t>-</w:t>
      </w:r>
      <w:r w:rsidR="00E3253D">
        <w:rPr>
          <w:rtl/>
        </w:rPr>
        <w:t xml:space="preserve"> </w:t>
      </w:r>
      <w:r w:rsidR="00E3253D" w:rsidRPr="005D642E">
        <w:rPr>
          <w:rtl/>
        </w:rPr>
        <w:t>رضي الله عنها</w:t>
      </w:r>
      <w:r w:rsidR="00E3253D">
        <w:rPr>
          <w:rtl/>
        </w:rPr>
        <w:t xml:space="preserve"> </w:t>
      </w:r>
      <w:r w:rsidR="007642BC">
        <w:rPr>
          <w:rtl/>
        </w:rPr>
        <w:t>-</w:t>
      </w:r>
      <w:r w:rsidR="00E3253D">
        <w:rPr>
          <w:rtl/>
        </w:rPr>
        <w:t xml:space="preserve"> </w:t>
      </w:r>
      <w:r w:rsidR="00E3253D" w:rsidRPr="005D642E">
        <w:rPr>
          <w:rtl/>
        </w:rPr>
        <w:t>لزيادة الاطمئنان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449 ، ح 1454 ، بإسناده عن محمّد بن أحمد بن يحيى ، عن محمّد بن عيسى ، عن ابن سنان ، عن أبي عبدالله </w:t>
      </w:r>
      <w:r w:rsidR="00E3253D" w:rsidRPr="00E8223A">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146 ، ح 408 ، مرسلاً ، مع اختلاف يسير </w:t>
      </w:r>
      <w:r w:rsidR="00E8223A">
        <w:rPr>
          <w:rFonts w:hint="cs"/>
          <w:rtl/>
        </w:rPr>
        <w:t>.</w:t>
      </w:r>
      <w:r w:rsidR="00E3253D" w:rsidRPr="002F4D34">
        <w:rPr>
          <w:rStyle w:val="libFootnoteBoldChar"/>
          <w:rtl/>
        </w:rPr>
        <w:t>الوافي</w:t>
      </w:r>
      <w:r w:rsidR="00E3253D" w:rsidRPr="005D642E">
        <w:rPr>
          <w:rtl/>
        </w:rPr>
        <w:t xml:space="preserve"> ، ج 24 ، ص 374 ، ح 24246 ؛ </w:t>
      </w:r>
      <w:r w:rsidR="00E3253D" w:rsidRPr="002F4D34">
        <w:rPr>
          <w:rStyle w:val="libFootnoteBoldChar"/>
          <w:rtl/>
        </w:rPr>
        <w:t>الوسائل</w:t>
      </w:r>
      <w:r w:rsidR="00E3253D" w:rsidRPr="005D642E">
        <w:rPr>
          <w:rtl/>
        </w:rPr>
        <w:t xml:space="preserve"> ، ج 3 ، ص 39 ، ح 2972 ؛ </w:t>
      </w:r>
      <w:r w:rsidR="00E3253D" w:rsidRPr="002F4D34">
        <w:rPr>
          <w:rStyle w:val="libFootnoteBoldChar"/>
          <w:rtl/>
        </w:rPr>
        <w:t>البحار</w:t>
      </w:r>
      <w:r w:rsidR="00E3253D" w:rsidRPr="005D642E">
        <w:rPr>
          <w:rtl/>
        </w:rPr>
        <w:t xml:space="preserve"> ، ج 7 ، ص 43 ، ح 20.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لاخلاف في استحباب التكفين بالقطن والمشهور كراهة الكتّان ، ويظهر من الصدوق عدم‌الجواز والكراهة أظهر ، والترك أحوط</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434 ، ح 1392 ؛ </w:t>
      </w:r>
      <w:r w:rsidR="00E3253D" w:rsidRPr="00E678B5">
        <w:rPr>
          <w:rStyle w:val="libFootnoteBoldChar"/>
          <w:rtl/>
        </w:rPr>
        <w:t>والاستبصار</w:t>
      </w:r>
      <w:r w:rsidR="00E3253D" w:rsidRPr="005D642E">
        <w:rPr>
          <w:rtl/>
        </w:rPr>
        <w:t xml:space="preserve"> ، ج 1 ، ص 210 ، ح 741 ، معلّقاً عن محمّد بن يحيى. </w:t>
      </w:r>
      <w:r w:rsidR="00E3253D" w:rsidRPr="002F4D34">
        <w:rPr>
          <w:rStyle w:val="libFootnoteBoldChar"/>
          <w:rtl/>
        </w:rPr>
        <w:t>الفقيه</w:t>
      </w:r>
      <w:r w:rsidR="00E3253D" w:rsidRPr="005D642E">
        <w:rPr>
          <w:rtl/>
        </w:rPr>
        <w:t xml:space="preserve"> ، ج 1 ، ص 147 ، ح 411 ، مرسلاً </w:t>
      </w:r>
      <w:r w:rsidR="00EC383C">
        <w:rPr>
          <w:rFonts w:hint="cs"/>
          <w:rtl/>
        </w:rPr>
        <w:t>.</w:t>
      </w:r>
      <w:r w:rsidR="00E3253D" w:rsidRPr="002F4D34">
        <w:rPr>
          <w:rStyle w:val="libFootnoteBoldChar"/>
          <w:rtl/>
        </w:rPr>
        <w:t>الوافي</w:t>
      </w:r>
      <w:r w:rsidR="00E3253D" w:rsidRPr="005D642E">
        <w:rPr>
          <w:rtl/>
        </w:rPr>
        <w:t xml:space="preserve"> ، ج 24 ، ص 374 ، ح 24248 ؛ </w:t>
      </w:r>
      <w:r w:rsidR="00E3253D" w:rsidRPr="002F4D34">
        <w:rPr>
          <w:rStyle w:val="libFootnoteBoldChar"/>
          <w:rtl/>
        </w:rPr>
        <w:t>الوسائل</w:t>
      </w:r>
      <w:r w:rsidR="00E3253D" w:rsidRPr="005D642E">
        <w:rPr>
          <w:rtl/>
        </w:rPr>
        <w:t xml:space="preserve"> ، ج 3 ، ص 42 ، ح 2979.</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الشَطَوِيّ : منسوب إلى شَطا ، وهي اسم قرية بناحية مصر تنسب إليها الثياب الشطويّة. وقيل : الشَطَويّة : ضرب‌من ثياب الكتّان تُصنَع في شطا. راجع : </w:t>
      </w:r>
      <w:r w:rsidR="00E3253D" w:rsidRPr="002F4D34">
        <w:rPr>
          <w:rStyle w:val="libFootnoteBoldChar"/>
          <w:rtl/>
        </w:rPr>
        <w:t>الصحاح</w:t>
      </w:r>
      <w:r w:rsidR="00E3253D" w:rsidRPr="005D642E">
        <w:rPr>
          <w:rtl/>
        </w:rPr>
        <w:t xml:space="preserve"> ، ج 6 ، ص 2392 ؛ </w:t>
      </w:r>
      <w:r w:rsidR="00E3253D" w:rsidRPr="002F4D34">
        <w:rPr>
          <w:rStyle w:val="libFootnoteBoldChar"/>
          <w:rtl/>
        </w:rPr>
        <w:t>لسان العرب</w:t>
      </w:r>
      <w:r w:rsidR="00E3253D" w:rsidRPr="005D642E">
        <w:rPr>
          <w:rtl/>
        </w:rPr>
        <w:t xml:space="preserve"> ، ج 14 ، ص 432 ( شطا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فِيهِمَا </w:t>
      </w:r>
      <w:r w:rsidRPr="007C12DB">
        <w:rPr>
          <w:rStyle w:val="libFootnotenumChar"/>
          <w:rtl/>
        </w:rPr>
        <w:t>(1)</w:t>
      </w:r>
      <w:r w:rsidRPr="005D642E">
        <w:rPr>
          <w:rtl/>
          <w:lang w:bidi="fa-IR"/>
        </w:rPr>
        <w:t xml:space="preserve"> ، وَفِي قَمِيصٍ مِنْ قُمُصِهِ </w:t>
      </w:r>
      <w:r w:rsidRPr="007C12DB">
        <w:rPr>
          <w:rStyle w:val="libFootnotenumChar"/>
          <w:rtl/>
        </w:rPr>
        <w:t>(2)</w:t>
      </w:r>
      <w:r w:rsidRPr="005D642E">
        <w:rPr>
          <w:rtl/>
          <w:lang w:bidi="fa-IR"/>
        </w:rPr>
        <w:t xml:space="preserve"> ، وَعِمَامَةٍ كَانَتْ </w:t>
      </w:r>
      <w:r w:rsidRPr="007C12DB">
        <w:rPr>
          <w:rStyle w:val="libFootnotenumChar"/>
          <w:rtl/>
        </w:rPr>
        <w:t>(3)</w:t>
      </w:r>
      <w:r w:rsidRPr="005D642E">
        <w:rPr>
          <w:rtl/>
          <w:lang w:bidi="fa-IR"/>
        </w:rPr>
        <w:t xml:space="preserve"> لِعَلِيِّ بْنِ الْحُسَيْنِ </w:t>
      </w:r>
      <w:r w:rsidRPr="00AC51C5">
        <w:rPr>
          <w:rStyle w:val="libAlaemChar"/>
          <w:rtl/>
        </w:rPr>
        <w:t>عليهما‌السلام</w:t>
      </w:r>
      <w:r w:rsidRPr="005D642E">
        <w:rPr>
          <w:rtl/>
          <w:lang w:bidi="fa-IR"/>
        </w:rPr>
        <w:t xml:space="preserve"> ، وَفِي بُرْدٍ </w:t>
      </w:r>
      <w:r w:rsidRPr="007C12DB">
        <w:rPr>
          <w:rStyle w:val="libFootnotenumChar"/>
          <w:rtl/>
        </w:rPr>
        <w:t>(4)</w:t>
      </w:r>
      <w:r w:rsidRPr="005D642E">
        <w:rPr>
          <w:rtl/>
          <w:lang w:bidi="fa-IR"/>
        </w:rPr>
        <w:t xml:space="preserve"> اشْتَرَيْتُهُ </w:t>
      </w:r>
      <w:r w:rsidRPr="007C12DB">
        <w:rPr>
          <w:rStyle w:val="libFootnotenumChar"/>
          <w:rtl/>
        </w:rPr>
        <w:t>(5)</w:t>
      </w:r>
      <w:r w:rsidRPr="005D642E">
        <w:rPr>
          <w:rtl/>
          <w:lang w:bidi="fa-IR"/>
        </w:rPr>
        <w:t xml:space="preserve"> بِأَرْبَعِينَ دِينَاراً ، لَوْ </w:t>
      </w:r>
      <w:r w:rsidRPr="007C12DB">
        <w:rPr>
          <w:rStyle w:val="libFootnotenumChar"/>
          <w:rtl/>
        </w:rPr>
        <w:t>(6)</w:t>
      </w:r>
      <w:r w:rsidRPr="005D642E">
        <w:rPr>
          <w:rtl/>
          <w:lang w:bidi="fa-IR"/>
        </w:rPr>
        <w:t xml:space="preserve"> كَانَ الْيَوْمَ لَسَاوى </w:t>
      </w:r>
      <w:r w:rsidRPr="007C12DB">
        <w:rPr>
          <w:rStyle w:val="libFootnotenumChar"/>
          <w:rtl/>
        </w:rPr>
        <w:t>(7)</w:t>
      </w:r>
      <w:r w:rsidRPr="005D642E">
        <w:rPr>
          <w:rtl/>
          <w:lang w:bidi="fa-IR"/>
        </w:rPr>
        <w:t xml:space="preserve"> أَرْبَعَمِائَةِ دِينَارٍ</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E922F4">
        <w:rPr>
          <w:rtl/>
        </w:rPr>
        <w:t>4369</w:t>
      </w:r>
      <w:r w:rsidRPr="00246318">
        <w:rPr>
          <w:rStyle w:val="libBold2Char"/>
          <w:rtl/>
        </w:rPr>
        <w:t xml:space="preserve"> / 9.</w:t>
      </w:r>
      <w:r w:rsidRPr="005D642E">
        <w:rPr>
          <w:rtl/>
          <w:lang w:bidi="fa-IR"/>
        </w:rPr>
        <w:t xml:space="preserve"> سَهْلُ بْنُ زِيَادٍ </w:t>
      </w:r>
      <w:r w:rsidRPr="007C12DB">
        <w:rPr>
          <w:rStyle w:val="libFootnotenumChar"/>
          <w:rtl/>
        </w:rPr>
        <w:t>(9)</w:t>
      </w:r>
      <w:r w:rsidRPr="005D642E">
        <w:rPr>
          <w:rtl/>
          <w:lang w:bidi="fa-IR"/>
        </w:rPr>
        <w:t xml:space="preserve"> ، عَنْ أَيُّوبَ بْنِ نُوحٍ ، عَمَّنْ رَوَاهُ ، عَنْ أَبِي مَرْيَمَ الْأَنْصَارِيِّ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 أَنَّ الْحَسَنَ بْنَ عَلِيٍّ </w:t>
      </w:r>
      <w:r w:rsidRPr="00AC51C5">
        <w:rPr>
          <w:rStyle w:val="libAlaemChar"/>
          <w:rtl/>
        </w:rPr>
        <w:t>عليهما‌السلام</w:t>
      </w:r>
      <w:r w:rsidRPr="005D642E">
        <w:rPr>
          <w:rtl/>
          <w:lang w:bidi="fa-IR"/>
        </w:rPr>
        <w:t xml:space="preserve"> كَفَّنَ أُسَامَةَ بْنَ زَيْدٍ بِبُرْدٍ </w:t>
      </w:r>
      <w:r w:rsidRPr="007C12DB">
        <w:rPr>
          <w:rStyle w:val="libFootnotenumChar"/>
          <w:rtl/>
        </w:rPr>
        <w:t>(10)</w:t>
      </w:r>
      <w:r w:rsidRPr="005D642E">
        <w:rPr>
          <w:rtl/>
          <w:lang w:bidi="fa-IR"/>
        </w:rPr>
        <w:t xml:space="preserve"> أَحْمَرَ </w:t>
      </w:r>
      <w:r w:rsidRPr="007C12DB">
        <w:rPr>
          <w:rStyle w:val="libFootnotenumChar"/>
          <w:rtl/>
        </w:rPr>
        <w:t>(11)</w:t>
      </w:r>
      <w:r w:rsidRPr="005D642E">
        <w:rPr>
          <w:rtl/>
          <w:lang w:bidi="fa-IR"/>
        </w:rPr>
        <w:t xml:space="preserve"> حِبَرَةٍ </w:t>
      </w:r>
      <w:r w:rsidRPr="007C12DB">
        <w:rPr>
          <w:rStyle w:val="libFootnotenumChar"/>
          <w:rtl/>
        </w:rPr>
        <w:t>(12)</w:t>
      </w:r>
      <w:r w:rsidRPr="005D642E">
        <w:rPr>
          <w:rtl/>
          <w:lang w:bidi="fa-IR"/>
        </w:rPr>
        <w:t xml:space="preserve"> ، وَأَنَّ عَلِيّاً </w:t>
      </w:r>
      <w:r w:rsidRPr="00AC51C5">
        <w:rPr>
          <w:rStyle w:val="libAlaemChar"/>
          <w:rtl/>
        </w:rPr>
        <w:t>عليه‌السلام</w:t>
      </w:r>
      <w:r w:rsidRPr="005D642E">
        <w:rPr>
          <w:rtl/>
          <w:lang w:bidi="fa-IR"/>
        </w:rPr>
        <w:t xml:space="preserve"> كَفَّنَ سَهْلَ بْنَ حُنَيْفٍ بِبُرْدٍ </w:t>
      </w:r>
      <w:r w:rsidRPr="007C12DB">
        <w:rPr>
          <w:rStyle w:val="libFootnotenumChar"/>
          <w:rtl/>
        </w:rPr>
        <w:t>(13)</w:t>
      </w:r>
      <w:r w:rsidRPr="005D642E">
        <w:rPr>
          <w:rtl/>
          <w:lang w:bidi="fa-IR"/>
        </w:rPr>
        <w:t xml:space="preserve"> أَحْمَرَ حِبَرَةٍ </w:t>
      </w:r>
      <w:r w:rsidRPr="007C12DB">
        <w:rPr>
          <w:rStyle w:val="libFootnotenumChar"/>
          <w:rtl/>
        </w:rPr>
        <w:t>(14)</w:t>
      </w:r>
      <w:r>
        <w:rPr>
          <w:rtl/>
          <w:lang w:bidi="fa-IR"/>
        </w:rPr>
        <w:t xml:space="preserve"> ».</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قال في </w:t>
      </w:r>
      <w:r w:rsidR="00E3253D" w:rsidRPr="002F4D34">
        <w:rPr>
          <w:rStyle w:val="libFootnoteBoldChar"/>
          <w:rtl/>
        </w:rPr>
        <w:t>الاستبصار</w:t>
      </w:r>
      <w:r w:rsidR="00E3253D" w:rsidRPr="005D642E">
        <w:rPr>
          <w:rtl/>
        </w:rPr>
        <w:t xml:space="preserve"> ذيل الحديث 742 : « الوجه في هذا الخبر الحال التي لايقدر فيها على القطن ، على أنّه حكايةفعل ، ويجوز أن يكون ذلك يختصّ بهم </w:t>
      </w:r>
      <w:r w:rsidR="00E3253D" w:rsidRPr="00EC383C">
        <w:rPr>
          <w:rStyle w:val="libFootnoteAlaemChar"/>
          <w:rtl/>
        </w:rPr>
        <w:t>عليهم‌السلام</w:t>
      </w:r>
      <w:r w:rsidR="00E3253D" w:rsidRPr="005D642E">
        <w:rPr>
          <w:rtl/>
        </w:rPr>
        <w:t xml:space="preserve"> ، ولم يقل فيه : ينبغي أن تفعلوا أنتم ، وإذا لم يكن فيه لم يجب المصير إليه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من قمصه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كانت</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البُرْد » : ثوب مُخطَّط ، وقد يطلق على غير المخطّط. راجع : </w:t>
      </w:r>
      <w:r w:rsidR="00E3253D" w:rsidRPr="002F4D34">
        <w:rPr>
          <w:rStyle w:val="libFootnoteBoldChar"/>
          <w:rtl/>
        </w:rPr>
        <w:t>لسان العرب</w:t>
      </w:r>
      <w:r w:rsidR="00E3253D" w:rsidRPr="005D642E">
        <w:rPr>
          <w:rtl/>
        </w:rPr>
        <w:t xml:space="preserve"> ، ج 3 ، ص 87 ؛ </w:t>
      </w:r>
      <w:r w:rsidR="00E3253D" w:rsidRPr="002F4D34">
        <w:rPr>
          <w:rStyle w:val="libFootnoteBoldChar"/>
          <w:rtl/>
        </w:rPr>
        <w:t>القاموس المحيط</w:t>
      </w:r>
      <w:r w:rsidR="00E3253D" w:rsidRPr="005D642E">
        <w:rPr>
          <w:rtl/>
        </w:rPr>
        <w:t xml:space="preserve"> ، ج 1 ، ص 394 ( برد )</w:t>
      </w:r>
      <w:r w:rsidR="00E3253D">
        <w:rPr>
          <w:rtl/>
        </w:rPr>
        <w:t>.</w:t>
      </w:r>
      <w:r w:rsidR="00E3253D">
        <w:rPr>
          <w:rFonts w:hint="cs"/>
          <w:rtl/>
          <w:lang w:bidi="fa-IR"/>
        </w:rPr>
        <w:t xml:space="preserve"> </w:t>
      </w:r>
      <w:r w:rsidR="00EC383C">
        <w:rPr>
          <w:rFonts w:hint="cs"/>
          <w:rtl/>
          <w:lang w:bidi="fa-IR"/>
        </w:rPr>
        <w:t xml:space="preserve">                      </w:t>
      </w:r>
      <w:r w:rsidRPr="0042621E">
        <w:rPr>
          <w:rStyle w:val="libFootnote0Char"/>
          <w:rtl/>
        </w:rPr>
        <w:t>(5).</w:t>
      </w:r>
      <w:r w:rsidR="00E3253D" w:rsidRPr="005D642E">
        <w:rPr>
          <w:rtl/>
        </w:rPr>
        <w:t xml:space="preserve"> في الكافي ، ح 1288 : « اشتراه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C383C" w:rsidTr="00EC383C">
        <w:tc>
          <w:tcPr>
            <w:tcW w:w="4006" w:type="dxa"/>
          </w:tcPr>
          <w:p w:rsidR="00EC383C" w:rsidRDefault="00EC383C" w:rsidP="00E3253D">
            <w:pPr>
              <w:pStyle w:val="libFootnote0"/>
              <w:rPr>
                <w:rStyle w:val="libFootnote0Char"/>
                <w:rtl/>
              </w:rPr>
            </w:pPr>
            <w:r w:rsidRPr="0042621E">
              <w:rPr>
                <w:rStyle w:val="libFootnote0Char"/>
                <w:rtl/>
              </w:rPr>
              <w:t>(6).</w:t>
            </w:r>
            <w:r w:rsidRPr="005D642E">
              <w:rPr>
                <w:rtl/>
              </w:rPr>
              <w:t xml:space="preserve"> في الوسائل ، ح 2973 : « ولو</w:t>
            </w:r>
            <w:r>
              <w:rPr>
                <w:rtl/>
              </w:rPr>
              <w:t xml:space="preserve"> ».</w:t>
            </w:r>
          </w:p>
        </w:tc>
        <w:tc>
          <w:tcPr>
            <w:tcW w:w="4006" w:type="dxa"/>
          </w:tcPr>
          <w:p w:rsidR="00EC383C" w:rsidRDefault="00EC383C" w:rsidP="00E3253D">
            <w:pPr>
              <w:pStyle w:val="libFootnote0"/>
              <w:rPr>
                <w:rStyle w:val="libFootnote0Char"/>
                <w:rtl/>
              </w:rPr>
            </w:pPr>
            <w:r w:rsidRPr="0042621E">
              <w:rPr>
                <w:rStyle w:val="libFootnote0Char"/>
                <w:rtl/>
              </w:rPr>
              <w:t>(7).</w:t>
            </w:r>
            <w:r w:rsidRPr="005D642E">
              <w:rPr>
                <w:rtl/>
              </w:rPr>
              <w:t xml:space="preserve"> في « ظ ، ى ، بخ ، جن » : « يساوي</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434 ، ح 1393 ؛ </w:t>
      </w:r>
      <w:r w:rsidR="00E3253D" w:rsidRPr="00E678B5">
        <w:rPr>
          <w:rStyle w:val="libFootnoteBoldChar"/>
          <w:rtl/>
        </w:rPr>
        <w:t>والاستبصار</w:t>
      </w:r>
      <w:r w:rsidR="00E3253D" w:rsidRPr="005D642E">
        <w:rPr>
          <w:rtl/>
        </w:rPr>
        <w:t xml:space="preserve"> ، ج 1 ، ص 210 ، ح 742 ، معلّقاً عن سهل بن زياد. </w:t>
      </w:r>
      <w:r w:rsidR="00E3253D" w:rsidRPr="002F4D34">
        <w:rPr>
          <w:rStyle w:val="libFootnoteBoldChar"/>
          <w:rtl/>
        </w:rPr>
        <w:t>الكافي</w:t>
      </w:r>
      <w:r w:rsidR="00E3253D" w:rsidRPr="005D642E">
        <w:rPr>
          <w:rtl/>
        </w:rPr>
        <w:t xml:space="preserve"> ، كتاب الحجّة ، باب مولد أبي عبدالله جعفر بن محمّد </w:t>
      </w:r>
      <w:r w:rsidR="00E3253D" w:rsidRPr="00EC383C">
        <w:rPr>
          <w:rStyle w:val="libFootnoteAlaemChar"/>
          <w:rtl/>
        </w:rPr>
        <w:t>عليهما‌السلام</w:t>
      </w:r>
      <w:r w:rsidR="00E3253D" w:rsidRPr="005D642E">
        <w:rPr>
          <w:rtl/>
        </w:rPr>
        <w:t xml:space="preserve"> ، ح 1288 ، عن سعد بن عبدالله ، عن أبي جعفر ، عن محمّد بن عمر بن سعيد ، إلى قوله : « اشتريته بأربعين ديناراً » وفي كلّها مع اختلاف يسير </w:t>
      </w:r>
      <w:r w:rsidR="001A41BA">
        <w:rPr>
          <w:rFonts w:hint="cs"/>
          <w:rtl/>
        </w:rPr>
        <w:t>.</w:t>
      </w:r>
      <w:r w:rsidR="00E3253D" w:rsidRPr="002F4D34">
        <w:rPr>
          <w:rStyle w:val="libFootnoteBoldChar"/>
          <w:rtl/>
        </w:rPr>
        <w:t>الوافي</w:t>
      </w:r>
      <w:r w:rsidR="00E3253D" w:rsidRPr="005D642E">
        <w:rPr>
          <w:rtl/>
        </w:rPr>
        <w:t xml:space="preserve"> ، ج 24 ، ص 375 ، ح 24249 ؛ </w:t>
      </w:r>
      <w:r w:rsidR="00E3253D" w:rsidRPr="002F4D34">
        <w:rPr>
          <w:rStyle w:val="libFootnoteBoldChar"/>
          <w:rtl/>
        </w:rPr>
        <w:t>الوسائل</w:t>
      </w:r>
      <w:r w:rsidR="00E3253D" w:rsidRPr="005D642E">
        <w:rPr>
          <w:rtl/>
        </w:rPr>
        <w:t xml:space="preserve"> ، ج 3 ، ص 10 ، ح 2881 ؛ </w:t>
      </w:r>
      <w:r w:rsidR="00E3253D" w:rsidRPr="002F4D34">
        <w:rPr>
          <w:rStyle w:val="libFootnoteBoldChar"/>
          <w:rtl/>
        </w:rPr>
        <w:t>وفيه</w:t>
      </w:r>
      <w:r w:rsidR="00E3253D" w:rsidRPr="005D642E">
        <w:rPr>
          <w:rtl/>
        </w:rPr>
        <w:t xml:space="preserve"> ، ص 16 ، ح 2903 ، إلى قوله : « وفي قميص من قمصه » ؛ وص 40 ، ح 2973 ؛ </w:t>
      </w:r>
      <w:r w:rsidR="00E3253D" w:rsidRPr="002F4D34">
        <w:rPr>
          <w:rStyle w:val="libFootnoteBoldChar"/>
          <w:rtl/>
        </w:rPr>
        <w:t>البحار</w:t>
      </w:r>
      <w:r w:rsidR="00E3253D" w:rsidRPr="005D642E">
        <w:rPr>
          <w:rtl/>
        </w:rPr>
        <w:t xml:space="preserve"> ، ج 47 ، ص 7 ، ح 20.</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السند معلّق على سابقه. ويروي عن سهل بن زياد ، عدّة من أصحابنا.</w:t>
      </w:r>
    </w:p>
    <w:tbl>
      <w:tblPr>
        <w:tblStyle w:val="TableGrid"/>
        <w:bidiVisual/>
        <w:tblW w:w="0" w:type="auto"/>
        <w:tblLook w:val="04A0" w:firstRow="1" w:lastRow="0" w:firstColumn="1" w:lastColumn="0" w:noHBand="0" w:noVBand="1"/>
      </w:tblPr>
      <w:tblGrid>
        <w:gridCol w:w="4006"/>
        <w:gridCol w:w="4006"/>
      </w:tblGrid>
      <w:tr w:rsidR="001A41BA" w:rsidTr="001A41BA">
        <w:tc>
          <w:tcPr>
            <w:tcW w:w="4006" w:type="dxa"/>
          </w:tcPr>
          <w:p w:rsidR="001A41BA" w:rsidRDefault="001A41BA" w:rsidP="00E3253D">
            <w:pPr>
              <w:pStyle w:val="libFootnote0"/>
              <w:rPr>
                <w:rStyle w:val="libFootnote0Char"/>
                <w:rtl/>
              </w:rPr>
            </w:pPr>
            <w:r w:rsidRPr="0042621E">
              <w:rPr>
                <w:rStyle w:val="libFootnote0Char"/>
                <w:rtl/>
              </w:rPr>
              <w:t>(10).</w:t>
            </w:r>
            <w:r w:rsidRPr="005D642E">
              <w:rPr>
                <w:rtl/>
              </w:rPr>
              <w:t xml:space="preserve"> في التهذيب ، ح 869 : « في برد</w:t>
            </w:r>
            <w:r>
              <w:rPr>
                <w:rtl/>
              </w:rPr>
              <w:t xml:space="preserve"> ».</w:t>
            </w:r>
          </w:p>
        </w:tc>
        <w:tc>
          <w:tcPr>
            <w:tcW w:w="4006" w:type="dxa"/>
          </w:tcPr>
          <w:p w:rsidR="001A41BA" w:rsidRDefault="001A41BA" w:rsidP="00E3253D">
            <w:pPr>
              <w:pStyle w:val="libFootnote0"/>
              <w:rPr>
                <w:rStyle w:val="libFootnote0Char"/>
                <w:rtl/>
              </w:rPr>
            </w:pPr>
            <w:r w:rsidRPr="0042621E">
              <w:rPr>
                <w:rStyle w:val="libFootnote0Char"/>
                <w:rtl/>
              </w:rPr>
              <w:t>(11).</w:t>
            </w:r>
            <w:r w:rsidRPr="005D642E">
              <w:rPr>
                <w:rtl/>
              </w:rPr>
              <w:t xml:space="preserve"> في التهذيب :</w:t>
            </w:r>
            <w:r>
              <w:rPr>
                <w:rtl/>
              </w:rPr>
              <w:t xml:space="preserve"> - </w:t>
            </w:r>
            <w:r w:rsidRPr="005D642E">
              <w:rPr>
                <w:rtl/>
              </w:rPr>
              <w:t>« أحمر</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حبرة</w:t>
      </w:r>
      <w:r w:rsidR="00E3253D">
        <w:rPr>
          <w:rtl/>
        </w:rPr>
        <w:t xml:space="preserve"> ».</w:t>
      </w:r>
      <w:r w:rsidR="00E3253D" w:rsidRPr="005D642E">
        <w:rPr>
          <w:rtl/>
        </w:rPr>
        <w:t xml:space="preserve"> </w:t>
      </w:r>
      <w:r w:rsidR="00E3253D">
        <w:rPr>
          <w:rtl/>
        </w:rPr>
        <w:t>و «</w:t>
      </w:r>
      <w:r w:rsidR="00E3253D" w:rsidRPr="005D642E">
        <w:rPr>
          <w:rtl/>
        </w:rPr>
        <w:t xml:space="preserve"> الحبرة » بوزن عنبة : بُرْد يمان ، يقال : برد حبرة على الوصف والإضافة. راجع : </w:t>
      </w:r>
      <w:r w:rsidR="00E3253D" w:rsidRPr="002F4D34">
        <w:rPr>
          <w:rStyle w:val="libFootnoteBoldChar"/>
          <w:rtl/>
        </w:rPr>
        <w:t>الصحاح</w:t>
      </w:r>
      <w:r w:rsidR="00E3253D" w:rsidRPr="005D642E">
        <w:rPr>
          <w:rtl/>
        </w:rPr>
        <w:t xml:space="preserve"> ، ج 2 ، ص 621 ؛ </w:t>
      </w:r>
      <w:r w:rsidR="00E3253D" w:rsidRPr="002F4D34">
        <w:rPr>
          <w:rStyle w:val="libFootnoteBoldChar"/>
          <w:rtl/>
        </w:rPr>
        <w:t>النهاية</w:t>
      </w:r>
      <w:r w:rsidR="00E3253D" w:rsidRPr="005D642E">
        <w:rPr>
          <w:rtl/>
        </w:rPr>
        <w:t xml:space="preserve"> ، ج 1 ، ص 328 ( حبر )</w:t>
      </w:r>
      <w:r w:rsidR="00E3253D">
        <w:rPr>
          <w:rtl/>
        </w:rPr>
        <w:t>.</w:t>
      </w:r>
    </w:p>
    <w:tbl>
      <w:tblPr>
        <w:tblStyle w:val="TableGrid"/>
        <w:bidiVisual/>
        <w:tblW w:w="0" w:type="auto"/>
        <w:tblLook w:val="04A0" w:firstRow="1" w:lastRow="0" w:firstColumn="1" w:lastColumn="0" w:noHBand="0" w:noVBand="1"/>
      </w:tblPr>
      <w:tblGrid>
        <w:gridCol w:w="4006"/>
        <w:gridCol w:w="4006"/>
      </w:tblGrid>
      <w:tr w:rsidR="00280F8C" w:rsidTr="00280F8C">
        <w:tc>
          <w:tcPr>
            <w:tcW w:w="4006" w:type="dxa"/>
          </w:tcPr>
          <w:p w:rsidR="00280F8C" w:rsidRDefault="00280F8C" w:rsidP="00E3253D">
            <w:pPr>
              <w:pStyle w:val="libFootnote0"/>
              <w:rPr>
                <w:rStyle w:val="libFootnote0Char"/>
                <w:rtl/>
                <w:lang w:bidi="fa-IR"/>
              </w:rPr>
            </w:pPr>
            <w:r w:rsidRPr="0042621E">
              <w:rPr>
                <w:rStyle w:val="libFootnote0Char"/>
                <w:rtl/>
              </w:rPr>
              <w:t>(13).</w:t>
            </w:r>
            <w:r w:rsidRPr="005D642E">
              <w:rPr>
                <w:rtl/>
              </w:rPr>
              <w:t xml:space="preserve"> في التهذيب ، ح 869 : « في برد</w:t>
            </w:r>
            <w:r>
              <w:rPr>
                <w:rtl/>
              </w:rPr>
              <w:t xml:space="preserve"> ».</w:t>
            </w:r>
          </w:p>
        </w:tc>
        <w:tc>
          <w:tcPr>
            <w:tcW w:w="4006" w:type="dxa"/>
          </w:tcPr>
          <w:p w:rsidR="00280F8C" w:rsidRDefault="00280F8C" w:rsidP="00E3253D">
            <w:pPr>
              <w:pStyle w:val="libFootnote0"/>
              <w:rPr>
                <w:rStyle w:val="libFootnote0Char"/>
                <w:rtl/>
                <w:lang w:bidi="fa-IR"/>
              </w:rPr>
            </w:pPr>
            <w:r w:rsidRPr="0042621E">
              <w:rPr>
                <w:rStyle w:val="libFootnote0Char"/>
                <w:rtl/>
              </w:rPr>
              <w:t>(14).</w:t>
            </w:r>
            <w:r>
              <w:rPr>
                <w:rtl/>
              </w:rPr>
              <w:t xml:space="preserve"> </w:t>
            </w:r>
            <w:r w:rsidRPr="005D642E">
              <w:rPr>
                <w:rtl/>
              </w:rPr>
              <w:t>في « بث » : « وحبرة</w:t>
            </w:r>
            <w:r>
              <w:rPr>
                <w:rtl/>
              </w:rPr>
              <w:t xml:space="preserve"> ».</w:t>
            </w:r>
          </w:p>
        </w:tc>
      </w:tr>
    </w:tbl>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التهذيب</w:t>
      </w:r>
      <w:r w:rsidR="00E3253D" w:rsidRPr="005D642E">
        <w:rPr>
          <w:rtl/>
        </w:rPr>
        <w:t xml:space="preserve"> ، ج 1 ، ص 296 ، ح 868 ، بسنده عن الكليني. </w:t>
      </w:r>
      <w:r w:rsidR="00E3253D" w:rsidRPr="002F4D34">
        <w:rPr>
          <w:rStyle w:val="libFootnoteBoldChar"/>
          <w:rtl/>
        </w:rPr>
        <w:t>رجال الكشّي</w:t>
      </w:r>
      <w:r w:rsidR="00E3253D" w:rsidRPr="005D642E">
        <w:rPr>
          <w:rtl/>
        </w:rPr>
        <w:t xml:space="preserve"> ، ص 39 ، ح 80 ، بسنده عن محمّد بن أحمد ، عن سهل بن زاذويه ، عن أيّوب بن نوح ، إلى قوله : « كفّن ا</w:t>
      </w:r>
      <w:r w:rsidR="007D3BE7">
        <w:rPr>
          <w:rFonts w:hint="cs"/>
          <w:rtl/>
        </w:rPr>
        <w:t>ُ</w:t>
      </w:r>
      <w:r w:rsidR="00E3253D" w:rsidRPr="005D642E">
        <w:rPr>
          <w:rtl/>
        </w:rPr>
        <w:t>سامة بن زيد ببرد أحمر</w:t>
      </w:r>
      <w:r w:rsidR="00E3253D">
        <w:rPr>
          <w:rtl/>
        </w:rPr>
        <w:t xml:space="preserve"> ».</w:t>
      </w:r>
      <w:r w:rsidR="00E3253D" w:rsidRPr="005D642E">
        <w:rPr>
          <w:rtl/>
        </w:rPr>
        <w:t xml:space="preserve"> </w:t>
      </w:r>
      <w:r w:rsidR="00E3253D" w:rsidRPr="002F4D34">
        <w:rPr>
          <w:rStyle w:val="libFootnoteBoldChar"/>
          <w:rtl/>
        </w:rPr>
        <w:t>التهذيب</w:t>
      </w:r>
      <w:r w:rsidR="00E3253D" w:rsidRPr="005D642E">
        <w:rPr>
          <w:rtl/>
        </w:rPr>
        <w:t xml:space="preserve"> ، ج 1 ، ص 296 ، ذيل ح 869 ، بسنده عن أبي مريم الأنصاري. </w:t>
      </w:r>
      <w:r w:rsidR="00E3253D" w:rsidRPr="002F4D34">
        <w:rPr>
          <w:rStyle w:val="libFootnoteBoldChar"/>
          <w:rtl/>
        </w:rPr>
        <w:t>رجال الكشّي</w:t>
      </w:r>
      <w:r w:rsidR="00E3253D" w:rsidRPr="005D642E">
        <w:rPr>
          <w:rtl/>
        </w:rPr>
        <w:t xml:space="preserve"> ، ص 36 ، ح 73 ، بسند آخر عن جعفر بن محمّد </w:t>
      </w:r>
      <w:r w:rsidR="00E3253D" w:rsidRPr="001A41BA">
        <w:rPr>
          <w:rStyle w:val="libFootnoteAlaemChar"/>
          <w:rtl/>
        </w:rPr>
        <w:t>عليهما‌السلام</w:t>
      </w:r>
      <w:r w:rsidR="00E3253D" w:rsidRPr="005D642E">
        <w:rPr>
          <w:rtl/>
        </w:rPr>
        <w:t xml:space="preserve"> ، من قوله : « إنّ عليّاً كفّن سهل بن حنيف » </w:t>
      </w:r>
      <w:r w:rsidR="007D3BE7">
        <w:rPr>
          <w:rFonts w:hint="cs"/>
          <w:rtl/>
        </w:rPr>
        <w:t>.</w:t>
      </w:r>
      <w:r w:rsidR="00E3253D" w:rsidRPr="002F4D34">
        <w:rPr>
          <w:rStyle w:val="libFootnoteBoldChar"/>
          <w:rtl/>
        </w:rPr>
        <w:t>الوافي</w:t>
      </w:r>
      <w:r w:rsidR="00E3253D" w:rsidRPr="005D642E">
        <w:rPr>
          <w:rtl/>
        </w:rPr>
        <w:t xml:space="preserve"> ، ج 24 ، ص 376 ، ح 24250 ؛ </w:t>
      </w:r>
      <w:r w:rsidR="00E3253D" w:rsidRPr="002F4D34">
        <w:rPr>
          <w:rStyle w:val="libFootnoteBoldChar"/>
          <w:rtl/>
        </w:rPr>
        <w:t>الوسائل</w:t>
      </w:r>
      <w:r w:rsidR="00E3253D" w:rsidRPr="005D642E">
        <w:rPr>
          <w:rtl/>
        </w:rPr>
        <w:t xml:space="preserve"> ، ج 3 ، ص 31 ، ح 2950.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922F4">
        <w:rPr>
          <w:rtl/>
        </w:rPr>
        <w:t>4370</w:t>
      </w:r>
      <w:r w:rsidRPr="00246318">
        <w:rPr>
          <w:rStyle w:val="libBold2Char"/>
          <w:rtl/>
        </w:rPr>
        <w:t xml:space="preserve"> / 10.</w:t>
      </w:r>
      <w:r w:rsidRPr="005D642E">
        <w:rPr>
          <w:rtl/>
          <w:lang w:bidi="fa-IR"/>
        </w:rPr>
        <w:t xml:space="preserve"> مُحَمَّدُ بْنُ يَحْيى ، عَنْ مُحَمَّدِ بْنِ أَحْمَدَ ، عَنْ أَحْمَدَ بْنِ الْحَسَنِ بْنِ عَلِيٍّ ، عَنْ عَمْرِو بْنِ سَعِيدٍ ، عَنْ مُصَدِّقِ بْنِ صَدَقَةَ ، عَنْ عَمَّارِ بْنِ مُوسى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w:t>
      </w:r>
      <w:r w:rsidRPr="007C12DB">
        <w:rPr>
          <w:rStyle w:val="libFootnotenumChar"/>
          <w:rtl/>
        </w:rPr>
        <w:t>(1)</w:t>
      </w:r>
      <w:r w:rsidRPr="005D642E">
        <w:rPr>
          <w:rtl/>
          <w:lang w:bidi="fa-IR"/>
        </w:rPr>
        <w:t xml:space="preserve"> : « الْكَفَنُ </w:t>
      </w:r>
      <w:r w:rsidRPr="007C12DB">
        <w:rPr>
          <w:rStyle w:val="libFootnotenumChar"/>
          <w:rtl/>
        </w:rPr>
        <w:t>(2)</w:t>
      </w:r>
      <w:r w:rsidRPr="005D642E">
        <w:rPr>
          <w:rtl/>
          <w:lang w:bidi="fa-IR"/>
        </w:rPr>
        <w:t xml:space="preserve"> يَكُونُ بُرْداً ، فَإِنْ لَمْ يَكُنْ بُرْداً </w:t>
      </w:r>
      <w:r w:rsidRPr="007C12DB">
        <w:rPr>
          <w:rStyle w:val="libFootnotenumChar"/>
          <w:rtl/>
        </w:rPr>
        <w:t>(3)</w:t>
      </w:r>
      <w:r w:rsidRPr="005D642E">
        <w:rPr>
          <w:rtl/>
          <w:lang w:bidi="fa-IR"/>
        </w:rPr>
        <w:t xml:space="preserve"> ، فَاجْعَلْهُ كُلَّهُ قُطْناً ، فَإِنْ </w:t>
      </w:r>
      <w:r w:rsidRPr="007C12DB">
        <w:rPr>
          <w:rStyle w:val="libFootnotenumChar"/>
          <w:rtl/>
        </w:rPr>
        <w:t>(4)</w:t>
      </w:r>
      <w:r w:rsidRPr="005D642E">
        <w:rPr>
          <w:rtl/>
          <w:lang w:bidi="fa-IR"/>
        </w:rPr>
        <w:t xml:space="preserve"> لَمْ تَجِدْ </w:t>
      </w:r>
      <w:r w:rsidRPr="007C12DB">
        <w:rPr>
          <w:rStyle w:val="libFootnotenumChar"/>
          <w:rtl/>
        </w:rPr>
        <w:t>(5)</w:t>
      </w:r>
      <w:r w:rsidRPr="005D642E">
        <w:rPr>
          <w:rtl/>
          <w:lang w:bidi="fa-IR"/>
        </w:rPr>
        <w:t xml:space="preserve"> عِمَامَةَ قُطْنٍ ، فَاجْعَلِ الْعِمَامَةَ سَابِرِيّاً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E922F4">
        <w:rPr>
          <w:rtl/>
        </w:rPr>
        <w:t>4371</w:t>
      </w:r>
      <w:r w:rsidRPr="00246318">
        <w:rPr>
          <w:rStyle w:val="libBold2Char"/>
          <w:rtl/>
        </w:rPr>
        <w:t xml:space="preserve"> / 11.</w:t>
      </w:r>
      <w:r w:rsidRPr="005D642E">
        <w:rPr>
          <w:rtl/>
          <w:lang w:bidi="fa-IR"/>
        </w:rPr>
        <w:t xml:space="preserve"> عَلِيُّ بْنُ مُحَمَّدٍ ، عَنْ بَعْضِ أَصْحَابِهِ ، عَنِ الْوَشَّاءِ ، عَنِ الْحُسَيْنِ بْنِ الْمُخْتَارِ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يُكَفَّنُ الْمَيِّتُ فِي السَّوَادِ </w:t>
      </w:r>
      <w:r w:rsidRPr="007C12DB">
        <w:rPr>
          <w:rStyle w:val="libFootnotenumChar"/>
          <w:rtl/>
        </w:rPr>
        <w:t>(8)</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E922F4">
        <w:rPr>
          <w:rtl/>
        </w:rPr>
        <w:t>4372</w:t>
      </w:r>
      <w:r w:rsidRPr="00246318">
        <w:rPr>
          <w:rStyle w:val="libBold2Char"/>
          <w:rtl/>
        </w:rPr>
        <w:t xml:space="preserve"> / 12.</w:t>
      </w:r>
      <w:r w:rsidRPr="005D642E">
        <w:rPr>
          <w:rtl/>
          <w:lang w:bidi="fa-IR"/>
        </w:rPr>
        <w:t xml:space="preserve"> مُحَمَّدُ بْنُ يَحْيى ، عَنْ مُحَمَّدِ بْنِ أَحْمَدَ ، عَنْ مُحَمَّدِ بْنِ عِيسى ، عَنِ</w:t>
      </w:r>
      <w:r>
        <w:rPr>
          <w:rFonts w:hint="cs"/>
          <w:rtl/>
          <w:lang w:bidi="fa-IR"/>
        </w:rPr>
        <w:t xml:space="preserve"> </w:t>
      </w:r>
      <w:r w:rsidRPr="005D642E">
        <w:rPr>
          <w:rtl/>
          <w:lang w:bidi="fa-IR"/>
        </w:rPr>
        <w:t xml:space="preserve">الْحَسَنِ </w:t>
      </w:r>
      <w:r w:rsidRPr="007C12DB">
        <w:rPr>
          <w:rStyle w:val="libFootnotenumChar"/>
          <w:rtl/>
        </w:rPr>
        <w:t>(10)</w:t>
      </w:r>
      <w:r w:rsidRPr="005D642E">
        <w:rPr>
          <w:rtl/>
          <w:lang w:bidi="fa-IR"/>
        </w:rPr>
        <w:t xml:space="preserve"> بْنِ رَاشِدٍ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حاشية « بخ » : + « إنّ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الوافي</w:t>
      </w:r>
      <w:r w:rsidR="00E3253D" w:rsidRPr="005D642E">
        <w:rPr>
          <w:rtl/>
        </w:rPr>
        <w:t xml:space="preserve"> : « يعني بالكفن الفوقانيّ منه ، كما دلّ عليه قوله </w:t>
      </w:r>
      <w:r w:rsidR="00E3253D" w:rsidRPr="007D3BE7">
        <w:rPr>
          <w:rStyle w:val="libFootnoteAlaemChar"/>
          <w:rtl/>
        </w:rPr>
        <w:t>عليه‌السلام</w:t>
      </w:r>
      <w:r w:rsidR="00E3253D" w:rsidRPr="005D642E">
        <w:rPr>
          <w:rtl/>
        </w:rPr>
        <w:t xml:space="preserve"> : كلّه قطناً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D3BE7" w:rsidTr="007D3BE7">
        <w:tc>
          <w:tcPr>
            <w:tcW w:w="4006" w:type="dxa"/>
          </w:tcPr>
          <w:p w:rsidR="007D3BE7" w:rsidRDefault="007D3BE7" w:rsidP="00E3253D">
            <w:pPr>
              <w:pStyle w:val="libFootnote0"/>
              <w:rPr>
                <w:rStyle w:val="libFootnote0Char"/>
                <w:rtl/>
              </w:rPr>
            </w:pPr>
            <w:r w:rsidRPr="0042621E">
              <w:rPr>
                <w:rStyle w:val="libFootnote0Char"/>
                <w:rtl/>
              </w:rPr>
              <w:t>(3).</w:t>
            </w:r>
            <w:r w:rsidRPr="005D642E">
              <w:rPr>
                <w:rtl/>
              </w:rPr>
              <w:t xml:space="preserve"> في « بخ » </w:t>
            </w:r>
            <w:r w:rsidRPr="000D749A">
              <w:rPr>
                <w:rStyle w:val="libFootnoteBoldChar"/>
                <w:rtl/>
              </w:rPr>
              <w:t>والوافي</w:t>
            </w:r>
            <w:r w:rsidRPr="005D642E">
              <w:rPr>
                <w:rtl/>
              </w:rPr>
              <w:t xml:space="preserve"> : « برد</w:t>
            </w:r>
            <w:r>
              <w:rPr>
                <w:rtl/>
              </w:rPr>
              <w:t xml:space="preserve"> ».</w:t>
            </w:r>
          </w:p>
        </w:tc>
        <w:tc>
          <w:tcPr>
            <w:tcW w:w="4006" w:type="dxa"/>
          </w:tcPr>
          <w:p w:rsidR="007D3BE7" w:rsidRDefault="007D3BE7" w:rsidP="00E3253D">
            <w:pPr>
              <w:pStyle w:val="libFootnote0"/>
              <w:rPr>
                <w:rStyle w:val="libFootnote0Char"/>
                <w:rtl/>
              </w:rPr>
            </w:pPr>
            <w:r w:rsidRPr="0042621E">
              <w:rPr>
                <w:rStyle w:val="libFootnote0Char"/>
                <w:rtl/>
              </w:rPr>
              <w:t>(4).</w:t>
            </w:r>
            <w:r w:rsidRPr="005D642E">
              <w:rPr>
                <w:rtl/>
              </w:rPr>
              <w:t xml:space="preserve"> في « بف » : « وإن</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 « لم يجد</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السابريّ : ضرب من الثياب ، رقيق ، قال ابن الأثير : « كلّ رقيق عندهم سابريّ ، والأصل فيه الدُروع السابريّة منسوبة إلى سابور</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675 ؛ </w:t>
      </w:r>
      <w:r w:rsidR="00E3253D" w:rsidRPr="002F4D34">
        <w:rPr>
          <w:rStyle w:val="libFootnoteBoldChar"/>
          <w:rtl/>
        </w:rPr>
        <w:t>النهاية</w:t>
      </w:r>
      <w:r w:rsidR="00E3253D" w:rsidRPr="005D642E">
        <w:rPr>
          <w:rtl/>
        </w:rPr>
        <w:t xml:space="preserve"> ، ج 2 ، ص 334 ( سبر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الاستبصار</w:t>
      </w:r>
      <w:r w:rsidR="00E3253D" w:rsidRPr="005D642E">
        <w:rPr>
          <w:rtl/>
        </w:rPr>
        <w:t xml:space="preserve"> ، ج 1 ، ص 210 ، ح 740 ، بسنده عن محمّد بن يحيى ، عن محمّد بن أحمد بن يحيى ، عن أحمد بن الحسن بن عليّ ؛ </w:t>
      </w:r>
      <w:r w:rsidR="00E3253D" w:rsidRPr="002F4D34">
        <w:rPr>
          <w:rStyle w:val="libFootnoteBoldChar"/>
          <w:rtl/>
        </w:rPr>
        <w:t>التهذيب</w:t>
      </w:r>
      <w:r w:rsidR="00E3253D" w:rsidRPr="005D642E">
        <w:rPr>
          <w:rtl/>
        </w:rPr>
        <w:t xml:space="preserve"> ، ج 1 ، ص 296 ، ح 870 ، معلّقاً عن محمّد بن أحمد بن يحيى ، عن أحمد بن الحسن بن عليّ </w:t>
      </w:r>
      <w:r w:rsidR="00E3253D" w:rsidRPr="002F4D34">
        <w:rPr>
          <w:rStyle w:val="libFootnoteBoldChar"/>
          <w:rtl/>
        </w:rPr>
        <w:t>فيه</w:t>
      </w:r>
      <w:r w:rsidR="00E3253D" w:rsidRPr="005D642E">
        <w:rPr>
          <w:rtl/>
        </w:rPr>
        <w:t xml:space="preserve"> ، ص 305 ، ضمن الحديث الطويل 887 ، بسنده عن محمّد بن أحمد بن يحيى ، عن أحمد بن الحسن بن عليّ بن فضّال </w:t>
      </w:r>
      <w:r w:rsidR="00F16976">
        <w:rPr>
          <w:rFonts w:hint="cs"/>
          <w:rtl/>
        </w:rPr>
        <w:t>.</w:t>
      </w:r>
      <w:r w:rsidR="00E3253D" w:rsidRPr="002F4D34">
        <w:rPr>
          <w:rStyle w:val="libFootnoteBoldChar"/>
          <w:rtl/>
        </w:rPr>
        <w:t>الوافي</w:t>
      </w:r>
      <w:r w:rsidR="00E3253D" w:rsidRPr="005D642E">
        <w:rPr>
          <w:rtl/>
        </w:rPr>
        <w:t xml:space="preserve"> ، ج 24 ، ص 376 ، ح 24252 ؛ </w:t>
      </w:r>
      <w:r w:rsidR="00E3253D" w:rsidRPr="002F4D34">
        <w:rPr>
          <w:rStyle w:val="libFootnoteBoldChar"/>
          <w:rtl/>
        </w:rPr>
        <w:t>الوسائل</w:t>
      </w:r>
      <w:r w:rsidR="00E3253D" w:rsidRPr="005D642E">
        <w:rPr>
          <w:rtl/>
        </w:rPr>
        <w:t xml:space="preserve"> ، ج 3 ، ص 30 ، ح 2949.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بالسواد</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434 ، ح 1394 ، معلّقاً عن عليّ بن محمّد. </w:t>
      </w:r>
      <w:r w:rsidR="00E3253D" w:rsidRPr="002F4D34">
        <w:rPr>
          <w:rStyle w:val="libFootnoteBoldChar"/>
          <w:rtl/>
        </w:rPr>
        <w:t>وفيه</w:t>
      </w:r>
      <w:r w:rsidR="00E3253D" w:rsidRPr="005D642E">
        <w:rPr>
          <w:rtl/>
        </w:rPr>
        <w:t xml:space="preserve"> ، ص 435 ، ح 1395 ؛ وج 5 ، ص 66 ، ح 214 ؛ و</w:t>
      </w:r>
      <w:r w:rsidR="00E3253D" w:rsidRPr="002F4D34">
        <w:rPr>
          <w:rStyle w:val="libFootnoteBoldChar"/>
          <w:rtl/>
        </w:rPr>
        <w:t>الكافي</w:t>
      </w:r>
      <w:r w:rsidR="00E3253D" w:rsidRPr="005D642E">
        <w:rPr>
          <w:rtl/>
        </w:rPr>
        <w:t xml:space="preserve"> ، كتاب الحجّ ، باب ما يلبس المحرم من الثياب</w:t>
      </w:r>
      <w:r w:rsidR="00E3253D">
        <w:rPr>
          <w:rtl/>
        </w:rPr>
        <w:t xml:space="preserve"> ..</w:t>
      </w:r>
      <w:r w:rsidR="00E3253D" w:rsidRPr="005D642E">
        <w:rPr>
          <w:rtl/>
        </w:rPr>
        <w:t xml:space="preserve">. ، ح 7218 ، بسند آخر عن الحسين بن مختار ؛ </w:t>
      </w:r>
      <w:r w:rsidR="00E3253D" w:rsidRPr="002F4D34">
        <w:rPr>
          <w:rStyle w:val="libFootnoteBoldChar"/>
          <w:rtl/>
        </w:rPr>
        <w:t>الفقيه</w:t>
      </w:r>
      <w:r w:rsidR="00E3253D" w:rsidRPr="005D642E">
        <w:rPr>
          <w:rtl/>
        </w:rPr>
        <w:t xml:space="preserve"> ، ج 2 ، ص 336 ، ح 2602 ، معلّقاً عن الحسين بن مختار. </w:t>
      </w:r>
      <w:r w:rsidR="00E3253D" w:rsidRPr="002F4D34">
        <w:rPr>
          <w:rStyle w:val="libFootnoteBoldChar"/>
          <w:rtl/>
        </w:rPr>
        <w:t>المقنعة</w:t>
      </w:r>
      <w:r w:rsidR="00E3253D" w:rsidRPr="005D642E">
        <w:rPr>
          <w:rtl/>
        </w:rPr>
        <w:t xml:space="preserve"> ، ص 444 ، ضمن بيانه ، وفي كلّ المصادر</w:t>
      </w:r>
      <w:r w:rsidR="00E3253D">
        <w:rPr>
          <w:rtl/>
        </w:rPr>
        <w:t xml:space="preserve"> </w:t>
      </w:r>
      <w:r w:rsidR="007642BC">
        <w:rPr>
          <w:rtl/>
        </w:rPr>
        <w:t>-</w:t>
      </w:r>
      <w:r w:rsidR="00E3253D">
        <w:rPr>
          <w:rtl/>
        </w:rPr>
        <w:t xml:space="preserve"> </w:t>
      </w:r>
      <w:r w:rsidR="00F16976">
        <w:rPr>
          <w:rtl/>
        </w:rPr>
        <w:t>إل</w:t>
      </w:r>
      <w:r w:rsidR="00F16976">
        <w:rPr>
          <w:rFonts w:hint="cs"/>
          <w:rtl/>
        </w:rPr>
        <w:t>ّ</w:t>
      </w:r>
      <w:r w:rsidR="00F16976">
        <w:rPr>
          <w:rtl/>
        </w:rPr>
        <w:t>ا</w:t>
      </w:r>
      <w:r w:rsidR="00E3253D">
        <w:rPr>
          <w:rFonts w:hint="cs"/>
          <w:rtl/>
        </w:rPr>
        <w:t xml:space="preserve"> </w:t>
      </w:r>
      <w:r w:rsidR="00E3253D" w:rsidRPr="00E922F4">
        <w:rPr>
          <w:rtl/>
        </w:rPr>
        <w:t>التهذيب</w:t>
      </w:r>
      <w:r w:rsidR="00E3253D" w:rsidRPr="005D642E">
        <w:rPr>
          <w:rtl/>
        </w:rPr>
        <w:t xml:space="preserve"> ، ج 1 ، ص 434</w:t>
      </w:r>
      <w:r w:rsidR="00E3253D">
        <w:rPr>
          <w:rtl/>
        </w:rPr>
        <w:t xml:space="preserve"> </w:t>
      </w:r>
      <w:r w:rsidR="007642BC">
        <w:rPr>
          <w:rtl/>
        </w:rPr>
        <w:t>-</w:t>
      </w:r>
      <w:r w:rsidR="00E3253D">
        <w:rPr>
          <w:rtl/>
        </w:rPr>
        <w:t xml:space="preserve"> </w:t>
      </w:r>
      <w:r w:rsidR="00E3253D" w:rsidRPr="005D642E">
        <w:rPr>
          <w:rtl/>
        </w:rPr>
        <w:t xml:space="preserve">مع اختلاف يسير وزيادة في أوّله </w:t>
      </w:r>
      <w:r w:rsidR="005F1067">
        <w:rPr>
          <w:rFonts w:hint="cs"/>
          <w:rtl/>
        </w:rPr>
        <w:t>.</w:t>
      </w:r>
      <w:r w:rsidR="00E3253D" w:rsidRPr="002F4D34">
        <w:rPr>
          <w:rStyle w:val="libFootnoteBoldChar"/>
          <w:rtl/>
        </w:rPr>
        <w:t>الوافي</w:t>
      </w:r>
      <w:r w:rsidR="00E3253D" w:rsidRPr="005D642E">
        <w:rPr>
          <w:rtl/>
        </w:rPr>
        <w:t xml:space="preserve"> ، ج 24 ، ص 377 ، ح 24256 ؛ </w:t>
      </w:r>
      <w:r w:rsidR="00E3253D" w:rsidRPr="002F4D34">
        <w:rPr>
          <w:rStyle w:val="libFootnoteBoldChar"/>
          <w:rtl/>
        </w:rPr>
        <w:t>الوسائل</w:t>
      </w:r>
      <w:r w:rsidR="00E3253D" w:rsidRPr="005D642E">
        <w:rPr>
          <w:rtl/>
        </w:rPr>
        <w:t xml:space="preserve"> ، ج 3 ، ص 43 ، ح 2981.</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 بي » وحاشية « بث</w:t>
      </w:r>
      <w:r w:rsidR="00E3253D">
        <w:rPr>
          <w:rtl/>
        </w:rPr>
        <w:t xml:space="preserve"> ».</w:t>
      </w:r>
      <w:r w:rsidR="00E3253D" w:rsidRPr="005D642E">
        <w:rPr>
          <w:rtl/>
        </w:rPr>
        <w:t xml:space="preserve"> وفي « ظ ، ى ، بث ، بح ، بخ ، بس ، بف ، جح ، جس ، جن » والمطبوع والوسائل : </w:t>
      </w:r>
      <w:r w:rsidR="005F106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سَأَلْتُهُ عَنْ ثِيَابٍ تُعْمَلُ بِالْبَصْرَةِ عَلى عَمَلِ الْعَصْبِ </w:t>
      </w:r>
      <w:r w:rsidRPr="007C12DB">
        <w:rPr>
          <w:rStyle w:val="libFootnotenumChar"/>
          <w:rtl/>
        </w:rPr>
        <w:t>(1)</w:t>
      </w:r>
      <w:r w:rsidRPr="005D642E">
        <w:rPr>
          <w:rtl/>
          <w:lang w:bidi="fa-IR"/>
        </w:rPr>
        <w:t xml:space="preserve"> الْيَمَانِيِّ مِنْ قَزٍّ وَقُطْنٍ : هَلْ يَصْلُحُ أَنْ يُكَفَّنَ فِيهَا </w:t>
      </w:r>
      <w:r w:rsidRPr="007C12DB">
        <w:rPr>
          <w:rStyle w:val="libFootnotenumChar"/>
          <w:rtl/>
        </w:rPr>
        <w:t>(2)</w:t>
      </w:r>
      <w:r w:rsidRPr="005D642E">
        <w:rPr>
          <w:rtl/>
          <w:lang w:bidi="fa-IR"/>
        </w:rPr>
        <w:t xml:space="preserve"> الْمَوْتى</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(3)</w:t>
      </w:r>
      <w:r w:rsidRPr="005D642E">
        <w:rPr>
          <w:rtl/>
          <w:lang w:bidi="fa-IR"/>
        </w:rPr>
        <w:t xml:space="preserve"> : « إِذَا كَانَ الْقُطْنُ أَكْثَرَ مِنَ الْقَزِّ </w:t>
      </w:r>
      <w:r w:rsidRPr="007C12DB">
        <w:rPr>
          <w:rStyle w:val="libFootnotenumChar"/>
          <w:rtl/>
        </w:rPr>
        <w:t>(4)</w:t>
      </w:r>
      <w:r w:rsidRPr="005D642E">
        <w:rPr>
          <w:rtl/>
          <w:lang w:bidi="fa-IR"/>
        </w:rPr>
        <w:t xml:space="preserve"> ، فَلَا بَأْسَ</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323" w:name="_Toc344647318"/>
      <w:bookmarkStart w:id="324" w:name="_Toc462226832"/>
      <w:bookmarkStart w:id="325" w:name="_Toc40975941"/>
      <w:r w:rsidRPr="005D642E">
        <w:rPr>
          <w:rtl/>
          <w:lang w:bidi="fa-IR"/>
        </w:rPr>
        <w:t>23</w:t>
      </w:r>
      <w:r>
        <w:rPr>
          <w:rtl/>
          <w:lang w:bidi="fa-IR"/>
        </w:rPr>
        <w:t xml:space="preserve"> </w:t>
      </w:r>
      <w:r w:rsidR="007642BC">
        <w:rPr>
          <w:rtl/>
          <w:lang w:bidi="fa-IR"/>
        </w:rPr>
        <w:t>-</w:t>
      </w:r>
      <w:r>
        <w:rPr>
          <w:rtl/>
          <w:lang w:bidi="fa-IR"/>
        </w:rPr>
        <w:t xml:space="preserve"> </w:t>
      </w:r>
      <w:r w:rsidRPr="005D642E">
        <w:rPr>
          <w:rtl/>
          <w:lang w:bidi="fa-IR"/>
        </w:rPr>
        <w:t>بَابُ حَدِّ الْمَاءِ الَّذِي يُغَسَّلُ بِهِ الْمَيِّتُ وَالْكَافُورِ‌</w:t>
      </w:r>
      <w:bookmarkEnd w:id="323"/>
      <w:bookmarkEnd w:id="324"/>
      <w:bookmarkEnd w:id="325"/>
    </w:p>
    <w:p w:rsidR="00E3253D" w:rsidRPr="005D642E" w:rsidRDefault="00E3253D" w:rsidP="00E3253D">
      <w:pPr>
        <w:pStyle w:val="libNormal"/>
        <w:rPr>
          <w:rtl/>
          <w:lang w:bidi="fa-IR"/>
        </w:rPr>
      </w:pPr>
      <w:r w:rsidRPr="00E922F4">
        <w:rPr>
          <w:rtl/>
        </w:rPr>
        <w:t>4373</w:t>
      </w:r>
      <w:r w:rsidRPr="00246318">
        <w:rPr>
          <w:rStyle w:val="libBold2Char"/>
          <w:rtl/>
        </w:rPr>
        <w:t xml:space="preserve"> / 1.</w:t>
      </w:r>
      <w:r w:rsidRPr="005D642E">
        <w:rPr>
          <w:rtl/>
          <w:lang w:bidi="fa-IR"/>
        </w:rPr>
        <w:t xml:space="preserve"> عِدَّةٌ مِنْ أَصْحَابِنَا ، عَنْ سَهْلِ بْنِ زِيَادٍ ، عَنْ أَحْمَدَ بْنِ مُحَمَّدِ بْنِ أَبِي نَصْرٍ ، عَنْ‌</w:t>
      </w:r>
    </w:p>
    <w:p w:rsidR="00E3253D" w:rsidRPr="005D642E" w:rsidRDefault="00E3253D" w:rsidP="00E3253D">
      <w:pPr>
        <w:pStyle w:val="libLine"/>
        <w:rPr>
          <w:rtl/>
          <w:lang w:bidi="fa-IR"/>
        </w:rPr>
      </w:pPr>
      <w:r w:rsidRPr="005D642E">
        <w:rPr>
          <w:rtl/>
          <w:lang w:bidi="fa-IR"/>
        </w:rPr>
        <w:t>__________________</w:t>
      </w:r>
    </w:p>
    <w:p w:rsidR="00E3253D" w:rsidRPr="005D642E" w:rsidRDefault="00F668DE" w:rsidP="00E3253D">
      <w:pPr>
        <w:pStyle w:val="libFootnote0"/>
        <w:rPr>
          <w:rtl/>
          <w:lang w:bidi="fa-IR"/>
        </w:rPr>
      </w:pPr>
      <w:r>
        <w:rPr>
          <w:rFonts w:hint="cs"/>
          <w:rtl/>
        </w:rPr>
        <w:t xml:space="preserve">= </w:t>
      </w:r>
      <w:r w:rsidR="00E3253D" w:rsidRPr="005D642E">
        <w:rPr>
          <w:rtl/>
        </w:rPr>
        <w:t>« الحسين</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 والحسن بن راشد هذا ، هو أبوعليّ البغدادي ، روى عنه محمّد بن عيسى [ بن عبيد ] في عددٍ من الأسناد ، قد عبّر عنه في بعضها بالحسن بن راشد ، وفي بعضها الآخر بأبي عليّ بن راشد. راجع : </w:t>
      </w:r>
      <w:r w:rsidRPr="002F4D34">
        <w:rPr>
          <w:rStyle w:val="libFootnoteBoldChar"/>
          <w:rtl/>
        </w:rPr>
        <w:t>رجال الطوسي</w:t>
      </w:r>
      <w:r w:rsidRPr="00B60612">
        <w:rPr>
          <w:rtl/>
        </w:rPr>
        <w:t xml:space="preserve"> ، ص 375 ، الرقم 5545 ؛ وص 385 ، الرقم 5673 ؛ </w:t>
      </w:r>
      <w:r w:rsidRPr="002F4D34">
        <w:rPr>
          <w:rStyle w:val="libFootnoteBoldChar"/>
          <w:rtl/>
        </w:rPr>
        <w:t>معجم رجال الحديث</w:t>
      </w:r>
      <w:r w:rsidRPr="00B60612">
        <w:rPr>
          <w:rtl/>
        </w:rPr>
        <w:t xml:space="preserve"> ، ج 17 ، ص 361 ؛ وص 366 ؛ وص 389 </w:t>
      </w:r>
      <w:r w:rsidR="007642BC" w:rsidRPr="00B60612">
        <w:rPr>
          <w:rtl/>
        </w:rPr>
        <w:t>-</w:t>
      </w:r>
      <w:r w:rsidRPr="00B60612">
        <w:rPr>
          <w:rtl/>
        </w:rPr>
        <w:t xml:space="preserve"> 391 ؛ وص 395.</w:t>
      </w:r>
    </w:p>
    <w:p w:rsidR="00E3253D" w:rsidRDefault="00E3253D" w:rsidP="00E3253D">
      <w:pPr>
        <w:pStyle w:val="libFootnote0"/>
        <w:rPr>
          <w:rtl/>
        </w:rPr>
      </w:pPr>
      <w:r w:rsidRPr="00B60612">
        <w:rPr>
          <w:rtl/>
        </w:rPr>
        <w:t xml:space="preserve">ويؤيّد ذلك أنّ الخبر رواه الشيخ الطوسي في </w:t>
      </w:r>
      <w:r w:rsidRPr="002F4D34">
        <w:rPr>
          <w:rStyle w:val="libFootnoteBoldChar"/>
          <w:rtl/>
        </w:rPr>
        <w:t>التهذيب</w:t>
      </w:r>
      <w:r w:rsidRPr="00B60612">
        <w:rPr>
          <w:rtl/>
        </w:rPr>
        <w:t xml:space="preserve"> ، ح 1396 ؛ </w:t>
      </w:r>
      <w:r w:rsidRPr="00E678B5">
        <w:rPr>
          <w:rStyle w:val="libFootnoteBoldChar"/>
          <w:rtl/>
        </w:rPr>
        <w:t>والاستبصار</w:t>
      </w:r>
      <w:r w:rsidRPr="00B60612">
        <w:rPr>
          <w:rtl/>
        </w:rPr>
        <w:t xml:space="preserve"> ، ح 744 ، بإسناده عن محمّد بن أحمد [ بن يحيى ] ، عن محمّد بن عيسى ، عن الحسن بن راشد.</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بث ، بح ، بخ ، بس ، بف ، جح ، جس ، جن » </w:t>
      </w:r>
      <w:r w:rsidR="00E3253D" w:rsidRPr="00E678B5">
        <w:rPr>
          <w:rStyle w:val="libFootnoteBoldChar"/>
          <w:rtl/>
        </w:rPr>
        <w:t>والاستبصار</w:t>
      </w:r>
      <w:r w:rsidR="00E3253D" w:rsidRPr="005D642E">
        <w:rPr>
          <w:rtl/>
        </w:rPr>
        <w:t xml:space="preserve"> : « القصب</w:t>
      </w:r>
      <w:r w:rsidR="00E3253D">
        <w:rPr>
          <w:rtl/>
        </w:rPr>
        <w:t xml:space="preserve"> ».</w:t>
      </w:r>
      <w:r w:rsidR="00E3253D" w:rsidRPr="005D642E">
        <w:rPr>
          <w:rtl/>
        </w:rPr>
        <w:t xml:space="preserve"> وما أثبتناه موافق للمطبوع </w:t>
      </w:r>
      <w:r w:rsidR="00E3253D">
        <w:rPr>
          <w:rtl/>
        </w:rPr>
        <w:t>و «</w:t>
      </w:r>
      <w:r w:rsidR="00E3253D" w:rsidRPr="005D642E">
        <w:rPr>
          <w:rtl/>
        </w:rPr>
        <w:t xml:space="preserve"> ظ ، غ » والوسائل </w:t>
      </w:r>
      <w:r w:rsidR="00B60612" w:rsidRPr="00B60612">
        <w:rPr>
          <w:rStyle w:val="libFootnoteBoldChar"/>
          <w:rtl/>
        </w:rPr>
        <w:t>والتهذيب</w:t>
      </w:r>
      <w:r w:rsidR="00E3253D" w:rsidRPr="005D642E">
        <w:rPr>
          <w:rtl/>
        </w:rPr>
        <w:t>. وقال ابن الأثير : « فالعَصْب بُرُود يمنيّة يُعْصَب غزلها ، أي يُجمَع ويُشَدّ ، ثمّ يُصْبَغ ويُنْسَج فيأتي موشيّاً ، أي منقّشاً</w:t>
      </w:r>
      <w:r w:rsidR="00E3253D">
        <w:rPr>
          <w:rtl/>
        </w:rPr>
        <w:t xml:space="preserve"> </w:t>
      </w:r>
      <w:r w:rsidR="007642BC">
        <w:rPr>
          <w:rtl/>
        </w:rPr>
        <w:t>-</w:t>
      </w:r>
      <w:r w:rsidR="00E3253D">
        <w:rPr>
          <w:rtl/>
        </w:rPr>
        <w:t xml:space="preserve"> </w:t>
      </w:r>
      <w:r w:rsidR="00E3253D" w:rsidRPr="005D642E">
        <w:rPr>
          <w:rtl/>
        </w:rPr>
        <w:t>لبقاء ما عُصِبَ منه أبيض لم يأخذه صِبْغ ، يقال : بُرْد عَصْب وبُرود عَصْب بالتنوين والإضافة. وقيل : هي بُرُود مخطَّطة</w:t>
      </w:r>
      <w:r w:rsidR="00E3253D">
        <w:rPr>
          <w:rtl/>
        </w:rPr>
        <w:t xml:space="preserve"> ».</w:t>
      </w:r>
      <w:r w:rsidR="00AB798C">
        <w:rPr>
          <w:rtl/>
        </w:rPr>
        <w:t xml:space="preserve"> وقال العل</w:t>
      </w:r>
      <w:r w:rsidR="00AB798C">
        <w:rPr>
          <w:rFonts w:hint="cs"/>
          <w:rtl/>
        </w:rPr>
        <w:t>ّ</w:t>
      </w:r>
      <w:r w:rsidR="00AB798C">
        <w:rPr>
          <w:rtl/>
        </w:rPr>
        <w:t>ا</w:t>
      </w:r>
      <w:r w:rsidR="00E3253D" w:rsidRPr="005D642E">
        <w:rPr>
          <w:rtl/>
        </w:rPr>
        <w:t>مة الحلّي : « العصب : ضرب من برود اليمن ؛ لأنّه يصبغ بالعَصَب وهو نبت باليمن » ، ونحوه قال الشهيد الأوّل ، ولكن ردّه السيّد الداماد واختار مقالة ابن</w:t>
      </w:r>
      <w:r w:rsidR="00162B45">
        <w:rPr>
          <w:rtl/>
        </w:rPr>
        <w:t xml:space="preserve"> الأثير ، على ما نقل عنهم العل</w:t>
      </w:r>
      <w:r w:rsidR="00162B45">
        <w:rPr>
          <w:rFonts w:hint="cs"/>
          <w:rtl/>
        </w:rPr>
        <w:t>ّ</w:t>
      </w:r>
      <w:r w:rsidR="00162B45">
        <w:rPr>
          <w:rtl/>
        </w:rPr>
        <w:t>ا</w:t>
      </w:r>
      <w:r w:rsidR="00E3253D" w:rsidRPr="005D642E">
        <w:rPr>
          <w:rtl/>
        </w:rPr>
        <w:t xml:space="preserve">مة المجلسي ثمّ قال : « وفي بعض النسخ بالقاف ولعلّه تصحيف ، قال في </w:t>
      </w:r>
      <w:r w:rsidR="00E3253D" w:rsidRPr="002F4D34">
        <w:rPr>
          <w:rStyle w:val="libFootnoteBoldChar"/>
          <w:rtl/>
        </w:rPr>
        <w:t>القاموس</w:t>
      </w:r>
      <w:r w:rsidR="00E3253D" w:rsidRPr="005D642E">
        <w:rPr>
          <w:rtl/>
        </w:rPr>
        <w:t xml:space="preserve"> : والقصب محرّكة : ثياب ناعمة من كتّان. انتهى. ولعلّ أكثريّة القطن محمولة على الاستحباب</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3 ، ص 245 ( عصب ) ؛ </w:t>
      </w:r>
      <w:r w:rsidR="00E3253D" w:rsidRPr="002F4D34">
        <w:rPr>
          <w:rStyle w:val="libFootnoteBoldChar"/>
          <w:rtl/>
        </w:rPr>
        <w:t>ذكرى الشيعة</w:t>
      </w:r>
      <w:r w:rsidR="00E3253D" w:rsidRPr="005D642E">
        <w:rPr>
          <w:rtl/>
        </w:rPr>
        <w:t xml:space="preserve"> ، ج 1 ، ص 367 ؛ </w:t>
      </w:r>
      <w:r w:rsidR="00E3253D" w:rsidRPr="002F4D34">
        <w:rPr>
          <w:rStyle w:val="libFootnoteBoldChar"/>
          <w:rtl/>
        </w:rPr>
        <w:t>مرآة العقول</w:t>
      </w:r>
      <w:r w:rsidR="00E3253D" w:rsidRPr="005D642E">
        <w:rPr>
          <w:rtl/>
        </w:rPr>
        <w:t xml:space="preserve"> ، ج 13 ، ص 321</w:t>
      </w:r>
      <w:r w:rsidR="00E3253D">
        <w:rPr>
          <w:rtl/>
        </w:rPr>
        <w:t xml:space="preserve"> </w:t>
      </w:r>
      <w:r w:rsidR="007642BC">
        <w:rPr>
          <w:rtl/>
        </w:rPr>
        <w:t>-</w:t>
      </w:r>
      <w:r w:rsidR="00E3253D">
        <w:rPr>
          <w:rtl/>
        </w:rPr>
        <w:t xml:space="preserve"> </w:t>
      </w:r>
      <w:r w:rsidR="00E3253D" w:rsidRPr="005D642E">
        <w:rPr>
          <w:rtl/>
        </w:rPr>
        <w:t>322.</w:t>
      </w:r>
    </w:p>
    <w:tbl>
      <w:tblPr>
        <w:tblStyle w:val="TableGrid"/>
        <w:bidiVisual/>
        <w:tblW w:w="0" w:type="auto"/>
        <w:tblLook w:val="04A0" w:firstRow="1" w:lastRow="0" w:firstColumn="1" w:lastColumn="0" w:noHBand="0" w:noVBand="1"/>
      </w:tblPr>
      <w:tblGrid>
        <w:gridCol w:w="4006"/>
        <w:gridCol w:w="4006"/>
      </w:tblGrid>
      <w:tr w:rsidR="000C3C3D" w:rsidTr="000C3C3D">
        <w:tc>
          <w:tcPr>
            <w:tcW w:w="4006" w:type="dxa"/>
          </w:tcPr>
          <w:p w:rsidR="000C3C3D" w:rsidRDefault="000C3C3D" w:rsidP="00E3253D">
            <w:pPr>
              <w:pStyle w:val="libFootnote0"/>
              <w:rPr>
                <w:rStyle w:val="libFootnote0Char"/>
                <w:rtl/>
              </w:rPr>
            </w:pPr>
            <w:r w:rsidRPr="0042621E">
              <w:rPr>
                <w:rStyle w:val="libFootnote0Char"/>
                <w:rtl/>
              </w:rPr>
              <w:t>(2).</w:t>
            </w:r>
            <w:r w:rsidR="00BA1951">
              <w:rPr>
                <w:rtl/>
              </w:rPr>
              <w:t xml:space="preserve"> في «غ ، بح</w:t>
            </w:r>
            <w:r w:rsidRPr="005D642E">
              <w:rPr>
                <w:rtl/>
              </w:rPr>
              <w:t>» : « به</w:t>
            </w:r>
            <w:r>
              <w:rPr>
                <w:rtl/>
              </w:rPr>
              <w:t xml:space="preserve"> ».</w:t>
            </w:r>
            <w:r w:rsidRPr="005D642E">
              <w:rPr>
                <w:rtl/>
              </w:rPr>
              <w:t xml:space="preserve"> وفي « بخ » : « فيه</w:t>
            </w:r>
            <w:r>
              <w:rPr>
                <w:rtl/>
              </w:rPr>
              <w:t xml:space="preserve"> ».</w:t>
            </w:r>
          </w:p>
        </w:tc>
        <w:tc>
          <w:tcPr>
            <w:tcW w:w="4006" w:type="dxa"/>
          </w:tcPr>
          <w:p w:rsidR="000C3C3D" w:rsidRDefault="00BA1951" w:rsidP="00E3253D">
            <w:pPr>
              <w:pStyle w:val="libFootnote0"/>
              <w:rPr>
                <w:rStyle w:val="libFootnote0Char"/>
                <w:rtl/>
              </w:rPr>
            </w:pPr>
            <w:r w:rsidRPr="0042621E">
              <w:rPr>
                <w:rStyle w:val="libFootnote0Char"/>
                <w:rtl/>
              </w:rPr>
              <w:t>(3).</w:t>
            </w:r>
            <w:r w:rsidR="00A6631B">
              <w:rPr>
                <w:rtl/>
              </w:rPr>
              <w:t xml:space="preserve"> في«بخ ، بف</w:t>
            </w:r>
            <w:r w:rsidRPr="005D642E">
              <w:rPr>
                <w:rtl/>
              </w:rPr>
              <w:t>»</w:t>
            </w:r>
            <w:r w:rsidRPr="000D749A">
              <w:rPr>
                <w:rStyle w:val="libFootnoteBoldChar"/>
                <w:rtl/>
              </w:rPr>
              <w:t>والوافي</w:t>
            </w:r>
            <w:r w:rsidRPr="005D642E">
              <w:rPr>
                <w:rtl/>
              </w:rPr>
              <w:t xml:space="preserve"> </w:t>
            </w:r>
            <w:r w:rsidRPr="009E68BB">
              <w:rPr>
                <w:rStyle w:val="libFootnoteBoldChar"/>
                <w:rtl/>
              </w:rPr>
              <w:t>وتحف العقول</w:t>
            </w:r>
            <w:r w:rsidR="00A6631B">
              <w:rPr>
                <w:rtl/>
              </w:rPr>
              <w:t xml:space="preserve"> : «</w:t>
            </w:r>
            <w:r w:rsidRPr="005D642E">
              <w:rPr>
                <w:rtl/>
              </w:rPr>
              <w:t>فقال</w:t>
            </w:r>
            <w:r>
              <w:rPr>
                <w:rtl/>
              </w:rPr>
              <w:t>».</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القَزّ » : ضرب من الإبريسم ، معرّب. وقال الليث : القزّ : هو ما يُعْمل منه الإبريسم. وقيل : القزّ والإبريسم كالدقيق والحنطة. راجع : </w:t>
      </w:r>
      <w:r w:rsidR="00E3253D" w:rsidRPr="002F4D34">
        <w:rPr>
          <w:rStyle w:val="libFootnoteBoldChar"/>
          <w:rtl/>
        </w:rPr>
        <w:t>المغرب</w:t>
      </w:r>
      <w:r w:rsidR="00E3253D" w:rsidRPr="005D642E">
        <w:rPr>
          <w:rtl/>
        </w:rPr>
        <w:t xml:space="preserve"> ، ص 381 ؛ </w:t>
      </w:r>
      <w:r w:rsidR="00E3253D" w:rsidRPr="002F4D34">
        <w:rPr>
          <w:rStyle w:val="libFootnoteBoldChar"/>
          <w:rtl/>
        </w:rPr>
        <w:t>المصباح المنير</w:t>
      </w:r>
      <w:r w:rsidR="00E3253D" w:rsidRPr="005D642E">
        <w:rPr>
          <w:rtl/>
        </w:rPr>
        <w:t xml:space="preserve"> ، ص 502 ( قزز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435 ، ح 1396 ، معلّقاً عن محمّد بن أحمد ؛ </w:t>
      </w:r>
      <w:r w:rsidR="00E3253D" w:rsidRPr="002F4D34">
        <w:rPr>
          <w:rStyle w:val="libFootnoteBoldChar"/>
          <w:rtl/>
        </w:rPr>
        <w:t>الاستبصار</w:t>
      </w:r>
      <w:r w:rsidR="00E3253D" w:rsidRPr="005D642E">
        <w:rPr>
          <w:rtl/>
        </w:rPr>
        <w:t xml:space="preserve"> ، ج 1 ، ص 211 ، ح 744 ، معلّقاً عن محمّد بن أحمد بن يحيى ، عن محمّد بن عيسى. </w:t>
      </w:r>
      <w:r w:rsidR="00E3253D" w:rsidRPr="002F4D34">
        <w:rPr>
          <w:rStyle w:val="libFootnoteBoldChar"/>
          <w:rtl/>
        </w:rPr>
        <w:t>الفقيه</w:t>
      </w:r>
      <w:r w:rsidR="00E3253D" w:rsidRPr="005D642E">
        <w:rPr>
          <w:rtl/>
        </w:rPr>
        <w:t xml:space="preserve"> ، ج 1 ، ص 147 ، ح 412 ، مرسلاً عن أبي الحسن الثالث </w:t>
      </w:r>
      <w:r w:rsidR="00E3253D" w:rsidRPr="000C3C3D">
        <w:rPr>
          <w:rStyle w:val="libFootnoteAlaemChar"/>
          <w:rtl/>
        </w:rPr>
        <w:t>عليه‌السلام</w:t>
      </w:r>
      <w:r w:rsidR="00E3253D" w:rsidRPr="005D642E">
        <w:rPr>
          <w:rtl/>
        </w:rPr>
        <w:t xml:space="preserve"> </w:t>
      </w:r>
      <w:r w:rsidR="003B160A">
        <w:rPr>
          <w:rFonts w:hint="cs"/>
          <w:rtl/>
        </w:rPr>
        <w:t>.</w:t>
      </w:r>
      <w:r w:rsidR="00E3253D" w:rsidRPr="002F4D34">
        <w:rPr>
          <w:rStyle w:val="libFootnoteBoldChar"/>
          <w:rtl/>
        </w:rPr>
        <w:t>الوافي</w:t>
      </w:r>
      <w:r w:rsidR="00E3253D" w:rsidRPr="005D642E">
        <w:rPr>
          <w:rtl/>
        </w:rPr>
        <w:t xml:space="preserve"> ، ج 24 ، ص 378 ، ح 24257 ؛ </w:t>
      </w:r>
      <w:r w:rsidR="00E3253D" w:rsidRPr="002F4D34">
        <w:rPr>
          <w:rStyle w:val="libFootnoteBoldChar"/>
          <w:rtl/>
        </w:rPr>
        <w:t>الوسائل</w:t>
      </w:r>
      <w:r w:rsidR="00E3253D" w:rsidRPr="005D642E">
        <w:rPr>
          <w:rtl/>
        </w:rPr>
        <w:t xml:space="preserve"> ، ج 3 ، ص 45 ، ح 2986.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فُضَيْلٍ سُكَّرَةَ </w:t>
      </w:r>
      <w:r w:rsidRPr="007C12DB">
        <w:rPr>
          <w:rStyle w:val="libFootnotenumChar"/>
          <w:rtl/>
        </w:rPr>
        <w:t>(1)</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جُعِلْتُ فِدَاكَ ، هَلْ لِلْمَاءِ </w:t>
      </w:r>
      <w:r w:rsidRPr="007C12DB">
        <w:rPr>
          <w:rStyle w:val="libFootnotenumChar"/>
          <w:rtl/>
        </w:rPr>
        <w:t>(2)</w:t>
      </w:r>
      <w:r w:rsidRPr="005D642E">
        <w:rPr>
          <w:rtl/>
          <w:lang w:bidi="fa-IR"/>
        </w:rPr>
        <w:t xml:space="preserve"> حَدٌّ مَحْدُودٌ</w:t>
      </w:r>
      <w:r>
        <w:rPr>
          <w:rtl/>
          <w:lang w:bidi="fa-IR"/>
        </w:rPr>
        <w:t>؟</w:t>
      </w:r>
    </w:p>
    <w:p w:rsidR="00E3253D" w:rsidRPr="005D642E" w:rsidRDefault="00E3253D" w:rsidP="00E3253D">
      <w:pPr>
        <w:pStyle w:val="libNormal"/>
        <w:rPr>
          <w:rtl/>
          <w:lang w:bidi="fa-IR"/>
        </w:rPr>
      </w:pPr>
      <w:r w:rsidRPr="005D642E">
        <w:rPr>
          <w:rtl/>
          <w:lang w:bidi="fa-IR"/>
        </w:rPr>
        <w:t xml:space="preserve">قَالَ : « إِنَّ رَسُولَ اللهِ </w:t>
      </w:r>
      <w:r w:rsidR="0042621E" w:rsidRPr="0042621E">
        <w:rPr>
          <w:rStyle w:val="libAlaemChar"/>
          <w:rtl/>
        </w:rPr>
        <w:t>صلى‌الله‌عليه‌وآله</w:t>
      </w:r>
      <w:r w:rsidRPr="005D642E">
        <w:rPr>
          <w:rtl/>
          <w:lang w:bidi="fa-IR"/>
        </w:rPr>
        <w:t xml:space="preserve"> قَالَ لِعَلِيٍّ صَلَوَاتُ اللهِ عَلَيْهِ : إِذَا أَنَا مِتُّ ، فَاسْتَقِ لِي سِتَّ قِرَبٍ </w:t>
      </w:r>
      <w:r w:rsidRPr="007C12DB">
        <w:rPr>
          <w:rStyle w:val="libFootnotenumChar"/>
          <w:rtl/>
        </w:rPr>
        <w:t>(3)</w:t>
      </w:r>
      <w:r w:rsidRPr="005D642E">
        <w:rPr>
          <w:rtl/>
          <w:lang w:bidi="fa-IR"/>
        </w:rPr>
        <w:t xml:space="preserve"> مِنْ مَاءِ بِئْرِ غَرْسٍ </w:t>
      </w:r>
      <w:r w:rsidRPr="007C12DB">
        <w:rPr>
          <w:rStyle w:val="libFootnotenumChar"/>
          <w:rtl/>
        </w:rPr>
        <w:t>(4)</w:t>
      </w:r>
      <w:r w:rsidRPr="005D642E">
        <w:rPr>
          <w:rtl/>
          <w:lang w:bidi="fa-IR"/>
        </w:rPr>
        <w:t xml:space="preserve"> ، فَغَسِّلْنِي </w:t>
      </w:r>
      <w:r w:rsidRPr="007C12DB">
        <w:rPr>
          <w:rStyle w:val="libFootnotenumChar"/>
          <w:rtl/>
        </w:rPr>
        <w:t>(5)</w:t>
      </w:r>
      <w:r w:rsidRPr="005D642E">
        <w:rPr>
          <w:rtl/>
          <w:lang w:bidi="fa-IR"/>
        </w:rPr>
        <w:t xml:space="preserve"> ، وَكَفِّنِّي ، وَحَنِّطْنِي </w:t>
      </w:r>
      <w:r w:rsidRPr="007C12DB">
        <w:rPr>
          <w:rStyle w:val="libFootnotenumChar"/>
          <w:rtl/>
        </w:rPr>
        <w:t>(6)</w:t>
      </w:r>
      <w:r w:rsidRPr="005D642E">
        <w:rPr>
          <w:rtl/>
          <w:lang w:bidi="fa-IR"/>
        </w:rPr>
        <w:t xml:space="preserve"> ، فَإِذَا فَرَغْتَ مِنْ غُسْلِي وَكَفْنِي وَتَحْنِيطِي </w:t>
      </w:r>
      <w:r w:rsidRPr="007C12DB">
        <w:rPr>
          <w:rStyle w:val="libFootnotenumChar"/>
          <w:rtl/>
        </w:rPr>
        <w:t>(7)</w:t>
      </w:r>
      <w:r w:rsidRPr="005D642E">
        <w:rPr>
          <w:rtl/>
          <w:lang w:bidi="fa-IR"/>
        </w:rPr>
        <w:t xml:space="preserve"> ، فَخُذْ بِمَجَامِعِ </w:t>
      </w:r>
      <w:r w:rsidRPr="007C12DB">
        <w:rPr>
          <w:rStyle w:val="libFootnotenumChar"/>
          <w:rtl/>
        </w:rPr>
        <w:t>(8)</w:t>
      </w:r>
      <w:r w:rsidRPr="005D642E">
        <w:rPr>
          <w:rtl/>
          <w:lang w:bidi="fa-IR"/>
        </w:rPr>
        <w:t xml:space="preserve"> كَفَنِي ، وَأَجْلِسْنِي ، ثُمَّ سَلْنِي عَمَّا شِئْتَ ، فَوَاللهِ ، لَا</w:t>
      </w:r>
      <w:r w:rsidR="003B160A">
        <w:rPr>
          <w:rtl/>
          <w:lang w:bidi="fa-IR"/>
        </w:rPr>
        <w:t xml:space="preserve"> تَسْأَلُنِي عَنْ شَيْ‌ءٍ إِل</w:t>
      </w:r>
      <w:r w:rsidR="003B160A">
        <w:rPr>
          <w:rFonts w:hint="cs"/>
          <w:rtl/>
          <w:lang w:bidi="fa-IR"/>
        </w:rPr>
        <w:t>َّ</w:t>
      </w:r>
      <w:r w:rsidR="003B160A">
        <w:rPr>
          <w:rtl/>
          <w:lang w:bidi="fa-IR"/>
        </w:rPr>
        <w:t>ا</w:t>
      </w:r>
      <w:r w:rsidRPr="005D642E">
        <w:rPr>
          <w:rtl/>
          <w:lang w:bidi="fa-IR"/>
        </w:rPr>
        <w:t xml:space="preserve"> أَجَبْتُكَ فِيهِ</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527470">
        <w:rPr>
          <w:rtl/>
        </w:rPr>
        <w:t>4374</w:t>
      </w:r>
      <w:r w:rsidRPr="00246318">
        <w:rPr>
          <w:rStyle w:val="libBold2Char"/>
          <w:rtl/>
        </w:rPr>
        <w:t xml:space="preserve"> / 2.</w:t>
      </w:r>
      <w:r w:rsidRPr="005D642E">
        <w:rPr>
          <w:rtl/>
          <w:lang w:bidi="fa-IR"/>
        </w:rPr>
        <w:t xml:space="preserve"> عَلِيُّ بْنُ إِبْرَاهِيمَ ، عَنْ أَبِيهِ ، عَنِ ابْنِ أَبِي عُمَيْرٍ ، عَنْ حَفْصِ بْنِ الْبَخْتَرِيِّ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لِعَلِيٍّ </w:t>
      </w:r>
      <w:r w:rsidRPr="00AC51C5">
        <w:rPr>
          <w:rStyle w:val="libAlaemChar"/>
          <w:rtl/>
        </w:rPr>
        <w:t>عليه‌السلام</w:t>
      </w:r>
      <w:r w:rsidRPr="005D642E">
        <w:rPr>
          <w:rtl/>
          <w:lang w:bidi="fa-IR"/>
        </w:rPr>
        <w:t xml:space="preserve"> : يَا عَلِيُّ ، إِذَا أَنَا مِتُّ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3891"/>
        <w:gridCol w:w="4121"/>
      </w:tblGrid>
      <w:tr w:rsidR="00371F94" w:rsidTr="00611D10">
        <w:tc>
          <w:tcPr>
            <w:tcW w:w="3891" w:type="dxa"/>
          </w:tcPr>
          <w:p w:rsidR="00371F94" w:rsidRDefault="00371F94" w:rsidP="00E3253D">
            <w:pPr>
              <w:pStyle w:val="libFootnote0"/>
              <w:rPr>
                <w:rStyle w:val="libFootnote0Char"/>
                <w:rtl/>
              </w:rPr>
            </w:pPr>
            <w:r w:rsidRPr="0042621E">
              <w:rPr>
                <w:rStyle w:val="libFootnote0Char"/>
                <w:rtl/>
              </w:rPr>
              <w:t>(1).</w:t>
            </w:r>
            <w:r>
              <w:rPr>
                <w:rtl/>
              </w:rPr>
              <w:t xml:space="preserve"> </w:t>
            </w:r>
            <w:r w:rsidRPr="005D642E">
              <w:rPr>
                <w:rtl/>
              </w:rPr>
              <w:t>في « بث ، بس » : « فضيل بن سكرة</w:t>
            </w:r>
            <w:r>
              <w:rPr>
                <w:rtl/>
              </w:rPr>
              <w:t xml:space="preserve"> ».</w:t>
            </w:r>
          </w:p>
        </w:tc>
        <w:tc>
          <w:tcPr>
            <w:tcW w:w="4121" w:type="dxa"/>
          </w:tcPr>
          <w:p w:rsidR="00371F94" w:rsidRDefault="00371F94" w:rsidP="00611D10">
            <w:pPr>
              <w:pStyle w:val="libFootnote0"/>
              <w:rPr>
                <w:rStyle w:val="libFootnote0Char"/>
                <w:rtl/>
              </w:rPr>
            </w:pPr>
            <w:r w:rsidRPr="0042621E">
              <w:rPr>
                <w:rStyle w:val="libFootnote0Char"/>
                <w:rtl/>
              </w:rPr>
              <w:t>(2).</w:t>
            </w:r>
            <w:r w:rsidR="00611D10">
              <w:rPr>
                <w:rtl/>
              </w:rPr>
              <w:t>في الوافي والكافي،ح772:+</w:t>
            </w:r>
            <w:r w:rsidRPr="005D642E">
              <w:rPr>
                <w:rtl/>
              </w:rPr>
              <w:t>«</w:t>
            </w:r>
            <w:r w:rsidR="00611D10">
              <w:rPr>
                <w:rtl/>
              </w:rPr>
              <w:t>الذي يغسّل به</w:t>
            </w:r>
            <w:r w:rsidR="00611D10">
              <w:rPr>
                <w:rFonts w:hint="cs"/>
                <w:rtl/>
              </w:rPr>
              <w:t xml:space="preserve"> </w:t>
            </w:r>
            <w:r w:rsidRPr="005D642E">
              <w:rPr>
                <w:rtl/>
              </w:rPr>
              <w:t>الميّت</w:t>
            </w:r>
            <w:r>
              <w:rPr>
                <w:rtl/>
              </w:rPr>
              <w:t>».</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القِرَب » : جمع القِرْبَة ، وهو ما يستقى فيه الماء. قال الجوهري : « والجمع في أدنى العدد : قِرَبات وقِرِبات‌وقِرْبات ، وللكثير : قِرَب</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1 ، ص 199 ( قرب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الغَرْس » : بئر بالمدينة. راجع : </w:t>
      </w:r>
      <w:r w:rsidR="00E3253D" w:rsidRPr="002F4D34">
        <w:rPr>
          <w:rStyle w:val="libFootnoteBoldChar"/>
          <w:rtl/>
        </w:rPr>
        <w:t>النهاية</w:t>
      </w:r>
      <w:r w:rsidR="00E3253D" w:rsidRPr="005D642E">
        <w:rPr>
          <w:rtl/>
        </w:rPr>
        <w:t xml:space="preserve"> ، ج 3 ، ص 359 ؛ </w:t>
      </w:r>
      <w:r w:rsidR="00E3253D" w:rsidRPr="002F4D34">
        <w:rPr>
          <w:rStyle w:val="libFootnoteBoldChar"/>
          <w:rtl/>
        </w:rPr>
        <w:t>القاموس المحيط</w:t>
      </w:r>
      <w:r w:rsidR="00611D10">
        <w:rPr>
          <w:rtl/>
        </w:rPr>
        <w:t xml:space="preserve"> ، ج 1 ، ص 768 (غرس</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غ ، ى ، بث ، بخ ، جح ، جس ، جن » : « فاغسلني</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تحنيط الميّت : استعمال الحَنوط في بدنه ، والحنوط : هو ما يُخْلط من الطيب لأكفان الموتى وأجسامهم خاصّة. راجع : </w:t>
      </w:r>
      <w:r w:rsidR="00E3253D" w:rsidRPr="002F4D34">
        <w:rPr>
          <w:rStyle w:val="libFootnoteBoldChar"/>
          <w:rtl/>
        </w:rPr>
        <w:t>النهاية</w:t>
      </w:r>
      <w:r w:rsidR="00E3253D" w:rsidRPr="005D642E">
        <w:rPr>
          <w:rtl/>
        </w:rPr>
        <w:t xml:space="preserve"> ، ج 1 ، ص 450 ( حنط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والكافي ، ح 772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وتحنيطي</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المجامع » : جمع المَجْمَع ، وهو يطلق على الجمع وعلى موضع الاجتماع ، والمراد : بمجتمعها. راجع : </w:t>
      </w:r>
      <w:r w:rsidR="00E3253D" w:rsidRPr="002F4D34">
        <w:rPr>
          <w:rStyle w:val="libFootnoteBoldChar"/>
          <w:rtl/>
        </w:rPr>
        <w:t>المصباح المنير</w:t>
      </w:r>
      <w:r w:rsidR="00E3253D" w:rsidRPr="005D642E">
        <w:rPr>
          <w:rtl/>
        </w:rPr>
        <w:t xml:space="preserve"> ، ص 109 ؛ </w:t>
      </w:r>
      <w:r w:rsidR="00E3253D" w:rsidRPr="002F4D34">
        <w:rPr>
          <w:rStyle w:val="libFootnoteBoldChar"/>
          <w:rtl/>
        </w:rPr>
        <w:t>مجمع البحرين</w:t>
      </w:r>
      <w:r w:rsidR="00E3253D" w:rsidRPr="005D642E">
        <w:rPr>
          <w:rtl/>
        </w:rPr>
        <w:t xml:space="preserve"> ، ج 4 ، ص 314 ( جمع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435 ، ح 1397 ؛ </w:t>
      </w:r>
      <w:r w:rsidR="00E3253D" w:rsidRPr="002F4D34">
        <w:rPr>
          <w:rStyle w:val="libFootnoteBoldChar"/>
          <w:rtl/>
        </w:rPr>
        <w:t>الاستبصار</w:t>
      </w:r>
      <w:r w:rsidR="00E3253D" w:rsidRPr="005D642E">
        <w:rPr>
          <w:rtl/>
        </w:rPr>
        <w:t xml:space="preserve"> ، ج 1 ، ص 196 ، ح 688 ، إلى قوله : « فاغسلني وكفّنّي » ، وفيهما معلّقاً عن سهل بن زياد. </w:t>
      </w:r>
      <w:r w:rsidR="00E3253D" w:rsidRPr="002F4D34">
        <w:rPr>
          <w:rStyle w:val="libFootnoteBoldChar"/>
          <w:rtl/>
        </w:rPr>
        <w:t>الكافي</w:t>
      </w:r>
      <w:r w:rsidR="00E3253D" w:rsidRPr="005D642E">
        <w:rPr>
          <w:rtl/>
        </w:rPr>
        <w:t xml:space="preserve"> ، كتاب الحجّة ، باب الإشارة والنصّ على أميرالمؤمنين </w:t>
      </w:r>
      <w:r w:rsidR="00E3253D" w:rsidRPr="00611D10">
        <w:rPr>
          <w:rStyle w:val="libFootnoteAlaemChar"/>
          <w:rtl/>
        </w:rPr>
        <w:t>عليه‌السلام</w:t>
      </w:r>
      <w:r w:rsidR="00E3253D" w:rsidRPr="005D642E">
        <w:rPr>
          <w:rtl/>
        </w:rPr>
        <w:t xml:space="preserve"> ، ح 772 ، عن عدّة من أصحابنا ، عن أحمد بن محمّد ، عن ابن أبي نصر ، عن فضيل بن سكّرة. </w:t>
      </w:r>
      <w:r w:rsidR="00E3253D" w:rsidRPr="002F4D34">
        <w:rPr>
          <w:rStyle w:val="libFootnoteBoldChar"/>
          <w:rtl/>
        </w:rPr>
        <w:t>بصائر الدرجات</w:t>
      </w:r>
      <w:r w:rsidR="00E3253D" w:rsidRPr="005D642E">
        <w:rPr>
          <w:rtl/>
        </w:rPr>
        <w:t xml:space="preserve"> ، ص 284 ، ح 8 ، من قوله : « إنّ رسول الله </w:t>
      </w:r>
      <w:r w:rsidRPr="00611D10">
        <w:rPr>
          <w:rStyle w:val="libFootnoteAlaemChar"/>
          <w:rtl/>
        </w:rPr>
        <w:t>صلى‌الله‌عليه‌وآله</w:t>
      </w:r>
      <w:r w:rsidR="00E3253D" w:rsidRPr="005D642E">
        <w:rPr>
          <w:rtl/>
        </w:rPr>
        <w:t xml:space="preserve"> قال لعليّ » ؛ </w:t>
      </w:r>
      <w:r w:rsidR="00E3253D" w:rsidRPr="002F4D34">
        <w:rPr>
          <w:rStyle w:val="libFootnoteBoldChar"/>
          <w:rtl/>
        </w:rPr>
        <w:t>وفيه</w:t>
      </w:r>
      <w:r w:rsidR="00E3253D" w:rsidRPr="005D642E">
        <w:rPr>
          <w:rtl/>
        </w:rPr>
        <w:t xml:space="preserve"> ، ح 9 ، بسندهما عن أحمد بن محمّد بن أبي نصر. </w:t>
      </w:r>
      <w:r w:rsidR="00E3253D" w:rsidRPr="002F4D34">
        <w:rPr>
          <w:rStyle w:val="libFootnoteBoldChar"/>
          <w:rtl/>
        </w:rPr>
        <w:t>وفيه</w:t>
      </w:r>
      <w:r w:rsidR="00E3253D" w:rsidRPr="005D642E">
        <w:rPr>
          <w:rtl/>
        </w:rPr>
        <w:t xml:space="preserve"> ، ص 283 ، ح 2 ، بسند آخر ، من قوله : « إنّ رسول الله </w:t>
      </w:r>
      <w:r w:rsidRPr="00611D10">
        <w:rPr>
          <w:rStyle w:val="libFootnoteAlaemChar"/>
          <w:rtl/>
        </w:rPr>
        <w:t>صلى‌الله‌عليه‌وآله</w:t>
      </w:r>
      <w:r w:rsidR="00E3253D" w:rsidRPr="005D642E">
        <w:rPr>
          <w:rtl/>
        </w:rPr>
        <w:t xml:space="preserve"> قال لعليّ » ، وفي كلّ المصادر مع اختلاف يسير. </w:t>
      </w:r>
      <w:r w:rsidR="00E3253D" w:rsidRPr="002F4D34">
        <w:rPr>
          <w:rStyle w:val="libFootnoteBoldChar"/>
          <w:rtl/>
        </w:rPr>
        <w:t>خصائص الأئمّة</w:t>
      </w:r>
      <w:r w:rsidR="00E3253D" w:rsidRPr="005D642E">
        <w:rPr>
          <w:rtl/>
        </w:rPr>
        <w:t xml:space="preserve"> ، ص 55 ، بسند آخر عن أميرالمؤمنين </w:t>
      </w:r>
      <w:r w:rsidR="00E3253D" w:rsidRPr="00611D10">
        <w:rPr>
          <w:rStyle w:val="libFootnoteAlaemChar"/>
          <w:rtl/>
        </w:rPr>
        <w:t>عليه‌السلام</w:t>
      </w:r>
      <w:r w:rsidR="00E3253D" w:rsidRPr="005D642E">
        <w:rPr>
          <w:rtl/>
        </w:rPr>
        <w:t xml:space="preserve"> ، مع اختلاف. وراجع : </w:t>
      </w:r>
      <w:r w:rsidR="00E3253D" w:rsidRPr="002F4D34">
        <w:rPr>
          <w:rStyle w:val="libFootnoteBoldChar"/>
          <w:rtl/>
        </w:rPr>
        <w:t>بصائر الدرجات</w:t>
      </w:r>
      <w:r w:rsidR="00E3253D" w:rsidRPr="005D642E">
        <w:rPr>
          <w:rtl/>
        </w:rPr>
        <w:t xml:space="preserve"> ، ص 283 ، ح 1 ، 3 ، 4 ، 5 ، 6 </w:t>
      </w:r>
      <w:r w:rsidR="00E3253D">
        <w:rPr>
          <w:rtl/>
        </w:rPr>
        <w:t>و 7</w:t>
      </w:r>
      <w:r w:rsidR="00E3253D" w:rsidRPr="005D642E">
        <w:rPr>
          <w:rtl/>
        </w:rPr>
        <w:t xml:space="preserve"> </w:t>
      </w:r>
      <w:r w:rsidR="00611D10">
        <w:rPr>
          <w:rFonts w:hint="cs"/>
          <w:rtl/>
        </w:rPr>
        <w:t>.</w:t>
      </w:r>
      <w:r w:rsidR="00E3253D" w:rsidRPr="002F4D34">
        <w:rPr>
          <w:rStyle w:val="libFootnoteBoldChar"/>
          <w:rtl/>
        </w:rPr>
        <w:t>الوافي</w:t>
      </w:r>
      <w:r w:rsidR="00E3253D" w:rsidRPr="005D642E">
        <w:rPr>
          <w:rtl/>
        </w:rPr>
        <w:t xml:space="preserve"> ، ج 2 ، ص 324 ، ح 781 ؛ وج 24 ، ص 311 ، ح 24094 ؛ </w:t>
      </w:r>
      <w:r w:rsidR="00E3253D" w:rsidRPr="002F4D34">
        <w:rPr>
          <w:rStyle w:val="libFootnoteBoldChar"/>
          <w:rtl/>
        </w:rPr>
        <w:t>الوسائل</w:t>
      </w:r>
      <w:r w:rsidR="00E3253D" w:rsidRPr="005D642E">
        <w:rPr>
          <w:rtl/>
        </w:rPr>
        <w:t xml:space="preserve"> ، ج 2 ، ص 537 ، ذيل ح 2846 ؛ </w:t>
      </w:r>
      <w:r w:rsidR="00E3253D" w:rsidRPr="002F4D34">
        <w:rPr>
          <w:rStyle w:val="libFootnoteBoldChar"/>
          <w:rtl/>
        </w:rPr>
        <w:t>البحار</w:t>
      </w:r>
      <w:r w:rsidR="00E3253D" w:rsidRPr="005D642E">
        <w:rPr>
          <w:rtl/>
        </w:rPr>
        <w:t xml:space="preserve"> ، ج 22 ، ص 514 ، ذيل ح 15.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فَاغْسِلْنِي </w:t>
      </w:r>
      <w:r w:rsidRPr="007C12DB">
        <w:rPr>
          <w:rStyle w:val="libFootnotenumChar"/>
          <w:rtl/>
        </w:rPr>
        <w:t>(1)</w:t>
      </w:r>
      <w:r w:rsidRPr="005D642E">
        <w:rPr>
          <w:rtl/>
          <w:lang w:bidi="fa-IR"/>
        </w:rPr>
        <w:t xml:space="preserve"> بِسَبْعِ قِرَبٍ </w:t>
      </w:r>
      <w:r w:rsidRPr="007C12DB">
        <w:rPr>
          <w:rStyle w:val="libFootnotenumChar"/>
          <w:rtl/>
        </w:rPr>
        <w:t>(2)</w:t>
      </w:r>
      <w:r w:rsidRPr="005D642E">
        <w:rPr>
          <w:rtl/>
          <w:lang w:bidi="fa-IR"/>
        </w:rPr>
        <w:t xml:space="preserve"> مِنْ بِئْرِ غَرْسٍ</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27470">
        <w:rPr>
          <w:rtl/>
        </w:rPr>
        <w:t>4375</w:t>
      </w:r>
      <w:r w:rsidRPr="00246318">
        <w:rPr>
          <w:rStyle w:val="libBold2Char"/>
          <w:rtl/>
        </w:rPr>
        <w:t xml:space="preserve"> / 3.</w:t>
      </w:r>
      <w:r w:rsidRPr="005D642E">
        <w:rPr>
          <w:rtl/>
          <w:lang w:bidi="fa-IR"/>
        </w:rPr>
        <w:t xml:space="preserve"> مُحَمَّدُ بْنُ يَحْيى ، قَالَ :</w:t>
      </w:r>
    </w:p>
    <w:p w:rsidR="00E3253D" w:rsidRPr="005D642E" w:rsidRDefault="00E3253D" w:rsidP="00E3253D">
      <w:pPr>
        <w:pStyle w:val="libNormal"/>
        <w:rPr>
          <w:rtl/>
          <w:lang w:bidi="fa-IR"/>
        </w:rPr>
      </w:pPr>
      <w:r w:rsidRPr="005D642E">
        <w:rPr>
          <w:rtl/>
          <w:lang w:bidi="fa-IR"/>
        </w:rPr>
        <w:t xml:space="preserve">كَتَبَ مُحَمَّدُ بْنُ الْحَسَنِ إِلى أَبِي مُحَمَّدٍ </w:t>
      </w:r>
      <w:r w:rsidRPr="00AC51C5">
        <w:rPr>
          <w:rStyle w:val="libAlaemChar"/>
          <w:rtl/>
        </w:rPr>
        <w:t>عليه‌السلام</w:t>
      </w:r>
      <w:r w:rsidRPr="005D642E">
        <w:rPr>
          <w:rtl/>
          <w:lang w:bidi="fa-IR"/>
        </w:rPr>
        <w:t xml:space="preserve"> فِي الْمَاءِ الَّذِي يُغَسَّلُ بِهِ الْمَيِّتُ : كَمْ حَدُّهُ</w:t>
      </w:r>
      <w:r>
        <w:rPr>
          <w:rtl/>
          <w:lang w:bidi="fa-IR"/>
        </w:rPr>
        <w:t>؟</w:t>
      </w:r>
    </w:p>
    <w:p w:rsidR="00E3253D" w:rsidRPr="005D642E" w:rsidRDefault="00E3253D" w:rsidP="00E3253D">
      <w:pPr>
        <w:pStyle w:val="libNormal"/>
        <w:rPr>
          <w:rtl/>
          <w:lang w:bidi="fa-IR"/>
        </w:rPr>
      </w:pPr>
      <w:r w:rsidRPr="005D642E">
        <w:rPr>
          <w:rtl/>
          <w:lang w:bidi="fa-IR"/>
        </w:rPr>
        <w:t xml:space="preserve">فَوَقَّعَ </w:t>
      </w:r>
      <w:r w:rsidRPr="00AC51C5">
        <w:rPr>
          <w:rStyle w:val="libAlaemChar"/>
          <w:rtl/>
        </w:rPr>
        <w:t>عليه‌السلام</w:t>
      </w:r>
      <w:r w:rsidRPr="005D642E">
        <w:rPr>
          <w:rtl/>
          <w:lang w:bidi="fa-IR"/>
        </w:rPr>
        <w:t xml:space="preserve"> : « حَدُّ غُسْلِ الْمَيِّتِ : يُغْسَلُ حَتّى يَطْهُرَ إِنْ شَاءَ اللهُ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وَكَتَبَ إِلَيْهِ : هَلْ يَجُوزُ أَنْ يُغَسَّلَ الْمَيِّتُ وَمَاؤُهُ الَّذِي يُصَبُّ عَلَيْهِ يَدْخُلُ إِلى بِئْرِ كَنِيفٍ </w:t>
      </w:r>
      <w:r w:rsidRPr="007C12DB">
        <w:rPr>
          <w:rStyle w:val="libFootnotenumChar"/>
          <w:rtl/>
        </w:rPr>
        <w:t>(4)</w:t>
      </w:r>
      <w:r w:rsidRPr="005D642E">
        <w:rPr>
          <w:rtl/>
          <w:lang w:bidi="fa-IR"/>
        </w:rPr>
        <w:t xml:space="preserve"> ، أَوِ </w:t>
      </w:r>
      <w:r w:rsidRPr="007C12DB">
        <w:rPr>
          <w:rStyle w:val="libFootnotenumChar"/>
          <w:rtl/>
        </w:rPr>
        <w:t>(5)</w:t>
      </w:r>
      <w:r w:rsidRPr="005D642E">
        <w:rPr>
          <w:rtl/>
          <w:lang w:bidi="fa-IR"/>
        </w:rPr>
        <w:t xml:space="preserve"> الرَّجُلُ يَتَوَضَّأُ وُضُوءَ الصَّلَاةِ </w:t>
      </w:r>
      <w:r w:rsidRPr="007C12DB">
        <w:rPr>
          <w:rStyle w:val="libFootnotenumChar"/>
          <w:rtl/>
        </w:rPr>
        <w:t>(6)</w:t>
      </w:r>
      <w:r w:rsidRPr="005D642E">
        <w:rPr>
          <w:rtl/>
          <w:lang w:bidi="fa-IR"/>
        </w:rPr>
        <w:t xml:space="preserve"> أَنْ يُصَبَّ </w:t>
      </w:r>
      <w:r w:rsidRPr="007C12DB">
        <w:rPr>
          <w:rStyle w:val="libFootnotenumChar"/>
          <w:rtl/>
        </w:rPr>
        <w:t>(7)</w:t>
      </w:r>
      <w:r w:rsidRPr="005D642E">
        <w:rPr>
          <w:rtl/>
          <w:lang w:bidi="fa-IR"/>
        </w:rPr>
        <w:t xml:space="preserve"> مَاءُ وُضُوئِهِ فِي </w:t>
      </w:r>
      <w:r w:rsidRPr="007C12DB">
        <w:rPr>
          <w:rStyle w:val="libFootnotenumChar"/>
          <w:rtl/>
        </w:rPr>
        <w:t>(8)</w:t>
      </w:r>
      <w:r w:rsidRPr="005D642E">
        <w:rPr>
          <w:rtl/>
          <w:lang w:bidi="fa-IR"/>
        </w:rPr>
        <w:t xml:space="preserve"> كَنِيفٍ</w:t>
      </w:r>
      <w:r>
        <w:rPr>
          <w:rtl/>
          <w:lang w:bidi="fa-IR"/>
        </w:rPr>
        <w:t>؟</w:t>
      </w:r>
    </w:p>
    <w:p w:rsidR="00E3253D" w:rsidRPr="005D642E" w:rsidRDefault="00E3253D" w:rsidP="00E3253D">
      <w:pPr>
        <w:pStyle w:val="libNormal"/>
        <w:rPr>
          <w:rtl/>
          <w:lang w:bidi="fa-IR"/>
        </w:rPr>
      </w:pPr>
      <w:r w:rsidRPr="005D642E">
        <w:rPr>
          <w:rtl/>
          <w:lang w:bidi="fa-IR"/>
        </w:rPr>
        <w:t xml:space="preserve">فَوَقَّعَ </w:t>
      </w:r>
      <w:r w:rsidRPr="00AC51C5">
        <w:rPr>
          <w:rStyle w:val="libAlaemChar"/>
          <w:rtl/>
        </w:rPr>
        <w:t>عليه‌السلام</w:t>
      </w:r>
      <w:r w:rsidRPr="005D642E">
        <w:rPr>
          <w:rtl/>
          <w:lang w:bidi="fa-IR"/>
        </w:rPr>
        <w:t xml:space="preserve"> : « يَكُونُ ذلِكَ فِي بَلَالِيعَ </w:t>
      </w:r>
      <w:r w:rsidRPr="007C12DB">
        <w:rPr>
          <w:rStyle w:val="libFootnotenumChar"/>
          <w:rtl/>
        </w:rPr>
        <w:t>(9)</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المطبوع : « فغسّلني</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ج 13 ، ص 323 : « الظاهر أنّ السبع تصحيف ؛ فإنّ أكثر الروايات وردت بالستّ ، ويحتمل أن يكون إحداهما موافقة لروايات المخالفين تقيّة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435 ، ح 1398 ؛ </w:t>
      </w:r>
      <w:r w:rsidR="00E3253D" w:rsidRPr="00E678B5">
        <w:rPr>
          <w:rStyle w:val="libFootnoteBoldChar"/>
          <w:rtl/>
        </w:rPr>
        <w:t>والاستبصار</w:t>
      </w:r>
      <w:r w:rsidR="00E3253D" w:rsidRPr="005D642E">
        <w:rPr>
          <w:rtl/>
        </w:rPr>
        <w:t xml:space="preserve"> ، ج 1 ، ص 196 ، ح 687 ، معلّقاً عن عليّ بن إبراهيم. </w:t>
      </w:r>
      <w:r w:rsidR="00E3253D" w:rsidRPr="002F4D34">
        <w:rPr>
          <w:rStyle w:val="libFootnoteBoldChar"/>
          <w:rtl/>
        </w:rPr>
        <w:t>الكافي</w:t>
      </w:r>
      <w:r w:rsidR="00E3253D" w:rsidRPr="005D642E">
        <w:rPr>
          <w:rtl/>
        </w:rPr>
        <w:t xml:space="preserve"> ، كتاب الحجّة ، باب الإشارة والنصّ علي أميرالمؤمنين </w:t>
      </w:r>
      <w:r w:rsidR="00E3253D" w:rsidRPr="00611D10">
        <w:rPr>
          <w:rStyle w:val="libFootnoteAlaemChar"/>
          <w:rtl/>
        </w:rPr>
        <w:t>عليه‌السلام</w:t>
      </w:r>
      <w:r w:rsidR="00E3253D" w:rsidRPr="005D642E">
        <w:rPr>
          <w:rtl/>
        </w:rPr>
        <w:t xml:space="preserve"> ، ضمن ح 772 بسند آخر ، مع اختلاف يسير. وراجع : </w:t>
      </w:r>
      <w:r w:rsidR="00E3253D" w:rsidRPr="002F4D34">
        <w:rPr>
          <w:rStyle w:val="libFootnoteBoldChar"/>
          <w:rtl/>
        </w:rPr>
        <w:t>بصائر الدرجات</w:t>
      </w:r>
      <w:r w:rsidR="00E3253D" w:rsidRPr="005D642E">
        <w:rPr>
          <w:rtl/>
        </w:rPr>
        <w:t xml:space="preserve"> ، ص 284 ، ح 10 </w:t>
      </w:r>
      <w:r w:rsidR="00611D10">
        <w:rPr>
          <w:rFonts w:hint="cs"/>
          <w:rtl/>
        </w:rPr>
        <w:t>.</w:t>
      </w:r>
      <w:r w:rsidR="00E3253D" w:rsidRPr="002F4D34">
        <w:rPr>
          <w:rStyle w:val="libFootnoteBoldChar"/>
          <w:rtl/>
        </w:rPr>
        <w:t>الوافي</w:t>
      </w:r>
      <w:r w:rsidR="00E3253D" w:rsidRPr="005D642E">
        <w:rPr>
          <w:rtl/>
        </w:rPr>
        <w:t xml:space="preserve"> ، ج 24 ، ص 311 ، ح 24095 ؛ </w:t>
      </w:r>
      <w:r w:rsidR="00E3253D" w:rsidRPr="002F4D34">
        <w:rPr>
          <w:rStyle w:val="libFootnoteBoldChar"/>
          <w:rtl/>
        </w:rPr>
        <w:t>الوسائل</w:t>
      </w:r>
      <w:r w:rsidR="00E3253D" w:rsidRPr="005D642E">
        <w:rPr>
          <w:rtl/>
        </w:rPr>
        <w:t xml:space="preserve"> ، ج 2 ، ص 536 ، ح 2845.</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الكنيف » : المستراح ، وهو موضع غسل البول والغائط ، وكلّ ما يستر من بناء أو غيره فهو كنيف ، وقيل للمستراح كنيف لأنّه يستر قاضي الحاجة. راجع : </w:t>
      </w:r>
      <w:r w:rsidR="00E3253D" w:rsidRPr="002F4D34">
        <w:rPr>
          <w:rStyle w:val="libFootnoteBoldChar"/>
          <w:rtl/>
        </w:rPr>
        <w:t>المغرب</w:t>
      </w:r>
      <w:r w:rsidR="00E3253D" w:rsidRPr="005D642E">
        <w:rPr>
          <w:rtl/>
        </w:rPr>
        <w:t xml:space="preserve"> ، ص 417 ؛ </w:t>
      </w:r>
      <w:r w:rsidR="00E3253D" w:rsidRPr="002F4D34">
        <w:rPr>
          <w:rStyle w:val="libFootnoteBoldChar"/>
          <w:rtl/>
        </w:rPr>
        <w:t>المصباح المنير</w:t>
      </w:r>
      <w:r w:rsidR="00E3253D" w:rsidRPr="005D642E">
        <w:rPr>
          <w:rtl/>
        </w:rPr>
        <w:t xml:space="preserve"> ، ص 542 ( كنف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 ج 6 : « كتبت إلى أبي محمد </w:t>
      </w:r>
      <w:r w:rsidR="00E3253D" w:rsidRPr="00611D10">
        <w:rPr>
          <w:rStyle w:val="libFootnoteAlaemChar"/>
          <w:rtl/>
        </w:rPr>
        <w:t>عليه‌السلام</w:t>
      </w:r>
      <w:r w:rsidR="00E3253D" w:rsidRPr="005D642E">
        <w:rPr>
          <w:rtl/>
        </w:rPr>
        <w:t xml:space="preserve"> » بدل « وكتب إليه</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بئر كنيف أو</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 ج 6 : + « هل يجوز</w:t>
      </w:r>
      <w:r w:rsidR="00E3253D">
        <w:rPr>
          <w:rtl/>
        </w:rPr>
        <w:t xml:space="preserve"> ».</w:t>
      </w:r>
    </w:p>
    <w:p w:rsidR="00E3253D" w:rsidRPr="005D642E" w:rsidRDefault="0042621E" w:rsidP="00611D10">
      <w:pPr>
        <w:pStyle w:val="libFootnote0"/>
        <w:rPr>
          <w:rtl/>
          <w:lang w:bidi="fa-IR"/>
        </w:rPr>
      </w:pPr>
      <w:r w:rsidRPr="0042621E">
        <w:rPr>
          <w:rStyle w:val="libFootnote0Char"/>
          <w:rtl/>
        </w:rPr>
        <w:t>(7).</w:t>
      </w:r>
      <w:r w:rsidR="00E3253D" w:rsidRPr="005D642E">
        <w:rPr>
          <w:rtl/>
        </w:rPr>
        <w:t xml:space="preserve"> في « ظ ، ى ، بث ، بخ ، بس ، جح ، جس ، جن » والوسائل ، ح 2847 : « أن ينصبّ</w:t>
      </w:r>
      <w:r w:rsidR="00E3253D">
        <w:rPr>
          <w:rtl/>
        </w:rPr>
        <w:t xml:space="preserve"> ».</w:t>
      </w:r>
      <w:r w:rsidR="00E3253D" w:rsidRPr="005D642E">
        <w:rPr>
          <w:rtl/>
        </w:rPr>
        <w:t xml:space="preserve"> وفي الوسائل ، ح 1297 : « ينصب » بدل « أن يصبّ</w:t>
      </w:r>
      <w:r w:rsidR="00E3253D">
        <w:rPr>
          <w:rtl/>
        </w:rPr>
        <w:t xml:space="preserve"> ».</w:t>
      </w:r>
      <w:r w:rsidR="00611D10">
        <w:rPr>
          <w:rFonts w:hint="cs"/>
          <w:rtl/>
        </w:rPr>
        <w:t xml:space="preserve">          </w:t>
      </w:r>
      <w:r w:rsidRPr="0042621E">
        <w:rPr>
          <w:rStyle w:val="libFootnote0Char"/>
          <w:rtl/>
        </w:rPr>
        <w:t>(8).</w:t>
      </w:r>
      <w:r w:rsidR="00E3253D" w:rsidRPr="005D642E">
        <w:rPr>
          <w:rtl/>
        </w:rPr>
        <w:t xml:space="preserve"> في « غ ، بث ، بخ ، بف » </w:t>
      </w:r>
      <w:r w:rsidR="000D749A" w:rsidRPr="000D749A">
        <w:rPr>
          <w:rStyle w:val="libFootnoteBoldChar"/>
          <w:rtl/>
        </w:rPr>
        <w:t>والوافي</w:t>
      </w:r>
      <w:r w:rsidR="00E3253D" w:rsidRPr="005D642E">
        <w:rPr>
          <w:rtl/>
        </w:rPr>
        <w:t xml:space="preserve"> : + « بئر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البَلاليع » : جمع البالوعة ، </w:t>
      </w:r>
      <w:r w:rsidR="00611D10">
        <w:rPr>
          <w:rtl/>
        </w:rPr>
        <w:t>وهو ثقب في وسط الدار. قال العل</w:t>
      </w:r>
      <w:r w:rsidR="00611D10">
        <w:rPr>
          <w:rFonts w:hint="cs"/>
          <w:rtl/>
        </w:rPr>
        <w:t>ّ</w:t>
      </w:r>
      <w:r w:rsidR="00611D10">
        <w:rPr>
          <w:rtl/>
        </w:rPr>
        <w:t>ا</w:t>
      </w:r>
      <w:r w:rsidR="00E3253D" w:rsidRPr="005D642E">
        <w:rPr>
          <w:rtl/>
        </w:rPr>
        <w:t>مة الفيض : « والمراد البئر الضيّق الفم التي يجري فيها ماء المطر ونحوه</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3 ، ص 1188 ( بلع ) ؛ </w:t>
      </w:r>
      <w:r w:rsidR="00E3253D" w:rsidRPr="002F4D34">
        <w:rPr>
          <w:rStyle w:val="libFootnoteBoldChar"/>
          <w:rtl/>
        </w:rPr>
        <w:t>الوافي</w:t>
      </w:r>
      <w:r w:rsidR="00E3253D" w:rsidRPr="005D642E">
        <w:rPr>
          <w:rtl/>
        </w:rPr>
        <w:t xml:space="preserve"> ، ج 6 ، ص 339.</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الفقيه</w:t>
      </w:r>
      <w:r w:rsidR="00E3253D" w:rsidRPr="005D642E">
        <w:rPr>
          <w:rtl/>
        </w:rPr>
        <w:t xml:space="preserve"> ، ج 1 ، ص 141 ، ح 393 ؛ </w:t>
      </w:r>
      <w:r w:rsidR="00B60612" w:rsidRPr="00B60612">
        <w:rPr>
          <w:rStyle w:val="libFootnoteBoldChar"/>
          <w:rtl/>
        </w:rPr>
        <w:t>والتهذيب</w:t>
      </w:r>
      <w:r w:rsidR="00E3253D" w:rsidRPr="005D642E">
        <w:rPr>
          <w:rtl/>
        </w:rPr>
        <w:t xml:space="preserve"> ، ج 1 ، ص 431 ، ح 1377 ، معلّقاً عن محمّد بن الحسن الصفّار ، عن أبي محمّد </w:t>
      </w:r>
      <w:r w:rsidR="00E3253D" w:rsidRPr="00611D10">
        <w:rPr>
          <w:rStyle w:val="libFootnoteAlaemChar"/>
          <w:rtl/>
        </w:rPr>
        <w:t>عليه‌السلام</w:t>
      </w:r>
      <w:r w:rsidR="00E3253D" w:rsidRPr="005D642E">
        <w:rPr>
          <w:rtl/>
        </w:rPr>
        <w:t xml:space="preserve">. </w:t>
      </w:r>
      <w:r w:rsidR="00E3253D" w:rsidRPr="002F4D34">
        <w:rPr>
          <w:rStyle w:val="libFootnoteBoldChar"/>
          <w:rtl/>
        </w:rPr>
        <w:t>الاستبصار</w:t>
      </w:r>
      <w:r w:rsidR="00E3253D" w:rsidRPr="005D642E">
        <w:rPr>
          <w:rtl/>
        </w:rPr>
        <w:t xml:space="preserve"> ، ج 1 ، ص 195 ، ح 686 ، بسنده عن الصفّار ، عن أبي محمّد </w:t>
      </w:r>
      <w:r w:rsidR="00E3253D" w:rsidRPr="00611D10">
        <w:rPr>
          <w:rStyle w:val="libFootnoteAlaemChar"/>
          <w:rtl/>
        </w:rPr>
        <w:t>عليه‌السلام</w:t>
      </w:r>
      <w:r w:rsidR="00E3253D" w:rsidRPr="005D642E">
        <w:rPr>
          <w:rtl/>
        </w:rPr>
        <w:t xml:space="preserve"> ، وفي كلّها إلى قوله : </w:t>
      </w:r>
      <w:r w:rsidR="0012321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135BE">
        <w:rPr>
          <w:rtl/>
        </w:rPr>
        <w:t>4376</w:t>
      </w:r>
      <w:r w:rsidRPr="00246318">
        <w:rPr>
          <w:rStyle w:val="libBold2Char"/>
          <w:rtl/>
        </w:rPr>
        <w:t xml:space="preserve"> / 4.</w:t>
      </w:r>
      <w:r w:rsidRPr="005D642E">
        <w:rPr>
          <w:rtl/>
          <w:lang w:bidi="fa-IR"/>
        </w:rPr>
        <w:t xml:space="preserve"> عَلِيُّ بْنُ إِبْرَاهِيمَ ، عَنْ أَبِيهِ </w:t>
      </w:r>
      <w:r w:rsidRPr="007C12DB">
        <w:rPr>
          <w:rStyle w:val="libFootnotenumChar"/>
          <w:rtl/>
        </w:rPr>
        <w:t>(1)</w:t>
      </w:r>
      <w:r w:rsidRPr="005D642E">
        <w:rPr>
          <w:rtl/>
          <w:lang w:bidi="fa-IR"/>
        </w:rPr>
        <w:t xml:space="preserve"> رَفَعَهُ ، قَالَ :</w:t>
      </w:r>
    </w:p>
    <w:p w:rsidR="00E3253D" w:rsidRPr="005D642E" w:rsidRDefault="00E3253D" w:rsidP="00E3253D">
      <w:pPr>
        <w:pStyle w:val="libNormal"/>
        <w:rPr>
          <w:rtl/>
          <w:lang w:bidi="fa-IR"/>
        </w:rPr>
      </w:pPr>
      <w:r w:rsidRPr="005D642E">
        <w:rPr>
          <w:rtl/>
          <w:lang w:bidi="fa-IR"/>
        </w:rPr>
        <w:t xml:space="preserve">« السُّنَّةُ فِي الْحَنُوطِ ثَلَاثَةَ عَشَرَ دِرْهَماً وَثُلُثٌ أَكْثَرُهُ </w:t>
      </w:r>
      <w:r w:rsidRPr="007C12DB">
        <w:rPr>
          <w:rStyle w:val="libFootnotenumChar"/>
          <w:rtl/>
        </w:rPr>
        <w:t>(2)</w:t>
      </w:r>
      <w:r>
        <w:rPr>
          <w:rtl/>
          <w:lang w:bidi="fa-IR"/>
        </w:rPr>
        <w:t xml:space="preserve"> ».</w:t>
      </w:r>
    </w:p>
    <w:p w:rsidR="00E3253D" w:rsidRPr="005D642E" w:rsidRDefault="00E3253D" w:rsidP="00E3253D">
      <w:pPr>
        <w:pStyle w:val="libNormal"/>
        <w:rPr>
          <w:rtl/>
          <w:lang w:bidi="fa-IR"/>
        </w:rPr>
      </w:pPr>
      <w:r w:rsidRPr="005D642E">
        <w:rPr>
          <w:rtl/>
          <w:lang w:bidi="fa-IR"/>
        </w:rPr>
        <w:t xml:space="preserve">وَقَالَ : « إِنَّ جَبْرَئِيلَ </w:t>
      </w:r>
      <w:r w:rsidRPr="00AC51C5">
        <w:rPr>
          <w:rStyle w:val="libAlaemChar"/>
          <w:rtl/>
        </w:rPr>
        <w:t>عليه‌السلام</w:t>
      </w:r>
      <w:r w:rsidRPr="005D642E">
        <w:rPr>
          <w:rtl/>
          <w:lang w:bidi="fa-IR"/>
        </w:rPr>
        <w:t xml:space="preserve"> نَزَلَ عَلى رَسُولِ اللهِ </w:t>
      </w:r>
      <w:r w:rsidR="0042621E" w:rsidRPr="0042621E">
        <w:rPr>
          <w:rStyle w:val="libAlaemChar"/>
          <w:rtl/>
        </w:rPr>
        <w:t>صلى‌الله‌عليه‌وآله</w:t>
      </w:r>
      <w:r w:rsidRPr="005D642E">
        <w:rPr>
          <w:rtl/>
          <w:lang w:bidi="fa-IR"/>
        </w:rPr>
        <w:t xml:space="preserve"> بِحَنُوطٍ ، وَكَانَ </w:t>
      </w:r>
      <w:r w:rsidRPr="007C12DB">
        <w:rPr>
          <w:rStyle w:val="libFootnotenumChar"/>
          <w:rtl/>
        </w:rPr>
        <w:t>(3)</w:t>
      </w:r>
      <w:r w:rsidRPr="005D642E">
        <w:rPr>
          <w:rtl/>
          <w:lang w:bidi="fa-IR"/>
        </w:rPr>
        <w:t xml:space="preserve"> وَزْنُهُ أَرْبَعِينَ دِرْهَماً ، فَقَسَمَهَا رَسُولُ اللهِ </w:t>
      </w:r>
      <w:r w:rsidR="0042621E" w:rsidRPr="0042621E">
        <w:rPr>
          <w:rStyle w:val="libAlaemChar"/>
          <w:rtl/>
        </w:rPr>
        <w:t>صلى‌الله‌عليه‌وآله</w:t>
      </w:r>
      <w:r w:rsidRPr="005D642E">
        <w:rPr>
          <w:rtl/>
          <w:lang w:bidi="fa-IR"/>
        </w:rPr>
        <w:t xml:space="preserve"> ثَلَاثَةَ أَجْزَاءٍ : جُزْءٌ </w:t>
      </w:r>
      <w:r w:rsidRPr="007C12DB">
        <w:rPr>
          <w:rStyle w:val="libFootnotenumChar"/>
          <w:rtl/>
        </w:rPr>
        <w:t>(4)</w:t>
      </w:r>
      <w:r w:rsidRPr="005D642E">
        <w:rPr>
          <w:rtl/>
          <w:lang w:bidi="fa-IR"/>
        </w:rPr>
        <w:t xml:space="preserve"> لَهُ ، وَجُزْءٌ </w:t>
      </w:r>
      <w:r w:rsidRPr="007C12DB">
        <w:rPr>
          <w:rStyle w:val="libFootnotenumChar"/>
          <w:rtl/>
        </w:rPr>
        <w:t>(5)</w:t>
      </w:r>
      <w:r w:rsidRPr="005D642E">
        <w:rPr>
          <w:rtl/>
          <w:lang w:bidi="fa-IR"/>
        </w:rPr>
        <w:t xml:space="preserve"> لِعَلِيٍّ ، وَجُزْءٌ </w:t>
      </w:r>
      <w:r w:rsidRPr="007C12DB">
        <w:rPr>
          <w:rStyle w:val="libFootnotenumChar"/>
          <w:rtl/>
        </w:rPr>
        <w:t>(6)</w:t>
      </w:r>
      <w:r w:rsidRPr="005D642E">
        <w:rPr>
          <w:rtl/>
          <w:lang w:bidi="fa-IR"/>
        </w:rPr>
        <w:t xml:space="preserve"> لِفَاطِمَةَ </w:t>
      </w:r>
      <w:r w:rsidRPr="00AC51C5">
        <w:rPr>
          <w:rStyle w:val="libAlaemChar"/>
          <w:rtl/>
        </w:rPr>
        <w:t>عليهم‌السلام</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135BE">
        <w:rPr>
          <w:rtl/>
        </w:rPr>
        <w:t>4377</w:t>
      </w:r>
      <w:r w:rsidRPr="00246318">
        <w:rPr>
          <w:rStyle w:val="libBold2Char"/>
          <w:rtl/>
        </w:rPr>
        <w:t xml:space="preserve"> / 5.</w:t>
      </w:r>
      <w:r w:rsidRPr="005D642E">
        <w:rPr>
          <w:rtl/>
          <w:lang w:bidi="fa-IR"/>
        </w:rPr>
        <w:t xml:space="preserve"> عِدَّةٌ مِنْ أَصْحَابِنَا ، عَنْ سَهْلِ بْنِ زِيَادٍ ، عَنِ ابْنِ أَبِي نَجْرَانَ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أَقَلُّ مَا يُجْزِئُ مِنَ الْكَافُورِ لِلْمَيِّتِ مِثْقَالٌ </w:t>
      </w:r>
      <w:r w:rsidRPr="007C12DB">
        <w:rPr>
          <w:rStyle w:val="libFootnotenumChar"/>
          <w:rtl/>
        </w:rPr>
        <w:t>(8)</w:t>
      </w:r>
      <w:r>
        <w:rPr>
          <w:rtl/>
          <w:lang w:bidi="fa-IR"/>
        </w:rPr>
        <w:t xml:space="preserve"> ».</w:t>
      </w:r>
      <w:r w:rsidRPr="005D642E">
        <w:rPr>
          <w:rtl/>
          <w:lang w:bidi="fa-IR"/>
        </w:rPr>
        <w:t xml:space="preserve"> </w:t>
      </w:r>
      <w:r w:rsidRPr="007C12DB">
        <w:rPr>
          <w:rStyle w:val="libFootnotenumChar"/>
          <w:rtl/>
        </w:rPr>
        <w:t>(9)</w:t>
      </w:r>
      <w:r>
        <w:rPr>
          <w:rtl/>
          <w:lang w:bidi="fa-IR"/>
        </w:rPr>
        <w:t xml:space="preserve"> </w:t>
      </w:r>
    </w:p>
    <w:p w:rsidR="00E3253D" w:rsidRPr="005D642E" w:rsidRDefault="00A42F43" w:rsidP="00E3253D">
      <w:pPr>
        <w:pStyle w:val="libNormal"/>
        <w:rPr>
          <w:rtl/>
          <w:lang w:bidi="fa-IR"/>
        </w:rPr>
      </w:pPr>
      <w:r>
        <w:rPr>
          <w:rFonts w:hint="cs"/>
          <w:rtl/>
          <w:lang w:bidi="fa-IR"/>
        </w:rPr>
        <w:t xml:space="preserve">* </w:t>
      </w:r>
      <w:r w:rsidR="00E3253D" w:rsidRPr="005D642E">
        <w:rPr>
          <w:rtl/>
          <w:lang w:bidi="fa-IR"/>
        </w:rPr>
        <w:t>وَفِي رِوَايَةِ الْكَاهِلِيِّ وَحُسَيْنِ بْنِ الْمُخْتَارِ :</w:t>
      </w:r>
    </w:p>
    <w:p w:rsidR="00E3253D" w:rsidRPr="005D642E" w:rsidRDefault="00E3253D" w:rsidP="00E3253D">
      <w:pPr>
        <w:pStyle w:val="libLine"/>
        <w:rPr>
          <w:rtl/>
          <w:lang w:bidi="fa-IR"/>
        </w:rPr>
      </w:pPr>
      <w:r w:rsidRPr="005D642E">
        <w:rPr>
          <w:rtl/>
          <w:lang w:bidi="fa-IR"/>
        </w:rPr>
        <w:t>__________________</w:t>
      </w:r>
    </w:p>
    <w:p w:rsidR="00E3253D" w:rsidRPr="005D642E" w:rsidRDefault="00920FAF" w:rsidP="00E3253D">
      <w:pPr>
        <w:pStyle w:val="libFootnote0"/>
        <w:rPr>
          <w:rtl/>
          <w:lang w:bidi="fa-IR"/>
        </w:rPr>
      </w:pPr>
      <w:r>
        <w:rPr>
          <w:rFonts w:hint="cs"/>
          <w:rtl/>
        </w:rPr>
        <w:t xml:space="preserve">= </w:t>
      </w:r>
      <w:r w:rsidR="00E3253D" w:rsidRPr="005D642E">
        <w:rPr>
          <w:rtl/>
        </w:rPr>
        <w:t xml:space="preserve">« يغسّل حتّى يطهر إن شاء الله » مع اختلاف يسير وزيادة. </w:t>
      </w:r>
      <w:r w:rsidR="00E3253D" w:rsidRPr="002F4D34">
        <w:rPr>
          <w:rStyle w:val="libFootnoteBoldChar"/>
          <w:rtl/>
        </w:rPr>
        <w:t>التهذيب</w:t>
      </w:r>
      <w:r w:rsidR="00E3253D" w:rsidRPr="005D642E">
        <w:rPr>
          <w:rtl/>
        </w:rPr>
        <w:t xml:space="preserve"> ، ج 1 ، ص 431 ، ح 1378 ، معلّقاً عن الصفّار ، عن أبي محمّد </w:t>
      </w:r>
      <w:r w:rsidR="00E3253D" w:rsidRPr="00B547AF">
        <w:rPr>
          <w:rStyle w:val="libFootnoteAlaemChar"/>
          <w:rtl/>
        </w:rPr>
        <w:t>عليه‌السلام</w:t>
      </w:r>
      <w:r w:rsidR="00E3253D" w:rsidRPr="005D642E">
        <w:rPr>
          <w:rtl/>
        </w:rPr>
        <w:t xml:space="preserve"> ، من قوله : « هل يجوز أن يغسّل الميّت » مع اختلاف يسير. </w:t>
      </w:r>
      <w:r w:rsidR="00E3253D" w:rsidRPr="002F4D34">
        <w:rPr>
          <w:rStyle w:val="libFootnoteBoldChar"/>
          <w:rtl/>
        </w:rPr>
        <w:t>الفقيه</w:t>
      </w:r>
      <w:r w:rsidR="00E3253D" w:rsidRPr="005D642E">
        <w:rPr>
          <w:rtl/>
        </w:rPr>
        <w:t xml:space="preserve"> ، ج 1 ، ص 150 ، ذيل ح 416 ، مع اختلاف يسير </w:t>
      </w:r>
      <w:r w:rsidR="00E3253D" w:rsidRPr="002F4D34">
        <w:rPr>
          <w:rStyle w:val="libFootnoteBoldChar"/>
          <w:rtl/>
        </w:rPr>
        <w:t>الوافي</w:t>
      </w:r>
      <w:r w:rsidR="00E3253D" w:rsidRPr="005D642E">
        <w:rPr>
          <w:rtl/>
        </w:rPr>
        <w:t xml:space="preserve"> ، ج 6 ، ص 339 ، ح 4421 ؛ وج 24 ، ص 312 ، ح 24096 ؛ وج 24 ، ص 329 ، ح 24134 ؛ </w:t>
      </w:r>
      <w:r w:rsidR="00E3253D" w:rsidRPr="002F4D34">
        <w:rPr>
          <w:rStyle w:val="libFootnoteBoldChar"/>
          <w:rtl/>
        </w:rPr>
        <w:t>الوسائل</w:t>
      </w:r>
      <w:r w:rsidR="00E3253D" w:rsidRPr="005D642E">
        <w:rPr>
          <w:rtl/>
        </w:rPr>
        <w:t xml:space="preserve"> ، ج 1 ، ص 491 ، ح 1297 ، من قوله : « هل يجوز أن يغسّل الميّت » ؛ وج 2 ، ص 536 ، ح 2843 ، إلى قوله : « يغسّل حتّى يطهر إن شاء الله » ؛ وص 538 ، ح 2847.</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w:t>
      </w:r>
      <w:r w:rsidR="00E3253D">
        <w:rPr>
          <w:rtl/>
        </w:rPr>
        <w:t xml:space="preserve"> </w:t>
      </w:r>
      <w:r w:rsidR="007642BC">
        <w:rPr>
          <w:rtl/>
        </w:rPr>
        <w:t>-</w:t>
      </w:r>
      <w:r w:rsidR="00E3253D">
        <w:rPr>
          <w:rtl/>
        </w:rPr>
        <w:t xml:space="preserve"> </w:t>
      </w:r>
      <w:r w:rsidR="00E3253D" w:rsidRPr="005D642E">
        <w:rPr>
          <w:rtl/>
        </w:rPr>
        <w:t>« عن أبيه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جن » : « أكثر</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w:t>
      </w:r>
      <w:r w:rsidR="00B60612" w:rsidRPr="00B60612">
        <w:rPr>
          <w:rStyle w:val="libFootnoteBoldChar"/>
          <w:rtl/>
        </w:rPr>
        <w:t>والتهذيب</w:t>
      </w:r>
      <w:r w:rsidR="00E3253D" w:rsidRPr="005D642E">
        <w:rPr>
          <w:rtl/>
        </w:rPr>
        <w:t xml:space="preserve"> : « فكان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ى ، بخ ، بف ، جح » : « جزءاً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بح ، بف » : « وجزءاً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بح ، بخ ، بف ، جح » : « وجزءاً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290 ، ح 845 ، بسنده عن الكليني. </w:t>
      </w:r>
      <w:r w:rsidR="00E3253D" w:rsidRPr="002F4D34">
        <w:rPr>
          <w:rStyle w:val="libFootnoteBoldChar"/>
          <w:rtl/>
        </w:rPr>
        <w:t>علل الشرائع</w:t>
      </w:r>
      <w:r w:rsidR="00E3253D" w:rsidRPr="005D642E">
        <w:rPr>
          <w:rtl/>
        </w:rPr>
        <w:t xml:space="preserve"> ، ص 302 ، ح 1 ، بسنده عن محمّد بن سنان رفعه ، قال : السنّة</w:t>
      </w:r>
      <w:r w:rsidR="00E3253D">
        <w:rPr>
          <w:rtl/>
        </w:rPr>
        <w:t xml:space="preserve"> ....</w:t>
      </w:r>
      <w:r w:rsidR="00E3253D" w:rsidRPr="005D642E">
        <w:rPr>
          <w:rtl/>
        </w:rPr>
        <w:t xml:space="preserve"> </w:t>
      </w:r>
      <w:r w:rsidR="00E3253D" w:rsidRPr="002F4D34">
        <w:rPr>
          <w:rStyle w:val="libFootnoteBoldChar"/>
          <w:rtl/>
        </w:rPr>
        <w:t>الفقيه</w:t>
      </w:r>
      <w:r w:rsidR="00E3253D" w:rsidRPr="005D642E">
        <w:rPr>
          <w:rtl/>
        </w:rPr>
        <w:t xml:space="preserve"> ، ج 1 ، ص 149 ، ح 416 ، مرسلاً ومع اختلاف يسير </w:t>
      </w:r>
      <w:r w:rsidR="00B547AF">
        <w:rPr>
          <w:rFonts w:hint="cs"/>
          <w:rtl/>
        </w:rPr>
        <w:t>.</w:t>
      </w:r>
      <w:r w:rsidR="00E3253D" w:rsidRPr="002F4D34">
        <w:rPr>
          <w:rStyle w:val="libFootnoteBoldChar"/>
          <w:rtl/>
        </w:rPr>
        <w:t>الوافي</w:t>
      </w:r>
      <w:r w:rsidR="00E3253D" w:rsidRPr="005D642E">
        <w:rPr>
          <w:rtl/>
        </w:rPr>
        <w:t xml:space="preserve"> ، ج 24 ، ص 314 ، ح 24101 ؛ </w:t>
      </w:r>
      <w:r w:rsidR="00E3253D" w:rsidRPr="002F4D34">
        <w:rPr>
          <w:rStyle w:val="libFootnoteBoldChar"/>
          <w:rtl/>
        </w:rPr>
        <w:t>الوسائل</w:t>
      </w:r>
      <w:r w:rsidR="00E3253D" w:rsidRPr="005D642E">
        <w:rPr>
          <w:rtl/>
        </w:rPr>
        <w:t xml:space="preserve"> ، ج 3 ، ص 13 ، ح 2888 ؛ </w:t>
      </w:r>
      <w:r w:rsidR="00E3253D" w:rsidRPr="002F4D34">
        <w:rPr>
          <w:rStyle w:val="libFootnoteBoldChar"/>
          <w:rtl/>
        </w:rPr>
        <w:t>البحار</w:t>
      </w:r>
      <w:r w:rsidR="00E3253D" w:rsidRPr="005D642E">
        <w:rPr>
          <w:rtl/>
        </w:rPr>
        <w:t xml:space="preserve"> ، ج 22 ، ص 504 ، ذيل ح 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 ح 849 : + « ونصف</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291 ، ح 846 ، بسنده عن الكليني. </w:t>
      </w:r>
      <w:r w:rsidR="00E3253D" w:rsidRPr="002F4D34">
        <w:rPr>
          <w:rStyle w:val="libFootnoteBoldChar"/>
          <w:rtl/>
        </w:rPr>
        <w:t>وفيه</w:t>
      </w:r>
      <w:r w:rsidR="00E3253D" w:rsidRPr="005D642E">
        <w:rPr>
          <w:rtl/>
        </w:rPr>
        <w:t xml:space="preserve"> ، ح 849 ، بسنده عن عبدالرحمن بن أبي نجران. وراجع : </w:t>
      </w:r>
      <w:r w:rsidR="00E3253D" w:rsidRPr="002F4D34">
        <w:rPr>
          <w:rStyle w:val="libFootnoteBoldChar"/>
          <w:rtl/>
        </w:rPr>
        <w:t>المقنعة</w:t>
      </w:r>
      <w:r w:rsidR="00E3253D" w:rsidRPr="005D642E">
        <w:rPr>
          <w:rtl/>
        </w:rPr>
        <w:t xml:space="preserve"> ، ص 74 </w:t>
      </w:r>
      <w:r w:rsidR="00B547AF">
        <w:rPr>
          <w:rFonts w:hint="cs"/>
          <w:rtl/>
        </w:rPr>
        <w:t>.</w:t>
      </w:r>
      <w:r w:rsidR="00E3253D" w:rsidRPr="005D642E">
        <w:rPr>
          <w:rtl/>
        </w:rPr>
        <w:t xml:space="preserve">الوافي ، ج 24 ، ص 315 ، ح 24103 ؛ </w:t>
      </w:r>
      <w:r w:rsidR="00E3253D" w:rsidRPr="002F4D34">
        <w:rPr>
          <w:rStyle w:val="libFootnoteBoldChar"/>
          <w:rtl/>
        </w:rPr>
        <w:t>الوسائل</w:t>
      </w:r>
      <w:r w:rsidR="00E3253D" w:rsidRPr="005D642E">
        <w:rPr>
          <w:rtl/>
        </w:rPr>
        <w:t xml:space="preserve"> ، ج 3 ، ص 13 ، ح 2889.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الْقَصْدُ مِنْ ذلِكَ </w:t>
      </w:r>
      <w:r w:rsidRPr="007C12DB">
        <w:rPr>
          <w:rStyle w:val="libFootnotenumChar"/>
          <w:rtl/>
        </w:rPr>
        <w:t>(1)</w:t>
      </w:r>
      <w:r w:rsidRPr="005D642E">
        <w:rPr>
          <w:rtl/>
          <w:lang w:bidi="fa-IR"/>
        </w:rPr>
        <w:t xml:space="preserve"> أَرْبَعَةُ </w:t>
      </w:r>
      <w:r w:rsidRPr="007C12DB">
        <w:rPr>
          <w:rStyle w:val="libFootnotenumChar"/>
          <w:rtl/>
        </w:rPr>
        <w:t>(2)</w:t>
      </w:r>
      <w:r w:rsidRPr="005D642E">
        <w:rPr>
          <w:rtl/>
          <w:lang w:bidi="fa-IR"/>
        </w:rPr>
        <w:t xml:space="preserve"> مَثَاقِيلَ</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326" w:name="_Toc344647319"/>
      <w:bookmarkStart w:id="327" w:name="_Toc462226833"/>
      <w:bookmarkStart w:id="328" w:name="_Toc40975942"/>
      <w:r w:rsidRPr="005D642E">
        <w:rPr>
          <w:rtl/>
          <w:lang w:bidi="fa-IR"/>
        </w:rPr>
        <w:t>24</w:t>
      </w:r>
      <w:r>
        <w:rPr>
          <w:rtl/>
          <w:lang w:bidi="fa-IR"/>
        </w:rPr>
        <w:t xml:space="preserve"> </w:t>
      </w:r>
      <w:r w:rsidR="007642BC">
        <w:rPr>
          <w:rtl/>
          <w:lang w:bidi="fa-IR"/>
        </w:rPr>
        <w:t>-</w:t>
      </w:r>
      <w:r>
        <w:rPr>
          <w:rtl/>
          <w:lang w:bidi="fa-IR"/>
        </w:rPr>
        <w:t xml:space="preserve"> </w:t>
      </w:r>
      <w:r w:rsidRPr="005D642E">
        <w:rPr>
          <w:rtl/>
          <w:lang w:bidi="fa-IR"/>
        </w:rPr>
        <w:t xml:space="preserve">بَابُ الْجَرِيدَةِ </w:t>
      </w:r>
      <w:r w:rsidRPr="007C12DB">
        <w:rPr>
          <w:rStyle w:val="libFootnotenumChar"/>
          <w:rtl/>
        </w:rPr>
        <w:t>(4)</w:t>
      </w:r>
      <w:r w:rsidRPr="005D642E">
        <w:rPr>
          <w:rtl/>
          <w:lang w:bidi="fa-IR"/>
        </w:rPr>
        <w:t xml:space="preserve"> ‌</w:t>
      </w:r>
      <w:bookmarkEnd w:id="326"/>
      <w:bookmarkEnd w:id="327"/>
      <w:bookmarkEnd w:id="328"/>
    </w:p>
    <w:p w:rsidR="00B547AF" w:rsidRDefault="00E3253D" w:rsidP="00B547AF">
      <w:pPr>
        <w:pStyle w:val="libNormal"/>
        <w:rPr>
          <w:rtl/>
          <w:lang w:bidi="fa-IR"/>
        </w:rPr>
      </w:pPr>
      <w:r w:rsidRPr="005135BE">
        <w:rPr>
          <w:rtl/>
        </w:rPr>
        <w:t>4378</w:t>
      </w:r>
      <w:r w:rsidRPr="00246318">
        <w:rPr>
          <w:rStyle w:val="libBold2Char"/>
          <w:rtl/>
        </w:rPr>
        <w:t xml:space="preserve"> / 1.</w:t>
      </w:r>
      <w:r w:rsidRPr="005D642E">
        <w:rPr>
          <w:rtl/>
          <w:lang w:bidi="fa-IR"/>
        </w:rPr>
        <w:t xml:space="preserve"> أَبُو عَلِيٍّ الْأَشْعَرِيُّ ، عَنْ مُحَمَّدِ بْنِ عَبْدِ الْجَبَّارِ ؛</w:t>
      </w:r>
    </w:p>
    <w:p w:rsidR="00E3253D" w:rsidRPr="005D642E" w:rsidRDefault="00B547AF" w:rsidP="00B547AF">
      <w:pPr>
        <w:pStyle w:val="libNormal"/>
        <w:rPr>
          <w:rtl/>
          <w:lang w:bidi="fa-IR"/>
        </w:rPr>
      </w:pPr>
      <w:r>
        <w:rPr>
          <w:rFonts w:hint="cs"/>
          <w:rtl/>
          <w:lang w:bidi="fa-IR"/>
        </w:rPr>
        <w:t xml:space="preserve">              </w:t>
      </w:r>
      <w:r w:rsidR="00937C8D">
        <w:rPr>
          <w:rFonts w:hint="cs"/>
          <w:rtl/>
          <w:lang w:bidi="fa-IR"/>
        </w:rPr>
        <w:t xml:space="preserve"> </w:t>
      </w:r>
      <w:r w:rsidR="00E3253D" w:rsidRPr="005D642E">
        <w:rPr>
          <w:rtl/>
          <w:lang w:bidi="fa-IR"/>
        </w:rPr>
        <w:t>وَمُحَمَّدُ بْنُ إِسْمَاعِيلَ ، عَنِ الْفَضْلِ بْنِ شَاذَانَ جَمِيعاً ، عَنْ صَفْوَانَ بْنِ يَحْيى ، عَنِ ابْنِ مُسْكَانَ ، عَنِ الْحَسَنِ بْنِ زِيَادٍ الصَّيْقَلِ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يُوضَعُ </w:t>
      </w:r>
      <w:r w:rsidRPr="007C12DB">
        <w:rPr>
          <w:rStyle w:val="libFootnotenumChar"/>
          <w:rtl/>
        </w:rPr>
        <w:t>(5)</w:t>
      </w:r>
      <w:r w:rsidRPr="005D642E">
        <w:rPr>
          <w:rtl/>
          <w:lang w:bidi="fa-IR"/>
        </w:rPr>
        <w:t xml:space="preserve"> لِلْمَيِّتِ جَرِيدَتَانِ : وَاحِدَةٌ فِي الْيَمِينِ </w:t>
      </w:r>
      <w:r w:rsidRPr="007C12DB">
        <w:rPr>
          <w:rStyle w:val="libFootnotenumChar"/>
          <w:rtl/>
        </w:rPr>
        <w:t>(6)</w:t>
      </w:r>
      <w:r w:rsidRPr="005D642E">
        <w:rPr>
          <w:rtl/>
          <w:lang w:bidi="fa-IR"/>
        </w:rPr>
        <w:t xml:space="preserve"> ، وَالْأُخْرى </w:t>
      </w:r>
      <w:r w:rsidRPr="007C12DB">
        <w:rPr>
          <w:rStyle w:val="libFootnotenumChar"/>
          <w:rtl/>
        </w:rPr>
        <w:t>(7)</w:t>
      </w:r>
      <w:r w:rsidRPr="005D642E">
        <w:rPr>
          <w:rtl/>
          <w:lang w:bidi="fa-IR"/>
        </w:rPr>
        <w:t xml:space="preserve"> فِي الْأَيْسَرِ</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قَالَ : قَالَ </w:t>
      </w:r>
      <w:r w:rsidRPr="007C12DB">
        <w:rPr>
          <w:rStyle w:val="libFootnotenumChar"/>
          <w:rtl/>
        </w:rPr>
        <w:t>(9)</w:t>
      </w:r>
      <w:r w:rsidRPr="005D642E">
        <w:rPr>
          <w:rtl/>
          <w:lang w:bidi="fa-IR"/>
        </w:rPr>
        <w:t xml:space="preserve"> : « الْجَرِيدَةُ تَنْفَعُ الْمُؤْمِنَ وَالْكَافِرَ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 ح 848 : « من الكافور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النسخ التي قوبلت : « أربع</w:t>
      </w:r>
      <w:r w:rsidR="00E3253D">
        <w:rPr>
          <w:rtl/>
        </w:rPr>
        <w:t xml:space="preserve"> ».</w:t>
      </w:r>
      <w:r w:rsidR="00E3253D" w:rsidRPr="005D642E">
        <w:rPr>
          <w:rtl/>
        </w:rPr>
        <w:t xml:space="preserve"> وما أثبتناه موافق للمطبوع </w:t>
      </w:r>
      <w:r w:rsidR="000D749A" w:rsidRPr="000D749A">
        <w:rPr>
          <w:rStyle w:val="libFootnoteBoldChar"/>
          <w:rtl/>
        </w:rPr>
        <w:t>والوافي</w:t>
      </w:r>
      <w:r w:rsidR="00E3253D" w:rsidRPr="005D642E">
        <w:rPr>
          <w:rtl/>
        </w:rPr>
        <w:t xml:space="preserve"> والوسائل.</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291 ، ح 848 ، بسنده عن الكاهلي وحسين بن المختار. </w:t>
      </w:r>
      <w:r w:rsidR="00E3253D" w:rsidRPr="002F4D34">
        <w:rPr>
          <w:rStyle w:val="libFootnoteBoldChar"/>
          <w:rtl/>
        </w:rPr>
        <w:t>وفيه</w:t>
      </w:r>
      <w:r w:rsidR="00E3253D" w:rsidRPr="005D642E">
        <w:rPr>
          <w:rtl/>
        </w:rPr>
        <w:t xml:space="preserve"> ، ح 847 ، معلّقاً عن الكاهلي وحسين بن المختار </w:t>
      </w:r>
      <w:r w:rsidR="00937C8D">
        <w:rPr>
          <w:rFonts w:hint="cs"/>
          <w:rtl/>
        </w:rPr>
        <w:t>.</w:t>
      </w:r>
      <w:r w:rsidR="00E3253D" w:rsidRPr="002F4D34">
        <w:rPr>
          <w:rStyle w:val="libFootnoteBoldChar"/>
          <w:rtl/>
        </w:rPr>
        <w:t>الوافي</w:t>
      </w:r>
      <w:r w:rsidR="00E3253D" w:rsidRPr="005D642E">
        <w:rPr>
          <w:rtl/>
        </w:rPr>
        <w:t xml:space="preserve"> ، ج 24 ، ص 315 ، ح 24103 </w:t>
      </w:r>
      <w:r w:rsidR="00E3253D">
        <w:rPr>
          <w:rtl/>
        </w:rPr>
        <w:t>و 2</w:t>
      </w:r>
      <w:r w:rsidR="00E3253D" w:rsidRPr="005D642E">
        <w:rPr>
          <w:rtl/>
        </w:rPr>
        <w:t xml:space="preserve">4104 ؛ </w:t>
      </w:r>
      <w:r w:rsidR="00E3253D" w:rsidRPr="002F4D34">
        <w:rPr>
          <w:rStyle w:val="libFootnoteBoldChar"/>
          <w:rtl/>
        </w:rPr>
        <w:t>الوسائل</w:t>
      </w:r>
      <w:r w:rsidR="00E3253D" w:rsidRPr="005D642E">
        <w:rPr>
          <w:rtl/>
        </w:rPr>
        <w:t xml:space="preserve"> ، ج 3 ، ص 13 ، ح 2890.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بف » : + « توضع مع الميّت</w:t>
      </w:r>
      <w:r w:rsidR="00E3253D">
        <w:rPr>
          <w:rtl/>
        </w:rPr>
        <w:t xml:space="preserve"> ».</w:t>
      </w:r>
      <w:r w:rsidR="00E3253D" w:rsidRPr="005D642E">
        <w:rPr>
          <w:rtl/>
        </w:rPr>
        <w:t xml:space="preserve"> </w:t>
      </w:r>
      <w:r w:rsidR="00E3253D">
        <w:rPr>
          <w:rtl/>
        </w:rPr>
        <w:t>و «</w:t>
      </w:r>
      <w:r w:rsidR="00E3253D" w:rsidRPr="005D642E">
        <w:rPr>
          <w:rtl/>
        </w:rPr>
        <w:t xml:space="preserve"> الجَرِيدة » : واحدة الجريد ، وهو غصن النخل الذي يُجْرَد عنه الخُوص ، أي الورق ، ولا يسمّى جريداً مادام عليه الخوص ، إنّما يسمّى سَعَفَاً. قال الشيخ البهائي : « إنّما يسمّى الجريد سعفاً أيضاً</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455 ؛ </w:t>
      </w:r>
      <w:r w:rsidR="00E3253D" w:rsidRPr="002F4D34">
        <w:rPr>
          <w:rStyle w:val="libFootnoteBoldChar"/>
          <w:rtl/>
        </w:rPr>
        <w:t>المصباح المنير</w:t>
      </w:r>
      <w:r w:rsidR="00E3253D" w:rsidRPr="005D642E">
        <w:rPr>
          <w:rtl/>
        </w:rPr>
        <w:t xml:space="preserve"> ، ص 96 ( جرد ) ؛ </w:t>
      </w:r>
      <w:r w:rsidR="00E3253D" w:rsidRPr="002F4D34">
        <w:rPr>
          <w:rStyle w:val="libFootnoteBoldChar"/>
          <w:rtl/>
        </w:rPr>
        <w:t>الحبل المتين</w:t>
      </w:r>
      <w:r w:rsidR="00E3253D" w:rsidRPr="005D642E">
        <w:rPr>
          <w:rtl/>
        </w:rPr>
        <w:t xml:space="preserve"> ، ص 230.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ى ، بث ، بح ، جح » والوسائل : « توضع</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37C8D" w:rsidTr="00937C8D">
        <w:tc>
          <w:tcPr>
            <w:tcW w:w="4006" w:type="dxa"/>
          </w:tcPr>
          <w:p w:rsidR="00937C8D" w:rsidRDefault="00937C8D" w:rsidP="00E3253D">
            <w:pPr>
              <w:pStyle w:val="libFootnote0"/>
              <w:rPr>
                <w:rStyle w:val="libFootnote0Char"/>
                <w:rtl/>
              </w:rPr>
            </w:pPr>
            <w:r w:rsidRPr="0042621E">
              <w:rPr>
                <w:rStyle w:val="libFootnote0Char"/>
                <w:rtl/>
              </w:rPr>
              <w:t>(6).</w:t>
            </w:r>
            <w:r w:rsidRPr="005D642E">
              <w:rPr>
                <w:rtl/>
              </w:rPr>
              <w:t xml:space="preserve"> في « جن » : « اليمنى</w:t>
            </w:r>
            <w:r>
              <w:rPr>
                <w:rtl/>
              </w:rPr>
              <w:t xml:space="preserve"> ».</w:t>
            </w:r>
          </w:p>
        </w:tc>
        <w:tc>
          <w:tcPr>
            <w:tcW w:w="4006" w:type="dxa"/>
          </w:tcPr>
          <w:p w:rsidR="00937C8D" w:rsidRDefault="00937C8D" w:rsidP="00E3253D">
            <w:pPr>
              <w:pStyle w:val="libFootnote0"/>
              <w:rPr>
                <w:rStyle w:val="libFootnote0Char"/>
                <w:rtl/>
              </w:rPr>
            </w:pPr>
            <w:r w:rsidRPr="0042621E">
              <w:rPr>
                <w:rStyle w:val="libFootnote0Char"/>
                <w:rtl/>
              </w:rPr>
              <w:t>(7).</w:t>
            </w:r>
            <w:r w:rsidRPr="005D642E">
              <w:rPr>
                <w:rtl/>
              </w:rPr>
              <w:t xml:space="preserve"> في الوسائل : « وا</w:t>
            </w:r>
            <w:r>
              <w:rPr>
                <w:rFonts w:hint="cs"/>
                <w:rtl/>
              </w:rPr>
              <w:t>ُ</w:t>
            </w:r>
            <w:r w:rsidRPr="005D642E">
              <w:rPr>
                <w:rtl/>
              </w:rPr>
              <w:t>خرى</w:t>
            </w:r>
            <w:r>
              <w:rPr>
                <w:rtl/>
              </w:rPr>
              <w:t xml:space="preserve"> ».</w:t>
            </w:r>
          </w:p>
        </w:tc>
      </w:tr>
      <w:tr w:rsidR="00937C8D" w:rsidTr="00937C8D">
        <w:tc>
          <w:tcPr>
            <w:tcW w:w="4006" w:type="dxa"/>
          </w:tcPr>
          <w:p w:rsidR="00937C8D" w:rsidRDefault="00937C8D" w:rsidP="00E3253D">
            <w:pPr>
              <w:pStyle w:val="libFootnote0"/>
              <w:rPr>
                <w:rStyle w:val="libFootnote0Char"/>
                <w:rtl/>
              </w:rPr>
            </w:pPr>
            <w:r w:rsidRPr="0042621E">
              <w:rPr>
                <w:rStyle w:val="libFootnote0Char"/>
                <w:rtl/>
              </w:rPr>
              <w:t>(8).</w:t>
            </w:r>
            <w:r w:rsidRPr="005D642E">
              <w:rPr>
                <w:rtl/>
              </w:rPr>
              <w:t xml:space="preserve"> في « جن » : « في اليسرى</w:t>
            </w:r>
            <w:r>
              <w:rPr>
                <w:rtl/>
              </w:rPr>
              <w:t xml:space="preserve"> ».</w:t>
            </w:r>
          </w:p>
        </w:tc>
        <w:tc>
          <w:tcPr>
            <w:tcW w:w="4006" w:type="dxa"/>
          </w:tcPr>
          <w:p w:rsidR="00937C8D" w:rsidRDefault="00937C8D" w:rsidP="00E3253D">
            <w:pPr>
              <w:pStyle w:val="libFootnote0"/>
              <w:rPr>
                <w:rStyle w:val="libFootnote0Char"/>
                <w:rtl/>
              </w:rPr>
            </w:pPr>
            <w:r w:rsidRPr="0042621E">
              <w:rPr>
                <w:rStyle w:val="libFootnote0Char"/>
                <w:rtl/>
              </w:rPr>
              <w:t>(9).</w:t>
            </w:r>
            <w:r w:rsidRPr="005D642E">
              <w:rPr>
                <w:rtl/>
              </w:rPr>
              <w:t xml:space="preserve"> في « بخ » </w:t>
            </w:r>
            <w:r w:rsidRPr="000D749A">
              <w:rPr>
                <w:rStyle w:val="libFootnoteBoldChar"/>
                <w:rtl/>
              </w:rPr>
              <w:t>والوافي</w:t>
            </w:r>
            <w:r w:rsidRPr="005D642E">
              <w:rPr>
                <w:rtl/>
              </w:rPr>
              <w:t xml:space="preserve"> والوسائل : « وقال</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825A52">
        <w:rPr>
          <w:rtl/>
        </w:rPr>
        <w:t xml:space="preserve"> قال العل</w:t>
      </w:r>
      <w:r w:rsidR="00825A52">
        <w:rPr>
          <w:rFonts w:hint="cs"/>
          <w:rtl/>
        </w:rPr>
        <w:t>ّ</w:t>
      </w:r>
      <w:r w:rsidR="00825A52">
        <w:rPr>
          <w:rtl/>
        </w:rPr>
        <w:t>ا</w:t>
      </w:r>
      <w:r w:rsidR="00E3253D" w:rsidRPr="005D642E">
        <w:rPr>
          <w:rtl/>
        </w:rPr>
        <w:t xml:space="preserve">مة المجلسي : « نفع الكافر بتخفيف العذاب ، وتخفيف عذاب البرزخ لاينافي عدم تخفيف عذاب جهنّم ، كما يدلّ عليه الآيات ، ويظهر من المفيد في </w:t>
      </w:r>
      <w:r w:rsidR="00E3253D" w:rsidRPr="002F4D34">
        <w:rPr>
          <w:rStyle w:val="libFootnoteBoldChar"/>
          <w:rtl/>
        </w:rPr>
        <w:t>المقنعة</w:t>
      </w:r>
      <w:r w:rsidR="00E3253D" w:rsidRPr="005D642E">
        <w:rPr>
          <w:rtl/>
        </w:rPr>
        <w:t xml:space="preserve"> أنّه حمل الكافر على صاحب الكبيرة</w:t>
      </w:r>
      <w:r w:rsidR="00E3253D">
        <w:rPr>
          <w:rtl/>
        </w:rPr>
        <w:t xml:space="preserve"> ».</w:t>
      </w:r>
      <w:r w:rsidR="00E3253D" w:rsidRPr="005D642E">
        <w:rPr>
          <w:rtl/>
        </w:rPr>
        <w:t xml:space="preserve"> ولعلّه استظهره من قوله فيها : « وقد روي عن الصادق </w:t>
      </w:r>
      <w:r w:rsidR="00E3253D" w:rsidRPr="00937C8D">
        <w:rPr>
          <w:rStyle w:val="libFootnoteAlaemChar"/>
          <w:rtl/>
        </w:rPr>
        <w:t>عليه‌السلام</w:t>
      </w:r>
      <w:r w:rsidR="00E3253D" w:rsidRPr="005D642E">
        <w:rPr>
          <w:rtl/>
        </w:rPr>
        <w:t xml:space="preserve"> أنّ الجريدة تنفع المحسن والمسي‌ء » إلخ. راجع : </w:t>
      </w:r>
      <w:r w:rsidR="00E3253D" w:rsidRPr="002F4D34">
        <w:rPr>
          <w:rStyle w:val="libFootnoteBoldChar"/>
          <w:rtl/>
        </w:rPr>
        <w:t>المقنعة</w:t>
      </w:r>
      <w:r w:rsidR="00E3253D" w:rsidRPr="005D642E">
        <w:rPr>
          <w:rtl/>
        </w:rPr>
        <w:t xml:space="preserve"> ، ص 83 ؛ </w:t>
      </w:r>
      <w:r w:rsidR="00E3253D" w:rsidRPr="002F4D34">
        <w:rPr>
          <w:rStyle w:val="libFootnoteBoldChar"/>
          <w:rtl/>
        </w:rPr>
        <w:t>مرآة العقول</w:t>
      </w:r>
      <w:r w:rsidR="00E3253D" w:rsidRPr="005D642E">
        <w:rPr>
          <w:rtl/>
        </w:rPr>
        <w:t xml:space="preserve"> ، ج 13 ، ص 325.</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327 ، ح 954 ، بسنده عن الكليني. </w:t>
      </w:r>
      <w:r w:rsidR="00E3253D" w:rsidRPr="002F4D34">
        <w:rPr>
          <w:rStyle w:val="libFootnoteBoldChar"/>
          <w:rtl/>
        </w:rPr>
        <w:t>الفقيه</w:t>
      </w:r>
      <w:r w:rsidR="00E3253D" w:rsidRPr="005D642E">
        <w:rPr>
          <w:rtl/>
        </w:rPr>
        <w:t xml:space="preserve"> ، ج 1 ، ص 144 ، ضمن ح 404 ؛ وص 145 ، ح 406 ، وفيهما مع اختلاف يسير ؛ </w:t>
      </w:r>
      <w:r w:rsidR="00E3253D" w:rsidRPr="002F4D34">
        <w:rPr>
          <w:rStyle w:val="libFootnoteBoldChar"/>
          <w:rtl/>
        </w:rPr>
        <w:t>المقنعة</w:t>
      </w:r>
      <w:r w:rsidR="00E3253D" w:rsidRPr="005D642E">
        <w:rPr>
          <w:rtl/>
        </w:rPr>
        <w:t xml:space="preserve"> ، ص 83 ، مع اختلاف وزيادة في آخره ، وفي الثلاثة الأخيرة هذه </w:t>
      </w:r>
      <w:r w:rsidR="00214E60">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135BE">
        <w:rPr>
          <w:rtl/>
        </w:rPr>
        <w:t>4379</w:t>
      </w:r>
      <w:r w:rsidRPr="00246318">
        <w:rPr>
          <w:rStyle w:val="libBold2Char"/>
          <w:rtl/>
        </w:rPr>
        <w:t xml:space="preserve"> / 2.</w:t>
      </w:r>
      <w:r w:rsidRPr="005D642E">
        <w:rPr>
          <w:rtl/>
          <w:lang w:bidi="fa-IR"/>
        </w:rPr>
        <w:t xml:space="preserve"> مُحَمَّدُ بْنُ يَحْيى ، عَنْ أَحْمَدَ بْنِ مُحَمَّدٍ ، عَنْ مُحَمَّدِ بْنِ إِسْمَاعِيلَ بْنِ بَزِيعٍ ، عَنْ حَنَانِ بْنِ سَدِيرٍ ، عَنْ يَحْيَى بْنِ عُبَادَةَ الْمَكِّيِّ ، قَالَ :</w:t>
      </w:r>
    </w:p>
    <w:p w:rsidR="00E3253D" w:rsidRPr="005D642E" w:rsidRDefault="00E3253D" w:rsidP="00E3253D">
      <w:pPr>
        <w:pStyle w:val="libNormal"/>
        <w:rPr>
          <w:rtl/>
          <w:lang w:bidi="fa-IR"/>
        </w:rPr>
      </w:pPr>
      <w:r w:rsidRPr="005D642E">
        <w:rPr>
          <w:rtl/>
          <w:lang w:bidi="fa-IR"/>
        </w:rPr>
        <w:t xml:space="preserve">سَمِعْتُ سُفْيَانَ الثَّوْرِيَّ يَسْأَلُهُ </w:t>
      </w:r>
      <w:r w:rsidRPr="007C12DB">
        <w:rPr>
          <w:rStyle w:val="libFootnotenumChar"/>
          <w:rtl/>
        </w:rPr>
        <w:t>(1)</w:t>
      </w:r>
      <w:r w:rsidRPr="005D642E">
        <w:rPr>
          <w:rtl/>
          <w:lang w:bidi="fa-IR"/>
        </w:rPr>
        <w:t xml:space="preserve"> عَنِ التَّخْضِيرِ ، فَقَالَ : « إِنَّ رَجُلاً مِنَ الْأَنْصَارِ هَلَكَ ، فَأُوذِنَ رَسُولُ اللهِ </w:t>
      </w:r>
      <w:r w:rsidR="0042621E" w:rsidRPr="0042621E">
        <w:rPr>
          <w:rStyle w:val="libAlaemChar"/>
          <w:rtl/>
        </w:rPr>
        <w:t>صلى‌الله‌عليه‌وآله</w:t>
      </w:r>
      <w:r w:rsidRPr="005D642E">
        <w:rPr>
          <w:rtl/>
          <w:lang w:bidi="fa-IR"/>
        </w:rPr>
        <w:t xml:space="preserve"> بِمَوْتِهِ </w:t>
      </w:r>
      <w:r w:rsidRPr="007C12DB">
        <w:rPr>
          <w:rStyle w:val="libFootnotenumChar"/>
          <w:rtl/>
        </w:rPr>
        <w:t>(2)</w:t>
      </w:r>
      <w:r w:rsidRPr="005D642E">
        <w:rPr>
          <w:rtl/>
          <w:lang w:bidi="fa-IR"/>
        </w:rPr>
        <w:t xml:space="preserve"> ، فَقَالَ لِمَنْ يَلِيهِ مِنْ قَرَابَتِهِ : خَضِّرُوا صَاحِبَكُمْ ، فَمَا أَقَلَّ الْمُخَضَّرِينَ </w:t>
      </w:r>
      <w:r w:rsidRPr="007C12DB">
        <w:rPr>
          <w:rStyle w:val="libFootnotenumChar"/>
          <w:rtl/>
        </w:rPr>
        <w:t>(3)</w:t>
      </w:r>
      <w:r>
        <w:rPr>
          <w:rtl/>
          <w:lang w:bidi="fa-IR"/>
        </w:rPr>
        <w:t>؟! ».</w:t>
      </w:r>
    </w:p>
    <w:p w:rsidR="00E3253D" w:rsidRPr="005D642E" w:rsidRDefault="00E3253D" w:rsidP="00E3253D">
      <w:pPr>
        <w:pStyle w:val="libNormal"/>
        <w:rPr>
          <w:rtl/>
          <w:lang w:bidi="fa-IR"/>
        </w:rPr>
      </w:pPr>
      <w:r w:rsidRPr="005D642E">
        <w:rPr>
          <w:rtl/>
          <w:lang w:bidi="fa-IR"/>
        </w:rPr>
        <w:t>قَالَ : وَمَا التَّخْضِيرُ</w:t>
      </w:r>
      <w:r>
        <w:rPr>
          <w:rtl/>
          <w:lang w:bidi="fa-IR"/>
        </w:rPr>
        <w:t>؟</w:t>
      </w:r>
    </w:p>
    <w:p w:rsidR="00E3253D" w:rsidRPr="005D642E" w:rsidRDefault="00E3253D" w:rsidP="00E3253D">
      <w:pPr>
        <w:pStyle w:val="libNormal"/>
        <w:rPr>
          <w:rtl/>
          <w:lang w:bidi="fa-IR"/>
        </w:rPr>
      </w:pPr>
      <w:r w:rsidRPr="005D642E">
        <w:rPr>
          <w:rtl/>
          <w:lang w:bidi="fa-IR"/>
        </w:rPr>
        <w:t xml:space="preserve">قَالَ : « جَرِيدَةٌ خَضْرَاءُ تُوضَعُ مِنْ أَصْلِ الْيَدَيْنِ </w:t>
      </w:r>
      <w:r w:rsidRPr="007C12DB">
        <w:rPr>
          <w:rStyle w:val="libFootnotenumChar"/>
          <w:rtl/>
        </w:rPr>
        <w:t>(4)</w:t>
      </w:r>
      <w:r w:rsidRPr="005D642E">
        <w:rPr>
          <w:rtl/>
          <w:lang w:bidi="fa-IR"/>
        </w:rPr>
        <w:t xml:space="preserve"> إِلَى التَّرْقُوَةِ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135BE">
        <w:rPr>
          <w:rtl/>
        </w:rPr>
        <w:t>4380</w:t>
      </w:r>
      <w:r w:rsidRPr="00246318">
        <w:rPr>
          <w:rStyle w:val="libBold2Char"/>
          <w:rtl/>
        </w:rPr>
        <w:t xml:space="preserve"> / 3.</w:t>
      </w:r>
      <w:r w:rsidRPr="005D642E">
        <w:rPr>
          <w:rtl/>
          <w:lang w:bidi="fa-IR"/>
        </w:rPr>
        <w:t xml:space="preserve"> عَلِيُّ بْنُ إِبْرَاهِيمَ ، عَنْ أَبِيهِ ، عَنْ عَبْدِ اللهِ بْنِ الْمُغِيرَةِ ، عَنْ رَجُلٍ ، عَنْ يَحْيَى بْنِ عُبَادَةَ :</w:t>
      </w:r>
    </w:p>
    <w:p w:rsidR="00E3253D" w:rsidRPr="005D642E" w:rsidRDefault="00E3253D" w:rsidP="00E3253D">
      <w:pPr>
        <w:pStyle w:val="libLine"/>
        <w:rPr>
          <w:rtl/>
          <w:lang w:bidi="fa-IR"/>
        </w:rPr>
      </w:pPr>
      <w:r w:rsidRPr="005D642E">
        <w:rPr>
          <w:rtl/>
          <w:lang w:bidi="fa-IR"/>
        </w:rPr>
        <w:t>__________________</w:t>
      </w:r>
    </w:p>
    <w:p w:rsidR="00E3253D" w:rsidRPr="005D642E" w:rsidRDefault="00B513DC" w:rsidP="00E3253D">
      <w:pPr>
        <w:pStyle w:val="libFootnote0"/>
        <w:rPr>
          <w:rtl/>
          <w:lang w:bidi="fa-IR"/>
        </w:rPr>
      </w:pPr>
      <w:r>
        <w:rPr>
          <w:rFonts w:hint="cs"/>
          <w:rtl/>
        </w:rPr>
        <w:t xml:space="preserve">= </w:t>
      </w:r>
      <w:r w:rsidR="00E3253D" w:rsidRPr="005D642E">
        <w:rPr>
          <w:rtl/>
        </w:rPr>
        <w:t xml:space="preserve">القطعة : « الجريدة تنفع المؤمن والكافر » مرسلاً </w:t>
      </w:r>
      <w:r w:rsidR="00020FBC">
        <w:rPr>
          <w:rFonts w:hint="cs"/>
          <w:rtl/>
        </w:rPr>
        <w:t>.</w:t>
      </w:r>
      <w:r w:rsidR="00E3253D" w:rsidRPr="002F4D34">
        <w:rPr>
          <w:rStyle w:val="libFootnoteBoldChar"/>
          <w:rtl/>
        </w:rPr>
        <w:t>الوافي</w:t>
      </w:r>
      <w:r w:rsidR="00E3253D" w:rsidRPr="005D642E">
        <w:rPr>
          <w:rtl/>
        </w:rPr>
        <w:t xml:space="preserve"> ، ج 24 ، ص 381 ، ح 24265 ؛ </w:t>
      </w:r>
      <w:r w:rsidR="00E3253D" w:rsidRPr="002F4D34">
        <w:rPr>
          <w:rStyle w:val="libFootnoteBoldChar"/>
          <w:rtl/>
        </w:rPr>
        <w:t>الوسائل</w:t>
      </w:r>
      <w:r w:rsidR="00E3253D" w:rsidRPr="005D642E">
        <w:rPr>
          <w:rtl/>
        </w:rPr>
        <w:t xml:space="preserve"> ، ج 3 ، ص 22 ، ح 2923 ؛ </w:t>
      </w:r>
      <w:r w:rsidR="00E3253D" w:rsidRPr="002F4D34">
        <w:rPr>
          <w:rStyle w:val="libFootnoteBoldChar"/>
          <w:rtl/>
        </w:rPr>
        <w:t>البحار</w:t>
      </w:r>
      <w:r w:rsidR="00E3253D" w:rsidRPr="005D642E">
        <w:rPr>
          <w:rtl/>
        </w:rPr>
        <w:t xml:space="preserve"> ، ج 6 ، ص 216 ، ح 7 ، وتمام الرواية فيه : « الجريدة تنفع المؤمن والكافر</w:t>
      </w:r>
      <w:r w:rsidR="00E3253D">
        <w:rPr>
          <w:rtl/>
        </w:rPr>
        <w:t xml:space="preserve"> ».</w:t>
      </w:r>
    </w:p>
    <w:p w:rsidR="00E3253D" w:rsidRDefault="0042621E" w:rsidP="00E3253D">
      <w:pPr>
        <w:pStyle w:val="libFootnote0"/>
        <w:rPr>
          <w:rtl/>
        </w:rPr>
      </w:pPr>
      <w:r w:rsidRPr="0042621E">
        <w:rPr>
          <w:rStyle w:val="libFootnote0Char"/>
          <w:rtl/>
        </w:rPr>
        <w:t>(1).</w:t>
      </w:r>
      <w:r w:rsidR="00E3253D">
        <w:rPr>
          <w:rtl/>
        </w:rPr>
        <w:t xml:space="preserve"> </w:t>
      </w:r>
      <w:r w:rsidR="00E3253D" w:rsidRPr="005D642E">
        <w:rPr>
          <w:rtl/>
        </w:rPr>
        <w:t xml:space="preserve">ورد الخبر في </w:t>
      </w:r>
      <w:r w:rsidR="00E3253D" w:rsidRPr="002F4D34">
        <w:rPr>
          <w:rStyle w:val="libFootnoteBoldChar"/>
          <w:rtl/>
        </w:rPr>
        <w:t>الفقيه</w:t>
      </w:r>
      <w:r w:rsidR="00E3253D" w:rsidRPr="005D642E">
        <w:rPr>
          <w:rtl/>
        </w:rPr>
        <w:t xml:space="preserve"> ، ج 1 ، ص 145 ، ح 405 ، عن يحيى بن عبّاد المكّي أنّه قال : « سمعت سفيان الثوري يسأل‌أبا جعفر </w:t>
      </w:r>
      <w:r w:rsidR="00E3253D" w:rsidRPr="00020FBC">
        <w:rPr>
          <w:rStyle w:val="libFootnoteAlaemChar"/>
          <w:rtl/>
        </w:rPr>
        <w:t>عليه‌السلام</w:t>
      </w:r>
      <w:r w:rsidR="00E3253D">
        <w:rPr>
          <w:rtl/>
        </w:rPr>
        <w:t xml:space="preserve"> ».</w:t>
      </w:r>
      <w:r w:rsidR="00E3253D" w:rsidRPr="005D642E">
        <w:rPr>
          <w:rtl/>
        </w:rPr>
        <w:t xml:space="preserve"> ولم نجد في ما تتبّعنا من الأسناد والطريق رواية سفيان الثوري عن أبي جعفر </w:t>
      </w:r>
      <w:r w:rsidR="00E3253D" w:rsidRPr="00020FBC">
        <w:rPr>
          <w:rStyle w:val="libFootnoteAlaemChar"/>
          <w:rtl/>
        </w:rPr>
        <w:t>عليه‌السلام</w:t>
      </w:r>
      <w:r w:rsidR="00E3253D" w:rsidRPr="005D642E">
        <w:rPr>
          <w:rtl/>
        </w:rPr>
        <w:t xml:space="preserve">. ولعلّ طبقة سفيان لا تلائم ذلك ؛ فقد استشهد مولانا أبوجعفر الباقر </w:t>
      </w:r>
      <w:r w:rsidR="00E3253D" w:rsidRPr="00020FBC">
        <w:rPr>
          <w:rStyle w:val="libFootnoteAlaemChar"/>
          <w:rtl/>
        </w:rPr>
        <w:t>عليه‌السلام</w:t>
      </w:r>
      <w:r w:rsidR="00E3253D" w:rsidRPr="005D642E">
        <w:rPr>
          <w:rtl/>
        </w:rPr>
        <w:t xml:space="preserve"> سنة أربع عشرة ومائة ، وقد ولد سفيان الثوري سنة سبع وتسعين أو خمس وتسعين. الل</w:t>
      </w:r>
      <w:r w:rsidR="00020FBC">
        <w:rPr>
          <w:rFonts w:hint="cs"/>
          <w:rtl/>
        </w:rPr>
        <w:t>ّ</w:t>
      </w:r>
      <w:r w:rsidR="00764117">
        <w:rPr>
          <w:rtl/>
        </w:rPr>
        <w:t>هم إل</w:t>
      </w:r>
      <w:r w:rsidR="00764117">
        <w:rPr>
          <w:rFonts w:hint="cs"/>
          <w:rtl/>
        </w:rPr>
        <w:t>ّ</w:t>
      </w:r>
      <w:r w:rsidR="00764117">
        <w:rPr>
          <w:rtl/>
        </w:rPr>
        <w:t>ا</w:t>
      </w:r>
      <w:r w:rsidR="00E3253D">
        <w:rPr>
          <w:rFonts w:hint="cs"/>
          <w:rtl/>
        </w:rPr>
        <w:t xml:space="preserve"> </w:t>
      </w:r>
      <w:r w:rsidR="00E3253D" w:rsidRPr="005D642E">
        <w:rPr>
          <w:rtl/>
        </w:rPr>
        <w:t xml:space="preserve">أن يقال : « طلب سفيان العلم وهو مراهق » كما قال به الصفدي في </w:t>
      </w:r>
      <w:r w:rsidR="00E3253D" w:rsidRPr="002F4D34">
        <w:rPr>
          <w:rStyle w:val="libFootnoteBoldChar"/>
          <w:rtl/>
        </w:rPr>
        <w:t>الوافي</w:t>
      </w:r>
      <w:r w:rsidR="00E3253D" w:rsidRPr="005D642E">
        <w:rPr>
          <w:rtl/>
        </w:rPr>
        <w:t xml:space="preserve"> </w:t>
      </w:r>
      <w:r w:rsidR="00E3253D" w:rsidRPr="002F4D34">
        <w:rPr>
          <w:rStyle w:val="libFootnoteBoldChar"/>
          <w:rtl/>
        </w:rPr>
        <w:t>بالوفيات</w:t>
      </w:r>
      <w:r w:rsidR="00E3253D" w:rsidRPr="005D642E">
        <w:rPr>
          <w:rtl/>
        </w:rPr>
        <w:t xml:space="preserve">. راجع : </w:t>
      </w:r>
      <w:r w:rsidR="00E3253D" w:rsidRPr="002F4D34">
        <w:rPr>
          <w:rStyle w:val="libFootnoteBoldChar"/>
          <w:rtl/>
        </w:rPr>
        <w:t>الإرشاد</w:t>
      </w:r>
      <w:r w:rsidR="00E3253D" w:rsidRPr="005D642E">
        <w:rPr>
          <w:rtl/>
        </w:rPr>
        <w:t xml:space="preserve"> للمفيد ، ج 2 ، ص 185 ؛ </w:t>
      </w:r>
      <w:r w:rsidR="00E3253D" w:rsidRPr="002F4D34">
        <w:rPr>
          <w:rStyle w:val="libFootnoteBoldChar"/>
          <w:rtl/>
        </w:rPr>
        <w:t>مشاهير علماء الأمصار</w:t>
      </w:r>
      <w:r w:rsidR="00E3253D" w:rsidRPr="005D642E">
        <w:rPr>
          <w:rtl/>
        </w:rPr>
        <w:t xml:space="preserve"> ، ص 268 ؛ </w:t>
      </w:r>
      <w:r w:rsidR="00E3253D" w:rsidRPr="002F4D34">
        <w:rPr>
          <w:rStyle w:val="libFootnoteBoldChar"/>
          <w:rtl/>
        </w:rPr>
        <w:t>تهذيب الكمال</w:t>
      </w:r>
      <w:r w:rsidR="00E3253D" w:rsidRPr="005D642E">
        <w:rPr>
          <w:rtl/>
        </w:rPr>
        <w:t xml:space="preserve"> ، ج 11 ، ص 154 ؛ </w:t>
      </w:r>
      <w:r w:rsidR="00E3253D" w:rsidRPr="002F4D34">
        <w:rPr>
          <w:rStyle w:val="libFootnoteBoldChar"/>
          <w:rtl/>
        </w:rPr>
        <w:t>الوافي بالوفيات</w:t>
      </w:r>
      <w:r w:rsidR="00E3253D" w:rsidRPr="005D642E">
        <w:rPr>
          <w:rtl/>
        </w:rPr>
        <w:t xml:space="preserve"> ، ج 15 ، ص 174.</w:t>
      </w:r>
    </w:p>
    <w:p w:rsidR="00E3253D" w:rsidRPr="005D642E" w:rsidRDefault="00E3253D" w:rsidP="00E3253D">
      <w:pPr>
        <w:pStyle w:val="libFootnote0"/>
        <w:rPr>
          <w:rtl/>
          <w:lang w:bidi="fa-IR"/>
        </w:rPr>
      </w:pPr>
      <w:r w:rsidRPr="005D642E">
        <w:rPr>
          <w:rtl/>
        </w:rPr>
        <w:t>هذا ، ومن المحتمل أن يكون الأصل في السند هكذا : « يسأل جعفراً » وحُرِّف « جعفراً »</w:t>
      </w:r>
      <w:r>
        <w:rPr>
          <w:rtl/>
        </w:rPr>
        <w:t xml:space="preserve"> ب</w:t>
      </w:r>
      <w:r w:rsidR="00585B97">
        <w:rPr>
          <w:rFonts w:hint="cs"/>
          <w:rtl/>
        </w:rPr>
        <w:t>ـ</w:t>
      </w:r>
      <w:r>
        <w:rPr>
          <w:rtl/>
        </w:rPr>
        <w:t xml:space="preserve"> </w:t>
      </w:r>
      <w:r w:rsidRPr="005D642E">
        <w:rPr>
          <w:rtl/>
        </w:rPr>
        <w:t>« أباجعفر</w:t>
      </w:r>
      <w:r>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بموته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جح » والوسائل </w:t>
      </w:r>
      <w:r w:rsidR="009E68BB" w:rsidRPr="009E68BB">
        <w:rPr>
          <w:rStyle w:val="libFootnoteBoldChar"/>
          <w:rtl/>
        </w:rPr>
        <w:t>وتحف العقول</w:t>
      </w:r>
      <w:r w:rsidR="00E3253D" w:rsidRPr="005D642E">
        <w:rPr>
          <w:rtl/>
        </w:rPr>
        <w:t xml:space="preserve"> : + « يوم القيامة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الوسائل : « الثديين</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w:t>
      </w:r>
      <w:r w:rsidR="009E68BB" w:rsidRPr="009E68BB">
        <w:rPr>
          <w:rStyle w:val="libFootnoteBoldChar"/>
          <w:rtl/>
        </w:rPr>
        <w:t>وتحف العقول</w:t>
      </w:r>
      <w:r w:rsidR="00E3253D" w:rsidRPr="005D642E">
        <w:rPr>
          <w:rtl/>
        </w:rPr>
        <w:t xml:space="preserve"> : « إلى أصل الترقوة</w:t>
      </w:r>
      <w:r w:rsidR="00E3253D">
        <w:rPr>
          <w:rtl/>
        </w:rPr>
        <w:t xml:space="preserve"> ».</w:t>
      </w:r>
      <w:r w:rsidR="00E3253D" w:rsidRPr="005D642E">
        <w:rPr>
          <w:rtl/>
        </w:rPr>
        <w:t xml:space="preserve"> </w:t>
      </w:r>
      <w:r w:rsidR="00E3253D">
        <w:rPr>
          <w:rtl/>
        </w:rPr>
        <w:t>و «</w:t>
      </w:r>
      <w:r w:rsidR="00E3253D" w:rsidRPr="005D642E">
        <w:rPr>
          <w:rtl/>
        </w:rPr>
        <w:t xml:space="preserve"> الترقوة » : العظم الذي بين ثغرة النحر والعاتق. راجع : </w:t>
      </w:r>
      <w:r w:rsidR="00E3253D" w:rsidRPr="002F4D34">
        <w:rPr>
          <w:rStyle w:val="libFootnoteBoldChar"/>
          <w:rtl/>
        </w:rPr>
        <w:t>الصحاح</w:t>
      </w:r>
      <w:r w:rsidR="00E3253D" w:rsidRPr="005D642E">
        <w:rPr>
          <w:rtl/>
        </w:rPr>
        <w:t xml:space="preserve"> ، ج 4 ، ص 1453 ؛ </w:t>
      </w:r>
      <w:r w:rsidR="00E3253D" w:rsidRPr="002F4D34">
        <w:rPr>
          <w:rStyle w:val="libFootnoteBoldChar"/>
          <w:rtl/>
        </w:rPr>
        <w:t>النهاية</w:t>
      </w:r>
      <w:r w:rsidR="00E3253D" w:rsidRPr="005D642E">
        <w:rPr>
          <w:rtl/>
        </w:rPr>
        <w:t xml:space="preserve"> ، ج 1 ، ص 187 ( ترق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الفقيه</w:t>
      </w:r>
      <w:r w:rsidR="00E3253D" w:rsidRPr="005D642E">
        <w:rPr>
          <w:rtl/>
        </w:rPr>
        <w:t xml:space="preserve"> ، ج 1 ، ص 145 ، ح 405 ، معلّقاً عن يحيى بن عبّاد المكّي. وراجع : </w:t>
      </w:r>
      <w:r w:rsidR="00E3253D" w:rsidRPr="002F4D34">
        <w:rPr>
          <w:rStyle w:val="libFootnoteBoldChar"/>
          <w:rtl/>
        </w:rPr>
        <w:t>معاني الأخبار</w:t>
      </w:r>
      <w:r w:rsidR="00E3253D" w:rsidRPr="005D642E">
        <w:rPr>
          <w:rtl/>
        </w:rPr>
        <w:t xml:space="preserve"> ، ص 348 ، ح 1 </w:t>
      </w:r>
      <w:r w:rsidR="00200A31">
        <w:rPr>
          <w:rFonts w:hint="cs"/>
          <w:rtl/>
        </w:rPr>
        <w:t>.</w:t>
      </w:r>
      <w:r w:rsidR="00E3253D" w:rsidRPr="002F4D34">
        <w:rPr>
          <w:rStyle w:val="libFootnoteBoldChar"/>
          <w:rtl/>
        </w:rPr>
        <w:t>الوافي</w:t>
      </w:r>
      <w:r w:rsidR="00E3253D" w:rsidRPr="005D642E">
        <w:rPr>
          <w:rtl/>
        </w:rPr>
        <w:t xml:space="preserve"> ، ج 24 ، ص 382 ، ح 24267 ؛ </w:t>
      </w:r>
      <w:r w:rsidR="00E3253D" w:rsidRPr="002F4D34">
        <w:rPr>
          <w:rStyle w:val="libFootnoteBoldChar"/>
          <w:rtl/>
        </w:rPr>
        <w:t>الوسائل</w:t>
      </w:r>
      <w:r w:rsidR="00E3253D" w:rsidRPr="005D642E">
        <w:rPr>
          <w:rtl/>
        </w:rPr>
        <w:t xml:space="preserve"> ، ج 3 ، ص 26 ، ذيل ح 2934.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تُؤْخَذُ </w:t>
      </w:r>
      <w:r w:rsidRPr="007C12DB">
        <w:rPr>
          <w:rStyle w:val="libFootnotenumChar"/>
          <w:rtl/>
        </w:rPr>
        <w:t>(1)</w:t>
      </w:r>
      <w:r w:rsidRPr="005D642E">
        <w:rPr>
          <w:rtl/>
          <w:lang w:bidi="fa-IR"/>
        </w:rPr>
        <w:t xml:space="preserve"> جَرِيدَةٌ رَطْبَةٌ قَدْرَ ذِرَاعٍ ، فَتُوضَعُ </w:t>
      </w:r>
      <w:r w:rsidRPr="007C12DB">
        <w:rPr>
          <w:rStyle w:val="libFootnotenumChar"/>
          <w:rtl/>
        </w:rPr>
        <w:t>(2)</w:t>
      </w:r>
      <w:r>
        <w:rPr>
          <w:rtl/>
          <w:lang w:bidi="fa-IR"/>
        </w:rPr>
        <w:t xml:space="preserve"> </w:t>
      </w:r>
      <w:r w:rsidR="007642BC">
        <w:rPr>
          <w:rtl/>
          <w:lang w:bidi="fa-IR"/>
        </w:rPr>
        <w:t>-</w:t>
      </w:r>
      <w:r>
        <w:rPr>
          <w:rtl/>
          <w:lang w:bidi="fa-IR"/>
        </w:rPr>
        <w:t xml:space="preserve"> </w:t>
      </w:r>
      <w:r w:rsidRPr="005D642E">
        <w:rPr>
          <w:rtl/>
          <w:lang w:bidi="fa-IR"/>
        </w:rPr>
        <w:t>وَأَشَارَ بِيَدِهِ</w:t>
      </w:r>
      <w:r>
        <w:rPr>
          <w:rtl/>
          <w:lang w:bidi="fa-IR"/>
        </w:rPr>
        <w:t xml:space="preserve"> </w:t>
      </w:r>
      <w:r w:rsidR="007642BC">
        <w:rPr>
          <w:rtl/>
          <w:lang w:bidi="fa-IR"/>
        </w:rPr>
        <w:t>-</w:t>
      </w:r>
      <w:r>
        <w:rPr>
          <w:rtl/>
          <w:lang w:bidi="fa-IR"/>
        </w:rPr>
        <w:t xml:space="preserve"> </w:t>
      </w:r>
      <w:r w:rsidRPr="005D642E">
        <w:rPr>
          <w:rtl/>
          <w:lang w:bidi="fa-IR"/>
        </w:rPr>
        <w:t xml:space="preserve">مِنْ عِنْدِ تَرْقُوَتِهِ إِلى يَدِهِ ، تُلَفُّ </w:t>
      </w:r>
      <w:r w:rsidRPr="007C12DB">
        <w:rPr>
          <w:rStyle w:val="libFootnotenumChar"/>
          <w:rtl/>
        </w:rPr>
        <w:t>(3)</w:t>
      </w:r>
      <w:r w:rsidRPr="005D642E">
        <w:rPr>
          <w:rtl/>
          <w:lang w:bidi="fa-IR"/>
        </w:rPr>
        <w:t xml:space="preserve"> مَعَ ثِيَابِهِ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وَقَالَ </w:t>
      </w:r>
      <w:r w:rsidRPr="007C12DB">
        <w:rPr>
          <w:rStyle w:val="libFootnotenumChar"/>
          <w:rtl/>
        </w:rPr>
        <w:t>(4)</w:t>
      </w:r>
      <w:r w:rsidRPr="005D642E">
        <w:rPr>
          <w:rtl/>
          <w:lang w:bidi="fa-IR"/>
        </w:rPr>
        <w:t xml:space="preserve"> الرَّجُلُ : لَقِيتُ أَبَا عَبْدِ اللهِ </w:t>
      </w:r>
      <w:r w:rsidRPr="00AC51C5">
        <w:rPr>
          <w:rStyle w:val="libAlaemChar"/>
          <w:rtl/>
        </w:rPr>
        <w:t>عليه‌السلام</w:t>
      </w:r>
      <w:r w:rsidRPr="005D642E">
        <w:rPr>
          <w:rtl/>
          <w:lang w:bidi="fa-IR"/>
        </w:rPr>
        <w:t xml:space="preserve"> بَعْدُ ، فَسَأَلْتُهُ عَنْهُ ، فَقَالَ : « نَعَمْ ، قَدْ حَدَّثْتُ بِهِ يَحْيَى بْنَ عُبَادَةَ</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135BE">
        <w:rPr>
          <w:rtl/>
        </w:rPr>
        <w:t>4381</w:t>
      </w:r>
      <w:r w:rsidRPr="00246318">
        <w:rPr>
          <w:rStyle w:val="libBold2Char"/>
          <w:rtl/>
        </w:rPr>
        <w:t xml:space="preserve"> / 4.</w:t>
      </w:r>
      <w:r w:rsidRPr="005D642E">
        <w:rPr>
          <w:rtl/>
          <w:lang w:bidi="fa-IR"/>
        </w:rPr>
        <w:t xml:space="preserve"> عَلِيُّ بْنُ إِبْرَاهِيمَ ، عَنْ أَبِيهِ ، عَنْ حَمَّادِ بْنِ عِيسى ، عَنْ ح</w:t>
      </w:r>
      <w:r w:rsidR="00B71974">
        <w:rPr>
          <w:rtl/>
          <w:lang w:bidi="fa-IR"/>
        </w:rPr>
        <w:t>َرِيزٍ ، عَنْ زُرَارَةَ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قُلْتُ لِأَبِي جَعْفَرٍ </w:t>
      </w:r>
      <w:r w:rsidRPr="00AC51C5">
        <w:rPr>
          <w:rStyle w:val="libAlaemChar"/>
          <w:rtl/>
        </w:rPr>
        <w:t>عليه‌السلام</w:t>
      </w:r>
      <w:r>
        <w:rPr>
          <w:rtl/>
          <w:lang w:bidi="fa-IR"/>
        </w:rPr>
        <w:t xml:space="preserve"> : أَ</w:t>
      </w:r>
      <w:r w:rsidRPr="005D642E">
        <w:rPr>
          <w:rtl/>
          <w:lang w:bidi="fa-IR"/>
        </w:rPr>
        <w:t xml:space="preserve">رَأَيْتَ الْمَيِّتَ إِذَا مَاتَ لِمَ تُجْعَلُ </w:t>
      </w:r>
      <w:r w:rsidRPr="007C12DB">
        <w:rPr>
          <w:rStyle w:val="libFootnotenumChar"/>
          <w:rtl/>
        </w:rPr>
        <w:t>(6)</w:t>
      </w:r>
      <w:r w:rsidRPr="005D642E">
        <w:rPr>
          <w:rtl/>
          <w:lang w:bidi="fa-IR"/>
        </w:rPr>
        <w:t xml:space="preserve"> مَعَهُ الْجَرِيدَةُ</w:t>
      </w:r>
      <w:r>
        <w:rPr>
          <w:rtl/>
          <w:lang w:bidi="fa-IR"/>
        </w:rPr>
        <w:t>؟</w:t>
      </w:r>
    </w:p>
    <w:p w:rsidR="00E3253D" w:rsidRPr="005D642E" w:rsidRDefault="00E3253D" w:rsidP="00E3253D">
      <w:pPr>
        <w:pStyle w:val="libNormal"/>
        <w:rPr>
          <w:rtl/>
          <w:lang w:bidi="fa-IR"/>
        </w:rPr>
      </w:pPr>
      <w:r w:rsidRPr="005D642E">
        <w:rPr>
          <w:rtl/>
          <w:lang w:bidi="fa-IR"/>
        </w:rPr>
        <w:t xml:space="preserve">قَالَ : « يَتَجَافى </w:t>
      </w:r>
      <w:r w:rsidRPr="007C12DB">
        <w:rPr>
          <w:rStyle w:val="libFootnotenumChar"/>
          <w:rtl/>
        </w:rPr>
        <w:t>(7)</w:t>
      </w:r>
      <w:r w:rsidRPr="005D642E">
        <w:rPr>
          <w:rtl/>
          <w:lang w:bidi="fa-IR"/>
        </w:rPr>
        <w:t xml:space="preserve"> عَنْهُ الْعَذَابُ وَالْحِسَابُ مَا دَامَ الْعُودُ رَطْباً » قَالَ </w:t>
      </w:r>
      <w:r w:rsidRPr="007C12DB">
        <w:rPr>
          <w:rStyle w:val="libFootnotenumChar"/>
          <w:rtl/>
        </w:rPr>
        <w:t>(8)</w:t>
      </w:r>
      <w:r w:rsidRPr="005D642E">
        <w:rPr>
          <w:rtl/>
          <w:lang w:bidi="fa-IR"/>
        </w:rPr>
        <w:t xml:space="preserve"> : « وَالْعَذَابُ كُلُّهُ فِي يَوْمٍ وَاحِدٍ فِي سَاعَةٍ وَاحِدَةٍ </w:t>
      </w:r>
      <w:r w:rsidRPr="007C12DB">
        <w:rPr>
          <w:rStyle w:val="libFootnotenumChar"/>
          <w:rtl/>
        </w:rPr>
        <w:t>(9)</w:t>
      </w:r>
      <w:r w:rsidRPr="005D642E">
        <w:rPr>
          <w:rtl/>
          <w:lang w:bidi="fa-IR"/>
        </w:rPr>
        <w:t xml:space="preserve"> قَدْرَ مَا يُدْخَلُ الْقَبْرَ وَيَرْجِعُ الْقَوْمُ ، وَإِنَّمَا جُعِلَتِ السَّعَفَتَانِ لِذلِكَ </w:t>
      </w:r>
      <w:r w:rsidRPr="007C12DB">
        <w:rPr>
          <w:rStyle w:val="libFootnotenumChar"/>
          <w:rtl/>
        </w:rPr>
        <w:t>(10)</w:t>
      </w:r>
      <w:r w:rsidRPr="005D642E">
        <w:rPr>
          <w:rtl/>
          <w:lang w:bidi="fa-IR"/>
        </w:rPr>
        <w:t xml:space="preserve"> ، فَلَا يُصِيبُهُ عَذَابٌ وَلَاحِسَابٌ بَعْدَ جُفُوفِهِمَا </w:t>
      </w:r>
      <w:r w:rsidRPr="007C12DB">
        <w:rPr>
          <w:rStyle w:val="libFootnotenumChar"/>
          <w:rtl/>
        </w:rPr>
        <w:t>(11)</w:t>
      </w:r>
      <w:r w:rsidRPr="005D642E">
        <w:rPr>
          <w:rtl/>
          <w:lang w:bidi="fa-IR"/>
        </w:rPr>
        <w:t xml:space="preserve"> إِنْ شَاءَ اللهُ</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5135BE">
        <w:rPr>
          <w:rtl/>
        </w:rPr>
        <w:t>4382</w:t>
      </w:r>
      <w:r w:rsidRPr="00246318">
        <w:rPr>
          <w:rStyle w:val="libBold2Char"/>
          <w:rtl/>
        </w:rPr>
        <w:t xml:space="preserve"> / 5.</w:t>
      </w:r>
      <w:r w:rsidRPr="005D642E">
        <w:rPr>
          <w:rtl/>
          <w:lang w:bidi="fa-IR"/>
        </w:rPr>
        <w:t xml:space="preserve"> عَلِيُّ بْنُ إِبْرَاهِيمَ ، عَنْ أَبِيهِ ، عَنِ ابْنِ أَبِي عُمَيْرٍ ، عَنْ جَمِيلِ بْنِ دَرَّاجٍ ، قَالَ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61E75" w:rsidTr="00C61E75">
        <w:tc>
          <w:tcPr>
            <w:tcW w:w="4006" w:type="dxa"/>
          </w:tcPr>
          <w:p w:rsidR="00C61E75" w:rsidRDefault="00C61E75" w:rsidP="00E3253D">
            <w:pPr>
              <w:pStyle w:val="libFootnote0"/>
              <w:rPr>
                <w:rStyle w:val="libFootnote0Char"/>
                <w:rtl/>
              </w:rPr>
            </w:pPr>
            <w:r w:rsidRPr="0042621E">
              <w:rPr>
                <w:rStyle w:val="libFootnote0Char"/>
                <w:rtl/>
              </w:rPr>
              <w:t>(1).</w:t>
            </w:r>
            <w:r>
              <w:rPr>
                <w:rtl/>
              </w:rPr>
              <w:t xml:space="preserve"> </w:t>
            </w:r>
            <w:r w:rsidRPr="005D642E">
              <w:rPr>
                <w:rtl/>
              </w:rPr>
              <w:t>في « ظ ، ى ، جس ، جن » : « يؤخذ</w:t>
            </w:r>
            <w:r>
              <w:rPr>
                <w:rtl/>
              </w:rPr>
              <w:t xml:space="preserve"> ».</w:t>
            </w:r>
          </w:p>
        </w:tc>
        <w:tc>
          <w:tcPr>
            <w:tcW w:w="4006" w:type="dxa"/>
          </w:tcPr>
          <w:p w:rsidR="00C61E75" w:rsidRDefault="00C61E75" w:rsidP="00E3253D">
            <w:pPr>
              <w:pStyle w:val="libFootnote0"/>
              <w:rPr>
                <w:rStyle w:val="libFootnote0Char"/>
                <w:rtl/>
              </w:rPr>
            </w:pPr>
            <w:r w:rsidRPr="0042621E">
              <w:rPr>
                <w:rStyle w:val="libFootnote0Char"/>
                <w:rtl/>
              </w:rPr>
              <w:t>(2).</w:t>
            </w:r>
            <w:r w:rsidRPr="005D642E">
              <w:rPr>
                <w:rtl/>
              </w:rPr>
              <w:t xml:space="preserve"> في الوسائل : « وتوضع</w:t>
            </w:r>
            <w:r>
              <w:rPr>
                <w:rtl/>
              </w:rPr>
              <w:t xml:space="preserve"> ».</w:t>
            </w:r>
          </w:p>
        </w:tc>
      </w:tr>
      <w:tr w:rsidR="00C61E75" w:rsidTr="00C61E75">
        <w:tc>
          <w:tcPr>
            <w:tcW w:w="4006" w:type="dxa"/>
          </w:tcPr>
          <w:p w:rsidR="00C61E75" w:rsidRDefault="00C61E75" w:rsidP="00E3253D">
            <w:pPr>
              <w:pStyle w:val="libFootnote0"/>
              <w:rPr>
                <w:rStyle w:val="libFootnote0Char"/>
                <w:rtl/>
              </w:rPr>
            </w:pPr>
            <w:r w:rsidRPr="0042621E">
              <w:rPr>
                <w:rStyle w:val="libFootnote0Char"/>
                <w:rtl/>
              </w:rPr>
              <w:t>(3).</w:t>
            </w:r>
            <w:r w:rsidRPr="005D642E">
              <w:rPr>
                <w:rtl/>
              </w:rPr>
              <w:t xml:space="preserve"> في التهذيب : « تلفه</w:t>
            </w:r>
            <w:r>
              <w:rPr>
                <w:rtl/>
              </w:rPr>
              <w:t xml:space="preserve"> ».</w:t>
            </w:r>
          </w:p>
        </w:tc>
        <w:tc>
          <w:tcPr>
            <w:tcW w:w="4006" w:type="dxa"/>
          </w:tcPr>
          <w:p w:rsidR="00C61E75" w:rsidRDefault="00C61E75" w:rsidP="00E3253D">
            <w:pPr>
              <w:pStyle w:val="libFootnote0"/>
              <w:rPr>
                <w:rStyle w:val="libFootnote0Char"/>
                <w:rtl/>
              </w:rPr>
            </w:pPr>
            <w:r w:rsidRPr="0042621E">
              <w:rPr>
                <w:rStyle w:val="libFootnote0Char"/>
                <w:rtl/>
              </w:rPr>
              <w:t>(4).</w:t>
            </w:r>
            <w:r>
              <w:rPr>
                <w:rtl/>
              </w:rPr>
              <w:t xml:space="preserve"> في«بث» :«قال</w:t>
            </w:r>
            <w:r w:rsidRPr="005D642E">
              <w:rPr>
                <w:rtl/>
              </w:rPr>
              <w:t>» بد</w:t>
            </w:r>
            <w:r>
              <w:rPr>
                <w:rtl/>
              </w:rPr>
              <w:t>ون الواو.وفي«جن»:«</w:t>
            </w:r>
            <w:r w:rsidRPr="005D642E">
              <w:rPr>
                <w:rtl/>
              </w:rPr>
              <w:t>فقال</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308 ، ح 64 ، معلّقاً عن عليّ بن إبراهيم. </w:t>
      </w:r>
      <w:r w:rsidR="00E3253D" w:rsidRPr="002F4D34">
        <w:rPr>
          <w:rStyle w:val="libFootnoteBoldChar"/>
          <w:rtl/>
        </w:rPr>
        <w:t>معاني الأخبار</w:t>
      </w:r>
      <w:r w:rsidR="00E3253D" w:rsidRPr="005D642E">
        <w:rPr>
          <w:rtl/>
        </w:rPr>
        <w:t xml:space="preserve"> ، ص 348 ، ذيل ح 1 ، بسنده عن إبراهيم بن هاشم ، عن عبدالله بن المغيرة ، عن يحيى بن عبادة ، عن أبي عبدالله </w:t>
      </w:r>
      <w:r w:rsidR="00E3253D" w:rsidRPr="00C61E75">
        <w:rPr>
          <w:rStyle w:val="libFootnoteAlaemChar"/>
          <w:rtl/>
        </w:rPr>
        <w:t>عليه‌السلام</w:t>
      </w:r>
      <w:r w:rsidR="00E3253D" w:rsidRPr="005D642E">
        <w:rPr>
          <w:rtl/>
        </w:rPr>
        <w:t xml:space="preserve"> ، إلى قوله : « تلفّ مع ثيابه » </w:t>
      </w:r>
      <w:r w:rsidR="00B71974">
        <w:rPr>
          <w:rFonts w:hint="cs"/>
          <w:rtl/>
        </w:rPr>
        <w:t>.</w:t>
      </w:r>
      <w:r w:rsidR="00E3253D" w:rsidRPr="002F4D34">
        <w:rPr>
          <w:rStyle w:val="libFootnoteBoldChar"/>
          <w:rtl/>
        </w:rPr>
        <w:t>الوافي</w:t>
      </w:r>
      <w:r w:rsidR="00E3253D" w:rsidRPr="005D642E">
        <w:rPr>
          <w:rtl/>
        </w:rPr>
        <w:t xml:space="preserve"> ، ج 24 ، ص 383 ، ح 24269 ؛ </w:t>
      </w:r>
      <w:r w:rsidR="00E3253D" w:rsidRPr="002F4D34">
        <w:rPr>
          <w:rStyle w:val="libFootnoteBoldChar"/>
          <w:rtl/>
        </w:rPr>
        <w:t>الوسائل</w:t>
      </w:r>
      <w:r w:rsidR="00E3253D" w:rsidRPr="005D642E">
        <w:rPr>
          <w:rtl/>
        </w:rPr>
        <w:t xml:space="preserve"> ، ج 3 ، ص 27 ، ح 2937.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بث ، بح ، جح ، جس ، جن » : « لِمَ يجعل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ى ، بخ ، جح » : « تجافى</w:t>
      </w:r>
      <w:r w:rsidR="00E3253D">
        <w:rPr>
          <w:rtl/>
        </w:rPr>
        <w:t xml:space="preserve"> ».</w:t>
      </w:r>
      <w:r w:rsidR="00E3253D" w:rsidRPr="005D642E">
        <w:rPr>
          <w:rtl/>
        </w:rPr>
        <w:t xml:space="preserve"> وفي « بس » وحاشية « بخ » : « يجافى</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الوسائل </w:t>
      </w:r>
      <w:r w:rsidR="009E68BB" w:rsidRPr="009E68BB">
        <w:rPr>
          <w:rStyle w:val="libFootnoteBoldChar"/>
          <w:rtl/>
        </w:rPr>
        <w:t>وتحف العقول</w:t>
      </w:r>
      <w:r w:rsidR="00E3253D" w:rsidRPr="005D642E">
        <w:rPr>
          <w:rtl/>
        </w:rPr>
        <w:t xml:space="preserve"> والعلل : « إنّما الحساب » بدل « قال</w:t>
      </w:r>
      <w:r w:rsidR="00E3253D">
        <w:rPr>
          <w:rtl/>
        </w:rPr>
        <w:t xml:space="preserve"> ».</w:t>
      </w:r>
    </w:p>
    <w:p w:rsidR="00E3253D" w:rsidRPr="005D642E" w:rsidRDefault="0042621E" w:rsidP="00C61E75">
      <w:pPr>
        <w:pStyle w:val="libFootnote0"/>
        <w:rPr>
          <w:rtl/>
          <w:lang w:bidi="fa-IR"/>
        </w:rPr>
      </w:pPr>
      <w:r w:rsidRPr="0042621E">
        <w:rPr>
          <w:rStyle w:val="libFootnote0Char"/>
          <w:rtl/>
        </w:rPr>
        <w:t>(9).</w:t>
      </w:r>
      <w:r w:rsidR="00E3253D" w:rsidRPr="005D642E">
        <w:rPr>
          <w:rtl/>
        </w:rPr>
        <w:t xml:space="preserve"> قال الشيخ البهائي : « وما في الحديث أنّ الحساب والعذاب كلّه في يوم واحد وفي ساعة واحدة ، ينافي بظاهره‌ما تضمّنه كثير من الأخبار من اتّصال نعيم القبر وعذابه إلى يوم القيامة ، الل</w:t>
      </w:r>
      <w:r w:rsidR="00B71974">
        <w:rPr>
          <w:rFonts w:hint="cs"/>
          <w:rtl/>
        </w:rPr>
        <w:t>ّ</w:t>
      </w:r>
      <w:r w:rsidR="00B71974">
        <w:rPr>
          <w:rtl/>
        </w:rPr>
        <w:t>همّ إل</w:t>
      </w:r>
      <w:r w:rsidR="00B71974">
        <w:rPr>
          <w:rFonts w:hint="cs"/>
          <w:rtl/>
        </w:rPr>
        <w:t>ّ</w:t>
      </w:r>
      <w:r w:rsidR="00B71974">
        <w:rPr>
          <w:rtl/>
        </w:rPr>
        <w:t>ا</w:t>
      </w:r>
      <w:r w:rsidR="00E3253D">
        <w:rPr>
          <w:rFonts w:hint="cs"/>
          <w:rtl/>
        </w:rPr>
        <w:t xml:space="preserve"> </w:t>
      </w:r>
      <w:r w:rsidR="00E3253D" w:rsidRPr="005D642E">
        <w:rPr>
          <w:rtl/>
        </w:rPr>
        <w:t>أن يجعل اتّصال العذاب مختصّاً بالكافر ، كما تضمّنه بعض الأخبار</w:t>
      </w:r>
      <w:r w:rsidR="00E3253D">
        <w:rPr>
          <w:rtl/>
        </w:rPr>
        <w:t xml:space="preserve"> ».</w:t>
      </w:r>
      <w:r w:rsidR="00E3253D" w:rsidRPr="005D642E">
        <w:rPr>
          <w:rtl/>
        </w:rPr>
        <w:t xml:space="preserve"> وقيل غير ذلك. راجع : </w:t>
      </w:r>
      <w:r w:rsidR="00E3253D" w:rsidRPr="002F4D34">
        <w:rPr>
          <w:rStyle w:val="libFootnoteBoldChar"/>
          <w:rtl/>
        </w:rPr>
        <w:t>الحبل المتين</w:t>
      </w:r>
      <w:r w:rsidR="00E3253D" w:rsidRPr="005D642E">
        <w:rPr>
          <w:rtl/>
        </w:rPr>
        <w:t xml:space="preserve"> ، ص 230 ؛ </w:t>
      </w:r>
      <w:r w:rsidR="00E3253D" w:rsidRPr="002F4D34">
        <w:rPr>
          <w:rStyle w:val="libFootnoteBoldChar"/>
          <w:rtl/>
        </w:rPr>
        <w:t>الوافي</w:t>
      </w:r>
      <w:r w:rsidR="00E3253D" w:rsidRPr="005D642E">
        <w:rPr>
          <w:rtl/>
        </w:rPr>
        <w:t xml:space="preserve"> ، ج 24 ، ص 384 ؛ </w:t>
      </w:r>
      <w:r w:rsidR="00E3253D" w:rsidRPr="002F4D34">
        <w:rPr>
          <w:rStyle w:val="libFootnoteBoldChar"/>
          <w:rtl/>
        </w:rPr>
        <w:t>مرآة العقول</w:t>
      </w:r>
      <w:r w:rsidR="00E3253D" w:rsidRPr="005D642E">
        <w:rPr>
          <w:rtl/>
        </w:rPr>
        <w:t xml:space="preserve"> ، ج 13 ، ص 326.</w:t>
      </w:r>
      <w:r w:rsidR="00C61E75">
        <w:rPr>
          <w:rFonts w:hint="cs"/>
          <w:rtl/>
        </w:rPr>
        <w:t xml:space="preserve">                  </w:t>
      </w:r>
      <w:r w:rsidR="00E323AD">
        <w:rPr>
          <w:rFonts w:hint="cs"/>
          <w:rtl/>
        </w:rPr>
        <w:t xml:space="preserve"> </w:t>
      </w:r>
      <w:r w:rsidR="00C61E75">
        <w:rPr>
          <w:rFonts w:hint="cs"/>
          <w:rtl/>
        </w:rPr>
        <w:t xml:space="preserve">      </w:t>
      </w:r>
      <w:r w:rsidRPr="0042621E">
        <w:rPr>
          <w:rStyle w:val="libFootnote0Char"/>
          <w:rtl/>
        </w:rPr>
        <w:t>(10).</w:t>
      </w:r>
      <w:r w:rsidR="00E3253D" w:rsidRPr="005D642E">
        <w:rPr>
          <w:rtl/>
        </w:rPr>
        <w:t xml:space="preserve"> في « بس ، جح ، جس » :</w:t>
      </w:r>
      <w:r w:rsidR="00E3253D">
        <w:rPr>
          <w:rtl/>
        </w:rPr>
        <w:t xml:space="preserve"> </w:t>
      </w:r>
      <w:r w:rsidR="007642BC">
        <w:rPr>
          <w:rtl/>
        </w:rPr>
        <w:t>-</w:t>
      </w:r>
      <w:r w:rsidR="00E3253D">
        <w:rPr>
          <w:rtl/>
        </w:rPr>
        <w:t xml:space="preserve"> </w:t>
      </w:r>
      <w:r w:rsidR="00E3253D" w:rsidRPr="005D642E">
        <w:rPr>
          <w:rtl/>
        </w:rPr>
        <w:t>« لذلك</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جس » وحاشية « بح » : « جفوفها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الفقيه</w:t>
      </w:r>
      <w:r w:rsidR="00E3253D" w:rsidRPr="005D642E">
        <w:rPr>
          <w:rtl/>
        </w:rPr>
        <w:t xml:space="preserve"> ، ج 1 ، ص 145 ، ح 407 ، معلّقاً عن زرارة. </w:t>
      </w:r>
      <w:r w:rsidR="00E3253D" w:rsidRPr="002F4D34">
        <w:rPr>
          <w:rStyle w:val="libFootnoteBoldChar"/>
          <w:rtl/>
        </w:rPr>
        <w:t>علل الشرائع</w:t>
      </w:r>
      <w:r w:rsidR="00E3253D" w:rsidRPr="005D642E">
        <w:rPr>
          <w:rtl/>
        </w:rPr>
        <w:t xml:space="preserve"> ، ص 302 ، ح 1 ، مع اختلاف يسير </w:t>
      </w:r>
      <w:r w:rsidR="00E323AD">
        <w:rPr>
          <w:rFonts w:hint="cs"/>
          <w:rtl/>
        </w:rPr>
        <w:t>.</w:t>
      </w:r>
      <w:r w:rsidR="00E3253D" w:rsidRPr="002F4D34">
        <w:rPr>
          <w:rStyle w:val="libFootnoteBoldChar"/>
          <w:rtl/>
        </w:rPr>
        <w:t>الوافي</w:t>
      </w:r>
      <w:r w:rsidR="00E3253D" w:rsidRPr="005D642E">
        <w:rPr>
          <w:rtl/>
        </w:rPr>
        <w:t xml:space="preserve"> ، ج 24 ، ص 383 ، ح 24270 ؛ </w:t>
      </w:r>
      <w:r w:rsidR="00E3253D" w:rsidRPr="002F4D34">
        <w:rPr>
          <w:rStyle w:val="libFootnoteBoldChar"/>
          <w:rtl/>
        </w:rPr>
        <w:t>الوسائل</w:t>
      </w:r>
      <w:r w:rsidR="00E3253D" w:rsidRPr="005D642E">
        <w:rPr>
          <w:rtl/>
        </w:rPr>
        <w:t xml:space="preserve"> ، ج 3 ، ص 20 ، ح 2918 ؛ </w:t>
      </w:r>
      <w:r w:rsidR="00E3253D" w:rsidRPr="002F4D34">
        <w:rPr>
          <w:rStyle w:val="libFootnoteBoldChar"/>
          <w:rtl/>
        </w:rPr>
        <w:t>البحار</w:t>
      </w:r>
      <w:r w:rsidR="00E3253D" w:rsidRPr="005D642E">
        <w:rPr>
          <w:rtl/>
        </w:rPr>
        <w:t xml:space="preserve"> ، ج 6 ، ص 215 ، ح 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قَالَ : « إِنَّ </w:t>
      </w:r>
      <w:r w:rsidRPr="007C12DB">
        <w:rPr>
          <w:rStyle w:val="libFootnotenumChar"/>
          <w:rtl/>
        </w:rPr>
        <w:t>(1)</w:t>
      </w:r>
      <w:r w:rsidRPr="005D642E">
        <w:rPr>
          <w:rtl/>
          <w:lang w:bidi="fa-IR"/>
        </w:rPr>
        <w:t xml:space="preserve"> الْجَرِيدَةَ قَدْرُ شِبْرٍ ، تُوضَعُ وَاحِدَةٌ مِنْ عِنْدِ التَّرْقُوَةِ إِلى مَا بَلَغَتْ مِمَّا يَلِي الْجِلْدَ </w:t>
      </w:r>
      <w:r w:rsidRPr="007C12DB">
        <w:rPr>
          <w:rStyle w:val="libFootnotenumChar"/>
          <w:rtl/>
        </w:rPr>
        <w:t>(2)</w:t>
      </w:r>
      <w:r w:rsidRPr="005D642E">
        <w:rPr>
          <w:rtl/>
          <w:lang w:bidi="fa-IR"/>
        </w:rPr>
        <w:t xml:space="preserve"> ، وَالْأُخْرى </w:t>
      </w:r>
      <w:r w:rsidRPr="007C12DB">
        <w:rPr>
          <w:rStyle w:val="libFootnotenumChar"/>
          <w:rtl/>
        </w:rPr>
        <w:t>(3)</w:t>
      </w:r>
      <w:r w:rsidRPr="005D642E">
        <w:rPr>
          <w:rtl/>
          <w:lang w:bidi="fa-IR"/>
        </w:rPr>
        <w:t xml:space="preserve"> فِي </w:t>
      </w:r>
      <w:r w:rsidRPr="007C12DB">
        <w:rPr>
          <w:rStyle w:val="libFootnotenumChar"/>
          <w:rtl/>
        </w:rPr>
        <w:t>(4)</w:t>
      </w:r>
      <w:r w:rsidRPr="005D642E">
        <w:rPr>
          <w:rtl/>
          <w:lang w:bidi="fa-IR"/>
        </w:rPr>
        <w:t xml:space="preserve"> الْأَيْسَرِ مِنْ عِنْدِ التَّرْقُوَةِ إِلى مَا بَلَغَتْ مِنْ فَوْقِ الْقَمِيصِ</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135BE">
        <w:rPr>
          <w:rtl/>
        </w:rPr>
        <w:t>4383</w:t>
      </w:r>
      <w:r w:rsidRPr="00246318">
        <w:rPr>
          <w:rStyle w:val="libBold2Char"/>
          <w:rtl/>
        </w:rPr>
        <w:t xml:space="preserve"> / 6.</w:t>
      </w:r>
      <w:r w:rsidRPr="005D642E">
        <w:rPr>
          <w:rtl/>
          <w:lang w:bidi="fa-IR"/>
        </w:rPr>
        <w:t xml:space="preserve"> عِدَّةٌ مِنْ أَصْحَابِنَا ، عَنْ سَهْلِ بْنِ زِيَادٍ ، عَنْ أَحْمَدَ بْنِ مُحَمَّدِ بْنِ أَبِي نَصْرٍ ، عَنْ مُحَمَّدِ بْنِ سَمَاعَةَ ، عَنْ فُضَيْلِ بْنِ يَسَارٍ :</w:t>
      </w:r>
    </w:p>
    <w:p w:rsidR="00E3253D" w:rsidRPr="005D642E" w:rsidRDefault="00E3253D" w:rsidP="00861EAE">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تُوضَعُ </w:t>
      </w:r>
      <w:r w:rsidRPr="007C12DB">
        <w:rPr>
          <w:rStyle w:val="libFootnotenumChar"/>
          <w:rtl/>
        </w:rPr>
        <w:t>(6)</w:t>
      </w:r>
      <w:r w:rsidRPr="005D642E">
        <w:rPr>
          <w:rtl/>
          <w:lang w:bidi="fa-IR"/>
        </w:rPr>
        <w:t xml:space="preserve"> لِلْمَيِّتِ جَرِيدَتَانِ : وَاحِدَةٌ فِي الْأَيْمَنِ ، وَالْأُخْرى فِي الْأَيْسَرِ</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135BE">
        <w:rPr>
          <w:rtl/>
        </w:rPr>
        <w:t>4384</w:t>
      </w:r>
      <w:r w:rsidRPr="00246318">
        <w:rPr>
          <w:rStyle w:val="libBold2Char"/>
          <w:rtl/>
        </w:rPr>
        <w:t xml:space="preserve"> / 7.</w:t>
      </w:r>
      <w:r w:rsidRPr="005D642E">
        <w:rPr>
          <w:rtl/>
          <w:lang w:bidi="fa-IR"/>
        </w:rPr>
        <w:t xml:space="preserve"> عَلِيُّ بْنُ إِبْرَاهِيمَ ، عَنْ أَبِيهِ ، عَنْ عَبْدِ اللهِ بْنِ الْمُغِيرَةِ ، عَنْ حَرِيزٍ وَفُضَيْلٍ وَعَبْدِ الرَّحْمنِ بْنِ أَبِي عَبْدِ اللهِ ، قَالَ :</w:t>
      </w:r>
    </w:p>
    <w:p w:rsidR="00E3253D" w:rsidRPr="005D642E" w:rsidRDefault="00E3253D" w:rsidP="00E3253D">
      <w:pPr>
        <w:pStyle w:val="libNormal"/>
        <w:rPr>
          <w:rtl/>
          <w:lang w:bidi="fa-IR"/>
        </w:rPr>
      </w:pPr>
      <w:r w:rsidRPr="005D642E">
        <w:rPr>
          <w:rtl/>
          <w:lang w:bidi="fa-IR"/>
        </w:rPr>
        <w:t xml:space="preserve">قِيلَ لِأَبِي عَبْدِ اللهِ </w:t>
      </w:r>
      <w:r w:rsidRPr="00AC51C5">
        <w:rPr>
          <w:rStyle w:val="libAlaemChar"/>
          <w:rtl/>
        </w:rPr>
        <w:t>عليه‌السلام</w:t>
      </w:r>
      <w:r w:rsidRPr="005D642E">
        <w:rPr>
          <w:rtl/>
          <w:lang w:bidi="fa-IR"/>
        </w:rPr>
        <w:t xml:space="preserve"> : لِأَيِّ شَيْ‌ءٍ تُوضَعُ </w:t>
      </w:r>
      <w:r w:rsidRPr="007C12DB">
        <w:rPr>
          <w:rStyle w:val="libFootnotenumChar"/>
          <w:rtl/>
        </w:rPr>
        <w:t>(8)</w:t>
      </w:r>
      <w:r w:rsidRPr="005D642E">
        <w:rPr>
          <w:rtl/>
          <w:lang w:bidi="fa-IR"/>
        </w:rPr>
        <w:t xml:space="preserve"> مَعَ الْمَيِّتِ الْجَرِيدَةُ</w:t>
      </w:r>
      <w:r>
        <w:rPr>
          <w:rtl/>
          <w:lang w:bidi="fa-IR"/>
        </w:rPr>
        <w:t>؟</w:t>
      </w:r>
    </w:p>
    <w:p w:rsidR="00E3253D" w:rsidRPr="005D642E" w:rsidRDefault="00E3253D" w:rsidP="00E3253D">
      <w:pPr>
        <w:pStyle w:val="libNormal"/>
        <w:rPr>
          <w:rtl/>
          <w:lang w:bidi="fa-IR"/>
        </w:rPr>
      </w:pPr>
      <w:r w:rsidRPr="005D642E">
        <w:rPr>
          <w:rtl/>
          <w:lang w:bidi="fa-IR"/>
        </w:rPr>
        <w:t xml:space="preserve">قَالَ : « إِنَّهُ يَتَجَافى عَنْهُ الْعَذَابُ </w:t>
      </w:r>
      <w:r w:rsidRPr="007C12DB">
        <w:rPr>
          <w:rStyle w:val="libFootnotenumChar"/>
          <w:rtl/>
        </w:rPr>
        <w:t>(9)</w:t>
      </w:r>
      <w:r w:rsidRPr="005D642E">
        <w:rPr>
          <w:rtl/>
          <w:lang w:bidi="fa-IR"/>
        </w:rPr>
        <w:t xml:space="preserve"> مَا دَامَتْ رَطْبَةً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5135BE">
        <w:rPr>
          <w:rtl/>
        </w:rPr>
        <w:t>4385</w:t>
      </w:r>
      <w:r w:rsidRPr="00246318">
        <w:rPr>
          <w:rStyle w:val="libBold2Char"/>
          <w:rtl/>
        </w:rPr>
        <w:t xml:space="preserve"> / 8.</w:t>
      </w:r>
      <w:r w:rsidRPr="005D642E">
        <w:rPr>
          <w:rtl/>
          <w:lang w:bidi="fa-IR"/>
        </w:rPr>
        <w:t xml:space="preserve"> عِدَّةٌ مِنْ أَصْحَابِنَا ، عَنْ سَهْلِ بْنِ زِيَادٍ رَفَعَهُ ، قَالَ :</w:t>
      </w:r>
    </w:p>
    <w:p w:rsidR="00E3253D" w:rsidRPr="005D642E" w:rsidRDefault="00E3253D" w:rsidP="00E3253D">
      <w:pPr>
        <w:pStyle w:val="libNormal"/>
        <w:rPr>
          <w:rtl/>
          <w:lang w:bidi="fa-IR"/>
        </w:rPr>
      </w:pPr>
      <w:r w:rsidRPr="005D642E">
        <w:rPr>
          <w:rtl/>
          <w:lang w:bidi="fa-IR"/>
        </w:rPr>
        <w:t>قِيلَ لَهُ : جُعِلْتُ فِدَاكَ ، رُبَّمَا حَضَرَنِي مَنْ أَخَافُهُ ، فَلَا يُمْكِنُ وَضْعُ الْجَرِيدَةِ عَلى مَا‌</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07408" w:rsidTr="00507408">
        <w:tc>
          <w:tcPr>
            <w:tcW w:w="4006" w:type="dxa"/>
          </w:tcPr>
          <w:p w:rsidR="00507408" w:rsidRDefault="00507408" w:rsidP="00E3253D">
            <w:pPr>
              <w:pStyle w:val="libFootnote0"/>
              <w:rPr>
                <w:rStyle w:val="libFootnote0Char"/>
                <w:rtl/>
              </w:rPr>
            </w:pPr>
            <w:r w:rsidRPr="0042621E">
              <w:rPr>
                <w:rStyle w:val="libFootnote0Char"/>
                <w:rtl/>
              </w:rPr>
              <w:t>(1).</w:t>
            </w:r>
            <w:r>
              <w:rPr>
                <w:rtl/>
              </w:rPr>
              <w:t xml:space="preserve"> </w:t>
            </w:r>
            <w:r w:rsidRPr="005D642E">
              <w:rPr>
                <w:rtl/>
              </w:rPr>
              <w:t>في « غ » :</w:t>
            </w:r>
            <w:r>
              <w:rPr>
                <w:rtl/>
              </w:rPr>
              <w:t xml:space="preserve"> - </w:t>
            </w:r>
            <w:r w:rsidRPr="005D642E">
              <w:rPr>
                <w:rtl/>
              </w:rPr>
              <w:t>« إنّ</w:t>
            </w:r>
            <w:r>
              <w:rPr>
                <w:rtl/>
              </w:rPr>
              <w:t xml:space="preserve"> ».</w:t>
            </w:r>
          </w:p>
        </w:tc>
        <w:tc>
          <w:tcPr>
            <w:tcW w:w="4006" w:type="dxa"/>
          </w:tcPr>
          <w:p w:rsidR="00507408" w:rsidRDefault="00507408" w:rsidP="00E3253D">
            <w:pPr>
              <w:pStyle w:val="libFootnote0"/>
              <w:rPr>
                <w:rStyle w:val="libFootnote0Char"/>
                <w:rtl/>
              </w:rPr>
            </w:pPr>
            <w:r w:rsidRPr="0042621E">
              <w:rPr>
                <w:rStyle w:val="libFootnote0Char"/>
                <w:rtl/>
              </w:rPr>
              <w:t>(2).</w:t>
            </w:r>
            <w:r w:rsidRPr="005D642E">
              <w:rPr>
                <w:rtl/>
              </w:rPr>
              <w:t xml:space="preserve"> في التهذيب : + « الأيمن</w:t>
            </w:r>
            <w:r>
              <w:rPr>
                <w:rtl/>
              </w:rPr>
              <w:t xml:space="preserve"> ».</w:t>
            </w:r>
          </w:p>
        </w:tc>
      </w:tr>
      <w:tr w:rsidR="00507408" w:rsidTr="00507408">
        <w:tc>
          <w:tcPr>
            <w:tcW w:w="4006" w:type="dxa"/>
          </w:tcPr>
          <w:p w:rsidR="00507408" w:rsidRDefault="00507408" w:rsidP="00E3253D">
            <w:pPr>
              <w:pStyle w:val="libFootnote0"/>
              <w:rPr>
                <w:rStyle w:val="libFootnote0Char"/>
                <w:rtl/>
              </w:rPr>
            </w:pPr>
            <w:r w:rsidRPr="0042621E">
              <w:rPr>
                <w:rStyle w:val="libFootnote0Char"/>
                <w:rtl/>
              </w:rPr>
              <w:t>(3).</w:t>
            </w:r>
            <w:r w:rsidRPr="005D642E">
              <w:rPr>
                <w:rtl/>
              </w:rPr>
              <w:t xml:space="preserve"> في « غ » : « وا</w:t>
            </w:r>
            <w:r>
              <w:rPr>
                <w:rFonts w:hint="cs"/>
                <w:rtl/>
              </w:rPr>
              <w:t>ُ</w:t>
            </w:r>
            <w:r w:rsidRPr="005D642E">
              <w:rPr>
                <w:rtl/>
              </w:rPr>
              <w:t>خرى</w:t>
            </w:r>
            <w:r>
              <w:rPr>
                <w:rtl/>
              </w:rPr>
              <w:t xml:space="preserve"> ».</w:t>
            </w:r>
          </w:p>
        </w:tc>
        <w:tc>
          <w:tcPr>
            <w:tcW w:w="4006" w:type="dxa"/>
          </w:tcPr>
          <w:p w:rsidR="00507408" w:rsidRDefault="00507408" w:rsidP="00E3253D">
            <w:pPr>
              <w:pStyle w:val="libFootnote0"/>
              <w:rPr>
                <w:rStyle w:val="libFootnote0Char"/>
                <w:rtl/>
              </w:rPr>
            </w:pPr>
            <w:r w:rsidRPr="0042621E">
              <w:rPr>
                <w:rStyle w:val="libFootnote0Char"/>
                <w:rtl/>
              </w:rPr>
              <w:t>(4).</w:t>
            </w:r>
            <w:r w:rsidRPr="005D642E">
              <w:rPr>
                <w:rtl/>
              </w:rPr>
              <w:t xml:space="preserve"> في « بث » : « من</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309 ، ح 897 ، معلّقاً عن عليّ بن إبراهيم </w:t>
      </w:r>
      <w:r w:rsidR="00D01E21">
        <w:rPr>
          <w:rFonts w:hint="cs"/>
          <w:rtl/>
        </w:rPr>
        <w:t>.</w:t>
      </w:r>
      <w:r w:rsidR="00E3253D" w:rsidRPr="002F4D34">
        <w:rPr>
          <w:rStyle w:val="libFootnoteBoldChar"/>
          <w:rtl/>
        </w:rPr>
        <w:t>الوافي</w:t>
      </w:r>
      <w:r w:rsidR="00E3253D" w:rsidRPr="005D642E">
        <w:rPr>
          <w:rtl/>
        </w:rPr>
        <w:t xml:space="preserve"> ، ج 24 ، ص 384 ، ح 24272 ؛ </w:t>
      </w:r>
      <w:r w:rsidR="00E3253D" w:rsidRPr="002F4D34">
        <w:rPr>
          <w:rStyle w:val="libFootnoteBoldChar"/>
          <w:rtl/>
        </w:rPr>
        <w:t>الوسائل</w:t>
      </w:r>
      <w:r w:rsidR="00E3253D" w:rsidRPr="005D642E">
        <w:rPr>
          <w:rtl/>
        </w:rPr>
        <w:t xml:space="preserve"> ، ج 3 ، ص 26 ، ح 2935.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بث ، بح ، بخ ، بس ، جح ، جس ، جن » </w:t>
      </w:r>
      <w:r w:rsidR="000D749A" w:rsidRPr="000D749A">
        <w:rPr>
          <w:rStyle w:val="libFootnoteBoldChar"/>
          <w:rtl/>
        </w:rPr>
        <w:t>والوافي</w:t>
      </w:r>
      <w:r w:rsidR="00E3253D" w:rsidRPr="005D642E">
        <w:rPr>
          <w:rtl/>
        </w:rPr>
        <w:t xml:space="preserve"> : « يوضع</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385 ، ح 24273 ؛ </w:t>
      </w:r>
      <w:r w:rsidR="00E3253D" w:rsidRPr="002F4D34">
        <w:rPr>
          <w:rStyle w:val="libFootnoteBoldChar"/>
          <w:rtl/>
        </w:rPr>
        <w:t>الوسائل</w:t>
      </w:r>
      <w:r w:rsidR="00E3253D" w:rsidRPr="005D642E">
        <w:rPr>
          <w:rtl/>
        </w:rPr>
        <w:t xml:space="preserve"> ، ج 3 ، ص 27 ، ح 2939.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جح ، جس » والبحار : « يوضع</w:t>
      </w:r>
      <w:r w:rsidR="00E3253D">
        <w:rPr>
          <w:rtl/>
        </w:rPr>
        <w:t xml:space="preserve"> ».</w:t>
      </w:r>
      <w:r w:rsidR="00E3253D" w:rsidRPr="005D642E">
        <w:rPr>
          <w:rtl/>
        </w:rPr>
        <w:t xml:space="preserve"> وفي التهذيب : « يكون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بح ، بخ ، بس ، بف ، جح ، جس ، جن » :</w:t>
      </w:r>
      <w:r w:rsidR="00E3253D">
        <w:rPr>
          <w:rtl/>
        </w:rPr>
        <w:t xml:space="preserve"> </w:t>
      </w:r>
      <w:r w:rsidR="007642BC">
        <w:rPr>
          <w:rtl/>
        </w:rPr>
        <w:t>-</w:t>
      </w:r>
      <w:r w:rsidR="00E3253D">
        <w:rPr>
          <w:rtl/>
        </w:rPr>
        <w:t xml:space="preserve"> </w:t>
      </w:r>
      <w:r w:rsidR="00E3253D" w:rsidRPr="005D642E">
        <w:rPr>
          <w:rtl/>
        </w:rPr>
        <w:t>« العذاب</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حاشية « ظ ، بث ، بح » : « خضرة</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327 ، ح 955 ، بسنده عن الكليني. </w:t>
      </w:r>
      <w:r w:rsidR="00E3253D" w:rsidRPr="002F4D34">
        <w:rPr>
          <w:rStyle w:val="libFootnoteBoldChar"/>
          <w:rtl/>
        </w:rPr>
        <w:t>الفقيه</w:t>
      </w:r>
      <w:r w:rsidR="00E3253D" w:rsidRPr="005D642E">
        <w:rPr>
          <w:rtl/>
        </w:rPr>
        <w:t xml:space="preserve"> ، ج 1 ، ص 144 ، ح 401 ، مرسلاً ، مع اختلاف يسير. </w:t>
      </w:r>
      <w:r w:rsidR="00E3253D" w:rsidRPr="002F4D34">
        <w:rPr>
          <w:rStyle w:val="libFootnoteBoldChar"/>
          <w:rtl/>
        </w:rPr>
        <w:t>وفيه</w:t>
      </w:r>
      <w:r w:rsidR="00E3253D" w:rsidRPr="005D642E">
        <w:rPr>
          <w:rtl/>
        </w:rPr>
        <w:t xml:space="preserve"> ، ذيل ح 402 ، مرسلاً عن النبيّ </w:t>
      </w:r>
      <w:r w:rsidRPr="00D01E21">
        <w:rPr>
          <w:rStyle w:val="libFootnoteAlaemChar"/>
          <w:rtl/>
        </w:rPr>
        <w:t>صلى‌الله‌عليه‌وآله</w:t>
      </w:r>
      <w:r w:rsidR="00E3253D" w:rsidRPr="005D642E">
        <w:rPr>
          <w:rtl/>
        </w:rPr>
        <w:t xml:space="preserve"> ، مع اختلاف </w:t>
      </w:r>
      <w:r w:rsidR="00D01E21">
        <w:rPr>
          <w:rFonts w:hint="cs"/>
          <w:rtl/>
        </w:rPr>
        <w:t>.</w:t>
      </w:r>
      <w:r w:rsidR="00E3253D" w:rsidRPr="002F4D34">
        <w:rPr>
          <w:rStyle w:val="libFootnoteBoldChar"/>
          <w:rtl/>
        </w:rPr>
        <w:t>الوافي</w:t>
      </w:r>
      <w:r w:rsidR="00E3253D" w:rsidRPr="005D642E">
        <w:rPr>
          <w:rtl/>
        </w:rPr>
        <w:t xml:space="preserve"> ، ج 24 ، ص 383 ، ح 24271 ؛ </w:t>
      </w:r>
      <w:r w:rsidR="00E3253D" w:rsidRPr="002F4D34">
        <w:rPr>
          <w:rStyle w:val="libFootnoteBoldChar"/>
          <w:rtl/>
        </w:rPr>
        <w:t>الوسائل</w:t>
      </w:r>
      <w:r w:rsidR="00E3253D" w:rsidRPr="005D642E">
        <w:rPr>
          <w:rtl/>
        </w:rPr>
        <w:t xml:space="preserve"> ، ج 3 ، ص 22 ، ح 2924 ؛ </w:t>
      </w:r>
      <w:r w:rsidR="00E3253D" w:rsidRPr="002F4D34">
        <w:rPr>
          <w:rStyle w:val="libFootnoteBoldChar"/>
          <w:rtl/>
        </w:rPr>
        <w:t>البحار</w:t>
      </w:r>
      <w:r w:rsidR="00E3253D" w:rsidRPr="005D642E">
        <w:rPr>
          <w:rtl/>
        </w:rPr>
        <w:t xml:space="preserve"> ، ج 6 ، ص 215 ، ح 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رَوَيْتَنَا </w:t>
      </w:r>
      <w:r w:rsidRPr="007C12DB">
        <w:rPr>
          <w:rStyle w:val="libFootnotenumChar"/>
          <w:rtl/>
        </w:rPr>
        <w:t>(1)</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(2)</w:t>
      </w:r>
      <w:r w:rsidRPr="005D642E">
        <w:rPr>
          <w:rtl/>
          <w:lang w:bidi="fa-IR"/>
        </w:rPr>
        <w:t xml:space="preserve"> : « أَدْخِلْهَا حَيْثُ مَا </w:t>
      </w:r>
      <w:r w:rsidRPr="007C12DB">
        <w:rPr>
          <w:rStyle w:val="libFootnotenumChar"/>
          <w:rtl/>
        </w:rPr>
        <w:t>(3)</w:t>
      </w:r>
      <w:r w:rsidRPr="005D642E">
        <w:rPr>
          <w:rtl/>
          <w:lang w:bidi="fa-IR"/>
        </w:rPr>
        <w:t xml:space="preserve"> أَمْكَنَ</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5135BE">
        <w:rPr>
          <w:rtl/>
        </w:rPr>
        <w:t>4386</w:t>
      </w:r>
      <w:r w:rsidRPr="00246318">
        <w:rPr>
          <w:rStyle w:val="libBold2Char"/>
          <w:rtl/>
        </w:rPr>
        <w:t xml:space="preserve"> / 9.</w:t>
      </w:r>
      <w:r w:rsidRPr="005D642E">
        <w:rPr>
          <w:rtl/>
          <w:lang w:bidi="fa-IR"/>
        </w:rPr>
        <w:t xml:space="preserve"> حُمَيْدُ بْنُ زِيَادٍ ، عَنِ الْحَسَنِ بْنِ مُحَمَّدٍ الْكِنْدِيِّ ، عَنْ غَيْرِ وَاحِدٍ </w:t>
      </w:r>
      <w:r w:rsidRPr="007C12DB">
        <w:rPr>
          <w:rStyle w:val="libFootnotenumChar"/>
          <w:rtl/>
        </w:rPr>
        <w:t>(5)</w:t>
      </w:r>
      <w:r w:rsidRPr="005D642E">
        <w:rPr>
          <w:rtl/>
          <w:lang w:bidi="fa-IR"/>
        </w:rPr>
        <w:t xml:space="preserve"> ، عَنْ أَبَانِ بْنِ عُثْمَانَ ، عَنْ عَبْدِ الرَّحْمنِ بْنِ أَبِي عَبْدِ اللهِ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الْجَرِيدَةِ تُوضَعُ فِي الْقَبْرِ</w:t>
      </w:r>
      <w:r>
        <w:rPr>
          <w:rtl/>
          <w:lang w:bidi="fa-IR"/>
        </w:rPr>
        <w:t>؟</w:t>
      </w:r>
    </w:p>
    <w:p w:rsidR="00E3253D" w:rsidRPr="005D642E" w:rsidRDefault="00E3253D" w:rsidP="00E3253D">
      <w:pPr>
        <w:pStyle w:val="libNormal"/>
        <w:rPr>
          <w:rtl/>
          <w:lang w:bidi="fa-IR"/>
        </w:rPr>
      </w:pPr>
      <w:r w:rsidRPr="005D642E">
        <w:rPr>
          <w:rtl/>
          <w:lang w:bidi="fa-IR"/>
        </w:rPr>
        <w:t xml:space="preserve">قَالَ : « لَا بَأْسَ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135BE">
        <w:rPr>
          <w:rtl/>
        </w:rPr>
        <w:t>4387</w:t>
      </w:r>
      <w:r w:rsidRPr="00246318">
        <w:rPr>
          <w:rStyle w:val="libBold2Char"/>
          <w:rtl/>
        </w:rPr>
        <w:t xml:space="preserve"> / 10.</w:t>
      </w:r>
      <w:r w:rsidRPr="005D642E">
        <w:rPr>
          <w:rtl/>
          <w:lang w:bidi="fa-IR"/>
        </w:rPr>
        <w:t xml:space="preserve"> عِدَّةٌ مِنْ أَصْحَابِنَا ، عَنْ سَهْلِ بْنِ زِيَادٍ ، عَنْ غَيْرِ وَاحِدٍ مِنْ أَصْحَابِنَا ، قَالُوا :</w:t>
      </w:r>
    </w:p>
    <w:p w:rsidR="00E3253D" w:rsidRPr="005D642E" w:rsidRDefault="00E3253D" w:rsidP="00E3253D">
      <w:pPr>
        <w:pStyle w:val="libNormal"/>
        <w:rPr>
          <w:rtl/>
          <w:lang w:bidi="fa-IR"/>
        </w:rPr>
      </w:pPr>
      <w:r w:rsidRPr="005D642E">
        <w:rPr>
          <w:rtl/>
          <w:lang w:bidi="fa-IR"/>
        </w:rPr>
        <w:t xml:space="preserve">قُلْنَا لَهُ : جُعِلْنَا فِدَاكَ </w:t>
      </w:r>
      <w:r w:rsidRPr="007C12DB">
        <w:rPr>
          <w:rStyle w:val="libFootnotenumChar"/>
          <w:rtl/>
        </w:rPr>
        <w:t>(8)</w:t>
      </w:r>
      <w:r w:rsidRPr="005D642E">
        <w:rPr>
          <w:rtl/>
          <w:lang w:bidi="fa-IR"/>
        </w:rPr>
        <w:t xml:space="preserve"> ، إِنْ لَمْ نَقْدِرْ </w:t>
      </w:r>
      <w:r w:rsidRPr="007C12DB">
        <w:rPr>
          <w:rStyle w:val="libFootnotenumChar"/>
          <w:rtl/>
        </w:rPr>
        <w:t>(9)</w:t>
      </w:r>
      <w:r w:rsidRPr="005D642E">
        <w:rPr>
          <w:rtl/>
          <w:lang w:bidi="fa-IR"/>
        </w:rPr>
        <w:t xml:space="preserve"> عَلَى الْجَرِيدَةِ</w:t>
      </w:r>
      <w:r>
        <w:rPr>
          <w:rtl/>
          <w:lang w:bidi="fa-IR"/>
        </w:rPr>
        <w:t>؟</w:t>
      </w:r>
      <w:r w:rsidRPr="005D642E">
        <w:rPr>
          <w:rtl/>
          <w:lang w:bidi="fa-IR"/>
        </w:rPr>
        <w:t xml:space="preserve"> فَقَالَ : « عُودَ السِّدْرِ</w:t>
      </w:r>
      <w:r>
        <w:rPr>
          <w:rtl/>
          <w:lang w:bidi="fa-IR"/>
        </w:rPr>
        <w:t xml:space="preserve"> ».</w:t>
      </w:r>
    </w:p>
    <w:p w:rsidR="00E3253D" w:rsidRPr="005D642E" w:rsidRDefault="00E3253D" w:rsidP="00E3253D">
      <w:pPr>
        <w:pStyle w:val="libNormal"/>
        <w:rPr>
          <w:rtl/>
          <w:lang w:bidi="fa-IR"/>
        </w:rPr>
      </w:pPr>
      <w:r w:rsidRPr="005D642E">
        <w:rPr>
          <w:rtl/>
          <w:lang w:bidi="fa-IR"/>
        </w:rPr>
        <w:t xml:space="preserve">قِيلَ </w:t>
      </w:r>
      <w:r w:rsidRPr="007C12DB">
        <w:rPr>
          <w:rStyle w:val="libFootnotenumChar"/>
          <w:rtl/>
        </w:rPr>
        <w:t>(10)</w:t>
      </w:r>
      <w:r w:rsidRPr="005D642E">
        <w:rPr>
          <w:rtl/>
          <w:lang w:bidi="fa-IR"/>
        </w:rPr>
        <w:t xml:space="preserve"> : فَإِنْ لَمْ نَقْدِرْ </w:t>
      </w:r>
      <w:r w:rsidRPr="007C12DB">
        <w:rPr>
          <w:rStyle w:val="libFootnotenumChar"/>
          <w:rtl/>
        </w:rPr>
        <w:t>(11)</w:t>
      </w:r>
      <w:r w:rsidRPr="005D642E">
        <w:rPr>
          <w:rtl/>
          <w:lang w:bidi="fa-IR"/>
        </w:rPr>
        <w:t xml:space="preserve"> عَلَى السِّدْرِ</w:t>
      </w:r>
      <w:r>
        <w:rPr>
          <w:rtl/>
          <w:lang w:bidi="fa-IR"/>
        </w:rPr>
        <w:t>؟</w:t>
      </w:r>
      <w:r w:rsidRPr="005D642E">
        <w:rPr>
          <w:rtl/>
          <w:lang w:bidi="fa-IR"/>
        </w:rPr>
        <w:t xml:space="preserve"> فَقَالَ </w:t>
      </w:r>
      <w:r w:rsidRPr="007C12DB">
        <w:rPr>
          <w:rStyle w:val="libFootnotenumChar"/>
          <w:rtl/>
        </w:rPr>
        <w:t>(12)</w:t>
      </w:r>
      <w:r w:rsidRPr="005D642E">
        <w:rPr>
          <w:rtl/>
          <w:lang w:bidi="fa-IR"/>
        </w:rPr>
        <w:t xml:space="preserve"> : « عُودَ </w:t>
      </w:r>
      <w:r w:rsidRPr="007C12DB">
        <w:rPr>
          <w:rStyle w:val="libFootnotenumChar"/>
          <w:rtl/>
        </w:rPr>
        <w:t>(13)</w:t>
      </w:r>
      <w:r w:rsidRPr="005D642E">
        <w:rPr>
          <w:rtl/>
          <w:lang w:bidi="fa-IR"/>
        </w:rPr>
        <w:t xml:space="preserve"> الْخِلَافِ </w:t>
      </w:r>
      <w:r w:rsidRPr="007C12DB">
        <w:rPr>
          <w:rStyle w:val="libFootnotenumChar"/>
          <w:rtl/>
        </w:rPr>
        <w:t>(14)</w:t>
      </w:r>
      <w:r>
        <w:rPr>
          <w:rtl/>
          <w:lang w:bidi="fa-IR"/>
        </w:rPr>
        <w:t xml:space="preserve"> ».</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 « ما روينا</w:t>
      </w:r>
      <w:r w:rsidR="00E3253D">
        <w:rPr>
          <w:rtl/>
        </w:rPr>
        <w:t xml:space="preserve"> ».</w:t>
      </w:r>
      <w:r w:rsidR="00E3253D" w:rsidRPr="005D642E">
        <w:rPr>
          <w:rtl/>
        </w:rPr>
        <w:t xml:space="preserve"> وفي الوافي : « ما رويناه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01E21" w:rsidTr="00D01E21">
        <w:tc>
          <w:tcPr>
            <w:tcW w:w="4006" w:type="dxa"/>
          </w:tcPr>
          <w:p w:rsidR="00D01E21" w:rsidRDefault="00D01E21" w:rsidP="00E3253D">
            <w:pPr>
              <w:pStyle w:val="libFootnote0"/>
              <w:rPr>
                <w:rStyle w:val="libFootnote0Char"/>
                <w:rtl/>
              </w:rPr>
            </w:pPr>
            <w:r w:rsidRPr="0042621E">
              <w:rPr>
                <w:rStyle w:val="libFootnote0Char"/>
                <w:rtl/>
              </w:rPr>
              <w:t>(2).</w:t>
            </w:r>
            <w:r w:rsidRPr="005D642E">
              <w:rPr>
                <w:rtl/>
              </w:rPr>
              <w:t xml:space="preserve"> في « بخ » </w:t>
            </w:r>
            <w:r w:rsidRPr="000D749A">
              <w:rPr>
                <w:rStyle w:val="libFootnoteBoldChar"/>
                <w:rtl/>
              </w:rPr>
              <w:t>والوافي</w:t>
            </w:r>
            <w:r w:rsidRPr="005D642E">
              <w:rPr>
                <w:rtl/>
              </w:rPr>
              <w:t xml:space="preserve"> : « فقال</w:t>
            </w:r>
            <w:r>
              <w:rPr>
                <w:rtl/>
              </w:rPr>
              <w:t xml:space="preserve"> ».</w:t>
            </w:r>
          </w:p>
        </w:tc>
        <w:tc>
          <w:tcPr>
            <w:tcW w:w="4006" w:type="dxa"/>
          </w:tcPr>
          <w:p w:rsidR="00D01E21" w:rsidRDefault="00D01E21" w:rsidP="00E3253D">
            <w:pPr>
              <w:pStyle w:val="libFootnote0"/>
              <w:rPr>
                <w:rStyle w:val="libFootnote0Char"/>
                <w:rtl/>
              </w:rPr>
            </w:pPr>
            <w:r w:rsidRPr="0042621E">
              <w:rPr>
                <w:rStyle w:val="libFootnote0Char"/>
                <w:rtl/>
              </w:rPr>
              <w:t>(3).</w:t>
            </w:r>
            <w:r w:rsidRPr="005D642E">
              <w:rPr>
                <w:rtl/>
              </w:rPr>
              <w:t xml:space="preserve"> في الوافي :</w:t>
            </w:r>
            <w:r>
              <w:rPr>
                <w:rtl/>
              </w:rPr>
              <w:t xml:space="preserve"> - </w:t>
            </w:r>
            <w:r w:rsidRPr="005D642E">
              <w:rPr>
                <w:rtl/>
              </w:rPr>
              <w:t>« ما</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327 ، ح 956 ، بسنده عن الكليني </w:t>
      </w:r>
      <w:r w:rsidR="00B25DBD">
        <w:rPr>
          <w:rFonts w:hint="cs"/>
          <w:rtl/>
        </w:rPr>
        <w:t>.</w:t>
      </w:r>
      <w:r w:rsidR="00E3253D" w:rsidRPr="002F4D34">
        <w:rPr>
          <w:rStyle w:val="libFootnoteBoldChar"/>
          <w:rtl/>
        </w:rPr>
        <w:t>الوافي</w:t>
      </w:r>
      <w:r w:rsidR="00E3253D" w:rsidRPr="005D642E">
        <w:rPr>
          <w:rtl/>
        </w:rPr>
        <w:t xml:space="preserve"> ، ج 24 ، ص 385 ، ح 24274 ؛ </w:t>
      </w:r>
      <w:r w:rsidR="00E3253D" w:rsidRPr="002F4D34">
        <w:rPr>
          <w:rStyle w:val="libFootnoteBoldChar"/>
          <w:rtl/>
        </w:rPr>
        <w:t>الوسائل</w:t>
      </w:r>
      <w:r w:rsidR="00E3253D" w:rsidRPr="005D642E">
        <w:rPr>
          <w:rtl/>
        </w:rPr>
        <w:t xml:space="preserve"> ، ج 3 ، ص 28 ، ح 2940.</w:t>
      </w:r>
      <w:r w:rsidR="00E3253D">
        <w:rPr>
          <w:rFonts w:hint="cs"/>
          <w:rtl/>
          <w:lang w:bidi="fa-IR"/>
        </w:rPr>
        <w:t xml:space="preserve"> </w:t>
      </w:r>
      <w:r w:rsidR="00AF7C9C">
        <w:rPr>
          <w:rFonts w:hint="cs"/>
          <w:rtl/>
          <w:lang w:bidi="fa-IR"/>
        </w:rPr>
        <w:t xml:space="preserve">                  </w:t>
      </w:r>
      <w:r w:rsidRPr="0042621E">
        <w:rPr>
          <w:rStyle w:val="libFootnote0Char"/>
          <w:rtl/>
        </w:rPr>
        <w:t>(5).</w:t>
      </w:r>
      <w:r w:rsidR="00E3253D" w:rsidRPr="005D642E">
        <w:rPr>
          <w:rtl/>
        </w:rPr>
        <w:t xml:space="preserve"> في الوافي : + « من أصحابنا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 « فلا بأس</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327 : « ظاهره تحقّق السنّة بمطلق الوضع في القبر ، ويمكن حمله على حال التقيّة ، كما مرّ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328 ، ح 958 ، بسنده عن الكليني. </w:t>
      </w:r>
      <w:r w:rsidR="00E3253D" w:rsidRPr="002F4D34">
        <w:rPr>
          <w:rStyle w:val="libFootnoteBoldChar"/>
          <w:rtl/>
        </w:rPr>
        <w:t>الفقيه</w:t>
      </w:r>
      <w:r w:rsidR="00E3253D" w:rsidRPr="005D642E">
        <w:rPr>
          <w:rtl/>
        </w:rPr>
        <w:t xml:space="preserve"> ، ج 1 ، ص 144 ، ح 403 ، مرسلاً </w:t>
      </w:r>
      <w:r w:rsidR="00DE6E8B">
        <w:rPr>
          <w:rFonts w:hint="cs"/>
          <w:rtl/>
        </w:rPr>
        <w:t>.</w:t>
      </w:r>
      <w:r w:rsidR="00E3253D" w:rsidRPr="002F4D34">
        <w:rPr>
          <w:rStyle w:val="libFootnoteBoldChar"/>
          <w:rtl/>
        </w:rPr>
        <w:t>الوافي</w:t>
      </w:r>
      <w:r w:rsidR="00E3253D" w:rsidRPr="005D642E">
        <w:rPr>
          <w:rtl/>
        </w:rPr>
        <w:t xml:space="preserve"> ، ج 24 ، ص 385 ، ح 24276 ؛ </w:t>
      </w:r>
      <w:r w:rsidR="00E3253D" w:rsidRPr="002F4D34">
        <w:rPr>
          <w:rStyle w:val="libFootnoteBoldChar"/>
          <w:rtl/>
        </w:rPr>
        <w:t>الوسائل</w:t>
      </w:r>
      <w:r w:rsidR="00E3253D" w:rsidRPr="005D642E">
        <w:rPr>
          <w:rtl/>
        </w:rPr>
        <w:t xml:space="preserve"> ، ج 3 ، ص 28 ، ح 2942.</w:t>
      </w:r>
    </w:p>
    <w:tbl>
      <w:tblPr>
        <w:tblStyle w:val="TableGrid"/>
        <w:bidiVisual/>
        <w:tblW w:w="0" w:type="auto"/>
        <w:tblLook w:val="04A0" w:firstRow="1" w:lastRow="0" w:firstColumn="1" w:lastColumn="0" w:noHBand="0" w:noVBand="1"/>
      </w:tblPr>
      <w:tblGrid>
        <w:gridCol w:w="3944"/>
        <w:gridCol w:w="4068"/>
      </w:tblGrid>
      <w:tr w:rsidR="00DE6E8B" w:rsidTr="00FE5E85">
        <w:tc>
          <w:tcPr>
            <w:tcW w:w="3944" w:type="dxa"/>
          </w:tcPr>
          <w:p w:rsidR="00DE6E8B" w:rsidRDefault="00DE6E8B" w:rsidP="00E3253D">
            <w:pPr>
              <w:pStyle w:val="libFootnote0"/>
              <w:rPr>
                <w:rStyle w:val="libFootnote0Char"/>
                <w:rtl/>
              </w:rPr>
            </w:pPr>
            <w:r w:rsidRPr="0042621E">
              <w:rPr>
                <w:rStyle w:val="libFootnote0Char"/>
                <w:rtl/>
              </w:rPr>
              <w:t>(8).</w:t>
            </w:r>
            <w:r w:rsidRPr="005D642E">
              <w:rPr>
                <w:rtl/>
              </w:rPr>
              <w:t xml:space="preserve"> في « بف » : « فداكم</w:t>
            </w:r>
            <w:r>
              <w:rPr>
                <w:rtl/>
              </w:rPr>
              <w:t xml:space="preserve"> ».</w:t>
            </w:r>
          </w:p>
        </w:tc>
        <w:tc>
          <w:tcPr>
            <w:tcW w:w="4068" w:type="dxa"/>
          </w:tcPr>
          <w:p w:rsidR="00DE6E8B" w:rsidRDefault="00DE6E8B" w:rsidP="00E3253D">
            <w:pPr>
              <w:pStyle w:val="libFootnote0"/>
              <w:rPr>
                <w:rStyle w:val="libFootnote0Char"/>
                <w:rtl/>
              </w:rPr>
            </w:pPr>
            <w:r w:rsidRPr="0042621E">
              <w:rPr>
                <w:rStyle w:val="libFootnote0Char"/>
                <w:rtl/>
              </w:rPr>
              <w:t>(9).</w:t>
            </w:r>
            <w:r w:rsidRPr="005D642E">
              <w:rPr>
                <w:rtl/>
              </w:rPr>
              <w:t xml:space="preserve"> في « جح » : « لم يقدر</w:t>
            </w:r>
            <w:r>
              <w:rPr>
                <w:rtl/>
              </w:rPr>
              <w:t xml:space="preserve"> ».</w:t>
            </w:r>
          </w:p>
        </w:tc>
      </w:tr>
      <w:tr w:rsidR="00DE6E8B" w:rsidTr="00FE5E85">
        <w:tc>
          <w:tcPr>
            <w:tcW w:w="3944" w:type="dxa"/>
          </w:tcPr>
          <w:p w:rsidR="00DE6E8B" w:rsidRDefault="00DE6E8B" w:rsidP="00E3253D">
            <w:pPr>
              <w:pStyle w:val="libFootnote0"/>
              <w:rPr>
                <w:rStyle w:val="libFootnote0Char"/>
                <w:rtl/>
              </w:rPr>
            </w:pPr>
            <w:r w:rsidRPr="0042621E">
              <w:rPr>
                <w:rStyle w:val="libFootnote0Char"/>
                <w:rtl/>
              </w:rPr>
              <w:t>(10).</w:t>
            </w:r>
            <w:r w:rsidR="00FE5E85">
              <w:rPr>
                <w:rtl/>
              </w:rPr>
              <w:t xml:space="preserve"> في</w:t>
            </w:r>
            <w:r>
              <w:rPr>
                <w:rtl/>
              </w:rPr>
              <w:t>«غ</w:t>
            </w:r>
            <w:r w:rsidR="00FE5E85">
              <w:rPr>
                <w:rtl/>
              </w:rPr>
              <w:t>» : «</w:t>
            </w:r>
            <w:r w:rsidRPr="005D642E">
              <w:rPr>
                <w:rtl/>
              </w:rPr>
              <w:t>وقيل</w:t>
            </w:r>
            <w:r>
              <w:rPr>
                <w:rtl/>
              </w:rPr>
              <w:t>».</w:t>
            </w:r>
            <w:r w:rsidR="00FE5E85">
              <w:rPr>
                <w:rtl/>
              </w:rPr>
              <w:t>وفي التهذيب:«</w:t>
            </w:r>
            <w:r w:rsidRPr="005D642E">
              <w:rPr>
                <w:rtl/>
              </w:rPr>
              <w:t>قلت</w:t>
            </w:r>
            <w:r>
              <w:rPr>
                <w:rtl/>
              </w:rPr>
              <w:t>».</w:t>
            </w:r>
          </w:p>
        </w:tc>
        <w:tc>
          <w:tcPr>
            <w:tcW w:w="4068" w:type="dxa"/>
          </w:tcPr>
          <w:p w:rsidR="00DE6E8B" w:rsidRDefault="00DE6E8B" w:rsidP="00E3253D">
            <w:pPr>
              <w:pStyle w:val="libFootnote0"/>
              <w:rPr>
                <w:rStyle w:val="libFootnote0Char"/>
                <w:rtl/>
              </w:rPr>
            </w:pPr>
            <w:r w:rsidRPr="0042621E">
              <w:rPr>
                <w:rStyle w:val="libFootnote0Char"/>
                <w:rtl/>
              </w:rPr>
              <w:t>(11).</w:t>
            </w:r>
            <w:r w:rsidR="00137067">
              <w:rPr>
                <w:rtl/>
              </w:rPr>
              <w:t>في</w:t>
            </w:r>
            <w:r>
              <w:rPr>
                <w:rtl/>
              </w:rPr>
              <w:t>«بث</w:t>
            </w:r>
            <w:r w:rsidR="00137067">
              <w:rPr>
                <w:rtl/>
              </w:rPr>
              <w:t>»:</w:t>
            </w:r>
            <w:r>
              <w:rPr>
                <w:rtl/>
              </w:rPr>
              <w:t>«</w:t>
            </w:r>
            <w:r w:rsidRPr="005D642E">
              <w:rPr>
                <w:rtl/>
              </w:rPr>
              <w:t>لم تقدر</w:t>
            </w:r>
            <w:r>
              <w:rPr>
                <w:rtl/>
              </w:rPr>
              <w:t>».</w:t>
            </w:r>
            <w:r w:rsidR="00137067">
              <w:rPr>
                <w:rtl/>
              </w:rPr>
              <w:t>وفي«جح،جس»:«لم</w:t>
            </w:r>
            <w:r w:rsidR="00137067">
              <w:rPr>
                <w:rFonts w:hint="cs"/>
                <w:rtl/>
              </w:rPr>
              <w:t xml:space="preserve"> </w:t>
            </w:r>
            <w:r w:rsidRPr="005D642E">
              <w:rPr>
                <w:rtl/>
              </w:rPr>
              <w:t>يقدر</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حاشية « بح »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 العُود » : كلّ خشبة دقّت. وقيل : العُود : خشبة كلّ شجرة ، دقّ أو غلظ. راجع : </w:t>
      </w:r>
      <w:r w:rsidR="00E3253D" w:rsidRPr="002F4D34">
        <w:rPr>
          <w:rStyle w:val="libFootnoteBoldChar"/>
          <w:rtl/>
        </w:rPr>
        <w:t>لسان العرب</w:t>
      </w:r>
      <w:r w:rsidR="00E3253D" w:rsidRPr="005D642E">
        <w:rPr>
          <w:rtl/>
        </w:rPr>
        <w:t xml:space="preserve"> ، ج 3 ، ص 319 ( عود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 الخِلاف » ، ككتاب : شجر الصَفصات ، وقيل : صنف من الصَفصاف وليس به ، سمّي خلافاً لأنّ السيل يجي‌ء به سبياً ، فينبت من خلاف أصله. راجع : </w:t>
      </w:r>
      <w:r w:rsidR="00E3253D" w:rsidRPr="002F4D34">
        <w:rPr>
          <w:rStyle w:val="libFootnoteBoldChar"/>
          <w:rtl/>
        </w:rPr>
        <w:t>المصباح المنير</w:t>
      </w:r>
      <w:r w:rsidR="00E3253D" w:rsidRPr="005D642E">
        <w:rPr>
          <w:rtl/>
        </w:rPr>
        <w:t xml:space="preserve"> ، ص 179 ؛ </w:t>
      </w:r>
      <w:r w:rsidR="00E3253D" w:rsidRPr="002F4D34">
        <w:rPr>
          <w:rStyle w:val="libFootnoteBoldChar"/>
          <w:rtl/>
        </w:rPr>
        <w:t>القاموس المحيط</w:t>
      </w:r>
      <w:r w:rsidR="00E3253D" w:rsidRPr="005D642E">
        <w:rPr>
          <w:rtl/>
        </w:rPr>
        <w:t xml:space="preserve"> ، ج 2 ، ص 1078 ( خلف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2F4D34">
        <w:rPr>
          <w:rStyle w:val="libFootnoteBoldChar"/>
          <w:rtl/>
        </w:rPr>
        <w:t>التهذيب</w:t>
      </w:r>
      <w:r w:rsidR="00E3253D" w:rsidRPr="005D642E">
        <w:rPr>
          <w:rtl/>
        </w:rPr>
        <w:t xml:space="preserve"> ، ج 1 ، ص 294 ، ح 859 ، بسنده عن الكليني </w:t>
      </w:r>
      <w:r w:rsidR="00642762">
        <w:rPr>
          <w:rFonts w:hint="cs"/>
          <w:rtl/>
        </w:rPr>
        <w:t>.</w:t>
      </w:r>
      <w:r w:rsidR="00E3253D" w:rsidRPr="002F4D34">
        <w:rPr>
          <w:rStyle w:val="libFootnoteBoldChar"/>
          <w:rtl/>
        </w:rPr>
        <w:t>الوافي</w:t>
      </w:r>
      <w:r w:rsidR="00E3253D" w:rsidRPr="005D642E">
        <w:rPr>
          <w:rtl/>
        </w:rPr>
        <w:t xml:space="preserve"> ، ج 24 ، ص 386 ، ح 24278 ؛ </w:t>
      </w:r>
      <w:r w:rsidR="00E3253D" w:rsidRPr="002F4D34">
        <w:rPr>
          <w:rStyle w:val="libFootnoteBoldChar"/>
          <w:rtl/>
        </w:rPr>
        <w:t>الوسائل</w:t>
      </w:r>
      <w:r w:rsidR="00E3253D" w:rsidRPr="005D642E">
        <w:rPr>
          <w:rtl/>
        </w:rPr>
        <w:t xml:space="preserve"> ، ج 3 ، ص 24 ، ح 2931.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135BE">
        <w:rPr>
          <w:rtl/>
        </w:rPr>
        <w:t>4388</w:t>
      </w:r>
      <w:r w:rsidRPr="00246318">
        <w:rPr>
          <w:rStyle w:val="libBold2Char"/>
          <w:rtl/>
        </w:rPr>
        <w:t xml:space="preserve"> / 11.</w:t>
      </w:r>
      <w:r w:rsidRPr="005D642E">
        <w:rPr>
          <w:rtl/>
          <w:lang w:bidi="fa-IR"/>
        </w:rPr>
        <w:t xml:space="preserve"> عَلِيُّ بْنُ إِبْرَاهِيمَ ، عَنْ عَلِيِّ بْنِ مُحَمَّدٍ الْقَاسَانِيِّ </w:t>
      </w:r>
      <w:r w:rsidRPr="007C12DB">
        <w:rPr>
          <w:rStyle w:val="libFootnotenumChar"/>
          <w:rtl/>
        </w:rPr>
        <w:t>(1)</w:t>
      </w:r>
      <w:r w:rsidRPr="005D642E">
        <w:rPr>
          <w:rtl/>
          <w:lang w:bidi="fa-IR"/>
        </w:rPr>
        <w:t xml:space="preserve"> ، عَنْ مُحَمَّدِ بْنِ مُحَمَّدٍ ، عَنْ</w:t>
      </w:r>
      <w:r>
        <w:rPr>
          <w:rFonts w:hint="cs"/>
          <w:rtl/>
          <w:lang w:bidi="fa-IR"/>
        </w:rPr>
        <w:t xml:space="preserve"> </w:t>
      </w:r>
      <w:r w:rsidRPr="005D642E">
        <w:rPr>
          <w:rtl/>
          <w:lang w:bidi="fa-IR"/>
        </w:rPr>
        <w:t>عَلِيِّ بْنِ بِلَالٍ :</w:t>
      </w:r>
    </w:p>
    <w:p w:rsidR="00E3253D" w:rsidRPr="005D642E" w:rsidRDefault="00E3253D" w:rsidP="00E3253D">
      <w:pPr>
        <w:pStyle w:val="libNormal"/>
        <w:rPr>
          <w:rtl/>
          <w:lang w:bidi="fa-IR"/>
        </w:rPr>
      </w:pPr>
      <w:r w:rsidRPr="005D642E">
        <w:rPr>
          <w:rtl/>
          <w:lang w:bidi="fa-IR"/>
        </w:rPr>
        <w:t xml:space="preserve">أَنَّهُ كَتَبَ إِلَيْهِ يَسْأَلُهُ </w:t>
      </w:r>
      <w:r w:rsidRPr="007C12DB">
        <w:rPr>
          <w:rStyle w:val="libFootnotenumChar"/>
          <w:rtl/>
        </w:rPr>
        <w:t>(2)</w:t>
      </w:r>
      <w:r w:rsidRPr="005D642E">
        <w:rPr>
          <w:rtl/>
          <w:lang w:bidi="fa-IR"/>
        </w:rPr>
        <w:t xml:space="preserve"> عَنِ الْجَرِيدَةِ : إِذَا لَمْ نَجِدْ </w:t>
      </w:r>
      <w:r w:rsidRPr="007C12DB">
        <w:rPr>
          <w:rStyle w:val="libFootnotenumChar"/>
          <w:rtl/>
        </w:rPr>
        <w:t>(3)</w:t>
      </w:r>
      <w:r w:rsidRPr="005D642E">
        <w:rPr>
          <w:rtl/>
          <w:lang w:bidi="fa-IR"/>
        </w:rPr>
        <w:t xml:space="preserve"> نَجْعَلُ </w:t>
      </w:r>
      <w:r w:rsidRPr="007C12DB">
        <w:rPr>
          <w:rStyle w:val="libFootnotenumChar"/>
          <w:rtl/>
        </w:rPr>
        <w:t>(4)</w:t>
      </w:r>
      <w:r w:rsidRPr="005D642E">
        <w:rPr>
          <w:rtl/>
          <w:lang w:bidi="fa-IR"/>
        </w:rPr>
        <w:t xml:space="preserve"> بَدَلَهَا </w:t>
      </w:r>
      <w:r w:rsidRPr="007C12DB">
        <w:rPr>
          <w:rStyle w:val="libFootnotenumChar"/>
          <w:rtl/>
        </w:rPr>
        <w:t>(5)</w:t>
      </w:r>
      <w:r w:rsidRPr="005D642E">
        <w:rPr>
          <w:rtl/>
          <w:lang w:bidi="fa-IR"/>
        </w:rPr>
        <w:t xml:space="preserve"> غَيْرَهَا فِي مَوْضِعٍ لَا يُمْكِنُ النَّخْلُ</w:t>
      </w:r>
      <w:r>
        <w:rPr>
          <w:rtl/>
          <w:lang w:bidi="fa-IR"/>
        </w:rPr>
        <w:t>؟</w:t>
      </w:r>
    </w:p>
    <w:p w:rsidR="00E3253D" w:rsidRPr="005D642E" w:rsidRDefault="00E3253D" w:rsidP="00E3253D">
      <w:pPr>
        <w:pStyle w:val="libNormal"/>
        <w:rPr>
          <w:rtl/>
          <w:lang w:bidi="fa-IR"/>
        </w:rPr>
      </w:pPr>
      <w:r w:rsidRPr="005D642E">
        <w:rPr>
          <w:rtl/>
          <w:lang w:bidi="fa-IR"/>
        </w:rPr>
        <w:t xml:space="preserve">فَكَتَبَ : « يَجُوزُ إِذَا أُعْوِزَتِ الْجَرِيدَةُ </w:t>
      </w:r>
      <w:r w:rsidRPr="007C12DB">
        <w:rPr>
          <w:rStyle w:val="libFootnotenumChar"/>
          <w:rtl/>
        </w:rPr>
        <w:t>(6)</w:t>
      </w:r>
      <w:r w:rsidRPr="005D642E">
        <w:rPr>
          <w:rtl/>
          <w:lang w:bidi="fa-IR"/>
        </w:rPr>
        <w:t xml:space="preserve"> ، وَالْجَرِيدَةُ أَفْضَلُ ، وَبِهِ جَاءَتِ الرِّوَايَةُ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642762" w:rsidP="00E3253D">
      <w:pPr>
        <w:pStyle w:val="libNormal"/>
        <w:rPr>
          <w:rtl/>
          <w:lang w:bidi="fa-IR"/>
        </w:rPr>
      </w:pPr>
      <w:r>
        <w:rPr>
          <w:rFonts w:hint="cs"/>
          <w:rtl/>
          <w:lang w:bidi="fa-IR"/>
        </w:rPr>
        <w:t xml:space="preserve">* </w:t>
      </w:r>
      <w:r w:rsidR="00E3253D" w:rsidRPr="005D642E">
        <w:rPr>
          <w:rtl/>
          <w:lang w:bidi="fa-IR"/>
        </w:rPr>
        <w:t xml:space="preserve">وَرَوى عَلِيُّ بْنُ إِبْرَاهِيمَ فِي رِوَايَةٍ أُخْرى ، قَالَ : « يُجْعَلُ </w:t>
      </w:r>
      <w:r w:rsidR="00E3253D" w:rsidRPr="007C12DB">
        <w:rPr>
          <w:rStyle w:val="libFootnotenumChar"/>
          <w:rtl/>
        </w:rPr>
        <w:t>(9)</w:t>
      </w:r>
      <w:r w:rsidR="00E3253D" w:rsidRPr="005D642E">
        <w:rPr>
          <w:rtl/>
          <w:lang w:bidi="fa-IR"/>
        </w:rPr>
        <w:t xml:space="preserve"> بَدَلَهَا عُودُ الرُّمَّانِ</w:t>
      </w:r>
      <w:r w:rsidR="00E3253D">
        <w:rPr>
          <w:rtl/>
          <w:lang w:bidi="fa-IR"/>
        </w:rPr>
        <w:t xml:space="preserve"> ».</w:t>
      </w:r>
      <w:r w:rsidR="00E3253D" w:rsidRPr="005D642E">
        <w:rPr>
          <w:rtl/>
          <w:lang w:bidi="fa-IR"/>
        </w:rPr>
        <w:t xml:space="preserve"> </w:t>
      </w:r>
      <w:r w:rsidR="00E3253D" w:rsidRPr="007C12DB">
        <w:rPr>
          <w:rStyle w:val="libFootnotenumChar"/>
          <w:rtl/>
        </w:rPr>
        <w:t>(10)</w:t>
      </w:r>
      <w:r w:rsidR="00E3253D" w:rsidRPr="005D642E">
        <w:rPr>
          <w:rtl/>
          <w:lang w:bidi="fa-IR"/>
        </w:rPr>
        <w:t xml:space="preserve"> ‌</w:t>
      </w:r>
    </w:p>
    <w:p w:rsidR="00E3253D" w:rsidRPr="005D642E" w:rsidRDefault="00E3253D" w:rsidP="00E3253D">
      <w:pPr>
        <w:pStyle w:val="libNormal"/>
        <w:rPr>
          <w:rtl/>
          <w:lang w:bidi="fa-IR"/>
        </w:rPr>
      </w:pPr>
      <w:r w:rsidRPr="005135BE">
        <w:rPr>
          <w:rtl/>
        </w:rPr>
        <w:t>4389</w:t>
      </w:r>
      <w:r w:rsidRPr="00246318">
        <w:rPr>
          <w:rStyle w:val="libBold2Char"/>
          <w:rtl/>
        </w:rPr>
        <w:t xml:space="preserve"> / 12.</w:t>
      </w:r>
      <w:r w:rsidRPr="005D642E">
        <w:rPr>
          <w:rtl/>
          <w:lang w:bidi="fa-IR"/>
        </w:rPr>
        <w:t xml:space="preserve"> عَلِيُّ بْنُ إِبْرَاهِيمَ ، عَنْ أَبِيهِ ، عَنِ ابْنِ أَبِي عُمَيْرٍ ، عَنْ جَمِيلٍ ، قَالَ :</w:t>
      </w:r>
    </w:p>
    <w:p w:rsidR="00E3253D" w:rsidRPr="005D642E" w:rsidRDefault="00E3253D" w:rsidP="00E3253D">
      <w:pPr>
        <w:pStyle w:val="libNormal"/>
        <w:rPr>
          <w:rtl/>
          <w:lang w:bidi="fa-IR"/>
        </w:rPr>
      </w:pPr>
      <w:r w:rsidRPr="005D642E">
        <w:rPr>
          <w:rtl/>
          <w:lang w:bidi="fa-IR"/>
        </w:rPr>
        <w:t>سَأَلْتُهُ عَنِ الْجَرِيدَةِ : تُوضَعُ مِنْ دُونِ الثِّيَابِ ، أَوْ مِنْ فَوْقِهَا</w:t>
      </w:r>
      <w:r>
        <w:rPr>
          <w:rtl/>
          <w:lang w:bidi="fa-IR"/>
        </w:rPr>
        <w:t>؟</w:t>
      </w:r>
    </w:p>
    <w:p w:rsidR="00E3253D" w:rsidRPr="005D642E" w:rsidRDefault="00E3253D" w:rsidP="00E3253D">
      <w:pPr>
        <w:pStyle w:val="libNormal"/>
        <w:rPr>
          <w:rtl/>
          <w:lang w:bidi="fa-IR"/>
        </w:rPr>
      </w:pPr>
      <w:r w:rsidRPr="005D642E">
        <w:rPr>
          <w:rtl/>
          <w:lang w:bidi="fa-IR"/>
        </w:rPr>
        <w:t xml:space="preserve">قَالَ : « فَوْقَ الْقَمِيصِ وَدُونَ </w:t>
      </w:r>
      <w:r w:rsidRPr="007C12DB">
        <w:rPr>
          <w:rStyle w:val="libFootnotenumChar"/>
          <w:rtl/>
        </w:rPr>
        <w:t>(11)</w:t>
      </w:r>
      <w:r w:rsidRPr="005D642E">
        <w:rPr>
          <w:rtl/>
          <w:lang w:bidi="fa-IR"/>
        </w:rPr>
        <w:t xml:space="preserve"> الْخَاصِرَةِ </w:t>
      </w:r>
      <w:r w:rsidRPr="007C12DB">
        <w:rPr>
          <w:rStyle w:val="libFootnotenumChar"/>
          <w:rtl/>
        </w:rPr>
        <w:t>(12)</w:t>
      </w:r>
      <w:r>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42762" w:rsidTr="00642762">
        <w:tc>
          <w:tcPr>
            <w:tcW w:w="4006" w:type="dxa"/>
          </w:tcPr>
          <w:p w:rsidR="00642762" w:rsidRDefault="00642762" w:rsidP="00E3253D">
            <w:pPr>
              <w:pStyle w:val="libFootnote0"/>
              <w:rPr>
                <w:rStyle w:val="libFootnote0Char"/>
                <w:rtl/>
              </w:rPr>
            </w:pPr>
            <w:r w:rsidRPr="0042621E">
              <w:rPr>
                <w:rStyle w:val="libFootnote0Char"/>
                <w:rtl/>
              </w:rPr>
              <w:t>(1).</w:t>
            </w:r>
            <w:r>
              <w:rPr>
                <w:rtl/>
              </w:rPr>
              <w:t xml:space="preserve"> </w:t>
            </w:r>
            <w:r w:rsidRPr="005D642E">
              <w:rPr>
                <w:rtl/>
              </w:rPr>
              <w:t>في « بس » : « القاشاني</w:t>
            </w:r>
            <w:r>
              <w:rPr>
                <w:rtl/>
              </w:rPr>
              <w:t xml:space="preserve"> ».</w:t>
            </w:r>
          </w:p>
        </w:tc>
        <w:tc>
          <w:tcPr>
            <w:tcW w:w="4006" w:type="dxa"/>
          </w:tcPr>
          <w:p w:rsidR="00642762" w:rsidRDefault="00642762" w:rsidP="00E3253D">
            <w:pPr>
              <w:pStyle w:val="libFootnote0"/>
              <w:rPr>
                <w:rStyle w:val="libFootnote0Char"/>
                <w:rtl/>
              </w:rPr>
            </w:pPr>
            <w:r w:rsidRPr="0042621E">
              <w:rPr>
                <w:rStyle w:val="libFootnote0Char"/>
                <w:rtl/>
              </w:rPr>
              <w:t>(2).</w:t>
            </w:r>
            <w:r w:rsidRPr="005D642E">
              <w:rPr>
                <w:rtl/>
              </w:rPr>
              <w:t xml:space="preserve"> في « بف » : « ليسأله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جس » والوسائل : « لم يجد</w:t>
      </w:r>
      <w:r w:rsidR="00E3253D">
        <w:rPr>
          <w:rtl/>
        </w:rPr>
        <w:t xml:space="preserve"> ».</w:t>
      </w:r>
      <w:r w:rsidR="00E3253D" w:rsidRPr="005D642E">
        <w:rPr>
          <w:rtl/>
        </w:rPr>
        <w:t xml:space="preserve"> وفي « بخ » : « لم تجد</w:t>
      </w:r>
      <w:r w:rsidR="00E3253D">
        <w:rPr>
          <w:rtl/>
        </w:rPr>
        <w:t xml:space="preserve"> ».</w:t>
      </w:r>
      <w:r w:rsidR="00E3253D" w:rsidRPr="005D642E">
        <w:rPr>
          <w:rtl/>
        </w:rPr>
        <w:t xml:space="preserve"> وفي « جن » : « لم تجدها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والوسائل : « يجعل</w:t>
      </w:r>
      <w:r w:rsidR="00E3253D">
        <w:rPr>
          <w:rtl/>
        </w:rPr>
        <w:t xml:space="preserve"> ». وفي « بح » : « أ</w:t>
      </w:r>
      <w:r w:rsidR="00E3253D" w:rsidRPr="005D642E">
        <w:rPr>
          <w:rtl/>
        </w:rPr>
        <w:t>نجعل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w:t>
      </w:r>
      <w:r w:rsidR="00E3253D">
        <w:rPr>
          <w:rtl/>
        </w:rPr>
        <w:t xml:space="preserve"> </w:t>
      </w:r>
      <w:r w:rsidR="007642BC">
        <w:rPr>
          <w:rtl/>
        </w:rPr>
        <w:t>-</w:t>
      </w:r>
      <w:r w:rsidR="00E3253D">
        <w:rPr>
          <w:rtl/>
        </w:rPr>
        <w:t xml:space="preserve"> </w:t>
      </w:r>
      <w:r w:rsidR="00E3253D" w:rsidRPr="005D642E">
        <w:rPr>
          <w:rtl/>
        </w:rPr>
        <w:t>« بدلها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اعْوِزَت الجريدة » ، أي لم يُقْدَر عليها مع الاحتياج إليها ، من قولهم : أعوزه الشي‌ء ، إذا احتاج إليه فلم يقدر عليه. ونقل عن ابن القطّاع أنّه قال : « أعوز الشي‌ء ، أي تعذّر » فعليه الفعل معلوم. راجع : </w:t>
      </w:r>
      <w:r w:rsidR="00E3253D" w:rsidRPr="002F4D34">
        <w:rPr>
          <w:rStyle w:val="libFootnoteBoldChar"/>
          <w:rtl/>
        </w:rPr>
        <w:t>الصحاح</w:t>
      </w:r>
      <w:r w:rsidR="00E3253D" w:rsidRPr="005D642E">
        <w:rPr>
          <w:rtl/>
        </w:rPr>
        <w:t xml:space="preserve"> ، ج 3 ، ص 888 ؛ </w:t>
      </w:r>
      <w:r w:rsidR="00E3253D" w:rsidRPr="002F4D34">
        <w:rPr>
          <w:rStyle w:val="libFootnoteBoldChar"/>
          <w:rtl/>
        </w:rPr>
        <w:t>تاج العروس</w:t>
      </w:r>
      <w:r w:rsidR="00E3253D" w:rsidRPr="005D642E">
        <w:rPr>
          <w:rtl/>
        </w:rPr>
        <w:t xml:space="preserve"> ، ج 15 ، ص 252 ( عوز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وبه جاءت الرواية ؛ يعني عن رسول الله </w:t>
      </w:r>
      <w:r w:rsidRPr="001567DB">
        <w:rPr>
          <w:rStyle w:val="libFootnoteAlaemChar"/>
          <w:rtl/>
        </w:rPr>
        <w:t>صلى‌الله‌عليه‌وآله</w:t>
      </w:r>
      <w:r w:rsidR="00E3253D">
        <w:rPr>
          <w:rtl/>
        </w:rPr>
        <w:t xml:space="preserve"> ».</w:t>
      </w:r>
    </w:p>
    <w:p w:rsidR="00E3253D" w:rsidRPr="005D642E" w:rsidRDefault="0042621E" w:rsidP="00A30548">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294 ، ح 860 ، معلّقاً عن عليّ بن إبراهيم. </w:t>
      </w:r>
      <w:r w:rsidR="00E3253D" w:rsidRPr="002F4D34">
        <w:rPr>
          <w:rStyle w:val="libFootnoteBoldChar"/>
          <w:rtl/>
        </w:rPr>
        <w:t>الفقيه</w:t>
      </w:r>
      <w:r w:rsidR="00E3253D" w:rsidRPr="005D642E">
        <w:rPr>
          <w:rtl/>
        </w:rPr>
        <w:t xml:space="preserve"> ، ج 1 ، ص 144 ، ح 404 ، معلّقاً عن عليّ بن بلال ، عن أبي الحسن الثالث </w:t>
      </w:r>
      <w:r w:rsidR="00E3253D" w:rsidRPr="001567DB">
        <w:rPr>
          <w:rStyle w:val="libFootnoteAlaemChar"/>
          <w:rtl/>
        </w:rPr>
        <w:t>عليه‌السلام</w:t>
      </w:r>
      <w:r w:rsidR="00E3253D" w:rsidRPr="005D642E">
        <w:rPr>
          <w:rtl/>
        </w:rPr>
        <w:t xml:space="preserve"> ، مع اختلاف </w:t>
      </w:r>
      <w:r w:rsidR="001567DB">
        <w:rPr>
          <w:rFonts w:hint="cs"/>
          <w:rtl/>
        </w:rPr>
        <w:t>.</w:t>
      </w:r>
      <w:r w:rsidR="00E3253D" w:rsidRPr="002F4D34">
        <w:rPr>
          <w:rStyle w:val="libFootnoteBoldChar"/>
          <w:rtl/>
        </w:rPr>
        <w:t>الوافي</w:t>
      </w:r>
      <w:r w:rsidR="00E3253D" w:rsidRPr="005D642E">
        <w:rPr>
          <w:rtl/>
        </w:rPr>
        <w:t xml:space="preserve"> ، ج 24 ، ص 386 ، ح 24279 ؛ </w:t>
      </w:r>
      <w:r w:rsidR="00E3253D" w:rsidRPr="002F4D34">
        <w:rPr>
          <w:rStyle w:val="libFootnoteBoldChar"/>
          <w:rtl/>
        </w:rPr>
        <w:t>الوسائل</w:t>
      </w:r>
      <w:r w:rsidR="00E3253D" w:rsidRPr="005D642E">
        <w:rPr>
          <w:rtl/>
        </w:rPr>
        <w:t xml:space="preserve"> ، ج 3 ، ص 24 ، ح 2930.</w:t>
      </w:r>
      <w:r w:rsidR="00A30548">
        <w:rPr>
          <w:rFonts w:hint="cs"/>
          <w:rtl/>
        </w:rPr>
        <w:t xml:space="preserve">                   </w:t>
      </w:r>
      <w:r w:rsidRPr="0042621E">
        <w:rPr>
          <w:rStyle w:val="libFootnote0Char"/>
          <w:rtl/>
        </w:rPr>
        <w:t>(9).</w:t>
      </w:r>
      <w:r w:rsidR="00E3253D" w:rsidRPr="005D642E">
        <w:rPr>
          <w:rtl/>
        </w:rPr>
        <w:t xml:space="preserve"> في « بث » : « تجعل</w:t>
      </w:r>
      <w:r w:rsidR="00E3253D">
        <w:rPr>
          <w:rtl/>
        </w:rPr>
        <w:t xml:space="preserve"> ».</w:t>
      </w:r>
    </w:p>
    <w:p w:rsidR="00E3253D" w:rsidRPr="005D642E" w:rsidRDefault="0042621E" w:rsidP="00B34A2B">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294 ، ح 861 ، معلّقاً عن عليّ بن إبراهيم </w:t>
      </w:r>
      <w:r w:rsidR="00B34A2B">
        <w:rPr>
          <w:rFonts w:hint="cs"/>
          <w:rtl/>
        </w:rPr>
        <w:t>.</w:t>
      </w:r>
      <w:r w:rsidR="00E3253D" w:rsidRPr="002F4D34">
        <w:rPr>
          <w:rStyle w:val="libFootnoteBoldChar"/>
          <w:rtl/>
        </w:rPr>
        <w:t>الوافي</w:t>
      </w:r>
      <w:r w:rsidR="00E3253D" w:rsidRPr="005D642E">
        <w:rPr>
          <w:rtl/>
        </w:rPr>
        <w:t xml:space="preserve"> ، ج 24 ، ص 386 ، ح 24280 ؛ </w:t>
      </w:r>
      <w:r w:rsidR="00E3253D" w:rsidRPr="002F4D34">
        <w:rPr>
          <w:rStyle w:val="libFootnoteBoldChar"/>
          <w:rtl/>
        </w:rPr>
        <w:t>الوسائل</w:t>
      </w:r>
      <w:r w:rsidR="00E3253D" w:rsidRPr="005D642E">
        <w:rPr>
          <w:rtl/>
        </w:rPr>
        <w:t xml:space="preserve"> ، ج 3 ، ص 25 ، ح 2932.</w:t>
      </w:r>
      <w:r w:rsidR="00B34A2B">
        <w:rPr>
          <w:rFonts w:hint="cs"/>
          <w:rtl/>
        </w:rPr>
        <w:t xml:space="preserve">      </w:t>
      </w:r>
      <w:r w:rsidRPr="0042621E">
        <w:rPr>
          <w:rStyle w:val="libFootnote0Char"/>
          <w:rtl/>
        </w:rPr>
        <w:t>(11).</w:t>
      </w:r>
      <w:r w:rsidR="00E3253D" w:rsidRPr="005D642E">
        <w:rPr>
          <w:rtl/>
        </w:rPr>
        <w:t xml:space="preserve"> في « بح » : « دون » بدون الواو.</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 الخاصِرَةُ » : ما بين الحَرْقَفَة والقُصَيْرى. والحرقفة : رأس الوَرِك ، والقُصيرى : أسفل الأضلاع. وقيل غير ذلك. راجع : </w:t>
      </w:r>
      <w:r w:rsidR="00E3253D" w:rsidRPr="002F4D34">
        <w:rPr>
          <w:rStyle w:val="libFootnoteBoldChar"/>
          <w:rtl/>
        </w:rPr>
        <w:t>لسان العرب</w:t>
      </w:r>
      <w:r w:rsidR="00E3253D" w:rsidRPr="005D642E">
        <w:rPr>
          <w:rtl/>
        </w:rPr>
        <w:t xml:space="preserve"> ، ج 4 ، ص 240 ( خصر ) ؛ وج 5 ، ص 103 ( قصر ) ؛ وج 9 ، ص 46 ( حرقف )</w:t>
      </w:r>
      <w:r w:rsidR="00E3253D">
        <w:rPr>
          <w:rtl/>
        </w:rPr>
        <w:t>.</w:t>
      </w:r>
      <w:r w:rsidR="00E3253D" w:rsidRPr="005D642E">
        <w:rPr>
          <w:rtl/>
        </w:rPr>
        <w:t xml:space="preserve"> وقال العل</w:t>
      </w:r>
      <w:r w:rsidR="00B34A2B">
        <w:rPr>
          <w:rFonts w:hint="cs"/>
          <w:rtl/>
        </w:rPr>
        <w:t>ّ</w:t>
      </w:r>
      <w:r w:rsidR="00E3253D" w:rsidRPr="005D642E">
        <w:rPr>
          <w:rtl/>
        </w:rPr>
        <w:t xml:space="preserve">امة المجلسي في </w:t>
      </w:r>
      <w:r w:rsidR="00E3253D" w:rsidRPr="002F4D34">
        <w:rPr>
          <w:rStyle w:val="libFootnoteBoldChar"/>
          <w:rtl/>
        </w:rPr>
        <w:t>مرآة العقول</w:t>
      </w:r>
      <w:r w:rsidR="00E3253D" w:rsidRPr="005D642E">
        <w:rPr>
          <w:rtl/>
        </w:rPr>
        <w:t xml:space="preserve"> : « قوله </w:t>
      </w:r>
      <w:r w:rsidR="00E3253D" w:rsidRPr="001567DB">
        <w:rPr>
          <w:rStyle w:val="libFootnoteAlaemChar"/>
          <w:rtl/>
        </w:rPr>
        <w:t>عليه‌السلام</w:t>
      </w:r>
      <w:r w:rsidR="00E3253D" w:rsidRPr="005D642E">
        <w:rPr>
          <w:rtl/>
        </w:rPr>
        <w:t xml:space="preserve"> : ودون الخاصرة ، أي قرب الخاصرة من فوق ، وظاهره الاكتفاء بالواحدة</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فَسَأَلْتُهُ مِنْ أَيِّ جَانِبٍ</w:t>
      </w:r>
      <w:r>
        <w:rPr>
          <w:rtl/>
          <w:lang w:bidi="fa-IR"/>
        </w:rPr>
        <w:t>؟</w:t>
      </w:r>
    </w:p>
    <w:p w:rsidR="00E3253D" w:rsidRPr="005D642E" w:rsidRDefault="00E3253D" w:rsidP="00E3253D">
      <w:pPr>
        <w:pStyle w:val="libNormal"/>
        <w:rPr>
          <w:rtl/>
          <w:lang w:bidi="fa-IR"/>
        </w:rPr>
      </w:pPr>
      <w:r w:rsidRPr="005D642E">
        <w:rPr>
          <w:rtl/>
          <w:lang w:bidi="fa-IR"/>
        </w:rPr>
        <w:t xml:space="preserve">فَقَالَ : « مِنَ الْجَانِبِ </w:t>
      </w:r>
      <w:r w:rsidRPr="007C12DB">
        <w:rPr>
          <w:rStyle w:val="libFootnotenumChar"/>
          <w:rtl/>
        </w:rPr>
        <w:t>(1)</w:t>
      </w:r>
      <w:r w:rsidRPr="005D642E">
        <w:rPr>
          <w:rtl/>
          <w:lang w:bidi="fa-IR"/>
        </w:rPr>
        <w:t xml:space="preserve"> الْأَيْمَنِ</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329" w:name="_Toc344647320"/>
      <w:bookmarkStart w:id="330" w:name="_Toc462226834"/>
      <w:bookmarkStart w:id="331" w:name="_Toc40975943"/>
      <w:r w:rsidRPr="005D642E">
        <w:rPr>
          <w:rtl/>
          <w:lang w:bidi="fa-IR"/>
        </w:rPr>
        <w:t>25</w:t>
      </w:r>
      <w:r>
        <w:rPr>
          <w:rtl/>
          <w:lang w:bidi="fa-IR"/>
        </w:rPr>
        <w:t xml:space="preserve"> </w:t>
      </w:r>
      <w:r w:rsidR="007642BC">
        <w:rPr>
          <w:rtl/>
          <w:lang w:bidi="fa-IR"/>
        </w:rPr>
        <w:t>-</w:t>
      </w:r>
      <w:r>
        <w:rPr>
          <w:rtl/>
          <w:lang w:bidi="fa-IR"/>
        </w:rPr>
        <w:t xml:space="preserve"> </w:t>
      </w:r>
      <w:r w:rsidRPr="005D642E">
        <w:rPr>
          <w:rtl/>
          <w:lang w:bidi="fa-IR"/>
        </w:rPr>
        <w:t>بَابُ الْمَيِّتِ يَمُوتُ وَهُوَ جُنُبٌ أَوْ حَائِضٌ أَوْ نُفَسَاءُ‌</w:t>
      </w:r>
      <w:bookmarkEnd w:id="329"/>
      <w:bookmarkEnd w:id="330"/>
      <w:bookmarkEnd w:id="331"/>
    </w:p>
    <w:p w:rsidR="00E3253D" w:rsidRPr="005D642E" w:rsidRDefault="00E3253D" w:rsidP="00E3253D">
      <w:pPr>
        <w:pStyle w:val="libNormal"/>
        <w:rPr>
          <w:rtl/>
          <w:lang w:bidi="fa-IR"/>
        </w:rPr>
      </w:pPr>
      <w:r w:rsidRPr="00B85241">
        <w:rPr>
          <w:rtl/>
        </w:rPr>
        <w:t>4390</w:t>
      </w:r>
      <w:r w:rsidRPr="00246318">
        <w:rPr>
          <w:rStyle w:val="libBold2Char"/>
          <w:rtl/>
        </w:rPr>
        <w:t xml:space="preserve"> / 1.</w:t>
      </w:r>
      <w:r w:rsidRPr="005D642E">
        <w:rPr>
          <w:rtl/>
          <w:lang w:bidi="fa-IR"/>
        </w:rPr>
        <w:t xml:space="preserve"> عَلِيُّ بْنُ إِبْرَاهِيمَ ، عَنْ أَبِيهِ ، عَنْ حَمَّادِ بْنِ عِيسى ، عَنْ ح</w:t>
      </w:r>
      <w:r w:rsidR="00FF0FF4">
        <w:rPr>
          <w:rtl/>
          <w:lang w:bidi="fa-IR"/>
        </w:rPr>
        <w:t>َرِيزٍ ، عَنْ زُرَارَةَ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قُلْتُ لَهُ </w:t>
      </w:r>
      <w:r w:rsidRPr="007C12DB">
        <w:rPr>
          <w:rStyle w:val="libFootnotenumChar"/>
          <w:rtl/>
        </w:rPr>
        <w:t>(3)</w:t>
      </w:r>
      <w:r w:rsidRPr="005D642E">
        <w:rPr>
          <w:rtl/>
          <w:lang w:bidi="fa-IR"/>
        </w:rPr>
        <w:t xml:space="preserve"> : مَاتَ مَيِّتٌ </w:t>
      </w:r>
      <w:r w:rsidRPr="007C12DB">
        <w:rPr>
          <w:rStyle w:val="libFootnotenumChar"/>
          <w:rtl/>
        </w:rPr>
        <w:t>(4)</w:t>
      </w:r>
      <w:r w:rsidRPr="005D642E">
        <w:rPr>
          <w:rtl/>
          <w:lang w:bidi="fa-IR"/>
        </w:rPr>
        <w:t xml:space="preserve"> وَهُوَ جُنُبٌ كَيْفَ يُغَسَّلُ</w:t>
      </w:r>
      <w:r>
        <w:rPr>
          <w:rtl/>
          <w:lang w:bidi="fa-IR"/>
        </w:rPr>
        <w:t>؟</w:t>
      </w:r>
      <w:r w:rsidRPr="005D642E">
        <w:rPr>
          <w:rtl/>
          <w:lang w:bidi="fa-IR"/>
        </w:rPr>
        <w:t xml:space="preserve"> وَمَا يُجْزِئُهُ مِنَ الْمَاءِ</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(5)</w:t>
      </w:r>
      <w:r w:rsidRPr="005D642E">
        <w:rPr>
          <w:rtl/>
          <w:lang w:bidi="fa-IR"/>
        </w:rPr>
        <w:t xml:space="preserve"> : « يُغَسَّلُ غُسْلاً وَاحِداً ، يُجْزِئُ ذلِكَ عَنْهُ لِجَنَابَتِهِ </w:t>
      </w:r>
      <w:r w:rsidRPr="007C12DB">
        <w:rPr>
          <w:rStyle w:val="libFootnotenumChar"/>
          <w:rtl/>
        </w:rPr>
        <w:t>(6)</w:t>
      </w:r>
      <w:r w:rsidRPr="005D642E">
        <w:rPr>
          <w:rtl/>
          <w:lang w:bidi="fa-IR"/>
        </w:rPr>
        <w:t xml:space="preserve"> وَلِغُسْلِ الْمَيِّتِ ؛ لِأَنَّهُمَا حُرْمَتَانِ </w:t>
      </w:r>
      <w:r w:rsidRPr="007C12DB">
        <w:rPr>
          <w:rStyle w:val="libFootnotenumChar"/>
          <w:rtl/>
        </w:rPr>
        <w:t>(7)</w:t>
      </w:r>
      <w:r w:rsidRPr="005D642E">
        <w:rPr>
          <w:rtl/>
          <w:lang w:bidi="fa-IR"/>
        </w:rPr>
        <w:t xml:space="preserve"> اجْتَمَعَتَا فِي حُرْمَةٍ وَاحِدَةٍ</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بث » : « من جانب</w:t>
      </w:r>
      <w:r w:rsidR="00E3253D">
        <w:rPr>
          <w:rtl/>
        </w:rPr>
        <w:t xml:space="preserve"> ».</w:t>
      </w:r>
    </w:p>
    <w:p w:rsidR="00E3253D" w:rsidRPr="005D642E" w:rsidRDefault="0042621E" w:rsidP="00756E19">
      <w:pPr>
        <w:pStyle w:val="libFootnote0"/>
        <w:rPr>
          <w:rtl/>
          <w:lang w:bidi="fa-IR"/>
        </w:rPr>
      </w:pPr>
      <w:r w:rsidRPr="0042621E">
        <w:rPr>
          <w:rStyle w:val="libFootnote0Char"/>
          <w:rtl/>
        </w:rPr>
        <w:t>(2).</w:t>
      </w:r>
      <w:r w:rsidR="00E3253D" w:rsidRPr="005D642E">
        <w:rPr>
          <w:rtl/>
        </w:rPr>
        <w:t xml:space="preserve"> راجع : </w:t>
      </w:r>
      <w:r w:rsidR="00E3253D" w:rsidRPr="002F4D34">
        <w:rPr>
          <w:rStyle w:val="libFootnoteBoldChar"/>
          <w:rtl/>
        </w:rPr>
        <w:t>الفقيه</w:t>
      </w:r>
      <w:r w:rsidR="00E3253D" w:rsidRPr="005D642E">
        <w:rPr>
          <w:rtl/>
        </w:rPr>
        <w:t xml:space="preserve"> ، ج 1 ، ص 150 ، ذيل ح 416 </w:t>
      </w:r>
      <w:r w:rsidR="00756E19">
        <w:rPr>
          <w:rFonts w:hint="cs"/>
          <w:rtl/>
        </w:rPr>
        <w:t>.</w:t>
      </w:r>
      <w:r w:rsidR="00E3253D" w:rsidRPr="002F4D34">
        <w:rPr>
          <w:rStyle w:val="libFootnoteBoldChar"/>
          <w:rtl/>
        </w:rPr>
        <w:t>الوافي</w:t>
      </w:r>
      <w:r w:rsidR="00E3253D" w:rsidRPr="005D642E">
        <w:rPr>
          <w:rtl/>
        </w:rPr>
        <w:t xml:space="preserve"> ، ج 24 ، ص 387 ، ح 24281 ؛ </w:t>
      </w:r>
      <w:r w:rsidR="00E3253D" w:rsidRPr="002F4D34">
        <w:rPr>
          <w:rStyle w:val="libFootnoteBoldChar"/>
          <w:rtl/>
        </w:rPr>
        <w:t>الوسائل</w:t>
      </w:r>
      <w:r w:rsidR="00E3253D" w:rsidRPr="005D642E">
        <w:rPr>
          <w:rtl/>
        </w:rPr>
        <w:t xml:space="preserve"> ، ج 3 ، ص 26 ، ح 2936.</w:t>
      </w:r>
      <w:r w:rsidR="00756E19">
        <w:rPr>
          <w:rFonts w:hint="cs"/>
          <w:rtl/>
        </w:rPr>
        <w:t xml:space="preserve">                        </w:t>
      </w:r>
      <w:r w:rsidR="009D0092">
        <w:rPr>
          <w:rFonts w:hint="cs"/>
          <w:rtl/>
        </w:rPr>
        <w:t xml:space="preserve">    </w:t>
      </w:r>
      <w:r w:rsidR="00756E19">
        <w:rPr>
          <w:rFonts w:hint="cs"/>
          <w:rtl/>
        </w:rPr>
        <w:t xml:space="preserve">  </w:t>
      </w:r>
      <w:r w:rsidRPr="0042621E">
        <w:rPr>
          <w:rStyle w:val="libFootnote0Char"/>
          <w:rtl/>
        </w:rPr>
        <w:t>(3).</w:t>
      </w:r>
      <w:r w:rsidR="00E3253D" w:rsidRPr="005D642E">
        <w:rPr>
          <w:rtl/>
        </w:rPr>
        <w:t xml:space="preserve"> في « بح » : « لأبي جعفر </w:t>
      </w:r>
      <w:r w:rsidR="00E3253D" w:rsidRPr="00756E19">
        <w:rPr>
          <w:rStyle w:val="libFootnoteAlaemChar"/>
          <w:rtl/>
        </w:rPr>
        <w:t>عليه‌السلام</w:t>
      </w:r>
      <w:r w:rsidR="00E3253D" w:rsidRPr="005D642E">
        <w:rPr>
          <w:rtl/>
        </w:rPr>
        <w:t xml:space="preserve"> » بدل «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D0092" w:rsidTr="009D0092">
        <w:tc>
          <w:tcPr>
            <w:tcW w:w="4006" w:type="dxa"/>
          </w:tcPr>
          <w:p w:rsidR="009D0092" w:rsidRDefault="009D0092" w:rsidP="00E3253D">
            <w:pPr>
              <w:pStyle w:val="libFootnote0"/>
              <w:rPr>
                <w:rStyle w:val="libFootnote0Char"/>
                <w:rtl/>
              </w:rPr>
            </w:pPr>
            <w:r w:rsidRPr="0042621E">
              <w:rPr>
                <w:rStyle w:val="libFootnote0Char"/>
                <w:rtl/>
              </w:rPr>
              <w:t>(4).</w:t>
            </w:r>
            <w:r w:rsidRPr="005D642E">
              <w:rPr>
                <w:rtl/>
              </w:rPr>
              <w:t xml:space="preserve"> في الوافي : « ميّت مات</w:t>
            </w:r>
            <w:r>
              <w:rPr>
                <w:rtl/>
              </w:rPr>
              <w:t xml:space="preserve"> ».</w:t>
            </w:r>
          </w:p>
        </w:tc>
        <w:tc>
          <w:tcPr>
            <w:tcW w:w="4006" w:type="dxa"/>
          </w:tcPr>
          <w:p w:rsidR="009D0092" w:rsidRDefault="009D0092" w:rsidP="00E3253D">
            <w:pPr>
              <w:pStyle w:val="libFootnote0"/>
              <w:rPr>
                <w:rStyle w:val="libFootnote0Char"/>
                <w:rtl/>
              </w:rPr>
            </w:pPr>
            <w:r w:rsidRPr="0042621E">
              <w:rPr>
                <w:rStyle w:val="libFootnote0Char"/>
                <w:rtl/>
              </w:rPr>
              <w:t>(5).</w:t>
            </w:r>
            <w:r w:rsidRPr="005D642E">
              <w:rPr>
                <w:rtl/>
              </w:rPr>
              <w:t xml:space="preserve"> في « ظ ، غ ، بث ، جح » : « قال</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 « عن الجنابة » بدل « عنه لجنابته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الحُرْمة : ما لا يحلّ انتهاكه. قال الطريحي : « وجميع ما كلّف الله به بهذه الصفة ، فمن خالف فقد انتهك الحرمة ومنه حديث غسل الجنب الميّت : يغسّل غسلاً واحداً ؛ لأنّها حرمتان اجتمعتا في حرمة واحدة ، أي تكليفان اجتمعا في واحد</w:t>
      </w:r>
      <w:r w:rsidR="00E3253D">
        <w:rPr>
          <w:rtl/>
        </w:rPr>
        <w:t xml:space="preserve"> ».</w:t>
      </w:r>
      <w:r w:rsidR="00CE4926">
        <w:rPr>
          <w:rtl/>
        </w:rPr>
        <w:t xml:space="preserve"> وقال العل</w:t>
      </w:r>
      <w:r w:rsidR="00CE4926">
        <w:rPr>
          <w:rFonts w:hint="cs"/>
          <w:rtl/>
        </w:rPr>
        <w:t>ّ</w:t>
      </w:r>
      <w:r w:rsidR="00CE4926">
        <w:rPr>
          <w:rtl/>
        </w:rPr>
        <w:t>ا</w:t>
      </w:r>
      <w:r w:rsidR="00E3253D" w:rsidRPr="005D642E">
        <w:rPr>
          <w:rtl/>
        </w:rPr>
        <w:t>مة المجلسي : « لعلّ معناه طبيعتان تحقّقتا في ضمن فرد ، فيمكن الاستدلال به على التداخل في غير الأغسال أيضاً</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1 ، ص 373 ؛ </w:t>
      </w:r>
      <w:r w:rsidR="00E3253D" w:rsidRPr="002F4D34">
        <w:rPr>
          <w:rStyle w:val="libFootnoteBoldChar"/>
          <w:rtl/>
        </w:rPr>
        <w:t>مجمع البحرين</w:t>
      </w:r>
      <w:r w:rsidR="00E3253D" w:rsidRPr="005D642E">
        <w:rPr>
          <w:rtl/>
        </w:rPr>
        <w:t xml:space="preserve"> ، ج 6 ، ص 38 ( حرم ) ؛ </w:t>
      </w:r>
      <w:r w:rsidR="00E3253D" w:rsidRPr="002F4D34">
        <w:rPr>
          <w:rStyle w:val="libFootnoteBoldChar"/>
          <w:rtl/>
        </w:rPr>
        <w:t>مرآة العقول</w:t>
      </w:r>
      <w:r w:rsidR="00E3253D" w:rsidRPr="005D642E">
        <w:rPr>
          <w:rtl/>
        </w:rPr>
        <w:t xml:space="preserve"> ، ج 13 ، ص 329.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432 ، ح 1384 ؛ </w:t>
      </w:r>
      <w:r w:rsidR="00E3253D" w:rsidRPr="00E678B5">
        <w:rPr>
          <w:rStyle w:val="libFootnoteBoldChar"/>
          <w:rtl/>
        </w:rPr>
        <w:t>والاستبصار</w:t>
      </w:r>
      <w:r w:rsidR="00E3253D" w:rsidRPr="005D642E">
        <w:rPr>
          <w:rtl/>
        </w:rPr>
        <w:t xml:space="preserve"> ، ج 1 ، ص 194 ، ح 680 ، بسندهما عن حمّاد. وفي </w:t>
      </w:r>
      <w:r w:rsidR="00E3253D" w:rsidRPr="002F4D34">
        <w:rPr>
          <w:rStyle w:val="libFootnoteBoldChar"/>
          <w:rtl/>
        </w:rPr>
        <w:t>التهذيب</w:t>
      </w:r>
      <w:r w:rsidR="00E3253D" w:rsidRPr="005D642E">
        <w:rPr>
          <w:rtl/>
        </w:rPr>
        <w:t xml:space="preserve"> ، ج 1 ، ص 432 ، ح 1386 ، 1387 </w:t>
      </w:r>
      <w:r w:rsidR="00E3253D">
        <w:rPr>
          <w:rtl/>
        </w:rPr>
        <w:t>و 1</w:t>
      </w:r>
      <w:r w:rsidR="00E3253D" w:rsidRPr="005D642E">
        <w:rPr>
          <w:rtl/>
        </w:rPr>
        <w:t xml:space="preserve">389 ؛ </w:t>
      </w:r>
      <w:r w:rsidR="00E3253D" w:rsidRPr="00E678B5">
        <w:rPr>
          <w:rStyle w:val="libFootnoteBoldChar"/>
          <w:rtl/>
        </w:rPr>
        <w:t>والاستبصار</w:t>
      </w:r>
      <w:r w:rsidR="00E3253D" w:rsidRPr="005D642E">
        <w:rPr>
          <w:rtl/>
        </w:rPr>
        <w:t xml:space="preserve"> ، ج 1 ، ص 194 ، ح 682 ، 683 </w:t>
      </w:r>
      <w:r w:rsidR="00E3253D">
        <w:rPr>
          <w:rtl/>
        </w:rPr>
        <w:t>و 6</w:t>
      </w:r>
      <w:r w:rsidR="00E3253D" w:rsidRPr="005D642E">
        <w:rPr>
          <w:rtl/>
        </w:rPr>
        <w:t xml:space="preserve">85 ، بسند آخر عن أبي عبدالله </w:t>
      </w:r>
      <w:r w:rsidR="00E3253D" w:rsidRPr="00CE4926">
        <w:rPr>
          <w:rStyle w:val="libFootnoteAlaemChar"/>
          <w:rtl/>
        </w:rPr>
        <w:t>عليه‌السلام</w:t>
      </w:r>
      <w:r w:rsidR="00E3253D" w:rsidRPr="005D642E">
        <w:rPr>
          <w:rtl/>
        </w:rPr>
        <w:t xml:space="preserve"> ، إلى قوله : « يغسّل غسلاً واحداً » مع اختلاف يسير وزيادة. وفي </w:t>
      </w:r>
      <w:r w:rsidR="00E3253D" w:rsidRPr="002F4D34">
        <w:rPr>
          <w:rStyle w:val="libFootnoteBoldChar"/>
          <w:rtl/>
        </w:rPr>
        <w:t>التهذيب</w:t>
      </w:r>
      <w:r w:rsidR="00E3253D" w:rsidRPr="005D642E">
        <w:rPr>
          <w:rtl/>
        </w:rPr>
        <w:t xml:space="preserve"> ، ج 1 ، ص 432 ، ح 1388 ؛ </w:t>
      </w:r>
      <w:r w:rsidR="00E3253D" w:rsidRPr="00E678B5">
        <w:rPr>
          <w:rStyle w:val="libFootnoteBoldChar"/>
          <w:rtl/>
        </w:rPr>
        <w:t>والاستبصار</w:t>
      </w:r>
      <w:r w:rsidR="00E3253D" w:rsidRPr="005D642E">
        <w:rPr>
          <w:rtl/>
        </w:rPr>
        <w:t xml:space="preserve"> ج 1 ، ص 194 ، ح 684 ، بسند آخر عن أبي عبدالله ، عن أبيه </w:t>
      </w:r>
      <w:r w:rsidR="00E3253D" w:rsidRPr="00CE4926">
        <w:rPr>
          <w:rStyle w:val="libFootnoteAlaemChar"/>
          <w:rtl/>
        </w:rPr>
        <w:t>عليهما‌السلام</w:t>
      </w:r>
      <w:r w:rsidR="00E3253D" w:rsidRPr="005D642E">
        <w:rPr>
          <w:rtl/>
        </w:rPr>
        <w:t xml:space="preserve"> ، إلى قوله : « يغسّل غسلاً واحداً » مع اختلاف يسير وزيادة في أوّله وآخره. وفي </w:t>
      </w:r>
      <w:r w:rsidR="00E3253D" w:rsidRPr="002F4D34">
        <w:rPr>
          <w:rStyle w:val="libFootnoteBoldChar"/>
          <w:rtl/>
        </w:rPr>
        <w:t>التهذيب</w:t>
      </w:r>
      <w:r w:rsidR="00E3253D" w:rsidRPr="005D642E">
        <w:rPr>
          <w:rtl/>
        </w:rPr>
        <w:t xml:space="preserve"> ، ج 1 ، ص 432 ، ح 1385 ؛ </w:t>
      </w:r>
      <w:r w:rsidR="00E3253D" w:rsidRPr="00E678B5">
        <w:rPr>
          <w:rStyle w:val="libFootnoteBoldChar"/>
          <w:rtl/>
        </w:rPr>
        <w:t>والاستبصار</w:t>
      </w:r>
      <w:r w:rsidR="00E3253D" w:rsidRPr="005D642E">
        <w:rPr>
          <w:rtl/>
        </w:rPr>
        <w:t xml:space="preserve"> ، ج 1 ، ص 194 ، ح 681 ، بسند آخر عن أحدهما </w:t>
      </w:r>
      <w:r w:rsidR="00E3253D" w:rsidRPr="00CE4926">
        <w:rPr>
          <w:rStyle w:val="libFootnoteAlaemChar"/>
          <w:rtl/>
        </w:rPr>
        <w:t>عليهما‌السلام</w:t>
      </w:r>
      <w:r w:rsidR="00E3253D" w:rsidRPr="005D642E">
        <w:rPr>
          <w:rtl/>
        </w:rPr>
        <w:t xml:space="preserve"> ، إلى قوله : « يغسّل غسلاً واحداً » مع اختلاف يسير. </w:t>
      </w:r>
      <w:r w:rsidR="00E3253D" w:rsidRPr="002F4D34">
        <w:rPr>
          <w:rStyle w:val="libFootnoteBoldChar"/>
          <w:rtl/>
        </w:rPr>
        <w:t>التهذيب</w:t>
      </w:r>
      <w:r w:rsidR="00E3253D" w:rsidRPr="005D642E">
        <w:rPr>
          <w:rtl/>
        </w:rPr>
        <w:t xml:space="preserve"> ، ج 1 ، ص 432 ، ح 1383 ، بسند آخر عن أبي إبراهيم </w:t>
      </w:r>
      <w:r w:rsidR="00E3253D" w:rsidRPr="000F7B6E">
        <w:rPr>
          <w:rStyle w:val="libFootnoteAlaemChar"/>
          <w:rtl/>
        </w:rPr>
        <w:t>عليه‌السلام</w:t>
      </w:r>
      <w:r w:rsidR="00E3253D" w:rsidRPr="005D642E">
        <w:rPr>
          <w:rtl/>
        </w:rPr>
        <w:t xml:space="preserve"> ، إلى قوله : « يغسّل غسلاً واحداً » مع اختلاف يسير </w:t>
      </w:r>
      <w:r w:rsidR="000F7B6E">
        <w:rPr>
          <w:rFonts w:hint="cs"/>
          <w:rtl/>
        </w:rPr>
        <w:t>.</w:t>
      </w:r>
      <w:r w:rsidR="00E3253D" w:rsidRPr="002F4D34">
        <w:rPr>
          <w:rStyle w:val="libFootnoteBoldChar"/>
          <w:rtl/>
        </w:rPr>
        <w:t>الوافي</w:t>
      </w:r>
      <w:r w:rsidR="00E3253D" w:rsidRPr="005D642E">
        <w:rPr>
          <w:rtl/>
        </w:rPr>
        <w:t xml:space="preserve"> ، ج 24 ، ص 331 ، ح 24135 ؛ </w:t>
      </w:r>
      <w:r w:rsidR="00E3253D" w:rsidRPr="002F4D34">
        <w:rPr>
          <w:rStyle w:val="libFootnoteBoldChar"/>
          <w:rtl/>
        </w:rPr>
        <w:t>الوسائل</w:t>
      </w:r>
      <w:r w:rsidR="00E3253D" w:rsidRPr="005D642E">
        <w:rPr>
          <w:rtl/>
        </w:rPr>
        <w:t xml:space="preserve"> ، ج 2 ، ص 539 ، ح 2850.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3426B">
        <w:rPr>
          <w:rtl/>
        </w:rPr>
        <w:t>4391</w:t>
      </w:r>
      <w:r w:rsidRPr="00246318">
        <w:rPr>
          <w:rStyle w:val="libBold2Char"/>
          <w:rtl/>
        </w:rPr>
        <w:t xml:space="preserve"> / 2.</w:t>
      </w:r>
      <w:r w:rsidRPr="005D642E">
        <w:rPr>
          <w:rtl/>
          <w:lang w:bidi="fa-IR"/>
        </w:rPr>
        <w:t xml:space="preserve"> مُحَمَّدُ بْنُ يَحْيى ، عَنْ مُحَمَّدِ بْنِ أَحْمَدَ ، عَنْ أَحْمَدَ بْنِ الْحَسَنِ بْنِ عَلِيٍّ ، عَنْ عَمْرِو بْنِ سَعِيدٍ ، عَنْ مُصَدِّقِ بْنِ صَدَقَةَ ، عَنْ عَمَّارِ بْنِ مُوسى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الْمَرْأَةِ : إِذَا مَاتَتْ فِي نِفَاسِهَا كَيْفَ تُغَسَّلُ</w:t>
      </w:r>
      <w:r>
        <w:rPr>
          <w:rtl/>
          <w:lang w:bidi="fa-IR"/>
        </w:rPr>
        <w:t>؟</w:t>
      </w:r>
    </w:p>
    <w:p w:rsidR="00E3253D" w:rsidRPr="005D642E" w:rsidRDefault="00E3253D" w:rsidP="00E3253D">
      <w:pPr>
        <w:pStyle w:val="libNormal"/>
        <w:rPr>
          <w:rtl/>
          <w:lang w:bidi="fa-IR"/>
        </w:rPr>
      </w:pPr>
      <w:r w:rsidRPr="005D642E">
        <w:rPr>
          <w:rtl/>
          <w:lang w:bidi="fa-IR"/>
        </w:rPr>
        <w:t xml:space="preserve">قَالَ : « مِثْلَ غُسْلِ الطَّاهِرَةِ </w:t>
      </w:r>
      <w:r w:rsidRPr="007C12DB">
        <w:rPr>
          <w:rStyle w:val="libFootnotenumChar"/>
          <w:rtl/>
        </w:rPr>
        <w:t>(1)</w:t>
      </w:r>
      <w:r w:rsidRPr="005D642E">
        <w:rPr>
          <w:rtl/>
          <w:lang w:bidi="fa-IR"/>
        </w:rPr>
        <w:t xml:space="preserve"> ، وَكَذلِكَ الْحَائِضُ ، وَكَذلِكَ الْجُنُبُ إِنَّمَا يُغَسَّلُ غُسْلاً وَاحِداً فَقَطْ</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D3426B">
        <w:rPr>
          <w:rtl/>
        </w:rPr>
        <w:t>4392</w:t>
      </w:r>
      <w:r w:rsidRPr="00246318">
        <w:rPr>
          <w:rStyle w:val="libBold2Char"/>
          <w:rtl/>
        </w:rPr>
        <w:t xml:space="preserve"> / 3.</w:t>
      </w:r>
      <w:r w:rsidRPr="005D642E">
        <w:rPr>
          <w:rtl/>
          <w:lang w:bidi="fa-IR"/>
        </w:rPr>
        <w:t xml:space="preserve"> سَهْلُ بْنُ زِيَادٍ </w:t>
      </w:r>
      <w:r w:rsidRPr="007C12DB">
        <w:rPr>
          <w:rStyle w:val="libFootnotenumChar"/>
          <w:rtl/>
        </w:rPr>
        <w:t>(3)</w:t>
      </w:r>
      <w:r w:rsidRPr="005D642E">
        <w:rPr>
          <w:rtl/>
          <w:lang w:bidi="fa-IR"/>
        </w:rPr>
        <w:t xml:space="preserve"> ، عَنِ ابْنِ مَحْبُوبٍ وَأَحْمَدَ بْنِ مُحَمَّدٍ :</w:t>
      </w:r>
    </w:p>
    <w:p w:rsidR="00E3253D" w:rsidRPr="005D642E" w:rsidRDefault="00E3253D" w:rsidP="00E3253D">
      <w:pPr>
        <w:pStyle w:val="libNormal"/>
        <w:rPr>
          <w:rtl/>
          <w:lang w:bidi="fa-IR"/>
        </w:rPr>
      </w:pPr>
      <w:r w:rsidRPr="005D642E">
        <w:rPr>
          <w:rtl/>
          <w:lang w:bidi="fa-IR"/>
        </w:rPr>
        <w:t xml:space="preserve">فِي الْمَرْأَةِ إِذَا مَاتَتْ نُفَسَاءَ وَكَثُرَ دَمُهَا ، أُدْخِلَتْ إِلَى السُّرَّةِ فِي الْأَدَمِ </w:t>
      </w:r>
      <w:r w:rsidRPr="007C12DB">
        <w:rPr>
          <w:rStyle w:val="libFootnotenumChar"/>
          <w:rtl/>
        </w:rPr>
        <w:t>(4)</w:t>
      </w:r>
      <w:r w:rsidRPr="005D642E">
        <w:rPr>
          <w:rtl/>
          <w:lang w:bidi="fa-IR"/>
        </w:rPr>
        <w:t xml:space="preserve"> ، أَوْ مِثْلِ الْأَدَمِ </w:t>
      </w:r>
      <w:r w:rsidRPr="007C12DB">
        <w:rPr>
          <w:rStyle w:val="libFootnotenumChar"/>
          <w:rtl/>
        </w:rPr>
        <w:t>(5)</w:t>
      </w:r>
      <w:r w:rsidRPr="005D642E">
        <w:rPr>
          <w:rtl/>
          <w:lang w:bidi="fa-IR"/>
        </w:rPr>
        <w:t xml:space="preserve"> نَظِيفٍ ، ثُمَّ تُكَفَّنُ بَعْدَ ذلِكَ.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332" w:name="_Toc344647321"/>
      <w:bookmarkStart w:id="333" w:name="_Toc462226835"/>
      <w:bookmarkStart w:id="334" w:name="_Toc40975944"/>
      <w:r w:rsidRPr="005D642E">
        <w:rPr>
          <w:rtl/>
          <w:lang w:bidi="fa-IR"/>
        </w:rPr>
        <w:t>26</w:t>
      </w:r>
      <w:r>
        <w:rPr>
          <w:rtl/>
          <w:lang w:bidi="fa-IR"/>
        </w:rPr>
        <w:t xml:space="preserve"> </w:t>
      </w:r>
      <w:r w:rsidR="007642BC">
        <w:rPr>
          <w:rtl/>
          <w:lang w:bidi="fa-IR"/>
        </w:rPr>
        <w:t>-</w:t>
      </w:r>
      <w:r>
        <w:rPr>
          <w:rtl/>
          <w:lang w:bidi="fa-IR"/>
        </w:rPr>
        <w:t xml:space="preserve"> </w:t>
      </w:r>
      <w:r w:rsidRPr="005D642E">
        <w:rPr>
          <w:rtl/>
          <w:lang w:bidi="fa-IR"/>
        </w:rPr>
        <w:t>بَابُ الْمَرْأَةِ تَمُوتُ وَفِي بَطْنِهَا وَلَدٌ يَتَحَرَّكُ‌</w:t>
      </w:r>
      <w:bookmarkEnd w:id="332"/>
      <w:bookmarkEnd w:id="333"/>
      <w:bookmarkEnd w:id="334"/>
    </w:p>
    <w:p w:rsidR="00E3253D" w:rsidRPr="005D642E" w:rsidRDefault="00E3253D" w:rsidP="00E3253D">
      <w:pPr>
        <w:pStyle w:val="libNormal"/>
        <w:rPr>
          <w:rtl/>
          <w:lang w:bidi="fa-IR"/>
        </w:rPr>
      </w:pPr>
      <w:r w:rsidRPr="00D3426B">
        <w:rPr>
          <w:rtl/>
        </w:rPr>
        <w:t>4393</w:t>
      </w:r>
      <w:r w:rsidRPr="00246318">
        <w:rPr>
          <w:rStyle w:val="libBold2Char"/>
          <w:rtl/>
        </w:rPr>
        <w:t xml:space="preserve"> / 1.</w:t>
      </w:r>
      <w:r w:rsidRPr="005D642E">
        <w:rPr>
          <w:rtl/>
          <w:lang w:bidi="fa-IR"/>
        </w:rPr>
        <w:t xml:space="preserve"> حُمَيْدُ بْنُ زِيَادٍ ، عَنِ الْحَسَنِ بْنِ مُحَمَّدِ بْنِ سَمَاعَةَ ، عَنْ مُحَمَّدِ بْنِ أَبِي حَمْزَةَ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الوافي والوسائل </w:t>
      </w:r>
      <w:r w:rsidR="00B60612" w:rsidRPr="00B60612">
        <w:rPr>
          <w:rStyle w:val="libFootnoteBoldChar"/>
          <w:rtl/>
        </w:rPr>
        <w:t>والتهذيب</w:t>
      </w:r>
      <w:r w:rsidR="00E3253D" w:rsidRPr="005D642E">
        <w:rPr>
          <w:rtl/>
        </w:rPr>
        <w:t xml:space="preserve"> : « الطاهر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432 ، ح 1382 ، معلّقاً عن محمّد بن أحمد بن يحيى ، عن أحمد بن الحسن بن عليّ بن فضّال. </w:t>
      </w:r>
      <w:r w:rsidR="00E3253D" w:rsidRPr="002F4D34">
        <w:rPr>
          <w:rStyle w:val="libFootnoteBoldChar"/>
          <w:rtl/>
        </w:rPr>
        <w:t>الفقيه</w:t>
      </w:r>
      <w:r w:rsidR="00E3253D" w:rsidRPr="005D642E">
        <w:rPr>
          <w:rtl/>
        </w:rPr>
        <w:t xml:space="preserve"> ، ج 1 ، ص 153 ، ح 423 ، معلّقاً عن عمّار بن موسى‌الساباطي ، وفيهما مع اختلاف يسير </w:t>
      </w:r>
      <w:r w:rsidR="000F7B6E">
        <w:rPr>
          <w:rFonts w:hint="cs"/>
          <w:rtl/>
        </w:rPr>
        <w:t>.</w:t>
      </w:r>
      <w:r w:rsidR="00E3253D" w:rsidRPr="002F4D34">
        <w:rPr>
          <w:rStyle w:val="libFootnoteBoldChar"/>
          <w:rtl/>
        </w:rPr>
        <w:t>الوافي</w:t>
      </w:r>
      <w:r w:rsidR="00E3253D" w:rsidRPr="005D642E">
        <w:rPr>
          <w:rtl/>
        </w:rPr>
        <w:t xml:space="preserve"> ، ج 24 ، ص 332 ، ح 24137 ؛ </w:t>
      </w:r>
      <w:r w:rsidR="00E3253D" w:rsidRPr="002F4D34">
        <w:rPr>
          <w:rStyle w:val="libFootnoteBoldChar"/>
          <w:rtl/>
        </w:rPr>
        <w:t>الوسائل</w:t>
      </w:r>
      <w:r w:rsidR="00E3253D" w:rsidRPr="005D642E">
        <w:rPr>
          <w:rtl/>
        </w:rPr>
        <w:t xml:space="preserve"> ، ج 2 ، ص 540 ، ذيل ح 2851.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لاتصحّ رواية المصنّف عن سهل بن زياد مباشرة ، وليس في الباب سند يصلح أن يكون هذا السند معلّقاً عليه. والمحتمل كون السند معلّقاً على سند الحديث 4387 ، كما أنّ المحتمل اكتفاء الكليني بوضوح طريقه إلى سهل بن زياد ، وهي « عدّة من أصحابنا » في أكثر أسناد سهل ، التي تبلغ الثمانين بالمائة. ولعلّه لشدّة هذا الوضوح أورد الشيخ الحرّ السند في </w:t>
      </w:r>
      <w:r w:rsidR="00E3253D" w:rsidRPr="002F4D34">
        <w:rPr>
          <w:rStyle w:val="libFootnoteBoldChar"/>
          <w:rtl/>
        </w:rPr>
        <w:t>الوسائل</w:t>
      </w:r>
      <w:r w:rsidR="00E3253D" w:rsidRPr="005D642E">
        <w:rPr>
          <w:rtl/>
        </w:rPr>
        <w:t xml:space="preserve"> ، ج 3 ، ص 48 ، ذيل ح 2992 هكذا : « محمّد بن يعقوب ، عن عدّة من أصحابنا ، عن سهل بن زياد</w:t>
      </w:r>
      <w:r w:rsidR="00E3253D">
        <w:rPr>
          <w:rtl/>
        </w:rPr>
        <w:t xml:space="preserve"> ».</w:t>
      </w:r>
    </w:p>
    <w:p w:rsidR="00E3253D" w:rsidRPr="005D642E" w:rsidRDefault="0042621E" w:rsidP="000F7B6E">
      <w:pPr>
        <w:pStyle w:val="libFootnote0"/>
        <w:rPr>
          <w:rtl/>
          <w:lang w:bidi="fa-IR"/>
        </w:rPr>
      </w:pPr>
      <w:r w:rsidRPr="0042621E">
        <w:rPr>
          <w:rStyle w:val="libFootnote0Char"/>
          <w:rtl/>
        </w:rPr>
        <w:t>(4).</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الأديم</w:t>
      </w:r>
      <w:r w:rsidR="00E3253D">
        <w:rPr>
          <w:rtl/>
        </w:rPr>
        <w:t xml:space="preserve"> ».</w:t>
      </w:r>
      <w:r w:rsidR="00E3253D" w:rsidRPr="005D642E">
        <w:rPr>
          <w:rtl/>
        </w:rPr>
        <w:t xml:space="preserve"> </w:t>
      </w:r>
      <w:r w:rsidR="00E3253D">
        <w:rPr>
          <w:rtl/>
        </w:rPr>
        <w:t>و «</w:t>
      </w:r>
      <w:r w:rsidR="00E3253D" w:rsidRPr="005D642E">
        <w:rPr>
          <w:rtl/>
        </w:rPr>
        <w:t xml:space="preserve"> الأَدَم » بفتحتين : اسم لجمع أَديم ، وهو الجلد المدبوغ المصلح بالدباغ‌راجع : </w:t>
      </w:r>
      <w:r w:rsidR="00E3253D" w:rsidRPr="002F4D34">
        <w:rPr>
          <w:rStyle w:val="libFootnoteBoldChar"/>
          <w:rtl/>
        </w:rPr>
        <w:t>المغرب</w:t>
      </w:r>
      <w:r w:rsidR="00E3253D" w:rsidRPr="005D642E">
        <w:rPr>
          <w:rtl/>
        </w:rPr>
        <w:t xml:space="preserve"> ، ص 22 ( أدم )</w:t>
      </w:r>
      <w:r w:rsidR="00E3253D">
        <w:rPr>
          <w:rtl/>
        </w:rPr>
        <w:t>.</w:t>
      </w:r>
      <w:r w:rsidR="000F7B6E">
        <w:rPr>
          <w:rFonts w:hint="cs"/>
          <w:rtl/>
        </w:rPr>
        <w:t xml:space="preserve">                      </w:t>
      </w:r>
      <w:r w:rsidRPr="0042621E">
        <w:rPr>
          <w:rStyle w:val="libFootnote0Char"/>
          <w:rtl/>
        </w:rPr>
        <w:t>(5).</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الأديم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324 ، ح 947 ، وفيه هكذا : « الحسن بن محبوب رفعه قال : المرأة</w:t>
      </w:r>
      <w:r w:rsidR="00E3253D">
        <w:rPr>
          <w:rtl/>
        </w:rPr>
        <w:t xml:space="preserve"> ..</w:t>
      </w:r>
      <w:r w:rsidR="00E3253D" w:rsidRPr="005D642E">
        <w:rPr>
          <w:rtl/>
        </w:rPr>
        <w:t xml:space="preserve">. » مع زيادة في آخره. </w:t>
      </w:r>
      <w:r w:rsidR="00E3253D" w:rsidRPr="002F4D34">
        <w:rPr>
          <w:rStyle w:val="libFootnoteBoldChar"/>
          <w:rtl/>
        </w:rPr>
        <w:t>الفقيه</w:t>
      </w:r>
      <w:r w:rsidR="00E3253D" w:rsidRPr="005D642E">
        <w:rPr>
          <w:rtl/>
        </w:rPr>
        <w:t xml:space="preserve"> ، ج 1 ، ص 153 ، ح 425 ، مرسلاً عن الصادق </w:t>
      </w:r>
      <w:r w:rsidR="00E3253D" w:rsidRPr="000F7B6E">
        <w:rPr>
          <w:rStyle w:val="libFootnoteAlaemChar"/>
          <w:rtl/>
        </w:rPr>
        <w:t>عليه‌السلام</w:t>
      </w:r>
      <w:r w:rsidR="00E3253D" w:rsidRPr="005D642E">
        <w:rPr>
          <w:rtl/>
        </w:rPr>
        <w:t xml:space="preserve"> ، مع اختلاف يسير وزيادة </w:t>
      </w:r>
      <w:r w:rsidR="000F7B6E">
        <w:rPr>
          <w:rFonts w:hint="cs"/>
          <w:rtl/>
        </w:rPr>
        <w:t>.</w:t>
      </w:r>
      <w:r w:rsidR="00E3253D" w:rsidRPr="002F4D34">
        <w:rPr>
          <w:rStyle w:val="libFootnoteBoldChar"/>
          <w:rtl/>
        </w:rPr>
        <w:t>الوافي</w:t>
      </w:r>
      <w:r w:rsidR="00E3253D" w:rsidRPr="005D642E">
        <w:rPr>
          <w:rtl/>
        </w:rPr>
        <w:t xml:space="preserve"> ، ج 24 ، ص 334 ، ح 24144 ؛ </w:t>
      </w:r>
      <w:r w:rsidR="00E3253D" w:rsidRPr="002F4D34">
        <w:rPr>
          <w:rStyle w:val="libFootnoteBoldChar"/>
          <w:rtl/>
        </w:rPr>
        <w:t>الوسائل</w:t>
      </w:r>
      <w:r w:rsidR="00E3253D" w:rsidRPr="005D642E">
        <w:rPr>
          <w:rtl/>
        </w:rPr>
        <w:t xml:space="preserve"> ، ج 3 ، ص 47 ، ذيل ح 2992.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عَنْ عَلِيِّ بْنِ يَقْطِينٍ ، قَالَ :</w:t>
      </w:r>
    </w:p>
    <w:p w:rsidR="00E3253D" w:rsidRPr="005D642E" w:rsidRDefault="00E3253D" w:rsidP="00E3253D">
      <w:pPr>
        <w:pStyle w:val="libNormal"/>
        <w:rPr>
          <w:rtl/>
          <w:lang w:bidi="fa-IR"/>
        </w:rPr>
      </w:pPr>
      <w:r w:rsidRPr="005D642E">
        <w:rPr>
          <w:rtl/>
          <w:lang w:bidi="fa-IR"/>
        </w:rPr>
        <w:t xml:space="preserve">سَأَلْتُ الْعَبْدَ الصَّالِحَ </w:t>
      </w:r>
      <w:r w:rsidRPr="00AC51C5">
        <w:rPr>
          <w:rStyle w:val="libAlaemChar"/>
          <w:rtl/>
        </w:rPr>
        <w:t>عليه‌السلام</w:t>
      </w:r>
      <w:r w:rsidRPr="005D642E">
        <w:rPr>
          <w:rtl/>
          <w:lang w:bidi="fa-IR"/>
        </w:rPr>
        <w:t xml:space="preserve"> عَنِ الْمَرْأَةِ تَمُوتُ وَوَلَدُهَا فِي بَطْنِهَا</w:t>
      </w:r>
      <w:r>
        <w:rPr>
          <w:rtl/>
          <w:lang w:bidi="fa-IR"/>
        </w:rPr>
        <w:t>؟</w:t>
      </w:r>
    </w:p>
    <w:p w:rsidR="00E3253D" w:rsidRPr="005D642E" w:rsidRDefault="00E3253D" w:rsidP="000F7B6E">
      <w:pPr>
        <w:pStyle w:val="libNormal"/>
        <w:rPr>
          <w:rtl/>
          <w:lang w:bidi="fa-IR"/>
        </w:rPr>
      </w:pPr>
      <w:r w:rsidRPr="005D642E">
        <w:rPr>
          <w:rtl/>
          <w:lang w:bidi="fa-IR"/>
        </w:rPr>
        <w:t xml:space="preserve">قَالَ : « يُشَقُّ </w:t>
      </w:r>
      <w:r w:rsidRPr="007C12DB">
        <w:rPr>
          <w:rStyle w:val="libFootnotenumChar"/>
          <w:rtl/>
        </w:rPr>
        <w:t>(1)</w:t>
      </w:r>
      <w:r w:rsidRPr="005D642E">
        <w:rPr>
          <w:rtl/>
          <w:lang w:bidi="fa-IR"/>
        </w:rPr>
        <w:t xml:space="preserve"> بَطْنُهَا ، وَيُخْرَجُ </w:t>
      </w:r>
      <w:r w:rsidRPr="007C12DB">
        <w:rPr>
          <w:rStyle w:val="libFootnotenumChar"/>
          <w:rtl/>
        </w:rPr>
        <w:t>(2)</w:t>
      </w:r>
      <w:r w:rsidRPr="005D642E">
        <w:rPr>
          <w:rtl/>
          <w:lang w:bidi="fa-IR"/>
        </w:rPr>
        <w:t xml:space="preserve"> وَلَدُهَا</w:t>
      </w:r>
      <w:r>
        <w:rPr>
          <w:rtl/>
          <w:lang w:bidi="fa-IR"/>
        </w:rPr>
        <w:t xml:space="preserve"> ».</w:t>
      </w:r>
      <w:r w:rsidRPr="005D642E">
        <w:rPr>
          <w:rtl/>
          <w:lang w:bidi="fa-IR"/>
        </w:rPr>
        <w:t xml:space="preserve"> </w:t>
      </w:r>
      <w:r w:rsidRPr="007C12DB">
        <w:rPr>
          <w:rStyle w:val="libFootnotenumChar"/>
          <w:rtl/>
        </w:rPr>
        <w:t>(3)</w:t>
      </w:r>
    </w:p>
    <w:p w:rsidR="00E3253D" w:rsidRPr="005D642E" w:rsidRDefault="00E3253D" w:rsidP="00E3253D">
      <w:pPr>
        <w:pStyle w:val="libNormal"/>
        <w:rPr>
          <w:rtl/>
          <w:lang w:bidi="fa-IR"/>
        </w:rPr>
      </w:pPr>
      <w:r w:rsidRPr="00D3426B">
        <w:rPr>
          <w:rtl/>
        </w:rPr>
        <w:t>4394</w:t>
      </w:r>
      <w:r w:rsidRPr="00246318">
        <w:rPr>
          <w:rStyle w:val="libBold2Char"/>
          <w:rtl/>
        </w:rPr>
        <w:t xml:space="preserve"> / 2.</w:t>
      </w:r>
      <w:r w:rsidRPr="005D642E">
        <w:rPr>
          <w:rtl/>
          <w:lang w:bidi="fa-IR"/>
        </w:rPr>
        <w:t xml:space="preserve"> سَهْلُ بْنُ زِيَادٍ </w:t>
      </w:r>
      <w:r w:rsidRPr="007C12DB">
        <w:rPr>
          <w:rStyle w:val="libFootnotenumChar"/>
          <w:rtl/>
        </w:rPr>
        <w:t>(4)</w:t>
      </w:r>
      <w:r w:rsidRPr="005D642E">
        <w:rPr>
          <w:rtl/>
          <w:lang w:bidi="fa-IR"/>
        </w:rPr>
        <w:t xml:space="preserve"> ، عَنْ إِسْمَاعِيلَ بْنِ مِهْرَانَ ، عَنْ عَلِيِّ بْنِ أَبِي حَمْزَةَ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الْمَرْأَةِ تَمُوتُ وَيَتَحَرَّكُ الْوَلَدُ فِي ب</w:t>
      </w:r>
      <w:r>
        <w:rPr>
          <w:rtl/>
          <w:lang w:bidi="fa-IR"/>
        </w:rPr>
        <w:t>َطْنِهَا : أَ</w:t>
      </w:r>
      <w:r w:rsidRPr="005D642E">
        <w:rPr>
          <w:rtl/>
          <w:lang w:bidi="fa-IR"/>
        </w:rPr>
        <w:t>يُشَقُّ بَطْنُهَا ، وَيُسْتَخْرَجُ وَلَدُهَا</w:t>
      </w:r>
      <w:r>
        <w:rPr>
          <w:rtl/>
          <w:lang w:bidi="fa-IR"/>
        </w:rPr>
        <w:t>؟</w:t>
      </w:r>
      <w:r w:rsidRPr="005D642E">
        <w:rPr>
          <w:rtl/>
          <w:lang w:bidi="fa-IR"/>
        </w:rPr>
        <w:t xml:space="preserve"> قَالَ : « نَعَمْ</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FC4604" w:rsidP="00E3253D">
      <w:pPr>
        <w:pStyle w:val="libNormal"/>
        <w:rPr>
          <w:rtl/>
          <w:lang w:bidi="fa-IR"/>
        </w:rPr>
      </w:pPr>
      <w:r>
        <w:rPr>
          <w:rFonts w:hint="cs"/>
          <w:rtl/>
          <w:lang w:bidi="fa-IR"/>
        </w:rPr>
        <w:t xml:space="preserve">* </w:t>
      </w:r>
      <w:r w:rsidR="00E3253D" w:rsidRPr="005D642E">
        <w:rPr>
          <w:rtl/>
          <w:lang w:bidi="fa-IR"/>
        </w:rPr>
        <w:t xml:space="preserve">وَفِي رِوَايَةِ ابْنِ أَبِي عُمَيْرٍ زَادَ فِيهِ </w:t>
      </w:r>
      <w:r w:rsidR="00E3253D" w:rsidRPr="007C12DB">
        <w:rPr>
          <w:rStyle w:val="libFootnotenumChar"/>
          <w:rtl/>
        </w:rPr>
        <w:t>(6)</w:t>
      </w:r>
      <w:r w:rsidR="00E3253D" w:rsidRPr="005D642E">
        <w:rPr>
          <w:rtl/>
          <w:lang w:bidi="fa-IR"/>
        </w:rPr>
        <w:t xml:space="preserve"> : « يُخْرَجُ الْوَلَدُ ، وَيُخَاطُ بَطْنُهَا</w:t>
      </w:r>
      <w:r w:rsidR="00E3253D">
        <w:rPr>
          <w:rtl/>
          <w:lang w:bidi="fa-IR"/>
        </w:rPr>
        <w:t xml:space="preserve"> ».</w:t>
      </w:r>
      <w:r w:rsidR="00E3253D" w:rsidRPr="005D642E">
        <w:rPr>
          <w:rtl/>
          <w:lang w:bidi="fa-IR"/>
        </w:rPr>
        <w:t xml:space="preserve"> </w:t>
      </w:r>
      <w:r w:rsidR="00E3253D" w:rsidRPr="007C12DB">
        <w:rPr>
          <w:rStyle w:val="libFootnotenumChar"/>
          <w:rtl/>
        </w:rPr>
        <w:t>(7)</w:t>
      </w:r>
      <w:r w:rsidR="00E3253D" w:rsidRPr="005D642E">
        <w:rPr>
          <w:rtl/>
          <w:lang w:bidi="fa-IR"/>
        </w:rPr>
        <w:t xml:space="preserve"> ‌</w:t>
      </w:r>
    </w:p>
    <w:p w:rsidR="00E3253D" w:rsidRPr="005D642E" w:rsidRDefault="00E3253D" w:rsidP="00E3253D">
      <w:pPr>
        <w:pStyle w:val="libNormal"/>
        <w:rPr>
          <w:rtl/>
          <w:lang w:bidi="fa-IR"/>
        </w:rPr>
      </w:pPr>
      <w:r w:rsidRPr="002F4D34">
        <w:rPr>
          <w:rStyle w:val="libFootnoteBoldChar"/>
          <w:rtl/>
        </w:rPr>
        <w:t>4395</w:t>
      </w:r>
      <w:r w:rsidRPr="00246318">
        <w:rPr>
          <w:rStyle w:val="libBold2Char"/>
          <w:rtl/>
        </w:rPr>
        <w:t xml:space="preserve"> / 3.</w:t>
      </w:r>
      <w:r w:rsidRPr="005D642E">
        <w:rPr>
          <w:rtl/>
          <w:lang w:bidi="fa-IR"/>
        </w:rPr>
        <w:t xml:space="preserve"> عِدَّةٌ مِنْ أَصْحَابِنَا ، عَنْ أَحْمَدَ بْنِ مُحَمَّدِ بْنِ خَالِدٍ ، عَنْ أَبِيهِ ، عَنِ ابْنِ وَهْبٍ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 </w:t>
      </w:r>
      <w:r w:rsidRPr="00AC51C5">
        <w:rPr>
          <w:rStyle w:val="libAlaemChar"/>
          <w:rtl/>
        </w:rPr>
        <w:t>عليه‌السلام</w:t>
      </w:r>
      <w:r w:rsidRPr="005D642E">
        <w:rPr>
          <w:rtl/>
          <w:lang w:bidi="fa-IR"/>
        </w:rPr>
        <w:t xml:space="preserve"> : إِذَا مَاتَتِ الْمَرْأَةُ </w:t>
      </w:r>
      <w:r w:rsidRPr="007C12DB">
        <w:rPr>
          <w:rStyle w:val="libFootnotenumChar"/>
          <w:rtl/>
        </w:rPr>
        <w:t>(8)</w:t>
      </w:r>
      <w:r w:rsidRPr="005D642E">
        <w:rPr>
          <w:rtl/>
          <w:lang w:bidi="fa-IR"/>
        </w:rPr>
        <w:t xml:space="preserve"> وَفِي بَطْنِهَا‌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 « تشقّ</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 « منه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343 ، ح 1005 ، بسنده عن الكليني. </w:t>
      </w:r>
      <w:r w:rsidR="00E3253D" w:rsidRPr="002F4D34">
        <w:rPr>
          <w:rStyle w:val="libFootnoteBoldChar"/>
          <w:rtl/>
        </w:rPr>
        <w:t>وفيه</w:t>
      </w:r>
      <w:r w:rsidR="00E3253D" w:rsidRPr="005D642E">
        <w:rPr>
          <w:rtl/>
        </w:rPr>
        <w:t xml:space="preserve"> ، ح 1004 ، بسنده عن عليّ بن يقطين ، عن أبي الحسن موسى </w:t>
      </w:r>
      <w:r w:rsidR="00E3253D" w:rsidRPr="00FC4604">
        <w:rPr>
          <w:rStyle w:val="libFootnoteAlaemChar"/>
          <w:rtl/>
        </w:rPr>
        <w:t>عليه‌السلام</w:t>
      </w:r>
      <w:r w:rsidR="00E3253D" w:rsidRPr="005D642E">
        <w:rPr>
          <w:rtl/>
        </w:rPr>
        <w:t xml:space="preserve">. الكافي ، كتاب الجنائز ، باب المرأة تموت وفي بطنها صبيّ يتحرّك ، ح 4597 ، بسند آخر عن أبي عبدالله </w:t>
      </w:r>
      <w:r w:rsidR="00E3253D" w:rsidRPr="00FC4604">
        <w:rPr>
          <w:rStyle w:val="libFootnoteAlaemChar"/>
          <w:rtl/>
        </w:rPr>
        <w:t>عليه‌السلام</w:t>
      </w:r>
      <w:r w:rsidR="00E3253D" w:rsidRPr="005D642E">
        <w:rPr>
          <w:rtl/>
        </w:rPr>
        <w:t xml:space="preserve">. وفي </w:t>
      </w:r>
      <w:r w:rsidR="00E3253D" w:rsidRPr="002F4D34">
        <w:rPr>
          <w:rStyle w:val="libFootnoteBoldChar"/>
          <w:rtl/>
        </w:rPr>
        <w:t>رجال الكشّي</w:t>
      </w:r>
      <w:r w:rsidR="00E3253D" w:rsidRPr="005D642E">
        <w:rPr>
          <w:rtl/>
        </w:rPr>
        <w:t xml:space="preserve"> ، ص 162 ، ضمن ح 275 ؛ و</w:t>
      </w:r>
      <w:r w:rsidR="00E3253D" w:rsidRPr="002F4D34">
        <w:rPr>
          <w:rStyle w:val="libFootnoteBoldChar"/>
          <w:rtl/>
        </w:rPr>
        <w:t>الاختصاص</w:t>
      </w:r>
      <w:r w:rsidR="00E3253D" w:rsidRPr="005D642E">
        <w:rPr>
          <w:rtl/>
        </w:rPr>
        <w:t xml:space="preserve"> ، ص 203 ، ضمن الحديث ، بسند آخر عن الباقر </w:t>
      </w:r>
      <w:r w:rsidR="00E3253D" w:rsidRPr="00FC4604">
        <w:rPr>
          <w:rStyle w:val="libFootnoteAlaemChar"/>
          <w:rtl/>
        </w:rPr>
        <w:t>عليه‌السلام</w:t>
      </w:r>
      <w:r w:rsidR="00E3253D" w:rsidRPr="005D642E">
        <w:rPr>
          <w:rtl/>
        </w:rPr>
        <w:t xml:space="preserve"> ، وفي الأربعة الأخيرة مع اختلاف يسير </w:t>
      </w:r>
      <w:r w:rsidR="00FC4604">
        <w:rPr>
          <w:rFonts w:hint="cs"/>
          <w:rtl/>
        </w:rPr>
        <w:t>.</w:t>
      </w:r>
      <w:r w:rsidR="00E3253D" w:rsidRPr="002F4D34">
        <w:rPr>
          <w:rStyle w:val="libFootnoteBoldChar"/>
          <w:rtl/>
        </w:rPr>
        <w:t>الوافي</w:t>
      </w:r>
      <w:r w:rsidR="00E3253D" w:rsidRPr="005D642E">
        <w:rPr>
          <w:rtl/>
        </w:rPr>
        <w:t xml:space="preserve"> ، ج 24 ، ص 339 ، ح 24158 ؛ </w:t>
      </w:r>
      <w:r w:rsidR="00E3253D" w:rsidRPr="002F4D34">
        <w:rPr>
          <w:rStyle w:val="libFootnoteBoldChar"/>
          <w:rtl/>
        </w:rPr>
        <w:t>الوسائل</w:t>
      </w:r>
      <w:r w:rsidR="00E3253D" w:rsidRPr="005D642E">
        <w:rPr>
          <w:rtl/>
        </w:rPr>
        <w:t xml:space="preserve"> ، ج 2 ، ص 470 ، ح 2670.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الظاهر أنّ حال هذا السند مشابه لِسند الحديث 4392 ؛ فقد أورد الشيخ الطوسي الخبر في التهذيب بسنده عن محمّد بن يعقوب ، عن عدّة من أصحابنا ، عن سهل بن زياد.</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344 ، ح 1006 ، بسنده عن الكليني ، عن عدّة من أصحابنا ، عن سهل بن زياد </w:t>
      </w:r>
      <w:r w:rsidR="00FC4604">
        <w:rPr>
          <w:rFonts w:hint="cs"/>
          <w:rtl/>
        </w:rPr>
        <w:t>.</w:t>
      </w:r>
      <w:r w:rsidR="00E3253D" w:rsidRPr="002F4D34">
        <w:rPr>
          <w:rStyle w:val="libFootnoteBoldChar"/>
          <w:rtl/>
        </w:rPr>
        <w:t>الوافي</w:t>
      </w:r>
      <w:r w:rsidR="00E3253D" w:rsidRPr="005D642E">
        <w:rPr>
          <w:rtl/>
        </w:rPr>
        <w:t xml:space="preserve"> ، ج 24 ، ص 339 ، ح 24159 ؛ </w:t>
      </w:r>
      <w:r w:rsidR="00E3253D" w:rsidRPr="002F4D34">
        <w:rPr>
          <w:rStyle w:val="libFootnoteBoldChar"/>
          <w:rtl/>
        </w:rPr>
        <w:t>الوسائل</w:t>
      </w:r>
      <w:r w:rsidR="00E3253D" w:rsidRPr="005D642E">
        <w:rPr>
          <w:rtl/>
        </w:rPr>
        <w:t xml:space="preserve"> ، ج 2 ، ص 470 ، ح 2672.</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زاد فيه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المرأة تموت وفي بطنها صبيّ يتحرّك ، ح 4597 ، عن عليّ بن إبراهيم ، عن أبيه ، عن ابن أبي عمير ، عن بعض أصحابه ، عن أبي عبدالله </w:t>
      </w:r>
      <w:r w:rsidR="00E3253D" w:rsidRPr="00FC4604">
        <w:rPr>
          <w:rStyle w:val="libFootnoteAlaemChar"/>
          <w:rtl/>
        </w:rPr>
        <w:t>عليه‌السلام</w:t>
      </w:r>
      <w:r w:rsidR="00E3253D" w:rsidRPr="005D642E">
        <w:rPr>
          <w:rtl/>
        </w:rPr>
        <w:t xml:space="preserve"> ، مع اختلاف يسير. </w:t>
      </w:r>
      <w:r w:rsidR="00E3253D" w:rsidRPr="002F4D34">
        <w:rPr>
          <w:rStyle w:val="libFootnoteBoldChar"/>
          <w:rtl/>
        </w:rPr>
        <w:t>التهذيب</w:t>
      </w:r>
      <w:r w:rsidR="00E3253D" w:rsidRPr="005D642E">
        <w:rPr>
          <w:rtl/>
        </w:rPr>
        <w:t xml:space="preserve"> ، ج 1 ، ص 344 ، ح 1007 ، وتمام الرواية فيه : « وفي رواية ابن أبي عمير ، عن ابن ا</w:t>
      </w:r>
      <w:r w:rsidR="00FC4604">
        <w:rPr>
          <w:rFonts w:hint="cs"/>
          <w:rtl/>
        </w:rPr>
        <w:t>ُ</w:t>
      </w:r>
      <w:r w:rsidR="00E3253D" w:rsidRPr="005D642E">
        <w:rPr>
          <w:rtl/>
        </w:rPr>
        <w:t xml:space="preserve">ذينة : يخرج الولد ويخاط بطنها » </w:t>
      </w:r>
      <w:r w:rsidR="0085131F">
        <w:rPr>
          <w:rFonts w:hint="cs"/>
          <w:rtl/>
        </w:rPr>
        <w:t>.</w:t>
      </w:r>
      <w:r w:rsidR="00E3253D" w:rsidRPr="002F4D34">
        <w:rPr>
          <w:rStyle w:val="libFootnoteBoldChar"/>
          <w:rtl/>
        </w:rPr>
        <w:t>الوافي</w:t>
      </w:r>
      <w:r w:rsidR="00E3253D" w:rsidRPr="005D642E">
        <w:rPr>
          <w:rtl/>
        </w:rPr>
        <w:t xml:space="preserve"> ، ج 24 ، ص 339 ، ح 24160 ؛ </w:t>
      </w:r>
      <w:r w:rsidR="00E3253D" w:rsidRPr="002F4D34">
        <w:rPr>
          <w:rStyle w:val="libFootnoteBoldChar"/>
          <w:rtl/>
        </w:rPr>
        <w:t>الوسائل</w:t>
      </w:r>
      <w:r w:rsidR="00E3253D" w:rsidRPr="005D642E">
        <w:rPr>
          <w:rtl/>
        </w:rPr>
        <w:t xml:space="preserve"> ، ج 2 ، ص 469 ، ح 2669 ؛ وص 471 ، ح 2673.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امرأة</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وَلَدٌ يَتَحَرَّكُ ، يُشَقُّ </w:t>
      </w:r>
      <w:r w:rsidRPr="007C12DB">
        <w:rPr>
          <w:rStyle w:val="libFootnotenumChar"/>
          <w:rtl/>
        </w:rPr>
        <w:t>(1)</w:t>
      </w:r>
      <w:r w:rsidRPr="005D642E">
        <w:rPr>
          <w:rtl/>
          <w:lang w:bidi="fa-IR"/>
        </w:rPr>
        <w:t xml:space="preserve"> بَطْنُهَا </w:t>
      </w:r>
      <w:r w:rsidRPr="007C12DB">
        <w:rPr>
          <w:rStyle w:val="libFootnotenumChar"/>
          <w:rtl/>
        </w:rPr>
        <w:t>(2)</w:t>
      </w:r>
      <w:r w:rsidRPr="005D642E">
        <w:rPr>
          <w:rtl/>
          <w:lang w:bidi="fa-IR"/>
        </w:rPr>
        <w:t xml:space="preserve"> ، وَيُخْرَجُ الْوَلَدُ</w:t>
      </w:r>
      <w:r>
        <w:rPr>
          <w:rtl/>
          <w:lang w:bidi="fa-IR"/>
        </w:rPr>
        <w:t xml:space="preserve"> ».</w:t>
      </w:r>
    </w:p>
    <w:p w:rsidR="00E3253D" w:rsidRPr="005D642E" w:rsidRDefault="00E3253D" w:rsidP="00E3253D">
      <w:pPr>
        <w:pStyle w:val="libNormal"/>
        <w:rPr>
          <w:rtl/>
          <w:lang w:bidi="fa-IR"/>
        </w:rPr>
      </w:pPr>
      <w:r w:rsidRPr="005D642E">
        <w:rPr>
          <w:rtl/>
          <w:lang w:bidi="fa-IR"/>
        </w:rPr>
        <w:t xml:space="preserve">وَقَالَ فِي الْمَرْأَةِ يَمُوتُ </w:t>
      </w:r>
      <w:r w:rsidRPr="007C12DB">
        <w:rPr>
          <w:rStyle w:val="libFootnotenumChar"/>
          <w:rtl/>
        </w:rPr>
        <w:t>(3)</w:t>
      </w:r>
      <w:r w:rsidRPr="005D642E">
        <w:rPr>
          <w:rtl/>
          <w:lang w:bidi="fa-IR"/>
        </w:rPr>
        <w:t xml:space="preserve"> فِي بَطْنِهَا الْوَلَدُ ، فَيُتَخَوَّفُ </w:t>
      </w:r>
      <w:r w:rsidRPr="007C12DB">
        <w:rPr>
          <w:rStyle w:val="libFootnotenumChar"/>
          <w:rtl/>
        </w:rPr>
        <w:t>(4)</w:t>
      </w:r>
      <w:r w:rsidRPr="005D642E">
        <w:rPr>
          <w:rtl/>
          <w:lang w:bidi="fa-IR"/>
        </w:rPr>
        <w:t xml:space="preserve"> عَلَيْهَا ، قَالَ : « لَا بَأْسَ أَنْ يُدْخِلَ الرَّجُلُ </w:t>
      </w:r>
      <w:r w:rsidRPr="007C12DB">
        <w:rPr>
          <w:rStyle w:val="libFootnotenumChar"/>
          <w:rtl/>
        </w:rPr>
        <w:t>(5)</w:t>
      </w:r>
      <w:r w:rsidRPr="005D642E">
        <w:rPr>
          <w:rtl/>
          <w:lang w:bidi="fa-IR"/>
        </w:rPr>
        <w:t xml:space="preserve"> يَدَهُ ، فَيُقَطِّعَهُ وَيُخْرِجَهُ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335" w:name="_Toc344647322"/>
      <w:bookmarkStart w:id="336" w:name="_Toc462226836"/>
      <w:bookmarkStart w:id="337" w:name="_Toc40975945"/>
      <w:r w:rsidRPr="005D642E">
        <w:rPr>
          <w:rtl/>
          <w:lang w:bidi="fa-IR"/>
        </w:rPr>
        <w:t>27</w:t>
      </w:r>
      <w:r>
        <w:rPr>
          <w:rtl/>
          <w:lang w:bidi="fa-IR"/>
        </w:rPr>
        <w:t xml:space="preserve"> </w:t>
      </w:r>
      <w:r w:rsidR="007642BC">
        <w:rPr>
          <w:rtl/>
          <w:lang w:bidi="fa-IR"/>
        </w:rPr>
        <w:t>-</w:t>
      </w:r>
      <w:r>
        <w:rPr>
          <w:rtl/>
          <w:lang w:bidi="fa-IR"/>
        </w:rPr>
        <w:t xml:space="preserve"> </w:t>
      </w:r>
      <w:r w:rsidRPr="005D642E">
        <w:rPr>
          <w:rtl/>
          <w:lang w:bidi="fa-IR"/>
        </w:rPr>
        <w:t xml:space="preserve">بَابُ كَرَاهِيَةِ </w:t>
      </w:r>
      <w:r w:rsidRPr="007C12DB">
        <w:rPr>
          <w:rStyle w:val="libFootnotenumChar"/>
          <w:rtl/>
        </w:rPr>
        <w:t>(8)</w:t>
      </w:r>
      <w:r>
        <w:rPr>
          <w:rtl/>
        </w:rPr>
        <w:t xml:space="preserve"> </w:t>
      </w:r>
      <w:r w:rsidRPr="005D642E">
        <w:rPr>
          <w:rtl/>
          <w:lang w:bidi="fa-IR"/>
        </w:rPr>
        <w:t xml:space="preserve">أَنْ يُقَصَّ مِنَ الْمَيِّتِ ظُفُرٌ أَوْ شَعْرٌ </w:t>
      </w:r>
      <w:r w:rsidRPr="007C12DB">
        <w:rPr>
          <w:rStyle w:val="libFootnotenumChar"/>
          <w:rtl/>
        </w:rPr>
        <w:t>(9)</w:t>
      </w:r>
      <w:r w:rsidRPr="005D642E">
        <w:rPr>
          <w:rtl/>
          <w:lang w:bidi="fa-IR"/>
        </w:rPr>
        <w:t xml:space="preserve"> ‌</w:t>
      </w:r>
      <w:bookmarkEnd w:id="335"/>
      <w:bookmarkEnd w:id="336"/>
      <w:bookmarkEnd w:id="337"/>
    </w:p>
    <w:p w:rsidR="00E3253D" w:rsidRPr="005D642E" w:rsidRDefault="00E3253D" w:rsidP="00E3253D">
      <w:pPr>
        <w:pStyle w:val="libNormal"/>
        <w:rPr>
          <w:rtl/>
          <w:lang w:bidi="fa-IR"/>
        </w:rPr>
      </w:pPr>
      <w:r w:rsidRPr="00D3426B">
        <w:rPr>
          <w:rtl/>
        </w:rPr>
        <w:t>4396</w:t>
      </w:r>
      <w:r w:rsidRPr="00246318">
        <w:rPr>
          <w:rStyle w:val="libBold2Char"/>
          <w:rtl/>
        </w:rPr>
        <w:t xml:space="preserve"> / 1.</w:t>
      </w:r>
      <w:r w:rsidRPr="005D642E">
        <w:rPr>
          <w:rtl/>
          <w:lang w:bidi="fa-IR"/>
        </w:rPr>
        <w:t xml:space="preserve"> عَلِيُّ بْنُ إِبْرَاهِيمَ ، عَنْ أَبِيهِ ، عَنِ ابْنِ أَبِي عُمَيْرٍ ، عَنْ بَعْضِ أَصْحَابِهِ :</w:t>
      </w:r>
    </w:p>
    <w:p w:rsidR="00E3253D" w:rsidRPr="005D642E" w:rsidRDefault="00E3253D" w:rsidP="006F545E">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يُمَسُّ مِنَ الْمَيِّتِ شَعْرٌ وَلَاظُفُرٌ ، وَإِنْ سَقَطَ مِنْهُ شَيْ‌ءٌ ، فَاجْعَلْهُ فِي كَفَنِهِ</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D3426B">
        <w:rPr>
          <w:rtl/>
        </w:rPr>
        <w:t>4397</w:t>
      </w:r>
      <w:r w:rsidRPr="00246318">
        <w:rPr>
          <w:rStyle w:val="libBold2Char"/>
          <w:rtl/>
        </w:rPr>
        <w:t xml:space="preserve"> / 2.</w:t>
      </w:r>
      <w:r w:rsidRPr="005D642E">
        <w:rPr>
          <w:rtl/>
          <w:lang w:bidi="fa-IR"/>
        </w:rPr>
        <w:t xml:space="preserve"> عَنْهُ </w:t>
      </w:r>
      <w:r w:rsidRPr="007C12DB">
        <w:rPr>
          <w:rStyle w:val="libFootnotenumChar"/>
          <w:rtl/>
        </w:rPr>
        <w:t>(11)</w:t>
      </w:r>
      <w:r w:rsidRPr="005D642E">
        <w:rPr>
          <w:rtl/>
          <w:lang w:bidi="fa-IR"/>
        </w:rPr>
        <w:t xml:space="preserve"> ، عَنْ أَبِيهِ ، عَنْ عَبْدِ اللهِ بْنِ الْمُغِيرَةِ ، عَنْ غِيَاثٍ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كَرِهَ أَمِيرُ الْمُؤْمِنِينَ </w:t>
      </w:r>
      <w:r w:rsidRPr="00AC51C5">
        <w:rPr>
          <w:rStyle w:val="libAlaemChar"/>
          <w:rtl/>
        </w:rPr>
        <w:t>عليه‌السلام</w:t>
      </w:r>
      <w:r w:rsidRPr="005D642E">
        <w:rPr>
          <w:rtl/>
          <w:lang w:bidi="fa-IR"/>
        </w:rPr>
        <w:t xml:space="preserve"> أَنْ تُحْلَقَ </w:t>
      </w:r>
      <w:r w:rsidRPr="007C12DB">
        <w:rPr>
          <w:rStyle w:val="libFootnotenumChar"/>
          <w:rtl/>
        </w:rPr>
        <w:t>(12)</w:t>
      </w:r>
      <w:r w:rsidRPr="005D642E">
        <w:rPr>
          <w:rtl/>
          <w:lang w:bidi="fa-IR"/>
        </w:rPr>
        <w:t xml:space="preserve"> عَانَةُ الْمَيِّتِ إِذَا‌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 ظ ، ى ، بث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 غ » : « تشقّ</w:t>
      </w:r>
      <w:r w:rsidR="00E3253D">
        <w:rPr>
          <w:rtl/>
        </w:rPr>
        <w:t xml:space="preserve"> ».</w:t>
      </w:r>
      <w:r w:rsidR="00E3253D" w:rsidRPr="005D642E">
        <w:rPr>
          <w:rtl/>
        </w:rPr>
        <w:t xml:space="preserve"> وفي المطبوع سائر النسخ : « شُقّ</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بطنها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غ ، ى ، بث ، بح ، بخ ، بس ، بف ، جح ، جس ، جن » والوسائل </w:t>
      </w:r>
      <w:r w:rsidR="00B60612" w:rsidRPr="00B60612">
        <w:rPr>
          <w:rStyle w:val="libFootnoteBoldChar"/>
          <w:rtl/>
        </w:rPr>
        <w:t>والتهذيب</w:t>
      </w:r>
      <w:r w:rsidR="00E3253D" w:rsidRPr="005D642E">
        <w:rPr>
          <w:rtl/>
        </w:rPr>
        <w:t xml:space="preserve"> </w:t>
      </w:r>
      <w:r w:rsidR="00E3253D" w:rsidRPr="003B3913">
        <w:rPr>
          <w:rStyle w:val="libFootnoteBoldChar"/>
          <w:rtl/>
        </w:rPr>
        <w:t>وقرب الإسناد</w:t>
      </w:r>
      <w:r w:rsidR="00E3253D" w:rsidRPr="005D642E">
        <w:rPr>
          <w:rtl/>
        </w:rPr>
        <w:t>. وفي « ظ » والمطبوع : « تموت</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بح » : « ويتخوّف</w:t>
      </w:r>
      <w:r w:rsidR="00E3253D">
        <w:rPr>
          <w:rtl/>
        </w:rPr>
        <w:t xml:space="preserve"> ».</w:t>
      </w:r>
      <w:r w:rsidR="00E3253D" w:rsidRPr="005D642E">
        <w:rPr>
          <w:rtl/>
        </w:rPr>
        <w:t xml:space="preserve"> وفي « جس » : « فتخوّف</w:t>
      </w:r>
      <w:r w:rsidR="00E3253D">
        <w:rPr>
          <w:rtl/>
        </w:rPr>
        <w:t xml:space="preserve"> ».</w:t>
      </w:r>
    </w:p>
    <w:p w:rsidR="00E3253D" w:rsidRPr="005D642E" w:rsidRDefault="0042621E" w:rsidP="006F545E">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ج 13 ، ص 331 : « لا خلاف في أصل الحكم لكن حمل الرجل على ما إذا لم توجد امرأة تحسن ذلك</w:t>
      </w:r>
      <w:r w:rsidR="00E3253D">
        <w:rPr>
          <w:rtl/>
        </w:rPr>
        <w:t xml:space="preserve"> ».</w:t>
      </w:r>
      <w:r w:rsidR="00FE5E85">
        <w:rPr>
          <w:rFonts w:hint="cs"/>
          <w:rtl/>
        </w:rPr>
        <w:t xml:space="preserve">                </w:t>
      </w:r>
      <w:r w:rsidR="006F545E">
        <w:rPr>
          <w:rFonts w:hint="cs"/>
          <w:rtl/>
        </w:rPr>
        <w:t xml:space="preserve">               </w:t>
      </w:r>
      <w:r w:rsidR="00340DF7">
        <w:rPr>
          <w:rFonts w:hint="cs"/>
          <w:rtl/>
        </w:rPr>
        <w:t xml:space="preserve">        </w:t>
      </w:r>
      <w:r w:rsidR="006F545E">
        <w:rPr>
          <w:rFonts w:hint="cs"/>
          <w:rtl/>
        </w:rPr>
        <w:t xml:space="preserve">   </w:t>
      </w:r>
      <w:r w:rsidRPr="0042621E">
        <w:rPr>
          <w:rStyle w:val="libFootnote0Char"/>
          <w:rtl/>
        </w:rPr>
        <w:t>(6).</w:t>
      </w:r>
      <w:r w:rsidR="00E3253D" w:rsidRPr="005D642E">
        <w:rPr>
          <w:rtl/>
        </w:rPr>
        <w:t xml:space="preserve">في التهذيب </w:t>
      </w:r>
      <w:r w:rsidR="00E3253D" w:rsidRPr="003B3913">
        <w:rPr>
          <w:rStyle w:val="libFootnoteBoldChar"/>
          <w:rtl/>
        </w:rPr>
        <w:t>وقرب الإسناد</w:t>
      </w:r>
      <w:r w:rsidR="00340DF7">
        <w:rPr>
          <w:rtl/>
        </w:rPr>
        <w:t>:+«إذا</w:t>
      </w:r>
      <w:r w:rsidR="00E3253D" w:rsidRPr="005D642E">
        <w:rPr>
          <w:rtl/>
        </w:rPr>
        <w:t>لم ترفق به النساء</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344 ، ح 1008 ، بسنده عن الكليني. </w:t>
      </w:r>
      <w:r w:rsidR="00E3253D" w:rsidRPr="002F4D34">
        <w:rPr>
          <w:rStyle w:val="libFootnoteBoldChar"/>
          <w:rtl/>
        </w:rPr>
        <w:t>قرب الإسناد</w:t>
      </w:r>
      <w:r w:rsidR="00E3253D" w:rsidRPr="005D642E">
        <w:rPr>
          <w:rtl/>
        </w:rPr>
        <w:t xml:space="preserve"> ، ص 136 ، ح 478 ، عن أبي البختري ، عن جعفر بن محمّد ، عن أبيه ، عن أميرالمؤمنين </w:t>
      </w:r>
      <w:r w:rsidR="00E3253D" w:rsidRPr="006F545E">
        <w:rPr>
          <w:rStyle w:val="libFootnoteAlaemChar"/>
          <w:rtl/>
        </w:rPr>
        <w:t>عليهم‌السلام</w:t>
      </w:r>
      <w:r w:rsidR="00E3253D" w:rsidRPr="005D642E">
        <w:rPr>
          <w:rtl/>
        </w:rPr>
        <w:t xml:space="preserve"> ، من قوله : « في المرأة تموت في بطنها » </w:t>
      </w:r>
      <w:r w:rsidR="006F545E">
        <w:rPr>
          <w:rFonts w:hint="cs"/>
          <w:rtl/>
        </w:rPr>
        <w:t>.</w:t>
      </w:r>
      <w:r w:rsidR="00E3253D" w:rsidRPr="002F4D34">
        <w:rPr>
          <w:rStyle w:val="libFootnoteBoldChar"/>
          <w:rtl/>
        </w:rPr>
        <w:t>الوافي</w:t>
      </w:r>
      <w:r w:rsidR="00E3253D" w:rsidRPr="005D642E">
        <w:rPr>
          <w:rtl/>
        </w:rPr>
        <w:t xml:space="preserve"> ، ج 24 ، ص 340 ، ح 24162 ؛ </w:t>
      </w:r>
      <w:r w:rsidR="00E3253D" w:rsidRPr="002F4D34">
        <w:rPr>
          <w:rStyle w:val="libFootnoteBoldChar"/>
          <w:rtl/>
        </w:rPr>
        <w:t>الوسائل</w:t>
      </w:r>
      <w:r w:rsidR="00E3253D" w:rsidRPr="005D642E">
        <w:rPr>
          <w:rtl/>
        </w:rPr>
        <w:t xml:space="preserve"> ، ج 2 ، ص 470 ، ح 2671.</w:t>
      </w:r>
    </w:p>
    <w:tbl>
      <w:tblPr>
        <w:tblStyle w:val="TableGrid"/>
        <w:bidiVisual/>
        <w:tblW w:w="0" w:type="auto"/>
        <w:tblLook w:val="04A0" w:firstRow="1" w:lastRow="0" w:firstColumn="1" w:lastColumn="0" w:noHBand="0" w:noVBand="1"/>
      </w:tblPr>
      <w:tblGrid>
        <w:gridCol w:w="4006"/>
        <w:gridCol w:w="4006"/>
      </w:tblGrid>
      <w:tr w:rsidR="006F545E" w:rsidTr="006F545E">
        <w:tc>
          <w:tcPr>
            <w:tcW w:w="4006" w:type="dxa"/>
          </w:tcPr>
          <w:p w:rsidR="006F545E" w:rsidRDefault="006F545E" w:rsidP="00E3253D">
            <w:pPr>
              <w:pStyle w:val="libFootnote0"/>
              <w:rPr>
                <w:rStyle w:val="libFootnote0Char"/>
                <w:rtl/>
              </w:rPr>
            </w:pPr>
            <w:r w:rsidRPr="0042621E">
              <w:rPr>
                <w:rStyle w:val="libFootnote0Char"/>
                <w:rtl/>
              </w:rPr>
              <w:t>(8).</w:t>
            </w:r>
            <w:r w:rsidRPr="005D642E">
              <w:rPr>
                <w:rtl/>
              </w:rPr>
              <w:t xml:space="preserve"> في « بخ » : « كراهة</w:t>
            </w:r>
            <w:r>
              <w:rPr>
                <w:rtl/>
              </w:rPr>
              <w:t xml:space="preserve"> ».</w:t>
            </w:r>
          </w:p>
        </w:tc>
        <w:tc>
          <w:tcPr>
            <w:tcW w:w="4006" w:type="dxa"/>
          </w:tcPr>
          <w:p w:rsidR="006F545E" w:rsidRDefault="006F545E" w:rsidP="00E3253D">
            <w:pPr>
              <w:pStyle w:val="libFootnote0"/>
              <w:rPr>
                <w:rStyle w:val="libFootnote0Char"/>
                <w:rtl/>
              </w:rPr>
            </w:pPr>
            <w:r w:rsidRPr="0042621E">
              <w:rPr>
                <w:rStyle w:val="libFootnote0Char"/>
                <w:rtl/>
              </w:rPr>
              <w:t>(9).</w:t>
            </w:r>
            <w:r w:rsidRPr="005D642E">
              <w:rPr>
                <w:rtl/>
              </w:rPr>
              <w:t xml:space="preserve"> في مرآة العقول : « شعر أو ظفر</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323 ، ح 940 ، بسنده عن الكليني. </w:t>
      </w:r>
      <w:r w:rsidR="00E3253D" w:rsidRPr="002F4D34">
        <w:rPr>
          <w:rStyle w:val="libFootnoteBoldChar"/>
          <w:rtl/>
        </w:rPr>
        <w:t>الفقيه</w:t>
      </w:r>
      <w:r w:rsidR="00E3253D" w:rsidRPr="005D642E">
        <w:rPr>
          <w:rtl/>
        </w:rPr>
        <w:t xml:space="preserve"> ، ج 1 ، ص 150 ، ذيل ح 416 ، مع اختلاف يسير </w:t>
      </w:r>
      <w:r w:rsidR="00423EE1">
        <w:rPr>
          <w:rFonts w:hint="cs"/>
          <w:rtl/>
        </w:rPr>
        <w:t>.</w:t>
      </w:r>
      <w:r w:rsidR="00E3253D" w:rsidRPr="002F4D34">
        <w:rPr>
          <w:rStyle w:val="libFootnoteBoldChar"/>
          <w:rtl/>
        </w:rPr>
        <w:t>الوافي</w:t>
      </w:r>
      <w:r w:rsidR="00E3253D" w:rsidRPr="005D642E">
        <w:rPr>
          <w:rtl/>
        </w:rPr>
        <w:t xml:space="preserve"> ، ج 24 ، ص 335 ، ح 24147 ؛ </w:t>
      </w:r>
      <w:r w:rsidR="00E3253D" w:rsidRPr="002F4D34">
        <w:rPr>
          <w:rStyle w:val="libFootnoteBoldChar"/>
          <w:rtl/>
        </w:rPr>
        <w:t>الوسائل</w:t>
      </w:r>
      <w:r w:rsidR="00E3253D" w:rsidRPr="005D642E">
        <w:rPr>
          <w:rtl/>
        </w:rPr>
        <w:t xml:space="preserve"> ، ج 2 ، ص 500 ، ح 2748.</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جن » : « عليّ</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غ ، ى ، بث ، بس ، جح ، جس ، جن » </w:t>
      </w:r>
      <w:r w:rsidR="000D749A" w:rsidRPr="000D749A">
        <w:rPr>
          <w:rStyle w:val="libFootnoteBoldChar"/>
          <w:rtl/>
        </w:rPr>
        <w:t>والوافي</w:t>
      </w:r>
      <w:r w:rsidR="00E3253D" w:rsidRPr="005D642E">
        <w:rPr>
          <w:rtl/>
        </w:rPr>
        <w:t xml:space="preserve"> : « أن يحلق</w:t>
      </w:r>
      <w:r w:rsidR="00E3253D">
        <w:rPr>
          <w:rtl/>
        </w:rPr>
        <w:t xml:space="preserve"> ».</w:t>
      </w:r>
      <w:r w:rsidR="00E3253D" w:rsidRPr="005D642E">
        <w:rPr>
          <w:rtl/>
        </w:rPr>
        <w:t xml:space="preserve"> وفي « بح » : « أن تحلّق</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423EE1">
      <w:pPr>
        <w:pStyle w:val="libNormal0"/>
        <w:rPr>
          <w:rtl/>
          <w:lang w:bidi="fa-IR"/>
        </w:rPr>
      </w:pPr>
      <w:r w:rsidRPr="005D642E">
        <w:rPr>
          <w:rtl/>
          <w:lang w:bidi="fa-IR"/>
        </w:rPr>
        <w:t>غُسِّلَ ، أَوْ يُقَلَّمَ لَهُ ظُفُرٌ ، أَوْ يُجَزَّ لَهُ شَعْرٌ</w:t>
      </w:r>
      <w:r>
        <w:rPr>
          <w:rtl/>
          <w:lang w:bidi="fa-IR"/>
        </w:rPr>
        <w:t xml:space="preserve"> ».</w:t>
      </w:r>
      <w:r w:rsidRPr="005D642E">
        <w:rPr>
          <w:rtl/>
          <w:lang w:bidi="fa-IR"/>
        </w:rPr>
        <w:t xml:space="preserve"> </w:t>
      </w:r>
      <w:r w:rsidRPr="007C12DB">
        <w:rPr>
          <w:rStyle w:val="libFootnotenumChar"/>
          <w:rtl/>
        </w:rPr>
        <w:t>(1)</w:t>
      </w:r>
    </w:p>
    <w:p w:rsidR="00E3253D" w:rsidRPr="005D642E" w:rsidRDefault="00E3253D" w:rsidP="00E3253D">
      <w:pPr>
        <w:pStyle w:val="libNormal"/>
        <w:rPr>
          <w:rtl/>
          <w:lang w:bidi="fa-IR"/>
        </w:rPr>
      </w:pPr>
      <w:r w:rsidRPr="00D3426B">
        <w:rPr>
          <w:rtl/>
        </w:rPr>
        <w:t>4398</w:t>
      </w:r>
      <w:r w:rsidRPr="00246318">
        <w:rPr>
          <w:rStyle w:val="libBold2Char"/>
          <w:rtl/>
        </w:rPr>
        <w:t xml:space="preserve"> / 3.</w:t>
      </w:r>
      <w:r w:rsidRPr="005D642E">
        <w:rPr>
          <w:rtl/>
          <w:lang w:bidi="fa-IR"/>
        </w:rPr>
        <w:t xml:space="preserve"> عِدَّةٌ مِنْ أَصْحَابِنَا ، عَنْ سَهْلِ بْنِ زِيَادٍ ، عَنِ ابْنِ مَحْبُوبٍ ، عَنْ إِبْرَاهِيمَ بْنِ مِهْزَمٍ ، عَنْ طَلْحَةَ بْنِ زَيْدٍ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كُرِهَ </w:t>
      </w:r>
      <w:r w:rsidRPr="007C12DB">
        <w:rPr>
          <w:rStyle w:val="libFootnotenumChar"/>
          <w:rtl/>
        </w:rPr>
        <w:t>(2)</w:t>
      </w:r>
      <w:r w:rsidRPr="005D642E">
        <w:rPr>
          <w:rtl/>
          <w:lang w:bidi="fa-IR"/>
        </w:rPr>
        <w:t xml:space="preserve"> أَنْ يُقَصَّ مِنَ الْمَيِّتِ </w:t>
      </w:r>
      <w:r w:rsidRPr="007C12DB">
        <w:rPr>
          <w:rStyle w:val="libFootnotenumChar"/>
          <w:rtl/>
        </w:rPr>
        <w:t>(3)</w:t>
      </w:r>
      <w:r w:rsidRPr="005D642E">
        <w:rPr>
          <w:rtl/>
          <w:lang w:bidi="fa-IR"/>
        </w:rPr>
        <w:t xml:space="preserve"> ظُفُرٌ ، أَوْ يُقَصَّ لَهُ </w:t>
      </w:r>
      <w:r w:rsidRPr="007C12DB">
        <w:rPr>
          <w:rStyle w:val="libFootnotenumChar"/>
          <w:rtl/>
        </w:rPr>
        <w:t>(4)</w:t>
      </w:r>
      <w:r w:rsidRPr="005D642E">
        <w:rPr>
          <w:rtl/>
          <w:lang w:bidi="fa-IR"/>
        </w:rPr>
        <w:t xml:space="preserve"> شَعْرٌ ، أَوْ تُحْلَقَ </w:t>
      </w:r>
      <w:r w:rsidRPr="007C12DB">
        <w:rPr>
          <w:rStyle w:val="libFootnotenumChar"/>
          <w:rtl/>
        </w:rPr>
        <w:t>(5)</w:t>
      </w:r>
      <w:r w:rsidRPr="005D642E">
        <w:rPr>
          <w:rtl/>
          <w:lang w:bidi="fa-IR"/>
        </w:rPr>
        <w:t xml:space="preserve"> لَهُ عَانَةٌ ، أَوْ يُغْمَضَ </w:t>
      </w:r>
      <w:r w:rsidRPr="007C12DB">
        <w:rPr>
          <w:rStyle w:val="libFootnotenumChar"/>
          <w:rtl/>
        </w:rPr>
        <w:t>(6)</w:t>
      </w:r>
      <w:r w:rsidRPr="005D642E">
        <w:rPr>
          <w:rtl/>
          <w:lang w:bidi="fa-IR"/>
        </w:rPr>
        <w:t xml:space="preserve"> لَهُ مَفْصِلٌ</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D3426B">
        <w:rPr>
          <w:rtl/>
        </w:rPr>
        <w:t>4399</w:t>
      </w:r>
      <w:r w:rsidRPr="00246318">
        <w:rPr>
          <w:rStyle w:val="libBold2Char"/>
          <w:rtl/>
        </w:rPr>
        <w:t xml:space="preserve"> / 4.</w:t>
      </w:r>
      <w:r w:rsidRPr="005D642E">
        <w:rPr>
          <w:rtl/>
          <w:lang w:bidi="fa-IR"/>
        </w:rPr>
        <w:t xml:space="preserve"> حُمَيْدُ بْنُ زِيَادٍ ، عَنِ الْحَسَنِ بْنِ مُحَمَّدٍ الْكِنْدِيِّ ، عَنْ أَحْمَدَ بْنِ الْحَسَنِ الْمِيثَمِيِّ ، عَنْ أَبَانِ بْنِ عُثْمَانَ ، عَنْ عَبْدِ الرَّحْمنِ بْنِ أَبِي عَبْدِ اللهِ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الْمَيِّتِ يَكُونُ عَلَيْهِ الشَّعْرُ ، فَيُحْلَقُ عَنْهُ ، أَوْ يُقَلَّمُ</w:t>
      </w:r>
      <w:r>
        <w:rPr>
          <w:rtl/>
          <w:lang w:bidi="fa-IR"/>
        </w:rPr>
        <w:t>؟</w:t>
      </w:r>
    </w:p>
    <w:p w:rsidR="00E3253D" w:rsidRPr="005D642E" w:rsidRDefault="00E3253D" w:rsidP="00E3253D">
      <w:pPr>
        <w:pStyle w:val="libNormal"/>
        <w:rPr>
          <w:rtl/>
          <w:lang w:bidi="fa-IR"/>
        </w:rPr>
      </w:pPr>
      <w:r w:rsidRPr="005D642E">
        <w:rPr>
          <w:rtl/>
          <w:lang w:bidi="fa-IR"/>
        </w:rPr>
        <w:t>قَالَ : « لَا يُمَسُّ مِنْهُ شَيْ‌ءٌ ، اغْسِلْهُ وَادْفِنْهُ</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3947B2">
      <w:pPr>
        <w:pStyle w:val="Heading2Center"/>
        <w:rPr>
          <w:rtl/>
          <w:lang w:bidi="fa-IR"/>
        </w:rPr>
      </w:pPr>
      <w:bookmarkStart w:id="338" w:name="_Toc344647323"/>
      <w:bookmarkStart w:id="339" w:name="_Toc462226837"/>
      <w:bookmarkStart w:id="340" w:name="_Toc40975946"/>
      <w:r w:rsidRPr="005D642E">
        <w:rPr>
          <w:rtl/>
          <w:lang w:bidi="fa-IR"/>
        </w:rPr>
        <w:t>28</w:t>
      </w:r>
      <w:r>
        <w:rPr>
          <w:rtl/>
          <w:lang w:bidi="fa-IR"/>
        </w:rPr>
        <w:t xml:space="preserve"> </w:t>
      </w:r>
      <w:r w:rsidR="007642BC">
        <w:rPr>
          <w:rtl/>
          <w:lang w:bidi="fa-IR"/>
        </w:rPr>
        <w:t>-</w:t>
      </w:r>
      <w:r>
        <w:rPr>
          <w:rtl/>
          <w:lang w:bidi="fa-IR"/>
        </w:rPr>
        <w:t xml:space="preserve"> </w:t>
      </w:r>
      <w:r w:rsidRPr="005D642E">
        <w:rPr>
          <w:rtl/>
          <w:lang w:bidi="fa-IR"/>
        </w:rPr>
        <w:t xml:space="preserve">بَابُ مَا يَخْرُجُ مِنَ الْمَيِّتِ بَعْدَ أَنْ يُغَسَّلَ </w:t>
      </w:r>
      <w:r w:rsidRPr="007C12DB">
        <w:rPr>
          <w:rStyle w:val="libFootnotenumChar"/>
          <w:rtl/>
        </w:rPr>
        <w:t>(9)</w:t>
      </w:r>
      <w:bookmarkEnd w:id="338"/>
      <w:bookmarkEnd w:id="339"/>
      <w:bookmarkEnd w:id="340"/>
    </w:p>
    <w:p w:rsidR="00E3253D" w:rsidRPr="005D642E" w:rsidRDefault="00E3253D" w:rsidP="00E3253D">
      <w:pPr>
        <w:pStyle w:val="libNormal"/>
        <w:rPr>
          <w:rtl/>
          <w:lang w:bidi="fa-IR"/>
        </w:rPr>
      </w:pPr>
      <w:r w:rsidRPr="00D3426B">
        <w:rPr>
          <w:rtl/>
        </w:rPr>
        <w:t>4400</w:t>
      </w:r>
      <w:r w:rsidRPr="00246318">
        <w:rPr>
          <w:rStyle w:val="libBold2Char"/>
          <w:rtl/>
        </w:rPr>
        <w:t xml:space="preserve"> / 1.</w:t>
      </w:r>
      <w:r w:rsidRPr="005D642E">
        <w:rPr>
          <w:rtl/>
          <w:lang w:bidi="fa-IR"/>
        </w:rPr>
        <w:t xml:space="preserve"> عِدَّةٌ مِنْ أَصْحَابِنَا ، عَنْ سَهْلِ بْنِ زِيَادٍ ، عَنْ أَحْمَدَ بْنِ مُحَمَّدِ بْنِ أَبِي نَصْرٍ ، عَنْ عَبْدِ اللهِ بْنِ يَحْيَى الْكَاهِلِيِّ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الفقيه</w:t>
      </w:r>
      <w:r w:rsidR="00E3253D" w:rsidRPr="005D642E">
        <w:rPr>
          <w:rtl/>
        </w:rPr>
        <w:t xml:space="preserve"> ، ج 1 ، ص 152 ، ح 418 ؛ </w:t>
      </w:r>
      <w:r w:rsidR="00B60612" w:rsidRPr="00B60612">
        <w:rPr>
          <w:rStyle w:val="libFootnoteBoldChar"/>
          <w:rtl/>
        </w:rPr>
        <w:t>والتهذيب</w:t>
      </w:r>
      <w:r w:rsidR="00E3253D" w:rsidRPr="002F4D34">
        <w:rPr>
          <w:rStyle w:val="libFootnoteBoldChar"/>
          <w:rtl/>
        </w:rPr>
        <w:t xml:space="preserve"> </w:t>
      </w:r>
      <w:r w:rsidR="00E3253D" w:rsidRPr="005D642E">
        <w:rPr>
          <w:rtl/>
        </w:rPr>
        <w:t xml:space="preserve">، ج 1 ، ص 323 ، ح 943 ، بسند آخر عن أبي جعفر </w:t>
      </w:r>
      <w:r w:rsidR="00E3253D" w:rsidRPr="00C85557">
        <w:rPr>
          <w:rStyle w:val="libFootnoteAlaemChar"/>
          <w:rtl/>
        </w:rPr>
        <w:t>عليه‌السلام</w:t>
      </w:r>
      <w:r w:rsidR="00E3253D" w:rsidRPr="005D642E">
        <w:rPr>
          <w:rtl/>
        </w:rPr>
        <w:t xml:space="preserve"> ، مع اختلاف </w:t>
      </w:r>
      <w:r w:rsidR="00C85557">
        <w:rPr>
          <w:rFonts w:hint="cs"/>
          <w:rtl/>
        </w:rPr>
        <w:t>.</w:t>
      </w:r>
      <w:r w:rsidR="00E3253D" w:rsidRPr="002F4D34">
        <w:rPr>
          <w:rStyle w:val="libFootnoteBoldChar"/>
          <w:rtl/>
        </w:rPr>
        <w:t>الوافي</w:t>
      </w:r>
      <w:r w:rsidR="00E3253D" w:rsidRPr="005D642E">
        <w:rPr>
          <w:rtl/>
        </w:rPr>
        <w:t xml:space="preserve"> ، ج 24 ، ص 335 ، ح 24148 ؛ </w:t>
      </w:r>
      <w:r w:rsidR="00E3253D" w:rsidRPr="002F4D34">
        <w:rPr>
          <w:rStyle w:val="libFootnoteBoldChar"/>
          <w:rtl/>
        </w:rPr>
        <w:t>الوسائل</w:t>
      </w:r>
      <w:r w:rsidR="00E3253D" w:rsidRPr="005D642E">
        <w:rPr>
          <w:rtl/>
        </w:rPr>
        <w:t xml:space="preserve"> ، ج 2 ، ص 500 ، ح 2749.</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 « يكره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 للميّت » بدل « من الميّت</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w:t>
      </w:r>
      <w:r w:rsidR="00E3253D">
        <w:rPr>
          <w:rtl/>
        </w:rPr>
        <w:t xml:space="preserve"> </w:t>
      </w:r>
      <w:r w:rsidR="007642BC">
        <w:rPr>
          <w:rtl/>
        </w:rPr>
        <w:t>-</w:t>
      </w:r>
      <w:r w:rsidR="00E3253D">
        <w:rPr>
          <w:rtl/>
        </w:rPr>
        <w:t xml:space="preserve"> </w:t>
      </w:r>
      <w:r w:rsidR="00E3253D" w:rsidRPr="005D642E">
        <w:rPr>
          <w:rtl/>
        </w:rPr>
        <w:t>« يقصّ له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ى ، بث ، بخ ، بس ، جح ، جس ، جن » والوسائل </w:t>
      </w:r>
      <w:r w:rsidR="00B60612" w:rsidRPr="00B60612">
        <w:rPr>
          <w:rStyle w:val="libFootnoteBoldChar"/>
          <w:rtl/>
        </w:rPr>
        <w:t>والتهذيب</w:t>
      </w:r>
      <w:r w:rsidR="00E3253D" w:rsidRPr="005D642E">
        <w:rPr>
          <w:rtl/>
        </w:rPr>
        <w:t xml:space="preserve"> : « أو يحلق</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والوسائل </w:t>
      </w:r>
      <w:r w:rsidR="00B60612" w:rsidRPr="00B60612">
        <w:rPr>
          <w:rStyle w:val="libFootnoteBoldChar"/>
          <w:rtl/>
        </w:rPr>
        <w:t>والتهذيب</w:t>
      </w:r>
      <w:r w:rsidR="00E3253D" w:rsidRPr="005D642E">
        <w:rPr>
          <w:rtl/>
        </w:rPr>
        <w:t xml:space="preserve"> : « أو يغمز</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323 ، ح 941 ، بسنده عن الكليني </w:t>
      </w:r>
      <w:r w:rsidR="000D5C10">
        <w:rPr>
          <w:rFonts w:hint="cs"/>
          <w:rtl/>
        </w:rPr>
        <w:t>.</w:t>
      </w:r>
      <w:r w:rsidR="00E3253D" w:rsidRPr="002F4D34">
        <w:rPr>
          <w:rStyle w:val="libFootnoteBoldChar"/>
          <w:rtl/>
        </w:rPr>
        <w:t>الوافي</w:t>
      </w:r>
      <w:r w:rsidR="00E3253D" w:rsidRPr="005D642E">
        <w:rPr>
          <w:rtl/>
        </w:rPr>
        <w:t xml:space="preserve"> ، ج 24 ، ص 335 ، ح 24149 ؛ </w:t>
      </w:r>
      <w:r w:rsidR="00E3253D" w:rsidRPr="002F4D34">
        <w:rPr>
          <w:rStyle w:val="libFootnoteBoldChar"/>
          <w:rtl/>
        </w:rPr>
        <w:t>الوسائل</w:t>
      </w:r>
      <w:r w:rsidR="00E3253D" w:rsidRPr="005D642E">
        <w:rPr>
          <w:rtl/>
        </w:rPr>
        <w:t xml:space="preserve"> ، ج 2 ، ص 500 ، ح 2751.</w:t>
      </w:r>
    </w:p>
    <w:p w:rsidR="00E3253D" w:rsidRPr="005D642E" w:rsidRDefault="0042621E" w:rsidP="000D5C10">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323 ، ح 942 ، بسنده عن الكليني </w:t>
      </w:r>
      <w:r w:rsidR="000D5C10">
        <w:rPr>
          <w:rFonts w:hint="cs"/>
          <w:rtl/>
        </w:rPr>
        <w:t>.</w:t>
      </w:r>
      <w:r w:rsidR="00E3253D" w:rsidRPr="002F4D34">
        <w:rPr>
          <w:rStyle w:val="libFootnoteBoldChar"/>
          <w:rtl/>
        </w:rPr>
        <w:t>الوافي</w:t>
      </w:r>
      <w:r w:rsidR="00E3253D" w:rsidRPr="005D642E">
        <w:rPr>
          <w:rtl/>
        </w:rPr>
        <w:t xml:space="preserve"> ، ج 24 ، ص 336 ، ح 24150 ؛ </w:t>
      </w:r>
      <w:r w:rsidR="00E3253D" w:rsidRPr="002F4D34">
        <w:rPr>
          <w:rStyle w:val="libFootnoteBoldChar"/>
          <w:rtl/>
        </w:rPr>
        <w:t>الوسائل</w:t>
      </w:r>
      <w:r w:rsidR="00E3253D" w:rsidRPr="005D642E">
        <w:rPr>
          <w:rtl/>
        </w:rPr>
        <w:t xml:space="preserve"> ، ج 2 ، ص 500 ، ح 2750.</w:t>
      </w:r>
      <w:r w:rsidR="000D5C10">
        <w:rPr>
          <w:rFonts w:hint="cs"/>
          <w:rtl/>
        </w:rPr>
        <w:t xml:space="preserve">   </w:t>
      </w:r>
      <w:r w:rsidRPr="0042621E">
        <w:rPr>
          <w:rStyle w:val="libFootnote0Char"/>
          <w:rtl/>
        </w:rPr>
        <w:t>(9).</w:t>
      </w:r>
      <w:r w:rsidR="000D5C10">
        <w:rPr>
          <w:rtl/>
        </w:rPr>
        <w:t xml:space="preserve"> في « غ »:«</w:t>
      </w:r>
      <w:r w:rsidR="00E3253D" w:rsidRPr="005D642E">
        <w:rPr>
          <w:rtl/>
        </w:rPr>
        <w:t>بعد ما يغسّل</w:t>
      </w:r>
      <w:r w:rsidR="00E3253D">
        <w:rPr>
          <w:rtl/>
        </w:rPr>
        <w:t>».</w:t>
      </w:r>
      <w:r w:rsidR="00E3253D" w:rsidRPr="005D642E">
        <w:rPr>
          <w:rtl/>
        </w:rPr>
        <w:t xml:space="preserve"> وفي « بخ » : « بعد ما غسل</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خَرَجَ مِنْ مَنْخِرِ </w:t>
      </w:r>
      <w:r w:rsidRPr="007C12DB">
        <w:rPr>
          <w:rStyle w:val="libFootnotenumChar"/>
          <w:rtl/>
        </w:rPr>
        <w:t>(1)</w:t>
      </w:r>
      <w:r w:rsidRPr="005D642E">
        <w:rPr>
          <w:rtl/>
          <w:lang w:bidi="fa-IR"/>
        </w:rPr>
        <w:t xml:space="preserve"> الْمَيِّتِ الدَّمُ ، أَوِ الشَّيْ‌ءُ بَعْدَ الْغُسْلِ ، وَأَصَابَ الْعِمَامَةَ أَوِ الْكَفَنَ </w:t>
      </w:r>
      <w:r w:rsidRPr="007C12DB">
        <w:rPr>
          <w:rStyle w:val="libFootnotenumChar"/>
          <w:rtl/>
        </w:rPr>
        <w:t>(2)</w:t>
      </w:r>
      <w:r w:rsidRPr="005D642E">
        <w:rPr>
          <w:rtl/>
          <w:lang w:bidi="fa-IR"/>
        </w:rPr>
        <w:t xml:space="preserve"> ، قَرِّضْهُ بِالْمِقْرَاضِ</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D3426B">
        <w:rPr>
          <w:rtl/>
        </w:rPr>
        <w:t>4401</w:t>
      </w:r>
      <w:r w:rsidRPr="00246318">
        <w:rPr>
          <w:rStyle w:val="libBold2Char"/>
          <w:rtl/>
        </w:rPr>
        <w:t xml:space="preserve"> / 2.</w:t>
      </w:r>
      <w:r w:rsidRPr="005D642E">
        <w:rPr>
          <w:rtl/>
          <w:lang w:bidi="fa-IR"/>
        </w:rPr>
        <w:t xml:space="preserve"> عَنْهُ </w:t>
      </w:r>
      <w:r w:rsidRPr="007C12DB">
        <w:rPr>
          <w:rStyle w:val="libFootnotenumChar"/>
          <w:rtl/>
        </w:rPr>
        <w:t>(4)</w:t>
      </w:r>
      <w:r w:rsidRPr="005D642E">
        <w:rPr>
          <w:rtl/>
          <w:lang w:bidi="fa-IR"/>
        </w:rPr>
        <w:t xml:space="preserve"> ، عَنْ بَعْضِ أَصْحَابِهِ رَفَعَهُ ، قَالَ :</w:t>
      </w:r>
    </w:p>
    <w:p w:rsidR="00E3253D" w:rsidRPr="005D642E" w:rsidRDefault="00E3253D" w:rsidP="00E3253D">
      <w:pPr>
        <w:pStyle w:val="libNormal"/>
        <w:rPr>
          <w:rtl/>
          <w:lang w:bidi="fa-IR"/>
        </w:rPr>
      </w:pPr>
      <w:r w:rsidRPr="005D642E">
        <w:rPr>
          <w:rtl/>
          <w:lang w:bidi="fa-IR"/>
        </w:rPr>
        <w:t xml:space="preserve">« إِذَا غُسِّلَ الْمَيِّتُ ، ثُمَّ أَحْدَثَ </w:t>
      </w:r>
      <w:r w:rsidRPr="007C12DB">
        <w:rPr>
          <w:rStyle w:val="libFootnotenumChar"/>
          <w:rtl/>
        </w:rPr>
        <w:t>(5)</w:t>
      </w:r>
      <w:r w:rsidRPr="005D642E">
        <w:rPr>
          <w:rtl/>
          <w:lang w:bidi="fa-IR"/>
        </w:rPr>
        <w:t xml:space="preserve"> بَعْدَ الْغُسْلِ ، فَإِنَّهُ يُغْسَلُ الْحَدَثُ ، وَلَايُعَادُ الْغُسْلُ</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D3426B">
        <w:rPr>
          <w:rtl/>
        </w:rPr>
        <w:t>4402</w:t>
      </w:r>
      <w:r w:rsidRPr="00246318">
        <w:rPr>
          <w:rStyle w:val="libBold2Char"/>
          <w:rtl/>
        </w:rPr>
        <w:t xml:space="preserve"> / 3.</w:t>
      </w:r>
      <w:r w:rsidRPr="005D642E">
        <w:rPr>
          <w:rtl/>
          <w:lang w:bidi="fa-IR"/>
        </w:rPr>
        <w:t xml:space="preserve"> عَلِيُّ بْنُ إِبْرَاهِيمَ ، عَنْ أَبِيهِ ، عَنِ ابْنِ أَبِي عُمَيْرٍ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خَرَجَ مِنَ الْمَيِّتِ شَيْ‌ءٌ بَعْدَ مَا يُكَفَّنُ ، فَأَصَابَ الْكَفَنَ ، قُرِضَ </w:t>
      </w:r>
      <w:r w:rsidRPr="007C12DB">
        <w:rPr>
          <w:rStyle w:val="libFootnotenumChar"/>
          <w:rtl/>
        </w:rPr>
        <w:t>(7)</w:t>
      </w:r>
      <w:r w:rsidRPr="005D642E">
        <w:rPr>
          <w:rtl/>
          <w:lang w:bidi="fa-IR"/>
        </w:rPr>
        <w:t xml:space="preserve"> مِنْهُ</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341" w:name="_Toc344647324"/>
      <w:bookmarkStart w:id="342" w:name="_Toc462226838"/>
      <w:bookmarkStart w:id="343" w:name="_Toc40975947"/>
      <w:r w:rsidRPr="005D642E">
        <w:rPr>
          <w:rtl/>
          <w:lang w:bidi="fa-IR"/>
        </w:rPr>
        <w:t>29</w:t>
      </w:r>
      <w:r>
        <w:rPr>
          <w:rtl/>
          <w:lang w:bidi="fa-IR"/>
        </w:rPr>
        <w:t xml:space="preserve"> </w:t>
      </w:r>
      <w:r w:rsidR="007642BC">
        <w:rPr>
          <w:rtl/>
          <w:lang w:bidi="fa-IR"/>
        </w:rPr>
        <w:t>-</w:t>
      </w:r>
      <w:r>
        <w:rPr>
          <w:rtl/>
          <w:lang w:bidi="fa-IR"/>
        </w:rPr>
        <w:t xml:space="preserve"> </w:t>
      </w:r>
      <w:r w:rsidRPr="005D642E">
        <w:rPr>
          <w:rtl/>
          <w:lang w:bidi="fa-IR"/>
        </w:rPr>
        <w:t>بَابُ الرَّجُلِ يُغَسِّلُ الْمَرْأَةَ وَالْمَرْأَةِ تُغَسِّلُ الرَّجُلَ‌</w:t>
      </w:r>
      <w:bookmarkEnd w:id="341"/>
      <w:bookmarkEnd w:id="342"/>
      <w:bookmarkEnd w:id="343"/>
    </w:p>
    <w:p w:rsidR="00E3253D" w:rsidRPr="005D642E" w:rsidRDefault="00E3253D" w:rsidP="00E3253D">
      <w:pPr>
        <w:pStyle w:val="libNormal"/>
        <w:rPr>
          <w:rtl/>
          <w:lang w:bidi="fa-IR"/>
        </w:rPr>
      </w:pPr>
      <w:r w:rsidRPr="00D3426B">
        <w:rPr>
          <w:rtl/>
        </w:rPr>
        <w:t>4403</w:t>
      </w:r>
      <w:r w:rsidRPr="00246318">
        <w:rPr>
          <w:rStyle w:val="libBold2Char"/>
          <w:rtl/>
        </w:rPr>
        <w:t xml:space="preserve"> / 1.</w:t>
      </w:r>
      <w:r w:rsidRPr="005D642E">
        <w:rPr>
          <w:rtl/>
          <w:lang w:bidi="fa-IR"/>
        </w:rPr>
        <w:t xml:space="preserve"> عَلِيُّ بْنُ إِبْرَاهِيمَ ، عَنْ أَبِيهِ ، عَنِ ابْنِ أَبِي عُمَيْرٍ ، عَنْ حَمَّادِ بْنِ عُثْمَانَ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ال</w:t>
      </w:r>
      <w:r w:rsidR="000D4105">
        <w:rPr>
          <w:rFonts w:hint="cs"/>
          <w:rtl/>
        </w:rPr>
        <w:t>ـ</w:t>
      </w:r>
      <w:r w:rsidR="00E3253D" w:rsidRPr="005D642E">
        <w:rPr>
          <w:rtl/>
        </w:rPr>
        <w:t>مَنْخِر » : ثقب الأنف ، قال الجوهري : « وقد تكسر الميم اتّباعاً لكسرة الخاء ، كما قالوا : مِنْتِنٌ ، وهما نادران ؛ لأنّ مِفْعلاً ليس من الأبنية</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824 ؛ </w:t>
      </w:r>
      <w:r w:rsidR="00E3253D" w:rsidRPr="002F4D34">
        <w:rPr>
          <w:rStyle w:val="libFootnoteBoldChar"/>
          <w:rtl/>
        </w:rPr>
        <w:t>النهاية</w:t>
      </w:r>
      <w:r w:rsidR="00E3253D" w:rsidRPr="005D642E">
        <w:rPr>
          <w:rtl/>
        </w:rPr>
        <w:t xml:space="preserve"> ، ج 5 ، ص 32 ( نخر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w:t>
      </w:r>
      <w:r w:rsidR="00B60612" w:rsidRPr="00B60612">
        <w:rPr>
          <w:rStyle w:val="libFootnoteBoldChar"/>
          <w:rtl/>
        </w:rPr>
        <w:t>والتهذيب</w:t>
      </w:r>
      <w:r w:rsidR="00E3253D" w:rsidRPr="005D642E">
        <w:rPr>
          <w:rtl/>
        </w:rPr>
        <w:t xml:space="preserve"> ، ص 436 : « والكفن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449 ، ح 1457 ، بسنده عن أحمد بن محمّد بن أبي نصر. </w:t>
      </w:r>
      <w:r w:rsidR="00E3253D" w:rsidRPr="002F4D34">
        <w:rPr>
          <w:rStyle w:val="libFootnoteBoldChar"/>
          <w:rtl/>
        </w:rPr>
        <w:t>وفيه</w:t>
      </w:r>
      <w:r w:rsidR="00E3253D" w:rsidRPr="005D642E">
        <w:rPr>
          <w:rtl/>
        </w:rPr>
        <w:t xml:space="preserve"> ، ص 436 ، ح 1405 ، بسنده عن أحمد بن محمّد ، عن الكاهلي ، وفيهما مع اختلاف يسير </w:t>
      </w:r>
      <w:r w:rsidR="004178AD">
        <w:rPr>
          <w:rFonts w:hint="cs"/>
          <w:rtl/>
        </w:rPr>
        <w:t>.</w:t>
      </w:r>
      <w:r w:rsidR="00E3253D" w:rsidRPr="002F4D34">
        <w:rPr>
          <w:rStyle w:val="libFootnoteBoldChar"/>
          <w:rtl/>
        </w:rPr>
        <w:t>الوافي</w:t>
      </w:r>
      <w:r w:rsidR="00E3253D" w:rsidRPr="005D642E">
        <w:rPr>
          <w:rtl/>
        </w:rPr>
        <w:t xml:space="preserve"> ، ج 24 ، ص 336 ، ح 24152 ؛ </w:t>
      </w:r>
      <w:r w:rsidR="00E3253D" w:rsidRPr="002F4D34">
        <w:rPr>
          <w:rStyle w:val="libFootnoteBoldChar"/>
          <w:rtl/>
        </w:rPr>
        <w:t>الوسائل</w:t>
      </w:r>
      <w:r w:rsidR="00E3253D" w:rsidRPr="005D642E">
        <w:rPr>
          <w:rtl/>
        </w:rPr>
        <w:t xml:space="preserve"> ، ج 2 ، ص 543 ، ح 2861.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الضمير إمّا راجع إلى سهل بن زياد ، وإمّا راجع إلى أحمد بن محمّد بن أبي نصر ، ولعلّ رجوعه إلى سهلٍ أولى.</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 « ثمّ حدث</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449 ، ح 1455 ، بسنده عن عبدالله بن يحيى الكاهلي والحسين بن مختار ، عن أبي عبدالله </w:t>
      </w:r>
      <w:r w:rsidR="00E3253D" w:rsidRPr="000D4105">
        <w:rPr>
          <w:rStyle w:val="libFootnoteAlaemChar"/>
          <w:rtl/>
        </w:rPr>
        <w:t>عليه‌السلام</w:t>
      </w:r>
      <w:r w:rsidR="00E3253D" w:rsidRPr="005D642E">
        <w:rPr>
          <w:rtl/>
        </w:rPr>
        <w:t xml:space="preserve">. </w:t>
      </w:r>
      <w:r w:rsidR="00E3253D" w:rsidRPr="002F4D34">
        <w:rPr>
          <w:rStyle w:val="libFootnoteBoldChar"/>
          <w:rtl/>
        </w:rPr>
        <w:t>وفيه</w:t>
      </w:r>
      <w:r w:rsidR="00E3253D" w:rsidRPr="005D642E">
        <w:rPr>
          <w:rtl/>
        </w:rPr>
        <w:t xml:space="preserve"> ، ح 1456 ، بسند آخر ، وفيهما مع اختلاف يسير </w:t>
      </w:r>
      <w:r w:rsidR="004178AD">
        <w:rPr>
          <w:rFonts w:hint="cs"/>
          <w:rtl/>
        </w:rPr>
        <w:t>.</w:t>
      </w:r>
      <w:r w:rsidR="00E3253D" w:rsidRPr="002F4D34">
        <w:rPr>
          <w:rStyle w:val="libFootnoteBoldChar"/>
          <w:rtl/>
        </w:rPr>
        <w:t>الوافي</w:t>
      </w:r>
      <w:r w:rsidR="00E3253D" w:rsidRPr="005D642E">
        <w:rPr>
          <w:rtl/>
        </w:rPr>
        <w:t xml:space="preserve"> ، ج 24 ، ص 337 ، ح 24153 ؛ </w:t>
      </w:r>
      <w:r w:rsidR="00E3253D" w:rsidRPr="002F4D34">
        <w:rPr>
          <w:rStyle w:val="libFootnoteBoldChar"/>
          <w:rtl/>
        </w:rPr>
        <w:t>الوسائل</w:t>
      </w:r>
      <w:r w:rsidR="00E3253D" w:rsidRPr="005D642E">
        <w:rPr>
          <w:rtl/>
        </w:rPr>
        <w:t xml:space="preserve"> ، ج 2 ، ص 543 ، ح 2862 ؛ وج 3 ، ص 46 ، ح 2989.</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بس ، جح » : « قرضه</w:t>
      </w:r>
      <w:r w:rsidR="00E3253D">
        <w:rPr>
          <w:rtl/>
        </w:rPr>
        <w:t xml:space="preserve"> ».</w:t>
      </w:r>
      <w:r w:rsidR="00E3253D" w:rsidRPr="005D642E">
        <w:rPr>
          <w:rtl/>
        </w:rPr>
        <w:t xml:space="preserve"> وفي « بح ، بخ » : « قرّض</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450 ، ح 1458 ، بسنده عن ابن أبي عمير وأحمد بن محمّد ، عن غير واحد من أصحابنا ، عن أبي عبدالله </w:t>
      </w:r>
      <w:r w:rsidR="00E3253D" w:rsidRPr="004178AD">
        <w:rPr>
          <w:rStyle w:val="libFootnoteAlaemChar"/>
          <w:rtl/>
        </w:rPr>
        <w:t>عليه‌السلام</w:t>
      </w:r>
      <w:r w:rsidR="00E3253D" w:rsidRPr="005D642E">
        <w:rPr>
          <w:rtl/>
        </w:rPr>
        <w:t xml:space="preserve"> </w:t>
      </w:r>
      <w:r w:rsidR="004178AD">
        <w:rPr>
          <w:rFonts w:hint="cs"/>
          <w:rtl/>
        </w:rPr>
        <w:t>.</w:t>
      </w:r>
      <w:r w:rsidR="00E3253D" w:rsidRPr="002F4D34">
        <w:rPr>
          <w:rStyle w:val="libFootnoteBoldChar"/>
          <w:rtl/>
        </w:rPr>
        <w:t>الوافي</w:t>
      </w:r>
      <w:r w:rsidR="00E3253D" w:rsidRPr="005D642E">
        <w:rPr>
          <w:rtl/>
        </w:rPr>
        <w:t xml:space="preserve"> ، ج 24 ، ص 337 ، ح 24154 ؛ </w:t>
      </w:r>
      <w:r w:rsidR="00E3253D" w:rsidRPr="002F4D34">
        <w:rPr>
          <w:rStyle w:val="libFootnoteBoldChar"/>
          <w:rtl/>
        </w:rPr>
        <w:t>الوسائل</w:t>
      </w:r>
      <w:r w:rsidR="00E3253D" w:rsidRPr="005D642E">
        <w:rPr>
          <w:rtl/>
        </w:rPr>
        <w:t xml:space="preserve"> ، ج 2 ، ص 542 ، ح 2860 ؛ وج 3 ، ص 46 ، ح 2988.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أَنَّهُ سُئِلَ عَنِ الرَّجُلِ يَمُوتُ وَلَيْسَ </w:t>
      </w:r>
      <w:r w:rsidR="004178AD">
        <w:rPr>
          <w:rtl/>
          <w:lang w:bidi="fa-IR"/>
        </w:rPr>
        <w:t>عِنْدَهُ مَنْ يُغَسِّلُهُ إِل</w:t>
      </w:r>
      <w:r w:rsidR="004178AD">
        <w:rPr>
          <w:rFonts w:hint="cs"/>
          <w:rtl/>
          <w:lang w:bidi="fa-IR"/>
        </w:rPr>
        <w:t>َّ</w:t>
      </w:r>
      <w:r w:rsidR="004178AD">
        <w:rPr>
          <w:rtl/>
          <w:lang w:bidi="fa-IR"/>
        </w:rPr>
        <w:t>ا</w:t>
      </w:r>
      <w:r w:rsidRPr="005D642E">
        <w:rPr>
          <w:rtl/>
          <w:lang w:bidi="fa-IR"/>
        </w:rPr>
        <w:t xml:space="preserve"> النِّسَاءُ</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(1)</w:t>
      </w:r>
      <w:r w:rsidRPr="005D642E">
        <w:rPr>
          <w:rtl/>
          <w:lang w:bidi="fa-IR"/>
        </w:rPr>
        <w:t xml:space="preserve"> : « تُغَسِّلُهُ امْرَأَتُهُ ، أَوْ ذَاتُ </w:t>
      </w:r>
      <w:r w:rsidRPr="007C12DB">
        <w:rPr>
          <w:rStyle w:val="libFootnotenumChar"/>
          <w:rtl/>
        </w:rPr>
        <w:t>(2)</w:t>
      </w:r>
      <w:r w:rsidRPr="005D642E">
        <w:rPr>
          <w:rtl/>
          <w:lang w:bidi="fa-IR"/>
        </w:rPr>
        <w:t xml:space="preserve"> قَرَابَةٍ إِنْ كَانَتْ لَهُ ، وَتَصُبُّ </w:t>
      </w:r>
      <w:r w:rsidRPr="007C12DB">
        <w:rPr>
          <w:rStyle w:val="libFootnotenumChar"/>
          <w:rtl/>
        </w:rPr>
        <w:t>(3)</w:t>
      </w:r>
      <w:r w:rsidRPr="005D642E">
        <w:rPr>
          <w:rtl/>
          <w:lang w:bidi="fa-IR"/>
        </w:rPr>
        <w:t xml:space="preserve"> النِّسَاءُ عَلَيْهِ الْمَاءَ صَبّاً ؛ وَفِي الْمَرْأَةِ إِذَا مَاتَتْ ، يُدْخِلُ زَوْجُهَا يَدَهُ تَحْتَ قَمِيصِهَا ، فَيُغَسِّلُهَا</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D3426B">
        <w:rPr>
          <w:rtl/>
        </w:rPr>
        <w:t>4404</w:t>
      </w:r>
      <w:r w:rsidRPr="00246318">
        <w:rPr>
          <w:rStyle w:val="libBold2Char"/>
          <w:rtl/>
        </w:rPr>
        <w:t xml:space="preserve"> / 2.</w:t>
      </w:r>
      <w:r w:rsidRPr="005D642E">
        <w:rPr>
          <w:rtl/>
          <w:lang w:bidi="fa-IR"/>
        </w:rPr>
        <w:t xml:space="preserve"> مُحَمَّدُ بْنُ يَحْيى ، عَنْ أَحْمَدَ بْنِ مُحَمَّدٍ ، عَنِ الْحُسَيْنِ بْنِ سَعِيدٍ ، عَنْ فَضَالَةَ بْنِ أَيُّوبَ ، عَنْ عَبْدِ اللهِ بْنِ سِنَانٍ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Pr>
          <w:rtl/>
          <w:lang w:bidi="fa-IR"/>
        </w:rPr>
        <w:t xml:space="preserve"> عَنِ الرَّجُلِ : أَ</w:t>
      </w:r>
      <w:r w:rsidRPr="005D642E">
        <w:rPr>
          <w:rtl/>
          <w:lang w:bidi="fa-IR"/>
        </w:rPr>
        <w:t xml:space="preserve">يَصْلُحُ لَهُ أَنْ يَنْظُرَ إِلى امْرَأَتِهِ حِينَ تَمُوتُ ، أَوْ يُغَسِّلَهَا إِنْ لَمْ يَكُنْ عِنْدَهَا </w:t>
      </w:r>
      <w:r w:rsidRPr="007C12DB">
        <w:rPr>
          <w:rStyle w:val="libFootnotenumChar"/>
          <w:rtl/>
        </w:rPr>
        <w:t>(5)</w:t>
      </w:r>
      <w:r w:rsidRPr="005D642E">
        <w:rPr>
          <w:rtl/>
          <w:lang w:bidi="fa-IR"/>
        </w:rPr>
        <w:t xml:space="preserve"> مَنْ يُغَسِّلُهَا</w:t>
      </w:r>
      <w:r>
        <w:rPr>
          <w:rtl/>
          <w:lang w:bidi="fa-IR"/>
        </w:rPr>
        <w:t>؟</w:t>
      </w:r>
      <w:r w:rsidRPr="005D642E">
        <w:rPr>
          <w:rtl/>
          <w:lang w:bidi="fa-IR"/>
        </w:rPr>
        <w:t xml:space="preserve"> وَعَنِ الْمَرْأَةِ هَلْ تَنْظُرُ إِلى مِثْلِ ذلِكَ مِنْ زَوْجِهَا حِينَ يَمُوتُ</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(6)</w:t>
      </w:r>
      <w:r w:rsidRPr="005D642E">
        <w:rPr>
          <w:rtl/>
          <w:lang w:bidi="fa-IR"/>
        </w:rPr>
        <w:t xml:space="preserve"> : « لَا بَأْسَ بِذلِكَ ، إِنَّمَا يَفْعَلُ ذلِكَ أَهْلُ الْمَرْأَةِ كَرَاهَةَ </w:t>
      </w:r>
      <w:r w:rsidRPr="007C12DB">
        <w:rPr>
          <w:rStyle w:val="libFootnotenumChar"/>
          <w:rtl/>
        </w:rPr>
        <w:t>(7)</w:t>
      </w:r>
      <w:r w:rsidRPr="005D642E">
        <w:rPr>
          <w:rtl/>
          <w:lang w:bidi="fa-IR"/>
        </w:rPr>
        <w:t xml:space="preserve"> أَنْ يَنْظُرَ زَوْجُهَا إِلى شَيْ‌ءٍ </w:t>
      </w:r>
      <w:r w:rsidRPr="007C12DB">
        <w:rPr>
          <w:rStyle w:val="libFootnotenumChar"/>
          <w:rtl/>
        </w:rPr>
        <w:t>(8)</w:t>
      </w:r>
      <w:r w:rsidRPr="005D642E">
        <w:rPr>
          <w:rtl/>
          <w:lang w:bidi="fa-IR"/>
        </w:rPr>
        <w:t xml:space="preserve"> يَكْرَهُونَهُ مِنْهَا</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ى ، بث ، بح ، جح ، جس ، جن » والوسائل </w:t>
      </w:r>
      <w:r w:rsidR="00B60612" w:rsidRPr="00B60612">
        <w:rPr>
          <w:rStyle w:val="libFootnoteBoldChar"/>
          <w:rtl/>
        </w:rPr>
        <w:t>والتهذيب</w:t>
      </w:r>
      <w:r w:rsidR="00E3253D" w:rsidRPr="005D642E">
        <w:rPr>
          <w:rtl/>
        </w:rPr>
        <w:t xml:space="preserve"> ، ح 1409 </w:t>
      </w:r>
      <w:r w:rsidR="00E3253D" w:rsidRPr="00E678B5">
        <w:rPr>
          <w:rStyle w:val="libFootnoteBoldChar"/>
          <w:rtl/>
        </w:rPr>
        <w:t>والاستبصار</w:t>
      </w:r>
      <w:r w:rsidR="00E3253D" w:rsidRPr="005D642E">
        <w:rPr>
          <w:rtl/>
        </w:rPr>
        <w:t xml:space="preserve"> ، ص 196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بف ، جس ، جن » </w:t>
      </w:r>
      <w:r w:rsidR="000D749A" w:rsidRPr="000D749A">
        <w:rPr>
          <w:rStyle w:val="libFootnoteBoldChar"/>
          <w:rtl/>
        </w:rPr>
        <w:t>والوافي</w:t>
      </w:r>
      <w:r w:rsidR="00E3253D" w:rsidRPr="005D642E">
        <w:rPr>
          <w:rtl/>
        </w:rPr>
        <w:t xml:space="preserve"> والوسائل ، ح 2822 </w:t>
      </w:r>
      <w:r w:rsidR="00E3253D" w:rsidRPr="00E678B5">
        <w:rPr>
          <w:rStyle w:val="libFootnoteBoldChar"/>
          <w:rtl/>
        </w:rPr>
        <w:t>والاستبصار</w:t>
      </w:r>
      <w:r w:rsidR="00E3253D" w:rsidRPr="005D642E">
        <w:rPr>
          <w:rtl/>
        </w:rPr>
        <w:t xml:space="preserve"> ، ص 196 : « ذو</w:t>
      </w:r>
      <w:r w:rsidR="00E3253D">
        <w:rPr>
          <w:rtl/>
        </w:rPr>
        <w:t xml:space="preserve"> ».</w:t>
      </w:r>
      <w:r w:rsidR="00FE5E85">
        <w:rPr>
          <w:rtl/>
        </w:rPr>
        <w:t xml:space="preserve"> وفي « بخ</w:t>
      </w:r>
      <w:r w:rsidR="00E3253D" w:rsidRPr="005D642E">
        <w:rPr>
          <w:rtl/>
        </w:rPr>
        <w:t>» :</w:t>
      </w:r>
      <w:r w:rsidR="00E3253D">
        <w:rPr>
          <w:rtl/>
        </w:rPr>
        <w:t xml:space="preserve"> </w:t>
      </w:r>
      <w:r w:rsidR="007642BC">
        <w:rPr>
          <w:rtl/>
        </w:rPr>
        <w:t>-</w:t>
      </w:r>
      <w:r w:rsidR="00E3253D">
        <w:rPr>
          <w:rtl/>
        </w:rPr>
        <w:t xml:space="preserve"> </w:t>
      </w:r>
      <w:r w:rsidR="00E3253D" w:rsidRPr="005D642E">
        <w:rPr>
          <w:rtl/>
        </w:rPr>
        <w:t>« ذات</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بس ، بف ، جس » والوسائل ، ح 2792 : « ويصبّ</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الاستبصار</w:t>
      </w:r>
      <w:r w:rsidR="00E3253D" w:rsidRPr="005D642E">
        <w:rPr>
          <w:rtl/>
        </w:rPr>
        <w:t xml:space="preserve"> ، ج 1 ، ص 196 ، ح 689 ، بسنده عن الكليني. </w:t>
      </w:r>
      <w:r w:rsidR="00E3253D" w:rsidRPr="002F4D34">
        <w:rPr>
          <w:rStyle w:val="libFootnoteBoldChar"/>
          <w:rtl/>
        </w:rPr>
        <w:t>التهذيب</w:t>
      </w:r>
      <w:r w:rsidR="00E3253D" w:rsidRPr="005D642E">
        <w:rPr>
          <w:rtl/>
        </w:rPr>
        <w:t xml:space="preserve"> ، ج 1 ، ص 437 ، ح 1410 ، معلّقاً عن عليّ بن إبراهيم. </w:t>
      </w:r>
      <w:r w:rsidR="00E3253D" w:rsidRPr="002F4D34">
        <w:rPr>
          <w:rStyle w:val="libFootnoteBoldChar"/>
          <w:rtl/>
        </w:rPr>
        <w:t>وفيه</w:t>
      </w:r>
      <w:r w:rsidR="00E3253D" w:rsidRPr="005D642E">
        <w:rPr>
          <w:rtl/>
        </w:rPr>
        <w:t xml:space="preserve"> ، ح 1409 ؛ </w:t>
      </w:r>
      <w:r w:rsidR="00E3253D" w:rsidRPr="00E678B5">
        <w:rPr>
          <w:rStyle w:val="libFootnoteBoldChar"/>
          <w:rtl/>
        </w:rPr>
        <w:t>والاستبصار</w:t>
      </w:r>
      <w:r w:rsidR="00E3253D" w:rsidRPr="005D642E">
        <w:rPr>
          <w:rtl/>
        </w:rPr>
        <w:t xml:space="preserve"> ، ج 1 ، ص 198 ، ح 697 ، معلّقاً عن الحسين بن سعيد ، عن ابن أبي عمير ، عن حمّاد بن عثمان ، عن زرارة ، عن أبي عبدالله </w:t>
      </w:r>
      <w:r w:rsidR="00E3253D" w:rsidRPr="000617B8">
        <w:rPr>
          <w:rStyle w:val="libFootnoteAlaemChar"/>
          <w:rtl/>
        </w:rPr>
        <w:t>عليه‌السلام</w:t>
      </w:r>
      <w:r w:rsidR="00E3253D" w:rsidRPr="005D642E">
        <w:rPr>
          <w:rtl/>
        </w:rPr>
        <w:t xml:space="preserve"> ، مع اختلاف </w:t>
      </w:r>
      <w:r w:rsidR="000617B8">
        <w:rPr>
          <w:rFonts w:hint="cs"/>
          <w:rtl/>
        </w:rPr>
        <w:t>.</w:t>
      </w:r>
      <w:r w:rsidR="00E3253D" w:rsidRPr="002F4D34">
        <w:rPr>
          <w:rStyle w:val="libFootnoteBoldChar"/>
          <w:rtl/>
        </w:rPr>
        <w:t>الوافي</w:t>
      </w:r>
      <w:r w:rsidR="00E3253D" w:rsidRPr="005D642E">
        <w:rPr>
          <w:rtl/>
        </w:rPr>
        <w:t xml:space="preserve"> ، ج 24 ، ص 225 ، ح 24053 ؛ </w:t>
      </w:r>
      <w:r w:rsidR="00E3253D" w:rsidRPr="002F4D34">
        <w:rPr>
          <w:rStyle w:val="libFootnoteBoldChar"/>
          <w:rtl/>
        </w:rPr>
        <w:t>الوسائل</w:t>
      </w:r>
      <w:r w:rsidR="00E3253D" w:rsidRPr="005D642E">
        <w:rPr>
          <w:rtl/>
        </w:rPr>
        <w:t xml:space="preserve"> ، ج 2 ، ص 517 ، ح 2792 ؛ وص 529 ، ح 2822.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 عنده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 « قال : فقال</w:t>
      </w:r>
      <w:r w:rsidR="00E3253D">
        <w:rPr>
          <w:rtl/>
        </w:rPr>
        <w:t xml:space="preserve"> ».</w:t>
      </w:r>
      <w:r w:rsidR="00E3253D" w:rsidRPr="005D642E">
        <w:rPr>
          <w:rtl/>
        </w:rPr>
        <w:t xml:space="preserve"> وفي « جن » وحاشية « بح »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بخ ، بس ، جح ، جس ، جن » والوسائل </w:t>
      </w:r>
      <w:r w:rsidR="009E68BB" w:rsidRPr="009E68BB">
        <w:rPr>
          <w:rStyle w:val="libFootnoteBoldChar"/>
          <w:rtl/>
        </w:rPr>
        <w:t>وتحف العقول</w:t>
      </w:r>
      <w:r w:rsidR="00E3253D" w:rsidRPr="005D642E">
        <w:rPr>
          <w:rtl/>
        </w:rPr>
        <w:t xml:space="preserve"> </w:t>
      </w:r>
      <w:r w:rsidR="00E3253D" w:rsidRPr="00E678B5">
        <w:rPr>
          <w:rStyle w:val="libFootnoteBoldChar"/>
          <w:rtl/>
        </w:rPr>
        <w:t>والاستبصار</w:t>
      </w:r>
      <w:r w:rsidR="00E3253D" w:rsidRPr="005D642E">
        <w:rPr>
          <w:rtl/>
        </w:rPr>
        <w:t xml:space="preserve"> : « كراهية</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 « إلى ما</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439 ، ح 1417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198 ، ح 698 ، معلّقاً عن الحسين بن سعيد. </w:t>
      </w:r>
      <w:r w:rsidR="00776A7A">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F305A">
        <w:rPr>
          <w:rtl/>
        </w:rPr>
        <w:t>4405</w:t>
      </w:r>
      <w:r w:rsidRPr="00246318">
        <w:rPr>
          <w:rStyle w:val="libBold2Char"/>
          <w:rtl/>
        </w:rPr>
        <w:t xml:space="preserve"> / 3.</w:t>
      </w:r>
      <w:r w:rsidRPr="005D642E">
        <w:rPr>
          <w:rtl/>
          <w:lang w:bidi="fa-IR"/>
        </w:rPr>
        <w:t xml:space="preserve"> مُحَمَّدُ بْنُ يَحْيى ، عَنْ مُحَمَّدِ بْنِ الْحُسَيْنِ ، عَنْ صَفْوَانَ ، عَنِ الْعَلَاءِ ، عَنْ مُحَمَّدِ بْنِ مُسْلِمٍ ، قَالَ :</w:t>
      </w:r>
    </w:p>
    <w:p w:rsidR="00E3253D" w:rsidRPr="005D642E" w:rsidRDefault="00E3253D" w:rsidP="00E3253D">
      <w:pPr>
        <w:pStyle w:val="libNormal"/>
        <w:rPr>
          <w:rtl/>
          <w:lang w:bidi="fa-IR"/>
        </w:rPr>
      </w:pPr>
      <w:r w:rsidRPr="005D642E">
        <w:rPr>
          <w:rtl/>
          <w:lang w:bidi="fa-IR"/>
        </w:rPr>
        <w:t>سَأَلْتُهُ عَنِ الرَّجُلِ : يُغَسِّلُ امْرَأَتَهُ</w:t>
      </w:r>
      <w:r>
        <w:rPr>
          <w:rtl/>
          <w:lang w:bidi="fa-IR"/>
        </w:rPr>
        <w:t>؟</w:t>
      </w:r>
    </w:p>
    <w:p w:rsidR="00E3253D" w:rsidRPr="005D642E" w:rsidRDefault="00E3253D" w:rsidP="00E3253D">
      <w:pPr>
        <w:pStyle w:val="libNormal"/>
        <w:rPr>
          <w:rtl/>
          <w:lang w:bidi="fa-IR"/>
        </w:rPr>
      </w:pPr>
      <w:r w:rsidRPr="005D642E">
        <w:rPr>
          <w:rtl/>
          <w:lang w:bidi="fa-IR"/>
        </w:rPr>
        <w:t xml:space="preserve">قَالَ : « نَعَمْ ، مِنْ وَرَاءِ الثَّوْبِ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DF305A">
        <w:rPr>
          <w:rtl/>
        </w:rPr>
        <w:t>4406</w:t>
      </w:r>
      <w:r w:rsidRPr="00246318">
        <w:rPr>
          <w:rStyle w:val="libBold2Char"/>
          <w:rtl/>
        </w:rPr>
        <w:t xml:space="preserve"> / 4.</w:t>
      </w:r>
      <w:r w:rsidRPr="005D642E">
        <w:rPr>
          <w:rtl/>
          <w:lang w:bidi="fa-IR"/>
        </w:rPr>
        <w:t xml:space="preserve"> حُمَيْدُ بْنُ زِيَادٍ ، عَنِ الْحَسَنِ بْنِ مُحَمَّدٍ الْكِنْدِيِّ ، عَنْ غَيْرِ وَاحِدٍ ، عَنْ أَبَانِ بْنِ عُثْمَانَ ، عَنْ عَبْدِ الرَّحْمنِ بْنِ أَبِي عَبْدِ اللهِ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يَمُوتُ وَلَيْسَ </w:t>
      </w:r>
      <w:r w:rsidR="00733558">
        <w:rPr>
          <w:rtl/>
          <w:lang w:bidi="fa-IR"/>
        </w:rPr>
        <w:t>عِنْدَهُ مَنْ يُغَسِّلُهُ إِل</w:t>
      </w:r>
      <w:r w:rsidR="00733558">
        <w:rPr>
          <w:rFonts w:hint="cs"/>
          <w:rtl/>
          <w:lang w:bidi="fa-IR"/>
        </w:rPr>
        <w:t>َّ</w:t>
      </w:r>
      <w:r w:rsidR="00733558">
        <w:rPr>
          <w:rtl/>
          <w:lang w:bidi="fa-IR"/>
        </w:rPr>
        <w:t>ا</w:t>
      </w:r>
      <w:r w:rsidRPr="005D642E">
        <w:rPr>
          <w:rtl/>
          <w:lang w:bidi="fa-IR"/>
        </w:rPr>
        <w:t xml:space="preserve"> النِّسَاءُ : هَلْ تُغَسِّلُهُ النِّسَاءُ</w:t>
      </w:r>
      <w:r>
        <w:rPr>
          <w:rtl/>
          <w:lang w:bidi="fa-IR"/>
        </w:rPr>
        <w:t>؟</w:t>
      </w:r>
    </w:p>
    <w:p w:rsidR="00E3253D" w:rsidRPr="005D642E" w:rsidRDefault="00E3253D" w:rsidP="00E3253D">
      <w:pPr>
        <w:pStyle w:val="libNormal"/>
        <w:rPr>
          <w:rtl/>
          <w:lang w:bidi="fa-IR"/>
        </w:rPr>
      </w:pPr>
      <w:r w:rsidRPr="005D642E">
        <w:rPr>
          <w:rtl/>
          <w:lang w:bidi="fa-IR"/>
        </w:rPr>
        <w:t xml:space="preserve">فَقَالَ : « تُغَسِّلُهُ امْرَأَتُهُ وَذَاتُ </w:t>
      </w:r>
      <w:r w:rsidRPr="007C12DB">
        <w:rPr>
          <w:rStyle w:val="libFootnotenumChar"/>
          <w:rtl/>
        </w:rPr>
        <w:t>(3)</w:t>
      </w:r>
      <w:r w:rsidRPr="005D642E">
        <w:rPr>
          <w:rtl/>
          <w:lang w:bidi="fa-IR"/>
        </w:rPr>
        <w:t xml:space="preserve"> مَحْرَمِهِ </w:t>
      </w:r>
      <w:r w:rsidRPr="007C12DB">
        <w:rPr>
          <w:rStyle w:val="libFootnotenumChar"/>
          <w:rtl/>
        </w:rPr>
        <w:t>(4)</w:t>
      </w:r>
      <w:r w:rsidRPr="005D642E">
        <w:rPr>
          <w:rtl/>
          <w:lang w:bidi="fa-IR"/>
        </w:rPr>
        <w:t xml:space="preserve"> ، وَتَصُبُّ </w:t>
      </w:r>
      <w:r w:rsidRPr="007C12DB">
        <w:rPr>
          <w:rStyle w:val="libFootnotenumChar"/>
          <w:rtl/>
        </w:rPr>
        <w:t>(5)</w:t>
      </w:r>
      <w:r w:rsidRPr="005D642E">
        <w:rPr>
          <w:rtl/>
          <w:lang w:bidi="fa-IR"/>
        </w:rPr>
        <w:t xml:space="preserve"> عَلَيْهِ </w:t>
      </w:r>
      <w:r w:rsidRPr="007C12DB">
        <w:rPr>
          <w:rStyle w:val="libFootnotenumChar"/>
          <w:rtl/>
        </w:rPr>
        <w:t>(6)</w:t>
      </w:r>
      <w:r w:rsidRPr="005D642E">
        <w:rPr>
          <w:rtl/>
          <w:lang w:bidi="fa-IR"/>
        </w:rPr>
        <w:t xml:space="preserve"> النِّسَاءُ الْمَاءَ صَبّاً مِنْ فَوْقِ الثِّيَابِ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241A04" w:rsidP="00E3253D">
      <w:pPr>
        <w:pStyle w:val="libFootnote0"/>
        <w:rPr>
          <w:rtl/>
          <w:lang w:bidi="fa-IR"/>
        </w:rPr>
      </w:pPr>
      <w:r w:rsidRPr="00241A04">
        <w:rPr>
          <w:rFonts w:hint="cs"/>
          <w:rtl/>
        </w:rPr>
        <w:t xml:space="preserve">= </w:t>
      </w:r>
      <w:r w:rsidR="00E3253D" w:rsidRPr="002F4D34">
        <w:rPr>
          <w:rStyle w:val="libFootnoteBoldChar"/>
          <w:rtl/>
        </w:rPr>
        <w:t>الفقيه</w:t>
      </w:r>
      <w:r w:rsidR="00E3253D" w:rsidRPr="005D642E">
        <w:rPr>
          <w:rtl/>
        </w:rPr>
        <w:t xml:space="preserve"> ، ج 1 ، ص 142 ، ح 398 ، معلّقاً عن عبدالله بن سنان. وراجع : </w:t>
      </w:r>
      <w:r w:rsidR="00E3253D" w:rsidRPr="002F4D34">
        <w:rPr>
          <w:rStyle w:val="libFootnoteBoldChar"/>
          <w:rtl/>
        </w:rPr>
        <w:t>الاستبصار</w:t>
      </w:r>
      <w:r w:rsidR="00E3253D" w:rsidRPr="005D642E">
        <w:rPr>
          <w:rtl/>
        </w:rPr>
        <w:t xml:space="preserve"> ، ج 1 ، ص 199 ، ح 701 </w:t>
      </w:r>
      <w:r w:rsidR="00DD0A7B">
        <w:rPr>
          <w:rFonts w:hint="cs"/>
          <w:rtl/>
        </w:rPr>
        <w:t>.</w:t>
      </w:r>
      <w:r w:rsidR="00E3253D" w:rsidRPr="002F4D34">
        <w:rPr>
          <w:rStyle w:val="libFootnoteBoldChar"/>
          <w:rtl/>
        </w:rPr>
        <w:t>الوافي</w:t>
      </w:r>
      <w:r w:rsidR="00E3253D" w:rsidRPr="005D642E">
        <w:rPr>
          <w:rtl/>
        </w:rPr>
        <w:t xml:space="preserve"> ، ج 24 ، ص 295 ، ح 24054 ؛ </w:t>
      </w:r>
      <w:r w:rsidR="00E3253D" w:rsidRPr="002F4D34">
        <w:rPr>
          <w:rStyle w:val="libFootnoteBoldChar"/>
          <w:rtl/>
        </w:rPr>
        <w:t>الوسائل</w:t>
      </w:r>
      <w:r w:rsidR="00E3253D" w:rsidRPr="005D642E">
        <w:rPr>
          <w:rtl/>
        </w:rPr>
        <w:t xml:space="preserve"> ، ج 2 ، ص 528 ، ح 2820.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جن » </w:t>
      </w:r>
      <w:r w:rsidR="00B60612" w:rsidRPr="00B60612">
        <w:rPr>
          <w:rStyle w:val="libFootnoteBoldChar"/>
          <w:rtl/>
        </w:rPr>
        <w:t>والتهذيب</w:t>
      </w:r>
      <w:r w:rsidR="00E3253D" w:rsidRPr="005D642E">
        <w:rPr>
          <w:rtl/>
        </w:rPr>
        <w:t xml:space="preserve"> ، ص 438 : « الثياب</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13 ، ص 335 : « يحتمل أن يكون المراد بجميع تلك الأخبار ستر العورة ، لا كما فهمه الأكثر ، فتدبّر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الاستبصار</w:t>
      </w:r>
      <w:r w:rsidR="00E3253D" w:rsidRPr="005D642E">
        <w:rPr>
          <w:rtl/>
        </w:rPr>
        <w:t xml:space="preserve"> ، ج 1 ، ص 196 ، ح 690 ، بسنده عن الكليني. </w:t>
      </w:r>
      <w:r w:rsidR="00E3253D" w:rsidRPr="002F4D34">
        <w:rPr>
          <w:rStyle w:val="libFootnoteBoldChar"/>
          <w:rtl/>
        </w:rPr>
        <w:t>التهذيب</w:t>
      </w:r>
      <w:r w:rsidR="00E3253D" w:rsidRPr="005D642E">
        <w:rPr>
          <w:rtl/>
        </w:rPr>
        <w:t xml:space="preserve"> ، ج 1 ، ص 438 ، ح 1411 ، معلّقاً عن محمّد بن يحيى. </w:t>
      </w:r>
      <w:r w:rsidR="00E3253D" w:rsidRPr="002F4D34">
        <w:rPr>
          <w:rStyle w:val="libFootnoteBoldChar"/>
          <w:rtl/>
        </w:rPr>
        <w:t>وفيه</w:t>
      </w:r>
      <w:r w:rsidR="00E3253D" w:rsidRPr="005D642E">
        <w:rPr>
          <w:rtl/>
        </w:rPr>
        <w:t xml:space="preserve"> ، ص 440 ، صدر ح 1423 ؛ </w:t>
      </w:r>
      <w:r w:rsidR="00E3253D" w:rsidRPr="00E678B5">
        <w:rPr>
          <w:rStyle w:val="libFootnoteBoldChar"/>
          <w:rtl/>
        </w:rPr>
        <w:t>والاستبصار</w:t>
      </w:r>
      <w:r w:rsidR="00E3253D" w:rsidRPr="005D642E">
        <w:rPr>
          <w:rtl/>
        </w:rPr>
        <w:t xml:space="preserve"> ، ج 1 ، ص 200 ، صدر ح 706 ، بسند آخر </w:t>
      </w:r>
      <w:r w:rsidR="00DD0A7B">
        <w:rPr>
          <w:rFonts w:hint="cs"/>
          <w:rtl/>
        </w:rPr>
        <w:t>.</w:t>
      </w:r>
      <w:r w:rsidR="00E3253D" w:rsidRPr="002F4D34">
        <w:rPr>
          <w:rStyle w:val="libFootnoteBoldChar"/>
          <w:rtl/>
        </w:rPr>
        <w:t>الوافي</w:t>
      </w:r>
      <w:r w:rsidR="00E3253D" w:rsidRPr="005D642E">
        <w:rPr>
          <w:rtl/>
        </w:rPr>
        <w:t xml:space="preserve"> ، ج 24 ، ص 296 ، ح 24055 ؛ </w:t>
      </w:r>
      <w:r w:rsidR="00E3253D" w:rsidRPr="002F4D34">
        <w:rPr>
          <w:rStyle w:val="libFootnoteBoldChar"/>
          <w:rtl/>
        </w:rPr>
        <w:t>الوسائل</w:t>
      </w:r>
      <w:r w:rsidR="00E3253D" w:rsidRPr="005D642E">
        <w:rPr>
          <w:rtl/>
        </w:rPr>
        <w:t xml:space="preserve"> ، ج 2 ، ص 529 ، ح 2821.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وفي « غ » : « ذات » بدون الواو. وفي « بح » والمطبوع والوسائل : « أوذات</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بح ، بخ ، جس » : « محرمة</w:t>
      </w:r>
      <w:r w:rsidR="00E3253D">
        <w:rPr>
          <w:rtl/>
        </w:rPr>
        <w:t xml:space="preserve"> ».</w:t>
      </w:r>
      <w:r w:rsidR="00E3253D" w:rsidRPr="005D642E">
        <w:rPr>
          <w:rtl/>
        </w:rPr>
        <w:t xml:space="preserve"> وفي الاستبصار : « محرم</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بس » : « ويصبّ</w:t>
      </w:r>
      <w:r w:rsidR="00E3253D">
        <w:rPr>
          <w:rtl/>
        </w:rPr>
        <w:t xml:space="preserve"> ».</w:t>
      </w:r>
      <w:r w:rsidR="00E3253D" w:rsidRPr="005D642E">
        <w:rPr>
          <w:rtl/>
        </w:rPr>
        <w:t xml:space="preserve"> وفي « بف » : « فيصبّ</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بث ، بس ، جح ، جس » وحاشية « بح ، جن » : « عليها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بخ » : « الثوب</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DD0A7B">
        <w:rPr>
          <w:rStyle w:val="libFootnoteAlaemChar"/>
          <w:rtl/>
        </w:rPr>
        <w:t>عليه‌السلام</w:t>
      </w:r>
      <w:r w:rsidR="00E3253D" w:rsidRPr="005D642E">
        <w:rPr>
          <w:rtl/>
        </w:rPr>
        <w:t xml:space="preserve"> : من فوق الثياب ، يمكن أن يكون ذلك للنساء الأجانب اللاتي يصببن الماء ، لا المحارم. وهذا وجه جمع بين الأخبار ، فلا تغفل</w:t>
      </w:r>
      <w:r w:rsidR="00E3253D">
        <w:rPr>
          <w:rtl/>
        </w:rPr>
        <w:t xml:space="preserve"> ».</w:t>
      </w:r>
    </w:p>
    <w:p w:rsidR="00DD0A7B" w:rsidRDefault="0042621E" w:rsidP="00E3253D">
      <w:pPr>
        <w:pStyle w:val="libFootnote0"/>
        <w:rPr>
          <w:rtl/>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439 ، ح 1416 ؛ </w:t>
      </w:r>
      <w:r w:rsidR="00E3253D" w:rsidRPr="00E678B5">
        <w:rPr>
          <w:rStyle w:val="libFootnoteBoldChar"/>
          <w:rtl/>
        </w:rPr>
        <w:t>والاستبصار</w:t>
      </w:r>
      <w:r w:rsidR="00E3253D" w:rsidRPr="005D642E">
        <w:rPr>
          <w:rtl/>
        </w:rPr>
        <w:t xml:space="preserve"> ، ج 1 ، ص 197 ، ح 695 ، معلّقاً عن حميد بن زياد </w:t>
      </w:r>
      <w:r w:rsidR="00DD0A7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F305A">
        <w:rPr>
          <w:rtl/>
        </w:rPr>
        <w:t>4407</w:t>
      </w:r>
      <w:r w:rsidRPr="00246318">
        <w:rPr>
          <w:rStyle w:val="libBold2Char"/>
          <w:rtl/>
        </w:rPr>
        <w:t xml:space="preserve"> / 5.</w:t>
      </w:r>
      <w:r w:rsidRPr="005D642E">
        <w:rPr>
          <w:rtl/>
          <w:lang w:bidi="fa-IR"/>
        </w:rPr>
        <w:t xml:space="preserve"> مُحَمَّدُ بْنُ يَحْيى ، عَنْ أَحْمَدَ بْنِ مُحَمَّدٍ ، عَنْ عَلِيِّ بْنِ النُّعْمَانِ ، عَنْ دَاوُدَ بْنِ فَرْقَدٍ ، قَالَ :</w:t>
      </w:r>
    </w:p>
    <w:p w:rsidR="00E3253D" w:rsidRPr="005D642E" w:rsidRDefault="00E3253D" w:rsidP="00E3253D">
      <w:pPr>
        <w:pStyle w:val="libNormal"/>
        <w:rPr>
          <w:rtl/>
          <w:lang w:bidi="fa-IR"/>
        </w:rPr>
      </w:pPr>
      <w:r w:rsidRPr="005D642E">
        <w:rPr>
          <w:rtl/>
          <w:lang w:bidi="fa-IR"/>
        </w:rPr>
        <w:t xml:space="preserve">سَمِعْتُ صَاحِباً لَنَا يَسْأَلُ أَبَا عَبْدِ اللهِ </w:t>
      </w:r>
      <w:r w:rsidRPr="00AC51C5">
        <w:rPr>
          <w:rStyle w:val="libAlaemChar"/>
          <w:rtl/>
        </w:rPr>
        <w:t>عليه‌السلام</w:t>
      </w:r>
      <w:r w:rsidRPr="005D642E">
        <w:rPr>
          <w:rtl/>
          <w:lang w:bidi="fa-IR"/>
        </w:rPr>
        <w:t xml:space="preserve"> عَنِ الْمَرْأَةِ تَمُوتُ مَعَ رِجَالٍ </w:t>
      </w:r>
      <w:r w:rsidRPr="007C12DB">
        <w:rPr>
          <w:rStyle w:val="libFootnotenumChar"/>
          <w:rtl/>
        </w:rPr>
        <w:t>(1)</w:t>
      </w:r>
      <w:r w:rsidRPr="005D642E">
        <w:rPr>
          <w:rtl/>
          <w:lang w:bidi="fa-IR"/>
        </w:rPr>
        <w:t xml:space="preserve"> لَيْسَ فِيهِمْ ذُو‌</w:t>
      </w:r>
      <w:r>
        <w:rPr>
          <w:rFonts w:hint="cs"/>
          <w:rtl/>
          <w:lang w:bidi="fa-IR"/>
        </w:rPr>
        <w:t xml:space="preserve"> </w:t>
      </w:r>
      <w:r w:rsidRPr="005D642E">
        <w:rPr>
          <w:rtl/>
          <w:lang w:bidi="fa-IR"/>
        </w:rPr>
        <w:t>مَحْرَمٍ : هَلْ يُغَسِّلُونَهَا وَعَلَيْهَا ثِيَابُهَا</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(2)</w:t>
      </w:r>
      <w:r w:rsidRPr="005D642E">
        <w:rPr>
          <w:rtl/>
          <w:lang w:bidi="fa-IR"/>
        </w:rPr>
        <w:t xml:space="preserve"> : « إِذاً </w:t>
      </w:r>
      <w:r w:rsidRPr="007C12DB">
        <w:rPr>
          <w:rStyle w:val="libFootnotenumChar"/>
          <w:rtl/>
        </w:rPr>
        <w:t>(3)</w:t>
      </w:r>
      <w:r w:rsidRPr="005D642E">
        <w:rPr>
          <w:rtl/>
          <w:lang w:bidi="fa-IR"/>
        </w:rPr>
        <w:t xml:space="preserve"> يُدْخَلَ </w:t>
      </w:r>
      <w:r w:rsidRPr="007C12DB">
        <w:rPr>
          <w:rStyle w:val="libFootnotenumChar"/>
          <w:rtl/>
        </w:rPr>
        <w:t>(4)</w:t>
      </w:r>
      <w:r w:rsidRPr="005D642E">
        <w:rPr>
          <w:rtl/>
          <w:lang w:bidi="fa-IR"/>
        </w:rPr>
        <w:t xml:space="preserve"> ذلِكَ عَلَيْهِمْ ، وَلكِنْ يَغْسِلُونَ </w:t>
      </w:r>
      <w:r w:rsidRPr="007C12DB">
        <w:rPr>
          <w:rStyle w:val="libFootnotenumChar"/>
          <w:rtl/>
        </w:rPr>
        <w:t>(5)</w:t>
      </w:r>
      <w:r w:rsidRPr="005D642E">
        <w:rPr>
          <w:rtl/>
          <w:lang w:bidi="fa-IR"/>
        </w:rPr>
        <w:t xml:space="preserve"> كَفَّيْهَا</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DF305A">
        <w:rPr>
          <w:rtl/>
        </w:rPr>
        <w:t>4408</w:t>
      </w:r>
      <w:r w:rsidRPr="00246318">
        <w:rPr>
          <w:rStyle w:val="libBold2Char"/>
          <w:rtl/>
        </w:rPr>
        <w:t xml:space="preserve"> / 6.</w:t>
      </w:r>
      <w:r w:rsidRPr="005D642E">
        <w:rPr>
          <w:rtl/>
          <w:lang w:bidi="fa-IR"/>
        </w:rPr>
        <w:t xml:space="preserve"> مُحَمَّدُ بْنُ يَحْيى ، عَنْ أَحْمَدَ بْنِ مُحَمَّدٍ ، عَنْ عَلِيِّ بْنِ الْحَكَمِ ، عَنِ الْحُسَيْنِ بْنِ عُثْمَانَ ، عَنْ سَمَاعَةَ ، قَالَ :</w:t>
      </w:r>
    </w:p>
    <w:p w:rsidR="00E3253D" w:rsidRPr="005D642E" w:rsidRDefault="00E3253D" w:rsidP="00E3253D">
      <w:pPr>
        <w:pStyle w:val="libNormal"/>
        <w:rPr>
          <w:rtl/>
          <w:lang w:bidi="fa-IR"/>
        </w:rPr>
      </w:pPr>
      <w:r w:rsidRPr="005D642E">
        <w:rPr>
          <w:rtl/>
          <w:lang w:bidi="fa-IR"/>
        </w:rPr>
        <w:t>سَأَلْتُهُ عَنِ الْمَرْأَةِ إِذَا مَاتَتْ</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(7)</w:t>
      </w:r>
      <w:r w:rsidRPr="005D642E">
        <w:rPr>
          <w:rtl/>
          <w:lang w:bidi="fa-IR"/>
        </w:rPr>
        <w:t xml:space="preserve"> : « يُدْخِلُ زَوْجُهَا يَدَهُ </w:t>
      </w:r>
      <w:r w:rsidRPr="007C12DB">
        <w:rPr>
          <w:rStyle w:val="libFootnotenumChar"/>
          <w:rtl/>
        </w:rPr>
        <w:t>(8)</w:t>
      </w:r>
      <w:r w:rsidRPr="005D642E">
        <w:rPr>
          <w:rtl/>
          <w:lang w:bidi="fa-IR"/>
        </w:rPr>
        <w:t xml:space="preserve"> تَحْتَ قَمِيصِهَا إِلَى الْمَرَافِقِ </w:t>
      </w:r>
      <w:r w:rsidRPr="007C12DB">
        <w:rPr>
          <w:rStyle w:val="libFootnotenumChar"/>
          <w:rtl/>
        </w:rPr>
        <w:t>(9)</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DC5CFE" w:rsidRPr="005D642E" w:rsidRDefault="002F7674" w:rsidP="00DC5CFE">
      <w:pPr>
        <w:pStyle w:val="libFootnote0"/>
        <w:rPr>
          <w:rtl/>
          <w:lang w:bidi="fa-IR"/>
        </w:rPr>
      </w:pPr>
      <w:r w:rsidRPr="003C084A">
        <w:rPr>
          <w:rFonts w:hint="cs"/>
          <w:rtl/>
        </w:rPr>
        <w:t xml:space="preserve">= </w:t>
      </w:r>
      <w:r w:rsidR="0010743F">
        <w:rPr>
          <w:rFonts w:hint="cs"/>
          <w:rtl/>
        </w:rPr>
        <w:t>.</w:t>
      </w:r>
      <w:r w:rsidR="00DC5CFE" w:rsidRPr="002F4D34">
        <w:rPr>
          <w:rStyle w:val="libFootnoteBoldChar"/>
          <w:rtl/>
        </w:rPr>
        <w:t>الوافي</w:t>
      </w:r>
      <w:r w:rsidR="00DC5CFE" w:rsidRPr="005D642E">
        <w:rPr>
          <w:rtl/>
        </w:rPr>
        <w:t xml:space="preserve"> ، ج 24 ، ص 296 ، ح 24056 ؛ </w:t>
      </w:r>
      <w:r w:rsidR="00DC5CFE" w:rsidRPr="002F4D34">
        <w:rPr>
          <w:rStyle w:val="libFootnoteBoldChar"/>
          <w:rtl/>
        </w:rPr>
        <w:t>الوسائل</w:t>
      </w:r>
      <w:r w:rsidR="00DC5CFE" w:rsidRPr="005D642E">
        <w:rPr>
          <w:rtl/>
        </w:rPr>
        <w:t xml:space="preserve"> ، ج 2 ، ص 517 ، ح 2793.</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جن » </w:t>
      </w:r>
      <w:r w:rsidR="00E3253D" w:rsidRPr="00E678B5">
        <w:rPr>
          <w:rStyle w:val="libFootnoteBoldChar"/>
          <w:rtl/>
        </w:rPr>
        <w:t>والاستبصار</w:t>
      </w:r>
      <w:r w:rsidR="00E3253D" w:rsidRPr="005D642E">
        <w:rPr>
          <w:rtl/>
        </w:rPr>
        <w:t xml:space="preserve"> : « الرجال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بخ ، بف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إذن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قال الشيخ البهائي : « يدخل بالبناء للمفعول ، أي يعاب ، والدخل بالتحريك : العيب ، والضمير في عليهم يعود إلى أقارب المرأة لدلالة ذكرها عليهم ، وقد يقرأ بالبناء للفاعل ، وتجعل الإشارة إلى التلذّذ ، وضمير عليهم إلى الرجال الذين يغسلونها</w:t>
      </w:r>
      <w:r w:rsidR="00E3253D">
        <w:rPr>
          <w:rtl/>
        </w:rPr>
        <w:t xml:space="preserve"> ».</w:t>
      </w:r>
      <w:r w:rsidR="0010743F">
        <w:rPr>
          <w:rtl/>
        </w:rPr>
        <w:t xml:space="preserve"> والعل</w:t>
      </w:r>
      <w:r w:rsidR="0010743F">
        <w:rPr>
          <w:rFonts w:hint="cs"/>
          <w:rtl/>
        </w:rPr>
        <w:t>ّ</w:t>
      </w:r>
      <w:r w:rsidR="0010743F">
        <w:rPr>
          <w:rtl/>
        </w:rPr>
        <w:t>ا</w:t>
      </w:r>
      <w:r w:rsidR="0033079E">
        <w:rPr>
          <w:rtl/>
        </w:rPr>
        <w:t>مة الفيض اختار الأوّل ، والعل</w:t>
      </w:r>
      <w:r w:rsidR="0033079E">
        <w:rPr>
          <w:rFonts w:hint="cs"/>
          <w:rtl/>
        </w:rPr>
        <w:t>ّ</w:t>
      </w:r>
      <w:r w:rsidR="0033079E">
        <w:rPr>
          <w:rtl/>
        </w:rPr>
        <w:t>ا</w:t>
      </w:r>
      <w:r w:rsidR="00E3253D" w:rsidRPr="005D642E">
        <w:rPr>
          <w:rtl/>
        </w:rPr>
        <w:t xml:space="preserve">مة المجلسي نقل عن السيّد الداماد أنّه اختار الثاني ، حيث قال : « يدخل ، على صيغة المعلوم ، واسم الإشارة للتغسيل ، وضمير الجمع المجرور للرجال ، </w:t>
      </w:r>
      <w:r w:rsidR="00E3253D">
        <w:rPr>
          <w:rtl/>
        </w:rPr>
        <w:t>و «</w:t>
      </w:r>
      <w:r w:rsidR="00E3253D" w:rsidRPr="005D642E">
        <w:rPr>
          <w:rtl/>
        </w:rPr>
        <w:t xml:space="preserve"> على » للاستضرار ، أي إذا يدخل ذلك التغسيل عليهم في صحيفة عملهم فيستضرّون به ويكون عليهم وبالاً ونكالاً في النشأة الآخرة. وربّما يتوهّم الفعل على البناء للمفعول</w:t>
      </w:r>
      <w:r w:rsidR="00E3253D">
        <w:rPr>
          <w:rtl/>
        </w:rPr>
        <w:t xml:space="preserve"> ..</w:t>
      </w:r>
      <w:r w:rsidR="00E3253D" w:rsidRPr="005D642E">
        <w:rPr>
          <w:rtl/>
        </w:rPr>
        <w:t>. ولا يستقيم على قانون اللغة ولا يستصحّه أحد من أئمّة العربيّة</w:t>
      </w:r>
      <w:r w:rsidR="00E3253D">
        <w:rPr>
          <w:rtl/>
        </w:rPr>
        <w:t xml:space="preserve"> ».</w:t>
      </w:r>
      <w:r w:rsidR="00E3253D" w:rsidRPr="005D642E">
        <w:rPr>
          <w:rtl/>
        </w:rPr>
        <w:t xml:space="preserve"> راجع : </w:t>
      </w:r>
      <w:r w:rsidR="00E3253D" w:rsidRPr="002F4D34">
        <w:rPr>
          <w:rStyle w:val="libFootnoteBoldChar"/>
          <w:rtl/>
        </w:rPr>
        <w:t>مشرق الشمسين</w:t>
      </w:r>
      <w:r w:rsidR="00E3253D" w:rsidRPr="005D642E">
        <w:rPr>
          <w:rtl/>
        </w:rPr>
        <w:t xml:space="preserve"> ، ص 298.</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 « يغسّلون</w:t>
      </w:r>
      <w:r w:rsidR="00E3253D">
        <w:rPr>
          <w:rtl/>
        </w:rPr>
        <w:t xml:space="preserve"> ».</w:t>
      </w:r>
    </w:p>
    <w:p w:rsidR="00E3253D" w:rsidRPr="005D642E" w:rsidRDefault="0042621E" w:rsidP="00700864">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442 ، ح 1428 ؛ </w:t>
      </w:r>
      <w:r w:rsidR="00E3253D" w:rsidRPr="00E678B5">
        <w:rPr>
          <w:rStyle w:val="libFootnoteBoldChar"/>
          <w:rtl/>
        </w:rPr>
        <w:t>والاستبصار</w:t>
      </w:r>
      <w:r w:rsidR="00E3253D" w:rsidRPr="005D642E">
        <w:rPr>
          <w:rtl/>
        </w:rPr>
        <w:t xml:space="preserve"> ، ج 1 ، ص 202 ، ح 713 ، بسندهما عن عليّ بن النعمان. </w:t>
      </w:r>
      <w:r w:rsidR="00E3253D" w:rsidRPr="002F4D34">
        <w:rPr>
          <w:rStyle w:val="libFootnoteBoldChar"/>
          <w:rtl/>
        </w:rPr>
        <w:t>الفقيه</w:t>
      </w:r>
      <w:r w:rsidR="00E3253D" w:rsidRPr="005D642E">
        <w:rPr>
          <w:rtl/>
        </w:rPr>
        <w:t xml:space="preserve"> ، ج 1 ، ص 153 ، ح 426 ، مرسلاً ، وفي كلّها مع اختلاف يسير </w:t>
      </w:r>
      <w:r w:rsidR="00700864">
        <w:rPr>
          <w:rFonts w:hint="cs"/>
          <w:rtl/>
        </w:rPr>
        <w:t>.</w:t>
      </w:r>
      <w:r w:rsidR="00E3253D" w:rsidRPr="002F4D34">
        <w:rPr>
          <w:rStyle w:val="libFootnoteBoldChar"/>
          <w:rtl/>
        </w:rPr>
        <w:t>الوافي</w:t>
      </w:r>
      <w:r w:rsidR="00700864">
        <w:rPr>
          <w:rtl/>
        </w:rPr>
        <w:t xml:space="preserve"> ، ج 24 ، ص 296،</w:t>
      </w:r>
      <w:r w:rsidR="00E3253D" w:rsidRPr="005D642E">
        <w:rPr>
          <w:rtl/>
        </w:rPr>
        <w:t>ح 240</w:t>
      </w:r>
      <w:r w:rsidR="00700864">
        <w:rPr>
          <w:rtl/>
        </w:rPr>
        <w:t>57</w:t>
      </w:r>
      <w:r w:rsidR="00E3253D" w:rsidRPr="005D642E">
        <w:rPr>
          <w:rtl/>
        </w:rPr>
        <w:t>؛</w:t>
      </w:r>
      <w:r w:rsidR="00E3253D" w:rsidRPr="002F4D34">
        <w:rPr>
          <w:rStyle w:val="libFootnoteBoldChar"/>
          <w:rtl/>
        </w:rPr>
        <w:t>الوسائل</w:t>
      </w:r>
      <w:r w:rsidR="00700864">
        <w:rPr>
          <w:rtl/>
        </w:rPr>
        <w:t>،</w:t>
      </w:r>
      <w:r w:rsidR="00E3253D" w:rsidRPr="005D642E">
        <w:rPr>
          <w:rtl/>
        </w:rPr>
        <w:t>ج 2 ، ص 523 ، ذيل ح 2807.</w:t>
      </w:r>
      <w:r w:rsidR="00700864">
        <w:rPr>
          <w:rFonts w:hint="cs"/>
          <w:rtl/>
        </w:rPr>
        <w:t xml:space="preserve">       </w:t>
      </w:r>
      <w:r w:rsidRPr="0042621E">
        <w:rPr>
          <w:rStyle w:val="libFootnote0Char"/>
          <w:rtl/>
        </w:rPr>
        <w:t>(7).</w:t>
      </w:r>
      <w:r w:rsidR="00700864">
        <w:rPr>
          <w:rtl/>
        </w:rPr>
        <w:t xml:space="preserve"> في«ظ،بح،جح»والوسائل:«</w:t>
      </w:r>
      <w:r w:rsidR="00E3253D" w:rsidRPr="005D642E">
        <w:rPr>
          <w:rtl/>
        </w:rPr>
        <w:t>قال</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بخ ، بف » : + « من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بف » : « المرفق</w:t>
      </w:r>
      <w:r w:rsidR="00E3253D">
        <w:rPr>
          <w:rtl/>
        </w:rPr>
        <w:t xml:space="preserve"> ».</w:t>
      </w:r>
      <w:r w:rsidR="00E3253D" w:rsidRPr="005D642E">
        <w:rPr>
          <w:rtl/>
        </w:rPr>
        <w:t xml:space="preserve"> وفي حاشية « بث » : + « ويغسلها</w:t>
      </w:r>
      <w:r w:rsidR="00E3253D">
        <w:rPr>
          <w:rtl/>
        </w:rPr>
        <w:t xml:space="preserve"> ».</w:t>
      </w:r>
      <w:r w:rsidR="006C711F">
        <w:rPr>
          <w:rtl/>
        </w:rPr>
        <w:t xml:space="preserve"> وفي التهذيب:+</w:t>
      </w:r>
      <w:r w:rsidR="00E3253D" w:rsidRPr="005D642E">
        <w:rPr>
          <w:rtl/>
        </w:rPr>
        <w:t>« فيغسلها</w:t>
      </w:r>
      <w:r w:rsidR="00E3253D">
        <w:rPr>
          <w:rtl/>
        </w:rPr>
        <w:t xml:space="preserve"> ».</w:t>
      </w:r>
      <w:r w:rsidR="00E3253D" w:rsidRPr="005D642E">
        <w:rPr>
          <w:rtl/>
        </w:rPr>
        <w:t xml:space="preserve"> ولعلّ المراد </w:t>
      </w:r>
      <w:r w:rsidR="0070086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DF305A">
        <w:rPr>
          <w:rtl/>
        </w:rPr>
        <w:t>4409</w:t>
      </w:r>
      <w:r w:rsidRPr="00246318">
        <w:rPr>
          <w:rStyle w:val="libBold2Char"/>
          <w:rtl/>
        </w:rPr>
        <w:t xml:space="preserve"> / 7.</w:t>
      </w:r>
      <w:r w:rsidRPr="005D642E">
        <w:rPr>
          <w:rtl/>
          <w:lang w:bidi="fa-IR"/>
        </w:rPr>
        <w:t xml:space="preserve"> عِدَّةٌ مِنْ أَصْحَابِنَا ، عَنْ سَهْلِ بْنِ زِيَادٍ ، عَنْ أَحْمَدَ بْنِ مُحَمَّدِ بْنِ أَبِي نَصْرٍ ، عَنْ دَاوُدَ بْنِ سِرْحَانَ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الرَّجُلِ </w:t>
      </w:r>
      <w:r w:rsidRPr="007C12DB">
        <w:rPr>
          <w:rStyle w:val="libFootnotenumChar"/>
          <w:rtl/>
        </w:rPr>
        <w:t>(1)</w:t>
      </w:r>
      <w:r w:rsidRPr="005D642E">
        <w:rPr>
          <w:rtl/>
          <w:lang w:bidi="fa-IR"/>
        </w:rPr>
        <w:t xml:space="preserve"> يَمُوتُ فِي السَّفَرِ ، أَوْ فِي الْأَرْضِ </w:t>
      </w:r>
      <w:r w:rsidRPr="007C12DB">
        <w:rPr>
          <w:rStyle w:val="libFootnotenumChar"/>
          <w:rtl/>
        </w:rPr>
        <w:t>(2)</w:t>
      </w:r>
      <w:r w:rsidR="006C711F">
        <w:rPr>
          <w:rtl/>
          <w:lang w:bidi="fa-IR"/>
        </w:rPr>
        <w:t xml:space="preserve"> لَيْسَ مَعَهُ فِيهَا إِل</w:t>
      </w:r>
      <w:r w:rsidR="006C711F">
        <w:rPr>
          <w:rFonts w:hint="cs"/>
          <w:rtl/>
          <w:lang w:bidi="fa-IR"/>
        </w:rPr>
        <w:t>َّ</w:t>
      </w:r>
      <w:r w:rsidR="006C711F">
        <w:rPr>
          <w:rtl/>
          <w:lang w:bidi="fa-IR"/>
        </w:rPr>
        <w:t>ا</w:t>
      </w:r>
      <w:r w:rsidRPr="005D642E">
        <w:rPr>
          <w:rtl/>
          <w:lang w:bidi="fa-IR"/>
        </w:rPr>
        <w:t xml:space="preserve"> النِّسَاءُ ، قَالَ : « يُدْفَنُ ، وَلَايُغَسَّلُ</w:t>
      </w:r>
      <w:r>
        <w:rPr>
          <w:rtl/>
          <w:lang w:bidi="fa-IR"/>
        </w:rPr>
        <w:t xml:space="preserve"> ».</w:t>
      </w:r>
    </w:p>
    <w:p w:rsidR="00E3253D" w:rsidRPr="005D642E" w:rsidRDefault="00E3253D" w:rsidP="00E3253D">
      <w:pPr>
        <w:pStyle w:val="libNormal"/>
        <w:rPr>
          <w:rtl/>
          <w:lang w:bidi="fa-IR"/>
        </w:rPr>
      </w:pPr>
      <w:r w:rsidRPr="005D642E">
        <w:rPr>
          <w:rtl/>
          <w:lang w:bidi="fa-IR"/>
        </w:rPr>
        <w:t>وَقَالَ فِي الْمَرْأَةِ تَكُونُ مَعَ الرِّجَالِ :</w:t>
      </w:r>
      <w:r w:rsidR="006C711F">
        <w:rPr>
          <w:rtl/>
          <w:lang w:bidi="fa-IR"/>
        </w:rPr>
        <w:t xml:space="preserve"> « بِتِلْكَ الْمَنْزِلَةِ إِل</w:t>
      </w:r>
      <w:r w:rsidR="006C711F">
        <w:rPr>
          <w:rFonts w:hint="cs"/>
          <w:rtl/>
          <w:lang w:bidi="fa-IR"/>
        </w:rPr>
        <w:t>َّ</w:t>
      </w:r>
      <w:r w:rsidR="006C711F">
        <w:rPr>
          <w:rtl/>
          <w:lang w:bidi="fa-IR"/>
        </w:rPr>
        <w:t>ا</w:t>
      </w:r>
      <w:r w:rsidRPr="005D642E">
        <w:rPr>
          <w:rtl/>
          <w:lang w:bidi="fa-IR"/>
        </w:rPr>
        <w:t xml:space="preserve"> أَنْ يَكُونَ مَعَهَا </w:t>
      </w:r>
      <w:r w:rsidRPr="007C12DB">
        <w:rPr>
          <w:rStyle w:val="libFootnotenumChar"/>
          <w:rtl/>
        </w:rPr>
        <w:t>(3)</w:t>
      </w:r>
      <w:r w:rsidRPr="005D642E">
        <w:rPr>
          <w:rtl/>
          <w:lang w:bidi="fa-IR"/>
        </w:rPr>
        <w:t xml:space="preserve"> زَوْجُهَا ، فَإِنْ كَانَ مَعَهَا زَوْجُهَا </w:t>
      </w:r>
      <w:r w:rsidRPr="007C12DB">
        <w:rPr>
          <w:rStyle w:val="libFootnotenumChar"/>
          <w:rtl/>
        </w:rPr>
        <w:t>(4)</w:t>
      </w:r>
      <w:r w:rsidRPr="005D642E">
        <w:rPr>
          <w:rtl/>
          <w:lang w:bidi="fa-IR"/>
        </w:rPr>
        <w:t xml:space="preserve"> ، فَلْيُغَسِّلْهَا مِنْ فَوْقِ الدِّرْعِ </w:t>
      </w:r>
      <w:r w:rsidRPr="007C12DB">
        <w:rPr>
          <w:rStyle w:val="libFootnotenumChar"/>
          <w:rtl/>
        </w:rPr>
        <w:t>(5)</w:t>
      </w:r>
      <w:r w:rsidRPr="005D642E">
        <w:rPr>
          <w:rtl/>
          <w:lang w:bidi="fa-IR"/>
        </w:rPr>
        <w:t xml:space="preserve"> ، وَيَسْكُبُ عَلَيْهَا الْمَاءَ سَكْباً ، وَلْتُغَسِّلْهُ امْرَأَتُهُ إِذَا مَاتَ ، وَالْمَرْأَةُ لَيْسَتْ مِثْلَ الرَّجُلِ </w:t>
      </w:r>
      <w:r w:rsidRPr="007C12DB">
        <w:rPr>
          <w:rStyle w:val="libFootnotenumChar"/>
          <w:rtl/>
        </w:rPr>
        <w:t>(6)</w:t>
      </w:r>
      <w:r w:rsidRPr="005D642E">
        <w:rPr>
          <w:rtl/>
          <w:lang w:bidi="fa-IR"/>
        </w:rPr>
        <w:t xml:space="preserve"> ، الْمَرْأَةُ أَسْوَأُ مَنْظَراً حِينَ تَمُوتُ</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CF09B7" w:rsidP="00E3253D">
      <w:pPr>
        <w:pStyle w:val="libFootnote0"/>
        <w:rPr>
          <w:rtl/>
          <w:lang w:bidi="fa-IR"/>
        </w:rPr>
      </w:pPr>
      <w:r>
        <w:rPr>
          <w:rFonts w:hint="cs"/>
          <w:rtl/>
        </w:rPr>
        <w:t xml:space="preserve">= </w:t>
      </w:r>
      <w:r w:rsidR="00E3253D" w:rsidRPr="005D642E">
        <w:rPr>
          <w:rtl/>
        </w:rPr>
        <w:t>بالمرافق العورتان من الميّت ومايليهما مجازاً ، كما قال به الشيخ البه</w:t>
      </w:r>
      <w:r>
        <w:rPr>
          <w:rtl/>
        </w:rPr>
        <w:t>ائي والعل</w:t>
      </w:r>
      <w:r>
        <w:rPr>
          <w:rFonts w:hint="cs"/>
          <w:rtl/>
        </w:rPr>
        <w:t>ّ</w:t>
      </w:r>
      <w:r>
        <w:rPr>
          <w:rtl/>
        </w:rPr>
        <w:t>ا</w:t>
      </w:r>
      <w:r w:rsidR="00E3253D" w:rsidRPr="005D642E">
        <w:rPr>
          <w:rtl/>
        </w:rPr>
        <w:t xml:space="preserve">مة المجلسي عند شرح قوله </w:t>
      </w:r>
      <w:r w:rsidR="00E3253D" w:rsidRPr="00CF09B7">
        <w:rPr>
          <w:rStyle w:val="libFootnoteAlaemChar"/>
          <w:rtl/>
        </w:rPr>
        <w:t>عليه‌السلام</w:t>
      </w:r>
      <w:r w:rsidR="00E3253D" w:rsidRPr="005D642E">
        <w:rPr>
          <w:rtl/>
        </w:rPr>
        <w:t xml:space="preserve"> : « غسل الميّت يبدأ بمرافقه » المرويّ في </w:t>
      </w:r>
      <w:r w:rsidR="00E3253D" w:rsidRPr="002F4D34">
        <w:rPr>
          <w:rStyle w:val="libFootnoteBoldChar"/>
          <w:rtl/>
        </w:rPr>
        <w:t>التهذيب</w:t>
      </w:r>
      <w:r w:rsidR="00E3253D" w:rsidRPr="005D642E">
        <w:rPr>
          <w:rtl/>
        </w:rPr>
        <w:t xml:space="preserve"> ، ج 1 ،</w:t>
      </w:r>
      <w:r>
        <w:rPr>
          <w:rtl/>
        </w:rPr>
        <w:t xml:space="preserve"> ص 446 ، ح 1444 ، واستشهد العل</w:t>
      </w:r>
      <w:r>
        <w:rPr>
          <w:rFonts w:hint="cs"/>
          <w:rtl/>
        </w:rPr>
        <w:t>ّ</w:t>
      </w:r>
      <w:r>
        <w:rPr>
          <w:rtl/>
        </w:rPr>
        <w:t>ا</w:t>
      </w:r>
      <w:r w:rsidR="00E3253D" w:rsidRPr="005D642E">
        <w:rPr>
          <w:rtl/>
        </w:rPr>
        <w:t xml:space="preserve">مة المجلسي في ذلك بما قال في </w:t>
      </w:r>
      <w:r w:rsidR="00E3253D" w:rsidRPr="002F4D34">
        <w:rPr>
          <w:rStyle w:val="libFootnoteBoldChar"/>
          <w:rtl/>
        </w:rPr>
        <w:t>القاموس</w:t>
      </w:r>
      <w:r w:rsidR="00E3253D" w:rsidRPr="005D642E">
        <w:rPr>
          <w:rtl/>
        </w:rPr>
        <w:t xml:space="preserve"> من قوله : « مرافق الدار : مصابّ الماء ونحوها » ، وبما في </w:t>
      </w:r>
      <w:r w:rsidR="00E3253D" w:rsidRPr="002F4D34">
        <w:rPr>
          <w:rStyle w:val="libFootnoteBoldChar"/>
          <w:rtl/>
        </w:rPr>
        <w:t>النهاية</w:t>
      </w:r>
      <w:r w:rsidR="00E3253D" w:rsidRPr="005D642E">
        <w:rPr>
          <w:rtl/>
        </w:rPr>
        <w:t xml:space="preserve"> من قوله « في حديث أبي ايّوب : وجدنا مرافقهم قد استقبل ، يريد الكُنُف والحُشوش ، واحدها : المرافق بالكسر</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2 ، ص 247 ؛ </w:t>
      </w:r>
      <w:r w:rsidR="00E3253D" w:rsidRPr="002F4D34">
        <w:rPr>
          <w:rStyle w:val="libFootnoteBoldChar"/>
          <w:rtl/>
        </w:rPr>
        <w:t>القاموس المحيط</w:t>
      </w:r>
      <w:r w:rsidR="00E3253D" w:rsidRPr="005D642E">
        <w:rPr>
          <w:rtl/>
        </w:rPr>
        <w:t xml:space="preserve"> ، ج 2 ، ص 1178 ( رفق ) ؛ </w:t>
      </w:r>
      <w:r w:rsidR="00E3253D" w:rsidRPr="002F4D34">
        <w:rPr>
          <w:rStyle w:val="libFootnoteBoldChar"/>
          <w:rtl/>
        </w:rPr>
        <w:t>الحبل المتين</w:t>
      </w:r>
      <w:r w:rsidR="00E3253D" w:rsidRPr="005D642E">
        <w:rPr>
          <w:rtl/>
        </w:rPr>
        <w:t xml:space="preserve"> ، ص 61 ؛ </w:t>
      </w:r>
      <w:r w:rsidR="00E3253D" w:rsidRPr="002F4D34">
        <w:rPr>
          <w:rStyle w:val="libFootnoteBoldChar"/>
          <w:rtl/>
        </w:rPr>
        <w:t>مشرق الشمس</w:t>
      </w:r>
      <w:r w:rsidR="00E3253D" w:rsidRPr="005D642E">
        <w:rPr>
          <w:rtl/>
        </w:rPr>
        <w:t xml:space="preserve"> ، ص 293 ؛ </w:t>
      </w:r>
      <w:r w:rsidR="00E3253D" w:rsidRPr="002F4D34">
        <w:rPr>
          <w:rStyle w:val="libFootnoteBoldChar"/>
          <w:rtl/>
        </w:rPr>
        <w:t>ملاذ الأخبار</w:t>
      </w:r>
      <w:r w:rsidR="00E3253D" w:rsidRPr="005D642E">
        <w:rPr>
          <w:rtl/>
        </w:rPr>
        <w:t xml:space="preserve"> ، ج 3 ، ص 258.</w:t>
      </w:r>
    </w:p>
    <w:p w:rsidR="00E3253D" w:rsidRDefault="0042621E" w:rsidP="00E3253D">
      <w:pPr>
        <w:pStyle w:val="libFootnote0"/>
        <w:rPr>
          <w:rtl/>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438 ، ح 1412 ؛ </w:t>
      </w:r>
      <w:r w:rsidR="00E3253D" w:rsidRPr="00E678B5">
        <w:rPr>
          <w:rStyle w:val="libFootnoteBoldChar"/>
          <w:rtl/>
        </w:rPr>
        <w:t>والإستبصار</w:t>
      </w:r>
      <w:r w:rsidR="00E3253D" w:rsidRPr="005D642E">
        <w:rPr>
          <w:rtl/>
        </w:rPr>
        <w:t xml:space="preserve"> ، ج 1 ، ص 197 ، ح 691 ، معلّقاً عن أحمد بن محمّد </w:t>
      </w:r>
      <w:r w:rsidR="00CF09B7">
        <w:rPr>
          <w:rFonts w:hint="cs"/>
          <w:rtl/>
        </w:rPr>
        <w:t>.</w:t>
      </w:r>
      <w:r w:rsidR="00E3253D" w:rsidRPr="002F4D34">
        <w:rPr>
          <w:rStyle w:val="libFootnoteBoldChar"/>
          <w:rtl/>
        </w:rPr>
        <w:t>الوافي</w:t>
      </w:r>
      <w:r w:rsidR="00E3253D" w:rsidRPr="005D642E">
        <w:rPr>
          <w:rtl/>
        </w:rPr>
        <w:t xml:space="preserve"> ، ج 24 ، ص 297 ، ح 24060 ؛ </w:t>
      </w:r>
      <w:r w:rsidR="00E3253D" w:rsidRPr="002F4D34">
        <w:rPr>
          <w:rStyle w:val="libFootnoteBoldChar"/>
          <w:rtl/>
        </w:rPr>
        <w:t>الوسائل</w:t>
      </w:r>
      <w:r w:rsidR="00E3253D" w:rsidRPr="005D642E">
        <w:rPr>
          <w:rtl/>
        </w:rPr>
        <w:t xml:space="preserve"> ، ج 2 ، ص 530 ، ح 2824.</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بس » والوسائل : « في رجل</w:t>
      </w:r>
      <w:r w:rsidR="00E3253D">
        <w:rPr>
          <w:rtl/>
        </w:rPr>
        <w:t xml:space="preserve"> ».</w:t>
      </w:r>
    </w:p>
    <w:p w:rsidR="00E3253D" w:rsidRPr="005D642E" w:rsidRDefault="0042621E" w:rsidP="00CF09B7">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ص 343 وفي حاشية « بث » والمطبوع : « في أرض</w:t>
      </w:r>
      <w:r w:rsidR="00E3253D">
        <w:rPr>
          <w:rtl/>
        </w:rPr>
        <w:t xml:space="preserve"> ».</w:t>
      </w:r>
      <w:r w:rsidR="00CF09B7">
        <w:rPr>
          <w:rFonts w:hint="cs"/>
          <w:rtl/>
        </w:rPr>
        <w:t xml:space="preserve">                                                      </w:t>
      </w:r>
      <w:r w:rsidRPr="0042621E">
        <w:rPr>
          <w:rStyle w:val="libFootnote0Char"/>
          <w:rtl/>
        </w:rPr>
        <w:t>(3).</w:t>
      </w:r>
      <w:r w:rsidR="00E3253D" w:rsidRPr="005D642E">
        <w:rPr>
          <w:rtl/>
        </w:rPr>
        <w:t xml:space="preserve"> في « جس » : « مع</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فإن كان معها زوجها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درع المرأة : قميصها. راجع : </w:t>
      </w:r>
      <w:r w:rsidR="00E3253D" w:rsidRPr="002F4D34">
        <w:rPr>
          <w:rStyle w:val="libFootnoteBoldChar"/>
          <w:rtl/>
        </w:rPr>
        <w:t>النهاية</w:t>
      </w:r>
      <w:r w:rsidR="00E3253D" w:rsidRPr="005D642E">
        <w:rPr>
          <w:rtl/>
        </w:rPr>
        <w:t xml:space="preserve"> ، ج 2 ، ص 114 ( درع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حاشية « غ » : « الرجال</w:t>
      </w:r>
      <w:r w:rsidR="00E3253D">
        <w:rPr>
          <w:rtl/>
        </w:rPr>
        <w:t xml:space="preserve"> ».</w:t>
      </w:r>
      <w:r w:rsidR="00E3253D" w:rsidRPr="005D642E">
        <w:rPr>
          <w:rtl/>
        </w:rPr>
        <w:t xml:space="preserve"> وفي الوسائل : + « </w:t>
      </w:r>
      <w:r w:rsidR="00E3253D">
        <w:rPr>
          <w:rtl/>
        </w:rPr>
        <w:t>و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343 ، ح 1003 ، معلّقاً عن الكليني ، إلى قوله : « يدفن ولا يغسل</w:t>
      </w:r>
      <w:r w:rsidR="00E3253D">
        <w:rPr>
          <w:rtl/>
        </w:rPr>
        <w:t xml:space="preserve"> ».</w:t>
      </w:r>
      <w:r w:rsidR="00E3253D" w:rsidRPr="005D642E">
        <w:rPr>
          <w:rtl/>
        </w:rPr>
        <w:t xml:space="preserve"> </w:t>
      </w:r>
      <w:r w:rsidR="00E3253D" w:rsidRPr="002F4D34">
        <w:rPr>
          <w:rStyle w:val="libFootnoteBoldChar"/>
          <w:rtl/>
        </w:rPr>
        <w:t>وفيه</w:t>
      </w:r>
      <w:r w:rsidR="00E3253D" w:rsidRPr="005D642E">
        <w:rPr>
          <w:rtl/>
        </w:rPr>
        <w:t xml:space="preserve"> ، ص 438 ، ح 1415 ؛ </w:t>
      </w:r>
      <w:r w:rsidR="00E3253D" w:rsidRPr="00E678B5">
        <w:rPr>
          <w:rStyle w:val="libFootnoteBoldChar"/>
          <w:rtl/>
        </w:rPr>
        <w:t>والاستبصار</w:t>
      </w:r>
      <w:r w:rsidR="00E3253D" w:rsidRPr="005D642E">
        <w:rPr>
          <w:rtl/>
        </w:rPr>
        <w:t xml:space="preserve"> ، ج 1 ، ص 197 ، ح 694 ، معلّقاً عن سهل بن زياد. </w:t>
      </w:r>
      <w:r w:rsidR="00E3253D" w:rsidRPr="002F4D34">
        <w:rPr>
          <w:rStyle w:val="libFootnoteBoldChar"/>
          <w:rtl/>
        </w:rPr>
        <w:t>وفيه</w:t>
      </w:r>
      <w:r w:rsidR="00E3253D" w:rsidRPr="005D642E">
        <w:rPr>
          <w:rtl/>
        </w:rPr>
        <w:t xml:space="preserve"> ، ح 693 ؛ </w:t>
      </w:r>
      <w:r w:rsidR="00B60612" w:rsidRPr="00B60612">
        <w:rPr>
          <w:rStyle w:val="libFootnoteBoldChar"/>
          <w:rtl/>
        </w:rPr>
        <w:t>والتهذيب</w:t>
      </w:r>
      <w:r w:rsidR="00E3253D" w:rsidRPr="002F4D34">
        <w:rPr>
          <w:rStyle w:val="libFootnoteBoldChar"/>
          <w:rtl/>
        </w:rPr>
        <w:t xml:space="preserve"> </w:t>
      </w:r>
      <w:r w:rsidR="00E3253D" w:rsidRPr="005D642E">
        <w:rPr>
          <w:rtl/>
        </w:rPr>
        <w:t xml:space="preserve">، ج 1 ، ص 438 ، ح 1414 ، بسند آخر. </w:t>
      </w:r>
      <w:r w:rsidR="00E3253D" w:rsidRPr="002F4D34">
        <w:rPr>
          <w:rStyle w:val="libFootnoteBoldChar"/>
          <w:rtl/>
        </w:rPr>
        <w:t>وفيه</w:t>
      </w:r>
      <w:r w:rsidR="00E3253D" w:rsidRPr="005D642E">
        <w:rPr>
          <w:rtl/>
        </w:rPr>
        <w:t xml:space="preserve"> ، ص 441 ، ح 1424 ؛ </w:t>
      </w:r>
      <w:r w:rsidR="00E3253D" w:rsidRPr="00E678B5">
        <w:rPr>
          <w:rStyle w:val="libFootnoteBoldChar"/>
          <w:rtl/>
        </w:rPr>
        <w:t>والاستبصار</w:t>
      </w:r>
      <w:r w:rsidR="00E3253D" w:rsidRPr="005D642E">
        <w:rPr>
          <w:rtl/>
        </w:rPr>
        <w:t xml:space="preserve"> ، ج 1 ، ص 201 ، ح 707 ، بسند آخر. </w:t>
      </w:r>
      <w:r w:rsidR="00E3253D" w:rsidRPr="002F4D34">
        <w:rPr>
          <w:rStyle w:val="libFootnoteBoldChar"/>
          <w:rtl/>
        </w:rPr>
        <w:t>الفقيه</w:t>
      </w:r>
      <w:r w:rsidR="00E3253D" w:rsidRPr="005D642E">
        <w:rPr>
          <w:rtl/>
        </w:rPr>
        <w:t xml:space="preserve"> ، ج 1 ، ص 154 ، ح 427 ، مرسلاً. وفي الثلاثة الأخيرة إلى قوله : « يدفن ولا يغسل » ، مع زيادة ، وفي كلّ المصادر</w:t>
      </w:r>
      <w:r w:rsidR="00E3253D">
        <w:rPr>
          <w:rtl/>
        </w:rPr>
        <w:t xml:space="preserve"> </w:t>
      </w:r>
      <w:r w:rsidR="007642BC">
        <w:rPr>
          <w:rtl/>
        </w:rPr>
        <w:t>-</w:t>
      </w:r>
      <w:r w:rsidR="00E3253D">
        <w:rPr>
          <w:rtl/>
        </w:rPr>
        <w:t xml:space="preserve"> </w:t>
      </w:r>
      <w:r w:rsidR="00CF09B7">
        <w:rPr>
          <w:rtl/>
        </w:rPr>
        <w:t>إل</w:t>
      </w:r>
      <w:r w:rsidR="00CF09B7">
        <w:rPr>
          <w:rFonts w:hint="cs"/>
          <w:rtl/>
        </w:rPr>
        <w:t>ّ</w:t>
      </w:r>
      <w:r w:rsidR="00CF09B7">
        <w:rPr>
          <w:rtl/>
        </w:rPr>
        <w:t>ا</w:t>
      </w:r>
      <w:r w:rsidR="00E3253D">
        <w:rPr>
          <w:rFonts w:hint="cs"/>
          <w:rtl/>
        </w:rPr>
        <w:t xml:space="preserve"> </w:t>
      </w:r>
      <w:r w:rsidR="00E3253D" w:rsidRPr="005D642E">
        <w:rPr>
          <w:rtl/>
        </w:rPr>
        <w:t>التهذيب ، ص 343</w:t>
      </w:r>
      <w:r w:rsidR="00E3253D">
        <w:rPr>
          <w:rtl/>
        </w:rPr>
        <w:t xml:space="preserve"> </w:t>
      </w:r>
      <w:r w:rsidR="007642BC">
        <w:rPr>
          <w:rtl/>
        </w:rPr>
        <w:t>-</w:t>
      </w:r>
      <w:r w:rsidR="00E3253D">
        <w:rPr>
          <w:rtl/>
        </w:rPr>
        <w:t xml:space="preserve"> </w:t>
      </w:r>
      <w:r w:rsidR="00E3253D" w:rsidRPr="005D642E">
        <w:rPr>
          <w:rtl/>
        </w:rPr>
        <w:t xml:space="preserve">مع اختلاف يسير. وراجع : </w:t>
      </w:r>
      <w:r w:rsidR="00E3253D" w:rsidRPr="002F4D34">
        <w:rPr>
          <w:rStyle w:val="libFootnoteBoldChar"/>
          <w:rtl/>
        </w:rPr>
        <w:t>التهذيب</w:t>
      </w:r>
      <w:r w:rsidR="00E3253D" w:rsidRPr="005D642E">
        <w:rPr>
          <w:rtl/>
        </w:rPr>
        <w:t xml:space="preserve"> ، ج 1 ، ص 440 ، ح 1423 </w:t>
      </w:r>
      <w:r w:rsidR="00326A10">
        <w:rPr>
          <w:rFonts w:hint="cs"/>
          <w:rtl/>
        </w:rPr>
        <w:t>.</w:t>
      </w:r>
      <w:r w:rsidR="00E3253D" w:rsidRPr="002F4D34">
        <w:rPr>
          <w:rStyle w:val="libFootnoteBoldChar"/>
          <w:rtl/>
        </w:rPr>
        <w:t>الوافي</w:t>
      </w:r>
      <w:r w:rsidR="00E3253D" w:rsidRPr="005D642E">
        <w:rPr>
          <w:rtl/>
        </w:rPr>
        <w:t xml:space="preserve"> ، ج 24 ، ص 299 ، ح 24065 ؛ </w:t>
      </w:r>
      <w:r w:rsidR="00E3253D" w:rsidRPr="002F4D34">
        <w:rPr>
          <w:rStyle w:val="libFootnoteBoldChar"/>
          <w:rtl/>
        </w:rPr>
        <w:t>الوسائل</w:t>
      </w:r>
      <w:r w:rsidR="00E3253D" w:rsidRPr="005D642E">
        <w:rPr>
          <w:rtl/>
        </w:rPr>
        <w:t xml:space="preserve"> ، ج 2 ، ص 531 ، ح 2826.</w:t>
      </w:r>
    </w:p>
    <w:p w:rsidR="00E3253D" w:rsidRDefault="00E3253D" w:rsidP="00E3253D">
      <w:pPr>
        <w:pStyle w:val="libNormal"/>
        <w:rPr>
          <w:rtl/>
          <w:lang w:bidi="fa-IR"/>
        </w:rPr>
      </w:pPr>
      <w:r>
        <w:rPr>
          <w:rtl/>
          <w:lang w:bidi="fa-IR"/>
        </w:rPr>
        <w:br w:type="page"/>
      </w:r>
    </w:p>
    <w:p w:rsidR="00326A10" w:rsidRDefault="00E3253D" w:rsidP="00326A10">
      <w:pPr>
        <w:pStyle w:val="libNormal"/>
        <w:rPr>
          <w:rtl/>
          <w:lang w:bidi="fa-IR"/>
        </w:rPr>
      </w:pPr>
      <w:r w:rsidRPr="00DF305A">
        <w:rPr>
          <w:rtl/>
        </w:rPr>
        <w:t>4410</w:t>
      </w:r>
      <w:r w:rsidRPr="00246318">
        <w:rPr>
          <w:rStyle w:val="libBold2Char"/>
          <w:rtl/>
        </w:rPr>
        <w:t xml:space="preserve"> / 8.</w:t>
      </w:r>
      <w:r w:rsidRPr="005D642E">
        <w:rPr>
          <w:rtl/>
          <w:lang w:bidi="fa-IR"/>
        </w:rPr>
        <w:t xml:space="preserve"> أَبُو عَلِيٍّ الْأَشْعَرِيُّ ، عَنْ مُحَمَّدِ بْنِ عَبْدِ الْجَبَّارِ ؛</w:t>
      </w:r>
    </w:p>
    <w:p w:rsidR="00E3253D" w:rsidRPr="005D642E" w:rsidRDefault="00FE5E85" w:rsidP="00326A10">
      <w:pPr>
        <w:pStyle w:val="libNormal"/>
        <w:rPr>
          <w:rtl/>
          <w:lang w:bidi="fa-IR"/>
        </w:rPr>
      </w:pPr>
      <w:r>
        <w:rPr>
          <w:rFonts w:hint="cs"/>
          <w:rtl/>
          <w:lang w:bidi="fa-IR"/>
        </w:rPr>
        <w:t xml:space="preserve">        </w:t>
      </w:r>
      <w:r w:rsidR="00082AD1">
        <w:rPr>
          <w:rFonts w:hint="cs"/>
          <w:rtl/>
          <w:lang w:bidi="fa-IR"/>
        </w:rPr>
        <w:t xml:space="preserve">     </w:t>
      </w:r>
      <w:r w:rsidR="00E3253D" w:rsidRPr="005D642E">
        <w:rPr>
          <w:rtl/>
          <w:lang w:bidi="fa-IR"/>
        </w:rPr>
        <w:t xml:space="preserve">وَمُحَمَّدُ بْنُ إِسْمَاعِيلَ ، عَنِ الْفَضْلِ بْنِ شَاذَانَ جَمِيعاً ، عَنْ صَفْوَانَ بْنِ يَحْيى ، عَنْ مَنْصُورٍ </w:t>
      </w:r>
      <w:r w:rsidR="00E3253D" w:rsidRPr="007C12DB">
        <w:rPr>
          <w:rStyle w:val="libFootnotenumChar"/>
          <w:rtl/>
        </w:rPr>
        <w:t>(1)</w:t>
      </w:r>
      <w:r w:rsidR="00E3253D"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الرَّجُلِ </w:t>
      </w:r>
      <w:r w:rsidRPr="007C12DB">
        <w:rPr>
          <w:rStyle w:val="libFootnotenumChar"/>
          <w:rtl/>
        </w:rPr>
        <w:t>(2)</w:t>
      </w:r>
      <w:r w:rsidRPr="005D642E">
        <w:rPr>
          <w:rtl/>
          <w:lang w:bidi="fa-IR"/>
        </w:rPr>
        <w:t xml:space="preserve"> يَخْرُجُ فِي السَّفَرِ وَمَعَهُ امْرَأَتُهُ </w:t>
      </w:r>
      <w:r w:rsidRPr="007C12DB">
        <w:rPr>
          <w:rStyle w:val="libFootnotenumChar"/>
          <w:rtl/>
        </w:rPr>
        <w:t>(3)</w:t>
      </w:r>
      <w:r w:rsidRPr="005D642E">
        <w:rPr>
          <w:rtl/>
          <w:lang w:bidi="fa-IR"/>
        </w:rPr>
        <w:t xml:space="preserve"> : يُغَسِّلُهَا</w:t>
      </w:r>
      <w:r>
        <w:rPr>
          <w:rtl/>
          <w:lang w:bidi="fa-IR"/>
        </w:rPr>
        <w:t>؟</w:t>
      </w:r>
    </w:p>
    <w:p w:rsidR="00E3253D" w:rsidRPr="005D642E" w:rsidRDefault="00E3253D" w:rsidP="00E3253D">
      <w:pPr>
        <w:pStyle w:val="libNormal"/>
        <w:rPr>
          <w:rtl/>
          <w:lang w:bidi="fa-IR"/>
        </w:rPr>
      </w:pPr>
      <w:r w:rsidRPr="005D642E">
        <w:rPr>
          <w:rtl/>
          <w:lang w:bidi="fa-IR"/>
        </w:rPr>
        <w:t xml:space="preserve">قَالَ : « نَعَمْ ، وَأُمَّهُ وَأُخْتَهُ وَنَحْوَ هذَا </w:t>
      </w:r>
      <w:r w:rsidRPr="007C12DB">
        <w:rPr>
          <w:rStyle w:val="libFootnotenumChar"/>
          <w:rtl/>
        </w:rPr>
        <w:t>(4)</w:t>
      </w:r>
      <w:r w:rsidRPr="005D642E">
        <w:rPr>
          <w:rtl/>
          <w:lang w:bidi="fa-IR"/>
        </w:rPr>
        <w:t xml:space="preserve"> ، يُلْقي عَلى عَوْرَتِهَا خِرْقَةً</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DF305A">
        <w:rPr>
          <w:rtl/>
        </w:rPr>
        <w:t>4411</w:t>
      </w:r>
      <w:r w:rsidRPr="00246318">
        <w:rPr>
          <w:rStyle w:val="libBold2Char"/>
          <w:rtl/>
        </w:rPr>
        <w:t xml:space="preserve"> / 9.</w:t>
      </w:r>
      <w:r w:rsidRPr="005D642E">
        <w:rPr>
          <w:rtl/>
          <w:lang w:bidi="fa-IR"/>
        </w:rPr>
        <w:t xml:space="preserve"> عِدَّةٌ مِنْ أَصْحَابِنَا ، عَنْ سَهْلِ بْنِ زِيَادٍ ، عَنْ عَلِيِّ بْنِ الْحَكَمِ ، عَنْ سَيْفِ بْنِ عَمِيرَةَ ، عَنْ دَاوُدَ بْنِ فَرْقَدٍ ، قَالَ :</w:t>
      </w:r>
    </w:p>
    <w:p w:rsidR="00E3253D" w:rsidRPr="005D642E" w:rsidRDefault="00E3253D" w:rsidP="00E3253D">
      <w:pPr>
        <w:pStyle w:val="libNormal"/>
        <w:rPr>
          <w:rtl/>
          <w:lang w:bidi="fa-IR"/>
        </w:rPr>
      </w:pPr>
      <w:r w:rsidRPr="005D642E">
        <w:rPr>
          <w:rtl/>
          <w:lang w:bidi="fa-IR"/>
        </w:rPr>
        <w:t xml:space="preserve">سَمِعْتُ صَاحِباً لَنَا يَسْأَلُ أَبَا عَبْدِ اللهِ </w:t>
      </w:r>
      <w:r w:rsidRPr="00AC51C5">
        <w:rPr>
          <w:rStyle w:val="libAlaemChar"/>
          <w:rtl/>
        </w:rPr>
        <w:t>عليه‌السلام</w:t>
      </w:r>
      <w:r w:rsidRPr="005D642E">
        <w:rPr>
          <w:rtl/>
          <w:lang w:bidi="fa-IR"/>
        </w:rPr>
        <w:t xml:space="preserve"> عَنِ الْمَرْأَةِ تَمُوتُ مَعَ رِجَالٍ </w:t>
      </w:r>
      <w:r w:rsidRPr="007C12DB">
        <w:rPr>
          <w:rStyle w:val="libFootnotenumChar"/>
          <w:rtl/>
        </w:rPr>
        <w:t>(6)</w:t>
      </w:r>
      <w:r w:rsidRPr="005D642E">
        <w:rPr>
          <w:rtl/>
          <w:lang w:bidi="fa-IR"/>
        </w:rPr>
        <w:t xml:space="preserve"> لَيْسَ </w:t>
      </w:r>
      <w:r w:rsidRPr="007C12DB">
        <w:rPr>
          <w:rStyle w:val="libFootnotenumChar"/>
          <w:rtl/>
        </w:rPr>
        <w:t>(7)</w:t>
      </w:r>
      <w:r w:rsidRPr="005D642E">
        <w:rPr>
          <w:rtl/>
          <w:lang w:bidi="fa-IR"/>
        </w:rPr>
        <w:t xml:space="preserve"> مَعَهُمْ </w:t>
      </w:r>
      <w:r w:rsidRPr="007C12DB">
        <w:rPr>
          <w:rStyle w:val="libFootnotenumChar"/>
          <w:rtl/>
        </w:rPr>
        <w:t>(8)</w:t>
      </w:r>
      <w:r w:rsidRPr="005D642E">
        <w:rPr>
          <w:rtl/>
          <w:lang w:bidi="fa-IR"/>
        </w:rPr>
        <w:t xml:space="preserve"> ذُو مَحْرَمٍ : هَلْ يُغَسِّلُونَهَا وَعَلَيْهَا ثِيَابُهَا</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(9)</w:t>
      </w:r>
      <w:r w:rsidRPr="005D642E">
        <w:rPr>
          <w:rtl/>
          <w:lang w:bidi="fa-IR"/>
        </w:rPr>
        <w:t xml:space="preserve"> : « إِذاً يُدْخَلَ عَلَيْهِمْ </w:t>
      </w:r>
      <w:r w:rsidRPr="007C12DB">
        <w:rPr>
          <w:rStyle w:val="libFootnotenumChar"/>
          <w:rtl/>
        </w:rPr>
        <w:t>(10)</w:t>
      </w:r>
      <w:r w:rsidRPr="005D642E">
        <w:rPr>
          <w:rtl/>
          <w:lang w:bidi="fa-IR"/>
        </w:rPr>
        <w:t xml:space="preserve"> ، وَلكِنْ يَغْسِلُونَ كَفَّيْهَا</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النسخ والوسائل. وفي المطبوع : + « [ بن حازم ]</w:t>
      </w:r>
      <w:r w:rsidR="00E3253D">
        <w:rPr>
          <w:rtl/>
        </w:rPr>
        <w:t xml:space="preserve"> ».</w:t>
      </w:r>
      <w:r w:rsidR="00E3253D" w:rsidRPr="005D642E">
        <w:rPr>
          <w:rtl/>
        </w:rPr>
        <w:t xml:space="preserve"> وقد أكثر صفوان [ بن يحيى ] من الرواية عن منصور بن حازم. راجع : </w:t>
      </w:r>
      <w:r w:rsidR="00E3253D" w:rsidRPr="002F4D34">
        <w:rPr>
          <w:rStyle w:val="libFootnoteBoldChar"/>
          <w:rtl/>
        </w:rPr>
        <w:t>معجم رجال الحديث</w:t>
      </w:r>
      <w:r w:rsidR="00E3253D" w:rsidRPr="005D642E">
        <w:rPr>
          <w:rtl/>
        </w:rPr>
        <w:t xml:space="preserve"> ، ج 9 ، ص 422</w:t>
      </w:r>
      <w:r w:rsidR="00E3253D">
        <w:rPr>
          <w:rtl/>
        </w:rPr>
        <w:t xml:space="preserve"> </w:t>
      </w:r>
      <w:r w:rsidR="007642BC">
        <w:rPr>
          <w:rtl/>
        </w:rPr>
        <w:t>-</w:t>
      </w:r>
      <w:r w:rsidR="00E3253D">
        <w:rPr>
          <w:rtl/>
        </w:rPr>
        <w:t xml:space="preserve"> </w:t>
      </w:r>
      <w:r w:rsidR="00E3253D" w:rsidRPr="005D642E">
        <w:rPr>
          <w:rtl/>
        </w:rPr>
        <w:t>423 ؛ وص 459</w:t>
      </w:r>
      <w:r w:rsidR="00E3253D">
        <w:rPr>
          <w:rtl/>
        </w:rPr>
        <w:t xml:space="preserve"> </w:t>
      </w:r>
      <w:r w:rsidR="007642BC">
        <w:rPr>
          <w:rtl/>
        </w:rPr>
        <w:t>-</w:t>
      </w:r>
      <w:r w:rsidR="00E3253D">
        <w:rPr>
          <w:rtl/>
        </w:rPr>
        <w:t xml:space="preserve"> </w:t>
      </w:r>
      <w:r w:rsidR="00E3253D" w:rsidRPr="005D642E">
        <w:rPr>
          <w:rtl/>
        </w:rPr>
        <w:t>460.</w:t>
      </w:r>
    </w:p>
    <w:tbl>
      <w:tblPr>
        <w:tblStyle w:val="TableGrid"/>
        <w:bidiVisual/>
        <w:tblW w:w="0" w:type="auto"/>
        <w:tblLook w:val="04A0" w:firstRow="1" w:lastRow="0" w:firstColumn="1" w:lastColumn="0" w:noHBand="0" w:noVBand="1"/>
      </w:tblPr>
      <w:tblGrid>
        <w:gridCol w:w="4006"/>
        <w:gridCol w:w="4006"/>
      </w:tblGrid>
      <w:tr w:rsidR="002514E5" w:rsidTr="002514E5">
        <w:tc>
          <w:tcPr>
            <w:tcW w:w="4006" w:type="dxa"/>
          </w:tcPr>
          <w:p w:rsidR="002514E5" w:rsidRDefault="002514E5" w:rsidP="00E3253D">
            <w:pPr>
              <w:pStyle w:val="libFootnote0"/>
              <w:rPr>
                <w:rStyle w:val="libFootnote0Char"/>
                <w:rtl/>
              </w:rPr>
            </w:pPr>
            <w:r w:rsidRPr="0042621E">
              <w:rPr>
                <w:rStyle w:val="libFootnote0Char"/>
                <w:rtl/>
              </w:rPr>
              <w:t>(2).</w:t>
            </w:r>
            <w:r w:rsidRPr="005D642E">
              <w:rPr>
                <w:rtl/>
              </w:rPr>
              <w:t xml:space="preserve"> في « جن » : « عن رجل</w:t>
            </w:r>
            <w:r>
              <w:rPr>
                <w:rtl/>
              </w:rPr>
              <w:t xml:space="preserve"> ».</w:t>
            </w:r>
          </w:p>
        </w:tc>
        <w:tc>
          <w:tcPr>
            <w:tcW w:w="4006" w:type="dxa"/>
          </w:tcPr>
          <w:p w:rsidR="002514E5" w:rsidRDefault="002514E5" w:rsidP="00E3253D">
            <w:pPr>
              <w:pStyle w:val="libFootnote0"/>
              <w:rPr>
                <w:rStyle w:val="libFootnote0Char"/>
                <w:rtl/>
              </w:rPr>
            </w:pPr>
            <w:r w:rsidRPr="0042621E">
              <w:rPr>
                <w:rStyle w:val="libFootnote0Char"/>
                <w:rtl/>
              </w:rPr>
              <w:t>(3).</w:t>
            </w:r>
            <w:r w:rsidRPr="005D642E">
              <w:rPr>
                <w:rtl/>
              </w:rPr>
              <w:t xml:space="preserve"> في الوافي </w:t>
            </w:r>
            <w:r w:rsidRPr="00B60612">
              <w:rPr>
                <w:rStyle w:val="libFootnoteBoldChar"/>
                <w:rtl/>
              </w:rPr>
              <w:t>والتهذيب</w:t>
            </w:r>
            <w:r w:rsidRPr="005D642E">
              <w:rPr>
                <w:rtl/>
              </w:rPr>
              <w:t xml:space="preserve"> </w:t>
            </w:r>
            <w:r w:rsidRPr="00E678B5">
              <w:rPr>
                <w:rStyle w:val="libFootnoteBoldChar"/>
                <w:rtl/>
              </w:rPr>
              <w:t>والاستبصار</w:t>
            </w:r>
            <w:r w:rsidRPr="005D642E">
              <w:rPr>
                <w:rtl/>
              </w:rPr>
              <w:t xml:space="preserve"> : + « فتموت</w:t>
            </w:r>
            <w:r>
              <w:rPr>
                <w:rtl/>
              </w:rPr>
              <w:t xml:space="preserve"> ».</w:t>
            </w:r>
          </w:p>
        </w:tc>
      </w:tr>
    </w:tbl>
    <w:p w:rsidR="00E3253D" w:rsidRPr="005D642E" w:rsidRDefault="0042621E" w:rsidP="00E439D3">
      <w:pPr>
        <w:pStyle w:val="libFootnote0"/>
        <w:rPr>
          <w:rtl/>
          <w:lang w:bidi="fa-IR"/>
        </w:rPr>
      </w:pPr>
      <w:r w:rsidRPr="0042621E">
        <w:rPr>
          <w:rStyle w:val="libFootnote0Char"/>
          <w:rtl/>
        </w:rPr>
        <w:t>(4).</w:t>
      </w:r>
      <w:r w:rsidR="00E3253D" w:rsidRPr="005D642E">
        <w:rPr>
          <w:rtl/>
        </w:rPr>
        <w:t xml:space="preserve"> في حاشية « بث » : « نحوهما</w:t>
      </w:r>
      <w:r w:rsidR="00E3253D">
        <w:rPr>
          <w:rtl/>
        </w:rPr>
        <w:t xml:space="preserve"> ».</w:t>
      </w:r>
      <w:r w:rsidR="00E3253D" w:rsidRPr="005D642E">
        <w:rPr>
          <w:rtl/>
        </w:rPr>
        <w:t xml:space="preserve"> وقال في </w:t>
      </w:r>
      <w:r w:rsidR="00E3253D" w:rsidRPr="002F4D34">
        <w:rPr>
          <w:rStyle w:val="libFootnoteBoldChar"/>
          <w:rtl/>
        </w:rPr>
        <w:t>الحبل المتين</w:t>
      </w:r>
      <w:r w:rsidR="00E3253D" w:rsidRPr="005D642E">
        <w:rPr>
          <w:rtl/>
        </w:rPr>
        <w:t xml:space="preserve"> ، ص 218 : « دلّ الحديث على جواز تغسيل الرجل زوجته وجميع محارمه إن جعلنا قوله </w:t>
      </w:r>
      <w:r w:rsidR="00E3253D" w:rsidRPr="002514E5">
        <w:rPr>
          <w:rStyle w:val="libFootnoteAlaemChar"/>
          <w:rtl/>
        </w:rPr>
        <w:t>عليه‌السلام</w:t>
      </w:r>
      <w:r w:rsidR="00E3253D" w:rsidRPr="005D642E">
        <w:rPr>
          <w:rtl/>
        </w:rPr>
        <w:t xml:space="preserve"> : ونحو هذا ، منصوباً بالعطف على ا</w:t>
      </w:r>
      <w:r w:rsidR="00291745">
        <w:rPr>
          <w:rFonts w:hint="cs"/>
          <w:rtl/>
        </w:rPr>
        <w:t>ُ</w:t>
      </w:r>
      <w:r w:rsidR="00E3253D" w:rsidRPr="005D642E">
        <w:rPr>
          <w:rtl/>
        </w:rPr>
        <w:t>مّه وا</w:t>
      </w:r>
      <w:r w:rsidR="00E439D3">
        <w:rPr>
          <w:rFonts w:hint="cs"/>
          <w:rtl/>
        </w:rPr>
        <w:t>ُ</w:t>
      </w:r>
      <w:r w:rsidR="00E3253D" w:rsidRPr="005D642E">
        <w:rPr>
          <w:rtl/>
        </w:rPr>
        <w:t xml:space="preserve">خته بمعنى أن يغسّل </w:t>
      </w:r>
      <w:r w:rsidR="00E439D3" w:rsidRPr="005D642E">
        <w:rPr>
          <w:rtl/>
        </w:rPr>
        <w:t>ا</w:t>
      </w:r>
      <w:r w:rsidR="00E439D3">
        <w:rPr>
          <w:rFonts w:hint="cs"/>
          <w:rtl/>
        </w:rPr>
        <w:t>ُ</w:t>
      </w:r>
      <w:r w:rsidR="00E439D3" w:rsidRPr="005D642E">
        <w:rPr>
          <w:rtl/>
        </w:rPr>
        <w:t>مّه وا</w:t>
      </w:r>
      <w:r w:rsidR="00E439D3">
        <w:rPr>
          <w:rFonts w:hint="cs"/>
          <w:rtl/>
        </w:rPr>
        <w:t>ُ</w:t>
      </w:r>
      <w:r w:rsidR="00E439D3" w:rsidRPr="005D642E">
        <w:rPr>
          <w:rtl/>
        </w:rPr>
        <w:t xml:space="preserve">خته </w:t>
      </w:r>
      <w:r w:rsidR="00E3253D" w:rsidRPr="005D642E">
        <w:rPr>
          <w:rtl/>
        </w:rPr>
        <w:t xml:space="preserve">ومن هو مثل كلّ من هذين الشخصين في المحرميّة ، وحينئذٍ يكون قوله </w:t>
      </w:r>
      <w:r w:rsidR="00E3253D" w:rsidRPr="002514E5">
        <w:rPr>
          <w:rStyle w:val="libFootnoteAlaemChar"/>
          <w:rtl/>
        </w:rPr>
        <w:t>عليه‌السلام</w:t>
      </w:r>
      <w:r w:rsidR="00E3253D" w:rsidRPr="005D642E">
        <w:rPr>
          <w:rtl/>
        </w:rPr>
        <w:t xml:space="preserve"> : يلقى على عورتها خرقة ، جملة مستأنفة لكنّ الأظهر أنّه مرفوع بالابتداء ، وجملة يلقى خبره ، والإشارة بهذا إلى الرجل ، والمعنى أنّ مثل هذا الرجل المغسّل كلاًّ من هؤلاء يلقي على عورتها خرقة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439 ، ح 1418 ؛ </w:t>
      </w:r>
      <w:r w:rsidR="00E3253D" w:rsidRPr="00E678B5">
        <w:rPr>
          <w:rStyle w:val="libFootnoteBoldChar"/>
          <w:rtl/>
        </w:rPr>
        <w:t>والاستبصار</w:t>
      </w:r>
      <w:r w:rsidR="00E3253D" w:rsidRPr="005D642E">
        <w:rPr>
          <w:rtl/>
        </w:rPr>
        <w:t xml:space="preserve"> ، ج 1 ، ص 199 ، ح 699 ، معلّقاً عن أبي عليّ الأشعري ، عن محمّد بن عبدالجبّار ، عن صفوان بن يحيى. </w:t>
      </w:r>
      <w:r w:rsidR="00E3253D" w:rsidRPr="002F4D34">
        <w:rPr>
          <w:rStyle w:val="libFootnoteBoldChar"/>
          <w:rtl/>
        </w:rPr>
        <w:t>الفقيه</w:t>
      </w:r>
      <w:r w:rsidR="00E3253D" w:rsidRPr="005D642E">
        <w:rPr>
          <w:rtl/>
        </w:rPr>
        <w:t xml:space="preserve"> ، ج 1 ، ص 155 ، ح 430 ، معلّقاً عن منصور بن حازم ، مع اختلاف يسير </w:t>
      </w:r>
      <w:r w:rsidR="00E11245">
        <w:rPr>
          <w:rFonts w:hint="cs"/>
          <w:rtl/>
        </w:rPr>
        <w:t>.</w:t>
      </w:r>
      <w:r w:rsidR="00E3253D" w:rsidRPr="002F4D34">
        <w:rPr>
          <w:rStyle w:val="libFootnoteBoldChar"/>
          <w:rtl/>
        </w:rPr>
        <w:t>الوافي</w:t>
      </w:r>
      <w:r w:rsidR="00E3253D" w:rsidRPr="005D642E">
        <w:rPr>
          <w:rtl/>
        </w:rPr>
        <w:t xml:space="preserve"> ، ج 24 ، ص 297 ، ح 24062 ؛ </w:t>
      </w:r>
      <w:r w:rsidR="00E3253D" w:rsidRPr="002F4D34">
        <w:rPr>
          <w:rStyle w:val="libFootnoteBoldChar"/>
          <w:rtl/>
        </w:rPr>
        <w:t>الوسائل</w:t>
      </w:r>
      <w:r w:rsidR="00E3253D" w:rsidRPr="005D642E">
        <w:rPr>
          <w:rtl/>
        </w:rPr>
        <w:t xml:space="preserve"> ، ج 2 ، ص 516 ، ح 2790.</w:t>
      </w:r>
    </w:p>
    <w:tbl>
      <w:tblPr>
        <w:tblStyle w:val="TableGrid"/>
        <w:bidiVisual/>
        <w:tblW w:w="0" w:type="auto"/>
        <w:tblLook w:val="04A0" w:firstRow="1" w:lastRow="0" w:firstColumn="1" w:lastColumn="0" w:noHBand="0" w:noVBand="1"/>
      </w:tblPr>
      <w:tblGrid>
        <w:gridCol w:w="4006"/>
        <w:gridCol w:w="4006"/>
      </w:tblGrid>
      <w:tr w:rsidR="00E11245" w:rsidTr="00E11245">
        <w:tc>
          <w:tcPr>
            <w:tcW w:w="4006" w:type="dxa"/>
          </w:tcPr>
          <w:p w:rsidR="00E11245" w:rsidRDefault="00E11245" w:rsidP="00E3253D">
            <w:pPr>
              <w:pStyle w:val="libFootnote0"/>
              <w:rPr>
                <w:rStyle w:val="libFootnote0Char"/>
                <w:rtl/>
              </w:rPr>
            </w:pPr>
            <w:r w:rsidRPr="0042621E">
              <w:rPr>
                <w:rStyle w:val="libFootnote0Char"/>
                <w:rtl/>
              </w:rPr>
              <w:t>(6).</w:t>
            </w:r>
            <w:r w:rsidRPr="005D642E">
              <w:rPr>
                <w:rtl/>
              </w:rPr>
              <w:t xml:space="preserve"> في « جن » وحاشية « جح » : « مع الرجال</w:t>
            </w:r>
            <w:r>
              <w:rPr>
                <w:rtl/>
              </w:rPr>
              <w:t xml:space="preserve"> ».</w:t>
            </w:r>
          </w:p>
        </w:tc>
        <w:tc>
          <w:tcPr>
            <w:tcW w:w="4006" w:type="dxa"/>
          </w:tcPr>
          <w:p w:rsidR="00E11245" w:rsidRDefault="00E11245" w:rsidP="00E3253D">
            <w:pPr>
              <w:pStyle w:val="libFootnote0"/>
              <w:rPr>
                <w:rStyle w:val="libFootnote0Char"/>
                <w:rtl/>
              </w:rPr>
            </w:pPr>
            <w:r w:rsidRPr="0042621E">
              <w:rPr>
                <w:rStyle w:val="libFootnote0Char"/>
                <w:rtl/>
              </w:rPr>
              <w:t>(7).</w:t>
            </w:r>
            <w:r w:rsidRPr="005D642E">
              <w:rPr>
                <w:rtl/>
              </w:rPr>
              <w:t xml:space="preserve"> في « ى » وحاشية « جح » : « وليس</w:t>
            </w:r>
            <w:r>
              <w:rPr>
                <w:rtl/>
              </w:rPr>
              <w:t xml:space="preserve"> ».</w:t>
            </w:r>
          </w:p>
        </w:tc>
      </w:tr>
      <w:tr w:rsidR="00E11245" w:rsidTr="00E11245">
        <w:tc>
          <w:tcPr>
            <w:tcW w:w="4006" w:type="dxa"/>
          </w:tcPr>
          <w:p w:rsidR="00E11245" w:rsidRDefault="00E11245" w:rsidP="00E3253D">
            <w:pPr>
              <w:pStyle w:val="libFootnote0"/>
              <w:rPr>
                <w:rStyle w:val="libFootnote0Char"/>
                <w:rtl/>
              </w:rPr>
            </w:pPr>
            <w:r w:rsidRPr="0042621E">
              <w:rPr>
                <w:rStyle w:val="libFootnote0Char"/>
                <w:rtl/>
              </w:rPr>
              <w:t>(8).</w:t>
            </w:r>
            <w:r w:rsidRPr="005D642E">
              <w:rPr>
                <w:rtl/>
              </w:rPr>
              <w:t xml:space="preserve"> في الوافي : « فيهم</w:t>
            </w:r>
            <w:r>
              <w:rPr>
                <w:rtl/>
              </w:rPr>
              <w:t xml:space="preserve"> ».</w:t>
            </w:r>
          </w:p>
        </w:tc>
        <w:tc>
          <w:tcPr>
            <w:tcW w:w="4006" w:type="dxa"/>
          </w:tcPr>
          <w:p w:rsidR="00E11245" w:rsidRDefault="00E11245" w:rsidP="00E3253D">
            <w:pPr>
              <w:pStyle w:val="libFootnote0"/>
              <w:rPr>
                <w:rStyle w:val="libFootnote0Char"/>
                <w:rtl/>
              </w:rPr>
            </w:pPr>
            <w:r w:rsidRPr="0042621E">
              <w:rPr>
                <w:rStyle w:val="libFootnote0Char"/>
                <w:rtl/>
              </w:rPr>
              <w:t>(9).</w:t>
            </w:r>
            <w:r w:rsidR="0074127E">
              <w:rPr>
                <w:rtl/>
              </w:rPr>
              <w:t xml:space="preserve"> في«</w:t>
            </w:r>
            <w:r w:rsidR="0074127E">
              <w:rPr>
                <w:rFonts w:hint="cs"/>
                <w:rtl/>
              </w:rPr>
              <w:t xml:space="preserve"> </w:t>
            </w:r>
            <w:r w:rsidR="0074127E">
              <w:rPr>
                <w:rtl/>
              </w:rPr>
              <w:t>ظ،ى،بث،بح،جح،جس،جن</w:t>
            </w:r>
            <w:r w:rsidR="0074127E">
              <w:rPr>
                <w:rFonts w:hint="cs"/>
                <w:rtl/>
              </w:rPr>
              <w:t xml:space="preserve"> </w:t>
            </w:r>
            <w:r w:rsidRPr="005D642E">
              <w:rPr>
                <w:rtl/>
              </w:rPr>
              <w:t>» : « قال</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 « عليهم ذلك</w:t>
      </w:r>
      <w:r w:rsidR="00E3253D">
        <w:rPr>
          <w:rtl/>
        </w:rPr>
        <w:t xml:space="preserve"> ».</w:t>
      </w:r>
      <w:r w:rsidR="00E3253D" w:rsidRPr="005D642E">
        <w:rPr>
          <w:rtl/>
        </w:rPr>
        <w:t xml:space="preserve"> وفي الوافي : « ذلك عليهم » ، كلاهما بدل « عليهم</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443 ، ح 1431 ، بسند آخر ومع اختلاف يسير </w:t>
      </w:r>
      <w:r w:rsidR="00F259A9">
        <w:rPr>
          <w:rFonts w:hint="cs"/>
          <w:rtl/>
        </w:rPr>
        <w:t>.</w:t>
      </w:r>
      <w:r w:rsidR="00E3253D" w:rsidRPr="002F4D34">
        <w:rPr>
          <w:rStyle w:val="libFootnoteBoldChar"/>
          <w:rtl/>
        </w:rPr>
        <w:t>الوافي</w:t>
      </w:r>
      <w:r w:rsidR="00E3253D" w:rsidRPr="005D642E">
        <w:rPr>
          <w:rtl/>
        </w:rPr>
        <w:t xml:space="preserve"> ، ج 24 ، ص 296 ، ح 24057.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AE470B">
        <w:rPr>
          <w:rtl/>
        </w:rPr>
        <w:t>4412</w:t>
      </w:r>
      <w:r w:rsidRPr="00246318">
        <w:rPr>
          <w:rStyle w:val="libBold2Char"/>
          <w:rtl/>
        </w:rPr>
        <w:t xml:space="preserve"> / 10.</w:t>
      </w:r>
      <w:r w:rsidRPr="005D642E">
        <w:rPr>
          <w:rtl/>
          <w:lang w:bidi="fa-IR"/>
        </w:rPr>
        <w:t xml:space="preserve"> سَهْلٌ </w:t>
      </w:r>
      <w:r w:rsidRPr="007C12DB">
        <w:rPr>
          <w:rStyle w:val="libFootnotenumChar"/>
          <w:rtl/>
        </w:rPr>
        <w:t>(1)</w:t>
      </w:r>
      <w:r w:rsidRPr="005D642E">
        <w:rPr>
          <w:rtl/>
          <w:lang w:bidi="fa-IR"/>
        </w:rPr>
        <w:t xml:space="preserve"> ، عَنِ ابْنِ مَحْبُوبٍ ، عَنِ ابْنِ رِئَابٍ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الْمَرْأَةِ إِذَا مَاتَتْ وَلَيْسَ </w:t>
      </w:r>
      <w:r w:rsidRPr="007C12DB">
        <w:rPr>
          <w:rStyle w:val="libFootnotenumChar"/>
          <w:rtl/>
        </w:rPr>
        <w:t>(2)</w:t>
      </w:r>
      <w:r w:rsidRPr="005D642E">
        <w:rPr>
          <w:rtl/>
          <w:lang w:bidi="fa-IR"/>
        </w:rPr>
        <w:t xml:space="preserve"> مَعَهَا امْرَأَةٌ تُغَسِّلُهَا ، قَالَ : « يُدْخِلُ زَوْجُهَا يَدَهُ تَحْتَ قَمِيصِهَا ، فَيُغَسِّلُهَا </w:t>
      </w:r>
      <w:r w:rsidRPr="007C12DB">
        <w:rPr>
          <w:rStyle w:val="libFootnotenumChar"/>
          <w:rtl/>
        </w:rPr>
        <w:t>(3)</w:t>
      </w:r>
      <w:r w:rsidRPr="005D642E">
        <w:rPr>
          <w:rtl/>
          <w:lang w:bidi="fa-IR"/>
        </w:rPr>
        <w:t xml:space="preserve"> إِلَى الْمَرَافِقِ</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AE470B">
        <w:rPr>
          <w:rtl/>
        </w:rPr>
        <w:t>4413</w:t>
      </w:r>
      <w:r w:rsidRPr="00246318">
        <w:rPr>
          <w:rStyle w:val="libBold2Char"/>
          <w:rtl/>
        </w:rPr>
        <w:t xml:space="preserve"> / 11.</w:t>
      </w:r>
      <w:r w:rsidRPr="005D642E">
        <w:rPr>
          <w:rtl/>
          <w:lang w:bidi="fa-IR"/>
        </w:rPr>
        <w:t xml:space="preserve"> عَلِيُّ بْنُ إِبْرَاهِيمَ ، عَنْ أَبِيهِ ، عَنْ حَمَّادِ بْنِ عِيسى ، عَنْ حَرِيزٍ ، عَنْ مُحَمَّدِ بْنِ‌</w:t>
      </w:r>
      <w:r>
        <w:rPr>
          <w:rFonts w:hint="cs"/>
          <w:rtl/>
          <w:lang w:bidi="fa-IR"/>
        </w:rPr>
        <w:t xml:space="preserve"> </w:t>
      </w:r>
      <w:r w:rsidRPr="005D642E">
        <w:rPr>
          <w:rtl/>
          <w:lang w:bidi="fa-IR"/>
        </w:rPr>
        <w:t>مُسْلِمٍ ، قَالَ :</w:t>
      </w:r>
    </w:p>
    <w:p w:rsidR="00E3253D" w:rsidRPr="005D642E" w:rsidRDefault="00E3253D" w:rsidP="00E3253D">
      <w:pPr>
        <w:pStyle w:val="libNormal"/>
        <w:rPr>
          <w:rtl/>
          <w:lang w:bidi="fa-IR"/>
        </w:rPr>
      </w:pPr>
      <w:r w:rsidRPr="005D642E">
        <w:rPr>
          <w:rtl/>
          <w:lang w:bidi="fa-IR"/>
        </w:rPr>
        <w:t>سَأَلْتُهُ عَنِ الرَّجُلِ : يُغَسِّلُ امْرَأَتَهُ</w:t>
      </w:r>
      <w:r>
        <w:rPr>
          <w:rtl/>
          <w:lang w:bidi="fa-IR"/>
        </w:rPr>
        <w:t>؟</w:t>
      </w:r>
    </w:p>
    <w:p w:rsidR="00E3253D" w:rsidRPr="005D642E" w:rsidRDefault="00E3253D" w:rsidP="00E3253D">
      <w:pPr>
        <w:pStyle w:val="libNormal"/>
        <w:rPr>
          <w:rtl/>
          <w:lang w:bidi="fa-IR"/>
        </w:rPr>
      </w:pPr>
      <w:r w:rsidRPr="005D642E">
        <w:rPr>
          <w:rtl/>
          <w:lang w:bidi="fa-IR"/>
        </w:rPr>
        <w:t>قَالَ : « نَعَمْ ، إِنَّمَا يَمْنَعُهَا أَهْلُهَا تَعَصُّباً</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AE470B">
        <w:rPr>
          <w:rtl/>
        </w:rPr>
        <w:t>4414</w:t>
      </w:r>
      <w:r w:rsidRPr="00246318">
        <w:rPr>
          <w:rStyle w:val="libBold2Char"/>
          <w:rtl/>
        </w:rPr>
        <w:t xml:space="preserve"> / 12.</w:t>
      </w:r>
      <w:r w:rsidRPr="005D642E">
        <w:rPr>
          <w:rtl/>
          <w:lang w:bidi="fa-IR"/>
        </w:rPr>
        <w:t xml:space="preserve"> مُحَمَّدُ بْنُ يَحْيى ، عَنْ أَحْمَدَ بْنِ مُحَمَّدٍ </w:t>
      </w:r>
      <w:r w:rsidRPr="007C12DB">
        <w:rPr>
          <w:rStyle w:val="libFootnotenumChar"/>
          <w:rtl/>
        </w:rPr>
        <w:t>(6)</w:t>
      </w:r>
      <w:r w:rsidRPr="005D642E">
        <w:rPr>
          <w:rtl/>
          <w:lang w:bidi="fa-IR"/>
        </w:rPr>
        <w:t xml:space="preserve"> ، عَنْ أَحْمَدَ بْنِ الْحَسَنِ ، عَنْ عَمْرِو بْنِ سَعِيدٍ ، عَنْ مُصَدِّقِ بْنِ صَدَقَةَ ، عَنْ عَمَّارِ بْنِ مُوسى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أَنَّهُ سُئِلَ عَنِ الرَّجُلِ الْمُسْلِمِ يَمُوتُ فِي السَّفَرِ </w:t>
      </w:r>
      <w:r w:rsidRPr="007C12DB">
        <w:rPr>
          <w:rStyle w:val="libFootnotenumChar"/>
          <w:rtl/>
        </w:rPr>
        <w:t>(7)</w:t>
      </w:r>
      <w:r w:rsidRPr="005D642E">
        <w:rPr>
          <w:rtl/>
          <w:lang w:bidi="fa-IR"/>
        </w:rPr>
        <w:t xml:space="preserve"> وَلَيْسَ مَعَهُ رَجُلٌ مُسْلِمٌ ، وَمَعَهُ رِجَالٌ نَصَارى ، وَمَعَهُ عَمَّتُهُ وَخَالَتُهُ مُسْلِمَتَانِ </w:t>
      </w:r>
      <w:r w:rsidRPr="007C12DB">
        <w:rPr>
          <w:rStyle w:val="libFootnotenumChar"/>
          <w:rtl/>
        </w:rPr>
        <w:t>(8)</w:t>
      </w:r>
      <w:r w:rsidRPr="005D642E">
        <w:rPr>
          <w:rtl/>
          <w:lang w:bidi="fa-IR"/>
        </w:rPr>
        <w:t xml:space="preserve"> : كَيْفَ يُصْنَعُ فِي‌</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هكذا في « ظ ، ى ، بح ، بخ ، بس ، جح ، جس ، جن » والو</w:t>
      </w:r>
      <w:r w:rsidR="00B322F1">
        <w:rPr>
          <w:rtl/>
        </w:rPr>
        <w:t>سائل. وفي « بث » والمطبوع : + «</w:t>
      </w:r>
      <w:r w:rsidR="00E3253D" w:rsidRPr="005D642E">
        <w:rPr>
          <w:rtl/>
        </w:rPr>
        <w:t>بن زياد</w:t>
      </w:r>
      <w:r w:rsidR="00E3253D">
        <w:rPr>
          <w:rtl/>
        </w:rPr>
        <w:t>».</w:t>
      </w:r>
    </w:p>
    <w:p w:rsidR="00E3253D" w:rsidRPr="005D642E" w:rsidRDefault="00E3253D" w:rsidP="00B60612">
      <w:pPr>
        <w:pStyle w:val="libFootnote0"/>
        <w:rPr>
          <w:rtl/>
          <w:lang w:bidi="fa-IR"/>
        </w:rPr>
      </w:pPr>
      <w:r w:rsidRPr="0095070A">
        <w:rPr>
          <w:rtl/>
        </w:rPr>
        <w:t>ثمّ إنّ السند معلّق على سابقه. ويروي عن سهلٍ ، عدّة من أصحابنا.</w:t>
      </w:r>
    </w:p>
    <w:tbl>
      <w:tblPr>
        <w:tblStyle w:val="TableGrid"/>
        <w:bidiVisual/>
        <w:tblW w:w="0" w:type="auto"/>
        <w:tblLook w:val="04A0" w:firstRow="1" w:lastRow="0" w:firstColumn="1" w:lastColumn="0" w:noHBand="0" w:noVBand="1"/>
      </w:tblPr>
      <w:tblGrid>
        <w:gridCol w:w="4006"/>
        <w:gridCol w:w="4006"/>
      </w:tblGrid>
      <w:tr w:rsidR="00B322F1" w:rsidTr="00B322F1">
        <w:tc>
          <w:tcPr>
            <w:tcW w:w="4006" w:type="dxa"/>
          </w:tcPr>
          <w:p w:rsidR="00B322F1" w:rsidRDefault="00B322F1" w:rsidP="00E3253D">
            <w:pPr>
              <w:pStyle w:val="libFootnote0"/>
              <w:rPr>
                <w:rStyle w:val="libFootnote0Char"/>
                <w:rtl/>
              </w:rPr>
            </w:pPr>
            <w:r w:rsidRPr="0042621E">
              <w:rPr>
                <w:rStyle w:val="libFootnote0Char"/>
                <w:rtl/>
              </w:rPr>
              <w:t>(2).</w:t>
            </w:r>
            <w:r w:rsidRPr="005D642E">
              <w:rPr>
                <w:rtl/>
              </w:rPr>
              <w:t xml:space="preserve"> في الوافي : « ليس » بدون الواو.</w:t>
            </w:r>
          </w:p>
        </w:tc>
        <w:tc>
          <w:tcPr>
            <w:tcW w:w="4006" w:type="dxa"/>
          </w:tcPr>
          <w:p w:rsidR="00B322F1" w:rsidRDefault="00B322F1" w:rsidP="00E3253D">
            <w:pPr>
              <w:pStyle w:val="libFootnote0"/>
              <w:rPr>
                <w:rStyle w:val="libFootnote0Char"/>
                <w:rtl/>
              </w:rPr>
            </w:pPr>
            <w:r w:rsidRPr="0042621E">
              <w:rPr>
                <w:rStyle w:val="libFootnote0Char"/>
                <w:rtl/>
              </w:rPr>
              <w:t>(3).</w:t>
            </w:r>
            <w:r w:rsidR="002A4AE8">
              <w:rPr>
                <w:rtl/>
              </w:rPr>
              <w:t>في«بح»:«</w:t>
            </w:r>
            <w:r w:rsidRPr="005D642E">
              <w:rPr>
                <w:rtl/>
              </w:rPr>
              <w:t>فليغسّلها</w:t>
            </w:r>
            <w:r>
              <w:rPr>
                <w:rtl/>
              </w:rPr>
              <w:t>».</w:t>
            </w:r>
            <w:r w:rsidR="002A4AE8">
              <w:rPr>
                <w:rtl/>
              </w:rPr>
              <w:t>وفي حاشية«بح»:«</w:t>
            </w:r>
            <w:r w:rsidRPr="005D642E">
              <w:rPr>
                <w:rtl/>
              </w:rPr>
              <w:t>ويغسّلها</w:t>
            </w:r>
            <w:r>
              <w:rPr>
                <w:rtl/>
              </w:rPr>
              <w:t>».</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438 ، ح 1413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197 ، ح 692 ، معلّقاً عن سهل بن زياد </w:t>
      </w:r>
      <w:r w:rsidR="006A02C3">
        <w:rPr>
          <w:rFonts w:hint="cs"/>
          <w:rtl/>
        </w:rPr>
        <w:t>.</w:t>
      </w:r>
      <w:r w:rsidR="00E3253D" w:rsidRPr="002F4D34">
        <w:rPr>
          <w:rStyle w:val="libFootnoteBoldChar"/>
          <w:rtl/>
        </w:rPr>
        <w:t>الوافي</w:t>
      </w:r>
      <w:r w:rsidR="00E3253D" w:rsidRPr="005D642E">
        <w:rPr>
          <w:rtl/>
        </w:rPr>
        <w:t xml:space="preserve"> ، ج 24 ، ص 297 ، ح 24059 ؛ </w:t>
      </w:r>
      <w:r w:rsidR="00E3253D" w:rsidRPr="002F4D34">
        <w:rPr>
          <w:rStyle w:val="libFootnoteBoldChar"/>
          <w:rtl/>
        </w:rPr>
        <w:t>الوسائل</w:t>
      </w:r>
      <w:r w:rsidR="00E3253D" w:rsidRPr="005D642E">
        <w:rPr>
          <w:rtl/>
        </w:rPr>
        <w:t xml:space="preserve"> ، ج 2 ، ص 531 ، ح 2827.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439 ، ح 1419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199 ، ح 700 ، معلّقاً عن عليّ بن إبراهيم </w:t>
      </w:r>
      <w:r w:rsidR="006A02C3">
        <w:rPr>
          <w:rFonts w:hint="cs"/>
          <w:rtl/>
        </w:rPr>
        <w:t>.</w:t>
      </w:r>
      <w:r w:rsidR="00E3253D" w:rsidRPr="002F4D34">
        <w:rPr>
          <w:rStyle w:val="libFootnoteBoldChar"/>
          <w:rtl/>
        </w:rPr>
        <w:t>الوافي</w:t>
      </w:r>
      <w:r w:rsidR="00E3253D" w:rsidRPr="005D642E">
        <w:rPr>
          <w:rtl/>
        </w:rPr>
        <w:t xml:space="preserve"> ، ج 24 ، ص 297 ، ح 24061 ؛ </w:t>
      </w:r>
      <w:r w:rsidR="00E3253D" w:rsidRPr="002F4D34">
        <w:rPr>
          <w:rStyle w:val="libFootnoteBoldChar"/>
          <w:rtl/>
        </w:rPr>
        <w:t>الوسائل</w:t>
      </w:r>
      <w:r w:rsidR="00E3253D" w:rsidRPr="005D642E">
        <w:rPr>
          <w:rtl/>
        </w:rPr>
        <w:t xml:space="preserve"> ، ج 2 ، ص 529 ، ح 2823.</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الظاهر وقوع التقديم والتأخير في العنوان ، والصواب « محمّد بن أحمد » ؛ فقد روى المصنّف عن محمّد بن‌يحيى ، عن محمّد بن أحمد ، عن أحمد بن الحسن [ بن عليّ ] في عددٍ من الأسناد. ولم يثبت توسّط أحمد بن محمّد بين محمّد بن يحيى وأحمد بن الحسن في هذا الطريق المنتهي إلى عمّار بن موسى. راجع : </w:t>
      </w:r>
      <w:r w:rsidR="00E3253D" w:rsidRPr="002F4D34">
        <w:rPr>
          <w:rStyle w:val="libFootnoteBoldChar"/>
          <w:rtl/>
        </w:rPr>
        <w:t>معجم رجال الحديث</w:t>
      </w:r>
      <w:r w:rsidR="00E3253D" w:rsidRPr="005D642E">
        <w:rPr>
          <w:rtl/>
        </w:rPr>
        <w:t xml:space="preserve"> ، ج 14 ، ص 437</w:t>
      </w:r>
      <w:r w:rsidR="00E3253D">
        <w:rPr>
          <w:rtl/>
        </w:rPr>
        <w:t xml:space="preserve"> </w:t>
      </w:r>
      <w:r w:rsidR="007642BC">
        <w:rPr>
          <w:rtl/>
        </w:rPr>
        <w:t>-</w:t>
      </w:r>
      <w:r w:rsidR="00E3253D">
        <w:rPr>
          <w:rtl/>
        </w:rPr>
        <w:t xml:space="preserve"> </w:t>
      </w:r>
      <w:r w:rsidR="00E3253D" w:rsidRPr="005D642E">
        <w:rPr>
          <w:rtl/>
        </w:rPr>
        <w:t>438.</w:t>
      </w:r>
    </w:p>
    <w:p w:rsidR="00E3253D" w:rsidRPr="005D642E" w:rsidRDefault="00E3253D" w:rsidP="00E3253D">
      <w:pPr>
        <w:pStyle w:val="libFootnote0"/>
        <w:rPr>
          <w:rtl/>
          <w:lang w:bidi="fa-IR"/>
        </w:rPr>
      </w:pPr>
      <w:r w:rsidRPr="00B60612">
        <w:rPr>
          <w:rtl/>
        </w:rPr>
        <w:t xml:space="preserve">ويؤيّد ذلك أنّ الخبر رواه الشيخ الطوسي في </w:t>
      </w:r>
      <w:r w:rsidRPr="002F4D34">
        <w:rPr>
          <w:rStyle w:val="libFootnoteBoldChar"/>
          <w:rtl/>
        </w:rPr>
        <w:t>التهذيب</w:t>
      </w:r>
      <w:r w:rsidRPr="00B60612">
        <w:rPr>
          <w:rtl/>
        </w:rPr>
        <w:t xml:space="preserve"> ، ج 1 ، ص 340 ، ح 997 ، بسنده عن محمّد بن يحيى ، عن محمّد بن أحمد بن يحيى ، عن أحمد بن الحسن بن عليّ بن فضّال.</w:t>
      </w:r>
    </w:p>
    <w:tbl>
      <w:tblPr>
        <w:tblStyle w:val="TableGrid"/>
        <w:bidiVisual/>
        <w:tblW w:w="0" w:type="auto"/>
        <w:tblLook w:val="04A0" w:firstRow="1" w:lastRow="0" w:firstColumn="1" w:lastColumn="0" w:noHBand="0" w:noVBand="1"/>
      </w:tblPr>
      <w:tblGrid>
        <w:gridCol w:w="4006"/>
        <w:gridCol w:w="4006"/>
      </w:tblGrid>
      <w:tr w:rsidR="00BD4B7D" w:rsidTr="00BD4B7D">
        <w:tc>
          <w:tcPr>
            <w:tcW w:w="4006" w:type="dxa"/>
          </w:tcPr>
          <w:p w:rsidR="00BD4B7D" w:rsidRDefault="00BD4B7D" w:rsidP="00E3253D">
            <w:pPr>
              <w:pStyle w:val="libFootnote0"/>
              <w:rPr>
                <w:rStyle w:val="libFootnote0Char"/>
                <w:rtl/>
              </w:rPr>
            </w:pPr>
            <w:r w:rsidRPr="0042621E">
              <w:rPr>
                <w:rStyle w:val="libFootnote0Char"/>
                <w:rtl/>
              </w:rPr>
              <w:t>(7).</w:t>
            </w:r>
            <w:r w:rsidRPr="005D642E">
              <w:rPr>
                <w:rtl/>
              </w:rPr>
              <w:t xml:space="preserve"> في حاشية « بح » : « سفر</w:t>
            </w:r>
            <w:r>
              <w:rPr>
                <w:rtl/>
              </w:rPr>
              <w:t xml:space="preserve"> ».</w:t>
            </w:r>
          </w:p>
        </w:tc>
        <w:tc>
          <w:tcPr>
            <w:tcW w:w="4006" w:type="dxa"/>
          </w:tcPr>
          <w:p w:rsidR="00BD4B7D" w:rsidRDefault="00BD4B7D" w:rsidP="00E3253D">
            <w:pPr>
              <w:pStyle w:val="libFootnote0"/>
              <w:rPr>
                <w:rStyle w:val="libFootnote0Char"/>
                <w:rtl/>
              </w:rPr>
            </w:pPr>
            <w:r w:rsidRPr="0042621E">
              <w:rPr>
                <w:rStyle w:val="libFootnote0Char"/>
                <w:rtl/>
              </w:rPr>
              <w:t>(8).</w:t>
            </w:r>
            <w:r>
              <w:rPr>
                <w:rtl/>
              </w:rPr>
              <w:t xml:space="preserve"> في «بخ</w:t>
            </w:r>
            <w:r w:rsidRPr="005D642E">
              <w:rPr>
                <w:rtl/>
              </w:rPr>
              <w:t xml:space="preserve">» </w:t>
            </w:r>
            <w:r w:rsidRPr="00B60612">
              <w:rPr>
                <w:rStyle w:val="libFootnoteBoldChar"/>
                <w:rtl/>
              </w:rPr>
              <w:t>والتهذيب</w:t>
            </w:r>
            <w:r w:rsidRPr="005D642E">
              <w:rPr>
                <w:rtl/>
              </w:rPr>
              <w:t xml:space="preserve"> ، ص 340 : « مسلمات</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غُسْلِهِ</w:t>
      </w:r>
      <w:r>
        <w:rPr>
          <w:rtl/>
          <w:lang w:bidi="fa-IR"/>
        </w:rPr>
        <w:t>؟</w:t>
      </w:r>
    </w:p>
    <w:p w:rsidR="00E3253D" w:rsidRPr="005D642E" w:rsidRDefault="00E3253D" w:rsidP="00E3253D">
      <w:pPr>
        <w:pStyle w:val="libNormal"/>
        <w:rPr>
          <w:rtl/>
          <w:lang w:bidi="fa-IR"/>
        </w:rPr>
      </w:pPr>
      <w:r w:rsidRPr="005D642E">
        <w:rPr>
          <w:rtl/>
          <w:lang w:bidi="fa-IR"/>
        </w:rPr>
        <w:t xml:space="preserve">قَالَ : « تُغَسِّلُهُ عَمَّتُهُ وَخَالَتُهُ فِي قَمِيصِهِ ، وَلَاتَقْرَبُهُ </w:t>
      </w:r>
      <w:r w:rsidRPr="007C12DB">
        <w:rPr>
          <w:rStyle w:val="libFootnotenumChar"/>
          <w:rtl/>
        </w:rPr>
        <w:t>(1)</w:t>
      </w:r>
      <w:r w:rsidRPr="005D642E">
        <w:rPr>
          <w:rtl/>
          <w:lang w:bidi="fa-IR"/>
        </w:rPr>
        <w:t xml:space="preserve"> النَّصَارى</w:t>
      </w:r>
      <w:r>
        <w:rPr>
          <w:rtl/>
          <w:lang w:bidi="fa-IR"/>
        </w:rPr>
        <w:t xml:space="preserve"> ».</w:t>
      </w:r>
    </w:p>
    <w:p w:rsidR="00E3253D" w:rsidRPr="005D642E" w:rsidRDefault="00E3253D" w:rsidP="00E3253D">
      <w:pPr>
        <w:pStyle w:val="libNormal"/>
        <w:rPr>
          <w:rtl/>
          <w:lang w:bidi="fa-IR"/>
        </w:rPr>
      </w:pPr>
      <w:r w:rsidRPr="005D642E">
        <w:rPr>
          <w:rtl/>
          <w:lang w:bidi="fa-IR"/>
        </w:rPr>
        <w:t xml:space="preserve">وَعَنِ الْمَرْأَةِ تَمُوتُ فِي السَّفَرِ وَلَيْسَ مَعَهَا امْرَأَةٌ مُسْلِمَةٌ ، وَمَعَهَا نِسَاءٌ نَصَارى ، وَعَمُّهَا وَخَالُهَا </w:t>
      </w:r>
      <w:r w:rsidRPr="007C12DB">
        <w:rPr>
          <w:rStyle w:val="libFootnotenumChar"/>
          <w:rtl/>
        </w:rPr>
        <w:t>(2)</w:t>
      </w:r>
      <w:r w:rsidRPr="005D642E">
        <w:rPr>
          <w:rtl/>
          <w:lang w:bidi="fa-IR"/>
        </w:rPr>
        <w:t xml:space="preserve"> مُسْلِمَانِ </w:t>
      </w:r>
      <w:r w:rsidRPr="007C12DB">
        <w:rPr>
          <w:rStyle w:val="libFootnotenumChar"/>
          <w:rtl/>
        </w:rPr>
        <w:t>(3)</w:t>
      </w:r>
      <w:r>
        <w:rPr>
          <w:rtl/>
          <w:lang w:bidi="fa-IR"/>
        </w:rPr>
        <w:t>؟</w:t>
      </w:r>
    </w:p>
    <w:p w:rsidR="00E3253D" w:rsidRPr="005D642E" w:rsidRDefault="00E3253D" w:rsidP="00E3253D">
      <w:pPr>
        <w:pStyle w:val="libNormal"/>
        <w:rPr>
          <w:rtl/>
          <w:lang w:bidi="fa-IR"/>
        </w:rPr>
      </w:pPr>
      <w:r w:rsidRPr="005D642E">
        <w:rPr>
          <w:rtl/>
          <w:lang w:bidi="fa-IR"/>
        </w:rPr>
        <w:t xml:space="preserve">قَالَ : « يُغَسِّلَانِهَا </w:t>
      </w:r>
      <w:r w:rsidRPr="007C12DB">
        <w:rPr>
          <w:rStyle w:val="libFootnotenumChar"/>
          <w:rtl/>
        </w:rPr>
        <w:t>(4)</w:t>
      </w:r>
      <w:r w:rsidRPr="005D642E">
        <w:rPr>
          <w:rtl/>
          <w:lang w:bidi="fa-IR"/>
        </w:rPr>
        <w:t xml:space="preserve"> ، وَلَاتَقْرَبُهَا النَّصْرَانِيَّةُ كَمَا كَانَتِ الْمُسْلِمَةُ تُغَسِّلُهَا غَيْرَ أَنَّهُ يَكُونُ عَلَيْهَا دِرْعٌ ، فَيُصَبُّ الْمَاءُ مِنْ فَوْقِ الدِّرْعِ</w:t>
      </w:r>
      <w:r>
        <w:rPr>
          <w:rtl/>
          <w:lang w:bidi="fa-IR"/>
        </w:rPr>
        <w:t xml:space="preserve"> ».</w:t>
      </w:r>
    </w:p>
    <w:p w:rsidR="00E3253D" w:rsidRPr="005D642E" w:rsidRDefault="00E3253D" w:rsidP="00E3253D">
      <w:pPr>
        <w:pStyle w:val="libNormal"/>
        <w:rPr>
          <w:rtl/>
          <w:lang w:bidi="fa-IR"/>
        </w:rPr>
      </w:pPr>
      <w:r w:rsidRPr="005D642E">
        <w:rPr>
          <w:rtl/>
          <w:lang w:bidi="fa-IR"/>
        </w:rPr>
        <w:t>قُلْتُ : فَإِنْ مَاتَ رَجُلٌ مُسْلِمٌ وَلَيْسَ مَعَهُ رَجُلٌ مُسْلِمٌ ، وَلَا</w:t>
      </w:r>
      <w:r>
        <w:rPr>
          <w:rFonts w:hint="cs"/>
          <w:rtl/>
          <w:lang w:bidi="fa-IR"/>
        </w:rPr>
        <w:t xml:space="preserve"> </w:t>
      </w:r>
      <w:r w:rsidRPr="005D642E">
        <w:rPr>
          <w:rtl/>
          <w:lang w:bidi="fa-IR"/>
        </w:rPr>
        <w:t xml:space="preserve">امْرَأَةٌ مُسْلِمَةٌ مِنْ ذِي قَرَابَتِهِ </w:t>
      </w:r>
      <w:r w:rsidRPr="007C12DB">
        <w:rPr>
          <w:rStyle w:val="libFootnotenumChar"/>
          <w:rtl/>
        </w:rPr>
        <w:t>(5)</w:t>
      </w:r>
      <w:r w:rsidRPr="005D642E">
        <w:rPr>
          <w:rtl/>
          <w:lang w:bidi="fa-IR"/>
        </w:rPr>
        <w:t xml:space="preserve"> ، وَمَعَهُ رِجَالٌ نَصَارى ، وَنِسَاءٌ مُسْلِمَاتٌ لَيْسَ بَيْنَهُ وَبَيْنَهُنَّ قَرَابَةٌ</w:t>
      </w:r>
      <w:r>
        <w:rPr>
          <w:rtl/>
          <w:lang w:bidi="fa-IR"/>
        </w:rPr>
        <w:t>؟</w:t>
      </w:r>
    </w:p>
    <w:p w:rsidR="00E3253D" w:rsidRPr="005D642E" w:rsidRDefault="00E3253D" w:rsidP="00E3253D">
      <w:pPr>
        <w:pStyle w:val="libNormal"/>
        <w:rPr>
          <w:rtl/>
          <w:lang w:bidi="fa-IR"/>
        </w:rPr>
      </w:pPr>
      <w:r w:rsidRPr="005D642E">
        <w:rPr>
          <w:rtl/>
          <w:lang w:bidi="fa-IR"/>
        </w:rPr>
        <w:t>قَالَ : « يَغْتَسِلُ النَّصْرَانِيُّ ، ثُمَّ يُغَسِّلُهُ ، فَقَدِ اضْطُرَّ</w:t>
      </w:r>
      <w:r>
        <w:rPr>
          <w:rtl/>
          <w:lang w:bidi="fa-IR"/>
        </w:rPr>
        <w:t xml:space="preserve"> ».</w:t>
      </w:r>
    </w:p>
    <w:p w:rsidR="00E3253D" w:rsidRPr="005D642E" w:rsidRDefault="00E3253D" w:rsidP="00E3253D">
      <w:pPr>
        <w:pStyle w:val="libNormal"/>
        <w:rPr>
          <w:rtl/>
          <w:lang w:bidi="fa-IR"/>
        </w:rPr>
      </w:pPr>
      <w:r w:rsidRPr="005D642E">
        <w:rPr>
          <w:rtl/>
          <w:lang w:bidi="fa-IR"/>
        </w:rPr>
        <w:t xml:space="preserve">وَعَنِ الْمَرْأَةِ الْمُسْلِمَةِ تَمُوتُ وَلَيْسَ مَعَهَا امْرَأَةٌ مُسْلِمَةٌ ، وَلَارَجُلٌ مُسْلِمٌ مِنْ ذَوِي </w:t>
      </w:r>
      <w:r w:rsidRPr="007C12DB">
        <w:rPr>
          <w:rStyle w:val="libFootnotenumChar"/>
          <w:rtl/>
        </w:rPr>
        <w:t>(6)</w:t>
      </w:r>
      <w:r w:rsidRPr="005D642E">
        <w:rPr>
          <w:rtl/>
          <w:lang w:bidi="fa-IR"/>
        </w:rPr>
        <w:t xml:space="preserve"> قَرَابَتِهَا ، وَمَعَهَا </w:t>
      </w:r>
      <w:r w:rsidRPr="007C12DB">
        <w:rPr>
          <w:rStyle w:val="libFootnotenumChar"/>
          <w:rtl/>
        </w:rPr>
        <w:t>(7)</w:t>
      </w:r>
      <w:r w:rsidRPr="005D642E">
        <w:rPr>
          <w:rtl/>
          <w:lang w:bidi="fa-IR"/>
        </w:rPr>
        <w:t xml:space="preserve"> نَصْرَانِيَّةٌ ، وَرِجَالٌ مُسْلِمُونَ لَيْسَ بَيْنَهَا وَبَيْنَهُمْ </w:t>
      </w:r>
      <w:r w:rsidRPr="007C12DB">
        <w:rPr>
          <w:rStyle w:val="libFootnotenumChar"/>
          <w:rtl/>
        </w:rPr>
        <w:t>(8)</w:t>
      </w:r>
      <w:r w:rsidRPr="005D642E">
        <w:rPr>
          <w:rtl/>
          <w:lang w:bidi="fa-IR"/>
        </w:rPr>
        <w:t xml:space="preserve"> قَرَابَةٌ</w:t>
      </w:r>
      <w:r>
        <w:rPr>
          <w:rtl/>
          <w:lang w:bidi="fa-IR"/>
        </w:rPr>
        <w:t>؟</w:t>
      </w:r>
    </w:p>
    <w:p w:rsidR="00E3253D" w:rsidRPr="005D642E" w:rsidRDefault="00E3253D" w:rsidP="00E3253D">
      <w:pPr>
        <w:pStyle w:val="libNormal"/>
        <w:rPr>
          <w:rtl/>
          <w:lang w:bidi="fa-IR"/>
        </w:rPr>
      </w:pPr>
      <w:r w:rsidRPr="005D642E">
        <w:rPr>
          <w:rtl/>
          <w:lang w:bidi="fa-IR"/>
        </w:rPr>
        <w:t xml:space="preserve">قَالَ : « تَغْتَسِلُ </w:t>
      </w:r>
      <w:r w:rsidRPr="007C12DB">
        <w:rPr>
          <w:rStyle w:val="libFootnotenumChar"/>
          <w:rtl/>
        </w:rPr>
        <w:t>(9)</w:t>
      </w:r>
      <w:r w:rsidRPr="005D642E">
        <w:rPr>
          <w:rtl/>
          <w:lang w:bidi="fa-IR"/>
        </w:rPr>
        <w:t xml:space="preserve"> النَّصْرَانِيَّةُ ، ثُمَّ تُغَسِّلُهَا</w:t>
      </w:r>
      <w:r>
        <w:rPr>
          <w:rtl/>
          <w:lang w:bidi="fa-IR"/>
        </w:rPr>
        <w:t xml:space="preserve"> ».</w:t>
      </w:r>
    </w:p>
    <w:p w:rsidR="00E3253D" w:rsidRPr="005D642E" w:rsidRDefault="00E3253D" w:rsidP="00E3253D">
      <w:pPr>
        <w:pStyle w:val="libNormal"/>
        <w:rPr>
          <w:rtl/>
          <w:lang w:bidi="fa-IR"/>
        </w:rPr>
      </w:pPr>
      <w:r w:rsidRPr="005D642E">
        <w:rPr>
          <w:rtl/>
          <w:lang w:bidi="fa-IR"/>
        </w:rPr>
        <w:t>وَعَنِ النَّصْرَانِيِّ يَكُونُ فِي السَّفَرِ وَهُوَ مَعَ الْمُسْلِمِينَ ، فَيَمُوتُ</w:t>
      </w:r>
      <w:r>
        <w:rPr>
          <w:rtl/>
          <w:lang w:bidi="fa-IR"/>
        </w:rPr>
        <w:t>؟</w:t>
      </w:r>
    </w:p>
    <w:p w:rsidR="00E3253D" w:rsidRPr="005D642E" w:rsidRDefault="00E3253D" w:rsidP="00E3253D">
      <w:pPr>
        <w:pStyle w:val="libNormal"/>
        <w:rPr>
          <w:rtl/>
          <w:lang w:bidi="fa-IR"/>
        </w:rPr>
      </w:pPr>
      <w:r w:rsidRPr="005D642E">
        <w:rPr>
          <w:rtl/>
          <w:lang w:bidi="fa-IR"/>
        </w:rPr>
        <w:t xml:space="preserve">قَالَ : « لَا يُغَسِّلُهُ مُسْلِمٌ </w:t>
      </w:r>
      <w:r w:rsidRPr="007C12DB">
        <w:rPr>
          <w:rStyle w:val="libFootnotenumChar"/>
          <w:rtl/>
        </w:rPr>
        <w:t>(10)</w:t>
      </w:r>
      <w:r w:rsidRPr="005D642E">
        <w:rPr>
          <w:rtl/>
          <w:lang w:bidi="fa-IR"/>
        </w:rPr>
        <w:t xml:space="preserve"> وَلَاكَرَامَةَ ، وَلَايَدْفِنُهُ ، وَلَايَقُومُ عَلى قَبْرِهِ</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غ ، بح ، بخ ، بس ، بف ، جح ، جس ، جن » </w:t>
      </w:r>
      <w:r w:rsidR="00B60612" w:rsidRPr="00B60612">
        <w:rPr>
          <w:rStyle w:val="libFootnoteBoldChar"/>
          <w:rtl/>
        </w:rPr>
        <w:t>والتهذيب</w:t>
      </w:r>
      <w:r w:rsidR="00E3253D" w:rsidRPr="005D642E">
        <w:rPr>
          <w:rtl/>
        </w:rPr>
        <w:t xml:space="preserve"> ، ص 340 : « ولا يقربه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بث ، بح ، بس ، جح ، جس » : + « ومعهم</w:t>
      </w:r>
      <w:r w:rsidR="00E3253D">
        <w:rPr>
          <w:rtl/>
        </w:rPr>
        <w:t xml:space="preserve"> ».</w:t>
      </w:r>
      <w:r w:rsidR="00E3253D" w:rsidRPr="005D642E">
        <w:rPr>
          <w:rtl/>
        </w:rPr>
        <w:t xml:space="preserve"> وفي « بخ ، بف » : + « معهم</w:t>
      </w:r>
      <w:r w:rsidR="00E3253D">
        <w:rPr>
          <w:rtl/>
        </w:rPr>
        <w:t xml:space="preserve"> ».</w:t>
      </w:r>
    </w:p>
    <w:p w:rsidR="00E3253D" w:rsidRPr="005D642E" w:rsidRDefault="0042621E" w:rsidP="00C678C9">
      <w:pPr>
        <w:pStyle w:val="libFootnote0"/>
        <w:rPr>
          <w:rtl/>
          <w:lang w:bidi="fa-IR"/>
        </w:rPr>
      </w:pPr>
      <w:r w:rsidRPr="0042621E">
        <w:rPr>
          <w:rStyle w:val="libFootnote0Char"/>
          <w:rtl/>
        </w:rPr>
        <w:t>(3).</w:t>
      </w:r>
      <w:r w:rsidR="00E3253D" w:rsidRPr="005D642E">
        <w:rPr>
          <w:rtl/>
        </w:rPr>
        <w:t xml:space="preserve"> في « ظ ، بث ، بح ، بس ، جح ، جس » : « مسلمون</w:t>
      </w:r>
      <w:r w:rsidR="00E3253D">
        <w:rPr>
          <w:rtl/>
        </w:rPr>
        <w:t xml:space="preserve"> ».</w:t>
      </w:r>
      <w:r w:rsidR="00E3253D" w:rsidRPr="005D642E">
        <w:rPr>
          <w:rtl/>
        </w:rPr>
        <w:t xml:space="preserve"> وفي « غ » : « مسلمون قال</w:t>
      </w:r>
      <w:r w:rsidR="00E3253D">
        <w:rPr>
          <w:rtl/>
        </w:rPr>
        <w:t xml:space="preserve"> ».</w:t>
      </w:r>
      <w:r w:rsidR="00E3253D" w:rsidRPr="005D642E">
        <w:rPr>
          <w:rtl/>
        </w:rPr>
        <w:t xml:space="preserve"> وفي حاشية « بث » : « ومعهم مسلمان</w:t>
      </w:r>
      <w:r w:rsidR="00E3253D">
        <w:rPr>
          <w:rtl/>
        </w:rPr>
        <w:t xml:space="preserve"> ».</w:t>
      </w:r>
      <w:r w:rsidR="00C678C9">
        <w:rPr>
          <w:rFonts w:hint="cs"/>
          <w:rtl/>
        </w:rPr>
        <w:t xml:space="preserve">                               </w:t>
      </w:r>
      <w:r w:rsidRPr="0042621E">
        <w:rPr>
          <w:rStyle w:val="libFootnote0Char"/>
          <w:rtl/>
        </w:rPr>
        <w:t>(4).</w:t>
      </w:r>
      <w:r w:rsidR="00C678C9">
        <w:rPr>
          <w:rtl/>
        </w:rPr>
        <w:t xml:space="preserve"> في«ظ،ى،بث،بس،جح،جس،جن» : «</w:t>
      </w:r>
      <w:r w:rsidR="00E3253D" w:rsidRPr="005D642E">
        <w:rPr>
          <w:rtl/>
        </w:rPr>
        <w:t>يغسلونها</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ى ، بف ، جن » </w:t>
      </w:r>
      <w:r w:rsidR="000D749A" w:rsidRPr="000D749A">
        <w:rPr>
          <w:rStyle w:val="libFootnoteBoldChar"/>
          <w:rtl/>
        </w:rPr>
        <w:t>والوافي</w:t>
      </w:r>
      <w:r w:rsidR="00E3253D" w:rsidRPr="005D642E">
        <w:rPr>
          <w:rtl/>
        </w:rPr>
        <w:t xml:space="preserve"> : « ذوي قرابته</w:t>
      </w:r>
      <w:r w:rsidR="00E3253D">
        <w:rPr>
          <w:rtl/>
        </w:rPr>
        <w:t xml:space="preserve"> ».</w:t>
      </w:r>
      <w:r w:rsidR="00E3253D" w:rsidRPr="005D642E">
        <w:rPr>
          <w:rtl/>
        </w:rPr>
        <w:t xml:space="preserve"> وفي « بخ » : « ذا قرابته</w:t>
      </w:r>
      <w:r w:rsidR="00E3253D">
        <w:rPr>
          <w:rtl/>
        </w:rPr>
        <w:t xml:space="preserve"> ».</w:t>
      </w:r>
      <w:r w:rsidR="00E3253D" w:rsidRPr="005D642E">
        <w:rPr>
          <w:rtl/>
        </w:rPr>
        <w:t xml:space="preserve"> وفي « جس » : « ذي قرابة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678C9" w:rsidTr="00C678C9">
        <w:tc>
          <w:tcPr>
            <w:tcW w:w="4006" w:type="dxa"/>
          </w:tcPr>
          <w:p w:rsidR="00C678C9" w:rsidRDefault="00C678C9" w:rsidP="00E3253D">
            <w:pPr>
              <w:pStyle w:val="libFootnote0"/>
              <w:rPr>
                <w:rStyle w:val="libFootnote0Char"/>
                <w:rtl/>
              </w:rPr>
            </w:pPr>
            <w:r w:rsidRPr="0042621E">
              <w:rPr>
                <w:rStyle w:val="libFootnote0Char"/>
                <w:rtl/>
              </w:rPr>
              <w:t>(6).</w:t>
            </w:r>
            <w:r w:rsidRPr="005D642E">
              <w:rPr>
                <w:rtl/>
              </w:rPr>
              <w:t xml:space="preserve"> في « ى ، بث ، بس ، جس » : « ذي</w:t>
            </w:r>
            <w:r>
              <w:rPr>
                <w:rtl/>
              </w:rPr>
              <w:t xml:space="preserve"> ».</w:t>
            </w:r>
          </w:p>
        </w:tc>
        <w:tc>
          <w:tcPr>
            <w:tcW w:w="4006" w:type="dxa"/>
          </w:tcPr>
          <w:p w:rsidR="00C678C9" w:rsidRDefault="00C678C9" w:rsidP="00E3253D">
            <w:pPr>
              <w:pStyle w:val="libFootnote0"/>
              <w:rPr>
                <w:rStyle w:val="libFootnote0Char"/>
                <w:rtl/>
              </w:rPr>
            </w:pPr>
            <w:r w:rsidRPr="0042621E">
              <w:rPr>
                <w:rStyle w:val="libFootnote0Char"/>
                <w:rtl/>
              </w:rPr>
              <w:t>(7).</w:t>
            </w:r>
            <w:r w:rsidRPr="005D642E">
              <w:rPr>
                <w:rtl/>
              </w:rPr>
              <w:t xml:space="preserve"> في « غ ، بث ، بف » </w:t>
            </w:r>
            <w:r w:rsidRPr="000D749A">
              <w:rPr>
                <w:rStyle w:val="libFootnoteBoldChar"/>
                <w:rtl/>
              </w:rPr>
              <w:t>والوافي</w:t>
            </w:r>
            <w:r w:rsidRPr="005D642E">
              <w:rPr>
                <w:rtl/>
              </w:rPr>
              <w:t xml:space="preserve"> : + « امرأة</w:t>
            </w:r>
            <w:r>
              <w:rPr>
                <w:rtl/>
              </w:rPr>
              <w:t xml:space="preserve"> ».</w:t>
            </w:r>
          </w:p>
        </w:tc>
      </w:tr>
      <w:tr w:rsidR="00C678C9" w:rsidTr="00C678C9">
        <w:tc>
          <w:tcPr>
            <w:tcW w:w="4006" w:type="dxa"/>
          </w:tcPr>
          <w:p w:rsidR="00C678C9" w:rsidRDefault="00E14D91" w:rsidP="00E3253D">
            <w:pPr>
              <w:pStyle w:val="libFootnote0"/>
              <w:rPr>
                <w:rStyle w:val="libFootnote0Char"/>
                <w:rtl/>
              </w:rPr>
            </w:pPr>
            <w:r w:rsidRPr="0042621E">
              <w:rPr>
                <w:rStyle w:val="libFootnote0Char"/>
                <w:rtl/>
              </w:rPr>
              <w:t>(8).</w:t>
            </w:r>
            <w:r w:rsidRPr="005D642E">
              <w:rPr>
                <w:rtl/>
              </w:rPr>
              <w:t xml:space="preserve"> في « بخ ، بف » </w:t>
            </w:r>
            <w:r w:rsidRPr="000D749A">
              <w:rPr>
                <w:rStyle w:val="libFootnoteBoldChar"/>
                <w:rtl/>
              </w:rPr>
              <w:t>والوافي</w:t>
            </w:r>
            <w:r w:rsidRPr="005D642E">
              <w:rPr>
                <w:rtl/>
              </w:rPr>
              <w:t xml:space="preserve"> : « بينهم وبينها</w:t>
            </w:r>
            <w:r>
              <w:rPr>
                <w:rtl/>
              </w:rPr>
              <w:t xml:space="preserve"> ».</w:t>
            </w:r>
          </w:p>
        </w:tc>
        <w:tc>
          <w:tcPr>
            <w:tcW w:w="4006" w:type="dxa"/>
          </w:tcPr>
          <w:p w:rsidR="00C678C9" w:rsidRDefault="00E14D91" w:rsidP="00E3253D">
            <w:pPr>
              <w:pStyle w:val="libFootnote0"/>
              <w:rPr>
                <w:rStyle w:val="libFootnote0Char"/>
                <w:rtl/>
              </w:rPr>
            </w:pPr>
            <w:r w:rsidRPr="0042621E">
              <w:rPr>
                <w:rStyle w:val="libFootnote0Char"/>
                <w:rtl/>
              </w:rPr>
              <w:t>(9).</w:t>
            </w:r>
            <w:r w:rsidRPr="005D642E">
              <w:rPr>
                <w:rtl/>
              </w:rPr>
              <w:t xml:space="preserve"> في « بح » : « تغسل</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بخ » </w:t>
      </w:r>
      <w:r w:rsidR="000D749A" w:rsidRPr="000D749A">
        <w:rPr>
          <w:rStyle w:val="libFootnoteBoldChar"/>
          <w:rtl/>
        </w:rPr>
        <w:t>والوافي</w:t>
      </w:r>
      <w:r w:rsidR="00E3253D" w:rsidRPr="005D642E">
        <w:rPr>
          <w:rtl/>
        </w:rPr>
        <w:t xml:space="preserve"> : « المسلم</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340 ، ح 997 ، إلى قوله : « تغتسل النصرانيّة ثمّ تغسّلها » ؛ </w:t>
      </w:r>
      <w:r w:rsidR="00E3253D" w:rsidRPr="002F4D34">
        <w:rPr>
          <w:rStyle w:val="libFootnoteBoldChar"/>
          <w:rtl/>
        </w:rPr>
        <w:t>فيه</w:t>
      </w:r>
      <w:r w:rsidR="00E3253D" w:rsidRPr="005D642E">
        <w:rPr>
          <w:rtl/>
        </w:rPr>
        <w:t xml:space="preserve"> ، ص 335 ، ح 982 ، من قوله : </w:t>
      </w:r>
      <w:r w:rsidR="00C41B1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AE470B">
        <w:rPr>
          <w:rtl/>
        </w:rPr>
        <w:t>4415</w:t>
      </w:r>
      <w:r w:rsidRPr="00246318">
        <w:rPr>
          <w:rStyle w:val="libBold2Char"/>
          <w:rtl/>
        </w:rPr>
        <w:t xml:space="preserve"> / 13.</w:t>
      </w:r>
      <w:r w:rsidRPr="005D642E">
        <w:rPr>
          <w:rtl/>
          <w:lang w:bidi="fa-IR"/>
        </w:rPr>
        <w:t xml:space="preserve"> مُحَمَّدُ بْنُ يَحْيى ، عَنْ أَحْمَدَ بْنِ مُحَمَّدِ بْنِ عِيسى </w:t>
      </w:r>
      <w:r w:rsidRPr="007C12DB">
        <w:rPr>
          <w:rStyle w:val="libFootnotenumChar"/>
          <w:rtl/>
        </w:rPr>
        <w:t>(1)</w:t>
      </w:r>
      <w:r w:rsidRPr="005D642E">
        <w:rPr>
          <w:rtl/>
          <w:lang w:bidi="fa-IR"/>
        </w:rPr>
        <w:t xml:space="preserve"> ، عَنْ عَبْدِ الرَّحْمنِ بْنِ سَالِمٍ ، عَنْ مُفَضَّلِ بْنِ عُمَرَ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w:t>
      </w:r>
      <w:r w:rsidRPr="007C12DB">
        <w:rPr>
          <w:rStyle w:val="libFootnotenumChar"/>
          <w:rtl/>
        </w:rPr>
        <w:t>(2)</w:t>
      </w:r>
      <w:r w:rsidRPr="005D642E">
        <w:rPr>
          <w:rtl/>
          <w:lang w:bidi="fa-IR"/>
        </w:rPr>
        <w:t xml:space="preserve"> : مَنْ غَسَّلَ فَاطِمَةَ </w:t>
      </w:r>
      <w:r w:rsidRPr="00AC51C5">
        <w:rPr>
          <w:rStyle w:val="libAlaemChar"/>
          <w:rtl/>
        </w:rPr>
        <w:t>عليها‌السلام</w:t>
      </w:r>
      <w:r>
        <w:rPr>
          <w:rtl/>
          <w:lang w:bidi="fa-IR"/>
        </w:rPr>
        <w:t>؟</w:t>
      </w:r>
    </w:p>
    <w:p w:rsidR="00E3253D" w:rsidRPr="005D642E" w:rsidRDefault="00E3253D" w:rsidP="00E3253D">
      <w:pPr>
        <w:pStyle w:val="libNormal"/>
        <w:rPr>
          <w:rtl/>
          <w:lang w:bidi="fa-IR"/>
        </w:rPr>
      </w:pPr>
      <w:r w:rsidRPr="005D642E">
        <w:rPr>
          <w:rtl/>
          <w:lang w:bidi="fa-IR"/>
        </w:rPr>
        <w:t xml:space="preserve">قَالَ : « ذَاكَ </w:t>
      </w:r>
      <w:r w:rsidRPr="007C12DB">
        <w:rPr>
          <w:rStyle w:val="libFootnotenumChar"/>
          <w:rtl/>
        </w:rPr>
        <w:t>(3)</w:t>
      </w:r>
      <w:r w:rsidRPr="005D642E">
        <w:rPr>
          <w:rtl/>
          <w:lang w:bidi="fa-IR"/>
        </w:rPr>
        <w:t xml:space="preserve"> أَمِيرُ الْمُؤْمِنِينَ </w:t>
      </w:r>
      <w:r w:rsidRPr="00AC51C5">
        <w:rPr>
          <w:rStyle w:val="libAlaemChar"/>
          <w:rtl/>
        </w:rPr>
        <w:t>عليه‌السلام</w:t>
      </w:r>
      <w:r w:rsidRPr="005D642E">
        <w:rPr>
          <w:rtl/>
          <w:lang w:bidi="fa-IR"/>
        </w:rPr>
        <w:t xml:space="preserve"> » كَأَنَّمَا </w:t>
      </w:r>
      <w:r w:rsidRPr="007C12DB">
        <w:rPr>
          <w:rStyle w:val="libFootnotenumChar"/>
          <w:rtl/>
        </w:rPr>
        <w:t>(4)</w:t>
      </w:r>
      <w:r w:rsidRPr="005D642E">
        <w:rPr>
          <w:rtl/>
          <w:lang w:bidi="fa-IR"/>
        </w:rPr>
        <w:t xml:space="preserve"> اسْتَفْظَعْتُ </w:t>
      </w:r>
      <w:r w:rsidRPr="007C12DB">
        <w:rPr>
          <w:rStyle w:val="libFootnotenumChar"/>
          <w:rtl/>
        </w:rPr>
        <w:t>(5)</w:t>
      </w:r>
      <w:r w:rsidRPr="005D642E">
        <w:rPr>
          <w:rtl/>
          <w:lang w:bidi="fa-IR"/>
        </w:rPr>
        <w:t xml:space="preserve"> ، ذلِكَ مِنْ قَوْلِهِ ، فَقَالَ لِي :</w:t>
      </w:r>
    </w:p>
    <w:p w:rsidR="00E3253D" w:rsidRPr="005D642E" w:rsidRDefault="00E3253D" w:rsidP="00E3253D">
      <w:pPr>
        <w:pStyle w:val="libLine"/>
        <w:rPr>
          <w:rtl/>
          <w:lang w:bidi="fa-IR"/>
        </w:rPr>
      </w:pPr>
      <w:r w:rsidRPr="005D642E">
        <w:rPr>
          <w:rtl/>
          <w:lang w:bidi="fa-IR"/>
        </w:rPr>
        <w:t>__________________</w:t>
      </w:r>
    </w:p>
    <w:p w:rsidR="00E3253D" w:rsidRPr="005D642E" w:rsidRDefault="002074EC" w:rsidP="00E3253D">
      <w:pPr>
        <w:pStyle w:val="libFootnote0"/>
        <w:rPr>
          <w:rtl/>
          <w:lang w:bidi="fa-IR"/>
        </w:rPr>
      </w:pPr>
      <w:r>
        <w:rPr>
          <w:rFonts w:hint="cs"/>
          <w:rtl/>
        </w:rPr>
        <w:t xml:space="preserve">= </w:t>
      </w:r>
      <w:r w:rsidR="00E3253D" w:rsidRPr="005D642E">
        <w:rPr>
          <w:rtl/>
        </w:rPr>
        <w:t xml:space="preserve">« وعن النصراني يكون في السفر وهو مع المسلمين » ، وفيهما بسندهما عن محمّد بن يحيى ، عن محمّد بن أحمد بن يحيى ، عن أحمد بن الحسن بن عليّ بن فضّال ، عن عمرو بن سعيد. </w:t>
      </w:r>
      <w:r w:rsidR="00E3253D" w:rsidRPr="002F4D34">
        <w:rPr>
          <w:rStyle w:val="libFootnoteBoldChar"/>
          <w:rtl/>
        </w:rPr>
        <w:t>الفقيه</w:t>
      </w:r>
      <w:r w:rsidR="00E3253D" w:rsidRPr="005D642E">
        <w:rPr>
          <w:rtl/>
        </w:rPr>
        <w:t xml:space="preserve"> ، ج 1 ، ص 156 ، ح 433 ، إلى قوله : « فيصبّ الماء من فوق الدرع » ؛ </w:t>
      </w:r>
      <w:r w:rsidR="00E3253D" w:rsidRPr="002F4D34">
        <w:rPr>
          <w:rStyle w:val="libFootnoteBoldChar"/>
          <w:rtl/>
        </w:rPr>
        <w:t>وفيه</w:t>
      </w:r>
      <w:r w:rsidR="00E3253D" w:rsidRPr="005D642E">
        <w:rPr>
          <w:rtl/>
        </w:rPr>
        <w:t xml:space="preserve"> ، ح 436 ، من قوله : « فإن مات رجل مسلم وليس معه رجل مسلم » إلى قوله : « ثمّ يغسّله فقد اضطرّ » ؛ </w:t>
      </w:r>
      <w:r w:rsidR="00E3253D" w:rsidRPr="002F4D34">
        <w:rPr>
          <w:rStyle w:val="libFootnoteBoldChar"/>
          <w:rtl/>
        </w:rPr>
        <w:t>وفيه</w:t>
      </w:r>
      <w:r w:rsidR="00E3253D" w:rsidRPr="005D642E">
        <w:rPr>
          <w:rtl/>
        </w:rPr>
        <w:t xml:space="preserve"> أيضاً ، ح 434 ، من قوله : « وعن النصراني يكون في السفر وهو مع المسلمين » وفي الثلاثة الأخيرة معلّقاً عن عمّار بن موسى الساباطي ، وفي كلّ المصادر مع اختلاف يسير </w:t>
      </w:r>
      <w:r w:rsidR="00FF6D8A">
        <w:rPr>
          <w:rFonts w:hint="cs"/>
          <w:rtl/>
        </w:rPr>
        <w:t>.</w:t>
      </w:r>
      <w:r w:rsidR="00E3253D" w:rsidRPr="002F4D34">
        <w:rPr>
          <w:rStyle w:val="libFootnoteBoldChar"/>
          <w:rtl/>
        </w:rPr>
        <w:t>الوافي</w:t>
      </w:r>
      <w:r w:rsidR="00E3253D" w:rsidRPr="005D642E">
        <w:rPr>
          <w:rtl/>
        </w:rPr>
        <w:t xml:space="preserve"> ، ج 24 ، ص 298 ، ح 24063 ؛ </w:t>
      </w:r>
      <w:r w:rsidR="00E3253D" w:rsidRPr="002F4D34">
        <w:rPr>
          <w:rStyle w:val="libFootnoteBoldChar"/>
          <w:rtl/>
        </w:rPr>
        <w:t>الوسائل</w:t>
      </w:r>
      <w:r w:rsidR="00E3253D" w:rsidRPr="005D642E">
        <w:rPr>
          <w:rtl/>
        </w:rPr>
        <w:t xml:space="preserve"> ، ج 2 ، ص 514 ، ذيل ح 2785 ، إلى قوله : « فيصبّ الماء من فوق الدرع » ؛ وص 515 ، ذيل ح 2788 ، إلى قوله : « تغتسل النصرانيّة ثمّ تغسّلها » ؛ وص 517 ، ذيل ح 2794 ، من قوله : « عن الرجل المسلم يكون في السفر</w:t>
      </w:r>
      <w:r w:rsidR="00E3253D">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روى المصنّف صدر ال</w:t>
      </w:r>
      <w:r w:rsidR="009B31B0">
        <w:rPr>
          <w:rtl/>
        </w:rPr>
        <w:t>خبر إلى قوله : « لم يغسّلها إل</w:t>
      </w:r>
      <w:r w:rsidR="009B31B0">
        <w:rPr>
          <w:rFonts w:hint="cs"/>
          <w:rtl/>
        </w:rPr>
        <w:t>ّ</w:t>
      </w:r>
      <w:r w:rsidR="009B31B0">
        <w:rPr>
          <w:rtl/>
        </w:rPr>
        <w:t>ا</w:t>
      </w:r>
      <w:r w:rsidR="00E3253D" w:rsidRPr="005D642E">
        <w:rPr>
          <w:rtl/>
        </w:rPr>
        <w:t xml:space="preserve">عيسى » ، عن عدّة من أصحابنا ، عن أحمد بن محمّد بن‌عيسى ، عن أحمد بن محمّد بن أبي نصر ، عن عبدالرحمن بن سالم ، عن المفضّل [ بن عمر ] عن أبي عبدالله </w:t>
      </w:r>
      <w:r w:rsidR="00E3253D" w:rsidRPr="009B31B0">
        <w:rPr>
          <w:rStyle w:val="libFootnoteAlaemChar"/>
          <w:rtl/>
        </w:rPr>
        <w:t>عليه‌السلام</w:t>
      </w:r>
      <w:r w:rsidR="00E3253D" w:rsidRPr="005D642E">
        <w:rPr>
          <w:rtl/>
        </w:rPr>
        <w:t xml:space="preserve"> في </w:t>
      </w:r>
      <w:r w:rsidR="00E3253D" w:rsidRPr="002F4D34">
        <w:rPr>
          <w:rStyle w:val="libFootnoteBoldChar"/>
          <w:rtl/>
        </w:rPr>
        <w:t>الكافي</w:t>
      </w:r>
      <w:r w:rsidR="00E3253D" w:rsidRPr="005D642E">
        <w:rPr>
          <w:rtl/>
        </w:rPr>
        <w:t xml:space="preserve"> ، ح 1247 ، ومقتضى طبقة عبدالرحمن بن سالم توسّط ابن أبي نصر بينه وبين أحمد بن محمّد بن عيسى. راجع : </w:t>
      </w:r>
      <w:r w:rsidR="00E3253D" w:rsidRPr="002F4D34">
        <w:rPr>
          <w:rStyle w:val="libFootnoteBoldChar"/>
          <w:rtl/>
        </w:rPr>
        <w:t>رجال البرقي</w:t>
      </w:r>
      <w:r w:rsidR="00E3253D" w:rsidRPr="005D642E">
        <w:rPr>
          <w:rtl/>
        </w:rPr>
        <w:t xml:space="preserve"> ، ص 24 ؛ </w:t>
      </w:r>
      <w:r w:rsidR="00E3253D" w:rsidRPr="002F4D34">
        <w:rPr>
          <w:rStyle w:val="libFootnoteBoldChar"/>
          <w:rtl/>
        </w:rPr>
        <w:t>رجال الطوسي</w:t>
      </w:r>
      <w:r w:rsidR="00E3253D" w:rsidRPr="005D642E">
        <w:rPr>
          <w:rtl/>
        </w:rPr>
        <w:t xml:space="preserve"> ، ص 265 ، الرقم 3801 ؛ </w:t>
      </w:r>
      <w:r w:rsidR="00E3253D" w:rsidRPr="002F4D34">
        <w:rPr>
          <w:rStyle w:val="libFootnoteBoldChar"/>
          <w:rtl/>
        </w:rPr>
        <w:t>معجم رجال الحديث</w:t>
      </w:r>
      <w:r w:rsidR="00E3253D" w:rsidRPr="005D642E">
        <w:rPr>
          <w:rtl/>
        </w:rPr>
        <w:t xml:space="preserve"> ، ج 8 ، 539</w:t>
      </w:r>
      <w:r w:rsidR="00E3253D">
        <w:rPr>
          <w:rtl/>
        </w:rPr>
        <w:t xml:space="preserve"> </w:t>
      </w:r>
      <w:r w:rsidR="007642BC">
        <w:rPr>
          <w:rtl/>
        </w:rPr>
        <w:t>-</w:t>
      </w:r>
      <w:r w:rsidR="00E3253D">
        <w:rPr>
          <w:rtl/>
        </w:rPr>
        <w:t xml:space="preserve"> </w:t>
      </w:r>
      <w:r w:rsidR="00E3253D" w:rsidRPr="005D642E">
        <w:rPr>
          <w:rtl/>
        </w:rPr>
        <w:t>542.</w:t>
      </w:r>
    </w:p>
    <w:p w:rsidR="00E3253D" w:rsidRPr="005D642E" w:rsidRDefault="00E3253D" w:rsidP="00E3253D">
      <w:pPr>
        <w:pStyle w:val="libFootnote0"/>
        <w:rPr>
          <w:rtl/>
          <w:lang w:bidi="fa-IR"/>
        </w:rPr>
      </w:pPr>
      <w:r w:rsidRPr="00B60612">
        <w:rPr>
          <w:rtl/>
        </w:rPr>
        <w:t xml:space="preserve">ويؤيّد ذلك أنّ ذيل الخبر رواه الشيخ الطوسي في </w:t>
      </w:r>
      <w:r w:rsidRPr="002F4D34">
        <w:rPr>
          <w:rStyle w:val="libFootnoteBoldChar"/>
          <w:rtl/>
        </w:rPr>
        <w:t>التهذيب</w:t>
      </w:r>
      <w:r w:rsidRPr="00B60612">
        <w:rPr>
          <w:rtl/>
        </w:rPr>
        <w:t xml:space="preserve"> ، ج 1 ، ص 442 ، ح 1429 ؛ </w:t>
      </w:r>
      <w:r w:rsidRPr="00E678B5">
        <w:rPr>
          <w:rStyle w:val="libFootnoteBoldChar"/>
          <w:rtl/>
        </w:rPr>
        <w:t>والاستبصار</w:t>
      </w:r>
      <w:r w:rsidRPr="00B60612">
        <w:rPr>
          <w:rtl/>
        </w:rPr>
        <w:t xml:space="preserve"> ، ج 1 ، ص 202 ، ح 714 ، بإسناده عن أحمد بن محمّد بن عيسى ، عن أحمد بن محمّد بن أبي نصر ، عن عبدالرحمن بن سالم.</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 « جعلت فداك</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بف ، جن » : « ذلك</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ظ ، غ ، ى ، بث ، بس ، جح » والبحار. وفي « بخ ، بف » وحاشية « غ » والوسائل ، ح 2825 : « فكأنّما</w:t>
      </w:r>
      <w:r w:rsidR="00E3253D">
        <w:rPr>
          <w:rtl/>
        </w:rPr>
        <w:t xml:space="preserve"> ».</w:t>
      </w:r>
      <w:r w:rsidR="00E3253D" w:rsidRPr="005D642E">
        <w:rPr>
          <w:rtl/>
        </w:rPr>
        <w:t xml:space="preserve"> وفي سائر النسخ والمطبوع : « كأنّك</w:t>
      </w:r>
      <w:r w:rsidR="00E3253D">
        <w:rPr>
          <w:rtl/>
        </w:rPr>
        <w:t xml:space="preserve"> ».</w:t>
      </w:r>
      <w:r w:rsidR="00E3253D" w:rsidRPr="005D642E">
        <w:rPr>
          <w:rtl/>
        </w:rPr>
        <w:t xml:space="preserve"> وفي الوافي </w:t>
      </w:r>
      <w:r w:rsidR="00B60612" w:rsidRPr="00B60612">
        <w:rPr>
          <w:rStyle w:val="libFootnoteBoldChar"/>
          <w:rtl/>
        </w:rPr>
        <w:t>والتهذيب</w:t>
      </w:r>
      <w:r w:rsidR="00E3253D" w:rsidRPr="005D642E">
        <w:rPr>
          <w:rtl/>
        </w:rPr>
        <w:t xml:space="preserve"> ، ص 440 </w:t>
      </w:r>
      <w:r w:rsidR="00E3253D" w:rsidRPr="00E678B5">
        <w:rPr>
          <w:rStyle w:val="libFootnoteBoldChar"/>
          <w:rtl/>
        </w:rPr>
        <w:t>والاستبصار</w:t>
      </w:r>
      <w:r w:rsidR="00E3253D" w:rsidRPr="005D642E">
        <w:rPr>
          <w:rtl/>
        </w:rPr>
        <w:t xml:space="preserve"> ، ص 199 والعلل : « قال : فكأنّي</w:t>
      </w:r>
      <w:r w:rsidR="00E3253D">
        <w:rPr>
          <w:rtl/>
        </w:rPr>
        <w:t xml:space="preserve"> ».</w:t>
      </w:r>
      <w:r w:rsidR="00E3253D" w:rsidRPr="005D642E">
        <w:rPr>
          <w:rtl/>
        </w:rPr>
        <w:t xml:space="preserve"> وفي الكافي ، ح 1247 : « كأنّي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وحاشية « بث » </w:t>
      </w:r>
      <w:r w:rsidR="000D749A" w:rsidRPr="000D749A">
        <w:rPr>
          <w:rStyle w:val="libFootnoteBoldChar"/>
          <w:rtl/>
        </w:rPr>
        <w:t>والوافي</w:t>
      </w:r>
      <w:r w:rsidR="00E3253D" w:rsidRPr="005D642E">
        <w:rPr>
          <w:rtl/>
        </w:rPr>
        <w:t xml:space="preserve"> والكافي ، ح 1247 ، </w:t>
      </w:r>
      <w:r w:rsidR="00B60612" w:rsidRPr="00B60612">
        <w:rPr>
          <w:rStyle w:val="libFootnoteBoldChar"/>
          <w:rtl/>
        </w:rPr>
        <w:t>والتهذيب</w:t>
      </w:r>
      <w:r w:rsidR="00E3253D" w:rsidRPr="005D642E">
        <w:rPr>
          <w:rtl/>
        </w:rPr>
        <w:t xml:space="preserve"> ، ص 440 </w:t>
      </w:r>
      <w:r w:rsidR="00E3253D" w:rsidRPr="00E678B5">
        <w:rPr>
          <w:rStyle w:val="libFootnoteBoldChar"/>
          <w:rtl/>
        </w:rPr>
        <w:t>والاستبصار</w:t>
      </w:r>
      <w:r w:rsidR="00E3253D" w:rsidRPr="005D642E">
        <w:rPr>
          <w:rtl/>
        </w:rPr>
        <w:t xml:space="preserve"> ، ص 199 والعلل : « استعظمت</w:t>
      </w:r>
      <w:r w:rsidR="00E3253D">
        <w:rPr>
          <w:rtl/>
        </w:rPr>
        <w:t xml:space="preserve"> ».</w:t>
      </w:r>
      <w:r w:rsidR="00E3253D" w:rsidRPr="005D642E">
        <w:rPr>
          <w:rtl/>
        </w:rPr>
        <w:t xml:space="preserve"> </w:t>
      </w:r>
      <w:r w:rsidR="00E3253D">
        <w:rPr>
          <w:rtl/>
        </w:rPr>
        <w:t>و «</w:t>
      </w:r>
      <w:r w:rsidR="00E3253D" w:rsidRPr="005D642E">
        <w:rPr>
          <w:rtl/>
        </w:rPr>
        <w:t xml:space="preserve"> استفظعت » ، أي وجده فظيعاً ، يقال : أفظعتُ الشي‌ءَ واستفظعته ، أي وجدته فظيعاً وهو الشديد الشنيع مُجاوز المقدار. راجع : </w:t>
      </w:r>
      <w:r w:rsidR="00E3253D" w:rsidRPr="002F4D34">
        <w:rPr>
          <w:rStyle w:val="libFootnoteBoldChar"/>
          <w:rtl/>
        </w:rPr>
        <w:t>الصحاح</w:t>
      </w:r>
      <w:r w:rsidR="00E3253D" w:rsidRPr="005D642E">
        <w:rPr>
          <w:rtl/>
        </w:rPr>
        <w:t xml:space="preserve"> ، ج 3 ، ص 1259 ( فظع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 كَأَنَّكَ </w:t>
      </w:r>
      <w:r w:rsidRPr="007C12DB">
        <w:rPr>
          <w:rStyle w:val="libFootnotenumChar"/>
          <w:rtl/>
        </w:rPr>
        <w:t>(1)</w:t>
      </w:r>
      <w:r w:rsidRPr="005D642E">
        <w:rPr>
          <w:rtl/>
          <w:lang w:bidi="fa-IR"/>
        </w:rPr>
        <w:t xml:space="preserve"> ضِقْتَ مِمَّا </w:t>
      </w:r>
      <w:r w:rsidRPr="007C12DB">
        <w:rPr>
          <w:rStyle w:val="libFootnotenumChar"/>
          <w:rtl/>
        </w:rPr>
        <w:t>(2)</w:t>
      </w:r>
      <w:r w:rsidRPr="005D642E">
        <w:rPr>
          <w:rtl/>
          <w:lang w:bidi="fa-IR"/>
        </w:rPr>
        <w:t xml:space="preserve"> أَخْبَرْتُكَ</w:t>
      </w:r>
      <w:r>
        <w:rPr>
          <w:rtl/>
          <w:lang w:bidi="fa-IR"/>
        </w:rPr>
        <w:t>؟</w:t>
      </w:r>
      <w:r w:rsidRPr="005D642E">
        <w:rPr>
          <w:rtl/>
          <w:lang w:bidi="fa-IR"/>
        </w:rPr>
        <w:t xml:space="preserve"> » فَقُلْتُ : قَدْ </w:t>
      </w:r>
      <w:r w:rsidRPr="007C12DB">
        <w:rPr>
          <w:rStyle w:val="libFootnotenumChar"/>
          <w:rtl/>
        </w:rPr>
        <w:t>(3)</w:t>
      </w:r>
      <w:r w:rsidRPr="005D642E">
        <w:rPr>
          <w:rtl/>
          <w:lang w:bidi="fa-IR"/>
        </w:rPr>
        <w:t xml:space="preserve"> كَانَ ذلِكَ </w:t>
      </w:r>
      <w:r w:rsidRPr="007C12DB">
        <w:rPr>
          <w:rStyle w:val="libFootnotenumChar"/>
          <w:rtl/>
        </w:rPr>
        <w:t>(4)</w:t>
      </w:r>
      <w:r w:rsidRPr="005D642E">
        <w:rPr>
          <w:rtl/>
          <w:lang w:bidi="fa-IR"/>
        </w:rPr>
        <w:t xml:space="preserve"> جُعِلْتُ فِدَاكَ ، فَقَالَ </w:t>
      </w:r>
      <w:r w:rsidRPr="007C12DB">
        <w:rPr>
          <w:rStyle w:val="libFootnotenumChar"/>
          <w:rtl/>
        </w:rPr>
        <w:t>(5)</w:t>
      </w:r>
      <w:r w:rsidRPr="005D642E">
        <w:rPr>
          <w:rtl/>
          <w:lang w:bidi="fa-IR"/>
        </w:rPr>
        <w:t xml:space="preserve"> : « لَا تَضِيقَنَّ </w:t>
      </w:r>
      <w:r w:rsidRPr="007C12DB">
        <w:rPr>
          <w:rStyle w:val="libFootnotenumChar"/>
          <w:rtl/>
        </w:rPr>
        <w:t>(6)</w:t>
      </w:r>
      <w:r w:rsidRPr="005D642E">
        <w:rPr>
          <w:rtl/>
          <w:lang w:bidi="fa-IR"/>
        </w:rPr>
        <w:t xml:space="preserve"> ؛ فَإِنَّهَا صِدِّيقَةٌ لَمْ يَكُنْ يُغَسِّلُهَا إِلاَّ صِدِّيقٌ </w:t>
      </w:r>
      <w:r w:rsidRPr="007C12DB">
        <w:rPr>
          <w:rStyle w:val="libFootnotenumChar"/>
          <w:rtl/>
        </w:rPr>
        <w:t>(7)</w:t>
      </w:r>
      <w:r>
        <w:rPr>
          <w:rtl/>
          <w:lang w:bidi="fa-IR"/>
        </w:rPr>
        <w:t xml:space="preserve"> ، أَ</w:t>
      </w:r>
      <w:r w:rsidRPr="005D642E">
        <w:rPr>
          <w:rtl/>
          <w:lang w:bidi="fa-IR"/>
        </w:rPr>
        <w:t xml:space="preserve">مَا عَلِمْتَ أَنَّ مَرْيَمَ </w:t>
      </w:r>
      <w:r w:rsidRPr="00AC51C5">
        <w:rPr>
          <w:rStyle w:val="libAlaemChar"/>
          <w:rtl/>
        </w:rPr>
        <w:t>عليها‌السلام</w:t>
      </w:r>
      <w:r w:rsidR="008A7FA7">
        <w:rPr>
          <w:rtl/>
          <w:lang w:bidi="fa-IR"/>
        </w:rPr>
        <w:t xml:space="preserve"> لَمْ يُغَسِّلْهَا إِل</w:t>
      </w:r>
      <w:r w:rsidR="008A7FA7">
        <w:rPr>
          <w:rFonts w:hint="cs"/>
          <w:rtl/>
          <w:lang w:bidi="fa-IR"/>
        </w:rPr>
        <w:t>َّ</w:t>
      </w:r>
      <w:r w:rsidR="008A7FA7">
        <w:rPr>
          <w:rtl/>
          <w:lang w:bidi="fa-IR"/>
        </w:rPr>
        <w:t>ا</w:t>
      </w:r>
      <w:r w:rsidRPr="005D642E">
        <w:rPr>
          <w:rtl/>
          <w:lang w:bidi="fa-IR"/>
        </w:rPr>
        <w:t xml:space="preserve"> عِيسى </w:t>
      </w:r>
      <w:r w:rsidRPr="00AC51C5">
        <w:rPr>
          <w:rStyle w:val="libAlaemChar"/>
          <w:rtl/>
        </w:rPr>
        <w:t>عليه‌السلام</w:t>
      </w:r>
      <w:r>
        <w:rPr>
          <w:rtl/>
          <w:lang w:bidi="fa-IR"/>
        </w:rPr>
        <w:t>؟ ».</w:t>
      </w:r>
    </w:p>
    <w:p w:rsidR="00E3253D" w:rsidRPr="005D642E" w:rsidRDefault="00E3253D" w:rsidP="00E3253D">
      <w:pPr>
        <w:pStyle w:val="libNormal"/>
        <w:rPr>
          <w:rtl/>
          <w:lang w:bidi="fa-IR"/>
        </w:rPr>
      </w:pPr>
      <w:r w:rsidRPr="005D642E">
        <w:rPr>
          <w:rtl/>
          <w:lang w:bidi="fa-IR"/>
        </w:rPr>
        <w:t xml:space="preserve">قُلْتُ </w:t>
      </w:r>
      <w:r w:rsidRPr="007C12DB">
        <w:rPr>
          <w:rStyle w:val="libFootnotenumChar"/>
          <w:rtl/>
        </w:rPr>
        <w:t>(8)</w:t>
      </w:r>
      <w:r w:rsidRPr="005D642E">
        <w:rPr>
          <w:rtl/>
          <w:lang w:bidi="fa-IR"/>
        </w:rPr>
        <w:t xml:space="preserve"> : جُعِلْتُ فِدَاكَ ، فَمَا تَقُولُ فِي الْمَرْأَةِ تَكُونُ فِي السَّفَرِ مَعَ الرِّجَالِ </w:t>
      </w:r>
      <w:r w:rsidRPr="007C12DB">
        <w:rPr>
          <w:rStyle w:val="libFootnotenumChar"/>
          <w:rtl/>
        </w:rPr>
        <w:t>(9)</w:t>
      </w:r>
      <w:r w:rsidRPr="005D642E">
        <w:rPr>
          <w:rtl/>
          <w:lang w:bidi="fa-IR"/>
        </w:rPr>
        <w:t xml:space="preserve"> لَيْسَ لَهَا مَعَهُمْ </w:t>
      </w:r>
      <w:r w:rsidRPr="007C12DB">
        <w:rPr>
          <w:rStyle w:val="libFootnotenumChar"/>
          <w:rtl/>
        </w:rPr>
        <w:t>(10)</w:t>
      </w:r>
      <w:r w:rsidRPr="005D642E">
        <w:rPr>
          <w:rtl/>
          <w:lang w:bidi="fa-IR"/>
        </w:rPr>
        <w:t xml:space="preserve"> ذُو مَحْرَمٍ ، وَلَامَعَهُمُ امْرَأَةٌ ، فَتَمُوتُ الْمَرْأَةُ مَا يُصْنَعُ بِهَا</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(11)</w:t>
      </w:r>
      <w:r w:rsidRPr="005D642E">
        <w:rPr>
          <w:rtl/>
          <w:lang w:bidi="fa-IR"/>
        </w:rPr>
        <w:t xml:space="preserve"> : « يُغْسَلُ مِنْهَا مَا أَوْجَبَ اللهُ عَلَيْهِ </w:t>
      </w:r>
      <w:r w:rsidRPr="007C12DB">
        <w:rPr>
          <w:rStyle w:val="libFootnotenumChar"/>
          <w:rtl/>
        </w:rPr>
        <w:t>(12)</w:t>
      </w:r>
      <w:r w:rsidRPr="005D642E">
        <w:rPr>
          <w:rtl/>
          <w:lang w:bidi="fa-IR"/>
        </w:rPr>
        <w:t xml:space="preserve"> التَّيَمُّمَ ، وَلَاتُمَسُّ </w:t>
      </w:r>
      <w:r w:rsidRPr="007C12DB">
        <w:rPr>
          <w:rStyle w:val="libFootnotenumChar"/>
          <w:rtl/>
        </w:rPr>
        <w:t>(13)</w:t>
      </w:r>
      <w:r w:rsidRPr="005D642E">
        <w:rPr>
          <w:rtl/>
          <w:lang w:bidi="fa-IR"/>
        </w:rPr>
        <w:t xml:space="preserve"> ، وَلَايُكْشَفُ </w:t>
      </w:r>
      <w:r w:rsidRPr="007C12DB">
        <w:rPr>
          <w:rStyle w:val="libFootnotenumChar"/>
          <w:rtl/>
        </w:rPr>
        <w:t>(14)</w:t>
      </w:r>
      <w:r w:rsidRPr="005D642E">
        <w:rPr>
          <w:rtl/>
          <w:lang w:bidi="fa-IR"/>
        </w:rPr>
        <w:t xml:space="preserve"> شَيْ‌ءٌ مِنْ مَحَاسِنِهَا الَّتِي </w:t>
      </w:r>
      <w:r w:rsidRPr="007C12DB">
        <w:rPr>
          <w:rStyle w:val="libFootnotenumChar"/>
          <w:rtl/>
        </w:rPr>
        <w:t>(15)</w:t>
      </w:r>
      <w:r w:rsidRPr="005D642E">
        <w:rPr>
          <w:rtl/>
          <w:lang w:bidi="fa-IR"/>
        </w:rPr>
        <w:t xml:space="preserve"> أَمَرَ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بِسَتْرِهَا </w:t>
      </w:r>
      <w:r w:rsidRPr="007C12DB">
        <w:rPr>
          <w:rStyle w:val="libFootnotenumChar"/>
          <w:rtl/>
        </w:rPr>
        <w:t>(16)</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w:t>
      </w:r>
      <w:r w:rsidRPr="007C12DB">
        <w:rPr>
          <w:rStyle w:val="libFootnotenumChar"/>
          <w:rtl/>
        </w:rPr>
        <w:t>(17)</w:t>
      </w:r>
      <w:r w:rsidRPr="005D642E">
        <w:rPr>
          <w:rtl/>
          <w:lang w:bidi="fa-IR"/>
        </w:rPr>
        <w:t xml:space="preserve"> : كَيْفَ يُصْنَعُ بِهَا</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w:t>
      </w:r>
      <w:r w:rsidR="00E3253D">
        <w:rPr>
          <w:rtl/>
        </w:rPr>
        <w:t xml:space="preserve"> </w:t>
      </w:r>
      <w:r w:rsidR="007642BC">
        <w:rPr>
          <w:rtl/>
        </w:rPr>
        <w:t>-</w:t>
      </w:r>
      <w:r w:rsidR="00E3253D">
        <w:rPr>
          <w:rtl/>
        </w:rPr>
        <w:t xml:space="preserve"> </w:t>
      </w:r>
      <w:r w:rsidR="00E3253D" w:rsidRPr="005D642E">
        <w:rPr>
          <w:rtl/>
        </w:rPr>
        <w:t>« لي كأنّك</w:t>
      </w:r>
      <w:r w:rsidR="00E3253D">
        <w:rPr>
          <w:rtl/>
        </w:rPr>
        <w:t xml:space="preserve"> ».</w:t>
      </w:r>
      <w:r w:rsidR="00E3253D" w:rsidRPr="005D642E">
        <w:rPr>
          <w:rtl/>
        </w:rPr>
        <w:t xml:space="preserve"> وفي الوافي : « قال : فكأنّك » بدل « فقال لي : كأنّك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31825" w:rsidTr="00931825">
        <w:tc>
          <w:tcPr>
            <w:tcW w:w="4006" w:type="dxa"/>
          </w:tcPr>
          <w:p w:rsidR="00931825" w:rsidRDefault="00931825" w:rsidP="00E3253D">
            <w:pPr>
              <w:pStyle w:val="libFootnote0"/>
              <w:rPr>
                <w:rStyle w:val="libFootnote0Char"/>
                <w:rtl/>
              </w:rPr>
            </w:pPr>
            <w:r w:rsidRPr="0042621E">
              <w:rPr>
                <w:rStyle w:val="libFootnote0Char"/>
                <w:rtl/>
              </w:rPr>
              <w:t>(2).</w:t>
            </w:r>
            <w:r w:rsidRPr="005D642E">
              <w:rPr>
                <w:rtl/>
              </w:rPr>
              <w:t xml:space="preserve"> في « بخ ، بف » : « بما</w:t>
            </w:r>
            <w:r>
              <w:rPr>
                <w:rtl/>
              </w:rPr>
              <w:t xml:space="preserve"> ».</w:t>
            </w:r>
          </w:p>
        </w:tc>
        <w:tc>
          <w:tcPr>
            <w:tcW w:w="4006" w:type="dxa"/>
          </w:tcPr>
          <w:p w:rsidR="00931825" w:rsidRDefault="00931825" w:rsidP="00E3253D">
            <w:pPr>
              <w:pStyle w:val="libFootnote0"/>
              <w:rPr>
                <w:rStyle w:val="libFootnote0Char"/>
                <w:rtl/>
              </w:rPr>
            </w:pPr>
            <w:r w:rsidRPr="0042621E">
              <w:rPr>
                <w:rStyle w:val="libFootnote0Char"/>
                <w:rtl/>
              </w:rPr>
              <w:t>(3).</w:t>
            </w:r>
            <w:r w:rsidRPr="005D642E">
              <w:rPr>
                <w:rtl/>
              </w:rPr>
              <w:t xml:space="preserve"> في الوافي : « قلت : فقد » بدل « فقلت : قد</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كان مثل ذلك</w:t>
      </w:r>
      <w:r w:rsidR="00E3253D">
        <w:rPr>
          <w:rtl/>
        </w:rPr>
        <w:t xml:space="preserve"> ».</w:t>
      </w:r>
      <w:r w:rsidR="00E3253D" w:rsidRPr="005D642E">
        <w:rPr>
          <w:rtl/>
        </w:rPr>
        <w:t xml:space="preserve"> وفي البحار :</w:t>
      </w:r>
      <w:r w:rsidR="00E3253D">
        <w:rPr>
          <w:rtl/>
        </w:rPr>
        <w:t xml:space="preserve"> </w:t>
      </w:r>
      <w:r w:rsidR="007642BC">
        <w:rPr>
          <w:rtl/>
        </w:rPr>
        <w:t>-</w:t>
      </w:r>
      <w:r w:rsidR="00E3253D">
        <w:rPr>
          <w:rtl/>
        </w:rPr>
        <w:t xml:space="preserve"> </w:t>
      </w:r>
      <w:r w:rsidR="00E3253D" w:rsidRPr="005D642E">
        <w:rPr>
          <w:rtl/>
        </w:rPr>
        <w:t>« ذلك</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معظم النسخ التي قوبلت والوسائل ، ح 2825 والبحار </w:t>
      </w:r>
      <w:r w:rsidR="00E3253D" w:rsidRPr="00E678B5">
        <w:rPr>
          <w:rStyle w:val="libFootnoteBoldChar"/>
          <w:rtl/>
        </w:rPr>
        <w:t>والاستبصار</w:t>
      </w:r>
      <w:r w:rsidR="00E3253D" w:rsidRPr="005D642E">
        <w:rPr>
          <w:rtl/>
        </w:rPr>
        <w:t xml:space="preserve"> ، ص 199. وفي « بح ، بف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440 والعلل : « قال</w:t>
      </w:r>
      <w:r w:rsidR="00E3253D">
        <w:rPr>
          <w:rtl/>
        </w:rPr>
        <w:t xml:space="preserve"> ».</w:t>
      </w:r>
      <w:r w:rsidR="00E3253D" w:rsidRPr="005D642E">
        <w:rPr>
          <w:rtl/>
        </w:rPr>
        <w:t xml:space="preserve"> وفي المطبوع : + « لي</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 + « بها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 « الصدّيق</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872B2" w:rsidTr="00D872B2">
        <w:tc>
          <w:tcPr>
            <w:tcW w:w="4006" w:type="dxa"/>
          </w:tcPr>
          <w:p w:rsidR="00D872B2" w:rsidRDefault="00D872B2" w:rsidP="00E3253D">
            <w:pPr>
              <w:pStyle w:val="libFootnote0"/>
              <w:rPr>
                <w:rStyle w:val="libFootnote0Char"/>
                <w:rtl/>
              </w:rPr>
            </w:pPr>
            <w:r w:rsidRPr="0042621E">
              <w:rPr>
                <w:rStyle w:val="libFootnote0Char"/>
                <w:rtl/>
              </w:rPr>
              <w:t>(8).</w:t>
            </w:r>
            <w:r w:rsidRPr="005D642E">
              <w:rPr>
                <w:rtl/>
              </w:rPr>
              <w:t xml:space="preserve"> في الوافي </w:t>
            </w:r>
            <w:r w:rsidRPr="00B60612">
              <w:rPr>
                <w:rStyle w:val="libFootnoteBoldChar"/>
                <w:rtl/>
              </w:rPr>
              <w:t>والتهذيب</w:t>
            </w:r>
            <w:r>
              <w:rPr>
                <w:rtl/>
              </w:rPr>
              <w:t xml:space="preserve"> ، ص 440</w:t>
            </w:r>
            <w:r w:rsidRPr="005D642E">
              <w:rPr>
                <w:rtl/>
              </w:rPr>
              <w:t>: « قال : قلت</w:t>
            </w:r>
            <w:r>
              <w:rPr>
                <w:rtl/>
              </w:rPr>
              <w:t xml:space="preserve"> ».</w:t>
            </w:r>
          </w:p>
        </w:tc>
        <w:tc>
          <w:tcPr>
            <w:tcW w:w="4006" w:type="dxa"/>
          </w:tcPr>
          <w:p w:rsidR="00D872B2" w:rsidRDefault="00D872B2" w:rsidP="00E3253D">
            <w:pPr>
              <w:pStyle w:val="libFootnote0"/>
              <w:rPr>
                <w:rStyle w:val="libFootnote0Char"/>
                <w:rtl/>
              </w:rPr>
            </w:pPr>
            <w:r w:rsidRPr="0042621E">
              <w:rPr>
                <w:rStyle w:val="libFootnote0Char"/>
                <w:rtl/>
              </w:rPr>
              <w:t>(9).</w:t>
            </w:r>
            <w:r w:rsidRPr="005D642E">
              <w:rPr>
                <w:rtl/>
              </w:rPr>
              <w:t xml:space="preserve"> في الوافي </w:t>
            </w:r>
            <w:r w:rsidRPr="00B60612">
              <w:rPr>
                <w:rStyle w:val="libFootnoteBoldChar"/>
                <w:rtl/>
              </w:rPr>
              <w:t>والتهذيب</w:t>
            </w:r>
            <w:r w:rsidRPr="005D642E">
              <w:rPr>
                <w:rtl/>
              </w:rPr>
              <w:t xml:space="preserve"> ، ص 342 : « مع رجال</w:t>
            </w:r>
            <w:r>
              <w:rPr>
                <w:rtl/>
              </w:rPr>
              <w:t xml:space="preserve"> ».</w:t>
            </w:r>
          </w:p>
        </w:tc>
      </w:tr>
    </w:tbl>
    <w:p w:rsidR="00E3253D" w:rsidRPr="005D642E" w:rsidRDefault="0042621E" w:rsidP="007A4970">
      <w:pPr>
        <w:pStyle w:val="libFootnote0"/>
        <w:rPr>
          <w:rtl/>
          <w:lang w:bidi="fa-IR"/>
        </w:rPr>
      </w:pPr>
      <w:r w:rsidRPr="0042621E">
        <w:rPr>
          <w:rStyle w:val="libFootnote0Char"/>
          <w:rtl/>
        </w:rPr>
        <w:t>(10).</w:t>
      </w:r>
      <w:r w:rsidR="00E3253D" w:rsidRPr="005D642E">
        <w:rPr>
          <w:rtl/>
        </w:rPr>
        <w:t xml:space="preserve"> في « ظ ، ى ، بث ، بح ، بخ ، بس ، بف ، جح ، جس » </w:t>
      </w:r>
      <w:r w:rsidR="000D749A" w:rsidRPr="000D749A">
        <w:rPr>
          <w:rStyle w:val="libFootnoteBoldChar"/>
          <w:rtl/>
        </w:rPr>
        <w:t>والوافي</w:t>
      </w:r>
      <w:r w:rsidR="00E3253D" w:rsidRPr="005D642E">
        <w:rPr>
          <w:rtl/>
        </w:rPr>
        <w:t xml:space="preserve"> : « معهم لها</w:t>
      </w:r>
      <w:r w:rsidR="00E3253D">
        <w:rPr>
          <w:rtl/>
        </w:rPr>
        <w:t xml:space="preserve"> ».</w:t>
      </w:r>
      <w:r w:rsidR="00E3253D" w:rsidRPr="005D642E">
        <w:rPr>
          <w:rtl/>
        </w:rPr>
        <w:t xml:space="preserve"> وفي « غ » </w:t>
      </w:r>
      <w:r w:rsidR="009E68BB" w:rsidRPr="009E68BB">
        <w:rPr>
          <w:rStyle w:val="libFootnoteBoldChar"/>
          <w:rtl/>
        </w:rPr>
        <w:t>وتحف العقول</w:t>
      </w:r>
      <w:r w:rsidR="00E3253D" w:rsidRPr="005D642E">
        <w:rPr>
          <w:rtl/>
        </w:rPr>
        <w:t xml:space="preserve"> </w:t>
      </w:r>
      <w:r w:rsidR="00E3253D" w:rsidRPr="00E678B5">
        <w:rPr>
          <w:rStyle w:val="libFootnoteBoldChar"/>
          <w:rtl/>
        </w:rPr>
        <w:t>والاستبصار</w:t>
      </w:r>
      <w:r w:rsidR="00E3253D" w:rsidRPr="005D642E">
        <w:rPr>
          <w:rtl/>
        </w:rPr>
        <w:t xml:space="preserve"> ، ص 200 : « فيهم لها</w:t>
      </w:r>
      <w:r w:rsidR="00E3253D">
        <w:rPr>
          <w:rtl/>
        </w:rPr>
        <w:t xml:space="preserve"> ».</w:t>
      </w:r>
      <w:r w:rsidR="00E3253D" w:rsidRPr="005D642E">
        <w:rPr>
          <w:rtl/>
        </w:rPr>
        <w:t xml:space="preserve"> وفي « جن » :</w:t>
      </w:r>
      <w:r w:rsidR="00E3253D">
        <w:rPr>
          <w:rtl/>
        </w:rPr>
        <w:t xml:space="preserve"> </w:t>
      </w:r>
      <w:r w:rsidR="007642BC">
        <w:rPr>
          <w:rtl/>
        </w:rPr>
        <w:t>-</w:t>
      </w:r>
      <w:r w:rsidR="00E3253D">
        <w:rPr>
          <w:rtl/>
        </w:rPr>
        <w:t xml:space="preserve"> </w:t>
      </w:r>
      <w:r w:rsidR="00E3253D" w:rsidRPr="005D642E">
        <w:rPr>
          <w:rtl/>
        </w:rPr>
        <w:t>« لها</w:t>
      </w:r>
      <w:r w:rsidR="00E3253D">
        <w:rPr>
          <w:rtl/>
        </w:rPr>
        <w:t xml:space="preserve"> ».</w:t>
      </w:r>
      <w:r w:rsidR="007A4970">
        <w:rPr>
          <w:rFonts w:hint="cs"/>
          <w:rtl/>
        </w:rPr>
        <w:t xml:space="preserve"> </w:t>
      </w:r>
      <w:r w:rsidRPr="0042621E">
        <w:rPr>
          <w:rStyle w:val="libFootnote0Char"/>
          <w:rtl/>
        </w:rPr>
        <w:t>(11).</w:t>
      </w:r>
      <w:r w:rsidR="00E3253D" w:rsidRPr="005D642E">
        <w:rPr>
          <w:rtl/>
        </w:rPr>
        <w:t xml:space="preserve"> في « بخ ، بف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بح » </w:t>
      </w:r>
      <w:r w:rsidR="00E3253D" w:rsidRPr="00E678B5">
        <w:rPr>
          <w:rStyle w:val="libFootnoteBoldChar"/>
          <w:rtl/>
        </w:rPr>
        <w:t>والاستبصار</w:t>
      </w:r>
      <w:r w:rsidR="00E3253D" w:rsidRPr="005D642E">
        <w:rPr>
          <w:rtl/>
        </w:rPr>
        <w:t xml:space="preserve"> ، ص 200 : « عليها</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الوافي </w:t>
      </w:r>
      <w:r w:rsidR="00B60612" w:rsidRPr="00B60612">
        <w:rPr>
          <w:rStyle w:val="libFootnoteBoldChar"/>
          <w:rtl/>
        </w:rPr>
        <w:t>والتهذيب</w:t>
      </w:r>
      <w:r w:rsidR="00E3253D" w:rsidRPr="005D642E">
        <w:rPr>
          <w:rtl/>
        </w:rPr>
        <w:t xml:space="preserve"> ، ص 342 </w:t>
      </w:r>
      <w:r w:rsidR="00E3253D">
        <w:rPr>
          <w:rtl/>
        </w:rPr>
        <w:t>و 4</w:t>
      </w:r>
      <w:r w:rsidR="00E3253D" w:rsidRPr="005D642E">
        <w:rPr>
          <w:rtl/>
        </w:rPr>
        <w:t xml:space="preserve">42 </w:t>
      </w:r>
      <w:r w:rsidR="00E3253D" w:rsidRPr="00E678B5">
        <w:rPr>
          <w:rStyle w:val="libFootnoteBoldChar"/>
          <w:rtl/>
        </w:rPr>
        <w:t>والاستبصار</w:t>
      </w:r>
      <w:r w:rsidR="00E3253D" w:rsidRPr="005D642E">
        <w:rPr>
          <w:rtl/>
        </w:rPr>
        <w:t xml:space="preserve"> ، ص 200 </w:t>
      </w:r>
      <w:r w:rsidR="00E3253D">
        <w:rPr>
          <w:rtl/>
        </w:rPr>
        <w:t>و 2</w:t>
      </w:r>
      <w:r w:rsidR="00E3253D" w:rsidRPr="005D642E">
        <w:rPr>
          <w:rtl/>
        </w:rPr>
        <w:t>02 : « ولا يمسّ</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غ ، بث » : « ولا تكشف</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 xml:space="preserve">هكذا في « غ ، بخ ، بف » وحاشية « بث ، بح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ص 342 </w:t>
      </w:r>
      <w:r w:rsidR="00E3253D">
        <w:rPr>
          <w:rtl/>
        </w:rPr>
        <w:t>و 4</w:t>
      </w:r>
      <w:r w:rsidR="00E3253D" w:rsidRPr="005D642E">
        <w:rPr>
          <w:rtl/>
        </w:rPr>
        <w:t xml:space="preserve">42 </w:t>
      </w:r>
      <w:r w:rsidR="00E3253D" w:rsidRPr="00E678B5">
        <w:rPr>
          <w:rStyle w:val="libFootnoteBoldChar"/>
          <w:rtl/>
        </w:rPr>
        <w:t>والاستبصار</w:t>
      </w:r>
      <w:r w:rsidR="00E3253D" w:rsidRPr="005D642E">
        <w:rPr>
          <w:rtl/>
        </w:rPr>
        <w:t xml:space="preserve"> ، ص 200 </w:t>
      </w:r>
      <w:r w:rsidR="00E3253D">
        <w:rPr>
          <w:rtl/>
        </w:rPr>
        <w:t>و 2</w:t>
      </w:r>
      <w:r w:rsidR="00E3253D" w:rsidRPr="005D642E">
        <w:rPr>
          <w:rtl/>
        </w:rPr>
        <w:t>02 وفي سائر النسخ والمطبوع : « الذي</w:t>
      </w:r>
      <w:r w:rsidR="00E3253D">
        <w:rPr>
          <w:rtl/>
        </w:rPr>
        <w:t xml:space="preserve"> ».</w:t>
      </w:r>
    </w:p>
    <w:p w:rsidR="00E3253D" w:rsidRPr="005D642E" w:rsidRDefault="00E3253D" w:rsidP="00E3253D">
      <w:pPr>
        <w:pStyle w:val="libFootnote0"/>
        <w:rPr>
          <w:rtl/>
          <w:lang w:bidi="fa-IR"/>
        </w:rPr>
      </w:pPr>
      <w:r w:rsidRPr="005D642E">
        <w:rPr>
          <w:rtl/>
        </w:rPr>
        <w:t>(1</w:t>
      </w:r>
      <w:r>
        <w:rPr>
          <w:rtl/>
        </w:rPr>
        <w:t>6)</w:t>
      </w:r>
      <w:r w:rsidRPr="005D642E">
        <w:rPr>
          <w:rtl/>
        </w:rPr>
        <w:t xml:space="preserve"> هكذا في الوافي </w:t>
      </w:r>
      <w:r w:rsidR="009E68BB" w:rsidRPr="009E68BB">
        <w:rPr>
          <w:rStyle w:val="libFootnoteBoldChar"/>
          <w:rtl/>
        </w:rPr>
        <w:t>وتحف العقول</w:t>
      </w:r>
      <w:r w:rsidRPr="005D642E">
        <w:rPr>
          <w:rtl/>
        </w:rPr>
        <w:t xml:space="preserve"> </w:t>
      </w:r>
      <w:r w:rsidR="00B60612" w:rsidRPr="00B60612">
        <w:rPr>
          <w:rStyle w:val="libFootnoteBoldChar"/>
          <w:rtl/>
        </w:rPr>
        <w:t>والتهذيب</w:t>
      </w:r>
      <w:r w:rsidRPr="005D642E">
        <w:rPr>
          <w:rtl/>
        </w:rPr>
        <w:t xml:space="preserve"> ، ص 342 </w:t>
      </w:r>
      <w:r>
        <w:rPr>
          <w:rtl/>
        </w:rPr>
        <w:t>و 4</w:t>
      </w:r>
      <w:r w:rsidRPr="005D642E">
        <w:rPr>
          <w:rtl/>
        </w:rPr>
        <w:t xml:space="preserve">42 </w:t>
      </w:r>
      <w:r w:rsidRPr="00E678B5">
        <w:rPr>
          <w:rStyle w:val="libFootnoteBoldChar"/>
          <w:rtl/>
        </w:rPr>
        <w:t>والاستبصار</w:t>
      </w:r>
      <w:r w:rsidRPr="005D642E">
        <w:rPr>
          <w:rtl/>
        </w:rPr>
        <w:t xml:space="preserve"> ، ص 200 </w:t>
      </w:r>
      <w:r>
        <w:rPr>
          <w:rtl/>
        </w:rPr>
        <w:t>و 2</w:t>
      </w:r>
      <w:r w:rsidRPr="005D642E">
        <w:rPr>
          <w:rtl/>
        </w:rPr>
        <w:t>02 وفي النسخ والمطبوع : « بستره</w:t>
      </w:r>
      <w:r>
        <w:rPr>
          <w:rtl/>
        </w:rPr>
        <w:t xml:space="preserve"> ».</w:t>
      </w:r>
    </w:p>
    <w:p w:rsidR="00E3253D" w:rsidRPr="005D642E" w:rsidRDefault="00E3253D" w:rsidP="00E3253D">
      <w:pPr>
        <w:pStyle w:val="libFootnote0"/>
        <w:rPr>
          <w:rtl/>
          <w:lang w:bidi="fa-IR"/>
        </w:rPr>
      </w:pPr>
      <w:r w:rsidRPr="005D642E">
        <w:rPr>
          <w:rtl/>
        </w:rPr>
        <w:t>(1</w:t>
      </w:r>
      <w:r>
        <w:rPr>
          <w:rtl/>
        </w:rPr>
        <w:t>7)</w:t>
      </w:r>
      <w:r w:rsidRPr="005D642E">
        <w:rPr>
          <w:rtl/>
        </w:rPr>
        <w:t xml:space="preserve"> في « بخ ، بف » </w:t>
      </w:r>
      <w:r w:rsidR="000D749A" w:rsidRPr="000D749A">
        <w:rPr>
          <w:rStyle w:val="libFootnoteBoldChar"/>
          <w:rtl/>
        </w:rPr>
        <w:t>والوافي</w:t>
      </w:r>
      <w:r w:rsidRPr="005D642E">
        <w:rPr>
          <w:rtl/>
        </w:rPr>
        <w:t xml:space="preserve"> </w:t>
      </w:r>
      <w:r w:rsidR="00B60612" w:rsidRPr="00B60612">
        <w:rPr>
          <w:rStyle w:val="libFootnoteBoldChar"/>
          <w:rtl/>
        </w:rPr>
        <w:t>والتهذيب</w:t>
      </w:r>
      <w:r w:rsidRPr="005D642E">
        <w:rPr>
          <w:rtl/>
        </w:rPr>
        <w:t xml:space="preserve"> </w:t>
      </w:r>
      <w:r w:rsidRPr="00E678B5">
        <w:rPr>
          <w:rStyle w:val="libFootnoteBoldChar"/>
          <w:rtl/>
        </w:rPr>
        <w:t>والاستبصار</w:t>
      </w:r>
      <w:r w:rsidRPr="005D642E">
        <w:rPr>
          <w:rtl/>
        </w:rPr>
        <w:t xml:space="preserve"> ، ص 200 </w:t>
      </w:r>
      <w:r>
        <w:rPr>
          <w:rtl/>
        </w:rPr>
        <w:t>و 2</w:t>
      </w:r>
      <w:r w:rsidRPr="005D642E">
        <w:rPr>
          <w:rtl/>
        </w:rPr>
        <w:t>02 : « فقلت</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قَالَ : « يُغْسَلُ </w:t>
      </w:r>
      <w:r w:rsidRPr="007C12DB">
        <w:rPr>
          <w:rStyle w:val="libFootnotenumChar"/>
          <w:rtl/>
        </w:rPr>
        <w:t>(1)</w:t>
      </w:r>
      <w:r w:rsidRPr="005D642E">
        <w:rPr>
          <w:rtl/>
          <w:lang w:bidi="fa-IR"/>
        </w:rPr>
        <w:t xml:space="preserve"> بَطْنُ </w:t>
      </w:r>
      <w:r w:rsidRPr="007C12DB">
        <w:rPr>
          <w:rStyle w:val="libFootnotenumChar"/>
          <w:rtl/>
        </w:rPr>
        <w:t>(2)</w:t>
      </w:r>
      <w:r w:rsidRPr="005D642E">
        <w:rPr>
          <w:rtl/>
          <w:lang w:bidi="fa-IR"/>
        </w:rPr>
        <w:t xml:space="preserve"> كَفَّيْهَا وَ</w:t>
      </w:r>
      <w:r w:rsidR="004968FC">
        <w:rPr>
          <w:rFonts w:hint="cs"/>
          <w:rtl/>
          <w:lang w:bidi="fa-IR"/>
        </w:rPr>
        <w:t xml:space="preserve"> </w:t>
      </w:r>
      <w:r w:rsidRPr="005D642E">
        <w:rPr>
          <w:rtl/>
          <w:lang w:bidi="fa-IR"/>
        </w:rPr>
        <w:t xml:space="preserve">وَجْهُهَا </w:t>
      </w:r>
      <w:r w:rsidRPr="007C12DB">
        <w:rPr>
          <w:rStyle w:val="libFootnotenumChar"/>
          <w:rtl/>
        </w:rPr>
        <w:t>(3)</w:t>
      </w:r>
      <w:r w:rsidRPr="005D642E">
        <w:rPr>
          <w:rtl/>
          <w:lang w:bidi="fa-IR"/>
        </w:rPr>
        <w:t xml:space="preserve"> ، وَيُغْسَلُ </w:t>
      </w:r>
      <w:r w:rsidRPr="007C12DB">
        <w:rPr>
          <w:rStyle w:val="libFootnotenumChar"/>
          <w:rtl/>
        </w:rPr>
        <w:t>(4)</w:t>
      </w:r>
      <w:r w:rsidRPr="005D642E">
        <w:rPr>
          <w:rtl/>
          <w:lang w:bidi="fa-IR"/>
        </w:rPr>
        <w:t xml:space="preserve"> ظَهْرُ كَفَّيْهَا</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344" w:name="_Toc344647325"/>
      <w:bookmarkStart w:id="345" w:name="_Toc462226839"/>
      <w:bookmarkStart w:id="346" w:name="_Toc40975948"/>
      <w:r w:rsidRPr="005D642E">
        <w:rPr>
          <w:rtl/>
          <w:lang w:bidi="fa-IR"/>
        </w:rPr>
        <w:t>30</w:t>
      </w:r>
      <w:r>
        <w:rPr>
          <w:rtl/>
          <w:lang w:bidi="fa-IR"/>
        </w:rPr>
        <w:t xml:space="preserve"> </w:t>
      </w:r>
      <w:r w:rsidR="007642BC">
        <w:rPr>
          <w:rtl/>
          <w:lang w:bidi="fa-IR"/>
        </w:rPr>
        <w:t>-</w:t>
      </w:r>
      <w:r>
        <w:rPr>
          <w:rtl/>
          <w:lang w:bidi="fa-IR"/>
        </w:rPr>
        <w:t xml:space="preserve"> </w:t>
      </w:r>
      <w:r w:rsidRPr="005D642E">
        <w:rPr>
          <w:rtl/>
          <w:lang w:bidi="fa-IR"/>
        </w:rPr>
        <w:t xml:space="preserve">بَابُ حَدِّ الصَّبِيِّ الَّذِي يَجُوزُ لِلنِّسَاءِ </w:t>
      </w:r>
      <w:r w:rsidRPr="007C12DB">
        <w:rPr>
          <w:rStyle w:val="libFootnotenumChar"/>
          <w:rtl/>
        </w:rPr>
        <w:t>(6)</w:t>
      </w:r>
      <w:r>
        <w:rPr>
          <w:rtl/>
        </w:rPr>
        <w:t xml:space="preserve"> </w:t>
      </w:r>
      <w:r w:rsidRPr="005D642E">
        <w:rPr>
          <w:rtl/>
          <w:lang w:bidi="fa-IR"/>
        </w:rPr>
        <w:t>أَنْ يُغَسِّلْنَهُ‌</w:t>
      </w:r>
      <w:bookmarkEnd w:id="344"/>
      <w:bookmarkEnd w:id="345"/>
      <w:bookmarkEnd w:id="346"/>
    </w:p>
    <w:p w:rsidR="00E3253D" w:rsidRPr="005D642E" w:rsidRDefault="00E3253D" w:rsidP="00E3253D">
      <w:pPr>
        <w:pStyle w:val="libNormal"/>
        <w:rPr>
          <w:rtl/>
          <w:lang w:bidi="fa-IR"/>
        </w:rPr>
      </w:pPr>
      <w:r w:rsidRPr="00DE345E">
        <w:rPr>
          <w:rtl/>
        </w:rPr>
        <w:t>4416</w:t>
      </w:r>
      <w:r w:rsidRPr="00246318">
        <w:rPr>
          <w:rStyle w:val="libBold2Char"/>
          <w:rtl/>
        </w:rPr>
        <w:t xml:space="preserve"> / 1.</w:t>
      </w:r>
      <w:r w:rsidRPr="005D642E">
        <w:rPr>
          <w:rtl/>
          <w:lang w:bidi="fa-IR"/>
        </w:rPr>
        <w:t xml:space="preserve"> أَبُو عَلِيٍّ الْأَشْعَرِيُّ ، عَنْ مُحَمَّدِ بْنِ عَبْدِ الْجَبَّارِ ، عَنِ ابْنِ فَضَّالٍ ، عَنْ يُونُسَ بْنِ يَعْقُوبَ ، عَنْ أَبِي النُّمَيْرِ </w:t>
      </w:r>
      <w:r w:rsidRPr="007C12DB">
        <w:rPr>
          <w:rStyle w:val="libFootnotenumChar"/>
          <w:rtl/>
        </w:rPr>
        <w:t>(7)</w:t>
      </w:r>
      <w:r w:rsidRPr="005D642E">
        <w:rPr>
          <w:rtl/>
          <w:lang w:bidi="fa-IR"/>
        </w:rPr>
        <w:t xml:space="preserve"> مَوْلَى الْحَارِثِ بْنِ الْمُغِيرَةِ </w:t>
      </w:r>
      <w:r w:rsidRPr="007C12DB">
        <w:rPr>
          <w:rStyle w:val="libFootnotenumChar"/>
          <w:rtl/>
        </w:rPr>
        <w:t>(8)</w:t>
      </w:r>
      <w:r w:rsidRPr="005D642E">
        <w:rPr>
          <w:rtl/>
          <w:lang w:bidi="fa-IR"/>
        </w:rPr>
        <w:t xml:space="preserve">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 « يغسّل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w:t>
      </w:r>
      <w:r w:rsidR="009E68BB" w:rsidRPr="009E68BB">
        <w:rPr>
          <w:rStyle w:val="libFootnoteBoldChar"/>
          <w:rtl/>
        </w:rPr>
        <w:t>وتحف العقول</w:t>
      </w:r>
      <w:r w:rsidR="00E3253D" w:rsidRPr="005D642E">
        <w:rPr>
          <w:rtl/>
        </w:rPr>
        <w:t xml:space="preserve"> : « باطن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w:t>
      </w:r>
      <w:r w:rsidR="009E68BB" w:rsidRPr="009E68BB">
        <w:rPr>
          <w:rStyle w:val="libFootnoteBoldChar"/>
          <w:rtl/>
        </w:rPr>
        <w:t>وتحف العقول</w:t>
      </w:r>
      <w:r w:rsidR="00E3253D" w:rsidRPr="005D642E">
        <w:rPr>
          <w:rtl/>
        </w:rPr>
        <w:t xml:space="preserve"> : « ثمّ يغسل وجهها » بدل « ووجهها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w:t>
      </w:r>
      <w:r w:rsidR="009E68BB" w:rsidRPr="009E68BB">
        <w:rPr>
          <w:rStyle w:val="libFootnoteBoldChar"/>
          <w:rtl/>
        </w:rPr>
        <w:t>وتحف العقول</w:t>
      </w:r>
      <w:r w:rsidR="00E3253D" w:rsidRPr="005D642E">
        <w:rPr>
          <w:rtl/>
        </w:rPr>
        <w:t xml:space="preserve"> : « ثمّ يغسل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الكافي</w:t>
      </w:r>
      <w:r w:rsidR="00E3253D" w:rsidRPr="005D642E">
        <w:rPr>
          <w:rtl/>
        </w:rPr>
        <w:t xml:space="preserve"> ، كتاب الحجّة ، باب مولد الزهراء فاطمة </w:t>
      </w:r>
      <w:r w:rsidR="00E3253D" w:rsidRPr="004968FC">
        <w:rPr>
          <w:rStyle w:val="libFootnoteAlaemChar"/>
          <w:rtl/>
        </w:rPr>
        <w:t>عليها‌السلام</w:t>
      </w:r>
      <w:r w:rsidR="00E3253D" w:rsidRPr="005D642E">
        <w:rPr>
          <w:rtl/>
        </w:rPr>
        <w:t xml:space="preserve"> ، ح 1247 ، عن عدّة من أصحابنا ، عن أحمد بن محمّد بن عيسى ، عن أحمد بن محمّد بن أبي نصر ، عن عبدالرحمن بن سالم ، إلى قوله : « أنّ مريم </w:t>
      </w:r>
      <w:r w:rsidR="00E3253D" w:rsidRPr="004968FC">
        <w:rPr>
          <w:rStyle w:val="libFootnoteAlaemChar"/>
          <w:rtl/>
        </w:rPr>
        <w:t>عليها‌السلام</w:t>
      </w:r>
      <w:r w:rsidR="00E3253D" w:rsidRPr="005D642E">
        <w:rPr>
          <w:rtl/>
        </w:rPr>
        <w:t xml:space="preserve"> </w:t>
      </w:r>
      <w:r w:rsidR="004968FC">
        <w:rPr>
          <w:rtl/>
        </w:rPr>
        <w:t>لم يغسّلها إل</w:t>
      </w:r>
      <w:r w:rsidR="004968FC">
        <w:rPr>
          <w:rFonts w:hint="cs"/>
          <w:rtl/>
        </w:rPr>
        <w:t>ّ</w:t>
      </w:r>
      <w:r w:rsidR="004968FC">
        <w:rPr>
          <w:rtl/>
        </w:rPr>
        <w:t>ا</w:t>
      </w:r>
      <w:r w:rsidR="00E3253D" w:rsidRPr="005D642E">
        <w:rPr>
          <w:rtl/>
        </w:rPr>
        <w:t xml:space="preserve">عيسى </w:t>
      </w:r>
      <w:r w:rsidR="00E3253D" w:rsidRPr="004968FC">
        <w:rPr>
          <w:rStyle w:val="libFootnoteAlaemChar"/>
          <w:rtl/>
        </w:rPr>
        <w:t>عليه‌السلام</w:t>
      </w:r>
      <w:r w:rsidR="00E3253D">
        <w:rPr>
          <w:rtl/>
        </w:rPr>
        <w:t xml:space="preserve"> ».</w:t>
      </w:r>
      <w:r w:rsidR="00E3253D" w:rsidRPr="005D642E">
        <w:rPr>
          <w:rtl/>
        </w:rPr>
        <w:t xml:space="preserve"> </w:t>
      </w:r>
      <w:r w:rsidR="00E3253D" w:rsidRPr="002F4D34">
        <w:rPr>
          <w:rStyle w:val="libFootnoteBoldChar"/>
          <w:rtl/>
        </w:rPr>
        <w:t>التهذيب</w:t>
      </w:r>
      <w:r w:rsidR="00E3253D" w:rsidRPr="005D642E">
        <w:rPr>
          <w:rtl/>
        </w:rPr>
        <w:t xml:space="preserve"> ، ج 1 ، ص 342 ، ح 1003 ، بسنده عن محمّد بن يحيى ، عن محمّد بن أحمد بن يحيى ، عن أحمد بن محمّد ، عن عبدالرحمن بن سالم ، من قوله : « فما تقول في المرأة تكون في السفر</w:t>
      </w:r>
      <w:r w:rsidR="00E3253D">
        <w:rPr>
          <w:rtl/>
        </w:rPr>
        <w:t xml:space="preserve"> ».</w:t>
      </w:r>
      <w:r w:rsidR="00E3253D" w:rsidRPr="005D642E">
        <w:rPr>
          <w:rtl/>
        </w:rPr>
        <w:t xml:space="preserve"> </w:t>
      </w:r>
      <w:r w:rsidR="00E3253D" w:rsidRPr="002F4D34">
        <w:rPr>
          <w:rStyle w:val="libFootnoteBoldChar"/>
          <w:rtl/>
        </w:rPr>
        <w:t>علل الشرائع</w:t>
      </w:r>
      <w:r w:rsidR="00E3253D" w:rsidRPr="005D642E">
        <w:rPr>
          <w:rtl/>
        </w:rPr>
        <w:t xml:space="preserve"> ، ص 184 ، ح 1 ، إلى قوله : « أنّ مريم </w:t>
      </w:r>
      <w:r w:rsidR="00E3253D" w:rsidRPr="004968FC">
        <w:rPr>
          <w:rStyle w:val="libFootnoteAlaemChar"/>
          <w:rtl/>
        </w:rPr>
        <w:t>عليها‌السلام</w:t>
      </w:r>
      <w:r w:rsidR="00E3253D" w:rsidRPr="005D642E">
        <w:rPr>
          <w:rtl/>
        </w:rPr>
        <w:t xml:space="preserve"> </w:t>
      </w:r>
      <w:r w:rsidR="00E730F9">
        <w:rPr>
          <w:rtl/>
        </w:rPr>
        <w:t>لم يغسِّلها إل</w:t>
      </w:r>
      <w:r w:rsidR="00E730F9">
        <w:rPr>
          <w:rFonts w:hint="cs"/>
          <w:rtl/>
        </w:rPr>
        <w:t>ّ</w:t>
      </w:r>
      <w:r w:rsidR="00E730F9">
        <w:rPr>
          <w:rtl/>
        </w:rPr>
        <w:t>ا</w:t>
      </w:r>
      <w:r w:rsidR="00E3253D" w:rsidRPr="005D642E">
        <w:rPr>
          <w:rtl/>
        </w:rPr>
        <w:t xml:space="preserve">عيسى </w:t>
      </w:r>
      <w:r w:rsidR="00E3253D" w:rsidRPr="004968FC">
        <w:rPr>
          <w:rStyle w:val="libFootnoteAlaemChar"/>
          <w:rtl/>
        </w:rPr>
        <w:t>عليه‌السلام</w:t>
      </w:r>
      <w:r w:rsidR="00E3253D" w:rsidRPr="005D642E">
        <w:rPr>
          <w:rtl/>
        </w:rPr>
        <w:t xml:space="preserve"> » ؛ </w:t>
      </w:r>
      <w:r w:rsidR="00E3253D" w:rsidRPr="002F4D34">
        <w:rPr>
          <w:rStyle w:val="libFootnoteBoldChar"/>
          <w:rtl/>
        </w:rPr>
        <w:t>التهذيب</w:t>
      </w:r>
      <w:r w:rsidR="00E3253D" w:rsidRPr="005D642E">
        <w:rPr>
          <w:rtl/>
        </w:rPr>
        <w:t xml:space="preserve"> ، ج 1 ، ص 440 ، ح 1422 ؛ </w:t>
      </w:r>
      <w:r w:rsidR="00E3253D" w:rsidRPr="002F4D34">
        <w:rPr>
          <w:rStyle w:val="libFootnoteBoldChar"/>
          <w:rtl/>
        </w:rPr>
        <w:t>وفيه</w:t>
      </w:r>
      <w:r w:rsidR="00E3253D" w:rsidRPr="005D642E">
        <w:rPr>
          <w:rtl/>
        </w:rPr>
        <w:t xml:space="preserve"> ، ص 442 ، ح 1429 ، من قوله : « فما تقول في المرأة تكون في السفر » ؛ </w:t>
      </w:r>
      <w:r w:rsidR="00E3253D" w:rsidRPr="002F4D34">
        <w:rPr>
          <w:rStyle w:val="libFootnoteBoldChar"/>
          <w:rtl/>
        </w:rPr>
        <w:t>الاستبصار</w:t>
      </w:r>
      <w:r w:rsidR="00E3253D" w:rsidRPr="005D642E">
        <w:rPr>
          <w:rtl/>
        </w:rPr>
        <w:t xml:space="preserve"> ، ج 1 ، ص 199 ، ح 703 ، إلى قوله : « أنّ مريم </w:t>
      </w:r>
      <w:r w:rsidR="00E3253D" w:rsidRPr="004968FC">
        <w:rPr>
          <w:rStyle w:val="libFootnoteAlaemChar"/>
          <w:rtl/>
        </w:rPr>
        <w:t>عليها‌السلام</w:t>
      </w:r>
      <w:r w:rsidR="00E3253D" w:rsidRPr="005D642E">
        <w:rPr>
          <w:rtl/>
        </w:rPr>
        <w:t xml:space="preserve"> </w:t>
      </w:r>
      <w:r w:rsidR="0073788F">
        <w:rPr>
          <w:rtl/>
        </w:rPr>
        <w:t>لم يغسّلها إل</w:t>
      </w:r>
      <w:r w:rsidR="0073788F">
        <w:rPr>
          <w:rFonts w:hint="cs"/>
          <w:rtl/>
        </w:rPr>
        <w:t>ّ</w:t>
      </w:r>
      <w:r w:rsidR="0073788F">
        <w:rPr>
          <w:rtl/>
        </w:rPr>
        <w:t>ا</w:t>
      </w:r>
      <w:r w:rsidR="00E3253D" w:rsidRPr="005D642E">
        <w:rPr>
          <w:rtl/>
        </w:rPr>
        <w:t xml:space="preserve">عيسى </w:t>
      </w:r>
      <w:r w:rsidR="00E3253D" w:rsidRPr="004968FC">
        <w:rPr>
          <w:rStyle w:val="libFootnoteAlaemChar"/>
          <w:rtl/>
        </w:rPr>
        <w:t>عليه‌السلام</w:t>
      </w:r>
      <w:r w:rsidR="00E3253D" w:rsidRPr="005D642E">
        <w:rPr>
          <w:rtl/>
        </w:rPr>
        <w:t xml:space="preserve"> » ؛ </w:t>
      </w:r>
      <w:r w:rsidR="00E3253D" w:rsidRPr="002F4D34">
        <w:rPr>
          <w:rStyle w:val="libFootnoteBoldChar"/>
          <w:rtl/>
        </w:rPr>
        <w:t>وفيه</w:t>
      </w:r>
      <w:r w:rsidR="00E3253D" w:rsidRPr="005D642E">
        <w:rPr>
          <w:rtl/>
        </w:rPr>
        <w:t xml:space="preserve"> ، ص 200 ، ح 705 ؛ وص 202 ، ح 714 ، من قوله : « فما تقول في المرأة تكون في السفر » ، وفي كلّ المصادر</w:t>
      </w:r>
      <w:r w:rsidR="00E3253D">
        <w:rPr>
          <w:rtl/>
        </w:rPr>
        <w:t xml:space="preserve"> </w:t>
      </w:r>
      <w:r w:rsidR="007642BC">
        <w:rPr>
          <w:rtl/>
        </w:rPr>
        <w:t>-</w:t>
      </w:r>
      <w:r w:rsidR="00E3253D">
        <w:rPr>
          <w:rtl/>
        </w:rPr>
        <w:t xml:space="preserve"> </w:t>
      </w:r>
      <w:r w:rsidR="002C4ECA">
        <w:rPr>
          <w:rtl/>
        </w:rPr>
        <w:t>إل</w:t>
      </w:r>
      <w:r w:rsidR="002C4ECA">
        <w:rPr>
          <w:rFonts w:hint="cs"/>
          <w:rtl/>
        </w:rPr>
        <w:t>ّ</w:t>
      </w:r>
      <w:r w:rsidR="002C4ECA">
        <w:rPr>
          <w:rtl/>
        </w:rPr>
        <w:t>ا</w:t>
      </w:r>
      <w:r w:rsidR="00E3253D">
        <w:rPr>
          <w:rFonts w:hint="cs"/>
          <w:rtl/>
        </w:rPr>
        <w:t xml:space="preserve"> </w:t>
      </w:r>
      <w:r w:rsidR="00E3253D" w:rsidRPr="002F4D34">
        <w:rPr>
          <w:rStyle w:val="libFootnoteBoldChar"/>
          <w:rtl/>
        </w:rPr>
        <w:t>الكافي</w:t>
      </w:r>
      <w:r w:rsidR="00E3253D" w:rsidRPr="005D642E">
        <w:rPr>
          <w:rtl/>
        </w:rPr>
        <w:t xml:space="preserve"> </w:t>
      </w:r>
      <w:r w:rsidR="00B60612" w:rsidRPr="00B60612">
        <w:rPr>
          <w:rStyle w:val="libFootnoteBoldChar"/>
          <w:rtl/>
        </w:rPr>
        <w:t>والتهذيب</w:t>
      </w:r>
      <w:r w:rsidR="00E3253D" w:rsidRPr="005D642E">
        <w:rPr>
          <w:rtl/>
        </w:rPr>
        <w:t xml:space="preserve"> ، ص 342</w:t>
      </w:r>
      <w:r w:rsidR="00E3253D">
        <w:rPr>
          <w:rtl/>
        </w:rPr>
        <w:t xml:space="preserve"> </w:t>
      </w:r>
      <w:r w:rsidR="007642BC">
        <w:rPr>
          <w:rtl/>
        </w:rPr>
        <w:t>-</w:t>
      </w:r>
      <w:r w:rsidR="00E3253D">
        <w:rPr>
          <w:rtl/>
        </w:rPr>
        <w:t xml:space="preserve"> </w:t>
      </w:r>
      <w:r w:rsidR="00E3253D" w:rsidRPr="005D642E">
        <w:rPr>
          <w:rtl/>
        </w:rPr>
        <w:t xml:space="preserve">بسند آخر عن أحمد بن محمّد بن عيسى ، عن أحمد بن محمّد بن أبي نصر ، عن عبدالرحمن بن سالم. </w:t>
      </w:r>
      <w:r w:rsidR="00E3253D" w:rsidRPr="002F4D34">
        <w:rPr>
          <w:rStyle w:val="libFootnoteBoldChar"/>
          <w:rtl/>
        </w:rPr>
        <w:t>الفقيه</w:t>
      </w:r>
      <w:r w:rsidR="00E3253D" w:rsidRPr="005D642E">
        <w:rPr>
          <w:rtl/>
        </w:rPr>
        <w:t xml:space="preserve"> ، ج 1 ، ص 156 ، ح 435 ، معلّقاً عن المفضّل بن عمر ، من قوله : « فما تقول في المرأة تكون في السفر » ، وفي كلّ المصادر مع اختلاف يسير </w:t>
      </w:r>
      <w:r w:rsidR="0042599B">
        <w:rPr>
          <w:rFonts w:hint="cs"/>
          <w:rtl/>
        </w:rPr>
        <w:t>.</w:t>
      </w:r>
      <w:r w:rsidR="00E3253D" w:rsidRPr="002F4D34">
        <w:rPr>
          <w:rStyle w:val="libFootnoteBoldChar"/>
          <w:rtl/>
        </w:rPr>
        <w:t>الوافي</w:t>
      </w:r>
      <w:r w:rsidR="00E3253D" w:rsidRPr="005D642E">
        <w:rPr>
          <w:rtl/>
        </w:rPr>
        <w:t xml:space="preserve"> ، ج 24 ، ص 301 ، ح 24070 ؛ </w:t>
      </w:r>
      <w:r w:rsidR="00E3253D" w:rsidRPr="002F4D34">
        <w:rPr>
          <w:rStyle w:val="libFootnoteBoldChar"/>
          <w:rtl/>
        </w:rPr>
        <w:t>الوسائل</w:t>
      </w:r>
      <w:r w:rsidR="00E3253D" w:rsidRPr="005D642E">
        <w:rPr>
          <w:rtl/>
        </w:rPr>
        <w:t xml:space="preserve"> ، ج 2 ، ص 530 ، ح 2825 ، إلى قوله : « أنّ مريم </w:t>
      </w:r>
      <w:r w:rsidR="00E3253D" w:rsidRPr="0073788F">
        <w:rPr>
          <w:rStyle w:val="libFootnoteAlaemChar"/>
          <w:rtl/>
        </w:rPr>
        <w:t>عليها‌السلام</w:t>
      </w:r>
      <w:r w:rsidR="00E3253D" w:rsidRPr="005D642E">
        <w:rPr>
          <w:rtl/>
        </w:rPr>
        <w:t xml:space="preserve"> </w:t>
      </w:r>
      <w:r w:rsidR="0042599B">
        <w:rPr>
          <w:rtl/>
        </w:rPr>
        <w:t>لم يغسّلها إل</w:t>
      </w:r>
      <w:r w:rsidR="0042599B">
        <w:rPr>
          <w:rFonts w:hint="cs"/>
          <w:rtl/>
        </w:rPr>
        <w:t>ّ</w:t>
      </w:r>
      <w:r w:rsidR="0042599B">
        <w:rPr>
          <w:rtl/>
        </w:rPr>
        <w:t>ا</w:t>
      </w:r>
      <w:r w:rsidR="00E3253D" w:rsidRPr="005D642E">
        <w:rPr>
          <w:rtl/>
        </w:rPr>
        <w:t xml:space="preserve">عيسى </w:t>
      </w:r>
      <w:r w:rsidR="00E3253D" w:rsidRPr="002567F4">
        <w:rPr>
          <w:rStyle w:val="libFootnoteAlaemChar"/>
          <w:rtl/>
        </w:rPr>
        <w:t>عليه‌السلام</w:t>
      </w:r>
      <w:r w:rsidR="00E3253D" w:rsidRPr="005D642E">
        <w:rPr>
          <w:rtl/>
        </w:rPr>
        <w:t xml:space="preserve"> » ؛ وص 522 ، ذيل ح 2806 ، من قوله : « فما تقول في المرأة تكون في السفر » ؛ </w:t>
      </w:r>
      <w:r w:rsidR="00E3253D" w:rsidRPr="002F4D34">
        <w:rPr>
          <w:rStyle w:val="libFootnoteBoldChar"/>
          <w:rtl/>
        </w:rPr>
        <w:t>البحار</w:t>
      </w:r>
      <w:r w:rsidR="00E3253D" w:rsidRPr="005D642E">
        <w:rPr>
          <w:rtl/>
        </w:rPr>
        <w:t xml:space="preserve"> ، ج 14 ، ص 197 ، ح 3 ، إلى قوله : « أنّ مريم </w:t>
      </w:r>
      <w:r w:rsidR="00E3253D" w:rsidRPr="002567F4">
        <w:rPr>
          <w:rStyle w:val="libFootnoteAlaemChar"/>
          <w:rtl/>
        </w:rPr>
        <w:t>عليها‌السلام</w:t>
      </w:r>
      <w:r w:rsidR="004A69C9">
        <w:rPr>
          <w:rtl/>
        </w:rPr>
        <w:t xml:space="preserve"> لم يغسّلها إل</w:t>
      </w:r>
      <w:r w:rsidR="004A69C9">
        <w:rPr>
          <w:rFonts w:hint="cs"/>
          <w:rtl/>
        </w:rPr>
        <w:t>ّ</w:t>
      </w:r>
      <w:r w:rsidR="004A69C9">
        <w:rPr>
          <w:rtl/>
        </w:rPr>
        <w:t>ا</w:t>
      </w:r>
      <w:r w:rsidR="00E3253D" w:rsidRPr="005D642E">
        <w:rPr>
          <w:rtl/>
        </w:rPr>
        <w:t xml:space="preserve">عيسى </w:t>
      </w:r>
      <w:r w:rsidR="00E3253D" w:rsidRPr="0073788F">
        <w:rPr>
          <w:rStyle w:val="libFootnoteAlaemChar"/>
          <w:rtl/>
        </w:rPr>
        <w:t>عليه‌السلام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 « يجزي النساء</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 ظ ، بث ، بح ، جح ، جن » </w:t>
      </w:r>
      <w:r w:rsidR="00B60612" w:rsidRPr="00B60612">
        <w:rPr>
          <w:rStyle w:val="libFootnoteBoldChar"/>
          <w:rtl/>
        </w:rPr>
        <w:t>والتهذيب</w:t>
      </w:r>
      <w:r w:rsidR="00E3253D" w:rsidRPr="005D642E">
        <w:rPr>
          <w:rtl/>
        </w:rPr>
        <w:t xml:space="preserve"> والوسائل. وفي « ى ، بخ ، بس ، جس » : « أبي اليمن</w:t>
      </w:r>
      <w:r w:rsidR="00E3253D">
        <w:rPr>
          <w:rtl/>
        </w:rPr>
        <w:t xml:space="preserve"> ».</w:t>
      </w:r>
      <w:r w:rsidR="00E3253D" w:rsidRPr="005D642E">
        <w:rPr>
          <w:rtl/>
        </w:rPr>
        <w:t xml:space="preserve"> وفي « بف » والمطبوع : « ابن النمير</w:t>
      </w:r>
      <w:r w:rsidR="00E3253D">
        <w:rPr>
          <w:rtl/>
        </w:rPr>
        <w:t xml:space="preserve"> ».</w:t>
      </w:r>
      <w:r w:rsidR="00E3253D" w:rsidRPr="005D642E">
        <w:rPr>
          <w:rtl/>
        </w:rPr>
        <w:t xml:space="preserve"> والخبر رواه الصدوق في الفقيه ، بإسناده عن أبي النمير مولى الحارث بن المغيرة.</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الوسائل : + « النصري » وفي التهذيب : + « النضري</w:t>
      </w:r>
      <w:r w:rsidR="00E3253D">
        <w:rPr>
          <w:rtl/>
        </w:rPr>
        <w:t xml:space="preserve"> ».</w:t>
      </w:r>
      <w:r w:rsidR="00E3253D" w:rsidRPr="005D642E">
        <w:rPr>
          <w:rtl/>
        </w:rPr>
        <w:t xml:space="preserve"> وما ورد في التهذيب محرّف ؛ فإنّ الحارث بن المغيرة هو النصري من نَصر بن معاوية. راجع : </w:t>
      </w:r>
      <w:r w:rsidR="00E3253D" w:rsidRPr="002F4D34">
        <w:rPr>
          <w:rStyle w:val="libFootnoteBoldChar"/>
          <w:rtl/>
        </w:rPr>
        <w:t>رجال النجاشي</w:t>
      </w:r>
      <w:r w:rsidR="00E3253D" w:rsidRPr="005D642E">
        <w:rPr>
          <w:rtl/>
        </w:rPr>
        <w:t xml:space="preserve"> ، ص 139 ، الرقم 361 ؛ </w:t>
      </w:r>
      <w:r w:rsidR="00E3253D" w:rsidRPr="002F4D34">
        <w:rPr>
          <w:rStyle w:val="libFootnoteBoldChar"/>
          <w:rtl/>
        </w:rPr>
        <w:t>رجال البرقي</w:t>
      </w:r>
      <w:r w:rsidR="00E3253D" w:rsidRPr="005D642E">
        <w:rPr>
          <w:rtl/>
        </w:rPr>
        <w:t xml:space="preserve"> ، ص 15 ؛ </w:t>
      </w:r>
      <w:r w:rsidR="00E3253D" w:rsidRPr="002F4D34">
        <w:rPr>
          <w:rStyle w:val="libFootnoteBoldChar"/>
          <w:rtl/>
        </w:rPr>
        <w:t>رجال الطوسي</w:t>
      </w:r>
      <w:r w:rsidR="00E3253D" w:rsidRPr="005D642E">
        <w:rPr>
          <w:rtl/>
        </w:rPr>
        <w:t xml:space="preserve"> ، ص 132 ، الرقم 1363.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حَدِّثْنِي عَنِ الصَّبِيِّ إِلى كَمْ تُغَسِّلُهُ النِّسَاءُ</w:t>
      </w:r>
      <w:r>
        <w:rPr>
          <w:rtl/>
          <w:lang w:bidi="fa-IR"/>
        </w:rPr>
        <w:t>؟</w:t>
      </w:r>
    </w:p>
    <w:p w:rsidR="00E3253D" w:rsidRPr="005D642E" w:rsidRDefault="00E3253D" w:rsidP="00E3253D">
      <w:pPr>
        <w:pStyle w:val="libNormal"/>
        <w:rPr>
          <w:rtl/>
          <w:lang w:bidi="fa-IR"/>
        </w:rPr>
      </w:pPr>
      <w:r w:rsidRPr="005D642E">
        <w:rPr>
          <w:rtl/>
          <w:lang w:bidi="fa-IR"/>
        </w:rPr>
        <w:t>فَقَالَ : « إِلى ثَلَاثِ سِنِينَ</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Heading2Center"/>
        <w:rPr>
          <w:rtl/>
          <w:lang w:bidi="fa-IR"/>
        </w:rPr>
      </w:pPr>
      <w:bookmarkStart w:id="347" w:name="_Toc344647326"/>
      <w:bookmarkStart w:id="348" w:name="_Toc462226840"/>
      <w:bookmarkStart w:id="349" w:name="_Toc40975949"/>
      <w:r w:rsidRPr="005D642E">
        <w:rPr>
          <w:rtl/>
          <w:lang w:bidi="fa-IR"/>
        </w:rPr>
        <w:t>31</w:t>
      </w:r>
      <w:r>
        <w:rPr>
          <w:rtl/>
          <w:lang w:bidi="fa-IR"/>
        </w:rPr>
        <w:t xml:space="preserve"> </w:t>
      </w:r>
      <w:r w:rsidR="007642BC">
        <w:rPr>
          <w:rtl/>
          <w:lang w:bidi="fa-IR"/>
        </w:rPr>
        <w:t>-</w:t>
      </w:r>
      <w:r>
        <w:rPr>
          <w:rtl/>
          <w:lang w:bidi="fa-IR"/>
        </w:rPr>
        <w:t xml:space="preserve"> </w:t>
      </w:r>
      <w:r w:rsidRPr="005D642E">
        <w:rPr>
          <w:rtl/>
          <w:lang w:bidi="fa-IR"/>
        </w:rPr>
        <w:t>بَابُ غُسْلِ مَنْ غَسَّلَ الْمَيِّتَ وَمَنْ مَسَّهُ وَهُوَ حَارٌّ وَمَنْ مَسَّهُ وَهُوَ بَارِدٌ‌</w:t>
      </w:r>
      <w:bookmarkEnd w:id="347"/>
      <w:bookmarkEnd w:id="348"/>
      <w:bookmarkEnd w:id="349"/>
    </w:p>
    <w:p w:rsidR="00E3253D" w:rsidRPr="005D642E" w:rsidRDefault="00E3253D" w:rsidP="00E3253D">
      <w:pPr>
        <w:pStyle w:val="libNormal"/>
        <w:rPr>
          <w:rtl/>
          <w:lang w:bidi="fa-IR"/>
        </w:rPr>
      </w:pPr>
      <w:r w:rsidRPr="00DE345E">
        <w:rPr>
          <w:rtl/>
        </w:rPr>
        <w:t>4417</w:t>
      </w:r>
      <w:r w:rsidRPr="00246318">
        <w:rPr>
          <w:rStyle w:val="libBold2Char"/>
          <w:rtl/>
        </w:rPr>
        <w:t xml:space="preserve"> / 1.</w:t>
      </w:r>
      <w:r w:rsidRPr="005D642E">
        <w:rPr>
          <w:rtl/>
          <w:lang w:bidi="fa-IR"/>
        </w:rPr>
        <w:t xml:space="preserve"> عَلِيُّ بْنُ إِبْرَاهِيمَ ، عَنْ أَبِيهِ ، عَنْ حَمَّادِ بْنِ عِيسى ، عَنْ حَرِيزٍ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غَسَّلَ مَيِّتاً ، فَلْيَغْتَسِلْ</w:t>
      </w:r>
      <w:r>
        <w:rPr>
          <w:rtl/>
          <w:lang w:bidi="fa-IR"/>
        </w:rPr>
        <w:t xml:space="preserve"> ».</w:t>
      </w:r>
    </w:p>
    <w:p w:rsidR="00E3253D" w:rsidRPr="005D642E" w:rsidRDefault="00E3253D" w:rsidP="00E3253D">
      <w:pPr>
        <w:pStyle w:val="libNormal"/>
        <w:rPr>
          <w:rtl/>
          <w:lang w:bidi="fa-IR"/>
        </w:rPr>
      </w:pPr>
      <w:r w:rsidRPr="005D642E">
        <w:rPr>
          <w:rtl/>
          <w:lang w:bidi="fa-IR"/>
        </w:rPr>
        <w:t>قُلْتُ : فَإِنْ مَسَّهُ مَا دَامَ حَارّاً</w:t>
      </w:r>
      <w:r>
        <w:rPr>
          <w:rtl/>
          <w:lang w:bidi="fa-IR"/>
        </w:rPr>
        <w:t>؟</w:t>
      </w:r>
    </w:p>
    <w:p w:rsidR="00E3253D" w:rsidRPr="005D642E" w:rsidRDefault="00E3253D" w:rsidP="00E3253D">
      <w:pPr>
        <w:pStyle w:val="libNormal"/>
        <w:rPr>
          <w:rtl/>
          <w:lang w:bidi="fa-IR"/>
        </w:rPr>
      </w:pPr>
      <w:r w:rsidRPr="005D642E">
        <w:rPr>
          <w:rtl/>
          <w:lang w:bidi="fa-IR"/>
        </w:rPr>
        <w:t>قَالَ : « فَلَا غُسْلَ عَلَيْهِ ، وَإِذَا بَرَدَ ثُمَّ مَسَّهُ ، فَلْيَغْتَسِلْ</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 فَمَنْ </w:t>
      </w:r>
      <w:r w:rsidRPr="007C12DB">
        <w:rPr>
          <w:rStyle w:val="libFootnotenumChar"/>
          <w:rtl/>
        </w:rPr>
        <w:t>(2)</w:t>
      </w:r>
      <w:r w:rsidRPr="005D642E">
        <w:rPr>
          <w:rtl/>
          <w:lang w:bidi="fa-IR"/>
        </w:rPr>
        <w:t xml:space="preserve"> أَدْخَلَهُ الْقَبْرَ</w:t>
      </w:r>
      <w:r>
        <w:rPr>
          <w:rtl/>
          <w:lang w:bidi="fa-IR"/>
        </w:rPr>
        <w:t>؟</w:t>
      </w:r>
    </w:p>
    <w:p w:rsidR="00E3253D" w:rsidRPr="005D642E" w:rsidRDefault="00E3253D" w:rsidP="00E3253D">
      <w:pPr>
        <w:pStyle w:val="libNormal"/>
        <w:rPr>
          <w:rtl/>
          <w:lang w:bidi="fa-IR"/>
        </w:rPr>
      </w:pPr>
      <w:r w:rsidRPr="005D642E">
        <w:rPr>
          <w:rtl/>
          <w:lang w:bidi="fa-IR"/>
        </w:rPr>
        <w:t>قَالَ : « لَا غُسْلَ عَلَيْهِ ، إِنَّمَا يَمَسُّ الثِّيَابَ</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DE345E">
        <w:rPr>
          <w:rtl/>
        </w:rPr>
        <w:t>4418</w:t>
      </w:r>
      <w:r w:rsidRPr="00246318">
        <w:rPr>
          <w:rStyle w:val="libBold2Char"/>
          <w:rtl/>
        </w:rPr>
        <w:t xml:space="preserve"> / 2.</w:t>
      </w:r>
      <w:r w:rsidRPr="005D642E">
        <w:rPr>
          <w:rtl/>
          <w:lang w:bidi="fa-IR"/>
        </w:rPr>
        <w:t xml:space="preserve"> أَبُو عَلِيٍّ الْأَشْعَرِيُّ ، عَنْ مُحَمَّدِ بْنِ عَبْدِ الْجَبَّارِ ، عَنْ صَفْوَانَ بْنِ يَحْيى </w:t>
      </w:r>
      <w:r w:rsidRPr="007C12DB">
        <w:rPr>
          <w:rStyle w:val="libFootnotenumChar"/>
          <w:rtl/>
        </w:rPr>
        <w:t>(4)</w:t>
      </w:r>
      <w:r w:rsidRPr="005D642E">
        <w:rPr>
          <w:rtl/>
          <w:lang w:bidi="fa-IR"/>
        </w:rPr>
        <w:t xml:space="preserve"> ، عَنِ الْعَلَاءِ بْنِ رَزِينٍ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قُلْتُ : الرَّجُلُ يُغْمِضُ عَيْنَ الْمَيِّتِ ، عَلَيْهِ غُسْلٌ</w:t>
      </w:r>
      <w:r>
        <w:rPr>
          <w:rtl/>
          <w:lang w:bidi="fa-IR"/>
        </w:rPr>
        <w:t>؟</w:t>
      </w:r>
      <w:r w:rsidRPr="005D642E">
        <w:rPr>
          <w:rtl/>
          <w:lang w:bidi="fa-IR"/>
        </w:rPr>
        <w:t xml:space="preserve"> قَالَ : « إِذَا مَسَّهُ بِحَرَارَتِهِ ، فَلَا ، وَلكِنْ إِذَا مَسَّهُ بَعْدَ مَا يَبْرُدُ </w:t>
      </w:r>
      <w:r w:rsidRPr="007C12DB">
        <w:rPr>
          <w:rStyle w:val="libFootnotenumChar"/>
          <w:rtl/>
        </w:rPr>
        <w:t>(5)</w:t>
      </w:r>
      <w:r w:rsidRPr="005D642E">
        <w:rPr>
          <w:rtl/>
          <w:lang w:bidi="fa-IR"/>
        </w:rPr>
        <w:t xml:space="preserve"> ، فَلْيَغْتَسِلْ</w:t>
      </w:r>
      <w:r>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2567F4">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341 ، ح 998 ، بطريقين أحدهما عن الكليني ، والآخر عن يونس بن يعقوب. </w:t>
      </w:r>
      <w:r w:rsidR="00E3253D" w:rsidRPr="002F4D34">
        <w:rPr>
          <w:rStyle w:val="libFootnoteBoldChar"/>
          <w:rtl/>
        </w:rPr>
        <w:t>الفقيه</w:t>
      </w:r>
      <w:r w:rsidR="00E3253D" w:rsidRPr="005D642E">
        <w:rPr>
          <w:rtl/>
        </w:rPr>
        <w:t xml:space="preserve"> ، ج 1 ، ص 154 ، ح 429 ، معلّقاً عن أبي النمير مولى الحارث بن المغيرة </w:t>
      </w:r>
      <w:r w:rsidR="00E3253D" w:rsidRPr="002F4D34">
        <w:rPr>
          <w:rStyle w:val="libFootnoteBoldChar"/>
          <w:rtl/>
        </w:rPr>
        <w:t>الوافي</w:t>
      </w:r>
      <w:r w:rsidR="00E3253D" w:rsidRPr="005D642E">
        <w:rPr>
          <w:rtl/>
        </w:rPr>
        <w:t xml:space="preserve"> ، ج 24 ، ص 309 ، ح 24093 ؛ </w:t>
      </w:r>
      <w:r w:rsidR="00E3253D" w:rsidRPr="002F4D34">
        <w:rPr>
          <w:rStyle w:val="libFootnoteBoldChar"/>
          <w:rtl/>
        </w:rPr>
        <w:t>الوسائل</w:t>
      </w:r>
      <w:r w:rsidR="00E3253D" w:rsidRPr="005D642E">
        <w:rPr>
          <w:rtl/>
        </w:rPr>
        <w:t xml:space="preserve"> ، ج 2 ، ص 526 ، ح 2816.</w:t>
      </w:r>
      <w:r w:rsidR="002567F4">
        <w:rPr>
          <w:rFonts w:hint="cs"/>
          <w:rtl/>
        </w:rPr>
        <w:t xml:space="preserve">         </w:t>
      </w:r>
      <w:r w:rsidRPr="0042621E">
        <w:rPr>
          <w:rStyle w:val="libFootnote0Char"/>
          <w:rtl/>
        </w:rPr>
        <w:t>(2).</w:t>
      </w:r>
      <w:r w:rsidR="00E3253D" w:rsidRPr="005D642E">
        <w:rPr>
          <w:rtl/>
        </w:rPr>
        <w:t xml:space="preserve"> في الاستبصار : « على من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108 ، ح 283 ؛ </w:t>
      </w:r>
      <w:r w:rsidR="00E3253D" w:rsidRPr="00E678B5">
        <w:rPr>
          <w:rStyle w:val="libFootnoteBoldChar"/>
          <w:rtl/>
        </w:rPr>
        <w:t>والاستبصار</w:t>
      </w:r>
      <w:r w:rsidR="00E3253D" w:rsidRPr="005D642E">
        <w:rPr>
          <w:rtl/>
        </w:rPr>
        <w:t xml:space="preserve"> ، ج 1 ، ص 99 ، ح 321 ، بسندهما عن الكليني. وفي </w:t>
      </w:r>
      <w:r w:rsidR="00E3253D" w:rsidRPr="002F4D34">
        <w:rPr>
          <w:rStyle w:val="libFootnoteBoldChar"/>
          <w:rtl/>
        </w:rPr>
        <w:t>التهذيب</w:t>
      </w:r>
      <w:r w:rsidR="00E3253D" w:rsidRPr="005D642E">
        <w:rPr>
          <w:rtl/>
        </w:rPr>
        <w:t xml:space="preserve"> ، ج 1 ، ص 429 ، ح 1367 ، بسند آخر ، مع زيادة في آخره ؛ </w:t>
      </w:r>
      <w:r w:rsidR="00E3253D" w:rsidRPr="002F4D34">
        <w:rPr>
          <w:rStyle w:val="libFootnoteBoldChar"/>
          <w:rtl/>
        </w:rPr>
        <w:t>وفيه</w:t>
      </w:r>
      <w:r w:rsidR="00E3253D" w:rsidRPr="005D642E">
        <w:rPr>
          <w:rtl/>
        </w:rPr>
        <w:t xml:space="preserve"> أيضاً ، ح 1365 ، بسند آخر. </w:t>
      </w:r>
      <w:r w:rsidR="00E3253D" w:rsidRPr="002F4D34">
        <w:rPr>
          <w:rStyle w:val="libFootnoteBoldChar"/>
          <w:rtl/>
        </w:rPr>
        <w:t>مسائل عليّ بن جعفر</w:t>
      </w:r>
      <w:r w:rsidR="00E3253D" w:rsidRPr="005D642E">
        <w:rPr>
          <w:rtl/>
        </w:rPr>
        <w:t xml:space="preserve"> ، ص 198 ، ح 426 ؛ </w:t>
      </w:r>
      <w:r w:rsidR="00E3253D" w:rsidRPr="002F4D34">
        <w:rPr>
          <w:rStyle w:val="libFootnoteBoldChar"/>
          <w:rtl/>
        </w:rPr>
        <w:t>الغيبة</w:t>
      </w:r>
      <w:r w:rsidR="00E3253D" w:rsidRPr="005D642E">
        <w:rPr>
          <w:rtl/>
        </w:rPr>
        <w:t xml:space="preserve"> للطوسي ، ص 374 ، مرسلاً عن العالم </w:t>
      </w:r>
      <w:r w:rsidR="00E3253D" w:rsidRPr="0066679A">
        <w:rPr>
          <w:rStyle w:val="libFootnoteAlaemChar"/>
          <w:rtl/>
        </w:rPr>
        <w:t>عليه‌السلام</w:t>
      </w:r>
      <w:r w:rsidR="00E3253D" w:rsidRPr="005D642E">
        <w:rPr>
          <w:rtl/>
        </w:rPr>
        <w:t xml:space="preserve"> </w:t>
      </w:r>
      <w:r w:rsidR="0066679A">
        <w:rPr>
          <w:rtl/>
        </w:rPr>
        <w:t>، وفي كلّها إل</w:t>
      </w:r>
      <w:r w:rsidR="0066679A">
        <w:rPr>
          <w:rFonts w:hint="cs"/>
          <w:rtl/>
        </w:rPr>
        <w:t>ّ</w:t>
      </w:r>
      <w:r w:rsidR="0066679A">
        <w:rPr>
          <w:rtl/>
        </w:rPr>
        <w:t>ا</w:t>
      </w:r>
      <w:r w:rsidR="00E3253D">
        <w:rPr>
          <w:rFonts w:hint="cs"/>
          <w:rtl/>
        </w:rPr>
        <w:t xml:space="preserve"> </w:t>
      </w:r>
      <w:r w:rsidR="00E3253D" w:rsidRPr="005D642E">
        <w:rPr>
          <w:rtl/>
        </w:rPr>
        <w:t xml:space="preserve">الأوّلين ، إلى قوله : « وإذا برد ثمّ مسّه فليغتسل » مع اختلاف يسير. وراجع : </w:t>
      </w:r>
      <w:r w:rsidR="00E3253D" w:rsidRPr="002F4D34">
        <w:rPr>
          <w:rStyle w:val="libFootnoteBoldChar"/>
          <w:rtl/>
        </w:rPr>
        <w:t>التهذيب</w:t>
      </w:r>
      <w:r w:rsidR="00E3253D" w:rsidRPr="005D642E">
        <w:rPr>
          <w:rtl/>
        </w:rPr>
        <w:t xml:space="preserve"> ، ج 1 ، ص 429 ، ح 1368 </w:t>
      </w:r>
      <w:r w:rsidR="0066679A">
        <w:rPr>
          <w:rFonts w:hint="cs"/>
          <w:rtl/>
        </w:rPr>
        <w:t>.</w:t>
      </w:r>
      <w:r w:rsidR="00E3253D" w:rsidRPr="002F4D34">
        <w:rPr>
          <w:rStyle w:val="libFootnoteBoldChar"/>
          <w:rtl/>
        </w:rPr>
        <w:t>الوافي</w:t>
      </w:r>
      <w:r w:rsidR="00E3253D" w:rsidRPr="005D642E">
        <w:rPr>
          <w:rtl/>
        </w:rPr>
        <w:t xml:space="preserve"> ، ج 6 ، ص 427 ، ح 4626 ؛ </w:t>
      </w:r>
      <w:r w:rsidR="00E3253D" w:rsidRPr="002F4D34">
        <w:rPr>
          <w:rStyle w:val="libFootnoteBoldChar"/>
          <w:rtl/>
        </w:rPr>
        <w:t>الوسائل</w:t>
      </w:r>
      <w:r w:rsidR="00E3253D" w:rsidRPr="005D642E">
        <w:rPr>
          <w:rtl/>
        </w:rPr>
        <w:t xml:space="preserve"> ، ج 3 ، ص 292 ، ح 3684.</w:t>
      </w:r>
    </w:p>
    <w:tbl>
      <w:tblPr>
        <w:tblStyle w:val="TableGrid"/>
        <w:bidiVisual/>
        <w:tblW w:w="0" w:type="auto"/>
        <w:tblLook w:val="04A0" w:firstRow="1" w:lastRow="0" w:firstColumn="1" w:lastColumn="0" w:noHBand="0" w:noVBand="1"/>
      </w:tblPr>
      <w:tblGrid>
        <w:gridCol w:w="4006"/>
        <w:gridCol w:w="4006"/>
      </w:tblGrid>
      <w:tr w:rsidR="0066679A" w:rsidTr="0066679A">
        <w:tc>
          <w:tcPr>
            <w:tcW w:w="4006" w:type="dxa"/>
          </w:tcPr>
          <w:p w:rsidR="0066679A" w:rsidRDefault="0066679A" w:rsidP="00E3253D">
            <w:pPr>
              <w:pStyle w:val="libFootnote0"/>
              <w:rPr>
                <w:rStyle w:val="libFootnote0Char"/>
                <w:rtl/>
              </w:rPr>
            </w:pPr>
            <w:r w:rsidRPr="0042621E">
              <w:rPr>
                <w:rStyle w:val="libFootnote0Char"/>
                <w:rtl/>
              </w:rPr>
              <w:t>(4).</w:t>
            </w:r>
            <w:r w:rsidRPr="005D642E">
              <w:rPr>
                <w:rtl/>
              </w:rPr>
              <w:t xml:space="preserve"> في « ظ » :</w:t>
            </w:r>
            <w:r>
              <w:rPr>
                <w:rtl/>
              </w:rPr>
              <w:t xml:space="preserve"> - </w:t>
            </w:r>
            <w:r w:rsidRPr="005D642E">
              <w:rPr>
                <w:rtl/>
              </w:rPr>
              <w:t>« بن يحيى</w:t>
            </w:r>
            <w:r>
              <w:rPr>
                <w:rtl/>
              </w:rPr>
              <w:t xml:space="preserve"> ».</w:t>
            </w:r>
          </w:p>
        </w:tc>
        <w:tc>
          <w:tcPr>
            <w:tcW w:w="4006" w:type="dxa"/>
          </w:tcPr>
          <w:p w:rsidR="0066679A" w:rsidRDefault="0066679A" w:rsidP="00E3253D">
            <w:pPr>
              <w:pStyle w:val="libFootnote0"/>
              <w:rPr>
                <w:rStyle w:val="libFootnote0Char"/>
                <w:rtl/>
              </w:rPr>
            </w:pPr>
            <w:r w:rsidRPr="0042621E">
              <w:rPr>
                <w:rStyle w:val="libFootnote0Char"/>
                <w:rtl/>
              </w:rPr>
              <w:t>(5).</w:t>
            </w:r>
            <w:r w:rsidRPr="005D642E">
              <w:rPr>
                <w:rtl/>
              </w:rPr>
              <w:t xml:space="preserve"> في « بخ » </w:t>
            </w:r>
            <w:r w:rsidRPr="000D749A">
              <w:rPr>
                <w:rStyle w:val="libFootnoteBoldChar"/>
                <w:rtl/>
              </w:rPr>
              <w:t>والوافي</w:t>
            </w:r>
            <w:r w:rsidRPr="005D642E">
              <w:rPr>
                <w:rtl/>
              </w:rPr>
              <w:t xml:space="preserve"> : « برد</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قُلْتُ : فَالَّذِي يُغَسِّلُهُ يَغْتَسِلُ</w:t>
      </w:r>
      <w:r>
        <w:rPr>
          <w:rtl/>
          <w:lang w:bidi="fa-IR"/>
        </w:rPr>
        <w:t>؟</w:t>
      </w:r>
      <w:r w:rsidRPr="005D642E">
        <w:rPr>
          <w:rtl/>
          <w:lang w:bidi="fa-IR"/>
        </w:rPr>
        <w:t xml:space="preserve"> قَالَ : « نَعَمْ</w:t>
      </w:r>
      <w:r>
        <w:rPr>
          <w:rtl/>
          <w:lang w:bidi="fa-IR"/>
        </w:rPr>
        <w:t xml:space="preserve"> ».</w:t>
      </w:r>
    </w:p>
    <w:p w:rsidR="00E3253D" w:rsidRPr="005D642E" w:rsidRDefault="00E3253D" w:rsidP="00E3253D">
      <w:pPr>
        <w:pStyle w:val="libNormal"/>
        <w:rPr>
          <w:rtl/>
          <w:lang w:bidi="fa-IR"/>
        </w:rPr>
      </w:pPr>
      <w:r w:rsidRPr="005D642E">
        <w:rPr>
          <w:rtl/>
          <w:lang w:bidi="fa-IR"/>
        </w:rPr>
        <w:t>قُلْتُ : فَيُغَسِّلُهُ ، ثُمَّ يُكَفِّنُهُ قَبْلَ أَنْ يَغْتَسِلَ</w:t>
      </w:r>
      <w:r>
        <w:rPr>
          <w:rtl/>
          <w:lang w:bidi="fa-IR"/>
        </w:rPr>
        <w:t>؟</w:t>
      </w:r>
      <w:r w:rsidRPr="005D642E">
        <w:rPr>
          <w:rtl/>
          <w:lang w:bidi="fa-IR"/>
        </w:rPr>
        <w:t xml:space="preserve"> قَالَ : « يُغَسِّلُهُ ، ثُمَّ يَغْسِلُ يَدَهُ </w:t>
      </w:r>
      <w:r w:rsidRPr="007C12DB">
        <w:rPr>
          <w:rStyle w:val="libFootnotenumChar"/>
          <w:rtl/>
        </w:rPr>
        <w:t>(1)</w:t>
      </w:r>
      <w:r w:rsidRPr="005D642E">
        <w:rPr>
          <w:rtl/>
          <w:lang w:bidi="fa-IR"/>
        </w:rPr>
        <w:t xml:space="preserve"> مِنَ الْعَاتِقِ </w:t>
      </w:r>
      <w:r w:rsidRPr="007C12DB">
        <w:rPr>
          <w:rStyle w:val="libFootnotenumChar"/>
          <w:rtl/>
        </w:rPr>
        <w:t>(2)</w:t>
      </w:r>
      <w:r w:rsidRPr="005D642E">
        <w:rPr>
          <w:rtl/>
          <w:lang w:bidi="fa-IR"/>
        </w:rPr>
        <w:t xml:space="preserve"> ، ثُمَّ يُلْبِسُهُ أَكْفَانَهُ ، ثُمَّ يَغْتَسِلُ </w:t>
      </w:r>
      <w:r w:rsidRPr="007C12DB">
        <w:rPr>
          <w:rStyle w:val="libFootnotenumChar"/>
          <w:rtl/>
        </w:rPr>
        <w:t>(3)</w:t>
      </w:r>
      <w:r>
        <w:rPr>
          <w:rtl/>
          <w:lang w:bidi="fa-IR"/>
        </w:rPr>
        <w:t xml:space="preserve"> ».</w:t>
      </w:r>
    </w:p>
    <w:p w:rsidR="00E3253D" w:rsidRPr="005D642E" w:rsidRDefault="00E3253D" w:rsidP="00E3253D">
      <w:pPr>
        <w:pStyle w:val="libNormal"/>
        <w:rPr>
          <w:rtl/>
          <w:lang w:bidi="fa-IR"/>
        </w:rPr>
      </w:pPr>
      <w:r w:rsidRPr="005D642E">
        <w:rPr>
          <w:rtl/>
          <w:lang w:bidi="fa-IR"/>
        </w:rPr>
        <w:t>قُلْتُ : فَمَنْ حَمَلَهُ ، عَلَيْهِ غُسْلٌ</w:t>
      </w:r>
      <w:r>
        <w:rPr>
          <w:rtl/>
          <w:lang w:bidi="fa-IR"/>
        </w:rPr>
        <w:t>؟</w:t>
      </w:r>
      <w:r w:rsidRPr="005D642E">
        <w:rPr>
          <w:rtl/>
          <w:lang w:bidi="fa-IR"/>
        </w:rPr>
        <w:t xml:space="preserve"> قَالَ : « لَا</w:t>
      </w:r>
      <w:r>
        <w:rPr>
          <w:rtl/>
          <w:lang w:bidi="fa-IR"/>
        </w:rPr>
        <w:t xml:space="preserve"> ».</w:t>
      </w:r>
    </w:p>
    <w:p w:rsidR="00E3253D" w:rsidRPr="005D642E" w:rsidRDefault="00E3253D" w:rsidP="00D047ED">
      <w:pPr>
        <w:pStyle w:val="libNormal"/>
        <w:rPr>
          <w:rtl/>
          <w:lang w:bidi="fa-IR"/>
        </w:rPr>
      </w:pPr>
      <w:r w:rsidRPr="005D642E">
        <w:rPr>
          <w:rtl/>
          <w:lang w:bidi="fa-IR"/>
        </w:rPr>
        <w:t>قُلْتُ : فَمَنْ أَدْخَلَهُ الْقَبْرَ ، عَلَيْهِ وُضُوءٌ</w:t>
      </w:r>
      <w:r>
        <w:rPr>
          <w:rtl/>
          <w:lang w:bidi="fa-IR"/>
        </w:rPr>
        <w:t>؟</w:t>
      </w:r>
      <w:r w:rsidRPr="005D642E">
        <w:rPr>
          <w:rtl/>
          <w:lang w:bidi="fa-IR"/>
        </w:rPr>
        <w:t xml:space="preserve"> قَالَ : « لَا ، إِل</w:t>
      </w:r>
      <w:r w:rsidR="008849F5">
        <w:rPr>
          <w:rFonts w:hint="cs"/>
          <w:rtl/>
          <w:lang w:bidi="fa-IR"/>
        </w:rPr>
        <w:t>َّ</w:t>
      </w:r>
      <w:r w:rsidRPr="005D642E">
        <w:rPr>
          <w:rtl/>
          <w:lang w:bidi="fa-IR"/>
        </w:rPr>
        <w:t xml:space="preserve">ا أَنَّهُ يَتَوَضَّأُ </w:t>
      </w:r>
      <w:r w:rsidRPr="007C12DB">
        <w:rPr>
          <w:rStyle w:val="libFootnotenumChar"/>
          <w:rtl/>
        </w:rPr>
        <w:t>(4)</w:t>
      </w:r>
      <w:r w:rsidRPr="005D642E">
        <w:rPr>
          <w:rtl/>
          <w:lang w:bidi="fa-IR"/>
        </w:rPr>
        <w:t xml:space="preserve"> مِنْ تُرَابِ الْقَبْرِ إِنْ شَاءَ</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676785">
        <w:rPr>
          <w:rtl/>
        </w:rPr>
        <w:t>4419</w:t>
      </w:r>
      <w:r w:rsidRPr="00246318">
        <w:rPr>
          <w:rStyle w:val="libBold2Char"/>
          <w:rtl/>
        </w:rPr>
        <w:t xml:space="preserve"> / 3.</w:t>
      </w:r>
      <w:r w:rsidRPr="005D642E">
        <w:rPr>
          <w:rtl/>
          <w:lang w:bidi="fa-IR"/>
        </w:rPr>
        <w:t xml:space="preserve"> عِدَّةٌ مِنْ أَصْحَابِنَا ، عَنْ سَهْلِ بْنِ زِيَادٍ ، عَنْ أَحْمَدَ بْنِ مُحَمَّدِ بْنِ أَبِي نَصْرٍ ، عَنْ عَبْدِ اللهِ بْنِ سِنَانٍ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حاشية « بث » </w:t>
      </w:r>
      <w:r w:rsidR="00B60612" w:rsidRPr="00B60612">
        <w:rPr>
          <w:rStyle w:val="libFootnoteBoldChar"/>
          <w:rtl/>
        </w:rPr>
        <w:t>والتهذيب</w:t>
      </w:r>
      <w:r w:rsidR="00E3253D" w:rsidRPr="005D642E">
        <w:rPr>
          <w:rtl/>
        </w:rPr>
        <w:t xml:space="preserve"> : « يديه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العاتق » : موضع الرداء من ال</w:t>
      </w:r>
      <w:r w:rsidR="00471BC1">
        <w:rPr>
          <w:rFonts w:hint="cs"/>
          <w:rtl/>
        </w:rPr>
        <w:t>ـ</w:t>
      </w:r>
      <w:r w:rsidR="00E3253D" w:rsidRPr="005D642E">
        <w:rPr>
          <w:rtl/>
        </w:rPr>
        <w:t xml:space="preserve">مَنْكِب ، يذكّر ويؤنّث. راجع : </w:t>
      </w:r>
      <w:r w:rsidR="00E3253D" w:rsidRPr="002F4D34">
        <w:rPr>
          <w:rStyle w:val="libFootnoteBoldChar"/>
          <w:rtl/>
        </w:rPr>
        <w:t>الصحاح</w:t>
      </w:r>
      <w:r w:rsidR="00E3253D" w:rsidRPr="005D642E">
        <w:rPr>
          <w:rtl/>
        </w:rPr>
        <w:t xml:space="preserve"> ، ج 4 ، ص 1521 ( عتق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الحبل المتين</w:t>
      </w:r>
      <w:r w:rsidR="00E3253D" w:rsidRPr="005D642E">
        <w:rPr>
          <w:rtl/>
        </w:rPr>
        <w:t xml:space="preserve"> ، ص 261 : « قد دلّ الحديث على تأخير غسل المسّ عن التكفين وهوخلاف ما ذكره جماعة من الأصحاب من استحباب تقديمه عليه ، وعلّل في </w:t>
      </w:r>
      <w:r w:rsidR="00E3253D" w:rsidRPr="002F4D34">
        <w:rPr>
          <w:rStyle w:val="libFootnoteBoldChar"/>
          <w:rtl/>
        </w:rPr>
        <w:t>التذكرة</w:t>
      </w:r>
      <w:r w:rsidR="00E3253D" w:rsidRPr="005D642E">
        <w:rPr>
          <w:rtl/>
        </w:rPr>
        <w:t xml:space="preserve"> استحباب تقديم الغسل بأنّه واجب فاستحبّ فوريّته ، واحتمل في </w:t>
      </w:r>
      <w:r w:rsidR="00E3253D" w:rsidRPr="002F4D34">
        <w:rPr>
          <w:rStyle w:val="libFootnoteBoldChar"/>
          <w:rtl/>
        </w:rPr>
        <w:t>الذكرى</w:t>
      </w:r>
      <w:r w:rsidR="00E3253D" w:rsidRPr="005D642E">
        <w:rPr>
          <w:rtl/>
        </w:rPr>
        <w:t xml:space="preserve"> حمل ما تضّمنه هذا الخبر من تأخيره على الضرورة. والحقّ أنّه لاضرورة داعية إلى هذا الحمل ، وأنّه لو قيل باستحباب تأخير غسل المسّ عن التكفين عملاً بهذا الحديث الصحيح الصريح ، لكان وجهاً وسيماً على ما مال إليه الشيخ في </w:t>
      </w:r>
      <w:r w:rsidR="00E3253D" w:rsidRPr="002F4D34">
        <w:rPr>
          <w:rStyle w:val="libFootnoteBoldChar"/>
          <w:rtl/>
        </w:rPr>
        <w:t>التهذيب</w:t>
      </w:r>
      <w:r w:rsidR="00E3253D" w:rsidRPr="005D642E">
        <w:rPr>
          <w:rtl/>
        </w:rPr>
        <w:t xml:space="preserve"> من استحباب الغسل بمسّ من قد غسّل</w:t>
      </w:r>
      <w:r w:rsidR="00E3253D">
        <w:rPr>
          <w:rtl/>
        </w:rPr>
        <w:t xml:space="preserve"> ..</w:t>
      </w:r>
      <w:r w:rsidR="00E3253D" w:rsidRPr="005D642E">
        <w:rPr>
          <w:rtl/>
        </w:rPr>
        <w:t>.</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كذا في المطبوع وحاشية « جت</w:t>
      </w:r>
      <w:r w:rsidR="00E3253D">
        <w:rPr>
          <w:rtl/>
        </w:rPr>
        <w:t xml:space="preserve"> ».</w:t>
      </w:r>
      <w:r w:rsidR="00E3253D" w:rsidRPr="005D642E">
        <w:rPr>
          <w:rtl/>
        </w:rPr>
        <w:t xml:space="preserve"> وفي جميع النسخ التي قوبلت</w:t>
      </w:r>
      <w:r w:rsidR="00E3253D">
        <w:rPr>
          <w:rtl/>
        </w:rPr>
        <w:t xml:space="preserve"> </w:t>
      </w:r>
      <w:r w:rsidR="007642BC">
        <w:rPr>
          <w:rtl/>
        </w:rPr>
        <w:t>-</w:t>
      </w:r>
      <w:r w:rsidR="00E3253D">
        <w:rPr>
          <w:rtl/>
        </w:rPr>
        <w:t xml:space="preserve"> </w:t>
      </w:r>
      <w:r w:rsidR="00B54A22">
        <w:rPr>
          <w:rtl/>
        </w:rPr>
        <w:t>إل</w:t>
      </w:r>
      <w:r w:rsidR="00B54A22">
        <w:rPr>
          <w:rFonts w:hint="cs"/>
          <w:rtl/>
        </w:rPr>
        <w:t>ّ</w:t>
      </w:r>
      <w:r w:rsidR="00B54A22">
        <w:rPr>
          <w:rtl/>
        </w:rPr>
        <w:t>ا</w:t>
      </w:r>
      <w:r w:rsidR="00E3253D" w:rsidRPr="005D642E">
        <w:rPr>
          <w:rtl/>
        </w:rPr>
        <w:t>نسخة « جس » ؛ فإنّها غير واضحة</w:t>
      </w:r>
      <w:r w:rsidR="00E3253D">
        <w:rPr>
          <w:rtl/>
        </w:rPr>
        <w:t xml:space="preserve"> </w:t>
      </w:r>
      <w:r w:rsidR="007642BC">
        <w:rPr>
          <w:rtl/>
        </w:rPr>
        <w:t>-</w:t>
      </w:r>
      <w:r w:rsidR="00E3253D">
        <w:rPr>
          <w:rtl/>
        </w:rPr>
        <w:t xml:space="preserve"> </w:t>
      </w:r>
      <w:r w:rsidR="000D749A" w:rsidRPr="000D749A">
        <w:rPr>
          <w:rStyle w:val="libFootnoteBoldChar"/>
          <w:rtl/>
        </w:rPr>
        <w:t>والوافي</w:t>
      </w:r>
      <w:r w:rsidR="00E3253D" w:rsidRPr="005D642E">
        <w:rPr>
          <w:rtl/>
        </w:rPr>
        <w:t xml:space="preserve"> : « أن يتوضّأ</w:t>
      </w:r>
      <w:r w:rsidR="00E3253D">
        <w:rPr>
          <w:rtl/>
        </w:rPr>
        <w:t xml:space="preserve"> ».</w:t>
      </w:r>
      <w:r w:rsidR="00E3253D" w:rsidRPr="005D642E">
        <w:rPr>
          <w:rtl/>
        </w:rPr>
        <w:t xml:space="preserve"> وقال الشيخ البهائي : « والوضوء في قوله </w:t>
      </w:r>
      <w:r w:rsidR="00E3253D" w:rsidRPr="00B54A22">
        <w:rPr>
          <w:rStyle w:val="libFootnoteAlaemChar"/>
          <w:rtl/>
        </w:rPr>
        <w:t>عليه‌السلام</w:t>
      </w:r>
      <w:r w:rsidR="00E3253D" w:rsidRPr="005D642E">
        <w:rPr>
          <w:rtl/>
        </w:rPr>
        <w:t xml:space="preserve"> </w:t>
      </w:r>
      <w:r w:rsidR="00561B18">
        <w:rPr>
          <w:rtl/>
        </w:rPr>
        <w:t>في آخر الحديث : إل</w:t>
      </w:r>
      <w:r w:rsidR="00561B18">
        <w:rPr>
          <w:rFonts w:hint="cs"/>
          <w:rtl/>
        </w:rPr>
        <w:t>ّ</w:t>
      </w:r>
      <w:r w:rsidR="00561B18">
        <w:rPr>
          <w:rtl/>
        </w:rPr>
        <w:t>ا</w:t>
      </w:r>
      <w:r w:rsidR="00E3253D">
        <w:rPr>
          <w:rFonts w:hint="cs"/>
          <w:rtl/>
        </w:rPr>
        <w:t xml:space="preserve"> </w:t>
      </w:r>
      <w:r w:rsidR="00E3253D" w:rsidRPr="005D642E">
        <w:rPr>
          <w:rtl/>
        </w:rPr>
        <w:t>أن يتوضّأ من تراب القبر ، ل</w:t>
      </w:r>
      <w:r w:rsidR="00232211">
        <w:rPr>
          <w:rtl/>
        </w:rPr>
        <w:t>علّ المراد به غسل اليد ، أي إل</w:t>
      </w:r>
      <w:r w:rsidR="00232211">
        <w:rPr>
          <w:rFonts w:hint="cs"/>
          <w:rtl/>
        </w:rPr>
        <w:t>ّ</w:t>
      </w:r>
      <w:r w:rsidR="00232211">
        <w:rPr>
          <w:rtl/>
        </w:rPr>
        <w:t>ا</w:t>
      </w:r>
      <w:r w:rsidR="00E3253D">
        <w:rPr>
          <w:rFonts w:hint="cs"/>
          <w:rtl/>
        </w:rPr>
        <w:t xml:space="preserve"> </w:t>
      </w:r>
      <w:r w:rsidR="00E3253D" w:rsidRPr="005D642E">
        <w:rPr>
          <w:rtl/>
        </w:rPr>
        <w:t>أن يغسل يده ممّا أصابها من تراب القبر وإطلاق الوضوء على غسل اليد شائع ، وأمّا الحمل على التيمّم بتراب القبر فلا يخلو من بعد</w:t>
      </w:r>
      <w:r w:rsidR="00E3253D">
        <w:rPr>
          <w:rtl/>
        </w:rPr>
        <w:t xml:space="preserve"> ».</w:t>
      </w:r>
      <w:r w:rsidR="00625E28">
        <w:rPr>
          <w:rtl/>
        </w:rPr>
        <w:t xml:space="preserve"> قال العل</w:t>
      </w:r>
      <w:r w:rsidR="00625E28">
        <w:rPr>
          <w:rFonts w:hint="cs"/>
          <w:rtl/>
        </w:rPr>
        <w:t>ّ</w:t>
      </w:r>
      <w:r w:rsidR="00625E28">
        <w:rPr>
          <w:rtl/>
        </w:rPr>
        <w:t>ا</w:t>
      </w:r>
      <w:r w:rsidR="00E3253D" w:rsidRPr="005D642E">
        <w:rPr>
          <w:rtl/>
        </w:rPr>
        <w:t>مة المجلسي : « لأنّ إطلاق الوضوء على التيمّم غير مأنوس ، وأيضاً فلا ثمرة للتخصيص بتراب القبر. ثمّ الظاهر من الخبر أنّ الغاسل هو المقلّب والمشهور أنّه الصابّ ، وتظهر عمدة الفائدة في النيّة والأحوط نيّتهما معاً</w:t>
      </w:r>
      <w:r w:rsidR="00E3253D">
        <w:rPr>
          <w:rtl/>
        </w:rPr>
        <w:t xml:space="preserve"> ».</w:t>
      </w:r>
      <w:r w:rsidR="00593729">
        <w:rPr>
          <w:rtl/>
        </w:rPr>
        <w:t xml:space="preserve"> والعل</w:t>
      </w:r>
      <w:r w:rsidR="00593729">
        <w:rPr>
          <w:rFonts w:hint="cs"/>
          <w:rtl/>
        </w:rPr>
        <w:t>ّ</w:t>
      </w:r>
      <w:r w:rsidR="00593729">
        <w:rPr>
          <w:rtl/>
        </w:rPr>
        <w:t>ا</w:t>
      </w:r>
      <w:r w:rsidR="00E3253D" w:rsidRPr="005D642E">
        <w:rPr>
          <w:rtl/>
        </w:rPr>
        <w:t xml:space="preserve">مة الفيض أيضاً حمله على غسل اليد. راجع : </w:t>
      </w:r>
      <w:r w:rsidR="00E3253D" w:rsidRPr="002F4D34">
        <w:rPr>
          <w:rStyle w:val="libFootnoteBoldChar"/>
          <w:rtl/>
        </w:rPr>
        <w:t>الحبل المتين</w:t>
      </w:r>
      <w:r w:rsidR="00E3253D" w:rsidRPr="005D642E">
        <w:rPr>
          <w:rtl/>
        </w:rPr>
        <w:t xml:space="preserve"> ، ص 262 ؛ </w:t>
      </w:r>
      <w:r w:rsidR="00E3253D" w:rsidRPr="002F4D34">
        <w:rPr>
          <w:rStyle w:val="libFootnoteBoldChar"/>
          <w:rtl/>
        </w:rPr>
        <w:t>مشرق الشمسين</w:t>
      </w:r>
      <w:r w:rsidR="00E3253D" w:rsidRPr="005D642E">
        <w:rPr>
          <w:rtl/>
        </w:rPr>
        <w:t xml:space="preserve"> ، ص 322 ؛ </w:t>
      </w:r>
      <w:r w:rsidR="00E3253D" w:rsidRPr="002F4D34">
        <w:rPr>
          <w:rStyle w:val="libFootnoteBoldChar"/>
          <w:rtl/>
        </w:rPr>
        <w:t>الوافي</w:t>
      </w:r>
      <w:r w:rsidR="00E3253D" w:rsidRPr="005D642E">
        <w:rPr>
          <w:rtl/>
        </w:rPr>
        <w:t xml:space="preserve"> ، ج 6 ، ص 427 ؛ </w:t>
      </w:r>
      <w:r w:rsidR="00E3253D" w:rsidRPr="002F4D34">
        <w:rPr>
          <w:rStyle w:val="libFootnoteBoldChar"/>
          <w:rtl/>
        </w:rPr>
        <w:t>مرآة العقول</w:t>
      </w:r>
      <w:r w:rsidR="00E3253D" w:rsidRPr="005D642E">
        <w:rPr>
          <w:rtl/>
        </w:rPr>
        <w:t xml:space="preserve"> ، ج 13 ، ص 342.</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428 ، ح 1364 ، معلّقاً عن الحسين بن سعيد ، عن صفوان بن يحيى وفضالة ، عن العلاء ، عن محمّد بن مسلم ، مع اختلاف يسير. وراجع : </w:t>
      </w:r>
      <w:r w:rsidR="00E3253D" w:rsidRPr="002F4D34">
        <w:rPr>
          <w:rStyle w:val="libFootnoteBoldChar"/>
          <w:rtl/>
        </w:rPr>
        <w:t>كمال الدين</w:t>
      </w:r>
      <w:r w:rsidR="00E3253D" w:rsidRPr="005D642E">
        <w:rPr>
          <w:rtl/>
        </w:rPr>
        <w:t xml:space="preserve"> ، ص 71 </w:t>
      </w:r>
      <w:r w:rsidR="00924837">
        <w:rPr>
          <w:rFonts w:hint="cs"/>
          <w:rtl/>
        </w:rPr>
        <w:t>.</w:t>
      </w:r>
      <w:r w:rsidR="00381CA6">
        <w:rPr>
          <w:rFonts w:hint="cs"/>
          <w:rtl/>
        </w:rPr>
        <w:t xml:space="preserve"> </w:t>
      </w:r>
      <w:r w:rsidR="00E3253D" w:rsidRPr="002F4D34">
        <w:rPr>
          <w:rStyle w:val="libFootnoteBoldChar"/>
          <w:rtl/>
        </w:rPr>
        <w:t>الوافي</w:t>
      </w:r>
      <w:r w:rsidR="00E3253D" w:rsidRPr="005D642E">
        <w:rPr>
          <w:rtl/>
        </w:rPr>
        <w:t xml:space="preserve"> ، ج 6 ، ص 427 ، ح 4627 ؛ </w:t>
      </w:r>
      <w:r w:rsidR="00E3253D" w:rsidRPr="002F4D34">
        <w:rPr>
          <w:rStyle w:val="libFootnoteBoldChar"/>
          <w:rtl/>
        </w:rPr>
        <w:t>الوسائل</w:t>
      </w:r>
      <w:r w:rsidR="00E3253D" w:rsidRPr="005D642E">
        <w:rPr>
          <w:rtl/>
        </w:rPr>
        <w:t xml:space="preserve"> ، ج 3 ، ص 289 ، ذيل ح 3671 ؛ وص 56 ، ذيل ح 3012.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يَغْتَسِلُ </w:t>
      </w:r>
      <w:r w:rsidRPr="007C12DB">
        <w:rPr>
          <w:rStyle w:val="libFootnotenumChar"/>
          <w:rtl/>
        </w:rPr>
        <w:t>(1)</w:t>
      </w:r>
      <w:r w:rsidRPr="005D642E">
        <w:rPr>
          <w:rtl/>
          <w:lang w:bidi="fa-IR"/>
        </w:rPr>
        <w:t xml:space="preserve"> الَّذِي غَسَّلَ </w:t>
      </w:r>
      <w:r w:rsidRPr="007C12DB">
        <w:rPr>
          <w:rStyle w:val="libFootnotenumChar"/>
          <w:rtl/>
        </w:rPr>
        <w:t>(2)</w:t>
      </w:r>
      <w:r w:rsidRPr="005D642E">
        <w:rPr>
          <w:rtl/>
          <w:lang w:bidi="fa-IR"/>
        </w:rPr>
        <w:t xml:space="preserve"> الْمَيِّتَ ، وَإِنْ قَبَّلَ الْمَيِّتَ إِنْسَانٌ </w:t>
      </w:r>
      <w:r w:rsidRPr="007C12DB">
        <w:rPr>
          <w:rStyle w:val="libFootnotenumChar"/>
          <w:rtl/>
        </w:rPr>
        <w:t>(3)</w:t>
      </w:r>
      <w:r w:rsidRPr="005D642E">
        <w:rPr>
          <w:rtl/>
          <w:lang w:bidi="fa-IR"/>
        </w:rPr>
        <w:t xml:space="preserve"> بَعْدَ مَوْتِهِ </w:t>
      </w:r>
      <w:r w:rsidRPr="007C12DB">
        <w:rPr>
          <w:rStyle w:val="libFootnotenumChar"/>
          <w:rtl/>
        </w:rPr>
        <w:t>(4)</w:t>
      </w:r>
      <w:r w:rsidRPr="005D642E">
        <w:rPr>
          <w:rtl/>
          <w:lang w:bidi="fa-IR"/>
        </w:rPr>
        <w:t xml:space="preserve"> وَهُوَ حَارٌّ ، فَلَيْسَ عَلَيْهِ غُسْلٌ ، وَلكِنْ إِذَا مَسَّهُ وَقَبَّلَهُ وَقَدْ بَرَدَ ، فَعَلَيْهِ‌</w:t>
      </w:r>
      <w:r>
        <w:rPr>
          <w:rFonts w:hint="cs"/>
          <w:rtl/>
          <w:lang w:bidi="fa-IR"/>
        </w:rPr>
        <w:t xml:space="preserve"> </w:t>
      </w:r>
      <w:r w:rsidRPr="005D642E">
        <w:rPr>
          <w:rtl/>
          <w:lang w:bidi="fa-IR"/>
        </w:rPr>
        <w:t xml:space="preserve">الْغُسْلُ ، وَلَابَأْسَ أَنْ يَمَسَّهُ بَعْدَ الْغُسْلِ وَيُقَبِّلَهُ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676785">
        <w:rPr>
          <w:rtl/>
        </w:rPr>
        <w:t>4420</w:t>
      </w:r>
      <w:r w:rsidRPr="00246318">
        <w:rPr>
          <w:rStyle w:val="libBold2Char"/>
          <w:rtl/>
        </w:rPr>
        <w:t xml:space="preserve"> / 4.</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الرَّجُلِ يَمَسُّ الْمِيْتَةَ </w:t>
      </w:r>
      <w:r w:rsidRPr="007C12DB">
        <w:rPr>
          <w:rStyle w:val="libFootnotenumChar"/>
          <w:rtl/>
        </w:rPr>
        <w:t>(7)</w:t>
      </w:r>
      <w:r>
        <w:rPr>
          <w:rtl/>
          <w:lang w:bidi="fa-IR"/>
        </w:rPr>
        <w:t xml:space="preserve"> : أَ</w:t>
      </w:r>
      <w:r w:rsidRPr="005D642E">
        <w:rPr>
          <w:rtl/>
          <w:lang w:bidi="fa-IR"/>
        </w:rPr>
        <w:t xml:space="preserve">يَنْبَغِي لَهُ </w:t>
      </w:r>
      <w:r w:rsidRPr="007C12DB">
        <w:rPr>
          <w:rStyle w:val="libFootnotenumChar"/>
          <w:rtl/>
        </w:rPr>
        <w:t>(8)</w:t>
      </w:r>
      <w:r w:rsidRPr="005D642E">
        <w:rPr>
          <w:rtl/>
          <w:lang w:bidi="fa-IR"/>
        </w:rPr>
        <w:t xml:space="preserve"> أَنْ يَغْتَسِلَ مِنْهَا</w:t>
      </w:r>
      <w:r>
        <w:rPr>
          <w:rtl/>
          <w:lang w:bidi="fa-IR"/>
        </w:rPr>
        <w:t>؟</w:t>
      </w:r>
    </w:p>
    <w:p w:rsidR="00E3253D" w:rsidRPr="005D642E" w:rsidRDefault="00E3253D" w:rsidP="00E3253D">
      <w:pPr>
        <w:pStyle w:val="libNormal"/>
        <w:rPr>
          <w:rtl/>
          <w:lang w:bidi="fa-IR"/>
        </w:rPr>
      </w:pPr>
      <w:r w:rsidRPr="005D642E">
        <w:rPr>
          <w:rtl/>
          <w:lang w:bidi="fa-IR"/>
        </w:rPr>
        <w:t xml:space="preserve">قَالَ : « لَا ، إِنَّمَا ذلِكَ </w:t>
      </w:r>
      <w:r w:rsidRPr="007C12DB">
        <w:rPr>
          <w:rStyle w:val="libFootnotenumChar"/>
          <w:rtl/>
        </w:rPr>
        <w:t>(9)</w:t>
      </w:r>
      <w:r w:rsidRPr="005D642E">
        <w:rPr>
          <w:rtl/>
          <w:lang w:bidi="fa-IR"/>
        </w:rPr>
        <w:t xml:space="preserve"> مِنَ الْإِنْسَانِ وَحْدَهُ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وَسَأَلْتُهُ عَنِ الرَّجُلِ يُصِيبُ ثَوْبُهُ جَسَدَ </w:t>
      </w:r>
      <w:r w:rsidRPr="007C12DB">
        <w:rPr>
          <w:rStyle w:val="libFootnotenumChar"/>
          <w:rtl/>
        </w:rPr>
        <w:t>(10)</w:t>
      </w:r>
      <w:r w:rsidRPr="005D642E">
        <w:rPr>
          <w:rtl/>
          <w:lang w:bidi="fa-IR"/>
        </w:rPr>
        <w:t xml:space="preserve"> الْمَيِّتِ</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معظم النسخ التي قوبلت </w:t>
      </w:r>
      <w:r w:rsidR="00B60612" w:rsidRPr="00B60612">
        <w:rPr>
          <w:rStyle w:val="libFootnoteBoldChar"/>
          <w:rtl/>
        </w:rPr>
        <w:t>والتهذيب</w:t>
      </w:r>
      <w:r w:rsidR="00E3253D" w:rsidRPr="005D642E">
        <w:rPr>
          <w:rtl/>
        </w:rPr>
        <w:t xml:space="preserve"> ، ص 108 </w:t>
      </w:r>
      <w:r w:rsidR="00E3253D" w:rsidRPr="00E678B5">
        <w:rPr>
          <w:rStyle w:val="libFootnoteBoldChar"/>
          <w:rtl/>
        </w:rPr>
        <w:t>والاستبصار</w:t>
      </w:r>
      <w:r w:rsidR="00E3253D" w:rsidRPr="005D642E">
        <w:rPr>
          <w:rtl/>
        </w:rPr>
        <w:t xml:space="preserve"> ، ص 99. وفي « جن » غير واضحة. وفي « جس » والمطبوع : « يغسّل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بخ » : « يغسّل</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ص 108 </w:t>
      </w:r>
      <w:r w:rsidR="00E3253D" w:rsidRPr="00E678B5">
        <w:rPr>
          <w:rStyle w:val="libFootnoteBoldChar"/>
          <w:rtl/>
        </w:rPr>
        <w:t>والاستبصار</w:t>
      </w:r>
      <w:r w:rsidR="00E3253D" w:rsidRPr="005D642E">
        <w:rPr>
          <w:rtl/>
        </w:rPr>
        <w:t xml:space="preserve"> ، ص 99. وفي المطبوع : « إنسان الميّت</w:t>
      </w:r>
      <w:r w:rsidR="00E3253D">
        <w:rPr>
          <w:rtl/>
        </w:rPr>
        <w:t xml:space="preserve"> ».</w:t>
      </w:r>
    </w:p>
    <w:p w:rsidR="00E3253D" w:rsidRPr="005D642E" w:rsidRDefault="0042621E" w:rsidP="00381CA6">
      <w:pPr>
        <w:pStyle w:val="libFootnote0"/>
        <w:rPr>
          <w:rtl/>
          <w:lang w:bidi="fa-IR"/>
        </w:rPr>
      </w:pPr>
      <w:r w:rsidRPr="0042621E">
        <w:rPr>
          <w:rStyle w:val="libFootnote0Char"/>
          <w:rtl/>
        </w:rPr>
        <w:t>(4).</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108 </w:t>
      </w:r>
      <w:r w:rsidR="00E3253D" w:rsidRPr="00E678B5">
        <w:rPr>
          <w:rStyle w:val="libFootnoteBoldChar"/>
          <w:rtl/>
        </w:rPr>
        <w:t>والاستبصار</w:t>
      </w:r>
      <w:r w:rsidR="00E3253D" w:rsidRPr="005D642E">
        <w:rPr>
          <w:rtl/>
        </w:rPr>
        <w:t xml:space="preserve"> ، ص 99. وفي « جس » والمطبوع :</w:t>
      </w:r>
      <w:r w:rsidR="00E3253D">
        <w:rPr>
          <w:rtl/>
        </w:rPr>
        <w:t xml:space="preserve"> </w:t>
      </w:r>
      <w:r w:rsidR="007642BC">
        <w:rPr>
          <w:rtl/>
        </w:rPr>
        <w:t>-</w:t>
      </w:r>
      <w:r w:rsidR="00E3253D">
        <w:rPr>
          <w:rtl/>
        </w:rPr>
        <w:t xml:space="preserve"> </w:t>
      </w:r>
      <w:r w:rsidR="00E3253D" w:rsidRPr="005D642E">
        <w:rPr>
          <w:rtl/>
        </w:rPr>
        <w:t>« بعد موته</w:t>
      </w:r>
      <w:r w:rsidR="00E3253D">
        <w:rPr>
          <w:rtl/>
        </w:rPr>
        <w:t xml:space="preserve"> ».</w:t>
      </w:r>
      <w:r w:rsidR="00381CA6">
        <w:rPr>
          <w:rFonts w:hint="cs"/>
          <w:rtl/>
        </w:rPr>
        <w:t xml:space="preserve">                       </w:t>
      </w:r>
      <w:r w:rsidRPr="0042621E">
        <w:rPr>
          <w:rStyle w:val="libFootnote0Char"/>
          <w:rtl/>
        </w:rPr>
        <w:t>(5).</w:t>
      </w:r>
      <w:r w:rsidR="00E3253D" w:rsidRPr="005D642E">
        <w:rPr>
          <w:rtl/>
        </w:rPr>
        <w:t xml:space="preserve"> في « غ » : « أو يقبّله</w:t>
      </w:r>
      <w:r w:rsidR="00E3253D">
        <w:rPr>
          <w:rtl/>
        </w:rPr>
        <w:t xml:space="preserve"> ».</w:t>
      </w:r>
      <w:r w:rsidR="00E3253D" w:rsidRPr="005D642E">
        <w:rPr>
          <w:rtl/>
        </w:rPr>
        <w:t xml:space="preserve"> وفي « بخ » :</w:t>
      </w:r>
      <w:r w:rsidR="00E3253D">
        <w:rPr>
          <w:rtl/>
        </w:rPr>
        <w:t xml:space="preserve"> </w:t>
      </w:r>
      <w:r w:rsidR="007642BC">
        <w:rPr>
          <w:rtl/>
        </w:rPr>
        <w:t>-</w:t>
      </w:r>
      <w:r w:rsidR="00E3253D">
        <w:rPr>
          <w:rtl/>
        </w:rPr>
        <w:t xml:space="preserve"> </w:t>
      </w:r>
      <w:r w:rsidR="00E3253D" w:rsidRPr="005D642E">
        <w:rPr>
          <w:rtl/>
        </w:rPr>
        <w:t>« ويقبّله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108 ، ح 284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99 ، ح 322 ، بسندهما عن الكليني. وفي </w:t>
      </w:r>
      <w:r w:rsidR="00E3253D" w:rsidRPr="002F4D34">
        <w:rPr>
          <w:rStyle w:val="libFootnoteBoldChar"/>
          <w:rtl/>
        </w:rPr>
        <w:t>التهذيب</w:t>
      </w:r>
      <w:r w:rsidR="00E3253D" w:rsidRPr="005D642E">
        <w:rPr>
          <w:rtl/>
        </w:rPr>
        <w:t xml:space="preserve"> ، ج 1 ، ص 430 ، ح 1372 ، بسنده عن أحمد بن محمّد بن أبي نصر ، وتمام الرواية فيه : « لا بأس بأن يمسّه بعد الغسل ويقبّله</w:t>
      </w:r>
      <w:r w:rsidR="00E3253D">
        <w:rPr>
          <w:rtl/>
        </w:rPr>
        <w:t xml:space="preserve"> ».</w:t>
      </w:r>
      <w:r w:rsidR="00E3253D" w:rsidRPr="005D642E">
        <w:rPr>
          <w:rtl/>
        </w:rPr>
        <w:t xml:space="preserve"> </w:t>
      </w:r>
      <w:r w:rsidR="00E3253D" w:rsidRPr="002F4D34">
        <w:rPr>
          <w:rStyle w:val="libFootnoteBoldChar"/>
          <w:rtl/>
        </w:rPr>
        <w:t>وفيه</w:t>
      </w:r>
      <w:r w:rsidR="00E3253D" w:rsidRPr="005D642E">
        <w:rPr>
          <w:rtl/>
        </w:rPr>
        <w:t xml:space="preserve"> ، ح 1370 ؛ </w:t>
      </w:r>
      <w:r w:rsidR="00E3253D" w:rsidRPr="00E678B5">
        <w:rPr>
          <w:rStyle w:val="libFootnoteBoldChar"/>
          <w:rtl/>
        </w:rPr>
        <w:t>والاستبصار</w:t>
      </w:r>
      <w:r w:rsidR="00E3253D" w:rsidRPr="005D642E">
        <w:rPr>
          <w:rtl/>
        </w:rPr>
        <w:t xml:space="preserve"> ، ج 1 ، ص 100 ، ح 326 ، بسند آخر عن أبي جعفر </w:t>
      </w:r>
      <w:r w:rsidR="00E3253D" w:rsidRPr="00381CA6">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143 ، ح 400 ، مرسلاً عن أبي جعفر </w:t>
      </w:r>
      <w:r w:rsidR="00E3253D" w:rsidRPr="00AF4AE7">
        <w:rPr>
          <w:rStyle w:val="libFootnoteAlaemChar"/>
          <w:rtl/>
        </w:rPr>
        <w:t>عليه‌السلام</w:t>
      </w:r>
      <w:r w:rsidR="00E3253D" w:rsidRPr="005D642E">
        <w:rPr>
          <w:rtl/>
        </w:rPr>
        <w:t xml:space="preserve"> ، وتمام الرواية في الثلاثة الأخيرة هكذا : « مسّ الميّت عند موته وبعد غسله والقبلة ليس به [ في الفقيه : بها ] بأس » </w:t>
      </w:r>
      <w:r w:rsidR="00AF4AE7">
        <w:rPr>
          <w:rFonts w:hint="cs"/>
          <w:rtl/>
        </w:rPr>
        <w:t xml:space="preserve">. </w:t>
      </w:r>
      <w:r w:rsidR="00E3253D" w:rsidRPr="002F4D34">
        <w:rPr>
          <w:rStyle w:val="libFootnoteBoldChar"/>
          <w:rtl/>
        </w:rPr>
        <w:t>الوافي</w:t>
      </w:r>
      <w:r w:rsidR="00E3253D" w:rsidRPr="005D642E">
        <w:rPr>
          <w:rtl/>
        </w:rPr>
        <w:t xml:space="preserve"> ، ج 6 ، ص 428 ، ح 4628 ؛ </w:t>
      </w:r>
      <w:r w:rsidR="00E3253D" w:rsidRPr="002F4D34">
        <w:rPr>
          <w:rStyle w:val="libFootnoteBoldChar"/>
          <w:rtl/>
        </w:rPr>
        <w:t>الوسائل</w:t>
      </w:r>
      <w:r w:rsidR="00E3253D" w:rsidRPr="005D642E">
        <w:rPr>
          <w:rtl/>
        </w:rPr>
        <w:t xml:space="preserve"> ، ج 3 ، ص 293 ، ح 3685.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التي قوبلت</w:t>
      </w:r>
      <w:r w:rsidR="00E3253D">
        <w:rPr>
          <w:rtl/>
        </w:rPr>
        <w:t xml:space="preserve"> </w:t>
      </w:r>
      <w:r w:rsidR="007642BC">
        <w:rPr>
          <w:rtl/>
        </w:rPr>
        <w:t>-</w:t>
      </w:r>
      <w:r w:rsidR="00E3253D">
        <w:rPr>
          <w:rtl/>
        </w:rPr>
        <w:t xml:space="preserve"> </w:t>
      </w:r>
      <w:r w:rsidR="006359ED">
        <w:rPr>
          <w:rtl/>
        </w:rPr>
        <w:t>إل</w:t>
      </w:r>
      <w:r w:rsidR="006359ED">
        <w:rPr>
          <w:rFonts w:hint="cs"/>
          <w:rtl/>
        </w:rPr>
        <w:t>ّ</w:t>
      </w:r>
      <w:r w:rsidR="006359ED">
        <w:rPr>
          <w:rtl/>
        </w:rPr>
        <w:t>ا</w:t>
      </w:r>
      <w:r w:rsidR="00E3253D" w:rsidRPr="005D642E">
        <w:rPr>
          <w:rtl/>
        </w:rPr>
        <w:t>نسخة « جس » ؛ فإنّها غير واضحة</w:t>
      </w:r>
      <w:r w:rsidR="00E3253D">
        <w:rPr>
          <w:rtl/>
        </w:rPr>
        <w:t xml:space="preserve"> </w:t>
      </w:r>
      <w:r w:rsidR="007642BC">
        <w:rPr>
          <w:rtl/>
        </w:rPr>
        <w:t>-</w:t>
      </w:r>
      <w:r w:rsidR="00E3253D">
        <w:rPr>
          <w:rtl/>
        </w:rPr>
        <w:t xml:space="preserve"> </w:t>
      </w:r>
      <w:r w:rsidR="000D749A" w:rsidRPr="000D749A">
        <w:rPr>
          <w:rStyle w:val="libFootnoteBoldChar"/>
          <w:rtl/>
        </w:rPr>
        <w:t>والوافي</w:t>
      </w:r>
      <w:r w:rsidR="00E3253D" w:rsidRPr="005D642E">
        <w:rPr>
          <w:rtl/>
        </w:rPr>
        <w:t xml:space="preserve"> ، ص 431 </w:t>
      </w:r>
      <w:r w:rsidR="00B60612" w:rsidRPr="00B60612">
        <w:rPr>
          <w:rStyle w:val="libFootnoteBoldChar"/>
          <w:rtl/>
        </w:rPr>
        <w:t>والتهذيب</w:t>
      </w:r>
      <w:r w:rsidR="00E3253D" w:rsidRPr="005D642E">
        <w:rPr>
          <w:rtl/>
        </w:rPr>
        <w:t xml:space="preserve"> ، ص 431. وفي المطبوع </w:t>
      </w:r>
      <w:r w:rsidR="00B60612" w:rsidRPr="00B60612">
        <w:rPr>
          <w:rStyle w:val="libFootnoteBoldChar"/>
          <w:rtl/>
        </w:rPr>
        <w:t>والتهذيب</w:t>
      </w:r>
      <w:r w:rsidR="00E3253D" w:rsidRPr="005D642E">
        <w:rPr>
          <w:rtl/>
        </w:rPr>
        <w:t xml:space="preserve"> ، ص 276 </w:t>
      </w:r>
      <w:r w:rsidR="00E3253D" w:rsidRPr="00E678B5">
        <w:rPr>
          <w:rStyle w:val="libFootnoteBoldChar"/>
          <w:rtl/>
        </w:rPr>
        <w:t>والاستبصار</w:t>
      </w:r>
      <w:r w:rsidR="00E3253D" w:rsidRPr="005D642E">
        <w:rPr>
          <w:rtl/>
        </w:rPr>
        <w:t xml:space="preserve"> ، ص 192 : « الميّت</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 ح 4641 </w:t>
      </w:r>
      <w:r w:rsidR="00B60612" w:rsidRPr="00B60612">
        <w:rPr>
          <w:rStyle w:val="libFootnoteBoldChar"/>
          <w:rtl/>
        </w:rPr>
        <w:t>والتهذيب</w:t>
      </w:r>
      <w:r w:rsidR="00E3253D" w:rsidRPr="005D642E">
        <w:rPr>
          <w:rtl/>
        </w:rPr>
        <w:t xml:space="preserve"> ، ص 431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بث ، بح ، بخ ، بس ، جح ، جس » : « ذاك</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بف » : « جلد</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فَقَالَ : « يَغْسِلُ مَا أَصَابَ الثَّوْبَ</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676785">
        <w:rPr>
          <w:rtl/>
        </w:rPr>
        <w:t>4421</w:t>
      </w:r>
      <w:r w:rsidRPr="00246318">
        <w:rPr>
          <w:rStyle w:val="libBold2Char"/>
          <w:rtl/>
        </w:rPr>
        <w:t xml:space="preserve"> / 5.</w:t>
      </w:r>
      <w:r w:rsidRPr="005D642E">
        <w:rPr>
          <w:rtl/>
          <w:lang w:bidi="fa-IR"/>
        </w:rPr>
        <w:t xml:space="preserve"> أَبُو عَلِيٍّ الْأَشْعَرِيُّ ، عَنْ مُحَمَّدِ بْنِ عَبْدِ الْجَبَّارِ ، عَنِ الْحَجَّالِ ، عَنْ ثَعْلَبَةَ ، عَنْ مَعْمَرِ بْنِ يَحْيى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يَنْهى عَنِ الْغُسْلِ إِذَا دَخَلَ </w:t>
      </w:r>
      <w:r w:rsidRPr="007C12DB">
        <w:rPr>
          <w:rStyle w:val="libFootnotenumChar"/>
          <w:rtl/>
        </w:rPr>
        <w:t>(2)</w:t>
      </w:r>
      <w:r w:rsidRPr="005D642E">
        <w:rPr>
          <w:rtl/>
          <w:lang w:bidi="fa-IR"/>
        </w:rPr>
        <w:t xml:space="preserve"> الْقَبْرَ.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676785">
        <w:rPr>
          <w:rtl/>
        </w:rPr>
        <w:t>4422</w:t>
      </w:r>
      <w:r w:rsidRPr="00246318">
        <w:rPr>
          <w:rStyle w:val="libBold2Char"/>
          <w:rtl/>
        </w:rPr>
        <w:t xml:space="preserve"> / 6.</w:t>
      </w:r>
      <w:r w:rsidRPr="005D642E">
        <w:rPr>
          <w:rtl/>
          <w:lang w:bidi="fa-IR"/>
        </w:rPr>
        <w:t xml:space="preserve"> مُحَمَّدُ بْنُ يَحْيى ، عَنْ أَحْمَدَ بْنِ مُحَمَّدٍ ، عَنِ الْحُسَيْنِ بْنِ سَعِيدٍ ، عَنْ فَضَالَةَ بْنِ أَيُّوبَ ، عَنْ إِسْمَاعِيلَ بْنِ أَبِي زِيَادٍ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رَسُولَ اللهِ </w:t>
      </w:r>
      <w:r w:rsidR="0042621E" w:rsidRPr="0042621E">
        <w:rPr>
          <w:rStyle w:val="libAlaemChar"/>
          <w:rtl/>
        </w:rPr>
        <w:t>صلى‌الله‌عليه‌وآله</w:t>
      </w:r>
      <w:r w:rsidRPr="005D642E">
        <w:rPr>
          <w:rtl/>
          <w:lang w:bidi="fa-IR"/>
        </w:rPr>
        <w:t xml:space="preserve"> قَبَّلَ عُثْمَانَ بْنَ مَظْعُونٍ بَعْدَ مَوْتِهِ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676785">
        <w:rPr>
          <w:rtl/>
        </w:rPr>
        <w:t>4423</w:t>
      </w:r>
      <w:r w:rsidRPr="00246318">
        <w:rPr>
          <w:rStyle w:val="libBold2Char"/>
          <w:rtl/>
        </w:rPr>
        <w:t xml:space="preserve"> / 7.</w:t>
      </w:r>
      <w:r w:rsidRPr="005D642E">
        <w:rPr>
          <w:rtl/>
          <w:lang w:bidi="fa-IR"/>
        </w:rPr>
        <w:t xml:space="preserve"> عِدَّةٌ مِنْ أَصْحَابِنَا ، عَنْ سَهْلِ بْنِ زِيَادٍ ، عَنِ الْحَسَنِ بْنِ مَحْبُوبٍ ، عَنْ عَلِيِّ بْنِ رِئَابٍ ، عَنْ إِبْرَاهِيمَ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الرَّجُلِ يَقَعُ طَرَفُ ثَوْبِهِ عَلى جَسَدِ الْمَيِّتِ ، قَالَ : « إِنْ كَانَ </w:t>
      </w:r>
      <w:r w:rsidRPr="007C12DB">
        <w:rPr>
          <w:rStyle w:val="libFootnotenumChar"/>
          <w:rtl/>
        </w:rPr>
        <w:t>(5)</w:t>
      </w:r>
      <w:r w:rsidRPr="005D642E">
        <w:rPr>
          <w:rtl/>
          <w:lang w:bidi="fa-IR"/>
        </w:rPr>
        <w:t xml:space="preserve"> غُسِّلَ الْمَيِّتُ ، فَلَا تَغْسِلْ مَا أَصَابَ ثَوْبَكَ مِنْهُ ، وَإِنْ كَانَ لَمْ يُغَسَّلْ ، فَاغْسِلْ مَا أَصَابَ ثَوْبَكَ مِنْهُ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F01BB6">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276 ، ح 812 ؛ </w:t>
      </w:r>
      <w:r w:rsidR="00E3253D" w:rsidRPr="00E678B5">
        <w:rPr>
          <w:rStyle w:val="libFootnoteBoldChar"/>
          <w:rtl/>
        </w:rPr>
        <w:t>والاستبصار</w:t>
      </w:r>
      <w:r w:rsidR="00E3253D" w:rsidRPr="005D642E">
        <w:rPr>
          <w:rtl/>
        </w:rPr>
        <w:t xml:space="preserve"> ، ج 1 ، ص 192 ، ح 671 ، بسندهما عن الكليني ، من قوله : « قال : وسألته عن الرجل يصيب ثوبه</w:t>
      </w:r>
      <w:r w:rsidR="00E3253D">
        <w:rPr>
          <w:rtl/>
        </w:rPr>
        <w:t xml:space="preserve"> ».</w:t>
      </w:r>
      <w:r w:rsidR="00E3253D" w:rsidRPr="005D642E">
        <w:rPr>
          <w:rtl/>
        </w:rPr>
        <w:t xml:space="preserve"> </w:t>
      </w:r>
      <w:r w:rsidR="00E3253D" w:rsidRPr="002F4D34">
        <w:rPr>
          <w:rStyle w:val="libFootnoteBoldChar"/>
          <w:rtl/>
        </w:rPr>
        <w:t>التهذيب</w:t>
      </w:r>
      <w:r w:rsidR="00E3253D" w:rsidRPr="005D642E">
        <w:rPr>
          <w:rtl/>
        </w:rPr>
        <w:t xml:space="preserve"> ، ج 1 ، ص 431 ، ح 1375 ، معلّقاً عن أحمد بن محمّد ، عن ابن أبي عمير </w:t>
      </w:r>
      <w:r w:rsidR="00E3253D" w:rsidRPr="002F4D34">
        <w:rPr>
          <w:rStyle w:val="libFootnoteBoldChar"/>
          <w:rtl/>
        </w:rPr>
        <w:t>وفيه</w:t>
      </w:r>
      <w:r w:rsidR="00E3253D" w:rsidRPr="005D642E">
        <w:rPr>
          <w:rtl/>
        </w:rPr>
        <w:t xml:space="preserve"> ، ح 1374 ، بسند آخر عن أحدهما </w:t>
      </w:r>
      <w:r w:rsidR="00E3253D" w:rsidRPr="007C1B9A">
        <w:rPr>
          <w:rStyle w:val="libFootnoteAlaemChar"/>
          <w:rtl/>
        </w:rPr>
        <w:t>عليهما‌السلام</w:t>
      </w:r>
      <w:r w:rsidR="00E3253D" w:rsidRPr="005D642E">
        <w:rPr>
          <w:rtl/>
        </w:rPr>
        <w:t xml:space="preserve"> ، مع اختلاف يسير. </w:t>
      </w:r>
      <w:r w:rsidR="00E3253D" w:rsidRPr="002F4D34">
        <w:rPr>
          <w:rStyle w:val="libFootnoteBoldChar"/>
          <w:rtl/>
        </w:rPr>
        <w:t>الفقيه</w:t>
      </w:r>
      <w:r w:rsidR="00E3253D" w:rsidRPr="005D642E">
        <w:rPr>
          <w:rtl/>
        </w:rPr>
        <w:t xml:space="preserve"> ، ج 1 ، ص 143 ، ضمن بيانه ، وفيهما مع اختلاف ، وفي الثلاثة الأخيرة إلى قوله : « إنّما ذلك من الإنسان وحده » </w:t>
      </w:r>
      <w:r w:rsidR="007C1B9A">
        <w:rPr>
          <w:rFonts w:hint="cs"/>
          <w:rtl/>
        </w:rPr>
        <w:t>.</w:t>
      </w:r>
      <w:r w:rsidR="00E3253D" w:rsidRPr="002F4D34">
        <w:rPr>
          <w:rStyle w:val="libFootnoteBoldChar"/>
          <w:rtl/>
        </w:rPr>
        <w:t>الوافي</w:t>
      </w:r>
      <w:r w:rsidR="00E3253D" w:rsidRPr="005D642E">
        <w:rPr>
          <w:rtl/>
        </w:rPr>
        <w:t xml:space="preserve"> ، ج 6 ، ص 208 ، ح 4124 ؛ وص 431 ، ح 4641 ؛ </w:t>
      </w:r>
      <w:r w:rsidR="00E3253D" w:rsidRPr="002F4D34">
        <w:rPr>
          <w:rStyle w:val="libFootnoteBoldChar"/>
          <w:rtl/>
        </w:rPr>
        <w:t>الوسائل</w:t>
      </w:r>
      <w:r w:rsidR="00E3253D" w:rsidRPr="005D642E">
        <w:rPr>
          <w:rtl/>
        </w:rPr>
        <w:t xml:space="preserve"> ، ج 3 ، ص 300 ، ح 3704 ؛ </w:t>
      </w:r>
      <w:r w:rsidR="00E3253D" w:rsidRPr="002F4D34">
        <w:rPr>
          <w:rStyle w:val="libFootnoteBoldChar"/>
          <w:rtl/>
        </w:rPr>
        <w:t>وفيه</w:t>
      </w:r>
      <w:r w:rsidR="00E3253D" w:rsidRPr="005D642E">
        <w:rPr>
          <w:rtl/>
        </w:rPr>
        <w:t xml:space="preserve"> ، ص 462 ، ح 4179 ، من قوله : « قال : وسألته عن الرجل يصيب ثوبه</w:t>
      </w:r>
      <w:r w:rsidR="00E3253D">
        <w:rPr>
          <w:rtl/>
        </w:rPr>
        <w:t xml:space="preserve"> ».</w:t>
      </w:r>
      <w:r w:rsidRPr="0042621E">
        <w:rPr>
          <w:rStyle w:val="libFootnote0Char"/>
          <w:rtl/>
        </w:rPr>
        <w:t>(2).</w:t>
      </w:r>
      <w:r w:rsidR="00E3253D" w:rsidRPr="005D642E">
        <w:rPr>
          <w:rtl/>
        </w:rPr>
        <w:t xml:space="preserve"> في حاشية « بث ، بخ » : « أدخل</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6 ، ص 429 ، ح 4632 ؛ </w:t>
      </w:r>
      <w:r w:rsidR="00E3253D" w:rsidRPr="002F4D34">
        <w:rPr>
          <w:rStyle w:val="libFootnoteBoldChar"/>
          <w:rtl/>
        </w:rPr>
        <w:t>الوسائل</w:t>
      </w:r>
      <w:r w:rsidR="00E3253D" w:rsidRPr="005D642E">
        <w:rPr>
          <w:rtl/>
        </w:rPr>
        <w:t xml:space="preserve"> ، ج 3 ، ص 297 ، ح 3698.</w:t>
      </w:r>
    </w:p>
    <w:p w:rsidR="00E3253D" w:rsidRPr="005D642E" w:rsidRDefault="0042621E" w:rsidP="0099273F">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430 ، ح 1371 ؛ </w:t>
      </w:r>
      <w:r w:rsidR="00E3253D" w:rsidRPr="00E678B5">
        <w:rPr>
          <w:rStyle w:val="libFootnoteBoldChar"/>
          <w:rtl/>
        </w:rPr>
        <w:t>والاستبصار</w:t>
      </w:r>
      <w:r w:rsidR="00E3253D" w:rsidRPr="005D642E">
        <w:rPr>
          <w:rtl/>
        </w:rPr>
        <w:t xml:space="preserve"> ، ج 1 ، ص 100 ، ح 327 ، معلّقاً عن الحسين بن سعيد. </w:t>
      </w:r>
      <w:r w:rsidR="00E3253D" w:rsidRPr="002F4D34">
        <w:rPr>
          <w:rStyle w:val="libFootnoteBoldChar"/>
          <w:rtl/>
        </w:rPr>
        <w:t>الفقيه</w:t>
      </w:r>
      <w:r w:rsidR="00E3253D" w:rsidRPr="005D642E">
        <w:rPr>
          <w:rtl/>
        </w:rPr>
        <w:t xml:space="preserve"> ، ج 1 ، ص 161 ، ح 450 ، مرسلاً </w:t>
      </w:r>
      <w:r w:rsidR="0099273F">
        <w:rPr>
          <w:rFonts w:hint="cs"/>
          <w:rtl/>
        </w:rPr>
        <w:t>.</w:t>
      </w:r>
      <w:r w:rsidR="00E3253D" w:rsidRPr="002F4D34">
        <w:rPr>
          <w:rStyle w:val="libFootnoteBoldChar"/>
          <w:rtl/>
        </w:rPr>
        <w:t>الوافي</w:t>
      </w:r>
      <w:r w:rsidR="00E3253D" w:rsidRPr="005D642E">
        <w:rPr>
          <w:rtl/>
        </w:rPr>
        <w:t xml:space="preserve"> ، ج 25 ، ص 565 ، ح 24670 ؛ </w:t>
      </w:r>
      <w:r w:rsidR="00E3253D" w:rsidRPr="002F4D34">
        <w:rPr>
          <w:rStyle w:val="libFootnoteBoldChar"/>
          <w:rtl/>
        </w:rPr>
        <w:t>الوسائل</w:t>
      </w:r>
      <w:r w:rsidR="00E3253D" w:rsidRPr="005D642E">
        <w:rPr>
          <w:rtl/>
        </w:rPr>
        <w:t xml:space="preserve"> ، ج 3 ، ص 298 ، ح 3700 ؛ </w:t>
      </w:r>
      <w:r w:rsidR="00E3253D" w:rsidRPr="002F4D34">
        <w:rPr>
          <w:rStyle w:val="libFootnoteBoldChar"/>
          <w:rtl/>
        </w:rPr>
        <w:t>البحار</w:t>
      </w:r>
      <w:r w:rsidR="00E3253D" w:rsidRPr="005D642E">
        <w:rPr>
          <w:rtl/>
        </w:rPr>
        <w:t xml:space="preserve"> ، ج 22 ، ص 264 ، ح 4.</w:t>
      </w:r>
      <w:r w:rsidR="0099273F">
        <w:rPr>
          <w:rFonts w:hint="cs"/>
          <w:rtl/>
        </w:rPr>
        <w:t xml:space="preserve">   </w:t>
      </w:r>
      <w:r w:rsidRPr="0042621E">
        <w:rPr>
          <w:rStyle w:val="libFootnote0Char"/>
          <w:rtl/>
        </w:rPr>
        <w:t>(5).</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كان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وإن كان لم يغسّل</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منه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الكافي</w:t>
      </w:r>
      <w:r w:rsidR="00E3253D" w:rsidRPr="005D642E">
        <w:rPr>
          <w:rtl/>
        </w:rPr>
        <w:t xml:space="preserve"> ، كتاب الطهارة ، باب الكلب يصيب الثوب والجسد</w:t>
      </w:r>
      <w:r w:rsidR="00E3253D">
        <w:rPr>
          <w:rtl/>
        </w:rPr>
        <w:t xml:space="preserve"> ..</w:t>
      </w:r>
      <w:r w:rsidR="00E3253D" w:rsidRPr="005D642E">
        <w:rPr>
          <w:rtl/>
        </w:rPr>
        <w:t xml:space="preserve">. ، ح 4100 ، مع زيادة في آخره ؛ </w:t>
      </w:r>
      <w:r w:rsidR="00E3253D" w:rsidRPr="002F4D34">
        <w:rPr>
          <w:rStyle w:val="libFootnoteBoldChar"/>
          <w:rtl/>
        </w:rPr>
        <w:t>التهذيب</w:t>
      </w:r>
      <w:r w:rsidR="00E3253D" w:rsidRPr="005D642E">
        <w:rPr>
          <w:rtl/>
        </w:rPr>
        <w:t xml:space="preserve"> ، </w:t>
      </w:r>
      <w:r w:rsidR="0099273F">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76785">
        <w:rPr>
          <w:rtl/>
        </w:rPr>
        <w:t>4424</w:t>
      </w:r>
      <w:r w:rsidRPr="00246318">
        <w:rPr>
          <w:rStyle w:val="libBold2Char"/>
          <w:rtl/>
        </w:rPr>
        <w:t xml:space="preserve"> / 8.</w:t>
      </w:r>
      <w:r w:rsidRPr="005D642E">
        <w:rPr>
          <w:rtl/>
          <w:lang w:bidi="fa-IR"/>
        </w:rPr>
        <w:t xml:space="preserve"> سَهْلُ بْنُ زِيَادٍ </w:t>
      </w:r>
      <w:r w:rsidRPr="007C12DB">
        <w:rPr>
          <w:rStyle w:val="libFootnotenumChar"/>
          <w:rtl/>
        </w:rPr>
        <w:t>(1)</w:t>
      </w:r>
      <w:r w:rsidRPr="005D642E">
        <w:rPr>
          <w:rtl/>
          <w:lang w:bidi="fa-IR"/>
        </w:rPr>
        <w:t xml:space="preserve"> ، عَنِ ابْنِ أَبِي نَجْرَانَ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w:t>
      </w:r>
      <w:r>
        <w:rPr>
          <w:rtl/>
          <w:lang w:bidi="fa-IR"/>
        </w:rPr>
        <w:t>َالَ : قُلْتُ لَهُ : أَ</w:t>
      </w:r>
      <w:r w:rsidRPr="005D642E">
        <w:rPr>
          <w:rtl/>
          <w:lang w:bidi="fa-IR"/>
        </w:rPr>
        <w:t xml:space="preserve">يَغْتَسِلُ </w:t>
      </w:r>
      <w:r w:rsidRPr="007C12DB">
        <w:rPr>
          <w:rStyle w:val="libFootnotenumChar"/>
          <w:rtl/>
        </w:rPr>
        <w:t>(2)</w:t>
      </w:r>
      <w:r w:rsidRPr="005D642E">
        <w:rPr>
          <w:rtl/>
          <w:lang w:bidi="fa-IR"/>
        </w:rPr>
        <w:t xml:space="preserve"> مَنْ غَسَّلَ الْمَيِّتَ</w:t>
      </w:r>
      <w:r>
        <w:rPr>
          <w:rtl/>
          <w:lang w:bidi="fa-IR"/>
        </w:rPr>
        <w:t>؟</w:t>
      </w:r>
      <w:r w:rsidRPr="005D642E">
        <w:rPr>
          <w:rtl/>
          <w:lang w:bidi="fa-IR"/>
        </w:rPr>
        <w:t xml:space="preserve"> قَالَ : « نَعَمْ</w:t>
      </w:r>
      <w:r>
        <w:rPr>
          <w:rtl/>
          <w:lang w:bidi="fa-IR"/>
        </w:rPr>
        <w:t xml:space="preserve"> ».</w:t>
      </w:r>
    </w:p>
    <w:p w:rsidR="00E3253D" w:rsidRPr="005D642E" w:rsidRDefault="00E3253D" w:rsidP="00E3253D">
      <w:pPr>
        <w:pStyle w:val="libNormal"/>
        <w:rPr>
          <w:rtl/>
          <w:lang w:bidi="fa-IR"/>
        </w:rPr>
      </w:pPr>
      <w:r w:rsidRPr="005D642E">
        <w:rPr>
          <w:rtl/>
          <w:lang w:bidi="fa-IR"/>
        </w:rPr>
        <w:t>قُلْتُ : مَنْ أَدْخَلَهُ الْقَبْرَ</w:t>
      </w:r>
      <w:r>
        <w:rPr>
          <w:rtl/>
          <w:lang w:bidi="fa-IR"/>
        </w:rPr>
        <w:t>؟</w:t>
      </w:r>
      <w:r w:rsidRPr="005D642E">
        <w:rPr>
          <w:rtl/>
          <w:lang w:bidi="fa-IR"/>
        </w:rPr>
        <w:t xml:space="preserve"> قَالَ : « لَا ، إِنَّمَا يَمَسُّ الثِّيَابَ</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350" w:name="_Toc344647327"/>
      <w:bookmarkStart w:id="351" w:name="_Toc462226841"/>
      <w:bookmarkStart w:id="352" w:name="_Toc40975950"/>
      <w:r w:rsidRPr="005D642E">
        <w:rPr>
          <w:rtl/>
          <w:lang w:bidi="fa-IR"/>
        </w:rPr>
        <w:t>32</w:t>
      </w:r>
      <w:r>
        <w:rPr>
          <w:rtl/>
          <w:lang w:bidi="fa-IR"/>
        </w:rPr>
        <w:t xml:space="preserve"> </w:t>
      </w:r>
      <w:r w:rsidR="007642BC">
        <w:rPr>
          <w:rtl/>
          <w:lang w:bidi="fa-IR"/>
        </w:rPr>
        <w:t>-</w:t>
      </w:r>
      <w:r>
        <w:rPr>
          <w:rtl/>
          <w:lang w:bidi="fa-IR"/>
        </w:rPr>
        <w:t xml:space="preserve"> </w:t>
      </w:r>
      <w:r w:rsidRPr="005D642E">
        <w:rPr>
          <w:rtl/>
          <w:lang w:bidi="fa-IR"/>
        </w:rPr>
        <w:t>بَابُ الْعِلَّةِ فِي غُسْلِ الْمَيِّتِ غُسْلَ الْجَنَابَةِ‌</w:t>
      </w:r>
      <w:bookmarkEnd w:id="350"/>
      <w:bookmarkEnd w:id="351"/>
      <w:bookmarkEnd w:id="352"/>
    </w:p>
    <w:p w:rsidR="00E3253D" w:rsidRPr="005D642E" w:rsidRDefault="00E3253D" w:rsidP="00E3253D">
      <w:pPr>
        <w:pStyle w:val="libNormal"/>
        <w:rPr>
          <w:rtl/>
          <w:lang w:bidi="fa-IR"/>
        </w:rPr>
      </w:pPr>
      <w:r w:rsidRPr="00676785">
        <w:rPr>
          <w:rtl/>
        </w:rPr>
        <w:t>4425</w:t>
      </w:r>
      <w:r w:rsidRPr="00246318">
        <w:rPr>
          <w:rStyle w:val="libBold2Char"/>
          <w:rtl/>
        </w:rPr>
        <w:t xml:space="preserve"> / 1.</w:t>
      </w:r>
      <w:r w:rsidRPr="005D642E">
        <w:rPr>
          <w:rtl/>
          <w:lang w:bidi="fa-IR"/>
        </w:rPr>
        <w:t xml:space="preserve"> عَلِيُّ بْنُ مُحَمَّدِ بْنِ عَبْدِ اللهِ ، عَنْ إِبْرَاهِيمَ بْنِ إِسْحَاقَ ، عَنْ مُحَمَّدِ بْنِ سُلَيْمَانَ الدَّيْلَمِيِّ ، عَنْ أَبِيهِ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دَخَلَ عَبْدُ اللهِ بْنُ قَيْسٍ الْمَاصِرُ عَلى أَبِي جَعْفَرٍ </w:t>
      </w:r>
      <w:r w:rsidRPr="00AC51C5">
        <w:rPr>
          <w:rStyle w:val="libAlaemChar"/>
          <w:rtl/>
        </w:rPr>
        <w:t>عليه‌السلام</w:t>
      </w:r>
      <w:r w:rsidRPr="005D642E">
        <w:rPr>
          <w:rtl/>
          <w:lang w:bidi="fa-IR"/>
        </w:rPr>
        <w:t xml:space="preserve"> ،</w:t>
      </w:r>
      <w:r>
        <w:rPr>
          <w:rFonts w:hint="cs"/>
          <w:rtl/>
          <w:lang w:bidi="fa-IR"/>
        </w:rPr>
        <w:t xml:space="preserve"> </w:t>
      </w:r>
      <w:r w:rsidRPr="005D642E">
        <w:rPr>
          <w:rtl/>
          <w:lang w:bidi="fa-IR"/>
        </w:rPr>
        <w:t>فَقَالَ : أَخْبِرْنِي عَنِ الْمَيِّتِ : لِمَ يُغَسَّلُ غُسْلَ الْجَنَابَةِ</w:t>
      </w:r>
      <w:r>
        <w:rPr>
          <w:rtl/>
          <w:lang w:bidi="fa-IR"/>
        </w:rPr>
        <w:t>؟</w:t>
      </w:r>
    </w:p>
    <w:p w:rsidR="00E3253D" w:rsidRPr="005D642E" w:rsidRDefault="00E3253D" w:rsidP="00E3253D">
      <w:pPr>
        <w:pStyle w:val="libNormal"/>
        <w:rPr>
          <w:rtl/>
          <w:lang w:bidi="fa-IR"/>
        </w:rPr>
      </w:pPr>
      <w:r w:rsidRPr="005D642E">
        <w:rPr>
          <w:rtl/>
          <w:lang w:bidi="fa-IR"/>
        </w:rPr>
        <w:t xml:space="preserve">فَقَالَ لَهُ </w:t>
      </w:r>
      <w:r w:rsidRPr="007C12DB">
        <w:rPr>
          <w:rStyle w:val="libFootnotenumChar"/>
          <w:rtl/>
        </w:rPr>
        <w:t>(4)</w:t>
      </w:r>
      <w:r w:rsidRPr="005D642E">
        <w:rPr>
          <w:rtl/>
          <w:lang w:bidi="fa-IR"/>
        </w:rPr>
        <w:t xml:space="preserve"> أَبُو جَعْفَرٍ </w:t>
      </w:r>
      <w:r w:rsidRPr="00AC51C5">
        <w:rPr>
          <w:rStyle w:val="libAlaemChar"/>
          <w:rtl/>
        </w:rPr>
        <w:t>عليه‌السلام</w:t>
      </w:r>
      <w:r w:rsidRPr="005D642E">
        <w:rPr>
          <w:rtl/>
          <w:lang w:bidi="fa-IR"/>
        </w:rPr>
        <w:t xml:space="preserve"> : لَا</w:t>
      </w:r>
      <w:r>
        <w:rPr>
          <w:rFonts w:hint="cs"/>
          <w:rtl/>
          <w:lang w:bidi="fa-IR"/>
        </w:rPr>
        <w:t xml:space="preserve"> </w:t>
      </w:r>
      <w:r w:rsidRPr="005D642E">
        <w:rPr>
          <w:rtl/>
          <w:lang w:bidi="fa-IR"/>
        </w:rPr>
        <w:t>أُخْبِرُكَ ، فَخَرَجَ مِنْ عِنْدِهِ ، فَلَقِيَ بَعْضَ الشِّيعَةِ ، فَقَالَ لَهُ :</w:t>
      </w:r>
      <w:r>
        <w:rPr>
          <w:rFonts w:hint="cs"/>
          <w:rtl/>
          <w:lang w:bidi="fa-IR"/>
        </w:rPr>
        <w:t xml:space="preserve"> </w:t>
      </w:r>
      <w:r w:rsidRPr="005D642E">
        <w:rPr>
          <w:rtl/>
          <w:lang w:bidi="fa-IR"/>
        </w:rPr>
        <w:t xml:space="preserve">الْعَجَبُ لَكُمْ يَا مَعْشَرَ </w:t>
      </w:r>
      <w:r w:rsidRPr="007C12DB">
        <w:rPr>
          <w:rStyle w:val="libFootnotenumChar"/>
          <w:rtl/>
        </w:rPr>
        <w:t>(5)</w:t>
      </w:r>
      <w:r w:rsidRPr="005D642E">
        <w:rPr>
          <w:rtl/>
          <w:lang w:bidi="fa-IR"/>
        </w:rPr>
        <w:t xml:space="preserve"> الشِّيعَةِ ، تَوَلَّيْتُمْ هذَا الرَّجُلَ ، وَأَطَعْتُمُوهُ </w:t>
      </w:r>
      <w:r w:rsidRPr="007C12DB">
        <w:rPr>
          <w:rStyle w:val="libFootnotenumChar"/>
          <w:rtl/>
        </w:rPr>
        <w:t>(6)</w:t>
      </w:r>
      <w:r w:rsidRPr="005D642E">
        <w:rPr>
          <w:rtl/>
          <w:lang w:bidi="fa-IR"/>
        </w:rPr>
        <w:t xml:space="preserve"> ، وَلَوْ </w:t>
      </w:r>
      <w:r w:rsidRPr="007C12DB">
        <w:rPr>
          <w:rStyle w:val="libFootnotenumChar"/>
          <w:rtl/>
        </w:rPr>
        <w:t>(7)</w:t>
      </w:r>
      <w:r w:rsidRPr="005D642E">
        <w:rPr>
          <w:rtl/>
          <w:lang w:bidi="fa-IR"/>
        </w:rPr>
        <w:t xml:space="preserve"> دَعَاكُمْ إِلى عِبَادَتِهِ ، لَأَجَبْتُمُوهُ ، وَقَدْ سَأَلْتُهُ عَنْ مَسْأَلَةٍ ، فَمَا كَانَ عِنْدَهُ فِيهَا شَيْ‌ءٌ.</w:t>
      </w:r>
    </w:p>
    <w:p w:rsidR="00E3253D" w:rsidRPr="005D642E" w:rsidRDefault="00E3253D" w:rsidP="00E3253D">
      <w:pPr>
        <w:pStyle w:val="libNormal"/>
        <w:rPr>
          <w:rtl/>
          <w:lang w:bidi="fa-IR"/>
        </w:rPr>
      </w:pPr>
      <w:r w:rsidRPr="005D642E">
        <w:rPr>
          <w:rtl/>
          <w:lang w:bidi="fa-IR"/>
        </w:rPr>
        <w:t>فَلَمَّا كَانَ مِنْ قَابِلٍ ، دَخَلَ عَلَيْهِ أَيْضاً ، فَسَأَلَهُ عَنْهَا ، فَقَالَ : لَا</w:t>
      </w:r>
      <w:r>
        <w:rPr>
          <w:rFonts w:hint="cs"/>
          <w:rtl/>
          <w:lang w:bidi="fa-IR"/>
        </w:rPr>
        <w:t xml:space="preserve"> </w:t>
      </w:r>
      <w:r w:rsidRPr="005D642E">
        <w:rPr>
          <w:rtl/>
          <w:lang w:bidi="fa-IR"/>
        </w:rPr>
        <w:t>أُخْبِرُكَ بِهَا ، فَقَالَ عَبْدُ اللهِ بْنُ قَيْسٍ لِرَجُلٍ مِنْ أَصْحَابِهِ : انْطَلِقْ إِلَى الشِّيعَةِ ، فَاصْحَبْهُمْ ، وَأَظْهِرْ عِنْدَهُمْ‌</w:t>
      </w:r>
    </w:p>
    <w:p w:rsidR="00E3253D" w:rsidRPr="005D642E" w:rsidRDefault="00E3253D" w:rsidP="00E3253D">
      <w:pPr>
        <w:pStyle w:val="libLine"/>
        <w:rPr>
          <w:rtl/>
          <w:lang w:bidi="fa-IR"/>
        </w:rPr>
      </w:pPr>
      <w:r w:rsidRPr="005D642E">
        <w:rPr>
          <w:rtl/>
          <w:lang w:bidi="fa-IR"/>
        </w:rPr>
        <w:t>__________________</w:t>
      </w:r>
    </w:p>
    <w:p w:rsidR="00E3253D" w:rsidRPr="005D642E" w:rsidRDefault="00A6292D" w:rsidP="00E3253D">
      <w:pPr>
        <w:pStyle w:val="libFootnote0"/>
        <w:rPr>
          <w:rtl/>
          <w:lang w:bidi="fa-IR"/>
        </w:rPr>
      </w:pPr>
      <w:r>
        <w:rPr>
          <w:rFonts w:hint="cs"/>
          <w:rtl/>
        </w:rPr>
        <w:t xml:space="preserve">= </w:t>
      </w:r>
      <w:r w:rsidR="00E3253D" w:rsidRPr="005D642E">
        <w:rPr>
          <w:rtl/>
        </w:rPr>
        <w:t xml:space="preserve">ج 1 ، ص 276 ، ح 811 ، وفيهما بسند آخر عن الحسن بن محبوب. </w:t>
      </w:r>
      <w:r w:rsidR="00E3253D" w:rsidRPr="002F4D34">
        <w:rPr>
          <w:rStyle w:val="libFootnoteBoldChar"/>
          <w:rtl/>
        </w:rPr>
        <w:t>الفقيه</w:t>
      </w:r>
      <w:r w:rsidR="00E3253D" w:rsidRPr="005D642E">
        <w:rPr>
          <w:rtl/>
        </w:rPr>
        <w:t xml:space="preserve"> ، ج 1 ، ص 143 ، ذيل ح 400 ، وفي كلّها مع اختلاف يسير </w:t>
      </w:r>
      <w:r w:rsidR="00C54E0A">
        <w:rPr>
          <w:rFonts w:hint="cs"/>
          <w:rtl/>
        </w:rPr>
        <w:t>.</w:t>
      </w:r>
      <w:r w:rsidR="00E3253D" w:rsidRPr="002F4D34">
        <w:rPr>
          <w:rStyle w:val="libFootnoteBoldChar"/>
          <w:rtl/>
        </w:rPr>
        <w:t>الوافي</w:t>
      </w:r>
      <w:r w:rsidR="00E3253D" w:rsidRPr="005D642E">
        <w:rPr>
          <w:rtl/>
        </w:rPr>
        <w:t xml:space="preserve"> ، ج 6 ، ص 207 ، ح 4123 ؛ </w:t>
      </w:r>
      <w:r w:rsidR="00E3253D" w:rsidRPr="002F4D34">
        <w:rPr>
          <w:rStyle w:val="libFootnoteBoldChar"/>
          <w:rtl/>
        </w:rPr>
        <w:t>الوسائل</w:t>
      </w:r>
      <w:r w:rsidR="00E3253D" w:rsidRPr="005D642E">
        <w:rPr>
          <w:rtl/>
        </w:rPr>
        <w:t xml:space="preserve"> ، ج 3 ، ص 461 ، ذيل ح 4178.</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سهل بن زياد ، عدّة من أصحابنا.</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جس » : « يغتسل » بدون همزة الاستفهام.</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الفقيه</w:t>
      </w:r>
      <w:r w:rsidR="00E3253D" w:rsidRPr="005D642E">
        <w:rPr>
          <w:rtl/>
        </w:rPr>
        <w:t xml:space="preserve"> ، ج 1 ، ص 161 ، ح 448 ، معلّقاً عن سليمان بن خالد ، عن أبي عبدالله </w:t>
      </w:r>
      <w:r w:rsidR="00E3253D" w:rsidRPr="00C54E0A">
        <w:rPr>
          <w:rStyle w:val="libFootnoteAlaemChar"/>
          <w:rtl/>
        </w:rPr>
        <w:t>عليه‌السلام</w:t>
      </w:r>
      <w:r w:rsidR="00E3253D" w:rsidRPr="005D642E">
        <w:rPr>
          <w:rtl/>
        </w:rPr>
        <w:t xml:space="preserve"> ، مع اختلاف يسير </w:t>
      </w:r>
      <w:r w:rsidR="00F025A1">
        <w:rPr>
          <w:rFonts w:hint="cs"/>
          <w:rtl/>
        </w:rPr>
        <w:t>.</w:t>
      </w:r>
      <w:r w:rsidR="00E3253D" w:rsidRPr="002F4D34">
        <w:rPr>
          <w:rStyle w:val="libFootnoteBoldChar"/>
          <w:rtl/>
        </w:rPr>
        <w:t>الوافي</w:t>
      </w:r>
      <w:r w:rsidR="00E3253D" w:rsidRPr="005D642E">
        <w:rPr>
          <w:rtl/>
        </w:rPr>
        <w:t xml:space="preserve"> ، ج 6 ، ص 428 ، ح 4630 ؛ </w:t>
      </w:r>
      <w:r w:rsidR="00E3253D" w:rsidRPr="002F4D34">
        <w:rPr>
          <w:rStyle w:val="libFootnoteBoldChar"/>
          <w:rtl/>
        </w:rPr>
        <w:t>الوسائل</w:t>
      </w:r>
      <w:r w:rsidR="00E3253D" w:rsidRPr="005D642E">
        <w:rPr>
          <w:rtl/>
        </w:rPr>
        <w:t xml:space="preserve"> ، ج 3 ، ص 297 ، ح 3699.</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 « يا معاشر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C6454" w:rsidTr="001C6454">
        <w:tc>
          <w:tcPr>
            <w:tcW w:w="4006" w:type="dxa"/>
          </w:tcPr>
          <w:p w:rsidR="001C6454" w:rsidRDefault="001C6454" w:rsidP="00E3253D">
            <w:pPr>
              <w:pStyle w:val="libFootnote0"/>
              <w:rPr>
                <w:rStyle w:val="libFootnote0Char"/>
                <w:rtl/>
              </w:rPr>
            </w:pPr>
            <w:r w:rsidRPr="0042621E">
              <w:rPr>
                <w:rStyle w:val="libFootnote0Char"/>
                <w:rtl/>
              </w:rPr>
              <w:t>(6).</w:t>
            </w:r>
            <w:r w:rsidRPr="005D642E">
              <w:rPr>
                <w:rtl/>
              </w:rPr>
              <w:t xml:space="preserve"> في الوافي : « فأطعتموه</w:t>
            </w:r>
            <w:r>
              <w:rPr>
                <w:rtl/>
              </w:rPr>
              <w:t xml:space="preserve"> ».</w:t>
            </w:r>
          </w:p>
        </w:tc>
        <w:tc>
          <w:tcPr>
            <w:tcW w:w="4006" w:type="dxa"/>
          </w:tcPr>
          <w:p w:rsidR="001C6454" w:rsidRDefault="001C6454" w:rsidP="00E3253D">
            <w:pPr>
              <w:pStyle w:val="libFootnote0"/>
              <w:rPr>
                <w:rStyle w:val="libFootnote0Char"/>
                <w:rtl/>
              </w:rPr>
            </w:pPr>
            <w:r w:rsidRPr="0042621E">
              <w:rPr>
                <w:rStyle w:val="libFootnote0Char"/>
                <w:rtl/>
              </w:rPr>
              <w:t>(7).</w:t>
            </w:r>
            <w:r>
              <w:rPr>
                <w:rtl/>
              </w:rPr>
              <w:t xml:space="preserve"> في «غ،بث،بح ، بف ،جح</w:t>
            </w:r>
            <w:r w:rsidRPr="005D642E">
              <w:rPr>
                <w:rtl/>
              </w:rPr>
              <w:t xml:space="preserve">» </w:t>
            </w:r>
            <w:r w:rsidRPr="000D749A">
              <w:rPr>
                <w:rStyle w:val="libFootnoteBoldChar"/>
                <w:rtl/>
              </w:rPr>
              <w:t>والوافي</w:t>
            </w:r>
            <w:r w:rsidRPr="005D642E">
              <w:rPr>
                <w:rtl/>
              </w:rPr>
              <w:t xml:space="preserve"> : « فلو</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مُوَالَاتَكَ إِيَّاهُمْ وَلَعْنَتِي </w:t>
      </w:r>
      <w:r w:rsidRPr="007C12DB">
        <w:rPr>
          <w:rStyle w:val="libFootnotenumChar"/>
          <w:rtl/>
        </w:rPr>
        <w:t>(1)</w:t>
      </w:r>
      <w:r w:rsidRPr="005D642E">
        <w:rPr>
          <w:rtl/>
          <w:lang w:bidi="fa-IR"/>
        </w:rPr>
        <w:t xml:space="preserve"> وَالتَّبَرِّيَ مِنِّي ، فَإِذَا كَانَ وَقْتُ الْحَجِّ ، فَأْتِنِي حَتّى أَدْفَعَ إِلَيْكَ مَا تَحُجُّ بِهِ ، وَسَلْهُمْ </w:t>
      </w:r>
      <w:r w:rsidRPr="007C12DB">
        <w:rPr>
          <w:rStyle w:val="libFootnotenumChar"/>
          <w:rtl/>
        </w:rPr>
        <w:t>(2)</w:t>
      </w:r>
      <w:r w:rsidRPr="005D642E">
        <w:rPr>
          <w:rtl/>
          <w:lang w:bidi="fa-IR"/>
        </w:rPr>
        <w:t xml:space="preserve"> أَنْ يُدْخِلُوكَ عَلى مُحَمَّدِ بْنِ عَلِيٍّ ، فَإِذَا صِرْتَ إِلَيْهِ ، فَاسْأَلْهُ </w:t>
      </w:r>
      <w:r w:rsidRPr="007C12DB">
        <w:rPr>
          <w:rStyle w:val="libFootnotenumChar"/>
          <w:rtl/>
        </w:rPr>
        <w:t>(3)</w:t>
      </w:r>
      <w:r w:rsidRPr="005D642E">
        <w:rPr>
          <w:rtl/>
          <w:lang w:bidi="fa-IR"/>
        </w:rPr>
        <w:t xml:space="preserve"> عَنِ الْمَيِّتِ : لِمَ يُغَسَّلُ غُسْلَ الْجَنَابَةِ</w:t>
      </w:r>
      <w:r>
        <w:rPr>
          <w:rtl/>
          <w:lang w:bidi="fa-IR"/>
        </w:rPr>
        <w:t>؟</w:t>
      </w:r>
      <w:r w:rsidRPr="005D642E">
        <w:rPr>
          <w:rtl/>
          <w:lang w:bidi="fa-IR"/>
        </w:rPr>
        <w:t xml:space="preserve"> فَانْطَلَقَ الرَّجُلُ إِلَى الشِّيعَةِ ، فَكَانَ </w:t>
      </w:r>
      <w:r w:rsidRPr="007C12DB">
        <w:rPr>
          <w:rStyle w:val="libFootnotenumChar"/>
          <w:rtl/>
        </w:rPr>
        <w:t>(4)</w:t>
      </w:r>
      <w:r w:rsidRPr="005D642E">
        <w:rPr>
          <w:rtl/>
          <w:lang w:bidi="fa-IR"/>
        </w:rPr>
        <w:t xml:space="preserve"> مَعَهُمْ إِلى وَقْتِ الْمَوْسِمِ ، فَنَظَرَ إِلى دِينِ الْقَوْمِ ، فَقَبِلَهُ بِقَبُولِهِ ، وَكَتَمَ ابْنَ قَيْسٍ أَمْرَهُ مَخَافَةَ أَنْ يُحْرَمَ الْحَجَّ ، فَلَمَّا كَانَ وَقْتُ الْحَجِّ أَتَاهُ ، فَأَعْطَاهُ حَجَّةً </w:t>
      </w:r>
      <w:r w:rsidRPr="007C12DB">
        <w:rPr>
          <w:rStyle w:val="libFootnotenumChar"/>
          <w:rtl/>
        </w:rPr>
        <w:t>(5)</w:t>
      </w:r>
      <w:r w:rsidRPr="005D642E">
        <w:rPr>
          <w:rtl/>
          <w:lang w:bidi="fa-IR"/>
        </w:rPr>
        <w:t xml:space="preserve"> ، وَخَرَجَ.</w:t>
      </w:r>
    </w:p>
    <w:p w:rsidR="00E3253D" w:rsidRPr="005D642E" w:rsidRDefault="00E3253D" w:rsidP="00E3253D">
      <w:pPr>
        <w:pStyle w:val="libNormal"/>
        <w:rPr>
          <w:rtl/>
          <w:lang w:bidi="fa-IR"/>
        </w:rPr>
      </w:pPr>
      <w:r w:rsidRPr="005D642E">
        <w:rPr>
          <w:rtl/>
          <w:lang w:bidi="fa-IR"/>
        </w:rPr>
        <w:t xml:space="preserve">فَلَمَّا صَارَ بِالْمَدِينَةِ ، قَالَ لَهُ أَصْحَابُهُ : تَخَلَّفْ فِي الْمَنْزِلِ حَتّى نَذْكُرَكَ لَهُ ، وَنَسْأَلَهُ لِيَأْذَنَ لَكَ ، فَلَمَّا صَارُوا إِلى أَبِي جَعْفَرٍ </w:t>
      </w:r>
      <w:r w:rsidRPr="00AC51C5">
        <w:rPr>
          <w:rStyle w:val="libAlaemChar"/>
          <w:rtl/>
        </w:rPr>
        <w:t>عليه‌السلام</w:t>
      </w:r>
      <w:r w:rsidRPr="005D642E">
        <w:rPr>
          <w:rtl/>
          <w:lang w:bidi="fa-IR"/>
        </w:rPr>
        <w:t xml:space="preserve"> ، قَالَ لَهُمْ </w:t>
      </w:r>
      <w:r w:rsidRPr="007C12DB">
        <w:rPr>
          <w:rStyle w:val="libFootnotenumChar"/>
          <w:rtl/>
        </w:rPr>
        <w:t>(6)</w:t>
      </w:r>
      <w:r w:rsidRPr="005D642E">
        <w:rPr>
          <w:rtl/>
          <w:lang w:bidi="fa-IR"/>
        </w:rPr>
        <w:t xml:space="preserve"> : أَيْنَ صَاحِبُكُمْ</w:t>
      </w:r>
      <w:r>
        <w:rPr>
          <w:rtl/>
          <w:lang w:bidi="fa-IR"/>
        </w:rPr>
        <w:t>؟</w:t>
      </w:r>
      <w:r w:rsidRPr="005D642E">
        <w:rPr>
          <w:rtl/>
          <w:lang w:bidi="fa-IR"/>
        </w:rPr>
        <w:t xml:space="preserve"> مَا أَنْصَفْتُمُوهُ ، قَالُوا لَمْ نَعْلَمْ </w:t>
      </w:r>
      <w:r w:rsidRPr="007C12DB">
        <w:rPr>
          <w:rStyle w:val="libFootnotenumChar"/>
          <w:rtl/>
        </w:rPr>
        <w:t>(7)</w:t>
      </w:r>
      <w:r w:rsidRPr="005D642E">
        <w:rPr>
          <w:rtl/>
          <w:lang w:bidi="fa-IR"/>
        </w:rPr>
        <w:t xml:space="preserve"> مَا يُوَافِقُكَ </w:t>
      </w:r>
      <w:r w:rsidRPr="007C12DB">
        <w:rPr>
          <w:rStyle w:val="libFootnotenumChar"/>
          <w:rtl/>
        </w:rPr>
        <w:t>(8)</w:t>
      </w:r>
      <w:r w:rsidRPr="005D642E">
        <w:rPr>
          <w:rtl/>
          <w:lang w:bidi="fa-IR"/>
        </w:rPr>
        <w:t xml:space="preserve"> مِنْ ذلِكَ ، فَأَمَرَ بَعْضَ مَنْ حَضَرَ </w:t>
      </w:r>
      <w:r w:rsidRPr="007C12DB">
        <w:rPr>
          <w:rStyle w:val="libFootnotenumChar"/>
          <w:rtl/>
        </w:rPr>
        <w:t>(9)</w:t>
      </w:r>
      <w:r w:rsidRPr="005D642E">
        <w:rPr>
          <w:rtl/>
          <w:lang w:bidi="fa-IR"/>
        </w:rPr>
        <w:t xml:space="preserve"> أَنْ يَأْتِيَهُ بِهِ </w:t>
      </w:r>
      <w:r w:rsidRPr="007C12DB">
        <w:rPr>
          <w:rStyle w:val="libFootnotenumChar"/>
          <w:rtl/>
        </w:rPr>
        <w:t>(10)</w:t>
      </w:r>
      <w:r w:rsidR="004C6350" w:rsidRPr="004C6350">
        <w:rPr>
          <w:rFonts w:hint="cs"/>
          <w:rtl/>
        </w:rPr>
        <w:t>.</w:t>
      </w:r>
    </w:p>
    <w:p w:rsidR="00E3253D" w:rsidRPr="005D642E" w:rsidRDefault="00E3253D" w:rsidP="00E3253D">
      <w:pPr>
        <w:pStyle w:val="libNormal"/>
        <w:rPr>
          <w:rtl/>
          <w:lang w:bidi="fa-IR"/>
        </w:rPr>
      </w:pPr>
      <w:r w:rsidRPr="005D642E">
        <w:rPr>
          <w:rtl/>
          <w:lang w:bidi="fa-IR"/>
        </w:rPr>
        <w:t xml:space="preserve">فَلَمَّا دَخَلَ عَلى أَبِي جَعْفَرٍ </w:t>
      </w:r>
      <w:r w:rsidRPr="00AC51C5">
        <w:rPr>
          <w:rStyle w:val="libAlaemChar"/>
          <w:rtl/>
        </w:rPr>
        <w:t>عليه‌السلام</w:t>
      </w:r>
      <w:r w:rsidRPr="005D642E">
        <w:rPr>
          <w:rtl/>
          <w:lang w:bidi="fa-IR"/>
        </w:rPr>
        <w:t xml:space="preserve"> ، قَالَ لَهُ : مَرْحَباً ، كَيْفَ رَأَيْتَ مَا أَنْتَ فِيهِ الْيَوْمَ مِمَّا كُنْتَ فِيهِ </w:t>
      </w:r>
      <w:r w:rsidRPr="007C12DB">
        <w:rPr>
          <w:rStyle w:val="libFootnotenumChar"/>
          <w:rtl/>
        </w:rPr>
        <w:t>(11)</w:t>
      </w:r>
      <w:r w:rsidRPr="005D642E">
        <w:rPr>
          <w:rtl/>
          <w:lang w:bidi="fa-IR"/>
        </w:rPr>
        <w:t xml:space="preserve"> قَبْلُ</w:t>
      </w:r>
      <w:r>
        <w:rPr>
          <w:rtl/>
          <w:lang w:bidi="fa-IR"/>
        </w:rPr>
        <w:t>؟</w:t>
      </w:r>
      <w:r w:rsidRPr="005D642E">
        <w:rPr>
          <w:rtl/>
          <w:lang w:bidi="fa-IR"/>
        </w:rPr>
        <w:t xml:space="preserve"> فَقَالَ : يَا ابْنَ رَسُولِ اللهِ ، لَمْ أَكُنْ فِي شَيْ‌ءٍ ، فَقَالَ : صَدَقْتَ ، أَمَا إِنَّ عِبَادَتَكَ يَوْمَئِذٍ كَانَتْ أَخَفَّ عَلَيْكَ مِنْ عِبَادَتِكَ الْيَوْمَ ؛ لِأَنَّ الْحَقَّ ثَقِيلٌ </w:t>
      </w:r>
      <w:r w:rsidRPr="007C12DB">
        <w:rPr>
          <w:rStyle w:val="libFootnotenumChar"/>
          <w:rtl/>
        </w:rPr>
        <w:t>(12)</w:t>
      </w:r>
      <w:r w:rsidRPr="005D642E">
        <w:rPr>
          <w:rtl/>
          <w:lang w:bidi="fa-IR"/>
        </w:rPr>
        <w:t xml:space="preserve"> ، وَالشَّيْطَانَ مُوَكَّلٌ </w:t>
      </w:r>
      <w:r w:rsidRPr="007C12DB">
        <w:rPr>
          <w:rStyle w:val="libFootnotenumChar"/>
          <w:rtl/>
        </w:rPr>
        <w:t>(13)</w:t>
      </w:r>
      <w:r w:rsidRPr="005D642E">
        <w:rPr>
          <w:rtl/>
          <w:lang w:bidi="fa-IR"/>
        </w:rPr>
        <w:t xml:space="preserve"> بِشِيعَتِنَا ؛ لِأَنَّ سَائِرَ النَّاسِ قَدْ كَفَوْهُ أَنْفُسَهُمْ ، إِنِّي سَأُخْبِرُكَ بِمَا قَالَ لَكَ ابْنُ قَيْسٍ الْمَاصِرُ قَبْلَ أَنْ تَسْأَلَنِي عَنْهُ ، وَأُصَيِّرُ الْأَمْرَ فِي تَعْرِيفِهِ إِيَّاهُ إِلَيْكَ ، إِنْ شِئْتَ أَخْبَرْتَهُ ، وَإِنْ شِئْتَ لَمْ تُخْبِرْهُ ، إِنَّ اللهَ</w:t>
      </w:r>
      <w:r>
        <w:rPr>
          <w:rtl/>
          <w:lang w:bidi="fa-IR"/>
        </w:rPr>
        <w:t xml:space="preserve"> </w:t>
      </w:r>
      <w:r w:rsidR="007642BC">
        <w:rPr>
          <w:rtl/>
          <w:lang w:bidi="fa-IR"/>
        </w:rPr>
        <w:t>-</w:t>
      </w:r>
      <w:r>
        <w:rPr>
          <w:rtl/>
          <w:lang w:bidi="fa-IR"/>
        </w:rPr>
        <w:t xml:space="preserve"> </w:t>
      </w:r>
      <w:r w:rsidRPr="005D642E">
        <w:rPr>
          <w:rtl/>
          <w:lang w:bidi="fa-IR"/>
        </w:rPr>
        <w:t>عَزَّوَجَلَّ</w:t>
      </w:r>
      <w:r>
        <w:rPr>
          <w:rtl/>
          <w:lang w:bidi="fa-IR"/>
        </w:rPr>
        <w:t xml:space="preserve"> </w:t>
      </w:r>
      <w:r w:rsidR="007642BC">
        <w:rPr>
          <w:rtl/>
          <w:lang w:bidi="fa-IR"/>
        </w:rPr>
        <w:t>-</w:t>
      </w:r>
      <w:r>
        <w:rPr>
          <w:rtl/>
          <w:lang w:bidi="fa-IR"/>
        </w:rPr>
        <w:t xml:space="preserve"> </w:t>
      </w:r>
      <w:r w:rsidRPr="005D642E">
        <w:rPr>
          <w:rtl/>
          <w:lang w:bidi="fa-IR"/>
        </w:rPr>
        <w:t>خَلَقَ خَلاَّقِينَ ، فَإِذَا أَرَادَ أَنْ يَخْلُقَ خَلْقاً ، أَمَرَهُمْ‌</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C6350" w:rsidTr="004C6350">
        <w:tc>
          <w:tcPr>
            <w:tcW w:w="4006" w:type="dxa"/>
          </w:tcPr>
          <w:p w:rsidR="004C6350" w:rsidRDefault="004C6350" w:rsidP="00E3253D">
            <w:pPr>
              <w:pStyle w:val="libFootnote0"/>
              <w:rPr>
                <w:rStyle w:val="libFootnote0Char"/>
                <w:rtl/>
              </w:rPr>
            </w:pPr>
            <w:r w:rsidRPr="0042621E">
              <w:rPr>
                <w:rStyle w:val="libFootnote0Char"/>
                <w:rtl/>
              </w:rPr>
              <w:t>(1).</w:t>
            </w:r>
            <w:r>
              <w:rPr>
                <w:rtl/>
              </w:rPr>
              <w:t xml:space="preserve"> </w:t>
            </w:r>
            <w:r w:rsidRPr="005D642E">
              <w:rPr>
                <w:rtl/>
              </w:rPr>
              <w:t xml:space="preserve">في حاشية « بث » </w:t>
            </w:r>
            <w:r w:rsidRPr="000D749A">
              <w:rPr>
                <w:rStyle w:val="libFootnoteBoldChar"/>
                <w:rtl/>
              </w:rPr>
              <w:t>والوافي</w:t>
            </w:r>
            <w:r w:rsidRPr="005D642E">
              <w:rPr>
                <w:rtl/>
              </w:rPr>
              <w:t xml:space="preserve"> : « ولعني</w:t>
            </w:r>
            <w:r>
              <w:rPr>
                <w:rtl/>
              </w:rPr>
              <w:t xml:space="preserve"> ».</w:t>
            </w:r>
          </w:p>
        </w:tc>
        <w:tc>
          <w:tcPr>
            <w:tcW w:w="4006" w:type="dxa"/>
          </w:tcPr>
          <w:p w:rsidR="004C6350" w:rsidRDefault="004C6350" w:rsidP="004C6350">
            <w:pPr>
              <w:pStyle w:val="libFootnote0"/>
              <w:rPr>
                <w:rStyle w:val="libFootnote0Char"/>
                <w:rtl/>
              </w:rPr>
            </w:pPr>
            <w:r w:rsidRPr="0042621E">
              <w:rPr>
                <w:rStyle w:val="libFootnote0Char"/>
                <w:rtl/>
              </w:rPr>
              <w:t>(2).</w:t>
            </w:r>
            <w:r w:rsidRPr="005D642E">
              <w:rPr>
                <w:rtl/>
              </w:rPr>
              <w:t xml:space="preserve"> في «</w:t>
            </w:r>
            <w:r>
              <w:rPr>
                <w:rtl/>
              </w:rPr>
              <w:t>ظ» وحاشية «بث</w:t>
            </w:r>
            <w:r w:rsidRPr="005D642E">
              <w:rPr>
                <w:rtl/>
              </w:rPr>
              <w:t xml:space="preserve">» </w:t>
            </w:r>
            <w:r w:rsidRPr="000D749A">
              <w:rPr>
                <w:rStyle w:val="libFootnoteBoldChar"/>
                <w:rtl/>
              </w:rPr>
              <w:t>والوافي</w:t>
            </w:r>
            <w:r w:rsidRPr="005D642E">
              <w:rPr>
                <w:rtl/>
              </w:rPr>
              <w:t xml:space="preserve"> : « واسألهم</w:t>
            </w:r>
            <w:r>
              <w:rPr>
                <w:rtl/>
              </w:rPr>
              <w:t xml:space="preserve"> ».</w:t>
            </w:r>
          </w:p>
        </w:tc>
      </w:tr>
      <w:tr w:rsidR="004C6350" w:rsidTr="004C6350">
        <w:tc>
          <w:tcPr>
            <w:tcW w:w="4006" w:type="dxa"/>
          </w:tcPr>
          <w:p w:rsidR="004C6350" w:rsidRDefault="004C6350" w:rsidP="00E3253D">
            <w:pPr>
              <w:pStyle w:val="libFootnote0"/>
              <w:rPr>
                <w:rStyle w:val="libFootnote0Char"/>
                <w:rtl/>
              </w:rPr>
            </w:pPr>
            <w:r w:rsidRPr="0042621E">
              <w:rPr>
                <w:rStyle w:val="libFootnote0Char"/>
                <w:rtl/>
              </w:rPr>
              <w:t>(3).</w:t>
            </w:r>
            <w:r w:rsidRPr="005D642E">
              <w:rPr>
                <w:rtl/>
              </w:rPr>
              <w:t xml:space="preserve"> في « ظ ، بح ، بس ، بف » : « فسله</w:t>
            </w:r>
            <w:r>
              <w:rPr>
                <w:rtl/>
              </w:rPr>
              <w:t xml:space="preserve"> ».</w:t>
            </w:r>
          </w:p>
        </w:tc>
        <w:tc>
          <w:tcPr>
            <w:tcW w:w="4006" w:type="dxa"/>
          </w:tcPr>
          <w:p w:rsidR="004C6350" w:rsidRDefault="00674D47" w:rsidP="00E3253D">
            <w:pPr>
              <w:pStyle w:val="libFootnote0"/>
              <w:rPr>
                <w:rStyle w:val="libFootnote0Char"/>
                <w:rtl/>
              </w:rPr>
            </w:pPr>
            <w:r w:rsidRPr="0042621E">
              <w:rPr>
                <w:rStyle w:val="libFootnote0Char"/>
                <w:rtl/>
              </w:rPr>
              <w:t>(4).</w:t>
            </w:r>
            <w:r w:rsidRPr="005D642E">
              <w:rPr>
                <w:rtl/>
              </w:rPr>
              <w:t xml:space="preserve"> في الوافي : « وكان</w:t>
            </w:r>
            <w:r>
              <w:rPr>
                <w:rtl/>
              </w:rPr>
              <w:t xml:space="preserve"> ».</w:t>
            </w:r>
          </w:p>
        </w:tc>
      </w:tr>
      <w:tr w:rsidR="004C6350" w:rsidTr="004C6350">
        <w:tc>
          <w:tcPr>
            <w:tcW w:w="4006" w:type="dxa"/>
          </w:tcPr>
          <w:p w:rsidR="004C6350" w:rsidRDefault="00674D47" w:rsidP="00E3253D">
            <w:pPr>
              <w:pStyle w:val="libFootnote0"/>
              <w:rPr>
                <w:rStyle w:val="libFootnote0Char"/>
                <w:rtl/>
              </w:rPr>
            </w:pPr>
            <w:r w:rsidRPr="0042621E">
              <w:rPr>
                <w:rStyle w:val="libFootnote0Char"/>
                <w:rtl/>
              </w:rPr>
              <w:t>(5).</w:t>
            </w:r>
            <w:r w:rsidRPr="005D642E">
              <w:rPr>
                <w:rtl/>
              </w:rPr>
              <w:t xml:space="preserve"> في « بخ » :</w:t>
            </w:r>
            <w:r>
              <w:rPr>
                <w:rtl/>
              </w:rPr>
              <w:t xml:space="preserve"> - </w:t>
            </w:r>
            <w:r w:rsidRPr="005D642E">
              <w:rPr>
                <w:rtl/>
              </w:rPr>
              <w:t>« حجّة</w:t>
            </w:r>
            <w:r>
              <w:rPr>
                <w:rtl/>
              </w:rPr>
              <w:t xml:space="preserve"> ».</w:t>
            </w:r>
          </w:p>
        </w:tc>
        <w:tc>
          <w:tcPr>
            <w:tcW w:w="4006" w:type="dxa"/>
          </w:tcPr>
          <w:p w:rsidR="004C6350" w:rsidRDefault="00674D47" w:rsidP="00E3253D">
            <w:pPr>
              <w:pStyle w:val="libFootnote0"/>
              <w:rPr>
                <w:rStyle w:val="libFootnote0Char"/>
                <w:rtl/>
              </w:rPr>
            </w:pPr>
            <w:r w:rsidRPr="0042621E">
              <w:rPr>
                <w:rStyle w:val="libFootnote0Char"/>
                <w:rtl/>
              </w:rPr>
              <w:t>(6).</w:t>
            </w:r>
            <w:r w:rsidRPr="005D642E">
              <w:rPr>
                <w:rtl/>
              </w:rPr>
              <w:t xml:space="preserve"> في البحار ، ج 46 : « لهما</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بف » : « لو نعلم</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بخ » </w:t>
      </w:r>
      <w:r w:rsidR="000D749A" w:rsidRPr="000D749A">
        <w:rPr>
          <w:rStyle w:val="libFootnoteBoldChar"/>
          <w:rtl/>
        </w:rPr>
        <w:t>والوافي</w:t>
      </w:r>
      <w:r w:rsidR="00E3253D" w:rsidRPr="005D642E">
        <w:rPr>
          <w:rtl/>
        </w:rPr>
        <w:t xml:space="preserve"> : « بما يوافقك</w:t>
      </w:r>
      <w:r w:rsidR="00E3253D">
        <w:rPr>
          <w:rtl/>
        </w:rPr>
        <w:t xml:space="preserve"> ».</w:t>
      </w:r>
      <w:r w:rsidR="00E3253D" w:rsidRPr="005D642E">
        <w:rPr>
          <w:rtl/>
        </w:rPr>
        <w:t xml:space="preserve"> وفي البحار ، ج 46 : « ما يوافق</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بح ، جح ، جس ، جن » : « من يأتيه</w:t>
      </w:r>
      <w:r w:rsidR="00E3253D">
        <w:rPr>
          <w:rtl/>
        </w:rPr>
        <w:t xml:space="preserve"> ».</w:t>
      </w:r>
      <w:r w:rsidR="00E3253D" w:rsidRPr="005D642E">
        <w:rPr>
          <w:rtl/>
        </w:rPr>
        <w:t xml:space="preserve"> وفي حاشية « ظ » : « من حضره</w:t>
      </w:r>
      <w:r w:rsidR="00E3253D">
        <w:rPr>
          <w:rtl/>
        </w:rPr>
        <w:t xml:space="preserve"> ».</w:t>
      </w:r>
    </w:p>
    <w:p w:rsidR="00E3253D" w:rsidRPr="005D642E" w:rsidRDefault="0042621E" w:rsidP="00E20441">
      <w:pPr>
        <w:pStyle w:val="libFootnote0"/>
        <w:rPr>
          <w:rtl/>
          <w:lang w:bidi="fa-IR"/>
        </w:rPr>
      </w:pPr>
      <w:r w:rsidRPr="0042621E">
        <w:rPr>
          <w:rStyle w:val="libFootnote0Char"/>
          <w:rtl/>
        </w:rPr>
        <w:t>(10).</w:t>
      </w:r>
      <w:r w:rsidR="00E3253D" w:rsidRPr="005D642E">
        <w:rPr>
          <w:rtl/>
        </w:rPr>
        <w:t xml:space="preserve"> في « ظ ، ى » وحاشية « بخ » : « من يأتيه أن يأتيه » بدل « من حضر أن يأتيه به</w:t>
      </w:r>
      <w:r w:rsidR="00E3253D">
        <w:rPr>
          <w:rtl/>
        </w:rPr>
        <w:t xml:space="preserve"> ».</w:t>
      </w:r>
      <w:r w:rsidR="00E3253D" w:rsidRPr="005D642E">
        <w:rPr>
          <w:rtl/>
        </w:rPr>
        <w:t xml:space="preserve"> وفي « بخ » : « أن يأتوا به » بدل « أن يأتيه به</w:t>
      </w:r>
      <w:r w:rsidR="00E3253D">
        <w:rPr>
          <w:rtl/>
        </w:rPr>
        <w:t xml:space="preserve"> ».</w:t>
      </w:r>
      <w:r w:rsidR="00E20441">
        <w:rPr>
          <w:rFonts w:hint="cs"/>
          <w:rtl/>
        </w:rPr>
        <w:t xml:space="preserve">                          </w:t>
      </w:r>
      <w:r w:rsidRPr="0042621E">
        <w:rPr>
          <w:rStyle w:val="libFootnote0Char"/>
          <w:rtl/>
        </w:rPr>
        <w:t>(11).</w:t>
      </w:r>
      <w:r w:rsidR="00E3253D" w:rsidRPr="005D642E">
        <w:rPr>
          <w:rtl/>
        </w:rPr>
        <w:t xml:space="preserve"> في « ى ، بح » : « من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2E3448" w:rsidTr="002E3448">
        <w:tc>
          <w:tcPr>
            <w:tcW w:w="4006" w:type="dxa"/>
          </w:tcPr>
          <w:p w:rsidR="002E3448" w:rsidRDefault="002E3448" w:rsidP="00E3253D">
            <w:pPr>
              <w:pStyle w:val="libFootnote0"/>
              <w:rPr>
                <w:rStyle w:val="libFootnote0Char"/>
                <w:rtl/>
              </w:rPr>
            </w:pPr>
            <w:r w:rsidRPr="0042621E">
              <w:rPr>
                <w:rStyle w:val="libFootnote0Char"/>
                <w:rtl/>
              </w:rPr>
              <w:t>(12).</w:t>
            </w:r>
            <w:r w:rsidRPr="005D642E">
              <w:rPr>
                <w:rtl/>
              </w:rPr>
              <w:t xml:space="preserve"> في الوافي : « يثقل</w:t>
            </w:r>
            <w:r>
              <w:rPr>
                <w:rtl/>
              </w:rPr>
              <w:t xml:space="preserve"> ».</w:t>
            </w:r>
          </w:p>
        </w:tc>
        <w:tc>
          <w:tcPr>
            <w:tcW w:w="4006" w:type="dxa"/>
          </w:tcPr>
          <w:p w:rsidR="002E3448" w:rsidRDefault="002E3448" w:rsidP="00E3253D">
            <w:pPr>
              <w:pStyle w:val="libFootnote0"/>
              <w:rPr>
                <w:rStyle w:val="libFootnote0Char"/>
                <w:rtl/>
              </w:rPr>
            </w:pPr>
            <w:r w:rsidRPr="0042621E">
              <w:rPr>
                <w:rStyle w:val="libFootnote0Char"/>
                <w:rtl/>
              </w:rPr>
              <w:t>(13).</w:t>
            </w:r>
            <w:r w:rsidRPr="005D642E">
              <w:rPr>
                <w:rtl/>
              </w:rPr>
              <w:t xml:space="preserve"> في « بث » : « يوكّل</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فَأَخَذُوا مِنَ التُّرْبَةِ الَّتِي قَالَ </w:t>
      </w:r>
      <w:r w:rsidRPr="007C12DB">
        <w:rPr>
          <w:rStyle w:val="libFootnotenumChar"/>
          <w:rtl/>
        </w:rPr>
        <w:t>(1)</w:t>
      </w:r>
      <w:r w:rsidRPr="005D642E">
        <w:rPr>
          <w:rtl/>
          <w:lang w:bidi="fa-IR"/>
        </w:rPr>
        <w:t xml:space="preserve"> فِي كِتَابِهِ : </w:t>
      </w:r>
      <w:r w:rsidRPr="00AC51C5">
        <w:rPr>
          <w:rStyle w:val="libAlaemChar"/>
          <w:rtl/>
        </w:rPr>
        <w:t>(</w:t>
      </w:r>
      <w:r w:rsidRPr="00AC51C5">
        <w:rPr>
          <w:rStyle w:val="libAieChar"/>
          <w:rtl/>
        </w:rPr>
        <w:t xml:space="preserve"> مِنْها خَلَقْناكُمْ وَفِيها نُعِيدُكُمْ وَمِنْها نُخْرِجُكُمْ تارَةً أُخْرى </w:t>
      </w:r>
      <w:r w:rsidRPr="00AC51C5">
        <w:rPr>
          <w:rStyle w:val="libAlaemChar"/>
          <w:rtl/>
        </w:rPr>
        <w:t>)</w:t>
      </w:r>
      <w:r w:rsidRPr="005D642E">
        <w:rPr>
          <w:rtl/>
          <w:lang w:bidi="fa-IR"/>
        </w:rPr>
        <w:t xml:space="preserve"> </w:t>
      </w:r>
      <w:r w:rsidRPr="007C12DB">
        <w:rPr>
          <w:rStyle w:val="libFootnotenumChar"/>
          <w:rtl/>
        </w:rPr>
        <w:t>(2)</w:t>
      </w:r>
      <w:r w:rsidRPr="005D642E">
        <w:rPr>
          <w:rtl/>
          <w:lang w:bidi="fa-IR"/>
        </w:rPr>
        <w:t xml:space="preserve"> فَعَجَنَ النُّطْفَةَ بِتِلْكَ التُّرْبَةِ الَّتِي يَخْلُقُ مِنْهَا بَعْدَ أَنْ أَسْكَنَهَا </w:t>
      </w:r>
      <w:r w:rsidRPr="007C12DB">
        <w:rPr>
          <w:rStyle w:val="libFootnotenumChar"/>
          <w:rtl/>
        </w:rPr>
        <w:t>(3)</w:t>
      </w:r>
      <w:r w:rsidRPr="005D642E">
        <w:rPr>
          <w:rtl/>
          <w:lang w:bidi="fa-IR"/>
        </w:rPr>
        <w:t xml:space="preserve"> الرَّحِمَ أَرْبَعِينَ لَيْلَةً ، فَإِذَا تَمَّتْ لَهَا </w:t>
      </w:r>
      <w:r w:rsidRPr="007C12DB">
        <w:rPr>
          <w:rStyle w:val="libFootnotenumChar"/>
          <w:rtl/>
        </w:rPr>
        <w:t>(4)</w:t>
      </w:r>
      <w:r w:rsidRPr="005D642E">
        <w:rPr>
          <w:rtl/>
          <w:lang w:bidi="fa-IR"/>
        </w:rPr>
        <w:t xml:space="preserve"> أَرْبَعَةُ أَشْهُرٍ ، قَالُوا : يَا رَبِّ ، نَخْلُقُ </w:t>
      </w:r>
      <w:r w:rsidRPr="007C12DB">
        <w:rPr>
          <w:rStyle w:val="libFootnotenumChar"/>
          <w:rtl/>
        </w:rPr>
        <w:t>(5)</w:t>
      </w:r>
      <w:r w:rsidRPr="005D642E">
        <w:rPr>
          <w:rtl/>
          <w:lang w:bidi="fa-IR"/>
        </w:rPr>
        <w:t xml:space="preserve"> مَا ذَا</w:t>
      </w:r>
      <w:r>
        <w:rPr>
          <w:rtl/>
          <w:lang w:bidi="fa-IR"/>
        </w:rPr>
        <w:t>؟</w:t>
      </w:r>
      <w:r w:rsidRPr="005D642E">
        <w:rPr>
          <w:rtl/>
          <w:lang w:bidi="fa-IR"/>
        </w:rPr>
        <w:t xml:space="preserve"> فَيَأْمُرُهُمْ بِمَا يُرِيدُ : مِنْ</w:t>
      </w:r>
      <w:r>
        <w:rPr>
          <w:rFonts w:hint="cs"/>
          <w:rtl/>
          <w:lang w:bidi="fa-IR"/>
        </w:rPr>
        <w:t xml:space="preserve"> </w:t>
      </w:r>
      <w:r w:rsidRPr="005D642E">
        <w:rPr>
          <w:rtl/>
          <w:lang w:bidi="fa-IR"/>
        </w:rPr>
        <w:t xml:space="preserve">ذَكَرٍ أَوْ أُنْثى ، أَبْيَضَ أَوْ أَسْوَدَ ، فَإِذَا خَرَجَتِ الرُّوحُ مِنَ الْبَدَنِ ، خَرَجَتْ هذِهِ النُّطْفَةُ </w:t>
      </w:r>
      <w:r w:rsidRPr="007C12DB">
        <w:rPr>
          <w:rStyle w:val="libFootnotenumChar"/>
          <w:rtl/>
        </w:rPr>
        <w:t>(6)</w:t>
      </w:r>
      <w:r w:rsidRPr="005D642E">
        <w:rPr>
          <w:rtl/>
          <w:lang w:bidi="fa-IR"/>
        </w:rPr>
        <w:t xml:space="preserve"> بِعَيْنِهَا مِنْهُ ، كَائِناً مَا كَانَ ، صَغِيراً أَوْ كَبِيراً ، ذَكَراً أَوْ أُنْثى </w:t>
      </w:r>
      <w:r w:rsidRPr="007C12DB">
        <w:rPr>
          <w:rStyle w:val="libFootnotenumChar"/>
          <w:rtl/>
        </w:rPr>
        <w:t>(7)</w:t>
      </w:r>
      <w:r w:rsidRPr="005D642E">
        <w:rPr>
          <w:rtl/>
          <w:lang w:bidi="fa-IR"/>
        </w:rPr>
        <w:t xml:space="preserve"> ، فَلِذلِكَ يُغَسَّلُ الْمَيِّتُ </w:t>
      </w:r>
      <w:r w:rsidRPr="007C12DB">
        <w:rPr>
          <w:rStyle w:val="libFootnotenumChar"/>
          <w:rtl/>
        </w:rPr>
        <w:t>(8)</w:t>
      </w:r>
      <w:r w:rsidRPr="005D642E">
        <w:rPr>
          <w:rtl/>
          <w:lang w:bidi="fa-IR"/>
        </w:rPr>
        <w:t xml:space="preserve"> غُسْلَ الْجَنَابَةِ ، فَقَالَ الرَّجُلُ : يَا ابْنَ رَسُولِ اللهِ ، لَاوَ اللهِ </w:t>
      </w:r>
      <w:r w:rsidRPr="007C12DB">
        <w:rPr>
          <w:rStyle w:val="libFootnotenumChar"/>
          <w:rtl/>
        </w:rPr>
        <w:t>(9)</w:t>
      </w:r>
      <w:r w:rsidRPr="005D642E">
        <w:rPr>
          <w:rtl/>
          <w:lang w:bidi="fa-IR"/>
        </w:rPr>
        <w:t xml:space="preserve"> ، مَا أُخْبِرُ </w:t>
      </w:r>
      <w:r w:rsidRPr="007C12DB">
        <w:rPr>
          <w:rStyle w:val="libFootnotenumChar"/>
          <w:rtl/>
        </w:rPr>
        <w:t>(10)</w:t>
      </w:r>
      <w:r w:rsidRPr="005D642E">
        <w:rPr>
          <w:rtl/>
          <w:lang w:bidi="fa-IR"/>
        </w:rPr>
        <w:t xml:space="preserve"> ابْنَ قَيْسٍ الْمَاصِرَ بِهذَا </w:t>
      </w:r>
      <w:r w:rsidRPr="007C12DB">
        <w:rPr>
          <w:rStyle w:val="libFootnotenumChar"/>
          <w:rtl/>
        </w:rPr>
        <w:t>(11)</w:t>
      </w:r>
      <w:r w:rsidRPr="005D642E">
        <w:rPr>
          <w:rtl/>
          <w:lang w:bidi="fa-IR"/>
        </w:rPr>
        <w:t xml:space="preserve"> أَبَداً ، فَقَالَ : ذلِكَ </w:t>
      </w:r>
      <w:r w:rsidRPr="007C12DB">
        <w:rPr>
          <w:rStyle w:val="libFootnotenumChar"/>
          <w:rtl/>
        </w:rPr>
        <w:t>(12)</w:t>
      </w:r>
      <w:r w:rsidRPr="005D642E">
        <w:rPr>
          <w:rtl/>
          <w:lang w:bidi="fa-IR"/>
        </w:rPr>
        <w:t xml:space="preserve"> إِلَيْكَ</w:t>
      </w:r>
      <w:r>
        <w:rPr>
          <w:rtl/>
          <w:lang w:bidi="fa-IR"/>
        </w:rPr>
        <w:t xml:space="preserve"> ».</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Normal"/>
        <w:rPr>
          <w:rtl/>
          <w:lang w:bidi="fa-IR"/>
        </w:rPr>
      </w:pPr>
      <w:r w:rsidRPr="00676785">
        <w:rPr>
          <w:rtl/>
        </w:rPr>
        <w:t>4426</w:t>
      </w:r>
      <w:r w:rsidRPr="00246318">
        <w:rPr>
          <w:rStyle w:val="libBold2Char"/>
          <w:rtl/>
        </w:rPr>
        <w:t xml:space="preserve"> / 2.</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 مَا بَالُ الْمَيِّتِ يُمْنِي </w:t>
      </w:r>
      <w:r w:rsidRPr="007C12DB">
        <w:rPr>
          <w:rStyle w:val="libFootnotenumChar"/>
          <w:rtl/>
        </w:rPr>
        <w:t>(14)</w:t>
      </w:r>
      <w:r>
        <w:rPr>
          <w:rtl/>
          <w:lang w:bidi="fa-IR"/>
        </w:rPr>
        <w:t>؟</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C3093" w:rsidTr="003C3093">
        <w:tc>
          <w:tcPr>
            <w:tcW w:w="4006" w:type="dxa"/>
          </w:tcPr>
          <w:p w:rsidR="003C3093" w:rsidRDefault="003C3093" w:rsidP="00E3253D">
            <w:pPr>
              <w:pStyle w:val="libFootnote0"/>
              <w:rPr>
                <w:rStyle w:val="libFootnote0Char"/>
                <w:rtl/>
              </w:rPr>
            </w:pPr>
            <w:r w:rsidRPr="0042621E">
              <w:rPr>
                <w:rStyle w:val="libFootnote0Char"/>
                <w:rtl/>
              </w:rPr>
              <w:t>(1).</w:t>
            </w:r>
            <w:r>
              <w:rPr>
                <w:rtl/>
              </w:rPr>
              <w:t xml:space="preserve"> </w:t>
            </w:r>
            <w:r w:rsidRPr="005D642E">
              <w:rPr>
                <w:rtl/>
              </w:rPr>
              <w:t>في « بث » : + « الله</w:t>
            </w:r>
            <w:r>
              <w:rPr>
                <w:rtl/>
              </w:rPr>
              <w:t xml:space="preserve"> ».</w:t>
            </w:r>
          </w:p>
        </w:tc>
        <w:tc>
          <w:tcPr>
            <w:tcW w:w="4006" w:type="dxa"/>
          </w:tcPr>
          <w:p w:rsidR="003C3093" w:rsidRDefault="003C3093" w:rsidP="00E3253D">
            <w:pPr>
              <w:pStyle w:val="libFootnote0"/>
              <w:rPr>
                <w:rStyle w:val="libFootnote0Char"/>
                <w:rtl/>
              </w:rPr>
            </w:pPr>
            <w:r w:rsidRPr="0042621E">
              <w:rPr>
                <w:rStyle w:val="libFootnote0Char"/>
                <w:rtl/>
              </w:rPr>
              <w:t>(2).</w:t>
            </w:r>
            <w:r w:rsidRPr="005D642E">
              <w:rPr>
                <w:rtl/>
              </w:rPr>
              <w:t xml:space="preserve"> طه (20) : 55.</w:t>
            </w:r>
          </w:p>
        </w:tc>
      </w:tr>
      <w:tr w:rsidR="003C3093" w:rsidTr="003C3093">
        <w:tc>
          <w:tcPr>
            <w:tcW w:w="4006" w:type="dxa"/>
          </w:tcPr>
          <w:p w:rsidR="003C3093" w:rsidRDefault="003C3093" w:rsidP="00E3253D">
            <w:pPr>
              <w:pStyle w:val="libFootnote0"/>
              <w:rPr>
                <w:rStyle w:val="libFootnote0Char"/>
                <w:rtl/>
              </w:rPr>
            </w:pPr>
            <w:r w:rsidRPr="0042621E">
              <w:rPr>
                <w:rStyle w:val="libFootnote0Char"/>
                <w:rtl/>
              </w:rPr>
              <w:t>(3).</w:t>
            </w:r>
            <w:r w:rsidRPr="005D642E">
              <w:rPr>
                <w:rtl/>
              </w:rPr>
              <w:t xml:space="preserve"> في « بح » : « أن أمسكتها</w:t>
            </w:r>
            <w:r>
              <w:rPr>
                <w:rtl/>
              </w:rPr>
              <w:t xml:space="preserve"> ».</w:t>
            </w:r>
          </w:p>
        </w:tc>
        <w:tc>
          <w:tcPr>
            <w:tcW w:w="4006" w:type="dxa"/>
          </w:tcPr>
          <w:p w:rsidR="003C3093" w:rsidRDefault="003C3093" w:rsidP="00E3253D">
            <w:pPr>
              <w:pStyle w:val="libFootnote0"/>
              <w:rPr>
                <w:rStyle w:val="libFootnote0Char"/>
                <w:rtl/>
              </w:rPr>
            </w:pPr>
            <w:r w:rsidRPr="0042621E">
              <w:rPr>
                <w:rStyle w:val="libFootnote0Char"/>
                <w:rtl/>
              </w:rPr>
              <w:t>(4).</w:t>
            </w:r>
            <w:r w:rsidRPr="005D642E">
              <w:rPr>
                <w:rtl/>
              </w:rPr>
              <w:t xml:space="preserve"> في « بث ، بح ، بس » والبحار : « له</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غ ، ى ، بف ، جن » والبحار : « تخلق</w:t>
      </w:r>
      <w:r w:rsidR="00E3253D">
        <w:rPr>
          <w:rtl/>
        </w:rPr>
        <w:t xml:space="preserve"> ».</w:t>
      </w:r>
      <w:r w:rsidR="00E3253D" w:rsidRPr="005D642E">
        <w:rPr>
          <w:rtl/>
        </w:rPr>
        <w:t xml:space="preserve"> وفي « جس » : « يخلق</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 « النطفة التي خلق منها » بدل « هذه النطفة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66147" w:rsidTr="00D66147">
        <w:tc>
          <w:tcPr>
            <w:tcW w:w="4006" w:type="dxa"/>
          </w:tcPr>
          <w:p w:rsidR="00D66147" w:rsidRDefault="00D66147" w:rsidP="00E3253D">
            <w:pPr>
              <w:pStyle w:val="libFootnote0"/>
              <w:rPr>
                <w:rStyle w:val="libFootnote0Char"/>
                <w:rtl/>
              </w:rPr>
            </w:pPr>
            <w:r w:rsidRPr="0042621E">
              <w:rPr>
                <w:rStyle w:val="libFootnote0Char"/>
                <w:rtl/>
              </w:rPr>
              <w:t>(7).</w:t>
            </w:r>
            <w:r w:rsidRPr="005D642E">
              <w:rPr>
                <w:rtl/>
              </w:rPr>
              <w:t xml:space="preserve"> في حاشية « جن » : + « أبيض أو أسود</w:t>
            </w:r>
            <w:r>
              <w:rPr>
                <w:rtl/>
              </w:rPr>
              <w:t xml:space="preserve"> ».</w:t>
            </w:r>
          </w:p>
        </w:tc>
        <w:tc>
          <w:tcPr>
            <w:tcW w:w="4006" w:type="dxa"/>
          </w:tcPr>
          <w:p w:rsidR="00D66147" w:rsidRDefault="00D66147" w:rsidP="00E3253D">
            <w:pPr>
              <w:pStyle w:val="libFootnote0"/>
              <w:rPr>
                <w:rStyle w:val="libFootnote0Char"/>
                <w:rtl/>
              </w:rPr>
            </w:pPr>
            <w:r w:rsidRPr="0042621E">
              <w:rPr>
                <w:rStyle w:val="libFootnote0Char"/>
                <w:rtl/>
              </w:rPr>
              <w:t>(8).</w:t>
            </w:r>
            <w:r w:rsidRPr="005D642E">
              <w:rPr>
                <w:rtl/>
              </w:rPr>
              <w:t xml:space="preserve"> في الوسائل :</w:t>
            </w:r>
            <w:r>
              <w:rPr>
                <w:rtl/>
              </w:rPr>
              <w:t xml:space="preserve"> - </w:t>
            </w:r>
            <w:r w:rsidRPr="005D642E">
              <w:rPr>
                <w:rtl/>
              </w:rPr>
              <w:t>« الميّت</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ى ، بح ، بخ ، بس ، جح ، جس ، جن » والبحار ، ج 46 : « بالله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بخ ، بس ، بف ، جس » وحاشية « بح » </w:t>
      </w:r>
      <w:r w:rsidR="000D749A" w:rsidRPr="000D749A">
        <w:rPr>
          <w:rStyle w:val="libFootnoteBoldChar"/>
          <w:rtl/>
        </w:rPr>
        <w:t>والوافي</w:t>
      </w:r>
      <w:r w:rsidR="00E3253D" w:rsidRPr="005D642E">
        <w:rPr>
          <w:rtl/>
        </w:rPr>
        <w:t xml:space="preserve"> والبحار ، ج 46 : « لا ا</w:t>
      </w:r>
      <w:r w:rsidR="00B643CE">
        <w:rPr>
          <w:rFonts w:hint="cs"/>
          <w:rtl/>
        </w:rPr>
        <w:t>ُ</w:t>
      </w:r>
      <w:r w:rsidR="00E3253D" w:rsidRPr="005D642E">
        <w:rPr>
          <w:rtl/>
        </w:rPr>
        <w:t>خبر</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بهذا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بس ، بف ، جن » وحاشية « بح » : « ذاك</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علل الشرائع</w:t>
      </w:r>
      <w:r w:rsidR="00E3253D" w:rsidRPr="005D642E">
        <w:rPr>
          <w:rtl/>
        </w:rPr>
        <w:t xml:space="preserve"> ، ص 300 ، ح 5 ، بسند آخر عن أبي إبراهيم </w:t>
      </w:r>
      <w:r w:rsidR="00E3253D" w:rsidRPr="00B643CE">
        <w:rPr>
          <w:rStyle w:val="libFootnoteAlaemChar"/>
          <w:rtl/>
        </w:rPr>
        <w:t>عليه‌السلام</w:t>
      </w:r>
      <w:r w:rsidR="00E3253D" w:rsidRPr="005D642E">
        <w:rPr>
          <w:rtl/>
        </w:rPr>
        <w:t xml:space="preserve"> ، من </w:t>
      </w:r>
      <w:r w:rsidR="00B643CE">
        <w:rPr>
          <w:rtl/>
        </w:rPr>
        <w:t>قوله : « إنّ الله تعالى خلق خل</w:t>
      </w:r>
      <w:r w:rsidR="00B643CE">
        <w:rPr>
          <w:rFonts w:hint="cs"/>
          <w:rtl/>
        </w:rPr>
        <w:t>ّ</w:t>
      </w:r>
      <w:r w:rsidR="00B643CE">
        <w:rPr>
          <w:rtl/>
        </w:rPr>
        <w:t>ا</w:t>
      </w:r>
      <w:r w:rsidR="00E3253D" w:rsidRPr="005D642E">
        <w:rPr>
          <w:rtl/>
        </w:rPr>
        <w:t xml:space="preserve">قين » إلى قوله : « فلذلك يغسّل الميّت غسل الجنابة » ، مع اختلاف يسير. وراجع : </w:t>
      </w:r>
      <w:r w:rsidR="00E3253D" w:rsidRPr="002F4D34">
        <w:rPr>
          <w:rStyle w:val="libFootnoteBoldChar"/>
          <w:rtl/>
        </w:rPr>
        <w:t>الكافي</w:t>
      </w:r>
      <w:r w:rsidR="00E3253D" w:rsidRPr="005D642E">
        <w:rPr>
          <w:rtl/>
        </w:rPr>
        <w:t xml:space="preserve"> ، كتاب العقيقة ، باب بدء خلق الإنسان وتقلّبه في بطن ا</w:t>
      </w:r>
      <w:r w:rsidR="001A465E">
        <w:rPr>
          <w:rFonts w:hint="cs"/>
          <w:rtl/>
        </w:rPr>
        <w:t>ُ</w:t>
      </w:r>
      <w:r w:rsidR="00E3253D" w:rsidRPr="005D642E">
        <w:rPr>
          <w:rtl/>
        </w:rPr>
        <w:t xml:space="preserve">مّه ، ح 10456 </w:t>
      </w:r>
      <w:r w:rsidR="001A465E">
        <w:rPr>
          <w:rFonts w:hint="cs"/>
          <w:rtl/>
        </w:rPr>
        <w:t xml:space="preserve">. </w:t>
      </w:r>
      <w:r w:rsidR="00E3253D" w:rsidRPr="002F4D34">
        <w:rPr>
          <w:rStyle w:val="libFootnoteBoldChar"/>
          <w:rtl/>
        </w:rPr>
        <w:t>الوافي</w:t>
      </w:r>
      <w:r w:rsidR="00E3253D" w:rsidRPr="005D642E">
        <w:rPr>
          <w:rtl/>
        </w:rPr>
        <w:t xml:space="preserve"> ، ج 24 ، ص 289 ، ح 24047 ؛ </w:t>
      </w:r>
      <w:r w:rsidR="00E3253D" w:rsidRPr="002F4D34">
        <w:rPr>
          <w:rStyle w:val="libFootnoteBoldChar"/>
          <w:rtl/>
        </w:rPr>
        <w:t>الوسائل</w:t>
      </w:r>
      <w:r w:rsidR="00E3253D" w:rsidRPr="005D642E">
        <w:rPr>
          <w:rtl/>
        </w:rPr>
        <w:t xml:space="preserve"> ، ج 2 ، ص 487 ، ح 2709 ، من قوله : « فإذا خرجت الروح من البدن » إلى قوله : «</w:t>
      </w:r>
      <w:r w:rsidR="00FE5E85">
        <w:rPr>
          <w:rtl/>
        </w:rPr>
        <w:t xml:space="preserve"> فلذلك يغسّل الميّت غسل الجنابة</w:t>
      </w:r>
      <w:r w:rsidR="00E3253D" w:rsidRPr="005D642E">
        <w:rPr>
          <w:rtl/>
        </w:rPr>
        <w:t xml:space="preserve">» ؛ </w:t>
      </w:r>
      <w:r w:rsidR="00E3253D" w:rsidRPr="002F4D34">
        <w:rPr>
          <w:rStyle w:val="libFootnoteBoldChar"/>
          <w:rtl/>
        </w:rPr>
        <w:t>البحار</w:t>
      </w:r>
      <w:r w:rsidR="00E3253D" w:rsidRPr="005D642E">
        <w:rPr>
          <w:rtl/>
        </w:rPr>
        <w:t xml:space="preserve"> ، ج 46 ، ص 304 ، ح 54 ؛ </w:t>
      </w:r>
      <w:r w:rsidR="00E3253D" w:rsidRPr="002F4D34">
        <w:rPr>
          <w:rStyle w:val="libFootnoteBoldChar"/>
          <w:rtl/>
        </w:rPr>
        <w:t>وفيه</w:t>
      </w:r>
      <w:r w:rsidR="00E3253D" w:rsidRPr="005D642E">
        <w:rPr>
          <w:rtl/>
        </w:rPr>
        <w:t xml:space="preserve"> ، ج 60 ، ص 337 ، ح 13 ، من قوله : « إنّ الله </w:t>
      </w:r>
      <w:r w:rsidR="001A465E">
        <w:rPr>
          <w:rtl/>
        </w:rPr>
        <w:t>تعالى خلق خل</w:t>
      </w:r>
      <w:r w:rsidR="001A465E">
        <w:rPr>
          <w:rFonts w:hint="cs"/>
          <w:rtl/>
        </w:rPr>
        <w:t>ّ</w:t>
      </w:r>
      <w:r w:rsidR="001A465E">
        <w:rPr>
          <w:rtl/>
        </w:rPr>
        <w:t>ا</w:t>
      </w:r>
      <w:r w:rsidR="00E3253D" w:rsidRPr="005D642E">
        <w:rPr>
          <w:rtl/>
        </w:rPr>
        <w:t>قين » إلى قوله : « فلذلك يغسّل الميّت غسل الجنابة</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w:t>
      </w:r>
      <w:r w:rsidR="00E3253D" w:rsidRPr="002F4D34">
        <w:rPr>
          <w:rStyle w:val="libFootnoteBoldChar"/>
          <w:rtl/>
        </w:rPr>
        <w:t>مرآة العقول</w:t>
      </w:r>
      <w:r w:rsidR="00E3253D" w:rsidRPr="005D642E">
        <w:rPr>
          <w:rtl/>
        </w:rPr>
        <w:t xml:space="preserve"> ، ج 13 ، ص 345 : « قوله </w:t>
      </w:r>
      <w:r w:rsidR="00E3253D" w:rsidRPr="00B643CE">
        <w:rPr>
          <w:rStyle w:val="libFootnoteAlaemChar"/>
          <w:rtl/>
        </w:rPr>
        <w:t>عليه‌السلام</w:t>
      </w:r>
      <w:r w:rsidR="00E3253D" w:rsidRPr="005D642E">
        <w:rPr>
          <w:rtl/>
        </w:rPr>
        <w:t xml:space="preserve"> : يمني ، أي يخرج من عينه الماء الغليظ الشبيه بالمنيّ</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قَالَ : « النُّطْفَةُ الَّتِي خُلِقَ مِنْهَا يَرْمِي بِهَا</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676785">
        <w:rPr>
          <w:rtl/>
        </w:rPr>
        <w:t>4427</w:t>
      </w:r>
      <w:r w:rsidRPr="00246318">
        <w:rPr>
          <w:rStyle w:val="libBold2Char"/>
          <w:rtl/>
        </w:rPr>
        <w:t xml:space="preserve"> / 3.</w:t>
      </w:r>
      <w:r w:rsidRPr="005D642E">
        <w:rPr>
          <w:rtl/>
          <w:lang w:bidi="fa-IR"/>
        </w:rPr>
        <w:t xml:space="preserve"> بَعْضُ أَصْحَابِنَا ، عَنْ عَلِيِّ بْنِ الْحَسَنِ الْتَّيْمِيِّ </w:t>
      </w:r>
      <w:r w:rsidRPr="007C12DB">
        <w:rPr>
          <w:rStyle w:val="libFootnotenumChar"/>
          <w:rtl/>
        </w:rPr>
        <w:t>(2)</w:t>
      </w:r>
      <w:r w:rsidRPr="005D642E">
        <w:rPr>
          <w:rtl/>
          <w:lang w:bidi="fa-IR"/>
        </w:rPr>
        <w:t xml:space="preserve"> ، عَنْ هَارُونَ بْنِ حَمْزَةَ ، عَن بَعْضِ أَصْحَابِنَا :</w:t>
      </w:r>
    </w:p>
    <w:p w:rsidR="00E3253D" w:rsidRPr="005D642E" w:rsidRDefault="00E3253D" w:rsidP="00E3253D">
      <w:pPr>
        <w:pStyle w:val="libNormal"/>
        <w:rPr>
          <w:rtl/>
          <w:lang w:bidi="fa-IR"/>
        </w:rPr>
      </w:pPr>
      <w:r w:rsidRPr="005D642E">
        <w:rPr>
          <w:rtl/>
          <w:lang w:bidi="fa-IR"/>
        </w:rPr>
        <w:t xml:space="preserve">عَنْ عَلِيِّ بْنِ الْحُسَيْنِ </w:t>
      </w:r>
      <w:r w:rsidRPr="00AC51C5">
        <w:rPr>
          <w:rStyle w:val="libAlaemChar"/>
          <w:rtl/>
        </w:rPr>
        <w:t>عليه‌السلام</w:t>
      </w:r>
      <w:r w:rsidRPr="005D642E">
        <w:rPr>
          <w:rtl/>
          <w:lang w:bidi="fa-IR"/>
        </w:rPr>
        <w:t xml:space="preserve"> ، قَالَ : قَالَ : « إِنَّ الْمَخْلُوقَ لَايَمُوتُ حَتّى تَخْرُجَ </w:t>
      </w:r>
      <w:r w:rsidRPr="007C12DB">
        <w:rPr>
          <w:rStyle w:val="libFootnotenumChar"/>
          <w:rtl/>
        </w:rPr>
        <w:t>(3)</w:t>
      </w:r>
      <w:r w:rsidRPr="005D642E">
        <w:rPr>
          <w:rtl/>
          <w:lang w:bidi="fa-IR"/>
        </w:rPr>
        <w:t xml:space="preserve"> مِنْهُ النُّطْفَةُ الَّتِي خُلِقَ مِنْهَا مِنْ فِيهِ ، أَوْ مِنْ غَيْرِهِ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353" w:name="_Toc344647328"/>
      <w:bookmarkStart w:id="354" w:name="_Toc462226842"/>
      <w:bookmarkStart w:id="355" w:name="_Toc40975951"/>
      <w:r w:rsidRPr="005D642E">
        <w:rPr>
          <w:rtl/>
          <w:lang w:bidi="fa-IR"/>
        </w:rPr>
        <w:t>33</w:t>
      </w:r>
      <w:r>
        <w:rPr>
          <w:rtl/>
          <w:lang w:bidi="fa-IR"/>
        </w:rPr>
        <w:t xml:space="preserve"> </w:t>
      </w:r>
      <w:r w:rsidR="007642BC">
        <w:rPr>
          <w:rtl/>
          <w:lang w:bidi="fa-IR"/>
        </w:rPr>
        <w:t>-</w:t>
      </w:r>
      <w:r>
        <w:rPr>
          <w:rtl/>
          <w:lang w:bidi="fa-IR"/>
        </w:rPr>
        <w:t xml:space="preserve"> </w:t>
      </w:r>
      <w:r w:rsidRPr="005D642E">
        <w:rPr>
          <w:rtl/>
          <w:lang w:bidi="fa-IR"/>
        </w:rPr>
        <w:t>بَابُ ثَوَابِ مَنْ غَسَّلَ مُؤْمِناً‌</w:t>
      </w:r>
      <w:bookmarkEnd w:id="353"/>
      <w:bookmarkEnd w:id="354"/>
      <w:bookmarkEnd w:id="355"/>
    </w:p>
    <w:p w:rsidR="00E3253D" w:rsidRPr="005D642E" w:rsidRDefault="00E3253D" w:rsidP="00E3253D">
      <w:pPr>
        <w:pStyle w:val="libNormal"/>
        <w:rPr>
          <w:rtl/>
          <w:lang w:bidi="fa-IR"/>
        </w:rPr>
      </w:pPr>
      <w:r w:rsidRPr="00676785">
        <w:rPr>
          <w:rtl/>
        </w:rPr>
        <w:t>4428</w:t>
      </w:r>
      <w:r w:rsidRPr="00246318">
        <w:rPr>
          <w:rStyle w:val="libBold2Char"/>
          <w:rtl/>
        </w:rPr>
        <w:t xml:space="preserve"> / 1.</w:t>
      </w:r>
      <w:r w:rsidRPr="005D642E">
        <w:rPr>
          <w:rtl/>
          <w:lang w:bidi="fa-IR"/>
        </w:rPr>
        <w:t xml:space="preserve"> عِدَّةٌ مِنْ أَصْحَابِنَا ، عَنْ سَهْلِ بْنِ زِيَادٍ ، عَنِ الْحَسَنِ بْنِ مَحْبُوبٍ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450 ، ح 1459 ، معلّقاً عن عليّ بن إبراهيم. </w:t>
      </w:r>
      <w:r w:rsidR="00E3253D" w:rsidRPr="002F4D34">
        <w:rPr>
          <w:rStyle w:val="libFootnoteBoldChar"/>
          <w:rtl/>
        </w:rPr>
        <w:t>علل الشرائع</w:t>
      </w:r>
      <w:r w:rsidR="00E3253D" w:rsidRPr="005D642E">
        <w:rPr>
          <w:rtl/>
        </w:rPr>
        <w:t xml:space="preserve"> ، ص 300 ، ح 4 ، بسند آخر عن جعفر بن محمّد ، عن أبيه </w:t>
      </w:r>
      <w:r w:rsidR="00E3253D" w:rsidRPr="00E53F6E">
        <w:rPr>
          <w:rStyle w:val="libFootnoteAlaemChar"/>
          <w:rtl/>
        </w:rPr>
        <w:t>عليهم‌السلام</w:t>
      </w:r>
      <w:r w:rsidR="00E3253D" w:rsidRPr="005D642E">
        <w:rPr>
          <w:rtl/>
        </w:rPr>
        <w:t xml:space="preserve">. </w:t>
      </w:r>
      <w:r w:rsidR="00E3253D" w:rsidRPr="002F4D34">
        <w:rPr>
          <w:rStyle w:val="libFootnoteBoldChar"/>
          <w:rtl/>
        </w:rPr>
        <w:t>الجعفريّات</w:t>
      </w:r>
      <w:r w:rsidR="00E3253D" w:rsidRPr="005D642E">
        <w:rPr>
          <w:rtl/>
        </w:rPr>
        <w:t xml:space="preserve"> ، ص 236 ، بسند آخر عن جعفر بن محمّد ، عن آبائه ، عن أميرالمؤمنين </w:t>
      </w:r>
      <w:r w:rsidR="00E3253D" w:rsidRPr="00E53F6E">
        <w:rPr>
          <w:rStyle w:val="libFootnoteAlaemChar"/>
          <w:rtl/>
        </w:rPr>
        <w:t>عليهم‌السلام</w:t>
      </w:r>
      <w:r w:rsidR="00E3253D" w:rsidRPr="005D642E">
        <w:rPr>
          <w:rtl/>
        </w:rPr>
        <w:t xml:space="preserve"> ، وفيهما مع اختلاف يسير </w:t>
      </w:r>
      <w:r w:rsidR="00E53F6E">
        <w:rPr>
          <w:rFonts w:hint="cs"/>
          <w:rtl/>
        </w:rPr>
        <w:t>.</w:t>
      </w:r>
      <w:r w:rsidR="00E3253D" w:rsidRPr="002F4D34">
        <w:rPr>
          <w:rStyle w:val="libFootnoteBoldChar"/>
          <w:rtl/>
        </w:rPr>
        <w:t>الوافي</w:t>
      </w:r>
      <w:r w:rsidR="00E3253D" w:rsidRPr="005D642E">
        <w:rPr>
          <w:rtl/>
        </w:rPr>
        <w:t xml:space="preserve"> ، ج 24 ، ص 291 ، ح 24048 ؛ </w:t>
      </w:r>
      <w:r w:rsidR="00E3253D" w:rsidRPr="002F4D34">
        <w:rPr>
          <w:rStyle w:val="libFootnoteBoldChar"/>
          <w:rtl/>
        </w:rPr>
        <w:t>الوسائل</w:t>
      </w:r>
      <w:r w:rsidR="00E3253D" w:rsidRPr="005D642E">
        <w:rPr>
          <w:rtl/>
        </w:rPr>
        <w:t xml:space="preserve"> ، ج 2 ، ص 487 ، ح 2710.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جن » وحاشية « بث ، بس » والوسائل. وفي سائر النسخ والمطبوع : « الميثمي</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 فإنّ عليّ بن الحسن في هذه الطبقة هو عليّ بن الحسن بن عليّ بن فضّال ، وتقدّم في </w:t>
      </w:r>
      <w:r w:rsidRPr="002F4D34">
        <w:rPr>
          <w:rStyle w:val="libFootnoteBoldChar"/>
          <w:rtl/>
        </w:rPr>
        <w:t>الكافي</w:t>
      </w:r>
      <w:r w:rsidRPr="00B60612">
        <w:rPr>
          <w:rtl/>
        </w:rPr>
        <w:t xml:space="preserve"> ، ذيل ح 2333 أنّ الصواب في لقبه هو التِيمُليّ أو التَيميّ.</w:t>
      </w:r>
    </w:p>
    <w:p w:rsidR="00E3253D" w:rsidRPr="005D642E" w:rsidRDefault="00E3253D" w:rsidP="00E3253D">
      <w:pPr>
        <w:pStyle w:val="libFootnote0"/>
        <w:rPr>
          <w:rtl/>
          <w:lang w:bidi="fa-IR"/>
        </w:rPr>
      </w:pPr>
      <w:r w:rsidRPr="00B60612">
        <w:rPr>
          <w:rtl/>
        </w:rPr>
        <w:t xml:space="preserve">ثمّ إنّ هارون بن حمزة من أصحاب أبي عبدالله </w:t>
      </w:r>
      <w:r w:rsidRPr="00E53F6E">
        <w:rPr>
          <w:rStyle w:val="libFootnoteAlaemChar"/>
          <w:rtl/>
        </w:rPr>
        <w:t>عليه‌السلام</w:t>
      </w:r>
      <w:r w:rsidRPr="00B60612">
        <w:rPr>
          <w:rtl/>
        </w:rPr>
        <w:t xml:space="preserve"> ولاتستقيم رواية عليّ بن الحسن بن فضّال عنه مباشرة. والظاهر وقوع خللٍ في السند من سقطٍ أو إرسالٍ.</w:t>
      </w:r>
    </w:p>
    <w:p w:rsidR="00E3253D" w:rsidRPr="005D642E" w:rsidRDefault="00E3253D" w:rsidP="00D63A4D">
      <w:pPr>
        <w:pStyle w:val="libFootnote0"/>
        <w:rPr>
          <w:rtl/>
          <w:lang w:bidi="fa-IR"/>
        </w:rPr>
      </w:pPr>
      <w:r w:rsidRPr="00B60612">
        <w:rPr>
          <w:rtl/>
        </w:rPr>
        <w:t xml:space="preserve">ويؤيّد ذلك أنّ الخبر رواه الصدوق في </w:t>
      </w:r>
      <w:r w:rsidRPr="002F4D34">
        <w:rPr>
          <w:rStyle w:val="libFootnoteBoldChar"/>
          <w:rtl/>
        </w:rPr>
        <w:t>علل الشرائع</w:t>
      </w:r>
      <w:r w:rsidRPr="00B60612">
        <w:rPr>
          <w:rtl/>
        </w:rPr>
        <w:t xml:space="preserve"> ، ص 299 ، ح 1 ، بسنديه عن الحسن بن عليّ بن فضال </w:t>
      </w:r>
      <w:r w:rsidR="007642BC" w:rsidRPr="00B60612">
        <w:rPr>
          <w:rtl/>
        </w:rPr>
        <w:t>-</w:t>
      </w:r>
      <w:r w:rsidRPr="00B60612">
        <w:rPr>
          <w:rtl/>
        </w:rPr>
        <w:t xml:space="preserve"> وهو والد عليّ بن الحسن </w:t>
      </w:r>
      <w:r w:rsidR="007642BC" w:rsidRPr="00B60612">
        <w:rPr>
          <w:rtl/>
        </w:rPr>
        <w:t>-</w:t>
      </w:r>
      <w:r w:rsidRPr="00B60612">
        <w:rPr>
          <w:rtl/>
        </w:rPr>
        <w:t xml:space="preserve"> عن هارون بن حمزة ، كما يؤيّده ما ورد في </w:t>
      </w:r>
      <w:r w:rsidRPr="002F4D34">
        <w:rPr>
          <w:rStyle w:val="libFootnoteBoldChar"/>
          <w:rtl/>
        </w:rPr>
        <w:t>التهذيب</w:t>
      </w:r>
      <w:r w:rsidRPr="00B60612">
        <w:rPr>
          <w:rtl/>
        </w:rPr>
        <w:t xml:space="preserve"> ، ج 4 ، ص 51 ، ح 130 ؛ وج 9 ، ص 181 ، ح 278 ، من رواية عليّ بن الحسن بن فضّال ، عن يزيدبن إسحاق ، عن هارون بن حمزة ، ويزيد بن إسحاق هو الراوي لكتاب هارون بن حمزة. راجع : </w:t>
      </w:r>
      <w:r w:rsidRPr="002F4D34">
        <w:rPr>
          <w:rStyle w:val="libFootnoteBoldChar"/>
          <w:rtl/>
        </w:rPr>
        <w:t>رجال النجاشي</w:t>
      </w:r>
      <w:r w:rsidRPr="00B60612">
        <w:rPr>
          <w:rtl/>
        </w:rPr>
        <w:t xml:space="preserve"> ، ص 437 ، الرقم 1177 ؛ </w:t>
      </w:r>
      <w:r w:rsidR="0059794D" w:rsidRPr="0059794D">
        <w:rPr>
          <w:rStyle w:val="libFootnoteBoldChar"/>
          <w:rtl/>
        </w:rPr>
        <w:t>الفهرست للطوسي</w:t>
      </w:r>
      <w:r w:rsidRPr="00B60612">
        <w:rPr>
          <w:rtl/>
        </w:rPr>
        <w:t xml:space="preserve"> ، ص 496 ، الرقم 786.</w:t>
      </w:r>
      <w:r w:rsidR="00D63A4D">
        <w:rPr>
          <w:rFonts w:hint="cs"/>
          <w:rtl/>
        </w:rPr>
        <w:t xml:space="preserve">                                 </w:t>
      </w:r>
      <w:r w:rsidR="0042621E" w:rsidRPr="0042621E">
        <w:rPr>
          <w:rStyle w:val="libFootnote0Char"/>
          <w:rtl/>
        </w:rPr>
        <w:t>(3).</w:t>
      </w:r>
      <w:r w:rsidRPr="005D642E">
        <w:rPr>
          <w:rtl/>
        </w:rPr>
        <w:t xml:space="preserve"> في « غ ، بث ، جح » : « يخرج</w:t>
      </w:r>
      <w:r>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والعلل. وفي المطبوع : « من عينه</w:t>
      </w:r>
      <w:r w:rsidR="00E3253D">
        <w:rPr>
          <w:rtl/>
        </w:rPr>
        <w:t xml:space="preserve"> ».</w:t>
      </w:r>
      <w:r w:rsidR="00E3253D" w:rsidRPr="005D642E">
        <w:rPr>
          <w:rtl/>
        </w:rPr>
        <w:t xml:space="preserve"> وفي حاشية « بخ » : « من عينه أو فيه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علل الشرائع</w:t>
      </w:r>
      <w:r w:rsidR="00E3253D" w:rsidRPr="005D642E">
        <w:rPr>
          <w:rtl/>
        </w:rPr>
        <w:t xml:space="preserve"> ، ص 299 ، ح 1 ، بسنده عن هارون بن حمزة. </w:t>
      </w:r>
      <w:r w:rsidR="00E3253D" w:rsidRPr="002F4D34">
        <w:rPr>
          <w:rStyle w:val="libFootnoteBoldChar"/>
          <w:rtl/>
        </w:rPr>
        <w:t>الفقيه</w:t>
      </w:r>
      <w:r w:rsidR="00E3253D" w:rsidRPr="005D642E">
        <w:rPr>
          <w:rtl/>
        </w:rPr>
        <w:t xml:space="preserve"> ، ج 1 ، ص 138 ، ح 375 ، مرسلاً ، مع اختلاف يسير وزيادة في أوّله وآخره </w:t>
      </w:r>
      <w:r w:rsidR="007731AD">
        <w:rPr>
          <w:rFonts w:hint="cs"/>
          <w:rtl/>
        </w:rPr>
        <w:t>.</w:t>
      </w:r>
      <w:r w:rsidR="00E3253D" w:rsidRPr="002F4D34">
        <w:rPr>
          <w:rStyle w:val="libFootnoteBoldChar"/>
          <w:rtl/>
        </w:rPr>
        <w:t>الوافي</w:t>
      </w:r>
      <w:r w:rsidR="00E3253D" w:rsidRPr="005D642E">
        <w:rPr>
          <w:rtl/>
        </w:rPr>
        <w:t xml:space="preserve"> ، ج 24 ، ص 292 ، ح 24049 ؛ </w:t>
      </w:r>
      <w:r w:rsidR="00E3253D" w:rsidRPr="002F4D34">
        <w:rPr>
          <w:rStyle w:val="libFootnoteBoldChar"/>
          <w:rtl/>
        </w:rPr>
        <w:t>الوسائل</w:t>
      </w:r>
      <w:r w:rsidR="00E3253D" w:rsidRPr="005D642E">
        <w:rPr>
          <w:rtl/>
        </w:rPr>
        <w:t xml:space="preserve"> ، ج 2 ، ص 487 ، ح 2711.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عَبْدِ اللهِ بْنِ غَالِبٍ ، عَنْ سَعْدٍ الْإِسْكَافِ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أَيُّمَا مُؤْمِنٍ غَسَّلَ مُؤْمِناً ، فَقَالَ</w:t>
      </w:r>
      <w:r>
        <w:rPr>
          <w:rtl/>
          <w:lang w:bidi="fa-IR"/>
        </w:rPr>
        <w:t xml:space="preserve"> </w:t>
      </w:r>
      <w:r w:rsidR="007642BC">
        <w:rPr>
          <w:rtl/>
          <w:lang w:bidi="fa-IR"/>
        </w:rPr>
        <w:t>-</w:t>
      </w:r>
      <w:r>
        <w:rPr>
          <w:rtl/>
          <w:lang w:bidi="fa-IR"/>
        </w:rPr>
        <w:t xml:space="preserve"> </w:t>
      </w:r>
      <w:r w:rsidRPr="005D642E">
        <w:rPr>
          <w:rtl/>
          <w:lang w:bidi="fa-IR"/>
        </w:rPr>
        <w:t xml:space="preserve">إِذَا قَلَّبَهُ </w:t>
      </w:r>
      <w:r w:rsidR="007642BC">
        <w:rPr>
          <w:rtl/>
          <w:lang w:bidi="fa-IR"/>
        </w:rPr>
        <w:t>-</w:t>
      </w:r>
      <w:r>
        <w:rPr>
          <w:rFonts w:hint="cs"/>
          <w:rtl/>
          <w:lang w:bidi="fa-IR"/>
        </w:rPr>
        <w:t xml:space="preserve"> </w:t>
      </w:r>
      <w:r>
        <w:rPr>
          <w:rtl/>
          <w:lang w:bidi="fa-IR"/>
        </w:rPr>
        <w:t>: "</w:t>
      </w:r>
      <w:r w:rsidRPr="005D642E">
        <w:rPr>
          <w:rtl/>
          <w:lang w:bidi="fa-IR"/>
        </w:rPr>
        <w:t>الل</w:t>
      </w:r>
      <w:r w:rsidR="005E64E1">
        <w:rPr>
          <w:rFonts w:hint="cs"/>
          <w:rtl/>
          <w:lang w:bidi="fa-IR"/>
        </w:rPr>
        <w:t>ّ</w:t>
      </w:r>
      <w:r w:rsidRPr="005D642E">
        <w:rPr>
          <w:rtl/>
          <w:lang w:bidi="fa-IR"/>
        </w:rPr>
        <w:t xml:space="preserve">هُمَّ ، إِنَّ هذَا بَدَنُ عَبْدِكَ الْمُؤْمِنِ قَدْ </w:t>
      </w:r>
      <w:r w:rsidRPr="007C12DB">
        <w:rPr>
          <w:rStyle w:val="libFootnotenumChar"/>
          <w:rtl/>
        </w:rPr>
        <w:t>(1)</w:t>
      </w:r>
      <w:r w:rsidRPr="005D642E">
        <w:rPr>
          <w:rtl/>
          <w:lang w:bidi="fa-IR"/>
        </w:rPr>
        <w:t xml:space="preserve"> أَخْرَجْتَ رُوحَهُ مِنْهُ ، وَفَرَّقْتَ بَيْنَهُمَا ، فَعَفْوَكَ عَفْوَكَ" إل</w:t>
      </w:r>
      <w:r w:rsidR="00F533AE">
        <w:rPr>
          <w:rFonts w:hint="cs"/>
          <w:rtl/>
          <w:lang w:bidi="fa-IR"/>
        </w:rPr>
        <w:t>َّ</w:t>
      </w:r>
      <w:r w:rsidRPr="005D642E">
        <w:rPr>
          <w:rtl/>
          <w:lang w:bidi="fa-IR"/>
        </w:rPr>
        <w:t xml:space="preserve">ا </w:t>
      </w:r>
      <w:r w:rsidRPr="007C12DB">
        <w:rPr>
          <w:rStyle w:val="libFootnotenumChar"/>
          <w:rtl/>
        </w:rPr>
        <w:t>(2)</w:t>
      </w:r>
      <w:r w:rsidRPr="005D642E">
        <w:rPr>
          <w:rtl/>
          <w:lang w:bidi="fa-IR"/>
        </w:rPr>
        <w:t xml:space="preserve"> غَفَرَ اللهُ </w:t>
      </w:r>
      <w:r w:rsidRPr="007C12DB">
        <w:rPr>
          <w:rStyle w:val="libFootnotenumChar"/>
          <w:rtl/>
        </w:rPr>
        <w:t>(3)</w:t>
      </w:r>
      <w:r w:rsidRPr="005D642E">
        <w:rPr>
          <w:rtl/>
          <w:lang w:bidi="fa-IR"/>
        </w:rPr>
        <w:t xml:space="preserve"> لَهُ </w:t>
      </w:r>
      <w:r w:rsidRPr="007C12DB">
        <w:rPr>
          <w:rStyle w:val="libFootnotenumChar"/>
          <w:rtl/>
        </w:rPr>
        <w:t>(4)</w:t>
      </w:r>
      <w:r w:rsidRPr="005D642E">
        <w:rPr>
          <w:rtl/>
          <w:lang w:bidi="fa-IR"/>
        </w:rPr>
        <w:t xml:space="preserve"> ذُنُوبَ سَنَةٍ </w:t>
      </w:r>
      <w:r w:rsidRPr="007C12DB">
        <w:rPr>
          <w:rStyle w:val="libFootnotenumChar"/>
          <w:rtl/>
        </w:rPr>
        <w:t>(5)</w:t>
      </w:r>
      <w:r w:rsidR="00D752E5">
        <w:rPr>
          <w:rtl/>
          <w:lang w:bidi="fa-IR"/>
        </w:rPr>
        <w:t xml:space="preserve"> إِل</w:t>
      </w:r>
      <w:r w:rsidR="00D752E5">
        <w:rPr>
          <w:rFonts w:hint="cs"/>
          <w:rtl/>
          <w:lang w:bidi="fa-IR"/>
        </w:rPr>
        <w:t>َّ</w:t>
      </w:r>
      <w:r w:rsidR="00D752E5">
        <w:rPr>
          <w:rtl/>
          <w:lang w:bidi="fa-IR"/>
        </w:rPr>
        <w:t>ا</w:t>
      </w:r>
      <w:r w:rsidRPr="005D642E">
        <w:rPr>
          <w:rtl/>
          <w:lang w:bidi="fa-IR"/>
        </w:rPr>
        <w:t xml:space="preserve"> الْكَبَائِرَ</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676785">
        <w:rPr>
          <w:rtl/>
        </w:rPr>
        <w:t>4429</w:t>
      </w:r>
      <w:r w:rsidRPr="00246318">
        <w:rPr>
          <w:rStyle w:val="libBold2Char"/>
          <w:rtl/>
        </w:rPr>
        <w:t xml:space="preserve"> / 2.</w:t>
      </w:r>
      <w:r w:rsidRPr="005D642E">
        <w:rPr>
          <w:rtl/>
          <w:lang w:bidi="fa-IR"/>
        </w:rPr>
        <w:t xml:space="preserve"> عَلِيُّ بْنُ إِبْرَاهِيمَ ، عَنْ أَبِيهِ ، عَنِ ابْنِ أَبِي عُمَيْرٍ ، عَنْ سَيْفِ بْنِ عَمِيرَةَ </w:t>
      </w:r>
      <w:r w:rsidRPr="007C12DB">
        <w:rPr>
          <w:rStyle w:val="libFootnotenumChar"/>
          <w:rtl/>
        </w:rPr>
        <w:t>(7)</w:t>
      </w:r>
      <w:r w:rsidRPr="005D642E">
        <w:rPr>
          <w:rtl/>
          <w:lang w:bidi="fa-IR"/>
        </w:rPr>
        <w:t xml:space="preserve"> ، عَنْ سَعْدِ بْنِ طَرِيفٍ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مَنْ </w:t>
      </w:r>
      <w:r w:rsidRPr="007C12DB">
        <w:rPr>
          <w:rStyle w:val="libFootnotenumChar"/>
          <w:rtl/>
        </w:rPr>
        <w:t>(8)</w:t>
      </w:r>
      <w:r w:rsidRPr="005D642E">
        <w:rPr>
          <w:rtl/>
          <w:lang w:bidi="fa-IR"/>
        </w:rPr>
        <w:t xml:space="preserve"> غَسَّلَ مَيِّتاً </w:t>
      </w:r>
      <w:r w:rsidRPr="007C12DB">
        <w:rPr>
          <w:rStyle w:val="libFootnotenumChar"/>
          <w:rtl/>
        </w:rPr>
        <w:t>(9)</w:t>
      </w:r>
      <w:r w:rsidRPr="005D642E">
        <w:rPr>
          <w:rtl/>
          <w:lang w:bidi="fa-IR"/>
        </w:rPr>
        <w:t xml:space="preserve"> ، فَأَدّى فِيهِ الْأَمَانَةَ ، غَفَرَ اللهُ </w:t>
      </w:r>
      <w:r w:rsidRPr="007C12DB">
        <w:rPr>
          <w:rStyle w:val="libFootnotenumChar"/>
          <w:rtl/>
        </w:rPr>
        <w:t>(10)</w:t>
      </w:r>
      <w:r w:rsidRPr="005D642E">
        <w:rPr>
          <w:rtl/>
          <w:lang w:bidi="fa-IR"/>
        </w:rPr>
        <w:t xml:space="preserve"> لَهُ</w:t>
      </w:r>
      <w:r>
        <w:rPr>
          <w:rtl/>
          <w:lang w:bidi="fa-IR"/>
        </w:rPr>
        <w:t xml:space="preserve"> ».</w:t>
      </w:r>
    </w:p>
    <w:p w:rsidR="00E3253D" w:rsidRPr="005D642E" w:rsidRDefault="00E3253D" w:rsidP="003753C0">
      <w:pPr>
        <w:pStyle w:val="libNormal"/>
        <w:rPr>
          <w:rtl/>
          <w:lang w:bidi="fa-IR"/>
        </w:rPr>
      </w:pPr>
      <w:r w:rsidRPr="005D642E">
        <w:rPr>
          <w:rtl/>
          <w:lang w:bidi="fa-IR"/>
        </w:rPr>
        <w:t>قُلْتُ : وَكَيْفَ يُؤَدِّي فِيهِ الْأَمَانَةَ</w:t>
      </w:r>
      <w:r>
        <w:rPr>
          <w:rtl/>
          <w:lang w:bidi="fa-IR"/>
        </w:rPr>
        <w:t>؟</w:t>
      </w:r>
      <w:r w:rsidRPr="005D642E">
        <w:rPr>
          <w:rtl/>
          <w:lang w:bidi="fa-IR"/>
        </w:rPr>
        <w:t xml:space="preserve"> قَالَ : « لَا يُخْبِرُ </w:t>
      </w:r>
      <w:r w:rsidRPr="007C12DB">
        <w:rPr>
          <w:rStyle w:val="libFootnotenumChar"/>
          <w:rtl/>
        </w:rPr>
        <w:t>(11)</w:t>
      </w:r>
      <w:r w:rsidRPr="005D642E">
        <w:rPr>
          <w:rtl/>
          <w:lang w:bidi="fa-IR"/>
        </w:rPr>
        <w:t xml:space="preserve"> </w:t>
      </w:r>
      <w:r w:rsidR="003753C0">
        <w:rPr>
          <w:rFonts w:hint="cs"/>
          <w:rtl/>
        </w:rPr>
        <w:t>...........................</w:t>
      </w:r>
      <w:r w:rsidR="003753C0">
        <w:rPr>
          <w:rFonts w:hint="cs"/>
          <w:rtl/>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غ ، بخ ، بف » وحاشية « بث » </w:t>
      </w:r>
      <w:r w:rsidR="000D749A" w:rsidRPr="000D749A">
        <w:rPr>
          <w:rStyle w:val="libFootnoteBoldChar"/>
          <w:rtl/>
        </w:rPr>
        <w:t>والوافي</w:t>
      </w:r>
      <w:r w:rsidR="00E3253D" w:rsidRPr="005D642E">
        <w:rPr>
          <w:rtl/>
        </w:rPr>
        <w:t xml:space="preserve"> والأمالي : « وقد</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والثواب. وفي المطبوع والأمالي :</w:t>
      </w:r>
      <w:r w:rsidR="00E3253D">
        <w:rPr>
          <w:rtl/>
        </w:rPr>
        <w:t xml:space="preserve"> </w:t>
      </w:r>
      <w:r w:rsidR="007642BC">
        <w:rPr>
          <w:rtl/>
        </w:rPr>
        <w:t>-</w:t>
      </w:r>
      <w:r w:rsidR="00E3253D">
        <w:rPr>
          <w:rtl/>
        </w:rPr>
        <w:t xml:space="preserve"> </w:t>
      </w:r>
      <w:r w:rsidR="002327AF">
        <w:rPr>
          <w:rtl/>
        </w:rPr>
        <w:t>« إل</w:t>
      </w:r>
      <w:r w:rsidR="002327AF">
        <w:rPr>
          <w:rFonts w:hint="cs"/>
          <w:rtl/>
        </w:rPr>
        <w:t>ّ</w:t>
      </w:r>
      <w:r w:rsidR="002327AF">
        <w:rPr>
          <w:rtl/>
        </w:rPr>
        <w:t>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D5F60" w:rsidTr="00ED5F60">
        <w:tc>
          <w:tcPr>
            <w:tcW w:w="4006" w:type="dxa"/>
          </w:tcPr>
          <w:p w:rsidR="00ED5F60" w:rsidRDefault="00ED5F60" w:rsidP="00E3253D">
            <w:pPr>
              <w:pStyle w:val="libFootnote0"/>
              <w:rPr>
                <w:rStyle w:val="libFootnote0Char"/>
                <w:rtl/>
                <w:lang w:bidi="fa-IR"/>
              </w:rPr>
            </w:pPr>
            <w:r w:rsidRPr="0042621E">
              <w:rPr>
                <w:rStyle w:val="libFootnote0Char"/>
                <w:rtl/>
              </w:rPr>
              <w:t>(3).</w:t>
            </w:r>
            <w:r w:rsidRPr="005D642E">
              <w:rPr>
                <w:rtl/>
              </w:rPr>
              <w:t xml:space="preserve"> في « غ ، بث » :</w:t>
            </w:r>
            <w:r>
              <w:rPr>
                <w:rtl/>
              </w:rPr>
              <w:t xml:space="preserve"> - </w:t>
            </w:r>
            <w:r w:rsidRPr="005D642E">
              <w:rPr>
                <w:rtl/>
              </w:rPr>
              <w:t>« الله</w:t>
            </w:r>
            <w:r>
              <w:rPr>
                <w:rtl/>
              </w:rPr>
              <w:t xml:space="preserve"> ».</w:t>
            </w:r>
          </w:p>
        </w:tc>
        <w:tc>
          <w:tcPr>
            <w:tcW w:w="4006" w:type="dxa"/>
          </w:tcPr>
          <w:p w:rsidR="00ED5F60" w:rsidRDefault="00ED5F60" w:rsidP="00E3253D">
            <w:pPr>
              <w:pStyle w:val="libFootnote0"/>
              <w:rPr>
                <w:rStyle w:val="libFootnote0Char"/>
                <w:rtl/>
                <w:lang w:bidi="fa-IR"/>
              </w:rPr>
            </w:pPr>
            <w:r w:rsidRPr="0042621E">
              <w:rPr>
                <w:rStyle w:val="libFootnote0Char"/>
                <w:rtl/>
              </w:rPr>
              <w:t>(4).</w:t>
            </w:r>
            <w:r w:rsidRPr="005D642E">
              <w:rPr>
                <w:rtl/>
              </w:rPr>
              <w:t xml:space="preserve"> في « بف ، جس » </w:t>
            </w:r>
            <w:r w:rsidRPr="009E68BB">
              <w:rPr>
                <w:rStyle w:val="libFootnoteBoldChar"/>
                <w:rtl/>
              </w:rPr>
              <w:t>وتحف العقول</w:t>
            </w:r>
            <w:r w:rsidRPr="005D642E">
              <w:rPr>
                <w:rtl/>
              </w:rPr>
              <w:t xml:space="preserve"> :</w:t>
            </w:r>
            <w:r>
              <w:rPr>
                <w:rtl/>
              </w:rPr>
              <w:t xml:space="preserve"> - </w:t>
            </w:r>
            <w:r w:rsidRPr="005D642E">
              <w:rPr>
                <w:rtl/>
              </w:rPr>
              <w:t>« له</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ج 13 ، ص 346 : « ربّما يقرأ : سنّه ، بالتشديد » ، أي بالتشديد والهاء المهملة ؛ فإنّه قال في </w:t>
      </w:r>
      <w:r w:rsidR="00E3253D" w:rsidRPr="002F4D34">
        <w:rPr>
          <w:rStyle w:val="libFootnoteBoldChar"/>
          <w:rtl/>
        </w:rPr>
        <w:t>البحار</w:t>
      </w:r>
      <w:r w:rsidR="00E3253D" w:rsidRPr="005D642E">
        <w:rPr>
          <w:rtl/>
        </w:rPr>
        <w:t xml:space="preserve"> ، ج 8 ، ص 287 ذيل الحديث 5 : « الضمير في له راجع إلى الغاسل ، وإرجاعه إلى الميّت بعيد ، وسنة بالفتح والتخفيف ، وربّما يقرأ بالكسر والتشديد ، أي عمره ، وهو مخالف للظاهر والمضبوط في النسخ</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303 ، ح 884 ؛ و</w:t>
      </w:r>
      <w:r w:rsidR="000D749A" w:rsidRPr="000D749A">
        <w:rPr>
          <w:rStyle w:val="libFootnoteBoldChar"/>
          <w:rtl/>
        </w:rPr>
        <w:t>الأمالي للصدوق</w:t>
      </w:r>
      <w:r w:rsidR="00E3253D" w:rsidRPr="005D642E">
        <w:rPr>
          <w:rtl/>
        </w:rPr>
        <w:t xml:space="preserve"> ، ص 540 ، المجلس 80 ، ح 3 ؛ و</w:t>
      </w:r>
      <w:r w:rsidR="00E3253D" w:rsidRPr="002F4D34">
        <w:rPr>
          <w:rStyle w:val="libFootnoteBoldChar"/>
          <w:rtl/>
        </w:rPr>
        <w:t>ثواب الأعمال</w:t>
      </w:r>
      <w:r w:rsidR="00E3253D" w:rsidRPr="005D642E">
        <w:rPr>
          <w:rtl/>
        </w:rPr>
        <w:t xml:space="preserve"> ، ص 232 ، ح 1 ، بسند آخر عن الحسن بن محبوب ، مع اختلاف يسير. </w:t>
      </w:r>
      <w:r w:rsidR="00E3253D" w:rsidRPr="002F4D34">
        <w:rPr>
          <w:rStyle w:val="libFootnoteBoldChar"/>
          <w:rtl/>
        </w:rPr>
        <w:t>الفقيه</w:t>
      </w:r>
      <w:r w:rsidR="00E3253D" w:rsidRPr="005D642E">
        <w:rPr>
          <w:rtl/>
        </w:rPr>
        <w:t xml:space="preserve"> ، ج 1 ، ص 141 ، ح 389 ، مرسلاً </w:t>
      </w:r>
      <w:r w:rsidR="00E47D0E">
        <w:rPr>
          <w:rFonts w:hint="cs"/>
          <w:rtl/>
        </w:rPr>
        <w:t xml:space="preserve">. </w:t>
      </w:r>
      <w:r w:rsidR="00E3253D" w:rsidRPr="002F4D34">
        <w:rPr>
          <w:rStyle w:val="libFootnoteBoldChar"/>
          <w:rtl/>
        </w:rPr>
        <w:t>الوافي</w:t>
      </w:r>
      <w:r w:rsidR="00E3253D" w:rsidRPr="005D642E">
        <w:rPr>
          <w:rtl/>
        </w:rPr>
        <w:t xml:space="preserve"> ، ج 24 ، ص 285 ، ح 24039 ؛ </w:t>
      </w:r>
      <w:r w:rsidR="00E3253D" w:rsidRPr="002F4D34">
        <w:rPr>
          <w:rStyle w:val="libFootnoteBoldChar"/>
          <w:rtl/>
        </w:rPr>
        <w:t>الوسائل</w:t>
      </w:r>
      <w:r w:rsidR="00E3253D" w:rsidRPr="005D642E">
        <w:rPr>
          <w:rtl/>
        </w:rPr>
        <w:t xml:space="preserve"> ، ج 2 ، ص 494 ، ذيل ح 2731.</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النسخ والوسائل. وفي المطبوع :</w:t>
      </w:r>
      <w:r w:rsidR="00E3253D">
        <w:rPr>
          <w:rtl/>
        </w:rPr>
        <w:t xml:space="preserve"> </w:t>
      </w:r>
      <w:r w:rsidR="007642BC">
        <w:rPr>
          <w:rtl/>
        </w:rPr>
        <w:t>-</w:t>
      </w:r>
      <w:r w:rsidR="00E3253D">
        <w:rPr>
          <w:rtl/>
        </w:rPr>
        <w:t xml:space="preserve"> </w:t>
      </w:r>
      <w:r w:rsidR="00E3253D" w:rsidRPr="005D642E">
        <w:rPr>
          <w:rtl/>
        </w:rPr>
        <w:t>« عن سَيْف بن عَمِيرة</w:t>
      </w:r>
      <w:r w:rsidR="00E3253D">
        <w:rPr>
          <w:rtl/>
        </w:rPr>
        <w:t xml:space="preserve"> ».</w:t>
      </w:r>
      <w:r w:rsidR="00E3253D" w:rsidRPr="005D642E">
        <w:rPr>
          <w:rtl/>
        </w:rPr>
        <w:t xml:space="preserve"> وفي التهذيب : « عن سيف بن عميرة » بدل « عن ابن أبي عمير ، عن سيف بن عميرة</w:t>
      </w:r>
      <w:r w:rsidR="00E3253D">
        <w:rPr>
          <w:rtl/>
        </w:rPr>
        <w:t xml:space="preserve"> ».</w:t>
      </w:r>
    </w:p>
    <w:p w:rsidR="00E3253D" w:rsidRPr="005D642E" w:rsidRDefault="00E3253D" w:rsidP="00B60612">
      <w:pPr>
        <w:pStyle w:val="libFootnote0"/>
        <w:rPr>
          <w:rtl/>
          <w:lang w:bidi="fa-IR"/>
        </w:rPr>
      </w:pPr>
      <w:r w:rsidRPr="0095070A">
        <w:rPr>
          <w:rtl/>
        </w:rPr>
        <w:t xml:space="preserve">والظاهر توسّط سيف بن عَمِيرة بين ابن أبي عمير وبين سعد بن طريف ، كما يدلّ عليه الحديثان 4432 </w:t>
      </w:r>
      <w:r>
        <w:rPr>
          <w:rtl/>
        </w:rPr>
        <w:t>و 4</w:t>
      </w:r>
      <w:r w:rsidRPr="0095070A">
        <w:rPr>
          <w:rtl/>
        </w:rPr>
        <w:t>433 ، والظاهر أيضاً أنّ هذه الأخبار الثلاثة قطعات من خبر واحد.</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الوافي : « أيّما مؤمن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بف »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xml:space="preserve"> والأمالي والثواب ، ص 232 : « مؤمناً</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ى ، بث ، بس ، بف ، جح ، جس ، جن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والأمالي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r w:rsidR="00E3253D" w:rsidRPr="005D642E">
        <w:rPr>
          <w:rtl/>
        </w:rPr>
        <w:t xml:space="preserve"> وما أثبتناه موافق للمطبوع </w:t>
      </w:r>
      <w:r w:rsidR="00E3253D">
        <w:rPr>
          <w:rtl/>
        </w:rPr>
        <w:t>و «</w:t>
      </w:r>
      <w:r w:rsidR="00E3253D" w:rsidRPr="005D642E">
        <w:rPr>
          <w:rtl/>
        </w:rPr>
        <w:t xml:space="preserve"> بح ، بخ</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والأمالي والثواب ، ص 232. وفي المطبوع : « لا يحدّث</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بِمَا يَرى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FD4D14">
        <w:rPr>
          <w:rtl/>
        </w:rPr>
        <w:t>4430</w:t>
      </w:r>
      <w:r w:rsidRPr="00246318">
        <w:rPr>
          <w:rStyle w:val="libBold2Char"/>
          <w:rtl/>
        </w:rPr>
        <w:t xml:space="preserve"> / 3.</w:t>
      </w:r>
      <w:r w:rsidRPr="005D642E">
        <w:rPr>
          <w:rtl/>
          <w:lang w:bidi="fa-IR"/>
        </w:rPr>
        <w:t xml:space="preserve"> عَلِيُّ بْنُ إِبْرَاهِيمَ ، عَنْ أَبِيهِ ، عَنْ حَمَّادِ بْنِ عِيسى ، عَنْ إِبْرَاهِيمَ بْنِ عُمَرَ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مَا مِنْ مُؤْمِنٍ يُغَسِّلُ مُؤْمِناً ، وَيَقُولُ</w:t>
      </w:r>
      <w:r>
        <w:rPr>
          <w:rtl/>
          <w:lang w:bidi="fa-IR"/>
        </w:rPr>
        <w:t xml:space="preserve"> </w:t>
      </w:r>
      <w:r w:rsidR="007642BC">
        <w:rPr>
          <w:rtl/>
          <w:lang w:bidi="fa-IR"/>
        </w:rPr>
        <w:t>-</w:t>
      </w:r>
      <w:r>
        <w:rPr>
          <w:rtl/>
          <w:lang w:bidi="fa-IR"/>
        </w:rPr>
        <w:t xml:space="preserve"> </w:t>
      </w:r>
      <w:r w:rsidRPr="005D642E">
        <w:rPr>
          <w:rtl/>
          <w:lang w:bidi="fa-IR"/>
        </w:rPr>
        <w:t xml:space="preserve">وَهُوَ يُغَسِّلُهُ </w:t>
      </w:r>
      <w:r w:rsidR="007642BC">
        <w:rPr>
          <w:rtl/>
          <w:lang w:bidi="fa-IR"/>
        </w:rPr>
        <w:t>-</w:t>
      </w:r>
      <w:r w:rsidRPr="005D642E">
        <w:rPr>
          <w:rtl/>
          <w:lang w:bidi="fa-IR"/>
        </w:rPr>
        <w:t xml:space="preserve">: رَبِّ </w:t>
      </w:r>
      <w:r w:rsidRPr="007C12DB">
        <w:rPr>
          <w:rStyle w:val="libFootnotenumChar"/>
          <w:rtl/>
        </w:rPr>
        <w:t>(3)</w:t>
      </w:r>
      <w:r>
        <w:rPr>
          <w:rtl/>
          <w:lang w:bidi="fa-IR"/>
        </w:rPr>
        <w:t xml:space="preserve"> ، عَفْوَكَ عَفْوَكَ</w:t>
      </w:r>
      <w:r w:rsidR="00E47D0E">
        <w:rPr>
          <w:rtl/>
          <w:lang w:bidi="fa-IR"/>
        </w:rPr>
        <w:t xml:space="preserve"> إِل</w:t>
      </w:r>
      <w:r w:rsidR="00E47D0E">
        <w:rPr>
          <w:rFonts w:hint="cs"/>
          <w:rtl/>
          <w:lang w:bidi="fa-IR"/>
        </w:rPr>
        <w:t>َّ</w:t>
      </w:r>
      <w:r w:rsidR="00E47D0E">
        <w:rPr>
          <w:rtl/>
          <w:lang w:bidi="fa-IR"/>
        </w:rPr>
        <w:t>ا</w:t>
      </w:r>
      <w:r w:rsidRPr="005D642E">
        <w:rPr>
          <w:rtl/>
          <w:lang w:bidi="fa-IR"/>
        </w:rPr>
        <w:t xml:space="preserve"> عَفَا اللهُ عَنْهُ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FD4D14">
        <w:rPr>
          <w:rtl/>
        </w:rPr>
        <w:t>4431</w:t>
      </w:r>
      <w:r w:rsidRPr="00246318">
        <w:rPr>
          <w:rStyle w:val="libBold2Char"/>
          <w:rtl/>
        </w:rPr>
        <w:t xml:space="preserve"> / 4.</w:t>
      </w:r>
      <w:r w:rsidRPr="005D642E">
        <w:rPr>
          <w:rtl/>
          <w:lang w:bidi="fa-IR"/>
        </w:rPr>
        <w:t xml:space="preserve"> مُحَمَّدُ بْنُ يَحْيى ، عَنْ أَحْمَدَ بْنِ مُحَمَّدٍ ، عَنِ ابْنِ سِنَانٍ ، عَنْ أَبِي الْجَارُودِ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كَانَ فِيمَا نَاجَى اللهَ </w:t>
      </w:r>
      <w:r w:rsidRPr="007C12DB">
        <w:rPr>
          <w:rStyle w:val="libFootnotenumChar"/>
          <w:rtl/>
        </w:rPr>
        <w:t>(5)</w:t>
      </w:r>
      <w:r w:rsidRPr="005D642E">
        <w:rPr>
          <w:rtl/>
          <w:lang w:bidi="fa-IR"/>
        </w:rPr>
        <w:t xml:space="preserve"> بِهِ مُوسى </w:t>
      </w:r>
      <w:r w:rsidRPr="007C12DB">
        <w:rPr>
          <w:rStyle w:val="libFootnotenumChar"/>
          <w:rtl/>
        </w:rPr>
        <w:t>(6)</w:t>
      </w:r>
      <w:r w:rsidRPr="005D642E">
        <w:rPr>
          <w:rtl/>
          <w:lang w:bidi="fa-IR"/>
        </w:rPr>
        <w:t xml:space="preserve"> </w:t>
      </w:r>
      <w:r w:rsidRPr="00AC51C5">
        <w:rPr>
          <w:rStyle w:val="libAlaemChar"/>
          <w:rtl/>
        </w:rPr>
        <w:t>عليه‌السلام</w:t>
      </w:r>
      <w:r w:rsidRPr="005D642E">
        <w:rPr>
          <w:rtl/>
          <w:lang w:bidi="fa-IR"/>
        </w:rPr>
        <w:t xml:space="preserve"> رَبَّهُ </w:t>
      </w:r>
      <w:r w:rsidRPr="007C12DB">
        <w:rPr>
          <w:rStyle w:val="libFootnotenumChar"/>
          <w:rtl/>
        </w:rPr>
        <w:t>(7)</w:t>
      </w:r>
      <w:r w:rsidRPr="005D642E">
        <w:rPr>
          <w:rtl/>
          <w:lang w:bidi="fa-IR"/>
        </w:rPr>
        <w:t xml:space="preserve"> قَالَ : يَا </w:t>
      </w:r>
      <w:r w:rsidRPr="007C12DB">
        <w:rPr>
          <w:rStyle w:val="libFootnotenumChar"/>
          <w:rtl/>
        </w:rPr>
        <w:t>(8)</w:t>
      </w:r>
      <w:r w:rsidRPr="005D642E">
        <w:rPr>
          <w:rtl/>
          <w:lang w:bidi="fa-IR"/>
        </w:rPr>
        <w:t xml:space="preserve"> رَبِّ ، مَا لِمَنْ غَسَّلَ الْمَوْتى</w:t>
      </w:r>
      <w:r>
        <w:rPr>
          <w:rtl/>
          <w:lang w:bidi="fa-IR"/>
        </w:rPr>
        <w:t>؟</w:t>
      </w:r>
      <w:r w:rsidRPr="005D642E">
        <w:rPr>
          <w:rtl/>
          <w:lang w:bidi="fa-IR"/>
        </w:rPr>
        <w:t xml:space="preserve"> فَقَالَ : أَغْسِلُهُ مِنْ ذُنُوبِهِ كَمَا </w:t>
      </w:r>
      <w:r w:rsidRPr="007C12DB">
        <w:rPr>
          <w:rStyle w:val="libFootnotenumChar"/>
          <w:rtl/>
        </w:rPr>
        <w:t>(9)</w:t>
      </w:r>
      <w:r w:rsidRPr="005D642E">
        <w:rPr>
          <w:rtl/>
          <w:lang w:bidi="fa-IR"/>
        </w:rPr>
        <w:t xml:space="preserve"> وَلَدَتْهُ أُمُّهُ</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Heading2Center"/>
        <w:rPr>
          <w:rtl/>
          <w:lang w:bidi="fa-IR"/>
        </w:rPr>
      </w:pPr>
      <w:bookmarkStart w:id="356" w:name="_Toc344647329"/>
      <w:bookmarkStart w:id="357" w:name="_Toc462226843"/>
      <w:bookmarkStart w:id="358" w:name="_Toc40975952"/>
      <w:r w:rsidRPr="005D642E">
        <w:rPr>
          <w:rtl/>
          <w:lang w:bidi="fa-IR"/>
        </w:rPr>
        <w:t>34</w:t>
      </w:r>
      <w:r>
        <w:rPr>
          <w:rtl/>
          <w:lang w:bidi="fa-IR"/>
        </w:rPr>
        <w:t xml:space="preserve"> </w:t>
      </w:r>
      <w:r w:rsidR="007642BC">
        <w:rPr>
          <w:rtl/>
          <w:lang w:bidi="fa-IR"/>
        </w:rPr>
        <w:t>-</w:t>
      </w:r>
      <w:r>
        <w:rPr>
          <w:rtl/>
          <w:lang w:bidi="fa-IR"/>
        </w:rPr>
        <w:t xml:space="preserve"> </w:t>
      </w:r>
      <w:r w:rsidRPr="005D642E">
        <w:rPr>
          <w:rtl/>
          <w:lang w:bidi="fa-IR"/>
        </w:rPr>
        <w:t>بَابُ ثَوَابِ مَنْ كَفَّنَ مُؤْمِناً‌</w:t>
      </w:r>
      <w:bookmarkEnd w:id="356"/>
      <w:bookmarkEnd w:id="357"/>
      <w:bookmarkEnd w:id="358"/>
    </w:p>
    <w:p w:rsidR="00E3253D" w:rsidRPr="005D642E" w:rsidRDefault="00E3253D" w:rsidP="00E3253D">
      <w:pPr>
        <w:pStyle w:val="libNormal"/>
        <w:rPr>
          <w:rtl/>
          <w:lang w:bidi="fa-IR"/>
        </w:rPr>
      </w:pPr>
      <w:r w:rsidRPr="00FD4D14">
        <w:rPr>
          <w:rtl/>
        </w:rPr>
        <w:t>4432</w:t>
      </w:r>
      <w:r w:rsidRPr="00246318">
        <w:rPr>
          <w:rStyle w:val="libBold2Char"/>
          <w:rtl/>
        </w:rPr>
        <w:t xml:space="preserve"> / 1.</w:t>
      </w:r>
      <w:r w:rsidRPr="005D642E">
        <w:rPr>
          <w:rtl/>
          <w:lang w:bidi="fa-IR"/>
        </w:rPr>
        <w:t xml:space="preserve"> عَلِيُّ بْنُ إِبْرَاهِيمَ ، عَنْ أَبِيهِ ، عَنِ ابْنِ أَبِي عُمَيْرٍ ، عَنْ سَيْفِ بْنِ عَمِيرَةَ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جن » : « رأى</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450 ، ح 1460 ، معلّقاً عن عليّ بن إبراهيم ، عن أبيه ، عن سيف بن عميرة. وفي </w:t>
      </w:r>
      <w:r w:rsidR="000D749A" w:rsidRPr="000D749A">
        <w:rPr>
          <w:rStyle w:val="libFootnoteBoldChar"/>
          <w:rtl/>
        </w:rPr>
        <w:t>الأمالي للصدوق</w:t>
      </w:r>
      <w:r w:rsidR="00E3253D" w:rsidRPr="005D642E">
        <w:rPr>
          <w:rtl/>
        </w:rPr>
        <w:t xml:space="preserve"> ، ص 540 ، المجلس 80 ، ح 4 ؛ و</w:t>
      </w:r>
      <w:r w:rsidR="00E3253D" w:rsidRPr="002F4D34">
        <w:rPr>
          <w:rStyle w:val="libFootnoteBoldChar"/>
          <w:rtl/>
        </w:rPr>
        <w:t>ثواب الأعمال</w:t>
      </w:r>
      <w:r w:rsidR="00E3253D" w:rsidRPr="005D642E">
        <w:rPr>
          <w:rtl/>
        </w:rPr>
        <w:t xml:space="preserve"> ، ص 232 ، ح 2 ، بسند آخر عن أبي عبدالله </w:t>
      </w:r>
      <w:r w:rsidR="00E3253D" w:rsidRPr="007E6386">
        <w:rPr>
          <w:rStyle w:val="libFootnoteAlaemChar"/>
          <w:rtl/>
        </w:rPr>
        <w:t>عليه‌السلام</w:t>
      </w:r>
      <w:r w:rsidR="00E3253D" w:rsidRPr="005D642E">
        <w:rPr>
          <w:rtl/>
        </w:rPr>
        <w:t xml:space="preserve"> ، وفي كلّها مع اختلاف يسير. </w:t>
      </w:r>
      <w:r w:rsidR="00E3253D" w:rsidRPr="002F4D34">
        <w:rPr>
          <w:rStyle w:val="libFootnoteBoldChar"/>
          <w:rtl/>
        </w:rPr>
        <w:t>ثواب الأعمال</w:t>
      </w:r>
      <w:r w:rsidR="00E3253D" w:rsidRPr="005D642E">
        <w:rPr>
          <w:rtl/>
        </w:rPr>
        <w:t xml:space="preserve">. ص 344 ، ضمن الحديث الطويل 1 ، بسند آخر عن رسول الله </w:t>
      </w:r>
      <w:r w:rsidRPr="007E6386">
        <w:rPr>
          <w:rStyle w:val="libFootnoteAlaemChar"/>
          <w:rtl/>
        </w:rPr>
        <w:t>صلى‌الله‌عليه‌وآله</w:t>
      </w:r>
      <w:r w:rsidR="00E3253D" w:rsidRPr="005D642E">
        <w:rPr>
          <w:rtl/>
        </w:rPr>
        <w:t xml:space="preserve"> ، مع اختلاف وزيادة. </w:t>
      </w:r>
      <w:r w:rsidR="00E3253D" w:rsidRPr="002F4D34">
        <w:rPr>
          <w:rStyle w:val="libFootnoteBoldChar"/>
          <w:rtl/>
        </w:rPr>
        <w:t>الفقيه</w:t>
      </w:r>
      <w:r w:rsidR="00E3253D" w:rsidRPr="005D642E">
        <w:rPr>
          <w:rtl/>
        </w:rPr>
        <w:t xml:space="preserve"> ، ج 1 ، ص 141 ، ح 388 ، مرسلاً. </w:t>
      </w:r>
      <w:r w:rsidR="00E3253D" w:rsidRPr="002F4D34">
        <w:rPr>
          <w:rStyle w:val="libFootnoteBoldChar"/>
          <w:rtl/>
        </w:rPr>
        <w:t>فقه الرضا</w:t>
      </w:r>
      <w:r w:rsidR="00E3253D" w:rsidRPr="005D642E">
        <w:rPr>
          <w:rtl/>
        </w:rPr>
        <w:t xml:space="preserve"> </w:t>
      </w:r>
      <w:r w:rsidR="00E3253D" w:rsidRPr="007E6386">
        <w:rPr>
          <w:rStyle w:val="libFootnoteAlaemChar"/>
          <w:rtl/>
        </w:rPr>
        <w:t>عليه‌السلام</w:t>
      </w:r>
      <w:r w:rsidR="00E3253D" w:rsidRPr="005D642E">
        <w:rPr>
          <w:rtl/>
        </w:rPr>
        <w:t xml:space="preserve"> ، ص 167 ، عن أبي عبدالله </w:t>
      </w:r>
      <w:r w:rsidR="00E3253D" w:rsidRPr="007E6386">
        <w:rPr>
          <w:rStyle w:val="libFootnoteAlaemChar"/>
          <w:rtl/>
        </w:rPr>
        <w:t>عليه‌السلام</w:t>
      </w:r>
      <w:r w:rsidR="00E3253D" w:rsidRPr="005D642E">
        <w:rPr>
          <w:rtl/>
        </w:rPr>
        <w:t xml:space="preserve"> ، مع اختلاف يسير </w:t>
      </w:r>
      <w:r w:rsidR="007E6386">
        <w:rPr>
          <w:rFonts w:hint="cs"/>
          <w:rtl/>
        </w:rPr>
        <w:t>.</w:t>
      </w:r>
      <w:r w:rsidR="00E3253D" w:rsidRPr="002F4D34">
        <w:rPr>
          <w:rStyle w:val="libFootnoteBoldChar"/>
          <w:rtl/>
        </w:rPr>
        <w:t>الوافي</w:t>
      </w:r>
      <w:r w:rsidR="00E3253D" w:rsidRPr="005D642E">
        <w:rPr>
          <w:rtl/>
        </w:rPr>
        <w:t xml:space="preserve"> ، ج 24 ، ص 285 ، ح 24041 ؛ </w:t>
      </w:r>
      <w:r w:rsidR="00E3253D" w:rsidRPr="002F4D34">
        <w:rPr>
          <w:rStyle w:val="libFootnoteBoldChar"/>
          <w:rtl/>
        </w:rPr>
        <w:t>الوسائل</w:t>
      </w:r>
      <w:r w:rsidR="00E3253D" w:rsidRPr="005D642E">
        <w:rPr>
          <w:rtl/>
        </w:rPr>
        <w:t xml:space="preserve"> ، ج 2 ، ص 495 ، ح 2734.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 يا ربّ</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الفقيه</w:t>
      </w:r>
      <w:r w:rsidR="00E3253D" w:rsidRPr="005D642E">
        <w:rPr>
          <w:rtl/>
        </w:rPr>
        <w:t xml:space="preserve"> ، ج 1 ، ص 141 ، ح 390 ، مرسلاً ؛ </w:t>
      </w:r>
      <w:r w:rsidR="00E3253D" w:rsidRPr="002F4D34">
        <w:rPr>
          <w:rStyle w:val="libFootnoteBoldChar"/>
          <w:rtl/>
        </w:rPr>
        <w:t>الاختصاص</w:t>
      </w:r>
      <w:r w:rsidR="00E3253D" w:rsidRPr="005D642E">
        <w:rPr>
          <w:rtl/>
        </w:rPr>
        <w:t xml:space="preserve"> ، ص 26 ؛ مرسلاً مع اختلاف يسير </w:t>
      </w:r>
      <w:r w:rsidR="000B353B">
        <w:rPr>
          <w:rFonts w:hint="cs"/>
          <w:rtl/>
        </w:rPr>
        <w:t>.</w:t>
      </w:r>
      <w:r w:rsidR="00E3253D" w:rsidRPr="002F4D34">
        <w:rPr>
          <w:rStyle w:val="libFootnoteBoldChar"/>
          <w:rtl/>
        </w:rPr>
        <w:t>الوافي</w:t>
      </w:r>
      <w:r w:rsidR="00E3253D" w:rsidRPr="005D642E">
        <w:rPr>
          <w:rtl/>
        </w:rPr>
        <w:t xml:space="preserve"> ، ج 24 ، ص 286 ، ح 24042 ؛ </w:t>
      </w:r>
      <w:r w:rsidR="00E3253D" w:rsidRPr="002F4D34">
        <w:rPr>
          <w:rStyle w:val="libFootnoteBoldChar"/>
          <w:rtl/>
        </w:rPr>
        <w:t>الوسائل</w:t>
      </w:r>
      <w:r w:rsidR="00E3253D" w:rsidRPr="005D642E">
        <w:rPr>
          <w:rtl/>
        </w:rPr>
        <w:t xml:space="preserve"> ، ج 2 ، ص 494 ، ح 2732.</w:t>
      </w:r>
    </w:p>
    <w:tbl>
      <w:tblPr>
        <w:tblStyle w:val="TableGrid"/>
        <w:bidiVisual/>
        <w:tblW w:w="0" w:type="auto"/>
        <w:tblLook w:val="04A0" w:firstRow="1" w:lastRow="0" w:firstColumn="1" w:lastColumn="0" w:noHBand="0" w:noVBand="1"/>
      </w:tblPr>
      <w:tblGrid>
        <w:gridCol w:w="4006"/>
        <w:gridCol w:w="4006"/>
      </w:tblGrid>
      <w:tr w:rsidR="004C5F49" w:rsidTr="004C5F49">
        <w:tc>
          <w:tcPr>
            <w:tcW w:w="4006" w:type="dxa"/>
          </w:tcPr>
          <w:p w:rsidR="004C5F49" w:rsidRDefault="004C5F49" w:rsidP="00E3253D">
            <w:pPr>
              <w:pStyle w:val="libFootnote0"/>
              <w:rPr>
                <w:rStyle w:val="libFootnote0Char"/>
                <w:rtl/>
              </w:rPr>
            </w:pPr>
            <w:r w:rsidRPr="0042621E">
              <w:rPr>
                <w:rStyle w:val="libFootnote0Char"/>
                <w:rtl/>
              </w:rPr>
              <w:t>(5).</w:t>
            </w:r>
            <w:r>
              <w:rPr>
                <w:rtl/>
              </w:rPr>
              <w:t xml:space="preserve"> في حاشية«بث»</w:t>
            </w:r>
            <w:r w:rsidRPr="005D642E">
              <w:rPr>
                <w:rtl/>
              </w:rPr>
              <w:t xml:space="preserve">والوسائل </w:t>
            </w:r>
            <w:r w:rsidRPr="009E68BB">
              <w:rPr>
                <w:rStyle w:val="libFootnoteBoldChar"/>
                <w:rtl/>
              </w:rPr>
              <w:t>وتحف العقول</w:t>
            </w:r>
            <w:r w:rsidRPr="005D642E">
              <w:rPr>
                <w:rtl/>
              </w:rPr>
              <w:t>:</w:t>
            </w:r>
            <w:r>
              <w:rPr>
                <w:rtl/>
              </w:rPr>
              <w:t>-«الل</w:t>
            </w:r>
            <w:r>
              <w:rPr>
                <w:rFonts w:hint="cs"/>
                <w:rtl/>
              </w:rPr>
              <w:t>ه</w:t>
            </w:r>
            <w:r>
              <w:rPr>
                <w:rtl/>
              </w:rPr>
              <w:t>».</w:t>
            </w:r>
          </w:p>
        </w:tc>
        <w:tc>
          <w:tcPr>
            <w:tcW w:w="4006" w:type="dxa"/>
          </w:tcPr>
          <w:p w:rsidR="004C5F49" w:rsidRDefault="004C5F49" w:rsidP="00E3253D">
            <w:pPr>
              <w:pStyle w:val="libFootnote0"/>
              <w:rPr>
                <w:rStyle w:val="libFootnote0Char"/>
                <w:rtl/>
              </w:rPr>
            </w:pPr>
            <w:r w:rsidRPr="0042621E">
              <w:rPr>
                <w:rStyle w:val="libFootnote0Char"/>
                <w:rtl/>
              </w:rPr>
              <w:t>(6).</w:t>
            </w:r>
            <w:r w:rsidR="001B031E">
              <w:rPr>
                <w:rtl/>
              </w:rPr>
              <w:t xml:space="preserve"> في حاشية «بث ، بح ، بخ» : + «</w:t>
            </w:r>
            <w:r w:rsidRPr="005D642E">
              <w:rPr>
                <w:rtl/>
              </w:rPr>
              <w:t>بن عمران</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والثواب. وفي المطبوع :</w:t>
      </w:r>
      <w:r w:rsidR="00E3253D">
        <w:rPr>
          <w:rtl/>
        </w:rPr>
        <w:t xml:space="preserve"> </w:t>
      </w:r>
      <w:r w:rsidR="007642BC">
        <w:rPr>
          <w:rtl/>
        </w:rPr>
        <w:t>-</w:t>
      </w:r>
      <w:r w:rsidR="00E3253D">
        <w:rPr>
          <w:rtl/>
        </w:rPr>
        <w:t xml:space="preserve"> </w:t>
      </w:r>
      <w:r w:rsidR="00E3253D" w:rsidRPr="005D642E">
        <w:rPr>
          <w:rtl/>
        </w:rPr>
        <w:t>« ربّه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459D6" w:rsidTr="00D459D6">
        <w:tc>
          <w:tcPr>
            <w:tcW w:w="4006" w:type="dxa"/>
          </w:tcPr>
          <w:p w:rsidR="00D459D6" w:rsidRDefault="00D459D6" w:rsidP="00E3253D">
            <w:pPr>
              <w:pStyle w:val="libFootnote0"/>
              <w:rPr>
                <w:rStyle w:val="libFootnote0Char"/>
                <w:rtl/>
                <w:lang w:bidi="fa-IR"/>
              </w:rPr>
            </w:pPr>
            <w:r w:rsidRPr="0042621E">
              <w:rPr>
                <w:rStyle w:val="libFootnote0Char"/>
                <w:rtl/>
              </w:rPr>
              <w:t>(8).</w:t>
            </w:r>
            <w:r w:rsidRPr="005D642E">
              <w:rPr>
                <w:rtl/>
              </w:rPr>
              <w:t xml:space="preserve"> في الوافي :</w:t>
            </w:r>
            <w:r>
              <w:rPr>
                <w:rtl/>
              </w:rPr>
              <w:t xml:space="preserve"> - </w:t>
            </w:r>
            <w:r w:rsidRPr="005D642E">
              <w:rPr>
                <w:rtl/>
              </w:rPr>
              <w:t>« يا</w:t>
            </w:r>
            <w:r>
              <w:rPr>
                <w:rtl/>
              </w:rPr>
              <w:t xml:space="preserve"> ».</w:t>
            </w:r>
          </w:p>
        </w:tc>
        <w:tc>
          <w:tcPr>
            <w:tcW w:w="4006" w:type="dxa"/>
          </w:tcPr>
          <w:p w:rsidR="00D459D6" w:rsidRDefault="00D459D6" w:rsidP="00E3253D">
            <w:pPr>
              <w:pStyle w:val="libFootnote0"/>
              <w:rPr>
                <w:rStyle w:val="libFootnote0Char"/>
                <w:rtl/>
                <w:lang w:bidi="fa-IR"/>
              </w:rPr>
            </w:pPr>
            <w:r w:rsidRPr="0042621E">
              <w:rPr>
                <w:rStyle w:val="libFootnote0Char"/>
                <w:rtl/>
              </w:rPr>
              <w:t>(9).</w:t>
            </w:r>
            <w:r w:rsidRPr="005D642E">
              <w:rPr>
                <w:rtl/>
              </w:rPr>
              <w:t xml:space="preserve"> في الفقيه والثواب : « كيوم</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ثواب الأعمال</w:t>
      </w:r>
      <w:r w:rsidR="00E3253D" w:rsidRPr="005D642E">
        <w:rPr>
          <w:rtl/>
        </w:rPr>
        <w:t xml:space="preserve"> ، ص 231 ، ضمن ح 1 ، بسنده عن أحمد بن محمّد بن عيسى ، عن محمّد بن سنان. </w:t>
      </w:r>
      <w:r w:rsidR="00E3253D" w:rsidRPr="002F4D34">
        <w:rPr>
          <w:rStyle w:val="libFootnoteBoldChar"/>
          <w:rtl/>
        </w:rPr>
        <w:t>الفقيه</w:t>
      </w:r>
      <w:r w:rsidR="00E3253D" w:rsidRPr="005D642E">
        <w:rPr>
          <w:rtl/>
        </w:rPr>
        <w:t xml:space="preserve"> ، ج 1 ، ص 140 ، ح 387 ، مرسلاً ومع زيادة ، وفيهما مع اختلاف يسير </w:t>
      </w:r>
      <w:r w:rsidR="00BA0947">
        <w:rPr>
          <w:rFonts w:hint="cs"/>
          <w:rtl/>
        </w:rPr>
        <w:t>.</w:t>
      </w:r>
      <w:r w:rsidR="00E3253D" w:rsidRPr="002F4D34">
        <w:rPr>
          <w:rStyle w:val="libFootnoteBoldChar"/>
          <w:rtl/>
        </w:rPr>
        <w:t>الوافي</w:t>
      </w:r>
      <w:r w:rsidR="00E3253D" w:rsidRPr="005D642E">
        <w:rPr>
          <w:rtl/>
        </w:rPr>
        <w:t xml:space="preserve"> ، ج 24 ، ص 286 ، ح 24043 ؛ </w:t>
      </w:r>
      <w:r w:rsidR="00E3253D" w:rsidRPr="002F4D34">
        <w:rPr>
          <w:rStyle w:val="libFootnoteBoldChar"/>
          <w:rtl/>
        </w:rPr>
        <w:t>الوسائل</w:t>
      </w:r>
      <w:r w:rsidR="00E3253D" w:rsidRPr="005D642E">
        <w:rPr>
          <w:rtl/>
        </w:rPr>
        <w:t xml:space="preserve"> ، ج 2 ، ص 495 ، ح 2733.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سَعْدِ بْنِ طَرِيفٍ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مَنْ كَفَّنَ مُؤْمِناً ، كَانَ كَمَنْ ضَمِنَ كِسْوَتَهُ إِلى يَوْمِ الْقِيَامَةِ</w:t>
      </w:r>
      <w:r>
        <w:rPr>
          <w:rtl/>
          <w:lang w:bidi="fa-IR"/>
        </w:rPr>
        <w:t xml:space="preserve"> ».</w:t>
      </w:r>
      <w:r w:rsidRPr="007C12DB">
        <w:rPr>
          <w:rStyle w:val="libFootnotenumChar"/>
          <w:rtl/>
        </w:rPr>
        <w:t>(1)</w:t>
      </w:r>
      <w:r w:rsidRPr="005D642E">
        <w:rPr>
          <w:rtl/>
          <w:lang w:bidi="fa-IR"/>
        </w:rPr>
        <w:t>‌</w:t>
      </w:r>
    </w:p>
    <w:p w:rsidR="00E3253D" w:rsidRPr="005D642E" w:rsidRDefault="00E3253D" w:rsidP="00E3253D">
      <w:pPr>
        <w:pStyle w:val="Heading2Center"/>
        <w:rPr>
          <w:rtl/>
          <w:lang w:bidi="fa-IR"/>
        </w:rPr>
      </w:pPr>
      <w:bookmarkStart w:id="359" w:name="_Toc344647330"/>
      <w:bookmarkStart w:id="360" w:name="_Toc462226844"/>
      <w:bookmarkStart w:id="361" w:name="_Toc40975953"/>
      <w:r w:rsidRPr="005D642E">
        <w:rPr>
          <w:rtl/>
          <w:lang w:bidi="fa-IR"/>
        </w:rPr>
        <w:t>35</w:t>
      </w:r>
      <w:r>
        <w:rPr>
          <w:rtl/>
          <w:lang w:bidi="fa-IR"/>
        </w:rPr>
        <w:t xml:space="preserve"> </w:t>
      </w:r>
      <w:r w:rsidR="007642BC">
        <w:rPr>
          <w:rtl/>
          <w:lang w:bidi="fa-IR"/>
        </w:rPr>
        <w:t>-</w:t>
      </w:r>
      <w:r>
        <w:rPr>
          <w:rtl/>
          <w:lang w:bidi="fa-IR"/>
        </w:rPr>
        <w:t xml:space="preserve"> </w:t>
      </w:r>
      <w:r w:rsidRPr="005D642E">
        <w:rPr>
          <w:rtl/>
          <w:lang w:bidi="fa-IR"/>
        </w:rPr>
        <w:t>بَابُ ثَوَابِ مَنْ حَفَرَ لِمُؤْمِنٍ قَبْراً‌</w:t>
      </w:r>
      <w:bookmarkEnd w:id="359"/>
      <w:bookmarkEnd w:id="360"/>
      <w:bookmarkEnd w:id="361"/>
    </w:p>
    <w:p w:rsidR="00E3253D" w:rsidRPr="005D642E" w:rsidRDefault="00E3253D" w:rsidP="00E3253D">
      <w:pPr>
        <w:pStyle w:val="libNormal"/>
        <w:rPr>
          <w:rtl/>
          <w:lang w:bidi="fa-IR"/>
        </w:rPr>
      </w:pPr>
      <w:r w:rsidRPr="00FD4D14">
        <w:rPr>
          <w:rtl/>
        </w:rPr>
        <w:t>4433</w:t>
      </w:r>
      <w:r w:rsidRPr="00246318">
        <w:rPr>
          <w:rStyle w:val="libBold2Char"/>
          <w:rtl/>
        </w:rPr>
        <w:t xml:space="preserve"> / 1.</w:t>
      </w:r>
      <w:r w:rsidRPr="005D642E">
        <w:rPr>
          <w:rtl/>
          <w:lang w:bidi="fa-IR"/>
        </w:rPr>
        <w:t xml:space="preserve"> عَلِيُّ بْنُ إِبْرَاهِيمَ ، عَنْ أَبِيهِ ، عَنِ ابْنِ أَبِي عُمَيْرٍ ، عَنْ سَيْفِ بْنِ عَمِيرَةَ ، عَنْ سَعْدِ بْنِ طَرِيفٍ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مَنْ حَفَرَ لِمَيِّتٍ </w:t>
      </w:r>
      <w:r w:rsidRPr="007C12DB">
        <w:rPr>
          <w:rStyle w:val="libFootnotenumChar"/>
          <w:rtl/>
        </w:rPr>
        <w:t>(2)</w:t>
      </w:r>
      <w:r w:rsidRPr="005D642E">
        <w:rPr>
          <w:rtl/>
          <w:lang w:bidi="fa-IR"/>
        </w:rPr>
        <w:t xml:space="preserve"> قَبْراً ، كَانَ كَمَنْ بَوَّأَهُ </w:t>
      </w:r>
      <w:r w:rsidRPr="007C12DB">
        <w:rPr>
          <w:rStyle w:val="libFootnotenumChar"/>
          <w:rtl/>
        </w:rPr>
        <w:t>(3)</w:t>
      </w:r>
      <w:r w:rsidRPr="005D642E">
        <w:rPr>
          <w:rtl/>
          <w:lang w:bidi="fa-IR"/>
        </w:rPr>
        <w:t xml:space="preserve"> بَيْتاً مُوَافِقاً إِلى يَوْمِ الْقِيَامَةِ</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362" w:name="_Toc344647331"/>
      <w:bookmarkStart w:id="363" w:name="_Toc462226845"/>
      <w:bookmarkStart w:id="364" w:name="_Toc40975954"/>
      <w:r w:rsidRPr="005D642E">
        <w:rPr>
          <w:rtl/>
          <w:lang w:bidi="fa-IR"/>
        </w:rPr>
        <w:t>36</w:t>
      </w:r>
      <w:r>
        <w:rPr>
          <w:rtl/>
          <w:lang w:bidi="fa-IR"/>
        </w:rPr>
        <w:t xml:space="preserve"> </w:t>
      </w:r>
      <w:r w:rsidR="007642BC">
        <w:rPr>
          <w:rtl/>
          <w:lang w:bidi="fa-IR"/>
        </w:rPr>
        <w:t>-</w:t>
      </w:r>
      <w:r>
        <w:rPr>
          <w:rtl/>
          <w:lang w:bidi="fa-IR"/>
        </w:rPr>
        <w:t xml:space="preserve"> </w:t>
      </w:r>
      <w:r w:rsidRPr="005D642E">
        <w:rPr>
          <w:rtl/>
          <w:lang w:bidi="fa-IR"/>
        </w:rPr>
        <w:t xml:space="preserve">بَابُ حَدِّ حَفْرِ الْقَبْرِ </w:t>
      </w:r>
      <w:r w:rsidRPr="007C12DB">
        <w:rPr>
          <w:rStyle w:val="libFootnotenumChar"/>
          <w:rtl/>
        </w:rPr>
        <w:t>(5)</w:t>
      </w:r>
      <w:r>
        <w:rPr>
          <w:rtl/>
        </w:rPr>
        <w:t xml:space="preserve"> </w:t>
      </w:r>
      <w:r w:rsidRPr="005D642E">
        <w:rPr>
          <w:rtl/>
          <w:lang w:bidi="fa-IR"/>
        </w:rPr>
        <w:t xml:space="preserve">وَاللَّحْدِ وَالشَّقِّ وَأَنَّ رَسُولَ اللهِ </w:t>
      </w:r>
      <w:r w:rsidR="0042621E" w:rsidRPr="0042621E">
        <w:rPr>
          <w:rStyle w:val="libAlaemChar"/>
          <w:rtl/>
        </w:rPr>
        <w:t>صلى‌الله‌عليه‌وآله</w:t>
      </w:r>
      <w:r w:rsidRPr="005D642E">
        <w:rPr>
          <w:rtl/>
          <w:lang w:bidi="fa-IR"/>
        </w:rPr>
        <w:t xml:space="preserve"> لُحِدَ </w:t>
      </w:r>
      <w:r w:rsidRPr="007C12DB">
        <w:rPr>
          <w:rStyle w:val="libFootnotenumChar"/>
          <w:rtl/>
        </w:rPr>
        <w:t>(6)</w:t>
      </w:r>
      <w:r>
        <w:rPr>
          <w:rtl/>
        </w:rPr>
        <w:t xml:space="preserve"> </w:t>
      </w:r>
      <w:r w:rsidRPr="005D642E">
        <w:rPr>
          <w:rtl/>
          <w:lang w:bidi="fa-IR"/>
        </w:rPr>
        <w:t>لَهُ‌</w:t>
      </w:r>
      <w:bookmarkEnd w:id="362"/>
      <w:bookmarkEnd w:id="363"/>
      <w:bookmarkEnd w:id="364"/>
    </w:p>
    <w:p w:rsidR="00E3253D" w:rsidRPr="005D642E" w:rsidRDefault="00E3253D" w:rsidP="00E3253D">
      <w:pPr>
        <w:pStyle w:val="libNormal"/>
        <w:rPr>
          <w:rtl/>
          <w:lang w:bidi="fa-IR"/>
        </w:rPr>
      </w:pPr>
      <w:r w:rsidRPr="00FD4D14">
        <w:rPr>
          <w:rtl/>
        </w:rPr>
        <w:t>4434</w:t>
      </w:r>
      <w:r w:rsidRPr="00246318">
        <w:rPr>
          <w:rStyle w:val="libBold2Char"/>
          <w:rtl/>
        </w:rPr>
        <w:t xml:space="preserve"> / 1.</w:t>
      </w:r>
      <w:r w:rsidRPr="005D642E">
        <w:rPr>
          <w:rtl/>
          <w:lang w:bidi="fa-IR"/>
        </w:rPr>
        <w:t xml:space="preserve"> سَهْلُ بْنُ زِيَادٍ </w:t>
      </w:r>
      <w:r w:rsidRPr="007C12DB">
        <w:rPr>
          <w:rStyle w:val="libFootnotenumChar"/>
          <w:rtl/>
        </w:rPr>
        <w:t>(7)</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رَوى أَصْحَابُنَا أَنَّ حَدَّ الْقَبْرِ إِلَى التَّرْقُوَةِ ؛ وَقَالَ بَعْضُهُمْ : إِلَى الثَّدْيِ ؛ وَقَالَ بَعْضُهُمْ :</w:t>
      </w:r>
      <w:r>
        <w:rPr>
          <w:rFonts w:hint="cs"/>
          <w:rtl/>
          <w:lang w:bidi="fa-IR"/>
        </w:rPr>
        <w:t xml:space="preserve"> </w:t>
      </w:r>
      <w:r w:rsidRPr="005D642E">
        <w:rPr>
          <w:rtl/>
          <w:lang w:bidi="fa-IR"/>
        </w:rPr>
        <w:t xml:space="preserve">قَامَةِ الرَّجُلِ حَتّى يُمَدَّ الثَّوْبُ </w:t>
      </w:r>
      <w:r w:rsidRPr="007C12DB">
        <w:rPr>
          <w:rStyle w:val="libFootnotenumChar"/>
          <w:rtl/>
        </w:rPr>
        <w:t>(8)</w:t>
      </w:r>
      <w:r w:rsidRPr="005D642E">
        <w:rPr>
          <w:rtl/>
          <w:lang w:bidi="fa-IR"/>
        </w:rPr>
        <w:t xml:space="preserve"> عَلى رَأْسِ مَنْ فِي الْقَبْرِ.</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6B6B32">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450 ، ح 1459 ، معلّقاً عن سعد بن طريف. </w:t>
      </w:r>
      <w:r w:rsidR="00E3253D" w:rsidRPr="002F4D34">
        <w:rPr>
          <w:rStyle w:val="libFootnoteBoldChar"/>
          <w:rtl/>
        </w:rPr>
        <w:t>الفقيه</w:t>
      </w:r>
      <w:r w:rsidR="00E3253D" w:rsidRPr="005D642E">
        <w:rPr>
          <w:rtl/>
        </w:rPr>
        <w:t xml:space="preserve"> ، ج 1 ، ص 152 ، ح 417 ، مرسلاً عن الصادق </w:t>
      </w:r>
      <w:r w:rsidR="00E3253D" w:rsidRPr="00574431">
        <w:rPr>
          <w:rStyle w:val="libFootnoteAlaemChar"/>
          <w:rtl/>
        </w:rPr>
        <w:t>عليه‌السلام</w:t>
      </w:r>
      <w:r w:rsidR="00E3253D" w:rsidRPr="005D642E">
        <w:rPr>
          <w:rtl/>
        </w:rPr>
        <w:t xml:space="preserve"> ، مع اختلاف يسير وزيادة في آخره </w:t>
      </w:r>
      <w:r w:rsidR="00574431">
        <w:rPr>
          <w:rFonts w:hint="cs"/>
          <w:rtl/>
        </w:rPr>
        <w:t>.</w:t>
      </w:r>
      <w:r w:rsidR="00E3253D" w:rsidRPr="002F4D34">
        <w:rPr>
          <w:rStyle w:val="libFootnoteBoldChar"/>
          <w:rtl/>
        </w:rPr>
        <w:t>الوافي</w:t>
      </w:r>
      <w:r w:rsidR="00E3253D" w:rsidRPr="005D642E">
        <w:rPr>
          <w:rtl/>
        </w:rPr>
        <w:t xml:space="preserve"> ، ج 24 ، ص 287 ، صدر ح 24045 ؛ </w:t>
      </w:r>
      <w:r w:rsidR="00E3253D" w:rsidRPr="002F4D34">
        <w:rPr>
          <w:rStyle w:val="libFootnoteBoldChar"/>
          <w:rtl/>
        </w:rPr>
        <w:t>الوسائل</w:t>
      </w:r>
      <w:r w:rsidR="00E3253D" w:rsidRPr="005D642E">
        <w:rPr>
          <w:rtl/>
        </w:rPr>
        <w:t xml:space="preserve"> ، ج 3 ، ص 48 ، ح 2993.</w:t>
      </w:r>
      <w:r w:rsidR="006B6B32">
        <w:rPr>
          <w:rFonts w:hint="cs"/>
          <w:rtl/>
        </w:rPr>
        <w:t xml:space="preserve">               </w:t>
      </w:r>
      <w:r w:rsidRPr="0042621E">
        <w:rPr>
          <w:rStyle w:val="libFootnote0Char"/>
          <w:rtl/>
        </w:rPr>
        <w:t>(2).</w:t>
      </w:r>
      <w:r w:rsidR="006A35C2">
        <w:rPr>
          <w:rtl/>
        </w:rPr>
        <w:t xml:space="preserve"> في«بح»:«</w:t>
      </w:r>
      <w:r w:rsidR="00E3253D" w:rsidRPr="005D642E">
        <w:rPr>
          <w:rtl/>
        </w:rPr>
        <w:t>للميّت</w:t>
      </w:r>
      <w:r w:rsidR="00E3253D">
        <w:rPr>
          <w:rtl/>
        </w:rPr>
        <w:t>».</w:t>
      </w:r>
      <w:r w:rsidR="006A35C2">
        <w:rPr>
          <w:rtl/>
        </w:rPr>
        <w:t>وفي«بخ</w:t>
      </w:r>
      <w:r w:rsidR="00E3253D" w:rsidRPr="005D642E">
        <w:rPr>
          <w:rtl/>
        </w:rPr>
        <w:t>»</w:t>
      </w:r>
      <w:r w:rsidR="009E68BB" w:rsidRPr="009E68BB">
        <w:rPr>
          <w:rStyle w:val="libFootnoteBoldChar"/>
          <w:rtl/>
        </w:rPr>
        <w:t>وتحف العقول</w:t>
      </w:r>
      <w:r w:rsidR="006A35C2">
        <w:rPr>
          <w:rtl/>
        </w:rPr>
        <w:t>:«</w:t>
      </w:r>
      <w:r w:rsidR="00E3253D" w:rsidRPr="005D642E">
        <w:rPr>
          <w:rtl/>
        </w:rPr>
        <w:t>لمؤمن</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بوّأه » أي أعطاه باءةً ، أي منزلاً. راجع : </w:t>
      </w:r>
      <w:r w:rsidR="00E3253D" w:rsidRPr="002F4D34">
        <w:rPr>
          <w:rStyle w:val="libFootnoteBoldChar"/>
          <w:rtl/>
        </w:rPr>
        <w:t>لسان العرب</w:t>
      </w:r>
      <w:r w:rsidR="00E3253D" w:rsidRPr="005D642E">
        <w:rPr>
          <w:rtl/>
        </w:rPr>
        <w:t xml:space="preserve"> ، ج 1 ، ص 38 ( بوأ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450 ، ح 1462 ، معلّقاً عن سعد بن طريف. </w:t>
      </w:r>
      <w:r w:rsidR="00E3253D" w:rsidRPr="002F4D34">
        <w:rPr>
          <w:rStyle w:val="libFootnoteBoldChar"/>
          <w:rtl/>
        </w:rPr>
        <w:t>الفقيه</w:t>
      </w:r>
      <w:r w:rsidR="00E3253D" w:rsidRPr="005D642E">
        <w:rPr>
          <w:rtl/>
        </w:rPr>
        <w:t xml:space="preserve"> ، ج 1 ، ص 152 ، ح 417 ، مرسلاً عن الصادق </w:t>
      </w:r>
      <w:r w:rsidR="00E3253D" w:rsidRPr="00574431">
        <w:rPr>
          <w:rStyle w:val="libFootnoteAlaemChar"/>
          <w:rtl/>
        </w:rPr>
        <w:t>عليه‌السلام</w:t>
      </w:r>
      <w:r w:rsidR="00E3253D" w:rsidRPr="005D642E">
        <w:rPr>
          <w:rtl/>
        </w:rPr>
        <w:t xml:space="preserve"> ، مع اختلاف يسير وزيادة في أوّله. وراجع : </w:t>
      </w:r>
      <w:r w:rsidR="00E3253D" w:rsidRPr="002F4D34">
        <w:rPr>
          <w:rStyle w:val="libFootnoteBoldChar"/>
          <w:rtl/>
        </w:rPr>
        <w:t>ثواب الأعمال</w:t>
      </w:r>
      <w:r w:rsidR="00E3253D" w:rsidRPr="005D642E">
        <w:rPr>
          <w:rtl/>
        </w:rPr>
        <w:t xml:space="preserve"> ، ص 333 ، ح 1 </w:t>
      </w:r>
      <w:r w:rsidR="006A35C2">
        <w:rPr>
          <w:rFonts w:hint="cs"/>
          <w:rtl/>
        </w:rPr>
        <w:t>.</w:t>
      </w:r>
      <w:r w:rsidR="00E3253D" w:rsidRPr="002F4D34">
        <w:rPr>
          <w:rStyle w:val="libFootnoteBoldChar"/>
          <w:rtl/>
        </w:rPr>
        <w:t>الوافي</w:t>
      </w:r>
      <w:r w:rsidR="00E3253D" w:rsidRPr="005D642E">
        <w:rPr>
          <w:rtl/>
        </w:rPr>
        <w:t xml:space="preserve"> ، ج 24 ، ص 287 ، ذيل ح 24045 ؛ </w:t>
      </w:r>
      <w:r w:rsidR="00E3253D" w:rsidRPr="002F4D34">
        <w:rPr>
          <w:rStyle w:val="libFootnoteBoldChar"/>
          <w:rtl/>
        </w:rPr>
        <w:t>الوسائل</w:t>
      </w:r>
      <w:r w:rsidR="00E3253D" w:rsidRPr="005D642E">
        <w:rPr>
          <w:rtl/>
        </w:rPr>
        <w:t xml:space="preserve"> ، ج 3 ، ص 160 ، ح 3288.</w:t>
      </w:r>
    </w:p>
    <w:tbl>
      <w:tblPr>
        <w:tblStyle w:val="TableGrid"/>
        <w:bidiVisual/>
        <w:tblW w:w="0" w:type="auto"/>
        <w:tblLook w:val="04A0" w:firstRow="1" w:lastRow="0" w:firstColumn="1" w:lastColumn="0" w:noHBand="0" w:noVBand="1"/>
      </w:tblPr>
      <w:tblGrid>
        <w:gridCol w:w="4006"/>
        <w:gridCol w:w="4006"/>
      </w:tblGrid>
      <w:tr w:rsidR="00B72410" w:rsidTr="00B72410">
        <w:tc>
          <w:tcPr>
            <w:tcW w:w="4006" w:type="dxa"/>
          </w:tcPr>
          <w:p w:rsidR="00B72410" w:rsidRDefault="00B72410" w:rsidP="00E3253D">
            <w:pPr>
              <w:pStyle w:val="libFootnote0"/>
              <w:rPr>
                <w:rStyle w:val="libFootnote0Char"/>
                <w:rtl/>
              </w:rPr>
            </w:pPr>
            <w:r w:rsidRPr="0042621E">
              <w:rPr>
                <w:rStyle w:val="libFootnote0Char"/>
                <w:rtl/>
              </w:rPr>
              <w:t>(5).</w:t>
            </w:r>
            <w:r>
              <w:rPr>
                <w:rtl/>
              </w:rPr>
              <w:t xml:space="preserve"> في حاشية «ظ</w:t>
            </w:r>
            <w:r w:rsidRPr="005D642E">
              <w:rPr>
                <w:rtl/>
              </w:rPr>
              <w:t>» : « الحفر » بدل « حفر القبر</w:t>
            </w:r>
            <w:r>
              <w:rPr>
                <w:rtl/>
              </w:rPr>
              <w:t xml:space="preserve"> ».</w:t>
            </w:r>
          </w:p>
        </w:tc>
        <w:tc>
          <w:tcPr>
            <w:tcW w:w="4006" w:type="dxa"/>
          </w:tcPr>
          <w:p w:rsidR="00B72410" w:rsidRDefault="00B72410" w:rsidP="00E3253D">
            <w:pPr>
              <w:pStyle w:val="libFootnote0"/>
              <w:rPr>
                <w:rStyle w:val="libFootnote0Char"/>
                <w:rtl/>
              </w:rPr>
            </w:pPr>
            <w:r w:rsidRPr="0042621E">
              <w:rPr>
                <w:rStyle w:val="libFootnote0Char"/>
                <w:rtl/>
              </w:rPr>
              <w:t>(6).</w:t>
            </w:r>
            <w:r w:rsidRPr="005D642E">
              <w:rPr>
                <w:rtl/>
              </w:rPr>
              <w:t xml:space="preserve"> في « بخ » : « لحّد</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يحتمل كون السند معلّقاً على سند الحديث 4428 ، وكذا الأمر في السند الآتي بعده ؛ فإنّ سهل بن زياد ليس من مشايخ المصنّف ، كما تقدّم في </w:t>
      </w:r>
      <w:r w:rsidR="00E3253D" w:rsidRPr="002F4D34">
        <w:rPr>
          <w:rStyle w:val="libFootnoteBoldChar"/>
          <w:rtl/>
        </w:rPr>
        <w:t>الكافي</w:t>
      </w:r>
      <w:r w:rsidR="00E3253D" w:rsidRPr="005D642E">
        <w:rPr>
          <w:rtl/>
        </w:rPr>
        <w:t xml:space="preserve"> ، ذيل ح 4392 ، فلاحظ.</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ج 14 ، ص 2 : « قوله </w:t>
      </w:r>
      <w:r w:rsidR="00E3253D" w:rsidRPr="006A35C2">
        <w:rPr>
          <w:rStyle w:val="libFootnoteAlaemChar"/>
          <w:rtl/>
        </w:rPr>
        <w:t>عليه‌السلام</w:t>
      </w:r>
      <w:r w:rsidR="00E3253D" w:rsidRPr="005D642E">
        <w:rPr>
          <w:rtl/>
        </w:rPr>
        <w:t xml:space="preserve"> : حتّى يمدّ الثوب ، ربّما يستدلّ به على</w:t>
      </w:r>
      <w:r w:rsidR="00D82EF5">
        <w:rPr>
          <w:rFonts w:hint="cs"/>
          <w:rtl/>
        </w:rPr>
        <w:t xml:space="preserve"> </w:t>
      </w:r>
      <w:r w:rsidR="00D82EF5" w:rsidRPr="005D642E">
        <w:rPr>
          <w:rtl/>
        </w:rPr>
        <w:t>استحباب مدّ الثوب على</w:t>
      </w:r>
      <w:r w:rsidR="00E3253D" w:rsidRPr="005D642E">
        <w:rPr>
          <w:rtl/>
        </w:rPr>
        <w:t xml:space="preserve"> </w:t>
      </w:r>
      <w:r w:rsidR="00884F7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وَأَمَّا </w:t>
      </w:r>
      <w:r w:rsidRPr="007C12DB">
        <w:rPr>
          <w:rStyle w:val="libFootnotenumChar"/>
          <w:rtl/>
        </w:rPr>
        <w:t>(1)</w:t>
      </w:r>
      <w:r w:rsidRPr="005D642E">
        <w:rPr>
          <w:rtl/>
          <w:lang w:bidi="fa-IR"/>
        </w:rPr>
        <w:t xml:space="preserve"> اللَّحْدُ ، فَبِقَدْرِ </w:t>
      </w:r>
      <w:r w:rsidRPr="007C12DB">
        <w:rPr>
          <w:rStyle w:val="libFootnotenumChar"/>
          <w:rtl/>
        </w:rPr>
        <w:t>(2)</w:t>
      </w:r>
      <w:r w:rsidRPr="005D642E">
        <w:rPr>
          <w:rtl/>
          <w:lang w:bidi="fa-IR"/>
        </w:rPr>
        <w:t xml:space="preserve"> مَا يُمْكِنُ فِيهِ الْجُلُوسُ ؛ قَالَ : وَلَمَّا حَضَرَ عَلِيَّ بْنَ الْحُسَيْنِ </w:t>
      </w:r>
      <w:r w:rsidRPr="00AC51C5">
        <w:rPr>
          <w:rStyle w:val="libAlaemChar"/>
          <w:rtl/>
        </w:rPr>
        <w:t>عليهما‌السلام</w:t>
      </w:r>
      <w:r w:rsidRPr="005D642E">
        <w:rPr>
          <w:rtl/>
          <w:lang w:bidi="fa-IR"/>
        </w:rPr>
        <w:t xml:space="preserve"> الْوَفَاةُ ، أُغْمِيَ عَلَيْهِ </w:t>
      </w:r>
      <w:r w:rsidRPr="007C12DB">
        <w:rPr>
          <w:rStyle w:val="libFootnotenumChar"/>
          <w:rtl/>
        </w:rPr>
        <w:t>(3)</w:t>
      </w:r>
      <w:r w:rsidRPr="005D642E">
        <w:rPr>
          <w:rtl/>
          <w:lang w:bidi="fa-IR"/>
        </w:rPr>
        <w:t xml:space="preserve"> ، فَبَقِيَ سَاعَةً ، ثُمَّ رُفِعَ عَنْهُ الثَّوْبُ ، ثُمَّ قَالَ : « الْحَمْدُ لِلّهِ الَّذِي أَوْرَثَنَا الْجَنَّةَ ، نَتَبَوَّأُ مِنْهَا </w:t>
      </w:r>
      <w:r w:rsidRPr="007C12DB">
        <w:rPr>
          <w:rStyle w:val="libFootnotenumChar"/>
          <w:rtl/>
        </w:rPr>
        <w:t>(4)</w:t>
      </w:r>
      <w:r w:rsidRPr="005D642E">
        <w:rPr>
          <w:rtl/>
          <w:lang w:bidi="fa-IR"/>
        </w:rPr>
        <w:t xml:space="preserve"> حَيْثُ نَشَاءُ ، فَنِعْمَ أَجْرُ الْعَامِلِينَ » </w:t>
      </w:r>
      <w:r w:rsidRPr="007C12DB">
        <w:rPr>
          <w:rStyle w:val="libFootnotenumChar"/>
          <w:rtl/>
        </w:rPr>
        <w:t>(5)</w:t>
      </w:r>
      <w:r w:rsidRPr="005D642E">
        <w:rPr>
          <w:rtl/>
          <w:lang w:bidi="fa-IR"/>
        </w:rPr>
        <w:t xml:space="preserve"> ثُمَّ قَالَ : « احْفِرُوا لِي ، وَابْلُغُوا إِلَى الرَّشْحِ » قَالَ : ثُمَّ مُدَّ الثَّوْبُ عَلَيْهِ ، فَمَاتَ </w:t>
      </w:r>
      <w:r w:rsidRPr="00AC51C5">
        <w:rPr>
          <w:rStyle w:val="libAlaemChar"/>
          <w:rtl/>
        </w:rPr>
        <w:t>عليه‌السلام</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FD4D14">
        <w:rPr>
          <w:rtl/>
        </w:rPr>
        <w:t>4435</w:t>
      </w:r>
      <w:r w:rsidRPr="00246318">
        <w:rPr>
          <w:rStyle w:val="libBold2Char"/>
          <w:rtl/>
        </w:rPr>
        <w:t xml:space="preserve"> / 2.</w:t>
      </w:r>
      <w:r w:rsidRPr="005D642E">
        <w:rPr>
          <w:rtl/>
          <w:lang w:bidi="fa-IR"/>
        </w:rPr>
        <w:t xml:space="preserve"> سَهْلٌ ، عَنْ بَعْضِ أَصْحَابِهِ </w:t>
      </w:r>
      <w:r w:rsidRPr="007C12DB">
        <w:rPr>
          <w:rStyle w:val="libFootnotenumChar"/>
          <w:rtl/>
        </w:rPr>
        <w:t>(7)</w:t>
      </w:r>
      <w:r w:rsidRPr="005D642E">
        <w:rPr>
          <w:rtl/>
          <w:lang w:bidi="fa-IR"/>
        </w:rPr>
        <w:t xml:space="preserve"> ، عَنْ أَبِي هَمَّامٍ إِسْمَاعِيلَ بْنِ هَمَّامٍ :</w:t>
      </w:r>
    </w:p>
    <w:p w:rsidR="00E3253D" w:rsidRPr="005D642E" w:rsidRDefault="00E3253D" w:rsidP="00E3253D">
      <w:pPr>
        <w:pStyle w:val="libNormal"/>
        <w:rPr>
          <w:rtl/>
          <w:lang w:bidi="fa-IR"/>
        </w:rPr>
      </w:pPr>
      <w:r w:rsidRPr="005D642E">
        <w:rPr>
          <w:rtl/>
          <w:lang w:bidi="fa-IR"/>
        </w:rPr>
        <w:t xml:space="preserve">عَنْ أَبِي الْحَسَنِ الرِّضَا </w:t>
      </w:r>
      <w:r w:rsidRPr="00AC51C5">
        <w:rPr>
          <w:rStyle w:val="libAlaemChar"/>
          <w:rtl/>
        </w:rPr>
        <w:t>عليه‌السلام</w:t>
      </w:r>
      <w:r w:rsidRPr="005D642E">
        <w:rPr>
          <w:rtl/>
          <w:lang w:bidi="fa-IR"/>
        </w:rPr>
        <w:t xml:space="preserve"> ، قَالَ : « قَالَ أَبُو جَعْفَرٍ </w:t>
      </w:r>
      <w:r w:rsidRPr="00AC51C5">
        <w:rPr>
          <w:rStyle w:val="libAlaemChar"/>
          <w:rtl/>
        </w:rPr>
        <w:t>عليه‌السلام</w:t>
      </w:r>
      <w:r w:rsidRPr="005D642E">
        <w:rPr>
          <w:rtl/>
          <w:lang w:bidi="fa-IR"/>
        </w:rPr>
        <w:t xml:space="preserve"> حِينَ احْتُضِرَ </w:t>
      </w:r>
      <w:r w:rsidRPr="007C12DB">
        <w:rPr>
          <w:rStyle w:val="libFootnotenumChar"/>
          <w:rtl/>
        </w:rPr>
        <w:t>(8)</w:t>
      </w:r>
      <w:r w:rsidRPr="005D642E">
        <w:rPr>
          <w:rtl/>
          <w:lang w:bidi="fa-IR"/>
        </w:rPr>
        <w:t xml:space="preserve"> : إِذَا أَنَا مِتُّ فَاحْفِرُوا لِي ، وَشُقُّوا لِي شَقّاً </w:t>
      </w:r>
      <w:r w:rsidRPr="007C12DB">
        <w:rPr>
          <w:rStyle w:val="libFootnotenumChar"/>
          <w:rtl/>
        </w:rPr>
        <w:t>(9)</w:t>
      </w:r>
      <w:r w:rsidRPr="005D642E">
        <w:rPr>
          <w:rtl/>
          <w:lang w:bidi="fa-IR"/>
        </w:rPr>
        <w:t xml:space="preserve"> ، فَإِنْ قِيلَ لَكُمْ </w:t>
      </w:r>
      <w:r w:rsidRPr="007C12DB">
        <w:rPr>
          <w:rStyle w:val="libFootnotenumChar"/>
          <w:rtl/>
        </w:rPr>
        <w:t>(10)</w:t>
      </w:r>
      <w:r w:rsidRPr="005D642E">
        <w:rPr>
          <w:rtl/>
          <w:lang w:bidi="fa-IR"/>
        </w:rPr>
        <w:t xml:space="preserve"> : إِنَّ رَسُولَ اللهِ </w:t>
      </w:r>
      <w:r w:rsidR="0042621E" w:rsidRPr="0042621E">
        <w:rPr>
          <w:rStyle w:val="libAlaemChar"/>
          <w:rtl/>
        </w:rPr>
        <w:t>صلى‌الله‌عليه‌وآله</w:t>
      </w:r>
      <w:r w:rsidRPr="005D642E">
        <w:rPr>
          <w:rtl/>
          <w:lang w:bidi="fa-IR"/>
        </w:rPr>
        <w:t xml:space="preserve"> لُحِدَ لَهُ ، فَقَدْ‌</w:t>
      </w:r>
    </w:p>
    <w:p w:rsidR="00E3253D" w:rsidRPr="005D642E" w:rsidRDefault="00E3253D" w:rsidP="00E3253D">
      <w:pPr>
        <w:pStyle w:val="libLine"/>
        <w:rPr>
          <w:rtl/>
          <w:lang w:bidi="fa-IR"/>
        </w:rPr>
      </w:pPr>
      <w:r w:rsidRPr="005D642E">
        <w:rPr>
          <w:rtl/>
          <w:lang w:bidi="fa-IR"/>
        </w:rPr>
        <w:t>__________________</w:t>
      </w:r>
    </w:p>
    <w:p w:rsidR="00E3253D" w:rsidRPr="005D642E" w:rsidRDefault="00D82EF5" w:rsidP="00D82EF5">
      <w:pPr>
        <w:pStyle w:val="libFootnote0"/>
        <w:rPr>
          <w:rtl/>
          <w:lang w:bidi="fa-IR"/>
        </w:rPr>
      </w:pPr>
      <w:r>
        <w:rPr>
          <w:rFonts w:hint="cs"/>
          <w:rtl/>
        </w:rPr>
        <w:t xml:space="preserve">= </w:t>
      </w:r>
      <w:r w:rsidR="00E3253D" w:rsidRPr="005D642E">
        <w:rPr>
          <w:rtl/>
        </w:rPr>
        <w:t>القبر عند الدفن ، ولا يخفى ما فيه ؛ إذ الظاهر أنّ المراد به التقدير للتحديد</w:t>
      </w:r>
      <w:r w:rsidR="00E3253D">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w:t>
      </w:r>
      <w:r w:rsidR="000D749A" w:rsidRPr="000D749A">
        <w:rPr>
          <w:rStyle w:val="libFootnoteBoldChar"/>
          <w:rtl/>
        </w:rPr>
        <w:t>والوافي</w:t>
      </w:r>
      <w:r w:rsidR="00E3253D" w:rsidRPr="005D642E">
        <w:rPr>
          <w:rtl/>
        </w:rPr>
        <w:t xml:space="preserve"> : « فأمّا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 « فيقدّر</w:t>
      </w:r>
      <w:r w:rsidR="00E3253D">
        <w:rPr>
          <w:rtl/>
        </w:rPr>
        <w:t xml:space="preserve"> ».</w:t>
      </w:r>
      <w:r w:rsidR="00E3253D" w:rsidRPr="005D642E">
        <w:rPr>
          <w:rtl/>
        </w:rPr>
        <w:t xml:space="preserve"> وفي « بخ » : « يقدّر</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D82EF5">
        <w:rPr>
          <w:rStyle w:val="libFootnoteAlaemChar"/>
          <w:rtl/>
        </w:rPr>
        <w:t>عليه‌السلام</w:t>
      </w:r>
      <w:r w:rsidR="00E3253D" w:rsidRPr="005D642E">
        <w:rPr>
          <w:rtl/>
        </w:rPr>
        <w:t xml:space="preserve"> : ا</w:t>
      </w:r>
      <w:r w:rsidR="00D82EF5">
        <w:rPr>
          <w:rFonts w:hint="cs"/>
          <w:rtl/>
        </w:rPr>
        <w:t>ُ</w:t>
      </w:r>
      <w:r w:rsidR="00E3253D" w:rsidRPr="005D642E">
        <w:rPr>
          <w:rtl/>
        </w:rPr>
        <w:t xml:space="preserve">غمي عليه ، قال الشيهد الثاني </w:t>
      </w:r>
      <w:r w:rsidR="00E3253D" w:rsidRPr="00D82EF5">
        <w:rPr>
          <w:rStyle w:val="libFootnoteAlaemChar"/>
          <w:rtl/>
        </w:rPr>
        <w:t>رحمه‌الله</w:t>
      </w:r>
      <w:r w:rsidR="00E3253D" w:rsidRPr="005D642E">
        <w:rPr>
          <w:rtl/>
        </w:rPr>
        <w:t xml:space="preserve"> : لايريد به حقيقة الإغماء ، بل مجازه بمعنى أنّه قدحصل له ما أوجب عند الحاضرين أن يصفوه بذلك من دون أن يكون قد حصل له حقيقة ؛ لأنّ المعصوم مادام حيّاً لايجوز أن يخرج من التكليف</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فيها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إشارة إلى الآية 74 من سورة الزمر (3</w:t>
      </w:r>
      <w:r w:rsidR="00E3253D">
        <w:rPr>
          <w:rtl/>
        </w:rPr>
        <w:t>9)</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451 ، ح 1469 ، بسند آخر عن أبي عبدالله </w:t>
      </w:r>
      <w:r w:rsidR="00E3253D" w:rsidRPr="00D82EF5">
        <w:rPr>
          <w:rStyle w:val="libFootnoteAlaemChar"/>
          <w:rtl/>
        </w:rPr>
        <w:t>عليه‌السلام</w:t>
      </w:r>
      <w:r w:rsidR="00E3253D" w:rsidRPr="005D642E">
        <w:rPr>
          <w:rtl/>
        </w:rPr>
        <w:t xml:space="preserve"> ، مع اختلاف يسير. </w:t>
      </w:r>
      <w:r w:rsidR="00E3253D" w:rsidRPr="002F4D34">
        <w:rPr>
          <w:rStyle w:val="libFootnoteBoldChar"/>
          <w:rtl/>
        </w:rPr>
        <w:t>الكافي</w:t>
      </w:r>
      <w:r w:rsidR="00E3253D" w:rsidRPr="005D642E">
        <w:rPr>
          <w:rtl/>
        </w:rPr>
        <w:t xml:space="preserve"> ، كتاب الحجّة ، باب مولد عليّ بن الحسين </w:t>
      </w:r>
      <w:r w:rsidR="00E3253D" w:rsidRPr="00D82EF5">
        <w:rPr>
          <w:rStyle w:val="libFootnoteAlaemChar"/>
          <w:rtl/>
        </w:rPr>
        <w:t>عليه‌السلام</w:t>
      </w:r>
      <w:r w:rsidR="00E3253D" w:rsidRPr="005D642E">
        <w:rPr>
          <w:rtl/>
        </w:rPr>
        <w:t xml:space="preserve"> ، ح 1273 ، بسند آخر عن أبي الحسن </w:t>
      </w:r>
      <w:r w:rsidR="00E3253D" w:rsidRPr="00D82EF5">
        <w:rPr>
          <w:rStyle w:val="libFootnoteAlaemChar"/>
          <w:rtl/>
        </w:rPr>
        <w:t>عليه‌السلام</w:t>
      </w:r>
      <w:r w:rsidR="00E3253D" w:rsidRPr="005D642E">
        <w:rPr>
          <w:rtl/>
        </w:rPr>
        <w:t xml:space="preserve"> ، من قوله : « ول</w:t>
      </w:r>
      <w:r w:rsidR="00D82EF5">
        <w:rPr>
          <w:rFonts w:hint="cs"/>
          <w:rtl/>
        </w:rPr>
        <w:t>ـ</w:t>
      </w:r>
      <w:r w:rsidR="00E3253D" w:rsidRPr="005D642E">
        <w:rPr>
          <w:rtl/>
        </w:rPr>
        <w:t xml:space="preserve">مّا حضر عليّ بن الحسين </w:t>
      </w:r>
      <w:r w:rsidR="00E3253D" w:rsidRPr="00D82EF5">
        <w:rPr>
          <w:rStyle w:val="libFootnoteAlaemChar"/>
          <w:rtl/>
        </w:rPr>
        <w:t>عليهما‌السلام</w:t>
      </w:r>
      <w:r w:rsidR="00E3253D" w:rsidRPr="005D642E">
        <w:rPr>
          <w:rtl/>
        </w:rPr>
        <w:t xml:space="preserve"> ، مع اختلاف. </w:t>
      </w:r>
      <w:r w:rsidR="00E3253D" w:rsidRPr="002F4D34">
        <w:rPr>
          <w:rStyle w:val="libFootnoteBoldChar"/>
          <w:rtl/>
        </w:rPr>
        <w:t>الفقيه</w:t>
      </w:r>
      <w:r w:rsidR="00E3253D" w:rsidRPr="005D642E">
        <w:rPr>
          <w:rtl/>
        </w:rPr>
        <w:t xml:space="preserve"> ، ج 1 ، ص 171 ، ح 499 ، مرسلاً عن الصادق </w:t>
      </w:r>
      <w:r w:rsidR="00E3253D" w:rsidRPr="00D82EF5">
        <w:rPr>
          <w:rStyle w:val="libFootnoteAlaemChar"/>
          <w:rtl/>
        </w:rPr>
        <w:t>عليه‌السلام</w:t>
      </w:r>
      <w:r w:rsidR="00E3253D" w:rsidRPr="005D642E">
        <w:rPr>
          <w:rtl/>
        </w:rPr>
        <w:t xml:space="preserve"> ، إلى قوله : « بقدر ما يمكن فيه الجلوس » مع اختلاف يسير </w:t>
      </w:r>
      <w:r w:rsidR="00D82EF5">
        <w:rPr>
          <w:rFonts w:hint="cs"/>
          <w:rtl/>
        </w:rPr>
        <w:t>.</w:t>
      </w:r>
      <w:r w:rsidR="00E3253D" w:rsidRPr="002F4D34">
        <w:rPr>
          <w:rStyle w:val="libFootnoteBoldChar"/>
          <w:rtl/>
        </w:rPr>
        <w:t>الوافي</w:t>
      </w:r>
      <w:r w:rsidR="00E3253D" w:rsidRPr="005D642E">
        <w:rPr>
          <w:rtl/>
        </w:rPr>
        <w:t xml:space="preserve"> ، ج 25 ، ص 503 ، ح 24515 ؛ </w:t>
      </w:r>
      <w:r w:rsidR="00E3253D" w:rsidRPr="002F4D34">
        <w:rPr>
          <w:rStyle w:val="libFootnoteBoldChar"/>
          <w:rtl/>
        </w:rPr>
        <w:t>الوسائل</w:t>
      </w:r>
      <w:r w:rsidR="00E3253D" w:rsidRPr="005D642E">
        <w:rPr>
          <w:rtl/>
        </w:rPr>
        <w:t xml:space="preserve"> ، ج 3 ، ص 165 ، ذيل ح 3202 ؛ </w:t>
      </w:r>
      <w:r w:rsidR="00E3253D" w:rsidRPr="002F4D34">
        <w:rPr>
          <w:rStyle w:val="libFootnoteBoldChar"/>
          <w:rtl/>
        </w:rPr>
        <w:t>البحار</w:t>
      </w:r>
      <w:r w:rsidR="00E3253D" w:rsidRPr="005D642E">
        <w:rPr>
          <w:rtl/>
        </w:rPr>
        <w:t xml:space="preserve"> ، ج 46 ، ص 153 ، ح 15 ، من قوله : « ل</w:t>
      </w:r>
      <w:r w:rsidR="00626EE0">
        <w:rPr>
          <w:rFonts w:hint="cs"/>
          <w:rtl/>
        </w:rPr>
        <w:t>ـ</w:t>
      </w:r>
      <w:r w:rsidR="00E3253D" w:rsidRPr="005D642E">
        <w:rPr>
          <w:rtl/>
        </w:rPr>
        <w:t xml:space="preserve">مّا حضر عليّ بن الحسين </w:t>
      </w:r>
      <w:r w:rsidR="00E3253D" w:rsidRPr="00D82EF5">
        <w:rPr>
          <w:rStyle w:val="libFootnoteAlaemChar"/>
          <w:rtl/>
        </w:rPr>
        <w:t>عليهما‌السلام</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أصحابنا</w:t>
      </w:r>
      <w:r w:rsidR="00E3253D">
        <w:rPr>
          <w:rtl/>
        </w:rPr>
        <w:t xml:space="preserve"> ».</w:t>
      </w:r>
      <w:r w:rsidR="00E3253D" w:rsidRPr="005D642E">
        <w:rPr>
          <w:rtl/>
        </w:rPr>
        <w:t xml:space="preserve"> وفي البحار :</w:t>
      </w:r>
      <w:r w:rsidR="00E3253D">
        <w:rPr>
          <w:rtl/>
        </w:rPr>
        <w:t xml:space="preserve"> </w:t>
      </w:r>
      <w:r w:rsidR="007642BC">
        <w:rPr>
          <w:rtl/>
        </w:rPr>
        <w:t>-</w:t>
      </w:r>
      <w:r w:rsidR="00E3253D">
        <w:rPr>
          <w:rtl/>
        </w:rPr>
        <w:t xml:space="preserve"> </w:t>
      </w:r>
      <w:r w:rsidR="00E3253D" w:rsidRPr="005D642E">
        <w:rPr>
          <w:rtl/>
        </w:rPr>
        <w:t>« عن بعض أصحابه</w:t>
      </w:r>
      <w:r w:rsidR="00E3253D">
        <w:rPr>
          <w:rtl/>
        </w:rPr>
        <w:t xml:space="preserve"> ».</w:t>
      </w:r>
      <w:r w:rsidR="00E3253D" w:rsidRPr="005D642E">
        <w:rPr>
          <w:rtl/>
        </w:rPr>
        <w:t xml:space="preserve"> ولم نجد في شي‌ءٍ من الأسناد رواية سهل بن زياد عن إسماعيل بن همّام مباشرةً.</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بح ، بس ، بف ، جح ، جس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 ا</w:t>
      </w:r>
      <w:r w:rsidR="00626EE0">
        <w:rPr>
          <w:rFonts w:hint="cs"/>
          <w:rtl/>
        </w:rPr>
        <w:t>ُ</w:t>
      </w:r>
      <w:r w:rsidR="00E3253D" w:rsidRPr="005D642E">
        <w:rPr>
          <w:rtl/>
        </w:rPr>
        <w:t>حضر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الوافي</w:t>
      </w:r>
      <w:r w:rsidR="00E3253D" w:rsidRPr="005D642E">
        <w:rPr>
          <w:rtl/>
        </w:rPr>
        <w:t xml:space="preserve"> : « فاحفروا لي ؛ يعني القبر ، وشقّو لي ، أي في عرضه ، شَقّاً ، أي زائ</w:t>
      </w:r>
      <w:r w:rsidR="00626EE0">
        <w:rPr>
          <w:rtl/>
        </w:rPr>
        <w:t>داً على المعتاد من اللحد ؛ لئل</w:t>
      </w:r>
      <w:r w:rsidR="00626EE0">
        <w:rPr>
          <w:rFonts w:hint="cs"/>
          <w:rtl/>
        </w:rPr>
        <w:t>ّ</w:t>
      </w:r>
      <w:r w:rsidR="00626EE0">
        <w:rPr>
          <w:rtl/>
        </w:rPr>
        <w:t>ا</w:t>
      </w:r>
      <w:r w:rsidR="00E3253D" w:rsidRPr="005D642E">
        <w:rPr>
          <w:rtl/>
        </w:rPr>
        <w:t xml:space="preserve">يكون بدنه خارجاً عن اللحد ؛ فإنّه </w:t>
      </w:r>
      <w:r w:rsidR="00E3253D" w:rsidRPr="00D82EF5">
        <w:rPr>
          <w:rStyle w:val="libFootnoteAlaemChar"/>
          <w:rtl/>
        </w:rPr>
        <w:t>عليه‌السلام</w:t>
      </w:r>
      <w:r w:rsidR="00E3253D" w:rsidRPr="005D642E">
        <w:rPr>
          <w:rtl/>
        </w:rPr>
        <w:t xml:space="preserve"> كان بادناً</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إنّما أوصى </w:t>
      </w:r>
      <w:r w:rsidR="00E3253D" w:rsidRPr="00D82EF5">
        <w:rPr>
          <w:rStyle w:val="libFootnoteAlaemChar"/>
          <w:rtl/>
        </w:rPr>
        <w:t>عليه‌السلام</w:t>
      </w:r>
      <w:r w:rsidR="00E3253D" w:rsidRPr="005D642E">
        <w:rPr>
          <w:rtl/>
        </w:rPr>
        <w:t xml:space="preserve"> بذلك ؛ لأنّه كان بادناً وكان لايحتمل أرض المدينة لرخاوتها للّحد المناسب له </w:t>
      </w:r>
      <w:r w:rsidR="00E3253D" w:rsidRPr="00D82EF5">
        <w:rPr>
          <w:rStyle w:val="libFootnoteAlaemChar"/>
          <w:rtl/>
        </w:rPr>
        <w:t>عليه‌السلام</w:t>
      </w:r>
      <w:r w:rsidR="00E3253D" w:rsidRPr="005D642E">
        <w:rPr>
          <w:rtl/>
        </w:rPr>
        <w:t xml:space="preserve"> ، كما ورد التصريح به في غيره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لكم</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صَدَقُوا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FD4D14">
        <w:rPr>
          <w:rtl/>
        </w:rPr>
        <w:t>4436</w:t>
      </w:r>
      <w:r w:rsidRPr="00246318">
        <w:rPr>
          <w:rStyle w:val="libBold2Char"/>
          <w:rtl/>
        </w:rPr>
        <w:t xml:space="preserve"> / 3.</w:t>
      </w:r>
      <w:r w:rsidRPr="005D642E">
        <w:rPr>
          <w:rtl/>
          <w:lang w:bidi="fa-IR"/>
        </w:rPr>
        <w:t xml:space="preserve"> عَلِيُّ بْنُ إِبْرَاهِيمَ ، عَنْ أَبِيهِ ، عَنِ ابْنِ أَبِي عُمَيْرٍ ، عَنْ حَمَّادِ بْنِ عُثْمَانَ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 أَنَّ رَسُولَ اللهِ </w:t>
      </w:r>
      <w:r w:rsidR="0042621E" w:rsidRPr="0042621E">
        <w:rPr>
          <w:rStyle w:val="libAlaemChar"/>
          <w:rtl/>
        </w:rPr>
        <w:t>صلى‌الله‌عليه‌وآله</w:t>
      </w:r>
      <w:r w:rsidRPr="005D642E">
        <w:rPr>
          <w:rtl/>
          <w:lang w:bidi="fa-IR"/>
        </w:rPr>
        <w:t xml:space="preserve"> لَحَدَ </w:t>
      </w:r>
      <w:r w:rsidRPr="007C12DB">
        <w:rPr>
          <w:rStyle w:val="libFootnotenumChar"/>
          <w:rtl/>
        </w:rPr>
        <w:t>(3)</w:t>
      </w:r>
      <w:r w:rsidRPr="005D642E">
        <w:rPr>
          <w:rtl/>
          <w:lang w:bidi="fa-IR"/>
        </w:rPr>
        <w:t xml:space="preserve"> لَهُ أَبُو طَلْحَةَ الْأَنْصَارِيُّ</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FD4D14">
        <w:rPr>
          <w:rtl/>
        </w:rPr>
        <w:t>4437</w:t>
      </w:r>
      <w:r w:rsidRPr="00246318">
        <w:rPr>
          <w:rStyle w:val="libBold2Char"/>
          <w:rtl/>
        </w:rPr>
        <w:t xml:space="preserve"> / 4.</w:t>
      </w:r>
      <w:r w:rsidRPr="005D642E">
        <w:rPr>
          <w:rtl/>
          <w:lang w:bidi="fa-IR"/>
        </w:rPr>
        <w:t xml:space="preserve"> عَلِيٌّ </w:t>
      </w:r>
      <w:r w:rsidRPr="007C12DB">
        <w:rPr>
          <w:rStyle w:val="libFootnotenumChar"/>
          <w:rtl/>
        </w:rPr>
        <w:t>(5)</w:t>
      </w:r>
      <w:r w:rsidRPr="005D642E">
        <w:rPr>
          <w:rtl/>
          <w:lang w:bidi="fa-IR"/>
        </w:rPr>
        <w:t xml:space="preserve">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 أَنَّ النَّبِيَّ </w:t>
      </w:r>
      <w:r w:rsidR="0042621E" w:rsidRPr="0042621E">
        <w:rPr>
          <w:rStyle w:val="libAlaemChar"/>
          <w:rtl/>
        </w:rPr>
        <w:t>صلى‌الله‌عليه‌وآله</w:t>
      </w:r>
      <w:r w:rsidRPr="005D642E">
        <w:rPr>
          <w:rtl/>
          <w:lang w:bidi="fa-IR"/>
        </w:rPr>
        <w:t xml:space="preserve"> نَهى </w:t>
      </w:r>
      <w:r w:rsidRPr="007C12DB">
        <w:rPr>
          <w:rStyle w:val="libFootnotenumChar"/>
          <w:rtl/>
        </w:rPr>
        <w:t>(6)</w:t>
      </w:r>
      <w:r w:rsidRPr="005D642E">
        <w:rPr>
          <w:rtl/>
          <w:lang w:bidi="fa-IR"/>
        </w:rPr>
        <w:t xml:space="preserve"> أَنْ يُعَمَّقَ الْقَبْرُ فَوْقَ ثَلَاثَةِ أَذْرُعٍ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365" w:name="_Toc344647332"/>
      <w:bookmarkStart w:id="366" w:name="_Toc462226846"/>
      <w:bookmarkStart w:id="367" w:name="_Toc40975955"/>
      <w:r w:rsidRPr="005D642E">
        <w:rPr>
          <w:rtl/>
          <w:lang w:bidi="fa-IR"/>
        </w:rPr>
        <w:t>37</w:t>
      </w:r>
      <w:r>
        <w:rPr>
          <w:rtl/>
          <w:lang w:bidi="fa-IR"/>
        </w:rPr>
        <w:t xml:space="preserve"> </w:t>
      </w:r>
      <w:r w:rsidR="007642BC">
        <w:rPr>
          <w:rtl/>
          <w:lang w:bidi="fa-IR"/>
        </w:rPr>
        <w:t>-</w:t>
      </w:r>
      <w:r>
        <w:rPr>
          <w:rtl/>
          <w:lang w:bidi="fa-IR"/>
        </w:rPr>
        <w:t xml:space="preserve"> </w:t>
      </w:r>
      <w:r w:rsidRPr="005D642E">
        <w:rPr>
          <w:rtl/>
          <w:lang w:bidi="fa-IR"/>
        </w:rPr>
        <w:t>بَابُ أَنَّ الْمَيِّتَ يُؤْذَنُ بِهِ النَّاسُ‌</w:t>
      </w:r>
      <w:bookmarkEnd w:id="365"/>
      <w:bookmarkEnd w:id="366"/>
      <w:bookmarkEnd w:id="367"/>
    </w:p>
    <w:p w:rsidR="00072FEE" w:rsidRDefault="00E3253D" w:rsidP="00072FEE">
      <w:pPr>
        <w:pStyle w:val="libNormal"/>
        <w:rPr>
          <w:rtl/>
          <w:lang w:bidi="fa-IR"/>
        </w:rPr>
      </w:pPr>
      <w:r w:rsidRPr="00FD4D14">
        <w:rPr>
          <w:rtl/>
        </w:rPr>
        <w:t>4438</w:t>
      </w:r>
      <w:r w:rsidRPr="00246318">
        <w:rPr>
          <w:rStyle w:val="libBold2Char"/>
          <w:rtl/>
        </w:rPr>
        <w:t xml:space="preserve"> / 1.</w:t>
      </w:r>
      <w:r w:rsidRPr="005D642E">
        <w:rPr>
          <w:rtl/>
          <w:lang w:bidi="fa-IR"/>
        </w:rPr>
        <w:t xml:space="preserve"> عِدَّةٌ مِنْ أَصْحَابِنَا ، عَنْ سَهْلِ بْنِ زِيَادٍ ؛</w:t>
      </w:r>
    </w:p>
    <w:p w:rsidR="00E3253D" w:rsidRPr="005D642E" w:rsidRDefault="00072FEE" w:rsidP="00072FEE">
      <w:pPr>
        <w:pStyle w:val="libNormal"/>
        <w:rPr>
          <w:rtl/>
          <w:lang w:bidi="fa-IR"/>
        </w:rPr>
      </w:pPr>
      <w:r>
        <w:rPr>
          <w:rFonts w:hint="cs"/>
          <w:rtl/>
          <w:lang w:bidi="fa-IR"/>
        </w:rPr>
        <w:t xml:space="preserve">               </w:t>
      </w:r>
      <w:r w:rsidR="00E3253D" w:rsidRPr="005D642E">
        <w:rPr>
          <w:rtl/>
          <w:lang w:bidi="fa-IR"/>
        </w:rPr>
        <w:t>وَعَلِيُّ بْنُ إِبْرَاهِيمَ ، عَنْ أَبِيهِ جَمِيعاً ، عَنِ الْحَسَنِ بْ</w:t>
      </w:r>
      <w:r>
        <w:rPr>
          <w:rtl/>
          <w:lang w:bidi="fa-IR"/>
        </w:rPr>
        <w:t>نِ مَحْبُوبٍ ، عَنْ أَبِي وَل</w:t>
      </w:r>
      <w:r>
        <w:rPr>
          <w:rFonts w:hint="cs"/>
          <w:rtl/>
          <w:lang w:bidi="fa-IR"/>
        </w:rPr>
        <w:t>َّ</w:t>
      </w:r>
      <w:r>
        <w:rPr>
          <w:rtl/>
          <w:lang w:bidi="fa-IR"/>
        </w:rPr>
        <w:t>ا</w:t>
      </w:r>
      <w:r w:rsidR="00E3253D" w:rsidRPr="005D642E">
        <w:rPr>
          <w:rtl/>
          <w:lang w:bidi="fa-IR"/>
        </w:rPr>
        <w:t xml:space="preserve">دٍ وَعَبْدِ اللهِ بْنِ سِنَانٍ جَمِيعاً </w:t>
      </w:r>
      <w:r w:rsidR="00E3253D" w:rsidRPr="007C12DB">
        <w:rPr>
          <w:rStyle w:val="libFootnotenumChar"/>
          <w:rtl/>
        </w:rPr>
        <w:t>(9)</w:t>
      </w:r>
      <w:r w:rsidR="00E3253D"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يَنْبَغِي لِأَوْلِيَاءِ الْمَيِّتِ مِنْكُمْ أَنْ يُؤْذِنُوا إِخْوَانَ الْمَيِّتِ‌</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لحد له ، أي بما دون ذلك ؛ فإنّ اللحد والإلحاد بمعنى الميل ومنه الملحد لميله إلى الباطل ، فقد صدقوا ولكن يتفاوت مثل هذه الأحكام بحسب تفاوت الأشخاص</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0B09FA">
        <w:rPr>
          <w:rStyle w:val="libFootnoteAlaemChar"/>
          <w:rtl/>
        </w:rPr>
        <w:t>عليه‌السلام</w:t>
      </w:r>
      <w:r w:rsidR="00E3253D" w:rsidRPr="005D642E">
        <w:rPr>
          <w:rtl/>
        </w:rPr>
        <w:t xml:space="preserve"> : فقد صدقوا ، أي هو أفضل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451 ، ح 1468 ، معلّقاً عن سهل بن زياد </w:t>
      </w:r>
      <w:r w:rsidR="000B09FA">
        <w:rPr>
          <w:rFonts w:hint="cs"/>
          <w:rtl/>
        </w:rPr>
        <w:t>.</w:t>
      </w:r>
      <w:r w:rsidR="00E3253D" w:rsidRPr="002F4D34">
        <w:rPr>
          <w:rStyle w:val="libFootnoteBoldChar"/>
          <w:rtl/>
        </w:rPr>
        <w:t>الوافي</w:t>
      </w:r>
      <w:r w:rsidR="00E3253D" w:rsidRPr="005D642E">
        <w:rPr>
          <w:rtl/>
        </w:rPr>
        <w:t xml:space="preserve"> ، ج 25 ، ص 504 ، ح 24518 ؛ </w:t>
      </w:r>
      <w:r w:rsidR="00E3253D" w:rsidRPr="002F4D34">
        <w:rPr>
          <w:rStyle w:val="libFootnoteBoldChar"/>
          <w:rtl/>
        </w:rPr>
        <w:t>الوسائل</w:t>
      </w:r>
      <w:r w:rsidR="00E3253D" w:rsidRPr="005D642E">
        <w:rPr>
          <w:rtl/>
        </w:rPr>
        <w:t xml:space="preserve"> ، ج 3 ، ص 166 ، ح 3304 ؛ </w:t>
      </w:r>
      <w:r w:rsidR="00E3253D" w:rsidRPr="002F4D34">
        <w:rPr>
          <w:rStyle w:val="libFootnoteBoldChar"/>
          <w:rtl/>
        </w:rPr>
        <w:t>البحار</w:t>
      </w:r>
      <w:r w:rsidR="00E3253D" w:rsidRPr="005D642E">
        <w:rPr>
          <w:rtl/>
        </w:rPr>
        <w:t xml:space="preserve"> ، ج 46 ، ص 214 ، ح 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 « لحّد</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451 ، ح 1467 ، بإسناده عن عليّ بن إبراهيم </w:t>
      </w:r>
      <w:r w:rsidR="000B09FA">
        <w:rPr>
          <w:rFonts w:hint="cs"/>
          <w:rtl/>
        </w:rPr>
        <w:t>.</w:t>
      </w:r>
      <w:r w:rsidR="00E3253D" w:rsidRPr="002F4D34">
        <w:rPr>
          <w:rStyle w:val="libFootnoteBoldChar"/>
          <w:rtl/>
        </w:rPr>
        <w:t>الوافي</w:t>
      </w:r>
      <w:r w:rsidR="00E3253D" w:rsidRPr="005D642E">
        <w:rPr>
          <w:rtl/>
        </w:rPr>
        <w:t xml:space="preserve"> ، ج 25 ، ص 589 ، ح 24735 ؛ </w:t>
      </w:r>
      <w:r w:rsidR="00E3253D" w:rsidRPr="002F4D34">
        <w:rPr>
          <w:rStyle w:val="libFootnoteBoldChar"/>
          <w:rtl/>
        </w:rPr>
        <w:t>الوسائل</w:t>
      </w:r>
      <w:r w:rsidR="00E3253D" w:rsidRPr="005D642E">
        <w:rPr>
          <w:rtl/>
        </w:rPr>
        <w:t xml:space="preserve"> ، ج 3 ، ص 166 ، ح 3303 ؛ </w:t>
      </w:r>
      <w:r w:rsidR="00E3253D" w:rsidRPr="002F4D34">
        <w:rPr>
          <w:rStyle w:val="libFootnoteBoldChar"/>
          <w:rtl/>
        </w:rPr>
        <w:t>البحار</w:t>
      </w:r>
      <w:r w:rsidR="00E3253D" w:rsidRPr="005D642E">
        <w:rPr>
          <w:rtl/>
        </w:rPr>
        <w:t xml:space="preserve"> ، ج 22 ، ص 538 ، ح 41.</w:t>
      </w:r>
    </w:p>
    <w:tbl>
      <w:tblPr>
        <w:tblStyle w:val="TableGrid"/>
        <w:bidiVisual/>
        <w:tblW w:w="0" w:type="auto"/>
        <w:tblLook w:val="04A0" w:firstRow="1" w:lastRow="0" w:firstColumn="1" w:lastColumn="0" w:noHBand="0" w:noVBand="1"/>
      </w:tblPr>
      <w:tblGrid>
        <w:gridCol w:w="4006"/>
        <w:gridCol w:w="4006"/>
      </w:tblGrid>
      <w:tr w:rsidR="000B09FA" w:rsidTr="000B09FA">
        <w:tc>
          <w:tcPr>
            <w:tcW w:w="4006" w:type="dxa"/>
          </w:tcPr>
          <w:p w:rsidR="000B09FA" w:rsidRDefault="000B09FA" w:rsidP="00E3253D">
            <w:pPr>
              <w:pStyle w:val="libFootnote0"/>
              <w:rPr>
                <w:rStyle w:val="libFootnote0Char"/>
                <w:rtl/>
              </w:rPr>
            </w:pPr>
            <w:r w:rsidRPr="0042621E">
              <w:rPr>
                <w:rStyle w:val="libFootnote0Char"/>
                <w:rtl/>
              </w:rPr>
              <w:t>(5).</w:t>
            </w:r>
            <w:r w:rsidRPr="005D642E">
              <w:rPr>
                <w:rtl/>
              </w:rPr>
              <w:t xml:space="preserve"> في « بح » : « عنه</w:t>
            </w:r>
            <w:r>
              <w:rPr>
                <w:rtl/>
              </w:rPr>
              <w:t xml:space="preserve"> ».</w:t>
            </w:r>
          </w:p>
        </w:tc>
        <w:tc>
          <w:tcPr>
            <w:tcW w:w="4006" w:type="dxa"/>
          </w:tcPr>
          <w:p w:rsidR="000B09FA" w:rsidRDefault="000B09FA" w:rsidP="00E3253D">
            <w:pPr>
              <w:pStyle w:val="libFootnote0"/>
              <w:rPr>
                <w:rStyle w:val="libFootnote0Char"/>
                <w:rtl/>
              </w:rPr>
            </w:pPr>
            <w:r w:rsidRPr="0042621E">
              <w:rPr>
                <w:rStyle w:val="libFootnote0Char"/>
                <w:rtl/>
              </w:rPr>
              <w:t>(6).</w:t>
            </w:r>
            <w:r w:rsidRPr="005D642E">
              <w:rPr>
                <w:rtl/>
              </w:rPr>
              <w:t xml:space="preserve"> في « بف » : « ينهى</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مرآة العقول : « لعلّه محمول على ما إذا لم يحتج إلى الأكثر</w:t>
      </w:r>
      <w:r w:rsidR="00E3253D">
        <w:rPr>
          <w:rtl/>
        </w:rPr>
        <w:t xml:space="preserve"> ».</w:t>
      </w:r>
    </w:p>
    <w:p w:rsidR="00E3253D" w:rsidRPr="005D642E" w:rsidRDefault="0042621E" w:rsidP="00C27318">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451 ، ح 1466 ، معلّقاً عن عليّ بن إبراهيم ، عن أبيه. </w:t>
      </w:r>
      <w:r w:rsidR="00E3253D" w:rsidRPr="002F4D34">
        <w:rPr>
          <w:rStyle w:val="libFootnoteBoldChar"/>
          <w:rtl/>
        </w:rPr>
        <w:t>الجعفريّات</w:t>
      </w:r>
      <w:r w:rsidR="00E3253D" w:rsidRPr="005D642E">
        <w:rPr>
          <w:rtl/>
        </w:rPr>
        <w:t xml:space="preserve"> ، ص 201 ، بسند آخر عن جعفر بن محمّد ، عن آبائه ، عن أميرالمؤمنين </w:t>
      </w:r>
      <w:r w:rsidR="00E3253D" w:rsidRPr="000B09FA">
        <w:rPr>
          <w:rStyle w:val="libFootnoteAlaemChar"/>
          <w:rtl/>
        </w:rPr>
        <w:t>عليهم‌السلام</w:t>
      </w:r>
      <w:r w:rsidR="00E3253D" w:rsidRPr="005D642E">
        <w:rPr>
          <w:rtl/>
        </w:rPr>
        <w:t xml:space="preserve"> </w:t>
      </w:r>
      <w:r w:rsidR="00C27318">
        <w:rPr>
          <w:rFonts w:hint="cs"/>
          <w:rtl/>
        </w:rPr>
        <w:t>.</w:t>
      </w:r>
      <w:r w:rsidR="00E3253D" w:rsidRPr="002F4D34">
        <w:rPr>
          <w:rStyle w:val="libFootnoteBoldChar"/>
          <w:rtl/>
        </w:rPr>
        <w:t>الوافي</w:t>
      </w:r>
      <w:r w:rsidR="00E3253D" w:rsidRPr="005D642E">
        <w:rPr>
          <w:rtl/>
        </w:rPr>
        <w:t xml:space="preserve"> ، ج 25 ، ص 504 ، ح 24514 ؛ </w:t>
      </w:r>
      <w:r w:rsidR="00E3253D" w:rsidRPr="002F4D34">
        <w:rPr>
          <w:rStyle w:val="libFootnoteBoldChar"/>
          <w:rtl/>
        </w:rPr>
        <w:t>الوسائل</w:t>
      </w:r>
      <w:r w:rsidR="00E3253D" w:rsidRPr="005D642E">
        <w:rPr>
          <w:rtl/>
        </w:rPr>
        <w:t xml:space="preserve"> ، ج 3 ، ص 165 ، ح 3301.</w:t>
      </w:r>
      <w:r w:rsidR="00C27318">
        <w:rPr>
          <w:rFonts w:hint="cs"/>
          <w:rtl/>
        </w:rPr>
        <w:t xml:space="preserve">                 </w:t>
      </w:r>
      <w:r w:rsidRPr="0042621E">
        <w:rPr>
          <w:rStyle w:val="libFootnote0Char"/>
          <w:rtl/>
        </w:rPr>
        <w:t>(9).</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جميعاً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بِمَوْتِهِ ، فَيَشْهَدُونَ </w:t>
      </w:r>
      <w:r w:rsidRPr="007C12DB">
        <w:rPr>
          <w:rStyle w:val="libFootnotenumChar"/>
          <w:rtl/>
        </w:rPr>
        <w:t>(1)</w:t>
      </w:r>
      <w:r w:rsidRPr="005D642E">
        <w:rPr>
          <w:rtl/>
          <w:lang w:bidi="fa-IR"/>
        </w:rPr>
        <w:t xml:space="preserve"> جَنَازَتَهُ ، وَيُصَلُّونَ عَلَيْهِ ، وَيَسْتَغْفِرُونَ لَهُ ، فَيُكْتَبُ </w:t>
      </w:r>
      <w:r w:rsidRPr="007C12DB">
        <w:rPr>
          <w:rStyle w:val="libFootnotenumChar"/>
          <w:rtl/>
        </w:rPr>
        <w:t>(2)</w:t>
      </w:r>
      <w:r w:rsidRPr="005D642E">
        <w:rPr>
          <w:rtl/>
          <w:lang w:bidi="fa-IR"/>
        </w:rPr>
        <w:t xml:space="preserve"> لَهُمُ الْأَجْرُ </w:t>
      </w:r>
      <w:r w:rsidRPr="007C12DB">
        <w:rPr>
          <w:rStyle w:val="libFootnotenumChar"/>
          <w:rtl/>
        </w:rPr>
        <w:t>(3)</w:t>
      </w:r>
      <w:r w:rsidRPr="005D642E">
        <w:rPr>
          <w:rtl/>
          <w:lang w:bidi="fa-IR"/>
        </w:rPr>
        <w:t xml:space="preserve"> ، وَيُكْتَبُ </w:t>
      </w:r>
      <w:r w:rsidRPr="007C12DB">
        <w:rPr>
          <w:rStyle w:val="libFootnotenumChar"/>
          <w:rtl/>
        </w:rPr>
        <w:t>(4)</w:t>
      </w:r>
      <w:r w:rsidRPr="005D642E">
        <w:rPr>
          <w:rtl/>
          <w:lang w:bidi="fa-IR"/>
        </w:rPr>
        <w:t xml:space="preserve"> لِلْمَيِّتِ الِاسْتِغْفَارُ ، وَيَكْتَسِبُ هُوَ الْأَجْرَ فِيهِمْ وَفِيمَا اكْتَسَبَ لِمَيِّتِهِمْ </w:t>
      </w:r>
      <w:r w:rsidRPr="007C12DB">
        <w:rPr>
          <w:rStyle w:val="libFootnotenumChar"/>
          <w:rtl/>
        </w:rPr>
        <w:t>(5)</w:t>
      </w:r>
      <w:r w:rsidRPr="005D642E">
        <w:rPr>
          <w:rtl/>
          <w:lang w:bidi="fa-IR"/>
        </w:rPr>
        <w:t xml:space="preserve"> مِنَ الاسْتِغْفَارِ</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E8044C">
        <w:rPr>
          <w:rtl/>
        </w:rPr>
        <w:t>4439</w:t>
      </w:r>
      <w:r w:rsidRPr="00246318">
        <w:rPr>
          <w:rStyle w:val="libBold2Char"/>
          <w:rtl/>
        </w:rPr>
        <w:t xml:space="preserve"> / 2.</w:t>
      </w:r>
      <w:r w:rsidRPr="005D642E">
        <w:rPr>
          <w:rtl/>
          <w:lang w:bidi="fa-IR"/>
        </w:rPr>
        <w:t xml:space="preserve"> أَبُو عَلِيٍّ الْأَشْعَرِيُّ ، عَنْ مُحَمَّدِ بْنِ عَبْدِ الْجَبَّارِ ، عَنْ صَفْوَانَ بْنِ يَحْيى ، عَنْ ذَرِيحٍ الْمُحَارِبِيِّ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الْجِنَازَةِ : يُؤْذَنُ بِهَا النَّاسُ</w:t>
      </w:r>
      <w:r>
        <w:rPr>
          <w:rtl/>
          <w:lang w:bidi="fa-IR"/>
        </w:rPr>
        <w:t>؟</w:t>
      </w:r>
      <w:r w:rsidRPr="005D642E">
        <w:rPr>
          <w:rtl/>
          <w:lang w:bidi="fa-IR"/>
        </w:rPr>
        <w:t xml:space="preserve"> قَالَ : « نَعَمْ</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E8044C">
        <w:rPr>
          <w:rtl/>
        </w:rPr>
        <w:t>4440</w:t>
      </w:r>
      <w:r w:rsidRPr="00246318">
        <w:rPr>
          <w:rStyle w:val="libBold2Char"/>
          <w:rtl/>
        </w:rPr>
        <w:t xml:space="preserve"> / 3.</w:t>
      </w:r>
      <w:r w:rsidRPr="005D642E">
        <w:rPr>
          <w:rtl/>
          <w:lang w:bidi="fa-IR"/>
        </w:rPr>
        <w:t xml:space="preserve"> مُحَمَّدُ بْنُ يَحْيى ، عَنْ أَحْمَدَ بْنِ مُحَمَّدٍ ، عَنِ الْحُسَيْنِ بْنِ سَعِيدٍ ، عَنِ الْقَاسِمِ بْنِ مُحَمَّدٍ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الْجِنَازَةَ يُؤْذَنُ بِهَا النَّاسُ</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368" w:name="_Toc344647333"/>
      <w:bookmarkStart w:id="369" w:name="_Toc462226847"/>
      <w:bookmarkStart w:id="370" w:name="_Toc40975956"/>
      <w:r w:rsidRPr="005D642E">
        <w:rPr>
          <w:rtl/>
          <w:lang w:bidi="fa-IR"/>
        </w:rPr>
        <w:t>38</w:t>
      </w:r>
      <w:r>
        <w:rPr>
          <w:rtl/>
          <w:lang w:bidi="fa-IR"/>
        </w:rPr>
        <w:t xml:space="preserve"> </w:t>
      </w:r>
      <w:r w:rsidR="007642BC">
        <w:rPr>
          <w:rtl/>
          <w:lang w:bidi="fa-IR"/>
        </w:rPr>
        <w:t>-</w:t>
      </w:r>
      <w:r>
        <w:rPr>
          <w:rtl/>
          <w:lang w:bidi="fa-IR"/>
        </w:rPr>
        <w:t xml:space="preserve"> </w:t>
      </w:r>
      <w:r w:rsidRPr="005D642E">
        <w:rPr>
          <w:rtl/>
          <w:lang w:bidi="fa-IR"/>
        </w:rPr>
        <w:t>بَابُ الْقَوْلِ عِنْدَ رُؤْيَةِ الْجَنَازَةِ‌</w:t>
      </w:r>
      <w:bookmarkEnd w:id="368"/>
      <w:bookmarkEnd w:id="369"/>
      <w:bookmarkEnd w:id="370"/>
    </w:p>
    <w:p w:rsidR="00E3253D" w:rsidRPr="005D642E" w:rsidRDefault="00E3253D" w:rsidP="00E3253D">
      <w:pPr>
        <w:pStyle w:val="libNormal"/>
        <w:rPr>
          <w:rtl/>
          <w:lang w:bidi="fa-IR"/>
        </w:rPr>
      </w:pPr>
      <w:r w:rsidRPr="00E8044C">
        <w:rPr>
          <w:rtl/>
        </w:rPr>
        <w:t>4441</w:t>
      </w:r>
      <w:r w:rsidRPr="00246318">
        <w:rPr>
          <w:rStyle w:val="libBold2Char"/>
          <w:rtl/>
        </w:rPr>
        <w:t xml:space="preserve"> / 1.</w:t>
      </w:r>
      <w:r w:rsidRPr="005D642E">
        <w:rPr>
          <w:rtl/>
          <w:lang w:bidi="fa-IR"/>
        </w:rPr>
        <w:t xml:space="preserve"> عَلِيُّ بْنُ إِبْرَاهِيمَ ، عَنْ أَبِيهِ ، عَنْ عَبْدِ اللهِ بْنِ الْمُغِيرَةِ ، عَنْ أَبَانٍ</w:t>
      </w:r>
      <w:r>
        <w:rPr>
          <w:rtl/>
          <w:lang w:bidi="fa-IR"/>
        </w:rPr>
        <w:t xml:space="preserve"> </w:t>
      </w:r>
      <w:r w:rsidR="007642BC">
        <w:rPr>
          <w:rtl/>
          <w:lang w:bidi="fa-IR"/>
        </w:rPr>
        <w:t>-</w:t>
      </w:r>
      <w:r>
        <w:rPr>
          <w:rtl/>
          <w:lang w:bidi="fa-IR"/>
        </w:rPr>
        <w:t xml:space="preserve"> </w:t>
      </w:r>
      <w:r w:rsidRPr="005D642E">
        <w:rPr>
          <w:rtl/>
          <w:lang w:bidi="fa-IR"/>
        </w:rPr>
        <w:t>لَا</w:t>
      </w:r>
      <w:r>
        <w:rPr>
          <w:rFonts w:hint="cs"/>
          <w:rtl/>
          <w:lang w:bidi="fa-IR"/>
        </w:rPr>
        <w:t xml:space="preserve"> </w:t>
      </w:r>
      <w:r w:rsidRPr="005D642E">
        <w:rPr>
          <w:rtl/>
          <w:lang w:bidi="fa-IR"/>
        </w:rPr>
        <w:t>أَعْلَمُهُ‌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مشرق الشمسين</w:t>
      </w:r>
      <w:r w:rsidR="00E3253D" w:rsidRPr="005D642E">
        <w:rPr>
          <w:rtl/>
        </w:rPr>
        <w:t xml:space="preserve"> ، ص 307 : « جملة « يشهدون » معطوفة على جملة « ينبغي » ، لا على « يؤذنوا » ، وفي بعض‌النسخ : يشهدوا ويصلّوا ويستغفروا بإسقاط النون ، وهو الأولى</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ى ، بخ ، بف ، جس ، جن » وحاشية « غ ، بح » </w:t>
      </w:r>
      <w:r w:rsidR="00B60612" w:rsidRPr="00B60612">
        <w:rPr>
          <w:rStyle w:val="libFootnoteBoldChar"/>
          <w:rtl/>
        </w:rPr>
        <w:t>والتهذيب</w:t>
      </w:r>
      <w:r w:rsidR="00E3253D" w:rsidRPr="005D642E">
        <w:rPr>
          <w:rtl/>
        </w:rPr>
        <w:t xml:space="preserve"> : « فيكتسب</w:t>
      </w:r>
      <w:r w:rsidR="00E3253D">
        <w:rPr>
          <w:rtl/>
        </w:rPr>
        <w:t xml:space="preserve"> ».</w:t>
      </w:r>
      <w:r w:rsidR="00E3253D" w:rsidRPr="005D642E">
        <w:rPr>
          <w:rtl/>
        </w:rPr>
        <w:t xml:space="preserve"> وفي « غ » : « فكتب</w:t>
      </w:r>
      <w:r w:rsidR="00E3253D">
        <w:rPr>
          <w:rtl/>
        </w:rPr>
        <w:t xml:space="preserve"> ».</w:t>
      </w:r>
      <w:r w:rsidR="00E3253D" w:rsidRPr="005D642E">
        <w:rPr>
          <w:rtl/>
        </w:rPr>
        <w:t xml:space="preserve"> وفي العلل : « فيكسب</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فيكتب لهم الأجر</w:t>
      </w:r>
      <w:r w:rsidR="00E3253D">
        <w:rPr>
          <w:rtl/>
        </w:rPr>
        <w:t xml:space="preserve"> ».</w:t>
      </w:r>
      <w:r w:rsidR="00E3253D" w:rsidRPr="005D642E">
        <w:rPr>
          <w:rtl/>
        </w:rPr>
        <w:t xml:space="preserve"> وفي </w:t>
      </w:r>
      <w:r w:rsidR="00E3253D" w:rsidRPr="002F4D34">
        <w:rPr>
          <w:rStyle w:val="libFootnoteBoldChar"/>
          <w:rtl/>
        </w:rPr>
        <w:t>الحبل المتين</w:t>
      </w:r>
      <w:r w:rsidR="00E3253D" w:rsidRPr="005D642E">
        <w:rPr>
          <w:rtl/>
        </w:rPr>
        <w:t xml:space="preserve"> ، ص 235 : « ولفظتا « يكتب » في قوله </w:t>
      </w:r>
      <w:r w:rsidR="00E3253D" w:rsidRPr="00780A14">
        <w:rPr>
          <w:rStyle w:val="libFootnoteAlaemChar"/>
          <w:rtl/>
        </w:rPr>
        <w:t>عليه‌السلام</w:t>
      </w:r>
      <w:r w:rsidR="00E3253D" w:rsidRPr="005D642E">
        <w:rPr>
          <w:rtl/>
        </w:rPr>
        <w:t xml:space="preserve"> : فيكتب لهم الأجر ، ويكتب للميّت الاستغفار ، إمّا بالبناء للمفعول أو للفاعل ، يعود المستتر إلى المولى في ضمن الأولياء</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ى ، بس ، بف ، جس ، جن » وحاشية « بح » : « يكتسب</w:t>
      </w:r>
      <w:r w:rsidR="00E3253D">
        <w:rPr>
          <w:rtl/>
        </w:rPr>
        <w:t xml:space="preserve"> ».</w:t>
      </w:r>
      <w:r w:rsidR="00E3253D" w:rsidRPr="005D642E">
        <w:rPr>
          <w:rtl/>
        </w:rPr>
        <w:t xml:space="preserve"> وفي حاشية « غ » : « فيكتب</w:t>
      </w:r>
      <w:r w:rsidR="00E3253D">
        <w:rPr>
          <w:rtl/>
        </w:rPr>
        <w:t xml:space="preserve"> ».</w:t>
      </w:r>
      <w:r w:rsidR="00E3253D" w:rsidRPr="005D642E">
        <w:rPr>
          <w:rtl/>
        </w:rPr>
        <w:t xml:space="preserve"> وفي الوافي « فيكتسب</w:t>
      </w:r>
      <w:r w:rsidR="00E3253D">
        <w:rPr>
          <w:rtl/>
        </w:rPr>
        <w:t xml:space="preserve"> ».</w:t>
      </w:r>
      <w:r w:rsidR="00E3253D" w:rsidRPr="005D642E">
        <w:rPr>
          <w:rtl/>
        </w:rPr>
        <w:t xml:space="preserve"> وفي العلل : « يكسب</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ي ، بح ، بس ، بف ، جح ، جس ، جن » وحاشية « بخ » والعلل : « لميّته</w:t>
      </w:r>
      <w:r w:rsidR="00E3253D">
        <w:rPr>
          <w:rtl/>
        </w:rPr>
        <w:t xml:space="preserve"> ».</w:t>
      </w:r>
      <w:r w:rsidR="00E3253D" w:rsidRPr="005D642E">
        <w:rPr>
          <w:rtl/>
        </w:rPr>
        <w:t xml:space="preserve"> وفي الوسائل </w:t>
      </w:r>
      <w:r w:rsidR="00B60612" w:rsidRPr="00B60612">
        <w:rPr>
          <w:rStyle w:val="libFootnoteBoldChar"/>
          <w:rtl/>
        </w:rPr>
        <w:t>والتهذيب</w:t>
      </w:r>
      <w:r w:rsidR="00E3253D" w:rsidRPr="005D642E">
        <w:rPr>
          <w:rtl/>
        </w:rPr>
        <w:t xml:space="preserve"> : + « 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علل الشرائع</w:t>
      </w:r>
      <w:r w:rsidR="00E3253D" w:rsidRPr="005D642E">
        <w:rPr>
          <w:rtl/>
        </w:rPr>
        <w:t xml:space="preserve"> ، ص 301 ، ح 1 ، بسنده عن الحسن بن محبوب ؛ </w:t>
      </w:r>
      <w:r w:rsidR="00E3253D" w:rsidRPr="002F4D34">
        <w:rPr>
          <w:rStyle w:val="libFootnoteBoldChar"/>
          <w:rtl/>
        </w:rPr>
        <w:t>التهذيب</w:t>
      </w:r>
      <w:r w:rsidR="00E3253D" w:rsidRPr="005D642E">
        <w:rPr>
          <w:rtl/>
        </w:rPr>
        <w:t xml:space="preserve"> ، ج 1 ، ص 452 ، ح 1470 ، معلّقاً عن الحسن بن محبوب </w:t>
      </w:r>
      <w:r w:rsidR="00780A14">
        <w:rPr>
          <w:rFonts w:hint="cs"/>
          <w:rtl/>
        </w:rPr>
        <w:t>.</w:t>
      </w:r>
      <w:r w:rsidR="00E3253D" w:rsidRPr="002F4D34">
        <w:rPr>
          <w:rStyle w:val="libFootnoteBoldChar"/>
          <w:rtl/>
        </w:rPr>
        <w:t>الوافي</w:t>
      </w:r>
      <w:r w:rsidR="00E3253D" w:rsidRPr="005D642E">
        <w:rPr>
          <w:rtl/>
        </w:rPr>
        <w:t xml:space="preserve"> ، ج 24 ، ص 283 ، ح 24036 ؛ </w:t>
      </w:r>
      <w:r w:rsidR="00E3253D" w:rsidRPr="002F4D34">
        <w:rPr>
          <w:rStyle w:val="libFootnoteBoldChar"/>
          <w:rtl/>
        </w:rPr>
        <w:t>الوسائل</w:t>
      </w:r>
      <w:r w:rsidR="00E3253D" w:rsidRPr="005D642E">
        <w:rPr>
          <w:rtl/>
        </w:rPr>
        <w:t xml:space="preserve"> ، ج 3 ، ص 59 ، ذيل ح 3017.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284 ، ح 24037 ؛ </w:t>
      </w:r>
      <w:r w:rsidR="00E3253D" w:rsidRPr="002F4D34">
        <w:rPr>
          <w:rStyle w:val="libFootnoteBoldChar"/>
          <w:rtl/>
        </w:rPr>
        <w:t>الوسائل</w:t>
      </w:r>
      <w:r w:rsidR="00E3253D" w:rsidRPr="005D642E">
        <w:rPr>
          <w:rtl/>
        </w:rPr>
        <w:t xml:space="preserve"> ، ج 3 ، ص 60 ، ح 3019.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24 ، ص 284 ، ح 24038 ؛ </w:t>
      </w:r>
      <w:r w:rsidR="00E3253D" w:rsidRPr="002F4D34">
        <w:rPr>
          <w:rStyle w:val="libFootnoteBoldChar"/>
          <w:rtl/>
        </w:rPr>
        <w:t>الوسائل</w:t>
      </w:r>
      <w:r w:rsidR="00E3253D" w:rsidRPr="005D642E">
        <w:rPr>
          <w:rtl/>
        </w:rPr>
        <w:t xml:space="preserve"> ، ج 3 ، ص 60 ، ح 3020.</w:t>
      </w:r>
    </w:p>
    <w:p w:rsidR="00E3253D" w:rsidRDefault="00E3253D" w:rsidP="00E3253D">
      <w:pPr>
        <w:pStyle w:val="libNormal"/>
        <w:rPr>
          <w:rtl/>
          <w:lang w:bidi="fa-IR"/>
        </w:rPr>
      </w:pPr>
      <w:r>
        <w:rPr>
          <w:rtl/>
          <w:lang w:bidi="fa-IR"/>
        </w:rPr>
        <w:br w:type="page"/>
      </w:r>
    </w:p>
    <w:p w:rsidR="00E3253D" w:rsidRPr="005D642E" w:rsidRDefault="00780A14" w:rsidP="00E3253D">
      <w:pPr>
        <w:pStyle w:val="libNormal0"/>
        <w:rPr>
          <w:rtl/>
          <w:lang w:bidi="fa-IR"/>
        </w:rPr>
      </w:pPr>
      <w:r>
        <w:rPr>
          <w:rtl/>
          <w:lang w:bidi="fa-IR"/>
        </w:rPr>
        <w:t>إِل</w:t>
      </w:r>
      <w:r>
        <w:rPr>
          <w:rFonts w:hint="cs"/>
          <w:rtl/>
          <w:lang w:bidi="fa-IR"/>
        </w:rPr>
        <w:t>َّ</w:t>
      </w:r>
      <w:r>
        <w:rPr>
          <w:rtl/>
          <w:lang w:bidi="fa-IR"/>
        </w:rPr>
        <w:t>ا</w:t>
      </w:r>
      <w:r w:rsidR="00E3253D" w:rsidRPr="005D642E">
        <w:rPr>
          <w:rtl/>
          <w:lang w:bidi="fa-IR"/>
        </w:rPr>
        <w:t xml:space="preserve"> ذَكَرَهُ</w:t>
      </w:r>
      <w:r w:rsidR="00E3253D">
        <w:rPr>
          <w:rtl/>
          <w:lang w:bidi="fa-IR"/>
        </w:rPr>
        <w:t xml:space="preserve"> </w:t>
      </w:r>
      <w:r w:rsidR="007642BC">
        <w:rPr>
          <w:rtl/>
          <w:lang w:bidi="fa-IR"/>
        </w:rPr>
        <w:t>-</w:t>
      </w:r>
      <w:r w:rsidR="00E3253D">
        <w:rPr>
          <w:rtl/>
          <w:lang w:bidi="fa-IR"/>
        </w:rPr>
        <w:t xml:space="preserve"> </w:t>
      </w:r>
      <w:r w:rsidR="00E3253D" w:rsidRPr="005D642E">
        <w:rPr>
          <w:rtl/>
          <w:lang w:bidi="fa-IR"/>
        </w:rPr>
        <w:t>عَنْ أَبِي حَمْزَةَ ، قَالَ :</w:t>
      </w:r>
    </w:p>
    <w:p w:rsidR="00E3253D" w:rsidRPr="005D642E" w:rsidRDefault="00E3253D" w:rsidP="00E3253D">
      <w:pPr>
        <w:pStyle w:val="libNormal"/>
        <w:rPr>
          <w:rtl/>
          <w:lang w:bidi="fa-IR"/>
        </w:rPr>
      </w:pPr>
      <w:r w:rsidRPr="005D642E">
        <w:rPr>
          <w:rtl/>
          <w:lang w:bidi="fa-IR"/>
        </w:rPr>
        <w:t xml:space="preserve">كَانَ عَلِيُّ بْنُ الْحُسَيْنِ </w:t>
      </w:r>
      <w:r w:rsidRPr="00AC51C5">
        <w:rPr>
          <w:rStyle w:val="libAlaemChar"/>
          <w:rtl/>
        </w:rPr>
        <w:t>عليهما‌السلام</w:t>
      </w:r>
      <w:r w:rsidRPr="005D642E">
        <w:rPr>
          <w:rtl/>
          <w:lang w:bidi="fa-IR"/>
        </w:rPr>
        <w:t xml:space="preserve"> إِذَا رَأى جَنَازَةً قَدْ أَقْبَلَتْ </w:t>
      </w:r>
      <w:r w:rsidRPr="007C12DB">
        <w:rPr>
          <w:rStyle w:val="libFootnotenumChar"/>
          <w:rtl/>
        </w:rPr>
        <w:t>(1)</w:t>
      </w:r>
      <w:r w:rsidRPr="005D642E">
        <w:rPr>
          <w:rtl/>
          <w:lang w:bidi="fa-IR"/>
        </w:rPr>
        <w:t xml:space="preserve"> ، قَالَ : « الْحَمْدُ لِلّهِ الَّذِي لَمْ يَجْعَلْنِي مِنَ السَّوَادِ </w:t>
      </w:r>
      <w:r w:rsidRPr="007C12DB">
        <w:rPr>
          <w:rStyle w:val="libFootnotenumChar"/>
          <w:rtl/>
        </w:rPr>
        <w:t>(2)</w:t>
      </w:r>
      <w:r w:rsidRPr="005D642E">
        <w:rPr>
          <w:rtl/>
          <w:lang w:bidi="fa-IR"/>
        </w:rPr>
        <w:t xml:space="preserve"> الْمُخْتَرَمِ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E8044C">
        <w:rPr>
          <w:rtl/>
        </w:rPr>
        <w:t>4442</w:t>
      </w:r>
      <w:r w:rsidRPr="00246318">
        <w:rPr>
          <w:rStyle w:val="libBold2Char"/>
          <w:rtl/>
        </w:rPr>
        <w:t xml:space="preserve"> / 2.</w:t>
      </w:r>
      <w:r w:rsidRPr="005D642E">
        <w:rPr>
          <w:rtl/>
          <w:lang w:bidi="fa-IR"/>
        </w:rPr>
        <w:t xml:space="preserve"> مُحَمَّدُ بْنُ يَحْيى ، عَنْ مُوسَى بْنِ الْحَسَنِ ، عَنْ أَبِي الْحَسَنِ النَّهْدِيِّ رَفَعَهُ ، قَالَ :</w:t>
      </w:r>
    </w:p>
    <w:p w:rsidR="00E3253D" w:rsidRPr="005D642E" w:rsidRDefault="00E3253D" w:rsidP="00E3253D">
      <w:pPr>
        <w:pStyle w:val="libNormal"/>
        <w:rPr>
          <w:rtl/>
          <w:lang w:bidi="fa-IR"/>
        </w:rPr>
      </w:pPr>
      <w:r w:rsidRPr="005D642E">
        <w:rPr>
          <w:rtl/>
          <w:lang w:bidi="fa-IR"/>
        </w:rPr>
        <w:t xml:space="preserve">كَانَ أَبُو جَعْفَرٍ </w:t>
      </w:r>
      <w:r w:rsidRPr="00AC51C5">
        <w:rPr>
          <w:rStyle w:val="libAlaemChar"/>
          <w:rtl/>
        </w:rPr>
        <w:t>عليه‌السلام</w:t>
      </w:r>
      <w:r w:rsidRPr="005D642E">
        <w:rPr>
          <w:rtl/>
          <w:lang w:bidi="fa-IR"/>
        </w:rPr>
        <w:t xml:space="preserve"> إِذَا رَأى جَنَازَةً ، قَالَ : « الْحَمْدُ لِلّهِ الَّذِي لَمْ يَجْعَلْنِي مِنَ السَّوَادِ الْمُخْتَرَمِ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E8044C">
        <w:rPr>
          <w:rtl/>
        </w:rPr>
        <w:t>4443</w:t>
      </w:r>
      <w:r w:rsidRPr="00246318">
        <w:rPr>
          <w:rStyle w:val="libBold2Char"/>
          <w:rtl/>
        </w:rPr>
        <w:t xml:space="preserve"> / 3.</w:t>
      </w:r>
      <w:r w:rsidRPr="005D642E">
        <w:rPr>
          <w:rtl/>
          <w:lang w:bidi="fa-IR"/>
        </w:rPr>
        <w:t xml:space="preserve"> حُمَيْدٌ ، عَنِ ابْنِ سَمَاعَةَ </w:t>
      </w:r>
      <w:r w:rsidRPr="007C12DB">
        <w:rPr>
          <w:rStyle w:val="libFootnotenumChar"/>
          <w:rtl/>
        </w:rPr>
        <w:t>(7)</w:t>
      </w:r>
      <w:r w:rsidRPr="005D642E">
        <w:rPr>
          <w:rtl/>
          <w:lang w:bidi="fa-IR"/>
        </w:rPr>
        <w:t xml:space="preserve"> ، عَنْ عَبْدِ اللهِ بْنِ جَبَلَةَ ، عَنْ مُحَمَّدِ بْنِ مَسْعُودٍ‌</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الفقيه :</w:t>
      </w:r>
      <w:r w:rsidR="00E3253D">
        <w:rPr>
          <w:rtl/>
        </w:rPr>
        <w:t xml:space="preserve"> </w:t>
      </w:r>
      <w:r w:rsidR="007642BC">
        <w:rPr>
          <w:rtl/>
        </w:rPr>
        <w:t>-</w:t>
      </w:r>
      <w:r w:rsidR="00E3253D">
        <w:rPr>
          <w:rtl/>
        </w:rPr>
        <w:t xml:space="preserve"> </w:t>
      </w:r>
      <w:r w:rsidR="00E3253D" w:rsidRPr="005D642E">
        <w:rPr>
          <w:rtl/>
        </w:rPr>
        <w:t>« قد أقبلت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السَواد يطلق على الشخص ؛ لأنّه يرى من بعيد أسود ، وقد يطلق على عامّة الناس وقرى المدينة والعدد الكثير. راجع : </w:t>
      </w:r>
      <w:r w:rsidR="00E3253D" w:rsidRPr="002F4D34">
        <w:rPr>
          <w:rStyle w:val="libFootnoteBoldChar"/>
          <w:rtl/>
        </w:rPr>
        <w:t>الصحاح</w:t>
      </w:r>
      <w:r w:rsidR="00E3253D" w:rsidRPr="005D642E">
        <w:rPr>
          <w:rtl/>
        </w:rPr>
        <w:t xml:space="preserve"> ، ج 2 ، ص 492 ؛ </w:t>
      </w:r>
      <w:r w:rsidR="00E3253D" w:rsidRPr="002F4D34">
        <w:rPr>
          <w:rStyle w:val="libFootnoteBoldChar"/>
          <w:rtl/>
        </w:rPr>
        <w:t>النهاية</w:t>
      </w:r>
      <w:r w:rsidR="00E3253D" w:rsidRPr="005D642E">
        <w:rPr>
          <w:rtl/>
        </w:rPr>
        <w:t xml:space="preserve"> ، ج 2 ، ص 418 ( سود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المحترم</w:t>
      </w:r>
      <w:r w:rsidR="00E3253D">
        <w:rPr>
          <w:rtl/>
        </w:rPr>
        <w:t xml:space="preserve"> ».</w:t>
      </w:r>
      <w:r w:rsidR="00E3253D" w:rsidRPr="005D642E">
        <w:rPr>
          <w:rtl/>
        </w:rPr>
        <w:t xml:space="preserve"> </w:t>
      </w:r>
      <w:r w:rsidR="00E3253D">
        <w:rPr>
          <w:rtl/>
        </w:rPr>
        <w:t>و «</w:t>
      </w:r>
      <w:r w:rsidR="00E3253D" w:rsidRPr="005D642E">
        <w:rPr>
          <w:rtl/>
        </w:rPr>
        <w:t xml:space="preserve"> ال</w:t>
      </w:r>
      <w:r w:rsidR="003A4C84">
        <w:rPr>
          <w:rFonts w:hint="cs"/>
          <w:rtl/>
        </w:rPr>
        <w:t>ـ</w:t>
      </w:r>
      <w:r w:rsidR="00E3253D" w:rsidRPr="005D642E">
        <w:rPr>
          <w:rtl/>
        </w:rPr>
        <w:t>مُخْتَرَم » : ال</w:t>
      </w:r>
      <w:r w:rsidR="003A4C84">
        <w:rPr>
          <w:rFonts w:hint="cs"/>
          <w:rtl/>
        </w:rPr>
        <w:t>ـ</w:t>
      </w:r>
      <w:r w:rsidR="00E3253D" w:rsidRPr="005D642E">
        <w:rPr>
          <w:rtl/>
        </w:rPr>
        <w:t>مُسْتَأصَل وال</w:t>
      </w:r>
      <w:r w:rsidR="003A4C84">
        <w:rPr>
          <w:rFonts w:hint="cs"/>
          <w:rtl/>
        </w:rPr>
        <w:t>ـ</w:t>
      </w:r>
      <w:r w:rsidR="00E3253D" w:rsidRPr="005D642E">
        <w:rPr>
          <w:rtl/>
        </w:rPr>
        <w:t>مُقْتَطَع ، واخْتُرِم فلان عنّا ، أي مات وذهب. واخترمته المنيّة من بين أصحابه ، أي أخذه من بينهم. هذا في اللغة. قال الشهيد الأوّل : « السواد : الشخص ، والمخترم : الهالك أو المستأصل ، والمراد هنا الجنس ومنه قولهم : السواد الأعظم ، أي لم يجعلني من هذا القبيل ، ولا ينافي هذا حبّ لقاء الله تعالى ؛ لأنّه غير مقيّد بوقت فيحمل على حال الاحتضار ومعاينة ما يحبّ</w:t>
      </w:r>
      <w:r w:rsidR="00E3253D">
        <w:rPr>
          <w:rtl/>
        </w:rPr>
        <w:t xml:space="preserve"> ..</w:t>
      </w:r>
      <w:r w:rsidR="00E3253D" w:rsidRPr="005D642E">
        <w:rPr>
          <w:rtl/>
        </w:rPr>
        <w:t>. ويجوز أن يكنّى بالمخترم عن الكافر ؛ لأنّه الهالك على الإطلاق بخلاف المؤمن ، أو يراد بالمخترم من مات دون أربعين سنة كما مرّ ، وإذا ا</w:t>
      </w:r>
      <w:r w:rsidR="00FC4BF2">
        <w:rPr>
          <w:rFonts w:hint="cs"/>
          <w:rtl/>
        </w:rPr>
        <w:t>ُ</w:t>
      </w:r>
      <w:r w:rsidR="00E3253D" w:rsidRPr="005D642E">
        <w:rPr>
          <w:rtl/>
        </w:rPr>
        <w:t>ريد به المستأصل فالجمع أظهر</w:t>
      </w:r>
      <w:r w:rsidR="00E3253D">
        <w:rPr>
          <w:rtl/>
        </w:rPr>
        <w:t xml:space="preserve"> ».</w:t>
      </w:r>
      <w:r w:rsidR="00E3253D" w:rsidRPr="005D642E">
        <w:rPr>
          <w:rtl/>
        </w:rPr>
        <w:t xml:space="preserve"> قال الشيخ البهائي بعد نقل هذا الكلام : « ويمكن أن يراد بالسواد عامّة الناس ، كما هو أحد معاني السواد في اللغة ، ويكون المراد : الحمد لله‌الذي لم يجعلني من عامّة الناس الذين يموتون على غير بصيرة ولا استعداد للموت ، والله أعلم</w:t>
      </w:r>
      <w:r w:rsidR="00E3253D">
        <w:rPr>
          <w:rtl/>
        </w:rPr>
        <w:t xml:space="preserve"> ».</w:t>
      </w:r>
      <w:r w:rsidR="00E3253D" w:rsidRPr="005D642E">
        <w:rPr>
          <w:rtl/>
        </w:rPr>
        <w:t xml:space="preserve"> وقيل غير ذلك. راجع : </w:t>
      </w:r>
      <w:r w:rsidR="00E3253D" w:rsidRPr="002F4D34">
        <w:rPr>
          <w:rStyle w:val="libFootnoteBoldChar"/>
          <w:rtl/>
        </w:rPr>
        <w:t>الصحاح</w:t>
      </w:r>
      <w:r w:rsidR="00E3253D" w:rsidRPr="005D642E">
        <w:rPr>
          <w:rtl/>
        </w:rPr>
        <w:t xml:space="preserve"> ، ج 5 ، ص 1910 ؛ </w:t>
      </w:r>
      <w:r w:rsidR="00E3253D" w:rsidRPr="002F4D34">
        <w:rPr>
          <w:rStyle w:val="libFootnoteBoldChar"/>
          <w:rtl/>
        </w:rPr>
        <w:t>لسان العرب</w:t>
      </w:r>
      <w:r w:rsidR="00E3253D" w:rsidRPr="005D642E">
        <w:rPr>
          <w:rtl/>
        </w:rPr>
        <w:t xml:space="preserve"> ، ج 12 ، ص 172 ( خرم ) ؛ </w:t>
      </w:r>
      <w:r w:rsidR="00E3253D" w:rsidRPr="002F4D34">
        <w:rPr>
          <w:rStyle w:val="libFootnoteBoldChar"/>
          <w:rtl/>
        </w:rPr>
        <w:t>ذكرى الشيعة</w:t>
      </w:r>
      <w:r w:rsidR="00E3253D" w:rsidRPr="005D642E">
        <w:rPr>
          <w:rtl/>
        </w:rPr>
        <w:t xml:space="preserve"> ، ج 1 ، ص 389 ؛ </w:t>
      </w:r>
      <w:r w:rsidR="00E3253D" w:rsidRPr="002F4D34">
        <w:rPr>
          <w:rStyle w:val="libFootnoteBoldChar"/>
          <w:rtl/>
        </w:rPr>
        <w:t>الحبل المتين</w:t>
      </w:r>
      <w:r w:rsidR="00E3253D" w:rsidRPr="005D642E">
        <w:rPr>
          <w:rtl/>
        </w:rPr>
        <w:t xml:space="preserve"> ، ص 237</w:t>
      </w:r>
      <w:r w:rsidR="00E3253D">
        <w:rPr>
          <w:rtl/>
        </w:rPr>
        <w:t xml:space="preserve"> </w:t>
      </w:r>
      <w:r w:rsidR="007642BC">
        <w:rPr>
          <w:rtl/>
        </w:rPr>
        <w:t>-</w:t>
      </w:r>
      <w:r w:rsidR="00E3253D">
        <w:rPr>
          <w:rtl/>
        </w:rPr>
        <w:t xml:space="preserve"> </w:t>
      </w:r>
      <w:r w:rsidR="00E3253D" w:rsidRPr="005D642E">
        <w:rPr>
          <w:rtl/>
        </w:rPr>
        <w:t xml:space="preserve">238 ؛ </w:t>
      </w:r>
      <w:r w:rsidR="00E3253D" w:rsidRPr="002F4D34">
        <w:rPr>
          <w:rStyle w:val="libFootnoteBoldChar"/>
          <w:rtl/>
        </w:rPr>
        <w:t>مرآة العقول</w:t>
      </w:r>
      <w:r w:rsidR="00E3253D" w:rsidRPr="005D642E">
        <w:rPr>
          <w:rtl/>
        </w:rPr>
        <w:t xml:space="preserve"> ، ج 14 ، ص 5</w:t>
      </w:r>
      <w:r w:rsidR="00E3253D">
        <w:rPr>
          <w:rtl/>
        </w:rPr>
        <w:t xml:space="preserve"> </w:t>
      </w:r>
      <w:r w:rsidR="007642BC">
        <w:rPr>
          <w:rtl/>
        </w:rPr>
        <w:t>-</w:t>
      </w:r>
      <w:r w:rsidR="00E3253D">
        <w:rPr>
          <w:rtl/>
        </w:rPr>
        <w:t xml:space="preserve"> </w:t>
      </w:r>
      <w:r w:rsidR="00E3253D" w:rsidRPr="005D642E">
        <w:rPr>
          <w:rtl/>
        </w:rPr>
        <w:t>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452 ، ح 1472 ، معلّقاً عن عليّ بن إبراهيم. </w:t>
      </w:r>
      <w:r w:rsidR="00E3253D" w:rsidRPr="002F4D34">
        <w:rPr>
          <w:rStyle w:val="libFootnoteBoldChar"/>
          <w:rtl/>
        </w:rPr>
        <w:t>الفقيه</w:t>
      </w:r>
      <w:r w:rsidR="00E3253D" w:rsidRPr="005D642E">
        <w:rPr>
          <w:rtl/>
        </w:rPr>
        <w:t xml:space="preserve"> ، ج 1 ، ص 177 ، ح 525 ، مرسلاً </w:t>
      </w:r>
      <w:r w:rsidR="00FC4BF2">
        <w:rPr>
          <w:rFonts w:hint="cs"/>
          <w:rtl/>
        </w:rPr>
        <w:t>.</w:t>
      </w:r>
      <w:r w:rsidR="00E3253D" w:rsidRPr="002F4D34">
        <w:rPr>
          <w:rStyle w:val="libFootnoteBoldChar"/>
          <w:rtl/>
        </w:rPr>
        <w:t>الوافي</w:t>
      </w:r>
      <w:r w:rsidR="00E3253D" w:rsidRPr="005D642E">
        <w:rPr>
          <w:rtl/>
        </w:rPr>
        <w:t xml:space="preserve"> ، ج 24 ، ص 391 ، ح 24292 ؛ </w:t>
      </w:r>
      <w:r w:rsidR="00E3253D" w:rsidRPr="002F4D34">
        <w:rPr>
          <w:rStyle w:val="libFootnoteBoldChar"/>
          <w:rtl/>
        </w:rPr>
        <w:t>الوسائل</w:t>
      </w:r>
      <w:r w:rsidR="00E3253D" w:rsidRPr="005D642E">
        <w:rPr>
          <w:rtl/>
        </w:rPr>
        <w:t xml:space="preserve"> ، ج 3 ، ص 157 ، ح 3278.</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بس » : « المحترم</w:t>
      </w:r>
      <w:r w:rsidR="00E3253D">
        <w:rPr>
          <w:rtl/>
        </w:rPr>
        <w:t xml:space="preserve"> ».</w:t>
      </w:r>
      <w:r w:rsidR="00E3253D" w:rsidRPr="005D642E">
        <w:rPr>
          <w:rtl/>
        </w:rPr>
        <w:t xml:space="preserve"> ولم ترد هذه الرواية بتمامها في « بخ</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24 ، ص 392 ، ح 24293 ؛ </w:t>
      </w:r>
      <w:r w:rsidR="00E3253D" w:rsidRPr="002F4D34">
        <w:rPr>
          <w:rStyle w:val="libFootnoteBoldChar"/>
          <w:rtl/>
        </w:rPr>
        <w:t>الوسائل</w:t>
      </w:r>
      <w:r w:rsidR="00E3253D" w:rsidRPr="005D642E">
        <w:rPr>
          <w:rtl/>
        </w:rPr>
        <w:t xml:space="preserve"> ، ج 3 ، ص 158 ، ح 3280.</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بس ، بف ، جس » :</w:t>
      </w:r>
      <w:r w:rsidR="00E3253D">
        <w:rPr>
          <w:rtl/>
        </w:rPr>
        <w:t xml:space="preserve"> </w:t>
      </w:r>
      <w:r w:rsidR="007642BC">
        <w:rPr>
          <w:rtl/>
        </w:rPr>
        <w:t>-</w:t>
      </w:r>
      <w:r w:rsidR="00E3253D">
        <w:rPr>
          <w:rtl/>
        </w:rPr>
        <w:t xml:space="preserve"> </w:t>
      </w:r>
      <w:r w:rsidR="00E3253D" w:rsidRPr="005D642E">
        <w:rPr>
          <w:rtl/>
        </w:rPr>
        <w:t>« ابن</w:t>
      </w:r>
      <w:r w:rsidR="00E3253D">
        <w:rPr>
          <w:rtl/>
        </w:rPr>
        <w:t xml:space="preserve"> ».</w:t>
      </w:r>
      <w:r w:rsidR="00E3253D" w:rsidRPr="005D642E">
        <w:rPr>
          <w:rtl/>
        </w:rPr>
        <w:t xml:space="preserve"> وهو سهو ؛ فقد توسّط [ الحسن بن محمّد ] بن سماعة بين حُمَيد بن </w:t>
      </w:r>
      <w:r w:rsidR="00FC4BF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الطَّائِيِّ ، عَنْ عَنْبَسَةَ بْنِ مُصْعَبٍ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مَنِ اسْتَقْبَلَ جَنَازَةً أَوْ رَآهَا ، فَقَالَ : </w:t>
      </w:r>
      <w:r w:rsidRPr="007C12DB">
        <w:rPr>
          <w:rStyle w:val="libFootnotenumChar"/>
          <w:rtl/>
        </w:rPr>
        <w:t>(1)</w:t>
      </w:r>
      <w:r>
        <w:rPr>
          <w:rtl/>
          <w:lang w:bidi="fa-IR"/>
        </w:rPr>
        <w:t xml:space="preserve"> "</w:t>
      </w:r>
      <w:r w:rsidRPr="005D642E">
        <w:rPr>
          <w:rtl/>
          <w:lang w:bidi="fa-IR"/>
        </w:rPr>
        <w:t>اللهُ أَكْبَرُ ، هذَا مَا وَعَدَنَا اللهُ وَرَسُولُهُ ، وَصَدَقَ اللهُ وَرَسُولُهُ ، الل</w:t>
      </w:r>
      <w:r w:rsidR="005F4985">
        <w:rPr>
          <w:rFonts w:hint="cs"/>
          <w:rtl/>
          <w:lang w:bidi="fa-IR"/>
        </w:rPr>
        <w:t>ّ</w:t>
      </w:r>
      <w:r w:rsidRPr="005D642E">
        <w:rPr>
          <w:rtl/>
          <w:lang w:bidi="fa-IR"/>
        </w:rPr>
        <w:t xml:space="preserve">هُمَّ زِدْنَا إِيمَاناً وَتَسْلِيماً ، الْحَمْدُ لِلّهِ </w:t>
      </w:r>
      <w:r w:rsidRPr="007C12DB">
        <w:rPr>
          <w:rStyle w:val="libFootnotenumChar"/>
          <w:rtl/>
        </w:rPr>
        <w:t>(2)</w:t>
      </w:r>
      <w:r w:rsidRPr="005D642E">
        <w:rPr>
          <w:rtl/>
          <w:lang w:bidi="fa-IR"/>
        </w:rPr>
        <w:t xml:space="preserve"> الَّذِي تَعَزَّزَ بِالْقُدْرَةِ ، وَقَهَرَ الْعِبَادَ </w:t>
      </w:r>
      <w:r w:rsidRPr="007C12DB">
        <w:rPr>
          <w:rStyle w:val="libFootnotenumChar"/>
          <w:rtl/>
        </w:rPr>
        <w:t>(3)</w:t>
      </w:r>
      <w:r w:rsidRPr="005D642E">
        <w:rPr>
          <w:rtl/>
          <w:lang w:bidi="fa-IR"/>
        </w:rPr>
        <w:t xml:space="preserve"> بِالْمَوْتِ" ، لَمْ يَبْقَ فِي السَّمَاءِ مَلَكٌ </w:t>
      </w:r>
      <w:r w:rsidRPr="007C12DB">
        <w:rPr>
          <w:rStyle w:val="libFootnotenumChar"/>
          <w:rtl/>
        </w:rPr>
        <w:t>(4)</w:t>
      </w:r>
      <w:r w:rsidR="005F4985">
        <w:rPr>
          <w:rtl/>
          <w:lang w:bidi="fa-IR"/>
        </w:rPr>
        <w:t xml:space="preserve"> إِل</w:t>
      </w:r>
      <w:r w:rsidR="005F4985">
        <w:rPr>
          <w:rFonts w:hint="cs"/>
          <w:rtl/>
          <w:lang w:bidi="fa-IR"/>
        </w:rPr>
        <w:t>َّ</w:t>
      </w:r>
      <w:r w:rsidR="005F4985">
        <w:rPr>
          <w:rtl/>
          <w:lang w:bidi="fa-IR"/>
        </w:rPr>
        <w:t>ا</w:t>
      </w:r>
      <w:r w:rsidRPr="005D642E">
        <w:rPr>
          <w:rtl/>
          <w:lang w:bidi="fa-IR"/>
        </w:rPr>
        <w:t xml:space="preserve"> بَكى رَحْمَةً لِصَوْتِهِ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371" w:name="_Toc344647334"/>
      <w:bookmarkStart w:id="372" w:name="_Toc462226848"/>
      <w:bookmarkStart w:id="373" w:name="_Toc40975957"/>
      <w:r w:rsidRPr="005D642E">
        <w:rPr>
          <w:rtl/>
          <w:lang w:bidi="fa-IR"/>
        </w:rPr>
        <w:t>39</w:t>
      </w:r>
      <w:r>
        <w:rPr>
          <w:rtl/>
          <w:lang w:bidi="fa-IR"/>
        </w:rPr>
        <w:t xml:space="preserve"> </w:t>
      </w:r>
      <w:r w:rsidR="007642BC">
        <w:rPr>
          <w:rtl/>
          <w:lang w:bidi="fa-IR"/>
        </w:rPr>
        <w:t>-</w:t>
      </w:r>
      <w:r>
        <w:rPr>
          <w:rtl/>
          <w:lang w:bidi="fa-IR"/>
        </w:rPr>
        <w:t xml:space="preserve"> </w:t>
      </w:r>
      <w:r w:rsidRPr="005D642E">
        <w:rPr>
          <w:rtl/>
          <w:lang w:bidi="fa-IR"/>
        </w:rPr>
        <w:t>بَابُ السُّنَّةِ فِي حَمْلِ الْجَنَازَةِ‌</w:t>
      </w:r>
      <w:bookmarkEnd w:id="371"/>
      <w:bookmarkEnd w:id="372"/>
      <w:bookmarkEnd w:id="373"/>
    </w:p>
    <w:p w:rsidR="00E3253D" w:rsidRPr="005D642E" w:rsidRDefault="00E3253D" w:rsidP="00E3253D">
      <w:pPr>
        <w:pStyle w:val="libNormal"/>
        <w:rPr>
          <w:rtl/>
          <w:lang w:bidi="fa-IR"/>
        </w:rPr>
      </w:pPr>
      <w:r w:rsidRPr="00E8044C">
        <w:rPr>
          <w:rtl/>
        </w:rPr>
        <w:t>4444</w:t>
      </w:r>
      <w:r w:rsidRPr="00246318">
        <w:rPr>
          <w:rStyle w:val="libBold2Char"/>
          <w:rtl/>
        </w:rPr>
        <w:t xml:space="preserve"> / 1.</w:t>
      </w:r>
      <w:r w:rsidRPr="005D642E">
        <w:rPr>
          <w:rtl/>
          <w:lang w:bidi="fa-IR"/>
        </w:rPr>
        <w:t xml:space="preserve"> عَلِيُّ بْنُ إِبْرَاهِيمَ ، عَنْ أَبِيهِ ، عَنْ غَيْرِ وَاحِدٍ ، عَنْ يُونُسَ ، عَنْ عَلِيِّ بْنِ يَقْطِينٍ :</w:t>
      </w:r>
    </w:p>
    <w:p w:rsidR="00E3253D" w:rsidRPr="005D642E" w:rsidRDefault="00E3253D" w:rsidP="00E3253D">
      <w:pPr>
        <w:pStyle w:val="libNormal"/>
        <w:rPr>
          <w:rtl/>
          <w:lang w:bidi="fa-IR"/>
        </w:rPr>
      </w:pPr>
      <w:r w:rsidRPr="005D642E">
        <w:rPr>
          <w:rtl/>
          <w:lang w:bidi="fa-IR"/>
        </w:rPr>
        <w:t xml:space="preserve">عَنْ أَبِي الْحَسَنِ مُوسى </w:t>
      </w:r>
      <w:r w:rsidRPr="00AC51C5">
        <w:rPr>
          <w:rStyle w:val="libAlaemChar"/>
          <w:rtl/>
        </w:rPr>
        <w:t>عليه‌السلام</w:t>
      </w:r>
      <w:r w:rsidRPr="005D642E">
        <w:rPr>
          <w:rtl/>
          <w:lang w:bidi="fa-IR"/>
        </w:rPr>
        <w:t xml:space="preserve"> ، قَالَ : سَمِعْتُهُ يَقُولُ : « السُّنَّةُ فِي حَمْلِ الْجَنَازَةِ أَنْ تَسْتَقْبِلَ </w:t>
      </w:r>
      <w:r w:rsidRPr="007C12DB">
        <w:rPr>
          <w:rStyle w:val="libFootnotenumChar"/>
          <w:rtl/>
        </w:rPr>
        <w:t>(7)</w:t>
      </w:r>
      <w:r w:rsidRPr="005D642E">
        <w:rPr>
          <w:rtl/>
          <w:lang w:bidi="fa-IR"/>
        </w:rPr>
        <w:t xml:space="preserve"> جَانِبَ السَّرِيرِ بِشِقِّكَ الْأَيْمَنِ ، فَتَلْزَمَ </w:t>
      </w:r>
      <w:r w:rsidRPr="007C12DB">
        <w:rPr>
          <w:rStyle w:val="libFootnotenumChar"/>
          <w:rtl/>
        </w:rPr>
        <w:t>(8)</w:t>
      </w:r>
      <w:r w:rsidRPr="005D642E">
        <w:rPr>
          <w:rtl/>
          <w:lang w:bidi="fa-IR"/>
        </w:rPr>
        <w:t xml:space="preserve"> الْأَيْسَرَ بِكَفِّكَ </w:t>
      </w:r>
      <w:r w:rsidRPr="007C12DB">
        <w:rPr>
          <w:rStyle w:val="libFootnotenumChar"/>
          <w:rtl/>
        </w:rPr>
        <w:t>(9)</w:t>
      </w:r>
      <w:r w:rsidRPr="005D642E">
        <w:rPr>
          <w:rtl/>
          <w:lang w:bidi="fa-IR"/>
        </w:rPr>
        <w:t xml:space="preserve"> الْأَيْمَنِ ، ثُمَّ تَمُرَّ عَلَيْهِ إِلى‌</w:t>
      </w:r>
      <w:r>
        <w:rPr>
          <w:rFonts w:hint="cs"/>
          <w:rtl/>
          <w:lang w:bidi="fa-IR"/>
        </w:rPr>
        <w:t xml:space="preserve"> </w:t>
      </w:r>
      <w:r w:rsidRPr="005D642E">
        <w:rPr>
          <w:rtl/>
          <w:lang w:bidi="fa-IR"/>
        </w:rPr>
        <w:t xml:space="preserve">الْجَانِبِ الْآخَرِ ، وَتَدُورَ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مِنْ </w:t>
      </w:r>
      <w:r w:rsidRPr="007C12DB">
        <w:rPr>
          <w:rStyle w:val="libFootnotenumChar"/>
          <w:rtl/>
        </w:rPr>
        <w:t>(</w:t>
      </w:r>
      <w:r w:rsidRPr="007C12DB">
        <w:rPr>
          <w:rStyle w:val="libFootnotenumChar"/>
          <w:rFonts w:hint="cs"/>
          <w:rtl/>
        </w:rPr>
        <w:t>11</w:t>
      </w:r>
      <w:r w:rsidRPr="007C12DB">
        <w:rPr>
          <w:rStyle w:val="libFootnotenumChar"/>
          <w:rtl/>
        </w:rPr>
        <w:t>)</w:t>
      </w:r>
      <w:r w:rsidRPr="005D642E">
        <w:rPr>
          <w:rtl/>
          <w:lang w:bidi="fa-IR"/>
        </w:rPr>
        <w:t xml:space="preserve"> خَلْفِهِ إِلَى الْجَانِبِ الثَّالِثِ مِنَ السَّرِيرِ ، ثُمَّ تَمُرَّ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عَلَيْهِ</w:t>
      </w:r>
    </w:p>
    <w:p w:rsidR="00E3253D" w:rsidRPr="005D642E" w:rsidRDefault="00E3253D" w:rsidP="00E3253D">
      <w:pPr>
        <w:pStyle w:val="libLine"/>
        <w:rPr>
          <w:rtl/>
          <w:lang w:bidi="fa-IR"/>
        </w:rPr>
      </w:pPr>
      <w:r w:rsidRPr="005D642E">
        <w:rPr>
          <w:rtl/>
          <w:lang w:bidi="fa-IR"/>
        </w:rPr>
        <w:t>__________________</w:t>
      </w:r>
    </w:p>
    <w:p w:rsidR="00E3253D" w:rsidRPr="005D642E" w:rsidRDefault="002E47E5" w:rsidP="00E3253D">
      <w:pPr>
        <w:pStyle w:val="libFootnote0"/>
        <w:rPr>
          <w:rtl/>
          <w:lang w:bidi="fa-IR"/>
        </w:rPr>
      </w:pPr>
      <w:r>
        <w:rPr>
          <w:rFonts w:hint="cs"/>
          <w:rtl/>
        </w:rPr>
        <w:t xml:space="preserve">= </w:t>
      </w:r>
      <w:r w:rsidR="00E3253D" w:rsidRPr="005D642E">
        <w:rPr>
          <w:rtl/>
        </w:rPr>
        <w:t xml:space="preserve">زياد وبين عبدالله بن جبلة في عددٍ من الأسناد. راجع : </w:t>
      </w:r>
      <w:r w:rsidR="00E3253D" w:rsidRPr="002F4D34">
        <w:rPr>
          <w:rStyle w:val="libFootnoteBoldChar"/>
          <w:rtl/>
        </w:rPr>
        <w:t>معجم رجال الحديث</w:t>
      </w:r>
      <w:r w:rsidR="00E3253D" w:rsidRPr="005D642E">
        <w:rPr>
          <w:rtl/>
        </w:rPr>
        <w:t xml:space="preserve"> ، ج 5 ، ص 383</w:t>
      </w:r>
      <w:r w:rsidR="00E3253D">
        <w:rPr>
          <w:rtl/>
        </w:rPr>
        <w:t xml:space="preserve"> </w:t>
      </w:r>
      <w:r w:rsidR="007642BC">
        <w:rPr>
          <w:rtl/>
        </w:rPr>
        <w:t>-</w:t>
      </w:r>
      <w:r w:rsidR="00E3253D">
        <w:rPr>
          <w:rtl/>
        </w:rPr>
        <w:t xml:space="preserve"> </w:t>
      </w:r>
      <w:r w:rsidR="00E3253D" w:rsidRPr="005D642E">
        <w:rPr>
          <w:rtl/>
        </w:rPr>
        <w:t>384 ؛ وج 22 ، ص 390.</w:t>
      </w:r>
    </w:p>
    <w:tbl>
      <w:tblPr>
        <w:tblStyle w:val="TableGrid"/>
        <w:bidiVisual/>
        <w:tblW w:w="0" w:type="auto"/>
        <w:tblLook w:val="04A0" w:firstRow="1" w:lastRow="0" w:firstColumn="1" w:lastColumn="0" w:noHBand="0" w:noVBand="1"/>
      </w:tblPr>
      <w:tblGrid>
        <w:gridCol w:w="4006"/>
        <w:gridCol w:w="4006"/>
      </w:tblGrid>
      <w:tr w:rsidR="00E7657F" w:rsidTr="00E7657F">
        <w:tc>
          <w:tcPr>
            <w:tcW w:w="4006" w:type="dxa"/>
          </w:tcPr>
          <w:p w:rsidR="00E7657F" w:rsidRDefault="00E7657F" w:rsidP="00E3253D">
            <w:pPr>
              <w:pStyle w:val="libFootnote0"/>
              <w:rPr>
                <w:rStyle w:val="libFootnote0Char"/>
                <w:rtl/>
                <w:lang w:bidi="fa-IR"/>
              </w:rPr>
            </w:pPr>
            <w:r w:rsidRPr="0042621E">
              <w:rPr>
                <w:rStyle w:val="libFootnote0Char"/>
                <w:rtl/>
              </w:rPr>
              <w:t>(1).</w:t>
            </w:r>
            <w:r>
              <w:rPr>
                <w:rtl/>
              </w:rPr>
              <w:t xml:space="preserve"> في«جن»: «</w:t>
            </w:r>
            <w:r w:rsidRPr="005D642E">
              <w:rPr>
                <w:rtl/>
              </w:rPr>
              <w:t>قال</w:t>
            </w:r>
            <w:r>
              <w:rPr>
                <w:rtl/>
              </w:rPr>
              <w:t>». وفي حاشية«بح</w:t>
            </w:r>
            <w:r w:rsidRPr="005D642E">
              <w:rPr>
                <w:rtl/>
              </w:rPr>
              <w:t>» : « وقال</w:t>
            </w:r>
            <w:r>
              <w:rPr>
                <w:rtl/>
              </w:rPr>
              <w:t xml:space="preserve"> ».</w:t>
            </w:r>
          </w:p>
        </w:tc>
        <w:tc>
          <w:tcPr>
            <w:tcW w:w="4006" w:type="dxa"/>
          </w:tcPr>
          <w:p w:rsidR="00E7657F" w:rsidRDefault="00E7657F" w:rsidP="00E3253D">
            <w:pPr>
              <w:pStyle w:val="libFootnote0"/>
              <w:rPr>
                <w:rStyle w:val="libFootnote0Char"/>
                <w:rtl/>
                <w:lang w:bidi="fa-IR"/>
              </w:rPr>
            </w:pPr>
            <w:r w:rsidRPr="0042621E">
              <w:rPr>
                <w:rStyle w:val="libFootnote0Char"/>
                <w:rtl/>
              </w:rPr>
              <w:t>(2).</w:t>
            </w:r>
            <w:r w:rsidRPr="005D642E">
              <w:rPr>
                <w:rtl/>
              </w:rPr>
              <w:t xml:space="preserve"> في « جن » : + « والحمدلله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بس » : « عباده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جح » : « ملك في السماء</w:t>
      </w:r>
      <w:r w:rsidR="00E3253D">
        <w:rPr>
          <w:rtl/>
        </w:rPr>
        <w:t xml:space="preserve"> ».</w:t>
      </w:r>
      <w:r w:rsidR="00E3253D" w:rsidRPr="005D642E">
        <w:rPr>
          <w:rtl/>
        </w:rPr>
        <w:t xml:space="preserve"> وفي التهذيب : + « مقرّب</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جن » : « بصوته</w:t>
      </w:r>
      <w:r w:rsidR="00E3253D">
        <w:rPr>
          <w:rtl/>
        </w:rPr>
        <w:t xml:space="preserve"> ».</w:t>
      </w:r>
    </w:p>
    <w:p w:rsidR="00E3253D" w:rsidRPr="005D642E" w:rsidRDefault="0042621E" w:rsidP="00EC6C3B">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452 ، ح 1471 ، معلّقاً عن حميد بن زياد ، عن ابن سماعة. </w:t>
      </w:r>
      <w:r w:rsidR="00E3253D" w:rsidRPr="002F4D34">
        <w:rPr>
          <w:rStyle w:val="libFootnoteBoldChar"/>
          <w:rtl/>
        </w:rPr>
        <w:t>فقه الرضا</w:t>
      </w:r>
      <w:r w:rsidR="00E3253D" w:rsidRPr="005D642E">
        <w:rPr>
          <w:rtl/>
        </w:rPr>
        <w:t xml:space="preserve"> </w:t>
      </w:r>
      <w:r w:rsidR="00E3253D" w:rsidRPr="00EC6C3B">
        <w:rPr>
          <w:rStyle w:val="libFootnoteAlaemChar"/>
          <w:rtl/>
        </w:rPr>
        <w:t>عليه‌السلام</w:t>
      </w:r>
      <w:r w:rsidR="00E3253D" w:rsidRPr="005D642E">
        <w:rPr>
          <w:rtl/>
        </w:rPr>
        <w:t xml:space="preserve"> ، ص 176 ، إلى قوله : « وصدق الله ورسوله » مع اختلاف يسير </w:t>
      </w:r>
      <w:r w:rsidR="00EC6C3B">
        <w:rPr>
          <w:rFonts w:hint="cs"/>
          <w:rtl/>
        </w:rPr>
        <w:t>.</w:t>
      </w:r>
      <w:r w:rsidR="00E3253D" w:rsidRPr="002F4D34">
        <w:rPr>
          <w:rStyle w:val="libFootnoteBoldChar"/>
          <w:rtl/>
        </w:rPr>
        <w:t>الوافي</w:t>
      </w:r>
      <w:r w:rsidR="00E3253D" w:rsidRPr="005D642E">
        <w:rPr>
          <w:rtl/>
        </w:rPr>
        <w:t xml:space="preserve"> ، ج 24 ، ص 392 ، ح 24294 ؛ </w:t>
      </w:r>
      <w:r w:rsidR="00E3253D" w:rsidRPr="002F4D34">
        <w:rPr>
          <w:rStyle w:val="libFootnoteBoldChar"/>
          <w:rtl/>
        </w:rPr>
        <w:t>الوسائل</w:t>
      </w:r>
      <w:r w:rsidR="00E3253D" w:rsidRPr="005D642E">
        <w:rPr>
          <w:rtl/>
        </w:rPr>
        <w:t xml:space="preserve"> ، ج 3 ، ص 157 ، ح 3279.</w:t>
      </w:r>
      <w:r w:rsidR="00EC6C3B">
        <w:rPr>
          <w:rFonts w:hint="cs"/>
          <w:rtl/>
        </w:rPr>
        <w:t xml:space="preserve">                          </w:t>
      </w:r>
      <w:r w:rsidRPr="0042621E">
        <w:rPr>
          <w:rStyle w:val="libFootnote0Char"/>
          <w:rtl/>
        </w:rPr>
        <w:t>(7).</w:t>
      </w:r>
      <w:r w:rsidR="00E3253D" w:rsidRPr="005D642E">
        <w:rPr>
          <w:rtl/>
        </w:rPr>
        <w:t xml:space="preserve"> في « ظ » : « أن يستقبل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 « فيلزم</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غ ، ى ، بث ، بخ ، بس ، بف ، جح ، جس » وحاشية « بح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سائر النسخ والمطبوع : « بكتفك</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Pr>
          <w:rtl/>
        </w:rPr>
        <w:t xml:space="preserve"> </w:t>
      </w:r>
      <w:r w:rsidR="00E3253D" w:rsidRPr="005D642E">
        <w:rPr>
          <w:rtl/>
        </w:rPr>
        <w:t>في « بث » : « تدور » بدون الواو. وفي التهذيب :</w:t>
      </w:r>
      <w:r w:rsidR="00E3253D">
        <w:rPr>
          <w:rtl/>
        </w:rPr>
        <w:t xml:space="preserve"> </w:t>
      </w:r>
      <w:r w:rsidR="007642BC">
        <w:rPr>
          <w:rtl/>
        </w:rPr>
        <w:t>-</w:t>
      </w:r>
      <w:r w:rsidR="00E3253D">
        <w:rPr>
          <w:rtl/>
        </w:rPr>
        <w:t xml:space="preserve"> </w:t>
      </w:r>
      <w:r w:rsidR="00E3253D" w:rsidRPr="005D642E">
        <w:rPr>
          <w:rtl/>
        </w:rPr>
        <w:t>« وتدور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C6C3B" w:rsidTr="00EC6C3B">
        <w:tc>
          <w:tcPr>
            <w:tcW w:w="4006" w:type="dxa"/>
          </w:tcPr>
          <w:p w:rsidR="00EC6C3B" w:rsidRDefault="00EC6C3B" w:rsidP="00E3253D">
            <w:pPr>
              <w:pStyle w:val="libFootnote0"/>
              <w:rPr>
                <w:rStyle w:val="libFootnote0Char"/>
                <w:rtl/>
              </w:rPr>
            </w:pPr>
            <w:r w:rsidRPr="0042621E">
              <w:rPr>
                <w:rStyle w:val="libFootnote0Char"/>
                <w:rtl/>
              </w:rPr>
              <w:t>(11).</w:t>
            </w:r>
            <w:r w:rsidRPr="005D642E">
              <w:rPr>
                <w:rtl/>
              </w:rPr>
              <w:t xml:space="preserve"> في « بف » </w:t>
            </w:r>
            <w:r w:rsidRPr="000D749A">
              <w:rPr>
                <w:rStyle w:val="libFootnoteBoldChar"/>
                <w:rtl/>
              </w:rPr>
              <w:t>والوافي</w:t>
            </w:r>
            <w:r w:rsidRPr="005D642E">
              <w:rPr>
                <w:rtl/>
              </w:rPr>
              <w:t xml:space="preserve"> :</w:t>
            </w:r>
            <w:r>
              <w:rPr>
                <w:rtl/>
              </w:rPr>
              <w:t xml:space="preserve"> - </w:t>
            </w:r>
            <w:r w:rsidRPr="005D642E">
              <w:rPr>
                <w:rtl/>
              </w:rPr>
              <w:t>« من</w:t>
            </w:r>
            <w:r>
              <w:rPr>
                <w:rtl/>
              </w:rPr>
              <w:t xml:space="preserve"> ».</w:t>
            </w:r>
          </w:p>
        </w:tc>
        <w:tc>
          <w:tcPr>
            <w:tcW w:w="4006" w:type="dxa"/>
          </w:tcPr>
          <w:p w:rsidR="00EC6C3B" w:rsidRDefault="00EC6C3B" w:rsidP="00E3253D">
            <w:pPr>
              <w:pStyle w:val="libFootnote0"/>
              <w:rPr>
                <w:rStyle w:val="libFootnote0Char"/>
                <w:rtl/>
              </w:rPr>
            </w:pPr>
            <w:r w:rsidRPr="0042621E">
              <w:rPr>
                <w:rStyle w:val="libFootnote0Char"/>
                <w:rtl/>
              </w:rPr>
              <w:t>(12).</w:t>
            </w:r>
            <w:r w:rsidRPr="005D642E">
              <w:rPr>
                <w:rtl/>
              </w:rPr>
              <w:t xml:space="preserve"> في « بث ، جس » : « ثمّ يمرّ</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إِلَى الْجَانِبِ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الرَّابِعِ مِمَّا يَلِي يَسَارَكَ</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E8044C">
        <w:rPr>
          <w:rtl/>
        </w:rPr>
        <w:t>4445</w:t>
      </w:r>
      <w:r w:rsidRPr="00246318">
        <w:rPr>
          <w:rStyle w:val="libBold2Char"/>
          <w:rtl/>
        </w:rPr>
        <w:t xml:space="preserve"> / 2.</w:t>
      </w:r>
      <w:r w:rsidRPr="005D642E">
        <w:rPr>
          <w:rtl/>
          <w:lang w:bidi="fa-IR"/>
        </w:rPr>
        <w:t xml:space="preserve"> أَبُو عَلِيٍّ الْأَشْعَرِيُّ ، عَنْ مُحَمَّدِ بْنِ عَبْدِ الْجَبَّارِ ، عَنْ عَلِيِّ بْنِ حَدِيدٍ ، عَنْ سَيْفِ بْنِ عَمِيرَةَ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السُّنَّةُ أَنْ يُحْمَلَ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السَّرِيرُ مِنْ جَوَانِبِهِ الْأَرْبَعِ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 وَمَا كَانَ بَعْدَ ذلِكَ مِنْ حَمْلٍ فَهُوَ تَطَوُّعٌ </w:t>
      </w:r>
      <w:r w:rsidRPr="007C12DB">
        <w:rPr>
          <w:rStyle w:val="libFootnotenumChar"/>
          <w:rtl/>
        </w:rPr>
        <w:t>(</w:t>
      </w:r>
      <w:r w:rsidRPr="007C12DB">
        <w:rPr>
          <w:rStyle w:val="libFootnotenumChar"/>
          <w:rFonts w:hint="cs"/>
          <w:rtl/>
        </w:rPr>
        <w:t>5</w:t>
      </w:r>
      <w:r w:rsidRPr="007C12DB">
        <w:rPr>
          <w:rStyle w:val="libFootnotenumChar"/>
          <w:rtl/>
        </w:rPr>
        <w:t>)</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E8044C">
        <w:rPr>
          <w:rtl/>
        </w:rPr>
        <w:t>4446</w:t>
      </w:r>
      <w:r w:rsidRPr="00246318">
        <w:rPr>
          <w:rStyle w:val="libBold2Char"/>
          <w:rtl/>
        </w:rPr>
        <w:t xml:space="preserve"> / 3.</w:t>
      </w:r>
      <w:r w:rsidRPr="005D642E">
        <w:rPr>
          <w:rtl/>
          <w:lang w:bidi="fa-IR"/>
        </w:rPr>
        <w:t xml:space="preserve"> عَلِيُّ بْنُ إِبْرَاهِيمَ ، عَنْ أَبِيهِ ، عَنْ بَعْضِ أَصْحَابِهِ ، عَنِ الْفَضْلِ بْنِ يُونُسَ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إِبْرَاهِيمَ </w:t>
      </w:r>
      <w:r w:rsidRPr="00AC51C5">
        <w:rPr>
          <w:rStyle w:val="libAlaemChar"/>
          <w:rtl/>
        </w:rPr>
        <w:t>عليه‌السلام</w:t>
      </w:r>
      <w:r w:rsidRPr="005D642E">
        <w:rPr>
          <w:rtl/>
          <w:lang w:bidi="fa-IR"/>
        </w:rPr>
        <w:t xml:space="preserve"> عَنْ تَرْبِيعِ الْجَنَازَةِ</w:t>
      </w:r>
      <w:r>
        <w:rPr>
          <w:rtl/>
          <w:lang w:bidi="fa-IR"/>
        </w:rPr>
        <w:t>؟</w:t>
      </w:r>
    </w:p>
    <w:p w:rsidR="00E3253D" w:rsidRPr="005D642E" w:rsidRDefault="00E3253D" w:rsidP="00E3253D">
      <w:pPr>
        <w:pStyle w:val="libNormal"/>
        <w:rPr>
          <w:rtl/>
          <w:lang w:bidi="fa-IR"/>
        </w:rPr>
      </w:pPr>
      <w:r w:rsidRPr="005D642E">
        <w:rPr>
          <w:rtl/>
          <w:lang w:bidi="fa-IR"/>
        </w:rPr>
        <w:t xml:space="preserve">قَالَ : « إِذَا كُنْتَ فِي مَوْضِعِ تَقِيَّةٍ ، فَابْدَأْ بِالْيَدِ الْيُمْنى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 ثُمَّ بِالرِّجْلِ الْيُمْنى ، ثُمَّ‌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الاستبصار :</w:t>
      </w:r>
      <w:r w:rsidR="00E3253D">
        <w:rPr>
          <w:rtl/>
        </w:rPr>
        <w:t xml:space="preserve"> </w:t>
      </w:r>
      <w:r w:rsidR="007642BC">
        <w:rPr>
          <w:rtl/>
        </w:rPr>
        <w:t>-</w:t>
      </w:r>
      <w:r w:rsidR="00E3253D">
        <w:rPr>
          <w:rtl/>
        </w:rPr>
        <w:t xml:space="preserve"> </w:t>
      </w:r>
      <w:r w:rsidR="00E3253D" w:rsidRPr="005D642E">
        <w:rPr>
          <w:rtl/>
        </w:rPr>
        <w:t>« الآخر وتدور</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إلى الجانب</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453 ، ح 1475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216 ، ح 764 ، معلّقاً عن عليّ ، عن أبيه </w:t>
      </w:r>
      <w:r w:rsidR="008C7923">
        <w:rPr>
          <w:rFonts w:hint="cs"/>
          <w:rtl/>
        </w:rPr>
        <w:t>.</w:t>
      </w:r>
      <w:r w:rsidR="00E3253D" w:rsidRPr="002F4D34">
        <w:rPr>
          <w:rStyle w:val="libFootnoteBoldChar"/>
          <w:rtl/>
        </w:rPr>
        <w:t>الوافي</w:t>
      </w:r>
      <w:r w:rsidR="00E3253D" w:rsidRPr="005D642E">
        <w:rPr>
          <w:rtl/>
        </w:rPr>
        <w:t xml:space="preserve"> ، ج 24 ، ص 396 ، ح 24302 ؛ </w:t>
      </w:r>
      <w:r w:rsidR="00E3253D" w:rsidRPr="002F4D34">
        <w:rPr>
          <w:rStyle w:val="libFootnoteBoldChar"/>
          <w:rtl/>
        </w:rPr>
        <w:t>الوسائل</w:t>
      </w:r>
      <w:r w:rsidR="00E3253D" w:rsidRPr="005D642E">
        <w:rPr>
          <w:rtl/>
        </w:rPr>
        <w:t xml:space="preserve"> ، ج 3 ، ص 156 ، ح 3276 ؛ </w:t>
      </w:r>
      <w:r w:rsidR="00E3253D" w:rsidRPr="002F4D34">
        <w:rPr>
          <w:rStyle w:val="libFootnoteBoldChar"/>
          <w:rtl/>
        </w:rPr>
        <w:t>البحار</w:t>
      </w:r>
      <w:r w:rsidR="00E3253D" w:rsidRPr="005D642E">
        <w:rPr>
          <w:rtl/>
        </w:rPr>
        <w:t xml:space="preserve"> ، ج 81 ، ص 276 ، ذيل ح 36.</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ى ، بث ، بح ، بس ، بف ، جح ، جن » وحاشية « بخ » ومرآة العقول : « أن تحمل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 « الأربعة</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8C38D4">
        <w:rPr>
          <w:rStyle w:val="libFootnoteAlaemChar"/>
          <w:rtl/>
        </w:rPr>
        <w:t>عليه‌السلام</w:t>
      </w:r>
      <w:r w:rsidR="00E3253D" w:rsidRPr="005D642E">
        <w:rPr>
          <w:rtl/>
        </w:rPr>
        <w:t xml:space="preserve"> : من جوانبه الأربع ، في ما رأيناه من النسخ كذلك ، والأظهر الأربعة ، ولعلّه بتأويل الناحية وشبهها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ج 14 ، ص 8 : « السنّة ما واظب عليه النبيّ </w:t>
      </w:r>
      <w:r w:rsidRPr="008C38D4">
        <w:rPr>
          <w:rStyle w:val="libFootnoteAlaemChar"/>
          <w:rtl/>
        </w:rPr>
        <w:t>صلى‌الله‌عليه‌وآله</w:t>
      </w:r>
      <w:r w:rsidR="00E3253D" w:rsidRPr="005D642E">
        <w:rPr>
          <w:rtl/>
        </w:rPr>
        <w:t xml:space="preserve"> ، والتطوّع ما صدر عنه وعن أوصيائه </w:t>
      </w:r>
      <w:r w:rsidR="00E3253D" w:rsidRPr="008C7923">
        <w:rPr>
          <w:rStyle w:val="libFootnoteAlaemChar"/>
          <w:rtl/>
        </w:rPr>
        <w:t>عليهم‌السلام</w:t>
      </w:r>
      <w:r w:rsidR="00E3253D" w:rsidRPr="005D642E">
        <w:rPr>
          <w:rtl/>
        </w:rPr>
        <w:t xml:space="preserve"> على جهة الاستحباب ، ولم يواظب عليه رحمة للُامّة وليتميّز ما هو المؤكّد من المستحبّات ، وما ليس كذلك منها</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453 ، ح 1476 ؛ </w:t>
      </w:r>
      <w:r w:rsidR="00E3253D" w:rsidRPr="00E678B5">
        <w:rPr>
          <w:rStyle w:val="libFootnoteBoldChar"/>
          <w:rtl/>
        </w:rPr>
        <w:t>والاستبصار</w:t>
      </w:r>
      <w:r w:rsidR="00E3253D" w:rsidRPr="005D642E">
        <w:rPr>
          <w:rtl/>
        </w:rPr>
        <w:t xml:space="preserve"> ، ج 1 ، ص 216 ، ح 765 ، معلّقاً عن أبي عليّ الأشعري </w:t>
      </w:r>
      <w:r w:rsidR="00F33515">
        <w:rPr>
          <w:rFonts w:hint="cs"/>
          <w:rtl/>
        </w:rPr>
        <w:t>.</w:t>
      </w:r>
      <w:r w:rsidR="00E3253D" w:rsidRPr="002F4D34">
        <w:rPr>
          <w:rStyle w:val="libFootnoteBoldChar"/>
          <w:rtl/>
        </w:rPr>
        <w:t>الوافي</w:t>
      </w:r>
      <w:r w:rsidR="00E3253D" w:rsidRPr="005D642E">
        <w:rPr>
          <w:rtl/>
        </w:rPr>
        <w:t xml:space="preserve"> ، ج 24 ، ص 397 ، ح 24305 ؛ </w:t>
      </w:r>
      <w:r w:rsidR="00E3253D" w:rsidRPr="002F4D34">
        <w:rPr>
          <w:rStyle w:val="libFootnoteBoldChar"/>
          <w:rtl/>
        </w:rPr>
        <w:t>الوسائل</w:t>
      </w:r>
      <w:r w:rsidR="00E3253D" w:rsidRPr="005D642E">
        <w:rPr>
          <w:rtl/>
        </w:rPr>
        <w:t xml:space="preserve"> ، ج 3 ، ص 153 ، ح 3266 ؛ </w:t>
      </w:r>
      <w:r w:rsidR="00E3253D" w:rsidRPr="002F4D34">
        <w:rPr>
          <w:rStyle w:val="libFootnoteBoldChar"/>
          <w:rtl/>
        </w:rPr>
        <w:t>البحار</w:t>
      </w:r>
      <w:r w:rsidR="00E3253D" w:rsidRPr="005D642E">
        <w:rPr>
          <w:rtl/>
        </w:rPr>
        <w:t xml:space="preserve"> ، ج 81 ، ص 276 ، ذيل ح 36.</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ورد الخبر في </w:t>
      </w:r>
      <w:r w:rsidR="00E3253D" w:rsidRPr="002F4D34">
        <w:rPr>
          <w:rStyle w:val="libFootnoteBoldChar"/>
          <w:rtl/>
        </w:rPr>
        <w:t>التهذيب</w:t>
      </w:r>
      <w:r w:rsidR="00E3253D" w:rsidRPr="005D642E">
        <w:rPr>
          <w:rtl/>
        </w:rPr>
        <w:t xml:space="preserve"> ، ج 1 ، ص 452 ، ح 1473 ، بإسناده عن</w:t>
      </w:r>
      <w:r w:rsidR="00F33515">
        <w:rPr>
          <w:rtl/>
        </w:rPr>
        <w:t xml:space="preserve"> عليّ بن إبراهيم بنفس السند إل</w:t>
      </w:r>
      <w:r w:rsidR="00F33515">
        <w:rPr>
          <w:rFonts w:hint="cs"/>
          <w:rtl/>
        </w:rPr>
        <w:t>ّ</w:t>
      </w:r>
      <w:r w:rsidR="00F33515">
        <w:rPr>
          <w:rtl/>
        </w:rPr>
        <w:t>ا</w:t>
      </w:r>
      <w:r w:rsidR="00E3253D">
        <w:rPr>
          <w:rFonts w:hint="cs"/>
          <w:rtl/>
        </w:rPr>
        <w:t xml:space="preserve"> </w:t>
      </w:r>
      <w:r w:rsidR="00E3253D" w:rsidRPr="005D642E">
        <w:rPr>
          <w:rtl/>
        </w:rPr>
        <w:t xml:space="preserve">أنّ فيه المفضّل بن يونس ، وهو سهو ؛ فإنّ ابن يونس هذا هو الفضل بن يونس الكاتب. راجع : </w:t>
      </w:r>
      <w:r w:rsidR="00E3253D" w:rsidRPr="002F4D34">
        <w:rPr>
          <w:rStyle w:val="libFootnoteBoldChar"/>
          <w:rtl/>
        </w:rPr>
        <w:t>رجال النجاشي</w:t>
      </w:r>
      <w:r w:rsidR="00E3253D" w:rsidRPr="005D642E">
        <w:rPr>
          <w:rtl/>
        </w:rPr>
        <w:t xml:space="preserve"> ، ص 309 ، الرقم 844 ؛ </w:t>
      </w:r>
      <w:r w:rsidR="00E3253D" w:rsidRPr="002F4D34">
        <w:rPr>
          <w:rStyle w:val="libFootnoteBoldChar"/>
          <w:rtl/>
        </w:rPr>
        <w:t>رجال الطوسي</w:t>
      </w:r>
      <w:r w:rsidR="00E3253D" w:rsidRPr="005D642E">
        <w:rPr>
          <w:rtl/>
        </w:rPr>
        <w:t xml:space="preserve"> ، ص 342 ، الرقم 5093.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F33515">
        <w:rPr>
          <w:rStyle w:val="libFootnoteAlaemChar"/>
          <w:rtl/>
        </w:rPr>
        <w:t>عليه‌السلام</w:t>
      </w:r>
      <w:r w:rsidR="00E3253D" w:rsidRPr="005D642E">
        <w:rPr>
          <w:rtl/>
        </w:rPr>
        <w:t xml:space="preserve"> : فابدأ باليد اليمنى ، هذا صريح في أنّ المراد اليد اليمنى للميّت الكائنة على أيسرالسرير. قوله </w:t>
      </w:r>
      <w:r w:rsidR="00E3253D" w:rsidRPr="00F33515">
        <w:rPr>
          <w:rStyle w:val="libFootnoteAlaemChar"/>
          <w:rtl/>
        </w:rPr>
        <w:t>عليه‌السلام</w:t>
      </w:r>
      <w:r w:rsidR="00E3253D" w:rsidRPr="005D642E">
        <w:rPr>
          <w:rtl/>
        </w:rPr>
        <w:t xml:space="preserve"> : ثمّ ارجع من مكانك ، أي من موضع الرجل اليمنى ، إلى ميامن الميّت ، أي الجانب الذي فرغت منه وعبّر عنه بميامن الميّت ، فهذا صريح في أنّ المراد يمين الميّت لا يمين السرير ، وهذا الخبر يدلّ على أنّ الخلاف بيننا وبين العامّة في الترتيب لا في الابتداء</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ارْجِعْ مِنْ </w:t>
      </w:r>
      <w:r w:rsidRPr="007C12DB">
        <w:rPr>
          <w:rStyle w:val="libFootnotenumChar"/>
          <w:rtl/>
        </w:rPr>
        <w:t>(1)</w:t>
      </w:r>
      <w:r w:rsidRPr="005D642E">
        <w:rPr>
          <w:rtl/>
          <w:lang w:bidi="fa-IR"/>
        </w:rPr>
        <w:t xml:space="preserve"> مَكَانِكَ إِلى مَيَامِنِ الْمَيِّتِ ، لَاتَمُرَّ خَلْفَ رِجْلِهِ </w:t>
      </w:r>
      <w:r w:rsidRPr="007C12DB">
        <w:rPr>
          <w:rStyle w:val="libFootnotenumChar"/>
          <w:rtl/>
        </w:rPr>
        <w:t>(2)</w:t>
      </w:r>
      <w:r w:rsidRPr="005D642E">
        <w:rPr>
          <w:rtl/>
          <w:lang w:bidi="fa-IR"/>
        </w:rPr>
        <w:t xml:space="preserve"> أَلْبَتَّةَ حَتّى تَسْتَقْبِلَ الْجَنَازَةَ </w:t>
      </w:r>
      <w:r w:rsidRPr="007C12DB">
        <w:rPr>
          <w:rStyle w:val="libFootnotenumChar"/>
          <w:rtl/>
        </w:rPr>
        <w:t>(3)</w:t>
      </w:r>
      <w:r w:rsidRPr="005D642E">
        <w:rPr>
          <w:rtl/>
          <w:lang w:bidi="fa-IR"/>
        </w:rPr>
        <w:t xml:space="preserve"> ، فَتَأْخُذَ يَدَهُ الْيُسْرى ، ثُمَّ رِجْلَهُ الْيُسْرى ، ثُمَّ ارْجِعْ مِنْ </w:t>
      </w:r>
      <w:r w:rsidRPr="007C12DB">
        <w:rPr>
          <w:rStyle w:val="libFootnotenumChar"/>
          <w:rtl/>
        </w:rPr>
        <w:t>(4)</w:t>
      </w:r>
      <w:r w:rsidRPr="005D642E">
        <w:rPr>
          <w:rtl/>
          <w:lang w:bidi="fa-IR"/>
        </w:rPr>
        <w:t xml:space="preserve"> مَكَانِكَ ، لَاتَمُرَّ </w:t>
      </w:r>
      <w:r w:rsidRPr="007C12DB">
        <w:rPr>
          <w:rStyle w:val="libFootnotenumChar"/>
          <w:rtl/>
        </w:rPr>
        <w:t>(5)</w:t>
      </w:r>
      <w:r w:rsidRPr="005D642E">
        <w:rPr>
          <w:rtl/>
          <w:lang w:bidi="fa-IR"/>
        </w:rPr>
        <w:t xml:space="preserve"> خَلْفَ الْجَنَازَةِ أَلْبَتَّةَ حَتّى تَسْتَقْبِلَهَا </w:t>
      </w:r>
      <w:r w:rsidRPr="007C12DB">
        <w:rPr>
          <w:rStyle w:val="libFootnotenumChar"/>
          <w:rtl/>
        </w:rPr>
        <w:t>(6)</w:t>
      </w:r>
      <w:r w:rsidRPr="005D642E">
        <w:rPr>
          <w:rtl/>
          <w:lang w:bidi="fa-IR"/>
        </w:rPr>
        <w:t xml:space="preserve"> ، تَفْعَلُ كَمَا فَعَلْتَ أَوَّلاً ، فَإِنْ </w:t>
      </w:r>
      <w:r w:rsidRPr="007C12DB">
        <w:rPr>
          <w:rStyle w:val="libFootnotenumChar"/>
          <w:rtl/>
        </w:rPr>
        <w:t>(7)</w:t>
      </w:r>
      <w:r w:rsidRPr="005D642E">
        <w:rPr>
          <w:rtl/>
          <w:lang w:bidi="fa-IR"/>
        </w:rPr>
        <w:t xml:space="preserve"> لَمْ تَكُنْ </w:t>
      </w:r>
      <w:r w:rsidRPr="007C12DB">
        <w:rPr>
          <w:rStyle w:val="libFootnotenumChar"/>
          <w:rtl/>
        </w:rPr>
        <w:t>(8)</w:t>
      </w:r>
      <w:r w:rsidRPr="005D642E">
        <w:rPr>
          <w:rtl/>
          <w:lang w:bidi="fa-IR"/>
        </w:rPr>
        <w:t xml:space="preserve"> تَتَّقِي فِيهِ </w:t>
      </w:r>
      <w:r w:rsidRPr="007C12DB">
        <w:rPr>
          <w:rStyle w:val="libFootnotenumChar"/>
          <w:rtl/>
        </w:rPr>
        <w:t>(9)</w:t>
      </w:r>
      <w:r w:rsidRPr="005D642E">
        <w:rPr>
          <w:rtl/>
          <w:lang w:bidi="fa-IR"/>
        </w:rPr>
        <w:t xml:space="preserve"> ، فَإِنَّ تَرْبِيعَ الْجَنَازَةِ الَّذِي </w:t>
      </w:r>
      <w:r w:rsidRPr="007C12DB">
        <w:rPr>
          <w:rStyle w:val="libFootnotenumChar"/>
          <w:rtl/>
        </w:rPr>
        <w:t>(10)</w:t>
      </w:r>
      <w:r w:rsidRPr="005D642E">
        <w:rPr>
          <w:rtl/>
          <w:lang w:bidi="fa-IR"/>
        </w:rPr>
        <w:t xml:space="preserve"> جَرَتْ بِهِ </w:t>
      </w:r>
      <w:r w:rsidRPr="007C12DB">
        <w:rPr>
          <w:rStyle w:val="libFootnotenumChar"/>
          <w:rtl/>
        </w:rPr>
        <w:t>(11)</w:t>
      </w:r>
      <w:r w:rsidRPr="005D642E">
        <w:rPr>
          <w:rtl/>
          <w:lang w:bidi="fa-IR"/>
        </w:rPr>
        <w:t xml:space="preserve"> السُّنَّةُ أَنْ تَبْدَأَ بِالْيَدِ الْيُمْنى ، ثُمَّ بِالرِّجْلِ الْيُمْنى ، ثُمَّ بِالرِّجْلِ الْيُسْرى ، ثُمَّ بِالْيَدِ الْيُسْرى حَتّى تَدُورَ حَوْلَهَا</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2102A2">
        <w:rPr>
          <w:rtl/>
        </w:rPr>
        <w:t>4447</w:t>
      </w:r>
      <w:r w:rsidRPr="00246318">
        <w:rPr>
          <w:rStyle w:val="libBold2Char"/>
          <w:rtl/>
        </w:rPr>
        <w:t xml:space="preserve"> / 4.</w:t>
      </w:r>
      <w:r w:rsidRPr="005D642E">
        <w:rPr>
          <w:rtl/>
          <w:lang w:bidi="fa-IR"/>
        </w:rPr>
        <w:t xml:space="preserve"> عَلِيُّ بْنُ إِبْرَاهِيمَ ، عَنْ أَبِيهِ ، عَنِ ابْنِ فَضَّالٍ ، عَنْ عَلِيِّ بْنِ عُقْبَةَ ، عَنْ مُوسَى بْنِ أُكَيْلٍ ، عَنِ الْعَلَاءِ بْنِ سَيَابَةَ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تَبْدَأُ فِي حَمْلِ السَّرِيرِ مِنْ الْجَانِبِ </w:t>
      </w:r>
      <w:r w:rsidRPr="007C12DB">
        <w:rPr>
          <w:rStyle w:val="libFootnotenumChar"/>
          <w:rtl/>
        </w:rPr>
        <w:t>(13)</w:t>
      </w:r>
      <w:r w:rsidRPr="005D642E">
        <w:rPr>
          <w:rtl/>
          <w:lang w:bidi="fa-IR"/>
        </w:rPr>
        <w:t xml:space="preserve"> الْأَيْمَنِ ، ثُمَّ تَمُرُّ </w:t>
      </w:r>
      <w:r w:rsidRPr="007C12DB">
        <w:rPr>
          <w:rStyle w:val="libFootnotenumChar"/>
          <w:rtl/>
        </w:rPr>
        <w:t>(14)</w:t>
      </w:r>
      <w:r w:rsidRPr="005D642E">
        <w:rPr>
          <w:rtl/>
          <w:lang w:bidi="fa-IR"/>
        </w:rPr>
        <w:t xml:space="preserve"> عَلَيْهِ مِنْ </w:t>
      </w:r>
      <w:r w:rsidRPr="007C12DB">
        <w:rPr>
          <w:rStyle w:val="libFootnotenumChar"/>
          <w:rtl/>
        </w:rPr>
        <w:t>(15)</w:t>
      </w:r>
      <w:r w:rsidRPr="005D642E">
        <w:rPr>
          <w:rtl/>
          <w:lang w:bidi="fa-IR"/>
        </w:rPr>
        <w:t xml:space="preserve"> خَلْفِهِ إِلَى الْجَانِبِ الْآخَرِ ، ثُمَّ تَمُرُّ حَتّى تَرْجِعَ </w:t>
      </w:r>
      <w:r w:rsidRPr="007C12DB">
        <w:rPr>
          <w:rStyle w:val="libFootnotenumChar"/>
          <w:rtl/>
        </w:rPr>
        <w:t>(16)</w:t>
      </w:r>
      <w:r w:rsidRPr="005D642E">
        <w:rPr>
          <w:rtl/>
          <w:lang w:bidi="fa-IR"/>
        </w:rPr>
        <w:t xml:space="preserve"> إِلَى الْمُقَدَّمِ ، كَذلِكَ‌</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جن » : « إلى</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بخ » </w:t>
      </w:r>
      <w:r w:rsidR="000D749A" w:rsidRPr="000D749A">
        <w:rPr>
          <w:rStyle w:val="libFootnoteBoldChar"/>
          <w:rtl/>
        </w:rPr>
        <w:t>والوافي</w:t>
      </w:r>
      <w:r w:rsidR="00E3253D" w:rsidRPr="005D642E">
        <w:rPr>
          <w:rtl/>
        </w:rPr>
        <w:t xml:space="preserve"> والوسائل والبحار </w:t>
      </w:r>
      <w:r w:rsidR="00B60612" w:rsidRPr="00B60612">
        <w:rPr>
          <w:rStyle w:val="libFootnoteBoldChar"/>
          <w:rtl/>
        </w:rPr>
        <w:t>والتهذيب</w:t>
      </w:r>
      <w:r w:rsidR="00E3253D" w:rsidRPr="005D642E">
        <w:rPr>
          <w:rtl/>
        </w:rPr>
        <w:t xml:space="preserve"> : « رجليه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 « حتّى يستقبل القبلة</w:t>
      </w:r>
      <w:r w:rsidR="00E3253D">
        <w:rPr>
          <w:rtl/>
        </w:rPr>
        <w:t xml:space="preserve"> ».</w:t>
      </w:r>
      <w:r w:rsidR="00E3253D" w:rsidRPr="005D642E">
        <w:rPr>
          <w:rtl/>
        </w:rPr>
        <w:t xml:space="preserve"> وفي البحار :</w:t>
      </w:r>
      <w:r w:rsidR="00E3253D">
        <w:rPr>
          <w:rtl/>
        </w:rPr>
        <w:t xml:space="preserve"> </w:t>
      </w:r>
      <w:r w:rsidR="007642BC">
        <w:rPr>
          <w:rtl/>
        </w:rPr>
        <w:t>-</w:t>
      </w:r>
      <w:r w:rsidR="00E3253D">
        <w:rPr>
          <w:rtl/>
        </w:rPr>
        <w:t xml:space="preserve"> </w:t>
      </w:r>
      <w:r w:rsidR="00E3253D" w:rsidRPr="005D642E">
        <w:rPr>
          <w:rtl/>
        </w:rPr>
        <w:t>« الجنازة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من</w:t>
      </w:r>
      <w:r w:rsidR="00E3253D">
        <w:rPr>
          <w:rtl/>
        </w:rPr>
        <w:t xml:space="preserve"> ».</w:t>
      </w:r>
      <w:r w:rsidR="00E3253D" w:rsidRPr="005D642E">
        <w:rPr>
          <w:rtl/>
        </w:rPr>
        <w:t xml:space="preserve"> وفي « جن » </w:t>
      </w:r>
      <w:r w:rsidR="00B60612" w:rsidRPr="00B60612">
        <w:rPr>
          <w:rStyle w:val="libFootnoteBoldChar"/>
          <w:rtl/>
        </w:rPr>
        <w:t>والتهذيب</w:t>
      </w:r>
      <w:r w:rsidR="00E3253D" w:rsidRPr="005D642E">
        <w:rPr>
          <w:rtl/>
        </w:rPr>
        <w:t xml:space="preserve"> : « إلى</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ولا تمرّ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F33515" w:rsidTr="00F33515">
        <w:tc>
          <w:tcPr>
            <w:tcW w:w="4006" w:type="dxa"/>
          </w:tcPr>
          <w:p w:rsidR="00F33515" w:rsidRDefault="00F33515" w:rsidP="00E3253D">
            <w:pPr>
              <w:pStyle w:val="libFootnote0"/>
              <w:rPr>
                <w:rStyle w:val="libFootnote0Char"/>
                <w:rtl/>
              </w:rPr>
            </w:pPr>
            <w:r w:rsidRPr="0042621E">
              <w:rPr>
                <w:rStyle w:val="libFootnote0Char"/>
                <w:rtl/>
              </w:rPr>
              <w:t>(6).</w:t>
            </w:r>
            <w:r w:rsidRPr="005D642E">
              <w:rPr>
                <w:rtl/>
              </w:rPr>
              <w:t xml:space="preserve"> في « غ » : « حتّى تستقبل</w:t>
            </w:r>
            <w:r>
              <w:rPr>
                <w:rtl/>
              </w:rPr>
              <w:t xml:space="preserve"> ».</w:t>
            </w:r>
          </w:p>
        </w:tc>
        <w:tc>
          <w:tcPr>
            <w:tcW w:w="4006" w:type="dxa"/>
          </w:tcPr>
          <w:p w:rsidR="00F33515" w:rsidRDefault="00F33515" w:rsidP="00E3253D">
            <w:pPr>
              <w:pStyle w:val="libFootnote0"/>
              <w:rPr>
                <w:rStyle w:val="libFootnote0Char"/>
                <w:rtl/>
              </w:rPr>
            </w:pPr>
            <w:r w:rsidRPr="0042621E">
              <w:rPr>
                <w:rStyle w:val="libFootnote0Char"/>
                <w:rtl/>
              </w:rPr>
              <w:t>(7).</w:t>
            </w:r>
            <w:r w:rsidRPr="005D642E">
              <w:rPr>
                <w:rtl/>
              </w:rPr>
              <w:t xml:space="preserve"> في « بخ ، بف » </w:t>
            </w:r>
            <w:r w:rsidRPr="000D749A">
              <w:rPr>
                <w:rStyle w:val="libFootnoteBoldChar"/>
                <w:rtl/>
              </w:rPr>
              <w:t>والوافي</w:t>
            </w:r>
            <w:r w:rsidRPr="005D642E">
              <w:rPr>
                <w:rtl/>
              </w:rPr>
              <w:t xml:space="preserve"> </w:t>
            </w:r>
            <w:r w:rsidRPr="00B60612">
              <w:rPr>
                <w:rStyle w:val="libFootnoteBoldChar"/>
                <w:rtl/>
              </w:rPr>
              <w:t>والتهذيب</w:t>
            </w:r>
            <w:r w:rsidRPr="005D642E">
              <w:rPr>
                <w:rtl/>
              </w:rPr>
              <w:t xml:space="preserve"> : « وإن</w:t>
            </w:r>
            <w:r>
              <w:rPr>
                <w:rtl/>
              </w:rPr>
              <w:t xml:space="preserve"> ».</w:t>
            </w:r>
          </w:p>
        </w:tc>
      </w:tr>
      <w:tr w:rsidR="00F33515" w:rsidTr="00F33515">
        <w:tc>
          <w:tcPr>
            <w:tcW w:w="4006" w:type="dxa"/>
          </w:tcPr>
          <w:p w:rsidR="00F33515" w:rsidRDefault="00F33515" w:rsidP="00E3253D">
            <w:pPr>
              <w:pStyle w:val="libFootnote0"/>
              <w:rPr>
                <w:rStyle w:val="libFootnote0Char"/>
                <w:rtl/>
              </w:rPr>
            </w:pPr>
            <w:r w:rsidRPr="0042621E">
              <w:rPr>
                <w:rStyle w:val="libFootnote0Char"/>
                <w:rtl/>
              </w:rPr>
              <w:t>(8).</w:t>
            </w:r>
            <w:r w:rsidRPr="005D642E">
              <w:rPr>
                <w:rtl/>
              </w:rPr>
              <w:t xml:space="preserve"> في « بح ، جح ، جس » : « لم يكن</w:t>
            </w:r>
            <w:r>
              <w:rPr>
                <w:rtl/>
              </w:rPr>
              <w:t xml:space="preserve"> ».</w:t>
            </w:r>
          </w:p>
        </w:tc>
        <w:tc>
          <w:tcPr>
            <w:tcW w:w="4006" w:type="dxa"/>
          </w:tcPr>
          <w:p w:rsidR="00F33515" w:rsidRDefault="00F33515" w:rsidP="00E3253D">
            <w:pPr>
              <w:pStyle w:val="libFootnote0"/>
              <w:rPr>
                <w:rStyle w:val="libFootnote0Char"/>
                <w:rtl/>
              </w:rPr>
            </w:pPr>
            <w:r w:rsidRPr="0042621E">
              <w:rPr>
                <w:rStyle w:val="libFootnote0Char"/>
                <w:rtl/>
              </w:rPr>
              <w:t>(9).</w:t>
            </w:r>
            <w:r>
              <w:rPr>
                <w:rtl/>
              </w:rPr>
              <w:t xml:space="preserve"> في «ظ</w:t>
            </w:r>
            <w:r w:rsidRPr="005D642E">
              <w:rPr>
                <w:rtl/>
              </w:rPr>
              <w:t>» :</w:t>
            </w:r>
            <w:r>
              <w:rPr>
                <w:rtl/>
              </w:rPr>
              <w:t xml:space="preserve"> -«</w:t>
            </w:r>
            <w:r w:rsidRPr="005D642E">
              <w:rPr>
                <w:rtl/>
              </w:rPr>
              <w:t>فيه</w:t>
            </w:r>
            <w:r>
              <w:rPr>
                <w:rtl/>
              </w:rPr>
              <w:t>».</w:t>
            </w:r>
            <w:r w:rsidRPr="005D642E">
              <w:rPr>
                <w:rtl/>
              </w:rPr>
              <w:t xml:space="preserve"> وفي « غ » : « يتّقى فيه</w:t>
            </w:r>
            <w:r>
              <w:rPr>
                <w:rtl/>
              </w:rPr>
              <w:t xml:space="preserve"> ».</w:t>
            </w:r>
          </w:p>
        </w:tc>
      </w:tr>
    </w:tbl>
    <w:p w:rsidR="00E3253D" w:rsidRPr="005D642E" w:rsidRDefault="0042621E" w:rsidP="007E5D44">
      <w:pPr>
        <w:pStyle w:val="libFootnote0"/>
        <w:rPr>
          <w:rtl/>
          <w:lang w:bidi="fa-IR"/>
        </w:rPr>
      </w:pPr>
      <w:r w:rsidRPr="0042621E">
        <w:rPr>
          <w:rStyle w:val="libFootnote0Char"/>
          <w:rtl/>
        </w:rPr>
        <w:t>(10).</w:t>
      </w:r>
      <w:r w:rsidR="00E3253D" w:rsidRPr="005D642E">
        <w:rPr>
          <w:rtl/>
        </w:rPr>
        <w:t xml:space="preserve"> هكذا في « بس ، بف ، جح ، جس ، جن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سائر النسخ التي قوبلت والمطبوع‌والبحار : « التي</w:t>
      </w:r>
      <w:r w:rsidR="00E3253D">
        <w:rPr>
          <w:rtl/>
        </w:rPr>
        <w:t xml:space="preserve"> ».</w:t>
      </w:r>
      <w:r w:rsidR="00312BD7">
        <w:rPr>
          <w:rFonts w:hint="cs"/>
          <w:rtl/>
        </w:rPr>
        <w:t xml:space="preserve">                           </w:t>
      </w:r>
      <w:r w:rsidR="007E5D44">
        <w:rPr>
          <w:rFonts w:hint="cs"/>
          <w:rtl/>
        </w:rPr>
        <w:t xml:space="preserve">     </w:t>
      </w:r>
      <w:r w:rsidRPr="0042621E">
        <w:rPr>
          <w:rStyle w:val="libFootnote0Char"/>
          <w:rtl/>
        </w:rPr>
        <w:t>(11).</w:t>
      </w:r>
      <w:r w:rsidR="00E3253D" w:rsidRPr="005D642E">
        <w:rPr>
          <w:rtl/>
        </w:rPr>
        <w:t xml:space="preserve"> في الوافي : « به جرأت</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452 ، ح 1473 ؛ معلّقاً عن عليّ بن إبراهيم </w:t>
      </w:r>
      <w:r w:rsidR="00E83B4C">
        <w:rPr>
          <w:rFonts w:hint="cs"/>
          <w:rtl/>
        </w:rPr>
        <w:t>.</w:t>
      </w:r>
      <w:r w:rsidR="00E3253D" w:rsidRPr="002F4D34">
        <w:rPr>
          <w:rStyle w:val="libFootnoteBoldChar"/>
          <w:rtl/>
        </w:rPr>
        <w:t>الوافي</w:t>
      </w:r>
      <w:r w:rsidR="00E3253D" w:rsidRPr="005D642E">
        <w:rPr>
          <w:rtl/>
        </w:rPr>
        <w:t xml:space="preserve"> ، ج 24 ، ص 397 ، ح 24304 ؛ </w:t>
      </w:r>
      <w:r w:rsidR="00E3253D" w:rsidRPr="002F4D34">
        <w:rPr>
          <w:rStyle w:val="libFootnoteBoldChar"/>
          <w:rtl/>
        </w:rPr>
        <w:t>الوسائل</w:t>
      </w:r>
      <w:r w:rsidR="00E3253D" w:rsidRPr="005D642E">
        <w:rPr>
          <w:rtl/>
        </w:rPr>
        <w:t xml:space="preserve"> ، ج 3 ، ص 156 ، ح 3275 ؛ </w:t>
      </w:r>
      <w:r w:rsidR="00E3253D" w:rsidRPr="002F4D34">
        <w:rPr>
          <w:rStyle w:val="libFootnoteBoldChar"/>
          <w:rtl/>
        </w:rPr>
        <w:t>البحار</w:t>
      </w:r>
      <w:r w:rsidR="00E3253D" w:rsidRPr="005D642E">
        <w:rPr>
          <w:rtl/>
        </w:rPr>
        <w:t xml:space="preserve"> ، ج 81 ، ص 276 ، ذيل ح 36.</w:t>
      </w:r>
    </w:p>
    <w:p w:rsidR="00E3253D" w:rsidRPr="005D642E" w:rsidRDefault="0042621E" w:rsidP="00EE3352">
      <w:pPr>
        <w:pStyle w:val="libFootnote0"/>
        <w:rPr>
          <w:rtl/>
          <w:lang w:bidi="fa-IR"/>
        </w:rPr>
      </w:pPr>
      <w:r w:rsidRPr="0042621E">
        <w:rPr>
          <w:rStyle w:val="libFootnote0Char"/>
          <w:rtl/>
        </w:rPr>
        <w:t>(13).</w:t>
      </w:r>
      <w:r w:rsidR="00E3253D" w:rsidRPr="005D642E">
        <w:rPr>
          <w:rtl/>
        </w:rPr>
        <w:t xml:space="preserve"> هكذا في « ظ ، غ ، ى ، بث ، بح ، بس ، جح ، جس ، جن » ومرآة العقول والوسائل والبحار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وفي سائر النسخ والمطبوع : « جانبه</w:t>
      </w:r>
      <w:r w:rsidR="00E3253D">
        <w:rPr>
          <w:rtl/>
        </w:rPr>
        <w:t xml:space="preserve"> ».</w:t>
      </w:r>
      <w:r w:rsidR="00E83B4C">
        <w:rPr>
          <w:rtl/>
        </w:rPr>
        <w:t xml:space="preserve"> وقال العل</w:t>
      </w:r>
      <w:r w:rsidR="00E83B4C">
        <w:rPr>
          <w:rFonts w:hint="cs"/>
          <w:rtl/>
        </w:rPr>
        <w:t>ّ</w:t>
      </w:r>
      <w:r w:rsidR="00E83B4C">
        <w:rPr>
          <w:rtl/>
        </w:rPr>
        <w:t>ا</w:t>
      </w:r>
      <w:r w:rsidR="00E3253D" w:rsidRPr="005D642E">
        <w:rPr>
          <w:rtl/>
        </w:rPr>
        <w:t>مة الفيض : « الضمير في « جانبه » يرجع إلى الميّت ؛ ليوافق الحديث السابق</w:t>
      </w:r>
      <w:r w:rsidR="00E3253D">
        <w:rPr>
          <w:rtl/>
        </w:rPr>
        <w:t xml:space="preserve"> </w:t>
      </w:r>
      <w:r w:rsidR="007642BC">
        <w:rPr>
          <w:rtl/>
        </w:rPr>
        <w:t>-</w:t>
      </w:r>
      <w:r w:rsidR="00E3253D">
        <w:rPr>
          <w:rtl/>
        </w:rPr>
        <w:t xml:space="preserve"> </w:t>
      </w:r>
      <w:r w:rsidR="00E3253D" w:rsidRPr="005D642E">
        <w:rPr>
          <w:rtl/>
        </w:rPr>
        <w:t>وهو الأوّل هاهنا</w:t>
      </w:r>
      <w:r w:rsidR="00E3253D">
        <w:rPr>
          <w:rtl/>
        </w:rPr>
        <w:t xml:space="preserve"> </w:t>
      </w:r>
      <w:r w:rsidR="007642BC">
        <w:rPr>
          <w:rtl/>
        </w:rPr>
        <w:t>-</w:t>
      </w:r>
      <w:r w:rsidR="00E3253D">
        <w:rPr>
          <w:rtl/>
        </w:rPr>
        <w:t xml:space="preserve"> </w:t>
      </w:r>
      <w:r w:rsidR="00E3253D" w:rsidRPr="005D642E">
        <w:rPr>
          <w:rtl/>
        </w:rPr>
        <w:t>وفي بعض النسخ : من الجانب ، وهو أوضح. وإن قرئت الأفعال الأربعة على صيغة الغيبة استقام من دون التأويل</w:t>
      </w:r>
      <w:r w:rsidR="00E3253D">
        <w:rPr>
          <w:rtl/>
        </w:rPr>
        <w:t xml:space="preserve"> ».</w:t>
      </w:r>
      <w:r w:rsidR="00E3253D" w:rsidRPr="005D642E">
        <w:rPr>
          <w:rtl/>
        </w:rPr>
        <w:t xml:space="preserve"> وقيل غير ذلك. راجع : </w:t>
      </w:r>
      <w:r w:rsidR="00E3253D" w:rsidRPr="002F4D34">
        <w:rPr>
          <w:rStyle w:val="libFootnoteBoldChar"/>
          <w:rtl/>
        </w:rPr>
        <w:t>الوافي</w:t>
      </w:r>
      <w:r w:rsidR="00E3253D" w:rsidRPr="005D642E">
        <w:rPr>
          <w:rtl/>
        </w:rPr>
        <w:t xml:space="preserve"> ، ج 24 ، ص 396 ؛ </w:t>
      </w:r>
      <w:r w:rsidR="00E3253D" w:rsidRPr="002F4D34">
        <w:rPr>
          <w:rStyle w:val="libFootnoteBoldChar"/>
          <w:rtl/>
        </w:rPr>
        <w:t>مرآة العقول</w:t>
      </w:r>
      <w:r w:rsidR="00E3253D" w:rsidRPr="005D642E">
        <w:rPr>
          <w:rtl/>
        </w:rPr>
        <w:t xml:space="preserve"> ، ج 14 ، ص 10</w:t>
      </w:r>
      <w:r w:rsidR="00E3253D">
        <w:rPr>
          <w:rtl/>
        </w:rPr>
        <w:t xml:space="preserve"> </w:t>
      </w:r>
      <w:r w:rsidR="007642BC">
        <w:rPr>
          <w:rtl/>
        </w:rPr>
        <w:t>-</w:t>
      </w:r>
      <w:r w:rsidR="00E3253D">
        <w:rPr>
          <w:rtl/>
        </w:rPr>
        <w:t xml:space="preserve"> </w:t>
      </w:r>
      <w:r w:rsidR="00E3253D" w:rsidRPr="005D642E">
        <w:rPr>
          <w:rtl/>
        </w:rPr>
        <w:t>11.</w:t>
      </w:r>
      <w:r w:rsidR="00312BD7">
        <w:rPr>
          <w:rFonts w:hint="cs"/>
          <w:rtl/>
        </w:rPr>
        <w:t xml:space="preserve">                              </w:t>
      </w:r>
      <w:r w:rsidR="00EE3352">
        <w:rPr>
          <w:rFonts w:hint="cs"/>
          <w:rtl/>
        </w:rPr>
        <w:t xml:space="preserve">      </w:t>
      </w:r>
      <w:r w:rsidRPr="0042621E">
        <w:rPr>
          <w:rStyle w:val="libFootnote0Char"/>
          <w:rtl/>
        </w:rPr>
        <w:t>(14).</w:t>
      </w:r>
      <w:r w:rsidR="00E3253D" w:rsidRPr="005D642E">
        <w:rPr>
          <w:rtl/>
        </w:rPr>
        <w:t xml:space="preserve"> في « جس » : « ثمّ يمرّ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E3352" w:rsidTr="00EE3352">
        <w:tc>
          <w:tcPr>
            <w:tcW w:w="4006" w:type="dxa"/>
          </w:tcPr>
          <w:p w:rsidR="00EE3352" w:rsidRDefault="00EE3352" w:rsidP="00E3253D">
            <w:pPr>
              <w:pStyle w:val="libFootnote0"/>
              <w:rPr>
                <w:rStyle w:val="libFootnote0Char"/>
                <w:rtl/>
              </w:rPr>
            </w:pPr>
            <w:r w:rsidRPr="0042621E">
              <w:rPr>
                <w:rStyle w:val="libFootnote0Char"/>
                <w:rtl/>
              </w:rPr>
              <w:t>(15).</w:t>
            </w:r>
            <w:r>
              <w:rPr>
                <w:rtl/>
              </w:rPr>
              <w:t xml:space="preserve"> ف </w:t>
            </w:r>
            <w:r w:rsidRPr="005D642E">
              <w:rPr>
                <w:rtl/>
              </w:rPr>
              <w:t>« بخ »</w:t>
            </w:r>
            <w:r>
              <w:rPr>
                <w:rtl/>
              </w:rPr>
              <w:t xml:space="preserve"> - </w:t>
            </w:r>
            <w:r w:rsidRPr="005D642E">
              <w:rPr>
                <w:rtl/>
              </w:rPr>
              <w:t>« من</w:t>
            </w:r>
            <w:r>
              <w:rPr>
                <w:rtl/>
              </w:rPr>
              <w:t xml:space="preserve"> ».</w:t>
            </w:r>
          </w:p>
        </w:tc>
        <w:tc>
          <w:tcPr>
            <w:tcW w:w="4006" w:type="dxa"/>
          </w:tcPr>
          <w:p w:rsidR="00EE3352" w:rsidRDefault="00EE3352" w:rsidP="00E3253D">
            <w:pPr>
              <w:pStyle w:val="libFootnote0"/>
              <w:rPr>
                <w:rStyle w:val="libFootnote0Char"/>
                <w:rtl/>
              </w:rPr>
            </w:pPr>
            <w:r w:rsidRPr="005D642E">
              <w:rPr>
                <w:rtl/>
              </w:rPr>
              <w:t>(1</w:t>
            </w:r>
            <w:r>
              <w:rPr>
                <w:rtl/>
              </w:rPr>
              <w:t>6)</w:t>
            </w:r>
            <w:r w:rsidRPr="005D642E">
              <w:rPr>
                <w:rtl/>
              </w:rPr>
              <w:t xml:space="preserve"> في « بث ، جس » : « ثمّ يمرّ حتّى يرجع</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دَوَرَانُ </w:t>
      </w:r>
      <w:r w:rsidRPr="007C12DB">
        <w:rPr>
          <w:rStyle w:val="libFootnotenumChar"/>
          <w:rtl/>
        </w:rPr>
        <w:t>(1)</w:t>
      </w:r>
      <w:r w:rsidRPr="005D642E">
        <w:rPr>
          <w:rtl/>
          <w:lang w:bidi="fa-IR"/>
        </w:rPr>
        <w:t xml:space="preserve"> الرَّحى عَلَيْهِ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374" w:name="_Toc344647335"/>
      <w:bookmarkStart w:id="375" w:name="_Toc462226849"/>
      <w:bookmarkStart w:id="376" w:name="_Toc40975958"/>
      <w:r w:rsidRPr="005D642E">
        <w:rPr>
          <w:rtl/>
          <w:lang w:bidi="fa-IR"/>
        </w:rPr>
        <w:t>40</w:t>
      </w:r>
      <w:r>
        <w:rPr>
          <w:rtl/>
          <w:lang w:bidi="fa-IR"/>
        </w:rPr>
        <w:t xml:space="preserve"> </w:t>
      </w:r>
      <w:r w:rsidR="007642BC">
        <w:rPr>
          <w:rtl/>
          <w:lang w:bidi="fa-IR"/>
        </w:rPr>
        <w:t>-</w:t>
      </w:r>
      <w:r>
        <w:rPr>
          <w:rtl/>
          <w:lang w:bidi="fa-IR"/>
        </w:rPr>
        <w:t xml:space="preserve"> </w:t>
      </w:r>
      <w:r w:rsidRPr="005D642E">
        <w:rPr>
          <w:rtl/>
          <w:lang w:bidi="fa-IR"/>
        </w:rPr>
        <w:t>بَابُ الْمَشْيِ مَعَ الْجَنَازَةِ‌</w:t>
      </w:r>
      <w:bookmarkEnd w:id="374"/>
      <w:bookmarkEnd w:id="375"/>
      <w:bookmarkEnd w:id="376"/>
    </w:p>
    <w:p w:rsidR="00E3253D" w:rsidRPr="005D642E" w:rsidRDefault="00E3253D" w:rsidP="00E3253D">
      <w:pPr>
        <w:pStyle w:val="libNormal"/>
        <w:rPr>
          <w:rtl/>
          <w:lang w:bidi="fa-IR"/>
        </w:rPr>
      </w:pPr>
      <w:r w:rsidRPr="002102A2">
        <w:rPr>
          <w:rtl/>
        </w:rPr>
        <w:t>4448</w:t>
      </w:r>
      <w:r w:rsidRPr="00246318">
        <w:rPr>
          <w:rStyle w:val="libBold2Char"/>
          <w:rtl/>
        </w:rPr>
        <w:t xml:space="preserve"> / 1.</w:t>
      </w:r>
      <w:r w:rsidRPr="005D642E">
        <w:rPr>
          <w:rtl/>
          <w:lang w:bidi="fa-IR"/>
        </w:rPr>
        <w:t xml:space="preserve"> مُحَمَّدُ بْنُ يَحْيى ، عَنْ أَحْمَدَ بْنِ مُحَمَّدٍ ، عَنْ مُحَمَّدِ بْنِ إِسْمَاعِيلَ ، عَنْ مُحَمَّدِ بْنِ عُذَافِرٍ ، عَنْ إِسْحَاقَ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w:t>
      </w:r>
      <w:r w:rsidRPr="007C12DB">
        <w:rPr>
          <w:rStyle w:val="libFootnotenumChar"/>
          <w:rtl/>
        </w:rPr>
        <w:t>(4)</w:t>
      </w:r>
      <w:r w:rsidRPr="005D642E">
        <w:rPr>
          <w:rtl/>
          <w:lang w:bidi="fa-IR"/>
        </w:rPr>
        <w:t xml:space="preserve"> : « الْمَشْيُ خَلْفَ الْجَنَازَةِ أَفْضَلُ مِنَ الْمَشْيِ بَيْنَ يَدَيْهَا</w:t>
      </w:r>
      <w:r w:rsidRPr="007C12DB">
        <w:rPr>
          <w:rStyle w:val="libFootnotenumChar"/>
          <w:rtl/>
        </w:rPr>
        <w:t>(5)</w:t>
      </w:r>
      <w:r>
        <w:rPr>
          <w:rtl/>
          <w:lang w:bidi="fa-IR"/>
        </w:rPr>
        <w:t>».</w:t>
      </w:r>
      <w:r w:rsidRPr="007C12DB">
        <w:rPr>
          <w:rStyle w:val="libFootnotenumChar"/>
          <w:rtl/>
        </w:rPr>
        <w:t>(6)</w:t>
      </w:r>
    </w:p>
    <w:p w:rsidR="00E3253D" w:rsidRPr="005D642E" w:rsidRDefault="00E3253D" w:rsidP="00E3253D">
      <w:pPr>
        <w:pStyle w:val="libNormal"/>
        <w:rPr>
          <w:rtl/>
          <w:lang w:bidi="fa-IR"/>
        </w:rPr>
      </w:pPr>
      <w:r w:rsidRPr="002102A2">
        <w:rPr>
          <w:rtl/>
        </w:rPr>
        <w:t>4449</w:t>
      </w:r>
      <w:r w:rsidRPr="00246318">
        <w:rPr>
          <w:rStyle w:val="libBold2Char"/>
          <w:rtl/>
        </w:rPr>
        <w:t xml:space="preserve"> / 2.</w:t>
      </w:r>
      <w:r w:rsidRPr="005D642E">
        <w:rPr>
          <w:rtl/>
          <w:lang w:bidi="fa-IR"/>
        </w:rPr>
        <w:t xml:space="preserve"> عِدَّةٌ مِنْ أَصْحَابِنَا ، عَنْ سَهْلِ بْنِ زِيَادٍ ، عَنْ مُحَمَّدِ بْنِ أُورَمَةَ ، عَنْ مُحَمَّدِ بْنِ عَمْرٍو ، عَنْ حُسَيْنِ </w:t>
      </w:r>
      <w:r w:rsidRPr="007C12DB">
        <w:rPr>
          <w:rStyle w:val="libFootnotenumChar"/>
          <w:rtl/>
        </w:rPr>
        <w:t>(7)</w:t>
      </w:r>
      <w:r w:rsidRPr="005D642E">
        <w:rPr>
          <w:rtl/>
          <w:lang w:bidi="fa-IR"/>
        </w:rPr>
        <w:t xml:space="preserve"> بْنِ أَحْمَدَ الْمِنْقَرِيِّ ، عَنْ يُونُسَ بْنِ ظَبْيَانَ :</w:t>
      </w:r>
    </w:p>
    <w:p w:rsidR="00E3253D" w:rsidRPr="005D642E" w:rsidRDefault="00E3253D" w:rsidP="00CC2AA4">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امْشِ </w:t>
      </w:r>
      <w:r w:rsidRPr="007C12DB">
        <w:rPr>
          <w:rStyle w:val="libFootnotenumChar"/>
          <w:rtl/>
        </w:rPr>
        <w:t>(8)</w:t>
      </w:r>
      <w:r w:rsidRPr="005D642E">
        <w:rPr>
          <w:rtl/>
          <w:lang w:bidi="fa-IR"/>
        </w:rPr>
        <w:t xml:space="preserve"> أَمَامَ جَنَازَةِ الْمُسْلِمِ </w:t>
      </w:r>
      <w:r w:rsidRPr="007C12DB">
        <w:rPr>
          <w:rStyle w:val="libFootnotenumChar"/>
          <w:rtl/>
        </w:rPr>
        <w:t>(9)</w:t>
      </w:r>
      <w:r w:rsidRPr="005D642E">
        <w:rPr>
          <w:rtl/>
          <w:lang w:bidi="fa-IR"/>
        </w:rPr>
        <w:t xml:space="preserve"> الْعَارِفِ ، وَلَاتَمْشِ أَمَامَ‌</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C2AA4" w:rsidTr="00CC2AA4">
        <w:tc>
          <w:tcPr>
            <w:tcW w:w="4006" w:type="dxa"/>
          </w:tcPr>
          <w:p w:rsidR="00CC2AA4" w:rsidRDefault="00CC2AA4" w:rsidP="00E3253D">
            <w:pPr>
              <w:pStyle w:val="libFootnote0"/>
              <w:rPr>
                <w:rStyle w:val="libFootnote0Char"/>
                <w:rtl/>
              </w:rPr>
            </w:pPr>
            <w:r w:rsidRPr="0042621E">
              <w:rPr>
                <w:rStyle w:val="libFootnote0Char"/>
                <w:rtl/>
              </w:rPr>
              <w:t>(1).</w:t>
            </w:r>
            <w:r>
              <w:rPr>
                <w:rtl/>
              </w:rPr>
              <w:t xml:space="preserve"> في «غ ،بح ،بخ ،بف ،جح ،جن» : «</w:t>
            </w:r>
            <w:r w:rsidRPr="005D642E">
              <w:rPr>
                <w:rtl/>
              </w:rPr>
              <w:t>دور</w:t>
            </w:r>
            <w:r>
              <w:rPr>
                <w:rtl/>
              </w:rPr>
              <w:t>».</w:t>
            </w:r>
          </w:p>
        </w:tc>
        <w:tc>
          <w:tcPr>
            <w:tcW w:w="4006" w:type="dxa"/>
          </w:tcPr>
          <w:p w:rsidR="00CC2AA4" w:rsidRDefault="00CC2AA4" w:rsidP="00E3253D">
            <w:pPr>
              <w:pStyle w:val="libFootnote0"/>
              <w:rPr>
                <w:rStyle w:val="libFootnote0Char"/>
                <w:rtl/>
              </w:rPr>
            </w:pPr>
            <w:r w:rsidRPr="0042621E">
              <w:rPr>
                <w:rStyle w:val="libFootnote0Char"/>
                <w:rtl/>
              </w:rPr>
              <w:t>(2).</w:t>
            </w:r>
            <w:r w:rsidRPr="005D642E">
              <w:rPr>
                <w:rtl/>
              </w:rPr>
              <w:t xml:space="preserve"> في « بف » </w:t>
            </w:r>
            <w:r w:rsidRPr="00E678B5">
              <w:rPr>
                <w:rStyle w:val="libFootnoteBoldChar"/>
                <w:rtl/>
              </w:rPr>
              <w:t>والاستبصار</w:t>
            </w:r>
            <w:r w:rsidRPr="005D642E">
              <w:rPr>
                <w:rtl/>
              </w:rPr>
              <w:t xml:space="preserve"> :</w:t>
            </w:r>
            <w:r>
              <w:rPr>
                <w:rtl/>
              </w:rPr>
              <w:t xml:space="preserve"> - </w:t>
            </w:r>
            <w:r w:rsidRPr="005D642E">
              <w:rPr>
                <w:rtl/>
              </w:rPr>
              <w:t>« عليه</w:t>
            </w:r>
            <w:r>
              <w:rPr>
                <w:rtl/>
              </w:rPr>
              <w:t xml:space="preserve"> ».</w:t>
            </w:r>
          </w:p>
        </w:tc>
      </w:tr>
    </w:tbl>
    <w:p w:rsidR="00E3253D" w:rsidRPr="005D642E" w:rsidRDefault="0042621E" w:rsidP="00CC2AA4">
      <w:pPr>
        <w:pStyle w:val="libFootnote0"/>
        <w:rPr>
          <w:rtl/>
          <w:lang w:bidi="fa-IR"/>
        </w:rPr>
      </w:pPr>
      <w:r w:rsidRPr="0042621E">
        <w:rPr>
          <w:rStyle w:val="libFootnote0Char"/>
          <w:rtl/>
        </w:rPr>
        <w:t>(3).</w:t>
      </w:r>
      <w:r w:rsidR="00E3253D" w:rsidRPr="005D642E">
        <w:rPr>
          <w:rtl/>
          <w:lang w:bidi="fa-IR"/>
        </w:rPr>
        <w:t xml:space="preserve"> </w:t>
      </w:r>
      <w:r w:rsidR="00E3253D" w:rsidRPr="002F4D34">
        <w:rPr>
          <w:rStyle w:val="libFootnoteBoldChar"/>
          <w:rtl/>
        </w:rPr>
        <w:t>الاستبصار</w:t>
      </w:r>
      <w:r w:rsidR="00E3253D" w:rsidRPr="005D642E">
        <w:rPr>
          <w:rtl/>
          <w:lang w:bidi="fa-IR"/>
        </w:rPr>
        <w:t xml:space="preserve"> ، ج 1 ، ص 216 ، ح 763 ، بسنده عن الكليني. </w:t>
      </w:r>
      <w:r w:rsidR="00E3253D" w:rsidRPr="002F4D34">
        <w:rPr>
          <w:rStyle w:val="libFootnoteBoldChar"/>
          <w:rtl/>
        </w:rPr>
        <w:t>التهذيب</w:t>
      </w:r>
      <w:r w:rsidR="00E3253D" w:rsidRPr="005D642E">
        <w:rPr>
          <w:rtl/>
          <w:lang w:bidi="fa-IR"/>
        </w:rPr>
        <w:t xml:space="preserve"> ، ج 1 ، ص 453 ، ح 1474 ، معلّقاً عن عليّ ، عن أبيه </w:t>
      </w:r>
      <w:r w:rsidR="00CC2AA4">
        <w:rPr>
          <w:rFonts w:hint="cs"/>
          <w:rtl/>
          <w:lang w:bidi="fa-IR"/>
        </w:rPr>
        <w:t>.</w:t>
      </w:r>
      <w:r w:rsidR="00E3253D" w:rsidRPr="002F4D34">
        <w:rPr>
          <w:rStyle w:val="libFootnoteBoldChar"/>
          <w:rtl/>
        </w:rPr>
        <w:t>الوافي</w:t>
      </w:r>
      <w:r w:rsidR="00E3253D" w:rsidRPr="005D642E">
        <w:rPr>
          <w:rtl/>
          <w:lang w:bidi="fa-IR"/>
        </w:rPr>
        <w:t xml:space="preserve"> ، ج 24 ، ص 396 ، ح 24303 ؛ </w:t>
      </w:r>
      <w:r w:rsidR="00E3253D" w:rsidRPr="002F4D34">
        <w:rPr>
          <w:rStyle w:val="libFootnoteBoldChar"/>
          <w:rtl/>
        </w:rPr>
        <w:t>الوسائل</w:t>
      </w:r>
      <w:r w:rsidR="00E3253D" w:rsidRPr="005D642E">
        <w:rPr>
          <w:rtl/>
          <w:lang w:bidi="fa-IR"/>
        </w:rPr>
        <w:t xml:space="preserve"> ، ج 3 ، ص 156 ، ح 3277 ؛ </w:t>
      </w:r>
      <w:r w:rsidR="00E3253D" w:rsidRPr="002F4D34">
        <w:rPr>
          <w:rStyle w:val="libFootnoteBoldChar"/>
          <w:rtl/>
        </w:rPr>
        <w:t>البحار</w:t>
      </w:r>
      <w:r w:rsidR="00E3253D" w:rsidRPr="005D642E">
        <w:rPr>
          <w:rtl/>
          <w:lang w:bidi="fa-IR"/>
        </w:rPr>
        <w:t xml:space="preserve"> ، ج 81 ، ص 277 ، ذيل ح 36.</w:t>
      </w:r>
      <w:r w:rsidR="00CC2AA4">
        <w:rPr>
          <w:rFonts w:hint="cs"/>
          <w:rtl/>
          <w:lang w:bidi="fa-IR"/>
        </w:rPr>
        <w:t xml:space="preserve">                </w:t>
      </w:r>
      <w:r w:rsidRPr="0042621E">
        <w:rPr>
          <w:rStyle w:val="libFootnote0Char"/>
          <w:rtl/>
        </w:rPr>
        <w:t>(4).</w:t>
      </w:r>
      <w:r w:rsidR="00E3253D" w:rsidRPr="005D642E">
        <w:rPr>
          <w:rtl/>
        </w:rPr>
        <w:t xml:space="preserve"> في الفقيه </w:t>
      </w:r>
      <w:r w:rsidR="00B60612" w:rsidRPr="00B60612">
        <w:rPr>
          <w:rStyle w:val="libFootnoteBoldChar"/>
          <w:rtl/>
        </w:rPr>
        <w:t>والتهذيب</w:t>
      </w:r>
      <w:r w:rsidR="00E3253D" w:rsidRPr="005D642E">
        <w:rPr>
          <w:rtl/>
        </w:rPr>
        <w:t xml:space="preserve"> : + « إنّ</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الفقيه </w:t>
      </w:r>
      <w:r w:rsidR="00B60612" w:rsidRPr="00B60612">
        <w:rPr>
          <w:rStyle w:val="libFootnoteBoldChar"/>
          <w:rtl/>
        </w:rPr>
        <w:t>والتهذيب</w:t>
      </w:r>
      <w:r w:rsidR="00E3253D" w:rsidRPr="005D642E">
        <w:rPr>
          <w:rtl/>
        </w:rPr>
        <w:t xml:space="preserve"> : + « ولا بأس إن مشيت بين يديها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311 ، ح 902 ، بسنده عن الكليني. </w:t>
      </w:r>
      <w:r w:rsidR="00E3253D" w:rsidRPr="002F4D34">
        <w:rPr>
          <w:rStyle w:val="libFootnoteBoldChar"/>
          <w:rtl/>
        </w:rPr>
        <w:t>الفقيه</w:t>
      </w:r>
      <w:r w:rsidR="00E3253D" w:rsidRPr="005D642E">
        <w:rPr>
          <w:rtl/>
        </w:rPr>
        <w:t xml:space="preserve"> ، ج 1 ، ص 162 ، ح 461 ، مرسلاً عن أبي جعفر </w:t>
      </w:r>
      <w:r w:rsidR="00E3253D" w:rsidRPr="00CC2AA4">
        <w:rPr>
          <w:rStyle w:val="libFootnoteAlaemChar"/>
          <w:rtl/>
        </w:rPr>
        <w:t>عليه‌السلام</w:t>
      </w:r>
      <w:r w:rsidR="00E3253D" w:rsidRPr="005D642E">
        <w:rPr>
          <w:rtl/>
        </w:rPr>
        <w:t xml:space="preserve"> </w:t>
      </w:r>
      <w:r w:rsidR="00CC2AA4">
        <w:rPr>
          <w:rFonts w:hint="cs"/>
          <w:rtl/>
        </w:rPr>
        <w:t>.</w:t>
      </w:r>
      <w:r w:rsidR="00E3253D" w:rsidRPr="002F4D34">
        <w:rPr>
          <w:rStyle w:val="libFootnoteBoldChar"/>
          <w:rtl/>
        </w:rPr>
        <w:t>الوافي</w:t>
      </w:r>
      <w:r w:rsidR="00E3253D" w:rsidRPr="005D642E">
        <w:rPr>
          <w:rtl/>
        </w:rPr>
        <w:t xml:space="preserve"> ، ج 24 ، ص 402 ، ح 24321 ؛ </w:t>
      </w:r>
      <w:r w:rsidR="00E3253D" w:rsidRPr="002F4D34">
        <w:rPr>
          <w:rStyle w:val="libFootnoteBoldChar"/>
          <w:rtl/>
        </w:rPr>
        <w:t>الوسائل</w:t>
      </w:r>
      <w:r w:rsidR="00E3253D" w:rsidRPr="005D642E">
        <w:rPr>
          <w:rtl/>
        </w:rPr>
        <w:t xml:space="preserve"> ، ج 3 ، ص 148 ، ح 3250.</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ى ، بس ، جح ، جن » والوسائل : « محمّد بن عمرو وَحسين</w:t>
      </w:r>
      <w:r w:rsidR="00E3253D">
        <w:rPr>
          <w:rtl/>
        </w:rPr>
        <w:t xml:space="preserve"> ».</w:t>
      </w:r>
      <w:r w:rsidR="00E3253D" w:rsidRPr="005D642E">
        <w:rPr>
          <w:rtl/>
        </w:rPr>
        <w:t xml:space="preserve"> وفي « بث » : « محمّد بن عُمَر وَحسين</w:t>
      </w:r>
      <w:r w:rsidR="00E3253D">
        <w:rPr>
          <w:rtl/>
        </w:rPr>
        <w:t xml:space="preserve"> ».</w:t>
      </w:r>
      <w:r w:rsidR="00E3253D" w:rsidRPr="005D642E">
        <w:rPr>
          <w:rtl/>
        </w:rPr>
        <w:t xml:space="preserve"> وفي « بح ، جس » : « محمّد بن عمرو وَعَن حسين</w:t>
      </w:r>
      <w:r w:rsidR="00E3253D">
        <w:rPr>
          <w:rtl/>
        </w:rPr>
        <w:t xml:space="preserve"> ».</w:t>
      </w:r>
    </w:p>
    <w:p w:rsidR="00E3253D" w:rsidRPr="005D642E" w:rsidRDefault="00E3253D" w:rsidP="00E3253D">
      <w:pPr>
        <w:pStyle w:val="libFootnote0"/>
        <w:rPr>
          <w:rtl/>
          <w:lang w:bidi="fa-IR"/>
        </w:rPr>
      </w:pPr>
      <w:r w:rsidRPr="00B60612">
        <w:rPr>
          <w:rtl/>
        </w:rPr>
        <w:t>ولم نعرف « محمّد بن عمرو » أو « محمّد بن عمر ». لكن لم نجد رواية محمّد بن ا</w:t>
      </w:r>
      <w:r w:rsidR="00CC2AA4">
        <w:rPr>
          <w:rFonts w:hint="cs"/>
          <w:rtl/>
        </w:rPr>
        <w:t>ُ</w:t>
      </w:r>
      <w:r w:rsidRPr="00B60612">
        <w:rPr>
          <w:rtl/>
        </w:rPr>
        <w:t xml:space="preserve">ورمة ، عن حسين بن أحمد المنقري في موضع ، كي يصحَّ مضمون « ظ ، ى ، بس ، جح ، جن » </w:t>
      </w:r>
      <w:r w:rsidRPr="00CC2AA4">
        <w:rPr>
          <w:rStyle w:val="libFootnoteBoldChar"/>
          <w:rtl/>
        </w:rPr>
        <w:t>و</w:t>
      </w:r>
      <w:r w:rsidRPr="002F4D34">
        <w:rPr>
          <w:rStyle w:val="libFootnoteBoldChar"/>
          <w:rtl/>
        </w:rPr>
        <w:t>الوسائل</w:t>
      </w:r>
      <w:r w:rsidRPr="00B60612">
        <w:rPr>
          <w:rtl/>
        </w:rPr>
        <w:t xml:space="preserve"> ، كما أنّ طبقة المنقري تأبىَ عطفه على « محمّد بن ا</w:t>
      </w:r>
      <w:r w:rsidR="00CC2AA4">
        <w:rPr>
          <w:rFonts w:hint="cs"/>
          <w:rtl/>
        </w:rPr>
        <w:t>ُ</w:t>
      </w:r>
      <w:r w:rsidRPr="00B60612">
        <w:rPr>
          <w:rtl/>
        </w:rPr>
        <w:t xml:space="preserve">ورمة ، عن محمّد بن عمر » حتّى يكون في السند تحويل على احتمال. راجع : </w:t>
      </w:r>
      <w:r w:rsidRPr="002F4D34">
        <w:rPr>
          <w:rStyle w:val="libFootnoteBoldChar"/>
          <w:rtl/>
        </w:rPr>
        <w:t>رجال النجاشي</w:t>
      </w:r>
      <w:r w:rsidRPr="00B60612">
        <w:rPr>
          <w:rtl/>
        </w:rPr>
        <w:t xml:space="preserve"> ، ص 53 ، الرقم 118 ؛ </w:t>
      </w:r>
      <w:r w:rsidRPr="002F4D34">
        <w:rPr>
          <w:rStyle w:val="libFootnoteBoldChar"/>
          <w:rtl/>
        </w:rPr>
        <w:t>رجال الطوسي</w:t>
      </w:r>
      <w:r w:rsidRPr="00B60612">
        <w:rPr>
          <w:rtl/>
        </w:rPr>
        <w:t xml:space="preserve"> ، ص 334 ، الرقم 4977.</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ج 14 ، ص 13 : « قوله </w:t>
      </w:r>
      <w:r w:rsidR="00E3253D" w:rsidRPr="00CC2AA4">
        <w:rPr>
          <w:rStyle w:val="libFootnoteAlaemChar"/>
          <w:rtl/>
        </w:rPr>
        <w:t>عليه‌السلام</w:t>
      </w:r>
      <w:r w:rsidR="00E3253D" w:rsidRPr="005D642E">
        <w:rPr>
          <w:rtl/>
        </w:rPr>
        <w:t xml:space="preserve"> : امش إلخ ، يدلّ على اختصاص النهي عن المشي أمام الجنازة</w:t>
      </w:r>
      <w:r w:rsidR="00CC2AA4">
        <w:rPr>
          <w:rFonts w:hint="cs"/>
          <w:rtl/>
        </w:rPr>
        <w:t xml:space="preserve"> </w:t>
      </w:r>
      <w:r w:rsidR="00E3253D" w:rsidRPr="005D642E">
        <w:rPr>
          <w:rtl/>
        </w:rPr>
        <w:t>بجنازة المخالف ، وبه يمكن الجمع بين الأخبار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 « المؤمن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جَنَازَةِ الْجَاحِدِ ؛ فَإِنَّ أَمَامَ جَنَازَةِ الْمُسْلِمِ مَلَائِكَةً يُسْرِعُونَ بِهِ إِلَى الْجَنَّةِ ، وَإِنَّ أَمَامَ جَنَازَةِ الْكَافِرِ مَلَائِكَةً يُسْرِعُونَ بِهِ إِلَى النَّارِ</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2102A2">
        <w:rPr>
          <w:rtl/>
        </w:rPr>
        <w:t>4450</w:t>
      </w:r>
      <w:r w:rsidRPr="00246318">
        <w:rPr>
          <w:rStyle w:val="libBold2Char"/>
          <w:rtl/>
        </w:rPr>
        <w:t xml:space="preserve"> / 3.</w:t>
      </w:r>
      <w:r w:rsidRPr="005D642E">
        <w:rPr>
          <w:rtl/>
          <w:lang w:bidi="fa-IR"/>
        </w:rPr>
        <w:t xml:space="preserve"> عِدَّةٌ مِنْ أَصْحَابِنَا ، عَنْ أَحْمَدَ بْنِ أَبِي عَبْدِ اللهِ ، عَنْ عَمْرِو بْنِ عُثْمَانَ ، عَنْ مُفَضَّلِ بْنِ صَالِحٍ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مَشَى النَّبِيُّ </w:t>
      </w:r>
      <w:r w:rsidR="0042621E" w:rsidRPr="0042621E">
        <w:rPr>
          <w:rStyle w:val="libAlaemChar"/>
          <w:rtl/>
        </w:rPr>
        <w:t>صلى‌الله‌عليه‌وآله</w:t>
      </w:r>
      <w:r w:rsidRPr="005D642E">
        <w:rPr>
          <w:rtl/>
          <w:lang w:bidi="fa-IR"/>
        </w:rPr>
        <w:t xml:space="preserve"> خَلْفَ جَنَازَةٍ ، فَقِيلَ لَهُ : يَا رَسُولَ اللهِ ، مَا لَكَ تَمْشِي خَلْفَهَا</w:t>
      </w:r>
      <w:r>
        <w:rPr>
          <w:rtl/>
          <w:lang w:bidi="fa-IR"/>
        </w:rPr>
        <w:t>؟</w:t>
      </w:r>
      <w:r w:rsidRPr="005D642E">
        <w:rPr>
          <w:rtl/>
          <w:lang w:bidi="fa-IR"/>
        </w:rPr>
        <w:t xml:space="preserve"> فَقَالَ : إِنَّ الْمَلَائِكَةَ رأَيْتُهُمْ </w:t>
      </w:r>
      <w:r w:rsidRPr="007C12DB">
        <w:rPr>
          <w:rStyle w:val="libFootnotenumChar"/>
          <w:rtl/>
        </w:rPr>
        <w:t>(2)</w:t>
      </w:r>
      <w:r w:rsidRPr="005D642E">
        <w:rPr>
          <w:rtl/>
          <w:lang w:bidi="fa-IR"/>
        </w:rPr>
        <w:t xml:space="preserve"> يَمْشُونَ أَمَامَهَا ، وَنَحْنُ تَبَعٌ </w:t>
      </w:r>
      <w:r w:rsidRPr="007C12DB">
        <w:rPr>
          <w:rStyle w:val="libFootnotenumChar"/>
          <w:rtl/>
        </w:rPr>
        <w:t>(3)</w:t>
      </w:r>
      <w:r w:rsidRPr="005D642E">
        <w:rPr>
          <w:rtl/>
          <w:lang w:bidi="fa-IR"/>
        </w:rPr>
        <w:t xml:space="preserve"> لَهُمْ</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2102A2">
        <w:rPr>
          <w:rtl/>
        </w:rPr>
        <w:t>4451</w:t>
      </w:r>
      <w:r w:rsidRPr="00246318">
        <w:rPr>
          <w:rStyle w:val="libBold2Char"/>
          <w:rtl/>
        </w:rPr>
        <w:t xml:space="preserve"> / 4.</w:t>
      </w:r>
      <w:r w:rsidRPr="005D642E">
        <w:rPr>
          <w:rtl/>
          <w:lang w:bidi="fa-IR"/>
        </w:rPr>
        <w:t xml:space="preserve"> أَبُو عَلِيٍّ الْأَشْعَرِيُّ ، عَنْ مُحَمَّدِ بْنِ عَبْدِ الْجَبَّارِ ، عَنْ صَفْوَانَ بْنِ يَحْيى ، عَنِ‌</w:t>
      </w:r>
      <w:r>
        <w:rPr>
          <w:rFonts w:hint="cs"/>
          <w:rtl/>
          <w:lang w:bidi="fa-IR"/>
        </w:rPr>
        <w:t xml:space="preserve"> </w:t>
      </w:r>
      <w:r w:rsidRPr="005D642E">
        <w:rPr>
          <w:rtl/>
          <w:lang w:bidi="fa-IR"/>
        </w:rPr>
        <w:t>الْعَلَاءِ بْنِ رَزِينٍ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w:t>
      </w:r>
      <w:r w:rsidRPr="007C12DB">
        <w:rPr>
          <w:rStyle w:val="libFootnotenumChar"/>
          <w:rtl/>
        </w:rPr>
        <w:t>(5)</w:t>
      </w:r>
      <w:r w:rsidRPr="005D642E">
        <w:rPr>
          <w:rtl/>
          <w:lang w:bidi="fa-IR"/>
        </w:rPr>
        <w:t xml:space="preserve"> عَنِ الْمَشْيِ مَعَ الْجَنَازَةِ</w:t>
      </w:r>
      <w:r>
        <w:rPr>
          <w:rtl/>
          <w:lang w:bidi="fa-IR"/>
        </w:rPr>
        <w:t>؟</w:t>
      </w:r>
    </w:p>
    <w:p w:rsidR="00E3253D" w:rsidRPr="005D642E" w:rsidRDefault="00E3253D" w:rsidP="00E3253D">
      <w:pPr>
        <w:pStyle w:val="libNormal"/>
        <w:rPr>
          <w:rtl/>
          <w:lang w:bidi="fa-IR"/>
        </w:rPr>
      </w:pPr>
      <w:r w:rsidRPr="005D642E">
        <w:rPr>
          <w:rtl/>
          <w:lang w:bidi="fa-IR"/>
        </w:rPr>
        <w:t xml:space="preserve">فَقَالَ : « بَيْنَ </w:t>
      </w:r>
      <w:r w:rsidRPr="007C12DB">
        <w:rPr>
          <w:rStyle w:val="libFootnotenumChar"/>
          <w:rtl/>
        </w:rPr>
        <w:t>(6)</w:t>
      </w:r>
      <w:r w:rsidRPr="005D642E">
        <w:rPr>
          <w:rtl/>
          <w:lang w:bidi="fa-IR"/>
        </w:rPr>
        <w:t xml:space="preserve"> يَدَيْهَا ، وَعَنْ يَمِينِهَا ، وَعَنْ شِمَالِهَا ، وَخَلْفِهَا</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2102A2">
        <w:rPr>
          <w:rtl/>
        </w:rPr>
        <w:t>4452</w:t>
      </w:r>
      <w:r w:rsidRPr="00246318">
        <w:rPr>
          <w:rStyle w:val="libBold2Char"/>
          <w:rtl/>
        </w:rPr>
        <w:t xml:space="preserve"> / 5.</w:t>
      </w:r>
      <w:r w:rsidRPr="005D642E">
        <w:rPr>
          <w:rtl/>
          <w:lang w:bidi="fa-IR"/>
        </w:rPr>
        <w:t xml:space="preserve"> حُمَيْدُ بْنُ زِيَادٍ ، عَنِ الْحَسَنِ بْنِ مُحَمَّدٍ الْكِنْدِيِّ ، عَنْ غَيْرِ وَاحِدٍ ، عَنْ أَبَانِ بْنِ عُثْمَانَ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امْشِ بَيْنَ يَدَيِ الْجَنَازَةِ ، وَخَلْفَهَا</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راجع : </w:t>
      </w:r>
      <w:r w:rsidR="00E3253D" w:rsidRPr="002F4D34">
        <w:rPr>
          <w:rStyle w:val="libFootnoteBoldChar"/>
          <w:rtl/>
        </w:rPr>
        <w:t>قرب الإسناد</w:t>
      </w:r>
      <w:r w:rsidR="00E3253D" w:rsidRPr="005D642E">
        <w:rPr>
          <w:rtl/>
        </w:rPr>
        <w:t xml:space="preserve"> ، ص 139 ، ح 493 </w:t>
      </w:r>
      <w:r w:rsidR="006A6F53">
        <w:rPr>
          <w:rFonts w:hint="cs"/>
          <w:rtl/>
        </w:rPr>
        <w:t>.</w:t>
      </w:r>
      <w:r w:rsidR="00E3253D" w:rsidRPr="002F4D34">
        <w:rPr>
          <w:rStyle w:val="libFootnoteBoldChar"/>
          <w:rtl/>
        </w:rPr>
        <w:t>الوافي</w:t>
      </w:r>
      <w:r w:rsidR="00E3253D" w:rsidRPr="005D642E">
        <w:rPr>
          <w:rtl/>
        </w:rPr>
        <w:t xml:space="preserve"> ، ج 24 ، ص 404 ، ح 24330 ؛ </w:t>
      </w:r>
      <w:r w:rsidR="00E3253D" w:rsidRPr="002F4D34">
        <w:rPr>
          <w:rStyle w:val="libFootnoteBoldChar"/>
          <w:rtl/>
        </w:rPr>
        <w:t>الوسائل</w:t>
      </w:r>
      <w:r w:rsidR="00E3253D" w:rsidRPr="005D642E">
        <w:rPr>
          <w:rtl/>
        </w:rPr>
        <w:t xml:space="preserve"> ، ج 3 ، ص 150 ، ح 3257.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أراهم</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بخ » : « نتبع</w:t>
      </w:r>
      <w:r w:rsidR="00E3253D">
        <w:rPr>
          <w:rtl/>
        </w:rPr>
        <w:t xml:space="preserve"> ».</w:t>
      </w:r>
    </w:p>
    <w:p w:rsidR="00E3253D" w:rsidRPr="005D642E" w:rsidRDefault="0042621E" w:rsidP="006A6F53">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311 ، ح 903 ، بسنده عن الكليني </w:t>
      </w:r>
      <w:r w:rsidR="006A6F53">
        <w:rPr>
          <w:rFonts w:hint="cs"/>
          <w:rtl/>
        </w:rPr>
        <w:t>.</w:t>
      </w:r>
      <w:r w:rsidR="00E3253D" w:rsidRPr="002F4D34">
        <w:rPr>
          <w:rStyle w:val="libFootnoteBoldChar"/>
          <w:rtl/>
        </w:rPr>
        <w:t>الوافي</w:t>
      </w:r>
      <w:r w:rsidR="00E3253D" w:rsidRPr="005D642E">
        <w:rPr>
          <w:rtl/>
        </w:rPr>
        <w:t xml:space="preserve"> ، ج 24 ، ص 403 ، ح 24324 ؛ </w:t>
      </w:r>
      <w:r w:rsidR="00E3253D" w:rsidRPr="002F4D34">
        <w:rPr>
          <w:rStyle w:val="libFootnoteBoldChar"/>
          <w:rtl/>
        </w:rPr>
        <w:t>الوسائل</w:t>
      </w:r>
      <w:r w:rsidR="00E3253D" w:rsidRPr="005D642E">
        <w:rPr>
          <w:rtl/>
        </w:rPr>
        <w:t xml:space="preserve"> ، ج 3 ، ص 148 ، ح 3251.</w:t>
      </w:r>
      <w:r w:rsidR="006A6F53">
        <w:rPr>
          <w:rFonts w:hint="cs"/>
          <w:rtl/>
        </w:rPr>
        <w:t xml:space="preserve">                 </w:t>
      </w:r>
      <w:r w:rsidRPr="0042621E">
        <w:rPr>
          <w:rStyle w:val="libFootnote0Char"/>
          <w:rtl/>
        </w:rPr>
        <w:t>(5).</w:t>
      </w:r>
      <w:r w:rsidR="00E3253D" w:rsidRPr="005D642E">
        <w:rPr>
          <w:rtl/>
        </w:rPr>
        <w:t xml:space="preserve"> في « بخ ، بف » : « سألت</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 « ما بين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163 ، ح 464 ، معلّقاً عن محمّد بن مسلم </w:t>
      </w:r>
      <w:r w:rsidR="006A6F53">
        <w:rPr>
          <w:rFonts w:hint="cs"/>
          <w:rtl/>
        </w:rPr>
        <w:t>.</w:t>
      </w:r>
      <w:r w:rsidR="00E3253D" w:rsidRPr="002F4D34">
        <w:rPr>
          <w:rStyle w:val="libFootnoteBoldChar"/>
          <w:rtl/>
        </w:rPr>
        <w:t>الوافي</w:t>
      </w:r>
      <w:r w:rsidR="00E3253D" w:rsidRPr="005D642E">
        <w:rPr>
          <w:rtl/>
        </w:rPr>
        <w:t xml:space="preserve"> ، ج 24 ، ص 403 ، ح 24325 ؛ </w:t>
      </w:r>
      <w:r w:rsidR="00E3253D" w:rsidRPr="002F4D34">
        <w:rPr>
          <w:rStyle w:val="libFootnoteBoldChar"/>
          <w:rtl/>
        </w:rPr>
        <w:t>الوسائل</w:t>
      </w:r>
      <w:r w:rsidR="00E3253D" w:rsidRPr="005D642E">
        <w:rPr>
          <w:rtl/>
        </w:rPr>
        <w:t xml:space="preserve"> ، ج 3 ، ص 149 ، ح 3254.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24 ، ص 403 ، ح 24326 ؛ </w:t>
      </w:r>
      <w:r w:rsidR="00E3253D" w:rsidRPr="002F4D34">
        <w:rPr>
          <w:rStyle w:val="libFootnoteBoldChar"/>
          <w:rtl/>
        </w:rPr>
        <w:t>الوسائل</w:t>
      </w:r>
      <w:r w:rsidR="00E3253D" w:rsidRPr="005D642E">
        <w:rPr>
          <w:rtl/>
        </w:rPr>
        <w:t xml:space="preserve"> ، ج 3 ، ص 150 ، ح 3255.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102A2">
        <w:rPr>
          <w:rtl/>
        </w:rPr>
        <w:t>4453</w:t>
      </w:r>
      <w:r w:rsidRPr="00246318">
        <w:rPr>
          <w:rStyle w:val="libBold2Char"/>
          <w:rtl/>
        </w:rPr>
        <w:t xml:space="preserve"> / 6.</w:t>
      </w:r>
      <w:r w:rsidRPr="005D642E">
        <w:rPr>
          <w:rtl/>
          <w:lang w:bidi="fa-IR"/>
        </w:rPr>
        <w:t xml:space="preserve"> أَبُو عَلِيٍّ الْأَشْعَرِيُّ ، عَنْ مُحَمَّدِ بْنِ عَبْدِ الْجَبَّارِ ، عَنِ الْحَجَّالِ </w:t>
      </w:r>
      <w:r w:rsidRPr="007C12DB">
        <w:rPr>
          <w:rStyle w:val="libFootnotenumChar"/>
          <w:rtl/>
        </w:rPr>
        <w:t>(1)</w:t>
      </w:r>
      <w:r w:rsidRPr="005D642E">
        <w:rPr>
          <w:rtl/>
          <w:lang w:bidi="fa-IR"/>
        </w:rPr>
        <w:t xml:space="preserve"> ، عَنْ عَلِيِّ بْنِ شَجَرَةَ ، عَنْ أَبِي الْوَفَاءِ الْمُرَادِيِّ ، عَنْ سَدِيرٍ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مَنْ أَحَبَّ أَنْ يَمْشِيَ مَمْشَى </w:t>
      </w:r>
      <w:r w:rsidRPr="007C12DB">
        <w:rPr>
          <w:rStyle w:val="libFootnotenumChar"/>
          <w:rtl/>
        </w:rPr>
        <w:t>(2)</w:t>
      </w:r>
      <w:r w:rsidRPr="005D642E">
        <w:rPr>
          <w:rtl/>
          <w:lang w:bidi="fa-IR"/>
        </w:rPr>
        <w:t xml:space="preserve"> الْكِرَامِ الْكَاتِبِينَ ، فَلْيَمْشِ جَنْبَيِ</w:t>
      </w:r>
      <w:r w:rsidRPr="007C12DB">
        <w:rPr>
          <w:rStyle w:val="libFootnotenumChar"/>
          <w:rtl/>
        </w:rPr>
        <w:t>(3)</w:t>
      </w:r>
      <w:r w:rsidRPr="005D642E">
        <w:rPr>
          <w:rtl/>
          <w:lang w:bidi="fa-IR"/>
        </w:rPr>
        <w:t xml:space="preserve"> السَّرِيرِ</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2102A2">
        <w:rPr>
          <w:rtl/>
        </w:rPr>
        <w:t>4454</w:t>
      </w:r>
      <w:r w:rsidRPr="00246318">
        <w:rPr>
          <w:rStyle w:val="libBold2Char"/>
          <w:rtl/>
        </w:rPr>
        <w:t xml:space="preserve"> / 7.</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 كَيْفَ أَصْنَعُ إِذَا خَرَجْتُ مَعَ الْجَنَازَةِ : أَمْشِي أَمَامَهَا ، أَوْ خَلْفَهَا ، أَوْ عَنْ يَمِينِهَا ، أَوْ عَنْ شِمَالِهَا</w:t>
      </w:r>
      <w:r>
        <w:rPr>
          <w:rtl/>
          <w:lang w:bidi="fa-IR"/>
        </w:rPr>
        <w:t>؟</w:t>
      </w:r>
    </w:p>
    <w:p w:rsidR="00E3253D" w:rsidRPr="005D642E" w:rsidRDefault="00E3253D" w:rsidP="00E3253D">
      <w:pPr>
        <w:pStyle w:val="libNormal"/>
        <w:rPr>
          <w:rtl/>
          <w:lang w:bidi="fa-IR"/>
        </w:rPr>
      </w:pPr>
      <w:r w:rsidRPr="005D642E">
        <w:rPr>
          <w:rtl/>
          <w:lang w:bidi="fa-IR"/>
        </w:rPr>
        <w:t xml:space="preserve">فَقَالَ : « إِنْ كَانَ مُخَالِفاً ، فَلَا تَمْشِ أَمَامَهُ </w:t>
      </w:r>
      <w:r w:rsidRPr="007C12DB">
        <w:rPr>
          <w:rStyle w:val="libFootnotenumChar"/>
          <w:rtl/>
        </w:rPr>
        <w:t>(5)</w:t>
      </w:r>
      <w:r w:rsidRPr="005D642E">
        <w:rPr>
          <w:rtl/>
          <w:lang w:bidi="fa-IR"/>
        </w:rPr>
        <w:t xml:space="preserve"> ؛ فَإِنَّ مَلَائِكَةَ الْعَذَابِ يَسْتَقْبِلُونَهُ بِأَلْوَانِ </w:t>
      </w:r>
      <w:r w:rsidRPr="007C12DB">
        <w:rPr>
          <w:rStyle w:val="libFootnotenumChar"/>
          <w:rtl/>
        </w:rPr>
        <w:t>(6)</w:t>
      </w:r>
      <w:r w:rsidRPr="005D642E">
        <w:rPr>
          <w:rtl/>
          <w:lang w:bidi="fa-IR"/>
        </w:rPr>
        <w:t xml:space="preserve"> الْعَذَابِ</w:t>
      </w:r>
      <w:r>
        <w:rPr>
          <w:rtl/>
          <w:lang w:bidi="fa-IR"/>
        </w:rPr>
        <w:t xml:space="preserve"> ».</w:t>
      </w:r>
      <w:r w:rsidRPr="005D642E">
        <w:rPr>
          <w:rtl/>
          <w:lang w:bidi="fa-IR"/>
        </w:rPr>
        <w:t xml:space="preserve"> </w:t>
      </w:r>
      <w:r w:rsidRPr="007C12DB">
        <w:rPr>
          <w:rStyle w:val="libFootnotenumChar"/>
          <w:rtl/>
        </w:rPr>
        <w:t>(7)</w:t>
      </w:r>
    </w:p>
    <w:p w:rsidR="00E3253D" w:rsidRPr="005D642E" w:rsidRDefault="00E3253D" w:rsidP="00E3253D">
      <w:pPr>
        <w:pStyle w:val="libLine"/>
        <w:rPr>
          <w:rtl/>
          <w:lang w:bidi="fa-IR"/>
        </w:rPr>
      </w:pPr>
      <w:r w:rsidRPr="005D642E">
        <w:rPr>
          <w:rtl/>
          <w:lang w:bidi="fa-IR"/>
        </w:rPr>
        <w:t>__________________</w:t>
      </w:r>
    </w:p>
    <w:p w:rsidR="00E3253D" w:rsidRDefault="0042621E" w:rsidP="00E3253D">
      <w:pPr>
        <w:pStyle w:val="libFootnote0"/>
        <w:rPr>
          <w:rtl/>
        </w:rPr>
      </w:pPr>
      <w:r w:rsidRPr="0042621E">
        <w:rPr>
          <w:rStyle w:val="libFootnote0Char"/>
          <w:rtl/>
        </w:rPr>
        <w:t>(1).</w:t>
      </w:r>
      <w:r w:rsidR="00E3253D">
        <w:rPr>
          <w:rtl/>
        </w:rPr>
        <w:t xml:space="preserve"> </w:t>
      </w:r>
      <w:r w:rsidR="00E3253D" w:rsidRPr="005D642E">
        <w:rPr>
          <w:rtl/>
        </w:rPr>
        <w:t>في « بس ، بف ، جح ، جس » :</w:t>
      </w:r>
      <w:r w:rsidR="00E3253D">
        <w:rPr>
          <w:rtl/>
        </w:rPr>
        <w:t xml:space="preserve"> </w:t>
      </w:r>
      <w:r w:rsidR="007642BC">
        <w:rPr>
          <w:rtl/>
        </w:rPr>
        <w:t>-</w:t>
      </w:r>
      <w:r w:rsidR="00E3253D">
        <w:rPr>
          <w:rtl/>
        </w:rPr>
        <w:t xml:space="preserve"> </w:t>
      </w:r>
      <w:r w:rsidR="00E3253D" w:rsidRPr="005D642E">
        <w:rPr>
          <w:rtl/>
        </w:rPr>
        <w:t>« عن الحجّال</w:t>
      </w:r>
      <w:r w:rsidR="00E3253D">
        <w:rPr>
          <w:rtl/>
        </w:rPr>
        <w:t xml:space="preserve"> ».</w:t>
      </w:r>
      <w:r w:rsidR="00E3253D" w:rsidRPr="005D642E">
        <w:rPr>
          <w:rtl/>
        </w:rPr>
        <w:t xml:space="preserve"> وهو سهو ؛ فقد روى محمّد بن عبدالجبّار ، عن الحجّال في‌عددٍ من الأسناد ، ولم نجد روايته عن عليّ بن شجرة مباشرةً في موضع. راجع : </w:t>
      </w:r>
      <w:r w:rsidR="00E3253D" w:rsidRPr="002F4D34">
        <w:rPr>
          <w:rStyle w:val="libFootnoteBoldChar"/>
          <w:rtl/>
        </w:rPr>
        <w:t>معجم رجال الحديث</w:t>
      </w:r>
      <w:r w:rsidR="00E3253D" w:rsidRPr="005D642E">
        <w:rPr>
          <w:rtl/>
        </w:rPr>
        <w:t xml:space="preserve"> ، ج 16 ، ص 421.</w:t>
      </w:r>
    </w:p>
    <w:p w:rsidR="00E3253D" w:rsidRPr="005D642E" w:rsidRDefault="00E3253D" w:rsidP="00E3253D">
      <w:pPr>
        <w:pStyle w:val="libFootnote0"/>
        <w:rPr>
          <w:rtl/>
          <w:lang w:bidi="fa-IR"/>
        </w:rPr>
      </w:pPr>
      <w:r w:rsidRPr="005D642E">
        <w:rPr>
          <w:rtl/>
        </w:rPr>
        <w:t>ويؤيّد ذلك ما يأتي في ح 4470 ، من رواية أبي عليّ الأشعري ، عن محمّد بن عبدالجبّار ، عن الحجّال ، عن عليّ بن شجرة.</w:t>
      </w:r>
    </w:p>
    <w:p w:rsidR="00E3253D" w:rsidRPr="005D642E" w:rsidRDefault="00E3253D" w:rsidP="00B60612">
      <w:pPr>
        <w:pStyle w:val="libFootnote0"/>
        <w:rPr>
          <w:rtl/>
          <w:lang w:bidi="fa-IR"/>
        </w:rPr>
      </w:pPr>
      <w:r w:rsidRPr="0095070A">
        <w:rPr>
          <w:rtl/>
        </w:rPr>
        <w:t xml:space="preserve">ولعلّ وجه سقوط « عن الحجّال » من السند ، شباهة « الجبّار » </w:t>
      </w:r>
      <w:r>
        <w:rPr>
          <w:rtl/>
        </w:rPr>
        <w:t>و «</w:t>
      </w:r>
      <w:r w:rsidRPr="0095070A">
        <w:rPr>
          <w:rtl/>
        </w:rPr>
        <w:t xml:space="preserve"> الحجّال » في بعض الخطوط الموجبة لجواز النظر من أحدهما إلى الآخر.</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بث ، بخ ، بف » : « مشي</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w:t>
      </w:r>
      <w:r w:rsidR="00E3253D" w:rsidRPr="006A6F53">
        <w:rPr>
          <w:rtl/>
        </w:rPr>
        <w:t xml:space="preserve">قوبلت </w:t>
      </w:r>
      <w:r w:rsidR="000D749A" w:rsidRPr="006A6F53">
        <w:rPr>
          <w:rtl/>
        </w:rPr>
        <w:t>والوافي</w:t>
      </w:r>
      <w:r w:rsidR="00E3253D" w:rsidRPr="006A6F53">
        <w:rPr>
          <w:rtl/>
        </w:rPr>
        <w:t xml:space="preserve"> والوسائل</w:t>
      </w:r>
      <w:r w:rsidR="00E3253D" w:rsidRPr="005D642E">
        <w:rPr>
          <w:rtl/>
        </w:rPr>
        <w:t xml:space="preserve"> </w:t>
      </w:r>
      <w:r w:rsidR="00B60612" w:rsidRPr="006A6F53">
        <w:rPr>
          <w:rtl/>
        </w:rPr>
        <w:t>والتهذيب</w:t>
      </w:r>
      <w:r w:rsidR="00E3253D" w:rsidRPr="006A6F53">
        <w:rPr>
          <w:rtl/>
        </w:rPr>
        <w:t>.</w:t>
      </w:r>
      <w:r w:rsidR="00E3253D" w:rsidRPr="005D642E">
        <w:rPr>
          <w:rtl/>
        </w:rPr>
        <w:t xml:space="preserve"> وفي المطبوع : « بجنبي</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311 ، ح 904 ، بسنده عن الكليني. </w:t>
      </w:r>
      <w:r w:rsidR="00E3253D" w:rsidRPr="002F4D34">
        <w:rPr>
          <w:rStyle w:val="libFootnoteBoldChar"/>
          <w:rtl/>
        </w:rPr>
        <w:t>فقه الرضا</w:t>
      </w:r>
      <w:r w:rsidR="00E3253D" w:rsidRPr="005D642E">
        <w:rPr>
          <w:rtl/>
        </w:rPr>
        <w:t xml:space="preserve"> </w:t>
      </w:r>
      <w:r w:rsidR="00E3253D" w:rsidRPr="006A6F53">
        <w:rPr>
          <w:rStyle w:val="libFootnoteAlaemChar"/>
          <w:rtl/>
        </w:rPr>
        <w:t>عليه‌السلام</w:t>
      </w:r>
      <w:r w:rsidR="00E3253D" w:rsidRPr="005D642E">
        <w:rPr>
          <w:rtl/>
        </w:rPr>
        <w:t xml:space="preserve"> ، ص 169 ، مع اختلاف </w:t>
      </w:r>
      <w:r w:rsidR="006A6F53">
        <w:rPr>
          <w:rFonts w:hint="cs"/>
          <w:rtl/>
        </w:rPr>
        <w:t>.</w:t>
      </w:r>
      <w:r w:rsidR="00E3253D" w:rsidRPr="002F4D34">
        <w:rPr>
          <w:rStyle w:val="libFootnoteBoldChar"/>
          <w:rtl/>
        </w:rPr>
        <w:t>الوافي</w:t>
      </w:r>
      <w:r w:rsidR="00E3253D" w:rsidRPr="005D642E">
        <w:rPr>
          <w:rtl/>
        </w:rPr>
        <w:t xml:space="preserve"> ، ج 24 ، ص 404 ، ح 24327 ؛ </w:t>
      </w:r>
      <w:r w:rsidR="00E3253D" w:rsidRPr="002F4D34">
        <w:rPr>
          <w:rStyle w:val="libFootnoteBoldChar"/>
          <w:rtl/>
        </w:rPr>
        <w:t>الوسائل</w:t>
      </w:r>
      <w:r w:rsidR="00E3253D" w:rsidRPr="005D642E">
        <w:rPr>
          <w:rtl/>
        </w:rPr>
        <w:t xml:space="preserve"> ، ج 3 ، ص 148 ، ح 3252 ؛ </w:t>
      </w:r>
      <w:r w:rsidR="00E3253D" w:rsidRPr="002F4D34">
        <w:rPr>
          <w:rStyle w:val="libFootnoteBoldChar"/>
          <w:rtl/>
        </w:rPr>
        <w:t>البحار</w:t>
      </w:r>
      <w:r w:rsidR="00E3253D" w:rsidRPr="005D642E">
        <w:rPr>
          <w:rtl/>
        </w:rPr>
        <w:t xml:space="preserve"> ، ج 81 ، ص 263 ، ذيل ح 4.</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w:t>
      </w:r>
      <w:r w:rsidR="000D749A" w:rsidRPr="000D749A">
        <w:rPr>
          <w:rStyle w:val="libFootnoteBoldChar"/>
          <w:rtl/>
        </w:rPr>
        <w:t>والمحاسن</w:t>
      </w:r>
      <w:r w:rsidR="00E3253D" w:rsidRPr="005D642E">
        <w:rPr>
          <w:rtl/>
        </w:rPr>
        <w:t xml:space="preserve"> : « أمامها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وحاشية « بح ، بخ ، جح ، جن » </w:t>
      </w:r>
      <w:r w:rsidR="00B60612" w:rsidRPr="00B60612">
        <w:rPr>
          <w:rStyle w:val="libFootnoteBoldChar"/>
          <w:rtl/>
        </w:rPr>
        <w:t>والتهذيب</w:t>
      </w:r>
      <w:r w:rsidR="00E3253D" w:rsidRPr="005D642E">
        <w:rPr>
          <w:rtl/>
        </w:rPr>
        <w:t xml:space="preserve"> : « بأنواع</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312 ، ح 905 ؛ </w:t>
      </w:r>
      <w:r w:rsidR="00E3253D" w:rsidRPr="002F4D34">
        <w:rPr>
          <w:rStyle w:val="libFootnoteBoldChar"/>
          <w:rtl/>
        </w:rPr>
        <w:t>المحاسن</w:t>
      </w:r>
      <w:r w:rsidR="00E3253D" w:rsidRPr="005D642E">
        <w:rPr>
          <w:rtl/>
        </w:rPr>
        <w:t xml:space="preserve"> ، ص 317 ، كتاب العلل ، ح 38 ؛ </w:t>
      </w:r>
      <w:r w:rsidR="00E3253D" w:rsidRPr="002F4D34">
        <w:rPr>
          <w:rStyle w:val="libFootnoteBoldChar"/>
          <w:rtl/>
        </w:rPr>
        <w:t>وعلل الشرائع</w:t>
      </w:r>
      <w:r w:rsidR="00E3253D" w:rsidRPr="005D642E">
        <w:rPr>
          <w:rtl/>
        </w:rPr>
        <w:t xml:space="preserve"> ، ص 304 ، ح 1 ، بسند آخر </w:t>
      </w:r>
      <w:r w:rsidR="006A6F53">
        <w:rPr>
          <w:rFonts w:hint="cs"/>
          <w:rtl/>
        </w:rPr>
        <w:t>.</w:t>
      </w:r>
      <w:r w:rsidR="00E3253D" w:rsidRPr="002F4D34">
        <w:rPr>
          <w:rStyle w:val="libFootnoteBoldChar"/>
          <w:rtl/>
        </w:rPr>
        <w:t>الوافي</w:t>
      </w:r>
      <w:r w:rsidR="00E3253D" w:rsidRPr="005D642E">
        <w:rPr>
          <w:rtl/>
        </w:rPr>
        <w:t xml:space="preserve"> ، ج 24 ، ص 404 ، ح 24328 ؛ </w:t>
      </w:r>
      <w:r w:rsidR="00E3253D" w:rsidRPr="002F4D34">
        <w:rPr>
          <w:rStyle w:val="libFootnoteBoldChar"/>
          <w:rtl/>
        </w:rPr>
        <w:t>الوسائل</w:t>
      </w:r>
      <w:r w:rsidR="00E3253D" w:rsidRPr="005D642E">
        <w:rPr>
          <w:rtl/>
        </w:rPr>
        <w:t xml:space="preserve"> ، ج 3 ، ص 150 ، ح 3256.</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377" w:name="_Toc344647336"/>
      <w:bookmarkStart w:id="378" w:name="_Toc462226850"/>
      <w:bookmarkStart w:id="379" w:name="_Toc40975959"/>
      <w:r w:rsidRPr="005D642E">
        <w:rPr>
          <w:rtl/>
          <w:lang w:bidi="fa-IR"/>
        </w:rPr>
        <w:t>41</w:t>
      </w:r>
      <w:r>
        <w:rPr>
          <w:rtl/>
          <w:lang w:bidi="fa-IR"/>
        </w:rPr>
        <w:t xml:space="preserve"> </w:t>
      </w:r>
      <w:r w:rsidR="007642BC">
        <w:rPr>
          <w:rtl/>
          <w:lang w:bidi="fa-IR"/>
        </w:rPr>
        <w:t>-</w:t>
      </w:r>
      <w:r>
        <w:rPr>
          <w:rtl/>
          <w:lang w:bidi="fa-IR"/>
        </w:rPr>
        <w:t xml:space="preserve"> </w:t>
      </w:r>
      <w:r w:rsidRPr="005D642E">
        <w:rPr>
          <w:rtl/>
          <w:lang w:bidi="fa-IR"/>
        </w:rPr>
        <w:t xml:space="preserve">بَابُ كَرَاهِيَةِ </w:t>
      </w:r>
      <w:r w:rsidRPr="007C12DB">
        <w:rPr>
          <w:rStyle w:val="libFootnotenumChar"/>
          <w:rtl/>
        </w:rPr>
        <w:t>(1)</w:t>
      </w:r>
      <w:r>
        <w:rPr>
          <w:rtl/>
        </w:rPr>
        <w:t xml:space="preserve"> </w:t>
      </w:r>
      <w:r w:rsidRPr="005D642E">
        <w:rPr>
          <w:rtl/>
          <w:lang w:bidi="fa-IR"/>
        </w:rPr>
        <w:t>الرُّكُوبِ مَعَ الْجَنَازَةِ‌</w:t>
      </w:r>
      <w:bookmarkEnd w:id="377"/>
      <w:bookmarkEnd w:id="378"/>
      <w:bookmarkEnd w:id="379"/>
    </w:p>
    <w:p w:rsidR="00E3253D" w:rsidRPr="005D642E" w:rsidRDefault="00E3253D" w:rsidP="00E3253D">
      <w:pPr>
        <w:pStyle w:val="libNormal"/>
        <w:rPr>
          <w:rtl/>
          <w:lang w:bidi="fa-IR"/>
        </w:rPr>
      </w:pPr>
      <w:r w:rsidRPr="002102A2">
        <w:rPr>
          <w:rtl/>
        </w:rPr>
        <w:t>4455</w:t>
      </w:r>
      <w:r w:rsidRPr="00246318">
        <w:rPr>
          <w:rStyle w:val="libBold2Char"/>
          <w:rtl/>
        </w:rPr>
        <w:t xml:space="preserve"> / 1.</w:t>
      </w:r>
      <w:r w:rsidRPr="005D642E">
        <w:rPr>
          <w:rtl/>
          <w:lang w:bidi="fa-IR"/>
        </w:rPr>
        <w:t xml:space="preserve"> عَلِيُّ بْنُ إِبْرَاهِيمَ ، عَنْ أَبِيهِ ، عَنِ ابْنِ أَبِي عُمَيْرٍ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رَأى رَسُولُ اللهِ </w:t>
      </w:r>
      <w:r w:rsidR="0042621E" w:rsidRPr="0042621E">
        <w:rPr>
          <w:rStyle w:val="libAlaemChar"/>
          <w:rtl/>
        </w:rPr>
        <w:t>صلى‌الله‌عليه‌وآله</w:t>
      </w:r>
      <w:r w:rsidRPr="005D642E">
        <w:rPr>
          <w:rtl/>
          <w:lang w:bidi="fa-IR"/>
        </w:rPr>
        <w:t xml:space="preserve"> قَوْماً خَلْفَ جَنَازَةٍ رُكْبَاناً </w:t>
      </w:r>
      <w:r w:rsidRPr="007C12DB">
        <w:rPr>
          <w:rStyle w:val="libFootnotenumChar"/>
          <w:rtl/>
        </w:rPr>
        <w:t>(2)</w:t>
      </w:r>
      <w:r w:rsidRPr="005D642E">
        <w:rPr>
          <w:rtl/>
          <w:lang w:bidi="fa-IR"/>
        </w:rPr>
        <w:t xml:space="preserve"> ، فَقَالَ :</w:t>
      </w:r>
      <w:r>
        <w:rPr>
          <w:rFonts w:hint="cs"/>
          <w:rtl/>
          <w:lang w:bidi="fa-IR"/>
        </w:rPr>
        <w:t xml:space="preserve"> </w:t>
      </w:r>
      <w:r w:rsidRPr="005D642E">
        <w:rPr>
          <w:rtl/>
          <w:lang w:bidi="fa-IR"/>
        </w:rPr>
        <w:t xml:space="preserve">مَا </w:t>
      </w:r>
      <w:r w:rsidRPr="007C12DB">
        <w:rPr>
          <w:rStyle w:val="libFootnotenumChar"/>
          <w:rtl/>
        </w:rPr>
        <w:t>(3)</w:t>
      </w:r>
      <w:r w:rsidRPr="005D642E">
        <w:rPr>
          <w:rtl/>
          <w:lang w:bidi="fa-IR"/>
        </w:rPr>
        <w:t xml:space="preserve"> اسْتَحْيَا هؤُلَاءِ أَنْ يَتْبَعُوا صَاحِبَهُمْ رُكْبَاناً </w:t>
      </w:r>
      <w:r w:rsidRPr="007C12DB">
        <w:rPr>
          <w:rStyle w:val="libFootnotenumChar"/>
          <w:rtl/>
        </w:rPr>
        <w:t>(4)</w:t>
      </w:r>
      <w:r w:rsidRPr="005D642E">
        <w:rPr>
          <w:rtl/>
          <w:lang w:bidi="fa-IR"/>
        </w:rPr>
        <w:t xml:space="preserve"> وَقَدْ أَسْلَمُوهُ </w:t>
      </w:r>
      <w:r w:rsidRPr="007C12DB">
        <w:rPr>
          <w:rStyle w:val="libFootnotenumChar"/>
          <w:rtl/>
        </w:rPr>
        <w:t>(5)</w:t>
      </w:r>
      <w:r w:rsidRPr="005D642E">
        <w:rPr>
          <w:rtl/>
          <w:lang w:bidi="fa-IR"/>
        </w:rPr>
        <w:t xml:space="preserve"> عَلى هذِهِ الْحَالِ </w:t>
      </w:r>
      <w:r w:rsidRPr="007C12DB">
        <w:rPr>
          <w:rStyle w:val="libFootnotenumChar"/>
          <w:rtl/>
        </w:rPr>
        <w:t>(6)</w:t>
      </w:r>
      <w:r>
        <w:rPr>
          <w:rtl/>
          <w:lang w:bidi="fa-IR"/>
        </w:rPr>
        <w:t>؟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2102A2">
        <w:rPr>
          <w:rtl/>
        </w:rPr>
        <w:t>4456</w:t>
      </w:r>
      <w:r w:rsidRPr="00246318">
        <w:rPr>
          <w:rStyle w:val="libBold2Char"/>
          <w:rtl/>
        </w:rPr>
        <w:t xml:space="preserve"> / 2.</w:t>
      </w:r>
      <w:r w:rsidRPr="005D642E">
        <w:rPr>
          <w:rtl/>
          <w:lang w:bidi="fa-IR"/>
        </w:rPr>
        <w:t xml:space="preserve"> عَلِيٌّ </w:t>
      </w:r>
      <w:r w:rsidRPr="007C12DB">
        <w:rPr>
          <w:rStyle w:val="libFootnotenumChar"/>
          <w:rtl/>
        </w:rPr>
        <w:t>(8)</w:t>
      </w:r>
      <w:r w:rsidRPr="005D642E">
        <w:rPr>
          <w:rtl/>
          <w:lang w:bidi="fa-IR"/>
        </w:rPr>
        <w:t xml:space="preserve"> ، عَنْ أَبِيهِ ، عَنْ حَمَّادِ بْنِ عِيسى ، عَنْ حَرِيزٍ ، عَنْ عَبْدِ الرَّحْمنِ بْنِ أَبِي عَبْدِ اللهِ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w:t>
      </w:r>
      <w:r w:rsidRPr="007C12DB">
        <w:rPr>
          <w:rStyle w:val="libFootnotenumChar"/>
          <w:rtl/>
        </w:rPr>
        <w:t>(9)</w:t>
      </w:r>
      <w:r w:rsidRPr="005D642E">
        <w:rPr>
          <w:rtl/>
          <w:lang w:bidi="fa-IR"/>
        </w:rPr>
        <w:t xml:space="preserve"> ، قَالَ : « مَاتَ رَجُلٌ مِنَ الْأَنْصَارِ مِنْ أَصْحَابِ رَسُولِ اللهِ </w:t>
      </w:r>
      <w:r w:rsidR="0042621E" w:rsidRPr="0042621E">
        <w:rPr>
          <w:rStyle w:val="libAlaemChar"/>
          <w:rtl/>
        </w:rPr>
        <w:t>صلى‌الله‌عليه‌وآله</w:t>
      </w:r>
      <w:r w:rsidRPr="005D642E">
        <w:rPr>
          <w:rtl/>
          <w:lang w:bidi="fa-IR"/>
        </w:rPr>
        <w:t xml:space="preserve"> ، فَخَرَجَ رَسُولُ اللهِ </w:t>
      </w:r>
      <w:r w:rsidR="0042621E" w:rsidRPr="0042621E">
        <w:rPr>
          <w:rStyle w:val="libAlaemChar"/>
          <w:rtl/>
        </w:rPr>
        <w:t>صلى‌الله‌عليه‌وآله</w:t>
      </w:r>
      <w:r w:rsidRPr="005D642E">
        <w:rPr>
          <w:rtl/>
          <w:lang w:bidi="fa-IR"/>
        </w:rPr>
        <w:t xml:space="preserve"> فِي </w:t>
      </w:r>
      <w:r w:rsidRPr="007C12DB">
        <w:rPr>
          <w:rStyle w:val="libFootnotenumChar"/>
          <w:rtl/>
        </w:rPr>
        <w:t>(10)</w:t>
      </w:r>
      <w:r w:rsidRPr="005D642E">
        <w:rPr>
          <w:rtl/>
          <w:lang w:bidi="fa-IR"/>
        </w:rPr>
        <w:t xml:space="preserve"> جَنَازَتِهِ يَمْشِي ، فَقَا</w:t>
      </w:r>
      <w:r>
        <w:rPr>
          <w:rtl/>
          <w:lang w:bidi="fa-IR"/>
        </w:rPr>
        <w:t>لَ لَهُ بَعْضُ أَصْحَابِهِ : أَ</w:t>
      </w:r>
      <w:r w:rsidRPr="005D642E">
        <w:rPr>
          <w:rtl/>
          <w:lang w:bidi="fa-IR"/>
        </w:rPr>
        <w:t>لَاتَرْكَبُ‌</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ومرآة العقول : « كراهة</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بح ، بخ ، بس ، جن » : « ركاباً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التي </w:t>
      </w:r>
      <w:r w:rsidR="00E3253D" w:rsidRPr="00866C73">
        <w:rPr>
          <w:rtl/>
        </w:rPr>
        <w:t xml:space="preserve">قوبلت </w:t>
      </w:r>
      <w:r w:rsidR="000D749A" w:rsidRPr="00866C73">
        <w:rPr>
          <w:rtl/>
        </w:rPr>
        <w:t>والوافي</w:t>
      </w:r>
      <w:r w:rsidR="00E3253D" w:rsidRPr="00866C73">
        <w:rPr>
          <w:rtl/>
        </w:rPr>
        <w:t xml:space="preserve"> والوسائل</w:t>
      </w:r>
      <w:r w:rsidR="00E3253D" w:rsidRPr="005D642E">
        <w:rPr>
          <w:rtl/>
        </w:rPr>
        <w:t>. وفي « بح ، جح » والمطبوع : « أما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بس » وحاشية « بخ » : « ركّاباً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جن » : « وقد أسلموا</w:t>
      </w:r>
      <w:r w:rsidR="00E3253D">
        <w:rPr>
          <w:rtl/>
        </w:rPr>
        <w:t xml:space="preserve"> ».</w:t>
      </w:r>
      <w:r w:rsidR="00E3253D" w:rsidRPr="005D642E">
        <w:rPr>
          <w:rtl/>
        </w:rPr>
        <w:t xml:space="preserve"> </w:t>
      </w:r>
      <w:r w:rsidR="00E3253D">
        <w:rPr>
          <w:rtl/>
        </w:rPr>
        <w:t>و «</w:t>
      </w:r>
      <w:r w:rsidR="00E3253D" w:rsidRPr="005D642E">
        <w:rPr>
          <w:rtl/>
        </w:rPr>
        <w:t xml:space="preserve"> أسلموه » ، أي خذلوه وتركوه ، قال الجوهري : أسلمه ، أي خذله. </w:t>
      </w:r>
      <w:r w:rsidR="00866C73">
        <w:rPr>
          <w:rtl/>
        </w:rPr>
        <w:t>كذلك معناه في الشروح. قال العل</w:t>
      </w:r>
      <w:r w:rsidR="00866C73">
        <w:rPr>
          <w:rFonts w:hint="cs"/>
          <w:rtl/>
        </w:rPr>
        <w:t>ّ</w:t>
      </w:r>
      <w:r w:rsidR="00866C73">
        <w:rPr>
          <w:rtl/>
        </w:rPr>
        <w:t>ا</w:t>
      </w:r>
      <w:r w:rsidR="00E3253D" w:rsidRPr="005D642E">
        <w:rPr>
          <w:rtl/>
        </w:rPr>
        <w:t>مة المجلسي بعد ذكر معناه : « أقول : الخذلان إمّا باعتبار أنّ هذا الفعل يدلّ على عدم الاعتبار بشأنه والإعراض عنه ، فهو استحقاق بشأن الميّت ، وإمّا لأنّ مشيهم موجب لمزيد ثوابهم وثواب الميّت بسبب ثوابهم ، فإذا تركوا الفعل الذي يوجب مزيد ثواب الميّت فقد خذلوه وتركوا نصرته في أحوج ما يكون إلى النصر</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5 ، ص 1952 ؛ </w:t>
      </w:r>
      <w:r w:rsidR="00E3253D" w:rsidRPr="002F4D34">
        <w:rPr>
          <w:rStyle w:val="libFootnoteBoldChar"/>
          <w:rtl/>
        </w:rPr>
        <w:t>مرآة العقول</w:t>
      </w:r>
      <w:r w:rsidR="00E3253D" w:rsidRPr="005D642E">
        <w:rPr>
          <w:rtl/>
        </w:rPr>
        <w:t xml:space="preserve"> ، ج 14 ، ص 15.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بث ، بخ ، بف » وحاشية « بح » </w:t>
      </w:r>
      <w:r w:rsidR="000D749A" w:rsidRPr="000D749A">
        <w:rPr>
          <w:rStyle w:val="libFootnoteBoldChar"/>
          <w:rtl/>
        </w:rPr>
        <w:t>والوافي</w:t>
      </w:r>
      <w:r w:rsidR="00E3253D" w:rsidRPr="005D642E">
        <w:rPr>
          <w:rtl/>
        </w:rPr>
        <w:t xml:space="preserve"> : « الحالة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405 ، ح 24332 ؛ </w:t>
      </w:r>
      <w:r w:rsidR="00E3253D" w:rsidRPr="002F4D34">
        <w:rPr>
          <w:rStyle w:val="libFootnoteBoldChar"/>
          <w:rtl/>
        </w:rPr>
        <w:t>الوسائل</w:t>
      </w:r>
      <w:r w:rsidR="00E3253D" w:rsidRPr="005D642E">
        <w:rPr>
          <w:rtl/>
        </w:rPr>
        <w:t xml:space="preserve"> ، ج 3 ، ص 152 ، ح 3264.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 « عنه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بف ، جح</w:t>
      </w:r>
      <w:r w:rsidR="00E3253D">
        <w:rPr>
          <w:rtl/>
        </w:rPr>
        <w:t xml:space="preserve"> ».</w:t>
      </w:r>
      <w:r w:rsidR="00E3253D" w:rsidRPr="005D642E">
        <w:rPr>
          <w:rtl/>
        </w:rPr>
        <w:t xml:space="preserve"> وفي « ظ ، ى ، بث ، بح ، بخ ، بس ، جس ، جن » والمطبوع :</w:t>
      </w:r>
      <w:r w:rsidR="00E3253D">
        <w:rPr>
          <w:rtl/>
        </w:rPr>
        <w:t xml:space="preserve"> </w:t>
      </w:r>
      <w:r w:rsidR="007642BC">
        <w:rPr>
          <w:rtl/>
        </w:rPr>
        <w:t>-</w:t>
      </w:r>
      <w:r w:rsidR="00E3253D">
        <w:rPr>
          <w:rtl/>
        </w:rPr>
        <w:t xml:space="preserve"> </w:t>
      </w:r>
      <w:r w:rsidR="00E3253D" w:rsidRPr="005D642E">
        <w:rPr>
          <w:rtl/>
        </w:rPr>
        <w:t xml:space="preserve">« عن أبي عبدالله </w:t>
      </w:r>
      <w:r w:rsidR="00E3253D" w:rsidRPr="00866C73">
        <w:rPr>
          <w:rStyle w:val="libFootnoteAlaemChar"/>
          <w:rtl/>
        </w:rPr>
        <w:t>عليه‌السلام</w:t>
      </w:r>
      <w:r w:rsidR="00E3253D" w:rsidRPr="005D642E">
        <w:rPr>
          <w:rtl/>
        </w:rPr>
        <w:t xml:space="preserve"> » والصواب ما أثبتناه ؛ فقد أورد الشيخ الطوسي الخبر في </w:t>
      </w:r>
      <w:r w:rsidR="00E3253D" w:rsidRPr="002F4D34">
        <w:rPr>
          <w:rStyle w:val="libFootnoteBoldChar"/>
          <w:rtl/>
        </w:rPr>
        <w:t>التهذيب</w:t>
      </w:r>
      <w:r w:rsidR="00E3253D" w:rsidRPr="005D642E">
        <w:rPr>
          <w:rtl/>
        </w:rPr>
        <w:t xml:space="preserve"> ، ج 1 ، ص 312 ، ح 906 وسنده هكذا : « حمّاد ، عن حريز ، عن عبدالرحمن بن أبي عبدالله ، عن أبي عبدالله </w:t>
      </w:r>
      <w:r w:rsidR="00E3253D" w:rsidRPr="00866C73">
        <w:rPr>
          <w:rStyle w:val="libFootnoteAlaemChar"/>
          <w:rtl/>
        </w:rPr>
        <w:t>عليه‌السلام</w:t>
      </w:r>
      <w:r w:rsidR="00E3253D">
        <w:rPr>
          <w:rtl/>
        </w:rPr>
        <w:t xml:space="preserve"> ».</w:t>
      </w:r>
      <w:r w:rsidR="00E3253D" w:rsidRPr="005D642E">
        <w:rPr>
          <w:rtl/>
        </w:rPr>
        <w:t xml:space="preserve"> وقد أكثر عبدالرحمن بن أبي عبدالله من الرواية عن أبي عبدالله </w:t>
      </w:r>
      <w:r w:rsidR="00E3253D" w:rsidRPr="00866C73">
        <w:rPr>
          <w:rStyle w:val="libFootnoteAlaemChar"/>
          <w:rtl/>
        </w:rPr>
        <w:t>عليه‌السلام</w:t>
      </w:r>
      <w:r w:rsidR="00E3253D" w:rsidRPr="005D642E">
        <w:rPr>
          <w:rtl/>
        </w:rPr>
        <w:t xml:space="preserve">. راجع : </w:t>
      </w:r>
      <w:r w:rsidR="00E3253D" w:rsidRPr="002F4D34">
        <w:rPr>
          <w:rStyle w:val="libFootnoteBoldChar"/>
          <w:rtl/>
        </w:rPr>
        <w:t>معجم رجال الحديث</w:t>
      </w:r>
      <w:r w:rsidR="00E3253D" w:rsidRPr="005D642E">
        <w:rPr>
          <w:rtl/>
        </w:rPr>
        <w:t xml:space="preserve"> ، ج 9 ، ص 511</w:t>
      </w:r>
      <w:r w:rsidR="00E3253D">
        <w:rPr>
          <w:rtl/>
        </w:rPr>
        <w:t xml:space="preserve"> </w:t>
      </w:r>
      <w:r w:rsidR="007642BC">
        <w:rPr>
          <w:rtl/>
        </w:rPr>
        <w:t>-</w:t>
      </w:r>
      <w:r w:rsidR="00E3253D">
        <w:rPr>
          <w:rtl/>
        </w:rPr>
        <w:t xml:space="preserve"> </w:t>
      </w:r>
      <w:r w:rsidR="00E3253D" w:rsidRPr="005D642E">
        <w:rPr>
          <w:rtl/>
        </w:rPr>
        <w:t>515. والمقام</w:t>
      </w:r>
      <w:r w:rsidR="00E3253D">
        <w:rPr>
          <w:rtl/>
        </w:rPr>
        <w:t xml:space="preserve"> </w:t>
      </w:r>
      <w:r w:rsidR="007642BC">
        <w:rPr>
          <w:rtl/>
        </w:rPr>
        <w:t>-</w:t>
      </w:r>
      <w:r w:rsidR="00E3253D">
        <w:rPr>
          <w:rtl/>
        </w:rPr>
        <w:t xml:space="preserve"> </w:t>
      </w:r>
      <w:r w:rsidR="00E3253D" w:rsidRPr="005D642E">
        <w:rPr>
          <w:rtl/>
        </w:rPr>
        <w:t>كماترى</w:t>
      </w:r>
      <w:r w:rsidR="00E3253D">
        <w:rPr>
          <w:rtl/>
        </w:rPr>
        <w:t xml:space="preserve"> </w:t>
      </w:r>
      <w:r w:rsidR="007642BC">
        <w:rPr>
          <w:rtl/>
        </w:rPr>
        <w:t>-</w:t>
      </w:r>
      <w:r w:rsidR="00E3253D">
        <w:rPr>
          <w:rtl/>
        </w:rPr>
        <w:t xml:space="preserve"> </w:t>
      </w:r>
      <w:r w:rsidR="00E3253D" w:rsidRPr="005D642E">
        <w:rPr>
          <w:rtl/>
        </w:rPr>
        <w:t>من مظانّ السقط في السند ؛ لتكرار « أبي عبدالله » الموجب لجواز النظر المورِث للسقط.</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بخ ، بف » </w:t>
      </w:r>
      <w:r w:rsidR="000D749A" w:rsidRPr="000D749A">
        <w:rPr>
          <w:rStyle w:val="libFootnoteBoldChar"/>
          <w:rtl/>
        </w:rPr>
        <w:t>والوافي</w:t>
      </w:r>
      <w:r w:rsidR="00E3253D" w:rsidRPr="005D642E">
        <w:rPr>
          <w:rtl/>
        </w:rPr>
        <w:t xml:space="preserve"> : « إلى</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يَا رَسُولَ اللهِ</w:t>
      </w:r>
      <w:r>
        <w:rPr>
          <w:rtl/>
          <w:lang w:bidi="fa-IR"/>
        </w:rPr>
        <w:t>؟</w:t>
      </w:r>
      <w:r w:rsidRPr="005D642E">
        <w:rPr>
          <w:rtl/>
          <w:lang w:bidi="fa-IR"/>
        </w:rPr>
        <w:t xml:space="preserve"> فَقَالَ : إِنِّي لَأَكْرَهُ أَنْ أَرْكَبَ وَالْمَلَائِكَةُ يَمْشُونَ ، وَأَبى أَنْ يَرْكَبَ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380" w:name="_Toc344647337"/>
      <w:bookmarkStart w:id="381" w:name="_Toc462226851"/>
      <w:bookmarkStart w:id="382" w:name="_Toc40975960"/>
      <w:r w:rsidRPr="005D642E">
        <w:rPr>
          <w:rtl/>
          <w:lang w:bidi="fa-IR"/>
        </w:rPr>
        <w:t>42</w:t>
      </w:r>
      <w:r>
        <w:rPr>
          <w:rtl/>
          <w:lang w:bidi="fa-IR"/>
        </w:rPr>
        <w:t xml:space="preserve"> </w:t>
      </w:r>
      <w:r w:rsidR="007642BC">
        <w:rPr>
          <w:rtl/>
          <w:lang w:bidi="fa-IR"/>
        </w:rPr>
        <w:t>-</w:t>
      </w:r>
      <w:r>
        <w:rPr>
          <w:rtl/>
          <w:lang w:bidi="fa-IR"/>
        </w:rPr>
        <w:t xml:space="preserve"> </w:t>
      </w:r>
      <w:r w:rsidRPr="005D642E">
        <w:rPr>
          <w:rtl/>
          <w:lang w:bidi="fa-IR"/>
        </w:rPr>
        <w:t xml:space="preserve">بَابُ مَنْ يَتْبَعُ </w:t>
      </w:r>
      <w:r w:rsidRPr="007C12DB">
        <w:rPr>
          <w:rStyle w:val="libFootnotenumChar"/>
          <w:rtl/>
        </w:rPr>
        <w:t>(3)</w:t>
      </w:r>
      <w:r>
        <w:rPr>
          <w:rtl/>
        </w:rPr>
        <w:t xml:space="preserve"> </w:t>
      </w:r>
      <w:r w:rsidRPr="005D642E">
        <w:rPr>
          <w:rtl/>
          <w:lang w:bidi="fa-IR"/>
        </w:rPr>
        <w:t xml:space="preserve">جَنَازَةً </w:t>
      </w:r>
      <w:r w:rsidRPr="007C12DB">
        <w:rPr>
          <w:rStyle w:val="libFootnotenumChar"/>
          <w:rtl/>
        </w:rPr>
        <w:t>(4)</w:t>
      </w:r>
      <w:r>
        <w:rPr>
          <w:rtl/>
        </w:rPr>
        <w:t xml:space="preserve"> </w:t>
      </w:r>
      <w:r w:rsidRPr="005D642E">
        <w:rPr>
          <w:rtl/>
          <w:lang w:bidi="fa-IR"/>
        </w:rPr>
        <w:t>ثُمَّ يَرْجِعُ‌</w:t>
      </w:r>
      <w:bookmarkEnd w:id="380"/>
      <w:bookmarkEnd w:id="381"/>
      <w:bookmarkEnd w:id="382"/>
    </w:p>
    <w:p w:rsidR="00E3253D" w:rsidRPr="005D642E" w:rsidRDefault="00E3253D" w:rsidP="00E3253D">
      <w:pPr>
        <w:pStyle w:val="libNormal"/>
        <w:rPr>
          <w:rtl/>
          <w:lang w:bidi="fa-IR"/>
        </w:rPr>
      </w:pPr>
      <w:r w:rsidRPr="002102A2">
        <w:rPr>
          <w:rtl/>
        </w:rPr>
        <w:t>4457</w:t>
      </w:r>
      <w:r w:rsidRPr="00246318">
        <w:rPr>
          <w:rStyle w:val="libBold2Char"/>
          <w:rtl/>
        </w:rPr>
        <w:t xml:space="preserve"> / 1.</w:t>
      </w:r>
      <w:r w:rsidRPr="005D642E">
        <w:rPr>
          <w:rtl/>
          <w:lang w:bidi="fa-IR"/>
        </w:rPr>
        <w:t xml:space="preserve"> عِدَّةٌ مِنْ أَصْحَابِنَا ، عَنْ سَهْلِ بْنِ زِيَادٍ ، عَنِ الْحَسَنِ بْنِ مَحْبُوبٍ ، عَنْ عَلِيِّ بْنِ رِئَابٍ ، عَنْ زُرَارَةَ ، قَالَ :</w:t>
      </w:r>
    </w:p>
    <w:p w:rsidR="00E3253D" w:rsidRPr="005D642E" w:rsidRDefault="00E3253D" w:rsidP="00E3253D">
      <w:pPr>
        <w:pStyle w:val="libNormal"/>
        <w:rPr>
          <w:rtl/>
          <w:lang w:bidi="fa-IR"/>
        </w:rPr>
      </w:pPr>
      <w:r w:rsidRPr="005D642E">
        <w:rPr>
          <w:rtl/>
          <w:lang w:bidi="fa-IR"/>
        </w:rPr>
        <w:t xml:space="preserve">كُنْتُ مَعَ أَبِي جَعْفَرٍ </w:t>
      </w:r>
      <w:r w:rsidRPr="00AC51C5">
        <w:rPr>
          <w:rStyle w:val="libAlaemChar"/>
          <w:rtl/>
        </w:rPr>
        <w:t>عليه‌السلام</w:t>
      </w:r>
      <w:r w:rsidRPr="005D642E">
        <w:rPr>
          <w:rtl/>
          <w:lang w:bidi="fa-IR"/>
        </w:rPr>
        <w:t xml:space="preserve"> فِي جِنَازَةٍ لِبَعْضِ قَرَابَتِهِ ، فَلَمَّا أَنْ صَلّى عَلَى الْمَيِّتِ ، قَالَ وَلِيُّهُ لِأَبِي جَعْفَرٍ </w:t>
      </w:r>
      <w:r w:rsidRPr="00AC51C5">
        <w:rPr>
          <w:rStyle w:val="libAlaemChar"/>
          <w:rtl/>
        </w:rPr>
        <w:t>عليه‌السلام</w:t>
      </w:r>
      <w:r w:rsidRPr="005D642E">
        <w:rPr>
          <w:rtl/>
          <w:lang w:bidi="fa-IR"/>
        </w:rPr>
        <w:t xml:space="preserve"> : ارْجِعْ يَا أَبَا جَعْفَرٍ </w:t>
      </w:r>
      <w:r w:rsidRPr="007C12DB">
        <w:rPr>
          <w:rStyle w:val="libFootnotenumChar"/>
          <w:rtl/>
        </w:rPr>
        <w:t>(5)</w:t>
      </w:r>
      <w:r w:rsidRPr="005D642E">
        <w:rPr>
          <w:rtl/>
          <w:lang w:bidi="fa-IR"/>
        </w:rPr>
        <w:t xml:space="preserve"> مَأْجُوراً ، وَلَاتَعَنّى </w:t>
      </w:r>
      <w:r w:rsidRPr="007C12DB">
        <w:rPr>
          <w:rStyle w:val="libFootnotenumChar"/>
          <w:rtl/>
        </w:rPr>
        <w:t>(6)</w:t>
      </w:r>
      <w:r w:rsidRPr="005D642E">
        <w:rPr>
          <w:rtl/>
          <w:lang w:bidi="fa-IR"/>
        </w:rPr>
        <w:t xml:space="preserve"> ؛ لِأَنَّكَ </w:t>
      </w:r>
      <w:r w:rsidRPr="007C12DB">
        <w:rPr>
          <w:rStyle w:val="libFootnotenumChar"/>
          <w:rtl/>
        </w:rPr>
        <w:t>(7)</w:t>
      </w:r>
      <w:r w:rsidRPr="005D642E">
        <w:rPr>
          <w:rtl/>
          <w:lang w:bidi="fa-IR"/>
        </w:rPr>
        <w:t xml:space="preserve"> تَضْعُفُ </w:t>
      </w:r>
      <w:r w:rsidRPr="007C12DB">
        <w:rPr>
          <w:rStyle w:val="libFootnotenumChar"/>
          <w:rtl/>
        </w:rPr>
        <w:t>(8)</w:t>
      </w:r>
      <w:r w:rsidRPr="005D642E">
        <w:rPr>
          <w:rtl/>
          <w:lang w:bidi="fa-IR"/>
        </w:rPr>
        <w:t xml:space="preserve"> عَنِ الْمَشْيِ ، فَقُلْتُ أَنَا لِأَبِي جَعْفَرٍ </w:t>
      </w:r>
      <w:r w:rsidRPr="00AC51C5">
        <w:rPr>
          <w:rStyle w:val="libAlaemChar"/>
          <w:rtl/>
        </w:rPr>
        <w:t>عليه‌السلام</w:t>
      </w:r>
      <w:r w:rsidRPr="005D642E">
        <w:rPr>
          <w:rtl/>
          <w:lang w:bidi="fa-IR"/>
        </w:rPr>
        <w:t xml:space="preserve"> : قَدْ أَذِنَ لَكَ فِي الرُّجُوعِ ، فَارْجِعْ وَلِي حَاجَةٌ أُرِيدُ أَنْ أَسْأَلَكَ عَنْهَا.</w:t>
      </w:r>
    </w:p>
    <w:p w:rsidR="00E3253D" w:rsidRPr="005D642E" w:rsidRDefault="00E3253D" w:rsidP="00E3253D">
      <w:pPr>
        <w:pStyle w:val="libNormal"/>
        <w:rPr>
          <w:rtl/>
          <w:lang w:bidi="fa-IR"/>
        </w:rPr>
      </w:pPr>
      <w:r w:rsidRPr="005D642E">
        <w:rPr>
          <w:rtl/>
          <w:lang w:bidi="fa-IR"/>
        </w:rPr>
        <w:t xml:space="preserve">فَقَالَ لِي </w:t>
      </w:r>
      <w:r w:rsidRPr="007C12DB">
        <w:rPr>
          <w:rStyle w:val="libFootnotenumChar"/>
          <w:rtl/>
        </w:rPr>
        <w:t>(9)</w:t>
      </w:r>
      <w:r w:rsidRPr="005D642E">
        <w:rPr>
          <w:rtl/>
          <w:lang w:bidi="fa-IR"/>
        </w:rPr>
        <w:t xml:space="preserve"> أَبُو جَعْفَرٍ </w:t>
      </w:r>
      <w:r w:rsidRPr="00AC51C5">
        <w:rPr>
          <w:rStyle w:val="libAlaemChar"/>
          <w:rtl/>
        </w:rPr>
        <w:t>عليه‌السلام</w:t>
      </w:r>
      <w:r w:rsidRPr="005D642E">
        <w:rPr>
          <w:rtl/>
          <w:lang w:bidi="fa-IR"/>
        </w:rPr>
        <w:t xml:space="preserve"> : « إِنَّمَا هُوَ فَضْلٌ وَأَجْرٌ ، فَبِقَدْرِ مَا يَمْشِي </w:t>
      </w:r>
      <w:r w:rsidRPr="007C12DB">
        <w:rPr>
          <w:rStyle w:val="libFootnotenumChar"/>
          <w:rtl/>
        </w:rPr>
        <w:t>(10)</w:t>
      </w:r>
      <w:r w:rsidRPr="005D642E">
        <w:rPr>
          <w:rtl/>
          <w:lang w:bidi="fa-IR"/>
        </w:rPr>
        <w:t xml:space="preserve"> مَعَ الْجَنَازَةِ يُؤْجَرُ الَّذِي يَتْبَعُهَا ، فَأَمَّا بِإِذْنِهِ ، فَلَيْسَ بِإِذْنِهِ </w:t>
      </w:r>
      <w:r w:rsidRPr="007C12DB">
        <w:rPr>
          <w:rStyle w:val="libFootnotenumChar"/>
          <w:rtl/>
        </w:rPr>
        <w:t>(11)</w:t>
      </w:r>
      <w:r w:rsidRPr="005D642E">
        <w:rPr>
          <w:rtl/>
          <w:lang w:bidi="fa-IR"/>
        </w:rPr>
        <w:t xml:space="preserve"> جِئْنَا ، وَلَابِإِذْنِهِ نَرْجِعُ</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w:t>
      </w:r>
      <w:r w:rsidR="00E3253D">
        <w:rPr>
          <w:rtl/>
        </w:rPr>
        <w:t xml:space="preserve"> </w:t>
      </w:r>
      <w:r w:rsidR="007642BC">
        <w:rPr>
          <w:rtl/>
        </w:rPr>
        <w:t>-</w:t>
      </w:r>
      <w:r w:rsidR="00E3253D">
        <w:rPr>
          <w:rtl/>
        </w:rPr>
        <w:t xml:space="preserve"> </w:t>
      </w:r>
      <w:r w:rsidR="00E3253D" w:rsidRPr="005D642E">
        <w:rPr>
          <w:rtl/>
        </w:rPr>
        <w:t>« وأبي أن يركب</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312 ، ح 906 ، معلّقاً عن حمّاد ، عن حريز ، عن عبدالرحمن بن أبي عبدالله ، عن أبي عبدالله </w:t>
      </w:r>
      <w:r w:rsidR="00E3253D" w:rsidRPr="00866C73">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192 ، ح 558 ، مرسلاً ، مع اختلاف يسير </w:t>
      </w:r>
      <w:r w:rsidR="00866C73">
        <w:rPr>
          <w:rFonts w:hint="cs"/>
          <w:rtl/>
        </w:rPr>
        <w:t>.</w:t>
      </w:r>
      <w:r w:rsidR="00E3253D" w:rsidRPr="002F4D34">
        <w:rPr>
          <w:rStyle w:val="libFootnoteBoldChar"/>
          <w:rtl/>
        </w:rPr>
        <w:t>الوافي</w:t>
      </w:r>
      <w:r w:rsidR="00E3253D" w:rsidRPr="005D642E">
        <w:rPr>
          <w:rtl/>
        </w:rPr>
        <w:t xml:space="preserve"> ، ج 24 ، ص 404 ، ح 24331 ؛ </w:t>
      </w:r>
      <w:r w:rsidR="00E3253D" w:rsidRPr="002F4D34">
        <w:rPr>
          <w:rStyle w:val="libFootnoteBoldChar"/>
          <w:rtl/>
        </w:rPr>
        <w:t>الوسائل</w:t>
      </w:r>
      <w:r w:rsidR="00E3253D" w:rsidRPr="005D642E">
        <w:rPr>
          <w:rtl/>
        </w:rPr>
        <w:t xml:space="preserve"> ، ج 3 ، ص 152 ، ذيل ح 3262.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بخ » : « تبع</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الجنازة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 « يا باجعفر</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لاتعنّى » ، أي لاتتعب ولا تنصب ، م</w:t>
      </w:r>
      <w:r w:rsidR="00866C73">
        <w:rPr>
          <w:rtl/>
        </w:rPr>
        <w:t>ن العناء بمعنى التعب. قال العل</w:t>
      </w:r>
      <w:r w:rsidR="00866C73">
        <w:rPr>
          <w:rFonts w:hint="cs"/>
          <w:rtl/>
        </w:rPr>
        <w:t>ّ</w:t>
      </w:r>
      <w:r w:rsidR="00866C73">
        <w:rPr>
          <w:rtl/>
        </w:rPr>
        <w:t>ا</w:t>
      </w:r>
      <w:r w:rsidR="00E3253D" w:rsidRPr="005D642E">
        <w:rPr>
          <w:rtl/>
        </w:rPr>
        <w:t xml:space="preserve">مة المجلسي : « قوله </w:t>
      </w:r>
      <w:r w:rsidR="00E3253D" w:rsidRPr="00866C73">
        <w:rPr>
          <w:rStyle w:val="libFootnoteAlaemChar"/>
          <w:rtl/>
        </w:rPr>
        <w:t>عليه‌السلام</w:t>
      </w:r>
      <w:r w:rsidR="00E3253D" w:rsidRPr="005D642E">
        <w:rPr>
          <w:rtl/>
        </w:rPr>
        <w:t xml:space="preserve"> : ولا تعنّى ، بحذف تاء الخطاب نفي في معنى النهي</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6 ، ص 2440 ؛ </w:t>
      </w:r>
      <w:r w:rsidR="00E3253D" w:rsidRPr="002F4D34">
        <w:rPr>
          <w:rStyle w:val="libFootnoteBoldChar"/>
          <w:rtl/>
        </w:rPr>
        <w:t>القاموس المحيط</w:t>
      </w:r>
      <w:r w:rsidR="00E3253D" w:rsidRPr="005D642E">
        <w:rPr>
          <w:rtl/>
        </w:rPr>
        <w:t xml:space="preserve"> ، ج 2 ، ص 1724 ( عنا ) ؛ </w:t>
      </w:r>
      <w:r w:rsidR="00E3253D" w:rsidRPr="002F4D34">
        <w:rPr>
          <w:rStyle w:val="libFootnoteBoldChar"/>
          <w:rtl/>
        </w:rPr>
        <w:t>مرآة العقول</w:t>
      </w:r>
      <w:r w:rsidR="00E3253D" w:rsidRPr="005D642E">
        <w:rPr>
          <w:rtl/>
        </w:rPr>
        <w:t xml:space="preserve"> ، ج 14 ، ص 17.</w:t>
      </w:r>
    </w:p>
    <w:tbl>
      <w:tblPr>
        <w:tblStyle w:val="TableGrid"/>
        <w:bidiVisual/>
        <w:tblW w:w="0" w:type="auto"/>
        <w:tblLook w:val="04A0" w:firstRow="1" w:lastRow="0" w:firstColumn="1" w:lastColumn="0" w:noHBand="0" w:noVBand="1"/>
      </w:tblPr>
      <w:tblGrid>
        <w:gridCol w:w="4006"/>
        <w:gridCol w:w="4006"/>
      </w:tblGrid>
      <w:tr w:rsidR="00866C73" w:rsidTr="00866C73">
        <w:tc>
          <w:tcPr>
            <w:tcW w:w="4006" w:type="dxa"/>
          </w:tcPr>
          <w:p w:rsidR="00866C73" w:rsidRDefault="00866C73" w:rsidP="00E3253D">
            <w:pPr>
              <w:pStyle w:val="libFootnote0"/>
              <w:rPr>
                <w:rStyle w:val="libFootnote0Char"/>
                <w:rtl/>
              </w:rPr>
            </w:pPr>
            <w:r w:rsidRPr="0042621E">
              <w:rPr>
                <w:rStyle w:val="libFootnote0Char"/>
                <w:rtl/>
              </w:rPr>
              <w:t>(7).</w:t>
            </w:r>
            <w:r>
              <w:rPr>
                <w:rtl/>
              </w:rPr>
              <w:t xml:space="preserve"> في «غ ، بث ، بخ ، بف</w:t>
            </w:r>
            <w:r w:rsidRPr="005D642E">
              <w:rPr>
                <w:rtl/>
              </w:rPr>
              <w:t xml:space="preserve">» </w:t>
            </w:r>
            <w:r w:rsidRPr="000D749A">
              <w:rPr>
                <w:rStyle w:val="libFootnoteBoldChar"/>
                <w:rtl/>
              </w:rPr>
              <w:t>والوافي</w:t>
            </w:r>
            <w:r w:rsidRPr="005D642E">
              <w:rPr>
                <w:rtl/>
              </w:rPr>
              <w:t>: « فإنّك</w:t>
            </w:r>
            <w:r>
              <w:rPr>
                <w:rtl/>
              </w:rPr>
              <w:t xml:space="preserve"> ».</w:t>
            </w:r>
          </w:p>
        </w:tc>
        <w:tc>
          <w:tcPr>
            <w:tcW w:w="4006" w:type="dxa"/>
          </w:tcPr>
          <w:p w:rsidR="00866C73" w:rsidRDefault="00866C73" w:rsidP="00E3253D">
            <w:pPr>
              <w:pStyle w:val="libFootnote0"/>
              <w:rPr>
                <w:rStyle w:val="libFootnote0Char"/>
                <w:rtl/>
              </w:rPr>
            </w:pPr>
            <w:r w:rsidRPr="0042621E">
              <w:rPr>
                <w:rStyle w:val="libFootnote0Char"/>
                <w:rtl/>
              </w:rPr>
              <w:t>(8).</w:t>
            </w:r>
            <w:r w:rsidRPr="005D642E">
              <w:rPr>
                <w:rtl/>
              </w:rPr>
              <w:t xml:space="preserve"> في حاشية « جن » : « ضعيف</w:t>
            </w:r>
            <w:r>
              <w:rPr>
                <w:rtl/>
              </w:rPr>
              <w:t xml:space="preserve"> ».</w:t>
            </w:r>
          </w:p>
        </w:tc>
      </w:tr>
      <w:tr w:rsidR="00866C73" w:rsidTr="00866C73">
        <w:tc>
          <w:tcPr>
            <w:tcW w:w="4006" w:type="dxa"/>
          </w:tcPr>
          <w:p w:rsidR="00866C73" w:rsidRDefault="00866C73" w:rsidP="00E3253D">
            <w:pPr>
              <w:pStyle w:val="libFootnote0"/>
              <w:rPr>
                <w:rStyle w:val="libFootnote0Char"/>
                <w:rtl/>
              </w:rPr>
            </w:pPr>
            <w:r w:rsidRPr="0042621E">
              <w:rPr>
                <w:rStyle w:val="libFootnote0Char"/>
                <w:rtl/>
              </w:rPr>
              <w:t>(9).</w:t>
            </w:r>
            <w:r w:rsidRPr="005D642E">
              <w:rPr>
                <w:rtl/>
              </w:rPr>
              <w:t xml:space="preserve"> في « جس » :</w:t>
            </w:r>
            <w:r>
              <w:rPr>
                <w:rtl/>
              </w:rPr>
              <w:t xml:space="preserve"> - </w:t>
            </w:r>
            <w:r w:rsidRPr="005D642E">
              <w:rPr>
                <w:rtl/>
              </w:rPr>
              <w:t>« لي</w:t>
            </w:r>
            <w:r>
              <w:rPr>
                <w:rtl/>
              </w:rPr>
              <w:t xml:space="preserve"> ».</w:t>
            </w:r>
          </w:p>
        </w:tc>
        <w:tc>
          <w:tcPr>
            <w:tcW w:w="4006" w:type="dxa"/>
          </w:tcPr>
          <w:p w:rsidR="00866C73" w:rsidRDefault="00866C73" w:rsidP="00E3253D">
            <w:pPr>
              <w:pStyle w:val="libFootnote0"/>
              <w:rPr>
                <w:rStyle w:val="libFootnote0Char"/>
                <w:rtl/>
              </w:rPr>
            </w:pPr>
            <w:r w:rsidRPr="0042621E">
              <w:rPr>
                <w:rStyle w:val="libFootnote0Char"/>
                <w:rtl/>
              </w:rPr>
              <w:t>(10).</w:t>
            </w:r>
            <w:r w:rsidRPr="005D642E">
              <w:rPr>
                <w:rtl/>
              </w:rPr>
              <w:t xml:space="preserve"> في « بث » : « ما تمشي</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فليس بإذنه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الوافي</w:t>
      </w:r>
      <w:r w:rsidR="00E3253D" w:rsidRPr="005D642E">
        <w:rPr>
          <w:rtl/>
        </w:rPr>
        <w:t xml:space="preserve"> ، ج 24 ، ص 406 ، ح 24335 ؛ </w:t>
      </w:r>
      <w:r w:rsidR="00E3253D" w:rsidRPr="002F4D34">
        <w:rPr>
          <w:rStyle w:val="libFootnoteBoldChar"/>
          <w:rtl/>
        </w:rPr>
        <w:t>الوسائل</w:t>
      </w:r>
      <w:r w:rsidR="00E3253D" w:rsidRPr="005D642E">
        <w:rPr>
          <w:rtl/>
        </w:rPr>
        <w:t xml:space="preserve"> ، ج 3 ، ص 146 ، ح 3246 ؛ </w:t>
      </w:r>
      <w:r w:rsidR="00E3253D" w:rsidRPr="002F4D34">
        <w:rPr>
          <w:rStyle w:val="libFootnoteBoldChar"/>
          <w:rtl/>
        </w:rPr>
        <w:t>البحار</w:t>
      </w:r>
      <w:r w:rsidR="00E3253D" w:rsidRPr="005D642E">
        <w:rPr>
          <w:rtl/>
        </w:rPr>
        <w:t xml:space="preserve"> ، ج 81 ، ص 261.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102A2">
        <w:rPr>
          <w:rtl/>
        </w:rPr>
        <w:t>4458</w:t>
      </w:r>
      <w:r w:rsidRPr="00246318">
        <w:rPr>
          <w:rStyle w:val="libBold2Char"/>
          <w:rtl/>
        </w:rPr>
        <w:t xml:space="preserve"> / 2.</w:t>
      </w:r>
      <w:r w:rsidRPr="005D642E">
        <w:rPr>
          <w:rtl/>
          <w:lang w:bidi="fa-IR"/>
        </w:rPr>
        <w:t xml:space="preserve"> عِدَّةٌ مِنْ أَصْحَابِنَا ، عَنْ أَحْمَدَ بْنِ أَبِي عَبْدِ اللهِ </w:t>
      </w:r>
      <w:r w:rsidRPr="007C12DB">
        <w:rPr>
          <w:rStyle w:val="libFootnotenumChar"/>
          <w:rtl/>
        </w:rPr>
        <w:t>(1)</w:t>
      </w:r>
      <w:r w:rsidRPr="005D642E">
        <w:rPr>
          <w:rtl/>
          <w:lang w:bidi="fa-IR"/>
        </w:rPr>
        <w:t xml:space="preserve"> رَفَعَهُ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أَمِيرَانِ وَلَيْسَا بِأَمِيرَيْنِ </w:t>
      </w:r>
      <w:r w:rsidRPr="007C12DB">
        <w:rPr>
          <w:rStyle w:val="libFootnotenumChar"/>
          <w:rtl/>
        </w:rPr>
        <w:t>(2)</w:t>
      </w:r>
      <w:r w:rsidRPr="005D642E">
        <w:rPr>
          <w:rtl/>
          <w:lang w:bidi="fa-IR"/>
        </w:rPr>
        <w:t xml:space="preserve"> : لَيْسَ لِمَنْ تَبِعَ </w:t>
      </w:r>
      <w:r w:rsidRPr="007C12DB">
        <w:rPr>
          <w:rStyle w:val="libFootnotenumChar"/>
          <w:rtl/>
        </w:rPr>
        <w:t>(3)</w:t>
      </w:r>
      <w:r w:rsidRPr="005D642E">
        <w:rPr>
          <w:rtl/>
          <w:lang w:bidi="fa-IR"/>
        </w:rPr>
        <w:t xml:space="preserve"> جَنَازَةً أَنْ يَرْجِعَ حَتّى يُدْفَنَ </w:t>
      </w:r>
      <w:r w:rsidRPr="007C12DB">
        <w:rPr>
          <w:rStyle w:val="libFootnotenumChar"/>
          <w:rtl/>
        </w:rPr>
        <w:t>(4)</w:t>
      </w:r>
      <w:r w:rsidRPr="005D642E">
        <w:rPr>
          <w:rtl/>
          <w:lang w:bidi="fa-IR"/>
        </w:rPr>
        <w:t xml:space="preserve"> ، أَوْ يُؤْذَنَ لَهُ ؛ وَرَجُلٌ يَحُجُّ مَعَ امْرَأَةٍ ، فَلَيْسَ لَهُ أَنْ يَنْفِرَ حَتّى تَقْضِيَ نُسُكَهَا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p>
    <w:p w:rsidR="00E3253D" w:rsidRPr="005D642E" w:rsidRDefault="00E3253D" w:rsidP="00E3253D">
      <w:pPr>
        <w:pStyle w:val="libNormal"/>
        <w:rPr>
          <w:rtl/>
          <w:lang w:bidi="fa-IR"/>
        </w:rPr>
      </w:pPr>
      <w:r w:rsidRPr="002102A2">
        <w:rPr>
          <w:rtl/>
        </w:rPr>
        <w:t>4459</w:t>
      </w:r>
      <w:r w:rsidRPr="00246318">
        <w:rPr>
          <w:rStyle w:val="libBold2Char"/>
          <w:rtl/>
        </w:rPr>
        <w:t xml:space="preserve"> / 3.</w:t>
      </w:r>
      <w:r w:rsidRPr="005D642E">
        <w:rPr>
          <w:rtl/>
          <w:lang w:bidi="fa-IR"/>
        </w:rPr>
        <w:t xml:space="preserve"> عَلِيُّ بْنُ إِبْرَاهِيمَ ، عَنْ أَبِيهِ ، عَنِ ابْنِ مَحْبُوبٍ ، عَنْ عَلِيِّ بْنِ رِئَابٍ ، عَنْ زُرَارَةَ ، قَالَ :</w:t>
      </w:r>
    </w:p>
    <w:p w:rsidR="00E3253D" w:rsidRPr="005D642E" w:rsidRDefault="00E3253D" w:rsidP="00E3253D">
      <w:pPr>
        <w:pStyle w:val="libNormal"/>
        <w:rPr>
          <w:rtl/>
          <w:lang w:bidi="fa-IR"/>
        </w:rPr>
      </w:pPr>
      <w:r w:rsidRPr="005D642E">
        <w:rPr>
          <w:rtl/>
          <w:lang w:bidi="fa-IR"/>
        </w:rPr>
        <w:t xml:space="preserve">حَضَرَ أَبُو جَعْفَرٍ </w:t>
      </w:r>
      <w:r w:rsidRPr="00AC51C5">
        <w:rPr>
          <w:rStyle w:val="libAlaemChar"/>
          <w:rtl/>
        </w:rPr>
        <w:t>عليه‌السلام</w:t>
      </w:r>
      <w:r w:rsidRPr="005D642E">
        <w:rPr>
          <w:rtl/>
          <w:lang w:bidi="fa-IR"/>
        </w:rPr>
        <w:t xml:space="preserve"> جِنَازَةَ رَجُلٍ مِنْ قُرَيْشٍ وَأَنَا مَعَهُ</w:t>
      </w:r>
      <w:r>
        <w:rPr>
          <w:rtl/>
          <w:lang w:bidi="fa-IR"/>
        </w:rPr>
        <w:t xml:space="preserve"> </w:t>
      </w:r>
      <w:r w:rsidR="007642BC">
        <w:rPr>
          <w:rtl/>
          <w:lang w:bidi="fa-IR"/>
        </w:rPr>
        <w:t>-</w:t>
      </w:r>
      <w:r>
        <w:rPr>
          <w:rtl/>
          <w:lang w:bidi="fa-IR"/>
        </w:rPr>
        <w:t xml:space="preserve"> </w:t>
      </w:r>
      <w:r w:rsidRPr="005D642E">
        <w:rPr>
          <w:rtl/>
          <w:lang w:bidi="fa-IR"/>
        </w:rPr>
        <w:t xml:space="preserve">وَكَانَ فِيهَا عَطَاءٌ </w:t>
      </w:r>
      <w:r w:rsidRPr="007C12DB">
        <w:rPr>
          <w:rStyle w:val="libFootnotenumChar"/>
          <w:rtl/>
        </w:rPr>
        <w:t>(7)</w:t>
      </w:r>
      <w:r>
        <w:rPr>
          <w:rtl/>
          <w:lang w:bidi="fa-IR"/>
        </w:rPr>
        <w:t xml:space="preserve"> </w:t>
      </w:r>
      <w:r w:rsidR="007642BC">
        <w:rPr>
          <w:rtl/>
          <w:lang w:bidi="fa-IR"/>
        </w:rPr>
        <w:t>-</w:t>
      </w:r>
      <w:r>
        <w:rPr>
          <w:rtl/>
          <w:lang w:bidi="fa-IR"/>
        </w:rPr>
        <w:t xml:space="preserve"> </w:t>
      </w:r>
      <w:r w:rsidRPr="005D642E">
        <w:rPr>
          <w:rtl/>
          <w:lang w:bidi="fa-IR"/>
        </w:rPr>
        <w:t xml:space="preserve">فَصَرَخَتْ </w:t>
      </w:r>
      <w:r w:rsidRPr="007C12DB">
        <w:rPr>
          <w:rStyle w:val="libFootnotenumChar"/>
          <w:rtl/>
        </w:rPr>
        <w:t>(8)</w:t>
      </w:r>
      <w:r w:rsidRPr="005D642E">
        <w:rPr>
          <w:rtl/>
          <w:lang w:bidi="fa-IR"/>
        </w:rPr>
        <w:t xml:space="preserve"> صَارِخَةٌ ، فَقَالَ عَطَاءٌ : لَتَسْكُتِنَّ </w:t>
      </w:r>
      <w:r w:rsidRPr="007C12DB">
        <w:rPr>
          <w:rStyle w:val="libFootnotenumChar"/>
          <w:rtl/>
        </w:rPr>
        <w:t>(9)</w:t>
      </w:r>
      <w:r w:rsidRPr="005D642E">
        <w:rPr>
          <w:rtl/>
          <w:lang w:bidi="fa-IR"/>
        </w:rPr>
        <w:t xml:space="preserve"> أَوْ لَنَرْجِعَنَّ ، قَالَ </w:t>
      </w:r>
      <w:r w:rsidRPr="007C12DB">
        <w:rPr>
          <w:rStyle w:val="libFootnotenumChar"/>
          <w:rtl/>
        </w:rPr>
        <w:t>(10)</w:t>
      </w:r>
      <w:r w:rsidRPr="005D642E">
        <w:rPr>
          <w:rtl/>
          <w:lang w:bidi="fa-IR"/>
        </w:rPr>
        <w:t xml:space="preserve"> : فَلَمْ تَسْكُتْ ، فَرَجَعَ عَطَاءٌ ، قَالَ :</w:t>
      </w:r>
      <w:r>
        <w:rPr>
          <w:rFonts w:hint="cs"/>
          <w:rtl/>
          <w:lang w:bidi="fa-IR"/>
        </w:rPr>
        <w:t xml:space="preserve"> </w:t>
      </w:r>
      <w:r w:rsidRPr="005D642E">
        <w:rPr>
          <w:rtl/>
          <w:lang w:bidi="fa-IR"/>
        </w:rPr>
        <w:t xml:space="preserve">فَقُلْتُ لِأَبِي جَعْفَرٍ </w:t>
      </w:r>
      <w:r w:rsidRPr="00AC51C5">
        <w:rPr>
          <w:rStyle w:val="libAlaemChar"/>
          <w:rtl/>
        </w:rPr>
        <w:t>عليه‌السلام</w:t>
      </w:r>
      <w:r w:rsidRPr="005D642E">
        <w:rPr>
          <w:rtl/>
          <w:lang w:bidi="fa-IR"/>
        </w:rPr>
        <w:t xml:space="preserve"> : إِنَّ عَطَاءً قَدْ رَجَعَ ، قَالَ : « وَلِمَ</w:t>
      </w:r>
      <w:r>
        <w:rPr>
          <w:rtl/>
          <w:lang w:bidi="fa-IR"/>
        </w:rPr>
        <w:t>؟</w:t>
      </w:r>
      <w:r w:rsidRPr="005D642E">
        <w:rPr>
          <w:rtl/>
          <w:lang w:bidi="fa-IR"/>
        </w:rPr>
        <w:t xml:space="preserve"> » قُلْتُ : صَرَخَتْ هذِهِ الصَّارِخَةُ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ظ ، غ ، بث ، بح ، بخ ، بس ، بف ، جح ، جس ، جن</w:t>
      </w:r>
      <w:r w:rsidR="00E3253D">
        <w:rPr>
          <w:rtl/>
        </w:rPr>
        <w:t xml:space="preserve"> ».</w:t>
      </w:r>
      <w:r w:rsidR="00E3253D" w:rsidRPr="005D642E">
        <w:rPr>
          <w:rtl/>
        </w:rPr>
        <w:t xml:space="preserve"> وفي « ى » والمطبوع : « أحمد بن محمّد بن أبي عبدالله » ، ووقوع السهو فيهما واضح.</w:t>
      </w:r>
    </w:p>
    <w:p w:rsidR="00E3253D" w:rsidRPr="005D642E" w:rsidRDefault="0042621E" w:rsidP="00F94EAB">
      <w:pPr>
        <w:pStyle w:val="libFootnote0"/>
        <w:rPr>
          <w:rtl/>
          <w:lang w:bidi="fa-IR"/>
        </w:rPr>
      </w:pPr>
      <w:r w:rsidRPr="0042621E">
        <w:rPr>
          <w:rStyle w:val="libFootnote0Char"/>
          <w:rtl/>
        </w:rPr>
        <w:t>(2).</w:t>
      </w:r>
      <w:r w:rsidR="00E3253D" w:rsidRPr="005D642E">
        <w:rPr>
          <w:rtl/>
        </w:rPr>
        <w:t xml:space="preserve"> في الوافي : « بأمرين</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F94EAB">
        <w:rPr>
          <w:rStyle w:val="libFootnoteAlaemChar"/>
          <w:rtl/>
        </w:rPr>
        <w:t>عليه‌السلام</w:t>
      </w:r>
      <w:r w:rsidR="00E3253D" w:rsidRPr="005D642E">
        <w:rPr>
          <w:rtl/>
        </w:rPr>
        <w:t xml:space="preserve"> : أميران إلخ ، أي يلزم إطاعة أمرهما ، وليسا بأميرين‌</w:t>
      </w:r>
      <w:r w:rsidR="00F94EAB">
        <w:rPr>
          <w:rFonts w:hint="cs"/>
          <w:rtl/>
        </w:rPr>
        <w:t xml:space="preserve"> </w:t>
      </w:r>
      <w:r w:rsidR="00E3253D" w:rsidRPr="005D642E">
        <w:rPr>
          <w:rtl/>
        </w:rPr>
        <w:t>منصوبين على الخصوص من قبل الإمام ، أو أميرين عامّين يلزم إطاعتهما في أكثر الا</w:t>
      </w:r>
      <w:r w:rsidR="00F94EAB">
        <w:rPr>
          <w:rFonts w:hint="cs"/>
          <w:rtl/>
        </w:rPr>
        <w:t>ُ</w:t>
      </w:r>
      <w:r w:rsidR="00E3253D" w:rsidRPr="005D642E">
        <w:rPr>
          <w:rtl/>
        </w:rPr>
        <w:t>مور. أقول : لا ينافي هذا الخبر ما سبق وما سيأتي ؛ إذ هذا الخبر يدلّ على جواز الرجوع أو زوال الكراهة بعد الإذن ، ولا ينافي أفضليّة عدم الرجوع ، كما يدلّ عليه الخبران</w:t>
      </w:r>
      <w:r w:rsidR="00E3253D">
        <w:rPr>
          <w:rtl/>
        </w:rPr>
        <w:t xml:space="preserve"> ».</w:t>
      </w:r>
      <w:r w:rsidR="00F94EAB">
        <w:rPr>
          <w:rFonts w:hint="cs"/>
          <w:rtl/>
        </w:rPr>
        <w:t xml:space="preserve">       </w:t>
      </w:r>
      <w:r w:rsidR="00312BD7">
        <w:rPr>
          <w:rFonts w:hint="cs"/>
          <w:rtl/>
        </w:rPr>
        <w:t xml:space="preserve">                               </w:t>
      </w:r>
      <w:r w:rsidR="00F94EAB">
        <w:rPr>
          <w:rFonts w:hint="cs"/>
          <w:rtl/>
        </w:rPr>
        <w:t xml:space="preserve">  </w:t>
      </w:r>
      <w:r w:rsidRPr="0042621E">
        <w:rPr>
          <w:rStyle w:val="libFootnote0Char"/>
          <w:rtl/>
        </w:rPr>
        <w:t>(3).</w:t>
      </w:r>
      <w:r w:rsidR="00E3253D" w:rsidRPr="005D642E">
        <w:rPr>
          <w:rtl/>
        </w:rPr>
        <w:t xml:space="preserve"> في « غ » : « لمن يتبع</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F94EAB" w:rsidTr="00F94EAB">
        <w:tc>
          <w:tcPr>
            <w:tcW w:w="4006" w:type="dxa"/>
          </w:tcPr>
          <w:p w:rsidR="00F94EAB" w:rsidRDefault="00F94EAB" w:rsidP="00E3253D">
            <w:pPr>
              <w:pStyle w:val="libFootnote0"/>
              <w:rPr>
                <w:rStyle w:val="libFootnote0Char"/>
                <w:rtl/>
              </w:rPr>
            </w:pPr>
            <w:r w:rsidRPr="0042621E">
              <w:rPr>
                <w:rStyle w:val="libFootnote0Char"/>
                <w:rtl/>
              </w:rPr>
              <w:t>(4).</w:t>
            </w:r>
            <w:r>
              <w:rPr>
                <w:rtl/>
              </w:rPr>
              <w:t xml:space="preserve"> في «بف</w:t>
            </w:r>
            <w:r w:rsidRPr="00F94EAB">
              <w:rPr>
                <w:rtl/>
              </w:rPr>
              <w:t>» والوافي والخصال</w:t>
            </w:r>
            <w:r>
              <w:rPr>
                <w:rtl/>
              </w:rPr>
              <w:t xml:space="preserve"> : «</w:t>
            </w:r>
            <w:r w:rsidRPr="005D642E">
              <w:rPr>
                <w:rtl/>
              </w:rPr>
              <w:t>حتّى تدفن</w:t>
            </w:r>
            <w:r>
              <w:rPr>
                <w:rtl/>
              </w:rPr>
              <w:t>».</w:t>
            </w:r>
          </w:p>
        </w:tc>
        <w:tc>
          <w:tcPr>
            <w:tcW w:w="4006" w:type="dxa"/>
          </w:tcPr>
          <w:p w:rsidR="00F94EAB" w:rsidRDefault="00F94EAB" w:rsidP="00E3253D">
            <w:pPr>
              <w:pStyle w:val="libFootnote0"/>
              <w:rPr>
                <w:rStyle w:val="libFootnote0Char"/>
                <w:rtl/>
              </w:rPr>
            </w:pPr>
            <w:r w:rsidRPr="0042621E">
              <w:rPr>
                <w:rStyle w:val="libFootnote0Char"/>
                <w:rtl/>
              </w:rPr>
              <w:t>(5).</w:t>
            </w:r>
            <w:r w:rsidRPr="005D642E">
              <w:rPr>
                <w:rtl/>
              </w:rPr>
              <w:t xml:space="preserve"> في « ى » وحاشية « غ » : « مناسكها</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الخصال</w:t>
      </w:r>
      <w:r w:rsidR="00E3253D" w:rsidRPr="005D642E">
        <w:rPr>
          <w:rtl/>
        </w:rPr>
        <w:t xml:space="preserve"> ، ص 49 ، باب الاثنين ، ح 58 ، وفيه بسنده : « عن أحمد بن محمّد بإسناده رفعه إلى أبي عبدالله </w:t>
      </w:r>
      <w:r w:rsidR="00E3253D" w:rsidRPr="00F94EAB">
        <w:rPr>
          <w:rStyle w:val="libFootnoteAlaemChar"/>
          <w:rtl/>
        </w:rPr>
        <w:t>عليه‌السلام</w:t>
      </w:r>
      <w:r w:rsidR="00E3253D">
        <w:rPr>
          <w:rtl/>
        </w:rPr>
        <w:t xml:space="preserve"> ..</w:t>
      </w:r>
      <w:r w:rsidR="00E3253D" w:rsidRPr="005D642E">
        <w:rPr>
          <w:rtl/>
        </w:rPr>
        <w:t xml:space="preserve">. » </w:t>
      </w:r>
      <w:r w:rsidR="00F94EAB">
        <w:rPr>
          <w:rFonts w:hint="cs"/>
          <w:rtl/>
        </w:rPr>
        <w:t>.</w:t>
      </w:r>
      <w:r w:rsidR="00E3253D" w:rsidRPr="002F4D34">
        <w:rPr>
          <w:rStyle w:val="libFootnoteBoldChar"/>
          <w:rtl/>
        </w:rPr>
        <w:t>الوافي</w:t>
      </w:r>
      <w:r w:rsidR="00E3253D" w:rsidRPr="005D642E">
        <w:rPr>
          <w:rtl/>
        </w:rPr>
        <w:t xml:space="preserve"> ، ج 24 ، ص 407 ، ح 24337 ؛ </w:t>
      </w:r>
      <w:r w:rsidR="00E3253D" w:rsidRPr="002F4D34">
        <w:rPr>
          <w:rStyle w:val="libFootnoteBoldChar"/>
          <w:rtl/>
        </w:rPr>
        <w:t>الوسائل</w:t>
      </w:r>
      <w:r w:rsidR="00E3253D" w:rsidRPr="005D642E">
        <w:rPr>
          <w:rtl/>
        </w:rPr>
        <w:t xml:space="preserve"> ، ج 3 ، ص 146 ، ح 3247.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بح » : + « قال : فقلت لأبي جعفر </w:t>
      </w:r>
      <w:r w:rsidR="00E3253D" w:rsidRPr="00F94EAB">
        <w:rPr>
          <w:rStyle w:val="libFootnoteAlaemChar"/>
          <w:rtl/>
        </w:rPr>
        <w:t>عليه‌السلام</w:t>
      </w:r>
      <w:r w:rsidR="00E3253D" w:rsidRPr="005D642E">
        <w:rPr>
          <w:rtl/>
        </w:rPr>
        <w:t xml:space="preserve"> : إنّ عطاء قد رجع قال</w:t>
      </w:r>
      <w:r w:rsidR="00E3253D">
        <w:rPr>
          <w:rtl/>
        </w:rPr>
        <w:t xml:space="preserve"> ».</w:t>
      </w:r>
      <w:r w:rsidR="00E3253D" w:rsidRPr="005D642E">
        <w:rPr>
          <w:rtl/>
        </w:rPr>
        <w:t xml:space="preserve"> وقال الشيخ البهائي في هامش </w:t>
      </w:r>
      <w:r w:rsidR="00E3253D" w:rsidRPr="002F4D34">
        <w:rPr>
          <w:rStyle w:val="libFootnoteBoldChar"/>
          <w:rtl/>
        </w:rPr>
        <w:t>الحبل</w:t>
      </w:r>
      <w:r w:rsidR="00F94EAB">
        <w:rPr>
          <w:rStyle w:val="libFootnoteBoldChar"/>
          <w:rFonts w:hint="cs"/>
          <w:rtl/>
        </w:rPr>
        <w:t xml:space="preserve"> </w:t>
      </w:r>
      <w:r w:rsidR="00E3253D" w:rsidRPr="002F4D34">
        <w:rPr>
          <w:rStyle w:val="libFootnoteBoldChar"/>
          <w:rtl/>
        </w:rPr>
        <w:t>‌المتين</w:t>
      </w:r>
      <w:r w:rsidR="00E3253D" w:rsidRPr="005D642E">
        <w:rPr>
          <w:rtl/>
        </w:rPr>
        <w:t xml:space="preserve"> ، ص 233 : « عطاء هذا هو عطاء بن أبي رياح ، كان بنو ا</w:t>
      </w:r>
      <w:r w:rsidR="00F94EAB">
        <w:rPr>
          <w:rFonts w:hint="cs"/>
          <w:rtl/>
        </w:rPr>
        <w:t>ُ</w:t>
      </w:r>
      <w:r w:rsidR="00E3253D" w:rsidRPr="005D642E">
        <w:rPr>
          <w:rtl/>
        </w:rPr>
        <w:t>ميّة يعظّمونه جدّاً حتّى أمروا الم</w:t>
      </w:r>
      <w:r w:rsidR="00F94EAB">
        <w:rPr>
          <w:rtl/>
        </w:rPr>
        <w:t>نادي أن ينادي : لايفت الناس إل</w:t>
      </w:r>
      <w:r w:rsidR="00F94EAB">
        <w:rPr>
          <w:rFonts w:hint="cs"/>
          <w:rtl/>
        </w:rPr>
        <w:t>ّ</w:t>
      </w:r>
      <w:r w:rsidR="00F94EAB">
        <w:rPr>
          <w:rtl/>
        </w:rPr>
        <w:t>ا</w:t>
      </w:r>
      <w:r w:rsidR="00F94EAB">
        <w:rPr>
          <w:rFonts w:hint="cs"/>
          <w:rtl/>
        </w:rPr>
        <w:t xml:space="preserve"> </w:t>
      </w:r>
      <w:r w:rsidR="00E3253D" w:rsidRPr="005D642E">
        <w:rPr>
          <w:rtl/>
        </w:rPr>
        <w:t>عطاء فإن لم يكن فعبدالله بن أبي نجيح ، وكان عطاء أعور ، أفطس ، أعرج ، شديد السواد. ذكر ذلك ابن الجوزي في تاريخه</w:t>
      </w:r>
      <w:r w:rsidR="00E3253D">
        <w:rPr>
          <w:rtl/>
        </w:rPr>
        <w:t xml:space="preserve"> ».</w:t>
      </w:r>
    </w:p>
    <w:p w:rsidR="00E3253D" w:rsidRPr="005D642E" w:rsidRDefault="0042621E" w:rsidP="00F94EAB">
      <w:pPr>
        <w:pStyle w:val="libFootnote0"/>
        <w:rPr>
          <w:rtl/>
          <w:lang w:bidi="fa-IR"/>
        </w:rPr>
      </w:pPr>
      <w:r w:rsidRPr="0042621E">
        <w:rPr>
          <w:rStyle w:val="libFootnote0Char"/>
          <w:rtl/>
        </w:rPr>
        <w:t>(8).</w:t>
      </w:r>
      <w:r w:rsidR="00E3253D" w:rsidRPr="005D642E">
        <w:rPr>
          <w:rtl/>
        </w:rPr>
        <w:t xml:space="preserve"> « صَرَخَت » ، أي صاحت صيحة شديدة ، من الصرخة ، وهي الصيحة الشديدة. والصارخ : ال</w:t>
      </w:r>
      <w:r w:rsidR="00F94EAB">
        <w:rPr>
          <w:rtl/>
        </w:rPr>
        <w:t>مغيث والمستغيث ، ضدّ. قال العل</w:t>
      </w:r>
      <w:r w:rsidR="00F94EAB">
        <w:rPr>
          <w:rFonts w:hint="cs"/>
          <w:rtl/>
        </w:rPr>
        <w:t>ّ</w:t>
      </w:r>
      <w:r w:rsidR="00F94EAB">
        <w:rPr>
          <w:rtl/>
        </w:rPr>
        <w:t>ا</w:t>
      </w:r>
      <w:r w:rsidR="00E3253D" w:rsidRPr="005D642E">
        <w:rPr>
          <w:rtl/>
        </w:rPr>
        <w:t>مة المجلسي : « أي صاحت امرأة بالنياح والجزع</w:t>
      </w:r>
      <w:r w:rsidR="00E3253D">
        <w:rPr>
          <w:rtl/>
        </w:rPr>
        <w:t xml:space="preserve"> ».</w:t>
      </w:r>
      <w:r w:rsidR="00E3253D" w:rsidRPr="005D642E">
        <w:rPr>
          <w:rtl/>
        </w:rPr>
        <w:t xml:space="preserve"> راجع : </w:t>
      </w:r>
      <w:r w:rsidR="00E3253D" w:rsidRPr="002F4D34">
        <w:rPr>
          <w:rStyle w:val="libFootnoteBoldChar"/>
          <w:rtl/>
        </w:rPr>
        <w:t>القاموس المحيط</w:t>
      </w:r>
      <w:r w:rsidR="00E3253D" w:rsidRPr="005D642E">
        <w:rPr>
          <w:rtl/>
        </w:rPr>
        <w:t xml:space="preserve"> ، ج 1 ، ص 378 ( صرخ )</w:t>
      </w:r>
      <w:r w:rsidR="00E3253D">
        <w:rPr>
          <w:rtl/>
        </w:rPr>
        <w:t>.</w:t>
      </w:r>
      <w:r w:rsidR="00F94EAB">
        <w:rPr>
          <w:rFonts w:hint="cs"/>
          <w:rtl/>
        </w:rPr>
        <w:t xml:space="preserve">                                            </w:t>
      </w:r>
      <w:r w:rsidRPr="0042621E">
        <w:rPr>
          <w:rStyle w:val="libFootnote0Char"/>
          <w:rtl/>
        </w:rPr>
        <w:t>(9).</w:t>
      </w:r>
      <w:r w:rsidR="00E3253D" w:rsidRPr="005D642E">
        <w:rPr>
          <w:rtl/>
        </w:rPr>
        <w:t xml:space="preserve"> في حاشية « غ ، بخ » </w:t>
      </w:r>
      <w:r w:rsidR="000D749A" w:rsidRPr="000D749A">
        <w:rPr>
          <w:rStyle w:val="libFootnoteBoldChar"/>
          <w:rtl/>
        </w:rPr>
        <w:t>والوافي</w:t>
      </w:r>
      <w:r w:rsidR="00E3253D" w:rsidRPr="005D642E">
        <w:rPr>
          <w:rtl/>
        </w:rPr>
        <w:t xml:space="preserve"> : « لتسكتين</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فَقَالَ لَهَا : لَتَسْكُتِنَّ </w:t>
      </w:r>
      <w:r w:rsidRPr="007C12DB">
        <w:rPr>
          <w:rStyle w:val="libFootnotenumChar"/>
          <w:rtl/>
        </w:rPr>
        <w:t>(1)</w:t>
      </w:r>
      <w:r w:rsidRPr="005D642E">
        <w:rPr>
          <w:rtl/>
          <w:lang w:bidi="fa-IR"/>
        </w:rPr>
        <w:t xml:space="preserve"> أَوْ لَنَرْجِعَنَّ ، فَلَمْ تَسْكُتْ ، فَرَجَعَ ، فَقَالَ : « امْضِ بِنَا </w:t>
      </w:r>
      <w:r w:rsidRPr="007C12DB">
        <w:rPr>
          <w:rStyle w:val="libFootnotenumChar"/>
          <w:rtl/>
        </w:rPr>
        <w:t>(2)</w:t>
      </w:r>
      <w:r w:rsidRPr="005D642E">
        <w:rPr>
          <w:rtl/>
          <w:lang w:bidi="fa-IR"/>
        </w:rPr>
        <w:t xml:space="preserve"> ؛ فَلَوْ أَنَّا إِذَا رَأَيْنَا شَيْئاً مِنَ الْبَاطِلِ مَعَ الْحَقِّ ، تَرَكْنَا لَهُ الْحَقَّ ، لَمْ نَقْضِ حَقَّ مُسْلِمٍ</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فَلَمَّا صَلّى عَلَى الْجَنَازَةِ ، قَالَ وَلِيُّهَا لِأَبِي جَعْفَرٍ </w:t>
      </w:r>
      <w:r w:rsidRPr="00AC51C5">
        <w:rPr>
          <w:rStyle w:val="libAlaemChar"/>
          <w:rtl/>
        </w:rPr>
        <w:t>عليه‌السلام</w:t>
      </w:r>
      <w:r w:rsidRPr="005D642E">
        <w:rPr>
          <w:rtl/>
          <w:lang w:bidi="fa-IR"/>
        </w:rPr>
        <w:t xml:space="preserve"> : ارْجِعْ مَأْجُوراً رَحِمَكَ اللهُ ؛ فَإِنَّكَ لَا</w:t>
      </w:r>
      <w:r w:rsidR="00F94EAB">
        <w:rPr>
          <w:rFonts w:hint="cs"/>
          <w:rtl/>
          <w:lang w:bidi="fa-IR"/>
        </w:rPr>
        <w:t xml:space="preserve"> </w:t>
      </w:r>
      <w:r w:rsidRPr="005D642E">
        <w:rPr>
          <w:rtl/>
          <w:lang w:bidi="fa-IR"/>
        </w:rPr>
        <w:t xml:space="preserve">تَقْوى عَلَى الْمَشْيِ ، فَأَبى أَنْ يَرْجِعَ ؛ قَالَ : فَقُلْتُ لَهُ </w:t>
      </w:r>
      <w:r w:rsidRPr="007C12DB">
        <w:rPr>
          <w:rStyle w:val="libFootnotenumChar"/>
          <w:rtl/>
        </w:rPr>
        <w:t>(3)</w:t>
      </w:r>
      <w:r w:rsidRPr="005D642E">
        <w:rPr>
          <w:rtl/>
          <w:lang w:bidi="fa-IR"/>
        </w:rPr>
        <w:t xml:space="preserve"> : قَدْ أَذِنَ لَكَ فِي الرُّجُوعِ وَلِي حَاجَةٌ أُرِيدُ أَنْ أَسْأَلَكَ عَنْهَا ، فَقَالَ : « امْضِ ؛ فَلَيْسَ </w:t>
      </w:r>
      <w:r w:rsidRPr="007C12DB">
        <w:rPr>
          <w:rStyle w:val="libFootnotenumChar"/>
          <w:rtl/>
        </w:rPr>
        <w:t>(4)</w:t>
      </w:r>
      <w:r w:rsidRPr="005D642E">
        <w:rPr>
          <w:rtl/>
          <w:lang w:bidi="fa-IR"/>
        </w:rPr>
        <w:t xml:space="preserve"> بِإِذْنِهِ جِئْنَا ، وَلَابِإِذْنِهِ نَرْجِعُ ، إِنَّمَا </w:t>
      </w:r>
      <w:r w:rsidRPr="007C12DB">
        <w:rPr>
          <w:rStyle w:val="libFootnotenumChar"/>
          <w:rtl/>
        </w:rPr>
        <w:t>(5)</w:t>
      </w:r>
      <w:r w:rsidRPr="005D642E">
        <w:rPr>
          <w:rtl/>
          <w:lang w:bidi="fa-IR"/>
        </w:rPr>
        <w:t xml:space="preserve"> هُوَ فَضْلٌ وَأَجْرٌ طَلَبْنَاهُ ، فَبِقَدْرِ مَا يَتْبَعُ الْجَنَازَةَ الرَّجُلُ يُؤْجَرُ عَلى ذلِكَ</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383" w:name="_Toc344647338"/>
      <w:bookmarkStart w:id="384" w:name="_Toc462226852"/>
      <w:bookmarkStart w:id="385" w:name="_Toc40975961"/>
      <w:r w:rsidRPr="005D642E">
        <w:rPr>
          <w:rtl/>
          <w:lang w:bidi="fa-IR"/>
        </w:rPr>
        <w:t>43</w:t>
      </w:r>
      <w:r>
        <w:rPr>
          <w:rtl/>
          <w:lang w:bidi="fa-IR"/>
        </w:rPr>
        <w:t xml:space="preserve"> </w:t>
      </w:r>
      <w:r w:rsidR="007642BC">
        <w:rPr>
          <w:rtl/>
          <w:lang w:bidi="fa-IR"/>
        </w:rPr>
        <w:t>-</w:t>
      </w:r>
      <w:r>
        <w:rPr>
          <w:rtl/>
          <w:lang w:bidi="fa-IR"/>
        </w:rPr>
        <w:t xml:space="preserve"> </w:t>
      </w:r>
      <w:r w:rsidRPr="005D642E">
        <w:rPr>
          <w:rtl/>
          <w:lang w:bidi="fa-IR"/>
        </w:rPr>
        <w:t>بَابُ ثَوَابِ مَنْ مَشى مَعَ جَنَازَةٍ‌</w:t>
      </w:r>
      <w:bookmarkEnd w:id="383"/>
      <w:bookmarkEnd w:id="384"/>
      <w:bookmarkEnd w:id="385"/>
    </w:p>
    <w:p w:rsidR="00E3253D" w:rsidRPr="005D642E" w:rsidRDefault="00E3253D" w:rsidP="00E3253D">
      <w:pPr>
        <w:pStyle w:val="libNormal"/>
        <w:rPr>
          <w:rtl/>
          <w:lang w:bidi="fa-IR"/>
        </w:rPr>
      </w:pPr>
      <w:r w:rsidRPr="002102A2">
        <w:rPr>
          <w:rtl/>
        </w:rPr>
        <w:t>4460</w:t>
      </w:r>
      <w:r w:rsidRPr="00246318">
        <w:rPr>
          <w:rStyle w:val="libBold2Char"/>
          <w:rtl/>
        </w:rPr>
        <w:t xml:space="preserve"> / 1.</w:t>
      </w:r>
      <w:r w:rsidRPr="005D642E">
        <w:rPr>
          <w:rtl/>
          <w:lang w:bidi="fa-IR"/>
        </w:rPr>
        <w:t xml:space="preserve"> عَلِيُّ بْنُ إِبْرَاهِيمَ ، عَنْ أَبِيهِ ، عَنِ ابْنِ أَبِي عُمَيْرٍ ، عَنْ سَيْفِ بْنِ عَمِيرَةَ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إِذَا أُدْخِلَ </w:t>
      </w:r>
      <w:r w:rsidRPr="007C12DB">
        <w:rPr>
          <w:rStyle w:val="libFootnotenumChar"/>
          <w:rtl/>
        </w:rPr>
        <w:t>(7)</w:t>
      </w:r>
      <w:r w:rsidRPr="005D642E">
        <w:rPr>
          <w:rtl/>
          <w:lang w:bidi="fa-IR"/>
        </w:rPr>
        <w:t xml:space="preserve"> الْمُؤْمِنُ قَبْرَهُ ، نُودِيَ : أَلَا إِنَّ أَوَّلَ حِبَائِكَ </w:t>
      </w:r>
      <w:r w:rsidRPr="007C12DB">
        <w:rPr>
          <w:rStyle w:val="libFootnotenumChar"/>
          <w:rtl/>
        </w:rPr>
        <w:t>(8)</w:t>
      </w:r>
      <w:r w:rsidRPr="005D642E">
        <w:rPr>
          <w:rtl/>
          <w:lang w:bidi="fa-IR"/>
        </w:rPr>
        <w:t xml:space="preserve"> الْجَنَّةُ ، أَلَا وَأَوَّلُ حِبَاءِ </w:t>
      </w:r>
      <w:r w:rsidRPr="007C12DB">
        <w:rPr>
          <w:rStyle w:val="libFootnotenumChar"/>
          <w:rtl/>
        </w:rPr>
        <w:t>(9)</w:t>
      </w:r>
      <w:r w:rsidRPr="005D642E">
        <w:rPr>
          <w:rtl/>
          <w:lang w:bidi="fa-IR"/>
        </w:rPr>
        <w:t xml:space="preserve"> مَنْ تَبِعَكَ </w:t>
      </w:r>
      <w:r w:rsidRPr="007C12DB">
        <w:rPr>
          <w:rStyle w:val="libFootnotenumChar"/>
          <w:rtl/>
        </w:rPr>
        <w:t>(10)</w:t>
      </w:r>
      <w:r w:rsidRPr="005D642E">
        <w:rPr>
          <w:rtl/>
          <w:lang w:bidi="fa-IR"/>
        </w:rPr>
        <w:t xml:space="preserve"> الْمَغْفِرَةُ</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بخ »</w:t>
      </w:r>
      <w:r w:rsidR="00E3253D" w:rsidRPr="009A21FD">
        <w:rPr>
          <w:rtl/>
        </w:rPr>
        <w:t xml:space="preserve"> </w:t>
      </w:r>
      <w:r w:rsidR="000D749A" w:rsidRPr="009A21FD">
        <w:rPr>
          <w:rtl/>
        </w:rPr>
        <w:t>والوافي</w:t>
      </w:r>
      <w:r w:rsidR="00E3253D" w:rsidRPr="005D642E">
        <w:rPr>
          <w:rtl/>
        </w:rPr>
        <w:t xml:space="preserve"> : « لتسكتين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بث ، بح ، بس ، بف ، جح ، جس ، جن » والوسائل ، ح 3231 :</w:t>
      </w:r>
      <w:r w:rsidR="00E3253D">
        <w:rPr>
          <w:rtl/>
        </w:rPr>
        <w:t xml:space="preserve"> </w:t>
      </w:r>
      <w:r w:rsidR="007642BC">
        <w:rPr>
          <w:rtl/>
        </w:rPr>
        <w:t>-</w:t>
      </w:r>
      <w:r w:rsidR="00E3253D">
        <w:rPr>
          <w:rtl/>
        </w:rPr>
        <w:t xml:space="preserve"> </w:t>
      </w:r>
      <w:r w:rsidR="00E3253D" w:rsidRPr="005D642E">
        <w:rPr>
          <w:rtl/>
        </w:rPr>
        <w:t>« بنا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A21FD" w:rsidTr="009A21FD">
        <w:tc>
          <w:tcPr>
            <w:tcW w:w="4006" w:type="dxa"/>
          </w:tcPr>
          <w:p w:rsidR="009A21FD" w:rsidRDefault="009A21FD" w:rsidP="00E3253D">
            <w:pPr>
              <w:pStyle w:val="libFootnote0"/>
              <w:rPr>
                <w:rStyle w:val="libFootnote0Char"/>
                <w:rtl/>
              </w:rPr>
            </w:pPr>
            <w:r w:rsidRPr="0042621E">
              <w:rPr>
                <w:rStyle w:val="libFootnote0Char"/>
                <w:rtl/>
              </w:rPr>
              <w:t>(3).</w:t>
            </w:r>
            <w:r w:rsidRPr="005D642E">
              <w:rPr>
                <w:rtl/>
              </w:rPr>
              <w:t xml:space="preserve"> في الوافي :</w:t>
            </w:r>
            <w:r>
              <w:rPr>
                <w:rtl/>
              </w:rPr>
              <w:t xml:space="preserve"> - </w:t>
            </w:r>
            <w:r w:rsidRPr="005D642E">
              <w:rPr>
                <w:rtl/>
              </w:rPr>
              <w:t>« له</w:t>
            </w:r>
            <w:r>
              <w:rPr>
                <w:rtl/>
              </w:rPr>
              <w:t xml:space="preserve"> ».</w:t>
            </w:r>
          </w:p>
        </w:tc>
        <w:tc>
          <w:tcPr>
            <w:tcW w:w="4006" w:type="dxa"/>
          </w:tcPr>
          <w:p w:rsidR="009A21FD" w:rsidRDefault="009A21FD" w:rsidP="00E3253D">
            <w:pPr>
              <w:pStyle w:val="libFootnote0"/>
              <w:rPr>
                <w:rStyle w:val="libFootnote0Char"/>
                <w:rtl/>
              </w:rPr>
            </w:pPr>
            <w:r w:rsidRPr="0042621E">
              <w:rPr>
                <w:rStyle w:val="libFootnote0Char"/>
                <w:rtl/>
              </w:rPr>
              <w:t>(4).</w:t>
            </w:r>
            <w:r w:rsidRPr="005D642E">
              <w:rPr>
                <w:rtl/>
              </w:rPr>
              <w:t xml:space="preserve"> في « ظ » : « ليس</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بف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وإنّما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454 ، ح 1481 ، معلّقاً عن عليّ بن إبراهيم ، مع اختلاف يسير </w:t>
      </w:r>
      <w:r w:rsidR="009A21FD">
        <w:rPr>
          <w:rFonts w:hint="cs"/>
          <w:rtl/>
        </w:rPr>
        <w:t>.</w:t>
      </w:r>
      <w:r w:rsidR="00E3253D" w:rsidRPr="002F4D34">
        <w:rPr>
          <w:rStyle w:val="libFootnoteBoldChar"/>
          <w:rtl/>
        </w:rPr>
        <w:t>الوافي</w:t>
      </w:r>
      <w:r w:rsidR="00E3253D" w:rsidRPr="005D642E">
        <w:rPr>
          <w:rtl/>
        </w:rPr>
        <w:t xml:space="preserve"> ، ج 24 ، ص 406 ، ح 24336 ؛ </w:t>
      </w:r>
      <w:r w:rsidR="00E3253D" w:rsidRPr="002F4D34">
        <w:rPr>
          <w:rStyle w:val="libFootnoteBoldChar"/>
          <w:rtl/>
        </w:rPr>
        <w:t>الوسائل</w:t>
      </w:r>
      <w:r w:rsidR="00E3253D" w:rsidRPr="005D642E">
        <w:rPr>
          <w:rtl/>
        </w:rPr>
        <w:t xml:space="preserve"> ، ج 3 ، ص 140 ، ح 3231 ، إلى قوله : « لا تقوى على المشي فأبى أن يرجع » ؛ </w:t>
      </w:r>
      <w:r w:rsidR="00E3253D" w:rsidRPr="002F4D34">
        <w:rPr>
          <w:rStyle w:val="libFootnoteBoldChar"/>
          <w:rtl/>
        </w:rPr>
        <w:t>وفيه</w:t>
      </w:r>
      <w:r w:rsidR="00E3253D" w:rsidRPr="005D642E">
        <w:rPr>
          <w:rtl/>
        </w:rPr>
        <w:t xml:space="preserve"> ، ص 147 ، ح 3248 ، من قوله : « فلمّا صلّى على الجنازة » ؛ </w:t>
      </w:r>
      <w:r w:rsidR="00E3253D" w:rsidRPr="002F4D34">
        <w:rPr>
          <w:rStyle w:val="libFootnoteBoldChar"/>
          <w:rtl/>
        </w:rPr>
        <w:t>البحار</w:t>
      </w:r>
      <w:r w:rsidR="00E3253D" w:rsidRPr="005D642E">
        <w:rPr>
          <w:rtl/>
        </w:rPr>
        <w:t xml:space="preserve"> ، ج 46 ، ص 300 ، ح 43 ؛ </w:t>
      </w:r>
      <w:r w:rsidR="00E3253D" w:rsidRPr="002F4D34">
        <w:rPr>
          <w:rStyle w:val="libFootnoteBoldChar"/>
          <w:rtl/>
        </w:rPr>
        <w:t>وفيه</w:t>
      </w:r>
      <w:r w:rsidR="00E3253D" w:rsidRPr="005D642E">
        <w:rPr>
          <w:rtl/>
        </w:rPr>
        <w:t xml:space="preserve"> ، ج 66 ، ص 545 ، إلى قوله : « لم نقض حقّ مسلم</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ى ، بس ، جح ، جس ، جن » </w:t>
      </w:r>
      <w:r w:rsidR="009E68BB" w:rsidRPr="009E68BB">
        <w:rPr>
          <w:rStyle w:val="libFootnoteBoldChar"/>
          <w:rtl/>
        </w:rPr>
        <w:t>وتحف العقول</w:t>
      </w:r>
      <w:r w:rsidR="00E3253D" w:rsidRPr="005D642E">
        <w:rPr>
          <w:rtl/>
        </w:rPr>
        <w:t xml:space="preserve"> : « إذا دخل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الحِباء : العطيّة والعطاء بلا مَنّ ولاجزاء ولاعوض. راجع : </w:t>
      </w:r>
      <w:r w:rsidR="00E3253D" w:rsidRPr="002F4D34">
        <w:rPr>
          <w:rStyle w:val="libFootnoteBoldChar"/>
          <w:rtl/>
        </w:rPr>
        <w:t>الصحاح</w:t>
      </w:r>
      <w:r w:rsidR="00E3253D" w:rsidRPr="005D642E">
        <w:rPr>
          <w:rtl/>
        </w:rPr>
        <w:t xml:space="preserve"> ، ج 6 ، ص 2308 ؛ </w:t>
      </w:r>
      <w:r w:rsidR="00E3253D" w:rsidRPr="002F4D34">
        <w:rPr>
          <w:rStyle w:val="libFootnoteBoldChar"/>
          <w:rtl/>
        </w:rPr>
        <w:t>النهاية</w:t>
      </w:r>
      <w:r w:rsidR="00E3253D" w:rsidRPr="005D642E">
        <w:rPr>
          <w:rtl/>
        </w:rPr>
        <w:t xml:space="preserve"> ، ج 1 ، ص 336 ( حبا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w:t>
      </w:r>
      <w:r w:rsidR="009E68BB" w:rsidRPr="009E68BB">
        <w:rPr>
          <w:rStyle w:val="libFootnoteBoldChar"/>
          <w:rtl/>
        </w:rPr>
        <w:t>وتحف العقول</w:t>
      </w:r>
      <w:r w:rsidR="00E3253D" w:rsidRPr="005D642E">
        <w:rPr>
          <w:rtl/>
        </w:rPr>
        <w:t>. وفي « ى ، جن » : « ألا إنّ أوّل حباء</w:t>
      </w:r>
      <w:r w:rsidR="00E3253D">
        <w:rPr>
          <w:rtl/>
        </w:rPr>
        <w:t xml:space="preserve"> ».</w:t>
      </w:r>
      <w:r w:rsidR="00E3253D" w:rsidRPr="005D642E">
        <w:rPr>
          <w:rtl/>
        </w:rPr>
        <w:t xml:space="preserve"> وفي المطبوع : « وحباء » بدل « ألا وأوّل حباء</w:t>
      </w:r>
      <w:r w:rsidR="00E3253D">
        <w:rPr>
          <w:rtl/>
        </w:rPr>
        <w:t xml:space="preserve"> ».</w:t>
      </w:r>
      <w:r w:rsidR="00E3253D" w:rsidRPr="005D642E">
        <w:rPr>
          <w:rtl/>
        </w:rPr>
        <w:t xml:space="preserve"> وفي الوسائل : « ألا وإنّ أوّل حباء</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جن » وحاشية « جح » : « من يتبعك</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الفقيه</w:t>
      </w:r>
      <w:r w:rsidR="00E3253D" w:rsidRPr="005D642E">
        <w:rPr>
          <w:rtl/>
        </w:rPr>
        <w:t xml:space="preserve"> ، ج 1 ، ص 162 ، ح 452 ، مرسلاً </w:t>
      </w:r>
      <w:r w:rsidR="0093094E">
        <w:rPr>
          <w:rFonts w:hint="cs"/>
          <w:rtl/>
        </w:rPr>
        <w:t>.</w:t>
      </w:r>
      <w:r w:rsidR="00E3253D" w:rsidRPr="002F4D34">
        <w:rPr>
          <w:rStyle w:val="libFootnoteBoldChar"/>
          <w:rtl/>
        </w:rPr>
        <w:t>الوافي</w:t>
      </w:r>
      <w:r w:rsidR="00E3253D" w:rsidRPr="005D642E">
        <w:rPr>
          <w:rtl/>
        </w:rPr>
        <w:t xml:space="preserve"> ، ج 24 ، ص 399 ، ح 24310 ؛ </w:t>
      </w:r>
      <w:r w:rsidR="00E3253D" w:rsidRPr="002F4D34">
        <w:rPr>
          <w:rStyle w:val="libFootnoteBoldChar"/>
          <w:rtl/>
        </w:rPr>
        <w:t>الوسائل</w:t>
      </w:r>
      <w:r w:rsidR="00E3253D" w:rsidRPr="005D642E">
        <w:rPr>
          <w:rtl/>
        </w:rPr>
        <w:t xml:space="preserve"> ، ج 3 ، </w:t>
      </w:r>
      <w:r w:rsidR="0093094E">
        <w:rPr>
          <w:rFonts w:hint="cs"/>
          <w:rtl/>
        </w:rPr>
        <w:t>=</w:t>
      </w:r>
    </w:p>
    <w:p w:rsidR="00E3253D" w:rsidRDefault="00E3253D" w:rsidP="00E3253D">
      <w:pPr>
        <w:pStyle w:val="libNormal"/>
        <w:rPr>
          <w:rtl/>
          <w:lang w:bidi="fa-IR"/>
        </w:rPr>
      </w:pPr>
      <w:r>
        <w:rPr>
          <w:rtl/>
          <w:lang w:bidi="fa-IR"/>
        </w:rPr>
        <w:br w:type="page"/>
      </w:r>
    </w:p>
    <w:p w:rsidR="0093094E" w:rsidRDefault="00E3253D" w:rsidP="0093094E">
      <w:pPr>
        <w:pStyle w:val="libNormal"/>
        <w:rPr>
          <w:rtl/>
          <w:lang w:bidi="fa-IR"/>
        </w:rPr>
      </w:pPr>
      <w:r w:rsidRPr="004F1EBC">
        <w:rPr>
          <w:rtl/>
        </w:rPr>
        <w:t>4461</w:t>
      </w:r>
      <w:r w:rsidRPr="00246318">
        <w:rPr>
          <w:rStyle w:val="libBold2Char"/>
          <w:rtl/>
        </w:rPr>
        <w:t xml:space="preserve"> / 2.</w:t>
      </w:r>
      <w:r w:rsidRPr="005D642E">
        <w:rPr>
          <w:rtl/>
          <w:lang w:bidi="fa-IR"/>
        </w:rPr>
        <w:t xml:space="preserve"> عَلِيٌّ </w:t>
      </w:r>
      <w:r w:rsidRPr="007C12DB">
        <w:rPr>
          <w:rStyle w:val="libFootnotenumChar"/>
          <w:rtl/>
        </w:rPr>
        <w:t>(1)</w:t>
      </w:r>
      <w:r w:rsidRPr="005D642E">
        <w:rPr>
          <w:rtl/>
          <w:lang w:bidi="fa-IR"/>
        </w:rPr>
        <w:t xml:space="preserve"> ، عَنْ أَبِيهِ ؛</w:t>
      </w:r>
    </w:p>
    <w:p w:rsidR="00E3253D" w:rsidRPr="005D642E" w:rsidRDefault="0093094E" w:rsidP="0093094E">
      <w:pPr>
        <w:pStyle w:val="libNormal"/>
        <w:rPr>
          <w:rtl/>
          <w:lang w:bidi="fa-IR"/>
        </w:rPr>
      </w:pPr>
      <w:r>
        <w:rPr>
          <w:rFonts w:hint="cs"/>
          <w:rtl/>
          <w:lang w:bidi="fa-IR"/>
        </w:rPr>
        <w:t xml:space="preserve">              </w:t>
      </w:r>
      <w:r w:rsidR="00E3253D" w:rsidRPr="005D642E">
        <w:rPr>
          <w:rtl/>
          <w:lang w:bidi="fa-IR"/>
        </w:rPr>
        <w:t>وَعِدَّةٌ مِنْ أَصْحَابِنَا ، عَنْ سَهْلِ بْنِ زِيَادٍ جَمِيعاً ، عَنِ ابْنِ مَحْبُوبٍ ، عَنْ دَاوُدَ الرَّقِّيِّ ، عَنْ رَجُلٍ مِنْ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شَيَّعَ جَنَازَةَ مُؤْمِنٍ حَتّى يُدْفَنَ فِي قَبْرِهِ ، وَكَّلَ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بِهِ سَبْعِينَ مَلَكاً </w:t>
      </w:r>
      <w:r w:rsidRPr="007C12DB">
        <w:rPr>
          <w:rStyle w:val="libFootnotenumChar"/>
          <w:rtl/>
        </w:rPr>
        <w:t>(2)</w:t>
      </w:r>
      <w:r w:rsidRPr="005D642E">
        <w:rPr>
          <w:rtl/>
          <w:lang w:bidi="fa-IR"/>
        </w:rPr>
        <w:t xml:space="preserve"> مِنَ الْمُشَيِّعِينَ يُشَيِّعُونَهُ ، وَيَسْتَغْفِرُونَ لَهُ إِذَا خَرَجَ مِنْ قَبْرِهِ إِلَى الْمَوْقِفِ</w:t>
      </w:r>
      <w:r>
        <w:rPr>
          <w:rtl/>
          <w:lang w:bidi="fa-IR"/>
        </w:rPr>
        <w:t>».</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4F1EBC">
        <w:rPr>
          <w:rtl/>
        </w:rPr>
        <w:t>4462</w:t>
      </w:r>
      <w:r w:rsidRPr="00246318">
        <w:rPr>
          <w:rStyle w:val="libBold2Char"/>
          <w:rtl/>
        </w:rPr>
        <w:t xml:space="preserve"> / 3.</w:t>
      </w:r>
      <w:r w:rsidRPr="005D642E">
        <w:rPr>
          <w:rtl/>
          <w:lang w:bidi="fa-IR"/>
        </w:rPr>
        <w:t xml:space="preserve"> سَهْلُ بْنُ زِيَادٍ </w:t>
      </w:r>
      <w:r w:rsidRPr="007C12DB">
        <w:rPr>
          <w:rStyle w:val="libFootnotenumChar"/>
          <w:rtl/>
        </w:rPr>
        <w:t>(4)</w:t>
      </w:r>
      <w:r w:rsidRPr="005D642E">
        <w:rPr>
          <w:rtl/>
          <w:lang w:bidi="fa-IR"/>
        </w:rPr>
        <w:t xml:space="preserve"> ، عَنِ الْحَسَنِ بْنِ عَلِيٍّ ، عَنْ مُحَمَّدِ بْنِ الْفُضَيْلِ ، عَنْ إِسْحَاقَ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أَوَّلُ مَا يُتْحَفُ </w:t>
      </w:r>
      <w:r w:rsidRPr="007C12DB">
        <w:rPr>
          <w:rStyle w:val="libFootnotenumChar"/>
          <w:rtl/>
        </w:rPr>
        <w:t>(5)</w:t>
      </w:r>
      <w:r w:rsidRPr="005D642E">
        <w:rPr>
          <w:rtl/>
          <w:lang w:bidi="fa-IR"/>
        </w:rPr>
        <w:t xml:space="preserve"> بِهِ الْمُؤْمِنُ </w:t>
      </w:r>
      <w:r w:rsidRPr="007C12DB">
        <w:rPr>
          <w:rStyle w:val="libFootnotenumChar"/>
          <w:rtl/>
        </w:rPr>
        <w:t>(6)</w:t>
      </w:r>
      <w:r w:rsidRPr="005D642E">
        <w:rPr>
          <w:rtl/>
          <w:lang w:bidi="fa-IR"/>
        </w:rPr>
        <w:t xml:space="preserve"> يُغْفَرُ لِمَنْ تَبِعَ </w:t>
      </w:r>
      <w:r w:rsidRPr="007C12DB">
        <w:rPr>
          <w:rStyle w:val="libFootnotenumChar"/>
          <w:rtl/>
        </w:rPr>
        <w:t>(7)</w:t>
      </w:r>
      <w:r w:rsidRPr="005D642E">
        <w:rPr>
          <w:rtl/>
          <w:lang w:bidi="fa-IR"/>
        </w:rPr>
        <w:t xml:space="preserve"> جَنَازَتَهُ</w:t>
      </w:r>
      <w:r>
        <w:rPr>
          <w:rtl/>
          <w:lang w:bidi="fa-IR"/>
        </w:rPr>
        <w:t>».</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4F1EBC">
        <w:rPr>
          <w:rtl/>
        </w:rPr>
        <w:t>4463</w:t>
      </w:r>
      <w:r w:rsidRPr="00246318">
        <w:rPr>
          <w:rStyle w:val="libBold2Char"/>
          <w:rtl/>
        </w:rPr>
        <w:t xml:space="preserve"> / 4.</w:t>
      </w:r>
      <w:r w:rsidRPr="005D642E">
        <w:rPr>
          <w:rtl/>
          <w:lang w:bidi="fa-IR"/>
        </w:rPr>
        <w:t xml:space="preserve"> مُحَمَّدُ بْنُ يَحْيى ، عَنْ أَحْمَدَ بْنِ مُحَمَّدٍ ، عَنْ عَلِيِّ بْنِ الْحَكَمِ ، عَنْ سَيْفِ بْنِ‌</w:t>
      </w:r>
    </w:p>
    <w:p w:rsidR="00E3253D" w:rsidRPr="005D642E" w:rsidRDefault="00E3253D" w:rsidP="00E3253D">
      <w:pPr>
        <w:pStyle w:val="libLine"/>
        <w:rPr>
          <w:rtl/>
          <w:lang w:bidi="fa-IR"/>
        </w:rPr>
      </w:pPr>
      <w:r w:rsidRPr="005D642E">
        <w:rPr>
          <w:rtl/>
          <w:lang w:bidi="fa-IR"/>
        </w:rPr>
        <w:t>__________________</w:t>
      </w:r>
    </w:p>
    <w:p w:rsidR="00E3253D" w:rsidRPr="005D642E" w:rsidRDefault="0093094E" w:rsidP="00E3253D">
      <w:pPr>
        <w:pStyle w:val="libFootnote0"/>
        <w:rPr>
          <w:rtl/>
          <w:lang w:bidi="fa-IR"/>
        </w:rPr>
      </w:pPr>
      <w:r>
        <w:rPr>
          <w:rFonts w:hint="cs"/>
          <w:rtl/>
        </w:rPr>
        <w:t xml:space="preserve">= </w:t>
      </w:r>
      <w:r w:rsidR="00E3253D" w:rsidRPr="005D642E">
        <w:rPr>
          <w:rtl/>
        </w:rPr>
        <w:t>ص 142 ، ح 3236.</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جن » : + « بن إبراهيم</w:t>
      </w:r>
      <w:r w:rsidR="00E3253D">
        <w:rPr>
          <w:rtl/>
        </w:rPr>
        <w:t xml:space="preserve"> ».</w:t>
      </w:r>
      <w:r w:rsidR="00E3253D" w:rsidRPr="005D642E">
        <w:rPr>
          <w:rtl/>
        </w:rPr>
        <w:t xml:space="preserve"> وفي « بح » : « عنه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الأمالي : « سبعين ألف ملك</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0D749A" w:rsidRPr="000D749A">
        <w:rPr>
          <w:rStyle w:val="libFootnoteBoldChar"/>
          <w:rtl/>
        </w:rPr>
        <w:t>الأمالي للصدوق</w:t>
      </w:r>
      <w:r w:rsidR="00E3253D" w:rsidRPr="005D642E">
        <w:rPr>
          <w:rtl/>
        </w:rPr>
        <w:t xml:space="preserve"> ، ص 217 ، المجلس 39 ، ح 1 ، بسنده عن الحسن بن محبوب ، عن داود بن كثير الرقّي ، عن الصادق </w:t>
      </w:r>
      <w:r w:rsidR="00E3253D" w:rsidRPr="0093094E">
        <w:rPr>
          <w:rStyle w:val="libFootnoteAlaemChar"/>
          <w:rtl/>
        </w:rPr>
        <w:t>عليه‌السلام</w:t>
      </w:r>
      <w:r w:rsidR="00E3253D" w:rsidRPr="005D642E">
        <w:rPr>
          <w:rtl/>
        </w:rPr>
        <w:t xml:space="preserve"> ، مع اختلاف يسير. </w:t>
      </w:r>
      <w:r w:rsidR="00E3253D" w:rsidRPr="002F4D34">
        <w:rPr>
          <w:rStyle w:val="libFootnoteBoldChar"/>
          <w:rtl/>
        </w:rPr>
        <w:t>الفقيه</w:t>
      </w:r>
      <w:r w:rsidR="00E3253D" w:rsidRPr="005D642E">
        <w:rPr>
          <w:rtl/>
        </w:rPr>
        <w:t xml:space="preserve"> ، ج 1 ، ص 162 ، ح 455 ، مرسلاً </w:t>
      </w:r>
      <w:r w:rsidR="0093094E">
        <w:rPr>
          <w:rFonts w:hint="cs"/>
          <w:rtl/>
        </w:rPr>
        <w:t>.</w:t>
      </w:r>
      <w:r w:rsidR="00E3253D" w:rsidRPr="002F4D34">
        <w:rPr>
          <w:rStyle w:val="libFootnoteBoldChar"/>
          <w:rtl/>
        </w:rPr>
        <w:t>الوافي</w:t>
      </w:r>
      <w:r w:rsidR="00E3253D" w:rsidRPr="005D642E">
        <w:rPr>
          <w:rtl/>
        </w:rPr>
        <w:t xml:space="preserve"> ، ج 24 ، ص 400 ، ح 24312 ؛ </w:t>
      </w:r>
      <w:r w:rsidR="00E3253D" w:rsidRPr="002F4D34">
        <w:rPr>
          <w:rStyle w:val="libFootnoteBoldChar"/>
          <w:rtl/>
        </w:rPr>
        <w:t>الوسائل</w:t>
      </w:r>
      <w:r w:rsidR="00E3253D" w:rsidRPr="005D642E">
        <w:rPr>
          <w:rtl/>
        </w:rPr>
        <w:t xml:space="preserve"> ، ج 3 ، ص 145 ، ح 3243.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السند معلّق على الطريق الثاني من السند السابق. فيروي عن سهل بن زياد ، عدّة من أصحابنا.</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يُتْحَفُ » ، أي يُعطى ويُهْدى. والتُحْفة والتُحَفة : البِرّ واللطف. راجع : </w:t>
      </w:r>
      <w:r w:rsidR="00E3253D" w:rsidRPr="002F4D34">
        <w:rPr>
          <w:rStyle w:val="libFootnoteBoldChar"/>
          <w:rtl/>
        </w:rPr>
        <w:t>القاموس المحيط</w:t>
      </w:r>
      <w:r w:rsidR="00E3253D" w:rsidRPr="005D642E">
        <w:rPr>
          <w:rtl/>
        </w:rPr>
        <w:t xml:space="preserve"> ، ج 2 ، ص 1060 ؛ </w:t>
      </w:r>
      <w:r w:rsidR="00E3253D" w:rsidRPr="002F4D34">
        <w:rPr>
          <w:rStyle w:val="libFootnoteBoldChar"/>
          <w:rtl/>
        </w:rPr>
        <w:t>أقرب الموارد</w:t>
      </w:r>
      <w:r w:rsidR="00E3253D" w:rsidRPr="005D642E">
        <w:rPr>
          <w:rtl/>
        </w:rPr>
        <w:t xml:space="preserve"> ، ج 1 ، ص 294 ( تحف )</w:t>
      </w:r>
      <w:r w:rsidR="00E3253D">
        <w:rPr>
          <w:rtl/>
        </w:rPr>
        <w:t>.</w:t>
      </w:r>
    </w:p>
    <w:p w:rsidR="00E3253D" w:rsidRPr="005D642E" w:rsidRDefault="0042621E" w:rsidP="0093094E">
      <w:pPr>
        <w:pStyle w:val="libFootnote0"/>
        <w:rPr>
          <w:rtl/>
          <w:lang w:bidi="fa-IR"/>
        </w:rPr>
      </w:pPr>
      <w:r w:rsidRPr="0042621E">
        <w:rPr>
          <w:rStyle w:val="libFootnote0Char"/>
          <w:rtl/>
        </w:rPr>
        <w:t>(6).</w:t>
      </w:r>
      <w:r w:rsidR="00E3253D" w:rsidRPr="005D642E">
        <w:rPr>
          <w:rtl/>
        </w:rPr>
        <w:t xml:space="preserve"> في « بخ ، بف »</w:t>
      </w:r>
      <w:r w:rsidR="00E3253D" w:rsidRPr="0093094E">
        <w:rPr>
          <w:rtl/>
        </w:rPr>
        <w:t xml:space="preserve"> </w:t>
      </w:r>
      <w:r w:rsidR="000D749A" w:rsidRPr="0093094E">
        <w:rPr>
          <w:rtl/>
        </w:rPr>
        <w:t>والوافي</w:t>
      </w:r>
      <w:r w:rsidR="00E3253D" w:rsidRPr="005D642E">
        <w:rPr>
          <w:rtl/>
        </w:rPr>
        <w:t xml:space="preserve"> : + « أن</w:t>
      </w:r>
      <w:r w:rsidR="00E3253D">
        <w:rPr>
          <w:rtl/>
        </w:rPr>
        <w:t xml:space="preserve"> ».</w:t>
      </w:r>
      <w:r w:rsidR="00E3253D" w:rsidRPr="005D642E">
        <w:rPr>
          <w:rtl/>
        </w:rPr>
        <w:t xml:space="preserve"> وفي الوسائل </w:t>
      </w:r>
      <w:r w:rsidR="009E68BB" w:rsidRPr="009E68BB">
        <w:rPr>
          <w:rStyle w:val="libFootnoteBoldChar"/>
          <w:rtl/>
        </w:rPr>
        <w:t>و</w:t>
      </w:r>
      <w:r w:rsidR="0093094E">
        <w:rPr>
          <w:rStyle w:val="libFootnoteBoldChar"/>
          <w:rFonts w:hint="cs"/>
          <w:rtl/>
        </w:rPr>
        <w:t>الفقيه</w:t>
      </w:r>
      <w:r w:rsidR="00E3253D" w:rsidRPr="005D642E">
        <w:rPr>
          <w:rtl/>
        </w:rPr>
        <w:t xml:space="preserve"> والمؤمن </w:t>
      </w:r>
      <w:r w:rsidR="009E68BB" w:rsidRPr="009E68BB">
        <w:rPr>
          <w:rStyle w:val="libFootnoteBoldChar"/>
          <w:rtl/>
        </w:rPr>
        <w:t>والخصال</w:t>
      </w:r>
      <w:r w:rsidR="00E3253D" w:rsidRPr="005D642E">
        <w:rPr>
          <w:rtl/>
        </w:rPr>
        <w:t xml:space="preserve"> : + « في قبره أن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بح » : « يتبع</w:t>
      </w:r>
      <w:r w:rsidR="00E3253D">
        <w:rPr>
          <w:rtl/>
        </w:rPr>
        <w:t xml:space="preserve"> ».</w:t>
      </w:r>
    </w:p>
    <w:p w:rsidR="00E3253D" w:rsidRPr="005D642E" w:rsidRDefault="0042621E" w:rsidP="00D1493A">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455 ، ح 1482 ، معلّقاً عن سهل بن زياد. </w:t>
      </w:r>
      <w:r w:rsidR="00E3253D" w:rsidRPr="002F4D34">
        <w:rPr>
          <w:rStyle w:val="libFootnoteBoldChar"/>
          <w:rtl/>
        </w:rPr>
        <w:t>الخصال</w:t>
      </w:r>
      <w:r w:rsidR="00E3253D" w:rsidRPr="005D642E">
        <w:rPr>
          <w:rtl/>
        </w:rPr>
        <w:t xml:space="preserve"> ، ص 24 ، باب الواحد ، ح 85 ، بسنده عن إسحاق بن عمّار ، مع اختلاف يسير. </w:t>
      </w:r>
      <w:r w:rsidR="00E3253D" w:rsidRPr="002F4D34">
        <w:rPr>
          <w:rStyle w:val="libFootnoteBoldChar"/>
          <w:rtl/>
        </w:rPr>
        <w:t>المؤمن</w:t>
      </w:r>
      <w:r w:rsidR="00E3253D" w:rsidRPr="005D642E">
        <w:rPr>
          <w:rtl/>
        </w:rPr>
        <w:t xml:space="preserve"> ، ص 65 ، ح 168 ؛ </w:t>
      </w:r>
      <w:r w:rsidR="009E68BB" w:rsidRPr="009E68BB">
        <w:rPr>
          <w:rStyle w:val="libFootnoteBoldChar"/>
          <w:rtl/>
        </w:rPr>
        <w:t>و</w:t>
      </w:r>
      <w:r w:rsidR="00D1493A">
        <w:rPr>
          <w:rStyle w:val="libFootnoteBoldChar"/>
          <w:rFonts w:hint="cs"/>
          <w:rtl/>
        </w:rPr>
        <w:t>الفقيه</w:t>
      </w:r>
      <w:r w:rsidR="00E3253D" w:rsidRPr="005D642E">
        <w:rPr>
          <w:rtl/>
        </w:rPr>
        <w:t xml:space="preserve">، ج 1 ، ص 162 ، ح 456 ، مرسلاً </w:t>
      </w:r>
      <w:r w:rsidR="00D1493A">
        <w:rPr>
          <w:rFonts w:hint="cs"/>
          <w:rtl/>
        </w:rPr>
        <w:t>.</w:t>
      </w:r>
      <w:r w:rsidR="00E3253D" w:rsidRPr="002F4D34">
        <w:rPr>
          <w:rStyle w:val="libFootnoteBoldChar"/>
          <w:rtl/>
        </w:rPr>
        <w:t>الوافي</w:t>
      </w:r>
      <w:r w:rsidR="00E3253D" w:rsidRPr="005D642E">
        <w:rPr>
          <w:rtl/>
        </w:rPr>
        <w:t xml:space="preserve"> ، ج 24 ، ص 399 ، ح 24311 ؛ </w:t>
      </w:r>
      <w:r w:rsidR="00E3253D" w:rsidRPr="002F4D34">
        <w:rPr>
          <w:rStyle w:val="libFootnoteBoldChar"/>
          <w:rtl/>
        </w:rPr>
        <w:t>الوسائل</w:t>
      </w:r>
      <w:r w:rsidR="00E3253D" w:rsidRPr="005D642E">
        <w:rPr>
          <w:rtl/>
        </w:rPr>
        <w:t xml:space="preserve"> ، ج 3 ، ص 143 ، ح 3237.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عَمِيرَةَ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مَنْ شَيَّعَ مَيِّتاً </w:t>
      </w:r>
      <w:r w:rsidRPr="007C12DB">
        <w:rPr>
          <w:rStyle w:val="libFootnotenumChar"/>
          <w:rtl/>
        </w:rPr>
        <w:t>(1)</w:t>
      </w:r>
      <w:r w:rsidRPr="005D642E">
        <w:rPr>
          <w:rtl/>
          <w:lang w:bidi="fa-IR"/>
        </w:rPr>
        <w:t xml:space="preserve"> حَتّى يُصَلّى عَلَيْهِ </w:t>
      </w:r>
      <w:r w:rsidRPr="007C12DB">
        <w:rPr>
          <w:rStyle w:val="libFootnotenumChar"/>
          <w:rtl/>
        </w:rPr>
        <w:t>(2)</w:t>
      </w:r>
      <w:r w:rsidRPr="005D642E">
        <w:rPr>
          <w:rtl/>
          <w:lang w:bidi="fa-IR"/>
        </w:rPr>
        <w:t xml:space="preserve"> ، كَانَ لَهُ قِيرَاطٌ </w:t>
      </w:r>
      <w:r w:rsidRPr="007C12DB">
        <w:rPr>
          <w:rStyle w:val="libFootnotenumChar"/>
          <w:rtl/>
        </w:rPr>
        <w:t>(3)</w:t>
      </w:r>
      <w:r w:rsidRPr="005D642E">
        <w:rPr>
          <w:rtl/>
          <w:lang w:bidi="fa-IR"/>
        </w:rPr>
        <w:t xml:space="preserve"> مِنَ الْأَجْرِ ؛ وَمَنْ بَلَغَ مَعَهُ إِلى قَبْرِهِ حَتّى يُدْفَنَ ، كَانَ لَهُ قِيرَاطَانِ مِنَ الْأَجْرِ </w:t>
      </w:r>
      <w:r w:rsidRPr="007C12DB">
        <w:rPr>
          <w:rStyle w:val="libFootnotenumChar"/>
          <w:rtl/>
        </w:rPr>
        <w:t>(4)</w:t>
      </w:r>
      <w:r w:rsidRPr="005D642E">
        <w:rPr>
          <w:rtl/>
          <w:lang w:bidi="fa-IR"/>
        </w:rPr>
        <w:t xml:space="preserve"> ، وَالْقِيرَاطُ مِثْلُ جَبَلِ أُحُدٍ</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4F1EBC">
        <w:rPr>
          <w:rtl/>
        </w:rPr>
        <w:t>4464</w:t>
      </w:r>
      <w:r w:rsidRPr="00246318">
        <w:rPr>
          <w:rStyle w:val="libBold2Char"/>
          <w:rtl/>
        </w:rPr>
        <w:t xml:space="preserve"> / 5.</w:t>
      </w:r>
      <w:r w:rsidRPr="005D642E">
        <w:rPr>
          <w:rtl/>
          <w:lang w:bidi="fa-IR"/>
        </w:rPr>
        <w:t xml:space="preserve"> عِدَّةٌ مِنْ أَصْحَابِنَا ، عَنْ سَهْلِ بْنِ زِيَادٍ ، عَنِ ابْنِ أَبِي نَجْرَانَ ، عَنْ عَاصِمِ بْنِ حُمَيْدٍ ، عَنْ أَبِي بَصِيرٍ ، قَالَ :</w:t>
      </w:r>
    </w:p>
    <w:p w:rsidR="00E3253D" w:rsidRPr="005D642E" w:rsidRDefault="00E3253D" w:rsidP="00E3253D">
      <w:pPr>
        <w:pStyle w:val="libNormal"/>
        <w:rPr>
          <w:rtl/>
          <w:lang w:bidi="fa-IR"/>
        </w:rPr>
      </w:pPr>
      <w:r w:rsidRPr="005D642E">
        <w:rPr>
          <w:rtl/>
          <w:lang w:bidi="fa-IR"/>
        </w:rPr>
        <w:t xml:space="preserve">سَمِعْتُ أَبَا جَعْفَرٍ </w:t>
      </w:r>
      <w:r w:rsidRPr="00AC51C5">
        <w:rPr>
          <w:rStyle w:val="libAlaemChar"/>
          <w:rtl/>
        </w:rPr>
        <w:t>عليه‌السلام</w:t>
      </w:r>
      <w:r w:rsidRPr="005D642E">
        <w:rPr>
          <w:rtl/>
          <w:lang w:bidi="fa-IR"/>
        </w:rPr>
        <w:t xml:space="preserve"> يَقُولُ : « مَنْ مَشى مَعَ جَنَازَةٍ حَتّى يُصَلّى عَلَيْهَا ، ثُمَّ رَجَعَ </w:t>
      </w:r>
      <w:r w:rsidRPr="007C12DB">
        <w:rPr>
          <w:rStyle w:val="libFootnotenumChar"/>
          <w:rtl/>
        </w:rPr>
        <w:t>(6)</w:t>
      </w:r>
      <w:r w:rsidRPr="005D642E">
        <w:rPr>
          <w:rtl/>
          <w:lang w:bidi="fa-IR"/>
        </w:rPr>
        <w:t xml:space="preserve"> ، كَانَ لَهُ قِيرَاطٌ مِنَ الْأَجْرِ </w:t>
      </w:r>
      <w:r w:rsidRPr="007C12DB">
        <w:rPr>
          <w:rStyle w:val="libFootnotenumChar"/>
          <w:rtl/>
        </w:rPr>
        <w:t>(7)</w:t>
      </w:r>
      <w:r w:rsidRPr="005D642E">
        <w:rPr>
          <w:rtl/>
          <w:lang w:bidi="fa-IR"/>
        </w:rPr>
        <w:t xml:space="preserve"> ، فَإِذَا </w:t>
      </w:r>
      <w:r w:rsidRPr="007C12DB">
        <w:rPr>
          <w:rStyle w:val="libFootnotenumChar"/>
          <w:rtl/>
        </w:rPr>
        <w:t>(8)</w:t>
      </w:r>
      <w:r w:rsidRPr="005D642E">
        <w:rPr>
          <w:rtl/>
          <w:lang w:bidi="fa-IR"/>
        </w:rPr>
        <w:t xml:space="preserve"> مَشى مَعَهَا </w:t>
      </w:r>
      <w:r w:rsidRPr="007C12DB">
        <w:rPr>
          <w:rStyle w:val="libFootnotenumChar"/>
          <w:rtl/>
        </w:rPr>
        <w:t>(9)</w:t>
      </w:r>
      <w:r w:rsidRPr="005D642E">
        <w:rPr>
          <w:rtl/>
          <w:lang w:bidi="fa-IR"/>
        </w:rPr>
        <w:t xml:space="preserve"> حَتّى تُدْفَنَ </w:t>
      </w:r>
      <w:r w:rsidRPr="007C12DB">
        <w:rPr>
          <w:rStyle w:val="libFootnotenumChar"/>
          <w:rtl/>
        </w:rPr>
        <w:t>(10)</w:t>
      </w:r>
      <w:r w:rsidRPr="005D642E">
        <w:rPr>
          <w:rtl/>
          <w:lang w:bidi="fa-IR"/>
        </w:rPr>
        <w:t xml:space="preserve"> ، كَانَ لَهُ قِيرَاطَانِ ، وَالْقِيرَاطُ مِثْلُ جَبَلِ أُحُدٍ</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4F1EBC">
        <w:rPr>
          <w:rtl/>
        </w:rPr>
        <w:t>4465</w:t>
      </w:r>
      <w:r w:rsidRPr="00246318">
        <w:rPr>
          <w:rStyle w:val="libBold2Char"/>
          <w:rtl/>
        </w:rPr>
        <w:t xml:space="preserve"> / 6.</w:t>
      </w:r>
      <w:r w:rsidRPr="005D642E">
        <w:rPr>
          <w:rtl/>
          <w:lang w:bidi="fa-IR"/>
        </w:rPr>
        <w:t xml:space="preserve"> أَبُو عَلِيٍّ الْأَشْعَرِيُّ ، عَنْ مُحَمَّدِ بْنِ عَبْدِ الْجَبَّارِ ، عَنِ ابْنِ فَضَّالٍ ، عَنْ عَلِيِّ بْنِ‌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1493A" w:rsidTr="00D1493A">
        <w:tc>
          <w:tcPr>
            <w:tcW w:w="4006" w:type="dxa"/>
          </w:tcPr>
          <w:p w:rsidR="00D1493A" w:rsidRDefault="00D1493A" w:rsidP="00E3253D">
            <w:pPr>
              <w:pStyle w:val="libFootnote0"/>
              <w:rPr>
                <w:rStyle w:val="libFootnote0Char"/>
                <w:rtl/>
              </w:rPr>
            </w:pPr>
            <w:r w:rsidRPr="0042621E">
              <w:rPr>
                <w:rStyle w:val="libFootnote0Char"/>
                <w:rtl/>
              </w:rPr>
              <w:t>(1).</w:t>
            </w:r>
            <w:r>
              <w:rPr>
                <w:rtl/>
              </w:rPr>
              <w:t xml:space="preserve"> </w:t>
            </w:r>
            <w:r w:rsidRPr="005D642E">
              <w:rPr>
                <w:rtl/>
              </w:rPr>
              <w:t>في حاشية « بث » : « مؤمناً</w:t>
            </w:r>
            <w:r>
              <w:rPr>
                <w:rtl/>
              </w:rPr>
              <w:t xml:space="preserve"> ».</w:t>
            </w:r>
          </w:p>
        </w:tc>
        <w:tc>
          <w:tcPr>
            <w:tcW w:w="4006" w:type="dxa"/>
          </w:tcPr>
          <w:p w:rsidR="00D1493A" w:rsidRDefault="00D1493A" w:rsidP="00E3253D">
            <w:pPr>
              <w:pStyle w:val="libFootnote0"/>
              <w:rPr>
                <w:rStyle w:val="libFootnote0Char"/>
                <w:rtl/>
              </w:rPr>
            </w:pPr>
            <w:r w:rsidRPr="0042621E">
              <w:rPr>
                <w:rStyle w:val="libFootnote0Char"/>
                <w:rtl/>
              </w:rPr>
              <w:t>(2).</w:t>
            </w:r>
            <w:r w:rsidRPr="005D642E">
              <w:rPr>
                <w:rtl/>
              </w:rPr>
              <w:t xml:space="preserve"> في « بخ » :</w:t>
            </w:r>
            <w:r>
              <w:rPr>
                <w:rtl/>
              </w:rPr>
              <w:t xml:space="preserve"> - </w:t>
            </w:r>
            <w:r w:rsidRPr="005D642E">
              <w:rPr>
                <w:rtl/>
              </w:rPr>
              <w:t>« عليه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القيراط » : جزء من أجزاء الدينار ، وهو نصف عُشره في أكثر البلاد ، وأهل الشام يجعلونه جزءاً من أربعة وعشرين ، والياء فيه بدل من الراء </w:t>
      </w:r>
      <w:r w:rsidR="00D1493A">
        <w:rPr>
          <w:rtl/>
        </w:rPr>
        <w:t>؛ فإنّ أصله : قِرّاط. قال العل</w:t>
      </w:r>
      <w:r w:rsidR="00D1493A">
        <w:rPr>
          <w:rFonts w:hint="cs"/>
          <w:rtl/>
        </w:rPr>
        <w:t>ّ</w:t>
      </w:r>
      <w:r w:rsidR="00D1493A">
        <w:rPr>
          <w:rtl/>
        </w:rPr>
        <w:t>ا</w:t>
      </w:r>
      <w:r w:rsidR="00E3253D" w:rsidRPr="005D642E">
        <w:rPr>
          <w:rtl/>
        </w:rPr>
        <w:t>مة المجلسي : « والمراد هنا قدر من الثواب</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4 ، ص 42 ( قرط ) ؛ </w:t>
      </w:r>
      <w:r w:rsidR="00E3253D" w:rsidRPr="002F4D34">
        <w:rPr>
          <w:rStyle w:val="libFootnoteBoldChar"/>
          <w:rtl/>
        </w:rPr>
        <w:t>مرآة العقول</w:t>
      </w:r>
      <w:r w:rsidR="00E3253D" w:rsidRPr="005D642E">
        <w:rPr>
          <w:rtl/>
        </w:rPr>
        <w:t xml:space="preserve"> ، ج 14 ، ص 21.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من الأجر</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24 ، ص 400 ، ح 24313 ؛ </w:t>
      </w:r>
      <w:r w:rsidR="00E3253D" w:rsidRPr="002F4D34">
        <w:rPr>
          <w:rStyle w:val="libFootnoteBoldChar"/>
          <w:rtl/>
        </w:rPr>
        <w:t>الوسائل</w:t>
      </w:r>
      <w:r w:rsidR="00E3253D" w:rsidRPr="005D642E">
        <w:rPr>
          <w:rtl/>
        </w:rPr>
        <w:t xml:space="preserve"> ، ج 3 ، ص 146 ، ح 3245.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 ثمّ يرجع</w:t>
      </w:r>
      <w:r w:rsidR="00E3253D">
        <w:rPr>
          <w:rtl/>
        </w:rPr>
        <w:t xml:space="preserve"> ».</w:t>
      </w:r>
    </w:p>
    <w:p w:rsidR="00E3253D" w:rsidRPr="005D642E" w:rsidRDefault="0042621E" w:rsidP="00D1493A">
      <w:pPr>
        <w:pStyle w:val="libFootnote0"/>
        <w:rPr>
          <w:rtl/>
          <w:lang w:bidi="fa-IR"/>
        </w:rPr>
      </w:pPr>
      <w:r w:rsidRPr="0042621E">
        <w:rPr>
          <w:rStyle w:val="libFootnote0Char"/>
          <w:rtl/>
        </w:rPr>
        <w:t>(7).</w:t>
      </w:r>
      <w:r w:rsidR="00E3253D" w:rsidRPr="005D642E">
        <w:rPr>
          <w:rtl/>
        </w:rPr>
        <w:t xml:space="preserve"> في « غ ، ى ، بث ، بس ، جح ، جس » </w:t>
      </w:r>
      <w:r w:rsidR="009E68BB" w:rsidRPr="009E68BB">
        <w:rPr>
          <w:rStyle w:val="libFootnoteBoldChar"/>
          <w:rtl/>
        </w:rPr>
        <w:t>و</w:t>
      </w:r>
      <w:r w:rsidR="00D1493A">
        <w:rPr>
          <w:rStyle w:val="libFootnoteBoldChar"/>
          <w:rFonts w:hint="cs"/>
          <w:rtl/>
        </w:rPr>
        <w:t>الفقيه</w:t>
      </w:r>
      <w:r w:rsidR="00E3253D" w:rsidRPr="005D642E">
        <w:rPr>
          <w:rtl/>
        </w:rPr>
        <w:t xml:space="preserve">، ج 1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من الأجر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1493A" w:rsidTr="00D1493A">
        <w:tc>
          <w:tcPr>
            <w:tcW w:w="4006" w:type="dxa"/>
          </w:tcPr>
          <w:p w:rsidR="00D1493A" w:rsidRDefault="00D1493A" w:rsidP="00D1493A">
            <w:pPr>
              <w:pStyle w:val="libFootnote0"/>
              <w:rPr>
                <w:rStyle w:val="libFootnote0Char"/>
                <w:rtl/>
              </w:rPr>
            </w:pPr>
            <w:r w:rsidRPr="0042621E">
              <w:rPr>
                <w:rStyle w:val="libFootnote0Char"/>
                <w:rtl/>
              </w:rPr>
              <w:t>(8).</w:t>
            </w:r>
            <w:r>
              <w:rPr>
                <w:rtl/>
              </w:rPr>
              <w:t xml:space="preserve"> في «بح ، جح</w:t>
            </w:r>
            <w:r w:rsidRPr="005D642E">
              <w:rPr>
                <w:rtl/>
              </w:rPr>
              <w:t xml:space="preserve">» </w:t>
            </w:r>
            <w:r w:rsidRPr="009E68BB">
              <w:rPr>
                <w:rStyle w:val="libFootnoteBoldChar"/>
                <w:rtl/>
              </w:rPr>
              <w:t>و</w:t>
            </w:r>
            <w:r>
              <w:rPr>
                <w:rStyle w:val="libFootnoteBoldChar"/>
                <w:rFonts w:hint="cs"/>
                <w:rtl/>
              </w:rPr>
              <w:t>الفقيه</w:t>
            </w:r>
            <w:r w:rsidRPr="005D642E">
              <w:rPr>
                <w:rtl/>
              </w:rPr>
              <w:t xml:space="preserve"> ، ج 1 : « وإذا</w:t>
            </w:r>
            <w:r>
              <w:rPr>
                <w:rtl/>
              </w:rPr>
              <w:t xml:space="preserve"> ».</w:t>
            </w:r>
          </w:p>
        </w:tc>
        <w:tc>
          <w:tcPr>
            <w:tcW w:w="4006" w:type="dxa"/>
          </w:tcPr>
          <w:p w:rsidR="00D1493A" w:rsidRDefault="00D1493A" w:rsidP="00E3253D">
            <w:pPr>
              <w:pStyle w:val="libFootnote0"/>
              <w:rPr>
                <w:rStyle w:val="libFootnote0Char"/>
                <w:rtl/>
              </w:rPr>
            </w:pPr>
            <w:r w:rsidRPr="0042621E">
              <w:rPr>
                <w:rStyle w:val="libFootnote0Char"/>
                <w:rtl/>
              </w:rPr>
              <w:t>(9).</w:t>
            </w:r>
            <w:r w:rsidRPr="005D642E">
              <w:rPr>
                <w:rtl/>
              </w:rPr>
              <w:t xml:space="preserve"> في « بف » : « معه</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ى ، بخ » </w:t>
      </w:r>
      <w:r w:rsidR="000D749A" w:rsidRPr="000D749A">
        <w:rPr>
          <w:rStyle w:val="libFootnoteBoldChar"/>
          <w:rtl/>
        </w:rPr>
        <w:t>والوافي</w:t>
      </w:r>
      <w:r w:rsidR="00E3253D" w:rsidRPr="005D642E">
        <w:rPr>
          <w:rtl/>
        </w:rPr>
        <w:t xml:space="preserve"> : « حتّى يدفن</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455 ، ح 1485 ، معلّقاً عن سهل بن زياد. </w:t>
      </w:r>
      <w:r w:rsidR="00E3253D" w:rsidRPr="002F4D34">
        <w:rPr>
          <w:rStyle w:val="libFootnoteBoldChar"/>
          <w:rtl/>
        </w:rPr>
        <w:t>الفقيه</w:t>
      </w:r>
      <w:r w:rsidR="00E3253D" w:rsidRPr="005D642E">
        <w:rPr>
          <w:rtl/>
        </w:rPr>
        <w:t xml:space="preserve"> ، ج 4 ، ص 17 ، ضمن الحديث الطويل 4968 ، بسند آخر عن جعفر بن محمّد ، عن آبائه </w:t>
      </w:r>
      <w:r w:rsidR="00E3253D" w:rsidRPr="00D1493A">
        <w:rPr>
          <w:rStyle w:val="libFootnoteAlaemChar"/>
          <w:rtl/>
        </w:rPr>
        <w:t>عليهم‌السلام</w:t>
      </w:r>
      <w:r w:rsidR="00E3253D" w:rsidRPr="005D642E">
        <w:rPr>
          <w:rtl/>
        </w:rPr>
        <w:t xml:space="preserve"> عن رسول الله </w:t>
      </w:r>
      <w:r w:rsidRPr="00D1493A">
        <w:rPr>
          <w:rStyle w:val="libFootnoteAlaemChar"/>
          <w:rtl/>
        </w:rPr>
        <w:t>صلى‌الله‌عليه‌وآله</w:t>
      </w:r>
      <w:r w:rsidR="00E3253D" w:rsidRPr="005D642E">
        <w:rPr>
          <w:rtl/>
        </w:rPr>
        <w:t xml:space="preserve"> ؛ </w:t>
      </w:r>
      <w:r w:rsidR="00E3253D" w:rsidRPr="002F4D34">
        <w:rPr>
          <w:rStyle w:val="libFootnoteBoldChar"/>
          <w:rtl/>
        </w:rPr>
        <w:t>ثواب الأعمال</w:t>
      </w:r>
      <w:r w:rsidR="00E3253D" w:rsidRPr="005D642E">
        <w:rPr>
          <w:rtl/>
        </w:rPr>
        <w:t xml:space="preserve"> ، ص 344 ، ضمن الحديث الطويل 1 ، بسند آخر عن رسول الله </w:t>
      </w:r>
      <w:r w:rsidRPr="00D1493A">
        <w:rPr>
          <w:rStyle w:val="libFootnoteAlaemChar"/>
          <w:rtl/>
        </w:rPr>
        <w:t>صلى‌الله‌عليه‌وآله</w:t>
      </w:r>
      <w:r w:rsidR="00E3253D" w:rsidRPr="005D642E">
        <w:rPr>
          <w:rtl/>
        </w:rPr>
        <w:t xml:space="preserve"> ، وفيهما من قوله : « فإذا مشى معها حتّى تدفن » مع اختلاف. </w:t>
      </w:r>
      <w:r w:rsidR="00E3253D" w:rsidRPr="002F4D34">
        <w:rPr>
          <w:rStyle w:val="libFootnoteBoldChar"/>
          <w:rtl/>
        </w:rPr>
        <w:t>الفقيه</w:t>
      </w:r>
      <w:r w:rsidR="00E3253D" w:rsidRPr="005D642E">
        <w:rPr>
          <w:rtl/>
        </w:rPr>
        <w:t xml:space="preserve"> ، ج 1 ، ص 161 ، ح 452 ، مرسلاً. وراجع : </w:t>
      </w:r>
      <w:r w:rsidR="000D749A" w:rsidRPr="000D749A">
        <w:rPr>
          <w:rStyle w:val="libFootnoteBoldChar"/>
          <w:rtl/>
        </w:rPr>
        <w:t>الأمالي للصدوق</w:t>
      </w:r>
      <w:r w:rsidR="00E3253D" w:rsidRPr="005D642E">
        <w:rPr>
          <w:rtl/>
        </w:rPr>
        <w:t xml:space="preserve"> ، ص 431 ، المجلس 66 ، ح 1 </w:t>
      </w:r>
      <w:r w:rsidR="00D1493A">
        <w:rPr>
          <w:rFonts w:hint="cs"/>
          <w:rtl/>
        </w:rPr>
        <w:t>.</w:t>
      </w:r>
      <w:r w:rsidR="00E3253D" w:rsidRPr="002F4D34">
        <w:rPr>
          <w:rStyle w:val="libFootnoteBoldChar"/>
          <w:rtl/>
        </w:rPr>
        <w:t>الوافي</w:t>
      </w:r>
      <w:r w:rsidR="00E3253D" w:rsidRPr="005D642E">
        <w:rPr>
          <w:rtl/>
        </w:rPr>
        <w:t xml:space="preserve"> ، ج 24 ، ص 400 ، ح 24314 ؛ </w:t>
      </w:r>
      <w:r w:rsidR="00E3253D" w:rsidRPr="002F4D34">
        <w:rPr>
          <w:rStyle w:val="libFootnoteBoldChar"/>
          <w:rtl/>
        </w:rPr>
        <w:t>الوسائل</w:t>
      </w:r>
      <w:r w:rsidR="00E3253D" w:rsidRPr="005D642E">
        <w:rPr>
          <w:rtl/>
        </w:rPr>
        <w:t xml:space="preserve"> ، ج 3 ، ص 145 ، ح 3244.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عُقْبَةَ ، عَنْ مُيَسِّرٍ ، قَالَ :</w:t>
      </w:r>
    </w:p>
    <w:p w:rsidR="00E3253D" w:rsidRPr="005D642E" w:rsidRDefault="00E3253D" w:rsidP="00E3253D">
      <w:pPr>
        <w:pStyle w:val="libNormal"/>
        <w:rPr>
          <w:rtl/>
          <w:lang w:bidi="fa-IR"/>
        </w:rPr>
      </w:pPr>
      <w:r w:rsidRPr="005D642E">
        <w:rPr>
          <w:rtl/>
          <w:lang w:bidi="fa-IR"/>
        </w:rPr>
        <w:t xml:space="preserve">سَمِعْتُ أَبَا جَعْفَرٍ </w:t>
      </w:r>
      <w:r w:rsidRPr="00AC51C5">
        <w:rPr>
          <w:rStyle w:val="libAlaemChar"/>
          <w:rtl/>
        </w:rPr>
        <w:t>عليه‌السلام</w:t>
      </w:r>
      <w:r w:rsidRPr="005D642E">
        <w:rPr>
          <w:rtl/>
          <w:lang w:bidi="fa-IR"/>
        </w:rPr>
        <w:t xml:space="preserve"> يَقُولُ : « مَنْ تَبِعَ جَنَازَةَ مُسْلِمٍ ، أُعْطِيَ يَوْمَ الْقِيَامَةِ أَرْبَعَ شَفَاعَات</w:t>
      </w:r>
      <w:r w:rsidR="00D1493A">
        <w:rPr>
          <w:rtl/>
          <w:lang w:bidi="fa-IR"/>
        </w:rPr>
        <w:t>ٍ ، وَلَمْ يَقُلْ شَيْئاً إِل</w:t>
      </w:r>
      <w:r w:rsidR="00D1493A">
        <w:rPr>
          <w:rFonts w:hint="cs"/>
          <w:rtl/>
          <w:lang w:bidi="fa-IR"/>
        </w:rPr>
        <w:t>َّ</w:t>
      </w:r>
      <w:r w:rsidR="00D1493A">
        <w:rPr>
          <w:rtl/>
          <w:lang w:bidi="fa-IR"/>
        </w:rPr>
        <w:t>ا</w:t>
      </w:r>
      <w:r w:rsidRPr="005D642E">
        <w:rPr>
          <w:rtl/>
          <w:lang w:bidi="fa-IR"/>
        </w:rPr>
        <w:t xml:space="preserve"> قَالَ </w:t>
      </w:r>
      <w:r w:rsidRPr="007C12DB">
        <w:rPr>
          <w:rStyle w:val="libFootnotenumChar"/>
          <w:rtl/>
        </w:rPr>
        <w:t>(1)</w:t>
      </w:r>
      <w:r w:rsidRPr="005D642E">
        <w:rPr>
          <w:rtl/>
          <w:lang w:bidi="fa-IR"/>
        </w:rPr>
        <w:t xml:space="preserve"> الْمَلَكُ : وَلَكَ مِثْلُ ذلِكَ</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4F1EBC">
        <w:rPr>
          <w:rtl/>
        </w:rPr>
        <w:t>4466</w:t>
      </w:r>
      <w:r w:rsidRPr="00246318">
        <w:rPr>
          <w:rStyle w:val="libBold2Char"/>
          <w:rtl/>
        </w:rPr>
        <w:t xml:space="preserve"> / 7.</w:t>
      </w:r>
      <w:r w:rsidRPr="005D642E">
        <w:rPr>
          <w:rtl/>
          <w:lang w:bidi="fa-IR"/>
        </w:rPr>
        <w:t xml:space="preserve"> مُحَمَّدُ بْنُ يَحْيى ، عَنْ أَحْمَدَ بْنِ مُحَمَّدِ بْنِ عِيسى ، عَنِ الْحُسَيْنِ بْنِ سَعِيدٍ ، عَنِ الْحُسَيْنِ بْنِ عُلْوَانَ ، عَنْ سَعْدِ بْنِ طَرِيفٍ ، عَنِ الْأَصْبَغِ بْنِ نُبَاتَةَ </w:t>
      </w:r>
      <w:r w:rsidRPr="007C12DB">
        <w:rPr>
          <w:rStyle w:val="libFootnotenumChar"/>
          <w:rtl/>
        </w:rPr>
        <w:t>(3)</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قَالَ أَمِيرُ الْمُؤْمِنِينَ </w:t>
      </w:r>
      <w:r w:rsidRPr="00AC51C5">
        <w:rPr>
          <w:rStyle w:val="libAlaemChar"/>
          <w:rtl/>
        </w:rPr>
        <w:t>عليه‌السلام</w:t>
      </w:r>
      <w:r w:rsidRPr="005D642E">
        <w:rPr>
          <w:rtl/>
          <w:lang w:bidi="fa-IR"/>
        </w:rPr>
        <w:t xml:space="preserve"> : « مَنْ تَبِعَ جَنَازَةً </w:t>
      </w:r>
      <w:r w:rsidRPr="007C12DB">
        <w:rPr>
          <w:rStyle w:val="libFootnotenumChar"/>
          <w:rtl/>
        </w:rPr>
        <w:t>(4)</w:t>
      </w:r>
      <w:r w:rsidRPr="005D642E">
        <w:rPr>
          <w:rtl/>
          <w:lang w:bidi="fa-IR"/>
        </w:rPr>
        <w:t xml:space="preserve"> ، كَتَبَ اللهُ </w:t>
      </w:r>
      <w:r w:rsidRPr="007C12DB">
        <w:rPr>
          <w:rStyle w:val="libFootnotenumChar"/>
          <w:rtl/>
        </w:rPr>
        <w:t>(5)</w:t>
      </w:r>
      <w:r w:rsidRPr="005D642E">
        <w:rPr>
          <w:rtl/>
          <w:lang w:bidi="fa-IR"/>
        </w:rPr>
        <w:t xml:space="preserve"> لَهُ </w:t>
      </w:r>
      <w:r w:rsidRPr="007C12DB">
        <w:rPr>
          <w:rStyle w:val="libFootnotenumChar"/>
          <w:rtl/>
        </w:rPr>
        <w:t>(6)</w:t>
      </w:r>
      <w:r w:rsidRPr="005D642E">
        <w:rPr>
          <w:rtl/>
          <w:lang w:bidi="fa-IR"/>
        </w:rPr>
        <w:t xml:space="preserve"> أَرْبَعَ </w:t>
      </w:r>
      <w:r w:rsidRPr="007C12DB">
        <w:rPr>
          <w:rStyle w:val="libFootnotenumChar"/>
          <w:rtl/>
        </w:rPr>
        <w:t>(7)</w:t>
      </w:r>
      <w:r w:rsidRPr="005D642E">
        <w:rPr>
          <w:rtl/>
          <w:lang w:bidi="fa-IR"/>
        </w:rPr>
        <w:t xml:space="preserve"> قَرَارِيطَ : قِيرَاطٌ بِاتِّبَاعِهِ </w:t>
      </w:r>
      <w:r w:rsidRPr="007C12DB">
        <w:rPr>
          <w:rStyle w:val="libFootnotenumChar"/>
          <w:rtl/>
        </w:rPr>
        <w:t>(8)</w:t>
      </w:r>
      <w:r w:rsidRPr="005D642E">
        <w:rPr>
          <w:rtl/>
          <w:lang w:bidi="fa-IR"/>
        </w:rPr>
        <w:t xml:space="preserve"> ، وَقِيرَاطٌ لِلصَّلَاةِ </w:t>
      </w:r>
      <w:r w:rsidRPr="007C12DB">
        <w:rPr>
          <w:rStyle w:val="libFootnotenumChar"/>
          <w:rtl/>
        </w:rPr>
        <w:t>(9)</w:t>
      </w:r>
      <w:r w:rsidRPr="005D642E">
        <w:rPr>
          <w:rtl/>
          <w:lang w:bidi="fa-IR"/>
        </w:rPr>
        <w:t xml:space="preserve"> عَلَيْهَا ، وَقِيرَاطٌ بِالِانْتِظَارِ حَتّى يَفْرُغَ مِنْ دَفْنِهَا ، وَقِيرَاطٌ لِلتَّعْزِيَةِ</w:t>
      </w:r>
      <w:r w:rsidRPr="007C12DB">
        <w:rPr>
          <w:rStyle w:val="libFootnotenumChar"/>
          <w:rtl/>
        </w:rPr>
        <w:t>(10)</w:t>
      </w:r>
      <w:r>
        <w:rPr>
          <w:rtl/>
          <w:lang w:bidi="fa-IR"/>
        </w:rPr>
        <w:t>».</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4F1EBC">
        <w:rPr>
          <w:rtl/>
        </w:rPr>
        <w:t>4467</w:t>
      </w:r>
      <w:r w:rsidRPr="00246318">
        <w:rPr>
          <w:rStyle w:val="libBold2Char"/>
          <w:rtl/>
        </w:rPr>
        <w:t xml:space="preserve"> / 8.</w:t>
      </w:r>
      <w:r w:rsidRPr="005D642E">
        <w:rPr>
          <w:rtl/>
          <w:lang w:bidi="fa-IR"/>
        </w:rPr>
        <w:t xml:space="preserve"> مُحَمَّدُ بْنُ يَحْيى ، عَنْ أَحْمَدَ بْنِ مُحَمَّدٍ ، عَنِ ابْنِ سِنَانٍ ، عَنْ أَبِي الْجَارُودِ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فِيمَا </w:t>
      </w:r>
      <w:r w:rsidRPr="007C12DB">
        <w:rPr>
          <w:rStyle w:val="libFootnotenumChar"/>
          <w:rtl/>
        </w:rPr>
        <w:t>(12)</w:t>
      </w:r>
      <w:r w:rsidRPr="005D642E">
        <w:rPr>
          <w:rtl/>
          <w:lang w:bidi="fa-IR"/>
        </w:rPr>
        <w:t xml:space="preserve"> نَاجى بِهِ مُوسى </w:t>
      </w:r>
      <w:r w:rsidRPr="00AC51C5">
        <w:rPr>
          <w:rStyle w:val="libAlaemChar"/>
          <w:rtl/>
        </w:rPr>
        <w:t>عليه‌السلام</w:t>
      </w:r>
      <w:r w:rsidRPr="005D642E">
        <w:rPr>
          <w:rtl/>
          <w:lang w:bidi="fa-IR"/>
        </w:rPr>
        <w:t xml:space="preserve"> رَبَّهُ‌</w:t>
      </w:r>
      <w:r w:rsidR="00C4507F">
        <w:rPr>
          <w:rFonts w:hint="cs"/>
          <w:rtl/>
          <w:lang w:bidi="fa-IR"/>
        </w:rPr>
        <w:t xml:space="preserve"> ................</w:t>
      </w:r>
      <w:r w:rsidR="00C4507F">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C4507F">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التي قوبلت </w:t>
      </w:r>
      <w:r w:rsidR="009E68BB" w:rsidRPr="009E68BB">
        <w:rPr>
          <w:rStyle w:val="libFootnoteBoldChar"/>
          <w:rtl/>
        </w:rPr>
        <w:t>و</w:t>
      </w:r>
      <w:r w:rsidR="00C4507F">
        <w:rPr>
          <w:rStyle w:val="libFootnoteBoldChar"/>
          <w:rFonts w:hint="cs"/>
          <w:rtl/>
        </w:rPr>
        <w:t>الفقيه</w:t>
      </w:r>
      <w:r w:rsidR="00E3253D" w:rsidRPr="005D642E">
        <w:rPr>
          <w:rtl/>
        </w:rPr>
        <w:t xml:space="preserve"> </w:t>
      </w:r>
      <w:r w:rsidR="00B60612" w:rsidRPr="00B60612">
        <w:rPr>
          <w:rStyle w:val="libFootnoteBoldChar"/>
          <w:rtl/>
        </w:rPr>
        <w:t>والتهذيب</w:t>
      </w:r>
      <w:r w:rsidR="00E3253D" w:rsidRPr="005D642E">
        <w:rPr>
          <w:rtl/>
        </w:rPr>
        <w:t xml:space="preserve"> والأمال</w:t>
      </w:r>
      <w:r w:rsidR="00C4507F">
        <w:rPr>
          <w:rtl/>
        </w:rPr>
        <w:t>ي. وفي المطبوع والوسائل : « إل</w:t>
      </w:r>
      <w:r w:rsidR="00C4507F">
        <w:rPr>
          <w:rFonts w:hint="cs"/>
          <w:rtl/>
        </w:rPr>
        <w:t>ّ</w:t>
      </w:r>
      <w:r w:rsidR="00C4507F">
        <w:rPr>
          <w:rtl/>
        </w:rPr>
        <w:t>ا</w:t>
      </w:r>
      <w:r w:rsidR="00E3253D" w:rsidRPr="005D642E">
        <w:rPr>
          <w:rtl/>
        </w:rPr>
        <w:t xml:space="preserve"> وقال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455 ، ح 1483 ، معلّقاً عن أبي عليّ الأشعري. </w:t>
      </w:r>
      <w:r w:rsidR="000D749A" w:rsidRPr="000D749A">
        <w:rPr>
          <w:rStyle w:val="libFootnoteBoldChar"/>
          <w:rtl/>
        </w:rPr>
        <w:t>الأمالي للصدوق</w:t>
      </w:r>
      <w:r w:rsidR="00E3253D" w:rsidRPr="005D642E">
        <w:rPr>
          <w:rtl/>
        </w:rPr>
        <w:t xml:space="preserve"> ، ص 217 ، المجلس 39 ، ح 3 ، بسنده عن الحسن بن عليّ بن فضّال ، عن عليّ بن عقبة. </w:t>
      </w:r>
      <w:r w:rsidR="00E3253D" w:rsidRPr="002F4D34">
        <w:rPr>
          <w:rStyle w:val="libFootnoteBoldChar"/>
          <w:rtl/>
        </w:rPr>
        <w:t>الفقيه</w:t>
      </w:r>
      <w:r w:rsidR="00E3253D" w:rsidRPr="005D642E">
        <w:rPr>
          <w:rtl/>
        </w:rPr>
        <w:t xml:space="preserve"> ، ج 1 ، ص 161 ، ح 453 ، مرسلاً ، وفيهما مع اختلاف يسير </w:t>
      </w:r>
      <w:r w:rsidR="00C4507F">
        <w:rPr>
          <w:rFonts w:hint="cs"/>
          <w:rtl/>
        </w:rPr>
        <w:t>.</w:t>
      </w:r>
      <w:r w:rsidR="00E3253D" w:rsidRPr="002F4D34">
        <w:rPr>
          <w:rStyle w:val="libFootnoteBoldChar"/>
          <w:rtl/>
        </w:rPr>
        <w:t>الوافي</w:t>
      </w:r>
      <w:r w:rsidR="00E3253D" w:rsidRPr="005D642E">
        <w:rPr>
          <w:rtl/>
        </w:rPr>
        <w:t xml:space="preserve"> ، ج 24 ، ص 401 ، ح 24315 ؛ </w:t>
      </w:r>
      <w:r w:rsidR="00E3253D" w:rsidRPr="002F4D34">
        <w:rPr>
          <w:rStyle w:val="libFootnoteBoldChar"/>
          <w:rtl/>
        </w:rPr>
        <w:t>الوسائل</w:t>
      </w:r>
      <w:r w:rsidR="00E3253D" w:rsidRPr="005D642E">
        <w:rPr>
          <w:rtl/>
        </w:rPr>
        <w:t xml:space="preserve"> ، ج 3 ، ص 141 ، ح 3234.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جح ، جس » :</w:t>
      </w:r>
      <w:r w:rsidR="00E3253D">
        <w:rPr>
          <w:rtl/>
        </w:rPr>
        <w:t xml:space="preserve"> </w:t>
      </w:r>
      <w:r w:rsidR="007642BC">
        <w:rPr>
          <w:rtl/>
        </w:rPr>
        <w:t>-</w:t>
      </w:r>
      <w:r w:rsidR="00E3253D">
        <w:rPr>
          <w:rtl/>
        </w:rPr>
        <w:t xml:space="preserve"> </w:t>
      </w:r>
      <w:r w:rsidR="00E3253D" w:rsidRPr="005D642E">
        <w:rPr>
          <w:rtl/>
        </w:rPr>
        <w:t>« بن نباتة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ج 14 ، ص 22 : « قوله </w:t>
      </w:r>
      <w:r w:rsidR="00E3253D" w:rsidRPr="00C4507F">
        <w:rPr>
          <w:rStyle w:val="libFootnoteAlaemChar"/>
          <w:rtl/>
        </w:rPr>
        <w:t>عليه‌السلام</w:t>
      </w:r>
      <w:r w:rsidR="00E3253D" w:rsidRPr="005D642E">
        <w:rPr>
          <w:rtl/>
        </w:rPr>
        <w:t xml:space="preserve"> : من تبع جنازة إلخ ، يمكن رفع التنافي بينه وبين الرابع بأنّ القيراطين‌</w:t>
      </w:r>
      <w:r w:rsidR="00C4507F">
        <w:rPr>
          <w:rFonts w:hint="cs"/>
          <w:rtl/>
        </w:rPr>
        <w:t xml:space="preserve"> </w:t>
      </w:r>
      <w:r w:rsidR="00E3253D" w:rsidRPr="005D642E">
        <w:rPr>
          <w:rtl/>
        </w:rPr>
        <w:t xml:space="preserve">هناك للمشي إلى الصلاة وإلى الدفن وزيد هاهنا قيراط للصلاة وآخر للتعزية. ويمكن أن يكون القيراط الأوّل من القيراطين هناك مساوياً لقيراطين ممّا ذكر هاهنا. ويحتمل أن يكون الاختلاف بحسب الأشخاص والنيّات. </w:t>
      </w:r>
      <w:r w:rsidR="00C4507F">
        <w:rPr>
          <w:rtl/>
        </w:rPr>
        <w:t>كذا أفاده الوالد العل</w:t>
      </w:r>
      <w:r w:rsidR="00C4507F">
        <w:rPr>
          <w:rFonts w:hint="cs"/>
          <w:rtl/>
        </w:rPr>
        <w:t>ّ</w:t>
      </w:r>
      <w:r w:rsidR="00C4507F">
        <w:rPr>
          <w:rtl/>
        </w:rPr>
        <w:t>ا</w:t>
      </w:r>
      <w:r w:rsidR="00E3253D" w:rsidRPr="005D642E">
        <w:rPr>
          <w:rtl/>
        </w:rPr>
        <w:t>مة طاب ثراه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جس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r w:rsidR="00E3253D" w:rsidRPr="005D642E">
        <w:rPr>
          <w:rtl/>
        </w:rPr>
        <w:t xml:space="preserve"> وفي حاشية « بخ » والوسائل : + « من الأجر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4507F" w:rsidTr="00C4507F">
        <w:tc>
          <w:tcPr>
            <w:tcW w:w="4006" w:type="dxa"/>
          </w:tcPr>
          <w:p w:rsidR="00C4507F" w:rsidRDefault="00C4507F" w:rsidP="00C4507F">
            <w:pPr>
              <w:pStyle w:val="libFootnote0"/>
              <w:rPr>
                <w:rStyle w:val="libFootnote0Char"/>
                <w:rtl/>
              </w:rPr>
            </w:pPr>
            <w:r w:rsidRPr="0042621E">
              <w:rPr>
                <w:rStyle w:val="libFootnote0Char"/>
                <w:rtl/>
              </w:rPr>
              <w:t>(7).</w:t>
            </w:r>
            <w:r w:rsidRPr="005D642E">
              <w:rPr>
                <w:rtl/>
              </w:rPr>
              <w:t xml:space="preserve"> في الوافي </w:t>
            </w:r>
            <w:r w:rsidRPr="009E68BB">
              <w:rPr>
                <w:rStyle w:val="libFootnoteBoldChar"/>
                <w:rtl/>
              </w:rPr>
              <w:t>و</w:t>
            </w:r>
            <w:r>
              <w:rPr>
                <w:rStyle w:val="libFootnoteBoldChar"/>
                <w:rFonts w:hint="cs"/>
                <w:rtl/>
              </w:rPr>
              <w:t>الفقيه</w:t>
            </w:r>
            <w:r>
              <w:rPr>
                <w:rtl/>
              </w:rPr>
              <w:t>: «</w:t>
            </w:r>
            <w:r w:rsidRPr="005D642E">
              <w:rPr>
                <w:rtl/>
              </w:rPr>
              <w:t>أربعة</w:t>
            </w:r>
            <w:r>
              <w:rPr>
                <w:rtl/>
              </w:rPr>
              <w:t>».</w:t>
            </w:r>
          </w:p>
        </w:tc>
        <w:tc>
          <w:tcPr>
            <w:tcW w:w="4006" w:type="dxa"/>
          </w:tcPr>
          <w:p w:rsidR="00C4507F" w:rsidRDefault="00C4507F" w:rsidP="00C4507F">
            <w:pPr>
              <w:pStyle w:val="libFootnote0"/>
              <w:rPr>
                <w:rStyle w:val="libFootnote0Char"/>
                <w:rtl/>
              </w:rPr>
            </w:pPr>
            <w:r w:rsidRPr="0042621E">
              <w:rPr>
                <w:rStyle w:val="libFootnote0Char"/>
                <w:rtl/>
              </w:rPr>
              <w:t>(8).</w:t>
            </w:r>
            <w:r w:rsidRPr="005D642E">
              <w:rPr>
                <w:rtl/>
              </w:rPr>
              <w:t xml:space="preserve"> في الوافي </w:t>
            </w:r>
            <w:r w:rsidRPr="009E68BB">
              <w:rPr>
                <w:rStyle w:val="libFootnoteBoldChar"/>
                <w:rtl/>
              </w:rPr>
              <w:t>و</w:t>
            </w:r>
            <w:r>
              <w:rPr>
                <w:rStyle w:val="libFootnoteBoldChar"/>
                <w:rFonts w:hint="cs"/>
                <w:rtl/>
              </w:rPr>
              <w:t>الفقيه</w:t>
            </w:r>
            <w:r w:rsidRPr="005D642E">
              <w:rPr>
                <w:rtl/>
              </w:rPr>
              <w:t xml:space="preserve"> </w:t>
            </w:r>
            <w:r w:rsidRPr="00B60612">
              <w:rPr>
                <w:rStyle w:val="libFootnoteBoldChar"/>
                <w:rtl/>
              </w:rPr>
              <w:t>والتهذيب</w:t>
            </w:r>
            <w:r w:rsidRPr="005D642E">
              <w:rPr>
                <w:rtl/>
              </w:rPr>
              <w:t xml:space="preserve"> : + « إيّاها</w:t>
            </w:r>
            <w:r>
              <w:rPr>
                <w:rtl/>
              </w:rPr>
              <w:t xml:space="preserve"> ».</w:t>
            </w:r>
          </w:p>
        </w:tc>
      </w:tr>
      <w:tr w:rsidR="00C4507F" w:rsidTr="00C4507F">
        <w:tc>
          <w:tcPr>
            <w:tcW w:w="4006" w:type="dxa"/>
          </w:tcPr>
          <w:p w:rsidR="00C4507F" w:rsidRDefault="00C4507F" w:rsidP="00E3253D">
            <w:pPr>
              <w:pStyle w:val="libFootnote0"/>
              <w:rPr>
                <w:rStyle w:val="libFootnote0Char"/>
                <w:rtl/>
              </w:rPr>
            </w:pPr>
            <w:r w:rsidRPr="0042621E">
              <w:rPr>
                <w:rStyle w:val="libFootnote0Char"/>
                <w:rtl/>
              </w:rPr>
              <w:t>(9).</w:t>
            </w:r>
            <w:r>
              <w:rPr>
                <w:rtl/>
              </w:rPr>
              <w:t xml:space="preserve"> في «</w:t>
            </w:r>
            <w:r w:rsidRPr="005D642E">
              <w:rPr>
                <w:rtl/>
              </w:rPr>
              <w:t xml:space="preserve">بخ </w:t>
            </w:r>
            <w:r>
              <w:rPr>
                <w:rtl/>
              </w:rPr>
              <w:t>، بف</w:t>
            </w:r>
            <w:r w:rsidRPr="005D642E">
              <w:rPr>
                <w:rtl/>
              </w:rPr>
              <w:t xml:space="preserve">» </w:t>
            </w:r>
            <w:r w:rsidRPr="000D749A">
              <w:rPr>
                <w:rStyle w:val="libFootnoteBoldChar"/>
                <w:rtl/>
              </w:rPr>
              <w:t>والوافي</w:t>
            </w:r>
            <w:r w:rsidRPr="005D642E">
              <w:rPr>
                <w:rtl/>
              </w:rPr>
              <w:t xml:space="preserve"> </w:t>
            </w:r>
            <w:r w:rsidRPr="00B60612">
              <w:rPr>
                <w:rStyle w:val="libFootnoteBoldChar"/>
                <w:rtl/>
              </w:rPr>
              <w:t>والتهذيب</w:t>
            </w:r>
            <w:r>
              <w:rPr>
                <w:rtl/>
              </w:rPr>
              <w:t xml:space="preserve"> : «</w:t>
            </w:r>
            <w:r w:rsidRPr="005D642E">
              <w:rPr>
                <w:rtl/>
              </w:rPr>
              <w:t>بالصلاة</w:t>
            </w:r>
            <w:r>
              <w:rPr>
                <w:rtl/>
              </w:rPr>
              <w:t>».</w:t>
            </w:r>
          </w:p>
        </w:tc>
        <w:tc>
          <w:tcPr>
            <w:tcW w:w="4006" w:type="dxa"/>
          </w:tcPr>
          <w:p w:rsidR="00C4507F" w:rsidRDefault="00C4507F" w:rsidP="00E3253D">
            <w:pPr>
              <w:pStyle w:val="libFootnote0"/>
              <w:rPr>
                <w:rStyle w:val="libFootnote0Char"/>
                <w:rtl/>
              </w:rPr>
            </w:pPr>
            <w:r w:rsidRPr="0042621E">
              <w:rPr>
                <w:rStyle w:val="libFootnote0Char"/>
                <w:rtl/>
              </w:rPr>
              <w:t>(10).</w:t>
            </w:r>
            <w:r w:rsidRPr="005D642E">
              <w:rPr>
                <w:rtl/>
              </w:rPr>
              <w:t xml:space="preserve"> في الوافي : « بالتعزية</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455 ، ح 1484 ، معلّقاً عن الحسين بن سعيد. </w:t>
      </w:r>
      <w:r w:rsidR="00E3253D" w:rsidRPr="002F4D34">
        <w:rPr>
          <w:rStyle w:val="libFootnoteBoldChar"/>
          <w:rtl/>
        </w:rPr>
        <w:t>الفقيه</w:t>
      </w:r>
      <w:r w:rsidR="00E3253D" w:rsidRPr="005D642E">
        <w:rPr>
          <w:rtl/>
        </w:rPr>
        <w:t xml:space="preserve"> ، ج 1 ، ص 161 ، ح 451 ، مرسلاً ومع اختلاف يسير </w:t>
      </w:r>
      <w:r w:rsidR="00C4507F">
        <w:rPr>
          <w:rFonts w:hint="cs"/>
          <w:rtl/>
        </w:rPr>
        <w:t>.</w:t>
      </w:r>
      <w:r w:rsidR="00E3253D" w:rsidRPr="002F4D34">
        <w:rPr>
          <w:rStyle w:val="libFootnoteBoldChar"/>
          <w:rtl/>
        </w:rPr>
        <w:t>الوافي</w:t>
      </w:r>
      <w:r w:rsidR="00E3253D" w:rsidRPr="005D642E">
        <w:rPr>
          <w:rtl/>
        </w:rPr>
        <w:t xml:space="preserve"> ، ج 24 ، ص 401 ، ح 24316 ؛ </w:t>
      </w:r>
      <w:r w:rsidR="00E3253D" w:rsidRPr="002F4D34">
        <w:rPr>
          <w:rStyle w:val="libFootnoteBoldChar"/>
          <w:rtl/>
        </w:rPr>
        <w:t>الوسائل</w:t>
      </w:r>
      <w:r w:rsidR="00E3253D" w:rsidRPr="005D642E">
        <w:rPr>
          <w:rtl/>
        </w:rPr>
        <w:t xml:space="preserve"> ، ج 3 ، ص 145 ، ح 3242.</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بح ، بف » وحاشية « بث ، بخ » </w:t>
      </w:r>
      <w:r w:rsidR="000D749A" w:rsidRPr="00C4507F">
        <w:rPr>
          <w:rtl/>
        </w:rPr>
        <w:t>والوافي</w:t>
      </w:r>
      <w:r w:rsidR="00E3253D" w:rsidRPr="005D642E">
        <w:rPr>
          <w:rtl/>
        </w:rPr>
        <w:t xml:space="preserve"> والوسائل والثواب : « كان فيما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قَالَ </w:t>
      </w:r>
      <w:r w:rsidRPr="007C12DB">
        <w:rPr>
          <w:rStyle w:val="libFootnotenumChar"/>
          <w:rtl/>
        </w:rPr>
        <w:t>(1)</w:t>
      </w:r>
      <w:r w:rsidRPr="005D642E">
        <w:rPr>
          <w:rtl/>
          <w:lang w:bidi="fa-IR"/>
        </w:rPr>
        <w:t xml:space="preserve"> : يَا رَبِّ ، مَا لِمَنْ شَيَّعَ </w:t>
      </w:r>
      <w:r w:rsidRPr="007C12DB">
        <w:rPr>
          <w:rStyle w:val="libFootnotenumChar"/>
          <w:rtl/>
        </w:rPr>
        <w:t>(2)</w:t>
      </w:r>
      <w:r w:rsidRPr="005D642E">
        <w:rPr>
          <w:rtl/>
          <w:lang w:bidi="fa-IR"/>
        </w:rPr>
        <w:t xml:space="preserve"> جَنَازَةً</w:t>
      </w:r>
      <w:r>
        <w:rPr>
          <w:rtl/>
          <w:lang w:bidi="fa-IR"/>
        </w:rPr>
        <w:t>؟</w:t>
      </w:r>
      <w:r w:rsidRPr="005D642E">
        <w:rPr>
          <w:rtl/>
          <w:lang w:bidi="fa-IR"/>
        </w:rPr>
        <w:t xml:space="preserve"> قَالَ : أُوَكِّلُ بِهِ مَلَائِكَةً مِنْ مَلَائِكَتِي مَعَهُمْ رَايَاتٌ يُشَيِّعُونَهُمْ مِنْ قُبُورِهِمْ إِلى مَحْشَرِهِمْ</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386" w:name="_Toc344647339"/>
      <w:bookmarkStart w:id="387" w:name="_Toc462226853"/>
      <w:bookmarkStart w:id="388" w:name="_Toc40975962"/>
      <w:r w:rsidRPr="005D642E">
        <w:rPr>
          <w:rtl/>
          <w:lang w:bidi="fa-IR"/>
        </w:rPr>
        <w:t>44</w:t>
      </w:r>
      <w:r>
        <w:rPr>
          <w:rtl/>
          <w:lang w:bidi="fa-IR"/>
        </w:rPr>
        <w:t xml:space="preserve"> </w:t>
      </w:r>
      <w:r w:rsidR="007642BC">
        <w:rPr>
          <w:rtl/>
          <w:lang w:bidi="fa-IR"/>
        </w:rPr>
        <w:t>-</w:t>
      </w:r>
      <w:r>
        <w:rPr>
          <w:rtl/>
          <w:lang w:bidi="fa-IR"/>
        </w:rPr>
        <w:t xml:space="preserve"> </w:t>
      </w:r>
      <w:r w:rsidRPr="005D642E">
        <w:rPr>
          <w:rtl/>
          <w:lang w:bidi="fa-IR"/>
        </w:rPr>
        <w:t xml:space="preserve">بَابُ ثَوَابِ مَنْ حَمَلَ جَنَازَةً </w:t>
      </w:r>
      <w:r w:rsidRPr="007C12DB">
        <w:rPr>
          <w:rStyle w:val="libFootnotenumChar"/>
          <w:rtl/>
        </w:rPr>
        <w:t>(4)</w:t>
      </w:r>
      <w:r w:rsidRPr="005D642E">
        <w:rPr>
          <w:rtl/>
          <w:lang w:bidi="fa-IR"/>
        </w:rPr>
        <w:t xml:space="preserve"> ‌</w:t>
      </w:r>
      <w:bookmarkEnd w:id="386"/>
      <w:bookmarkEnd w:id="387"/>
      <w:bookmarkEnd w:id="388"/>
    </w:p>
    <w:p w:rsidR="00E3253D" w:rsidRPr="005D642E" w:rsidRDefault="00E3253D" w:rsidP="00E3253D">
      <w:pPr>
        <w:pStyle w:val="libNormal"/>
        <w:rPr>
          <w:rtl/>
          <w:lang w:bidi="fa-IR"/>
        </w:rPr>
      </w:pPr>
      <w:r w:rsidRPr="004F1EBC">
        <w:rPr>
          <w:rtl/>
        </w:rPr>
        <w:t>4468</w:t>
      </w:r>
      <w:r w:rsidRPr="00246318">
        <w:rPr>
          <w:rStyle w:val="libBold2Char"/>
          <w:rtl/>
        </w:rPr>
        <w:t xml:space="preserve"> / 1.</w:t>
      </w:r>
      <w:r w:rsidRPr="005D642E">
        <w:rPr>
          <w:rtl/>
          <w:lang w:bidi="fa-IR"/>
        </w:rPr>
        <w:t xml:space="preserve"> عَلِيُّ بْنُ إِبْرَاهِيمَ ، عَنْ أَبِيهِ ، عَنِ ابْنِ أَبِي عُمَيْرٍ ، عَنْ سَيْفِ بْنِ عَمِيرَةَ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مَنْ حَمَلَ جَنَازَةً مِنْ أَرْبَعِ جَوَانِبِهَا ، غَفَرَ اللهُ </w:t>
      </w:r>
      <w:r w:rsidRPr="007C12DB">
        <w:rPr>
          <w:rStyle w:val="libFootnotenumChar"/>
          <w:rtl/>
        </w:rPr>
        <w:t>(5)</w:t>
      </w:r>
      <w:r w:rsidRPr="005D642E">
        <w:rPr>
          <w:rtl/>
          <w:lang w:bidi="fa-IR"/>
        </w:rPr>
        <w:t xml:space="preserve"> لَهُ أَرْبَعِينَ كَبِيرَةً</w:t>
      </w:r>
      <w:r>
        <w:rPr>
          <w:rtl/>
          <w:lang w:bidi="fa-IR"/>
        </w:rPr>
        <w:t>».</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228C0">
        <w:rPr>
          <w:rtl/>
        </w:rPr>
        <w:t>4469</w:t>
      </w:r>
      <w:r w:rsidRPr="00246318">
        <w:rPr>
          <w:rStyle w:val="libBold2Char"/>
          <w:rtl/>
        </w:rPr>
        <w:t xml:space="preserve"> / 2.</w:t>
      </w:r>
      <w:r w:rsidRPr="005D642E">
        <w:rPr>
          <w:rtl/>
          <w:lang w:bidi="fa-IR"/>
        </w:rPr>
        <w:t xml:space="preserve"> الْحُسَيْنُ بْنُ مُحَمَّدٍ ، عَنْ أَحْمَدَ بْنِ إِسْحَاقَ ، عَنْ سَعْدَانَ بْنِ مُسْلِمٍ ، عَنْ سُلَيْمَانَ بْنِ خَالِدٍ </w:t>
      </w:r>
      <w:r w:rsidRPr="007C12DB">
        <w:rPr>
          <w:rStyle w:val="libFootnotenumChar"/>
          <w:rtl/>
        </w:rPr>
        <w:t>(7)</w:t>
      </w:r>
      <w:r w:rsidRPr="005D642E">
        <w:rPr>
          <w:rtl/>
          <w:lang w:bidi="fa-IR"/>
        </w:rPr>
        <w:t xml:space="preserve"> ، عَنْ رَجُلٍ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أَخَذَ بِقَائِمَةِ </w:t>
      </w:r>
      <w:r w:rsidRPr="007C12DB">
        <w:rPr>
          <w:rStyle w:val="libFootnotenumChar"/>
          <w:rtl/>
        </w:rPr>
        <w:t>(8)</w:t>
      </w:r>
      <w:r w:rsidRPr="005D642E">
        <w:rPr>
          <w:rtl/>
          <w:lang w:bidi="fa-IR"/>
        </w:rPr>
        <w:t xml:space="preserve"> السَّرِيرِ ، غَفَرَ اللهُ لَهُ خَمْساً وَعِشْرِينَ‌</w:t>
      </w:r>
      <w:r>
        <w:rPr>
          <w:rFonts w:hint="cs"/>
          <w:rtl/>
          <w:lang w:bidi="fa-IR"/>
        </w:rPr>
        <w:t xml:space="preserve"> </w:t>
      </w:r>
      <w:r w:rsidRPr="005D642E">
        <w:rPr>
          <w:rtl/>
          <w:lang w:bidi="fa-IR"/>
        </w:rPr>
        <w:t xml:space="preserve">كَبِيرَةً ؛ وَإِذَا </w:t>
      </w:r>
      <w:r w:rsidRPr="007C12DB">
        <w:rPr>
          <w:rStyle w:val="libFootnotenumChar"/>
          <w:rtl/>
        </w:rPr>
        <w:t>(9)</w:t>
      </w:r>
      <w:r w:rsidRPr="005D642E">
        <w:rPr>
          <w:rtl/>
          <w:lang w:bidi="fa-IR"/>
        </w:rPr>
        <w:t xml:space="preserve"> رَبَّعَ ، خَرَجَ مِنَ الذُّنُوبِ</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بف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r w:rsidR="00E3253D" w:rsidRPr="005D642E">
        <w:rPr>
          <w:rtl/>
        </w:rPr>
        <w:t xml:space="preserve"> وفي الوافي والوسائل والثواب : « أن 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 « يُشيّع</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ثواب الأعمال</w:t>
      </w:r>
      <w:r w:rsidR="00E3253D" w:rsidRPr="005D642E">
        <w:rPr>
          <w:rtl/>
        </w:rPr>
        <w:t xml:space="preserve"> ، ص 231 ، ح 1 ، بسنده عن أحمد بن محمّد بن عيسى ، عن محمّد بن سنان ، عن أبي الجارود ، مع اختلاف يسير </w:t>
      </w:r>
      <w:r w:rsidR="00C4507F">
        <w:rPr>
          <w:rFonts w:hint="cs"/>
          <w:rtl/>
        </w:rPr>
        <w:t>.</w:t>
      </w:r>
      <w:r w:rsidR="00E3253D" w:rsidRPr="002F4D34">
        <w:rPr>
          <w:rStyle w:val="libFootnoteBoldChar"/>
          <w:rtl/>
        </w:rPr>
        <w:t>الوافي</w:t>
      </w:r>
      <w:r w:rsidR="00E3253D" w:rsidRPr="005D642E">
        <w:rPr>
          <w:rtl/>
        </w:rPr>
        <w:t xml:space="preserve"> ، ج 24 ، ص 401 ، ح 24317 ؛ </w:t>
      </w:r>
      <w:r w:rsidR="00E3253D" w:rsidRPr="002F4D34">
        <w:rPr>
          <w:rStyle w:val="libFootnoteBoldChar"/>
          <w:rtl/>
        </w:rPr>
        <w:t>الوسائل</w:t>
      </w:r>
      <w:r w:rsidR="00E3253D" w:rsidRPr="005D642E">
        <w:rPr>
          <w:rtl/>
        </w:rPr>
        <w:t xml:space="preserve"> ، ج 3 ، ص 142 ، ح 3235.</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ومرآة العقول : « الجنازة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بس ، بف ، جس »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454 ، ح 1479 ، بسنده عن ابن أبي عمير. </w:t>
      </w:r>
      <w:r w:rsidR="00E3253D" w:rsidRPr="002F4D34">
        <w:rPr>
          <w:rStyle w:val="libFootnoteBoldChar"/>
          <w:rtl/>
        </w:rPr>
        <w:t>الفقيه</w:t>
      </w:r>
      <w:r w:rsidR="00E3253D" w:rsidRPr="005D642E">
        <w:rPr>
          <w:rtl/>
        </w:rPr>
        <w:t xml:space="preserve"> ، ج 1 ، ص 162 ، ح 458 ، مرسلاً ومع اختلاف يسير </w:t>
      </w:r>
      <w:r w:rsidR="008F45E9">
        <w:rPr>
          <w:rFonts w:hint="cs"/>
          <w:rtl/>
        </w:rPr>
        <w:t>.</w:t>
      </w:r>
      <w:r w:rsidR="00E3253D" w:rsidRPr="002F4D34">
        <w:rPr>
          <w:rStyle w:val="libFootnoteBoldChar"/>
          <w:rtl/>
        </w:rPr>
        <w:t>الوافي</w:t>
      </w:r>
      <w:r w:rsidR="00E3253D" w:rsidRPr="005D642E">
        <w:rPr>
          <w:rtl/>
        </w:rPr>
        <w:t xml:space="preserve"> ، ج 24 ، ص 395 ، ح 24297 ؛ </w:t>
      </w:r>
      <w:r w:rsidR="00E3253D" w:rsidRPr="002F4D34">
        <w:rPr>
          <w:rStyle w:val="libFootnoteBoldChar"/>
          <w:rtl/>
        </w:rPr>
        <w:t xml:space="preserve">الوسائل </w:t>
      </w:r>
      <w:r w:rsidR="00E3253D" w:rsidRPr="005D642E">
        <w:rPr>
          <w:rtl/>
        </w:rPr>
        <w:t>، ج 3 ، ص 153 ، ذيل ح 3265.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الخبر رواه الصدوق في </w:t>
      </w:r>
      <w:r w:rsidR="00E3253D" w:rsidRPr="002F4D34">
        <w:rPr>
          <w:rStyle w:val="libFootnoteBoldChar"/>
          <w:rtl/>
        </w:rPr>
        <w:t>ثواب الأعمال</w:t>
      </w:r>
      <w:r w:rsidR="00E3253D" w:rsidRPr="005D642E">
        <w:rPr>
          <w:rtl/>
        </w:rPr>
        <w:t xml:space="preserve"> ، ص 233 ، ح 1 بسنده عن سعدان بن مسلم ، عن سليمان بن صالح ، عن أبيه ، عن أبي عبدالله </w:t>
      </w:r>
      <w:r w:rsidR="00E3253D" w:rsidRPr="008F45E9">
        <w:rPr>
          <w:rStyle w:val="libFootnoteAlaemChar"/>
          <w:rtl/>
        </w:rPr>
        <w:t>عليه‌السلام</w:t>
      </w:r>
      <w:r w:rsidR="00E3253D" w:rsidRPr="005D642E">
        <w:rPr>
          <w:rtl/>
        </w:rPr>
        <w:t>. ولم نجد رواية سعدان عن مسلم بن سليمان بن خالد ولا عن سليمان بن صالح في موضع ، كما لم نجد رواية سليمان بن صالح عن أبيه.</w:t>
      </w:r>
    </w:p>
    <w:tbl>
      <w:tblPr>
        <w:tblStyle w:val="TableGrid"/>
        <w:bidiVisual/>
        <w:tblW w:w="0" w:type="auto"/>
        <w:tblLook w:val="04A0" w:firstRow="1" w:lastRow="0" w:firstColumn="1" w:lastColumn="0" w:noHBand="0" w:noVBand="1"/>
      </w:tblPr>
      <w:tblGrid>
        <w:gridCol w:w="4006"/>
        <w:gridCol w:w="4006"/>
      </w:tblGrid>
      <w:tr w:rsidR="008F45E9" w:rsidTr="008F45E9">
        <w:tc>
          <w:tcPr>
            <w:tcW w:w="4006" w:type="dxa"/>
          </w:tcPr>
          <w:p w:rsidR="008F45E9" w:rsidRDefault="008F45E9" w:rsidP="00E3253D">
            <w:pPr>
              <w:pStyle w:val="libFootnote0"/>
              <w:rPr>
                <w:rStyle w:val="libFootnote0Char"/>
                <w:rtl/>
              </w:rPr>
            </w:pPr>
            <w:r w:rsidRPr="0042621E">
              <w:rPr>
                <w:rStyle w:val="libFootnote0Char"/>
                <w:rtl/>
              </w:rPr>
              <w:t>(8).</w:t>
            </w:r>
            <w:r w:rsidRPr="005D642E">
              <w:rPr>
                <w:rtl/>
              </w:rPr>
              <w:t xml:space="preserve"> في الفقيه : « بقوائم</w:t>
            </w:r>
            <w:r>
              <w:rPr>
                <w:rtl/>
              </w:rPr>
              <w:t xml:space="preserve"> ».</w:t>
            </w:r>
          </w:p>
        </w:tc>
        <w:tc>
          <w:tcPr>
            <w:tcW w:w="4006" w:type="dxa"/>
          </w:tcPr>
          <w:p w:rsidR="008F45E9" w:rsidRDefault="008F45E9" w:rsidP="00E3253D">
            <w:pPr>
              <w:pStyle w:val="libFootnote0"/>
              <w:rPr>
                <w:rStyle w:val="libFootnote0Char"/>
                <w:rtl/>
              </w:rPr>
            </w:pPr>
            <w:r w:rsidRPr="0042621E">
              <w:rPr>
                <w:rStyle w:val="libFootnote0Char"/>
                <w:rtl/>
              </w:rPr>
              <w:t>(9).</w:t>
            </w:r>
            <w:r w:rsidRPr="005D642E">
              <w:rPr>
                <w:rtl/>
              </w:rPr>
              <w:t xml:space="preserve"> في « بف ، جح » </w:t>
            </w:r>
            <w:r w:rsidRPr="000D749A">
              <w:rPr>
                <w:rStyle w:val="libFootnoteBoldChar"/>
                <w:rtl/>
              </w:rPr>
              <w:t>والوافي</w:t>
            </w:r>
            <w:r w:rsidRPr="005D642E">
              <w:rPr>
                <w:rtl/>
              </w:rPr>
              <w:t xml:space="preserve"> والثواب : « فإذا</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ثواب الأعمال</w:t>
      </w:r>
      <w:r w:rsidR="00E3253D" w:rsidRPr="005D642E">
        <w:rPr>
          <w:rtl/>
        </w:rPr>
        <w:t xml:space="preserve"> ، ص 233 ، ح 1 ، بسنده عن سعدان بن مسلم ، عن سليمان بن صالح ، عن أبيه ، عن </w:t>
      </w:r>
      <w:r w:rsidR="008F45E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327C8B">
        <w:rPr>
          <w:rtl/>
        </w:rPr>
        <w:t>4470</w:t>
      </w:r>
      <w:r w:rsidRPr="00246318">
        <w:rPr>
          <w:rStyle w:val="libBold2Char"/>
          <w:rtl/>
        </w:rPr>
        <w:t xml:space="preserve"> / 3.</w:t>
      </w:r>
      <w:r w:rsidRPr="005D642E">
        <w:rPr>
          <w:rtl/>
          <w:lang w:bidi="fa-IR"/>
        </w:rPr>
        <w:t xml:space="preserve"> أَبُو عَلِيٍّ الْأَشْعَرِيُّ ، عَنْ مُحَمَّدِ بْنِ عَبْدِ الْجَبَّارِ ، عَنِ الْحَجَّالِ ، عَنْ عَلِيِّ بْنِ شَجَرَةَ ، عَنْ عِيسَى بْنِ رَاشِدٍ ، عَنْ رَجُلٍ مِنْ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سَمِعْتُهُ يَقُولُ : « مَنْ أَخَذَ بِجَوَانِبِ السَّرِيرِ الْأَرْبَعَةِ ، غَفَرَ اللهُ </w:t>
      </w:r>
      <w:r w:rsidRPr="007C12DB">
        <w:rPr>
          <w:rStyle w:val="libFootnotenumChar"/>
          <w:rtl/>
        </w:rPr>
        <w:t>(1)</w:t>
      </w:r>
      <w:r w:rsidRPr="005D642E">
        <w:rPr>
          <w:rtl/>
          <w:lang w:bidi="fa-IR"/>
        </w:rPr>
        <w:t xml:space="preserve"> لَهُ أَرْبَعِينَ كَبِيرَةً</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389" w:name="_Toc344647340"/>
      <w:bookmarkStart w:id="390" w:name="_Toc462226854"/>
      <w:bookmarkStart w:id="391" w:name="_Toc40975963"/>
      <w:r w:rsidRPr="005D642E">
        <w:rPr>
          <w:rtl/>
          <w:lang w:bidi="fa-IR"/>
        </w:rPr>
        <w:t>45</w:t>
      </w:r>
      <w:r>
        <w:rPr>
          <w:rtl/>
          <w:lang w:bidi="fa-IR"/>
        </w:rPr>
        <w:t xml:space="preserve"> </w:t>
      </w:r>
      <w:r w:rsidR="007642BC">
        <w:rPr>
          <w:rtl/>
          <w:lang w:bidi="fa-IR"/>
        </w:rPr>
        <w:t>-</w:t>
      </w:r>
      <w:r>
        <w:rPr>
          <w:rtl/>
          <w:lang w:bidi="fa-IR"/>
        </w:rPr>
        <w:t xml:space="preserve"> </w:t>
      </w:r>
      <w:r w:rsidRPr="005D642E">
        <w:rPr>
          <w:rtl/>
          <w:lang w:bidi="fa-IR"/>
        </w:rPr>
        <w:t>بَابُ جَنَائِزِ الرِّجَالِ وَالنِّسَاءِ وَالصِّبْيَانِ وَالْأَحْرَارِ وَالْعَبِيدِ‌</w:t>
      </w:r>
      <w:bookmarkEnd w:id="389"/>
      <w:bookmarkEnd w:id="390"/>
      <w:bookmarkEnd w:id="391"/>
    </w:p>
    <w:p w:rsidR="00E3253D" w:rsidRPr="005D642E" w:rsidRDefault="00E3253D" w:rsidP="00E3253D">
      <w:pPr>
        <w:pStyle w:val="libNormal"/>
        <w:rPr>
          <w:rtl/>
          <w:lang w:bidi="fa-IR"/>
        </w:rPr>
      </w:pPr>
      <w:r w:rsidRPr="00327C8B">
        <w:rPr>
          <w:rtl/>
        </w:rPr>
        <w:t>4471</w:t>
      </w:r>
      <w:r w:rsidRPr="00246318">
        <w:rPr>
          <w:rStyle w:val="libBold2Char"/>
          <w:rtl/>
        </w:rPr>
        <w:t xml:space="preserve"> / 1.</w:t>
      </w:r>
      <w:r w:rsidRPr="005D642E">
        <w:rPr>
          <w:rtl/>
          <w:lang w:bidi="fa-IR"/>
        </w:rPr>
        <w:t xml:space="preserve"> عِدَّةٌ مِنْ أَصْحَابِنَا ، عَنْ سَهْلِ بْنِ زِيَادٍ ، عَنْ أَحْمَدَ بْنِ مُحَمَّدِ بْنِ أَبِي نَصْرٍ ، عَنِ الْعَلَاءِ بْنِ رَزِينٍ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سَأَلْتُهُ : كَيْفَ يُصَلّى عَلَى الرِّجَالِ وَالنِّسَاءِ</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(3)</w:t>
      </w:r>
      <w:r w:rsidRPr="005D642E">
        <w:rPr>
          <w:rtl/>
          <w:lang w:bidi="fa-IR"/>
        </w:rPr>
        <w:t xml:space="preserve"> : « يُوضَعُ الرَّجُلُ مِمَّا يَلِي الرِّجَالَ </w:t>
      </w:r>
      <w:r w:rsidRPr="007C12DB">
        <w:rPr>
          <w:rStyle w:val="libFootnotenumChar"/>
          <w:rtl/>
        </w:rPr>
        <w:t>(4)</w:t>
      </w:r>
      <w:r w:rsidRPr="005D642E">
        <w:rPr>
          <w:rtl/>
          <w:lang w:bidi="fa-IR"/>
        </w:rPr>
        <w:t xml:space="preserve"> ، وَالنِّسَاءُ خَلْفَ الرِّجَالِ</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327C8B">
        <w:rPr>
          <w:rtl/>
        </w:rPr>
        <w:t>4472</w:t>
      </w:r>
      <w:r w:rsidRPr="00246318">
        <w:rPr>
          <w:rStyle w:val="libBold2Char"/>
          <w:rtl/>
        </w:rPr>
        <w:t xml:space="preserve"> / 2.</w:t>
      </w:r>
      <w:r w:rsidRPr="005D642E">
        <w:rPr>
          <w:rtl/>
          <w:lang w:bidi="fa-IR"/>
        </w:rPr>
        <w:t xml:space="preserve"> مُحَمَّدُ بْنُ يَحْيى ، عَنْ مُحَمَّدِ بْنِ أَحْمَدَ ، عَنْ أَحْمَدَ بْنِ الْحَسَنِ بْنِ عَلِيٍّ ، عَنْ عَمْرِو بْنِ سَعِيدٍ ، عَنْ مُصَدِّقِ بْنِ صَدَقَةَ ، عَنْ عَمَّارٍ السَّابَاطِيِّ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الرَّجُلِ يُصَلِّي عَلى مَيِّتَيْنِ ، أَوْ ثَلَاثَةِ مَوْتى </w:t>
      </w:r>
      <w:r w:rsidRPr="007C12DB">
        <w:rPr>
          <w:rStyle w:val="libFootnotenumChar"/>
          <w:rtl/>
        </w:rPr>
        <w:t>(7)</w:t>
      </w:r>
      <w:r w:rsidRPr="005D642E">
        <w:rPr>
          <w:rtl/>
          <w:lang w:bidi="fa-IR"/>
        </w:rPr>
        <w:t xml:space="preserve"> كَيْفَ يُصَلِّي‌</w:t>
      </w:r>
    </w:p>
    <w:p w:rsidR="00E3253D" w:rsidRPr="005D642E" w:rsidRDefault="00E3253D" w:rsidP="00E3253D">
      <w:pPr>
        <w:pStyle w:val="libLine"/>
        <w:rPr>
          <w:rtl/>
          <w:lang w:bidi="fa-IR"/>
        </w:rPr>
      </w:pPr>
      <w:r w:rsidRPr="005D642E">
        <w:rPr>
          <w:rtl/>
          <w:lang w:bidi="fa-IR"/>
        </w:rPr>
        <w:t>__________________</w:t>
      </w:r>
    </w:p>
    <w:p w:rsidR="00E3253D" w:rsidRPr="005D642E" w:rsidRDefault="008F45E9" w:rsidP="00E3253D">
      <w:pPr>
        <w:pStyle w:val="libFootnote0"/>
        <w:rPr>
          <w:rtl/>
          <w:lang w:bidi="fa-IR"/>
        </w:rPr>
      </w:pPr>
      <w:r>
        <w:rPr>
          <w:rFonts w:hint="cs"/>
          <w:rtl/>
        </w:rPr>
        <w:t xml:space="preserve">= </w:t>
      </w:r>
      <w:r w:rsidR="00E3253D" w:rsidRPr="005D642E">
        <w:rPr>
          <w:rtl/>
        </w:rPr>
        <w:t xml:space="preserve">أبي عبدالله </w:t>
      </w:r>
      <w:r w:rsidR="00E3253D" w:rsidRPr="008F45E9">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162 ، ح 459 ، مرسلاً </w:t>
      </w:r>
      <w:r>
        <w:rPr>
          <w:rFonts w:hint="cs"/>
          <w:rtl/>
        </w:rPr>
        <w:t>.</w:t>
      </w:r>
      <w:r w:rsidR="00E3253D" w:rsidRPr="002F4D34">
        <w:rPr>
          <w:rStyle w:val="libFootnoteBoldChar"/>
          <w:rtl/>
        </w:rPr>
        <w:t>الوافي</w:t>
      </w:r>
      <w:r w:rsidR="00E3253D" w:rsidRPr="005D642E">
        <w:rPr>
          <w:rtl/>
        </w:rPr>
        <w:t xml:space="preserve"> ، ج 24 ، ص 395 ، ح 24299 ؛ </w:t>
      </w:r>
      <w:r w:rsidR="00E3253D" w:rsidRPr="002F4D34">
        <w:rPr>
          <w:rStyle w:val="libFootnoteBoldChar"/>
          <w:rtl/>
        </w:rPr>
        <w:t>الوسائل</w:t>
      </w:r>
      <w:r w:rsidR="00E3253D" w:rsidRPr="005D642E">
        <w:rPr>
          <w:rtl/>
        </w:rPr>
        <w:t xml:space="preserve"> ، ج 3 ، ص 154 ، ح 3268.</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بس ، جس »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الفقيه</w:t>
      </w:r>
      <w:r w:rsidR="00E3253D" w:rsidRPr="005D642E">
        <w:rPr>
          <w:rtl/>
        </w:rPr>
        <w:t xml:space="preserve"> ، ج 1 ، ص 161 ، ح 454 ، مرسلاً </w:t>
      </w:r>
      <w:r w:rsidR="008F45E9">
        <w:rPr>
          <w:rFonts w:hint="cs"/>
          <w:rtl/>
        </w:rPr>
        <w:t>.</w:t>
      </w:r>
      <w:r w:rsidR="00E3253D" w:rsidRPr="002F4D34">
        <w:rPr>
          <w:rStyle w:val="libFootnoteBoldChar"/>
          <w:rtl/>
        </w:rPr>
        <w:t>الوافي</w:t>
      </w:r>
      <w:r w:rsidR="00E3253D" w:rsidRPr="005D642E">
        <w:rPr>
          <w:rtl/>
        </w:rPr>
        <w:t xml:space="preserve"> ، ج 24 ، ص 396 ، ح 24301 ؛ </w:t>
      </w:r>
      <w:r w:rsidR="00E3253D" w:rsidRPr="002F4D34">
        <w:rPr>
          <w:rStyle w:val="libFootnoteBoldChar"/>
          <w:rtl/>
        </w:rPr>
        <w:t>الوسائل</w:t>
      </w:r>
      <w:r w:rsidR="00E3253D" w:rsidRPr="005D642E">
        <w:rPr>
          <w:rtl/>
        </w:rPr>
        <w:t xml:space="preserve"> ، ج 3 ، ص 154 ، ح 3267.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المطبوع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 « الرجل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3 ، ص 321 ، ح 1001 ؛ </w:t>
      </w:r>
      <w:r w:rsidR="00E3253D" w:rsidRPr="00E678B5">
        <w:rPr>
          <w:rStyle w:val="libFootnoteBoldChar"/>
          <w:rtl/>
        </w:rPr>
        <w:t>والاستبصار</w:t>
      </w:r>
      <w:r w:rsidR="00E3253D" w:rsidRPr="005D642E">
        <w:rPr>
          <w:rtl/>
        </w:rPr>
        <w:t xml:space="preserve"> ، ج 1 ، ص 471 ، ح 1820 ، معلّقاً عن سهل بن زياد </w:t>
      </w:r>
      <w:r w:rsidR="008F45E9">
        <w:rPr>
          <w:rFonts w:hint="cs"/>
          <w:rtl/>
        </w:rPr>
        <w:t>.</w:t>
      </w:r>
      <w:r w:rsidR="00E3253D" w:rsidRPr="002F4D34">
        <w:rPr>
          <w:rStyle w:val="libFootnoteBoldChar"/>
          <w:rtl/>
        </w:rPr>
        <w:t>الوافي</w:t>
      </w:r>
      <w:r w:rsidR="00E3253D" w:rsidRPr="005D642E">
        <w:rPr>
          <w:rtl/>
        </w:rPr>
        <w:t xml:space="preserve"> ، ج 24 ، ص 429 ، ح 24384 ؛ </w:t>
      </w:r>
      <w:r w:rsidR="00E3253D" w:rsidRPr="002F4D34">
        <w:rPr>
          <w:rStyle w:val="libFootnoteBoldChar"/>
          <w:rtl/>
        </w:rPr>
        <w:t>الوسائل</w:t>
      </w:r>
      <w:r w:rsidR="00E3253D" w:rsidRPr="005D642E">
        <w:rPr>
          <w:rtl/>
        </w:rPr>
        <w:t xml:space="preserve"> ، ج 3 ، ص 127 ، ذيل ح 3203.</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بف » </w:t>
      </w:r>
      <w:r w:rsidR="00B60612" w:rsidRPr="00B60612">
        <w:rPr>
          <w:rStyle w:val="libFootnoteBoldChar"/>
          <w:rtl/>
        </w:rPr>
        <w:t>والتهذيب</w:t>
      </w:r>
      <w:r w:rsidR="00E3253D" w:rsidRPr="005D642E">
        <w:rPr>
          <w:rtl/>
        </w:rPr>
        <w:t xml:space="preserve"> ، ص 322 : « عمّار بن موسى</w:t>
      </w:r>
      <w:r w:rsidR="00E3253D">
        <w:rPr>
          <w:rtl/>
        </w:rPr>
        <w:t xml:space="preserve"> ».</w:t>
      </w:r>
    </w:p>
    <w:p w:rsidR="00E3253D" w:rsidRPr="005D642E" w:rsidRDefault="0042621E" w:rsidP="008F45E9">
      <w:pPr>
        <w:pStyle w:val="libFootnote0"/>
        <w:rPr>
          <w:rtl/>
          <w:lang w:bidi="fa-IR"/>
        </w:rPr>
      </w:pPr>
      <w:r w:rsidRPr="0042621E">
        <w:rPr>
          <w:rStyle w:val="libFootnote0Char"/>
          <w:rtl/>
        </w:rPr>
        <w:t>(7).</w:t>
      </w:r>
      <w:r w:rsidR="00E3253D" w:rsidRPr="005D642E">
        <w:rPr>
          <w:rtl/>
        </w:rPr>
        <w:t xml:space="preserve"> هكذا في جميع النسخ التي </w:t>
      </w:r>
      <w:r w:rsidR="00E3253D" w:rsidRPr="008F45E9">
        <w:rPr>
          <w:rtl/>
        </w:rPr>
        <w:t xml:space="preserve">قوبلت </w:t>
      </w:r>
      <w:r w:rsidR="000D749A" w:rsidRPr="008F45E9">
        <w:rPr>
          <w:rtl/>
        </w:rPr>
        <w:t>والوافي</w:t>
      </w:r>
      <w:r w:rsidR="00E3253D" w:rsidRPr="008F45E9">
        <w:rPr>
          <w:rtl/>
        </w:rPr>
        <w:t xml:space="preserve"> والوسائل </w:t>
      </w:r>
      <w:r w:rsidR="00B60612" w:rsidRPr="008F45E9">
        <w:rPr>
          <w:rtl/>
        </w:rPr>
        <w:t>والتهذيب</w:t>
      </w:r>
      <w:r w:rsidR="00E3253D" w:rsidRPr="005D642E">
        <w:rPr>
          <w:rtl/>
        </w:rPr>
        <w:t xml:space="preserve"> ، ص 322 </w:t>
      </w:r>
      <w:r w:rsidR="00E3253D" w:rsidRPr="00E678B5">
        <w:rPr>
          <w:rStyle w:val="libFootnoteBoldChar"/>
          <w:rtl/>
        </w:rPr>
        <w:t>والاستبصار</w:t>
      </w:r>
      <w:r w:rsidR="00E3253D" w:rsidRPr="005D642E">
        <w:rPr>
          <w:rtl/>
        </w:rPr>
        <w:t xml:space="preserve"> ، ص 472. </w:t>
      </w:r>
      <w:r w:rsidR="008F45E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عَلَيْهِمْ</w:t>
      </w:r>
      <w:r>
        <w:rPr>
          <w:rtl/>
          <w:lang w:bidi="fa-IR"/>
        </w:rPr>
        <w:t>؟</w:t>
      </w:r>
    </w:p>
    <w:p w:rsidR="00E3253D" w:rsidRPr="005D642E" w:rsidRDefault="00E3253D" w:rsidP="00E3253D">
      <w:pPr>
        <w:pStyle w:val="libNormal"/>
        <w:rPr>
          <w:rtl/>
          <w:lang w:bidi="fa-IR"/>
        </w:rPr>
      </w:pPr>
      <w:r w:rsidRPr="005D642E">
        <w:rPr>
          <w:rtl/>
          <w:lang w:bidi="fa-IR"/>
        </w:rPr>
        <w:t xml:space="preserve">قَالَ : « إِنْ كَانَ ثَلَاثَةً أَوِ اثْنَيْنِ أَوْ عَشَرَةً أَوْ أَكْثَرَ مِنْ ذلِكَ ، فَلْيُصَلِّ عَلَيْهِمْ صَلَاةً وَاحِدَةً ، يُكَبِّرُ </w:t>
      </w:r>
      <w:r w:rsidRPr="007C12DB">
        <w:rPr>
          <w:rStyle w:val="libFootnotenumChar"/>
          <w:rtl/>
        </w:rPr>
        <w:t>(1)</w:t>
      </w:r>
      <w:r w:rsidRPr="005D642E">
        <w:rPr>
          <w:rtl/>
          <w:lang w:bidi="fa-IR"/>
        </w:rPr>
        <w:t xml:space="preserve"> عَلَيْهِمْ خَمْسَ تَكْبِيرَاتٍ كَمَا يُصَلِّي عَلى مَيِّتٍ وَاحِدٍ وَقَدْ صَلّى عَلَيْهِمْ جَمِيعاً ، يَضَعُ مَيِّتاً وَاحِداً ، ثُمَّ يَجْعَلُ الْآخَرَ إِلى أَلْيَةِ الْأَوَّلِ ، ثُمَّ يَجْعَلُ رَأْسَ الثَّالِثِ إِلى أَلْيَةِ الثَّانِي شِبْهَ الْمَدْرَجِ </w:t>
      </w:r>
      <w:r w:rsidRPr="007C12DB">
        <w:rPr>
          <w:rStyle w:val="libFootnotenumChar"/>
          <w:rtl/>
        </w:rPr>
        <w:t>(2)</w:t>
      </w:r>
      <w:r w:rsidRPr="005D642E">
        <w:rPr>
          <w:rtl/>
          <w:lang w:bidi="fa-IR"/>
        </w:rPr>
        <w:t xml:space="preserve"> حَتّى يَفْرُغَ مِنْهُمْ كُلِّهِمْ مَا كَانُوا ، فَإِذَا سَوَّاهُمْ هكَذَا ، قَامَ فِي‌</w:t>
      </w:r>
      <w:r>
        <w:rPr>
          <w:rFonts w:hint="cs"/>
          <w:rtl/>
          <w:lang w:bidi="fa-IR"/>
        </w:rPr>
        <w:t xml:space="preserve"> </w:t>
      </w:r>
      <w:r w:rsidRPr="005D642E">
        <w:rPr>
          <w:rtl/>
          <w:lang w:bidi="fa-IR"/>
        </w:rPr>
        <w:t xml:space="preserve">الْوَسَطِ ، فَكَبَّرَ </w:t>
      </w:r>
      <w:r w:rsidRPr="007C12DB">
        <w:rPr>
          <w:rStyle w:val="libFootnotenumChar"/>
          <w:rtl/>
        </w:rPr>
        <w:t>(3)</w:t>
      </w:r>
      <w:r w:rsidRPr="005D642E">
        <w:rPr>
          <w:rtl/>
          <w:lang w:bidi="fa-IR"/>
        </w:rPr>
        <w:t xml:space="preserve"> خَمْسَ تَكْبِيرَاتٍ ، يَفْعَلُ كَمَا يَفْعَلُ إِذَا صَلّى عَلى مَيِّتٍ وَاحِدٍ</w:t>
      </w:r>
      <w:r>
        <w:rPr>
          <w:rtl/>
          <w:lang w:bidi="fa-IR"/>
        </w:rPr>
        <w:t xml:space="preserve"> ».</w:t>
      </w:r>
    </w:p>
    <w:p w:rsidR="00E3253D" w:rsidRPr="005D642E" w:rsidRDefault="00E3253D" w:rsidP="00E3253D">
      <w:pPr>
        <w:pStyle w:val="libNormal"/>
        <w:rPr>
          <w:rtl/>
          <w:lang w:bidi="fa-IR"/>
        </w:rPr>
      </w:pPr>
      <w:r w:rsidRPr="005D642E">
        <w:rPr>
          <w:rtl/>
          <w:lang w:bidi="fa-IR"/>
        </w:rPr>
        <w:t xml:space="preserve">سُئِلَ : فَإِنْ </w:t>
      </w:r>
      <w:r w:rsidRPr="007C12DB">
        <w:rPr>
          <w:rStyle w:val="libFootnotenumChar"/>
          <w:rtl/>
        </w:rPr>
        <w:t>(4)</w:t>
      </w:r>
      <w:r w:rsidRPr="005D642E">
        <w:rPr>
          <w:rtl/>
          <w:lang w:bidi="fa-IR"/>
        </w:rPr>
        <w:t xml:space="preserve"> كَانَ الْمَوْتى رِجَالاً وَنِسَاءً</w:t>
      </w:r>
      <w:r>
        <w:rPr>
          <w:rtl/>
          <w:lang w:bidi="fa-IR"/>
        </w:rPr>
        <w:t>؟</w:t>
      </w:r>
    </w:p>
    <w:p w:rsidR="00E3253D" w:rsidRPr="005D642E" w:rsidRDefault="00E3253D" w:rsidP="00E3253D">
      <w:pPr>
        <w:pStyle w:val="libNormal"/>
        <w:rPr>
          <w:rtl/>
          <w:lang w:bidi="fa-IR"/>
        </w:rPr>
      </w:pPr>
      <w:r w:rsidRPr="005D642E">
        <w:rPr>
          <w:rtl/>
          <w:lang w:bidi="fa-IR"/>
        </w:rPr>
        <w:t xml:space="preserve">قَالَ : « يَبْدَأُ بِالرِّجَالِ </w:t>
      </w:r>
      <w:r w:rsidRPr="007C12DB">
        <w:rPr>
          <w:rStyle w:val="libFootnotenumChar"/>
          <w:rtl/>
        </w:rPr>
        <w:t>(5)</w:t>
      </w:r>
      <w:r w:rsidRPr="005D642E">
        <w:rPr>
          <w:rtl/>
          <w:lang w:bidi="fa-IR"/>
        </w:rPr>
        <w:t xml:space="preserve"> ، فَيَجْعَلُ رَأْسَ الثَّانِي إِلى أَلْيَةِ الْأَوَّلِ حَتّى يَفْرُغَ مِنَ الرِّجَالِ كُلِّهِمْ ، ثُمَّ يَجْعَلُ رَأْسَ الْمَرْأَةِ إِلى أَلْيَةِ الرَّجُلِ الْأَخِيرِ </w:t>
      </w:r>
      <w:r w:rsidRPr="007C12DB">
        <w:rPr>
          <w:rStyle w:val="libFootnotenumChar"/>
          <w:rtl/>
        </w:rPr>
        <w:t>(6)</w:t>
      </w:r>
      <w:r w:rsidRPr="005D642E">
        <w:rPr>
          <w:rtl/>
          <w:lang w:bidi="fa-IR"/>
        </w:rPr>
        <w:t xml:space="preserve"> ، ثُمَّ يَجْعَلُ رَأْسَ الْمَرْأَةِ </w:t>
      </w:r>
      <w:r w:rsidRPr="007C12DB">
        <w:rPr>
          <w:rStyle w:val="libFootnotenumChar"/>
          <w:rtl/>
        </w:rPr>
        <w:t>(7)</w:t>
      </w:r>
      <w:r w:rsidRPr="005D642E">
        <w:rPr>
          <w:rtl/>
          <w:lang w:bidi="fa-IR"/>
        </w:rPr>
        <w:t xml:space="preserve"> الْأُخْرى إِلى أَلْيَةِ </w:t>
      </w:r>
      <w:r w:rsidRPr="007C12DB">
        <w:rPr>
          <w:rStyle w:val="libFootnotenumChar"/>
          <w:rtl/>
        </w:rPr>
        <w:t>(8)</w:t>
      </w:r>
      <w:r w:rsidRPr="005D642E">
        <w:rPr>
          <w:rtl/>
          <w:lang w:bidi="fa-IR"/>
        </w:rPr>
        <w:t xml:space="preserve"> الْمَرْأَةِ الْأُولى حَتّى يَفْرُغَ مِنْهُمْ كُلِّهِمْ ، فَإِذَا سَوّى </w:t>
      </w:r>
      <w:r w:rsidRPr="007C12DB">
        <w:rPr>
          <w:rStyle w:val="libFootnotenumChar"/>
          <w:rtl/>
        </w:rPr>
        <w:t>(9)</w:t>
      </w:r>
      <w:r w:rsidRPr="005D642E">
        <w:rPr>
          <w:rtl/>
          <w:lang w:bidi="fa-IR"/>
        </w:rPr>
        <w:t xml:space="preserve"> هكَذَا ، قَامَ فِي الْوَسَطِ</w:t>
      </w:r>
      <w:r>
        <w:rPr>
          <w:rtl/>
          <w:lang w:bidi="fa-IR"/>
        </w:rPr>
        <w:t xml:space="preserve"> </w:t>
      </w:r>
      <w:r w:rsidR="007642BC">
        <w:rPr>
          <w:rtl/>
          <w:lang w:bidi="fa-IR"/>
        </w:rPr>
        <w:t>-</w:t>
      </w:r>
      <w:r>
        <w:rPr>
          <w:rtl/>
          <w:lang w:bidi="fa-IR"/>
        </w:rPr>
        <w:t xml:space="preserve"> </w:t>
      </w:r>
      <w:r w:rsidRPr="005D642E">
        <w:rPr>
          <w:rtl/>
          <w:lang w:bidi="fa-IR"/>
        </w:rPr>
        <w:t>وَسَطِ الرِّجَالِ</w:t>
      </w:r>
      <w:r>
        <w:rPr>
          <w:rtl/>
          <w:lang w:bidi="fa-IR"/>
        </w:rPr>
        <w:t xml:space="preserve"> </w:t>
      </w:r>
      <w:r w:rsidR="007642BC">
        <w:rPr>
          <w:rtl/>
          <w:lang w:bidi="fa-IR"/>
        </w:rPr>
        <w:t>-</w:t>
      </w:r>
      <w:r>
        <w:rPr>
          <w:rtl/>
          <w:lang w:bidi="fa-IR"/>
        </w:rPr>
        <w:t xml:space="preserve"> </w:t>
      </w:r>
      <w:r w:rsidRPr="005D642E">
        <w:rPr>
          <w:rtl/>
          <w:lang w:bidi="fa-IR"/>
        </w:rPr>
        <w:t xml:space="preserve">فَكَبَّرَ </w:t>
      </w:r>
      <w:r w:rsidRPr="007C12DB">
        <w:rPr>
          <w:rStyle w:val="libFootnotenumChar"/>
          <w:rtl/>
        </w:rPr>
        <w:t>(10)</w:t>
      </w:r>
      <w:r w:rsidRPr="005D642E">
        <w:rPr>
          <w:rtl/>
          <w:lang w:bidi="fa-IR"/>
        </w:rPr>
        <w:t xml:space="preserve"> وَصَلّى </w:t>
      </w:r>
      <w:r w:rsidRPr="007C12DB">
        <w:rPr>
          <w:rStyle w:val="libFootnotenumChar"/>
          <w:rtl/>
        </w:rPr>
        <w:t>(11)</w:t>
      </w:r>
      <w:r w:rsidRPr="005D642E">
        <w:rPr>
          <w:rtl/>
          <w:lang w:bidi="fa-IR"/>
        </w:rPr>
        <w:t xml:space="preserve"> عَلَيْهِمْ كَمَا يُصَلِّي عَلى مَيِّتٍ وَاحِدٍ</w:t>
      </w:r>
      <w:r>
        <w:rPr>
          <w:rtl/>
          <w:lang w:bidi="fa-IR"/>
        </w:rPr>
        <w:t xml:space="preserve"> ».</w:t>
      </w:r>
    </w:p>
    <w:p w:rsidR="00E3253D" w:rsidRPr="005D642E" w:rsidRDefault="00E3253D" w:rsidP="00E3253D">
      <w:pPr>
        <w:pStyle w:val="libNormal"/>
        <w:rPr>
          <w:rtl/>
          <w:lang w:bidi="fa-IR"/>
        </w:rPr>
      </w:pPr>
      <w:r w:rsidRPr="005D642E">
        <w:rPr>
          <w:rtl/>
          <w:lang w:bidi="fa-IR"/>
        </w:rPr>
        <w:t xml:space="preserve">وَسُئِلَ </w:t>
      </w:r>
      <w:r w:rsidRPr="007C12DB">
        <w:rPr>
          <w:rStyle w:val="libFootnotenumChar"/>
          <w:rtl/>
        </w:rPr>
        <w:t>(12)</w:t>
      </w:r>
      <w:r w:rsidRPr="005D642E">
        <w:rPr>
          <w:rtl/>
          <w:lang w:bidi="fa-IR"/>
        </w:rPr>
        <w:t xml:space="preserve"> عَنْ مَيِّتٍ صُلِّيَ عَلَيْهِ ، فَلَمَّا سَلَّمَ </w:t>
      </w:r>
      <w:r w:rsidRPr="007C12DB">
        <w:rPr>
          <w:rStyle w:val="libFootnotenumChar"/>
          <w:rtl/>
        </w:rPr>
        <w:t>(13)</w:t>
      </w:r>
      <w:r w:rsidRPr="005D642E">
        <w:rPr>
          <w:rtl/>
          <w:lang w:bidi="fa-IR"/>
        </w:rPr>
        <w:t xml:space="preserve"> الْإِمَامُ ، فَإِذَا الْمَيِّتُ مَقْلُوبٌ رِجْلَاهُ إِلى‌</w:t>
      </w:r>
    </w:p>
    <w:p w:rsidR="00E3253D" w:rsidRPr="005D642E" w:rsidRDefault="00E3253D" w:rsidP="00E3253D">
      <w:pPr>
        <w:pStyle w:val="libLine"/>
        <w:rPr>
          <w:rtl/>
          <w:lang w:bidi="fa-IR"/>
        </w:rPr>
      </w:pPr>
      <w:r w:rsidRPr="005D642E">
        <w:rPr>
          <w:rtl/>
          <w:lang w:bidi="fa-IR"/>
        </w:rPr>
        <w:t>__________________</w:t>
      </w:r>
    </w:p>
    <w:p w:rsidR="008F45E9" w:rsidRDefault="00915E59" w:rsidP="00E3253D">
      <w:pPr>
        <w:pStyle w:val="libFootnote0"/>
        <w:rPr>
          <w:rStyle w:val="libFootnote0Char"/>
          <w:rtl/>
        </w:rPr>
      </w:pPr>
      <w:r>
        <w:rPr>
          <w:rFonts w:hint="cs"/>
          <w:rtl/>
        </w:rPr>
        <w:t xml:space="preserve">= </w:t>
      </w:r>
      <w:r w:rsidR="008F45E9" w:rsidRPr="005D642E">
        <w:rPr>
          <w:rtl/>
        </w:rPr>
        <w:t>وفي المطبوع : « أموات</w:t>
      </w:r>
      <w:r w:rsidR="008F45E9">
        <w:rPr>
          <w:rtl/>
        </w:rPr>
        <w:t xml:space="preserve"> ».</w:t>
      </w:r>
      <w:r w:rsidR="008F45E9" w:rsidRPr="0042621E">
        <w:rPr>
          <w:rStyle w:val="libFootnote0Char"/>
          <w:rtl/>
        </w:rPr>
        <w:t xml:space="preserve"> </w:t>
      </w:r>
    </w:p>
    <w:tbl>
      <w:tblPr>
        <w:tblStyle w:val="TableGrid"/>
        <w:bidiVisual/>
        <w:tblW w:w="0" w:type="auto"/>
        <w:tblLook w:val="04A0" w:firstRow="1" w:lastRow="0" w:firstColumn="1" w:lastColumn="0" w:noHBand="0" w:noVBand="1"/>
      </w:tblPr>
      <w:tblGrid>
        <w:gridCol w:w="4006"/>
        <w:gridCol w:w="4006"/>
      </w:tblGrid>
      <w:tr w:rsidR="00915E59" w:rsidTr="00915E59">
        <w:tc>
          <w:tcPr>
            <w:tcW w:w="4006" w:type="dxa"/>
          </w:tcPr>
          <w:p w:rsidR="00915E59" w:rsidRDefault="00915E59" w:rsidP="00E3253D">
            <w:pPr>
              <w:pStyle w:val="libFootnote0"/>
              <w:rPr>
                <w:rStyle w:val="libFootnote0Char"/>
                <w:rtl/>
              </w:rPr>
            </w:pPr>
            <w:r w:rsidRPr="0042621E">
              <w:rPr>
                <w:rStyle w:val="libFootnote0Char"/>
                <w:rtl/>
              </w:rPr>
              <w:t>(1).</w:t>
            </w:r>
            <w:r>
              <w:rPr>
                <w:rtl/>
              </w:rPr>
              <w:t xml:space="preserve"> </w:t>
            </w:r>
            <w:r w:rsidRPr="005D642E">
              <w:rPr>
                <w:rtl/>
              </w:rPr>
              <w:t>في « غ ، بف »</w:t>
            </w:r>
            <w:r w:rsidRPr="00915E59">
              <w:rPr>
                <w:rtl/>
              </w:rPr>
              <w:t xml:space="preserve"> والوافي</w:t>
            </w:r>
            <w:r w:rsidRPr="005D642E">
              <w:rPr>
                <w:rtl/>
              </w:rPr>
              <w:t xml:space="preserve"> : « ويكبّر</w:t>
            </w:r>
            <w:r>
              <w:rPr>
                <w:rtl/>
              </w:rPr>
              <w:t xml:space="preserve"> ».</w:t>
            </w:r>
          </w:p>
        </w:tc>
        <w:tc>
          <w:tcPr>
            <w:tcW w:w="4006" w:type="dxa"/>
          </w:tcPr>
          <w:p w:rsidR="00915E59" w:rsidRDefault="00915E59" w:rsidP="00E3253D">
            <w:pPr>
              <w:pStyle w:val="libFootnote0"/>
              <w:rPr>
                <w:rStyle w:val="libFootnote0Char"/>
                <w:rtl/>
              </w:rPr>
            </w:pPr>
            <w:r w:rsidRPr="0042621E">
              <w:rPr>
                <w:rStyle w:val="libFootnote0Char"/>
                <w:rtl/>
              </w:rPr>
              <w:t>(2).</w:t>
            </w:r>
            <w:r w:rsidRPr="005D642E">
              <w:rPr>
                <w:rtl/>
              </w:rPr>
              <w:t xml:space="preserve"> في الوافي : « الدرج</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بح ، بس » : « وكبّر</w:t>
      </w:r>
      <w:r w:rsidR="00E3253D">
        <w:rPr>
          <w:rtl/>
        </w:rPr>
        <w:t xml:space="preserve"> ».</w:t>
      </w:r>
      <w:r w:rsidR="00E3253D" w:rsidRPr="005D642E">
        <w:rPr>
          <w:rtl/>
        </w:rPr>
        <w:t xml:space="preserve"> وفي « جن » : « ويكبّر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15E59" w:rsidTr="00915E59">
        <w:tc>
          <w:tcPr>
            <w:tcW w:w="4006" w:type="dxa"/>
          </w:tcPr>
          <w:p w:rsidR="00915E59" w:rsidRDefault="00915E59" w:rsidP="00E3253D">
            <w:pPr>
              <w:pStyle w:val="libFootnote0"/>
              <w:rPr>
                <w:rStyle w:val="libFootnote0Char"/>
                <w:rtl/>
                <w:lang w:bidi="fa-IR"/>
              </w:rPr>
            </w:pPr>
            <w:r w:rsidRPr="0042621E">
              <w:rPr>
                <w:rStyle w:val="libFootnote0Char"/>
                <w:rtl/>
              </w:rPr>
              <w:t>(4).</w:t>
            </w:r>
            <w:r w:rsidRPr="005D642E">
              <w:rPr>
                <w:rtl/>
              </w:rPr>
              <w:t xml:space="preserve"> في « بث » : « فإذا</w:t>
            </w:r>
            <w:r>
              <w:rPr>
                <w:rtl/>
              </w:rPr>
              <w:t xml:space="preserve"> ».</w:t>
            </w:r>
          </w:p>
        </w:tc>
        <w:tc>
          <w:tcPr>
            <w:tcW w:w="4006" w:type="dxa"/>
          </w:tcPr>
          <w:p w:rsidR="00915E59" w:rsidRDefault="00915E59" w:rsidP="00E3253D">
            <w:pPr>
              <w:pStyle w:val="libFootnote0"/>
              <w:rPr>
                <w:rStyle w:val="libFootnote0Char"/>
                <w:rtl/>
                <w:lang w:bidi="fa-IR"/>
              </w:rPr>
            </w:pPr>
            <w:r w:rsidRPr="0042621E">
              <w:rPr>
                <w:rStyle w:val="libFootnote0Char"/>
                <w:rtl/>
              </w:rPr>
              <w:t>(5).</w:t>
            </w:r>
            <w:r w:rsidRPr="005D642E">
              <w:rPr>
                <w:rtl/>
              </w:rPr>
              <w:t xml:space="preserve"> في « بث ، بح » : « بالرجل</w:t>
            </w:r>
            <w:r>
              <w:rPr>
                <w:rtl/>
              </w:rPr>
              <w:t xml:space="preserve"> ».</w:t>
            </w:r>
          </w:p>
        </w:tc>
      </w:tr>
      <w:tr w:rsidR="00915E59" w:rsidTr="00915E59">
        <w:tc>
          <w:tcPr>
            <w:tcW w:w="4006" w:type="dxa"/>
          </w:tcPr>
          <w:p w:rsidR="00915E59" w:rsidRDefault="00915E59" w:rsidP="00E3253D">
            <w:pPr>
              <w:pStyle w:val="libFootnote0"/>
              <w:rPr>
                <w:rStyle w:val="libFootnote0Char"/>
                <w:rtl/>
                <w:lang w:bidi="fa-IR"/>
              </w:rPr>
            </w:pPr>
            <w:r w:rsidRPr="0042621E">
              <w:rPr>
                <w:rStyle w:val="libFootnote0Char"/>
                <w:rtl/>
              </w:rPr>
              <w:t>(6).</w:t>
            </w:r>
            <w:r w:rsidRPr="005D642E">
              <w:rPr>
                <w:rtl/>
              </w:rPr>
              <w:t xml:space="preserve"> في حاشية « بح » : « الآخر</w:t>
            </w:r>
            <w:r>
              <w:rPr>
                <w:rtl/>
              </w:rPr>
              <w:t xml:space="preserve"> ».</w:t>
            </w:r>
          </w:p>
        </w:tc>
        <w:tc>
          <w:tcPr>
            <w:tcW w:w="4006" w:type="dxa"/>
          </w:tcPr>
          <w:p w:rsidR="00915E59" w:rsidRDefault="00915E59" w:rsidP="00E3253D">
            <w:pPr>
              <w:pStyle w:val="libFootnote0"/>
              <w:rPr>
                <w:rStyle w:val="libFootnote0Char"/>
                <w:rtl/>
                <w:lang w:bidi="fa-IR"/>
              </w:rPr>
            </w:pPr>
            <w:r w:rsidRPr="0042621E">
              <w:rPr>
                <w:rStyle w:val="libFootnote0Char"/>
                <w:rtl/>
              </w:rPr>
              <w:t>(7).</w:t>
            </w:r>
            <w:r w:rsidRPr="005D642E">
              <w:rPr>
                <w:rtl/>
              </w:rPr>
              <w:t xml:space="preserve"> في « جس » :</w:t>
            </w:r>
            <w:r>
              <w:rPr>
                <w:rtl/>
              </w:rPr>
              <w:t xml:space="preserve"> - </w:t>
            </w:r>
            <w:r w:rsidRPr="005D642E">
              <w:rPr>
                <w:rtl/>
              </w:rPr>
              <w:t>« المرأة</w:t>
            </w:r>
            <w:r>
              <w:rPr>
                <w:rtl/>
              </w:rPr>
              <w:t xml:space="preserve"> ».</w:t>
            </w:r>
          </w:p>
        </w:tc>
      </w:tr>
      <w:tr w:rsidR="00915E59" w:rsidTr="00915E59">
        <w:tc>
          <w:tcPr>
            <w:tcW w:w="4006" w:type="dxa"/>
          </w:tcPr>
          <w:p w:rsidR="00915E59" w:rsidRDefault="00915E59" w:rsidP="00E3253D">
            <w:pPr>
              <w:pStyle w:val="libFootnote0"/>
              <w:rPr>
                <w:rStyle w:val="libFootnote0Char"/>
                <w:rtl/>
                <w:lang w:bidi="fa-IR"/>
              </w:rPr>
            </w:pPr>
            <w:r w:rsidRPr="0042621E">
              <w:rPr>
                <w:rStyle w:val="libFootnote0Char"/>
                <w:rtl/>
              </w:rPr>
              <w:t>(8).</w:t>
            </w:r>
            <w:r w:rsidRPr="005D642E">
              <w:rPr>
                <w:rtl/>
              </w:rPr>
              <w:t xml:space="preserve"> في التهذيب ، ص 322 : « رأس</w:t>
            </w:r>
            <w:r>
              <w:rPr>
                <w:rtl/>
              </w:rPr>
              <w:t xml:space="preserve"> ».</w:t>
            </w:r>
          </w:p>
        </w:tc>
        <w:tc>
          <w:tcPr>
            <w:tcW w:w="4006" w:type="dxa"/>
          </w:tcPr>
          <w:p w:rsidR="00915E59" w:rsidRDefault="00915E59" w:rsidP="00E3253D">
            <w:pPr>
              <w:pStyle w:val="libFootnote0"/>
              <w:rPr>
                <w:rStyle w:val="libFootnote0Char"/>
                <w:rtl/>
                <w:lang w:bidi="fa-IR"/>
              </w:rPr>
            </w:pPr>
            <w:r w:rsidRPr="0042621E">
              <w:rPr>
                <w:rStyle w:val="libFootnote0Char"/>
                <w:rtl/>
              </w:rPr>
              <w:t>(9).</w:t>
            </w:r>
            <w:r w:rsidRPr="005D642E">
              <w:rPr>
                <w:rtl/>
              </w:rPr>
              <w:t xml:space="preserve"> في « بح » : « استوى</w:t>
            </w:r>
            <w:r>
              <w:rPr>
                <w:rtl/>
              </w:rPr>
              <w:t xml:space="preserve"> ».</w:t>
            </w:r>
          </w:p>
        </w:tc>
      </w:tr>
      <w:tr w:rsidR="00915E59" w:rsidTr="00915E59">
        <w:tc>
          <w:tcPr>
            <w:tcW w:w="4006" w:type="dxa"/>
          </w:tcPr>
          <w:p w:rsidR="00915E59" w:rsidRDefault="00915E59" w:rsidP="00E3253D">
            <w:pPr>
              <w:pStyle w:val="libFootnote0"/>
              <w:rPr>
                <w:rStyle w:val="libFootnote0Char"/>
                <w:rtl/>
                <w:lang w:bidi="fa-IR"/>
              </w:rPr>
            </w:pPr>
            <w:r w:rsidRPr="0042621E">
              <w:rPr>
                <w:rStyle w:val="libFootnote0Char"/>
                <w:rtl/>
              </w:rPr>
              <w:t>(10).</w:t>
            </w:r>
            <w:r w:rsidRPr="005D642E">
              <w:rPr>
                <w:rtl/>
              </w:rPr>
              <w:t xml:space="preserve"> في الوافي : « وكبّر</w:t>
            </w:r>
            <w:r>
              <w:rPr>
                <w:rtl/>
              </w:rPr>
              <w:t xml:space="preserve"> ».</w:t>
            </w:r>
          </w:p>
        </w:tc>
        <w:tc>
          <w:tcPr>
            <w:tcW w:w="4006" w:type="dxa"/>
          </w:tcPr>
          <w:p w:rsidR="00915E59" w:rsidRDefault="00915E59" w:rsidP="00E3253D">
            <w:pPr>
              <w:pStyle w:val="libFootnote0"/>
              <w:rPr>
                <w:rStyle w:val="libFootnote0Char"/>
                <w:rtl/>
                <w:lang w:bidi="fa-IR"/>
              </w:rPr>
            </w:pPr>
            <w:r w:rsidRPr="0042621E">
              <w:rPr>
                <w:rStyle w:val="libFootnote0Char"/>
                <w:rtl/>
              </w:rPr>
              <w:t>(11).</w:t>
            </w:r>
            <w:r w:rsidRPr="005D642E">
              <w:rPr>
                <w:rtl/>
              </w:rPr>
              <w:t xml:space="preserve"> في الاستبصار ، ص 472 :</w:t>
            </w:r>
            <w:r>
              <w:rPr>
                <w:rtl/>
              </w:rPr>
              <w:t xml:space="preserve"> - </w:t>
            </w:r>
            <w:r w:rsidRPr="005D642E">
              <w:rPr>
                <w:rtl/>
              </w:rPr>
              <w:t>« وصلّى</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الوافي : « سئل » بدون الواو.</w:t>
      </w:r>
    </w:p>
    <w:p w:rsidR="00E3253D" w:rsidRPr="005D642E" w:rsidRDefault="0042621E" w:rsidP="00E3253D">
      <w:pPr>
        <w:pStyle w:val="libFootnote0"/>
        <w:rPr>
          <w:rtl/>
          <w:lang w:bidi="fa-IR"/>
        </w:rPr>
      </w:pPr>
      <w:r w:rsidRPr="0042621E">
        <w:rPr>
          <w:rStyle w:val="libFootnote0Char"/>
          <w:rtl/>
        </w:rPr>
        <w:t>(13).</w:t>
      </w:r>
      <w:r w:rsidR="00E3253D">
        <w:rPr>
          <w:rFonts w:hint="cs"/>
          <w:rtl/>
        </w:rPr>
        <w:t xml:space="preserve"> </w:t>
      </w:r>
      <w:r w:rsidR="00915E59">
        <w:rPr>
          <w:rtl/>
        </w:rPr>
        <w:t>قال العل</w:t>
      </w:r>
      <w:r w:rsidR="00915E59">
        <w:rPr>
          <w:rFonts w:hint="cs"/>
          <w:rtl/>
        </w:rPr>
        <w:t>ّ</w:t>
      </w:r>
      <w:r w:rsidR="00915E59">
        <w:rPr>
          <w:rtl/>
        </w:rPr>
        <w:t>ا</w:t>
      </w:r>
      <w:r w:rsidR="00E3253D" w:rsidRPr="005D642E">
        <w:rPr>
          <w:rtl/>
        </w:rPr>
        <w:t>مة الفيض : « ذكر التسليم في هذا الخبر محمول على ما إذا كان الإمام مخالفاً أو متّقياً ؛ إذ لا تسليم عندنا في الجنائز</w:t>
      </w:r>
      <w:r w:rsidR="00E3253D">
        <w:rPr>
          <w:rtl/>
        </w:rPr>
        <w:t xml:space="preserve"> ».</w:t>
      </w:r>
      <w:r w:rsidR="00915E59">
        <w:rPr>
          <w:rtl/>
        </w:rPr>
        <w:t xml:space="preserve"> وقال العل</w:t>
      </w:r>
      <w:r w:rsidR="00915E59">
        <w:rPr>
          <w:rFonts w:hint="cs"/>
          <w:rtl/>
        </w:rPr>
        <w:t>ّ</w:t>
      </w:r>
      <w:r w:rsidR="00915E59">
        <w:rPr>
          <w:rtl/>
        </w:rPr>
        <w:t>ا</w:t>
      </w:r>
      <w:r w:rsidR="00E3253D" w:rsidRPr="005D642E">
        <w:rPr>
          <w:rtl/>
        </w:rPr>
        <w:t>مة المجلسي : «</w:t>
      </w:r>
      <w:r w:rsidR="00E3253D">
        <w:rPr>
          <w:rtl/>
        </w:rPr>
        <w:t xml:space="preserve"> ..</w:t>
      </w:r>
      <w:r w:rsidR="00E3253D" w:rsidRPr="005D642E">
        <w:rPr>
          <w:rtl/>
        </w:rPr>
        <w:t xml:space="preserve">. قد حمل على التقيّة للإجماع ولما سيأتي من الأخبار ، ويحتمل أن يكون كناية عن الإتمام ؛ لأنّ التسليم غالباً في الصلوات يستلزمه ، أو يحمل على ما إذا صلّي خلف المخالف ؛ فإنّه يسلّم عند التمام ، لكنّهما بعيدان » ثمّ نقل كلام الشيخ والشهيد الأوّل في المقام. راجع : </w:t>
      </w:r>
      <w:r w:rsidR="00E3253D" w:rsidRPr="002F4D34">
        <w:rPr>
          <w:rStyle w:val="libFootnoteBoldChar"/>
          <w:rtl/>
        </w:rPr>
        <w:t>مرآة العقول</w:t>
      </w:r>
      <w:r w:rsidR="00E3253D" w:rsidRPr="005D642E">
        <w:rPr>
          <w:rtl/>
        </w:rPr>
        <w:t xml:space="preserve"> ، ج 14 ، ص 28.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مَوْضِعِ رَأْسِهِ</w:t>
      </w:r>
      <w:r>
        <w:rPr>
          <w:rtl/>
          <w:lang w:bidi="fa-IR"/>
        </w:rPr>
        <w:t>؟</w:t>
      </w:r>
    </w:p>
    <w:p w:rsidR="00E3253D" w:rsidRPr="005D642E" w:rsidRDefault="00E3253D" w:rsidP="00E3253D">
      <w:pPr>
        <w:pStyle w:val="libNormal"/>
        <w:rPr>
          <w:rtl/>
          <w:lang w:bidi="fa-IR"/>
        </w:rPr>
      </w:pPr>
      <w:r w:rsidRPr="005D642E">
        <w:rPr>
          <w:rtl/>
          <w:lang w:bidi="fa-IR"/>
        </w:rPr>
        <w:t xml:space="preserve">قَالَ : « يُسَوّى ، وَتُعَادُ </w:t>
      </w:r>
      <w:r w:rsidRPr="007C12DB">
        <w:rPr>
          <w:rStyle w:val="libFootnotenumChar"/>
          <w:rtl/>
        </w:rPr>
        <w:t>(1)</w:t>
      </w:r>
      <w:r w:rsidRPr="005D642E">
        <w:rPr>
          <w:rtl/>
          <w:lang w:bidi="fa-IR"/>
        </w:rPr>
        <w:t xml:space="preserve"> الصَّلَاةُ عَلَيْهِ وَإِنْ كَانَ قَدْ حُمِلَ مَا لَمْ يُدْفَنْ ، فَإِنْ كَانَ قَدْ دُفِنَ ، فَقَدْ مَضَتِ الصَّلَاةُ </w:t>
      </w:r>
      <w:r w:rsidRPr="007C12DB">
        <w:rPr>
          <w:rStyle w:val="libFootnotenumChar"/>
          <w:rtl/>
        </w:rPr>
        <w:t>(2)</w:t>
      </w:r>
      <w:r w:rsidRPr="005D642E">
        <w:rPr>
          <w:rtl/>
          <w:lang w:bidi="fa-IR"/>
        </w:rPr>
        <w:t xml:space="preserve"> ، لَايُصَلّى عَلَيْهِ وَهُوَ مَدْفُونٌ</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327C8B">
        <w:rPr>
          <w:rtl/>
        </w:rPr>
        <w:t>4473</w:t>
      </w:r>
      <w:r w:rsidRPr="00246318">
        <w:rPr>
          <w:rStyle w:val="libBold2Char"/>
          <w:rtl/>
        </w:rPr>
        <w:t xml:space="preserve"> / 3.</w:t>
      </w:r>
      <w:r w:rsidRPr="005D642E">
        <w:rPr>
          <w:rtl/>
          <w:lang w:bidi="fa-IR"/>
        </w:rPr>
        <w:t xml:space="preserve"> عِدَّةٌ مِنْ أَصْحَابِنَا ، عَنْ سَهْلِ بْنِ زِيَادٍ ، عَنْ مُحَمَّدِ بْنِ سِنَانٍ ، عَنْ طَلْحَةَ بْنِ زَيْدٍ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كَانَ إِذَا صَلّى </w:t>
      </w:r>
      <w:r w:rsidRPr="007C12DB">
        <w:rPr>
          <w:rStyle w:val="libFootnotenumChar"/>
          <w:rtl/>
        </w:rPr>
        <w:t>(4)</w:t>
      </w:r>
      <w:r w:rsidRPr="005D642E">
        <w:rPr>
          <w:rtl/>
          <w:lang w:bidi="fa-IR"/>
        </w:rPr>
        <w:t xml:space="preserve"> عَلَى الْمَرْأَةِ وَالرَّجُلِ ، قَدَّمَ الْمَرْأَةَ ، وَأَخَّرَ الرَّجُلَ </w:t>
      </w:r>
      <w:r w:rsidRPr="007C12DB">
        <w:rPr>
          <w:rStyle w:val="libFootnotenumChar"/>
          <w:rtl/>
        </w:rPr>
        <w:t>(5)</w:t>
      </w:r>
      <w:r w:rsidRPr="005D642E">
        <w:rPr>
          <w:rtl/>
          <w:lang w:bidi="fa-IR"/>
        </w:rPr>
        <w:t xml:space="preserve"> ؛ وَإِذَا صَلّى عَلَى الْعَبْدِ وَالْحُرِّ </w:t>
      </w:r>
      <w:r w:rsidRPr="007C12DB">
        <w:rPr>
          <w:rStyle w:val="libFootnotenumChar"/>
          <w:rtl/>
        </w:rPr>
        <w:t>(6)</w:t>
      </w:r>
      <w:r w:rsidRPr="005D642E">
        <w:rPr>
          <w:rtl/>
          <w:lang w:bidi="fa-IR"/>
        </w:rPr>
        <w:t xml:space="preserve"> ، قَدَّمَ الْعَبْدَ ، وَأَخَّرَ الْحُرَّ ؛ وَإِذَا صَلّى عَلَى الْكَبِيرِ وَالصَّغِيرِ </w:t>
      </w:r>
      <w:r w:rsidRPr="007C12DB">
        <w:rPr>
          <w:rStyle w:val="libFootnotenumChar"/>
          <w:rtl/>
        </w:rPr>
        <w:t>(7)</w:t>
      </w:r>
      <w:r w:rsidRPr="005D642E">
        <w:rPr>
          <w:rtl/>
          <w:lang w:bidi="fa-IR"/>
        </w:rPr>
        <w:t xml:space="preserve"> ، قَدَّمَ الصَّغِيرَ ، وَأَخَّرَ الْكَبِيرَ</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بث ، بس ، بف ، جس ، جن » </w:t>
      </w:r>
      <w:r w:rsidR="00E3253D" w:rsidRPr="00E678B5">
        <w:rPr>
          <w:rStyle w:val="libFootnoteBoldChar"/>
          <w:rtl/>
        </w:rPr>
        <w:t>والاستبصار</w:t>
      </w:r>
      <w:r w:rsidR="00E3253D" w:rsidRPr="005D642E">
        <w:rPr>
          <w:rtl/>
        </w:rPr>
        <w:t xml:space="preserve"> ، ص 482 : « ويعاد</w:t>
      </w:r>
      <w:r w:rsidR="00E3253D">
        <w:rPr>
          <w:rtl/>
        </w:rPr>
        <w:t xml:space="preserve"> ».</w:t>
      </w:r>
      <w:r w:rsidR="00E3253D" w:rsidRPr="005D642E">
        <w:rPr>
          <w:rtl/>
        </w:rPr>
        <w:t xml:space="preserve"> وفي حاشية « غ ، بث » </w:t>
      </w:r>
      <w:r w:rsidR="000D749A" w:rsidRPr="000D749A">
        <w:rPr>
          <w:rStyle w:val="libFootnoteBoldChar"/>
          <w:rtl/>
        </w:rPr>
        <w:t>والوافي</w:t>
      </w:r>
      <w:r w:rsidR="00E3253D" w:rsidRPr="005D642E">
        <w:rPr>
          <w:rtl/>
        </w:rPr>
        <w:t xml:space="preserve"> : « يعيد</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بف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201 </w:t>
      </w:r>
      <w:r w:rsidR="00E3253D" w:rsidRPr="00E678B5">
        <w:rPr>
          <w:rStyle w:val="libFootnoteBoldChar"/>
          <w:rtl/>
        </w:rPr>
        <w:t>والاستبصار</w:t>
      </w:r>
      <w:r w:rsidR="00E3253D" w:rsidRPr="005D642E">
        <w:rPr>
          <w:rtl/>
        </w:rPr>
        <w:t xml:space="preserve"> ، ص 482 : + «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3 ، ص 322 ، ح 1004 معلّقاً عن محمّد بن أحمد ؛ </w:t>
      </w:r>
      <w:r w:rsidR="00E3253D" w:rsidRPr="002F4D34">
        <w:rPr>
          <w:rStyle w:val="libFootnoteBoldChar"/>
          <w:rtl/>
        </w:rPr>
        <w:t>الاستبصار</w:t>
      </w:r>
      <w:r w:rsidR="00E3253D" w:rsidRPr="005D642E">
        <w:rPr>
          <w:rtl/>
        </w:rPr>
        <w:t xml:space="preserve"> ، ج 1 ، ص 472 ، ح 1827 ، إلى قوله : « وصلّى عليهم كما يصلّي على ميّت واحد</w:t>
      </w:r>
      <w:r w:rsidR="00E3253D">
        <w:rPr>
          <w:rtl/>
        </w:rPr>
        <w:t xml:space="preserve"> ».</w:t>
      </w:r>
      <w:r w:rsidR="00E3253D" w:rsidRPr="005D642E">
        <w:rPr>
          <w:rtl/>
        </w:rPr>
        <w:t xml:space="preserve"> وفي </w:t>
      </w:r>
      <w:r w:rsidR="00E3253D" w:rsidRPr="002F4D34">
        <w:rPr>
          <w:rStyle w:val="libFootnoteBoldChar"/>
          <w:rtl/>
        </w:rPr>
        <w:t>التهذيب</w:t>
      </w:r>
      <w:r w:rsidR="00E3253D" w:rsidRPr="005D642E">
        <w:rPr>
          <w:rtl/>
        </w:rPr>
        <w:t xml:space="preserve"> ، ج 3 ، ص 201 ، ح 470 ؛ </w:t>
      </w:r>
      <w:r w:rsidR="00E3253D" w:rsidRPr="00E678B5">
        <w:rPr>
          <w:rStyle w:val="libFootnoteBoldChar"/>
          <w:rtl/>
        </w:rPr>
        <w:t>والاستبصار</w:t>
      </w:r>
      <w:r w:rsidR="00E3253D" w:rsidRPr="005D642E">
        <w:rPr>
          <w:rtl/>
        </w:rPr>
        <w:t xml:space="preserve"> ، ج 1 ، ص 482 ، ح 1870 ، من قوله : « وسئل عن ميّت صلّى عليه » ، وفي الثلاثة الأخيرة معلّقاً عن محمّد بن أحمد بن يحيى ، عن أحمد بن الحسن بن عليّ ، مع اختلاف يسير </w:t>
      </w:r>
      <w:r w:rsidR="00915E59">
        <w:rPr>
          <w:rFonts w:hint="cs"/>
          <w:rtl/>
        </w:rPr>
        <w:t>.</w:t>
      </w:r>
      <w:r w:rsidR="00E3253D" w:rsidRPr="002F4D34">
        <w:rPr>
          <w:rStyle w:val="libFootnoteBoldChar"/>
          <w:rtl/>
        </w:rPr>
        <w:t>الوافي</w:t>
      </w:r>
      <w:r w:rsidR="00E3253D" w:rsidRPr="005D642E">
        <w:rPr>
          <w:rtl/>
        </w:rPr>
        <w:t xml:space="preserve"> ، ج 24 ، ص 431 ، ح 24393 ؛ </w:t>
      </w:r>
      <w:r w:rsidR="00E3253D" w:rsidRPr="002F4D34">
        <w:rPr>
          <w:rStyle w:val="libFootnoteBoldChar"/>
          <w:rtl/>
        </w:rPr>
        <w:t>الوسائل</w:t>
      </w:r>
      <w:r w:rsidR="00E3253D" w:rsidRPr="005D642E">
        <w:rPr>
          <w:rtl/>
        </w:rPr>
        <w:t xml:space="preserve"> ، ج 3 ، ص 125 ، ح 3196 ، إلى قوله : « صلّى عليهم كما يصلّي على ميّت واحد » ؛ </w:t>
      </w:r>
      <w:r w:rsidR="00E3253D" w:rsidRPr="002F4D34">
        <w:rPr>
          <w:rStyle w:val="libFootnoteBoldChar"/>
          <w:rtl/>
        </w:rPr>
        <w:t>البحار</w:t>
      </w:r>
      <w:r w:rsidR="00E3253D" w:rsidRPr="005D642E">
        <w:rPr>
          <w:rtl/>
        </w:rPr>
        <w:t xml:space="preserve"> ، ج 81 ، ص 363.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915E59">
        <w:rPr>
          <w:rStyle w:val="libFootnoteAlaemChar"/>
          <w:rtl/>
        </w:rPr>
        <w:t>عليه‌السلام</w:t>
      </w:r>
      <w:r w:rsidR="00E3253D" w:rsidRPr="005D642E">
        <w:rPr>
          <w:rtl/>
        </w:rPr>
        <w:t xml:space="preserve"> : كان إذا صلّى إلخ ، رواه في </w:t>
      </w:r>
      <w:r w:rsidR="00E3253D" w:rsidRPr="002F4D34">
        <w:rPr>
          <w:rStyle w:val="libFootnoteBoldChar"/>
          <w:rtl/>
        </w:rPr>
        <w:t>التهذيب</w:t>
      </w:r>
      <w:r w:rsidR="00E3253D" w:rsidRPr="005D642E">
        <w:rPr>
          <w:rtl/>
        </w:rPr>
        <w:t xml:space="preserve"> عن سهل بهذا الإسناد كما هنا ، وفي </w:t>
      </w:r>
      <w:r w:rsidR="00E3253D" w:rsidRPr="002F4D34">
        <w:rPr>
          <w:rStyle w:val="libFootnoteBoldChar"/>
          <w:rtl/>
        </w:rPr>
        <w:t>الفقيه</w:t>
      </w:r>
      <w:r w:rsidR="00E3253D" w:rsidRPr="002F4D34">
        <w:rPr>
          <w:rStyle w:val="libFootnoteBoldChar"/>
          <w:rFonts w:hint="cs"/>
          <w:rtl/>
        </w:rPr>
        <w:t xml:space="preserve"> </w:t>
      </w:r>
      <w:r w:rsidR="00E3253D" w:rsidRPr="002F4D34">
        <w:rPr>
          <w:rStyle w:val="libFootnoteBoldChar"/>
          <w:rtl/>
        </w:rPr>
        <w:t>‌</w:t>
      </w:r>
      <w:r w:rsidR="00E3253D" w:rsidRPr="00327C8B">
        <w:rPr>
          <w:rtl/>
        </w:rPr>
        <w:t xml:space="preserve">مرسلاً </w:t>
      </w:r>
      <w:r w:rsidR="00E3253D" w:rsidRPr="005D642E">
        <w:rPr>
          <w:rtl/>
        </w:rPr>
        <w:t xml:space="preserve">: كان عليّ </w:t>
      </w:r>
      <w:r w:rsidR="00E3253D" w:rsidRPr="00915E59">
        <w:rPr>
          <w:rStyle w:val="libFootnoteAlaemChar"/>
          <w:rtl/>
        </w:rPr>
        <w:t>عليه‌السلام</w:t>
      </w:r>
      <w:r w:rsidR="00E3253D" w:rsidRPr="005D642E">
        <w:rPr>
          <w:rtl/>
        </w:rPr>
        <w:t xml:space="preserve"> إذا صلّى ، لعلّ ما في الفقيه أظهر ، وعلى ما في الكتابين فالمراد الرسول أو أميرالمؤمنين صلوات الله عليهما ، أو الصادق </w:t>
      </w:r>
      <w:r w:rsidR="00E3253D" w:rsidRPr="00915E59">
        <w:rPr>
          <w:rStyle w:val="libFootnoteAlaemChar"/>
          <w:rtl/>
        </w:rPr>
        <w:t>عليه‌السلام</w:t>
      </w:r>
      <w:r w:rsidR="00E3253D" w:rsidRPr="005D642E">
        <w:rPr>
          <w:rtl/>
        </w:rPr>
        <w:t xml:space="preserve"> بأن يكون القائل طلحة ، ويمكن أن يقرأ الأفعال على البناء للمجهول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الوافي</w:t>
      </w:r>
      <w:r w:rsidR="00E3253D" w:rsidRPr="005D642E">
        <w:rPr>
          <w:rtl/>
        </w:rPr>
        <w:t xml:space="preserve"> : « لعلّ المراد بالتقديم والتأخير في هذا الخبر التقديم والتأخير بالإضافة إلى القبلة دون الإمام ، أويكون الحكم فيه التخيير ، وهو أولى ؛ لأنّ خبر الحلبي المضمر الآتي لايقبل هذا التأويل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 « الحرّ والعبد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بث ، بح ، جح » والوسائل </w:t>
      </w:r>
      <w:r w:rsidR="00B60612" w:rsidRPr="00B60612">
        <w:rPr>
          <w:rStyle w:val="libFootnoteBoldChar"/>
          <w:rtl/>
        </w:rPr>
        <w:t>والتهذيب</w:t>
      </w:r>
      <w:r w:rsidR="00E3253D" w:rsidRPr="005D642E">
        <w:rPr>
          <w:rtl/>
        </w:rPr>
        <w:t xml:space="preserve"> : « الصغير والكبير</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322 ، ح 1002 ؛ </w:t>
      </w:r>
      <w:r w:rsidR="00E3253D" w:rsidRPr="00E678B5">
        <w:rPr>
          <w:rStyle w:val="libFootnoteBoldChar"/>
          <w:rtl/>
        </w:rPr>
        <w:t>والاستبصار</w:t>
      </w:r>
      <w:r w:rsidR="00E3253D" w:rsidRPr="005D642E">
        <w:rPr>
          <w:rtl/>
        </w:rPr>
        <w:t xml:space="preserve"> ، ج 1 ، ص 471 ، ح 1821 ، معلّقاً عن سهل بن زياد. </w:t>
      </w:r>
      <w:r w:rsidR="00E3253D" w:rsidRPr="002F4D34">
        <w:rPr>
          <w:rStyle w:val="libFootnoteBoldChar"/>
          <w:rtl/>
        </w:rPr>
        <w:t>الفقيه</w:t>
      </w:r>
      <w:r w:rsidR="00E3253D" w:rsidRPr="005D642E">
        <w:rPr>
          <w:rtl/>
        </w:rPr>
        <w:t xml:space="preserve"> ، ج 1 ، ص 169 ، ح 492 ، مرسلاً ، مع اختلاف يسير ، وفيه : « وكان عليّ </w:t>
      </w:r>
      <w:r w:rsidR="00E3253D" w:rsidRPr="007D30CD">
        <w:rPr>
          <w:rStyle w:val="libFootnoteAlaemChar"/>
          <w:rtl/>
        </w:rPr>
        <w:t>عليه‌السلام</w:t>
      </w:r>
      <w:r w:rsidR="00E3253D" w:rsidRPr="005D642E">
        <w:rPr>
          <w:rtl/>
        </w:rPr>
        <w:t xml:space="preserve"> إذا صلّى على الرجل </w:t>
      </w:r>
      <w:r w:rsidR="000D749A" w:rsidRPr="000D749A">
        <w:rPr>
          <w:rStyle w:val="libFootnoteBoldChar"/>
          <w:rtl/>
        </w:rPr>
        <w:t>والمرآة</w:t>
      </w:r>
      <w:r w:rsidR="00E3253D" w:rsidRPr="005D642E">
        <w:rPr>
          <w:rtl/>
        </w:rPr>
        <w:t xml:space="preserve"> قدّم</w:t>
      </w:r>
      <w:r w:rsidR="00E3253D">
        <w:rPr>
          <w:rtl/>
        </w:rPr>
        <w:t xml:space="preserve"> ..</w:t>
      </w:r>
      <w:r w:rsidR="00E3253D" w:rsidRPr="005D642E">
        <w:rPr>
          <w:rtl/>
        </w:rPr>
        <w:t xml:space="preserve">. » </w:t>
      </w:r>
      <w:r w:rsidR="007D30CD">
        <w:rPr>
          <w:rFonts w:hint="cs"/>
          <w:rtl/>
        </w:rPr>
        <w:t>.</w:t>
      </w:r>
      <w:r w:rsidR="00E3253D" w:rsidRPr="002F4D34">
        <w:rPr>
          <w:rStyle w:val="libFootnoteBoldChar"/>
          <w:rtl/>
        </w:rPr>
        <w:t>الوافي</w:t>
      </w:r>
      <w:r w:rsidR="00E3253D" w:rsidRPr="005D642E">
        <w:rPr>
          <w:rtl/>
        </w:rPr>
        <w:t xml:space="preserve"> ، ج 24 ، ص 430 ، ح 24388 ؛ </w:t>
      </w:r>
      <w:r w:rsidR="00E3253D" w:rsidRPr="002F4D34">
        <w:rPr>
          <w:rStyle w:val="libFootnoteBoldChar"/>
          <w:rtl/>
        </w:rPr>
        <w:t>الوسائل</w:t>
      </w:r>
      <w:r w:rsidR="00E3253D" w:rsidRPr="005D642E">
        <w:rPr>
          <w:rtl/>
        </w:rPr>
        <w:t xml:space="preserve"> ، ج 3 ، ص 126 ، ح 3199.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327C8B">
        <w:rPr>
          <w:rtl/>
        </w:rPr>
        <w:t>4474</w:t>
      </w:r>
      <w:r w:rsidRPr="00246318">
        <w:rPr>
          <w:rStyle w:val="libBold2Char"/>
          <w:rtl/>
        </w:rPr>
        <w:t xml:space="preserve"> / 4.</w:t>
      </w:r>
      <w:r w:rsidRPr="005D642E">
        <w:rPr>
          <w:rtl/>
          <w:lang w:bidi="fa-IR"/>
        </w:rPr>
        <w:t xml:space="preserve"> أَبُو عَلِيٍّ الْأَشْعَرِيُّ ، عَنْ مُحَمَّدِ بْنِ عَبْدِ الْجَبَّارِ ، عَنْ صَفْوَانَ بْنِ يَحْيى ، عَنِ الْعَلَاءِ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عَنِ الرِّجَالِ وَالنِّسَاءِ : كَيْفَ يُصَلّى عَلَيْهِمْ</w:t>
      </w:r>
      <w:r>
        <w:rPr>
          <w:rtl/>
          <w:lang w:bidi="fa-IR"/>
        </w:rPr>
        <w:t>؟</w:t>
      </w:r>
    </w:p>
    <w:p w:rsidR="00E3253D" w:rsidRPr="005D642E" w:rsidRDefault="00E3253D" w:rsidP="00E3253D">
      <w:pPr>
        <w:pStyle w:val="libNormal"/>
        <w:rPr>
          <w:rtl/>
          <w:lang w:bidi="fa-IR"/>
        </w:rPr>
      </w:pPr>
      <w:r w:rsidRPr="005D642E">
        <w:rPr>
          <w:rtl/>
          <w:lang w:bidi="fa-IR"/>
        </w:rPr>
        <w:t xml:space="preserve">قَالَ : « الرِّجَالُ </w:t>
      </w:r>
      <w:r w:rsidRPr="007C12DB">
        <w:rPr>
          <w:rStyle w:val="libFootnotenumChar"/>
          <w:rtl/>
        </w:rPr>
        <w:t>(1)</w:t>
      </w:r>
      <w:r w:rsidRPr="005D642E">
        <w:rPr>
          <w:rtl/>
          <w:lang w:bidi="fa-IR"/>
        </w:rPr>
        <w:t xml:space="preserve"> أَمَامَ النِّسَاءِ مِمَّا يَلِي الْإِمَامَ ، يُصَفُّ بَعْضُهُمْ عَلى أَثَرِ بَعْضٍ</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327C8B">
        <w:rPr>
          <w:rtl/>
        </w:rPr>
        <w:t>4475</w:t>
      </w:r>
      <w:r w:rsidRPr="00246318">
        <w:rPr>
          <w:rStyle w:val="libBold2Char"/>
          <w:rtl/>
        </w:rPr>
        <w:t xml:space="preserve"> / 5.</w:t>
      </w:r>
      <w:r w:rsidRPr="005D642E">
        <w:rPr>
          <w:rtl/>
          <w:lang w:bidi="fa-IR"/>
        </w:rPr>
        <w:t xml:space="preserve"> مُحَمَّدُ بْنُ يَحْيى ، عَنْ أَحْمَدَ بْنِ مُحَمَّدِ بْنِ عِيسى ، عَنِ ابْنِ فَضَّالٍ ، عَنِ ابْنِ بُكَيْرٍ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جَنَائِزِ الرِّجَالِ وَالصِّبْيَانِ وَالنِّسَاءِ </w:t>
      </w:r>
      <w:r w:rsidRPr="007C12DB">
        <w:rPr>
          <w:rStyle w:val="libFootnotenumChar"/>
          <w:rtl/>
        </w:rPr>
        <w:t>(3)</w:t>
      </w:r>
      <w:r w:rsidRPr="005D642E">
        <w:rPr>
          <w:rtl/>
          <w:lang w:bidi="fa-IR"/>
        </w:rPr>
        <w:t xml:space="preserve"> ، قَالَ : « يَضَعُ </w:t>
      </w:r>
      <w:r w:rsidRPr="007C12DB">
        <w:rPr>
          <w:rStyle w:val="libFootnotenumChar"/>
          <w:rtl/>
        </w:rPr>
        <w:t>(4)</w:t>
      </w:r>
      <w:r w:rsidRPr="005D642E">
        <w:rPr>
          <w:rtl/>
          <w:lang w:bidi="fa-IR"/>
        </w:rPr>
        <w:t xml:space="preserve"> النِّسَاءَ مِمَّا يَلِي الْقِبْلَةَ ، وَالصِّبْيَانَ دُونَهُمْ ، وَالرِّجَالَ </w:t>
      </w:r>
      <w:r w:rsidRPr="007C12DB">
        <w:rPr>
          <w:rStyle w:val="libFootnotenumChar"/>
          <w:rtl/>
        </w:rPr>
        <w:t>(5)</w:t>
      </w:r>
      <w:r w:rsidRPr="005D642E">
        <w:rPr>
          <w:rtl/>
          <w:lang w:bidi="fa-IR"/>
        </w:rPr>
        <w:t xml:space="preserve"> دُونَ ذلِكَ ، وَيَقُومُ الْإِمَامُ مِمَّا يَلِي الرِّجَالَ</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327C8B">
        <w:rPr>
          <w:rtl/>
        </w:rPr>
        <w:t>4476</w:t>
      </w:r>
      <w:r w:rsidRPr="00246318">
        <w:rPr>
          <w:rStyle w:val="libBold2Char"/>
          <w:rtl/>
        </w:rPr>
        <w:t xml:space="preserve"> / 6.</w:t>
      </w:r>
      <w:r w:rsidRPr="005D642E">
        <w:rPr>
          <w:rtl/>
          <w:lang w:bidi="fa-IR"/>
        </w:rPr>
        <w:t xml:space="preserve"> حُمَيْدُ بْنُ زِيَادٍ ، عَنِ الْحَسَنِ بْنِ مُحَمَّدِ بْنِ سَمَاعَةَ ، عَنْ غَيْرِ وَاحِدٍ ، عَنْ أَبَانِ بْنِ عُثْمَانَ ، عَنْ عَبْدِ الرَّحْمنِ بْنِ أَبِي عَبْدِ اللهِ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w:t>
      </w:r>
      <w:r w:rsidRPr="007C12DB">
        <w:rPr>
          <w:rStyle w:val="libFootnotenumChar"/>
          <w:rtl/>
        </w:rPr>
        <w:t>(7)</w:t>
      </w:r>
      <w:r w:rsidRPr="005D642E">
        <w:rPr>
          <w:rtl/>
          <w:lang w:bidi="fa-IR"/>
        </w:rPr>
        <w:t xml:space="preserve"> جَنَائِزِ الرِّجَالِ وَالنِّسَاءِ إِذَا اجْتَمَعَتْ</w:t>
      </w:r>
      <w:r>
        <w:rPr>
          <w:rtl/>
          <w:lang w:bidi="fa-IR"/>
        </w:rPr>
        <w:t>؟</w:t>
      </w:r>
    </w:p>
    <w:p w:rsidR="00E3253D" w:rsidRPr="005D642E" w:rsidRDefault="00E3253D" w:rsidP="00E3253D">
      <w:pPr>
        <w:pStyle w:val="libNormal"/>
        <w:rPr>
          <w:rtl/>
          <w:lang w:bidi="fa-IR"/>
        </w:rPr>
      </w:pPr>
      <w:r w:rsidRPr="005D642E">
        <w:rPr>
          <w:rtl/>
          <w:lang w:bidi="fa-IR"/>
        </w:rPr>
        <w:t xml:space="preserve">فَقَالَ : « يُقَدَّمُ الرِّجَالُ فِي كِتَابِ عَلِيٍّ </w:t>
      </w:r>
      <w:r w:rsidRPr="00AC51C5">
        <w:rPr>
          <w:rStyle w:val="libAlaemChar"/>
          <w:rtl/>
        </w:rPr>
        <w:t>عليه‌السلام</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ى ، بث ، بس ، بف ، جس ، جن » وحاشية « بح ، جح » </w:t>
      </w:r>
      <w:r w:rsidR="00B60612" w:rsidRPr="00B60612">
        <w:rPr>
          <w:rStyle w:val="libFootnoteBoldChar"/>
          <w:rtl/>
        </w:rPr>
        <w:t>والتهذيب</w:t>
      </w:r>
      <w:r w:rsidR="00E3253D" w:rsidRPr="005D642E">
        <w:rPr>
          <w:rtl/>
        </w:rPr>
        <w:t xml:space="preserve"> : « الرجل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3 ، ص 323 ، ح 1005 ؛ </w:t>
      </w:r>
      <w:r w:rsidR="00E3253D" w:rsidRPr="00E678B5">
        <w:rPr>
          <w:rStyle w:val="libFootnoteBoldChar"/>
          <w:rtl/>
        </w:rPr>
        <w:t>والاستبصار</w:t>
      </w:r>
      <w:r w:rsidR="00E3253D" w:rsidRPr="005D642E">
        <w:rPr>
          <w:rtl/>
        </w:rPr>
        <w:t xml:space="preserve"> ، ج 1 ، ص 471 ، ح 1822 ، معلّقاً عن أبي عليّ للأشعري </w:t>
      </w:r>
      <w:r w:rsidR="007D30CD">
        <w:rPr>
          <w:rFonts w:hint="cs"/>
          <w:rtl/>
        </w:rPr>
        <w:t>.</w:t>
      </w:r>
      <w:r w:rsidR="00E3253D" w:rsidRPr="002F4D34">
        <w:rPr>
          <w:rStyle w:val="libFootnoteBoldChar"/>
          <w:rtl/>
        </w:rPr>
        <w:t>الوافي</w:t>
      </w:r>
      <w:r w:rsidR="00E3253D" w:rsidRPr="005D642E">
        <w:rPr>
          <w:rtl/>
        </w:rPr>
        <w:t xml:space="preserve"> ، ج 24 ، ص 429 ، ح 24385 ؛ </w:t>
      </w:r>
      <w:r w:rsidR="00E3253D" w:rsidRPr="002F4D34">
        <w:rPr>
          <w:rStyle w:val="libFootnoteBoldChar"/>
          <w:rtl/>
        </w:rPr>
        <w:t>الوسائل</w:t>
      </w:r>
      <w:r w:rsidR="00E3253D" w:rsidRPr="005D642E">
        <w:rPr>
          <w:rtl/>
        </w:rPr>
        <w:t xml:space="preserve"> ، ج 3 ، ص 124 ، ح 3195.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 « والنساء والصبيان</w:t>
      </w:r>
      <w:r w:rsidR="00E3253D">
        <w:rPr>
          <w:rtl/>
        </w:rPr>
        <w:t xml:space="preserve"> ».</w:t>
      </w:r>
      <w:r w:rsidR="00E3253D" w:rsidRPr="005D642E">
        <w:rPr>
          <w:rtl/>
        </w:rPr>
        <w:t xml:space="preserve"> وفي « بس ، جس » :</w:t>
      </w:r>
      <w:r w:rsidR="00E3253D">
        <w:rPr>
          <w:rtl/>
        </w:rPr>
        <w:t xml:space="preserve"> </w:t>
      </w:r>
      <w:r w:rsidR="007642BC">
        <w:rPr>
          <w:rtl/>
        </w:rPr>
        <w:t>-</w:t>
      </w:r>
      <w:r w:rsidR="00E3253D">
        <w:rPr>
          <w:rtl/>
        </w:rPr>
        <w:t xml:space="preserve"> </w:t>
      </w:r>
      <w:r w:rsidR="00E3253D" w:rsidRPr="005D642E">
        <w:rPr>
          <w:rtl/>
        </w:rPr>
        <w:t>« النساء</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 « تضع</w:t>
      </w:r>
      <w:r w:rsidR="00E3253D">
        <w:rPr>
          <w:rtl/>
        </w:rPr>
        <w:t xml:space="preserve"> ».</w:t>
      </w:r>
      <w:r w:rsidR="00E3253D" w:rsidRPr="005D642E">
        <w:rPr>
          <w:rtl/>
        </w:rPr>
        <w:t xml:space="preserve"> وفي الوافي : « يوضع</w:t>
      </w:r>
      <w:r w:rsidR="00E3253D">
        <w:rPr>
          <w:rtl/>
        </w:rPr>
        <w:t xml:space="preserve"> ».</w:t>
      </w:r>
      <w:r w:rsidR="00E3253D" w:rsidRPr="005D642E">
        <w:rPr>
          <w:rtl/>
        </w:rPr>
        <w:t xml:space="preserve"> وفي الاستبصار </w:t>
      </w:r>
      <w:r w:rsidR="00B60612" w:rsidRPr="00B60612">
        <w:rPr>
          <w:rStyle w:val="libFootnoteBoldChar"/>
          <w:rtl/>
        </w:rPr>
        <w:t>والتهذيب</w:t>
      </w:r>
      <w:r w:rsidR="00E3253D" w:rsidRPr="005D642E">
        <w:rPr>
          <w:rtl/>
        </w:rPr>
        <w:t xml:space="preserve"> : « توضع</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 + « ممّا</w:t>
      </w:r>
      <w:r w:rsidR="00E3253D">
        <w:rPr>
          <w:rtl/>
        </w:rPr>
        <w:t xml:space="preserve"> ».</w:t>
      </w:r>
    </w:p>
    <w:p w:rsidR="00E3253D" w:rsidRPr="005D642E" w:rsidRDefault="0042621E" w:rsidP="007D30C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3 ، ص 323 ، ح 1007 ؛ </w:t>
      </w:r>
      <w:r w:rsidR="00E3253D" w:rsidRPr="00E678B5">
        <w:rPr>
          <w:rStyle w:val="libFootnoteBoldChar"/>
          <w:rtl/>
        </w:rPr>
        <w:t>والاستبصار</w:t>
      </w:r>
      <w:r w:rsidR="00E3253D" w:rsidRPr="005D642E">
        <w:rPr>
          <w:rtl/>
        </w:rPr>
        <w:t xml:space="preserve"> ، ج 1 ، ص 472 ، ح 1824 ، بسندهما عن الحسن بن عليّ بن فضّال ، عن ابن بكير ، مع اختلاف يسير </w:t>
      </w:r>
      <w:r w:rsidR="007D30CD">
        <w:rPr>
          <w:rFonts w:hint="cs"/>
          <w:rtl/>
        </w:rPr>
        <w:t>.</w:t>
      </w:r>
      <w:r w:rsidR="00E3253D" w:rsidRPr="002F4D34">
        <w:rPr>
          <w:rStyle w:val="libFootnoteBoldChar"/>
          <w:rtl/>
        </w:rPr>
        <w:t>الوافي</w:t>
      </w:r>
      <w:r w:rsidR="00E3253D" w:rsidRPr="005D642E">
        <w:rPr>
          <w:rtl/>
        </w:rPr>
        <w:t xml:space="preserve"> ، ج 24 ، ص 430 ، ح 24386 ؛ </w:t>
      </w:r>
      <w:r w:rsidR="00E3253D" w:rsidRPr="002F4D34">
        <w:rPr>
          <w:rStyle w:val="libFootnoteBoldChar"/>
          <w:rtl/>
        </w:rPr>
        <w:t>الوسائل</w:t>
      </w:r>
      <w:r w:rsidR="00E3253D" w:rsidRPr="005D642E">
        <w:rPr>
          <w:rtl/>
        </w:rPr>
        <w:t xml:space="preserve"> ، ج 3 ، ص 125 ، ح 3197.</w:t>
      </w:r>
      <w:r w:rsidR="007D30CD">
        <w:rPr>
          <w:rFonts w:hint="cs"/>
          <w:rtl/>
        </w:rPr>
        <w:t xml:space="preserve">                       </w:t>
      </w:r>
      <w:r w:rsidRPr="0042621E">
        <w:rPr>
          <w:rStyle w:val="libFootnote0Char"/>
          <w:rtl/>
        </w:rPr>
        <w:t>(7).</w:t>
      </w:r>
      <w:r w:rsidR="00E3253D" w:rsidRPr="005D642E">
        <w:rPr>
          <w:rtl/>
        </w:rPr>
        <w:t xml:space="preserve"> في « جن » : + « الرجل يصلّي على</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322 ، ح 1003 ؛ </w:t>
      </w:r>
      <w:r w:rsidR="00E3253D" w:rsidRPr="00E678B5">
        <w:rPr>
          <w:rStyle w:val="libFootnoteBoldChar"/>
          <w:rtl/>
        </w:rPr>
        <w:t>والاستبصار</w:t>
      </w:r>
      <w:r w:rsidR="00E3253D" w:rsidRPr="005D642E">
        <w:rPr>
          <w:rtl/>
        </w:rPr>
        <w:t xml:space="preserve"> ، ج 1 ، ص 472 ، ح 1826 ، معلّقاً عن حميد بن زياد. وفي </w:t>
      </w:r>
      <w:r w:rsidR="007D30C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392" w:name="_Toc344647341"/>
      <w:bookmarkStart w:id="393" w:name="_Toc462226855"/>
      <w:bookmarkStart w:id="394" w:name="_Toc40975964"/>
      <w:r w:rsidRPr="005D642E">
        <w:rPr>
          <w:rtl/>
          <w:lang w:bidi="fa-IR"/>
        </w:rPr>
        <w:t>46</w:t>
      </w:r>
      <w:r>
        <w:rPr>
          <w:rtl/>
          <w:lang w:bidi="fa-IR"/>
        </w:rPr>
        <w:t xml:space="preserve"> </w:t>
      </w:r>
      <w:r w:rsidR="007642BC">
        <w:rPr>
          <w:rtl/>
          <w:lang w:bidi="fa-IR"/>
        </w:rPr>
        <w:t>-</w:t>
      </w:r>
      <w:r>
        <w:rPr>
          <w:rtl/>
          <w:lang w:bidi="fa-IR"/>
        </w:rPr>
        <w:t xml:space="preserve"> </w:t>
      </w:r>
      <w:r w:rsidRPr="005D642E">
        <w:rPr>
          <w:rtl/>
          <w:lang w:bidi="fa-IR"/>
        </w:rPr>
        <w:t xml:space="preserve">بَابٌ نَادِرٌ </w:t>
      </w:r>
      <w:r w:rsidRPr="007C12DB">
        <w:rPr>
          <w:rStyle w:val="libFootnotenumChar"/>
          <w:rtl/>
        </w:rPr>
        <w:t>(1)</w:t>
      </w:r>
      <w:r w:rsidRPr="005D642E">
        <w:rPr>
          <w:rtl/>
          <w:lang w:bidi="fa-IR"/>
        </w:rPr>
        <w:t xml:space="preserve"> ‌</w:t>
      </w:r>
      <w:bookmarkEnd w:id="392"/>
      <w:bookmarkEnd w:id="393"/>
      <w:bookmarkEnd w:id="394"/>
    </w:p>
    <w:p w:rsidR="00E3253D" w:rsidRPr="005D642E" w:rsidRDefault="00E3253D" w:rsidP="00E3253D">
      <w:pPr>
        <w:pStyle w:val="libNormal"/>
        <w:rPr>
          <w:rtl/>
          <w:lang w:bidi="fa-IR"/>
        </w:rPr>
      </w:pPr>
      <w:r w:rsidRPr="00327C8B">
        <w:rPr>
          <w:rtl/>
        </w:rPr>
        <w:t>4477</w:t>
      </w:r>
      <w:r w:rsidRPr="00246318">
        <w:rPr>
          <w:rStyle w:val="libBold2Char"/>
          <w:rtl/>
        </w:rPr>
        <w:t xml:space="preserve"> / 1.</w:t>
      </w:r>
      <w:r w:rsidRPr="005D642E">
        <w:rPr>
          <w:rtl/>
          <w:lang w:bidi="fa-IR"/>
        </w:rPr>
        <w:t xml:space="preserve"> عَلِيُّ بْنُ إِبْرَاهِيمَ ، عَنْ أَبِيهِ ، عَنْ يَحْيَى </w:t>
      </w:r>
      <w:r w:rsidRPr="007C12DB">
        <w:rPr>
          <w:rStyle w:val="libFootnotenumChar"/>
          <w:rtl/>
        </w:rPr>
        <w:t>(2)</w:t>
      </w:r>
      <w:r w:rsidRPr="005D642E">
        <w:rPr>
          <w:rtl/>
          <w:lang w:bidi="fa-IR"/>
        </w:rPr>
        <w:t xml:space="preserve"> بْنِ زَكَرِيَّا ، عَنْ أَبِيهِ زَكَرِيَّا بْنِ مُوسى ، عَنِ الْيَسَعِ بْنِ عَبْدِ اللهِ الْقُمِّيِّ </w:t>
      </w:r>
      <w:r w:rsidRPr="007C12DB">
        <w:rPr>
          <w:rStyle w:val="libFootnotenumChar"/>
          <w:rtl/>
        </w:rPr>
        <w:t>(3)</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رَجُلٍ </w:t>
      </w:r>
      <w:r w:rsidRPr="007C12DB">
        <w:rPr>
          <w:rStyle w:val="libFootnotenumChar"/>
          <w:rtl/>
        </w:rPr>
        <w:t>(4)</w:t>
      </w:r>
      <w:r w:rsidRPr="005D642E">
        <w:rPr>
          <w:rtl/>
          <w:lang w:bidi="fa-IR"/>
        </w:rPr>
        <w:t xml:space="preserve"> يُصَلِّي عَلى جَنَازَةٍ وَحْدَهُ</w:t>
      </w:r>
      <w:r>
        <w:rPr>
          <w:rtl/>
          <w:lang w:bidi="fa-IR"/>
        </w:rPr>
        <w:t>؟</w:t>
      </w:r>
      <w:r w:rsidRPr="005D642E">
        <w:rPr>
          <w:rtl/>
          <w:lang w:bidi="fa-IR"/>
        </w:rPr>
        <w:t xml:space="preserve"> قَالَ : « نَعَمْ</w:t>
      </w:r>
      <w:r>
        <w:rPr>
          <w:rtl/>
          <w:lang w:bidi="fa-IR"/>
        </w:rPr>
        <w:t xml:space="preserve"> ».</w:t>
      </w:r>
    </w:p>
    <w:p w:rsidR="00E3253D" w:rsidRPr="005D642E" w:rsidRDefault="00E3253D" w:rsidP="00E3253D">
      <w:pPr>
        <w:pStyle w:val="libNormal"/>
        <w:rPr>
          <w:rtl/>
          <w:lang w:bidi="fa-IR"/>
        </w:rPr>
      </w:pPr>
      <w:r w:rsidRPr="005D642E">
        <w:rPr>
          <w:rtl/>
          <w:lang w:bidi="fa-IR"/>
        </w:rPr>
        <w:t>قُلْتُ : فَاثْنَانِ يُصَلِّيَانِ عَلَيْهَا</w:t>
      </w:r>
      <w:r>
        <w:rPr>
          <w:rtl/>
          <w:lang w:bidi="fa-IR"/>
        </w:rPr>
        <w:t>؟</w:t>
      </w:r>
      <w:r w:rsidRPr="005D642E">
        <w:rPr>
          <w:rtl/>
          <w:lang w:bidi="fa-IR"/>
        </w:rPr>
        <w:t xml:space="preserve"> قَالَ : « نَعَمْ ، وَلكِنْ يَقُومُ الْآخَرُ </w:t>
      </w:r>
      <w:r w:rsidRPr="007C12DB">
        <w:rPr>
          <w:rStyle w:val="libFootnotenumChar"/>
          <w:rtl/>
        </w:rPr>
        <w:t>(5)</w:t>
      </w:r>
      <w:r w:rsidRPr="005D642E">
        <w:rPr>
          <w:rtl/>
          <w:lang w:bidi="fa-IR"/>
        </w:rPr>
        <w:t xml:space="preserve"> خَلْفَ الْآخَرِ ، وَلَايَقُومُ بِجَنْبِهِ</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327C8B">
        <w:rPr>
          <w:rtl/>
        </w:rPr>
        <w:t>4478</w:t>
      </w:r>
      <w:r w:rsidRPr="00246318">
        <w:rPr>
          <w:rStyle w:val="libBold2Char"/>
          <w:rtl/>
        </w:rPr>
        <w:t xml:space="preserve"> / 2.</w:t>
      </w:r>
      <w:r w:rsidRPr="005D642E">
        <w:rPr>
          <w:rtl/>
          <w:lang w:bidi="fa-IR"/>
        </w:rPr>
        <w:t xml:space="preserve"> عِدَّةٌ مِنْ أَصْحَابِنَا </w:t>
      </w:r>
      <w:r w:rsidRPr="007C12DB">
        <w:rPr>
          <w:rStyle w:val="libFootnotenumChar"/>
          <w:rtl/>
        </w:rPr>
        <w:t>(7)</w:t>
      </w:r>
      <w:r w:rsidRPr="005D642E">
        <w:rPr>
          <w:rtl/>
          <w:lang w:bidi="fa-IR"/>
        </w:rPr>
        <w:t xml:space="preserve"> ، عَنْ سَهْلِ بْنِ زِيَادٍ ، عَنْ إِسْمَاعِيلَ بْنِ مِهْرَانَ ، عَنْ‌</w:t>
      </w:r>
    </w:p>
    <w:p w:rsidR="00E3253D" w:rsidRPr="005D642E" w:rsidRDefault="00E3253D" w:rsidP="00E3253D">
      <w:pPr>
        <w:pStyle w:val="libLine"/>
        <w:rPr>
          <w:rtl/>
          <w:lang w:bidi="fa-IR"/>
        </w:rPr>
      </w:pPr>
      <w:r w:rsidRPr="005D642E">
        <w:rPr>
          <w:rtl/>
          <w:lang w:bidi="fa-IR"/>
        </w:rPr>
        <w:t>__________________</w:t>
      </w:r>
    </w:p>
    <w:p w:rsidR="00E3253D" w:rsidRPr="005D642E" w:rsidRDefault="00AA5316" w:rsidP="00E3253D">
      <w:pPr>
        <w:pStyle w:val="libFootnote0"/>
        <w:rPr>
          <w:rtl/>
          <w:lang w:bidi="fa-IR"/>
        </w:rPr>
      </w:pPr>
      <w:r w:rsidRPr="00AA5316">
        <w:rPr>
          <w:rFonts w:hint="cs"/>
          <w:rtl/>
        </w:rPr>
        <w:t xml:space="preserve">= </w:t>
      </w:r>
      <w:r w:rsidR="00E3253D" w:rsidRPr="002F4D34">
        <w:rPr>
          <w:rStyle w:val="libFootnoteBoldChar"/>
          <w:rtl/>
        </w:rPr>
        <w:t>التهذيب</w:t>
      </w:r>
      <w:r w:rsidR="00E3253D" w:rsidRPr="005D642E">
        <w:rPr>
          <w:rtl/>
        </w:rPr>
        <w:t xml:space="preserve"> ، ج 3 ، ص 191 ، صدر ح 435 ، بسند آخر ، مع اختلاف يسير </w:t>
      </w:r>
      <w:r>
        <w:rPr>
          <w:rFonts w:hint="cs"/>
          <w:rtl/>
        </w:rPr>
        <w:t>.</w:t>
      </w:r>
      <w:r w:rsidR="00E3253D" w:rsidRPr="002F4D34">
        <w:rPr>
          <w:rStyle w:val="libFootnoteBoldChar"/>
          <w:rtl/>
        </w:rPr>
        <w:t>الوافي</w:t>
      </w:r>
      <w:r w:rsidR="00E3253D" w:rsidRPr="005D642E">
        <w:rPr>
          <w:rtl/>
        </w:rPr>
        <w:t xml:space="preserve"> ، ج 24 ، ص 430 ، ح 24387 ؛ </w:t>
      </w:r>
      <w:r w:rsidR="00E3253D" w:rsidRPr="002F4D34">
        <w:rPr>
          <w:rStyle w:val="libFootnoteBoldChar"/>
          <w:rtl/>
        </w:rPr>
        <w:t>الوسائل</w:t>
      </w:r>
      <w:r w:rsidR="00E3253D" w:rsidRPr="005D642E">
        <w:rPr>
          <w:rtl/>
        </w:rPr>
        <w:t xml:space="preserve"> ، ج 3 ، ص 126 ، ح 3198.</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باب نادر ، أي مشتمل على أخبار متفرّقة لايصلح كلّ منها لعقد باب مفرد 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بس ، جن » وحاشية « ظ ، بث » : « محمّد</w:t>
      </w:r>
      <w:r w:rsidR="00E3253D">
        <w:rPr>
          <w:rtl/>
        </w:rPr>
        <w:t xml:space="preserve"> ».</w:t>
      </w:r>
    </w:p>
    <w:p w:rsidR="00E3253D" w:rsidRDefault="0042621E" w:rsidP="00E3253D">
      <w:pPr>
        <w:pStyle w:val="libFootnote0"/>
        <w:rPr>
          <w:rtl/>
        </w:rPr>
      </w:pPr>
      <w:r w:rsidRPr="0042621E">
        <w:rPr>
          <w:rStyle w:val="libFootnote0Char"/>
          <w:rtl/>
        </w:rPr>
        <w:t>(3).</w:t>
      </w:r>
      <w:r w:rsidR="00E3253D" w:rsidRPr="005D642E">
        <w:rPr>
          <w:rtl/>
        </w:rPr>
        <w:t xml:space="preserve"> ورد الخبر في </w:t>
      </w:r>
      <w:r w:rsidR="00E3253D" w:rsidRPr="002F4D34">
        <w:rPr>
          <w:rStyle w:val="libFootnoteBoldChar"/>
          <w:rtl/>
        </w:rPr>
        <w:t>التهذيب</w:t>
      </w:r>
      <w:r w:rsidR="00E3253D" w:rsidRPr="005D642E">
        <w:rPr>
          <w:rtl/>
        </w:rPr>
        <w:t xml:space="preserve"> ، ج 3 ، ص 319 ، ح 990 ، بسنده عن القاسم بن عبيدالله القمّي ، قال : سألت أباعبدالله </w:t>
      </w:r>
      <w:r w:rsidR="00E3253D" w:rsidRPr="00AA5316">
        <w:rPr>
          <w:rStyle w:val="libFootnoteAlaemChar"/>
          <w:rtl/>
        </w:rPr>
        <w:t>عليه‌السلام</w:t>
      </w:r>
      <w:r w:rsidR="00E3253D" w:rsidRPr="005D642E">
        <w:rPr>
          <w:rtl/>
        </w:rPr>
        <w:t xml:space="preserve">. لكن لم نجد في من عُدَّ من أصحاب أبي عبدالله </w:t>
      </w:r>
      <w:r w:rsidR="00E3253D" w:rsidRPr="00AA5316">
        <w:rPr>
          <w:rStyle w:val="libFootnoteAlaemChar"/>
          <w:rtl/>
        </w:rPr>
        <w:t>عليه‌السلام</w:t>
      </w:r>
      <w:r w:rsidR="00E3253D" w:rsidRPr="005D642E">
        <w:rPr>
          <w:rtl/>
        </w:rPr>
        <w:t xml:space="preserve">. أو في من روى عنه </w:t>
      </w:r>
      <w:r w:rsidR="00E3253D" w:rsidRPr="00AA5316">
        <w:rPr>
          <w:rStyle w:val="libFootnoteAlaemChar"/>
          <w:rtl/>
        </w:rPr>
        <w:t>عليه‌السلام</w:t>
      </w:r>
      <w:r w:rsidR="00E3253D" w:rsidRPr="005D642E">
        <w:rPr>
          <w:rtl/>
        </w:rPr>
        <w:t xml:space="preserve"> ، القاسم بن عبيدالله</w:t>
      </w:r>
      <w:r w:rsidR="00E3253D">
        <w:rPr>
          <w:rtl/>
        </w:rPr>
        <w:t xml:space="preserve"> </w:t>
      </w:r>
      <w:r w:rsidR="007642BC">
        <w:rPr>
          <w:rtl/>
        </w:rPr>
        <w:t>-</w:t>
      </w:r>
      <w:r w:rsidR="00E3253D">
        <w:rPr>
          <w:rtl/>
        </w:rPr>
        <w:t xml:space="preserve"> </w:t>
      </w:r>
      <w:r w:rsidR="00E3253D" w:rsidRPr="005D642E">
        <w:rPr>
          <w:rtl/>
        </w:rPr>
        <w:t>أو عبدالله</w:t>
      </w:r>
      <w:r w:rsidR="00E3253D">
        <w:rPr>
          <w:rtl/>
        </w:rPr>
        <w:t xml:space="preserve"> </w:t>
      </w:r>
      <w:r w:rsidR="007642BC">
        <w:rPr>
          <w:rtl/>
        </w:rPr>
        <w:t>-</w:t>
      </w:r>
      <w:r w:rsidR="00E3253D">
        <w:rPr>
          <w:rtl/>
        </w:rPr>
        <w:t xml:space="preserve"> </w:t>
      </w:r>
      <w:r w:rsidR="00E3253D" w:rsidRPr="005D642E">
        <w:rPr>
          <w:rtl/>
        </w:rPr>
        <w:t>القمّي.</w:t>
      </w:r>
    </w:p>
    <w:p w:rsidR="00E3253D" w:rsidRPr="005D642E" w:rsidRDefault="00E3253D" w:rsidP="00E3253D">
      <w:pPr>
        <w:pStyle w:val="libFootnote0"/>
        <w:rPr>
          <w:rtl/>
          <w:lang w:bidi="fa-IR"/>
        </w:rPr>
      </w:pPr>
      <w:r w:rsidRPr="005D642E">
        <w:rPr>
          <w:rtl/>
        </w:rPr>
        <w:t xml:space="preserve">وأمّا اليسع ، فقد وردت في </w:t>
      </w:r>
      <w:r w:rsidRPr="002F4D34">
        <w:rPr>
          <w:rStyle w:val="libFootnoteBoldChar"/>
          <w:rtl/>
        </w:rPr>
        <w:t>التهذيب</w:t>
      </w:r>
      <w:r w:rsidRPr="005D642E">
        <w:rPr>
          <w:rtl/>
        </w:rPr>
        <w:t xml:space="preserve"> ، ج 3 ، ص 310 ، ح 960 ، رواية اليسع القمّي عن أبي عبدالله </w:t>
      </w:r>
      <w:r w:rsidRPr="00AA5316">
        <w:rPr>
          <w:rStyle w:val="libFootnoteAlaemChar"/>
          <w:rtl/>
        </w:rPr>
        <w:t>عليه‌السلام</w:t>
      </w:r>
      <w:r w:rsidRPr="005D642E">
        <w:rPr>
          <w:rtl/>
        </w:rPr>
        <w:t xml:space="preserve"> ، وهذا الخبر أورده للميرزا النوري في </w:t>
      </w:r>
      <w:r w:rsidRPr="002F4D34">
        <w:rPr>
          <w:rStyle w:val="libFootnoteBoldChar"/>
          <w:rtl/>
        </w:rPr>
        <w:t>مستدرك الوسائل</w:t>
      </w:r>
      <w:r w:rsidRPr="005D642E">
        <w:rPr>
          <w:rtl/>
        </w:rPr>
        <w:t xml:space="preserve"> ، ج 6 ، ص 258 ، ح 6818 ، نقلاً من كتاب </w:t>
      </w:r>
      <w:r w:rsidRPr="002F4D34">
        <w:rPr>
          <w:rStyle w:val="libFootnoteBoldChar"/>
          <w:rtl/>
        </w:rPr>
        <w:t>الغايات</w:t>
      </w:r>
      <w:r w:rsidRPr="00AA5316">
        <w:rPr>
          <w:rStyle w:val="libFootnoteBoldChar"/>
          <w:rtl/>
        </w:rPr>
        <w:t xml:space="preserve"> للشيخ</w:t>
      </w:r>
      <w:r w:rsidRPr="005D642E">
        <w:rPr>
          <w:rtl/>
        </w:rPr>
        <w:t xml:space="preserve"> جعفر بن أحمد القمّي عن اليسع بن عبدالله القمّي.</w:t>
      </w:r>
    </w:p>
    <w:p w:rsidR="00E3253D" w:rsidRPr="005D642E" w:rsidRDefault="00E3253D" w:rsidP="00E3253D">
      <w:pPr>
        <w:pStyle w:val="libFootnote0"/>
        <w:rPr>
          <w:rtl/>
          <w:lang w:bidi="fa-IR"/>
        </w:rPr>
      </w:pPr>
      <w:r w:rsidRPr="00B60612">
        <w:rPr>
          <w:rtl/>
        </w:rPr>
        <w:t xml:space="preserve">واليسع هذا ، هو والد سهل بن اليسع بن عبدالله بن سعد الأشعري الذي كان من أصحاب أبي الحسن موسى والرضا </w:t>
      </w:r>
      <w:r w:rsidRPr="00AA5316">
        <w:rPr>
          <w:rStyle w:val="libFootnoteAlaemChar"/>
          <w:rtl/>
        </w:rPr>
        <w:t>عليهما‌السلام</w:t>
      </w:r>
      <w:r w:rsidRPr="00B60612">
        <w:rPr>
          <w:rtl/>
        </w:rPr>
        <w:t xml:space="preserve">. راجع : </w:t>
      </w:r>
      <w:r w:rsidRPr="002F4D34">
        <w:rPr>
          <w:rStyle w:val="libFootnoteBoldChar"/>
          <w:rtl/>
        </w:rPr>
        <w:t>رجال النجاشي</w:t>
      </w:r>
      <w:r w:rsidRPr="00B60612">
        <w:rPr>
          <w:rtl/>
        </w:rPr>
        <w:t xml:space="preserve"> ، ص 186 ، الرقم 494.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ومرآة العقول والوسائل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 الرجل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بف </w:t>
      </w:r>
      <w:r w:rsidR="00E3253D" w:rsidRPr="00AA5316">
        <w:rPr>
          <w:rtl/>
        </w:rPr>
        <w:t xml:space="preserve">» </w:t>
      </w:r>
      <w:r w:rsidR="000D749A" w:rsidRPr="00AA5316">
        <w:rPr>
          <w:rtl/>
        </w:rPr>
        <w:t>والوافي</w:t>
      </w:r>
      <w:r w:rsidR="00E3253D" w:rsidRPr="005D642E">
        <w:rPr>
          <w:rtl/>
        </w:rPr>
        <w:t xml:space="preserve"> : « واحد</w:t>
      </w:r>
      <w:r w:rsidR="00E3253D">
        <w:rPr>
          <w:rtl/>
        </w:rPr>
        <w:t xml:space="preserve"> ».</w:t>
      </w:r>
      <w:r w:rsidR="00E3253D" w:rsidRPr="005D642E">
        <w:rPr>
          <w:rtl/>
        </w:rPr>
        <w:t xml:space="preserve"> وفي حاشية « بث » : « الواحد</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3 ، ص 319 ، ح 990 ، معلّقاً عن عليّ بن إبراهيم ، عن أبيه ، عن يحيى بن زكريّا ، عن أبيه زكريّا بن موسى ، عن القاسم بن عبيدالله القمّي ، عن أبي عبدالله </w:t>
      </w:r>
      <w:r w:rsidR="00E3253D" w:rsidRPr="00AA5316">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166 ، ح 477 ، معلّقاً عن اليسع بن عبدالله القمّي ، عن أبي عبدالله </w:t>
      </w:r>
      <w:r w:rsidR="00E3253D" w:rsidRPr="00AA5316">
        <w:rPr>
          <w:rStyle w:val="libFootnoteAlaemChar"/>
          <w:rtl/>
        </w:rPr>
        <w:t>عليه‌السلام</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AA5316">
        <w:rPr>
          <w:rStyle w:val="libFootnoteAlaemChar"/>
          <w:rtl/>
        </w:rPr>
        <w:t>عليه‌السلام</w:t>
      </w:r>
      <w:r w:rsidR="00E3253D" w:rsidRPr="005D642E">
        <w:rPr>
          <w:rtl/>
        </w:rPr>
        <w:t xml:space="preserve"> ، ص 177 ، مع اختلاف يسير </w:t>
      </w:r>
      <w:r w:rsidR="00AA5316">
        <w:rPr>
          <w:rFonts w:hint="cs"/>
          <w:rtl/>
        </w:rPr>
        <w:t>.</w:t>
      </w:r>
      <w:r w:rsidR="00E3253D" w:rsidRPr="002F4D34">
        <w:rPr>
          <w:rStyle w:val="libFootnoteBoldChar"/>
          <w:rtl/>
        </w:rPr>
        <w:t>الوافي</w:t>
      </w:r>
      <w:r w:rsidR="00E3253D" w:rsidRPr="005D642E">
        <w:rPr>
          <w:rtl/>
        </w:rPr>
        <w:t xml:space="preserve"> ، ج 24 ، ص 424 ، ح 24378 ؛ </w:t>
      </w:r>
      <w:r w:rsidR="00E3253D" w:rsidRPr="002F4D34">
        <w:rPr>
          <w:rStyle w:val="libFootnoteBoldChar"/>
          <w:rtl/>
        </w:rPr>
        <w:t>الوسائل</w:t>
      </w:r>
      <w:r w:rsidR="00E3253D" w:rsidRPr="005D642E">
        <w:rPr>
          <w:rtl/>
        </w:rPr>
        <w:t xml:space="preserve"> ، ج 3 ، ص 120 ، ح 3187.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التهذيب</w:t>
      </w:r>
      <w:r w:rsidR="00E3253D" w:rsidRPr="005D642E">
        <w:rPr>
          <w:rtl/>
        </w:rPr>
        <w:t xml:space="preserve"> : « محمّد بن يعقوب ، عن سهل بن زياد » مباشرة ، ولم يتوسّط بينهما عدّة من أصحابنا ، وهو </w:t>
      </w:r>
      <w:r w:rsidR="00AA531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سَيْفِ بْنِ عَمِيرَةَ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w:t>
      </w:r>
      <w:r w:rsidRPr="007C12DB">
        <w:rPr>
          <w:rStyle w:val="libFootnotenumChar"/>
          <w:rtl/>
        </w:rPr>
        <w:t>(1)</w:t>
      </w:r>
      <w:r w:rsidRPr="005D642E">
        <w:rPr>
          <w:rtl/>
          <w:lang w:bidi="fa-IR"/>
        </w:rPr>
        <w:t xml:space="preserve"> : « لَا يُصَلّى عَلَى الْجَنَازَةِ </w:t>
      </w:r>
      <w:r w:rsidRPr="007C12DB">
        <w:rPr>
          <w:rStyle w:val="libFootnotenumChar"/>
          <w:rtl/>
        </w:rPr>
        <w:t>(2)</w:t>
      </w:r>
      <w:r w:rsidRPr="005D642E">
        <w:rPr>
          <w:rtl/>
          <w:lang w:bidi="fa-IR"/>
        </w:rPr>
        <w:t xml:space="preserve"> بِحِذَاءٍ </w:t>
      </w:r>
      <w:r w:rsidRPr="007C12DB">
        <w:rPr>
          <w:rStyle w:val="libFootnotenumChar"/>
          <w:rtl/>
        </w:rPr>
        <w:t>(3)</w:t>
      </w:r>
      <w:r w:rsidRPr="005D642E">
        <w:rPr>
          <w:rtl/>
          <w:lang w:bidi="fa-IR"/>
        </w:rPr>
        <w:t xml:space="preserve"> ، وَلَابَأْسَ بِالْخُفِّ</w:t>
      </w:r>
      <w:r w:rsidRPr="007C12DB">
        <w:rPr>
          <w:rStyle w:val="libFootnotenumChar"/>
          <w:rtl/>
        </w:rPr>
        <w:t>(4)</w:t>
      </w:r>
      <w:r>
        <w:rPr>
          <w:rtl/>
          <w:lang w:bidi="fa-IR"/>
        </w:rPr>
        <w:t>».</w:t>
      </w:r>
      <w:r w:rsidRPr="007C12DB">
        <w:rPr>
          <w:rStyle w:val="libFootnotenumChar"/>
          <w:rtl/>
        </w:rPr>
        <w:t>(5)</w:t>
      </w:r>
    </w:p>
    <w:p w:rsidR="00E3253D" w:rsidRPr="005D642E" w:rsidRDefault="00E3253D" w:rsidP="00E3253D">
      <w:pPr>
        <w:pStyle w:val="libNormal"/>
        <w:rPr>
          <w:rtl/>
          <w:lang w:bidi="fa-IR"/>
        </w:rPr>
      </w:pPr>
      <w:r w:rsidRPr="007B7758">
        <w:rPr>
          <w:rtl/>
        </w:rPr>
        <w:t>4479</w:t>
      </w:r>
      <w:r w:rsidRPr="00246318">
        <w:rPr>
          <w:rStyle w:val="libBold2Char"/>
          <w:rtl/>
        </w:rPr>
        <w:t xml:space="preserve"> / 3.</w:t>
      </w:r>
      <w:r w:rsidRPr="005D642E">
        <w:rPr>
          <w:rtl/>
          <w:lang w:bidi="fa-IR"/>
        </w:rPr>
        <w:t xml:space="preserve"> عَلِيُّ بْنُ إِبْرَاهِيمَ ، عَنْ أَبِيهِ ، عَنِ النَّوْفَلِيِّ </w:t>
      </w:r>
      <w:r w:rsidRPr="007C12DB">
        <w:rPr>
          <w:rStyle w:val="libFootnotenumChar"/>
          <w:rtl/>
        </w:rPr>
        <w:t>(6)</w:t>
      </w:r>
      <w:r w:rsidRPr="005D642E">
        <w:rPr>
          <w:rtl/>
          <w:lang w:bidi="fa-IR"/>
        </w:rPr>
        <w:t xml:space="preserve">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خَيْرُ الصُّفُوفِ فِي الصَّلَاةِ الْمُقَدَّمُ ، وَخَيْرُ الصُّفُوفِ فِي الْجَنَائِزِ </w:t>
      </w:r>
      <w:r w:rsidRPr="007C12DB">
        <w:rPr>
          <w:rStyle w:val="libFootnotenumChar"/>
          <w:rtl/>
        </w:rPr>
        <w:t>(7)</w:t>
      </w:r>
      <w:r w:rsidRPr="005D642E">
        <w:rPr>
          <w:rtl/>
          <w:lang w:bidi="fa-IR"/>
        </w:rPr>
        <w:t xml:space="preserve"> الْمُؤَخَّرُ. قِيلَ : يَا رَسُولَ اللهِ ، وَلِمَ</w:t>
      </w:r>
      <w:r>
        <w:rPr>
          <w:rtl/>
          <w:lang w:bidi="fa-IR"/>
        </w:rPr>
        <w:t>؟</w:t>
      </w:r>
      <w:r w:rsidRPr="005D642E">
        <w:rPr>
          <w:rtl/>
          <w:lang w:bidi="fa-IR"/>
        </w:rPr>
        <w:t xml:space="preserve"> قَالَ : صَارَ </w:t>
      </w:r>
      <w:r w:rsidRPr="007C12DB">
        <w:rPr>
          <w:rStyle w:val="libFootnotenumChar"/>
          <w:rtl/>
        </w:rPr>
        <w:t>(8)</w:t>
      </w:r>
      <w:r w:rsidRPr="005D642E">
        <w:rPr>
          <w:rtl/>
          <w:lang w:bidi="fa-IR"/>
        </w:rPr>
        <w:t xml:space="preserve"> سُتْرَةً لِلنِّسَاءِ</w:t>
      </w:r>
      <w:r>
        <w:rPr>
          <w:rtl/>
          <w:lang w:bidi="fa-IR"/>
        </w:rPr>
        <w:t xml:space="preserve"> ».</w:t>
      </w:r>
      <w:r w:rsidRPr="007C12DB">
        <w:rPr>
          <w:rStyle w:val="libFootnotenumChar"/>
          <w:rtl/>
        </w:rPr>
        <w:t>(9)</w:t>
      </w:r>
      <w:r w:rsidRPr="005D642E">
        <w:rPr>
          <w:rtl/>
          <w:lang w:bidi="fa-IR"/>
        </w:rPr>
        <w:t>‌</w:t>
      </w:r>
    </w:p>
    <w:p w:rsidR="00E3253D" w:rsidRPr="005D642E" w:rsidRDefault="00E3253D" w:rsidP="00E3253D">
      <w:pPr>
        <w:pStyle w:val="Heading2Center"/>
        <w:rPr>
          <w:rtl/>
          <w:lang w:bidi="fa-IR"/>
        </w:rPr>
      </w:pPr>
      <w:bookmarkStart w:id="395" w:name="_Toc344647342"/>
      <w:bookmarkStart w:id="396" w:name="_Toc462226856"/>
      <w:bookmarkStart w:id="397" w:name="_Toc40975965"/>
      <w:r w:rsidRPr="005D642E">
        <w:rPr>
          <w:rtl/>
          <w:lang w:bidi="fa-IR"/>
        </w:rPr>
        <w:t>47</w:t>
      </w:r>
      <w:r>
        <w:rPr>
          <w:rtl/>
          <w:lang w:bidi="fa-IR"/>
        </w:rPr>
        <w:t xml:space="preserve"> </w:t>
      </w:r>
      <w:r w:rsidR="007642BC">
        <w:rPr>
          <w:rtl/>
          <w:lang w:bidi="fa-IR"/>
        </w:rPr>
        <w:t>-</w:t>
      </w:r>
      <w:r>
        <w:rPr>
          <w:rtl/>
          <w:lang w:bidi="fa-IR"/>
        </w:rPr>
        <w:t xml:space="preserve"> </w:t>
      </w:r>
      <w:r w:rsidRPr="005D642E">
        <w:rPr>
          <w:rtl/>
          <w:lang w:bidi="fa-IR"/>
        </w:rPr>
        <w:t xml:space="preserve">بَابُ الْمَوْضِعِ الَّذِي يَقُومُ الْإِمَامُ إِذَا صَلّى عَلَى الْجَنَازَةِ </w:t>
      </w:r>
      <w:r w:rsidRPr="007C12DB">
        <w:rPr>
          <w:rStyle w:val="libFootnotenumChar"/>
          <w:rtl/>
        </w:rPr>
        <w:t>(10)</w:t>
      </w:r>
      <w:r w:rsidRPr="005D642E">
        <w:rPr>
          <w:rtl/>
          <w:lang w:bidi="fa-IR"/>
        </w:rPr>
        <w:t xml:space="preserve"> ‌</w:t>
      </w:r>
      <w:bookmarkEnd w:id="395"/>
      <w:bookmarkEnd w:id="396"/>
      <w:bookmarkEnd w:id="397"/>
    </w:p>
    <w:p w:rsidR="00E3253D" w:rsidRPr="005D642E" w:rsidRDefault="00E3253D" w:rsidP="00E3253D">
      <w:pPr>
        <w:pStyle w:val="libNormal"/>
        <w:rPr>
          <w:rtl/>
          <w:lang w:bidi="fa-IR"/>
        </w:rPr>
      </w:pPr>
      <w:r w:rsidRPr="007B7758">
        <w:rPr>
          <w:rtl/>
        </w:rPr>
        <w:t>4480</w:t>
      </w:r>
      <w:r w:rsidRPr="00246318">
        <w:rPr>
          <w:rStyle w:val="libBold2Char"/>
          <w:rtl/>
        </w:rPr>
        <w:t xml:space="preserve"> / 1.</w:t>
      </w:r>
      <w:r w:rsidRPr="005D642E">
        <w:rPr>
          <w:rtl/>
          <w:lang w:bidi="fa-IR"/>
        </w:rPr>
        <w:t xml:space="preserve"> عَلِيُّ بْنُ إِبْرَاهِيمَ ، عَنْ أَبِيهِ ، عَنْ عَبْدِ اللهِ بْنِ الْمُغِيرَةِ ، عَنْ بَعْضِ أَصْحَابِنَا :</w:t>
      </w:r>
    </w:p>
    <w:p w:rsidR="00E3253D" w:rsidRPr="005D642E" w:rsidRDefault="00E3253D" w:rsidP="00E3253D">
      <w:pPr>
        <w:pStyle w:val="libLine"/>
        <w:rPr>
          <w:rtl/>
          <w:lang w:bidi="fa-IR"/>
        </w:rPr>
      </w:pPr>
      <w:r w:rsidRPr="005D642E">
        <w:rPr>
          <w:rtl/>
          <w:lang w:bidi="fa-IR"/>
        </w:rPr>
        <w:t>__________________</w:t>
      </w:r>
    </w:p>
    <w:p w:rsidR="00E3253D" w:rsidRPr="005D642E" w:rsidRDefault="00AA5316" w:rsidP="00E3253D">
      <w:pPr>
        <w:pStyle w:val="libFootnote0"/>
        <w:rPr>
          <w:rtl/>
          <w:lang w:bidi="fa-IR"/>
        </w:rPr>
      </w:pPr>
      <w:r>
        <w:rPr>
          <w:rFonts w:hint="cs"/>
          <w:rtl/>
        </w:rPr>
        <w:t xml:space="preserve">= </w:t>
      </w:r>
      <w:r w:rsidR="00E3253D" w:rsidRPr="005D642E">
        <w:rPr>
          <w:rtl/>
        </w:rPr>
        <w:t>سهو واضح.</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بخ ، بس ، بف ، جس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r w:rsidR="00E3253D" w:rsidRPr="005D642E">
        <w:rPr>
          <w:rtl/>
        </w:rPr>
        <w:t xml:space="preserve"> وفي « بح » :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 « على جنازة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الحذاء ، بكسر الحاء والمدّ : النعل. راجع : </w:t>
      </w:r>
      <w:r w:rsidR="00E3253D" w:rsidRPr="002F4D34">
        <w:rPr>
          <w:rStyle w:val="libFootnoteBoldChar"/>
          <w:rtl/>
        </w:rPr>
        <w:t>الصحاح</w:t>
      </w:r>
      <w:r w:rsidR="00E3253D" w:rsidRPr="005D642E">
        <w:rPr>
          <w:rtl/>
        </w:rPr>
        <w:t xml:space="preserve"> ، ج 6 ، ص 2310 ( حذا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الخُفُّ » : الذي يُلْبَس في الرِجْل. راجع : </w:t>
      </w:r>
      <w:r w:rsidR="00E3253D" w:rsidRPr="002F4D34">
        <w:rPr>
          <w:rStyle w:val="libFootnoteBoldChar"/>
          <w:rtl/>
        </w:rPr>
        <w:t>لسان العرب</w:t>
      </w:r>
      <w:r w:rsidR="00E3253D" w:rsidRPr="005D642E">
        <w:rPr>
          <w:rtl/>
        </w:rPr>
        <w:t xml:space="preserve"> ، ج 9 ، ص 81 ( خفف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3 ، ص 206 ، ح 491 ، معلّقاً عن الكليني ، عن سهل بن زياد </w:t>
      </w:r>
      <w:r w:rsidR="00AA5316">
        <w:rPr>
          <w:rFonts w:hint="cs"/>
          <w:rtl/>
        </w:rPr>
        <w:t>.</w:t>
      </w:r>
      <w:r w:rsidR="00E3253D" w:rsidRPr="002F4D34">
        <w:rPr>
          <w:rStyle w:val="libFootnoteBoldChar"/>
          <w:rtl/>
        </w:rPr>
        <w:t>الوافي</w:t>
      </w:r>
      <w:r w:rsidR="00E3253D" w:rsidRPr="005D642E">
        <w:rPr>
          <w:rtl/>
        </w:rPr>
        <w:t xml:space="preserve"> ، ج 24 ، ص 426 ، ح 24382 ؛ </w:t>
      </w:r>
      <w:r w:rsidR="00E3253D" w:rsidRPr="002F4D34">
        <w:rPr>
          <w:rStyle w:val="libFootnoteBoldChar"/>
          <w:rtl/>
        </w:rPr>
        <w:t>الوسائل</w:t>
      </w:r>
      <w:r w:rsidR="00E3253D" w:rsidRPr="005D642E">
        <w:rPr>
          <w:rtl/>
        </w:rPr>
        <w:t xml:space="preserve"> ، ج 3 ، ص 118 ، ح 3183 ؛ </w:t>
      </w:r>
      <w:r w:rsidR="00E3253D" w:rsidRPr="002F4D34">
        <w:rPr>
          <w:rStyle w:val="libFootnoteBoldChar"/>
          <w:rtl/>
        </w:rPr>
        <w:t>البحار</w:t>
      </w:r>
      <w:r w:rsidR="00E3253D" w:rsidRPr="005D642E">
        <w:rPr>
          <w:rtl/>
        </w:rPr>
        <w:t xml:space="preserve"> ، ج 81 ، ص 366.</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الخبر رواه الشيخ الصدوق في </w:t>
      </w:r>
      <w:r w:rsidR="00E3253D" w:rsidRPr="002F4D34">
        <w:rPr>
          <w:rStyle w:val="libFootnoteBoldChar"/>
          <w:rtl/>
        </w:rPr>
        <w:t>علل الشرائع</w:t>
      </w:r>
      <w:r w:rsidR="00E3253D" w:rsidRPr="005D642E">
        <w:rPr>
          <w:rtl/>
        </w:rPr>
        <w:t xml:space="preserve"> ، ص 306 ، ح 1 ، بسنده عن أحمد بن محمّد بن عيسى ، عن محمّد بن إبراهيم النوفلي ، عن إسماعيل بن أبي زياد.</w:t>
      </w:r>
    </w:p>
    <w:p w:rsidR="00E3253D" w:rsidRPr="005D642E" w:rsidRDefault="00E3253D" w:rsidP="00AA5316">
      <w:pPr>
        <w:pStyle w:val="libFootnote0"/>
        <w:rPr>
          <w:rtl/>
          <w:lang w:bidi="fa-IR"/>
        </w:rPr>
      </w:pPr>
      <w:r w:rsidRPr="00B60612">
        <w:rPr>
          <w:rtl/>
        </w:rPr>
        <w:t xml:space="preserve">والسند لايخلو من خللٍ ؛ فإنّ الراوي عن إسماعيل بن أبي زياد </w:t>
      </w:r>
      <w:r w:rsidR="007642BC" w:rsidRPr="00B60612">
        <w:rPr>
          <w:rtl/>
        </w:rPr>
        <w:t>-</w:t>
      </w:r>
      <w:r w:rsidRPr="00B60612">
        <w:rPr>
          <w:rtl/>
        </w:rPr>
        <w:t xml:space="preserve"> وهو السكوني </w:t>
      </w:r>
      <w:r w:rsidR="007642BC" w:rsidRPr="00B60612">
        <w:rPr>
          <w:rtl/>
        </w:rPr>
        <w:t>-</w:t>
      </w:r>
      <w:r w:rsidRPr="00B60612">
        <w:rPr>
          <w:rtl/>
        </w:rPr>
        <w:t xml:space="preserve"> هو الحسين بن يزيد النوفلي ، كما أنّا لم نجد رواية أحمد بن محمّد بن عيسى ، عن محمّد بن إبراهيم النوفلي في موضع. راجع : </w:t>
      </w:r>
      <w:r w:rsidR="0059794D" w:rsidRPr="0059794D">
        <w:rPr>
          <w:rStyle w:val="libFootnoteBoldChar"/>
          <w:rtl/>
        </w:rPr>
        <w:t>الفهرست للطوسي</w:t>
      </w:r>
      <w:r w:rsidRPr="00B60612">
        <w:rPr>
          <w:rtl/>
        </w:rPr>
        <w:t xml:space="preserve"> ، ص 33 ، الرقم 38.</w:t>
      </w:r>
      <w:r w:rsidR="00AA5316">
        <w:rPr>
          <w:rFonts w:hint="cs"/>
          <w:rtl/>
        </w:rPr>
        <w:t xml:space="preserve">                                         </w:t>
      </w:r>
      <w:r w:rsidR="0042621E" w:rsidRPr="0042621E">
        <w:rPr>
          <w:rStyle w:val="libFootnote0Char"/>
          <w:rtl/>
        </w:rPr>
        <w:t>(7).</w:t>
      </w:r>
      <w:r w:rsidRPr="005D642E">
        <w:rPr>
          <w:rtl/>
        </w:rPr>
        <w:t xml:space="preserve"> في « بخ » : « في الجنازة</w:t>
      </w:r>
      <w:r>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صارت</w:t>
      </w:r>
      <w:r w:rsidR="00E3253D">
        <w:rPr>
          <w:rtl/>
        </w:rPr>
        <w:t xml:space="preserve"> ».</w:t>
      </w:r>
      <w:r w:rsidR="00E3253D" w:rsidRPr="005D642E">
        <w:rPr>
          <w:rtl/>
        </w:rPr>
        <w:t xml:space="preserve"> وفي « بس » :</w:t>
      </w:r>
      <w:r w:rsidR="00E3253D">
        <w:rPr>
          <w:rtl/>
        </w:rPr>
        <w:t xml:space="preserve"> </w:t>
      </w:r>
      <w:r w:rsidR="007642BC">
        <w:rPr>
          <w:rtl/>
        </w:rPr>
        <w:t>-</w:t>
      </w:r>
      <w:r w:rsidR="00E3253D">
        <w:rPr>
          <w:rtl/>
        </w:rPr>
        <w:t xml:space="preserve"> </w:t>
      </w:r>
      <w:r w:rsidR="00E3253D" w:rsidRPr="005D642E">
        <w:rPr>
          <w:rtl/>
        </w:rPr>
        <w:t>« صار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3 ، ص 319 ، ح 991 ، معلّقاً عن عليّ ، عن أبيه ، عن النوفلي. </w:t>
      </w:r>
      <w:r w:rsidR="00E3253D" w:rsidRPr="002F4D34">
        <w:rPr>
          <w:rStyle w:val="libFootnoteBoldChar"/>
          <w:rtl/>
        </w:rPr>
        <w:t>علل الشرائع</w:t>
      </w:r>
      <w:r w:rsidR="00E3253D" w:rsidRPr="005D642E">
        <w:rPr>
          <w:rtl/>
        </w:rPr>
        <w:t xml:space="preserve"> ، ص 306 ، ح 1 ، بسنده عن محمّد بن إبراهيم النوفلي ، عن إسماعيل بن أبي زياد ، عن جعفر بن محمّد ، عن أبيه ، عن أبائه ، عن عليّ بن أبي طالب </w:t>
      </w:r>
      <w:r w:rsidR="00E3253D" w:rsidRPr="00AA5316">
        <w:rPr>
          <w:rStyle w:val="libFootnoteAlaemChar"/>
          <w:rtl/>
        </w:rPr>
        <w:t>عليهم‌السلام</w:t>
      </w:r>
      <w:r w:rsidR="00E3253D" w:rsidRPr="005D642E">
        <w:rPr>
          <w:rtl/>
        </w:rPr>
        <w:t xml:space="preserve"> عن النبيّ </w:t>
      </w:r>
      <w:r w:rsidRPr="00AA5316">
        <w:rPr>
          <w:rStyle w:val="libFootnoteAlaemChar"/>
          <w:rtl/>
        </w:rPr>
        <w:t>صلى‌الله‌عليه‌وآله</w:t>
      </w:r>
      <w:r w:rsidR="00E3253D" w:rsidRPr="005D642E">
        <w:rPr>
          <w:rtl/>
        </w:rPr>
        <w:t xml:space="preserve">. </w:t>
      </w:r>
      <w:r w:rsidR="00E3253D" w:rsidRPr="002F4D34">
        <w:rPr>
          <w:rStyle w:val="libFootnoteBoldChar"/>
          <w:rtl/>
        </w:rPr>
        <w:t>الجعفريّات</w:t>
      </w:r>
      <w:r w:rsidR="00E3253D" w:rsidRPr="005D642E">
        <w:rPr>
          <w:rtl/>
        </w:rPr>
        <w:t xml:space="preserve"> ، ص 33 ، بسند آخر عن جعفر بن محمّد ، عن آبائه </w:t>
      </w:r>
      <w:r w:rsidR="00E3253D" w:rsidRPr="00AA5316">
        <w:rPr>
          <w:rStyle w:val="libFootnoteAlaemChar"/>
          <w:rtl/>
        </w:rPr>
        <w:t>عليهم‌السلام</w:t>
      </w:r>
      <w:r w:rsidR="00E3253D" w:rsidRPr="005D642E">
        <w:rPr>
          <w:rtl/>
        </w:rPr>
        <w:t xml:space="preserve"> عن رسول الله </w:t>
      </w:r>
      <w:r w:rsidRPr="00AA5316">
        <w:rPr>
          <w:rStyle w:val="libFootnoteAlaemChar"/>
          <w:rtl/>
        </w:rPr>
        <w:t>صلى‌الله‌عليه‌وآله</w:t>
      </w:r>
      <w:r w:rsidR="00E3253D" w:rsidRPr="005D642E">
        <w:rPr>
          <w:rtl/>
        </w:rPr>
        <w:t xml:space="preserve"> ، ومع اختلاف يسير </w:t>
      </w:r>
      <w:r w:rsidR="00CF5793">
        <w:rPr>
          <w:rFonts w:hint="cs"/>
          <w:rtl/>
        </w:rPr>
        <w:t>.</w:t>
      </w:r>
      <w:r w:rsidR="00E3253D" w:rsidRPr="002F4D34">
        <w:rPr>
          <w:rStyle w:val="libFootnoteBoldChar"/>
          <w:rtl/>
        </w:rPr>
        <w:t>الوافي</w:t>
      </w:r>
      <w:r w:rsidR="00E3253D" w:rsidRPr="005D642E">
        <w:rPr>
          <w:rtl/>
        </w:rPr>
        <w:t xml:space="preserve"> ، ج 24 ، ص 425 ، ح 24381 ؛ </w:t>
      </w:r>
      <w:r w:rsidR="00E3253D" w:rsidRPr="002F4D34">
        <w:rPr>
          <w:rStyle w:val="libFootnoteBoldChar"/>
          <w:rtl/>
        </w:rPr>
        <w:t>الوسائل</w:t>
      </w:r>
      <w:r w:rsidR="00E3253D" w:rsidRPr="005D642E">
        <w:rPr>
          <w:rtl/>
        </w:rPr>
        <w:t xml:space="preserve"> ، ج 3 ، ص 121 ، ذيل ح 3188.</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بخ ، جح » : « على الجنائز</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w:t>
      </w:r>
      <w:r>
        <w:rPr>
          <w:rtl/>
          <w:lang w:bidi="fa-IR"/>
        </w:rPr>
        <w:t xml:space="preserve"> </w:t>
      </w:r>
      <w:r w:rsidR="007642BC">
        <w:rPr>
          <w:rtl/>
          <w:lang w:bidi="fa-IR"/>
        </w:rPr>
        <w:t>-</w:t>
      </w:r>
      <w:r>
        <w:rPr>
          <w:rtl/>
          <w:lang w:bidi="fa-IR"/>
        </w:rPr>
        <w:t xml:space="preserve"> </w:t>
      </w:r>
      <w:r w:rsidRPr="005D642E">
        <w:rPr>
          <w:rtl/>
          <w:lang w:bidi="fa-IR"/>
        </w:rPr>
        <w:t>صَلَوَاتُ اللهِ عَلَيْهِ</w:t>
      </w:r>
      <w:r>
        <w:rPr>
          <w:rtl/>
          <w:lang w:bidi="fa-IR"/>
        </w:rPr>
        <w:t xml:space="preserve"> </w:t>
      </w:r>
      <w:r w:rsidR="007642BC">
        <w:rPr>
          <w:rtl/>
          <w:lang w:bidi="fa-IR"/>
        </w:rPr>
        <w:t>-</w:t>
      </w:r>
      <w:r>
        <w:rPr>
          <w:rtl/>
          <w:lang w:bidi="fa-IR"/>
        </w:rPr>
        <w:t xml:space="preserve"> </w:t>
      </w:r>
      <w:r w:rsidRPr="005D642E">
        <w:rPr>
          <w:rtl/>
          <w:lang w:bidi="fa-IR"/>
        </w:rPr>
        <w:t>: مَنْ صَلّى عَلَى امْرَأَةٍ ، فَلَا يَقُومُ فِي وَسَطِهَا ، وَيَكُونُ مِمَّا يَلِي صَدْرَهَا ؛ وَإِذَا صَلّى عَلَى الرَّجُلِ ، فَلْيَقُمْ فِي وَسَطِهِ</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7B7758">
        <w:rPr>
          <w:rtl/>
        </w:rPr>
        <w:t>4481</w:t>
      </w:r>
      <w:r w:rsidRPr="00246318">
        <w:rPr>
          <w:rStyle w:val="libBold2Char"/>
          <w:rtl/>
        </w:rPr>
        <w:t xml:space="preserve"> / 2.</w:t>
      </w:r>
      <w:r w:rsidRPr="005D642E">
        <w:rPr>
          <w:rtl/>
          <w:lang w:bidi="fa-IR"/>
        </w:rPr>
        <w:t xml:space="preserve"> عِدَّةٌ مِنْ أَصْحَابِنَا ، عَنْ سَهْلِ بْنِ زِيَادٍ ، عَنْ أَحْمَدَ بْنِ مُحَمَّدِ بْنِ أَبِي نَصْرٍ ، عَنْ مُوسَى بْنِ بَكْرٍ :</w:t>
      </w:r>
    </w:p>
    <w:p w:rsidR="00E3253D" w:rsidRPr="005D642E" w:rsidRDefault="00E3253D" w:rsidP="00E3253D">
      <w:pPr>
        <w:pStyle w:val="libNormal"/>
        <w:rPr>
          <w:rtl/>
          <w:lang w:bidi="fa-IR"/>
        </w:rPr>
      </w:pPr>
      <w:r w:rsidRPr="005D642E">
        <w:rPr>
          <w:rtl/>
          <w:lang w:bidi="fa-IR"/>
        </w:rPr>
        <w:t xml:space="preserve">عَنْ أَبِي الْحَسَنِ </w:t>
      </w:r>
      <w:r w:rsidRPr="00AC51C5">
        <w:rPr>
          <w:rStyle w:val="libAlaemChar"/>
          <w:rtl/>
        </w:rPr>
        <w:t>عليه‌السلام</w:t>
      </w:r>
      <w:r w:rsidRPr="005D642E">
        <w:rPr>
          <w:rtl/>
          <w:lang w:bidi="fa-IR"/>
        </w:rPr>
        <w:t xml:space="preserve"> ، قَالَ : « إِذَا صَلَّيْتَ عَلَى الْمَرْأَةِ ، فَقُمْ </w:t>
      </w:r>
      <w:r w:rsidRPr="007C12DB">
        <w:rPr>
          <w:rStyle w:val="libFootnotenumChar"/>
          <w:rtl/>
        </w:rPr>
        <w:t>(2)</w:t>
      </w:r>
      <w:r w:rsidRPr="005D642E">
        <w:rPr>
          <w:rtl/>
          <w:lang w:bidi="fa-IR"/>
        </w:rPr>
        <w:t xml:space="preserve"> عِنْدَ رَأْسِهَا ؛ وَإِذَا صَلَّيْتَ عَلَى الرَّجُلِ ، فَقُمْ </w:t>
      </w:r>
      <w:r w:rsidRPr="007C12DB">
        <w:rPr>
          <w:rStyle w:val="libFootnotenumChar"/>
          <w:rtl/>
        </w:rPr>
        <w:t>(3)</w:t>
      </w:r>
      <w:r w:rsidRPr="005D642E">
        <w:rPr>
          <w:rtl/>
          <w:lang w:bidi="fa-IR"/>
        </w:rPr>
        <w:t xml:space="preserve"> عِنْدَ صَدْرِهِ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398" w:name="_Toc344647343"/>
      <w:bookmarkStart w:id="399" w:name="_Toc462226857"/>
      <w:bookmarkStart w:id="400" w:name="_Toc40975966"/>
      <w:r w:rsidRPr="005D642E">
        <w:rPr>
          <w:rtl/>
          <w:lang w:bidi="fa-IR"/>
        </w:rPr>
        <w:t>48</w:t>
      </w:r>
      <w:r>
        <w:rPr>
          <w:rtl/>
          <w:lang w:bidi="fa-IR"/>
        </w:rPr>
        <w:t xml:space="preserve"> </w:t>
      </w:r>
      <w:r w:rsidR="007642BC">
        <w:rPr>
          <w:rtl/>
          <w:lang w:bidi="fa-IR"/>
        </w:rPr>
        <w:t>-</w:t>
      </w:r>
      <w:r>
        <w:rPr>
          <w:rtl/>
          <w:lang w:bidi="fa-IR"/>
        </w:rPr>
        <w:t xml:space="preserve"> </w:t>
      </w:r>
      <w:r w:rsidRPr="005D642E">
        <w:rPr>
          <w:rtl/>
          <w:lang w:bidi="fa-IR"/>
        </w:rPr>
        <w:t xml:space="preserve">بَابُ مَنْ أَوْلَى النَّاسِ </w:t>
      </w:r>
      <w:r w:rsidRPr="007C12DB">
        <w:rPr>
          <w:rStyle w:val="libFootnotenumChar"/>
          <w:rtl/>
        </w:rPr>
        <w:t>(6)</w:t>
      </w:r>
      <w:r>
        <w:rPr>
          <w:rtl/>
        </w:rPr>
        <w:t xml:space="preserve"> </w:t>
      </w:r>
      <w:r w:rsidRPr="005D642E">
        <w:rPr>
          <w:rtl/>
          <w:lang w:bidi="fa-IR"/>
        </w:rPr>
        <w:t>بِالصَّلَاةِ عَلَى الْمَيِّتِ‌</w:t>
      </w:r>
      <w:bookmarkEnd w:id="398"/>
      <w:bookmarkEnd w:id="399"/>
      <w:bookmarkEnd w:id="400"/>
    </w:p>
    <w:p w:rsidR="00E3253D" w:rsidRPr="005D642E" w:rsidRDefault="00E3253D" w:rsidP="00E3253D">
      <w:pPr>
        <w:pStyle w:val="libNormal"/>
        <w:rPr>
          <w:rtl/>
          <w:lang w:bidi="fa-IR"/>
        </w:rPr>
      </w:pPr>
      <w:r w:rsidRPr="007B7758">
        <w:rPr>
          <w:rtl/>
        </w:rPr>
        <w:t>4482</w:t>
      </w:r>
      <w:r w:rsidRPr="00246318">
        <w:rPr>
          <w:rStyle w:val="libBold2Char"/>
          <w:rtl/>
        </w:rPr>
        <w:t xml:space="preserve"> / 1.</w:t>
      </w:r>
      <w:r w:rsidRPr="005D642E">
        <w:rPr>
          <w:rtl/>
          <w:lang w:bidi="fa-IR"/>
        </w:rPr>
        <w:t xml:space="preserve"> عَلِيُّ بْنُ إِبْرَاهِيمَ ، عَنْ أَبِيهِ ، عَنِ ابْنِ أَبِي عُمَيْرٍ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يُصَلِّي عَلَى الْجَنَازَةِ </w:t>
      </w:r>
      <w:r w:rsidRPr="007C12DB">
        <w:rPr>
          <w:rStyle w:val="libFootnotenumChar"/>
          <w:rtl/>
        </w:rPr>
        <w:t>(7)</w:t>
      </w:r>
      <w:r w:rsidRPr="005D642E">
        <w:rPr>
          <w:rtl/>
          <w:lang w:bidi="fa-IR"/>
        </w:rPr>
        <w:t xml:space="preserve"> أَوْلَى النَّاسِ بِهَا ، أَوْ يَأْمُرُ‌</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3 ، ص 190 ، ح 433 ، معلّقاً عن الكليني. </w:t>
      </w:r>
      <w:r w:rsidR="00E3253D" w:rsidRPr="002F4D34">
        <w:rPr>
          <w:rStyle w:val="libFootnoteBoldChar"/>
          <w:rtl/>
        </w:rPr>
        <w:t>الاستبصار</w:t>
      </w:r>
      <w:r w:rsidR="00E3253D" w:rsidRPr="005D642E">
        <w:rPr>
          <w:rtl/>
        </w:rPr>
        <w:t xml:space="preserve"> ، ج 1 ، ص 470 ، ح 1818 ، معلّقاً عن عليّ بن إبراهيم </w:t>
      </w:r>
      <w:r w:rsidR="00CF5793">
        <w:rPr>
          <w:rFonts w:hint="cs"/>
          <w:rtl/>
        </w:rPr>
        <w:t>.</w:t>
      </w:r>
      <w:r w:rsidR="00E3253D" w:rsidRPr="002F4D34">
        <w:rPr>
          <w:rStyle w:val="libFootnoteBoldChar"/>
          <w:rtl/>
        </w:rPr>
        <w:t>الوافي</w:t>
      </w:r>
      <w:r w:rsidR="00E3253D" w:rsidRPr="005D642E">
        <w:rPr>
          <w:rtl/>
        </w:rPr>
        <w:t xml:space="preserve"> ، ج 24 ، ص 423 ، ح 24375 ؛ </w:t>
      </w:r>
      <w:r w:rsidR="00E3253D" w:rsidRPr="002F4D34">
        <w:rPr>
          <w:rStyle w:val="libFootnoteBoldChar"/>
          <w:rtl/>
        </w:rPr>
        <w:t>الوسائل</w:t>
      </w:r>
      <w:r w:rsidR="00E3253D" w:rsidRPr="005D642E">
        <w:rPr>
          <w:rtl/>
        </w:rPr>
        <w:t xml:space="preserve"> ، ج 3 ، ص 119 ، ح 3184.</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ى ، بث ، بح ، بس ، جح ، جس ، جن » وحاشية « بخ » : « قم</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بخ » : « قم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 « رأسه</w:t>
      </w:r>
      <w:r w:rsidR="00E3253D">
        <w:rPr>
          <w:rtl/>
        </w:rPr>
        <w:t xml:space="preserve"> ».</w:t>
      </w:r>
      <w:r w:rsidR="00CF5793">
        <w:rPr>
          <w:rtl/>
        </w:rPr>
        <w:t xml:space="preserve"> وقال العل</w:t>
      </w:r>
      <w:r w:rsidR="00CF5793">
        <w:rPr>
          <w:rFonts w:hint="cs"/>
          <w:rtl/>
        </w:rPr>
        <w:t>ّ</w:t>
      </w:r>
      <w:r w:rsidR="00CF5793">
        <w:rPr>
          <w:rtl/>
        </w:rPr>
        <w:t>ا</w:t>
      </w:r>
      <w:r w:rsidR="00E3253D" w:rsidRPr="005D642E">
        <w:rPr>
          <w:rtl/>
        </w:rPr>
        <w:t>مة الفيض : « ينبغي الجمع بين الخبرين بالتخيير. وفي التهذيبين حمل الصدر في هذا الخبر على الوسط والرأس على الصدر قال : لأنّه قد يعبّر عن الشي‌ء باسم ما يجاوره</w:t>
      </w:r>
      <w:r w:rsidR="00E3253D">
        <w:rPr>
          <w:rtl/>
        </w:rPr>
        <w:t xml:space="preserve"> ».</w:t>
      </w:r>
      <w:r w:rsidR="00CF5793">
        <w:rPr>
          <w:rtl/>
        </w:rPr>
        <w:t xml:space="preserve"> وقال العل</w:t>
      </w:r>
      <w:r w:rsidR="00CF5793">
        <w:rPr>
          <w:rFonts w:hint="cs"/>
          <w:rtl/>
        </w:rPr>
        <w:t>ّ</w:t>
      </w:r>
      <w:r w:rsidR="00CF5793">
        <w:rPr>
          <w:rtl/>
        </w:rPr>
        <w:t>ا</w:t>
      </w:r>
      <w:r w:rsidR="00E3253D" w:rsidRPr="005D642E">
        <w:rPr>
          <w:rtl/>
        </w:rPr>
        <w:t>مة المجلسي : « أقول : أخبار العامّة وأقوالهم أيضاً في ذلك مختلفة ، لايتأتّى حمل البعض على التقيّة ، فالقول بالتخيير لايخلو من قوّة وإن كان العمل بالمشهور أولى</w:t>
      </w:r>
      <w:r w:rsidR="00E3253D">
        <w:rPr>
          <w:rtl/>
        </w:rPr>
        <w:t xml:space="preserve"> ».</w:t>
      </w:r>
      <w:r w:rsidR="00E3253D" w:rsidRPr="005D642E">
        <w:rPr>
          <w:rtl/>
        </w:rPr>
        <w:t xml:space="preserve"> راجع : </w:t>
      </w:r>
      <w:r w:rsidR="00E3253D" w:rsidRPr="002F4D34">
        <w:rPr>
          <w:rStyle w:val="libFootnoteBoldChar"/>
          <w:rtl/>
        </w:rPr>
        <w:t>مرآة العقول</w:t>
      </w:r>
      <w:r w:rsidR="00E3253D" w:rsidRPr="005D642E">
        <w:rPr>
          <w:rtl/>
        </w:rPr>
        <w:t xml:space="preserve"> ، ج 14 ، ص 34.</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3 ، ص 190 ، ح 432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470 ، ح 1817 ، معلّقاً عن الكليني. </w:t>
      </w:r>
      <w:r w:rsidR="00E3253D" w:rsidRPr="002F4D34">
        <w:rPr>
          <w:rStyle w:val="libFootnoteBoldChar"/>
          <w:rtl/>
        </w:rPr>
        <w:t>التهذيب</w:t>
      </w:r>
      <w:r w:rsidR="00E3253D" w:rsidRPr="005D642E">
        <w:rPr>
          <w:rtl/>
        </w:rPr>
        <w:t xml:space="preserve"> ، ج 3 ، ص 319 ، ح 989 ، معلّقاً عن سهل بن زياد </w:t>
      </w:r>
      <w:r w:rsidR="00CF5793">
        <w:rPr>
          <w:rFonts w:hint="cs"/>
          <w:rtl/>
        </w:rPr>
        <w:t>.</w:t>
      </w:r>
      <w:r w:rsidR="00E3253D" w:rsidRPr="002F4D34">
        <w:rPr>
          <w:rStyle w:val="libFootnoteBoldChar"/>
          <w:rtl/>
        </w:rPr>
        <w:t>الوافي</w:t>
      </w:r>
      <w:r w:rsidR="00E3253D" w:rsidRPr="005D642E">
        <w:rPr>
          <w:rtl/>
        </w:rPr>
        <w:t xml:space="preserve"> ، ج 24 ، ص 423 ، ح 24376 ؛ </w:t>
      </w:r>
      <w:r w:rsidR="00E3253D" w:rsidRPr="002F4D34">
        <w:rPr>
          <w:rStyle w:val="libFootnoteBoldChar"/>
          <w:rtl/>
        </w:rPr>
        <w:t>الوسائل</w:t>
      </w:r>
      <w:r w:rsidR="00E3253D" w:rsidRPr="005D642E">
        <w:rPr>
          <w:rtl/>
        </w:rPr>
        <w:t xml:space="preserve"> ، ج 3 ، ص 119 ، ح 3185.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ى ، بخ ، بس ، جح ، جن » ومرآة العقول :</w:t>
      </w:r>
      <w:r w:rsidR="00E3253D">
        <w:rPr>
          <w:rtl/>
        </w:rPr>
        <w:t xml:space="preserve"> </w:t>
      </w:r>
      <w:r w:rsidR="007642BC">
        <w:rPr>
          <w:rtl/>
        </w:rPr>
        <w:t>-</w:t>
      </w:r>
      <w:r w:rsidR="00E3253D">
        <w:rPr>
          <w:rtl/>
        </w:rPr>
        <w:t xml:space="preserve"> </w:t>
      </w:r>
      <w:r w:rsidR="00E3253D" w:rsidRPr="005D642E">
        <w:rPr>
          <w:rtl/>
        </w:rPr>
        <w:t>« الناس</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 « الجنائز</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مَنْ يُحِبُّ</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7B7758">
        <w:rPr>
          <w:rtl/>
        </w:rPr>
        <w:t>4483</w:t>
      </w:r>
      <w:r w:rsidRPr="00246318">
        <w:rPr>
          <w:rStyle w:val="libBold2Char"/>
          <w:rtl/>
        </w:rPr>
        <w:t xml:space="preserve"> / 2.</w:t>
      </w:r>
      <w:r w:rsidRPr="005D642E">
        <w:rPr>
          <w:rtl/>
          <w:lang w:bidi="fa-IR"/>
        </w:rPr>
        <w:t xml:space="preserve"> مُحَمَّدُ بْنُ يَحْيى ، عَنْ أَحْمَدَ بْنِ مُحَمَّدِ بْنِ عِيسى ، عَنِ الْحُسَيْنِ بْنِ سَعِيدٍ ، عَنِ الْقَاسِمِ بْنِ مُحَمَّدٍ ، عَنْ عَلِيِّ بْنِ أَبِي حَمْزَةَ ، عَنْ أَبِي بَصِيرٍ :</w:t>
      </w:r>
    </w:p>
    <w:p w:rsidR="00E3253D" w:rsidRPr="005D642E" w:rsidRDefault="00E3253D" w:rsidP="00E3253D">
      <w:pPr>
        <w:pStyle w:val="libNormal"/>
        <w:rPr>
          <w:rtl/>
          <w:lang w:bidi="fa-IR"/>
        </w:rPr>
      </w:pPr>
      <w:r w:rsidRPr="005D642E">
        <w:rPr>
          <w:rtl/>
          <w:lang w:bidi="fa-IR"/>
        </w:rPr>
        <w:t>عَنْ</w:t>
      </w:r>
      <w:r w:rsidR="00CF5793">
        <w:rPr>
          <w:rFonts w:hint="cs"/>
          <w:rtl/>
          <w:lang w:bidi="fa-IR"/>
        </w:rPr>
        <w:t xml:space="preserve"> </w:t>
      </w:r>
      <w:r w:rsidRPr="005D642E">
        <w:rPr>
          <w:rtl/>
          <w:lang w:bidi="fa-IR"/>
        </w:rPr>
        <w:t xml:space="preserve">‌أَبِي عَبْدِ اللهِ </w:t>
      </w:r>
      <w:r w:rsidRPr="00AC51C5">
        <w:rPr>
          <w:rStyle w:val="libAlaemChar"/>
          <w:rtl/>
        </w:rPr>
        <w:t>عليه‌السلام</w:t>
      </w:r>
      <w:r w:rsidRPr="005D642E">
        <w:rPr>
          <w:rtl/>
          <w:lang w:bidi="fa-IR"/>
        </w:rPr>
        <w:t xml:space="preserve"> ، قَالَ : قُلْتُ لَهُ : الْمَرْأَةُ تَمُوتُ مَنْ أَحَقُّ </w:t>
      </w:r>
      <w:r w:rsidRPr="007C12DB">
        <w:rPr>
          <w:rStyle w:val="libFootnotenumChar"/>
          <w:rtl/>
        </w:rPr>
        <w:t>(2)</w:t>
      </w:r>
      <w:r w:rsidRPr="005D642E">
        <w:rPr>
          <w:rtl/>
          <w:lang w:bidi="fa-IR"/>
        </w:rPr>
        <w:t xml:space="preserve"> بِالصَّلَاةِ عَلَيْهَا</w:t>
      </w:r>
      <w:r>
        <w:rPr>
          <w:rtl/>
          <w:lang w:bidi="fa-IR"/>
        </w:rPr>
        <w:t>؟</w:t>
      </w:r>
      <w:r w:rsidRPr="005D642E">
        <w:rPr>
          <w:rtl/>
          <w:lang w:bidi="fa-IR"/>
        </w:rPr>
        <w:t xml:space="preserve"> قَالَ :</w:t>
      </w:r>
      <w:r>
        <w:rPr>
          <w:rFonts w:hint="cs"/>
          <w:rtl/>
          <w:lang w:bidi="fa-IR"/>
        </w:rPr>
        <w:t xml:space="preserve"> </w:t>
      </w:r>
      <w:r w:rsidR="00CF5793">
        <w:rPr>
          <w:rtl/>
          <w:lang w:bidi="fa-IR"/>
        </w:rPr>
        <w:t>«</w:t>
      </w:r>
      <w:r w:rsidRPr="005D642E">
        <w:rPr>
          <w:rtl/>
          <w:lang w:bidi="fa-IR"/>
        </w:rPr>
        <w:t>زَوْجُهَا</w:t>
      </w:r>
      <w:r>
        <w:rPr>
          <w:rtl/>
          <w:lang w:bidi="fa-IR"/>
        </w:rPr>
        <w:t xml:space="preserve"> ».</w:t>
      </w:r>
    </w:p>
    <w:p w:rsidR="00E3253D" w:rsidRPr="005D642E" w:rsidRDefault="00E3253D" w:rsidP="00E3253D">
      <w:pPr>
        <w:pStyle w:val="libNormal"/>
        <w:rPr>
          <w:rtl/>
          <w:lang w:bidi="fa-IR"/>
        </w:rPr>
      </w:pPr>
      <w:r w:rsidRPr="005D642E">
        <w:rPr>
          <w:rtl/>
          <w:lang w:bidi="fa-IR"/>
        </w:rPr>
        <w:t>قُلْتُ : الزَّوْجُ أَحَقُّ مِنَ الْأَبِ وَالْوَلَدِ وَالْأَخِ</w:t>
      </w:r>
      <w:r>
        <w:rPr>
          <w:rtl/>
          <w:lang w:bidi="fa-IR"/>
        </w:rPr>
        <w:t>؟</w:t>
      </w:r>
      <w:r w:rsidRPr="005D642E">
        <w:rPr>
          <w:rtl/>
          <w:lang w:bidi="fa-IR"/>
        </w:rPr>
        <w:t xml:space="preserve"> قَالَ : « نَعَمْ ، وَيُغَسِّلُهَا</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7B7758">
        <w:rPr>
          <w:rtl/>
        </w:rPr>
        <w:t>4484</w:t>
      </w:r>
      <w:r w:rsidRPr="00246318">
        <w:rPr>
          <w:rStyle w:val="libBold2Char"/>
          <w:rtl/>
        </w:rPr>
        <w:t xml:space="preserve"> / 3.</w:t>
      </w:r>
      <w:r w:rsidRPr="005D642E">
        <w:rPr>
          <w:rtl/>
          <w:lang w:bidi="fa-IR"/>
        </w:rPr>
        <w:t xml:space="preserve"> عَلِيُّ بْنُ إِبْرَاهِيمَ ، عَنْ أَبِيهِ ، عَنْ إِسْمَاعِيلَ بْنِ مَرَّارٍ ، عَنْ يُونُسَ ، عَنْ أَب</w:t>
      </w:r>
      <w:r w:rsidR="00CF5793">
        <w:rPr>
          <w:rtl/>
          <w:lang w:bidi="fa-IR"/>
        </w:rPr>
        <w:t>ِي بَصِيرٍ</w:t>
      </w:r>
      <w:r w:rsidRPr="005D642E">
        <w:rPr>
          <w:rtl/>
          <w:lang w:bidi="fa-IR"/>
        </w:rPr>
        <w:t>:</w:t>
      </w:r>
    </w:p>
    <w:p w:rsidR="00E3253D" w:rsidRPr="005D642E" w:rsidRDefault="00E3253D" w:rsidP="00E3253D">
      <w:pPr>
        <w:pStyle w:val="libNormal"/>
        <w:rPr>
          <w:rtl/>
          <w:lang w:bidi="fa-IR"/>
        </w:rPr>
      </w:pPr>
      <w:r w:rsidRPr="005D642E">
        <w:rPr>
          <w:rtl/>
          <w:lang w:bidi="fa-IR"/>
        </w:rPr>
        <w:t>عَنْ</w:t>
      </w:r>
      <w:r w:rsidR="00CF5793">
        <w:rPr>
          <w:rFonts w:hint="cs"/>
          <w:rtl/>
          <w:lang w:bidi="fa-IR"/>
        </w:rPr>
        <w:t xml:space="preserve"> </w:t>
      </w:r>
      <w:r w:rsidRPr="005D642E">
        <w:rPr>
          <w:rtl/>
          <w:lang w:bidi="fa-IR"/>
        </w:rPr>
        <w:t xml:space="preserve">‌أَبِي عَبْدِ اللهِ </w:t>
      </w:r>
      <w:r w:rsidRPr="00AC51C5">
        <w:rPr>
          <w:rStyle w:val="libAlaemChar"/>
          <w:rtl/>
        </w:rPr>
        <w:t>عليه‌السلام</w:t>
      </w:r>
      <w:r w:rsidRPr="005D642E">
        <w:rPr>
          <w:rtl/>
          <w:lang w:bidi="fa-IR"/>
        </w:rPr>
        <w:t xml:space="preserve"> ، قَالَ : سَأَلْتُهُ عَنِ الْمَرْأَةِ تَمُوتُ مَنْ أَحَقُّ أَنْ يُصَلِّيَ </w:t>
      </w:r>
      <w:r w:rsidRPr="007C12DB">
        <w:rPr>
          <w:rStyle w:val="libFootnotenumChar"/>
          <w:rtl/>
        </w:rPr>
        <w:t>(4)</w:t>
      </w:r>
      <w:r w:rsidRPr="005D642E">
        <w:rPr>
          <w:rtl/>
          <w:lang w:bidi="fa-IR"/>
        </w:rPr>
        <w:t xml:space="preserve"> عَلَيْهَا</w:t>
      </w:r>
      <w:r>
        <w:rPr>
          <w:rtl/>
          <w:lang w:bidi="fa-IR"/>
        </w:rPr>
        <w:t>؟</w:t>
      </w:r>
      <w:r>
        <w:rPr>
          <w:rFonts w:hint="cs"/>
          <w:rtl/>
          <w:lang w:bidi="fa-IR"/>
        </w:rPr>
        <w:t xml:space="preserve"> </w:t>
      </w:r>
      <w:r w:rsidRPr="005D642E">
        <w:rPr>
          <w:rtl/>
          <w:lang w:bidi="fa-IR"/>
        </w:rPr>
        <w:t xml:space="preserve">قَالَ : « الزَّوْجُ </w:t>
      </w:r>
      <w:r w:rsidRPr="007C12DB">
        <w:rPr>
          <w:rStyle w:val="libFootnotenumChar"/>
          <w:rtl/>
        </w:rPr>
        <w:t>(5)</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 الزَّوْجُ أَحَقُّ </w:t>
      </w:r>
      <w:r w:rsidRPr="007C12DB">
        <w:rPr>
          <w:rStyle w:val="libFootnotenumChar"/>
          <w:rtl/>
        </w:rPr>
        <w:t>(6)</w:t>
      </w:r>
      <w:r w:rsidRPr="005D642E">
        <w:rPr>
          <w:rtl/>
          <w:lang w:bidi="fa-IR"/>
        </w:rPr>
        <w:t xml:space="preserve"> مِنَ الْأَبِ وَالْأَخِ وَالْوَلَدِ</w:t>
      </w:r>
      <w:r>
        <w:rPr>
          <w:rtl/>
          <w:lang w:bidi="fa-IR"/>
        </w:rPr>
        <w:t>؟</w:t>
      </w:r>
      <w:r w:rsidRPr="005D642E">
        <w:rPr>
          <w:rtl/>
          <w:lang w:bidi="fa-IR"/>
        </w:rPr>
        <w:t xml:space="preserve"> قَالَ : « نَعَمْ</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3 ، ص 204 ، ح 483 ، معلّقاً عن الكليني. </w:t>
      </w:r>
      <w:r w:rsidR="00E3253D" w:rsidRPr="002F4D34">
        <w:rPr>
          <w:rStyle w:val="libFootnoteBoldChar"/>
          <w:rtl/>
        </w:rPr>
        <w:t>فقه الرضا</w:t>
      </w:r>
      <w:r w:rsidR="00E3253D" w:rsidRPr="005D642E">
        <w:rPr>
          <w:rtl/>
        </w:rPr>
        <w:t xml:space="preserve"> </w:t>
      </w:r>
      <w:r w:rsidR="00E3253D" w:rsidRPr="00CF5793">
        <w:rPr>
          <w:rStyle w:val="libFootnoteAlaemChar"/>
          <w:rtl/>
        </w:rPr>
        <w:t>عليه‌السلام</w:t>
      </w:r>
      <w:r w:rsidR="00E3253D" w:rsidRPr="005D642E">
        <w:rPr>
          <w:rtl/>
        </w:rPr>
        <w:t xml:space="preserve"> ، ص 184 ، تمام الرواية فيه هكذا : « ويصلّي عليه أولى الناس به » </w:t>
      </w:r>
      <w:r w:rsidR="00CF5793">
        <w:rPr>
          <w:rFonts w:hint="cs"/>
          <w:rtl/>
        </w:rPr>
        <w:t>.</w:t>
      </w:r>
      <w:r w:rsidR="00E3253D" w:rsidRPr="002F4D34">
        <w:rPr>
          <w:rStyle w:val="libFootnoteBoldChar"/>
          <w:rtl/>
        </w:rPr>
        <w:t>الوافي</w:t>
      </w:r>
      <w:r w:rsidR="00E3253D" w:rsidRPr="005D642E">
        <w:rPr>
          <w:rtl/>
        </w:rPr>
        <w:t xml:space="preserve"> ، ج 24 ، ص 415 ، ح 24353 ؛ </w:t>
      </w:r>
      <w:r w:rsidR="00E3253D" w:rsidRPr="002F4D34">
        <w:rPr>
          <w:rStyle w:val="libFootnoteBoldChar"/>
          <w:rtl/>
        </w:rPr>
        <w:t>الوسائل</w:t>
      </w:r>
      <w:r w:rsidR="00E3253D" w:rsidRPr="005D642E">
        <w:rPr>
          <w:rtl/>
        </w:rPr>
        <w:t xml:space="preserve"> ، ج 3 ، ص 114 ، ح 3170.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التهذيب </w:t>
      </w:r>
      <w:r w:rsidR="00E3253D" w:rsidRPr="00CF5793">
        <w:rPr>
          <w:rtl/>
        </w:rPr>
        <w:t xml:space="preserve">والاستبصار </w:t>
      </w:r>
      <w:r w:rsidR="00E3253D" w:rsidRPr="005D642E">
        <w:rPr>
          <w:rtl/>
        </w:rPr>
        <w:t>: + « الناس</w:t>
      </w:r>
      <w:r w:rsidR="00E3253D">
        <w:rPr>
          <w:rtl/>
        </w:rPr>
        <w:t xml:space="preserve"> ».</w:t>
      </w:r>
    </w:p>
    <w:p w:rsidR="00E3253D" w:rsidRPr="005D642E" w:rsidRDefault="0042621E" w:rsidP="00CF5793">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3 ، ص 205 ، ح 31 ، معلّقاً عن الكليني. </w:t>
      </w:r>
      <w:r w:rsidR="00E3253D" w:rsidRPr="002F4D34">
        <w:rPr>
          <w:rStyle w:val="libFootnoteBoldChar"/>
          <w:rtl/>
        </w:rPr>
        <w:t>الاستبصار</w:t>
      </w:r>
      <w:r w:rsidR="00E3253D" w:rsidRPr="005D642E">
        <w:rPr>
          <w:rtl/>
        </w:rPr>
        <w:t xml:space="preserve"> ، ج 1 ، ص 486 ، ح 1883 ، معلّقاً عن الحسين بن سعيد. </w:t>
      </w:r>
      <w:r w:rsidR="00E3253D" w:rsidRPr="002F4D34">
        <w:rPr>
          <w:rStyle w:val="libFootnoteBoldChar"/>
          <w:rtl/>
        </w:rPr>
        <w:t>الفقيه</w:t>
      </w:r>
      <w:r w:rsidR="00E3253D" w:rsidRPr="005D642E">
        <w:rPr>
          <w:rtl/>
        </w:rPr>
        <w:t xml:space="preserve"> ، ج 1 ، ص 165 ، ح 474 ، معلّقاً عن أبي بصير ، وفيهما مع اختلاف يسير. </w:t>
      </w:r>
      <w:r w:rsidR="00E3253D" w:rsidRPr="002F4D34">
        <w:rPr>
          <w:rStyle w:val="libFootnoteBoldChar"/>
          <w:rtl/>
        </w:rPr>
        <w:t>الخصال</w:t>
      </w:r>
      <w:r w:rsidR="00E3253D" w:rsidRPr="005D642E">
        <w:rPr>
          <w:rtl/>
        </w:rPr>
        <w:t xml:space="preserve"> ، ص 587 ، أبواب السبعين ومافوقه ، ضمن الحديث الطويل 12 ، بسند آخر عن أبي جعفر </w:t>
      </w:r>
      <w:r w:rsidR="00E3253D" w:rsidRPr="00CF5793">
        <w:rPr>
          <w:rStyle w:val="libFootnoteAlaemChar"/>
          <w:rtl/>
        </w:rPr>
        <w:t>عليه‌السلام</w:t>
      </w:r>
      <w:r w:rsidR="00E3253D" w:rsidRPr="005D642E">
        <w:rPr>
          <w:rtl/>
        </w:rPr>
        <w:t xml:space="preserve"> هكذا : « وأحقّ الناس بالصلاة عليها مافوقه ، إذا ماتت زوجها » </w:t>
      </w:r>
      <w:r w:rsidR="00CF5793">
        <w:rPr>
          <w:rFonts w:hint="cs"/>
          <w:rtl/>
        </w:rPr>
        <w:t>.</w:t>
      </w:r>
      <w:r w:rsidR="00E3253D" w:rsidRPr="002F4D34">
        <w:rPr>
          <w:rStyle w:val="libFootnoteBoldChar"/>
          <w:rtl/>
        </w:rPr>
        <w:t>الوافي</w:t>
      </w:r>
      <w:r w:rsidR="00E3253D" w:rsidRPr="005D642E">
        <w:rPr>
          <w:rtl/>
        </w:rPr>
        <w:t xml:space="preserve"> ، ج 24 ، ص 417 ، ح 24358 ؛ </w:t>
      </w:r>
      <w:r w:rsidR="00E3253D" w:rsidRPr="002F4D34">
        <w:rPr>
          <w:rStyle w:val="libFootnoteBoldChar"/>
          <w:rtl/>
        </w:rPr>
        <w:t>الوسائل</w:t>
      </w:r>
      <w:r w:rsidR="00E3253D" w:rsidRPr="005D642E">
        <w:rPr>
          <w:rtl/>
        </w:rPr>
        <w:t xml:space="preserve"> ، ج 3 ، ص 115 ، ح 3175.</w:t>
      </w:r>
      <w:r w:rsidR="00CF5793">
        <w:rPr>
          <w:rFonts w:hint="cs"/>
          <w:rtl/>
        </w:rPr>
        <w:t xml:space="preserve">                 </w:t>
      </w:r>
      <w:r w:rsidRPr="0042621E">
        <w:rPr>
          <w:rStyle w:val="libFootnote0Char"/>
          <w:rtl/>
        </w:rPr>
        <w:t>(4).</w:t>
      </w:r>
      <w:r w:rsidR="00E3253D" w:rsidRPr="005D642E">
        <w:rPr>
          <w:rtl/>
        </w:rPr>
        <w:t xml:space="preserve"> في « ظ » : « بالصلاة » بدل « أن يصلّي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 « زوجها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ج 14 ، ص 36 : « واعلم أنّ كون الزوج أولى من سائر الأقارب هو المعروف من مذهب الأصحاب ، وورد صحيحة حفص بن البختري ورواية عبدالرحمن بن أبي عبدالله بأنّ الأخ أولى من الزوج ، وحملهما الشيخ وغيره على التقيّة</w:t>
      </w:r>
      <w:r w:rsidR="00E3253D">
        <w:rPr>
          <w:rtl/>
        </w:rPr>
        <w:t xml:space="preserve"> ..</w:t>
      </w:r>
      <w:r w:rsidR="00E3253D" w:rsidRPr="005D642E">
        <w:rPr>
          <w:rtl/>
        </w:rPr>
        <w:t>. ثمّ اعلم أنّ المشهور أنّ هذا الحكم مخصوص بالزوج ولا يتعدّي إلى الزوجة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417 ، ح 24359 ؛ </w:t>
      </w:r>
      <w:r w:rsidR="00E3253D" w:rsidRPr="002F4D34">
        <w:rPr>
          <w:rStyle w:val="libFootnoteBoldChar"/>
          <w:rtl/>
        </w:rPr>
        <w:t>الوسائل</w:t>
      </w:r>
      <w:r w:rsidR="00E3253D" w:rsidRPr="005D642E">
        <w:rPr>
          <w:rtl/>
        </w:rPr>
        <w:t xml:space="preserve"> ، ج 3 ، ص 115 ، ح 3174.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7B7758">
        <w:rPr>
          <w:rtl/>
        </w:rPr>
        <w:t>4485</w:t>
      </w:r>
      <w:r w:rsidRPr="00246318">
        <w:rPr>
          <w:rStyle w:val="libBold2Char"/>
          <w:rtl/>
        </w:rPr>
        <w:t xml:space="preserve"> / 4.</w:t>
      </w:r>
      <w:r w:rsidRPr="005D642E">
        <w:rPr>
          <w:rtl/>
          <w:lang w:bidi="fa-IR"/>
        </w:rPr>
        <w:t xml:space="preserve"> عَلِيُّ بْنُ إِبْرَاهِيمَ ، عَنْ أَبِيهِ ، عَنْ مُحَمَّدِ بْنِ يَحْيى ، عَنْ طَلْحَةَ بْنِ زَيْدٍ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حَضَرَ الْإِمَامُ </w:t>
      </w:r>
      <w:r w:rsidRPr="007C12DB">
        <w:rPr>
          <w:rStyle w:val="libFootnotenumChar"/>
          <w:rtl/>
        </w:rPr>
        <w:t>(1)</w:t>
      </w:r>
      <w:r w:rsidRPr="005D642E">
        <w:rPr>
          <w:rtl/>
          <w:lang w:bidi="fa-IR"/>
        </w:rPr>
        <w:t xml:space="preserve"> الْجَنَازَةَ ، فَهُوَ أَحَقُّ النَّاسِ بِالصَّلَاةِ عَلَيْهَا</w:t>
      </w:r>
      <w:r>
        <w:rPr>
          <w:rtl/>
          <w:lang w:bidi="fa-IR"/>
        </w:rPr>
        <w:t>».</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7B7758">
        <w:rPr>
          <w:rtl/>
        </w:rPr>
        <w:t>4486</w:t>
      </w:r>
      <w:r w:rsidRPr="00246318">
        <w:rPr>
          <w:rStyle w:val="libBold2Char"/>
          <w:rtl/>
        </w:rPr>
        <w:t xml:space="preserve"> / 5.</w:t>
      </w:r>
      <w:r w:rsidRPr="005D642E">
        <w:rPr>
          <w:rtl/>
          <w:lang w:bidi="fa-IR"/>
        </w:rPr>
        <w:t xml:space="preserve"> عِدَّةٌ مِنْ أَصْحَابِنَا ، عَنْ سَهْلِ بْنِ زِيَادٍ ، عَنْ أَحْمَدَ بْنِ مُحَمَّدِ بْنِ أَبِي نَصْرٍ ، عَنْ بَعْضِ أَصْحَابِنَا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يُصَلِّي عَلَى الْجَنَازَةِ أَوْلَى النَّاسِ بِهَا ، أَوْ يَأْمُرُ مَنْ يُحِبُّ</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401" w:name="_Toc344647344"/>
      <w:bookmarkStart w:id="402" w:name="_Toc462226858"/>
      <w:bookmarkStart w:id="403" w:name="_Toc40975967"/>
      <w:r w:rsidRPr="005D642E">
        <w:rPr>
          <w:rtl/>
          <w:lang w:bidi="fa-IR"/>
        </w:rPr>
        <w:t>49</w:t>
      </w:r>
      <w:r>
        <w:rPr>
          <w:rtl/>
          <w:lang w:bidi="fa-IR"/>
        </w:rPr>
        <w:t xml:space="preserve"> </w:t>
      </w:r>
      <w:r w:rsidR="007642BC">
        <w:rPr>
          <w:rtl/>
          <w:lang w:bidi="fa-IR"/>
        </w:rPr>
        <w:t>-</w:t>
      </w:r>
      <w:r>
        <w:rPr>
          <w:rtl/>
          <w:lang w:bidi="fa-IR"/>
        </w:rPr>
        <w:t xml:space="preserve"> </w:t>
      </w:r>
      <w:r w:rsidRPr="005D642E">
        <w:rPr>
          <w:rtl/>
          <w:lang w:bidi="fa-IR"/>
        </w:rPr>
        <w:t>بَابُ مَنْ يُصَلِّي عَلَى الْجَنَازَةِ وَهُوَ عَلى غَيْرِ وُضُوءٍ‌</w:t>
      </w:r>
      <w:bookmarkEnd w:id="401"/>
      <w:bookmarkEnd w:id="402"/>
      <w:bookmarkEnd w:id="403"/>
    </w:p>
    <w:p w:rsidR="00E3253D" w:rsidRPr="005D642E" w:rsidRDefault="00E3253D" w:rsidP="00E3253D">
      <w:pPr>
        <w:pStyle w:val="libNormal"/>
        <w:rPr>
          <w:rtl/>
          <w:lang w:bidi="fa-IR"/>
        </w:rPr>
      </w:pPr>
      <w:r w:rsidRPr="007B7758">
        <w:rPr>
          <w:rtl/>
        </w:rPr>
        <w:t>4487</w:t>
      </w:r>
      <w:r w:rsidRPr="00246318">
        <w:rPr>
          <w:rStyle w:val="libBold2Char"/>
          <w:rtl/>
        </w:rPr>
        <w:t xml:space="preserve"> / 1.</w:t>
      </w:r>
      <w:r w:rsidRPr="005D642E">
        <w:rPr>
          <w:rtl/>
          <w:lang w:bidi="fa-IR"/>
        </w:rPr>
        <w:t xml:space="preserve"> مُحَمَّدُ بْنُ يَحْيى ، عَنْ أَحْمَدَ بْنِ مُحَمَّدِ بْنِ عِيسى ، عَنِ ابْنِ فَضَّالٍ ، عَنْ يُونُسَ بْنِ يَعْقُوبَ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الْجَنَازَةِ : أُصَلِّي </w:t>
      </w:r>
      <w:r w:rsidRPr="007C12DB">
        <w:rPr>
          <w:rStyle w:val="libFootnotenumChar"/>
          <w:rtl/>
        </w:rPr>
        <w:t>(4)</w:t>
      </w:r>
      <w:r w:rsidRPr="005D642E">
        <w:rPr>
          <w:rtl/>
          <w:lang w:bidi="fa-IR"/>
        </w:rPr>
        <w:t xml:space="preserve"> عَلَيْهَا عَلى غَيْرِ وُضُوءٍ</w:t>
      </w:r>
      <w:r>
        <w:rPr>
          <w:rtl/>
          <w:lang w:bidi="fa-IR"/>
        </w:rPr>
        <w:t>؟</w:t>
      </w:r>
    </w:p>
    <w:p w:rsidR="00E3253D" w:rsidRPr="005D642E" w:rsidRDefault="00E3253D" w:rsidP="00E3253D">
      <w:pPr>
        <w:pStyle w:val="libNormal"/>
        <w:rPr>
          <w:rtl/>
          <w:lang w:bidi="fa-IR"/>
        </w:rPr>
      </w:pPr>
      <w:r w:rsidRPr="005D642E">
        <w:rPr>
          <w:rtl/>
          <w:lang w:bidi="fa-IR"/>
        </w:rPr>
        <w:t xml:space="preserve">فَقَالَ : « نَعَمْ ، إِنَّمَا هُوَ </w:t>
      </w:r>
      <w:r w:rsidRPr="007C12DB">
        <w:rPr>
          <w:rStyle w:val="libFootnotenumChar"/>
          <w:rtl/>
        </w:rPr>
        <w:t>(5)</w:t>
      </w:r>
      <w:r w:rsidRPr="005D642E">
        <w:rPr>
          <w:rtl/>
          <w:lang w:bidi="fa-IR"/>
        </w:rPr>
        <w:t xml:space="preserve"> تَكْبِيرٌ وَتَسْبِيحٌ وَتَحْمِيدٌ </w:t>
      </w:r>
      <w:r w:rsidRPr="007C12DB">
        <w:rPr>
          <w:rStyle w:val="libFootnotenumChar"/>
          <w:rtl/>
        </w:rPr>
        <w:t>(6)</w:t>
      </w:r>
      <w:r w:rsidRPr="005D642E">
        <w:rPr>
          <w:rtl/>
          <w:lang w:bidi="fa-IR"/>
        </w:rPr>
        <w:t xml:space="preserve"> وَتَهْلِيلٌ ، كَمَا تُكَبِّرُ وَتُسَبِّحُ </w:t>
      </w:r>
      <w:r w:rsidRPr="007C12DB">
        <w:rPr>
          <w:rStyle w:val="libFootnotenumChar"/>
          <w:rtl/>
        </w:rPr>
        <w:t>(7)</w:t>
      </w:r>
      <w:r w:rsidRPr="005D642E">
        <w:rPr>
          <w:rtl/>
          <w:lang w:bidi="fa-IR"/>
        </w:rPr>
        <w:t xml:space="preserve"> فِي بَيْتِكَ عَلى غَيْرِ وُضُوءٍ</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أراد بالإمام المعصوم </w:t>
      </w:r>
      <w:r w:rsidR="00E3253D" w:rsidRPr="00D70187">
        <w:rPr>
          <w:rStyle w:val="libFootnoteAlaemChar"/>
          <w:rtl/>
        </w:rPr>
        <w:t>عليه‌السلام</w:t>
      </w:r>
      <w:r w:rsidR="00E3253D">
        <w:rPr>
          <w:rtl/>
        </w:rPr>
        <w:t xml:space="preserve"> ».</w:t>
      </w:r>
      <w:r w:rsidR="00E3253D" w:rsidRPr="005D642E">
        <w:rPr>
          <w:rtl/>
        </w:rPr>
        <w:t xml:space="preserve"> وراجع أيضاً : </w:t>
      </w:r>
      <w:r w:rsidR="00E3253D" w:rsidRPr="002F4D34">
        <w:rPr>
          <w:rStyle w:val="libFootnoteBoldChar"/>
          <w:rtl/>
        </w:rPr>
        <w:t>مرآة العقول</w:t>
      </w:r>
      <w:r w:rsidR="00E3253D" w:rsidRPr="005D642E">
        <w:rPr>
          <w:rtl/>
        </w:rPr>
        <w:t xml:space="preserve"> ، ج 14 ، ص 37.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3 ، ص 206 ، ح 489 ، معلّقاً عن عليّ بن إبراهيم </w:t>
      </w:r>
      <w:r w:rsidR="00D70187">
        <w:rPr>
          <w:rFonts w:hint="cs"/>
          <w:rtl/>
        </w:rPr>
        <w:t>.</w:t>
      </w:r>
      <w:r w:rsidR="00E3253D" w:rsidRPr="002F4D34">
        <w:rPr>
          <w:rStyle w:val="libFootnoteBoldChar"/>
          <w:rtl/>
        </w:rPr>
        <w:t>الوافي</w:t>
      </w:r>
      <w:r w:rsidR="00E3253D" w:rsidRPr="005D642E">
        <w:rPr>
          <w:rtl/>
        </w:rPr>
        <w:t xml:space="preserve"> ، ج 24 ، ص 415 ، ح 24355 ؛ </w:t>
      </w:r>
      <w:r w:rsidR="00E3253D" w:rsidRPr="002F4D34">
        <w:rPr>
          <w:rStyle w:val="libFootnoteBoldChar"/>
          <w:rtl/>
        </w:rPr>
        <w:t>الوسائل</w:t>
      </w:r>
      <w:r w:rsidR="00E3253D" w:rsidRPr="005D642E">
        <w:rPr>
          <w:rtl/>
        </w:rPr>
        <w:t xml:space="preserve"> ، ج 3 ، ص 114 ، ح 3172.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24 ، ص 415 ، ح 24354 ؛ </w:t>
      </w:r>
      <w:r w:rsidR="00E3253D" w:rsidRPr="002F4D34">
        <w:rPr>
          <w:rStyle w:val="libFootnoteBoldChar"/>
          <w:rtl/>
        </w:rPr>
        <w:t>الوسائل</w:t>
      </w:r>
      <w:r w:rsidR="00E3253D" w:rsidRPr="005D642E">
        <w:rPr>
          <w:rtl/>
        </w:rPr>
        <w:t xml:space="preserve"> ، ج 3 ، ص 114 ، ح 3171.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بخ ، بس ، بف ، جس » وحاشية « بث ، بح » </w:t>
      </w:r>
      <w:r w:rsidR="000D749A" w:rsidRPr="000D749A">
        <w:rPr>
          <w:rStyle w:val="libFootnoteBoldChar"/>
          <w:rtl/>
        </w:rPr>
        <w:t>والوافي</w:t>
      </w:r>
      <w:r w:rsidR="00E3253D" w:rsidRPr="005D642E">
        <w:rPr>
          <w:rtl/>
        </w:rPr>
        <w:t xml:space="preserve"> والوسائل ، ح 3098 </w:t>
      </w:r>
      <w:r w:rsidR="00E3253D">
        <w:rPr>
          <w:rtl/>
        </w:rPr>
        <w:t>و 3</w:t>
      </w:r>
      <w:r w:rsidR="00E3253D" w:rsidRPr="005D642E">
        <w:rPr>
          <w:rtl/>
        </w:rPr>
        <w:t xml:space="preserve">160 </w:t>
      </w:r>
      <w:r w:rsidR="00B60612" w:rsidRPr="00B60612">
        <w:rPr>
          <w:rStyle w:val="libFootnoteBoldChar"/>
          <w:rtl/>
        </w:rPr>
        <w:t>والتهذيب</w:t>
      </w:r>
      <w:r w:rsidR="00E3253D">
        <w:rPr>
          <w:rtl/>
        </w:rPr>
        <w:t>. وفي سائر النسخ والمطبوع : « أ</w:t>
      </w:r>
      <w:r w:rsidR="00E3253D" w:rsidRPr="005D642E">
        <w:rPr>
          <w:rtl/>
        </w:rPr>
        <w:t>يُصلّى</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تذكير الضمير إمّا باعتبار الخبر أو بتأويل الفعل ونحوه</w:t>
      </w:r>
      <w:r w:rsidR="00E3253D">
        <w:rPr>
          <w:rtl/>
        </w:rPr>
        <w:t xml:space="preserve"> ».</w:t>
      </w:r>
    </w:p>
    <w:p w:rsidR="00E3253D" w:rsidRPr="005D642E" w:rsidRDefault="0042621E" w:rsidP="00D70187">
      <w:pPr>
        <w:pStyle w:val="libFootnote0"/>
        <w:rPr>
          <w:rtl/>
          <w:lang w:bidi="fa-IR"/>
        </w:rPr>
      </w:pPr>
      <w:r w:rsidRPr="0042621E">
        <w:rPr>
          <w:rStyle w:val="libFootnote0Char"/>
          <w:rtl/>
        </w:rPr>
        <w:t>(6).</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 ح 3098 </w:t>
      </w:r>
      <w:r w:rsidR="00E3253D">
        <w:rPr>
          <w:rtl/>
        </w:rPr>
        <w:t>و 3</w:t>
      </w:r>
      <w:r w:rsidR="00E3253D" w:rsidRPr="005D642E">
        <w:rPr>
          <w:rtl/>
        </w:rPr>
        <w:t xml:space="preserve">160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وفي المطبوع : « وتحميد وتسبيح</w:t>
      </w:r>
      <w:r w:rsidR="00E3253D">
        <w:rPr>
          <w:rtl/>
        </w:rPr>
        <w:t xml:space="preserve"> ».</w:t>
      </w:r>
      <w:r w:rsidR="00D70187">
        <w:rPr>
          <w:rFonts w:hint="cs"/>
          <w:rtl/>
        </w:rPr>
        <w:t xml:space="preserve">                     </w:t>
      </w:r>
      <w:r w:rsidRPr="0042621E">
        <w:rPr>
          <w:rStyle w:val="libFootnote0Char"/>
          <w:rtl/>
        </w:rPr>
        <w:t>(7).</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وتحميد وتهليل ، كما تكبّر وتسبّح</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203 ، ح 475 ، معلّقاً عن الكليني. </w:t>
      </w:r>
      <w:r w:rsidR="00E3253D" w:rsidRPr="002F4D34">
        <w:rPr>
          <w:rStyle w:val="libFootnoteBoldChar"/>
          <w:rtl/>
        </w:rPr>
        <w:t>الفقيه</w:t>
      </w:r>
      <w:r w:rsidR="00E3253D" w:rsidRPr="005D642E">
        <w:rPr>
          <w:rtl/>
        </w:rPr>
        <w:t xml:space="preserve"> ، ج 1 ، ص 170 ، ح 496 ، معلّقاً عن </w:t>
      </w:r>
      <w:r w:rsidR="00D7018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7B7758">
        <w:rPr>
          <w:rtl/>
        </w:rPr>
        <w:t>4488</w:t>
      </w:r>
      <w:r w:rsidRPr="00246318">
        <w:rPr>
          <w:rStyle w:val="libBold2Char"/>
          <w:rtl/>
        </w:rPr>
        <w:t xml:space="preserve"> / 2.</w:t>
      </w:r>
      <w:r w:rsidRPr="005D642E">
        <w:rPr>
          <w:rtl/>
          <w:lang w:bidi="fa-IR"/>
        </w:rPr>
        <w:t xml:space="preserve"> عَلِيُّ بْنُ إِبْرَاهِيمَ ، عَنْ أَبِيهِ ، عَنِ ابْنِ أَبِي عُمَيْرٍ ، عَنْ حَمَّادِ بْنِ عُثْمَانَ ، عَنِ الْحَلَبِيِّ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sidRPr="005D642E">
        <w:rPr>
          <w:rtl/>
          <w:lang w:bidi="fa-IR"/>
        </w:rPr>
        <w:t xml:space="preserve"> عَنِ الرَّجُلِ تُدْرِكُهُ الْجِنَازَةُ وَهُوَ عَلى غَيْرِ وُضُوءٍ ، فَإِنْ ذَهَبَ يَتَوَضَّأُ ، فَاتَتْهُ </w:t>
      </w:r>
      <w:r w:rsidRPr="007C12DB">
        <w:rPr>
          <w:rStyle w:val="libFootnotenumChar"/>
          <w:rtl/>
        </w:rPr>
        <w:t>(1)</w:t>
      </w:r>
      <w:r w:rsidRPr="005D642E">
        <w:rPr>
          <w:rtl/>
          <w:lang w:bidi="fa-IR"/>
        </w:rPr>
        <w:t xml:space="preserve"> الصَّلَاةُ عَلَيْهَا</w:t>
      </w:r>
      <w:r>
        <w:rPr>
          <w:rtl/>
          <w:lang w:bidi="fa-IR"/>
        </w:rPr>
        <w:t>؟</w:t>
      </w:r>
    </w:p>
    <w:p w:rsidR="00E3253D" w:rsidRPr="005D642E" w:rsidRDefault="00E3253D" w:rsidP="00E3253D">
      <w:pPr>
        <w:pStyle w:val="libNormal"/>
        <w:rPr>
          <w:rtl/>
          <w:lang w:bidi="fa-IR"/>
        </w:rPr>
      </w:pPr>
      <w:r w:rsidRPr="005D642E">
        <w:rPr>
          <w:rtl/>
          <w:lang w:bidi="fa-IR"/>
        </w:rPr>
        <w:t xml:space="preserve">قَالَ : « يَتَيَمَّمُ وَيُصَلِّي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7A576D" w:rsidRDefault="00E3253D" w:rsidP="007A576D">
      <w:pPr>
        <w:pStyle w:val="libNormal"/>
        <w:rPr>
          <w:rtl/>
          <w:lang w:bidi="fa-IR"/>
        </w:rPr>
      </w:pPr>
      <w:r w:rsidRPr="007B7758">
        <w:rPr>
          <w:rtl/>
        </w:rPr>
        <w:t>4489</w:t>
      </w:r>
      <w:r w:rsidRPr="00246318">
        <w:rPr>
          <w:rStyle w:val="libBold2Char"/>
          <w:rtl/>
        </w:rPr>
        <w:t xml:space="preserve"> / 3.</w:t>
      </w:r>
      <w:r w:rsidRPr="005D642E">
        <w:rPr>
          <w:rtl/>
          <w:lang w:bidi="fa-IR"/>
        </w:rPr>
        <w:t xml:space="preserve"> مُحَمَّدُ بْنُ إِسْمَاعِيلَ ، عَنِ الْفَضْلِ بْنِ شَاذَانَ ؛</w:t>
      </w:r>
    </w:p>
    <w:p w:rsidR="00E3253D" w:rsidRPr="005D642E" w:rsidRDefault="007A576D" w:rsidP="007A576D">
      <w:pPr>
        <w:pStyle w:val="libNormal"/>
        <w:rPr>
          <w:rtl/>
          <w:lang w:bidi="fa-IR"/>
        </w:rPr>
      </w:pPr>
      <w:r>
        <w:rPr>
          <w:rFonts w:hint="cs"/>
          <w:rtl/>
          <w:lang w:bidi="fa-IR"/>
        </w:rPr>
        <w:t xml:space="preserve">              </w:t>
      </w:r>
      <w:r w:rsidR="00E3253D" w:rsidRPr="005D642E">
        <w:rPr>
          <w:rtl/>
          <w:lang w:bidi="fa-IR"/>
        </w:rPr>
        <w:t xml:space="preserve">وَأَبُو عَلِيٍّ الْأَشْعَرِيُّ ، عَنْ مُحَمَّدِ بْنِ عَبْدِ الْجَبَّارِ جَمِيعاً ، عَنْ صَفْوَانَ بْنِ يَحْيى ، عَنْ عَبْدِ الْحَمِيدِ بْنِ سَعْدٍ </w:t>
      </w:r>
      <w:r w:rsidR="00E3253D" w:rsidRPr="007C12DB">
        <w:rPr>
          <w:rStyle w:val="libFootnotenumChar"/>
          <w:rtl/>
        </w:rPr>
        <w:t>(4)</w:t>
      </w:r>
      <w:r w:rsidR="00E3253D"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قُلْتُ لِأَبِي الْحَسَنِ </w:t>
      </w:r>
      <w:r w:rsidRPr="00AC51C5">
        <w:rPr>
          <w:rStyle w:val="libAlaemChar"/>
          <w:rtl/>
        </w:rPr>
        <w:t>عليه‌السلام</w:t>
      </w:r>
      <w:r w:rsidRPr="005D642E">
        <w:rPr>
          <w:rtl/>
          <w:lang w:bidi="fa-IR"/>
        </w:rPr>
        <w:t xml:space="preserve"> : الْجِنَازَةُ يُخْرَجُ </w:t>
      </w:r>
      <w:r w:rsidRPr="007C12DB">
        <w:rPr>
          <w:rStyle w:val="libFootnotenumChar"/>
          <w:rtl/>
        </w:rPr>
        <w:t>(5)</w:t>
      </w:r>
      <w:r w:rsidRPr="005D642E">
        <w:rPr>
          <w:rtl/>
          <w:lang w:bidi="fa-IR"/>
        </w:rPr>
        <w:t xml:space="preserve"> بِهَا ، وَلَسْتُ عَلى وُضُوءٍ ، فَإِنْ ذَهَبْتُ أَتَوَضَّأُ ،</w:t>
      </w:r>
    </w:p>
    <w:p w:rsidR="00E3253D" w:rsidRPr="005D642E" w:rsidRDefault="00E3253D" w:rsidP="00E3253D">
      <w:pPr>
        <w:pStyle w:val="libLine"/>
        <w:rPr>
          <w:rtl/>
          <w:lang w:bidi="fa-IR"/>
        </w:rPr>
      </w:pPr>
      <w:r w:rsidRPr="005D642E">
        <w:rPr>
          <w:rtl/>
          <w:lang w:bidi="fa-IR"/>
        </w:rPr>
        <w:t>__________________</w:t>
      </w:r>
    </w:p>
    <w:p w:rsidR="00E3253D" w:rsidRPr="005D642E" w:rsidRDefault="007A576D" w:rsidP="00E3253D">
      <w:pPr>
        <w:pStyle w:val="libFootnote0"/>
        <w:rPr>
          <w:rtl/>
          <w:lang w:bidi="fa-IR"/>
        </w:rPr>
      </w:pPr>
      <w:r>
        <w:rPr>
          <w:rFonts w:hint="cs"/>
          <w:rtl/>
        </w:rPr>
        <w:t xml:space="preserve">= </w:t>
      </w:r>
      <w:r w:rsidR="00E3253D" w:rsidRPr="005D642E">
        <w:rPr>
          <w:rtl/>
        </w:rPr>
        <w:t xml:space="preserve">يونس بن يعقوب ، إلى قوله : « تسبّح في بيتك » مع زيادة في آخره </w:t>
      </w:r>
      <w:r>
        <w:rPr>
          <w:rFonts w:hint="cs"/>
          <w:rtl/>
        </w:rPr>
        <w:t>.</w:t>
      </w:r>
      <w:r w:rsidR="00E3253D" w:rsidRPr="002F4D34">
        <w:rPr>
          <w:rStyle w:val="libFootnoteBoldChar"/>
          <w:rtl/>
        </w:rPr>
        <w:t>الوافي</w:t>
      </w:r>
      <w:r w:rsidR="00E3253D" w:rsidRPr="005D642E">
        <w:rPr>
          <w:rtl/>
        </w:rPr>
        <w:t xml:space="preserve"> ، ج 24 ، ص 419 ، ح 24363 ؛ </w:t>
      </w:r>
      <w:r w:rsidR="00E3253D" w:rsidRPr="002F4D34">
        <w:rPr>
          <w:rStyle w:val="libFootnoteBoldChar"/>
          <w:rtl/>
        </w:rPr>
        <w:t>الوسائل</w:t>
      </w:r>
      <w:r w:rsidR="00E3253D" w:rsidRPr="005D642E">
        <w:rPr>
          <w:rtl/>
        </w:rPr>
        <w:t xml:space="preserve"> ، ج 3 ، ص 110 ، ح 3160 ؛ </w:t>
      </w:r>
      <w:r w:rsidR="00E3253D" w:rsidRPr="002F4D34">
        <w:rPr>
          <w:rStyle w:val="libFootnoteBoldChar"/>
          <w:rtl/>
        </w:rPr>
        <w:t>وفيه</w:t>
      </w:r>
      <w:r w:rsidR="00E3253D" w:rsidRPr="005D642E">
        <w:rPr>
          <w:rtl/>
        </w:rPr>
        <w:t xml:space="preserve"> ، ص 89 ، ح 3098 ؛ وص 91 ، ح 3107 ، إلى قوله : « تسبيح وتهليل</w:t>
      </w:r>
      <w:r w:rsidR="00E3253D">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 « فاتت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ظاهره لزوم الطهارة وأنّ التيمّم لضيق الوقت ، وحمل على الاستحباب جمعاً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24 ، ص 420 ، ح 24367 ؛ </w:t>
      </w:r>
      <w:r w:rsidR="00E3253D" w:rsidRPr="002F4D34">
        <w:rPr>
          <w:rStyle w:val="libFootnoteBoldChar"/>
          <w:rtl/>
        </w:rPr>
        <w:t>الوسائل</w:t>
      </w:r>
      <w:r w:rsidR="00E3253D" w:rsidRPr="005D642E">
        <w:rPr>
          <w:rtl/>
        </w:rPr>
        <w:t xml:space="preserve"> ، ج 3 ، ص 111 ، ح 3163.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ى ، بخ ، بس ، بف ، جس » </w:t>
      </w:r>
      <w:r w:rsidR="00B60612" w:rsidRPr="00B60612">
        <w:rPr>
          <w:rStyle w:val="libFootnoteBoldChar"/>
          <w:rtl/>
        </w:rPr>
        <w:t>والتهذيب</w:t>
      </w:r>
      <w:r w:rsidR="00E3253D" w:rsidRPr="005D642E">
        <w:rPr>
          <w:rtl/>
        </w:rPr>
        <w:t xml:space="preserve"> والوسائل وحاشية « بث ، بح ، جح</w:t>
      </w:r>
      <w:r w:rsidR="00E3253D">
        <w:rPr>
          <w:rtl/>
        </w:rPr>
        <w:t xml:space="preserve"> ».</w:t>
      </w:r>
      <w:r w:rsidR="00E3253D" w:rsidRPr="005D642E">
        <w:rPr>
          <w:rtl/>
        </w:rPr>
        <w:t xml:space="preserve"> وفي « ظ ، بث ، بح ، جح ، جن » والمطبوع : « عبدالحميد بن سعيد</w:t>
      </w:r>
      <w:r w:rsidR="00E3253D">
        <w:rPr>
          <w:rtl/>
        </w:rPr>
        <w:t xml:space="preserve"> ».</w:t>
      </w:r>
    </w:p>
    <w:p w:rsidR="00E3253D" w:rsidRPr="005D642E" w:rsidRDefault="00E3253D" w:rsidP="00B60612">
      <w:pPr>
        <w:pStyle w:val="libFootnote0"/>
        <w:rPr>
          <w:rtl/>
          <w:lang w:bidi="fa-IR"/>
        </w:rPr>
      </w:pPr>
      <w:r w:rsidRPr="0095070A">
        <w:rPr>
          <w:rtl/>
        </w:rPr>
        <w:t>والمظنون أنّ الصواب ما أثبتناه ؛ فقد ترجم النجاشي لعبد الحميد بن سعد في رجاله ، ص 246 ، الرقم 648 ، وقال : « عبدالحميد بن سعد بجلي كوفي ، له كتاب</w:t>
      </w:r>
      <w:r>
        <w:rPr>
          <w:rtl/>
        </w:rPr>
        <w:t xml:space="preserve"> ..</w:t>
      </w:r>
      <w:r w:rsidRPr="0095070A">
        <w:rPr>
          <w:rtl/>
        </w:rPr>
        <w:t>. ، حدّثنا أحمد بن محمّد بن عيسى ، قال : حدّثنا صفوان ، عن عبدالحميد بكتابه</w:t>
      </w:r>
      <w:r>
        <w:rPr>
          <w:rtl/>
        </w:rPr>
        <w:t xml:space="preserve"> ».</w:t>
      </w:r>
      <w:r w:rsidRPr="0095070A">
        <w:rPr>
          <w:rtl/>
        </w:rPr>
        <w:t xml:space="preserve"> وصفوان في طريق النجاشي ، هو صفوان بن يحيى ؛ بقرينة رواية أحمد بن محمّد بن عيسى عنه. والبرقي أيضاً ذكر عبدالحميد بن سعد في رجاله ، ص 50 ، وقال : « روى عنه صفوان بن يحيى</w:t>
      </w:r>
      <w:r>
        <w:rPr>
          <w:rtl/>
        </w:rPr>
        <w:t xml:space="preserve"> ».</w:t>
      </w:r>
      <w:r w:rsidRPr="0095070A">
        <w:rPr>
          <w:rtl/>
        </w:rPr>
        <w:t xml:space="preserve"> وذكر الشيخ الطوسي في رجاله ، ص 341 ، الرقم 5076 : عبدالحميد بن سعد ، وقال : « روى عنه صفوان بن يحيى</w:t>
      </w:r>
      <w:r>
        <w:rPr>
          <w:rtl/>
        </w:rPr>
        <w:t xml:space="preserve"> ».</w:t>
      </w:r>
    </w:p>
    <w:p w:rsidR="00E3253D" w:rsidRPr="005D642E" w:rsidRDefault="00E3253D" w:rsidP="00E3253D">
      <w:pPr>
        <w:pStyle w:val="libFootnote0"/>
        <w:rPr>
          <w:rtl/>
          <w:lang w:bidi="fa-IR"/>
        </w:rPr>
      </w:pPr>
      <w:r w:rsidRPr="00B60612">
        <w:rPr>
          <w:rtl/>
        </w:rPr>
        <w:t>وأمّا عب</w:t>
      </w:r>
      <w:r w:rsidR="007A576D">
        <w:rPr>
          <w:rtl/>
        </w:rPr>
        <w:t>دالحميد بن سعيد ، فلم يُذكر إل</w:t>
      </w:r>
      <w:r w:rsidR="007A576D">
        <w:rPr>
          <w:rFonts w:hint="cs"/>
          <w:rtl/>
        </w:rPr>
        <w:t>ّ</w:t>
      </w:r>
      <w:r w:rsidR="007A576D">
        <w:rPr>
          <w:rtl/>
        </w:rPr>
        <w:t>ا</w:t>
      </w:r>
      <w:r w:rsidRPr="00B60612">
        <w:rPr>
          <w:rtl/>
        </w:rPr>
        <w:t xml:space="preserve">في </w:t>
      </w:r>
      <w:r w:rsidRPr="002F4D34">
        <w:rPr>
          <w:rStyle w:val="libFootnoteBoldChar"/>
          <w:rtl/>
        </w:rPr>
        <w:t>رجال الطوسي</w:t>
      </w:r>
      <w:r w:rsidRPr="00B60612">
        <w:rPr>
          <w:rtl/>
        </w:rPr>
        <w:t xml:space="preserve"> ، فقد ذكره في ص 340 ، الرقم 5065 ، وقال : « روى عنه صفوان بن يحيى » ، لكن لا يحصل الاطمئنان بصحّة ما ورد في هذا الموضع من رجال الطوسي ؛ لاحتمال أخذه من بعض الأسناد المحرّفة ، أو من مصدر أخذه من الأسناد المحرّفة.</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بس » : « نخرج</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Pr>
          <w:rtl/>
          <w:lang w:bidi="fa-IR"/>
        </w:rPr>
        <w:t>فَاتَتْنِي الصَّلَاةُ : أَ</w:t>
      </w:r>
      <w:r w:rsidRPr="005D642E">
        <w:rPr>
          <w:rtl/>
          <w:lang w:bidi="fa-IR"/>
        </w:rPr>
        <w:t xml:space="preserve">لِي </w:t>
      </w:r>
      <w:r w:rsidRPr="007C12DB">
        <w:rPr>
          <w:rStyle w:val="libFootnotenumChar"/>
          <w:rtl/>
        </w:rPr>
        <w:t>(1)</w:t>
      </w:r>
      <w:r w:rsidRPr="005D642E">
        <w:rPr>
          <w:rtl/>
          <w:lang w:bidi="fa-IR"/>
        </w:rPr>
        <w:t xml:space="preserve"> أَنْ أُصَلِّيَ عَلَيْهَا وَأَنَا عَلى غَيْرِ وُضُوءٍ</w:t>
      </w:r>
      <w:r>
        <w:rPr>
          <w:rtl/>
          <w:lang w:bidi="fa-IR"/>
        </w:rPr>
        <w:t>؟</w:t>
      </w:r>
    </w:p>
    <w:p w:rsidR="00E3253D" w:rsidRPr="005D642E" w:rsidRDefault="00E3253D" w:rsidP="00E3253D">
      <w:pPr>
        <w:pStyle w:val="libNormal"/>
        <w:rPr>
          <w:rtl/>
          <w:lang w:bidi="fa-IR"/>
        </w:rPr>
      </w:pPr>
      <w:r w:rsidRPr="005D642E">
        <w:rPr>
          <w:rtl/>
          <w:lang w:bidi="fa-IR"/>
        </w:rPr>
        <w:t>قَالَ : « تَكُونُ عَلى طُهْرٍ أَحَبُّ إِلَيَّ</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7B7758">
        <w:rPr>
          <w:rtl/>
        </w:rPr>
        <w:t>4490</w:t>
      </w:r>
      <w:r w:rsidRPr="00246318">
        <w:rPr>
          <w:rStyle w:val="libBold2Char"/>
          <w:rtl/>
        </w:rPr>
        <w:t xml:space="preserve"> / 4.</w:t>
      </w:r>
      <w:r w:rsidRPr="005D642E">
        <w:rPr>
          <w:rtl/>
          <w:lang w:bidi="fa-IR"/>
        </w:rPr>
        <w:t xml:space="preserve"> أَبُو عَلِيٍّ الْأَشْعَرِيُّ ، عَنْ مُحَمَّدِ بْنِ عَبْدِ الْجَبَّارِ ، عَنْ صَفْوَانَ ، عَنِ الْعَلَاءِ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سَأَلْتُهُ عَنِ الرَّجُلِ تَفْجَؤُهُ الْجِنَازَةُ </w:t>
      </w:r>
      <w:r w:rsidRPr="007C12DB">
        <w:rPr>
          <w:rStyle w:val="libFootnotenumChar"/>
          <w:rtl/>
        </w:rPr>
        <w:t>(3)</w:t>
      </w:r>
      <w:r w:rsidRPr="005D642E">
        <w:rPr>
          <w:rtl/>
          <w:lang w:bidi="fa-IR"/>
        </w:rPr>
        <w:t xml:space="preserve"> وَهُوَ عَلى غَيْرِ طُهْرٍ</w:t>
      </w:r>
      <w:r>
        <w:rPr>
          <w:rtl/>
          <w:lang w:bidi="fa-IR"/>
        </w:rPr>
        <w:t>؟</w:t>
      </w:r>
    </w:p>
    <w:p w:rsidR="00E3253D" w:rsidRPr="005D642E" w:rsidRDefault="00E3253D" w:rsidP="00E3253D">
      <w:pPr>
        <w:pStyle w:val="libNormal"/>
        <w:rPr>
          <w:rtl/>
          <w:lang w:bidi="fa-IR"/>
        </w:rPr>
      </w:pPr>
      <w:r w:rsidRPr="005D642E">
        <w:rPr>
          <w:rtl/>
          <w:lang w:bidi="fa-IR"/>
        </w:rPr>
        <w:t>قَالَ : « فَلْيُكَبِّرْ مَعَهُمْ</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7B7758">
        <w:rPr>
          <w:rtl/>
        </w:rPr>
        <w:t>4491</w:t>
      </w:r>
      <w:r w:rsidRPr="00246318">
        <w:rPr>
          <w:rStyle w:val="libBold2Char"/>
          <w:rtl/>
        </w:rPr>
        <w:t xml:space="preserve"> / 5.</w:t>
      </w:r>
      <w:r w:rsidRPr="005D642E">
        <w:rPr>
          <w:rtl/>
          <w:lang w:bidi="fa-IR"/>
        </w:rPr>
        <w:t xml:space="preserve"> مُحَمَّدُ بْنُ يَحْيى ، عَنْ أَحْمَدَ بْنِ مُحَمَّدِ بْنِ عِيسى ، عَنِ الْحُسَيْنِ بْنِ سَعِيدٍ ،</w:t>
      </w:r>
      <w:r>
        <w:rPr>
          <w:rFonts w:hint="cs"/>
          <w:rtl/>
          <w:lang w:bidi="fa-IR"/>
        </w:rPr>
        <w:t xml:space="preserve"> </w:t>
      </w:r>
      <w:r w:rsidRPr="005D642E">
        <w:rPr>
          <w:rtl/>
          <w:lang w:bidi="fa-IR"/>
        </w:rPr>
        <w:t>عَنْ أَخِيهِ الْحَسَنِ ، عَنْ زُرْعَةَ ، عَنْ سَمَاعَةَ ، قَالَ :</w:t>
      </w:r>
    </w:p>
    <w:p w:rsidR="00E3253D" w:rsidRPr="005D642E" w:rsidRDefault="00E3253D" w:rsidP="00E3253D">
      <w:pPr>
        <w:pStyle w:val="libNormal"/>
        <w:rPr>
          <w:rtl/>
          <w:lang w:bidi="fa-IR"/>
        </w:rPr>
      </w:pPr>
      <w:r w:rsidRPr="005D642E">
        <w:rPr>
          <w:rtl/>
          <w:lang w:bidi="fa-IR"/>
        </w:rPr>
        <w:t xml:space="preserve">سَأَلْتُهُ عَنْ رَجُلٍ مَرَّتْ بِهِ جَنَازَةٌ </w:t>
      </w:r>
      <w:r w:rsidRPr="007C12DB">
        <w:rPr>
          <w:rStyle w:val="libFootnotenumChar"/>
          <w:rtl/>
        </w:rPr>
        <w:t>(5)</w:t>
      </w:r>
      <w:r w:rsidRPr="005D642E">
        <w:rPr>
          <w:rtl/>
          <w:lang w:bidi="fa-IR"/>
        </w:rPr>
        <w:t xml:space="preserve"> وَهُوَ عَلى غَيْرِ وُضُوءٍ : كَيْفَ يَصْنَعُ </w:t>
      </w:r>
      <w:r w:rsidRPr="007C12DB">
        <w:rPr>
          <w:rStyle w:val="libFootnotenumChar"/>
          <w:rtl/>
        </w:rPr>
        <w:t>(6)</w:t>
      </w:r>
      <w:r>
        <w:rPr>
          <w:rtl/>
          <w:lang w:bidi="fa-IR"/>
        </w:rPr>
        <w:t>؟</w:t>
      </w:r>
    </w:p>
    <w:p w:rsidR="00E3253D" w:rsidRPr="005D642E" w:rsidRDefault="00E3253D" w:rsidP="00E3253D">
      <w:pPr>
        <w:pStyle w:val="libNormal"/>
        <w:rPr>
          <w:rtl/>
          <w:lang w:bidi="fa-IR"/>
        </w:rPr>
      </w:pPr>
      <w:r w:rsidRPr="005D642E">
        <w:rPr>
          <w:rtl/>
          <w:lang w:bidi="fa-IR"/>
        </w:rPr>
        <w:t xml:space="preserve">قَالَ : « يَضْرِبُ بِيَدَيْهِ </w:t>
      </w:r>
      <w:r w:rsidRPr="007C12DB">
        <w:rPr>
          <w:rStyle w:val="libFootnotenumChar"/>
          <w:rtl/>
        </w:rPr>
        <w:t>(7)</w:t>
      </w:r>
      <w:r w:rsidRPr="005D642E">
        <w:rPr>
          <w:rtl/>
          <w:lang w:bidi="fa-IR"/>
        </w:rPr>
        <w:t xml:space="preserve"> عَلى حَائِطِ اللَّبِنِ </w:t>
      </w:r>
      <w:r w:rsidRPr="007C12DB">
        <w:rPr>
          <w:rStyle w:val="libFootnotenumChar"/>
          <w:rtl/>
        </w:rPr>
        <w:t>(8)</w:t>
      </w:r>
      <w:r w:rsidRPr="005D642E">
        <w:rPr>
          <w:rtl/>
          <w:lang w:bidi="fa-IR"/>
        </w:rPr>
        <w:t xml:space="preserve"> ، فَيَتَيَمَّمُ </w:t>
      </w:r>
      <w:r w:rsidRPr="007C12DB">
        <w:rPr>
          <w:rStyle w:val="libFootnotenumChar"/>
          <w:rtl/>
        </w:rPr>
        <w:t>(9)</w:t>
      </w:r>
      <w:r w:rsidRPr="005D642E">
        <w:rPr>
          <w:rtl/>
          <w:lang w:bidi="fa-IR"/>
        </w:rPr>
        <w:t xml:space="preserve"> بِهِ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الوسائل : « أيجزي لي</w:t>
      </w:r>
      <w:r w:rsidR="00E3253D">
        <w:rPr>
          <w:rtl/>
        </w:rPr>
        <w:t xml:space="preserve"> ».</w:t>
      </w:r>
      <w:r w:rsidR="00E3253D" w:rsidRPr="005D642E">
        <w:rPr>
          <w:rtl/>
        </w:rPr>
        <w:t xml:space="preserve"> وفي التهذيب</w:t>
      </w:r>
      <w:r w:rsidR="00E3253D">
        <w:rPr>
          <w:rtl/>
        </w:rPr>
        <w:t xml:space="preserve"> : « أيجزيني » ، كلاهما بدل « أ</w:t>
      </w:r>
      <w:r w:rsidR="00E3253D" w:rsidRPr="005D642E">
        <w:rPr>
          <w:rtl/>
        </w:rPr>
        <w:t>لي</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3 ، ص 203 ، ح 476 ، معلّقاً عن الكليني </w:t>
      </w:r>
      <w:r w:rsidR="007A576D">
        <w:rPr>
          <w:rFonts w:hint="cs"/>
          <w:rtl/>
        </w:rPr>
        <w:t>.</w:t>
      </w:r>
      <w:r w:rsidR="00E3253D" w:rsidRPr="002F4D34">
        <w:rPr>
          <w:rStyle w:val="libFootnoteBoldChar"/>
          <w:rtl/>
        </w:rPr>
        <w:t>الوافي</w:t>
      </w:r>
      <w:r w:rsidR="00E3253D" w:rsidRPr="005D642E">
        <w:rPr>
          <w:rtl/>
        </w:rPr>
        <w:t xml:space="preserve"> ، ج 24 ، ص 420 ، ح 24366 ؛ </w:t>
      </w:r>
      <w:r w:rsidR="00E3253D" w:rsidRPr="002F4D34">
        <w:rPr>
          <w:rStyle w:val="libFootnoteBoldChar"/>
          <w:rtl/>
        </w:rPr>
        <w:t>الوسائل</w:t>
      </w:r>
      <w:r w:rsidR="00E3253D" w:rsidRPr="005D642E">
        <w:rPr>
          <w:rtl/>
        </w:rPr>
        <w:t xml:space="preserve"> ، ج 3 ، ص 110 ، ح 3159.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فجأه</w:t>
      </w:r>
      <w:r w:rsidR="00E3253D">
        <w:rPr>
          <w:rtl/>
        </w:rPr>
        <w:t xml:space="preserve"> </w:t>
      </w:r>
      <w:r w:rsidR="007642BC">
        <w:rPr>
          <w:rtl/>
        </w:rPr>
        <w:t>-</w:t>
      </w:r>
      <w:r w:rsidR="00E3253D">
        <w:rPr>
          <w:rtl/>
        </w:rPr>
        <w:t xml:space="preserve"> </w:t>
      </w:r>
      <w:r w:rsidR="00E3253D" w:rsidRPr="005D642E">
        <w:rPr>
          <w:rtl/>
        </w:rPr>
        <w:t>كسمعه ومنعه</w:t>
      </w:r>
      <w:r w:rsidR="00E3253D">
        <w:rPr>
          <w:rtl/>
        </w:rPr>
        <w:t xml:space="preserve"> </w:t>
      </w:r>
      <w:r w:rsidR="007642BC">
        <w:rPr>
          <w:rtl/>
        </w:rPr>
        <w:t>-</w:t>
      </w:r>
      <w:r w:rsidR="00E3253D">
        <w:rPr>
          <w:rtl/>
        </w:rPr>
        <w:t xml:space="preserve"> </w:t>
      </w:r>
      <w:r w:rsidR="00E3253D" w:rsidRPr="005D642E">
        <w:rPr>
          <w:rtl/>
        </w:rPr>
        <w:t xml:space="preserve">فجأة وفجاءة : هجم عليه. قال في </w:t>
      </w:r>
      <w:r w:rsidR="00E3253D" w:rsidRPr="002F4D34">
        <w:rPr>
          <w:rStyle w:val="libFootnoteBoldChar"/>
          <w:rtl/>
        </w:rPr>
        <w:t>مرآة العقول</w:t>
      </w:r>
      <w:r w:rsidR="00E3253D" w:rsidRPr="005D642E">
        <w:rPr>
          <w:rtl/>
        </w:rPr>
        <w:t xml:space="preserve"> : « أقول : يدلّ على سقوط الطهارة مع ضيق الوقت عنها لا مطلقاً</w:t>
      </w:r>
      <w:r w:rsidR="00E3253D">
        <w:rPr>
          <w:rtl/>
        </w:rPr>
        <w:t xml:space="preserve"> ».</w:t>
      </w:r>
      <w:r w:rsidR="00E3253D" w:rsidRPr="005D642E">
        <w:rPr>
          <w:rtl/>
        </w:rPr>
        <w:t xml:space="preserve"> وراجع : </w:t>
      </w:r>
      <w:r w:rsidR="00E3253D" w:rsidRPr="002F4D34">
        <w:rPr>
          <w:rStyle w:val="libFootnoteBoldChar"/>
          <w:rtl/>
        </w:rPr>
        <w:t>القاموس المحيط</w:t>
      </w:r>
      <w:r w:rsidR="00E3253D" w:rsidRPr="005D642E">
        <w:rPr>
          <w:rtl/>
        </w:rPr>
        <w:t xml:space="preserve"> ، ج 1 ، ص 114 ( فجأ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24 ، ص 419 ، ح 24365 ؛ </w:t>
      </w:r>
      <w:r w:rsidR="00E3253D" w:rsidRPr="002F4D34">
        <w:rPr>
          <w:rStyle w:val="libFootnoteBoldChar"/>
          <w:rtl/>
        </w:rPr>
        <w:t>الوسائل</w:t>
      </w:r>
      <w:r w:rsidR="00E3253D" w:rsidRPr="005D642E">
        <w:rPr>
          <w:rtl/>
        </w:rPr>
        <w:t xml:space="preserve"> ، ج 3 ، ص 110 ، ح 3158.</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بث » : « الجنازة</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 طهر » بدل « وضوء كيف يصنع</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بث ، بح » : « بيده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اللبن » ، ككتف : المضروب من الطين مربّعاً للبناء ، ويقال فيه بالكسر ، وبكسرتين لغة. راجع : </w:t>
      </w:r>
      <w:r w:rsidR="00E3253D" w:rsidRPr="002F4D34">
        <w:rPr>
          <w:rStyle w:val="libFootnoteBoldChar"/>
          <w:rtl/>
        </w:rPr>
        <w:t>القاموس المحيط</w:t>
      </w:r>
      <w:r w:rsidR="00E3253D" w:rsidRPr="005D642E">
        <w:rPr>
          <w:rtl/>
        </w:rPr>
        <w:t xml:space="preserve"> ، ج 2 ، ص 1614 ( لبن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 « فليتيمّم</w:t>
      </w:r>
      <w:r w:rsidR="00E3253D">
        <w:rPr>
          <w:rtl/>
        </w:rPr>
        <w:t xml:space="preserve"> ».</w:t>
      </w:r>
      <w:r w:rsidR="00E3253D" w:rsidRPr="005D642E">
        <w:rPr>
          <w:rtl/>
        </w:rPr>
        <w:t xml:space="preserve"> وفي « غ » : « يتيمّم</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ى ، جح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به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3 ، ص 203 ، ح 477 ، معلّقاً عن الكليني </w:t>
      </w:r>
      <w:r w:rsidR="007A576D">
        <w:rPr>
          <w:rFonts w:hint="cs"/>
          <w:rtl/>
        </w:rPr>
        <w:t>.</w:t>
      </w:r>
      <w:r w:rsidR="00E3253D" w:rsidRPr="002F4D34">
        <w:rPr>
          <w:rStyle w:val="libFootnoteBoldChar"/>
          <w:rtl/>
        </w:rPr>
        <w:t>الوافي</w:t>
      </w:r>
      <w:r w:rsidR="00E3253D" w:rsidRPr="005D642E">
        <w:rPr>
          <w:rtl/>
        </w:rPr>
        <w:t xml:space="preserve"> ، ج 24 ، ص 420 ، ح 24368 ؛ </w:t>
      </w:r>
      <w:r w:rsidR="00E3253D" w:rsidRPr="002F4D34">
        <w:rPr>
          <w:rStyle w:val="libFootnoteBoldChar"/>
          <w:rtl/>
        </w:rPr>
        <w:t>الوسائل</w:t>
      </w:r>
      <w:r w:rsidR="00E3253D" w:rsidRPr="005D642E">
        <w:rPr>
          <w:rtl/>
        </w:rPr>
        <w:t xml:space="preserve"> ، ج 3 ، ص 111 ، ح 3162.</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404" w:name="_Toc344647345"/>
      <w:bookmarkStart w:id="405" w:name="_Toc462226859"/>
      <w:bookmarkStart w:id="406" w:name="_Toc40975968"/>
      <w:r w:rsidRPr="005D642E">
        <w:rPr>
          <w:rtl/>
          <w:lang w:bidi="fa-IR"/>
        </w:rPr>
        <w:t>50</w:t>
      </w:r>
      <w:r>
        <w:rPr>
          <w:rtl/>
          <w:lang w:bidi="fa-IR"/>
        </w:rPr>
        <w:t xml:space="preserve"> </w:t>
      </w:r>
      <w:r w:rsidR="007642BC">
        <w:rPr>
          <w:rtl/>
          <w:lang w:bidi="fa-IR"/>
        </w:rPr>
        <w:t>-</w:t>
      </w:r>
      <w:r>
        <w:rPr>
          <w:rtl/>
          <w:lang w:bidi="fa-IR"/>
        </w:rPr>
        <w:t xml:space="preserve"> </w:t>
      </w:r>
      <w:r w:rsidRPr="005D642E">
        <w:rPr>
          <w:rtl/>
          <w:lang w:bidi="fa-IR"/>
        </w:rPr>
        <w:t xml:space="preserve">بَابُ صَلَاةِ النِّسَاءِ عَلَى الْجَنَازَةِ </w:t>
      </w:r>
      <w:r w:rsidRPr="007C12DB">
        <w:rPr>
          <w:rStyle w:val="libFootnotenumChar"/>
          <w:rtl/>
        </w:rPr>
        <w:t>(1)</w:t>
      </w:r>
      <w:r w:rsidRPr="005D642E">
        <w:rPr>
          <w:rtl/>
          <w:lang w:bidi="fa-IR"/>
        </w:rPr>
        <w:t xml:space="preserve"> ‌</w:t>
      </w:r>
      <w:bookmarkEnd w:id="404"/>
      <w:bookmarkEnd w:id="405"/>
      <w:bookmarkEnd w:id="406"/>
    </w:p>
    <w:p w:rsidR="00E3253D" w:rsidRPr="005D642E" w:rsidRDefault="00E3253D" w:rsidP="00E3253D">
      <w:pPr>
        <w:pStyle w:val="libNormal"/>
        <w:rPr>
          <w:rtl/>
          <w:lang w:bidi="fa-IR"/>
        </w:rPr>
      </w:pPr>
      <w:r w:rsidRPr="006B5913">
        <w:rPr>
          <w:rtl/>
        </w:rPr>
        <w:t>4492</w:t>
      </w:r>
      <w:r w:rsidRPr="00246318">
        <w:rPr>
          <w:rStyle w:val="libBold2Char"/>
          <w:rtl/>
        </w:rPr>
        <w:t xml:space="preserve"> / 1.</w:t>
      </w:r>
      <w:r w:rsidRPr="005D642E">
        <w:rPr>
          <w:rtl/>
          <w:lang w:bidi="fa-IR"/>
        </w:rPr>
        <w:t xml:space="preserve"> عِدَّةٌ مِنْ أَصْحَابِنَا ، عَنْ سَهْلِ بْنِ زِيَادٍ ، عَنِ الْحَسَنِ بْنِ عَلِيِّ بْنِ فَضَّالٍ ، عَنْ عَلِيِّ بْنِ عُقْبَةَ ، عَنِ امْرَأَةِ الْحَسَنِ الصَّيْقَلِ ، عَنِ الْحَسَنِ الصَّيْقَلِ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 كَيْفَ تُصَلِّي النِّسَاءُ عَلَى الْجَنَازَةِ إِذَا لَمْ يَكُنْ مَعَهُنَّ رَجُلٌ</w:t>
      </w:r>
      <w:r>
        <w:rPr>
          <w:rtl/>
          <w:lang w:bidi="fa-IR"/>
        </w:rPr>
        <w:t>؟</w:t>
      </w:r>
    </w:p>
    <w:p w:rsidR="00E3253D" w:rsidRPr="005D642E" w:rsidRDefault="00E3253D" w:rsidP="00E3253D">
      <w:pPr>
        <w:pStyle w:val="libNormal"/>
        <w:rPr>
          <w:rtl/>
          <w:lang w:bidi="fa-IR"/>
        </w:rPr>
      </w:pPr>
      <w:r w:rsidRPr="005D642E">
        <w:rPr>
          <w:rtl/>
          <w:lang w:bidi="fa-IR"/>
        </w:rPr>
        <w:t xml:space="preserve">قَالَ : « يَصْفُفْنَ جَمِيعاً ، وَلَاتَتَقَدَّمُهُنَّ </w:t>
      </w:r>
      <w:r w:rsidRPr="007C12DB">
        <w:rPr>
          <w:rStyle w:val="libFootnotenumChar"/>
          <w:rtl/>
        </w:rPr>
        <w:t>(2)</w:t>
      </w:r>
      <w:r w:rsidRPr="005D642E">
        <w:rPr>
          <w:rtl/>
          <w:lang w:bidi="fa-IR"/>
        </w:rPr>
        <w:t xml:space="preserve"> امْرَأَةٌ</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6B5913">
        <w:rPr>
          <w:rtl/>
        </w:rPr>
        <w:t>4493</w:t>
      </w:r>
      <w:r w:rsidRPr="00246318">
        <w:rPr>
          <w:rStyle w:val="libBold2Char"/>
          <w:rtl/>
        </w:rPr>
        <w:t xml:space="preserve"> / 2.</w:t>
      </w:r>
      <w:r w:rsidRPr="005D642E">
        <w:rPr>
          <w:rtl/>
          <w:lang w:bidi="fa-IR"/>
        </w:rPr>
        <w:t xml:space="preserve"> أَبُو عَلِيٍّ الْأَشْعَرِيُّ ، عَنْ مُحَمَّدِ بْنِ سَالِمٍ ، عَنْ أَحْمَدَ بْنِ النَّضْرِ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إِذَا لَمْ يَحْضُرِ الرَّجُلُ ، تَقَدَّمَتِ امْرَأَةٌ </w:t>
      </w:r>
      <w:r w:rsidRPr="007C12DB">
        <w:rPr>
          <w:rStyle w:val="libFootnotenumChar"/>
          <w:rtl/>
        </w:rPr>
        <w:t>(4)</w:t>
      </w:r>
      <w:r w:rsidRPr="005D642E">
        <w:rPr>
          <w:rtl/>
          <w:lang w:bidi="fa-IR"/>
        </w:rPr>
        <w:t xml:space="preserve"> وَسَطَهُنَّ ، وَقَامَ </w:t>
      </w:r>
      <w:r w:rsidRPr="007C12DB">
        <w:rPr>
          <w:rStyle w:val="libFootnotenumChar"/>
          <w:rtl/>
        </w:rPr>
        <w:t>(5)</w:t>
      </w:r>
      <w:r w:rsidRPr="005D642E">
        <w:rPr>
          <w:rtl/>
          <w:lang w:bidi="fa-IR"/>
        </w:rPr>
        <w:t xml:space="preserve"> النِّسَاءُ عَنْ </w:t>
      </w:r>
      <w:r w:rsidRPr="007C12DB">
        <w:rPr>
          <w:rStyle w:val="libFootnotenumChar"/>
          <w:rtl/>
        </w:rPr>
        <w:t>(6)</w:t>
      </w:r>
      <w:r w:rsidRPr="005D642E">
        <w:rPr>
          <w:rtl/>
          <w:lang w:bidi="fa-IR"/>
        </w:rPr>
        <w:t xml:space="preserve"> يَمِينِهَا وَشِمَالِهَا وَهِيَ وَسَطَهُنَّ تُكَبِّرُ حَتّى تَفْرُغَ مِنَ الصَّلَاةِ</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6B5913">
        <w:rPr>
          <w:rtl/>
        </w:rPr>
        <w:t>4494</w:t>
      </w:r>
      <w:r w:rsidRPr="00246318">
        <w:rPr>
          <w:rStyle w:val="libBold2Char"/>
          <w:rtl/>
        </w:rPr>
        <w:t xml:space="preserve"> / 3.</w:t>
      </w:r>
      <w:r w:rsidRPr="005D642E">
        <w:rPr>
          <w:rtl/>
          <w:lang w:bidi="fa-IR"/>
        </w:rPr>
        <w:t xml:space="preserve"> حُمَيْدُ بْنُ زِيَادٍ ، عَنِ الْحَسَنِ بْنِ مُحَمَّدٍ الْكِنْدِيِّ ، عَنِ الْمِيثَمِيِّ ، عَنْ أَبَانِ بْنِ‌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غ ، ى ، بث ، بح ، بس ، جح » وحاشية « بخ » : « الجنائز</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غ ، ى ، بث ، بخ ، بس ، جح » : « ولا يتقدّمهنّ</w:t>
      </w:r>
      <w:r w:rsidR="00E3253D">
        <w:rPr>
          <w:rtl/>
        </w:rPr>
        <w:t xml:space="preserve"> ».</w:t>
      </w:r>
      <w:r w:rsidR="00E3253D" w:rsidRPr="005D642E">
        <w:rPr>
          <w:rtl/>
        </w:rPr>
        <w:t xml:space="preserve"> وفي التهذيب : « فلا تتقدّمهنّ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3 ، ص 326 ، ح 1017 ، معلّقاً عن سهل بن زياد. </w:t>
      </w:r>
      <w:r w:rsidR="00E3253D" w:rsidRPr="002F4D34">
        <w:rPr>
          <w:rStyle w:val="libFootnoteBoldChar"/>
          <w:rtl/>
        </w:rPr>
        <w:t>الفقيه</w:t>
      </w:r>
      <w:r w:rsidR="00E3253D" w:rsidRPr="005D642E">
        <w:rPr>
          <w:rtl/>
        </w:rPr>
        <w:t xml:space="preserve"> ، ج 1 ، ص 166 ، ح 479 ، معلّقاً عن الحسن بن زياد الصيقل ، عن أبي عبدالله </w:t>
      </w:r>
      <w:r w:rsidR="00E3253D" w:rsidRPr="00093804">
        <w:rPr>
          <w:rStyle w:val="libFootnoteAlaemChar"/>
          <w:rtl/>
        </w:rPr>
        <w:t>عليه‌السلام</w:t>
      </w:r>
      <w:r w:rsidR="00E3253D" w:rsidRPr="005D642E">
        <w:rPr>
          <w:rtl/>
        </w:rPr>
        <w:t xml:space="preserve"> ، مع اختلاف يسير وزيادة في آخره </w:t>
      </w:r>
      <w:r w:rsidR="00093804">
        <w:rPr>
          <w:rFonts w:hint="cs"/>
          <w:rtl/>
        </w:rPr>
        <w:t>.</w:t>
      </w:r>
      <w:r w:rsidR="00E3253D" w:rsidRPr="002F4D34">
        <w:rPr>
          <w:rStyle w:val="libFootnoteBoldChar"/>
          <w:rtl/>
        </w:rPr>
        <w:t>الوافي</w:t>
      </w:r>
      <w:r w:rsidR="00E3253D" w:rsidRPr="005D642E">
        <w:rPr>
          <w:rtl/>
        </w:rPr>
        <w:t xml:space="preserve"> ، ج 24 ، ص 424 ، ح 24379 ؛ </w:t>
      </w:r>
      <w:r w:rsidR="00E3253D" w:rsidRPr="002F4D34">
        <w:rPr>
          <w:rStyle w:val="libFootnoteBoldChar"/>
          <w:rtl/>
        </w:rPr>
        <w:t>الوسائل</w:t>
      </w:r>
      <w:r w:rsidR="00E3253D" w:rsidRPr="005D642E">
        <w:rPr>
          <w:rtl/>
        </w:rPr>
        <w:t xml:space="preserve"> ، ج 3 ، ص 117 ، ح 3181.</w:t>
      </w:r>
    </w:p>
    <w:p w:rsidR="00E3253D" w:rsidRPr="005D642E" w:rsidRDefault="0042621E" w:rsidP="00093804">
      <w:pPr>
        <w:pStyle w:val="libFootnote0"/>
        <w:rPr>
          <w:rtl/>
          <w:lang w:bidi="fa-IR"/>
        </w:rPr>
      </w:pPr>
      <w:r w:rsidRPr="0042621E">
        <w:rPr>
          <w:rStyle w:val="libFootnote0Char"/>
          <w:rtl/>
        </w:rPr>
        <w:t>(4).</w:t>
      </w:r>
      <w:r w:rsidR="00E3253D" w:rsidRPr="005D642E">
        <w:rPr>
          <w:rtl/>
        </w:rPr>
        <w:t xml:space="preserve"> في « جس » : « قدّمت المرأة</w:t>
      </w:r>
      <w:r w:rsidR="00E3253D">
        <w:rPr>
          <w:rtl/>
        </w:rPr>
        <w:t xml:space="preserve"> ».</w:t>
      </w:r>
      <w:r w:rsidR="00E3253D" w:rsidRPr="005D642E">
        <w:rPr>
          <w:rtl/>
        </w:rPr>
        <w:t xml:space="preserve"> وفي مرآة العقول </w:t>
      </w:r>
      <w:r w:rsidR="009E68BB" w:rsidRPr="009E68BB">
        <w:rPr>
          <w:rStyle w:val="libFootnoteBoldChar"/>
          <w:rtl/>
        </w:rPr>
        <w:t>و</w:t>
      </w:r>
      <w:r w:rsidR="00093804">
        <w:rPr>
          <w:rStyle w:val="libFootnoteBoldChar"/>
          <w:rFonts w:hint="cs"/>
          <w:rtl/>
        </w:rPr>
        <w:t>الفقيه</w:t>
      </w:r>
      <w:r w:rsidR="00E3253D" w:rsidRPr="005D642E">
        <w:rPr>
          <w:rtl/>
        </w:rPr>
        <w:t>: « تقدّمت المرأة</w:t>
      </w:r>
      <w:r w:rsidR="00E3253D">
        <w:rPr>
          <w:rtl/>
        </w:rPr>
        <w:t xml:space="preserve"> ».</w:t>
      </w:r>
      <w:r w:rsidR="00E3253D" w:rsidRPr="005D642E">
        <w:rPr>
          <w:rtl/>
        </w:rPr>
        <w:t xml:space="preserve"> وقال في </w:t>
      </w:r>
      <w:r w:rsidR="00E3253D" w:rsidRPr="002F4D34">
        <w:rPr>
          <w:rStyle w:val="libFootnoteBoldChar"/>
          <w:rtl/>
        </w:rPr>
        <w:t>مرآة العقول</w:t>
      </w:r>
      <w:r w:rsidR="00E3253D" w:rsidRPr="005D642E">
        <w:rPr>
          <w:rtl/>
        </w:rPr>
        <w:t xml:space="preserve"> : « قوله </w:t>
      </w:r>
      <w:r w:rsidR="00E3253D" w:rsidRPr="00093804">
        <w:rPr>
          <w:rStyle w:val="libFootnoteAlaemChar"/>
          <w:rtl/>
        </w:rPr>
        <w:t>عليه‌السلام</w:t>
      </w:r>
      <w:r w:rsidR="00E3253D" w:rsidRPr="005D642E">
        <w:rPr>
          <w:rtl/>
        </w:rPr>
        <w:t xml:space="preserve"> : تقدّمت المرأة إلخ ، يمكن أن يكون التقدّم بحسب الأفعال أو الرتبة والمراد إمامتها ، وأن يكون المراد تقدّمها قليلاً بحيث لا تتقدّم بجميع بدنها ولا تبرز من بينهنّ ، والله يعلم</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بث » : « فقام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جن » : « على</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3 ، ص 326 ، ح 1018 ، معلّقاً عن أبي عليّ الأشعري. </w:t>
      </w:r>
      <w:r w:rsidR="00E3253D" w:rsidRPr="002F4D34">
        <w:rPr>
          <w:rStyle w:val="libFootnoteBoldChar"/>
          <w:rtl/>
        </w:rPr>
        <w:t>الفقيه</w:t>
      </w:r>
      <w:r w:rsidR="00E3253D" w:rsidRPr="005D642E">
        <w:rPr>
          <w:rtl/>
        </w:rPr>
        <w:t xml:space="preserve"> ، ج 1 ، ص 166 ، ح 478 ، معلّقاً عن جابر ، مع اختلاف يسير </w:t>
      </w:r>
      <w:r w:rsidR="00093804">
        <w:rPr>
          <w:rFonts w:hint="cs"/>
          <w:rtl/>
        </w:rPr>
        <w:t>.</w:t>
      </w:r>
      <w:r w:rsidR="00E3253D" w:rsidRPr="002F4D34">
        <w:rPr>
          <w:rStyle w:val="libFootnoteBoldChar"/>
          <w:rtl/>
        </w:rPr>
        <w:t>الوافي</w:t>
      </w:r>
      <w:r w:rsidR="00E3253D" w:rsidRPr="005D642E">
        <w:rPr>
          <w:rtl/>
        </w:rPr>
        <w:t xml:space="preserve"> ، ج 24 ، ص 425 ، ح 24380 ؛ </w:t>
      </w:r>
      <w:r w:rsidR="00E3253D" w:rsidRPr="002F4D34">
        <w:rPr>
          <w:rStyle w:val="libFootnoteBoldChar"/>
          <w:rtl/>
        </w:rPr>
        <w:t>الوسائل</w:t>
      </w:r>
      <w:r w:rsidR="00E3253D" w:rsidRPr="005D642E">
        <w:rPr>
          <w:rtl/>
        </w:rPr>
        <w:t xml:space="preserve"> ، ج 3 ، ص 118 ، ح 3182 ؛ وج 8 ، ص 337 ، ح 10837.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عُثْمَانَ ، عَنْ عَبْدِ الرَّحْمنِ بْنِ أَبِي عَبْدِ اللهِ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w:t>
      </w:r>
      <w:r w:rsidRPr="007C12DB">
        <w:rPr>
          <w:rStyle w:val="libFootnotenumChar"/>
          <w:rtl/>
        </w:rPr>
        <w:t>(1)</w:t>
      </w:r>
      <w:r w:rsidRPr="005D642E">
        <w:rPr>
          <w:rtl/>
          <w:lang w:bidi="fa-IR"/>
        </w:rPr>
        <w:t xml:space="preserve"> تُصَلِّي الْحَائِضُ عَلَى الْجَنَازَةِ</w:t>
      </w:r>
      <w:r>
        <w:rPr>
          <w:rtl/>
          <w:lang w:bidi="fa-IR"/>
        </w:rPr>
        <w:t>؟</w:t>
      </w:r>
    </w:p>
    <w:p w:rsidR="00E3253D" w:rsidRPr="005D642E" w:rsidRDefault="00E3253D" w:rsidP="00E3253D">
      <w:pPr>
        <w:pStyle w:val="libNormal"/>
        <w:rPr>
          <w:rtl/>
          <w:lang w:bidi="fa-IR"/>
        </w:rPr>
      </w:pPr>
      <w:r w:rsidRPr="005D642E">
        <w:rPr>
          <w:rtl/>
          <w:lang w:bidi="fa-IR"/>
        </w:rPr>
        <w:t xml:space="preserve">قَالَ : « نَعَمْ ، وَلَاتَصُفُّ </w:t>
      </w:r>
      <w:r w:rsidRPr="007C12DB">
        <w:rPr>
          <w:rStyle w:val="libFootnotenumChar"/>
          <w:rtl/>
        </w:rPr>
        <w:t>(2)</w:t>
      </w:r>
      <w:r w:rsidRPr="005D642E">
        <w:rPr>
          <w:rtl/>
          <w:lang w:bidi="fa-IR"/>
        </w:rPr>
        <w:t xml:space="preserve"> مَعَهُمْ ، تَقُومُ </w:t>
      </w:r>
      <w:r w:rsidRPr="007C12DB">
        <w:rPr>
          <w:rStyle w:val="libFootnotenumChar"/>
          <w:rtl/>
        </w:rPr>
        <w:t>(3)</w:t>
      </w:r>
      <w:r w:rsidRPr="005D642E">
        <w:rPr>
          <w:rtl/>
          <w:lang w:bidi="fa-IR"/>
        </w:rPr>
        <w:t xml:space="preserve"> مُفْرَدَةً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9F0827">
        <w:rPr>
          <w:rtl/>
        </w:rPr>
        <w:t>4495</w:t>
      </w:r>
      <w:r w:rsidRPr="00246318">
        <w:rPr>
          <w:rStyle w:val="libBold2Char"/>
          <w:rtl/>
        </w:rPr>
        <w:t xml:space="preserve"> / 4.</w:t>
      </w:r>
      <w:r w:rsidRPr="005D642E">
        <w:rPr>
          <w:rtl/>
          <w:lang w:bidi="fa-IR"/>
        </w:rPr>
        <w:t xml:space="preserve"> عَلِيُّ بْنُ إِبْرَاهِيمَ ، عَنْ أَبِيهِ ، عَنْ حَمَّادِ بْنِ عِيسى ، عَنْ حَرِيزٍ ، عَنْ مُحَمَّدِ بْنِ مُسْلِمٍ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الْحَائِضِ : تُصَلِّي عَلَى الْجَنَازَةِ</w:t>
      </w:r>
      <w:r>
        <w:rPr>
          <w:rtl/>
          <w:lang w:bidi="fa-IR"/>
        </w:rPr>
        <w:t>؟</w:t>
      </w:r>
      <w:r w:rsidRPr="005D642E">
        <w:rPr>
          <w:rtl/>
          <w:lang w:bidi="fa-IR"/>
        </w:rPr>
        <w:t xml:space="preserve"> قَالَ : « نَعَمْ ، وَلَاتَصُفُّ مَعَهُمْ</w:t>
      </w:r>
      <w:r>
        <w:rPr>
          <w:rtl/>
          <w:lang w:bidi="fa-IR"/>
        </w:rPr>
        <w:t>».</w:t>
      </w:r>
      <w:r w:rsidRPr="007C12DB">
        <w:rPr>
          <w:rStyle w:val="libFootnotenumChar"/>
          <w:rtl/>
        </w:rPr>
        <w:t>(6)</w:t>
      </w:r>
    </w:p>
    <w:p w:rsidR="00E3253D" w:rsidRPr="005D642E" w:rsidRDefault="00E3253D" w:rsidP="00E3253D">
      <w:pPr>
        <w:pStyle w:val="libNormal"/>
        <w:rPr>
          <w:rtl/>
          <w:lang w:bidi="fa-IR"/>
        </w:rPr>
      </w:pPr>
      <w:r w:rsidRPr="009F0827">
        <w:rPr>
          <w:rtl/>
        </w:rPr>
        <w:t>4496</w:t>
      </w:r>
      <w:r w:rsidRPr="00246318">
        <w:rPr>
          <w:rStyle w:val="libBold2Char"/>
          <w:rtl/>
        </w:rPr>
        <w:t xml:space="preserve"> / 5.</w:t>
      </w:r>
      <w:r w:rsidRPr="005D642E">
        <w:rPr>
          <w:rtl/>
          <w:lang w:bidi="fa-IR"/>
        </w:rPr>
        <w:t xml:space="preserve"> حَمَّادٌ </w:t>
      </w:r>
      <w:r w:rsidRPr="007C12DB">
        <w:rPr>
          <w:rStyle w:val="libFootnotenumChar"/>
          <w:rtl/>
        </w:rPr>
        <w:t>(7)</w:t>
      </w:r>
      <w:r w:rsidRPr="005D642E">
        <w:rPr>
          <w:rtl/>
          <w:lang w:bidi="fa-IR"/>
        </w:rPr>
        <w:t xml:space="preserve"> ، عَنْ حَرِيزٍ ، عَمَّنْ أَخْبَرَهُ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w:t>
      </w:r>
      <w:r w:rsidRPr="007C12DB">
        <w:rPr>
          <w:rStyle w:val="libFootnotenumChar"/>
          <w:rtl/>
        </w:rPr>
        <w:t>(9)</w:t>
      </w:r>
      <w:r w:rsidRPr="005D642E">
        <w:rPr>
          <w:rtl/>
          <w:lang w:bidi="fa-IR"/>
        </w:rPr>
        <w:t xml:space="preserve"> ، قَالَ : « الطَّامِثُ </w:t>
      </w:r>
      <w:r w:rsidRPr="007C12DB">
        <w:rPr>
          <w:rStyle w:val="libFootnotenumChar"/>
          <w:rtl/>
        </w:rPr>
        <w:t>(10)</w:t>
      </w:r>
      <w:r w:rsidRPr="005D642E">
        <w:rPr>
          <w:rtl/>
          <w:lang w:bidi="fa-IR"/>
        </w:rPr>
        <w:t xml:space="preserve"> تُصَلِّي عَلَى الْجَنَازَةِ ؛ لِأَنَّهُ لَيْسَ فِيهَا رُكُوعٌ وَلَاسُجُودٌ ، وَالْجُنُبُ </w:t>
      </w:r>
      <w:r w:rsidRPr="007C12DB">
        <w:rPr>
          <w:rStyle w:val="libFootnotenumChar"/>
          <w:rtl/>
        </w:rPr>
        <w:t>(11)</w:t>
      </w:r>
      <w:r w:rsidRPr="005D642E">
        <w:rPr>
          <w:rtl/>
          <w:lang w:bidi="fa-IR"/>
        </w:rPr>
        <w:t xml:space="preserve"> تَتَيَمَّمُ </w:t>
      </w:r>
      <w:r w:rsidRPr="007C12DB">
        <w:rPr>
          <w:rStyle w:val="libFootnotenumChar"/>
          <w:rtl/>
        </w:rPr>
        <w:t>(12)</w:t>
      </w:r>
      <w:r w:rsidRPr="005D642E">
        <w:rPr>
          <w:rtl/>
          <w:lang w:bidi="fa-IR"/>
        </w:rPr>
        <w:t xml:space="preserve"> وَتُصَلِّي </w:t>
      </w:r>
      <w:r w:rsidRPr="007C12DB">
        <w:rPr>
          <w:rStyle w:val="libFootnotenumChar"/>
          <w:rtl/>
        </w:rPr>
        <w:t>(13)</w:t>
      </w:r>
      <w:r w:rsidRPr="005D642E">
        <w:rPr>
          <w:rtl/>
          <w:lang w:bidi="fa-IR"/>
        </w:rPr>
        <w:t xml:space="preserve"> عَلَى الْجَنَازَةِ</w:t>
      </w:r>
      <w:r>
        <w:rPr>
          <w:rtl/>
          <w:lang w:bidi="fa-IR"/>
        </w:rPr>
        <w:t xml:space="preserve"> ».</w:t>
      </w:r>
      <w:r w:rsidRPr="005D642E">
        <w:rPr>
          <w:rtl/>
          <w:lang w:bidi="fa-IR"/>
        </w:rPr>
        <w:t xml:space="preserve"> </w:t>
      </w:r>
      <w:r w:rsidRPr="007C12DB">
        <w:rPr>
          <w:rStyle w:val="libFootnotenumChar"/>
          <w:rtl/>
        </w:rPr>
        <w:t>(14)</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93804" w:rsidTr="00093804">
        <w:tc>
          <w:tcPr>
            <w:tcW w:w="4006" w:type="dxa"/>
          </w:tcPr>
          <w:p w:rsidR="00093804" w:rsidRDefault="00093804" w:rsidP="00E3253D">
            <w:pPr>
              <w:pStyle w:val="libFootnote0"/>
              <w:rPr>
                <w:rStyle w:val="libFootnote0Char"/>
                <w:rtl/>
              </w:rPr>
            </w:pPr>
            <w:r w:rsidRPr="0042621E">
              <w:rPr>
                <w:rStyle w:val="libFootnote0Char"/>
                <w:rtl/>
              </w:rPr>
              <w:t>(1).</w:t>
            </w:r>
            <w:r>
              <w:rPr>
                <w:rtl/>
              </w:rPr>
              <w:t xml:space="preserve"> </w:t>
            </w:r>
            <w:r w:rsidRPr="005D642E">
              <w:rPr>
                <w:rtl/>
              </w:rPr>
              <w:t>في التهذيب ، ص 203 : + « له</w:t>
            </w:r>
            <w:r>
              <w:rPr>
                <w:rtl/>
              </w:rPr>
              <w:t xml:space="preserve"> ».</w:t>
            </w:r>
          </w:p>
        </w:tc>
        <w:tc>
          <w:tcPr>
            <w:tcW w:w="4006" w:type="dxa"/>
          </w:tcPr>
          <w:p w:rsidR="00093804" w:rsidRDefault="00093804" w:rsidP="00E3253D">
            <w:pPr>
              <w:pStyle w:val="libFootnote0"/>
              <w:rPr>
                <w:rStyle w:val="libFootnote0Char"/>
                <w:rtl/>
              </w:rPr>
            </w:pPr>
            <w:r w:rsidRPr="0042621E">
              <w:rPr>
                <w:rStyle w:val="libFootnote0Char"/>
                <w:rtl/>
              </w:rPr>
              <w:t>(2).</w:t>
            </w:r>
            <w:r w:rsidRPr="005D642E">
              <w:rPr>
                <w:rtl/>
              </w:rPr>
              <w:t xml:space="preserve"> في التهذيب ، ص 203 : « ولا تقف</w:t>
            </w:r>
            <w:r>
              <w:rPr>
                <w:rtl/>
              </w:rPr>
              <w:t xml:space="preserve"> ».</w:t>
            </w:r>
          </w:p>
        </w:tc>
      </w:tr>
      <w:tr w:rsidR="00093804" w:rsidTr="00093804">
        <w:tc>
          <w:tcPr>
            <w:tcW w:w="4006" w:type="dxa"/>
          </w:tcPr>
          <w:p w:rsidR="00093804" w:rsidRDefault="00093804" w:rsidP="00E3253D">
            <w:pPr>
              <w:pStyle w:val="libFootnote0"/>
              <w:rPr>
                <w:rStyle w:val="libFootnote0Char"/>
                <w:rtl/>
              </w:rPr>
            </w:pPr>
            <w:r w:rsidRPr="0042621E">
              <w:rPr>
                <w:rStyle w:val="libFootnote0Char"/>
                <w:rtl/>
              </w:rPr>
              <w:t>(3).</w:t>
            </w:r>
            <w:r w:rsidRPr="005D642E">
              <w:rPr>
                <w:rtl/>
              </w:rPr>
              <w:t xml:space="preserve"> في « بخ ، بف » : « وتقوم</w:t>
            </w:r>
            <w:r>
              <w:rPr>
                <w:rtl/>
              </w:rPr>
              <w:t xml:space="preserve"> ».</w:t>
            </w:r>
          </w:p>
        </w:tc>
        <w:tc>
          <w:tcPr>
            <w:tcW w:w="4006" w:type="dxa"/>
          </w:tcPr>
          <w:p w:rsidR="00093804" w:rsidRDefault="00093804" w:rsidP="00E3253D">
            <w:pPr>
              <w:pStyle w:val="libFootnote0"/>
              <w:rPr>
                <w:rStyle w:val="libFootnote0Char"/>
                <w:rtl/>
              </w:rPr>
            </w:pPr>
            <w:r w:rsidRPr="0042621E">
              <w:rPr>
                <w:rStyle w:val="libFootnote0Char"/>
                <w:rtl/>
              </w:rPr>
              <w:t>(4).</w:t>
            </w:r>
            <w:r>
              <w:rPr>
                <w:rtl/>
              </w:rPr>
              <w:t xml:space="preserve"> في «</w:t>
            </w:r>
            <w:r w:rsidRPr="005D642E">
              <w:rPr>
                <w:rtl/>
              </w:rPr>
              <w:t>غ</w:t>
            </w:r>
            <w:r>
              <w:rPr>
                <w:rtl/>
              </w:rPr>
              <w:t>» وحاشية «بث» ومرآة العقول : «</w:t>
            </w:r>
            <w:r w:rsidRPr="005D642E">
              <w:rPr>
                <w:rtl/>
              </w:rPr>
              <w:t>منفردة</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3 ، ص 203 ، ح 478 ، معلّقاً عن الكليني. وفي </w:t>
      </w:r>
      <w:r w:rsidR="00E3253D" w:rsidRPr="002F4D34">
        <w:rPr>
          <w:rStyle w:val="libFootnoteBoldChar"/>
          <w:rtl/>
        </w:rPr>
        <w:t>الفقيه</w:t>
      </w:r>
      <w:r w:rsidR="00E3253D" w:rsidRPr="005D642E">
        <w:rPr>
          <w:rtl/>
        </w:rPr>
        <w:t xml:space="preserve"> ، ج 1 ، ص 170 ، ح 498 ؛ </w:t>
      </w:r>
      <w:r w:rsidR="00B60612" w:rsidRPr="00B60612">
        <w:rPr>
          <w:rStyle w:val="libFootnoteBoldChar"/>
          <w:rtl/>
        </w:rPr>
        <w:t>والتهذيب</w:t>
      </w:r>
      <w:r w:rsidR="00E3253D" w:rsidRPr="005D642E">
        <w:rPr>
          <w:rtl/>
        </w:rPr>
        <w:t xml:space="preserve"> ، ج 3 ، ص 204 ، ح 481 </w:t>
      </w:r>
      <w:r w:rsidR="00E3253D">
        <w:rPr>
          <w:rtl/>
        </w:rPr>
        <w:t>و 4</w:t>
      </w:r>
      <w:r w:rsidR="00E3253D" w:rsidRPr="005D642E">
        <w:rPr>
          <w:rtl/>
        </w:rPr>
        <w:t xml:space="preserve">82 ، بسند آخر ، مع اختلاف ؛ </w:t>
      </w:r>
      <w:r w:rsidR="00E3253D" w:rsidRPr="002F4D34">
        <w:rPr>
          <w:rStyle w:val="libFootnoteBoldChar"/>
          <w:rtl/>
        </w:rPr>
        <w:t>المقنعة</w:t>
      </w:r>
      <w:r w:rsidR="00E3253D" w:rsidRPr="005D642E">
        <w:rPr>
          <w:rtl/>
        </w:rPr>
        <w:t xml:space="preserve"> ، ص 231 ، من دون الإسناد إلى المعصوم </w:t>
      </w:r>
      <w:r w:rsidR="00E3253D" w:rsidRPr="00093804">
        <w:rPr>
          <w:rStyle w:val="libFootnoteAlaemChar"/>
          <w:rtl/>
        </w:rPr>
        <w:t>عليه‌السلام</w:t>
      </w:r>
      <w:r w:rsidR="00E3253D" w:rsidRPr="005D642E">
        <w:rPr>
          <w:rtl/>
        </w:rPr>
        <w:t xml:space="preserve"> ، وفي الخمسة الأخيرة مع اختلاف </w:t>
      </w:r>
      <w:r w:rsidR="00093804">
        <w:rPr>
          <w:rFonts w:hint="cs"/>
          <w:rtl/>
        </w:rPr>
        <w:t>.</w:t>
      </w:r>
      <w:r w:rsidR="00E3253D" w:rsidRPr="002F4D34">
        <w:rPr>
          <w:rStyle w:val="libFootnoteBoldChar"/>
          <w:rtl/>
        </w:rPr>
        <w:t>الوافي</w:t>
      </w:r>
      <w:r w:rsidR="00E3253D" w:rsidRPr="005D642E">
        <w:rPr>
          <w:rtl/>
        </w:rPr>
        <w:t xml:space="preserve"> ، ج 24 ، ص 420 ، ح 24369 ؛ </w:t>
      </w:r>
      <w:r w:rsidR="00E3253D" w:rsidRPr="002F4D34">
        <w:rPr>
          <w:rStyle w:val="libFootnoteBoldChar"/>
          <w:rtl/>
        </w:rPr>
        <w:t>الوسائل</w:t>
      </w:r>
      <w:r w:rsidR="00E3253D" w:rsidRPr="005D642E">
        <w:rPr>
          <w:rtl/>
        </w:rPr>
        <w:t xml:space="preserve"> ، ج 3 ، ص 113 ، ح 3167 ؛ </w:t>
      </w:r>
      <w:r w:rsidR="00E3253D" w:rsidRPr="002F4D34">
        <w:rPr>
          <w:rStyle w:val="libFootnoteBoldChar"/>
          <w:rtl/>
        </w:rPr>
        <w:t>البحار</w:t>
      </w:r>
      <w:r w:rsidR="00E3253D" w:rsidRPr="005D642E">
        <w:rPr>
          <w:rtl/>
        </w:rPr>
        <w:t xml:space="preserve"> ، ج 81 ، ص 365.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3 ، ص 204 ، ح 479 ، معلّقاً عن عليّ ، عن أبيه ، عن حمّاد بن عيسى. </w:t>
      </w:r>
      <w:r w:rsidR="00E3253D" w:rsidRPr="002F4D34">
        <w:rPr>
          <w:rStyle w:val="libFootnoteBoldChar"/>
          <w:rtl/>
        </w:rPr>
        <w:t>الفقيه</w:t>
      </w:r>
      <w:r w:rsidR="00E3253D" w:rsidRPr="005D642E">
        <w:rPr>
          <w:rtl/>
        </w:rPr>
        <w:t xml:space="preserve"> ، ج 1 ، ص 170 ، ح 497 ، بسند آخر عن أبي جعفر </w:t>
      </w:r>
      <w:r w:rsidR="00E3253D" w:rsidRPr="00FA61ED">
        <w:rPr>
          <w:rStyle w:val="libFootnoteAlaemChar"/>
          <w:rtl/>
        </w:rPr>
        <w:t>عليه‌السلام</w:t>
      </w:r>
      <w:r w:rsidR="00E3253D" w:rsidRPr="005D642E">
        <w:rPr>
          <w:rtl/>
        </w:rPr>
        <w:t xml:space="preserve"> ، وفيهما مع اختلاف يسير </w:t>
      </w:r>
      <w:r w:rsidR="00FA61ED">
        <w:rPr>
          <w:rFonts w:hint="cs"/>
          <w:rtl/>
        </w:rPr>
        <w:t>.</w:t>
      </w:r>
      <w:r w:rsidR="00E3253D" w:rsidRPr="002F4D34">
        <w:rPr>
          <w:rStyle w:val="libFootnoteBoldChar"/>
          <w:rtl/>
        </w:rPr>
        <w:t>الوافي</w:t>
      </w:r>
      <w:r w:rsidR="00E3253D" w:rsidRPr="005D642E">
        <w:rPr>
          <w:rtl/>
        </w:rPr>
        <w:t xml:space="preserve"> ، ج 24 ، ص 421 ، ح 24370 ؛ </w:t>
      </w:r>
      <w:r w:rsidR="00E3253D" w:rsidRPr="002F4D34">
        <w:rPr>
          <w:rStyle w:val="libFootnoteBoldChar"/>
          <w:rtl/>
        </w:rPr>
        <w:t>الوسائل</w:t>
      </w:r>
      <w:r w:rsidR="00E3253D" w:rsidRPr="005D642E">
        <w:rPr>
          <w:rtl/>
        </w:rPr>
        <w:t xml:space="preserve"> ، ج 3 ، ص 112 ، ح 3165.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السند معلّق على سابقه. ويروي عن حمّاد ، عليّ بن إبراهيم ، عن أبيه.</w:t>
      </w:r>
    </w:p>
    <w:tbl>
      <w:tblPr>
        <w:tblStyle w:val="TableGrid"/>
        <w:bidiVisual/>
        <w:tblW w:w="0" w:type="auto"/>
        <w:tblLook w:val="04A0" w:firstRow="1" w:lastRow="0" w:firstColumn="1" w:lastColumn="0" w:noHBand="0" w:noVBand="1"/>
      </w:tblPr>
      <w:tblGrid>
        <w:gridCol w:w="4006"/>
        <w:gridCol w:w="4006"/>
      </w:tblGrid>
      <w:tr w:rsidR="00FA61ED" w:rsidTr="00FA61ED">
        <w:tc>
          <w:tcPr>
            <w:tcW w:w="4006" w:type="dxa"/>
          </w:tcPr>
          <w:p w:rsidR="00FA61ED" w:rsidRDefault="00FA61ED" w:rsidP="00E3253D">
            <w:pPr>
              <w:pStyle w:val="libFootnote0"/>
              <w:rPr>
                <w:rStyle w:val="libFootnote0Char"/>
                <w:rtl/>
              </w:rPr>
            </w:pPr>
            <w:r w:rsidRPr="0042621E">
              <w:rPr>
                <w:rStyle w:val="libFootnote0Char"/>
                <w:rtl/>
              </w:rPr>
              <w:t>(8).</w:t>
            </w:r>
            <w:r w:rsidRPr="005D642E">
              <w:rPr>
                <w:rtl/>
              </w:rPr>
              <w:t xml:space="preserve"> في « ظ » :</w:t>
            </w:r>
            <w:r>
              <w:rPr>
                <w:rtl/>
              </w:rPr>
              <w:t xml:space="preserve"> - </w:t>
            </w:r>
            <w:r w:rsidRPr="005D642E">
              <w:rPr>
                <w:rtl/>
              </w:rPr>
              <w:t>« عمّن أخبره</w:t>
            </w:r>
            <w:r>
              <w:rPr>
                <w:rtl/>
              </w:rPr>
              <w:t xml:space="preserve"> ».</w:t>
            </w:r>
          </w:p>
        </w:tc>
        <w:tc>
          <w:tcPr>
            <w:tcW w:w="4006" w:type="dxa"/>
          </w:tcPr>
          <w:p w:rsidR="00FA61ED" w:rsidRDefault="00FA61ED" w:rsidP="00FA61ED">
            <w:pPr>
              <w:pStyle w:val="libFootnote0"/>
              <w:rPr>
                <w:rStyle w:val="libFootnote0Char"/>
                <w:rtl/>
              </w:rPr>
            </w:pPr>
            <w:r w:rsidRPr="0042621E">
              <w:rPr>
                <w:rStyle w:val="libFootnote0Char"/>
                <w:rtl/>
              </w:rPr>
              <w:t>(9).</w:t>
            </w:r>
            <w:r>
              <w:rPr>
                <w:rtl/>
              </w:rPr>
              <w:t xml:space="preserve"> في «بث،بح،بف،جح</w:t>
            </w:r>
            <w:r w:rsidRPr="005D642E">
              <w:rPr>
                <w:rtl/>
              </w:rPr>
              <w:t>»</w:t>
            </w:r>
            <w:r>
              <w:rPr>
                <w:rtl/>
              </w:rPr>
              <w:t>:+«</w:t>
            </w:r>
            <w:r w:rsidRPr="005D642E">
              <w:rPr>
                <w:rtl/>
              </w:rPr>
              <w:t>عن الحائض تصلّي</w:t>
            </w:r>
            <w:r>
              <w:rPr>
                <w:rtl/>
              </w:rPr>
              <w:t>».</w:t>
            </w:r>
          </w:p>
        </w:tc>
      </w:tr>
    </w:tbl>
    <w:p w:rsidR="00E3253D" w:rsidRPr="005D642E" w:rsidRDefault="0042621E" w:rsidP="00E3253D">
      <w:pPr>
        <w:pStyle w:val="libFootnote0"/>
        <w:rPr>
          <w:rtl/>
          <w:lang w:bidi="fa-IR"/>
        </w:rPr>
      </w:pPr>
      <w:r w:rsidRPr="0042621E">
        <w:rPr>
          <w:rStyle w:val="libFootnote0Char"/>
          <w:rtl/>
        </w:rPr>
        <w:t>(10).</w:t>
      </w:r>
      <w:r w:rsidR="00FA61ED">
        <w:rPr>
          <w:rtl/>
        </w:rPr>
        <w:t xml:space="preserve"> «</w:t>
      </w:r>
      <w:r w:rsidR="00E3253D" w:rsidRPr="005D642E">
        <w:rPr>
          <w:rtl/>
        </w:rPr>
        <w:t xml:space="preserve">الطامِث » : الحائض ، وبعضهم يزيد عليه : أوّل ما تحيض. راجع : </w:t>
      </w:r>
      <w:r w:rsidR="00E3253D" w:rsidRPr="002F4D34">
        <w:rPr>
          <w:rStyle w:val="libFootnoteBoldChar"/>
          <w:rtl/>
        </w:rPr>
        <w:t>المصباح المنير</w:t>
      </w:r>
      <w:r w:rsidR="00E3253D" w:rsidRPr="005D642E">
        <w:rPr>
          <w:rtl/>
        </w:rPr>
        <w:t xml:space="preserve"> ، ص 377 ( طمث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غ ، ى ، بح ، جح ، جس ، جن » : « والجنبة » ، ولم نعثر عليه في اللغة.</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الوافي والوسائل </w:t>
      </w:r>
      <w:r w:rsidR="00B60612" w:rsidRPr="00B60612">
        <w:rPr>
          <w:rStyle w:val="libFootnoteBoldChar"/>
          <w:rtl/>
        </w:rPr>
        <w:t>والتهذيب</w:t>
      </w:r>
      <w:r w:rsidR="00E3253D" w:rsidRPr="005D642E">
        <w:rPr>
          <w:rtl/>
        </w:rPr>
        <w:t xml:space="preserve"> : « يتيمّم</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بخ ، بف </w:t>
      </w:r>
      <w:r w:rsidR="00E3253D" w:rsidRPr="00FA61ED">
        <w:rPr>
          <w:rtl/>
        </w:rPr>
        <w:t xml:space="preserve">» </w:t>
      </w:r>
      <w:r w:rsidR="000D749A" w:rsidRPr="00FA61ED">
        <w:rPr>
          <w:rtl/>
        </w:rPr>
        <w:t>والوافي</w:t>
      </w:r>
      <w:r w:rsidR="00E3253D" w:rsidRPr="00FA61ED">
        <w:rPr>
          <w:rtl/>
        </w:rPr>
        <w:t xml:space="preserve"> والوسائل </w:t>
      </w:r>
      <w:r w:rsidR="00B60612" w:rsidRPr="00FA61ED">
        <w:rPr>
          <w:rtl/>
        </w:rPr>
        <w:t>والتهذيب</w:t>
      </w:r>
      <w:r w:rsidR="00E3253D" w:rsidRPr="005D642E">
        <w:rPr>
          <w:rtl/>
        </w:rPr>
        <w:t xml:space="preserve"> : « ويصلّي</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w:t>
      </w:r>
      <w:r w:rsidR="00E3253D" w:rsidRPr="002F4D34">
        <w:rPr>
          <w:rStyle w:val="libFootnoteBoldChar"/>
          <w:rtl/>
        </w:rPr>
        <w:t>التهذيب</w:t>
      </w:r>
      <w:r w:rsidR="00E3253D" w:rsidRPr="005D642E">
        <w:rPr>
          <w:rtl/>
        </w:rPr>
        <w:t xml:space="preserve"> ، ج 3 ، ص 204 ، ح 480 ، بسنده عن حمّاد. </w:t>
      </w:r>
      <w:r w:rsidR="00E3253D" w:rsidRPr="002F4D34">
        <w:rPr>
          <w:rStyle w:val="libFootnoteBoldChar"/>
          <w:rtl/>
        </w:rPr>
        <w:t>الفقيه</w:t>
      </w:r>
      <w:r w:rsidR="00E3253D" w:rsidRPr="005D642E">
        <w:rPr>
          <w:rtl/>
        </w:rPr>
        <w:t xml:space="preserve"> ، ج 1 ، ص 170 ، ح 498 ، بسند آخر ، مع </w:t>
      </w:r>
      <w:r w:rsidR="00FA61ED">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407" w:name="_Toc344647346"/>
      <w:bookmarkStart w:id="408" w:name="_Toc462226860"/>
      <w:bookmarkStart w:id="409" w:name="_Toc40975969"/>
      <w:r w:rsidRPr="005D642E">
        <w:rPr>
          <w:rtl/>
          <w:lang w:bidi="fa-IR"/>
        </w:rPr>
        <w:t>51</w:t>
      </w:r>
      <w:r>
        <w:rPr>
          <w:rtl/>
          <w:lang w:bidi="fa-IR"/>
        </w:rPr>
        <w:t xml:space="preserve"> </w:t>
      </w:r>
      <w:r w:rsidR="007642BC">
        <w:rPr>
          <w:rtl/>
          <w:lang w:bidi="fa-IR"/>
        </w:rPr>
        <w:t>-</w:t>
      </w:r>
      <w:r>
        <w:rPr>
          <w:rtl/>
          <w:lang w:bidi="fa-IR"/>
        </w:rPr>
        <w:t xml:space="preserve"> </w:t>
      </w:r>
      <w:r w:rsidRPr="005D642E">
        <w:rPr>
          <w:rtl/>
          <w:lang w:bidi="fa-IR"/>
        </w:rPr>
        <w:t xml:space="preserve">بَابُ </w:t>
      </w:r>
      <w:r w:rsidRPr="007C12DB">
        <w:rPr>
          <w:rStyle w:val="libFootnotenumChar"/>
          <w:rtl/>
        </w:rPr>
        <w:t>(1)</w:t>
      </w:r>
      <w:r>
        <w:rPr>
          <w:rtl/>
        </w:rPr>
        <w:t xml:space="preserve"> </w:t>
      </w:r>
      <w:r w:rsidRPr="005D642E">
        <w:rPr>
          <w:rtl/>
          <w:lang w:bidi="fa-IR"/>
        </w:rPr>
        <w:t xml:space="preserve">وَقْتِ الصَّلَاةِ عَلَى الْجَنَائِزِ </w:t>
      </w:r>
      <w:r w:rsidRPr="007C12DB">
        <w:rPr>
          <w:rStyle w:val="libFootnotenumChar"/>
          <w:rtl/>
        </w:rPr>
        <w:t>(2)</w:t>
      </w:r>
      <w:bookmarkEnd w:id="407"/>
      <w:bookmarkEnd w:id="408"/>
      <w:bookmarkEnd w:id="409"/>
    </w:p>
    <w:p w:rsidR="00E3253D" w:rsidRPr="005D642E" w:rsidRDefault="00E3253D" w:rsidP="00E3253D">
      <w:pPr>
        <w:pStyle w:val="libNormal"/>
        <w:rPr>
          <w:rtl/>
          <w:lang w:bidi="fa-IR"/>
        </w:rPr>
      </w:pPr>
      <w:r w:rsidRPr="009F0827">
        <w:rPr>
          <w:rtl/>
        </w:rPr>
        <w:t>4497</w:t>
      </w:r>
      <w:r w:rsidRPr="00246318">
        <w:rPr>
          <w:rStyle w:val="libBold2Char"/>
          <w:rtl/>
        </w:rPr>
        <w:t xml:space="preserve"> / 1.</w:t>
      </w:r>
      <w:r w:rsidRPr="005D642E">
        <w:rPr>
          <w:rtl/>
          <w:lang w:bidi="fa-IR"/>
        </w:rPr>
        <w:t xml:space="preserve"> حُمَيْدُ بْنُ زِيَادٍ ، عَنِ الْحَسَنِ بْنِ مُحَمَّدِ بْنِ سَمَاعَةَ ، عَنْ غَيْرِ وَاحِدٍ ، عَنْ أَبَانٍ ، عَنْ مُحَمَّدِ بْنِ مُسْلِمٍ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 هَلْ يَمْنَعُكَ شَيْ‌ءٌ مِنْ هذِهِ السَّاعَاتِ عَنِ الصَّلَاةِ عَلَى الْجَنَائِزِ </w:t>
      </w:r>
      <w:r w:rsidRPr="007C12DB">
        <w:rPr>
          <w:rStyle w:val="libFootnotenumChar"/>
          <w:rtl/>
        </w:rPr>
        <w:t>(3)</w:t>
      </w:r>
      <w:r>
        <w:rPr>
          <w:rtl/>
          <w:lang w:bidi="fa-IR"/>
        </w:rPr>
        <w:t>؟</w:t>
      </w:r>
      <w:r w:rsidRPr="005D642E">
        <w:rPr>
          <w:rtl/>
          <w:lang w:bidi="fa-IR"/>
        </w:rPr>
        <w:t xml:space="preserve"> فَقَالَ : « لَا</w:t>
      </w:r>
      <w:r>
        <w:rPr>
          <w:rtl/>
          <w:lang w:bidi="fa-IR"/>
        </w:rPr>
        <w:t xml:space="preserve"> ».</w:t>
      </w:r>
      <w:r w:rsidRPr="005D642E">
        <w:rPr>
          <w:rtl/>
          <w:lang w:bidi="fa-IR"/>
        </w:rPr>
        <w:t xml:space="preserve"> </w:t>
      </w:r>
      <w:r w:rsidRPr="007C12DB">
        <w:rPr>
          <w:rStyle w:val="libFootnotenumChar"/>
          <w:rtl/>
        </w:rPr>
        <w:t>(4)</w:t>
      </w:r>
    </w:p>
    <w:p w:rsidR="00E3253D" w:rsidRPr="005D642E" w:rsidRDefault="00E3253D" w:rsidP="00E3253D">
      <w:pPr>
        <w:pStyle w:val="libNormal"/>
        <w:rPr>
          <w:rtl/>
          <w:lang w:bidi="fa-IR"/>
        </w:rPr>
      </w:pPr>
      <w:r w:rsidRPr="009F0827">
        <w:rPr>
          <w:rtl/>
        </w:rPr>
        <w:t>4498</w:t>
      </w:r>
      <w:r w:rsidRPr="00246318">
        <w:rPr>
          <w:rStyle w:val="libBold2Char"/>
          <w:rtl/>
        </w:rPr>
        <w:t xml:space="preserve"> / 2.</w:t>
      </w:r>
      <w:r w:rsidRPr="005D642E">
        <w:rPr>
          <w:rtl/>
          <w:lang w:bidi="fa-IR"/>
        </w:rPr>
        <w:t xml:space="preserve"> أَبُو عَلِيٍّ الْأَشْعَرِيُّ ، عَنْ مُحَمَّدِ بْنِ عَبْدِ الْجَبَّارِ ، عَنْ صَفْوَانَ بْنِ يَحْيى ، عَنِ الْعَلَاءِ بْنِ رَزِينٍ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يُصَلّى </w:t>
      </w:r>
      <w:r w:rsidRPr="007C12DB">
        <w:rPr>
          <w:rStyle w:val="libFootnotenumChar"/>
          <w:rtl/>
        </w:rPr>
        <w:t>(5)</w:t>
      </w:r>
      <w:r w:rsidRPr="005D642E">
        <w:rPr>
          <w:rtl/>
          <w:lang w:bidi="fa-IR"/>
        </w:rPr>
        <w:t xml:space="preserve"> عَلَى الْجَنَازَةِ فِي كُلِّ سَاعَةٍ ؛ إِنَّهَا لَيْسَتْ بِصَلَاةِ رُكُوعٍ وَلَا </w:t>
      </w:r>
      <w:r w:rsidRPr="007C12DB">
        <w:rPr>
          <w:rStyle w:val="libFootnotenumChar"/>
          <w:rtl/>
        </w:rPr>
        <w:t>(6)</w:t>
      </w:r>
      <w:r w:rsidRPr="005D642E">
        <w:rPr>
          <w:rtl/>
          <w:lang w:bidi="fa-IR"/>
        </w:rPr>
        <w:t xml:space="preserve"> سُجُودٍ ، وَإِنَّمَا </w:t>
      </w:r>
      <w:r w:rsidRPr="007C12DB">
        <w:rPr>
          <w:rStyle w:val="libFootnotenumChar"/>
          <w:rtl/>
        </w:rPr>
        <w:t>(7)</w:t>
      </w:r>
      <w:r w:rsidRPr="005D642E">
        <w:rPr>
          <w:rtl/>
          <w:lang w:bidi="fa-IR"/>
        </w:rPr>
        <w:t xml:space="preserve"> تُكْرَهُ </w:t>
      </w:r>
      <w:r w:rsidRPr="007C12DB">
        <w:rPr>
          <w:rStyle w:val="libFootnotenumChar"/>
          <w:rtl/>
        </w:rPr>
        <w:t>(8)</w:t>
      </w:r>
      <w:r w:rsidRPr="005D642E">
        <w:rPr>
          <w:rtl/>
          <w:lang w:bidi="fa-IR"/>
        </w:rPr>
        <w:t xml:space="preserve"> الصَّلَاةُ عِنْدَ طُلُوعِ الشَّمْسِ وَعِنْدَ غُرُوبِهَا الَّتِي فِيهَا الْخُشُوعُ وَالرُّكُوعُ وَالسُّجُودُ ؛ لِأَنَّهَا تَغْرُبُ بَيْنَ قَرْنَيْ شَيْطَانٍ </w:t>
      </w:r>
      <w:r w:rsidRPr="007C12DB">
        <w:rPr>
          <w:rStyle w:val="libFootnotenumChar"/>
          <w:rtl/>
        </w:rPr>
        <w:t>(9)</w:t>
      </w:r>
      <w:r w:rsidRPr="005D642E">
        <w:rPr>
          <w:rtl/>
          <w:lang w:bidi="fa-IR"/>
        </w:rPr>
        <w:t xml:space="preserve"> ، وَتَطْلُعُ بَيْنَ قَرْنَيْ‌</w:t>
      </w:r>
    </w:p>
    <w:p w:rsidR="00E3253D" w:rsidRPr="005D642E" w:rsidRDefault="00E3253D" w:rsidP="00E3253D">
      <w:pPr>
        <w:pStyle w:val="libLine"/>
        <w:rPr>
          <w:rtl/>
          <w:lang w:bidi="fa-IR"/>
        </w:rPr>
      </w:pPr>
      <w:r w:rsidRPr="005D642E">
        <w:rPr>
          <w:rtl/>
          <w:lang w:bidi="fa-IR"/>
        </w:rPr>
        <w:t>__________________</w:t>
      </w:r>
    </w:p>
    <w:p w:rsidR="00E3253D" w:rsidRPr="005D642E" w:rsidRDefault="00FA61ED" w:rsidP="00E3253D">
      <w:pPr>
        <w:pStyle w:val="libFootnote0"/>
        <w:rPr>
          <w:rtl/>
          <w:lang w:bidi="fa-IR"/>
        </w:rPr>
      </w:pPr>
      <w:r>
        <w:rPr>
          <w:rFonts w:hint="cs"/>
          <w:rtl/>
        </w:rPr>
        <w:t xml:space="preserve">= </w:t>
      </w:r>
      <w:r w:rsidR="00E3253D" w:rsidRPr="005D642E">
        <w:rPr>
          <w:rtl/>
        </w:rPr>
        <w:t xml:space="preserve">اختلاف </w:t>
      </w:r>
      <w:r w:rsidRPr="00FA61ED">
        <w:rPr>
          <w:rStyle w:val="libFootnoteBoldChar"/>
          <w:rFonts w:hint="cs"/>
          <w:rtl/>
        </w:rPr>
        <w:t>.</w:t>
      </w:r>
      <w:r w:rsidR="00E3253D" w:rsidRPr="002F4D34">
        <w:rPr>
          <w:rStyle w:val="libFootnoteBoldChar"/>
          <w:rtl/>
        </w:rPr>
        <w:t>الوافي</w:t>
      </w:r>
      <w:r w:rsidR="00E3253D" w:rsidRPr="005D642E">
        <w:rPr>
          <w:rtl/>
        </w:rPr>
        <w:t xml:space="preserve"> ، ج 24 ، ص 421 ، ح 24372 ؛ </w:t>
      </w:r>
      <w:r w:rsidR="00E3253D" w:rsidRPr="002F4D34">
        <w:rPr>
          <w:rStyle w:val="libFootnoteBoldChar"/>
          <w:rtl/>
        </w:rPr>
        <w:t>الوسائل</w:t>
      </w:r>
      <w:r w:rsidR="00E3253D" w:rsidRPr="005D642E">
        <w:rPr>
          <w:rtl/>
        </w:rPr>
        <w:t xml:space="preserve"> ، ج 3 ، ص 112 ، ح 3166.</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 في</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بخ » وحاشية « بث » : « الجنازة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 « الجنازة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الاستبصار</w:t>
      </w:r>
      <w:r w:rsidR="00E3253D" w:rsidRPr="005D642E">
        <w:rPr>
          <w:rtl/>
        </w:rPr>
        <w:t xml:space="preserve"> ، ج 1 ، ص 469 ، ح 1813 ، معلّقاً عن الكليني. </w:t>
      </w:r>
      <w:r w:rsidR="00E3253D" w:rsidRPr="002F4D34">
        <w:rPr>
          <w:rStyle w:val="libFootnoteBoldChar"/>
          <w:rtl/>
        </w:rPr>
        <w:t>التهذيب</w:t>
      </w:r>
      <w:r w:rsidR="00E3253D" w:rsidRPr="005D642E">
        <w:rPr>
          <w:rtl/>
        </w:rPr>
        <w:t xml:space="preserve"> ، ج 3 ، ص 321 ، ح 997 ، معلّقاً عن حميد بن زياد </w:t>
      </w:r>
      <w:r w:rsidR="00FA61ED">
        <w:rPr>
          <w:rFonts w:hint="cs"/>
          <w:rtl/>
        </w:rPr>
        <w:t>.</w:t>
      </w:r>
      <w:r w:rsidR="00E3253D" w:rsidRPr="002F4D34">
        <w:rPr>
          <w:rStyle w:val="libFootnoteBoldChar"/>
          <w:rtl/>
        </w:rPr>
        <w:t>الوافي</w:t>
      </w:r>
      <w:r w:rsidR="00E3253D" w:rsidRPr="005D642E">
        <w:rPr>
          <w:rtl/>
        </w:rPr>
        <w:t xml:space="preserve"> ، ج 24 ، ص 413 ، ح 24347 ؛ </w:t>
      </w:r>
      <w:r w:rsidR="00E3253D" w:rsidRPr="002F4D34">
        <w:rPr>
          <w:rStyle w:val="libFootnoteBoldChar"/>
          <w:rtl/>
        </w:rPr>
        <w:t>الوسائل</w:t>
      </w:r>
      <w:r w:rsidR="00E3253D" w:rsidRPr="005D642E">
        <w:rPr>
          <w:rtl/>
        </w:rPr>
        <w:t xml:space="preserve"> ، ج 3 ، ص 109 ، ح 3155.</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w:t>
      </w:r>
      <w:r w:rsidR="000D749A" w:rsidRPr="00FA61ED">
        <w:rPr>
          <w:rtl/>
        </w:rPr>
        <w:t>والوافي</w:t>
      </w:r>
      <w:r w:rsidR="00E3253D" w:rsidRPr="00FA61ED">
        <w:rPr>
          <w:rtl/>
        </w:rPr>
        <w:t xml:space="preserve"> </w:t>
      </w:r>
      <w:r w:rsidR="00E3253D" w:rsidRPr="005D642E">
        <w:rPr>
          <w:rtl/>
        </w:rPr>
        <w:t xml:space="preserve">والوسائل ، ح 3154 </w:t>
      </w:r>
      <w:r w:rsidR="00B60612" w:rsidRPr="00FA61ED">
        <w:rPr>
          <w:rtl/>
        </w:rPr>
        <w:t>والتهذيب</w:t>
      </w:r>
      <w:r w:rsidR="00E3253D" w:rsidRPr="00FA61ED">
        <w:rPr>
          <w:rtl/>
        </w:rPr>
        <w:t xml:space="preserve"> والاستبصار</w:t>
      </w:r>
      <w:r w:rsidR="00FA61ED">
        <w:rPr>
          <w:rtl/>
        </w:rPr>
        <w:t>. وفي المطبوع : «</w:t>
      </w:r>
      <w:r w:rsidR="00E3253D" w:rsidRPr="005D642E">
        <w:rPr>
          <w:rtl/>
        </w:rPr>
        <w:t>تُصلّى</w:t>
      </w:r>
      <w:r w:rsidR="00E3253D">
        <w:rPr>
          <w:rtl/>
        </w:rPr>
        <w:t>».</w:t>
      </w:r>
    </w:p>
    <w:tbl>
      <w:tblPr>
        <w:tblStyle w:val="TableGrid"/>
        <w:bidiVisual/>
        <w:tblW w:w="0" w:type="auto"/>
        <w:tblLook w:val="04A0" w:firstRow="1" w:lastRow="0" w:firstColumn="1" w:lastColumn="0" w:noHBand="0" w:noVBand="1"/>
      </w:tblPr>
      <w:tblGrid>
        <w:gridCol w:w="4006"/>
        <w:gridCol w:w="4006"/>
      </w:tblGrid>
      <w:tr w:rsidR="00FA61ED" w:rsidTr="00FA61ED">
        <w:tc>
          <w:tcPr>
            <w:tcW w:w="4006" w:type="dxa"/>
          </w:tcPr>
          <w:p w:rsidR="00FA61ED" w:rsidRDefault="00FA61ED" w:rsidP="00E3253D">
            <w:pPr>
              <w:pStyle w:val="libFootnote0"/>
              <w:rPr>
                <w:rStyle w:val="libFootnote0Char"/>
                <w:rtl/>
              </w:rPr>
            </w:pPr>
            <w:r w:rsidRPr="0042621E">
              <w:rPr>
                <w:rStyle w:val="libFootnote0Char"/>
                <w:rtl/>
              </w:rPr>
              <w:t>(6).</w:t>
            </w:r>
            <w:r w:rsidRPr="005D642E">
              <w:rPr>
                <w:rtl/>
              </w:rPr>
              <w:t xml:space="preserve"> في الوسائل ، ح 3154 :</w:t>
            </w:r>
            <w:r>
              <w:rPr>
                <w:rtl/>
              </w:rPr>
              <w:t xml:space="preserve"> - </w:t>
            </w:r>
            <w:r w:rsidRPr="005D642E">
              <w:rPr>
                <w:rtl/>
              </w:rPr>
              <w:t>« لا</w:t>
            </w:r>
            <w:r>
              <w:rPr>
                <w:rtl/>
              </w:rPr>
              <w:t xml:space="preserve"> ».</w:t>
            </w:r>
          </w:p>
        </w:tc>
        <w:tc>
          <w:tcPr>
            <w:tcW w:w="4006" w:type="dxa"/>
          </w:tcPr>
          <w:p w:rsidR="00FA61ED" w:rsidRDefault="00FA61ED" w:rsidP="00E3253D">
            <w:pPr>
              <w:pStyle w:val="libFootnote0"/>
              <w:rPr>
                <w:rStyle w:val="libFootnote0Char"/>
                <w:rtl/>
              </w:rPr>
            </w:pPr>
            <w:r w:rsidRPr="0042621E">
              <w:rPr>
                <w:rStyle w:val="libFootnote0Char"/>
                <w:rtl/>
              </w:rPr>
              <w:t>(7).</w:t>
            </w:r>
            <w:r w:rsidRPr="005D642E">
              <w:rPr>
                <w:rtl/>
              </w:rPr>
              <w:t xml:space="preserve"> في « ى » : « إنّما » بدون الواو.</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بخ </w:t>
      </w:r>
      <w:r w:rsidR="00E3253D" w:rsidRPr="00FA61ED">
        <w:rPr>
          <w:rtl/>
        </w:rPr>
        <w:t>» والاستبصار</w:t>
      </w:r>
      <w:r w:rsidR="00E3253D" w:rsidRPr="005D642E">
        <w:rPr>
          <w:rtl/>
        </w:rPr>
        <w:t xml:space="preserve"> : « يكره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بح » : « الشيطان</w:t>
      </w:r>
      <w:r w:rsidR="00E3253D">
        <w:rPr>
          <w:rtl/>
        </w:rPr>
        <w:t xml:space="preserve"> ».</w:t>
      </w:r>
      <w:r w:rsidR="00E3253D" w:rsidRPr="005D642E">
        <w:rPr>
          <w:rtl/>
        </w:rPr>
        <w:t xml:space="preserve"> قال ابن الأثير : « بين قرني الشيطان ، أي ناحيتي رأسه وجانبيه. وقيل : القرن : القوّة ، أي‌حين تطلع يت</w:t>
      </w:r>
      <w:r w:rsidR="00FA61ED">
        <w:rPr>
          <w:rtl/>
        </w:rPr>
        <w:t>حرّك الشيطان ويتسلّط فيكون كالم</w:t>
      </w:r>
      <w:r w:rsidR="00FA61ED">
        <w:rPr>
          <w:rFonts w:hint="cs"/>
          <w:rtl/>
        </w:rPr>
        <w:t>ـُ</w:t>
      </w:r>
      <w:r w:rsidR="00E3253D" w:rsidRPr="005D642E">
        <w:rPr>
          <w:rtl/>
        </w:rPr>
        <w:t>عين لها. وقيل : بين قرنيه ، أي أُمّتيه الأوّلين والآخرين. وكلّ هذا تمثيل لمن يسجد للشمس عند طلوعها ، فكان الشيطان سوّل له ذلك ، فإذا سجد لها كان كأنّ الشيطان مقترن بها</w:t>
      </w:r>
      <w:r w:rsidR="00E3253D">
        <w:rPr>
          <w:rtl/>
        </w:rPr>
        <w:t>».</w:t>
      </w:r>
      <w:r w:rsidR="00E3253D" w:rsidRPr="005D642E">
        <w:rPr>
          <w:rtl/>
        </w:rPr>
        <w:t xml:space="preserve"> وقيل غير ذلك. راجع : </w:t>
      </w:r>
      <w:r w:rsidR="00E3253D" w:rsidRPr="002F4D34">
        <w:rPr>
          <w:rStyle w:val="libFootnoteBoldChar"/>
          <w:rtl/>
        </w:rPr>
        <w:t>النهاية</w:t>
      </w:r>
      <w:r w:rsidR="00E3253D" w:rsidRPr="005D642E">
        <w:rPr>
          <w:rtl/>
        </w:rPr>
        <w:t xml:space="preserve"> ، ج 4 ، ص 52 ( قرن ) ؛ </w:t>
      </w:r>
      <w:r w:rsidR="00E3253D" w:rsidRPr="002F4D34">
        <w:rPr>
          <w:rStyle w:val="libFootnoteBoldChar"/>
          <w:rtl/>
        </w:rPr>
        <w:t>مرآة العقول</w:t>
      </w:r>
      <w:r w:rsidR="00E3253D" w:rsidRPr="005D642E">
        <w:rPr>
          <w:rtl/>
        </w:rPr>
        <w:t xml:space="preserve"> ، ج 14 ، ص 46.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شَيْطَانٍ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410" w:name="_Toc344647347"/>
      <w:bookmarkStart w:id="411" w:name="_Toc462226861"/>
      <w:bookmarkStart w:id="412" w:name="_Toc40975970"/>
      <w:r w:rsidRPr="005D642E">
        <w:rPr>
          <w:rtl/>
          <w:lang w:bidi="fa-IR"/>
        </w:rPr>
        <w:t>52</w:t>
      </w:r>
      <w:r>
        <w:rPr>
          <w:rtl/>
          <w:lang w:bidi="fa-IR"/>
        </w:rPr>
        <w:t xml:space="preserve"> </w:t>
      </w:r>
      <w:r w:rsidR="007642BC">
        <w:rPr>
          <w:rtl/>
          <w:lang w:bidi="fa-IR"/>
        </w:rPr>
        <w:t>-</w:t>
      </w:r>
      <w:r>
        <w:rPr>
          <w:rtl/>
          <w:lang w:bidi="fa-IR"/>
        </w:rPr>
        <w:t xml:space="preserve"> </w:t>
      </w:r>
      <w:r w:rsidRPr="005D642E">
        <w:rPr>
          <w:rtl/>
          <w:lang w:bidi="fa-IR"/>
        </w:rPr>
        <w:t xml:space="preserve">بَابُ عِلَّةِ تَكْبِيرِ الْخَمْسِ </w:t>
      </w:r>
      <w:r w:rsidRPr="007C12DB">
        <w:rPr>
          <w:rStyle w:val="libFootnotenumChar"/>
          <w:rtl/>
        </w:rPr>
        <w:t>(3)</w:t>
      </w:r>
      <w:r>
        <w:rPr>
          <w:rtl/>
        </w:rPr>
        <w:t xml:space="preserve"> </w:t>
      </w:r>
      <w:r w:rsidRPr="005D642E">
        <w:rPr>
          <w:rtl/>
          <w:lang w:bidi="fa-IR"/>
        </w:rPr>
        <w:t xml:space="preserve">عَلَى الْجَنَائِزِ </w:t>
      </w:r>
      <w:r w:rsidRPr="007C12DB">
        <w:rPr>
          <w:rStyle w:val="libFootnotenumChar"/>
          <w:rtl/>
        </w:rPr>
        <w:t>(4)</w:t>
      </w:r>
      <w:r w:rsidRPr="005D642E">
        <w:rPr>
          <w:rtl/>
          <w:lang w:bidi="fa-IR"/>
        </w:rPr>
        <w:t xml:space="preserve"> ‌</w:t>
      </w:r>
      <w:bookmarkEnd w:id="410"/>
      <w:bookmarkEnd w:id="411"/>
      <w:bookmarkEnd w:id="412"/>
    </w:p>
    <w:p w:rsidR="00E3253D" w:rsidRPr="005D642E" w:rsidRDefault="00E3253D" w:rsidP="00E3253D">
      <w:pPr>
        <w:pStyle w:val="libNormal"/>
        <w:rPr>
          <w:rtl/>
          <w:lang w:bidi="fa-IR"/>
        </w:rPr>
      </w:pPr>
      <w:r w:rsidRPr="009F0827">
        <w:rPr>
          <w:rtl/>
        </w:rPr>
        <w:t>4499</w:t>
      </w:r>
      <w:r w:rsidRPr="00246318">
        <w:rPr>
          <w:rStyle w:val="libBold2Char"/>
          <w:rtl/>
        </w:rPr>
        <w:t xml:space="preserve"> / 1.</w:t>
      </w:r>
      <w:r w:rsidRPr="005D642E">
        <w:rPr>
          <w:rtl/>
          <w:lang w:bidi="fa-IR"/>
        </w:rPr>
        <w:t xml:space="preserve"> عَلِيُّ بْنُ إِبْرَاهِيمَ ، عَنْ أَبِيهِ رَفَعَهُ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لِمَ جُعِلَ </w:t>
      </w:r>
      <w:r w:rsidRPr="007C12DB">
        <w:rPr>
          <w:rStyle w:val="libFootnotenumChar"/>
          <w:rtl/>
        </w:rPr>
        <w:t>(5)</w:t>
      </w:r>
      <w:r w:rsidRPr="005D642E">
        <w:rPr>
          <w:rtl/>
          <w:lang w:bidi="fa-IR"/>
        </w:rPr>
        <w:t xml:space="preserve"> التَّكْبِيرُ عَلَى الْمَيِّتِ خَمْساً</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(6)</w:t>
      </w:r>
      <w:r w:rsidRPr="005D642E">
        <w:rPr>
          <w:rtl/>
          <w:lang w:bidi="fa-IR"/>
        </w:rPr>
        <w:t xml:space="preserve"> : « وَرَدَ </w:t>
      </w:r>
      <w:r w:rsidRPr="007C12DB">
        <w:rPr>
          <w:rStyle w:val="libFootnotenumChar"/>
          <w:rtl/>
        </w:rPr>
        <w:t>(7)</w:t>
      </w:r>
      <w:r w:rsidRPr="005D642E">
        <w:rPr>
          <w:rtl/>
          <w:lang w:bidi="fa-IR"/>
        </w:rPr>
        <w:t xml:space="preserve"> مِنْ كُلِّ صَلَاةٍ تَكْبِيرَةٌ </w:t>
      </w:r>
      <w:r w:rsidRPr="007C12DB">
        <w:rPr>
          <w:rStyle w:val="libFootnotenumChar"/>
          <w:rtl/>
        </w:rPr>
        <w:t>(8)</w:t>
      </w:r>
      <w:r>
        <w:rPr>
          <w:rtl/>
          <w:lang w:bidi="fa-IR"/>
        </w:rPr>
        <w:t xml:space="preserve"> ».</w:t>
      </w:r>
      <w:r w:rsidRPr="005D642E">
        <w:rPr>
          <w:rtl/>
          <w:lang w:bidi="fa-IR"/>
        </w:rPr>
        <w:t xml:space="preserve"> </w:t>
      </w:r>
      <w:r w:rsidRPr="007C12DB">
        <w:rPr>
          <w:rStyle w:val="libFootnotenumChar"/>
          <w:rtl/>
        </w:rPr>
        <w:t>(9)</w:t>
      </w:r>
    </w:p>
    <w:p w:rsidR="00E3253D" w:rsidRPr="005D642E" w:rsidRDefault="00E3253D" w:rsidP="00E3253D">
      <w:pPr>
        <w:pStyle w:val="libNormal"/>
        <w:rPr>
          <w:rtl/>
          <w:lang w:bidi="fa-IR"/>
        </w:rPr>
      </w:pPr>
      <w:r w:rsidRPr="009F0827">
        <w:rPr>
          <w:rtl/>
        </w:rPr>
        <w:t>4500</w:t>
      </w:r>
      <w:r w:rsidRPr="00246318">
        <w:rPr>
          <w:rStyle w:val="libBold2Char"/>
          <w:rtl/>
        </w:rPr>
        <w:t xml:space="preserve"> / 2.</w:t>
      </w:r>
      <w:r w:rsidRPr="005D642E">
        <w:rPr>
          <w:rtl/>
          <w:lang w:bidi="fa-IR"/>
        </w:rPr>
        <w:t xml:space="preserve"> عَلِيُّ بْنُ إِبْرَاهِيمَ ، عَنْ أَبِيهِ ، عَنِ ابْنِ أَبِي عُمَيْرٍ ، عَنْ حَمَّادِ بْنِ عُثْمَانَ وَهِشَامِ بْنِ سَالِمٍ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كَانَ رَسُولُ اللهِ </w:t>
      </w:r>
      <w:r w:rsidR="0042621E" w:rsidRPr="0042621E">
        <w:rPr>
          <w:rStyle w:val="libAlaemChar"/>
          <w:rtl/>
        </w:rPr>
        <w:t>صلى‌الله‌عليه‌وآله</w:t>
      </w:r>
      <w:r w:rsidRPr="005D642E">
        <w:rPr>
          <w:rtl/>
          <w:lang w:bidi="fa-IR"/>
        </w:rPr>
        <w:t xml:space="preserve"> يُكَبِّرُ عَلى قَوْمٍ خَمْساً ، وَعَلى قَوْمٍ‌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جس » :</w:t>
      </w:r>
      <w:r w:rsidR="00E3253D">
        <w:rPr>
          <w:rtl/>
        </w:rPr>
        <w:t xml:space="preserve"> </w:t>
      </w:r>
      <w:r w:rsidR="007642BC">
        <w:rPr>
          <w:rtl/>
        </w:rPr>
        <w:t>-</w:t>
      </w:r>
      <w:r w:rsidR="00E3253D">
        <w:rPr>
          <w:rtl/>
        </w:rPr>
        <w:t xml:space="preserve"> </w:t>
      </w:r>
      <w:r w:rsidR="00E3253D" w:rsidRPr="005D642E">
        <w:rPr>
          <w:rtl/>
        </w:rPr>
        <w:t>« وتطلع بين قرني شيطان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3 ، ص 202 ، ح 474 ، معلّقاً عن الكليني. </w:t>
      </w:r>
      <w:r w:rsidR="00E3253D" w:rsidRPr="002F4D34">
        <w:rPr>
          <w:rStyle w:val="libFootnoteBoldChar"/>
          <w:rtl/>
        </w:rPr>
        <w:t>وفيه</w:t>
      </w:r>
      <w:r w:rsidR="00E3253D" w:rsidRPr="005D642E">
        <w:rPr>
          <w:rtl/>
        </w:rPr>
        <w:t xml:space="preserve"> ، ص 321 ، ح 998 ؛ </w:t>
      </w:r>
      <w:r w:rsidR="00E3253D" w:rsidRPr="00E678B5">
        <w:rPr>
          <w:rStyle w:val="libFootnoteBoldChar"/>
          <w:rtl/>
        </w:rPr>
        <w:t>والاستبصار</w:t>
      </w:r>
      <w:r w:rsidR="00E3253D" w:rsidRPr="005D642E">
        <w:rPr>
          <w:rtl/>
        </w:rPr>
        <w:t xml:space="preserve"> ، ج 1 ، ص 470 ، ح 1814 ، معلّقاً عن أبي عليّ الأشعري. وفي </w:t>
      </w:r>
      <w:r w:rsidR="00E3253D" w:rsidRPr="002F4D34">
        <w:rPr>
          <w:rStyle w:val="libFootnoteBoldChar"/>
          <w:rtl/>
        </w:rPr>
        <w:t>التهذيب</w:t>
      </w:r>
      <w:r w:rsidR="00E3253D" w:rsidRPr="005D642E">
        <w:rPr>
          <w:rtl/>
        </w:rPr>
        <w:t xml:space="preserve"> ، ج 3 ، ص 321 ، ح 1000 ؛ </w:t>
      </w:r>
      <w:r w:rsidR="00E3253D" w:rsidRPr="00E678B5">
        <w:rPr>
          <w:rStyle w:val="libFootnoteBoldChar"/>
          <w:rtl/>
        </w:rPr>
        <w:t>والاستبصار</w:t>
      </w:r>
      <w:r w:rsidR="00E3253D" w:rsidRPr="005D642E">
        <w:rPr>
          <w:rtl/>
        </w:rPr>
        <w:t xml:space="preserve"> ، ج 1 ، ص 470 ، ح 1816 ، بسند آخر عن أبي عبدالله </w:t>
      </w:r>
      <w:r w:rsidR="00E3253D" w:rsidRPr="002C6C5B">
        <w:rPr>
          <w:rStyle w:val="libFootnoteAlaemChar"/>
          <w:rtl/>
        </w:rPr>
        <w:t>عليه‌السلام</w:t>
      </w:r>
      <w:r w:rsidR="00E3253D" w:rsidRPr="005D642E">
        <w:rPr>
          <w:rtl/>
        </w:rPr>
        <w:t xml:space="preserve"> ، وتمام الرواية هكذا : « تكره الصلاة على الجنائز حين تصفرّ الشمس وحين تطلع » </w:t>
      </w:r>
      <w:r w:rsidR="002C6C5B">
        <w:rPr>
          <w:rFonts w:hint="cs"/>
          <w:rtl/>
        </w:rPr>
        <w:t>.</w:t>
      </w:r>
      <w:r w:rsidR="00E3253D" w:rsidRPr="002F4D34">
        <w:rPr>
          <w:rStyle w:val="libFootnoteBoldChar"/>
          <w:rtl/>
        </w:rPr>
        <w:t>الوافي</w:t>
      </w:r>
      <w:r w:rsidR="00E3253D" w:rsidRPr="005D642E">
        <w:rPr>
          <w:rtl/>
        </w:rPr>
        <w:t xml:space="preserve"> ، ج 7 ، ص 347 ، ح 6070 ؛ </w:t>
      </w:r>
      <w:r w:rsidR="00E3253D" w:rsidRPr="002F4D34">
        <w:rPr>
          <w:rStyle w:val="libFootnoteBoldChar"/>
          <w:rtl/>
        </w:rPr>
        <w:t>الوسائل</w:t>
      </w:r>
      <w:r w:rsidR="00E3253D" w:rsidRPr="005D642E">
        <w:rPr>
          <w:rtl/>
        </w:rPr>
        <w:t xml:space="preserve"> ، ج 3 ، ص 108 ، ح 3154 ؛ </w:t>
      </w:r>
      <w:r w:rsidR="00E3253D" w:rsidRPr="002F4D34">
        <w:rPr>
          <w:rStyle w:val="libFootnoteBoldChar"/>
          <w:rtl/>
        </w:rPr>
        <w:t>وفيه</w:t>
      </w:r>
      <w:r w:rsidR="00E3253D" w:rsidRPr="005D642E">
        <w:rPr>
          <w:rtl/>
        </w:rPr>
        <w:t xml:space="preserve"> ، ص 90 ، ح 3102 ، إلى قوله : « بصلاة ركوع ولاسجود</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ج 14 ، ص 46 : « لعلّه اكتفى بأحد الفردين والغرض تعليل الخمس والأربع معاً ، كما يظهر من إيراده الأخبار</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غ ، بث ، بح ، بخ ، جح ، جس » : « على الجنازة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 « لِمَ جعلت</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غ ، ى ، بخ ، بس ، بف ، جح ، جس » وحاشية « جن » والوسائل : « قال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في بعض النسخ : زوّد ، مكان « ورد » من التزويد ، أي جُعل للميّت زاداً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 « تكبير</w:t>
      </w:r>
      <w:r w:rsidR="00E3253D">
        <w:rPr>
          <w:rtl/>
        </w:rPr>
        <w:t xml:space="preserve"> ».</w:t>
      </w:r>
      <w:r w:rsidR="00E3253D" w:rsidRPr="005D642E">
        <w:rPr>
          <w:rtl/>
        </w:rPr>
        <w:t xml:space="preserve"> ولم ترد هذه الرواية بتمامها في « بح</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علل الشرائع</w:t>
      </w:r>
      <w:r w:rsidR="00E3253D" w:rsidRPr="005D642E">
        <w:rPr>
          <w:rtl/>
        </w:rPr>
        <w:t xml:space="preserve"> ، ص 267 ، ضمن الحديث الطويل 9 ؛ وص 304 ، صدر ح 4 ؛ </w:t>
      </w:r>
      <w:r w:rsidR="00E3253D" w:rsidRPr="002F4D34">
        <w:rPr>
          <w:rStyle w:val="libFootnoteBoldChar"/>
          <w:rtl/>
        </w:rPr>
        <w:t>عيون الأخبار</w:t>
      </w:r>
      <w:r w:rsidR="00E3253D" w:rsidRPr="005D642E">
        <w:rPr>
          <w:rtl/>
        </w:rPr>
        <w:t xml:space="preserve"> ، ج 2 ، ص 113 ، ضمن الحديث الطويل 1 ؛ وص 82 ، صدر ح 20 ، بسند آخر عن الرضا </w:t>
      </w:r>
      <w:r w:rsidR="00E3253D" w:rsidRPr="002C6C5B">
        <w:rPr>
          <w:rStyle w:val="libFootnoteAlaemChar"/>
          <w:rtl/>
        </w:rPr>
        <w:t>عليه‌السلام</w:t>
      </w:r>
      <w:r w:rsidR="00E3253D" w:rsidRPr="005D642E">
        <w:rPr>
          <w:rtl/>
        </w:rPr>
        <w:t xml:space="preserve"> ، مع اختلاف يسير </w:t>
      </w:r>
      <w:r w:rsidR="002C6C5B">
        <w:rPr>
          <w:rFonts w:hint="cs"/>
          <w:rtl/>
        </w:rPr>
        <w:t>.</w:t>
      </w:r>
      <w:r w:rsidR="00E3253D" w:rsidRPr="002F4D34">
        <w:rPr>
          <w:rStyle w:val="libFootnoteBoldChar"/>
          <w:rtl/>
        </w:rPr>
        <w:t>الوافي</w:t>
      </w:r>
      <w:r w:rsidR="00E3253D" w:rsidRPr="005D642E">
        <w:rPr>
          <w:rtl/>
        </w:rPr>
        <w:t xml:space="preserve"> ، ج 24 ، ص 435 ، ح 24397 ؛ </w:t>
      </w:r>
      <w:r w:rsidR="00E3253D" w:rsidRPr="002F4D34">
        <w:rPr>
          <w:rStyle w:val="libFootnoteBoldChar"/>
          <w:rtl/>
        </w:rPr>
        <w:t>الوسائل</w:t>
      </w:r>
      <w:r w:rsidR="00E3253D" w:rsidRPr="005D642E">
        <w:rPr>
          <w:rtl/>
        </w:rPr>
        <w:t xml:space="preserve"> ، ج 3 ، ص 73 ، ح 3047.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آخَرِينَ أَرْبَعاً ، فَإِذَا كَبَّرَ عَلى رَجُلٍ أَرْبَعاً اتُّهِمَ » يَعْنِي بِالنِّفَاقِ.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9F0827">
        <w:rPr>
          <w:rtl/>
        </w:rPr>
        <w:t>4501</w:t>
      </w:r>
      <w:r w:rsidRPr="00246318">
        <w:rPr>
          <w:rStyle w:val="libBold2Char"/>
          <w:rtl/>
        </w:rPr>
        <w:t xml:space="preserve"> / 3.</w:t>
      </w:r>
      <w:r w:rsidRPr="005D642E">
        <w:rPr>
          <w:rtl/>
          <w:lang w:bidi="fa-IR"/>
        </w:rPr>
        <w:t xml:space="preserve"> عَلِيُّ بْنُ إِبْرَاهِيمَ ، عَنْ أَبِيهِ ، عَنِ ابْنِ أَبِي عُمَيْرٍ ، عَنْ مُحَمَّدِ بْنِ مُهَاجِرٍ ، عَنْ أُمِّهِ أُمِّ سَلَمَةَ ، قَالَتْ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كَانَ رَسُولُ اللهِ </w:t>
      </w:r>
      <w:r w:rsidR="0042621E" w:rsidRPr="0042621E">
        <w:rPr>
          <w:rStyle w:val="libAlaemChar"/>
          <w:rtl/>
        </w:rPr>
        <w:t>صلى‌الله‌عليه‌وآله</w:t>
      </w:r>
      <w:r w:rsidRPr="005D642E">
        <w:rPr>
          <w:rtl/>
          <w:lang w:bidi="fa-IR"/>
        </w:rPr>
        <w:t xml:space="preserve"> إِذَا صَلّى عَلى مَيِّتٍ ، كَبَّرَ وَتَشَهَّدَ </w:t>
      </w:r>
      <w:r w:rsidRPr="007C12DB">
        <w:rPr>
          <w:rStyle w:val="libFootnotenumChar"/>
          <w:rtl/>
        </w:rPr>
        <w:t>(2)</w:t>
      </w:r>
      <w:r w:rsidRPr="005D642E">
        <w:rPr>
          <w:rtl/>
          <w:lang w:bidi="fa-IR"/>
        </w:rPr>
        <w:t xml:space="preserve"> ، ثُمَّ كَبَّرَ ، ثُمَّ صَلّى </w:t>
      </w:r>
      <w:r w:rsidRPr="007C12DB">
        <w:rPr>
          <w:rStyle w:val="libFootnotenumChar"/>
          <w:rtl/>
        </w:rPr>
        <w:t>(3)</w:t>
      </w:r>
      <w:r w:rsidRPr="005D642E">
        <w:rPr>
          <w:rtl/>
          <w:lang w:bidi="fa-IR"/>
        </w:rPr>
        <w:t xml:space="preserve"> عَلَى الْأَنْبِيَاءِ وَدَعَا ، ثُمَّ كَبَّرَ وَدَعَا لِلْمُؤْمِنِينَ ، ثُمَّ كَبَّرَ الرَّابِعَةَ وَدَعَا لِلْمَيِّتِ ، ثُمَّ كَبَّرَ </w:t>
      </w:r>
      <w:r w:rsidRPr="007C12DB">
        <w:rPr>
          <w:rStyle w:val="libFootnotenumChar"/>
          <w:rtl/>
        </w:rPr>
        <w:t>(4)</w:t>
      </w:r>
      <w:r w:rsidRPr="005D642E">
        <w:rPr>
          <w:rtl/>
          <w:lang w:bidi="fa-IR"/>
        </w:rPr>
        <w:t xml:space="preserve"> وَانْصَرَفَ ، فَلَمَّا نَهَاهُ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عَنِ الصَّلَاةِ عَلَى الْمُنَافِقِينَ </w:t>
      </w:r>
      <w:r w:rsidRPr="007C12DB">
        <w:rPr>
          <w:rStyle w:val="libFootnotenumChar"/>
          <w:rtl/>
        </w:rPr>
        <w:t>(5)</w:t>
      </w:r>
      <w:r w:rsidRPr="005D642E">
        <w:rPr>
          <w:rtl/>
          <w:lang w:bidi="fa-IR"/>
        </w:rPr>
        <w:t xml:space="preserve"> ، كَبَّرَ وَتَشَهَّدَ </w:t>
      </w:r>
      <w:r w:rsidRPr="007C12DB">
        <w:rPr>
          <w:rStyle w:val="libFootnotenumChar"/>
          <w:rtl/>
        </w:rPr>
        <w:t>(6)</w:t>
      </w:r>
      <w:r w:rsidRPr="005D642E">
        <w:rPr>
          <w:rtl/>
          <w:lang w:bidi="fa-IR"/>
        </w:rPr>
        <w:t xml:space="preserve"> ، ثُمَّ كَبَّرَ وَصَلّى </w:t>
      </w:r>
      <w:r w:rsidRPr="007C12DB">
        <w:rPr>
          <w:rStyle w:val="libFootnotenumChar"/>
          <w:rtl/>
        </w:rPr>
        <w:t>(7)</w:t>
      </w:r>
      <w:r w:rsidRPr="005D642E">
        <w:rPr>
          <w:rtl/>
          <w:lang w:bidi="fa-IR"/>
        </w:rPr>
        <w:t xml:space="preserve"> عَلَى النَّبِيِّينَ</w:t>
      </w:r>
      <w:r>
        <w:rPr>
          <w:rtl/>
          <w:lang w:bidi="fa-IR"/>
        </w:rPr>
        <w:t xml:space="preserve"> </w:t>
      </w:r>
      <w:r w:rsidR="007642BC">
        <w:rPr>
          <w:rtl/>
          <w:lang w:bidi="fa-IR"/>
        </w:rPr>
        <w:t>-</w:t>
      </w:r>
      <w:r>
        <w:rPr>
          <w:rtl/>
          <w:lang w:bidi="fa-IR"/>
        </w:rPr>
        <w:t xml:space="preserve"> </w:t>
      </w:r>
      <w:r w:rsidRPr="005D642E">
        <w:rPr>
          <w:rtl/>
          <w:lang w:bidi="fa-IR"/>
        </w:rPr>
        <w:t>صَلَّى اللهُ عَلَيْهِمْ</w:t>
      </w:r>
      <w:r>
        <w:rPr>
          <w:rtl/>
          <w:lang w:bidi="fa-IR"/>
        </w:rPr>
        <w:t xml:space="preserve"> </w:t>
      </w:r>
      <w:r w:rsidR="007642BC">
        <w:rPr>
          <w:rtl/>
          <w:lang w:bidi="fa-IR"/>
        </w:rPr>
        <w:t>-</w:t>
      </w:r>
      <w:r>
        <w:rPr>
          <w:rtl/>
          <w:lang w:bidi="fa-IR"/>
        </w:rPr>
        <w:t xml:space="preserve"> </w:t>
      </w:r>
      <w:r w:rsidRPr="005D642E">
        <w:rPr>
          <w:rtl/>
          <w:lang w:bidi="fa-IR"/>
        </w:rPr>
        <w:t>، ثُمَّ كَبَّرَ وَدَعَا لِلْمُؤْمِنِينَ ، ثُمَّ كَبَّرَ الرَّابِعَةَ وَانْصَرَفَ ، وَلَمْ يَدْعُ لِلْمَيِّتِ</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9F0827">
        <w:rPr>
          <w:rtl/>
        </w:rPr>
        <w:t>4502</w:t>
      </w:r>
      <w:r w:rsidRPr="00246318">
        <w:rPr>
          <w:rStyle w:val="libBold2Char"/>
          <w:rtl/>
        </w:rPr>
        <w:t xml:space="preserve"> / 4.</w:t>
      </w:r>
      <w:r w:rsidRPr="005D642E">
        <w:rPr>
          <w:rtl/>
          <w:lang w:bidi="fa-IR"/>
        </w:rPr>
        <w:t xml:space="preserve"> مُحَمَّدُ بْنُ يَحْيى ، عَنْ مُحَمَّدِ بْنِ أَحْمَدَ ، عَنْ بَعْضِ أَصْحَابِهِ ، عَنْ سُلَيْمَانَ بْنِ‌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3 ، ص 197 ، ح 454 ، معلّقاً عن الكليني. </w:t>
      </w:r>
      <w:r w:rsidR="00E3253D" w:rsidRPr="002F4D34">
        <w:rPr>
          <w:rStyle w:val="libFootnoteBoldChar"/>
          <w:rtl/>
        </w:rPr>
        <w:t>علل الشرائع</w:t>
      </w:r>
      <w:r w:rsidR="00E3253D" w:rsidRPr="005D642E">
        <w:rPr>
          <w:rtl/>
        </w:rPr>
        <w:t xml:space="preserve"> ، ص 303 ، ح 2 ، بسنده عن عليّ بن إبراهيم ، عن أبيه ، عن ابن أبي عمير ، عن هشام بن سالم. وفي </w:t>
      </w:r>
      <w:r w:rsidR="00E3253D" w:rsidRPr="002F4D34">
        <w:rPr>
          <w:rStyle w:val="libFootnoteBoldChar"/>
          <w:rtl/>
        </w:rPr>
        <w:t>التهذيب</w:t>
      </w:r>
      <w:r w:rsidR="00E3253D" w:rsidRPr="005D642E">
        <w:rPr>
          <w:rtl/>
        </w:rPr>
        <w:t xml:space="preserve"> ، ج 3 ، ص 317 ، ح 982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475 ، ح 1839 ، بسندهما عن محمّد بن أبي عمير ، وفي الثلاثة الأخيرة مع اختلاف يسير. </w:t>
      </w:r>
      <w:r w:rsidR="00E3253D" w:rsidRPr="002F4D34">
        <w:rPr>
          <w:rStyle w:val="libFootnoteBoldChar"/>
          <w:rtl/>
        </w:rPr>
        <w:t>الجعفريّات</w:t>
      </w:r>
      <w:r w:rsidR="00E3253D" w:rsidRPr="005D642E">
        <w:rPr>
          <w:rtl/>
        </w:rPr>
        <w:t xml:space="preserve"> ، ص 209 ، بسند آخر عن أبي عبدالله ، عن أبيه </w:t>
      </w:r>
      <w:r w:rsidR="00E3253D" w:rsidRPr="002C6C5B">
        <w:rPr>
          <w:rStyle w:val="libFootnoteAlaemChar"/>
          <w:rtl/>
        </w:rPr>
        <w:t>عليهما‌السلام</w:t>
      </w:r>
      <w:r w:rsidR="00E3253D" w:rsidRPr="005D642E">
        <w:rPr>
          <w:rtl/>
        </w:rPr>
        <w:t xml:space="preserve"> وتمام الرواية فيه : « أنّ عليّاً </w:t>
      </w:r>
      <w:r w:rsidR="00E3253D" w:rsidRPr="002C6C5B">
        <w:rPr>
          <w:rStyle w:val="libFootnoteAlaemChar"/>
          <w:rtl/>
        </w:rPr>
        <w:t>عليه‌السلام</w:t>
      </w:r>
      <w:r w:rsidR="00E3253D" w:rsidRPr="005D642E">
        <w:rPr>
          <w:rtl/>
        </w:rPr>
        <w:t xml:space="preserve"> ، كان يكبّر على الجنائز خمساً وأربعاً</w:t>
      </w:r>
      <w:r w:rsidR="00E3253D">
        <w:rPr>
          <w:rtl/>
        </w:rPr>
        <w:t xml:space="preserve"> ».</w:t>
      </w:r>
      <w:r w:rsidR="00E3253D" w:rsidRPr="005D642E">
        <w:rPr>
          <w:rtl/>
        </w:rPr>
        <w:t xml:space="preserve"> </w:t>
      </w:r>
      <w:r w:rsidR="00E3253D" w:rsidRPr="002C6C5B">
        <w:rPr>
          <w:rStyle w:val="libFootnoteBoldChar"/>
          <w:rtl/>
        </w:rPr>
        <w:t>وا</w:t>
      </w:r>
      <w:r w:rsidR="00E3253D" w:rsidRPr="002F4D34">
        <w:rPr>
          <w:rStyle w:val="libFootnoteBoldChar"/>
          <w:rtl/>
        </w:rPr>
        <w:t>لمقنعة</w:t>
      </w:r>
      <w:r w:rsidR="00E3253D" w:rsidRPr="005D642E">
        <w:rPr>
          <w:rtl/>
        </w:rPr>
        <w:t xml:space="preserve"> ، ص 230 ، مرسلاً عن الصادقين </w:t>
      </w:r>
      <w:r w:rsidR="00E3253D" w:rsidRPr="002C6C5B">
        <w:rPr>
          <w:rStyle w:val="libFootnoteAlaemChar"/>
          <w:rtl/>
        </w:rPr>
        <w:t>عليهما‌السلام</w:t>
      </w:r>
      <w:r w:rsidR="00E3253D" w:rsidRPr="005D642E">
        <w:rPr>
          <w:rtl/>
        </w:rPr>
        <w:t xml:space="preserve"> ، مع اختلاف يسير </w:t>
      </w:r>
      <w:r w:rsidR="002C6C5B">
        <w:rPr>
          <w:rFonts w:hint="cs"/>
          <w:rtl/>
        </w:rPr>
        <w:t>.</w:t>
      </w:r>
      <w:r w:rsidR="00E3253D" w:rsidRPr="002F4D34">
        <w:rPr>
          <w:rStyle w:val="libFootnoteBoldChar"/>
          <w:rtl/>
        </w:rPr>
        <w:t>الوافي</w:t>
      </w:r>
      <w:r w:rsidR="00E3253D" w:rsidRPr="005D642E">
        <w:rPr>
          <w:rtl/>
        </w:rPr>
        <w:t xml:space="preserve"> ، ج 24 ، ص 436 ، ح 24400 ؛ </w:t>
      </w:r>
      <w:r w:rsidR="00E3253D" w:rsidRPr="002F4D34">
        <w:rPr>
          <w:rStyle w:val="libFootnoteBoldChar"/>
          <w:rtl/>
        </w:rPr>
        <w:t>الوسائل</w:t>
      </w:r>
      <w:r w:rsidR="00E3253D" w:rsidRPr="005D642E">
        <w:rPr>
          <w:rtl/>
        </w:rPr>
        <w:t xml:space="preserve"> ، ج 3 ، ص 72 ، ح 3046 ؛ </w:t>
      </w:r>
      <w:r w:rsidR="00E3253D" w:rsidRPr="002F4D34">
        <w:rPr>
          <w:rStyle w:val="libFootnoteBoldChar"/>
          <w:rtl/>
        </w:rPr>
        <w:t>البحار</w:t>
      </w:r>
      <w:r w:rsidR="00E3253D" w:rsidRPr="005D642E">
        <w:rPr>
          <w:rtl/>
        </w:rPr>
        <w:t xml:space="preserve"> ، ج 22 ، ص 135 ، ح 119.</w:t>
      </w:r>
    </w:p>
    <w:p w:rsidR="00E3253D" w:rsidRPr="005D642E" w:rsidRDefault="0042621E" w:rsidP="002C6C5B">
      <w:pPr>
        <w:pStyle w:val="libFootnote0"/>
        <w:rPr>
          <w:rtl/>
          <w:lang w:bidi="fa-IR"/>
        </w:rPr>
      </w:pPr>
      <w:r w:rsidRPr="0042621E">
        <w:rPr>
          <w:rStyle w:val="libFootnote0Char"/>
          <w:rtl/>
        </w:rPr>
        <w:t>(2).</w:t>
      </w:r>
      <w:r w:rsidR="00E3253D" w:rsidRPr="005D642E">
        <w:rPr>
          <w:rtl/>
        </w:rPr>
        <w:t xml:space="preserve"> في « بث ، بف » </w:t>
      </w:r>
      <w:r w:rsidR="000D749A" w:rsidRPr="000D749A">
        <w:rPr>
          <w:rStyle w:val="libFootnoteBoldChar"/>
          <w:rtl/>
        </w:rPr>
        <w:t>والوافي</w:t>
      </w:r>
      <w:r w:rsidR="00E3253D" w:rsidRPr="005D642E">
        <w:rPr>
          <w:rtl/>
        </w:rPr>
        <w:t xml:space="preserve"> </w:t>
      </w:r>
      <w:r w:rsidR="009E68BB" w:rsidRPr="009E68BB">
        <w:rPr>
          <w:rStyle w:val="libFootnoteBoldChar"/>
          <w:rtl/>
        </w:rPr>
        <w:t>و</w:t>
      </w:r>
      <w:r w:rsidR="002C6C5B">
        <w:rPr>
          <w:rStyle w:val="libFootnoteBoldChar"/>
          <w:rFonts w:hint="cs"/>
          <w:rtl/>
        </w:rPr>
        <w:t>الفقيه</w:t>
      </w:r>
      <w:r w:rsidR="00E3253D" w:rsidRPr="005D642E">
        <w:rPr>
          <w:rtl/>
        </w:rPr>
        <w:t xml:space="preserve"> </w:t>
      </w:r>
      <w:r w:rsidR="009E68BB" w:rsidRPr="009E68BB">
        <w:rPr>
          <w:rStyle w:val="libFootnoteBoldChar"/>
          <w:rtl/>
        </w:rPr>
        <w:t>وتفسير العيّاشي</w:t>
      </w:r>
      <w:r w:rsidR="00E3253D" w:rsidRPr="005D642E">
        <w:rPr>
          <w:rtl/>
        </w:rPr>
        <w:t xml:space="preserve"> والعلل : « فتشهّد</w:t>
      </w:r>
      <w:r w:rsidR="00E3253D">
        <w:rPr>
          <w:rtl/>
        </w:rPr>
        <w:t xml:space="preserve"> ».</w:t>
      </w:r>
    </w:p>
    <w:p w:rsidR="00E3253D" w:rsidRPr="005D642E" w:rsidRDefault="0042621E" w:rsidP="002C6C5B">
      <w:pPr>
        <w:pStyle w:val="libFootnote0"/>
        <w:rPr>
          <w:rtl/>
          <w:lang w:bidi="fa-IR"/>
        </w:rPr>
      </w:pPr>
      <w:r w:rsidRPr="0042621E">
        <w:rPr>
          <w:rStyle w:val="libFootnote0Char"/>
          <w:rtl/>
        </w:rPr>
        <w:t>(3).</w:t>
      </w:r>
      <w:r w:rsidR="00E3253D" w:rsidRPr="005D642E">
        <w:rPr>
          <w:rtl/>
        </w:rPr>
        <w:t xml:space="preserve"> في « بخ ، بف » </w:t>
      </w:r>
      <w:r w:rsidR="000D749A" w:rsidRPr="000D749A">
        <w:rPr>
          <w:rStyle w:val="libFootnoteBoldChar"/>
          <w:rtl/>
        </w:rPr>
        <w:t>والوافي</w:t>
      </w:r>
      <w:r w:rsidR="00E3253D" w:rsidRPr="005D642E">
        <w:rPr>
          <w:rtl/>
        </w:rPr>
        <w:t xml:space="preserve"> </w:t>
      </w:r>
      <w:r w:rsidR="009E68BB" w:rsidRPr="009E68BB">
        <w:rPr>
          <w:rStyle w:val="libFootnoteBoldChar"/>
          <w:rtl/>
        </w:rPr>
        <w:t>و</w:t>
      </w:r>
      <w:r w:rsidR="002C6C5B">
        <w:rPr>
          <w:rStyle w:val="libFootnoteBoldChar"/>
          <w:rFonts w:hint="cs"/>
          <w:rtl/>
        </w:rPr>
        <w:t>الفقيه</w:t>
      </w:r>
      <w:r w:rsidR="00E3253D" w:rsidRPr="005D642E">
        <w:rPr>
          <w:rtl/>
        </w:rPr>
        <w:t xml:space="preserve"> </w:t>
      </w:r>
      <w:r w:rsidR="00B60612" w:rsidRPr="00B60612">
        <w:rPr>
          <w:rStyle w:val="libFootnoteBoldChar"/>
          <w:rtl/>
        </w:rPr>
        <w:t>والتهذيب</w:t>
      </w:r>
      <w:r w:rsidR="00E3253D" w:rsidRPr="005D642E">
        <w:rPr>
          <w:rtl/>
        </w:rPr>
        <w:t xml:space="preserve"> </w:t>
      </w:r>
      <w:r w:rsidR="009E68BB" w:rsidRPr="009E68BB">
        <w:rPr>
          <w:rStyle w:val="libFootnoteBoldChar"/>
          <w:rtl/>
        </w:rPr>
        <w:t>وتفسير العيّاشي</w:t>
      </w:r>
      <w:r w:rsidR="00E3253D" w:rsidRPr="005D642E">
        <w:rPr>
          <w:rtl/>
        </w:rPr>
        <w:t xml:space="preserve"> والعلل : « فصلّى</w:t>
      </w:r>
      <w:r w:rsidR="00E3253D">
        <w:rPr>
          <w:rtl/>
        </w:rPr>
        <w:t xml:space="preserve"> ».</w:t>
      </w:r>
      <w:r w:rsidR="00E3253D" w:rsidRPr="005D642E">
        <w:rPr>
          <w:rtl/>
        </w:rPr>
        <w:t xml:space="preserve"> وفي الوسائل : « وصلّى</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ظ ، بخ » والوسائل : + « الخامسة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2C6C5B">
        <w:rPr>
          <w:rStyle w:val="libFootnoteAlaemChar"/>
          <w:rtl/>
        </w:rPr>
        <w:t>عليه‌السلام</w:t>
      </w:r>
      <w:r w:rsidR="00E3253D" w:rsidRPr="005D642E">
        <w:rPr>
          <w:rtl/>
        </w:rPr>
        <w:t xml:space="preserve"> : فلمّا نهاه الله عن الصلاة على المنافقين ، أي الدعاء لهم ؛ لأنّه </w:t>
      </w:r>
      <w:r w:rsidR="00E3253D" w:rsidRPr="00124A22">
        <w:rPr>
          <w:rStyle w:val="libFootnoteAlaemChar"/>
          <w:rtl/>
        </w:rPr>
        <w:t>عليه‌السلام</w:t>
      </w:r>
      <w:r w:rsidR="00E3253D" w:rsidRPr="005D642E">
        <w:rPr>
          <w:rtl/>
        </w:rPr>
        <w:t xml:space="preserve"> ذكر بعد ذلك</w:t>
      </w:r>
      <w:r w:rsidR="00124A22">
        <w:rPr>
          <w:rFonts w:hint="cs"/>
          <w:rtl/>
        </w:rPr>
        <w:t xml:space="preserve"> </w:t>
      </w:r>
      <w:r w:rsidR="00E3253D" w:rsidRPr="005D642E">
        <w:rPr>
          <w:rtl/>
        </w:rPr>
        <w:t xml:space="preserve">‌الصلاةَ وقال : ولم يدع للميّت ، وإن احتمل أن يكون المراد النهي عن الصلاة الكاملة المعهودة التي كان </w:t>
      </w:r>
      <w:r w:rsidRPr="002C6C5B">
        <w:rPr>
          <w:rStyle w:val="libFootnoteAlaemChar"/>
          <w:rtl/>
        </w:rPr>
        <w:t>صلى‌الله‌عليه‌وآله</w:t>
      </w:r>
      <w:r w:rsidR="00E3253D" w:rsidRPr="005D642E">
        <w:rPr>
          <w:rtl/>
        </w:rPr>
        <w:t xml:space="preserve"> يأتي بها للمؤمنين ، بل أمره بنقصها. والأوّل أظهر</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بف » </w:t>
      </w:r>
      <w:r w:rsidR="000D749A" w:rsidRPr="000D749A">
        <w:rPr>
          <w:rStyle w:val="libFootnoteBoldChar"/>
          <w:rtl/>
        </w:rPr>
        <w:t>والوافي</w:t>
      </w:r>
      <w:r w:rsidR="00E3253D" w:rsidRPr="005D642E">
        <w:rPr>
          <w:rtl/>
        </w:rPr>
        <w:t xml:space="preserve"> : « فتشهّد</w:t>
      </w:r>
      <w:r w:rsidR="00E3253D">
        <w:rPr>
          <w:rtl/>
        </w:rPr>
        <w:t xml:space="preserve"> ».</w:t>
      </w:r>
    </w:p>
    <w:p w:rsidR="00E3253D" w:rsidRPr="005D642E" w:rsidRDefault="0042621E" w:rsidP="00124A22">
      <w:pPr>
        <w:pStyle w:val="libFootnote0"/>
        <w:rPr>
          <w:rtl/>
          <w:lang w:bidi="fa-IR"/>
        </w:rPr>
      </w:pPr>
      <w:r w:rsidRPr="0042621E">
        <w:rPr>
          <w:rStyle w:val="libFootnote0Char"/>
          <w:rtl/>
        </w:rPr>
        <w:t>(7).</w:t>
      </w:r>
      <w:r w:rsidR="00E3253D" w:rsidRPr="005D642E">
        <w:rPr>
          <w:rtl/>
        </w:rPr>
        <w:t xml:space="preserve"> في « بف » </w:t>
      </w:r>
      <w:r w:rsidR="000D749A" w:rsidRPr="000D749A">
        <w:rPr>
          <w:rStyle w:val="libFootnoteBoldChar"/>
          <w:rtl/>
        </w:rPr>
        <w:t>والوافي</w:t>
      </w:r>
      <w:r w:rsidR="00E3253D" w:rsidRPr="005D642E">
        <w:rPr>
          <w:rtl/>
        </w:rPr>
        <w:t xml:space="preserve"> </w:t>
      </w:r>
      <w:r w:rsidR="009E68BB" w:rsidRPr="009E68BB">
        <w:rPr>
          <w:rStyle w:val="libFootnoteBoldChar"/>
          <w:rtl/>
        </w:rPr>
        <w:t>و</w:t>
      </w:r>
      <w:r w:rsidR="00124A22">
        <w:rPr>
          <w:rStyle w:val="libFootnoteBoldChar"/>
          <w:rFonts w:hint="cs"/>
          <w:rtl/>
        </w:rPr>
        <w:t>الفقيه</w:t>
      </w:r>
      <w:r w:rsidR="00E3253D" w:rsidRPr="005D642E">
        <w:rPr>
          <w:rtl/>
        </w:rPr>
        <w:t xml:space="preserve"> </w:t>
      </w:r>
      <w:r w:rsidR="00B60612" w:rsidRPr="00B60612">
        <w:rPr>
          <w:rStyle w:val="libFootnoteBoldChar"/>
          <w:rtl/>
        </w:rPr>
        <w:t>والتهذيب</w:t>
      </w:r>
      <w:r w:rsidR="00E3253D" w:rsidRPr="005D642E">
        <w:rPr>
          <w:rtl/>
        </w:rPr>
        <w:t xml:space="preserve"> والعلل : « فصلّى</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189 ، ح 431 ، معلّقاً عن الكليني. </w:t>
      </w:r>
      <w:r w:rsidR="00E3253D" w:rsidRPr="002F4D34">
        <w:rPr>
          <w:rStyle w:val="libFootnoteBoldChar"/>
          <w:rtl/>
        </w:rPr>
        <w:t>علل الشرائع</w:t>
      </w:r>
      <w:r w:rsidR="00E3253D" w:rsidRPr="005D642E">
        <w:rPr>
          <w:rtl/>
        </w:rPr>
        <w:t xml:space="preserve"> ، ص 303 ، ح 3 ، بسنده عن ابن أبي عمير. </w:t>
      </w:r>
      <w:r w:rsidR="00E3253D" w:rsidRPr="002F4D34">
        <w:rPr>
          <w:rStyle w:val="libFootnoteBoldChar"/>
          <w:rtl/>
        </w:rPr>
        <w:t>تفسير العيّاشي</w:t>
      </w:r>
      <w:r w:rsidR="00E3253D" w:rsidRPr="005D642E">
        <w:rPr>
          <w:rtl/>
        </w:rPr>
        <w:t xml:space="preserve"> ، ج 2 ، ص 102 ، ذيل ح 96 ، عن محمّد بن مهاجر. </w:t>
      </w:r>
      <w:r w:rsidR="00E3253D" w:rsidRPr="002F4D34">
        <w:rPr>
          <w:rStyle w:val="libFootnoteBoldChar"/>
          <w:rtl/>
        </w:rPr>
        <w:t>الفقيه</w:t>
      </w:r>
      <w:r w:rsidR="00E3253D" w:rsidRPr="005D642E">
        <w:rPr>
          <w:rtl/>
        </w:rPr>
        <w:t xml:space="preserve"> ، ج 1 ، ص 163 ، ح 466 ، مرسلاً ، وفي الثلاثه الأخيرة مع اختلاف يسير </w:t>
      </w:r>
      <w:r w:rsidR="00124A22">
        <w:rPr>
          <w:rFonts w:hint="cs"/>
          <w:rtl/>
        </w:rPr>
        <w:t>.</w:t>
      </w:r>
      <w:r w:rsidR="00E3253D" w:rsidRPr="002F4D34">
        <w:rPr>
          <w:rStyle w:val="libFootnoteBoldChar"/>
          <w:rtl/>
        </w:rPr>
        <w:t>الوافي</w:t>
      </w:r>
      <w:r w:rsidR="00E3253D" w:rsidRPr="005D642E">
        <w:rPr>
          <w:rtl/>
        </w:rPr>
        <w:t xml:space="preserve"> ، ج 24 ، ص 437 ، ح 24401 ؛ </w:t>
      </w:r>
      <w:r w:rsidR="00E3253D" w:rsidRPr="002F4D34">
        <w:rPr>
          <w:rStyle w:val="libFootnoteBoldChar"/>
          <w:rtl/>
        </w:rPr>
        <w:t>الوسائل</w:t>
      </w:r>
      <w:r w:rsidR="00E3253D" w:rsidRPr="005D642E">
        <w:rPr>
          <w:rtl/>
        </w:rPr>
        <w:t xml:space="preserve"> ، ج 3 ، ص 60 ، ح 3021.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جَعْفَرٍ الْجَعْفَرِيِّ ، عَنْ أَبِيهِ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إِنَّ اللهَ</w:t>
      </w:r>
      <w:r>
        <w:rPr>
          <w:rtl/>
          <w:lang w:bidi="fa-IR"/>
        </w:rPr>
        <w:t xml:space="preserve"> </w:t>
      </w:r>
      <w:r w:rsidR="007642BC">
        <w:rPr>
          <w:rtl/>
          <w:lang w:bidi="fa-IR"/>
        </w:rPr>
        <w:t>-</w:t>
      </w:r>
      <w:r>
        <w:rPr>
          <w:rtl/>
          <w:lang w:bidi="fa-IR"/>
        </w:rPr>
        <w:t xml:space="preserve"> </w:t>
      </w:r>
      <w:r w:rsidRPr="005D642E">
        <w:rPr>
          <w:rtl/>
          <w:lang w:bidi="fa-IR"/>
        </w:rPr>
        <w:t>تَبَارَكَ وَتَعَالى</w:t>
      </w:r>
      <w:r>
        <w:rPr>
          <w:rtl/>
          <w:lang w:bidi="fa-IR"/>
        </w:rPr>
        <w:t xml:space="preserve"> </w:t>
      </w:r>
      <w:r w:rsidR="007642BC">
        <w:rPr>
          <w:rtl/>
          <w:lang w:bidi="fa-IR"/>
        </w:rPr>
        <w:t>-</w:t>
      </w:r>
      <w:r>
        <w:rPr>
          <w:rtl/>
          <w:lang w:bidi="fa-IR"/>
        </w:rPr>
        <w:t xml:space="preserve"> </w:t>
      </w:r>
      <w:r w:rsidRPr="005D642E">
        <w:rPr>
          <w:rtl/>
          <w:lang w:bidi="fa-IR"/>
        </w:rPr>
        <w:t>فَرَضَ الصَّلَاةَ خَمْساً ، وَجَعَلَ لِلْمَيِّتِ مِنْ كُلِّ صَلَاةٍ تَكْبِيرَةً</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9F0827">
        <w:rPr>
          <w:rtl/>
        </w:rPr>
        <w:t>4503</w:t>
      </w:r>
      <w:r w:rsidRPr="00246318">
        <w:rPr>
          <w:rStyle w:val="libBold2Char"/>
          <w:rtl/>
        </w:rPr>
        <w:t xml:space="preserve"> / 5.</w:t>
      </w:r>
      <w:r w:rsidRPr="005D642E">
        <w:rPr>
          <w:rtl/>
          <w:lang w:bidi="fa-IR"/>
        </w:rPr>
        <w:t xml:space="preserve"> عِدَّةٌ مِنْ أَصْحَابِنَا ، عَنْ أَحْمَدَ بْنِ مُحَمَّدٍ ، عَنْ عَلِيِّ بْنِ الْحَكَمِ ، عَنْ عُثْمَانَ بْنِ</w:t>
      </w:r>
      <w:r>
        <w:rPr>
          <w:rFonts w:hint="cs"/>
          <w:rtl/>
          <w:lang w:bidi="fa-IR"/>
        </w:rPr>
        <w:t xml:space="preserve"> </w:t>
      </w:r>
      <w:r w:rsidRPr="005D642E">
        <w:rPr>
          <w:rtl/>
          <w:lang w:bidi="fa-IR"/>
        </w:rPr>
        <w:t>عَبْدِ الْمَلِكِ الْحَضْرَمِيِّ ، عَنْ أَبِي بَكْرٍ الْحَضْرَمِيِّ ، قَالَ :</w:t>
      </w:r>
    </w:p>
    <w:p w:rsidR="00E3253D" w:rsidRPr="005D642E" w:rsidRDefault="00E3253D" w:rsidP="00E3253D">
      <w:pPr>
        <w:pStyle w:val="libNormal"/>
        <w:rPr>
          <w:rtl/>
          <w:lang w:bidi="fa-IR"/>
        </w:rPr>
      </w:pPr>
      <w:r w:rsidRPr="005D642E">
        <w:rPr>
          <w:rtl/>
          <w:lang w:bidi="fa-IR"/>
        </w:rPr>
        <w:t xml:space="preserve">قَالَ أَبُو جَعْفَرٍ </w:t>
      </w:r>
      <w:r w:rsidRPr="00AC51C5">
        <w:rPr>
          <w:rStyle w:val="libAlaemChar"/>
          <w:rtl/>
        </w:rPr>
        <w:t>عليه‌السلام</w:t>
      </w:r>
      <w:r w:rsidRPr="005D642E">
        <w:rPr>
          <w:rtl/>
          <w:lang w:bidi="fa-IR"/>
        </w:rPr>
        <w:t xml:space="preserve"> : « يَا أَبَا بَكْرٍ </w:t>
      </w:r>
      <w:r w:rsidRPr="007C12DB">
        <w:rPr>
          <w:rStyle w:val="libFootnotenumChar"/>
          <w:rtl/>
        </w:rPr>
        <w:t>(2)</w:t>
      </w:r>
      <w:r w:rsidRPr="005D642E">
        <w:rPr>
          <w:rtl/>
          <w:lang w:bidi="fa-IR"/>
        </w:rPr>
        <w:t xml:space="preserve"> ، تَدْرِي </w:t>
      </w:r>
      <w:r w:rsidRPr="007C12DB">
        <w:rPr>
          <w:rStyle w:val="libFootnotenumChar"/>
          <w:rtl/>
        </w:rPr>
        <w:t>(3)</w:t>
      </w:r>
      <w:r w:rsidRPr="005D642E">
        <w:rPr>
          <w:rtl/>
          <w:lang w:bidi="fa-IR"/>
        </w:rPr>
        <w:t xml:space="preserve"> كَمِ الصَّلَاةُ عَلَى الْمَيِّتِ</w:t>
      </w:r>
      <w:r>
        <w:rPr>
          <w:rtl/>
          <w:lang w:bidi="fa-IR"/>
        </w:rPr>
        <w:t>؟</w:t>
      </w:r>
      <w:r w:rsidRPr="005D642E">
        <w:rPr>
          <w:rtl/>
          <w:lang w:bidi="fa-IR"/>
        </w:rPr>
        <w:t xml:space="preserve"> » قُلْتُ : لَا ، قَالَ :</w:t>
      </w:r>
      <w:r>
        <w:rPr>
          <w:rFonts w:hint="cs"/>
          <w:rtl/>
          <w:lang w:bidi="fa-IR"/>
        </w:rPr>
        <w:t xml:space="preserve"> </w:t>
      </w:r>
      <w:r w:rsidRPr="005D642E">
        <w:rPr>
          <w:rtl/>
          <w:lang w:bidi="fa-IR"/>
        </w:rPr>
        <w:t xml:space="preserve">« خَمْسُ تَكْبِيرَاتٍ ؛ فَتَدْرِي </w:t>
      </w:r>
      <w:r w:rsidRPr="007C12DB">
        <w:rPr>
          <w:rStyle w:val="libFootnotenumChar"/>
          <w:rtl/>
        </w:rPr>
        <w:t>(4)</w:t>
      </w:r>
      <w:r w:rsidRPr="005D642E">
        <w:rPr>
          <w:rtl/>
          <w:lang w:bidi="fa-IR"/>
        </w:rPr>
        <w:t xml:space="preserve"> مِنْ أَيْنَ أُخِذَتِ الْخَمْسُ </w:t>
      </w:r>
      <w:r w:rsidRPr="007C12DB">
        <w:rPr>
          <w:rStyle w:val="libFootnotenumChar"/>
          <w:rtl/>
        </w:rPr>
        <w:t>(5)</w:t>
      </w:r>
      <w:r>
        <w:rPr>
          <w:rtl/>
          <w:lang w:bidi="fa-IR"/>
        </w:rPr>
        <w:t>؟</w:t>
      </w:r>
      <w:r w:rsidRPr="005D642E">
        <w:rPr>
          <w:rtl/>
          <w:lang w:bidi="fa-IR"/>
        </w:rPr>
        <w:t xml:space="preserve"> » قُلْتُ : لَا ، قَالَ : « أُخِذَتِ الْخَمْسُ </w:t>
      </w:r>
      <w:r w:rsidRPr="007C12DB">
        <w:rPr>
          <w:rStyle w:val="libFootnotenumChar"/>
          <w:rtl/>
        </w:rPr>
        <w:t>(6)</w:t>
      </w:r>
      <w:r w:rsidRPr="005D642E">
        <w:rPr>
          <w:rtl/>
          <w:lang w:bidi="fa-IR"/>
        </w:rPr>
        <w:t xml:space="preserve"> تَكْبِيرَاتٍ مِنَ الْخَمْسِ </w:t>
      </w:r>
      <w:r w:rsidRPr="007C12DB">
        <w:rPr>
          <w:rStyle w:val="libFootnotenumChar"/>
          <w:rtl/>
        </w:rPr>
        <w:t>(7)</w:t>
      </w:r>
      <w:r w:rsidRPr="005D642E">
        <w:rPr>
          <w:rtl/>
          <w:lang w:bidi="fa-IR"/>
        </w:rPr>
        <w:t xml:space="preserve"> صَلَوَاتٍ ، مِنْ كُلِّ صَلَاةٍ تَكْبِيرَةٌ</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413" w:name="_Toc344647348"/>
      <w:bookmarkStart w:id="414" w:name="_Toc462226862"/>
      <w:bookmarkStart w:id="415" w:name="_Toc40975971"/>
      <w:r w:rsidRPr="005D642E">
        <w:rPr>
          <w:rtl/>
          <w:lang w:bidi="fa-IR"/>
        </w:rPr>
        <w:t>53</w:t>
      </w:r>
      <w:r>
        <w:rPr>
          <w:rtl/>
          <w:lang w:bidi="fa-IR"/>
        </w:rPr>
        <w:t xml:space="preserve"> </w:t>
      </w:r>
      <w:r w:rsidR="007642BC">
        <w:rPr>
          <w:rtl/>
          <w:lang w:bidi="fa-IR"/>
        </w:rPr>
        <w:t>-</w:t>
      </w:r>
      <w:r>
        <w:rPr>
          <w:rtl/>
          <w:lang w:bidi="fa-IR"/>
        </w:rPr>
        <w:t xml:space="preserve"> </w:t>
      </w:r>
      <w:r w:rsidRPr="005D642E">
        <w:rPr>
          <w:rtl/>
          <w:lang w:bidi="fa-IR"/>
        </w:rPr>
        <w:t xml:space="preserve">بَابُ الصَّلَاةِ عَلَى الْجَنَائِزِ فِي الْمَسَاجِدِ </w:t>
      </w:r>
      <w:r w:rsidRPr="007C12DB">
        <w:rPr>
          <w:rStyle w:val="libFootnotenumChar"/>
          <w:rtl/>
        </w:rPr>
        <w:t>(9)</w:t>
      </w:r>
      <w:r w:rsidRPr="005D642E">
        <w:rPr>
          <w:rtl/>
          <w:lang w:bidi="fa-IR"/>
        </w:rPr>
        <w:t xml:space="preserve"> ‌</w:t>
      </w:r>
      <w:bookmarkEnd w:id="413"/>
      <w:bookmarkEnd w:id="414"/>
      <w:bookmarkEnd w:id="415"/>
    </w:p>
    <w:p w:rsidR="00E3253D" w:rsidRPr="005D642E" w:rsidRDefault="00E3253D" w:rsidP="00E3253D">
      <w:pPr>
        <w:pStyle w:val="libNormal"/>
        <w:rPr>
          <w:rtl/>
          <w:lang w:bidi="fa-IR"/>
        </w:rPr>
      </w:pPr>
      <w:r w:rsidRPr="009F0827">
        <w:rPr>
          <w:rtl/>
        </w:rPr>
        <w:t>4504</w:t>
      </w:r>
      <w:r w:rsidRPr="00246318">
        <w:rPr>
          <w:rStyle w:val="libBold2Char"/>
          <w:rtl/>
        </w:rPr>
        <w:t xml:space="preserve"> / 1.</w:t>
      </w:r>
      <w:r w:rsidRPr="005D642E">
        <w:rPr>
          <w:rtl/>
          <w:lang w:bidi="fa-IR"/>
        </w:rPr>
        <w:t xml:space="preserve"> مُحَمَّدُ بْنُ يَحْيى ، عَنْ مُحَمَّدِ بْنِ الْحُسَيْنِ </w:t>
      </w:r>
      <w:r w:rsidRPr="007C12DB">
        <w:rPr>
          <w:rStyle w:val="libFootnotenumChar"/>
          <w:rtl/>
        </w:rPr>
        <w:t>(10)</w:t>
      </w:r>
      <w:r w:rsidRPr="005D642E">
        <w:rPr>
          <w:rtl/>
          <w:lang w:bidi="fa-IR"/>
        </w:rPr>
        <w:t xml:space="preserve"> ، عَنْ مُوسَى بْنِ طَلْحَةَ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124A22">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علل الشرائع</w:t>
      </w:r>
      <w:r w:rsidR="00E3253D" w:rsidRPr="005D642E">
        <w:rPr>
          <w:rtl/>
        </w:rPr>
        <w:t xml:space="preserve"> ، ص 302 ، ح 2 ، بسنده عن سليمان بن جعفر. وفي </w:t>
      </w:r>
      <w:r w:rsidR="00E3253D" w:rsidRPr="002F4D34">
        <w:rPr>
          <w:rStyle w:val="libFootnoteBoldChar"/>
          <w:rtl/>
        </w:rPr>
        <w:t>الكافي</w:t>
      </w:r>
      <w:r w:rsidR="00E3253D" w:rsidRPr="005D642E">
        <w:rPr>
          <w:rtl/>
        </w:rPr>
        <w:t xml:space="preserve"> ، كتاب الجنائز ، باب غسل الأطفال والصبيان والصلاة عليهم ، ضمن ح 4605 ؛ </w:t>
      </w:r>
      <w:r w:rsidR="000D749A" w:rsidRPr="000D749A">
        <w:rPr>
          <w:rStyle w:val="libFootnoteBoldChar"/>
          <w:rtl/>
        </w:rPr>
        <w:t>والمحاسن</w:t>
      </w:r>
      <w:r w:rsidR="00E3253D" w:rsidRPr="002F4D34">
        <w:rPr>
          <w:rStyle w:val="libFootnoteBoldChar"/>
          <w:rtl/>
        </w:rPr>
        <w:t xml:space="preserve"> </w:t>
      </w:r>
      <w:r w:rsidR="00E3253D" w:rsidRPr="005D642E">
        <w:rPr>
          <w:rtl/>
        </w:rPr>
        <w:t xml:space="preserve">، ص 313 ، كتاب العلل ، ضمن ح 31 ، بسند آخر عن أبي الحسن موسى </w:t>
      </w:r>
      <w:r w:rsidR="00E3253D" w:rsidRPr="00124A22">
        <w:rPr>
          <w:rStyle w:val="libFootnoteAlaemChar"/>
          <w:rtl/>
        </w:rPr>
        <w:t>عليه‌السلام</w:t>
      </w:r>
      <w:r w:rsidR="00E3253D" w:rsidRPr="005D642E">
        <w:rPr>
          <w:rtl/>
        </w:rPr>
        <w:t xml:space="preserve"> ، مع اختلاف يسير </w:t>
      </w:r>
      <w:r w:rsidR="00124A22">
        <w:rPr>
          <w:rFonts w:hint="cs"/>
          <w:rtl/>
        </w:rPr>
        <w:t>.</w:t>
      </w:r>
      <w:r w:rsidR="00E3253D" w:rsidRPr="002F4D34">
        <w:rPr>
          <w:rStyle w:val="libFootnoteBoldChar"/>
          <w:rtl/>
        </w:rPr>
        <w:t>الوافي</w:t>
      </w:r>
      <w:r w:rsidR="00E3253D" w:rsidRPr="005D642E">
        <w:rPr>
          <w:rtl/>
        </w:rPr>
        <w:t xml:space="preserve"> ، ج 24 ، ص 425 ، ح 24396 ؛ </w:t>
      </w:r>
      <w:r w:rsidR="00E3253D" w:rsidRPr="002F4D34">
        <w:rPr>
          <w:rStyle w:val="libFootnoteBoldChar"/>
          <w:rtl/>
        </w:rPr>
        <w:t>الوسائل</w:t>
      </w:r>
      <w:r w:rsidR="00E3253D" w:rsidRPr="005D642E">
        <w:rPr>
          <w:rtl/>
        </w:rPr>
        <w:t xml:space="preserve"> ، ج 3 ، ص 76 ، ح 3048.</w:t>
      </w:r>
      <w:r w:rsidR="00124A22">
        <w:rPr>
          <w:rFonts w:hint="cs"/>
          <w:rtl/>
        </w:rPr>
        <w:t xml:space="preserve">                                    </w:t>
      </w:r>
      <w:r w:rsidRPr="0042621E">
        <w:rPr>
          <w:rStyle w:val="libFootnote0Char"/>
          <w:rtl/>
        </w:rPr>
        <w:t>(2).</w:t>
      </w:r>
      <w:r w:rsidR="00E3253D" w:rsidRPr="005D642E">
        <w:rPr>
          <w:rtl/>
        </w:rPr>
        <w:t xml:space="preserve"> في الوافي : « يا بابكر</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 « هل تدري</w:t>
      </w:r>
      <w:r w:rsidR="00E3253D">
        <w:rPr>
          <w:rtl/>
        </w:rPr>
        <w:t xml:space="preserve"> ».</w:t>
      </w:r>
      <w:r w:rsidR="00E3253D" w:rsidRPr="005D642E">
        <w:rPr>
          <w:rtl/>
        </w:rPr>
        <w:t xml:space="preserve"> وفي التهذيب </w:t>
      </w:r>
      <w:r w:rsidR="000D749A" w:rsidRPr="000D749A">
        <w:rPr>
          <w:rStyle w:val="libFootnoteBoldChar"/>
          <w:rtl/>
        </w:rPr>
        <w:t>والمحاسن</w:t>
      </w:r>
      <w:r w:rsidR="00E3253D" w:rsidRPr="005D642E">
        <w:rPr>
          <w:rtl/>
        </w:rPr>
        <w:t xml:space="preserve"> </w:t>
      </w:r>
      <w:r w:rsidR="009E68BB" w:rsidRPr="009E68BB">
        <w:rPr>
          <w:rStyle w:val="libFootnoteBoldChar"/>
          <w:rtl/>
        </w:rPr>
        <w:t>والخصال</w:t>
      </w:r>
      <w:r w:rsidR="00E3253D" w:rsidRPr="005D642E">
        <w:rPr>
          <w:rtl/>
        </w:rPr>
        <w:t xml:space="preserve"> والعلل : « أتدري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24A22" w:rsidTr="00124A22">
        <w:tc>
          <w:tcPr>
            <w:tcW w:w="4006" w:type="dxa"/>
          </w:tcPr>
          <w:p w:rsidR="00124A22" w:rsidRDefault="00124A22" w:rsidP="00E3253D">
            <w:pPr>
              <w:pStyle w:val="libFootnote0"/>
              <w:rPr>
                <w:rStyle w:val="libFootnote0Char"/>
                <w:rtl/>
              </w:rPr>
            </w:pPr>
            <w:r w:rsidRPr="0042621E">
              <w:rPr>
                <w:rStyle w:val="libFootnote0Char"/>
                <w:rtl/>
              </w:rPr>
              <w:t>(4).</w:t>
            </w:r>
            <w:r w:rsidRPr="005D642E">
              <w:rPr>
                <w:rtl/>
              </w:rPr>
              <w:t xml:space="preserve"> في « جن » : « وتدري</w:t>
            </w:r>
            <w:r>
              <w:rPr>
                <w:rtl/>
              </w:rPr>
              <w:t xml:space="preserve"> ».</w:t>
            </w:r>
          </w:p>
        </w:tc>
        <w:tc>
          <w:tcPr>
            <w:tcW w:w="4006" w:type="dxa"/>
          </w:tcPr>
          <w:p w:rsidR="00124A22" w:rsidRDefault="00124A22" w:rsidP="00E3253D">
            <w:pPr>
              <w:pStyle w:val="libFootnote0"/>
              <w:rPr>
                <w:rStyle w:val="libFootnote0Char"/>
                <w:rtl/>
              </w:rPr>
            </w:pPr>
            <w:r w:rsidRPr="0042621E">
              <w:rPr>
                <w:rStyle w:val="libFootnote0Char"/>
                <w:rtl/>
              </w:rPr>
              <w:t>(5).</w:t>
            </w:r>
            <w:r w:rsidRPr="005D642E">
              <w:rPr>
                <w:rtl/>
              </w:rPr>
              <w:t xml:space="preserve"> في الوافي </w:t>
            </w:r>
            <w:r w:rsidRPr="00B60612">
              <w:rPr>
                <w:rStyle w:val="libFootnoteBoldChar"/>
                <w:rtl/>
              </w:rPr>
              <w:t>والتهذيب</w:t>
            </w:r>
            <w:r w:rsidRPr="005D642E">
              <w:rPr>
                <w:rtl/>
              </w:rPr>
              <w:t xml:space="preserve"> </w:t>
            </w:r>
            <w:r w:rsidRPr="000D749A">
              <w:rPr>
                <w:rStyle w:val="libFootnoteBoldChar"/>
                <w:rtl/>
              </w:rPr>
              <w:t>والمحاسن</w:t>
            </w:r>
            <w:r w:rsidRPr="005D642E">
              <w:rPr>
                <w:rtl/>
              </w:rPr>
              <w:t xml:space="preserve"> : + « تكبيرات</w:t>
            </w:r>
            <w:r>
              <w:rPr>
                <w:rtl/>
              </w:rPr>
              <w:t xml:space="preserve"> ».</w:t>
            </w:r>
          </w:p>
        </w:tc>
      </w:tr>
      <w:tr w:rsidR="00124A22" w:rsidTr="00124A22">
        <w:tc>
          <w:tcPr>
            <w:tcW w:w="4006" w:type="dxa"/>
          </w:tcPr>
          <w:p w:rsidR="00124A22" w:rsidRDefault="00124A22" w:rsidP="00E3253D">
            <w:pPr>
              <w:pStyle w:val="libFootnote0"/>
              <w:rPr>
                <w:rStyle w:val="libFootnote0Char"/>
                <w:rtl/>
              </w:rPr>
            </w:pPr>
            <w:r w:rsidRPr="0042621E">
              <w:rPr>
                <w:rStyle w:val="libFootnote0Char"/>
                <w:rtl/>
              </w:rPr>
              <w:t>(6).</w:t>
            </w:r>
            <w:r w:rsidRPr="005D642E">
              <w:rPr>
                <w:rtl/>
              </w:rPr>
              <w:t xml:space="preserve"> في « بخ » : « خمس</w:t>
            </w:r>
            <w:r>
              <w:rPr>
                <w:rtl/>
              </w:rPr>
              <w:t xml:space="preserve"> ».</w:t>
            </w:r>
          </w:p>
        </w:tc>
        <w:tc>
          <w:tcPr>
            <w:tcW w:w="4006" w:type="dxa"/>
          </w:tcPr>
          <w:p w:rsidR="00124A22" w:rsidRDefault="00124A22" w:rsidP="00E3253D">
            <w:pPr>
              <w:pStyle w:val="libFootnote0"/>
              <w:rPr>
                <w:rStyle w:val="libFootnote0Char"/>
                <w:rtl/>
              </w:rPr>
            </w:pPr>
            <w:r w:rsidRPr="0042621E">
              <w:rPr>
                <w:rStyle w:val="libFootnote0Char"/>
                <w:rtl/>
              </w:rPr>
              <w:t>(7).</w:t>
            </w:r>
            <w:r w:rsidRPr="005D642E">
              <w:rPr>
                <w:rtl/>
              </w:rPr>
              <w:t xml:space="preserve"> في « جس » </w:t>
            </w:r>
            <w:r w:rsidRPr="009E68BB">
              <w:rPr>
                <w:rStyle w:val="libFootnoteBoldChar"/>
                <w:rtl/>
              </w:rPr>
              <w:t>والخصال</w:t>
            </w:r>
            <w:r w:rsidRPr="005D642E">
              <w:rPr>
                <w:rtl/>
              </w:rPr>
              <w:t xml:space="preserve"> : « خمس</w:t>
            </w:r>
            <w:r>
              <w:rPr>
                <w:rtl/>
              </w:rPr>
              <w:t xml:space="preserve"> ».</w:t>
            </w:r>
          </w:p>
        </w:tc>
      </w:tr>
    </w:tbl>
    <w:p w:rsidR="00E3253D" w:rsidRPr="005D642E" w:rsidRDefault="0042621E" w:rsidP="00573381">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189 ، ح 430 ، معلّقاً عن الكليني. </w:t>
      </w:r>
      <w:r w:rsidR="00E3253D" w:rsidRPr="002F4D34">
        <w:rPr>
          <w:rStyle w:val="libFootnoteBoldChar"/>
          <w:rtl/>
        </w:rPr>
        <w:t>الخصال</w:t>
      </w:r>
      <w:r w:rsidR="00E3253D" w:rsidRPr="005D642E">
        <w:rPr>
          <w:rtl/>
        </w:rPr>
        <w:t xml:space="preserve"> ، ص 280 ، باب الخمسة ، ح 26 ، بسنده عن أحمد بن محمّد بن عيسى ، عن عليّ بن الحكم ، عن عمر بن عبدالملك الحضرمي ، عن أبي بكر الحضرمي. </w:t>
      </w:r>
      <w:r w:rsidR="00E3253D" w:rsidRPr="002F4D34">
        <w:rPr>
          <w:rStyle w:val="libFootnoteBoldChar"/>
          <w:rtl/>
        </w:rPr>
        <w:t>علل الشرائع</w:t>
      </w:r>
      <w:r w:rsidR="00E3253D" w:rsidRPr="005D642E">
        <w:rPr>
          <w:rtl/>
        </w:rPr>
        <w:t xml:space="preserve"> ، ص 302 ، ح 1 ، بسنده عن أحمد بن محمّد ، عن عليّ بن الحكم ، عن عثمان بن عبدالملك ، عن أبي بكر الحضرمي ، عن أبي عبدالله </w:t>
      </w:r>
      <w:r w:rsidR="00E3253D" w:rsidRPr="00573381">
        <w:rPr>
          <w:rStyle w:val="libFootnoteAlaemChar"/>
          <w:rtl/>
        </w:rPr>
        <w:t>عليه‌السلام</w:t>
      </w:r>
      <w:r w:rsidR="00E3253D" w:rsidRPr="005D642E">
        <w:rPr>
          <w:rtl/>
        </w:rPr>
        <w:t xml:space="preserve"> ؛ </w:t>
      </w:r>
      <w:r w:rsidR="00E3253D" w:rsidRPr="002F4D34">
        <w:rPr>
          <w:rStyle w:val="libFootnoteBoldChar"/>
          <w:rtl/>
        </w:rPr>
        <w:t>المحاسن</w:t>
      </w:r>
      <w:r w:rsidR="00E3253D" w:rsidRPr="005D642E">
        <w:rPr>
          <w:rtl/>
        </w:rPr>
        <w:t xml:space="preserve"> ، ص 317 ، كتاب العلل ، ح 39 ، عن أبيه ، عن عليّ بن الحكم ، وفي كلّها</w:t>
      </w:r>
      <w:r w:rsidR="00E3253D">
        <w:rPr>
          <w:rtl/>
        </w:rPr>
        <w:t xml:space="preserve"> </w:t>
      </w:r>
      <w:r w:rsidR="007642BC">
        <w:rPr>
          <w:rtl/>
        </w:rPr>
        <w:t>-</w:t>
      </w:r>
      <w:r w:rsidR="00E3253D">
        <w:rPr>
          <w:rtl/>
        </w:rPr>
        <w:t xml:space="preserve"> </w:t>
      </w:r>
      <w:r w:rsidR="00573381">
        <w:rPr>
          <w:rtl/>
        </w:rPr>
        <w:t>إل</w:t>
      </w:r>
      <w:r w:rsidR="00573381">
        <w:rPr>
          <w:rFonts w:hint="cs"/>
          <w:rtl/>
        </w:rPr>
        <w:t>ّ</w:t>
      </w:r>
      <w:r w:rsidR="00573381">
        <w:rPr>
          <w:rtl/>
        </w:rPr>
        <w:t>ا</w:t>
      </w:r>
      <w:r w:rsidR="00E3253D">
        <w:rPr>
          <w:rFonts w:hint="cs"/>
          <w:rtl/>
        </w:rPr>
        <w:t xml:space="preserve"> </w:t>
      </w:r>
      <w:r w:rsidR="00E3253D" w:rsidRPr="005D642E">
        <w:rPr>
          <w:rtl/>
        </w:rPr>
        <w:t>التهذيب</w:t>
      </w:r>
      <w:r w:rsidR="00E3253D">
        <w:rPr>
          <w:rtl/>
        </w:rPr>
        <w:t xml:space="preserve"> </w:t>
      </w:r>
      <w:r w:rsidR="007642BC">
        <w:rPr>
          <w:rtl/>
        </w:rPr>
        <w:t>-</w:t>
      </w:r>
      <w:r w:rsidR="00E3253D">
        <w:rPr>
          <w:rtl/>
        </w:rPr>
        <w:t xml:space="preserve"> </w:t>
      </w:r>
      <w:r w:rsidR="00E3253D" w:rsidRPr="005D642E">
        <w:rPr>
          <w:rtl/>
        </w:rPr>
        <w:t xml:space="preserve">مع اختلاف يسير </w:t>
      </w:r>
      <w:r w:rsidR="00573381">
        <w:rPr>
          <w:rFonts w:hint="cs"/>
          <w:rtl/>
        </w:rPr>
        <w:t>.</w:t>
      </w:r>
      <w:r w:rsidR="00E3253D" w:rsidRPr="002F4D34">
        <w:rPr>
          <w:rStyle w:val="libFootnoteBoldChar"/>
          <w:rtl/>
        </w:rPr>
        <w:t>الوافي</w:t>
      </w:r>
      <w:r w:rsidR="00E3253D" w:rsidRPr="005D642E">
        <w:rPr>
          <w:rtl/>
        </w:rPr>
        <w:t xml:space="preserve"> ، ج 24 ، ص 425 ، ح 24395 ؛ </w:t>
      </w:r>
      <w:r w:rsidR="00E3253D" w:rsidRPr="002F4D34">
        <w:rPr>
          <w:rStyle w:val="libFootnoteBoldChar"/>
          <w:rtl/>
        </w:rPr>
        <w:t>الوسائل</w:t>
      </w:r>
      <w:r w:rsidR="00E3253D" w:rsidRPr="005D642E">
        <w:rPr>
          <w:rtl/>
        </w:rPr>
        <w:t xml:space="preserve"> ، ج 3 ، ص 73 ، ح 3049.</w:t>
      </w:r>
      <w:r w:rsidR="00573381">
        <w:rPr>
          <w:rFonts w:hint="cs"/>
          <w:rtl/>
        </w:rPr>
        <w:t xml:space="preserve">                               </w:t>
      </w:r>
      <w:r w:rsidRPr="0042621E">
        <w:rPr>
          <w:rStyle w:val="libFootnote0Char"/>
          <w:rtl/>
        </w:rPr>
        <w:t>(9).</w:t>
      </w:r>
      <w:r w:rsidR="00E3253D" w:rsidRPr="005D642E">
        <w:rPr>
          <w:rtl/>
        </w:rPr>
        <w:t xml:space="preserve"> في حاشية « ظ » : « المسجد</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الاستبصار : « الحسن</w:t>
      </w:r>
      <w:r w:rsidR="00E3253D">
        <w:rPr>
          <w:rtl/>
        </w:rPr>
        <w:t xml:space="preserve"> ».</w:t>
      </w:r>
      <w:r w:rsidR="00E3253D" w:rsidRPr="005D642E">
        <w:rPr>
          <w:rtl/>
        </w:rPr>
        <w:t xml:space="preserve"> والمذكور في بعض نسخه المعتبرة هو « الحسين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أَبِي بَكْرِ </w:t>
      </w:r>
      <w:r w:rsidRPr="007C12DB">
        <w:rPr>
          <w:rStyle w:val="libFootnotenumChar"/>
          <w:rtl/>
        </w:rPr>
        <w:t>(1)</w:t>
      </w:r>
      <w:r w:rsidRPr="005D642E">
        <w:rPr>
          <w:rtl/>
          <w:lang w:bidi="fa-IR"/>
        </w:rPr>
        <w:t xml:space="preserve"> بْنِ عِيسَى بْنِ أَحْمَدَ الْعَلَوِيِّ ، قَالَ :</w:t>
      </w:r>
    </w:p>
    <w:p w:rsidR="00E3253D" w:rsidRPr="005D642E" w:rsidRDefault="00E3253D" w:rsidP="00E3253D">
      <w:pPr>
        <w:pStyle w:val="libNormal"/>
        <w:rPr>
          <w:rtl/>
          <w:lang w:bidi="fa-IR"/>
        </w:rPr>
      </w:pPr>
      <w:r w:rsidRPr="005D642E">
        <w:rPr>
          <w:rtl/>
          <w:lang w:bidi="fa-IR"/>
        </w:rPr>
        <w:t xml:space="preserve">كُنْتُ فِي الْمَسْجِدِ وَقَدْ جِي‌ءَ بِجَنَازَةٍ ، فَأَرَدْتُ أَنْ أُصَلِّيَ عَلَيْهَا ، فَجَاءَ أَبُو الْحَسَنِ الْأَوَّلُ </w:t>
      </w:r>
      <w:r w:rsidRPr="00AC51C5">
        <w:rPr>
          <w:rStyle w:val="libAlaemChar"/>
          <w:rtl/>
        </w:rPr>
        <w:t>عليه‌السلام</w:t>
      </w:r>
      <w:r w:rsidRPr="005D642E">
        <w:rPr>
          <w:rtl/>
          <w:lang w:bidi="fa-IR"/>
        </w:rPr>
        <w:t xml:space="preserve"> ، فَوَضَعَ مِرْفَقَهُ فِي صَدْرِي ، فَجَعَلَ </w:t>
      </w:r>
      <w:r w:rsidRPr="007C12DB">
        <w:rPr>
          <w:rStyle w:val="libFootnotenumChar"/>
          <w:rtl/>
        </w:rPr>
        <w:t>(2)</w:t>
      </w:r>
      <w:r w:rsidRPr="005D642E">
        <w:rPr>
          <w:rtl/>
          <w:lang w:bidi="fa-IR"/>
        </w:rPr>
        <w:t xml:space="preserve"> يَدْفَعُنِي حَتّى خَرَجَ </w:t>
      </w:r>
      <w:r w:rsidRPr="007C12DB">
        <w:rPr>
          <w:rStyle w:val="libFootnotenumChar"/>
          <w:rtl/>
        </w:rPr>
        <w:t>(3)</w:t>
      </w:r>
      <w:r w:rsidRPr="005D642E">
        <w:rPr>
          <w:rtl/>
          <w:lang w:bidi="fa-IR"/>
        </w:rPr>
        <w:t xml:space="preserve"> مِنَ الْمَسْجِدِ ، فَقَالَ </w:t>
      </w:r>
      <w:r w:rsidRPr="007C12DB">
        <w:rPr>
          <w:rStyle w:val="libFootnotenumChar"/>
          <w:rtl/>
        </w:rPr>
        <w:t>(4)</w:t>
      </w:r>
      <w:r w:rsidRPr="005D642E">
        <w:rPr>
          <w:rtl/>
          <w:lang w:bidi="fa-IR"/>
        </w:rPr>
        <w:t xml:space="preserve"> :</w:t>
      </w:r>
      <w:r>
        <w:rPr>
          <w:rFonts w:hint="cs"/>
          <w:rtl/>
          <w:lang w:bidi="fa-IR"/>
        </w:rPr>
        <w:t xml:space="preserve"> </w:t>
      </w:r>
      <w:r w:rsidRPr="005D642E">
        <w:rPr>
          <w:rtl/>
          <w:lang w:bidi="fa-IR"/>
        </w:rPr>
        <w:t xml:space="preserve">« يَا أَبَا بَكْرٍ </w:t>
      </w:r>
      <w:r w:rsidRPr="007C12DB">
        <w:rPr>
          <w:rStyle w:val="libFootnotenumChar"/>
          <w:rtl/>
        </w:rPr>
        <w:t>(5)</w:t>
      </w:r>
      <w:r w:rsidRPr="005D642E">
        <w:rPr>
          <w:rtl/>
          <w:lang w:bidi="fa-IR"/>
        </w:rPr>
        <w:t xml:space="preserve"> ، إِنَّ الْجَنَائِزَ لَايُصَلّى عَلَيْهَا فِي الْمَسَاجِدِ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416" w:name="_Toc344647349"/>
      <w:bookmarkStart w:id="417" w:name="_Toc462226863"/>
      <w:bookmarkStart w:id="418" w:name="_Toc40975972"/>
      <w:r w:rsidRPr="005D642E">
        <w:rPr>
          <w:rtl/>
          <w:lang w:bidi="fa-IR"/>
        </w:rPr>
        <w:t>54</w:t>
      </w:r>
      <w:r>
        <w:rPr>
          <w:rtl/>
          <w:lang w:bidi="fa-IR"/>
        </w:rPr>
        <w:t xml:space="preserve"> </w:t>
      </w:r>
      <w:r w:rsidR="007642BC">
        <w:rPr>
          <w:rtl/>
          <w:lang w:bidi="fa-IR"/>
        </w:rPr>
        <w:t>-</w:t>
      </w:r>
      <w:r>
        <w:rPr>
          <w:rtl/>
          <w:lang w:bidi="fa-IR"/>
        </w:rPr>
        <w:t xml:space="preserve"> </w:t>
      </w:r>
      <w:r w:rsidRPr="005D642E">
        <w:rPr>
          <w:rtl/>
          <w:lang w:bidi="fa-IR"/>
        </w:rPr>
        <w:t>بَابُ الصَّلَاةِ عَلَى الْمُؤْمِنِ وَالتَّكْبِيرِ وَالدُّعَاءِ‌</w:t>
      </w:r>
      <w:bookmarkEnd w:id="416"/>
      <w:bookmarkEnd w:id="417"/>
      <w:bookmarkEnd w:id="418"/>
    </w:p>
    <w:p w:rsidR="00E3253D" w:rsidRPr="005D642E" w:rsidRDefault="00E3253D" w:rsidP="00E3253D">
      <w:pPr>
        <w:pStyle w:val="libNormal"/>
        <w:rPr>
          <w:rtl/>
          <w:lang w:bidi="fa-IR"/>
        </w:rPr>
      </w:pPr>
      <w:r w:rsidRPr="009F0827">
        <w:rPr>
          <w:rtl/>
        </w:rPr>
        <w:t>4505</w:t>
      </w:r>
      <w:r w:rsidRPr="00246318">
        <w:rPr>
          <w:rStyle w:val="libBold2Char"/>
          <w:rtl/>
        </w:rPr>
        <w:t xml:space="preserve"> / 1.</w:t>
      </w:r>
      <w:r w:rsidRPr="005D642E">
        <w:rPr>
          <w:rtl/>
          <w:lang w:bidi="fa-IR"/>
        </w:rPr>
        <w:t xml:space="preserve"> عِدَّةٌ مِنْ أَصْحَابِنَا ، عَنْ سَهْلِ بْنِ زِيَادٍ ، عَنْ مُحَمَّدِ بْنِ أُورَمَةَ ، عَنْ زُرْعَةَ بْنِ مُحَمَّدٍ ، عَنْ سَمَاعَةَ ، قَالَ :</w:t>
      </w:r>
    </w:p>
    <w:p w:rsidR="00E3253D" w:rsidRPr="005D642E" w:rsidRDefault="00E3253D" w:rsidP="00E3253D">
      <w:pPr>
        <w:pStyle w:val="libNormal"/>
        <w:rPr>
          <w:rtl/>
          <w:lang w:bidi="fa-IR"/>
        </w:rPr>
      </w:pPr>
      <w:r w:rsidRPr="005D642E">
        <w:rPr>
          <w:rtl/>
          <w:lang w:bidi="fa-IR"/>
        </w:rPr>
        <w:t>سَأَلْتُهُ عَنِ الصَّلَاةِ عَلَى الْمَيِّتِ</w:t>
      </w:r>
      <w:r>
        <w:rPr>
          <w:rtl/>
          <w:lang w:bidi="fa-IR"/>
        </w:rPr>
        <w:t>؟</w:t>
      </w:r>
    </w:p>
    <w:p w:rsidR="00E3253D" w:rsidRPr="005D642E" w:rsidRDefault="00E3253D" w:rsidP="00E3253D">
      <w:pPr>
        <w:pStyle w:val="libNormal"/>
        <w:rPr>
          <w:rtl/>
          <w:lang w:bidi="fa-IR"/>
        </w:rPr>
      </w:pPr>
      <w:r w:rsidRPr="005D642E">
        <w:rPr>
          <w:rtl/>
          <w:lang w:bidi="fa-IR"/>
        </w:rPr>
        <w:t xml:space="preserve">فَقَالَ : « تُكَبِّرُ </w:t>
      </w:r>
      <w:r w:rsidRPr="007C12DB">
        <w:rPr>
          <w:rStyle w:val="libFootnotenumChar"/>
          <w:rtl/>
        </w:rPr>
        <w:t>(8)</w:t>
      </w:r>
      <w:r w:rsidRPr="005D642E">
        <w:rPr>
          <w:rtl/>
          <w:lang w:bidi="fa-IR"/>
        </w:rPr>
        <w:t xml:space="preserve"> خَمْسَ تَكْبِيرَاتٍ ، تَقُولُ </w:t>
      </w:r>
      <w:r w:rsidRPr="007C12DB">
        <w:rPr>
          <w:rStyle w:val="libFootnotenumChar"/>
          <w:rtl/>
        </w:rPr>
        <w:t>(9)</w:t>
      </w:r>
      <w:r w:rsidRPr="005D642E">
        <w:rPr>
          <w:rtl/>
          <w:lang w:bidi="fa-IR"/>
        </w:rPr>
        <w:t xml:space="preserve"> أَوَّلَ مَا تُكَبِّرُ </w:t>
      </w:r>
      <w:r w:rsidRPr="007C12DB">
        <w:rPr>
          <w:rStyle w:val="libFootnotenumChar"/>
          <w:rtl/>
        </w:rPr>
        <w:t>(10)</w:t>
      </w:r>
      <w:r w:rsidRPr="005D642E">
        <w:rPr>
          <w:rtl/>
          <w:lang w:bidi="fa-IR"/>
        </w:rPr>
        <w:t xml:space="preserve"> : أَشْهَدُ أَنْ لَا</w:t>
      </w:r>
      <w:r>
        <w:rPr>
          <w:rFonts w:hint="cs"/>
          <w:rtl/>
          <w:lang w:bidi="fa-IR"/>
        </w:rPr>
        <w:t xml:space="preserve"> </w:t>
      </w:r>
      <w:r w:rsidR="00573381">
        <w:rPr>
          <w:rtl/>
          <w:lang w:bidi="fa-IR"/>
        </w:rPr>
        <w:t>إِلهَ إِل</w:t>
      </w:r>
      <w:r w:rsidR="00573381">
        <w:rPr>
          <w:rFonts w:hint="cs"/>
          <w:rtl/>
          <w:lang w:bidi="fa-IR"/>
        </w:rPr>
        <w:t>َّ</w:t>
      </w:r>
      <w:r w:rsidR="00573381">
        <w:rPr>
          <w:rtl/>
          <w:lang w:bidi="fa-IR"/>
        </w:rPr>
        <w:t>ا</w:t>
      </w:r>
      <w:r w:rsidRPr="005D642E">
        <w:rPr>
          <w:rtl/>
          <w:lang w:bidi="fa-IR"/>
        </w:rPr>
        <w:t xml:space="preserve"> اللهُ وَحْدَهُ لَاشَرِيكَ لَهُ ، وَأَشْهَدُ أَنَّ مُحَمَّداً عَبْدُهُ وَرَسُولُهُ ، الل</w:t>
      </w:r>
      <w:r w:rsidR="00573381">
        <w:rPr>
          <w:rFonts w:hint="cs"/>
          <w:rtl/>
          <w:lang w:bidi="fa-IR"/>
        </w:rPr>
        <w:t>َّ</w:t>
      </w:r>
      <w:r w:rsidRPr="005D642E">
        <w:rPr>
          <w:rtl/>
          <w:lang w:bidi="fa-IR"/>
        </w:rPr>
        <w:t xml:space="preserve">هُمَّ صَلِّ عَلى مُحَمَّدٍ وَآلِ مُحَمَّدٍ ، وَعَلَى الْأَئِمَّةِ الْهُدَاةِ ، وَاغْفِرْ لَنَا </w:t>
      </w:r>
      <w:r w:rsidRPr="007C12DB">
        <w:rPr>
          <w:rStyle w:val="libFootnotenumChar"/>
          <w:rtl/>
        </w:rPr>
        <w:t>(11)</w:t>
      </w:r>
      <w:r w:rsidRPr="005D642E">
        <w:rPr>
          <w:rtl/>
          <w:lang w:bidi="fa-IR"/>
        </w:rPr>
        <w:t xml:space="preserve"> وَلِإِخْوَانِنَا الَّذِينَ سَبَقُونَا بِالْإِيمَانِ ، وَل</w:t>
      </w:r>
      <w:r w:rsidR="00573381">
        <w:rPr>
          <w:rtl/>
          <w:lang w:bidi="fa-IR"/>
        </w:rPr>
        <w:t>َاتَجْعَلْ فِي قُلُوبِنَا غِل</w:t>
      </w:r>
      <w:r w:rsidR="00573381">
        <w:rPr>
          <w:rFonts w:hint="cs"/>
          <w:rtl/>
          <w:lang w:bidi="fa-IR"/>
        </w:rPr>
        <w:t>ّ</w:t>
      </w:r>
      <w:r w:rsidR="00573381">
        <w:rPr>
          <w:rtl/>
          <w:lang w:bidi="fa-IR"/>
        </w:rPr>
        <w:t>ا</w:t>
      </w:r>
      <w:r w:rsidR="00573381">
        <w:rPr>
          <w:rFonts w:hint="cs"/>
          <w:rtl/>
          <w:lang w:bidi="fa-IR"/>
        </w:rPr>
        <w:t>ً</w:t>
      </w:r>
      <w:r w:rsidRPr="005D642E">
        <w:rPr>
          <w:rtl/>
          <w:lang w:bidi="fa-IR"/>
        </w:rPr>
        <w:t xml:space="preserve"> </w:t>
      </w:r>
      <w:r w:rsidRPr="007C12DB">
        <w:rPr>
          <w:rStyle w:val="libFootnotenumChar"/>
          <w:rtl/>
        </w:rPr>
        <w:t>(12)</w:t>
      </w:r>
      <w:r w:rsidRPr="005D642E">
        <w:rPr>
          <w:rtl/>
          <w:lang w:bidi="fa-IR"/>
        </w:rPr>
        <w:t xml:space="preserve"> لِلَّذِينَ آمَنُوا ، رَبَّنَا إِنَّكَ رَؤُوفٌ رَحِيمٌ </w:t>
      </w:r>
      <w:r w:rsidRPr="007C12DB">
        <w:rPr>
          <w:rStyle w:val="libFootnotenumChar"/>
          <w:rtl/>
        </w:rPr>
        <w:t>(13)</w:t>
      </w:r>
      <w:r w:rsidRPr="005D642E">
        <w:rPr>
          <w:rtl/>
          <w:lang w:bidi="fa-IR"/>
        </w:rPr>
        <w:t xml:space="preserve"> ؛ الل</w:t>
      </w:r>
      <w:r w:rsidR="00573381">
        <w:rPr>
          <w:rFonts w:hint="cs"/>
          <w:rtl/>
          <w:lang w:bidi="fa-IR"/>
        </w:rPr>
        <w:t>َّ</w:t>
      </w:r>
      <w:r w:rsidRPr="005D642E">
        <w:rPr>
          <w:rtl/>
          <w:lang w:bidi="fa-IR"/>
        </w:rPr>
        <w:t>هُمَّ اغْفِرْ لِأَحْيَائِنَا وَأَمْوَاتِنَا مِنَ‌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73381" w:rsidTr="00573381">
        <w:tc>
          <w:tcPr>
            <w:tcW w:w="4006" w:type="dxa"/>
          </w:tcPr>
          <w:p w:rsidR="00573381" w:rsidRDefault="00573381" w:rsidP="00E3253D">
            <w:pPr>
              <w:pStyle w:val="libFootnote0"/>
              <w:rPr>
                <w:rStyle w:val="libFootnote0Char"/>
                <w:rtl/>
              </w:rPr>
            </w:pPr>
            <w:r w:rsidRPr="0042621E">
              <w:rPr>
                <w:rStyle w:val="libFootnote0Char"/>
                <w:rtl/>
              </w:rPr>
              <w:t>(1).</w:t>
            </w:r>
            <w:r>
              <w:rPr>
                <w:rtl/>
              </w:rPr>
              <w:t xml:space="preserve"> </w:t>
            </w:r>
            <w:r w:rsidRPr="005D642E">
              <w:rPr>
                <w:rtl/>
              </w:rPr>
              <w:t>في « بث » وحاشية « بخ » : « أبي بكير</w:t>
            </w:r>
            <w:r>
              <w:rPr>
                <w:rtl/>
              </w:rPr>
              <w:t xml:space="preserve"> ».</w:t>
            </w:r>
          </w:p>
        </w:tc>
        <w:tc>
          <w:tcPr>
            <w:tcW w:w="4006" w:type="dxa"/>
          </w:tcPr>
          <w:p w:rsidR="00573381" w:rsidRDefault="00573381" w:rsidP="00E3253D">
            <w:pPr>
              <w:pStyle w:val="libFootnote0"/>
              <w:rPr>
                <w:rStyle w:val="libFootnote0Char"/>
                <w:rtl/>
              </w:rPr>
            </w:pPr>
            <w:r w:rsidRPr="0042621E">
              <w:rPr>
                <w:rStyle w:val="libFootnote0Char"/>
                <w:rtl/>
              </w:rPr>
              <w:t>(2).</w:t>
            </w:r>
            <w:r w:rsidRPr="005D642E">
              <w:rPr>
                <w:rtl/>
              </w:rPr>
              <w:t xml:space="preserve"> في « بث » : « وجعل</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أخرجني</w:t>
      </w:r>
      <w:r w:rsidR="00E3253D">
        <w:rPr>
          <w:rtl/>
        </w:rPr>
        <w:t xml:space="preserve"> </w:t>
      </w:r>
      <w:r w:rsidR="007642BC">
        <w:rPr>
          <w:rtl/>
        </w:rPr>
        <w:t>-</w:t>
      </w:r>
      <w:r w:rsidR="00E3253D">
        <w:rPr>
          <w:rtl/>
        </w:rPr>
        <w:t xml:space="preserve"> </w:t>
      </w:r>
      <w:r w:rsidR="00E3253D" w:rsidRPr="005D642E">
        <w:rPr>
          <w:rtl/>
        </w:rPr>
        <w:t>خ 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جس ، جن » وحاشية « بح » : « وقال</w:t>
      </w:r>
      <w:r w:rsidR="00E3253D">
        <w:rPr>
          <w:rtl/>
        </w:rPr>
        <w:t xml:space="preserve"> ».</w:t>
      </w:r>
      <w:r w:rsidR="00E3253D" w:rsidRPr="005D642E">
        <w:rPr>
          <w:rtl/>
        </w:rPr>
        <w:t xml:space="preserve"> وفي « بث ، بخ ، بف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ثمّ قال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 « يا بابكر</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ج 14 ، ص 51 : « ظاهره عدم الجواز ، وحمل على الكراهة لجهالة السند وصحّة المعارض</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3 ، ص 326 ، ح 1016 ، معلّقاً عن الكليني. </w:t>
      </w:r>
      <w:r w:rsidR="00E3253D" w:rsidRPr="002F4D34">
        <w:rPr>
          <w:rStyle w:val="libFootnoteBoldChar"/>
          <w:rtl/>
        </w:rPr>
        <w:t>الاستبصار</w:t>
      </w:r>
      <w:r w:rsidR="00E3253D" w:rsidRPr="005D642E">
        <w:rPr>
          <w:rtl/>
        </w:rPr>
        <w:t xml:space="preserve"> ، ج 1 ، ص 473 ، ح 1831 ، معلّقاً عن محمّد بن يحيى </w:t>
      </w:r>
      <w:r w:rsidR="00573381">
        <w:rPr>
          <w:rFonts w:hint="cs"/>
          <w:rtl/>
        </w:rPr>
        <w:t>.</w:t>
      </w:r>
      <w:r w:rsidR="00E3253D" w:rsidRPr="002F4D34">
        <w:rPr>
          <w:rStyle w:val="libFootnoteBoldChar"/>
          <w:rtl/>
        </w:rPr>
        <w:t>الوافي</w:t>
      </w:r>
      <w:r w:rsidR="00E3253D" w:rsidRPr="005D642E">
        <w:rPr>
          <w:rtl/>
        </w:rPr>
        <w:t xml:space="preserve"> ، ج 24 ، ص 411 ، ح 24342 ؛ </w:t>
      </w:r>
      <w:r w:rsidR="00E3253D" w:rsidRPr="002F4D34">
        <w:rPr>
          <w:rStyle w:val="libFootnoteBoldChar"/>
          <w:rtl/>
        </w:rPr>
        <w:t>الوسائل</w:t>
      </w:r>
      <w:r w:rsidR="00E3253D" w:rsidRPr="005D642E">
        <w:rPr>
          <w:rtl/>
        </w:rPr>
        <w:t xml:space="preserve"> ، ج 3 ، ص 123 ، ذيل ح 3191.</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 « كبّر</w:t>
      </w:r>
      <w:r w:rsidR="00E3253D">
        <w:rPr>
          <w:rtl/>
        </w:rPr>
        <w:t xml:space="preserve"> ».</w:t>
      </w:r>
      <w:r w:rsidR="00E3253D" w:rsidRPr="005D642E">
        <w:rPr>
          <w:rtl/>
        </w:rPr>
        <w:t xml:space="preserve"> وفي « بث ، بف ، جس » : « يكبّر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73381" w:rsidTr="00573381">
        <w:tc>
          <w:tcPr>
            <w:tcW w:w="4006" w:type="dxa"/>
          </w:tcPr>
          <w:p w:rsidR="00573381" w:rsidRDefault="00573381" w:rsidP="00E3253D">
            <w:pPr>
              <w:pStyle w:val="libFootnote0"/>
              <w:rPr>
                <w:rStyle w:val="libFootnote0Char"/>
                <w:rtl/>
              </w:rPr>
            </w:pPr>
            <w:r w:rsidRPr="0042621E">
              <w:rPr>
                <w:rStyle w:val="libFootnote0Char"/>
                <w:rtl/>
              </w:rPr>
              <w:t>(9).</w:t>
            </w:r>
            <w:r w:rsidRPr="005D642E">
              <w:rPr>
                <w:rtl/>
              </w:rPr>
              <w:t xml:space="preserve"> في « بث ، بف ، جس » : « يقول</w:t>
            </w:r>
            <w:r>
              <w:rPr>
                <w:rtl/>
              </w:rPr>
              <w:t xml:space="preserve"> ».</w:t>
            </w:r>
          </w:p>
        </w:tc>
        <w:tc>
          <w:tcPr>
            <w:tcW w:w="4006" w:type="dxa"/>
          </w:tcPr>
          <w:p w:rsidR="00573381" w:rsidRDefault="00573381" w:rsidP="00E3253D">
            <w:pPr>
              <w:pStyle w:val="libFootnote0"/>
              <w:rPr>
                <w:rStyle w:val="libFootnote0Char"/>
                <w:rtl/>
              </w:rPr>
            </w:pPr>
            <w:r w:rsidRPr="0042621E">
              <w:rPr>
                <w:rStyle w:val="libFootnote0Char"/>
                <w:rtl/>
              </w:rPr>
              <w:t>(10).</w:t>
            </w:r>
            <w:r w:rsidRPr="005D642E">
              <w:rPr>
                <w:rtl/>
              </w:rPr>
              <w:t xml:space="preserve"> في « بث ، بف ، جس » : « يكبّر</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الوافي : + « ولوالدينا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 الغِلّ » ، بالكسر : الغشّ والحقد أيضاً. راجع : </w:t>
      </w:r>
      <w:r w:rsidR="00E3253D" w:rsidRPr="002F4D34">
        <w:rPr>
          <w:rStyle w:val="libFootnoteBoldChar"/>
          <w:rtl/>
        </w:rPr>
        <w:t>الصحاح</w:t>
      </w:r>
      <w:r w:rsidR="00E3253D" w:rsidRPr="005D642E">
        <w:rPr>
          <w:rtl/>
        </w:rPr>
        <w:t xml:space="preserve"> ، ج 2 ، ص 1783 ( غلل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اقتباس من الآية 10 من سورة الحشر (59</w:t>
      </w:r>
      <w:r w:rsidR="00E3253D">
        <w:rPr>
          <w:rtl/>
        </w:rPr>
        <w:t>) :</w:t>
      </w:r>
      <w:r w:rsidR="00E3253D" w:rsidRPr="005D642E">
        <w:rPr>
          <w:rtl/>
        </w:rPr>
        <w:t xml:space="preserve"> </w:t>
      </w:r>
      <w:r w:rsidR="00E3253D" w:rsidRPr="00573381">
        <w:rPr>
          <w:rStyle w:val="libFootnoteAlaemChar"/>
          <w:rtl/>
        </w:rPr>
        <w:t>(</w:t>
      </w:r>
      <w:r w:rsidR="00E3253D" w:rsidRPr="00EB702D">
        <w:rPr>
          <w:rStyle w:val="libFootnoteAieChar"/>
          <w:rtl/>
        </w:rPr>
        <w:t xml:space="preserve"> رَبَّنَا اغْفِرْ لَن</w:t>
      </w:r>
      <w:r w:rsidR="00573381">
        <w:rPr>
          <w:rStyle w:val="libFootnoteAieChar"/>
          <w:rFonts w:hint="cs"/>
          <w:rtl/>
        </w:rPr>
        <w:t>َ</w:t>
      </w:r>
      <w:r w:rsidR="00E3253D" w:rsidRPr="00EB702D">
        <w:rPr>
          <w:rStyle w:val="libFootnoteAieChar"/>
          <w:rtl/>
        </w:rPr>
        <w:t>ا وَلِإِخْو</w:t>
      </w:r>
      <w:r w:rsidR="00573381">
        <w:rPr>
          <w:rStyle w:val="libFootnoteAieChar"/>
          <w:rFonts w:hint="cs"/>
          <w:rtl/>
        </w:rPr>
        <w:t>َ</w:t>
      </w:r>
      <w:r w:rsidR="00E3253D" w:rsidRPr="00EB702D">
        <w:rPr>
          <w:rStyle w:val="libFootnoteAieChar"/>
          <w:rtl/>
        </w:rPr>
        <w:t xml:space="preserve">انِنَا الَّذِينَ سَبَقُونا بِالْإِيمانِ </w:t>
      </w:r>
      <w:r w:rsidR="00E3253D" w:rsidRPr="00312BD7">
        <w:rPr>
          <w:rStyle w:val="libFootnoteAlaemChar"/>
          <w:rtl/>
        </w:rPr>
        <w:t>)</w:t>
      </w:r>
      <w:r w:rsidR="00E3253D" w:rsidRPr="005D642E">
        <w:rPr>
          <w:rtl/>
        </w:rPr>
        <w:t xml:space="preserve"> الآية.</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الْمُؤْمِنِينَ وَالْمُؤْمِنَاتِ </w:t>
      </w:r>
      <w:r w:rsidRPr="007C12DB">
        <w:rPr>
          <w:rStyle w:val="libFootnotenumChar"/>
          <w:rtl/>
        </w:rPr>
        <w:t>(1)</w:t>
      </w:r>
      <w:r w:rsidRPr="005D642E">
        <w:rPr>
          <w:rtl/>
          <w:lang w:bidi="fa-IR"/>
        </w:rPr>
        <w:t xml:space="preserve"> ، وَأَلِّفْ قُلُوبَنَا عَلى قُلُوبِ أَخْيَارِنَا ، وَاهْدِنَا لِمَا اخْتُلِفَ فِيهِ مِنَ الْحَقِّ بِإِذْنِكَ ؛ إِنَّكَ تَهْدِي مَنْ تَشَاءُ إِلى صِرَاطٍ مُسْتَقِيمٍ.</w:t>
      </w:r>
    </w:p>
    <w:p w:rsidR="00E3253D" w:rsidRPr="005D642E" w:rsidRDefault="00E3253D" w:rsidP="00E3253D">
      <w:pPr>
        <w:pStyle w:val="libNormal"/>
        <w:rPr>
          <w:rtl/>
          <w:lang w:bidi="fa-IR"/>
        </w:rPr>
      </w:pPr>
      <w:r w:rsidRPr="005D642E">
        <w:rPr>
          <w:rtl/>
          <w:lang w:bidi="fa-IR"/>
        </w:rPr>
        <w:t xml:space="preserve">فَإِنْ قَطَعَ عَلَيْكَ التَّكْبِيرَةُ </w:t>
      </w:r>
      <w:r w:rsidRPr="007C12DB">
        <w:rPr>
          <w:rStyle w:val="libFootnotenumChar"/>
          <w:rtl/>
        </w:rPr>
        <w:t>(2)</w:t>
      </w:r>
      <w:r w:rsidRPr="005D642E">
        <w:rPr>
          <w:rtl/>
          <w:lang w:bidi="fa-IR"/>
        </w:rPr>
        <w:t xml:space="preserve"> الثَّانِيَة</w:t>
      </w:r>
      <w:r>
        <w:rPr>
          <w:rtl/>
          <w:lang w:bidi="fa-IR"/>
        </w:rPr>
        <w:t>ُ ، فَلَا يَضُرُّكَ تَقُولُ : "</w:t>
      </w:r>
      <w:r w:rsidRPr="005D642E">
        <w:rPr>
          <w:rtl/>
          <w:lang w:bidi="fa-IR"/>
        </w:rPr>
        <w:t>الل</w:t>
      </w:r>
      <w:r w:rsidR="00876EDC">
        <w:rPr>
          <w:rFonts w:hint="cs"/>
          <w:rtl/>
          <w:lang w:bidi="fa-IR"/>
        </w:rPr>
        <w:t>َّ</w:t>
      </w:r>
      <w:r w:rsidRPr="005D642E">
        <w:rPr>
          <w:rtl/>
          <w:lang w:bidi="fa-IR"/>
        </w:rPr>
        <w:t xml:space="preserve">هُمَّ عَبْدُكَ ابْنُ </w:t>
      </w:r>
      <w:r w:rsidRPr="007C12DB">
        <w:rPr>
          <w:rStyle w:val="libFootnotenumChar"/>
          <w:rtl/>
        </w:rPr>
        <w:t>(3)</w:t>
      </w:r>
      <w:r w:rsidRPr="005D642E">
        <w:rPr>
          <w:rtl/>
          <w:lang w:bidi="fa-IR"/>
        </w:rPr>
        <w:t xml:space="preserve"> عَبْدِكَ وَابْنُ </w:t>
      </w:r>
      <w:r w:rsidRPr="007C12DB">
        <w:rPr>
          <w:rStyle w:val="libFootnotenumChar"/>
          <w:rtl/>
        </w:rPr>
        <w:t>(4)</w:t>
      </w:r>
      <w:r w:rsidRPr="005D642E">
        <w:rPr>
          <w:rtl/>
          <w:lang w:bidi="fa-IR"/>
        </w:rPr>
        <w:t xml:space="preserve"> أَمَتِكَ ، أَنْتَ أَعْلَمُ بِهِ </w:t>
      </w:r>
      <w:r w:rsidRPr="007C12DB">
        <w:rPr>
          <w:rStyle w:val="libFootnotenumChar"/>
          <w:rtl/>
        </w:rPr>
        <w:t>(5)</w:t>
      </w:r>
      <w:r w:rsidRPr="005D642E">
        <w:rPr>
          <w:rtl/>
          <w:lang w:bidi="fa-IR"/>
        </w:rPr>
        <w:t xml:space="preserve"> ، افْتَقَرَ إِلى رَحْمَتِكَ ، وَاسْتَغْنَيْتَ عَنْهُ ، الل</w:t>
      </w:r>
      <w:r w:rsidR="00876EDC">
        <w:rPr>
          <w:rFonts w:hint="cs"/>
          <w:rtl/>
          <w:lang w:bidi="fa-IR"/>
        </w:rPr>
        <w:t>َّ</w:t>
      </w:r>
      <w:r w:rsidRPr="005D642E">
        <w:rPr>
          <w:rtl/>
          <w:lang w:bidi="fa-IR"/>
        </w:rPr>
        <w:t xml:space="preserve">هُمَّ فَتَجَاوَزْ عَنْ سَيِّئَاتِهِ ، وَزِدْ فِي حَسَنَاتِهِ </w:t>
      </w:r>
      <w:r w:rsidRPr="007C12DB">
        <w:rPr>
          <w:rStyle w:val="libFootnotenumChar"/>
          <w:rtl/>
        </w:rPr>
        <w:t>(6)</w:t>
      </w:r>
      <w:r w:rsidRPr="005D642E">
        <w:rPr>
          <w:rtl/>
          <w:lang w:bidi="fa-IR"/>
        </w:rPr>
        <w:t xml:space="preserve"> ، وَاغْفِرْ لَهُ وَارْحَمْهُ ، وَنَوِّرْ لَهُ فِي قَبْرِهِ ، وَلَقِّنْهُ حُجَّتَهُ ، وَأَلْحِقْهُ بِنَبِيِّهِ </w:t>
      </w:r>
      <w:r w:rsidR="0042621E" w:rsidRPr="0042621E">
        <w:rPr>
          <w:rStyle w:val="libAlaemChar"/>
          <w:rtl/>
        </w:rPr>
        <w:t>صلى‌الله‌عليه‌وآله</w:t>
      </w:r>
      <w:r w:rsidRPr="005D642E">
        <w:rPr>
          <w:rtl/>
          <w:lang w:bidi="fa-IR"/>
        </w:rPr>
        <w:t xml:space="preserve"> ، وَلَاتَحْرِمْنَا أَجْرَهُ </w:t>
      </w:r>
      <w:r w:rsidRPr="007C12DB">
        <w:rPr>
          <w:rStyle w:val="libFootnotenumChar"/>
          <w:rtl/>
        </w:rPr>
        <w:t>(7)</w:t>
      </w:r>
      <w:r w:rsidRPr="005D642E">
        <w:rPr>
          <w:rtl/>
          <w:lang w:bidi="fa-IR"/>
        </w:rPr>
        <w:t xml:space="preserve"> ، وَلَاتَفْتِنَّا </w:t>
      </w:r>
      <w:r w:rsidRPr="007C12DB">
        <w:rPr>
          <w:rStyle w:val="libFootnotenumChar"/>
          <w:rtl/>
        </w:rPr>
        <w:t>(8)</w:t>
      </w:r>
      <w:r w:rsidRPr="005D642E">
        <w:rPr>
          <w:rtl/>
          <w:lang w:bidi="fa-IR"/>
        </w:rPr>
        <w:t xml:space="preserve"> بَعْدَهُ" ، تَقُولُ </w:t>
      </w:r>
      <w:r w:rsidRPr="007C12DB">
        <w:rPr>
          <w:rStyle w:val="libFootnotenumChar"/>
          <w:rtl/>
        </w:rPr>
        <w:t>(9)</w:t>
      </w:r>
      <w:r w:rsidRPr="005D642E">
        <w:rPr>
          <w:rtl/>
          <w:lang w:bidi="fa-IR"/>
        </w:rPr>
        <w:t xml:space="preserve"> هذَا حَتّى تَفْرُغَ </w:t>
      </w:r>
      <w:r w:rsidRPr="007C12DB">
        <w:rPr>
          <w:rStyle w:val="libFootnotenumChar"/>
          <w:rtl/>
        </w:rPr>
        <w:t>(10)</w:t>
      </w:r>
      <w:r w:rsidRPr="005D642E">
        <w:rPr>
          <w:rtl/>
          <w:lang w:bidi="fa-IR"/>
        </w:rPr>
        <w:t xml:space="preserve"> مِنْ خَمْسِ تَكْبِيرَاتٍ </w:t>
      </w:r>
      <w:r w:rsidRPr="007C12DB">
        <w:rPr>
          <w:rStyle w:val="libFootnotenumChar"/>
          <w:rtl/>
        </w:rPr>
        <w:t>(11)</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9F0827">
        <w:rPr>
          <w:rtl/>
        </w:rPr>
        <w:t>4506</w:t>
      </w:r>
      <w:r w:rsidRPr="00246318">
        <w:rPr>
          <w:rStyle w:val="libBold2Char"/>
          <w:rtl/>
        </w:rPr>
        <w:t xml:space="preserve"> / 2.</w:t>
      </w:r>
      <w:r w:rsidRPr="005D642E">
        <w:rPr>
          <w:rtl/>
          <w:lang w:bidi="fa-IR"/>
        </w:rPr>
        <w:t xml:space="preserve"> عَلِيُّ بْنُ إِبْرَاهِيمَ ، عَنْ أَبِيهِ ، عَنِ ابْنِ أَبِي عُمَيْرٍ ، عَنْ حَمَّادٍ ، عَنِ الْحَلَبِيِّ ، عَنْ</w:t>
      </w:r>
      <w:r w:rsidRPr="007C12DB">
        <w:rPr>
          <w:rStyle w:val="libFootnotenumChar"/>
          <w:rtl/>
        </w:rPr>
        <w:t>(13)</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76EDC" w:rsidTr="00876EDC">
        <w:tc>
          <w:tcPr>
            <w:tcW w:w="4006" w:type="dxa"/>
          </w:tcPr>
          <w:p w:rsidR="00876EDC" w:rsidRDefault="00876EDC" w:rsidP="00E3253D">
            <w:pPr>
              <w:pStyle w:val="libFootnote0"/>
              <w:rPr>
                <w:rStyle w:val="libFootnote0Char"/>
                <w:rtl/>
              </w:rPr>
            </w:pPr>
            <w:r w:rsidRPr="0042621E">
              <w:rPr>
                <w:rStyle w:val="libFootnote0Char"/>
                <w:rtl/>
              </w:rPr>
              <w:t>(1).</w:t>
            </w:r>
            <w:r>
              <w:rPr>
                <w:rtl/>
              </w:rPr>
              <w:t xml:space="preserve"> </w:t>
            </w:r>
            <w:r w:rsidRPr="005D642E">
              <w:rPr>
                <w:rtl/>
              </w:rPr>
              <w:t>في « ى » :</w:t>
            </w:r>
            <w:r>
              <w:rPr>
                <w:rtl/>
              </w:rPr>
              <w:t xml:space="preserve"> - </w:t>
            </w:r>
            <w:r w:rsidRPr="005D642E">
              <w:rPr>
                <w:rtl/>
              </w:rPr>
              <w:t>« والمؤمنات</w:t>
            </w:r>
            <w:r>
              <w:rPr>
                <w:rtl/>
              </w:rPr>
              <w:t xml:space="preserve"> ».</w:t>
            </w:r>
          </w:p>
        </w:tc>
        <w:tc>
          <w:tcPr>
            <w:tcW w:w="4006" w:type="dxa"/>
          </w:tcPr>
          <w:p w:rsidR="00876EDC" w:rsidRDefault="00876EDC" w:rsidP="00E3253D">
            <w:pPr>
              <w:pStyle w:val="libFootnote0"/>
              <w:rPr>
                <w:rStyle w:val="libFootnote0Char"/>
                <w:rtl/>
              </w:rPr>
            </w:pPr>
            <w:r w:rsidRPr="0042621E">
              <w:rPr>
                <w:rStyle w:val="libFootnote0Char"/>
                <w:rtl/>
              </w:rPr>
              <w:t>(2).</w:t>
            </w:r>
            <w:r w:rsidRPr="005D642E">
              <w:rPr>
                <w:rtl/>
              </w:rPr>
              <w:t xml:space="preserve"> في « ظ ، بس ، جس » : « التكبير</w:t>
            </w:r>
            <w:r>
              <w:rPr>
                <w:rtl/>
              </w:rPr>
              <w:t xml:space="preserve"> ».</w:t>
            </w:r>
          </w:p>
        </w:tc>
      </w:tr>
      <w:tr w:rsidR="00876EDC" w:rsidTr="00876EDC">
        <w:tc>
          <w:tcPr>
            <w:tcW w:w="4006" w:type="dxa"/>
          </w:tcPr>
          <w:p w:rsidR="00876EDC" w:rsidRDefault="00876EDC" w:rsidP="00E3253D">
            <w:pPr>
              <w:pStyle w:val="libFootnote0"/>
              <w:rPr>
                <w:rStyle w:val="libFootnote0Char"/>
                <w:rtl/>
              </w:rPr>
            </w:pPr>
            <w:r w:rsidRPr="0042621E">
              <w:rPr>
                <w:rStyle w:val="libFootnote0Char"/>
                <w:rtl/>
              </w:rPr>
              <w:t>(3).</w:t>
            </w:r>
            <w:r>
              <w:rPr>
                <w:rtl/>
              </w:rPr>
              <w:t xml:space="preserve"> في «غ ،بث ،بح ،بخ ،بس ،بف</w:t>
            </w:r>
            <w:r w:rsidRPr="005D642E">
              <w:rPr>
                <w:rtl/>
              </w:rPr>
              <w:t>» : « وابن</w:t>
            </w:r>
            <w:r>
              <w:rPr>
                <w:rtl/>
              </w:rPr>
              <w:t xml:space="preserve"> ».</w:t>
            </w:r>
          </w:p>
        </w:tc>
        <w:tc>
          <w:tcPr>
            <w:tcW w:w="4006" w:type="dxa"/>
          </w:tcPr>
          <w:p w:rsidR="00876EDC" w:rsidRDefault="00876EDC" w:rsidP="00E3253D">
            <w:pPr>
              <w:pStyle w:val="libFootnote0"/>
              <w:rPr>
                <w:rStyle w:val="libFootnote0Char"/>
                <w:rtl/>
              </w:rPr>
            </w:pPr>
            <w:r w:rsidRPr="0042621E">
              <w:rPr>
                <w:rStyle w:val="libFootnote0Char"/>
                <w:rtl/>
              </w:rPr>
              <w:t>(4).</w:t>
            </w:r>
            <w:r w:rsidRPr="005D642E">
              <w:rPr>
                <w:rtl/>
              </w:rPr>
              <w:t xml:space="preserve"> في « بح » </w:t>
            </w:r>
            <w:r w:rsidRPr="000D749A">
              <w:rPr>
                <w:rStyle w:val="libFootnoteBoldChar"/>
                <w:rtl/>
              </w:rPr>
              <w:t>والوافي</w:t>
            </w:r>
            <w:r w:rsidRPr="005D642E">
              <w:rPr>
                <w:rtl/>
              </w:rPr>
              <w:t xml:space="preserve"> : « ابن » بدون الواو.</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وفي المطبوع : + « منّي</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 « إحسانه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لاتحرمنا أجره ، أي أجر مصيبته وتجهيزه ، أي أفرغ علينا صبراً وتقبّل منّا ما نتحمّل فيه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لاتفتنّا » ، أي لا توقعنا في الفتنة ، أو لا تضلّنا عن طريق الحقّ ؛ من الفتنة بمعنى الضلال والإثم. راجع : </w:t>
      </w:r>
      <w:r w:rsidR="00E3253D" w:rsidRPr="002F4D34">
        <w:rPr>
          <w:rStyle w:val="libFootnoteBoldChar"/>
          <w:rtl/>
        </w:rPr>
        <w:t>لسان العرب</w:t>
      </w:r>
      <w:r w:rsidR="00E3253D" w:rsidRPr="005D642E">
        <w:rPr>
          <w:rtl/>
        </w:rPr>
        <w:t xml:space="preserve"> ، ج 13 ، ص 18 ؛ </w:t>
      </w:r>
      <w:r w:rsidR="00E3253D" w:rsidRPr="002F4D34">
        <w:rPr>
          <w:rStyle w:val="libFootnoteBoldChar"/>
          <w:rtl/>
        </w:rPr>
        <w:t>القاموس المحيط</w:t>
      </w:r>
      <w:r w:rsidR="00E3253D" w:rsidRPr="005D642E">
        <w:rPr>
          <w:rtl/>
        </w:rPr>
        <w:t xml:space="preserve"> ، ج 2 ، ص 1604 ( فتن )</w:t>
      </w:r>
      <w:r w:rsidR="00E3253D">
        <w:rPr>
          <w:rtl/>
        </w:rPr>
        <w:t>.</w:t>
      </w:r>
    </w:p>
    <w:tbl>
      <w:tblPr>
        <w:tblStyle w:val="TableGrid"/>
        <w:bidiVisual/>
        <w:tblW w:w="0" w:type="auto"/>
        <w:tblLook w:val="04A0" w:firstRow="1" w:lastRow="0" w:firstColumn="1" w:lastColumn="0" w:noHBand="0" w:noVBand="1"/>
      </w:tblPr>
      <w:tblGrid>
        <w:gridCol w:w="4006"/>
        <w:gridCol w:w="4006"/>
      </w:tblGrid>
      <w:tr w:rsidR="00876EDC" w:rsidTr="00876EDC">
        <w:tc>
          <w:tcPr>
            <w:tcW w:w="4006" w:type="dxa"/>
          </w:tcPr>
          <w:p w:rsidR="00876EDC" w:rsidRDefault="00876EDC" w:rsidP="00E3253D">
            <w:pPr>
              <w:pStyle w:val="libFootnote0"/>
              <w:rPr>
                <w:rStyle w:val="libFootnote0Char"/>
                <w:rtl/>
              </w:rPr>
            </w:pPr>
            <w:r w:rsidRPr="0042621E">
              <w:rPr>
                <w:rStyle w:val="libFootnote0Char"/>
                <w:rtl/>
              </w:rPr>
              <w:t>(9).</w:t>
            </w:r>
            <w:r w:rsidRPr="005D642E">
              <w:rPr>
                <w:rtl/>
              </w:rPr>
              <w:t xml:space="preserve"> في « بث ، بخ ، بف ، جس » : « يقول</w:t>
            </w:r>
            <w:r>
              <w:rPr>
                <w:rtl/>
              </w:rPr>
              <w:t xml:space="preserve"> ».</w:t>
            </w:r>
          </w:p>
        </w:tc>
        <w:tc>
          <w:tcPr>
            <w:tcW w:w="4006" w:type="dxa"/>
          </w:tcPr>
          <w:p w:rsidR="00876EDC" w:rsidRDefault="00876EDC" w:rsidP="00E3253D">
            <w:pPr>
              <w:pStyle w:val="libFootnote0"/>
              <w:rPr>
                <w:rStyle w:val="libFootnote0Char"/>
                <w:rtl/>
              </w:rPr>
            </w:pPr>
            <w:r w:rsidRPr="0042621E">
              <w:rPr>
                <w:rStyle w:val="libFootnote0Char"/>
                <w:rtl/>
              </w:rPr>
              <w:t>(10).</w:t>
            </w:r>
            <w:r>
              <w:rPr>
                <w:rtl/>
              </w:rPr>
              <w:t xml:space="preserve"> في «بث ، بخ ، بف ، جس</w:t>
            </w:r>
            <w:r w:rsidRPr="005D642E">
              <w:rPr>
                <w:rtl/>
              </w:rPr>
              <w:t>» : « حتّى يفرغ</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الوافي</w:t>
      </w:r>
      <w:r w:rsidR="00E3253D" w:rsidRPr="005D642E">
        <w:rPr>
          <w:rtl/>
        </w:rPr>
        <w:t xml:space="preserve"> : « قوله في آخر الحديث : تقول هذا ؛ يعني تكرّر المجموع أو هذا الأخير ما بين كلّ تكبيرتين ، وفي التهذيب : حين يفرغ ، مكان حتّى يفرغ ، وعلى هذا يكون معناه : أن تأتي بالدعاء الأخير بعد الفراغ من الخمس. وفيه بعد ، والظاهر أنّه تصحيف</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876EDC">
        <w:rPr>
          <w:rStyle w:val="libFootnoteAlaemChar"/>
          <w:rtl/>
        </w:rPr>
        <w:t>عليه‌السلام</w:t>
      </w:r>
      <w:r w:rsidR="00E3253D" w:rsidRPr="005D642E">
        <w:rPr>
          <w:rtl/>
        </w:rPr>
        <w:t xml:space="preserve"> : تقول هذا حتّى تفرغ إلخ ، ظاهره يوهم أنّه يلزم الدعاء بعد الخامسة أيضاً ، ويمكن أن يقال : جعل </w:t>
      </w:r>
      <w:r w:rsidR="00E3253D" w:rsidRPr="00876EDC">
        <w:rPr>
          <w:rStyle w:val="libFootnoteAlaemChar"/>
          <w:rtl/>
        </w:rPr>
        <w:t>عليه‌السلام</w:t>
      </w:r>
      <w:r w:rsidR="00E3253D" w:rsidRPr="005D642E">
        <w:rPr>
          <w:rtl/>
        </w:rPr>
        <w:t xml:space="preserve"> نهاية القراءة الفراغ من الخمس ، فإذا كبّر الخامسة فقد فرغ منها ، فلا يقرأ بعدها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3 ، ص 191 ، ح 435 ، بسنده عن زرعة ، مع اختلاف يسير وزيادة في أوّله وآخره </w:t>
      </w:r>
      <w:r w:rsidR="00876EDC">
        <w:rPr>
          <w:rFonts w:hint="cs"/>
          <w:rtl/>
        </w:rPr>
        <w:t>.</w:t>
      </w:r>
      <w:r w:rsidR="00E3253D" w:rsidRPr="002F4D34">
        <w:rPr>
          <w:rStyle w:val="libFootnoteBoldChar"/>
          <w:rtl/>
        </w:rPr>
        <w:t>الوافي</w:t>
      </w:r>
      <w:r w:rsidR="00E3253D" w:rsidRPr="005D642E">
        <w:rPr>
          <w:rtl/>
        </w:rPr>
        <w:t xml:space="preserve"> ، ج 24 ، ص 453 ، ح 24433 ؛ </w:t>
      </w:r>
      <w:r w:rsidR="00E3253D" w:rsidRPr="002F4D34">
        <w:rPr>
          <w:rStyle w:val="libFootnoteBoldChar"/>
          <w:rtl/>
        </w:rPr>
        <w:t>الوسائل</w:t>
      </w:r>
      <w:r w:rsidR="00E3253D" w:rsidRPr="005D642E">
        <w:rPr>
          <w:rtl/>
        </w:rPr>
        <w:t xml:space="preserve"> ، ج 3 ، ص 63 ، ذيل ح 3026.</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أكثر الكليني </w:t>
      </w:r>
      <w:r w:rsidR="00E3253D" w:rsidRPr="00876EDC">
        <w:rPr>
          <w:rStyle w:val="libFootnoteAlaemChar"/>
          <w:rtl/>
        </w:rPr>
        <w:t>قدس‌سره</w:t>
      </w:r>
      <w:r w:rsidR="00E3253D" w:rsidRPr="005D642E">
        <w:rPr>
          <w:rtl/>
        </w:rPr>
        <w:t xml:space="preserve"> من الرواية عن عليّ بن إبراهيم ، عن أبيه ، عن ابن أبي عمير ، عن حمّاد [ بن عثمان ] ، عن [ عبيدالله ] الحلبي. وهذا الطريق من أشهرطرق الكليني في كتابه </w:t>
      </w:r>
      <w:r w:rsidR="00E3253D" w:rsidRPr="002F4D34">
        <w:rPr>
          <w:rStyle w:val="libFootnoteBoldChar"/>
          <w:rtl/>
        </w:rPr>
        <w:t>الكافي</w:t>
      </w:r>
      <w:r w:rsidR="00E3253D" w:rsidRPr="005D642E">
        <w:rPr>
          <w:rtl/>
        </w:rPr>
        <w:t xml:space="preserve">. فعليه ، المراد من حمّاد في السند ، هو </w:t>
      </w:r>
      <w:r w:rsidR="00876EDC">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زُرَارَةَ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الصَّلَاةِ عَلَى الْمَيِّتِ ، قَالَ : « تُكَبِّرُ ، ثُمَّ تُصَلِّي </w:t>
      </w:r>
      <w:r w:rsidRPr="007C12DB">
        <w:rPr>
          <w:rStyle w:val="libFootnotenumChar"/>
          <w:rtl/>
        </w:rPr>
        <w:t>(1)</w:t>
      </w:r>
      <w:r w:rsidRPr="005D642E">
        <w:rPr>
          <w:rtl/>
          <w:lang w:bidi="fa-IR"/>
        </w:rPr>
        <w:t xml:space="preserve"> عَلَى النَّبِيِّ </w:t>
      </w:r>
      <w:r w:rsidR="0042621E" w:rsidRPr="0042621E">
        <w:rPr>
          <w:rStyle w:val="libAlaemChar"/>
          <w:rtl/>
        </w:rPr>
        <w:t>صلى‌الله‌عليه‌وآله</w:t>
      </w:r>
      <w:r w:rsidRPr="005D642E">
        <w:rPr>
          <w:rtl/>
          <w:lang w:bidi="fa-IR"/>
        </w:rPr>
        <w:t xml:space="preserve"> ، ثُمَّ تَقُولُ </w:t>
      </w:r>
      <w:r w:rsidRPr="007C12DB">
        <w:rPr>
          <w:rStyle w:val="libFootnotenumChar"/>
          <w:rtl/>
        </w:rPr>
        <w:t>(2)</w:t>
      </w:r>
      <w:r w:rsidRPr="005D642E">
        <w:rPr>
          <w:rtl/>
          <w:lang w:bidi="fa-IR"/>
        </w:rPr>
        <w:t xml:space="preserve"> : الل</w:t>
      </w:r>
      <w:r w:rsidR="00876EDC">
        <w:rPr>
          <w:rFonts w:hint="cs"/>
          <w:rtl/>
          <w:lang w:bidi="fa-IR"/>
        </w:rPr>
        <w:t>َّ</w:t>
      </w:r>
      <w:r w:rsidRPr="005D642E">
        <w:rPr>
          <w:rtl/>
          <w:lang w:bidi="fa-IR"/>
        </w:rPr>
        <w:t xml:space="preserve">هُمَّ عَبْدُكَ ابْنُ </w:t>
      </w:r>
      <w:r w:rsidRPr="007C12DB">
        <w:rPr>
          <w:rStyle w:val="libFootnotenumChar"/>
          <w:rtl/>
        </w:rPr>
        <w:t>(3)</w:t>
      </w:r>
      <w:r w:rsidRPr="005D642E">
        <w:rPr>
          <w:rtl/>
          <w:lang w:bidi="fa-IR"/>
        </w:rPr>
        <w:t xml:space="preserve"> عَبْدِكَ ابْنُ </w:t>
      </w:r>
      <w:r w:rsidRPr="007C12DB">
        <w:rPr>
          <w:rStyle w:val="libFootnotenumChar"/>
          <w:rtl/>
        </w:rPr>
        <w:t>(4)</w:t>
      </w:r>
      <w:r w:rsidRPr="005D642E">
        <w:rPr>
          <w:rtl/>
          <w:lang w:bidi="fa-IR"/>
        </w:rPr>
        <w:t xml:space="preserve"> أَمَتِكَ ، لَا</w:t>
      </w:r>
      <w:r>
        <w:rPr>
          <w:rFonts w:hint="cs"/>
          <w:rtl/>
          <w:lang w:bidi="fa-IR"/>
        </w:rPr>
        <w:t xml:space="preserve"> </w:t>
      </w:r>
      <w:r w:rsidRPr="005D642E">
        <w:rPr>
          <w:rtl/>
          <w:lang w:bidi="fa-IR"/>
        </w:rPr>
        <w:t xml:space="preserve">أَعْلَمُ مِنْهُ </w:t>
      </w:r>
      <w:r w:rsidRPr="007C12DB">
        <w:rPr>
          <w:rStyle w:val="libFootnotenumChar"/>
          <w:rtl/>
        </w:rPr>
        <w:t>(5)</w:t>
      </w:r>
      <w:r w:rsidR="00876EDC">
        <w:rPr>
          <w:rtl/>
          <w:lang w:bidi="fa-IR"/>
        </w:rPr>
        <w:t xml:space="preserve"> إِل</w:t>
      </w:r>
      <w:r w:rsidR="00876EDC">
        <w:rPr>
          <w:rFonts w:hint="cs"/>
          <w:rtl/>
          <w:lang w:bidi="fa-IR"/>
        </w:rPr>
        <w:t>َّ</w:t>
      </w:r>
      <w:r w:rsidR="00876EDC">
        <w:rPr>
          <w:rtl/>
          <w:lang w:bidi="fa-IR"/>
        </w:rPr>
        <w:t>ا</w:t>
      </w:r>
      <w:r w:rsidRPr="005D642E">
        <w:rPr>
          <w:rtl/>
          <w:lang w:bidi="fa-IR"/>
        </w:rPr>
        <w:t xml:space="preserve"> خَيْراً ، وَأَنْتَ أَعْلَمُ بِهِ مِنِّي </w:t>
      </w:r>
      <w:r w:rsidRPr="007C12DB">
        <w:rPr>
          <w:rStyle w:val="libFootnotenumChar"/>
          <w:rtl/>
        </w:rPr>
        <w:t>(6)</w:t>
      </w:r>
      <w:r w:rsidRPr="005D642E">
        <w:rPr>
          <w:rtl/>
          <w:lang w:bidi="fa-IR"/>
        </w:rPr>
        <w:t xml:space="preserve"> ، الل</w:t>
      </w:r>
      <w:r w:rsidR="00876EDC">
        <w:rPr>
          <w:rFonts w:hint="cs"/>
          <w:rtl/>
          <w:lang w:bidi="fa-IR"/>
        </w:rPr>
        <w:t>َّ</w:t>
      </w:r>
      <w:r w:rsidRPr="005D642E">
        <w:rPr>
          <w:rtl/>
          <w:lang w:bidi="fa-IR"/>
        </w:rPr>
        <w:t xml:space="preserve">هُمَّ إِنْ كَانَ مُحْسِناً ، فَزِدْ فِي إِحْسَانِهِ </w:t>
      </w:r>
      <w:r w:rsidRPr="007C12DB">
        <w:rPr>
          <w:rStyle w:val="libFootnotenumChar"/>
          <w:rtl/>
        </w:rPr>
        <w:t>(7)</w:t>
      </w:r>
      <w:r w:rsidRPr="005D642E">
        <w:rPr>
          <w:rtl/>
          <w:lang w:bidi="fa-IR"/>
        </w:rPr>
        <w:t xml:space="preserve"> ، وَتَقَبَّلْ مِنْهُ ؛ وَإِنْ كَانَ مُسِيئاً ، فَاغْفِرْ لَهُ ذَنْبَهُ</w:t>
      </w:r>
      <w:r w:rsidRPr="007C12DB">
        <w:rPr>
          <w:rStyle w:val="libFootnotenumChar"/>
          <w:rtl/>
        </w:rPr>
        <w:t>(8)</w:t>
      </w:r>
      <w:r w:rsidRPr="005D642E">
        <w:rPr>
          <w:rtl/>
          <w:lang w:bidi="fa-IR"/>
        </w:rPr>
        <w:t xml:space="preserve"> ، وَافْسَحْ لَهُ </w:t>
      </w:r>
      <w:r w:rsidRPr="007C12DB">
        <w:rPr>
          <w:rStyle w:val="libFootnotenumChar"/>
          <w:rtl/>
        </w:rPr>
        <w:t>(9)</w:t>
      </w:r>
      <w:r w:rsidRPr="005D642E">
        <w:rPr>
          <w:rtl/>
          <w:lang w:bidi="fa-IR"/>
        </w:rPr>
        <w:t xml:space="preserve"> فِي قَبْرِهِ ، وَاجْعَلْهُ مِنْ رُفَقَاءِ مُحَمَّدٍ </w:t>
      </w:r>
      <w:r w:rsidR="0042621E" w:rsidRPr="0042621E">
        <w:rPr>
          <w:rStyle w:val="libAlaemChar"/>
          <w:rtl/>
        </w:rPr>
        <w:t>صلى‌الله‌عليه‌وآله</w:t>
      </w:r>
      <w:r w:rsidRPr="005D642E">
        <w:rPr>
          <w:rtl/>
          <w:lang w:bidi="fa-IR"/>
        </w:rPr>
        <w:t>.</w:t>
      </w:r>
    </w:p>
    <w:p w:rsidR="00E3253D" w:rsidRPr="005D642E" w:rsidRDefault="00E3253D" w:rsidP="00E3253D">
      <w:pPr>
        <w:pStyle w:val="libNormal"/>
        <w:rPr>
          <w:rtl/>
          <w:lang w:bidi="fa-IR"/>
        </w:rPr>
      </w:pPr>
      <w:r w:rsidRPr="005D642E">
        <w:rPr>
          <w:rtl/>
          <w:lang w:bidi="fa-IR"/>
        </w:rPr>
        <w:t xml:space="preserve">ثُمَّ تُكَبِّرُ </w:t>
      </w:r>
      <w:r w:rsidRPr="007C12DB">
        <w:rPr>
          <w:rStyle w:val="libFootnotenumChar"/>
          <w:rtl/>
        </w:rPr>
        <w:t>(10)</w:t>
      </w:r>
      <w:r w:rsidRPr="005D642E">
        <w:rPr>
          <w:rtl/>
          <w:lang w:bidi="fa-IR"/>
        </w:rPr>
        <w:t xml:space="preserve"> الثَّانِيَةَ ، وَتَقُولُ </w:t>
      </w:r>
      <w:r w:rsidRPr="007C12DB">
        <w:rPr>
          <w:rStyle w:val="libFootnotenumChar"/>
          <w:rtl/>
        </w:rPr>
        <w:t>(11)</w:t>
      </w:r>
      <w:r w:rsidRPr="005D642E">
        <w:rPr>
          <w:rtl/>
          <w:lang w:bidi="fa-IR"/>
        </w:rPr>
        <w:t xml:space="preserve"> : الل</w:t>
      </w:r>
      <w:r w:rsidR="00FE6C37">
        <w:rPr>
          <w:rFonts w:hint="cs"/>
          <w:rtl/>
          <w:lang w:bidi="fa-IR"/>
        </w:rPr>
        <w:t>َّ</w:t>
      </w:r>
      <w:r w:rsidRPr="005D642E">
        <w:rPr>
          <w:rtl/>
          <w:lang w:bidi="fa-IR"/>
        </w:rPr>
        <w:t xml:space="preserve">هُمَّ إِنْ كَانَ زَاكِياً فَزَكِّهِ </w:t>
      </w:r>
      <w:r w:rsidRPr="007C12DB">
        <w:rPr>
          <w:rStyle w:val="libFootnotenumChar"/>
          <w:rtl/>
        </w:rPr>
        <w:t>(12)</w:t>
      </w:r>
      <w:r w:rsidRPr="005D642E">
        <w:rPr>
          <w:rtl/>
          <w:lang w:bidi="fa-IR"/>
        </w:rPr>
        <w:t xml:space="preserve"> ، وَإِنْ كَانَ خَاطِئاً فَاغْفِرْ لَهُ.</w:t>
      </w:r>
    </w:p>
    <w:p w:rsidR="00E3253D" w:rsidRPr="005D642E" w:rsidRDefault="00E3253D" w:rsidP="00E3253D">
      <w:pPr>
        <w:pStyle w:val="libLine"/>
        <w:rPr>
          <w:rtl/>
          <w:lang w:bidi="fa-IR"/>
        </w:rPr>
      </w:pPr>
      <w:r w:rsidRPr="005D642E">
        <w:rPr>
          <w:rtl/>
          <w:lang w:bidi="fa-IR"/>
        </w:rPr>
        <w:t>__________________</w:t>
      </w:r>
    </w:p>
    <w:p w:rsidR="00E3253D" w:rsidRPr="005D642E" w:rsidRDefault="00FE6C37" w:rsidP="00E3253D">
      <w:pPr>
        <w:pStyle w:val="libFootnote0"/>
        <w:rPr>
          <w:rtl/>
          <w:lang w:bidi="fa-IR"/>
        </w:rPr>
      </w:pPr>
      <w:r>
        <w:rPr>
          <w:rFonts w:hint="cs"/>
          <w:rtl/>
        </w:rPr>
        <w:t xml:space="preserve">= </w:t>
      </w:r>
      <w:r w:rsidR="00E3253D" w:rsidRPr="005D642E">
        <w:rPr>
          <w:rtl/>
        </w:rPr>
        <w:t>حمّاد بن عثمان ، وروى هو عن زرارة في بعض الأسناد مباشرةً. ولم يثبت رواية الحلبي هذا</w:t>
      </w:r>
      <w:r w:rsidR="00E3253D">
        <w:rPr>
          <w:rtl/>
        </w:rPr>
        <w:t xml:space="preserve"> </w:t>
      </w:r>
      <w:r w:rsidR="007642BC">
        <w:rPr>
          <w:rtl/>
        </w:rPr>
        <w:t>-</w:t>
      </w:r>
      <w:r w:rsidR="00E3253D">
        <w:rPr>
          <w:rtl/>
        </w:rPr>
        <w:t xml:space="preserve"> </w:t>
      </w:r>
      <w:r w:rsidR="00E3253D" w:rsidRPr="005D642E">
        <w:rPr>
          <w:rtl/>
        </w:rPr>
        <w:t>وهو عبيدالله بن علي</w:t>
      </w:r>
      <w:r w:rsidR="00E3253D">
        <w:rPr>
          <w:rtl/>
        </w:rPr>
        <w:t xml:space="preserve"> </w:t>
      </w:r>
      <w:r w:rsidR="007642BC">
        <w:rPr>
          <w:rtl/>
        </w:rPr>
        <w:t>-</w:t>
      </w:r>
      <w:r w:rsidR="00E3253D">
        <w:rPr>
          <w:rtl/>
        </w:rPr>
        <w:t xml:space="preserve"> </w:t>
      </w:r>
      <w:r w:rsidR="00E3253D" w:rsidRPr="005D642E">
        <w:rPr>
          <w:rtl/>
        </w:rPr>
        <w:t xml:space="preserve">عن زرارة ، بل يأتي في </w:t>
      </w:r>
      <w:r w:rsidR="00E3253D" w:rsidRPr="002F4D34">
        <w:rPr>
          <w:rStyle w:val="libFootnoteBoldChar"/>
          <w:rtl/>
        </w:rPr>
        <w:t>الكافي</w:t>
      </w:r>
      <w:r w:rsidR="00E3253D" w:rsidRPr="005D642E">
        <w:rPr>
          <w:rtl/>
        </w:rPr>
        <w:t xml:space="preserve"> ، ح 4513 </w:t>
      </w:r>
      <w:r w:rsidR="00E3253D">
        <w:rPr>
          <w:rtl/>
        </w:rPr>
        <w:t>و 4</w:t>
      </w:r>
      <w:r w:rsidR="00E3253D" w:rsidRPr="005D642E">
        <w:rPr>
          <w:rtl/>
        </w:rPr>
        <w:t>600 ، رواية عليّ بن إبراهيم ، عن أبيه ، عن ابن أبي عمير ، عن حمّاد بن عثمان ، عن الحلبي وزرارة. فلا يبعد وقوع التحريف في ما نحن فيه ، وأن يكون الصواب هو : « الحلبي وزرارة</w:t>
      </w:r>
      <w:r w:rsidR="00E3253D">
        <w:rPr>
          <w:rtl/>
        </w:rPr>
        <w:t>».</w:t>
      </w:r>
      <w:r w:rsidR="00E3253D" w:rsidRPr="005D642E">
        <w:rPr>
          <w:rtl/>
        </w:rPr>
        <w:t xml:space="preserve"> راجع : </w:t>
      </w:r>
      <w:r w:rsidR="00E3253D" w:rsidRPr="002F4D34">
        <w:rPr>
          <w:rStyle w:val="libFootnoteBoldChar"/>
          <w:rtl/>
        </w:rPr>
        <w:t>معجم رجال الحديث</w:t>
      </w:r>
      <w:r w:rsidR="00E3253D" w:rsidRPr="005D642E">
        <w:rPr>
          <w:rtl/>
        </w:rPr>
        <w:t xml:space="preserve"> ، ج 6 ، ص 410.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جس » : « يكبّر ، ثمّ يصلّي</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جس » : « ثمّ يقول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FE6C37" w:rsidTr="00FE6C37">
        <w:tc>
          <w:tcPr>
            <w:tcW w:w="4006" w:type="dxa"/>
          </w:tcPr>
          <w:p w:rsidR="00FE6C37" w:rsidRDefault="00FE6C37" w:rsidP="00E3253D">
            <w:pPr>
              <w:pStyle w:val="libFootnote0"/>
              <w:rPr>
                <w:rStyle w:val="libFootnote0Char"/>
                <w:rtl/>
              </w:rPr>
            </w:pPr>
            <w:r w:rsidRPr="0042621E">
              <w:rPr>
                <w:rStyle w:val="libFootnote0Char"/>
                <w:rtl/>
              </w:rPr>
              <w:t>(3).</w:t>
            </w:r>
            <w:r>
              <w:rPr>
                <w:rtl/>
              </w:rPr>
              <w:t xml:space="preserve"> في «غ ، بح ، بخ ، بف» وفقه الرضا : «</w:t>
            </w:r>
            <w:r w:rsidRPr="005D642E">
              <w:rPr>
                <w:rtl/>
              </w:rPr>
              <w:t>وابن</w:t>
            </w:r>
            <w:r>
              <w:rPr>
                <w:rtl/>
              </w:rPr>
              <w:t>».</w:t>
            </w:r>
          </w:p>
        </w:tc>
        <w:tc>
          <w:tcPr>
            <w:tcW w:w="4006" w:type="dxa"/>
          </w:tcPr>
          <w:p w:rsidR="00FE6C37" w:rsidRDefault="00FE6C37" w:rsidP="00E3253D">
            <w:pPr>
              <w:pStyle w:val="libFootnote0"/>
              <w:rPr>
                <w:rStyle w:val="libFootnote0Char"/>
                <w:rtl/>
              </w:rPr>
            </w:pPr>
            <w:r w:rsidRPr="0042621E">
              <w:rPr>
                <w:rStyle w:val="libFootnote0Char"/>
                <w:rtl/>
              </w:rPr>
              <w:t>(4).</w:t>
            </w:r>
            <w:r w:rsidRPr="005D642E">
              <w:rPr>
                <w:rtl/>
              </w:rPr>
              <w:t xml:space="preserve"> في « غ » وفقه الرضا : « وابن</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بث ، بس ، جس » :</w:t>
      </w:r>
      <w:r w:rsidR="00E3253D">
        <w:rPr>
          <w:rtl/>
        </w:rPr>
        <w:t xml:space="preserve"> </w:t>
      </w:r>
      <w:r w:rsidR="007642BC">
        <w:rPr>
          <w:rtl/>
        </w:rPr>
        <w:t>-</w:t>
      </w:r>
      <w:r w:rsidR="00E3253D">
        <w:rPr>
          <w:rtl/>
        </w:rPr>
        <w:t xml:space="preserve"> </w:t>
      </w:r>
      <w:r w:rsidR="00E3253D" w:rsidRPr="005D642E">
        <w:rPr>
          <w:rtl/>
        </w:rPr>
        <w:t>« منه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جن » : « منّا به</w:t>
      </w:r>
      <w:r w:rsidR="00E3253D">
        <w:rPr>
          <w:rtl/>
        </w:rPr>
        <w:t xml:space="preserve"> ».</w:t>
      </w:r>
      <w:r w:rsidR="00E3253D" w:rsidRPr="005D642E">
        <w:rPr>
          <w:rtl/>
        </w:rPr>
        <w:t xml:space="preserve"> وفي « غ ، بس ، بف ، جح ، جس » وفقه الرضا :</w:t>
      </w:r>
      <w:r w:rsidR="00E3253D">
        <w:rPr>
          <w:rtl/>
        </w:rPr>
        <w:t xml:space="preserve"> </w:t>
      </w:r>
      <w:r w:rsidR="007642BC">
        <w:rPr>
          <w:rtl/>
        </w:rPr>
        <w:t>-</w:t>
      </w:r>
      <w:r w:rsidR="00E3253D">
        <w:rPr>
          <w:rtl/>
        </w:rPr>
        <w:t xml:space="preserve"> </w:t>
      </w:r>
      <w:r w:rsidR="00E3253D" w:rsidRPr="005D642E">
        <w:rPr>
          <w:rtl/>
        </w:rPr>
        <w:t>« منّي</w:t>
      </w:r>
      <w:r w:rsidR="00E3253D">
        <w:rPr>
          <w:rtl/>
        </w:rPr>
        <w:t xml:space="preserve"> ».</w:t>
      </w:r>
      <w:r w:rsidR="00E3253D" w:rsidRPr="005D642E">
        <w:rPr>
          <w:rtl/>
        </w:rPr>
        <w:t xml:space="preserve"> وفي « ى ، بح » وحاشية « بث ، جح » </w:t>
      </w:r>
      <w:r w:rsidR="000D749A" w:rsidRPr="000D749A">
        <w:rPr>
          <w:rStyle w:val="libFootnoteBoldChar"/>
          <w:rtl/>
        </w:rPr>
        <w:t>والوافي</w:t>
      </w:r>
      <w:r w:rsidR="00E3253D" w:rsidRPr="005D642E">
        <w:rPr>
          <w:rtl/>
        </w:rPr>
        <w:t xml:space="preserve"> والوسائل : « به منّا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بس » وحاشية « بث ، بح ، جح » والوسائل : « حسناته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وفقه الرضا. وفي المطبوع : + « [ وارحمه ]</w:t>
      </w:r>
      <w:r w:rsidR="00E3253D">
        <w:rPr>
          <w:rtl/>
        </w:rPr>
        <w:t xml:space="preserve"> ».</w:t>
      </w:r>
    </w:p>
    <w:p w:rsidR="00E3253D" w:rsidRPr="005D642E" w:rsidRDefault="0042621E" w:rsidP="00FE6C37">
      <w:pPr>
        <w:pStyle w:val="libFootnote0"/>
        <w:rPr>
          <w:rtl/>
          <w:lang w:bidi="fa-IR"/>
        </w:rPr>
      </w:pPr>
      <w:r w:rsidRPr="0042621E">
        <w:rPr>
          <w:rStyle w:val="libFootnote0Char"/>
          <w:rtl/>
        </w:rPr>
        <w:t>(9).</w:t>
      </w:r>
      <w:r w:rsidR="00E3253D" w:rsidRPr="005D642E">
        <w:rPr>
          <w:rtl/>
        </w:rPr>
        <w:t xml:space="preserve"> « افسح له » ، أي وَسِّعْ له ؛ من الفُسْحَة بمعنى السعة. راجع : </w:t>
      </w:r>
      <w:r w:rsidR="00E3253D" w:rsidRPr="002F4D34">
        <w:rPr>
          <w:rStyle w:val="libFootnoteBoldChar"/>
          <w:rtl/>
        </w:rPr>
        <w:t>الصحاح</w:t>
      </w:r>
      <w:r w:rsidR="00E3253D" w:rsidRPr="005D642E">
        <w:rPr>
          <w:rtl/>
        </w:rPr>
        <w:t xml:space="preserve"> ، ج 1 ، ص 391 ؛ </w:t>
      </w:r>
      <w:r w:rsidR="00E3253D" w:rsidRPr="002F4D34">
        <w:rPr>
          <w:rStyle w:val="libFootnoteBoldChar"/>
          <w:rtl/>
        </w:rPr>
        <w:t>النهاية</w:t>
      </w:r>
      <w:r w:rsidR="00E3253D" w:rsidRPr="005D642E">
        <w:rPr>
          <w:rtl/>
        </w:rPr>
        <w:t xml:space="preserve"> ، ج 3 ، ص 445 ( فسح )</w:t>
      </w:r>
      <w:r w:rsidR="00E3253D">
        <w:rPr>
          <w:rtl/>
        </w:rPr>
        <w:t>.</w:t>
      </w:r>
      <w:r w:rsidR="00FE6C37">
        <w:rPr>
          <w:rFonts w:hint="cs"/>
          <w:rtl/>
        </w:rPr>
        <w:t xml:space="preserve">                          </w:t>
      </w:r>
      <w:r w:rsidRPr="0042621E">
        <w:rPr>
          <w:rStyle w:val="libFootnote0Char"/>
          <w:rtl/>
        </w:rPr>
        <w:t>(10).</w:t>
      </w:r>
      <w:r w:rsidR="00FE6C37">
        <w:rPr>
          <w:rtl/>
        </w:rPr>
        <w:t xml:space="preserve"> في «جس» : «</w:t>
      </w:r>
      <w:r w:rsidR="00E3253D" w:rsidRPr="005D642E">
        <w:rPr>
          <w:rtl/>
        </w:rPr>
        <w:t>ثمّ يكبّر</w:t>
      </w:r>
      <w:r w:rsidR="00E3253D">
        <w:rPr>
          <w:rtl/>
        </w:rPr>
        <w:t>».</w:t>
      </w:r>
      <w:r w:rsidR="00E3253D" w:rsidRPr="005D642E">
        <w:rPr>
          <w:rtl/>
        </w:rPr>
        <w:t xml:space="preserve"> وفي حاشية « بث » : « ثمّ كبّر</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غ » : « تقول » بدون الواو. وفي « جس » : « ويقول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w:t>
      </w:r>
      <w:r w:rsidR="00E3253D" w:rsidRPr="002F4D34">
        <w:rPr>
          <w:rStyle w:val="libFootnoteBoldChar"/>
          <w:rtl/>
        </w:rPr>
        <w:t>الوافى</w:t>
      </w:r>
      <w:r w:rsidR="00E3253D" w:rsidRPr="005D642E">
        <w:rPr>
          <w:rtl/>
        </w:rPr>
        <w:t xml:space="preserve"> : « فزكّه ، أي زد في تزكيته ، مثل قوله : فزد في إحسانه ، أو أظهر تزكيته على رؤوس الأشهاد ، كقوله : فاغفر له في مقابله ؛ فإنّ الغفران هو الستر</w:t>
      </w:r>
      <w:r w:rsidR="00E3253D">
        <w:rPr>
          <w:rtl/>
        </w:rPr>
        <w:t xml:space="preserve"> ».</w:t>
      </w:r>
      <w:r w:rsidR="00FE6C37">
        <w:rPr>
          <w:rtl/>
        </w:rPr>
        <w:t xml:space="preserve"> والعل</w:t>
      </w:r>
      <w:r w:rsidR="00FE6C37">
        <w:rPr>
          <w:rFonts w:hint="cs"/>
          <w:rtl/>
        </w:rPr>
        <w:t>ّ</w:t>
      </w:r>
      <w:r w:rsidR="00FE6C37">
        <w:rPr>
          <w:rtl/>
        </w:rPr>
        <w:t>ا</w:t>
      </w:r>
      <w:r w:rsidR="00E3253D" w:rsidRPr="005D642E">
        <w:rPr>
          <w:rtl/>
        </w:rPr>
        <w:t>مة المجلسي بعد ما ذكر أنّ أصل الزكاة في اللغة الطهارة والنماء والبركة والمدح ، قال : « أقول : فالمعنى أنّه إن كان طاهراً من الشرك والذنب ، أو نامياً في الكمالات والسعادات فزكّه ، أي أثن عليه كناية عن قبول أعماله ، أو قرّبه إليك ، أو طهّره أكثر ممّا اتّصف به ، أو بارك وزد عليه في ثوابه اجعل عمله نامياً مضاعفاً ، والله يعلم</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ثُمَّ تُكَبِّرُ </w:t>
      </w:r>
      <w:r w:rsidRPr="007C12DB">
        <w:rPr>
          <w:rStyle w:val="libFootnotenumChar"/>
          <w:rtl/>
        </w:rPr>
        <w:t>(1)</w:t>
      </w:r>
      <w:r w:rsidRPr="005D642E">
        <w:rPr>
          <w:rtl/>
          <w:lang w:bidi="fa-IR"/>
        </w:rPr>
        <w:t xml:space="preserve"> الثَّالِثَةَ ، وَتَقُولُ </w:t>
      </w:r>
      <w:r w:rsidRPr="007C12DB">
        <w:rPr>
          <w:rStyle w:val="libFootnotenumChar"/>
          <w:rtl/>
        </w:rPr>
        <w:t>(2)</w:t>
      </w:r>
      <w:r w:rsidRPr="005D642E">
        <w:rPr>
          <w:rtl/>
          <w:lang w:bidi="fa-IR"/>
        </w:rPr>
        <w:t xml:space="preserve"> : الل</w:t>
      </w:r>
      <w:r w:rsidR="00FE6C37">
        <w:rPr>
          <w:rFonts w:hint="cs"/>
          <w:rtl/>
          <w:lang w:bidi="fa-IR"/>
        </w:rPr>
        <w:t>َّ</w:t>
      </w:r>
      <w:r w:rsidRPr="005D642E">
        <w:rPr>
          <w:rtl/>
          <w:lang w:bidi="fa-IR"/>
        </w:rPr>
        <w:t>هُمَّ لَاتَحْرِمْنَا أَجْرَهُ ، وَلَاتَفْتِنَّا بَعْدَهُ.</w:t>
      </w:r>
    </w:p>
    <w:p w:rsidR="00E3253D" w:rsidRPr="005D642E" w:rsidRDefault="00E3253D" w:rsidP="00E3253D">
      <w:pPr>
        <w:pStyle w:val="libNormal"/>
        <w:rPr>
          <w:rtl/>
          <w:lang w:bidi="fa-IR"/>
        </w:rPr>
      </w:pPr>
      <w:r w:rsidRPr="005D642E">
        <w:rPr>
          <w:rtl/>
          <w:lang w:bidi="fa-IR"/>
        </w:rPr>
        <w:t xml:space="preserve">ثُمَّ تُكَبِّرُ </w:t>
      </w:r>
      <w:r w:rsidRPr="007C12DB">
        <w:rPr>
          <w:rStyle w:val="libFootnotenumChar"/>
          <w:rtl/>
        </w:rPr>
        <w:t>(3)</w:t>
      </w:r>
      <w:r w:rsidRPr="005D642E">
        <w:rPr>
          <w:rtl/>
          <w:lang w:bidi="fa-IR"/>
        </w:rPr>
        <w:t xml:space="preserve"> الرَّابِعَةَ ، وَتَقُولُ </w:t>
      </w:r>
      <w:r w:rsidRPr="007C12DB">
        <w:rPr>
          <w:rStyle w:val="libFootnotenumChar"/>
          <w:rtl/>
        </w:rPr>
        <w:t>(4)</w:t>
      </w:r>
      <w:r w:rsidRPr="005D642E">
        <w:rPr>
          <w:rtl/>
          <w:lang w:bidi="fa-IR"/>
        </w:rPr>
        <w:t xml:space="preserve"> : الل</w:t>
      </w:r>
      <w:r w:rsidR="00FE6C37">
        <w:rPr>
          <w:rFonts w:hint="cs"/>
          <w:rtl/>
          <w:lang w:bidi="fa-IR"/>
        </w:rPr>
        <w:t>َّ</w:t>
      </w:r>
      <w:r w:rsidRPr="005D642E">
        <w:rPr>
          <w:rtl/>
          <w:lang w:bidi="fa-IR"/>
        </w:rPr>
        <w:t xml:space="preserve">هُمَّ اكْتُبْهُ عِنْدَكَ فِي عِلِّيِّينَ ، وَاخْلُفْ </w:t>
      </w:r>
      <w:r w:rsidRPr="007C12DB">
        <w:rPr>
          <w:rStyle w:val="libFootnotenumChar"/>
          <w:rtl/>
        </w:rPr>
        <w:t>(5)</w:t>
      </w:r>
      <w:r w:rsidRPr="005D642E">
        <w:rPr>
          <w:rtl/>
          <w:lang w:bidi="fa-IR"/>
        </w:rPr>
        <w:t xml:space="preserve"> عَلى عَقِبِهِ </w:t>
      </w:r>
      <w:r w:rsidRPr="007C12DB">
        <w:rPr>
          <w:rStyle w:val="libFootnotenumChar"/>
          <w:rtl/>
        </w:rPr>
        <w:t>(6)</w:t>
      </w:r>
      <w:r w:rsidRPr="005D642E">
        <w:rPr>
          <w:rtl/>
          <w:lang w:bidi="fa-IR"/>
        </w:rPr>
        <w:t xml:space="preserve"> فِي الْغَابِرِينَ </w:t>
      </w:r>
      <w:r w:rsidRPr="007C12DB">
        <w:rPr>
          <w:rStyle w:val="libFootnotenumChar"/>
          <w:rtl/>
        </w:rPr>
        <w:t>(7)</w:t>
      </w:r>
      <w:r w:rsidRPr="005D642E">
        <w:rPr>
          <w:rtl/>
          <w:lang w:bidi="fa-IR"/>
        </w:rPr>
        <w:t xml:space="preserve"> ، وَاجْعَلْهُ مِنْ رُفَقَاءِ مُحَمَّدٍ </w:t>
      </w:r>
      <w:r w:rsidR="0042621E" w:rsidRPr="0042621E">
        <w:rPr>
          <w:rStyle w:val="libAlaemChar"/>
          <w:rtl/>
        </w:rPr>
        <w:t>صلى‌الله‌عليه‌وآله</w:t>
      </w:r>
      <w:r w:rsidRPr="005D642E">
        <w:rPr>
          <w:rtl/>
          <w:lang w:bidi="fa-IR"/>
        </w:rPr>
        <w:t>.</w:t>
      </w:r>
    </w:p>
    <w:p w:rsidR="00E3253D" w:rsidRPr="005D642E" w:rsidRDefault="00E3253D" w:rsidP="00E3253D">
      <w:pPr>
        <w:pStyle w:val="libNormal"/>
        <w:rPr>
          <w:rtl/>
          <w:lang w:bidi="fa-IR"/>
        </w:rPr>
      </w:pPr>
      <w:r w:rsidRPr="005D642E">
        <w:rPr>
          <w:rtl/>
          <w:lang w:bidi="fa-IR"/>
        </w:rPr>
        <w:t xml:space="preserve">ثُمَّ كَبِّرِ الْخَامِسَةَ ، وَانْصَرِفْ </w:t>
      </w:r>
      <w:r w:rsidRPr="007C12DB">
        <w:rPr>
          <w:rStyle w:val="libFootnotenumChar"/>
          <w:rtl/>
        </w:rPr>
        <w:t>(8)</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FE6C37" w:rsidRDefault="00E3253D" w:rsidP="00FE6C37">
      <w:pPr>
        <w:pStyle w:val="libNormal"/>
        <w:rPr>
          <w:rtl/>
          <w:lang w:bidi="fa-IR"/>
        </w:rPr>
      </w:pPr>
      <w:r w:rsidRPr="009F0827">
        <w:rPr>
          <w:rtl/>
        </w:rPr>
        <w:t>4507</w:t>
      </w:r>
      <w:r w:rsidRPr="00246318">
        <w:rPr>
          <w:rStyle w:val="libBold2Char"/>
          <w:rtl/>
        </w:rPr>
        <w:t xml:space="preserve"> / 3.</w:t>
      </w:r>
      <w:r w:rsidRPr="005D642E">
        <w:rPr>
          <w:rtl/>
          <w:lang w:bidi="fa-IR"/>
        </w:rPr>
        <w:t xml:space="preserve"> عَلِيٌّ </w:t>
      </w:r>
      <w:r w:rsidRPr="007C12DB">
        <w:rPr>
          <w:rStyle w:val="libFootnotenumChar"/>
          <w:rtl/>
        </w:rPr>
        <w:t>(10)</w:t>
      </w:r>
      <w:r w:rsidRPr="005D642E">
        <w:rPr>
          <w:rtl/>
          <w:lang w:bidi="fa-IR"/>
        </w:rPr>
        <w:t xml:space="preserve"> ، عَنْ أَبِيهِ ؛</w:t>
      </w:r>
    </w:p>
    <w:p w:rsidR="00E3253D" w:rsidRPr="005D642E" w:rsidRDefault="00FE6C37" w:rsidP="00FE6C37">
      <w:pPr>
        <w:pStyle w:val="libNormal"/>
        <w:rPr>
          <w:rtl/>
          <w:lang w:bidi="fa-IR"/>
        </w:rPr>
      </w:pPr>
      <w:r>
        <w:rPr>
          <w:rFonts w:hint="cs"/>
          <w:rtl/>
          <w:lang w:bidi="fa-IR"/>
        </w:rPr>
        <w:t xml:space="preserve">              </w:t>
      </w:r>
      <w:r w:rsidR="00E3253D" w:rsidRPr="005D642E">
        <w:rPr>
          <w:rtl/>
          <w:lang w:bidi="fa-IR"/>
        </w:rPr>
        <w:t>وَعِدَّةٌ مِنْ أَصْحَابِنَا ، عَنْ سَهْلِ بْنِ زِيَادٍ جَمِيعاً ، عَنِ ابْنِ مَحْبُوبٍ ، عَنْ أَبِي وَلاَّدٍ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التَّكْبِيرِ عَلَى الْمَيِّتِ ، فَقَالَ : « خَمْسٌ ، تَقُولُ </w:t>
      </w:r>
      <w:r w:rsidRPr="007C12DB">
        <w:rPr>
          <w:rStyle w:val="libFootnotenumChar"/>
          <w:rtl/>
        </w:rPr>
        <w:t>(11)</w:t>
      </w:r>
      <w:r w:rsidRPr="005D642E">
        <w:rPr>
          <w:rtl/>
          <w:lang w:bidi="fa-IR"/>
        </w:rPr>
        <w:t xml:space="preserve"> فِي أُولَاهُنَّ</w:t>
      </w:r>
      <w:r w:rsidRPr="007C12DB">
        <w:rPr>
          <w:rStyle w:val="libFootnotenumChar"/>
          <w:rtl/>
        </w:rPr>
        <w:t>(12)</w:t>
      </w:r>
      <w:r>
        <w:rPr>
          <w:rtl/>
          <w:lang w:bidi="fa-IR"/>
        </w:rPr>
        <w:t>: "</w:t>
      </w:r>
      <w:r w:rsidRPr="005D642E">
        <w:rPr>
          <w:rtl/>
          <w:lang w:bidi="fa-IR"/>
        </w:rPr>
        <w:t>أَشْهَدُ أَنْ لَا</w:t>
      </w:r>
      <w:r>
        <w:rPr>
          <w:rFonts w:hint="cs"/>
          <w:rtl/>
          <w:lang w:bidi="fa-IR"/>
        </w:rPr>
        <w:t xml:space="preserve"> </w:t>
      </w:r>
      <w:r w:rsidR="00780681">
        <w:rPr>
          <w:rtl/>
          <w:lang w:bidi="fa-IR"/>
        </w:rPr>
        <w:t>إِلهَ إِل</w:t>
      </w:r>
      <w:r w:rsidR="00780681">
        <w:rPr>
          <w:rFonts w:hint="cs"/>
          <w:rtl/>
          <w:lang w:bidi="fa-IR"/>
        </w:rPr>
        <w:t>َّ</w:t>
      </w:r>
      <w:r w:rsidR="00780681">
        <w:rPr>
          <w:rtl/>
          <w:lang w:bidi="fa-IR"/>
        </w:rPr>
        <w:t>ا</w:t>
      </w:r>
      <w:r w:rsidRPr="005D642E">
        <w:rPr>
          <w:rtl/>
          <w:lang w:bidi="fa-IR"/>
        </w:rPr>
        <w:t xml:space="preserve"> اللهُ وَحْدَهُ لَاشَرِيكَ لَهُ ، الل</w:t>
      </w:r>
      <w:r w:rsidR="00780681">
        <w:rPr>
          <w:rFonts w:hint="cs"/>
          <w:rtl/>
          <w:lang w:bidi="fa-IR"/>
        </w:rPr>
        <w:t>َّ</w:t>
      </w:r>
      <w:r w:rsidRPr="005D642E">
        <w:rPr>
          <w:rtl/>
          <w:lang w:bidi="fa-IR"/>
        </w:rPr>
        <w:t>هُمَّ صَلِّ عَلى مُحَمَّدٍ‌</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حاشية « بث » : « ثمّ كبّر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ى ، بث ، بس ، جس » : « تقول » بدون الواو. وفي « جس » : « ويقول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 « ثمّ يكبّر</w:t>
      </w:r>
      <w:r w:rsidR="00E3253D">
        <w:rPr>
          <w:rtl/>
        </w:rPr>
        <w:t xml:space="preserve"> ».</w:t>
      </w:r>
      <w:r w:rsidR="00E3253D" w:rsidRPr="005D642E">
        <w:rPr>
          <w:rtl/>
        </w:rPr>
        <w:t xml:space="preserve"> وفي حاشية « بث » : « ثمّ كبّر</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جس » : « ويقول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واخلف على عقبه » ، أي كن خليفة من فقدوه عليهم. راجع : </w:t>
      </w:r>
      <w:r w:rsidR="00E3253D" w:rsidRPr="002F4D34">
        <w:rPr>
          <w:rStyle w:val="libFootnoteBoldChar"/>
          <w:rtl/>
        </w:rPr>
        <w:t>القاموس المحيط</w:t>
      </w:r>
      <w:r w:rsidR="00780681">
        <w:rPr>
          <w:rtl/>
        </w:rPr>
        <w:t xml:space="preserve"> ، ج 2 ، ص 1078 (</w:t>
      </w:r>
      <w:r w:rsidR="00E3253D" w:rsidRPr="005D642E">
        <w:rPr>
          <w:rtl/>
        </w:rPr>
        <w:t>خلف )</w:t>
      </w:r>
      <w:r w:rsidR="00E3253D">
        <w:rPr>
          <w:rtl/>
        </w:rPr>
        <w:t>.</w:t>
      </w:r>
      <w:r w:rsidR="00E3253D" w:rsidRPr="005D642E">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العقب : الولد وولد الولد. راجع : </w:t>
      </w:r>
      <w:r w:rsidR="00E3253D" w:rsidRPr="002F4D34">
        <w:rPr>
          <w:rStyle w:val="libFootnoteBoldChar"/>
          <w:rtl/>
        </w:rPr>
        <w:t>الصحاح</w:t>
      </w:r>
      <w:r w:rsidR="00E3253D" w:rsidRPr="005D642E">
        <w:rPr>
          <w:rtl/>
        </w:rPr>
        <w:t xml:space="preserve"> ، ج 1 ، ص 184 ( عقب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الغابر » : الباقي. قال الشيخ البهائي : « لعلّ لفظة في للسببيّة ، والمراد الدعاء بجعل الباقين من أقارب عقبه عوضاً لهم عن الميّت</w:t>
      </w:r>
      <w:r w:rsidR="00E3253D">
        <w:rPr>
          <w:rtl/>
        </w:rPr>
        <w:t xml:space="preserve"> ».</w:t>
      </w:r>
      <w:r w:rsidR="00E3253D" w:rsidRPr="005D642E">
        <w:rPr>
          <w:rtl/>
        </w:rPr>
        <w:t xml:space="preserve"> وقيل : يحتمل أن يكون قوله </w:t>
      </w:r>
      <w:r w:rsidR="00E3253D" w:rsidRPr="00780681">
        <w:rPr>
          <w:rStyle w:val="libFootnoteAlaemChar"/>
          <w:rtl/>
        </w:rPr>
        <w:t>عليه‌السلام</w:t>
      </w:r>
      <w:r w:rsidR="00E3253D" w:rsidRPr="005D642E">
        <w:rPr>
          <w:rtl/>
        </w:rPr>
        <w:t xml:space="preserve"> : في الغابرين ، بدلاً من قوله </w:t>
      </w:r>
      <w:r w:rsidR="00E3253D" w:rsidRPr="00780681">
        <w:rPr>
          <w:rStyle w:val="libFootnoteAlaemChar"/>
          <w:rtl/>
        </w:rPr>
        <w:t>عليه‌السلام</w:t>
      </w:r>
      <w:r w:rsidR="00E3253D" w:rsidRPr="005D642E">
        <w:rPr>
          <w:rtl/>
        </w:rPr>
        <w:t xml:space="preserve"> : على عقبه ، أي كن خليفة له في الباقين من عقبه ، فاحفظ أُمورهم ومصالحهم ولا تكلهم إلى غيرك. وقيل غير ذلك. راجع : </w:t>
      </w:r>
      <w:r w:rsidR="00E3253D" w:rsidRPr="002F4D34">
        <w:rPr>
          <w:rStyle w:val="libFootnoteBoldChar"/>
          <w:rtl/>
        </w:rPr>
        <w:t>الصحاح</w:t>
      </w:r>
      <w:r w:rsidR="00E3253D" w:rsidRPr="005D642E">
        <w:rPr>
          <w:rtl/>
        </w:rPr>
        <w:t xml:space="preserve"> ، ج 2 ، ص 764 ( غبر ) ؛ </w:t>
      </w:r>
      <w:r w:rsidR="00E3253D" w:rsidRPr="002F4D34">
        <w:rPr>
          <w:rStyle w:val="libFootnoteBoldChar"/>
          <w:rtl/>
        </w:rPr>
        <w:t>الحبل المتين</w:t>
      </w:r>
      <w:r w:rsidR="00E3253D" w:rsidRPr="005D642E">
        <w:rPr>
          <w:rtl/>
        </w:rPr>
        <w:t xml:space="preserve"> ، ص 247 ؛ </w:t>
      </w:r>
      <w:r w:rsidR="00E3253D" w:rsidRPr="002F4D34">
        <w:rPr>
          <w:rStyle w:val="libFootnoteBoldChar"/>
          <w:rtl/>
        </w:rPr>
        <w:t>الوافي</w:t>
      </w:r>
      <w:r w:rsidR="00E3253D" w:rsidRPr="005D642E">
        <w:rPr>
          <w:rtl/>
        </w:rPr>
        <w:t xml:space="preserve"> ، ج 24 ، ص 451 ؛ </w:t>
      </w:r>
      <w:r w:rsidR="00E3253D" w:rsidRPr="002F4D34">
        <w:rPr>
          <w:rStyle w:val="libFootnoteBoldChar"/>
          <w:rtl/>
        </w:rPr>
        <w:t>مرآة العقول</w:t>
      </w:r>
      <w:r w:rsidR="00E3253D" w:rsidRPr="005D642E">
        <w:rPr>
          <w:rtl/>
        </w:rPr>
        <w:t xml:space="preserve"> ، ج 14 ، ص 57.</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 ظ ، ى ، جس » وحاشية « غ ، حج » والوسائل. وفي « غ ، بث ، بخ ، بس » وظاهر « بق » والمطبوع </w:t>
      </w:r>
      <w:r w:rsidR="000D749A" w:rsidRPr="000D749A">
        <w:rPr>
          <w:rStyle w:val="libFootnoteBoldChar"/>
          <w:rtl/>
        </w:rPr>
        <w:t>والوافي</w:t>
      </w:r>
      <w:r w:rsidR="00E3253D" w:rsidRPr="005D642E">
        <w:rPr>
          <w:rtl/>
        </w:rPr>
        <w:t xml:space="preserve"> : « تكبّر الخامسة وانصرف</w:t>
      </w:r>
      <w:r w:rsidR="00E3253D">
        <w:rPr>
          <w:rtl/>
        </w:rPr>
        <w:t xml:space="preserve"> ».</w:t>
      </w:r>
      <w:r w:rsidR="00E3253D" w:rsidRPr="005D642E">
        <w:rPr>
          <w:rtl/>
        </w:rPr>
        <w:t xml:space="preserve"> وفي « بح » : « تكبّر الخامسة وتنصرف</w:t>
      </w:r>
      <w:r w:rsidR="00E3253D">
        <w:rPr>
          <w:rtl/>
        </w:rPr>
        <w:t xml:space="preserve"> ».</w:t>
      </w:r>
      <w:r w:rsidR="00E3253D" w:rsidRPr="005D642E">
        <w:rPr>
          <w:rtl/>
        </w:rPr>
        <w:t xml:space="preserve"> وفي « جح » : « يكبّر الخامسة وينصرف</w:t>
      </w:r>
      <w:r w:rsidR="00E3253D">
        <w:rPr>
          <w:rtl/>
        </w:rPr>
        <w:t xml:space="preserve"> ».</w:t>
      </w:r>
      <w:r w:rsidR="00E3253D" w:rsidRPr="005D642E">
        <w:rPr>
          <w:rtl/>
        </w:rPr>
        <w:t xml:space="preserve"> وفي « جن » : « تكبرالخامس وانصرف</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780681">
        <w:rPr>
          <w:rStyle w:val="libFootnoteAlaemChar"/>
          <w:rtl/>
        </w:rPr>
        <w:t>عليه‌السلام</w:t>
      </w:r>
      <w:r w:rsidR="00E3253D" w:rsidRPr="005D642E">
        <w:rPr>
          <w:rtl/>
        </w:rPr>
        <w:t xml:space="preserve"> ، ص 187 ، صدر الحديث ، مع اختلاف يسير </w:t>
      </w:r>
      <w:r w:rsidR="009E5C7B">
        <w:rPr>
          <w:rFonts w:hint="cs"/>
          <w:rtl/>
        </w:rPr>
        <w:t>.</w:t>
      </w:r>
      <w:r w:rsidR="00E3253D" w:rsidRPr="002F4D34">
        <w:rPr>
          <w:rStyle w:val="libFootnoteBoldChar"/>
          <w:rtl/>
        </w:rPr>
        <w:t>الوافي</w:t>
      </w:r>
      <w:r w:rsidR="00E3253D" w:rsidRPr="005D642E">
        <w:rPr>
          <w:rtl/>
        </w:rPr>
        <w:t xml:space="preserve"> ، ج 24 ، ص 451 ، ح 24430 ؛ </w:t>
      </w:r>
      <w:r w:rsidR="00E3253D" w:rsidRPr="002F4D34">
        <w:rPr>
          <w:rStyle w:val="libFootnoteBoldChar"/>
          <w:rtl/>
        </w:rPr>
        <w:t>الوسائل</w:t>
      </w:r>
      <w:r w:rsidR="00E3253D" w:rsidRPr="005D642E">
        <w:rPr>
          <w:rtl/>
        </w:rPr>
        <w:t xml:space="preserve"> ، ج 3 ، ص 61 ، ح 3022.</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النسخ. وفي المطبوع والوسائل : + « بن إبراهيم</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E5C7B" w:rsidTr="009E5C7B">
        <w:tc>
          <w:tcPr>
            <w:tcW w:w="4006" w:type="dxa"/>
          </w:tcPr>
          <w:p w:rsidR="009E5C7B" w:rsidRDefault="009E5C7B" w:rsidP="00E3253D">
            <w:pPr>
              <w:pStyle w:val="libFootnote0"/>
              <w:rPr>
                <w:rStyle w:val="libFootnote0Char"/>
                <w:rtl/>
              </w:rPr>
            </w:pPr>
            <w:r w:rsidRPr="0042621E">
              <w:rPr>
                <w:rStyle w:val="libFootnote0Char"/>
                <w:rtl/>
              </w:rPr>
              <w:t>(11).</w:t>
            </w:r>
            <w:r w:rsidRPr="005D642E">
              <w:rPr>
                <w:rtl/>
              </w:rPr>
              <w:t xml:space="preserve"> في « بخ ، جح ، جس » : « يقول</w:t>
            </w:r>
            <w:r>
              <w:rPr>
                <w:rtl/>
              </w:rPr>
              <w:t xml:space="preserve"> ».</w:t>
            </w:r>
          </w:p>
        </w:tc>
        <w:tc>
          <w:tcPr>
            <w:tcW w:w="4006" w:type="dxa"/>
          </w:tcPr>
          <w:p w:rsidR="009E5C7B" w:rsidRDefault="009E5C7B" w:rsidP="00E3253D">
            <w:pPr>
              <w:pStyle w:val="libFootnote0"/>
              <w:rPr>
                <w:rStyle w:val="libFootnote0Char"/>
                <w:rtl/>
              </w:rPr>
            </w:pPr>
            <w:r w:rsidRPr="0042621E">
              <w:rPr>
                <w:rStyle w:val="libFootnote0Char"/>
                <w:rtl/>
              </w:rPr>
              <w:t>(12).</w:t>
            </w:r>
            <w:r>
              <w:rPr>
                <w:rtl/>
              </w:rPr>
              <w:t xml:space="preserve"> في «بث،بح،بس،بف،جح،جس،جن»:«</w:t>
            </w:r>
            <w:r w:rsidRPr="005D642E">
              <w:rPr>
                <w:rtl/>
              </w:rPr>
              <w:t>أوّلهنّ</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وَآلِ</w:t>
      </w:r>
      <w:r>
        <w:rPr>
          <w:rtl/>
          <w:lang w:bidi="fa-IR"/>
        </w:rPr>
        <w:t xml:space="preserve"> مُحَمَّدٍ" ، ثُمَّ تَقُولُ : "</w:t>
      </w:r>
      <w:r w:rsidRPr="005D642E">
        <w:rPr>
          <w:rtl/>
          <w:lang w:bidi="fa-IR"/>
        </w:rPr>
        <w:t>الل</w:t>
      </w:r>
      <w:r w:rsidR="009E5C7B">
        <w:rPr>
          <w:rFonts w:hint="cs"/>
          <w:rtl/>
          <w:lang w:bidi="fa-IR"/>
        </w:rPr>
        <w:t>َّ</w:t>
      </w:r>
      <w:r w:rsidRPr="005D642E">
        <w:rPr>
          <w:rtl/>
          <w:lang w:bidi="fa-IR"/>
        </w:rPr>
        <w:t xml:space="preserve">هُمَّ إِنَّ هذَا الْمُسَجّى </w:t>
      </w:r>
      <w:r w:rsidRPr="007C12DB">
        <w:rPr>
          <w:rStyle w:val="libFootnotenumChar"/>
          <w:rtl/>
        </w:rPr>
        <w:t>(1)</w:t>
      </w:r>
      <w:r w:rsidRPr="005D642E">
        <w:rPr>
          <w:rtl/>
          <w:lang w:bidi="fa-IR"/>
        </w:rPr>
        <w:t xml:space="preserve"> قُدَّامَنَا عَبْدُكَ وَابْنُ عَبْدِكَ ، وَقَدْ قَبَضْتَ رُوحَهُ إِلَيْكَ </w:t>
      </w:r>
      <w:r w:rsidRPr="007C12DB">
        <w:rPr>
          <w:rStyle w:val="libFootnotenumChar"/>
          <w:rtl/>
        </w:rPr>
        <w:t>(2)</w:t>
      </w:r>
      <w:r w:rsidRPr="005D642E">
        <w:rPr>
          <w:rtl/>
          <w:lang w:bidi="fa-IR"/>
        </w:rPr>
        <w:t xml:space="preserve"> ، وَقَدِ احْتَاجَ إِلى رَحْمَتِكَ ، وَأَنْتَ غَنِيٌّ عَنْ عَذَابِهِ ، الل</w:t>
      </w:r>
      <w:r w:rsidR="009E5C7B">
        <w:rPr>
          <w:rFonts w:hint="cs"/>
          <w:rtl/>
          <w:lang w:bidi="fa-IR"/>
        </w:rPr>
        <w:t>َّ</w:t>
      </w:r>
      <w:r w:rsidRPr="005D642E">
        <w:rPr>
          <w:rtl/>
          <w:lang w:bidi="fa-IR"/>
        </w:rPr>
        <w:t xml:space="preserve">هُمَّ إِنَّا </w:t>
      </w:r>
      <w:r w:rsidRPr="007C12DB">
        <w:rPr>
          <w:rStyle w:val="libFootnotenumChar"/>
          <w:rtl/>
        </w:rPr>
        <w:t>(3)</w:t>
      </w:r>
      <w:r w:rsidRPr="005D642E">
        <w:rPr>
          <w:rtl/>
          <w:lang w:bidi="fa-IR"/>
        </w:rPr>
        <w:t xml:space="preserve"> ل</w:t>
      </w:r>
      <w:r w:rsidR="009E5C7B">
        <w:rPr>
          <w:rtl/>
          <w:lang w:bidi="fa-IR"/>
        </w:rPr>
        <w:t>َانَعْلَمُ مِنْ ظَاهِرِهِ إِل</w:t>
      </w:r>
      <w:r w:rsidR="009E5C7B">
        <w:rPr>
          <w:rFonts w:hint="cs"/>
          <w:rtl/>
          <w:lang w:bidi="fa-IR"/>
        </w:rPr>
        <w:t>َّ</w:t>
      </w:r>
      <w:r w:rsidR="009E5C7B">
        <w:rPr>
          <w:rtl/>
          <w:lang w:bidi="fa-IR"/>
        </w:rPr>
        <w:t>ا</w:t>
      </w:r>
      <w:r w:rsidRPr="005D642E">
        <w:rPr>
          <w:rtl/>
          <w:lang w:bidi="fa-IR"/>
        </w:rPr>
        <w:t xml:space="preserve"> خَيْراً ، وَأَنْتَ أَعْلَمُ بِسَرِيرَتِهِ ، الل</w:t>
      </w:r>
      <w:r w:rsidR="009E5C7B">
        <w:rPr>
          <w:rFonts w:hint="cs"/>
          <w:rtl/>
          <w:lang w:bidi="fa-IR"/>
        </w:rPr>
        <w:t>َّ</w:t>
      </w:r>
      <w:r w:rsidRPr="005D642E">
        <w:rPr>
          <w:rtl/>
          <w:lang w:bidi="fa-IR"/>
        </w:rPr>
        <w:t xml:space="preserve">هُمَّ إِنْ كَانَ مُحْسِناً فَزِدْ فِي إِحْسَانِهِ </w:t>
      </w:r>
      <w:r w:rsidRPr="007C12DB">
        <w:rPr>
          <w:rStyle w:val="libFootnotenumChar"/>
          <w:rtl/>
        </w:rPr>
        <w:t>(4)</w:t>
      </w:r>
      <w:r w:rsidRPr="005D642E">
        <w:rPr>
          <w:rtl/>
          <w:lang w:bidi="fa-IR"/>
        </w:rPr>
        <w:t xml:space="preserve"> ، وَإِنْ كَانَ مُسِيئاً فَتَجَاوَزْ عَنْ سَيِّئَاتِهِ" </w:t>
      </w:r>
      <w:r w:rsidRPr="007C12DB">
        <w:rPr>
          <w:rStyle w:val="libFootnotenumChar"/>
          <w:rtl/>
        </w:rPr>
        <w:t>(5)</w:t>
      </w:r>
      <w:r w:rsidRPr="005D642E">
        <w:rPr>
          <w:rtl/>
          <w:lang w:bidi="fa-IR"/>
        </w:rPr>
        <w:t xml:space="preserve"> ، ثُمَّ تُكَبِّرُ </w:t>
      </w:r>
      <w:r w:rsidRPr="007C12DB">
        <w:rPr>
          <w:rStyle w:val="libFootnotenumChar"/>
          <w:rtl/>
        </w:rPr>
        <w:t>(6)</w:t>
      </w:r>
      <w:r w:rsidRPr="005D642E">
        <w:rPr>
          <w:rtl/>
          <w:lang w:bidi="fa-IR"/>
        </w:rPr>
        <w:t xml:space="preserve"> الثَّانِيَةَ ، وَتَفْعَلُ </w:t>
      </w:r>
      <w:r w:rsidRPr="007C12DB">
        <w:rPr>
          <w:rStyle w:val="libFootnotenumChar"/>
          <w:rtl/>
        </w:rPr>
        <w:t>(7)</w:t>
      </w:r>
      <w:r w:rsidRPr="005D642E">
        <w:rPr>
          <w:rtl/>
          <w:lang w:bidi="fa-IR"/>
        </w:rPr>
        <w:t xml:space="preserve"> ذلِكَ فِي كُلِّ تَكْبِيرَةٍ </w:t>
      </w:r>
      <w:r w:rsidRPr="007C12DB">
        <w:rPr>
          <w:rStyle w:val="libFootnotenumChar"/>
          <w:rtl/>
        </w:rPr>
        <w:t>(8)</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8020B6">
        <w:rPr>
          <w:rtl/>
        </w:rPr>
        <w:t>4508</w:t>
      </w:r>
      <w:r w:rsidRPr="00246318">
        <w:rPr>
          <w:rStyle w:val="libBold2Char"/>
          <w:rtl/>
        </w:rPr>
        <w:t xml:space="preserve"> / 4.</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تُكَبِّرُ ، ثُمَّ تَشَهَّدُ </w:t>
      </w:r>
      <w:r w:rsidRPr="007C12DB">
        <w:rPr>
          <w:rStyle w:val="libFootnotenumChar"/>
          <w:rtl/>
        </w:rPr>
        <w:t>(10)</w:t>
      </w:r>
      <w:r w:rsidRPr="005D642E">
        <w:rPr>
          <w:rtl/>
          <w:lang w:bidi="fa-IR"/>
        </w:rPr>
        <w:t xml:space="preserve"> ، ثُمَّ تَقُولُ </w:t>
      </w:r>
      <w:r w:rsidRPr="007C12DB">
        <w:rPr>
          <w:rStyle w:val="libFootnotenumChar"/>
          <w:rtl/>
        </w:rPr>
        <w:t>(11)</w:t>
      </w:r>
      <w:r w:rsidRPr="005D642E">
        <w:rPr>
          <w:rtl/>
          <w:lang w:bidi="fa-IR"/>
        </w:rPr>
        <w:t xml:space="preserve"> : </w:t>
      </w:r>
      <w:r w:rsidRPr="00AC51C5">
        <w:rPr>
          <w:rStyle w:val="libAlaemChar"/>
          <w:rtl/>
        </w:rPr>
        <w:t>(</w:t>
      </w:r>
      <w:r w:rsidRPr="00AC51C5">
        <w:rPr>
          <w:rStyle w:val="libAieChar"/>
          <w:rtl/>
        </w:rPr>
        <w:t xml:space="preserve"> إِنّا لِلّهِ وَإِنّا إِلَيْهِ راجِعُونَ </w:t>
      </w:r>
      <w:r w:rsidRPr="00AC51C5">
        <w:rPr>
          <w:rStyle w:val="libAlaemChar"/>
          <w:rtl/>
        </w:rPr>
        <w:t>)</w:t>
      </w:r>
      <w:r w:rsidRPr="005D642E">
        <w:rPr>
          <w:rtl/>
          <w:lang w:bidi="fa-IR"/>
        </w:rPr>
        <w:t xml:space="preserve"> </w:t>
      </w:r>
      <w:r w:rsidRPr="007C12DB">
        <w:rPr>
          <w:rStyle w:val="libFootnotenumChar"/>
          <w:rtl/>
        </w:rPr>
        <w:t>(12)</w:t>
      </w:r>
      <w:r w:rsidRPr="005D642E">
        <w:rPr>
          <w:rtl/>
          <w:lang w:bidi="fa-IR"/>
        </w:rPr>
        <w:t xml:space="preserve"> الْحَمْدُ لِلّهِ رَبِّ الْعَالَمِينَ ، رَبِّ الْمَوْتِ وَالْحَيَاةِ ، صَلِّ عَلى مُحَمَّدٍ وَأَهْلِ بَيْتِهِ ، جَزَى اللهُ عَنَّا مُحَمَّداً </w:t>
      </w:r>
      <w:r w:rsidRPr="007C12DB">
        <w:rPr>
          <w:rStyle w:val="libFootnotenumChar"/>
          <w:rtl/>
        </w:rPr>
        <w:t>(13)</w:t>
      </w:r>
      <w:r w:rsidRPr="005D642E">
        <w:rPr>
          <w:rtl/>
          <w:lang w:bidi="fa-IR"/>
        </w:rPr>
        <w:t xml:space="preserve"> خَيْرَ الْجَزَاءِ بِمَا صَنَعَ بِأُمَّتِهِ ، وَبِمَا بَلَّغَ مِنْ رِسَالَاتِ رَبِّهِ.</w:t>
      </w:r>
    </w:p>
    <w:p w:rsidR="00E3253D" w:rsidRPr="005D642E" w:rsidRDefault="00E3253D" w:rsidP="00E3253D">
      <w:pPr>
        <w:pStyle w:val="libNormal"/>
        <w:rPr>
          <w:rtl/>
          <w:lang w:bidi="fa-IR"/>
        </w:rPr>
      </w:pPr>
      <w:r w:rsidRPr="005D642E">
        <w:rPr>
          <w:rtl/>
          <w:lang w:bidi="fa-IR"/>
        </w:rPr>
        <w:t xml:space="preserve">ثُمَّ تَقُولُ </w:t>
      </w:r>
      <w:r w:rsidRPr="007C12DB">
        <w:rPr>
          <w:rStyle w:val="libFootnotenumChar"/>
          <w:rtl/>
        </w:rPr>
        <w:t>(14)</w:t>
      </w:r>
      <w:r w:rsidRPr="005D642E">
        <w:rPr>
          <w:rtl/>
          <w:lang w:bidi="fa-IR"/>
        </w:rPr>
        <w:t xml:space="preserve"> : الل</w:t>
      </w:r>
      <w:r w:rsidR="009E5C7B">
        <w:rPr>
          <w:rFonts w:hint="cs"/>
          <w:rtl/>
          <w:lang w:bidi="fa-IR"/>
        </w:rPr>
        <w:t>َّ</w:t>
      </w:r>
      <w:r w:rsidRPr="005D642E">
        <w:rPr>
          <w:rtl/>
          <w:lang w:bidi="fa-IR"/>
        </w:rPr>
        <w:t xml:space="preserve">هُمَّ عَبْدُكَ ابْنُ </w:t>
      </w:r>
      <w:r w:rsidRPr="007C12DB">
        <w:rPr>
          <w:rStyle w:val="libFootnotenumChar"/>
          <w:rtl/>
        </w:rPr>
        <w:t>(15)</w:t>
      </w:r>
      <w:r w:rsidRPr="005D642E">
        <w:rPr>
          <w:rtl/>
          <w:lang w:bidi="fa-IR"/>
        </w:rPr>
        <w:t xml:space="preserve"> عَبْدِكَ ابْنُ </w:t>
      </w:r>
      <w:r w:rsidRPr="007C12DB">
        <w:rPr>
          <w:rStyle w:val="libFootnotenumChar"/>
          <w:rtl/>
        </w:rPr>
        <w:t>(16)</w:t>
      </w:r>
      <w:r w:rsidRPr="005D642E">
        <w:rPr>
          <w:rtl/>
          <w:lang w:bidi="fa-IR"/>
        </w:rPr>
        <w:t xml:space="preserve"> أَمَتِكَ ، نَاصِيَتُهُ بِيَدِكَ ، خَلَا مِنَ الدُّنْيَا </w:t>
      </w:r>
      <w:r w:rsidRPr="007C12DB">
        <w:rPr>
          <w:rStyle w:val="libFootnotenumChar"/>
          <w:rtl/>
        </w:rPr>
        <w:t>(17)</w:t>
      </w:r>
      <w:r w:rsidRPr="005D642E">
        <w:rPr>
          <w:rtl/>
          <w:lang w:bidi="fa-IR"/>
        </w:rPr>
        <w:t xml:space="preserve"> ، وَاحْتَاجَ إِلى رَحْمَتِكَ ، وَأَنْتَ غَنِيٌّ عَنْ عَذَابِهِ ، الل</w:t>
      </w:r>
      <w:r w:rsidR="009E5C7B">
        <w:rPr>
          <w:rFonts w:hint="cs"/>
          <w:rtl/>
          <w:lang w:bidi="fa-IR"/>
        </w:rPr>
        <w:t>َّ</w:t>
      </w:r>
      <w:r w:rsidRPr="005D642E">
        <w:rPr>
          <w:rtl/>
          <w:lang w:bidi="fa-IR"/>
        </w:rPr>
        <w:t xml:space="preserve">هُمَّ إِنَّا لَانَعْلَمُ مِنْهُ </w:t>
      </w:r>
      <w:r w:rsidRPr="007C12DB">
        <w:rPr>
          <w:rStyle w:val="libFootnotenumChar"/>
          <w:rtl/>
        </w:rPr>
        <w:t>(18)</w:t>
      </w:r>
      <w:r w:rsidR="009E5C7B">
        <w:rPr>
          <w:rtl/>
          <w:lang w:bidi="fa-IR"/>
        </w:rPr>
        <w:t xml:space="preserve"> إِل</w:t>
      </w:r>
      <w:r w:rsidR="009E5C7B">
        <w:rPr>
          <w:rFonts w:hint="cs"/>
          <w:rtl/>
          <w:lang w:bidi="fa-IR"/>
        </w:rPr>
        <w:t>َّ</w:t>
      </w:r>
      <w:r w:rsidR="009E5C7B">
        <w:rPr>
          <w:rtl/>
          <w:lang w:bidi="fa-IR"/>
        </w:rPr>
        <w:t>ا</w:t>
      </w:r>
      <w:r w:rsidRPr="005D642E">
        <w:rPr>
          <w:rtl/>
          <w:lang w:bidi="fa-IR"/>
        </w:rPr>
        <w:t xml:space="preserve"> خَيْراً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9E5C7B">
        <w:rPr>
          <w:rtl/>
        </w:rPr>
        <w:t>« الم</w:t>
      </w:r>
      <w:r w:rsidR="009E5C7B">
        <w:rPr>
          <w:rFonts w:hint="cs"/>
          <w:rtl/>
        </w:rPr>
        <w:t>ـُ</w:t>
      </w:r>
      <w:r w:rsidR="009E5C7B">
        <w:rPr>
          <w:rtl/>
        </w:rPr>
        <w:t>سَجّى » : الم</w:t>
      </w:r>
      <w:r w:rsidR="009E5C7B">
        <w:rPr>
          <w:rFonts w:hint="cs"/>
          <w:rtl/>
        </w:rPr>
        <w:t>ـُ</w:t>
      </w:r>
      <w:r w:rsidR="00E3253D" w:rsidRPr="005D642E">
        <w:rPr>
          <w:rtl/>
        </w:rPr>
        <w:t xml:space="preserve">غَطّى. وسجّيتُ الميّتَ تسجيةً : إذا مددت عليه ثوباً. راجع : </w:t>
      </w:r>
      <w:r w:rsidR="00E3253D" w:rsidRPr="002F4D34">
        <w:rPr>
          <w:rStyle w:val="libFootnoteBoldChar"/>
          <w:rtl/>
        </w:rPr>
        <w:t>الصحاح</w:t>
      </w:r>
      <w:r w:rsidR="00E3253D" w:rsidRPr="005D642E">
        <w:rPr>
          <w:rtl/>
        </w:rPr>
        <w:t xml:space="preserve"> ، ج 6 ، ص 2372 ( سجا )</w:t>
      </w:r>
      <w:r w:rsidR="00E3253D">
        <w:rPr>
          <w:rtl/>
        </w:rPr>
        <w:t>.</w:t>
      </w:r>
    </w:p>
    <w:tbl>
      <w:tblPr>
        <w:tblStyle w:val="TableGrid"/>
        <w:bidiVisual/>
        <w:tblW w:w="0" w:type="auto"/>
        <w:tblLook w:val="04A0" w:firstRow="1" w:lastRow="0" w:firstColumn="1" w:lastColumn="0" w:noHBand="0" w:noVBand="1"/>
      </w:tblPr>
      <w:tblGrid>
        <w:gridCol w:w="4006"/>
        <w:gridCol w:w="4006"/>
      </w:tblGrid>
      <w:tr w:rsidR="009E5C7B" w:rsidTr="009E5C7B">
        <w:tc>
          <w:tcPr>
            <w:tcW w:w="4006" w:type="dxa"/>
          </w:tcPr>
          <w:p w:rsidR="009E5C7B" w:rsidRDefault="009E5C7B" w:rsidP="00E3253D">
            <w:pPr>
              <w:pStyle w:val="libFootnote0"/>
              <w:rPr>
                <w:rStyle w:val="libFootnote0Char"/>
                <w:rtl/>
                <w:lang w:bidi="fa-IR"/>
              </w:rPr>
            </w:pPr>
            <w:r w:rsidRPr="0042621E">
              <w:rPr>
                <w:rStyle w:val="libFootnote0Char"/>
                <w:rtl/>
              </w:rPr>
              <w:t>(2).</w:t>
            </w:r>
            <w:r w:rsidRPr="005D642E">
              <w:rPr>
                <w:rtl/>
              </w:rPr>
              <w:t xml:space="preserve"> في « ى » :</w:t>
            </w:r>
            <w:r>
              <w:rPr>
                <w:rtl/>
              </w:rPr>
              <w:t xml:space="preserve"> - </w:t>
            </w:r>
            <w:r w:rsidRPr="005D642E">
              <w:rPr>
                <w:rtl/>
              </w:rPr>
              <w:t>« إليك</w:t>
            </w:r>
            <w:r>
              <w:rPr>
                <w:rtl/>
              </w:rPr>
              <w:t xml:space="preserve"> ».</w:t>
            </w:r>
          </w:p>
        </w:tc>
        <w:tc>
          <w:tcPr>
            <w:tcW w:w="4006" w:type="dxa"/>
          </w:tcPr>
          <w:p w:rsidR="009E5C7B" w:rsidRDefault="009E5C7B" w:rsidP="00E3253D">
            <w:pPr>
              <w:pStyle w:val="libFootnote0"/>
              <w:rPr>
                <w:rStyle w:val="libFootnote0Char"/>
                <w:rtl/>
                <w:lang w:bidi="fa-IR"/>
              </w:rPr>
            </w:pPr>
            <w:r w:rsidRPr="0042621E">
              <w:rPr>
                <w:rStyle w:val="libFootnote0Char"/>
                <w:rtl/>
              </w:rPr>
              <w:t>(3).</w:t>
            </w:r>
            <w:r w:rsidRPr="005D642E">
              <w:rPr>
                <w:rtl/>
              </w:rPr>
              <w:t xml:space="preserve"> في الوافي : « وإنّا</w:t>
            </w:r>
            <w:r>
              <w:rPr>
                <w:rtl/>
              </w:rPr>
              <w:t xml:space="preserve"> ».</w:t>
            </w:r>
          </w:p>
        </w:tc>
      </w:tr>
      <w:tr w:rsidR="009E5C7B" w:rsidTr="009E5C7B">
        <w:tc>
          <w:tcPr>
            <w:tcW w:w="4006" w:type="dxa"/>
          </w:tcPr>
          <w:p w:rsidR="009E5C7B" w:rsidRDefault="009E5C7B" w:rsidP="00E3253D">
            <w:pPr>
              <w:pStyle w:val="libFootnote0"/>
              <w:rPr>
                <w:rStyle w:val="libFootnote0Char"/>
                <w:rtl/>
                <w:lang w:bidi="fa-IR"/>
              </w:rPr>
            </w:pPr>
            <w:r w:rsidRPr="0042621E">
              <w:rPr>
                <w:rStyle w:val="libFootnote0Char"/>
                <w:rtl/>
              </w:rPr>
              <w:t>(4).</w:t>
            </w:r>
            <w:r w:rsidRPr="005D642E">
              <w:rPr>
                <w:rtl/>
              </w:rPr>
              <w:t xml:space="preserve"> في « بف » وحاشية « بث » : « حسناته</w:t>
            </w:r>
            <w:r>
              <w:rPr>
                <w:rtl/>
              </w:rPr>
              <w:t xml:space="preserve"> ».</w:t>
            </w:r>
          </w:p>
        </w:tc>
        <w:tc>
          <w:tcPr>
            <w:tcW w:w="4006" w:type="dxa"/>
          </w:tcPr>
          <w:p w:rsidR="009E5C7B" w:rsidRDefault="009E5C7B" w:rsidP="009E5C7B">
            <w:pPr>
              <w:pStyle w:val="libFootnote0"/>
              <w:rPr>
                <w:rStyle w:val="libFootnote0Char"/>
                <w:rtl/>
                <w:lang w:bidi="fa-IR"/>
              </w:rPr>
            </w:pPr>
            <w:r w:rsidRPr="0042621E">
              <w:rPr>
                <w:rStyle w:val="libFootnote0Char"/>
                <w:rtl/>
              </w:rPr>
              <w:t>(5).</w:t>
            </w:r>
            <w:r>
              <w:rPr>
                <w:rtl/>
              </w:rPr>
              <w:t>في«</w:t>
            </w:r>
            <w:r w:rsidRPr="005D642E">
              <w:rPr>
                <w:rtl/>
              </w:rPr>
              <w:t>بخ</w:t>
            </w:r>
            <w:r>
              <w:rPr>
                <w:rtl/>
              </w:rPr>
              <w:t>»</w:t>
            </w:r>
            <w:r w:rsidRPr="005D642E">
              <w:rPr>
                <w:rtl/>
              </w:rPr>
              <w:t>:</w:t>
            </w:r>
            <w:r>
              <w:rPr>
                <w:rtl/>
              </w:rPr>
              <w:t>-«</w:t>
            </w:r>
            <w:r w:rsidRPr="005D642E">
              <w:rPr>
                <w:rtl/>
              </w:rPr>
              <w:t>الل</w:t>
            </w:r>
            <w:r>
              <w:rPr>
                <w:rFonts w:hint="cs"/>
                <w:rtl/>
              </w:rPr>
              <w:t>ّ</w:t>
            </w:r>
            <w:r w:rsidRPr="005D642E">
              <w:rPr>
                <w:rtl/>
              </w:rPr>
              <w:t>همّ إنّا لا نعلم</w:t>
            </w:r>
            <w:r>
              <w:rPr>
                <w:rtl/>
              </w:rPr>
              <w:t xml:space="preserve"> - </w:t>
            </w:r>
            <w:r w:rsidRPr="005D642E">
              <w:rPr>
                <w:rtl/>
              </w:rPr>
              <w:t>إلى</w:t>
            </w:r>
            <w:r>
              <w:rPr>
                <w:rtl/>
              </w:rPr>
              <w:t xml:space="preserve"> - </w:t>
            </w:r>
            <w:r w:rsidRPr="005D642E">
              <w:rPr>
                <w:rtl/>
              </w:rPr>
              <w:t>عن سيّئاته</w:t>
            </w:r>
            <w:r>
              <w:rPr>
                <w:rtl/>
              </w:rPr>
              <w:t>».</w:t>
            </w:r>
          </w:p>
        </w:tc>
      </w:tr>
      <w:tr w:rsidR="009E5C7B" w:rsidTr="009E5C7B">
        <w:tc>
          <w:tcPr>
            <w:tcW w:w="4006" w:type="dxa"/>
          </w:tcPr>
          <w:p w:rsidR="009E5C7B" w:rsidRDefault="009E5C7B" w:rsidP="00E3253D">
            <w:pPr>
              <w:pStyle w:val="libFootnote0"/>
              <w:rPr>
                <w:rStyle w:val="libFootnote0Char"/>
                <w:rtl/>
                <w:lang w:bidi="fa-IR"/>
              </w:rPr>
            </w:pPr>
            <w:r w:rsidRPr="0042621E">
              <w:rPr>
                <w:rStyle w:val="libFootnote0Char"/>
                <w:rtl/>
              </w:rPr>
              <w:t>(6).</w:t>
            </w:r>
            <w:r w:rsidRPr="005D642E">
              <w:rPr>
                <w:rtl/>
              </w:rPr>
              <w:t xml:space="preserve"> في « بث ، جح » : « ثمّ يكبّر</w:t>
            </w:r>
            <w:r>
              <w:rPr>
                <w:rtl/>
              </w:rPr>
              <w:t xml:space="preserve"> ».</w:t>
            </w:r>
          </w:p>
        </w:tc>
        <w:tc>
          <w:tcPr>
            <w:tcW w:w="4006" w:type="dxa"/>
          </w:tcPr>
          <w:p w:rsidR="009E5C7B" w:rsidRDefault="009E5C7B" w:rsidP="00E3253D">
            <w:pPr>
              <w:pStyle w:val="libFootnote0"/>
              <w:rPr>
                <w:rStyle w:val="libFootnote0Char"/>
                <w:rtl/>
                <w:lang w:bidi="fa-IR"/>
              </w:rPr>
            </w:pPr>
            <w:r w:rsidRPr="0042621E">
              <w:rPr>
                <w:rStyle w:val="libFootnote0Char"/>
                <w:rtl/>
              </w:rPr>
              <w:t>(7).</w:t>
            </w:r>
            <w:r w:rsidRPr="005D642E">
              <w:rPr>
                <w:rtl/>
              </w:rPr>
              <w:t xml:space="preserve"> في « بخ ، جس » : « ويفعل</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9E5C7B">
        <w:rPr>
          <w:rStyle w:val="libFootnoteAlaemChar"/>
          <w:rtl/>
        </w:rPr>
        <w:t>عليه‌السلام</w:t>
      </w:r>
      <w:r w:rsidR="00E3253D" w:rsidRPr="005D642E">
        <w:rPr>
          <w:rtl/>
        </w:rPr>
        <w:t xml:space="preserve"> : في كلّ </w:t>
      </w:r>
      <w:r w:rsidR="009E5C7B">
        <w:rPr>
          <w:rtl/>
        </w:rPr>
        <w:t>تكبيرة ، ظاهره شمول الخامسة إل</w:t>
      </w:r>
      <w:r w:rsidR="009E5C7B">
        <w:rPr>
          <w:rFonts w:hint="cs"/>
          <w:rtl/>
        </w:rPr>
        <w:t>ّ</w:t>
      </w:r>
      <w:r w:rsidR="009E5C7B">
        <w:rPr>
          <w:rtl/>
        </w:rPr>
        <w:t>ا</w:t>
      </w:r>
      <w:r w:rsidR="00E3253D">
        <w:rPr>
          <w:rFonts w:hint="cs"/>
          <w:rtl/>
        </w:rPr>
        <w:t xml:space="preserve"> </w:t>
      </w:r>
      <w:r w:rsidR="00E3253D" w:rsidRPr="005D642E">
        <w:rPr>
          <w:rtl/>
        </w:rPr>
        <w:t>أن يخصّص بالأخبار الا</w:t>
      </w:r>
      <w:r w:rsidR="009E5C7B">
        <w:rPr>
          <w:rFonts w:hint="cs"/>
          <w:rtl/>
        </w:rPr>
        <w:t>ُ</w:t>
      </w:r>
      <w:r w:rsidR="00E3253D" w:rsidRPr="005D642E">
        <w:rPr>
          <w:rtl/>
        </w:rPr>
        <w:t>خرى</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3 ، ص 191 ، ح 436 ، معلّقاً</w:t>
      </w:r>
      <w:r w:rsidR="009E5C7B">
        <w:rPr>
          <w:rtl/>
        </w:rPr>
        <w:t xml:space="preserve"> عن الحسن بن محبوب ، عن أبي ول</w:t>
      </w:r>
      <w:r w:rsidR="009E5C7B">
        <w:rPr>
          <w:rFonts w:hint="cs"/>
          <w:rtl/>
        </w:rPr>
        <w:t>ّ</w:t>
      </w:r>
      <w:r w:rsidR="009E5C7B">
        <w:rPr>
          <w:rtl/>
        </w:rPr>
        <w:t>ا</w:t>
      </w:r>
      <w:r w:rsidR="00E3253D" w:rsidRPr="005D642E">
        <w:rPr>
          <w:rtl/>
        </w:rPr>
        <w:t xml:space="preserve">د ، مع اختلاف يسير </w:t>
      </w:r>
      <w:r w:rsidR="009E5C7B">
        <w:rPr>
          <w:rFonts w:hint="cs"/>
          <w:rtl/>
        </w:rPr>
        <w:t>.</w:t>
      </w:r>
      <w:r w:rsidR="00E3253D" w:rsidRPr="002F4D34">
        <w:rPr>
          <w:rStyle w:val="libFootnoteBoldChar"/>
          <w:rtl/>
        </w:rPr>
        <w:t>الوافي</w:t>
      </w:r>
      <w:r w:rsidR="00E3253D" w:rsidRPr="005D642E">
        <w:rPr>
          <w:rtl/>
        </w:rPr>
        <w:t xml:space="preserve"> ، ج 24 ، ص 452 ، ح 24431 ؛ </w:t>
      </w:r>
      <w:r w:rsidR="00E3253D" w:rsidRPr="002F4D34">
        <w:rPr>
          <w:rStyle w:val="libFootnoteBoldChar"/>
          <w:rtl/>
        </w:rPr>
        <w:t>الوسائل</w:t>
      </w:r>
      <w:r w:rsidR="00E3253D" w:rsidRPr="005D642E">
        <w:rPr>
          <w:rtl/>
        </w:rPr>
        <w:t xml:space="preserve"> ، ج 3 ، ص 62 ، ذيل ح 3025.</w:t>
      </w:r>
    </w:p>
    <w:tbl>
      <w:tblPr>
        <w:tblStyle w:val="TableGrid"/>
        <w:bidiVisual/>
        <w:tblW w:w="0" w:type="auto"/>
        <w:tblLook w:val="04A0" w:firstRow="1" w:lastRow="0" w:firstColumn="1" w:lastColumn="0" w:noHBand="0" w:noVBand="1"/>
      </w:tblPr>
      <w:tblGrid>
        <w:gridCol w:w="4006"/>
        <w:gridCol w:w="4006"/>
      </w:tblGrid>
      <w:tr w:rsidR="009E5C7B" w:rsidTr="009E5C7B">
        <w:tc>
          <w:tcPr>
            <w:tcW w:w="4006" w:type="dxa"/>
          </w:tcPr>
          <w:p w:rsidR="009E5C7B" w:rsidRDefault="009E5C7B" w:rsidP="00E3253D">
            <w:pPr>
              <w:pStyle w:val="libFootnote0"/>
              <w:rPr>
                <w:rStyle w:val="libFootnote0Char"/>
                <w:rtl/>
              </w:rPr>
            </w:pPr>
            <w:r w:rsidRPr="0042621E">
              <w:rPr>
                <w:rStyle w:val="libFootnote0Char"/>
                <w:rtl/>
              </w:rPr>
              <w:t>(10).</w:t>
            </w:r>
            <w:r w:rsidRPr="005D642E">
              <w:rPr>
                <w:rtl/>
              </w:rPr>
              <w:t xml:space="preserve"> في « بس » : « يكبّر ، ثمّ يشهد</w:t>
            </w:r>
            <w:r>
              <w:rPr>
                <w:rtl/>
              </w:rPr>
              <w:t xml:space="preserve"> ».</w:t>
            </w:r>
          </w:p>
        </w:tc>
        <w:tc>
          <w:tcPr>
            <w:tcW w:w="4006" w:type="dxa"/>
          </w:tcPr>
          <w:p w:rsidR="009E5C7B" w:rsidRDefault="009E5C7B" w:rsidP="00E3253D">
            <w:pPr>
              <w:pStyle w:val="libFootnote0"/>
              <w:rPr>
                <w:rStyle w:val="libFootnote0Char"/>
                <w:rtl/>
              </w:rPr>
            </w:pPr>
            <w:r w:rsidRPr="0042621E">
              <w:rPr>
                <w:rStyle w:val="libFootnote0Char"/>
                <w:rtl/>
              </w:rPr>
              <w:t>(11).</w:t>
            </w:r>
            <w:r w:rsidRPr="005D642E">
              <w:rPr>
                <w:rtl/>
              </w:rPr>
              <w:t xml:space="preserve"> في « بس ، جس » : « ثمّ يقول</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البقرة </w:t>
      </w:r>
      <w:r w:rsidRPr="0042621E">
        <w:rPr>
          <w:rStyle w:val="libFootnote0Char"/>
          <w:rtl/>
        </w:rPr>
        <w:t>(2)</w:t>
      </w:r>
      <w:r w:rsidR="00E3253D" w:rsidRPr="005D642E">
        <w:rPr>
          <w:rtl/>
        </w:rPr>
        <w:t xml:space="preserve"> : 156.</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غ ، بف </w:t>
      </w:r>
      <w:r w:rsidR="00E3253D" w:rsidRPr="009E5C7B">
        <w:rPr>
          <w:rtl/>
        </w:rPr>
        <w:t xml:space="preserve">» </w:t>
      </w:r>
      <w:r w:rsidR="000D749A" w:rsidRPr="009E5C7B">
        <w:rPr>
          <w:rtl/>
        </w:rPr>
        <w:t>والوافي</w:t>
      </w:r>
      <w:r w:rsidR="00E3253D" w:rsidRPr="005D642E">
        <w:rPr>
          <w:rtl/>
        </w:rPr>
        <w:t xml:space="preserve"> وفقه الرضا : « محمّداً عنّا</w:t>
      </w:r>
      <w:r w:rsidR="00E3253D">
        <w:rPr>
          <w:rtl/>
        </w:rPr>
        <w:t xml:space="preserve"> ».</w:t>
      </w:r>
      <w:r w:rsidR="00E3253D" w:rsidRPr="005D642E">
        <w:rPr>
          <w:rtl/>
        </w:rPr>
        <w:t xml:space="preserve"> وفي « بخ » :</w:t>
      </w:r>
      <w:r w:rsidR="00E3253D">
        <w:rPr>
          <w:rtl/>
        </w:rPr>
        <w:t xml:space="preserve"> </w:t>
      </w:r>
      <w:r w:rsidR="007642BC">
        <w:rPr>
          <w:rtl/>
        </w:rPr>
        <w:t>-</w:t>
      </w:r>
      <w:r w:rsidR="00E3253D">
        <w:rPr>
          <w:rtl/>
        </w:rPr>
        <w:t xml:space="preserve"> </w:t>
      </w:r>
      <w:r w:rsidR="00E3253D" w:rsidRPr="005D642E">
        <w:rPr>
          <w:rtl/>
        </w:rPr>
        <w:t>« عنّا محمّداً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E5C7B" w:rsidTr="009E5C7B">
        <w:tc>
          <w:tcPr>
            <w:tcW w:w="4006" w:type="dxa"/>
          </w:tcPr>
          <w:p w:rsidR="009E5C7B" w:rsidRDefault="009E5C7B" w:rsidP="00E3253D">
            <w:pPr>
              <w:pStyle w:val="libFootnote0"/>
              <w:rPr>
                <w:rStyle w:val="libFootnote0Char"/>
                <w:rtl/>
              </w:rPr>
            </w:pPr>
            <w:r w:rsidRPr="0042621E">
              <w:rPr>
                <w:rStyle w:val="libFootnote0Char"/>
                <w:rtl/>
              </w:rPr>
              <w:t>(14).</w:t>
            </w:r>
            <w:r w:rsidRPr="005D642E">
              <w:rPr>
                <w:rtl/>
              </w:rPr>
              <w:t xml:space="preserve"> في « بخ ، جح » وفقه الرضا : « ثمّ يقول</w:t>
            </w:r>
            <w:r>
              <w:rPr>
                <w:rtl/>
              </w:rPr>
              <w:t xml:space="preserve"> ».</w:t>
            </w:r>
          </w:p>
        </w:tc>
        <w:tc>
          <w:tcPr>
            <w:tcW w:w="4006" w:type="dxa"/>
          </w:tcPr>
          <w:p w:rsidR="009E5C7B" w:rsidRDefault="009E5C7B" w:rsidP="00E3253D">
            <w:pPr>
              <w:pStyle w:val="libFootnote0"/>
              <w:rPr>
                <w:rStyle w:val="libFootnote0Char"/>
                <w:rtl/>
              </w:rPr>
            </w:pPr>
            <w:r w:rsidRPr="0042621E">
              <w:rPr>
                <w:rStyle w:val="libFootnote0Char"/>
                <w:rtl/>
              </w:rPr>
              <w:t>(15).</w:t>
            </w:r>
            <w:r w:rsidRPr="005D642E">
              <w:rPr>
                <w:rtl/>
              </w:rPr>
              <w:t>في « بث ، بح ، بف » وفقه الرضا : « وابن</w:t>
            </w:r>
            <w:r>
              <w:rPr>
                <w:rtl/>
              </w:rPr>
              <w:t xml:space="preserve"> ».</w:t>
            </w:r>
          </w:p>
        </w:tc>
      </w:tr>
    </w:tbl>
    <w:p w:rsidR="00E3253D" w:rsidRPr="005D642E" w:rsidRDefault="00E3253D" w:rsidP="00E3253D">
      <w:pPr>
        <w:pStyle w:val="libFootnote0"/>
        <w:rPr>
          <w:rtl/>
          <w:lang w:bidi="fa-IR"/>
        </w:rPr>
      </w:pPr>
      <w:r w:rsidRPr="005D642E">
        <w:rPr>
          <w:rtl/>
        </w:rPr>
        <w:t>(1</w:t>
      </w:r>
      <w:r>
        <w:rPr>
          <w:rtl/>
        </w:rPr>
        <w:t>6)</w:t>
      </w:r>
      <w:r w:rsidRPr="005D642E">
        <w:rPr>
          <w:rtl/>
        </w:rPr>
        <w:t xml:space="preserve"> في « بف » وفقه الرضا : « وابن</w:t>
      </w:r>
      <w:r>
        <w:rPr>
          <w:rtl/>
        </w:rPr>
        <w:t xml:space="preserve"> ».</w:t>
      </w:r>
    </w:p>
    <w:p w:rsidR="00E3253D" w:rsidRPr="005D642E" w:rsidRDefault="00E3253D" w:rsidP="00E3253D">
      <w:pPr>
        <w:pStyle w:val="libFootnote0"/>
        <w:rPr>
          <w:rtl/>
          <w:lang w:bidi="fa-IR"/>
        </w:rPr>
      </w:pPr>
      <w:r w:rsidRPr="005D642E">
        <w:rPr>
          <w:rtl/>
        </w:rPr>
        <w:t>(1</w:t>
      </w:r>
      <w:r>
        <w:rPr>
          <w:rtl/>
        </w:rPr>
        <w:t>7)</w:t>
      </w:r>
      <w:r w:rsidRPr="005D642E">
        <w:rPr>
          <w:rtl/>
        </w:rPr>
        <w:t xml:space="preserve"> في </w:t>
      </w:r>
      <w:r w:rsidRPr="002F4D34">
        <w:rPr>
          <w:rStyle w:val="libFootnoteBoldChar"/>
          <w:rtl/>
        </w:rPr>
        <w:t>مرآة العقول</w:t>
      </w:r>
      <w:r w:rsidRPr="005D642E">
        <w:rPr>
          <w:rtl/>
        </w:rPr>
        <w:t xml:space="preserve"> : « قوله </w:t>
      </w:r>
      <w:r w:rsidRPr="009E5C7B">
        <w:rPr>
          <w:rStyle w:val="libFootnoteAlaemChar"/>
          <w:rtl/>
        </w:rPr>
        <w:t>عليه‌السلام</w:t>
      </w:r>
      <w:r w:rsidRPr="005D642E">
        <w:rPr>
          <w:rtl/>
        </w:rPr>
        <w:t xml:space="preserve"> : خلا من الدنيا ، أي مضى منها ؛ والأيّام الخالية ، أي الماضية ، أو صار خالياً عارياً ممّاكان له من الدنيا وانقطعت حيلته عنها</w:t>
      </w:r>
      <w:r>
        <w:rPr>
          <w:rtl/>
        </w:rPr>
        <w:t xml:space="preserve"> ».</w:t>
      </w:r>
    </w:p>
    <w:p w:rsidR="00E3253D" w:rsidRPr="005D642E" w:rsidRDefault="00E3253D" w:rsidP="00A33E33">
      <w:pPr>
        <w:pStyle w:val="libFootnote0"/>
        <w:rPr>
          <w:rtl/>
          <w:lang w:bidi="fa-IR"/>
        </w:rPr>
      </w:pPr>
      <w:r w:rsidRPr="005D642E">
        <w:rPr>
          <w:rtl/>
        </w:rPr>
        <w:t>(1</w:t>
      </w:r>
      <w:r>
        <w:rPr>
          <w:rtl/>
        </w:rPr>
        <w:t>8)</w:t>
      </w:r>
      <w:r w:rsidRPr="005D642E">
        <w:rPr>
          <w:rtl/>
        </w:rPr>
        <w:t xml:space="preserve"> كذا في « بح » </w:t>
      </w:r>
      <w:r w:rsidRPr="00A33E33">
        <w:rPr>
          <w:rtl/>
        </w:rPr>
        <w:t xml:space="preserve">والمطبوع </w:t>
      </w:r>
      <w:r w:rsidR="000D749A" w:rsidRPr="00A33E33">
        <w:rPr>
          <w:rtl/>
        </w:rPr>
        <w:t>والوافي</w:t>
      </w:r>
      <w:r w:rsidRPr="005D642E">
        <w:rPr>
          <w:rtl/>
        </w:rPr>
        <w:t xml:space="preserve"> والوسائل. وفي سائر النسخ :</w:t>
      </w:r>
      <w:r>
        <w:rPr>
          <w:rtl/>
        </w:rPr>
        <w:t xml:space="preserve"> </w:t>
      </w:r>
      <w:r w:rsidR="007642BC">
        <w:rPr>
          <w:rtl/>
        </w:rPr>
        <w:t>-</w:t>
      </w:r>
      <w:r>
        <w:rPr>
          <w:rtl/>
        </w:rPr>
        <w:t xml:space="preserve"> </w:t>
      </w:r>
      <w:r w:rsidRPr="005D642E">
        <w:rPr>
          <w:rtl/>
        </w:rPr>
        <w:t>« منه</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وَأَنْتَ أَعْلَمُ بِهِ </w:t>
      </w:r>
      <w:r w:rsidRPr="007C12DB">
        <w:rPr>
          <w:rStyle w:val="libFootnotenumChar"/>
          <w:rtl/>
        </w:rPr>
        <w:t>(1)</w:t>
      </w:r>
      <w:r w:rsidRPr="005D642E">
        <w:rPr>
          <w:rtl/>
          <w:lang w:bidi="fa-IR"/>
        </w:rPr>
        <w:t xml:space="preserve"> ، الل</w:t>
      </w:r>
      <w:r w:rsidR="00A33E33">
        <w:rPr>
          <w:rFonts w:hint="cs"/>
          <w:rtl/>
          <w:lang w:bidi="fa-IR"/>
        </w:rPr>
        <w:t>َّ</w:t>
      </w:r>
      <w:r w:rsidRPr="005D642E">
        <w:rPr>
          <w:rtl/>
          <w:lang w:bidi="fa-IR"/>
        </w:rPr>
        <w:t xml:space="preserve">هُمَّ إِنْ كَانَ مُحْسِناً فَزِدْ فِي إِحْسَانِهِ </w:t>
      </w:r>
      <w:r w:rsidRPr="007C12DB">
        <w:rPr>
          <w:rStyle w:val="libFootnotenumChar"/>
          <w:rtl/>
        </w:rPr>
        <w:t>(2)</w:t>
      </w:r>
      <w:r w:rsidRPr="005D642E">
        <w:rPr>
          <w:rtl/>
          <w:lang w:bidi="fa-IR"/>
        </w:rPr>
        <w:t xml:space="preserve"> وَتَقَبَّلْ مِنْهُ ، وَإِنْ كَانَ مُسِيئاً فَاغْفِرْ لَهُ ذَنْبَهُ ، وَارْحَمْهُ ، وَتَجَاوَزْ عَنْهُ بِرَحْمَتِكَ ، الل</w:t>
      </w:r>
      <w:r w:rsidR="00A33E33">
        <w:rPr>
          <w:rFonts w:hint="cs"/>
          <w:rtl/>
          <w:lang w:bidi="fa-IR"/>
        </w:rPr>
        <w:t>َّ</w:t>
      </w:r>
      <w:r w:rsidRPr="005D642E">
        <w:rPr>
          <w:rtl/>
          <w:lang w:bidi="fa-IR"/>
        </w:rPr>
        <w:t xml:space="preserve">هُمَّ أَلْحِقْهُ بِنَبِيِّكَ ، وَثَبِّتْهُ بِالْقَوْلِ الثَّابِتِ فِي الْحَيَاةِ الدُّنْيَا </w:t>
      </w:r>
      <w:r w:rsidRPr="007C12DB">
        <w:rPr>
          <w:rStyle w:val="libFootnotenumChar"/>
          <w:rtl/>
        </w:rPr>
        <w:t>(3)</w:t>
      </w:r>
      <w:r w:rsidRPr="005D642E">
        <w:rPr>
          <w:rtl/>
          <w:lang w:bidi="fa-IR"/>
        </w:rPr>
        <w:t xml:space="preserve"> وَفِي الْآخِرَةِ ، الل</w:t>
      </w:r>
      <w:r w:rsidR="00A33E33">
        <w:rPr>
          <w:rFonts w:hint="cs"/>
          <w:rtl/>
          <w:lang w:bidi="fa-IR"/>
        </w:rPr>
        <w:t>َّ</w:t>
      </w:r>
      <w:r w:rsidRPr="005D642E">
        <w:rPr>
          <w:rtl/>
          <w:lang w:bidi="fa-IR"/>
        </w:rPr>
        <w:t>هُمَّ اسْلُكْ بِنَا وَبِهِ سَبِيلَ الْهُدى ، وَاهْدِنَا وَإِيَّاهُ صِرَاطَكَ الْمُسْتَقِيمَ ، الل</w:t>
      </w:r>
      <w:r w:rsidR="00A33E33">
        <w:rPr>
          <w:rFonts w:hint="cs"/>
          <w:rtl/>
          <w:lang w:bidi="fa-IR"/>
        </w:rPr>
        <w:t>َّ</w:t>
      </w:r>
      <w:r w:rsidRPr="005D642E">
        <w:rPr>
          <w:rtl/>
          <w:lang w:bidi="fa-IR"/>
        </w:rPr>
        <w:t xml:space="preserve">هُمَّ عَفْوَكَ عَفْوَكَ </w:t>
      </w:r>
      <w:r w:rsidRPr="007C12DB">
        <w:rPr>
          <w:rStyle w:val="libFootnotenumChar"/>
          <w:rtl/>
        </w:rPr>
        <w:t>(4)</w:t>
      </w:r>
      <w:r w:rsidR="00A33E33" w:rsidRPr="00A33E33">
        <w:rPr>
          <w:rStyle w:val="libNormalChar"/>
          <w:rFonts w:hint="cs"/>
          <w:rtl/>
        </w:rPr>
        <w:t>.</w:t>
      </w:r>
    </w:p>
    <w:p w:rsidR="00E3253D" w:rsidRPr="005D642E" w:rsidRDefault="00E3253D" w:rsidP="00E3253D">
      <w:pPr>
        <w:pStyle w:val="libNormal"/>
        <w:rPr>
          <w:rtl/>
          <w:lang w:bidi="fa-IR"/>
        </w:rPr>
      </w:pPr>
      <w:r w:rsidRPr="005D642E">
        <w:rPr>
          <w:rtl/>
          <w:lang w:bidi="fa-IR"/>
        </w:rPr>
        <w:t>ثُمَّ تُكَبِّرُ الثَّانِيَةَ ، وَتَقُولُ مِثْلَ مَا قُلْتَ حَتّى تَفْرُغَ مِنْ خَمْسِ تَكْبِيرَاتٍ</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1351D6">
        <w:rPr>
          <w:rtl/>
        </w:rPr>
        <w:t>4509</w:t>
      </w:r>
      <w:r w:rsidRPr="00246318">
        <w:rPr>
          <w:rStyle w:val="libBold2Char"/>
          <w:rtl/>
        </w:rPr>
        <w:t xml:space="preserve"> / 5.</w:t>
      </w:r>
      <w:r w:rsidRPr="005D642E">
        <w:rPr>
          <w:rtl/>
          <w:lang w:bidi="fa-IR"/>
        </w:rPr>
        <w:t xml:space="preserve"> عِدَّةٌ مِنْ أَصْحَابِنَا ، عَنْ سَهْلِ بْنِ زِيَادٍ ، عَنْ مُحَمَّدِ بْ</w:t>
      </w:r>
      <w:r w:rsidR="00A33E33">
        <w:rPr>
          <w:rtl/>
          <w:lang w:bidi="fa-IR"/>
        </w:rPr>
        <w:t>نِ عِيسى ، عَنْ يُونُسَ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سَأَلْتُ الرِّضَا </w:t>
      </w:r>
      <w:r w:rsidRPr="00AC51C5">
        <w:rPr>
          <w:rStyle w:val="libAlaemChar"/>
          <w:rtl/>
        </w:rPr>
        <w:t>عليه‌السلام</w:t>
      </w:r>
      <w:r w:rsidRPr="005D642E">
        <w:rPr>
          <w:rtl/>
          <w:lang w:bidi="fa-IR"/>
        </w:rPr>
        <w:t xml:space="preserve"> : قُلْتُ : جُعِلْتُ فِدَاكَ ، إِنَّ النَّاسَ يَرْفَعُونَ أَيْدِيَهُمْ فِي التَّكْبِيرِ عَلَى الْمَيِّتِ فِي التَّكْبِيرَةِ الْأُولى ، وَلَايَرْفَعُونَ فِيمَا بَعْدَ ذلِكَ </w:t>
      </w:r>
      <w:r w:rsidRPr="007C12DB">
        <w:rPr>
          <w:rStyle w:val="libFootnotenumChar"/>
          <w:rtl/>
        </w:rPr>
        <w:t>(6)</w:t>
      </w:r>
      <w:r w:rsidRPr="005D642E">
        <w:rPr>
          <w:rtl/>
          <w:lang w:bidi="fa-IR"/>
        </w:rPr>
        <w:t xml:space="preserve"> ، فَأَقْتَصِرُ عَلَى التَّكْبِيرَةِ الْأُولى </w:t>
      </w:r>
      <w:r w:rsidRPr="007C12DB">
        <w:rPr>
          <w:rStyle w:val="libFootnotenumChar"/>
          <w:rtl/>
        </w:rPr>
        <w:t>(7)</w:t>
      </w:r>
      <w:r w:rsidRPr="005D642E">
        <w:rPr>
          <w:rtl/>
          <w:lang w:bidi="fa-IR"/>
        </w:rPr>
        <w:t xml:space="preserve"> كَمَا يَفْعَلُونَ ، أَوْ أَرْفَعُ يَدِي فِي كُلِّ تَكْبِيرَةٍ</w:t>
      </w:r>
      <w:r>
        <w:rPr>
          <w:rtl/>
          <w:lang w:bidi="fa-IR"/>
        </w:rPr>
        <w:t>؟</w:t>
      </w:r>
    </w:p>
    <w:p w:rsidR="00E3253D" w:rsidRPr="005D642E" w:rsidRDefault="00E3253D" w:rsidP="00E3253D">
      <w:pPr>
        <w:pStyle w:val="libNormal"/>
        <w:rPr>
          <w:rtl/>
          <w:lang w:bidi="fa-IR"/>
        </w:rPr>
      </w:pPr>
      <w:r w:rsidRPr="005D642E">
        <w:rPr>
          <w:rtl/>
          <w:lang w:bidi="fa-IR"/>
        </w:rPr>
        <w:t xml:space="preserve">فَقَالَ : « ارْفَعْ يَدَكَ </w:t>
      </w:r>
      <w:r w:rsidRPr="007C12DB">
        <w:rPr>
          <w:rStyle w:val="libFootnotenumChar"/>
          <w:rtl/>
        </w:rPr>
        <w:t>(8)</w:t>
      </w:r>
      <w:r w:rsidRPr="005D642E">
        <w:rPr>
          <w:rtl/>
          <w:lang w:bidi="fa-IR"/>
        </w:rPr>
        <w:t xml:space="preserve"> فِي كُلِّ تَكْبِيرَةٍ</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كذا في « بح » </w:t>
      </w:r>
      <w:r w:rsidR="00E3253D" w:rsidRPr="00A33E33">
        <w:rPr>
          <w:rtl/>
        </w:rPr>
        <w:t xml:space="preserve">والمطبوع </w:t>
      </w:r>
      <w:r w:rsidR="000D749A" w:rsidRPr="00A33E33">
        <w:rPr>
          <w:rtl/>
        </w:rPr>
        <w:t>والوافي</w:t>
      </w:r>
      <w:r w:rsidR="00E3253D" w:rsidRPr="005D642E">
        <w:rPr>
          <w:rtl/>
        </w:rPr>
        <w:t xml:space="preserve"> والوسائل. وفي سائر النسخ :</w:t>
      </w:r>
      <w:r w:rsidR="00E3253D">
        <w:rPr>
          <w:rtl/>
        </w:rPr>
        <w:t xml:space="preserve"> </w:t>
      </w:r>
      <w:r w:rsidR="007642BC">
        <w:rPr>
          <w:rtl/>
        </w:rPr>
        <w:t>-</w:t>
      </w:r>
      <w:r w:rsidR="00E3253D">
        <w:rPr>
          <w:rtl/>
        </w:rPr>
        <w:t xml:space="preserve"> </w:t>
      </w:r>
      <w:r w:rsidR="00E3253D" w:rsidRPr="005D642E">
        <w:rPr>
          <w:rtl/>
        </w:rPr>
        <w:t>« به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غ ، بث » : « في حسناته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يشكل ما ورد في هذا الدعاء بأنّ حياته الدنيويّة قد انقضت ، فما معنى الدعاء له بالثبات الدنيا</w:t>
      </w:r>
      <w:r w:rsidR="00A33E33">
        <w:rPr>
          <w:rFonts w:hint="cs"/>
          <w:rtl/>
        </w:rPr>
        <w:t xml:space="preserve"> </w:t>
      </w:r>
      <w:r w:rsidR="00E3253D" w:rsidRPr="005D642E">
        <w:rPr>
          <w:rtl/>
        </w:rPr>
        <w:t>في الحياة. ويمكن أن يوجّه بوجهين : الأوّل : أن يكون الظرف متعلّقاً بالثابت ، أي القول الثابت الذي لايتبدّل بتبدّل النشأتين ؛ فإنّ العقائد الباطلة التابعة للأغراض الدنيويّة والشهوات النفسانيّة تتبدّل وتتغيّر في النشأة الآخرة لزوال دواعيها</w:t>
      </w:r>
      <w:r w:rsidR="00E3253D">
        <w:rPr>
          <w:rtl/>
        </w:rPr>
        <w:t xml:space="preserve"> ..</w:t>
      </w:r>
      <w:r w:rsidR="00E3253D" w:rsidRPr="005D642E">
        <w:rPr>
          <w:rtl/>
        </w:rPr>
        <w:t>. الثاني : أن يكون المراد بالحياة الدنيا ما يقع قبل القيامة فيكون حياة القبر للسؤال داخلاً في الحياة الدنيا ، على أنّه يحتمل أن يكون ذكره على سبيل التبعيّة استطراداً لذكره في الآية. ولعلّ ثاني الوجهين أظهر</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A33E33">
        <w:rPr>
          <w:rStyle w:val="libFootnoteAlaemChar"/>
          <w:rtl/>
        </w:rPr>
        <w:t>عليه‌السلام</w:t>
      </w:r>
      <w:r w:rsidR="00E3253D" w:rsidRPr="005D642E">
        <w:rPr>
          <w:rtl/>
        </w:rPr>
        <w:t xml:space="preserve"> : عفوك عفوك ، بالنصب أي أطلبه ، ويحتمل الرفع بتقدير الخبر</w:t>
      </w:r>
      <w:r w:rsidR="00E3253D">
        <w:rPr>
          <w:rtl/>
        </w:rPr>
        <w:t xml:space="preserve"> ».</w:t>
      </w:r>
    </w:p>
    <w:p w:rsidR="00E3253D" w:rsidRPr="005D642E" w:rsidRDefault="0042621E" w:rsidP="00A33E33">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A33E33">
        <w:rPr>
          <w:rStyle w:val="libFootnoteAlaemChar"/>
          <w:rtl/>
        </w:rPr>
        <w:t>عليه‌السلام</w:t>
      </w:r>
      <w:r w:rsidR="00E3253D" w:rsidRPr="005D642E">
        <w:rPr>
          <w:rtl/>
        </w:rPr>
        <w:t xml:space="preserve"> ، ص 183 ، مع اختلاف يسير </w:t>
      </w:r>
      <w:r w:rsidR="00A33E33">
        <w:rPr>
          <w:rFonts w:hint="cs"/>
          <w:rtl/>
        </w:rPr>
        <w:t>.</w:t>
      </w:r>
      <w:r w:rsidR="00E3253D" w:rsidRPr="002F4D34">
        <w:rPr>
          <w:rStyle w:val="libFootnoteBoldChar"/>
          <w:rtl/>
        </w:rPr>
        <w:t>الوافي</w:t>
      </w:r>
      <w:r w:rsidR="00E3253D" w:rsidRPr="005D642E">
        <w:rPr>
          <w:rtl/>
        </w:rPr>
        <w:t xml:space="preserve"> ، ج 24 ، ص 453 ، ح 24432 ؛ </w:t>
      </w:r>
      <w:r w:rsidR="00E3253D" w:rsidRPr="002F4D34">
        <w:rPr>
          <w:rStyle w:val="libFootnoteBoldChar"/>
          <w:rtl/>
        </w:rPr>
        <w:t>الوسائل</w:t>
      </w:r>
      <w:r w:rsidR="00E3253D" w:rsidRPr="005D642E">
        <w:rPr>
          <w:rtl/>
        </w:rPr>
        <w:t xml:space="preserve"> ، ج 3 ، ص 61 ، ح 3023.</w:t>
      </w:r>
      <w:r w:rsidR="00312BD7">
        <w:rPr>
          <w:rFonts w:hint="cs"/>
          <w:rtl/>
        </w:rPr>
        <w:t xml:space="preserve">                         </w:t>
      </w:r>
      <w:r w:rsidR="00A33E33">
        <w:rPr>
          <w:rFonts w:hint="cs"/>
          <w:rtl/>
        </w:rPr>
        <w:t xml:space="preserve">       </w:t>
      </w:r>
      <w:r w:rsidRPr="0042621E">
        <w:rPr>
          <w:rStyle w:val="libFootnote0Char"/>
          <w:rtl/>
        </w:rPr>
        <w:t>(6).</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ذلك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33E33" w:rsidTr="00A33E33">
        <w:tc>
          <w:tcPr>
            <w:tcW w:w="4006" w:type="dxa"/>
          </w:tcPr>
          <w:p w:rsidR="00A33E33" w:rsidRDefault="00A33E33" w:rsidP="00E3253D">
            <w:pPr>
              <w:pStyle w:val="libFootnote0"/>
              <w:rPr>
                <w:rStyle w:val="libFootnote0Char"/>
                <w:rtl/>
              </w:rPr>
            </w:pPr>
            <w:r w:rsidRPr="0042621E">
              <w:rPr>
                <w:rStyle w:val="libFootnote0Char"/>
                <w:rtl/>
              </w:rPr>
              <w:t>(7).</w:t>
            </w:r>
            <w:r w:rsidRPr="005D642E">
              <w:rPr>
                <w:rtl/>
              </w:rPr>
              <w:t xml:space="preserve"> في « بف » : « التكبير الأوّل</w:t>
            </w:r>
            <w:r>
              <w:rPr>
                <w:rtl/>
              </w:rPr>
              <w:t xml:space="preserve"> ».</w:t>
            </w:r>
          </w:p>
        </w:tc>
        <w:tc>
          <w:tcPr>
            <w:tcW w:w="4006" w:type="dxa"/>
          </w:tcPr>
          <w:p w:rsidR="00A33E33" w:rsidRDefault="00A33E33" w:rsidP="00E3253D">
            <w:pPr>
              <w:pStyle w:val="libFootnote0"/>
              <w:rPr>
                <w:rStyle w:val="libFootnote0Char"/>
                <w:rtl/>
              </w:rPr>
            </w:pPr>
            <w:r w:rsidRPr="0042621E">
              <w:rPr>
                <w:rStyle w:val="libFootnote0Char"/>
                <w:rtl/>
              </w:rPr>
              <w:t>(8).</w:t>
            </w:r>
            <w:r w:rsidRPr="005D642E">
              <w:rPr>
                <w:rtl/>
              </w:rPr>
              <w:t xml:space="preserve"> في التهذيب : « يديك</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3 ، ص 195 ، ح 446 ؛ </w:t>
      </w:r>
      <w:r w:rsidR="00E3253D" w:rsidRPr="00E678B5">
        <w:rPr>
          <w:rStyle w:val="libFootnoteBoldChar"/>
          <w:rtl/>
        </w:rPr>
        <w:t>والاستبصار</w:t>
      </w:r>
      <w:r w:rsidR="00E3253D" w:rsidRPr="005D642E">
        <w:rPr>
          <w:rtl/>
        </w:rPr>
        <w:t xml:space="preserve"> ، ج 1 ، ص 478 ، ح 1852 ، معلّقاً عن الكليني </w:t>
      </w:r>
      <w:r w:rsidR="00A33E33">
        <w:rPr>
          <w:rFonts w:hint="cs"/>
          <w:rtl/>
        </w:rPr>
        <w:t>.</w:t>
      </w:r>
      <w:r w:rsidR="00E3253D" w:rsidRPr="002F4D34">
        <w:rPr>
          <w:rStyle w:val="libFootnoteBoldChar"/>
          <w:rtl/>
        </w:rPr>
        <w:t>الوافي</w:t>
      </w:r>
      <w:r w:rsidR="00E3253D" w:rsidRPr="005D642E">
        <w:rPr>
          <w:rtl/>
        </w:rPr>
        <w:t xml:space="preserve"> ، ج 24 ، ص 449 ، ح 24425 ؛ </w:t>
      </w:r>
      <w:r w:rsidR="00E3253D" w:rsidRPr="002F4D34">
        <w:rPr>
          <w:rStyle w:val="libFootnoteBoldChar"/>
          <w:rtl/>
        </w:rPr>
        <w:t>الوسائل</w:t>
      </w:r>
      <w:r w:rsidR="00E3253D" w:rsidRPr="005D642E">
        <w:rPr>
          <w:rtl/>
        </w:rPr>
        <w:t xml:space="preserve"> ، ج 3 ، ص 93 ، ح 3111.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1351D6">
        <w:rPr>
          <w:rtl/>
        </w:rPr>
        <w:t>4510</w:t>
      </w:r>
      <w:r w:rsidRPr="00246318">
        <w:rPr>
          <w:rStyle w:val="libBold2Char"/>
          <w:rtl/>
        </w:rPr>
        <w:t xml:space="preserve"> / 6.</w:t>
      </w:r>
      <w:r w:rsidRPr="005D642E">
        <w:rPr>
          <w:rtl/>
          <w:lang w:bidi="fa-IR"/>
        </w:rPr>
        <w:t xml:space="preserve"> عَلِيُّ بْنُ مُحَمَّدٍ ، عَنْ عَلِيِّ بْنِ الْحَسَنِ ، عَنْ أَحْمَدَ بْنِ عَبْدِ الرَّحِيمِ أَبِي الصَّخْرِ </w:t>
      </w:r>
      <w:r w:rsidRPr="007C12DB">
        <w:rPr>
          <w:rStyle w:val="libFootnotenumChar"/>
          <w:rtl/>
        </w:rPr>
        <w:t>(1)</w:t>
      </w:r>
      <w:r w:rsidRPr="005D642E">
        <w:rPr>
          <w:rtl/>
          <w:lang w:bidi="fa-IR"/>
        </w:rPr>
        <w:t xml:space="preserve"> ، عَنْ إِسْمَاعِيلَ بْنِ عَبْدِ الْخَالِقِ بْنِ </w:t>
      </w:r>
      <w:r w:rsidRPr="007C12DB">
        <w:rPr>
          <w:rStyle w:val="libFootnotenumChar"/>
          <w:rtl/>
        </w:rPr>
        <w:t>(2)</w:t>
      </w:r>
      <w:r w:rsidRPr="005D642E">
        <w:rPr>
          <w:rtl/>
          <w:lang w:bidi="fa-IR"/>
        </w:rPr>
        <w:t xml:space="preserve"> عَبْدِ رَبِّهِ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الصَّلَاةِ عَلَى الْجَنَائِزِ : « تَقُولُ </w:t>
      </w:r>
      <w:r w:rsidRPr="007C12DB">
        <w:rPr>
          <w:rStyle w:val="libFootnotenumChar"/>
          <w:rtl/>
        </w:rPr>
        <w:t>(3)</w:t>
      </w:r>
      <w:r w:rsidRPr="005D642E">
        <w:rPr>
          <w:rtl/>
          <w:lang w:bidi="fa-IR"/>
        </w:rPr>
        <w:t xml:space="preserve"> : الل</w:t>
      </w:r>
      <w:r w:rsidR="00A33E33">
        <w:rPr>
          <w:rFonts w:hint="cs"/>
          <w:rtl/>
          <w:lang w:bidi="fa-IR"/>
        </w:rPr>
        <w:t>َّ</w:t>
      </w:r>
      <w:r w:rsidRPr="005D642E">
        <w:rPr>
          <w:rtl/>
          <w:lang w:bidi="fa-IR"/>
        </w:rPr>
        <w:t xml:space="preserve">هُمَّ أَنْتَ خَلَقْتَ هذِهِ النَّفْسَ ، وَأَنْتَ أَمَتَّهَا ، تَعْلَمُ سِرَّهَا وَعَلَانِيَتَهَا ، أَتَيْنَاكَ شَافِعِينَ </w:t>
      </w:r>
      <w:r w:rsidRPr="007C12DB">
        <w:rPr>
          <w:rStyle w:val="libFootnotenumChar"/>
          <w:rtl/>
        </w:rPr>
        <w:t>(4)</w:t>
      </w:r>
      <w:r w:rsidRPr="005D642E">
        <w:rPr>
          <w:rtl/>
          <w:lang w:bidi="fa-IR"/>
        </w:rPr>
        <w:t xml:space="preserve"> فِيهَا </w:t>
      </w:r>
      <w:r w:rsidRPr="007C12DB">
        <w:rPr>
          <w:rStyle w:val="libFootnotenumChar"/>
          <w:rtl/>
        </w:rPr>
        <w:t>(5)</w:t>
      </w:r>
      <w:r w:rsidRPr="005D642E">
        <w:rPr>
          <w:rtl/>
          <w:lang w:bidi="fa-IR"/>
        </w:rPr>
        <w:t xml:space="preserve"> ، فَشَفِّعْنَا </w:t>
      </w:r>
      <w:r w:rsidRPr="007C12DB">
        <w:rPr>
          <w:rStyle w:val="libFootnotenumChar"/>
          <w:rtl/>
        </w:rPr>
        <w:t>(6)</w:t>
      </w:r>
      <w:r w:rsidRPr="005D642E">
        <w:rPr>
          <w:rtl/>
          <w:lang w:bidi="fa-IR"/>
        </w:rPr>
        <w:t xml:space="preserve"> ، الل</w:t>
      </w:r>
      <w:r w:rsidR="00A33E33">
        <w:rPr>
          <w:rFonts w:hint="cs"/>
          <w:rtl/>
          <w:lang w:bidi="fa-IR"/>
        </w:rPr>
        <w:t>َّ</w:t>
      </w:r>
      <w:r w:rsidRPr="005D642E">
        <w:rPr>
          <w:rtl/>
          <w:lang w:bidi="fa-IR"/>
        </w:rPr>
        <w:t xml:space="preserve">هُمَّ </w:t>
      </w:r>
      <w:r w:rsidRPr="007C12DB">
        <w:rPr>
          <w:rStyle w:val="libFootnotenumChar"/>
          <w:rtl/>
        </w:rPr>
        <w:t>(7)</w:t>
      </w:r>
      <w:r w:rsidRPr="005D642E">
        <w:rPr>
          <w:rtl/>
          <w:lang w:bidi="fa-IR"/>
        </w:rPr>
        <w:t xml:space="preserve"> وَلِّهَا </w:t>
      </w:r>
      <w:r w:rsidRPr="007C12DB">
        <w:rPr>
          <w:rStyle w:val="libFootnotenumChar"/>
          <w:rtl/>
        </w:rPr>
        <w:t>(8)</w:t>
      </w:r>
      <w:r w:rsidRPr="005D642E">
        <w:rPr>
          <w:rtl/>
          <w:lang w:bidi="fa-IR"/>
        </w:rPr>
        <w:t xml:space="preserve"> مَنْ تَوَلَّتْ </w:t>
      </w:r>
      <w:r w:rsidRPr="007C12DB">
        <w:rPr>
          <w:rStyle w:val="libFootnotenumChar"/>
          <w:rtl/>
        </w:rPr>
        <w:t>(9)</w:t>
      </w:r>
      <w:r w:rsidRPr="005D642E">
        <w:rPr>
          <w:rtl/>
          <w:lang w:bidi="fa-IR"/>
        </w:rPr>
        <w:t xml:space="preserve"> ، وَاحْشُرْهَا مَعَ مَنْ أَحَبَّتْ </w:t>
      </w:r>
      <w:r w:rsidRPr="007C12DB">
        <w:rPr>
          <w:rStyle w:val="libFootnotenumChar"/>
          <w:rtl/>
        </w:rPr>
        <w:t>(10)</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ى ، بح ، بس ، جح ، جس ، جن » وحاشية « بف » : « أحمد بن عبد الرحيم أبو الصخر</w:t>
      </w:r>
      <w:r w:rsidR="00E3253D">
        <w:rPr>
          <w:rtl/>
        </w:rPr>
        <w:t xml:space="preserve"> ».</w:t>
      </w:r>
      <w:r w:rsidR="00E3253D" w:rsidRPr="005D642E">
        <w:rPr>
          <w:rtl/>
        </w:rPr>
        <w:t xml:space="preserve"> وفي « بث » : « أحمد بن عبدالرحيم ابن الصخر</w:t>
      </w:r>
      <w:r w:rsidR="00E3253D">
        <w:rPr>
          <w:rtl/>
        </w:rPr>
        <w:t xml:space="preserve"> ».</w:t>
      </w:r>
      <w:r w:rsidR="00E3253D" w:rsidRPr="005D642E">
        <w:rPr>
          <w:rtl/>
        </w:rPr>
        <w:t xml:space="preserve"> وفي « بخ » : « أحمد بن عبدالرحيم بن الصخر</w:t>
      </w:r>
      <w:r w:rsidR="00E3253D">
        <w:rPr>
          <w:rtl/>
        </w:rPr>
        <w:t xml:space="preserve"> ».</w:t>
      </w:r>
      <w:r w:rsidR="00875EA4">
        <w:rPr>
          <w:rtl/>
        </w:rPr>
        <w:t xml:space="preserve"> وفي « بف</w:t>
      </w:r>
      <w:r w:rsidR="00E3253D" w:rsidRPr="005D642E">
        <w:rPr>
          <w:rtl/>
        </w:rPr>
        <w:t>» : « أحمد بن عبدالرحيم عن الصخر</w:t>
      </w:r>
      <w:r w:rsidR="00E3253D">
        <w:rPr>
          <w:rtl/>
        </w:rPr>
        <w:t xml:space="preserve"> ».</w:t>
      </w:r>
      <w:r w:rsidR="00E3253D" w:rsidRPr="005D642E">
        <w:rPr>
          <w:rtl/>
        </w:rPr>
        <w:t xml:space="preserve"> وفي حاشية « بث » : « أحمد بن عبدالرحيم أبي الصخر » ، كما في المطبوع والوسائل.</w:t>
      </w:r>
    </w:p>
    <w:p w:rsidR="00E3253D" w:rsidRPr="005D642E" w:rsidRDefault="00E3253D" w:rsidP="00E3253D">
      <w:pPr>
        <w:pStyle w:val="libFootnote0"/>
        <w:rPr>
          <w:rtl/>
          <w:lang w:bidi="fa-IR"/>
        </w:rPr>
      </w:pPr>
      <w:r w:rsidRPr="00B60612">
        <w:rPr>
          <w:rtl/>
        </w:rPr>
        <w:t xml:space="preserve">هذا ، ووردت رواية أبي الصخر عن إسماعيل بن عبدالخالق في </w:t>
      </w:r>
      <w:r w:rsidRPr="002F4D34">
        <w:rPr>
          <w:rStyle w:val="libFootnoteBoldChar"/>
          <w:rtl/>
        </w:rPr>
        <w:t>ثواب الأعمال</w:t>
      </w:r>
      <w:r w:rsidRPr="00B60612">
        <w:rPr>
          <w:rtl/>
        </w:rPr>
        <w:t xml:space="preserve"> ، ص 83 ، ح 2 ، كما وردت في </w:t>
      </w:r>
      <w:r w:rsidRPr="002F4D34">
        <w:rPr>
          <w:rStyle w:val="libFootnoteBoldChar"/>
          <w:rtl/>
        </w:rPr>
        <w:t>الاختصاص</w:t>
      </w:r>
      <w:r w:rsidRPr="00B60612">
        <w:rPr>
          <w:rtl/>
        </w:rPr>
        <w:t xml:space="preserve"> ، ص 277 ، رواية أحمد بن محمّد بن عيسى ، عن الحسن بن عليّ الوشّاء ، عن أبي الصخر أحمد بن عبدالرحيم.</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كذا في المطبوع والوسائل. وفي النسخ وحاشية المطبوع </w:t>
      </w:r>
      <w:r w:rsidR="000D749A" w:rsidRPr="000D749A">
        <w:rPr>
          <w:rStyle w:val="libFootnoteBoldChar"/>
          <w:rtl/>
        </w:rPr>
        <w:t>والوافي</w:t>
      </w:r>
      <w:r w:rsidR="00E3253D" w:rsidRPr="005D642E">
        <w:rPr>
          <w:rtl/>
        </w:rPr>
        <w:t xml:space="preserve"> ومرآة العقول : « عن</w:t>
      </w:r>
      <w:r w:rsidR="00E3253D">
        <w:rPr>
          <w:rtl/>
        </w:rPr>
        <w:t xml:space="preserve"> ».</w:t>
      </w:r>
    </w:p>
    <w:p w:rsidR="00E3253D" w:rsidRPr="005D642E" w:rsidRDefault="00E3253D" w:rsidP="00E3253D">
      <w:pPr>
        <w:pStyle w:val="libFootnote0"/>
        <w:rPr>
          <w:rtl/>
          <w:lang w:bidi="fa-IR"/>
        </w:rPr>
      </w:pPr>
      <w:r w:rsidRPr="00B60612">
        <w:rPr>
          <w:rtl/>
        </w:rPr>
        <w:t xml:space="preserve">ولم نجد في موضع رواية إسماعيل بن عبدالخالق ، عن عبد ربّه. وإسماعيل هذا ، هو إسماعيل بن عبدالخالق بن عبد ربّه الراوي عن أبي عبدالله وأبي الحسن </w:t>
      </w:r>
      <w:r w:rsidRPr="00875EA4">
        <w:rPr>
          <w:rStyle w:val="libFootnoteAlaemChar"/>
          <w:rtl/>
        </w:rPr>
        <w:t>عليهما‌السلام</w:t>
      </w:r>
      <w:r w:rsidRPr="00B60612">
        <w:rPr>
          <w:rtl/>
        </w:rPr>
        <w:t xml:space="preserve">. راجع : </w:t>
      </w:r>
      <w:r w:rsidRPr="002F4D34">
        <w:rPr>
          <w:rStyle w:val="libFootnoteBoldChar"/>
          <w:rtl/>
        </w:rPr>
        <w:t>رجال النجاشي</w:t>
      </w:r>
      <w:r w:rsidRPr="00B60612">
        <w:rPr>
          <w:rtl/>
        </w:rPr>
        <w:t xml:space="preserve"> ، ص 50 ، الرقم 27.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جس » : « 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غ » : « شفعاء</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فيها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فشفّعنا</w:t>
      </w:r>
      <w:r w:rsidR="00E3253D">
        <w:rPr>
          <w:rtl/>
        </w:rPr>
        <w:t xml:space="preserve"> ».</w:t>
      </w:r>
      <w:r w:rsidR="00E3253D" w:rsidRPr="005D642E">
        <w:rPr>
          <w:rtl/>
        </w:rPr>
        <w:t xml:space="preserve"> وفي « ى ، بث ، بح ، بس » وحاشية « جح » والوسائل : « شفعاء</w:t>
      </w:r>
      <w:r w:rsidR="00E3253D">
        <w:rPr>
          <w:rtl/>
        </w:rPr>
        <w:t xml:space="preserve"> ».</w:t>
      </w:r>
      <w:r w:rsidR="00E3253D" w:rsidRPr="005D642E">
        <w:rPr>
          <w:rtl/>
        </w:rPr>
        <w:t xml:space="preserve"> وفي حاشية « بث » : « شفّعنا</w:t>
      </w:r>
      <w:r w:rsidR="00E3253D">
        <w:rPr>
          <w:rtl/>
        </w:rPr>
        <w:t xml:space="preserve"> ».</w:t>
      </w:r>
      <w:r w:rsidR="00E3253D" w:rsidRPr="005D642E">
        <w:rPr>
          <w:rtl/>
        </w:rPr>
        <w:t xml:space="preserve"> « فشفّعنا » ، أي اقبل شفاعتنا ، والشفاعة : هي السؤال في التجاوز عن الذنوب والجرائم. راجع : </w:t>
      </w:r>
      <w:r w:rsidR="00E3253D" w:rsidRPr="002F4D34">
        <w:rPr>
          <w:rStyle w:val="libFootnoteBoldChar"/>
          <w:rtl/>
        </w:rPr>
        <w:t>النهاية</w:t>
      </w:r>
      <w:r w:rsidR="00E3253D" w:rsidRPr="005D642E">
        <w:rPr>
          <w:rtl/>
        </w:rPr>
        <w:t xml:space="preserve"> ، ج 2 ، ص 485 ؛ </w:t>
      </w:r>
      <w:r w:rsidR="00E3253D" w:rsidRPr="002F4D34">
        <w:rPr>
          <w:rStyle w:val="libFootnoteBoldChar"/>
          <w:rtl/>
        </w:rPr>
        <w:t>القاموس المحيط</w:t>
      </w:r>
      <w:r w:rsidR="00E3253D" w:rsidRPr="005D642E">
        <w:rPr>
          <w:rtl/>
        </w:rPr>
        <w:t xml:space="preserve"> ، ج 2 ، ص 985 ( شفع )</w:t>
      </w:r>
      <w:r w:rsidR="00E3253D">
        <w:rPr>
          <w:rtl/>
        </w:rPr>
        <w:t>.</w:t>
      </w:r>
    </w:p>
    <w:tbl>
      <w:tblPr>
        <w:tblStyle w:val="TableGrid"/>
        <w:bidiVisual/>
        <w:tblW w:w="0" w:type="auto"/>
        <w:tblLook w:val="04A0" w:firstRow="1" w:lastRow="0" w:firstColumn="1" w:lastColumn="0" w:noHBand="0" w:noVBand="1"/>
      </w:tblPr>
      <w:tblGrid>
        <w:gridCol w:w="4006"/>
        <w:gridCol w:w="4006"/>
      </w:tblGrid>
      <w:tr w:rsidR="00875EA4" w:rsidTr="00875EA4">
        <w:tc>
          <w:tcPr>
            <w:tcW w:w="4006" w:type="dxa"/>
          </w:tcPr>
          <w:p w:rsidR="00875EA4" w:rsidRDefault="00875EA4" w:rsidP="00E3253D">
            <w:pPr>
              <w:pStyle w:val="libFootnote0"/>
              <w:rPr>
                <w:rStyle w:val="libFootnote0Char"/>
                <w:rtl/>
                <w:lang w:bidi="fa-IR"/>
              </w:rPr>
            </w:pPr>
            <w:r w:rsidRPr="0042621E">
              <w:rPr>
                <w:rStyle w:val="libFootnote0Char"/>
                <w:rtl/>
              </w:rPr>
              <w:t>(7).</w:t>
            </w:r>
            <w:r w:rsidRPr="005D642E">
              <w:rPr>
                <w:rtl/>
              </w:rPr>
              <w:t xml:space="preserve"> في « ظ ، بس ، جس » :</w:t>
            </w:r>
            <w:r>
              <w:rPr>
                <w:rtl/>
              </w:rPr>
              <w:t xml:space="preserve"> - </w:t>
            </w:r>
            <w:r w:rsidRPr="005D642E">
              <w:rPr>
                <w:rtl/>
              </w:rPr>
              <w:t>« الل</w:t>
            </w:r>
            <w:r>
              <w:rPr>
                <w:rFonts w:hint="cs"/>
                <w:rtl/>
              </w:rPr>
              <w:t>ّ</w:t>
            </w:r>
            <w:r w:rsidRPr="005D642E">
              <w:rPr>
                <w:rtl/>
              </w:rPr>
              <w:t>همّ</w:t>
            </w:r>
            <w:r>
              <w:rPr>
                <w:rtl/>
              </w:rPr>
              <w:t xml:space="preserve"> ».</w:t>
            </w:r>
          </w:p>
        </w:tc>
        <w:tc>
          <w:tcPr>
            <w:tcW w:w="4006" w:type="dxa"/>
          </w:tcPr>
          <w:p w:rsidR="00875EA4" w:rsidRDefault="00875EA4" w:rsidP="00E3253D">
            <w:pPr>
              <w:pStyle w:val="libFootnote0"/>
              <w:rPr>
                <w:rStyle w:val="libFootnote0Char"/>
                <w:rtl/>
                <w:lang w:bidi="fa-IR"/>
              </w:rPr>
            </w:pPr>
            <w:r w:rsidRPr="0042621E">
              <w:rPr>
                <w:rStyle w:val="libFootnote0Char"/>
                <w:rtl/>
              </w:rPr>
              <w:t>(8).</w:t>
            </w:r>
            <w:r w:rsidRPr="005D642E">
              <w:rPr>
                <w:rtl/>
              </w:rPr>
              <w:t xml:space="preserve"> في حاشية « بث » : + « على</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بح ، بس ، جح »</w:t>
      </w:r>
      <w:r w:rsidR="00E3253D" w:rsidRPr="00875EA4">
        <w:rPr>
          <w:rtl/>
        </w:rPr>
        <w:t xml:space="preserve"> </w:t>
      </w:r>
      <w:r w:rsidR="000D749A" w:rsidRPr="00875EA4">
        <w:rPr>
          <w:rtl/>
        </w:rPr>
        <w:t>والوافي</w:t>
      </w:r>
      <w:r w:rsidR="00E3253D" w:rsidRPr="005D642E">
        <w:rPr>
          <w:rtl/>
        </w:rPr>
        <w:t xml:space="preserve"> : « ما تولّت</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875EA4">
        <w:rPr>
          <w:rStyle w:val="libFootnoteAlaemChar"/>
          <w:rtl/>
        </w:rPr>
        <w:t>عليه‌السلام</w:t>
      </w:r>
      <w:r w:rsidR="00E3253D" w:rsidRPr="005D642E">
        <w:rPr>
          <w:rtl/>
        </w:rPr>
        <w:t xml:space="preserve"> : ولّها ما تولّت ، أي اجعل و</w:t>
      </w:r>
      <w:r w:rsidR="00875EA4">
        <w:rPr>
          <w:rtl/>
        </w:rPr>
        <w:t>ليّ أمر هذه النفس من كانت تتول</w:t>
      </w:r>
      <w:r w:rsidR="00875EA4">
        <w:rPr>
          <w:rFonts w:hint="cs"/>
          <w:rtl/>
        </w:rPr>
        <w:t>ّ</w:t>
      </w:r>
      <w:r w:rsidR="00875EA4">
        <w:rPr>
          <w:rtl/>
        </w:rPr>
        <w:t>ا</w:t>
      </w:r>
      <w:r w:rsidR="00E3253D" w:rsidRPr="005D642E">
        <w:rPr>
          <w:rtl/>
        </w:rPr>
        <w:t>ه في الدنيا ومن اتّخذته وليّها وإمامها ؛ أو أحبّته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بث » : « أحببت</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الفقيه</w:t>
      </w:r>
      <w:r w:rsidR="00E3253D" w:rsidRPr="005D642E">
        <w:rPr>
          <w:rtl/>
        </w:rPr>
        <w:t xml:space="preserve"> ، ج 1 ، ص 168 ، ذيل ح 489 ، في الصلاة على من لم يعرف مذهبه ؛ </w:t>
      </w:r>
      <w:r w:rsidR="00E3253D" w:rsidRPr="002F4D34">
        <w:rPr>
          <w:rStyle w:val="libFootnoteBoldChar"/>
          <w:rtl/>
        </w:rPr>
        <w:t>صحيفة الرضا</w:t>
      </w:r>
      <w:r w:rsidR="00E3253D" w:rsidRPr="005D642E">
        <w:rPr>
          <w:rtl/>
        </w:rPr>
        <w:t xml:space="preserve"> </w:t>
      </w:r>
      <w:r w:rsidR="00E3253D" w:rsidRPr="00875EA4">
        <w:rPr>
          <w:rStyle w:val="libFootnoteAlaemChar"/>
          <w:rtl/>
        </w:rPr>
        <w:t>عليه‌السلام</w:t>
      </w:r>
      <w:r w:rsidR="00E3253D" w:rsidRPr="005D642E">
        <w:rPr>
          <w:rtl/>
        </w:rPr>
        <w:t xml:space="preserve"> ، ص 86 ، ضمن ح 201 ، بسند آخر عن الرضا ، عن آبائه </w:t>
      </w:r>
      <w:r w:rsidR="00E3253D" w:rsidRPr="00312BD7">
        <w:rPr>
          <w:rStyle w:val="libFootnoteAlaemChar"/>
          <w:rtl/>
        </w:rPr>
        <w:t>عليهم‌السلام</w:t>
      </w:r>
      <w:r w:rsidR="00E3253D" w:rsidRPr="005D642E">
        <w:rPr>
          <w:rtl/>
        </w:rPr>
        <w:t xml:space="preserve"> عن رسول الله </w:t>
      </w:r>
      <w:r w:rsidRPr="00875EA4">
        <w:rPr>
          <w:rStyle w:val="libFootnoteAlaemChar"/>
          <w:rtl/>
        </w:rPr>
        <w:t>صلى‌الله‌عليه‌وآله</w:t>
      </w:r>
      <w:r w:rsidR="00E3253D" w:rsidRPr="005D642E">
        <w:rPr>
          <w:rtl/>
        </w:rPr>
        <w:t xml:space="preserve"> ، في الصلاة على المرأة ؛ </w:t>
      </w:r>
      <w:r w:rsidR="00E3253D" w:rsidRPr="002F4D34">
        <w:rPr>
          <w:rStyle w:val="libFootnoteBoldChar"/>
          <w:rtl/>
        </w:rPr>
        <w:t>فقه الرضا</w:t>
      </w:r>
      <w:r w:rsidR="00E3253D" w:rsidRPr="005D642E">
        <w:rPr>
          <w:rtl/>
        </w:rPr>
        <w:t xml:space="preserve"> </w:t>
      </w:r>
      <w:r w:rsidR="00E3253D" w:rsidRPr="00875EA4">
        <w:rPr>
          <w:rStyle w:val="libFootnoteAlaemChar"/>
          <w:rtl/>
        </w:rPr>
        <w:t>عليه‌السلام</w:t>
      </w:r>
      <w:r w:rsidR="00E3253D" w:rsidRPr="005D642E">
        <w:rPr>
          <w:rtl/>
        </w:rPr>
        <w:t xml:space="preserve"> ، في الصلاة على من لم يعرف مذهبه ، ص 178 ، وفي كلّها مع اختلاف يسير </w:t>
      </w:r>
      <w:r w:rsidR="00875EA4">
        <w:rPr>
          <w:rFonts w:hint="cs"/>
          <w:rtl/>
        </w:rPr>
        <w:t>.</w:t>
      </w:r>
      <w:r w:rsidR="00E3253D" w:rsidRPr="002F4D34">
        <w:rPr>
          <w:rStyle w:val="libFootnoteBoldChar"/>
          <w:rtl/>
        </w:rPr>
        <w:t>الوافي</w:t>
      </w:r>
      <w:r w:rsidR="00E3253D" w:rsidRPr="005D642E">
        <w:rPr>
          <w:rtl/>
        </w:rPr>
        <w:t xml:space="preserve"> ، ج 24 ، ص 462 ، ح 24446 ؛ </w:t>
      </w:r>
      <w:r w:rsidR="00E3253D" w:rsidRPr="002F4D34">
        <w:rPr>
          <w:rStyle w:val="libFootnoteBoldChar"/>
          <w:rtl/>
        </w:rPr>
        <w:t>الوسائل</w:t>
      </w:r>
      <w:r w:rsidR="00E3253D" w:rsidRPr="005D642E">
        <w:rPr>
          <w:rtl/>
        </w:rPr>
        <w:t xml:space="preserve"> ، ج 3 ، ص 62 ، ح 3024.</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419" w:name="_Toc344647350"/>
      <w:bookmarkStart w:id="420" w:name="_Toc462226864"/>
      <w:bookmarkStart w:id="421" w:name="_Toc40975973"/>
      <w:r w:rsidRPr="005D642E">
        <w:rPr>
          <w:rtl/>
          <w:lang w:bidi="fa-IR"/>
        </w:rPr>
        <w:t>55</w:t>
      </w:r>
      <w:r>
        <w:rPr>
          <w:rtl/>
          <w:lang w:bidi="fa-IR"/>
        </w:rPr>
        <w:t xml:space="preserve"> </w:t>
      </w:r>
      <w:r w:rsidR="007642BC">
        <w:rPr>
          <w:rtl/>
          <w:lang w:bidi="fa-IR"/>
        </w:rPr>
        <w:t>-</w:t>
      </w:r>
      <w:r>
        <w:rPr>
          <w:rtl/>
          <w:lang w:bidi="fa-IR"/>
        </w:rPr>
        <w:t xml:space="preserve"> </w:t>
      </w:r>
      <w:r w:rsidRPr="005D642E">
        <w:rPr>
          <w:rtl/>
          <w:lang w:bidi="fa-IR"/>
        </w:rPr>
        <w:t xml:space="preserve">بَابُ أَنَّهُ لَيْسَ فِي الصَّلَاةِ </w:t>
      </w:r>
      <w:r w:rsidRPr="007C12DB">
        <w:rPr>
          <w:rStyle w:val="libFootnotenumChar"/>
          <w:rtl/>
        </w:rPr>
        <w:t>(1)</w:t>
      </w:r>
      <w:r>
        <w:rPr>
          <w:rtl/>
        </w:rPr>
        <w:t xml:space="preserve"> </w:t>
      </w:r>
      <w:r w:rsidRPr="005D642E">
        <w:rPr>
          <w:rtl/>
          <w:lang w:bidi="fa-IR"/>
        </w:rPr>
        <w:t>دُعَاءٌ مُوَقَّتٌ وَأَنَّهُ لَيْسَ فِيهَا تَسْلِيمٌ‌</w:t>
      </w:r>
      <w:bookmarkEnd w:id="419"/>
      <w:bookmarkEnd w:id="420"/>
      <w:bookmarkEnd w:id="421"/>
    </w:p>
    <w:p w:rsidR="00E3253D" w:rsidRPr="005D642E" w:rsidRDefault="00E3253D" w:rsidP="00E3253D">
      <w:pPr>
        <w:pStyle w:val="libNormal"/>
        <w:rPr>
          <w:rtl/>
          <w:lang w:bidi="fa-IR"/>
        </w:rPr>
      </w:pPr>
      <w:r w:rsidRPr="001351D6">
        <w:rPr>
          <w:rtl/>
        </w:rPr>
        <w:t>4511</w:t>
      </w:r>
      <w:r w:rsidRPr="00246318">
        <w:rPr>
          <w:rStyle w:val="libBold2Char"/>
          <w:rtl/>
        </w:rPr>
        <w:t xml:space="preserve"> / 1.</w:t>
      </w:r>
      <w:r w:rsidRPr="005D642E">
        <w:rPr>
          <w:rtl/>
          <w:lang w:bidi="fa-IR"/>
        </w:rPr>
        <w:t xml:space="preserve"> عَلِيُّ بْنُ إِبْرَاهِيمَ ، عَنْ أَبِيهِ ، عَنِ ابْنِ أَبِي عُمَيْرٍ ، عَنِ ابْنِ أُذَيْنَةَ </w:t>
      </w:r>
      <w:r w:rsidRPr="007C12DB">
        <w:rPr>
          <w:rStyle w:val="libFootnotenumChar"/>
          <w:rtl/>
        </w:rPr>
        <w:t>(2)</w:t>
      </w:r>
      <w:r w:rsidRPr="005D642E">
        <w:rPr>
          <w:rtl/>
          <w:lang w:bidi="fa-IR"/>
        </w:rPr>
        <w:t xml:space="preserve"> ، عَنْ مُحَمَّدِ بْنِ مُسْلِمٍ وَزُرَارَةَ وَمَعْمَرِ بْنِ يَحْيى وَإِسْمَاعِيلَ الْجُعْفِيِّ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لَيْسَ فِي الصَّلَاةِ عَلَى الْمَيِّتِ قِرَاءَةٌ وَلَادُعَاءٌ مُوَقَّتٌ ، تَدْعُو بِمَا بَدَا لَكَ ، وَأَحَقُّ الْمَوْتى أَنْ يُدْعى لَهُ الْمُؤْمِنُ ، وَأَنْ يُبْدَأَ </w:t>
      </w:r>
      <w:r w:rsidRPr="007C12DB">
        <w:rPr>
          <w:rStyle w:val="libFootnotenumChar"/>
          <w:rtl/>
        </w:rPr>
        <w:t>(3)</w:t>
      </w:r>
      <w:r w:rsidRPr="005D642E">
        <w:rPr>
          <w:rtl/>
          <w:lang w:bidi="fa-IR"/>
        </w:rPr>
        <w:t xml:space="preserve"> بِالصَّلَاةِ عَلى رَسُولِ اللهِ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1351D6">
        <w:rPr>
          <w:rtl/>
        </w:rPr>
        <w:t>4512</w:t>
      </w:r>
      <w:r w:rsidRPr="00246318">
        <w:rPr>
          <w:rStyle w:val="libBold2Char"/>
          <w:rtl/>
        </w:rPr>
        <w:t xml:space="preserve"> / 2.</w:t>
      </w:r>
      <w:r w:rsidRPr="005D642E">
        <w:rPr>
          <w:rtl/>
          <w:lang w:bidi="fa-IR"/>
        </w:rPr>
        <w:t xml:space="preserve"> عِدَّةٌ مِنْ أَصْحَابِنَا ، عَنْ سَهْلِ بْنِ زِيَادٍ ، عَنْ مُحَمَّدِ بْنِ سِنَانٍ ، عَنْ عَبْدِ اللهِ بْنِ مُسْكَانَ ، عَنِ الْحَلَبِيِّ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لَيْسَ فِي الصَّلَاةِ عَلَى الْمَيِّتِ تَسْلِيمٌ</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246318">
        <w:rPr>
          <w:rStyle w:val="libBold2Char"/>
          <w:rtl/>
        </w:rPr>
        <w:t>4513 / 3.</w:t>
      </w:r>
      <w:r w:rsidRPr="005D642E">
        <w:rPr>
          <w:rtl/>
          <w:lang w:bidi="fa-IR"/>
        </w:rPr>
        <w:t xml:space="preserve"> عَلِيُّ بْنُ إِبْرَاهِيمَ ، عَنْ أَبِيهِ ، عَنِ ابْنِ أَبِي عُمَيْرٍ ، عَنْ حَمَّادِ بْنِ عُثْمَانَ ، عَنِ الْحَلَبِيِّ وَزُرَارَةَ :</w:t>
      </w:r>
    </w:p>
    <w:p w:rsidR="00E3253D" w:rsidRPr="005D642E" w:rsidRDefault="00E3253D" w:rsidP="00E3253D">
      <w:pPr>
        <w:pStyle w:val="libNormal"/>
        <w:rPr>
          <w:rtl/>
          <w:lang w:bidi="fa-IR"/>
        </w:rPr>
      </w:pPr>
      <w:r w:rsidRPr="005D642E">
        <w:rPr>
          <w:rtl/>
          <w:lang w:bidi="fa-IR"/>
        </w:rPr>
        <w:t xml:space="preserve">عَنْ أَبِي جَعْفَرٍ وَأَبِي عَبْدِ اللهِ </w:t>
      </w:r>
      <w:r w:rsidRPr="00AC51C5">
        <w:rPr>
          <w:rStyle w:val="libAlaemChar"/>
          <w:rtl/>
        </w:rPr>
        <w:t>عليهما‌السلام</w:t>
      </w:r>
      <w:r w:rsidRPr="005D642E">
        <w:rPr>
          <w:rtl/>
          <w:lang w:bidi="fa-IR"/>
        </w:rPr>
        <w:t xml:space="preserve"> ، قَالَا : « لَيْسَ فِي الصَّلَاةِ عَلَى الْمَيِّتِ تَسْلِيمٌ</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بث ، بخ » : + « على الميّت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الاستبصار : « عن عمر بن ا</w:t>
      </w:r>
      <w:r w:rsidR="00875EA4">
        <w:rPr>
          <w:rFonts w:hint="cs"/>
          <w:rtl/>
        </w:rPr>
        <w:t>ُ</w:t>
      </w:r>
      <w:r w:rsidR="00E3253D" w:rsidRPr="005D642E">
        <w:rPr>
          <w:rtl/>
        </w:rPr>
        <w:t>ذينة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 « وأن تبدأ</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3 ، ص 193 ، ح 442 ؛ </w:t>
      </w:r>
      <w:r w:rsidR="00E3253D" w:rsidRPr="00E678B5">
        <w:rPr>
          <w:rStyle w:val="libFootnoteBoldChar"/>
          <w:rtl/>
        </w:rPr>
        <w:t>والاستبصار</w:t>
      </w:r>
      <w:r w:rsidR="00E3253D" w:rsidRPr="005D642E">
        <w:rPr>
          <w:rtl/>
        </w:rPr>
        <w:t xml:space="preserve"> ، ج 1 ، ص 476 ، ح 1843 ، معلّقاً عن الكليني. </w:t>
      </w:r>
      <w:r w:rsidR="00E3253D" w:rsidRPr="002F4D34">
        <w:rPr>
          <w:rStyle w:val="libFootnoteBoldChar"/>
          <w:rtl/>
        </w:rPr>
        <w:t>التهذيب</w:t>
      </w:r>
      <w:r w:rsidR="00E3253D" w:rsidRPr="005D642E">
        <w:rPr>
          <w:rtl/>
        </w:rPr>
        <w:t xml:space="preserve"> ، ج 3 ، ص 189 ، ح 429 ، بسنده عن ابن أبي عمير ، عن ابن ا</w:t>
      </w:r>
      <w:r w:rsidR="00875EA4">
        <w:rPr>
          <w:rFonts w:hint="cs"/>
          <w:rtl/>
        </w:rPr>
        <w:t>ُ</w:t>
      </w:r>
      <w:r w:rsidR="00E3253D" w:rsidRPr="005D642E">
        <w:rPr>
          <w:rtl/>
        </w:rPr>
        <w:t xml:space="preserve">ذينة ، عن محمّد بن مسلم وزرارة ، عن أبي جعفر </w:t>
      </w:r>
      <w:r w:rsidR="00E3253D" w:rsidRPr="00875EA4">
        <w:rPr>
          <w:rStyle w:val="libFootnoteAlaemChar"/>
          <w:rtl/>
        </w:rPr>
        <w:t>عليه‌السلام</w:t>
      </w:r>
      <w:r w:rsidR="00E3253D" w:rsidRPr="005D642E">
        <w:rPr>
          <w:rtl/>
        </w:rPr>
        <w:t xml:space="preserve"> ، مع اختلاف يسير </w:t>
      </w:r>
      <w:r w:rsidR="00875EA4">
        <w:rPr>
          <w:rFonts w:hint="cs"/>
          <w:rtl/>
        </w:rPr>
        <w:t>.</w:t>
      </w:r>
      <w:r w:rsidR="00E3253D" w:rsidRPr="002F4D34">
        <w:rPr>
          <w:rStyle w:val="libFootnoteBoldChar"/>
          <w:rtl/>
        </w:rPr>
        <w:t>الوافي</w:t>
      </w:r>
      <w:r w:rsidR="00E3253D" w:rsidRPr="005D642E">
        <w:rPr>
          <w:rtl/>
        </w:rPr>
        <w:t xml:space="preserve"> ، ج 24 ، ص 445 ، ح 24418 ؛ </w:t>
      </w:r>
      <w:r w:rsidR="00E3253D" w:rsidRPr="002F4D34">
        <w:rPr>
          <w:rStyle w:val="libFootnoteBoldChar"/>
          <w:rtl/>
        </w:rPr>
        <w:t>الوسائل</w:t>
      </w:r>
      <w:r w:rsidR="00E3253D" w:rsidRPr="005D642E">
        <w:rPr>
          <w:rtl/>
        </w:rPr>
        <w:t xml:space="preserve"> ، ج 3 ، ص 88 ، ح 3097.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3 ، ص 192 ، ح 437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477 ، ح 1846 ، معلّقاً عن الكليني. </w:t>
      </w:r>
      <w:r w:rsidR="00E3253D" w:rsidRPr="002F4D34">
        <w:rPr>
          <w:rStyle w:val="libFootnoteBoldChar"/>
          <w:rtl/>
        </w:rPr>
        <w:t>الفقيه</w:t>
      </w:r>
      <w:r w:rsidR="00E3253D" w:rsidRPr="005D642E">
        <w:rPr>
          <w:rtl/>
        </w:rPr>
        <w:t xml:space="preserve"> ، ج 1 ، ص 164 ، ذيل ح 467 ، مرسلاً. </w:t>
      </w:r>
      <w:r w:rsidR="00E3253D" w:rsidRPr="002F4D34">
        <w:rPr>
          <w:rStyle w:val="libFootnoteBoldChar"/>
          <w:rtl/>
        </w:rPr>
        <w:t>فقه الرضا</w:t>
      </w:r>
      <w:r w:rsidR="00E3253D" w:rsidRPr="005D642E">
        <w:rPr>
          <w:rtl/>
        </w:rPr>
        <w:t xml:space="preserve"> </w:t>
      </w:r>
      <w:r w:rsidR="00E3253D" w:rsidRPr="00483029">
        <w:rPr>
          <w:rStyle w:val="libFootnoteAlaemChar"/>
          <w:rtl/>
        </w:rPr>
        <w:t>عليه‌السلام</w:t>
      </w:r>
      <w:r w:rsidR="00E3253D" w:rsidRPr="005D642E">
        <w:rPr>
          <w:rtl/>
        </w:rPr>
        <w:t xml:space="preserve"> ، ص 183 ؛ </w:t>
      </w:r>
      <w:r w:rsidR="00E3253D" w:rsidRPr="002F4D34">
        <w:rPr>
          <w:rStyle w:val="libFootnoteBoldChar"/>
          <w:rtl/>
        </w:rPr>
        <w:t>تحف العقول</w:t>
      </w:r>
      <w:r w:rsidR="00E3253D" w:rsidRPr="005D642E">
        <w:rPr>
          <w:rtl/>
        </w:rPr>
        <w:t xml:space="preserve"> ، ص 418 ، عن الرضا </w:t>
      </w:r>
      <w:r w:rsidR="00E3253D" w:rsidRPr="00875EA4">
        <w:rPr>
          <w:rStyle w:val="libFootnoteAlaemChar"/>
          <w:rtl/>
        </w:rPr>
        <w:t>عليه‌السلام</w:t>
      </w:r>
      <w:r w:rsidR="00E3253D" w:rsidRPr="005D642E">
        <w:rPr>
          <w:rtl/>
        </w:rPr>
        <w:t xml:space="preserve"> ، وفيهما مع اختلاف يسير </w:t>
      </w:r>
      <w:r w:rsidR="00483029">
        <w:rPr>
          <w:rFonts w:hint="cs"/>
          <w:rtl/>
        </w:rPr>
        <w:t>.</w:t>
      </w:r>
      <w:r w:rsidR="00E3253D" w:rsidRPr="002F4D34">
        <w:rPr>
          <w:rStyle w:val="libFootnoteBoldChar"/>
          <w:rtl/>
        </w:rPr>
        <w:t>الوافي</w:t>
      </w:r>
      <w:r w:rsidR="00E3253D" w:rsidRPr="005D642E">
        <w:rPr>
          <w:rtl/>
        </w:rPr>
        <w:t xml:space="preserve"> ، ج 24 ، ص 446 ، ح 24419 ؛ </w:t>
      </w:r>
      <w:r w:rsidR="00E3253D" w:rsidRPr="002F4D34">
        <w:rPr>
          <w:rStyle w:val="libFootnoteBoldChar"/>
          <w:rtl/>
        </w:rPr>
        <w:t>الوسائل</w:t>
      </w:r>
      <w:r w:rsidR="00E3253D" w:rsidRPr="005D642E">
        <w:rPr>
          <w:rtl/>
        </w:rPr>
        <w:t xml:space="preserve"> ، ج 3 ، ص 91 ، ح 3106.</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3 ، ص 192 ، ح 438 ؛ </w:t>
      </w:r>
      <w:r w:rsidR="00E3253D" w:rsidRPr="00E678B5">
        <w:rPr>
          <w:rStyle w:val="libFootnoteBoldChar"/>
          <w:rtl/>
        </w:rPr>
        <w:t>والاستبصار</w:t>
      </w:r>
      <w:r w:rsidR="00E3253D" w:rsidRPr="005D642E">
        <w:rPr>
          <w:rtl/>
        </w:rPr>
        <w:t xml:space="preserve"> ، ج 1 ، ص 477 ، ح 1847 ، معلّقاً عن الكليني </w:t>
      </w:r>
      <w:r w:rsidR="00483029">
        <w:rPr>
          <w:rFonts w:hint="cs"/>
          <w:rtl/>
        </w:rPr>
        <w:t>.</w:t>
      </w:r>
      <w:r w:rsidR="00E3253D" w:rsidRPr="002F4D34">
        <w:rPr>
          <w:rStyle w:val="libFootnoteBoldChar"/>
          <w:rtl/>
        </w:rPr>
        <w:t>الوافي</w:t>
      </w:r>
      <w:r w:rsidR="00E3253D" w:rsidRPr="005D642E">
        <w:rPr>
          <w:rtl/>
        </w:rPr>
        <w:t xml:space="preserve"> ، ج 24 ، ص 446 ، ح 24420 ؛ </w:t>
      </w:r>
      <w:r w:rsidR="00E3253D" w:rsidRPr="002F4D34">
        <w:rPr>
          <w:rStyle w:val="libFootnoteBoldChar"/>
          <w:rtl/>
        </w:rPr>
        <w:t>الوسائل</w:t>
      </w:r>
      <w:r w:rsidR="00E3253D" w:rsidRPr="005D642E">
        <w:rPr>
          <w:rtl/>
        </w:rPr>
        <w:t xml:space="preserve"> ، ج 3 ، ص 91 ، ح 3105.</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422" w:name="_Toc344647351"/>
      <w:bookmarkStart w:id="423" w:name="_Toc462226865"/>
      <w:bookmarkStart w:id="424" w:name="_Toc40975974"/>
      <w:r w:rsidRPr="005D642E">
        <w:rPr>
          <w:rtl/>
          <w:lang w:bidi="fa-IR"/>
        </w:rPr>
        <w:t>56</w:t>
      </w:r>
      <w:r>
        <w:rPr>
          <w:rtl/>
          <w:lang w:bidi="fa-IR"/>
        </w:rPr>
        <w:t xml:space="preserve"> </w:t>
      </w:r>
      <w:r w:rsidR="007642BC">
        <w:rPr>
          <w:rtl/>
          <w:lang w:bidi="fa-IR"/>
        </w:rPr>
        <w:t>-</w:t>
      </w:r>
      <w:r>
        <w:rPr>
          <w:rtl/>
          <w:lang w:bidi="fa-IR"/>
        </w:rPr>
        <w:t xml:space="preserve"> </w:t>
      </w:r>
      <w:r w:rsidRPr="005D642E">
        <w:rPr>
          <w:rtl/>
          <w:lang w:bidi="fa-IR"/>
        </w:rPr>
        <w:t xml:space="preserve">بَابُ مَنْ زَادَ عَلى خَمْسِ تَكْبِيرَاتٍ </w:t>
      </w:r>
      <w:r w:rsidRPr="007C12DB">
        <w:rPr>
          <w:rStyle w:val="libFootnotenumChar"/>
          <w:rtl/>
        </w:rPr>
        <w:t>(1)</w:t>
      </w:r>
      <w:r w:rsidRPr="005D642E">
        <w:rPr>
          <w:rtl/>
          <w:lang w:bidi="fa-IR"/>
        </w:rPr>
        <w:t xml:space="preserve"> ‌</w:t>
      </w:r>
      <w:bookmarkEnd w:id="422"/>
      <w:bookmarkEnd w:id="423"/>
      <w:bookmarkEnd w:id="424"/>
    </w:p>
    <w:p w:rsidR="00E3253D" w:rsidRPr="005D642E" w:rsidRDefault="00E3253D" w:rsidP="00E3253D">
      <w:pPr>
        <w:pStyle w:val="libNormal"/>
        <w:rPr>
          <w:rtl/>
          <w:lang w:bidi="fa-IR"/>
        </w:rPr>
      </w:pPr>
      <w:r w:rsidRPr="001351D6">
        <w:rPr>
          <w:rtl/>
        </w:rPr>
        <w:t>4514</w:t>
      </w:r>
      <w:r w:rsidRPr="00246318">
        <w:rPr>
          <w:rStyle w:val="libBold2Char"/>
          <w:rtl/>
        </w:rPr>
        <w:t xml:space="preserve"> / 1.</w:t>
      </w:r>
      <w:r w:rsidRPr="005D642E">
        <w:rPr>
          <w:rtl/>
          <w:lang w:bidi="fa-IR"/>
        </w:rPr>
        <w:t xml:space="preserve"> عِدَّةٌ مِنْ أَصْحَابِنَا ، عَنْ سَهْلِ بْنِ زِيَادٍ ، عَنْ أَحْمَدَ بْنِ مُحَمَّدِ بْنِ أَبِي نَصْرٍ ، عَنْ مُثَنَّى بْنِ الْوَلِيدِ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صَلّى رَسُولُ اللهِ </w:t>
      </w:r>
      <w:r w:rsidR="0042621E" w:rsidRPr="0042621E">
        <w:rPr>
          <w:rStyle w:val="libAlaemChar"/>
          <w:rtl/>
        </w:rPr>
        <w:t>صلى‌الله‌عليه‌وآله</w:t>
      </w:r>
      <w:r w:rsidRPr="005D642E">
        <w:rPr>
          <w:rtl/>
          <w:lang w:bidi="fa-IR"/>
        </w:rPr>
        <w:t xml:space="preserve"> عَلى حَمْزَةَ سَبْعِينَ صَلَاةً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1351D6">
        <w:rPr>
          <w:rtl/>
        </w:rPr>
        <w:t>4515</w:t>
      </w:r>
      <w:r w:rsidRPr="00246318">
        <w:rPr>
          <w:rStyle w:val="libBold2Char"/>
          <w:rtl/>
        </w:rPr>
        <w:t xml:space="preserve"> / 2.</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كَبَّرَ أَمِيرُ الْمُؤْمِنِينَ</w:t>
      </w:r>
      <w:r>
        <w:rPr>
          <w:rtl/>
          <w:lang w:bidi="fa-IR"/>
        </w:rPr>
        <w:t xml:space="preserve"> </w:t>
      </w:r>
      <w:r w:rsidR="007642BC">
        <w:rPr>
          <w:rtl/>
          <w:lang w:bidi="fa-IR"/>
        </w:rPr>
        <w:t>-</w:t>
      </w:r>
      <w:r>
        <w:rPr>
          <w:rtl/>
          <w:lang w:bidi="fa-IR"/>
        </w:rPr>
        <w:t xml:space="preserve"> </w:t>
      </w:r>
      <w:r w:rsidRPr="005D642E">
        <w:rPr>
          <w:rtl/>
          <w:lang w:bidi="fa-IR"/>
        </w:rPr>
        <w:t>صَلَوَاتُ اللهِ عَلَيْهِ</w:t>
      </w:r>
      <w:r>
        <w:rPr>
          <w:rtl/>
          <w:lang w:bidi="fa-IR"/>
        </w:rPr>
        <w:t xml:space="preserve"> </w:t>
      </w:r>
      <w:r w:rsidR="007642BC">
        <w:rPr>
          <w:rtl/>
          <w:lang w:bidi="fa-IR"/>
        </w:rPr>
        <w:t>-</w:t>
      </w:r>
      <w:r>
        <w:rPr>
          <w:rtl/>
          <w:lang w:bidi="fa-IR"/>
        </w:rPr>
        <w:t xml:space="preserve"> </w:t>
      </w:r>
      <w:r w:rsidRPr="005D642E">
        <w:rPr>
          <w:rtl/>
          <w:lang w:bidi="fa-IR"/>
        </w:rPr>
        <w:t>عَلى سَهْلِ بْنِ حُنَيْفٍ</w:t>
      </w:r>
      <w:r>
        <w:rPr>
          <w:rtl/>
          <w:lang w:bidi="fa-IR"/>
        </w:rPr>
        <w:t xml:space="preserve"> </w:t>
      </w:r>
      <w:r w:rsidR="007642BC">
        <w:rPr>
          <w:rtl/>
          <w:lang w:bidi="fa-IR"/>
        </w:rPr>
        <w:t>-</w:t>
      </w:r>
      <w:r>
        <w:rPr>
          <w:rtl/>
          <w:lang w:bidi="fa-IR"/>
        </w:rPr>
        <w:t xml:space="preserve"> </w:t>
      </w:r>
      <w:r w:rsidRPr="005D642E">
        <w:rPr>
          <w:rtl/>
          <w:lang w:bidi="fa-IR"/>
        </w:rPr>
        <w:t>وَكَانَ بَدْرِيّاً</w:t>
      </w:r>
      <w:r>
        <w:rPr>
          <w:rtl/>
          <w:lang w:bidi="fa-IR"/>
        </w:rPr>
        <w:t xml:space="preserve"> </w:t>
      </w:r>
      <w:r w:rsidR="007642BC">
        <w:rPr>
          <w:rtl/>
          <w:lang w:bidi="fa-IR"/>
        </w:rPr>
        <w:t>-</w:t>
      </w:r>
      <w:r>
        <w:rPr>
          <w:rtl/>
          <w:lang w:bidi="fa-IR"/>
        </w:rPr>
        <w:t xml:space="preserve"> </w:t>
      </w:r>
      <w:r w:rsidRPr="005D642E">
        <w:rPr>
          <w:rtl/>
          <w:lang w:bidi="fa-IR"/>
        </w:rPr>
        <w:t xml:space="preserve">خَمْسَ تَكْبِيرَاتٍ ، ثُمَّ مَشى سَاعَةً ، ثُمَّ وَضَعَهُ وَكَبَّرَ عَلَيْهِ خَمْسَةً </w:t>
      </w:r>
      <w:r w:rsidRPr="007C12DB">
        <w:rPr>
          <w:rStyle w:val="libFootnotenumChar"/>
          <w:rtl/>
        </w:rPr>
        <w:t>(4)</w:t>
      </w:r>
      <w:r w:rsidRPr="005D642E">
        <w:rPr>
          <w:rtl/>
          <w:lang w:bidi="fa-IR"/>
        </w:rPr>
        <w:t xml:space="preserve"> أُخْرى ، فَصَنَعَ ذلِكَ </w:t>
      </w:r>
      <w:r w:rsidRPr="007C12DB">
        <w:rPr>
          <w:rStyle w:val="libFootnotenumChar"/>
          <w:rtl/>
        </w:rPr>
        <w:t>(5)</w:t>
      </w:r>
      <w:r w:rsidRPr="005D642E">
        <w:rPr>
          <w:rtl/>
          <w:lang w:bidi="fa-IR"/>
        </w:rPr>
        <w:t xml:space="preserve"> حَتّى كَبَّرَ عَلَيْهِ خَمْساً </w:t>
      </w:r>
      <w:r w:rsidRPr="007C12DB">
        <w:rPr>
          <w:rStyle w:val="libFootnotenumChar"/>
          <w:rtl/>
        </w:rPr>
        <w:t>(6)</w:t>
      </w:r>
      <w:r w:rsidRPr="005D642E">
        <w:rPr>
          <w:rtl/>
          <w:lang w:bidi="fa-IR"/>
        </w:rPr>
        <w:t xml:space="preserve"> وَعِشْرِينَ تَكْبِيرَةً</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1351D6">
        <w:rPr>
          <w:rtl/>
        </w:rPr>
        <w:t>4516</w:t>
      </w:r>
      <w:r w:rsidRPr="00246318">
        <w:rPr>
          <w:rStyle w:val="libBold2Char"/>
          <w:rtl/>
        </w:rPr>
        <w:t xml:space="preserve"> / 3.</w:t>
      </w:r>
      <w:r w:rsidRPr="005D642E">
        <w:rPr>
          <w:rtl/>
          <w:lang w:bidi="fa-IR"/>
        </w:rPr>
        <w:t xml:space="preserve"> مُحَمَّدُ بْنُ يَحْيى ، عَنْ أَحْمَدَ بْنِ مُحَمَّدٍ ، عَنِ الْحُسَيْنِ بْنِ سَعِيدٍ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w:t>
      </w:r>
      <w:r w:rsidR="00E3253D" w:rsidRPr="002F4D34">
        <w:rPr>
          <w:rStyle w:val="libFootnoteBoldChar"/>
          <w:rtl/>
        </w:rPr>
        <w:t>مرآة العقول</w:t>
      </w:r>
      <w:r w:rsidR="00E3253D" w:rsidRPr="005D642E">
        <w:rPr>
          <w:rtl/>
        </w:rPr>
        <w:t xml:space="preserve"> ، ج 14 ، ص 64 : « اعلم أنّه ينبغي حمل كلام المصنّف في العنوان على تكرار الصلاة ، لا على الزيادة على الخمس في الصلاة الواحدة ، كما يوهمه ظاهر عبارته ؛ فإنّه لا خلاف في عدم شرعيّتها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ظ ، بح ، بف » : « تكبيرة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القتلى ، ضمن ح 4614 ؛ </w:t>
      </w:r>
      <w:r w:rsidR="00B60612" w:rsidRPr="00B60612">
        <w:rPr>
          <w:rStyle w:val="libFootnoteBoldChar"/>
          <w:rtl/>
        </w:rPr>
        <w:t>والتهذيب</w:t>
      </w:r>
      <w:r w:rsidR="00E3253D" w:rsidRPr="005D642E">
        <w:rPr>
          <w:rtl/>
        </w:rPr>
        <w:t xml:space="preserve"> ، ج 1 ، ص 331 ، ضمن ح 970 ، بسند آخر عن إسماعيل بن جابر وزرارة ، عن أبي جعفر </w:t>
      </w:r>
      <w:r w:rsidR="00E3253D" w:rsidRPr="00483029">
        <w:rPr>
          <w:rStyle w:val="libFootnoteAlaemChar"/>
          <w:rtl/>
        </w:rPr>
        <w:t>عليه‌السلام</w:t>
      </w:r>
      <w:r w:rsidR="00E3253D" w:rsidRPr="005D642E">
        <w:rPr>
          <w:rtl/>
        </w:rPr>
        <w:t xml:space="preserve"> ، مع اختلاف يسير. </w:t>
      </w:r>
      <w:r w:rsidR="00E3253D" w:rsidRPr="0035521A">
        <w:rPr>
          <w:rStyle w:val="libFootnoteBoldChar"/>
          <w:rtl/>
        </w:rPr>
        <w:t>الأمالي للطوسي</w:t>
      </w:r>
      <w:r w:rsidR="00E3253D" w:rsidRPr="005D642E">
        <w:rPr>
          <w:rtl/>
        </w:rPr>
        <w:t xml:space="preserve"> ، ص 564 ، المجلس 21 ، ضمن ح 1 ، بسند آخر عن جعفر بن محمّد ، عن آبائه ، عن الحسن بن عليّ </w:t>
      </w:r>
      <w:r w:rsidR="00E3253D" w:rsidRPr="00483029">
        <w:rPr>
          <w:rStyle w:val="libFootnoteAlaemChar"/>
          <w:rtl/>
        </w:rPr>
        <w:t>عليهم‌السلام</w:t>
      </w:r>
      <w:r w:rsidR="00E3253D" w:rsidRPr="005D642E">
        <w:rPr>
          <w:rtl/>
        </w:rPr>
        <w:t xml:space="preserve">. </w:t>
      </w:r>
      <w:r w:rsidR="00E3253D" w:rsidRPr="002F4D34">
        <w:rPr>
          <w:rStyle w:val="libFootnoteBoldChar"/>
          <w:rtl/>
        </w:rPr>
        <w:t>تفسير فرات</w:t>
      </w:r>
      <w:r w:rsidR="00E3253D" w:rsidRPr="005D642E">
        <w:rPr>
          <w:rtl/>
        </w:rPr>
        <w:t xml:space="preserve"> ، ص 170 ، ضمن ح 217 ، بسند آخر عن الحسن بن عليّ </w:t>
      </w:r>
      <w:r w:rsidR="00E3253D" w:rsidRPr="00483029">
        <w:rPr>
          <w:rStyle w:val="libFootnoteAlaemChar"/>
          <w:rtl/>
        </w:rPr>
        <w:t>عليهما‌السلام</w:t>
      </w:r>
      <w:r w:rsidR="00E3253D" w:rsidRPr="005D642E">
        <w:rPr>
          <w:rtl/>
        </w:rPr>
        <w:t xml:space="preserve"> </w:t>
      </w:r>
      <w:r w:rsidR="00483029">
        <w:rPr>
          <w:rFonts w:hint="cs"/>
          <w:rtl/>
        </w:rPr>
        <w:t>.</w:t>
      </w:r>
      <w:r w:rsidR="00E3253D" w:rsidRPr="002F4D34">
        <w:rPr>
          <w:rStyle w:val="libFootnoteBoldChar"/>
          <w:rtl/>
        </w:rPr>
        <w:t>الوافي</w:t>
      </w:r>
      <w:r w:rsidR="00E3253D" w:rsidRPr="005D642E">
        <w:rPr>
          <w:rtl/>
        </w:rPr>
        <w:t xml:space="preserve"> ، ج 24 ، ص 438 ، ح 24404 ؛ </w:t>
      </w:r>
      <w:r w:rsidR="00E3253D" w:rsidRPr="002F4D34">
        <w:rPr>
          <w:rStyle w:val="libFootnoteBoldChar"/>
          <w:rtl/>
        </w:rPr>
        <w:t>الوسائل</w:t>
      </w:r>
      <w:r w:rsidR="00E3253D" w:rsidRPr="005D642E">
        <w:rPr>
          <w:rtl/>
        </w:rPr>
        <w:t xml:space="preserve"> ، ج 3 ، ص 82 ، ح 3078 ؛ </w:t>
      </w:r>
      <w:r w:rsidR="00E3253D" w:rsidRPr="002F4D34">
        <w:rPr>
          <w:rStyle w:val="libFootnoteBoldChar"/>
          <w:rtl/>
        </w:rPr>
        <w:t>البحار</w:t>
      </w:r>
      <w:r w:rsidR="00E3253D" w:rsidRPr="005D642E">
        <w:rPr>
          <w:rtl/>
        </w:rPr>
        <w:t xml:space="preserve"> ، ج 22 ، ص 281 ، ح 38.</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بث ، بح ، جح » </w:t>
      </w:r>
      <w:r w:rsidR="00B60612" w:rsidRPr="00B60612">
        <w:rPr>
          <w:rStyle w:val="libFootnoteBoldChar"/>
          <w:rtl/>
        </w:rPr>
        <w:t>والتهذيب</w:t>
      </w:r>
      <w:r w:rsidR="00E3253D" w:rsidRPr="005D642E">
        <w:rPr>
          <w:rtl/>
        </w:rPr>
        <w:t xml:space="preserve"> ، ص 325 وفقه الرضا : « خمساً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 به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بف » : « خمسة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3 ، ص 325 ، ح 1011 ؛ </w:t>
      </w:r>
      <w:r w:rsidR="00E3253D" w:rsidRPr="00E678B5">
        <w:rPr>
          <w:rStyle w:val="libFootnoteBoldChar"/>
          <w:rtl/>
        </w:rPr>
        <w:t>والاستبصار</w:t>
      </w:r>
      <w:r w:rsidR="00E3253D" w:rsidRPr="005D642E">
        <w:rPr>
          <w:rtl/>
        </w:rPr>
        <w:t xml:space="preserve"> ، ج 1 ، ص 484 ، ح 1876 ، معلّقاً عن عليّ بن إبراهيم. </w:t>
      </w:r>
      <w:r w:rsidR="00E3253D" w:rsidRPr="002F4D34">
        <w:rPr>
          <w:rStyle w:val="libFootnoteBoldChar"/>
          <w:rtl/>
        </w:rPr>
        <w:t>رجال الكشّي</w:t>
      </w:r>
      <w:r w:rsidR="00E3253D" w:rsidRPr="005D642E">
        <w:rPr>
          <w:rtl/>
        </w:rPr>
        <w:t xml:space="preserve"> ، ص 37 ، ح 75 ، بسنده عن ابن أبي عمير. </w:t>
      </w:r>
      <w:r w:rsidR="00E3253D" w:rsidRPr="002F4D34">
        <w:rPr>
          <w:rStyle w:val="libFootnoteBoldChar"/>
          <w:rtl/>
        </w:rPr>
        <w:t>وفيه</w:t>
      </w:r>
      <w:r w:rsidR="00E3253D" w:rsidRPr="005D642E">
        <w:rPr>
          <w:rtl/>
        </w:rPr>
        <w:t xml:space="preserve"> ، ص 36 ، ح 74 ، بسند آخر عن الحسن بن زيد ، من دون الإسناد إلى المعصوم </w:t>
      </w:r>
      <w:r w:rsidR="00E3253D" w:rsidRPr="00483029">
        <w:rPr>
          <w:rStyle w:val="libFootnoteAlaemChar"/>
          <w:rtl/>
        </w:rPr>
        <w:t>عليه‌السلام</w:t>
      </w:r>
      <w:r w:rsidR="00E3253D" w:rsidRPr="005D642E">
        <w:rPr>
          <w:rtl/>
        </w:rPr>
        <w:t xml:space="preserve">. وفي </w:t>
      </w:r>
      <w:r w:rsidR="00E3253D" w:rsidRPr="002F4D34">
        <w:rPr>
          <w:rStyle w:val="libFootnoteBoldChar"/>
          <w:rtl/>
        </w:rPr>
        <w:t>التهذيب</w:t>
      </w:r>
      <w:r w:rsidR="00E3253D" w:rsidRPr="005D642E">
        <w:rPr>
          <w:rtl/>
        </w:rPr>
        <w:t xml:space="preserve"> ، ج 3 ، ص 317 ، ح 984 ؛ </w:t>
      </w:r>
      <w:r w:rsidR="00E3253D" w:rsidRPr="00E678B5">
        <w:rPr>
          <w:rStyle w:val="libFootnoteBoldChar"/>
          <w:rtl/>
        </w:rPr>
        <w:t>والاستبصار</w:t>
      </w:r>
      <w:r w:rsidR="00E3253D" w:rsidRPr="005D642E">
        <w:rPr>
          <w:rtl/>
        </w:rPr>
        <w:t xml:space="preserve"> ، ج 1 ، ص 476 ، ح 1841 ، بسند آخر ، مع زيادة في أوّله ، وفي كلّ المصادر مع اختلاف يسير </w:t>
      </w:r>
      <w:r w:rsidR="00483029">
        <w:rPr>
          <w:rFonts w:hint="cs"/>
          <w:rtl/>
        </w:rPr>
        <w:t>.</w:t>
      </w:r>
      <w:r w:rsidR="00E3253D" w:rsidRPr="002F4D34">
        <w:rPr>
          <w:rStyle w:val="libFootnoteBoldChar"/>
          <w:rtl/>
        </w:rPr>
        <w:t>الوافي</w:t>
      </w:r>
      <w:r w:rsidR="00E3253D" w:rsidRPr="005D642E">
        <w:rPr>
          <w:rtl/>
        </w:rPr>
        <w:t xml:space="preserve"> ، ج 24 ، ص 439 ، ح 24405 ؛ </w:t>
      </w:r>
      <w:r w:rsidR="00E3253D" w:rsidRPr="002F4D34">
        <w:rPr>
          <w:rStyle w:val="libFootnoteBoldChar"/>
          <w:rtl/>
        </w:rPr>
        <w:t>الوسائل</w:t>
      </w:r>
      <w:r w:rsidR="00E3253D" w:rsidRPr="005D642E">
        <w:rPr>
          <w:rtl/>
        </w:rPr>
        <w:t xml:space="preserve"> ، ج 3 ، ص 80 ، ح 3073.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الْقَاسِمِ بْنِ مُحَمَّدٍ ، عَنْ عَلِيِّ بْنِ أَبِي حَمْزَةَ ، عَنْ أَبِي بَصِيرٍ :</w:t>
      </w:r>
    </w:p>
    <w:p w:rsidR="00E3253D" w:rsidRPr="005D642E" w:rsidRDefault="00E3253D" w:rsidP="00E3253D">
      <w:pPr>
        <w:pStyle w:val="libNormal"/>
        <w:rPr>
          <w:rtl/>
          <w:lang w:bidi="fa-IR"/>
        </w:rPr>
      </w:pPr>
      <w:r w:rsidRPr="005D642E">
        <w:rPr>
          <w:rtl/>
          <w:lang w:bidi="fa-IR"/>
        </w:rPr>
        <w:t xml:space="preserve">عَنْ‌أَبِي جَعْفَرٍ </w:t>
      </w:r>
      <w:r w:rsidRPr="00AC51C5">
        <w:rPr>
          <w:rStyle w:val="libAlaemChar"/>
          <w:rtl/>
        </w:rPr>
        <w:t>عليه‌السلام</w:t>
      </w:r>
      <w:r w:rsidRPr="005D642E">
        <w:rPr>
          <w:rtl/>
          <w:lang w:bidi="fa-IR"/>
        </w:rPr>
        <w:t xml:space="preserve"> ، قَالَ : « كَبَّرَ رَسُولُ اللهِ </w:t>
      </w:r>
      <w:r w:rsidR="0042621E" w:rsidRPr="0042621E">
        <w:rPr>
          <w:rStyle w:val="libAlaemChar"/>
          <w:rtl/>
        </w:rPr>
        <w:t>صلى‌الله‌عليه‌وآله</w:t>
      </w:r>
      <w:r w:rsidRPr="005D642E">
        <w:rPr>
          <w:rtl/>
          <w:lang w:bidi="fa-IR"/>
        </w:rPr>
        <w:t xml:space="preserve"> عَلى حَمْزَةَ سَبْعِينَ تَكْبِيرَةً ، وَكَبَّرَ عَلِيٌّ</w:t>
      </w:r>
      <w:r>
        <w:rPr>
          <w:rtl/>
          <w:lang w:bidi="fa-IR"/>
        </w:rPr>
        <w:t xml:space="preserve"> </w:t>
      </w:r>
      <w:r w:rsidR="007642BC">
        <w:rPr>
          <w:rtl/>
          <w:lang w:bidi="fa-IR"/>
        </w:rPr>
        <w:t>-</w:t>
      </w:r>
      <w:r>
        <w:rPr>
          <w:rtl/>
          <w:lang w:bidi="fa-IR"/>
        </w:rPr>
        <w:t xml:space="preserve"> </w:t>
      </w:r>
      <w:r w:rsidRPr="005D642E">
        <w:rPr>
          <w:rtl/>
          <w:lang w:bidi="fa-IR"/>
        </w:rPr>
        <w:t>عَلَيْهِ الصَّلَاةُ وَالسَّلَامُ</w:t>
      </w:r>
      <w:r>
        <w:rPr>
          <w:rtl/>
          <w:lang w:bidi="fa-IR"/>
        </w:rPr>
        <w:t xml:space="preserve"> </w:t>
      </w:r>
      <w:r w:rsidR="007642BC">
        <w:rPr>
          <w:rtl/>
          <w:lang w:bidi="fa-IR"/>
        </w:rPr>
        <w:t>-</w:t>
      </w:r>
      <w:r>
        <w:rPr>
          <w:rtl/>
          <w:lang w:bidi="fa-IR"/>
        </w:rPr>
        <w:t xml:space="preserve"> </w:t>
      </w:r>
      <w:r w:rsidRPr="005D642E">
        <w:rPr>
          <w:rtl/>
          <w:lang w:bidi="fa-IR"/>
        </w:rPr>
        <w:t xml:space="preserve">عِنْدَكُمْ </w:t>
      </w:r>
      <w:r w:rsidRPr="007C12DB">
        <w:rPr>
          <w:rStyle w:val="libFootnotenumChar"/>
          <w:rtl/>
        </w:rPr>
        <w:t>(1)</w:t>
      </w:r>
      <w:r w:rsidRPr="005D642E">
        <w:rPr>
          <w:rtl/>
          <w:lang w:bidi="fa-IR"/>
        </w:rPr>
        <w:t xml:space="preserve"> عَلى سَهْلِ بْنِ حُنَيْفٍ خَمْساً </w:t>
      </w:r>
      <w:r w:rsidRPr="007C12DB">
        <w:rPr>
          <w:rStyle w:val="libFootnotenumChar"/>
          <w:rtl/>
        </w:rPr>
        <w:t>(2)</w:t>
      </w:r>
      <w:r w:rsidRPr="005D642E">
        <w:rPr>
          <w:rtl/>
          <w:lang w:bidi="fa-IR"/>
        </w:rPr>
        <w:t xml:space="preserve"> وَعِشْرِينَ تَكْبِيرَةً</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كَبَّرَ خَمْساً خَمْساً </w:t>
      </w:r>
      <w:r w:rsidRPr="007C12DB">
        <w:rPr>
          <w:rStyle w:val="libFootnotenumChar"/>
          <w:rtl/>
        </w:rPr>
        <w:t>(3)</w:t>
      </w:r>
      <w:r w:rsidRPr="005D642E">
        <w:rPr>
          <w:rtl/>
          <w:lang w:bidi="fa-IR"/>
        </w:rPr>
        <w:t xml:space="preserve"> ، كُلَّمَا أَدْرَكَهُ النَّاسُ ، قَالُوا يَا أَمِيرَ الْمُؤْمِنِينَ ، لَمْ نُدْرِكِ الصَّلَاةَ </w:t>
      </w:r>
      <w:r w:rsidRPr="007C12DB">
        <w:rPr>
          <w:rStyle w:val="libFootnotenumChar"/>
          <w:rtl/>
        </w:rPr>
        <w:t>(4)</w:t>
      </w:r>
      <w:r w:rsidRPr="005D642E">
        <w:rPr>
          <w:rtl/>
          <w:lang w:bidi="fa-IR"/>
        </w:rPr>
        <w:t xml:space="preserve"> عَلى سَهْلٍ </w:t>
      </w:r>
      <w:r w:rsidRPr="007C12DB">
        <w:rPr>
          <w:rStyle w:val="libFootnotenumChar"/>
          <w:rtl/>
        </w:rPr>
        <w:t>(5)</w:t>
      </w:r>
      <w:r w:rsidRPr="005D642E">
        <w:rPr>
          <w:rtl/>
          <w:lang w:bidi="fa-IR"/>
        </w:rPr>
        <w:t xml:space="preserve"> ، فَيَضَعُهُ ، فَيُكَبِّرُ عَلَيْهِ خَمْساً </w:t>
      </w:r>
      <w:r w:rsidRPr="007C12DB">
        <w:rPr>
          <w:rStyle w:val="libFootnotenumChar"/>
          <w:rtl/>
        </w:rPr>
        <w:t>(6)</w:t>
      </w:r>
      <w:r w:rsidRPr="005D642E">
        <w:rPr>
          <w:rtl/>
          <w:lang w:bidi="fa-IR"/>
        </w:rPr>
        <w:t xml:space="preserve"> حَتّى انْتَهى إِلى قَبْرِهِ خَمْسَ مَرَّاتٍ</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425" w:name="_Toc344647352"/>
      <w:bookmarkStart w:id="426" w:name="_Toc462226866"/>
      <w:bookmarkStart w:id="427" w:name="_Toc40975975"/>
      <w:r w:rsidRPr="005D642E">
        <w:rPr>
          <w:rtl/>
          <w:lang w:bidi="fa-IR"/>
        </w:rPr>
        <w:t>57</w:t>
      </w:r>
      <w:r>
        <w:rPr>
          <w:rtl/>
          <w:lang w:bidi="fa-IR"/>
        </w:rPr>
        <w:t xml:space="preserve"> </w:t>
      </w:r>
      <w:r w:rsidR="007642BC">
        <w:rPr>
          <w:rtl/>
          <w:lang w:bidi="fa-IR"/>
        </w:rPr>
        <w:t>-</w:t>
      </w:r>
      <w:r>
        <w:rPr>
          <w:rtl/>
          <w:lang w:bidi="fa-IR"/>
        </w:rPr>
        <w:t xml:space="preserve"> </w:t>
      </w:r>
      <w:r w:rsidRPr="005D642E">
        <w:rPr>
          <w:rtl/>
          <w:lang w:bidi="fa-IR"/>
        </w:rPr>
        <w:t xml:space="preserve">بَابُ الصَّلَاةِ عَلَى الْمُسْتَضْعَفِ </w:t>
      </w:r>
      <w:r w:rsidRPr="007C12DB">
        <w:rPr>
          <w:rStyle w:val="libFootnotenumChar"/>
          <w:rtl/>
        </w:rPr>
        <w:t>(8)</w:t>
      </w:r>
      <w:r>
        <w:rPr>
          <w:rtl/>
        </w:rPr>
        <w:t xml:space="preserve"> </w:t>
      </w:r>
      <w:r w:rsidRPr="005D642E">
        <w:rPr>
          <w:rtl/>
          <w:lang w:bidi="fa-IR"/>
        </w:rPr>
        <w:t>وَعَلى مَنْ لَايَعْرِفُ‌</w:t>
      </w:r>
      <w:bookmarkEnd w:id="425"/>
      <w:bookmarkEnd w:id="426"/>
      <w:bookmarkEnd w:id="427"/>
    </w:p>
    <w:p w:rsidR="00E3253D" w:rsidRPr="005D642E" w:rsidRDefault="00E3253D" w:rsidP="00E3253D">
      <w:pPr>
        <w:pStyle w:val="libNormal"/>
        <w:rPr>
          <w:rtl/>
          <w:lang w:bidi="fa-IR"/>
        </w:rPr>
      </w:pPr>
      <w:r w:rsidRPr="001351D6">
        <w:rPr>
          <w:rtl/>
        </w:rPr>
        <w:t>4517</w:t>
      </w:r>
      <w:r w:rsidRPr="00246318">
        <w:rPr>
          <w:rStyle w:val="libBold2Char"/>
          <w:rtl/>
        </w:rPr>
        <w:t xml:space="preserve"> / 1.</w:t>
      </w:r>
      <w:r w:rsidRPr="005D642E">
        <w:rPr>
          <w:rtl/>
          <w:lang w:bidi="fa-IR"/>
        </w:rPr>
        <w:t xml:space="preserve"> عَلِيُّ بْنُ إِبْرَاهِيمَ ، عَنْ أَبِيهِ ، عَنْ حَمَّادِ بْنِ عِيسى ، عَنْ حَرِيزٍ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 الصَّلَاةُ عَلَى الْمُسْتَضْعَفِ وَالَّذِي لَايَعْرِفُ الصَّلَاةُ عَلَى‌</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حاشية « جح » : + « بالكوفة</w:t>
      </w:r>
      <w:r w:rsidR="00E3253D">
        <w:rPr>
          <w:rtl/>
        </w:rPr>
        <w:t xml:space="preserve"> ».</w:t>
      </w:r>
      <w:r w:rsidR="00E3253D" w:rsidRPr="005D642E">
        <w:rPr>
          <w:rtl/>
        </w:rPr>
        <w:t xml:space="preserve"> وفي التهذيب :</w:t>
      </w:r>
      <w:r w:rsidR="00E3253D">
        <w:rPr>
          <w:rtl/>
        </w:rPr>
        <w:t xml:space="preserve"> </w:t>
      </w:r>
      <w:r w:rsidR="007642BC">
        <w:rPr>
          <w:rtl/>
        </w:rPr>
        <w:t>-</w:t>
      </w:r>
      <w:r w:rsidR="00E3253D">
        <w:rPr>
          <w:rtl/>
        </w:rPr>
        <w:t xml:space="preserve"> </w:t>
      </w:r>
      <w:r w:rsidR="00E3253D" w:rsidRPr="005D642E">
        <w:rPr>
          <w:rtl/>
        </w:rPr>
        <w:t>« عندكم</w:t>
      </w:r>
      <w:r w:rsidR="00E3253D">
        <w:rPr>
          <w:rtl/>
        </w:rPr>
        <w:t xml:space="preserve"> ».</w:t>
      </w:r>
    </w:p>
    <w:p w:rsidR="00E3253D" w:rsidRPr="005D642E" w:rsidRDefault="0042621E" w:rsidP="00C83BF4">
      <w:pPr>
        <w:pStyle w:val="libFootnote0"/>
        <w:rPr>
          <w:rtl/>
          <w:lang w:bidi="fa-IR"/>
        </w:rPr>
      </w:pPr>
      <w:r w:rsidRPr="0042621E">
        <w:rPr>
          <w:rStyle w:val="libFootnote0Char"/>
          <w:rtl/>
        </w:rPr>
        <w:t>(2).</w:t>
      </w:r>
      <w:r w:rsidR="00E3253D" w:rsidRPr="005D642E">
        <w:rPr>
          <w:rtl/>
        </w:rPr>
        <w:t xml:space="preserve"> هكذا في « غ ، بث ، ، بح ، بخ ، بف ، جح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ظ ، ى ، بس ، بف » والمطبوع : « خمسة</w:t>
      </w:r>
      <w:r w:rsidR="00E3253D">
        <w:rPr>
          <w:rtl/>
        </w:rPr>
        <w:t xml:space="preserve"> ».</w:t>
      </w:r>
      <w:r w:rsidR="00C83BF4">
        <w:rPr>
          <w:rFonts w:hint="cs"/>
          <w:rtl/>
        </w:rPr>
        <w:t xml:space="preserve">                                       </w:t>
      </w:r>
      <w:r w:rsidRPr="0042621E">
        <w:rPr>
          <w:rStyle w:val="libFootnote0Char"/>
          <w:rtl/>
        </w:rPr>
        <w:t>(3).</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خمساً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83BF4" w:rsidTr="00C83BF4">
        <w:tc>
          <w:tcPr>
            <w:tcW w:w="4006" w:type="dxa"/>
          </w:tcPr>
          <w:p w:rsidR="00C83BF4" w:rsidRDefault="00C83BF4" w:rsidP="00E3253D">
            <w:pPr>
              <w:pStyle w:val="libFootnote0"/>
              <w:rPr>
                <w:rStyle w:val="libFootnote0Char"/>
                <w:rtl/>
              </w:rPr>
            </w:pPr>
            <w:r w:rsidRPr="0042621E">
              <w:rPr>
                <w:rStyle w:val="libFootnote0Char"/>
                <w:rtl/>
              </w:rPr>
              <w:t>(4).</w:t>
            </w:r>
            <w:r w:rsidRPr="005D642E">
              <w:rPr>
                <w:rtl/>
              </w:rPr>
              <w:t xml:space="preserve"> في « ى » : + « عندكم</w:t>
            </w:r>
            <w:r>
              <w:rPr>
                <w:rtl/>
              </w:rPr>
              <w:t xml:space="preserve"> ».</w:t>
            </w:r>
          </w:p>
        </w:tc>
        <w:tc>
          <w:tcPr>
            <w:tcW w:w="4006" w:type="dxa"/>
          </w:tcPr>
          <w:p w:rsidR="00C83BF4" w:rsidRDefault="00C83BF4" w:rsidP="00E3253D">
            <w:pPr>
              <w:pStyle w:val="libFootnote0"/>
              <w:rPr>
                <w:rStyle w:val="libFootnote0Char"/>
                <w:rtl/>
              </w:rPr>
            </w:pPr>
            <w:r w:rsidRPr="0042621E">
              <w:rPr>
                <w:rStyle w:val="libFootnote0Char"/>
                <w:rtl/>
              </w:rPr>
              <w:t>(5).</w:t>
            </w:r>
            <w:r w:rsidRPr="005D642E">
              <w:rPr>
                <w:rtl/>
              </w:rPr>
              <w:t xml:space="preserve"> في « بح » : + « عندكم</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وحاشية « بث » : « خمسة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3 ، ص 197 ، ح 455 ، معلّقاً عن الكليني. </w:t>
      </w:r>
      <w:r w:rsidR="00E3253D" w:rsidRPr="002F4D34">
        <w:rPr>
          <w:rStyle w:val="libFootnoteBoldChar"/>
          <w:rtl/>
        </w:rPr>
        <w:t>صحيفة الرضا</w:t>
      </w:r>
      <w:r w:rsidR="00E3253D" w:rsidRPr="005D642E">
        <w:rPr>
          <w:rtl/>
        </w:rPr>
        <w:t xml:space="preserve"> </w:t>
      </w:r>
      <w:r w:rsidR="00E3253D" w:rsidRPr="00C83BF4">
        <w:rPr>
          <w:rStyle w:val="libFootnoteAlaemChar"/>
          <w:rtl/>
        </w:rPr>
        <w:t>عليه‌السلام</w:t>
      </w:r>
      <w:r w:rsidR="00E3253D" w:rsidRPr="005D642E">
        <w:rPr>
          <w:rtl/>
        </w:rPr>
        <w:t xml:space="preserve"> ، ص 83 ، ح 189 ، بسند آخر عن الرضا ، عن آبائه </w:t>
      </w:r>
      <w:r w:rsidR="00E3253D" w:rsidRPr="00C83BF4">
        <w:rPr>
          <w:rStyle w:val="libFootnoteAlaemChar"/>
          <w:rtl/>
        </w:rPr>
        <w:t>عليهم‌السلام</w:t>
      </w:r>
      <w:r w:rsidR="00E3253D" w:rsidRPr="005D642E">
        <w:rPr>
          <w:rtl/>
        </w:rPr>
        <w:t xml:space="preserve"> ؛ </w:t>
      </w:r>
      <w:r w:rsidR="00E3253D" w:rsidRPr="002F4D34">
        <w:rPr>
          <w:rStyle w:val="libFootnoteBoldChar"/>
          <w:rtl/>
        </w:rPr>
        <w:t>عيون الأخبار</w:t>
      </w:r>
      <w:r w:rsidR="00E3253D" w:rsidRPr="005D642E">
        <w:rPr>
          <w:rtl/>
        </w:rPr>
        <w:t xml:space="preserve"> ، ج 2 ، ص 45 ، ح 167 ، بسند آخر عن الرضا ، عن آبائه ، عن الحسين بن عليّ </w:t>
      </w:r>
      <w:r w:rsidR="00E3253D" w:rsidRPr="00C83BF4">
        <w:rPr>
          <w:rStyle w:val="libFootnoteAlaemChar"/>
          <w:rtl/>
        </w:rPr>
        <w:t>عليهم‌السلام</w:t>
      </w:r>
      <w:r w:rsidR="00E3253D" w:rsidRPr="005D642E">
        <w:rPr>
          <w:rtl/>
        </w:rPr>
        <w:t xml:space="preserve">. </w:t>
      </w:r>
      <w:r w:rsidR="00E3253D" w:rsidRPr="002F4D34">
        <w:rPr>
          <w:rStyle w:val="libFootnoteBoldChar"/>
          <w:rtl/>
        </w:rPr>
        <w:t>الفقيه</w:t>
      </w:r>
      <w:r w:rsidR="00E3253D" w:rsidRPr="005D642E">
        <w:rPr>
          <w:rtl/>
        </w:rPr>
        <w:t xml:space="preserve"> ، ج 1 ، ص 164 ، ح 470 ، مرسلاً ، من قوله : « قال : كبّر خمساً خمساً » وفي الثلاثة الأخيرة ، مع اختلاف يسير. </w:t>
      </w:r>
      <w:r w:rsidR="00E3253D" w:rsidRPr="002F4D34">
        <w:rPr>
          <w:rStyle w:val="libFootnoteBoldChar"/>
          <w:rtl/>
        </w:rPr>
        <w:t>الفقيه</w:t>
      </w:r>
      <w:r w:rsidR="00E3253D" w:rsidRPr="005D642E">
        <w:rPr>
          <w:rtl/>
        </w:rPr>
        <w:t xml:space="preserve"> ، ج 1 ، ص 164 ، ح 468 ، مرسلاً ، وتمام الرواية هكذا : « وكبّر رسول الله </w:t>
      </w:r>
      <w:r w:rsidRPr="00C83BF4">
        <w:rPr>
          <w:rStyle w:val="libFootnoteAlaemChar"/>
          <w:rtl/>
        </w:rPr>
        <w:t>صلى‌الله‌عليه‌وآله</w:t>
      </w:r>
      <w:r w:rsidR="00E3253D" w:rsidRPr="005D642E">
        <w:rPr>
          <w:rtl/>
        </w:rPr>
        <w:t xml:space="preserve"> على حمزة سبعين تكبيرة</w:t>
      </w:r>
      <w:r w:rsidR="00E3253D">
        <w:rPr>
          <w:rtl/>
        </w:rPr>
        <w:t xml:space="preserve"> ».</w:t>
      </w:r>
      <w:r w:rsidR="00E3253D" w:rsidRPr="005D642E">
        <w:rPr>
          <w:rtl/>
        </w:rPr>
        <w:t xml:space="preserve"> </w:t>
      </w:r>
      <w:r w:rsidR="00E3253D" w:rsidRPr="002F4D34">
        <w:rPr>
          <w:rStyle w:val="libFootnoteBoldChar"/>
          <w:rtl/>
        </w:rPr>
        <w:t>تفسير القمّي</w:t>
      </w:r>
      <w:r w:rsidR="00E3253D" w:rsidRPr="005D642E">
        <w:rPr>
          <w:rtl/>
        </w:rPr>
        <w:t xml:space="preserve"> ، ج 1 ، ص 123 ، من دون الإسناد إلى المعصوم </w:t>
      </w:r>
      <w:r w:rsidR="00E3253D" w:rsidRPr="00C83BF4">
        <w:rPr>
          <w:rStyle w:val="libFootnoteAlaemChar"/>
          <w:rtl/>
        </w:rPr>
        <w:t>عليه‌السلام</w:t>
      </w:r>
      <w:r w:rsidR="00E3253D" w:rsidRPr="005D642E">
        <w:rPr>
          <w:rtl/>
        </w:rPr>
        <w:t xml:space="preserve"> ، قطعة منه هكذا : « وكبّر على حمزة سبعين تكبيرة » </w:t>
      </w:r>
      <w:r w:rsidR="00C83BF4">
        <w:rPr>
          <w:rFonts w:hint="cs"/>
          <w:rtl/>
        </w:rPr>
        <w:t>.</w:t>
      </w:r>
      <w:r w:rsidR="00E3253D" w:rsidRPr="002F4D34">
        <w:rPr>
          <w:rStyle w:val="libFootnoteBoldChar"/>
          <w:rtl/>
        </w:rPr>
        <w:t>الوافي</w:t>
      </w:r>
      <w:r w:rsidR="00E3253D" w:rsidRPr="005D642E">
        <w:rPr>
          <w:rtl/>
        </w:rPr>
        <w:t xml:space="preserve"> ، ج 24 ، ص 437 ، ح 24403 ؛ </w:t>
      </w:r>
      <w:r w:rsidR="00E3253D" w:rsidRPr="002F4D34">
        <w:rPr>
          <w:rStyle w:val="libFootnoteBoldChar"/>
          <w:rtl/>
        </w:rPr>
        <w:t>الوسائل</w:t>
      </w:r>
      <w:r w:rsidR="00E3253D" w:rsidRPr="005D642E">
        <w:rPr>
          <w:rtl/>
        </w:rPr>
        <w:t xml:space="preserve"> ، ج 3 ، ص 81 ، ح 3077.</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مضت أخبار في معنى المستضعف في باب المستضعف من كتاب الإيمان والكفر ، وهو أنّه هو الذي لايهتدي إلى الإيمان سبيلاً لعدم استطاعتهم كالصبيان والمجانين والبله ومن لم تصل الدعوة إليه ومن لم يعرف اختلاف الناس. وقال الشهيد الأوّل : « المستضعف : هو الذي لايعرف الحقّ ولا يعاند فيه ولايوالي أحداً بعينه » وقيل غير ذلك. راجع : </w:t>
      </w:r>
      <w:r w:rsidR="00E3253D" w:rsidRPr="002F4D34">
        <w:rPr>
          <w:rStyle w:val="libFootnoteBoldChar"/>
          <w:rtl/>
        </w:rPr>
        <w:t>ذكرى الشيعة</w:t>
      </w:r>
      <w:r w:rsidR="00E3253D" w:rsidRPr="005D642E">
        <w:rPr>
          <w:rtl/>
        </w:rPr>
        <w:t xml:space="preserve"> ، ج 1 ، ص 437 ؛ </w:t>
      </w:r>
      <w:r w:rsidR="00E3253D" w:rsidRPr="002F4D34">
        <w:rPr>
          <w:rStyle w:val="libFootnoteBoldChar"/>
          <w:rtl/>
        </w:rPr>
        <w:t>شرح المازندراني</w:t>
      </w:r>
      <w:r w:rsidR="00E3253D" w:rsidRPr="005D642E">
        <w:rPr>
          <w:rtl/>
        </w:rPr>
        <w:t xml:space="preserve"> ، ج 10 ، ص 102 ؛ </w:t>
      </w:r>
      <w:r w:rsidR="00E3253D" w:rsidRPr="002F4D34">
        <w:rPr>
          <w:rStyle w:val="libFootnoteBoldChar"/>
          <w:rtl/>
        </w:rPr>
        <w:t>الوافي</w:t>
      </w:r>
      <w:r w:rsidR="00E3253D" w:rsidRPr="005D642E">
        <w:rPr>
          <w:rtl/>
        </w:rPr>
        <w:t xml:space="preserve"> ، ج 4 ، ص 211 ؛ </w:t>
      </w:r>
      <w:r w:rsidR="00E3253D" w:rsidRPr="002F4D34">
        <w:rPr>
          <w:rStyle w:val="libFootnoteBoldChar"/>
          <w:rtl/>
        </w:rPr>
        <w:t>مرآة العقول</w:t>
      </w:r>
      <w:r w:rsidR="00E3253D" w:rsidRPr="005D642E">
        <w:rPr>
          <w:rtl/>
        </w:rPr>
        <w:t xml:space="preserve"> ، ج 11 ، ص 201</w:t>
      </w:r>
      <w:r w:rsidR="00E3253D">
        <w:rPr>
          <w:rtl/>
        </w:rPr>
        <w:t xml:space="preserve"> </w:t>
      </w:r>
      <w:r w:rsidR="007642BC">
        <w:rPr>
          <w:rtl/>
        </w:rPr>
        <w:t>-</w:t>
      </w:r>
      <w:r w:rsidR="00E3253D">
        <w:rPr>
          <w:rtl/>
        </w:rPr>
        <w:t xml:space="preserve"> </w:t>
      </w:r>
      <w:r w:rsidR="00E3253D" w:rsidRPr="005D642E">
        <w:rPr>
          <w:rtl/>
        </w:rPr>
        <w:t>212.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النَّبِيِّ </w:t>
      </w:r>
      <w:r w:rsidR="0042621E" w:rsidRPr="0042621E">
        <w:rPr>
          <w:rStyle w:val="libAlaemChar"/>
          <w:rtl/>
        </w:rPr>
        <w:t>صلى‌الله‌عليه‌وآله</w:t>
      </w:r>
      <w:r w:rsidRPr="005D642E">
        <w:rPr>
          <w:rtl/>
          <w:lang w:bidi="fa-IR"/>
        </w:rPr>
        <w:t xml:space="preserve"> ، وَالدُّعَاءُ لِلْمُؤْمِنِينَ وَالْمُؤْمِنَاتِ ، تَقُولُ </w:t>
      </w:r>
      <w:r w:rsidRPr="007C12DB">
        <w:rPr>
          <w:rStyle w:val="libFootnotenumChar"/>
          <w:rtl/>
        </w:rPr>
        <w:t>(1)</w:t>
      </w:r>
      <w:r>
        <w:rPr>
          <w:rtl/>
          <w:lang w:bidi="fa-IR"/>
        </w:rPr>
        <w:t xml:space="preserve"> : "</w:t>
      </w:r>
      <w:r w:rsidRPr="005D642E">
        <w:rPr>
          <w:rtl/>
          <w:lang w:bidi="fa-IR"/>
        </w:rPr>
        <w:t xml:space="preserve">رَبَّنَا اغْفِرْ لِلَّذِينَ تَابُوا وَاتَّبَعُوا سَبِيلَكَ وَقِهِمْ عَذَابَ الْجَحِيمِ" ، إِلى آخِرِ الْآيَتَيْنِ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1351D6">
        <w:rPr>
          <w:rtl/>
        </w:rPr>
        <w:t>4518</w:t>
      </w:r>
      <w:r w:rsidRPr="00246318">
        <w:rPr>
          <w:rStyle w:val="libBold2Char"/>
          <w:rtl/>
        </w:rPr>
        <w:t xml:space="preserve"> / 2.</w:t>
      </w:r>
      <w:r w:rsidRPr="005D642E">
        <w:rPr>
          <w:rtl/>
          <w:lang w:bidi="fa-IR"/>
        </w:rPr>
        <w:t xml:space="preserve"> عَلِيُّ بْنُ إِبْرَاهِيمَ ، عَنْ أَبِيهِ ، عَنِ ابْنِ أَبِي عُمَيْرٍ ، عَنْ عُمَرَ بْنِ أُذَيْنَةَ ، عَنِ الْفُضَيْلِ </w:t>
      </w:r>
      <w:r w:rsidRPr="007C12DB">
        <w:rPr>
          <w:rStyle w:val="libFootnotenumChar"/>
          <w:rtl/>
        </w:rPr>
        <w:t>(4)</w:t>
      </w:r>
      <w:r w:rsidRPr="005D642E">
        <w:rPr>
          <w:rtl/>
          <w:lang w:bidi="fa-IR"/>
        </w:rPr>
        <w:t xml:space="preserve"> بْنِ يَسَارٍ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إِذَا صَلَّيْتَ عَلَى الْمُؤْمِنِ فَادْعُ لَهُ ، وَاجْتَهِدْ لَهُ </w:t>
      </w:r>
      <w:r w:rsidRPr="007C12DB">
        <w:rPr>
          <w:rStyle w:val="libFootnotenumChar"/>
          <w:rtl/>
        </w:rPr>
        <w:t>(5)</w:t>
      </w:r>
      <w:r w:rsidRPr="005D642E">
        <w:rPr>
          <w:rtl/>
          <w:lang w:bidi="fa-IR"/>
        </w:rPr>
        <w:t xml:space="preserve"> فِي الدُّعَاءِ ، وَإِنْ كَانَ وَاقِفاً </w:t>
      </w:r>
      <w:r w:rsidRPr="007C12DB">
        <w:rPr>
          <w:rStyle w:val="libFootnotenumChar"/>
          <w:rtl/>
        </w:rPr>
        <w:t>(6)</w:t>
      </w:r>
      <w:r w:rsidRPr="005D642E">
        <w:rPr>
          <w:rtl/>
          <w:lang w:bidi="fa-IR"/>
        </w:rPr>
        <w:t xml:space="preserve"> مُسْتَضْعَفاً فَكَبِّرْ ، وَقُلِ : الل</w:t>
      </w:r>
      <w:r w:rsidR="00C83BF4">
        <w:rPr>
          <w:rFonts w:hint="cs"/>
          <w:rtl/>
          <w:lang w:bidi="fa-IR"/>
        </w:rPr>
        <w:t>َّ</w:t>
      </w:r>
      <w:r w:rsidRPr="005D642E">
        <w:rPr>
          <w:rtl/>
          <w:lang w:bidi="fa-IR"/>
        </w:rPr>
        <w:t xml:space="preserve">هُمَّ اغْفِرْ لِلَّذِينَ تَابُوا وَاتَّبَعُوا سَبِيلَكَ وَقِهِمْ عَذَابَ الْجَحِيمِ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1351D6">
        <w:rPr>
          <w:rtl/>
        </w:rPr>
        <w:t>4519</w:t>
      </w:r>
      <w:r w:rsidRPr="00246318">
        <w:rPr>
          <w:rStyle w:val="libBold2Char"/>
          <w:rtl/>
        </w:rPr>
        <w:t xml:space="preserve"> / 3.</w:t>
      </w:r>
      <w:r w:rsidRPr="005D642E">
        <w:rPr>
          <w:rtl/>
          <w:lang w:bidi="fa-IR"/>
        </w:rPr>
        <w:t xml:space="preserve"> عَلِيُّ بْنُ إِبْرَاهِيمَ </w:t>
      </w:r>
      <w:r w:rsidRPr="007C12DB">
        <w:rPr>
          <w:rStyle w:val="libFootnotenumChar"/>
          <w:rtl/>
        </w:rPr>
        <w:t>(9)</w:t>
      </w:r>
      <w:r w:rsidRPr="005D642E">
        <w:rPr>
          <w:rtl/>
          <w:lang w:bidi="fa-IR"/>
        </w:rPr>
        <w:t xml:space="preserve"> ، عَنْ أَبِيهِ ، عَنِ ابْنِ أَبِي عُمَيْرٍ ، عَنْ حَمَّادِ بْنِ عُثْمَانَ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ك</w:t>
      </w:r>
      <w:r>
        <w:rPr>
          <w:rtl/>
          <w:lang w:bidi="fa-IR"/>
        </w:rPr>
        <w:t>َانَ مُسْتَضْعَفاً ، فَقُلِ : "</w:t>
      </w:r>
      <w:r w:rsidRPr="005D642E">
        <w:rPr>
          <w:rtl/>
          <w:lang w:bidi="fa-IR"/>
        </w:rPr>
        <w:t>الل</w:t>
      </w:r>
      <w:r w:rsidR="00C83BF4">
        <w:rPr>
          <w:rFonts w:hint="cs"/>
          <w:rtl/>
          <w:lang w:bidi="fa-IR"/>
        </w:rPr>
        <w:t>َّ</w:t>
      </w:r>
      <w:r w:rsidRPr="005D642E">
        <w:rPr>
          <w:rtl/>
          <w:lang w:bidi="fa-IR"/>
        </w:rPr>
        <w:t>هُمَّ اغْفِرْ لِلَّذِينَ تَابُوا وَاتَّبَعُوا سَبِيلَكَ وَقِهِمْ عَذَابَ الْجَحِيمِ" ، وَإِذَا كُنْتَ لَات</w:t>
      </w:r>
      <w:r>
        <w:rPr>
          <w:rtl/>
          <w:lang w:bidi="fa-IR"/>
        </w:rPr>
        <w:t>َدْرِي مَا حَالُهُ ، فَقُلِ : "</w:t>
      </w:r>
      <w:r w:rsidRPr="005D642E">
        <w:rPr>
          <w:rtl/>
          <w:lang w:bidi="fa-IR"/>
        </w:rPr>
        <w:t>الل</w:t>
      </w:r>
      <w:r w:rsidR="00C83BF4">
        <w:rPr>
          <w:rFonts w:hint="cs"/>
          <w:rtl/>
          <w:lang w:bidi="fa-IR"/>
        </w:rPr>
        <w:t>َّ</w:t>
      </w:r>
      <w:r w:rsidRPr="005D642E">
        <w:rPr>
          <w:rtl/>
          <w:lang w:bidi="fa-IR"/>
        </w:rPr>
        <w:t>هُمَّ إِنْ‌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بث ، بخ ، جس » : « 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المراد من الآيتين الآيتان بعد هذه الآية</w:t>
      </w:r>
      <w:r w:rsidR="00E3253D">
        <w:rPr>
          <w:rtl/>
        </w:rPr>
        <w:t xml:space="preserve"> </w:t>
      </w:r>
      <w:r w:rsidR="007642BC">
        <w:rPr>
          <w:rtl/>
        </w:rPr>
        <w:t>-</w:t>
      </w:r>
      <w:r w:rsidR="00E3253D">
        <w:rPr>
          <w:rtl/>
        </w:rPr>
        <w:t xml:space="preserve"> </w:t>
      </w:r>
      <w:r w:rsidR="00E3253D" w:rsidRPr="005D642E">
        <w:rPr>
          <w:rtl/>
        </w:rPr>
        <w:t>أي الآية 7 من سورة غافر (40)</w:t>
      </w:r>
      <w:r w:rsidR="00E3253D">
        <w:rPr>
          <w:rtl/>
        </w:rPr>
        <w:t xml:space="preserve"> </w:t>
      </w:r>
      <w:r w:rsidR="007642BC">
        <w:rPr>
          <w:rtl/>
        </w:rPr>
        <w:t>-</w:t>
      </w:r>
      <w:r w:rsidR="00E3253D">
        <w:rPr>
          <w:rtl/>
        </w:rPr>
        <w:t xml:space="preserve"> </w:t>
      </w:r>
      <w:r w:rsidR="00E3253D" w:rsidRPr="005D642E">
        <w:rPr>
          <w:rtl/>
        </w:rPr>
        <w:t>أو آية ا</w:t>
      </w:r>
      <w:r w:rsidR="00C83BF4">
        <w:rPr>
          <w:rFonts w:hint="cs"/>
          <w:rtl/>
        </w:rPr>
        <w:t>ُ</w:t>
      </w:r>
      <w:r w:rsidR="00E3253D" w:rsidRPr="005D642E">
        <w:rPr>
          <w:rtl/>
        </w:rPr>
        <w:t xml:space="preserve">خرى ليكون مع ما ذكره </w:t>
      </w:r>
      <w:r w:rsidR="00E3253D" w:rsidRPr="00C83BF4">
        <w:rPr>
          <w:rStyle w:val="libFootnoteAlaemChar"/>
          <w:rtl/>
        </w:rPr>
        <w:t>عليه‌السلام</w:t>
      </w:r>
      <w:r w:rsidR="00E3253D" w:rsidRPr="005D642E">
        <w:rPr>
          <w:rtl/>
        </w:rPr>
        <w:t xml:space="preserve"> </w:t>
      </w:r>
      <w:r w:rsidR="00C83BF4">
        <w:rPr>
          <w:rtl/>
        </w:rPr>
        <w:t>آيتين. والثاني مختار العل</w:t>
      </w:r>
      <w:r w:rsidR="00C83BF4">
        <w:rPr>
          <w:rFonts w:hint="cs"/>
          <w:rtl/>
        </w:rPr>
        <w:t>ّ</w:t>
      </w:r>
      <w:r w:rsidR="00C83BF4">
        <w:rPr>
          <w:rtl/>
        </w:rPr>
        <w:t>امة الفيض. وقال العل</w:t>
      </w:r>
      <w:r w:rsidR="00C83BF4">
        <w:rPr>
          <w:rFonts w:hint="cs"/>
          <w:rtl/>
        </w:rPr>
        <w:t>ّ</w:t>
      </w:r>
      <w:r w:rsidR="00C83BF4">
        <w:rPr>
          <w:rtl/>
        </w:rPr>
        <w:t>ا</w:t>
      </w:r>
      <w:r w:rsidR="00E3253D" w:rsidRPr="005D642E">
        <w:rPr>
          <w:rtl/>
        </w:rPr>
        <w:t xml:space="preserve">مة المجلسي : « والأحوط الأوّل ، ولعلّه أظهر أيضاً لمناسبتهما لذلك ، ولكون ما أورد </w:t>
      </w:r>
      <w:r w:rsidR="00E3253D" w:rsidRPr="00C83BF4">
        <w:rPr>
          <w:rStyle w:val="libFootnoteAlaemChar"/>
          <w:rtl/>
        </w:rPr>
        <w:t>عليه‌السلام</w:t>
      </w:r>
      <w:r w:rsidR="00E3253D" w:rsidRPr="005D642E">
        <w:rPr>
          <w:rtl/>
        </w:rPr>
        <w:t xml:space="preserve"> آية ناقصة من أوّلها</w:t>
      </w:r>
      <w:r w:rsidR="00E3253D">
        <w:rPr>
          <w:rtl/>
        </w:rPr>
        <w:t xml:space="preserve"> ».</w:t>
      </w:r>
    </w:p>
    <w:p w:rsidR="00E3253D" w:rsidRPr="005D642E" w:rsidRDefault="0042621E" w:rsidP="00C83BF4">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الفقيه</w:t>
      </w:r>
      <w:r w:rsidR="00E3253D" w:rsidRPr="005D642E">
        <w:rPr>
          <w:rtl/>
        </w:rPr>
        <w:t xml:space="preserve"> ، ج 1 ، ص 168 ، ح 489 ، معلّقاً عن زرارة ومحمّد بن مسلم ، عن أبي جعفر </w:t>
      </w:r>
      <w:r w:rsidR="00C83BF4" w:rsidRPr="00C83BF4">
        <w:rPr>
          <w:rStyle w:val="libFootnoteAlaemChar"/>
          <w:rtl/>
        </w:rPr>
        <w:t>عليه‌السلام</w:t>
      </w:r>
      <w:r w:rsidR="00C83BF4" w:rsidRPr="005D642E">
        <w:rPr>
          <w:rtl/>
        </w:rPr>
        <w:t xml:space="preserve"> </w:t>
      </w:r>
      <w:r w:rsidR="00E3253D" w:rsidRPr="005D642E">
        <w:rPr>
          <w:rtl/>
        </w:rPr>
        <w:t xml:space="preserve">، مع اختلاف يسير </w:t>
      </w:r>
      <w:r w:rsidR="00C83BF4">
        <w:rPr>
          <w:rFonts w:hint="cs"/>
          <w:rtl/>
        </w:rPr>
        <w:t>.</w:t>
      </w:r>
      <w:r w:rsidR="00E3253D" w:rsidRPr="002F4D34">
        <w:rPr>
          <w:rStyle w:val="libFootnoteBoldChar"/>
          <w:rtl/>
        </w:rPr>
        <w:t>الوافي</w:t>
      </w:r>
      <w:r w:rsidR="00E3253D" w:rsidRPr="005D642E">
        <w:rPr>
          <w:rtl/>
        </w:rPr>
        <w:t xml:space="preserve"> ، ج 24 ، ص 459 ، ح 24439 ؛ </w:t>
      </w:r>
      <w:r w:rsidR="00E3253D" w:rsidRPr="002F4D34">
        <w:rPr>
          <w:rStyle w:val="libFootnoteBoldChar"/>
          <w:rtl/>
        </w:rPr>
        <w:t>الوسائل</w:t>
      </w:r>
      <w:r w:rsidR="00E3253D" w:rsidRPr="005D642E">
        <w:rPr>
          <w:rtl/>
        </w:rPr>
        <w:t xml:space="preserve"> ، ج 3 ، ص 67 ، ح 3033.</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ظ ، بث ، بح ، بخ ، بس ، بف ، جح ، جس » </w:t>
      </w:r>
      <w:r w:rsidR="000D749A" w:rsidRPr="000D749A">
        <w:rPr>
          <w:rStyle w:val="libFootnoteBoldChar"/>
          <w:rtl/>
        </w:rPr>
        <w:t>والوافي</w:t>
      </w:r>
      <w:r w:rsidR="00E3253D" w:rsidRPr="000F38E2">
        <w:rPr>
          <w:rStyle w:val="libFootnoteBoldChar"/>
          <w:rtl/>
        </w:rPr>
        <w:t xml:space="preserve"> والوسائل</w:t>
      </w:r>
      <w:r w:rsidR="00E3253D" w:rsidRPr="005D642E">
        <w:rPr>
          <w:rtl/>
        </w:rPr>
        <w:t xml:space="preserve"> </w:t>
      </w:r>
      <w:r w:rsidR="00B60612" w:rsidRPr="00B60612">
        <w:rPr>
          <w:rStyle w:val="libFootnoteBoldChar"/>
          <w:rtl/>
        </w:rPr>
        <w:t>والتهذيب</w:t>
      </w:r>
      <w:r w:rsidR="00E3253D" w:rsidRPr="005D642E">
        <w:rPr>
          <w:rtl/>
        </w:rPr>
        <w:t>. وفي « ى » والمطبوع : « فضيل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واقفاً ، أي متحيّراً في دينه ، أو واقفاً على إمامة بعض أئمّتنا </w:t>
      </w:r>
      <w:r w:rsidR="00E3253D" w:rsidRPr="000F38E2">
        <w:rPr>
          <w:rStyle w:val="libFootnoteAlaemChar"/>
          <w:rtl/>
        </w:rPr>
        <w:t>عليهم‌السلام</w:t>
      </w:r>
      <w:r w:rsidR="00E3253D" w:rsidRPr="005D642E">
        <w:rPr>
          <w:rtl/>
        </w:rPr>
        <w:t xml:space="preserve"> لايتجاوز بها إلى من بعده ، كالزيديّة ، ومن وقف على الكاظم </w:t>
      </w:r>
      <w:r w:rsidR="00E3253D" w:rsidRPr="000F38E2">
        <w:rPr>
          <w:rStyle w:val="libFootnoteAlaemChar"/>
          <w:rtl/>
        </w:rPr>
        <w:t>عليه‌السلام</w:t>
      </w:r>
      <w:r w:rsidR="00E3253D" w:rsidRPr="005D642E">
        <w:rPr>
          <w:rtl/>
        </w:rPr>
        <w:t xml:space="preserve"> وهم المسمّون اليوم بالواقفيّة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جن » وحاشية « بح » : + « إلى آخر الآيتين</w:t>
      </w:r>
      <w:r w:rsidR="00E3253D">
        <w:rPr>
          <w:rtl/>
        </w:rPr>
        <w:t xml:space="preserve"> ».</w:t>
      </w:r>
    </w:p>
    <w:p w:rsidR="00E3253D" w:rsidRPr="005D642E" w:rsidRDefault="0042621E" w:rsidP="000F38E2">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196 ، ح 450 ، معلّقاً عن الكليني </w:t>
      </w:r>
      <w:r w:rsidR="000F38E2">
        <w:rPr>
          <w:rFonts w:hint="cs"/>
          <w:rtl/>
        </w:rPr>
        <w:t>.</w:t>
      </w:r>
      <w:r w:rsidR="00E3253D" w:rsidRPr="002F4D34">
        <w:rPr>
          <w:rStyle w:val="libFootnoteBoldChar"/>
          <w:rtl/>
        </w:rPr>
        <w:t>الوافي</w:t>
      </w:r>
      <w:r w:rsidR="00E3253D" w:rsidRPr="005D642E">
        <w:rPr>
          <w:rtl/>
        </w:rPr>
        <w:t xml:space="preserve"> ، ج 24 ، ص 460 ، ح 24441 ؛ </w:t>
      </w:r>
      <w:r w:rsidR="00E3253D" w:rsidRPr="002F4D34">
        <w:rPr>
          <w:rStyle w:val="libFootnoteBoldChar"/>
          <w:rtl/>
        </w:rPr>
        <w:t>الوسائل</w:t>
      </w:r>
      <w:r w:rsidR="00E3253D" w:rsidRPr="005D642E">
        <w:rPr>
          <w:rtl/>
        </w:rPr>
        <w:t xml:space="preserve"> ، ج 3 ، ص 67 ، ح 3034.</w:t>
      </w:r>
      <w:r w:rsidR="000F38E2">
        <w:rPr>
          <w:rFonts w:hint="cs"/>
          <w:rtl/>
        </w:rPr>
        <w:t xml:space="preserve">                      </w:t>
      </w:r>
      <w:r w:rsidRPr="0042621E">
        <w:rPr>
          <w:rStyle w:val="libFootnote0Char"/>
          <w:rtl/>
        </w:rPr>
        <w:t>(9).</w:t>
      </w:r>
      <w:r w:rsidR="00E3253D" w:rsidRPr="005D642E">
        <w:rPr>
          <w:rtl/>
        </w:rPr>
        <w:t xml:space="preserve"> في « بف ، جس » :</w:t>
      </w:r>
      <w:r w:rsidR="00E3253D">
        <w:rPr>
          <w:rtl/>
        </w:rPr>
        <w:t xml:space="preserve"> </w:t>
      </w:r>
      <w:r w:rsidR="007642BC">
        <w:rPr>
          <w:rtl/>
        </w:rPr>
        <w:t>-</w:t>
      </w:r>
      <w:r w:rsidR="00E3253D">
        <w:rPr>
          <w:rtl/>
        </w:rPr>
        <w:t xml:space="preserve"> </w:t>
      </w:r>
      <w:r w:rsidR="00E3253D" w:rsidRPr="005D642E">
        <w:rPr>
          <w:rtl/>
        </w:rPr>
        <w:t>« بن إبراهيم</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كَانَ يُحِبُّ الْخَيْرَ وَأَهْلَهُ ، فَاغْفِرْ لَهُ وَارْحَمْهُ ، وَتَجَاوَزْ عَنْهُ". وَإِنْ كَانَ الْمُسْتَضْعَفُ مِنْكَ بِسَبِيلٍ </w:t>
      </w:r>
      <w:r w:rsidRPr="007C12DB">
        <w:rPr>
          <w:rStyle w:val="libFootnotenumChar"/>
          <w:rtl/>
        </w:rPr>
        <w:t>(1)</w:t>
      </w:r>
      <w:r w:rsidRPr="005D642E">
        <w:rPr>
          <w:rtl/>
          <w:lang w:bidi="fa-IR"/>
        </w:rPr>
        <w:t xml:space="preserve"> ، فَاسْتَغْفِرْ لَهُ عَلى وَجْهِ الشَّفَاعَةِ ، لَاعَلى وَجْهِ الْوَلَايَةِ</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1351D6">
        <w:rPr>
          <w:rtl/>
        </w:rPr>
        <w:t>4520</w:t>
      </w:r>
      <w:r w:rsidRPr="00246318">
        <w:rPr>
          <w:rStyle w:val="libBold2Char"/>
          <w:rtl/>
        </w:rPr>
        <w:t xml:space="preserve"> / 4.</w:t>
      </w:r>
      <w:r w:rsidRPr="005D642E">
        <w:rPr>
          <w:rtl/>
          <w:lang w:bidi="fa-IR"/>
        </w:rPr>
        <w:t xml:space="preserve"> عَلِيُّ بْنُ إِبْرَاهِيمَ ، عَنْ أَبِيهِ ، عَنِ ابْنِ فَضَّالٍ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التَّرَحُّمُ عَلى جِهَتَيْنِ : جِهَةِ الْوَلَايَةِ ، وَجِهَةِ الشَّفَاعَةِ</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1351D6">
        <w:rPr>
          <w:rtl/>
        </w:rPr>
        <w:t>4521</w:t>
      </w:r>
      <w:r w:rsidRPr="00246318">
        <w:rPr>
          <w:rStyle w:val="libBold2Char"/>
          <w:rtl/>
        </w:rPr>
        <w:t xml:space="preserve"> / 5.</w:t>
      </w:r>
      <w:r w:rsidRPr="005D642E">
        <w:rPr>
          <w:rtl/>
          <w:lang w:bidi="fa-IR"/>
        </w:rPr>
        <w:t xml:space="preserve"> عَلِيُّ بْنُ إِبْرَاهِيمَ ، عَنْ أَبِيهِ ، عَنْ عَبْدِ اللهِ بْنِ الْمُغِيرَةِ ، عَنْ رَجُلٍ ، عَنْ سُلَيْمَانَ بْنِ خَالِدٍ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تَقُولُ </w:t>
      </w:r>
      <w:r w:rsidRPr="007C12DB">
        <w:rPr>
          <w:rStyle w:val="libFootnotenumChar"/>
          <w:rtl/>
        </w:rPr>
        <w:t>(4)</w:t>
      </w:r>
      <w:r>
        <w:rPr>
          <w:rtl/>
          <w:lang w:bidi="fa-IR"/>
        </w:rPr>
        <w:t xml:space="preserve"> : "</w:t>
      </w:r>
      <w:r w:rsidRPr="005D642E">
        <w:rPr>
          <w:rtl/>
          <w:lang w:bidi="fa-IR"/>
        </w:rPr>
        <w:t>أَشْهَدُ أَنْ لَا</w:t>
      </w:r>
      <w:r>
        <w:rPr>
          <w:rFonts w:hint="cs"/>
          <w:rtl/>
          <w:lang w:bidi="fa-IR"/>
        </w:rPr>
        <w:t xml:space="preserve"> </w:t>
      </w:r>
      <w:r w:rsidR="000F38E2">
        <w:rPr>
          <w:rtl/>
          <w:lang w:bidi="fa-IR"/>
        </w:rPr>
        <w:t>إِلهَ إِل</w:t>
      </w:r>
      <w:r w:rsidR="000F38E2">
        <w:rPr>
          <w:rFonts w:hint="cs"/>
          <w:rtl/>
          <w:lang w:bidi="fa-IR"/>
        </w:rPr>
        <w:t>َّ</w:t>
      </w:r>
      <w:r w:rsidR="000F38E2">
        <w:rPr>
          <w:rtl/>
          <w:lang w:bidi="fa-IR"/>
        </w:rPr>
        <w:t>ا</w:t>
      </w:r>
      <w:r w:rsidRPr="005D642E">
        <w:rPr>
          <w:rtl/>
          <w:lang w:bidi="fa-IR"/>
        </w:rPr>
        <w:t xml:space="preserve"> اللهُ ، وَأَشْهَدُ أَنَّ مُحَمَّدا</w:t>
      </w:r>
      <w:r w:rsidR="000F38E2">
        <w:rPr>
          <w:rFonts w:hint="cs"/>
          <w:rtl/>
          <w:lang w:bidi="fa-IR"/>
        </w:rPr>
        <w:t>ً</w:t>
      </w:r>
      <w:r>
        <w:rPr>
          <w:rFonts w:hint="cs"/>
          <w:rtl/>
          <w:lang w:bidi="fa-IR"/>
        </w:rPr>
        <w:t xml:space="preserve"> </w:t>
      </w:r>
      <w:r w:rsidRPr="005D642E">
        <w:rPr>
          <w:rtl/>
          <w:lang w:bidi="fa-IR"/>
        </w:rPr>
        <w:t>رَسُولُ اللهِ ؛ الل</w:t>
      </w:r>
      <w:r w:rsidR="000F38E2">
        <w:rPr>
          <w:rFonts w:hint="cs"/>
          <w:rtl/>
          <w:lang w:bidi="fa-IR"/>
        </w:rPr>
        <w:t>َّ</w:t>
      </w:r>
      <w:r w:rsidRPr="005D642E">
        <w:rPr>
          <w:rtl/>
          <w:lang w:bidi="fa-IR"/>
        </w:rPr>
        <w:t xml:space="preserve">هُمَّ صَلِّ عَلى مُحَمَّدٍ </w:t>
      </w:r>
      <w:r w:rsidRPr="007C12DB">
        <w:rPr>
          <w:rStyle w:val="libFootnotenumChar"/>
          <w:rtl/>
        </w:rPr>
        <w:t>(5)</w:t>
      </w:r>
      <w:r w:rsidRPr="005D642E">
        <w:rPr>
          <w:rtl/>
          <w:lang w:bidi="fa-IR"/>
        </w:rPr>
        <w:t xml:space="preserve"> عَبْدِكَ وَرَسُولِكَ ؛ الل</w:t>
      </w:r>
      <w:r w:rsidR="000F38E2">
        <w:rPr>
          <w:rFonts w:hint="cs"/>
          <w:rtl/>
          <w:lang w:bidi="fa-IR"/>
        </w:rPr>
        <w:t>َّ</w:t>
      </w:r>
      <w:r w:rsidRPr="005D642E">
        <w:rPr>
          <w:rtl/>
          <w:lang w:bidi="fa-IR"/>
        </w:rPr>
        <w:t>هُمَّ صَلِّ عَلى مُحَمَّدٍ وَآلِ مُحَمَّدٍ ، وَتَقَبَّلْ شَفَاعَتَهُ ، وَبَيِّضْ وَجْهَهُ ، وَأَكْثِرْ تَبَعَهُ ؛ اللهُمَّ اغْفِرْ لِي وَارْحَمْنِي ، وَتُبْ عَلَيَّ ؛ الل</w:t>
      </w:r>
      <w:r w:rsidR="000F38E2">
        <w:rPr>
          <w:rFonts w:hint="cs"/>
          <w:rtl/>
          <w:lang w:bidi="fa-IR"/>
        </w:rPr>
        <w:t>َّ</w:t>
      </w:r>
      <w:r w:rsidRPr="005D642E">
        <w:rPr>
          <w:rtl/>
          <w:lang w:bidi="fa-IR"/>
        </w:rPr>
        <w:t>هُمَّ اغْفِرْ لِلَّذِينَ تَابُوا وَاتَّبَعُوا سَبِيلَكَ وَقِهِمْ عَذَابَ الْجَحِيمِ" ، فَإِنْ كَانَ مُؤْمِناً دَخَلَ فِيهَا ، وَإِنْ كَانَ لَيْسَ بِمُؤْمِنٍ خَرَجَ مِنْهَا</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1351D6">
        <w:rPr>
          <w:rtl/>
        </w:rPr>
        <w:t>4522</w:t>
      </w:r>
      <w:r w:rsidRPr="00246318">
        <w:rPr>
          <w:rStyle w:val="libBold2Char"/>
          <w:rtl/>
        </w:rPr>
        <w:t xml:space="preserve"> / 6.</w:t>
      </w:r>
      <w:r w:rsidRPr="005D642E">
        <w:rPr>
          <w:rtl/>
          <w:lang w:bidi="fa-IR"/>
        </w:rPr>
        <w:t xml:space="preserve"> عِدَّةٌ مِنْ أَصْحَابِنَا ، عَنْ سَهْلِ بْنِ زِيَادٍ ، عَنِ الْحَسَنِ بْنِ مَحْبُوبٍ ، عَنْ عَبْدِ اللهِ بْنِ غَالِبٍ ، عَنْ ثَابِتٍ أَبِي الْمِقْدَامِ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السبي</w:t>
      </w:r>
      <w:r w:rsidR="000F38E2">
        <w:rPr>
          <w:rtl/>
        </w:rPr>
        <w:t>ل في الأصل : الطريق ، قال العل</w:t>
      </w:r>
      <w:r w:rsidR="000F38E2">
        <w:rPr>
          <w:rFonts w:hint="cs"/>
          <w:rtl/>
        </w:rPr>
        <w:t>ّ</w:t>
      </w:r>
      <w:r w:rsidR="000F38E2">
        <w:rPr>
          <w:rtl/>
        </w:rPr>
        <w:t>ا</w:t>
      </w:r>
      <w:r w:rsidR="00E3253D" w:rsidRPr="005D642E">
        <w:rPr>
          <w:rtl/>
        </w:rPr>
        <w:t>مة المجلسي : « ثمّ يستعار لكلّ ما يصير سبباً لاختصاص وارتباط بين الأمرين أو شخصين من قرابة أو مودّة أو خلطة أو نحو ذلك</w:t>
      </w:r>
      <w:r w:rsidR="00E3253D">
        <w:rPr>
          <w:rtl/>
        </w:rPr>
        <w:t xml:space="preserve"> ».</w:t>
      </w:r>
      <w:r w:rsidR="000F38E2">
        <w:rPr>
          <w:rtl/>
        </w:rPr>
        <w:t xml:space="preserve"> وقال العل</w:t>
      </w:r>
      <w:r w:rsidR="000F38E2">
        <w:rPr>
          <w:rFonts w:hint="cs"/>
          <w:rtl/>
        </w:rPr>
        <w:t>ّ</w:t>
      </w:r>
      <w:r w:rsidR="000F38E2">
        <w:rPr>
          <w:rtl/>
        </w:rPr>
        <w:t>ا</w:t>
      </w:r>
      <w:r w:rsidR="00E3253D" w:rsidRPr="005D642E">
        <w:rPr>
          <w:rtl/>
        </w:rPr>
        <w:t xml:space="preserve">مة الفيض : « منك بسبيل ، أي له عليك حقّ ، ويعني بالولاية ، ولاية أهل البيت </w:t>
      </w:r>
      <w:r w:rsidR="00E3253D" w:rsidRPr="000F38E2">
        <w:rPr>
          <w:rStyle w:val="libFootnoteAlaemChar"/>
          <w:rtl/>
        </w:rPr>
        <w:t>عليهم‌السلام</w:t>
      </w:r>
      <w:r w:rsidR="00E3253D" w:rsidRPr="005D642E">
        <w:rPr>
          <w:rtl/>
        </w:rPr>
        <w:t xml:space="preserve"> ؛ يعني حقّ من لا ولاية له عليك لايوجب أن تدعو له كما تدعو لأهل الولاية ، بل يكفي لذلك أن تستغفر له على وجه الشفاعة » وقيل غير ذلك. راجع : </w:t>
      </w:r>
      <w:r w:rsidR="00E3253D" w:rsidRPr="002F4D34">
        <w:rPr>
          <w:rStyle w:val="libFootnoteBoldChar"/>
          <w:rtl/>
        </w:rPr>
        <w:t>الوافي</w:t>
      </w:r>
      <w:r w:rsidR="00E3253D" w:rsidRPr="005D642E">
        <w:rPr>
          <w:rtl/>
        </w:rPr>
        <w:t xml:space="preserve"> ، ج 24 ، ص 460 ؛ </w:t>
      </w:r>
      <w:r w:rsidR="00E3253D" w:rsidRPr="002F4D34">
        <w:rPr>
          <w:rStyle w:val="libFootnoteBoldChar"/>
          <w:rtl/>
        </w:rPr>
        <w:t>مرآة العقول</w:t>
      </w:r>
      <w:r w:rsidR="00E3253D" w:rsidRPr="005D642E">
        <w:rPr>
          <w:rtl/>
        </w:rPr>
        <w:t xml:space="preserve"> ، ج 14 ، ص 69.</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الفقيه</w:t>
      </w:r>
      <w:r w:rsidR="00E3253D" w:rsidRPr="005D642E">
        <w:rPr>
          <w:rtl/>
        </w:rPr>
        <w:t xml:space="preserve"> ، ج 1 ، ص 168 ، ضمن ح 491 ، معلّقاً عن عبيدالله بن عليّ الحلبي ، عن أبي عبدالله </w:t>
      </w:r>
      <w:r w:rsidR="00E3253D" w:rsidRPr="000F38E2">
        <w:rPr>
          <w:rStyle w:val="libFootnoteAlaemChar"/>
          <w:rtl/>
        </w:rPr>
        <w:t>عليه‌السلام</w:t>
      </w:r>
      <w:r w:rsidR="00E3253D" w:rsidRPr="005D642E">
        <w:rPr>
          <w:rtl/>
        </w:rPr>
        <w:t xml:space="preserve"> ، مع اختلاف يسير. </w:t>
      </w:r>
      <w:r w:rsidR="00E3253D" w:rsidRPr="002F4D34">
        <w:rPr>
          <w:rStyle w:val="libFootnoteBoldChar"/>
          <w:rtl/>
        </w:rPr>
        <w:t>فقه الرضا</w:t>
      </w:r>
      <w:r w:rsidR="00E3253D" w:rsidRPr="005D642E">
        <w:rPr>
          <w:rtl/>
        </w:rPr>
        <w:t xml:space="preserve"> </w:t>
      </w:r>
      <w:r w:rsidR="00E3253D" w:rsidRPr="000F38E2">
        <w:rPr>
          <w:rStyle w:val="libFootnoteAlaemChar"/>
          <w:rtl/>
        </w:rPr>
        <w:t>عليه‌السلام</w:t>
      </w:r>
      <w:r w:rsidR="00E3253D" w:rsidRPr="005D642E">
        <w:rPr>
          <w:rtl/>
        </w:rPr>
        <w:t xml:space="preserve"> ، ص 187. إلى قوله : « وقهم عذاب الجحيم » </w:t>
      </w:r>
      <w:r w:rsidR="000F38E2">
        <w:rPr>
          <w:rFonts w:hint="cs"/>
          <w:rtl/>
        </w:rPr>
        <w:t>.</w:t>
      </w:r>
      <w:r w:rsidR="00E3253D" w:rsidRPr="002F4D34">
        <w:rPr>
          <w:rStyle w:val="libFootnoteBoldChar"/>
          <w:rtl/>
        </w:rPr>
        <w:t>الوافي</w:t>
      </w:r>
      <w:r w:rsidR="00E3253D" w:rsidRPr="005D642E">
        <w:rPr>
          <w:rtl/>
        </w:rPr>
        <w:t xml:space="preserve"> ، ج 24 ، ص 460 ، ح 24442 ؛ </w:t>
      </w:r>
      <w:r w:rsidR="00E3253D" w:rsidRPr="002F4D34">
        <w:rPr>
          <w:rStyle w:val="libFootnoteBoldChar"/>
          <w:rtl/>
        </w:rPr>
        <w:t>الوسائل</w:t>
      </w:r>
      <w:r w:rsidR="00E3253D" w:rsidRPr="005D642E">
        <w:rPr>
          <w:rtl/>
        </w:rPr>
        <w:t xml:space="preserve"> ، ج 3 ، ص 68 ، ح 3035.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24 ، ص 461 ، ح 24443 ؛ </w:t>
      </w:r>
      <w:r w:rsidR="00E3253D" w:rsidRPr="002F4D34">
        <w:rPr>
          <w:rStyle w:val="libFootnoteBoldChar"/>
          <w:rtl/>
        </w:rPr>
        <w:t>الوسائل</w:t>
      </w:r>
      <w:r w:rsidR="00E3253D" w:rsidRPr="005D642E">
        <w:rPr>
          <w:rtl/>
        </w:rPr>
        <w:t xml:space="preserve"> ، ج 3 ، ص 68 ، ح 3036.</w:t>
      </w:r>
    </w:p>
    <w:tbl>
      <w:tblPr>
        <w:tblStyle w:val="TableGrid"/>
        <w:bidiVisual/>
        <w:tblW w:w="0" w:type="auto"/>
        <w:tblLook w:val="04A0" w:firstRow="1" w:lastRow="0" w:firstColumn="1" w:lastColumn="0" w:noHBand="0" w:noVBand="1"/>
      </w:tblPr>
      <w:tblGrid>
        <w:gridCol w:w="4006"/>
        <w:gridCol w:w="4006"/>
      </w:tblGrid>
      <w:tr w:rsidR="000F38E2" w:rsidTr="000F38E2">
        <w:tc>
          <w:tcPr>
            <w:tcW w:w="4006" w:type="dxa"/>
          </w:tcPr>
          <w:p w:rsidR="000F38E2" w:rsidRDefault="000F38E2" w:rsidP="00E3253D">
            <w:pPr>
              <w:pStyle w:val="libFootnote0"/>
              <w:rPr>
                <w:rStyle w:val="libFootnote0Char"/>
                <w:rtl/>
              </w:rPr>
            </w:pPr>
            <w:r w:rsidRPr="0042621E">
              <w:rPr>
                <w:rStyle w:val="libFootnote0Char"/>
                <w:rtl/>
              </w:rPr>
              <w:t>(4).</w:t>
            </w:r>
            <w:r w:rsidRPr="005D642E">
              <w:rPr>
                <w:rtl/>
              </w:rPr>
              <w:t xml:space="preserve"> في « بث ، بخ ، جس » : « يقول</w:t>
            </w:r>
            <w:r>
              <w:rPr>
                <w:rtl/>
              </w:rPr>
              <w:t xml:space="preserve"> ».</w:t>
            </w:r>
          </w:p>
        </w:tc>
        <w:tc>
          <w:tcPr>
            <w:tcW w:w="4006" w:type="dxa"/>
          </w:tcPr>
          <w:p w:rsidR="000F38E2" w:rsidRDefault="000F38E2" w:rsidP="00E3253D">
            <w:pPr>
              <w:pStyle w:val="libFootnote0"/>
              <w:rPr>
                <w:rStyle w:val="libFootnote0Char"/>
                <w:rtl/>
              </w:rPr>
            </w:pPr>
            <w:r w:rsidRPr="0042621E">
              <w:rPr>
                <w:rStyle w:val="libFootnote0Char"/>
                <w:rtl/>
              </w:rPr>
              <w:t>(5).</w:t>
            </w:r>
            <w:r w:rsidRPr="005D642E">
              <w:rPr>
                <w:rtl/>
              </w:rPr>
              <w:t xml:space="preserve"> في « بخ » :</w:t>
            </w:r>
            <w:r>
              <w:rPr>
                <w:rtl/>
              </w:rPr>
              <w:t xml:space="preserve"> - </w:t>
            </w:r>
            <w:r w:rsidRPr="005D642E">
              <w:rPr>
                <w:rtl/>
              </w:rPr>
              <w:t>« محمّد</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24 ، ص 461 ، ح 24444 ؛ </w:t>
      </w:r>
      <w:r w:rsidR="00E3253D" w:rsidRPr="002F4D34">
        <w:rPr>
          <w:rStyle w:val="libFootnoteBoldChar"/>
          <w:rtl/>
        </w:rPr>
        <w:t>الوسائل</w:t>
      </w:r>
      <w:r w:rsidR="00E3253D" w:rsidRPr="005D642E">
        <w:rPr>
          <w:rtl/>
        </w:rPr>
        <w:t xml:space="preserve"> ، ج 3 ، ص 68 ، ح 3037.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كُنْتُ مَعَ أَبِي جَعْفَرٍ </w:t>
      </w:r>
      <w:r w:rsidRPr="00AC51C5">
        <w:rPr>
          <w:rStyle w:val="libAlaemChar"/>
          <w:rtl/>
        </w:rPr>
        <w:t>عليه‌السلام</w:t>
      </w:r>
      <w:r w:rsidRPr="005D642E">
        <w:rPr>
          <w:rtl/>
          <w:lang w:bidi="fa-IR"/>
        </w:rPr>
        <w:t xml:space="preserve"> فَإِذَا بِجَنَازَةٍ لِقَوْمٍ </w:t>
      </w:r>
      <w:r w:rsidRPr="007C12DB">
        <w:rPr>
          <w:rStyle w:val="libFootnotenumChar"/>
          <w:rtl/>
        </w:rPr>
        <w:t>(1)</w:t>
      </w:r>
      <w:r w:rsidRPr="005D642E">
        <w:rPr>
          <w:rtl/>
          <w:lang w:bidi="fa-IR"/>
        </w:rPr>
        <w:t xml:space="preserve"> مِنْ جِيرَتِهِ ، فَحَضَرَهَا وَكُنْتُ قَرِيباً مِنْهُ ، فَسَمِعْتُهُ يَقُولُ : « الل</w:t>
      </w:r>
      <w:r w:rsidR="000F38E2">
        <w:rPr>
          <w:rFonts w:hint="cs"/>
          <w:rtl/>
          <w:lang w:bidi="fa-IR"/>
        </w:rPr>
        <w:t>َّ</w:t>
      </w:r>
      <w:r w:rsidRPr="005D642E">
        <w:rPr>
          <w:rtl/>
          <w:lang w:bidi="fa-IR"/>
        </w:rPr>
        <w:t xml:space="preserve">هُمَّ إِنَّكَ أَنْتَ </w:t>
      </w:r>
      <w:r w:rsidRPr="007C12DB">
        <w:rPr>
          <w:rStyle w:val="libFootnotenumChar"/>
          <w:rtl/>
        </w:rPr>
        <w:t>(2)</w:t>
      </w:r>
      <w:r w:rsidRPr="005D642E">
        <w:rPr>
          <w:rtl/>
          <w:lang w:bidi="fa-IR"/>
        </w:rPr>
        <w:t xml:space="preserve"> خَلَقْتَ هذِهِ النُّفُوسَ ، وَأَنْتَ تُمِيتُهَا ، وَأَنْتَ </w:t>
      </w:r>
      <w:r w:rsidRPr="007C12DB">
        <w:rPr>
          <w:rStyle w:val="libFootnotenumChar"/>
          <w:rtl/>
        </w:rPr>
        <w:t>(3)</w:t>
      </w:r>
      <w:r w:rsidRPr="005D642E">
        <w:rPr>
          <w:rtl/>
          <w:lang w:bidi="fa-IR"/>
        </w:rPr>
        <w:t xml:space="preserve"> تُحْيِيهَا ، وَأَنْتَ أَعْلَمُ بِسَرَائِرِهَا وَعَلَانِيَتِهَا مِنَّا </w:t>
      </w:r>
      <w:r w:rsidRPr="007C12DB">
        <w:rPr>
          <w:rStyle w:val="libFootnotenumChar"/>
          <w:rtl/>
        </w:rPr>
        <w:t>(4)</w:t>
      </w:r>
      <w:r w:rsidRPr="005D642E">
        <w:rPr>
          <w:rtl/>
          <w:lang w:bidi="fa-IR"/>
        </w:rPr>
        <w:t xml:space="preserve"> وَمُسْتَقَرِّهَا وَمُسْتَوْدَعِهَا </w:t>
      </w:r>
      <w:r w:rsidRPr="007C12DB">
        <w:rPr>
          <w:rStyle w:val="libFootnotenumChar"/>
          <w:rtl/>
        </w:rPr>
        <w:t>(5)</w:t>
      </w:r>
      <w:r w:rsidRPr="005D642E">
        <w:rPr>
          <w:rtl/>
          <w:lang w:bidi="fa-IR"/>
        </w:rPr>
        <w:t xml:space="preserve"> ؛ الل</w:t>
      </w:r>
      <w:r w:rsidR="00B83312">
        <w:rPr>
          <w:rFonts w:hint="cs"/>
          <w:rtl/>
          <w:lang w:bidi="fa-IR"/>
        </w:rPr>
        <w:t>َّ</w:t>
      </w:r>
      <w:r w:rsidRPr="005D642E">
        <w:rPr>
          <w:rtl/>
          <w:lang w:bidi="fa-IR"/>
        </w:rPr>
        <w:t xml:space="preserve">هُمَّ وَهذَا عَبْدُكَ ، وَلَا أَعْلَمُ مِنْهُ شَرّاً </w:t>
      </w:r>
      <w:r w:rsidRPr="007C12DB">
        <w:rPr>
          <w:rStyle w:val="libFootnotenumChar"/>
          <w:rtl/>
        </w:rPr>
        <w:t>(6)</w:t>
      </w:r>
      <w:r w:rsidRPr="005D642E">
        <w:rPr>
          <w:rtl/>
          <w:lang w:bidi="fa-IR"/>
        </w:rPr>
        <w:t xml:space="preserve"> ، وَأَنْتَ أَعْلَمُ بِهِ ، وَقَدْ جِئْنَاكَ شَافِعِينَ لَهُ بَعْدَ مَوْتِهِ ، فَإِنْ كَانَ مُسْتَوْجِباً فَشَفِّعْنَا فِيهِ ، وَاحْشُرْهُ مَعَ مَنْ كَانَ يَتَوَلاَّهُ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428" w:name="_Toc344647353"/>
      <w:bookmarkStart w:id="429" w:name="_Toc462226867"/>
      <w:bookmarkStart w:id="430" w:name="_Toc40975976"/>
      <w:r w:rsidRPr="005D642E">
        <w:rPr>
          <w:rtl/>
          <w:lang w:bidi="fa-IR"/>
        </w:rPr>
        <w:t>58</w:t>
      </w:r>
      <w:r>
        <w:rPr>
          <w:rtl/>
          <w:lang w:bidi="fa-IR"/>
        </w:rPr>
        <w:t xml:space="preserve"> </w:t>
      </w:r>
      <w:r w:rsidR="007642BC">
        <w:rPr>
          <w:rtl/>
          <w:lang w:bidi="fa-IR"/>
        </w:rPr>
        <w:t>-</w:t>
      </w:r>
      <w:r>
        <w:rPr>
          <w:rtl/>
          <w:lang w:bidi="fa-IR"/>
        </w:rPr>
        <w:t xml:space="preserve"> </w:t>
      </w:r>
      <w:r w:rsidRPr="005D642E">
        <w:rPr>
          <w:rtl/>
          <w:lang w:bidi="fa-IR"/>
        </w:rPr>
        <w:t xml:space="preserve">بَابُ الصَّلَاةِ عَلَى النَّاصِبِ </w:t>
      </w:r>
      <w:r w:rsidRPr="007C12DB">
        <w:rPr>
          <w:rStyle w:val="libFootnotenumChar"/>
          <w:rtl/>
        </w:rPr>
        <w:t>(9)</w:t>
      </w:r>
      <w:r w:rsidRPr="005D642E">
        <w:rPr>
          <w:rtl/>
          <w:lang w:bidi="fa-IR"/>
        </w:rPr>
        <w:t xml:space="preserve"> ‌</w:t>
      </w:r>
      <w:bookmarkEnd w:id="428"/>
      <w:bookmarkEnd w:id="429"/>
      <w:bookmarkEnd w:id="430"/>
    </w:p>
    <w:p w:rsidR="00E3253D" w:rsidRPr="005D642E" w:rsidRDefault="00E3253D" w:rsidP="00E3253D">
      <w:pPr>
        <w:pStyle w:val="libNormal"/>
        <w:rPr>
          <w:rtl/>
          <w:lang w:bidi="fa-IR"/>
        </w:rPr>
      </w:pPr>
      <w:r w:rsidRPr="001351D6">
        <w:rPr>
          <w:rtl/>
        </w:rPr>
        <w:t>4523</w:t>
      </w:r>
      <w:r w:rsidRPr="00246318">
        <w:rPr>
          <w:rStyle w:val="libBold2Char"/>
          <w:rtl/>
        </w:rPr>
        <w:t xml:space="preserve"> / 1.</w:t>
      </w:r>
      <w:r w:rsidRPr="005D642E">
        <w:rPr>
          <w:rtl/>
          <w:lang w:bidi="fa-IR"/>
        </w:rPr>
        <w:t xml:space="preserve"> عَلِيُّ بْنُ إِبْرَاهِيمَ ، عَنْ أَبِيهِ ، عَنِ ابْنِ أَبِي عُمَيْرٍ ، عَنْ حَمَّادِ بْنِ عُثْمَانَ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لَمَّا مَاتَ عَبْدُ اللهِ بْنُ أُبَيِّ بْنِ سَلُولٍ </w:t>
      </w:r>
      <w:r w:rsidRPr="007C12DB">
        <w:rPr>
          <w:rStyle w:val="libFootnotenumChar"/>
          <w:rtl/>
        </w:rPr>
        <w:t>(10)</w:t>
      </w:r>
      <w:r w:rsidRPr="005D642E">
        <w:rPr>
          <w:rtl/>
          <w:lang w:bidi="fa-IR"/>
        </w:rPr>
        <w:t xml:space="preserve"> ، حَضَرَ النَّبِيُّ </w:t>
      </w:r>
      <w:r w:rsidR="0042621E" w:rsidRPr="0042621E">
        <w:rPr>
          <w:rStyle w:val="libAlaemChar"/>
          <w:rtl/>
        </w:rPr>
        <w:t>صلى‌الله‌عليه‌وآله</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83312" w:rsidTr="00B83312">
        <w:tc>
          <w:tcPr>
            <w:tcW w:w="4006" w:type="dxa"/>
          </w:tcPr>
          <w:p w:rsidR="00B83312" w:rsidRDefault="00B83312" w:rsidP="00E3253D">
            <w:pPr>
              <w:pStyle w:val="libFootnote0"/>
              <w:rPr>
                <w:rStyle w:val="libFootnote0Char"/>
                <w:rtl/>
              </w:rPr>
            </w:pPr>
            <w:r w:rsidRPr="0042621E">
              <w:rPr>
                <w:rStyle w:val="libFootnote0Char"/>
                <w:rtl/>
              </w:rPr>
              <w:t>(1).</w:t>
            </w:r>
            <w:r>
              <w:rPr>
                <w:rtl/>
              </w:rPr>
              <w:t xml:space="preserve"> </w:t>
            </w:r>
            <w:r w:rsidRPr="005D642E">
              <w:rPr>
                <w:rtl/>
              </w:rPr>
              <w:t>في « بح » : « قوم</w:t>
            </w:r>
            <w:r>
              <w:rPr>
                <w:rtl/>
              </w:rPr>
              <w:t xml:space="preserve"> ».</w:t>
            </w:r>
            <w:r w:rsidRPr="005D642E">
              <w:rPr>
                <w:rtl/>
              </w:rPr>
              <w:t xml:space="preserve"> وفي « بس » : « القوم</w:t>
            </w:r>
            <w:r>
              <w:rPr>
                <w:rtl/>
              </w:rPr>
              <w:t xml:space="preserve"> ».</w:t>
            </w:r>
          </w:p>
        </w:tc>
        <w:tc>
          <w:tcPr>
            <w:tcW w:w="4006" w:type="dxa"/>
          </w:tcPr>
          <w:p w:rsidR="00B83312" w:rsidRDefault="00B83312" w:rsidP="00E3253D">
            <w:pPr>
              <w:pStyle w:val="libFootnote0"/>
              <w:rPr>
                <w:rStyle w:val="libFootnote0Char"/>
                <w:rtl/>
              </w:rPr>
            </w:pPr>
            <w:r w:rsidRPr="0042621E">
              <w:rPr>
                <w:rStyle w:val="libFootnote0Char"/>
                <w:rtl/>
              </w:rPr>
              <w:t>(2).</w:t>
            </w:r>
            <w:r>
              <w:rPr>
                <w:rtl/>
              </w:rPr>
              <w:t>في«غ،ى،بس،جس»</w:t>
            </w:r>
            <w:r w:rsidRPr="005D642E">
              <w:rPr>
                <w:rtl/>
              </w:rPr>
              <w:t xml:space="preserve">والوسائل </w:t>
            </w:r>
            <w:r w:rsidRPr="00B60612">
              <w:rPr>
                <w:rStyle w:val="libFootnoteBoldChar"/>
                <w:rtl/>
              </w:rPr>
              <w:t>والتهذيب</w:t>
            </w:r>
            <w:r w:rsidRPr="005D642E">
              <w:rPr>
                <w:rtl/>
              </w:rPr>
              <w:t>:</w:t>
            </w:r>
            <w:r>
              <w:rPr>
                <w:rtl/>
              </w:rPr>
              <w:t>-«</w:t>
            </w:r>
            <w:r w:rsidRPr="005D642E">
              <w:rPr>
                <w:rtl/>
              </w:rPr>
              <w:t>أنت</w:t>
            </w:r>
            <w:r>
              <w:rPr>
                <w:rtl/>
              </w:rPr>
              <w:t>».</w:t>
            </w:r>
          </w:p>
        </w:tc>
      </w:tr>
      <w:tr w:rsidR="00B83312" w:rsidTr="00B83312">
        <w:tc>
          <w:tcPr>
            <w:tcW w:w="4006" w:type="dxa"/>
          </w:tcPr>
          <w:p w:rsidR="00B83312" w:rsidRDefault="00B83312" w:rsidP="00E3253D">
            <w:pPr>
              <w:pStyle w:val="libFootnote0"/>
              <w:rPr>
                <w:rStyle w:val="libFootnote0Char"/>
                <w:rtl/>
              </w:rPr>
            </w:pPr>
            <w:r w:rsidRPr="0042621E">
              <w:rPr>
                <w:rStyle w:val="libFootnote0Char"/>
                <w:rtl/>
              </w:rPr>
              <w:t>(3).</w:t>
            </w:r>
            <w:r w:rsidRPr="005D642E">
              <w:rPr>
                <w:rtl/>
              </w:rPr>
              <w:t xml:space="preserve"> في « بخ » :</w:t>
            </w:r>
            <w:r>
              <w:rPr>
                <w:rtl/>
              </w:rPr>
              <w:t xml:space="preserve"> - </w:t>
            </w:r>
            <w:r w:rsidRPr="005D642E">
              <w:rPr>
                <w:rtl/>
              </w:rPr>
              <w:t>« أنت</w:t>
            </w:r>
            <w:r>
              <w:rPr>
                <w:rtl/>
              </w:rPr>
              <w:t xml:space="preserve"> ».</w:t>
            </w:r>
          </w:p>
        </w:tc>
        <w:tc>
          <w:tcPr>
            <w:tcW w:w="4006" w:type="dxa"/>
          </w:tcPr>
          <w:p w:rsidR="00B83312" w:rsidRDefault="00B83312" w:rsidP="00E3253D">
            <w:pPr>
              <w:pStyle w:val="libFootnote0"/>
              <w:rPr>
                <w:rStyle w:val="libFootnote0Char"/>
                <w:rtl/>
              </w:rPr>
            </w:pPr>
            <w:r w:rsidRPr="0042621E">
              <w:rPr>
                <w:rStyle w:val="libFootnote0Char"/>
                <w:rtl/>
              </w:rPr>
              <w:t>(4).</w:t>
            </w:r>
            <w:r w:rsidRPr="005D642E">
              <w:rPr>
                <w:rtl/>
              </w:rPr>
              <w:t xml:space="preserve"> في « ظ ، ى ، بح ، بس ، جن » :</w:t>
            </w:r>
            <w:r>
              <w:rPr>
                <w:rtl/>
              </w:rPr>
              <w:t xml:space="preserve"> - </w:t>
            </w:r>
            <w:r w:rsidRPr="005D642E">
              <w:rPr>
                <w:rtl/>
              </w:rPr>
              <w:t>« منّا</w:t>
            </w:r>
            <w:r>
              <w:rPr>
                <w:rtl/>
              </w:rPr>
              <w:t xml:space="preserve"> ».</w:t>
            </w:r>
          </w:p>
        </w:tc>
      </w:tr>
    </w:tbl>
    <w:p w:rsidR="00E3253D" w:rsidRPr="005D642E" w:rsidRDefault="0042621E" w:rsidP="00B83312">
      <w:pPr>
        <w:pStyle w:val="libFootnote0"/>
        <w:rPr>
          <w:rtl/>
          <w:lang w:bidi="fa-IR"/>
        </w:rPr>
      </w:pPr>
      <w:r w:rsidRPr="0042621E">
        <w:rPr>
          <w:rStyle w:val="libFootnote0Char"/>
          <w:rtl/>
        </w:rPr>
        <w:t>(5).</w:t>
      </w:r>
      <w:r w:rsidR="00E3253D" w:rsidRPr="005D642E">
        <w:rPr>
          <w:rtl/>
        </w:rPr>
        <w:t xml:space="preserve"> في حاشية « بح » : + « منّا</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B83312">
        <w:rPr>
          <w:rStyle w:val="libFootnoteAlaemChar"/>
          <w:rtl/>
        </w:rPr>
        <w:t>عليه‌السلام</w:t>
      </w:r>
      <w:r w:rsidR="00E3253D" w:rsidRPr="005D642E">
        <w:rPr>
          <w:rtl/>
        </w:rPr>
        <w:t xml:space="preserve"> : ومستقرّها ومستودعها ، بالجرّ فيهما [ عطفاً ] على قوله : بسرائرها ، أي أنت أعلم بمستقرّها ومستودعها منّا ؛ أو بالرفع بتقدير الخبر ، أي مستقرّها ومستودعها في علمك أو بيدك أو بتقديرك. والأوّل أظهر</w:t>
      </w:r>
      <w:r w:rsidR="00E3253D">
        <w:rPr>
          <w:rtl/>
        </w:rPr>
        <w:t xml:space="preserve"> ».</w:t>
      </w:r>
      <w:r w:rsidR="00B83312">
        <w:rPr>
          <w:rFonts w:hint="cs"/>
          <w:rtl/>
        </w:rPr>
        <w:t xml:space="preserve">  </w:t>
      </w:r>
      <w:r w:rsidRPr="0042621E">
        <w:rPr>
          <w:rStyle w:val="libFootnote0Char"/>
          <w:rtl/>
        </w:rPr>
        <w:t>(6).</w:t>
      </w:r>
      <w:r w:rsidR="00E3253D" w:rsidRPr="005D642E">
        <w:rPr>
          <w:rtl/>
        </w:rPr>
        <w:t xml:space="preserve"> في « غ ، بخ ، بف » </w:t>
      </w:r>
      <w:r w:rsidR="00B60612" w:rsidRPr="00B60612">
        <w:rPr>
          <w:rStyle w:val="libFootnoteBoldChar"/>
          <w:rtl/>
        </w:rPr>
        <w:t>والتهذيب</w:t>
      </w:r>
      <w:r w:rsidR="00E3253D" w:rsidRPr="005D642E">
        <w:rPr>
          <w:rtl/>
        </w:rPr>
        <w:t xml:space="preserve"> : « سوءاً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بف » </w:t>
      </w:r>
      <w:r w:rsidR="000D749A" w:rsidRPr="000D749A">
        <w:rPr>
          <w:rStyle w:val="libFootnoteBoldChar"/>
          <w:rtl/>
        </w:rPr>
        <w:t>والوافي</w:t>
      </w:r>
      <w:r w:rsidR="00E3253D" w:rsidRPr="005D642E">
        <w:rPr>
          <w:rtl/>
        </w:rPr>
        <w:t xml:space="preserve"> : « يتولّى</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196 ، ح 451 ، معلّقاً عن الكليني </w:t>
      </w:r>
      <w:r w:rsidR="00B83312">
        <w:rPr>
          <w:rFonts w:hint="cs"/>
          <w:rtl/>
        </w:rPr>
        <w:t>.</w:t>
      </w:r>
      <w:r w:rsidR="00E3253D" w:rsidRPr="002F4D34">
        <w:rPr>
          <w:rStyle w:val="libFootnoteBoldChar"/>
          <w:rtl/>
        </w:rPr>
        <w:t>الوافي</w:t>
      </w:r>
      <w:r w:rsidR="00E3253D" w:rsidRPr="005D642E">
        <w:rPr>
          <w:rtl/>
        </w:rPr>
        <w:t xml:space="preserve"> ، ج 24 ، ص 462 ، ح 24445 ؛ </w:t>
      </w:r>
      <w:r w:rsidR="00E3253D" w:rsidRPr="002F4D34">
        <w:rPr>
          <w:rStyle w:val="libFootnoteBoldChar"/>
          <w:rtl/>
        </w:rPr>
        <w:t>الوسائل</w:t>
      </w:r>
      <w:r w:rsidR="00E3253D" w:rsidRPr="005D642E">
        <w:rPr>
          <w:rtl/>
        </w:rPr>
        <w:t xml:space="preserve"> ، ج 3 ، ص 69 ، ح 3038.</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جن » : « الناصبة</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14 ، ص 72 : « فاعلم أنّه قد يطلق الناصب على مطلق المخالف غير المستضعف ، كما هو الظاهر من كثير الأخبار ، وقد يطلق ويراد به من نصب العداوة لأهل البيت </w:t>
      </w:r>
      <w:r w:rsidR="00E3253D" w:rsidRPr="00B83312">
        <w:rPr>
          <w:rStyle w:val="libFootnoteAlaemChar"/>
          <w:rtl/>
        </w:rPr>
        <w:t>عليهم‌السلام</w:t>
      </w:r>
      <w:r w:rsidR="00E3253D" w:rsidRPr="005D642E">
        <w:rPr>
          <w:rtl/>
        </w:rPr>
        <w:t xml:space="preserve"> وهذا كافر لايجوز الصلاة عليه ؛ لأنّه منكر لما علم من دين الإسلام ضرورة. وظاهر الأصحاب أنّه لا خلاف بينهم فيه ، وإنّما الخلاف في المخالف الذي لم ينكر ضروريّاً من ضروريّات دين الإسلام</w:t>
      </w:r>
      <w:r w:rsidR="00E3253D">
        <w:rPr>
          <w:rtl/>
        </w:rPr>
        <w:t xml:space="preserve"> ..</w:t>
      </w:r>
      <w:r w:rsidR="00E3253D" w:rsidRPr="005D642E">
        <w:rPr>
          <w:rtl/>
        </w:rPr>
        <w:t>. أقول : الظاهر أنّ مراد المصنّف بالناصبيّ المعنى الأعمّ ، ويحتمل الأخصّ</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بث » وحاشية « بح » : « أبي سلول » بدل « ا</w:t>
      </w:r>
      <w:r w:rsidR="00B83312">
        <w:rPr>
          <w:rFonts w:hint="cs"/>
          <w:rtl/>
        </w:rPr>
        <w:t>ُ</w:t>
      </w:r>
      <w:r w:rsidR="00E3253D" w:rsidRPr="005D642E">
        <w:rPr>
          <w:rtl/>
        </w:rPr>
        <w:t>بيّ بن سلول</w:t>
      </w:r>
      <w:r w:rsidR="00E3253D">
        <w:rPr>
          <w:rtl/>
        </w:rPr>
        <w:t xml:space="preserve"> ».</w:t>
      </w:r>
      <w:r w:rsidR="00E3253D" w:rsidRPr="005D642E">
        <w:rPr>
          <w:rtl/>
        </w:rPr>
        <w:t xml:space="preserve"> وفي « بح » : « ا</w:t>
      </w:r>
      <w:r w:rsidR="00B83312">
        <w:rPr>
          <w:rFonts w:hint="cs"/>
          <w:rtl/>
        </w:rPr>
        <w:t>ُ</w:t>
      </w:r>
      <w:r w:rsidR="00E3253D" w:rsidRPr="005D642E">
        <w:rPr>
          <w:rtl/>
        </w:rPr>
        <w:t>بيّ بن مسلول</w:t>
      </w:r>
      <w:r w:rsidR="00E3253D">
        <w:rPr>
          <w:rtl/>
        </w:rPr>
        <w:t xml:space="preserve"> ».</w:t>
      </w:r>
      <w:r w:rsidR="00E3253D" w:rsidRPr="005D642E">
        <w:rPr>
          <w:rtl/>
        </w:rPr>
        <w:t xml:space="preserve"> وفي « بس » : </w:t>
      </w:r>
      <w:r w:rsidR="00B8331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جَنَازَتَهُ ، فَقَالَ عُمَرُ لِرَسُولِ اللهِ </w:t>
      </w:r>
      <w:r w:rsidR="0042621E" w:rsidRPr="0042621E">
        <w:rPr>
          <w:rStyle w:val="libAlaemChar"/>
          <w:rtl/>
        </w:rPr>
        <w:t>صلى‌الله‌عليه‌وآله</w:t>
      </w:r>
      <w:r w:rsidRPr="005D642E">
        <w:rPr>
          <w:rtl/>
          <w:lang w:bidi="fa-IR"/>
        </w:rPr>
        <w:t xml:space="preserve"> </w:t>
      </w:r>
      <w:r w:rsidRPr="007C12DB">
        <w:rPr>
          <w:rStyle w:val="libFootnotenumChar"/>
          <w:rtl/>
        </w:rPr>
        <w:t>(1)</w:t>
      </w:r>
      <w:r w:rsidRPr="005D642E">
        <w:rPr>
          <w:rtl/>
          <w:lang w:bidi="fa-IR"/>
        </w:rPr>
        <w:t xml:space="preserve"> : يَا رَسُولَ اللهِ </w:t>
      </w:r>
      <w:r w:rsidRPr="007C12DB">
        <w:rPr>
          <w:rStyle w:val="libFootnotenumChar"/>
          <w:rtl/>
        </w:rPr>
        <w:t>(2)</w:t>
      </w:r>
      <w:r>
        <w:rPr>
          <w:rtl/>
          <w:lang w:bidi="fa-IR"/>
        </w:rPr>
        <w:t xml:space="preserve"> ، أَ</w:t>
      </w:r>
      <w:r w:rsidRPr="005D642E">
        <w:rPr>
          <w:rtl/>
          <w:lang w:bidi="fa-IR"/>
        </w:rPr>
        <w:t>لَمْ يَنْهَكَ اللهُ أَنْ تَقُومَ عَلى قَبْرِهِ</w:t>
      </w:r>
      <w:r>
        <w:rPr>
          <w:rtl/>
          <w:lang w:bidi="fa-IR"/>
        </w:rPr>
        <w:t>؟</w:t>
      </w:r>
      <w:r w:rsidRPr="005D642E">
        <w:rPr>
          <w:rtl/>
          <w:lang w:bidi="fa-IR"/>
        </w:rPr>
        <w:t xml:space="preserve"> فَسَكَتَ ، فَقَالَ : يَا رَسُولَ اللهِ </w:t>
      </w:r>
      <w:r w:rsidRPr="007C12DB">
        <w:rPr>
          <w:rStyle w:val="libFootnotenumChar"/>
          <w:rtl/>
        </w:rPr>
        <w:t>(3)</w:t>
      </w:r>
      <w:r>
        <w:rPr>
          <w:rtl/>
          <w:lang w:bidi="fa-IR"/>
        </w:rPr>
        <w:t xml:space="preserve"> ، أَ</w:t>
      </w:r>
      <w:r w:rsidRPr="005D642E">
        <w:rPr>
          <w:rtl/>
          <w:lang w:bidi="fa-IR"/>
        </w:rPr>
        <w:t xml:space="preserve">لَمْ يَنْهَكَ اللهُ أَنْ تَقُومَ عَلى قَبْرِهِ </w:t>
      </w:r>
      <w:r w:rsidRPr="007C12DB">
        <w:rPr>
          <w:rStyle w:val="libFootnotenumChar"/>
          <w:rtl/>
        </w:rPr>
        <w:t>(4)</w:t>
      </w:r>
      <w:r>
        <w:rPr>
          <w:rtl/>
          <w:lang w:bidi="fa-IR"/>
        </w:rPr>
        <w:t>؟</w:t>
      </w:r>
      <w:r w:rsidRPr="005D642E">
        <w:rPr>
          <w:rtl/>
          <w:lang w:bidi="fa-IR"/>
        </w:rPr>
        <w:t xml:space="preserve"> فَقَالَ لَهُ :</w:t>
      </w:r>
      <w:r>
        <w:rPr>
          <w:rFonts w:hint="cs"/>
          <w:rtl/>
          <w:lang w:bidi="fa-IR"/>
        </w:rPr>
        <w:t xml:space="preserve"> </w:t>
      </w:r>
      <w:r w:rsidRPr="005D642E">
        <w:rPr>
          <w:rtl/>
          <w:lang w:bidi="fa-IR"/>
        </w:rPr>
        <w:t xml:space="preserve">وَيْلَكَ </w:t>
      </w:r>
      <w:r w:rsidRPr="007C12DB">
        <w:rPr>
          <w:rStyle w:val="libFootnotenumChar"/>
          <w:rtl/>
        </w:rPr>
        <w:t>(5)</w:t>
      </w:r>
      <w:r w:rsidRPr="005D642E">
        <w:rPr>
          <w:rtl/>
          <w:lang w:bidi="fa-IR"/>
        </w:rPr>
        <w:t xml:space="preserve"> ، وَمَا يُدْرِيكَ مَا قُلْتُ ، إِنِّي قُلْتُ : الل</w:t>
      </w:r>
      <w:r w:rsidR="00B83312">
        <w:rPr>
          <w:rFonts w:hint="cs"/>
          <w:rtl/>
          <w:lang w:bidi="fa-IR"/>
        </w:rPr>
        <w:t>َّ</w:t>
      </w:r>
      <w:r w:rsidRPr="005D642E">
        <w:rPr>
          <w:rtl/>
          <w:lang w:bidi="fa-IR"/>
        </w:rPr>
        <w:t xml:space="preserve">هُمَّ احْشُ </w:t>
      </w:r>
      <w:r w:rsidRPr="007C12DB">
        <w:rPr>
          <w:rStyle w:val="libFootnotenumChar"/>
          <w:rtl/>
        </w:rPr>
        <w:t>(6)</w:t>
      </w:r>
      <w:r w:rsidRPr="005D642E">
        <w:rPr>
          <w:rtl/>
          <w:lang w:bidi="fa-IR"/>
        </w:rPr>
        <w:t xml:space="preserve"> جَوْفَهُ نَاراً ، وَامْلَأْ </w:t>
      </w:r>
      <w:r w:rsidRPr="007C12DB">
        <w:rPr>
          <w:rStyle w:val="libFootnotenumChar"/>
          <w:rtl/>
        </w:rPr>
        <w:t>(7)</w:t>
      </w:r>
      <w:r w:rsidRPr="005D642E">
        <w:rPr>
          <w:rtl/>
          <w:lang w:bidi="fa-IR"/>
        </w:rPr>
        <w:t xml:space="preserve"> قَبْرَهُ نَاراً ، وَأَصْلِهِ </w:t>
      </w:r>
      <w:r w:rsidRPr="007C12DB">
        <w:rPr>
          <w:rStyle w:val="libFootnotenumChar"/>
          <w:rtl/>
        </w:rPr>
        <w:t>(8)</w:t>
      </w:r>
      <w:r w:rsidRPr="005D642E">
        <w:rPr>
          <w:rtl/>
          <w:lang w:bidi="fa-IR"/>
        </w:rPr>
        <w:t xml:space="preserve"> نَاراً » قَالَ أَبُو عَبْدِ اللهِ </w:t>
      </w:r>
      <w:r w:rsidRPr="00AC51C5">
        <w:rPr>
          <w:rStyle w:val="libAlaemChar"/>
          <w:rtl/>
        </w:rPr>
        <w:t>عليه‌السلام</w:t>
      </w:r>
      <w:r w:rsidRPr="005D642E">
        <w:rPr>
          <w:rtl/>
          <w:lang w:bidi="fa-IR"/>
        </w:rPr>
        <w:t xml:space="preserve"> : « فَأَبْدى مِنْ رَسُولِ اللهِ مَا كَانَ يَكْرَهُ</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B83312" w:rsidRDefault="00E3253D" w:rsidP="00B83312">
      <w:pPr>
        <w:pStyle w:val="libNormal"/>
        <w:rPr>
          <w:rtl/>
          <w:lang w:bidi="fa-IR"/>
        </w:rPr>
      </w:pPr>
      <w:r w:rsidRPr="00F5375C">
        <w:rPr>
          <w:rtl/>
        </w:rPr>
        <w:t>4524</w:t>
      </w:r>
      <w:r w:rsidRPr="00246318">
        <w:rPr>
          <w:rStyle w:val="libBold2Char"/>
          <w:rtl/>
        </w:rPr>
        <w:t xml:space="preserve"> / 2.</w:t>
      </w:r>
      <w:r w:rsidRPr="005D642E">
        <w:rPr>
          <w:rtl/>
          <w:lang w:bidi="fa-IR"/>
        </w:rPr>
        <w:t xml:space="preserve"> عِدَّةٌ مِنْ أَصْحَابِنَا ، عَنْ سَهْلِ بْنِ زِيَادٍ ؛</w:t>
      </w:r>
    </w:p>
    <w:p w:rsidR="00E3253D" w:rsidRPr="005D642E" w:rsidRDefault="00B83312" w:rsidP="00B83312">
      <w:pPr>
        <w:pStyle w:val="libNormal"/>
        <w:rPr>
          <w:rtl/>
          <w:lang w:bidi="fa-IR"/>
        </w:rPr>
      </w:pPr>
      <w:r>
        <w:rPr>
          <w:rFonts w:hint="cs"/>
          <w:rtl/>
          <w:lang w:bidi="fa-IR"/>
        </w:rPr>
        <w:t xml:space="preserve">              </w:t>
      </w:r>
      <w:r w:rsidR="00E3253D" w:rsidRPr="005D642E">
        <w:rPr>
          <w:rtl/>
          <w:lang w:bidi="fa-IR"/>
        </w:rPr>
        <w:t>وَعَلِيُّ بْنُ إِبْرَاهِيمَ ، عَنْ أَبِيهِ جَمِيعاً ، عَنِ ابْنِ مَحْبُوبٍ ، عَنْ زِيَادِ بْنِ عِيسى ، عَنْ عَامِرِ بْنِ السِّمْطِ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 أَنَّ رَجُلاً مِنَ الْمُنَافِقِينَ مَاتَ ، فَخَرَجَ الْحُسَيْنُ بْنُ عَلِيٍّ</w:t>
      </w:r>
      <w:r>
        <w:rPr>
          <w:rtl/>
          <w:lang w:bidi="fa-IR"/>
        </w:rPr>
        <w:t xml:space="preserve"> </w:t>
      </w:r>
      <w:r w:rsidR="007642BC">
        <w:rPr>
          <w:rtl/>
          <w:lang w:bidi="fa-IR"/>
        </w:rPr>
        <w:t>-</w:t>
      </w:r>
      <w:r>
        <w:rPr>
          <w:rtl/>
          <w:lang w:bidi="fa-IR"/>
        </w:rPr>
        <w:t xml:space="preserve"> </w:t>
      </w:r>
      <w:r w:rsidRPr="005D642E">
        <w:rPr>
          <w:rtl/>
          <w:lang w:bidi="fa-IR"/>
        </w:rPr>
        <w:t>صَلَوَاتُ اللهِ عَلَيْهِمَا</w:t>
      </w:r>
      <w:r>
        <w:rPr>
          <w:rtl/>
          <w:lang w:bidi="fa-IR"/>
        </w:rPr>
        <w:t xml:space="preserve"> </w:t>
      </w:r>
      <w:r w:rsidR="007642BC">
        <w:rPr>
          <w:rtl/>
          <w:lang w:bidi="fa-IR"/>
        </w:rPr>
        <w:t>-</w:t>
      </w:r>
      <w:r>
        <w:rPr>
          <w:rtl/>
          <w:lang w:bidi="fa-IR"/>
        </w:rPr>
        <w:t xml:space="preserve"> </w:t>
      </w:r>
      <w:r w:rsidRPr="005D642E">
        <w:rPr>
          <w:rtl/>
          <w:lang w:bidi="fa-IR"/>
        </w:rPr>
        <w:t xml:space="preserve">يَمْشِي مَعَهُ ، فَلَقِيَهُ مَوْلًى لَهُ ، فَقَالَ لَهُ الْحُسَيْنُ </w:t>
      </w:r>
      <w:r w:rsidRPr="00AC51C5">
        <w:rPr>
          <w:rStyle w:val="libAlaemChar"/>
          <w:rtl/>
        </w:rPr>
        <w:t>عليه‌السلام</w:t>
      </w:r>
      <w:r w:rsidRPr="005D642E">
        <w:rPr>
          <w:rtl/>
          <w:lang w:bidi="fa-IR"/>
        </w:rPr>
        <w:t xml:space="preserve"> : أَيْنَ تَذْهَبُ‌</w:t>
      </w:r>
    </w:p>
    <w:p w:rsidR="00E3253D" w:rsidRPr="005D642E" w:rsidRDefault="00E3253D" w:rsidP="00E3253D">
      <w:pPr>
        <w:pStyle w:val="libLine"/>
        <w:rPr>
          <w:rtl/>
          <w:lang w:bidi="fa-IR"/>
        </w:rPr>
      </w:pPr>
      <w:r w:rsidRPr="005D642E">
        <w:rPr>
          <w:rtl/>
          <w:lang w:bidi="fa-IR"/>
        </w:rPr>
        <w:t>__________________</w:t>
      </w:r>
    </w:p>
    <w:p w:rsidR="00E3253D" w:rsidRPr="005D642E" w:rsidRDefault="00496AC6" w:rsidP="00E3253D">
      <w:pPr>
        <w:pStyle w:val="libFootnote0"/>
        <w:rPr>
          <w:rtl/>
          <w:lang w:bidi="fa-IR"/>
        </w:rPr>
      </w:pPr>
      <w:r>
        <w:rPr>
          <w:rFonts w:hint="cs"/>
          <w:rtl/>
        </w:rPr>
        <w:t xml:space="preserve">= </w:t>
      </w:r>
      <w:r w:rsidR="00E3253D" w:rsidRPr="005D642E">
        <w:rPr>
          <w:rtl/>
        </w:rPr>
        <w:t>« ا</w:t>
      </w:r>
      <w:r>
        <w:rPr>
          <w:rFonts w:hint="cs"/>
          <w:rtl/>
        </w:rPr>
        <w:t>ُ</w:t>
      </w:r>
      <w:r w:rsidR="00E3253D" w:rsidRPr="005D642E">
        <w:rPr>
          <w:rtl/>
        </w:rPr>
        <w:t>بيّ بن شلول</w:t>
      </w:r>
      <w:r w:rsidR="00E3253D">
        <w:rPr>
          <w:rtl/>
        </w:rPr>
        <w:t xml:space="preserve"> ».</w:t>
      </w:r>
      <w:r w:rsidR="00E3253D" w:rsidRPr="005D642E">
        <w:rPr>
          <w:rtl/>
        </w:rPr>
        <w:t xml:space="preserve"> وفي « جس » : « أبي سلوك</w:t>
      </w:r>
      <w:r w:rsidR="00E3253D">
        <w:rPr>
          <w:rtl/>
        </w:rPr>
        <w:t xml:space="preserve"> ».</w:t>
      </w:r>
      <w:r w:rsidR="00E3253D" w:rsidRPr="005D642E">
        <w:rPr>
          <w:rtl/>
        </w:rPr>
        <w:t xml:space="preserve"> وعبدالله هذا ، هو عبدالله بن ا</w:t>
      </w:r>
      <w:r>
        <w:rPr>
          <w:rFonts w:hint="cs"/>
          <w:rtl/>
        </w:rPr>
        <w:t>ُ</w:t>
      </w:r>
      <w:r w:rsidR="00E3253D" w:rsidRPr="005D642E">
        <w:rPr>
          <w:rtl/>
        </w:rPr>
        <w:t>بيّ بن سلول ، رأس المنافقين بالمدينة.</w:t>
      </w:r>
    </w:p>
    <w:tbl>
      <w:tblPr>
        <w:tblStyle w:val="TableGrid"/>
        <w:bidiVisual/>
        <w:tblW w:w="0" w:type="auto"/>
        <w:tblLook w:val="04A0" w:firstRow="1" w:lastRow="0" w:firstColumn="1" w:lastColumn="0" w:noHBand="0" w:noVBand="1"/>
      </w:tblPr>
      <w:tblGrid>
        <w:gridCol w:w="4006"/>
        <w:gridCol w:w="4006"/>
      </w:tblGrid>
      <w:tr w:rsidR="00496AC6" w:rsidTr="00496AC6">
        <w:tc>
          <w:tcPr>
            <w:tcW w:w="4006" w:type="dxa"/>
          </w:tcPr>
          <w:p w:rsidR="00496AC6" w:rsidRDefault="00496AC6" w:rsidP="00E3253D">
            <w:pPr>
              <w:pStyle w:val="libFootnote0"/>
              <w:rPr>
                <w:rStyle w:val="libFootnote0Char"/>
                <w:rtl/>
              </w:rPr>
            </w:pPr>
            <w:r w:rsidRPr="0042621E">
              <w:rPr>
                <w:rStyle w:val="libFootnote0Char"/>
                <w:rtl/>
              </w:rPr>
              <w:t>(1).</w:t>
            </w:r>
            <w:r>
              <w:rPr>
                <w:rtl/>
              </w:rPr>
              <w:t xml:space="preserve"> </w:t>
            </w:r>
            <w:r w:rsidRPr="005D642E">
              <w:rPr>
                <w:rtl/>
              </w:rPr>
              <w:t>في الوسائل :</w:t>
            </w:r>
            <w:r>
              <w:rPr>
                <w:rtl/>
              </w:rPr>
              <w:t xml:space="preserve"> - </w:t>
            </w:r>
            <w:r w:rsidRPr="005D642E">
              <w:rPr>
                <w:rtl/>
              </w:rPr>
              <w:t xml:space="preserve">« لرسول الله </w:t>
            </w:r>
            <w:r w:rsidRPr="00496AC6">
              <w:rPr>
                <w:rStyle w:val="libFootnoteAlaemChar"/>
                <w:rtl/>
              </w:rPr>
              <w:t>صلى‌الله‌عليه‌وآله</w:t>
            </w:r>
            <w:r>
              <w:rPr>
                <w:rtl/>
              </w:rPr>
              <w:t xml:space="preserve"> ».</w:t>
            </w:r>
          </w:p>
        </w:tc>
        <w:tc>
          <w:tcPr>
            <w:tcW w:w="4006" w:type="dxa"/>
          </w:tcPr>
          <w:p w:rsidR="00496AC6" w:rsidRDefault="00496AC6" w:rsidP="00E3253D">
            <w:pPr>
              <w:pStyle w:val="libFootnote0"/>
              <w:rPr>
                <w:rStyle w:val="libFootnote0Char"/>
                <w:rtl/>
              </w:rPr>
            </w:pPr>
            <w:r w:rsidRPr="0042621E">
              <w:rPr>
                <w:rStyle w:val="libFootnote0Char"/>
                <w:rtl/>
              </w:rPr>
              <w:t>(2).</w:t>
            </w:r>
            <w:r w:rsidRPr="005D642E">
              <w:rPr>
                <w:rtl/>
              </w:rPr>
              <w:t xml:space="preserve"> في « ظ ، ى ، بف » :</w:t>
            </w:r>
            <w:r>
              <w:rPr>
                <w:rtl/>
              </w:rPr>
              <w:t xml:space="preserve"> - </w:t>
            </w:r>
            <w:r w:rsidRPr="005D642E">
              <w:rPr>
                <w:rtl/>
              </w:rPr>
              <w:t>« يا رسول الله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يا رسول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بس ، جس » :</w:t>
      </w:r>
      <w:r w:rsidR="00E3253D">
        <w:rPr>
          <w:rtl/>
        </w:rPr>
        <w:t xml:space="preserve"> </w:t>
      </w:r>
      <w:r w:rsidR="007642BC">
        <w:rPr>
          <w:rtl/>
        </w:rPr>
        <w:t>-</w:t>
      </w:r>
      <w:r w:rsidR="00E3253D">
        <w:rPr>
          <w:rtl/>
        </w:rPr>
        <w:t xml:space="preserve"> </w:t>
      </w:r>
      <w:r w:rsidR="00E3253D" w:rsidRPr="005D642E">
        <w:rPr>
          <w:rtl/>
        </w:rPr>
        <w:t>« فقال : يا رسول الله</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على قبره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بس » : + « يا ويلك</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احش » ، أي املأ. </w:t>
      </w:r>
      <w:r w:rsidR="00E3253D" w:rsidRPr="002F4D34">
        <w:rPr>
          <w:rStyle w:val="libFootnoteBoldChar"/>
          <w:rtl/>
        </w:rPr>
        <w:t>لسان العرب</w:t>
      </w:r>
      <w:r w:rsidR="00E3253D" w:rsidRPr="005D642E">
        <w:rPr>
          <w:rtl/>
        </w:rPr>
        <w:t xml:space="preserve"> ، ج 14 ، ص 180 ( حشا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 « أو املأ</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 « أو أصله</w:t>
      </w:r>
      <w:r w:rsidR="00E3253D">
        <w:rPr>
          <w:rtl/>
        </w:rPr>
        <w:t xml:space="preserve"> ».</w:t>
      </w:r>
      <w:r w:rsidR="00E3253D" w:rsidRPr="005D642E">
        <w:rPr>
          <w:rtl/>
        </w:rPr>
        <w:t xml:space="preserve"> وقال الجوهري : صلَيْتُ اللحم وغيره أَصْلِيه صلياً ، مثال رميته رمياً : إذا شويته. ويقال أيضاً : صلَيْتُ الرجل ناراً : إذا أدخلته النار وجعلته يصلاها ، فإن ألقيته فيها إلقاءً كأنّك تريد إحراقه قلت : أصليته بالألف ، وصلّيته تصلية ، وقرئ</w:t>
      </w:r>
      <w:r w:rsidR="00E3253D" w:rsidRPr="00496AC6">
        <w:rPr>
          <w:rStyle w:val="libFootnoteAlaemChar"/>
          <w:rtl/>
        </w:rPr>
        <w:t>(</w:t>
      </w:r>
      <w:r w:rsidR="00E3253D" w:rsidRPr="00EB702D">
        <w:rPr>
          <w:rStyle w:val="libFootnoteAieChar"/>
          <w:rtl/>
        </w:rPr>
        <w:t xml:space="preserve"> وَيَصْلى سَعِيراً </w:t>
      </w:r>
      <w:r w:rsidR="00E3253D" w:rsidRPr="00496AC6">
        <w:rPr>
          <w:rStyle w:val="libFootnoteAlaemChar"/>
          <w:rtl/>
        </w:rPr>
        <w:t>)</w:t>
      </w:r>
      <w:r w:rsidR="00E3253D" w:rsidRPr="005D642E">
        <w:rPr>
          <w:rtl/>
        </w:rPr>
        <w:t xml:space="preserve"> [ الانشقاق (84) : 12 ] ومن خفّف فهو من قولهم : صَلِيَ فلان النار</w:t>
      </w:r>
      <w:r w:rsidR="00E3253D">
        <w:rPr>
          <w:rtl/>
        </w:rPr>
        <w:t xml:space="preserve"> </w:t>
      </w:r>
      <w:r w:rsidR="007642BC">
        <w:rPr>
          <w:rtl/>
        </w:rPr>
        <w:t>-</w:t>
      </w:r>
      <w:r w:rsidR="00E3253D">
        <w:rPr>
          <w:rtl/>
        </w:rPr>
        <w:t xml:space="preserve"> </w:t>
      </w:r>
      <w:r w:rsidR="00E3253D" w:rsidRPr="005D642E">
        <w:rPr>
          <w:rtl/>
        </w:rPr>
        <w:t>بالكسر</w:t>
      </w:r>
      <w:r w:rsidR="00E3253D">
        <w:rPr>
          <w:rtl/>
        </w:rPr>
        <w:t xml:space="preserve"> </w:t>
      </w:r>
      <w:r w:rsidR="007642BC">
        <w:rPr>
          <w:rtl/>
        </w:rPr>
        <w:t>-</w:t>
      </w:r>
      <w:r w:rsidR="00E3253D">
        <w:rPr>
          <w:rtl/>
        </w:rPr>
        <w:t xml:space="preserve"> </w:t>
      </w:r>
      <w:r w:rsidR="00E3253D" w:rsidRPr="005D642E">
        <w:rPr>
          <w:rtl/>
        </w:rPr>
        <w:t>يص</w:t>
      </w:r>
      <w:r w:rsidR="00496AC6">
        <w:rPr>
          <w:rtl/>
        </w:rPr>
        <w:t>لى صُلِيّاً : احترق. نقله العل</w:t>
      </w:r>
      <w:r w:rsidR="00496AC6">
        <w:rPr>
          <w:rFonts w:hint="cs"/>
          <w:rtl/>
        </w:rPr>
        <w:t>ّ</w:t>
      </w:r>
      <w:r w:rsidR="00496AC6">
        <w:rPr>
          <w:rtl/>
        </w:rPr>
        <w:t>ا</w:t>
      </w:r>
      <w:r w:rsidR="00E3253D" w:rsidRPr="005D642E">
        <w:rPr>
          <w:rtl/>
        </w:rPr>
        <w:t>مة المجلسي أيضاً ، ثمّ قال : « أقول : ظهر ممّا نقلنا أنّه يجوز أن يقرأ بالوصل والقطع ، وعلى التقديرين اللام مكسور</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6 ، ص 2403 ( صلا ) ؛ </w:t>
      </w:r>
      <w:r w:rsidR="00E3253D" w:rsidRPr="002F4D34">
        <w:rPr>
          <w:rStyle w:val="libFootnoteBoldChar"/>
          <w:rtl/>
        </w:rPr>
        <w:t>مرآة العقول</w:t>
      </w:r>
      <w:r w:rsidR="00E3253D" w:rsidRPr="005D642E">
        <w:rPr>
          <w:rtl/>
        </w:rPr>
        <w:t xml:space="preserve"> ، ج 14 ، ص 75.</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3 ، ص 196 ، ح 452 ، معلّقاً عن الكليني. </w:t>
      </w:r>
      <w:r w:rsidR="00E3253D" w:rsidRPr="002F4D34">
        <w:rPr>
          <w:rStyle w:val="libFootnoteBoldChar"/>
          <w:rtl/>
        </w:rPr>
        <w:t>تفسير العيّاشي</w:t>
      </w:r>
      <w:r w:rsidR="00E3253D" w:rsidRPr="005D642E">
        <w:rPr>
          <w:rtl/>
        </w:rPr>
        <w:t xml:space="preserve"> ، ج 2 ، ص 101 ، ح 94 ، عن زرارة ، عن أبي جعفر </w:t>
      </w:r>
      <w:r w:rsidR="00E3253D" w:rsidRPr="00496AC6">
        <w:rPr>
          <w:rStyle w:val="libFootnoteAlaemChar"/>
          <w:rtl/>
        </w:rPr>
        <w:t>عليه‌السلام</w:t>
      </w:r>
      <w:r w:rsidR="00E3253D" w:rsidRPr="005D642E">
        <w:rPr>
          <w:rtl/>
        </w:rPr>
        <w:t xml:space="preserve"> ؛ </w:t>
      </w:r>
      <w:r w:rsidR="00E3253D" w:rsidRPr="002F4D34">
        <w:rPr>
          <w:rStyle w:val="libFootnoteBoldChar"/>
          <w:rtl/>
        </w:rPr>
        <w:t>تفسير القمّي</w:t>
      </w:r>
      <w:r w:rsidR="00E3253D" w:rsidRPr="005D642E">
        <w:rPr>
          <w:rtl/>
        </w:rPr>
        <w:t xml:space="preserve"> ، ج 1 ، ص 302 ، من دون الإسناد إلى المعصوم </w:t>
      </w:r>
      <w:r w:rsidR="00E3253D" w:rsidRPr="00496AC6">
        <w:rPr>
          <w:rStyle w:val="libFootnoteAlaemChar"/>
          <w:rtl/>
        </w:rPr>
        <w:t>عليه‌السلام</w:t>
      </w:r>
      <w:r w:rsidR="00E3253D" w:rsidRPr="005D642E">
        <w:rPr>
          <w:rtl/>
        </w:rPr>
        <w:t xml:space="preserve">. وفيهما مع اختلاف يسير </w:t>
      </w:r>
      <w:r w:rsidR="00496AC6">
        <w:rPr>
          <w:rFonts w:hint="cs"/>
          <w:rtl/>
        </w:rPr>
        <w:t>.</w:t>
      </w:r>
      <w:r w:rsidR="00E3253D" w:rsidRPr="002F4D34">
        <w:rPr>
          <w:rStyle w:val="libFootnoteBoldChar"/>
          <w:rtl/>
        </w:rPr>
        <w:t>الوافي</w:t>
      </w:r>
      <w:r w:rsidR="00E3253D" w:rsidRPr="005D642E">
        <w:rPr>
          <w:rtl/>
        </w:rPr>
        <w:t xml:space="preserve"> ، ج 24 ، ص 463 ، ح 24447 ؛ </w:t>
      </w:r>
      <w:r w:rsidR="00E3253D" w:rsidRPr="002F4D34">
        <w:rPr>
          <w:rStyle w:val="libFootnoteBoldChar"/>
          <w:rtl/>
        </w:rPr>
        <w:t>الوسائل</w:t>
      </w:r>
      <w:r w:rsidR="00E3253D" w:rsidRPr="005D642E">
        <w:rPr>
          <w:rtl/>
        </w:rPr>
        <w:t xml:space="preserve"> ، ج 3 ، ص 70 ، ح 3042 ؛ </w:t>
      </w:r>
      <w:r w:rsidR="00E3253D" w:rsidRPr="002F4D34">
        <w:rPr>
          <w:rStyle w:val="libFootnoteBoldChar"/>
          <w:rtl/>
        </w:rPr>
        <w:t>البحار</w:t>
      </w:r>
      <w:r w:rsidR="00E3253D" w:rsidRPr="005D642E">
        <w:rPr>
          <w:rtl/>
        </w:rPr>
        <w:t xml:space="preserve"> ، ج 22 ، ص 125 ، ح 97.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يَا فُلَانُ</w:t>
      </w:r>
      <w:r>
        <w:rPr>
          <w:rtl/>
          <w:lang w:bidi="fa-IR"/>
        </w:rPr>
        <w:t>؟</w:t>
      </w:r>
      <w:r w:rsidRPr="005D642E">
        <w:rPr>
          <w:rtl/>
          <w:lang w:bidi="fa-IR"/>
        </w:rPr>
        <w:t xml:space="preserve"> »</w:t>
      </w:r>
      <w:r>
        <w:rPr>
          <w:rtl/>
          <w:lang w:bidi="fa-IR"/>
        </w:rPr>
        <w:t xml:space="preserve"> </w:t>
      </w:r>
      <w:r w:rsidR="007642BC">
        <w:rPr>
          <w:rtl/>
          <w:lang w:bidi="fa-IR"/>
        </w:rPr>
        <w:t>-</w:t>
      </w:r>
      <w:r>
        <w:rPr>
          <w:rtl/>
          <w:lang w:bidi="fa-IR"/>
        </w:rPr>
        <w:t xml:space="preserve"> </w:t>
      </w:r>
      <w:r w:rsidRPr="005D642E">
        <w:rPr>
          <w:rtl/>
          <w:lang w:bidi="fa-IR"/>
        </w:rPr>
        <w:t xml:space="preserve">قَالَ </w:t>
      </w:r>
      <w:r w:rsidRPr="007C12DB">
        <w:rPr>
          <w:rStyle w:val="libFootnotenumChar"/>
          <w:rtl/>
        </w:rPr>
        <w:t>(1)</w:t>
      </w:r>
      <w:r>
        <w:rPr>
          <w:rtl/>
          <w:lang w:bidi="fa-IR"/>
        </w:rPr>
        <w:t xml:space="preserve"> </w:t>
      </w:r>
      <w:r w:rsidR="007642BC">
        <w:rPr>
          <w:rtl/>
          <w:lang w:bidi="fa-IR"/>
        </w:rPr>
        <w:t>-</w:t>
      </w:r>
      <w:r>
        <w:rPr>
          <w:rtl/>
          <w:lang w:bidi="fa-IR"/>
        </w:rPr>
        <w:t xml:space="preserve"> </w:t>
      </w:r>
      <w:r w:rsidRPr="005D642E">
        <w:rPr>
          <w:rtl/>
          <w:lang w:bidi="fa-IR"/>
        </w:rPr>
        <w:t xml:space="preserve">: « فَقَالَ لَهُ مَوْلَاهُ : أَفِرُّ مِنْ جَنَازَةِ هذَا الْمُنَافِقِ أَنْ أُصَلِّيَ عَلَيْهَا ، فَقَالَ لَهُ الْحُسَيْنُ </w:t>
      </w:r>
      <w:r w:rsidRPr="00AC51C5">
        <w:rPr>
          <w:rStyle w:val="libAlaemChar"/>
          <w:rtl/>
        </w:rPr>
        <w:t>عليه‌السلام</w:t>
      </w:r>
      <w:r w:rsidRPr="005D642E">
        <w:rPr>
          <w:rtl/>
          <w:lang w:bidi="fa-IR"/>
        </w:rPr>
        <w:t xml:space="preserve"> : انْظُرْ أَنْ تَقُومَ </w:t>
      </w:r>
      <w:r w:rsidRPr="007C12DB">
        <w:rPr>
          <w:rStyle w:val="libFootnotenumChar"/>
          <w:rtl/>
        </w:rPr>
        <w:t>(2)</w:t>
      </w:r>
      <w:r w:rsidRPr="005D642E">
        <w:rPr>
          <w:rtl/>
          <w:lang w:bidi="fa-IR"/>
        </w:rPr>
        <w:t xml:space="preserve"> عَلى يَمِينِي ، فَمَا تَسْمَعُنِي </w:t>
      </w:r>
      <w:r w:rsidRPr="007C12DB">
        <w:rPr>
          <w:rStyle w:val="libFootnotenumChar"/>
          <w:rtl/>
        </w:rPr>
        <w:t>(3)</w:t>
      </w:r>
      <w:r w:rsidRPr="005D642E">
        <w:rPr>
          <w:rtl/>
          <w:lang w:bidi="fa-IR"/>
        </w:rPr>
        <w:t xml:space="preserve"> أَقُولُ فَقُلْ مِثْلَهُ ، فَلَمَّا أَنْ كَبَّرَ عَلَيْهِ وَلِيُّهُ ، قَالَ الْحُسَيْنُ </w:t>
      </w:r>
      <w:r w:rsidRPr="00AC51C5">
        <w:rPr>
          <w:rStyle w:val="libAlaemChar"/>
          <w:rtl/>
        </w:rPr>
        <w:t>عليه‌السلام</w:t>
      </w:r>
      <w:r w:rsidRPr="005D642E">
        <w:rPr>
          <w:rtl/>
          <w:lang w:bidi="fa-IR"/>
        </w:rPr>
        <w:t xml:space="preserve"> : اللهُ أَكْبَرُ </w:t>
      </w:r>
      <w:r w:rsidRPr="007C12DB">
        <w:rPr>
          <w:rStyle w:val="libFootnotenumChar"/>
          <w:rtl/>
        </w:rPr>
        <w:t>(4)</w:t>
      </w:r>
      <w:r w:rsidRPr="005D642E">
        <w:rPr>
          <w:rtl/>
          <w:lang w:bidi="fa-IR"/>
        </w:rPr>
        <w:t xml:space="preserve"> ، الل</w:t>
      </w:r>
      <w:r w:rsidR="00496AC6">
        <w:rPr>
          <w:rFonts w:hint="cs"/>
          <w:rtl/>
          <w:lang w:bidi="fa-IR"/>
        </w:rPr>
        <w:t>َّ</w:t>
      </w:r>
      <w:r w:rsidRPr="005D642E">
        <w:rPr>
          <w:rtl/>
          <w:lang w:bidi="fa-IR"/>
        </w:rPr>
        <w:t xml:space="preserve">هُمَّ الْعَنْ فُلَاناً عَبْدَكَ أَلْفَ </w:t>
      </w:r>
      <w:r w:rsidRPr="007C12DB">
        <w:rPr>
          <w:rStyle w:val="libFootnotenumChar"/>
          <w:rtl/>
        </w:rPr>
        <w:t>(5)</w:t>
      </w:r>
      <w:r w:rsidRPr="005D642E">
        <w:rPr>
          <w:rtl/>
          <w:lang w:bidi="fa-IR"/>
        </w:rPr>
        <w:t xml:space="preserve"> لَعْنَةٍ مُؤْتَلِفَةٍ غَيْرِ مُخْتَلِفَةٍ ، الل</w:t>
      </w:r>
      <w:r w:rsidR="00496AC6">
        <w:rPr>
          <w:rFonts w:hint="cs"/>
          <w:rtl/>
          <w:lang w:bidi="fa-IR"/>
        </w:rPr>
        <w:t>َّ</w:t>
      </w:r>
      <w:r w:rsidRPr="005D642E">
        <w:rPr>
          <w:rtl/>
          <w:lang w:bidi="fa-IR"/>
        </w:rPr>
        <w:t xml:space="preserve">هُمَّ أَخْزِ عَبْدَكَ </w:t>
      </w:r>
      <w:r w:rsidRPr="007C12DB">
        <w:rPr>
          <w:rStyle w:val="libFootnotenumChar"/>
          <w:rtl/>
        </w:rPr>
        <w:t>(6)</w:t>
      </w:r>
      <w:r w:rsidRPr="005D642E">
        <w:rPr>
          <w:rtl/>
          <w:lang w:bidi="fa-IR"/>
        </w:rPr>
        <w:t xml:space="preserve"> فِي عِبَادِكَ وَبِلَادِكَ ، وَأَصْلِهِ حَرَّ نَارِكَ ، وَأَذِقْهُ </w:t>
      </w:r>
      <w:r w:rsidRPr="007C12DB">
        <w:rPr>
          <w:rStyle w:val="libFootnotenumChar"/>
          <w:rtl/>
        </w:rPr>
        <w:t>(7)</w:t>
      </w:r>
      <w:r w:rsidRPr="005D642E">
        <w:rPr>
          <w:rtl/>
          <w:lang w:bidi="fa-IR"/>
        </w:rPr>
        <w:t xml:space="preserve"> أَشَدَّ عَذَابِكَ ؛ فَإِنَّهُ كَانَ يَتَوَلّى </w:t>
      </w:r>
      <w:r w:rsidRPr="007C12DB">
        <w:rPr>
          <w:rStyle w:val="libFootnotenumChar"/>
          <w:rtl/>
        </w:rPr>
        <w:t>(8)</w:t>
      </w:r>
      <w:r w:rsidRPr="005D642E">
        <w:rPr>
          <w:rtl/>
          <w:lang w:bidi="fa-IR"/>
        </w:rPr>
        <w:t xml:space="preserve"> أَعْدَاءَكَ </w:t>
      </w:r>
      <w:r w:rsidRPr="007C12DB">
        <w:rPr>
          <w:rStyle w:val="libFootnotenumChar"/>
          <w:rtl/>
        </w:rPr>
        <w:t>(9)</w:t>
      </w:r>
      <w:r w:rsidRPr="005D642E">
        <w:rPr>
          <w:rtl/>
          <w:lang w:bidi="fa-IR"/>
        </w:rPr>
        <w:t xml:space="preserve"> ، وَيُعَادِي أَوْلِيَاءَكَ ، وَيُبْغِضُ أَهْلَ بَيْتِ نَبِيِّكَ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F5375C">
        <w:rPr>
          <w:rtl/>
        </w:rPr>
        <w:t>4525</w:t>
      </w:r>
      <w:r w:rsidRPr="00246318">
        <w:rPr>
          <w:rStyle w:val="libBold2Char"/>
          <w:rtl/>
        </w:rPr>
        <w:t xml:space="preserve"> / 3.</w:t>
      </w:r>
      <w:r w:rsidRPr="005D642E">
        <w:rPr>
          <w:rtl/>
          <w:lang w:bidi="fa-IR"/>
        </w:rPr>
        <w:t xml:space="preserve"> سَهْلٌ </w:t>
      </w:r>
      <w:r w:rsidRPr="007C12DB">
        <w:rPr>
          <w:rStyle w:val="libFootnotenumChar"/>
          <w:rtl/>
        </w:rPr>
        <w:t>(11)</w:t>
      </w:r>
      <w:r w:rsidRPr="005D642E">
        <w:rPr>
          <w:rtl/>
          <w:lang w:bidi="fa-IR"/>
        </w:rPr>
        <w:t xml:space="preserve"> ، عَنِ ابْنِ أَبِي نَجْرَانَ ، عَنْ صَفْوَانَ الْجَمَّالِ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مَاتَ رَجُلٌ مِنَ الْمُنَافِقِينَ ، فَخَرَجَ الْحُسَيْنُ </w:t>
      </w:r>
      <w:r w:rsidRPr="00AC51C5">
        <w:rPr>
          <w:rStyle w:val="libAlaemChar"/>
          <w:rtl/>
        </w:rPr>
        <w:t>عليه‌السلام</w:t>
      </w:r>
      <w:r w:rsidRPr="005D642E">
        <w:rPr>
          <w:rtl/>
          <w:lang w:bidi="fa-IR"/>
        </w:rPr>
        <w:t xml:space="preserve"> يَمْشِي ، فَلَقِيَ مَوْلًى لَهُ ، فَقَالَ لَهُ : إِلى </w:t>
      </w:r>
      <w:r w:rsidRPr="007C12DB">
        <w:rPr>
          <w:rStyle w:val="libFootnotenumChar"/>
          <w:rtl/>
        </w:rPr>
        <w:t>(12)</w:t>
      </w:r>
      <w:r w:rsidRPr="005D642E">
        <w:rPr>
          <w:rtl/>
          <w:lang w:bidi="fa-IR"/>
        </w:rPr>
        <w:t xml:space="preserve"> أَيْنَ تَذْهَبُ</w:t>
      </w:r>
      <w:r>
        <w:rPr>
          <w:rtl/>
          <w:lang w:bidi="fa-IR"/>
        </w:rPr>
        <w:t>؟</w:t>
      </w:r>
      <w:r w:rsidRPr="005D642E">
        <w:rPr>
          <w:rtl/>
          <w:lang w:bidi="fa-IR"/>
        </w:rPr>
        <w:t xml:space="preserve"> فَقَالَ </w:t>
      </w:r>
      <w:r w:rsidRPr="007C12DB">
        <w:rPr>
          <w:rStyle w:val="libFootnotenumChar"/>
          <w:rtl/>
        </w:rPr>
        <w:t>(13)</w:t>
      </w:r>
      <w:r w:rsidRPr="005D642E">
        <w:rPr>
          <w:rtl/>
          <w:lang w:bidi="fa-IR"/>
        </w:rPr>
        <w:t xml:space="preserve"> : أَفِرُّ مِنْ </w:t>
      </w:r>
      <w:r w:rsidRPr="007C12DB">
        <w:rPr>
          <w:rStyle w:val="libFootnotenumChar"/>
          <w:rtl/>
        </w:rPr>
        <w:t>(14)</w:t>
      </w:r>
      <w:r w:rsidRPr="005D642E">
        <w:rPr>
          <w:rtl/>
          <w:lang w:bidi="fa-IR"/>
        </w:rPr>
        <w:t xml:space="preserve"> جَنَازَةِ هذَا الْمُنَافِقِ أَنْ أُصَلِّيَ عَلَيْهِ ، فَقَالَ لَهُ </w:t>
      </w:r>
      <w:r w:rsidRPr="007C12DB">
        <w:rPr>
          <w:rStyle w:val="libFootnotenumChar"/>
          <w:rtl/>
        </w:rPr>
        <w:t>(15)</w:t>
      </w:r>
      <w:r w:rsidRPr="005D642E">
        <w:rPr>
          <w:rtl/>
          <w:lang w:bidi="fa-IR"/>
        </w:rPr>
        <w:t xml:space="preserve"> الْحُسَيْنُ </w:t>
      </w:r>
      <w:r w:rsidRPr="00AC51C5">
        <w:rPr>
          <w:rStyle w:val="libAlaemChar"/>
          <w:rtl/>
        </w:rPr>
        <w:t>عليه‌السلام</w:t>
      </w:r>
      <w:r w:rsidRPr="005D642E">
        <w:rPr>
          <w:rtl/>
          <w:lang w:bidi="fa-IR"/>
        </w:rPr>
        <w:t xml:space="preserve"> : قُمْ إِلى جَنْبِي ، فَمَا سَمِعْتَنِي أَقُولُ فَقُلْ مِثْلَهُ ، قَالَ : فَرَفَعَ يَدَيْهِ </w:t>
      </w:r>
      <w:r w:rsidRPr="007C12DB">
        <w:rPr>
          <w:rStyle w:val="libFootnotenumChar"/>
          <w:rtl/>
        </w:rPr>
        <w:t>(16)</w:t>
      </w:r>
      <w:r w:rsidRPr="005D642E">
        <w:rPr>
          <w:rtl/>
          <w:lang w:bidi="fa-IR"/>
        </w:rPr>
        <w:t xml:space="preserve"> ، فَقَالَ </w:t>
      </w:r>
      <w:r w:rsidRPr="007C12DB">
        <w:rPr>
          <w:rStyle w:val="libFootnotenumChar"/>
          <w:rtl/>
        </w:rPr>
        <w:t>(17)</w:t>
      </w:r>
      <w:r w:rsidRPr="005D642E">
        <w:rPr>
          <w:rtl/>
          <w:lang w:bidi="fa-IR"/>
        </w:rPr>
        <w:t xml:space="preserve"> : الل</w:t>
      </w:r>
      <w:r w:rsidR="00496AC6">
        <w:rPr>
          <w:rFonts w:hint="cs"/>
          <w:rtl/>
          <w:lang w:bidi="fa-IR"/>
        </w:rPr>
        <w:t>َّ</w:t>
      </w:r>
      <w:r w:rsidRPr="005D642E">
        <w:rPr>
          <w:rtl/>
          <w:lang w:bidi="fa-IR"/>
        </w:rPr>
        <w:t>هُمَّ‌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بخ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496AC6">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الوافي</w:t>
      </w:r>
      <w:r w:rsidR="00E3253D" w:rsidRPr="005D642E">
        <w:rPr>
          <w:rtl/>
        </w:rPr>
        <w:t xml:space="preserve"> : « انظر أن تقوم ، أي اجتهد في أن يتيسّر لك القيام</w:t>
      </w:r>
      <w:r w:rsidR="00E3253D">
        <w:rPr>
          <w:rtl/>
        </w:rPr>
        <w:t xml:space="preserve"> ».</w:t>
      </w:r>
      <w:r w:rsidR="00E3253D" w:rsidRPr="005D642E">
        <w:rPr>
          <w:rtl/>
        </w:rPr>
        <w:t xml:space="preserve"> وفي </w:t>
      </w:r>
      <w:r w:rsidR="00E3253D" w:rsidRPr="002F4D34">
        <w:rPr>
          <w:rStyle w:val="libFootnoteBoldChar"/>
          <w:rtl/>
        </w:rPr>
        <w:t>المرآة</w:t>
      </w:r>
      <w:r w:rsidR="00E3253D" w:rsidRPr="005D642E">
        <w:rPr>
          <w:rtl/>
        </w:rPr>
        <w:t xml:space="preserve"> : « قوله </w:t>
      </w:r>
      <w:r w:rsidR="00E3253D" w:rsidRPr="00496AC6">
        <w:rPr>
          <w:rStyle w:val="libFootnoteAlaemChar"/>
          <w:rtl/>
        </w:rPr>
        <w:t>عليه‌السلام</w:t>
      </w:r>
      <w:r w:rsidR="00E3253D" w:rsidRPr="005D642E">
        <w:rPr>
          <w:rtl/>
        </w:rPr>
        <w:t xml:space="preserve"> : انظر ، كناية عن التأمّل‌</w:t>
      </w:r>
      <w:r w:rsidR="00496AC6">
        <w:rPr>
          <w:rFonts w:hint="cs"/>
          <w:rtl/>
        </w:rPr>
        <w:t xml:space="preserve"> </w:t>
      </w:r>
      <w:r w:rsidR="00E3253D" w:rsidRPr="005D642E">
        <w:rPr>
          <w:rtl/>
        </w:rPr>
        <w:t>والتدبير في ذلك</w:t>
      </w:r>
      <w:r w:rsidR="00E3253D">
        <w:rPr>
          <w:rtl/>
        </w:rPr>
        <w:t xml:space="preserve"> ».</w:t>
      </w:r>
      <w:r w:rsidR="00312BD7">
        <w:rPr>
          <w:rFonts w:hint="cs"/>
          <w:rtl/>
        </w:rPr>
        <w:t xml:space="preserve">                        </w:t>
      </w:r>
      <w:r w:rsidR="00496AC6">
        <w:rPr>
          <w:rFonts w:hint="cs"/>
          <w:rtl/>
        </w:rPr>
        <w:t xml:space="preserve">     </w:t>
      </w:r>
      <w:r w:rsidRPr="0042621E">
        <w:rPr>
          <w:rStyle w:val="libFootnote0Char"/>
          <w:rtl/>
        </w:rPr>
        <w:t>(3).</w:t>
      </w:r>
      <w:r w:rsidR="00E3253D" w:rsidRPr="005D642E">
        <w:rPr>
          <w:rtl/>
        </w:rPr>
        <w:t xml:space="preserve"> في التهذيب : + « أن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96AC6" w:rsidTr="00496AC6">
        <w:tc>
          <w:tcPr>
            <w:tcW w:w="4006" w:type="dxa"/>
          </w:tcPr>
          <w:p w:rsidR="00496AC6" w:rsidRDefault="00496AC6" w:rsidP="00E3253D">
            <w:pPr>
              <w:pStyle w:val="libFootnote0"/>
              <w:rPr>
                <w:rStyle w:val="libFootnote0Char"/>
                <w:rtl/>
              </w:rPr>
            </w:pPr>
            <w:r w:rsidRPr="0042621E">
              <w:rPr>
                <w:rStyle w:val="libFootnote0Char"/>
                <w:rtl/>
              </w:rPr>
              <w:t>(4).</w:t>
            </w:r>
            <w:r w:rsidRPr="005D642E">
              <w:rPr>
                <w:rtl/>
              </w:rPr>
              <w:t xml:space="preserve"> في التهذيب :</w:t>
            </w:r>
            <w:r>
              <w:rPr>
                <w:rtl/>
              </w:rPr>
              <w:t xml:space="preserve"> - </w:t>
            </w:r>
            <w:r w:rsidRPr="005D642E">
              <w:rPr>
                <w:rtl/>
              </w:rPr>
              <w:t>« الله أكبر</w:t>
            </w:r>
            <w:r>
              <w:rPr>
                <w:rtl/>
              </w:rPr>
              <w:t xml:space="preserve"> ».</w:t>
            </w:r>
          </w:p>
        </w:tc>
        <w:tc>
          <w:tcPr>
            <w:tcW w:w="4006" w:type="dxa"/>
          </w:tcPr>
          <w:p w:rsidR="00496AC6" w:rsidRDefault="00496AC6" w:rsidP="00E3253D">
            <w:pPr>
              <w:pStyle w:val="libFootnote0"/>
              <w:rPr>
                <w:rStyle w:val="libFootnote0Char"/>
                <w:rtl/>
              </w:rPr>
            </w:pPr>
            <w:r w:rsidRPr="0042621E">
              <w:rPr>
                <w:rStyle w:val="libFootnote0Char"/>
                <w:rtl/>
              </w:rPr>
              <w:t>(5).</w:t>
            </w:r>
            <w:r w:rsidRPr="005D642E">
              <w:rPr>
                <w:rtl/>
              </w:rPr>
              <w:t xml:space="preserve"> في « جس » : + « ألف</w:t>
            </w:r>
            <w:r>
              <w:rPr>
                <w:rtl/>
              </w:rPr>
              <w:t xml:space="preserve"> ».</w:t>
            </w:r>
          </w:p>
        </w:tc>
      </w:tr>
      <w:tr w:rsidR="00496AC6" w:rsidTr="00496AC6">
        <w:tc>
          <w:tcPr>
            <w:tcW w:w="4006" w:type="dxa"/>
          </w:tcPr>
          <w:p w:rsidR="00496AC6" w:rsidRDefault="00496AC6" w:rsidP="00E3253D">
            <w:pPr>
              <w:pStyle w:val="libFootnote0"/>
              <w:rPr>
                <w:rStyle w:val="libFootnote0Char"/>
                <w:rtl/>
              </w:rPr>
            </w:pPr>
            <w:r w:rsidRPr="0042621E">
              <w:rPr>
                <w:rStyle w:val="libFootnote0Char"/>
                <w:rtl/>
              </w:rPr>
              <w:t>(6).</w:t>
            </w:r>
            <w:r w:rsidRPr="005D642E">
              <w:rPr>
                <w:rtl/>
              </w:rPr>
              <w:t xml:space="preserve"> في « بخ » : + « فلاناً</w:t>
            </w:r>
            <w:r>
              <w:rPr>
                <w:rtl/>
              </w:rPr>
              <w:t xml:space="preserve"> ».</w:t>
            </w:r>
          </w:p>
        </w:tc>
        <w:tc>
          <w:tcPr>
            <w:tcW w:w="4006" w:type="dxa"/>
          </w:tcPr>
          <w:p w:rsidR="00496AC6" w:rsidRDefault="00496AC6" w:rsidP="00E3253D">
            <w:pPr>
              <w:pStyle w:val="libFootnote0"/>
              <w:rPr>
                <w:rStyle w:val="libFootnote0Char"/>
                <w:rtl/>
              </w:rPr>
            </w:pPr>
            <w:r w:rsidRPr="0042621E">
              <w:rPr>
                <w:rStyle w:val="libFootnote0Char"/>
                <w:rtl/>
              </w:rPr>
              <w:t>(7).</w:t>
            </w:r>
            <w:r w:rsidRPr="005D642E">
              <w:rPr>
                <w:rtl/>
              </w:rPr>
              <w:t xml:space="preserve"> في الوافي : « الل</w:t>
            </w:r>
            <w:r>
              <w:rPr>
                <w:rFonts w:hint="cs"/>
                <w:rtl/>
              </w:rPr>
              <w:t>ّ</w:t>
            </w:r>
            <w:r w:rsidRPr="005D642E">
              <w:rPr>
                <w:rtl/>
              </w:rPr>
              <w:t>همّ أذقه » بدل « وأذقه</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جح » : « يتوالى</w:t>
      </w:r>
      <w:r w:rsidR="00E3253D">
        <w:rPr>
          <w:rtl/>
        </w:rPr>
        <w:t xml:space="preserve"> ».</w:t>
      </w:r>
      <w:r w:rsidR="00E3253D" w:rsidRPr="005D642E">
        <w:rPr>
          <w:rtl/>
        </w:rPr>
        <w:t xml:space="preserve"> وفي الوافي : « يوالي</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727CC2">
        <w:rPr>
          <w:rStyle w:val="libFootnoteAlaemChar"/>
          <w:rtl/>
        </w:rPr>
        <w:t>عليه‌السلام</w:t>
      </w:r>
      <w:r w:rsidR="00E3253D" w:rsidRPr="005D642E">
        <w:rPr>
          <w:rtl/>
        </w:rPr>
        <w:t xml:space="preserve"> : فإنّه كان يتولّى ، أي كان يتّخذ أعداءك أولياءه وأحبّاءه ويعتقد أنّهم أئمّته وأولى بأمره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3 ، ص 197 ، ح 453 ، معلّقاً عن الكليني </w:t>
      </w:r>
      <w:r w:rsidR="00727CC2">
        <w:rPr>
          <w:rFonts w:hint="cs"/>
          <w:rtl/>
        </w:rPr>
        <w:t>.</w:t>
      </w:r>
      <w:r w:rsidR="00E3253D" w:rsidRPr="002F4D34">
        <w:rPr>
          <w:rStyle w:val="libFootnoteBoldChar"/>
          <w:rtl/>
        </w:rPr>
        <w:t>الوافي</w:t>
      </w:r>
      <w:r w:rsidR="00E3253D" w:rsidRPr="005D642E">
        <w:rPr>
          <w:rtl/>
        </w:rPr>
        <w:t xml:space="preserve"> ، ج 24 ، ص 464 ، ح 24448 ؛ </w:t>
      </w:r>
      <w:r w:rsidR="00E3253D" w:rsidRPr="002F4D34">
        <w:rPr>
          <w:rStyle w:val="libFootnoteBoldChar"/>
          <w:rtl/>
        </w:rPr>
        <w:t>الوسائل</w:t>
      </w:r>
      <w:r w:rsidR="00E3253D" w:rsidRPr="005D642E">
        <w:rPr>
          <w:rtl/>
        </w:rPr>
        <w:t xml:space="preserve"> ، ج 3 ، ص 71 ، ح 3044 ؛ </w:t>
      </w:r>
      <w:r w:rsidR="00E3253D" w:rsidRPr="002F4D34">
        <w:rPr>
          <w:rStyle w:val="libFootnoteBoldChar"/>
          <w:rtl/>
        </w:rPr>
        <w:t>البحار</w:t>
      </w:r>
      <w:r w:rsidR="00E3253D" w:rsidRPr="005D642E">
        <w:rPr>
          <w:rtl/>
        </w:rPr>
        <w:t xml:space="preserve"> ، ج 44 ، ص 202 ، ح 20.</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 + « بن زياد</w:t>
      </w:r>
      <w:r w:rsidR="00E3253D">
        <w:rPr>
          <w:rtl/>
        </w:rPr>
        <w:t xml:space="preserve"> ».</w:t>
      </w:r>
      <w:r w:rsidR="00E3253D" w:rsidRPr="005D642E">
        <w:rPr>
          <w:rtl/>
        </w:rPr>
        <w:t xml:space="preserve"> ثمّ إنّ السند معلّق على سابقه. ويروي عن سهل ، عدّة من أصحابنا.</w:t>
      </w:r>
    </w:p>
    <w:tbl>
      <w:tblPr>
        <w:tblStyle w:val="TableGrid"/>
        <w:bidiVisual/>
        <w:tblW w:w="0" w:type="auto"/>
        <w:tblLook w:val="04A0" w:firstRow="1" w:lastRow="0" w:firstColumn="1" w:lastColumn="0" w:noHBand="0" w:noVBand="1"/>
      </w:tblPr>
      <w:tblGrid>
        <w:gridCol w:w="4006"/>
        <w:gridCol w:w="4006"/>
      </w:tblGrid>
      <w:tr w:rsidR="00727CC2" w:rsidTr="00727CC2">
        <w:tc>
          <w:tcPr>
            <w:tcW w:w="4006" w:type="dxa"/>
          </w:tcPr>
          <w:p w:rsidR="00727CC2" w:rsidRDefault="00727CC2" w:rsidP="00E3253D">
            <w:pPr>
              <w:pStyle w:val="libFootnote0"/>
              <w:rPr>
                <w:rStyle w:val="libFootnote0Char"/>
                <w:rtl/>
              </w:rPr>
            </w:pPr>
            <w:r w:rsidRPr="0042621E">
              <w:rPr>
                <w:rStyle w:val="libFootnote0Char"/>
                <w:rtl/>
              </w:rPr>
              <w:t>(12).</w:t>
            </w:r>
            <w:r w:rsidRPr="005D642E">
              <w:rPr>
                <w:rtl/>
              </w:rPr>
              <w:t xml:space="preserve"> في « جن » :</w:t>
            </w:r>
            <w:r>
              <w:rPr>
                <w:rtl/>
              </w:rPr>
              <w:t xml:space="preserve"> - </w:t>
            </w:r>
            <w:r w:rsidRPr="005D642E">
              <w:rPr>
                <w:rtl/>
              </w:rPr>
              <w:t>« إلى</w:t>
            </w:r>
            <w:r>
              <w:rPr>
                <w:rtl/>
              </w:rPr>
              <w:t xml:space="preserve"> ».</w:t>
            </w:r>
          </w:p>
        </w:tc>
        <w:tc>
          <w:tcPr>
            <w:tcW w:w="4006" w:type="dxa"/>
          </w:tcPr>
          <w:p w:rsidR="00727CC2" w:rsidRDefault="00727CC2" w:rsidP="00E3253D">
            <w:pPr>
              <w:pStyle w:val="libFootnote0"/>
              <w:rPr>
                <w:rStyle w:val="libFootnote0Char"/>
                <w:rtl/>
              </w:rPr>
            </w:pPr>
            <w:r w:rsidRPr="0042621E">
              <w:rPr>
                <w:rStyle w:val="libFootnote0Char"/>
                <w:rtl/>
              </w:rPr>
              <w:t>(13).</w:t>
            </w:r>
            <w:r w:rsidRPr="005D642E">
              <w:rPr>
                <w:rtl/>
              </w:rPr>
              <w:t xml:space="preserve"> في « بخ ، بف » : « قال</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حاشية « بث » : « عن</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ظ ، غ ، ى ، بث ، بس ، بف ، جح ، جس ، جن » </w:t>
      </w:r>
      <w:r w:rsidR="000D749A" w:rsidRPr="000D749A">
        <w:rPr>
          <w:rStyle w:val="libFootnoteBoldChar"/>
          <w:rtl/>
        </w:rPr>
        <w:t>والوافي</w:t>
      </w:r>
      <w:r w:rsidR="00E3253D" w:rsidRPr="005D642E">
        <w:rPr>
          <w:rtl/>
        </w:rPr>
        <w:t xml:space="preserve"> </w:t>
      </w:r>
      <w:r w:rsidR="00E3253D" w:rsidRPr="003B3913">
        <w:rPr>
          <w:rStyle w:val="libFootnoteBoldChar"/>
          <w:rtl/>
        </w:rPr>
        <w:t>وقرب الإسناد</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27CC2" w:rsidTr="00727CC2">
        <w:tc>
          <w:tcPr>
            <w:tcW w:w="4006" w:type="dxa"/>
          </w:tcPr>
          <w:p w:rsidR="00727CC2" w:rsidRDefault="00727CC2" w:rsidP="00E3253D">
            <w:pPr>
              <w:pStyle w:val="libFootnote0"/>
              <w:rPr>
                <w:rtl/>
              </w:rPr>
            </w:pPr>
            <w:r w:rsidRPr="005D642E">
              <w:rPr>
                <w:rtl/>
              </w:rPr>
              <w:t>(1</w:t>
            </w:r>
            <w:r>
              <w:rPr>
                <w:rtl/>
              </w:rPr>
              <w:t>6)</w:t>
            </w:r>
            <w:r w:rsidRPr="005D642E">
              <w:rPr>
                <w:rtl/>
              </w:rPr>
              <w:t xml:space="preserve"> في « بخ ، بف » : « يده</w:t>
            </w:r>
            <w:r>
              <w:rPr>
                <w:rtl/>
              </w:rPr>
              <w:t xml:space="preserve"> ».</w:t>
            </w:r>
          </w:p>
        </w:tc>
        <w:tc>
          <w:tcPr>
            <w:tcW w:w="4006" w:type="dxa"/>
          </w:tcPr>
          <w:p w:rsidR="00727CC2" w:rsidRDefault="00727CC2" w:rsidP="00E3253D">
            <w:pPr>
              <w:pStyle w:val="libFootnote0"/>
              <w:rPr>
                <w:rtl/>
                <w:lang w:bidi="fa-IR"/>
              </w:rPr>
            </w:pPr>
            <w:r w:rsidRPr="005D642E">
              <w:rPr>
                <w:rtl/>
              </w:rPr>
              <w:t>(1</w:t>
            </w:r>
            <w:r>
              <w:rPr>
                <w:rtl/>
              </w:rPr>
              <w:t>7)</w:t>
            </w:r>
            <w:r w:rsidRPr="005D642E">
              <w:rPr>
                <w:rtl/>
              </w:rPr>
              <w:t xml:space="preserve"> في « بف </w:t>
            </w:r>
            <w:r w:rsidRPr="00727CC2">
              <w:rPr>
                <w:rtl/>
              </w:rPr>
              <w:t>» وقرب الإسناد :</w:t>
            </w:r>
            <w:r w:rsidRPr="005D642E">
              <w:rPr>
                <w:rtl/>
              </w:rPr>
              <w:t xml:space="preserve"> « وقال</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أَخْزِ </w:t>
      </w:r>
      <w:r w:rsidRPr="007C12DB">
        <w:rPr>
          <w:rStyle w:val="libFootnotenumChar"/>
          <w:rtl/>
        </w:rPr>
        <w:t>(1)</w:t>
      </w:r>
      <w:r w:rsidRPr="005D642E">
        <w:rPr>
          <w:rtl/>
          <w:lang w:bidi="fa-IR"/>
        </w:rPr>
        <w:t xml:space="preserve"> عَبْدَكَ فِي عِبَادِكَ وَبِلَادِكَ ، الل</w:t>
      </w:r>
      <w:r w:rsidR="00727CC2">
        <w:rPr>
          <w:rFonts w:hint="cs"/>
          <w:rtl/>
          <w:lang w:bidi="fa-IR"/>
        </w:rPr>
        <w:t>َّ</w:t>
      </w:r>
      <w:r w:rsidRPr="005D642E">
        <w:rPr>
          <w:rtl/>
          <w:lang w:bidi="fa-IR"/>
        </w:rPr>
        <w:t>هُمَّ أَصْلِهِ حَرَّ نَارِكَ ، الل</w:t>
      </w:r>
      <w:r w:rsidR="00727CC2">
        <w:rPr>
          <w:rFonts w:hint="cs"/>
          <w:rtl/>
          <w:lang w:bidi="fa-IR"/>
        </w:rPr>
        <w:t>َّ</w:t>
      </w:r>
      <w:r w:rsidRPr="005D642E">
        <w:rPr>
          <w:rtl/>
          <w:lang w:bidi="fa-IR"/>
        </w:rPr>
        <w:t xml:space="preserve">هُمَّ أَذِقْهُ أَشَدَّ </w:t>
      </w:r>
      <w:r w:rsidRPr="007C12DB">
        <w:rPr>
          <w:rStyle w:val="libFootnotenumChar"/>
          <w:rtl/>
        </w:rPr>
        <w:t>(2)</w:t>
      </w:r>
      <w:r w:rsidRPr="005D642E">
        <w:rPr>
          <w:rtl/>
          <w:lang w:bidi="fa-IR"/>
        </w:rPr>
        <w:t xml:space="preserve"> عَذَابِكَ ؛ فَإِنَّهُ كَانَ يَتَوَلّى </w:t>
      </w:r>
      <w:r w:rsidRPr="007C12DB">
        <w:rPr>
          <w:rStyle w:val="libFootnotenumChar"/>
          <w:rtl/>
        </w:rPr>
        <w:t>(3)</w:t>
      </w:r>
      <w:r w:rsidRPr="005D642E">
        <w:rPr>
          <w:rtl/>
          <w:lang w:bidi="fa-IR"/>
        </w:rPr>
        <w:t xml:space="preserve"> أَعْدَاءَكَ ، وَيُعَادِي أَوْلِيَاءَكَ ، وَيُبْغِضُ أَهْلَ بَيْتِ نَبِيِّكَ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F5375C">
        <w:rPr>
          <w:rtl/>
        </w:rPr>
        <w:t>4526</w:t>
      </w:r>
      <w:r w:rsidRPr="00246318">
        <w:rPr>
          <w:rStyle w:val="libBold2Char"/>
          <w:rtl/>
        </w:rPr>
        <w:t xml:space="preserve"> / 4.</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0042621E" w:rsidRPr="0042621E">
        <w:rPr>
          <w:rStyle w:val="libAlaemChar"/>
          <w:rtl/>
        </w:rPr>
        <w:t>صلى‌الله‌عليه‌وآله</w:t>
      </w:r>
      <w:r w:rsidRPr="005D642E">
        <w:rPr>
          <w:rtl/>
          <w:lang w:bidi="fa-IR"/>
        </w:rPr>
        <w:t xml:space="preserve"> ، قَالَ : « إِذَا صَلَّيْتَ عَلى عَدُوِّ اللهِ </w:t>
      </w:r>
      <w:r w:rsidRPr="007C12DB">
        <w:rPr>
          <w:rStyle w:val="libFootnotenumChar"/>
          <w:rtl/>
        </w:rPr>
        <w:t>(5)</w:t>
      </w:r>
      <w:r>
        <w:rPr>
          <w:rtl/>
          <w:lang w:bidi="fa-IR"/>
        </w:rPr>
        <w:t xml:space="preserve"> ، فَقُلِ : "</w:t>
      </w:r>
      <w:r w:rsidRPr="005D642E">
        <w:rPr>
          <w:rtl/>
          <w:lang w:bidi="fa-IR"/>
        </w:rPr>
        <w:t>الل</w:t>
      </w:r>
      <w:r w:rsidR="00727CC2">
        <w:rPr>
          <w:rFonts w:hint="cs"/>
          <w:rtl/>
          <w:lang w:bidi="fa-IR"/>
        </w:rPr>
        <w:t>َّ</w:t>
      </w:r>
      <w:r w:rsidRPr="005D642E">
        <w:rPr>
          <w:rtl/>
          <w:lang w:bidi="fa-IR"/>
        </w:rPr>
        <w:t xml:space="preserve">هُمَّ ، إِنَّ فُلَاناً لَا نَعْلَمُ </w:t>
      </w:r>
      <w:r w:rsidRPr="007C12DB">
        <w:rPr>
          <w:rStyle w:val="libFootnotenumChar"/>
          <w:rtl/>
        </w:rPr>
        <w:t>(6)</w:t>
      </w:r>
      <w:r w:rsidRPr="005D642E">
        <w:rPr>
          <w:rtl/>
          <w:lang w:bidi="fa-IR"/>
        </w:rPr>
        <w:t xml:space="preserve"> مِنْهُ </w:t>
      </w:r>
      <w:r w:rsidRPr="007C12DB">
        <w:rPr>
          <w:rStyle w:val="libFootnotenumChar"/>
          <w:rtl/>
        </w:rPr>
        <w:t>(7)</w:t>
      </w:r>
      <w:r w:rsidR="00727CC2">
        <w:rPr>
          <w:rtl/>
          <w:lang w:bidi="fa-IR"/>
        </w:rPr>
        <w:t xml:space="preserve"> إِل</w:t>
      </w:r>
      <w:r w:rsidR="00727CC2">
        <w:rPr>
          <w:rFonts w:hint="cs"/>
          <w:rtl/>
          <w:lang w:bidi="fa-IR"/>
        </w:rPr>
        <w:t>َّ</w:t>
      </w:r>
      <w:r w:rsidR="00727CC2">
        <w:rPr>
          <w:rtl/>
          <w:lang w:bidi="fa-IR"/>
        </w:rPr>
        <w:t>ا</w:t>
      </w:r>
      <w:r w:rsidRPr="005D642E">
        <w:rPr>
          <w:rtl/>
          <w:lang w:bidi="fa-IR"/>
        </w:rPr>
        <w:t xml:space="preserve"> أَنَّهُ عَدُوٌّ لَكَ وَلِرَسُولِكَ ، الل</w:t>
      </w:r>
      <w:r w:rsidR="00727CC2">
        <w:rPr>
          <w:rFonts w:hint="cs"/>
          <w:rtl/>
          <w:lang w:bidi="fa-IR"/>
        </w:rPr>
        <w:t>َّ</w:t>
      </w:r>
      <w:r w:rsidRPr="005D642E">
        <w:rPr>
          <w:rtl/>
          <w:lang w:bidi="fa-IR"/>
        </w:rPr>
        <w:t xml:space="preserve">هُمَّ فَاحْشُ </w:t>
      </w:r>
      <w:r w:rsidRPr="007C12DB">
        <w:rPr>
          <w:rStyle w:val="libFootnotenumChar"/>
          <w:rtl/>
        </w:rPr>
        <w:t>(8)</w:t>
      </w:r>
      <w:r w:rsidRPr="005D642E">
        <w:rPr>
          <w:rtl/>
          <w:lang w:bidi="fa-IR"/>
        </w:rPr>
        <w:t xml:space="preserve"> قَبْرَهُ نَاراً ، وَاحْشُ جَوْفَهُ نَاراً ، وَعَجِّلْ بِهِ إِلَى النَّارِ ؛ فَإِنَّهُ كَانَ يَتَوَلّى أَعْدَاءَكَ ، وَيُعَادِي أَوْلِيَاءَكَ ، وَيُبْغِضُ أَهْلَ بَيْتِ نَبِيِّكَ ؛ الل</w:t>
      </w:r>
      <w:r w:rsidR="00727CC2">
        <w:rPr>
          <w:rFonts w:hint="cs"/>
          <w:rtl/>
          <w:lang w:bidi="fa-IR"/>
        </w:rPr>
        <w:t>َّ</w:t>
      </w:r>
      <w:r w:rsidRPr="005D642E">
        <w:rPr>
          <w:rtl/>
          <w:lang w:bidi="fa-IR"/>
        </w:rPr>
        <w:t>هُمَّ ضَيِّقْ عَلَيْهِ قَبْرَهُ" ، فَإِذَا رُفِعَ فَقُلِ : الل</w:t>
      </w:r>
      <w:r w:rsidR="00727CC2">
        <w:rPr>
          <w:rFonts w:hint="cs"/>
          <w:rtl/>
          <w:lang w:bidi="fa-IR"/>
        </w:rPr>
        <w:t>َّ</w:t>
      </w:r>
      <w:r w:rsidRPr="005D642E">
        <w:rPr>
          <w:rtl/>
          <w:lang w:bidi="fa-IR"/>
        </w:rPr>
        <w:t>هُمَّ لَاتَرْفَعْهُ وَلَاتُزَكِّهِ</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Default="00E3253D" w:rsidP="00E3253D">
      <w:pPr>
        <w:pStyle w:val="libNormal"/>
        <w:rPr>
          <w:rtl/>
          <w:lang w:bidi="fa-IR"/>
        </w:rPr>
      </w:pPr>
      <w:r w:rsidRPr="00F5375C">
        <w:rPr>
          <w:rtl/>
        </w:rPr>
        <w:t>4527</w:t>
      </w:r>
      <w:r w:rsidRPr="00246318">
        <w:rPr>
          <w:rStyle w:val="libBold2Char"/>
          <w:rtl/>
        </w:rPr>
        <w:t xml:space="preserve"> / 5.</w:t>
      </w:r>
      <w:r w:rsidRPr="005D642E">
        <w:rPr>
          <w:rtl/>
          <w:lang w:bidi="fa-IR"/>
        </w:rPr>
        <w:t xml:space="preserve"> عَلِيُّ بْنُ إِبْرَاهِيمَ ، عَنْ أَبِيهِ ، عَنْ حَمَّادِ بْنِ عِيسى ، عَنْ حَرِيزٍ ، عَنْ مُحَمَّدِ بْنِ مُسْلِمٍ :</w:t>
      </w:r>
    </w:p>
    <w:p w:rsidR="00E3253D" w:rsidRPr="005D642E" w:rsidRDefault="00E3253D" w:rsidP="00E3253D">
      <w:pPr>
        <w:pStyle w:val="libNormal"/>
        <w:rPr>
          <w:rtl/>
          <w:lang w:bidi="fa-IR"/>
        </w:rPr>
      </w:pPr>
      <w:r w:rsidRPr="005D642E">
        <w:rPr>
          <w:rtl/>
          <w:lang w:bidi="fa-IR"/>
        </w:rPr>
        <w:t xml:space="preserve">عَنْ أَحَدِهِمَا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w:t>
      </w:r>
      <w:r w:rsidRPr="00AC51C5">
        <w:rPr>
          <w:rStyle w:val="libAlaemChar"/>
          <w:rtl/>
        </w:rPr>
        <w:t>عليهما‌السلام</w:t>
      </w:r>
      <w:r w:rsidRPr="005D642E">
        <w:rPr>
          <w:rtl/>
          <w:lang w:bidi="fa-IR"/>
        </w:rPr>
        <w:t xml:space="preserve"> ، قَالَ : « إِنْ كَانَ جَاحِداً لِلْحَقِّ ، فَقُلِ : الل</w:t>
      </w:r>
      <w:r w:rsidR="00727CC2">
        <w:rPr>
          <w:rFonts w:hint="cs"/>
          <w:rtl/>
          <w:lang w:bidi="fa-IR"/>
        </w:rPr>
        <w:t>َّ</w:t>
      </w:r>
      <w:r w:rsidRPr="005D642E">
        <w:rPr>
          <w:rtl/>
          <w:lang w:bidi="fa-IR"/>
        </w:rPr>
        <w:t>هُمَّ امْلَأْ جَوْفَهُ نَاراً ، وَقَبْرَهُ‌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727CC2">
      <w:pPr>
        <w:pStyle w:val="libFootnote0"/>
        <w:rPr>
          <w:rtl/>
          <w:lang w:bidi="fa-IR"/>
        </w:rPr>
      </w:pPr>
      <w:r w:rsidRPr="0042621E">
        <w:rPr>
          <w:rStyle w:val="libFootnote0Char"/>
          <w:rtl/>
        </w:rPr>
        <w:t>(1).</w:t>
      </w:r>
      <w:r w:rsidR="00E3253D">
        <w:rPr>
          <w:rtl/>
        </w:rPr>
        <w:t xml:space="preserve"> </w:t>
      </w:r>
      <w:r w:rsidR="00E3253D" w:rsidRPr="005D642E">
        <w:rPr>
          <w:rtl/>
        </w:rPr>
        <w:t>قال الجوهري : « خَزِيَ بالكسر يَخْزى خِزْياً ، أي ذلّ وهان. وقال ابن السكّيت : وقع في بليّة ، وأخزاه الله</w:t>
      </w:r>
      <w:r w:rsidR="00E3253D">
        <w:rPr>
          <w:rtl/>
        </w:rPr>
        <w:t xml:space="preserve"> ».</w:t>
      </w:r>
      <w:r w:rsidR="00E3253D" w:rsidRPr="005D642E">
        <w:rPr>
          <w:rtl/>
        </w:rPr>
        <w:t xml:space="preserve"> قال</w:t>
      </w:r>
      <w:r w:rsidR="00727CC2">
        <w:rPr>
          <w:rFonts w:hint="cs"/>
          <w:rtl/>
        </w:rPr>
        <w:t xml:space="preserve"> </w:t>
      </w:r>
      <w:r w:rsidR="00727CC2">
        <w:rPr>
          <w:rtl/>
        </w:rPr>
        <w:t>‌العل</w:t>
      </w:r>
      <w:r w:rsidR="00727CC2">
        <w:rPr>
          <w:rFonts w:hint="cs"/>
          <w:rtl/>
        </w:rPr>
        <w:t>ّ</w:t>
      </w:r>
      <w:r w:rsidR="00727CC2">
        <w:rPr>
          <w:rtl/>
        </w:rPr>
        <w:t>ا</w:t>
      </w:r>
      <w:r w:rsidR="00E3253D" w:rsidRPr="005D642E">
        <w:rPr>
          <w:rtl/>
        </w:rPr>
        <w:t>مة المجلسي : « وأقول : يمكن أن يكون المراد إذلاله وخزيه وعذابه بين من مات من العباد ، ولا محالة يقع عذابه في البرزخ في بلد من البلاد ، أو يقدّر مضاف ، أي وأهل بلادك</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6 ، ص 2326 ( خزا )</w:t>
      </w:r>
      <w:r w:rsidR="00E3253D">
        <w:rPr>
          <w:rtl/>
        </w:rPr>
        <w:t>.</w:t>
      </w:r>
      <w:r w:rsidR="00727CC2">
        <w:rPr>
          <w:rFonts w:hint="cs"/>
          <w:rtl/>
        </w:rPr>
        <w:t xml:space="preserve">                                          </w:t>
      </w:r>
      <w:r w:rsidRPr="0042621E">
        <w:rPr>
          <w:rStyle w:val="libFootnote0Char"/>
          <w:rtl/>
        </w:rPr>
        <w:t>(2).</w:t>
      </w:r>
      <w:r w:rsidR="00E3253D" w:rsidRPr="005D642E">
        <w:rPr>
          <w:rtl/>
        </w:rPr>
        <w:t xml:space="preserve"> في الفقيه : « حرّ</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بح ، جح » : « يتوالى</w:t>
      </w:r>
      <w:r w:rsidR="00E3253D">
        <w:rPr>
          <w:rtl/>
        </w:rPr>
        <w:t xml:space="preserve"> ».</w:t>
      </w:r>
      <w:r w:rsidR="00E3253D" w:rsidRPr="005D642E">
        <w:rPr>
          <w:rtl/>
        </w:rPr>
        <w:t xml:space="preserve"> وفي الفقيه </w:t>
      </w:r>
      <w:r w:rsidR="00E3253D" w:rsidRPr="003B3913">
        <w:rPr>
          <w:rStyle w:val="libFootnoteBoldChar"/>
          <w:rtl/>
        </w:rPr>
        <w:t>وقرب الإسناد</w:t>
      </w:r>
      <w:r w:rsidR="00E3253D" w:rsidRPr="005D642E">
        <w:rPr>
          <w:rtl/>
        </w:rPr>
        <w:t xml:space="preserve"> : « يوالي</w:t>
      </w:r>
      <w:r w:rsidR="00E3253D">
        <w:rPr>
          <w:rtl/>
        </w:rPr>
        <w:t xml:space="preserve"> ».</w:t>
      </w:r>
    </w:p>
    <w:p w:rsidR="00E3253D" w:rsidRPr="005D642E" w:rsidRDefault="0042621E" w:rsidP="00727CC2">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الفقيه</w:t>
      </w:r>
      <w:r w:rsidR="00E3253D" w:rsidRPr="005D642E">
        <w:rPr>
          <w:rtl/>
        </w:rPr>
        <w:t xml:space="preserve"> ، ج 1 ، ص 168 ، ح 490 ، معلّقاً عن صفوان بن مهران الجمّال. </w:t>
      </w:r>
      <w:r w:rsidR="00E3253D" w:rsidRPr="002F4D34">
        <w:rPr>
          <w:rStyle w:val="libFootnoteBoldChar"/>
          <w:rtl/>
        </w:rPr>
        <w:t>قرب الإسناد</w:t>
      </w:r>
      <w:r w:rsidR="00E3253D" w:rsidRPr="005D642E">
        <w:rPr>
          <w:rtl/>
        </w:rPr>
        <w:t xml:space="preserve"> ، ص 59 ، ح 190 ، عن السندي بن محمّد ، عن صفوان بن مهران الجمّال ، مع اختلاف يسير </w:t>
      </w:r>
      <w:r w:rsidR="00727CC2">
        <w:rPr>
          <w:rFonts w:hint="cs"/>
          <w:rtl/>
        </w:rPr>
        <w:t>.</w:t>
      </w:r>
      <w:r w:rsidR="00E3253D" w:rsidRPr="002F4D34">
        <w:rPr>
          <w:rStyle w:val="libFootnoteBoldChar"/>
          <w:rtl/>
        </w:rPr>
        <w:t>الوافي</w:t>
      </w:r>
      <w:r w:rsidR="00E3253D" w:rsidRPr="005D642E">
        <w:rPr>
          <w:rtl/>
        </w:rPr>
        <w:t xml:space="preserve"> ، ج 24 ، ص 464 ، ح 24449 ؛ </w:t>
      </w:r>
      <w:r w:rsidR="00E3253D" w:rsidRPr="002F4D34">
        <w:rPr>
          <w:rStyle w:val="libFootnoteBoldChar"/>
          <w:rtl/>
        </w:rPr>
        <w:t>الوسائل</w:t>
      </w:r>
      <w:r w:rsidR="00E3253D" w:rsidRPr="005D642E">
        <w:rPr>
          <w:rtl/>
        </w:rPr>
        <w:t xml:space="preserve"> ، ج 3 ، ص 70 ، ذيل ح 3040.</w:t>
      </w:r>
      <w:r w:rsidR="00727CC2">
        <w:rPr>
          <w:rFonts w:hint="cs"/>
          <w:rtl/>
        </w:rPr>
        <w:t xml:space="preserve">  </w:t>
      </w:r>
      <w:r w:rsidRPr="0042621E">
        <w:rPr>
          <w:rStyle w:val="libFootnote0Char"/>
          <w:rtl/>
        </w:rPr>
        <w:t>(5).</w:t>
      </w:r>
      <w:r w:rsidR="00727CC2">
        <w:rPr>
          <w:rtl/>
        </w:rPr>
        <w:t>في«ظ،بث،بس،بف،جح</w:t>
      </w:r>
      <w:r w:rsidR="00E3253D" w:rsidRPr="005D642E">
        <w:rPr>
          <w:rtl/>
        </w:rPr>
        <w:t>،</w:t>
      </w:r>
      <w:r w:rsidR="00727CC2">
        <w:rPr>
          <w:rtl/>
        </w:rPr>
        <w:t>جس</w:t>
      </w:r>
      <w:r w:rsidR="00E3253D" w:rsidRPr="005D642E">
        <w:rPr>
          <w:rtl/>
        </w:rPr>
        <w:t>»</w:t>
      </w:r>
      <w:r w:rsidR="000D749A" w:rsidRPr="000D749A">
        <w:rPr>
          <w:rStyle w:val="libFootnoteBoldChar"/>
          <w:rtl/>
        </w:rPr>
        <w:t>والوافي</w:t>
      </w:r>
      <w:r w:rsidR="00727CC2">
        <w:rPr>
          <w:rtl/>
        </w:rPr>
        <w:t xml:space="preserve"> :«</w:t>
      </w:r>
      <w:r w:rsidR="00E3253D" w:rsidRPr="005D642E">
        <w:rPr>
          <w:rtl/>
        </w:rPr>
        <w:t>لله</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 « نعلمه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ى ، بث ، بخ ، بس ، بف ، جس ، جح ، جن » :</w:t>
      </w:r>
      <w:r w:rsidR="00E3253D">
        <w:rPr>
          <w:rtl/>
        </w:rPr>
        <w:t xml:space="preserve"> </w:t>
      </w:r>
      <w:r w:rsidR="007642BC">
        <w:rPr>
          <w:rtl/>
        </w:rPr>
        <w:t>-</w:t>
      </w:r>
      <w:r w:rsidR="00E3253D">
        <w:rPr>
          <w:rtl/>
        </w:rPr>
        <w:t xml:space="preserve"> </w:t>
      </w:r>
      <w:r w:rsidR="00E3253D" w:rsidRPr="005D642E">
        <w:rPr>
          <w:rtl/>
        </w:rPr>
        <w:t>« منه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واحش</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الفقيه</w:t>
      </w:r>
      <w:r w:rsidR="00E3253D" w:rsidRPr="005D642E">
        <w:rPr>
          <w:rtl/>
        </w:rPr>
        <w:t xml:space="preserve"> ، ج 1 ، ص 168 ، صدر ح 491 ، معلّقاً عن عبيدالله بن عليّ الحلبي. </w:t>
      </w:r>
      <w:r w:rsidR="00E3253D" w:rsidRPr="002F4D34">
        <w:rPr>
          <w:rStyle w:val="libFootnoteBoldChar"/>
          <w:rtl/>
        </w:rPr>
        <w:t>فقه الرضا</w:t>
      </w:r>
      <w:r w:rsidR="00E3253D" w:rsidRPr="005D642E">
        <w:rPr>
          <w:rtl/>
        </w:rPr>
        <w:t xml:space="preserve"> </w:t>
      </w:r>
      <w:r w:rsidR="00E3253D" w:rsidRPr="00D17E28">
        <w:rPr>
          <w:rStyle w:val="libFootnoteAlaemChar"/>
          <w:rtl/>
        </w:rPr>
        <w:t>عليه‌السلام</w:t>
      </w:r>
      <w:r w:rsidR="00E3253D" w:rsidRPr="005D642E">
        <w:rPr>
          <w:rtl/>
        </w:rPr>
        <w:t xml:space="preserve"> ، ص 187 ، وفيهما مع اختلاف يسير </w:t>
      </w:r>
      <w:r w:rsidR="00D17E28">
        <w:rPr>
          <w:rFonts w:hint="cs"/>
          <w:rtl/>
        </w:rPr>
        <w:t>.</w:t>
      </w:r>
      <w:r w:rsidR="00E3253D" w:rsidRPr="002F4D34">
        <w:rPr>
          <w:rStyle w:val="libFootnoteBoldChar"/>
          <w:rtl/>
        </w:rPr>
        <w:t>الوافي</w:t>
      </w:r>
      <w:r w:rsidR="00E3253D" w:rsidRPr="005D642E">
        <w:rPr>
          <w:rtl/>
        </w:rPr>
        <w:t xml:space="preserve"> ، ج 24 ، ص 465 ، ح 24451 ؛ </w:t>
      </w:r>
      <w:r w:rsidR="00E3253D" w:rsidRPr="002F4D34">
        <w:rPr>
          <w:rStyle w:val="libFootnoteBoldChar"/>
          <w:rtl/>
        </w:rPr>
        <w:t>الوسائل</w:t>
      </w:r>
      <w:r w:rsidR="00E3253D" w:rsidRPr="005D642E">
        <w:rPr>
          <w:rtl/>
        </w:rPr>
        <w:t xml:space="preserve"> ، ج 3 ، ص 69 ، ذيل ح 3039.</w:t>
      </w:r>
    </w:p>
    <w:p w:rsidR="00E3253D" w:rsidRPr="005D642E" w:rsidRDefault="0042621E" w:rsidP="00E3253D">
      <w:pPr>
        <w:pStyle w:val="libFootnote0"/>
        <w:rPr>
          <w:rtl/>
          <w:lang w:bidi="fa-IR"/>
        </w:rPr>
      </w:pPr>
      <w:r w:rsidRPr="0042621E">
        <w:rPr>
          <w:rStyle w:val="libFootnote0Char"/>
          <w:rtl/>
        </w:rPr>
        <w:t>(10).</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عن أحدهما ، كأنّه الصادق </w:t>
      </w:r>
      <w:r w:rsidR="00E3253D" w:rsidRPr="00D17E28">
        <w:rPr>
          <w:rStyle w:val="libFootnoteAlaemChar"/>
          <w:rtl/>
        </w:rPr>
        <w:t>عليه‌السلام</w:t>
      </w:r>
      <w:r w:rsidR="00E3253D" w:rsidRPr="005D642E">
        <w:rPr>
          <w:rtl/>
        </w:rPr>
        <w:t xml:space="preserve"> ، كما يدلّ عليه قوله </w:t>
      </w:r>
      <w:r w:rsidR="00E3253D" w:rsidRPr="00D17E28">
        <w:rPr>
          <w:rStyle w:val="libFootnoteAlaemChar"/>
          <w:rtl/>
        </w:rPr>
        <w:t>عليه‌السلام</w:t>
      </w:r>
      <w:r w:rsidR="00E3253D" w:rsidRPr="005D642E">
        <w:rPr>
          <w:rtl/>
        </w:rPr>
        <w:t xml:space="preserve"> : قاله أبو جعفر </w:t>
      </w:r>
      <w:r w:rsidR="00E3253D" w:rsidRPr="00D17E28">
        <w:rPr>
          <w:rStyle w:val="libFootnoteAlaemChar"/>
          <w:rtl/>
        </w:rPr>
        <w:t>عليه‌السلام</w:t>
      </w:r>
      <w:r w:rsidR="00E3253D">
        <w:rPr>
          <w:rtl/>
        </w:rPr>
        <w:t xml:space="preserve"> ».</w:t>
      </w:r>
      <w:r w:rsidR="00E3253D" w:rsidRPr="005D642E">
        <w:rPr>
          <w:rtl/>
        </w:rPr>
        <w:t xml:space="preserve"> وراجع أيضاً : </w:t>
      </w:r>
      <w:r w:rsidR="00E3253D" w:rsidRPr="002F4D34">
        <w:rPr>
          <w:rStyle w:val="libFootnoteBoldChar"/>
          <w:rtl/>
        </w:rPr>
        <w:t>مرآةالعقول</w:t>
      </w:r>
      <w:r w:rsidR="00E3253D" w:rsidRPr="005D642E">
        <w:rPr>
          <w:rtl/>
        </w:rPr>
        <w:t xml:space="preserve"> ، ج 14 ، ص 78.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نَاراً ، وَسَلِّطْ عَلَيْهِ الْحَيَّاتِ وَالْعَقَارِبَ</w:t>
      </w:r>
      <w:r>
        <w:rPr>
          <w:rtl/>
          <w:lang w:bidi="fa-IR"/>
        </w:rPr>
        <w:t xml:space="preserve"> </w:t>
      </w:r>
      <w:r w:rsidR="007642BC">
        <w:rPr>
          <w:rtl/>
          <w:lang w:bidi="fa-IR"/>
        </w:rPr>
        <w:t>-</w:t>
      </w:r>
      <w:r>
        <w:rPr>
          <w:rtl/>
          <w:lang w:bidi="fa-IR"/>
        </w:rPr>
        <w:t xml:space="preserve"> </w:t>
      </w:r>
      <w:r w:rsidRPr="005D642E">
        <w:rPr>
          <w:rtl/>
          <w:lang w:bidi="fa-IR"/>
        </w:rPr>
        <w:t xml:space="preserve">وَذلِكَ قَالَهُ أَبُو جَعْفَرٍ </w:t>
      </w:r>
      <w:r w:rsidRPr="00AC51C5">
        <w:rPr>
          <w:rStyle w:val="libAlaemChar"/>
          <w:rtl/>
        </w:rPr>
        <w:t>عليه‌السلام</w:t>
      </w:r>
      <w:r w:rsidRPr="005D642E">
        <w:rPr>
          <w:rtl/>
          <w:lang w:bidi="fa-IR"/>
        </w:rPr>
        <w:t xml:space="preserve"> لِامْرَأَةِ سَوْءٍ مِنْ بَنِي أُمَيَّةَ صَلّى عَلَيْهَا أَبِي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وَقَالَ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هذِهِ الْمَقَالَةَ</w:t>
      </w:r>
      <w:r>
        <w:rPr>
          <w:rtl/>
          <w:lang w:bidi="fa-IR"/>
        </w:rPr>
        <w:t xml:space="preserve"> </w:t>
      </w:r>
      <w:r w:rsidR="007642BC">
        <w:rPr>
          <w:rtl/>
          <w:lang w:bidi="fa-IR"/>
        </w:rPr>
        <w:t>-</w:t>
      </w:r>
      <w:r>
        <w:rPr>
          <w:rtl/>
          <w:lang w:bidi="fa-IR"/>
        </w:rPr>
        <w:t xml:space="preserve"> </w:t>
      </w:r>
      <w:r w:rsidRPr="005D642E">
        <w:rPr>
          <w:rtl/>
          <w:lang w:bidi="fa-IR"/>
        </w:rPr>
        <w:t xml:space="preserve">وَاجْعَلِ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الشَّيْطَانَ لَهَا قَرِيناً</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مُحَمَّدُ بْنُ مُسْلِمٍ : فَقُلْتُ لَهُ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 لِأَيِّ شَيْ‌ءٍ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يَجْعَلُ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الْحَيَّاتِ وَالْعَقَارِبَ فِي قَبْرِهَا</w:t>
      </w:r>
      <w:r>
        <w:rPr>
          <w:rtl/>
          <w:lang w:bidi="fa-IR"/>
        </w:rPr>
        <w:t>؟</w:t>
      </w:r>
    </w:p>
    <w:p w:rsidR="00E3253D" w:rsidRPr="005D642E" w:rsidRDefault="00E3253D" w:rsidP="00E3253D">
      <w:pPr>
        <w:pStyle w:val="libNormal"/>
        <w:rPr>
          <w:rtl/>
          <w:lang w:bidi="fa-IR"/>
        </w:rPr>
      </w:pPr>
      <w:r w:rsidRPr="005D642E">
        <w:rPr>
          <w:rtl/>
          <w:lang w:bidi="fa-IR"/>
        </w:rPr>
        <w:t xml:space="preserve">فَقَالَ : « إِنَّ الْحَيَّاتِ يَعْضَضْنَهَا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 وَالْعَقَارِبَ يَلْسَعْنَهَا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 وَالشَّيْطَانَ يُقَارِنُهَا </w:t>
      </w:r>
      <w:r w:rsidRPr="007C12DB">
        <w:rPr>
          <w:rStyle w:val="libFootnotenumChar"/>
          <w:rtl/>
        </w:rPr>
        <w:t>(</w:t>
      </w:r>
      <w:r w:rsidRPr="007C12DB">
        <w:rPr>
          <w:rStyle w:val="libFootnotenumChar"/>
          <w:rFonts w:hint="cs"/>
          <w:rtl/>
        </w:rPr>
        <w:t>9</w:t>
      </w:r>
      <w:r w:rsidRPr="007C12DB">
        <w:rPr>
          <w:rStyle w:val="libFootnotenumChar"/>
          <w:rtl/>
        </w:rPr>
        <w:t>)</w:t>
      </w:r>
      <w:r w:rsidRPr="005D642E">
        <w:rPr>
          <w:rtl/>
          <w:lang w:bidi="fa-IR"/>
        </w:rPr>
        <w:t xml:space="preserve"> فِي قَبْرِهَا</w:t>
      </w:r>
      <w:r>
        <w:rPr>
          <w:rtl/>
          <w:lang w:bidi="fa-IR"/>
        </w:rPr>
        <w:t>».</w:t>
      </w:r>
      <w:r w:rsidRPr="005D642E">
        <w:rPr>
          <w:rtl/>
          <w:lang w:bidi="fa-IR"/>
        </w:rPr>
        <w:t xml:space="preserve"> قُلْتُ : تَجِدُ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أَلَمَ ذلِكَ</w:t>
      </w:r>
      <w:r>
        <w:rPr>
          <w:rtl/>
          <w:lang w:bidi="fa-IR"/>
        </w:rPr>
        <w:t>؟</w:t>
      </w:r>
      <w:r w:rsidRPr="005D642E">
        <w:rPr>
          <w:rtl/>
          <w:lang w:bidi="fa-IR"/>
        </w:rPr>
        <w:t xml:space="preserve"> قَالَ : « نَعَمْ شَدِيداً</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11</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F5375C">
        <w:rPr>
          <w:rtl/>
        </w:rPr>
        <w:t>4528</w:t>
      </w:r>
      <w:r w:rsidRPr="00246318">
        <w:rPr>
          <w:rStyle w:val="libBold2Char"/>
          <w:rtl/>
        </w:rPr>
        <w:t xml:space="preserve"> / 6.</w:t>
      </w:r>
      <w:r w:rsidRPr="005D642E">
        <w:rPr>
          <w:rtl/>
          <w:lang w:bidi="fa-IR"/>
        </w:rPr>
        <w:t xml:space="preserve"> عِدَّةٌ مِنْ أَصْحَابِنَا ، عَنْ سَهْلِ بْنِ زِيَادٍ ، عَنْ أَحْمَدَ بْنِ مُحَ</w:t>
      </w:r>
      <w:r w:rsidR="00D17E28">
        <w:rPr>
          <w:rtl/>
          <w:lang w:bidi="fa-IR"/>
        </w:rPr>
        <w:t>مَّدِ بْنِ أَبِي نَصْرٍ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 تَقُولُ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 الل</w:t>
      </w:r>
      <w:r w:rsidR="00D17E28">
        <w:rPr>
          <w:rFonts w:hint="cs"/>
          <w:rtl/>
          <w:lang w:bidi="fa-IR"/>
        </w:rPr>
        <w:t>َّ</w:t>
      </w:r>
      <w:r w:rsidRPr="005D642E">
        <w:rPr>
          <w:rtl/>
          <w:lang w:bidi="fa-IR"/>
        </w:rPr>
        <w:t xml:space="preserve">هُمَّ أَخْزِ عَبْدَكَ فِي بِلَادِكَ وَعِبَادِكَ </w:t>
      </w:r>
      <w:r w:rsidRPr="007C12DB">
        <w:rPr>
          <w:rStyle w:val="libFootnotenumChar"/>
          <w:rtl/>
        </w:rPr>
        <w:t>(</w:t>
      </w:r>
      <w:r w:rsidRPr="007C12DB">
        <w:rPr>
          <w:rStyle w:val="libFootnotenumChar"/>
          <w:rFonts w:hint="cs"/>
          <w:rtl/>
        </w:rPr>
        <w:t>13</w:t>
      </w:r>
      <w:r w:rsidRPr="007C12DB">
        <w:rPr>
          <w:rStyle w:val="libFootnotenumChar"/>
          <w:rtl/>
        </w:rPr>
        <w:t>)</w:t>
      </w:r>
      <w:r w:rsidRPr="005D642E">
        <w:rPr>
          <w:rtl/>
          <w:lang w:bidi="fa-IR"/>
        </w:rPr>
        <w:t xml:space="preserve"> ، الل</w:t>
      </w:r>
      <w:r w:rsidR="00D17E28">
        <w:rPr>
          <w:rFonts w:hint="cs"/>
          <w:rtl/>
          <w:lang w:bidi="fa-IR"/>
        </w:rPr>
        <w:t>َّ</w:t>
      </w:r>
      <w:r w:rsidRPr="005D642E">
        <w:rPr>
          <w:rtl/>
          <w:lang w:bidi="fa-IR"/>
        </w:rPr>
        <w:t xml:space="preserve">هُمَّ أَصْلِهِ حَرَّ </w:t>
      </w:r>
      <w:r w:rsidRPr="007C12DB">
        <w:rPr>
          <w:rStyle w:val="libFootnotenumChar"/>
          <w:rtl/>
        </w:rPr>
        <w:t>(</w:t>
      </w:r>
      <w:r w:rsidRPr="007C12DB">
        <w:rPr>
          <w:rStyle w:val="libFootnotenumChar"/>
          <w:rFonts w:hint="cs"/>
          <w:rtl/>
        </w:rPr>
        <w:t>14</w:t>
      </w:r>
      <w:r w:rsidRPr="007C12DB">
        <w:rPr>
          <w:rStyle w:val="libFootnotenumChar"/>
          <w:rtl/>
        </w:rPr>
        <w:t>)</w:t>
      </w:r>
      <w:r w:rsidRPr="005D642E">
        <w:rPr>
          <w:rtl/>
          <w:lang w:bidi="fa-IR"/>
        </w:rPr>
        <w:t xml:space="preserve"> نَارَكَ ، وَأَذِقْهُ‌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w:t>
      </w:r>
      <w:r w:rsidR="00E3253D" w:rsidRPr="002F4D34">
        <w:rPr>
          <w:rStyle w:val="libFootnoteBoldChar"/>
          <w:rtl/>
        </w:rPr>
        <w:t>الوافي</w:t>
      </w:r>
      <w:r w:rsidR="00E3253D" w:rsidRPr="005D642E">
        <w:rPr>
          <w:rtl/>
        </w:rPr>
        <w:t xml:space="preserve"> : « قوله : صلّى عليها أبي ، من قبيل وضع المظهر موضع المضمر</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أي قال أبي هذا القول في جنازة هذه المرأة الملعونة وزاد على ما قلت قولَه </w:t>
      </w:r>
      <w:r w:rsidR="00E3253D" w:rsidRPr="00D17E28">
        <w:rPr>
          <w:rStyle w:val="libFootnoteAlaemChar"/>
          <w:rtl/>
        </w:rPr>
        <w:t>عليه‌السلام</w:t>
      </w:r>
      <w:r w:rsidR="00E3253D" w:rsidRPr="005D642E">
        <w:rPr>
          <w:rtl/>
        </w:rPr>
        <w:t xml:space="preserve"> : واجعل الشيطان</w:t>
      </w:r>
      <w:r w:rsidR="00E3253D">
        <w:rPr>
          <w:rtl/>
        </w:rPr>
        <w:t xml:space="preserve"> ».</w:t>
      </w:r>
      <w:r w:rsidR="00E3253D" w:rsidRPr="005D642E">
        <w:rPr>
          <w:rtl/>
        </w:rPr>
        <w:t xml:space="preserve"> لكن هذا مناف لما يظهر من أوّل الخبر من شكّ محمّد بن مسلم في المعصوم الذي روى عنه إلاّ</w:t>
      </w:r>
      <w:r w:rsidR="00E3253D">
        <w:rPr>
          <w:rFonts w:hint="cs"/>
          <w:rtl/>
        </w:rPr>
        <w:t xml:space="preserve"> </w:t>
      </w:r>
      <w:r w:rsidR="00E3253D" w:rsidRPr="005D642E">
        <w:rPr>
          <w:rtl/>
        </w:rPr>
        <w:t>أن يكون ذكره على أحد الاحتمالين ، ويحتمل أن يكون كلام محمّد بن مسلم ويكون قوله : « أبي » قد زيد من النسّاخ ، أو يكون المراد أبا محمّد بن مسلم وإن كان بعيداً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17E28" w:rsidTr="00D17E28">
        <w:tc>
          <w:tcPr>
            <w:tcW w:w="4006" w:type="dxa"/>
          </w:tcPr>
          <w:p w:rsidR="00D17E28" w:rsidRDefault="00D17E28" w:rsidP="00E3253D">
            <w:pPr>
              <w:pStyle w:val="libFootnote0"/>
              <w:rPr>
                <w:rStyle w:val="libFootnote0Char"/>
                <w:rtl/>
              </w:rPr>
            </w:pPr>
            <w:r w:rsidRPr="0042621E">
              <w:rPr>
                <w:rStyle w:val="libFootnote0Char"/>
                <w:rtl/>
              </w:rPr>
              <w:t>(2).</w:t>
            </w:r>
            <w:r w:rsidRPr="005D642E">
              <w:rPr>
                <w:rtl/>
              </w:rPr>
              <w:t xml:space="preserve"> في « بخ ، بف » </w:t>
            </w:r>
            <w:r w:rsidRPr="000D749A">
              <w:rPr>
                <w:rStyle w:val="libFootnoteBoldChar"/>
                <w:rtl/>
              </w:rPr>
              <w:t>والوافي</w:t>
            </w:r>
            <w:r w:rsidRPr="005D642E">
              <w:rPr>
                <w:rtl/>
              </w:rPr>
              <w:t xml:space="preserve"> : « فقال</w:t>
            </w:r>
            <w:r>
              <w:rPr>
                <w:rtl/>
              </w:rPr>
              <w:t xml:space="preserve"> ».</w:t>
            </w:r>
          </w:p>
        </w:tc>
        <w:tc>
          <w:tcPr>
            <w:tcW w:w="4006" w:type="dxa"/>
          </w:tcPr>
          <w:p w:rsidR="00D17E28" w:rsidRDefault="00D17E28" w:rsidP="00E3253D">
            <w:pPr>
              <w:pStyle w:val="libFootnote0"/>
              <w:rPr>
                <w:rStyle w:val="libFootnote0Char"/>
                <w:rtl/>
              </w:rPr>
            </w:pPr>
            <w:r w:rsidRPr="0042621E">
              <w:rPr>
                <w:rStyle w:val="libFootnote0Char"/>
                <w:rtl/>
              </w:rPr>
              <w:t>(3).</w:t>
            </w:r>
            <w:r w:rsidRPr="005D642E">
              <w:rPr>
                <w:rtl/>
              </w:rPr>
              <w:t xml:space="preserve"> في « بح » : « فاجعل</w:t>
            </w:r>
            <w:r>
              <w:rPr>
                <w:rtl/>
              </w:rPr>
              <w:t xml:space="preserve"> ».</w:t>
            </w:r>
          </w:p>
        </w:tc>
      </w:tr>
      <w:tr w:rsidR="00D17E28" w:rsidTr="00D17E28">
        <w:tc>
          <w:tcPr>
            <w:tcW w:w="4006" w:type="dxa"/>
          </w:tcPr>
          <w:p w:rsidR="00D17E28" w:rsidRDefault="00D17E28" w:rsidP="00E3253D">
            <w:pPr>
              <w:pStyle w:val="libFootnote0"/>
              <w:rPr>
                <w:rStyle w:val="libFootnote0Char"/>
                <w:rtl/>
              </w:rPr>
            </w:pPr>
            <w:r w:rsidRPr="0042621E">
              <w:rPr>
                <w:rStyle w:val="libFootnote0Char"/>
                <w:rtl/>
              </w:rPr>
              <w:t>(4).</w:t>
            </w:r>
            <w:r w:rsidRPr="005D642E">
              <w:rPr>
                <w:rtl/>
              </w:rPr>
              <w:t xml:space="preserve"> في « بس ، جن » :</w:t>
            </w:r>
            <w:r>
              <w:rPr>
                <w:rtl/>
              </w:rPr>
              <w:t xml:space="preserve"> - </w:t>
            </w:r>
            <w:r w:rsidRPr="005D642E">
              <w:rPr>
                <w:rtl/>
              </w:rPr>
              <w:t>« له</w:t>
            </w:r>
            <w:r>
              <w:rPr>
                <w:rtl/>
              </w:rPr>
              <w:t xml:space="preserve"> ».</w:t>
            </w:r>
          </w:p>
        </w:tc>
        <w:tc>
          <w:tcPr>
            <w:tcW w:w="4006" w:type="dxa"/>
          </w:tcPr>
          <w:p w:rsidR="00D17E28" w:rsidRDefault="00D17E28" w:rsidP="00E3253D">
            <w:pPr>
              <w:pStyle w:val="libFootnote0"/>
              <w:rPr>
                <w:rStyle w:val="libFootnote0Char"/>
                <w:rtl/>
              </w:rPr>
            </w:pPr>
            <w:r w:rsidRPr="0042621E">
              <w:rPr>
                <w:rStyle w:val="libFootnote0Char"/>
                <w:rtl/>
              </w:rPr>
              <w:t>(5).</w:t>
            </w:r>
            <w:r w:rsidRPr="005D642E">
              <w:rPr>
                <w:rtl/>
              </w:rPr>
              <w:t xml:space="preserve"> في « ى » :</w:t>
            </w:r>
            <w:r>
              <w:rPr>
                <w:rtl/>
              </w:rPr>
              <w:t xml:space="preserve"> - </w:t>
            </w:r>
            <w:r w:rsidRPr="005D642E">
              <w:rPr>
                <w:rtl/>
              </w:rPr>
              <w:t>« شي‌ء</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ى ، بث ، بح ، بخ ، بف ، جح » : « تجعل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جح » : « تعضضها</w:t>
      </w:r>
      <w:r w:rsidR="00E3253D">
        <w:rPr>
          <w:rtl/>
        </w:rPr>
        <w:t xml:space="preserve"> ».</w:t>
      </w:r>
      <w:r w:rsidR="00E3253D" w:rsidRPr="005D642E">
        <w:rPr>
          <w:rtl/>
        </w:rPr>
        <w:t xml:space="preserve"> والعَضّ : الشدّ بالأسنان على الشي‌ء ، وكذلك عَضُّ الحيّة ، ولايقال للعقرب لأنّ لدغها</w:t>
      </w:r>
      <w:r w:rsidR="00E3253D">
        <w:rPr>
          <w:rFonts w:hint="cs"/>
          <w:rtl/>
        </w:rPr>
        <w:t xml:space="preserve"> </w:t>
      </w:r>
      <w:r w:rsidR="00E3253D" w:rsidRPr="005D642E">
        <w:rPr>
          <w:rtl/>
        </w:rPr>
        <w:t xml:space="preserve">إنّما هو بزُباناها وشَوْلَتها. راجع : </w:t>
      </w:r>
      <w:r w:rsidR="00E3253D" w:rsidRPr="002F4D34">
        <w:rPr>
          <w:rStyle w:val="libFootnoteBoldChar"/>
          <w:rtl/>
        </w:rPr>
        <w:t>لسان العرب</w:t>
      </w:r>
      <w:r w:rsidR="00E3253D" w:rsidRPr="005D642E">
        <w:rPr>
          <w:rtl/>
        </w:rPr>
        <w:t xml:space="preserve"> ، ج 7 ، ص 188 ( عضض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يلسعنها » ، أي يُدخلن إبرتها فيه ، قيل : اللَسْع لما ضرب بمؤخّره ولذوات الإبر ، واللَدْغ لما كان بالفم فالعقرب تلسع والحيّة تلدغ. راجع : </w:t>
      </w:r>
      <w:r w:rsidR="00E3253D" w:rsidRPr="002F4D34">
        <w:rPr>
          <w:rStyle w:val="libFootnoteBoldChar"/>
          <w:rtl/>
        </w:rPr>
        <w:t>لسان العرب</w:t>
      </w:r>
      <w:r w:rsidR="00E3253D" w:rsidRPr="005D642E">
        <w:rPr>
          <w:rtl/>
        </w:rPr>
        <w:t xml:space="preserve"> ، ج 8 ، ص 318 ؛ </w:t>
      </w:r>
      <w:r w:rsidR="00E3253D" w:rsidRPr="002F4D34">
        <w:rPr>
          <w:rStyle w:val="libFootnoteBoldChar"/>
          <w:rtl/>
        </w:rPr>
        <w:t>القاموس المحيط</w:t>
      </w:r>
      <w:r w:rsidR="00D17E28">
        <w:rPr>
          <w:rtl/>
        </w:rPr>
        <w:t xml:space="preserve"> ، ج 2 ، ص 1018(لسع</w:t>
      </w:r>
      <w:r w:rsidR="00E3253D" w:rsidRPr="005D642E">
        <w:rPr>
          <w:rtl/>
        </w:rPr>
        <w:t>)</w:t>
      </w:r>
      <w:r w:rsidR="00E3253D">
        <w:rPr>
          <w:rtl/>
        </w:rPr>
        <w:t>.</w:t>
      </w:r>
    </w:p>
    <w:p w:rsidR="00E3253D" w:rsidRPr="005D642E" w:rsidRDefault="0042621E" w:rsidP="00D17E28">
      <w:pPr>
        <w:pStyle w:val="libFootnote0"/>
        <w:rPr>
          <w:rtl/>
          <w:lang w:bidi="fa-IR"/>
        </w:rPr>
      </w:pPr>
      <w:r w:rsidRPr="0042621E">
        <w:rPr>
          <w:rStyle w:val="libFootnote0Char"/>
          <w:rtl/>
        </w:rPr>
        <w:t>(9).</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وفي « غ » : « والشياطين يقارنها</w:t>
      </w:r>
      <w:r w:rsidR="00E3253D">
        <w:rPr>
          <w:rtl/>
        </w:rPr>
        <w:t xml:space="preserve"> ».</w:t>
      </w:r>
      <w:r w:rsidR="00E3253D" w:rsidRPr="005D642E">
        <w:rPr>
          <w:rtl/>
        </w:rPr>
        <w:t xml:space="preserve"> وفي المطبوع : « والشياطين تقارنها</w:t>
      </w:r>
      <w:r w:rsidR="00E3253D">
        <w:rPr>
          <w:rtl/>
        </w:rPr>
        <w:t xml:space="preserve"> ».</w:t>
      </w:r>
      <w:r w:rsidR="00D17E28">
        <w:rPr>
          <w:rFonts w:hint="cs"/>
          <w:rtl/>
        </w:rPr>
        <w:t xml:space="preserve">                                         </w:t>
      </w:r>
      <w:r w:rsidRPr="0042621E">
        <w:rPr>
          <w:rStyle w:val="libFootnote0Char"/>
          <w:rtl/>
        </w:rPr>
        <w:t>(10).</w:t>
      </w:r>
      <w:r w:rsidR="00E3253D" w:rsidRPr="005D642E">
        <w:rPr>
          <w:rtl/>
        </w:rPr>
        <w:t xml:space="preserve"> في الوافي : « وتجد</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الوافي</w:t>
      </w:r>
      <w:r w:rsidR="00E3253D" w:rsidRPr="005D642E">
        <w:rPr>
          <w:rtl/>
        </w:rPr>
        <w:t xml:space="preserve"> ، ج 24 ، ص 466 ، ح 24452 ؛ </w:t>
      </w:r>
      <w:r w:rsidR="00E3253D" w:rsidRPr="002F4D34">
        <w:rPr>
          <w:rStyle w:val="libFootnoteBoldChar"/>
          <w:rtl/>
        </w:rPr>
        <w:t>الوسائل</w:t>
      </w:r>
      <w:r w:rsidR="00E3253D" w:rsidRPr="005D642E">
        <w:rPr>
          <w:rtl/>
        </w:rPr>
        <w:t xml:space="preserve"> ، ج 3 ، ص 71 ، ح 3043.</w:t>
      </w:r>
    </w:p>
    <w:p w:rsidR="00E3253D" w:rsidRPr="005D642E" w:rsidRDefault="0042621E" w:rsidP="00E3253D">
      <w:pPr>
        <w:pStyle w:val="libFootnote0"/>
        <w:rPr>
          <w:rtl/>
          <w:lang w:bidi="fa-IR"/>
        </w:rPr>
      </w:pPr>
      <w:r w:rsidRPr="0042621E">
        <w:rPr>
          <w:rStyle w:val="libFootnote0Char"/>
          <w:rtl/>
        </w:rPr>
        <w:t>(12).</w:t>
      </w:r>
      <w:r w:rsidR="00E3253D">
        <w:rPr>
          <w:rtl/>
        </w:rPr>
        <w:t xml:space="preserve"> </w:t>
      </w:r>
      <w:r w:rsidR="00E3253D" w:rsidRPr="005D642E">
        <w:rPr>
          <w:rtl/>
        </w:rPr>
        <w:t>في « ى ، بث ، بح ، بخ ، جح ، جس » : « 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هكذا في جميع النسخ التي قوبلت</w:t>
      </w:r>
      <w:r w:rsidR="00E3253D" w:rsidRPr="00D17E28">
        <w:rPr>
          <w:rtl/>
        </w:rPr>
        <w:t xml:space="preserve"> </w:t>
      </w:r>
      <w:r w:rsidR="000D749A" w:rsidRPr="00D17E28">
        <w:rPr>
          <w:rtl/>
        </w:rPr>
        <w:t>والوافي</w:t>
      </w:r>
      <w:r w:rsidR="00E3253D" w:rsidRPr="005D642E">
        <w:rPr>
          <w:rtl/>
        </w:rPr>
        <w:t xml:space="preserve"> والوسائل. وفي المطبوع : « عبادك وبلادك</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هكذا في « غ ، بث ، بخ ، بس ، </w:t>
      </w:r>
      <w:r w:rsidR="00E3253D" w:rsidRPr="00D17E28">
        <w:rPr>
          <w:rtl/>
        </w:rPr>
        <w:t xml:space="preserve">بف » </w:t>
      </w:r>
      <w:r w:rsidR="000D749A" w:rsidRPr="00D17E28">
        <w:rPr>
          <w:rtl/>
        </w:rPr>
        <w:t>والوافي</w:t>
      </w:r>
      <w:r w:rsidR="00E3253D" w:rsidRPr="00D17E28">
        <w:rPr>
          <w:rtl/>
        </w:rPr>
        <w:t>.</w:t>
      </w:r>
      <w:r w:rsidR="00E3253D" w:rsidRPr="005D642E">
        <w:rPr>
          <w:rtl/>
        </w:rPr>
        <w:t xml:space="preserve"> وفي سائرالنسخ والمطبوع :</w:t>
      </w:r>
      <w:r w:rsidR="00E3253D">
        <w:rPr>
          <w:rtl/>
        </w:rPr>
        <w:t xml:space="preserve"> </w:t>
      </w:r>
      <w:r w:rsidR="007642BC">
        <w:rPr>
          <w:rtl/>
        </w:rPr>
        <w:t>-</w:t>
      </w:r>
      <w:r w:rsidR="00E3253D">
        <w:rPr>
          <w:rtl/>
        </w:rPr>
        <w:t xml:space="preserve"> </w:t>
      </w:r>
      <w:r w:rsidR="00E3253D" w:rsidRPr="005D642E">
        <w:rPr>
          <w:rtl/>
        </w:rPr>
        <w:t>« حرّ</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أَشَدَّ عَذَابِكَ ؛ فَإِنَّهُ كَانَ يُعَادِي أَوْلِيَاءَكَ ، وَيُوَالِي أَعْدَاءَكَ ، وَيُبْغِضُ أَهْلَ بَيْتِ نَبِيِّكَ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F5375C">
        <w:rPr>
          <w:rtl/>
        </w:rPr>
        <w:t>4529</w:t>
      </w:r>
      <w:r w:rsidRPr="00246318">
        <w:rPr>
          <w:rStyle w:val="libBold2Char"/>
          <w:rtl/>
        </w:rPr>
        <w:t xml:space="preserve"> / 7.</w:t>
      </w:r>
      <w:r w:rsidRPr="005D642E">
        <w:rPr>
          <w:rtl/>
          <w:lang w:bidi="fa-IR"/>
        </w:rPr>
        <w:t xml:space="preserve"> مُحَمَّدُ بْنُ يَحْيى ، عَنْ أَحْمَدَ بْنِ مُحَمَّدٍ ، عَنْ عَبْدِ اللهِ الْحَجَّالِ </w:t>
      </w:r>
      <w:r w:rsidRPr="007C12DB">
        <w:rPr>
          <w:rStyle w:val="libFootnotenumChar"/>
          <w:rtl/>
        </w:rPr>
        <w:t>(2)</w:t>
      </w:r>
      <w:r w:rsidRPr="005D642E">
        <w:rPr>
          <w:rtl/>
          <w:lang w:bidi="fa-IR"/>
        </w:rPr>
        <w:t xml:space="preserve"> ، عَنْ حَمَّادِ بْنِ عُثْمَانَ ، عَنْ أَبِي عَبْدِ اللهِ </w:t>
      </w:r>
      <w:r w:rsidRPr="00AC51C5">
        <w:rPr>
          <w:rStyle w:val="libAlaemChar"/>
          <w:rtl/>
        </w:rPr>
        <w:t>عليه‌السلام</w:t>
      </w:r>
      <w:r w:rsidRPr="005D642E">
        <w:rPr>
          <w:rtl/>
          <w:lang w:bidi="fa-IR"/>
        </w:rPr>
        <w:t xml:space="preserve"> ، أَوْ </w:t>
      </w:r>
      <w:r w:rsidRPr="007C12DB">
        <w:rPr>
          <w:rStyle w:val="libFootnotenumChar"/>
          <w:rtl/>
        </w:rPr>
        <w:t>(3)</w:t>
      </w:r>
      <w:r w:rsidRPr="005D642E">
        <w:rPr>
          <w:rtl/>
          <w:lang w:bidi="fa-IR"/>
        </w:rPr>
        <w:t xml:space="preserve"> عَمَّنْ ذَكَرَهُ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w:t>
      </w:r>
      <w:r w:rsidRPr="007C12DB">
        <w:rPr>
          <w:rStyle w:val="libFootnotenumChar"/>
          <w:rtl/>
        </w:rPr>
        <w:t>(4)</w:t>
      </w:r>
      <w:r w:rsidRPr="005D642E">
        <w:rPr>
          <w:rtl/>
          <w:lang w:bidi="fa-IR"/>
        </w:rPr>
        <w:t xml:space="preserve"> : مَاتَتِ امْرَأَةٌ مِنْ بَنِي أُمَيَّةَ ، فَحَضَرْتُهَا </w:t>
      </w:r>
      <w:r w:rsidRPr="007C12DB">
        <w:rPr>
          <w:rStyle w:val="libFootnotenumChar"/>
          <w:rtl/>
        </w:rPr>
        <w:t>(5)</w:t>
      </w:r>
      <w:r w:rsidRPr="005D642E">
        <w:rPr>
          <w:rtl/>
          <w:lang w:bidi="fa-IR"/>
        </w:rPr>
        <w:t xml:space="preserve"> ، فَلَمَّا صَلَّوْا عَلَيْهَا وَرَفَعُوهَا وَصَارَتْ عَلى أَيْدِي الرِّجَالِ ، قَالَ : « الل</w:t>
      </w:r>
      <w:r w:rsidR="00D17E28">
        <w:rPr>
          <w:rFonts w:hint="cs"/>
          <w:rtl/>
          <w:lang w:bidi="fa-IR"/>
        </w:rPr>
        <w:t>َّ</w:t>
      </w:r>
      <w:r w:rsidRPr="005D642E">
        <w:rPr>
          <w:rtl/>
          <w:lang w:bidi="fa-IR"/>
        </w:rPr>
        <w:t xml:space="preserve">هُمَّ ضَعْهَا ، وَلَاتَرْفَعْهَا </w:t>
      </w:r>
      <w:r w:rsidRPr="007C12DB">
        <w:rPr>
          <w:rStyle w:val="libFootnotenumChar"/>
          <w:rtl/>
        </w:rPr>
        <w:t>(6)</w:t>
      </w:r>
      <w:r w:rsidRPr="005D642E">
        <w:rPr>
          <w:rtl/>
          <w:lang w:bidi="fa-IR"/>
        </w:rPr>
        <w:t xml:space="preserve"> وَلَاتُزَكِّهَا » قَالَ :</w:t>
      </w:r>
      <w:r>
        <w:rPr>
          <w:rFonts w:hint="cs"/>
          <w:rtl/>
          <w:lang w:bidi="fa-IR"/>
        </w:rPr>
        <w:t xml:space="preserve"> </w:t>
      </w:r>
      <w:r w:rsidR="00D17E28">
        <w:rPr>
          <w:rtl/>
          <w:lang w:bidi="fa-IR"/>
        </w:rPr>
        <w:t>«</w:t>
      </w:r>
      <w:r w:rsidRPr="005D642E">
        <w:rPr>
          <w:rtl/>
          <w:lang w:bidi="fa-IR"/>
        </w:rPr>
        <w:t xml:space="preserve">وَكَانَتْ عَدُوَّةً لِلّهِ </w:t>
      </w:r>
      <w:r w:rsidRPr="007C12DB">
        <w:rPr>
          <w:rStyle w:val="libFootnotenumChar"/>
          <w:rtl/>
        </w:rPr>
        <w:t>(7)</w:t>
      </w:r>
      <w:r w:rsidRPr="005D642E">
        <w:rPr>
          <w:rtl/>
          <w:lang w:bidi="fa-IR"/>
        </w:rPr>
        <w:t xml:space="preserve"> » قَالَ </w:t>
      </w:r>
      <w:r w:rsidRPr="007C12DB">
        <w:rPr>
          <w:rStyle w:val="libFootnotenumChar"/>
          <w:rtl/>
        </w:rPr>
        <w:t>(8)</w:t>
      </w:r>
      <w:r w:rsidRPr="005D642E">
        <w:rPr>
          <w:rtl/>
          <w:lang w:bidi="fa-IR"/>
        </w:rPr>
        <w:t xml:space="preserve"> : وَلَا</w:t>
      </w:r>
      <w:r>
        <w:rPr>
          <w:rFonts w:hint="cs"/>
          <w:rtl/>
          <w:lang w:bidi="fa-IR"/>
        </w:rPr>
        <w:t xml:space="preserve"> </w:t>
      </w:r>
      <w:r w:rsidRPr="005D642E">
        <w:rPr>
          <w:rtl/>
          <w:lang w:bidi="fa-IR"/>
        </w:rPr>
        <w:t xml:space="preserve">أَعْلَمُهُ </w:t>
      </w:r>
      <w:r w:rsidRPr="007C12DB">
        <w:rPr>
          <w:rStyle w:val="libFootnotenumChar"/>
          <w:rtl/>
        </w:rPr>
        <w:t>(9)</w:t>
      </w:r>
      <w:r w:rsidR="00D17E28">
        <w:rPr>
          <w:rtl/>
          <w:lang w:bidi="fa-IR"/>
        </w:rPr>
        <w:t xml:space="preserve"> إِل</w:t>
      </w:r>
      <w:r w:rsidR="00D17E28">
        <w:rPr>
          <w:rFonts w:hint="cs"/>
          <w:rtl/>
          <w:lang w:bidi="fa-IR"/>
        </w:rPr>
        <w:t>َّ</w:t>
      </w:r>
      <w:r w:rsidR="00D17E28">
        <w:rPr>
          <w:rtl/>
          <w:lang w:bidi="fa-IR"/>
        </w:rPr>
        <w:t>ا</w:t>
      </w:r>
      <w:r w:rsidRPr="005D642E">
        <w:rPr>
          <w:rtl/>
          <w:lang w:bidi="fa-IR"/>
        </w:rPr>
        <w:t xml:space="preserve"> قَالَ : « وَلَنَا</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Heading2Center"/>
        <w:rPr>
          <w:rtl/>
          <w:lang w:bidi="fa-IR"/>
        </w:rPr>
      </w:pPr>
      <w:bookmarkStart w:id="431" w:name="_Toc344647354"/>
      <w:bookmarkStart w:id="432" w:name="_Toc462226868"/>
      <w:bookmarkStart w:id="433" w:name="_Toc40975977"/>
      <w:r w:rsidRPr="005D642E">
        <w:rPr>
          <w:rtl/>
          <w:lang w:bidi="fa-IR"/>
        </w:rPr>
        <w:t>59</w:t>
      </w:r>
      <w:r>
        <w:rPr>
          <w:rtl/>
          <w:lang w:bidi="fa-IR"/>
        </w:rPr>
        <w:t xml:space="preserve"> </w:t>
      </w:r>
      <w:r w:rsidR="007642BC">
        <w:rPr>
          <w:rtl/>
          <w:lang w:bidi="fa-IR"/>
        </w:rPr>
        <w:t>-</w:t>
      </w:r>
      <w:r>
        <w:rPr>
          <w:rtl/>
          <w:lang w:bidi="fa-IR"/>
        </w:rPr>
        <w:t xml:space="preserve"> </w:t>
      </w:r>
      <w:r w:rsidRPr="005D642E">
        <w:rPr>
          <w:rtl/>
          <w:lang w:bidi="fa-IR"/>
        </w:rPr>
        <w:t xml:space="preserve">بَابٌ فِي الْجَنَازَةِ </w:t>
      </w:r>
      <w:r w:rsidRPr="007C12DB">
        <w:rPr>
          <w:rStyle w:val="libFootnotenumChar"/>
          <w:rtl/>
        </w:rPr>
        <w:t>(11)</w:t>
      </w:r>
      <w:r>
        <w:rPr>
          <w:rtl/>
        </w:rPr>
        <w:t xml:space="preserve"> </w:t>
      </w:r>
      <w:r w:rsidRPr="005D642E">
        <w:rPr>
          <w:rtl/>
          <w:lang w:bidi="fa-IR"/>
        </w:rPr>
        <w:t>تُوضَعُ وَقَدْ كُبِّرَ عَلَى الْأَوَّلَةِ‌</w:t>
      </w:r>
      <w:bookmarkEnd w:id="431"/>
      <w:bookmarkEnd w:id="432"/>
      <w:bookmarkEnd w:id="433"/>
    </w:p>
    <w:p w:rsidR="00E3253D" w:rsidRPr="005D642E" w:rsidRDefault="00E3253D" w:rsidP="00E3253D">
      <w:pPr>
        <w:pStyle w:val="libNormal"/>
        <w:rPr>
          <w:rtl/>
          <w:lang w:bidi="fa-IR"/>
        </w:rPr>
      </w:pPr>
      <w:r w:rsidRPr="009E50CE">
        <w:rPr>
          <w:rtl/>
        </w:rPr>
        <w:t>4530</w:t>
      </w:r>
      <w:r w:rsidRPr="00246318">
        <w:rPr>
          <w:rStyle w:val="libBold2Char"/>
          <w:rtl/>
        </w:rPr>
        <w:t xml:space="preserve"> / 1.</w:t>
      </w:r>
      <w:r w:rsidRPr="005D642E">
        <w:rPr>
          <w:rtl/>
          <w:lang w:bidi="fa-IR"/>
        </w:rPr>
        <w:t xml:space="preserve"> مُحَمَّدُ بْنُ يَحْيى ، عَنِ الْعَمْرَكِيِّ ، عَنْ عَلِيِّ بْنِ جَعْفَرٍ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فقه الرضا</w:t>
      </w:r>
      <w:r w:rsidR="00E3253D" w:rsidRPr="005D642E">
        <w:rPr>
          <w:rtl/>
        </w:rPr>
        <w:t xml:space="preserve"> </w:t>
      </w:r>
      <w:r w:rsidR="00E3253D" w:rsidRPr="00D17E28">
        <w:rPr>
          <w:rStyle w:val="libFootnoteAlaemChar"/>
          <w:rtl/>
        </w:rPr>
        <w:t>عليه‌السلام</w:t>
      </w:r>
      <w:r w:rsidR="00E3253D" w:rsidRPr="005D642E">
        <w:rPr>
          <w:rtl/>
        </w:rPr>
        <w:t xml:space="preserve"> ، ص 177 ، وفيه : « وإذا كان الميّت مخالفاً فقل في تكبيرك الرابعة : اللهمّ أخز عبدك</w:t>
      </w:r>
      <w:r w:rsidR="00E3253D">
        <w:rPr>
          <w:rtl/>
        </w:rPr>
        <w:t xml:space="preserve"> ..</w:t>
      </w:r>
      <w:r w:rsidR="00E3253D" w:rsidRPr="005D642E">
        <w:rPr>
          <w:rtl/>
        </w:rPr>
        <w:t xml:space="preserve">. » </w:t>
      </w:r>
      <w:r w:rsidR="00D17E28">
        <w:rPr>
          <w:rFonts w:hint="cs"/>
          <w:rtl/>
        </w:rPr>
        <w:t>.</w:t>
      </w:r>
      <w:r w:rsidR="00E3253D" w:rsidRPr="002F4D34">
        <w:rPr>
          <w:rStyle w:val="libFootnoteBoldChar"/>
          <w:rtl/>
        </w:rPr>
        <w:t>الوافي</w:t>
      </w:r>
      <w:r w:rsidR="00E3253D" w:rsidRPr="005D642E">
        <w:rPr>
          <w:rtl/>
        </w:rPr>
        <w:t xml:space="preserve"> ، ج 24 ، ص 465 ، ح 24450 ؛ </w:t>
      </w:r>
      <w:r w:rsidR="00E3253D" w:rsidRPr="002F4D34">
        <w:rPr>
          <w:rStyle w:val="libFootnoteBoldChar"/>
          <w:rtl/>
        </w:rPr>
        <w:t>الوسائل</w:t>
      </w:r>
      <w:r w:rsidR="00E3253D" w:rsidRPr="005D642E">
        <w:rPr>
          <w:rtl/>
        </w:rPr>
        <w:t xml:space="preserve"> ، ج 3 ، ص 70 ، ح 3041.</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بث ، بح » : « عبدالله بن الحجّال</w:t>
      </w:r>
      <w:r w:rsidR="00E3253D">
        <w:rPr>
          <w:rtl/>
        </w:rPr>
        <w:t xml:space="preserve"> ».</w:t>
      </w:r>
      <w:r w:rsidR="00E3253D" w:rsidRPr="005D642E">
        <w:rPr>
          <w:rtl/>
        </w:rPr>
        <w:t xml:space="preserve"> وعبدالله هذا ، هو عبدالله بن محمّد الحجّال ، روى في الأسناد بعنوان</w:t>
      </w:r>
      <w:r w:rsidR="00D17E28">
        <w:rPr>
          <w:rFonts w:hint="cs"/>
          <w:rtl/>
        </w:rPr>
        <w:t xml:space="preserve"> </w:t>
      </w:r>
      <w:r w:rsidR="00E3253D" w:rsidRPr="005D642E">
        <w:rPr>
          <w:rtl/>
        </w:rPr>
        <w:t xml:space="preserve">‌الحجّال ، وعبدالله بن محمّد الحجّال ، وعبدالله الحجّال وأبي محمّد الحجّال. راجع : </w:t>
      </w:r>
      <w:r w:rsidR="00E3253D" w:rsidRPr="002F4D34">
        <w:rPr>
          <w:rStyle w:val="libFootnoteBoldChar"/>
          <w:rtl/>
        </w:rPr>
        <w:t>رجال النّجاشي</w:t>
      </w:r>
      <w:r w:rsidR="00E3253D" w:rsidRPr="005D642E">
        <w:rPr>
          <w:rtl/>
        </w:rPr>
        <w:t xml:space="preserve"> ، ص 226 ، الرقم 595 ؛ </w:t>
      </w:r>
      <w:r w:rsidR="00E3253D" w:rsidRPr="002F4D34">
        <w:rPr>
          <w:rStyle w:val="libFootnoteBoldChar"/>
          <w:rtl/>
        </w:rPr>
        <w:t>رجال الطوسي</w:t>
      </w:r>
      <w:r w:rsidR="00E3253D" w:rsidRPr="005D642E">
        <w:rPr>
          <w:rtl/>
        </w:rPr>
        <w:t xml:space="preserve"> ، ص 360 ، الرقم 5332 ؛ </w:t>
      </w:r>
      <w:r w:rsidR="00E3253D" w:rsidRPr="002F4D34">
        <w:rPr>
          <w:rStyle w:val="libFootnoteBoldChar"/>
          <w:rtl/>
        </w:rPr>
        <w:t>معجم رجال الحديث</w:t>
      </w:r>
      <w:r w:rsidR="00E3253D" w:rsidRPr="005D642E">
        <w:rPr>
          <w:rtl/>
        </w:rPr>
        <w:t xml:space="preserve"> ، ج 10 ، ص 315 ، الرقم 7139 ؛ وص 384 ، الرقم 7238 ؛ وج 22 ، ص 38 ، الرقم 14768 ؛ وج 23 ، ص 77 ، الرقم 15280.</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مفاد العاطف هو الترديد في أنّ الراوي عن أبي عبدالله </w:t>
      </w:r>
      <w:r w:rsidR="00E3253D" w:rsidRPr="004E3AA3">
        <w:rPr>
          <w:rStyle w:val="libFootnoteAlaemChar"/>
          <w:rtl/>
        </w:rPr>
        <w:t>عليه‌السلام</w:t>
      </w:r>
      <w:r w:rsidR="00E3253D" w:rsidRPr="005D642E">
        <w:rPr>
          <w:rtl/>
        </w:rPr>
        <w:t xml:space="preserve"> ، هل هو حمّاد بن عثمان أو حمّاد بن عثمان عمّن ذكره ، فيشتمل السند على تحويل ترديدي.</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قوله : قال ، القائل هو الراوي ، قوله : قال : الل</w:t>
      </w:r>
      <w:r w:rsidR="004E3AA3">
        <w:rPr>
          <w:rFonts w:hint="cs"/>
          <w:rtl/>
        </w:rPr>
        <w:t>ّ</w:t>
      </w:r>
      <w:r w:rsidR="00E3253D" w:rsidRPr="005D642E">
        <w:rPr>
          <w:rtl/>
        </w:rPr>
        <w:t xml:space="preserve">همّ ، القائل هو الصادق </w:t>
      </w:r>
      <w:r w:rsidR="00E3253D" w:rsidRPr="004E3AA3">
        <w:rPr>
          <w:rStyle w:val="libFootnoteAlaemChar"/>
          <w:rtl/>
        </w:rPr>
        <w:t>عليه‌السلام</w:t>
      </w:r>
      <w:r w:rsidR="00E3253D" w:rsidRPr="005D642E">
        <w:rPr>
          <w:rtl/>
        </w:rPr>
        <w:t xml:space="preserve"> ، قوله : ولا أعلمه ، أي‌أظنّه ، وهذا كلام الراوي ، أي أظنّ أنّه </w:t>
      </w:r>
      <w:r w:rsidR="00E3253D" w:rsidRPr="004E3AA3">
        <w:rPr>
          <w:rStyle w:val="libFootnoteAlaemChar"/>
          <w:rtl/>
        </w:rPr>
        <w:t>عليه‌السلام</w:t>
      </w:r>
      <w:r w:rsidR="00E3253D" w:rsidRPr="005D642E">
        <w:rPr>
          <w:rtl/>
        </w:rPr>
        <w:t xml:space="preserve"> قال : وكانت عدوّة لله‌ولنا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E3AA3" w:rsidTr="004E3AA3">
        <w:tc>
          <w:tcPr>
            <w:tcW w:w="4006" w:type="dxa"/>
          </w:tcPr>
          <w:p w:rsidR="004E3AA3" w:rsidRDefault="004E3AA3" w:rsidP="00E3253D">
            <w:pPr>
              <w:pStyle w:val="libFootnote0"/>
              <w:rPr>
                <w:rStyle w:val="libFootnote0Char"/>
                <w:rtl/>
              </w:rPr>
            </w:pPr>
            <w:r w:rsidRPr="0042621E">
              <w:rPr>
                <w:rStyle w:val="libFootnote0Char"/>
                <w:rtl/>
              </w:rPr>
              <w:t>(5).</w:t>
            </w:r>
            <w:r w:rsidRPr="005D642E">
              <w:rPr>
                <w:rtl/>
              </w:rPr>
              <w:t xml:space="preserve"> في الوافي : « فحضرها</w:t>
            </w:r>
            <w:r>
              <w:rPr>
                <w:rtl/>
              </w:rPr>
              <w:t xml:space="preserve"> ».</w:t>
            </w:r>
          </w:p>
        </w:tc>
        <w:tc>
          <w:tcPr>
            <w:tcW w:w="4006" w:type="dxa"/>
          </w:tcPr>
          <w:p w:rsidR="004E3AA3" w:rsidRDefault="004E3AA3" w:rsidP="00E3253D">
            <w:pPr>
              <w:pStyle w:val="libFootnote0"/>
              <w:rPr>
                <w:rStyle w:val="libFootnote0Char"/>
                <w:rtl/>
              </w:rPr>
            </w:pPr>
            <w:r w:rsidRPr="0042621E">
              <w:rPr>
                <w:rStyle w:val="libFootnote0Char"/>
                <w:rtl/>
              </w:rPr>
              <w:t>(6).</w:t>
            </w:r>
            <w:r w:rsidRPr="005D642E">
              <w:rPr>
                <w:rtl/>
              </w:rPr>
              <w:t xml:space="preserve"> في « غ » : « فلا ترفعها</w:t>
            </w:r>
            <w:r>
              <w:rPr>
                <w:rtl/>
              </w:rPr>
              <w:t xml:space="preserve"> ».</w:t>
            </w:r>
          </w:p>
        </w:tc>
      </w:tr>
      <w:tr w:rsidR="004E3AA3" w:rsidTr="004E3AA3">
        <w:tc>
          <w:tcPr>
            <w:tcW w:w="4006" w:type="dxa"/>
          </w:tcPr>
          <w:p w:rsidR="004E3AA3" w:rsidRDefault="004E3AA3" w:rsidP="00E3253D">
            <w:pPr>
              <w:pStyle w:val="libFootnote0"/>
              <w:rPr>
                <w:rStyle w:val="libFootnote0Char"/>
                <w:rtl/>
              </w:rPr>
            </w:pPr>
            <w:r w:rsidRPr="0042621E">
              <w:rPr>
                <w:rStyle w:val="libFootnote0Char"/>
                <w:rtl/>
              </w:rPr>
              <w:t>(7).</w:t>
            </w:r>
            <w:r w:rsidRPr="005D642E">
              <w:rPr>
                <w:rtl/>
              </w:rPr>
              <w:t xml:space="preserve"> في « ى » : « الله</w:t>
            </w:r>
            <w:r>
              <w:rPr>
                <w:rtl/>
              </w:rPr>
              <w:t xml:space="preserve"> ».</w:t>
            </w:r>
          </w:p>
        </w:tc>
        <w:tc>
          <w:tcPr>
            <w:tcW w:w="4006" w:type="dxa"/>
          </w:tcPr>
          <w:p w:rsidR="004E3AA3" w:rsidRDefault="004E3AA3" w:rsidP="00E3253D">
            <w:pPr>
              <w:pStyle w:val="libFootnote0"/>
              <w:rPr>
                <w:rStyle w:val="libFootnote0Char"/>
                <w:rtl/>
              </w:rPr>
            </w:pPr>
            <w:r w:rsidRPr="0042621E">
              <w:rPr>
                <w:rStyle w:val="libFootnote0Char"/>
                <w:rtl/>
              </w:rPr>
              <w:t>(8).</w:t>
            </w:r>
            <w:r w:rsidRPr="005D642E">
              <w:rPr>
                <w:rtl/>
              </w:rPr>
              <w:t xml:space="preserve"> في الوافي :</w:t>
            </w:r>
            <w:r>
              <w:rPr>
                <w:rtl/>
              </w:rPr>
              <w:t xml:space="preserve"> - </w:t>
            </w:r>
            <w:r w:rsidRPr="005D642E">
              <w:rPr>
                <w:rtl/>
              </w:rPr>
              <w:t>« قال</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الوسائل : « ولا أعلم</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24 ، ص 466 ، ح 24453 ؛ </w:t>
      </w:r>
      <w:r w:rsidR="00E3253D" w:rsidRPr="002F4D34">
        <w:rPr>
          <w:rStyle w:val="libFootnoteBoldChar"/>
          <w:rtl/>
        </w:rPr>
        <w:t>الوسائل</w:t>
      </w:r>
      <w:r w:rsidR="00E3253D" w:rsidRPr="005D642E">
        <w:rPr>
          <w:rtl/>
        </w:rPr>
        <w:t xml:space="preserve"> ، ج 3 ، ص 72 ، ح 3045.</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مرآة العقول :</w:t>
      </w:r>
      <w:r w:rsidR="00E3253D">
        <w:rPr>
          <w:rtl/>
        </w:rPr>
        <w:t xml:space="preserve"> </w:t>
      </w:r>
      <w:r w:rsidR="007642BC">
        <w:rPr>
          <w:rtl/>
        </w:rPr>
        <w:t>-</w:t>
      </w:r>
      <w:r w:rsidR="00E3253D">
        <w:rPr>
          <w:rtl/>
        </w:rPr>
        <w:t xml:space="preserve"> </w:t>
      </w:r>
      <w:r w:rsidR="00E3253D" w:rsidRPr="005D642E">
        <w:rPr>
          <w:rtl/>
        </w:rPr>
        <w:t>« في</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أَخِيهِ مُوسَى بْنِ جَعْفَرٍ </w:t>
      </w:r>
      <w:r w:rsidRPr="00AC51C5">
        <w:rPr>
          <w:rStyle w:val="libAlaemChar"/>
          <w:rtl/>
        </w:rPr>
        <w:t>عليهما‌السلام</w:t>
      </w:r>
      <w:r w:rsidRPr="005D642E">
        <w:rPr>
          <w:rtl/>
          <w:lang w:bidi="fa-IR"/>
        </w:rPr>
        <w:t xml:space="preserve"> ، قَالَ : سَأَلْتُهُ عَنْ قَوْمٍ كَبَّرُوا عَلى جَنَازَةٍ تَكْبِيرَةً أَوْ ثِنْتَيْنِ </w:t>
      </w:r>
      <w:r w:rsidRPr="007C12DB">
        <w:rPr>
          <w:rStyle w:val="libFootnotenumChar"/>
          <w:rtl/>
        </w:rPr>
        <w:t>(1)</w:t>
      </w:r>
      <w:r w:rsidRPr="005D642E">
        <w:rPr>
          <w:rtl/>
          <w:lang w:bidi="fa-IR"/>
        </w:rPr>
        <w:t xml:space="preserve"> ، وَوُضِعَتْ مَعَهَا أُخْرى : كَيْفَ يَصْنَعُونَ </w:t>
      </w:r>
      <w:r w:rsidRPr="007C12DB">
        <w:rPr>
          <w:rStyle w:val="libFootnotenumChar"/>
          <w:rtl/>
        </w:rPr>
        <w:t>(2)</w:t>
      </w:r>
      <w:r>
        <w:rPr>
          <w:rtl/>
          <w:lang w:bidi="fa-IR"/>
        </w:rPr>
        <w:t>؟</w:t>
      </w:r>
    </w:p>
    <w:p w:rsidR="00E3253D" w:rsidRPr="005D642E" w:rsidRDefault="00E3253D" w:rsidP="00611C4B">
      <w:pPr>
        <w:pStyle w:val="libNormal"/>
        <w:rPr>
          <w:rtl/>
          <w:lang w:bidi="fa-IR"/>
        </w:rPr>
      </w:pPr>
      <w:r w:rsidRPr="005D642E">
        <w:rPr>
          <w:rtl/>
          <w:lang w:bidi="fa-IR"/>
        </w:rPr>
        <w:t xml:space="preserve">قَالَ : « إِنْ شَاؤُوا ، تَرَكُوا الْأُولى حَتّى يَفْرُغُوا مِنَ التَّكْبِيرِ </w:t>
      </w:r>
      <w:r w:rsidRPr="007C12DB">
        <w:rPr>
          <w:rStyle w:val="libFootnotenumChar"/>
          <w:rtl/>
        </w:rPr>
        <w:t>(3)</w:t>
      </w:r>
      <w:r w:rsidRPr="005D642E">
        <w:rPr>
          <w:rtl/>
          <w:lang w:bidi="fa-IR"/>
        </w:rPr>
        <w:t xml:space="preserve"> عَلَى الْأَخِيرَةِ ، وَإِنْ شَاؤُوا رَفَعُوا الْأُولى </w:t>
      </w:r>
      <w:r w:rsidRPr="007C12DB">
        <w:rPr>
          <w:rStyle w:val="libFootnotenumChar"/>
          <w:rtl/>
        </w:rPr>
        <w:t>(4)</w:t>
      </w:r>
      <w:r w:rsidRPr="005D642E">
        <w:rPr>
          <w:rtl/>
          <w:lang w:bidi="fa-IR"/>
        </w:rPr>
        <w:t xml:space="preserve"> ، وَأَتَمُّوا مَا بَقِيَ </w:t>
      </w:r>
      <w:r w:rsidRPr="007C12DB">
        <w:rPr>
          <w:rStyle w:val="libFootnotenumChar"/>
          <w:rtl/>
        </w:rPr>
        <w:t>(5)</w:t>
      </w:r>
      <w:r w:rsidRPr="005D642E">
        <w:rPr>
          <w:rtl/>
          <w:lang w:bidi="fa-IR"/>
        </w:rPr>
        <w:t xml:space="preserve"> عَلَى الْأَخِيرَةِ </w:t>
      </w:r>
      <w:r w:rsidRPr="007C12DB">
        <w:rPr>
          <w:rStyle w:val="libFootnotenumChar"/>
          <w:rtl/>
        </w:rPr>
        <w:t>(6)</w:t>
      </w:r>
      <w:r w:rsidRPr="005D642E">
        <w:rPr>
          <w:rtl/>
          <w:lang w:bidi="fa-IR"/>
        </w:rPr>
        <w:t xml:space="preserve"> ؛ كُلُّ ذلِكَ لَابَأْسَ بِهِ</w:t>
      </w:r>
      <w:r>
        <w:rPr>
          <w:rtl/>
          <w:lang w:bidi="fa-IR"/>
        </w:rPr>
        <w:t xml:space="preserve"> ».</w:t>
      </w:r>
      <w:r w:rsidRPr="005D642E">
        <w:rPr>
          <w:rtl/>
          <w:lang w:bidi="fa-IR"/>
        </w:rPr>
        <w:t xml:space="preserve"> </w:t>
      </w:r>
      <w:r w:rsidRPr="007C12DB">
        <w:rPr>
          <w:rStyle w:val="libFootnotenumChar"/>
          <w:rtl/>
        </w:rPr>
        <w:t>(7)</w:t>
      </w:r>
    </w:p>
    <w:p w:rsidR="00E3253D" w:rsidRPr="005D642E" w:rsidRDefault="00E3253D" w:rsidP="00E3253D">
      <w:pPr>
        <w:pStyle w:val="Heading2Center"/>
        <w:rPr>
          <w:rtl/>
          <w:lang w:bidi="fa-IR"/>
        </w:rPr>
      </w:pPr>
      <w:bookmarkStart w:id="434" w:name="_Toc344647355"/>
      <w:bookmarkStart w:id="435" w:name="_Toc462226869"/>
      <w:bookmarkStart w:id="436" w:name="_Toc40975978"/>
      <w:r w:rsidRPr="005D642E">
        <w:rPr>
          <w:rtl/>
          <w:lang w:bidi="fa-IR"/>
        </w:rPr>
        <w:t>60</w:t>
      </w:r>
      <w:r>
        <w:rPr>
          <w:rtl/>
          <w:lang w:bidi="fa-IR"/>
        </w:rPr>
        <w:t xml:space="preserve"> </w:t>
      </w:r>
      <w:r w:rsidR="007642BC">
        <w:rPr>
          <w:rtl/>
          <w:lang w:bidi="fa-IR"/>
        </w:rPr>
        <w:t>-</w:t>
      </w:r>
      <w:r>
        <w:rPr>
          <w:rtl/>
          <w:lang w:bidi="fa-IR"/>
        </w:rPr>
        <w:t xml:space="preserve"> </w:t>
      </w:r>
      <w:r w:rsidRPr="005D642E">
        <w:rPr>
          <w:rtl/>
          <w:lang w:bidi="fa-IR"/>
        </w:rPr>
        <w:t>بَابٌ فِي وَضْعِ الْجَنَازَةِ دُونَ الْقَبْرِ‌</w:t>
      </w:r>
      <w:bookmarkEnd w:id="434"/>
      <w:bookmarkEnd w:id="435"/>
      <w:bookmarkEnd w:id="436"/>
    </w:p>
    <w:p w:rsidR="00E3253D" w:rsidRPr="005D642E" w:rsidRDefault="00E3253D" w:rsidP="00E3253D">
      <w:pPr>
        <w:pStyle w:val="libNormal"/>
        <w:rPr>
          <w:rtl/>
          <w:lang w:bidi="fa-IR"/>
        </w:rPr>
      </w:pPr>
      <w:r w:rsidRPr="009E50CE">
        <w:rPr>
          <w:rtl/>
        </w:rPr>
        <w:t>4531</w:t>
      </w:r>
      <w:r w:rsidRPr="00246318">
        <w:rPr>
          <w:rStyle w:val="libBold2Char"/>
          <w:rtl/>
        </w:rPr>
        <w:t xml:space="preserve"> / 1.</w:t>
      </w:r>
      <w:r w:rsidRPr="005D642E">
        <w:rPr>
          <w:rtl/>
          <w:lang w:bidi="fa-IR"/>
        </w:rPr>
        <w:t xml:space="preserve"> عِدَّةٌ مِنْ أَصْحَابِنَا ، عَنْ سَهْلِ بْنِ زِيَادٍ ، عَنْ مُحَمَّدِ بْنِ سِنَانٍ ، عَنْ مُحَمَّدِ بْنِ عَجْلَانَ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لَا تَفْدَحْ </w:t>
      </w:r>
      <w:r w:rsidRPr="007C12DB">
        <w:rPr>
          <w:rStyle w:val="libFootnotenumChar"/>
          <w:rtl/>
        </w:rPr>
        <w:t>(8)</w:t>
      </w:r>
      <w:r w:rsidRPr="005D642E">
        <w:rPr>
          <w:rtl/>
          <w:lang w:bidi="fa-IR"/>
        </w:rPr>
        <w:t xml:space="preserve"> </w:t>
      </w:r>
      <w:r w:rsidR="00AC7170">
        <w:rPr>
          <w:rFonts w:hint="cs"/>
          <w:rtl/>
          <w:lang w:bidi="fa-IR"/>
        </w:rPr>
        <w:t>........................................</w:t>
      </w:r>
      <w:r w:rsidR="00AC7170">
        <w:rPr>
          <w:rFonts w:hint="cs"/>
          <w:rtl/>
          <w:lang w:bidi="fa-IR"/>
        </w:rPr>
        <w:tab/>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جح » </w:t>
      </w:r>
      <w:r w:rsidR="000D749A" w:rsidRPr="000D749A">
        <w:rPr>
          <w:rStyle w:val="libFootnoteBoldChar"/>
          <w:rtl/>
        </w:rPr>
        <w:t>والوافي</w:t>
      </w:r>
      <w:r w:rsidR="00E3253D" w:rsidRPr="005D642E">
        <w:rPr>
          <w:rtl/>
        </w:rPr>
        <w:t xml:space="preserve"> : « أو اثنتين</w:t>
      </w:r>
      <w:r w:rsidR="00E3253D">
        <w:rPr>
          <w:rtl/>
        </w:rPr>
        <w:t xml:space="preserve"> ».</w:t>
      </w:r>
      <w:r w:rsidR="00E3253D" w:rsidRPr="005D642E">
        <w:rPr>
          <w:rtl/>
        </w:rPr>
        <w:t xml:space="preserve"> وفي حاشية « بح » : « أو تكبيرتين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والبحار </w:t>
      </w:r>
      <w:r w:rsidR="00B60612" w:rsidRPr="00B60612">
        <w:rPr>
          <w:rStyle w:val="libFootnoteBoldChar"/>
          <w:rtl/>
        </w:rPr>
        <w:t>والتهذيب</w:t>
      </w:r>
      <w:r w:rsidR="00E3253D" w:rsidRPr="005D642E">
        <w:rPr>
          <w:rtl/>
        </w:rPr>
        <w:t>. وفي « بح » والمطبوع : + « بها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بخ ، بس » : « التكبيرة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الوافي</w:t>
      </w:r>
      <w:r w:rsidR="00E3253D" w:rsidRPr="005D642E">
        <w:rPr>
          <w:rtl/>
        </w:rPr>
        <w:t xml:space="preserve"> : « كأنّه </w:t>
      </w:r>
      <w:r w:rsidR="00E3253D" w:rsidRPr="002E5D68">
        <w:rPr>
          <w:rStyle w:val="libFootnoteAlaemChar"/>
          <w:rtl/>
        </w:rPr>
        <w:t>عليه‌السلام</w:t>
      </w:r>
      <w:r w:rsidR="00E3253D" w:rsidRPr="005D642E">
        <w:rPr>
          <w:rtl/>
        </w:rPr>
        <w:t xml:space="preserve"> قد عرف من السائل أنّه زعم جواز احتساب ما بقي من التكبيرات على الا</w:t>
      </w:r>
      <w:r w:rsidR="002E5D68">
        <w:rPr>
          <w:rFonts w:hint="cs"/>
          <w:rtl/>
        </w:rPr>
        <w:t>ُ</w:t>
      </w:r>
      <w:r w:rsidR="00E3253D" w:rsidRPr="005D642E">
        <w:rPr>
          <w:rtl/>
        </w:rPr>
        <w:t>ولى للاحقه ، والاكتفاء بإتمامها عليها من دون استئنا</w:t>
      </w:r>
      <w:r w:rsidR="00902B81">
        <w:rPr>
          <w:rtl/>
        </w:rPr>
        <w:t>ف ، وأنّ غرضه من السؤال ليس إل</w:t>
      </w:r>
      <w:r w:rsidR="00902B81">
        <w:rPr>
          <w:rFonts w:hint="cs"/>
          <w:rtl/>
        </w:rPr>
        <w:t>ّ</w:t>
      </w:r>
      <w:r w:rsidR="00902B81">
        <w:rPr>
          <w:rtl/>
        </w:rPr>
        <w:t>ا</w:t>
      </w:r>
      <w:r w:rsidR="00E3253D" w:rsidRPr="005D642E">
        <w:rPr>
          <w:rtl/>
        </w:rPr>
        <w:t>جواز رفع الا</w:t>
      </w:r>
      <w:r w:rsidR="00431E6C">
        <w:rPr>
          <w:rFonts w:hint="cs"/>
          <w:rtl/>
        </w:rPr>
        <w:t>ُ</w:t>
      </w:r>
      <w:r w:rsidR="00E3253D" w:rsidRPr="005D642E">
        <w:rPr>
          <w:rtl/>
        </w:rPr>
        <w:t>ولى قبل الفراغ من الإتمام على الثا</w:t>
      </w:r>
      <w:r w:rsidR="00431E6C">
        <w:rPr>
          <w:rtl/>
        </w:rPr>
        <w:t>نية ، ولهذا أجابه بذلك ، وإل</w:t>
      </w:r>
      <w:r w:rsidR="00431E6C">
        <w:rPr>
          <w:rFonts w:hint="cs"/>
          <w:rtl/>
        </w:rPr>
        <w:t>ّ</w:t>
      </w:r>
      <w:r w:rsidR="00431E6C">
        <w:rPr>
          <w:rtl/>
        </w:rPr>
        <w:t>ا</w:t>
      </w:r>
      <w:r w:rsidR="00E3253D" w:rsidRPr="005D642E">
        <w:rPr>
          <w:rtl/>
        </w:rPr>
        <w:t xml:space="preserve"> فظاهر كلام السائل يعطي أنّ غرضه بالسؤال عن الاكتفاء بالإتمام أو الاستئناف</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ج 14 ، ص 80 : « يحتمل أن يكون المراد إتمام الصلاة على الا</w:t>
      </w:r>
      <w:r w:rsidR="00431E6C">
        <w:rPr>
          <w:rFonts w:hint="cs"/>
          <w:rtl/>
        </w:rPr>
        <w:t>ُ</w:t>
      </w:r>
      <w:r w:rsidR="00E3253D" w:rsidRPr="005D642E">
        <w:rPr>
          <w:rtl/>
        </w:rPr>
        <w:t>ولى واستئناف الصلاة على الأخيرة مع التخيير في رفع الجنازة الا</w:t>
      </w:r>
      <w:r w:rsidR="00CB455D">
        <w:rPr>
          <w:rFonts w:hint="cs"/>
          <w:rtl/>
        </w:rPr>
        <w:t>ُ</w:t>
      </w:r>
      <w:r w:rsidR="00E3253D" w:rsidRPr="005D642E">
        <w:rPr>
          <w:rtl/>
        </w:rPr>
        <w:t xml:space="preserve">ولى حال الصلاة على الأخيرة ووضعها بأن يكون المراد بقوله </w:t>
      </w:r>
      <w:r w:rsidR="00E3253D" w:rsidRPr="002E5D68">
        <w:rPr>
          <w:rStyle w:val="libFootnoteAlaemChar"/>
          <w:rtl/>
        </w:rPr>
        <w:t>عليه‌السلام</w:t>
      </w:r>
      <w:r w:rsidR="00E3253D" w:rsidRPr="005D642E">
        <w:rPr>
          <w:rtl/>
        </w:rPr>
        <w:t xml:space="preserve"> : وأتمّوا ، إيقاع الصلاة تماماً</w:t>
      </w:r>
      <w:r w:rsidR="00E3253D">
        <w:rPr>
          <w:rtl/>
        </w:rPr>
        <w:t xml:space="preserve"> ».</w:t>
      </w:r>
      <w:r w:rsidR="00E3253D" w:rsidRPr="005D642E">
        <w:rPr>
          <w:rtl/>
        </w:rPr>
        <w:t xml:space="preserve"> وللمزيد راجع : </w:t>
      </w:r>
      <w:r w:rsidR="00E3253D" w:rsidRPr="002F4D34">
        <w:rPr>
          <w:rStyle w:val="libFootnoteBoldChar"/>
          <w:rtl/>
        </w:rPr>
        <w:t>ذكرى الشيعة</w:t>
      </w:r>
      <w:r w:rsidR="00E3253D" w:rsidRPr="005D642E">
        <w:rPr>
          <w:rtl/>
        </w:rPr>
        <w:t xml:space="preserve"> ، ج 1 ، ص 463 </w:t>
      </w:r>
      <w:r w:rsidR="00E3253D">
        <w:rPr>
          <w:rtl/>
        </w:rPr>
        <w:t>و 4</w:t>
      </w:r>
      <w:r w:rsidR="00E3253D" w:rsidRPr="005D642E">
        <w:rPr>
          <w:rtl/>
        </w:rPr>
        <w:t>64.</w:t>
      </w:r>
    </w:p>
    <w:p w:rsidR="00E3253D" w:rsidRPr="005D642E" w:rsidRDefault="0042621E" w:rsidP="00CB455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2E5D68">
        <w:rPr>
          <w:rStyle w:val="libFootnoteAlaemChar"/>
          <w:rtl/>
        </w:rPr>
        <w:t>عليه‌السلام</w:t>
      </w:r>
      <w:r w:rsidR="00E3253D" w:rsidRPr="005D642E">
        <w:rPr>
          <w:rtl/>
        </w:rPr>
        <w:t xml:space="preserve"> : ما بقي ، أي الصلاة الباقية ، لا التكبيرات الباقية ، كما ذكره بعض المتأخّرين ولايخفى بعده</w:t>
      </w:r>
      <w:r w:rsidR="00E3253D">
        <w:rPr>
          <w:rtl/>
        </w:rPr>
        <w:t xml:space="preserve"> ».</w:t>
      </w:r>
      <w:r w:rsidR="00CB455D">
        <w:rPr>
          <w:rFonts w:hint="cs"/>
          <w:rtl/>
        </w:rPr>
        <w:t xml:space="preserve">                                     </w:t>
      </w:r>
      <w:r w:rsidRPr="0042621E">
        <w:rPr>
          <w:rStyle w:val="libFootnote0Char"/>
          <w:rtl/>
        </w:rPr>
        <w:t>(6).</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وإن شاؤوا رفعوا</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على الأخيرة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3 ، ص 327 ، ح 1020 ، معلّقاً عن محمّد بن يحيى </w:t>
      </w:r>
      <w:r w:rsidR="00CB455D">
        <w:rPr>
          <w:rFonts w:hint="cs"/>
          <w:rtl/>
        </w:rPr>
        <w:t>.</w:t>
      </w:r>
      <w:r w:rsidR="00E3253D" w:rsidRPr="002F4D34">
        <w:rPr>
          <w:rStyle w:val="libFootnoteBoldChar"/>
          <w:rtl/>
        </w:rPr>
        <w:t>الوافي</w:t>
      </w:r>
      <w:r w:rsidR="00E3253D" w:rsidRPr="005D642E">
        <w:rPr>
          <w:rtl/>
        </w:rPr>
        <w:t xml:space="preserve"> ، ج 24 ، ص 467 ، ح 24454 ؛ </w:t>
      </w:r>
      <w:r w:rsidR="00E3253D" w:rsidRPr="002F4D34">
        <w:rPr>
          <w:rStyle w:val="libFootnoteBoldChar"/>
          <w:rtl/>
        </w:rPr>
        <w:t>الوسائل</w:t>
      </w:r>
      <w:r w:rsidR="00E3253D" w:rsidRPr="005D642E">
        <w:rPr>
          <w:rtl/>
        </w:rPr>
        <w:t xml:space="preserve"> ، ج 3 ، ص 129 ، ح 3207 ؛ </w:t>
      </w:r>
      <w:r w:rsidR="00E3253D" w:rsidRPr="002F4D34">
        <w:rPr>
          <w:rStyle w:val="libFootnoteBoldChar"/>
          <w:rtl/>
        </w:rPr>
        <w:t>البحار</w:t>
      </w:r>
      <w:r w:rsidR="00E3253D" w:rsidRPr="005D642E">
        <w:rPr>
          <w:rtl/>
        </w:rPr>
        <w:t xml:space="preserve"> ، ج 81 ، ص 363.</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لاتفدح » ، أي لاتُثقل ، يقال : فدحه الدين ، كمنع ، أي أثقله ، والفادحة : النازلة ،</w:t>
      </w:r>
      <w:r w:rsidR="00CB455D">
        <w:rPr>
          <w:rtl/>
        </w:rPr>
        <w:t xml:space="preserve"> وهي المصيبة الشديدة. قال‌العل</w:t>
      </w:r>
      <w:r w:rsidR="00CB455D">
        <w:rPr>
          <w:rFonts w:hint="cs"/>
          <w:rtl/>
        </w:rPr>
        <w:t>ّ</w:t>
      </w:r>
      <w:r w:rsidR="00CB455D">
        <w:rPr>
          <w:rtl/>
        </w:rPr>
        <w:t>ا</w:t>
      </w:r>
      <w:r w:rsidR="00E3253D" w:rsidRPr="005D642E">
        <w:rPr>
          <w:rtl/>
        </w:rPr>
        <w:t>مة المجلسي : « لعلّ المراد : لاتجعل القبر ودخوله ثقيلاً على ميّتك بإدخاله مفاجأة</w:t>
      </w:r>
      <w:r w:rsidR="00E3253D">
        <w:rPr>
          <w:rtl/>
        </w:rPr>
        <w:t xml:space="preserve"> ».</w:t>
      </w:r>
      <w:r w:rsidR="0085171C">
        <w:rPr>
          <w:rtl/>
        </w:rPr>
        <w:t xml:space="preserve"> وقال العل</w:t>
      </w:r>
      <w:r w:rsidR="0085171C">
        <w:rPr>
          <w:rFonts w:hint="cs"/>
          <w:rtl/>
        </w:rPr>
        <w:t>ّ</w:t>
      </w:r>
      <w:r w:rsidR="0085171C">
        <w:rPr>
          <w:rtl/>
        </w:rPr>
        <w:t>ا</w:t>
      </w:r>
      <w:r w:rsidR="00E3253D" w:rsidRPr="005D642E">
        <w:rPr>
          <w:rtl/>
        </w:rPr>
        <w:t xml:space="preserve">مة الفيض : « لاتفدح بميّتك القبر ، أي لاتفجأه كأنّك تجور عليه ؛ من الفدح بمعنى الجور ، والفادحة : النازلة » ولكن لا تساعده اللغة. راجع : </w:t>
      </w:r>
      <w:r w:rsidR="00E3253D" w:rsidRPr="002F4D34">
        <w:rPr>
          <w:rStyle w:val="libFootnoteBoldChar"/>
          <w:rtl/>
        </w:rPr>
        <w:t>الصحاح</w:t>
      </w:r>
      <w:r w:rsidR="00E3253D" w:rsidRPr="005D642E">
        <w:rPr>
          <w:rtl/>
        </w:rPr>
        <w:t xml:space="preserve"> ، ج 1 ، ص 390 ؛ </w:t>
      </w:r>
      <w:r w:rsidR="00E3253D" w:rsidRPr="002F4D34">
        <w:rPr>
          <w:rStyle w:val="libFootnoteBoldChar"/>
          <w:rtl/>
        </w:rPr>
        <w:t>القاموس المحيط</w:t>
      </w:r>
      <w:r w:rsidR="00E3253D" w:rsidRPr="005D642E">
        <w:rPr>
          <w:rtl/>
        </w:rPr>
        <w:t xml:space="preserve"> ، ج 1 ، ص 351 ( فدح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مَيِّتَكَ </w:t>
      </w:r>
      <w:r w:rsidRPr="007C12DB">
        <w:rPr>
          <w:rStyle w:val="libFootnotenumChar"/>
          <w:rtl/>
        </w:rPr>
        <w:t>(1)</w:t>
      </w:r>
      <w:r w:rsidRPr="005D642E">
        <w:rPr>
          <w:rtl/>
          <w:lang w:bidi="fa-IR"/>
        </w:rPr>
        <w:t xml:space="preserve"> بِالْقَبْرِ </w:t>
      </w:r>
      <w:r w:rsidRPr="007C12DB">
        <w:rPr>
          <w:rStyle w:val="libFootnotenumChar"/>
          <w:rtl/>
        </w:rPr>
        <w:t>(2)</w:t>
      </w:r>
      <w:r w:rsidRPr="005D642E">
        <w:rPr>
          <w:rtl/>
          <w:lang w:bidi="fa-IR"/>
        </w:rPr>
        <w:t xml:space="preserve"> ، وَلكِنْ ضَعْهُ أَسْفَلَ مِنْهُ بِذِرَاعَيْنِ أَوْ ثَلَاثَةٍ ، وَدَعْهُ </w:t>
      </w:r>
      <w:r w:rsidRPr="007C12DB">
        <w:rPr>
          <w:rStyle w:val="libFootnotenumChar"/>
          <w:rtl/>
        </w:rPr>
        <w:t>(3)</w:t>
      </w:r>
      <w:r w:rsidRPr="005D642E">
        <w:rPr>
          <w:rtl/>
          <w:lang w:bidi="fa-IR"/>
        </w:rPr>
        <w:t xml:space="preserve"> يَأْخُذُ أُهْبَتَهُ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9E50CE">
        <w:rPr>
          <w:rtl/>
        </w:rPr>
        <w:t>4532</w:t>
      </w:r>
      <w:r w:rsidRPr="00246318">
        <w:rPr>
          <w:rStyle w:val="libBold2Char"/>
          <w:rtl/>
        </w:rPr>
        <w:t xml:space="preserve"> / 2.</w:t>
      </w:r>
      <w:r w:rsidRPr="005D642E">
        <w:rPr>
          <w:rtl/>
          <w:lang w:bidi="fa-IR"/>
        </w:rPr>
        <w:t xml:space="preserve"> عَلِيُّ بْنُ مُحَمَّدٍ ، عَنْ مُحَمَّدِ بْنِ أَحْمَدَ الْخُرَاسَانِيِّ ، عَنْ أَبِيهِ ، عَنْ يُونُسَ ، قَالَ :</w:t>
      </w:r>
    </w:p>
    <w:p w:rsidR="00E3253D" w:rsidRPr="005D642E" w:rsidRDefault="00E3253D" w:rsidP="00E3253D">
      <w:pPr>
        <w:pStyle w:val="libNormal"/>
        <w:rPr>
          <w:rtl/>
          <w:lang w:bidi="fa-IR"/>
        </w:rPr>
      </w:pPr>
      <w:r w:rsidRPr="005D642E">
        <w:rPr>
          <w:rtl/>
          <w:lang w:bidi="fa-IR"/>
        </w:rPr>
        <w:t xml:space="preserve">حَدِيثٌ سَمِعْتُهُ عَنْ </w:t>
      </w:r>
      <w:r w:rsidRPr="007C12DB">
        <w:rPr>
          <w:rStyle w:val="libFootnotenumChar"/>
          <w:rtl/>
        </w:rPr>
        <w:t>(6)</w:t>
      </w:r>
      <w:r w:rsidRPr="005D642E">
        <w:rPr>
          <w:rtl/>
          <w:lang w:bidi="fa-IR"/>
        </w:rPr>
        <w:t xml:space="preserve"> أَبِي الْحَسَنِ مُوسى </w:t>
      </w:r>
      <w:r w:rsidRPr="007C12DB">
        <w:rPr>
          <w:rStyle w:val="libFootnotenumChar"/>
          <w:rtl/>
        </w:rPr>
        <w:t>(7)</w:t>
      </w:r>
      <w:r w:rsidRPr="005D642E">
        <w:rPr>
          <w:rtl/>
          <w:lang w:bidi="fa-IR"/>
        </w:rPr>
        <w:t xml:space="preserve"> </w:t>
      </w:r>
      <w:r w:rsidRPr="00AC51C5">
        <w:rPr>
          <w:rStyle w:val="libAlaemChar"/>
          <w:rtl/>
        </w:rPr>
        <w:t>عليه‌السلام</w:t>
      </w:r>
      <w:r w:rsidRPr="005D642E">
        <w:rPr>
          <w:rtl/>
          <w:lang w:bidi="fa-IR"/>
        </w:rPr>
        <w:t xml:space="preserve"> مَا ذَكَرْتُهُ</w:t>
      </w:r>
      <w:r>
        <w:rPr>
          <w:rtl/>
          <w:lang w:bidi="fa-IR"/>
        </w:rPr>
        <w:t xml:space="preserve"> </w:t>
      </w:r>
      <w:r w:rsidR="007642BC">
        <w:rPr>
          <w:rtl/>
          <w:lang w:bidi="fa-IR"/>
        </w:rPr>
        <w:t>-</w:t>
      </w:r>
      <w:r>
        <w:rPr>
          <w:rtl/>
          <w:lang w:bidi="fa-IR"/>
        </w:rPr>
        <w:t xml:space="preserve"> </w:t>
      </w:r>
      <w:r w:rsidRPr="005D642E">
        <w:rPr>
          <w:rtl/>
          <w:lang w:bidi="fa-IR"/>
        </w:rPr>
        <w:t xml:space="preserve">وَأَنَا </w:t>
      </w:r>
      <w:r w:rsidRPr="007C12DB">
        <w:rPr>
          <w:rStyle w:val="libFootnotenumChar"/>
          <w:rtl/>
        </w:rPr>
        <w:t>(8)</w:t>
      </w:r>
      <w:r w:rsidRPr="005D642E">
        <w:rPr>
          <w:rtl/>
          <w:lang w:bidi="fa-IR"/>
        </w:rPr>
        <w:t xml:space="preserve"> فِي بَيْتٍ</w:t>
      </w:r>
      <w:r>
        <w:rPr>
          <w:rtl/>
          <w:lang w:bidi="fa-IR"/>
        </w:rPr>
        <w:t xml:space="preserve"> </w:t>
      </w:r>
      <w:r w:rsidR="0085171C">
        <w:rPr>
          <w:rtl/>
          <w:lang w:bidi="fa-IR"/>
        </w:rPr>
        <w:t>–</w:t>
      </w:r>
      <w:r>
        <w:rPr>
          <w:rtl/>
          <w:lang w:bidi="fa-IR"/>
        </w:rPr>
        <w:t xml:space="preserve"> </w:t>
      </w:r>
      <w:r w:rsidR="0085171C">
        <w:rPr>
          <w:rtl/>
          <w:lang w:bidi="fa-IR"/>
        </w:rPr>
        <w:t>إِل</w:t>
      </w:r>
      <w:r w:rsidR="0085171C">
        <w:rPr>
          <w:rFonts w:hint="cs"/>
          <w:rtl/>
          <w:lang w:bidi="fa-IR"/>
        </w:rPr>
        <w:t>َّ</w:t>
      </w:r>
      <w:r w:rsidR="0085171C">
        <w:rPr>
          <w:rtl/>
          <w:lang w:bidi="fa-IR"/>
        </w:rPr>
        <w:t>ا</w:t>
      </w:r>
      <w:r w:rsidRPr="005D642E">
        <w:rPr>
          <w:rtl/>
          <w:lang w:bidi="fa-IR"/>
        </w:rPr>
        <w:t xml:space="preserve"> ضَاقَ عَلَيَّ ، يَقُولُ : « إِذَا أَتَيْتَ بِالْمَيِّتِ شَفِيرَ </w:t>
      </w:r>
      <w:r w:rsidRPr="007C12DB">
        <w:rPr>
          <w:rStyle w:val="libFootnotenumChar"/>
          <w:rtl/>
        </w:rPr>
        <w:t>(9)</w:t>
      </w:r>
      <w:r w:rsidRPr="005D642E">
        <w:rPr>
          <w:rtl/>
          <w:lang w:bidi="fa-IR"/>
        </w:rPr>
        <w:t xml:space="preserve"> قَبْرِهِ </w:t>
      </w:r>
      <w:r w:rsidRPr="007C12DB">
        <w:rPr>
          <w:rStyle w:val="libFootnotenumChar"/>
          <w:rtl/>
        </w:rPr>
        <w:t>(10)</w:t>
      </w:r>
      <w:r w:rsidRPr="005D642E">
        <w:rPr>
          <w:rtl/>
          <w:lang w:bidi="fa-IR"/>
        </w:rPr>
        <w:t xml:space="preserve"> ، فَأَمْهِلْهُ سَاعَةً ؛ فَإِنَّهُ يَأْخُذُ أُهْبَتَهُ لِلسُّؤَالِ</w:t>
      </w:r>
      <w:r w:rsidRPr="007C12DB">
        <w:rPr>
          <w:rStyle w:val="libFootnotenumChar"/>
          <w:rtl/>
        </w:rPr>
        <w:t>(11)</w:t>
      </w:r>
      <w:r>
        <w:rPr>
          <w:rtl/>
          <w:lang w:bidi="fa-IR"/>
        </w:rPr>
        <w:t>».</w:t>
      </w:r>
      <w:r w:rsidRPr="007C12DB">
        <w:rPr>
          <w:rStyle w:val="libFootnotenumChar"/>
          <w:rtl/>
        </w:rPr>
        <w:t>(12)</w:t>
      </w:r>
    </w:p>
    <w:p w:rsidR="00E3253D" w:rsidRPr="005D642E" w:rsidRDefault="00E3253D" w:rsidP="00E3253D">
      <w:pPr>
        <w:pStyle w:val="Heading2Center"/>
        <w:rPr>
          <w:rtl/>
          <w:lang w:bidi="fa-IR"/>
        </w:rPr>
      </w:pPr>
      <w:bookmarkStart w:id="437" w:name="_Toc344647356"/>
      <w:bookmarkStart w:id="438" w:name="_Toc462226870"/>
      <w:bookmarkStart w:id="439" w:name="_Toc40975979"/>
      <w:r w:rsidRPr="005D642E">
        <w:rPr>
          <w:rtl/>
          <w:lang w:bidi="fa-IR"/>
        </w:rPr>
        <w:t>61</w:t>
      </w:r>
      <w:r>
        <w:rPr>
          <w:rtl/>
          <w:lang w:bidi="fa-IR"/>
        </w:rPr>
        <w:t xml:space="preserve"> </w:t>
      </w:r>
      <w:r w:rsidR="007642BC">
        <w:rPr>
          <w:rtl/>
          <w:lang w:bidi="fa-IR"/>
        </w:rPr>
        <w:t>-</w:t>
      </w:r>
      <w:r>
        <w:rPr>
          <w:rtl/>
          <w:lang w:bidi="fa-IR"/>
        </w:rPr>
        <w:t xml:space="preserve"> </w:t>
      </w:r>
      <w:r w:rsidRPr="005D642E">
        <w:rPr>
          <w:rtl/>
          <w:lang w:bidi="fa-IR"/>
        </w:rPr>
        <w:t>بَابٌ نَادِرٌ‌</w:t>
      </w:r>
      <w:bookmarkEnd w:id="437"/>
      <w:bookmarkEnd w:id="438"/>
      <w:bookmarkEnd w:id="439"/>
    </w:p>
    <w:p w:rsidR="00E3253D" w:rsidRPr="005D642E" w:rsidRDefault="00E3253D" w:rsidP="00E3253D">
      <w:pPr>
        <w:pStyle w:val="libNormal"/>
        <w:rPr>
          <w:rtl/>
          <w:lang w:bidi="fa-IR"/>
        </w:rPr>
      </w:pPr>
      <w:r w:rsidRPr="009E50CE">
        <w:rPr>
          <w:rtl/>
        </w:rPr>
        <w:t>4533</w:t>
      </w:r>
      <w:r w:rsidRPr="00246318">
        <w:rPr>
          <w:rStyle w:val="libBold2Char"/>
          <w:rtl/>
        </w:rPr>
        <w:t xml:space="preserve"> / 1.</w:t>
      </w:r>
      <w:r w:rsidRPr="005D642E">
        <w:rPr>
          <w:rtl/>
          <w:lang w:bidi="fa-IR"/>
        </w:rPr>
        <w:t xml:space="preserve"> مُحَمَّدُ بْنُ يَحْيى ، عَنْ أَحْمَدَ بْنِ مُحَمَّدٍ ، عَنِ الْحُسَيْنِ بْنِ سَعِيدٍ ، عَنِ النَّضْرِ بْنِ سُوَيْدٍ ، عَنْ يَحْيَى بْنِ عِمْرَانَ </w:t>
      </w:r>
      <w:r w:rsidRPr="007C12DB">
        <w:rPr>
          <w:rStyle w:val="libFootnotenumChar"/>
          <w:rtl/>
        </w:rPr>
        <w:t>(13)</w:t>
      </w:r>
      <w:r w:rsidRPr="005D642E">
        <w:rPr>
          <w:rtl/>
          <w:lang w:bidi="fa-IR"/>
        </w:rPr>
        <w:t xml:space="preserve"> الْحَلَبِيِّ ، عَنْ عَبْدِ اللهِ بْنِ مُسْكَانَ ، عَنْ زُرَارَةَ ، قَالَ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0543F" w:rsidTr="00D0543F">
        <w:tc>
          <w:tcPr>
            <w:tcW w:w="4006" w:type="dxa"/>
          </w:tcPr>
          <w:p w:rsidR="00D0543F" w:rsidRDefault="00D0543F" w:rsidP="00E3253D">
            <w:pPr>
              <w:pStyle w:val="libFootnote0"/>
              <w:rPr>
                <w:rStyle w:val="libFootnote0Char"/>
                <w:rtl/>
              </w:rPr>
            </w:pPr>
            <w:r w:rsidRPr="0042621E">
              <w:rPr>
                <w:rStyle w:val="libFootnote0Char"/>
                <w:rtl/>
              </w:rPr>
              <w:t>(1).</w:t>
            </w:r>
            <w:r>
              <w:rPr>
                <w:rtl/>
              </w:rPr>
              <w:t xml:space="preserve"> </w:t>
            </w:r>
            <w:r w:rsidR="00312BD7">
              <w:rPr>
                <w:rtl/>
              </w:rPr>
              <w:t>في «غ» وحاشية «بح</w:t>
            </w:r>
            <w:r w:rsidRPr="005D642E">
              <w:rPr>
                <w:rtl/>
              </w:rPr>
              <w:t xml:space="preserve">» </w:t>
            </w:r>
            <w:r w:rsidRPr="000D749A">
              <w:rPr>
                <w:rStyle w:val="libFootnoteBoldChar"/>
                <w:rtl/>
              </w:rPr>
              <w:t>والوافي</w:t>
            </w:r>
            <w:r w:rsidRPr="005D642E">
              <w:rPr>
                <w:rtl/>
              </w:rPr>
              <w:t xml:space="preserve"> : « بميّتك</w:t>
            </w:r>
            <w:r>
              <w:rPr>
                <w:rtl/>
              </w:rPr>
              <w:t xml:space="preserve"> ».</w:t>
            </w:r>
          </w:p>
        </w:tc>
        <w:tc>
          <w:tcPr>
            <w:tcW w:w="4006" w:type="dxa"/>
          </w:tcPr>
          <w:p w:rsidR="00D0543F" w:rsidRDefault="00D0543F" w:rsidP="00E3253D">
            <w:pPr>
              <w:pStyle w:val="libFootnote0"/>
              <w:rPr>
                <w:rStyle w:val="libFootnote0Char"/>
                <w:rtl/>
              </w:rPr>
            </w:pPr>
            <w:r w:rsidRPr="0042621E">
              <w:rPr>
                <w:rStyle w:val="libFootnote0Char"/>
                <w:rtl/>
              </w:rPr>
              <w:t>(2).</w:t>
            </w:r>
            <w:r w:rsidRPr="005D642E">
              <w:rPr>
                <w:rtl/>
              </w:rPr>
              <w:t xml:space="preserve"> في « بخ ، بف » </w:t>
            </w:r>
            <w:r w:rsidRPr="000D749A">
              <w:rPr>
                <w:rStyle w:val="libFootnoteBoldChar"/>
                <w:rtl/>
              </w:rPr>
              <w:t>والوافي</w:t>
            </w:r>
            <w:r w:rsidRPr="005D642E">
              <w:rPr>
                <w:rtl/>
              </w:rPr>
              <w:t xml:space="preserve"> : « القبر</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 « حتّى</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غ ، ى » : « ا</w:t>
      </w:r>
      <w:r w:rsidR="008D5B9A">
        <w:rPr>
          <w:rFonts w:hint="cs"/>
          <w:rtl/>
        </w:rPr>
        <w:t>ُ</w:t>
      </w:r>
      <w:r w:rsidR="00E3253D" w:rsidRPr="005D642E">
        <w:rPr>
          <w:rtl/>
        </w:rPr>
        <w:t>هبة</w:t>
      </w:r>
      <w:r w:rsidR="00E3253D">
        <w:rPr>
          <w:rtl/>
        </w:rPr>
        <w:t xml:space="preserve"> ».</w:t>
      </w:r>
      <w:r w:rsidR="00E3253D" w:rsidRPr="005D642E">
        <w:rPr>
          <w:rtl/>
        </w:rPr>
        <w:t xml:space="preserve"> وفي حاشية « بف » : + « لسؤال القبر</w:t>
      </w:r>
      <w:r w:rsidR="00E3253D">
        <w:rPr>
          <w:rtl/>
        </w:rPr>
        <w:t xml:space="preserve"> ».</w:t>
      </w:r>
      <w:r w:rsidR="00E3253D" w:rsidRPr="005D642E">
        <w:rPr>
          <w:rtl/>
        </w:rPr>
        <w:t xml:space="preserve"> والا</w:t>
      </w:r>
      <w:r w:rsidR="008D5B9A">
        <w:rPr>
          <w:rFonts w:hint="cs"/>
          <w:rtl/>
        </w:rPr>
        <w:t>ُ</w:t>
      </w:r>
      <w:r w:rsidR="00E3253D" w:rsidRPr="005D642E">
        <w:rPr>
          <w:rtl/>
        </w:rPr>
        <w:t xml:space="preserve">هبة : العُدّة والتهيّؤ والاستعداد ، يقال : تأهّب : استعدّ. راجع : </w:t>
      </w:r>
      <w:r w:rsidR="00E3253D" w:rsidRPr="002F4D34">
        <w:rPr>
          <w:rStyle w:val="libFootnoteBoldChar"/>
          <w:rtl/>
        </w:rPr>
        <w:t>الصحاح</w:t>
      </w:r>
      <w:r w:rsidR="00E3253D" w:rsidRPr="005D642E">
        <w:rPr>
          <w:rtl/>
        </w:rPr>
        <w:t xml:space="preserve"> ، ج 1 ، ص 89 ؛ </w:t>
      </w:r>
      <w:r w:rsidR="00E3253D" w:rsidRPr="002F4D34">
        <w:rPr>
          <w:rStyle w:val="libFootnoteBoldChar"/>
          <w:rtl/>
        </w:rPr>
        <w:t>لسان العرب</w:t>
      </w:r>
      <w:r w:rsidR="00E3253D" w:rsidRPr="005D642E">
        <w:rPr>
          <w:rtl/>
        </w:rPr>
        <w:t xml:space="preserve"> ، ج 1 ، ص 217 ( أهب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313 ، صدر ح 909 ؛ و</w:t>
      </w:r>
      <w:r w:rsidR="00E3253D" w:rsidRPr="002F4D34">
        <w:rPr>
          <w:rStyle w:val="libFootnoteBoldChar"/>
          <w:rtl/>
        </w:rPr>
        <w:t xml:space="preserve">علل الشرائع </w:t>
      </w:r>
      <w:r w:rsidR="00E3253D" w:rsidRPr="005D642E">
        <w:rPr>
          <w:rtl/>
        </w:rPr>
        <w:t xml:space="preserve">، ص 306 ، صدر ح 1 ، بسند آخر عن محمّد بن سنان. </w:t>
      </w:r>
      <w:r w:rsidR="00E3253D" w:rsidRPr="002F4D34">
        <w:rPr>
          <w:rStyle w:val="libFootnoteBoldChar"/>
          <w:rtl/>
        </w:rPr>
        <w:t>التهذيب</w:t>
      </w:r>
      <w:r w:rsidR="00E3253D" w:rsidRPr="005D642E">
        <w:rPr>
          <w:rtl/>
        </w:rPr>
        <w:t xml:space="preserve"> ، ج 1 ، ص 312 ، صدر ح 907 ، بسنده عن ابن سنان ، عن محمّد بن عطيّة ، من دون الإسناد إلى أبي عبدالله </w:t>
      </w:r>
      <w:r w:rsidR="00E3253D" w:rsidRPr="00D0543F">
        <w:rPr>
          <w:rStyle w:val="libFootnoteAlaemChar"/>
          <w:rtl/>
        </w:rPr>
        <w:t>عليه‌السلام</w:t>
      </w:r>
      <w:r w:rsidR="00E3253D" w:rsidRPr="005D642E">
        <w:rPr>
          <w:rtl/>
        </w:rPr>
        <w:t xml:space="preserve"> ، وفي كلّ المصادر مع اختلاف يسير </w:t>
      </w:r>
      <w:r w:rsidR="008D5B9A">
        <w:rPr>
          <w:rFonts w:hint="cs"/>
          <w:rtl/>
        </w:rPr>
        <w:t>.</w:t>
      </w:r>
      <w:r w:rsidR="00E3253D" w:rsidRPr="002F4D34">
        <w:rPr>
          <w:rStyle w:val="libFootnoteBoldChar"/>
          <w:rtl/>
        </w:rPr>
        <w:t>الوافي</w:t>
      </w:r>
      <w:r w:rsidR="00E3253D" w:rsidRPr="005D642E">
        <w:rPr>
          <w:rtl/>
        </w:rPr>
        <w:t xml:space="preserve"> ، ج 25 ، ص 509 ، ح 24528 ؛ </w:t>
      </w:r>
      <w:r w:rsidR="00E3253D" w:rsidRPr="002F4D34">
        <w:rPr>
          <w:rStyle w:val="libFootnoteBoldChar"/>
          <w:rtl/>
        </w:rPr>
        <w:t>الوسائل</w:t>
      </w:r>
      <w:r w:rsidR="00E3253D" w:rsidRPr="005D642E">
        <w:rPr>
          <w:rtl/>
        </w:rPr>
        <w:t xml:space="preserve"> ، ج 3 ، ص 168 ، ح 3311.</w:t>
      </w:r>
      <w:r w:rsidR="00E3253D">
        <w:rPr>
          <w:rFonts w:hint="cs"/>
          <w:rtl/>
          <w:lang w:bidi="fa-IR"/>
        </w:rPr>
        <w:t xml:space="preserve"> </w:t>
      </w:r>
      <w:r w:rsidR="00312BD7">
        <w:rPr>
          <w:rFonts w:hint="cs"/>
          <w:rtl/>
          <w:lang w:bidi="fa-IR"/>
        </w:rPr>
        <w:t xml:space="preserve">          </w:t>
      </w:r>
      <w:r w:rsidR="008D5B9A">
        <w:rPr>
          <w:rFonts w:hint="cs"/>
          <w:rtl/>
          <w:lang w:bidi="fa-IR"/>
        </w:rPr>
        <w:t xml:space="preserve">     </w:t>
      </w:r>
      <w:r w:rsidRPr="0042621E">
        <w:rPr>
          <w:rStyle w:val="libFootnote0Char"/>
          <w:rtl/>
        </w:rPr>
        <w:t>(6).</w:t>
      </w:r>
      <w:r w:rsidR="00E3253D" w:rsidRPr="005D642E">
        <w:rPr>
          <w:rtl/>
        </w:rPr>
        <w:t xml:space="preserve"> في « بخ ، جس » </w:t>
      </w:r>
      <w:r w:rsidR="000D749A" w:rsidRPr="000D749A">
        <w:rPr>
          <w:rStyle w:val="libFootnoteBoldChar"/>
          <w:rtl/>
        </w:rPr>
        <w:t>والوافي</w:t>
      </w:r>
      <w:r w:rsidR="00E3253D" w:rsidRPr="005D642E">
        <w:rPr>
          <w:rtl/>
        </w:rPr>
        <w:t xml:space="preserve"> : « من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6B3C97" w:rsidTr="006B3C97">
        <w:tc>
          <w:tcPr>
            <w:tcW w:w="4006" w:type="dxa"/>
          </w:tcPr>
          <w:p w:rsidR="006B3C97" w:rsidRDefault="006B3C97" w:rsidP="00E3253D">
            <w:pPr>
              <w:pStyle w:val="libFootnote0"/>
              <w:rPr>
                <w:rStyle w:val="libFootnote0Char"/>
                <w:rtl/>
              </w:rPr>
            </w:pPr>
            <w:r w:rsidRPr="0042621E">
              <w:rPr>
                <w:rStyle w:val="libFootnote0Char"/>
                <w:rtl/>
              </w:rPr>
              <w:t>(7).</w:t>
            </w:r>
            <w:r w:rsidRPr="005D642E">
              <w:rPr>
                <w:rtl/>
              </w:rPr>
              <w:t xml:space="preserve"> في الوافي :</w:t>
            </w:r>
            <w:r>
              <w:rPr>
                <w:rtl/>
              </w:rPr>
              <w:t xml:space="preserve"> - </w:t>
            </w:r>
            <w:r w:rsidRPr="005D642E">
              <w:rPr>
                <w:rtl/>
              </w:rPr>
              <w:t>« موسى</w:t>
            </w:r>
            <w:r>
              <w:rPr>
                <w:rtl/>
              </w:rPr>
              <w:t xml:space="preserve"> ».</w:t>
            </w:r>
          </w:p>
        </w:tc>
        <w:tc>
          <w:tcPr>
            <w:tcW w:w="4006" w:type="dxa"/>
          </w:tcPr>
          <w:p w:rsidR="006B3C97" w:rsidRDefault="006B3C97" w:rsidP="00E3253D">
            <w:pPr>
              <w:pStyle w:val="libFootnote0"/>
              <w:rPr>
                <w:rStyle w:val="libFootnote0Char"/>
                <w:rtl/>
              </w:rPr>
            </w:pPr>
            <w:r w:rsidRPr="0042621E">
              <w:rPr>
                <w:rStyle w:val="libFootnote0Char"/>
                <w:rtl/>
              </w:rPr>
              <w:t>(8).</w:t>
            </w:r>
            <w:r w:rsidRPr="005D642E">
              <w:rPr>
                <w:rtl/>
              </w:rPr>
              <w:t xml:space="preserve"> في « بس » :</w:t>
            </w:r>
            <w:r>
              <w:rPr>
                <w:rtl/>
              </w:rPr>
              <w:t xml:space="preserve"> - </w:t>
            </w:r>
            <w:r w:rsidRPr="005D642E">
              <w:rPr>
                <w:rtl/>
              </w:rPr>
              <w:t>« وأنا</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بث ، بخ » </w:t>
      </w:r>
      <w:r w:rsidR="000D749A" w:rsidRPr="000D749A">
        <w:rPr>
          <w:rStyle w:val="libFootnoteBoldChar"/>
          <w:rtl/>
        </w:rPr>
        <w:t>والوافي</w:t>
      </w:r>
      <w:r w:rsidR="00E3253D" w:rsidRPr="005D642E">
        <w:rPr>
          <w:rtl/>
        </w:rPr>
        <w:t xml:space="preserve"> والوسائل : « إلى الشفير</w:t>
      </w:r>
      <w:r w:rsidR="00E3253D">
        <w:rPr>
          <w:rtl/>
        </w:rPr>
        <w:t xml:space="preserve"> ».</w:t>
      </w:r>
      <w:r w:rsidR="00E3253D" w:rsidRPr="005D642E">
        <w:rPr>
          <w:rtl/>
        </w:rPr>
        <w:t xml:space="preserve"> وفي « ى » : « شفيرة</w:t>
      </w:r>
      <w:r w:rsidR="00E3253D">
        <w:rPr>
          <w:rtl/>
        </w:rPr>
        <w:t xml:space="preserve"> ».</w:t>
      </w:r>
      <w:r w:rsidR="00E3253D" w:rsidRPr="005D642E">
        <w:rPr>
          <w:rtl/>
        </w:rPr>
        <w:t xml:space="preserve"> وفي « بف » : « على شفير</w:t>
      </w:r>
      <w:r w:rsidR="00E3253D">
        <w:rPr>
          <w:rtl/>
        </w:rPr>
        <w:t xml:space="preserve"> ».</w:t>
      </w:r>
      <w:r w:rsidR="00E3253D" w:rsidRPr="005D642E">
        <w:rPr>
          <w:rtl/>
        </w:rPr>
        <w:t xml:space="preserve"> </w:t>
      </w:r>
      <w:r w:rsidR="00E3253D">
        <w:rPr>
          <w:rtl/>
        </w:rPr>
        <w:t>و «</w:t>
      </w:r>
      <w:r w:rsidR="00E3253D" w:rsidRPr="005D642E">
        <w:rPr>
          <w:rtl/>
        </w:rPr>
        <w:t xml:space="preserve"> الشفير » : الجانب والطرف. راجع : </w:t>
      </w:r>
      <w:r w:rsidR="00E3253D" w:rsidRPr="002F4D34">
        <w:rPr>
          <w:rStyle w:val="libFootnoteBoldChar"/>
          <w:rtl/>
        </w:rPr>
        <w:t>النهاية</w:t>
      </w:r>
      <w:r w:rsidR="00E3253D" w:rsidRPr="005D642E">
        <w:rPr>
          <w:rtl/>
        </w:rPr>
        <w:t xml:space="preserve"> ، ج 2 ، ص 485 ؛ </w:t>
      </w:r>
      <w:r w:rsidR="00E3253D" w:rsidRPr="002F4D34">
        <w:rPr>
          <w:rStyle w:val="libFootnoteBoldChar"/>
          <w:rtl/>
        </w:rPr>
        <w:t>القاموس المحيط</w:t>
      </w:r>
      <w:r w:rsidR="00E3253D" w:rsidRPr="005D642E">
        <w:rPr>
          <w:rtl/>
        </w:rPr>
        <w:t xml:space="preserve"> ، ج 1 ، ص 587 ( شفر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الوسائل : « القبر</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بس » وحاشية « بح » : « ا</w:t>
      </w:r>
      <w:r w:rsidR="00502CCE">
        <w:rPr>
          <w:rFonts w:hint="cs"/>
          <w:rtl/>
        </w:rPr>
        <w:t>ُ</w:t>
      </w:r>
      <w:r w:rsidR="00E3253D" w:rsidRPr="005D642E">
        <w:rPr>
          <w:rtl/>
        </w:rPr>
        <w:t>هبته لسؤال</w:t>
      </w:r>
      <w:r w:rsidR="00E3253D">
        <w:rPr>
          <w:rtl/>
        </w:rPr>
        <w:t xml:space="preserve"> ».</w:t>
      </w:r>
      <w:r w:rsidR="00E3253D" w:rsidRPr="005D642E">
        <w:rPr>
          <w:rtl/>
        </w:rPr>
        <w:t xml:space="preserve"> وفي « جس » : « ا</w:t>
      </w:r>
      <w:r w:rsidR="00502CCE">
        <w:rPr>
          <w:rFonts w:hint="cs"/>
          <w:rtl/>
        </w:rPr>
        <w:t>ُ</w:t>
      </w:r>
      <w:r w:rsidR="00E3253D" w:rsidRPr="005D642E">
        <w:rPr>
          <w:rtl/>
        </w:rPr>
        <w:t>هبة السؤال</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الفقيه</w:t>
      </w:r>
      <w:r w:rsidR="00E3253D" w:rsidRPr="005D642E">
        <w:rPr>
          <w:rtl/>
        </w:rPr>
        <w:t xml:space="preserve"> ، ج 1 ، ص 170 ، ذيل ح 498 ؛ </w:t>
      </w:r>
      <w:r w:rsidR="00E3253D" w:rsidRPr="002F4D34">
        <w:rPr>
          <w:rStyle w:val="libFootnoteBoldChar"/>
          <w:rtl/>
        </w:rPr>
        <w:t>علل الشرائع</w:t>
      </w:r>
      <w:r w:rsidR="00E3253D" w:rsidRPr="005D642E">
        <w:rPr>
          <w:rtl/>
        </w:rPr>
        <w:t xml:space="preserve"> ، ص 306 ، ح 2 ، مرسلاً ، وفيهما من قوله : « إذا أتيت بالميّت » مع اختلاف يسير وزيادة </w:t>
      </w:r>
      <w:r w:rsidR="00502CCE">
        <w:rPr>
          <w:rFonts w:hint="cs"/>
          <w:rtl/>
        </w:rPr>
        <w:t>.</w:t>
      </w:r>
      <w:r w:rsidR="00E3253D" w:rsidRPr="002F4D34">
        <w:rPr>
          <w:rStyle w:val="libFootnoteBoldChar"/>
          <w:rtl/>
        </w:rPr>
        <w:t>الوافي</w:t>
      </w:r>
      <w:r w:rsidR="00E3253D" w:rsidRPr="005D642E">
        <w:rPr>
          <w:rtl/>
        </w:rPr>
        <w:t xml:space="preserve"> ، ج 25 ، ص 509 ، ح 24529 ؛ </w:t>
      </w:r>
      <w:r w:rsidR="00E3253D" w:rsidRPr="002F4D34">
        <w:rPr>
          <w:rStyle w:val="libFootnoteBoldChar"/>
          <w:rtl/>
        </w:rPr>
        <w:t>الوسائل</w:t>
      </w:r>
      <w:r w:rsidR="00E3253D" w:rsidRPr="005D642E">
        <w:rPr>
          <w:rtl/>
        </w:rPr>
        <w:t xml:space="preserve"> ، ج 3 ، ص 168 ، ح 3310.</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w:t>
      </w:r>
      <w:r w:rsidR="00502CCE">
        <w:rPr>
          <w:rtl/>
        </w:rPr>
        <w:t xml:space="preserve"> « بح ، بخ ، بس ، بف ، جس » : «</w:t>
      </w:r>
      <w:r w:rsidR="00E3253D" w:rsidRPr="005D642E">
        <w:rPr>
          <w:rtl/>
        </w:rPr>
        <w:t>عمّار</w:t>
      </w:r>
      <w:r w:rsidR="00E3253D">
        <w:rPr>
          <w:rtl/>
        </w:rPr>
        <w:t>».</w:t>
      </w:r>
      <w:r w:rsidR="00502CCE">
        <w:rPr>
          <w:rtl/>
        </w:rPr>
        <w:t xml:space="preserve"> وهو سهو ؛ فإنّ يحيى الحلبي،</w:t>
      </w:r>
      <w:r w:rsidR="00E3253D" w:rsidRPr="005D642E">
        <w:rPr>
          <w:rtl/>
        </w:rPr>
        <w:t>هو يحيى بن عمران بن عل</w:t>
      </w:r>
      <w:r w:rsidR="00502CCE">
        <w:rPr>
          <w:rtl/>
        </w:rPr>
        <w:t>يّ</w:t>
      </w:r>
      <w:r w:rsidR="00502CCE">
        <w:rPr>
          <w:rFonts w:hint="cs"/>
          <w:rtl/>
        </w:rPr>
        <w:t xml:space="preserve"> =</w:t>
      </w:r>
    </w:p>
    <w:p w:rsidR="00E3253D" w:rsidRDefault="00E3253D" w:rsidP="00E3253D">
      <w:pPr>
        <w:pStyle w:val="libNormal"/>
        <w:rPr>
          <w:rtl/>
          <w:lang w:bidi="fa-IR"/>
        </w:rPr>
      </w:pPr>
      <w:r>
        <w:rPr>
          <w:rtl/>
          <w:lang w:bidi="fa-IR"/>
        </w:rPr>
        <w:br w:type="page"/>
      </w:r>
    </w:p>
    <w:p w:rsidR="00E3253D" w:rsidRPr="005D642E" w:rsidRDefault="00E3253D" w:rsidP="007525DD">
      <w:pPr>
        <w:pStyle w:val="libNormal"/>
        <w:rPr>
          <w:rtl/>
          <w:lang w:bidi="fa-IR"/>
        </w:rPr>
      </w:pPr>
      <w:r w:rsidRPr="005D642E">
        <w:rPr>
          <w:rtl/>
          <w:lang w:bidi="fa-IR"/>
        </w:rPr>
        <w:t xml:space="preserve">كُنْتُ عِنْدَ أَبِي جَعْفَرٍ </w:t>
      </w:r>
      <w:r w:rsidRPr="00AC51C5">
        <w:rPr>
          <w:rStyle w:val="libAlaemChar"/>
          <w:rtl/>
        </w:rPr>
        <w:t>عليه‌السلام</w:t>
      </w:r>
      <w:r w:rsidRPr="005D642E">
        <w:rPr>
          <w:rtl/>
          <w:lang w:bidi="fa-IR"/>
        </w:rPr>
        <w:t xml:space="preserve"> وَعِنْدَهُ رَجُلٌ مِنَ الْأَنْصَارِ ، فَمَرَّتْ بِهِ جَنَازَةٌ ، فَقَامَ الْأَنْصَارِيُّ وَلَمْ يَقُمْ أَبُو جَعْفَرٍ </w:t>
      </w:r>
      <w:r w:rsidRPr="00AC51C5">
        <w:rPr>
          <w:rStyle w:val="libAlaemChar"/>
          <w:rtl/>
        </w:rPr>
        <w:t>عليه‌السلام</w:t>
      </w:r>
      <w:r w:rsidRPr="005D642E">
        <w:rPr>
          <w:rtl/>
          <w:lang w:bidi="fa-IR"/>
        </w:rPr>
        <w:t xml:space="preserve"> ، فَقَعَدْتُ مَعَهُ ، وَلَمْ يَزَلِ الْأَنْصَارِيُّ قَائِماً حَتّى مَضَوْا بِهَا ، ثُمَّ جَلَسَ ، فَقَالَ لَهُ </w:t>
      </w:r>
      <w:r w:rsidRPr="007C12DB">
        <w:rPr>
          <w:rStyle w:val="libFootnotenumChar"/>
          <w:rtl/>
        </w:rPr>
        <w:t>(1)</w:t>
      </w:r>
      <w:r w:rsidRPr="005D642E">
        <w:rPr>
          <w:rtl/>
          <w:lang w:bidi="fa-IR"/>
        </w:rPr>
        <w:t xml:space="preserve"> أَبُو جَعْفَرٍ </w:t>
      </w:r>
      <w:r w:rsidRPr="00AC51C5">
        <w:rPr>
          <w:rStyle w:val="libAlaemChar"/>
          <w:rtl/>
        </w:rPr>
        <w:t>عليه‌السلام</w:t>
      </w:r>
      <w:r w:rsidRPr="005D642E">
        <w:rPr>
          <w:rtl/>
          <w:lang w:bidi="fa-IR"/>
        </w:rPr>
        <w:t xml:space="preserve"> : « مَا أَقَامَكَ</w:t>
      </w:r>
      <w:r>
        <w:rPr>
          <w:rtl/>
          <w:lang w:bidi="fa-IR"/>
        </w:rPr>
        <w:t>؟</w:t>
      </w:r>
      <w:r w:rsidRPr="005D642E">
        <w:rPr>
          <w:rtl/>
          <w:lang w:bidi="fa-IR"/>
        </w:rPr>
        <w:t xml:space="preserve"> » قَالَ : رَأَيْتُ الْحُسَيْنَ بْنَ عَلِيٍّ </w:t>
      </w:r>
      <w:r w:rsidRPr="007C12DB">
        <w:rPr>
          <w:rStyle w:val="libFootnotenumChar"/>
          <w:rtl/>
        </w:rPr>
        <w:t>(2)</w:t>
      </w:r>
      <w:r w:rsidRPr="005D642E">
        <w:rPr>
          <w:rtl/>
          <w:lang w:bidi="fa-IR"/>
        </w:rPr>
        <w:t xml:space="preserve"> </w:t>
      </w:r>
      <w:r w:rsidRPr="00AC51C5">
        <w:rPr>
          <w:rStyle w:val="libAlaemChar"/>
          <w:rtl/>
        </w:rPr>
        <w:t>عليهما‌السلام</w:t>
      </w:r>
      <w:r w:rsidRPr="005D642E">
        <w:rPr>
          <w:rtl/>
          <w:lang w:bidi="fa-IR"/>
        </w:rPr>
        <w:t xml:space="preserve"> يَفْعَلُ ذلِكَ ، فَقَالَ أَبُو جَعْفَرٍ </w:t>
      </w:r>
      <w:r w:rsidRPr="00AC51C5">
        <w:rPr>
          <w:rStyle w:val="libAlaemChar"/>
          <w:rtl/>
        </w:rPr>
        <w:t>عليه‌السلام</w:t>
      </w:r>
      <w:r w:rsidRPr="005D642E">
        <w:rPr>
          <w:rtl/>
          <w:lang w:bidi="fa-IR"/>
        </w:rPr>
        <w:t xml:space="preserve"> : « وَاللهِ ، مَا فَعَلَهُ </w:t>
      </w:r>
      <w:r w:rsidRPr="007C12DB">
        <w:rPr>
          <w:rStyle w:val="libFootnotenumChar"/>
          <w:rtl/>
        </w:rPr>
        <w:t>(3)</w:t>
      </w:r>
      <w:r w:rsidRPr="005D642E">
        <w:rPr>
          <w:rtl/>
          <w:lang w:bidi="fa-IR"/>
        </w:rPr>
        <w:t xml:space="preserve"> الْحُسَيْنُ </w:t>
      </w:r>
      <w:r w:rsidRPr="00AC51C5">
        <w:rPr>
          <w:rStyle w:val="libAlaemChar"/>
          <w:rtl/>
        </w:rPr>
        <w:t>عليه‌السلام</w:t>
      </w:r>
      <w:r w:rsidRPr="005D642E">
        <w:rPr>
          <w:rtl/>
          <w:lang w:bidi="fa-IR"/>
        </w:rPr>
        <w:t xml:space="preserve"> ، وَلَاقَامَ لَهَا </w:t>
      </w:r>
      <w:r w:rsidRPr="007C12DB">
        <w:rPr>
          <w:rStyle w:val="libFootnotenumChar"/>
          <w:rtl/>
        </w:rPr>
        <w:t>(4)</w:t>
      </w:r>
      <w:r w:rsidRPr="005D642E">
        <w:rPr>
          <w:rtl/>
          <w:lang w:bidi="fa-IR"/>
        </w:rPr>
        <w:t xml:space="preserve"> أَحَدٌ مِنَّا أَهْلَ الْبَيْتِ قَطُّ » فَقَالَ الْأَنْصَارِيُّ : شَكَّكْتَنِي أَصْلَحَكَ اللهُ قَدْ كُنْتُ أَظُنُّ أَنِّي </w:t>
      </w:r>
      <w:r w:rsidRPr="007C12DB">
        <w:rPr>
          <w:rStyle w:val="libFootnotenumChar"/>
          <w:rtl/>
        </w:rPr>
        <w:t>(5)</w:t>
      </w:r>
      <w:r w:rsidRPr="005D642E">
        <w:rPr>
          <w:rtl/>
          <w:lang w:bidi="fa-IR"/>
        </w:rPr>
        <w:t xml:space="preserve"> رَأَيْتُ. </w:t>
      </w:r>
      <w:r w:rsidRPr="007C12DB">
        <w:rPr>
          <w:rStyle w:val="libFootnotenumChar"/>
          <w:rtl/>
        </w:rPr>
        <w:t>(6)</w:t>
      </w:r>
    </w:p>
    <w:p w:rsidR="00E3253D" w:rsidRPr="005D642E" w:rsidRDefault="00E3253D" w:rsidP="00E3253D">
      <w:pPr>
        <w:pStyle w:val="libNormal"/>
        <w:rPr>
          <w:rtl/>
          <w:lang w:bidi="fa-IR"/>
        </w:rPr>
      </w:pPr>
      <w:r w:rsidRPr="009E50CE">
        <w:rPr>
          <w:rtl/>
        </w:rPr>
        <w:t>4534</w:t>
      </w:r>
      <w:r w:rsidRPr="00246318">
        <w:rPr>
          <w:rStyle w:val="libBold2Char"/>
          <w:rtl/>
        </w:rPr>
        <w:t xml:space="preserve"> / 2.</w:t>
      </w:r>
      <w:r w:rsidRPr="005D642E">
        <w:rPr>
          <w:rtl/>
          <w:lang w:bidi="fa-IR"/>
        </w:rPr>
        <w:t xml:space="preserve"> عِدَّةٌ مِنْ أَصْحَابِنَا ، عَنْ سَهْلِ بْنِ زِيَادٍ ، عَنِ ابْنِ أَبِي نَجْرَانَ ، عَنْ مُثَنًّى الْحَنَّاطِ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كَانَ الْحُسَيْنُ بْنُ عَلِيٍّ </w:t>
      </w:r>
      <w:r w:rsidRPr="00AC51C5">
        <w:rPr>
          <w:rStyle w:val="libAlaemChar"/>
          <w:rtl/>
        </w:rPr>
        <w:t>عليهما‌السلام</w:t>
      </w:r>
      <w:r w:rsidRPr="005D642E">
        <w:rPr>
          <w:rtl/>
          <w:lang w:bidi="fa-IR"/>
        </w:rPr>
        <w:t xml:space="preserve"> جَالِساً ، فَمَرَّتْ عَلَيْهِ </w:t>
      </w:r>
      <w:r w:rsidRPr="007C12DB">
        <w:rPr>
          <w:rStyle w:val="libFootnotenumChar"/>
          <w:rtl/>
        </w:rPr>
        <w:t>(7)</w:t>
      </w:r>
      <w:r w:rsidRPr="005D642E">
        <w:rPr>
          <w:rtl/>
          <w:lang w:bidi="fa-IR"/>
        </w:rPr>
        <w:t xml:space="preserve"> جَنَازَةٌ ، فَقَامَ النَّاسُ </w:t>
      </w:r>
      <w:r w:rsidRPr="007C12DB">
        <w:rPr>
          <w:rStyle w:val="libFootnotenumChar"/>
          <w:rtl/>
        </w:rPr>
        <w:t>(8)</w:t>
      </w:r>
      <w:r w:rsidRPr="005D642E">
        <w:rPr>
          <w:rtl/>
          <w:lang w:bidi="fa-IR"/>
        </w:rPr>
        <w:t xml:space="preserve"> حِينَ طَلَعَتِ الْجَنَازَةُ ، فَقَالَ الْحُسَيْنُ </w:t>
      </w:r>
      <w:r w:rsidRPr="00AC51C5">
        <w:rPr>
          <w:rStyle w:val="libAlaemChar"/>
          <w:rtl/>
        </w:rPr>
        <w:t>عليه‌السلام</w:t>
      </w:r>
      <w:r w:rsidRPr="005D642E">
        <w:rPr>
          <w:rtl/>
          <w:lang w:bidi="fa-IR"/>
        </w:rPr>
        <w:t xml:space="preserve"> : مَرَّتْ جَنَازَةُ يَهُودِيٍّ وَكَانَ رَسُولُ اللهِ </w:t>
      </w:r>
      <w:r w:rsidR="0042621E" w:rsidRPr="0042621E">
        <w:rPr>
          <w:rStyle w:val="libAlaemChar"/>
          <w:rtl/>
        </w:rPr>
        <w:t>صلى‌الله‌عليه‌وآله</w:t>
      </w:r>
      <w:r w:rsidRPr="005D642E">
        <w:rPr>
          <w:rtl/>
          <w:lang w:bidi="fa-IR"/>
        </w:rPr>
        <w:t xml:space="preserve"> عَلى طَرِيقِهَا جَالِساً </w:t>
      </w:r>
      <w:r w:rsidRPr="007C12DB">
        <w:rPr>
          <w:rStyle w:val="libFootnotenumChar"/>
          <w:rtl/>
        </w:rPr>
        <w:t>(9)</w:t>
      </w:r>
      <w:r w:rsidRPr="005D642E">
        <w:rPr>
          <w:rtl/>
          <w:lang w:bidi="fa-IR"/>
        </w:rPr>
        <w:t xml:space="preserve"> ، فَكَرِهَ أَنْ تَعْلُوَ </w:t>
      </w:r>
      <w:r w:rsidRPr="007C12DB">
        <w:rPr>
          <w:rStyle w:val="libFootnotenumChar"/>
          <w:rtl/>
        </w:rPr>
        <w:t>(10)</w:t>
      </w:r>
      <w:r w:rsidRPr="005D642E">
        <w:rPr>
          <w:rtl/>
          <w:lang w:bidi="fa-IR"/>
        </w:rPr>
        <w:t xml:space="preserve"> رَأْسَهُ جَنَازَةُ يَهُودِيٍّ ، فَقَامَ لِذلِكَ</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EF5641" w:rsidP="00E3253D">
      <w:pPr>
        <w:pStyle w:val="libFootnote0"/>
        <w:rPr>
          <w:rtl/>
          <w:lang w:bidi="fa-IR"/>
        </w:rPr>
      </w:pPr>
      <w:r>
        <w:rPr>
          <w:rFonts w:hint="cs"/>
          <w:rtl/>
        </w:rPr>
        <w:t xml:space="preserve">= </w:t>
      </w:r>
      <w:r w:rsidR="00E3253D" w:rsidRPr="005D642E">
        <w:rPr>
          <w:rtl/>
        </w:rPr>
        <w:t xml:space="preserve">الحلبي ، روى كتابه النضر بن سويد. راجع : </w:t>
      </w:r>
      <w:r w:rsidR="00E3253D" w:rsidRPr="002F4D34">
        <w:rPr>
          <w:rStyle w:val="libFootnoteBoldChar"/>
          <w:rtl/>
        </w:rPr>
        <w:t>رجال النجاشي</w:t>
      </w:r>
      <w:r w:rsidR="00E3253D" w:rsidRPr="005D642E">
        <w:rPr>
          <w:rtl/>
        </w:rPr>
        <w:t xml:space="preserve"> ، ص 444 ، الرقم 1199 ؛ </w:t>
      </w:r>
      <w:r w:rsidR="0059794D" w:rsidRPr="0059794D">
        <w:rPr>
          <w:rStyle w:val="libFootnoteBoldChar"/>
          <w:rtl/>
        </w:rPr>
        <w:t>الفهرست للطوسي</w:t>
      </w:r>
      <w:r w:rsidR="00E3253D" w:rsidRPr="005D642E">
        <w:rPr>
          <w:rtl/>
        </w:rPr>
        <w:t xml:space="preserve"> ، ص 501 ، الرقم 790.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D6F86" w:rsidTr="001D6F86">
        <w:tc>
          <w:tcPr>
            <w:tcW w:w="4006" w:type="dxa"/>
          </w:tcPr>
          <w:p w:rsidR="001D6F86" w:rsidRDefault="001D6F86" w:rsidP="00E3253D">
            <w:pPr>
              <w:pStyle w:val="libFootnote0"/>
              <w:rPr>
                <w:rStyle w:val="libFootnote0Char"/>
                <w:rtl/>
              </w:rPr>
            </w:pPr>
            <w:r w:rsidRPr="0042621E">
              <w:rPr>
                <w:rStyle w:val="libFootnote0Char"/>
                <w:rtl/>
              </w:rPr>
              <w:t>(2).</w:t>
            </w:r>
            <w:r w:rsidRPr="005D642E">
              <w:rPr>
                <w:rtl/>
              </w:rPr>
              <w:t xml:space="preserve"> في « جن » :</w:t>
            </w:r>
            <w:r>
              <w:rPr>
                <w:rtl/>
              </w:rPr>
              <w:t xml:space="preserve"> - </w:t>
            </w:r>
            <w:r w:rsidRPr="005D642E">
              <w:rPr>
                <w:rtl/>
              </w:rPr>
              <w:t>« بن عليّ</w:t>
            </w:r>
            <w:r>
              <w:rPr>
                <w:rtl/>
              </w:rPr>
              <w:t xml:space="preserve"> ».</w:t>
            </w:r>
          </w:p>
        </w:tc>
        <w:tc>
          <w:tcPr>
            <w:tcW w:w="4006" w:type="dxa"/>
          </w:tcPr>
          <w:p w:rsidR="001D6F86" w:rsidRDefault="001D6F86" w:rsidP="00E3253D">
            <w:pPr>
              <w:pStyle w:val="libFootnote0"/>
              <w:rPr>
                <w:rStyle w:val="libFootnote0Char"/>
                <w:rtl/>
              </w:rPr>
            </w:pPr>
            <w:r w:rsidRPr="0042621E">
              <w:rPr>
                <w:rStyle w:val="libFootnote0Char"/>
                <w:rtl/>
              </w:rPr>
              <w:t>(3).</w:t>
            </w:r>
            <w:r w:rsidRPr="005D642E">
              <w:rPr>
                <w:rtl/>
              </w:rPr>
              <w:t xml:space="preserve"> في « بخ » : « ما قام له</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لها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 + « والله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456 ، ح 1486 ، معلّقاً الحسين بن سعيد </w:t>
      </w:r>
      <w:r w:rsidR="00527E20">
        <w:rPr>
          <w:rFonts w:hint="cs"/>
          <w:rtl/>
        </w:rPr>
        <w:t>.</w:t>
      </w:r>
      <w:r w:rsidR="00E3253D" w:rsidRPr="002F4D34">
        <w:rPr>
          <w:rStyle w:val="libFootnoteBoldChar"/>
          <w:rtl/>
        </w:rPr>
        <w:t>الوافي</w:t>
      </w:r>
      <w:r w:rsidR="00E3253D" w:rsidRPr="005D642E">
        <w:rPr>
          <w:rtl/>
        </w:rPr>
        <w:t xml:space="preserve"> ، ج 24 ، ص 392 ، ح 24295 ؛ </w:t>
      </w:r>
      <w:r w:rsidR="00E3253D" w:rsidRPr="002F4D34">
        <w:rPr>
          <w:rStyle w:val="libFootnoteBoldChar"/>
          <w:rtl/>
        </w:rPr>
        <w:t>الوسائل</w:t>
      </w:r>
      <w:r w:rsidR="00E3253D" w:rsidRPr="005D642E">
        <w:rPr>
          <w:rtl/>
        </w:rPr>
        <w:t xml:space="preserve"> ، ج 3 ، ص 169 ، ح 3313 ؛ </w:t>
      </w:r>
      <w:r w:rsidR="00E3253D" w:rsidRPr="002F4D34">
        <w:rPr>
          <w:rStyle w:val="libFootnoteBoldChar"/>
          <w:rtl/>
        </w:rPr>
        <w:t>البحار</w:t>
      </w:r>
      <w:r w:rsidR="00E3253D" w:rsidRPr="005D642E">
        <w:rPr>
          <w:rtl/>
        </w:rPr>
        <w:t xml:space="preserve"> ، ج 46 ، ص 358 ، ح 13.</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بح » : « به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هامش المطبوع عن بعض النسخ زيادة : « ولم يقم الحسين </w:t>
      </w:r>
      <w:r w:rsidR="00E3253D" w:rsidRPr="00527E20">
        <w:rPr>
          <w:rStyle w:val="libFootnoteAlaemChar"/>
          <w:rtl/>
        </w:rPr>
        <w:t>عليه‌السلام</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جالساً</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بخ ، بف ، جس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أن يعلو</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456 ، ح 1487 ، معلّقاً عن سهل بن زياد. </w:t>
      </w:r>
      <w:r w:rsidR="00E3253D" w:rsidRPr="002F4D34">
        <w:rPr>
          <w:rStyle w:val="libFootnoteBoldChar"/>
          <w:rtl/>
        </w:rPr>
        <w:t>قرب الإسناد</w:t>
      </w:r>
      <w:r w:rsidR="00E3253D" w:rsidRPr="005D642E">
        <w:rPr>
          <w:rtl/>
        </w:rPr>
        <w:t xml:space="preserve"> ، ص 42 ، ح 283 ، بسند آخر عن جعفر بن محمّد ، عن أبيه </w:t>
      </w:r>
      <w:r w:rsidR="00E3253D" w:rsidRPr="00527E20">
        <w:rPr>
          <w:rStyle w:val="libFootnoteAlaemChar"/>
          <w:rtl/>
        </w:rPr>
        <w:t>عليهم‌السلام</w:t>
      </w:r>
      <w:r w:rsidR="00E3253D" w:rsidRPr="005D642E">
        <w:rPr>
          <w:rtl/>
        </w:rPr>
        <w:t xml:space="preserve"> ، مع اختلاف يسير وزيادة ، وفيه : « أنّ الحسن بن عليّ </w:t>
      </w:r>
      <w:r w:rsidR="00E3253D" w:rsidRPr="00527E20">
        <w:rPr>
          <w:rStyle w:val="libFootnoteAlaemChar"/>
          <w:rtl/>
        </w:rPr>
        <w:t>عليهما‌السلام</w:t>
      </w:r>
      <w:r w:rsidR="00E3253D" w:rsidRPr="005D642E">
        <w:rPr>
          <w:rtl/>
        </w:rPr>
        <w:t xml:space="preserve"> كان جالساً</w:t>
      </w:r>
      <w:r w:rsidR="00E3253D">
        <w:rPr>
          <w:rtl/>
        </w:rPr>
        <w:t xml:space="preserve"> ..</w:t>
      </w:r>
      <w:r w:rsidR="00E3253D" w:rsidRPr="005D642E">
        <w:rPr>
          <w:rtl/>
        </w:rPr>
        <w:t xml:space="preserve">. » </w:t>
      </w:r>
      <w:r w:rsidR="00527E20">
        <w:rPr>
          <w:rFonts w:hint="cs"/>
          <w:rtl/>
        </w:rPr>
        <w:t>.</w:t>
      </w:r>
      <w:r w:rsidR="00E3253D" w:rsidRPr="002F4D34">
        <w:rPr>
          <w:rStyle w:val="libFootnoteBoldChar"/>
          <w:rtl/>
        </w:rPr>
        <w:t>الوافي</w:t>
      </w:r>
      <w:r w:rsidR="00E3253D" w:rsidRPr="005D642E">
        <w:rPr>
          <w:rtl/>
        </w:rPr>
        <w:t xml:space="preserve"> ، ج 24 ، ص 393 ، ح 24296 ؛ </w:t>
      </w:r>
      <w:r w:rsidR="00E3253D" w:rsidRPr="002F4D34">
        <w:rPr>
          <w:rStyle w:val="libFootnoteBoldChar"/>
          <w:rtl/>
        </w:rPr>
        <w:t>الوسائل</w:t>
      </w:r>
      <w:r w:rsidR="00E3253D" w:rsidRPr="005D642E">
        <w:rPr>
          <w:rtl/>
        </w:rPr>
        <w:t xml:space="preserve"> ، ج 3 ، ص 169 ، ح 3314 ؛ </w:t>
      </w:r>
      <w:r w:rsidR="00E3253D" w:rsidRPr="002F4D34">
        <w:rPr>
          <w:rStyle w:val="libFootnoteBoldChar"/>
          <w:rtl/>
        </w:rPr>
        <w:t>البحار</w:t>
      </w:r>
      <w:r w:rsidR="00E3253D" w:rsidRPr="005D642E">
        <w:rPr>
          <w:rtl/>
        </w:rPr>
        <w:t xml:space="preserve"> ، ج 44 ، ص 203 ، ح 21.</w:t>
      </w:r>
    </w:p>
    <w:p w:rsidR="00E3253D" w:rsidRDefault="00E3253D" w:rsidP="00E3253D">
      <w:pPr>
        <w:pStyle w:val="libNormal"/>
        <w:rPr>
          <w:rtl/>
          <w:lang w:bidi="fa-IR"/>
        </w:rPr>
      </w:pPr>
      <w:r>
        <w:rPr>
          <w:rtl/>
          <w:lang w:bidi="fa-IR"/>
        </w:rPr>
        <w:br w:type="page"/>
      </w:r>
    </w:p>
    <w:p w:rsidR="007525DD" w:rsidRPr="005D642E" w:rsidRDefault="007525DD" w:rsidP="007525DD">
      <w:pPr>
        <w:pStyle w:val="Heading2Center"/>
        <w:rPr>
          <w:rtl/>
          <w:lang w:bidi="fa-IR"/>
        </w:rPr>
      </w:pPr>
      <w:bookmarkStart w:id="440" w:name="_Toc344647357"/>
      <w:bookmarkStart w:id="441" w:name="_Toc462226871"/>
      <w:bookmarkStart w:id="442" w:name="_Toc40975980"/>
      <w:r w:rsidRPr="005D642E">
        <w:rPr>
          <w:rtl/>
          <w:lang w:bidi="fa-IR"/>
        </w:rPr>
        <w:t>62</w:t>
      </w:r>
      <w:r>
        <w:rPr>
          <w:rtl/>
          <w:lang w:bidi="fa-IR"/>
        </w:rPr>
        <w:t xml:space="preserve"> - </w:t>
      </w:r>
      <w:r w:rsidRPr="005D642E">
        <w:rPr>
          <w:rtl/>
          <w:lang w:bidi="fa-IR"/>
        </w:rPr>
        <w:t>بَابُ دُخُولِ الْقَبْرِ وَالْخُرُوجِ مِنْهُ‌</w:t>
      </w:r>
      <w:bookmarkEnd w:id="440"/>
      <w:bookmarkEnd w:id="441"/>
      <w:bookmarkEnd w:id="442"/>
    </w:p>
    <w:p w:rsidR="00E3253D" w:rsidRPr="005D642E" w:rsidRDefault="00E3253D" w:rsidP="00E3253D">
      <w:pPr>
        <w:pStyle w:val="libNormal"/>
        <w:rPr>
          <w:rtl/>
          <w:lang w:bidi="fa-IR"/>
        </w:rPr>
      </w:pPr>
      <w:r w:rsidRPr="00246318">
        <w:rPr>
          <w:rStyle w:val="libBold2Char"/>
          <w:rtl/>
        </w:rPr>
        <w:t>4535 / 1.</w:t>
      </w:r>
      <w:r w:rsidRPr="005D642E">
        <w:rPr>
          <w:rtl/>
          <w:lang w:bidi="fa-IR"/>
        </w:rPr>
        <w:t xml:space="preserve"> عِدَّةٌ مِنْ أَصْحَابِنَا ، عَنْ سَهْلِ بْنِ زِيَادٍ ، عَنِ ابْنِ مَحْبُوبٍ ، عَنْ عَبْدِ الْعَزِيزِ الْعَبْدِيِّ ، عَنِ ابْنِ أَبِي يَعْفُورٍ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يَنْبَغِي لِأَحَدٍ أَنْ يَدْخُلَ الْقَبْرَ فِي نَعْلَيْنِ ، وَلَاخُفَّيْنِ ، وَلَاعِمَامَةٍ </w:t>
      </w:r>
      <w:r w:rsidRPr="007C12DB">
        <w:rPr>
          <w:rStyle w:val="libFootnotenumChar"/>
          <w:rtl/>
        </w:rPr>
        <w:t>(1)</w:t>
      </w:r>
      <w:r w:rsidRPr="005D642E">
        <w:rPr>
          <w:rtl/>
          <w:lang w:bidi="fa-IR"/>
        </w:rPr>
        <w:t xml:space="preserve"> ، وَلَارِدَاءٍ </w:t>
      </w:r>
      <w:r w:rsidRPr="007C12DB">
        <w:rPr>
          <w:rStyle w:val="libFootnotenumChar"/>
          <w:rtl/>
        </w:rPr>
        <w:t>(2)</w:t>
      </w:r>
      <w:r w:rsidRPr="005D642E">
        <w:rPr>
          <w:rtl/>
          <w:lang w:bidi="fa-IR"/>
        </w:rPr>
        <w:t xml:space="preserve"> ، وَلَاقَلَنْسُوَةٍ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9E50CE">
        <w:rPr>
          <w:rtl/>
        </w:rPr>
        <w:t>4536</w:t>
      </w:r>
      <w:r w:rsidRPr="00246318">
        <w:rPr>
          <w:rStyle w:val="libBold2Char"/>
          <w:rtl/>
        </w:rPr>
        <w:t xml:space="preserve"> / 2.</w:t>
      </w:r>
      <w:r w:rsidRPr="005D642E">
        <w:rPr>
          <w:rtl/>
          <w:lang w:bidi="fa-IR"/>
        </w:rPr>
        <w:t xml:space="preserve"> عَلِيُّ بْنُ إِبْرَاهِيمَ ، عَنْ أَبِيهِ ، عَنِ ابْنِ أَبِي عُمَيْرٍ ، عَنْ عَلِيِّ بْنِ يَقْطِينٍ ، قَالَ :</w:t>
      </w:r>
    </w:p>
    <w:p w:rsidR="00E3253D" w:rsidRPr="005D642E" w:rsidRDefault="00E3253D" w:rsidP="007611C6">
      <w:pPr>
        <w:pStyle w:val="libNormal"/>
        <w:rPr>
          <w:rtl/>
          <w:lang w:bidi="fa-IR"/>
        </w:rPr>
      </w:pPr>
      <w:r w:rsidRPr="005D642E">
        <w:rPr>
          <w:rtl/>
          <w:lang w:bidi="fa-IR"/>
        </w:rPr>
        <w:t xml:space="preserve">سَمِعْتُ أَبَا الْحَسَنِ </w:t>
      </w:r>
      <w:r w:rsidRPr="007C12DB">
        <w:rPr>
          <w:rStyle w:val="libFootnotenumChar"/>
          <w:rtl/>
        </w:rPr>
        <w:t>(5)</w:t>
      </w:r>
      <w:r w:rsidRPr="005D642E">
        <w:rPr>
          <w:rtl/>
          <w:lang w:bidi="fa-IR"/>
        </w:rPr>
        <w:t xml:space="preserve"> </w:t>
      </w:r>
      <w:r w:rsidRPr="00AC51C5">
        <w:rPr>
          <w:rStyle w:val="libAlaemChar"/>
          <w:rtl/>
        </w:rPr>
        <w:t>عليه‌السلام</w:t>
      </w:r>
      <w:r w:rsidRPr="005D642E">
        <w:rPr>
          <w:rtl/>
          <w:lang w:bidi="fa-IR"/>
        </w:rPr>
        <w:t xml:space="preserve"> يَقُولُ : « لَا تَنْزِلْ فِي الْقَبْرِ وَعَلَيْكَ الْعِمَامَةُ وَالْقَلَنْسُوَةُ وَلَا الْحِذَاءُ </w:t>
      </w:r>
      <w:r w:rsidRPr="007C12DB">
        <w:rPr>
          <w:rStyle w:val="libFootnotenumChar"/>
          <w:rtl/>
        </w:rPr>
        <w:t>(6)</w:t>
      </w:r>
      <w:r w:rsidRPr="005D642E">
        <w:rPr>
          <w:rtl/>
          <w:lang w:bidi="fa-IR"/>
        </w:rPr>
        <w:t xml:space="preserve"> وَلَا</w:t>
      </w:r>
      <w:r>
        <w:rPr>
          <w:rFonts w:hint="cs"/>
          <w:rtl/>
          <w:lang w:bidi="fa-IR"/>
        </w:rPr>
        <w:t xml:space="preserve"> </w:t>
      </w:r>
      <w:r w:rsidRPr="005D642E">
        <w:rPr>
          <w:rtl/>
          <w:lang w:bidi="fa-IR"/>
        </w:rPr>
        <w:t xml:space="preserve">الطَّيْلَسَانُ </w:t>
      </w:r>
      <w:r w:rsidRPr="007C12DB">
        <w:rPr>
          <w:rStyle w:val="libFootnotenumChar"/>
          <w:rtl/>
        </w:rPr>
        <w:t>(7)</w:t>
      </w:r>
      <w:r w:rsidRPr="005D642E">
        <w:rPr>
          <w:rtl/>
          <w:lang w:bidi="fa-IR"/>
        </w:rPr>
        <w:t xml:space="preserve"> ، وَحُلَّ </w:t>
      </w:r>
      <w:r w:rsidRPr="007C12DB">
        <w:rPr>
          <w:rStyle w:val="libFootnotenumChar"/>
          <w:rtl/>
        </w:rPr>
        <w:t>(8)</w:t>
      </w:r>
      <w:r w:rsidRPr="005D642E">
        <w:rPr>
          <w:rtl/>
          <w:lang w:bidi="fa-IR"/>
        </w:rPr>
        <w:t xml:space="preserve"> أَزْرَارَكَ </w:t>
      </w:r>
      <w:r w:rsidRPr="007C12DB">
        <w:rPr>
          <w:rStyle w:val="libFootnotenumChar"/>
          <w:rtl/>
        </w:rPr>
        <w:t>(9)</w:t>
      </w:r>
      <w:r w:rsidRPr="005D642E">
        <w:rPr>
          <w:rtl/>
          <w:lang w:bidi="fa-IR"/>
        </w:rPr>
        <w:t xml:space="preserve"> ؛ وَبِذلِكَ سُنَّةُ رَسُولِ اللهِ </w:t>
      </w:r>
      <w:r w:rsidR="0042621E" w:rsidRPr="0042621E">
        <w:rPr>
          <w:rStyle w:val="libAlaemChar"/>
          <w:rtl/>
        </w:rPr>
        <w:t>صلى‌الله‌عليه‌وآله</w:t>
      </w:r>
      <w:r w:rsidRPr="005D642E">
        <w:rPr>
          <w:rtl/>
          <w:lang w:bidi="fa-IR"/>
        </w:rPr>
        <w:t xml:space="preserve"> جَرَتْ ، وَلْيَتَعَوَّذْ </w:t>
      </w:r>
      <w:r w:rsidRPr="007C12DB">
        <w:rPr>
          <w:rStyle w:val="libFootnotenumChar"/>
          <w:rtl/>
        </w:rPr>
        <w:t>(10)</w:t>
      </w:r>
      <w:r w:rsidRPr="005D642E">
        <w:rPr>
          <w:rtl/>
          <w:lang w:bidi="fa-IR"/>
        </w:rPr>
        <w:t xml:space="preserve"> بِاللهِ </w:t>
      </w:r>
      <w:r w:rsidRPr="007C12DB">
        <w:rPr>
          <w:rStyle w:val="libFootnotenumChar"/>
          <w:rtl/>
        </w:rPr>
        <w:t>(11)</w:t>
      </w:r>
      <w:r w:rsidRPr="005D642E">
        <w:rPr>
          <w:rtl/>
          <w:lang w:bidi="fa-IR"/>
        </w:rPr>
        <w:t xml:space="preserve"> مِنَ الشَّيْطَانِ الرَّجِيمِ ، وَلْيَقْرَأْ </w:t>
      </w:r>
      <w:r w:rsidRPr="007C12DB">
        <w:rPr>
          <w:rStyle w:val="libFootnotenumChar"/>
          <w:rtl/>
        </w:rPr>
        <w:t>(12)</w:t>
      </w:r>
      <w:r w:rsidRPr="005D642E">
        <w:rPr>
          <w:rtl/>
          <w:lang w:bidi="fa-IR"/>
        </w:rPr>
        <w:t xml:space="preserve"> فَاتِحَةَ الْكِتَابِ ، وَالْمُعَوِّذَتَيْنِ ، </w:t>
      </w:r>
      <w:r>
        <w:rPr>
          <w:rtl/>
          <w:lang w:bidi="fa-IR"/>
        </w:rPr>
        <w:t xml:space="preserve">و </w:t>
      </w:r>
      <w:r w:rsidR="007611C6" w:rsidRPr="007611C6">
        <w:rPr>
          <w:rStyle w:val="libAlaemChar"/>
          <w:rFonts w:hint="cs"/>
          <w:rtl/>
        </w:rPr>
        <w:t>(</w:t>
      </w:r>
      <w:r w:rsidRPr="007611C6">
        <w:rPr>
          <w:rStyle w:val="libAieChar"/>
          <w:rtl/>
        </w:rPr>
        <w:t xml:space="preserve"> قُلْ هُوَ اللهُ أَحَدٌ </w:t>
      </w:r>
      <w:r w:rsidR="007611C6" w:rsidRPr="007611C6">
        <w:rPr>
          <w:rStyle w:val="libAlaemChar"/>
          <w:rFonts w:hint="cs"/>
          <w:rtl/>
        </w:rPr>
        <w:t>)</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w:t>
      </w:r>
      <w:r w:rsidR="00E3253D">
        <w:rPr>
          <w:rtl/>
        </w:rPr>
        <w:t xml:space="preserve"> </w:t>
      </w:r>
      <w:r w:rsidR="007642BC">
        <w:rPr>
          <w:rtl/>
        </w:rPr>
        <w:t>-</w:t>
      </w:r>
      <w:r w:rsidR="00E3253D">
        <w:rPr>
          <w:rtl/>
        </w:rPr>
        <w:t xml:space="preserve"> </w:t>
      </w:r>
      <w:r w:rsidR="00E3253D" w:rsidRPr="005D642E">
        <w:rPr>
          <w:rtl/>
        </w:rPr>
        <w:t>« ولا عمامة</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الرِداء » : الثوب ، أو البُرْد الذي يضعه الإنسان على عاتقيه وبين كتفيه فوق ثيابه. راجع : </w:t>
      </w:r>
      <w:r w:rsidR="00E3253D" w:rsidRPr="002F4D34">
        <w:rPr>
          <w:rStyle w:val="libFootnoteBoldChar"/>
          <w:rtl/>
        </w:rPr>
        <w:t>النهاية</w:t>
      </w:r>
      <w:r w:rsidR="00E3253D" w:rsidRPr="005D642E">
        <w:rPr>
          <w:rtl/>
        </w:rPr>
        <w:t xml:space="preserve"> ، ج 2 ، ص 217 ( ردا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القَلَنْسُوَة » : التي تلبس في الرأس. وفيها لغات ا</w:t>
      </w:r>
      <w:r w:rsidR="003E6453">
        <w:rPr>
          <w:rFonts w:hint="cs"/>
          <w:rtl/>
        </w:rPr>
        <w:t>ُ</w:t>
      </w:r>
      <w:r w:rsidR="00E3253D" w:rsidRPr="005D642E">
        <w:rPr>
          <w:rtl/>
        </w:rPr>
        <w:t xml:space="preserve">خرى. راجع : </w:t>
      </w:r>
      <w:r w:rsidR="00E3253D" w:rsidRPr="002F4D34">
        <w:rPr>
          <w:rStyle w:val="libFootnoteBoldChar"/>
          <w:rtl/>
        </w:rPr>
        <w:t>لسان العرب</w:t>
      </w:r>
      <w:r w:rsidR="00E3253D" w:rsidRPr="005D642E">
        <w:rPr>
          <w:rtl/>
        </w:rPr>
        <w:t xml:space="preserve"> ، ج 6 ، ص 181 ؛ </w:t>
      </w:r>
      <w:r w:rsidR="00E3253D" w:rsidRPr="002F4D34">
        <w:rPr>
          <w:rStyle w:val="libFootnoteBoldChar"/>
          <w:rtl/>
        </w:rPr>
        <w:t>القاموس المحيط</w:t>
      </w:r>
      <w:r w:rsidR="00E3253D" w:rsidRPr="005D642E">
        <w:rPr>
          <w:rtl/>
        </w:rPr>
        <w:t xml:space="preserve"> ، ج 1 ، ص 776 ( قلس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314 ، ح 913 ، بسنده عن الكليني </w:t>
      </w:r>
      <w:r w:rsidR="003E6453">
        <w:rPr>
          <w:rFonts w:hint="cs"/>
          <w:rtl/>
        </w:rPr>
        <w:t>.</w:t>
      </w:r>
      <w:r w:rsidR="00E3253D" w:rsidRPr="002F4D34">
        <w:rPr>
          <w:rStyle w:val="libFootnoteBoldChar"/>
          <w:rtl/>
        </w:rPr>
        <w:t>الوافي</w:t>
      </w:r>
      <w:r w:rsidR="00E3253D" w:rsidRPr="005D642E">
        <w:rPr>
          <w:rtl/>
        </w:rPr>
        <w:t xml:space="preserve"> ، ج 25 ، ص 509 ، ح 24530 ؛ </w:t>
      </w:r>
      <w:r w:rsidR="00E3253D" w:rsidRPr="002F4D34">
        <w:rPr>
          <w:rStyle w:val="libFootnoteBoldChar"/>
          <w:rtl/>
        </w:rPr>
        <w:t>الوسائل</w:t>
      </w:r>
      <w:r w:rsidR="00E3253D" w:rsidRPr="005D642E">
        <w:rPr>
          <w:rtl/>
        </w:rPr>
        <w:t xml:space="preserve"> ، ج 3 ، ص 170 ، ح 3318.</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والعلل : + « الأوّل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 « ولاحذاء</w:t>
      </w:r>
      <w:r w:rsidR="00E3253D">
        <w:rPr>
          <w:rtl/>
        </w:rPr>
        <w:t xml:space="preserve"> ».</w:t>
      </w:r>
      <w:r w:rsidR="00E3253D" w:rsidRPr="005D642E">
        <w:rPr>
          <w:rtl/>
        </w:rPr>
        <w:t xml:space="preserve"> وفي « بخ » </w:t>
      </w:r>
      <w:r w:rsidR="000D749A" w:rsidRPr="000D749A">
        <w:rPr>
          <w:rStyle w:val="libFootnoteBoldChar"/>
          <w:rtl/>
        </w:rPr>
        <w:t>والوافي</w:t>
      </w:r>
      <w:r w:rsidR="00E3253D" w:rsidRPr="005D642E">
        <w:rPr>
          <w:rtl/>
        </w:rPr>
        <w:t xml:space="preserve"> : « والحذاء » بدون « لا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والعلل : « والطيلسان » بدون « لا</w:t>
      </w:r>
      <w:r w:rsidR="00E3253D">
        <w:rPr>
          <w:rtl/>
        </w:rPr>
        <w:t xml:space="preserve"> ».</w:t>
      </w:r>
      <w:r w:rsidR="00E3253D" w:rsidRPr="005D642E">
        <w:rPr>
          <w:rtl/>
        </w:rPr>
        <w:t xml:space="preserve"> </w:t>
      </w:r>
      <w:r w:rsidR="00E3253D">
        <w:rPr>
          <w:rtl/>
        </w:rPr>
        <w:t>و «</w:t>
      </w:r>
      <w:r w:rsidR="00E3253D" w:rsidRPr="005D642E">
        <w:rPr>
          <w:rtl/>
        </w:rPr>
        <w:t xml:space="preserve"> الطَيْلَسان » : فارسيّ معرّب ، أصله تالشان أو تالسان ، وهو من لباس العجم مدوّر أس</w:t>
      </w:r>
      <w:r w:rsidR="003E6453">
        <w:rPr>
          <w:rtl/>
        </w:rPr>
        <w:t>ود. قال العل</w:t>
      </w:r>
      <w:r w:rsidR="003E6453">
        <w:rPr>
          <w:rFonts w:hint="cs"/>
          <w:rtl/>
        </w:rPr>
        <w:t>ّ</w:t>
      </w:r>
      <w:r w:rsidR="003E6453">
        <w:rPr>
          <w:rtl/>
        </w:rPr>
        <w:t>ا</w:t>
      </w:r>
      <w:r w:rsidR="00E3253D" w:rsidRPr="005D642E">
        <w:rPr>
          <w:rtl/>
        </w:rPr>
        <w:t xml:space="preserve">مة المجلسي : « قال صاحب كتاب </w:t>
      </w:r>
      <w:r w:rsidR="00E3253D" w:rsidRPr="002F4D34">
        <w:rPr>
          <w:rStyle w:val="libFootnoteBoldChar"/>
          <w:rtl/>
        </w:rPr>
        <w:t>مطالع الأنوار</w:t>
      </w:r>
      <w:r w:rsidR="00E3253D" w:rsidRPr="005D642E">
        <w:rPr>
          <w:rtl/>
        </w:rPr>
        <w:t xml:space="preserve"> : الطيلسان : شبه الأردية يوضع على الرأس والكتفين والظهر</w:t>
      </w:r>
      <w:r w:rsidR="00E3253D">
        <w:rPr>
          <w:rtl/>
        </w:rPr>
        <w:t xml:space="preserve"> ».</w:t>
      </w:r>
      <w:r w:rsidR="00E3253D" w:rsidRPr="005D642E">
        <w:rPr>
          <w:rtl/>
        </w:rPr>
        <w:t xml:space="preserve"> راجع : </w:t>
      </w:r>
      <w:r w:rsidR="00E3253D" w:rsidRPr="002F4D34">
        <w:rPr>
          <w:rStyle w:val="libFootnoteBoldChar"/>
          <w:rtl/>
        </w:rPr>
        <w:t>المغرب</w:t>
      </w:r>
      <w:r w:rsidR="00E3253D" w:rsidRPr="005D642E">
        <w:rPr>
          <w:rtl/>
        </w:rPr>
        <w:t xml:space="preserve"> ، ص 291 ؛ </w:t>
      </w:r>
      <w:r w:rsidR="00E3253D" w:rsidRPr="002F4D34">
        <w:rPr>
          <w:rStyle w:val="libFootnoteBoldChar"/>
          <w:rtl/>
        </w:rPr>
        <w:t>القاموس المحيط</w:t>
      </w:r>
      <w:r w:rsidR="00E3253D" w:rsidRPr="005D642E">
        <w:rPr>
          <w:rtl/>
        </w:rPr>
        <w:t xml:space="preserve"> ، ج 1 ، ص 760 ( طلس ) ؛ </w:t>
      </w:r>
      <w:r w:rsidR="00E3253D" w:rsidRPr="002F4D34">
        <w:rPr>
          <w:rStyle w:val="libFootnoteBoldChar"/>
          <w:rtl/>
        </w:rPr>
        <w:t>مرآة العقول</w:t>
      </w:r>
      <w:r w:rsidR="00E3253D" w:rsidRPr="005D642E">
        <w:rPr>
          <w:rtl/>
        </w:rPr>
        <w:t xml:space="preserve"> ، ج 14 ، ص 86.</w:t>
      </w:r>
      <w:r w:rsidR="00E3253D">
        <w:rPr>
          <w:rFonts w:hint="cs"/>
          <w:rtl/>
          <w:lang w:bidi="fa-IR"/>
        </w:rPr>
        <w:t xml:space="preserve"> </w:t>
      </w:r>
      <w:r w:rsidR="00F8265D">
        <w:rPr>
          <w:rFonts w:hint="cs"/>
          <w:rtl/>
          <w:lang w:bidi="fa-IR"/>
        </w:rPr>
        <w:t xml:space="preserve">         </w:t>
      </w:r>
      <w:r w:rsidR="008A53D4">
        <w:rPr>
          <w:rFonts w:hint="cs"/>
          <w:rtl/>
          <w:lang w:bidi="fa-IR"/>
        </w:rPr>
        <w:t xml:space="preserve">    </w:t>
      </w:r>
      <w:r w:rsidR="00F8265D">
        <w:rPr>
          <w:rFonts w:hint="cs"/>
          <w:rtl/>
          <w:lang w:bidi="fa-IR"/>
        </w:rPr>
        <w:t xml:space="preserve">  </w:t>
      </w:r>
      <w:r w:rsidRPr="0042621E">
        <w:rPr>
          <w:rStyle w:val="libFootnote0Char"/>
          <w:rtl/>
        </w:rPr>
        <w:t>(8).</w:t>
      </w:r>
      <w:r w:rsidR="00F8265D">
        <w:rPr>
          <w:rtl/>
        </w:rPr>
        <w:t xml:space="preserve"> في «غ،ى،بث،بح،بس،جس»والوسائل</w:t>
      </w:r>
      <w:r w:rsidR="00E3253D" w:rsidRPr="005D642E">
        <w:rPr>
          <w:rtl/>
        </w:rPr>
        <w:t>: «وحلّل</w:t>
      </w:r>
      <w:r w:rsidR="00E3253D">
        <w:rPr>
          <w:rtl/>
        </w:rPr>
        <w:t>».</w:t>
      </w:r>
    </w:p>
    <w:p w:rsidR="00E3253D" w:rsidRPr="005D642E" w:rsidRDefault="0042621E" w:rsidP="00F8265D">
      <w:pPr>
        <w:pStyle w:val="libFootnote0"/>
        <w:rPr>
          <w:rtl/>
          <w:lang w:bidi="fa-IR"/>
        </w:rPr>
      </w:pPr>
      <w:r w:rsidRPr="0042621E">
        <w:rPr>
          <w:rStyle w:val="libFootnote0Char"/>
          <w:rtl/>
        </w:rPr>
        <w:t>(9).</w:t>
      </w:r>
      <w:r w:rsidR="00E3253D" w:rsidRPr="005D642E">
        <w:rPr>
          <w:rtl/>
        </w:rPr>
        <w:t xml:space="preserve"> « الأزرار » : جمع الزِرّ ، وهو الذي يوضع في القميص. وقيل : الزرّ : العروة التي تجعل الحبّة فيها. راجع : </w:t>
      </w:r>
      <w:r w:rsidR="00E3253D" w:rsidRPr="002F4D34">
        <w:rPr>
          <w:rStyle w:val="libFootnoteBoldChar"/>
          <w:rtl/>
        </w:rPr>
        <w:t>لسان العرب</w:t>
      </w:r>
      <w:r w:rsidR="00E3253D" w:rsidRPr="005D642E">
        <w:rPr>
          <w:rtl/>
        </w:rPr>
        <w:t xml:space="preserve"> ، ج 4 ، ص 321 ( زرر )</w:t>
      </w:r>
      <w:r w:rsidR="00E3253D">
        <w:rPr>
          <w:rtl/>
        </w:rPr>
        <w:t>.</w:t>
      </w:r>
      <w:r w:rsidR="00F8265D">
        <w:rPr>
          <w:rFonts w:hint="cs"/>
          <w:rtl/>
        </w:rPr>
        <w:t xml:space="preserve">             </w:t>
      </w:r>
      <w:r w:rsidR="008A53D4">
        <w:rPr>
          <w:rFonts w:hint="cs"/>
          <w:rtl/>
        </w:rPr>
        <w:t xml:space="preserve">       </w:t>
      </w:r>
      <w:r w:rsidR="00F8265D">
        <w:rPr>
          <w:rFonts w:hint="cs"/>
          <w:rtl/>
        </w:rPr>
        <w:t xml:space="preserve">    </w:t>
      </w:r>
      <w:r w:rsidRPr="0042621E">
        <w:rPr>
          <w:rStyle w:val="libFootnote0Char"/>
          <w:rtl/>
        </w:rPr>
        <w:t>(10).</w:t>
      </w:r>
      <w:r w:rsidR="00E3253D" w:rsidRPr="005D642E">
        <w:rPr>
          <w:rtl/>
        </w:rPr>
        <w:t xml:space="preserve"> في « ظ ، ى ، بث ، بس » : « والتتعوّذ</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F8265D" w:rsidTr="00F8265D">
        <w:tc>
          <w:tcPr>
            <w:tcW w:w="4006" w:type="dxa"/>
          </w:tcPr>
          <w:p w:rsidR="00F8265D" w:rsidRDefault="00F8265D" w:rsidP="00E3253D">
            <w:pPr>
              <w:pStyle w:val="libFootnote0"/>
              <w:rPr>
                <w:rStyle w:val="libFootnote0Char"/>
                <w:rtl/>
              </w:rPr>
            </w:pPr>
            <w:r w:rsidRPr="0042621E">
              <w:rPr>
                <w:rStyle w:val="libFootnote0Char"/>
                <w:rtl/>
              </w:rPr>
              <w:t>(11).</w:t>
            </w:r>
            <w:r w:rsidRPr="005D642E">
              <w:rPr>
                <w:rtl/>
              </w:rPr>
              <w:t xml:space="preserve"> في « بف » :</w:t>
            </w:r>
            <w:r>
              <w:rPr>
                <w:rtl/>
              </w:rPr>
              <w:t xml:space="preserve"> - </w:t>
            </w:r>
            <w:r w:rsidRPr="005D642E">
              <w:rPr>
                <w:rtl/>
              </w:rPr>
              <w:t>« بالله</w:t>
            </w:r>
            <w:r>
              <w:rPr>
                <w:rtl/>
              </w:rPr>
              <w:t xml:space="preserve"> ».</w:t>
            </w:r>
          </w:p>
        </w:tc>
        <w:tc>
          <w:tcPr>
            <w:tcW w:w="4006" w:type="dxa"/>
          </w:tcPr>
          <w:p w:rsidR="00F8265D" w:rsidRDefault="00F8265D" w:rsidP="00E3253D">
            <w:pPr>
              <w:pStyle w:val="libFootnote0"/>
              <w:rPr>
                <w:rStyle w:val="libFootnote0Char"/>
                <w:rtl/>
              </w:rPr>
            </w:pPr>
            <w:r w:rsidRPr="0042621E">
              <w:rPr>
                <w:rStyle w:val="libFootnote0Char"/>
                <w:rtl/>
              </w:rPr>
              <w:t>(12).</w:t>
            </w:r>
            <w:r w:rsidRPr="005D642E">
              <w:rPr>
                <w:rtl/>
              </w:rPr>
              <w:t xml:space="preserve"> في « ظ ، ى ، بث ، بس » : « ولتقرأ</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وَآيَةَ الْكُرْسِيِّ ، وَإِنْ قَدَرَ </w:t>
      </w:r>
      <w:r w:rsidRPr="007C12DB">
        <w:rPr>
          <w:rStyle w:val="libFootnotenumChar"/>
          <w:rtl/>
        </w:rPr>
        <w:t>(1)</w:t>
      </w:r>
      <w:r w:rsidRPr="005D642E">
        <w:rPr>
          <w:rtl/>
          <w:lang w:bidi="fa-IR"/>
        </w:rPr>
        <w:t xml:space="preserve"> أَنْ يَحْسِرَ عَنْ خَدِّهِ </w:t>
      </w:r>
      <w:r w:rsidRPr="007C12DB">
        <w:rPr>
          <w:rStyle w:val="libFootnotenumChar"/>
          <w:rtl/>
        </w:rPr>
        <w:t>(2)</w:t>
      </w:r>
      <w:r w:rsidRPr="005D642E">
        <w:rPr>
          <w:rtl/>
          <w:lang w:bidi="fa-IR"/>
        </w:rPr>
        <w:t xml:space="preserve"> ، وَيُلْصِقَهُ بِالْأَرْضِ ، فَلْيَفْعَلْ ، وَلْيَشْهَدْ </w:t>
      </w:r>
      <w:r w:rsidRPr="007C12DB">
        <w:rPr>
          <w:rStyle w:val="libFootnotenumChar"/>
          <w:rtl/>
        </w:rPr>
        <w:t>(3)</w:t>
      </w:r>
      <w:r w:rsidRPr="005D642E">
        <w:rPr>
          <w:rtl/>
          <w:lang w:bidi="fa-IR"/>
        </w:rPr>
        <w:t xml:space="preserve"> ، وَلْيَذْكُرْ مَا يَعْلَمُ حَتّى يَنْتَهِيَ إِلى صَاحِبِهِ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9E50CE">
        <w:rPr>
          <w:rtl/>
        </w:rPr>
        <w:t>4537</w:t>
      </w:r>
      <w:r w:rsidRPr="00246318">
        <w:rPr>
          <w:rStyle w:val="libBold2Char"/>
          <w:rtl/>
        </w:rPr>
        <w:t xml:space="preserve"> / 3.</w:t>
      </w:r>
      <w:r w:rsidRPr="005D642E">
        <w:rPr>
          <w:rtl/>
          <w:lang w:bidi="fa-IR"/>
        </w:rPr>
        <w:t xml:space="preserve"> مُحَمَّدُ بْنُ يَحْيى ، عَنْ مُحَمَّدِ بْنِ أَحْمَدَ ، عَنْ مُحَمَّدِ بْنِ عَبْدِ اللهِ الْمِسْمَعِيِّ ، عَنْ إِسْمَاعِيلَ بْنِ يَسَارٍ </w:t>
      </w:r>
      <w:r w:rsidRPr="007C12DB">
        <w:rPr>
          <w:rStyle w:val="libFootnotenumChar"/>
          <w:rtl/>
        </w:rPr>
        <w:t>(6)</w:t>
      </w:r>
      <w:r w:rsidRPr="005D642E">
        <w:rPr>
          <w:rtl/>
          <w:lang w:bidi="fa-IR"/>
        </w:rPr>
        <w:t xml:space="preserve"> الْوَاسِطِيِّ ، عَنْ سَيْفِ بْنِ عَمِيرَةَ ، عَنْ أَبِي بَكْرٍ الْحَضْرَمِيِّ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تَنْزِلِ </w:t>
      </w:r>
      <w:r w:rsidRPr="007C12DB">
        <w:rPr>
          <w:rStyle w:val="libFootnotenumChar"/>
          <w:rtl/>
        </w:rPr>
        <w:t>(7)</w:t>
      </w:r>
      <w:r w:rsidRPr="005D642E">
        <w:rPr>
          <w:rtl/>
          <w:lang w:bidi="fa-IR"/>
        </w:rPr>
        <w:t xml:space="preserve"> الْقَبْرَ وَعَلَيْكَ الْعِمَامَةُ وَلَا</w:t>
      </w:r>
      <w:r>
        <w:rPr>
          <w:rFonts w:hint="cs"/>
          <w:rtl/>
          <w:lang w:bidi="fa-IR"/>
        </w:rPr>
        <w:t xml:space="preserve"> </w:t>
      </w:r>
      <w:r w:rsidRPr="005D642E">
        <w:rPr>
          <w:rtl/>
          <w:lang w:bidi="fa-IR"/>
        </w:rPr>
        <w:t xml:space="preserve">الْقَلَنْسُوَةُ وَلَارِدَاءٌ وَلَاحِذَاءٌ ، وَحُلَّ </w:t>
      </w:r>
      <w:r w:rsidRPr="007C12DB">
        <w:rPr>
          <w:rStyle w:val="libFootnotenumChar"/>
          <w:rtl/>
        </w:rPr>
        <w:t>(8)</w:t>
      </w:r>
      <w:r w:rsidRPr="005D642E">
        <w:rPr>
          <w:rtl/>
          <w:lang w:bidi="fa-IR"/>
        </w:rPr>
        <w:t xml:space="preserve"> أَزْرَارَكَ</w:t>
      </w:r>
      <w:r>
        <w:rPr>
          <w:rtl/>
          <w:lang w:bidi="fa-IR"/>
        </w:rPr>
        <w:t xml:space="preserve"> ».</w:t>
      </w:r>
      <w:r w:rsidRPr="005D642E">
        <w:rPr>
          <w:rtl/>
          <w:lang w:bidi="fa-IR"/>
        </w:rPr>
        <w:t xml:space="preserve"> قَالَ : قُلْتُ : وَالْخُفَّ </w:t>
      </w:r>
      <w:r w:rsidRPr="007C12DB">
        <w:rPr>
          <w:rStyle w:val="libFootnotenumChar"/>
          <w:rtl/>
        </w:rPr>
        <w:t>(9)</w:t>
      </w:r>
      <w:r>
        <w:rPr>
          <w:rtl/>
          <w:lang w:bidi="fa-IR"/>
        </w:rPr>
        <w:t>؟</w:t>
      </w:r>
      <w:r w:rsidRPr="005D642E">
        <w:rPr>
          <w:rtl/>
          <w:lang w:bidi="fa-IR"/>
        </w:rPr>
        <w:t xml:space="preserve"> قَالَ : « لَا بَأْسَ بِالْخُفِّ فِي وَقْتِ الضَّرُورَةِ وَالتَّقِيَّةِ</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الحبل المتين</w:t>
      </w:r>
      <w:r w:rsidR="00E3253D" w:rsidRPr="005D642E">
        <w:rPr>
          <w:rtl/>
        </w:rPr>
        <w:t xml:space="preserve"> ، ص 247 : « والمراد من قوله </w:t>
      </w:r>
      <w:r w:rsidR="00E3253D" w:rsidRPr="00906481">
        <w:rPr>
          <w:rStyle w:val="libFootnoteAlaemChar"/>
          <w:rtl/>
        </w:rPr>
        <w:t>عليه‌السلام</w:t>
      </w:r>
      <w:r w:rsidR="00E3253D" w:rsidRPr="005D642E">
        <w:rPr>
          <w:rtl/>
        </w:rPr>
        <w:t xml:space="preserve"> : وإن قدر إلخ إذا لم يكن هناك من يتّقيه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أن يحسر عن خدّه » ، أي يكشف عنه ورفع عنه شيئاً قد غطّاه ؛ من الحسر بمعنى الكشف. راجع : </w:t>
      </w:r>
      <w:r w:rsidR="00E3253D" w:rsidRPr="002F4D34">
        <w:rPr>
          <w:rStyle w:val="libFootnoteBoldChar"/>
          <w:rtl/>
        </w:rPr>
        <w:t>النهاية</w:t>
      </w:r>
      <w:r w:rsidR="00E3253D" w:rsidRPr="005D642E">
        <w:rPr>
          <w:rtl/>
        </w:rPr>
        <w:t xml:space="preserve"> ، ج 1 ، ص 383 ( حسر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بث ، بخ ، بس ، بف ، جس ، جن » وحاشية « جح » </w:t>
      </w:r>
      <w:r w:rsidR="000D749A" w:rsidRPr="000D749A">
        <w:rPr>
          <w:rStyle w:val="libFootnoteBoldChar"/>
          <w:rtl/>
        </w:rPr>
        <w:t>والوافي</w:t>
      </w:r>
      <w:r w:rsidR="00E3253D" w:rsidRPr="005D642E">
        <w:rPr>
          <w:rtl/>
        </w:rPr>
        <w:t xml:space="preserve"> والوسائل : « وليتشهّد</w:t>
      </w:r>
      <w:r w:rsidR="00E3253D">
        <w:rPr>
          <w:rtl/>
        </w:rPr>
        <w:t xml:space="preserve"> ».</w:t>
      </w:r>
      <w:r w:rsidR="00E3253D" w:rsidRPr="005D642E">
        <w:rPr>
          <w:rtl/>
        </w:rPr>
        <w:t xml:space="preserve"> وفي « ى » : « وليستشهد</w:t>
      </w:r>
      <w:r w:rsidR="00E3253D">
        <w:rPr>
          <w:rtl/>
        </w:rPr>
        <w:t xml:space="preserve"> ».</w:t>
      </w:r>
      <w:r w:rsidR="00E3253D" w:rsidRPr="005D642E">
        <w:rPr>
          <w:rtl/>
        </w:rPr>
        <w:t xml:space="preserve"> وفي حاشية « بث » : « فليتشهّد</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قال الشيخ البهائي : « المراد</w:t>
      </w:r>
      <w:r w:rsidR="00E3253D">
        <w:rPr>
          <w:rtl/>
        </w:rPr>
        <w:t xml:space="preserve"> ..</w:t>
      </w:r>
      <w:r w:rsidR="00E3253D" w:rsidRPr="005D642E">
        <w:rPr>
          <w:rtl/>
        </w:rPr>
        <w:t xml:space="preserve">. من قوله </w:t>
      </w:r>
      <w:r w:rsidR="00E3253D" w:rsidRPr="00906481">
        <w:rPr>
          <w:rStyle w:val="libFootnoteAlaemChar"/>
          <w:rtl/>
        </w:rPr>
        <w:t>عليه‌السلام</w:t>
      </w:r>
      <w:r w:rsidR="00E3253D" w:rsidRPr="005D642E">
        <w:rPr>
          <w:rtl/>
        </w:rPr>
        <w:t xml:space="preserve"> : وليشهد وليذكر ما يعلم إلخ تلقينه الشهادتين والإقرار بالأئمّة </w:t>
      </w:r>
      <w:r w:rsidR="00E3253D" w:rsidRPr="00906481">
        <w:rPr>
          <w:rStyle w:val="libFootnoteAlaemChar"/>
          <w:rtl/>
        </w:rPr>
        <w:t>عليهم‌السلام</w:t>
      </w:r>
      <w:r w:rsidR="00E3253D" w:rsidRPr="005D642E">
        <w:rPr>
          <w:rtl/>
        </w:rPr>
        <w:t xml:space="preserve"> إلى أن ينتهي إلى إمام الزمان سلام الله عليه</w:t>
      </w:r>
      <w:r w:rsidR="00E3253D">
        <w:rPr>
          <w:rtl/>
        </w:rPr>
        <w:t xml:space="preserve"> ».</w:t>
      </w:r>
      <w:r w:rsidR="00906481">
        <w:rPr>
          <w:rtl/>
        </w:rPr>
        <w:t xml:space="preserve"> وقال العل</w:t>
      </w:r>
      <w:r w:rsidR="00906481">
        <w:rPr>
          <w:rFonts w:hint="cs"/>
          <w:rtl/>
        </w:rPr>
        <w:t>ّ</w:t>
      </w:r>
      <w:r w:rsidR="00906481">
        <w:rPr>
          <w:rtl/>
        </w:rPr>
        <w:t>ا</w:t>
      </w:r>
      <w:r w:rsidR="00E3253D" w:rsidRPr="005D642E">
        <w:rPr>
          <w:rtl/>
        </w:rPr>
        <w:t>مة الفيض : « المراد بما يعلم الإقرار بإمامة الأئمّة المعصومين صلوات الله عليهم بأسمائهم ، وصاحبه إمام زمانه</w:t>
      </w:r>
      <w:r w:rsidR="00E3253D">
        <w:rPr>
          <w:rtl/>
        </w:rPr>
        <w:t xml:space="preserve"> ».</w:t>
      </w:r>
      <w:r w:rsidR="00E3253D" w:rsidRPr="005D642E">
        <w:rPr>
          <w:rtl/>
        </w:rPr>
        <w:t xml:space="preserve"> راجع : </w:t>
      </w:r>
      <w:r w:rsidR="00E3253D" w:rsidRPr="002F4D34">
        <w:rPr>
          <w:rStyle w:val="libFootnoteBoldChar"/>
          <w:rtl/>
        </w:rPr>
        <w:t>الحبل المتين</w:t>
      </w:r>
      <w:r w:rsidR="00E3253D" w:rsidRPr="005D642E">
        <w:rPr>
          <w:rtl/>
        </w:rPr>
        <w:t xml:space="preserve"> ، ص 247.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علل الشرائع</w:t>
      </w:r>
      <w:r w:rsidR="00E3253D" w:rsidRPr="005D642E">
        <w:rPr>
          <w:rtl/>
        </w:rPr>
        <w:t xml:space="preserve"> ، ص 305 ، ح 1 ، بسنده عن ابن أبي عمير ، إلى قوله : « بذلك سنّة رسول الله </w:t>
      </w:r>
      <w:r w:rsidRPr="00906481">
        <w:rPr>
          <w:rStyle w:val="libFootnoteAlaemChar"/>
          <w:rtl/>
        </w:rPr>
        <w:t>صلى‌الله‌عليه‌وآله</w:t>
      </w:r>
      <w:r w:rsidR="00E3253D" w:rsidRPr="005D642E">
        <w:rPr>
          <w:rtl/>
        </w:rPr>
        <w:t xml:space="preserve"> جرت » مع اختلاف يسير وزيادة في آخره. </w:t>
      </w:r>
      <w:r w:rsidR="00E3253D" w:rsidRPr="002F4D34">
        <w:rPr>
          <w:rStyle w:val="libFootnoteBoldChar"/>
          <w:rtl/>
        </w:rPr>
        <w:t>الفقيه</w:t>
      </w:r>
      <w:r w:rsidR="00E3253D" w:rsidRPr="005D642E">
        <w:rPr>
          <w:rtl/>
        </w:rPr>
        <w:t xml:space="preserve"> ، ج 1 ، ص 171 ، ذيل ح 499 ، نقلاً عن رسالة أبيه. </w:t>
      </w:r>
      <w:r w:rsidR="00E3253D" w:rsidRPr="002F4D34">
        <w:rPr>
          <w:rStyle w:val="libFootnoteBoldChar"/>
          <w:rtl/>
        </w:rPr>
        <w:t>فقه الرضا</w:t>
      </w:r>
      <w:r w:rsidR="00E3253D" w:rsidRPr="005D642E">
        <w:rPr>
          <w:rtl/>
        </w:rPr>
        <w:t xml:space="preserve"> </w:t>
      </w:r>
      <w:r w:rsidR="00E3253D" w:rsidRPr="00906481">
        <w:rPr>
          <w:rStyle w:val="libFootnoteAlaemChar"/>
          <w:rtl/>
        </w:rPr>
        <w:t>عليه‌السلام</w:t>
      </w:r>
      <w:r w:rsidR="00E3253D" w:rsidRPr="005D642E">
        <w:rPr>
          <w:rtl/>
        </w:rPr>
        <w:t xml:space="preserve"> ، ص 170 ، وتمام الرواية فيهما : « إذا دخلت القبر فا</w:t>
      </w:r>
      <w:r w:rsidR="00C31525">
        <w:rPr>
          <w:rFonts w:hint="cs"/>
          <w:rtl/>
        </w:rPr>
        <w:t>ُ</w:t>
      </w:r>
      <w:r w:rsidR="00E3253D" w:rsidRPr="005D642E">
        <w:rPr>
          <w:rtl/>
        </w:rPr>
        <w:t>قرأ ا</w:t>
      </w:r>
      <w:r w:rsidR="00C31525">
        <w:rPr>
          <w:rFonts w:hint="cs"/>
          <w:rtl/>
        </w:rPr>
        <w:t>ُ</w:t>
      </w:r>
      <w:r w:rsidR="00E3253D" w:rsidRPr="005D642E">
        <w:rPr>
          <w:rtl/>
        </w:rPr>
        <w:t xml:space="preserve">مّ الكتاب والمعوّذتين وآية الكرسي » </w:t>
      </w:r>
      <w:r w:rsidR="00906481">
        <w:rPr>
          <w:rFonts w:hint="cs"/>
          <w:rtl/>
        </w:rPr>
        <w:t>.</w:t>
      </w:r>
      <w:r w:rsidR="00E3253D" w:rsidRPr="002F4D34">
        <w:rPr>
          <w:rStyle w:val="libFootnoteBoldChar"/>
          <w:rtl/>
        </w:rPr>
        <w:t>الوافي</w:t>
      </w:r>
      <w:r w:rsidR="00E3253D" w:rsidRPr="005D642E">
        <w:rPr>
          <w:rtl/>
        </w:rPr>
        <w:t xml:space="preserve"> ، ج 25 ، ص 510 ، ح 24531 ؛ </w:t>
      </w:r>
      <w:r w:rsidR="00E3253D" w:rsidRPr="002F4D34">
        <w:rPr>
          <w:rStyle w:val="libFootnoteBoldChar"/>
          <w:rtl/>
        </w:rPr>
        <w:t>الوسائل</w:t>
      </w:r>
      <w:r w:rsidR="00E3253D" w:rsidRPr="005D642E">
        <w:rPr>
          <w:rtl/>
        </w:rPr>
        <w:t xml:space="preserve"> ، ج 3 ، ص 170 ، ح 3316.</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بس » وحاشية « بث » : « بشار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بف » : + « في</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الوسائل : « وحلّل</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بف » </w:t>
      </w:r>
      <w:r w:rsidR="00B60612" w:rsidRPr="00B60612">
        <w:rPr>
          <w:rStyle w:val="libFootnoteBoldChar"/>
          <w:rtl/>
        </w:rPr>
        <w:t>والتهذيب</w:t>
      </w:r>
      <w:r w:rsidR="00E3253D" w:rsidRPr="005D642E">
        <w:rPr>
          <w:rtl/>
        </w:rPr>
        <w:t xml:space="preserve"> ، ح 910 </w:t>
      </w:r>
      <w:r w:rsidR="00E3253D" w:rsidRPr="00E678B5">
        <w:rPr>
          <w:rStyle w:val="libFootnoteBoldChar"/>
          <w:rtl/>
        </w:rPr>
        <w:t>والاستبصار</w:t>
      </w:r>
      <w:r w:rsidR="00E3253D" w:rsidRPr="005D642E">
        <w:rPr>
          <w:rtl/>
        </w:rPr>
        <w:t xml:space="preserve"> : « فالخفّ</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313 ، ح 911 ، معلّقاً عن محمّد بن عبدالله المسمعي. </w:t>
      </w:r>
      <w:r w:rsidR="00E3253D" w:rsidRPr="002F4D34">
        <w:rPr>
          <w:rStyle w:val="libFootnoteBoldChar"/>
          <w:rtl/>
        </w:rPr>
        <w:t>وفيه</w:t>
      </w:r>
      <w:r w:rsidR="00E3253D" w:rsidRPr="005D642E">
        <w:rPr>
          <w:rtl/>
        </w:rPr>
        <w:t xml:space="preserve"> ، ح 910 ؛ </w:t>
      </w:r>
      <w:r w:rsidR="00E3253D" w:rsidRPr="00E678B5">
        <w:rPr>
          <w:rStyle w:val="libFootnoteBoldChar"/>
          <w:rtl/>
        </w:rPr>
        <w:t>والاستبصار</w:t>
      </w:r>
      <w:r w:rsidR="00E3253D" w:rsidRPr="005D642E">
        <w:rPr>
          <w:rtl/>
        </w:rPr>
        <w:t xml:space="preserve"> ، ج 1 ، ص 213 ، ح 751 ، معلّقاً عن محمّد بن يحيى ، عن محمّد بن أحمد بن يحيى ، عن محمّد بن عبدالله المسمعي ، مع اختلاف يسير </w:t>
      </w:r>
      <w:r w:rsidR="00C31525">
        <w:rPr>
          <w:rFonts w:hint="cs"/>
          <w:rtl/>
        </w:rPr>
        <w:t>.</w:t>
      </w:r>
      <w:r w:rsidR="00E3253D" w:rsidRPr="002F4D34">
        <w:rPr>
          <w:rStyle w:val="libFootnoteBoldChar"/>
          <w:rtl/>
        </w:rPr>
        <w:t>الوافي</w:t>
      </w:r>
      <w:r w:rsidR="00E3253D" w:rsidRPr="005D642E">
        <w:rPr>
          <w:rtl/>
        </w:rPr>
        <w:t xml:space="preserve"> ، ج 25 ، ص 510 ، ح 24532 ؛ </w:t>
      </w:r>
      <w:r w:rsidR="00E3253D" w:rsidRPr="002F4D34">
        <w:rPr>
          <w:rStyle w:val="libFootnoteBoldChar"/>
          <w:rtl/>
        </w:rPr>
        <w:t>الوسائل</w:t>
      </w:r>
      <w:r w:rsidR="00E3253D" w:rsidRPr="005D642E">
        <w:rPr>
          <w:rtl/>
        </w:rPr>
        <w:t xml:space="preserve"> ، ج 3 ، ص 171 ، ح 3319 ؛ </w:t>
      </w:r>
      <w:r w:rsidR="00E3253D" w:rsidRPr="002F4D34">
        <w:rPr>
          <w:rStyle w:val="libFootnoteBoldChar"/>
          <w:rtl/>
        </w:rPr>
        <w:t>البحار</w:t>
      </w:r>
      <w:r w:rsidR="00E3253D" w:rsidRPr="005D642E">
        <w:rPr>
          <w:rtl/>
        </w:rPr>
        <w:t xml:space="preserve"> ، ج 82 ، ص 30.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D6442">
        <w:rPr>
          <w:rtl/>
        </w:rPr>
        <w:t>4538</w:t>
      </w:r>
      <w:r w:rsidRPr="00246318">
        <w:rPr>
          <w:rStyle w:val="libBold2Char"/>
          <w:rtl/>
        </w:rPr>
        <w:t xml:space="preserve"> / 4.</w:t>
      </w:r>
      <w:r w:rsidRPr="005D642E">
        <w:rPr>
          <w:rtl/>
          <w:lang w:bidi="fa-IR"/>
        </w:rPr>
        <w:t xml:space="preserve"> عَلِيُّ بْنُ إِبْرَاهِيمَ </w:t>
      </w:r>
      <w:r w:rsidRPr="007C12DB">
        <w:rPr>
          <w:rStyle w:val="libFootnotenumChar"/>
          <w:rtl/>
        </w:rPr>
        <w:t>(1)</w:t>
      </w:r>
      <w:r w:rsidRPr="005D642E">
        <w:rPr>
          <w:rtl/>
          <w:lang w:bidi="fa-IR"/>
        </w:rPr>
        <w:t xml:space="preserve">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دَخَلَ ا</w:t>
      </w:r>
      <w:r w:rsidR="00C31525">
        <w:rPr>
          <w:rtl/>
          <w:lang w:bidi="fa-IR"/>
        </w:rPr>
        <w:t>لْقَبْرَ ، فَلَا يَخْرُجْ إِل</w:t>
      </w:r>
      <w:r w:rsidR="00C31525">
        <w:rPr>
          <w:rFonts w:hint="cs"/>
          <w:rtl/>
          <w:lang w:bidi="fa-IR"/>
        </w:rPr>
        <w:t>َّ</w:t>
      </w:r>
      <w:r w:rsidR="00C31525">
        <w:rPr>
          <w:rtl/>
          <w:lang w:bidi="fa-IR"/>
        </w:rPr>
        <w:t>ا</w:t>
      </w:r>
      <w:r w:rsidRPr="005D642E">
        <w:rPr>
          <w:rtl/>
          <w:lang w:bidi="fa-IR"/>
        </w:rPr>
        <w:t xml:space="preserve"> مِنْ قِبَلِ الرِّجْلَيْنِ</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ED6442">
        <w:rPr>
          <w:rtl/>
        </w:rPr>
        <w:t>4539</w:t>
      </w:r>
      <w:r w:rsidRPr="00246318">
        <w:rPr>
          <w:rStyle w:val="libBold2Char"/>
          <w:rtl/>
        </w:rPr>
        <w:t xml:space="preserve"> / 5.</w:t>
      </w:r>
      <w:r w:rsidRPr="005D642E">
        <w:rPr>
          <w:rtl/>
          <w:lang w:bidi="fa-IR"/>
        </w:rPr>
        <w:t xml:space="preserve"> عِدَّةٌ مِنْ أَصْحَابِنَا ، عَنْ سَهْلِ بْنِ زِيَادٍ رَفَعَهُ ، قَالَ :</w:t>
      </w:r>
    </w:p>
    <w:p w:rsidR="00E3253D" w:rsidRPr="005D642E" w:rsidRDefault="00E3253D" w:rsidP="00E3253D">
      <w:pPr>
        <w:pStyle w:val="libNormal"/>
        <w:rPr>
          <w:rtl/>
          <w:lang w:bidi="fa-IR"/>
        </w:rPr>
      </w:pPr>
      <w:r w:rsidRPr="005D642E">
        <w:rPr>
          <w:rtl/>
          <w:lang w:bidi="fa-IR"/>
        </w:rPr>
        <w:t xml:space="preserve">قَالَ : « يَدْخُلُ الرَّجُلُ الْقَبْرَ مِنْ حَيْثُ شَاءَ </w:t>
      </w:r>
      <w:r w:rsidRPr="007C12DB">
        <w:rPr>
          <w:rStyle w:val="libFootnotenumChar"/>
          <w:rtl/>
        </w:rPr>
        <w:t>(3)</w:t>
      </w:r>
      <w:r w:rsidR="00C31525">
        <w:rPr>
          <w:rtl/>
          <w:lang w:bidi="fa-IR"/>
        </w:rPr>
        <w:t xml:space="preserve"> ، وَلَايَخْرُجُ إِل</w:t>
      </w:r>
      <w:r w:rsidR="00C31525">
        <w:rPr>
          <w:rFonts w:hint="cs"/>
          <w:rtl/>
          <w:lang w:bidi="fa-IR"/>
        </w:rPr>
        <w:t>َّ</w:t>
      </w:r>
      <w:r w:rsidR="00C31525">
        <w:rPr>
          <w:rtl/>
          <w:lang w:bidi="fa-IR"/>
        </w:rPr>
        <w:t>ا</w:t>
      </w:r>
      <w:r w:rsidRPr="005D642E">
        <w:rPr>
          <w:rtl/>
          <w:lang w:bidi="fa-IR"/>
        </w:rPr>
        <w:t xml:space="preserve"> مِنْ قِبَلِ رِجْلَيْهِ</w:t>
      </w:r>
      <w:r>
        <w:rPr>
          <w:rtl/>
          <w:lang w:bidi="fa-IR"/>
        </w:rPr>
        <w:t xml:space="preserve"> ».</w:t>
      </w:r>
      <w:r w:rsidRPr="005D642E">
        <w:rPr>
          <w:rtl/>
          <w:lang w:bidi="fa-IR"/>
        </w:rPr>
        <w:t xml:space="preserve"> </w:t>
      </w:r>
      <w:r w:rsidRPr="007C12DB">
        <w:rPr>
          <w:rStyle w:val="libFootnotenumChar"/>
          <w:rtl/>
        </w:rPr>
        <w:t>(4)</w:t>
      </w:r>
      <w:r>
        <w:rPr>
          <w:rtl/>
          <w:lang w:bidi="fa-IR"/>
        </w:rPr>
        <w:t xml:space="preserve"> </w:t>
      </w:r>
    </w:p>
    <w:p w:rsidR="00E3253D" w:rsidRPr="005D642E" w:rsidRDefault="00E3253D" w:rsidP="00E3253D">
      <w:pPr>
        <w:pStyle w:val="libNormal"/>
        <w:rPr>
          <w:rtl/>
          <w:lang w:bidi="fa-IR"/>
        </w:rPr>
      </w:pPr>
      <w:r w:rsidRPr="00ED6442">
        <w:rPr>
          <w:rtl/>
        </w:rPr>
        <w:t>4540</w:t>
      </w:r>
      <w:r w:rsidRPr="00246318">
        <w:rPr>
          <w:rStyle w:val="libBold2Char"/>
          <w:rtl/>
        </w:rPr>
        <w:t xml:space="preserve"> / 6.</w:t>
      </w:r>
      <w:r w:rsidRPr="005D642E">
        <w:rPr>
          <w:rtl/>
          <w:lang w:bidi="fa-IR"/>
        </w:rPr>
        <w:t xml:space="preserve"> وَفِي رِوَايَةٍ أُخْرى ، قَالَ </w:t>
      </w:r>
      <w:r w:rsidRPr="007C12DB">
        <w:rPr>
          <w:rStyle w:val="libFootnotenumChar"/>
          <w:rtl/>
        </w:rPr>
        <w:t>(5)</w:t>
      </w:r>
      <w:r w:rsidRPr="005D642E">
        <w:rPr>
          <w:rtl/>
          <w:lang w:bidi="fa-IR"/>
        </w:rPr>
        <w:t xml:space="preserve"> : قَالَ رَسُولُ اللهِ </w:t>
      </w:r>
      <w:r w:rsidR="0042621E" w:rsidRPr="0042621E">
        <w:rPr>
          <w:rStyle w:val="libAlaemChar"/>
          <w:rtl/>
        </w:rPr>
        <w:t>صلى‌الله‌عليه‌وآله</w:t>
      </w:r>
      <w:r w:rsidRPr="005D642E">
        <w:rPr>
          <w:rtl/>
          <w:lang w:bidi="fa-IR"/>
        </w:rPr>
        <w:t xml:space="preserve"> : « إِنَّ لِكُلِّ بَيْتٍ بَاباً ، وَإِنَّ </w:t>
      </w:r>
      <w:r w:rsidRPr="007C12DB">
        <w:rPr>
          <w:rStyle w:val="libFootnotenumChar"/>
          <w:rtl/>
        </w:rPr>
        <w:t>(6)</w:t>
      </w:r>
      <w:r w:rsidRPr="005D642E">
        <w:rPr>
          <w:rtl/>
          <w:lang w:bidi="fa-IR"/>
        </w:rPr>
        <w:t xml:space="preserve"> بَابَ الْقَبْرِ مِنْ قِبَلِ الرِّجْلَيْنِ</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443" w:name="_Toc344647359"/>
      <w:bookmarkStart w:id="444" w:name="_Toc462226873"/>
      <w:bookmarkStart w:id="445" w:name="_Toc40975981"/>
      <w:r w:rsidRPr="005D642E">
        <w:rPr>
          <w:rtl/>
          <w:lang w:bidi="fa-IR"/>
        </w:rPr>
        <w:t>63</w:t>
      </w:r>
      <w:r>
        <w:rPr>
          <w:rtl/>
          <w:lang w:bidi="fa-IR"/>
        </w:rPr>
        <w:t xml:space="preserve"> </w:t>
      </w:r>
      <w:r w:rsidR="007642BC">
        <w:rPr>
          <w:rtl/>
          <w:lang w:bidi="fa-IR"/>
        </w:rPr>
        <w:t>-</w:t>
      </w:r>
      <w:r>
        <w:rPr>
          <w:rtl/>
          <w:lang w:bidi="fa-IR"/>
        </w:rPr>
        <w:t xml:space="preserve"> </w:t>
      </w:r>
      <w:r w:rsidRPr="005D642E">
        <w:rPr>
          <w:rtl/>
          <w:lang w:bidi="fa-IR"/>
        </w:rPr>
        <w:t xml:space="preserve">بَابُ مَنْ يَدْخُلُ الْقَبْرَ وَمَنْ لَايَدْخُلُ </w:t>
      </w:r>
      <w:r w:rsidRPr="007C12DB">
        <w:rPr>
          <w:rStyle w:val="libFootnotenumChar"/>
          <w:rtl/>
        </w:rPr>
        <w:t>(8)</w:t>
      </w:r>
      <w:r w:rsidRPr="005D642E">
        <w:rPr>
          <w:rtl/>
          <w:lang w:bidi="fa-IR"/>
        </w:rPr>
        <w:t xml:space="preserve"> ‌</w:t>
      </w:r>
      <w:bookmarkEnd w:id="443"/>
      <w:bookmarkEnd w:id="444"/>
      <w:bookmarkEnd w:id="445"/>
    </w:p>
    <w:p w:rsidR="00E3253D" w:rsidRPr="005D642E" w:rsidRDefault="00E3253D" w:rsidP="00E3253D">
      <w:pPr>
        <w:pStyle w:val="libNormal"/>
        <w:rPr>
          <w:rtl/>
          <w:lang w:bidi="fa-IR"/>
        </w:rPr>
      </w:pPr>
      <w:r w:rsidRPr="00ED6442">
        <w:rPr>
          <w:rtl/>
        </w:rPr>
        <w:t>4541</w:t>
      </w:r>
      <w:r w:rsidRPr="00246318">
        <w:rPr>
          <w:rStyle w:val="libBold2Char"/>
          <w:rtl/>
        </w:rPr>
        <w:t xml:space="preserve"> / 1.</w:t>
      </w:r>
      <w:r w:rsidRPr="005D642E">
        <w:rPr>
          <w:rtl/>
          <w:lang w:bidi="fa-IR"/>
        </w:rPr>
        <w:t xml:space="preserve"> عَلِيُّ بْنُ إِبْرَاهِيمَ ، عَنْ أَبِيهِ </w:t>
      </w:r>
      <w:r w:rsidRPr="007C12DB">
        <w:rPr>
          <w:rStyle w:val="libFootnotenumChar"/>
          <w:rtl/>
        </w:rPr>
        <w:t>(9)</w:t>
      </w:r>
      <w:r w:rsidRPr="005D642E">
        <w:rPr>
          <w:rtl/>
          <w:lang w:bidi="fa-IR"/>
        </w:rPr>
        <w:t xml:space="preserve"> ، عَنْ صَالِحِ بْنِ السِّنْدِيِّ ، عَنْ جَعْفَرِ بْنِ بَشِيرٍ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غ » والوسائل. وفي « ظ ، ى ، بث ، بح ، بخ ، بس ، بف ، جح ، جس ، جن » والمطبوع : « عليّ بن محمّد</w:t>
      </w:r>
      <w:r w:rsidR="00E3253D">
        <w:rPr>
          <w:rtl/>
        </w:rPr>
        <w:t xml:space="preserve"> ».</w:t>
      </w:r>
    </w:p>
    <w:p w:rsidR="00E3253D" w:rsidRPr="005D642E" w:rsidRDefault="00E3253D" w:rsidP="00E3253D">
      <w:pPr>
        <w:pStyle w:val="libFootnote0"/>
        <w:rPr>
          <w:rtl/>
          <w:lang w:bidi="fa-IR"/>
        </w:rPr>
      </w:pPr>
      <w:r w:rsidRPr="00B60612">
        <w:rPr>
          <w:rtl/>
        </w:rPr>
        <w:t xml:space="preserve">وما أثبتناه هو الصواب ؛ فقد أكثر المصنّف من الرواية عن عليّ بن إبراهيم ، عن أبيه ، عن النوفلي ، عن السكوني ، بحيث صار هذا السند أشهر أسناد </w:t>
      </w:r>
      <w:r w:rsidRPr="002F4D34">
        <w:rPr>
          <w:rStyle w:val="libFootnoteBoldChar"/>
          <w:rtl/>
        </w:rPr>
        <w:t>الكافي</w:t>
      </w:r>
      <w:r w:rsidRPr="00B60612">
        <w:rPr>
          <w:rtl/>
        </w:rPr>
        <w:t>.</w:t>
      </w:r>
    </w:p>
    <w:p w:rsidR="00E3253D" w:rsidRPr="005D642E" w:rsidRDefault="00E3253D" w:rsidP="00B60612">
      <w:pPr>
        <w:pStyle w:val="libFootnote0"/>
        <w:rPr>
          <w:rtl/>
          <w:lang w:bidi="fa-IR"/>
        </w:rPr>
      </w:pPr>
      <w:r w:rsidRPr="0095070A">
        <w:rPr>
          <w:rtl/>
        </w:rPr>
        <w:t xml:space="preserve">هذا ، وأمّا عليّ بن محمّد في مشايخ الكليني ، </w:t>
      </w:r>
      <w:r w:rsidR="00B77134">
        <w:rPr>
          <w:rtl/>
        </w:rPr>
        <w:t>فهو مشترك بين عليّ بن محمّد عل</w:t>
      </w:r>
      <w:r w:rsidR="00B77134">
        <w:rPr>
          <w:rFonts w:hint="cs"/>
          <w:rtl/>
        </w:rPr>
        <w:t>ّ</w:t>
      </w:r>
      <w:r w:rsidR="00B77134">
        <w:rPr>
          <w:rtl/>
        </w:rPr>
        <w:t>ا</w:t>
      </w:r>
      <w:r w:rsidRPr="0095070A">
        <w:rPr>
          <w:rtl/>
        </w:rPr>
        <w:t>ن الكليني خاله ، وعليّ بن محمّد بن بندار</w:t>
      </w:r>
      <w:r>
        <w:rPr>
          <w:rtl/>
        </w:rPr>
        <w:t xml:space="preserve"> </w:t>
      </w:r>
      <w:r w:rsidR="007642BC">
        <w:rPr>
          <w:rtl/>
        </w:rPr>
        <w:t>-</w:t>
      </w:r>
      <w:r>
        <w:rPr>
          <w:rtl/>
        </w:rPr>
        <w:t xml:space="preserve"> </w:t>
      </w:r>
      <w:r w:rsidRPr="0095070A">
        <w:rPr>
          <w:rtl/>
        </w:rPr>
        <w:t>وقد عبّر عنه في بعض الأسناد</w:t>
      </w:r>
      <w:r>
        <w:rPr>
          <w:rtl/>
        </w:rPr>
        <w:t xml:space="preserve"> ب</w:t>
      </w:r>
      <w:r w:rsidR="00B77134">
        <w:rPr>
          <w:rFonts w:hint="cs"/>
          <w:rtl/>
        </w:rPr>
        <w:t>ـ</w:t>
      </w:r>
      <w:r>
        <w:rPr>
          <w:rtl/>
        </w:rPr>
        <w:t xml:space="preserve"> </w:t>
      </w:r>
      <w:r w:rsidRPr="0095070A">
        <w:rPr>
          <w:rtl/>
        </w:rPr>
        <w:t>« عليّ بن محمّد بن عبدالله »</w:t>
      </w:r>
      <w:r>
        <w:rPr>
          <w:rtl/>
        </w:rPr>
        <w:t xml:space="preserve"> </w:t>
      </w:r>
      <w:r w:rsidR="007642BC">
        <w:rPr>
          <w:rtl/>
        </w:rPr>
        <w:t>-</w:t>
      </w:r>
      <w:r>
        <w:rPr>
          <w:rtl/>
        </w:rPr>
        <w:t xml:space="preserve"> </w:t>
      </w:r>
      <w:r w:rsidRPr="0095070A">
        <w:rPr>
          <w:rtl/>
        </w:rPr>
        <w:t>والراوي عن أبيه منهما هو ابن بندار ، لكن لم يقعا في هذا الطريق المنتهي إلى السكوني.</w:t>
      </w:r>
    </w:p>
    <w:p w:rsidR="00E3253D" w:rsidRPr="005D642E" w:rsidRDefault="0042621E" w:rsidP="00923BBB">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316 ، ح 917 ، معلّقاً عن عليّ بن إبراهيم ، عن أبيه ، عن النوفلي ، عن السكونيّ ، عن جعفر ، عن أبيه </w:t>
      </w:r>
      <w:r w:rsidR="00E3253D" w:rsidRPr="00B77134">
        <w:rPr>
          <w:rStyle w:val="libFootnoteAlaemChar"/>
          <w:rtl/>
        </w:rPr>
        <w:t>عليهما‌السلام</w:t>
      </w:r>
      <w:r w:rsidR="00E3253D" w:rsidRPr="005D642E">
        <w:rPr>
          <w:rtl/>
        </w:rPr>
        <w:t xml:space="preserve">. </w:t>
      </w:r>
      <w:r w:rsidR="00E3253D" w:rsidRPr="002F4D34">
        <w:rPr>
          <w:rStyle w:val="libFootnoteBoldChar"/>
          <w:rtl/>
        </w:rPr>
        <w:t>الجعفريّات</w:t>
      </w:r>
      <w:r w:rsidR="00E3253D" w:rsidRPr="005D642E">
        <w:rPr>
          <w:rtl/>
        </w:rPr>
        <w:t xml:space="preserve"> ، ص 202 ، بسند آخر عن جعفر بن محمّد ، عن آبائه </w:t>
      </w:r>
      <w:r w:rsidR="00E3253D" w:rsidRPr="00923BBB">
        <w:rPr>
          <w:rStyle w:val="libFootnoteAlaemChar"/>
          <w:rtl/>
        </w:rPr>
        <w:t>عليهم‌السلام</w:t>
      </w:r>
      <w:r w:rsidR="00E3253D" w:rsidRPr="005D642E">
        <w:rPr>
          <w:rtl/>
        </w:rPr>
        <w:t xml:space="preserve"> عن رسول الله </w:t>
      </w:r>
      <w:r w:rsidRPr="00B77134">
        <w:rPr>
          <w:rStyle w:val="libFootnoteAlaemChar"/>
          <w:rtl/>
        </w:rPr>
        <w:t>صلى‌الله‌عليه‌وآله</w:t>
      </w:r>
      <w:r w:rsidR="00E3253D" w:rsidRPr="005D642E">
        <w:rPr>
          <w:rtl/>
        </w:rPr>
        <w:t xml:space="preserve"> ، مع زيادة في آخره </w:t>
      </w:r>
      <w:r w:rsidR="00923BBB">
        <w:rPr>
          <w:rFonts w:hint="cs"/>
          <w:rtl/>
        </w:rPr>
        <w:t>.</w:t>
      </w:r>
      <w:r w:rsidR="00E3253D" w:rsidRPr="002F4D34">
        <w:rPr>
          <w:rStyle w:val="libFootnoteBoldChar"/>
          <w:rtl/>
        </w:rPr>
        <w:t>الوافي</w:t>
      </w:r>
      <w:r w:rsidR="00E3253D" w:rsidRPr="005D642E">
        <w:rPr>
          <w:rtl/>
        </w:rPr>
        <w:t xml:space="preserve"> ، ج 25 ، ص 511 ، ح 24535 ؛ </w:t>
      </w:r>
      <w:r w:rsidR="00E3253D" w:rsidRPr="002F4D34">
        <w:rPr>
          <w:rStyle w:val="libFootnoteBoldChar"/>
          <w:rtl/>
        </w:rPr>
        <w:t>الوسائل</w:t>
      </w:r>
      <w:r w:rsidR="00E3253D" w:rsidRPr="005D642E">
        <w:rPr>
          <w:rtl/>
        </w:rPr>
        <w:t xml:space="preserve"> ، ج 3 ، ص 183 ، ح 3350 ؛ </w:t>
      </w:r>
      <w:r w:rsidR="00E3253D" w:rsidRPr="002F4D34">
        <w:rPr>
          <w:rStyle w:val="libFootnoteBoldChar"/>
          <w:rtl/>
        </w:rPr>
        <w:t>البحار</w:t>
      </w:r>
      <w:r w:rsidR="00E3253D" w:rsidRPr="005D642E">
        <w:rPr>
          <w:rtl/>
        </w:rPr>
        <w:t xml:space="preserve"> ، ج 82 ، ص 53 ذيل ح 42.</w:t>
      </w:r>
      <w:r w:rsidR="00923BBB">
        <w:rPr>
          <w:rFonts w:hint="cs"/>
          <w:rtl/>
        </w:rPr>
        <w:t xml:space="preserve">             </w:t>
      </w:r>
      <w:r w:rsidRPr="0042621E">
        <w:rPr>
          <w:rStyle w:val="libFootnote0Char"/>
          <w:rtl/>
        </w:rPr>
        <w:t>(3).</w:t>
      </w:r>
      <w:r w:rsidR="00E3253D" w:rsidRPr="005D642E">
        <w:rPr>
          <w:rtl/>
        </w:rPr>
        <w:t xml:space="preserve"> في « ظ ، بس ، جح ، جن » : « يشاء</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512 ، ح 24536 ؛ </w:t>
      </w:r>
      <w:r w:rsidR="00E3253D" w:rsidRPr="002F4D34">
        <w:rPr>
          <w:rStyle w:val="libFootnoteBoldChar"/>
          <w:rtl/>
        </w:rPr>
        <w:t>الوسائل</w:t>
      </w:r>
      <w:r w:rsidR="00E3253D" w:rsidRPr="005D642E">
        <w:rPr>
          <w:rtl/>
        </w:rPr>
        <w:t xml:space="preserve"> ، ج 3 ، ص 184 ، ح 3351.</w:t>
      </w:r>
    </w:p>
    <w:tbl>
      <w:tblPr>
        <w:tblStyle w:val="TableGrid"/>
        <w:bidiVisual/>
        <w:tblW w:w="0" w:type="auto"/>
        <w:tblLook w:val="04A0" w:firstRow="1" w:lastRow="0" w:firstColumn="1" w:lastColumn="0" w:noHBand="0" w:noVBand="1"/>
      </w:tblPr>
      <w:tblGrid>
        <w:gridCol w:w="4006"/>
        <w:gridCol w:w="4006"/>
      </w:tblGrid>
      <w:tr w:rsidR="0042609F" w:rsidTr="0042609F">
        <w:tc>
          <w:tcPr>
            <w:tcW w:w="4006" w:type="dxa"/>
          </w:tcPr>
          <w:p w:rsidR="0042609F" w:rsidRDefault="0042609F" w:rsidP="00E3253D">
            <w:pPr>
              <w:pStyle w:val="libFootnote0"/>
              <w:rPr>
                <w:rStyle w:val="libFootnote0Char"/>
                <w:rtl/>
              </w:rPr>
            </w:pPr>
            <w:r w:rsidRPr="0042621E">
              <w:rPr>
                <w:rStyle w:val="libFootnote0Char"/>
                <w:rtl/>
              </w:rPr>
              <w:t>(5).</w:t>
            </w:r>
            <w:r w:rsidRPr="005D642E">
              <w:rPr>
                <w:rtl/>
              </w:rPr>
              <w:t xml:space="preserve"> في « جن » والوسائل ، ح 3346 :</w:t>
            </w:r>
            <w:r>
              <w:rPr>
                <w:rtl/>
              </w:rPr>
              <w:t xml:space="preserve"> - </w:t>
            </w:r>
            <w:r w:rsidRPr="005D642E">
              <w:rPr>
                <w:rtl/>
              </w:rPr>
              <w:t>« قال</w:t>
            </w:r>
            <w:r>
              <w:rPr>
                <w:rtl/>
              </w:rPr>
              <w:t xml:space="preserve"> ».</w:t>
            </w:r>
          </w:p>
        </w:tc>
        <w:tc>
          <w:tcPr>
            <w:tcW w:w="4006" w:type="dxa"/>
          </w:tcPr>
          <w:p w:rsidR="0042609F" w:rsidRDefault="0042609F" w:rsidP="00E3253D">
            <w:pPr>
              <w:pStyle w:val="libFootnote0"/>
              <w:rPr>
                <w:rStyle w:val="libFootnote0Char"/>
                <w:rtl/>
              </w:rPr>
            </w:pPr>
            <w:r w:rsidRPr="0042621E">
              <w:rPr>
                <w:rStyle w:val="libFootnote0Char"/>
                <w:rtl/>
              </w:rPr>
              <w:t>(6).</w:t>
            </w:r>
            <w:r w:rsidRPr="005D642E">
              <w:rPr>
                <w:rtl/>
              </w:rPr>
              <w:t xml:space="preserve"> في « جس » :</w:t>
            </w:r>
            <w:r>
              <w:rPr>
                <w:rtl/>
              </w:rPr>
              <w:t xml:space="preserve"> - </w:t>
            </w:r>
            <w:r w:rsidRPr="005D642E">
              <w:rPr>
                <w:rtl/>
              </w:rPr>
              <w:t>« إنّ</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316 ، ح 918 ، بسند آخر عن رسول الله </w:t>
      </w:r>
      <w:r w:rsidRPr="00923BBB">
        <w:rPr>
          <w:rStyle w:val="libFootnoteAlaemChar"/>
          <w:rtl/>
        </w:rPr>
        <w:t>صلى‌الله‌عليه‌وآله</w:t>
      </w:r>
      <w:r w:rsidR="00E3253D" w:rsidRPr="005D642E">
        <w:rPr>
          <w:rtl/>
        </w:rPr>
        <w:t xml:space="preserve"> ؛ </w:t>
      </w:r>
      <w:r w:rsidR="00E3253D" w:rsidRPr="002F4D34">
        <w:rPr>
          <w:rStyle w:val="libFootnoteBoldChar"/>
          <w:rtl/>
        </w:rPr>
        <w:t>الجعفريّات</w:t>
      </w:r>
      <w:r w:rsidR="00E3253D" w:rsidRPr="005D642E">
        <w:rPr>
          <w:rtl/>
        </w:rPr>
        <w:t xml:space="preserve"> ، ص 202 ، بسند آخر عن جعفر بن محمّد ، عن آبائه </w:t>
      </w:r>
      <w:r w:rsidR="00E3253D" w:rsidRPr="0042609F">
        <w:rPr>
          <w:rStyle w:val="libFootnoteAlaemChar"/>
          <w:rtl/>
        </w:rPr>
        <w:t>عليهم‌السلام</w:t>
      </w:r>
      <w:r w:rsidR="00E3253D" w:rsidRPr="005D642E">
        <w:rPr>
          <w:rtl/>
        </w:rPr>
        <w:t xml:space="preserve"> عن رسول الله </w:t>
      </w:r>
      <w:r w:rsidRPr="00923BBB">
        <w:rPr>
          <w:rStyle w:val="libFootnoteAlaemChar"/>
          <w:rtl/>
        </w:rPr>
        <w:t>صلى‌الله‌عليه‌وآله</w:t>
      </w:r>
      <w:r w:rsidR="00E3253D" w:rsidRPr="005D642E">
        <w:rPr>
          <w:rtl/>
        </w:rPr>
        <w:t xml:space="preserve"> ، مع اختلاف يسير وزيادة في أوّله. </w:t>
      </w:r>
      <w:r w:rsidR="00E3253D" w:rsidRPr="002F4D34">
        <w:rPr>
          <w:rStyle w:val="libFootnoteBoldChar"/>
          <w:rtl/>
        </w:rPr>
        <w:t>الفقيه</w:t>
      </w:r>
      <w:r w:rsidR="00E3253D" w:rsidRPr="005D642E">
        <w:rPr>
          <w:rtl/>
        </w:rPr>
        <w:t xml:space="preserve"> ، ح 1 ، ص 171 ، ذيل ح 499 ، مع اختلاف يسير </w:t>
      </w:r>
      <w:r w:rsidR="00E965C0">
        <w:rPr>
          <w:rFonts w:hint="cs"/>
          <w:rtl/>
        </w:rPr>
        <w:t>.</w:t>
      </w:r>
      <w:r w:rsidR="00E3253D" w:rsidRPr="002F4D34">
        <w:rPr>
          <w:rStyle w:val="libFootnoteBoldChar"/>
          <w:rtl/>
        </w:rPr>
        <w:t>الوافي</w:t>
      </w:r>
      <w:r w:rsidR="00E3253D" w:rsidRPr="005D642E">
        <w:rPr>
          <w:rtl/>
        </w:rPr>
        <w:t xml:space="preserve"> ، ج 25 ، ص 512 ، 24537 ؛ </w:t>
      </w:r>
      <w:r w:rsidR="00E3253D" w:rsidRPr="002F4D34">
        <w:rPr>
          <w:rStyle w:val="libFootnoteBoldChar"/>
          <w:rtl/>
        </w:rPr>
        <w:t>الوسائل</w:t>
      </w:r>
      <w:r w:rsidR="00E3253D" w:rsidRPr="005D642E">
        <w:rPr>
          <w:rtl/>
        </w:rPr>
        <w:t xml:space="preserve"> ، ج 3 ، ص 182 ، ح 3346.</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جن » : + « القبر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لم يثبت توسّط إبراهيم بن هاشم بينه وبين صالح بن السندي. والظاهر زيادة « عن أبيه » في السند وتقدّم </w:t>
      </w:r>
      <w:r w:rsidR="00E965C0">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عَبْدِ اللهِ بْنِ رَاشِدٍ :</w:t>
      </w:r>
    </w:p>
    <w:p w:rsidR="00E3253D" w:rsidRPr="005D642E" w:rsidRDefault="00E3253D" w:rsidP="00E717A7">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الرَّجُلُ يَنْزِلُ </w:t>
      </w:r>
      <w:r w:rsidRPr="007C12DB">
        <w:rPr>
          <w:rStyle w:val="libFootnotenumChar"/>
          <w:rtl/>
        </w:rPr>
        <w:t>(1)</w:t>
      </w:r>
      <w:r w:rsidRPr="005D642E">
        <w:rPr>
          <w:rtl/>
          <w:lang w:bidi="fa-IR"/>
        </w:rPr>
        <w:t xml:space="preserve"> فِي قَبْرِ وَالِدِهِ ، وَلَايَنْزِلُ </w:t>
      </w:r>
      <w:r w:rsidRPr="007C12DB">
        <w:rPr>
          <w:rStyle w:val="libFootnotenumChar"/>
          <w:rtl/>
        </w:rPr>
        <w:t>(2)</w:t>
      </w:r>
      <w:r w:rsidRPr="005D642E">
        <w:rPr>
          <w:rtl/>
          <w:lang w:bidi="fa-IR"/>
        </w:rPr>
        <w:t xml:space="preserve"> الْوَالِدُ </w:t>
      </w:r>
      <w:r w:rsidRPr="007C12DB">
        <w:rPr>
          <w:rStyle w:val="libFootnotenumChar"/>
          <w:rtl/>
        </w:rPr>
        <w:t>(3)</w:t>
      </w:r>
      <w:r w:rsidRPr="005D642E">
        <w:rPr>
          <w:rtl/>
          <w:lang w:bidi="fa-IR"/>
        </w:rPr>
        <w:t xml:space="preserve"> فِي قَبْرِ وَلَدِهِ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065ED4">
        <w:rPr>
          <w:rtl/>
        </w:rPr>
        <w:t>4542</w:t>
      </w:r>
      <w:r w:rsidRPr="00246318">
        <w:rPr>
          <w:rStyle w:val="libBold2Char"/>
          <w:rtl/>
        </w:rPr>
        <w:t xml:space="preserve"> / 2.</w:t>
      </w:r>
      <w:r w:rsidRPr="005D642E">
        <w:rPr>
          <w:rtl/>
          <w:lang w:bidi="fa-IR"/>
        </w:rPr>
        <w:t xml:space="preserve"> عَلِيُّ بْنُ إِبْرَاهِيمَ ، عَنْ أَبِيهِ ، عَنِ ابْنِ أَبِي عُمَيْرٍ ، عَنْ حَفْصِ</w:t>
      </w:r>
      <w:r w:rsidR="005B40A3">
        <w:rPr>
          <w:rtl/>
          <w:lang w:bidi="fa-IR"/>
        </w:rPr>
        <w:t xml:space="preserve"> بْنِ الْبَخْتَرِيِّ وَغَيْرِهِ</w:t>
      </w:r>
      <w:r w:rsidRPr="005D642E">
        <w:rPr>
          <w:rtl/>
          <w:lang w:bidi="fa-IR"/>
        </w:rPr>
        <w:t>:</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يُكْرَهُ لِلرَّجُلِ </w:t>
      </w:r>
      <w:r w:rsidRPr="007C12DB">
        <w:rPr>
          <w:rStyle w:val="libFootnotenumChar"/>
          <w:rtl/>
        </w:rPr>
        <w:t>(5)</w:t>
      </w:r>
      <w:r w:rsidRPr="005D642E">
        <w:rPr>
          <w:rtl/>
          <w:lang w:bidi="fa-IR"/>
        </w:rPr>
        <w:t xml:space="preserve"> أَنْ يَنْزِلَ فِي قَبْرِ وَلَدِهِ</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065ED4">
        <w:rPr>
          <w:rtl/>
        </w:rPr>
        <w:t>4543</w:t>
      </w:r>
      <w:r w:rsidRPr="00246318">
        <w:rPr>
          <w:rStyle w:val="libBold2Char"/>
          <w:rtl/>
        </w:rPr>
        <w:t xml:space="preserve"> / 3.</w:t>
      </w:r>
      <w:r w:rsidRPr="005D642E">
        <w:rPr>
          <w:rtl/>
          <w:lang w:bidi="fa-IR"/>
        </w:rPr>
        <w:t xml:space="preserve"> عَلِيٌّ </w:t>
      </w:r>
      <w:r w:rsidRPr="007C12DB">
        <w:rPr>
          <w:rStyle w:val="libFootnotenumChar"/>
          <w:rtl/>
        </w:rPr>
        <w:t>(7)</w:t>
      </w:r>
      <w:r w:rsidRPr="005D642E">
        <w:rPr>
          <w:rtl/>
          <w:lang w:bidi="fa-IR"/>
        </w:rPr>
        <w:t xml:space="preserve"> ، عَنْ أَبِيهِ ، عَنِ ابْنِ أَبِي عُمَيْرٍ ، عَنْ مُحَمَّدِ بْنِ أَبِي حَمْزَةَ ، عَنْ رَجُلٍ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لَمَّا مَاتَ إِسْمَاعِيلُ بْنُ أَبِي عَبْدِ اللهِ ، أَتى أَبُو عَبْدِ اللهِ </w:t>
      </w:r>
      <w:r w:rsidRPr="00AC51C5">
        <w:rPr>
          <w:rStyle w:val="libAlaemChar"/>
          <w:rtl/>
        </w:rPr>
        <w:t>عليه‌السلام</w:t>
      </w:r>
      <w:r w:rsidRPr="005D642E">
        <w:rPr>
          <w:rtl/>
          <w:lang w:bidi="fa-IR"/>
        </w:rPr>
        <w:t xml:space="preserve"> الْقَبْرَ </w:t>
      </w:r>
      <w:r w:rsidRPr="007C12DB">
        <w:rPr>
          <w:rStyle w:val="libFootnotenumChar"/>
          <w:rtl/>
        </w:rPr>
        <w:t>(8)</w:t>
      </w:r>
      <w:r w:rsidRPr="005D642E">
        <w:rPr>
          <w:rtl/>
          <w:lang w:bidi="fa-IR"/>
        </w:rPr>
        <w:t xml:space="preserve"> ، فَأَرْخى نَفْسَهُ </w:t>
      </w:r>
      <w:r w:rsidRPr="007C12DB">
        <w:rPr>
          <w:rStyle w:val="libFootnotenumChar"/>
          <w:rtl/>
        </w:rPr>
        <w:t>(9)</w:t>
      </w:r>
      <w:r w:rsidRPr="005D642E">
        <w:rPr>
          <w:rtl/>
          <w:lang w:bidi="fa-IR"/>
        </w:rPr>
        <w:t xml:space="preserve"> ، فَقَعَدَ ، ثُمَّ قَالَ : « رَحِمَكَ اللهُ ، وَصَلّى </w:t>
      </w:r>
      <w:r w:rsidRPr="007C12DB">
        <w:rPr>
          <w:rStyle w:val="libFootnotenumChar"/>
          <w:rtl/>
        </w:rPr>
        <w:t>(10)</w:t>
      </w:r>
      <w:r w:rsidRPr="005D642E">
        <w:rPr>
          <w:rtl/>
          <w:lang w:bidi="fa-IR"/>
        </w:rPr>
        <w:t xml:space="preserve"> عَلَيْكَ » وَلَمْ يَنْزِلْ فِي قَبْرِهِ ، وَقَالَ : « هكَذَا فَعَلَ النَّبِيُّ </w:t>
      </w:r>
      <w:r w:rsidR="0042621E" w:rsidRPr="0042621E">
        <w:rPr>
          <w:rStyle w:val="libAlaemChar"/>
          <w:rtl/>
        </w:rPr>
        <w:t>صلى‌الله‌عليه‌وآله</w:t>
      </w:r>
      <w:r w:rsidRPr="005D642E">
        <w:rPr>
          <w:rtl/>
          <w:lang w:bidi="fa-IR"/>
        </w:rPr>
        <w:t xml:space="preserve"> بِإِبْرَاهِيمَ </w:t>
      </w:r>
      <w:r w:rsidRPr="007C12DB">
        <w:rPr>
          <w:rStyle w:val="libFootnotenumChar"/>
          <w:rtl/>
        </w:rPr>
        <w:t>(11)</w:t>
      </w:r>
      <w:r w:rsidRPr="005D642E">
        <w:rPr>
          <w:rtl/>
          <w:lang w:bidi="fa-IR"/>
        </w:rPr>
        <w:t xml:space="preserve"> </w:t>
      </w:r>
      <w:r w:rsidRPr="00AC51C5">
        <w:rPr>
          <w:rStyle w:val="libAlaemChar"/>
          <w:rtl/>
        </w:rPr>
        <w:t>عليه‌السلام</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665A3F" w:rsidP="00E3253D">
      <w:pPr>
        <w:pStyle w:val="libFootnote0"/>
        <w:rPr>
          <w:rtl/>
          <w:lang w:bidi="fa-IR"/>
        </w:rPr>
      </w:pPr>
      <w:r>
        <w:rPr>
          <w:rFonts w:hint="cs"/>
          <w:rtl/>
        </w:rPr>
        <w:t xml:space="preserve">= </w:t>
      </w:r>
      <w:r w:rsidR="00E3253D" w:rsidRPr="005D642E">
        <w:rPr>
          <w:rtl/>
        </w:rPr>
        <w:t xml:space="preserve">تفصيل الكلام في </w:t>
      </w:r>
      <w:r w:rsidR="00E3253D" w:rsidRPr="002F4D34">
        <w:rPr>
          <w:rStyle w:val="libFootnoteBoldChar"/>
          <w:rtl/>
        </w:rPr>
        <w:t>الكافي</w:t>
      </w:r>
      <w:r w:rsidR="00E3253D" w:rsidRPr="005D642E">
        <w:rPr>
          <w:rtl/>
        </w:rPr>
        <w:t xml:space="preserve"> ، ذيل ح 3695 ، فلاحظ.</w:t>
      </w:r>
    </w:p>
    <w:tbl>
      <w:tblPr>
        <w:tblStyle w:val="TableGrid"/>
        <w:bidiVisual/>
        <w:tblW w:w="0" w:type="auto"/>
        <w:tblLook w:val="04A0" w:firstRow="1" w:lastRow="0" w:firstColumn="1" w:lastColumn="0" w:noHBand="0" w:noVBand="1"/>
      </w:tblPr>
      <w:tblGrid>
        <w:gridCol w:w="4006"/>
        <w:gridCol w:w="4006"/>
      </w:tblGrid>
      <w:tr w:rsidR="00C348AD" w:rsidTr="00C348AD">
        <w:tc>
          <w:tcPr>
            <w:tcW w:w="4006" w:type="dxa"/>
          </w:tcPr>
          <w:p w:rsidR="00C348AD" w:rsidRDefault="00C348AD" w:rsidP="00E3253D">
            <w:pPr>
              <w:pStyle w:val="libFootnote0"/>
              <w:rPr>
                <w:rStyle w:val="libFootnote0Char"/>
                <w:rtl/>
                <w:lang w:bidi="fa-IR"/>
              </w:rPr>
            </w:pPr>
            <w:r w:rsidRPr="0042621E">
              <w:rPr>
                <w:rStyle w:val="libFootnote0Char"/>
                <w:rtl/>
              </w:rPr>
              <w:t>(1).</w:t>
            </w:r>
            <w:r>
              <w:rPr>
                <w:rtl/>
              </w:rPr>
              <w:t xml:space="preserve"> </w:t>
            </w:r>
            <w:r w:rsidRPr="005D642E">
              <w:rPr>
                <w:rtl/>
              </w:rPr>
              <w:t>في حاشية « ظ ، بث » : « يدخل</w:t>
            </w:r>
            <w:r>
              <w:rPr>
                <w:rtl/>
              </w:rPr>
              <w:t xml:space="preserve"> ».</w:t>
            </w:r>
          </w:p>
        </w:tc>
        <w:tc>
          <w:tcPr>
            <w:tcW w:w="4006" w:type="dxa"/>
          </w:tcPr>
          <w:p w:rsidR="00C348AD" w:rsidRDefault="00C348AD" w:rsidP="00E3253D">
            <w:pPr>
              <w:pStyle w:val="libFootnote0"/>
              <w:rPr>
                <w:rStyle w:val="libFootnote0Char"/>
                <w:rtl/>
                <w:lang w:bidi="fa-IR"/>
              </w:rPr>
            </w:pPr>
            <w:r w:rsidRPr="0042621E">
              <w:rPr>
                <w:rStyle w:val="libFootnote0Char"/>
                <w:rtl/>
              </w:rPr>
              <w:t>(2).</w:t>
            </w:r>
            <w:r w:rsidRPr="005D642E">
              <w:rPr>
                <w:rtl/>
              </w:rPr>
              <w:t xml:space="preserve"> في حاشية « ظ » : « ولا يدخل</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جن » : « والد</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320 ، ح 929 ، بسند آخر ، مع اختلاف يسير </w:t>
      </w:r>
      <w:r w:rsidR="00BB3938">
        <w:rPr>
          <w:rFonts w:hint="cs"/>
          <w:rtl/>
        </w:rPr>
        <w:t>.</w:t>
      </w:r>
      <w:r w:rsidR="00E3253D" w:rsidRPr="002F4D34">
        <w:rPr>
          <w:rStyle w:val="libFootnoteBoldChar"/>
          <w:rtl/>
        </w:rPr>
        <w:t>الوافي</w:t>
      </w:r>
      <w:r w:rsidR="00E3253D" w:rsidRPr="005D642E">
        <w:rPr>
          <w:rtl/>
        </w:rPr>
        <w:t xml:space="preserve"> ، ج 25 ، ص 505 ، ح 24519 ؛ </w:t>
      </w:r>
      <w:r w:rsidR="00E3253D" w:rsidRPr="002F4D34">
        <w:rPr>
          <w:rStyle w:val="libFootnoteBoldChar"/>
          <w:rtl/>
        </w:rPr>
        <w:t>الوسائل</w:t>
      </w:r>
      <w:r w:rsidR="00E3253D" w:rsidRPr="005D642E">
        <w:rPr>
          <w:rtl/>
        </w:rPr>
        <w:t xml:space="preserve"> ، ج 3 ، ص 185 ، ح 3355.</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الكافي ، ح 4605 </w:t>
      </w:r>
      <w:r w:rsidR="000D749A" w:rsidRPr="000D749A">
        <w:rPr>
          <w:rStyle w:val="libFootnoteBoldChar"/>
          <w:rtl/>
        </w:rPr>
        <w:t>والمحاسن</w:t>
      </w:r>
      <w:r w:rsidR="00E3253D" w:rsidRPr="005D642E">
        <w:rPr>
          <w:rtl/>
        </w:rPr>
        <w:t xml:space="preserve"> : « لاينبغي لأحد » بدل « يكره للرجل</w:t>
      </w:r>
      <w:r w:rsidR="00E3253D">
        <w:rPr>
          <w:rtl/>
        </w:rPr>
        <w:t xml:space="preserve"> ».</w:t>
      </w:r>
    </w:p>
    <w:p w:rsidR="00E3253D" w:rsidRPr="005D642E" w:rsidRDefault="0042621E" w:rsidP="00CE2033">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غسل الأطفال والصبيان والصلاة عليهم ، ضمن ح 4605 ؛ </w:t>
      </w:r>
      <w:r w:rsidR="000D749A" w:rsidRPr="000D749A">
        <w:rPr>
          <w:rStyle w:val="libFootnoteBoldChar"/>
          <w:rtl/>
        </w:rPr>
        <w:t>والمحاسن</w:t>
      </w:r>
      <w:r w:rsidR="00E3253D" w:rsidRPr="005D642E">
        <w:rPr>
          <w:rtl/>
        </w:rPr>
        <w:t xml:space="preserve"> ، ص 313 ، كتاب العلل ، ضمن ح 31 ، بسند آخر عن أبي الحسن موسى </w:t>
      </w:r>
      <w:r w:rsidR="00E3253D" w:rsidRPr="00CE2033">
        <w:rPr>
          <w:rStyle w:val="libFootnoteAlaemChar"/>
          <w:rtl/>
        </w:rPr>
        <w:t>عليه‌السلام</w:t>
      </w:r>
      <w:r w:rsidR="00E3253D" w:rsidRPr="005D642E">
        <w:rPr>
          <w:rtl/>
        </w:rPr>
        <w:t xml:space="preserve"> </w:t>
      </w:r>
      <w:r w:rsidR="00CE2033">
        <w:rPr>
          <w:rFonts w:hint="cs"/>
          <w:rtl/>
        </w:rPr>
        <w:t>.</w:t>
      </w:r>
      <w:r w:rsidR="00E3253D" w:rsidRPr="002F4D34">
        <w:rPr>
          <w:rStyle w:val="libFootnoteBoldChar"/>
          <w:rtl/>
        </w:rPr>
        <w:t>الوافي</w:t>
      </w:r>
      <w:r w:rsidR="00E3253D" w:rsidRPr="005D642E">
        <w:rPr>
          <w:rtl/>
        </w:rPr>
        <w:t xml:space="preserve"> ، ج 25 ، </w:t>
      </w:r>
      <w:r w:rsidR="00CE2033">
        <w:rPr>
          <w:rtl/>
        </w:rPr>
        <w:t>ص 505 ، ح 24521</w:t>
      </w:r>
      <w:r w:rsidR="00E3253D" w:rsidRPr="005D642E">
        <w:rPr>
          <w:rtl/>
        </w:rPr>
        <w:t>؛</w:t>
      </w:r>
      <w:r w:rsidR="00E3253D" w:rsidRPr="002F4D34">
        <w:rPr>
          <w:rStyle w:val="libFootnoteBoldChar"/>
          <w:rtl/>
        </w:rPr>
        <w:t>الوسائل</w:t>
      </w:r>
      <w:r w:rsidR="00CE2033">
        <w:rPr>
          <w:rtl/>
        </w:rPr>
        <w:t>،</w:t>
      </w:r>
      <w:r w:rsidR="00E3253D" w:rsidRPr="005D642E">
        <w:rPr>
          <w:rtl/>
        </w:rPr>
        <w:t>ج 3 ، ص 185 ، ح 3354.</w:t>
      </w:r>
      <w:r w:rsidR="00CE2033">
        <w:rPr>
          <w:rFonts w:hint="cs"/>
          <w:rtl/>
        </w:rPr>
        <w:t xml:space="preserve">     </w:t>
      </w:r>
      <w:r w:rsidR="00BF602E">
        <w:rPr>
          <w:rFonts w:hint="cs"/>
          <w:rtl/>
        </w:rPr>
        <w:t xml:space="preserve">  </w:t>
      </w:r>
      <w:r w:rsidR="00CE2033">
        <w:rPr>
          <w:rFonts w:hint="cs"/>
          <w:rtl/>
        </w:rPr>
        <w:t xml:space="preserve">  </w:t>
      </w:r>
      <w:r w:rsidRPr="0042621E">
        <w:rPr>
          <w:rStyle w:val="libFootnote0Char"/>
          <w:rtl/>
        </w:rPr>
        <w:t>(7).</w:t>
      </w:r>
      <w:r w:rsidR="00CE2033">
        <w:rPr>
          <w:rtl/>
        </w:rPr>
        <w:t xml:space="preserve"> في «ى» : + «</w:t>
      </w:r>
      <w:r w:rsidR="00E3253D" w:rsidRPr="005D642E">
        <w:rPr>
          <w:rtl/>
        </w:rPr>
        <w:t>بن إبراهيم</w:t>
      </w:r>
      <w:r w:rsidR="00E3253D">
        <w:rPr>
          <w:rtl/>
        </w:rPr>
        <w:t>».</w:t>
      </w:r>
      <w:r w:rsidR="00CE2033">
        <w:rPr>
          <w:rtl/>
        </w:rPr>
        <w:t xml:space="preserve"> وفي «بح</w:t>
      </w:r>
      <w:r w:rsidR="00E3253D" w:rsidRPr="005D642E">
        <w:rPr>
          <w:rtl/>
        </w:rPr>
        <w:t>» : « عنه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بف » : + « وسجى نفسه ، ثمّ رمى بنفسه على الأرض ممّا يلي القبلة</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فأرخى نفسه » ، أي أرسلها وأهملها وأطلقها ورمى بها على الأرض ، تقول : أرخيتُ السِتر وغيره ، إذا أرسلته. راجع : </w:t>
      </w:r>
      <w:r w:rsidR="00E3253D" w:rsidRPr="002F4D34">
        <w:rPr>
          <w:rStyle w:val="libFootnoteBoldChar"/>
          <w:rtl/>
        </w:rPr>
        <w:t>الصحاح</w:t>
      </w:r>
      <w:r w:rsidR="00E3253D" w:rsidRPr="005D642E">
        <w:rPr>
          <w:rtl/>
        </w:rPr>
        <w:t xml:space="preserve"> ، ج 6 ، ص 2354 ( رخا ) ؛ </w:t>
      </w:r>
      <w:r w:rsidR="00E3253D" w:rsidRPr="002F4D34">
        <w:rPr>
          <w:rStyle w:val="libFootnoteBoldChar"/>
          <w:rtl/>
        </w:rPr>
        <w:t>لسان العرب</w:t>
      </w:r>
      <w:r w:rsidR="00E3253D" w:rsidRPr="005D642E">
        <w:rPr>
          <w:rtl/>
        </w:rPr>
        <w:t xml:space="preserve"> ، ج 11 ، ص 285 ( رسل )</w:t>
      </w:r>
      <w:r w:rsidR="00E3253D">
        <w:rPr>
          <w:rtl/>
        </w:rPr>
        <w:t>.</w:t>
      </w:r>
    </w:p>
    <w:tbl>
      <w:tblPr>
        <w:tblStyle w:val="TableGrid"/>
        <w:bidiVisual/>
        <w:tblW w:w="0" w:type="auto"/>
        <w:tblLook w:val="04A0" w:firstRow="1" w:lastRow="0" w:firstColumn="1" w:lastColumn="0" w:noHBand="0" w:noVBand="1"/>
      </w:tblPr>
      <w:tblGrid>
        <w:gridCol w:w="4006"/>
        <w:gridCol w:w="4006"/>
      </w:tblGrid>
      <w:tr w:rsidR="00CE2033" w:rsidTr="00CE2033">
        <w:tc>
          <w:tcPr>
            <w:tcW w:w="4006" w:type="dxa"/>
          </w:tcPr>
          <w:p w:rsidR="00CE2033" w:rsidRDefault="00CE2033" w:rsidP="00E3253D">
            <w:pPr>
              <w:pStyle w:val="libFootnote0"/>
              <w:rPr>
                <w:rStyle w:val="libFootnote0Char"/>
                <w:rtl/>
              </w:rPr>
            </w:pPr>
            <w:r w:rsidRPr="0042621E">
              <w:rPr>
                <w:rStyle w:val="libFootnote0Char"/>
                <w:rtl/>
              </w:rPr>
              <w:t>(10).</w:t>
            </w:r>
            <w:r w:rsidRPr="005D642E">
              <w:rPr>
                <w:rtl/>
              </w:rPr>
              <w:t xml:space="preserve"> في « بح ، جح » : + « الله</w:t>
            </w:r>
            <w:r>
              <w:rPr>
                <w:rtl/>
              </w:rPr>
              <w:t xml:space="preserve"> ».</w:t>
            </w:r>
          </w:p>
        </w:tc>
        <w:tc>
          <w:tcPr>
            <w:tcW w:w="4006" w:type="dxa"/>
          </w:tcPr>
          <w:p w:rsidR="00CE2033" w:rsidRDefault="00CE2033" w:rsidP="00E3253D">
            <w:pPr>
              <w:pStyle w:val="libFootnote0"/>
              <w:rPr>
                <w:rStyle w:val="libFootnote0Char"/>
                <w:rtl/>
              </w:rPr>
            </w:pPr>
            <w:r w:rsidRPr="0042621E">
              <w:rPr>
                <w:rStyle w:val="libFootnote0Char"/>
                <w:rtl/>
              </w:rPr>
              <w:t>(11).</w:t>
            </w:r>
            <w:r w:rsidRPr="005D642E">
              <w:rPr>
                <w:rtl/>
              </w:rPr>
              <w:t xml:space="preserve"> في « ظ ، بح » : + « ولده</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كمال الدين</w:t>
      </w:r>
      <w:r w:rsidR="00E3253D" w:rsidRPr="005D642E">
        <w:rPr>
          <w:rtl/>
        </w:rPr>
        <w:t xml:space="preserve"> ، ص 72 ، في مقدّمة المؤلّف ، بسند آخر ، مع اختلاف يسير </w:t>
      </w:r>
      <w:r w:rsidR="004A66FD">
        <w:rPr>
          <w:rFonts w:hint="cs"/>
          <w:rtl/>
        </w:rPr>
        <w:t>.</w:t>
      </w:r>
      <w:r w:rsidR="00E3253D" w:rsidRPr="002F4D34">
        <w:rPr>
          <w:rStyle w:val="libFootnoteBoldChar"/>
          <w:rtl/>
        </w:rPr>
        <w:t>الوافي</w:t>
      </w:r>
      <w:r w:rsidR="00E3253D" w:rsidRPr="005D642E">
        <w:rPr>
          <w:rtl/>
        </w:rPr>
        <w:t xml:space="preserve"> ، ج 25 ، ص 505 ، ح 24522 ؛ </w:t>
      </w:r>
      <w:r w:rsidR="00E3253D" w:rsidRPr="002F4D34">
        <w:rPr>
          <w:rStyle w:val="libFootnoteBoldChar"/>
          <w:rtl/>
        </w:rPr>
        <w:t>البحار</w:t>
      </w:r>
      <w:r w:rsidR="00E3253D" w:rsidRPr="005D642E">
        <w:rPr>
          <w:rtl/>
        </w:rPr>
        <w:t xml:space="preserve"> ، ج 82 ، ص 24 ، ذيل ح 11.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065ED4">
        <w:rPr>
          <w:rtl/>
        </w:rPr>
        <w:t>4544</w:t>
      </w:r>
      <w:r w:rsidRPr="00246318">
        <w:rPr>
          <w:rStyle w:val="libBold2Char"/>
          <w:rtl/>
        </w:rPr>
        <w:t xml:space="preserve"> / 4.</w:t>
      </w:r>
      <w:r w:rsidRPr="005D642E">
        <w:rPr>
          <w:rtl/>
          <w:lang w:bidi="fa-IR"/>
        </w:rPr>
        <w:t xml:space="preserve"> أَبُو عَلِيٍّ الْأَشْعَرِيُّ ، عَنْ مُحَمَّدِ بْنِ عَبْدِ الْجَبَّارِ ، عَنْ عَبْدِ اللهِ الْحَجَّالِ ، عَنْ ثَعْلَبَةَ بْنِ مَيْمُونٍ ، عَنْ زُرَارَةَ :</w:t>
      </w:r>
    </w:p>
    <w:p w:rsidR="00E3253D" w:rsidRPr="005D642E" w:rsidRDefault="00E3253D" w:rsidP="00E3253D">
      <w:pPr>
        <w:pStyle w:val="libNormal"/>
        <w:rPr>
          <w:rtl/>
          <w:lang w:bidi="fa-IR"/>
        </w:rPr>
      </w:pPr>
      <w:r w:rsidRPr="005D642E">
        <w:rPr>
          <w:rtl/>
          <w:lang w:bidi="fa-IR"/>
        </w:rPr>
        <w:t xml:space="preserve">أَنَّهُ سَأَلَ </w:t>
      </w:r>
      <w:r w:rsidRPr="007C12DB">
        <w:rPr>
          <w:rStyle w:val="libFootnotenumChar"/>
          <w:rtl/>
        </w:rPr>
        <w:t>(1)</w:t>
      </w:r>
      <w:r w:rsidRPr="005D642E">
        <w:rPr>
          <w:rtl/>
          <w:lang w:bidi="fa-IR"/>
        </w:rPr>
        <w:t xml:space="preserve"> أَبَا عَبْدِ اللهِ </w:t>
      </w:r>
      <w:r w:rsidRPr="00AC51C5">
        <w:rPr>
          <w:rStyle w:val="libAlaemChar"/>
          <w:rtl/>
        </w:rPr>
        <w:t>عليه‌السلام</w:t>
      </w:r>
      <w:r w:rsidRPr="005D642E">
        <w:rPr>
          <w:rtl/>
          <w:lang w:bidi="fa-IR"/>
        </w:rPr>
        <w:t xml:space="preserve"> عَنِ الْقَبْرِ : كَمْ يَدْخُلُهُ</w:t>
      </w:r>
      <w:r>
        <w:rPr>
          <w:rtl/>
          <w:lang w:bidi="fa-IR"/>
        </w:rPr>
        <w:t>؟</w:t>
      </w:r>
    </w:p>
    <w:p w:rsidR="00E3253D" w:rsidRPr="005D642E" w:rsidRDefault="00E3253D" w:rsidP="00E3253D">
      <w:pPr>
        <w:pStyle w:val="libNormal"/>
        <w:rPr>
          <w:rtl/>
          <w:lang w:bidi="fa-IR"/>
        </w:rPr>
      </w:pPr>
      <w:r w:rsidRPr="005D642E">
        <w:rPr>
          <w:rtl/>
          <w:lang w:bidi="fa-IR"/>
        </w:rPr>
        <w:t xml:space="preserve">قَالَ : « ذَاكَ </w:t>
      </w:r>
      <w:r w:rsidRPr="007C12DB">
        <w:rPr>
          <w:rStyle w:val="libFootnotenumChar"/>
          <w:rtl/>
        </w:rPr>
        <w:t>(2)</w:t>
      </w:r>
      <w:r w:rsidRPr="005D642E">
        <w:rPr>
          <w:rtl/>
          <w:lang w:bidi="fa-IR"/>
        </w:rPr>
        <w:t xml:space="preserve"> إِلَى الْوَلِيِّ ، إِنْ شَاءَ أَدْخَلَ وَتْراً ، وَإِنْ شَاءَ </w:t>
      </w:r>
      <w:r w:rsidRPr="007C12DB">
        <w:rPr>
          <w:rStyle w:val="libFootnotenumChar"/>
          <w:rtl/>
        </w:rPr>
        <w:t>(3)</w:t>
      </w:r>
      <w:r w:rsidRPr="005D642E">
        <w:rPr>
          <w:rtl/>
          <w:lang w:bidi="fa-IR"/>
        </w:rPr>
        <w:t xml:space="preserve"> شَفْعاً</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264F8D" w:rsidRDefault="00E3253D" w:rsidP="00264F8D">
      <w:pPr>
        <w:pStyle w:val="libNormal"/>
        <w:rPr>
          <w:rtl/>
          <w:lang w:bidi="fa-IR"/>
        </w:rPr>
      </w:pPr>
      <w:r w:rsidRPr="00065ED4">
        <w:rPr>
          <w:rtl/>
        </w:rPr>
        <w:t>4545</w:t>
      </w:r>
      <w:r w:rsidRPr="00246318">
        <w:rPr>
          <w:rStyle w:val="libBold2Char"/>
          <w:rtl/>
        </w:rPr>
        <w:t xml:space="preserve"> / 5.</w:t>
      </w:r>
      <w:r w:rsidRPr="005D642E">
        <w:rPr>
          <w:rtl/>
          <w:lang w:bidi="fa-IR"/>
        </w:rPr>
        <w:t xml:space="preserve"> عِدَّةٌ مِنْ أَصْحَابِنَا ، عَنْ سَهْلِ بْنِ زِيَادٍ ؛</w:t>
      </w:r>
    </w:p>
    <w:p w:rsidR="00E3253D" w:rsidRPr="005D642E" w:rsidRDefault="00312BD7" w:rsidP="00264F8D">
      <w:pPr>
        <w:pStyle w:val="libNormal"/>
        <w:rPr>
          <w:rtl/>
          <w:lang w:bidi="fa-IR"/>
        </w:rPr>
      </w:pPr>
      <w:r>
        <w:rPr>
          <w:rFonts w:hint="cs"/>
          <w:rtl/>
          <w:lang w:bidi="fa-IR"/>
        </w:rPr>
        <w:t xml:space="preserve">           </w:t>
      </w:r>
      <w:r w:rsidR="00264F8D">
        <w:rPr>
          <w:rFonts w:hint="cs"/>
          <w:rtl/>
          <w:lang w:bidi="fa-IR"/>
        </w:rPr>
        <w:t xml:space="preserve">  </w:t>
      </w:r>
      <w:r w:rsidR="00E3253D" w:rsidRPr="005D642E">
        <w:rPr>
          <w:rtl/>
          <w:lang w:bidi="fa-IR"/>
        </w:rPr>
        <w:t>وَعَلِيُّ بْنُ إِبْرَاهِيمَ ، عَنْ أَبِيهِ جَمِيعاً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w:t>
      </w:r>
      <w:r>
        <w:rPr>
          <w:rtl/>
          <w:lang w:bidi="fa-IR"/>
        </w:rPr>
        <w:t xml:space="preserve"> </w:t>
      </w:r>
      <w:r w:rsidR="007642BC">
        <w:rPr>
          <w:rtl/>
          <w:lang w:bidi="fa-IR"/>
        </w:rPr>
        <w:t>-</w:t>
      </w:r>
      <w:r>
        <w:rPr>
          <w:rtl/>
          <w:lang w:bidi="fa-IR"/>
        </w:rPr>
        <w:t xml:space="preserve"> </w:t>
      </w:r>
      <w:r w:rsidRPr="005D642E">
        <w:rPr>
          <w:rtl/>
          <w:lang w:bidi="fa-IR"/>
        </w:rPr>
        <w:t>صَلَوَاتُ اللهِ عَلَيْهِ</w:t>
      </w:r>
      <w:r>
        <w:rPr>
          <w:rtl/>
          <w:lang w:bidi="fa-IR"/>
        </w:rPr>
        <w:t xml:space="preserve"> </w:t>
      </w:r>
      <w:r w:rsidR="007642BC">
        <w:rPr>
          <w:rtl/>
          <w:lang w:bidi="fa-IR"/>
        </w:rPr>
        <w:t>-</w:t>
      </w:r>
      <w:r>
        <w:rPr>
          <w:rtl/>
          <w:lang w:bidi="fa-IR"/>
        </w:rPr>
        <w:t xml:space="preserve"> </w:t>
      </w:r>
      <w:r w:rsidRPr="005D642E">
        <w:rPr>
          <w:rtl/>
          <w:lang w:bidi="fa-IR"/>
        </w:rPr>
        <w:t xml:space="preserve">: مَضَتِ السُّنَّةُ مِنْ </w:t>
      </w:r>
      <w:r w:rsidRPr="007C12DB">
        <w:rPr>
          <w:rStyle w:val="libFootnotenumChar"/>
          <w:rtl/>
        </w:rPr>
        <w:t>(5)</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أَنَّ الْمَرْأَةَ لَايَدْخُلُ </w:t>
      </w:r>
      <w:r w:rsidRPr="007C12DB">
        <w:rPr>
          <w:rStyle w:val="libFootnotenumChar"/>
          <w:rtl/>
        </w:rPr>
        <w:t>(6)</w:t>
      </w:r>
      <w:r w:rsidR="000503F7">
        <w:rPr>
          <w:rtl/>
          <w:lang w:bidi="fa-IR"/>
        </w:rPr>
        <w:t xml:space="preserve"> قَبْرَهَا إِل</w:t>
      </w:r>
      <w:r w:rsidR="000503F7">
        <w:rPr>
          <w:rFonts w:hint="cs"/>
          <w:rtl/>
          <w:lang w:bidi="fa-IR"/>
        </w:rPr>
        <w:t>َّ</w:t>
      </w:r>
      <w:r w:rsidR="000503F7">
        <w:rPr>
          <w:rtl/>
          <w:lang w:bidi="fa-IR"/>
        </w:rPr>
        <w:t>ا</w:t>
      </w:r>
      <w:r w:rsidRPr="005D642E">
        <w:rPr>
          <w:rtl/>
          <w:lang w:bidi="fa-IR"/>
        </w:rPr>
        <w:t xml:space="preserve"> مَنْ كَانَ يَرَاهَا فِي حَيَاتِهَا</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065ED4">
        <w:rPr>
          <w:rtl/>
        </w:rPr>
        <w:t>4546</w:t>
      </w:r>
      <w:r w:rsidRPr="00246318">
        <w:rPr>
          <w:rStyle w:val="libBold2Char"/>
          <w:rtl/>
        </w:rPr>
        <w:t xml:space="preserve"> / 6.</w:t>
      </w:r>
      <w:r w:rsidRPr="005D642E">
        <w:rPr>
          <w:rtl/>
          <w:lang w:bidi="fa-IR"/>
        </w:rPr>
        <w:t xml:space="preserve"> سَهْلُ بْنُ زِيَادٍ </w:t>
      </w:r>
      <w:r w:rsidRPr="007C12DB">
        <w:rPr>
          <w:rStyle w:val="libFootnotenumChar"/>
          <w:rtl/>
        </w:rPr>
        <w:t>(8)</w:t>
      </w:r>
      <w:r w:rsidRPr="005D642E">
        <w:rPr>
          <w:rtl/>
          <w:lang w:bidi="fa-IR"/>
        </w:rPr>
        <w:t xml:space="preserve"> ، عَنْ مُحَمَّدِ بْنِ أُورَمَةَ </w:t>
      </w:r>
      <w:r w:rsidRPr="007C12DB">
        <w:rPr>
          <w:rStyle w:val="libFootnotenumChar"/>
          <w:rtl/>
        </w:rPr>
        <w:t>(9)</w:t>
      </w:r>
      <w:r w:rsidRPr="005D642E">
        <w:rPr>
          <w:rtl/>
          <w:lang w:bidi="fa-IR"/>
        </w:rPr>
        <w:t xml:space="preserve"> ، عَنْ عَلِيِّ بْنِ مُيَسِّرٍ </w:t>
      </w:r>
      <w:r w:rsidRPr="007C12DB">
        <w:rPr>
          <w:rStyle w:val="libFootnotenumChar"/>
          <w:rtl/>
        </w:rPr>
        <w:t>(10)</w:t>
      </w:r>
      <w:r w:rsidRPr="005D642E">
        <w:rPr>
          <w:rtl/>
          <w:lang w:bidi="fa-IR"/>
        </w:rPr>
        <w:t xml:space="preserve"> ، عَنْ إِسْحَاقَ بْنِ عَمَّارٍ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التهذيب : « قال : سألت » بدل « سأل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بف » : « ذلك</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 « أدخل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314 ، ح 914 ، بسنده عن الكليني. </w:t>
      </w:r>
      <w:r w:rsidR="00E3253D" w:rsidRPr="002F4D34">
        <w:rPr>
          <w:rStyle w:val="libFootnoteBoldChar"/>
          <w:rtl/>
        </w:rPr>
        <w:t>الفقيه</w:t>
      </w:r>
      <w:r w:rsidR="00E3253D" w:rsidRPr="005D642E">
        <w:rPr>
          <w:rtl/>
        </w:rPr>
        <w:t xml:space="preserve"> ، ج 1 ، ص 170 ، ذيل ح 498 ، </w:t>
      </w:r>
      <w:r w:rsidR="00E3253D" w:rsidRPr="002F4D34">
        <w:rPr>
          <w:rStyle w:val="libFootnoteBoldChar"/>
          <w:rtl/>
        </w:rPr>
        <w:t>فقه الرضا</w:t>
      </w:r>
      <w:r w:rsidR="00E3253D" w:rsidRPr="005D642E">
        <w:rPr>
          <w:rtl/>
        </w:rPr>
        <w:t xml:space="preserve"> </w:t>
      </w:r>
      <w:r w:rsidR="00E3253D" w:rsidRPr="00452B5A">
        <w:rPr>
          <w:rStyle w:val="libFootnoteAlaemChar"/>
          <w:rtl/>
        </w:rPr>
        <w:t>عليه‌السلام</w:t>
      </w:r>
      <w:r w:rsidR="00E3253D" w:rsidRPr="005D642E">
        <w:rPr>
          <w:rtl/>
        </w:rPr>
        <w:t xml:space="preserve"> ، ص 169 ، وفيهما مع اختلاف يسير </w:t>
      </w:r>
      <w:r w:rsidR="00452B5A">
        <w:rPr>
          <w:rFonts w:hint="cs"/>
          <w:rtl/>
        </w:rPr>
        <w:t>.</w:t>
      </w:r>
      <w:r w:rsidR="00E3253D" w:rsidRPr="002F4D34">
        <w:rPr>
          <w:rStyle w:val="libFootnoteBoldChar"/>
          <w:rtl/>
        </w:rPr>
        <w:t>الوافي</w:t>
      </w:r>
      <w:r w:rsidR="00E3253D" w:rsidRPr="005D642E">
        <w:rPr>
          <w:rtl/>
        </w:rPr>
        <w:t xml:space="preserve"> ، ج 25 ، ص 507 ، ح 24527 ؛ </w:t>
      </w:r>
      <w:r w:rsidR="00E3253D" w:rsidRPr="002F4D34">
        <w:rPr>
          <w:rStyle w:val="libFootnoteBoldChar"/>
          <w:rtl/>
        </w:rPr>
        <w:t>الوسائل</w:t>
      </w:r>
      <w:r w:rsidR="00E3253D" w:rsidRPr="005D642E">
        <w:rPr>
          <w:rtl/>
        </w:rPr>
        <w:t xml:space="preserve"> ، ج 3 ، ص 184 ، ح 3352.</w:t>
      </w:r>
    </w:p>
    <w:tbl>
      <w:tblPr>
        <w:tblStyle w:val="TableGrid"/>
        <w:bidiVisual/>
        <w:tblW w:w="0" w:type="auto"/>
        <w:tblLook w:val="04A0" w:firstRow="1" w:lastRow="0" w:firstColumn="1" w:lastColumn="0" w:noHBand="0" w:noVBand="1"/>
      </w:tblPr>
      <w:tblGrid>
        <w:gridCol w:w="4006"/>
        <w:gridCol w:w="4006"/>
      </w:tblGrid>
      <w:tr w:rsidR="00E43D06" w:rsidTr="00E43D06">
        <w:tc>
          <w:tcPr>
            <w:tcW w:w="4006" w:type="dxa"/>
          </w:tcPr>
          <w:p w:rsidR="00E43D06" w:rsidRDefault="00E43D06" w:rsidP="00E3253D">
            <w:pPr>
              <w:pStyle w:val="libFootnote0"/>
              <w:rPr>
                <w:rStyle w:val="libFootnote0Char"/>
                <w:rtl/>
              </w:rPr>
            </w:pPr>
            <w:r w:rsidRPr="0042621E">
              <w:rPr>
                <w:rStyle w:val="libFootnote0Char"/>
                <w:rtl/>
              </w:rPr>
              <w:t>(5).</w:t>
            </w:r>
            <w:r w:rsidRPr="005D642E">
              <w:rPr>
                <w:rtl/>
              </w:rPr>
              <w:t xml:space="preserve"> في « بخ » : « عن</w:t>
            </w:r>
            <w:r>
              <w:rPr>
                <w:rtl/>
              </w:rPr>
              <w:t xml:space="preserve"> ».</w:t>
            </w:r>
          </w:p>
        </w:tc>
        <w:tc>
          <w:tcPr>
            <w:tcW w:w="4006" w:type="dxa"/>
          </w:tcPr>
          <w:p w:rsidR="00E43D06" w:rsidRDefault="00E43D06" w:rsidP="00E3253D">
            <w:pPr>
              <w:pStyle w:val="libFootnote0"/>
              <w:rPr>
                <w:rStyle w:val="libFootnote0Char"/>
                <w:rtl/>
              </w:rPr>
            </w:pPr>
            <w:r w:rsidRPr="0042621E">
              <w:rPr>
                <w:rStyle w:val="libFootnote0Char"/>
                <w:rtl/>
              </w:rPr>
              <w:t>(6).</w:t>
            </w:r>
            <w:r w:rsidRPr="005D642E">
              <w:rPr>
                <w:rtl/>
              </w:rPr>
              <w:t xml:space="preserve"> في « بث » : + « في</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325 ، ح 948 ، بسنده عن الكليني. </w:t>
      </w:r>
      <w:r w:rsidR="00E3253D" w:rsidRPr="002F4D34">
        <w:rPr>
          <w:rStyle w:val="libFootnoteBoldChar"/>
          <w:rtl/>
        </w:rPr>
        <w:t>الجعفريّات</w:t>
      </w:r>
      <w:r w:rsidR="00E3253D" w:rsidRPr="005D642E">
        <w:rPr>
          <w:rtl/>
        </w:rPr>
        <w:t xml:space="preserve"> ، ص 203 ، بسند آخر عن جعفر بن محمّد ، عن آبائه ، عن عليّ </w:t>
      </w:r>
      <w:r w:rsidR="00E3253D" w:rsidRPr="00452B5A">
        <w:rPr>
          <w:rStyle w:val="libFootnoteAlaemChar"/>
          <w:rtl/>
        </w:rPr>
        <w:t>عليهم‌السلام</w:t>
      </w:r>
      <w:r w:rsidR="00E3253D" w:rsidRPr="005D642E">
        <w:rPr>
          <w:rtl/>
        </w:rPr>
        <w:t xml:space="preserve"> ، مع اختلاف يسير </w:t>
      </w:r>
      <w:r w:rsidR="003B50AA">
        <w:rPr>
          <w:rFonts w:hint="cs"/>
          <w:rtl/>
        </w:rPr>
        <w:t>.</w:t>
      </w:r>
      <w:r w:rsidR="00E3253D" w:rsidRPr="002F4D34">
        <w:rPr>
          <w:rStyle w:val="libFootnoteBoldChar"/>
          <w:rtl/>
        </w:rPr>
        <w:t>الوافي</w:t>
      </w:r>
      <w:r w:rsidR="00E3253D" w:rsidRPr="005D642E">
        <w:rPr>
          <w:rtl/>
        </w:rPr>
        <w:t xml:space="preserve"> ، ج 25 ، ص 507 ، ح 24525 ؛ </w:t>
      </w:r>
      <w:r w:rsidR="00E3253D" w:rsidRPr="002F4D34">
        <w:rPr>
          <w:rStyle w:val="libFootnoteBoldChar"/>
          <w:rtl/>
        </w:rPr>
        <w:t>الوسائل</w:t>
      </w:r>
      <w:r w:rsidR="00E3253D" w:rsidRPr="005D642E">
        <w:rPr>
          <w:rtl/>
        </w:rPr>
        <w:t xml:space="preserve"> ، ج 3 ، ص 187 ، ح 3362.</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السند معلّق على سابقه. ويروي عن سهل بن زياد ، عدّة من أصحابنا.</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ظ ، ى ، بح ، بخ ، بس ، جح ، جس ، جن » والوسائ</w:t>
      </w:r>
      <w:r w:rsidR="003B50AA">
        <w:rPr>
          <w:rtl/>
        </w:rPr>
        <w:t>ل. وفي « بث ، بف» والمطبوع: «</w:t>
      </w:r>
      <w:r w:rsidR="00E3253D" w:rsidRPr="005D642E">
        <w:rPr>
          <w:rtl/>
        </w:rPr>
        <w:t>ا</w:t>
      </w:r>
      <w:r w:rsidR="003B50AA">
        <w:rPr>
          <w:rFonts w:hint="cs"/>
          <w:rtl/>
        </w:rPr>
        <w:t>ُ</w:t>
      </w:r>
      <w:r w:rsidR="00E3253D" w:rsidRPr="005D642E">
        <w:rPr>
          <w:rtl/>
        </w:rPr>
        <w:t>رومة</w:t>
      </w:r>
      <w:r w:rsidR="00E3253D">
        <w:rPr>
          <w:rtl/>
        </w:rPr>
        <w:t>».</w:t>
      </w:r>
    </w:p>
    <w:p w:rsidR="00E3253D" w:rsidRPr="005D642E" w:rsidRDefault="00E3253D" w:rsidP="00E3253D">
      <w:pPr>
        <w:pStyle w:val="libFootnote0"/>
        <w:rPr>
          <w:rtl/>
          <w:lang w:bidi="fa-IR"/>
        </w:rPr>
      </w:pPr>
      <w:r w:rsidRPr="00B60612">
        <w:rPr>
          <w:rtl/>
        </w:rPr>
        <w:t>ومحمّد هذا ، هو محمّد بن ا</w:t>
      </w:r>
      <w:r w:rsidR="003B50AA">
        <w:rPr>
          <w:rFonts w:hint="cs"/>
          <w:rtl/>
        </w:rPr>
        <w:t>ُ</w:t>
      </w:r>
      <w:r w:rsidRPr="00B60612">
        <w:rPr>
          <w:rtl/>
        </w:rPr>
        <w:t xml:space="preserve">ورمة القمّي. ترجم له النجاشي والشيخ الطوسي. راجع : </w:t>
      </w:r>
      <w:r w:rsidRPr="002F4D34">
        <w:rPr>
          <w:rStyle w:val="libFootnoteBoldChar"/>
          <w:rtl/>
        </w:rPr>
        <w:t>رجال النجاشي</w:t>
      </w:r>
      <w:r w:rsidRPr="00B60612">
        <w:rPr>
          <w:rtl/>
        </w:rPr>
        <w:t xml:space="preserve"> ، ص 329 ، الرقم 891 ؛ </w:t>
      </w:r>
      <w:r w:rsidR="0059794D" w:rsidRPr="0059794D">
        <w:rPr>
          <w:rStyle w:val="libFootnoteBoldChar"/>
          <w:rtl/>
        </w:rPr>
        <w:t>الفهرست للطوسي</w:t>
      </w:r>
      <w:r w:rsidRPr="00B60612">
        <w:rPr>
          <w:rtl/>
        </w:rPr>
        <w:t xml:space="preserve"> ، ص 407 ، الرقم 621.</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 ى ، بح ، بخ ، بس ، جح ، جس ، جن</w:t>
      </w:r>
      <w:r w:rsidR="00E3253D">
        <w:rPr>
          <w:rtl/>
        </w:rPr>
        <w:t xml:space="preserve"> ».</w:t>
      </w:r>
      <w:r w:rsidR="00E3253D" w:rsidRPr="005D642E">
        <w:rPr>
          <w:rtl/>
        </w:rPr>
        <w:t xml:space="preserve"> وفي « ظ ، بث ، بف » والمطبوع : « ميسرة</w:t>
      </w:r>
      <w:r w:rsidR="00E3253D">
        <w:rPr>
          <w:rtl/>
        </w:rPr>
        <w:t xml:space="preserve"> ».</w:t>
      </w:r>
      <w:r w:rsidR="00E3253D" w:rsidRPr="005D642E">
        <w:rPr>
          <w:rtl/>
        </w:rPr>
        <w:t xml:space="preserve"> وتقدّم في الكافي ، ذيل ح 1471 أنّ الصواب هو عليّ بن مُيَسِّر ، فلاحظ.</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الزَّوْجُ أَحَقُّ </w:t>
      </w:r>
      <w:r w:rsidRPr="007C12DB">
        <w:rPr>
          <w:rStyle w:val="libFootnotenumChar"/>
          <w:rtl/>
        </w:rPr>
        <w:t>(1)</w:t>
      </w:r>
      <w:r w:rsidRPr="005D642E">
        <w:rPr>
          <w:rtl/>
          <w:lang w:bidi="fa-IR"/>
        </w:rPr>
        <w:t xml:space="preserve"> بِامْرَأَتِهِ حَتّى يَضَعَهَا فِي قَبْرِهَا</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065ED4">
        <w:rPr>
          <w:rtl/>
        </w:rPr>
        <w:t>4547</w:t>
      </w:r>
      <w:r w:rsidRPr="00246318">
        <w:rPr>
          <w:rStyle w:val="libBold2Char"/>
          <w:rtl/>
        </w:rPr>
        <w:t xml:space="preserve"> / 7.</w:t>
      </w:r>
      <w:r w:rsidRPr="005D642E">
        <w:rPr>
          <w:rtl/>
          <w:lang w:bidi="fa-IR"/>
        </w:rPr>
        <w:t xml:space="preserve"> حُمَيْدُ بْنُ زِيَادٍ ، عَنِ الْحَسَنِ بْنِ مُحَمَّدٍ الْكِنْدِيِّ ، عَنْ أَحْمَدَ بْنِ الْحَسَنِ الْمِيثَمِيِّ ، عَنْ أَبَانٍ ، عَنْ عَبْدِ اللهِ بْنِ رَاشِدٍ ، قَالَ :</w:t>
      </w:r>
    </w:p>
    <w:p w:rsidR="00E3253D" w:rsidRPr="005D642E" w:rsidRDefault="00E3253D" w:rsidP="00E3253D">
      <w:pPr>
        <w:pStyle w:val="libNormal"/>
        <w:rPr>
          <w:rtl/>
          <w:lang w:bidi="fa-IR"/>
        </w:rPr>
      </w:pPr>
      <w:r w:rsidRPr="005D642E">
        <w:rPr>
          <w:rtl/>
          <w:lang w:bidi="fa-IR"/>
        </w:rPr>
        <w:t xml:space="preserve">كُنْتُ مَعَ أَبِي عَبْدِ اللهِ </w:t>
      </w:r>
      <w:r w:rsidRPr="00AC51C5">
        <w:rPr>
          <w:rStyle w:val="libAlaemChar"/>
          <w:rtl/>
        </w:rPr>
        <w:t>عليه‌السلام</w:t>
      </w:r>
      <w:r w:rsidRPr="005D642E">
        <w:rPr>
          <w:rtl/>
          <w:lang w:bidi="fa-IR"/>
        </w:rPr>
        <w:t xml:space="preserve"> حِينَ مَاتَ إِسْمَاعِيلُ ابْنُهُ </w:t>
      </w:r>
      <w:r w:rsidRPr="00AC51C5">
        <w:rPr>
          <w:rStyle w:val="libAlaemChar"/>
          <w:rtl/>
        </w:rPr>
        <w:t>عليه‌السلام</w:t>
      </w:r>
      <w:r w:rsidRPr="005D642E">
        <w:rPr>
          <w:rtl/>
          <w:lang w:bidi="fa-IR"/>
        </w:rPr>
        <w:t xml:space="preserve"> ، فَأُنْزِلَ فِي قَبْرِهِ ، ثُمَّ رَمى بِنَفْسِهِ عَلَى الْأَرْضِ مِمَّا يَلِي الْقِبْلَةَ ، ثُمَّ قَالَ : « هكَذَا صَنَعَ رَسُولُ اللهِ </w:t>
      </w:r>
      <w:r w:rsidR="0042621E" w:rsidRPr="0042621E">
        <w:rPr>
          <w:rStyle w:val="libAlaemChar"/>
          <w:rtl/>
        </w:rPr>
        <w:t>صلى‌الله‌عليه‌وآله</w:t>
      </w:r>
      <w:r w:rsidRPr="005D642E">
        <w:rPr>
          <w:rtl/>
          <w:lang w:bidi="fa-IR"/>
        </w:rPr>
        <w:t xml:space="preserve"> بِإِبْرَاهِيمَ » ثُمَّ قَالَ : « إِنَّ الرَّجُلَ يَنْزِلُ فِي قَبْرِ وَالِدِهِ ، وَلَايَنْزِلُ فِي قَبْرِ وَلَدِهِ</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065ED4">
        <w:rPr>
          <w:rtl/>
        </w:rPr>
        <w:t>4548</w:t>
      </w:r>
      <w:r w:rsidRPr="00246318">
        <w:rPr>
          <w:rStyle w:val="libBold2Char"/>
          <w:rtl/>
        </w:rPr>
        <w:t xml:space="preserve"> / 8.</w:t>
      </w:r>
      <w:r w:rsidRPr="005D642E">
        <w:rPr>
          <w:rtl/>
          <w:lang w:bidi="fa-IR"/>
        </w:rPr>
        <w:t xml:space="preserve"> عِدَّةٌ مِنْ أَصْحَابِنَا ، عَنْ سَهْلِ بْنِ زِيَادٍ ، عَنْ مُحَمَّدِ بْنِ الْوَلِيدِ ، عَنْ يَحْيَى بْنِ عُمَرَ </w:t>
      </w:r>
      <w:r w:rsidRPr="007C12DB">
        <w:rPr>
          <w:rStyle w:val="libFootnotenumChar"/>
          <w:rtl/>
        </w:rPr>
        <w:t>(4)</w:t>
      </w:r>
      <w:r w:rsidRPr="005D642E">
        <w:rPr>
          <w:rtl/>
          <w:lang w:bidi="fa-IR"/>
        </w:rPr>
        <w:t xml:space="preserve"> ، عَنْ عَبْدِ اللهِ بْنِ رَاشِدٍ ، عَنْ </w:t>
      </w:r>
      <w:r w:rsidRPr="007C12DB">
        <w:rPr>
          <w:rStyle w:val="libFootnotenumChar"/>
          <w:rtl/>
        </w:rPr>
        <w:t>(5)</w:t>
      </w:r>
      <w:r w:rsidRPr="005D642E">
        <w:rPr>
          <w:rtl/>
          <w:lang w:bidi="fa-IR"/>
        </w:rPr>
        <w:t xml:space="preserve"> عَبْدِ اللهِ الْعَنْبَرِيِّ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الرَّجُلُ يَدْفِنُ ابْنَهُ</w:t>
      </w:r>
      <w:r>
        <w:rPr>
          <w:rtl/>
          <w:lang w:bidi="fa-IR"/>
        </w:rPr>
        <w:t>؟</w:t>
      </w:r>
      <w:r w:rsidRPr="005D642E">
        <w:rPr>
          <w:rtl/>
          <w:lang w:bidi="fa-IR"/>
        </w:rPr>
        <w:t xml:space="preserve"> قَالَ : « لَا يَدْفِنُهُ فِي التُّرَابِ</w:t>
      </w:r>
      <w:r>
        <w:rPr>
          <w:rtl/>
          <w:lang w:bidi="fa-IR"/>
        </w:rPr>
        <w:t xml:space="preserve"> ».</w:t>
      </w:r>
    </w:p>
    <w:p w:rsidR="00E3253D" w:rsidRPr="005D642E" w:rsidRDefault="00E3253D" w:rsidP="00E3253D">
      <w:pPr>
        <w:pStyle w:val="libNormal"/>
        <w:rPr>
          <w:rtl/>
          <w:lang w:bidi="fa-IR"/>
        </w:rPr>
      </w:pPr>
      <w:r w:rsidRPr="005D642E">
        <w:rPr>
          <w:rtl/>
          <w:lang w:bidi="fa-IR"/>
        </w:rPr>
        <w:t>قَالَ : قُلْتُ : فَالِابْنُ يَدْفِنُ أَبَاهُ</w:t>
      </w:r>
      <w:r>
        <w:rPr>
          <w:rtl/>
          <w:lang w:bidi="fa-IR"/>
        </w:rPr>
        <w:t>؟</w:t>
      </w:r>
      <w:r w:rsidRPr="005D642E">
        <w:rPr>
          <w:rtl/>
          <w:lang w:bidi="fa-IR"/>
        </w:rPr>
        <w:t xml:space="preserve"> قَالَ : « نَعَمْ ، لَابَأْسَ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446" w:name="_Toc344647360"/>
      <w:bookmarkStart w:id="447" w:name="_Toc462226874"/>
      <w:bookmarkStart w:id="448" w:name="_Toc40975982"/>
      <w:r w:rsidRPr="005D642E">
        <w:rPr>
          <w:rtl/>
          <w:lang w:bidi="fa-IR"/>
        </w:rPr>
        <w:t>64</w:t>
      </w:r>
      <w:r>
        <w:rPr>
          <w:rtl/>
          <w:lang w:bidi="fa-IR"/>
        </w:rPr>
        <w:t xml:space="preserve"> </w:t>
      </w:r>
      <w:r w:rsidR="007642BC">
        <w:rPr>
          <w:rtl/>
          <w:lang w:bidi="fa-IR"/>
        </w:rPr>
        <w:t>-</w:t>
      </w:r>
      <w:r>
        <w:rPr>
          <w:rtl/>
          <w:lang w:bidi="fa-IR"/>
        </w:rPr>
        <w:t xml:space="preserve"> </w:t>
      </w:r>
      <w:r w:rsidRPr="005D642E">
        <w:rPr>
          <w:rtl/>
          <w:lang w:bidi="fa-IR"/>
        </w:rPr>
        <w:t xml:space="preserve">بَابُ سَلِّ الْمَيِّتِ وَمَا يُقَالُ عِنْدَ دُخُولِ </w:t>
      </w:r>
      <w:r w:rsidRPr="007C12DB">
        <w:rPr>
          <w:rStyle w:val="libFootnotenumChar"/>
          <w:rtl/>
        </w:rPr>
        <w:t>(8)</w:t>
      </w:r>
      <w:r>
        <w:rPr>
          <w:rtl/>
        </w:rPr>
        <w:t xml:space="preserve"> </w:t>
      </w:r>
      <w:r w:rsidRPr="005D642E">
        <w:rPr>
          <w:rtl/>
          <w:lang w:bidi="fa-IR"/>
        </w:rPr>
        <w:t>الْقَبْرِ‌</w:t>
      </w:r>
      <w:bookmarkEnd w:id="446"/>
      <w:bookmarkEnd w:id="447"/>
      <w:bookmarkEnd w:id="448"/>
    </w:p>
    <w:p w:rsidR="00E3253D" w:rsidRPr="005D642E" w:rsidRDefault="00E3253D" w:rsidP="00E3253D">
      <w:pPr>
        <w:pStyle w:val="libNormal"/>
        <w:rPr>
          <w:rtl/>
          <w:lang w:bidi="fa-IR"/>
        </w:rPr>
      </w:pPr>
      <w:r w:rsidRPr="00065ED4">
        <w:rPr>
          <w:rtl/>
        </w:rPr>
        <w:t>4549</w:t>
      </w:r>
      <w:r w:rsidRPr="00246318">
        <w:rPr>
          <w:rStyle w:val="libBold2Char"/>
          <w:rtl/>
        </w:rPr>
        <w:t xml:space="preserve"> / 1.</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جن » : « أولى</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325 ، ح 949 ، بسنده عن الكليني </w:t>
      </w:r>
      <w:r w:rsidR="003B50AA">
        <w:rPr>
          <w:rFonts w:hint="cs"/>
          <w:rtl/>
        </w:rPr>
        <w:t>.</w:t>
      </w:r>
      <w:r w:rsidR="00E3253D" w:rsidRPr="002F4D34">
        <w:rPr>
          <w:rStyle w:val="libFootnoteBoldChar"/>
          <w:rtl/>
        </w:rPr>
        <w:t>الوافي</w:t>
      </w:r>
      <w:r w:rsidR="00E3253D" w:rsidRPr="005D642E">
        <w:rPr>
          <w:rtl/>
        </w:rPr>
        <w:t xml:space="preserve"> ، ج 25 ، ص 507 ، ح 24526 ؛ </w:t>
      </w:r>
      <w:r w:rsidR="00E3253D" w:rsidRPr="002F4D34">
        <w:rPr>
          <w:rStyle w:val="libFootnoteBoldChar"/>
          <w:rtl/>
        </w:rPr>
        <w:t>الوسائل</w:t>
      </w:r>
      <w:r w:rsidR="00E3253D" w:rsidRPr="005D642E">
        <w:rPr>
          <w:rtl/>
        </w:rPr>
        <w:t xml:space="preserve"> ، ج 3 ، ص 116 ، ح 3176 ؛ وص 187 ، ح 3363 ؛ وج 2 ، ص 531 ، ح 2828.</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25 ، ص 506 ، ح 24523 ؛ </w:t>
      </w:r>
      <w:r w:rsidR="00E3253D" w:rsidRPr="002F4D34">
        <w:rPr>
          <w:rStyle w:val="libFootnoteBoldChar"/>
          <w:rtl/>
        </w:rPr>
        <w:t>الوسائل</w:t>
      </w:r>
      <w:r w:rsidR="00E3253D" w:rsidRPr="005D642E">
        <w:rPr>
          <w:rtl/>
        </w:rPr>
        <w:t xml:space="preserve"> ، ج 3 ، ص 186 ، ح 3360 ؛ </w:t>
      </w:r>
      <w:r w:rsidR="00E3253D" w:rsidRPr="002F4D34">
        <w:rPr>
          <w:rStyle w:val="libFootnoteBoldChar"/>
          <w:rtl/>
        </w:rPr>
        <w:t>البحار</w:t>
      </w:r>
      <w:r w:rsidR="00E3253D" w:rsidRPr="005D642E">
        <w:rPr>
          <w:rtl/>
        </w:rPr>
        <w:t xml:space="preserve"> ، ج 22 ، ص 156 ، ح 14 ؛ وج 47 ، ص 264 ، ح 33 ، وفي الأخيرين إلى قوله : « هكذا صنع رسول الله </w:t>
      </w:r>
      <w:r w:rsidRPr="003B50AA">
        <w:rPr>
          <w:rStyle w:val="libFootnoteAlaemChar"/>
          <w:rtl/>
        </w:rPr>
        <w:t>صلى‌الله‌عليه‌وآله</w:t>
      </w:r>
      <w:r w:rsidR="00E3253D" w:rsidRPr="005D642E">
        <w:rPr>
          <w:rtl/>
        </w:rPr>
        <w:t xml:space="preserve"> بإبراهيم</w:t>
      </w:r>
      <w:r w:rsidR="00E3253D">
        <w:rPr>
          <w:rtl/>
        </w:rPr>
        <w:t xml:space="preserve"> ».</w:t>
      </w:r>
    </w:p>
    <w:p w:rsidR="00E3253D" w:rsidRPr="005D642E" w:rsidRDefault="0042621E" w:rsidP="003B50AA">
      <w:pPr>
        <w:pStyle w:val="libFootnote0"/>
        <w:rPr>
          <w:rtl/>
          <w:lang w:bidi="fa-IR"/>
        </w:rPr>
      </w:pPr>
      <w:r w:rsidRPr="0042621E">
        <w:rPr>
          <w:rStyle w:val="libFootnote0Char"/>
          <w:rtl/>
        </w:rPr>
        <w:t>(4).</w:t>
      </w:r>
      <w:r w:rsidR="00E3253D" w:rsidRPr="005D642E">
        <w:rPr>
          <w:rtl/>
        </w:rPr>
        <w:t xml:space="preserve"> هكذا في « ظ ، ى ، بث ، بح ، بس ، جح ، جس ، جن</w:t>
      </w:r>
      <w:r w:rsidR="00E3253D">
        <w:rPr>
          <w:rtl/>
        </w:rPr>
        <w:t xml:space="preserve"> ».</w:t>
      </w:r>
      <w:r w:rsidR="00E3253D" w:rsidRPr="005D642E">
        <w:rPr>
          <w:rtl/>
        </w:rPr>
        <w:t xml:space="preserve"> وفي « بح ، بف » والمطبوع : « عمرو</w:t>
      </w:r>
      <w:r w:rsidR="00E3253D">
        <w:rPr>
          <w:rtl/>
        </w:rPr>
        <w:t xml:space="preserve"> ».</w:t>
      </w:r>
      <w:r w:rsidR="00E3253D" w:rsidRPr="005D642E">
        <w:rPr>
          <w:rtl/>
        </w:rPr>
        <w:t xml:space="preserve"> والرجل مجهول لم نعرفه.</w:t>
      </w:r>
      <w:r w:rsidR="003B50AA">
        <w:rPr>
          <w:rFonts w:hint="cs"/>
          <w:rtl/>
        </w:rPr>
        <w:t xml:space="preserve">                                         </w:t>
      </w:r>
      <w:r w:rsidRPr="0042621E">
        <w:rPr>
          <w:rStyle w:val="libFootnote0Char"/>
          <w:rtl/>
        </w:rPr>
        <w:t>(5).</w:t>
      </w:r>
      <w:r w:rsidR="00E3253D" w:rsidRPr="005D642E">
        <w:rPr>
          <w:rtl/>
        </w:rPr>
        <w:t xml:space="preserve"> في « بث » وحاشية « بس » : « بن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إنّ السرّ فيه أنّه لايؤمن على الأب يجزع على ابنه حين يكشف عن وجهه ، وأمّا الابن فليس جزعه على أبيه بهذه المثابة</w:t>
      </w:r>
      <w:r w:rsidR="00E3253D">
        <w:rPr>
          <w:rtl/>
        </w:rPr>
        <w:t xml:space="preserve"> ».</w:t>
      </w:r>
    </w:p>
    <w:p w:rsidR="00E3253D" w:rsidRPr="005D642E" w:rsidRDefault="0042621E" w:rsidP="003B50AA">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320 ، ح 930 ، معلّقاً عن سهل بن زياد </w:t>
      </w:r>
      <w:r w:rsidR="003B50AA">
        <w:rPr>
          <w:rFonts w:hint="cs"/>
          <w:rtl/>
        </w:rPr>
        <w:t>.</w:t>
      </w:r>
      <w:r w:rsidR="00E3253D" w:rsidRPr="002F4D34">
        <w:rPr>
          <w:rStyle w:val="libFootnoteBoldChar"/>
          <w:rtl/>
        </w:rPr>
        <w:t>الوافي</w:t>
      </w:r>
      <w:r w:rsidR="00E3253D" w:rsidRPr="005D642E">
        <w:rPr>
          <w:rtl/>
        </w:rPr>
        <w:t xml:space="preserve"> ، ج 25 ، ص 506 ، ح 24524 ؛ </w:t>
      </w:r>
      <w:r w:rsidR="00E3253D" w:rsidRPr="002F4D34">
        <w:rPr>
          <w:rStyle w:val="libFootnoteBoldChar"/>
          <w:rtl/>
        </w:rPr>
        <w:t>الوسائل</w:t>
      </w:r>
      <w:r w:rsidR="00E3253D" w:rsidRPr="005D642E">
        <w:rPr>
          <w:rtl/>
        </w:rPr>
        <w:t xml:space="preserve"> ، ج 3 ، ص 186 ، ذيل ح 3359.</w:t>
      </w:r>
      <w:r w:rsidR="003B50AA">
        <w:rPr>
          <w:rFonts w:hint="cs"/>
          <w:rtl/>
        </w:rPr>
        <w:t xml:space="preserve">   </w:t>
      </w:r>
      <w:r w:rsidRPr="0042621E">
        <w:rPr>
          <w:rStyle w:val="libFootnote0Char"/>
          <w:rtl/>
        </w:rPr>
        <w:t>(8).</w:t>
      </w:r>
      <w:r w:rsidR="00E3253D" w:rsidRPr="005D642E">
        <w:rPr>
          <w:rtl/>
        </w:rPr>
        <w:t xml:space="preserve"> في « بخ » : « دخوله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أَتَيْتَ بِالْمَيِّتِ </w:t>
      </w:r>
      <w:r w:rsidRPr="007C12DB">
        <w:rPr>
          <w:rStyle w:val="libFootnotenumChar"/>
          <w:rtl/>
        </w:rPr>
        <w:t>(1)</w:t>
      </w:r>
      <w:r w:rsidRPr="005D642E">
        <w:rPr>
          <w:rtl/>
          <w:lang w:bidi="fa-IR"/>
        </w:rPr>
        <w:t xml:space="preserve"> الْقَبْرَ ، فَسُلَّهُ </w:t>
      </w:r>
      <w:r w:rsidRPr="007C12DB">
        <w:rPr>
          <w:rStyle w:val="libFootnotenumChar"/>
          <w:rtl/>
        </w:rPr>
        <w:t>(2)</w:t>
      </w:r>
      <w:r w:rsidRPr="005D642E">
        <w:rPr>
          <w:rtl/>
          <w:lang w:bidi="fa-IR"/>
        </w:rPr>
        <w:t xml:space="preserve"> مِنْ قِبَلِ رِجْلَيْهِ </w:t>
      </w:r>
      <w:r w:rsidRPr="007C12DB">
        <w:rPr>
          <w:rStyle w:val="libFootnotenumChar"/>
          <w:rtl/>
        </w:rPr>
        <w:t>(3)</w:t>
      </w:r>
      <w:r w:rsidRPr="005D642E">
        <w:rPr>
          <w:rtl/>
          <w:lang w:bidi="fa-IR"/>
        </w:rPr>
        <w:t xml:space="preserve"> ، فَإِذَا وَضَعْتَهُ فِي الْقَبْرِ ، فَاقْرَأْ </w:t>
      </w:r>
      <w:r>
        <w:rPr>
          <w:rtl/>
          <w:lang w:bidi="fa-IR"/>
        </w:rPr>
        <w:t>آيَةَ الْكُرْسِيِّ ، وَقُلْ : "</w:t>
      </w:r>
      <w:r w:rsidRPr="005D642E">
        <w:rPr>
          <w:rtl/>
          <w:lang w:bidi="fa-IR"/>
        </w:rPr>
        <w:t xml:space="preserve">بِسْمِ اللهِ </w:t>
      </w:r>
      <w:r w:rsidRPr="007C12DB">
        <w:rPr>
          <w:rStyle w:val="libFootnotenumChar"/>
          <w:rtl/>
        </w:rPr>
        <w:t>(4)</w:t>
      </w:r>
      <w:r w:rsidRPr="005D642E">
        <w:rPr>
          <w:rtl/>
          <w:lang w:bidi="fa-IR"/>
        </w:rPr>
        <w:t xml:space="preserve"> ، وَفِي سَبِيلِ اللهِ ، وَعَلى مِلَّةِ رَسُولِ اللهِ </w:t>
      </w:r>
      <w:r w:rsidR="0042621E" w:rsidRPr="0042621E">
        <w:rPr>
          <w:rStyle w:val="libAlaemChar"/>
          <w:rtl/>
        </w:rPr>
        <w:t>صلى‌الله‌عليه‌وآله</w:t>
      </w:r>
      <w:r w:rsidRPr="005D642E">
        <w:rPr>
          <w:rtl/>
          <w:lang w:bidi="fa-IR"/>
        </w:rPr>
        <w:t xml:space="preserve"> ، الل</w:t>
      </w:r>
      <w:r w:rsidR="00A33F35">
        <w:rPr>
          <w:rFonts w:hint="cs"/>
          <w:rtl/>
          <w:lang w:bidi="fa-IR"/>
        </w:rPr>
        <w:t>ّ</w:t>
      </w:r>
      <w:r w:rsidRPr="005D642E">
        <w:rPr>
          <w:rtl/>
          <w:lang w:bidi="fa-IR"/>
        </w:rPr>
        <w:t xml:space="preserve">هُمَّ افْسَحْ لَهُ </w:t>
      </w:r>
      <w:r w:rsidRPr="007C12DB">
        <w:rPr>
          <w:rStyle w:val="libFootnotenumChar"/>
          <w:rtl/>
        </w:rPr>
        <w:t>(5)</w:t>
      </w:r>
      <w:r w:rsidRPr="005D642E">
        <w:rPr>
          <w:rtl/>
          <w:lang w:bidi="fa-IR"/>
        </w:rPr>
        <w:t xml:space="preserve"> فِي قَبْرِهِ ، وَأَلْحِقْهُ بِنَبِيِّهِ </w:t>
      </w:r>
      <w:r w:rsidRPr="007C12DB">
        <w:rPr>
          <w:rStyle w:val="libFootnotenumChar"/>
          <w:rtl/>
        </w:rPr>
        <w:t>(6)</w:t>
      </w:r>
      <w:r w:rsidRPr="005D642E">
        <w:rPr>
          <w:rtl/>
          <w:lang w:bidi="fa-IR"/>
        </w:rPr>
        <w:t xml:space="preserve"> </w:t>
      </w:r>
      <w:r w:rsidR="0042621E" w:rsidRPr="0042621E">
        <w:rPr>
          <w:rStyle w:val="libAlaemChar"/>
          <w:rtl/>
        </w:rPr>
        <w:t>صلى‌الله‌عليه‌وآله</w:t>
      </w:r>
      <w:r w:rsidRPr="005D642E">
        <w:rPr>
          <w:rtl/>
          <w:lang w:bidi="fa-IR"/>
        </w:rPr>
        <w:t xml:space="preserve">" ، وَقُلْ كَمَا قُلْتَ </w:t>
      </w:r>
      <w:r w:rsidRPr="007C12DB">
        <w:rPr>
          <w:rStyle w:val="libFootnotenumChar"/>
          <w:rtl/>
        </w:rPr>
        <w:t>(7)</w:t>
      </w:r>
      <w:r w:rsidRPr="005D642E">
        <w:rPr>
          <w:rtl/>
          <w:lang w:bidi="fa-IR"/>
        </w:rPr>
        <w:t xml:space="preserve"> فِي الصَّلَاةِ عَلَيْهِ مَرَّةً وَاحِدَةً مِنْ عِنْدِ" الل</w:t>
      </w:r>
      <w:r w:rsidR="001B1615">
        <w:rPr>
          <w:rFonts w:hint="cs"/>
          <w:rtl/>
          <w:lang w:bidi="fa-IR"/>
        </w:rPr>
        <w:t>ّ</w:t>
      </w:r>
      <w:r w:rsidRPr="005D642E">
        <w:rPr>
          <w:rtl/>
          <w:lang w:bidi="fa-IR"/>
        </w:rPr>
        <w:t xml:space="preserve">هُمَّ إِنْ كَانَ مُحْسِناً فَزِدْ فِي إِحْسَانِهِ </w:t>
      </w:r>
      <w:r w:rsidRPr="007C12DB">
        <w:rPr>
          <w:rStyle w:val="libFootnotenumChar"/>
          <w:rtl/>
        </w:rPr>
        <w:t>(8)</w:t>
      </w:r>
      <w:r w:rsidRPr="005D642E">
        <w:rPr>
          <w:rtl/>
          <w:lang w:bidi="fa-IR"/>
        </w:rPr>
        <w:t xml:space="preserve"> ، وَإِنْ كَانَ مُسِيئاً فَاغْفِرْ لَهُ ، وَارْحَمْهُ ، وَتَجَاوَزْ عَنْهُ </w:t>
      </w:r>
      <w:r w:rsidRPr="007C12DB">
        <w:rPr>
          <w:rStyle w:val="libFootnotenumChar"/>
          <w:rtl/>
        </w:rPr>
        <w:t>(9)</w:t>
      </w:r>
      <w:r w:rsidRPr="005D642E">
        <w:rPr>
          <w:rtl/>
          <w:lang w:bidi="fa-IR"/>
        </w:rPr>
        <w:t xml:space="preserve">" ، وَاسْتَغْفِرْ لَهُ مَا اسْتَطَعْتَ » قَالَ : « وَكَانَ عَلِيُّ بْنُ الْحُسَيْنِ </w:t>
      </w:r>
      <w:r w:rsidRPr="00AC51C5">
        <w:rPr>
          <w:rStyle w:val="libAlaemChar"/>
          <w:rtl/>
        </w:rPr>
        <w:t>عليهما‌السلام</w:t>
      </w:r>
      <w:r w:rsidRPr="005D642E">
        <w:rPr>
          <w:rtl/>
          <w:lang w:bidi="fa-IR"/>
        </w:rPr>
        <w:t xml:space="preserve"> إِذَا أَدْخَلَ </w:t>
      </w:r>
      <w:r w:rsidRPr="007C12DB">
        <w:rPr>
          <w:rStyle w:val="libFootnotenumChar"/>
          <w:rtl/>
        </w:rPr>
        <w:t>(10)</w:t>
      </w:r>
      <w:r w:rsidRPr="005D642E">
        <w:rPr>
          <w:rtl/>
          <w:lang w:bidi="fa-IR"/>
        </w:rPr>
        <w:t xml:space="preserve"> الْمَيِّتَ </w:t>
      </w:r>
      <w:r w:rsidRPr="007C12DB">
        <w:rPr>
          <w:rStyle w:val="libFootnotenumChar"/>
          <w:rtl/>
        </w:rPr>
        <w:t>(11)</w:t>
      </w:r>
      <w:r w:rsidRPr="005D642E">
        <w:rPr>
          <w:rtl/>
          <w:lang w:bidi="fa-IR"/>
        </w:rPr>
        <w:t xml:space="preserve"> الْقَبْرَ ، قَالَ : الل</w:t>
      </w:r>
      <w:r w:rsidR="004B6673">
        <w:rPr>
          <w:rFonts w:hint="cs"/>
          <w:rtl/>
          <w:lang w:bidi="fa-IR"/>
        </w:rPr>
        <w:t>ّ</w:t>
      </w:r>
      <w:r w:rsidRPr="005D642E">
        <w:rPr>
          <w:rtl/>
          <w:lang w:bidi="fa-IR"/>
        </w:rPr>
        <w:t xml:space="preserve">هُمَّ جَافِ الْأَرْضَ </w:t>
      </w:r>
      <w:r w:rsidRPr="007C12DB">
        <w:rPr>
          <w:rStyle w:val="libFootnotenumChar"/>
          <w:rtl/>
        </w:rPr>
        <w:t>(12)</w:t>
      </w:r>
      <w:r w:rsidRPr="005D642E">
        <w:rPr>
          <w:rtl/>
          <w:lang w:bidi="fa-IR"/>
        </w:rPr>
        <w:t xml:space="preserve"> عَنْ جَنْبَيْهِ </w:t>
      </w:r>
      <w:r w:rsidRPr="007C12DB">
        <w:rPr>
          <w:rStyle w:val="libFootnotenumChar"/>
          <w:rtl/>
        </w:rPr>
        <w:t>(13)</w:t>
      </w:r>
      <w:r w:rsidRPr="005D642E">
        <w:rPr>
          <w:rtl/>
          <w:lang w:bidi="fa-IR"/>
        </w:rPr>
        <w:t xml:space="preserve"> ، وَصَاعِدْ عَمَلَهُ </w:t>
      </w:r>
      <w:r w:rsidRPr="007C12DB">
        <w:rPr>
          <w:rStyle w:val="libFootnotenumChar"/>
          <w:rtl/>
        </w:rPr>
        <w:t>(14)</w:t>
      </w:r>
      <w:r w:rsidRPr="005D642E">
        <w:rPr>
          <w:rtl/>
          <w:lang w:bidi="fa-IR"/>
        </w:rPr>
        <w:t xml:space="preserve"> ، وَلَقِّهِ مِنْكَ </w:t>
      </w:r>
      <w:r w:rsidRPr="007C12DB">
        <w:rPr>
          <w:rStyle w:val="libFootnotenumChar"/>
          <w:rtl/>
        </w:rPr>
        <w:t>(15)</w:t>
      </w:r>
      <w:r w:rsidRPr="005D642E">
        <w:rPr>
          <w:rtl/>
          <w:lang w:bidi="fa-IR"/>
        </w:rPr>
        <w:t xml:space="preserve"> رِضْوَاناً</w:t>
      </w:r>
      <w:r>
        <w:rPr>
          <w:rtl/>
          <w:lang w:bidi="fa-IR"/>
        </w:rPr>
        <w:t xml:space="preserve"> ».</w:t>
      </w:r>
      <w:r w:rsidRPr="005D642E">
        <w:rPr>
          <w:rtl/>
          <w:lang w:bidi="fa-IR"/>
        </w:rPr>
        <w:t xml:space="preserve"> </w:t>
      </w:r>
      <w:r w:rsidRPr="007C12DB">
        <w:rPr>
          <w:rStyle w:val="libFootnotenumChar"/>
          <w:rtl/>
        </w:rPr>
        <w:t>(16)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الميّت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السَلُّ والإسلال : انتزاع ا</w:t>
      </w:r>
      <w:r w:rsidR="00A52599">
        <w:rPr>
          <w:rtl/>
        </w:rPr>
        <w:t>لشي‌ء وإخراجه في رفق. قال العل</w:t>
      </w:r>
      <w:r w:rsidR="00A52599">
        <w:rPr>
          <w:rFonts w:hint="cs"/>
          <w:rtl/>
        </w:rPr>
        <w:t>ّ</w:t>
      </w:r>
      <w:r w:rsidR="00A52599">
        <w:rPr>
          <w:rtl/>
        </w:rPr>
        <w:t>ا</w:t>
      </w:r>
      <w:r w:rsidR="00E3253D" w:rsidRPr="005D642E">
        <w:rPr>
          <w:rtl/>
        </w:rPr>
        <w:t xml:space="preserve">مة المجلسي : « قوله </w:t>
      </w:r>
      <w:r w:rsidR="00E3253D" w:rsidRPr="00897FFA">
        <w:rPr>
          <w:rStyle w:val="libFootnoteAlaemChar"/>
          <w:rtl/>
        </w:rPr>
        <w:t>عليه‌السلام</w:t>
      </w:r>
      <w:r w:rsidR="00E3253D" w:rsidRPr="005D642E">
        <w:rPr>
          <w:rtl/>
        </w:rPr>
        <w:t xml:space="preserve"> : فسلّه إلخ ، أي اجذبه من قبل الرجلين إلى القبر برفق وتأنّ</w:t>
      </w:r>
      <w:r w:rsidR="00E3253D">
        <w:rPr>
          <w:rtl/>
        </w:rPr>
        <w:t xml:space="preserve"> ».</w:t>
      </w:r>
      <w:r w:rsidR="00E3253D" w:rsidRPr="005D642E">
        <w:rPr>
          <w:rtl/>
        </w:rPr>
        <w:t xml:space="preserve"> راجع : </w:t>
      </w:r>
      <w:r w:rsidR="00E3253D" w:rsidRPr="002F4D34">
        <w:rPr>
          <w:rStyle w:val="libFootnoteBoldChar"/>
          <w:rtl/>
        </w:rPr>
        <w:t>لسان العرب</w:t>
      </w:r>
      <w:r w:rsidR="00E3253D" w:rsidRPr="005D642E">
        <w:rPr>
          <w:rtl/>
        </w:rPr>
        <w:t xml:space="preserve"> ، ج 11 ، ص 338 ؛ </w:t>
      </w:r>
      <w:r w:rsidR="00E3253D" w:rsidRPr="002F4D34">
        <w:rPr>
          <w:rStyle w:val="libFootnoteBoldChar"/>
          <w:rtl/>
        </w:rPr>
        <w:t>مرآة العقول</w:t>
      </w:r>
      <w:r w:rsidR="00E3253D" w:rsidRPr="005D642E">
        <w:rPr>
          <w:rtl/>
        </w:rPr>
        <w:t xml:space="preserve"> ، ج 14 ، ص 92.</w:t>
      </w:r>
    </w:p>
    <w:tbl>
      <w:tblPr>
        <w:tblStyle w:val="TableGrid"/>
        <w:bidiVisual/>
        <w:tblW w:w="0" w:type="auto"/>
        <w:tblLook w:val="04A0" w:firstRow="1" w:lastRow="0" w:firstColumn="1" w:lastColumn="0" w:noHBand="0" w:noVBand="1"/>
      </w:tblPr>
      <w:tblGrid>
        <w:gridCol w:w="4006"/>
        <w:gridCol w:w="4006"/>
      </w:tblGrid>
      <w:tr w:rsidR="00897FFA" w:rsidTr="00897FFA">
        <w:tc>
          <w:tcPr>
            <w:tcW w:w="4006" w:type="dxa"/>
          </w:tcPr>
          <w:p w:rsidR="00897FFA" w:rsidRDefault="00897FFA" w:rsidP="00E3253D">
            <w:pPr>
              <w:pStyle w:val="libFootnote0"/>
              <w:rPr>
                <w:rStyle w:val="libFootnote0Char"/>
                <w:rtl/>
              </w:rPr>
            </w:pPr>
            <w:r w:rsidRPr="0042621E">
              <w:rPr>
                <w:rStyle w:val="libFootnote0Char"/>
                <w:rtl/>
              </w:rPr>
              <w:t>(3).</w:t>
            </w:r>
            <w:r w:rsidRPr="005D642E">
              <w:rPr>
                <w:rtl/>
              </w:rPr>
              <w:t xml:space="preserve"> في « ظ » وحاشية « بس » : « رجله</w:t>
            </w:r>
            <w:r>
              <w:rPr>
                <w:rtl/>
              </w:rPr>
              <w:t xml:space="preserve"> ».</w:t>
            </w:r>
          </w:p>
        </w:tc>
        <w:tc>
          <w:tcPr>
            <w:tcW w:w="4006" w:type="dxa"/>
          </w:tcPr>
          <w:p w:rsidR="00897FFA" w:rsidRDefault="00897FFA" w:rsidP="00E3253D">
            <w:pPr>
              <w:pStyle w:val="libFootnote0"/>
              <w:rPr>
                <w:rStyle w:val="libFootnote0Char"/>
                <w:rtl/>
              </w:rPr>
            </w:pPr>
            <w:r w:rsidRPr="0042621E">
              <w:rPr>
                <w:rStyle w:val="libFootnote0Char"/>
                <w:rtl/>
              </w:rPr>
              <w:t>(4).</w:t>
            </w:r>
            <w:r w:rsidRPr="005D642E">
              <w:rPr>
                <w:rtl/>
              </w:rPr>
              <w:t xml:space="preserve"> في الوافي </w:t>
            </w:r>
            <w:r w:rsidRPr="00B60612">
              <w:rPr>
                <w:rStyle w:val="libFootnoteBoldChar"/>
                <w:rtl/>
              </w:rPr>
              <w:t>والتهذيب</w:t>
            </w:r>
            <w:r w:rsidRPr="005D642E">
              <w:rPr>
                <w:rtl/>
              </w:rPr>
              <w:t xml:space="preserve"> : + « وبالله</w:t>
            </w:r>
            <w:r>
              <w:rPr>
                <w:rtl/>
              </w:rPr>
              <w:t xml:space="preserve"> ».</w:t>
            </w:r>
          </w:p>
        </w:tc>
      </w:tr>
    </w:tbl>
    <w:p w:rsidR="00E3253D" w:rsidRPr="005D642E" w:rsidRDefault="0042621E" w:rsidP="009D6060">
      <w:pPr>
        <w:pStyle w:val="libFootnote0"/>
        <w:rPr>
          <w:rtl/>
          <w:lang w:bidi="fa-IR"/>
        </w:rPr>
      </w:pPr>
      <w:r w:rsidRPr="0042621E">
        <w:rPr>
          <w:rStyle w:val="libFootnote0Char"/>
          <w:rtl/>
        </w:rPr>
        <w:t>(5).</w:t>
      </w:r>
      <w:r w:rsidR="00E3253D" w:rsidRPr="005D642E">
        <w:rPr>
          <w:rtl/>
        </w:rPr>
        <w:t xml:space="preserve"> في « ظ ، بث » : « افتح له</w:t>
      </w:r>
      <w:r w:rsidR="00E3253D">
        <w:rPr>
          <w:rtl/>
        </w:rPr>
        <w:t xml:space="preserve"> ».</w:t>
      </w:r>
      <w:r w:rsidR="00E3253D" w:rsidRPr="005D642E">
        <w:rPr>
          <w:rtl/>
        </w:rPr>
        <w:t xml:space="preserve"> </w:t>
      </w:r>
      <w:r w:rsidR="00E3253D">
        <w:rPr>
          <w:rtl/>
        </w:rPr>
        <w:t>و «</w:t>
      </w:r>
      <w:r w:rsidR="00E3253D" w:rsidRPr="005D642E">
        <w:rPr>
          <w:rtl/>
        </w:rPr>
        <w:t xml:space="preserve"> افسح له » ، أي وَسِّعْ له وأوسعْ له ؛ من الفُسحة بمعنى السعة. راجع : </w:t>
      </w:r>
      <w:r w:rsidR="00E3253D" w:rsidRPr="002F4D34">
        <w:rPr>
          <w:rStyle w:val="libFootnoteBoldChar"/>
          <w:rtl/>
        </w:rPr>
        <w:t>الصحاح</w:t>
      </w:r>
      <w:r w:rsidR="009D6060">
        <w:rPr>
          <w:rtl/>
        </w:rPr>
        <w:t>،ج 1،</w:t>
      </w:r>
      <w:r w:rsidR="00E3253D" w:rsidRPr="005D642E">
        <w:rPr>
          <w:rtl/>
        </w:rPr>
        <w:t xml:space="preserve">ص 391 ؛ </w:t>
      </w:r>
      <w:r w:rsidR="00E3253D" w:rsidRPr="002F4D34">
        <w:rPr>
          <w:rStyle w:val="libFootnoteBoldChar"/>
          <w:rtl/>
        </w:rPr>
        <w:t>النهاية</w:t>
      </w:r>
      <w:r w:rsidR="009D6060">
        <w:rPr>
          <w:rtl/>
        </w:rPr>
        <w:t>،ج 3،ص 445(فسح</w:t>
      </w:r>
      <w:r w:rsidR="00E3253D" w:rsidRPr="005D642E">
        <w:rPr>
          <w:rtl/>
        </w:rPr>
        <w:t>)</w:t>
      </w:r>
      <w:r w:rsidR="00E3253D">
        <w:rPr>
          <w:rtl/>
        </w:rPr>
        <w:t>.</w:t>
      </w:r>
      <w:r w:rsidRPr="0042621E">
        <w:rPr>
          <w:rStyle w:val="libFootnote0Char"/>
          <w:rtl/>
        </w:rPr>
        <w:t>(6).</w:t>
      </w:r>
      <w:r w:rsidR="00E3253D" w:rsidRPr="005D642E">
        <w:rPr>
          <w:rtl/>
        </w:rPr>
        <w:t xml:space="preserve"> في التهذيب : + « محمّد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897FFA">
        <w:rPr>
          <w:rStyle w:val="libFootnoteAlaemChar"/>
          <w:rtl/>
        </w:rPr>
        <w:t>عليه‌السلام</w:t>
      </w:r>
      <w:r w:rsidR="00E3253D" w:rsidRPr="005D642E">
        <w:rPr>
          <w:rtl/>
        </w:rPr>
        <w:t xml:space="preserve"> : وقل كما قلت ، يحتمل صيغة الخطاب والتكلّم</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غ » : « في حسناته</w:t>
      </w:r>
      <w:r w:rsidR="00E3253D">
        <w:rPr>
          <w:rtl/>
        </w:rPr>
        <w:t xml:space="preserve"> ».</w:t>
      </w:r>
    </w:p>
    <w:p w:rsidR="00E3253D" w:rsidRPr="005D642E" w:rsidRDefault="0042621E" w:rsidP="009D6060">
      <w:pPr>
        <w:pStyle w:val="libFootnote0"/>
        <w:rPr>
          <w:rtl/>
          <w:lang w:bidi="fa-IR"/>
        </w:rPr>
      </w:pPr>
      <w:r w:rsidRPr="0042621E">
        <w:rPr>
          <w:rStyle w:val="libFootnote0Char"/>
          <w:rtl/>
        </w:rPr>
        <w:t>(9).</w:t>
      </w:r>
      <w:r w:rsidR="00E3253D" w:rsidRPr="005D642E">
        <w:rPr>
          <w:rtl/>
        </w:rPr>
        <w:t xml:space="preserve"> في « جن » : « عن سيّئاته » بدل « عنه</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ثمّ اعلم أنّه سقط هنا قوله : وتقبّل منه ، ويمكن أن يكون‌سهواً من الرواة أو اختصاراً منه </w:t>
      </w:r>
      <w:r w:rsidR="00E3253D" w:rsidRPr="00897FFA">
        <w:rPr>
          <w:rStyle w:val="libFootnoteAlaemChar"/>
          <w:rtl/>
        </w:rPr>
        <w:t>عليه‌السلام</w:t>
      </w:r>
      <w:r w:rsidR="00E3253D">
        <w:rPr>
          <w:rtl/>
        </w:rPr>
        <w:t xml:space="preserve"> ».</w:t>
      </w:r>
      <w:r w:rsidR="009D6060">
        <w:rPr>
          <w:rFonts w:hint="cs"/>
          <w:rtl/>
        </w:rPr>
        <w:t xml:space="preserve">     </w:t>
      </w:r>
      <w:r w:rsidRPr="0042621E">
        <w:rPr>
          <w:rStyle w:val="libFootnote0Char"/>
          <w:rtl/>
        </w:rPr>
        <w:t>(10).</w:t>
      </w:r>
      <w:r w:rsidR="009D6060">
        <w:rPr>
          <w:rtl/>
        </w:rPr>
        <w:t xml:space="preserve"> في«بث،بس،جس،جن</w:t>
      </w:r>
      <w:r w:rsidR="00E3253D" w:rsidRPr="005D642E">
        <w:rPr>
          <w:rtl/>
        </w:rPr>
        <w:t>»</w:t>
      </w:r>
      <w:r w:rsidR="00B60612" w:rsidRPr="00B60612">
        <w:rPr>
          <w:rStyle w:val="libFootnoteBoldChar"/>
          <w:rtl/>
        </w:rPr>
        <w:t>والتهذيب</w:t>
      </w:r>
      <w:r w:rsidR="009D6060">
        <w:rPr>
          <w:rtl/>
        </w:rPr>
        <w:t>:</w:t>
      </w:r>
      <w:r w:rsidR="00E3253D" w:rsidRPr="005D642E">
        <w:rPr>
          <w:rtl/>
        </w:rPr>
        <w:t>« إذا دخل</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الميّت</w:t>
      </w:r>
      <w:r w:rsidR="00E3253D">
        <w:rPr>
          <w:rtl/>
        </w:rPr>
        <w:t xml:space="preserve"> ».</w:t>
      </w:r>
    </w:p>
    <w:p w:rsidR="00E3253D" w:rsidRPr="005D642E" w:rsidRDefault="0042621E" w:rsidP="00EA3D27">
      <w:pPr>
        <w:pStyle w:val="libFootnote0"/>
        <w:rPr>
          <w:rtl/>
          <w:lang w:bidi="fa-IR"/>
        </w:rPr>
      </w:pPr>
      <w:r w:rsidRPr="0042621E">
        <w:rPr>
          <w:rStyle w:val="libFootnote0Char"/>
          <w:rtl/>
        </w:rPr>
        <w:t>(12).</w:t>
      </w:r>
      <w:r w:rsidR="00E3253D" w:rsidRPr="005D642E">
        <w:rPr>
          <w:rtl/>
        </w:rPr>
        <w:t xml:space="preserve"> « جاف الأرض » ، أي باعدها ؛ من الجفاء ، وهو البُعد عن الشي‌ء ، يقال : جفاه : إذا بَعُدَ عنه ، وأجفاه : إذا أبعده ، وجافاه : إذا باعده. والمعنى</w:t>
      </w:r>
      <w:r w:rsidR="00E3253D">
        <w:rPr>
          <w:rtl/>
        </w:rPr>
        <w:t xml:space="preserve"> </w:t>
      </w:r>
      <w:r w:rsidR="007642BC">
        <w:rPr>
          <w:rtl/>
        </w:rPr>
        <w:t>-</w:t>
      </w:r>
      <w:r w:rsidR="00E3253D">
        <w:rPr>
          <w:rtl/>
        </w:rPr>
        <w:t xml:space="preserve"> </w:t>
      </w:r>
      <w:r w:rsidR="009D6060">
        <w:rPr>
          <w:rtl/>
        </w:rPr>
        <w:t>على ما قال العل</w:t>
      </w:r>
      <w:r w:rsidR="009D6060">
        <w:rPr>
          <w:rFonts w:hint="cs"/>
          <w:rtl/>
        </w:rPr>
        <w:t>ّ</w:t>
      </w:r>
      <w:r w:rsidR="009D6060">
        <w:rPr>
          <w:rtl/>
        </w:rPr>
        <w:t>ا</w:t>
      </w:r>
      <w:r w:rsidR="00E3253D" w:rsidRPr="005D642E">
        <w:rPr>
          <w:rtl/>
        </w:rPr>
        <w:t>مة المجلسي</w:t>
      </w:r>
      <w:r w:rsidR="00E3253D">
        <w:rPr>
          <w:rtl/>
        </w:rPr>
        <w:t xml:space="preserve"> </w:t>
      </w:r>
      <w:r w:rsidR="007642BC">
        <w:rPr>
          <w:rtl/>
        </w:rPr>
        <w:t>-</w:t>
      </w:r>
      <w:r w:rsidR="00E3253D">
        <w:rPr>
          <w:rtl/>
        </w:rPr>
        <w:t xml:space="preserve"> </w:t>
      </w:r>
      <w:r w:rsidR="00E3253D" w:rsidRPr="005D642E">
        <w:rPr>
          <w:rtl/>
        </w:rPr>
        <w:t xml:space="preserve">: أبعد الأرض عن جنبيه ولا تضيّق القبر عليه. راجع : </w:t>
      </w:r>
      <w:r w:rsidR="00E3253D" w:rsidRPr="002F4D34">
        <w:rPr>
          <w:rStyle w:val="libFootnoteBoldChar"/>
          <w:rtl/>
        </w:rPr>
        <w:t>النهاية</w:t>
      </w:r>
      <w:r w:rsidR="00E3253D" w:rsidRPr="005D642E">
        <w:rPr>
          <w:rtl/>
        </w:rPr>
        <w:t xml:space="preserve"> ، ج 1 ، ص 280 ( جفا )</w:t>
      </w:r>
      <w:r w:rsidR="00E3253D">
        <w:rPr>
          <w:rtl/>
        </w:rPr>
        <w:t>.</w:t>
      </w:r>
      <w:r w:rsidR="00EA3D27">
        <w:rPr>
          <w:rFonts w:hint="cs"/>
          <w:rtl/>
        </w:rPr>
        <w:t xml:space="preserve">         </w:t>
      </w:r>
      <w:r w:rsidRPr="0042621E">
        <w:rPr>
          <w:rStyle w:val="libFootnote0Char"/>
          <w:rtl/>
        </w:rPr>
        <w:t>(13).</w:t>
      </w:r>
      <w:r w:rsidR="00E3253D" w:rsidRPr="005D642E">
        <w:rPr>
          <w:rtl/>
        </w:rPr>
        <w:t xml:space="preserve"> في حاشية « بح » : « جنبه</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بخ ، بف » </w:t>
      </w:r>
      <w:r w:rsidR="000D749A" w:rsidRPr="000D749A">
        <w:rPr>
          <w:rStyle w:val="libFootnoteBoldChar"/>
          <w:rtl/>
        </w:rPr>
        <w:t>والوافي</w:t>
      </w:r>
      <w:r w:rsidR="00E3253D" w:rsidRPr="005D642E">
        <w:rPr>
          <w:rtl/>
        </w:rPr>
        <w:t xml:space="preserve"> : « وصعّد عمله</w:t>
      </w:r>
      <w:r w:rsidR="00E3253D">
        <w:rPr>
          <w:rtl/>
        </w:rPr>
        <w:t xml:space="preserve"> ».</w:t>
      </w:r>
      <w:r w:rsidR="00EA3D27">
        <w:rPr>
          <w:rtl/>
        </w:rPr>
        <w:t xml:space="preserve"> وقال العل</w:t>
      </w:r>
      <w:r w:rsidR="00EA3D27">
        <w:rPr>
          <w:rFonts w:hint="cs"/>
          <w:rtl/>
        </w:rPr>
        <w:t>ّ</w:t>
      </w:r>
      <w:r w:rsidR="00EA3D27">
        <w:rPr>
          <w:rtl/>
        </w:rPr>
        <w:t>ا</w:t>
      </w:r>
      <w:r w:rsidR="00E3253D" w:rsidRPr="005D642E">
        <w:rPr>
          <w:rtl/>
        </w:rPr>
        <w:t xml:space="preserve">مة المجلسي : « قوله </w:t>
      </w:r>
      <w:r w:rsidR="00E3253D" w:rsidRPr="009D6060">
        <w:rPr>
          <w:rStyle w:val="libFootnoteAlaemChar"/>
          <w:rtl/>
        </w:rPr>
        <w:t>عليه‌السلام</w:t>
      </w:r>
      <w:r w:rsidR="00E3253D" w:rsidRPr="005D642E">
        <w:rPr>
          <w:rtl/>
        </w:rPr>
        <w:t xml:space="preserve"> : وصاعد عمله ، أي صعّده واجعله صاعداً إلى ديوان المقرّبين والأبرار ، ولم أر فيما عندي من كتب اللغة تعديته بهذا الباب. وفي </w:t>
      </w:r>
      <w:r w:rsidR="00E3253D" w:rsidRPr="002F4D34">
        <w:rPr>
          <w:rStyle w:val="libFootnoteBoldChar"/>
          <w:rtl/>
        </w:rPr>
        <w:t>الفقيه</w:t>
      </w:r>
      <w:r w:rsidR="00E3253D" w:rsidRPr="005D642E">
        <w:rPr>
          <w:rtl/>
        </w:rPr>
        <w:t xml:space="preserve"> : وصعّد إليك روحه</w:t>
      </w:r>
      <w:r w:rsidR="00E3253D">
        <w:rPr>
          <w:rtl/>
        </w:rPr>
        <w:t xml:space="preserve"> ».</w:t>
      </w:r>
      <w:r w:rsidR="00E3253D" w:rsidRPr="005D642E">
        <w:rPr>
          <w:rtl/>
        </w:rPr>
        <w:t xml:space="preserve"> بل عدّي بالهمزة والتشديد ولكن لم نجد منهما معنى مناسباً لما نحن فيه. راجع : </w:t>
      </w:r>
      <w:r w:rsidR="00E3253D" w:rsidRPr="002F4D34">
        <w:rPr>
          <w:rStyle w:val="libFootnoteBoldChar"/>
          <w:rtl/>
        </w:rPr>
        <w:t>لسان العرب</w:t>
      </w:r>
      <w:r w:rsidR="00E3253D" w:rsidRPr="005D642E">
        <w:rPr>
          <w:rtl/>
        </w:rPr>
        <w:t xml:space="preserve"> ، ج 3 ، ص 251</w:t>
      </w:r>
      <w:r w:rsidR="00E3253D">
        <w:rPr>
          <w:rtl/>
        </w:rPr>
        <w:t xml:space="preserve"> </w:t>
      </w:r>
      <w:r w:rsidR="007642BC">
        <w:rPr>
          <w:rtl/>
        </w:rPr>
        <w:t>-</w:t>
      </w:r>
      <w:r w:rsidR="00E3253D">
        <w:rPr>
          <w:rtl/>
        </w:rPr>
        <w:t xml:space="preserve"> </w:t>
      </w:r>
      <w:r w:rsidR="00E3253D" w:rsidRPr="005D642E">
        <w:rPr>
          <w:rtl/>
        </w:rPr>
        <w:t>256 ( صعد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لقّاه الشي‌ء وألقاه إليه وبه ، أي طرحه إليه وأبلغه إيّاه. راجع : </w:t>
      </w:r>
      <w:r w:rsidR="00E3253D" w:rsidRPr="002F4D34">
        <w:rPr>
          <w:rStyle w:val="libFootnoteBoldChar"/>
          <w:rtl/>
        </w:rPr>
        <w:t>لسان العرب</w:t>
      </w:r>
      <w:r w:rsidR="00E3253D" w:rsidRPr="005D642E">
        <w:rPr>
          <w:rtl/>
        </w:rPr>
        <w:t xml:space="preserve"> ، ج 15 ، ص 255 ( لقا )</w:t>
      </w:r>
      <w:r w:rsidR="00E3253D">
        <w:rPr>
          <w:rtl/>
        </w:rPr>
        <w:t>.</w:t>
      </w:r>
    </w:p>
    <w:p w:rsidR="00E3253D" w:rsidRPr="005D642E" w:rsidRDefault="00E3253D" w:rsidP="00E3253D">
      <w:pPr>
        <w:pStyle w:val="libFootnote0"/>
        <w:rPr>
          <w:rtl/>
          <w:lang w:bidi="fa-IR"/>
        </w:rPr>
      </w:pPr>
      <w:r w:rsidRPr="005D642E">
        <w:rPr>
          <w:rtl/>
        </w:rPr>
        <w:t>(1</w:t>
      </w:r>
      <w:r>
        <w:rPr>
          <w:rtl/>
        </w:rPr>
        <w:t>6)</w:t>
      </w:r>
      <w:r w:rsidRPr="005D642E">
        <w:rPr>
          <w:rtl/>
        </w:rPr>
        <w:t xml:space="preserve"> </w:t>
      </w:r>
      <w:r w:rsidRPr="002F4D34">
        <w:rPr>
          <w:rStyle w:val="libFootnoteBoldChar"/>
          <w:rtl/>
        </w:rPr>
        <w:t>التهذيب</w:t>
      </w:r>
      <w:r w:rsidRPr="005D642E">
        <w:rPr>
          <w:rtl/>
        </w:rPr>
        <w:t xml:space="preserve"> ، ج 1 ، ص 315 ، ح 915 ، بسنده عن الكليني. </w:t>
      </w:r>
      <w:r w:rsidRPr="002F4D34">
        <w:rPr>
          <w:rStyle w:val="libFootnoteBoldChar"/>
          <w:rtl/>
        </w:rPr>
        <w:t>الجعفريّات</w:t>
      </w:r>
      <w:r w:rsidRPr="005D642E">
        <w:rPr>
          <w:rtl/>
        </w:rPr>
        <w:t xml:space="preserve"> ، ص 202 ، بسند آخر عن جعفر بن </w:t>
      </w:r>
      <w:r w:rsidR="00CD32A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065ED4">
        <w:rPr>
          <w:rtl/>
        </w:rPr>
        <w:t>4550</w:t>
      </w:r>
      <w:r w:rsidRPr="00246318">
        <w:rPr>
          <w:rStyle w:val="libBold2Char"/>
          <w:rtl/>
        </w:rPr>
        <w:t xml:space="preserve"> / 2.</w:t>
      </w:r>
      <w:r w:rsidRPr="005D642E">
        <w:rPr>
          <w:rtl/>
          <w:lang w:bidi="fa-IR"/>
        </w:rPr>
        <w:t xml:space="preserve"> مُحَمَّدُ بْنُ يَحْيى ، عَنْ أَحْمَدَ بْنِ مُحَمَّدِ بْنِ عِيسى ، عَنِ الْحُسَيْنِ بْنِ سَعِيدٍ وَمُحَمَّدِ بْنِ خَالِدٍ جَمِيعاً ، عَنِ النَّضْرِ بْنِ سُوَيْدٍ ، عَنْ يَحْيَى بْنِ عِمْرَانَ ، عَنْ هَارُونَ بْنِ خَارِجَةَ ، عَنْ أَبِي بَصِيرٍ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س</w:t>
      </w:r>
      <w:r>
        <w:rPr>
          <w:rtl/>
          <w:lang w:bidi="fa-IR"/>
        </w:rPr>
        <w:t>َلَلْتَ الْمَيِّتَ ، فَقُلْ : "</w:t>
      </w:r>
      <w:r w:rsidRPr="005D642E">
        <w:rPr>
          <w:rtl/>
          <w:lang w:bidi="fa-IR"/>
        </w:rPr>
        <w:t xml:space="preserve">بِسْمِ اللهِ وَبِاللهِ ، وَعَلى مِلَّةِ رَسُولِ اللهِ </w:t>
      </w:r>
      <w:r w:rsidR="0042621E" w:rsidRPr="0042621E">
        <w:rPr>
          <w:rStyle w:val="libAlaemChar"/>
          <w:rtl/>
        </w:rPr>
        <w:t>صلى‌الله‌عليه‌وآله</w:t>
      </w:r>
      <w:r w:rsidRPr="005D642E">
        <w:rPr>
          <w:rtl/>
          <w:lang w:bidi="fa-IR"/>
        </w:rPr>
        <w:t xml:space="preserve"> ، الل</w:t>
      </w:r>
      <w:r w:rsidR="00F74DBA">
        <w:rPr>
          <w:rFonts w:hint="cs"/>
          <w:rtl/>
          <w:lang w:bidi="fa-IR"/>
        </w:rPr>
        <w:t>ّ</w:t>
      </w:r>
      <w:r w:rsidRPr="005D642E">
        <w:rPr>
          <w:rtl/>
          <w:lang w:bidi="fa-IR"/>
        </w:rPr>
        <w:t>هُمَّ إِلى رَحْمَتِكَ ، لَا</w:t>
      </w:r>
      <w:r>
        <w:rPr>
          <w:rFonts w:hint="cs"/>
          <w:rtl/>
          <w:lang w:bidi="fa-IR"/>
        </w:rPr>
        <w:t xml:space="preserve"> </w:t>
      </w:r>
      <w:r w:rsidRPr="005D642E">
        <w:rPr>
          <w:rtl/>
          <w:lang w:bidi="fa-IR"/>
        </w:rPr>
        <w:t xml:space="preserve">إِلى عَذَابِكَ" ، فَإِذَا </w:t>
      </w:r>
      <w:r w:rsidRPr="007C12DB">
        <w:rPr>
          <w:rStyle w:val="libFootnotenumChar"/>
          <w:rtl/>
        </w:rPr>
        <w:t>(1)</w:t>
      </w:r>
      <w:r w:rsidRPr="005D642E">
        <w:rPr>
          <w:rtl/>
          <w:lang w:bidi="fa-IR"/>
        </w:rPr>
        <w:t xml:space="preserve"> وَضَعْتَهُ فِي اللَّحْدِ ، فَضَعْ يَدَكَ </w:t>
      </w:r>
      <w:r w:rsidRPr="007C12DB">
        <w:rPr>
          <w:rStyle w:val="libFootnotenumChar"/>
          <w:rtl/>
        </w:rPr>
        <w:t>(2)</w:t>
      </w:r>
      <w:r w:rsidRPr="005D642E">
        <w:rPr>
          <w:rtl/>
          <w:lang w:bidi="fa-IR"/>
        </w:rPr>
        <w:t xml:space="preserve"> عَلى أُذُنِهِ </w:t>
      </w:r>
      <w:r w:rsidRPr="007C12DB">
        <w:rPr>
          <w:rStyle w:val="libFootnotenumChar"/>
          <w:rtl/>
        </w:rPr>
        <w:t>(3)</w:t>
      </w:r>
      <w:r w:rsidRPr="005D642E">
        <w:rPr>
          <w:rtl/>
          <w:lang w:bidi="fa-IR"/>
        </w:rPr>
        <w:t xml:space="preserve"> ، فَقُلِ </w:t>
      </w:r>
      <w:r w:rsidRPr="007C12DB">
        <w:rPr>
          <w:rStyle w:val="libFootnotenumChar"/>
          <w:rtl/>
        </w:rPr>
        <w:t>(4)</w:t>
      </w:r>
      <w:r w:rsidRPr="005D642E">
        <w:rPr>
          <w:rtl/>
          <w:lang w:bidi="fa-IR"/>
        </w:rPr>
        <w:t xml:space="preserve"> : اللهُ رَبُّكَ ، وَالْإِسْلَامُ دِينُكَ ، وَمُحَمَّدٌ نَبِيُّكَ ، وَالْقُرْآنُ كِتَابُكَ ، وَعَلِيٌّ إِمَامُكَ</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065ED4">
        <w:rPr>
          <w:rtl/>
        </w:rPr>
        <w:t>4551</w:t>
      </w:r>
      <w:r w:rsidRPr="00246318">
        <w:rPr>
          <w:rStyle w:val="libBold2Char"/>
          <w:rtl/>
        </w:rPr>
        <w:t xml:space="preserve"> / 3.</w:t>
      </w:r>
      <w:r w:rsidRPr="005D642E">
        <w:rPr>
          <w:rtl/>
          <w:lang w:bidi="fa-IR"/>
        </w:rPr>
        <w:t xml:space="preserve"> عِدَّةٌ مِنْ أَصْحَابِنَا ، عَنْ سَهْلِ بْنِ زِيَادٍ ، عَنِ الْحَسَنِ بْنِ مَحْبُوبٍ ، عَنِ الْعَلَاءِ بْنِ رَزِينٍ ، عَنْ مُحَمَّدِ بْنِ مُسْلِمٍ ، قَالَ :</w:t>
      </w:r>
    </w:p>
    <w:p w:rsidR="00E3253D" w:rsidRPr="005D642E" w:rsidRDefault="00E3253D" w:rsidP="00E3253D">
      <w:pPr>
        <w:pStyle w:val="libNormal"/>
        <w:rPr>
          <w:rtl/>
          <w:lang w:bidi="fa-IR"/>
        </w:rPr>
      </w:pPr>
      <w:r w:rsidRPr="005D642E">
        <w:rPr>
          <w:rtl/>
          <w:lang w:bidi="fa-IR"/>
        </w:rPr>
        <w:t xml:space="preserve">سَأَلْتُ أَحَدَهُمَا </w:t>
      </w:r>
      <w:r w:rsidRPr="00AC51C5">
        <w:rPr>
          <w:rStyle w:val="libAlaemChar"/>
          <w:rtl/>
        </w:rPr>
        <w:t>عليهما‌السلام</w:t>
      </w:r>
      <w:r w:rsidRPr="005D642E">
        <w:rPr>
          <w:rtl/>
          <w:lang w:bidi="fa-IR"/>
        </w:rPr>
        <w:t xml:space="preserve"> عَنِ الْمَيِّتِ</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F74DBA" w:rsidP="00E3253D">
      <w:pPr>
        <w:pStyle w:val="libFootnote0"/>
        <w:rPr>
          <w:rtl/>
          <w:lang w:bidi="fa-IR"/>
        </w:rPr>
      </w:pPr>
      <w:r>
        <w:rPr>
          <w:rFonts w:hint="cs"/>
          <w:rtl/>
        </w:rPr>
        <w:t xml:space="preserve">= </w:t>
      </w:r>
      <w:r w:rsidR="00E3253D" w:rsidRPr="005D642E">
        <w:rPr>
          <w:rtl/>
        </w:rPr>
        <w:t xml:space="preserve">محمّد ، عن آبائه ، عن عليّ </w:t>
      </w:r>
      <w:r w:rsidR="00E3253D" w:rsidRPr="000674DB">
        <w:rPr>
          <w:rStyle w:val="libFootnoteAlaemChar"/>
          <w:rtl/>
        </w:rPr>
        <w:t>عليهم‌السلام</w:t>
      </w:r>
      <w:r w:rsidR="00E3253D" w:rsidRPr="005D642E">
        <w:rPr>
          <w:rtl/>
        </w:rPr>
        <w:t xml:space="preserve"> ، من قوله : « فإذا وضعته في القبر » إلى قوله : « ألحقه بنبيّه </w:t>
      </w:r>
      <w:r w:rsidR="0042621E" w:rsidRPr="000674DB">
        <w:rPr>
          <w:rStyle w:val="libFootnoteAlaemChar"/>
          <w:rtl/>
        </w:rPr>
        <w:t>صلى‌الله‌عليه‌وآله</w:t>
      </w:r>
      <w:r w:rsidR="00E3253D">
        <w:rPr>
          <w:rtl/>
        </w:rPr>
        <w:t xml:space="preserve"> ».</w:t>
      </w:r>
      <w:r w:rsidR="00E3253D" w:rsidRPr="005D642E">
        <w:rPr>
          <w:rtl/>
        </w:rPr>
        <w:t xml:space="preserve"> </w:t>
      </w:r>
      <w:r w:rsidR="00E3253D" w:rsidRPr="002F4D34">
        <w:rPr>
          <w:rStyle w:val="libFootnoteBoldChar"/>
          <w:rtl/>
        </w:rPr>
        <w:t>الفقيه</w:t>
      </w:r>
      <w:r w:rsidR="00E3253D" w:rsidRPr="005D642E">
        <w:rPr>
          <w:rtl/>
        </w:rPr>
        <w:t xml:space="preserve"> ، ج 1 ، ص 171 ، ذيل ح 499 ؛ </w:t>
      </w:r>
      <w:r w:rsidR="00E3253D" w:rsidRPr="002F4D34">
        <w:rPr>
          <w:rStyle w:val="libFootnoteBoldChar"/>
          <w:rtl/>
        </w:rPr>
        <w:t>فقه الرضا</w:t>
      </w:r>
      <w:r w:rsidR="00E3253D" w:rsidRPr="005D642E">
        <w:rPr>
          <w:rtl/>
        </w:rPr>
        <w:t xml:space="preserve"> </w:t>
      </w:r>
      <w:r w:rsidR="00E3253D" w:rsidRPr="000674DB">
        <w:rPr>
          <w:rStyle w:val="libFootnoteAlaemChar"/>
          <w:rtl/>
        </w:rPr>
        <w:t>عليه‌السلام</w:t>
      </w:r>
      <w:r w:rsidR="00E3253D" w:rsidRPr="005D642E">
        <w:rPr>
          <w:rtl/>
        </w:rPr>
        <w:t xml:space="preserve"> ، ص 185 ، إلى قوله : « واستغفر له ما استطعت » ؛ </w:t>
      </w:r>
      <w:r w:rsidR="00E3253D" w:rsidRPr="002F4D34">
        <w:rPr>
          <w:rStyle w:val="libFootnoteBoldChar"/>
          <w:rtl/>
        </w:rPr>
        <w:t>وفيه</w:t>
      </w:r>
      <w:r w:rsidR="00E3253D" w:rsidRPr="005D642E">
        <w:rPr>
          <w:rtl/>
        </w:rPr>
        <w:t xml:space="preserve"> ، ص 170 ، من قوله : « فإذا وضعته في القبر » إلى قوله : « على ملّة رسول الله </w:t>
      </w:r>
      <w:r w:rsidR="0042621E" w:rsidRPr="000674DB">
        <w:rPr>
          <w:rStyle w:val="libFootnoteAlaemChar"/>
          <w:rtl/>
        </w:rPr>
        <w:t>صلى‌الله‌عليه‌وآله</w:t>
      </w:r>
      <w:r w:rsidR="00E3253D" w:rsidRPr="005D642E">
        <w:rPr>
          <w:rtl/>
        </w:rPr>
        <w:t xml:space="preserve"> » ، مع زيادة ، وفي الأربعة الأخيرة مع اختلاف يسير </w:t>
      </w:r>
      <w:r w:rsidR="000674DB">
        <w:rPr>
          <w:rFonts w:hint="cs"/>
          <w:rtl/>
        </w:rPr>
        <w:t>.</w:t>
      </w:r>
      <w:r w:rsidR="00E3253D" w:rsidRPr="002F4D34">
        <w:rPr>
          <w:rStyle w:val="libFootnoteBoldChar"/>
          <w:rtl/>
        </w:rPr>
        <w:t>الوافي</w:t>
      </w:r>
      <w:r w:rsidR="00E3253D" w:rsidRPr="005D642E">
        <w:rPr>
          <w:rtl/>
        </w:rPr>
        <w:t xml:space="preserve"> ، ج 24 ، ص 513 ، ح 24541 ؛ </w:t>
      </w:r>
      <w:r w:rsidR="00E3253D" w:rsidRPr="002F4D34">
        <w:rPr>
          <w:rStyle w:val="libFootnoteBoldChar"/>
          <w:rtl/>
        </w:rPr>
        <w:t>الوسائل</w:t>
      </w:r>
      <w:r w:rsidR="00E3253D" w:rsidRPr="005D642E">
        <w:rPr>
          <w:rtl/>
        </w:rPr>
        <w:t xml:space="preserve"> ، ج 3 ، ص 177 ، ح 3337 ؛ وج 3 ، ص 181 ، ح 3343 ، إلى قوله : « فسلّه من قبل رجليه</w:t>
      </w:r>
      <w:r w:rsidR="00E3253D">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جح » </w:t>
      </w:r>
      <w:r w:rsidR="00B60612" w:rsidRPr="00B60612">
        <w:rPr>
          <w:rStyle w:val="libFootnoteBoldChar"/>
          <w:rtl/>
        </w:rPr>
        <w:t>والتهذيب</w:t>
      </w:r>
      <w:r w:rsidR="00E3253D" w:rsidRPr="005D642E">
        <w:rPr>
          <w:rtl/>
        </w:rPr>
        <w:t xml:space="preserve"> ، ص 456 : « وإذا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فمك</w:t>
      </w:r>
      <w:r w:rsidR="00E3253D">
        <w:rPr>
          <w:rtl/>
        </w:rPr>
        <w:t xml:space="preserve"> ».</w:t>
      </w:r>
      <w:r w:rsidR="00E4541C">
        <w:rPr>
          <w:rtl/>
        </w:rPr>
        <w:t xml:space="preserve"> وقال العل</w:t>
      </w:r>
      <w:r w:rsidR="00E4541C">
        <w:rPr>
          <w:rFonts w:hint="cs"/>
          <w:rtl/>
        </w:rPr>
        <w:t>ّ</w:t>
      </w:r>
      <w:r w:rsidR="00E4541C">
        <w:rPr>
          <w:rtl/>
        </w:rPr>
        <w:t>ا</w:t>
      </w:r>
      <w:r w:rsidR="00E3253D" w:rsidRPr="005D642E">
        <w:rPr>
          <w:rtl/>
        </w:rPr>
        <w:t xml:space="preserve">مة المجلسي : « قوله </w:t>
      </w:r>
      <w:r w:rsidR="00E3253D" w:rsidRPr="000674DB">
        <w:rPr>
          <w:rStyle w:val="libFootnoteAlaemChar"/>
          <w:rtl/>
        </w:rPr>
        <w:t>عليه‌السلام</w:t>
      </w:r>
      <w:r w:rsidR="00E3253D" w:rsidRPr="005D642E">
        <w:rPr>
          <w:rtl/>
        </w:rPr>
        <w:t xml:space="preserve"> : فضع يدك ، الظاهر أنّ هذا تصحيف النسّاخ ، والصواب : فمك ، كما في التهذيب » وقرأ الشيخ البهائي أيضاً فمك ، ثمّ قال : « وما تضمّنه الحديث من وضع الملقّن فمه على ا</w:t>
      </w:r>
      <w:r w:rsidR="005270BD">
        <w:rPr>
          <w:rFonts w:hint="cs"/>
          <w:rtl/>
        </w:rPr>
        <w:t>ُ</w:t>
      </w:r>
      <w:r w:rsidR="00E3253D" w:rsidRPr="005D642E">
        <w:rPr>
          <w:rtl/>
        </w:rPr>
        <w:t>ذن الميّ</w:t>
      </w:r>
      <w:r w:rsidR="005270BD">
        <w:rPr>
          <w:rtl/>
        </w:rPr>
        <w:t>ت حال تلقينه ، الظاهر أنّه لئل</w:t>
      </w:r>
      <w:r w:rsidR="005270BD">
        <w:rPr>
          <w:rFonts w:hint="cs"/>
          <w:rtl/>
        </w:rPr>
        <w:t>ّ</w:t>
      </w:r>
      <w:r w:rsidR="005270BD">
        <w:rPr>
          <w:rtl/>
        </w:rPr>
        <w:t>ا</w:t>
      </w:r>
      <w:r w:rsidR="00E3253D" w:rsidRPr="005D642E">
        <w:rPr>
          <w:rtl/>
        </w:rPr>
        <w:t xml:space="preserve"> يسمع التلقين من عسى أن يكون حاضراً من أهل الخلاف فلو أمن سماعهم ، فالظاهر أنّه لا بأس بالتلقين جهراً</w:t>
      </w:r>
      <w:r w:rsidR="00E3253D">
        <w:rPr>
          <w:rtl/>
        </w:rPr>
        <w:t xml:space="preserve"> ».</w:t>
      </w:r>
      <w:r w:rsidR="00241B6A">
        <w:rPr>
          <w:rtl/>
        </w:rPr>
        <w:t xml:space="preserve"> والعل</w:t>
      </w:r>
      <w:r w:rsidR="00241B6A">
        <w:rPr>
          <w:rFonts w:hint="cs"/>
          <w:rtl/>
        </w:rPr>
        <w:t>ّ</w:t>
      </w:r>
      <w:r w:rsidR="00241B6A">
        <w:rPr>
          <w:rtl/>
        </w:rPr>
        <w:t>ا</w:t>
      </w:r>
      <w:r w:rsidR="00E3253D" w:rsidRPr="005D642E">
        <w:rPr>
          <w:rtl/>
        </w:rPr>
        <w:t>مة المجلسي ذكر نحوه وقال : « والأولى اتّباع المنقول</w:t>
      </w:r>
      <w:r w:rsidR="00E3253D">
        <w:rPr>
          <w:rtl/>
        </w:rPr>
        <w:t xml:space="preserve"> ».</w:t>
      </w:r>
      <w:r w:rsidR="00E3253D" w:rsidRPr="005D642E">
        <w:rPr>
          <w:rtl/>
        </w:rPr>
        <w:t xml:space="preserve"> راجع : </w:t>
      </w:r>
      <w:r w:rsidR="00E3253D" w:rsidRPr="002F4D34">
        <w:rPr>
          <w:rStyle w:val="libFootnoteBoldChar"/>
          <w:rtl/>
        </w:rPr>
        <w:t>الحبل المتين</w:t>
      </w:r>
      <w:r w:rsidR="00E3253D" w:rsidRPr="005D642E">
        <w:rPr>
          <w:rtl/>
        </w:rPr>
        <w:t xml:space="preserve"> ، ص 245.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 ص 456 : « أُذنيه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بف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ص 456 : « وقل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318 ، ح 924 ، بسنده عن الكليني. </w:t>
      </w:r>
      <w:r w:rsidR="00E3253D" w:rsidRPr="002F4D34">
        <w:rPr>
          <w:rStyle w:val="libFootnoteBoldChar"/>
          <w:rtl/>
        </w:rPr>
        <w:t>وفيه</w:t>
      </w:r>
      <w:r w:rsidR="00E3253D" w:rsidRPr="005D642E">
        <w:rPr>
          <w:rtl/>
        </w:rPr>
        <w:t xml:space="preserve"> ، ص 456 ، ح 1489 ، بسنده عن النضر بن سويد </w:t>
      </w:r>
      <w:r w:rsidR="0021333F">
        <w:rPr>
          <w:rFonts w:hint="cs"/>
          <w:rtl/>
        </w:rPr>
        <w:t>.</w:t>
      </w:r>
      <w:r w:rsidR="00E3253D" w:rsidRPr="002F4D34">
        <w:rPr>
          <w:rStyle w:val="libFootnoteBoldChar"/>
          <w:rtl/>
        </w:rPr>
        <w:t>الوافي</w:t>
      </w:r>
      <w:r w:rsidR="00E3253D" w:rsidRPr="005D642E">
        <w:rPr>
          <w:rtl/>
        </w:rPr>
        <w:t xml:space="preserve"> ، ج 25 ، ص 513 ، ح 24542 ؛ </w:t>
      </w:r>
      <w:r w:rsidR="00E3253D" w:rsidRPr="002F4D34">
        <w:rPr>
          <w:rStyle w:val="libFootnoteBoldChar"/>
          <w:rtl/>
        </w:rPr>
        <w:t>الوسائل</w:t>
      </w:r>
      <w:r w:rsidR="00E3253D" w:rsidRPr="005D642E">
        <w:rPr>
          <w:rtl/>
        </w:rPr>
        <w:t xml:space="preserve"> ، ج 3 ، ص 174 ، ح 3330.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فَقَالَ : « تَسُلُّهُ </w:t>
      </w:r>
      <w:r w:rsidRPr="007C12DB">
        <w:rPr>
          <w:rStyle w:val="libFootnotenumChar"/>
          <w:rtl/>
        </w:rPr>
        <w:t>(1)</w:t>
      </w:r>
      <w:r w:rsidRPr="005D642E">
        <w:rPr>
          <w:rtl/>
          <w:lang w:bidi="fa-IR"/>
        </w:rPr>
        <w:t xml:space="preserve"> مِنْ قِبَلِ الرِّجْلَيْنِ ، وَتُلْزِقُ </w:t>
      </w:r>
      <w:r w:rsidRPr="007C12DB">
        <w:rPr>
          <w:rStyle w:val="libFootnotenumChar"/>
          <w:rtl/>
        </w:rPr>
        <w:t>(2)</w:t>
      </w:r>
      <w:r w:rsidRPr="005D642E">
        <w:rPr>
          <w:rtl/>
          <w:lang w:bidi="fa-IR"/>
        </w:rPr>
        <w:t xml:space="preserve"> الْقَبْرَ بِالْأَرْضِ </w:t>
      </w:r>
      <w:r w:rsidRPr="007C12DB">
        <w:rPr>
          <w:rStyle w:val="libFootnotenumChar"/>
          <w:rtl/>
        </w:rPr>
        <w:t>(3)</w:t>
      </w:r>
      <w:r w:rsidRPr="005D642E">
        <w:rPr>
          <w:rtl/>
          <w:lang w:bidi="fa-IR"/>
        </w:rPr>
        <w:t xml:space="preserve"> إِلى </w:t>
      </w:r>
      <w:r w:rsidRPr="007C12DB">
        <w:rPr>
          <w:rStyle w:val="libFootnotenumChar"/>
          <w:rtl/>
        </w:rPr>
        <w:t>(4)</w:t>
      </w:r>
      <w:r w:rsidRPr="005D642E">
        <w:rPr>
          <w:rtl/>
          <w:lang w:bidi="fa-IR"/>
        </w:rPr>
        <w:t xml:space="preserve"> قَدْرِ أَرْبَعِ أَصَابِعَ مُفَرَّجَاتٍ ، وَتُرَبِّعُ </w:t>
      </w:r>
      <w:r w:rsidRPr="007C12DB">
        <w:rPr>
          <w:rStyle w:val="libFootnotenumChar"/>
          <w:rtl/>
        </w:rPr>
        <w:t>(5)</w:t>
      </w:r>
      <w:r w:rsidRPr="005D642E">
        <w:rPr>
          <w:rtl/>
          <w:lang w:bidi="fa-IR"/>
        </w:rPr>
        <w:t xml:space="preserve"> قَبْرَهُ</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065ED4">
        <w:rPr>
          <w:rtl/>
        </w:rPr>
        <w:t>4552</w:t>
      </w:r>
      <w:r w:rsidRPr="00246318">
        <w:rPr>
          <w:rStyle w:val="libBold2Char"/>
          <w:rtl/>
        </w:rPr>
        <w:t xml:space="preserve"> / 4.</w:t>
      </w:r>
      <w:r w:rsidRPr="005D642E">
        <w:rPr>
          <w:rtl/>
          <w:lang w:bidi="fa-IR"/>
        </w:rPr>
        <w:t xml:space="preserve"> سَهْلُ بْنُ زِيَادٍ </w:t>
      </w:r>
      <w:r w:rsidRPr="007C12DB">
        <w:rPr>
          <w:rStyle w:val="libFootnotenumChar"/>
          <w:rtl/>
        </w:rPr>
        <w:t>(7)</w:t>
      </w:r>
      <w:r w:rsidRPr="005D642E">
        <w:rPr>
          <w:rtl/>
          <w:lang w:bidi="fa-IR"/>
        </w:rPr>
        <w:t xml:space="preserve"> ، عَنْ مُحَمَّدِ بْنِ سِنَانٍ ، عَنْ مُحَمَّدِ بْنِ عَجْلَانَ :</w:t>
      </w:r>
    </w:p>
    <w:p w:rsidR="00E3253D" w:rsidRPr="005D642E" w:rsidRDefault="00E3253D" w:rsidP="0021333F">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سُلَّهُ سَلاًّ </w:t>
      </w:r>
      <w:r w:rsidRPr="007C12DB">
        <w:rPr>
          <w:rStyle w:val="libFootnotenumChar"/>
          <w:rtl/>
        </w:rPr>
        <w:t>(8)</w:t>
      </w:r>
      <w:r w:rsidRPr="005D642E">
        <w:rPr>
          <w:rtl/>
          <w:lang w:bidi="fa-IR"/>
        </w:rPr>
        <w:t xml:space="preserve"> رَفِيقاً ، فَإِذَا وَضَعْتَهُ فِي لَحْدِهِ ، فَلْيَكُنْ أَوْلَى النَّاسِ </w:t>
      </w:r>
      <w:r w:rsidRPr="007C12DB">
        <w:rPr>
          <w:rStyle w:val="libFootnotenumChar"/>
          <w:rtl/>
        </w:rPr>
        <w:t>(9)</w:t>
      </w:r>
      <w:r w:rsidRPr="005D642E">
        <w:rPr>
          <w:rtl/>
          <w:lang w:bidi="fa-IR"/>
        </w:rPr>
        <w:t xml:space="preserve"> مِمَّا يَلِي رَأْسَهُ </w:t>
      </w:r>
      <w:r w:rsidRPr="007C12DB">
        <w:rPr>
          <w:rStyle w:val="libFootnotenumChar"/>
          <w:rtl/>
        </w:rPr>
        <w:t>(10)</w:t>
      </w:r>
      <w:r w:rsidRPr="005D642E">
        <w:rPr>
          <w:rtl/>
          <w:lang w:bidi="fa-IR"/>
        </w:rPr>
        <w:t xml:space="preserve"> لِيَذْكُرَ اسْمَ اللهِ </w:t>
      </w:r>
      <w:r w:rsidRPr="007C12DB">
        <w:rPr>
          <w:rStyle w:val="libFootnotenumChar"/>
          <w:rtl/>
        </w:rPr>
        <w:t>(11)</w:t>
      </w:r>
      <w:r w:rsidRPr="005D642E">
        <w:rPr>
          <w:rtl/>
          <w:lang w:bidi="fa-IR"/>
        </w:rPr>
        <w:t xml:space="preserve"> ، وَيُصَلِّيَ عَلَى النَّبِيِّ </w:t>
      </w:r>
      <w:r w:rsidR="0042621E" w:rsidRPr="0042621E">
        <w:rPr>
          <w:rStyle w:val="libAlaemChar"/>
          <w:rtl/>
        </w:rPr>
        <w:t>صلى‌الله‌عليه‌وآله</w:t>
      </w:r>
      <w:r w:rsidRPr="005D642E">
        <w:rPr>
          <w:rtl/>
          <w:lang w:bidi="fa-IR"/>
        </w:rPr>
        <w:t xml:space="preserve"> ، وَيَتَعَوَّذَ مِنَ الشَّيْطَانِ </w:t>
      </w:r>
      <w:r w:rsidRPr="007C12DB">
        <w:rPr>
          <w:rStyle w:val="libFootnotenumChar"/>
          <w:rtl/>
        </w:rPr>
        <w:t>(12)</w:t>
      </w:r>
      <w:r w:rsidRPr="005D642E">
        <w:rPr>
          <w:rtl/>
          <w:lang w:bidi="fa-IR"/>
        </w:rPr>
        <w:t xml:space="preserve"> ، وَلْيَقْرَأْ </w:t>
      </w:r>
      <w:r w:rsidRPr="007C12DB">
        <w:rPr>
          <w:rStyle w:val="libFootnotenumChar"/>
          <w:rtl/>
        </w:rPr>
        <w:t>(13)</w:t>
      </w:r>
      <w:r w:rsidRPr="005D642E">
        <w:rPr>
          <w:rtl/>
          <w:lang w:bidi="fa-IR"/>
        </w:rPr>
        <w:t xml:space="preserve"> فَاتِحَةَ الْكِتَابِ ، وَالْمُعَوِّذَتَيْنِ ، </w:t>
      </w:r>
      <w:r>
        <w:rPr>
          <w:rtl/>
          <w:lang w:bidi="fa-IR"/>
        </w:rPr>
        <w:t xml:space="preserve">و </w:t>
      </w:r>
      <w:r w:rsidR="0021333F" w:rsidRPr="0021333F">
        <w:rPr>
          <w:rStyle w:val="libAlaemChar"/>
          <w:rFonts w:hint="cs"/>
          <w:rtl/>
        </w:rPr>
        <w:t>(</w:t>
      </w:r>
      <w:r w:rsidRPr="0021333F">
        <w:rPr>
          <w:rStyle w:val="libAieChar"/>
          <w:rtl/>
        </w:rPr>
        <w:t xml:space="preserve"> قُلْ هُوَ اللهُ أَحَدٌ </w:t>
      </w:r>
      <w:r w:rsidR="0021333F" w:rsidRPr="0021333F">
        <w:rPr>
          <w:rStyle w:val="libAlaemChar"/>
          <w:rFonts w:hint="cs"/>
          <w:rtl/>
        </w:rPr>
        <w:t>)</w:t>
      </w:r>
      <w:r w:rsidRPr="005D642E">
        <w:rPr>
          <w:rtl/>
          <w:lang w:bidi="fa-IR"/>
        </w:rPr>
        <w:t xml:space="preserve"> ، وَآيَةَ الْكُرْسِيِّ ، وَإِنْ قَدَرَ </w:t>
      </w:r>
      <w:r w:rsidRPr="007C12DB">
        <w:rPr>
          <w:rStyle w:val="libFootnotenumChar"/>
          <w:rtl/>
        </w:rPr>
        <w:t>(14)</w:t>
      </w:r>
      <w:r w:rsidRPr="005D642E">
        <w:rPr>
          <w:rtl/>
          <w:lang w:bidi="fa-IR"/>
        </w:rPr>
        <w:t xml:space="preserve"> أَنْ يَحْسِرَ عَنْ خَدِّهِ </w:t>
      </w:r>
      <w:r w:rsidRPr="007C12DB">
        <w:rPr>
          <w:rStyle w:val="libFootnotenumChar"/>
          <w:rtl/>
        </w:rPr>
        <w:t>(15)</w:t>
      </w:r>
      <w:r w:rsidRPr="005D642E">
        <w:rPr>
          <w:rtl/>
          <w:lang w:bidi="fa-IR"/>
        </w:rPr>
        <w:t xml:space="preserve"> ، وَيُلْزِقَهُ </w:t>
      </w:r>
      <w:r w:rsidRPr="007C12DB">
        <w:rPr>
          <w:rStyle w:val="libFootnotenumChar"/>
          <w:rtl/>
        </w:rPr>
        <w:t>(16)</w:t>
      </w:r>
      <w:r w:rsidRPr="005D642E">
        <w:rPr>
          <w:rtl/>
          <w:lang w:bidi="fa-IR"/>
        </w:rPr>
        <w:t xml:space="preserve"> بِالْأَرْضِ ، فَعَلَ ،</w:t>
      </w:r>
      <w:r w:rsidR="0021333F">
        <w:rPr>
          <w:rFonts w:hint="cs"/>
          <w:rtl/>
          <w:lang w:bidi="fa-IR"/>
        </w:rPr>
        <w:t>.........................</w:t>
      </w:r>
      <w:r w:rsidR="0021333F">
        <w:rPr>
          <w:rFonts w:hint="cs"/>
          <w:rtl/>
          <w:lang w:bidi="fa-IR"/>
        </w:rPr>
        <w:tab/>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40C6B" w:rsidTr="00740C6B">
        <w:tc>
          <w:tcPr>
            <w:tcW w:w="4006" w:type="dxa"/>
          </w:tcPr>
          <w:p w:rsidR="00740C6B" w:rsidRDefault="00740C6B" w:rsidP="00E3253D">
            <w:pPr>
              <w:pStyle w:val="libFootnote0"/>
              <w:rPr>
                <w:rStyle w:val="libFootnote0Char"/>
                <w:rtl/>
              </w:rPr>
            </w:pPr>
            <w:r w:rsidRPr="0042621E">
              <w:rPr>
                <w:rStyle w:val="libFootnote0Char"/>
                <w:rtl/>
              </w:rPr>
              <w:t>(1).</w:t>
            </w:r>
            <w:r>
              <w:rPr>
                <w:rtl/>
              </w:rPr>
              <w:t xml:space="preserve"> </w:t>
            </w:r>
            <w:r w:rsidRPr="005D642E">
              <w:rPr>
                <w:rtl/>
              </w:rPr>
              <w:t>في التهذيب : « يسلّ</w:t>
            </w:r>
            <w:r>
              <w:rPr>
                <w:rtl/>
              </w:rPr>
              <w:t xml:space="preserve"> ».</w:t>
            </w:r>
          </w:p>
        </w:tc>
        <w:tc>
          <w:tcPr>
            <w:tcW w:w="4006" w:type="dxa"/>
          </w:tcPr>
          <w:p w:rsidR="00740C6B" w:rsidRDefault="00740C6B" w:rsidP="00E3253D">
            <w:pPr>
              <w:pStyle w:val="libFootnote0"/>
              <w:rPr>
                <w:rStyle w:val="libFootnote0Char"/>
                <w:rtl/>
              </w:rPr>
            </w:pPr>
            <w:r w:rsidRPr="0042621E">
              <w:rPr>
                <w:rStyle w:val="libFootnote0Char"/>
                <w:rtl/>
              </w:rPr>
              <w:t>(2).</w:t>
            </w:r>
            <w:r w:rsidRPr="005D642E">
              <w:rPr>
                <w:rtl/>
              </w:rPr>
              <w:t xml:space="preserve"> في « بخ » </w:t>
            </w:r>
            <w:r w:rsidRPr="00B60612">
              <w:rPr>
                <w:rStyle w:val="libFootnoteBoldChar"/>
                <w:rtl/>
              </w:rPr>
              <w:t>والتهذيب</w:t>
            </w:r>
            <w:r w:rsidRPr="005D642E">
              <w:rPr>
                <w:rtl/>
              </w:rPr>
              <w:t xml:space="preserve"> : « ويلزق</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1E01FC">
        <w:rPr>
          <w:rStyle w:val="libFootnoteAlaemChar"/>
          <w:rtl/>
        </w:rPr>
        <w:t>عليه‌السلام</w:t>
      </w:r>
      <w:r w:rsidR="00E3253D" w:rsidRPr="005D642E">
        <w:rPr>
          <w:rtl/>
        </w:rPr>
        <w:t xml:space="preserve"> : الإلزاق : الإلصاق ، والمراد عدم الرفع كثيراً. وفي </w:t>
      </w:r>
      <w:r w:rsidR="00E3253D" w:rsidRPr="002F4D34">
        <w:rPr>
          <w:rStyle w:val="libFootnoteBoldChar"/>
          <w:rtl/>
        </w:rPr>
        <w:t>التهذيب</w:t>
      </w:r>
      <w:r w:rsidR="00E3253D" w:rsidRPr="005D642E">
        <w:rPr>
          <w:rtl/>
        </w:rPr>
        <w:t xml:space="preserve"> نقلاً عن </w:t>
      </w:r>
      <w:r w:rsidR="00E3253D" w:rsidRPr="002F4D34">
        <w:rPr>
          <w:rStyle w:val="libFootnoteBoldChar"/>
          <w:rtl/>
        </w:rPr>
        <w:t>الكافي</w:t>
      </w:r>
      <w:r w:rsidR="001E01FC">
        <w:rPr>
          <w:rtl/>
        </w:rPr>
        <w:t xml:space="preserve"> : إل</w:t>
      </w:r>
      <w:r w:rsidR="001E01FC">
        <w:rPr>
          <w:rFonts w:hint="cs"/>
          <w:rtl/>
        </w:rPr>
        <w:t>ّ</w:t>
      </w:r>
      <w:r w:rsidR="001E01FC">
        <w:rPr>
          <w:rtl/>
        </w:rPr>
        <w:t>ا</w:t>
      </w:r>
      <w:r w:rsidR="00E3253D" w:rsidRPr="005D642E">
        <w:rPr>
          <w:rtl/>
        </w:rPr>
        <w:t>قدر أربع أصابع ، فيكون استثناء عمّا يدلّ عليه الإلزاق كناية عن عدم الرفع ، وفي نسخ الكتاب : إلى قدر ، فيكون نهاية للرفع ويدلّ على التخيير بينه وبين ما كان أقلّ منه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w:t>
      </w:r>
      <w:r w:rsidR="00E3253D">
        <w:rPr>
          <w:rtl/>
        </w:rPr>
        <w:t xml:space="preserve"> </w:t>
      </w:r>
      <w:r w:rsidR="007642BC">
        <w:rPr>
          <w:rtl/>
        </w:rPr>
        <w:t>-</w:t>
      </w:r>
      <w:r w:rsidR="00E3253D">
        <w:rPr>
          <w:rtl/>
        </w:rPr>
        <w:t xml:space="preserve"> </w:t>
      </w:r>
      <w:r w:rsidR="00E3253D" w:rsidRPr="005D642E">
        <w:rPr>
          <w:rtl/>
        </w:rPr>
        <w:t>« إلى</w:t>
      </w:r>
      <w:r w:rsidR="00E3253D">
        <w:rPr>
          <w:rtl/>
        </w:rPr>
        <w:t xml:space="preserve"> ».</w:t>
      </w:r>
      <w:r w:rsidR="00E3253D" w:rsidRPr="005D642E">
        <w:rPr>
          <w:rtl/>
        </w:rPr>
        <w:t xml:space="preserve"> وفي الوافي والوسائل </w:t>
      </w:r>
      <w:r w:rsidR="00B60612" w:rsidRPr="00B60612">
        <w:rPr>
          <w:rStyle w:val="libFootnoteBoldChar"/>
          <w:rtl/>
        </w:rPr>
        <w:t>والتهذيب</w:t>
      </w:r>
      <w:r w:rsidR="000C4E13">
        <w:rPr>
          <w:rtl/>
        </w:rPr>
        <w:t xml:space="preserve"> : « إل</w:t>
      </w:r>
      <w:r w:rsidR="000C4E13">
        <w:rPr>
          <w:rFonts w:hint="cs"/>
          <w:rtl/>
        </w:rPr>
        <w:t>ّ</w:t>
      </w:r>
      <w:r w:rsidR="000C4E13">
        <w:rPr>
          <w:rtl/>
        </w:rPr>
        <w:t>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كذا في حاشية « ظ » والمطبوع. وفي جميع النسخ التي قوبلت </w:t>
      </w:r>
      <w:r w:rsidR="000D749A" w:rsidRPr="000D749A">
        <w:rPr>
          <w:rStyle w:val="libFootnoteBoldChar"/>
          <w:rtl/>
        </w:rPr>
        <w:t>والوافي</w:t>
      </w:r>
      <w:r w:rsidR="00E3253D" w:rsidRPr="005D642E">
        <w:rPr>
          <w:rtl/>
        </w:rPr>
        <w:t xml:space="preserve"> : « ترفع » أو « يرفع</w:t>
      </w:r>
      <w:r w:rsidR="00E3253D">
        <w:rPr>
          <w:rtl/>
        </w:rPr>
        <w:t xml:space="preserve"> ».</w:t>
      </w:r>
      <w:r w:rsidR="00E3253D" w:rsidRPr="005D642E">
        <w:rPr>
          <w:rtl/>
        </w:rPr>
        <w:t xml:space="preserve"> وفي التهذيب : « يربع</w:t>
      </w:r>
      <w:r w:rsidR="00E3253D">
        <w:rPr>
          <w:rtl/>
        </w:rPr>
        <w:t xml:space="preserve"> ».</w:t>
      </w:r>
      <w:r w:rsidR="00E3253D" w:rsidRPr="005D642E">
        <w:rPr>
          <w:rtl/>
        </w:rPr>
        <w:t xml:space="preserve"> والأنسب ما ا</w:t>
      </w:r>
      <w:r w:rsidR="009844D1">
        <w:rPr>
          <w:rFonts w:hint="cs"/>
          <w:rtl/>
        </w:rPr>
        <w:t>ُ</w:t>
      </w:r>
      <w:r w:rsidR="00E3253D" w:rsidRPr="005D642E">
        <w:rPr>
          <w:rtl/>
        </w:rPr>
        <w:t>ثبت.</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315 ، ح 919 ، بسنده عن الكليني. </w:t>
      </w:r>
      <w:r w:rsidR="00E3253D" w:rsidRPr="002F4D34">
        <w:rPr>
          <w:rStyle w:val="libFootnoteBoldChar"/>
          <w:rtl/>
        </w:rPr>
        <w:t>وفيه</w:t>
      </w:r>
      <w:r w:rsidR="00E3253D" w:rsidRPr="005D642E">
        <w:rPr>
          <w:rtl/>
        </w:rPr>
        <w:t xml:space="preserve"> ، ص 458 ، ح 1494 ، بسنده عن العلاء بن رزين </w:t>
      </w:r>
      <w:r w:rsidR="009958C2">
        <w:rPr>
          <w:rFonts w:hint="cs"/>
          <w:rtl/>
        </w:rPr>
        <w:t>.</w:t>
      </w:r>
      <w:r w:rsidR="00E3253D" w:rsidRPr="002F4D34">
        <w:rPr>
          <w:rStyle w:val="libFootnoteBoldChar"/>
          <w:rtl/>
        </w:rPr>
        <w:t>الوافي</w:t>
      </w:r>
      <w:r w:rsidR="00E3253D" w:rsidRPr="005D642E">
        <w:rPr>
          <w:rtl/>
        </w:rPr>
        <w:t xml:space="preserve"> ، ج 25 ، ص 527 ، ح 24575 ؛ </w:t>
      </w:r>
      <w:r w:rsidR="00E3253D" w:rsidRPr="002F4D34">
        <w:rPr>
          <w:rStyle w:val="libFootnoteBoldChar"/>
          <w:rtl/>
        </w:rPr>
        <w:t>الوسائل</w:t>
      </w:r>
      <w:r w:rsidR="00E3253D" w:rsidRPr="005D642E">
        <w:rPr>
          <w:rtl/>
        </w:rPr>
        <w:t xml:space="preserve"> ، ج 3 ، ص 181 ، ح 3344.</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السند معلّق على سابقه. ويروي عن سهل بن زياد ، عدّة من أصحابنا.</w:t>
      </w:r>
    </w:p>
    <w:tbl>
      <w:tblPr>
        <w:tblStyle w:val="TableGrid"/>
        <w:bidiVisual/>
        <w:tblW w:w="0" w:type="auto"/>
        <w:tblLook w:val="04A0" w:firstRow="1" w:lastRow="0" w:firstColumn="1" w:lastColumn="0" w:noHBand="0" w:noVBand="1"/>
      </w:tblPr>
      <w:tblGrid>
        <w:gridCol w:w="4006"/>
        <w:gridCol w:w="4006"/>
      </w:tblGrid>
      <w:tr w:rsidR="009958C2" w:rsidTr="009958C2">
        <w:tc>
          <w:tcPr>
            <w:tcW w:w="4006" w:type="dxa"/>
          </w:tcPr>
          <w:p w:rsidR="009958C2" w:rsidRDefault="009958C2" w:rsidP="00E3253D">
            <w:pPr>
              <w:pStyle w:val="libFootnote0"/>
              <w:rPr>
                <w:rStyle w:val="libFootnote0Char"/>
                <w:rtl/>
              </w:rPr>
            </w:pPr>
            <w:r w:rsidRPr="0042621E">
              <w:rPr>
                <w:rStyle w:val="libFootnote0Char"/>
                <w:rtl/>
              </w:rPr>
              <w:t>(8).</w:t>
            </w:r>
            <w:r w:rsidRPr="005D642E">
              <w:rPr>
                <w:rtl/>
              </w:rPr>
              <w:t xml:space="preserve"> في « غ ، بخ ، بف » </w:t>
            </w:r>
            <w:r w:rsidRPr="000D749A">
              <w:rPr>
                <w:rStyle w:val="libFootnoteBoldChar"/>
                <w:rtl/>
              </w:rPr>
              <w:t>والوافي</w:t>
            </w:r>
            <w:r w:rsidRPr="005D642E">
              <w:rPr>
                <w:rtl/>
              </w:rPr>
              <w:t xml:space="preserve"> : « تسلّه</w:t>
            </w:r>
            <w:r>
              <w:rPr>
                <w:rtl/>
              </w:rPr>
              <w:t xml:space="preserve"> ».</w:t>
            </w:r>
          </w:p>
        </w:tc>
        <w:tc>
          <w:tcPr>
            <w:tcW w:w="4006" w:type="dxa"/>
          </w:tcPr>
          <w:p w:rsidR="009958C2" w:rsidRDefault="009958C2" w:rsidP="00E3253D">
            <w:pPr>
              <w:pStyle w:val="libFootnote0"/>
              <w:rPr>
                <w:rStyle w:val="libFootnote0Char"/>
                <w:rtl/>
              </w:rPr>
            </w:pPr>
            <w:r w:rsidRPr="0042621E">
              <w:rPr>
                <w:rStyle w:val="libFootnote0Char"/>
                <w:rtl/>
              </w:rPr>
              <w:t>(9).</w:t>
            </w:r>
            <w:r w:rsidRPr="005D642E">
              <w:rPr>
                <w:rtl/>
              </w:rPr>
              <w:t xml:space="preserve"> في التهذيب ، ح 922 : + « به</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ى ، بح ، بخ ، بس ، بف ، جح » والوسائل : + « </w:t>
      </w:r>
      <w:r w:rsidR="00E3253D">
        <w:rPr>
          <w:rtl/>
        </w:rPr>
        <w:t>و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ح 922. وفي المطبوع : + « [ عليه ]</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جن » </w:t>
      </w:r>
      <w:r w:rsidR="00B60612" w:rsidRPr="00B60612">
        <w:rPr>
          <w:rStyle w:val="libFootnoteBoldChar"/>
          <w:rtl/>
        </w:rPr>
        <w:t>والتهذيب</w:t>
      </w:r>
      <w:r w:rsidR="00E3253D" w:rsidRPr="005D642E">
        <w:rPr>
          <w:rtl/>
        </w:rPr>
        <w:t xml:space="preserve"> ، ح 922 : + « الرجيم</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بح » : « فليقرأ</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 xml:space="preserve">في </w:t>
      </w:r>
      <w:r w:rsidR="00E3253D" w:rsidRPr="002F4D34">
        <w:rPr>
          <w:rStyle w:val="libFootnoteBoldChar"/>
          <w:rtl/>
        </w:rPr>
        <w:t>الحبل المتين</w:t>
      </w:r>
      <w:r w:rsidR="00E3253D" w:rsidRPr="005D642E">
        <w:rPr>
          <w:rtl/>
        </w:rPr>
        <w:t xml:space="preserve"> ، ص 247 : « والمراد من قوله </w:t>
      </w:r>
      <w:r w:rsidR="00E3253D" w:rsidRPr="00595C8B">
        <w:rPr>
          <w:rStyle w:val="libFootnoteAlaemChar"/>
          <w:rtl/>
        </w:rPr>
        <w:t>عليه‌السلام</w:t>
      </w:r>
      <w:r w:rsidR="00E3253D" w:rsidRPr="005D642E">
        <w:rPr>
          <w:rtl/>
        </w:rPr>
        <w:t xml:space="preserve"> : وإن قدر إلخ إذا لم يكن هناك من يتّقيه</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 أن يحسر عن خدّه » ، أي يكشف عنه ، ورف</w:t>
      </w:r>
      <w:r w:rsidR="00595C8B">
        <w:rPr>
          <w:rtl/>
        </w:rPr>
        <w:t>ع عنه شيئاً قد غشّاه. قال العل</w:t>
      </w:r>
      <w:r w:rsidR="00595C8B">
        <w:rPr>
          <w:rFonts w:hint="cs"/>
          <w:rtl/>
        </w:rPr>
        <w:t>ّ</w:t>
      </w:r>
      <w:r w:rsidR="00595C8B">
        <w:rPr>
          <w:rtl/>
        </w:rPr>
        <w:t>ا</w:t>
      </w:r>
      <w:r w:rsidR="00E3253D" w:rsidRPr="005D642E">
        <w:rPr>
          <w:rtl/>
        </w:rPr>
        <w:t>مة المجلسي : « أقول : تعديته بعن إمّا لتضمين معنى الكشف ، أو يكون مفعوله الأوّل مقدّراً ، أي يحسر الكفن عن خدّه</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1 ، ص 383 ؛ </w:t>
      </w:r>
      <w:r w:rsidR="00E3253D" w:rsidRPr="002F4D34">
        <w:rPr>
          <w:rStyle w:val="libFootnoteBoldChar"/>
          <w:rtl/>
        </w:rPr>
        <w:t>لسان العرب</w:t>
      </w:r>
      <w:r w:rsidR="00E3253D" w:rsidRPr="005D642E">
        <w:rPr>
          <w:rtl/>
        </w:rPr>
        <w:t xml:space="preserve"> ، ج 4 ، ص 187 ( حسر )</w:t>
      </w:r>
      <w:r w:rsidR="00E3253D">
        <w:rPr>
          <w:rtl/>
        </w:rPr>
        <w:t>.</w:t>
      </w:r>
    </w:p>
    <w:p w:rsidR="00E3253D" w:rsidRPr="005D642E" w:rsidRDefault="00E3253D" w:rsidP="00E3253D">
      <w:pPr>
        <w:pStyle w:val="libFootnote0"/>
        <w:rPr>
          <w:rtl/>
          <w:lang w:bidi="fa-IR"/>
        </w:rPr>
      </w:pPr>
      <w:r w:rsidRPr="005D642E">
        <w:rPr>
          <w:rtl/>
        </w:rPr>
        <w:t>(1</w:t>
      </w:r>
      <w:r>
        <w:rPr>
          <w:rtl/>
        </w:rPr>
        <w:t>6)</w:t>
      </w:r>
      <w:r w:rsidRPr="005D642E">
        <w:rPr>
          <w:rtl/>
        </w:rPr>
        <w:t xml:space="preserve"> في التهذيب ، ح 922 : « ويلصقه</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وَيَشْهَدُ </w:t>
      </w:r>
      <w:r w:rsidRPr="007C12DB">
        <w:rPr>
          <w:rStyle w:val="libFootnotenumChar"/>
          <w:rtl/>
        </w:rPr>
        <w:t>(1)</w:t>
      </w:r>
      <w:r w:rsidRPr="005D642E">
        <w:rPr>
          <w:rtl/>
          <w:lang w:bidi="fa-IR"/>
        </w:rPr>
        <w:t xml:space="preserve"> ، وَيَذْكُرُ مَا يَعْلَمُ حَتّى يَنْتَهِيَ إِلى صَاحِبِهِ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065ED4">
        <w:rPr>
          <w:rtl/>
        </w:rPr>
        <w:t>4553</w:t>
      </w:r>
      <w:r w:rsidRPr="00246318">
        <w:rPr>
          <w:rStyle w:val="libBold2Char"/>
          <w:rtl/>
        </w:rPr>
        <w:t xml:space="preserve"> / 5.</w:t>
      </w:r>
      <w:r w:rsidRPr="005D642E">
        <w:rPr>
          <w:rtl/>
          <w:lang w:bidi="fa-IR"/>
        </w:rPr>
        <w:t xml:space="preserve"> مُحَمَّدُ بْنُ يَحْيى ، عَنْ مُحَمَّدِ بْنِ إِسْمَاعِيلَ ، عَنْ عَلِيِّ بْنِ الْحَكَمِ ، عَنْ مُحَمَّدِ بْنِ سِنَانٍ ، عَنْ مَحْفُوظٍ الْإِسْكَافِ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أَرَدْتَ أَنْ تَدْفِنَ الْمَيِّتَ ، فَلْيَكُنْ أَعْقَلُ مَنْ يَنْزِلُ فِي قَبْرِهِ عِنْدَ رَأْسِهِ ، وَلْيَكْشِفْ </w:t>
      </w:r>
      <w:r w:rsidRPr="007C12DB">
        <w:rPr>
          <w:rStyle w:val="libFootnotenumChar"/>
          <w:rtl/>
        </w:rPr>
        <w:t>(4)</w:t>
      </w:r>
      <w:r w:rsidRPr="005D642E">
        <w:rPr>
          <w:rtl/>
          <w:lang w:bidi="fa-IR"/>
        </w:rPr>
        <w:t xml:space="preserve"> خَدَّهُ الْأَيْمَنَ حَتّى يُفْضِيَ بِهِ إِلَى </w:t>
      </w:r>
      <w:r w:rsidRPr="007C12DB">
        <w:rPr>
          <w:rStyle w:val="libFootnotenumChar"/>
          <w:rtl/>
        </w:rPr>
        <w:t>(5)</w:t>
      </w:r>
      <w:r w:rsidRPr="005D642E">
        <w:rPr>
          <w:rtl/>
          <w:lang w:bidi="fa-IR"/>
        </w:rPr>
        <w:t xml:space="preserve"> الْأَرْضِ ، وَيُدْنِي فَمَهُ إِلى سَمْعِهِ ، وَيَقُولُ : " اسْمَعْ افْهَمْ </w:t>
      </w:r>
      <w:r w:rsidRPr="007C12DB">
        <w:rPr>
          <w:rStyle w:val="libFootnotenumChar"/>
          <w:rtl/>
        </w:rPr>
        <w:t>(6)</w:t>
      </w:r>
      <w:r>
        <w:rPr>
          <w:rtl/>
          <w:lang w:bidi="fa-IR"/>
        </w:rPr>
        <w:t xml:space="preserve"> </w:t>
      </w:r>
      <w:r w:rsidR="007642BC">
        <w:rPr>
          <w:rtl/>
          <w:lang w:bidi="fa-IR"/>
        </w:rPr>
        <w:t>-</w:t>
      </w:r>
      <w:r>
        <w:rPr>
          <w:rtl/>
          <w:lang w:bidi="fa-IR"/>
        </w:rPr>
        <w:t xml:space="preserve"> </w:t>
      </w:r>
      <w:r w:rsidRPr="005D642E">
        <w:rPr>
          <w:rtl/>
          <w:lang w:bidi="fa-IR"/>
        </w:rPr>
        <w:t>ثَلَاثَ مَرَّاتٍ</w:t>
      </w:r>
      <w:r>
        <w:rPr>
          <w:rtl/>
          <w:lang w:bidi="fa-IR"/>
        </w:rPr>
        <w:t xml:space="preserve"> </w:t>
      </w:r>
      <w:r w:rsidR="007642BC">
        <w:rPr>
          <w:rtl/>
          <w:lang w:bidi="fa-IR"/>
        </w:rPr>
        <w:t>-</w:t>
      </w:r>
      <w:r>
        <w:rPr>
          <w:rtl/>
          <w:lang w:bidi="fa-IR"/>
        </w:rPr>
        <w:t xml:space="preserve"> </w:t>
      </w:r>
      <w:r w:rsidRPr="005D642E">
        <w:rPr>
          <w:rtl/>
          <w:lang w:bidi="fa-IR"/>
        </w:rPr>
        <w:t xml:space="preserve">اللهُ رَبُّكَ ، وَمُحَمَّدٌ نَبِيُّكَ ، وَالْإِسْلَامُ دِينُكَ ، وَفُلَانٌ </w:t>
      </w:r>
      <w:r w:rsidRPr="007C12DB">
        <w:rPr>
          <w:rStyle w:val="libFootnotenumChar"/>
          <w:rtl/>
        </w:rPr>
        <w:t>(7)</w:t>
      </w:r>
      <w:r w:rsidRPr="005D642E">
        <w:rPr>
          <w:rtl/>
          <w:lang w:bidi="fa-IR"/>
        </w:rPr>
        <w:t xml:space="preserve"> إِمَامُكَ ، اسْمَعْ وَافْهَمْ </w:t>
      </w:r>
      <w:r w:rsidRPr="007C12DB">
        <w:rPr>
          <w:rStyle w:val="libFootnotenumChar"/>
          <w:rtl/>
        </w:rPr>
        <w:t>(8)</w:t>
      </w:r>
      <w:r w:rsidRPr="005D642E">
        <w:rPr>
          <w:rtl/>
          <w:lang w:bidi="fa-IR"/>
        </w:rPr>
        <w:t xml:space="preserve"> " ، وَأَعِدْهَا </w:t>
      </w:r>
      <w:r w:rsidRPr="007C12DB">
        <w:rPr>
          <w:rStyle w:val="libFootnotenumChar"/>
          <w:rtl/>
        </w:rPr>
        <w:t>(9)</w:t>
      </w:r>
      <w:r w:rsidRPr="005D642E">
        <w:rPr>
          <w:rtl/>
          <w:lang w:bidi="fa-IR"/>
        </w:rPr>
        <w:t xml:space="preserve"> عَلَيْهِ ثَلَاثَ مَرَّاتٍ هذَا التَّلْقِينَ</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065ED4">
        <w:rPr>
          <w:rtl/>
        </w:rPr>
        <w:t>4554</w:t>
      </w:r>
      <w:r w:rsidRPr="00246318">
        <w:rPr>
          <w:rStyle w:val="libBold2Char"/>
          <w:rtl/>
        </w:rPr>
        <w:t xml:space="preserve"> / 6.</w:t>
      </w:r>
      <w:r w:rsidRPr="005D642E">
        <w:rPr>
          <w:rtl/>
          <w:lang w:bidi="fa-IR"/>
        </w:rPr>
        <w:t xml:space="preserve"> عَلِيُّ بْنُ إِبْرَاهِيمَ ، عَنْ أَبِيهِ ، عَنْ حَمَّادِ بْنِ عِيسى ، عَنْ حَرِيزٍ ، عَنْ مُحَمَّدِ بْنِ مُسْلِمٍ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بث » : « وليشهد</w:t>
      </w:r>
      <w:r w:rsidR="00E3253D">
        <w:rPr>
          <w:rtl/>
        </w:rPr>
        <w:t xml:space="preserve"> ».</w:t>
      </w:r>
      <w:r w:rsidR="00E3253D" w:rsidRPr="005D642E">
        <w:rPr>
          <w:rtl/>
        </w:rPr>
        <w:t xml:space="preserve"> وفي « بح ، بخ ، بف » وحاشية « بث »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xml:space="preserve"> ، ح 922 : « وليتشهّد</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قال الشيخ البهائي : « المراد</w:t>
      </w:r>
      <w:r w:rsidR="00E3253D">
        <w:rPr>
          <w:rtl/>
        </w:rPr>
        <w:t xml:space="preserve"> ..</w:t>
      </w:r>
      <w:r w:rsidR="00E3253D" w:rsidRPr="005D642E">
        <w:rPr>
          <w:rtl/>
        </w:rPr>
        <w:t xml:space="preserve">. من قوله </w:t>
      </w:r>
      <w:r w:rsidR="00E3253D" w:rsidRPr="007B4564">
        <w:rPr>
          <w:rStyle w:val="libFootnoteAlaemChar"/>
          <w:rtl/>
        </w:rPr>
        <w:t>عليه‌السلام</w:t>
      </w:r>
      <w:r w:rsidR="00E3253D" w:rsidRPr="005D642E">
        <w:rPr>
          <w:rtl/>
        </w:rPr>
        <w:t xml:space="preserve"> : وليشهد وليذكر ما يعلم إلخ ؛ تلقينه الشهادتين والإقرار بالأئمّة </w:t>
      </w:r>
      <w:r w:rsidR="00E3253D" w:rsidRPr="007B4564">
        <w:rPr>
          <w:rStyle w:val="libFootnoteAlaemChar"/>
          <w:rtl/>
        </w:rPr>
        <w:t>عليهم‌السلام</w:t>
      </w:r>
      <w:r w:rsidR="00E3253D" w:rsidRPr="005D642E">
        <w:rPr>
          <w:rtl/>
        </w:rPr>
        <w:t xml:space="preserve"> إلى أن ينتهي إلى امام الزمان سلام الله عليه</w:t>
      </w:r>
      <w:r w:rsidR="00E3253D">
        <w:rPr>
          <w:rtl/>
        </w:rPr>
        <w:t xml:space="preserve"> ».</w:t>
      </w:r>
      <w:r w:rsidR="007B4564">
        <w:rPr>
          <w:rtl/>
        </w:rPr>
        <w:t xml:space="preserve"> وقال العل</w:t>
      </w:r>
      <w:r w:rsidR="007B4564">
        <w:rPr>
          <w:rFonts w:hint="cs"/>
          <w:rtl/>
        </w:rPr>
        <w:t>ّ</w:t>
      </w:r>
      <w:r w:rsidR="007B4564">
        <w:rPr>
          <w:rtl/>
        </w:rPr>
        <w:t>ا</w:t>
      </w:r>
      <w:r w:rsidR="00E3253D" w:rsidRPr="005D642E">
        <w:rPr>
          <w:rtl/>
        </w:rPr>
        <w:t>مة الفيض : « المراد بما يعلم الإقرار بإمامة الأئمّة المعصومين صلوات الله عليهم بأسمائهم ، وصاحبه إمام زمانه</w:t>
      </w:r>
      <w:r w:rsidR="00E3253D">
        <w:rPr>
          <w:rtl/>
        </w:rPr>
        <w:t xml:space="preserve"> ».</w:t>
      </w:r>
      <w:r w:rsidR="00E3253D" w:rsidRPr="005D642E">
        <w:rPr>
          <w:rtl/>
        </w:rPr>
        <w:t xml:space="preserve"> راجع : </w:t>
      </w:r>
      <w:r w:rsidR="00E3253D" w:rsidRPr="002F4D34">
        <w:rPr>
          <w:rStyle w:val="libFootnoteBoldChar"/>
          <w:rtl/>
        </w:rPr>
        <w:t>الحبل المتين</w:t>
      </w:r>
      <w:r w:rsidR="00E3253D" w:rsidRPr="005D642E">
        <w:rPr>
          <w:rtl/>
        </w:rPr>
        <w:t xml:space="preserve"> ، ص 247.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317 ، ح 922 ، بسنده عن الكليني. </w:t>
      </w:r>
      <w:r w:rsidR="00E3253D" w:rsidRPr="002F4D34">
        <w:rPr>
          <w:rStyle w:val="libFootnoteBoldChar"/>
          <w:rtl/>
        </w:rPr>
        <w:t>علل الشرائع</w:t>
      </w:r>
      <w:r w:rsidR="00E3253D" w:rsidRPr="005D642E">
        <w:rPr>
          <w:rtl/>
        </w:rPr>
        <w:t xml:space="preserve"> ، ج 1 ، ص 306 ، ح 1 ، بسنده عن محمّد بن سنان. </w:t>
      </w:r>
      <w:r w:rsidR="00E3253D" w:rsidRPr="002F4D34">
        <w:rPr>
          <w:rStyle w:val="libFootnoteBoldChar"/>
          <w:rtl/>
        </w:rPr>
        <w:t>التهذيب</w:t>
      </w:r>
      <w:r w:rsidR="00E3253D" w:rsidRPr="005D642E">
        <w:rPr>
          <w:rtl/>
        </w:rPr>
        <w:t xml:space="preserve"> ، ج 1 ، ص 317 ، ح 907 ، بسنده عن ابن سنان ، عن محمّد بن عطيّة ، من دون الإسناد إلى أبي عبدالله </w:t>
      </w:r>
      <w:r w:rsidR="00E3253D" w:rsidRPr="007B4564">
        <w:rPr>
          <w:rStyle w:val="libFootnoteAlaemChar"/>
          <w:rtl/>
        </w:rPr>
        <w:t>عليه‌السلام</w:t>
      </w:r>
      <w:r w:rsidR="00E3253D" w:rsidRPr="005D642E">
        <w:rPr>
          <w:rtl/>
        </w:rPr>
        <w:t xml:space="preserve"> ، وفي الأخيرين مع اختلاف </w:t>
      </w:r>
      <w:r w:rsidR="00330211">
        <w:rPr>
          <w:rFonts w:hint="cs"/>
          <w:rtl/>
        </w:rPr>
        <w:t>.</w:t>
      </w:r>
      <w:r w:rsidR="00E3253D" w:rsidRPr="002F4D34">
        <w:rPr>
          <w:rStyle w:val="libFootnoteBoldChar"/>
          <w:rtl/>
        </w:rPr>
        <w:t>الوافي</w:t>
      </w:r>
      <w:r w:rsidR="00E3253D" w:rsidRPr="005D642E">
        <w:rPr>
          <w:rtl/>
        </w:rPr>
        <w:t xml:space="preserve"> ، ج 25 ، ص 514 ، ح 24543 ؛ </w:t>
      </w:r>
      <w:r w:rsidR="00E3253D" w:rsidRPr="002F4D34">
        <w:rPr>
          <w:rStyle w:val="libFootnoteBoldChar"/>
          <w:rtl/>
        </w:rPr>
        <w:t>الوسائل</w:t>
      </w:r>
      <w:r w:rsidR="00E3253D" w:rsidRPr="005D642E">
        <w:rPr>
          <w:rtl/>
        </w:rPr>
        <w:t xml:space="preserve"> ، ج 3 ، ص 175 ، ح 3332.</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 « فليكشف</w:t>
      </w:r>
      <w:r w:rsidR="00E3253D">
        <w:rPr>
          <w:rtl/>
        </w:rPr>
        <w:t xml:space="preserve"> ».</w:t>
      </w:r>
      <w:r w:rsidR="00E3253D" w:rsidRPr="005D642E">
        <w:rPr>
          <w:rtl/>
        </w:rPr>
        <w:t xml:space="preserve"> وفي الوافي والوسائل </w:t>
      </w:r>
      <w:r w:rsidR="00B60612" w:rsidRPr="00B60612">
        <w:rPr>
          <w:rStyle w:val="libFootnoteBoldChar"/>
          <w:rtl/>
        </w:rPr>
        <w:t>والتهذيب</w:t>
      </w:r>
      <w:r w:rsidR="00E3253D" w:rsidRPr="005D642E">
        <w:rPr>
          <w:rtl/>
        </w:rPr>
        <w:t xml:space="preserve"> : + « عن</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بث ، بف » </w:t>
      </w:r>
      <w:r w:rsidR="000D749A" w:rsidRPr="000D749A">
        <w:rPr>
          <w:rStyle w:val="libFootnoteBoldCha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إلى</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ى ، بس ، جح ، جن » </w:t>
      </w:r>
      <w:r w:rsidR="000D749A" w:rsidRPr="000D749A">
        <w:rPr>
          <w:rStyle w:val="libFootnoteBoldChar"/>
          <w:rtl/>
        </w:rPr>
        <w:t>والوافي</w:t>
      </w:r>
      <w:r w:rsidR="00E3253D" w:rsidRPr="005D642E">
        <w:rPr>
          <w:rtl/>
        </w:rPr>
        <w:t xml:space="preserve"> : « وافهم</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30211" w:rsidTr="00330211">
        <w:tc>
          <w:tcPr>
            <w:tcW w:w="4006" w:type="dxa"/>
          </w:tcPr>
          <w:p w:rsidR="00330211" w:rsidRDefault="00330211" w:rsidP="00E3253D">
            <w:pPr>
              <w:pStyle w:val="libFootnote0"/>
              <w:rPr>
                <w:rStyle w:val="libFootnote0Char"/>
                <w:rtl/>
              </w:rPr>
            </w:pPr>
            <w:r w:rsidRPr="0042621E">
              <w:rPr>
                <w:rStyle w:val="libFootnote0Char"/>
                <w:rtl/>
              </w:rPr>
              <w:t>(7).</w:t>
            </w:r>
            <w:r w:rsidRPr="005D642E">
              <w:rPr>
                <w:rtl/>
              </w:rPr>
              <w:t xml:space="preserve"> في « جن » : « وعليّ</w:t>
            </w:r>
            <w:r>
              <w:rPr>
                <w:rtl/>
              </w:rPr>
              <w:t xml:space="preserve"> ».</w:t>
            </w:r>
          </w:p>
        </w:tc>
        <w:tc>
          <w:tcPr>
            <w:tcW w:w="4006" w:type="dxa"/>
          </w:tcPr>
          <w:p w:rsidR="00330211" w:rsidRDefault="00330211" w:rsidP="00E3253D">
            <w:pPr>
              <w:pStyle w:val="libFootnote0"/>
              <w:rPr>
                <w:rStyle w:val="libFootnote0Char"/>
                <w:rtl/>
              </w:rPr>
            </w:pPr>
            <w:r w:rsidRPr="0042621E">
              <w:rPr>
                <w:rStyle w:val="libFootnote0Char"/>
                <w:rtl/>
              </w:rPr>
              <w:t>(8).</w:t>
            </w:r>
            <w:r w:rsidRPr="005D642E">
              <w:rPr>
                <w:rtl/>
              </w:rPr>
              <w:t xml:space="preserve"> في « بخ » : « افهم » بدون الواو.</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بف » : « وأعد</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317 ، ح 923 ، بسنده عن محمّد بن أحمد بن يحيى ، عن محمّد بن إسماعيل </w:t>
      </w:r>
      <w:r w:rsidR="00996D44">
        <w:rPr>
          <w:rFonts w:hint="cs"/>
          <w:rtl/>
        </w:rPr>
        <w:t>.</w:t>
      </w:r>
      <w:r w:rsidR="00E3253D" w:rsidRPr="002F4D34">
        <w:rPr>
          <w:rStyle w:val="libFootnoteBoldChar"/>
          <w:rtl/>
        </w:rPr>
        <w:t>الوافي</w:t>
      </w:r>
      <w:r w:rsidR="00E3253D" w:rsidRPr="005D642E">
        <w:rPr>
          <w:rtl/>
        </w:rPr>
        <w:t xml:space="preserve"> ، ج 25 ، ص 515 ، ح 24545 ؛ </w:t>
      </w:r>
      <w:r w:rsidR="00E3253D" w:rsidRPr="002F4D34">
        <w:rPr>
          <w:rStyle w:val="libFootnoteBoldChar"/>
          <w:rtl/>
        </w:rPr>
        <w:t>الوسائل</w:t>
      </w:r>
      <w:r w:rsidR="00E3253D" w:rsidRPr="005D642E">
        <w:rPr>
          <w:rtl/>
        </w:rPr>
        <w:t xml:space="preserve"> ، ج 3 ، ص 174 ، ح 3331.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 إِذَا وُضِعَ الْمَيِّتُ فِي لَحْدِهِ ، فَقُلْ : بِسْمِ اللهِ </w:t>
      </w:r>
      <w:r w:rsidRPr="007C12DB">
        <w:rPr>
          <w:rStyle w:val="libFootnotenumChar"/>
          <w:rtl/>
        </w:rPr>
        <w:t>(1)</w:t>
      </w:r>
      <w:r w:rsidRPr="005D642E">
        <w:rPr>
          <w:rtl/>
          <w:lang w:bidi="fa-IR"/>
        </w:rPr>
        <w:t xml:space="preserve"> ، وَفِي سَبِيلِ اللهِ ، وَعَلى مِلَّةِ رَسُولِ اللهِ </w:t>
      </w:r>
      <w:r w:rsidR="0042621E" w:rsidRPr="0042621E">
        <w:rPr>
          <w:rStyle w:val="libAlaemChar"/>
          <w:rtl/>
        </w:rPr>
        <w:t>صلى‌الله‌عليه‌وآله</w:t>
      </w:r>
      <w:r w:rsidRPr="005D642E">
        <w:rPr>
          <w:rtl/>
          <w:lang w:bidi="fa-IR"/>
        </w:rPr>
        <w:t xml:space="preserve"> ، عَبْدُكَ ابْنُ عَبْدِكَ </w:t>
      </w:r>
      <w:r w:rsidRPr="007C12DB">
        <w:rPr>
          <w:rStyle w:val="libFootnotenumChar"/>
          <w:rtl/>
        </w:rPr>
        <w:t>(2)</w:t>
      </w:r>
      <w:r w:rsidRPr="005D642E">
        <w:rPr>
          <w:rtl/>
          <w:lang w:bidi="fa-IR"/>
        </w:rPr>
        <w:t xml:space="preserve"> ، نَزَلَ بِكَ ، وَأَنْتَ خَيْرُ مَنْزُولٍ بِهِ ؛ الل</w:t>
      </w:r>
      <w:r w:rsidR="00996D44">
        <w:rPr>
          <w:rFonts w:hint="cs"/>
          <w:rtl/>
          <w:lang w:bidi="fa-IR"/>
        </w:rPr>
        <w:t>ّ</w:t>
      </w:r>
      <w:r w:rsidRPr="005D642E">
        <w:rPr>
          <w:rtl/>
          <w:lang w:bidi="fa-IR"/>
        </w:rPr>
        <w:t xml:space="preserve">هُمَّ افْسَحْ </w:t>
      </w:r>
      <w:r w:rsidRPr="007C12DB">
        <w:rPr>
          <w:rStyle w:val="libFootnotenumChar"/>
          <w:rtl/>
        </w:rPr>
        <w:t>(3)</w:t>
      </w:r>
      <w:r w:rsidRPr="005D642E">
        <w:rPr>
          <w:rtl/>
          <w:lang w:bidi="fa-IR"/>
        </w:rPr>
        <w:t xml:space="preserve"> لَهُ فِي قَبْرِهِ ، وَأَلْحِقْهُ بِنَبِيِّهِ ؛ الل</w:t>
      </w:r>
      <w:r w:rsidR="00996D44">
        <w:rPr>
          <w:rFonts w:hint="cs"/>
          <w:rtl/>
          <w:lang w:bidi="fa-IR"/>
        </w:rPr>
        <w:t>ّ</w:t>
      </w:r>
      <w:r w:rsidRPr="005D642E">
        <w:rPr>
          <w:rtl/>
          <w:lang w:bidi="fa-IR"/>
        </w:rPr>
        <w:t xml:space="preserve">هُمَّ إِنَّا لَانَعْلَمُ مِنْهُ </w:t>
      </w:r>
      <w:r w:rsidRPr="007C12DB">
        <w:rPr>
          <w:rStyle w:val="libFootnotenumChar"/>
          <w:rtl/>
        </w:rPr>
        <w:t>(4)</w:t>
      </w:r>
      <w:r w:rsidR="00996D44">
        <w:rPr>
          <w:rtl/>
          <w:lang w:bidi="fa-IR"/>
        </w:rPr>
        <w:t xml:space="preserve"> إِل</w:t>
      </w:r>
      <w:r w:rsidR="00996D44">
        <w:rPr>
          <w:rFonts w:hint="cs"/>
          <w:rtl/>
          <w:lang w:bidi="fa-IR"/>
        </w:rPr>
        <w:t>َّ</w:t>
      </w:r>
      <w:r w:rsidR="00996D44">
        <w:rPr>
          <w:rtl/>
          <w:lang w:bidi="fa-IR"/>
        </w:rPr>
        <w:t>ا</w:t>
      </w:r>
      <w:r w:rsidRPr="005D642E">
        <w:rPr>
          <w:rtl/>
          <w:lang w:bidi="fa-IR"/>
        </w:rPr>
        <w:t xml:space="preserve"> خَيْراً ، وَأَنْتَ أَعْلَمُ بِهِ </w:t>
      </w:r>
      <w:r w:rsidRPr="007C12DB">
        <w:rPr>
          <w:rStyle w:val="libFootnotenumChar"/>
          <w:rtl/>
        </w:rPr>
        <w:t>(5)</w:t>
      </w:r>
      <w:r w:rsidR="00F44607" w:rsidRPr="00F44607">
        <w:rPr>
          <w:rFonts w:hint="cs"/>
          <w:rtl/>
        </w:rPr>
        <w:t>.</w:t>
      </w:r>
    </w:p>
    <w:p w:rsidR="00E3253D" w:rsidRPr="005D642E" w:rsidRDefault="00E3253D" w:rsidP="00E3253D">
      <w:pPr>
        <w:pStyle w:val="libNormal"/>
        <w:rPr>
          <w:rtl/>
          <w:lang w:bidi="fa-IR"/>
        </w:rPr>
      </w:pPr>
      <w:r w:rsidRPr="005D642E">
        <w:rPr>
          <w:rtl/>
          <w:lang w:bidi="fa-IR"/>
        </w:rPr>
        <w:t xml:space="preserve">فَإِذَا وَضَعْتَ عَلَيْهِ اللَّبِنَ </w:t>
      </w:r>
      <w:r w:rsidRPr="007C12DB">
        <w:rPr>
          <w:rStyle w:val="libFootnotenumChar"/>
          <w:rtl/>
        </w:rPr>
        <w:t>(6)</w:t>
      </w:r>
      <w:r w:rsidRPr="005D642E">
        <w:rPr>
          <w:rtl/>
          <w:lang w:bidi="fa-IR"/>
        </w:rPr>
        <w:t xml:space="preserve"> ، فَقُلِ : الل</w:t>
      </w:r>
      <w:r w:rsidR="00996D44">
        <w:rPr>
          <w:rFonts w:hint="cs"/>
          <w:rtl/>
          <w:lang w:bidi="fa-IR"/>
        </w:rPr>
        <w:t>ّ</w:t>
      </w:r>
      <w:r w:rsidRPr="005D642E">
        <w:rPr>
          <w:rtl/>
          <w:lang w:bidi="fa-IR"/>
        </w:rPr>
        <w:t xml:space="preserve">هُمَّ صِلْ وَحْدَتَهُ ، وَآنِسْ وَحْشَتَهُ </w:t>
      </w:r>
      <w:r w:rsidRPr="007C12DB">
        <w:rPr>
          <w:rStyle w:val="libFootnotenumChar"/>
          <w:rtl/>
        </w:rPr>
        <w:t>(7)</w:t>
      </w:r>
      <w:r w:rsidRPr="005D642E">
        <w:rPr>
          <w:rtl/>
          <w:lang w:bidi="fa-IR"/>
        </w:rPr>
        <w:t xml:space="preserve"> ، وَأَسْكِنْ </w:t>
      </w:r>
      <w:r w:rsidRPr="007C12DB">
        <w:rPr>
          <w:rStyle w:val="libFootnotenumChar"/>
          <w:rtl/>
        </w:rPr>
        <w:t>(8)</w:t>
      </w:r>
      <w:r w:rsidRPr="005D642E">
        <w:rPr>
          <w:rtl/>
          <w:lang w:bidi="fa-IR"/>
        </w:rPr>
        <w:t xml:space="preserve"> إِلَيْهِ مِنْ رَحْمَتِكَ رَحْمَةً تُغْنِيهِ </w:t>
      </w:r>
      <w:r w:rsidRPr="007C12DB">
        <w:rPr>
          <w:rStyle w:val="libFootnotenumChar"/>
          <w:rtl/>
        </w:rPr>
        <w:t>(9)</w:t>
      </w:r>
      <w:r w:rsidRPr="005D642E">
        <w:rPr>
          <w:rtl/>
          <w:lang w:bidi="fa-IR"/>
        </w:rPr>
        <w:t xml:space="preserve"> عَنْ رَحْمَةِ مَنْ سِوَاكَ.</w:t>
      </w:r>
    </w:p>
    <w:p w:rsidR="00E3253D" w:rsidRPr="005D642E" w:rsidRDefault="00E3253D" w:rsidP="00E3253D">
      <w:pPr>
        <w:pStyle w:val="libNormal"/>
        <w:rPr>
          <w:rtl/>
          <w:lang w:bidi="fa-IR"/>
        </w:rPr>
      </w:pPr>
      <w:r w:rsidRPr="005D642E">
        <w:rPr>
          <w:rtl/>
          <w:lang w:bidi="fa-IR"/>
        </w:rPr>
        <w:t xml:space="preserve">فَإِذَا </w:t>
      </w:r>
      <w:r w:rsidRPr="007C12DB">
        <w:rPr>
          <w:rStyle w:val="libFootnotenumChar"/>
          <w:rtl/>
        </w:rPr>
        <w:t>(10)</w:t>
      </w:r>
      <w:r w:rsidRPr="005D642E">
        <w:rPr>
          <w:rtl/>
          <w:lang w:bidi="fa-IR"/>
        </w:rPr>
        <w:t xml:space="preserve"> خَرَجْتَ مِنْ قَبْرِهِ ، فَقُلْ : </w:t>
      </w:r>
      <w:r w:rsidRPr="00AC51C5">
        <w:rPr>
          <w:rStyle w:val="libAlaemChar"/>
          <w:rtl/>
        </w:rPr>
        <w:t>(</w:t>
      </w:r>
      <w:r w:rsidRPr="00AC51C5">
        <w:rPr>
          <w:rStyle w:val="libAieChar"/>
          <w:rtl/>
        </w:rPr>
        <w:t xml:space="preserve"> إِنّ</w:t>
      </w:r>
      <w:r w:rsidR="00F44607">
        <w:rPr>
          <w:rStyle w:val="libAieChar"/>
          <w:rFonts w:hint="cs"/>
          <w:rtl/>
        </w:rPr>
        <w:t>َ</w:t>
      </w:r>
      <w:r w:rsidRPr="00AC51C5">
        <w:rPr>
          <w:rStyle w:val="libAieChar"/>
          <w:rtl/>
        </w:rPr>
        <w:t>ا لِلّهِ وَإِنّ</w:t>
      </w:r>
      <w:r w:rsidR="00F44607">
        <w:rPr>
          <w:rStyle w:val="libAieChar"/>
          <w:rFonts w:hint="cs"/>
          <w:rtl/>
        </w:rPr>
        <w:t>َ</w:t>
      </w:r>
      <w:r w:rsidRPr="00AC51C5">
        <w:rPr>
          <w:rStyle w:val="libAieChar"/>
          <w:rtl/>
        </w:rPr>
        <w:t>ا إِلَيْهِ ر</w:t>
      </w:r>
      <w:r w:rsidR="00F44607">
        <w:rPr>
          <w:rStyle w:val="libAieChar"/>
          <w:rFonts w:hint="cs"/>
          <w:rtl/>
        </w:rPr>
        <w:t>َ</w:t>
      </w:r>
      <w:r w:rsidRPr="00AC51C5">
        <w:rPr>
          <w:rStyle w:val="libAieChar"/>
          <w:rtl/>
        </w:rPr>
        <w:t xml:space="preserve">اجِعُونَ </w:t>
      </w:r>
      <w:r w:rsidRPr="00AC51C5">
        <w:rPr>
          <w:rStyle w:val="libAlaemChar"/>
          <w:rtl/>
        </w:rPr>
        <w:t>)</w:t>
      </w:r>
      <w:r w:rsidRPr="005D642E">
        <w:rPr>
          <w:rtl/>
          <w:lang w:bidi="fa-IR"/>
        </w:rPr>
        <w:t xml:space="preserve"> </w:t>
      </w:r>
      <w:r w:rsidRPr="007C12DB">
        <w:rPr>
          <w:rStyle w:val="libFootnotenumChar"/>
          <w:rtl/>
        </w:rPr>
        <w:t>(11)</w:t>
      </w:r>
      <w:r w:rsidRPr="005D642E">
        <w:rPr>
          <w:rtl/>
          <w:lang w:bidi="fa-IR"/>
        </w:rPr>
        <w:t xml:space="preserve"> ، وَالْحَمْدُ لِلّهِ رَبِّ الْعَالَمِينَ ؛ الل</w:t>
      </w:r>
      <w:r w:rsidR="001E14CE">
        <w:rPr>
          <w:rFonts w:hint="cs"/>
          <w:rtl/>
          <w:lang w:bidi="fa-IR"/>
        </w:rPr>
        <w:t>ّ</w:t>
      </w:r>
      <w:r w:rsidRPr="005D642E">
        <w:rPr>
          <w:rtl/>
          <w:lang w:bidi="fa-IR"/>
        </w:rPr>
        <w:t xml:space="preserve">هُمَّ ارْفَعْ دَرَجَتَهُ فِي أَعْلى عِلِّيِّينَ ، وَاخْلُفْ عَلى عَقِبِهِ فِي الْغَابِرِينَ </w:t>
      </w:r>
      <w:r w:rsidRPr="007C12DB">
        <w:rPr>
          <w:rStyle w:val="libFootnotenumChar"/>
          <w:rtl/>
        </w:rPr>
        <w:t>(12)</w:t>
      </w:r>
      <w:r w:rsidRPr="005D642E">
        <w:rPr>
          <w:rtl/>
          <w:lang w:bidi="fa-IR"/>
        </w:rPr>
        <w:t xml:space="preserve"> ، يَا رَبَّ الْعَالَمِينَ </w:t>
      </w:r>
      <w:r w:rsidRPr="007C12DB">
        <w:rPr>
          <w:rStyle w:val="libFootnotenumChar"/>
          <w:rtl/>
        </w:rPr>
        <w:t>(13)</w:t>
      </w:r>
      <w:r>
        <w:rPr>
          <w:rtl/>
          <w:lang w:bidi="fa-IR"/>
        </w:rPr>
        <w:t xml:space="preserve"> ».</w:t>
      </w:r>
      <w:r w:rsidRPr="005D642E">
        <w:rPr>
          <w:rtl/>
          <w:lang w:bidi="fa-IR"/>
        </w:rPr>
        <w:t xml:space="preserve"> </w:t>
      </w:r>
      <w:r w:rsidRPr="007C12DB">
        <w:rPr>
          <w:rStyle w:val="libFootnotenumChar"/>
          <w:rtl/>
        </w:rPr>
        <w:t>(14)</w:t>
      </w:r>
      <w:r w:rsidRPr="005D642E">
        <w:rPr>
          <w:rtl/>
          <w:lang w:bidi="fa-IR"/>
        </w:rPr>
        <w:t xml:space="preserve"> ‌</w:t>
      </w:r>
    </w:p>
    <w:p w:rsidR="00E3253D" w:rsidRPr="005D642E" w:rsidRDefault="00E3253D" w:rsidP="00E3253D">
      <w:pPr>
        <w:pStyle w:val="libNormal"/>
        <w:rPr>
          <w:rtl/>
          <w:lang w:bidi="fa-IR"/>
        </w:rPr>
      </w:pPr>
      <w:r w:rsidRPr="00065ED4">
        <w:rPr>
          <w:rtl/>
        </w:rPr>
        <w:t>4555</w:t>
      </w:r>
      <w:r w:rsidRPr="00246318">
        <w:rPr>
          <w:rStyle w:val="libBold2Char"/>
          <w:rtl/>
        </w:rPr>
        <w:t xml:space="preserve"> / 7.</w:t>
      </w:r>
      <w:r w:rsidRPr="005D642E">
        <w:rPr>
          <w:rtl/>
          <w:lang w:bidi="fa-IR"/>
        </w:rPr>
        <w:t xml:space="preserve"> عَنْهُ ، عَنْ أَبِيهِ ، عَنْ حَمَّادٍ ، عَنْ حَرِيزٍ ، عَنْ زُرَارَةَ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حاشية « بخ » : + « وبالله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 « وابن عبدك</w:t>
      </w:r>
      <w:r w:rsidR="00E3253D">
        <w:rPr>
          <w:rtl/>
        </w:rPr>
        <w:t xml:space="preserve"> ».</w:t>
      </w:r>
      <w:r w:rsidR="00E3253D" w:rsidRPr="005D642E">
        <w:rPr>
          <w:rtl/>
        </w:rPr>
        <w:t xml:space="preserve"> وفي « بح » : « ابن أمتك</w:t>
      </w:r>
      <w:r w:rsidR="00E3253D">
        <w:rPr>
          <w:rtl/>
        </w:rPr>
        <w:t xml:space="preserve"> ».</w:t>
      </w:r>
      <w:r w:rsidR="00E3253D" w:rsidRPr="005D642E">
        <w:rPr>
          <w:rtl/>
        </w:rPr>
        <w:t xml:space="preserve"> وفي « جح » : + « ابن أمتك</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بث ، جس » : « افتح</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بث ، بخ ، بس ، بف ، جح ، جس ، جن » :</w:t>
      </w:r>
      <w:r w:rsidR="00E3253D">
        <w:rPr>
          <w:rtl/>
        </w:rPr>
        <w:t xml:space="preserve"> </w:t>
      </w:r>
      <w:r w:rsidR="007642BC">
        <w:rPr>
          <w:rtl/>
        </w:rPr>
        <w:t>-</w:t>
      </w:r>
      <w:r w:rsidR="00E3253D">
        <w:rPr>
          <w:rtl/>
        </w:rPr>
        <w:t xml:space="preserve"> </w:t>
      </w:r>
      <w:r w:rsidR="00E3253D" w:rsidRPr="005D642E">
        <w:rPr>
          <w:rtl/>
        </w:rPr>
        <w:t>« منه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 + « منّا</w:t>
      </w:r>
      <w:r w:rsidR="00E3253D">
        <w:rPr>
          <w:rtl/>
        </w:rPr>
        <w:t xml:space="preserve"> ».</w:t>
      </w:r>
    </w:p>
    <w:p w:rsidR="00E3253D" w:rsidRPr="005D642E" w:rsidRDefault="0042621E" w:rsidP="001E14CE">
      <w:pPr>
        <w:pStyle w:val="libFootnote0"/>
        <w:rPr>
          <w:rtl/>
          <w:lang w:bidi="fa-IR"/>
        </w:rPr>
      </w:pPr>
      <w:r w:rsidRPr="0042621E">
        <w:rPr>
          <w:rStyle w:val="libFootnote0Char"/>
          <w:rtl/>
        </w:rPr>
        <w:t>(6).</w:t>
      </w:r>
      <w:r w:rsidR="00E3253D" w:rsidRPr="005D642E">
        <w:rPr>
          <w:rtl/>
        </w:rPr>
        <w:t xml:space="preserve"> « اللبن » ، ككتف : المضروب من الطين مربّعاً للبناء ويقال فيه بالكسر وبكسرتين لغة. راجع : </w:t>
      </w:r>
      <w:r w:rsidR="00E3253D" w:rsidRPr="002F4D34">
        <w:rPr>
          <w:rStyle w:val="libFootnoteBoldChar"/>
          <w:rtl/>
        </w:rPr>
        <w:t xml:space="preserve">القاموس‌المحيط </w:t>
      </w:r>
      <w:r w:rsidR="00E3253D" w:rsidRPr="005D642E">
        <w:rPr>
          <w:rtl/>
        </w:rPr>
        <w:t>، ج 2 ، ص 1614 ( لبن )</w:t>
      </w:r>
      <w:r w:rsidR="00E3253D">
        <w:rPr>
          <w:rtl/>
        </w:rPr>
        <w:t>.</w:t>
      </w:r>
      <w:r w:rsidR="001E14CE">
        <w:rPr>
          <w:rFonts w:hint="cs"/>
          <w:rtl/>
        </w:rPr>
        <w:t xml:space="preserve">              </w:t>
      </w:r>
      <w:r w:rsidRPr="0042621E">
        <w:rPr>
          <w:rStyle w:val="libFootnote0Char"/>
          <w:rtl/>
        </w:rPr>
        <w:t>(7).</w:t>
      </w:r>
      <w:r w:rsidR="00E3253D" w:rsidRPr="005D642E">
        <w:rPr>
          <w:rtl/>
        </w:rPr>
        <w:t xml:space="preserve"> في الوافي : + « وآمن روعته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الوافي</w:t>
      </w:r>
      <w:r w:rsidR="00E3253D" w:rsidRPr="005D642E">
        <w:rPr>
          <w:rtl/>
        </w:rPr>
        <w:t xml:space="preserve"> : « أسكن ، بفتح الهمزة ؛ من الإسكان ، ضمّن معنى الضمّ فعدّي بإلى</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 + « بها</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بث ، بس ، جح ، جس ، جن » والواسائل : « وإذا</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البقرة </w:t>
      </w:r>
      <w:r w:rsidRPr="0042621E">
        <w:rPr>
          <w:rStyle w:val="libFootnote0Char"/>
          <w:rtl/>
        </w:rPr>
        <w:t>(2)</w:t>
      </w:r>
      <w:r w:rsidR="00E3253D" w:rsidRPr="005D642E">
        <w:rPr>
          <w:rtl/>
        </w:rPr>
        <w:t xml:space="preserve"> : 156.</w:t>
      </w:r>
    </w:p>
    <w:p w:rsidR="00E3253D" w:rsidRPr="005D642E" w:rsidRDefault="0042621E" w:rsidP="001E14CE">
      <w:pPr>
        <w:pStyle w:val="libFootnote0"/>
        <w:rPr>
          <w:rtl/>
          <w:lang w:bidi="fa-IR"/>
        </w:rPr>
      </w:pPr>
      <w:r w:rsidRPr="0042621E">
        <w:rPr>
          <w:rStyle w:val="libFootnote0Char"/>
          <w:rtl/>
        </w:rPr>
        <w:t>(12).</w:t>
      </w:r>
      <w:r w:rsidR="00E3253D" w:rsidRPr="005D642E">
        <w:rPr>
          <w:rtl/>
        </w:rPr>
        <w:t xml:space="preserve"> قد مضى توضيح ما يتعلّق بقوله </w:t>
      </w:r>
      <w:r w:rsidR="00E3253D" w:rsidRPr="001E14CE">
        <w:rPr>
          <w:rStyle w:val="libFootnoteAlaemChar"/>
          <w:rtl/>
        </w:rPr>
        <w:t>عليه‌السلام</w:t>
      </w:r>
      <w:r w:rsidR="00E3253D" w:rsidRPr="005D642E">
        <w:rPr>
          <w:rtl/>
        </w:rPr>
        <w:t xml:space="preserve"> : « واخلف على عقبه في الغابرين » ذيل الحديث 4506 ؛ إن شئت فراجع‌هناك.</w:t>
      </w:r>
      <w:r w:rsidR="001E14CE">
        <w:rPr>
          <w:rFonts w:hint="cs"/>
          <w:rtl/>
        </w:rPr>
        <w:t xml:space="preserve">                                                   </w:t>
      </w:r>
      <w:r w:rsidRPr="0042621E">
        <w:rPr>
          <w:rStyle w:val="libFootnote0Char"/>
          <w:rtl/>
        </w:rPr>
        <w:t>(13).</w:t>
      </w:r>
      <w:r w:rsidR="00E3253D" w:rsidRPr="005D642E">
        <w:rPr>
          <w:rtl/>
        </w:rPr>
        <w:t xml:space="preserve"> في الوسائل </w:t>
      </w:r>
      <w:r w:rsidR="00B60612" w:rsidRPr="00B60612">
        <w:rPr>
          <w:rStyle w:val="libFootnoteBoldChar"/>
          <w:rtl/>
        </w:rPr>
        <w:t>والتهذيب</w:t>
      </w:r>
      <w:r w:rsidR="00E3253D" w:rsidRPr="005D642E">
        <w:rPr>
          <w:rtl/>
        </w:rPr>
        <w:t xml:space="preserve"> : + « وعندك نحتسبه</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w:t>
      </w:r>
      <w:r w:rsidR="00E3253D" w:rsidRPr="002F4D34">
        <w:rPr>
          <w:rStyle w:val="libFootnoteBoldChar"/>
          <w:rtl/>
        </w:rPr>
        <w:t>التهذيب</w:t>
      </w:r>
      <w:r w:rsidR="00E3253D" w:rsidRPr="005D642E">
        <w:rPr>
          <w:rtl/>
        </w:rPr>
        <w:t xml:space="preserve"> ، ج 1 ، ص 316 ، ح 920 ، بسنده عن حمّاد بن عيسى ، مع اختلاف يسير </w:t>
      </w:r>
      <w:r w:rsidR="00BD27E4">
        <w:rPr>
          <w:rFonts w:hint="cs"/>
          <w:rtl/>
        </w:rPr>
        <w:t>.</w:t>
      </w:r>
      <w:r w:rsidR="00E3253D" w:rsidRPr="002F4D34">
        <w:rPr>
          <w:rStyle w:val="libFootnoteBoldChar"/>
          <w:rtl/>
        </w:rPr>
        <w:t>الوافي</w:t>
      </w:r>
      <w:r w:rsidR="00E3253D" w:rsidRPr="005D642E">
        <w:rPr>
          <w:rtl/>
        </w:rPr>
        <w:t xml:space="preserve"> ، ج 25 ، ص 515 ، ح 24546 ؛ </w:t>
      </w:r>
      <w:r w:rsidR="00E3253D" w:rsidRPr="002F4D34">
        <w:rPr>
          <w:rStyle w:val="libFootnoteBoldChar"/>
          <w:rtl/>
        </w:rPr>
        <w:t>الوسائل</w:t>
      </w:r>
      <w:r w:rsidR="00E3253D" w:rsidRPr="005D642E">
        <w:rPr>
          <w:rtl/>
        </w:rPr>
        <w:t xml:space="preserve"> ، ج 3 ، ص 177 ، ح 3338.</w:t>
      </w:r>
    </w:p>
    <w:p w:rsidR="00E3253D" w:rsidRDefault="00E3253D" w:rsidP="00E3253D">
      <w:pPr>
        <w:pStyle w:val="libNormal"/>
        <w:rPr>
          <w:rtl/>
          <w:lang w:bidi="fa-IR"/>
        </w:rPr>
      </w:pPr>
      <w:r>
        <w:rPr>
          <w:rtl/>
          <w:lang w:bidi="fa-IR"/>
        </w:rPr>
        <w:br w:type="page"/>
      </w:r>
    </w:p>
    <w:p w:rsidR="00E3253D" w:rsidRPr="005D642E" w:rsidRDefault="00E3253D" w:rsidP="00BD27E4">
      <w:pPr>
        <w:pStyle w:val="libNormal"/>
        <w:rPr>
          <w:rtl/>
          <w:lang w:bidi="fa-IR"/>
        </w:rPr>
      </w:pPr>
      <w:r w:rsidRPr="005D642E">
        <w:rPr>
          <w:rtl/>
          <w:lang w:bidi="fa-IR"/>
        </w:rPr>
        <w:t xml:space="preserve">إِذَا وَضَعْتَ الْمَيِّتَ فِي لَحْدِهِ ، قَرَأْتَ آيَةَ الْكُرْسِيِّ ، وَاضْرِبْ يَدَكَ عَلى مَنْكِبِهِ الْأَيْمَنِ </w:t>
      </w:r>
      <w:r w:rsidRPr="007C12DB">
        <w:rPr>
          <w:rStyle w:val="libFootnotenumChar"/>
          <w:rtl/>
        </w:rPr>
        <w:t>(1)</w:t>
      </w:r>
      <w:r>
        <w:rPr>
          <w:rtl/>
          <w:lang w:bidi="fa-IR"/>
        </w:rPr>
        <w:t xml:space="preserve"> ، ثُمَّ قُلْ : "</w:t>
      </w:r>
      <w:r w:rsidRPr="005D642E">
        <w:rPr>
          <w:rtl/>
          <w:lang w:bidi="fa-IR"/>
        </w:rPr>
        <w:t xml:space="preserve">يَا فُلَانُ ، قُلْ : رَضِيتُ بِاللهِ رَبّاً ، وَبِالْإِسْلَامِ دِيناً ، وَبِمُحَمَّدٍ </w:t>
      </w:r>
      <w:r w:rsidR="00BD27E4" w:rsidRPr="0042621E">
        <w:rPr>
          <w:rStyle w:val="libAlaemChar"/>
          <w:rtl/>
        </w:rPr>
        <w:t>صلى‌الله‌عليه‌وآله</w:t>
      </w:r>
      <w:r w:rsidR="00BD27E4" w:rsidRPr="005D642E">
        <w:rPr>
          <w:rtl/>
          <w:lang w:bidi="fa-IR"/>
        </w:rPr>
        <w:t xml:space="preserve"> </w:t>
      </w:r>
      <w:r w:rsidRPr="005D642E">
        <w:rPr>
          <w:rtl/>
          <w:lang w:bidi="fa-IR"/>
        </w:rPr>
        <w:t xml:space="preserve">نَبِيّاً ، وَبِعَلِيٍّ </w:t>
      </w:r>
      <w:r w:rsidRPr="00AC51C5">
        <w:rPr>
          <w:rStyle w:val="libAlaemChar"/>
          <w:rtl/>
        </w:rPr>
        <w:t>عليه‌السلام</w:t>
      </w:r>
      <w:r w:rsidRPr="005D642E">
        <w:rPr>
          <w:rtl/>
          <w:lang w:bidi="fa-IR"/>
        </w:rPr>
        <w:t xml:space="preserve"> إِمَاماً" ، وَسَمِّ </w:t>
      </w:r>
      <w:r w:rsidRPr="007C12DB">
        <w:rPr>
          <w:rStyle w:val="libFootnotenumChar"/>
          <w:rtl/>
        </w:rPr>
        <w:t>(2)</w:t>
      </w:r>
      <w:r w:rsidRPr="005D642E">
        <w:rPr>
          <w:rtl/>
          <w:lang w:bidi="fa-IR"/>
        </w:rPr>
        <w:t xml:space="preserve"> إِمَامَ زَمَانِهِ. </w:t>
      </w:r>
      <w:r w:rsidRPr="007C12DB">
        <w:rPr>
          <w:rStyle w:val="libFootnotenumChar"/>
          <w:rtl/>
        </w:rPr>
        <w:t>(3)</w:t>
      </w:r>
    </w:p>
    <w:p w:rsidR="00E276B2" w:rsidRDefault="00E3253D" w:rsidP="00E276B2">
      <w:pPr>
        <w:pStyle w:val="libNormal"/>
        <w:rPr>
          <w:rtl/>
          <w:lang w:bidi="fa-IR"/>
        </w:rPr>
      </w:pPr>
      <w:r w:rsidRPr="00E07C6C">
        <w:rPr>
          <w:rtl/>
        </w:rPr>
        <w:t>4556</w:t>
      </w:r>
      <w:r w:rsidRPr="00246318">
        <w:rPr>
          <w:rStyle w:val="libBold2Char"/>
          <w:rtl/>
        </w:rPr>
        <w:t xml:space="preserve"> / 8.</w:t>
      </w:r>
      <w:r w:rsidRPr="005D642E">
        <w:rPr>
          <w:rtl/>
          <w:lang w:bidi="fa-IR"/>
        </w:rPr>
        <w:t xml:space="preserve"> عِدَّةٌ مِنْ أَصْحَابِنَا ، عَنْ سَهْلِ بْنِ زِيَادٍ ؛</w:t>
      </w:r>
    </w:p>
    <w:p w:rsidR="00E3253D" w:rsidRPr="005D642E" w:rsidRDefault="00E276B2" w:rsidP="00E276B2">
      <w:pPr>
        <w:pStyle w:val="libNormal"/>
        <w:rPr>
          <w:rtl/>
          <w:lang w:bidi="fa-IR"/>
        </w:rPr>
      </w:pPr>
      <w:r>
        <w:rPr>
          <w:rFonts w:hint="cs"/>
          <w:rtl/>
          <w:lang w:bidi="fa-IR"/>
        </w:rPr>
        <w:t xml:space="preserve">               </w:t>
      </w:r>
      <w:r w:rsidR="00E3253D" w:rsidRPr="005D642E">
        <w:rPr>
          <w:rtl/>
          <w:lang w:bidi="fa-IR"/>
        </w:rPr>
        <w:t>وَمُحَمَّدُ بْنُ يَحْيى ، عَنْ أَحْمَدَ بْنِ مُحَمَّدٍ جَمِيعاً ، عَنِ ابْنِ مَحْبُوبٍ ، عَنْ أَبِي أَيُّوبَ ، عَنْ سَمَاعَةَ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مَا أَقُولُ إِذَا أَدْخَلْتُ الْمَيِّتَ مِنَّا قَبْرَهُ</w:t>
      </w:r>
      <w:r>
        <w:rPr>
          <w:rtl/>
          <w:lang w:bidi="fa-IR"/>
        </w:rPr>
        <w:t>؟</w:t>
      </w:r>
    </w:p>
    <w:p w:rsidR="00E3253D" w:rsidRPr="005D642E" w:rsidRDefault="00E3253D" w:rsidP="00E3253D">
      <w:pPr>
        <w:pStyle w:val="libNormal"/>
        <w:rPr>
          <w:rtl/>
          <w:lang w:bidi="fa-IR"/>
        </w:rPr>
      </w:pPr>
      <w:r w:rsidRPr="005D642E">
        <w:rPr>
          <w:rtl/>
          <w:lang w:bidi="fa-IR"/>
        </w:rPr>
        <w:t>قَالَ : « قُلِ : الل</w:t>
      </w:r>
      <w:r w:rsidR="008F4E1F">
        <w:rPr>
          <w:rFonts w:hint="cs"/>
          <w:rtl/>
          <w:lang w:bidi="fa-IR"/>
        </w:rPr>
        <w:t>ّ</w:t>
      </w:r>
      <w:r w:rsidRPr="005D642E">
        <w:rPr>
          <w:rtl/>
          <w:lang w:bidi="fa-IR"/>
        </w:rPr>
        <w:t xml:space="preserve">هُمَّ هذَا عَبْدُكَ فُلَانٌ </w:t>
      </w:r>
      <w:r w:rsidRPr="007C12DB">
        <w:rPr>
          <w:rStyle w:val="libFootnotenumChar"/>
          <w:rtl/>
        </w:rPr>
        <w:t>(4)</w:t>
      </w:r>
      <w:r w:rsidRPr="005D642E">
        <w:rPr>
          <w:rtl/>
          <w:lang w:bidi="fa-IR"/>
        </w:rPr>
        <w:t xml:space="preserve"> وَابْنُ عَبْدِكَ ، قَدْ نَزَلَ </w:t>
      </w:r>
      <w:r w:rsidRPr="007C12DB">
        <w:rPr>
          <w:rStyle w:val="libFootnotenumChar"/>
          <w:rtl/>
        </w:rPr>
        <w:t>(5)</w:t>
      </w:r>
      <w:r w:rsidRPr="005D642E">
        <w:rPr>
          <w:rtl/>
          <w:lang w:bidi="fa-IR"/>
        </w:rPr>
        <w:t xml:space="preserve"> بِكَ ، وَأَنْتَ خَيْرُ مَنْزُولٍ بِهِ ، وَقَدِ احْتَاجَ </w:t>
      </w:r>
      <w:r w:rsidRPr="007C12DB">
        <w:rPr>
          <w:rStyle w:val="libFootnotenumChar"/>
          <w:rtl/>
        </w:rPr>
        <w:t>(6)</w:t>
      </w:r>
      <w:r w:rsidRPr="005D642E">
        <w:rPr>
          <w:rtl/>
          <w:lang w:bidi="fa-IR"/>
        </w:rPr>
        <w:t xml:space="preserve"> إِلى رَحْمَتِكَ ؛ الل</w:t>
      </w:r>
      <w:r w:rsidR="00603481">
        <w:rPr>
          <w:rFonts w:hint="cs"/>
          <w:rtl/>
          <w:lang w:bidi="fa-IR"/>
        </w:rPr>
        <w:t>ّ</w:t>
      </w:r>
      <w:r w:rsidRPr="005D642E">
        <w:rPr>
          <w:rtl/>
          <w:lang w:bidi="fa-IR"/>
        </w:rPr>
        <w:t xml:space="preserve">هُمَّ وَلَانَعْلَمُ مِنْهُ </w:t>
      </w:r>
      <w:r w:rsidRPr="007C12DB">
        <w:rPr>
          <w:rStyle w:val="libFootnotenumChar"/>
          <w:rtl/>
        </w:rPr>
        <w:t>(7)</w:t>
      </w:r>
      <w:r w:rsidR="00566DC4">
        <w:rPr>
          <w:rtl/>
          <w:lang w:bidi="fa-IR"/>
        </w:rPr>
        <w:t xml:space="preserve"> إِل</w:t>
      </w:r>
      <w:r w:rsidR="00566DC4">
        <w:rPr>
          <w:rFonts w:hint="cs"/>
          <w:rtl/>
          <w:lang w:bidi="fa-IR"/>
        </w:rPr>
        <w:t>َّ</w:t>
      </w:r>
      <w:r w:rsidR="00566DC4">
        <w:rPr>
          <w:rtl/>
          <w:lang w:bidi="fa-IR"/>
        </w:rPr>
        <w:t>ا</w:t>
      </w:r>
      <w:r w:rsidRPr="005D642E">
        <w:rPr>
          <w:rtl/>
          <w:lang w:bidi="fa-IR"/>
        </w:rPr>
        <w:t xml:space="preserve"> خَيْراً ، وَأَنْتَ أَعْلَمُ بِسَرِيرَتِهِ ، وَنَحْنُ الشُّهَدَاءُ </w:t>
      </w:r>
      <w:r w:rsidRPr="007C12DB">
        <w:rPr>
          <w:rStyle w:val="libFootnotenumChar"/>
          <w:rtl/>
        </w:rPr>
        <w:t>(8)</w:t>
      </w:r>
      <w:r w:rsidRPr="005D642E">
        <w:rPr>
          <w:rtl/>
          <w:lang w:bidi="fa-IR"/>
        </w:rPr>
        <w:t xml:space="preserve"> بِعَلَانِيَتِهِ ؛ الل</w:t>
      </w:r>
      <w:r w:rsidR="006E6354">
        <w:rPr>
          <w:rFonts w:hint="cs"/>
          <w:rtl/>
          <w:lang w:bidi="fa-IR"/>
        </w:rPr>
        <w:t>ّ</w:t>
      </w:r>
      <w:r w:rsidRPr="005D642E">
        <w:rPr>
          <w:rtl/>
          <w:lang w:bidi="fa-IR"/>
        </w:rPr>
        <w:t xml:space="preserve">هُمَّ فَجَافِ الْأَرْضَ عَنْ جَنْبَيْهِ ، وَلَقِّنْهُ حُجَّتَهُ ، وَاجْعَلْ هذَا الْيَوْمَ خَيْرَ يَوْمٍ أَتى عَلَيْهِ ، وَاجْعَلْ هذَا الْقَبْرَ خَيْرَ بَيْتٍ نَزَلَ فِيهِ </w:t>
      </w:r>
      <w:r w:rsidRPr="007C12DB">
        <w:rPr>
          <w:rStyle w:val="libFootnotenumChar"/>
          <w:rtl/>
        </w:rPr>
        <w:t>(9)</w:t>
      </w:r>
      <w:r w:rsidRPr="005D642E">
        <w:rPr>
          <w:rtl/>
          <w:lang w:bidi="fa-IR"/>
        </w:rPr>
        <w:t xml:space="preserve"> ، وَصَيِّرْهُ إِلى خَيْرٍ مِمَّا‌</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قال الشيخ البهائي : « وما تضمّنه الحديث من ضرب اليد على منكبه الأيمن قد يقال : إنّ المراد به وضعها تحت‌منكبه ، كما عبّر به الصدوق ؛ لأنّ المنكب الأيمن حينئذٍ ممّا يلي الأرض ؛ إذ هو مجموع العضد والكتف</w:t>
      </w:r>
      <w:r w:rsidR="00E3253D">
        <w:rPr>
          <w:rtl/>
        </w:rPr>
        <w:t xml:space="preserve"> ».</w:t>
      </w:r>
      <w:r w:rsidR="006E6354">
        <w:rPr>
          <w:rtl/>
        </w:rPr>
        <w:t xml:space="preserve"> وقال العل</w:t>
      </w:r>
      <w:r w:rsidR="006E6354">
        <w:rPr>
          <w:rFonts w:hint="cs"/>
          <w:rtl/>
        </w:rPr>
        <w:t>ّ</w:t>
      </w:r>
      <w:r w:rsidR="006E6354">
        <w:rPr>
          <w:rtl/>
        </w:rPr>
        <w:t>ا</w:t>
      </w:r>
      <w:r w:rsidR="00E3253D" w:rsidRPr="005D642E">
        <w:rPr>
          <w:rtl/>
        </w:rPr>
        <w:t xml:space="preserve">مة المجلسي : « قوله </w:t>
      </w:r>
      <w:r w:rsidR="00E3253D" w:rsidRPr="006E6354">
        <w:rPr>
          <w:rStyle w:val="libFootnoteAlaemChar"/>
          <w:rtl/>
        </w:rPr>
        <w:t>عليه‌السلام</w:t>
      </w:r>
      <w:r w:rsidR="00E3253D" w:rsidRPr="005D642E">
        <w:rPr>
          <w:rtl/>
        </w:rPr>
        <w:t xml:space="preserve"> : واضرب يدك إلخ ، قال الشيخ البهائي </w:t>
      </w:r>
      <w:r w:rsidR="00E3253D" w:rsidRPr="00BF45E6">
        <w:rPr>
          <w:rStyle w:val="libFootnoteAlaemChar"/>
          <w:rtl/>
        </w:rPr>
        <w:t>رحمه‌الله</w:t>
      </w:r>
      <w:r w:rsidR="00E3253D" w:rsidRPr="005D642E">
        <w:rPr>
          <w:rtl/>
        </w:rPr>
        <w:t xml:space="preserve"> : فيه ما لا يخفى ؛ فإنّ الضرب على منكبه الأيمن يقتضى بظاهره عدم إضجاعه على الجانب الأيمن ، والنسخ التي رأيناها غير متخالفة في لفظ الأيمن ، وقد ذهب ابن حمزة إلى استحباب الاستقبال بالميّت في القبر ، وهذا الحديث يساعده » ثمّ نقل عنه ما نقلناه. راجع : </w:t>
      </w:r>
      <w:r w:rsidR="00E3253D" w:rsidRPr="002F4D34">
        <w:rPr>
          <w:rStyle w:val="libFootnoteBoldChar"/>
          <w:rtl/>
        </w:rPr>
        <w:t>الحبل المتين</w:t>
      </w:r>
      <w:r w:rsidR="00E3253D" w:rsidRPr="005D642E">
        <w:rPr>
          <w:rtl/>
        </w:rPr>
        <w:t xml:space="preserve"> ، ص 245 ؛ </w:t>
      </w:r>
      <w:r w:rsidR="00E3253D" w:rsidRPr="002F4D34">
        <w:rPr>
          <w:rStyle w:val="libFootnoteBoldChar"/>
          <w:rtl/>
        </w:rPr>
        <w:t>مرآة العقول</w:t>
      </w:r>
      <w:r w:rsidR="00E3253D" w:rsidRPr="005D642E">
        <w:rPr>
          <w:rtl/>
        </w:rPr>
        <w:t xml:space="preserve"> ، ج 14 ، ص 99</w:t>
      </w:r>
      <w:r w:rsidR="00E3253D">
        <w:rPr>
          <w:rtl/>
        </w:rPr>
        <w:t xml:space="preserve"> </w:t>
      </w:r>
      <w:r w:rsidR="007642BC">
        <w:rPr>
          <w:rtl/>
        </w:rPr>
        <w:t>-</w:t>
      </w:r>
      <w:r w:rsidR="00E3253D">
        <w:rPr>
          <w:rtl/>
        </w:rPr>
        <w:t xml:space="preserve"> </w:t>
      </w:r>
      <w:r w:rsidR="00E3253D" w:rsidRPr="005D642E">
        <w:rPr>
          <w:rtl/>
        </w:rPr>
        <w:t>100.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 « وتسمّي</w:t>
      </w:r>
      <w:r w:rsidR="00E3253D">
        <w:rPr>
          <w:rtl/>
        </w:rPr>
        <w:t xml:space="preserve"> ».</w:t>
      </w:r>
      <w:r w:rsidR="00E3253D" w:rsidRPr="005D642E">
        <w:rPr>
          <w:rtl/>
        </w:rPr>
        <w:t xml:space="preserve"> وفي « بخ » : + « حتّى</w:t>
      </w:r>
      <w:r w:rsidR="00E3253D">
        <w:rPr>
          <w:rtl/>
        </w:rPr>
        <w:t xml:space="preserve"> ».</w:t>
      </w:r>
      <w:r w:rsidR="00E3253D" w:rsidRPr="005D642E">
        <w:rPr>
          <w:rtl/>
        </w:rPr>
        <w:t xml:space="preserve"> وفي حاشية « بث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ويسمّى</w:t>
      </w:r>
      <w:r w:rsidR="00E3253D">
        <w:rPr>
          <w:rtl/>
        </w:rPr>
        <w:t>».</w:t>
      </w:r>
    </w:p>
    <w:p w:rsidR="00E3253D" w:rsidRPr="005D642E" w:rsidRDefault="0042621E" w:rsidP="00BF45E6">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457 ، ح 1490 ، معلّقاً عن الحسين بن سعيد ، عن حمّاد بن عيسى ، عن حريز ، عن زرارة ، عن أبي جعفر </w:t>
      </w:r>
      <w:r w:rsidR="00E3253D" w:rsidRPr="006E6354">
        <w:rPr>
          <w:rStyle w:val="libFootnoteAlaemChar"/>
          <w:rtl/>
        </w:rPr>
        <w:t>عليه‌السلام</w:t>
      </w:r>
      <w:r w:rsidR="00E3253D" w:rsidRPr="005D642E">
        <w:rPr>
          <w:rtl/>
        </w:rPr>
        <w:t xml:space="preserve"> ، مع اختلاف يسير وزيادة </w:t>
      </w:r>
      <w:r w:rsidR="00BF45E6">
        <w:rPr>
          <w:rFonts w:hint="cs"/>
          <w:rtl/>
        </w:rPr>
        <w:t>.</w:t>
      </w:r>
      <w:r w:rsidR="00E3253D" w:rsidRPr="002F4D34">
        <w:rPr>
          <w:rStyle w:val="libFootnoteBoldChar"/>
          <w:rtl/>
        </w:rPr>
        <w:t>الوافي</w:t>
      </w:r>
      <w:r w:rsidR="00E3253D" w:rsidRPr="005D642E">
        <w:rPr>
          <w:rtl/>
        </w:rPr>
        <w:t xml:space="preserve"> ، ج 25 ، ص 516 ، ح 24547 ؛ </w:t>
      </w:r>
      <w:r w:rsidR="00E3253D" w:rsidRPr="002F4D34">
        <w:rPr>
          <w:rStyle w:val="libFootnoteBoldChar"/>
          <w:rtl/>
        </w:rPr>
        <w:t>الوسائل</w:t>
      </w:r>
      <w:r w:rsidR="00E3253D" w:rsidRPr="005D642E">
        <w:rPr>
          <w:rtl/>
        </w:rPr>
        <w:t xml:space="preserve"> ، ج 3 ، ص 174 ، ح 3329.</w:t>
      </w:r>
      <w:r w:rsidR="00BF45E6">
        <w:rPr>
          <w:rFonts w:hint="cs"/>
          <w:rtl/>
        </w:rPr>
        <w:t xml:space="preserve">                        </w:t>
      </w:r>
      <w:r w:rsidRPr="0042621E">
        <w:rPr>
          <w:rStyle w:val="libFootnote0Char"/>
          <w:rtl/>
        </w:rPr>
        <w:t>(4).</w:t>
      </w:r>
      <w:r w:rsidR="00E3253D" w:rsidRPr="005D642E">
        <w:rPr>
          <w:rtl/>
        </w:rPr>
        <w:t xml:space="preserve"> في « بث ، جس » وحاشية « بف » : + « عبدك</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جن » : « وقد نزل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ى ، بس ، جح ، جس ، جن » : « قد احتاج » بدون الواو.</w:t>
      </w:r>
    </w:p>
    <w:tbl>
      <w:tblPr>
        <w:tblStyle w:val="TableGrid"/>
        <w:bidiVisual/>
        <w:tblW w:w="0" w:type="auto"/>
        <w:tblLook w:val="04A0" w:firstRow="1" w:lastRow="0" w:firstColumn="1" w:lastColumn="0" w:noHBand="0" w:noVBand="1"/>
      </w:tblPr>
      <w:tblGrid>
        <w:gridCol w:w="4006"/>
        <w:gridCol w:w="4006"/>
      </w:tblGrid>
      <w:tr w:rsidR="00BF45E6" w:rsidTr="00BF45E6">
        <w:tc>
          <w:tcPr>
            <w:tcW w:w="4006" w:type="dxa"/>
          </w:tcPr>
          <w:p w:rsidR="00BF45E6" w:rsidRDefault="00BF45E6" w:rsidP="00E3253D">
            <w:pPr>
              <w:pStyle w:val="libFootnote0"/>
              <w:rPr>
                <w:rStyle w:val="libFootnote0Char"/>
                <w:rtl/>
              </w:rPr>
            </w:pPr>
            <w:r w:rsidRPr="0042621E">
              <w:rPr>
                <w:rStyle w:val="libFootnote0Char"/>
                <w:rtl/>
              </w:rPr>
              <w:t>(7).</w:t>
            </w:r>
            <w:r w:rsidRPr="005D642E">
              <w:rPr>
                <w:rtl/>
              </w:rPr>
              <w:t xml:space="preserve"> في « جس » : « به</w:t>
            </w:r>
            <w:r>
              <w:rPr>
                <w:rtl/>
              </w:rPr>
              <w:t xml:space="preserve"> ».</w:t>
            </w:r>
          </w:p>
        </w:tc>
        <w:tc>
          <w:tcPr>
            <w:tcW w:w="4006" w:type="dxa"/>
          </w:tcPr>
          <w:p w:rsidR="00BF45E6" w:rsidRDefault="00BF45E6" w:rsidP="00E3253D">
            <w:pPr>
              <w:pStyle w:val="libFootnote0"/>
              <w:rPr>
                <w:rStyle w:val="libFootnote0Char"/>
                <w:rtl/>
              </w:rPr>
            </w:pPr>
            <w:r w:rsidRPr="0042621E">
              <w:rPr>
                <w:rStyle w:val="libFootnote0Char"/>
                <w:rtl/>
              </w:rPr>
              <w:t>(8).</w:t>
            </w:r>
            <w:r w:rsidRPr="005D642E">
              <w:rPr>
                <w:rtl/>
              </w:rPr>
              <w:t xml:space="preserve"> في « بخ » : « شهداء</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 « به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كَانَ فِيهِ ، وَوَسِّعْ لَهُ فِي مَدْخَلِهِ ، وَآنِسْ وَحْشَتَهُ ، وَاغْفِرْ ذَنْبَهُ ، وَلَاتَحْرِمْنَا أَجْرَهُ ، وَلَا تُضِلَّنَا بَعْدَهُ</w:t>
      </w:r>
      <w:r>
        <w:rPr>
          <w:rtl/>
          <w:lang w:bidi="fa-IR"/>
        </w:rPr>
        <w:t>».</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AB6F65">
        <w:rPr>
          <w:rtl/>
        </w:rPr>
        <w:t>4557</w:t>
      </w:r>
      <w:r w:rsidRPr="00246318">
        <w:rPr>
          <w:rStyle w:val="libBold2Char"/>
          <w:rtl/>
        </w:rPr>
        <w:t xml:space="preserve"> / 9.</w:t>
      </w:r>
      <w:r w:rsidRPr="005D642E">
        <w:rPr>
          <w:rtl/>
          <w:lang w:bidi="fa-IR"/>
        </w:rPr>
        <w:t xml:space="preserve"> عَلِيُّ بْنُ إِبْرَاهِيمَ ، عَنْ أَبِيهِ ، عَنِ ابْنِ أَبِي عُمَيْرٍ ، عَنْ غَيْرِ وَاحِدٍ مِنْ أَصْحَابِنَا :</w:t>
      </w:r>
    </w:p>
    <w:p w:rsidR="00E3253D" w:rsidRPr="005D642E" w:rsidRDefault="00E3253D" w:rsidP="00312BD7">
      <w:pPr>
        <w:pStyle w:val="libNormal"/>
        <w:rPr>
          <w:rtl/>
          <w:lang w:bidi="fa-IR"/>
        </w:rPr>
      </w:pPr>
      <w:r w:rsidRPr="005D642E">
        <w:rPr>
          <w:rtl/>
          <w:lang w:bidi="fa-IR"/>
        </w:rPr>
        <w:t xml:space="preserve">عَنْ أَبِي عَبْدِ اللهِ </w:t>
      </w:r>
      <w:r w:rsidR="00312BD7" w:rsidRPr="00AC51C5">
        <w:rPr>
          <w:rStyle w:val="libAlaemChar"/>
          <w:rtl/>
        </w:rPr>
        <w:t>عليه‌السلام</w:t>
      </w:r>
      <w:r w:rsidR="00312BD7" w:rsidRPr="005D642E">
        <w:rPr>
          <w:rtl/>
          <w:lang w:bidi="fa-IR"/>
        </w:rPr>
        <w:t xml:space="preserve"> </w:t>
      </w:r>
      <w:r w:rsidRPr="005D642E">
        <w:rPr>
          <w:rtl/>
          <w:lang w:bidi="fa-IR"/>
        </w:rPr>
        <w:t xml:space="preserve">، قَالَ : « يُشَقُّ </w:t>
      </w:r>
      <w:r w:rsidRPr="007C12DB">
        <w:rPr>
          <w:rStyle w:val="libFootnotenumChar"/>
          <w:rtl/>
        </w:rPr>
        <w:t>(2)</w:t>
      </w:r>
      <w:r w:rsidRPr="005D642E">
        <w:rPr>
          <w:rtl/>
          <w:lang w:bidi="fa-IR"/>
        </w:rPr>
        <w:t xml:space="preserve"> الْكَفَنُ </w:t>
      </w:r>
      <w:r w:rsidRPr="007C12DB">
        <w:rPr>
          <w:rStyle w:val="libFootnotenumChar"/>
          <w:rtl/>
        </w:rPr>
        <w:t>(3)</w:t>
      </w:r>
      <w:r w:rsidRPr="005D642E">
        <w:rPr>
          <w:rtl/>
          <w:lang w:bidi="fa-IR"/>
        </w:rPr>
        <w:t xml:space="preserve"> مِنْ عِنْدِ رَأْسِ الْمَيِّتِ إِذَا أُدْخِلَ </w:t>
      </w:r>
      <w:r w:rsidRPr="007C12DB">
        <w:rPr>
          <w:rStyle w:val="libFootnotenumChar"/>
          <w:rtl/>
        </w:rPr>
        <w:t>(4)</w:t>
      </w:r>
      <w:r w:rsidRPr="005D642E">
        <w:rPr>
          <w:rtl/>
          <w:lang w:bidi="fa-IR"/>
        </w:rPr>
        <w:t xml:space="preserve"> قَبْرَهُ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AB6F65">
        <w:rPr>
          <w:rtl/>
        </w:rPr>
        <w:t>4558</w:t>
      </w:r>
      <w:r w:rsidRPr="00246318">
        <w:rPr>
          <w:rStyle w:val="libBold2Char"/>
          <w:rtl/>
        </w:rPr>
        <w:t xml:space="preserve"> / 10.</w:t>
      </w:r>
      <w:r w:rsidRPr="005D642E">
        <w:rPr>
          <w:rtl/>
          <w:lang w:bidi="fa-IR"/>
        </w:rPr>
        <w:t xml:space="preserve"> حُمَيْدُ بْنُ زِيَادٍ ، عَنِ الْحَسَنِ بْنِ مُحَمَّدِ بْنِ سَمَاعَةَ ، عَنْ بَعْضِ أَصْحَابِهِ ، عَنْ أَبَانٍ ، عَنْ عَبْدِ الرَّحْمنِ بْنِ سَيَابَةَ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سُلَّ </w:t>
      </w:r>
      <w:r w:rsidRPr="007C12DB">
        <w:rPr>
          <w:rStyle w:val="libFootnotenumChar"/>
          <w:rtl/>
        </w:rPr>
        <w:t>(7)</w:t>
      </w:r>
      <w:r w:rsidR="00146EF8">
        <w:rPr>
          <w:rtl/>
          <w:lang w:bidi="fa-IR"/>
        </w:rPr>
        <w:t xml:space="preserve"> الْمَيِّتَ سَل</w:t>
      </w:r>
      <w:r w:rsidR="00146EF8">
        <w:rPr>
          <w:rFonts w:hint="cs"/>
          <w:rtl/>
          <w:lang w:bidi="fa-IR"/>
        </w:rPr>
        <w:t>ّ</w:t>
      </w:r>
      <w:r w:rsidR="00146EF8">
        <w:rPr>
          <w:rtl/>
          <w:lang w:bidi="fa-IR"/>
        </w:rPr>
        <w:t>ا</w:t>
      </w:r>
      <w:r w:rsidR="00146EF8">
        <w:rPr>
          <w:rFonts w:hint="cs"/>
          <w:rtl/>
          <w:lang w:bidi="fa-IR"/>
        </w:rPr>
        <w:t>ً</w:t>
      </w:r>
      <w:r w:rsidRPr="005D642E">
        <w:rPr>
          <w:rtl/>
          <w:lang w:bidi="fa-IR"/>
        </w:rPr>
        <w:t xml:space="preserve"> </w:t>
      </w:r>
      <w:r w:rsidRPr="007C12DB">
        <w:rPr>
          <w:rStyle w:val="libFootnotenumChar"/>
          <w:rtl/>
        </w:rPr>
        <w:t>(8)</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25 ، ص 517 ، ح 24551 ؛ </w:t>
      </w:r>
      <w:r w:rsidR="00E3253D" w:rsidRPr="002F4D34">
        <w:rPr>
          <w:rStyle w:val="libFootnoteBoldChar"/>
          <w:rtl/>
        </w:rPr>
        <w:t>الوسائل</w:t>
      </w:r>
      <w:r w:rsidR="00E3253D" w:rsidRPr="005D642E">
        <w:rPr>
          <w:rtl/>
        </w:rPr>
        <w:t xml:space="preserve"> ، ج 3 ، ص 178 ، ح 3339.</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بف » : « شقّ</w:t>
      </w:r>
      <w:r w:rsidR="00E3253D">
        <w:rPr>
          <w:rtl/>
        </w:rPr>
        <w:t xml:space="preserve"> ».</w:t>
      </w:r>
    </w:p>
    <w:p w:rsidR="00E3253D" w:rsidRPr="005D642E" w:rsidRDefault="0042621E" w:rsidP="003E360F">
      <w:pPr>
        <w:pStyle w:val="libFootnote0"/>
        <w:rPr>
          <w:rtl/>
          <w:lang w:bidi="fa-IR"/>
        </w:rPr>
      </w:pPr>
      <w:r w:rsidRPr="0042621E">
        <w:rPr>
          <w:rStyle w:val="libFootnote0Char"/>
          <w:rtl/>
        </w:rPr>
        <w:t>(3).</w:t>
      </w:r>
      <w:r w:rsidR="006C6ABF">
        <w:rPr>
          <w:rtl/>
        </w:rPr>
        <w:t xml:space="preserve"> قال المحقّق والعل</w:t>
      </w:r>
      <w:r w:rsidR="006C6ABF">
        <w:rPr>
          <w:rFonts w:hint="cs"/>
          <w:rtl/>
        </w:rPr>
        <w:t>ّ</w:t>
      </w:r>
      <w:r w:rsidR="006C6ABF">
        <w:rPr>
          <w:rtl/>
        </w:rPr>
        <w:t>ا</w:t>
      </w:r>
      <w:r w:rsidR="00E3253D" w:rsidRPr="005D642E">
        <w:rPr>
          <w:rtl/>
        </w:rPr>
        <w:t>مة : هذه الرواية مخالفة لما عليه الأصحاب ، ومستلزمة لإفساد المال وإضاعته من غير نفع وعلى وجه غير مشروع ؛ فإنّه قد ا</w:t>
      </w:r>
      <w:r w:rsidR="00231E92">
        <w:rPr>
          <w:rFonts w:hint="cs"/>
          <w:rtl/>
        </w:rPr>
        <w:t>ُ</w:t>
      </w:r>
      <w:r w:rsidR="00E3253D" w:rsidRPr="005D642E">
        <w:rPr>
          <w:rtl/>
        </w:rPr>
        <w:t>مر بتحسين الأكفان ، وبتخريقها يزول جمالها وحسنها ، فالشقّ مكروه والثواب ال</w:t>
      </w:r>
      <w:r w:rsidR="00B65BEE">
        <w:rPr>
          <w:rtl/>
        </w:rPr>
        <w:t>اقتصار على حلّ عقده. وحمل العل</w:t>
      </w:r>
      <w:r w:rsidR="00B65BEE">
        <w:rPr>
          <w:rFonts w:hint="cs"/>
          <w:rtl/>
        </w:rPr>
        <w:t>ّ</w:t>
      </w:r>
      <w:r w:rsidR="00B65BEE">
        <w:rPr>
          <w:rtl/>
        </w:rPr>
        <w:t>ا</w:t>
      </w:r>
      <w:r w:rsidR="00E3253D" w:rsidRPr="005D642E">
        <w:rPr>
          <w:rtl/>
        </w:rPr>
        <w:t xml:space="preserve">مة أحاديث الشقّ مع ضعف سندها على الحلّ أو تعذّره. وردّ الشيخ البهائي استدلالهما بقوله : « وهو كما ترى ؛ فإنّ الكلّ آئل إلى الفساد ، والحكم بكونه غير مشروع بعد ورود النصّ به لايخلو من شي‌ء » ثمّ قال : « وقال شيخنا في </w:t>
      </w:r>
      <w:r w:rsidR="00E3253D" w:rsidRPr="002F4D34">
        <w:rPr>
          <w:rStyle w:val="libFootnoteBoldChar"/>
          <w:rtl/>
        </w:rPr>
        <w:t>الذكرى</w:t>
      </w:r>
      <w:r w:rsidR="00E3253D" w:rsidRPr="005D642E">
        <w:rPr>
          <w:rtl/>
        </w:rPr>
        <w:t xml:space="preserve"> : يمكن أن يراد بالشقّ الفتح ؛ ليبدو وجهه ؛ فإنّ الكفن كان منضمّاً ، فلا مخالفة ولا إفساد. انتهى ، ولا بأس به</w:t>
      </w:r>
      <w:r w:rsidR="00E3253D">
        <w:rPr>
          <w:rtl/>
        </w:rPr>
        <w:t xml:space="preserve"> ».</w:t>
      </w:r>
      <w:r w:rsidR="00E3253D" w:rsidRPr="005D642E">
        <w:rPr>
          <w:rtl/>
        </w:rPr>
        <w:t xml:space="preserve"> راجع : </w:t>
      </w:r>
      <w:r w:rsidR="00E3253D" w:rsidRPr="002F4D34">
        <w:rPr>
          <w:rStyle w:val="libFootnoteBoldChar"/>
          <w:rtl/>
        </w:rPr>
        <w:t>المعتبر</w:t>
      </w:r>
      <w:r w:rsidR="00E3253D" w:rsidRPr="005D642E">
        <w:rPr>
          <w:rtl/>
        </w:rPr>
        <w:t xml:space="preserve"> ، ج 1 ، ص 301 ؛ </w:t>
      </w:r>
      <w:r w:rsidR="00E3253D" w:rsidRPr="002F4D34">
        <w:rPr>
          <w:rStyle w:val="libFootnoteBoldChar"/>
          <w:rtl/>
        </w:rPr>
        <w:t>منتهى المطلب</w:t>
      </w:r>
      <w:r w:rsidR="00E3253D" w:rsidRPr="005D642E">
        <w:rPr>
          <w:rtl/>
        </w:rPr>
        <w:t xml:space="preserve"> ، ج 7 ، ص 384 ؛ </w:t>
      </w:r>
      <w:r w:rsidR="00E3253D" w:rsidRPr="002F4D34">
        <w:rPr>
          <w:rStyle w:val="libFootnoteBoldChar"/>
          <w:rtl/>
        </w:rPr>
        <w:t>ذكرى الشيعة</w:t>
      </w:r>
      <w:r w:rsidR="00E3253D" w:rsidRPr="005D642E">
        <w:rPr>
          <w:rtl/>
        </w:rPr>
        <w:t xml:space="preserve"> ، ج 2 ، ص 21 ؛ </w:t>
      </w:r>
      <w:r w:rsidR="00E3253D" w:rsidRPr="002F4D34">
        <w:rPr>
          <w:rStyle w:val="libFootnoteBoldChar"/>
          <w:rtl/>
        </w:rPr>
        <w:t>الحبل المتين</w:t>
      </w:r>
      <w:r w:rsidR="00E3253D" w:rsidRPr="005D642E">
        <w:rPr>
          <w:rtl/>
        </w:rPr>
        <w:t xml:space="preserve"> ، ص 247</w:t>
      </w:r>
      <w:r w:rsidR="00E3253D">
        <w:rPr>
          <w:rtl/>
        </w:rPr>
        <w:t xml:space="preserve"> </w:t>
      </w:r>
      <w:r w:rsidR="007642BC">
        <w:rPr>
          <w:rtl/>
        </w:rPr>
        <w:t>-</w:t>
      </w:r>
      <w:r w:rsidR="00E3253D">
        <w:rPr>
          <w:rtl/>
        </w:rPr>
        <w:t xml:space="preserve"> </w:t>
      </w:r>
      <w:r w:rsidR="00E3253D" w:rsidRPr="005D642E">
        <w:rPr>
          <w:rtl/>
        </w:rPr>
        <w:t xml:space="preserve">248. وللمزيد راجع : </w:t>
      </w:r>
      <w:r w:rsidR="00E3253D" w:rsidRPr="002F4D34">
        <w:rPr>
          <w:rStyle w:val="libFootnoteBoldChar"/>
          <w:rtl/>
        </w:rPr>
        <w:t>مدارك الأحكام</w:t>
      </w:r>
      <w:r w:rsidR="00E3253D" w:rsidRPr="005D642E">
        <w:rPr>
          <w:rtl/>
        </w:rPr>
        <w:t xml:space="preserve"> ، ج 2 ، ص 138</w:t>
      </w:r>
      <w:r w:rsidR="00E3253D">
        <w:rPr>
          <w:rtl/>
        </w:rPr>
        <w:t xml:space="preserve"> </w:t>
      </w:r>
      <w:r w:rsidR="007642BC">
        <w:rPr>
          <w:rtl/>
        </w:rPr>
        <w:t>-</w:t>
      </w:r>
      <w:r w:rsidR="00E3253D">
        <w:rPr>
          <w:rtl/>
        </w:rPr>
        <w:t xml:space="preserve"> </w:t>
      </w:r>
      <w:r w:rsidR="00E3253D" w:rsidRPr="005D642E">
        <w:rPr>
          <w:rtl/>
        </w:rPr>
        <w:t>139.</w:t>
      </w:r>
      <w:r w:rsidR="003E360F">
        <w:rPr>
          <w:rFonts w:hint="cs"/>
          <w:rtl/>
        </w:rPr>
        <w:t xml:space="preserve">                                   </w:t>
      </w:r>
      <w:r w:rsidRPr="0042621E">
        <w:rPr>
          <w:rStyle w:val="libFootnote0Char"/>
          <w:rtl/>
        </w:rPr>
        <w:t>(4).</w:t>
      </w:r>
      <w:r w:rsidR="00E3253D" w:rsidRPr="005D642E">
        <w:rPr>
          <w:rtl/>
        </w:rPr>
        <w:t xml:space="preserve"> في « ظ ، غ ، ى ، بث ، بخ ، جس » : « إذا دخل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 « القبر</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1 ، ص 458 ، ح 1493 ، معلّقاً عن عليّ بن إبراهيم ، عن أبيه ، عن ابن أبي عمير ، عن حفص بن البختري ، عن أبي عبدالله </w:t>
      </w:r>
      <w:r w:rsidR="00E3253D" w:rsidRPr="003E360F">
        <w:rPr>
          <w:rStyle w:val="libFootnoteAlaemChar"/>
          <w:rtl/>
        </w:rPr>
        <w:t>عليه‌السلام</w:t>
      </w:r>
      <w:r w:rsidR="00E3253D" w:rsidRPr="005D642E">
        <w:rPr>
          <w:rtl/>
        </w:rPr>
        <w:t xml:space="preserve"> ، مع اختلاف يسير. </w:t>
      </w:r>
      <w:r w:rsidR="00E3253D" w:rsidRPr="002F4D34">
        <w:rPr>
          <w:rStyle w:val="libFootnoteBoldChar"/>
          <w:rtl/>
        </w:rPr>
        <w:t>وفيه</w:t>
      </w:r>
      <w:r w:rsidR="00E3253D" w:rsidRPr="005D642E">
        <w:rPr>
          <w:rtl/>
        </w:rPr>
        <w:t xml:space="preserve"> ، ص 317 ، ح 921 ، بسنده عن ابن أبي عمير </w:t>
      </w:r>
      <w:r w:rsidR="001864C8">
        <w:rPr>
          <w:rFonts w:hint="cs"/>
          <w:rtl/>
        </w:rPr>
        <w:t>.</w:t>
      </w:r>
      <w:r w:rsidR="00E3253D" w:rsidRPr="002F4D34">
        <w:rPr>
          <w:rStyle w:val="libFootnoteBoldChar"/>
          <w:rtl/>
        </w:rPr>
        <w:t>الوافي</w:t>
      </w:r>
      <w:r w:rsidR="00E3253D" w:rsidRPr="005D642E">
        <w:rPr>
          <w:rtl/>
        </w:rPr>
        <w:t xml:space="preserve"> ، ج 25 ، ص 519 ، ح 24554 ؛ </w:t>
      </w:r>
      <w:r w:rsidR="00E3253D" w:rsidRPr="002F4D34">
        <w:rPr>
          <w:rStyle w:val="libFootnoteBoldChar"/>
          <w:rtl/>
        </w:rPr>
        <w:t>الوسائل</w:t>
      </w:r>
      <w:r w:rsidR="00E3253D" w:rsidRPr="005D642E">
        <w:rPr>
          <w:rtl/>
        </w:rPr>
        <w:t xml:space="preserve"> ، ج 3 ، ص 173 ، ح 3327.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بف » وحاشية « بث » </w:t>
      </w:r>
      <w:r w:rsidR="000D749A" w:rsidRPr="000D749A">
        <w:rPr>
          <w:rStyle w:val="libFootnoteBoldChar"/>
          <w:rtl/>
        </w:rPr>
        <w:t>والوافي</w:t>
      </w:r>
      <w:r w:rsidR="00E3253D" w:rsidRPr="005D642E">
        <w:rPr>
          <w:rtl/>
        </w:rPr>
        <w:t xml:space="preserve"> : « تسلّ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3E360F">
        <w:rPr>
          <w:rStyle w:val="libFootnoteAlaemChar"/>
          <w:rtl/>
        </w:rPr>
        <w:t>عليه‌السلام</w:t>
      </w:r>
      <w:r w:rsidR="00E3253D" w:rsidRPr="005D642E">
        <w:rPr>
          <w:rtl/>
        </w:rPr>
        <w:t xml:space="preserve"> </w:t>
      </w:r>
      <w:r w:rsidR="001864C8">
        <w:rPr>
          <w:rtl/>
        </w:rPr>
        <w:t>: سلّ الميّت سل</w:t>
      </w:r>
      <w:r w:rsidR="001864C8">
        <w:rPr>
          <w:rFonts w:hint="cs"/>
          <w:rtl/>
        </w:rPr>
        <w:t>ّ</w:t>
      </w:r>
      <w:r w:rsidR="001864C8">
        <w:rPr>
          <w:rtl/>
        </w:rPr>
        <w:t>ا</w:t>
      </w:r>
      <w:r w:rsidR="001864C8">
        <w:rPr>
          <w:rFonts w:hint="cs"/>
          <w:rtl/>
        </w:rPr>
        <w:t>ً</w:t>
      </w:r>
      <w:r w:rsidR="00E3253D" w:rsidRPr="005D642E">
        <w:rPr>
          <w:rtl/>
        </w:rPr>
        <w:t xml:space="preserve"> ، أي خذه وجرّه عن السرير برفق</w:t>
      </w:r>
      <w:r w:rsidR="00E3253D">
        <w:rPr>
          <w:rtl/>
        </w:rPr>
        <w:t xml:space="preserve"> ».</w:t>
      </w:r>
      <w:r w:rsidR="00E3253D" w:rsidRPr="005D642E">
        <w:rPr>
          <w:rtl/>
        </w:rPr>
        <w:t xml:space="preserve"> وقد مضى معنى السلّ ذيل الحديث الأوّل من هذا الباب.</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الوافي</w:t>
      </w:r>
      <w:r w:rsidR="00E3253D" w:rsidRPr="005D642E">
        <w:rPr>
          <w:rtl/>
        </w:rPr>
        <w:t xml:space="preserve"> ، ج 25 ، ص 512 ، ح 24540 ؛ </w:t>
      </w:r>
      <w:r w:rsidR="00E3253D" w:rsidRPr="002F4D34">
        <w:rPr>
          <w:rStyle w:val="libFootnoteBoldChar"/>
          <w:rtl/>
        </w:rPr>
        <w:t>الوسائل</w:t>
      </w:r>
      <w:r w:rsidR="00E3253D" w:rsidRPr="005D642E">
        <w:rPr>
          <w:rtl/>
        </w:rPr>
        <w:t xml:space="preserve"> ، ج 3 ، ص 182 ، ح 3345.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AB6F65">
        <w:rPr>
          <w:rtl/>
        </w:rPr>
        <w:t>4559</w:t>
      </w:r>
      <w:r w:rsidRPr="00246318">
        <w:rPr>
          <w:rStyle w:val="libBold2Char"/>
          <w:rtl/>
        </w:rPr>
        <w:t xml:space="preserve"> / 11.</w:t>
      </w:r>
      <w:r w:rsidRPr="005D642E">
        <w:rPr>
          <w:rtl/>
          <w:lang w:bidi="fa-IR"/>
        </w:rPr>
        <w:t xml:space="preserve"> عِدَّةٌ مِنْ أَصْحَابِنَا ، عَنْ أَحْمَدَ بْنِ مُحَمَّدٍ ، عَنْ عُثْمَانَ بْنِ عِيسى ، عَنْ سَمَاعَةَ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وَضَعْتَ الْمَيِّتَ عَلَى الْقَبْرِ </w:t>
      </w:r>
      <w:r w:rsidRPr="007C12DB">
        <w:rPr>
          <w:rStyle w:val="libFootnotenumChar"/>
          <w:rtl/>
        </w:rPr>
        <w:t>(1)</w:t>
      </w:r>
      <w:r w:rsidRPr="005D642E">
        <w:rPr>
          <w:rtl/>
          <w:lang w:bidi="fa-IR"/>
        </w:rPr>
        <w:t xml:space="preserve"> ، قُلْتَ : الل</w:t>
      </w:r>
      <w:r w:rsidR="000C01AF">
        <w:rPr>
          <w:rFonts w:hint="cs"/>
          <w:rtl/>
          <w:lang w:bidi="fa-IR"/>
        </w:rPr>
        <w:t>ّ</w:t>
      </w:r>
      <w:r w:rsidRPr="005D642E">
        <w:rPr>
          <w:rtl/>
          <w:lang w:bidi="fa-IR"/>
        </w:rPr>
        <w:t xml:space="preserve">هُمَّ </w:t>
      </w:r>
      <w:r w:rsidRPr="007C12DB">
        <w:rPr>
          <w:rStyle w:val="libFootnotenumChar"/>
          <w:rtl/>
        </w:rPr>
        <w:t>(2)</w:t>
      </w:r>
      <w:r w:rsidRPr="005D642E">
        <w:rPr>
          <w:rtl/>
          <w:lang w:bidi="fa-IR"/>
        </w:rPr>
        <w:t xml:space="preserve"> عَبْدُكَ ، وَابْنُ </w:t>
      </w:r>
      <w:r w:rsidRPr="007C12DB">
        <w:rPr>
          <w:rStyle w:val="libFootnotenumChar"/>
          <w:rtl/>
        </w:rPr>
        <w:t>(3)</w:t>
      </w:r>
      <w:r w:rsidRPr="005D642E">
        <w:rPr>
          <w:rtl/>
          <w:lang w:bidi="fa-IR"/>
        </w:rPr>
        <w:t xml:space="preserve"> عَبْدِكَ ، وَابْنُ أَمَتِكَ ، نَزَلَ بِكَ ، وَأَنْتَ خَيْرُ مَنْزُولٍ بِهِ.</w:t>
      </w:r>
    </w:p>
    <w:p w:rsidR="00E3253D" w:rsidRPr="005D642E" w:rsidRDefault="00E3253D" w:rsidP="00E3253D">
      <w:pPr>
        <w:pStyle w:val="libNormal"/>
        <w:rPr>
          <w:rtl/>
          <w:lang w:bidi="fa-IR"/>
        </w:rPr>
      </w:pPr>
      <w:r w:rsidRPr="005D642E">
        <w:rPr>
          <w:rtl/>
          <w:lang w:bidi="fa-IR"/>
        </w:rPr>
        <w:t xml:space="preserve">فَإِذَا سَلَلْتَهُ مِنْ قِبَلِ الرِّجْلَيْنِ وَدَلَّيْتَهُ </w:t>
      </w:r>
      <w:r w:rsidRPr="007C12DB">
        <w:rPr>
          <w:rStyle w:val="libFootnotenumChar"/>
          <w:rtl/>
        </w:rPr>
        <w:t>(4)</w:t>
      </w:r>
      <w:r w:rsidRPr="005D642E">
        <w:rPr>
          <w:rtl/>
          <w:lang w:bidi="fa-IR"/>
        </w:rPr>
        <w:t xml:space="preserve"> ، قُلْتَ : بِسْمِ اللهِ وَبِاللهِ ، وَعَلى مِلَّةِ رَسُولِ اللهِ </w:t>
      </w:r>
      <w:r w:rsidR="0042621E" w:rsidRPr="0042621E">
        <w:rPr>
          <w:rStyle w:val="libAlaemChar"/>
          <w:rtl/>
        </w:rPr>
        <w:t>صلى‌الله‌عليه‌وآله</w:t>
      </w:r>
      <w:r w:rsidRPr="005D642E">
        <w:rPr>
          <w:rtl/>
          <w:lang w:bidi="fa-IR"/>
        </w:rPr>
        <w:t xml:space="preserve"> ؛ الل</w:t>
      </w:r>
      <w:r w:rsidR="003279AB">
        <w:rPr>
          <w:rFonts w:hint="cs"/>
          <w:rtl/>
          <w:lang w:bidi="fa-IR"/>
        </w:rPr>
        <w:t>ّ</w:t>
      </w:r>
      <w:r w:rsidRPr="005D642E">
        <w:rPr>
          <w:rtl/>
          <w:lang w:bidi="fa-IR"/>
        </w:rPr>
        <w:t>هُمَّ إِلى رَحْمَتِكَ ، لَا</w:t>
      </w:r>
      <w:r>
        <w:rPr>
          <w:rFonts w:hint="cs"/>
          <w:rtl/>
          <w:lang w:bidi="fa-IR"/>
        </w:rPr>
        <w:t xml:space="preserve"> </w:t>
      </w:r>
      <w:r w:rsidRPr="005D642E">
        <w:rPr>
          <w:rtl/>
          <w:lang w:bidi="fa-IR"/>
        </w:rPr>
        <w:t>إِلى عَذَابِكَ ؛ الل</w:t>
      </w:r>
      <w:r w:rsidR="009B2B72">
        <w:rPr>
          <w:rFonts w:hint="cs"/>
          <w:rtl/>
          <w:lang w:bidi="fa-IR"/>
        </w:rPr>
        <w:t>ّ</w:t>
      </w:r>
      <w:r w:rsidRPr="005D642E">
        <w:rPr>
          <w:rtl/>
          <w:lang w:bidi="fa-IR"/>
        </w:rPr>
        <w:t xml:space="preserve">هُمَّ افْسَحْ </w:t>
      </w:r>
      <w:r w:rsidRPr="007C12DB">
        <w:rPr>
          <w:rStyle w:val="libFootnotenumChar"/>
          <w:rtl/>
        </w:rPr>
        <w:t>(5)</w:t>
      </w:r>
      <w:r w:rsidRPr="005D642E">
        <w:rPr>
          <w:rtl/>
          <w:lang w:bidi="fa-IR"/>
        </w:rPr>
        <w:t xml:space="preserve"> لَهُ فِي قَبْرِهِ ، وَلَقِّنْهُ حُجَّتَهُ ، وَثَبِّتْهُ بِالْقَوْلِ الثَّابِتِ ، وَقِنَا وَإِيَّاهُ عَذَابَ الْقَبْرِ.</w:t>
      </w:r>
    </w:p>
    <w:p w:rsidR="00E3253D" w:rsidRPr="005D642E" w:rsidRDefault="00E3253D" w:rsidP="00E3253D">
      <w:pPr>
        <w:pStyle w:val="libNormal"/>
        <w:rPr>
          <w:rtl/>
          <w:lang w:bidi="fa-IR"/>
        </w:rPr>
      </w:pPr>
      <w:r w:rsidRPr="005D642E">
        <w:rPr>
          <w:rtl/>
          <w:lang w:bidi="fa-IR"/>
        </w:rPr>
        <w:t xml:space="preserve">وَإِذَا </w:t>
      </w:r>
      <w:r w:rsidRPr="007C12DB">
        <w:rPr>
          <w:rStyle w:val="libFootnotenumChar"/>
          <w:rtl/>
        </w:rPr>
        <w:t>(6)</w:t>
      </w:r>
      <w:r w:rsidRPr="005D642E">
        <w:rPr>
          <w:rtl/>
          <w:lang w:bidi="fa-IR"/>
        </w:rPr>
        <w:t xml:space="preserve"> سَوَّيْتَ عَلَيْهِ التُّرَابَ ، قُلِ </w:t>
      </w:r>
      <w:r w:rsidRPr="007C12DB">
        <w:rPr>
          <w:rStyle w:val="libFootnotenumChar"/>
          <w:rtl/>
        </w:rPr>
        <w:t>(7)</w:t>
      </w:r>
      <w:r w:rsidRPr="005D642E">
        <w:rPr>
          <w:rtl/>
          <w:lang w:bidi="fa-IR"/>
        </w:rPr>
        <w:t xml:space="preserve"> : الل</w:t>
      </w:r>
      <w:r w:rsidR="009B2B72">
        <w:rPr>
          <w:rFonts w:hint="cs"/>
          <w:rtl/>
          <w:lang w:bidi="fa-IR"/>
        </w:rPr>
        <w:t>ّ</w:t>
      </w:r>
      <w:r w:rsidRPr="005D642E">
        <w:rPr>
          <w:rtl/>
          <w:lang w:bidi="fa-IR"/>
        </w:rPr>
        <w:t xml:space="preserve">هُمَّ جَافِ الْأَرْضَ عَنْ جَنْبَيْهِ </w:t>
      </w:r>
      <w:r w:rsidRPr="007C12DB">
        <w:rPr>
          <w:rStyle w:val="libFootnotenumChar"/>
          <w:rtl/>
        </w:rPr>
        <w:t>(8)</w:t>
      </w:r>
      <w:r w:rsidRPr="005D642E">
        <w:rPr>
          <w:rtl/>
          <w:lang w:bidi="fa-IR"/>
        </w:rPr>
        <w:t xml:space="preserve"> ، وَأَصْعِدْ </w:t>
      </w:r>
      <w:r w:rsidRPr="007C12DB">
        <w:rPr>
          <w:rStyle w:val="libFootnotenumChar"/>
          <w:rtl/>
        </w:rPr>
        <w:t>(9)</w:t>
      </w:r>
      <w:r w:rsidRPr="005D642E">
        <w:rPr>
          <w:rtl/>
          <w:lang w:bidi="fa-IR"/>
        </w:rPr>
        <w:t xml:space="preserve"> رُوحَهُ إِلى أَرْوَاحِ الْمُؤْمِنِينَ فِي عِلِّيِّينَ ، وَأَلْحِقْهُ بِالصَّالِحِينَ</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Heading2Center"/>
        <w:rPr>
          <w:rtl/>
          <w:lang w:bidi="fa-IR"/>
        </w:rPr>
      </w:pPr>
      <w:bookmarkStart w:id="449" w:name="_Toc344647361"/>
      <w:bookmarkStart w:id="450" w:name="_Toc462226875"/>
      <w:bookmarkStart w:id="451" w:name="_Toc40975983"/>
      <w:r w:rsidRPr="005D642E">
        <w:rPr>
          <w:rtl/>
          <w:lang w:bidi="fa-IR"/>
        </w:rPr>
        <w:t>65</w:t>
      </w:r>
      <w:r>
        <w:rPr>
          <w:rtl/>
          <w:lang w:bidi="fa-IR"/>
        </w:rPr>
        <w:t xml:space="preserve"> </w:t>
      </w:r>
      <w:r w:rsidR="007642BC">
        <w:rPr>
          <w:rtl/>
          <w:lang w:bidi="fa-IR"/>
        </w:rPr>
        <w:t>-</w:t>
      </w:r>
      <w:r>
        <w:rPr>
          <w:rtl/>
          <w:lang w:bidi="fa-IR"/>
        </w:rPr>
        <w:t xml:space="preserve"> </w:t>
      </w:r>
      <w:r w:rsidRPr="005D642E">
        <w:rPr>
          <w:rtl/>
          <w:lang w:bidi="fa-IR"/>
        </w:rPr>
        <w:t xml:space="preserve">بَابُ مَا يُبْسَطُ فِي اللَّحْدِ وَوَضْعِ اللَّبِنِ </w:t>
      </w:r>
      <w:r w:rsidRPr="007C12DB">
        <w:rPr>
          <w:rStyle w:val="libFootnotenumChar"/>
          <w:rtl/>
        </w:rPr>
        <w:t>(11)</w:t>
      </w:r>
      <w:r>
        <w:rPr>
          <w:rtl/>
        </w:rPr>
        <w:t xml:space="preserve"> </w:t>
      </w:r>
      <w:r w:rsidRPr="005D642E">
        <w:rPr>
          <w:rtl/>
          <w:lang w:bidi="fa-IR"/>
        </w:rPr>
        <w:t xml:space="preserve">وَالْآجُرِّ </w:t>
      </w:r>
      <w:r w:rsidRPr="007C12DB">
        <w:rPr>
          <w:rStyle w:val="libFootnotenumChar"/>
          <w:rtl/>
        </w:rPr>
        <w:t>(12)</w:t>
      </w:r>
      <w:r>
        <w:rPr>
          <w:rtl/>
        </w:rPr>
        <w:t xml:space="preserve"> </w:t>
      </w:r>
      <w:r w:rsidRPr="005D642E">
        <w:rPr>
          <w:rtl/>
          <w:lang w:bidi="fa-IR"/>
        </w:rPr>
        <w:t>وَالسَّاجِ‌</w:t>
      </w:r>
      <w:bookmarkEnd w:id="449"/>
      <w:bookmarkEnd w:id="450"/>
      <w:bookmarkEnd w:id="451"/>
    </w:p>
    <w:p w:rsidR="00E3253D" w:rsidRPr="005D642E" w:rsidRDefault="00E3253D" w:rsidP="00E3253D">
      <w:pPr>
        <w:pStyle w:val="libNormal"/>
        <w:rPr>
          <w:rtl/>
          <w:lang w:bidi="fa-IR"/>
        </w:rPr>
      </w:pPr>
      <w:r w:rsidRPr="00AB6F65">
        <w:rPr>
          <w:rtl/>
        </w:rPr>
        <w:t>4560</w:t>
      </w:r>
      <w:r w:rsidRPr="00246318">
        <w:rPr>
          <w:rStyle w:val="libBold2Char"/>
          <w:rtl/>
        </w:rPr>
        <w:t xml:space="preserve"> / 1.</w:t>
      </w:r>
      <w:r w:rsidRPr="005D642E">
        <w:rPr>
          <w:rtl/>
          <w:lang w:bidi="fa-IR"/>
        </w:rPr>
        <w:t xml:space="preserve"> عَلِيُّ بْنُ إِبْرَاهِيمَ ، عَنْ أَبِيهِ ، عَنْ </w:t>
      </w:r>
      <w:r w:rsidRPr="007C12DB">
        <w:rPr>
          <w:rStyle w:val="libFootnotenumChar"/>
          <w:rtl/>
        </w:rPr>
        <w:t>(13)</w:t>
      </w:r>
      <w:r w:rsidRPr="005D642E">
        <w:rPr>
          <w:rtl/>
          <w:lang w:bidi="fa-IR"/>
        </w:rPr>
        <w:t xml:space="preserve"> عَلِيِّ بْنِ مُحَمَّدٍ</w:t>
      </w:r>
      <w:r w:rsidR="000A0500">
        <w:rPr>
          <w:rFonts w:hint="cs"/>
          <w:rtl/>
          <w:lang w:bidi="fa-IR"/>
        </w:rPr>
        <w:t>...............</w:t>
      </w:r>
      <w:r w:rsidR="000A0500">
        <w:rPr>
          <w:rFonts w:hint="cs"/>
          <w:rtl/>
          <w:lang w:bidi="fa-IR"/>
        </w:rPr>
        <w:tab/>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 غ ، ى ، بث ، بح ، بخ ، بس ، بف ، جح ، جس » </w:t>
      </w:r>
      <w:r w:rsidR="000D749A" w:rsidRPr="000D749A">
        <w:rPr>
          <w:rStyle w:val="libFootnoteBoldChar"/>
          <w:rtl/>
        </w:rPr>
        <w:t>والوافي</w:t>
      </w:r>
      <w:r w:rsidR="00E3253D" w:rsidRPr="005D642E">
        <w:rPr>
          <w:rtl/>
        </w:rPr>
        <w:t xml:space="preserve"> ومرآة العقول والوسائل. وفي سائر النسخ‌والمطبوع : « في القبر</w:t>
      </w:r>
      <w:r w:rsidR="00E3253D">
        <w:rPr>
          <w:rtl/>
        </w:rPr>
        <w:t xml:space="preserve"> ».</w:t>
      </w:r>
      <w:r w:rsidR="00E3253D" w:rsidRPr="005D642E">
        <w:rPr>
          <w:rtl/>
        </w:rPr>
        <w:t xml:space="preserve"> وقال في </w:t>
      </w:r>
      <w:r w:rsidR="00E3253D" w:rsidRPr="002F4D34">
        <w:rPr>
          <w:rStyle w:val="libFootnoteBoldChar"/>
          <w:rtl/>
        </w:rPr>
        <w:t>مرآة العقول</w:t>
      </w:r>
      <w:r w:rsidR="00E3253D" w:rsidRPr="005D642E">
        <w:rPr>
          <w:rtl/>
        </w:rPr>
        <w:t xml:space="preserve"> : « قوله </w:t>
      </w:r>
      <w:r w:rsidR="00E3253D" w:rsidRPr="00B02243">
        <w:rPr>
          <w:rStyle w:val="libFootnoteAlaemChar"/>
          <w:rtl/>
        </w:rPr>
        <w:t>عليه‌السلام</w:t>
      </w:r>
      <w:r w:rsidR="00E3253D" w:rsidRPr="005D642E">
        <w:rPr>
          <w:rtl/>
        </w:rPr>
        <w:t xml:space="preserve"> : إذا وضعت الميّت على القبر ، ظاهره أنّ المراد الوضع قريباً من القبر ، لا الإدخال فيه بقرينة قوله </w:t>
      </w:r>
      <w:r w:rsidR="00E3253D" w:rsidRPr="00B02243">
        <w:rPr>
          <w:rStyle w:val="libFootnoteAlaemChar"/>
          <w:rtl/>
        </w:rPr>
        <w:t>عليه‌السلام</w:t>
      </w:r>
      <w:r w:rsidR="00E3253D" w:rsidRPr="005D642E">
        <w:rPr>
          <w:rtl/>
        </w:rPr>
        <w:t xml:space="preserve"> : فإذا سللته. يدلّ على استحباب الوضع من قبل الرجلين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 هذا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بث ، بح ، بخ ، بس ، بف ، جس » </w:t>
      </w:r>
      <w:r w:rsidR="000D749A" w:rsidRPr="000D749A">
        <w:rPr>
          <w:rStyle w:val="libFootnoteBoldChar"/>
          <w:rtl/>
        </w:rPr>
        <w:t>والوافي</w:t>
      </w:r>
      <w:r w:rsidR="00E3253D" w:rsidRPr="005D642E">
        <w:rPr>
          <w:rtl/>
        </w:rPr>
        <w:t xml:space="preserve"> : « ابن » بدون الواو.</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دلّيته » ، أي أرسلته. راجع : </w:t>
      </w:r>
      <w:r w:rsidR="00E3253D" w:rsidRPr="002F4D34">
        <w:rPr>
          <w:rStyle w:val="libFootnoteBoldChar"/>
          <w:rtl/>
        </w:rPr>
        <w:t>لسان العرب</w:t>
      </w:r>
      <w:r w:rsidR="00E3253D" w:rsidRPr="005D642E">
        <w:rPr>
          <w:rtl/>
        </w:rPr>
        <w:t xml:space="preserve"> ، ج 14 ، ص 265</w:t>
      </w:r>
      <w:r w:rsidR="00E3253D">
        <w:rPr>
          <w:rtl/>
        </w:rPr>
        <w:t xml:space="preserve"> </w:t>
      </w:r>
      <w:r w:rsidR="007642BC">
        <w:rPr>
          <w:rtl/>
        </w:rPr>
        <w:t>-</w:t>
      </w:r>
      <w:r w:rsidR="00E3253D">
        <w:rPr>
          <w:rtl/>
        </w:rPr>
        <w:t xml:space="preserve"> </w:t>
      </w:r>
      <w:r w:rsidR="00E3253D" w:rsidRPr="005D642E">
        <w:rPr>
          <w:rtl/>
        </w:rPr>
        <w:t>266 ( دلا )</w:t>
      </w:r>
      <w:r w:rsidR="00E3253D">
        <w:rPr>
          <w:rtl/>
        </w:rPr>
        <w:t>.</w:t>
      </w:r>
    </w:p>
    <w:tbl>
      <w:tblPr>
        <w:tblStyle w:val="TableGrid"/>
        <w:bidiVisual/>
        <w:tblW w:w="0" w:type="auto"/>
        <w:tblLook w:val="04A0" w:firstRow="1" w:lastRow="0" w:firstColumn="1" w:lastColumn="0" w:noHBand="0" w:noVBand="1"/>
      </w:tblPr>
      <w:tblGrid>
        <w:gridCol w:w="4006"/>
        <w:gridCol w:w="4006"/>
      </w:tblGrid>
      <w:tr w:rsidR="00B02243" w:rsidTr="00B02243">
        <w:tc>
          <w:tcPr>
            <w:tcW w:w="4006" w:type="dxa"/>
          </w:tcPr>
          <w:p w:rsidR="00B02243" w:rsidRDefault="00B02243" w:rsidP="00E3253D">
            <w:pPr>
              <w:pStyle w:val="libFootnote0"/>
              <w:rPr>
                <w:rStyle w:val="libFootnote0Char"/>
                <w:rtl/>
              </w:rPr>
            </w:pPr>
            <w:r w:rsidRPr="0042621E">
              <w:rPr>
                <w:rStyle w:val="libFootnote0Char"/>
                <w:rtl/>
              </w:rPr>
              <w:t>(5).</w:t>
            </w:r>
            <w:r w:rsidRPr="005D642E">
              <w:rPr>
                <w:rtl/>
              </w:rPr>
              <w:t xml:space="preserve"> في « ظ ، بث » : « افتح</w:t>
            </w:r>
            <w:r>
              <w:rPr>
                <w:rtl/>
              </w:rPr>
              <w:t xml:space="preserve"> ».</w:t>
            </w:r>
          </w:p>
        </w:tc>
        <w:tc>
          <w:tcPr>
            <w:tcW w:w="4006" w:type="dxa"/>
          </w:tcPr>
          <w:p w:rsidR="00B02243" w:rsidRDefault="00B02243" w:rsidP="00E3253D">
            <w:pPr>
              <w:pStyle w:val="libFootnote0"/>
              <w:rPr>
                <w:rStyle w:val="libFootnote0Char"/>
                <w:rtl/>
              </w:rPr>
            </w:pPr>
            <w:r w:rsidRPr="0042621E">
              <w:rPr>
                <w:rStyle w:val="libFootnote0Char"/>
                <w:rtl/>
              </w:rPr>
              <w:t>(6).</w:t>
            </w:r>
            <w:r w:rsidRPr="005D642E">
              <w:rPr>
                <w:rtl/>
              </w:rPr>
              <w:t xml:space="preserve"> في « بخ » </w:t>
            </w:r>
            <w:r w:rsidRPr="000D749A">
              <w:rPr>
                <w:rStyle w:val="libFootnoteBoldChar"/>
                <w:rtl/>
              </w:rPr>
              <w:t>والوافي</w:t>
            </w:r>
            <w:r w:rsidRPr="005D642E">
              <w:rPr>
                <w:rtl/>
              </w:rPr>
              <w:t xml:space="preserve"> : « فإذا</w:t>
            </w:r>
            <w:r>
              <w:rPr>
                <w:rtl/>
              </w:rPr>
              <w:t xml:space="preserve"> ».</w:t>
            </w:r>
          </w:p>
        </w:tc>
      </w:tr>
      <w:tr w:rsidR="00B02243" w:rsidTr="00B02243">
        <w:tc>
          <w:tcPr>
            <w:tcW w:w="4006" w:type="dxa"/>
          </w:tcPr>
          <w:p w:rsidR="00B02243" w:rsidRDefault="00B02243" w:rsidP="00E3253D">
            <w:pPr>
              <w:pStyle w:val="libFootnote0"/>
              <w:rPr>
                <w:rStyle w:val="libFootnote0Char"/>
                <w:rtl/>
              </w:rPr>
            </w:pPr>
            <w:r w:rsidRPr="0042621E">
              <w:rPr>
                <w:rStyle w:val="libFootnote0Char"/>
                <w:rtl/>
              </w:rPr>
              <w:t>(7).</w:t>
            </w:r>
            <w:r w:rsidRPr="005D642E">
              <w:rPr>
                <w:rtl/>
              </w:rPr>
              <w:t xml:space="preserve"> في « ظ ، غ ، جس » : « قلت</w:t>
            </w:r>
            <w:r>
              <w:rPr>
                <w:rtl/>
              </w:rPr>
              <w:t xml:space="preserve"> ».</w:t>
            </w:r>
          </w:p>
        </w:tc>
        <w:tc>
          <w:tcPr>
            <w:tcW w:w="4006" w:type="dxa"/>
          </w:tcPr>
          <w:p w:rsidR="00B02243" w:rsidRDefault="00B02243" w:rsidP="00E3253D">
            <w:pPr>
              <w:pStyle w:val="libFootnote0"/>
              <w:rPr>
                <w:rStyle w:val="libFootnote0Char"/>
                <w:rtl/>
              </w:rPr>
            </w:pPr>
            <w:r w:rsidRPr="0042621E">
              <w:rPr>
                <w:rStyle w:val="libFootnote0Char"/>
                <w:rtl/>
              </w:rPr>
              <w:t>(8).</w:t>
            </w:r>
            <w:r w:rsidRPr="005D642E">
              <w:rPr>
                <w:rtl/>
              </w:rPr>
              <w:t xml:space="preserve"> في « جس » : « عن جنبه</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ى ، بث ، بخ ، بس ، بف ، جس » وحاشية « جح » </w:t>
      </w:r>
      <w:r w:rsidR="000D749A" w:rsidRPr="000D749A">
        <w:rPr>
          <w:rStyle w:val="libFootnoteBoldChar"/>
          <w:rtl/>
        </w:rPr>
        <w:t>والوافي</w:t>
      </w:r>
      <w:r w:rsidR="00E3253D" w:rsidRPr="005D642E">
        <w:rPr>
          <w:rtl/>
        </w:rPr>
        <w:t xml:space="preserve"> والوسائل : « وصعّد</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الجعفريّات</w:t>
      </w:r>
      <w:r w:rsidR="00E3253D" w:rsidRPr="005D642E">
        <w:rPr>
          <w:rtl/>
        </w:rPr>
        <w:t xml:space="preserve"> ، ص 203 ، بسند آخر عن جعفر بن محمّد ، عن آبائه </w:t>
      </w:r>
      <w:r w:rsidR="00E3253D" w:rsidRPr="00B02243">
        <w:rPr>
          <w:rStyle w:val="libFootnoteAlaemChar"/>
          <w:rtl/>
        </w:rPr>
        <w:t>عليهم‌السلام</w:t>
      </w:r>
      <w:r w:rsidR="00E3253D" w:rsidRPr="005D642E">
        <w:rPr>
          <w:rtl/>
        </w:rPr>
        <w:t xml:space="preserve"> عن رسول الله </w:t>
      </w:r>
      <w:r w:rsidRPr="00B02243">
        <w:rPr>
          <w:rStyle w:val="libFootnoteAlaemChar"/>
          <w:rtl/>
        </w:rPr>
        <w:t>صلى‌الله‌عليه‌وآله</w:t>
      </w:r>
      <w:r w:rsidR="00E3253D" w:rsidRPr="005D642E">
        <w:rPr>
          <w:rtl/>
        </w:rPr>
        <w:t xml:space="preserve"> ، مع اختلاف </w:t>
      </w:r>
      <w:r w:rsidR="00863DBB">
        <w:rPr>
          <w:rFonts w:hint="cs"/>
          <w:rtl/>
        </w:rPr>
        <w:t>.</w:t>
      </w:r>
      <w:r w:rsidR="00E3253D" w:rsidRPr="002F4D34">
        <w:rPr>
          <w:rStyle w:val="libFootnoteBoldChar"/>
          <w:rtl/>
        </w:rPr>
        <w:t>الوافي</w:t>
      </w:r>
      <w:r w:rsidR="00E3253D" w:rsidRPr="005D642E">
        <w:rPr>
          <w:rtl/>
        </w:rPr>
        <w:t xml:space="preserve"> ، ج 25 ، ص 518 ، ح 24552 ؛ </w:t>
      </w:r>
      <w:r w:rsidR="00E3253D" w:rsidRPr="002F4D34">
        <w:rPr>
          <w:rStyle w:val="libFootnoteBoldChar"/>
          <w:rtl/>
        </w:rPr>
        <w:t>الوسائل</w:t>
      </w:r>
      <w:r w:rsidR="00E3253D" w:rsidRPr="005D642E">
        <w:rPr>
          <w:rtl/>
        </w:rPr>
        <w:t xml:space="preserve"> ، ج 3 ، ص 179 ، ح 3340.</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 اللَبِن » ، ككتف : المضروب من الطين مربّعاً للبناء ، ويقال فيه بالكسر ، وبكسرتين لغة. راجع : </w:t>
      </w:r>
      <w:r w:rsidR="00E3253D" w:rsidRPr="002F4D34">
        <w:rPr>
          <w:rStyle w:val="libFootnoteBoldChar"/>
          <w:rtl/>
        </w:rPr>
        <w:t>القاموس المحيط</w:t>
      </w:r>
      <w:r w:rsidR="00E3253D" w:rsidRPr="005D642E">
        <w:rPr>
          <w:rtl/>
        </w:rPr>
        <w:t xml:space="preserve"> ، ج 2 ، ص 1614 ( لبن )</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 الآجُرّ » : الذي يبنى به ، فارسيّ معرّب وفيه لغات ا</w:t>
      </w:r>
      <w:r w:rsidR="00863DBB">
        <w:rPr>
          <w:rFonts w:hint="cs"/>
          <w:rtl/>
        </w:rPr>
        <w:t>ُ</w:t>
      </w:r>
      <w:r w:rsidR="00E3253D" w:rsidRPr="005D642E">
        <w:rPr>
          <w:rtl/>
        </w:rPr>
        <w:t xml:space="preserve">خرى. راجع : </w:t>
      </w:r>
      <w:r w:rsidR="00E3253D" w:rsidRPr="002F4D34">
        <w:rPr>
          <w:rStyle w:val="libFootnoteBoldChar"/>
          <w:rtl/>
        </w:rPr>
        <w:t>الصحاح</w:t>
      </w:r>
      <w:r w:rsidR="00E3253D" w:rsidRPr="005D642E">
        <w:rPr>
          <w:rtl/>
        </w:rPr>
        <w:t xml:space="preserve"> ، ج 2 ، ص 576 ؛ </w:t>
      </w:r>
      <w:r w:rsidR="00E3253D" w:rsidRPr="002F4D34">
        <w:rPr>
          <w:rStyle w:val="libFootnoteBoldChar"/>
          <w:rtl/>
        </w:rPr>
        <w:t>القاموس المحيط</w:t>
      </w:r>
      <w:r w:rsidR="00E3253D" w:rsidRPr="005D642E">
        <w:rPr>
          <w:rtl/>
        </w:rPr>
        <w:t xml:space="preserve"> ، ج 1 ، ص 490 ( أجر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 xml:space="preserve">عليّ بن محمّد القاساني من مشايخ عليّ بن إبراهيم. روى عليّ بن إبراهيم ، عن أبيه وعليّ بن محمّد </w:t>
      </w:r>
      <w:r w:rsidR="00863DB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الْقَاسَانِيِّ </w:t>
      </w:r>
      <w:r w:rsidRPr="007C12DB">
        <w:rPr>
          <w:rStyle w:val="libFootnotenumChar"/>
          <w:rtl/>
        </w:rPr>
        <w:t>(1)</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كَتَبَ عَلِيُّ بْنُ بِلَالٍ إِلى أَبِي الْحَسَنِ </w:t>
      </w:r>
      <w:r w:rsidRPr="00AC51C5">
        <w:rPr>
          <w:rStyle w:val="libAlaemChar"/>
          <w:rtl/>
        </w:rPr>
        <w:t>عليه‌السلام</w:t>
      </w:r>
      <w:r w:rsidRPr="005D642E">
        <w:rPr>
          <w:rtl/>
          <w:lang w:bidi="fa-IR"/>
        </w:rPr>
        <w:t xml:space="preserve"> : أَنَّهُ رُبَّمَا مَاتَ الْمَيِّتُ عِنْدَنَا ، وَتَكُونُ </w:t>
      </w:r>
      <w:r w:rsidRPr="007C12DB">
        <w:rPr>
          <w:rStyle w:val="libFootnotenumChar"/>
          <w:rtl/>
        </w:rPr>
        <w:t>(2)</w:t>
      </w:r>
      <w:r w:rsidRPr="005D642E">
        <w:rPr>
          <w:rtl/>
          <w:lang w:bidi="fa-IR"/>
        </w:rPr>
        <w:t xml:space="preserve"> الْأَرْضُ </w:t>
      </w:r>
      <w:r w:rsidRPr="007C12DB">
        <w:rPr>
          <w:rStyle w:val="libFootnotenumChar"/>
          <w:rtl/>
        </w:rPr>
        <w:t>(3)</w:t>
      </w:r>
      <w:r w:rsidRPr="005D642E">
        <w:rPr>
          <w:rtl/>
          <w:lang w:bidi="fa-IR"/>
        </w:rPr>
        <w:t xml:space="preserve"> نَدِيَةً </w:t>
      </w:r>
      <w:r w:rsidRPr="007C12DB">
        <w:rPr>
          <w:rStyle w:val="libFootnotenumChar"/>
          <w:rtl/>
        </w:rPr>
        <w:t>(4)</w:t>
      </w:r>
      <w:r w:rsidRPr="005D642E">
        <w:rPr>
          <w:rtl/>
          <w:lang w:bidi="fa-IR"/>
        </w:rPr>
        <w:t xml:space="preserve"> ، فَنَفْرُشُ </w:t>
      </w:r>
      <w:r w:rsidRPr="007C12DB">
        <w:rPr>
          <w:rStyle w:val="libFootnotenumChar"/>
          <w:rtl/>
        </w:rPr>
        <w:t>(5)</w:t>
      </w:r>
      <w:r w:rsidRPr="005D642E">
        <w:rPr>
          <w:rtl/>
          <w:lang w:bidi="fa-IR"/>
        </w:rPr>
        <w:t xml:space="preserve"> الْقَبْرَ بِالسَّاجِ </w:t>
      </w:r>
      <w:r w:rsidRPr="007C12DB">
        <w:rPr>
          <w:rStyle w:val="libFootnotenumChar"/>
          <w:rtl/>
        </w:rPr>
        <w:t>(6)</w:t>
      </w:r>
      <w:r w:rsidRPr="005D642E">
        <w:rPr>
          <w:rtl/>
          <w:lang w:bidi="fa-IR"/>
        </w:rPr>
        <w:t xml:space="preserve"> ، أَوْ نُطْبِقُ عَلَيْهِ </w:t>
      </w:r>
      <w:r w:rsidRPr="007C12DB">
        <w:rPr>
          <w:rStyle w:val="libFootnotenumChar"/>
          <w:rtl/>
        </w:rPr>
        <w:t>(7)</w:t>
      </w:r>
      <w:r w:rsidRPr="005D642E">
        <w:rPr>
          <w:rtl/>
          <w:lang w:bidi="fa-IR"/>
        </w:rPr>
        <w:t xml:space="preserve"> ، فَهَلْ يَجُوزُ ذلِكَ</w:t>
      </w:r>
      <w:r>
        <w:rPr>
          <w:rtl/>
          <w:lang w:bidi="fa-IR"/>
        </w:rPr>
        <w:t>؟</w:t>
      </w:r>
    </w:p>
    <w:p w:rsidR="00E3253D" w:rsidRPr="005D642E" w:rsidRDefault="00E3253D" w:rsidP="00E3253D">
      <w:pPr>
        <w:pStyle w:val="libNormal"/>
        <w:rPr>
          <w:rtl/>
          <w:lang w:bidi="fa-IR"/>
        </w:rPr>
      </w:pPr>
      <w:r w:rsidRPr="005D642E">
        <w:rPr>
          <w:rtl/>
          <w:lang w:bidi="fa-IR"/>
        </w:rPr>
        <w:t xml:space="preserve">فَكَتَبَ </w:t>
      </w:r>
      <w:r w:rsidRPr="00AC51C5">
        <w:rPr>
          <w:rStyle w:val="libAlaemChar"/>
          <w:rtl/>
        </w:rPr>
        <w:t>عليه‌السلام</w:t>
      </w:r>
      <w:r w:rsidRPr="005D642E">
        <w:rPr>
          <w:rtl/>
          <w:lang w:bidi="fa-IR"/>
        </w:rPr>
        <w:t xml:space="preserve"> : « ذلِكَ جَائِزٌ</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AB6F65">
        <w:rPr>
          <w:rtl/>
        </w:rPr>
        <w:t>4561</w:t>
      </w:r>
      <w:r w:rsidRPr="00246318">
        <w:rPr>
          <w:rStyle w:val="libBold2Char"/>
          <w:rtl/>
        </w:rPr>
        <w:t xml:space="preserve"> / 2.</w:t>
      </w:r>
      <w:r w:rsidRPr="005D642E">
        <w:rPr>
          <w:rtl/>
          <w:lang w:bidi="fa-IR"/>
        </w:rPr>
        <w:t xml:space="preserve"> عَلِيُّ بْنُ إِبْرَاهِيمَ </w:t>
      </w:r>
      <w:r w:rsidRPr="007C12DB">
        <w:rPr>
          <w:rStyle w:val="libFootnotenumChar"/>
          <w:rtl/>
        </w:rPr>
        <w:t>(9)</w:t>
      </w:r>
      <w:r w:rsidRPr="005D642E">
        <w:rPr>
          <w:rtl/>
          <w:lang w:bidi="fa-IR"/>
        </w:rPr>
        <w:t xml:space="preserve"> ، عَنْ صَالِحِ بْنِ السِّنْدِيِّ ، عَنْ جَعْفَرِ بْنِ بَشِيرٍ ، عَنْ يَحْيَى بْنِ أَبِي الْعَلَاءِ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w:t>
      </w:r>
      <w:r w:rsidRPr="007C12DB">
        <w:rPr>
          <w:rStyle w:val="libFootnotenumChar"/>
          <w:rtl/>
        </w:rPr>
        <w:t>(10)</w:t>
      </w:r>
      <w:r w:rsidRPr="005D642E">
        <w:rPr>
          <w:rtl/>
          <w:lang w:bidi="fa-IR"/>
        </w:rPr>
        <w:t xml:space="preserve"> : « أَلْقى شُقْرَانُ مَوْلى رَسُولِ اللهِ </w:t>
      </w:r>
      <w:r w:rsidR="0042621E" w:rsidRPr="0042621E">
        <w:rPr>
          <w:rStyle w:val="libAlaemChar"/>
          <w:rtl/>
        </w:rPr>
        <w:t>صلى‌الله‌عليه‌وآله</w:t>
      </w:r>
      <w:r w:rsidRPr="005D642E">
        <w:rPr>
          <w:rtl/>
          <w:lang w:bidi="fa-IR"/>
        </w:rPr>
        <w:t xml:space="preserve"> فِي قَبْرِهِ‌</w:t>
      </w:r>
    </w:p>
    <w:p w:rsidR="00E3253D" w:rsidRPr="005D642E" w:rsidRDefault="00E3253D" w:rsidP="00E3253D">
      <w:pPr>
        <w:pStyle w:val="libLine"/>
        <w:rPr>
          <w:rtl/>
          <w:lang w:bidi="fa-IR"/>
        </w:rPr>
      </w:pPr>
      <w:r w:rsidRPr="005D642E">
        <w:rPr>
          <w:rtl/>
          <w:lang w:bidi="fa-IR"/>
        </w:rPr>
        <w:t>__________________</w:t>
      </w:r>
    </w:p>
    <w:p w:rsidR="00E3253D" w:rsidRPr="005D642E" w:rsidRDefault="00F5799D" w:rsidP="00E3253D">
      <w:pPr>
        <w:pStyle w:val="libFootnote0"/>
        <w:rPr>
          <w:rtl/>
          <w:lang w:bidi="fa-IR"/>
        </w:rPr>
      </w:pPr>
      <w:r>
        <w:rPr>
          <w:rFonts w:hint="cs"/>
          <w:rtl/>
        </w:rPr>
        <w:t xml:space="preserve">= </w:t>
      </w:r>
      <w:r w:rsidR="00E3253D" w:rsidRPr="005D642E">
        <w:rPr>
          <w:rtl/>
        </w:rPr>
        <w:t xml:space="preserve">القاساني في بعض الأسناد. راجع : </w:t>
      </w:r>
      <w:r w:rsidR="00E3253D" w:rsidRPr="002F4D34">
        <w:rPr>
          <w:rStyle w:val="libFootnoteBoldChar"/>
          <w:rtl/>
        </w:rPr>
        <w:t>معجم رجال الحديث</w:t>
      </w:r>
      <w:r w:rsidR="00E3253D" w:rsidRPr="005D642E">
        <w:rPr>
          <w:rtl/>
        </w:rPr>
        <w:t xml:space="preserve"> ، ج 11 ، ص 477</w:t>
      </w:r>
      <w:r w:rsidR="00E3253D">
        <w:rPr>
          <w:rtl/>
        </w:rPr>
        <w:t xml:space="preserve"> </w:t>
      </w:r>
      <w:r w:rsidR="007642BC">
        <w:rPr>
          <w:rtl/>
        </w:rPr>
        <w:t>-</w:t>
      </w:r>
      <w:r w:rsidR="00E3253D">
        <w:rPr>
          <w:rtl/>
        </w:rPr>
        <w:t xml:space="preserve"> </w:t>
      </w:r>
      <w:r w:rsidR="00E3253D" w:rsidRPr="005D642E">
        <w:rPr>
          <w:rtl/>
        </w:rPr>
        <w:t>478.</w:t>
      </w:r>
    </w:p>
    <w:p w:rsidR="00E3253D" w:rsidRDefault="00E3253D" w:rsidP="00B60612">
      <w:pPr>
        <w:pStyle w:val="libFootnote0"/>
        <w:rPr>
          <w:rtl/>
        </w:rPr>
      </w:pPr>
      <w:r w:rsidRPr="0095070A">
        <w:rPr>
          <w:rtl/>
        </w:rPr>
        <w:t>فعليه الظاهر إمّا زيادة « عن أبيه » في السند رأساً ، أو أنّ الصواب هو « أبيه وعليّ بن محمّد القاساني</w:t>
      </w:r>
      <w:r>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بس » : « القاشاني</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بف »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xml:space="preserve"> : « فتكون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 « القبر</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أَرْضٌ نَدِبَةٌ » ، بكسر الدال وتخفيف الياء كتعبة : مبتلّة ؛ من النَدل ، وهو المطروالبلل. راجع : </w:t>
      </w:r>
      <w:r w:rsidR="00E3253D" w:rsidRPr="002F4D34">
        <w:rPr>
          <w:rStyle w:val="libFootnoteBoldChar"/>
          <w:rtl/>
        </w:rPr>
        <w:t>الصحاح</w:t>
      </w:r>
      <w:r w:rsidR="00E3253D" w:rsidRPr="005D642E">
        <w:rPr>
          <w:rtl/>
        </w:rPr>
        <w:t xml:space="preserve"> ، ج 6 ، ص 2507 ؛ </w:t>
      </w:r>
      <w:r w:rsidR="00E3253D" w:rsidRPr="002F4D34">
        <w:rPr>
          <w:rStyle w:val="libFootnoteBoldChar"/>
          <w:rtl/>
        </w:rPr>
        <w:t>المصباح المنير</w:t>
      </w:r>
      <w:r w:rsidR="00E3253D" w:rsidRPr="005D642E">
        <w:rPr>
          <w:rtl/>
        </w:rPr>
        <w:t xml:space="preserve"> ، ص 599 ( ندي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بس ، جس » : « فيفرش</w:t>
      </w:r>
      <w:r w:rsidR="00E3253D">
        <w:rPr>
          <w:rtl/>
        </w:rPr>
        <w:t xml:space="preserve"> ».</w:t>
      </w:r>
      <w:r w:rsidR="00E3253D" w:rsidRPr="005D642E">
        <w:rPr>
          <w:rtl/>
        </w:rPr>
        <w:t xml:space="preserve"> وفي « بخ » : « فتفرش</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الساج » : خشب يجلب من الهند. وقيل : خشب أسود رَزِينٍ يجلب من الهند ولا تكاد الأرض تبليه. وقيل غير ذلك. راجع : </w:t>
      </w:r>
      <w:r w:rsidR="00E3253D" w:rsidRPr="002F4D34">
        <w:rPr>
          <w:rStyle w:val="libFootnoteBoldChar"/>
          <w:rtl/>
        </w:rPr>
        <w:t>لسان العرب</w:t>
      </w:r>
      <w:r w:rsidR="00E3253D" w:rsidRPr="005D642E">
        <w:rPr>
          <w:rtl/>
        </w:rPr>
        <w:t xml:space="preserve"> ، ج 2 ، ص 302</w:t>
      </w:r>
      <w:r w:rsidR="00E3253D">
        <w:rPr>
          <w:rtl/>
        </w:rPr>
        <w:t xml:space="preserve"> </w:t>
      </w:r>
      <w:r w:rsidR="007642BC">
        <w:rPr>
          <w:rtl/>
        </w:rPr>
        <w:t>-</w:t>
      </w:r>
      <w:r w:rsidR="00E3253D">
        <w:rPr>
          <w:rtl/>
        </w:rPr>
        <w:t xml:space="preserve"> </w:t>
      </w:r>
      <w:r w:rsidR="00E3253D" w:rsidRPr="005D642E">
        <w:rPr>
          <w:rtl/>
        </w:rPr>
        <w:t xml:space="preserve">303 ؛ </w:t>
      </w:r>
      <w:r w:rsidR="00E3253D" w:rsidRPr="002F4D34">
        <w:rPr>
          <w:rStyle w:val="libFootnoteBoldChar"/>
          <w:rtl/>
        </w:rPr>
        <w:t>المصباح المنير</w:t>
      </w:r>
      <w:r w:rsidR="00E3253D" w:rsidRPr="005D642E">
        <w:rPr>
          <w:rtl/>
        </w:rPr>
        <w:t xml:space="preserve"> ، ص 293 ( سوج )</w:t>
      </w:r>
      <w:r w:rsidR="00E3253D">
        <w:rPr>
          <w:rtl/>
        </w:rPr>
        <w:t>.</w:t>
      </w:r>
    </w:p>
    <w:p w:rsidR="00E3253D" w:rsidRPr="005D642E" w:rsidRDefault="0042621E" w:rsidP="00EC4BF9">
      <w:pPr>
        <w:pStyle w:val="libFootnote0"/>
        <w:rPr>
          <w:rtl/>
          <w:lang w:bidi="fa-IR"/>
        </w:rPr>
      </w:pPr>
      <w:r w:rsidRPr="0042621E">
        <w:rPr>
          <w:rStyle w:val="libFootnote0Char"/>
          <w:rtl/>
        </w:rPr>
        <w:t>(7).</w:t>
      </w:r>
      <w:r w:rsidR="00E3253D" w:rsidRPr="005D642E">
        <w:rPr>
          <w:rtl/>
        </w:rPr>
        <w:t xml:space="preserve"> في « بح » : « نط</w:t>
      </w:r>
      <w:r w:rsidR="00EC4BF9">
        <w:rPr>
          <w:rtl/>
        </w:rPr>
        <w:t>بّق عليه » بالتضعيف. وقال العل</w:t>
      </w:r>
      <w:r w:rsidR="00EC4BF9">
        <w:rPr>
          <w:rFonts w:hint="cs"/>
          <w:rtl/>
        </w:rPr>
        <w:t>ّ</w:t>
      </w:r>
      <w:r w:rsidR="00EC4BF9">
        <w:rPr>
          <w:rtl/>
        </w:rPr>
        <w:t>ا</w:t>
      </w:r>
      <w:r w:rsidR="00E3253D" w:rsidRPr="005D642E">
        <w:rPr>
          <w:rtl/>
        </w:rPr>
        <w:t>مة الفيض : « تطبيق الساج عليه : جعله حواليه كأنّه وضع في تابوت</w:t>
      </w:r>
      <w:r w:rsidR="00E3253D">
        <w:rPr>
          <w:rtl/>
        </w:rPr>
        <w:t xml:space="preserve"> ».</w:t>
      </w:r>
      <w:r w:rsidR="00631413">
        <w:rPr>
          <w:rtl/>
        </w:rPr>
        <w:t xml:space="preserve"> وقال العل</w:t>
      </w:r>
      <w:r w:rsidR="00631413">
        <w:rPr>
          <w:rFonts w:hint="cs"/>
          <w:rtl/>
        </w:rPr>
        <w:t>ّ</w:t>
      </w:r>
      <w:r w:rsidR="00631413">
        <w:rPr>
          <w:rtl/>
        </w:rPr>
        <w:t>ا</w:t>
      </w:r>
      <w:r w:rsidR="00E3253D" w:rsidRPr="005D642E">
        <w:rPr>
          <w:rtl/>
        </w:rPr>
        <w:t>مة المجلسي : « الطابق كهاجَر وصاحبٍ : الآجرّ الكبير</w:t>
      </w:r>
      <w:r w:rsidR="00E3253D">
        <w:rPr>
          <w:rtl/>
        </w:rPr>
        <w:t xml:space="preserve"> </w:t>
      </w:r>
      <w:r w:rsidR="007642BC">
        <w:rPr>
          <w:rtl/>
        </w:rPr>
        <w:t>-</w:t>
      </w:r>
      <w:r w:rsidR="00E3253D">
        <w:rPr>
          <w:rtl/>
        </w:rPr>
        <w:t xml:space="preserve"> </w:t>
      </w:r>
      <w:r w:rsidR="00E3253D" w:rsidRPr="005D642E">
        <w:rPr>
          <w:rtl/>
        </w:rPr>
        <w:t xml:space="preserve">إلى هنا نصّ كلام صاحب </w:t>
      </w:r>
      <w:r w:rsidR="00E3253D" w:rsidRPr="002F4D34">
        <w:rPr>
          <w:rStyle w:val="libFootnoteBoldChar"/>
          <w:rtl/>
        </w:rPr>
        <w:t>القاموس</w:t>
      </w:r>
      <w:r w:rsidR="00E3253D">
        <w:rPr>
          <w:rtl/>
        </w:rPr>
        <w:t xml:space="preserve"> </w:t>
      </w:r>
      <w:r w:rsidR="007642BC">
        <w:rPr>
          <w:rtl/>
        </w:rPr>
        <w:t>-</w:t>
      </w:r>
      <w:r w:rsidR="00E3253D">
        <w:rPr>
          <w:rtl/>
        </w:rPr>
        <w:t xml:space="preserve"> </w:t>
      </w:r>
      <w:r w:rsidR="00E3253D" w:rsidRPr="005D642E">
        <w:rPr>
          <w:rtl/>
        </w:rPr>
        <w:t xml:space="preserve">ولعلّ قوله </w:t>
      </w:r>
      <w:r w:rsidR="00EC4BF9" w:rsidRPr="005A1FEF">
        <w:rPr>
          <w:rStyle w:val="libFootnoteAlaemChar"/>
          <w:rtl/>
        </w:rPr>
        <w:t>عليه‌السلام</w:t>
      </w:r>
      <w:r w:rsidR="00E3253D" w:rsidRPr="005D642E">
        <w:rPr>
          <w:rtl/>
        </w:rPr>
        <w:t>: أو نطبق عليه ، مأخوذ منه</w:t>
      </w:r>
      <w:r w:rsidR="00E3253D">
        <w:rPr>
          <w:rtl/>
        </w:rPr>
        <w:t xml:space="preserve"> ».</w:t>
      </w:r>
      <w:r w:rsidR="00E3253D" w:rsidRPr="005D642E">
        <w:rPr>
          <w:rtl/>
        </w:rPr>
        <w:t xml:space="preserve"> راجع : </w:t>
      </w:r>
      <w:r w:rsidR="00E3253D" w:rsidRPr="002F4D34">
        <w:rPr>
          <w:rStyle w:val="libFootnoteBoldChar"/>
          <w:rtl/>
        </w:rPr>
        <w:t>مرآة العقول</w:t>
      </w:r>
      <w:r w:rsidR="00E3253D" w:rsidRPr="005D642E">
        <w:rPr>
          <w:rtl/>
        </w:rPr>
        <w:t xml:space="preserve"> ، ج 14 ، ص 102 ؛ </w:t>
      </w:r>
      <w:r w:rsidR="00E3253D" w:rsidRPr="002F4D34">
        <w:rPr>
          <w:rStyle w:val="libFootnoteBoldChar"/>
          <w:rtl/>
        </w:rPr>
        <w:t>القاموس المحيط</w:t>
      </w:r>
      <w:r w:rsidR="00E3253D" w:rsidRPr="005D642E">
        <w:rPr>
          <w:rtl/>
        </w:rPr>
        <w:t xml:space="preserve"> ، ج 2 ، ص 1198 ( طبق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456 ، ح 1488 ، بسنده عن عليّ بن محمّد القاساني ، عن محمّد بن محمّد ، قال : كتب عليّ بن بلال إليه أنّه ربّما مات</w:t>
      </w:r>
      <w:r w:rsidR="00E3253D">
        <w:rPr>
          <w:rtl/>
        </w:rPr>
        <w:t xml:space="preserve"> ....</w:t>
      </w:r>
      <w:r w:rsidR="00E3253D" w:rsidRPr="005D642E">
        <w:rPr>
          <w:rtl/>
        </w:rPr>
        <w:t xml:space="preserve"> </w:t>
      </w:r>
      <w:r w:rsidR="00E3253D" w:rsidRPr="002F4D34">
        <w:rPr>
          <w:rStyle w:val="libFootnoteBoldChar"/>
          <w:rtl/>
        </w:rPr>
        <w:t>الفقيه</w:t>
      </w:r>
      <w:r w:rsidR="00E3253D" w:rsidRPr="005D642E">
        <w:rPr>
          <w:rtl/>
        </w:rPr>
        <w:t xml:space="preserve"> ، ج 1 ، ص 171 ، ذيل ح 499 ، مرسلاً عن أبي الحسن الثالث </w:t>
      </w:r>
      <w:r w:rsidR="00E3253D" w:rsidRPr="005A1FEF">
        <w:rPr>
          <w:rStyle w:val="libFootnoteAlaemChar"/>
          <w:rtl/>
        </w:rPr>
        <w:t>عليه‌السلام</w:t>
      </w:r>
      <w:r w:rsidR="00E3253D" w:rsidRPr="005D642E">
        <w:rPr>
          <w:rtl/>
        </w:rPr>
        <w:t xml:space="preserve"> ، وفيهما مع اختلاف يسير </w:t>
      </w:r>
      <w:r w:rsidR="005A1FEF">
        <w:rPr>
          <w:rFonts w:hint="cs"/>
          <w:rtl/>
        </w:rPr>
        <w:t>.</w:t>
      </w:r>
      <w:r w:rsidR="00E3253D" w:rsidRPr="002F4D34">
        <w:rPr>
          <w:rStyle w:val="libFootnoteBoldChar"/>
          <w:rtl/>
        </w:rPr>
        <w:t>الوافي</w:t>
      </w:r>
      <w:r w:rsidR="00E3253D" w:rsidRPr="005D642E">
        <w:rPr>
          <w:rtl/>
        </w:rPr>
        <w:t xml:space="preserve"> ، ج 25 ، ص 523 ، ح 24563 ؛ </w:t>
      </w:r>
      <w:r w:rsidR="00E3253D" w:rsidRPr="002F4D34">
        <w:rPr>
          <w:rStyle w:val="libFootnoteBoldChar"/>
          <w:rtl/>
        </w:rPr>
        <w:t>الوسائل</w:t>
      </w:r>
      <w:r w:rsidR="00E3253D" w:rsidRPr="005D642E">
        <w:rPr>
          <w:rtl/>
        </w:rPr>
        <w:t xml:space="preserve"> ، ج 3 ، ص 188 ، ح 3366.</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والبحار. وفي المطبوع : + « [ عن أبيه ]</w:t>
      </w:r>
      <w:r w:rsidR="00E3253D">
        <w:rPr>
          <w:rtl/>
        </w:rPr>
        <w:t xml:space="preserve"> ».</w:t>
      </w:r>
    </w:p>
    <w:p w:rsidR="00E3253D" w:rsidRPr="005D642E" w:rsidRDefault="00E3253D" w:rsidP="00E3253D">
      <w:pPr>
        <w:pStyle w:val="libFootnote0"/>
        <w:rPr>
          <w:rtl/>
          <w:lang w:bidi="fa-IR"/>
        </w:rPr>
      </w:pPr>
      <w:r w:rsidRPr="00B60612">
        <w:rPr>
          <w:rtl/>
        </w:rPr>
        <w:t xml:space="preserve">وما أثبتناه هو الظاهر ، كما تقدّم تفصيل الكلام ، في </w:t>
      </w:r>
      <w:r w:rsidRPr="002F4D34">
        <w:rPr>
          <w:rStyle w:val="libFootnoteBoldChar"/>
          <w:rtl/>
        </w:rPr>
        <w:t>الكافي</w:t>
      </w:r>
      <w:r w:rsidRPr="00B60612">
        <w:rPr>
          <w:rtl/>
        </w:rPr>
        <w:t xml:space="preserve"> ، ذيل ح 3695 فلاحظ.</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 « يقول</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الْقَطِيفَةَ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AB6F65">
        <w:rPr>
          <w:rtl/>
        </w:rPr>
        <w:t>4562</w:t>
      </w:r>
      <w:r w:rsidRPr="00246318">
        <w:rPr>
          <w:rStyle w:val="libBold2Char"/>
          <w:rtl/>
        </w:rPr>
        <w:t xml:space="preserve"> / 3.</w:t>
      </w:r>
      <w:r w:rsidRPr="005D642E">
        <w:rPr>
          <w:rtl/>
          <w:lang w:bidi="fa-IR"/>
        </w:rPr>
        <w:t xml:space="preserve"> مُحَمَّدُ بْنُ يَحْيى ، عَنْ أَحْمَدَ بْنِ مُحَمَّدٍ ، عَنْ عَلِيِّ بْنِ الْحَكَمِ ، عَنْ حُسَيْنِ بْنِ عُثْمَانَ ، عَنِ ابْنِ مُسْكَانَ ، عَنْ أَبَانِ بْنِ تَغْلِبَ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جَعَلَ عَلِيٌّ </w:t>
      </w:r>
      <w:r w:rsidRPr="00AC51C5">
        <w:rPr>
          <w:rStyle w:val="libAlaemChar"/>
          <w:rtl/>
        </w:rPr>
        <w:t>عليه‌السلام</w:t>
      </w:r>
      <w:r w:rsidRPr="005D642E">
        <w:rPr>
          <w:rtl/>
          <w:lang w:bidi="fa-IR"/>
        </w:rPr>
        <w:t xml:space="preserve"> عَلى قَبْرِ النَّبِيِّ </w:t>
      </w:r>
      <w:r w:rsidRPr="007C12DB">
        <w:rPr>
          <w:rStyle w:val="libFootnotenumChar"/>
          <w:rtl/>
        </w:rPr>
        <w:t>(3)</w:t>
      </w:r>
      <w:r w:rsidRPr="005D642E">
        <w:rPr>
          <w:rtl/>
          <w:lang w:bidi="fa-IR"/>
        </w:rPr>
        <w:t xml:space="preserve"> </w:t>
      </w:r>
      <w:r w:rsidR="0042621E" w:rsidRPr="0042621E">
        <w:rPr>
          <w:rStyle w:val="libAlaemChar"/>
          <w:rtl/>
        </w:rPr>
        <w:t>صلى‌الله‌عليه‌وآله</w:t>
      </w:r>
      <w:r w:rsidRPr="005D642E">
        <w:rPr>
          <w:rtl/>
          <w:lang w:bidi="fa-IR"/>
        </w:rPr>
        <w:t xml:space="preserve"> لَبِناً</w:t>
      </w:r>
      <w:r>
        <w:rPr>
          <w:rtl/>
          <w:lang w:bidi="fa-IR"/>
        </w:rPr>
        <w:t xml:space="preserve"> ».</w:t>
      </w:r>
    </w:p>
    <w:p w:rsidR="00E3253D" w:rsidRPr="005D642E" w:rsidRDefault="00E3253D" w:rsidP="00E3253D">
      <w:pPr>
        <w:pStyle w:val="libNormal"/>
        <w:rPr>
          <w:rtl/>
          <w:lang w:bidi="fa-IR"/>
        </w:rPr>
      </w:pPr>
      <w:r>
        <w:rPr>
          <w:rtl/>
          <w:lang w:bidi="fa-IR"/>
        </w:rPr>
        <w:t>فَقُلْتُ : أَ</w:t>
      </w:r>
      <w:r w:rsidRPr="005D642E">
        <w:rPr>
          <w:rtl/>
          <w:lang w:bidi="fa-IR"/>
        </w:rPr>
        <w:t xml:space="preserve">رَأَيْتَ ، إِنْ جَعَلَ الرَّجُلُ عَلَيْهِ </w:t>
      </w:r>
      <w:r w:rsidRPr="007C12DB">
        <w:rPr>
          <w:rStyle w:val="libFootnotenumChar"/>
          <w:rtl/>
        </w:rPr>
        <w:t>(4)</w:t>
      </w:r>
      <w:r w:rsidRPr="005D642E">
        <w:rPr>
          <w:rtl/>
          <w:lang w:bidi="fa-IR"/>
        </w:rPr>
        <w:t xml:space="preserve"> آجُرّاً هَلْ يَضُرُّ الْمَيِّتَ </w:t>
      </w:r>
      <w:r w:rsidRPr="007C12DB">
        <w:rPr>
          <w:rStyle w:val="libFootnotenumChar"/>
          <w:rtl/>
        </w:rPr>
        <w:t>(5)</w:t>
      </w:r>
      <w:r>
        <w:rPr>
          <w:rtl/>
          <w:lang w:bidi="fa-IR"/>
        </w:rPr>
        <w:t>؟</w:t>
      </w:r>
      <w:r w:rsidRPr="005D642E">
        <w:rPr>
          <w:rtl/>
          <w:lang w:bidi="fa-IR"/>
        </w:rPr>
        <w:t xml:space="preserve"> قَالَ : « لَا</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452" w:name="_Toc344647362"/>
      <w:bookmarkStart w:id="453" w:name="_Toc462226876"/>
      <w:bookmarkStart w:id="454" w:name="_Toc40975984"/>
      <w:r w:rsidRPr="005D642E">
        <w:rPr>
          <w:rtl/>
          <w:lang w:bidi="fa-IR"/>
        </w:rPr>
        <w:t>66</w:t>
      </w:r>
      <w:r>
        <w:rPr>
          <w:rtl/>
          <w:lang w:bidi="fa-IR"/>
        </w:rPr>
        <w:t xml:space="preserve"> </w:t>
      </w:r>
      <w:r w:rsidR="007642BC">
        <w:rPr>
          <w:rtl/>
          <w:lang w:bidi="fa-IR"/>
        </w:rPr>
        <w:t>-</w:t>
      </w:r>
      <w:r>
        <w:rPr>
          <w:rtl/>
          <w:lang w:bidi="fa-IR"/>
        </w:rPr>
        <w:t xml:space="preserve"> </w:t>
      </w:r>
      <w:r w:rsidRPr="005D642E">
        <w:rPr>
          <w:rtl/>
          <w:lang w:bidi="fa-IR"/>
        </w:rPr>
        <w:t xml:space="preserve">بَابُ مَنْ حَثَا عَلَى الْمَيِّتِ </w:t>
      </w:r>
      <w:r w:rsidRPr="007C12DB">
        <w:rPr>
          <w:rStyle w:val="libFootnotenumChar"/>
          <w:rtl/>
        </w:rPr>
        <w:t>(7)</w:t>
      </w:r>
      <w:r>
        <w:rPr>
          <w:rtl/>
        </w:rPr>
        <w:t xml:space="preserve"> </w:t>
      </w:r>
      <w:r w:rsidRPr="005D642E">
        <w:rPr>
          <w:rtl/>
          <w:lang w:bidi="fa-IR"/>
        </w:rPr>
        <w:t>وَكَيْفَ يُحْثى‌</w:t>
      </w:r>
      <w:bookmarkEnd w:id="452"/>
      <w:bookmarkEnd w:id="453"/>
      <w:bookmarkEnd w:id="454"/>
    </w:p>
    <w:p w:rsidR="00E3253D" w:rsidRPr="005D642E" w:rsidRDefault="00E3253D" w:rsidP="00E3253D">
      <w:pPr>
        <w:pStyle w:val="libNormal"/>
        <w:rPr>
          <w:rtl/>
          <w:lang w:bidi="fa-IR"/>
        </w:rPr>
      </w:pPr>
      <w:r w:rsidRPr="00AB6F65">
        <w:rPr>
          <w:rtl/>
        </w:rPr>
        <w:t>4563</w:t>
      </w:r>
      <w:r w:rsidRPr="00246318">
        <w:rPr>
          <w:rStyle w:val="libBold2Char"/>
          <w:rtl/>
        </w:rPr>
        <w:t xml:space="preserve"> / 1.</w:t>
      </w:r>
      <w:r w:rsidRPr="005D642E">
        <w:rPr>
          <w:rtl/>
          <w:lang w:bidi="fa-IR"/>
        </w:rPr>
        <w:t xml:space="preserve"> عَلِيُّ بْنُ إِبْرَاهِيمَ ، عَنْ أَبِيهِ ، عَنِ ابْنِ أَبِي عُمَيْرٍ ، عَنْ دَاوُدَ بْنِ النُّعْمَانِ ، قَالَ :</w:t>
      </w:r>
    </w:p>
    <w:p w:rsidR="00E3253D" w:rsidRPr="005D642E" w:rsidRDefault="00E3253D" w:rsidP="00E3253D">
      <w:pPr>
        <w:pStyle w:val="libNormal"/>
        <w:rPr>
          <w:rtl/>
          <w:lang w:bidi="fa-IR"/>
        </w:rPr>
      </w:pPr>
      <w:r w:rsidRPr="005D642E">
        <w:rPr>
          <w:rtl/>
          <w:lang w:bidi="fa-IR"/>
        </w:rPr>
        <w:t xml:space="preserve">رَأَيْتُ أَبَا الْحَسَنِ </w:t>
      </w:r>
      <w:r w:rsidRPr="00AC51C5">
        <w:rPr>
          <w:rStyle w:val="libAlaemChar"/>
          <w:rtl/>
        </w:rPr>
        <w:t>عليه‌السلام</w:t>
      </w:r>
      <w:r w:rsidRPr="005D642E">
        <w:rPr>
          <w:rtl/>
          <w:lang w:bidi="fa-IR"/>
        </w:rPr>
        <w:t xml:space="preserve"> يَقُولُ : « مَا شَاءَ </w:t>
      </w:r>
      <w:r w:rsidRPr="007C12DB">
        <w:rPr>
          <w:rStyle w:val="libFootnotenumChar"/>
          <w:rtl/>
        </w:rPr>
        <w:t>(8)</w:t>
      </w:r>
      <w:r w:rsidRPr="005D642E">
        <w:rPr>
          <w:rtl/>
          <w:lang w:bidi="fa-IR"/>
        </w:rPr>
        <w:t xml:space="preserve"> اللهُ ، لَامَا شَاءَ </w:t>
      </w:r>
      <w:r w:rsidRPr="007C12DB">
        <w:rPr>
          <w:rStyle w:val="libFootnotenumChar"/>
          <w:rtl/>
        </w:rPr>
        <w:t>(9)</w:t>
      </w:r>
      <w:r w:rsidRPr="005D642E">
        <w:rPr>
          <w:rtl/>
          <w:lang w:bidi="fa-IR"/>
        </w:rPr>
        <w:t xml:space="preserve"> النَّاسُ » فَلَمَّا انْتَهى إِلَى الْقَبْرِ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القطيفة » : كساء ودِثار له خَمْل. قال ابن الأثير ذيل « خمل » : « الخَمِيلة : القطيفة ، وهي كلّ ثوب له خمل من أيّ شي‌ء كان</w:t>
      </w:r>
      <w:r w:rsidR="00E3253D">
        <w:rPr>
          <w:rtl/>
        </w:rPr>
        <w:t xml:space="preserve"> ».</w:t>
      </w:r>
      <w:r w:rsidR="00E3253D" w:rsidRPr="005D642E">
        <w:rPr>
          <w:rtl/>
        </w:rPr>
        <w:t xml:space="preserve"> والخَمْل : ما يكون كالزَغب</w:t>
      </w:r>
      <w:r w:rsidR="00E3253D">
        <w:rPr>
          <w:rtl/>
        </w:rPr>
        <w:t xml:space="preserve"> </w:t>
      </w:r>
      <w:r w:rsidR="007642BC">
        <w:rPr>
          <w:rtl/>
        </w:rPr>
        <w:t>-</w:t>
      </w:r>
      <w:r w:rsidR="00E3253D">
        <w:rPr>
          <w:rtl/>
        </w:rPr>
        <w:t xml:space="preserve"> </w:t>
      </w:r>
      <w:r w:rsidR="00E3253D" w:rsidRPr="005D642E">
        <w:rPr>
          <w:rtl/>
        </w:rPr>
        <w:t>هو أوّل ما يبدو من الشعر أو الريش ، وصغار الشعر أو الريش</w:t>
      </w:r>
      <w:r w:rsidR="00E3253D">
        <w:rPr>
          <w:rtl/>
        </w:rPr>
        <w:t xml:space="preserve"> </w:t>
      </w:r>
      <w:r w:rsidR="007642BC">
        <w:rPr>
          <w:rtl/>
        </w:rPr>
        <w:t>-</w:t>
      </w:r>
      <w:r w:rsidR="00E3253D">
        <w:rPr>
          <w:rtl/>
        </w:rPr>
        <w:t xml:space="preserve"> </w:t>
      </w:r>
      <w:r w:rsidR="00E3253D" w:rsidRPr="005D642E">
        <w:rPr>
          <w:rtl/>
        </w:rPr>
        <w:t>على وجه الثوب وهو من أصل النسيج ، وقيل : هو ك</w:t>
      </w:r>
      <w:r w:rsidR="005A1FEF">
        <w:rPr>
          <w:rtl/>
        </w:rPr>
        <w:t>الذهب على وجه الثوب. وقال العل</w:t>
      </w:r>
      <w:r w:rsidR="005A1FEF">
        <w:rPr>
          <w:rFonts w:hint="cs"/>
          <w:rtl/>
        </w:rPr>
        <w:t>ّ</w:t>
      </w:r>
      <w:r w:rsidR="005A1FEF">
        <w:rPr>
          <w:rtl/>
        </w:rPr>
        <w:t>ا</w:t>
      </w:r>
      <w:r w:rsidR="00E3253D" w:rsidRPr="005D642E">
        <w:rPr>
          <w:rtl/>
        </w:rPr>
        <w:t>مة الفيض : « كأنّه ا</w:t>
      </w:r>
      <w:r w:rsidR="00F30B21">
        <w:rPr>
          <w:rFonts w:hint="cs"/>
          <w:rtl/>
        </w:rPr>
        <w:t>ُ</w:t>
      </w:r>
      <w:r w:rsidR="00E3253D" w:rsidRPr="005D642E">
        <w:rPr>
          <w:rtl/>
        </w:rPr>
        <w:t xml:space="preserve">ريد أنّه بسطها تحت النبيّ في لحده </w:t>
      </w:r>
      <w:r w:rsidRPr="005A1FEF">
        <w:rPr>
          <w:rStyle w:val="libFootnoteAlaemChar"/>
          <w:rtl/>
        </w:rPr>
        <w:t>صلى‌الله‌عليه‌وآله</w:t>
      </w:r>
      <w:r w:rsidR="00E3253D" w:rsidRPr="005D642E">
        <w:rPr>
          <w:rtl/>
        </w:rPr>
        <w:t xml:space="preserve"> حين الدفن ، يدلّ عليه إيراد صاحب </w:t>
      </w:r>
      <w:r w:rsidR="00E3253D" w:rsidRPr="002F4D34">
        <w:rPr>
          <w:rStyle w:val="libFootnoteBoldChar"/>
          <w:rtl/>
        </w:rPr>
        <w:t>الكافي</w:t>
      </w:r>
      <w:r w:rsidR="00E3253D" w:rsidRPr="005D642E">
        <w:rPr>
          <w:rtl/>
        </w:rPr>
        <w:t xml:space="preserve"> هذه الرواية في باب ما يبسط في اللحد ، ويحتمل أن يكون « ا</w:t>
      </w:r>
      <w:r w:rsidR="00F30B21">
        <w:rPr>
          <w:rFonts w:hint="cs"/>
          <w:rtl/>
        </w:rPr>
        <w:t>ُ</w:t>
      </w:r>
      <w:r w:rsidR="00E3253D" w:rsidRPr="005D642E">
        <w:rPr>
          <w:rtl/>
        </w:rPr>
        <w:t xml:space="preserve">لقي » على صيغة المجهول ، ورجوع العائد في « قبره » إلى شقران ، وقد مضى حديث ابن سنان وأبان عن أبي عبدالله </w:t>
      </w:r>
      <w:r w:rsidR="00E3253D" w:rsidRPr="005A1FEF">
        <w:rPr>
          <w:rStyle w:val="libFootnoteAlaemChar"/>
          <w:rtl/>
        </w:rPr>
        <w:t>عليه‌السلام</w:t>
      </w:r>
      <w:r w:rsidR="00E3253D" w:rsidRPr="005D642E">
        <w:rPr>
          <w:rtl/>
        </w:rPr>
        <w:t xml:space="preserve"> : إنّ البرد لايلفّ به الميّت ولكن يطرح عليه طرحاً ، فإذا ا</w:t>
      </w:r>
      <w:r w:rsidR="00F30B21">
        <w:rPr>
          <w:rFonts w:hint="cs"/>
          <w:rtl/>
        </w:rPr>
        <w:t>ُ</w:t>
      </w:r>
      <w:r w:rsidR="00E3253D" w:rsidRPr="005D642E">
        <w:rPr>
          <w:rtl/>
        </w:rPr>
        <w:t>دخل القبر وضع تحت خدّه وتحت جنبه</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4 ، ص 1417 ( قطف ) ؛ </w:t>
      </w:r>
      <w:r w:rsidR="00E3253D" w:rsidRPr="002F4D34">
        <w:rPr>
          <w:rStyle w:val="libFootnoteBoldChar"/>
          <w:rtl/>
        </w:rPr>
        <w:t>النهاية</w:t>
      </w:r>
      <w:r w:rsidR="00E3253D" w:rsidRPr="005D642E">
        <w:rPr>
          <w:rtl/>
        </w:rPr>
        <w:t xml:space="preserve"> ، ج 2 ، ص 81 ؛ </w:t>
      </w:r>
      <w:r w:rsidR="00E3253D" w:rsidRPr="002F4D34">
        <w:rPr>
          <w:rStyle w:val="libFootnoteBoldChar"/>
          <w:rtl/>
        </w:rPr>
        <w:t>المغرب</w:t>
      </w:r>
      <w:r w:rsidR="00E3253D" w:rsidRPr="005D642E">
        <w:rPr>
          <w:rtl/>
        </w:rPr>
        <w:t xml:space="preserve"> ، ص 154 ( خمل ) ؛ </w:t>
      </w:r>
      <w:r w:rsidR="00E3253D" w:rsidRPr="002F4D34">
        <w:rPr>
          <w:rStyle w:val="libFootnoteBoldChar"/>
          <w:rtl/>
        </w:rPr>
        <w:t>الوافي</w:t>
      </w:r>
      <w:r w:rsidR="00E3253D" w:rsidRPr="005D642E">
        <w:rPr>
          <w:rtl/>
        </w:rPr>
        <w:t xml:space="preserve"> ، ج 25 ، ص 518.</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518 ، ح 24553 ؛ </w:t>
      </w:r>
      <w:r w:rsidR="00E3253D" w:rsidRPr="002F4D34">
        <w:rPr>
          <w:rStyle w:val="libFootnoteBoldChar"/>
          <w:rtl/>
        </w:rPr>
        <w:t>الوسائل</w:t>
      </w:r>
      <w:r w:rsidR="00E3253D" w:rsidRPr="005D642E">
        <w:rPr>
          <w:rtl/>
        </w:rPr>
        <w:t xml:space="preserve"> ، ج 3 ، ص 189 ، ح 3367 ؛ </w:t>
      </w:r>
      <w:r w:rsidR="00E3253D" w:rsidRPr="002F4D34">
        <w:rPr>
          <w:rStyle w:val="libFootnoteBoldChar"/>
          <w:rtl/>
        </w:rPr>
        <w:t>البحار</w:t>
      </w:r>
      <w:r w:rsidR="00E3253D" w:rsidRPr="005D642E">
        <w:rPr>
          <w:rtl/>
        </w:rPr>
        <w:t xml:space="preserve"> ، ج 22 ، ص 539 ، ح 42.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بخ ، بف » </w:t>
      </w:r>
      <w:r w:rsidR="000D749A" w:rsidRPr="000D749A">
        <w:rPr>
          <w:rStyle w:val="libFootnoteBoldChar"/>
          <w:rtl/>
        </w:rPr>
        <w:t>والوافي</w:t>
      </w:r>
      <w:r w:rsidR="00E3253D" w:rsidRPr="005D642E">
        <w:rPr>
          <w:rtl/>
        </w:rPr>
        <w:t xml:space="preserve"> والوسائل : « رسول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بف » </w:t>
      </w:r>
      <w:r w:rsidR="000D749A" w:rsidRPr="000D749A">
        <w:rPr>
          <w:rStyle w:val="libFootnoteBoldChar"/>
          <w:rtl/>
        </w:rPr>
        <w:t>والوافي</w:t>
      </w:r>
      <w:r w:rsidR="00E3253D" w:rsidRPr="005D642E">
        <w:rPr>
          <w:rtl/>
        </w:rPr>
        <w:t xml:space="preserve"> : « إن جعل عليه الرجل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ى ، بث ، بخ ، بس ، جن » : « بالميّت</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25 ، ص 524 ، ح 24566 ؛ </w:t>
      </w:r>
      <w:r w:rsidR="00E3253D" w:rsidRPr="002F4D34">
        <w:rPr>
          <w:rStyle w:val="libFootnoteBoldChar"/>
          <w:rtl/>
        </w:rPr>
        <w:t>الوسائل</w:t>
      </w:r>
      <w:r w:rsidR="00E3253D" w:rsidRPr="005D642E">
        <w:rPr>
          <w:rtl/>
        </w:rPr>
        <w:t xml:space="preserve"> ، ج 3 ، ص 189 ، ح 3369 ؛ </w:t>
      </w:r>
      <w:r w:rsidR="00E3253D" w:rsidRPr="002F4D34">
        <w:rPr>
          <w:rStyle w:val="libFootnoteBoldChar"/>
          <w:rtl/>
        </w:rPr>
        <w:t>البحار</w:t>
      </w:r>
      <w:r w:rsidR="00E3253D" w:rsidRPr="005D642E">
        <w:rPr>
          <w:rtl/>
        </w:rPr>
        <w:t xml:space="preserve"> ، ج 22 ، ص 539 ، ح 43 ، وتمام الرواية فيه : « جعل عليّ </w:t>
      </w:r>
      <w:r w:rsidR="00E3253D" w:rsidRPr="00045771">
        <w:rPr>
          <w:rStyle w:val="libFootnoteAlaemChar"/>
          <w:rtl/>
        </w:rPr>
        <w:t>عليه‌السلام</w:t>
      </w:r>
      <w:r w:rsidR="00E3253D" w:rsidRPr="005D642E">
        <w:rPr>
          <w:rtl/>
        </w:rPr>
        <w:t xml:space="preserve"> على قبر النبيّ </w:t>
      </w:r>
      <w:r w:rsidRPr="00F30B21">
        <w:rPr>
          <w:rStyle w:val="libFootnoteAlaemChar"/>
          <w:rtl/>
        </w:rPr>
        <w:t>صلى‌الله‌عليه‌وآله</w:t>
      </w:r>
      <w:r w:rsidR="00E3253D" w:rsidRPr="005D642E">
        <w:rPr>
          <w:rtl/>
        </w:rPr>
        <w:t xml:space="preserve"> لبناً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45771" w:rsidTr="00045771">
        <w:tc>
          <w:tcPr>
            <w:tcW w:w="4006" w:type="dxa"/>
          </w:tcPr>
          <w:p w:rsidR="00045771" w:rsidRDefault="00045771" w:rsidP="00E3253D">
            <w:pPr>
              <w:pStyle w:val="libFootnote0"/>
              <w:rPr>
                <w:rStyle w:val="libFootnote0Char"/>
                <w:rtl/>
              </w:rPr>
            </w:pPr>
            <w:r w:rsidRPr="0042621E">
              <w:rPr>
                <w:rStyle w:val="libFootnote0Char"/>
                <w:rtl/>
              </w:rPr>
              <w:t>(7).</w:t>
            </w:r>
            <w:r w:rsidRPr="005D642E">
              <w:rPr>
                <w:rtl/>
              </w:rPr>
              <w:t xml:space="preserve"> في « ى ، بث ، بخ ، بس ، جن » : « ميّت</w:t>
            </w:r>
            <w:r>
              <w:rPr>
                <w:rtl/>
              </w:rPr>
              <w:t xml:space="preserve"> ».</w:t>
            </w:r>
          </w:p>
        </w:tc>
        <w:tc>
          <w:tcPr>
            <w:tcW w:w="4006" w:type="dxa"/>
          </w:tcPr>
          <w:p w:rsidR="00045771" w:rsidRDefault="00045771" w:rsidP="00E3253D">
            <w:pPr>
              <w:pStyle w:val="libFootnote0"/>
              <w:rPr>
                <w:rStyle w:val="libFootnote0Char"/>
                <w:rtl/>
              </w:rPr>
            </w:pPr>
            <w:r w:rsidRPr="0042621E">
              <w:rPr>
                <w:rStyle w:val="libFootnote0Char"/>
                <w:rtl/>
              </w:rPr>
              <w:t>(8).</w:t>
            </w:r>
            <w:r w:rsidRPr="005D642E">
              <w:rPr>
                <w:rtl/>
              </w:rPr>
              <w:t xml:space="preserve"> في « بف » وحاشية « بث » : « ما يشاء</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 « ما يشاء</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تَنَحّى </w:t>
      </w:r>
      <w:r w:rsidRPr="007C12DB">
        <w:rPr>
          <w:rStyle w:val="libFootnotenumChar"/>
          <w:rtl/>
        </w:rPr>
        <w:t>(1)</w:t>
      </w:r>
      <w:r w:rsidRPr="005D642E">
        <w:rPr>
          <w:rtl/>
          <w:lang w:bidi="fa-IR"/>
        </w:rPr>
        <w:t xml:space="preserve"> ، فَجَلَسَ ، فَلَمَّا أُدْخِلَ الْمَيِّتُ لَحْدَهُ ، قَامَ فَحَثَا </w:t>
      </w:r>
      <w:r w:rsidRPr="007C12DB">
        <w:rPr>
          <w:rStyle w:val="libFootnotenumChar"/>
          <w:rtl/>
        </w:rPr>
        <w:t>(2)</w:t>
      </w:r>
      <w:r w:rsidRPr="005D642E">
        <w:rPr>
          <w:rtl/>
          <w:lang w:bidi="fa-IR"/>
        </w:rPr>
        <w:t xml:space="preserve"> عَلَيْهِ التُّرَابَ ثَلَاثَ مَرَّاتٍ بِيَدِهِ.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F73C70">
        <w:rPr>
          <w:rtl/>
        </w:rPr>
        <w:t>4564</w:t>
      </w:r>
      <w:r w:rsidRPr="00246318">
        <w:rPr>
          <w:rStyle w:val="libBold2Char"/>
          <w:rtl/>
        </w:rPr>
        <w:t xml:space="preserve"> / 2.</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حَثَوْتَ التُّرَابَ عَلَى الْمَيِّتِ ، فَقُلْ : إِيمَاناً بِكَ ، وَتَصْدِيقاً بِبَعْثِكَ </w:t>
      </w:r>
      <w:r w:rsidRPr="007C12DB">
        <w:rPr>
          <w:rStyle w:val="libFootnotenumChar"/>
          <w:rtl/>
        </w:rPr>
        <w:t>(4)</w:t>
      </w:r>
      <w:r w:rsidRPr="005D642E">
        <w:rPr>
          <w:rtl/>
          <w:lang w:bidi="fa-IR"/>
        </w:rPr>
        <w:t xml:space="preserve"> ، هذَا مَا وَعَدَنَا </w:t>
      </w:r>
      <w:r w:rsidRPr="007C12DB">
        <w:rPr>
          <w:rStyle w:val="libFootnotenumChar"/>
          <w:rtl/>
        </w:rPr>
        <w:t>(5)</w:t>
      </w:r>
      <w:r w:rsidRPr="005D642E">
        <w:rPr>
          <w:rtl/>
          <w:lang w:bidi="fa-IR"/>
        </w:rPr>
        <w:t xml:space="preserve"> اللهُ وَرَسُولُهُ </w:t>
      </w:r>
      <w:r w:rsidRPr="007C12DB">
        <w:rPr>
          <w:rStyle w:val="libFootnotenumChar"/>
          <w:rtl/>
        </w:rPr>
        <w:t>(6)</w:t>
      </w:r>
      <w:r w:rsidRPr="005D642E">
        <w:rPr>
          <w:rtl/>
          <w:lang w:bidi="fa-IR"/>
        </w:rPr>
        <w:t xml:space="preserve"> </w:t>
      </w:r>
      <w:r w:rsidR="0042621E" w:rsidRPr="0042621E">
        <w:rPr>
          <w:rStyle w:val="libAlaemChar"/>
          <w:rtl/>
        </w:rPr>
        <w:t>صلى‌الله‌عليه‌وآله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وَقَالَ </w:t>
      </w:r>
      <w:r w:rsidRPr="007C12DB">
        <w:rPr>
          <w:rStyle w:val="libFootnotenumChar"/>
          <w:rtl/>
        </w:rPr>
        <w:t>(7)</w:t>
      </w:r>
      <w:r w:rsidRPr="005D642E">
        <w:rPr>
          <w:rtl/>
          <w:lang w:bidi="fa-IR"/>
        </w:rPr>
        <w:t xml:space="preserve"> أَمِيرُ الْمُؤْمِنِينَ </w:t>
      </w:r>
      <w:r w:rsidRPr="00AC51C5">
        <w:rPr>
          <w:rStyle w:val="libAlaemChar"/>
          <w:rtl/>
        </w:rPr>
        <w:t>عليه‌السلام</w:t>
      </w:r>
      <w:r w:rsidRPr="005D642E">
        <w:rPr>
          <w:rtl/>
          <w:lang w:bidi="fa-IR"/>
        </w:rPr>
        <w:t xml:space="preserve"> : سَمِعْتُ رَسُولَ اللهِ </w:t>
      </w:r>
      <w:r w:rsidR="0042621E" w:rsidRPr="0042621E">
        <w:rPr>
          <w:rStyle w:val="libAlaemChar"/>
          <w:rtl/>
        </w:rPr>
        <w:t>صلى‌الله‌عليه‌وآله</w:t>
      </w:r>
      <w:r w:rsidRPr="005D642E">
        <w:rPr>
          <w:rtl/>
          <w:lang w:bidi="fa-IR"/>
        </w:rPr>
        <w:t xml:space="preserve"> يَقُولُ : مَنْ حَثَا عَلى مَيِّتٍ ، وَقَالَ </w:t>
      </w:r>
      <w:r w:rsidRPr="007C12DB">
        <w:rPr>
          <w:rStyle w:val="libFootnotenumChar"/>
          <w:rtl/>
        </w:rPr>
        <w:t>(8)</w:t>
      </w:r>
      <w:r w:rsidRPr="005D642E">
        <w:rPr>
          <w:rtl/>
          <w:lang w:bidi="fa-IR"/>
        </w:rPr>
        <w:t xml:space="preserve"> هذَا الْقَوْلَ ، أَعْطَاهُ اللهُ بِكُلِّ ذَرَّةٍ حَسَنَةً</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F73C70">
        <w:rPr>
          <w:rtl/>
        </w:rPr>
        <w:t>4565</w:t>
      </w:r>
      <w:r w:rsidRPr="00246318">
        <w:rPr>
          <w:rStyle w:val="libBold2Char"/>
          <w:rtl/>
        </w:rPr>
        <w:t xml:space="preserve"> / 3.</w:t>
      </w:r>
      <w:r w:rsidRPr="005D642E">
        <w:rPr>
          <w:rtl/>
          <w:lang w:bidi="fa-IR"/>
        </w:rPr>
        <w:t xml:space="preserve"> عَلِيُّ بْنُ إِبْرَاهِيمَ ، عَنْ أَبِيهِ ، عَنْ بَعْضِ أَصْحَابِهِ ، عَنِ الْعَلَاءِ بْنِ رَزِينٍ ، عَنْ مُحَمَّدِ بْنِ مُسْلِمٍ ، قَالَ :</w:t>
      </w:r>
    </w:p>
    <w:p w:rsidR="00E3253D" w:rsidRPr="005D642E" w:rsidRDefault="00E3253D" w:rsidP="00E3253D">
      <w:pPr>
        <w:pStyle w:val="libNormal"/>
        <w:rPr>
          <w:rtl/>
          <w:lang w:bidi="fa-IR"/>
        </w:rPr>
      </w:pPr>
      <w:r w:rsidRPr="005D642E">
        <w:rPr>
          <w:rtl/>
          <w:lang w:bidi="fa-IR"/>
        </w:rPr>
        <w:t xml:space="preserve">كُنْتُ مَعَ أَبِي جَعْفَرٍ </w:t>
      </w:r>
      <w:r w:rsidRPr="00AC51C5">
        <w:rPr>
          <w:rStyle w:val="libAlaemChar"/>
          <w:rtl/>
        </w:rPr>
        <w:t>عليه‌السلام</w:t>
      </w:r>
      <w:r w:rsidRPr="005D642E">
        <w:rPr>
          <w:rtl/>
          <w:lang w:bidi="fa-IR"/>
        </w:rPr>
        <w:t xml:space="preserve"> فِي جِنَازَةِ رَجُلٍ مِنْ أَصْحَابِنَا ، فَلَمَّا أَنْ دَفَنُوهُ ، قَامَ </w:t>
      </w:r>
      <w:r w:rsidRPr="00AC51C5">
        <w:rPr>
          <w:rStyle w:val="libAlaemChar"/>
          <w:rtl/>
        </w:rPr>
        <w:t>عليه‌السلام</w:t>
      </w:r>
      <w:r w:rsidRPr="005D642E">
        <w:rPr>
          <w:rtl/>
          <w:lang w:bidi="fa-IR"/>
        </w:rPr>
        <w:t xml:space="preserve"> إِلى قَبْرِهِ ، فَحَثَا عَلَيْهِ </w:t>
      </w:r>
      <w:r w:rsidRPr="007C12DB">
        <w:rPr>
          <w:rStyle w:val="libFootnotenumChar"/>
          <w:rtl/>
        </w:rPr>
        <w:t>(10)</w:t>
      </w:r>
      <w:r w:rsidRPr="005D642E">
        <w:rPr>
          <w:rtl/>
          <w:lang w:bidi="fa-IR"/>
        </w:rPr>
        <w:t xml:space="preserve"> مِمَّا يَلِي رَأْسَهُ ثَلَاثاً بِكَفِّهِ </w:t>
      </w:r>
      <w:r w:rsidRPr="007C12DB">
        <w:rPr>
          <w:rStyle w:val="libFootnotenumChar"/>
          <w:rtl/>
        </w:rPr>
        <w:t>(11)</w:t>
      </w:r>
      <w:r w:rsidRPr="005D642E">
        <w:rPr>
          <w:rtl/>
          <w:lang w:bidi="fa-IR"/>
        </w:rPr>
        <w:t xml:space="preserve"> ، ثُمَّ بَسَطَ كَفَّهُ عَلَى الْقَبْرِ ، ثُمَّ‌</w:t>
      </w:r>
      <w:r>
        <w:rPr>
          <w:rFonts w:hint="cs"/>
          <w:rtl/>
          <w:lang w:bidi="fa-IR"/>
        </w:rPr>
        <w:t xml:space="preserve"> </w:t>
      </w:r>
      <w:r w:rsidRPr="005D642E">
        <w:rPr>
          <w:rtl/>
          <w:lang w:bidi="fa-IR"/>
        </w:rPr>
        <w:t>قَالَ : « الل</w:t>
      </w:r>
      <w:r w:rsidR="00775C57">
        <w:rPr>
          <w:rFonts w:hint="cs"/>
          <w:rtl/>
          <w:lang w:bidi="fa-IR"/>
        </w:rPr>
        <w:t>ّ</w:t>
      </w:r>
      <w:r w:rsidRPr="005D642E">
        <w:rPr>
          <w:rtl/>
          <w:lang w:bidi="fa-IR"/>
        </w:rPr>
        <w:t xml:space="preserve">هُمَّ جَافِ الْأَرْضَ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عَنْ</w:t>
      </w:r>
      <w:r w:rsidR="000E66E8">
        <w:rPr>
          <w:rFonts w:hint="cs"/>
          <w:rtl/>
          <w:lang w:bidi="fa-IR"/>
        </w:rPr>
        <w:t>.................................................................</w:t>
      </w:r>
      <w:r w:rsidR="000E66E8">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تنحّى » ، أي تجنّب وصار في ناحية. راجع : </w:t>
      </w:r>
      <w:r w:rsidR="00E3253D" w:rsidRPr="002F4D34">
        <w:rPr>
          <w:rStyle w:val="libFootnoteBoldChar"/>
          <w:rtl/>
        </w:rPr>
        <w:t>لسان العرب</w:t>
      </w:r>
      <w:r w:rsidR="00E3253D" w:rsidRPr="005D642E">
        <w:rPr>
          <w:rtl/>
        </w:rPr>
        <w:t xml:space="preserve"> ، ج 15 ، ص 311</w:t>
      </w:r>
      <w:r w:rsidR="00E3253D">
        <w:rPr>
          <w:rtl/>
        </w:rPr>
        <w:t xml:space="preserve"> </w:t>
      </w:r>
      <w:r w:rsidR="007642BC">
        <w:rPr>
          <w:rtl/>
        </w:rPr>
        <w:t>-</w:t>
      </w:r>
      <w:r w:rsidR="00E3253D">
        <w:rPr>
          <w:rtl/>
        </w:rPr>
        <w:t xml:space="preserve"> </w:t>
      </w:r>
      <w:r w:rsidR="00E3253D" w:rsidRPr="005D642E">
        <w:rPr>
          <w:rtl/>
        </w:rPr>
        <w:t>312 ( نحا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يقال : حَثَا الرجل التراب يحثوه حَثْواً ويحثيه حثياً من باب رمى لغة : إذا هاله بيده ، أي صبّه بلا رفع اليدين ، وبعضهم يقول : قبضه بيده ثمّ رماه. راجع : </w:t>
      </w:r>
      <w:r w:rsidR="00E3253D" w:rsidRPr="002F4D34">
        <w:rPr>
          <w:rStyle w:val="libFootnoteBoldChar"/>
          <w:rtl/>
        </w:rPr>
        <w:t>المصباح المنير</w:t>
      </w:r>
      <w:r w:rsidR="00E3253D" w:rsidRPr="005D642E">
        <w:rPr>
          <w:rtl/>
        </w:rPr>
        <w:t xml:space="preserve"> ، ص 121 ( حثا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318 ، ح 925 ، بسند آخر وتمام الرواية فيه : « رأيت أبا الحسن </w:t>
      </w:r>
      <w:r w:rsidR="00E3253D" w:rsidRPr="009C78A3">
        <w:rPr>
          <w:rStyle w:val="libFootnoteAlaemChar"/>
          <w:rtl/>
        </w:rPr>
        <w:t>عليه‌السلام</w:t>
      </w:r>
      <w:r w:rsidR="00E3253D" w:rsidRPr="005D642E">
        <w:rPr>
          <w:rtl/>
        </w:rPr>
        <w:t xml:space="preserve"> وهو في جنازة ، فحثا التراب على القبر بظهر كفّيه » </w:t>
      </w:r>
      <w:r w:rsidR="009C78A3">
        <w:rPr>
          <w:rFonts w:hint="cs"/>
          <w:rtl/>
        </w:rPr>
        <w:t>.</w:t>
      </w:r>
      <w:r w:rsidR="00E3253D" w:rsidRPr="002F4D34">
        <w:rPr>
          <w:rStyle w:val="libFootnoteBoldChar"/>
          <w:rtl/>
        </w:rPr>
        <w:t>الوافي</w:t>
      </w:r>
      <w:r w:rsidR="00E3253D" w:rsidRPr="005D642E">
        <w:rPr>
          <w:rtl/>
        </w:rPr>
        <w:t xml:space="preserve"> ، ج 25 ، ص 524 ، ح 24566 ؛ </w:t>
      </w:r>
      <w:r w:rsidR="00E3253D" w:rsidRPr="002F4D34">
        <w:rPr>
          <w:rStyle w:val="libFootnoteBoldChar"/>
          <w:rtl/>
        </w:rPr>
        <w:t>الوسائل</w:t>
      </w:r>
      <w:r w:rsidR="00E3253D" w:rsidRPr="005D642E">
        <w:rPr>
          <w:rtl/>
        </w:rPr>
        <w:t xml:space="preserve"> ، ج 3 ، ص 189 ، ح 3370.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بث » </w:t>
      </w:r>
      <w:r w:rsidR="00B60612" w:rsidRPr="00B60612">
        <w:rPr>
          <w:rStyle w:val="libFootnoteBoldChar"/>
          <w:rtl/>
        </w:rPr>
        <w:t>والتهذيب</w:t>
      </w:r>
      <w:r w:rsidR="00E3253D" w:rsidRPr="005D642E">
        <w:rPr>
          <w:rtl/>
        </w:rPr>
        <w:t xml:space="preserve"> : « بنبيّك</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بس ، جح ، جس » والوسائل </w:t>
      </w:r>
      <w:r w:rsidR="00B60612" w:rsidRPr="00B60612">
        <w:rPr>
          <w:rStyle w:val="libFootnoteBoldChar"/>
          <w:rtl/>
        </w:rPr>
        <w:t>والتهذيب</w:t>
      </w:r>
      <w:r w:rsidR="00E3253D" w:rsidRPr="005D642E">
        <w:rPr>
          <w:rtl/>
        </w:rPr>
        <w:t xml:space="preserve"> : « ما وعد</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C78A3" w:rsidTr="009C78A3">
        <w:tc>
          <w:tcPr>
            <w:tcW w:w="4006" w:type="dxa"/>
          </w:tcPr>
          <w:p w:rsidR="009C78A3" w:rsidRDefault="009C78A3" w:rsidP="00E3253D">
            <w:pPr>
              <w:pStyle w:val="libFootnote0"/>
              <w:rPr>
                <w:rStyle w:val="libFootnote0Char"/>
                <w:rtl/>
              </w:rPr>
            </w:pPr>
            <w:r w:rsidRPr="0042621E">
              <w:rPr>
                <w:rStyle w:val="libFootnote0Char"/>
                <w:rtl/>
              </w:rPr>
              <w:t>(6).</w:t>
            </w:r>
            <w:r w:rsidRPr="005D642E">
              <w:rPr>
                <w:rtl/>
              </w:rPr>
              <w:t xml:space="preserve"> في الوافي : « رسول الله</w:t>
            </w:r>
            <w:r>
              <w:rPr>
                <w:rtl/>
              </w:rPr>
              <w:t xml:space="preserve"> ».</w:t>
            </w:r>
          </w:p>
        </w:tc>
        <w:tc>
          <w:tcPr>
            <w:tcW w:w="4006" w:type="dxa"/>
          </w:tcPr>
          <w:p w:rsidR="009C78A3" w:rsidRDefault="009C78A3" w:rsidP="00E3253D">
            <w:pPr>
              <w:pStyle w:val="libFootnote0"/>
              <w:rPr>
                <w:rStyle w:val="libFootnote0Char"/>
                <w:rtl/>
              </w:rPr>
            </w:pPr>
            <w:r w:rsidRPr="0042621E">
              <w:rPr>
                <w:rStyle w:val="libFootnote0Char"/>
                <w:rtl/>
              </w:rPr>
              <w:t>(7).</w:t>
            </w:r>
            <w:r w:rsidRPr="005D642E">
              <w:rPr>
                <w:rtl/>
              </w:rPr>
              <w:t xml:space="preserve"> في « ى » : « قال » بدون الواو.</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 « فقال</w:t>
      </w:r>
      <w:r w:rsidR="00E3253D">
        <w:rPr>
          <w:rtl/>
        </w:rPr>
        <w:t xml:space="preserve"> ».</w:t>
      </w:r>
    </w:p>
    <w:p w:rsidR="00E3253D" w:rsidRPr="005D642E" w:rsidRDefault="0042621E" w:rsidP="00A304D6">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319 ، ح 926 ، بسنده عن الكليني. </w:t>
      </w:r>
      <w:r w:rsidR="00E3253D" w:rsidRPr="002F4D34">
        <w:rPr>
          <w:rStyle w:val="libFootnoteBoldChar"/>
          <w:rtl/>
        </w:rPr>
        <w:t>الفقيه</w:t>
      </w:r>
      <w:r w:rsidR="00E3253D" w:rsidRPr="005D642E">
        <w:rPr>
          <w:rtl/>
        </w:rPr>
        <w:t xml:space="preserve"> ، ج 1 ، ص 172 ، ضمن ح 500 ، بسند آخر. </w:t>
      </w:r>
      <w:r w:rsidR="00E3253D" w:rsidRPr="002F4D34">
        <w:rPr>
          <w:rStyle w:val="libFootnoteBoldChar"/>
          <w:rtl/>
        </w:rPr>
        <w:t>فقه الرضا</w:t>
      </w:r>
      <w:r w:rsidR="00E3253D" w:rsidRPr="005D642E">
        <w:rPr>
          <w:rtl/>
        </w:rPr>
        <w:t xml:space="preserve"> </w:t>
      </w:r>
      <w:r w:rsidR="00E3253D" w:rsidRPr="009C78A3">
        <w:rPr>
          <w:rStyle w:val="libFootnoteAlaemChar"/>
          <w:rtl/>
        </w:rPr>
        <w:t>عليه‌السلام</w:t>
      </w:r>
      <w:r w:rsidR="00E3253D" w:rsidRPr="005D642E">
        <w:rPr>
          <w:rtl/>
        </w:rPr>
        <w:t xml:space="preserve"> ، ص 171 ، وفيهما مع اختلاف يسير </w:t>
      </w:r>
      <w:r w:rsidR="00A304D6">
        <w:rPr>
          <w:rFonts w:hint="cs"/>
          <w:rtl/>
        </w:rPr>
        <w:t>.</w:t>
      </w:r>
      <w:r w:rsidR="00E3253D" w:rsidRPr="002F4D34">
        <w:rPr>
          <w:rStyle w:val="libFootnoteBoldChar"/>
          <w:rtl/>
        </w:rPr>
        <w:t>الوافي</w:t>
      </w:r>
      <w:r w:rsidR="00E3253D" w:rsidRPr="005D642E">
        <w:rPr>
          <w:rtl/>
        </w:rPr>
        <w:t xml:space="preserve"> ، ج 25 ، ص 525 ، ح 24569 ؛ </w:t>
      </w:r>
      <w:r w:rsidR="00E3253D" w:rsidRPr="002F4D34">
        <w:rPr>
          <w:rStyle w:val="libFootnoteBoldChar"/>
          <w:rtl/>
        </w:rPr>
        <w:t>الوسائل</w:t>
      </w:r>
      <w:r w:rsidR="00E3253D" w:rsidRPr="005D642E">
        <w:rPr>
          <w:rtl/>
        </w:rPr>
        <w:t xml:space="preserve"> ، ج 3 ، ص 190 ، ح 3373.</w:t>
      </w:r>
      <w:r w:rsidR="00A304D6">
        <w:rPr>
          <w:rFonts w:hint="cs"/>
          <w:rtl/>
        </w:rPr>
        <w:t xml:space="preserve">                 </w:t>
      </w:r>
      <w:r w:rsidRPr="0042621E">
        <w:rPr>
          <w:rStyle w:val="libFootnote0Char"/>
          <w:rtl/>
        </w:rPr>
        <w:t>(10).</w:t>
      </w:r>
      <w:r w:rsidR="00E3253D" w:rsidRPr="005D642E">
        <w:rPr>
          <w:rtl/>
        </w:rPr>
        <w:t xml:space="preserve"> في « بث » : + « التراب</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التهذيب : « بكفّيه</w:t>
      </w:r>
      <w:r w:rsidR="00E3253D">
        <w:rPr>
          <w:rtl/>
        </w:rPr>
        <w:t xml:space="preserve"> ».</w:t>
      </w:r>
    </w:p>
    <w:p w:rsidR="00E3253D" w:rsidRDefault="0042621E" w:rsidP="00E3253D">
      <w:pPr>
        <w:pStyle w:val="libFootnote0"/>
        <w:rPr>
          <w:rtl/>
        </w:rPr>
      </w:pPr>
      <w:r w:rsidRPr="0042621E">
        <w:rPr>
          <w:rStyle w:val="libFootnote0Char"/>
          <w:rtl/>
        </w:rPr>
        <w:t>(12).</w:t>
      </w:r>
      <w:r w:rsidR="00E3253D">
        <w:rPr>
          <w:rtl/>
        </w:rPr>
        <w:t xml:space="preserve"> </w:t>
      </w:r>
      <w:r w:rsidR="00E3253D" w:rsidRPr="005D642E">
        <w:rPr>
          <w:rtl/>
        </w:rPr>
        <w:t>« جاف الأرض » ، أي باعده ؛ من الجفاء وهو البعد عن الشي‌ء ، يقال : ج</w:t>
      </w:r>
      <w:r w:rsidR="00A609D9">
        <w:rPr>
          <w:rtl/>
        </w:rPr>
        <w:t>فاه ؛ إذا بَعُدَ عنه ،وأجفاه:</w:t>
      </w:r>
      <w:r w:rsidR="00E3253D" w:rsidRPr="005D642E">
        <w:rPr>
          <w:rtl/>
        </w:rPr>
        <w:t xml:space="preserve">إذا </w:t>
      </w:r>
      <w:r w:rsidR="00C556C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جَنْبَيْهِ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 وَأَصْعِدْ إِلَيْكَ رُوحَهُ ، وَلَقِّهِ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مِنْكَ رِضْوَاناً ، وَأَسْكِنْ قَبْرَهُ مِنْ رَحْمَتِكَ مَا تُغْنِيهِ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بِهِ عَنْ رَحْمَةِ مَنْ سِوَاكَ » ثُمَّ مَضى.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4A18EE">
        <w:rPr>
          <w:rtl/>
        </w:rPr>
        <w:t>4566</w:t>
      </w:r>
      <w:r w:rsidRPr="00246318">
        <w:rPr>
          <w:rStyle w:val="libBold2Char"/>
          <w:rtl/>
        </w:rPr>
        <w:t xml:space="preserve"> / 4.</w:t>
      </w:r>
      <w:r w:rsidRPr="005D642E">
        <w:rPr>
          <w:rtl/>
          <w:lang w:bidi="fa-IR"/>
        </w:rPr>
        <w:t xml:space="preserve"> عَلِيُّ بْنُ إِبْرَاهِيمَ ، عَنْ أَبِيهِ ، عَنِ ابْنِ أَبِي عُمَيْرٍ ، عَنْ جَمِيلِ بْنِ دَرَّاجٍ ، عَنْ عُمَرَ بْنِ أُذَيْنَةَ ، قَالَ :</w:t>
      </w:r>
    </w:p>
    <w:p w:rsidR="00E3253D" w:rsidRPr="005D642E" w:rsidRDefault="00E3253D" w:rsidP="00A609D9">
      <w:pPr>
        <w:pStyle w:val="libNormal"/>
        <w:rPr>
          <w:rtl/>
          <w:lang w:bidi="fa-IR"/>
        </w:rPr>
      </w:pPr>
      <w:r w:rsidRPr="005D642E">
        <w:rPr>
          <w:rtl/>
          <w:lang w:bidi="fa-IR"/>
        </w:rPr>
        <w:t xml:space="preserve">رَأَيْتُ أَبَا عَبْدِ اللهِ </w:t>
      </w:r>
      <w:r w:rsidRPr="00AC51C5">
        <w:rPr>
          <w:rStyle w:val="libAlaemChar"/>
          <w:rtl/>
        </w:rPr>
        <w:t>عليه‌السلام</w:t>
      </w:r>
      <w:r w:rsidRPr="005D642E">
        <w:rPr>
          <w:rtl/>
          <w:lang w:bidi="fa-IR"/>
        </w:rPr>
        <w:t xml:space="preserve"> يَطْرَحُ التُّرَابَ عَلَى الْمَيِّتِ ، فَيُمْسِكُهُ سَاعَةً فِي يَدِهِ ، ثُمَّ يَطْرَحُهُ ، وَلَايَزِيدُ عَلى ثَلَاثَةِ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أَكُفٍّ ، قَالَ : فَسَأَلْتُهُ عَنْ ذلِكَ ، فَقَالَ : « يَا عُمَرُ ، كُنْتُ أَقُولُ :</w:t>
      </w:r>
      <w:r>
        <w:rPr>
          <w:rFonts w:hint="cs"/>
          <w:rtl/>
          <w:lang w:bidi="fa-IR"/>
        </w:rPr>
        <w:t xml:space="preserve"> </w:t>
      </w:r>
      <w:r w:rsidRPr="005D642E">
        <w:rPr>
          <w:rtl/>
          <w:lang w:bidi="fa-IR"/>
        </w:rPr>
        <w:t xml:space="preserve">إِيمَاناً بِكَ ، وَتَصْدِيقاً بِبَعْثِكَ ، </w:t>
      </w:r>
      <w:r w:rsidRPr="00AC51C5">
        <w:rPr>
          <w:rStyle w:val="libAlaemChar"/>
          <w:rtl/>
        </w:rPr>
        <w:t>(</w:t>
      </w:r>
      <w:r w:rsidRPr="00AC51C5">
        <w:rPr>
          <w:rStyle w:val="libAieChar"/>
          <w:rtl/>
        </w:rPr>
        <w:t xml:space="preserve"> هذ</w:t>
      </w:r>
      <w:r w:rsidR="00A609D9">
        <w:rPr>
          <w:rStyle w:val="libAieChar"/>
          <w:rFonts w:hint="cs"/>
          <w:rtl/>
        </w:rPr>
        <w:t>َ</w:t>
      </w:r>
      <w:r w:rsidRPr="00AC51C5">
        <w:rPr>
          <w:rStyle w:val="libAieChar"/>
          <w:rtl/>
        </w:rPr>
        <w:t>ا م</w:t>
      </w:r>
      <w:r w:rsidR="00A609D9">
        <w:rPr>
          <w:rStyle w:val="libAieChar"/>
          <w:rFonts w:hint="cs"/>
          <w:rtl/>
        </w:rPr>
        <w:t>َ</w:t>
      </w:r>
      <w:r w:rsidRPr="00AC51C5">
        <w:rPr>
          <w:rStyle w:val="libAieChar"/>
          <w:rtl/>
        </w:rPr>
        <w:t>ا وَعَدَنَا اللهُ</w:t>
      </w:r>
      <w:r w:rsidRPr="005D642E">
        <w:rPr>
          <w:rtl/>
          <w:lang w:bidi="fa-IR"/>
        </w:rPr>
        <w:t xml:space="preserve"> </w:t>
      </w:r>
      <w:r w:rsidRPr="007C12DB">
        <w:rPr>
          <w:rStyle w:val="libFootnotenumChar"/>
          <w:rtl/>
        </w:rPr>
        <w:t>(</w:t>
      </w:r>
      <w:r w:rsidRPr="007C12DB">
        <w:rPr>
          <w:rStyle w:val="libFootnotenumChar"/>
          <w:rFonts w:hint="cs"/>
          <w:rtl/>
        </w:rPr>
        <w:t>6</w:t>
      </w:r>
      <w:r w:rsidRPr="007C12DB">
        <w:rPr>
          <w:rStyle w:val="libFootnotenumChar"/>
          <w:rtl/>
        </w:rPr>
        <w:t>)</w:t>
      </w:r>
      <w:r w:rsidRPr="00AC51C5">
        <w:rPr>
          <w:rStyle w:val="libAieChar"/>
          <w:rtl/>
        </w:rPr>
        <w:t xml:space="preserve"> وَرَسُولُهُ </w:t>
      </w:r>
      <w:r w:rsidRPr="00AC51C5">
        <w:rPr>
          <w:rStyle w:val="libAlaemChar"/>
          <w:rtl/>
        </w:rPr>
        <w:t>)</w:t>
      </w:r>
      <w:r w:rsidRPr="005D642E">
        <w:rPr>
          <w:rtl/>
          <w:lang w:bidi="fa-IR"/>
        </w:rPr>
        <w:t xml:space="preserve">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إِلى قَوْلِهِ : </w:t>
      </w:r>
      <w:r w:rsidRPr="00AC51C5">
        <w:rPr>
          <w:rStyle w:val="libAlaemChar"/>
          <w:rtl/>
        </w:rPr>
        <w:t>(</w:t>
      </w:r>
      <w:r w:rsidRPr="00AC51C5">
        <w:rPr>
          <w:rStyle w:val="libAieChar"/>
          <w:rtl/>
        </w:rPr>
        <w:t xml:space="preserve"> تَسْلِيماً </w:t>
      </w:r>
      <w:r w:rsidRPr="00AC51C5">
        <w:rPr>
          <w:rStyle w:val="libAlaemChar"/>
          <w:rtl/>
        </w:rPr>
        <w:t>)</w:t>
      </w:r>
      <w:r w:rsidRPr="005D642E">
        <w:rPr>
          <w:rtl/>
          <w:lang w:bidi="fa-IR"/>
        </w:rPr>
        <w:t xml:space="preserve">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 هكَذَا كَانَ يَفْعَلُ رَسُولُ اللهِ </w:t>
      </w:r>
      <w:r w:rsidR="0042621E" w:rsidRPr="0042621E">
        <w:rPr>
          <w:rStyle w:val="libAlaemChar"/>
          <w:rtl/>
        </w:rPr>
        <w:t>صلى‌الله‌عليه‌وآله</w:t>
      </w:r>
      <w:r w:rsidRPr="005D642E">
        <w:rPr>
          <w:rtl/>
          <w:lang w:bidi="fa-IR"/>
        </w:rPr>
        <w:t xml:space="preserve"> ، وَبِهِ جَرَتِ السُّنَّةُ</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9</w:t>
      </w:r>
      <w:r w:rsidRPr="007C12DB">
        <w:rPr>
          <w:rStyle w:val="libFootnotenumChar"/>
          <w:rtl/>
        </w:rPr>
        <w:t>)</w:t>
      </w:r>
    </w:p>
    <w:p w:rsidR="00E3253D" w:rsidRPr="005D642E" w:rsidRDefault="00E3253D" w:rsidP="00E3253D">
      <w:pPr>
        <w:pStyle w:val="libNormal"/>
        <w:rPr>
          <w:rtl/>
          <w:lang w:bidi="fa-IR"/>
        </w:rPr>
      </w:pPr>
      <w:r w:rsidRPr="004A18EE">
        <w:rPr>
          <w:rtl/>
        </w:rPr>
        <w:t>4567</w:t>
      </w:r>
      <w:r w:rsidRPr="00246318">
        <w:rPr>
          <w:rStyle w:val="libBold2Char"/>
          <w:rtl/>
        </w:rPr>
        <w:t xml:space="preserve"> / 5.</w:t>
      </w:r>
      <w:r w:rsidRPr="005D642E">
        <w:rPr>
          <w:rtl/>
          <w:lang w:bidi="fa-IR"/>
        </w:rPr>
        <w:t xml:space="preserve"> عَلِيُّ بْنُ إِبْرَاهِيمَ ، عَنْ يَعْقُوبَ بْنِ يَزِيدَ ، عَنْ عَلِيِّ بْنِ أَسْبَاطٍ ، عَنْ عُبَيْدِ بْنِ زُرَارَةَ ، قَالَ :</w:t>
      </w:r>
    </w:p>
    <w:p w:rsidR="00E3253D" w:rsidRPr="005D642E" w:rsidRDefault="00E3253D" w:rsidP="00E3253D">
      <w:pPr>
        <w:pStyle w:val="libNormal"/>
        <w:rPr>
          <w:rtl/>
          <w:lang w:bidi="fa-IR"/>
        </w:rPr>
      </w:pPr>
      <w:r w:rsidRPr="005D642E">
        <w:rPr>
          <w:rtl/>
          <w:lang w:bidi="fa-IR"/>
        </w:rPr>
        <w:t xml:space="preserve">مَاتَ لِبَعْضِ أَصْحَابِ أَبِي عَبْدِ اللهِ </w:t>
      </w:r>
      <w:r w:rsidRPr="00AC51C5">
        <w:rPr>
          <w:rStyle w:val="libAlaemChar"/>
          <w:rtl/>
        </w:rPr>
        <w:t>عليه‌السلام</w:t>
      </w:r>
      <w:r w:rsidRPr="005D642E">
        <w:rPr>
          <w:rtl/>
          <w:lang w:bidi="fa-IR"/>
        </w:rPr>
        <w:t xml:space="preserve"> وَلَدٌ ، فَحَضَرَ أَبُو عَبْدِ اللهِ </w:t>
      </w:r>
      <w:r w:rsidRPr="00AC51C5">
        <w:rPr>
          <w:rStyle w:val="libAlaemChar"/>
          <w:rtl/>
        </w:rPr>
        <w:t>عليه‌السلام</w:t>
      </w:r>
      <w:r w:rsidRPr="005D642E">
        <w:rPr>
          <w:rtl/>
          <w:lang w:bidi="fa-IR"/>
        </w:rPr>
        <w:t xml:space="preserve"> ، فَلَمَّا أُلْحِدَ ، تَقَدَّمَ أَبُوهُ ، فَطَرَحَ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عَلَيْهِ التُّرَابَ ، فَأَخَذَ أَبُو عَبْدِ اللهِ </w:t>
      </w:r>
      <w:r w:rsidRPr="00AC51C5">
        <w:rPr>
          <w:rStyle w:val="libAlaemChar"/>
          <w:rtl/>
        </w:rPr>
        <w:t>عليه‌السلام</w:t>
      </w:r>
      <w:r w:rsidRPr="005D642E">
        <w:rPr>
          <w:rtl/>
          <w:lang w:bidi="fa-IR"/>
        </w:rPr>
        <w:t xml:space="preserve"> بِكَفَّيْهِ </w:t>
      </w:r>
      <w:r w:rsidRPr="007C12DB">
        <w:rPr>
          <w:rStyle w:val="libFootnotenumChar"/>
          <w:rtl/>
        </w:rPr>
        <w:t>(1</w:t>
      </w:r>
      <w:r w:rsidRPr="007C12DB">
        <w:rPr>
          <w:rStyle w:val="libFootnotenumChar"/>
          <w:rFonts w:hint="cs"/>
          <w:rtl/>
        </w:rPr>
        <w:t>1</w:t>
      </w:r>
      <w:r w:rsidRPr="007C12DB">
        <w:rPr>
          <w:rStyle w:val="libFootnotenumChar"/>
          <w:rtl/>
        </w:rPr>
        <w:t>)</w:t>
      </w:r>
      <w:r w:rsidRPr="005D642E">
        <w:rPr>
          <w:rtl/>
          <w:lang w:bidi="fa-IR"/>
        </w:rPr>
        <w:t xml:space="preserve"> ، وَقَالَ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 « لَا تَطْرَحْ عَلَيْهِ‌</w:t>
      </w:r>
    </w:p>
    <w:p w:rsidR="00E3253D" w:rsidRPr="005D642E" w:rsidRDefault="00E3253D" w:rsidP="00E3253D">
      <w:pPr>
        <w:pStyle w:val="libLine"/>
        <w:rPr>
          <w:rtl/>
          <w:lang w:bidi="fa-IR"/>
        </w:rPr>
      </w:pPr>
      <w:r w:rsidRPr="005D642E">
        <w:rPr>
          <w:rtl/>
          <w:lang w:bidi="fa-IR"/>
        </w:rPr>
        <w:t>__________________</w:t>
      </w:r>
    </w:p>
    <w:p w:rsidR="00E3253D" w:rsidRPr="005D642E" w:rsidRDefault="00232FE0" w:rsidP="00E3253D">
      <w:pPr>
        <w:pStyle w:val="libFootnote0"/>
        <w:rPr>
          <w:rtl/>
          <w:lang w:bidi="fa-IR"/>
        </w:rPr>
      </w:pPr>
      <w:r>
        <w:rPr>
          <w:rFonts w:hint="cs"/>
          <w:rtl/>
        </w:rPr>
        <w:t xml:space="preserve">= </w:t>
      </w:r>
      <w:r w:rsidR="00E3253D" w:rsidRPr="005D642E">
        <w:rPr>
          <w:rtl/>
        </w:rPr>
        <w:t xml:space="preserve">أبعده ، وجافاه : إذا باعده. راجع : </w:t>
      </w:r>
      <w:r w:rsidR="00E3253D" w:rsidRPr="002F4D34">
        <w:rPr>
          <w:rStyle w:val="libFootnoteBoldChar"/>
          <w:rtl/>
        </w:rPr>
        <w:t>النهاية</w:t>
      </w:r>
      <w:r w:rsidR="00E3253D" w:rsidRPr="005D642E">
        <w:rPr>
          <w:rtl/>
        </w:rPr>
        <w:t xml:space="preserve"> ، ج 1 ، ص 280 ( جفا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بس ، جح » وحاشية « جن » : « عن جنبه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يقال : لقّاه الشي‌ء وألقاه إليه وبه ، أي طرحه إليه وأبلغه إيّاه. راجع : </w:t>
      </w:r>
      <w:r w:rsidR="00E3253D" w:rsidRPr="002F4D34">
        <w:rPr>
          <w:rStyle w:val="libFootnoteBoldChar"/>
          <w:rtl/>
        </w:rPr>
        <w:t>لسان العرب</w:t>
      </w:r>
      <w:r w:rsidR="00E3253D" w:rsidRPr="005D642E">
        <w:rPr>
          <w:rtl/>
        </w:rPr>
        <w:t xml:space="preserve"> ، ج 15 ، ص 255 ؛ </w:t>
      </w:r>
      <w:r w:rsidR="00E3253D" w:rsidRPr="002F4D34">
        <w:rPr>
          <w:rStyle w:val="libFootnoteBoldChar"/>
          <w:rtl/>
        </w:rPr>
        <w:t>القاموس المحيط</w:t>
      </w:r>
      <w:r w:rsidR="00E3253D" w:rsidRPr="005D642E">
        <w:rPr>
          <w:rtl/>
        </w:rPr>
        <w:t xml:space="preserve"> ، ج 2 ، ص 1744 ( لقا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 « ممّا تغنيه</w:t>
      </w:r>
      <w:r w:rsidR="00E3253D">
        <w:rPr>
          <w:rtl/>
        </w:rPr>
        <w:t xml:space="preserve"> ».</w:t>
      </w:r>
    </w:p>
    <w:p w:rsidR="00E3253D" w:rsidRPr="005D642E" w:rsidRDefault="0042621E" w:rsidP="000C763F">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319 ، ح 927 ، بسنده عن الكليني </w:t>
      </w:r>
      <w:r w:rsidR="000C763F">
        <w:rPr>
          <w:rFonts w:hint="cs"/>
          <w:rtl/>
        </w:rPr>
        <w:t>.</w:t>
      </w:r>
      <w:r w:rsidR="00E3253D" w:rsidRPr="002F4D34">
        <w:rPr>
          <w:rStyle w:val="libFootnoteBoldChar"/>
          <w:rtl/>
        </w:rPr>
        <w:t>الوافي</w:t>
      </w:r>
      <w:r w:rsidR="00E3253D" w:rsidRPr="005D642E">
        <w:rPr>
          <w:rtl/>
        </w:rPr>
        <w:t xml:space="preserve"> ، ج 25 ، ص 525 ، ح 24570 ؛ </w:t>
      </w:r>
      <w:r w:rsidR="00E3253D" w:rsidRPr="002F4D34">
        <w:rPr>
          <w:rStyle w:val="libFootnoteBoldChar"/>
          <w:rtl/>
        </w:rPr>
        <w:t>الوسائل</w:t>
      </w:r>
      <w:r w:rsidR="00E3253D" w:rsidRPr="005D642E">
        <w:rPr>
          <w:rtl/>
        </w:rPr>
        <w:t xml:space="preserve"> ، ج 3 ، ص 190 ، ح 3372.</w:t>
      </w:r>
      <w:r w:rsidR="000C763F">
        <w:rPr>
          <w:rFonts w:hint="cs"/>
          <w:rtl/>
        </w:rPr>
        <w:t xml:space="preserve">                 </w:t>
      </w:r>
      <w:r w:rsidRPr="0042621E">
        <w:rPr>
          <w:rStyle w:val="libFootnote0Char"/>
          <w:rtl/>
        </w:rPr>
        <w:t>(5).</w:t>
      </w:r>
      <w:r w:rsidR="00E3253D" w:rsidRPr="005D642E">
        <w:rPr>
          <w:rtl/>
        </w:rPr>
        <w:t xml:space="preserve"> في الوافي : « ثلاث</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 غ ، بح » وحاشية « ظ</w:t>
      </w:r>
      <w:r w:rsidR="00E3253D">
        <w:rPr>
          <w:rtl/>
        </w:rPr>
        <w:t xml:space="preserve"> ».</w:t>
      </w:r>
      <w:r w:rsidR="00E3253D" w:rsidRPr="005D642E">
        <w:rPr>
          <w:rtl/>
        </w:rPr>
        <w:t xml:space="preserve"> وفي سائر النسخ والمطبوع : « وعد الله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BD3A19" w:rsidTr="00BD3A19">
        <w:tc>
          <w:tcPr>
            <w:tcW w:w="4006" w:type="dxa"/>
          </w:tcPr>
          <w:p w:rsidR="00BD3A19" w:rsidRDefault="00BD3A19" w:rsidP="00E3253D">
            <w:pPr>
              <w:pStyle w:val="libFootnote0"/>
              <w:rPr>
                <w:rStyle w:val="libFootnote0Char"/>
                <w:rtl/>
              </w:rPr>
            </w:pPr>
            <w:r w:rsidRPr="0042621E">
              <w:rPr>
                <w:rStyle w:val="libFootnote0Char"/>
                <w:rtl/>
              </w:rPr>
              <w:t>(7).</w:t>
            </w:r>
            <w:r w:rsidRPr="005D642E">
              <w:rPr>
                <w:rtl/>
              </w:rPr>
              <w:t xml:space="preserve"> في « بث » : +</w:t>
            </w:r>
            <w:r w:rsidRPr="00BD3A19">
              <w:rPr>
                <w:rStyle w:val="libFootnoteAlaemChar"/>
                <w:rtl/>
              </w:rPr>
              <w:t>(</w:t>
            </w:r>
            <w:r w:rsidRPr="00EB702D">
              <w:rPr>
                <w:rStyle w:val="libFootnoteAieChar"/>
                <w:rtl/>
              </w:rPr>
              <w:t xml:space="preserve"> وَصَدَقَ اللهُ وَرَسُولُهُ </w:t>
            </w:r>
            <w:r w:rsidRPr="00BD3A19">
              <w:rPr>
                <w:rStyle w:val="libFootnoteAlaemChar"/>
                <w:rtl/>
              </w:rPr>
              <w:t>)</w:t>
            </w:r>
            <w:r w:rsidRPr="005D642E">
              <w:rPr>
                <w:rtl/>
              </w:rPr>
              <w:t>.</w:t>
            </w:r>
          </w:p>
        </w:tc>
        <w:tc>
          <w:tcPr>
            <w:tcW w:w="4006" w:type="dxa"/>
          </w:tcPr>
          <w:p w:rsidR="00BD3A19" w:rsidRDefault="00BD3A19" w:rsidP="00E3253D">
            <w:pPr>
              <w:pStyle w:val="libFootnote0"/>
              <w:rPr>
                <w:rStyle w:val="libFootnote0Char"/>
                <w:rtl/>
              </w:rPr>
            </w:pPr>
            <w:r w:rsidRPr="0042621E">
              <w:rPr>
                <w:rStyle w:val="libFootnote0Char"/>
                <w:rtl/>
              </w:rPr>
              <w:t>(8).</w:t>
            </w:r>
            <w:r w:rsidRPr="005D642E">
              <w:rPr>
                <w:rtl/>
              </w:rPr>
              <w:t xml:space="preserve"> الأحزاب (33) : 22.</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الوافي</w:t>
      </w:r>
      <w:r w:rsidR="00E3253D" w:rsidRPr="005D642E">
        <w:rPr>
          <w:rtl/>
        </w:rPr>
        <w:t xml:space="preserve"> ، ج 25 ، ص 525 ، ح 24571 ؛ </w:t>
      </w:r>
      <w:r w:rsidR="00E3253D" w:rsidRPr="002F4D34">
        <w:rPr>
          <w:rStyle w:val="libFootnoteBoldChar"/>
          <w:rtl/>
        </w:rPr>
        <w:t>الوسائل</w:t>
      </w:r>
      <w:r w:rsidR="00E3253D" w:rsidRPr="005D642E">
        <w:rPr>
          <w:rtl/>
        </w:rPr>
        <w:t xml:space="preserve"> ، ج 3 ، ص 190 ، ح 3371.</w:t>
      </w:r>
    </w:p>
    <w:tbl>
      <w:tblPr>
        <w:tblStyle w:val="TableGrid"/>
        <w:bidiVisual/>
        <w:tblW w:w="0" w:type="auto"/>
        <w:tblLook w:val="04A0" w:firstRow="1" w:lastRow="0" w:firstColumn="1" w:lastColumn="0" w:noHBand="0" w:noVBand="1"/>
      </w:tblPr>
      <w:tblGrid>
        <w:gridCol w:w="4006"/>
        <w:gridCol w:w="4006"/>
      </w:tblGrid>
      <w:tr w:rsidR="0078738B" w:rsidTr="0078738B">
        <w:tc>
          <w:tcPr>
            <w:tcW w:w="4006" w:type="dxa"/>
          </w:tcPr>
          <w:p w:rsidR="0078738B" w:rsidRDefault="0078738B" w:rsidP="00E3253D">
            <w:pPr>
              <w:pStyle w:val="libFootnote0"/>
              <w:rPr>
                <w:rStyle w:val="libFootnote0Char"/>
                <w:rtl/>
                <w:lang w:bidi="fa-IR"/>
              </w:rPr>
            </w:pPr>
            <w:r w:rsidRPr="0042621E">
              <w:rPr>
                <w:rStyle w:val="libFootnote0Char"/>
                <w:rtl/>
              </w:rPr>
              <w:t>(10).</w:t>
            </w:r>
            <w:r w:rsidRPr="005D642E">
              <w:rPr>
                <w:rtl/>
              </w:rPr>
              <w:t xml:space="preserve"> في التهذيب والعلل : « يطرح</w:t>
            </w:r>
            <w:r>
              <w:rPr>
                <w:rtl/>
              </w:rPr>
              <w:t xml:space="preserve"> ».</w:t>
            </w:r>
          </w:p>
        </w:tc>
        <w:tc>
          <w:tcPr>
            <w:tcW w:w="4006" w:type="dxa"/>
          </w:tcPr>
          <w:p w:rsidR="0078738B" w:rsidRDefault="0078738B" w:rsidP="00E3253D">
            <w:pPr>
              <w:pStyle w:val="libFootnote0"/>
              <w:rPr>
                <w:rStyle w:val="libFootnote0Char"/>
                <w:rtl/>
                <w:lang w:bidi="fa-IR"/>
              </w:rPr>
            </w:pPr>
            <w:r w:rsidRPr="0042621E">
              <w:rPr>
                <w:rStyle w:val="libFootnote0Char"/>
                <w:rtl/>
              </w:rPr>
              <w:t>(11).</w:t>
            </w:r>
            <w:r>
              <w:rPr>
                <w:rtl/>
              </w:rPr>
              <w:t xml:space="preserve"> في «غ،بث» :«</w:t>
            </w:r>
            <w:r w:rsidRPr="005D642E">
              <w:rPr>
                <w:rtl/>
              </w:rPr>
              <w:t>بكفّه</w:t>
            </w:r>
            <w:r>
              <w:rPr>
                <w:rtl/>
              </w:rPr>
              <w:t>».</w:t>
            </w:r>
            <w:r w:rsidRPr="005D642E">
              <w:rPr>
                <w:rtl/>
              </w:rPr>
              <w:t xml:space="preserve"> وفي العلل : « بكتفه</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غ ، بث » : « ثمّ قال</w:t>
      </w:r>
      <w:r w:rsidR="00E3253D">
        <w:rPr>
          <w:rtl/>
        </w:rPr>
        <w:t xml:space="preserve"> ».</w:t>
      </w:r>
      <w:r w:rsidR="00E3253D" w:rsidRPr="005D642E">
        <w:rPr>
          <w:rtl/>
        </w:rPr>
        <w:t xml:space="preserve"> وفي « بف ، بخ » </w:t>
      </w:r>
      <w:r w:rsidR="000D749A" w:rsidRPr="000D749A">
        <w:rPr>
          <w:rStyle w:val="libFootnoteBoldChar"/>
          <w:rtl/>
        </w:rPr>
        <w:t>والوافي</w:t>
      </w:r>
      <w:r w:rsidR="00E3253D" w:rsidRPr="005D642E">
        <w:rPr>
          <w:rtl/>
        </w:rPr>
        <w:t xml:space="preserve"> : « فقال</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التُّرَابَ ؛ وَمَنْ كَانَ مِنْهُ ذَا رَحِمٍ ، فَلَا يَطْرَحْ عَلَيْهِ التُّرَابَ </w:t>
      </w:r>
      <w:r w:rsidRPr="007C12DB">
        <w:rPr>
          <w:rStyle w:val="libFootnotenumChar"/>
          <w:rtl/>
        </w:rPr>
        <w:t>(1)</w:t>
      </w:r>
      <w:r w:rsidRPr="005D642E">
        <w:rPr>
          <w:rtl/>
          <w:lang w:bidi="fa-IR"/>
        </w:rPr>
        <w:t xml:space="preserve"> ؛ فَإِنَّ رَسُولَ اللهِ </w:t>
      </w:r>
      <w:r w:rsidR="0042621E" w:rsidRPr="0042621E">
        <w:rPr>
          <w:rStyle w:val="libAlaemChar"/>
          <w:rtl/>
        </w:rPr>
        <w:t>صلى‌الله‌عليه‌وآله</w:t>
      </w:r>
      <w:r w:rsidRPr="005D642E">
        <w:rPr>
          <w:rtl/>
          <w:lang w:bidi="fa-IR"/>
        </w:rPr>
        <w:t xml:space="preserve"> نَهى أَنْ يَطْرَحَ الْوَالِدُ ، أَوْ </w:t>
      </w:r>
      <w:r w:rsidRPr="007C12DB">
        <w:rPr>
          <w:rStyle w:val="libFootnotenumChar"/>
          <w:rtl/>
        </w:rPr>
        <w:t>(2)</w:t>
      </w:r>
      <w:r w:rsidRPr="005D642E">
        <w:rPr>
          <w:rtl/>
          <w:lang w:bidi="fa-IR"/>
        </w:rPr>
        <w:t xml:space="preserve"> ذُو رَحِمٍ عَلى مَيِّتِهِ التُّرَابَ </w:t>
      </w:r>
      <w:r w:rsidRPr="007C12DB">
        <w:rPr>
          <w:rStyle w:val="libFootnotenumChar"/>
          <w:rtl/>
        </w:rPr>
        <w:t>(3)</w:t>
      </w:r>
      <w:r>
        <w:rPr>
          <w:rtl/>
          <w:lang w:bidi="fa-IR"/>
        </w:rPr>
        <w:t xml:space="preserve"> ».</w:t>
      </w:r>
    </w:p>
    <w:p w:rsidR="00E3253D" w:rsidRPr="005D642E" w:rsidRDefault="00E3253D" w:rsidP="00E3253D">
      <w:pPr>
        <w:pStyle w:val="libNormal"/>
        <w:rPr>
          <w:rtl/>
          <w:lang w:bidi="fa-IR"/>
        </w:rPr>
      </w:pPr>
      <w:r w:rsidRPr="005D642E">
        <w:rPr>
          <w:rtl/>
          <w:lang w:bidi="fa-IR"/>
        </w:rPr>
        <w:t xml:space="preserve">فَقُلْنَا </w:t>
      </w:r>
      <w:r w:rsidRPr="007C12DB">
        <w:rPr>
          <w:rStyle w:val="libFootnotenumChar"/>
          <w:rtl/>
        </w:rPr>
        <w:t>(4)</w:t>
      </w:r>
      <w:r>
        <w:rPr>
          <w:rtl/>
          <w:lang w:bidi="fa-IR"/>
        </w:rPr>
        <w:t xml:space="preserve"> : يَا ابْنَ رَسُولِ اللهِ ، أَ</w:t>
      </w:r>
      <w:r w:rsidRPr="005D642E">
        <w:rPr>
          <w:rtl/>
          <w:lang w:bidi="fa-IR"/>
        </w:rPr>
        <w:t xml:space="preserve">تَنْهَانَا </w:t>
      </w:r>
      <w:r w:rsidRPr="007C12DB">
        <w:rPr>
          <w:rStyle w:val="libFootnotenumChar"/>
          <w:rtl/>
        </w:rPr>
        <w:t>(5)</w:t>
      </w:r>
      <w:r w:rsidRPr="005D642E">
        <w:rPr>
          <w:rtl/>
          <w:lang w:bidi="fa-IR"/>
        </w:rPr>
        <w:t xml:space="preserve"> عَنْ هذَا وَحْدَهُ </w:t>
      </w:r>
      <w:r w:rsidRPr="007C12DB">
        <w:rPr>
          <w:rStyle w:val="libFootnotenumChar"/>
          <w:rtl/>
        </w:rPr>
        <w:t>(6)</w:t>
      </w:r>
      <w:r>
        <w:rPr>
          <w:rtl/>
          <w:lang w:bidi="fa-IR"/>
        </w:rPr>
        <w:t>؟</w:t>
      </w:r>
    </w:p>
    <w:p w:rsidR="00E3253D" w:rsidRPr="005D642E" w:rsidRDefault="00E3253D" w:rsidP="00E3253D">
      <w:pPr>
        <w:pStyle w:val="libNormal"/>
        <w:rPr>
          <w:rtl/>
          <w:lang w:bidi="fa-IR"/>
        </w:rPr>
      </w:pPr>
      <w:r w:rsidRPr="005D642E">
        <w:rPr>
          <w:rtl/>
          <w:lang w:bidi="fa-IR"/>
        </w:rPr>
        <w:t xml:space="preserve">فَقَالَ : « أَنْهَاكُمْ مِنْ </w:t>
      </w:r>
      <w:r w:rsidRPr="007C12DB">
        <w:rPr>
          <w:rStyle w:val="libFootnotenumChar"/>
          <w:rtl/>
        </w:rPr>
        <w:t>(7)</w:t>
      </w:r>
      <w:r w:rsidRPr="005D642E">
        <w:rPr>
          <w:rtl/>
          <w:lang w:bidi="fa-IR"/>
        </w:rPr>
        <w:t xml:space="preserve"> أَنْ تَطْرَحُوا التُّرَابَ عَلى ذَوِي أَرْحَامِكُمْ </w:t>
      </w:r>
      <w:r w:rsidRPr="007C12DB">
        <w:rPr>
          <w:rStyle w:val="libFootnotenumChar"/>
          <w:rtl/>
        </w:rPr>
        <w:t>(8)</w:t>
      </w:r>
      <w:r w:rsidRPr="005D642E">
        <w:rPr>
          <w:rtl/>
          <w:lang w:bidi="fa-IR"/>
        </w:rPr>
        <w:t xml:space="preserve"> ؛ فَإِنَّ ذلِكَ يُورِثُ الْقَسْوَةَ فِي الْقَلْبِ ، وَمَنْ قَسَا قَلْبُهُ ، بَعُدَ مِنْ رَبِّهِ</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Default="00E3253D" w:rsidP="00E3253D">
      <w:pPr>
        <w:pStyle w:val="Heading2Center"/>
        <w:rPr>
          <w:rtl/>
          <w:lang w:bidi="fa-IR"/>
        </w:rPr>
      </w:pPr>
      <w:bookmarkStart w:id="455" w:name="_Toc344647363"/>
      <w:bookmarkStart w:id="456" w:name="_Toc462226877"/>
      <w:bookmarkStart w:id="457" w:name="_Toc40975985"/>
      <w:r w:rsidRPr="005D642E">
        <w:rPr>
          <w:rtl/>
          <w:lang w:bidi="fa-IR"/>
        </w:rPr>
        <w:t>67</w:t>
      </w:r>
      <w:r>
        <w:rPr>
          <w:rtl/>
          <w:lang w:bidi="fa-IR"/>
        </w:rPr>
        <w:t xml:space="preserve"> </w:t>
      </w:r>
      <w:r w:rsidR="007642BC">
        <w:rPr>
          <w:rtl/>
          <w:lang w:bidi="fa-IR"/>
        </w:rPr>
        <w:t>-</w:t>
      </w:r>
      <w:r>
        <w:rPr>
          <w:rtl/>
          <w:lang w:bidi="fa-IR"/>
        </w:rPr>
        <w:t xml:space="preserve"> </w:t>
      </w:r>
      <w:r w:rsidRPr="005D642E">
        <w:rPr>
          <w:rtl/>
          <w:lang w:bidi="fa-IR"/>
        </w:rPr>
        <w:t>بَابُ تَرْبِيعِ الْقَبْرِ وَرَشِّهِ بِالْمَاءِ ، وَمَا يُقَالُ عِنْدَ ذلِكَ ،</w:t>
      </w:r>
      <w:bookmarkEnd w:id="455"/>
      <w:bookmarkEnd w:id="456"/>
      <w:bookmarkEnd w:id="457"/>
    </w:p>
    <w:p w:rsidR="00E3253D" w:rsidRPr="005D642E" w:rsidRDefault="00E3253D" w:rsidP="00E3253D">
      <w:pPr>
        <w:pStyle w:val="Heading2Center"/>
        <w:rPr>
          <w:rtl/>
          <w:lang w:bidi="fa-IR"/>
        </w:rPr>
      </w:pPr>
      <w:bookmarkStart w:id="458" w:name="_Toc344647364"/>
      <w:bookmarkStart w:id="459" w:name="_Toc462226878"/>
      <w:bookmarkStart w:id="460" w:name="_Toc40975986"/>
      <w:r w:rsidRPr="005D642E">
        <w:rPr>
          <w:rtl/>
          <w:lang w:bidi="fa-IR"/>
        </w:rPr>
        <w:t>وَقَدْرِ مَا يُرْفَعُ مِنَ الْأَرْضِ‌</w:t>
      </w:r>
      <w:bookmarkEnd w:id="458"/>
      <w:bookmarkEnd w:id="459"/>
      <w:bookmarkEnd w:id="460"/>
    </w:p>
    <w:p w:rsidR="00E3253D" w:rsidRPr="005D642E" w:rsidRDefault="00E3253D" w:rsidP="00E3253D">
      <w:pPr>
        <w:pStyle w:val="libNormal"/>
        <w:rPr>
          <w:rtl/>
          <w:lang w:bidi="fa-IR"/>
        </w:rPr>
      </w:pPr>
      <w:r w:rsidRPr="006350BD">
        <w:rPr>
          <w:rtl/>
        </w:rPr>
        <w:t>4568</w:t>
      </w:r>
      <w:r w:rsidRPr="00246318">
        <w:rPr>
          <w:rStyle w:val="libBold2Char"/>
          <w:rtl/>
        </w:rPr>
        <w:t xml:space="preserve"> / 1.</w:t>
      </w:r>
      <w:r w:rsidRPr="005D642E">
        <w:rPr>
          <w:rtl/>
          <w:lang w:bidi="fa-IR"/>
        </w:rPr>
        <w:t xml:space="preserve"> مُحَمَّدُ بْنُ يَحْيى ، عَنْ أَحْمَدَ بْنِ مُحَمَّدٍ ، عَنِ الْحَسَنِ بْنِ عَلِيٍّ ، عَنِ ابْنِ بُكَيْرٍ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D0DFC" w:rsidTr="00BD0DFC">
        <w:tc>
          <w:tcPr>
            <w:tcW w:w="4006" w:type="dxa"/>
          </w:tcPr>
          <w:p w:rsidR="00BD0DFC" w:rsidRDefault="00BD0DFC" w:rsidP="00E3253D">
            <w:pPr>
              <w:pStyle w:val="libFootnote0"/>
              <w:rPr>
                <w:rStyle w:val="libFootnote0Char"/>
                <w:rtl/>
              </w:rPr>
            </w:pPr>
            <w:r w:rsidRPr="0042621E">
              <w:rPr>
                <w:rStyle w:val="libFootnote0Char"/>
                <w:rtl/>
              </w:rPr>
              <w:t>(1).</w:t>
            </w:r>
            <w:r>
              <w:rPr>
                <w:rtl/>
              </w:rPr>
              <w:t xml:space="preserve"> </w:t>
            </w:r>
            <w:r w:rsidRPr="005D642E">
              <w:rPr>
                <w:rtl/>
              </w:rPr>
              <w:t>في « بس » :</w:t>
            </w:r>
            <w:r>
              <w:rPr>
                <w:rtl/>
              </w:rPr>
              <w:t xml:space="preserve"> - </w:t>
            </w:r>
            <w:r w:rsidRPr="005D642E">
              <w:rPr>
                <w:rtl/>
              </w:rPr>
              <w:t>« التراب</w:t>
            </w:r>
            <w:r>
              <w:rPr>
                <w:rtl/>
              </w:rPr>
              <w:t xml:space="preserve"> ».</w:t>
            </w:r>
          </w:p>
        </w:tc>
        <w:tc>
          <w:tcPr>
            <w:tcW w:w="4006" w:type="dxa"/>
          </w:tcPr>
          <w:p w:rsidR="00BD0DFC" w:rsidRDefault="00BD0DFC" w:rsidP="00E3253D">
            <w:pPr>
              <w:pStyle w:val="libFootnote0"/>
              <w:rPr>
                <w:rStyle w:val="libFootnote0Char"/>
                <w:rtl/>
              </w:rPr>
            </w:pPr>
            <w:r w:rsidRPr="0042621E">
              <w:rPr>
                <w:rStyle w:val="libFootnote0Char"/>
                <w:rtl/>
              </w:rPr>
              <w:t>(2).</w:t>
            </w:r>
            <w:r w:rsidRPr="005D642E">
              <w:rPr>
                <w:rtl/>
              </w:rPr>
              <w:t xml:space="preserve"> في « ى ، بف ، جس » : « </w:t>
            </w:r>
            <w:r>
              <w:rPr>
                <w:rtl/>
              </w:rPr>
              <w:t>و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والعلل :</w:t>
      </w:r>
      <w:r w:rsidR="00E3253D">
        <w:rPr>
          <w:rtl/>
        </w:rPr>
        <w:t xml:space="preserve"> </w:t>
      </w:r>
      <w:r w:rsidR="007642BC">
        <w:rPr>
          <w:rtl/>
        </w:rPr>
        <w:t>-</w:t>
      </w:r>
      <w:r w:rsidR="00E3253D">
        <w:rPr>
          <w:rtl/>
        </w:rPr>
        <w:t xml:space="preserve"> </w:t>
      </w:r>
      <w:r w:rsidR="00E3253D" w:rsidRPr="005D642E">
        <w:rPr>
          <w:rtl/>
        </w:rPr>
        <w:t>« فإنّ رسول الله</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ميّته التراب</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بخ ، بف » </w:t>
      </w:r>
      <w:r w:rsidR="000D749A" w:rsidRPr="000D749A">
        <w:rPr>
          <w:rStyle w:val="libFootnoteBoldChar"/>
          <w:rtl/>
        </w:rPr>
        <w:t>والوافي</w:t>
      </w:r>
      <w:r w:rsidR="00E3253D" w:rsidRPr="005D642E">
        <w:rPr>
          <w:rtl/>
        </w:rPr>
        <w:t xml:space="preserve"> : « فقالوا</w:t>
      </w:r>
      <w:r w:rsidR="00E3253D">
        <w:rPr>
          <w:rtl/>
        </w:rPr>
        <w:t xml:space="preserve"> ».</w:t>
      </w:r>
      <w:r w:rsidR="00E3253D" w:rsidRPr="005D642E">
        <w:rPr>
          <w:rtl/>
        </w:rPr>
        <w:t xml:space="preserve"> وفي « بح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التهذيب : « تنهانا » بدون الهمزة.</w:t>
      </w:r>
    </w:p>
    <w:p w:rsidR="00E3253D" w:rsidRPr="005D642E" w:rsidRDefault="0042621E" w:rsidP="00E3253D">
      <w:pPr>
        <w:pStyle w:val="libFootnote0"/>
        <w:rPr>
          <w:rtl/>
          <w:lang w:bidi="fa-IR"/>
        </w:rPr>
      </w:pPr>
      <w:r w:rsidRPr="0042621E">
        <w:rPr>
          <w:rStyle w:val="libFootnote0Char"/>
          <w:rtl/>
        </w:rPr>
        <w:t>(6).</w:t>
      </w:r>
      <w:r w:rsidR="008A41D7">
        <w:rPr>
          <w:rtl/>
        </w:rPr>
        <w:t xml:space="preserve"> قال العل</w:t>
      </w:r>
      <w:r w:rsidR="008A41D7">
        <w:rPr>
          <w:rFonts w:hint="cs"/>
          <w:rtl/>
        </w:rPr>
        <w:t>ّ</w:t>
      </w:r>
      <w:r w:rsidR="008A41D7">
        <w:rPr>
          <w:rtl/>
        </w:rPr>
        <w:t>ا</w:t>
      </w:r>
      <w:r w:rsidR="00E3253D" w:rsidRPr="005D642E">
        <w:rPr>
          <w:rtl/>
        </w:rPr>
        <w:t>مة المجلسي : « قوله : أتنهانا عن هذا وحده ، أي خصوص الابن ، أو خصوص هذا الميّت</w:t>
      </w:r>
      <w:r w:rsidR="00E3253D">
        <w:rPr>
          <w:rtl/>
        </w:rPr>
        <w:t>؟</w:t>
      </w:r>
      <w:r w:rsidR="00E3253D" w:rsidRPr="005D642E">
        <w:rPr>
          <w:rtl/>
        </w:rPr>
        <w:t xml:space="preserve"> ولايخفى ما في هذا السؤال بعد حكمه </w:t>
      </w:r>
      <w:r w:rsidR="00E3253D" w:rsidRPr="00BD0DFC">
        <w:rPr>
          <w:rStyle w:val="libFootnoteAlaemChar"/>
          <w:rtl/>
        </w:rPr>
        <w:t>عليه‌السلام</w:t>
      </w:r>
      <w:r w:rsidR="00E3253D" w:rsidRPr="005D642E">
        <w:rPr>
          <w:rtl/>
        </w:rPr>
        <w:t xml:space="preserve"> بالتعميم ونقل الرواية العامّة من الركاكة. ويحتمل أن يكون المراد : أتنهانا عن طرح التراب وحده أو عن سائر أعمال الميّت ، كإدخال القبر والحضور عنده. قال الشيخ البهائي </w:t>
      </w:r>
      <w:r w:rsidR="00E3253D" w:rsidRPr="0094395C">
        <w:rPr>
          <w:rStyle w:val="libFootnoteAlaemChar"/>
          <w:rtl/>
        </w:rPr>
        <w:t>رحمه‌الله</w:t>
      </w:r>
      <w:r w:rsidR="00E3253D" w:rsidRPr="005D642E">
        <w:rPr>
          <w:rtl/>
        </w:rPr>
        <w:t xml:space="preserve"> : قول الراوي : أتنهانا عن هذا وحده ، أي حال كون النهي عنه مفرداً عن العلّة في ذلك النهي مجرّداً عمّا يترتّب عليه من الأثر ، وحاصله طلب العلّة في ذلك ، فبيّنها </w:t>
      </w:r>
      <w:r w:rsidR="00E3253D" w:rsidRPr="00BD0DFC">
        <w:rPr>
          <w:rStyle w:val="libFootnoteAlaemChar"/>
          <w:rtl/>
        </w:rPr>
        <w:t>عليه‌السلام</w:t>
      </w:r>
      <w:r w:rsidR="00E3253D" w:rsidRPr="005D642E">
        <w:rPr>
          <w:rtl/>
        </w:rPr>
        <w:t xml:space="preserve"> بقوله : فإنّ ذلك يورث القسوة في القلب. انتهى ، أقول : ليس في </w:t>
      </w:r>
      <w:r w:rsidR="00E3253D" w:rsidRPr="002F4D34">
        <w:rPr>
          <w:rStyle w:val="libFootnoteBoldChar"/>
          <w:rtl/>
        </w:rPr>
        <w:t>التهذيب</w:t>
      </w:r>
      <w:r w:rsidR="00E3253D" w:rsidRPr="005D642E">
        <w:rPr>
          <w:rtl/>
        </w:rPr>
        <w:t xml:space="preserve"> قوله : فإنّ رسول الله </w:t>
      </w:r>
      <w:r w:rsidRPr="00402484">
        <w:rPr>
          <w:rStyle w:val="libFootnoteAlaemChar"/>
          <w:rtl/>
        </w:rPr>
        <w:t>صلى‌الله‌عليه‌وآله</w:t>
      </w:r>
      <w:r w:rsidR="00E3253D" w:rsidRPr="005D642E">
        <w:rPr>
          <w:rtl/>
        </w:rPr>
        <w:t xml:space="preserve"> ، إلى قوله : التراب ، فيتوجّه سؤال السائل في الجملة على الوجه الثاني</w:t>
      </w:r>
      <w:r w:rsidR="00E3253D">
        <w:rPr>
          <w:rtl/>
        </w:rPr>
        <w:t xml:space="preserve"> ».</w:t>
      </w:r>
      <w:r w:rsidR="0094395C">
        <w:rPr>
          <w:rtl/>
        </w:rPr>
        <w:t xml:space="preserve"> وأمّا العل</w:t>
      </w:r>
      <w:r w:rsidR="0094395C">
        <w:rPr>
          <w:rFonts w:hint="cs"/>
          <w:rtl/>
        </w:rPr>
        <w:t>ّ</w:t>
      </w:r>
      <w:r w:rsidR="0094395C">
        <w:rPr>
          <w:rtl/>
        </w:rPr>
        <w:t>ا</w:t>
      </w:r>
      <w:r w:rsidR="00E3253D" w:rsidRPr="005D642E">
        <w:rPr>
          <w:rtl/>
        </w:rPr>
        <w:t xml:space="preserve">مة الفيض فدفع الركاكة بقوله : « عن هذا وحده ، أي عن هذا الميّت وحده أن نطرح عليه التراب ، أو عن طرح التراب وحده دون سائر ما يتعلّق بالتجهيز فأجاب </w:t>
      </w:r>
      <w:r w:rsidR="00E3253D" w:rsidRPr="00402484">
        <w:rPr>
          <w:rStyle w:val="libFootnoteAlaemChar"/>
          <w:rtl/>
        </w:rPr>
        <w:t>عليه‌السلام</w:t>
      </w:r>
      <w:r w:rsidR="00E3253D" w:rsidRPr="005D642E">
        <w:rPr>
          <w:rtl/>
        </w:rPr>
        <w:t xml:space="preserve"> بالتعميم في الأوّل والتخصيص في الثاني فصار جواباً لكلا السؤالين ، أراد السائل ما أراد</w:t>
      </w:r>
      <w:r w:rsidR="00E3253D">
        <w:rPr>
          <w:rtl/>
        </w:rPr>
        <w:t xml:space="preserve"> ».</w:t>
      </w:r>
      <w:r w:rsidR="00E3253D" w:rsidRPr="005D642E">
        <w:rPr>
          <w:rtl/>
        </w:rPr>
        <w:t xml:space="preserve"> راجع : </w:t>
      </w:r>
      <w:r w:rsidR="00E3253D" w:rsidRPr="002F4D34">
        <w:rPr>
          <w:rStyle w:val="libFootnoteBoldChar"/>
          <w:rtl/>
        </w:rPr>
        <w:t>الحبل المتين</w:t>
      </w:r>
      <w:r w:rsidR="00E3253D" w:rsidRPr="005D642E">
        <w:rPr>
          <w:rtl/>
        </w:rPr>
        <w:t xml:space="preserve"> ، ص 249 ؛ </w:t>
      </w:r>
      <w:r w:rsidR="00E3253D" w:rsidRPr="002F4D34">
        <w:rPr>
          <w:rStyle w:val="libFootnoteBoldChar"/>
          <w:rtl/>
        </w:rPr>
        <w:t>الوافي</w:t>
      </w:r>
      <w:r w:rsidR="00E3253D" w:rsidRPr="005D642E">
        <w:rPr>
          <w:rtl/>
        </w:rPr>
        <w:t xml:space="preserve"> ، ج 25 ، ص 525 ؛ </w:t>
      </w:r>
      <w:r w:rsidR="00E3253D" w:rsidRPr="002F4D34">
        <w:rPr>
          <w:rStyle w:val="libFootnoteBoldChar"/>
          <w:rtl/>
        </w:rPr>
        <w:t>مرآة العقول</w:t>
      </w:r>
      <w:r w:rsidR="00E3253D" w:rsidRPr="005D642E">
        <w:rPr>
          <w:rtl/>
        </w:rPr>
        <w:t xml:space="preserve"> ، ج 14 ، ص 107</w:t>
      </w:r>
      <w:r w:rsidR="00E3253D">
        <w:rPr>
          <w:rtl/>
        </w:rPr>
        <w:t xml:space="preserve"> </w:t>
      </w:r>
      <w:r w:rsidR="007642BC">
        <w:rPr>
          <w:rtl/>
        </w:rPr>
        <w:t>-</w:t>
      </w:r>
      <w:r w:rsidR="00E3253D">
        <w:rPr>
          <w:rtl/>
        </w:rPr>
        <w:t xml:space="preserve"> </w:t>
      </w:r>
      <w:r w:rsidR="00E3253D" w:rsidRPr="005D642E">
        <w:rPr>
          <w:rtl/>
        </w:rPr>
        <w:t>108.</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ى ، بث ، بح ، بس ، جح ، جس ، جن » والوسائل </w:t>
      </w:r>
      <w:r w:rsidR="00B60612" w:rsidRPr="00B60612">
        <w:rPr>
          <w:rStyle w:val="libFootnoteBoldChar"/>
          <w:rtl/>
        </w:rPr>
        <w:t>والتهذيب</w:t>
      </w:r>
      <w:r w:rsidR="00E3253D" w:rsidRPr="005D642E">
        <w:rPr>
          <w:rtl/>
        </w:rPr>
        <w:t xml:space="preserve"> والعلل :</w:t>
      </w:r>
      <w:r w:rsidR="00E3253D">
        <w:rPr>
          <w:rtl/>
        </w:rPr>
        <w:t xml:space="preserve"> </w:t>
      </w:r>
      <w:r w:rsidR="007642BC">
        <w:rPr>
          <w:rtl/>
        </w:rPr>
        <w:t>-</w:t>
      </w:r>
      <w:r w:rsidR="00E3253D">
        <w:rPr>
          <w:rtl/>
        </w:rPr>
        <w:t xml:space="preserve"> </w:t>
      </w:r>
      <w:r w:rsidR="00E3253D" w:rsidRPr="005D642E">
        <w:rPr>
          <w:rtl/>
        </w:rPr>
        <w:t>« من</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والعلل : « الأرحام</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التهذيب</w:t>
      </w:r>
      <w:r w:rsidR="00E3253D" w:rsidRPr="005D642E">
        <w:rPr>
          <w:rtl/>
        </w:rPr>
        <w:t xml:space="preserve"> ، ج 1 ، ص 319 ، ح 928 ، بسنده عن الكليني. </w:t>
      </w:r>
      <w:r w:rsidR="00E3253D" w:rsidRPr="002F4D34">
        <w:rPr>
          <w:rStyle w:val="libFootnoteBoldChar"/>
          <w:rtl/>
        </w:rPr>
        <w:t>علل الشرائع</w:t>
      </w:r>
      <w:r w:rsidR="00E3253D" w:rsidRPr="005D642E">
        <w:rPr>
          <w:rtl/>
        </w:rPr>
        <w:t xml:space="preserve"> ، ص 304 ، ح 1 ، بسنده عن يعقوب بن يزيد </w:t>
      </w:r>
      <w:r w:rsidR="001463C2">
        <w:rPr>
          <w:rFonts w:hint="cs"/>
          <w:rtl/>
        </w:rPr>
        <w:t>.</w:t>
      </w:r>
      <w:r w:rsidR="00E3253D" w:rsidRPr="002F4D34">
        <w:rPr>
          <w:rStyle w:val="libFootnoteBoldChar"/>
          <w:rtl/>
        </w:rPr>
        <w:t>الوافي</w:t>
      </w:r>
      <w:r w:rsidR="00E3253D" w:rsidRPr="005D642E">
        <w:rPr>
          <w:rtl/>
        </w:rPr>
        <w:t xml:space="preserve"> ، ج 25 ، ص 525 ، ح 24572 ؛ </w:t>
      </w:r>
      <w:r w:rsidR="00E3253D" w:rsidRPr="002F4D34">
        <w:rPr>
          <w:rStyle w:val="libFootnoteBoldChar"/>
          <w:rtl/>
        </w:rPr>
        <w:t>الوسائل</w:t>
      </w:r>
      <w:r w:rsidR="00E3253D" w:rsidRPr="005D642E">
        <w:rPr>
          <w:rtl/>
        </w:rPr>
        <w:t xml:space="preserve"> ، ج 3 ، ص 191 ، ح 3375 ؛ </w:t>
      </w:r>
      <w:r w:rsidR="00E3253D" w:rsidRPr="002F4D34">
        <w:rPr>
          <w:rStyle w:val="libFootnoteBoldChar"/>
          <w:rtl/>
        </w:rPr>
        <w:t>البحار</w:t>
      </w:r>
      <w:r w:rsidR="00E3253D" w:rsidRPr="005D642E">
        <w:rPr>
          <w:rtl/>
        </w:rPr>
        <w:t xml:space="preserve"> ، ج 82 ، ص 35 ، ذيل ح 24.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عَنْ قُدَامَةَ بْنِ زَائِدَةَ </w:t>
      </w:r>
      <w:r w:rsidRPr="007C12DB">
        <w:rPr>
          <w:rStyle w:val="libFootnotenumChar"/>
          <w:rtl/>
        </w:rPr>
        <w:t>(1)</w:t>
      </w:r>
      <w:r w:rsidRPr="005D642E">
        <w:rPr>
          <w:rtl/>
          <w:lang w:bidi="fa-IR"/>
        </w:rPr>
        <w:t xml:space="preserve"> ، قَالَ :</w:t>
      </w:r>
    </w:p>
    <w:p w:rsidR="00E3253D" w:rsidRPr="005D642E" w:rsidRDefault="00E3253D" w:rsidP="004C597E">
      <w:pPr>
        <w:pStyle w:val="libNormal"/>
        <w:rPr>
          <w:rtl/>
          <w:lang w:bidi="fa-IR"/>
        </w:rPr>
      </w:pPr>
      <w:r w:rsidRPr="005D642E">
        <w:rPr>
          <w:rtl/>
          <w:lang w:bidi="fa-IR"/>
        </w:rPr>
        <w:t xml:space="preserve">سَمِعْتُ أَبَا جَعْفَرٍ </w:t>
      </w:r>
      <w:r w:rsidRPr="007C12DB">
        <w:rPr>
          <w:rStyle w:val="libFootnotenumChar"/>
          <w:rtl/>
        </w:rPr>
        <w:t>(2)</w:t>
      </w:r>
      <w:r w:rsidRPr="005D642E">
        <w:rPr>
          <w:rtl/>
          <w:lang w:bidi="fa-IR"/>
        </w:rPr>
        <w:t xml:space="preserve"> </w:t>
      </w:r>
      <w:r w:rsidRPr="00AC51C5">
        <w:rPr>
          <w:rStyle w:val="libAlaemChar"/>
          <w:rtl/>
        </w:rPr>
        <w:t>عليه‌السلام</w:t>
      </w:r>
      <w:r w:rsidRPr="005D642E">
        <w:rPr>
          <w:rtl/>
          <w:lang w:bidi="fa-IR"/>
        </w:rPr>
        <w:t xml:space="preserve"> يَقُولُ : « إِنَّ رَسُولَ اللهِ </w:t>
      </w:r>
      <w:r w:rsidR="0042621E" w:rsidRPr="0042621E">
        <w:rPr>
          <w:rStyle w:val="libAlaemChar"/>
          <w:rtl/>
        </w:rPr>
        <w:t>صلى‌الله‌عليه‌وآله</w:t>
      </w:r>
      <w:r w:rsidRPr="005D642E">
        <w:rPr>
          <w:rtl/>
          <w:lang w:bidi="fa-IR"/>
        </w:rPr>
        <w:t xml:space="preserve"> سَلَّ إِبْرَاهِيمَ ابْنَهُ </w:t>
      </w:r>
      <w:r w:rsidRPr="007C12DB">
        <w:rPr>
          <w:rStyle w:val="libFootnotenumChar"/>
          <w:rtl/>
        </w:rPr>
        <w:t>(3)</w:t>
      </w:r>
      <w:r w:rsidR="0032578E">
        <w:rPr>
          <w:rtl/>
          <w:lang w:bidi="fa-IR"/>
        </w:rPr>
        <w:t xml:space="preserve"> سَل</w:t>
      </w:r>
      <w:r w:rsidR="0032578E">
        <w:rPr>
          <w:rFonts w:hint="cs"/>
          <w:rtl/>
          <w:lang w:bidi="fa-IR"/>
        </w:rPr>
        <w:t>ّ</w:t>
      </w:r>
      <w:r w:rsidR="0032578E">
        <w:rPr>
          <w:rtl/>
          <w:lang w:bidi="fa-IR"/>
        </w:rPr>
        <w:t>ا</w:t>
      </w:r>
      <w:r w:rsidR="0032578E">
        <w:rPr>
          <w:rFonts w:hint="cs"/>
          <w:rtl/>
          <w:lang w:bidi="fa-IR"/>
        </w:rPr>
        <w:t>ً</w:t>
      </w:r>
      <w:r w:rsidRPr="005D642E">
        <w:rPr>
          <w:rtl/>
          <w:lang w:bidi="fa-IR"/>
        </w:rPr>
        <w:t xml:space="preserve"> </w:t>
      </w:r>
      <w:r w:rsidRPr="007C12DB">
        <w:rPr>
          <w:rStyle w:val="libFootnotenumChar"/>
          <w:rtl/>
        </w:rPr>
        <w:t>(4)</w:t>
      </w:r>
      <w:r w:rsidRPr="005D642E">
        <w:rPr>
          <w:rtl/>
          <w:lang w:bidi="fa-IR"/>
        </w:rPr>
        <w:t xml:space="preserve"> ، وَرَبَّعَ قَبْرَهُ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6350BD">
        <w:rPr>
          <w:rtl/>
        </w:rPr>
        <w:t>4569</w:t>
      </w:r>
      <w:r w:rsidRPr="00246318">
        <w:rPr>
          <w:rStyle w:val="libBold2Char"/>
          <w:rtl/>
        </w:rPr>
        <w:t xml:space="preserve"> / 2.</w:t>
      </w:r>
      <w:r w:rsidRPr="005D642E">
        <w:rPr>
          <w:rtl/>
          <w:lang w:bidi="fa-IR"/>
        </w:rPr>
        <w:t xml:space="preserve"> عِدَّةٌ مِنْ أَصْحَابِنَا ، عَنْ أَحْمَدَ بْنِ مُحَمَّدِ بْنِ خَالِدٍ ، عَنْ عُثْمَانَ بْنِ عِيسى ، عَنْ سَمَاعَةَ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يُسْتَحَبُّ أَنْ يُدْخَلَ </w:t>
      </w:r>
      <w:r w:rsidRPr="007C12DB">
        <w:rPr>
          <w:rStyle w:val="libFootnotenumChar"/>
          <w:rtl/>
        </w:rPr>
        <w:t>(7)</w:t>
      </w:r>
      <w:r w:rsidRPr="005D642E">
        <w:rPr>
          <w:rtl/>
          <w:lang w:bidi="fa-IR"/>
        </w:rPr>
        <w:t xml:space="preserve"> مَعَهُ فِي قَبْرِهِ جَرِيدَةٌ </w:t>
      </w:r>
      <w:r w:rsidRPr="007C12DB">
        <w:rPr>
          <w:rStyle w:val="libFootnotenumChar"/>
          <w:rtl/>
        </w:rPr>
        <w:t>(8)</w:t>
      </w:r>
      <w:r w:rsidRPr="005D642E">
        <w:rPr>
          <w:rtl/>
          <w:lang w:bidi="fa-IR"/>
        </w:rPr>
        <w:t xml:space="preserve"> رَطْبَةٌ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3002CF">
      <w:pPr>
        <w:pStyle w:val="libFootnote0"/>
        <w:rPr>
          <w:rtl/>
          <w:lang w:bidi="fa-IR"/>
        </w:rPr>
      </w:pPr>
      <w:r w:rsidRPr="0042621E">
        <w:rPr>
          <w:rStyle w:val="libFootnote0Char"/>
          <w:rtl/>
        </w:rPr>
        <w:t>(1).</w:t>
      </w:r>
      <w:r w:rsidR="00E3253D">
        <w:rPr>
          <w:rtl/>
        </w:rPr>
        <w:t xml:space="preserve"> </w:t>
      </w:r>
      <w:r w:rsidR="00E3253D" w:rsidRPr="005D642E">
        <w:rPr>
          <w:rtl/>
        </w:rPr>
        <w:t>في حاشية « بث » : « عن زائدة</w:t>
      </w:r>
      <w:r w:rsidR="00E3253D">
        <w:rPr>
          <w:rtl/>
        </w:rPr>
        <w:t xml:space="preserve"> ».</w:t>
      </w:r>
      <w:r w:rsidR="00E3253D" w:rsidRPr="005D642E">
        <w:rPr>
          <w:rtl/>
        </w:rPr>
        <w:t xml:space="preserve"> هذا ، وعدّ الشيخ الطوسي في رجاله ، ص 272 ، الرقم ، 393 ، قدامة بن زائدة الثقفي من أصحاب أبي عبدالله </w:t>
      </w:r>
      <w:r w:rsidR="00E3253D" w:rsidRPr="004C597E">
        <w:rPr>
          <w:rStyle w:val="libFootnoteAlaemChar"/>
          <w:rtl/>
        </w:rPr>
        <w:t>عليه‌السلام</w:t>
      </w:r>
      <w:r w:rsidR="00E3253D" w:rsidRPr="005D642E">
        <w:rPr>
          <w:rtl/>
        </w:rPr>
        <w:t xml:space="preserve"> ، كما عدّ زائدة بن قدامة في ص 136 ، الرقم 1421 ، من أصحاب أبي جعفر </w:t>
      </w:r>
      <w:r w:rsidR="00E3253D" w:rsidRPr="004C597E">
        <w:rPr>
          <w:rStyle w:val="libFootnoteAlaemChar"/>
          <w:rtl/>
        </w:rPr>
        <w:t>عليه‌السلام</w:t>
      </w:r>
      <w:r w:rsidR="00E3253D" w:rsidRPr="005D642E">
        <w:rPr>
          <w:rtl/>
        </w:rPr>
        <w:t xml:space="preserve"> ؛ فلذا يمكن القول بترجيح ما ورد في </w:t>
      </w:r>
      <w:r w:rsidR="00A4411D">
        <w:rPr>
          <w:rtl/>
        </w:rPr>
        <w:t>حاشية « بث » ، كما قال به العل</w:t>
      </w:r>
      <w:r w:rsidR="00A4411D">
        <w:rPr>
          <w:rFonts w:hint="cs"/>
          <w:rtl/>
        </w:rPr>
        <w:t>ّ</w:t>
      </w:r>
      <w:r w:rsidR="00A4411D">
        <w:rPr>
          <w:rtl/>
        </w:rPr>
        <w:t>ا</w:t>
      </w:r>
      <w:r w:rsidR="00E3253D" w:rsidRPr="005D642E">
        <w:rPr>
          <w:rtl/>
        </w:rPr>
        <w:t xml:space="preserve">مة المجلسي في </w:t>
      </w:r>
      <w:r w:rsidR="00E3253D" w:rsidRPr="002F4D34">
        <w:rPr>
          <w:rStyle w:val="libFootnoteBoldChar"/>
          <w:rtl/>
        </w:rPr>
        <w:t>مرآة العقول</w:t>
      </w:r>
      <w:r w:rsidR="00E3253D" w:rsidRPr="005D642E">
        <w:rPr>
          <w:rtl/>
        </w:rPr>
        <w:t xml:space="preserve"> ، ج 14 ، ص 108. ولكن لم نجد في ما تتّبعنا من الأسناد والطرق ، رواية زائدة بن قدامة عن أبي جعفر الباقر </w:t>
      </w:r>
      <w:r w:rsidR="00E3253D" w:rsidRPr="004C597E">
        <w:rPr>
          <w:rStyle w:val="libFootnoteAlaemChar"/>
          <w:rtl/>
        </w:rPr>
        <w:t>عليه‌السلام</w:t>
      </w:r>
      <w:r w:rsidR="00E3253D" w:rsidRPr="005D642E">
        <w:rPr>
          <w:rtl/>
        </w:rPr>
        <w:t xml:space="preserve"> ، بل ورد في </w:t>
      </w:r>
      <w:r w:rsidR="00E3253D" w:rsidRPr="002F4D34">
        <w:rPr>
          <w:rStyle w:val="libFootnoteBoldChar"/>
          <w:rtl/>
        </w:rPr>
        <w:t>الغيبة</w:t>
      </w:r>
      <w:r w:rsidR="00E3253D" w:rsidRPr="005D642E">
        <w:rPr>
          <w:rtl/>
        </w:rPr>
        <w:t xml:space="preserve"> للنعماني ، ص 154 ، ح 13 رواية أحمد بن الحسن الميثمي ، عن زائدة بن قدامة ، عن بعض رجاله ، عن أبي عبدالله </w:t>
      </w:r>
      <w:r w:rsidR="00E3253D" w:rsidRPr="004C597E">
        <w:rPr>
          <w:rStyle w:val="libFootnoteAlaemChar"/>
          <w:rtl/>
        </w:rPr>
        <w:t>عليه‌السلام</w:t>
      </w:r>
      <w:r w:rsidR="00E3253D" w:rsidRPr="005D642E">
        <w:rPr>
          <w:rtl/>
        </w:rPr>
        <w:t xml:space="preserve">. وفي ص 157 ، ح 20 ، رواية أحمد بن الحسن الميثمي ، عن زائدة بن قدامة ، عن عبدالكريم ، عن أبي عبدالله </w:t>
      </w:r>
      <w:r w:rsidR="00E3253D" w:rsidRPr="004C597E">
        <w:rPr>
          <w:rStyle w:val="libFootnoteAlaemChar"/>
          <w:rtl/>
        </w:rPr>
        <w:t>عليه‌السلام</w:t>
      </w:r>
      <w:r w:rsidR="00E3253D" w:rsidRPr="005D642E">
        <w:rPr>
          <w:rtl/>
        </w:rPr>
        <w:t xml:space="preserve">. ولعلّ طبقة زائدة هذا ، تلائم طبقة من ترجم له العامّة من زائدة بن قدامة الثقفي وقالوا : مات سنة ستين أو إحدى وستين ومائة. راجع : </w:t>
      </w:r>
      <w:r w:rsidR="00E3253D" w:rsidRPr="002F4D34">
        <w:rPr>
          <w:rStyle w:val="libFootnoteBoldChar"/>
          <w:rtl/>
        </w:rPr>
        <w:t>تهذيب الكمال</w:t>
      </w:r>
      <w:r w:rsidR="00E3253D" w:rsidRPr="005D642E">
        <w:rPr>
          <w:rtl/>
        </w:rPr>
        <w:t xml:space="preserve"> ، ج 9 ، ص 273 ، الرقم 1950 ؛ </w:t>
      </w:r>
      <w:r w:rsidR="00E3253D" w:rsidRPr="002F4D34">
        <w:rPr>
          <w:rStyle w:val="libFootnoteBoldChar"/>
          <w:rtl/>
        </w:rPr>
        <w:t>سير أعلام النبلاء</w:t>
      </w:r>
      <w:r w:rsidR="00E3253D" w:rsidRPr="005D642E">
        <w:rPr>
          <w:rtl/>
        </w:rPr>
        <w:t xml:space="preserve"> ، ج 7 ، ص 375 ، الرقم 139.</w:t>
      </w:r>
      <w:r w:rsidR="003002CF">
        <w:rPr>
          <w:rFonts w:hint="cs"/>
          <w:rtl/>
        </w:rPr>
        <w:t xml:space="preserve">                             </w:t>
      </w:r>
      <w:r w:rsidRPr="0042621E">
        <w:rPr>
          <w:rStyle w:val="libFootnote0Char"/>
          <w:rtl/>
        </w:rPr>
        <w:t>(2).</w:t>
      </w:r>
      <w:r w:rsidR="00E3253D" w:rsidRPr="005D642E">
        <w:rPr>
          <w:rtl/>
        </w:rPr>
        <w:t xml:space="preserve"> في « ظ » : « أبا عبدالله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جح » : « ابنه إبراهيم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السَلّ والإسلال : انتزاع الشي‌ء وإخراجه في رفق. والمراد جذبه إلى القبر برفق وتأنّ. راجع : </w:t>
      </w:r>
      <w:r w:rsidR="00E3253D" w:rsidRPr="002F4D34">
        <w:rPr>
          <w:rStyle w:val="libFootnoteBoldChar"/>
          <w:rtl/>
        </w:rPr>
        <w:t>لسان العرب</w:t>
      </w:r>
      <w:r w:rsidR="00E3253D" w:rsidRPr="005D642E">
        <w:rPr>
          <w:rtl/>
        </w:rPr>
        <w:t xml:space="preserve"> ، ج 11 ، ص 338 ؛ </w:t>
      </w:r>
      <w:r w:rsidR="00E3253D" w:rsidRPr="002F4D34">
        <w:rPr>
          <w:rStyle w:val="libFootnoteBoldChar"/>
          <w:rtl/>
        </w:rPr>
        <w:t>القاموس المحيط</w:t>
      </w:r>
      <w:r w:rsidR="00E3253D" w:rsidRPr="005D642E">
        <w:rPr>
          <w:rtl/>
        </w:rPr>
        <w:t xml:space="preserve"> ، ج 2 ، ص 1342 ( سلل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كذا في معظم النسخ التي قوبلت وحاشية « بح » </w:t>
      </w:r>
      <w:r w:rsidR="000D749A" w:rsidRPr="000D749A">
        <w:rPr>
          <w:rStyle w:val="libFootnoteBoldChar"/>
          <w:rtl/>
        </w:rPr>
        <w:t>والوافي</w:t>
      </w:r>
      <w:r w:rsidR="00E3253D" w:rsidRPr="005D642E">
        <w:rPr>
          <w:rtl/>
        </w:rPr>
        <w:t xml:space="preserve"> ومرآة العقول : « ورفع قبره</w:t>
      </w:r>
      <w:r w:rsidR="00E3253D">
        <w:rPr>
          <w:rtl/>
        </w:rPr>
        <w:t xml:space="preserve"> ».</w:t>
      </w:r>
      <w:r w:rsidR="00E3253D" w:rsidRPr="005D642E">
        <w:rPr>
          <w:rtl/>
        </w:rPr>
        <w:t xml:space="preserve"> وما أثبتناه هو الموافق لما في المطبوع </w:t>
      </w:r>
      <w:r w:rsidR="00E3253D">
        <w:rPr>
          <w:rtl/>
        </w:rPr>
        <w:t>و «</w:t>
      </w:r>
      <w:r w:rsidR="00E3253D" w:rsidRPr="005D642E">
        <w:rPr>
          <w:rtl/>
        </w:rPr>
        <w:t xml:space="preserve"> بح</w:t>
      </w:r>
      <w:r w:rsidR="00E3253D">
        <w:rPr>
          <w:rtl/>
        </w:rPr>
        <w:t xml:space="preserve"> ».</w:t>
      </w:r>
      <w:r w:rsidR="00E3253D" w:rsidRPr="005D642E">
        <w:rPr>
          <w:rtl/>
        </w:rPr>
        <w:t xml:space="preserve"> وحاشية « ظ ، بث ، جح</w:t>
      </w:r>
      <w:r w:rsidR="00E3253D">
        <w:rPr>
          <w:rtl/>
        </w:rPr>
        <w:t xml:space="preserve"> ».</w:t>
      </w:r>
      <w:r w:rsidR="00E3253D" w:rsidRPr="005D642E">
        <w:rPr>
          <w:rtl/>
        </w:rPr>
        <w:t xml:space="preserve"> وقال في </w:t>
      </w:r>
      <w:r w:rsidR="00E3253D" w:rsidRPr="002F4D34">
        <w:rPr>
          <w:rStyle w:val="libFootnoteBoldChar"/>
          <w:rtl/>
        </w:rPr>
        <w:t>مرآة العقول</w:t>
      </w:r>
      <w:r w:rsidR="00E3253D" w:rsidRPr="005D642E">
        <w:rPr>
          <w:rtl/>
        </w:rPr>
        <w:t xml:space="preserve"> : « قوله </w:t>
      </w:r>
      <w:r w:rsidR="00E3253D" w:rsidRPr="003002CF">
        <w:rPr>
          <w:rStyle w:val="libFootnoteAlaemChar"/>
          <w:rtl/>
        </w:rPr>
        <w:t>عليه‌السلام</w:t>
      </w:r>
      <w:r w:rsidR="00E3253D" w:rsidRPr="005D642E">
        <w:rPr>
          <w:rtl/>
        </w:rPr>
        <w:t xml:space="preserve"> : ورفع قبره ، وفي بعض النسخ : وربّع. وهو الصواب ؛ لأنّه لم يذكر في الباب ما يدلّ على التربيع سوى هذا الخبر مع ذكره في العنوان ، وقد مضى الكلام في الرفع ، وأمّا التربيع فالظاهر أنّ المراد به خلاف التسنيم</w:t>
      </w:r>
      <w:r w:rsidR="00E3253D">
        <w:rPr>
          <w:rtl/>
        </w:rPr>
        <w:t xml:space="preserve"> ».</w:t>
      </w:r>
      <w:r w:rsidR="00E3253D" w:rsidRPr="005D642E">
        <w:rPr>
          <w:rtl/>
        </w:rPr>
        <w:t xml:space="preserve"> التربيع : جعل الشي‌ء مُرَبَّعاً ، وخلاف التسنيم : التسطيع ؛ فإنّ التسنيم رفع الشي‌ء عن الأرض ، يقال : قبر مُسَنَّم : إذا كان مرفوعاً عن الأرض. راجع : </w:t>
      </w:r>
      <w:r w:rsidR="00E3253D" w:rsidRPr="002F4D34">
        <w:rPr>
          <w:rStyle w:val="libFootnoteBoldChar"/>
          <w:rtl/>
        </w:rPr>
        <w:t>لسان العرب</w:t>
      </w:r>
      <w:r w:rsidR="00E3253D" w:rsidRPr="005D642E">
        <w:rPr>
          <w:rtl/>
        </w:rPr>
        <w:t xml:space="preserve"> ، ج 12 ، ص 307 ( سنم ) ؛ </w:t>
      </w:r>
      <w:r w:rsidR="00E3253D" w:rsidRPr="002F4D34">
        <w:rPr>
          <w:rStyle w:val="libFootnoteBoldChar"/>
          <w:rtl/>
        </w:rPr>
        <w:t>القاموس المحيط</w:t>
      </w:r>
      <w:r w:rsidR="00E3253D" w:rsidRPr="005D642E">
        <w:rPr>
          <w:rtl/>
        </w:rPr>
        <w:t xml:space="preserve"> ، ج 2 ، ص 967 ( ربع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25 ، ص 526 ، ح 24573 ؛ </w:t>
      </w:r>
      <w:r w:rsidR="00E3253D" w:rsidRPr="002F4D34">
        <w:rPr>
          <w:rStyle w:val="libFootnoteBoldChar"/>
          <w:rtl/>
        </w:rPr>
        <w:t>الوسائل</w:t>
      </w:r>
      <w:r w:rsidR="00E3253D" w:rsidRPr="005D642E">
        <w:rPr>
          <w:rtl/>
        </w:rPr>
        <w:t xml:space="preserve"> ، ج 3 ، ص 192 ، ح 3377 ؛ </w:t>
      </w:r>
      <w:r w:rsidR="00E3253D" w:rsidRPr="002F4D34">
        <w:rPr>
          <w:rStyle w:val="libFootnoteBoldChar"/>
          <w:rtl/>
        </w:rPr>
        <w:t>البحار</w:t>
      </w:r>
      <w:r w:rsidR="00E3253D" w:rsidRPr="005D642E">
        <w:rPr>
          <w:rtl/>
        </w:rPr>
        <w:t xml:space="preserve"> ، ج 22 ، ص 157 ، ح 15.</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أن تدخل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الجَرِيدة » : واحدة الجريد ، وهو غصن النخل الذي يُجْرَد عنه الخُوص ، أي الورق ، ولا يسمّى جريداً </w:t>
      </w:r>
      <w:r w:rsidR="003002CF">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وَيُرْفَعَ قَبْرُهُ مِنَ الْأَرْضِ قَدْرَ أَرْبَعِ أَصَابِعَ مَضْمُومَةٍ ، وَيُنْضَحَ عَلَيْهِ الْمَاءُ ، وَيُخَلّى عَنْهُ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6350BD">
        <w:rPr>
          <w:rtl/>
        </w:rPr>
        <w:t>4570</w:t>
      </w:r>
      <w:r w:rsidRPr="00246318">
        <w:rPr>
          <w:rStyle w:val="libBold2Char"/>
          <w:rtl/>
        </w:rPr>
        <w:t xml:space="preserve"> / 3.</w:t>
      </w:r>
      <w:r w:rsidRPr="005D642E">
        <w:rPr>
          <w:rtl/>
          <w:lang w:bidi="fa-IR"/>
        </w:rPr>
        <w:t xml:space="preserve"> حُمَيْدُ بْنُ زِيَادٍ ، عَنِ الْحَسَنِ بْنِ مُحَمَّدِ بْنِ سَمَاعَةَ ، عَنْ غَيْرِ وَاحِدٍ ، عَنْ أَبَانٍ ، عَنْ عَبْدِ الرَّحْمنِ بْنِ أَبِي عَبْدِ اللهِ </w:t>
      </w:r>
      <w:r w:rsidRPr="007C12DB">
        <w:rPr>
          <w:rStyle w:val="libFootnotenumChar"/>
          <w:rtl/>
        </w:rPr>
        <w:t>(3)</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سَأَلْتُهُ عَنْ وَضْعِ الرَّجُلِ يَدَهُ عَلَى الْقَبْرِ : مَا هُوَ </w:t>
      </w:r>
      <w:r w:rsidRPr="007C12DB">
        <w:rPr>
          <w:rStyle w:val="libFootnotenumChar"/>
          <w:rtl/>
        </w:rPr>
        <w:t>(4)</w:t>
      </w:r>
      <w:r>
        <w:rPr>
          <w:rtl/>
          <w:lang w:bidi="fa-IR"/>
        </w:rPr>
        <w:t>؟</w:t>
      </w:r>
      <w:r w:rsidRPr="005D642E">
        <w:rPr>
          <w:rtl/>
          <w:lang w:bidi="fa-IR"/>
        </w:rPr>
        <w:t xml:space="preserve"> وَلِمَ صُنِعَ</w:t>
      </w:r>
      <w:r>
        <w:rPr>
          <w:rtl/>
          <w:lang w:bidi="fa-IR"/>
        </w:rPr>
        <w:t>؟</w:t>
      </w:r>
    </w:p>
    <w:p w:rsidR="00E3253D" w:rsidRPr="005D642E" w:rsidRDefault="00E3253D" w:rsidP="00E3253D">
      <w:pPr>
        <w:pStyle w:val="libNormal"/>
        <w:rPr>
          <w:rtl/>
          <w:lang w:bidi="fa-IR"/>
        </w:rPr>
      </w:pPr>
      <w:r w:rsidRPr="005D642E">
        <w:rPr>
          <w:rtl/>
          <w:lang w:bidi="fa-IR"/>
        </w:rPr>
        <w:t xml:space="preserve">فَقَالَ : « صَنَعَهُ رَسُولُ اللهِ </w:t>
      </w:r>
      <w:r w:rsidR="0042621E" w:rsidRPr="0042621E">
        <w:rPr>
          <w:rStyle w:val="libAlaemChar"/>
          <w:rtl/>
        </w:rPr>
        <w:t>صلى‌الله‌عليه‌وآله</w:t>
      </w:r>
      <w:r w:rsidRPr="005D642E">
        <w:rPr>
          <w:rtl/>
          <w:lang w:bidi="fa-IR"/>
        </w:rPr>
        <w:t xml:space="preserve"> عَلَى ابْنِهِ </w:t>
      </w:r>
      <w:r w:rsidRPr="007C12DB">
        <w:rPr>
          <w:rStyle w:val="libFootnotenumChar"/>
          <w:rtl/>
        </w:rPr>
        <w:t>(5)</w:t>
      </w:r>
      <w:r w:rsidRPr="005D642E">
        <w:rPr>
          <w:rtl/>
          <w:lang w:bidi="fa-IR"/>
        </w:rPr>
        <w:t xml:space="preserve"> بَعْدَ النَّضْحِ</w:t>
      </w:r>
      <w:r>
        <w:rPr>
          <w:rtl/>
          <w:lang w:bidi="fa-IR"/>
        </w:rPr>
        <w:t xml:space="preserve"> ».</w:t>
      </w:r>
    </w:p>
    <w:p w:rsidR="00E3253D" w:rsidRPr="005D642E" w:rsidRDefault="00E3253D" w:rsidP="00E3253D">
      <w:pPr>
        <w:pStyle w:val="libNormal"/>
        <w:rPr>
          <w:rtl/>
          <w:lang w:bidi="fa-IR"/>
        </w:rPr>
      </w:pPr>
      <w:r w:rsidRPr="005D642E">
        <w:rPr>
          <w:rtl/>
          <w:lang w:bidi="fa-IR"/>
        </w:rPr>
        <w:t>قَالَ : وَسَأَلْتُهُ : كَيْفَ أَضَعُ يَدِي عَلى قُبُورِ الْمُسْلِمِينَ</w:t>
      </w:r>
      <w:r>
        <w:rPr>
          <w:rtl/>
          <w:lang w:bidi="fa-IR"/>
        </w:rPr>
        <w:t>؟</w:t>
      </w:r>
    </w:p>
    <w:p w:rsidR="00E3253D" w:rsidRPr="005D642E" w:rsidRDefault="00E3253D" w:rsidP="00E3253D">
      <w:pPr>
        <w:pStyle w:val="libNormal"/>
        <w:rPr>
          <w:rtl/>
          <w:lang w:bidi="fa-IR"/>
        </w:rPr>
      </w:pPr>
      <w:r w:rsidRPr="005D642E">
        <w:rPr>
          <w:rtl/>
          <w:lang w:bidi="fa-IR"/>
        </w:rPr>
        <w:t xml:space="preserve">فَأَشَارَ بِيَدِهِ إِلَى </w:t>
      </w:r>
      <w:r w:rsidRPr="007C12DB">
        <w:rPr>
          <w:rStyle w:val="libFootnotenumChar"/>
          <w:rtl/>
        </w:rPr>
        <w:t>(6)</w:t>
      </w:r>
      <w:r w:rsidRPr="005D642E">
        <w:rPr>
          <w:rtl/>
          <w:lang w:bidi="fa-IR"/>
        </w:rPr>
        <w:t xml:space="preserve"> الْأَرْضِ ، وَوَضَعَهَا عَلَيْهَا ، ثُمَّ رَفَعَهَا وَهُوَ مُقَابِلُ الْقِبْلَةِ.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6350BD">
        <w:rPr>
          <w:rtl/>
        </w:rPr>
        <w:t>4571</w:t>
      </w:r>
      <w:r w:rsidRPr="00246318">
        <w:rPr>
          <w:rStyle w:val="libBold2Char"/>
          <w:rtl/>
        </w:rPr>
        <w:t xml:space="preserve"> / 4.</w:t>
      </w:r>
      <w:r w:rsidRPr="005D642E">
        <w:rPr>
          <w:rtl/>
          <w:lang w:bidi="fa-IR"/>
        </w:rPr>
        <w:t xml:space="preserve"> عَلِيُّ بْنُ إِبْرَاهِيمَ ، عَنْ أَبِيهِ ، عَنِ ابْنِ أَبِي عُمَيْرٍ ، عَنْ عُمَرَ ب</w:t>
      </w:r>
      <w:r w:rsidR="00406D26">
        <w:rPr>
          <w:rtl/>
          <w:lang w:bidi="fa-IR"/>
        </w:rPr>
        <w:t>ْنِ أُذَيْنَةَ ، عَنْ زُرَارَةَ</w:t>
      </w:r>
      <w:r w:rsidRPr="005D642E">
        <w:rPr>
          <w:rtl/>
          <w:lang w:bidi="fa-IR"/>
        </w:rPr>
        <w:t>:</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كَانَ رَسُولُ اللهِ </w:t>
      </w:r>
      <w:r w:rsidR="0042621E" w:rsidRPr="0042621E">
        <w:rPr>
          <w:rStyle w:val="libAlaemChar"/>
          <w:rtl/>
        </w:rPr>
        <w:t>صلى‌الله‌عليه‌وآله</w:t>
      </w:r>
      <w:r w:rsidRPr="005D642E">
        <w:rPr>
          <w:rtl/>
          <w:lang w:bidi="fa-IR"/>
        </w:rPr>
        <w:t xml:space="preserve"> يَصْنَعُ بِمَنْ مَاتَ مِنْ بَنِي هَاشِمٍ خَاصَّةً شَيْئاً لَايَصْنَعُهُ بِأَحَدٍ مِنَ الْمُسْلِمِينَ ، كَانَ إِذَا صَلّى عَلَى الْهَاشِمِيِّ ، وَنَضَحَ قَبْرَهُ بِالْمَاءِ ،</w:t>
      </w:r>
    </w:p>
    <w:p w:rsidR="00E3253D" w:rsidRPr="005D642E" w:rsidRDefault="00E3253D" w:rsidP="00E3253D">
      <w:pPr>
        <w:pStyle w:val="libLine"/>
        <w:rPr>
          <w:rtl/>
          <w:lang w:bidi="fa-IR"/>
        </w:rPr>
      </w:pPr>
      <w:r w:rsidRPr="005D642E">
        <w:rPr>
          <w:rtl/>
          <w:lang w:bidi="fa-IR"/>
        </w:rPr>
        <w:t>__________________</w:t>
      </w:r>
    </w:p>
    <w:p w:rsidR="00E3253D" w:rsidRPr="005D642E" w:rsidRDefault="00202A4A" w:rsidP="00E3253D">
      <w:pPr>
        <w:pStyle w:val="libFootnote0"/>
        <w:rPr>
          <w:rtl/>
          <w:lang w:bidi="fa-IR"/>
        </w:rPr>
      </w:pPr>
      <w:r>
        <w:rPr>
          <w:rFonts w:hint="cs"/>
          <w:rtl/>
        </w:rPr>
        <w:t xml:space="preserve">= </w:t>
      </w:r>
      <w:r w:rsidR="00E3253D" w:rsidRPr="005D642E">
        <w:rPr>
          <w:rtl/>
        </w:rPr>
        <w:t>مادام عليه الخوص ، إنّما يسمّى سَعَفاً ، قال الشيخ البهائي : « إنّما يسمّى الجريد سعفاً أيضاً</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455 ؛ </w:t>
      </w:r>
      <w:r w:rsidR="00E3253D" w:rsidRPr="002F4D34">
        <w:rPr>
          <w:rStyle w:val="libFootnoteBoldChar"/>
          <w:rtl/>
        </w:rPr>
        <w:t>المصباح المنير</w:t>
      </w:r>
      <w:r w:rsidR="00E3253D" w:rsidRPr="005D642E">
        <w:rPr>
          <w:rtl/>
        </w:rPr>
        <w:t xml:space="preserve"> ، ص 96 ( جرد ) ؛ </w:t>
      </w:r>
      <w:r w:rsidR="00E3253D" w:rsidRPr="002F4D34">
        <w:rPr>
          <w:rStyle w:val="libFootnoteBoldChar"/>
          <w:rtl/>
        </w:rPr>
        <w:t>الحبل المتين</w:t>
      </w:r>
      <w:r w:rsidR="00E3253D" w:rsidRPr="005D642E">
        <w:rPr>
          <w:rtl/>
        </w:rPr>
        <w:t xml:space="preserve"> ، ص 230.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يُخَلَّى</w:t>
      </w:r>
      <w:r w:rsidR="00396711">
        <w:rPr>
          <w:rtl/>
        </w:rPr>
        <w:t xml:space="preserve"> عنه » ، أي يُتْرَكُ. قال العل</w:t>
      </w:r>
      <w:r w:rsidR="00396711">
        <w:rPr>
          <w:rFonts w:hint="cs"/>
          <w:rtl/>
        </w:rPr>
        <w:t>ّ</w:t>
      </w:r>
      <w:r w:rsidR="00396711">
        <w:rPr>
          <w:rtl/>
        </w:rPr>
        <w:t>ا</w:t>
      </w:r>
      <w:r w:rsidR="00E3253D" w:rsidRPr="005D642E">
        <w:rPr>
          <w:rtl/>
        </w:rPr>
        <w:t xml:space="preserve">مة المجلسي : « قوله </w:t>
      </w:r>
      <w:r w:rsidR="00E3253D" w:rsidRPr="00312BD7">
        <w:rPr>
          <w:rStyle w:val="libFootnoteAlaemChar"/>
          <w:rtl/>
        </w:rPr>
        <w:t>عليه‌السلام</w:t>
      </w:r>
      <w:r w:rsidR="00E3253D" w:rsidRPr="005D642E">
        <w:rPr>
          <w:rtl/>
        </w:rPr>
        <w:t xml:space="preserve"> : يخلّى عنه ، أي لايعمل عليه شي‌ء آخر من جصّ وآجرّ وبناء ، أو لا يتوقّف عنده بل ينصرف عنه ، وعلى كلّ واحد منهما يكون مؤيّداً لما ورد من الأخبار في كلّ منهما</w:t>
      </w:r>
      <w:r w:rsidR="00E3253D">
        <w:rPr>
          <w:rtl/>
        </w:rPr>
        <w:t xml:space="preserve"> ».</w:t>
      </w:r>
      <w:r w:rsidR="00E3253D" w:rsidRPr="005D642E">
        <w:rPr>
          <w:rtl/>
        </w:rPr>
        <w:t xml:space="preserve"> راجع : </w:t>
      </w:r>
      <w:r w:rsidR="00E3253D" w:rsidRPr="002F4D34">
        <w:rPr>
          <w:rStyle w:val="libFootnoteBoldChar"/>
          <w:rtl/>
        </w:rPr>
        <w:t>القاموس المحيط</w:t>
      </w:r>
      <w:r w:rsidR="00E3253D" w:rsidRPr="005D642E">
        <w:rPr>
          <w:rtl/>
        </w:rPr>
        <w:t xml:space="preserve"> ، ج 2 ، ص 1680 ( خلو ) ؛ </w:t>
      </w:r>
      <w:r w:rsidR="00E3253D" w:rsidRPr="002F4D34">
        <w:rPr>
          <w:rStyle w:val="libFootnoteBoldChar"/>
          <w:rtl/>
        </w:rPr>
        <w:t>مرآة العقول</w:t>
      </w:r>
      <w:r w:rsidR="00E3253D" w:rsidRPr="005D642E">
        <w:rPr>
          <w:rtl/>
        </w:rPr>
        <w:t xml:space="preserve"> ، ج 14 ، ص 110.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320 ، ح 932 ، بسنده عن الكليني </w:t>
      </w:r>
      <w:r w:rsidR="003A6C0F">
        <w:rPr>
          <w:rFonts w:hint="cs"/>
          <w:rtl/>
        </w:rPr>
        <w:t>.</w:t>
      </w:r>
      <w:r w:rsidR="00E3253D" w:rsidRPr="002F4D34">
        <w:rPr>
          <w:rStyle w:val="libFootnoteBoldChar"/>
          <w:rtl/>
        </w:rPr>
        <w:t>الوافي</w:t>
      </w:r>
      <w:r w:rsidR="00E3253D" w:rsidRPr="005D642E">
        <w:rPr>
          <w:rtl/>
        </w:rPr>
        <w:t xml:space="preserve"> ، ج 25 ، ص 527 ، ح 24578 ؛ </w:t>
      </w:r>
      <w:r w:rsidR="00E3253D" w:rsidRPr="002F4D34">
        <w:rPr>
          <w:rStyle w:val="libFootnoteBoldChar"/>
          <w:rtl/>
        </w:rPr>
        <w:t>الوسائل</w:t>
      </w:r>
      <w:r w:rsidR="00E3253D" w:rsidRPr="005D642E">
        <w:rPr>
          <w:rtl/>
        </w:rPr>
        <w:t xml:space="preserve"> ، ج 3 ، ص 22 ، ح 2925 ، إلى قوله : « في قبره جريدة رطبة » ؛ وص 192 ، ح 3379.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بف » : + « عن أبي عبدالله </w:t>
      </w:r>
      <w:r w:rsidR="00E3253D" w:rsidRPr="002B509B">
        <w:rPr>
          <w:rStyle w:val="libFootnoteAlaemChar"/>
          <w:rtl/>
        </w:rPr>
        <w:t>عليه‌السلام</w:t>
      </w:r>
      <w:r w:rsidR="00E3253D" w:rsidRPr="005D642E">
        <w:rPr>
          <w:rtl/>
        </w:rPr>
        <w:t xml:space="preserve"> » ، لكنّ المراد منه غير واضح ؛ لعدم وضوح خطّه ، فلا يُعلم هل هذا تصحيح ، أو نسخة ، أو استظهار لما هو الصواب.</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وما هو</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بس ، بف ، جس » وحاشية « ظ ، بث ، بح » </w:t>
      </w:r>
      <w:r w:rsidR="000D749A" w:rsidRPr="000D749A">
        <w:rPr>
          <w:rStyle w:val="libFootnoteBoldChar"/>
          <w:rtl/>
        </w:rPr>
        <w:t>والوافي</w:t>
      </w:r>
      <w:r w:rsidR="00E3253D" w:rsidRPr="005D642E">
        <w:rPr>
          <w:rtl/>
        </w:rPr>
        <w:t xml:space="preserve"> : « على ابنته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كذا في المطبوع </w:t>
      </w:r>
      <w:r w:rsidR="000D749A" w:rsidRPr="000D749A">
        <w:rPr>
          <w:rStyle w:val="libFootnoteBoldChar"/>
          <w:rtl/>
        </w:rPr>
        <w:t>والوافي</w:t>
      </w:r>
      <w:r w:rsidR="00E3253D" w:rsidRPr="005D642E">
        <w:rPr>
          <w:rtl/>
        </w:rPr>
        <w:t>. وفي جميع النسخ التي قوبلت : « في</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462 ، ح 1508 ؛ وج 6 ، ص 105 ، ح 184 ؛ و</w:t>
      </w:r>
      <w:r w:rsidR="00E3253D" w:rsidRPr="002F4D34">
        <w:rPr>
          <w:rStyle w:val="libFootnoteBoldChar"/>
          <w:rtl/>
        </w:rPr>
        <w:t xml:space="preserve">كامل الزيارات </w:t>
      </w:r>
      <w:r w:rsidR="00E3253D" w:rsidRPr="005D642E">
        <w:rPr>
          <w:rtl/>
        </w:rPr>
        <w:t xml:space="preserve">، ص 320 ، الباب 105 ، ح 5 ؛ وكتاب </w:t>
      </w:r>
      <w:r w:rsidR="00E3253D" w:rsidRPr="002F4D34">
        <w:rPr>
          <w:rStyle w:val="libFootnoteBoldChar"/>
          <w:rtl/>
        </w:rPr>
        <w:t>المزار</w:t>
      </w:r>
      <w:r w:rsidR="00E3253D" w:rsidRPr="005D642E">
        <w:rPr>
          <w:rtl/>
        </w:rPr>
        <w:t xml:space="preserve"> ، ص 219 ، ح 2 ، بسند آخر عن أبان ، من قوله : « وسألته كيف أضع يدي » مع اختلاف يسير </w:t>
      </w:r>
      <w:r w:rsidR="002B509B">
        <w:rPr>
          <w:rFonts w:hint="cs"/>
          <w:rtl/>
        </w:rPr>
        <w:t>.</w:t>
      </w:r>
      <w:r w:rsidR="00E3253D" w:rsidRPr="002F4D34">
        <w:rPr>
          <w:rStyle w:val="libFootnoteBoldChar"/>
          <w:rtl/>
        </w:rPr>
        <w:t>الوافي</w:t>
      </w:r>
      <w:r w:rsidR="00E3253D" w:rsidRPr="005D642E">
        <w:rPr>
          <w:rtl/>
        </w:rPr>
        <w:t xml:space="preserve"> ، ج 25 ، ص 528 ، ح 24579 ؛ </w:t>
      </w:r>
      <w:r w:rsidR="00E3253D" w:rsidRPr="002F4D34">
        <w:rPr>
          <w:rStyle w:val="libFootnoteBoldChar"/>
          <w:rtl/>
        </w:rPr>
        <w:t>الوسائل</w:t>
      </w:r>
      <w:r w:rsidR="00E3253D" w:rsidRPr="005D642E">
        <w:rPr>
          <w:rtl/>
        </w:rPr>
        <w:t xml:space="preserve"> ، ج 3 ، ص 198 ، ح 3398.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وَضَعَ رَسُولُ اللهِ </w:t>
      </w:r>
      <w:r w:rsidR="0042621E" w:rsidRPr="0042621E">
        <w:rPr>
          <w:rStyle w:val="libAlaemChar"/>
          <w:rtl/>
        </w:rPr>
        <w:t>صلى‌الله‌عليه‌وآله</w:t>
      </w:r>
      <w:r w:rsidRPr="005D642E">
        <w:rPr>
          <w:rtl/>
          <w:lang w:bidi="fa-IR"/>
        </w:rPr>
        <w:t xml:space="preserve"> </w:t>
      </w:r>
      <w:r w:rsidRPr="007C12DB">
        <w:rPr>
          <w:rStyle w:val="libFootnotenumChar"/>
          <w:rtl/>
        </w:rPr>
        <w:t>(1)</w:t>
      </w:r>
      <w:r w:rsidRPr="005D642E">
        <w:rPr>
          <w:rtl/>
          <w:lang w:bidi="fa-IR"/>
        </w:rPr>
        <w:t xml:space="preserve"> كَفَّهُ عَلَى الْقَبْرِ حَتّى تُرى </w:t>
      </w:r>
      <w:r w:rsidRPr="007C12DB">
        <w:rPr>
          <w:rStyle w:val="libFootnotenumChar"/>
          <w:rtl/>
        </w:rPr>
        <w:t>(2)</w:t>
      </w:r>
      <w:r w:rsidRPr="005D642E">
        <w:rPr>
          <w:rtl/>
          <w:lang w:bidi="fa-IR"/>
        </w:rPr>
        <w:t xml:space="preserve"> أَصَابِعُهُ فِي الطِّينِ ، فَكَانَ الْغَرِيبُ يَقْدَمُ ، أَوِ الْمُسَافِرُ </w:t>
      </w:r>
      <w:r w:rsidRPr="007C12DB">
        <w:rPr>
          <w:rStyle w:val="libFootnotenumChar"/>
          <w:rtl/>
        </w:rPr>
        <w:t>(3)</w:t>
      </w:r>
      <w:r w:rsidRPr="005D642E">
        <w:rPr>
          <w:rtl/>
          <w:lang w:bidi="fa-IR"/>
        </w:rPr>
        <w:t xml:space="preserve"> مِنْ أَهْلِ الْمَدِينَةِ ، فَيَرَى الْقَبْرَ الْجَدِيدَ عَلَيْهِ أَثَرُ كَفِّ رَسُولِ اللهِ </w:t>
      </w:r>
      <w:r w:rsidR="0042621E" w:rsidRPr="0042621E">
        <w:rPr>
          <w:rStyle w:val="libAlaemChar"/>
          <w:rtl/>
        </w:rPr>
        <w:t>صلى‌الله‌عليه‌وآله</w:t>
      </w:r>
      <w:r w:rsidRPr="005D642E">
        <w:rPr>
          <w:rtl/>
          <w:lang w:bidi="fa-IR"/>
        </w:rPr>
        <w:t xml:space="preserve"> ، فَيَقُولُ :</w:t>
      </w:r>
      <w:r>
        <w:rPr>
          <w:rFonts w:hint="cs"/>
          <w:rtl/>
          <w:lang w:bidi="fa-IR"/>
        </w:rPr>
        <w:t xml:space="preserve"> </w:t>
      </w:r>
      <w:r w:rsidRPr="005D642E">
        <w:rPr>
          <w:rtl/>
          <w:lang w:bidi="fa-IR"/>
        </w:rPr>
        <w:t xml:space="preserve">مَنْ مَاتَ مِنْ آلِ </w:t>
      </w:r>
      <w:r w:rsidRPr="007C12DB">
        <w:rPr>
          <w:rStyle w:val="libFootnotenumChar"/>
          <w:rtl/>
        </w:rPr>
        <w:t>(4)</w:t>
      </w:r>
      <w:r w:rsidRPr="005D642E">
        <w:rPr>
          <w:rtl/>
          <w:lang w:bidi="fa-IR"/>
        </w:rPr>
        <w:t xml:space="preserve"> مُحَمَّدٍ </w:t>
      </w:r>
      <w:r w:rsidR="0042621E" w:rsidRPr="0042621E">
        <w:rPr>
          <w:rStyle w:val="libAlaemChar"/>
          <w:rtl/>
        </w:rPr>
        <w:t>صلى‌الله‌عليه‌وآله</w:t>
      </w:r>
      <w:r>
        <w:rPr>
          <w:rtl/>
          <w:lang w:bidi="fa-IR"/>
        </w:rPr>
        <w:t>؟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6350BD">
        <w:rPr>
          <w:rtl/>
        </w:rPr>
        <w:t>4572</w:t>
      </w:r>
      <w:r w:rsidRPr="00246318">
        <w:rPr>
          <w:rStyle w:val="libBold2Char"/>
          <w:rtl/>
        </w:rPr>
        <w:t xml:space="preserve"> / 5.</w:t>
      </w:r>
      <w:r w:rsidRPr="005D642E">
        <w:rPr>
          <w:rtl/>
          <w:lang w:bidi="fa-IR"/>
        </w:rPr>
        <w:t xml:space="preserve"> عَلِيُّ بْنُ إِبْرَاهِيمَ ، عَنْ أَبِيهِ ، عَنِ ابْنِ أَبِي عُمَيْرٍ ، عَنْ حَمَّادِ بْنِ عُثْمَانَ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أَبِي قَالَ لِي </w:t>
      </w:r>
      <w:r w:rsidRPr="007C12DB">
        <w:rPr>
          <w:rStyle w:val="libFootnotenumChar"/>
          <w:rtl/>
        </w:rPr>
        <w:t>(6)</w:t>
      </w:r>
      <w:r w:rsidRPr="005D642E">
        <w:rPr>
          <w:rtl/>
          <w:lang w:bidi="fa-IR"/>
        </w:rPr>
        <w:t xml:space="preserve"> ذَاتَ يَوْمٍ فِي مَرَضِهِ : يَا بُنَيَّ ، أَدْخِلْ أُنَاساً مِنْ قُرَيْشٍ مِنْ أَهْلِ الْمَدِينَةِ حَتّى أُشْهِدَهُمْ</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فَأَدْخَلْتُ عَلَيْهِ أُنَاساً مِنْهُمْ ، فَقَالَ : يَا جَعْفَرُ ، إِذَا أَنَا مِتُّ فَغَسِّلْنِي ، وَكَفِّنِّي ، وَارْفَعْ قَبْرِي أَرْبَعَ أَصَابِعَ ، وَرُشَّهُ بِالْمَاءِ ؛ فَلَمَّا خَرَجُوا قُلْتُ : يَا أَبَةِ </w:t>
      </w:r>
      <w:r w:rsidRPr="007C12DB">
        <w:rPr>
          <w:rStyle w:val="libFootnotenumChar"/>
          <w:rtl/>
        </w:rPr>
        <w:t>(7)</w:t>
      </w:r>
      <w:r w:rsidRPr="005D642E">
        <w:rPr>
          <w:rtl/>
          <w:lang w:bidi="fa-IR"/>
        </w:rPr>
        <w:t xml:space="preserve"> ، لَوْ أَمَرْتَنِي بِهذَا </w:t>
      </w:r>
      <w:r w:rsidRPr="007C12DB">
        <w:rPr>
          <w:rStyle w:val="libFootnotenumChar"/>
          <w:rtl/>
        </w:rPr>
        <w:t>(8)</w:t>
      </w:r>
      <w:r w:rsidRPr="005D642E">
        <w:rPr>
          <w:rtl/>
          <w:lang w:bidi="fa-IR"/>
        </w:rPr>
        <w:t xml:space="preserve"> صَنَعْتُهُ </w:t>
      </w:r>
      <w:r w:rsidRPr="007C12DB">
        <w:rPr>
          <w:rStyle w:val="libFootnotenumChar"/>
          <w:rtl/>
        </w:rPr>
        <w:t>(9)</w:t>
      </w:r>
      <w:r w:rsidRPr="005D642E">
        <w:rPr>
          <w:rtl/>
          <w:lang w:bidi="fa-IR"/>
        </w:rPr>
        <w:t xml:space="preserve"> ، وَلَمْ تُرِدْ </w:t>
      </w:r>
      <w:r w:rsidRPr="007C12DB">
        <w:rPr>
          <w:rStyle w:val="libFootnotenumChar"/>
          <w:rtl/>
        </w:rPr>
        <w:t>(10)</w:t>
      </w:r>
      <w:r w:rsidRPr="005D642E">
        <w:rPr>
          <w:rtl/>
          <w:lang w:bidi="fa-IR"/>
        </w:rPr>
        <w:t xml:space="preserve"> أَنْ أُدْخِلَ عَلَيْكَ قَوْماً تُشْهِدُهُمْ </w:t>
      </w:r>
      <w:r w:rsidRPr="007C12DB">
        <w:rPr>
          <w:rStyle w:val="libFootnotenumChar"/>
          <w:rtl/>
        </w:rPr>
        <w:t>(11)</w:t>
      </w:r>
      <w:r w:rsidRPr="005D642E">
        <w:rPr>
          <w:rtl/>
          <w:lang w:bidi="fa-IR"/>
        </w:rPr>
        <w:t xml:space="preserve"> فَقَالَ </w:t>
      </w:r>
      <w:r w:rsidRPr="007C12DB">
        <w:rPr>
          <w:rStyle w:val="libFootnotenumChar"/>
          <w:rtl/>
        </w:rPr>
        <w:t>(12)</w:t>
      </w:r>
      <w:r w:rsidRPr="005D642E">
        <w:rPr>
          <w:rtl/>
          <w:lang w:bidi="fa-IR"/>
        </w:rPr>
        <w:t xml:space="preserve"> : يَا بُنَيَّ ، أَرَدْتُ أَنْ لَا تُنَازَعَ</w:t>
      </w:r>
      <w:r>
        <w:rPr>
          <w:rtl/>
          <w:lang w:bidi="fa-IR"/>
        </w:rPr>
        <w:t xml:space="preserve"> ».</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Normal"/>
        <w:rPr>
          <w:rtl/>
          <w:lang w:bidi="fa-IR"/>
        </w:rPr>
      </w:pPr>
      <w:r w:rsidRPr="006350BD">
        <w:rPr>
          <w:rtl/>
        </w:rPr>
        <w:t>4573</w:t>
      </w:r>
      <w:r w:rsidRPr="00246318">
        <w:rPr>
          <w:rStyle w:val="libBold2Char"/>
          <w:rtl/>
        </w:rPr>
        <w:t xml:space="preserve"> / 6.</w:t>
      </w:r>
      <w:r w:rsidRPr="005D642E">
        <w:rPr>
          <w:rtl/>
          <w:lang w:bidi="fa-IR"/>
        </w:rPr>
        <w:t xml:space="preserve"> عَلِيٌّ </w:t>
      </w:r>
      <w:r w:rsidRPr="007C12DB">
        <w:rPr>
          <w:rStyle w:val="libFootnotenumChar"/>
          <w:rtl/>
        </w:rPr>
        <w:t>(14)</w:t>
      </w:r>
      <w:r w:rsidRPr="005D642E">
        <w:rPr>
          <w:rtl/>
          <w:lang w:bidi="fa-IR"/>
        </w:rPr>
        <w:t xml:space="preserve"> ، عَنْ أَبِيهِ ، عَنِ ابْنِ أَبِي عُمَيْرٍ ، عَنْ بَعْضِ أَصْحَابِهِ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التي قوبلت </w:t>
      </w:r>
      <w:r w:rsidR="000D749A" w:rsidRPr="000D749A">
        <w:rPr>
          <w:rStyle w:val="libFootnoteBoldChar"/>
          <w:rtl/>
        </w:rPr>
        <w:t>والوافي</w:t>
      </w:r>
      <w:r w:rsidR="00E3253D" w:rsidRPr="005D642E">
        <w:rPr>
          <w:rtl/>
        </w:rPr>
        <w:t xml:space="preserve"> والوسائل والبحار </w:t>
      </w:r>
      <w:r w:rsidR="00B60612" w:rsidRPr="00B60612">
        <w:rPr>
          <w:rStyle w:val="libFootnoteBoldChar"/>
          <w:rtl/>
        </w:rPr>
        <w:t>والتهذيب</w:t>
      </w:r>
      <w:r w:rsidR="00E3253D" w:rsidRPr="005D642E">
        <w:rPr>
          <w:rtl/>
        </w:rPr>
        <w:t>. وفي المطبوع :</w:t>
      </w:r>
      <w:r w:rsidR="00E3253D">
        <w:rPr>
          <w:rtl/>
        </w:rPr>
        <w:t xml:space="preserve"> </w:t>
      </w:r>
      <w:r w:rsidR="007642BC">
        <w:rPr>
          <w:rtl/>
        </w:rPr>
        <w:t>-</w:t>
      </w:r>
      <w:r w:rsidR="00E3253D">
        <w:rPr>
          <w:rtl/>
        </w:rPr>
        <w:t xml:space="preserve"> </w:t>
      </w:r>
      <w:r w:rsidR="00E3253D" w:rsidRPr="005D642E">
        <w:rPr>
          <w:rtl/>
        </w:rPr>
        <w:t xml:space="preserve">« رسول الله </w:t>
      </w:r>
      <w:r w:rsidRPr="0092373F">
        <w:rPr>
          <w:rStyle w:val="libFootnoteAlaemChar"/>
          <w:rtl/>
        </w:rPr>
        <w:t>صلى‌الله‌عليه‌وآله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بث ، بح ، بخ ، بف ، جح ، جس » : « حتّى يرى</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2373F" w:rsidTr="0092373F">
        <w:tc>
          <w:tcPr>
            <w:tcW w:w="4006" w:type="dxa"/>
          </w:tcPr>
          <w:p w:rsidR="0092373F" w:rsidRDefault="0092373F" w:rsidP="00E3253D">
            <w:pPr>
              <w:pStyle w:val="libFootnote0"/>
              <w:rPr>
                <w:rStyle w:val="libFootnote0Char"/>
                <w:rtl/>
              </w:rPr>
            </w:pPr>
            <w:r w:rsidRPr="0042621E">
              <w:rPr>
                <w:rStyle w:val="libFootnote0Char"/>
                <w:rtl/>
              </w:rPr>
              <w:t>(3).</w:t>
            </w:r>
            <w:r w:rsidRPr="005D642E">
              <w:rPr>
                <w:rtl/>
              </w:rPr>
              <w:t xml:space="preserve"> في « جن » : « والمسافر</w:t>
            </w:r>
            <w:r>
              <w:rPr>
                <w:rtl/>
              </w:rPr>
              <w:t xml:space="preserve"> ».</w:t>
            </w:r>
          </w:p>
        </w:tc>
        <w:tc>
          <w:tcPr>
            <w:tcW w:w="4006" w:type="dxa"/>
          </w:tcPr>
          <w:p w:rsidR="0092373F" w:rsidRDefault="0092373F" w:rsidP="00E3253D">
            <w:pPr>
              <w:pStyle w:val="libFootnote0"/>
              <w:rPr>
                <w:rStyle w:val="libFootnote0Char"/>
                <w:rtl/>
              </w:rPr>
            </w:pPr>
            <w:r w:rsidRPr="0042621E">
              <w:rPr>
                <w:rStyle w:val="libFootnote0Char"/>
                <w:rtl/>
              </w:rPr>
              <w:t>(4).</w:t>
            </w:r>
            <w:r w:rsidRPr="005D642E">
              <w:rPr>
                <w:rtl/>
              </w:rPr>
              <w:t xml:space="preserve"> في « بخ » : « أهل</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460 ، ح 1498 ، معلّقاً عن عليّ بن إبراهيم </w:t>
      </w:r>
      <w:r w:rsidR="0051744D">
        <w:rPr>
          <w:rFonts w:hint="cs"/>
          <w:rtl/>
        </w:rPr>
        <w:t>.</w:t>
      </w:r>
      <w:r w:rsidR="00E3253D" w:rsidRPr="002F4D34">
        <w:rPr>
          <w:rStyle w:val="libFootnoteBoldChar"/>
          <w:rtl/>
        </w:rPr>
        <w:t>الوافي</w:t>
      </w:r>
      <w:r w:rsidR="00E3253D" w:rsidRPr="005D642E">
        <w:rPr>
          <w:rtl/>
        </w:rPr>
        <w:t xml:space="preserve"> ، ج 25 ، ص 528 ، ح 24580 ؛ </w:t>
      </w:r>
      <w:r w:rsidR="00E3253D" w:rsidRPr="002F4D34">
        <w:rPr>
          <w:rStyle w:val="libFootnoteBoldChar"/>
          <w:rtl/>
        </w:rPr>
        <w:t>الوسائل</w:t>
      </w:r>
      <w:r w:rsidR="00E3253D" w:rsidRPr="005D642E">
        <w:rPr>
          <w:rtl/>
        </w:rPr>
        <w:t xml:space="preserve"> ، ج 3 ، ص 198 ، ح 3397 ؛ </w:t>
      </w:r>
      <w:r w:rsidR="00E3253D" w:rsidRPr="002F4D34">
        <w:rPr>
          <w:rStyle w:val="libFootnoteBoldChar"/>
          <w:rtl/>
        </w:rPr>
        <w:t>البحار</w:t>
      </w:r>
      <w:r w:rsidR="00E3253D" w:rsidRPr="005D642E">
        <w:rPr>
          <w:rtl/>
        </w:rPr>
        <w:t xml:space="preserve"> ، ج 16 ، ص 261 ، ح 50.</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التهذيب : « قال لي أبي » بدل « إنّ أبي قال لي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1744D" w:rsidTr="0051744D">
        <w:tc>
          <w:tcPr>
            <w:tcW w:w="4006" w:type="dxa"/>
          </w:tcPr>
          <w:p w:rsidR="0051744D" w:rsidRDefault="0051744D" w:rsidP="00E3253D">
            <w:pPr>
              <w:pStyle w:val="libFootnote0"/>
              <w:rPr>
                <w:rStyle w:val="libFootnote0Char"/>
                <w:rtl/>
              </w:rPr>
            </w:pPr>
            <w:r w:rsidRPr="0042621E">
              <w:rPr>
                <w:rStyle w:val="libFootnote0Char"/>
                <w:rtl/>
              </w:rPr>
              <w:t>(7).</w:t>
            </w:r>
            <w:r w:rsidRPr="005D642E">
              <w:rPr>
                <w:rtl/>
              </w:rPr>
              <w:t xml:space="preserve"> في « بخ » </w:t>
            </w:r>
            <w:r w:rsidRPr="000D749A">
              <w:rPr>
                <w:rStyle w:val="libFootnoteBoldChar"/>
                <w:rtl/>
              </w:rPr>
              <w:t>والوافي</w:t>
            </w:r>
            <w:r w:rsidRPr="005D642E">
              <w:rPr>
                <w:rtl/>
              </w:rPr>
              <w:t xml:space="preserve"> : « أبه</w:t>
            </w:r>
            <w:r>
              <w:rPr>
                <w:rtl/>
              </w:rPr>
              <w:t xml:space="preserve"> ».</w:t>
            </w:r>
          </w:p>
        </w:tc>
        <w:tc>
          <w:tcPr>
            <w:tcW w:w="4006" w:type="dxa"/>
          </w:tcPr>
          <w:p w:rsidR="0051744D" w:rsidRDefault="0051744D" w:rsidP="00E3253D">
            <w:pPr>
              <w:pStyle w:val="libFootnote0"/>
              <w:rPr>
                <w:rStyle w:val="libFootnote0Char"/>
                <w:rtl/>
              </w:rPr>
            </w:pPr>
            <w:r w:rsidRPr="0042621E">
              <w:rPr>
                <w:rStyle w:val="libFootnote0Char"/>
                <w:rtl/>
              </w:rPr>
              <w:t>(8).</w:t>
            </w:r>
            <w:r w:rsidRPr="005D642E">
              <w:rPr>
                <w:rtl/>
              </w:rPr>
              <w:t xml:space="preserve"> في « بخ » : « بذا</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ومرآة العقول والبحار </w:t>
      </w:r>
      <w:r w:rsidR="00B60612" w:rsidRPr="00B60612">
        <w:rPr>
          <w:rStyle w:val="libFootnoteBoldChar"/>
          <w:rtl/>
        </w:rPr>
        <w:t>والتهذيب</w:t>
      </w:r>
      <w:r w:rsidR="00E3253D" w:rsidRPr="005D642E">
        <w:rPr>
          <w:rtl/>
        </w:rPr>
        <w:t>. وفي المطبوع : « لصنعته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غ » : « فلم ترد</w:t>
      </w:r>
      <w:r w:rsidR="00E3253D">
        <w:rPr>
          <w:rtl/>
        </w:rPr>
        <w:t xml:space="preserve"> ».</w:t>
      </w:r>
      <w:r w:rsidR="00E3253D" w:rsidRPr="005D642E">
        <w:rPr>
          <w:rtl/>
        </w:rPr>
        <w:t xml:space="preserve"> وفي التهذيب : « ولِمَ تريد</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جح » : « ليشهدهم</w:t>
      </w:r>
      <w:r w:rsidR="00E3253D">
        <w:rPr>
          <w:rtl/>
        </w:rPr>
        <w:t xml:space="preserve"> ».</w:t>
      </w:r>
      <w:r w:rsidR="00E3253D" w:rsidRPr="005D642E">
        <w:rPr>
          <w:rtl/>
        </w:rPr>
        <w:t xml:space="preserve"> وفي « جس » : « يشهدهم</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غ » : « وقال</w:t>
      </w:r>
      <w:r w:rsidR="00E3253D">
        <w:rPr>
          <w:rtl/>
        </w:rPr>
        <w:t xml:space="preserve"> ».</w:t>
      </w:r>
      <w:r w:rsidR="00E3253D" w:rsidRPr="005D642E">
        <w:rPr>
          <w:rtl/>
        </w:rPr>
        <w:t xml:space="preserve"> وفي التهذيب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التهذيب</w:t>
      </w:r>
      <w:r w:rsidR="00E3253D" w:rsidRPr="005D642E">
        <w:rPr>
          <w:rtl/>
        </w:rPr>
        <w:t xml:space="preserve"> ، ج 1 ، ص 320 ، ح 933 ، بسنده عن الكليني </w:t>
      </w:r>
      <w:r w:rsidR="00321F7F">
        <w:rPr>
          <w:rFonts w:hint="cs"/>
          <w:rtl/>
        </w:rPr>
        <w:t>.</w:t>
      </w:r>
      <w:r w:rsidR="00E3253D" w:rsidRPr="002F4D34">
        <w:rPr>
          <w:rStyle w:val="libFootnoteBoldChar"/>
          <w:rtl/>
        </w:rPr>
        <w:t>الوافي</w:t>
      </w:r>
      <w:r w:rsidR="00E3253D" w:rsidRPr="005D642E">
        <w:rPr>
          <w:rtl/>
        </w:rPr>
        <w:t xml:space="preserve"> ، ج 25 ، ص 528 ، ح 24581 ؛ </w:t>
      </w:r>
      <w:r w:rsidR="00E3253D" w:rsidRPr="002F4D34">
        <w:rPr>
          <w:rStyle w:val="libFootnoteBoldChar"/>
          <w:rtl/>
        </w:rPr>
        <w:t>الوسائل</w:t>
      </w:r>
      <w:r w:rsidR="00E3253D" w:rsidRPr="005D642E">
        <w:rPr>
          <w:rtl/>
        </w:rPr>
        <w:t xml:space="preserve"> ، ج 3 ، ص 193 ، ح 3380 ، إلى قوله : « ورشّه بالماء » ؛ </w:t>
      </w:r>
      <w:r w:rsidR="00E3253D" w:rsidRPr="002F4D34">
        <w:rPr>
          <w:rStyle w:val="libFootnoteBoldChar"/>
          <w:rtl/>
        </w:rPr>
        <w:t>البحار</w:t>
      </w:r>
      <w:r w:rsidR="00E3253D" w:rsidRPr="005D642E">
        <w:rPr>
          <w:rtl/>
        </w:rPr>
        <w:t xml:space="preserve"> ، ج 46 ، ص 214 ، ح 9.</w:t>
      </w:r>
    </w:p>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في « بف » : « عنه</w:t>
      </w:r>
      <w:r w:rsidR="00E3253D">
        <w:rPr>
          <w:rtl/>
        </w:rPr>
        <w:t xml:space="preserve"> ».</w:t>
      </w:r>
      <w:r w:rsidR="00E3253D" w:rsidRPr="005D642E">
        <w:rPr>
          <w:rtl/>
        </w:rPr>
        <w:t xml:space="preserve"> وفي « جن » : « عليّ بن إبراهيم</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بث ، بح ، بخ ، بس ، بف ، جس ، جن » </w:t>
      </w:r>
      <w:r w:rsidR="000D749A" w:rsidRPr="000D749A">
        <w:rPr>
          <w:rStyle w:val="libFootnoteBoldChar"/>
          <w:rtl/>
        </w:rPr>
        <w:t>والوافي</w:t>
      </w:r>
      <w:r w:rsidR="00E3253D" w:rsidRPr="005D642E">
        <w:rPr>
          <w:rtl/>
        </w:rPr>
        <w:t xml:space="preserve"> : « بعض أصحابنا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فِي رَشِّ الْمَاءِ عَلَى الْقَبْرِ ، قَالَ : « يَتَجَافى </w:t>
      </w:r>
      <w:r w:rsidRPr="007C12DB">
        <w:rPr>
          <w:rStyle w:val="libFootnotenumChar"/>
          <w:rtl/>
        </w:rPr>
        <w:t>(1)</w:t>
      </w:r>
      <w:r w:rsidRPr="005D642E">
        <w:rPr>
          <w:rtl/>
          <w:lang w:bidi="fa-IR"/>
        </w:rPr>
        <w:t xml:space="preserve"> عَنْهُ الْعَذَابُ مَا دَامَ النَّدى </w:t>
      </w:r>
      <w:r w:rsidRPr="007C12DB">
        <w:rPr>
          <w:rStyle w:val="libFootnotenumChar"/>
          <w:rtl/>
        </w:rPr>
        <w:t>(2)</w:t>
      </w:r>
      <w:r w:rsidRPr="005D642E">
        <w:rPr>
          <w:rtl/>
          <w:lang w:bidi="fa-IR"/>
        </w:rPr>
        <w:t xml:space="preserve"> فِي التُّرَابِ</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6350BD">
        <w:rPr>
          <w:rtl/>
        </w:rPr>
        <w:t>4574</w:t>
      </w:r>
      <w:r w:rsidRPr="00246318">
        <w:rPr>
          <w:rStyle w:val="libBold2Char"/>
          <w:rtl/>
        </w:rPr>
        <w:t xml:space="preserve"> / 7.</w:t>
      </w:r>
      <w:r w:rsidRPr="005D642E">
        <w:rPr>
          <w:rtl/>
          <w:lang w:bidi="fa-IR"/>
        </w:rPr>
        <w:t xml:space="preserve"> عِدَّةٌ مِنْ أَصْحَابِنَا ، عَنْ سَهْلِ بْنِ زِيَادٍ ، عَنْ مُحَمَّدِ بْنِ سِنَانٍ ، عَنْ طَلْحَةَ بْنِ زَيْدٍ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كَانَ رَشُّ الْقَبْرِ </w:t>
      </w:r>
      <w:r w:rsidRPr="007C12DB">
        <w:rPr>
          <w:rStyle w:val="libFootnotenumChar"/>
          <w:rtl/>
        </w:rPr>
        <w:t>(4)</w:t>
      </w:r>
      <w:r w:rsidRPr="005D642E">
        <w:rPr>
          <w:rtl/>
          <w:lang w:bidi="fa-IR"/>
        </w:rPr>
        <w:t xml:space="preserve"> عَلى عَهْدِ رَسُولِ اللهِ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6350BD">
        <w:rPr>
          <w:rtl/>
        </w:rPr>
        <w:t>4575</w:t>
      </w:r>
      <w:r w:rsidRPr="00246318">
        <w:rPr>
          <w:rStyle w:val="libBold2Char"/>
          <w:rtl/>
        </w:rPr>
        <w:t xml:space="preserve"> / 8.</w:t>
      </w:r>
      <w:r w:rsidRPr="005D642E">
        <w:rPr>
          <w:rtl/>
          <w:lang w:bidi="fa-IR"/>
        </w:rPr>
        <w:t xml:space="preserve"> عَلِيُّ بْنُ إِبْرَاهِيمَ ، عَنْ أَبِيهِ ، عَنْ حَمَّادِ بْنِ عِيسى ، عَنْ ح</w:t>
      </w:r>
      <w:r w:rsidR="00EA660E">
        <w:rPr>
          <w:rtl/>
          <w:lang w:bidi="fa-IR"/>
        </w:rPr>
        <w:t>َرِيزٍ ، عَنْ زُرَارَةَ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إِذَا فَرَغْتَ مِنَ الْقَبْرِ فَانْضَحْهُ ، ثُمَّ ضَعْ يَدَكَ عِنْدَ رَأْسِهِ وَتَغْمِزُ كَفَّكَ عَلَيْهِ بَعْدَ النَّضْحِ</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6350BD">
        <w:rPr>
          <w:rtl/>
        </w:rPr>
        <w:t>4576</w:t>
      </w:r>
      <w:r w:rsidRPr="00246318">
        <w:rPr>
          <w:rStyle w:val="libBold2Char"/>
          <w:rtl/>
        </w:rPr>
        <w:t xml:space="preserve"> / 9.</w:t>
      </w:r>
      <w:r w:rsidRPr="005D642E">
        <w:rPr>
          <w:rtl/>
          <w:lang w:bidi="fa-IR"/>
        </w:rPr>
        <w:t xml:space="preserve"> حُمَيْدُ بْنُ زِيَادٍ ، عَنِ الْحَسَنِ بْنِ مُحَمَّدٍ ، عَنْ غَيْرِ وَاحِدٍ ، عَنْ أَبَانٍ ، عَنْ عَبْدِ اللهِ بْنِ عَجْلَانَ ، قَالَ :</w:t>
      </w:r>
    </w:p>
    <w:p w:rsidR="00E3253D" w:rsidRPr="005D642E" w:rsidRDefault="00E3253D" w:rsidP="00E3253D">
      <w:pPr>
        <w:pStyle w:val="libNormal"/>
        <w:rPr>
          <w:rtl/>
          <w:lang w:bidi="fa-IR"/>
        </w:rPr>
      </w:pPr>
      <w:r w:rsidRPr="005D642E">
        <w:rPr>
          <w:rtl/>
          <w:lang w:bidi="fa-IR"/>
        </w:rPr>
        <w:t xml:space="preserve">قَامَ أَبُو جَعْفَرٍ </w:t>
      </w:r>
      <w:r w:rsidRPr="00AC51C5">
        <w:rPr>
          <w:rStyle w:val="libAlaemChar"/>
          <w:rtl/>
        </w:rPr>
        <w:t>عليه‌السلام</w:t>
      </w:r>
      <w:r w:rsidRPr="005D642E">
        <w:rPr>
          <w:rtl/>
          <w:lang w:bidi="fa-IR"/>
        </w:rPr>
        <w:t xml:space="preserve"> عَلى قَبْرِ رَجُلٍ مِنَ الشِّيعَةِ </w:t>
      </w:r>
      <w:r w:rsidRPr="007C12DB">
        <w:rPr>
          <w:rStyle w:val="libFootnotenumChar"/>
          <w:rtl/>
        </w:rPr>
        <w:t>(7)</w:t>
      </w:r>
      <w:r w:rsidRPr="005D642E">
        <w:rPr>
          <w:rtl/>
          <w:lang w:bidi="fa-IR"/>
        </w:rPr>
        <w:t xml:space="preserve"> ، فَقَالَ : « الل</w:t>
      </w:r>
      <w:r w:rsidR="00417F35">
        <w:rPr>
          <w:rFonts w:hint="cs"/>
          <w:rtl/>
          <w:lang w:bidi="fa-IR"/>
        </w:rPr>
        <w:t>ّ</w:t>
      </w:r>
      <w:r w:rsidRPr="005D642E">
        <w:rPr>
          <w:rtl/>
          <w:lang w:bidi="fa-IR"/>
        </w:rPr>
        <w:t xml:space="preserve">هُمَّ صِلْ وَحْدَتَهُ ، وَآنِسْ وَحْشَتَهُ ، وَأَسْكِنْ إِلَيْهِ مِنْ رَحْمَتِكَ </w:t>
      </w:r>
      <w:r w:rsidRPr="007C12DB">
        <w:rPr>
          <w:rStyle w:val="libFootnotenumChar"/>
          <w:rtl/>
        </w:rPr>
        <w:t>(8)</w:t>
      </w:r>
      <w:r w:rsidRPr="005D642E">
        <w:rPr>
          <w:rtl/>
          <w:lang w:bidi="fa-IR"/>
        </w:rPr>
        <w:t xml:space="preserve"> مَا يَسْتَغْنِي بِهَا </w:t>
      </w:r>
      <w:r w:rsidRPr="007C12DB">
        <w:rPr>
          <w:rStyle w:val="libFootnotenumChar"/>
          <w:rtl/>
        </w:rPr>
        <w:t>(9)</w:t>
      </w:r>
      <w:r w:rsidRPr="005D642E">
        <w:rPr>
          <w:rtl/>
          <w:lang w:bidi="fa-IR"/>
        </w:rPr>
        <w:t xml:space="preserve"> عَنْ رَحْمَةِ مَنْ سِوَاكَ</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يتجافى » ، أي يتباعد ، من الجفاء وهو البعد عن الشي‌ء. راجع : </w:t>
      </w:r>
      <w:r w:rsidR="00E3253D" w:rsidRPr="002F4D34">
        <w:rPr>
          <w:rStyle w:val="libFootnoteBoldChar"/>
          <w:rtl/>
        </w:rPr>
        <w:t>النهاية</w:t>
      </w:r>
      <w:r w:rsidR="00E3253D" w:rsidRPr="005D642E">
        <w:rPr>
          <w:rtl/>
        </w:rPr>
        <w:t xml:space="preserve"> ، ج 1 ، ص 280 ( جفا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النَدى » : أصله المطر ، وهو مقصور يطلق لمعان ، من عَرَق ، وطَلّ وهو المطر الخفيف ، والبلل. وقيل : الندى ما سقط آخر الليل ، وأمّا الذي يسقط أوّله فهو السَدَى. والمراد به هنا البلل والرطوبة. راجع : </w:t>
      </w:r>
      <w:r w:rsidR="00E3253D" w:rsidRPr="002F4D34">
        <w:rPr>
          <w:rStyle w:val="libFootnoteBoldChar"/>
          <w:rtl/>
        </w:rPr>
        <w:t>المصباح المنير</w:t>
      </w:r>
      <w:r w:rsidR="00E3253D" w:rsidRPr="005D642E">
        <w:rPr>
          <w:rtl/>
        </w:rPr>
        <w:t xml:space="preserve"> ، ص 589 ( ندا )</w:t>
      </w:r>
      <w:r w:rsidR="00E3253D">
        <w:rPr>
          <w:rtl/>
        </w:rPr>
        <w:t>.</w:t>
      </w:r>
    </w:p>
    <w:p w:rsidR="00E3253D" w:rsidRPr="005D642E" w:rsidRDefault="0042621E" w:rsidP="00417F35">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علل الشرائع</w:t>
      </w:r>
      <w:r w:rsidR="00E3253D" w:rsidRPr="005D642E">
        <w:rPr>
          <w:rtl/>
        </w:rPr>
        <w:t xml:space="preserve"> ، ص 307 ، ح 1 ، بسنده عن ابن أبي عمير </w:t>
      </w:r>
      <w:r w:rsidR="00417F35">
        <w:rPr>
          <w:rFonts w:hint="cs"/>
          <w:rtl/>
        </w:rPr>
        <w:t>.</w:t>
      </w:r>
      <w:r w:rsidR="00E3253D" w:rsidRPr="002F4D34">
        <w:rPr>
          <w:rStyle w:val="libFootnoteBoldChar"/>
          <w:rtl/>
        </w:rPr>
        <w:t>الوافي</w:t>
      </w:r>
      <w:r w:rsidR="00E3253D" w:rsidRPr="005D642E">
        <w:rPr>
          <w:rtl/>
        </w:rPr>
        <w:t xml:space="preserve"> ، ج 25 ، ص 530 ، ح 24584 ؛ </w:t>
      </w:r>
      <w:r w:rsidR="00E3253D" w:rsidRPr="002F4D34">
        <w:rPr>
          <w:rStyle w:val="libFootnoteBoldChar"/>
          <w:rtl/>
        </w:rPr>
        <w:t>الوسائل</w:t>
      </w:r>
      <w:r w:rsidR="00E3253D" w:rsidRPr="005D642E">
        <w:rPr>
          <w:rtl/>
        </w:rPr>
        <w:t xml:space="preserve"> ، ج 3 ، ص 196 ، ح 3389.</w:t>
      </w:r>
      <w:r w:rsidR="00417F35">
        <w:rPr>
          <w:rFonts w:hint="cs"/>
          <w:rtl/>
        </w:rPr>
        <w:t xml:space="preserve">                          </w:t>
      </w:r>
      <w:r w:rsidRPr="0042621E">
        <w:rPr>
          <w:rStyle w:val="libFootnote0Char"/>
          <w:rtl/>
        </w:rPr>
        <w:t>(4).</w:t>
      </w:r>
      <w:r w:rsidR="00E3253D" w:rsidRPr="005D642E">
        <w:rPr>
          <w:rtl/>
        </w:rPr>
        <w:t xml:space="preserve"> في « غ » : « القبور</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قرب الإسناد</w:t>
      </w:r>
      <w:r w:rsidR="00E3253D" w:rsidRPr="005D642E">
        <w:rPr>
          <w:rtl/>
        </w:rPr>
        <w:t xml:space="preserve"> ، ص 147 ، ح 534 ، بسند آخر عن جعفر ، عن أبيه </w:t>
      </w:r>
      <w:r w:rsidR="00E3253D" w:rsidRPr="00417F35">
        <w:rPr>
          <w:rStyle w:val="libFootnoteAlaemChar"/>
          <w:rtl/>
        </w:rPr>
        <w:t>عليهما‌السلام</w:t>
      </w:r>
      <w:r w:rsidR="00E3253D" w:rsidRPr="005D642E">
        <w:rPr>
          <w:rtl/>
        </w:rPr>
        <w:t xml:space="preserve"> ، مع اختلاف يسير وزيادة في آخره </w:t>
      </w:r>
      <w:r w:rsidR="00EE6EDC">
        <w:rPr>
          <w:rFonts w:hint="cs"/>
          <w:rtl/>
        </w:rPr>
        <w:t>.</w:t>
      </w:r>
      <w:r w:rsidR="00E3253D" w:rsidRPr="002F4D34">
        <w:rPr>
          <w:rStyle w:val="libFootnoteBoldChar"/>
          <w:rtl/>
        </w:rPr>
        <w:t>الوافي</w:t>
      </w:r>
      <w:r w:rsidR="00E3253D" w:rsidRPr="005D642E">
        <w:rPr>
          <w:rtl/>
        </w:rPr>
        <w:t xml:space="preserve"> ، ج 25 ، ص 530 ، ح 24585 ؛ </w:t>
      </w:r>
      <w:r w:rsidR="00E3253D" w:rsidRPr="002F4D34">
        <w:rPr>
          <w:rStyle w:val="libFootnoteBoldChar"/>
          <w:rtl/>
        </w:rPr>
        <w:t>الوسائل</w:t>
      </w:r>
      <w:r w:rsidR="00E3253D" w:rsidRPr="005D642E">
        <w:rPr>
          <w:rtl/>
        </w:rPr>
        <w:t xml:space="preserve"> ، ج 3 ، ص 196 ، ح 3390.</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25 ، ص 530 ، ح 24586 ؛ </w:t>
      </w:r>
      <w:r w:rsidR="00E3253D" w:rsidRPr="002F4D34">
        <w:rPr>
          <w:rStyle w:val="libFootnoteBoldChar"/>
          <w:rtl/>
        </w:rPr>
        <w:t>الوسائل</w:t>
      </w:r>
      <w:r w:rsidR="00E3253D" w:rsidRPr="005D642E">
        <w:rPr>
          <w:rtl/>
        </w:rPr>
        <w:t xml:space="preserve"> ، ج 3 ، ص 196 ، ح 3391.</w:t>
      </w:r>
    </w:p>
    <w:tbl>
      <w:tblPr>
        <w:tblStyle w:val="TableGrid"/>
        <w:bidiVisual/>
        <w:tblW w:w="0" w:type="auto"/>
        <w:tblLook w:val="04A0" w:firstRow="1" w:lastRow="0" w:firstColumn="1" w:lastColumn="0" w:noHBand="0" w:noVBand="1"/>
      </w:tblPr>
      <w:tblGrid>
        <w:gridCol w:w="4006"/>
        <w:gridCol w:w="4006"/>
      </w:tblGrid>
      <w:tr w:rsidR="00B4269C" w:rsidTr="00B4269C">
        <w:tc>
          <w:tcPr>
            <w:tcW w:w="4006" w:type="dxa"/>
          </w:tcPr>
          <w:p w:rsidR="00B4269C" w:rsidRDefault="00B4269C" w:rsidP="00E3253D">
            <w:pPr>
              <w:pStyle w:val="libFootnote0"/>
              <w:rPr>
                <w:rStyle w:val="libFootnote0Char"/>
                <w:rtl/>
              </w:rPr>
            </w:pPr>
            <w:r w:rsidRPr="0042621E">
              <w:rPr>
                <w:rStyle w:val="libFootnote0Char"/>
                <w:rtl/>
              </w:rPr>
              <w:t>(7).</w:t>
            </w:r>
            <w:r w:rsidRPr="005D642E">
              <w:rPr>
                <w:rtl/>
              </w:rPr>
              <w:t xml:space="preserve"> في كام</w:t>
            </w:r>
            <w:r>
              <w:rPr>
                <w:rtl/>
              </w:rPr>
              <w:t>ل الزيارات،</w:t>
            </w:r>
            <w:r w:rsidRPr="005D642E">
              <w:rPr>
                <w:rtl/>
              </w:rPr>
              <w:t>ص 322 :</w:t>
            </w:r>
            <w:r>
              <w:rPr>
                <w:rtl/>
              </w:rPr>
              <w:t xml:space="preserve"> - </w:t>
            </w:r>
            <w:r w:rsidRPr="005D642E">
              <w:rPr>
                <w:rtl/>
              </w:rPr>
              <w:t>« من الشيعة</w:t>
            </w:r>
            <w:r>
              <w:rPr>
                <w:rtl/>
              </w:rPr>
              <w:t xml:space="preserve"> ».</w:t>
            </w:r>
          </w:p>
        </w:tc>
        <w:tc>
          <w:tcPr>
            <w:tcW w:w="4006" w:type="dxa"/>
          </w:tcPr>
          <w:p w:rsidR="00B4269C" w:rsidRDefault="007B2487" w:rsidP="00E3253D">
            <w:pPr>
              <w:pStyle w:val="libFootnote0"/>
              <w:rPr>
                <w:rStyle w:val="libFootnote0Char"/>
                <w:rtl/>
              </w:rPr>
            </w:pPr>
            <w:r w:rsidRPr="0042621E">
              <w:rPr>
                <w:rStyle w:val="libFootnote0Char"/>
                <w:rtl/>
              </w:rPr>
              <w:t>(8).</w:t>
            </w:r>
            <w:r w:rsidRPr="005D642E">
              <w:rPr>
                <w:rtl/>
              </w:rPr>
              <w:t xml:space="preserve"> في « بث » : + « رحمة</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بف » وحاشية « بث » </w:t>
      </w:r>
      <w:r w:rsidR="000D749A" w:rsidRPr="000D749A">
        <w:rPr>
          <w:rStyle w:val="libFootnoteBoldChar"/>
          <w:rtl/>
        </w:rPr>
        <w:t>والوافي</w:t>
      </w:r>
      <w:r w:rsidR="00E3253D" w:rsidRPr="005D642E">
        <w:rPr>
          <w:rtl/>
        </w:rPr>
        <w:t xml:space="preserve"> وكامل الزيارات ، ص 322 : « به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كامل الزيارات</w:t>
      </w:r>
      <w:r w:rsidR="00E3253D" w:rsidRPr="005D642E">
        <w:rPr>
          <w:rtl/>
        </w:rPr>
        <w:t xml:space="preserve"> ، ص 322 ، باب 105 ، ح 14 ، بسنده عن ابن عجلان. وفي </w:t>
      </w:r>
      <w:r w:rsidR="00E3253D" w:rsidRPr="002F4D34">
        <w:rPr>
          <w:rStyle w:val="libFootnoteBoldChar"/>
          <w:rtl/>
        </w:rPr>
        <w:t>الكافي</w:t>
      </w:r>
      <w:r w:rsidR="00E3253D" w:rsidRPr="005D642E">
        <w:rPr>
          <w:rtl/>
        </w:rPr>
        <w:t xml:space="preserve"> ، كتاب الجنائز ، باب </w:t>
      </w:r>
      <w:r w:rsidR="000B745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722DE">
        <w:rPr>
          <w:rtl/>
        </w:rPr>
        <w:t>4577</w:t>
      </w:r>
      <w:r w:rsidRPr="00246318">
        <w:rPr>
          <w:rStyle w:val="libBold2Char"/>
          <w:rtl/>
        </w:rPr>
        <w:t xml:space="preserve"> / 10.</w:t>
      </w:r>
      <w:r w:rsidRPr="005D642E">
        <w:rPr>
          <w:rtl/>
          <w:lang w:bidi="fa-IR"/>
        </w:rPr>
        <w:t xml:space="preserve"> أَبَانٌ </w:t>
      </w:r>
      <w:r w:rsidRPr="007C12DB">
        <w:rPr>
          <w:rStyle w:val="libFootnotenumChar"/>
          <w:rtl/>
        </w:rPr>
        <w:t>(1)</w:t>
      </w:r>
      <w:r w:rsidRPr="005D642E">
        <w:rPr>
          <w:rtl/>
          <w:lang w:bidi="fa-IR"/>
        </w:rPr>
        <w:t xml:space="preserve">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يُدْعى لِلْمَيِّتِ حِينَ يُدْخَلُ حُفْرَتَهُ ، وَيُرْفَعُ </w:t>
      </w:r>
      <w:r w:rsidRPr="007C12DB">
        <w:rPr>
          <w:rStyle w:val="libFootnotenumChar"/>
          <w:rtl/>
        </w:rPr>
        <w:t>(2)</w:t>
      </w:r>
      <w:r w:rsidRPr="005D642E">
        <w:rPr>
          <w:rtl/>
          <w:lang w:bidi="fa-IR"/>
        </w:rPr>
        <w:t xml:space="preserve"> الْقَبْرُ فَوْقَ الْأَرْضِ أَرْبَعَ أَصَابِعَ</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E722DE">
        <w:rPr>
          <w:rtl/>
        </w:rPr>
        <w:t>4578</w:t>
      </w:r>
      <w:r w:rsidRPr="00246318">
        <w:rPr>
          <w:rStyle w:val="libBold2Char"/>
          <w:rtl/>
        </w:rPr>
        <w:t xml:space="preserve"> / 11.</w:t>
      </w:r>
      <w:r w:rsidRPr="005D642E">
        <w:rPr>
          <w:rtl/>
          <w:lang w:bidi="fa-IR"/>
        </w:rPr>
        <w:t xml:space="preserve"> مُحَمَّدُ بْنُ يَحْيى ، عَنْ بَعْضِ أَصْحَابِنَا ، عَنْ أَحْمَدَ بْنِ مُحَمَّدِ بْنِ أَبِي نَصْرٍ ، عَنْ إِسْمَاعِيلَ ، قَالَ : حَدّ</w:t>
      </w:r>
      <w:r w:rsidR="001745E9">
        <w:rPr>
          <w:rtl/>
          <w:lang w:bidi="fa-IR"/>
        </w:rPr>
        <w:t>َثَنِي أَبُو الْحَسَنِ الدَّل</w:t>
      </w:r>
      <w:r w:rsidR="001745E9">
        <w:rPr>
          <w:rFonts w:hint="cs"/>
          <w:rtl/>
          <w:lang w:bidi="fa-IR"/>
        </w:rPr>
        <w:t>َّ</w:t>
      </w:r>
      <w:r w:rsidR="001745E9">
        <w:rPr>
          <w:rtl/>
          <w:lang w:bidi="fa-IR"/>
        </w:rPr>
        <w:t>ا</w:t>
      </w:r>
      <w:r w:rsidRPr="005D642E">
        <w:rPr>
          <w:rtl/>
          <w:lang w:bidi="fa-IR"/>
        </w:rPr>
        <w:t>لُ ، عَنْ يَحْيَى بْنِ عَبْدِ اللهِ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مَا عَلى أَهْلِ الْمَيِّتِ مِنْكُمْ أَنْ يَدْرَؤُوا عَنْ مَيِّتِهِمْ لِقَاءَ مُنْكَرٍ وَنَكِيرٍ</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 كَيْفَ يُصْنَعُ </w:t>
      </w:r>
      <w:r w:rsidRPr="007C12DB">
        <w:rPr>
          <w:rStyle w:val="libFootnotenumChar"/>
          <w:rtl/>
        </w:rPr>
        <w:t>(4)</w:t>
      </w:r>
      <w:r>
        <w:rPr>
          <w:rtl/>
          <w:lang w:bidi="fa-IR"/>
        </w:rPr>
        <w:t>؟</w:t>
      </w:r>
    </w:p>
    <w:p w:rsidR="00E3253D" w:rsidRPr="005D642E" w:rsidRDefault="00E3253D" w:rsidP="00E3253D">
      <w:pPr>
        <w:pStyle w:val="libNormal"/>
        <w:rPr>
          <w:rtl/>
          <w:lang w:bidi="fa-IR"/>
        </w:rPr>
      </w:pPr>
      <w:r w:rsidRPr="005D642E">
        <w:rPr>
          <w:rtl/>
          <w:lang w:bidi="fa-IR"/>
        </w:rPr>
        <w:t xml:space="preserve">قَالَ : « إِذَا أُفْرِدَ الْمَيِّتُ ، فَلْيَتَخَلَّفْ عِنْدَهُ أَوْلَى النَّاسِ بِهِ ، فَيَضَعُ فَمَهُ عِنْدَ رَأْسِهِ ، ثُمَّ يُنَادِي بِأَعْلى صَوْتِهِ : يَا فُلَانَ بْنَ فُلَانٍ ، أَوْ يَا فُلَانَةَ بِنْتَ فُلَانٍ </w:t>
      </w:r>
      <w:r w:rsidRPr="007C12DB">
        <w:rPr>
          <w:rStyle w:val="libFootnotenumChar"/>
          <w:rtl/>
        </w:rPr>
        <w:t>(5)</w:t>
      </w:r>
      <w:r w:rsidRPr="005D642E">
        <w:rPr>
          <w:rtl/>
          <w:lang w:bidi="fa-IR"/>
        </w:rPr>
        <w:t xml:space="preserve"> ، هَلْ أَنْتَ عَلَى الْعَهْدِ الَّذِي فَارَقْتَنَا عَلَيْهِ مِنْ شَهَادَةِ أَنْ لَا</w:t>
      </w:r>
      <w:r>
        <w:rPr>
          <w:rFonts w:hint="cs"/>
          <w:rtl/>
          <w:lang w:bidi="fa-IR"/>
        </w:rPr>
        <w:t xml:space="preserve"> </w:t>
      </w:r>
      <w:r w:rsidR="00AD5E12">
        <w:rPr>
          <w:rtl/>
          <w:lang w:bidi="fa-IR"/>
        </w:rPr>
        <w:t>إِلهَ إِل</w:t>
      </w:r>
      <w:r w:rsidR="00AD5E12">
        <w:rPr>
          <w:rFonts w:hint="cs"/>
          <w:rtl/>
          <w:lang w:bidi="fa-IR"/>
        </w:rPr>
        <w:t>َّ</w:t>
      </w:r>
      <w:r w:rsidR="00AD5E12">
        <w:rPr>
          <w:rtl/>
          <w:lang w:bidi="fa-IR"/>
        </w:rPr>
        <w:t>ا</w:t>
      </w:r>
      <w:r w:rsidRPr="005D642E">
        <w:rPr>
          <w:rtl/>
          <w:lang w:bidi="fa-IR"/>
        </w:rPr>
        <w:t xml:space="preserve"> اللهُ وَحْدَهُ لَاشَرِيكَ لَهُ ، وَأَنَّ مُحَمَّداً عَبْدُهُ وَرَسُولُهُ سَيِّدُ النَّبِيِّينَ ، وَأَنَّ عَلِيّاً أَمِيرَ الْمُؤْمِنِينَ </w:t>
      </w:r>
      <w:r w:rsidRPr="007C12DB">
        <w:rPr>
          <w:rStyle w:val="libFootnotenumChar"/>
          <w:rtl/>
        </w:rPr>
        <w:t>(6)</w:t>
      </w:r>
      <w:r w:rsidRPr="005D642E">
        <w:rPr>
          <w:rtl/>
          <w:lang w:bidi="fa-IR"/>
        </w:rPr>
        <w:t xml:space="preserve"> سَيِّدُ </w:t>
      </w:r>
      <w:r w:rsidRPr="007C12DB">
        <w:rPr>
          <w:rStyle w:val="libFootnotenumChar"/>
          <w:rtl/>
        </w:rPr>
        <w:t>(7)</w:t>
      </w:r>
      <w:r w:rsidRPr="005D642E">
        <w:rPr>
          <w:rtl/>
          <w:lang w:bidi="fa-IR"/>
        </w:rPr>
        <w:t xml:space="preserve"> الْوَصِيِّينَ ، وَأَنَّ مَا جَاءَ بِهِ مُحَمَّدٌ </w:t>
      </w:r>
      <w:r w:rsidR="0042621E" w:rsidRPr="0042621E">
        <w:rPr>
          <w:rStyle w:val="libAlaemChar"/>
          <w:rtl/>
        </w:rPr>
        <w:t>صلى‌الله‌عليه‌وآله</w:t>
      </w:r>
      <w:r w:rsidRPr="005D642E">
        <w:rPr>
          <w:rtl/>
          <w:lang w:bidi="fa-IR"/>
        </w:rPr>
        <w:t xml:space="preserve"> حَقٌّ ، وَأَنَّ الْمَوْتَ حَقٌّ ، وَأَنَّ الْبَعْثَ حَقٌّ ، وَأَنَّ اللهَ يَبْعَثُ مَنْ فِي الْقُبُورِ</w:t>
      </w:r>
      <w:r>
        <w:rPr>
          <w:rtl/>
          <w:lang w:bidi="fa-IR"/>
        </w:rPr>
        <w:t>؟</w:t>
      </w:r>
      <w:r w:rsidRPr="005D642E">
        <w:rPr>
          <w:rtl/>
          <w:lang w:bidi="fa-IR"/>
        </w:rPr>
        <w:t xml:space="preserve"> » قَالَ : « فَيَقُولُ مُنْكَرٌ لِنَكِيرٍ : انْصَرِفْ بِنَا عَنْ هذَا ؛ فَقَدْ لُقِّنَ حُجَّتَهُ</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D36847" w:rsidP="00E3253D">
      <w:pPr>
        <w:pStyle w:val="libFootnote0"/>
        <w:rPr>
          <w:rtl/>
          <w:lang w:bidi="fa-IR"/>
        </w:rPr>
      </w:pPr>
      <w:r>
        <w:rPr>
          <w:rFonts w:hint="cs"/>
          <w:rtl/>
        </w:rPr>
        <w:t xml:space="preserve">= </w:t>
      </w:r>
      <w:r w:rsidR="00E3253D" w:rsidRPr="005D642E">
        <w:rPr>
          <w:rtl/>
        </w:rPr>
        <w:t xml:space="preserve">زيارة القبور ، ح 4681 ؛ </w:t>
      </w:r>
      <w:r w:rsidR="00B60612" w:rsidRPr="00B60612">
        <w:rPr>
          <w:rStyle w:val="libFootnoteBoldChar"/>
          <w:rtl/>
        </w:rPr>
        <w:t>والتهذيب</w:t>
      </w:r>
      <w:r w:rsidR="00E3253D" w:rsidRPr="002F4D34">
        <w:rPr>
          <w:rStyle w:val="libFootnoteBoldChar"/>
          <w:rtl/>
        </w:rPr>
        <w:t xml:space="preserve"> </w:t>
      </w:r>
      <w:r w:rsidR="00E3253D" w:rsidRPr="005D642E">
        <w:rPr>
          <w:rtl/>
        </w:rPr>
        <w:t>، ج 6 ، ص 105 ، ح 183 ؛ و</w:t>
      </w:r>
      <w:r w:rsidR="00E3253D" w:rsidRPr="002F4D34">
        <w:rPr>
          <w:rStyle w:val="libFootnoteBoldChar"/>
          <w:rtl/>
        </w:rPr>
        <w:t>كامل الزيارات</w:t>
      </w:r>
      <w:r w:rsidR="00E3253D" w:rsidRPr="005D642E">
        <w:rPr>
          <w:rtl/>
        </w:rPr>
        <w:t xml:space="preserve"> ، ص 321 ، باب 105 ، ح 10 ، بسند آخر ، مع اختلاف يسير </w:t>
      </w:r>
      <w:r>
        <w:rPr>
          <w:rFonts w:hint="cs"/>
          <w:rtl/>
        </w:rPr>
        <w:t>.</w:t>
      </w:r>
      <w:r w:rsidR="00E3253D" w:rsidRPr="002F4D34">
        <w:rPr>
          <w:rStyle w:val="libFootnoteBoldChar"/>
          <w:rtl/>
        </w:rPr>
        <w:t>الوافي</w:t>
      </w:r>
      <w:r w:rsidR="00E3253D" w:rsidRPr="005D642E">
        <w:rPr>
          <w:rtl/>
        </w:rPr>
        <w:t xml:space="preserve"> ، ج 25 ، ص 580 ، ح 24715 ؛ </w:t>
      </w:r>
      <w:r w:rsidR="00E3253D" w:rsidRPr="002F4D34">
        <w:rPr>
          <w:rStyle w:val="libFootnoteBoldChar"/>
          <w:rtl/>
        </w:rPr>
        <w:t>الوسائل</w:t>
      </w:r>
      <w:r w:rsidR="00E3253D" w:rsidRPr="005D642E">
        <w:rPr>
          <w:rtl/>
        </w:rPr>
        <w:t xml:space="preserve"> ، ج 3 ، ص 199 ، ح 3999.</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أبان ، حميد بن زياد عن الحسن بن محمّد ، عن غير واحدٍ.</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 « يرفع » بدون الواو.</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25 ، ص 527 ، ح 24577 ؛ </w:t>
      </w:r>
      <w:r w:rsidR="00E3253D" w:rsidRPr="002F4D34">
        <w:rPr>
          <w:rStyle w:val="libFootnoteBoldChar"/>
          <w:rtl/>
        </w:rPr>
        <w:t>الوسائل</w:t>
      </w:r>
      <w:r w:rsidR="00E3253D" w:rsidRPr="005D642E">
        <w:rPr>
          <w:rtl/>
        </w:rPr>
        <w:t xml:space="preserve"> ، ج 3 ، ص 192 ، ح 3376.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 + « به</w:t>
      </w:r>
      <w:r w:rsidR="00E3253D">
        <w:rPr>
          <w:rtl/>
        </w:rPr>
        <w:t xml:space="preserve"> ».</w:t>
      </w:r>
      <w:r w:rsidR="00E3253D" w:rsidRPr="005D642E">
        <w:rPr>
          <w:rtl/>
        </w:rPr>
        <w:t xml:space="preserve"> وفي التهذيب </w:t>
      </w:r>
      <w:r w:rsidR="009E68BB" w:rsidRPr="009E68BB">
        <w:rPr>
          <w:rStyle w:val="libFootnoteBoldChar"/>
          <w:rtl/>
        </w:rPr>
        <w:t>وتحف العقول</w:t>
      </w:r>
      <w:r w:rsidR="00E3253D" w:rsidRPr="005D642E">
        <w:rPr>
          <w:rtl/>
        </w:rPr>
        <w:t xml:space="preserve"> : « نصنع</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36847" w:rsidTr="00D36847">
        <w:tc>
          <w:tcPr>
            <w:tcW w:w="4006" w:type="dxa"/>
          </w:tcPr>
          <w:p w:rsidR="00D36847" w:rsidRDefault="00D36847" w:rsidP="00E3253D">
            <w:pPr>
              <w:pStyle w:val="libFootnote0"/>
              <w:rPr>
                <w:rStyle w:val="libFootnote0Char"/>
                <w:rtl/>
              </w:rPr>
            </w:pPr>
            <w:r w:rsidRPr="0042621E">
              <w:rPr>
                <w:rStyle w:val="libFootnote0Char"/>
                <w:rtl/>
              </w:rPr>
              <w:t>(5).</w:t>
            </w:r>
            <w:r w:rsidRPr="005D642E">
              <w:rPr>
                <w:rtl/>
              </w:rPr>
              <w:t xml:space="preserve"> في « غ ، بح » </w:t>
            </w:r>
            <w:r w:rsidRPr="009E68BB">
              <w:rPr>
                <w:rStyle w:val="libFootnoteBoldChar"/>
                <w:rtl/>
              </w:rPr>
              <w:t>وتحف العقول</w:t>
            </w:r>
            <w:r w:rsidRPr="005D642E">
              <w:rPr>
                <w:rtl/>
              </w:rPr>
              <w:t xml:space="preserve"> : « فلانة</w:t>
            </w:r>
            <w:r>
              <w:rPr>
                <w:rtl/>
              </w:rPr>
              <w:t xml:space="preserve"> ».</w:t>
            </w:r>
          </w:p>
        </w:tc>
        <w:tc>
          <w:tcPr>
            <w:tcW w:w="4006" w:type="dxa"/>
          </w:tcPr>
          <w:p w:rsidR="00D36847" w:rsidRDefault="00D36847" w:rsidP="00E3253D">
            <w:pPr>
              <w:pStyle w:val="libFootnote0"/>
              <w:rPr>
                <w:rStyle w:val="libFootnote0Char"/>
                <w:rtl/>
              </w:rPr>
            </w:pPr>
            <w:r w:rsidRPr="0042621E">
              <w:rPr>
                <w:rStyle w:val="libFootnote0Char"/>
                <w:rtl/>
              </w:rPr>
              <w:t>(6).</w:t>
            </w:r>
            <w:r w:rsidRPr="005D642E">
              <w:rPr>
                <w:rtl/>
              </w:rPr>
              <w:t xml:space="preserve"> في « بخ » :</w:t>
            </w:r>
            <w:r>
              <w:rPr>
                <w:rtl/>
              </w:rPr>
              <w:t xml:space="preserve"> - </w:t>
            </w:r>
            <w:r w:rsidRPr="005D642E">
              <w:rPr>
                <w:rtl/>
              </w:rPr>
              <w:t>« أميرالمؤمنين</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جميع النسخ التي قوبلت. وفي المطبوع : « وسيّد</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321 ، ح 935 ، بسنده عن محمّد بن يحيى ، عن محمّد بن أحمد بن يحيى ، عن أبي عبدالله </w:t>
      </w:r>
      <w:r w:rsidR="00D17C5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461" w:name="_Toc344647365"/>
      <w:bookmarkStart w:id="462" w:name="_Toc462226879"/>
      <w:bookmarkStart w:id="463" w:name="_Toc40975987"/>
      <w:r w:rsidRPr="005D642E">
        <w:rPr>
          <w:rtl/>
          <w:lang w:bidi="fa-IR"/>
        </w:rPr>
        <w:t>68</w:t>
      </w:r>
      <w:r>
        <w:rPr>
          <w:rtl/>
          <w:lang w:bidi="fa-IR"/>
        </w:rPr>
        <w:t xml:space="preserve"> </w:t>
      </w:r>
      <w:r w:rsidR="007642BC">
        <w:rPr>
          <w:rtl/>
          <w:lang w:bidi="fa-IR"/>
        </w:rPr>
        <w:t>-</w:t>
      </w:r>
      <w:r>
        <w:rPr>
          <w:rtl/>
          <w:lang w:bidi="fa-IR"/>
        </w:rPr>
        <w:t xml:space="preserve"> </w:t>
      </w:r>
      <w:r w:rsidRPr="005D642E">
        <w:rPr>
          <w:rtl/>
          <w:lang w:bidi="fa-IR"/>
        </w:rPr>
        <w:t>بَابُ تَطْيِينِ الْقَبْرِ وَتَجْصِيصِهِ‌</w:t>
      </w:r>
      <w:bookmarkEnd w:id="461"/>
      <w:bookmarkEnd w:id="462"/>
      <w:bookmarkEnd w:id="463"/>
    </w:p>
    <w:p w:rsidR="00E3253D" w:rsidRPr="005D642E" w:rsidRDefault="00E3253D" w:rsidP="00E3253D">
      <w:pPr>
        <w:pStyle w:val="libNormal"/>
        <w:rPr>
          <w:rtl/>
          <w:lang w:bidi="fa-IR"/>
        </w:rPr>
      </w:pPr>
      <w:r w:rsidRPr="00E722DE">
        <w:rPr>
          <w:rtl/>
        </w:rPr>
        <w:t>4579</w:t>
      </w:r>
      <w:r w:rsidRPr="00246318">
        <w:rPr>
          <w:rStyle w:val="libBold2Char"/>
          <w:rtl/>
        </w:rPr>
        <w:t xml:space="preserve"> / 1.</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تُطَيِّنُوا الْقَبْرَ </w:t>
      </w:r>
      <w:r w:rsidRPr="007C12DB">
        <w:rPr>
          <w:rStyle w:val="libFootnotenumChar"/>
          <w:rtl/>
        </w:rPr>
        <w:t>(1)</w:t>
      </w:r>
      <w:r w:rsidRPr="005D642E">
        <w:rPr>
          <w:rtl/>
          <w:lang w:bidi="fa-IR"/>
        </w:rPr>
        <w:t xml:space="preserve"> مِنْ غَيْرِ </w:t>
      </w:r>
      <w:r w:rsidRPr="007C12DB">
        <w:rPr>
          <w:rStyle w:val="libFootnotenumChar"/>
          <w:rtl/>
        </w:rPr>
        <w:t>(2)</w:t>
      </w:r>
      <w:r w:rsidRPr="005D642E">
        <w:rPr>
          <w:rtl/>
          <w:lang w:bidi="fa-IR"/>
        </w:rPr>
        <w:t xml:space="preserve"> طِينِهِ</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E722DE">
        <w:rPr>
          <w:rtl/>
        </w:rPr>
        <w:t>4580</w:t>
      </w:r>
      <w:r w:rsidRPr="00246318">
        <w:rPr>
          <w:rStyle w:val="libBold2Char"/>
          <w:rtl/>
        </w:rPr>
        <w:t xml:space="preserve"> / 2.</w:t>
      </w:r>
      <w:r w:rsidRPr="005D642E">
        <w:rPr>
          <w:rtl/>
          <w:lang w:bidi="fa-IR"/>
        </w:rPr>
        <w:t xml:space="preserve"> حُمَيْدُ بْنُ زِيَادٍ ، عَنِ الْحَسَنِ </w:t>
      </w:r>
      <w:r w:rsidRPr="007C12DB">
        <w:rPr>
          <w:rStyle w:val="libFootnotenumChar"/>
          <w:rtl/>
        </w:rPr>
        <w:t>(4)</w:t>
      </w:r>
      <w:r w:rsidRPr="005D642E">
        <w:rPr>
          <w:rtl/>
          <w:lang w:bidi="fa-IR"/>
        </w:rPr>
        <w:t xml:space="preserve"> بْنِ مُحَمَّدٍ ، عَنْ غَيْرِ وَاحِدٍ ، عَنْ أَبَانٍ </w:t>
      </w:r>
      <w:r w:rsidRPr="007C12DB">
        <w:rPr>
          <w:rStyle w:val="libFootnotenumChar"/>
          <w:rtl/>
        </w:rPr>
        <w:t>(5)</w:t>
      </w:r>
      <w:r w:rsidRPr="005D642E">
        <w:rPr>
          <w:rtl/>
          <w:lang w:bidi="fa-IR"/>
        </w:rPr>
        <w:t xml:space="preserve">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قَبْرُ رَسُولِ اللهِ </w:t>
      </w:r>
      <w:r w:rsidR="0042621E" w:rsidRPr="0042621E">
        <w:rPr>
          <w:rStyle w:val="libAlaemChar"/>
          <w:rtl/>
        </w:rPr>
        <w:t>صلى‌الله‌عليه‌وآله</w:t>
      </w:r>
      <w:r w:rsidRPr="005D642E">
        <w:rPr>
          <w:rtl/>
          <w:lang w:bidi="fa-IR"/>
        </w:rPr>
        <w:t xml:space="preserve"> مُحَصَّبٌ </w:t>
      </w:r>
      <w:r w:rsidRPr="007C12DB">
        <w:rPr>
          <w:rStyle w:val="libFootnotenumChar"/>
          <w:rtl/>
        </w:rPr>
        <w:t>(6)</w:t>
      </w:r>
      <w:r w:rsidRPr="005D642E">
        <w:rPr>
          <w:rtl/>
          <w:lang w:bidi="fa-IR"/>
        </w:rPr>
        <w:t xml:space="preserve"> حَصْبَاءَ </w:t>
      </w:r>
      <w:r w:rsidRPr="007C12DB">
        <w:rPr>
          <w:rStyle w:val="libFootnotenumChar"/>
          <w:rtl/>
        </w:rPr>
        <w:t>(7)</w:t>
      </w:r>
      <w:r w:rsidRPr="005D642E">
        <w:rPr>
          <w:rtl/>
          <w:lang w:bidi="fa-IR"/>
        </w:rPr>
        <w:t xml:space="preserve"> حَمْرَاءَ</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D971E3" w:rsidP="00E3253D">
      <w:pPr>
        <w:pStyle w:val="libFootnote0"/>
        <w:rPr>
          <w:rtl/>
          <w:lang w:bidi="fa-IR"/>
        </w:rPr>
      </w:pPr>
      <w:r>
        <w:rPr>
          <w:rFonts w:hint="cs"/>
          <w:rtl/>
        </w:rPr>
        <w:t xml:space="preserve">= </w:t>
      </w:r>
      <w:r w:rsidR="00E3253D" w:rsidRPr="005D642E">
        <w:rPr>
          <w:rtl/>
        </w:rPr>
        <w:t xml:space="preserve">الرازي ، عن أحمد بن محمّد بن أبي نصر. </w:t>
      </w:r>
      <w:r w:rsidR="00E3253D" w:rsidRPr="002F4D34">
        <w:rPr>
          <w:rStyle w:val="libFootnoteBoldChar"/>
          <w:rtl/>
        </w:rPr>
        <w:t>الفقيه</w:t>
      </w:r>
      <w:r w:rsidR="00E3253D" w:rsidRPr="005D642E">
        <w:rPr>
          <w:rtl/>
        </w:rPr>
        <w:t xml:space="preserve"> ، ج 1 ، ص 173 ، ح 501 ، معلّقاً عن يحيى بن عبدالله ، وفيهما مع اختلاف يسير. </w:t>
      </w:r>
      <w:r w:rsidR="00E3253D" w:rsidRPr="002F4D34">
        <w:rPr>
          <w:rStyle w:val="libFootnoteBoldChar"/>
          <w:rtl/>
        </w:rPr>
        <w:t>التهذيب</w:t>
      </w:r>
      <w:r w:rsidR="00E3253D" w:rsidRPr="005D642E">
        <w:rPr>
          <w:rtl/>
        </w:rPr>
        <w:t xml:space="preserve"> ، ج 1 ، ص 459 ، ح 1496 ، بسند آخر ومع اختلاف. وراجع : </w:t>
      </w:r>
      <w:r w:rsidR="00E3253D" w:rsidRPr="002F4D34">
        <w:rPr>
          <w:rStyle w:val="libFootnoteBoldChar"/>
          <w:rtl/>
        </w:rPr>
        <w:t>علل الشرائع</w:t>
      </w:r>
      <w:r w:rsidR="00E3253D" w:rsidRPr="005D642E">
        <w:rPr>
          <w:rtl/>
        </w:rPr>
        <w:t xml:space="preserve"> ، ج 1 ، ص 308 ، ح 1 </w:t>
      </w:r>
      <w:r w:rsidR="003B4A10">
        <w:rPr>
          <w:rFonts w:hint="cs"/>
          <w:rtl/>
        </w:rPr>
        <w:t>.</w:t>
      </w:r>
      <w:r w:rsidR="00E3253D" w:rsidRPr="002F4D34">
        <w:rPr>
          <w:rStyle w:val="libFootnoteBoldChar"/>
          <w:rtl/>
        </w:rPr>
        <w:t>الوافي</w:t>
      </w:r>
      <w:r w:rsidR="00E3253D" w:rsidRPr="005D642E">
        <w:rPr>
          <w:rtl/>
        </w:rPr>
        <w:t xml:space="preserve"> ، ج 25 ، ص 531 ، ح 24591 ؛ </w:t>
      </w:r>
      <w:r w:rsidR="00E3253D" w:rsidRPr="002F4D34">
        <w:rPr>
          <w:rStyle w:val="libFootnoteBoldChar"/>
          <w:rtl/>
        </w:rPr>
        <w:t>الوسائل</w:t>
      </w:r>
      <w:r w:rsidR="00E3253D" w:rsidRPr="005D642E">
        <w:rPr>
          <w:rtl/>
        </w:rPr>
        <w:t xml:space="preserve"> ، ج 3 ، ص 200 ، ذيل ح 3403.</w:t>
      </w:r>
    </w:p>
    <w:tbl>
      <w:tblPr>
        <w:tblStyle w:val="TableGrid"/>
        <w:bidiVisual/>
        <w:tblW w:w="0" w:type="auto"/>
        <w:tblLook w:val="04A0" w:firstRow="1" w:lastRow="0" w:firstColumn="1" w:lastColumn="0" w:noHBand="0" w:noVBand="1"/>
      </w:tblPr>
      <w:tblGrid>
        <w:gridCol w:w="4006"/>
        <w:gridCol w:w="4006"/>
      </w:tblGrid>
      <w:tr w:rsidR="003B4A10" w:rsidTr="003B4A10">
        <w:tc>
          <w:tcPr>
            <w:tcW w:w="4006" w:type="dxa"/>
          </w:tcPr>
          <w:p w:rsidR="003B4A10" w:rsidRDefault="003B4A10" w:rsidP="00E3253D">
            <w:pPr>
              <w:pStyle w:val="libFootnote0"/>
              <w:rPr>
                <w:rStyle w:val="libFootnote0Char"/>
                <w:rtl/>
              </w:rPr>
            </w:pPr>
            <w:r w:rsidRPr="0042621E">
              <w:rPr>
                <w:rStyle w:val="libFootnote0Char"/>
                <w:rtl/>
              </w:rPr>
              <w:t>(1).</w:t>
            </w:r>
            <w:r>
              <w:rPr>
                <w:rtl/>
              </w:rPr>
              <w:t xml:space="preserve"> </w:t>
            </w:r>
            <w:r w:rsidRPr="005D642E">
              <w:rPr>
                <w:rtl/>
              </w:rPr>
              <w:t>في « ى ، بح ، بس ، جن » : « القبور</w:t>
            </w:r>
            <w:r>
              <w:rPr>
                <w:rtl/>
              </w:rPr>
              <w:t xml:space="preserve"> ».</w:t>
            </w:r>
          </w:p>
        </w:tc>
        <w:tc>
          <w:tcPr>
            <w:tcW w:w="4006" w:type="dxa"/>
          </w:tcPr>
          <w:p w:rsidR="003B4A10" w:rsidRDefault="003B4A10" w:rsidP="00E3253D">
            <w:pPr>
              <w:pStyle w:val="libFootnote0"/>
              <w:rPr>
                <w:rStyle w:val="libFootnote0Char"/>
                <w:rtl/>
              </w:rPr>
            </w:pPr>
            <w:r w:rsidRPr="0042621E">
              <w:rPr>
                <w:rStyle w:val="libFootnote0Char"/>
                <w:rtl/>
              </w:rPr>
              <w:t>(2).</w:t>
            </w:r>
            <w:r w:rsidRPr="005D642E">
              <w:rPr>
                <w:rtl/>
              </w:rPr>
              <w:t xml:space="preserve"> في « غ » : « بغير</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460 ، ص 1499 ، معلّقاً عن عليّ بن إبراهيم. وراجع : </w:t>
      </w:r>
      <w:r w:rsidR="00E3253D" w:rsidRPr="002F4D34">
        <w:rPr>
          <w:rStyle w:val="libFootnoteBoldChar"/>
          <w:rtl/>
        </w:rPr>
        <w:t>الفقيه</w:t>
      </w:r>
      <w:r w:rsidR="00E3253D" w:rsidRPr="005D642E">
        <w:rPr>
          <w:rtl/>
        </w:rPr>
        <w:t xml:space="preserve"> ، ج 1 ، ص 189 ، ح 576 </w:t>
      </w:r>
      <w:r w:rsidR="00A53412">
        <w:rPr>
          <w:rFonts w:hint="cs"/>
          <w:rtl/>
        </w:rPr>
        <w:t>.</w:t>
      </w:r>
      <w:r w:rsidR="00E3253D" w:rsidRPr="002F4D34">
        <w:rPr>
          <w:rStyle w:val="libFootnoteBoldChar"/>
          <w:rtl/>
        </w:rPr>
        <w:t>الوافي</w:t>
      </w:r>
      <w:r w:rsidR="00E3253D" w:rsidRPr="005D642E">
        <w:rPr>
          <w:rtl/>
        </w:rPr>
        <w:t xml:space="preserve"> ، ج 25 ، ص 532 ، ح 24593 ؛ </w:t>
      </w:r>
      <w:r w:rsidR="00E3253D" w:rsidRPr="002F4D34">
        <w:rPr>
          <w:rStyle w:val="libFootnoteBoldChar"/>
          <w:rtl/>
        </w:rPr>
        <w:t>الوسائل</w:t>
      </w:r>
      <w:r w:rsidR="00E3253D" w:rsidRPr="005D642E">
        <w:rPr>
          <w:rtl/>
        </w:rPr>
        <w:t xml:space="preserve"> ، ج 3 ، ص 202 ، ح 3407.</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النسخ : « الحسين</w:t>
      </w:r>
      <w:r w:rsidR="00E3253D">
        <w:rPr>
          <w:rtl/>
        </w:rPr>
        <w:t xml:space="preserve"> ».</w:t>
      </w:r>
      <w:r w:rsidR="00E3253D" w:rsidRPr="005D642E">
        <w:rPr>
          <w:rtl/>
        </w:rPr>
        <w:t xml:space="preserve"> وهو سهو ، والمراد من ابن محمّد هذا ، هوالحسن بن محمّد بن سماعة ؛ فقد روى‌حميد بن زياد كتاب ابن سماعة هذا ، وأكثر من الرواية عنه في الأسناد. راجع : </w:t>
      </w:r>
      <w:r w:rsidR="00E3253D" w:rsidRPr="002F4D34">
        <w:rPr>
          <w:rStyle w:val="libFootnoteBoldChar"/>
          <w:rtl/>
        </w:rPr>
        <w:t>رجال النجاشي</w:t>
      </w:r>
      <w:r w:rsidR="00E3253D" w:rsidRPr="005D642E">
        <w:rPr>
          <w:rtl/>
        </w:rPr>
        <w:t xml:space="preserve"> ، ص 84 ، الرقم 40 ؛ </w:t>
      </w:r>
      <w:r w:rsidR="00E3253D" w:rsidRPr="002F4D34">
        <w:rPr>
          <w:rStyle w:val="libFootnoteBoldChar"/>
          <w:rtl/>
        </w:rPr>
        <w:t>معجم رجال الحديث</w:t>
      </w:r>
      <w:r w:rsidR="00E3253D" w:rsidRPr="005D642E">
        <w:rPr>
          <w:rtl/>
        </w:rPr>
        <w:t xml:space="preserve"> ، ج 6 ، ص 289.</w:t>
      </w:r>
    </w:p>
    <w:p w:rsidR="00E3253D" w:rsidRPr="005D642E" w:rsidRDefault="00E3253D" w:rsidP="00E3253D">
      <w:pPr>
        <w:pStyle w:val="libFootnote0"/>
        <w:rPr>
          <w:rtl/>
          <w:lang w:bidi="fa-IR"/>
        </w:rPr>
      </w:pPr>
      <w:r w:rsidRPr="00B60612">
        <w:rPr>
          <w:rtl/>
        </w:rPr>
        <w:t xml:space="preserve">ويؤيّد ذلك ما ورد في </w:t>
      </w:r>
      <w:r w:rsidRPr="002F4D34">
        <w:rPr>
          <w:rStyle w:val="libFootnoteBoldChar"/>
          <w:rtl/>
        </w:rPr>
        <w:t>الوسائل</w:t>
      </w:r>
      <w:r w:rsidRPr="00B60612">
        <w:rPr>
          <w:rtl/>
        </w:rPr>
        <w:t xml:space="preserve"> ، ج 3 ، ص 203 ، ح 3409 ؛ و</w:t>
      </w:r>
      <w:r w:rsidRPr="002F4D34">
        <w:rPr>
          <w:rStyle w:val="libFootnoteBoldChar"/>
          <w:rtl/>
        </w:rPr>
        <w:t>البحار</w:t>
      </w:r>
      <w:r w:rsidRPr="00B60612">
        <w:rPr>
          <w:rtl/>
        </w:rPr>
        <w:t xml:space="preserve"> ، ج 22 ، ص 539 ، ح 44 </w:t>
      </w:r>
      <w:r w:rsidR="007642BC" w:rsidRPr="00B60612">
        <w:rPr>
          <w:rtl/>
        </w:rPr>
        <w:t>-</w:t>
      </w:r>
      <w:r w:rsidRPr="00B60612">
        <w:rPr>
          <w:rtl/>
        </w:rPr>
        <w:t xml:space="preserve"> ناقلين من </w:t>
      </w:r>
      <w:r w:rsidRPr="002F4D34">
        <w:rPr>
          <w:rStyle w:val="libFootnoteBoldChar"/>
          <w:rtl/>
        </w:rPr>
        <w:t>الكافي</w:t>
      </w:r>
      <w:r w:rsidRPr="00B60612">
        <w:rPr>
          <w:rtl/>
        </w:rPr>
        <w:t xml:space="preserve"> </w:t>
      </w:r>
      <w:r w:rsidR="007642BC" w:rsidRPr="00B60612">
        <w:rPr>
          <w:rtl/>
        </w:rPr>
        <w:t>-</w:t>
      </w:r>
      <w:r w:rsidRPr="00B60612">
        <w:rPr>
          <w:rtl/>
        </w:rPr>
        <w:t xml:space="preserve"> من « الحسن بن محمّد » ، كما يؤيّده ورد الخبر في </w:t>
      </w:r>
      <w:r w:rsidRPr="002F4D34">
        <w:rPr>
          <w:rStyle w:val="libFootnoteBoldChar"/>
          <w:rtl/>
        </w:rPr>
        <w:t>التهذيب</w:t>
      </w:r>
      <w:r w:rsidRPr="00B60612">
        <w:rPr>
          <w:rtl/>
        </w:rPr>
        <w:t xml:space="preserve"> ، ج 1 ، ص 416 ، ح 1502 </w:t>
      </w:r>
      <w:r w:rsidR="007642BC" w:rsidRPr="00B60612">
        <w:rPr>
          <w:rtl/>
        </w:rPr>
        <w:t>-</w:t>
      </w:r>
      <w:r w:rsidRPr="00B60612">
        <w:rPr>
          <w:rtl/>
        </w:rPr>
        <w:t xml:space="preserve"> والخبر مأخوذ من </w:t>
      </w:r>
      <w:r w:rsidRPr="002F4D34">
        <w:rPr>
          <w:rStyle w:val="libFootnoteBoldChar"/>
          <w:rtl/>
        </w:rPr>
        <w:t>الكافي</w:t>
      </w:r>
      <w:r w:rsidRPr="00B60612">
        <w:rPr>
          <w:rtl/>
        </w:rPr>
        <w:t xml:space="preserve"> من غير تصريح </w:t>
      </w:r>
      <w:r w:rsidR="007642BC" w:rsidRPr="00B60612">
        <w:rPr>
          <w:rtl/>
        </w:rPr>
        <w:t>-</w:t>
      </w:r>
      <w:r w:rsidRPr="00B60612">
        <w:rPr>
          <w:rtl/>
        </w:rPr>
        <w:t xml:space="preserve"> عن حميد بن زياد ، عن الحسن بن محمّد ، عن غير واحد ، عن أبان.</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والبحار. وفي المطبوع :</w:t>
      </w:r>
      <w:r w:rsidR="00E3253D">
        <w:rPr>
          <w:rtl/>
        </w:rPr>
        <w:t xml:space="preserve"> </w:t>
      </w:r>
      <w:r w:rsidR="007642BC">
        <w:rPr>
          <w:rtl/>
        </w:rPr>
        <w:t>-</w:t>
      </w:r>
      <w:r w:rsidR="00E3253D">
        <w:rPr>
          <w:rtl/>
        </w:rPr>
        <w:t xml:space="preserve"> </w:t>
      </w:r>
      <w:r w:rsidR="00E3253D" w:rsidRPr="005D642E">
        <w:rPr>
          <w:rtl/>
        </w:rPr>
        <w:t>« عن أبان</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 فقد روى الحسن بن محمّد بن سماعة </w:t>
      </w:r>
      <w:r w:rsidR="007642BC" w:rsidRPr="00B60612">
        <w:rPr>
          <w:rtl/>
        </w:rPr>
        <w:t>-</w:t>
      </w:r>
      <w:r w:rsidRPr="00B60612">
        <w:rPr>
          <w:rtl/>
        </w:rPr>
        <w:t xml:space="preserve"> بعناوينه المختلفة </w:t>
      </w:r>
      <w:r w:rsidR="007642BC" w:rsidRPr="00B60612">
        <w:rPr>
          <w:rtl/>
        </w:rPr>
        <w:t>-</w:t>
      </w:r>
      <w:r w:rsidRPr="00B60612">
        <w:rPr>
          <w:rtl/>
        </w:rPr>
        <w:t xml:space="preserve"> ع</w:t>
      </w:r>
      <w:r w:rsidR="00312BD7">
        <w:rPr>
          <w:rtl/>
        </w:rPr>
        <w:t>ن غير واحد ، عن أبان [ بن عثمان</w:t>
      </w:r>
      <w:r w:rsidRPr="00B60612">
        <w:rPr>
          <w:rtl/>
        </w:rPr>
        <w:t xml:space="preserve">] في كثير من الأسناد. راجع : </w:t>
      </w:r>
      <w:r w:rsidRPr="002F4D34">
        <w:rPr>
          <w:rStyle w:val="libFootnoteBoldChar"/>
          <w:rtl/>
        </w:rPr>
        <w:t>معجم رجال الحديث</w:t>
      </w:r>
      <w:r w:rsidRPr="00B60612">
        <w:rPr>
          <w:rtl/>
        </w:rPr>
        <w:t xml:space="preserve"> ، ج 5 ، ص 388 </w:t>
      </w:r>
      <w:r w:rsidR="007642BC" w:rsidRPr="00B60612">
        <w:rPr>
          <w:rtl/>
        </w:rPr>
        <w:t>-</w:t>
      </w:r>
      <w:r w:rsidRPr="00B60612">
        <w:rPr>
          <w:rtl/>
        </w:rPr>
        <w:t xml:space="preserve"> 391 ؛ وج 22 ، ص 391 </w:t>
      </w:r>
      <w:r w:rsidR="007642BC" w:rsidRPr="00B60612">
        <w:rPr>
          <w:rtl/>
        </w:rPr>
        <w:t>-</w:t>
      </w:r>
      <w:r w:rsidRPr="00B60612">
        <w:rPr>
          <w:rtl/>
        </w:rPr>
        <w:t xml:space="preserve"> 392.</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محصّب</w:t>
      </w:r>
      <w:r w:rsidR="00E3253D">
        <w:rPr>
          <w:rtl/>
        </w:rPr>
        <w:t xml:space="preserve"> ».</w:t>
      </w:r>
      <w:r w:rsidR="00E3253D" w:rsidRPr="005D642E">
        <w:rPr>
          <w:rtl/>
        </w:rPr>
        <w:t xml:space="preserve"> وفي حاشية « بح » : « تحصّب</w:t>
      </w:r>
      <w:r w:rsidR="00E3253D">
        <w:rPr>
          <w:rtl/>
        </w:rPr>
        <w:t xml:space="preserve"> ».</w:t>
      </w:r>
      <w:r w:rsidR="00E3253D" w:rsidRPr="005D642E">
        <w:rPr>
          <w:rtl/>
        </w:rPr>
        <w:t xml:space="preserve"> </w:t>
      </w:r>
      <w:r w:rsidR="00E3253D">
        <w:rPr>
          <w:rtl/>
        </w:rPr>
        <w:t>و «</w:t>
      </w:r>
      <w:r w:rsidR="00E3253D" w:rsidRPr="005D642E">
        <w:rPr>
          <w:rtl/>
        </w:rPr>
        <w:t xml:space="preserve"> محصّب » ، أي ملقى فيه الحصباء ومُفْرَش به ، والحصباء : الحصي الصغار. راجع : </w:t>
      </w:r>
      <w:r w:rsidR="00E3253D" w:rsidRPr="002F4D34">
        <w:rPr>
          <w:rStyle w:val="libFootnoteBoldChar"/>
          <w:rtl/>
        </w:rPr>
        <w:t>لسان العرب</w:t>
      </w:r>
      <w:r w:rsidR="00E3253D" w:rsidRPr="005D642E">
        <w:rPr>
          <w:rtl/>
        </w:rPr>
        <w:t xml:space="preserve"> ، ج 1 ، ص 319 ( حصب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بس ، جس ، جن » : « حصباً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461 ، ح 1502 ، معلّقاً عن حميد بن زياد </w:t>
      </w:r>
      <w:r w:rsidR="00A53412">
        <w:rPr>
          <w:rFonts w:hint="cs"/>
          <w:rtl/>
        </w:rPr>
        <w:t>.</w:t>
      </w:r>
      <w:r w:rsidR="00E3253D" w:rsidRPr="002F4D34">
        <w:rPr>
          <w:rStyle w:val="libFootnoteBoldChar"/>
          <w:rtl/>
        </w:rPr>
        <w:t>الوافي</w:t>
      </w:r>
      <w:r w:rsidR="00E3253D" w:rsidRPr="005D642E">
        <w:rPr>
          <w:rtl/>
        </w:rPr>
        <w:t xml:space="preserve"> ، ج 25 ، ص 533 ، ح 24594 ؛ </w:t>
      </w:r>
      <w:r w:rsidR="00E3253D" w:rsidRPr="002F4D34">
        <w:rPr>
          <w:rStyle w:val="libFootnoteBoldChar"/>
          <w:rtl/>
        </w:rPr>
        <w:t>الوسائل</w:t>
      </w:r>
      <w:r w:rsidR="00E3253D" w:rsidRPr="005D642E">
        <w:rPr>
          <w:rtl/>
        </w:rPr>
        <w:t xml:space="preserve"> ، ج 3 ، ص 203 ، ح 3409 ؛ </w:t>
      </w:r>
      <w:r w:rsidR="00E3253D" w:rsidRPr="002F4D34">
        <w:rPr>
          <w:rStyle w:val="libFootnoteBoldChar"/>
          <w:rtl/>
        </w:rPr>
        <w:t>البحار</w:t>
      </w:r>
      <w:r w:rsidR="00E3253D" w:rsidRPr="005D642E">
        <w:rPr>
          <w:rtl/>
        </w:rPr>
        <w:t xml:space="preserve"> ، ج 22 ، ص 539 ، ح 44.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722DE">
        <w:rPr>
          <w:rtl/>
        </w:rPr>
        <w:t>4581</w:t>
      </w:r>
      <w:r w:rsidRPr="00246318">
        <w:rPr>
          <w:rStyle w:val="libBold2Char"/>
          <w:rtl/>
        </w:rPr>
        <w:t xml:space="preserve"> / 3.</w:t>
      </w:r>
      <w:r w:rsidRPr="005D642E">
        <w:rPr>
          <w:rtl/>
          <w:lang w:bidi="fa-IR"/>
        </w:rPr>
        <w:t xml:space="preserve"> عِدَّةٌ مِنْ أَصْحَابِنَا ، عَنْ سَهْلِ بْنِ زِيَادٍ ، عَنِ ابْنِ مَحْبُوبٍ ، عَنْ يُونُسَ بْنِ يَعْقُوبَ ، قَالَ :</w:t>
      </w:r>
    </w:p>
    <w:p w:rsidR="00E3253D" w:rsidRPr="005D642E" w:rsidRDefault="00E3253D" w:rsidP="00E3253D">
      <w:pPr>
        <w:pStyle w:val="libNormal"/>
        <w:rPr>
          <w:rtl/>
          <w:lang w:bidi="fa-IR"/>
        </w:rPr>
      </w:pPr>
      <w:r w:rsidRPr="005D642E">
        <w:rPr>
          <w:rtl/>
          <w:lang w:bidi="fa-IR"/>
        </w:rPr>
        <w:t xml:space="preserve">لَمَّا رَجَعَ أَبُو الْحَسَنِ مُوسى </w:t>
      </w:r>
      <w:r w:rsidRPr="00AC51C5">
        <w:rPr>
          <w:rStyle w:val="libAlaemChar"/>
          <w:rtl/>
        </w:rPr>
        <w:t>عليه‌السلام</w:t>
      </w:r>
      <w:r w:rsidRPr="005D642E">
        <w:rPr>
          <w:rtl/>
          <w:lang w:bidi="fa-IR"/>
        </w:rPr>
        <w:t xml:space="preserve"> مِنْ بَغْدَادَ ، وَمَضى إِلَى الْمَدِينَةِ ، مَاتَتْ لَهُ ابْنَةٌ بِفَيْدَ ، فَدَفَنَهَا ، وَأَمَرَ بَعْضَ مَوَالِيهِ أَنْ يُجَصِّصَ قَبْرَهَا ، وَيَكْتُبَ عَلى لَوْحٍ اسْمَهَا ، وَيَجْعَلَهُ </w:t>
      </w:r>
      <w:r w:rsidRPr="007C12DB">
        <w:rPr>
          <w:rStyle w:val="libFootnotenumChar"/>
          <w:rtl/>
        </w:rPr>
        <w:t>(1)</w:t>
      </w:r>
      <w:r w:rsidRPr="005D642E">
        <w:rPr>
          <w:rtl/>
          <w:lang w:bidi="fa-IR"/>
        </w:rPr>
        <w:t xml:space="preserve"> فِي الْقَبْرِ.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E722DE">
        <w:rPr>
          <w:rtl/>
        </w:rPr>
        <w:t>4582</w:t>
      </w:r>
      <w:r w:rsidRPr="00246318">
        <w:rPr>
          <w:rStyle w:val="libBold2Char"/>
          <w:rtl/>
        </w:rPr>
        <w:t xml:space="preserve"> / 4.</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 أَنَّ النَّبِيَّ </w:t>
      </w:r>
      <w:r w:rsidR="0042621E" w:rsidRPr="0042621E">
        <w:rPr>
          <w:rStyle w:val="libAlaemChar"/>
          <w:rtl/>
        </w:rPr>
        <w:t>صلى‌الله‌عليه‌وآله</w:t>
      </w:r>
      <w:r w:rsidRPr="005D642E">
        <w:rPr>
          <w:rtl/>
          <w:lang w:bidi="fa-IR"/>
        </w:rPr>
        <w:t xml:space="preserve"> نَهى أَنْ يُزَادَ عَلَى الْقَبْرِ تُرَابٌ لَمْ يُخْرَجْ مِنْهُ</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464" w:name="_Toc344647366"/>
      <w:bookmarkStart w:id="465" w:name="_Toc462226880"/>
      <w:bookmarkStart w:id="466" w:name="_Toc40975988"/>
      <w:r w:rsidRPr="005D642E">
        <w:rPr>
          <w:rtl/>
          <w:lang w:bidi="fa-IR"/>
        </w:rPr>
        <w:t>69</w:t>
      </w:r>
      <w:r>
        <w:rPr>
          <w:rtl/>
          <w:lang w:bidi="fa-IR"/>
        </w:rPr>
        <w:t xml:space="preserve"> </w:t>
      </w:r>
      <w:r w:rsidR="007642BC">
        <w:rPr>
          <w:rtl/>
          <w:lang w:bidi="fa-IR"/>
        </w:rPr>
        <w:t>-</w:t>
      </w:r>
      <w:r>
        <w:rPr>
          <w:rtl/>
          <w:lang w:bidi="fa-IR"/>
        </w:rPr>
        <w:t xml:space="preserve"> </w:t>
      </w:r>
      <w:r w:rsidRPr="005D642E">
        <w:rPr>
          <w:rtl/>
          <w:lang w:bidi="fa-IR"/>
        </w:rPr>
        <w:t>بَابُ التُّرْبَةِ الَّتِي يُدْفَنُ فِيهَا الْمَيِّتُ‌</w:t>
      </w:r>
      <w:bookmarkEnd w:id="464"/>
      <w:bookmarkEnd w:id="465"/>
      <w:bookmarkEnd w:id="466"/>
    </w:p>
    <w:p w:rsidR="00E3253D" w:rsidRPr="005D642E" w:rsidRDefault="00E3253D" w:rsidP="00E3253D">
      <w:pPr>
        <w:pStyle w:val="libNormal"/>
        <w:rPr>
          <w:rtl/>
          <w:lang w:bidi="fa-IR"/>
        </w:rPr>
      </w:pPr>
      <w:r w:rsidRPr="00E722DE">
        <w:rPr>
          <w:rtl/>
        </w:rPr>
        <w:t>4583</w:t>
      </w:r>
      <w:r w:rsidRPr="00246318">
        <w:rPr>
          <w:rStyle w:val="libBold2Char"/>
          <w:rtl/>
        </w:rPr>
        <w:t xml:space="preserve"> / 1.</w:t>
      </w:r>
      <w:r w:rsidRPr="005D642E">
        <w:rPr>
          <w:rtl/>
          <w:lang w:bidi="fa-IR"/>
        </w:rPr>
        <w:t xml:space="preserve"> عِدَّةٌ مِنْ أَصْحَابِنَا ، عَنْ أَحْمَدَ بْنِ مُحَمَّدِ بْنِ عِيسى ، عَنِ ابْنِ مُسْكَانَ </w:t>
      </w:r>
      <w:r w:rsidRPr="007C12DB">
        <w:rPr>
          <w:rStyle w:val="libFootnotenumChar"/>
          <w:rtl/>
        </w:rPr>
        <w:t>(4)</w:t>
      </w:r>
      <w:r w:rsidRPr="005D642E">
        <w:rPr>
          <w:rtl/>
          <w:lang w:bidi="fa-IR"/>
        </w:rPr>
        <w:t xml:space="preserve">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 « يجعله » بدون الواو.</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217 ، ح 1501 ؛ </w:t>
      </w:r>
      <w:r w:rsidR="00E3253D" w:rsidRPr="00E678B5">
        <w:rPr>
          <w:rStyle w:val="libFootnoteBoldChar"/>
          <w:rtl/>
        </w:rPr>
        <w:t>والاستبصار</w:t>
      </w:r>
      <w:r w:rsidR="00E3253D" w:rsidRPr="002F4D34">
        <w:rPr>
          <w:rStyle w:val="libFootnoteBoldChar"/>
          <w:rtl/>
        </w:rPr>
        <w:t xml:space="preserve"> </w:t>
      </w:r>
      <w:r w:rsidR="00E3253D" w:rsidRPr="005D642E">
        <w:rPr>
          <w:rtl/>
        </w:rPr>
        <w:t xml:space="preserve">، ج 1 ، ص 217 ، ح 768 ، معلّقاً عن سهل بن زياد </w:t>
      </w:r>
      <w:r w:rsidR="00A53412">
        <w:rPr>
          <w:rFonts w:hint="cs"/>
          <w:rtl/>
        </w:rPr>
        <w:t>.</w:t>
      </w:r>
      <w:r w:rsidR="00E3253D" w:rsidRPr="002F4D34">
        <w:rPr>
          <w:rStyle w:val="libFootnoteBoldChar"/>
          <w:rtl/>
        </w:rPr>
        <w:t>الوافي</w:t>
      </w:r>
      <w:r w:rsidR="00E3253D" w:rsidRPr="005D642E">
        <w:rPr>
          <w:rtl/>
        </w:rPr>
        <w:t xml:space="preserve"> ، ج 25 ، ص 533 ، ح 24595 ؛ </w:t>
      </w:r>
      <w:r w:rsidR="00E3253D" w:rsidRPr="002F4D34">
        <w:rPr>
          <w:rStyle w:val="libFootnoteBoldChar"/>
          <w:rtl/>
        </w:rPr>
        <w:t>الوسائل</w:t>
      </w:r>
      <w:r w:rsidR="00E3253D" w:rsidRPr="005D642E">
        <w:rPr>
          <w:rtl/>
        </w:rPr>
        <w:t xml:space="preserve"> ، ج 3 ، ص 203 ، ح 3410 ؛ </w:t>
      </w:r>
      <w:r w:rsidR="00E3253D" w:rsidRPr="002F4D34">
        <w:rPr>
          <w:rStyle w:val="libFootnoteBoldChar"/>
          <w:rtl/>
        </w:rPr>
        <w:t>البحار</w:t>
      </w:r>
      <w:r w:rsidR="00E3253D" w:rsidRPr="005D642E">
        <w:rPr>
          <w:rtl/>
        </w:rPr>
        <w:t xml:space="preserve"> ، ج 48 ، ص 289 ، ح 7 ؛ وج 82 ، ص 37 ، ذيل ح 29.</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460 ، ح 1500 ، معلّقاً عن عليّ بن إبراهيم. </w:t>
      </w:r>
      <w:r w:rsidR="00E3253D" w:rsidRPr="002F4D34">
        <w:rPr>
          <w:rStyle w:val="libFootnoteBoldChar"/>
          <w:rtl/>
        </w:rPr>
        <w:t>الجعفريّات</w:t>
      </w:r>
      <w:r w:rsidR="00E3253D" w:rsidRPr="005D642E">
        <w:rPr>
          <w:rtl/>
        </w:rPr>
        <w:t xml:space="preserve"> ، ص 201 ، بسند آخر عن جعفر بن محمّد ، عن آبائه ، عن أميرالمؤمنين </w:t>
      </w:r>
      <w:r w:rsidR="00E3253D" w:rsidRPr="000A2436">
        <w:rPr>
          <w:rStyle w:val="libFootnoteAlaemChar"/>
          <w:rtl/>
        </w:rPr>
        <w:t>عليهم‌السلام</w:t>
      </w:r>
      <w:r w:rsidR="00E3253D" w:rsidRPr="005D642E">
        <w:rPr>
          <w:rtl/>
        </w:rPr>
        <w:t xml:space="preserve"> ، مع اختلاف يسير </w:t>
      </w:r>
      <w:r w:rsidR="000A2436">
        <w:rPr>
          <w:rFonts w:hint="cs"/>
          <w:rtl/>
        </w:rPr>
        <w:t>.</w:t>
      </w:r>
      <w:r w:rsidR="00E3253D" w:rsidRPr="002F4D34">
        <w:rPr>
          <w:rStyle w:val="libFootnoteBoldChar"/>
          <w:rtl/>
        </w:rPr>
        <w:t>الوافي</w:t>
      </w:r>
      <w:r w:rsidR="00E3253D" w:rsidRPr="005D642E">
        <w:rPr>
          <w:rtl/>
        </w:rPr>
        <w:t xml:space="preserve"> ، ج 25 ، ص 530 ، ح 24587 ؛ </w:t>
      </w:r>
      <w:r w:rsidR="00E3253D" w:rsidRPr="002F4D34">
        <w:rPr>
          <w:rStyle w:val="libFootnoteBoldChar"/>
          <w:rtl/>
        </w:rPr>
        <w:t>الوسائل</w:t>
      </w:r>
      <w:r w:rsidR="00E3253D" w:rsidRPr="005D642E">
        <w:rPr>
          <w:rtl/>
        </w:rPr>
        <w:t xml:space="preserve"> ، ج 3 ، ص 202 ، ح 3406.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ابن مسكان هذا ، هو عبدالله بن مسكان ، وعمدة رواته هم : صفوان بن يحيى ومحمّد بن سنان وعليّ بن‌النعمان وعثمان بن عيسى ، وهؤلاء كلّهم من مشايخ أحمد بن محمّد بن عيسى. وذكر النجاشي في طريقه إلى كتب عبدالله بن مسكان ، أنّ أحمد بن محمّد بن عيسى روى عن محمّد بن سنان ، عن عبدالله بن مسكان. راجع : </w:t>
      </w:r>
      <w:r w:rsidR="00E3253D" w:rsidRPr="002F4D34">
        <w:rPr>
          <w:rStyle w:val="libFootnoteBoldChar"/>
          <w:rtl/>
        </w:rPr>
        <w:t>رجال النجاشي</w:t>
      </w:r>
      <w:r w:rsidR="00E3253D" w:rsidRPr="005D642E">
        <w:rPr>
          <w:rtl/>
        </w:rPr>
        <w:t xml:space="preserve"> ، ص 214 ، الرقم 559 ؛ </w:t>
      </w:r>
      <w:r w:rsidR="00E3253D" w:rsidRPr="002F4D34">
        <w:rPr>
          <w:rStyle w:val="libFootnoteBoldChar"/>
          <w:rtl/>
        </w:rPr>
        <w:t>معجم رجال الحديث</w:t>
      </w:r>
      <w:r w:rsidR="00E3253D" w:rsidRPr="005D642E">
        <w:rPr>
          <w:rtl/>
        </w:rPr>
        <w:t xml:space="preserve"> ، ج 1 ، ص 498</w:t>
      </w:r>
      <w:r w:rsidR="00E3253D">
        <w:rPr>
          <w:rtl/>
        </w:rPr>
        <w:t xml:space="preserve"> </w:t>
      </w:r>
      <w:r w:rsidR="007642BC">
        <w:rPr>
          <w:rtl/>
        </w:rPr>
        <w:t>-</w:t>
      </w:r>
      <w:r w:rsidR="00E3253D">
        <w:rPr>
          <w:rtl/>
        </w:rPr>
        <w:t xml:space="preserve"> </w:t>
      </w:r>
      <w:r w:rsidR="00E3253D" w:rsidRPr="005D642E">
        <w:rPr>
          <w:rtl/>
        </w:rPr>
        <w:t>509 ؛ وج 23 ، ص 284</w:t>
      </w:r>
      <w:r w:rsidR="00E3253D">
        <w:rPr>
          <w:rtl/>
        </w:rPr>
        <w:t xml:space="preserve"> </w:t>
      </w:r>
      <w:r w:rsidR="007642BC">
        <w:rPr>
          <w:rtl/>
        </w:rPr>
        <w:t>-</w:t>
      </w:r>
      <w:r w:rsidR="00E3253D">
        <w:rPr>
          <w:rtl/>
        </w:rPr>
        <w:t xml:space="preserve"> </w:t>
      </w:r>
      <w:r w:rsidR="00E3253D" w:rsidRPr="005D642E">
        <w:rPr>
          <w:rtl/>
        </w:rPr>
        <w:t>313.</w:t>
      </w:r>
    </w:p>
    <w:p w:rsidR="00E3253D" w:rsidRPr="005D642E" w:rsidRDefault="00E3253D" w:rsidP="00B60612">
      <w:pPr>
        <w:pStyle w:val="libFootnote0"/>
        <w:rPr>
          <w:rtl/>
          <w:lang w:bidi="fa-IR"/>
        </w:rPr>
      </w:pPr>
      <w:r w:rsidRPr="0095070A">
        <w:rPr>
          <w:rtl/>
        </w:rPr>
        <w:t>فعليه ، الظاهر هو وقوع خللٍ في السند من سقطٍ أو إرسالٍ بين أحمد بن محمّد وبين ابن مسكان.</w:t>
      </w:r>
    </w:p>
    <w:p w:rsidR="00E3253D" w:rsidRPr="005D642E" w:rsidRDefault="00E3253D" w:rsidP="00E3253D">
      <w:pPr>
        <w:pStyle w:val="libFootnote0"/>
        <w:rPr>
          <w:rtl/>
          <w:lang w:bidi="fa-IR"/>
        </w:rPr>
      </w:pPr>
      <w:r w:rsidRPr="00B60612">
        <w:rPr>
          <w:rtl/>
        </w:rPr>
        <w:t xml:space="preserve">ويؤيّد ذلك أنّ عبدالله بن مسكان مات في أيّام أبي الحسن موسى‌بن جعفر </w:t>
      </w:r>
      <w:r w:rsidRPr="000A2436">
        <w:rPr>
          <w:rStyle w:val="libFootnoteAlaemChar"/>
          <w:rtl/>
        </w:rPr>
        <w:t>عليه‌السلام</w:t>
      </w:r>
      <w:r w:rsidRPr="00B60612">
        <w:rPr>
          <w:rtl/>
        </w:rPr>
        <w:t xml:space="preserve"> وقد استشهد هو </w:t>
      </w:r>
      <w:r w:rsidRPr="000A2436">
        <w:rPr>
          <w:rStyle w:val="libFootnoteAlaemChar"/>
          <w:rtl/>
        </w:rPr>
        <w:t>عليه‌السلام</w:t>
      </w:r>
      <w:r w:rsidRPr="00B60612">
        <w:rPr>
          <w:rtl/>
        </w:rPr>
        <w:t xml:space="preserve"> سنة 183. </w:t>
      </w:r>
      <w:r w:rsidR="000A243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مُحَمَّدِ بْنِ مُسْلِمٍ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 مَنْ خُلِقَ مِنْ تُرْبَةٍ ، دُفِنَ فِيهَا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E722DE">
        <w:rPr>
          <w:rtl/>
        </w:rPr>
        <w:t>4584</w:t>
      </w:r>
      <w:r w:rsidRPr="00246318">
        <w:rPr>
          <w:rStyle w:val="libBold2Char"/>
          <w:rtl/>
        </w:rPr>
        <w:t xml:space="preserve"> / 2.</w:t>
      </w:r>
      <w:r w:rsidRPr="005D642E">
        <w:rPr>
          <w:rtl/>
          <w:lang w:bidi="fa-IR"/>
        </w:rPr>
        <w:t xml:space="preserve"> عِدَّةٌ مِنْ أَصْحَابِنَا ، عَنْ سَهْلِ بْنِ زِيَادٍ ، عَنِ الْحَجَّالِ ، عَنِ ابْنِ بُكَيْرٍ ، عَنْ أَبِي مِنْهَالٍ </w:t>
      </w:r>
      <w:r w:rsidRPr="007C12DB">
        <w:rPr>
          <w:rStyle w:val="libFootnotenumChar"/>
          <w:rtl/>
        </w:rPr>
        <w:t>(3)</w:t>
      </w:r>
      <w:r w:rsidRPr="005D642E">
        <w:rPr>
          <w:rtl/>
          <w:lang w:bidi="fa-IR"/>
        </w:rPr>
        <w:t xml:space="preserve"> ، عَنِ الْحَارِثِ بْنِ الْمُغِيرَةِ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إِنَّ النُّطْفَةَ إِذَا وَقَعَتْ فِي الرَّحِمِ ، بَعَثَ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مَلَكاً ، فَأَخَذَ مِنَ التُّرْبَةِ الَّتِي يُدْفَنُ فِيهَا ، فَمَاثَهَا فِي النُّطْفَةِ ، فَلَا يَزَالُ قَلْبُهُ يَحِنُّ إِلَيْهَا حَتّى يُدْفَنَ فِيهَا</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467" w:name="_Toc344647367"/>
      <w:bookmarkStart w:id="468" w:name="_Toc462226881"/>
      <w:bookmarkStart w:id="469" w:name="_Toc40975989"/>
      <w:r w:rsidRPr="005D642E">
        <w:rPr>
          <w:rtl/>
          <w:lang w:bidi="fa-IR"/>
        </w:rPr>
        <w:t>70</w:t>
      </w:r>
      <w:r>
        <w:rPr>
          <w:rtl/>
          <w:lang w:bidi="fa-IR"/>
        </w:rPr>
        <w:t xml:space="preserve"> </w:t>
      </w:r>
      <w:r w:rsidR="007642BC">
        <w:rPr>
          <w:rtl/>
          <w:lang w:bidi="fa-IR"/>
        </w:rPr>
        <w:t>-</w:t>
      </w:r>
      <w:r>
        <w:rPr>
          <w:rtl/>
          <w:lang w:bidi="fa-IR"/>
        </w:rPr>
        <w:t xml:space="preserve"> </w:t>
      </w:r>
      <w:r w:rsidRPr="005D642E">
        <w:rPr>
          <w:rtl/>
          <w:lang w:bidi="fa-IR"/>
        </w:rPr>
        <w:t>بَابُ التَّعْزِيَةِ وَمَا يَجِبُ عَلى صَاحِبِ الْمُصِيبَةِ‌</w:t>
      </w:r>
      <w:bookmarkEnd w:id="467"/>
      <w:bookmarkEnd w:id="468"/>
      <w:bookmarkEnd w:id="469"/>
    </w:p>
    <w:p w:rsidR="00E3253D" w:rsidRPr="005D642E" w:rsidRDefault="00E3253D" w:rsidP="00E3253D">
      <w:pPr>
        <w:pStyle w:val="libNormal"/>
        <w:rPr>
          <w:rtl/>
          <w:lang w:bidi="fa-IR"/>
        </w:rPr>
      </w:pPr>
      <w:r w:rsidRPr="00212B2E">
        <w:rPr>
          <w:rtl/>
        </w:rPr>
        <w:t>4585</w:t>
      </w:r>
      <w:r w:rsidRPr="00246318">
        <w:rPr>
          <w:rStyle w:val="libBold2Char"/>
          <w:rtl/>
        </w:rPr>
        <w:t xml:space="preserve"> / 1.</w:t>
      </w:r>
      <w:r w:rsidRPr="005D642E">
        <w:rPr>
          <w:rtl/>
          <w:lang w:bidi="fa-IR"/>
        </w:rPr>
        <w:t xml:space="preserve"> عِدَّةٌ مِنْ أَصْحَابِنَا ، عَنْ سَهْلِ بْنِ زِيَادٍ ، عَنْ مُحَمَّدِ بْنِ إِسْمَاعِيلَ ، عَنْ مُحَمَّدِ بْنِ عُذَافِرٍ ، عَنْ إِسْحَاقَ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w:t>
      </w:r>
      <w:r w:rsidR="00546936">
        <w:rPr>
          <w:rtl/>
          <w:lang w:bidi="fa-IR"/>
        </w:rPr>
        <w:t xml:space="preserve"> : « لَيْسَ التَّعْزِيَةُ إِل</w:t>
      </w:r>
      <w:r w:rsidR="00546936">
        <w:rPr>
          <w:rFonts w:hint="cs"/>
          <w:rtl/>
          <w:lang w:bidi="fa-IR"/>
        </w:rPr>
        <w:t>َّ</w:t>
      </w:r>
      <w:r w:rsidR="00546936">
        <w:rPr>
          <w:rtl/>
          <w:lang w:bidi="fa-IR"/>
        </w:rPr>
        <w:t>ا</w:t>
      </w:r>
      <w:r w:rsidRPr="005D642E">
        <w:rPr>
          <w:rtl/>
          <w:lang w:bidi="fa-IR"/>
        </w:rPr>
        <w:t xml:space="preserve"> عِنْدَ الْقَبْرِ ، ثُمَّ يَنْصَرِفُونَ </w:t>
      </w:r>
      <w:r w:rsidRPr="007C12DB">
        <w:rPr>
          <w:rStyle w:val="libFootnotenumChar"/>
          <w:rtl/>
        </w:rPr>
        <w:t>(5)</w:t>
      </w:r>
      <w:r w:rsidRPr="005D642E">
        <w:rPr>
          <w:rtl/>
          <w:lang w:bidi="fa-IR"/>
        </w:rPr>
        <w:t xml:space="preserve"> ؛ لَايَحْدُثُ </w:t>
      </w:r>
      <w:r w:rsidRPr="007C12DB">
        <w:rPr>
          <w:rStyle w:val="libFootnotenumChar"/>
          <w:rtl/>
        </w:rPr>
        <w:t>(6)</w:t>
      </w:r>
      <w:r w:rsidRPr="005D642E">
        <w:rPr>
          <w:rtl/>
          <w:lang w:bidi="fa-IR"/>
        </w:rPr>
        <w:t xml:space="preserve"> فِي الْمَيِّتِ حَدَثٌ ، فَيَسْمَعُونَ </w:t>
      </w:r>
      <w:r w:rsidRPr="007C12DB">
        <w:rPr>
          <w:rStyle w:val="libFootnotenumChar"/>
          <w:rtl/>
        </w:rPr>
        <w:t>(7)</w:t>
      </w:r>
      <w:r w:rsidRPr="005D642E">
        <w:rPr>
          <w:rtl/>
          <w:lang w:bidi="fa-IR"/>
        </w:rPr>
        <w:t xml:space="preserve"> الصَّوْتَ</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AF14BE" w:rsidP="00E3253D">
      <w:pPr>
        <w:pStyle w:val="libFootnote0"/>
        <w:rPr>
          <w:rtl/>
          <w:lang w:bidi="fa-IR"/>
        </w:rPr>
      </w:pPr>
      <w:r>
        <w:rPr>
          <w:rFonts w:hint="cs"/>
          <w:rtl/>
        </w:rPr>
        <w:t xml:space="preserve">= </w:t>
      </w:r>
      <w:r w:rsidR="00E3253D" w:rsidRPr="00B60612">
        <w:rPr>
          <w:rtl/>
        </w:rPr>
        <w:t xml:space="preserve">وأمّا أحمد بن محمّد بن عيسى ، فكان حيّاً حين توفّي أحمد بن محمّد بن خالد البرقي ، وهي سنة 274 أو 280 ؛ فيستبعد جدّاً إدراك أحمدَ بن محمّد بن عيسى ابنَ مسكان والروايةُ عنه مباشرةً. راجع : </w:t>
      </w:r>
      <w:r w:rsidR="00E3253D" w:rsidRPr="002F4D34">
        <w:rPr>
          <w:rStyle w:val="libFootnoteBoldChar"/>
          <w:rtl/>
        </w:rPr>
        <w:t>الإرشاد</w:t>
      </w:r>
      <w:r w:rsidR="00E3253D" w:rsidRPr="00B60612">
        <w:rPr>
          <w:rtl/>
        </w:rPr>
        <w:t xml:space="preserve"> للمفيد ، ج 2 ، ص 215 ؛ </w:t>
      </w:r>
      <w:r w:rsidR="00E3253D" w:rsidRPr="002F4D34">
        <w:rPr>
          <w:rStyle w:val="libFootnoteBoldChar"/>
          <w:rtl/>
        </w:rPr>
        <w:t>رجال النجاشي</w:t>
      </w:r>
      <w:r w:rsidR="00E3253D" w:rsidRPr="00B60612">
        <w:rPr>
          <w:rtl/>
        </w:rPr>
        <w:t xml:space="preserve"> ، ص 76 ، الرقم 182 ؛ </w:t>
      </w:r>
      <w:r w:rsidR="00E3253D" w:rsidRPr="002F4D34">
        <w:rPr>
          <w:rStyle w:val="libFootnoteBoldChar"/>
          <w:rtl/>
        </w:rPr>
        <w:t>تهذيب الكمال</w:t>
      </w:r>
      <w:r w:rsidR="00E3253D" w:rsidRPr="00B60612">
        <w:rPr>
          <w:rtl/>
        </w:rPr>
        <w:t xml:space="preserve"> ، ج 29 ، ص 43 ، الرقم 6247.</w:t>
      </w:r>
    </w:p>
    <w:tbl>
      <w:tblPr>
        <w:tblStyle w:val="TableGrid"/>
        <w:bidiVisual/>
        <w:tblW w:w="0" w:type="auto"/>
        <w:tblLook w:val="04A0" w:firstRow="1" w:lastRow="0" w:firstColumn="1" w:lastColumn="0" w:noHBand="0" w:noVBand="1"/>
      </w:tblPr>
      <w:tblGrid>
        <w:gridCol w:w="4006"/>
        <w:gridCol w:w="4006"/>
      </w:tblGrid>
      <w:tr w:rsidR="0082217F" w:rsidTr="0082217F">
        <w:tc>
          <w:tcPr>
            <w:tcW w:w="4006" w:type="dxa"/>
          </w:tcPr>
          <w:p w:rsidR="0082217F" w:rsidRDefault="0082217F" w:rsidP="00E3253D">
            <w:pPr>
              <w:pStyle w:val="libFootnote0"/>
              <w:rPr>
                <w:rStyle w:val="libFootnote0Char"/>
                <w:rtl/>
              </w:rPr>
            </w:pPr>
            <w:r w:rsidRPr="0042621E">
              <w:rPr>
                <w:rStyle w:val="libFootnote0Char"/>
                <w:rtl/>
              </w:rPr>
              <w:t>(1).</w:t>
            </w:r>
            <w:r>
              <w:rPr>
                <w:rtl/>
              </w:rPr>
              <w:t xml:space="preserve"> </w:t>
            </w:r>
            <w:r w:rsidRPr="005D642E">
              <w:rPr>
                <w:rtl/>
              </w:rPr>
              <w:t>لم ترد هذه الرواية في « ظ</w:t>
            </w:r>
            <w:r>
              <w:rPr>
                <w:rtl/>
              </w:rPr>
              <w:t xml:space="preserve"> ».</w:t>
            </w:r>
          </w:p>
        </w:tc>
        <w:tc>
          <w:tcPr>
            <w:tcW w:w="4006" w:type="dxa"/>
          </w:tcPr>
          <w:p w:rsidR="0082217F" w:rsidRDefault="0082217F" w:rsidP="00E3253D">
            <w:pPr>
              <w:pStyle w:val="libFootnote0"/>
              <w:rPr>
                <w:rStyle w:val="libFootnote0Char"/>
                <w:rtl/>
              </w:rPr>
            </w:pPr>
            <w:r w:rsidRPr="0042621E">
              <w:rPr>
                <w:rStyle w:val="libFootnote0Char"/>
                <w:rtl/>
              </w:rPr>
              <w:t>(2).</w:t>
            </w:r>
            <w:r w:rsidRPr="005D642E">
              <w:rPr>
                <w:rtl/>
              </w:rPr>
              <w:t xml:space="preserve"> </w:t>
            </w:r>
            <w:r w:rsidRPr="002F4D34">
              <w:rPr>
                <w:rStyle w:val="libFootnoteBoldChar"/>
                <w:rtl/>
              </w:rPr>
              <w:t>الوافي</w:t>
            </w:r>
            <w:r w:rsidRPr="005D642E">
              <w:rPr>
                <w:rtl/>
              </w:rPr>
              <w:t xml:space="preserve"> ، ج 25 ، ص 590 ، ح 24737.</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 « سمال » بدل « أبي منهال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590 ، ح 24738 ؛ </w:t>
      </w:r>
      <w:r w:rsidR="00E3253D" w:rsidRPr="002F4D34">
        <w:rPr>
          <w:rStyle w:val="libFootnoteBoldChar"/>
          <w:rtl/>
        </w:rPr>
        <w:t>البحار</w:t>
      </w:r>
      <w:r w:rsidR="00E3253D" w:rsidRPr="005D642E">
        <w:rPr>
          <w:rtl/>
        </w:rPr>
        <w:t xml:space="preserve"> ، ج 60 ، ص 338 ، ح 14.</w:t>
      </w:r>
    </w:p>
    <w:tbl>
      <w:tblPr>
        <w:tblStyle w:val="TableGrid"/>
        <w:bidiVisual/>
        <w:tblW w:w="0" w:type="auto"/>
        <w:tblLook w:val="04A0" w:firstRow="1" w:lastRow="0" w:firstColumn="1" w:lastColumn="0" w:noHBand="0" w:noVBand="1"/>
      </w:tblPr>
      <w:tblGrid>
        <w:gridCol w:w="4006"/>
        <w:gridCol w:w="4006"/>
      </w:tblGrid>
      <w:tr w:rsidR="00C005EE" w:rsidTr="00C005EE">
        <w:tc>
          <w:tcPr>
            <w:tcW w:w="4006" w:type="dxa"/>
          </w:tcPr>
          <w:p w:rsidR="00C005EE" w:rsidRDefault="00C005EE" w:rsidP="00E3253D">
            <w:pPr>
              <w:pStyle w:val="libFootnote0"/>
              <w:rPr>
                <w:rStyle w:val="libFootnote0Char"/>
                <w:rtl/>
              </w:rPr>
            </w:pPr>
            <w:r w:rsidRPr="0042621E">
              <w:rPr>
                <w:rStyle w:val="libFootnote0Char"/>
                <w:rtl/>
              </w:rPr>
              <w:t>(5).</w:t>
            </w:r>
            <w:r w:rsidRPr="005D642E">
              <w:rPr>
                <w:rtl/>
              </w:rPr>
              <w:t xml:space="preserve"> في « بخ » : « ثمّ ينصرف</w:t>
            </w:r>
            <w:r>
              <w:rPr>
                <w:rtl/>
              </w:rPr>
              <w:t xml:space="preserve"> ».</w:t>
            </w:r>
          </w:p>
        </w:tc>
        <w:tc>
          <w:tcPr>
            <w:tcW w:w="4006" w:type="dxa"/>
          </w:tcPr>
          <w:p w:rsidR="00C005EE" w:rsidRDefault="00C005EE" w:rsidP="00E3253D">
            <w:pPr>
              <w:pStyle w:val="libFootnote0"/>
              <w:rPr>
                <w:rStyle w:val="libFootnote0Char"/>
                <w:rtl/>
              </w:rPr>
            </w:pPr>
            <w:r w:rsidRPr="0042621E">
              <w:rPr>
                <w:rStyle w:val="libFootnote0Char"/>
                <w:rtl/>
              </w:rPr>
              <w:t>(6).</w:t>
            </w:r>
            <w:r w:rsidRPr="005D642E">
              <w:rPr>
                <w:rtl/>
              </w:rPr>
              <w:t xml:space="preserve"> في « بس ، جح » : « لايحدثن</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فتسمعون</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463 ، ح 1511 ، معلّقاً عن سهل بن زياد </w:t>
      </w:r>
      <w:r w:rsidR="007C1842">
        <w:rPr>
          <w:rFonts w:hint="cs"/>
          <w:rtl/>
        </w:rPr>
        <w:t>.</w:t>
      </w:r>
      <w:r w:rsidR="00E3253D" w:rsidRPr="002F4D34">
        <w:rPr>
          <w:rStyle w:val="libFootnoteBoldChar"/>
          <w:rtl/>
        </w:rPr>
        <w:t>الوافي</w:t>
      </w:r>
      <w:r w:rsidR="00E3253D" w:rsidRPr="005D642E">
        <w:rPr>
          <w:rtl/>
        </w:rPr>
        <w:t xml:space="preserve"> ، ج 25 ، ص 551 ، ح 24637 ؛ </w:t>
      </w:r>
      <w:r w:rsidR="00E3253D" w:rsidRPr="002F4D34">
        <w:rPr>
          <w:rStyle w:val="libFootnoteBoldChar"/>
          <w:rtl/>
        </w:rPr>
        <w:t>الوسائل</w:t>
      </w:r>
      <w:r w:rsidR="00E3253D" w:rsidRPr="005D642E">
        <w:rPr>
          <w:rtl/>
        </w:rPr>
        <w:t xml:space="preserve"> ، ج 3 ، ص 216 ، ذيل ح 3446 ؛ </w:t>
      </w:r>
      <w:r w:rsidR="00E3253D" w:rsidRPr="002F4D34">
        <w:rPr>
          <w:rStyle w:val="libFootnoteBoldChar"/>
          <w:rtl/>
        </w:rPr>
        <w:t>البحار</w:t>
      </w:r>
      <w:r w:rsidR="00E3253D" w:rsidRPr="005D642E">
        <w:rPr>
          <w:rtl/>
        </w:rPr>
        <w:t xml:space="preserve"> ، ج 82 ، ص 112 ، ذيل ح 55.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12B2E">
        <w:rPr>
          <w:rtl/>
        </w:rPr>
        <w:t>4586</w:t>
      </w:r>
      <w:r w:rsidRPr="00246318">
        <w:rPr>
          <w:rStyle w:val="libBold2Char"/>
          <w:rtl/>
        </w:rPr>
        <w:t xml:space="preserve"> / 2.</w:t>
      </w:r>
      <w:r w:rsidRPr="005D642E">
        <w:rPr>
          <w:rtl/>
          <w:lang w:bidi="fa-IR"/>
        </w:rPr>
        <w:t xml:space="preserve"> عَلِيُّ بْنُ إِبْرَاهِيمَ ، عَنْ أَبِيهِ ، عَنِ ابْنِ أَبِي عُمَيْرٍ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التَّعْزِيَةُ لِأَهْلِ الْمُصِيبَةِ </w:t>
      </w:r>
      <w:r w:rsidRPr="007C12DB">
        <w:rPr>
          <w:rStyle w:val="libFootnotenumChar"/>
          <w:rtl/>
        </w:rPr>
        <w:t>(1)</w:t>
      </w:r>
      <w:r w:rsidRPr="005D642E">
        <w:rPr>
          <w:rtl/>
          <w:lang w:bidi="fa-IR"/>
        </w:rPr>
        <w:t xml:space="preserve"> بَعْدَ مَا يُدْفَنُ</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212B2E">
        <w:rPr>
          <w:rtl/>
        </w:rPr>
        <w:t>4587</w:t>
      </w:r>
      <w:r w:rsidRPr="00246318">
        <w:rPr>
          <w:rStyle w:val="libBold2Char"/>
          <w:rtl/>
        </w:rPr>
        <w:t xml:space="preserve"> / 3.</w:t>
      </w:r>
      <w:r w:rsidRPr="005D642E">
        <w:rPr>
          <w:rtl/>
          <w:lang w:bidi="fa-IR"/>
        </w:rPr>
        <w:t xml:space="preserve"> أَبُو عَلِيٍّ الْأَشْعَرِيُّ ، عَنْ مُحَمَّدِ بْنِ عَبْدِ الْجَبَّارِ ، عَنِ الْحَجَّالِ ، عَنْ إِسْحَاقَ بْنِ عَمَّارٍ </w:t>
      </w:r>
      <w:r w:rsidRPr="007C12DB">
        <w:rPr>
          <w:rStyle w:val="libFootnotenumChar"/>
          <w:rtl/>
        </w:rPr>
        <w:t>(3)</w:t>
      </w:r>
      <w:r w:rsidRPr="005D642E">
        <w:rPr>
          <w:rtl/>
          <w:lang w:bidi="fa-IR"/>
        </w:rPr>
        <w:t xml:space="preserve"> ، قَالَ :</w:t>
      </w:r>
    </w:p>
    <w:p w:rsidR="00E3253D" w:rsidRPr="005D642E" w:rsidRDefault="007C1842" w:rsidP="00E3253D">
      <w:pPr>
        <w:pStyle w:val="libNormal"/>
        <w:rPr>
          <w:rtl/>
          <w:lang w:bidi="fa-IR"/>
        </w:rPr>
      </w:pPr>
      <w:r>
        <w:rPr>
          <w:rtl/>
          <w:lang w:bidi="fa-IR"/>
        </w:rPr>
        <w:t>« لَيْسَ التَّعْزِيَةُ إِل</w:t>
      </w:r>
      <w:r>
        <w:rPr>
          <w:rFonts w:hint="cs"/>
          <w:rtl/>
          <w:lang w:bidi="fa-IR"/>
        </w:rPr>
        <w:t>َّ</w:t>
      </w:r>
      <w:r>
        <w:rPr>
          <w:rtl/>
          <w:lang w:bidi="fa-IR"/>
        </w:rPr>
        <w:t>ا</w:t>
      </w:r>
      <w:r w:rsidR="00E3253D" w:rsidRPr="005D642E">
        <w:rPr>
          <w:rtl/>
          <w:lang w:bidi="fa-IR"/>
        </w:rPr>
        <w:t xml:space="preserve"> عِنْدَ الْقَبْرِ ، ثُمَّ يَنْصَرِفُونَ ؛ لَايَحْدُثُ فِي الْمَيِّتِ حَدَثٌ ، فَيَسْمَعُونَ الصَّوْتَ</w:t>
      </w:r>
      <w:r w:rsidR="00E3253D">
        <w:rPr>
          <w:rtl/>
          <w:lang w:bidi="fa-IR"/>
        </w:rPr>
        <w:t>».</w:t>
      </w:r>
      <w:r w:rsidR="00E3253D" w:rsidRPr="005D642E">
        <w:rPr>
          <w:rtl/>
          <w:lang w:bidi="fa-IR"/>
        </w:rPr>
        <w:t xml:space="preserve"> </w:t>
      </w:r>
      <w:r w:rsidR="00E3253D" w:rsidRPr="007C12DB">
        <w:rPr>
          <w:rStyle w:val="libFootnotenumChar"/>
          <w:rtl/>
        </w:rPr>
        <w:t>(4)</w:t>
      </w:r>
      <w:r w:rsidR="00E3253D" w:rsidRPr="005D642E">
        <w:rPr>
          <w:rtl/>
          <w:lang w:bidi="fa-IR"/>
        </w:rPr>
        <w:t xml:space="preserve"> ‌</w:t>
      </w:r>
    </w:p>
    <w:p w:rsidR="00E3253D" w:rsidRPr="005D642E" w:rsidRDefault="00E3253D" w:rsidP="00E3253D">
      <w:pPr>
        <w:pStyle w:val="libNormal"/>
        <w:rPr>
          <w:rtl/>
          <w:lang w:bidi="fa-IR"/>
        </w:rPr>
      </w:pPr>
      <w:r w:rsidRPr="00212B2E">
        <w:rPr>
          <w:rtl/>
        </w:rPr>
        <w:t>4588</w:t>
      </w:r>
      <w:r w:rsidRPr="00246318">
        <w:rPr>
          <w:rStyle w:val="libBold2Char"/>
          <w:rtl/>
        </w:rPr>
        <w:t xml:space="preserve"> / 4.</w:t>
      </w:r>
      <w:r w:rsidRPr="005D642E">
        <w:rPr>
          <w:rtl/>
          <w:lang w:bidi="fa-IR"/>
        </w:rPr>
        <w:t xml:space="preserve"> عِدَّةٌ مِنْ أَصْحَابِنَا ، عَنْ أَحْمَدَ بْنِ مُحَمَّدِ بْنِ خَالِدٍ ، عَنْ أَبِيهِ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التَّعْزِيَةُ الْوَاجِبَةُ بَعْدَ الدَّفْنِ</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212B2E">
        <w:rPr>
          <w:rtl/>
        </w:rPr>
        <w:t>4589</w:t>
      </w:r>
      <w:r w:rsidRPr="00246318">
        <w:rPr>
          <w:rStyle w:val="libBold2Char"/>
          <w:rtl/>
        </w:rPr>
        <w:t xml:space="preserve"> / 5.</w:t>
      </w:r>
      <w:r w:rsidRPr="005D642E">
        <w:rPr>
          <w:rtl/>
          <w:lang w:bidi="fa-IR"/>
        </w:rPr>
        <w:t xml:space="preserve"> عَلِيُّ بْنُ إِبْرَاهِيمَ ، عَنْ أَبِيهِ ، عَنِ ابْنِ أَبِي عُمَيْرٍ ، عَنِ الْقَاسِمِ بْنِ مُحَمَّدٍ ، عَنِ الْحُسَيْنِ بْنِ عُثْمَانَ </w:t>
      </w:r>
      <w:r w:rsidRPr="007C12DB">
        <w:rPr>
          <w:rStyle w:val="libFootnotenumChar"/>
          <w:rtl/>
        </w:rPr>
        <w:t>(6)</w:t>
      </w:r>
      <w:r w:rsidRPr="005D642E">
        <w:rPr>
          <w:rtl/>
          <w:lang w:bidi="fa-IR"/>
        </w:rPr>
        <w:t xml:space="preserve"> ، قَالَ :</w:t>
      </w:r>
    </w:p>
    <w:p w:rsidR="00E3253D" w:rsidRPr="005D642E" w:rsidRDefault="00E3253D" w:rsidP="00092FA9">
      <w:pPr>
        <w:pStyle w:val="libNormal"/>
        <w:rPr>
          <w:rtl/>
          <w:lang w:bidi="fa-IR"/>
        </w:rPr>
      </w:pPr>
      <w:r w:rsidRPr="005D642E">
        <w:rPr>
          <w:rtl/>
          <w:lang w:bidi="fa-IR"/>
        </w:rPr>
        <w:t xml:space="preserve">لَمَّا مَاتَ إِسْمَاعِيلُ بْنُ أَبِي عَبْدِ اللهِ </w:t>
      </w:r>
      <w:r w:rsidRPr="00AC51C5">
        <w:rPr>
          <w:rStyle w:val="libAlaemChar"/>
          <w:rtl/>
        </w:rPr>
        <w:t>عليه‌السلام</w:t>
      </w:r>
      <w:r w:rsidRPr="005D642E">
        <w:rPr>
          <w:rtl/>
          <w:lang w:bidi="fa-IR"/>
        </w:rPr>
        <w:t xml:space="preserve"> ، خَرَجَ أَبُو عَبْدِ اللهِ </w:t>
      </w:r>
      <w:r w:rsidRPr="00AC51C5">
        <w:rPr>
          <w:rStyle w:val="libAlaemChar"/>
          <w:rtl/>
        </w:rPr>
        <w:t>عليه‌السلام</w:t>
      </w:r>
      <w:r w:rsidRPr="005D642E">
        <w:rPr>
          <w:rtl/>
          <w:lang w:bidi="fa-IR"/>
        </w:rPr>
        <w:t xml:space="preserve"> ، فَتَقَدَّمَ السَّرِيرَ بِلَا حِذَاءٍ وَلَارِدَاءٍ </w:t>
      </w:r>
      <w:r w:rsidRPr="007C12DB">
        <w:rPr>
          <w:rStyle w:val="libFootnotenumChar"/>
          <w:rtl/>
        </w:rPr>
        <w:t>(7)</w:t>
      </w:r>
      <w:r w:rsidR="00092FA9">
        <w:rPr>
          <w:rFonts w:hint="cs"/>
          <w:rtl/>
          <w:lang w:bidi="fa-IR"/>
        </w:rPr>
        <w:t>.</w:t>
      </w:r>
      <w:r w:rsidRPr="007C12DB">
        <w:rPr>
          <w:rStyle w:val="libFootnotenumChar"/>
          <w:rtl/>
        </w:rPr>
        <w:t>(8)</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جح » : « الميّت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463 ، ح 1512 ؛ </w:t>
      </w:r>
      <w:r w:rsidR="00E3253D" w:rsidRPr="00E678B5">
        <w:rPr>
          <w:rStyle w:val="libFootnoteBoldChar"/>
          <w:rtl/>
        </w:rPr>
        <w:t>والاستبصار</w:t>
      </w:r>
      <w:r w:rsidR="00E3253D" w:rsidRPr="005D642E">
        <w:rPr>
          <w:rtl/>
        </w:rPr>
        <w:t xml:space="preserve"> ، ج 1 ، ص 217 ، ح 770 ، معلّقاً عن ابن أبي عمير </w:t>
      </w:r>
      <w:r w:rsidR="001524B5">
        <w:rPr>
          <w:rFonts w:hint="cs"/>
          <w:rtl/>
        </w:rPr>
        <w:t>.</w:t>
      </w:r>
      <w:r w:rsidR="00E3253D" w:rsidRPr="002F4D34">
        <w:rPr>
          <w:rStyle w:val="libFootnoteBoldChar"/>
          <w:rtl/>
        </w:rPr>
        <w:t>الوافي</w:t>
      </w:r>
      <w:r w:rsidR="00E3253D" w:rsidRPr="005D642E">
        <w:rPr>
          <w:rtl/>
        </w:rPr>
        <w:t xml:space="preserve"> ، ج 25 ، ص 552 ، ح 24639 ؛ </w:t>
      </w:r>
      <w:r w:rsidR="00E3253D" w:rsidRPr="002F4D34">
        <w:rPr>
          <w:rStyle w:val="libFootnoteBoldChar"/>
          <w:rtl/>
        </w:rPr>
        <w:t>الوسائل</w:t>
      </w:r>
      <w:r w:rsidR="00E3253D" w:rsidRPr="005D642E">
        <w:rPr>
          <w:rtl/>
        </w:rPr>
        <w:t xml:space="preserve"> ، ج 3 ، ص 216 ، ح 3445 ؛ </w:t>
      </w:r>
      <w:r w:rsidR="00E3253D" w:rsidRPr="002F4D34">
        <w:rPr>
          <w:rStyle w:val="libFootnoteBoldChar"/>
          <w:rtl/>
        </w:rPr>
        <w:t>البحار</w:t>
      </w:r>
      <w:r w:rsidR="00E3253D" w:rsidRPr="005D642E">
        <w:rPr>
          <w:rtl/>
        </w:rPr>
        <w:t xml:space="preserve"> ، ج 82 ، ص 112 ، ذيل ح 55.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 « عن أبي عبدالله </w:t>
      </w:r>
      <w:r w:rsidR="00E3253D" w:rsidRPr="001524B5">
        <w:rPr>
          <w:rStyle w:val="libFootnoteAlaemChar"/>
          <w:rtl/>
        </w:rPr>
        <w:t>عليه‌السلام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551 ، ح 24638 ؛ </w:t>
      </w:r>
      <w:r w:rsidR="00E3253D" w:rsidRPr="002F4D34">
        <w:rPr>
          <w:rStyle w:val="libFootnoteBoldChar"/>
          <w:rtl/>
        </w:rPr>
        <w:t>الوسائل</w:t>
      </w:r>
      <w:r w:rsidR="00E3253D" w:rsidRPr="005D642E">
        <w:rPr>
          <w:rtl/>
        </w:rPr>
        <w:t xml:space="preserve"> ، ج 3 ، ص 216 ، ح 3446.</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الفقيه</w:t>
      </w:r>
      <w:r w:rsidR="00E3253D" w:rsidRPr="005D642E">
        <w:rPr>
          <w:rtl/>
        </w:rPr>
        <w:t xml:space="preserve"> ، ج 1 ، ص 174 ، ح 504 ، مرسلاً </w:t>
      </w:r>
      <w:r w:rsidR="001524B5">
        <w:rPr>
          <w:rFonts w:hint="cs"/>
          <w:rtl/>
        </w:rPr>
        <w:t>.</w:t>
      </w:r>
      <w:r w:rsidR="00E3253D" w:rsidRPr="002F4D34">
        <w:rPr>
          <w:rStyle w:val="libFootnoteBoldChar"/>
          <w:rtl/>
        </w:rPr>
        <w:t>الوافي</w:t>
      </w:r>
      <w:r w:rsidR="00E3253D" w:rsidRPr="005D642E">
        <w:rPr>
          <w:rtl/>
        </w:rPr>
        <w:t xml:space="preserve"> ، ج 25 ، ص 552 ، ح 24640 ؛ </w:t>
      </w:r>
      <w:r w:rsidR="00E3253D" w:rsidRPr="002F4D34">
        <w:rPr>
          <w:rStyle w:val="libFootnoteBoldChar"/>
          <w:rtl/>
        </w:rPr>
        <w:t>الوسائل</w:t>
      </w:r>
      <w:r w:rsidR="00E3253D" w:rsidRPr="005D642E">
        <w:rPr>
          <w:rtl/>
        </w:rPr>
        <w:t xml:space="preserve"> ، ج 3 ، ص 216 ، ح 3447 ؛ </w:t>
      </w:r>
      <w:r w:rsidR="00E3253D" w:rsidRPr="002F4D34">
        <w:rPr>
          <w:rStyle w:val="libFootnoteBoldChar"/>
          <w:rtl/>
        </w:rPr>
        <w:t>البحار</w:t>
      </w:r>
      <w:r w:rsidR="00E3253D" w:rsidRPr="005D642E">
        <w:rPr>
          <w:rtl/>
        </w:rPr>
        <w:t xml:space="preserve"> ، ج 82 ، ص 112 ، ذيل ح 55.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بس ، جس » وحاشية المطبوع : « عمر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غ ، بخ ، بف » </w:t>
      </w:r>
      <w:r w:rsidR="000D749A" w:rsidRPr="000D749A">
        <w:rPr>
          <w:rStyle w:val="libFootnoteBoldChar"/>
          <w:rtl/>
        </w:rPr>
        <w:t>والوافي</w:t>
      </w:r>
      <w:r w:rsidR="00E3253D" w:rsidRPr="005D642E">
        <w:rPr>
          <w:rtl/>
        </w:rPr>
        <w:t xml:space="preserve"> : « بلا رداء ولا حذاء</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463 ، ح 1513 ، معلّقاً عن عليّ بن إبراهيم. </w:t>
      </w:r>
      <w:r w:rsidR="00E3253D" w:rsidRPr="002F4D34">
        <w:rPr>
          <w:rStyle w:val="libFootnoteBoldChar"/>
          <w:rtl/>
        </w:rPr>
        <w:t>كمال الدين</w:t>
      </w:r>
      <w:r w:rsidR="00E3253D" w:rsidRPr="005D642E">
        <w:rPr>
          <w:rtl/>
        </w:rPr>
        <w:t xml:space="preserve"> ، ص 72 ، بسند آخر عن رجل من بني هاشم. </w:t>
      </w:r>
      <w:r w:rsidR="00E3253D" w:rsidRPr="002F4D34">
        <w:rPr>
          <w:rStyle w:val="libFootnoteBoldChar"/>
          <w:rtl/>
        </w:rPr>
        <w:t>الفقيه</w:t>
      </w:r>
      <w:r w:rsidR="00E3253D" w:rsidRPr="005D642E">
        <w:rPr>
          <w:rtl/>
        </w:rPr>
        <w:t xml:space="preserve"> ، ج 1 ، ص 177 ، ح 524 ، مرسلاً </w:t>
      </w:r>
      <w:r w:rsidR="004D49EE">
        <w:rPr>
          <w:rFonts w:hint="cs"/>
          <w:rtl/>
        </w:rPr>
        <w:t>.</w:t>
      </w:r>
      <w:r w:rsidR="00E3253D" w:rsidRPr="002F4D34">
        <w:rPr>
          <w:rStyle w:val="libFootnoteBoldChar"/>
          <w:rtl/>
        </w:rPr>
        <w:t>الوافي</w:t>
      </w:r>
      <w:r w:rsidR="00E3253D" w:rsidRPr="005D642E">
        <w:rPr>
          <w:rtl/>
        </w:rPr>
        <w:t xml:space="preserve"> ، ج 25 ، ص 553 ، ح 24644.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12B2E">
        <w:rPr>
          <w:rtl/>
        </w:rPr>
        <w:t>4590</w:t>
      </w:r>
      <w:r w:rsidRPr="00246318">
        <w:rPr>
          <w:rStyle w:val="libBold2Char"/>
          <w:rtl/>
        </w:rPr>
        <w:t xml:space="preserve"> / 6.</w:t>
      </w:r>
      <w:r w:rsidRPr="005D642E">
        <w:rPr>
          <w:rtl/>
          <w:lang w:bidi="fa-IR"/>
        </w:rPr>
        <w:t xml:space="preserve"> عَلِيُّ بْنُ إِبْرَاهِيمَ </w:t>
      </w:r>
      <w:r w:rsidRPr="007C12DB">
        <w:rPr>
          <w:rStyle w:val="libFootnotenumChar"/>
          <w:rtl/>
        </w:rPr>
        <w:t>(1)</w:t>
      </w:r>
      <w:r w:rsidRPr="005D642E">
        <w:rPr>
          <w:rtl/>
          <w:lang w:bidi="fa-IR"/>
        </w:rPr>
        <w:t xml:space="preserve"> ، عَنْ أَبِيهِ </w:t>
      </w:r>
      <w:r w:rsidRPr="007C12DB">
        <w:rPr>
          <w:rStyle w:val="libFootnotenumChar"/>
          <w:rtl/>
        </w:rPr>
        <w:t>(2)</w:t>
      </w:r>
      <w:r w:rsidRPr="005D642E">
        <w:rPr>
          <w:rtl/>
          <w:lang w:bidi="fa-IR"/>
        </w:rPr>
        <w:t xml:space="preserve"> ، عَنِ ابْنِ أَبِي عُمَيْرٍ ، عَنْ بَعْضِ أَصْحَابِهِ </w:t>
      </w:r>
      <w:r w:rsidRPr="007C12DB">
        <w:rPr>
          <w:rStyle w:val="libFootnotenumChar"/>
          <w:rtl/>
        </w:rPr>
        <w:t>(3)</w:t>
      </w:r>
      <w:r w:rsidRPr="005D642E">
        <w:rPr>
          <w:rtl/>
          <w:lang w:bidi="fa-IR"/>
        </w:rPr>
        <w:t xml:space="preserve"> :</w:t>
      </w:r>
    </w:p>
    <w:p w:rsidR="00E3253D" w:rsidRPr="005D642E" w:rsidRDefault="00E3253D" w:rsidP="003C1E4A">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يَنْبَغِي لِصَاحِبِ الْمُصِيبَةِ أَنْ يَضَعَ رِدَاءَهُ حَتّى يَعْلَمَ النَّاسُ أَنَّهُ صَاحِبُ الْمُصِيبَةِ</w:t>
      </w:r>
      <w:r>
        <w:rPr>
          <w:rtl/>
          <w:lang w:bidi="fa-IR"/>
        </w:rPr>
        <w:t xml:space="preserve"> ».</w:t>
      </w:r>
      <w:r w:rsidRPr="005D642E">
        <w:rPr>
          <w:rtl/>
          <w:lang w:bidi="fa-IR"/>
        </w:rPr>
        <w:t xml:space="preserve"> </w:t>
      </w:r>
      <w:r w:rsidRPr="007C12DB">
        <w:rPr>
          <w:rStyle w:val="libFootnotenumChar"/>
          <w:rtl/>
        </w:rPr>
        <w:t>(4)</w:t>
      </w:r>
    </w:p>
    <w:p w:rsidR="00E3253D" w:rsidRPr="005D642E" w:rsidRDefault="00E3253D" w:rsidP="00E3253D">
      <w:pPr>
        <w:pStyle w:val="libNormal"/>
        <w:rPr>
          <w:rtl/>
          <w:lang w:bidi="fa-IR"/>
        </w:rPr>
      </w:pPr>
      <w:r w:rsidRPr="00212B2E">
        <w:rPr>
          <w:rtl/>
        </w:rPr>
        <w:t>4591</w:t>
      </w:r>
      <w:r w:rsidRPr="00246318">
        <w:rPr>
          <w:rStyle w:val="libBold2Char"/>
          <w:rtl/>
        </w:rPr>
        <w:t xml:space="preserve"> / 7.</w:t>
      </w:r>
      <w:r w:rsidRPr="005D642E">
        <w:rPr>
          <w:rtl/>
          <w:lang w:bidi="fa-IR"/>
        </w:rPr>
        <w:t xml:space="preserve"> مُحَمَّدُ بْنُ يَحْيى ، عَنْ أَحْمَدَ بْنِ مُحَمَّدٍ ، عَنْ عَلِيِّ بْنِ الْحَكَمِ ، عَنْ رِفَاعَةَ النَّخَّاسِ ، عَنْ رَجُلٍ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عَزّى أَبُو عَبْدِ اللهِ </w:t>
      </w:r>
      <w:r w:rsidRPr="00AC51C5">
        <w:rPr>
          <w:rStyle w:val="libAlaemChar"/>
          <w:rtl/>
        </w:rPr>
        <w:t>عليه‌السلام</w:t>
      </w:r>
      <w:r w:rsidRPr="005D642E">
        <w:rPr>
          <w:rtl/>
          <w:lang w:bidi="fa-IR"/>
        </w:rPr>
        <w:t xml:space="preserve"> رَجُلاً بِابْنٍ لَهُ ، فَقَالَ : « اللهُ خَيْرٌ لِابْنِكَ مِنْكَ ، وَثَوَابُ اللهِ خَيْرٌ لَكَ مِنِ ابْنِكَ </w:t>
      </w:r>
      <w:r w:rsidRPr="007C12DB">
        <w:rPr>
          <w:rStyle w:val="libFootnotenumChar"/>
          <w:rtl/>
        </w:rPr>
        <w:t>(5)</w:t>
      </w:r>
      <w:r>
        <w:rPr>
          <w:rtl/>
          <w:lang w:bidi="fa-IR"/>
        </w:rPr>
        <w:t xml:space="preserve"> ».</w:t>
      </w:r>
    </w:p>
    <w:p w:rsidR="00E3253D" w:rsidRPr="005D642E" w:rsidRDefault="00E3253D" w:rsidP="00E3253D">
      <w:pPr>
        <w:pStyle w:val="libNormal"/>
        <w:rPr>
          <w:rtl/>
          <w:lang w:bidi="fa-IR"/>
        </w:rPr>
      </w:pPr>
      <w:r w:rsidRPr="005D642E">
        <w:rPr>
          <w:rtl/>
          <w:lang w:bidi="fa-IR"/>
        </w:rPr>
        <w:t xml:space="preserve">فَلَمَّا بَلَغَهُ جَزَعُهُ بَعْدُ ، عَادَ إِلَيْهِ ، فَقَالَ لَهُ : « قَدْ مَاتَ رَسُولُ اللهِ </w:t>
      </w:r>
      <w:r w:rsidR="0042621E" w:rsidRPr="0042621E">
        <w:rPr>
          <w:rStyle w:val="libAlaemChar"/>
          <w:rtl/>
        </w:rPr>
        <w:t>صلى‌الله‌عليه‌وآله</w:t>
      </w:r>
      <w:r w:rsidRPr="005D642E">
        <w:rPr>
          <w:rtl/>
          <w:lang w:bidi="fa-IR"/>
        </w:rPr>
        <w:t xml:space="preserve"> فَمَا لَكَ بِهِ أُسْوَةٌ</w:t>
      </w:r>
      <w:r>
        <w:rPr>
          <w:rtl/>
          <w:lang w:bidi="fa-IR"/>
        </w:rPr>
        <w:t>؟</w:t>
      </w:r>
      <w:r w:rsidRPr="005D642E">
        <w:rPr>
          <w:rtl/>
          <w:lang w:bidi="fa-IR"/>
        </w:rPr>
        <w:t xml:space="preserve"> » فَقَالَ : إِنَّهُ </w:t>
      </w:r>
      <w:r w:rsidRPr="007C12DB">
        <w:rPr>
          <w:rStyle w:val="libFootnotenumChar"/>
          <w:rtl/>
        </w:rPr>
        <w:t>(6)</w:t>
      </w:r>
      <w:r w:rsidRPr="005D642E">
        <w:rPr>
          <w:rtl/>
          <w:lang w:bidi="fa-IR"/>
        </w:rPr>
        <w:t xml:space="preserve"> كَانَ مُرَهَّقاً </w:t>
      </w:r>
      <w:r w:rsidRPr="007C12DB">
        <w:rPr>
          <w:rStyle w:val="libFootnotenumChar"/>
          <w:rtl/>
        </w:rPr>
        <w:t>(7)</w:t>
      </w:r>
      <w:r w:rsidRPr="005D642E">
        <w:rPr>
          <w:rtl/>
          <w:lang w:bidi="fa-IR"/>
        </w:rPr>
        <w:t xml:space="preserve"> ، فَقَالَ : « إِنَّ أَمَامَهُ ثَلَاثَ خِصَالٍ : شَهَادَةَ أَنْ لَا</w:t>
      </w:r>
      <w:r>
        <w:rPr>
          <w:rFonts w:hint="cs"/>
          <w:rtl/>
          <w:lang w:bidi="fa-IR"/>
        </w:rPr>
        <w:t xml:space="preserve"> </w:t>
      </w:r>
      <w:r w:rsidR="00380DC7">
        <w:rPr>
          <w:rtl/>
          <w:lang w:bidi="fa-IR"/>
        </w:rPr>
        <w:t>إِلهَ إِل</w:t>
      </w:r>
      <w:r w:rsidR="00380DC7">
        <w:rPr>
          <w:rFonts w:hint="cs"/>
          <w:rtl/>
          <w:lang w:bidi="fa-IR"/>
        </w:rPr>
        <w:t>َّ</w:t>
      </w:r>
      <w:r w:rsidR="00380DC7">
        <w:rPr>
          <w:rtl/>
          <w:lang w:bidi="fa-IR"/>
        </w:rPr>
        <w:t>ا</w:t>
      </w:r>
      <w:r w:rsidRPr="005D642E">
        <w:rPr>
          <w:rtl/>
          <w:lang w:bidi="fa-IR"/>
        </w:rPr>
        <w:t xml:space="preserve"> اللهُ ، وَرَحْمَةَ اللهِ ، وَشَفَاعَةَ رَسُولِ اللهِ </w:t>
      </w:r>
      <w:r w:rsidR="0042621E" w:rsidRPr="0042621E">
        <w:rPr>
          <w:rStyle w:val="libAlaemChar"/>
          <w:rtl/>
        </w:rPr>
        <w:t>صلى‌الله‌عليه‌وآله</w:t>
      </w:r>
      <w:r w:rsidRPr="005D642E">
        <w:rPr>
          <w:rtl/>
          <w:lang w:bidi="fa-IR"/>
        </w:rPr>
        <w:t xml:space="preserve"> ، فَلَنْ تَفُوتَهُ </w:t>
      </w:r>
      <w:r w:rsidRPr="007C12DB">
        <w:rPr>
          <w:rStyle w:val="libFootnotenumChar"/>
          <w:rtl/>
        </w:rPr>
        <w:t>(8)</w:t>
      </w:r>
      <w:r w:rsidRPr="005D642E">
        <w:rPr>
          <w:rtl/>
          <w:lang w:bidi="fa-IR"/>
        </w:rPr>
        <w:t xml:space="preserve"> وَاحِدَةٌ مِنْهُنَّ </w:t>
      </w:r>
      <w:r w:rsidRPr="007C12DB">
        <w:rPr>
          <w:rStyle w:val="libFootnotenumChar"/>
          <w:rtl/>
        </w:rPr>
        <w:t>(9)</w:t>
      </w:r>
      <w:r w:rsidRPr="005D642E">
        <w:rPr>
          <w:rtl/>
          <w:lang w:bidi="fa-IR"/>
        </w:rPr>
        <w:t xml:space="preserve"> إِنْ شَاءَ اللهُ</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r w:rsidRPr="005D642E">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w:t>
      </w:r>
      <w:r w:rsidR="00E3253D">
        <w:rPr>
          <w:rtl/>
        </w:rPr>
        <w:t xml:space="preserve"> </w:t>
      </w:r>
      <w:r w:rsidR="007642BC">
        <w:rPr>
          <w:rtl/>
        </w:rPr>
        <w:t>-</w:t>
      </w:r>
      <w:r w:rsidR="00E3253D">
        <w:rPr>
          <w:rtl/>
        </w:rPr>
        <w:t xml:space="preserve"> </w:t>
      </w:r>
      <w:r w:rsidR="00E3253D" w:rsidRPr="005D642E">
        <w:rPr>
          <w:rtl/>
        </w:rPr>
        <w:t>« بن إبراهيم</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 وفي المطبوع :</w:t>
      </w:r>
      <w:r w:rsidR="00E3253D">
        <w:rPr>
          <w:rtl/>
        </w:rPr>
        <w:t xml:space="preserve"> </w:t>
      </w:r>
      <w:r w:rsidR="007642BC">
        <w:rPr>
          <w:rtl/>
        </w:rPr>
        <w:t>-</w:t>
      </w:r>
      <w:r w:rsidR="00E3253D">
        <w:rPr>
          <w:rtl/>
        </w:rPr>
        <w:t xml:space="preserve"> </w:t>
      </w:r>
      <w:r w:rsidR="00E3253D" w:rsidRPr="005D642E">
        <w:rPr>
          <w:rtl/>
        </w:rPr>
        <w:t>« عن أبيه</w:t>
      </w:r>
      <w:r w:rsidR="00E3253D">
        <w:rPr>
          <w:rtl/>
        </w:rPr>
        <w:t xml:space="preserve"> ».</w:t>
      </w:r>
      <w:r w:rsidR="00E3253D" w:rsidRPr="005D642E">
        <w:rPr>
          <w:rtl/>
        </w:rPr>
        <w:t xml:space="preserve"> وهو سهو واضح ؛ كما يعلم ذلك من ملاحظة طبقة عليّ بن إبراهيم وابن أبي عمير ، وكثرة روايات عليّ بن إبراهيم ، عن أبيه ، عن ابن أبي عمير. راجع : </w:t>
      </w:r>
      <w:r w:rsidR="00E3253D" w:rsidRPr="002F4D34">
        <w:rPr>
          <w:rStyle w:val="libFootnoteBoldChar"/>
          <w:rtl/>
        </w:rPr>
        <w:t>معجم رجال الحديث</w:t>
      </w:r>
      <w:r w:rsidR="00E3253D" w:rsidRPr="005D642E">
        <w:rPr>
          <w:rtl/>
        </w:rPr>
        <w:t xml:space="preserve"> ، ج 1 ، ص 470</w:t>
      </w:r>
      <w:r w:rsidR="00E3253D">
        <w:rPr>
          <w:rtl/>
        </w:rPr>
        <w:t xml:space="preserve"> </w:t>
      </w:r>
      <w:r w:rsidR="007642BC">
        <w:rPr>
          <w:rtl/>
        </w:rPr>
        <w:t>-</w:t>
      </w:r>
      <w:r w:rsidR="00E3253D">
        <w:rPr>
          <w:rtl/>
        </w:rPr>
        <w:t xml:space="preserve"> </w:t>
      </w:r>
      <w:r w:rsidR="00E3253D" w:rsidRPr="005D642E">
        <w:rPr>
          <w:rtl/>
        </w:rPr>
        <w:t>493.</w:t>
      </w:r>
    </w:p>
    <w:p w:rsidR="00E3253D" w:rsidRPr="005D642E" w:rsidRDefault="00E3253D" w:rsidP="00E3253D">
      <w:pPr>
        <w:pStyle w:val="libFootnote0"/>
        <w:rPr>
          <w:rtl/>
          <w:lang w:bidi="fa-IR"/>
        </w:rPr>
      </w:pPr>
      <w:r w:rsidRPr="00B60612">
        <w:rPr>
          <w:rtl/>
        </w:rPr>
        <w:t xml:space="preserve">ويؤيّد ذلك ورود الخبر في </w:t>
      </w:r>
      <w:r w:rsidRPr="002F4D34">
        <w:rPr>
          <w:rStyle w:val="libFootnoteBoldChar"/>
          <w:rtl/>
        </w:rPr>
        <w:t>التهذيب</w:t>
      </w:r>
      <w:r w:rsidRPr="00B60612">
        <w:rPr>
          <w:rtl/>
        </w:rPr>
        <w:t xml:space="preserve"> ، ج 1 ، ص 463 ، ح 1514 </w:t>
      </w:r>
      <w:r w:rsidR="007642BC" w:rsidRPr="00B60612">
        <w:rPr>
          <w:rtl/>
        </w:rPr>
        <w:t>-</w:t>
      </w:r>
      <w:r w:rsidRPr="00B60612">
        <w:rPr>
          <w:rtl/>
        </w:rPr>
        <w:t xml:space="preserve"> والخبر مأخوذ من </w:t>
      </w:r>
      <w:r w:rsidRPr="002F4D34">
        <w:rPr>
          <w:rStyle w:val="libFootnoteBoldChar"/>
          <w:rtl/>
        </w:rPr>
        <w:t>الكافي</w:t>
      </w:r>
      <w:r w:rsidRPr="00B60612">
        <w:rPr>
          <w:rtl/>
        </w:rPr>
        <w:t xml:space="preserve"> من دون تصريح </w:t>
      </w:r>
      <w:r w:rsidR="007642BC" w:rsidRPr="00B60612">
        <w:rPr>
          <w:rtl/>
        </w:rPr>
        <w:t>-</w:t>
      </w:r>
      <w:r w:rsidRPr="00B60612">
        <w:rPr>
          <w:rtl/>
        </w:rPr>
        <w:t xml:space="preserve"> عن عليّ </w:t>
      </w:r>
      <w:r w:rsidR="007642BC" w:rsidRPr="00B60612">
        <w:rPr>
          <w:rtl/>
        </w:rPr>
        <w:t>-</w:t>
      </w:r>
      <w:r w:rsidRPr="00B60612">
        <w:rPr>
          <w:rtl/>
        </w:rPr>
        <w:t xml:space="preserve"> وقد عبّر عنه بالضمير </w:t>
      </w:r>
      <w:r w:rsidR="007642BC" w:rsidRPr="00B60612">
        <w:rPr>
          <w:rtl/>
        </w:rPr>
        <w:t>-</w:t>
      </w:r>
      <w:r w:rsidRPr="00B60612">
        <w:rPr>
          <w:rtl/>
        </w:rPr>
        <w:t xml:space="preserve"> عن أبيه ، عن ابن أبي عمير.</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 « بعض أصحابنا</w:t>
      </w:r>
      <w:r w:rsidR="00E3253D">
        <w:rPr>
          <w:rtl/>
        </w:rPr>
        <w:t xml:space="preserve"> ».</w:t>
      </w:r>
    </w:p>
    <w:p w:rsidR="00E3253D" w:rsidRPr="005D642E" w:rsidRDefault="0042621E" w:rsidP="00CD0999">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463 ، ح 1514 ، معلّقاً عن عليّ بن إبراهيم </w:t>
      </w:r>
      <w:r w:rsidR="00CD0999">
        <w:rPr>
          <w:rFonts w:hint="cs"/>
          <w:rtl/>
        </w:rPr>
        <w:t>.</w:t>
      </w:r>
      <w:r w:rsidR="00E3253D" w:rsidRPr="002F4D34">
        <w:rPr>
          <w:rStyle w:val="libFootnoteBoldChar"/>
          <w:rtl/>
        </w:rPr>
        <w:t>الوافي</w:t>
      </w:r>
      <w:r w:rsidR="00E3253D" w:rsidRPr="005D642E">
        <w:rPr>
          <w:rtl/>
        </w:rPr>
        <w:t xml:space="preserve"> ، ج 25 ، ص 553 ، ح 24642 ؛ </w:t>
      </w:r>
      <w:r w:rsidR="00E3253D" w:rsidRPr="002F4D34">
        <w:rPr>
          <w:rStyle w:val="libFootnoteBoldChar"/>
          <w:rtl/>
        </w:rPr>
        <w:t>الوسائل</w:t>
      </w:r>
      <w:r w:rsidR="00E3253D" w:rsidRPr="005D642E">
        <w:rPr>
          <w:rtl/>
        </w:rPr>
        <w:t xml:space="preserve"> ، ج 2 ، ص 443 ، ذيل ح 2597.</w:t>
      </w:r>
      <w:r w:rsidR="00CD0999">
        <w:rPr>
          <w:rFonts w:hint="cs"/>
          <w:rtl/>
        </w:rPr>
        <w:t xml:space="preserve">   </w:t>
      </w:r>
      <w:r w:rsidRPr="0042621E">
        <w:rPr>
          <w:rStyle w:val="libFootnote0Char"/>
          <w:rtl/>
        </w:rPr>
        <w:t>(5).</w:t>
      </w:r>
      <w:r w:rsidR="00CD0999">
        <w:rPr>
          <w:rtl/>
        </w:rPr>
        <w:t>في«بخ</w:t>
      </w:r>
      <w:r w:rsidR="00E3253D" w:rsidRPr="005D642E">
        <w:rPr>
          <w:rtl/>
        </w:rPr>
        <w:t>»</w:t>
      </w:r>
      <w:r w:rsidR="00B60612" w:rsidRPr="00B60612">
        <w:rPr>
          <w:rStyle w:val="libFootnoteBoldChar"/>
          <w:rtl/>
        </w:rPr>
        <w:t>والتهذيب</w:t>
      </w:r>
      <w:r w:rsidR="00CD0999">
        <w:rPr>
          <w:rtl/>
        </w:rPr>
        <w:t xml:space="preserve"> والثواب:«منه»بدل«</w:t>
      </w:r>
      <w:r w:rsidR="00E3253D" w:rsidRPr="005D642E">
        <w:rPr>
          <w:rtl/>
        </w:rPr>
        <w:t>من ابنك</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 + « قد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الوسائل </w:t>
      </w:r>
      <w:r w:rsidR="009E68BB" w:rsidRPr="009E68BB">
        <w:rPr>
          <w:rStyle w:val="libFootnoteBoldChar"/>
          <w:rtl/>
        </w:rPr>
        <w:t>وتحف العقول</w:t>
      </w:r>
      <w:r w:rsidR="00E3253D" w:rsidRPr="005D642E">
        <w:rPr>
          <w:rtl/>
        </w:rPr>
        <w:t xml:space="preserve"> وثواب الأعمال : « مراهقاً</w:t>
      </w:r>
      <w:r w:rsidR="00E3253D">
        <w:rPr>
          <w:rtl/>
        </w:rPr>
        <w:t xml:space="preserve"> ».</w:t>
      </w:r>
      <w:r w:rsidR="00E3253D" w:rsidRPr="005D642E">
        <w:rPr>
          <w:rtl/>
        </w:rPr>
        <w:t xml:space="preserve"> </w:t>
      </w:r>
      <w:r w:rsidR="00E3253D">
        <w:rPr>
          <w:rtl/>
        </w:rPr>
        <w:t>و «</w:t>
      </w:r>
      <w:r w:rsidR="00E3253D" w:rsidRPr="005D642E">
        <w:rPr>
          <w:rtl/>
        </w:rPr>
        <w:t xml:space="preserve"> المرهَّق » : من يأتي المحارم من شرب الخمر ونحوه ، أو من هو موصوف بالرَهَق ، وهو السفه وغشيان المحارم ، أو من هو متّهم بسوء وسفه ، أو من هو متّهم في دينه. والظاهر أنّ المراد هنا الأوّل ؛ وكأنّه خاف عليه أن يعذّب. راجع : </w:t>
      </w:r>
      <w:r w:rsidR="00E3253D" w:rsidRPr="002F4D34">
        <w:rPr>
          <w:rStyle w:val="libFootnoteBoldChar"/>
          <w:rtl/>
        </w:rPr>
        <w:t>لسان العرب</w:t>
      </w:r>
      <w:r w:rsidR="00E3253D" w:rsidRPr="005D642E">
        <w:rPr>
          <w:rtl/>
        </w:rPr>
        <w:t xml:space="preserve"> ، ج 10 ، ص 128 ( رهق )</w:t>
      </w:r>
      <w:r w:rsidR="00E3253D">
        <w:rPr>
          <w:rtl/>
        </w:rPr>
        <w:t>.</w:t>
      </w:r>
    </w:p>
    <w:tbl>
      <w:tblPr>
        <w:tblStyle w:val="TableGrid"/>
        <w:bidiVisual/>
        <w:tblW w:w="0" w:type="auto"/>
        <w:tblLook w:val="04A0" w:firstRow="1" w:lastRow="0" w:firstColumn="1" w:lastColumn="0" w:noHBand="0" w:noVBand="1"/>
      </w:tblPr>
      <w:tblGrid>
        <w:gridCol w:w="4006"/>
        <w:gridCol w:w="4006"/>
      </w:tblGrid>
      <w:tr w:rsidR="00CD0999" w:rsidTr="00CD0999">
        <w:tc>
          <w:tcPr>
            <w:tcW w:w="4006" w:type="dxa"/>
          </w:tcPr>
          <w:p w:rsidR="00CD0999" w:rsidRDefault="00CD0999" w:rsidP="00E3253D">
            <w:pPr>
              <w:pStyle w:val="libFootnote0"/>
              <w:rPr>
                <w:rStyle w:val="libFootnote0Char"/>
                <w:rtl/>
              </w:rPr>
            </w:pPr>
            <w:r w:rsidRPr="0042621E">
              <w:rPr>
                <w:rStyle w:val="libFootnote0Char"/>
                <w:rtl/>
              </w:rPr>
              <w:t>(8).</w:t>
            </w:r>
            <w:r w:rsidRPr="005D642E">
              <w:rPr>
                <w:rtl/>
              </w:rPr>
              <w:t xml:space="preserve"> في « بف » والثواب : « فلن يفوته</w:t>
            </w:r>
            <w:r>
              <w:rPr>
                <w:rtl/>
              </w:rPr>
              <w:t xml:space="preserve"> ».</w:t>
            </w:r>
          </w:p>
        </w:tc>
        <w:tc>
          <w:tcPr>
            <w:tcW w:w="4006" w:type="dxa"/>
          </w:tcPr>
          <w:p w:rsidR="00CD0999" w:rsidRDefault="00CD0999" w:rsidP="00E3253D">
            <w:pPr>
              <w:pStyle w:val="libFootnote0"/>
              <w:rPr>
                <w:rStyle w:val="libFootnote0Char"/>
                <w:rtl/>
              </w:rPr>
            </w:pPr>
            <w:r w:rsidRPr="0042621E">
              <w:rPr>
                <w:rStyle w:val="libFootnote0Char"/>
                <w:rtl/>
              </w:rPr>
              <w:t>(9).</w:t>
            </w:r>
            <w:r w:rsidRPr="005D642E">
              <w:rPr>
                <w:rtl/>
              </w:rPr>
              <w:t xml:space="preserve"> في « ظ » :</w:t>
            </w:r>
            <w:r>
              <w:rPr>
                <w:rtl/>
              </w:rPr>
              <w:t xml:space="preserve"> - </w:t>
            </w:r>
            <w:r w:rsidRPr="005D642E">
              <w:rPr>
                <w:rtl/>
              </w:rPr>
              <w:t>« منهنّ</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468 ، ح 1437 ، معلّقاً عن أحمد بن محمّد. </w:t>
      </w:r>
      <w:r w:rsidR="00E3253D" w:rsidRPr="002F4D34">
        <w:rPr>
          <w:rStyle w:val="libFootnoteBoldChar"/>
          <w:rtl/>
        </w:rPr>
        <w:t>ثواب الأعمال</w:t>
      </w:r>
      <w:r w:rsidR="00E3253D" w:rsidRPr="005D642E">
        <w:rPr>
          <w:rtl/>
        </w:rPr>
        <w:t xml:space="preserve"> ، ص 235 ، ح 3 ، بسنده </w:t>
      </w:r>
      <w:r w:rsidR="00AE5E8A">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12B2E">
        <w:rPr>
          <w:rtl/>
        </w:rPr>
        <w:t>4592</w:t>
      </w:r>
      <w:r w:rsidRPr="00246318">
        <w:rPr>
          <w:rStyle w:val="libBold2Char"/>
          <w:rtl/>
        </w:rPr>
        <w:t xml:space="preserve"> / 8.</w:t>
      </w:r>
      <w:r w:rsidRPr="005D642E">
        <w:rPr>
          <w:rtl/>
          <w:lang w:bidi="fa-IR"/>
        </w:rPr>
        <w:t xml:space="preserve"> الْحُسَيْنُ بْنُ مُحَمَّدٍ ، عَنْ أَحْمَدَ بْنِ إِسْحَاقَ ، عَنْ سَعْدَانَ بْنِ مُسْلِمٍ ، عَنْ أَبِي بَصِيرٍ :</w:t>
      </w:r>
    </w:p>
    <w:p w:rsidR="00E3253D" w:rsidRPr="005D642E" w:rsidRDefault="00E3253D" w:rsidP="00E3253D">
      <w:pPr>
        <w:pStyle w:val="libNormal"/>
        <w:rPr>
          <w:rtl/>
          <w:lang w:bidi="fa-IR"/>
        </w:rPr>
      </w:pPr>
      <w:r w:rsidRPr="005D642E">
        <w:rPr>
          <w:rtl/>
          <w:lang w:bidi="fa-IR"/>
        </w:rPr>
        <w:t xml:space="preserve">عَنْ‌أَبِي عَبْدِ اللهِ </w:t>
      </w:r>
      <w:r w:rsidRPr="00AC51C5">
        <w:rPr>
          <w:rStyle w:val="libAlaemChar"/>
          <w:rtl/>
        </w:rPr>
        <w:t>عليه‌السلام</w:t>
      </w:r>
      <w:r w:rsidRPr="005D642E">
        <w:rPr>
          <w:rtl/>
          <w:lang w:bidi="fa-IR"/>
        </w:rPr>
        <w:t xml:space="preserve"> ، قَالَ : « يَنْبَغِي لِصَاحِبِ الْمُصِيبَةِ أَنْ لَايَلْبَسَ رِدَاءً ، وَأَنْ يَكُونَ فِي قَمِيصٍ حَتّى يُعْرَفَ</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2B7744" w:rsidRDefault="00E3253D" w:rsidP="002B7744">
      <w:pPr>
        <w:pStyle w:val="libNormal"/>
        <w:rPr>
          <w:rtl/>
          <w:lang w:bidi="fa-IR"/>
        </w:rPr>
      </w:pPr>
      <w:r w:rsidRPr="00212B2E">
        <w:rPr>
          <w:rtl/>
        </w:rPr>
        <w:t>4593</w:t>
      </w:r>
      <w:r w:rsidRPr="00246318">
        <w:rPr>
          <w:rStyle w:val="libBold2Char"/>
          <w:rtl/>
        </w:rPr>
        <w:t xml:space="preserve"> / 9.</w:t>
      </w:r>
      <w:r w:rsidRPr="005D642E">
        <w:rPr>
          <w:rtl/>
          <w:lang w:bidi="fa-IR"/>
        </w:rPr>
        <w:t xml:space="preserve"> عَلِيُّ بْنُ إِبْرَاهِيمَ ، عَنْ أَبِيهِ ؛</w:t>
      </w:r>
    </w:p>
    <w:p w:rsidR="00E3253D" w:rsidRPr="005D642E" w:rsidRDefault="00312BD7" w:rsidP="002B7744">
      <w:pPr>
        <w:pStyle w:val="libNormal"/>
        <w:rPr>
          <w:rtl/>
          <w:lang w:bidi="fa-IR"/>
        </w:rPr>
      </w:pPr>
      <w:r>
        <w:rPr>
          <w:rFonts w:hint="cs"/>
          <w:rtl/>
          <w:lang w:bidi="fa-IR"/>
        </w:rPr>
        <w:t xml:space="preserve">           </w:t>
      </w:r>
      <w:r w:rsidR="002B7744">
        <w:rPr>
          <w:rFonts w:hint="cs"/>
          <w:rtl/>
          <w:lang w:bidi="fa-IR"/>
        </w:rPr>
        <w:t xml:space="preserve">  </w:t>
      </w:r>
      <w:r w:rsidR="00E3253D" w:rsidRPr="005D642E">
        <w:rPr>
          <w:rtl/>
          <w:lang w:bidi="fa-IR"/>
        </w:rPr>
        <w:t>وَمُحَمَّدُ بْنُ إِسْمَاعِيلَ ، عَنِ الْفَضْلِ بْنِ شَاذَانَ جَمِيعاً ، عَنِ ابْنِ أَبِي عُمَيْرٍ ، عَنْ هِشَامِ بْنِ الْحَكَمِ ، قَالَ :</w:t>
      </w:r>
    </w:p>
    <w:p w:rsidR="00E3253D" w:rsidRPr="005D642E" w:rsidRDefault="00E3253D" w:rsidP="00E3253D">
      <w:pPr>
        <w:pStyle w:val="libNormal"/>
        <w:rPr>
          <w:rtl/>
          <w:lang w:bidi="fa-IR"/>
        </w:rPr>
      </w:pPr>
      <w:r w:rsidRPr="005D642E">
        <w:rPr>
          <w:rtl/>
          <w:lang w:bidi="fa-IR"/>
        </w:rPr>
        <w:t xml:space="preserve">رَأَيْتُ مُوسى </w:t>
      </w:r>
      <w:r w:rsidRPr="007C12DB">
        <w:rPr>
          <w:rStyle w:val="libFootnotenumChar"/>
          <w:rtl/>
        </w:rPr>
        <w:t>(2)</w:t>
      </w:r>
      <w:r w:rsidRPr="005D642E">
        <w:rPr>
          <w:rtl/>
          <w:lang w:bidi="fa-IR"/>
        </w:rPr>
        <w:t xml:space="preserve"> </w:t>
      </w:r>
      <w:r w:rsidRPr="00AC51C5">
        <w:rPr>
          <w:rStyle w:val="libAlaemChar"/>
          <w:rtl/>
        </w:rPr>
        <w:t>عليه‌السلام</w:t>
      </w:r>
      <w:r w:rsidRPr="005D642E">
        <w:rPr>
          <w:rtl/>
          <w:lang w:bidi="fa-IR"/>
        </w:rPr>
        <w:t xml:space="preserve"> يُعَزِّي قَبْلَ الدَّفْنِ وَبَعْدَهُ.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212B2E">
        <w:rPr>
          <w:rtl/>
        </w:rPr>
        <w:t>4594</w:t>
      </w:r>
      <w:r w:rsidRPr="00246318">
        <w:rPr>
          <w:rStyle w:val="libBold2Char"/>
          <w:rtl/>
        </w:rPr>
        <w:t xml:space="preserve"> / 10.</w:t>
      </w:r>
      <w:r w:rsidRPr="005D642E">
        <w:rPr>
          <w:rtl/>
          <w:lang w:bidi="fa-IR"/>
        </w:rPr>
        <w:t xml:space="preserve"> عِدَّةٌ مِنْ أَصْحَابِنَا ، عَنْ سَهْلِ بْنِ زِيَادٍ ، عَنِ ابْنِ مَهْزِيَارَ </w:t>
      </w:r>
      <w:r w:rsidRPr="007C12DB">
        <w:rPr>
          <w:rStyle w:val="libFootnotenumChar"/>
          <w:rtl/>
        </w:rPr>
        <w:t>(4)</w:t>
      </w:r>
      <w:r w:rsidRPr="005D642E">
        <w:rPr>
          <w:rtl/>
          <w:lang w:bidi="fa-IR"/>
        </w:rPr>
        <w:t xml:space="preserve">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591326" w:rsidP="00E3253D">
      <w:pPr>
        <w:pStyle w:val="libFootnote0"/>
        <w:rPr>
          <w:rtl/>
          <w:lang w:bidi="fa-IR"/>
        </w:rPr>
      </w:pPr>
      <w:r>
        <w:rPr>
          <w:rFonts w:hint="cs"/>
          <w:rtl/>
        </w:rPr>
        <w:t xml:space="preserve">= </w:t>
      </w:r>
      <w:r w:rsidR="00E3253D" w:rsidRPr="005D642E">
        <w:rPr>
          <w:rtl/>
        </w:rPr>
        <w:t xml:space="preserve">عن أحمد بن محمّد بن عيسى ، عن عليّ بن الحكم ، عن رفاعة بن موسى النخّاس ، عن أبي عبدالله </w:t>
      </w:r>
      <w:r w:rsidR="00E3253D" w:rsidRPr="00227494">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174 ، ج 508 ، مرسلاً ، وفي كلّها مع اختلاف يسير </w:t>
      </w:r>
      <w:r w:rsidR="00227494">
        <w:rPr>
          <w:rFonts w:hint="cs"/>
          <w:rtl/>
        </w:rPr>
        <w:t>.</w:t>
      </w:r>
      <w:r w:rsidR="00E3253D" w:rsidRPr="002F4D34">
        <w:rPr>
          <w:rStyle w:val="libFootnoteBoldChar"/>
          <w:rtl/>
        </w:rPr>
        <w:t>الوافي</w:t>
      </w:r>
      <w:r w:rsidR="00E3253D" w:rsidRPr="005D642E">
        <w:rPr>
          <w:rtl/>
        </w:rPr>
        <w:t xml:space="preserve"> ، ج 25 ، ص 554 ، ح 24648 ؛ </w:t>
      </w:r>
      <w:r w:rsidR="00E3253D" w:rsidRPr="002F4D34">
        <w:rPr>
          <w:rStyle w:val="libFootnoteBoldChar"/>
          <w:rtl/>
        </w:rPr>
        <w:t>الوسائل</w:t>
      </w:r>
      <w:r w:rsidR="00E3253D" w:rsidRPr="005D642E">
        <w:rPr>
          <w:rtl/>
        </w:rPr>
        <w:t xml:space="preserve"> ، ج 3 ، ص 217 ، ح 3449.</w:t>
      </w:r>
    </w:p>
    <w:p w:rsidR="00E3253D" w:rsidRPr="005D642E" w:rsidRDefault="0042621E" w:rsidP="00227494">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463 ، ح 1515 ، معلّقاً عن الكليني. </w:t>
      </w:r>
      <w:r w:rsidR="00E3253D" w:rsidRPr="002F4D34">
        <w:rPr>
          <w:rStyle w:val="libFootnoteBoldChar"/>
          <w:rtl/>
        </w:rPr>
        <w:t>المحاسن</w:t>
      </w:r>
      <w:r w:rsidR="00E3253D" w:rsidRPr="005D642E">
        <w:rPr>
          <w:rtl/>
        </w:rPr>
        <w:t xml:space="preserve"> ، ص 419 ، كتاب المآكل ، ح 189 ، عن أبيه ، عن سعدان. </w:t>
      </w:r>
      <w:r w:rsidR="00E3253D" w:rsidRPr="002F4D34">
        <w:rPr>
          <w:rStyle w:val="libFootnoteBoldChar"/>
          <w:rtl/>
        </w:rPr>
        <w:t>علل الشرائع</w:t>
      </w:r>
      <w:r w:rsidR="00E3253D" w:rsidRPr="005D642E">
        <w:rPr>
          <w:rtl/>
        </w:rPr>
        <w:t xml:space="preserve"> ، ص 307 ، ح 1 ، بسنده عن سعدان بن مسلم ، عن عليّ بن أبي حمزة ، عن أبي عبدالله </w:t>
      </w:r>
      <w:r w:rsidR="00E3253D" w:rsidRPr="00227494">
        <w:rPr>
          <w:rStyle w:val="libFootnoteAlaemChar"/>
          <w:rtl/>
        </w:rPr>
        <w:t>عليه‌السلام</w:t>
      </w:r>
      <w:r w:rsidR="00E3253D" w:rsidRPr="005D642E">
        <w:rPr>
          <w:rtl/>
        </w:rPr>
        <w:t xml:space="preserve"> أو عن أبي بصير ، عن أبي عبدالله </w:t>
      </w:r>
      <w:r w:rsidR="00E3253D" w:rsidRPr="00227494">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174 ، ح 509 ، معلّقاً عن أبي بصير ، وفي الثلاثة الأخيرَة مع اختلاف يسير وزيادة في آخره </w:t>
      </w:r>
      <w:r w:rsidR="00227494">
        <w:rPr>
          <w:rFonts w:hint="cs"/>
          <w:rtl/>
        </w:rPr>
        <w:t>.</w:t>
      </w:r>
      <w:r w:rsidR="00E3253D" w:rsidRPr="002F4D34">
        <w:rPr>
          <w:rStyle w:val="libFootnoteBoldChar"/>
          <w:rtl/>
        </w:rPr>
        <w:t>الوافي</w:t>
      </w:r>
      <w:r w:rsidR="00E3253D" w:rsidRPr="005D642E">
        <w:rPr>
          <w:rtl/>
        </w:rPr>
        <w:t xml:space="preserve"> ، ج 25 ، ص 554 ، ح 24643 ؛ </w:t>
      </w:r>
      <w:r w:rsidR="00E3253D" w:rsidRPr="002F4D34">
        <w:rPr>
          <w:rStyle w:val="libFootnoteBoldChar"/>
          <w:rtl/>
        </w:rPr>
        <w:t>الوسائل</w:t>
      </w:r>
      <w:r w:rsidR="00E3253D" w:rsidRPr="005D642E">
        <w:rPr>
          <w:rtl/>
        </w:rPr>
        <w:t xml:space="preserve"> ، ج 2 ، ص 441 ، ذيل ح 2590.</w:t>
      </w:r>
      <w:r w:rsidR="00227494">
        <w:rPr>
          <w:rFonts w:hint="cs"/>
          <w:rtl/>
        </w:rPr>
        <w:t xml:space="preserve">          </w:t>
      </w:r>
      <w:r w:rsidRPr="0042621E">
        <w:rPr>
          <w:rStyle w:val="libFootnote0Char"/>
          <w:rtl/>
        </w:rPr>
        <w:t>(2).</w:t>
      </w:r>
      <w:r w:rsidR="00E3253D" w:rsidRPr="005D642E">
        <w:rPr>
          <w:rtl/>
        </w:rPr>
        <w:t xml:space="preserve"> في الفقيه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 بن جعفر</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الاستبصار</w:t>
      </w:r>
      <w:r w:rsidR="00E3253D" w:rsidRPr="005D642E">
        <w:rPr>
          <w:rtl/>
        </w:rPr>
        <w:t xml:space="preserve"> ، ج 1 ، ص 217 ، ح 769 ، بسنده عن الكليني. </w:t>
      </w:r>
      <w:r w:rsidR="00E3253D" w:rsidRPr="002F4D34">
        <w:rPr>
          <w:rStyle w:val="libFootnoteBoldChar"/>
          <w:rtl/>
        </w:rPr>
        <w:t>التهذيب</w:t>
      </w:r>
      <w:r w:rsidR="00E3253D" w:rsidRPr="005D642E">
        <w:rPr>
          <w:rtl/>
        </w:rPr>
        <w:t xml:space="preserve"> ، ج 1 ، ص 463 ، ح 1516 ، معلّقاً عن عليّ ، عن أبيه. </w:t>
      </w:r>
      <w:r w:rsidR="00E3253D" w:rsidRPr="002F4D34">
        <w:rPr>
          <w:rStyle w:val="libFootnoteBoldChar"/>
          <w:rtl/>
        </w:rPr>
        <w:t>الفقيه</w:t>
      </w:r>
      <w:r w:rsidR="00E3253D" w:rsidRPr="005D642E">
        <w:rPr>
          <w:rtl/>
        </w:rPr>
        <w:t xml:space="preserve"> ، ج 1 ، ص 173 ، ح 503 ، معلّقاً عن هشام بن الحكم </w:t>
      </w:r>
      <w:r w:rsidR="004B6702">
        <w:rPr>
          <w:rFonts w:hint="cs"/>
          <w:rtl/>
        </w:rPr>
        <w:t>.</w:t>
      </w:r>
      <w:r w:rsidR="00E3253D" w:rsidRPr="002F4D34">
        <w:rPr>
          <w:rStyle w:val="libFootnoteBoldChar"/>
          <w:rtl/>
        </w:rPr>
        <w:t>الوافي</w:t>
      </w:r>
      <w:r w:rsidR="00E3253D" w:rsidRPr="005D642E">
        <w:rPr>
          <w:rtl/>
        </w:rPr>
        <w:t xml:space="preserve"> ، ج 25 ، ص 552 ، ح 24641 ؛ </w:t>
      </w:r>
      <w:r w:rsidR="00E3253D" w:rsidRPr="002F4D34">
        <w:rPr>
          <w:rStyle w:val="libFootnoteBoldChar"/>
          <w:rtl/>
        </w:rPr>
        <w:t>الوسائل</w:t>
      </w:r>
      <w:r w:rsidR="00E3253D" w:rsidRPr="005D642E">
        <w:rPr>
          <w:rtl/>
        </w:rPr>
        <w:t xml:space="preserve"> ، ج 3 ، ص 215 ، ذيل ح 3444 ؛ </w:t>
      </w:r>
      <w:r w:rsidR="00E3253D" w:rsidRPr="002F4D34">
        <w:rPr>
          <w:rStyle w:val="libFootnoteBoldChar"/>
          <w:rtl/>
        </w:rPr>
        <w:t>البحار</w:t>
      </w:r>
      <w:r w:rsidR="00E3253D" w:rsidRPr="005D642E">
        <w:rPr>
          <w:rtl/>
        </w:rPr>
        <w:t xml:space="preserve"> ، ج 82 ، ص 112 ، ذيل ح 55.</w:t>
      </w:r>
    </w:p>
    <w:p w:rsidR="00E3253D" w:rsidRDefault="0042621E" w:rsidP="00E3253D">
      <w:pPr>
        <w:pStyle w:val="libFootnote0"/>
        <w:rPr>
          <w:rtl/>
        </w:rPr>
      </w:pPr>
      <w:r w:rsidRPr="0042621E">
        <w:rPr>
          <w:rStyle w:val="libFootnote0Char"/>
          <w:rtl/>
        </w:rPr>
        <w:t>(4).</w:t>
      </w:r>
      <w:r w:rsidR="00E3253D" w:rsidRPr="005D642E">
        <w:rPr>
          <w:rtl/>
        </w:rPr>
        <w:t xml:space="preserve"> هكذا في « بف » وحاشية « بث</w:t>
      </w:r>
      <w:r w:rsidR="00E3253D">
        <w:rPr>
          <w:rtl/>
        </w:rPr>
        <w:t xml:space="preserve"> ».</w:t>
      </w:r>
      <w:r w:rsidR="00E3253D" w:rsidRPr="005D642E">
        <w:rPr>
          <w:rtl/>
        </w:rPr>
        <w:t xml:space="preserve"> وفي سائر النسخ والمطبوع والوسائل : « ابن مهران ».</w:t>
      </w:r>
    </w:p>
    <w:p w:rsidR="00E3253D" w:rsidRPr="005D642E" w:rsidRDefault="00E3253D" w:rsidP="00E3253D">
      <w:pPr>
        <w:pStyle w:val="libFootnote0"/>
        <w:rPr>
          <w:rtl/>
          <w:lang w:bidi="fa-IR"/>
        </w:rPr>
      </w:pPr>
      <w:r w:rsidRPr="005D642E">
        <w:rPr>
          <w:rtl/>
        </w:rPr>
        <w:t xml:space="preserve">والظاهر أنّ الصواب ما أثبتناه ؛ فإنّ ابن مهران في مشايخ سهل بن زياد ، هو إسماعيل بن مهران ، ولم نجد في رواياته نقل مكاتبات أبي جعفر الثاني </w:t>
      </w:r>
      <w:r w:rsidRPr="00227494">
        <w:rPr>
          <w:rStyle w:val="libFootnoteAlaemChar"/>
          <w:rtl/>
        </w:rPr>
        <w:t>عليه‌السلام</w:t>
      </w:r>
      <w:r w:rsidRPr="005D642E">
        <w:rPr>
          <w:rtl/>
        </w:rPr>
        <w:t xml:space="preserve"> </w:t>
      </w:r>
      <w:r w:rsidR="004B6702">
        <w:rPr>
          <w:rtl/>
        </w:rPr>
        <w:t>إل</w:t>
      </w:r>
      <w:r w:rsidR="004B6702">
        <w:rPr>
          <w:rFonts w:hint="cs"/>
          <w:rtl/>
        </w:rPr>
        <w:t>ّ</w:t>
      </w:r>
      <w:r w:rsidR="004B6702">
        <w:rPr>
          <w:rtl/>
        </w:rPr>
        <w:t>ا</w:t>
      </w:r>
      <w:r w:rsidRPr="005D642E">
        <w:rPr>
          <w:rtl/>
        </w:rPr>
        <w:t>في هذا الخبر وما يأتي في ح 4640 ، والمذكور هناك أيضاً « ابن مه</w:t>
      </w:r>
      <w:r w:rsidR="00CF4A60">
        <w:rPr>
          <w:rtl/>
        </w:rPr>
        <w:t>ران » لا إسماعيل بن مهران ، إل</w:t>
      </w:r>
      <w:r w:rsidR="00CF4A60">
        <w:rPr>
          <w:rFonts w:hint="cs"/>
          <w:rtl/>
        </w:rPr>
        <w:t>ّ</w:t>
      </w:r>
      <w:r w:rsidR="00CF4A60">
        <w:rPr>
          <w:rtl/>
        </w:rPr>
        <w:t>ا</w:t>
      </w:r>
      <w:r>
        <w:rPr>
          <w:rFonts w:hint="cs"/>
          <w:rtl/>
        </w:rPr>
        <w:t xml:space="preserve"> </w:t>
      </w:r>
      <w:r w:rsidRPr="005D642E">
        <w:rPr>
          <w:rtl/>
        </w:rPr>
        <w:t xml:space="preserve">أنّ في بعض النسخ المعتبرة مثل « بخ » </w:t>
      </w:r>
      <w:r>
        <w:rPr>
          <w:rtl/>
        </w:rPr>
        <w:t>و «</w:t>
      </w:r>
      <w:r w:rsidRPr="005D642E">
        <w:rPr>
          <w:rtl/>
        </w:rPr>
        <w:t xml:space="preserve"> بف » : « ابن مهزيار » بدل « ابن مهران » ، والصواب هو « ابن مهزيار » ؛ لما يأتي في ح 4785 من نقل الخبر عن عدّة من أصحابنا عن سهل بن </w:t>
      </w:r>
      <w:r w:rsidR="004440E5">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كَتَبَ أَبُو جَعْفَرٍ الثَّانِي </w:t>
      </w:r>
      <w:r w:rsidRPr="00AC51C5">
        <w:rPr>
          <w:rStyle w:val="libAlaemChar"/>
          <w:rtl/>
        </w:rPr>
        <w:t>عليه‌السلام</w:t>
      </w:r>
      <w:r w:rsidRPr="005D642E">
        <w:rPr>
          <w:rtl/>
          <w:lang w:bidi="fa-IR"/>
        </w:rPr>
        <w:t xml:space="preserve"> إِلى رَجُلٍ : « ذَكَرْتَ مُصِيبَتَكَ بِعَلِيٍّ ابْنِكَ ، وَذَكَرْتَ أَنَّهُ كَانَ أَحَبَّ وُلْدِكَ إِلَيْكَ ، وَكَذلِكَ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إِنَّمَا يَأْخُذُ مِنَ الْوَالِدِ </w:t>
      </w:r>
      <w:r w:rsidRPr="007C12DB">
        <w:rPr>
          <w:rStyle w:val="libFootnotenumChar"/>
          <w:rtl/>
        </w:rPr>
        <w:t>(1)</w:t>
      </w:r>
      <w:r w:rsidRPr="005D642E">
        <w:rPr>
          <w:rtl/>
          <w:lang w:bidi="fa-IR"/>
        </w:rPr>
        <w:t xml:space="preserve"> وَغَيْرِهِ أَزْكى مَا عِنْدَ أَهْلِهِ لِيُعْظِمَ بِهِ أَجْرَ الْمُصَابِ بِالْمُصِيبَةِ ، فَأَعْظَمَ </w:t>
      </w:r>
      <w:r w:rsidRPr="007C12DB">
        <w:rPr>
          <w:rStyle w:val="libFootnotenumChar"/>
          <w:rtl/>
        </w:rPr>
        <w:t>(2)</w:t>
      </w:r>
      <w:r w:rsidRPr="005D642E">
        <w:rPr>
          <w:rtl/>
          <w:lang w:bidi="fa-IR"/>
        </w:rPr>
        <w:t xml:space="preserve"> اللهُ أَجْرَكَ ، وَأَحْسَنَ عَزَاكَ ، وَرَبَطَ عَلى قَلْبِكَ ؛ إِنَّهُ قَدِيرٌ ، وَعَجَّلَ اللهُ عَلَيْكَ بِالْخَلَفِ ، وَأَرْجُو أَنْ يَكُونَ اللهُ </w:t>
      </w:r>
      <w:r w:rsidRPr="007C12DB">
        <w:rPr>
          <w:rStyle w:val="libFootnotenumChar"/>
          <w:rtl/>
        </w:rPr>
        <w:t>(3)</w:t>
      </w:r>
      <w:r w:rsidRPr="005D642E">
        <w:rPr>
          <w:rtl/>
          <w:lang w:bidi="fa-IR"/>
        </w:rPr>
        <w:t xml:space="preserve"> قَدْ فَعَلَ إِنْ شَاءَ اللهُ تَعَالى</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470" w:name="_Toc344647368"/>
      <w:bookmarkStart w:id="471" w:name="_Toc462226882"/>
      <w:bookmarkStart w:id="472" w:name="_Toc40975990"/>
      <w:r w:rsidRPr="005D642E">
        <w:rPr>
          <w:rtl/>
          <w:lang w:bidi="fa-IR"/>
        </w:rPr>
        <w:t>71</w:t>
      </w:r>
      <w:r>
        <w:rPr>
          <w:rtl/>
          <w:lang w:bidi="fa-IR"/>
        </w:rPr>
        <w:t xml:space="preserve"> </w:t>
      </w:r>
      <w:r w:rsidR="007642BC">
        <w:rPr>
          <w:rtl/>
          <w:lang w:bidi="fa-IR"/>
        </w:rPr>
        <w:t>-</w:t>
      </w:r>
      <w:r>
        <w:rPr>
          <w:rtl/>
          <w:lang w:bidi="fa-IR"/>
        </w:rPr>
        <w:t xml:space="preserve"> </w:t>
      </w:r>
      <w:r w:rsidRPr="005D642E">
        <w:rPr>
          <w:rtl/>
          <w:lang w:bidi="fa-IR"/>
        </w:rPr>
        <w:t>بَابُ ثَوَابِ مَنْ عَزّى حَزِيناً‌</w:t>
      </w:r>
      <w:bookmarkEnd w:id="470"/>
      <w:bookmarkEnd w:id="471"/>
      <w:bookmarkEnd w:id="472"/>
    </w:p>
    <w:p w:rsidR="00E3253D" w:rsidRPr="005D642E" w:rsidRDefault="00E3253D" w:rsidP="00E3253D">
      <w:pPr>
        <w:pStyle w:val="libNormal"/>
        <w:rPr>
          <w:rtl/>
          <w:lang w:bidi="fa-IR"/>
        </w:rPr>
      </w:pPr>
      <w:r w:rsidRPr="00212B2E">
        <w:rPr>
          <w:rtl/>
        </w:rPr>
        <w:t>4595</w:t>
      </w:r>
      <w:r w:rsidRPr="00246318">
        <w:rPr>
          <w:rStyle w:val="libBold2Char"/>
          <w:rtl/>
        </w:rPr>
        <w:t xml:space="preserve"> / 1.</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عَنْ آبَائِهِ </w:t>
      </w:r>
      <w:r w:rsidRPr="00AC51C5">
        <w:rPr>
          <w:rStyle w:val="libAlaemChar"/>
          <w:rtl/>
        </w:rPr>
        <w:t>عليهم‌السلام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مَنْ عَزّى حَزِيناً ، كُسِيَ فِي الْمَوْقِفِ حُلَّةً يُحَبَّرُ </w:t>
      </w:r>
      <w:r w:rsidRPr="007C12DB">
        <w:rPr>
          <w:rStyle w:val="libFootnotenumChar"/>
          <w:rtl/>
        </w:rPr>
        <w:t>(5)</w:t>
      </w:r>
      <w:r w:rsidRPr="005D642E">
        <w:rPr>
          <w:rtl/>
          <w:lang w:bidi="fa-IR"/>
        </w:rPr>
        <w:t xml:space="preserve"> بِهَا</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212B2E">
        <w:rPr>
          <w:rtl/>
        </w:rPr>
        <w:t>4596</w:t>
      </w:r>
      <w:r w:rsidRPr="00246318">
        <w:rPr>
          <w:rStyle w:val="libBold2Char"/>
          <w:rtl/>
        </w:rPr>
        <w:t xml:space="preserve"> / 2.</w:t>
      </w:r>
      <w:r w:rsidRPr="005D642E">
        <w:rPr>
          <w:rtl/>
          <w:lang w:bidi="fa-IR"/>
        </w:rPr>
        <w:t xml:space="preserve"> عِدَّةٌ مِنْ أَصْحَابِنَا ، عَنْ أَحْمَدَ بْنِ مُحَمَّدِ بْنِ خَالِدٍ ، عَنْ أَبِيهِ ، عَنْ وَهْبٍ :</w:t>
      </w:r>
    </w:p>
    <w:p w:rsidR="00E3253D" w:rsidRPr="005D642E" w:rsidRDefault="00E3253D" w:rsidP="00E3253D">
      <w:pPr>
        <w:pStyle w:val="libLine"/>
        <w:rPr>
          <w:rtl/>
          <w:lang w:bidi="fa-IR"/>
        </w:rPr>
      </w:pPr>
      <w:r w:rsidRPr="005D642E">
        <w:rPr>
          <w:rtl/>
          <w:lang w:bidi="fa-IR"/>
        </w:rPr>
        <w:t>__________________</w:t>
      </w:r>
    </w:p>
    <w:p w:rsidR="00E3253D" w:rsidRPr="005D642E" w:rsidRDefault="0092209A" w:rsidP="00E3253D">
      <w:pPr>
        <w:pStyle w:val="libFootnote0"/>
        <w:rPr>
          <w:rtl/>
          <w:lang w:bidi="fa-IR"/>
        </w:rPr>
      </w:pPr>
      <w:r>
        <w:rPr>
          <w:rFonts w:hint="cs"/>
          <w:rtl/>
        </w:rPr>
        <w:t xml:space="preserve">= </w:t>
      </w:r>
      <w:r w:rsidR="00E3253D" w:rsidRPr="005D642E">
        <w:rPr>
          <w:rtl/>
        </w:rPr>
        <w:t xml:space="preserve">زياد ، عن عليّ بن مهزيار ، قال : كتب إلى أبي جعفر </w:t>
      </w:r>
      <w:r w:rsidR="00E3253D" w:rsidRPr="001F4EC9">
        <w:rPr>
          <w:rStyle w:val="libFootnoteAlaemChar"/>
          <w:rtl/>
        </w:rPr>
        <w:t>عليه‌السلام</w:t>
      </w:r>
      <w:r w:rsidR="00E3253D" w:rsidRPr="005D642E">
        <w:rPr>
          <w:rtl/>
        </w:rPr>
        <w:t xml:space="preserve"> رجل</w:t>
      </w:r>
      <w:r w:rsidR="00E3253D">
        <w:rPr>
          <w:rtl/>
        </w:rPr>
        <w:t xml:space="preserve"> ..</w:t>
      </w:r>
      <w:r w:rsidR="00E3253D" w:rsidRPr="005D642E">
        <w:rPr>
          <w:rtl/>
        </w:rPr>
        <w:t>.</w:t>
      </w:r>
    </w:p>
    <w:p w:rsidR="00E3253D" w:rsidRPr="005D642E" w:rsidRDefault="00E3253D" w:rsidP="00E3253D">
      <w:pPr>
        <w:pStyle w:val="libFootnote0"/>
        <w:rPr>
          <w:rtl/>
          <w:lang w:bidi="fa-IR"/>
        </w:rPr>
      </w:pPr>
      <w:r w:rsidRPr="00B60612">
        <w:rPr>
          <w:rtl/>
        </w:rPr>
        <w:t xml:space="preserve">وعليّ بن مهزيار كان من وكلاءِ أبي جعفر الثاني </w:t>
      </w:r>
      <w:r w:rsidRPr="001F4EC9">
        <w:rPr>
          <w:rStyle w:val="libFootnoteAlaemChar"/>
          <w:rtl/>
        </w:rPr>
        <w:t>عليه‌السلام</w:t>
      </w:r>
      <w:r w:rsidRPr="00B60612">
        <w:rPr>
          <w:rtl/>
        </w:rPr>
        <w:t xml:space="preserve"> ونقل عنه مكاتبات عديدة ، روى سهل بن زياد عن عليّ بن مهزيار عدّة منها. ا</w:t>
      </w:r>
      <w:r w:rsidR="001F4EC9">
        <w:rPr>
          <w:rFonts w:hint="cs"/>
          <w:rtl/>
        </w:rPr>
        <w:t>ُ</w:t>
      </w:r>
      <w:r w:rsidRPr="00B60612">
        <w:rPr>
          <w:rtl/>
        </w:rPr>
        <w:t xml:space="preserve">نظر على سبيل المثال ؛ </w:t>
      </w:r>
      <w:r w:rsidRPr="002F4D34">
        <w:rPr>
          <w:rStyle w:val="libFootnoteBoldChar"/>
          <w:rtl/>
        </w:rPr>
        <w:t>الكافي</w:t>
      </w:r>
      <w:r w:rsidRPr="00B60612">
        <w:rPr>
          <w:rtl/>
        </w:rPr>
        <w:t xml:space="preserve"> ، ح 2945 و 3392 و 4857 و 7987 و 9519.</w:t>
      </w:r>
    </w:p>
    <w:p w:rsidR="00E3253D" w:rsidRDefault="00E3253D" w:rsidP="00E3253D">
      <w:pPr>
        <w:pStyle w:val="libFootnote0"/>
        <w:rPr>
          <w:rtl/>
        </w:rPr>
      </w:pPr>
      <w:r w:rsidRPr="00B60612">
        <w:rPr>
          <w:rtl/>
        </w:rPr>
        <w:t>ثمّ إنّ الظاهر اتّحاد الأخبار الثلاثة المذ</w:t>
      </w:r>
      <w:r w:rsidR="001F4EC9">
        <w:rPr>
          <w:rtl/>
        </w:rPr>
        <w:t>كورة هنا مع ح 4640 و 4785 ، إل</w:t>
      </w:r>
      <w:r w:rsidR="001F4EC9">
        <w:rPr>
          <w:rFonts w:hint="cs"/>
          <w:rtl/>
        </w:rPr>
        <w:t>ّ</w:t>
      </w:r>
      <w:r w:rsidR="001F4EC9">
        <w:rPr>
          <w:rtl/>
        </w:rPr>
        <w:t>ا</w:t>
      </w:r>
      <w:r w:rsidRPr="00B60612">
        <w:rPr>
          <w:rFonts w:hint="cs"/>
          <w:rtl/>
        </w:rPr>
        <w:t xml:space="preserve"> </w:t>
      </w:r>
      <w:r w:rsidRPr="00B60612">
        <w:rPr>
          <w:rtl/>
        </w:rPr>
        <w:t xml:space="preserve">أنّ المذكور هنا تفصيل الخبر ، والمذكور في الموضعين الآخرين جواب الإمام </w:t>
      </w:r>
      <w:r w:rsidRPr="001F4EC9">
        <w:rPr>
          <w:rStyle w:val="libFootnoteAlaemChar"/>
          <w:rtl/>
        </w:rPr>
        <w:t>عليه‌السلام</w:t>
      </w:r>
      <w:r w:rsidRPr="00B60612">
        <w:rPr>
          <w:rtl/>
        </w:rPr>
        <w:t xml:space="preserve"> ، فلاحظ.</w:t>
      </w:r>
    </w:p>
    <w:tbl>
      <w:tblPr>
        <w:tblStyle w:val="TableGrid"/>
        <w:bidiVisual/>
        <w:tblW w:w="0" w:type="auto"/>
        <w:tblLook w:val="04A0" w:firstRow="1" w:lastRow="0" w:firstColumn="1" w:lastColumn="0" w:noHBand="0" w:noVBand="1"/>
      </w:tblPr>
      <w:tblGrid>
        <w:gridCol w:w="4006"/>
        <w:gridCol w:w="4006"/>
      </w:tblGrid>
      <w:tr w:rsidR="00062CB5" w:rsidTr="00062CB5">
        <w:tc>
          <w:tcPr>
            <w:tcW w:w="4006" w:type="dxa"/>
          </w:tcPr>
          <w:p w:rsidR="00062CB5" w:rsidRDefault="00062CB5" w:rsidP="00E3253D">
            <w:pPr>
              <w:pStyle w:val="libFootnote0"/>
              <w:rPr>
                <w:rStyle w:val="libFootnote0Char"/>
                <w:rtl/>
              </w:rPr>
            </w:pPr>
            <w:r w:rsidRPr="0042621E">
              <w:rPr>
                <w:rStyle w:val="libFootnote0Char"/>
                <w:rtl/>
              </w:rPr>
              <w:t>(1).</w:t>
            </w:r>
            <w:r>
              <w:rPr>
                <w:rtl/>
              </w:rPr>
              <w:t xml:space="preserve"> </w:t>
            </w:r>
            <w:r w:rsidRPr="005D642E">
              <w:rPr>
                <w:rtl/>
              </w:rPr>
              <w:t>في « بخ ، بف ، جن » : « الولد</w:t>
            </w:r>
            <w:r>
              <w:rPr>
                <w:rtl/>
              </w:rPr>
              <w:t xml:space="preserve"> ».</w:t>
            </w:r>
          </w:p>
        </w:tc>
        <w:tc>
          <w:tcPr>
            <w:tcW w:w="4006" w:type="dxa"/>
          </w:tcPr>
          <w:p w:rsidR="00062CB5" w:rsidRDefault="00062CB5" w:rsidP="00E3253D">
            <w:pPr>
              <w:pStyle w:val="libFootnote0"/>
              <w:rPr>
                <w:rStyle w:val="libFootnote0Char"/>
                <w:rtl/>
              </w:rPr>
            </w:pPr>
            <w:r w:rsidRPr="0042621E">
              <w:rPr>
                <w:rStyle w:val="libFootnote0Char"/>
                <w:rtl/>
              </w:rPr>
              <w:t>(2).</w:t>
            </w:r>
            <w:r w:rsidRPr="005D642E">
              <w:rPr>
                <w:rtl/>
              </w:rPr>
              <w:t xml:space="preserve"> في « غ » : « فعظّم</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555 ، ح 24649 ؛ </w:t>
      </w:r>
      <w:r w:rsidR="00E3253D" w:rsidRPr="002F4D34">
        <w:rPr>
          <w:rStyle w:val="libFootnoteBoldChar"/>
          <w:rtl/>
        </w:rPr>
        <w:t>الوسائل</w:t>
      </w:r>
      <w:r w:rsidR="00E3253D" w:rsidRPr="005D642E">
        <w:rPr>
          <w:rtl/>
        </w:rPr>
        <w:t xml:space="preserve"> ، ج 3 ، ص 218 ، ح 3450.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الكافي ، ح 4670 : « يحبى</w:t>
      </w:r>
      <w:r w:rsidR="00E3253D">
        <w:rPr>
          <w:rtl/>
        </w:rPr>
        <w:t xml:space="preserve"> ».</w:t>
      </w:r>
      <w:r w:rsidR="00E3253D" w:rsidRPr="005D642E">
        <w:rPr>
          <w:rtl/>
        </w:rPr>
        <w:t xml:space="preserve"> وقوله : « يحبّر بها » ، أي يزيّن بها. راجع : </w:t>
      </w:r>
      <w:r w:rsidR="00E3253D" w:rsidRPr="002F4D34">
        <w:rPr>
          <w:rStyle w:val="libFootnoteBoldChar"/>
          <w:rtl/>
        </w:rPr>
        <w:t>لسان العرب</w:t>
      </w:r>
      <w:r w:rsidR="00E3253D" w:rsidRPr="005D642E">
        <w:rPr>
          <w:rtl/>
        </w:rPr>
        <w:t xml:space="preserve"> ، ج 4 ، ص 157 ( حبر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ثواب الأعمال</w:t>
      </w:r>
      <w:r w:rsidR="00E3253D" w:rsidRPr="005D642E">
        <w:rPr>
          <w:rtl/>
        </w:rPr>
        <w:t xml:space="preserve"> ، ص 235 ، ح 2 ، بسنده عن عليّ بن إبراهيم ، عن أبيه ، عن عبدالله بن المغيرة عن السكوني ، عن أبي عبدالله </w:t>
      </w:r>
      <w:r w:rsidR="00E3253D" w:rsidRPr="001F4EC9">
        <w:rPr>
          <w:rStyle w:val="libFootnoteAlaemChar"/>
          <w:rtl/>
        </w:rPr>
        <w:t>عليه‌السلام</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ثواب التعزية ، ح 4670 ، بسند آخر عن أبي عبدالله </w:t>
      </w:r>
      <w:r w:rsidR="00E3253D" w:rsidRPr="003218C0">
        <w:rPr>
          <w:rStyle w:val="libFootnoteAlaemChar"/>
          <w:rtl/>
        </w:rPr>
        <w:t>عليه‌السلام</w:t>
      </w:r>
      <w:r w:rsidR="00E3253D" w:rsidRPr="005D642E">
        <w:rPr>
          <w:rtl/>
        </w:rPr>
        <w:t xml:space="preserve"> عن رسول الله </w:t>
      </w:r>
      <w:r w:rsidRPr="003218C0">
        <w:rPr>
          <w:rStyle w:val="libFootnoteAlaemChar"/>
          <w:rtl/>
        </w:rPr>
        <w:t>صلى‌الله‌عليه‌وآله</w:t>
      </w:r>
      <w:r w:rsidR="00E3253D" w:rsidRPr="005D642E">
        <w:rPr>
          <w:rtl/>
        </w:rPr>
        <w:t xml:space="preserve">. </w:t>
      </w:r>
      <w:r w:rsidR="00E3253D" w:rsidRPr="002F4D34">
        <w:rPr>
          <w:rStyle w:val="libFootnoteBoldChar"/>
          <w:rtl/>
        </w:rPr>
        <w:t>الفقيه</w:t>
      </w:r>
      <w:r w:rsidR="00E3253D" w:rsidRPr="005D642E">
        <w:rPr>
          <w:rtl/>
        </w:rPr>
        <w:t xml:space="preserve"> ، ج 1 ، ص 173 ، ح 502 ، مرسلاً عن رسول الله </w:t>
      </w:r>
      <w:r w:rsidRPr="003218C0">
        <w:rPr>
          <w:rStyle w:val="libFootnoteAlaemChar"/>
          <w:rtl/>
        </w:rPr>
        <w:t>صلى‌الله‌عليه‌وآله</w:t>
      </w:r>
      <w:r w:rsidR="00E3253D" w:rsidRPr="005D642E">
        <w:rPr>
          <w:rtl/>
        </w:rPr>
        <w:t xml:space="preserve"> </w:t>
      </w:r>
      <w:r w:rsidR="003218C0">
        <w:rPr>
          <w:rFonts w:hint="cs"/>
          <w:rtl/>
        </w:rPr>
        <w:t>.</w:t>
      </w:r>
      <w:r w:rsidR="00E3253D" w:rsidRPr="002F4D34">
        <w:rPr>
          <w:rStyle w:val="libFootnoteBoldChar"/>
          <w:rtl/>
        </w:rPr>
        <w:t>الوافي</w:t>
      </w:r>
      <w:r w:rsidR="00E3253D" w:rsidRPr="005D642E">
        <w:rPr>
          <w:rtl/>
        </w:rPr>
        <w:t xml:space="preserve"> ، ج 25 ، ص 550 ، ح 24633 ؛ </w:t>
      </w:r>
      <w:r w:rsidR="00E3253D" w:rsidRPr="002F4D34">
        <w:rPr>
          <w:rStyle w:val="libFootnoteBoldChar"/>
          <w:rtl/>
        </w:rPr>
        <w:t>الوسائل</w:t>
      </w:r>
      <w:r w:rsidR="00E3253D" w:rsidRPr="005D642E">
        <w:rPr>
          <w:rtl/>
        </w:rPr>
        <w:t xml:space="preserve"> ، ج 3 ، ص 213 ، ح 3435.</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مَنْ عَزّى مُصَاباً ، كَانَ لَهُ مِثْلُ أَجْرِهِ مِنْ غَيْرِ أَنْ يَنْتَقِصَ </w:t>
      </w:r>
      <w:r w:rsidRPr="007C12DB">
        <w:rPr>
          <w:rStyle w:val="libFootnotenumChar"/>
          <w:rtl/>
        </w:rPr>
        <w:t>(1)</w:t>
      </w:r>
      <w:r w:rsidRPr="005D642E">
        <w:rPr>
          <w:rtl/>
          <w:lang w:bidi="fa-IR"/>
        </w:rPr>
        <w:t xml:space="preserve"> مِنْ أَجْرِ الْمُصَابِ شَيْئاً</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473" w:name="_Toc344647369"/>
      <w:bookmarkStart w:id="474" w:name="_Toc462226883"/>
      <w:bookmarkStart w:id="475" w:name="_Toc40975991"/>
      <w:r w:rsidRPr="005D642E">
        <w:rPr>
          <w:rtl/>
          <w:lang w:bidi="fa-IR"/>
        </w:rPr>
        <w:t>72</w:t>
      </w:r>
      <w:r>
        <w:rPr>
          <w:rtl/>
          <w:lang w:bidi="fa-IR"/>
        </w:rPr>
        <w:t xml:space="preserve"> </w:t>
      </w:r>
      <w:r w:rsidR="007642BC">
        <w:rPr>
          <w:rtl/>
          <w:lang w:bidi="fa-IR"/>
        </w:rPr>
        <w:t>-</w:t>
      </w:r>
      <w:r>
        <w:rPr>
          <w:rtl/>
          <w:lang w:bidi="fa-IR"/>
        </w:rPr>
        <w:t xml:space="preserve"> </w:t>
      </w:r>
      <w:r w:rsidRPr="005D642E">
        <w:rPr>
          <w:rtl/>
          <w:lang w:bidi="fa-IR"/>
        </w:rPr>
        <w:t xml:space="preserve">بَابُ الْمَرْأَةِ </w:t>
      </w:r>
      <w:r w:rsidRPr="007C12DB">
        <w:rPr>
          <w:rStyle w:val="libFootnotenumChar"/>
          <w:rtl/>
        </w:rPr>
        <w:t>(3)</w:t>
      </w:r>
      <w:r>
        <w:rPr>
          <w:rtl/>
        </w:rPr>
        <w:t xml:space="preserve"> </w:t>
      </w:r>
      <w:r w:rsidRPr="005D642E">
        <w:rPr>
          <w:rtl/>
          <w:lang w:bidi="fa-IR"/>
        </w:rPr>
        <w:t>تَمُوتُ وَفِي بَطْنِهَا صَبِيٌّ يَتَحَرَّكُ‌</w:t>
      </w:r>
      <w:bookmarkEnd w:id="473"/>
      <w:bookmarkEnd w:id="474"/>
      <w:bookmarkEnd w:id="475"/>
    </w:p>
    <w:p w:rsidR="00E3253D" w:rsidRPr="005D642E" w:rsidRDefault="00E3253D" w:rsidP="00E3253D">
      <w:pPr>
        <w:pStyle w:val="libNormal"/>
        <w:rPr>
          <w:rtl/>
          <w:lang w:bidi="fa-IR"/>
        </w:rPr>
      </w:pPr>
      <w:r w:rsidRPr="00E83725">
        <w:rPr>
          <w:rtl/>
        </w:rPr>
        <w:t>4597</w:t>
      </w:r>
      <w:r w:rsidRPr="00246318">
        <w:rPr>
          <w:rStyle w:val="libBold2Char"/>
          <w:rtl/>
        </w:rPr>
        <w:t xml:space="preserve"> / 1.</w:t>
      </w:r>
      <w:r w:rsidRPr="005D642E">
        <w:rPr>
          <w:rtl/>
          <w:lang w:bidi="fa-IR"/>
        </w:rPr>
        <w:t xml:space="preserve"> عَلِيُّ بْنُ إِبْرَاهِيمَ ، عَنْ أَبِيهِ ، عَنِ ابْنِ أَبِي عُمَيْرٍ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الْمَرْأَةِ تَمُوتُ ، وَيَتَحَرَّكُ الْوَلَدُ </w:t>
      </w:r>
      <w:r w:rsidRPr="007C12DB">
        <w:rPr>
          <w:rStyle w:val="libFootnotenumChar"/>
          <w:rtl/>
        </w:rPr>
        <w:t>(4)</w:t>
      </w:r>
      <w:r>
        <w:rPr>
          <w:rtl/>
          <w:lang w:bidi="fa-IR"/>
        </w:rPr>
        <w:t xml:space="preserve"> فِي بَطْنِهَا ، أَ</w:t>
      </w:r>
      <w:r w:rsidRPr="005D642E">
        <w:rPr>
          <w:rtl/>
          <w:lang w:bidi="fa-IR"/>
        </w:rPr>
        <w:t>يُشَقُّ بَطْنُهَا ، وَيُخْرَجُ الْوَلَدُ</w:t>
      </w:r>
      <w:r>
        <w:rPr>
          <w:rtl/>
          <w:lang w:bidi="fa-IR"/>
        </w:rPr>
        <w:t>؟</w:t>
      </w:r>
    </w:p>
    <w:p w:rsidR="00E3253D" w:rsidRPr="005D642E" w:rsidRDefault="00E3253D" w:rsidP="00E3253D">
      <w:pPr>
        <w:pStyle w:val="libNormal"/>
        <w:rPr>
          <w:rtl/>
          <w:lang w:bidi="fa-IR"/>
        </w:rPr>
      </w:pPr>
      <w:r w:rsidRPr="005D642E">
        <w:rPr>
          <w:rtl/>
          <w:lang w:bidi="fa-IR"/>
        </w:rPr>
        <w:t>قَالَ : فَقَالَ : « نَعَمْ ، وَيُخَاطُ بَطْنُهَا</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83725">
        <w:rPr>
          <w:rtl/>
        </w:rPr>
        <w:t>4598</w:t>
      </w:r>
      <w:r w:rsidRPr="00246318">
        <w:rPr>
          <w:rStyle w:val="libBold2Char"/>
          <w:rtl/>
        </w:rPr>
        <w:t xml:space="preserve"> / 2.</w:t>
      </w:r>
      <w:r w:rsidRPr="005D642E">
        <w:rPr>
          <w:rtl/>
          <w:lang w:bidi="fa-IR"/>
        </w:rPr>
        <w:t xml:space="preserve"> عِدَّةٌ مِنْ أَصْحَابِنَا ، عَنْ أَحْمَدَ بْنِ مُحَمَّدِ بْنِ خَالِدٍ </w:t>
      </w:r>
      <w:r w:rsidRPr="007C12DB">
        <w:rPr>
          <w:rStyle w:val="libFootnotenumChar"/>
          <w:rtl/>
        </w:rPr>
        <w:t>(6)</w:t>
      </w:r>
      <w:r w:rsidRPr="005D642E">
        <w:rPr>
          <w:rtl/>
          <w:lang w:bidi="fa-IR"/>
        </w:rPr>
        <w:t xml:space="preserve"> ، عَنْ وَهْبِ بْنِ وَهْبٍ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بح ، بخ ، جح » </w:t>
      </w:r>
      <w:r w:rsidR="00E3253D" w:rsidRPr="003B3913">
        <w:rPr>
          <w:rStyle w:val="libFootnoteBoldChar"/>
          <w:rtl/>
        </w:rPr>
        <w:t>وقرب الإسناد</w:t>
      </w:r>
      <w:r w:rsidR="00E3253D" w:rsidRPr="005D642E">
        <w:rPr>
          <w:rtl/>
        </w:rPr>
        <w:t xml:space="preserve"> وثواب الأعمال : « أن ينقص</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ثواب التعزية ، ح 4672. وفي </w:t>
      </w:r>
      <w:r w:rsidR="00E3253D" w:rsidRPr="002F4D34">
        <w:rPr>
          <w:rStyle w:val="libFootnoteBoldChar"/>
          <w:rtl/>
        </w:rPr>
        <w:t>ثواب الأعمال</w:t>
      </w:r>
      <w:r w:rsidR="00E3253D" w:rsidRPr="005D642E">
        <w:rPr>
          <w:rtl/>
        </w:rPr>
        <w:t xml:space="preserve"> ، ص 236 ، ح 4 ، بسنده عن أحمد بن أبي عبدالله البرقي ، عن أبيه ، عن وهب بن وهب ، عن الصادق ، عن آبائه </w:t>
      </w:r>
      <w:r w:rsidR="00E3253D" w:rsidRPr="00975A64">
        <w:rPr>
          <w:rStyle w:val="libFootnoteAlaemChar"/>
          <w:rtl/>
        </w:rPr>
        <w:t>عليهم‌السلام</w:t>
      </w:r>
      <w:r w:rsidR="00E3253D" w:rsidRPr="005D642E">
        <w:rPr>
          <w:rtl/>
        </w:rPr>
        <w:t xml:space="preserve"> عن رسول الله </w:t>
      </w:r>
      <w:r w:rsidRPr="00975A64">
        <w:rPr>
          <w:rStyle w:val="libFootnoteAlaemChar"/>
          <w:rtl/>
        </w:rPr>
        <w:t>صلى‌الله‌عليه‌وآله</w:t>
      </w:r>
      <w:r w:rsidR="00E3253D" w:rsidRPr="005D642E">
        <w:rPr>
          <w:rtl/>
        </w:rPr>
        <w:t xml:space="preserve">. </w:t>
      </w:r>
      <w:r w:rsidR="00E3253D" w:rsidRPr="002F4D34">
        <w:rPr>
          <w:rStyle w:val="libFootnoteBoldChar"/>
          <w:rtl/>
        </w:rPr>
        <w:t>قرب الإسناد</w:t>
      </w:r>
      <w:r w:rsidR="00E3253D" w:rsidRPr="005D642E">
        <w:rPr>
          <w:rtl/>
        </w:rPr>
        <w:t xml:space="preserve"> ، ص 51 ، ح 166 ، عن السندي بن محمّد ، عن أبي البختري ، عن جعفر بن محمّد ، عن أبيه </w:t>
      </w:r>
      <w:r w:rsidR="00E3253D" w:rsidRPr="00975A64">
        <w:rPr>
          <w:rStyle w:val="libFootnoteAlaemChar"/>
          <w:rtl/>
        </w:rPr>
        <w:t>عليهم‌السلام</w:t>
      </w:r>
      <w:r w:rsidR="00E3253D" w:rsidRPr="005D642E">
        <w:rPr>
          <w:rtl/>
        </w:rPr>
        <w:t xml:space="preserve"> عن رسول الله </w:t>
      </w:r>
      <w:r w:rsidRPr="00975A64">
        <w:rPr>
          <w:rStyle w:val="libFootnoteAlaemChar"/>
          <w:rtl/>
        </w:rPr>
        <w:t>صلى‌الله‌عليه‌وآله</w:t>
      </w:r>
      <w:r w:rsidR="00E3253D" w:rsidRPr="005D642E">
        <w:rPr>
          <w:rtl/>
        </w:rPr>
        <w:t xml:space="preserve">. </w:t>
      </w:r>
      <w:r w:rsidR="00E3253D" w:rsidRPr="002F4D34">
        <w:rPr>
          <w:rStyle w:val="libFootnoteBoldChar"/>
          <w:rtl/>
        </w:rPr>
        <w:t>وفيه</w:t>
      </w:r>
      <w:r w:rsidR="00E3253D" w:rsidRPr="005D642E">
        <w:rPr>
          <w:rtl/>
        </w:rPr>
        <w:t xml:space="preserve"> ، ص 156 ، ح 574 ، عن أبي البختري ، عن جعفر ، عن أبيه </w:t>
      </w:r>
      <w:r w:rsidR="00E3253D" w:rsidRPr="00975A64">
        <w:rPr>
          <w:rStyle w:val="libFootnoteAlaemChar"/>
          <w:rtl/>
        </w:rPr>
        <w:t>عليهما‌السلام</w:t>
      </w:r>
      <w:r w:rsidR="00E3253D" w:rsidRPr="005D642E">
        <w:rPr>
          <w:rtl/>
        </w:rPr>
        <w:t xml:space="preserve"> عن رسول الله </w:t>
      </w:r>
      <w:r w:rsidRPr="00975A64">
        <w:rPr>
          <w:rStyle w:val="libFootnoteAlaemChar"/>
          <w:rtl/>
        </w:rPr>
        <w:t>صلى‌الله‌عليه‌وآله</w:t>
      </w:r>
      <w:r w:rsidR="00E3253D" w:rsidRPr="005D642E">
        <w:rPr>
          <w:rtl/>
        </w:rPr>
        <w:t xml:space="preserve"> </w:t>
      </w:r>
      <w:r w:rsidR="00975A64">
        <w:rPr>
          <w:rFonts w:hint="cs"/>
          <w:rtl/>
        </w:rPr>
        <w:t>.</w:t>
      </w:r>
      <w:r w:rsidR="00E3253D" w:rsidRPr="002F4D34">
        <w:rPr>
          <w:rStyle w:val="libFootnoteBoldChar"/>
          <w:rtl/>
        </w:rPr>
        <w:t>الوافي</w:t>
      </w:r>
      <w:r w:rsidR="00E3253D" w:rsidRPr="005D642E">
        <w:rPr>
          <w:rtl/>
        </w:rPr>
        <w:t xml:space="preserve"> ، ج 25 ، ص 549 ، ح 24629 ؛ </w:t>
      </w:r>
      <w:r w:rsidR="00E3253D" w:rsidRPr="002F4D34">
        <w:rPr>
          <w:rStyle w:val="libFootnoteBoldChar"/>
          <w:rtl/>
        </w:rPr>
        <w:t>الوسائل</w:t>
      </w:r>
      <w:r w:rsidR="00E3253D" w:rsidRPr="005D642E">
        <w:rPr>
          <w:rtl/>
        </w:rPr>
        <w:t xml:space="preserve"> ، ج 3 ، ص 213 ، ح 3436.</w:t>
      </w:r>
    </w:p>
    <w:tbl>
      <w:tblPr>
        <w:tblStyle w:val="TableGrid"/>
        <w:bidiVisual/>
        <w:tblW w:w="0" w:type="auto"/>
        <w:tblLook w:val="04A0" w:firstRow="1" w:lastRow="0" w:firstColumn="1" w:lastColumn="0" w:noHBand="0" w:noVBand="1"/>
      </w:tblPr>
      <w:tblGrid>
        <w:gridCol w:w="4006"/>
        <w:gridCol w:w="4006"/>
      </w:tblGrid>
      <w:tr w:rsidR="002976C0" w:rsidTr="002976C0">
        <w:tc>
          <w:tcPr>
            <w:tcW w:w="4006" w:type="dxa"/>
          </w:tcPr>
          <w:p w:rsidR="002976C0" w:rsidRDefault="002976C0" w:rsidP="00E3253D">
            <w:pPr>
              <w:pStyle w:val="libFootnote0"/>
              <w:rPr>
                <w:rStyle w:val="libFootnote0Char"/>
                <w:rtl/>
              </w:rPr>
            </w:pPr>
            <w:r w:rsidRPr="0042621E">
              <w:rPr>
                <w:rStyle w:val="libFootnote0Char"/>
                <w:rtl/>
              </w:rPr>
              <w:t>(3).</w:t>
            </w:r>
            <w:r w:rsidRPr="005D642E">
              <w:rPr>
                <w:rtl/>
              </w:rPr>
              <w:t xml:space="preserve"> في « جس » : + « التي</w:t>
            </w:r>
            <w:r>
              <w:rPr>
                <w:rtl/>
              </w:rPr>
              <w:t xml:space="preserve"> ».</w:t>
            </w:r>
          </w:p>
        </w:tc>
        <w:tc>
          <w:tcPr>
            <w:tcW w:w="4006" w:type="dxa"/>
          </w:tcPr>
          <w:p w:rsidR="002976C0" w:rsidRDefault="002976C0" w:rsidP="00E3253D">
            <w:pPr>
              <w:pStyle w:val="libFootnote0"/>
              <w:rPr>
                <w:rStyle w:val="libFootnote0Char"/>
                <w:rtl/>
              </w:rPr>
            </w:pPr>
            <w:r w:rsidRPr="0042621E">
              <w:rPr>
                <w:rStyle w:val="libFootnote0Char"/>
                <w:rtl/>
              </w:rPr>
              <w:t>(4).</w:t>
            </w:r>
            <w:r w:rsidRPr="005D642E">
              <w:rPr>
                <w:rtl/>
              </w:rPr>
              <w:t xml:space="preserve"> في « غ ، بخ » : « والولد يتحرّك</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المرأة تموت وفي بطنها ولد يتحرّك ، ح 4394 ؛ </w:t>
      </w:r>
      <w:r w:rsidR="00B60612" w:rsidRPr="00B60612">
        <w:rPr>
          <w:rStyle w:val="libFootnoteBoldChar"/>
          <w:rtl/>
        </w:rPr>
        <w:t>والتهذيب</w:t>
      </w:r>
      <w:r w:rsidR="00E3253D" w:rsidRPr="005D642E">
        <w:rPr>
          <w:rtl/>
        </w:rPr>
        <w:t xml:space="preserve"> ، ج 1 ، ص 344 ، ح 1006 </w:t>
      </w:r>
      <w:r w:rsidR="00E3253D">
        <w:rPr>
          <w:rtl/>
        </w:rPr>
        <w:t>و 1</w:t>
      </w:r>
      <w:r w:rsidR="00E3253D" w:rsidRPr="005D642E">
        <w:rPr>
          <w:rtl/>
        </w:rPr>
        <w:t xml:space="preserve">007 ، بسند آخر. وفي </w:t>
      </w:r>
      <w:r w:rsidR="00E3253D" w:rsidRPr="002F4D34">
        <w:rPr>
          <w:rStyle w:val="libFootnoteBoldChar"/>
          <w:rtl/>
        </w:rPr>
        <w:t>الكافي</w:t>
      </w:r>
      <w:r w:rsidR="00E3253D" w:rsidRPr="005D642E">
        <w:rPr>
          <w:rtl/>
        </w:rPr>
        <w:t xml:space="preserve"> ، نفس الباب ، ح 4393 ؛ </w:t>
      </w:r>
      <w:r w:rsidR="00B60612" w:rsidRPr="00B60612">
        <w:rPr>
          <w:rStyle w:val="libFootnoteBoldChar"/>
          <w:rtl/>
        </w:rPr>
        <w:t>والتهذيب</w:t>
      </w:r>
      <w:r w:rsidR="00E3253D" w:rsidRPr="005D642E">
        <w:rPr>
          <w:rtl/>
        </w:rPr>
        <w:t xml:space="preserve"> ، ج 1 ، ص 344 ، ح 1005 ، بسند آخر عن العبد الصالح </w:t>
      </w:r>
      <w:r w:rsidR="00E3253D" w:rsidRPr="00975A64">
        <w:rPr>
          <w:rStyle w:val="libFootnoteAlaemChar"/>
          <w:rtl/>
        </w:rPr>
        <w:t>عليه‌السلام</w:t>
      </w:r>
      <w:r w:rsidR="00E3253D" w:rsidRPr="005D642E">
        <w:rPr>
          <w:rtl/>
        </w:rPr>
        <w:t xml:space="preserve">. </w:t>
      </w:r>
      <w:r w:rsidR="00E3253D" w:rsidRPr="002F4D34">
        <w:rPr>
          <w:rStyle w:val="libFootnoteBoldChar"/>
          <w:rtl/>
        </w:rPr>
        <w:t>وفيه</w:t>
      </w:r>
      <w:r w:rsidR="00E3253D" w:rsidRPr="005D642E">
        <w:rPr>
          <w:rtl/>
        </w:rPr>
        <w:t xml:space="preserve"> ، ح 1004 ، بسند آخر عن أبي الحسن موسى </w:t>
      </w:r>
      <w:r w:rsidR="00E3253D" w:rsidRPr="00975A64">
        <w:rPr>
          <w:rStyle w:val="libFootnoteAlaemChar"/>
          <w:rtl/>
        </w:rPr>
        <w:t>عليه‌السلام</w:t>
      </w:r>
      <w:r w:rsidR="00E3253D" w:rsidRPr="005D642E">
        <w:rPr>
          <w:rtl/>
        </w:rPr>
        <w:t xml:space="preserve"> ، وفي كلّ المصادر إلى قوله : « فقال : نعم » مع اختلاف يسير </w:t>
      </w:r>
      <w:r w:rsidR="004E316C">
        <w:rPr>
          <w:rFonts w:hint="cs"/>
          <w:rtl/>
        </w:rPr>
        <w:t>.</w:t>
      </w:r>
      <w:r w:rsidR="00E3253D" w:rsidRPr="002F4D34">
        <w:rPr>
          <w:rStyle w:val="libFootnoteBoldChar"/>
          <w:rtl/>
        </w:rPr>
        <w:t>الوافي</w:t>
      </w:r>
      <w:r w:rsidR="00E3253D" w:rsidRPr="005D642E">
        <w:rPr>
          <w:rtl/>
        </w:rPr>
        <w:t xml:space="preserve"> ، ج 24 ، ص 339 ، ح 24160 ؛ </w:t>
      </w:r>
      <w:r w:rsidR="00E3253D" w:rsidRPr="002F4D34">
        <w:rPr>
          <w:rStyle w:val="libFootnoteBoldChar"/>
          <w:rtl/>
        </w:rPr>
        <w:t>الوسائل</w:t>
      </w:r>
      <w:r w:rsidR="00E3253D" w:rsidRPr="005D642E">
        <w:rPr>
          <w:rtl/>
        </w:rPr>
        <w:t xml:space="preserve"> ، ج 2 ، ص 469 ، ح 2669.</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كذا في النسخ والمطبوع. والظاهر وقوع سقط في السند ؛ فقد تقدّم الخبر في </w:t>
      </w:r>
      <w:r w:rsidR="00E3253D" w:rsidRPr="002F4D34">
        <w:rPr>
          <w:rStyle w:val="libFootnoteBoldChar"/>
          <w:rtl/>
        </w:rPr>
        <w:t>الكافي</w:t>
      </w:r>
      <w:r w:rsidR="00E3253D" w:rsidRPr="005D642E">
        <w:rPr>
          <w:rtl/>
        </w:rPr>
        <w:t xml:space="preserve"> ، ح 4395</w:t>
      </w:r>
      <w:r w:rsidR="00E3253D">
        <w:rPr>
          <w:rtl/>
        </w:rPr>
        <w:t xml:space="preserve"> </w:t>
      </w:r>
      <w:r w:rsidR="007642BC">
        <w:rPr>
          <w:rtl/>
        </w:rPr>
        <w:t>-</w:t>
      </w:r>
      <w:r w:rsidR="00E3253D">
        <w:rPr>
          <w:rtl/>
        </w:rPr>
        <w:t xml:space="preserve"> </w:t>
      </w:r>
      <w:r w:rsidR="00E3253D" w:rsidRPr="005D642E">
        <w:rPr>
          <w:rtl/>
        </w:rPr>
        <w:t>مع اختلاف يسير</w:t>
      </w:r>
      <w:r w:rsidR="00E3253D">
        <w:rPr>
          <w:rtl/>
        </w:rPr>
        <w:t xml:space="preserve"> </w:t>
      </w:r>
      <w:r w:rsidR="007642BC">
        <w:rPr>
          <w:rtl/>
        </w:rPr>
        <w:t>-</w:t>
      </w:r>
      <w:r w:rsidR="00E3253D">
        <w:rPr>
          <w:rtl/>
        </w:rPr>
        <w:t xml:space="preserve"> </w:t>
      </w:r>
      <w:r w:rsidR="00E3253D" w:rsidRPr="005D642E">
        <w:rPr>
          <w:rtl/>
        </w:rPr>
        <w:t xml:space="preserve">عن عدّة من أصحابنا ، عن أحمد بن محمّد بن خالد ، عن أبيه ، عن ابن وهب ، عن أبي عبدالله </w:t>
      </w:r>
      <w:r w:rsidR="00E3253D" w:rsidRPr="00975A64">
        <w:rPr>
          <w:rStyle w:val="libFootnoteAlaemChar"/>
          <w:rtl/>
        </w:rPr>
        <w:t>عليه‌السلام</w:t>
      </w:r>
      <w:r w:rsidR="00E3253D" w:rsidRPr="005D642E">
        <w:rPr>
          <w:rtl/>
        </w:rPr>
        <w:t>. والراوي عن وهب بن وهب</w:t>
      </w:r>
      <w:r w:rsidR="00E3253D">
        <w:rPr>
          <w:rtl/>
        </w:rPr>
        <w:t xml:space="preserve"> </w:t>
      </w:r>
      <w:r w:rsidR="007642BC">
        <w:rPr>
          <w:rtl/>
        </w:rPr>
        <w:t>-</w:t>
      </w:r>
      <w:r w:rsidR="00E3253D">
        <w:rPr>
          <w:rtl/>
        </w:rPr>
        <w:t xml:space="preserve"> </w:t>
      </w:r>
      <w:r w:rsidR="00E3253D" w:rsidRPr="005D642E">
        <w:rPr>
          <w:rtl/>
        </w:rPr>
        <w:t>وهو أبو البختري</w:t>
      </w:r>
      <w:r w:rsidR="00E3253D">
        <w:rPr>
          <w:rtl/>
        </w:rPr>
        <w:t xml:space="preserve"> </w:t>
      </w:r>
      <w:r w:rsidR="007642BC">
        <w:rPr>
          <w:rtl/>
        </w:rPr>
        <w:t>-</w:t>
      </w:r>
      <w:r w:rsidR="00E3253D">
        <w:rPr>
          <w:rtl/>
        </w:rPr>
        <w:t xml:space="preserve"> </w:t>
      </w:r>
      <w:r w:rsidR="00E3253D" w:rsidRPr="005D642E">
        <w:rPr>
          <w:rtl/>
        </w:rPr>
        <w:t xml:space="preserve">في الأسناد هو محمّد بن خالد البرقي. راجع : </w:t>
      </w:r>
      <w:r w:rsidR="00E3253D" w:rsidRPr="002F4D34">
        <w:rPr>
          <w:rStyle w:val="libFootnoteBoldChar"/>
          <w:rtl/>
        </w:rPr>
        <w:t>معجم رجال الحديث</w:t>
      </w:r>
      <w:r w:rsidR="00E3253D" w:rsidRPr="005D642E">
        <w:rPr>
          <w:rtl/>
        </w:rPr>
        <w:t xml:space="preserve"> ، ج 16 ، ص 354 </w:t>
      </w:r>
      <w:r w:rsidR="00E3253D">
        <w:rPr>
          <w:rtl/>
        </w:rPr>
        <w:t>و 3</w:t>
      </w:r>
      <w:r w:rsidR="00E3253D" w:rsidRPr="005D642E">
        <w:rPr>
          <w:rtl/>
        </w:rPr>
        <w:t xml:space="preserve">64 </w:t>
      </w:r>
      <w:r w:rsidR="00E3253D">
        <w:rPr>
          <w:rtl/>
        </w:rPr>
        <w:t>و 3</w:t>
      </w:r>
      <w:r w:rsidR="00E3253D" w:rsidRPr="005D642E">
        <w:rPr>
          <w:rtl/>
        </w:rPr>
        <w:t xml:space="preserve">69. </w:t>
      </w:r>
      <w:r w:rsidR="007E0E5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 </w:t>
      </w:r>
      <w:r w:rsidRPr="00AC51C5">
        <w:rPr>
          <w:rStyle w:val="libAlaemChar"/>
          <w:rtl/>
        </w:rPr>
        <w:t>عليه‌السلام</w:t>
      </w:r>
      <w:r w:rsidRPr="005D642E">
        <w:rPr>
          <w:rtl/>
          <w:lang w:bidi="fa-IR"/>
        </w:rPr>
        <w:t xml:space="preserve"> : إِذَا مَاتَتِ الْمَرْأَةُ وَفِي بَطْنِهَا وَلَدٌ يَتَحَرَّكُ ، فَيُتَخَوَّفُ عَلَيْهِ </w:t>
      </w:r>
      <w:r w:rsidRPr="007C12DB">
        <w:rPr>
          <w:rStyle w:val="libFootnotenumChar"/>
          <w:rtl/>
        </w:rPr>
        <w:t>(1)</w:t>
      </w:r>
      <w:r w:rsidRPr="005D642E">
        <w:rPr>
          <w:rtl/>
          <w:lang w:bidi="fa-IR"/>
        </w:rPr>
        <w:t xml:space="preserve"> ، فَشُقَّ </w:t>
      </w:r>
      <w:r w:rsidRPr="007C12DB">
        <w:rPr>
          <w:rStyle w:val="libFootnotenumChar"/>
          <w:rtl/>
        </w:rPr>
        <w:t>(2)</w:t>
      </w:r>
      <w:r w:rsidRPr="005D642E">
        <w:rPr>
          <w:rtl/>
          <w:lang w:bidi="fa-IR"/>
        </w:rPr>
        <w:t xml:space="preserve"> بَطْنُهَا </w:t>
      </w:r>
      <w:r w:rsidRPr="007C12DB">
        <w:rPr>
          <w:rStyle w:val="libFootnotenumChar"/>
          <w:rtl/>
        </w:rPr>
        <w:t>(3)</w:t>
      </w:r>
      <w:r w:rsidRPr="005D642E">
        <w:rPr>
          <w:rtl/>
          <w:lang w:bidi="fa-IR"/>
        </w:rPr>
        <w:t xml:space="preserve"> ، وَأُخْرِجَ </w:t>
      </w:r>
      <w:r w:rsidRPr="007C12DB">
        <w:rPr>
          <w:rStyle w:val="libFootnotenumChar"/>
          <w:rtl/>
        </w:rPr>
        <w:t>(4)</w:t>
      </w:r>
      <w:r w:rsidRPr="005D642E">
        <w:rPr>
          <w:rtl/>
          <w:lang w:bidi="fa-IR"/>
        </w:rPr>
        <w:t xml:space="preserve"> الْوَلَدُ</w:t>
      </w:r>
      <w:r>
        <w:rPr>
          <w:rtl/>
          <w:lang w:bidi="fa-IR"/>
        </w:rPr>
        <w:t xml:space="preserve"> ».</w:t>
      </w:r>
    </w:p>
    <w:p w:rsidR="00E3253D" w:rsidRPr="005D642E" w:rsidRDefault="00E3253D" w:rsidP="00E3253D">
      <w:pPr>
        <w:pStyle w:val="libNormal"/>
        <w:rPr>
          <w:rtl/>
          <w:lang w:bidi="fa-IR"/>
        </w:rPr>
      </w:pPr>
      <w:r w:rsidRPr="005D642E">
        <w:rPr>
          <w:rtl/>
          <w:lang w:bidi="fa-IR"/>
        </w:rPr>
        <w:t xml:space="preserve">وَقَالَ فِي الْمَرْأَةِ يَمُوتُ </w:t>
      </w:r>
      <w:r w:rsidRPr="007C12DB">
        <w:rPr>
          <w:rStyle w:val="libFootnotenumChar"/>
          <w:rtl/>
        </w:rPr>
        <w:t>(5)</w:t>
      </w:r>
      <w:r w:rsidRPr="005D642E">
        <w:rPr>
          <w:rtl/>
          <w:lang w:bidi="fa-IR"/>
        </w:rPr>
        <w:t xml:space="preserve"> وَلَدُهَا فِي بَطْنِهَا </w:t>
      </w:r>
      <w:r w:rsidRPr="007C12DB">
        <w:rPr>
          <w:rStyle w:val="libFootnotenumChar"/>
          <w:rtl/>
        </w:rPr>
        <w:t>(6)</w:t>
      </w:r>
      <w:r w:rsidRPr="005D642E">
        <w:rPr>
          <w:rtl/>
          <w:lang w:bidi="fa-IR"/>
        </w:rPr>
        <w:t xml:space="preserve"> ، فَيُتَخَوَّفُ عَلَيْهَا </w:t>
      </w:r>
      <w:r w:rsidRPr="007C12DB">
        <w:rPr>
          <w:rStyle w:val="libFootnotenumChar"/>
          <w:rtl/>
        </w:rPr>
        <w:t>(7)</w:t>
      </w:r>
      <w:r w:rsidRPr="005D642E">
        <w:rPr>
          <w:rtl/>
          <w:lang w:bidi="fa-IR"/>
        </w:rPr>
        <w:t xml:space="preserve"> ، قَالَ : « لَا بَأْسَ أَنْ يُدْخِلَ الرَّجُلُ يَدَهُ ، فَيُقَطِّعَهُ ، وَيُخْرِجَهُ </w:t>
      </w:r>
      <w:r w:rsidRPr="007C12DB">
        <w:rPr>
          <w:rStyle w:val="libFootnotenumChar"/>
          <w:rtl/>
        </w:rPr>
        <w:t>(8)</w:t>
      </w:r>
      <w:r w:rsidRPr="005D642E">
        <w:rPr>
          <w:rtl/>
          <w:lang w:bidi="fa-IR"/>
        </w:rPr>
        <w:t xml:space="preserve"> إِذَا لَمْ تَرْفُقْ بِهِ النِّسَاءُ </w:t>
      </w:r>
      <w:r w:rsidRPr="007C12DB">
        <w:rPr>
          <w:rStyle w:val="libFootnotenumChar"/>
          <w:rtl/>
        </w:rPr>
        <w:t>(9)</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Heading2Center"/>
        <w:rPr>
          <w:rtl/>
          <w:lang w:bidi="fa-IR"/>
        </w:rPr>
      </w:pPr>
      <w:bookmarkStart w:id="476" w:name="_Toc344647370"/>
      <w:bookmarkStart w:id="477" w:name="_Toc462226884"/>
      <w:bookmarkStart w:id="478" w:name="_Toc40975992"/>
      <w:r w:rsidRPr="005D642E">
        <w:rPr>
          <w:rtl/>
          <w:lang w:bidi="fa-IR"/>
        </w:rPr>
        <w:t>73</w:t>
      </w:r>
      <w:r>
        <w:rPr>
          <w:rtl/>
          <w:lang w:bidi="fa-IR"/>
        </w:rPr>
        <w:t xml:space="preserve"> </w:t>
      </w:r>
      <w:r w:rsidR="007642BC">
        <w:rPr>
          <w:rtl/>
          <w:lang w:bidi="fa-IR"/>
        </w:rPr>
        <w:t>-</w:t>
      </w:r>
      <w:r>
        <w:rPr>
          <w:rtl/>
          <w:lang w:bidi="fa-IR"/>
        </w:rPr>
        <w:t xml:space="preserve"> </w:t>
      </w:r>
      <w:r w:rsidRPr="005D642E">
        <w:rPr>
          <w:rtl/>
          <w:lang w:bidi="fa-IR"/>
        </w:rPr>
        <w:t>بَابُ غُسْلِ الْأَطْفَالِ وَالصِّبْيَانِ وَالصَّلَاةِ عَلَيْهِمْ‌</w:t>
      </w:r>
      <w:bookmarkEnd w:id="476"/>
      <w:bookmarkEnd w:id="477"/>
      <w:bookmarkEnd w:id="478"/>
    </w:p>
    <w:p w:rsidR="00E3253D" w:rsidRPr="005D642E" w:rsidRDefault="00E3253D" w:rsidP="00E3253D">
      <w:pPr>
        <w:pStyle w:val="libNormal"/>
        <w:rPr>
          <w:rtl/>
          <w:lang w:bidi="fa-IR"/>
        </w:rPr>
      </w:pPr>
      <w:r w:rsidRPr="00883266">
        <w:rPr>
          <w:rtl/>
        </w:rPr>
        <w:t>4599</w:t>
      </w:r>
      <w:r w:rsidRPr="00246318">
        <w:rPr>
          <w:rStyle w:val="libBold2Char"/>
          <w:rtl/>
        </w:rPr>
        <w:t xml:space="preserve"> / 1.</w:t>
      </w:r>
      <w:r w:rsidRPr="005D642E">
        <w:rPr>
          <w:rtl/>
          <w:lang w:bidi="fa-IR"/>
        </w:rPr>
        <w:t xml:space="preserve"> عِدَّةٌ مِنْ أَصْحَابِنَا ، عَنْ سَهْلِ بْنِ زِيَادٍ ، عَنْ أَحْمَدَ بْنِ مُحَمَّدٍ ، عَنِ الْحُسَيْنِ بْنِ مُوسى ، عَنْ زُرَارَةَ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السِّقْطُ إِذَا تَمَّ لَهُ أَرْبَعَةُ أَشْهُرٍ ، غُسِّلَ</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BB7FF3" w:rsidP="00E3253D">
      <w:pPr>
        <w:pStyle w:val="libFootnote0"/>
        <w:rPr>
          <w:rtl/>
          <w:lang w:bidi="fa-IR"/>
        </w:rPr>
      </w:pPr>
      <w:r>
        <w:rPr>
          <w:rFonts w:hint="cs"/>
          <w:rtl/>
        </w:rPr>
        <w:t xml:space="preserve">= </w:t>
      </w:r>
      <w:r w:rsidR="00E3253D" w:rsidRPr="005D642E">
        <w:rPr>
          <w:rtl/>
        </w:rPr>
        <w:t xml:space="preserve">هذا ، وما ورد في </w:t>
      </w:r>
      <w:r w:rsidR="00E3253D" w:rsidRPr="002F4D34">
        <w:rPr>
          <w:rStyle w:val="libFootnoteBoldChar"/>
          <w:rtl/>
        </w:rPr>
        <w:t>التهذيب</w:t>
      </w:r>
      <w:r w:rsidR="00E3253D" w:rsidRPr="005D642E">
        <w:rPr>
          <w:rtl/>
        </w:rPr>
        <w:t xml:space="preserve"> ، ج 1 ، ص 344 ، ح 1008 ، و</w:t>
      </w:r>
      <w:r w:rsidR="00E3253D" w:rsidRPr="002F4D34">
        <w:rPr>
          <w:rStyle w:val="libFootnoteBoldChar"/>
          <w:rtl/>
        </w:rPr>
        <w:t xml:space="preserve">الوسائل </w:t>
      </w:r>
      <w:r w:rsidR="00E3253D" w:rsidRPr="005D642E">
        <w:rPr>
          <w:rtl/>
        </w:rPr>
        <w:t xml:space="preserve">، ج 2 ، ص 470 ، ح 2671 ، من نقل الخبر بنفس السند عن أحمد بن محمّد بن خالد ، عن أبيه ، عن وهب بن هب ، الظاهر نقل الكتابين مما ورد في </w:t>
      </w:r>
      <w:r w:rsidR="00E3253D" w:rsidRPr="002F4D34">
        <w:rPr>
          <w:rStyle w:val="libFootnoteBoldChar"/>
          <w:rtl/>
        </w:rPr>
        <w:t>الكافي</w:t>
      </w:r>
      <w:r w:rsidR="00E3253D" w:rsidRPr="005D642E">
        <w:rPr>
          <w:rtl/>
        </w:rPr>
        <w:t xml:space="preserve"> ، ح 4395 ، كما تشهد به ألفاظ الخبر.</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جس » والوسائل والكافي ، ح 4395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فيتخوّف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جس » والوسائل والكافي ، ح 4395 : « شقّ</w:t>
      </w:r>
      <w:r w:rsidR="00E3253D">
        <w:rPr>
          <w:rtl/>
        </w:rPr>
        <w:t xml:space="preserve"> ».</w:t>
      </w:r>
      <w:r w:rsidR="00E3253D" w:rsidRPr="005D642E">
        <w:rPr>
          <w:rtl/>
        </w:rPr>
        <w:t xml:space="preserve"> وفي « بف » </w:t>
      </w:r>
      <w:r w:rsidR="00B60612" w:rsidRPr="00B60612">
        <w:rPr>
          <w:rStyle w:val="libFootnoteBoldChar"/>
          <w:rtl/>
        </w:rPr>
        <w:t>والتهذيب</w:t>
      </w:r>
      <w:r w:rsidR="00E3253D" w:rsidRPr="005D642E">
        <w:rPr>
          <w:rtl/>
        </w:rPr>
        <w:t xml:space="preserve"> : « يشقّ</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بطنها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وحاشية « بث » والكافي ، ح 4395 </w:t>
      </w:r>
      <w:r w:rsidR="00B60612" w:rsidRPr="00B60612">
        <w:rPr>
          <w:rStyle w:val="libFootnoteBoldChar"/>
          <w:rtl/>
        </w:rPr>
        <w:t>والتهذيب</w:t>
      </w:r>
      <w:r w:rsidR="00E3253D" w:rsidRPr="005D642E">
        <w:rPr>
          <w:rtl/>
        </w:rPr>
        <w:t xml:space="preserve"> : « ويخرج</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بخ ، بس ، بف » والكافي ، ح 4395 : « تموت</w:t>
      </w:r>
      <w:r w:rsidR="00E3253D">
        <w:rPr>
          <w:rtl/>
        </w:rPr>
        <w:t xml:space="preserve"> ».</w:t>
      </w:r>
    </w:p>
    <w:p w:rsidR="00E3253D" w:rsidRPr="005D642E" w:rsidRDefault="0042621E" w:rsidP="0039529F">
      <w:pPr>
        <w:pStyle w:val="libFootnote0"/>
        <w:rPr>
          <w:rtl/>
          <w:lang w:bidi="fa-IR"/>
        </w:rPr>
      </w:pPr>
      <w:r w:rsidRPr="0042621E">
        <w:rPr>
          <w:rStyle w:val="libFootnote0Char"/>
          <w:rtl/>
        </w:rPr>
        <w:t>(6).</w:t>
      </w:r>
      <w:r w:rsidR="00E3253D" w:rsidRPr="005D642E">
        <w:rPr>
          <w:rtl/>
        </w:rPr>
        <w:t xml:space="preserve"> في « جس » : + « وفي بطنها ولد يتحرّك</w:t>
      </w:r>
      <w:r w:rsidR="00E3253D">
        <w:rPr>
          <w:rtl/>
        </w:rPr>
        <w:t xml:space="preserve"> ».</w:t>
      </w:r>
      <w:r w:rsidR="00E3253D" w:rsidRPr="005D642E">
        <w:rPr>
          <w:rtl/>
        </w:rPr>
        <w:t xml:space="preserve"> وفي الوسائل والكافي ، ح 4395 </w:t>
      </w:r>
      <w:r w:rsidR="00B60612" w:rsidRPr="00B60612">
        <w:rPr>
          <w:rStyle w:val="libFootnoteBoldChar"/>
          <w:rtl/>
        </w:rPr>
        <w:t>والتهذيب</w:t>
      </w:r>
      <w:r w:rsidR="00E3253D" w:rsidRPr="005D642E">
        <w:rPr>
          <w:rtl/>
        </w:rPr>
        <w:t xml:space="preserve"> : « في بطنها الولد » بدل « ولدها في بطنها</w:t>
      </w:r>
      <w:r w:rsidR="00E3253D">
        <w:rPr>
          <w:rtl/>
        </w:rPr>
        <w:t xml:space="preserve"> ».</w:t>
      </w:r>
      <w:r w:rsidR="0039529F">
        <w:rPr>
          <w:rFonts w:hint="cs"/>
          <w:rtl/>
        </w:rPr>
        <w:t xml:space="preserve">                                     </w:t>
      </w:r>
      <w:r w:rsidRPr="0042621E">
        <w:rPr>
          <w:rStyle w:val="libFootnote0Char"/>
          <w:rtl/>
        </w:rPr>
        <w:t>(7).</w:t>
      </w:r>
      <w:r w:rsidR="00E3253D" w:rsidRPr="005D642E">
        <w:rPr>
          <w:rtl/>
        </w:rPr>
        <w:t xml:space="preserve"> في « بث ، بخ ، جس » : «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ى ، بف » : « ويخرج</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الوسائل والكافي ، ح 4395 :</w:t>
      </w:r>
      <w:r w:rsidR="00E3253D">
        <w:rPr>
          <w:rtl/>
        </w:rPr>
        <w:t xml:space="preserve"> </w:t>
      </w:r>
      <w:r w:rsidR="007642BC">
        <w:rPr>
          <w:rtl/>
        </w:rPr>
        <w:t>-</w:t>
      </w:r>
      <w:r w:rsidR="00E3253D">
        <w:rPr>
          <w:rtl/>
        </w:rPr>
        <w:t xml:space="preserve"> </w:t>
      </w:r>
      <w:r w:rsidR="00E3253D" w:rsidRPr="005D642E">
        <w:rPr>
          <w:rtl/>
        </w:rPr>
        <w:t>« إذا لم ترفق به النساء</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المرأة تموت وفي بطنها ولد يتحرّك ، ح 4395. </w:t>
      </w:r>
      <w:r w:rsidR="00E3253D" w:rsidRPr="002F4D34">
        <w:rPr>
          <w:rStyle w:val="libFootnoteBoldChar"/>
          <w:rtl/>
        </w:rPr>
        <w:t>التهذيب</w:t>
      </w:r>
      <w:r w:rsidR="00E3253D" w:rsidRPr="005D642E">
        <w:rPr>
          <w:rtl/>
        </w:rPr>
        <w:t xml:space="preserve"> ، ج 1 ، ص 344 ، ح 1008 ، معلّقاً عن الكليني. </w:t>
      </w:r>
      <w:r w:rsidR="00E3253D" w:rsidRPr="002F4D34">
        <w:rPr>
          <w:rStyle w:val="libFootnoteBoldChar"/>
          <w:rtl/>
        </w:rPr>
        <w:t>قرب الإسناد</w:t>
      </w:r>
      <w:r w:rsidR="00E3253D" w:rsidRPr="005D642E">
        <w:rPr>
          <w:rtl/>
        </w:rPr>
        <w:t xml:space="preserve"> ، ص 136 ، ح 478 ، بسند آخر من قوله : « وكان في المرأة يموت ولدها » </w:t>
      </w:r>
      <w:r w:rsidR="0039529F">
        <w:rPr>
          <w:rFonts w:hint="cs"/>
          <w:rtl/>
        </w:rPr>
        <w:t>.</w:t>
      </w:r>
      <w:r w:rsidR="00E3253D" w:rsidRPr="002F4D34">
        <w:rPr>
          <w:rStyle w:val="libFootnoteBoldChar"/>
          <w:rtl/>
        </w:rPr>
        <w:t>الوافي</w:t>
      </w:r>
      <w:r w:rsidR="00E3253D" w:rsidRPr="005D642E">
        <w:rPr>
          <w:rtl/>
        </w:rPr>
        <w:t xml:space="preserve"> ، ج 24 ، ص 340 ، ح 24163 ؛ </w:t>
      </w:r>
      <w:r w:rsidR="00E3253D" w:rsidRPr="002F4D34">
        <w:rPr>
          <w:rStyle w:val="libFootnoteBoldChar"/>
          <w:rtl/>
        </w:rPr>
        <w:t>الوسائل</w:t>
      </w:r>
      <w:r w:rsidR="00E3253D" w:rsidRPr="005D642E">
        <w:rPr>
          <w:rtl/>
        </w:rPr>
        <w:t xml:space="preserve"> ، ج 2 ، ص 470 ، ذيل ح 2671.</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328 ، ح 960 ؛ بسند آخر عن أحمد بن محمّد ، عمّن ذكره قال : إذا تمّ للسقط</w:t>
      </w:r>
      <w:r w:rsidR="00E3253D">
        <w:rPr>
          <w:rtl/>
        </w:rPr>
        <w:t xml:space="preserve"> ..</w:t>
      </w:r>
      <w:r w:rsidR="00E3253D" w:rsidRPr="005D642E">
        <w:rPr>
          <w:rtl/>
        </w:rPr>
        <w:t xml:space="preserve">. ، مع </w:t>
      </w:r>
      <w:r w:rsidR="0039529F">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883266">
        <w:rPr>
          <w:rtl/>
        </w:rPr>
        <w:t>4600</w:t>
      </w:r>
      <w:r w:rsidRPr="00246318">
        <w:rPr>
          <w:rStyle w:val="libBold2Char"/>
          <w:rtl/>
        </w:rPr>
        <w:t xml:space="preserve"> / 2.</w:t>
      </w:r>
      <w:r w:rsidRPr="005D642E">
        <w:rPr>
          <w:rtl/>
          <w:lang w:bidi="fa-IR"/>
        </w:rPr>
        <w:t xml:space="preserve"> عَلِيُّ بْنُ إِبْرَاهِيمَ ، عَنْ أَبِيهِ ، عَنِ ابْنِ أَبِي عُمَيْرٍ ، عَنْ حَمَّادِ بْنِ عُثْمَانَ ، عَنِ الْحَلَبِيِّ وَ</w:t>
      </w:r>
      <w:r>
        <w:rPr>
          <w:rFonts w:hint="cs"/>
          <w:rtl/>
          <w:lang w:bidi="fa-IR"/>
        </w:rPr>
        <w:t xml:space="preserve"> </w:t>
      </w:r>
      <w:r w:rsidRPr="007C12DB">
        <w:rPr>
          <w:rStyle w:val="libFootnotenumChar"/>
          <w:rtl/>
        </w:rPr>
        <w:t>(1)</w:t>
      </w:r>
      <w:r w:rsidRPr="005D642E">
        <w:rPr>
          <w:rtl/>
          <w:lang w:bidi="fa-IR"/>
        </w:rPr>
        <w:t xml:space="preserve"> زُرَارَةَ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أَنَّهُ سُئِلَ عَنِ الصَّلَاةِ عَلَى الصَّبِيِّ : مَتى يُصَلّى عَلَيْهِ</w:t>
      </w:r>
      <w:r>
        <w:rPr>
          <w:rtl/>
          <w:lang w:bidi="fa-IR"/>
        </w:rPr>
        <w:t>؟</w:t>
      </w:r>
      <w:r w:rsidRPr="005D642E">
        <w:rPr>
          <w:rtl/>
          <w:lang w:bidi="fa-IR"/>
        </w:rPr>
        <w:t xml:space="preserve"> قَالَ </w:t>
      </w:r>
      <w:r w:rsidRPr="007C12DB">
        <w:rPr>
          <w:rStyle w:val="libFootnotenumChar"/>
          <w:rtl/>
        </w:rPr>
        <w:t>(2)</w:t>
      </w:r>
      <w:r w:rsidRPr="005D642E">
        <w:rPr>
          <w:rtl/>
          <w:lang w:bidi="fa-IR"/>
        </w:rPr>
        <w:t xml:space="preserve"> :</w:t>
      </w:r>
      <w:r>
        <w:rPr>
          <w:rFonts w:hint="cs"/>
          <w:rtl/>
          <w:lang w:bidi="fa-IR"/>
        </w:rPr>
        <w:t xml:space="preserve"> </w:t>
      </w:r>
      <w:r w:rsidRPr="005D642E">
        <w:rPr>
          <w:rtl/>
          <w:lang w:bidi="fa-IR"/>
        </w:rPr>
        <w:t>« إِذَا عَقَلَ الصَّلَاةَ</w:t>
      </w:r>
      <w:r>
        <w:rPr>
          <w:rtl/>
          <w:lang w:bidi="fa-IR"/>
        </w:rPr>
        <w:t xml:space="preserve"> ».</w:t>
      </w:r>
      <w:r w:rsidRPr="005D642E">
        <w:rPr>
          <w:rtl/>
          <w:lang w:bidi="fa-IR"/>
        </w:rPr>
        <w:t xml:space="preserve"> قُلْتُ : مَتى تَجِبُ </w:t>
      </w:r>
      <w:r w:rsidRPr="007C12DB">
        <w:rPr>
          <w:rStyle w:val="libFootnotenumChar"/>
          <w:rtl/>
        </w:rPr>
        <w:t>(3)</w:t>
      </w:r>
      <w:r w:rsidRPr="005D642E">
        <w:rPr>
          <w:rtl/>
          <w:lang w:bidi="fa-IR"/>
        </w:rPr>
        <w:t xml:space="preserve"> الصَّلَاةُ عَلَيْهِ </w:t>
      </w:r>
      <w:r w:rsidRPr="007C12DB">
        <w:rPr>
          <w:rStyle w:val="libFootnotenumChar"/>
          <w:rtl/>
        </w:rPr>
        <w:t>(4)</w:t>
      </w:r>
      <w:r>
        <w:rPr>
          <w:rtl/>
          <w:lang w:bidi="fa-IR"/>
        </w:rPr>
        <w:t>؟</w:t>
      </w:r>
      <w:r w:rsidRPr="005D642E">
        <w:rPr>
          <w:rtl/>
          <w:lang w:bidi="fa-IR"/>
        </w:rPr>
        <w:t xml:space="preserve"> فَقَالَ </w:t>
      </w:r>
      <w:r w:rsidRPr="007C12DB">
        <w:rPr>
          <w:rStyle w:val="libFootnotenumChar"/>
          <w:rtl/>
        </w:rPr>
        <w:t>(5)</w:t>
      </w:r>
      <w:r w:rsidRPr="005D642E">
        <w:rPr>
          <w:rtl/>
          <w:lang w:bidi="fa-IR"/>
        </w:rPr>
        <w:t xml:space="preserve"> : « إِذَا كَانَ ابْنَ سِتِّ سِنِينَ ، وَالصِّيَامُ إِذَا أَطَاقَهُ</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883266">
        <w:rPr>
          <w:rtl/>
        </w:rPr>
        <w:t>4601</w:t>
      </w:r>
      <w:r w:rsidRPr="00246318">
        <w:rPr>
          <w:rStyle w:val="libBold2Char"/>
          <w:rtl/>
        </w:rPr>
        <w:t xml:space="preserve"> / 3.</w:t>
      </w:r>
      <w:r w:rsidRPr="005D642E">
        <w:rPr>
          <w:rtl/>
          <w:lang w:bidi="fa-IR"/>
        </w:rPr>
        <w:t xml:space="preserve"> عَلِيٌّ ، عَنْ أَبِيهِ ، عَنِ ابْنِ أَبِي عُمَيْرٍ ، عَنْ عُمَرَ بْنِ أُذَيْنَةَ </w:t>
      </w:r>
      <w:r w:rsidRPr="007C12DB">
        <w:rPr>
          <w:rStyle w:val="libFootnotenumChar"/>
          <w:rtl/>
        </w:rPr>
        <w:t>(7)</w:t>
      </w:r>
      <w:r w:rsidRPr="005D642E">
        <w:rPr>
          <w:rtl/>
          <w:lang w:bidi="fa-IR"/>
        </w:rPr>
        <w:t xml:space="preserve"> ، عَنْ زُرَارَةَ ، قَالَ :</w:t>
      </w:r>
    </w:p>
    <w:p w:rsidR="00E3253D" w:rsidRPr="005D642E" w:rsidRDefault="00E3253D" w:rsidP="00E3253D">
      <w:pPr>
        <w:pStyle w:val="libNormal"/>
        <w:rPr>
          <w:rtl/>
          <w:lang w:bidi="fa-IR"/>
        </w:rPr>
      </w:pPr>
      <w:r w:rsidRPr="005D642E">
        <w:rPr>
          <w:rtl/>
          <w:lang w:bidi="fa-IR"/>
        </w:rPr>
        <w:t xml:space="preserve">رَأَيْتُ ابْناً لِأَبِي عَبْدِ اللهِ </w:t>
      </w:r>
      <w:r w:rsidRPr="00AC51C5">
        <w:rPr>
          <w:rStyle w:val="libAlaemChar"/>
          <w:rtl/>
        </w:rPr>
        <w:t>عليه‌السلام</w:t>
      </w:r>
      <w:r w:rsidRPr="005D642E">
        <w:rPr>
          <w:rtl/>
          <w:lang w:bidi="fa-IR"/>
        </w:rPr>
        <w:t xml:space="preserve"> فِي حَيَاةِ أَبِي جَعْفَرٍ </w:t>
      </w:r>
      <w:r w:rsidRPr="00AC51C5">
        <w:rPr>
          <w:rStyle w:val="libAlaemChar"/>
          <w:rtl/>
        </w:rPr>
        <w:t>عليه‌السلام</w:t>
      </w:r>
      <w:r>
        <w:rPr>
          <w:rtl/>
          <w:lang w:bidi="fa-IR"/>
        </w:rPr>
        <w:t xml:space="preserve"> </w:t>
      </w:r>
      <w:r w:rsidR="007642BC">
        <w:rPr>
          <w:rtl/>
          <w:lang w:bidi="fa-IR"/>
        </w:rPr>
        <w:t>-</w:t>
      </w:r>
      <w:r>
        <w:rPr>
          <w:rtl/>
          <w:lang w:bidi="fa-IR"/>
        </w:rPr>
        <w:t xml:space="preserve"> </w:t>
      </w:r>
      <w:r w:rsidRPr="005D642E">
        <w:rPr>
          <w:rtl/>
          <w:lang w:bidi="fa-IR"/>
        </w:rPr>
        <w:t>يُقَالُ لَهُ : عَبْدُ اللهِ</w:t>
      </w:r>
      <w:r>
        <w:rPr>
          <w:rtl/>
          <w:lang w:bidi="fa-IR"/>
        </w:rPr>
        <w:t xml:space="preserve"> </w:t>
      </w:r>
      <w:r w:rsidR="007642BC">
        <w:rPr>
          <w:rtl/>
          <w:lang w:bidi="fa-IR"/>
        </w:rPr>
        <w:t>-</w:t>
      </w:r>
      <w:r>
        <w:rPr>
          <w:rtl/>
          <w:lang w:bidi="fa-IR"/>
        </w:rPr>
        <w:t xml:space="preserve"> </w:t>
      </w:r>
      <w:r w:rsidRPr="005D642E">
        <w:rPr>
          <w:rtl/>
          <w:lang w:bidi="fa-IR"/>
        </w:rPr>
        <w:t xml:space="preserve">فَطِيمٌ </w:t>
      </w:r>
      <w:r w:rsidRPr="007C12DB">
        <w:rPr>
          <w:rStyle w:val="libFootnotenumChar"/>
          <w:rtl/>
        </w:rPr>
        <w:t>(8)</w:t>
      </w:r>
      <w:r w:rsidRPr="005D642E">
        <w:rPr>
          <w:rtl/>
          <w:lang w:bidi="fa-IR"/>
        </w:rPr>
        <w:t xml:space="preserve"> قَدْ</w:t>
      </w:r>
      <w:r>
        <w:rPr>
          <w:rFonts w:hint="cs"/>
          <w:rtl/>
          <w:lang w:bidi="fa-IR"/>
        </w:rPr>
        <w:t xml:space="preserve"> </w:t>
      </w:r>
      <w:r w:rsidRPr="005D642E">
        <w:rPr>
          <w:rtl/>
          <w:lang w:bidi="fa-IR"/>
        </w:rPr>
        <w:t xml:space="preserve">دَرَجَ </w:t>
      </w:r>
      <w:r w:rsidRPr="007C12DB">
        <w:rPr>
          <w:rStyle w:val="libFootnotenumChar"/>
          <w:rtl/>
        </w:rPr>
        <w:t>(9)</w:t>
      </w:r>
      <w:r w:rsidRPr="005D642E">
        <w:rPr>
          <w:rtl/>
          <w:lang w:bidi="fa-IR"/>
        </w:rPr>
        <w:t xml:space="preserve"> ، فَقُلْتُ لَهُ : يَا غُلَامُ ، مَنْ ذَا الَّذِي إِلى جَنْبِكَ لِمَوْلًى لَهُمْ</w:t>
      </w:r>
      <w:r>
        <w:rPr>
          <w:rtl/>
          <w:lang w:bidi="fa-IR"/>
        </w:rPr>
        <w:t>؟</w:t>
      </w:r>
      <w:r w:rsidRPr="005D642E">
        <w:rPr>
          <w:rtl/>
          <w:lang w:bidi="fa-IR"/>
        </w:rPr>
        <w:t xml:space="preserve"> فَقَالَ : هذَا مَوْلَايَ ، فَقَالَ‌</w:t>
      </w:r>
    </w:p>
    <w:p w:rsidR="00E3253D" w:rsidRPr="005D642E" w:rsidRDefault="00E3253D" w:rsidP="00E3253D">
      <w:pPr>
        <w:pStyle w:val="libLine"/>
        <w:rPr>
          <w:rtl/>
          <w:lang w:bidi="fa-IR"/>
        </w:rPr>
      </w:pPr>
      <w:r w:rsidRPr="005D642E">
        <w:rPr>
          <w:rtl/>
          <w:lang w:bidi="fa-IR"/>
        </w:rPr>
        <w:t>__________________</w:t>
      </w:r>
    </w:p>
    <w:p w:rsidR="00E3253D" w:rsidRPr="005D642E" w:rsidRDefault="00D87104" w:rsidP="00E3253D">
      <w:pPr>
        <w:pStyle w:val="libFootnote0"/>
        <w:rPr>
          <w:rtl/>
          <w:lang w:bidi="fa-IR"/>
        </w:rPr>
      </w:pPr>
      <w:r>
        <w:rPr>
          <w:rFonts w:hint="cs"/>
          <w:rtl/>
        </w:rPr>
        <w:t xml:space="preserve">= </w:t>
      </w:r>
      <w:r w:rsidR="00E3253D" w:rsidRPr="005D642E">
        <w:rPr>
          <w:rtl/>
        </w:rPr>
        <w:t xml:space="preserve">اختلاف يسير وزيادة في آخره. </w:t>
      </w:r>
      <w:r w:rsidR="00E3253D" w:rsidRPr="002F4D34">
        <w:rPr>
          <w:rStyle w:val="libFootnoteBoldChar"/>
          <w:rtl/>
        </w:rPr>
        <w:t>فقه الرضا</w:t>
      </w:r>
      <w:r w:rsidR="00E3253D" w:rsidRPr="005D642E">
        <w:rPr>
          <w:rtl/>
        </w:rPr>
        <w:t xml:space="preserve"> </w:t>
      </w:r>
      <w:r w:rsidR="00E3253D" w:rsidRPr="001D5E83">
        <w:rPr>
          <w:rStyle w:val="libFootnoteAlaemChar"/>
          <w:rtl/>
        </w:rPr>
        <w:t>عليه‌السلام</w:t>
      </w:r>
      <w:r w:rsidR="00E3253D" w:rsidRPr="005D642E">
        <w:rPr>
          <w:rtl/>
        </w:rPr>
        <w:t xml:space="preserve"> ، ص 174 مع اختلاف يسير </w:t>
      </w:r>
      <w:r w:rsidR="001D5E83">
        <w:rPr>
          <w:rFonts w:hint="cs"/>
          <w:rtl/>
        </w:rPr>
        <w:t>.</w:t>
      </w:r>
      <w:r w:rsidR="00E3253D" w:rsidRPr="002F4D34">
        <w:rPr>
          <w:rStyle w:val="libFootnoteBoldChar"/>
          <w:rtl/>
        </w:rPr>
        <w:t>الوافي</w:t>
      </w:r>
      <w:r w:rsidR="00E3253D" w:rsidRPr="005D642E">
        <w:rPr>
          <w:rtl/>
        </w:rPr>
        <w:t xml:space="preserve"> ، ج 24 ، ص 341 ، ح 24165 ؛ </w:t>
      </w:r>
      <w:r w:rsidR="00E3253D" w:rsidRPr="002F4D34">
        <w:rPr>
          <w:rStyle w:val="libFootnoteBoldChar"/>
          <w:rtl/>
        </w:rPr>
        <w:t>الوسائل</w:t>
      </w:r>
      <w:r w:rsidR="00E3253D" w:rsidRPr="005D642E">
        <w:rPr>
          <w:rtl/>
        </w:rPr>
        <w:t xml:space="preserve"> ، ج 2 ، ص 502 ، ح 2757.</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حاشية « بف » </w:t>
      </w:r>
      <w:r w:rsidR="00B60612" w:rsidRPr="00B60612">
        <w:rPr>
          <w:rStyle w:val="libFootnoteBoldChar"/>
          <w:rtl/>
        </w:rPr>
        <w:t>والتهذيب</w:t>
      </w:r>
      <w:r w:rsidR="00E3253D" w:rsidRPr="005D642E">
        <w:rPr>
          <w:rtl/>
        </w:rPr>
        <w:t xml:space="preserve"> : « عن » ، ولايبعد كونه سهواً ؛ فقد روى الصدوق الخبر في </w:t>
      </w:r>
      <w:r w:rsidR="00E3253D" w:rsidRPr="002F4D34">
        <w:rPr>
          <w:rStyle w:val="libFootnoteBoldChar"/>
          <w:rtl/>
        </w:rPr>
        <w:t>الفقيه</w:t>
      </w:r>
      <w:r w:rsidR="00E3253D" w:rsidRPr="005D642E">
        <w:rPr>
          <w:rtl/>
        </w:rPr>
        <w:t xml:space="preserve"> ، ج 1 ، ص 167 ، ح 486 ، وقال : « وروى زرارة وعبيدالله بن عليّ الحلبي ، عن أبي عبدالله </w:t>
      </w:r>
      <w:r w:rsidR="00E3253D" w:rsidRPr="00AA5171">
        <w:rPr>
          <w:rStyle w:val="libFootnoteAlaemChar"/>
          <w:rtl/>
        </w:rPr>
        <w:t>عليه‌السلام</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A5171" w:rsidTr="00AA5171">
        <w:tc>
          <w:tcPr>
            <w:tcW w:w="4006" w:type="dxa"/>
          </w:tcPr>
          <w:p w:rsidR="00AA5171" w:rsidRDefault="00AA5171" w:rsidP="00E3253D">
            <w:pPr>
              <w:pStyle w:val="libFootnote0"/>
              <w:rPr>
                <w:rStyle w:val="libFootnote0Char"/>
                <w:rtl/>
              </w:rPr>
            </w:pPr>
            <w:r w:rsidRPr="0042621E">
              <w:rPr>
                <w:rStyle w:val="libFootnote0Char"/>
                <w:rtl/>
              </w:rPr>
              <w:t>(2).</w:t>
            </w:r>
            <w:r w:rsidRPr="005D642E">
              <w:rPr>
                <w:rtl/>
              </w:rPr>
              <w:t xml:space="preserve"> في « غ » : « فقال</w:t>
            </w:r>
            <w:r>
              <w:rPr>
                <w:rtl/>
              </w:rPr>
              <w:t xml:space="preserve"> ».</w:t>
            </w:r>
          </w:p>
        </w:tc>
        <w:tc>
          <w:tcPr>
            <w:tcW w:w="4006" w:type="dxa"/>
          </w:tcPr>
          <w:p w:rsidR="00AA5171" w:rsidRDefault="00AA5171" w:rsidP="00E3253D">
            <w:pPr>
              <w:pStyle w:val="libFootnote0"/>
              <w:rPr>
                <w:rStyle w:val="libFootnote0Char"/>
                <w:rtl/>
              </w:rPr>
            </w:pPr>
            <w:r w:rsidRPr="0042621E">
              <w:rPr>
                <w:rStyle w:val="libFootnote0Char"/>
                <w:rtl/>
              </w:rPr>
              <w:t>(3).</w:t>
            </w:r>
            <w:r w:rsidRPr="005D642E">
              <w:rPr>
                <w:rtl/>
              </w:rPr>
              <w:t xml:space="preserve"> في « غ ، بس ، جح ، جس » : « يجب</w:t>
            </w:r>
            <w:r>
              <w:rPr>
                <w:rtl/>
              </w:rPr>
              <w:t xml:space="preserve"> ».</w:t>
            </w:r>
          </w:p>
        </w:tc>
      </w:tr>
      <w:tr w:rsidR="00AA5171" w:rsidTr="00AA5171">
        <w:tc>
          <w:tcPr>
            <w:tcW w:w="4006" w:type="dxa"/>
          </w:tcPr>
          <w:p w:rsidR="00AA5171" w:rsidRDefault="00AA5171" w:rsidP="00E3253D">
            <w:pPr>
              <w:pStyle w:val="libFootnote0"/>
              <w:rPr>
                <w:rStyle w:val="libFootnote0Char"/>
                <w:rtl/>
              </w:rPr>
            </w:pPr>
            <w:r w:rsidRPr="0042621E">
              <w:rPr>
                <w:rStyle w:val="libFootnote0Char"/>
                <w:rtl/>
              </w:rPr>
              <w:t>(4).</w:t>
            </w:r>
            <w:r w:rsidRPr="005D642E">
              <w:rPr>
                <w:rtl/>
              </w:rPr>
              <w:t xml:space="preserve"> في « بخ ، بف » : « عليه الصلاة</w:t>
            </w:r>
            <w:r>
              <w:rPr>
                <w:rtl/>
              </w:rPr>
              <w:t xml:space="preserve"> ».</w:t>
            </w:r>
          </w:p>
        </w:tc>
        <w:tc>
          <w:tcPr>
            <w:tcW w:w="4006" w:type="dxa"/>
          </w:tcPr>
          <w:p w:rsidR="00AA5171" w:rsidRDefault="00AA5171" w:rsidP="00E3253D">
            <w:pPr>
              <w:pStyle w:val="libFootnote0"/>
              <w:rPr>
                <w:rStyle w:val="libFootnote0Char"/>
                <w:rtl/>
              </w:rPr>
            </w:pPr>
            <w:r w:rsidRPr="0042621E">
              <w:rPr>
                <w:rStyle w:val="libFootnote0Char"/>
                <w:rtl/>
              </w:rPr>
              <w:t>(5).</w:t>
            </w:r>
            <w:r w:rsidRPr="005D642E">
              <w:rPr>
                <w:rtl/>
              </w:rPr>
              <w:t xml:space="preserve"> في الفقيه </w:t>
            </w:r>
            <w:r w:rsidRPr="00B60612">
              <w:rPr>
                <w:rStyle w:val="libFootnoteBoldChar"/>
                <w:rtl/>
              </w:rPr>
              <w:t>والتهذيب</w:t>
            </w:r>
            <w:r w:rsidRPr="005D642E">
              <w:rPr>
                <w:rtl/>
              </w:rPr>
              <w:t xml:space="preserve"> ، ح 456 : « قال</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التهذيب</w:t>
      </w:r>
      <w:r w:rsidR="00E3253D" w:rsidRPr="005D642E">
        <w:rPr>
          <w:rtl/>
        </w:rPr>
        <w:t xml:space="preserve"> ، ج 3 ، ص 198 ، ح 456 ؛ </w:t>
      </w:r>
      <w:r w:rsidR="00E3253D" w:rsidRPr="00E678B5">
        <w:rPr>
          <w:rStyle w:val="libFootnoteBoldChar"/>
          <w:rtl/>
        </w:rPr>
        <w:t>والاستبصار</w:t>
      </w:r>
      <w:r w:rsidR="00E3253D" w:rsidRPr="005D642E">
        <w:rPr>
          <w:rtl/>
        </w:rPr>
        <w:t xml:space="preserve"> ، ج 1 ، ص 479 ، ح 1855 ، معلّقاً عن الكليني. </w:t>
      </w:r>
      <w:r w:rsidR="00E3253D" w:rsidRPr="002F4D34">
        <w:rPr>
          <w:rStyle w:val="libFootnoteBoldChar"/>
          <w:rtl/>
        </w:rPr>
        <w:t>الفقيه</w:t>
      </w:r>
      <w:r w:rsidR="00E3253D" w:rsidRPr="005D642E">
        <w:rPr>
          <w:rtl/>
        </w:rPr>
        <w:t xml:space="preserve"> ، ج 1 ، ص 167 ، ح 486 ، معلّقاً عن زرارة وعبيدالله بن عليّ الحلبي ، عن أبي عبدالله </w:t>
      </w:r>
      <w:r w:rsidR="00E3253D" w:rsidRPr="002B2905">
        <w:rPr>
          <w:rStyle w:val="libFootnoteAlaemChar"/>
          <w:rtl/>
        </w:rPr>
        <w:t>عليه‌السلام</w:t>
      </w:r>
      <w:r w:rsidR="00E3253D" w:rsidRPr="005D642E">
        <w:rPr>
          <w:rtl/>
        </w:rPr>
        <w:t xml:space="preserve">. وفي </w:t>
      </w:r>
      <w:r w:rsidR="00E3253D" w:rsidRPr="002F4D34">
        <w:rPr>
          <w:rStyle w:val="libFootnoteBoldChar"/>
          <w:rtl/>
        </w:rPr>
        <w:t>التهذيب</w:t>
      </w:r>
      <w:r w:rsidR="00E3253D" w:rsidRPr="005D642E">
        <w:rPr>
          <w:rtl/>
        </w:rPr>
        <w:t xml:space="preserve"> ، ج 2 ، ص 381 ، ح 1589 ؛ </w:t>
      </w:r>
      <w:r w:rsidR="00E3253D" w:rsidRPr="00E678B5">
        <w:rPr>
          <w:rStyle w:val="libFootnoteBoldChar"/>
          <w:rtl/>
        </w:rPr>
        <w:t>والاستبصار</w:t>
      </w:r>
      <w:r w:rsidR="00E3253D" w:rsidRPr="005D642E">
        <w:rPr>
          <w:rtl/>
        </w:rPr>
        <w:t xml:space="preserve"> ، ج 1 ، ص 408 ، ح 1562 ، بسند آخر عن محمّد بن مسلم ، عن أحدهما </w:t>
      </w:r>
      <w:r w:rsidR="00E3253D" w:rsidRPr="001D5E83">
        <w:rPr>
          <w:rStyle w:val="libFootnoteAlaemChar"/>
          <w:rtl/>
        </w:rPr>
        <w:t>عليهما‌السلام</w:t>
      </w:r>
      <w:r w:rsidR="00E3253D" w:rsidRPr="005D642E">
        <w:rPr>
          <w:rtl/>
        </w:rPr>
        <w:t xml:space="preserve"> ، إلى قوله : « إذا كان ابن ستّ سنين » مع اختلاف يسير. وفي </w:t>
      </w:r>
      <w:r w:rsidR="00E3253D" w:rsidRPr="002F4D34">
        <w:rPr>
          <w:rStyle w:val="libFootnoteBoldChar"/>
          <w:rtl/>
        </w:rPr>
        <w:t>التهذيب</w:t>
      </w:r>
      <w:r w:rsidR="00E3253D" w:rsidRPr="005D642E">
        <w:rPr>
          <w:rtl/>
        </w:rPr>
        <w:t xml:space="preserve"> ، ج 3 ، ص 199 ، ح 458 ؛ </w:t>
      </w:r>
      <w:r w:rsidR="00E3253D" w:rsidRPr="003B3913">
        <w:rPr>
          <w:rStyle w:val="libFootnoteBoldChar"/>
          <w:rtl/>
        </w:rPr>
        <w:t>وقرب الإسناد</w:t>
      </w:r>
      <w:r w:rsidR="00E3253D" w:rsidRPr="005D642E">
        <w:rPr>
          <w:rtl/>
        </w:rPr>
        <w:t xml:space="preserve"> ، ص 218 ، ح 855 ، بسند آخر عن موسى بن جعفر </w:t>
      </w:r>
      <w:r w:rsidR="00E3253D" w:rsidRPr="002B2905">
        <w:rPr>
          <w:rStyle w:val="libFootnoteAlaemChar"/>
          <w:rtl/>
        </w:rPr>
        <w:t>عليهما‌السلام</w:t>
      </w:r>
      <w:r w:rsidR="00E3253D" w:rsidRPr="005D642E">
        <w:rPr>
          <w:rtl/>
        </w:rPr>
        <w:t xml:space="preserve"> ، إلى قوله : « قال : إذا عقل الصلاة » مع اختلاف يسير. وراجع : </w:t>
      </w:r>
      <w:r w:rsidR="00E3253D" w:rsidRPr="002F4D34">
        <w:rPr>
          <w:rStyle w:val="libFootnoteBoldChar"/>
          <w:rtl/>
        </w:rPr>
        <w:t>الكافي</w:t>
      </w:r>
      <w:r w:rsidR="00E3253D" w:rsidRPr="005D642E">
        <w:rPr>
          <w:rtl/>
        </w:rPr>
        <w:t xml:space="preserve"> ، كتاب الصيام ، باب صوم الصبيان ومتى يؤخذون به ، ح 6489 ؛ </w:t>
      </w:r>
      <w:r w:rsidR="00E3253D" w:rsidRPr="002F4D34">
        <w:rPr>
          <w:rStyle w:val="libFootnoteBoldChar"/>
          <w:rtl/>
        </w:rPr>
        <w:t>الفقيه</w:t>
      </w:r>
      <w:r w:rsidR="00E3253D" w:rsidRPr="005D642E">
        <w:rPr>
          <w:rtl/>
        </w:rPr>
        <w:t xml:space="preserve"> ، ج 1 ، ص 168 ، ح 488 </w:t>
      </w:r>
      <w:r w:rsidR="002B2905">
        <w:rPr>
          <w:rFonts w:hint="cs"/>
          <w:rtl/>
        </w:rPr>
        <w:t>.</w:t>
      </w:r>
      <w:r w:rsidR="00E3253D" w:rsidRPr="002F4D34">
        <w:rPr>
          <w:rStyle w:val="libFootnoteBoldChar"/>
          <w:rtl/>
        </w:rPr>
        <w:t>الوافي</w:t>
      </w:r>
      <w:r w:rsidR="00E3253D" w:rsidRPr="005D642E">
        <w:rPr>
          <w:rtl/>
        </w:rPr>
        <w:t xml:space="preserve"> ، ج 25 ، ص 495 ، ح 24500 ؛ </w:t>
      </w:r>
      <w:r w:rsidR="00E3253D" w:rsidRPr="002F4D34">
        <w:rPr>
          <w:rStyle w:val="libFootnoteBoldChar"/>
          <w:rtl/>
        </w:rPr>
        <w:t>الوسائل</w:t>
      </w:r>
      <w:r w:rsidR="00E3253D" w:rsidRPr="005D642E">
        <w:rPr>
          <w:rtl/>
        </w:rPr>
        <w:t xml:space="preserve"> ، ج 3 ، ص 95 ، ذيل ح 3117.</w:t>
      </w:r>
    </w:p>
    <w:p w:rsidR="00E3253D" w:rsidRPr="005D642E" w:rsidRDefault="0042621E" w:rsidP="00C4326D">
      <w:pPr>
        <w:pStyle w:val="libFootnote0"/>
        <w:rPr>
          <w:rtl/>
          <w:lang w:bidi="fa-IR"/>
        </w:rPr>
      </w:pPr>
      <w:r w:rsidRPr="0042621E">
        <w:rPr>
          <w:rStyle w:val="libFootnote0Char"/>
          <w:rtl/>
        </w:rPr>
        <w:t>(7).</w:t>
      </w:r>
      <w:r w:rsidR="00E3253D" w:rsidRPr="005D642E">
        <w:rPr>
          <w:rtl/>
        </w:rPr>
        <w:t xml:space="preserve"> في التهذيب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عن عمر بن ا</w:t>
      </w:r>
      <w:r w:rsidR="00CD64E8">
        <w:rPr>
          <w:rFonts w:hint="cs"/>
          <w:rtl/>
        </w:rPr>
        <w:t>ُ</w:t>
      </w:r>
      <w:r w:rsidR="00E3253D" w:rsidRPr="005D642E">
        <w:rPr>
          <w:rtl/>
        </w:rPr>
        <w:t>ذينة</w:t>
      </w:r>
      <w:r w:rsidR="00E3253D">
        <w:rPr>
          <w:rtl/>
        </w:rPr>
        <w:t xml:space="preserve"> ».</w:t>
      </w:r>
      <w:r w:rsidR="00E3253D" w:rsidRPr="005D642E">
        <w:rPr>
          <w:rtl/>
        </w:rPr>
        <w:t xml:space="preserve"> وهو سهو ؛ فقد توسّط [ عمر ] بن ا</w:t>
      </w:r>
      <w:r w:rsidR="00CD64E8">
        <w:rPr>
          <w:rFonts w:hint="cs"/>
          <w:rtl/>
        </w:rPr>
        <w:t>ُ</w:t>
      </w:r>
      <w:r w:rsidR="00E3253D" w:rsidRPr="005D642E">
        <w:rPr>
          <w:rtl/>
        </w:rPr>
        <w:t xml:space="preserve">ذينة بين [ محمّد ] بن أبي عمير وبين زرارة في كثيرٍ من الأسناد جدّاً. راجع : </w:t>
      </w:r>
      <w:r w:rsidR="00E3253D" w:rsidRPr="002F4D34">
        <w:rPr>
          <w:rStyle w:val="libFootnoteBoldChar"/>
          <w:rtl/>
        </w:rPr>
        <w:t>معجم رجال الحديث</w:t>
      </w:r>
      <w:r w:rsidR="00E3253D" w:rsidRPr="005D642E">
        <w:rPr>
          <w:rtl/>
        </w:rPr>
        <w:t xml:space="preserve"> ، ج 13 ، ص 367</w:t>
      </w:r>
      <w:r w:rsidR="00E3253D">
        <w:rPr>
          <w:rtl/>
        </w:rPr>
        <w:t xml:space="preserve"> </w:t>
      </w:r>
      <w:r w:rsidR="007642BC">
        <w:rPr>
          <w:rtl/>
        </w:rPr>
        <w:t>-</w:t>
      </w:r>
      <w:r w:rsidR="00E3253D">
        <w:rPr>
          <w:rtl/>
        </w:rPr>
        <w:t xml:space="preserve"> </w:t>
      </w:r>
      <w:r w:rsidR="00E3253D" w:rsidRPr="005D642E">
        <w:rPr>
          <w:rtl/>
        </w:rPr>
        <w:t>370 ؛ وج 22 ، ص 368.</w:t>
      </w:r>
      <w:r w:rsidR="00CD64E8">
        <w:rPr>
          <w:rFonts w:hint="cs"/>
          <w:rtl/>
        </w:rPr>
        <w:t xml:space="preserve">               </w:t>
      </w:r>
      <w:r w:rsidRPr="0042621E">
        <w:rPr>
          <w:rStyle w:val="libFootnote0Char"/>
          <w:rtl/>
        </w:rPr>
        <w:t>(8).</w:t>
      </w:r>
      <w:r w:rsidR="00C4326D">
        <w:rPr>
          <w:rtl/>
        </w:rPr>
        <w:t>«الفطيم»:الذي انتهت مدّة رضاعه.راجع</w:t>
      </w:r>
      <w:r w:rsidR="00E3253D" w:rsidRPr="005D642E">
        <w:rPr>
          <w:rtl/>
        </w:rPr>
        <w:t>:</w:t>
      </w:r>
      <w:r w:rsidR="00E3253D" w:rsidRPr="002F4D34">
        <w:rPr>
          <w:rStyle w:val="libFootnoteBoldChar"/>
          <w:rtl/>
        </w:rPr>
        <w:t>مجمع البحرين</w:t>
      </w:r>
      <w:r w:rsidR="00C4326D">
        <w:rPr>
          <w:rtl/>
        </w:rPr>
        <w:t>،</w:t>
      </w:r>
      <w:r w:rsidR="00E3253D" w:rsidRPr="005D642E">
        <w:rPr>
          <w:rtl/>
        </w:rPr>
        <w:t>ج6</w:t>
      </w:r>
      <w:r w:rsidR="00C4326D">
        <w:rPr>
          <w:rtl/>
        </w:rPr>
        <w:t>،ص131(فطم</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حاشية « بث » : « ما درج</w:t>
      </w:r>
      <w:r w:rsidR="00E3253D">
        <w:rPr>
          <w:rtl/>
        </w:rPr>
        <w:t xml:space="preserve"> ».</w:t>
      </w:r>
      <w:r w:rsidR="00E3253D" w:rsidRPr="005D642E">
        <w:rPr>
          <w:rtl/>
        </w:rPr>
        <w:t xml:space="preserve"> ويقال : درج الصبىّ دروجاً من باب قعد : مشى قليلاً في أوّل ما يمشي. </w:t>
      </w:r>
      <w:r w:rsidR="00E3253D" w:rsidRPr="002F4D34">
        <w:rPr>
          <w:rStyle w:val="libFootnoteBoldChar"/>
          <w:rtl/>
        </w:rPr>
        <w:t xml:space="preserve">المصباح‌المنير </w:t>
      </w:r>
      <w:r w:rsidR="00E3253D" w:rsidRPr="005D642E">
        <w:rPr>
          <w:rtl/>
        </w:rPr>
        <w:t>، ص 191 ( درج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لَهُ الْمَوْلى</w:t>
      </w:r>
      <w:r>
        <w:rPr>
          <w:rtl/>
          <w:lang w:bidi="fa-IR"/>
        </w:rPr>
        <w:t xml:space="preserve"> </w:t>
      </w:r>
      <w:r w:rsidR="007642BC">
        <w:rPr>
          <w:rtl/>
          <w:lang w:bidi="fa-IR"/>
        </w:rPr>
        <w:t>-</w:t>
      </w:r>
      <w:r>
        <w:rPr>
          <w:rtl/>
          <w:lang w:bidi="fa-IR"/>
        </w:rPr>
        <w:t xml:space="preserve"> </w:t>
      </w:r>
      <w:r w:rsidRPr="005D642E">
        <w:rPr>
          <w:rtl/>
          <w:lang w:bidi="fa-IR"/>
        </w:rPr>
        <w:t>يُمَازِحُهُ</w:t>
      </w:r>
      <w:r>
        <w:rPr>
          <w:rtl/>
          <w:lang w:bidi="fa-IR"/>
        </w:rPr>
        <w:t xml:space="preserve"> </w:t>
      </w:r>
      <w:r w:rsidR="007642BC">
        <w:rPr>
          <w:rtl/>
          <w:lang w:bidi="fa-IR"/>
        </w:rPr>
        <w:t>-</w:t>
      </w:r>
      <w:r>
        <w:rPr>
          <w:rtl/>
          <w:lang w:bidi="fa-IR"/>
        </w:rPr>
        <w:t xml:space="preserve"> </w:t>
      </w:r>
      <w:r w:rsidRPr="005D642E">
        <w:rPr>
          <w:rtl/>
          <w:lang w:bidi="fa-IR"/>
        </w:rPr>
        <w:t xml:space="preserve">: لَسْتُ لَكَ بِمَوْلًى ، فَقَالَ : ذلِكَ </w:t>
      </w:r>
      <w:r w:rsidRPr="007C12DB">
        <w:rPr>
          <w:rStyle w:val="libFootnotenumChar"/>
          <w:rtl/>
        </w:rPr>
        <w:t>(1)</w:t>
      </w:r>
      <w:r w:rsidRPr="005D642E">
        <w:rPr>
          <w:rtl/>
          <w:lang w:bidi="fa-IR"/>
        </w:rPr>
        <w:t xml:space="preserve"> شَرٌّ لَكَ ، فَطَعَنَ </w:t>
      </w:r>
      <w:r w:rsidRPr="007C12DB">
        <w:rPr>
          <w:rStyle w:val="libFootnotenumChar"/>
          <w:rtl/>
        </w:rPr>
        <w:t>(2)</w:t>
      </w:r>
      <w:r w:rsidRPr="005D642E">
        <w:rPr>
          <w:rtl/>
          <w:lang w:bidi="fa-IR"/>
        </w:rPr>
        <w:t xml:space="preserve"> فِي جِنَازَةِ </w:t>
      </w:r>
      <w:r w:rsidRPr="007C12DB">
        <w:rPr>
          <w:rStyle w:val="libFootnotenumChar"/>
          <w:rtl/>
        </w:rPr>
        <w:t>(3)</w:t>
      </w:r>
      <w:r w:rsidRPr="005D642E">
        <w:rPr>
          <w:rtl/>
          <w:lang w:bidi="fa-IR"/>
        </w:rPr>
        <w:t xml:space="preserve"> الْغُلَامِ ، فَمَاتَ ، فَأُخْرِجَ فِي سَفَطٍ </w:t>
      </w:r>
      <w:r w:rsidRPr="007C12DB">
        <w:rPr>
          <w:rStyle w:val="libFootnotenumChar"/>
          <w:rtl/>
        </w:rPr>
        <w:t>(4)</w:t>
      </w:r>
      <w:r w:rsidRPr="005D642E">
        <w:rPr>
          <w:rtl/>
          <w:lang w:bidi="fa-IR"/>
        </w:rPr>
        <w:t xml:space="preserve"> إِلَى </w:t>
      </w:r>
      <w:r w:rsidRPr="007C12DB">
        <w:rPr>
          <w:rStyle w:val="libFootnotenumChar"/>
          <w:rtl/>
        </w:rPr>
        <w:t>(5)</w:t>
      </w:r>
      <w:r w:rsidRPr="005D642E">
        <w:rPr>
          <w:rtl/>
          <w:lang w:bidi="fa-IR"/>
        </w:rPr>
        <w:t xml:space="preserve"> الْبَقِيعِ ، فَخَرَجَ أَبُو جَعْفَرٍ </w:t>
      </w:r>
      <w:r w:rsidRPr="00AC51C5">
        <w:rPr>
          <w:rStyle w:val="libAlaemChar"/>
          <w:rtl/>
        </w:rPr>
        <w:t>عليه‌السلام</w:t>
      </w:r>
      <w:r w:rsidRPr="005D642E">
        <w:rPr>
          <w:rtl/>
          <w:lang w:bidi="fa-IR"/>
        </w:rPr>
        <w:t xml:space="preserve"> وَعَلَيْهِ جُبَّةُ خَزٍّ صَفْرَاءُ ، وَعِمَامَةُ خَزٍّ صَفْرَاءُ ، وَمِطْرَفُ </w:t>
      </w:r>
      <w:r w:rsidRPr="007C12DB">
        <w:rPr>
          <w:rStyle w:val="libFootnotenumChar"/>
          <w:rtl/>
        </w:rPr>
        <w:t>(6)</w:t>
      </w:r>
      <w:r w:rsidRPr="005D642E">
        <w:rPr>
          <w:rtl/>
          <w:lang w:bidi="fa-IR"/>
        </w:rPr>
        <w:t xml:space="preserve"> خَزٍّ أَصْفَرُ ، فَانْطَلَقَ يَمْشِي إِلَى الْبَقِيعِ وَهُوَ مُعْتَمِدٌ عَلَيَّ ، وَالنَّاسُ يُعَزُّونَهُ عَلَى ابْنِ ابْنِهِ.</w:t>
      </w:r>
    </w:p>
    <w:p w:rsidR="00E3253D" w:rsidRPr="005D642E" w:rsidRDefault="00E3253D" w:rsidP="00E3253D">
      <w:pPr>
        <w:pStyle w:val="libNormal"/>
        <w:rPr>
          <w:rtl/>
          <w:lang w:bidi="fa-IR"/>
        </w:rPr>
      </w:pPr>
      <w:r w:rsidRPr="005D642E">
        <w:rPr>
          <w:rtl/>
          <w:lang w:bidi="fa-IR"/>
        </w:rPr>
        <w:t xml:space="preserve">فَلَمَّا انْتَهى إِلَى الْبَقِيعِ ، تَقَدَّمَ أَبُو جَعْفَرٍ </w:t>
      </w:r>
      <w:r w:rsidRPr="00AC51C5">
        <w:rPr>
          <w:rStyle w:val="libAlaemChar"/>
          <w:rtl/>
        </w:rPr>
        <w:t>عليه‌السلام</w:t>
      </w:r>
      <w:r w:rsidRPr="005D642E">
        <w:rPr>
          <w:rtl/>
          <w:lang w:bidi="fa-IR"/>
        </w:rPr>
        <w:t xml:space="preserve"> فَصَلّى عَلَيْهِ وَكَبَّرَ </w:t>
      </w:r>
      <w:r w:rsidRPr="007C12DB">
        <w:rPr>
          <w:rStyle w:val="libFootnotenumChar"/>
          <w:rtl/>
        </w:rPr>
        <w:t>(7)</w:t>
      </w:r>
      <w:r w:rsidRPr="005D642E">
        <w:rPr>
          <w:rtl/>
          <w:lang w:bidi="fa-IR"/>
        </w:rPr>
        <w:t xml:space="preserve"> عَلَيْهِ </w:t>
      </w:r>
      <w:r w:rsidRPr="007C12DB">
        <w:rPr>
          <w:rStyle w:val="libFootnotenumChar"/>
          <w:rtl/>
        </w:rPr>
        <w:t>(8)</w:t>
      </w:r>
      <w:r w:rsidRPr="005D642E">
        <w:rPr>
          <w:rtl/>
          <w:lang w:bidi="fa-IR"/>
        </w:rPr>
        <w:t xml:space="preserve"> أَرْبَعاً ، ثُمَّ أَمَرَ بِهِ فَدُفِنَ ، ثُمَّ أَخَذَ </w:t>
      </w:r>
      <w:r w:rsidRPr="007C12DB">
        <w:rPr>
          <w:rStyle w:val="libFootnotenumChar"/>
          <w:rtl/>
        </w:rPr>
        <w:t>(9)</w:t>
      </w:r>
      <w:r w:rsidRPr="005D642E">
        <w:rPr>
          <w:rtl/>
          <w:lang w:bidi="fa-IR"/>
        </w:rPr>
        <w:t xml:space="preserve"> بِيَدِي فَتَنَحّى بِي ، ثُمَّ قَالَ : « إِنَّهُ لَمْ يَكُنْ يُصَلّى عَلَى الْأَطْفَالِ ، إِنَّمَا كَانَ أَمِيرُ الْمُؤْمِنِينَ</w:t>
      </w:r>
      <w:r>
        <w:rPr>
          <w:rtl/>
          <w:lang w:bidi="fa-IR"/>
        </w:rPr>
        <w:t xml:space="preserve"> </w:t>
      </w:r>
      <w:r w:rsidR="007642BC">
        <w:rPr>
          <w:rtl/>
          <w:lang w:bidi="fa-IR"/>
        </w:rPr>
        <w:t>-</w:t>
      </w:r>
      <w:r>
        <w:rPr>
          <w:rtl/>
          <w:lang w:bidi="fa-IR"/>
        </w:rPr>
        <w:t xml:space="preserve"> </w:t>
      </w:r>
      <w:r w:rsidRPr="005D642E">
        <w:rPr>
          <w:rtl/>
          <w:lang w:bidi="fa-IR"/>
        </w:rPr>
        <w:t>صَلَوَاتُ اللهِ عَلَيْهِ</w:t>
      </w:r>
      <w:r>
        <w:rPr>
          <w:rtl/>
          <w:lang w:bidi="fa-IR"/>
        </w:rPr>
        <w:t xml:space="preserve"> </w:t>
      </w:r>
      <w:r w:rsidR="007642BC">
        <w:rPr>
          <w:rtl/>
          <w:lang w:bidi="fa-IR"/>
        </w:rPr>
        <w:t>-</w:t>
      </w:r>
      <w:r>
        <w:rPr>
          <w:rtl/>
          <w:lang w:bidi="fa-IR"/>
        </w:rPr>
        <w:t xml:space="preserve"> </w:t>
      </w:r>
      <w:r w:rsidRPr="005D642E">
        <w:rPr>
          <w:rtl/>
          <w:lang w:bidi="fa-IR"/>
        </w:rPr>
        <w:t xml:space="preserve">يَأْمُرُ بِهِمْ ، فَيُدْفَنُونَ مِنْ وَرَاءُ </w:t>
      </w:r>
      <w:r w:rsidRPr="007C12DB">
        <w:rPr>
          <w:rStyle w:val="libFootnotenumChar"/>
          <w:rtl/>
        </w:rPr>
        <w:t>(10)</w:t>
      </w:r>
      <w:r w:rsidRPr="005D642E">
        <w:rPr>
          <w:rtl/>
          <w:lang w:bidi="fa-IR"/>
        </w:rPr>
        <w:t xml:space="preserve"> ، وَلَايُصَلِّي عَلَيْهِمْ ، وَإِنَّمَا صَلَّيْتُ عَلَيْهِ </w:t>
      </w:r>
      <w:r w:rsidRPr="007C12DB">
        <w:rPr>
          <w:rStyle w:val="libFootnotenumChar"/>
          <w:rtl/>
        </w:rPr>
        <w:t>(11)</w:t>
      </w:r>
      <w:r w:rsidRPr="005D642E">
        <w:rPr>
          <w:rtl/>
          <w:lang w:bidi="fa-IR"/>
        </w:rPr>
        <w:t xml:space="preserve"> مِنْ أَجْلِ أَهْلِ الْمَدِينَةِ ؛ كَرَاهِيَةَ </w:t>
      </w:r>
      <w:r w:rsidRPr="007C12DB">
        <w:rPr>
          <w:rStyle w:val="libFootnotenumChar"/>
          <w:rtl/>
        </w:rPr>
        <w:t>(12)</w:t>
      </w:r>
      <w:r w:rsidRPr="005D642E">
        <w:rPr>
          <w:rtl/>
          <w:lang w:bidi="fa-IR"/>
        </w:rPr>
        <w:t xml:space="preserve"> أَنْ يَقُولُوا : لَايُصَلُّونَ عَلى أَطْفَالِهِمْ</w:t>
      </w:r>
      <w:r>
        <w:rPr>
          <w:rtl/>
          <w:lang w:bidi="fa-IR"/>
        </w:rPr>
        <w:t xml:space="preserve"> ».</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بح ، بس ، جح » </w:t>
      </w:r>
      <w:r w:rsidR="00B60612" w:rsidRPr="00B60612">
        <w:rPr>
          <w:rStyle w:val="libFootnoteBoldChar"/>
          <w:rtl/>
        </w:rPr>
        <w:t>والتهذيب</w:t>
      </w:r>
      <w:r w:rsidR="00E3253D" w:rsidRPr="005D642E">
        <w:rPr>
          <w:rtl/>
        </w:rPr>
        <w:t xml:space="preserve"> : « ذاك</w:t>
      </w:r>
      <w:r w:rsidR="00E3253D">
        <w:rPr>
          <w:rtl/>
        </w:rPr>
        <w:t xml:space="preserve"> ».</w:t>
      </w:r>
      <w:r w:rsidR="00E3253D" w:rsidRPr="005D642E">
        <w:rPr>
          <w:rtl/>
        </w:rPr>
        <w:t xml:space="preserve"> </w:t>
      </w:r>
      <w:r w:rsidR="00E3253D" w:rsidRPr="002F4D34">
        <w:rPr>
          <w:rStyle w:val="libFootnoteBoldChar"/>
          <w:rtl/>
        </w:rPr>
        <w:t>المصباح المنير</w:t>
      </w:r>
      <w:r w:rsidR="00E3253D" w:rsidRPr="005D642E">
        <w:rPr>
          <w:rtl/>
        </w:rPr>
        <w:t xml:space="preserve"> ، ص 191 ( درج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بف » : « وطعن</w:t>
      </w:r>
      <w:r w:rsidR="00E3253D">
        <w:rPr>
          <w:rtl/>
        </w:rPr>
        <w:t xml:space="preserve"> ».</w:t>
      </w:r>
      <w:r w:rsidR="00E3253D" w:rsidRPr="005D642E">
        <w:rPr>
          <w:rtl/>
        </w:rPr>
        <w:t xml:space="preserve"> والعرب تقول : طعن فلان في جنازته ، ورمى في جنازته : إذا مات ، أو أشرف على الموت. راجع : </w:t>
      </w:r>
      <w:r w:rsidR="00E3253D" w:rsidRPr="002F4D34">
        <w:rPr>
          <w:rStyle w:val="libFootnoteBoldChar"/>
          <w:rtl/>
        </w:rPr>
        <w:t>المغرب</w:t>
      </w:r>
      <w:r w:rsidR="00E3253D" w:rsidRPr="005D642E">
        <w:rPr>
          <w:rtl/>
        </w:rPr>
        <w:t xml:space="preserve"> ، ص 93 ( جنز ) ؛ </w:t>
      </w:r>
      <w:r w:rsidR="00E3253D" w:rsidRPr="002F4D34">
        <w:rPr>
          <w:rStyle w:val="libFootnoteBoldChar"/>
          <w:rtl/>
        </w:rPr>
        <w:t>لسان العرب</w:t>
      </w:r>
      <w:r w:rsidR="00E3253D" w:rsidRPr="005D642E">
        <w:rPr>
          <w:rtl/>
        </w:rPr>
        <w:t xml:space="preserve"> ، ج 13 ، ص 266 ( طعن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ظ ، غ ، بث » </w:t>
      </w:r>
      <w:r w:rsidR="000D749A" w:rsidRPr="000D749A">
        <w:rPr>
          <w:rStyle w:val="libFootnoteBoldChar"/>
          <w:rtl/>
        </w:rPr>
        <w:t>والوافي</w:t>
      </w:r>
      <w:r w:rsidR="00E3253D" w:rsidRPr="005D642E">
        <w:rPr>
          <w:rtl/>
        </w:rPr>
        <w:t xml:space="preserve"> : « جنان » والجنان</w:t>
      </w:r>
      <w:r w:rsidR="00E3253D">
        <w:rPr>
          <w:rtl/>
        </w:rPr>
        <w:t xml:space="preserve"> </w:t>
      </w:r>
      <w:r w:rsidR="007642BC">
        <w:rPr>
          <w:rtl/>
        </w:rPr>
        <w:t>-</w:t>
      </w:r>
      <w:r w:rsidR="00E3253D">
        <w:rPr>
          <w:rtl/>
        </w:rPr>
        <w:t xml:space="preserve"> </w:t>
      </w:r>
      <w:r w:rsidR="00E3253D" w:rsidRPr="005D642E">
        <w:rPr>
          <w:rtl/>
        </w:rPr>
        <w:t>بفتح الجيم</w:t>
      </w:r>
      <w:r w:rsidR="00E3253D">
        <w:rPr>
          <w:rtl/>
        </w:rPr>
        <w:t xml:space="preserve"> </w:t>
      </w:r>
      <w:r w:rsidR="007642BC">
        <w:rPr>
          <w:rtl/>
        </w:rPr>
        <w:t>-</w:t>
      </w:r>
      <w:r w:rsidR="00E3253D">
        <w:rPr>
          <w:rtl/>
        </w:rPr>
        <w:t xml:space="preserve"> </w:t>
      </w:r>
      <w:r w:rsidR="00E3253D" w:rsidRPr="005D642E">
        <w:rPr>
          <w:rtl/>
        </w:rPr>
        <w:t>القلب. وفي حاشية « بخ » : « جنان حبالة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السَّفَط » : واحد الأسفاط ، وهو ما يعبّي فيه الطيب وما أشبهه من آلات النساء ، ويستعار للتابوت الصغير ، ومنه : ولو أنّ صبيّاً حمل في سفط. كذا في </w:t>
      </w:r>
      <w:r w:rsidR="00E3253D" w:rsidRPr="002F4D34">
        <w:rPr>
          <w:rStyle w:val="libFootnoteBoldChar"/>
          <w:rtl/>
        </w:rPr>
        <w:t>المغرب</w:t>
      </w:r>
      <w:r w:rsidR="00E3253D" w:rsidRPr="005D642E">
        <w:rPr>
          <w:rtl/>
        </w:rPr>
        <w:t xml:space="preserve"> ، ص 226 ( سفط )</w:t>
      </w:r>
      <w:r w:rsidR="00E3253D">
        <w:rPr>
          <w:rtl/>
        </w:rPr>
        <w:t>.</w:t>
      </w:r>
      <w:r w:rsidR="00E3253D" w:rsidRPr="005D642E">
        <w:rPr>
          <w:rtl/>
        </w:rPr>
        <w:t xml:space="preserve"> وفي </w:t>
      </w:r>
      <w:r w:rsidR="00E3253D" w:rsidRPr="002F4D34">
        <w:rPr>
          <w:rStyle w:val="libFootnoteBoldChar"/>
          <w:rtl/>
        </w:rPr>
        <w:t>الوافي</w:t>
      </w:r>
      <w:r w:rsidR="00E3253D" w:rsidRPr="005D642E">
        <w:rPr>
          <w:rtl/>
        </w:rPr>
        <w:t xml:space="preserve"> : « السفط : معرّب سبد</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إلى</w:t>
      </w:r>
      <w:r w:rsidR="00E3253D">
        <w:rPr>
          <w:rtl/>
        </w:rPr>
        <w:t xml:space="preserve"> ».</w:t>
      </w:r>
    </w:p>
    <w:p w:rsidR="00E3253D" w:rsidRPr="005D642E" w:rsidRDefault="0042621E" w:rsidP="00C93C35">
      <w:pPr>
        <w:pStyle w:val="libFootnote0"/>
        <w:rPr>
          <w:rtl/>
          <w:lang w:bidi="fa-IR"/>
        </w:rPr>
      </w:pPr>
      <w:r w:rsidRPr="0042621E">
        <w:rPr>
          <w:rStyle w:val="libFootnote0Char"/>
          <w:rtl/>
        </w:rPr>
        <w:t>(6).</w:t>
      </w:r>
      <w:r w:rsidR="00E3253D" w:rsidRPr="005D642E">
        <w:rPr>
          <w:rtl/>
        </w:rPr>
        <w:t xml:space="preserve"> « المطرف » : رداء خزّ مربّع ذو أعلام. ا</w:t>
      </w:r>
      <w:r w:rsidR="00FA5916">
        <w:rPr>
          <w:rFonts w:hint="cs"/>
          <w:rtl/>
        </w:rPr>
        <w:t>ُ</w:t>
      </w:r>
      <w:r w:rsidR="00E3253D" w:rsidRPr="005D642E">
        <w:rPr>
          <w:rtl/>
        </w:rPr>
        <w:t xml:space="preserve">نظر : </w:t>
      </w:r>
      <w:r w:rsidR="00E3253D" w:rsidRPr="002F4D34">
        <w:rPr>
          <w:rStyle w:val="libFootnoteBoldChar"/>
          <w:rtl/>
        </w:rPr>
        <w:t>الصحاح</w:t>
      </w:r>
      <w:r w:rsidR="00E3253D" w:rsidRPr="005D642E">
        <w:rPr>
          <w:rtl/>
        </w:rPr>
        <w:t xml:space="preserve"> ، ج 4 ، ص 294 ؛ </w:t>
      </w:r>
      <w:r w:rsidR="00E3253D" w:rsidRPr="002F4D34">
        <w:rPr>
          <w:rStyle w:val="libFootnoteBoldChar"/>
          <w:rtl/>
        </w:rPr>
        <w:t>القاموس المحيط</w:t>
      </w:r>
      <w:r w:rsidR="00E3253D" w:rsidRPr="005D642E">
        <w:rPr>
          <w:rtl/>
        </w:rPr>
        <w:t xml:space="preserve"> ، ج 2 ، ص 1108 ( طرف )</w:t>
      </w:r>
      <w:r w:rsidR="00E3253D">
        <w:rPr>
          <w:rtl/>
        </w:rPr>
        <w:t>.</w:t>
      </w:r>
      <w:r w:rsidR="00C93C35">
        <w:rPr>
          <w:rFonts w:hint="cs"/>
          <w:rtl/>
        </w:rPr>
        <w:t xml:space="preserve">                                      </w:t>
      </w:r>
      <w:r w:rsidR="00CE600E">
        <w:rPr>
          <w:rFonts w:hint="cs"/>
          <w:rtl/>
        </w:rPr>
        <w:t xml:space="preserve">   </w:t>
      </w:r>
      <w:r w:rsidR="00C93C35">
        <w:rPr>
          <w:rFonts w:hint="cs"/>
          <w:rtl/>
        </w:rPr>
        <w:t xml:space="preserve"> </w:t>
      </w:r>
      <w:r w:rsidRPr="0042621E">
        <w:rPr>
          <w:rStyle w:val="libFootnote0Char"/>
          <w:rtl/>
        </w:rPr>
        <w:t>(7).</w:t>
      </w:r>
      <w:r w:rsidR="00E3253D" w:rsidRPr="005D642E">
        <w:rPr>
          <w:rtl/>
        </w:rPr>
        <w:t xml:space="preserve"> في 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فكبّر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93C35" w:rsidTr="00C93C35">
        <w:tc>
          <w:tcPr>
            <w:tcW w:w="4006" w:type="dxa"/>
          </w:tcPr>
          <w:p w:rsidR="00C93C35" w:rsidRDefault="00C93C35" w:rsidP="00E3253D">
            <w:pPr>
              <w:pStyle w:val="libFootnote0"/>
              <w:rPr>
                <w:rStyle w:val="libFootnote0Char"/>
                <w:rtl/>
              </w:rPr>
            </w:pPr>
            <w:r w:rsidRPr="0042621E">
              <w:rPr>
                <w:rStyle w:val="libFootnote0Char"/>
                <w:rtl/>
              </w:rPr>
              <w:t>(8).</w:t>
            </w:r>
            <w:r w:rsidRPr="005D642E">
              <w:rPr>
                <w:rtl/>
              </w:rPr>
              <w:t xml:space="preserve"> في « بخ » :</w:t>
            </w:r>
            <w:r>
              <w:rPr>
                <w:rtl/>
              </w:rPr>
              <w:t xml:space="preserve"> - </w:t>
            </w:r>
            <w:r w:rsidRPr="005D642E">
              <w:rPr>
                <w:rtl/>
              </w:rPr>
              <w:t>« عليه</w:t>
            </w:r>
            <w:r>
              <w:rPr>
                <w:rtl/>
              </w:rPr>
              <w:t xml:space="preserve"> ».</w:t>
            </w:r>
          </w:p>
        </w:tc>
        <w:tc>
          <w:tcPr>
            <w:tcW w:w="4006" w:type="dxa"/>
          </w:tcPr>
          <w:p w:rsidR="00C93C35" w:rsidRDefault="00C93C35" w:rsidP="00E3253D">
            <w:pPr>
              <w:pStyle w:val="libFootnote0"/>
              <w:rPr>
                <w:rStyle w:val="libFootnote0Char"/>
                <w:rtl/>
              </w:rPr>
            </w:pPr>
            <w:r w:rsidRPr="0042621E">
              <w:rPr>
                <w:rStyle w:val="libFootnote0Char"/>
                <w:rtl/>
              </w:rPr>
              <w:t>(9).</w:t>
            </w:r>
            <w:r w:rsidRPr="005D642E">
              <w:rPr>
                <w:rtl/>
              </w:rPr>
              <w:t xml:space="preserve"> في « بخ » : « فأخذ</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يعني من وراء الموت. وفي التهذيب </w:t>
      </w:r>
      <w:r w:rsidR="00E3253D" w:rsidRPr="00E678B5">
        <w:rPr>
          <w:rStyle w:val="libFootnoteBoldChar"/>
          <w:rtl/>
        </w:rPr>
        <w:t>والاستبصار</w:t>
      </w:r>
      <w:r w:rsidR="00E3253D" w:rsidRPr="005D642E">
        <w:rPr>
          <w:rtl/>
        </w:rPr>
        <w:t xml:space="preserve"> : « من وراء وراء</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بخ » : « عليهم</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بف » : « كراهة</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التهذيب</w:t>
      </w:r>
      <w:r w:rsidR="00E3253D" w:rsidRPr="005D642E">
        <w:rPr>
          <w:rtl/>
        </w:rPr>
        <w:t xml:space="preserve"> ، ج 3 ، ص 198 ، ح 457 ؛ </w:t>
      </w:r>
      <w:r w:rsidR="00E3253D" w:rsidRPr="00E678B5">
        <w:rPr>
          <w:rStyle w:val="libFootnoteBoldChar"/>
          <w:rtl/>
        </w:rPr>
        <w:t>والاستبصار</w:t>
      </w:r>
      <w:r w:rsidR="00E3253D" w:rsidRPr="005D642E">
        <w:rPr>
          <w:rtl/>
        </w:rPr>
        <w:t xml:space="preserve"> ، ج 1 ، ص 479 ، ح 1856 ، معلّقاً عن الكليني. </w:t>
      </w:r>
      <w:r w:rsidR="00E3253D" w:rsidRPr="002F4D34">
        <w:rPr>
          <w:rStyle w:val="libFootnoteBoldChar"/>
          <w:rtl/>
        </w:rPr>
        <w:t>التوحيد</w:t>
      </w:r>
      <w:r w:rsidR="00E3253D" w:rsidRPr="005D642E">
        <w:rPr>
          <w:rtl/>
        </w:rPr>
        <w:t xml:space="preserve"> ، ص 393 ، صدر ح 5 ، من قوله : « تقدّم أبوجعفر </w:t>
      </w:r>
      <w:r w:rsidR="00E3253D" w:rsidRPr="00EA3EA1">
        <w:rPr>
          <w:rStyle w:val="libFootnoteAlaemChar"/>
          <w:rtl/>
        </w:rPr>
        <w:t>عليه‌السلام</w:t>
      </w:r>
      <w:r w:rsidR="00E3253D" w:rsidRPr="005D642E">
        <w:rPr>
          <w:rtl/>
        </w:rPr>
        <w:t xml:space="preserve"> فصلّى عليه » مع اختلاف. وراجع : </w:t>
      </w:r>
      <w:r w:rsidR="00E3253D" w:rsidRPr="002F4D34">
        <w:rPr>
          <w:rStyle w:val="libFootnoteBoldChar"/>
          <w:rtl/>
        </w:rPr>
        <w:t>الكافي</w:t>
      </w:r>
      <w:r w:rsidR="00E3253D" w:rsidRPr="005D642E">
        <w:rPr>
          <w:rtl/>
        </w:rPr>
        <w:t xml:space="preserve"> ، كتاب الزيّ والتجمّل ، باب لبس الخزّ ، ح 12488 </w:t>
      </w:r>
      <w:r w:rsidR="00EA3EA1">
        <w:rPr>
          <w:rFonts w:hint="cs"/>
          <w:rtl/>
        </w:rPr>
        <w:t>.</w:t>
      </w:r>
      <w:r w:rsidR="00E3253D" w:rsidRPr="002F4D34">
        <w:rPr>
          <w:rStyle w:val="libFootnoteBoldChar"/>
          <w:rtl/>
        </w:rPr>
        <w:t>الوافي</w:t>
      </w:r>
      <w:r w:rsidR="00E3253D" w:rsidRPr="005D642E">
        <w:rPr>
          <w:rtl/>
        </w:rPr>
        <w:t xml:space="preserve"> ، ج 25 ، ص 496 ، ح 24502 ؛ </w:t>
      </w:r>
      <w:r w:rsidR="00E3253D" w:rsidRPr="002F4D34">
        <w:rPr>
          <w:rStyle w:val="libFootnoteBoldChar"/>
          <w:rtl/>
        </w:rPr>
        <w:t>الوسائل</w:t>
      </w:r>
      <w:r w:rsidR="00E3253D" w:rsidRPr="005D642E">
        <w:rPr>
          <w:rtl/>
        </w:rPr>
        <w:t xml:space="preserve"> ، ج 3 ، ص 98 ، ح 3128 ملخّصاً ؛ </w:t>
      </w:r>
      <w:r w:rsidR="00E3253D" w:rsidRPr="002F4D34">
        <w:rPr>
          <w:rStyle w:val="libFootnoteBoldChar"/>
          <w:rtl/>
        </w:rPr>
        <w:t>البحار</w:t>
      </w:r>
      <w:r w:rsidR="00E3253D" w:rsidRPr="005D642E">
        <w:rPr>
          <w:rtl/>
        </w:rPr>
        <w:t xml:space="preserve"> ، ج 47 ، ص 264 ، ح 34.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B7A65">
        <w:rPr>
          <w:rtl/>
        </w:rPr>
        <w:t>4602</w:t>
      </w:r>
      <w:r w:rsidRPr="00246318">
        <w:rPr>
          <w:rStyle w:val="libBold2Char"/>
          <w:rtl/>
        </w:rPr>
        <w:t xml:space="preserve"> / 4.</w:t>
      </w:r>
      <w:r w:rsidRPr="005D642E">
        <w:rPr>
          <w:rtl/>
          <w:lang w:bidi="fa-IR"/>
        </w:rPr>
        <w:t xml:space="preserve"> مُحَمَّدُ بْنُ يَحْيى ، عَنْ أَحْمَدَ بْنِ مُحَمَّدِ بْنِ عِيسى ، عَنْ مُحَمَّدِ بْنِ خَالِدٍ وَالْحُسَيْنِ بْنِ سَعِيدٍ ، عَنِ النَّضْرِ بْنِ سُوَيْدٍ ، عَنْ يَحْيَى بْنِ عِمْرَانَ ، عَنِ ابْنِ مُسْكَانَ ، عَنْ زُرَارَةَ ، قَالَ :</w:t>
      </w:r>
    </w:p>
    <w:p w:rsidR="00E3253D" w:rsidRPr="005D642E" w:rsidRDefault="00E3253D" w:rsidP="00E3253D">
      <w:pPr>
        <w:pStyle w:val="libNormal"/>
        <w:rPr>
          <w:rtl/>
          <w:lang w:bidi="fa-IR"/>
        </w:rPr>
      </w:pPr>
      <w:r w:rsidRPr="005D642E">
        <w:rPr>
          <w:rtl/>
          <w:lang w:bidi="fa-IR"/>
        </w:rPr>
        <w:t xml:space="preserve">مَاتَ ابْنٌ </w:t>
      </w:r>
      <w:r w:rsidRPr="007C12DB">
        <w:rPr>
          <w:rStyle w:val="libFootnotenumChar"/>
          <w:rtl/>
        </w:rPr>
        <w:t>(1)</w:t>
      </w:r>
      <w:r w:rsidRPr="005D642E">
        <w:rPr>
          <w:rtl/>
          <w:lang w:bidi="fa-IR"/>
        </w:rPr>
        <w:t xml:space="preserve"> لِأَبِي جَعْفَرٍ </w:t>
      </w:r>
      <w:r w:rsidRPr="00AC51C5">
        <w:rPr>
          <w:rStyle w:val="libAlaemChar"/>
          <w:rtl/>
        </w:rPr>
        <w:t>عليه‌السلام</w:t>
      </w:r>
      <w:r w:rsidRPr="005D642E">
        <w:rPr>
          <w:rtl/>
          <w:lang w:bidi="fa-IR"/>
        </w:rPr>
        <w:t xml:space="preserve"> فَأُخْبِرَ بِمَوْتِهِ ، فَأَمَرَ بِهِ </w:t>
      </w:r>
      <w:r w:rsidRPr="007C12DB">
        <w:rPr>
          <w:rStyle w:val="libFootnotenumChar"/>
          <w:rtl/>
        </w:rPr>
        <w:t>(2)</w:t>
      </w:r>
      <w:r w:rsidRPr="005D642E">
        <w:rPr>
          <w:rtl/>
          <w:lang w:bidi="fa-IR"/>
        </w:rPr>
        <w:t xml:space="preserve"> ، فَغُسِّلَ </w:t>
      </w:r>
      <w:r w:rsidRPr="007C12DB">
        <w:rPr>
          <w:rStyle w:val="libFootnotenumChar"/>
          <w:rtl/>
        </w:rPr>
        <w:t>(3)</w:t>
      </w:r>
      <w:r w:rsidRPr="005D642E">
        <w:rPr>
          <w:rtl/>
          <w:lang w:bidi="fa-IR"/>
        </w:rPr>
        <w:t xml:space="preserve"> وَكُفِّنَ وَمَشى مَعَهُ وَصَلّى </w:t>
      </w:r>
      <w:r w:rsidRPr="007C12DB">
        <w:rPr>
          <w:rStyle w:val="libFootnotenumChar"/>
          <w:rtl/>
        </w:rPr>
        <w:t>(4)</w:t>
      </w:r>
      <w:r w:rsidRPr="005D642E">
        <w:rPr>
          <w:rtl/>
          <w:lang w:bidi="fa-IR"/>
        </w:rPr>
        <w:t xml:space="preserve"> عَلَيْهِ وَطُرِحَتْ خُمْرَةٌ </w:t>
      </w:r>
      <w:r w:rsidRPr="007C12DB">
        <w:rPr>
          <w:rStyle w:val="libFootnotenumChar"/>
          <w:rtl/>
        </w:rPr>
        <w:t>(5)</w:t>
      </w:r>
      <w:r w:rsidRPr="005D642E">
        <w:rPr>
          <w:rtl/>
          <w:lang w:bidi="fa-IR"/>
        </w:rPr>
        <w:t xml:space="preserve"> ، فَقَامَ عَلَيْهَا ، ثُمَّ قَامَ عَلى قَبْرِهِ حَتّى فَرَغَ مِنْهُ ، ثُمَّ انْصَرَفَ وَانْصَرَفْتُ مَعَهُ حَتّى إِنِّي لَأَمْشِي مَعَهُ ، فَقَالَ : « أَمَا إِنَّهُ لَمْ يَكُنْ يُصَلّى عَلى مِثْلِ</w:t>
      </w:r>
      <w:r>
        <w:rPr>
          <w:rFonts w:hint="cs"/>
          <w:rtl/>
          <w:lang w:bidi="fa-IR"/>
        </w:rPr>
        <w:t xml:space="preserve"> </w:t>
      </w:r>
      <w:r w:rsidRPr="005D642E">
        <w:rPr>
          <w:rtl/>
          <w:lang w:bidi="fa-IR"/>
        </w:rPr>
        <w:t>هذَا</w:t>
      </w:r>
      <w:r>
        <w:rPr>
          <w:rtl/>
          <w:lang w:bidi="fa-IR"/>
        </w:rPr>
        <w:t xml:space="preserve"> </w:t>
      </w:r>
      <w:r w:rsidR="007642BC">
        <w:rPr>
          <w:rtl/>
          <w:lang w:bidi="fa-IR"/>
        </w:rPr>
        <w:t>-</w:t>
      </w:r>
      <w:r>
        <w:rPr>
          <w:rtl/>
          <w:lang w:bidi="fa-IR"/>
        </w:rPr>
        <w:t xml:space="preserve"> </w:t>
      </w:r>
      <w:r w:rsidRPr="005D642E">
        <w:rPr>
          <w:rtl/>
          <w:lang w:bidi="fa-IR"/>
        </w:rPr>
        <w:t>وَكَانَ ابْنَ ثَلَاثِ سِنِينَ</w:t>
      </w:r>
      <w:r>
        <w:rPr>
          <w:rtl/>
          <w:lang w:bidi="fa-IR"/>
        </w:rPr>
        <w:t xml:space="preserve"> </w:t>
      </w:r>
      <w:r w:rsidR="007642BC">
        <w:rPr>
          <w:rtl/>
          <w:lang w:bidi="fa-IR"/>
        </w:rPr>
        <w:t>-</w:t>
      </w:r>
      <w:r>
        <w:rPr>
          <w:rtl/>
          <w:lang w:bidi="fa-IR"/>
        </w:rPr>
        <w:t xml:space="preserve"> </w:t>
      </w:r>
      <w:r w:rsidRPr="005D642E">
        <w:rPr>
          <w:rtl/>
          <w:lang w:bidi="fa-IR"/>
        </w:rPr>
        <w:t xml:space="preserve">كَانَ عَلِيٌّ </w:t>
      </w:r>
      <w:r w:rsidRPr="00AC51C5">
        <w:rPr>
          <w:rStyle w:val="libAlaemChar"/>
          <w:rtl/>
        </w:rPr>
        <w:t>عليه‌السلام</w:t>
      </w:r>
      <w:r w:rsidRPr="005D642E">
        <w:rPr>
          <w:rtl/>
          <w:lang w:bidi="fa-IR"/>
        </w:rPr>
        <w:t xml:space="preserve"> يَأْمُرُ بِهِ ، فَيُدْفَنُ وَلَايُصَلّى عَلَيْهِ ، وَلكِنَّ النَّاسَ صَنَعُوا شَيْئاً ، فَنَحْنُ نَصْنَعُ مِثْلَهُ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قُلْتُ : فَمَتى تَجِبُ </w:t>
      </w:r>
      <w:r w:rsidRPr="007C12DB">
        <w:rPr>
          <w:rStyle w:val="libFootnotenumChar"/>
          <w:rtl/>
        </w:rPr>
        <w:t>(6)</w:t>
      </w:r>
      <w:r w:rsidRPr="005D642E">
        <w:rPr>
          <w:rtl/>
          <w:lang w:bidi="fa-IR"/>
        </w:rPr>
        <w:t xml:space="preserve"> عَلَيْهِ الصَّلَاةُ </w:t>
      </w:r>
      <w:r w:rsidRPr="007C12DB">
        <w:rPr>
          <w:rStyle w:val="libFootnotenumChar"/>
          <w:rtl/>
        </w:rPr>
        <w:t>(7)</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(8)</w:t>
      </w:r>
      <w:r w:rsidRPr="005D642E">
        <w:rPr>
          <w:rtl/>
          <w:lang w:bidi="fa-IR"/>
        </w:rPr>
        <w:t xml:space="preserve"> : « إِذَا عَقَلَ الصَّلَاةَ » وَكَانَ ابْنَ سِتِّ سِنِينَ.</w:t>
      </w:r>
    </w:p>
    <w:p w:rsidR="00E3253D" w:rsidRPr="005D642E" w:rsidRDefault="00E3253D" w:rsidP="00E3253D">
      <w:pPr>
        <w:pStyle w:val="libNormal"/>
        <w:rPr>
          <w:rtl/>
          <w:lang w:bidi="fa-IR"/>
        </w:rPr>
      </w:pPr>
      <w:r w:rsidRPr="005D642E">
        <w:rPr>
          <w:rtl/>
          <w:lang w:bidi="fa-IR"/>
        </w:rPr>
        <w:t xml:space="preserve">قَالَ : قُلْتُ </w:t>
      </w:r>
      <w:r w:rsidRPr="007C12DB">
        <w:rPr>
          <w:rStyle w:val="libFootnotenumChar"/>
          <w:rtl/>
        </w:rPr>
        <w:t>(9)</w:t>
      </w:r>
      <w:r w:rsidRPr="005D642E">
        <w:rPr>
          <w:rtl/>
          <w:lang w:bidi="fa-IR"/>
        </w:rPr>
        <w:t xml:space="preserve"> : فَمَا تَقُولُ فِي الْوِلْدَانِ</w:t>
      </w:r>
      <w:r>
        <w:rPr>
          <w:rtl/>
          <w:lang w:bidi="fa-IR"/>
        </w:rPr>
        <w:t>؟</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D1747">
      <w:pPr>
        <w:pStyle w:val="libNormal"/>
        <w:rPr>
          <w:rtl/>
          <w:lang w:bidi="fa-IR"/>
        </w:rPr>
      </w:pPr>
      <w:r w:rsidRPr="005D642E">
        <w:rPr>
          <w:rtl/>
          <w:lang w:bidi="fa-IR"/>
        </w:rPr>
        <w:t xml:space="preserve">فَقَالَ : « سُئِلَ رَسُولُ اللهِ </w:t>
      </w:r>
      <w:r w:rsidR="0042621E" w:rsidRPr="0042621E">
        <w:rPr>
          <w:rStyle w:val="libAlaemChar"/>
          <w:rtl/>
        </w:rPr>
        <w:t>صلى‌الله‌عليه‌وآله</w:t>
      </w:r>
      <w:r w:rsidRPr="005D642E">
        <w:rPr>
          <w:rtl/>
          <w:lang w:bidi="fa-IR"/>
        </w:rPr>
        <w:t xml:space="preserve"> عَنْهُمْ </w:t>
      </w:r>
      <w:r w:rsidRPr="007C12DB">
        <w:rPr>
          <w:rStyle w:val="libFootnotenumChar"/>
          <w:rtl/>
        </w:rPr>
        <w:t>(11)</w:t>
      </w:r>
      <w:r w:rsidRPr="005D642E">
        <w:rPr>
          <w:rtl/>
          <w:lang w:bidi="fa-IR"/>
        </w:rPr>
        <w:t xml:space="preserve"> ، فَقَالَ : اللهُ أَعْلَمُ بِمَا كَانُوا عَامِلِينَ</w:t>
      </w:r>
      <w:r>
        <w:rPr>
          <w:rtl/>
          <w:lang w:bidi="fa-IR"/>
        </w:rPr>
        <w:t xml:space="preserve"> ».</w:t>
      </w:r>
      <w:r w:rsidRPr="005D642E">
        <w:rPr>
          <w:rtl/>
          <w:lang w:bidi="fa-IR"/>
        </w:rPr>
        <w:t xml:space="preserve"> </w:t>
      </w:r>
      <w:r w:rsidRPr="007C12DB">
        <w:rPr>
          <w:rStyle w:val="libFootnotenumChar"/>
          <w:rtl/>
        </w:rPr>
        <w:t>(12)</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كذا في المطبوع </w:t>
      </w:r>
      <w:r w:rsidR="000D749A" w:rsidRPr="000D749A">
        <w:rPr>
          <w:rStyle w:val="libFootnoteBoldChar"/>
          <w:rtl/>
        </w:rPr>
        <w:t>والوافي</w:t>
      </w:r>
      <w:r w:rsidR="00E3253D" w:rsidRPr="005D642E">
        <w:rPr>
          <w:rtl/>
        </w:rPr>
        <w:t>. وفي جميع النسخ التي قوبلت والوسائل : « بنيّ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70559" w:rsidTr="00D70559">
        <w:tc>
          <w:tcPr>
            <w:tcW w:w="4006" w:type="dxa"/>
          </w:tcPr>
          <w:p w:rsidR="00D70559" w:rsidRDefault="00D70559" w:rsidP="00E3253D">
            <w:pPr>
              <w:pStyle w:val="libFootnote0"/>
              <w:rPr>
                <w:rStyle w:val="libFootnote0Char"/>
                <w:rtl/>
              </w:rPr>
            </w:pPr>
            <w:r w:rsidRPr="0042621E">
              <w:rPr>
                <w:rStyle w:val="libFootnote0Char"/>
                <w:rtl/>
              </w:rPr>
              <w:t>(2).</w:t>
            </w:r>
            <w:r>
              <w:rPr>
                <w:rtl/>
              </w:rPr>
              <w:t xml:space="preserve"> في «ى»</w:t>
            </w:r>
            <w:r w:rsidRPr="005D642E">
              <w:rPr>
                <w:rtl/>
              </w:rPr>
              <w:t>:</w:t>
            </w:r>
            <w:r>
              <w:rPr>
                <w:rtl/>
              </w:rPr>
              <w:t xml:space="preserve"> -«</w:t>
            </w:r>
            <w:r w:rsidRPr="005D642E">
              <w:rPr>
                <w:rtl/>
              </w:rPr>
              <w:t>فأمر به</w:t>
            </w:r>
            <w:r>
              <w:rPr>
                <w:rtl/>
              </w:rPr>
              <w:t>».</w:t>
            </w:r>
            <w:r w:rsidRPr="005D642E">
              <w:rPr>
                <w:rtl/>
              </w:rPr>
              <w:t xml:space="preserve"> وفي « بث » :</w:t>
            </w:r>
            <w:r>
              <w:rPr>
                <w:rtl/>
              </w:rPr>
              <w:t xml:space="preserve"> - </w:t>
            </w:r>
            <w:r w:rsidRPr="005D642E">
              <w:rPr>
                <w:rtl/>
              </w:rPr>
              <w:t>« به</w:t>
            </w:r>
            <w:r>
              <w:rPr>
                <w:rtl/>
              </w:rPr>
              <w:t xml:space="preserve"> ».</w:t>
            </w:r>
          </w:p>
        </w:tc>
        <w:tc>
          <w:tcPr>
            <w:tcW w:w="4006" w:type="dxa"/>
          </w:tcPr>
          <w:p w:rsidR="00D70559" w:rsidRDefault="00D70559" w:rsidP="00E3253D">
            <w:pPr>
              <w:pStyle w:val="libFootnote0"/>
              <w:rPr>
                <w:rStyle w:val="libFootnote0Char"/>
                <w:rtl/>
              </w:rPr>
            </w:pPr>
            <w:r w:rsidRPr="0042621E">
              <w:rPr>
                <w:rStyle w:val="libFootnote0Char"/>
                <w:rtl/>
              </w:rPr>
              <w:t>(3).</w:t>
            </w:r>
            <w:r w:rsidRPr="005D642E">
              <w:rPr>
                <w:rtl/>
              </w:rPr>
              <w:t xml:space="preserve"> في « جس » : « وغسّل</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 « فصلّى</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يعني ما تقول في حالهم بعد الموت ، وسيأتي تفصيل جوابه </w:t>
      </w:r>
      <w:r w:rsidR="00E3253D" w:rsidRPr="00491616">
        <w:rPr>
          <w:rStyle w:val="libFootnoteAlaemChar"/>
          <w:rtl/>
        </w:rPr>
        <w:t>عليه‌السلام</w:t>
      </w:r>
      <w:r w:rsidR="00E3253D" w:rsidRPr="005D642E">
        <w:rPr>
          <w:rtl/>
        </w:rPr>
        <w:t xml:space="preserve"> في باب الأطفال.</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بس » : « يجب</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النسخ التي قوبلت </w:t>
      </w:r>
      <w:r w:rsidR="000D749A" w:rsidRPr="000D749A">
        <w:rPr>
          <w:rStyle w:val="libFootnoteBoldChar"/>
          <w:rtl/>
        </w:rPr>
        <w:t>والوافي</w:t>
      </w:r>
      <w:r w:rsidR="00E3253D" w:rsidRPr="005D642E">
        <w:rPr>
          <w:rtl/>
        </w:rPr>
        <w:t xml:space="preserve"> والوسائل. وفي المطبوع : « الصلاة عليه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91616" w:rsidTr="00491616">
        <w:tc>
          <w:tcPr>
            <w:tcW w:w="4006" w:type="dxa"/>
          </w:tcPr>
          <w:p w:rsidR="00491616" w:rsidRDefault="00491616" w:rsidP="00E3253D">
            <w:pPr>
              <w:pStyle w:val="libFootnote0"/>
              <w:rPr>
                <w:rStyle w:val="libFootnote0Char"/>
                <w:rtl/>
              </w:rPr>
            </w:pPr>
            <w:r w:rsidRPr="0042621E">
              <w:rPr>
                <w:rStyle w:val="libFootnote0Char"/>
                <w:rtl/>
              </w:rPr>
              <w:t>(8).</w:t>
            </w:r>
            <w:r w:rsidRPr="005D642E">
              <w:rPr>
                <w:rtl/>
              </w:rPr>
              <w:t xml:space="preserve"> في « غ ، بث ، بح » : « قال</w:t>
            </w:r>
            <w:r>
              <w:rPr>
                <w:rtl/>
              </w:rPr>
              <w:t xml:space="preserve"> ».</w:t>
            </w:r>
          </w:p>
        </w:tc>
        <w:tc>
          <w:tcPr>
            <w:tcW w:w="4006" w:type="dxa"/>
          </w:tcPr>
          <w:p w:rsidR="00491616" w:rsidRDefault="00491616" w:rsidP="00E3253D">
            <w:pPr>
              <w:pStyle w:val="libFootnote0"/>
              <w:rPr>
                <w:rStyle w:val="libFootnote0Char"/>
                <w:rtl/>
              </w:rPr>
            </w:pPr>
            <w:r w:rsidRPr="0042621E">
              <w:rPr>
                <w:rStyle w:val="libFootnote0Char"/>
                <w:rtl/>
              </w:rPr>
              <w:t>(9).</w:t>
            </w:r>
            <w:r w:rsidRPr="005D642E">
              <w:rPr>
                <w:rtl/>
              </w:rPr>
              <w:t xml:space="preserve"> في « بح ، جح » : + « له</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الخمرة : حصيرة أو سجّادة صغيرة تنسج من سعف النخل وترمّل بالخيوط. </w:t>
      </w:r>
      <w:r w:rsidR="00E3253D" w:rsidRPr="002F4D34">
        <w:rPr>
          <w:rStyle w:val="libFootnoteBoldChar"/>
          <w:rtl/>
        </w:rPr>
        <w:t>لسان العرب</w:t>
      </w:r>
      <w:r w:rsidR="00E3253D" w:rsidRPr="005D642E">
        <w:rPr>
          <w:rtl/>
        </w:rPr>
        <w:t xml:space="preserve"> ، ج 4 ، ص 258 ( خمر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الكافي ، ح 4735 : « عن الولدان والأطفال » بدل « عنهم</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الأطفال ، ح 4735 ، عن محمّد بن يحيى ، عن أحمد بن محمّد ، عن الحسين بن سعيد. </w:t>
      </w:r>
      <w:r w:rsidR="00E3253D" w:rsidRPr="002F4D34">
        <w:rPr>
          <w:rStyle w:val="libFootnoteBoldChar"/>
          <w:rtl/>
        </w:rPr>
        <w:t>وفيه</w:t>
      </w:r>
      <w:r w:rsidR="00E3253D" w:rsidRPr="005D642E">
        <w:rPr>
          <w:rtl/>
        </w:rPr>
        <w:t xml:space="preserve"> ، نفس الباب ، ح 4736 ، بسند آخر عن زرارة ، عن أبي عبدالله </w:t>
      </w:r>
      <w:r w:rsidR="00E3253D" w:rsidRPr="00491616">
        <w:rPr>
          <w:rStyle w:val="libFootnoteAlaemChar"/>
          <w:rtl/>
        </w:rPr>
        <w:t>عليه‌السلام</w:t>
      </w:r>
      <w:r w:rsidR="00E3253D" w:rsidRPr="005D642E">
        <w:rPr>
          <w:rtl/>
        </w:rPr>
        <w:t xml:space="preserve"> ، مع زيادة في آخره. </w:t>
      </w:r>
      <w:r w:rsidR="00E3253D" w:rsidRPr="002F4D34">
        <w:rPr>
          <w:rStyle w:val="libFootnoteBoldChar"/>
          <w:rtl/>
        </w:rPr>
        <w:t>وفيه</w:t>
      </w:r>
      <w:r w:rsidR="00E3253D" w:rsidRPr="005D642E">
        <w:rPr>
          <w:rtl/>
        </w:rPr>
        <w:t xml:space="preserve"> أيضاً ، </w:t>
      </w:r>
      <w:r w:rsidR="00802BA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B7A65">
        <w:rPr>
          <w:rtl/>
        </w:rPr>
        <w:t>4603</w:t>
      </w:r>
      <w:r w:rsidRPr="00246318">
        <w:rPr>
          <w:rStyle w:val="libBold2Char"/>
          <w:rtl/>
        </w:rPr>
        <w:t xml:space="preserve"> / 5.</w:t>
      </w:r>
      <w:r w:rsidRPr="005D642E">
        <w:rPr>
          <w:rtl/>
          <w:lang w:bidi="fa-IR"/>
        </w:rPr>
        <w:t xml:space="preserve"> مُحَمَّدُ بْنُ يَحْيى ، عَنْ أَحْمَدَ بْنِ مُحَمَّدٍ ، عَنْ عَلِيِّ بْنِ إِسْمَاعِيلَ ، عَنْ عُثْمَانَ بْنِ عِيسى ، عَنْ زُرْعَةَ ، عَنْ سَمَاعَةَ :</w:t>
      </w:r>
    </w:p>
    <w:p w:rsidR="00E3253D" w:rsidRDefault="00E3253D" w:rsidP="00E3253D">
      <w:pPr>
        <w:pStyle w:val="libNormal"/>
        <w:rPr>
          <w:rtl/>
          <w:lang w:bidi="fa-IR"/>
        </w:rPr>
      </w:pPr>
      <w:r w:rsidRPr="005D642E">
        <w:rPr>
          <w:rtl/>
          <w:lang w:bidi="fa-IR"/>
        </w:rPr>
        <w:t xml:space="preserve">عَنْ أَبِي الْحَسَنِ الْأَوَّلِ </w:t>
      </w:r>
      <w:r w:rsidRPr="00AC51C5">
        <w:rPr>
          <w:rStyle w:val="libAlaemChar"/>
          <w:rtl/>
        </w:rPr>
        <w:t>عليه‌السلام</w:t>
      </w:r>
      <w:r w:rsidRPr="005D642E">
        <w:rPr>
          <w:rtl/>
          <w:lang w:bidi="fa-IR"/>
        </w:rPr>
        <w:t xml:space="preserve"> ، قَالَ : سَأَلْتُهُ عَنِ السِّقْطِ إِذَا اسْتَوى خَلْقُهُ </w:t>
      </w:r>
      <w:r w:rsidRPr="007C12DB">
        <w:rPr>
          <w:rStyle w:val="libFootnotenumChar"/>
          <w:rtl/>
        </w:rPr>
        <w:t>(1)</w:t>
      </w:r>
      <w:r w:rsidRPr="005D642E">
        <w:rPr>
          <w:rtl/>
          <w:lang w:bidi="fa-IR"/>
        </w:rPr>
        <w:t xml:space="preserve"> : يَجِبُ عَلَيْهِ الْغُسْلُ وَاللَّحْدُ وَالْكَفَنُ</w:t>
      </w:r>
      <w:r>
        <w:rPr>
          <w:rtl/>
          <w:lang w:bidi="fa-IR"/>
        </w:rPr>
        <w:t>؟</w:t>
      </w:r>
      <w:r>
        <w:rPr>
          <w:rFonts w:hint="cs"/>
          <w:rtl/>
          <w:lang w:bidi="fa-IR"/>
        </w:rPr>
        <w:t xml:space="preserve"> </w:t>
      </w:r>
    </w:p>
    <w:p w:rsidR="00E3253D" w:rsidRPr="005D642E" w:rsidRDefault="0056443D" w:rsidP="00E3253D">
      <w:pPr>
        <w:pStyle w:val="libNormal"/>
        <w:rPr>
          <w:rtl/>
          <w:lang w:bidi="fa-IR"/>
        </w:rPr>
      </w:pPr>
      <w:r>
        <w:rPr>
          <w:rFonts w:hint="cs"/>
          <w:rtl/>
          <w:lang w:bidi="fa-IR"/>
        </w:rPr>
        <w:t>فَ</w:t>
      </w:r>
      <w:r w:rsidR="00E3253D" w:rsidRPr="005D642E">
        <w:rPr>
          <w:rtl/>
          <w:lang w:bidi="fa-IR"/>
        </w:rPr>
        <w:t>قَالَ : « كُلُّ ذلِكَ يَجِبُ عَلَيْهِ</w:t>
      </w:r>
      <w:r w:rsidR="00E3253D">
        <w:rPr>
          <w:rtl/>
          <w:lang w:bidi="fa-IR"/>
        </w:rPr>
        <w:t xml:space="preserve"> ».</w:t>
      </w:r>
      <w:r w:rsidR="00E3253D" w:rsidRPr="005D642E">
        <w:rPr>
          <w:rtl/>
          <w:lang w:bidi="fa-IR"/>
        </w:rPr>
        <w:t xml:space="preserve"> </w:t>
      </w:r>
      <w:r w:rsidR="00E3253D" w:rsidRPr="007C12DB">
        <w:rPr>
          <w:rStyle w:val="libFootnotenumChar"/>
          <w:rtl/>
        </w:rPr>
        <w:t>(2)</w:t>
      </w:r>
      <w:r w:rsidR="00E3253D" w:rsidRPr="005D642E">
        <w:rPr>
          <w:rtl/>
          <w:lang w:bidi="fa-IR"/>
        </w:rPr>
        <w:t xml:space="preserve"> ‌</w:t>
      </w:r>
    </w:p>
    <w:p w:rsidR="00E3253D" w:rsidRPr="005D642E" w:rsidRDefault="00E3253D" w:rsidP="00E3253D">
      <w:pPr>
        <w:pStyle w:val="libNormal"/>
        <w:rPr>
          <w:rtl/>
          <w:lang w:bidi="fa-IR"/>
        </w:rPr>
      </w:pPr>
      <w:r w:rsidRPr="006B7A65">
        <w:rPr>
          <w:rtl/>
        </w:rPr>
        <w:t>4604</w:t>
      </w:r>
      <w:r w:rsidRPr="00246318">
        <w:rPr>
          <w:rStyle w:val="libBold2Char"/>
          <w:rtl/>
        </w:rPr>
        <w:t xml:space="preserve"> / 6.</w:t>
      </w:r>
      <w:r w:rsidRPr="005D642E">
        <w:rPr>
          <w:rtl/>
          <w:lang w:bidi="fa-IR"/>
        </w:rPr>
        <w:t xml:space="preserve"> عِدَّةٌ مِنْ أَصْحَابِنَا ، عَنْ سَهْلِ بْنِ زِيَادٍ ، عَنْ عَلِيِّ بْنِ مَهْزِيَارَ </w:t>
      </w:r>
      <w:r w:rsidRPr="007C12DB">
        <w:rPr>
          <w:rStyle w:val="libFootnotenumChar"/>
          <w:rtl/>
        </w:rPr>
        <w:t>(3)</w:t>
      </w:r>
      <w:r w:rsidRPr="005D642E">
        <w:rPr>
          <w:rtl/>
          <w:lang w:bidi="fa-IR"/>
        </w:rPr>
        <w:t xml:space="preserve"> ، عَنْ مُحَمَّدِ بْنِ الْفُضَيْلِ ، قَالَ :</w:t>
      </w:r>
    </w:p>
    <w:p w:rsidR="00E3253D" w:rsidRPr="005D642E" w:rsidRDefault="00E3253D" w:rsidP="00E3253D">
      <w:pPr>
        <w:pStyle w:val="libNormal"/>
        <w:rPr>
          <w:rtl/>
          <w:lang w:bidi="fa-IR"/>
        </w:rPr>
      </w:pPr>
      <w:r w:rsidRPr="005D642E">
        <w:rPr>
          <w:rtl/>
          <w:lang w:bidi="fa-IR"/>
        </w:rPr>
        <w:t xml:space="preserve">كَتَبْتُ إِلى أَبِي جَعْفَرٍ </w:t>
      </w:r>
      <w:r w:rsidRPr="00AC51C5">
        <w:rPr>
          <w:rStyle w:val="libAlaemChar"/>
          <w:rtl/>
        </w:rPr>
        <w:t>عليه‌السلام</w:t>
      </w:r>
      <w:r w:rsidRPr="005D642E">
        <w:rPr>
          <w:rtl/>
          <w:lang w:bidi="fa-IR"/>
        </w:rPr>
        <w:t xml:space="preserve"> أَسْأَلُهُ عَنِ السِّقْطِ : كَيْفَ يُصْنَعُ </w:t>
      </w:r>
      <w:r w:rsidRPr="007C12DB">
        <w:rPr>
          <w:rStyle w:val="libFootnotenumChar"/>
          <w:rtl/>
        </w:rPr>
        <w:t>(4)</w:t>
      </w:r>
      <w:r w:rsidRPr="005D642E">
        <w:rPr>
          <w:rtl/>
          <w:lang w:bidi="fa-IR"/>
        </w:rPr>
        <w:t xml:space="preserve"> بِهِ</w:t>
      </w:r>
      <w:r>
        <w:rPr>
          <w:rtl/>
          <w:lang w:bidi="fa-IR"/>
        </w:rPr>
        <w:t>؟</w:t>
      </w:r>
    </w:p>
    <w:p w:rsidR="00E3253D" w:rsidRPr="005D642E" w:rsidRDefault="00E3253D" w:rsidP="00E3253D">
      <w:pPr>
        <w:pStyle w:val="libNormal"/>
        <w:rPr>
          <w:rtl/>
          <w:lang w:bidi="fa-IR"/>
        </w:rPr>
      </w:pPr>
      <w:r w:rsidRPr="005D642E">
        <w:rPr>
          <w:rtl/>
          <w:lang w:bidi="fa-IR"/>
        </w:rPr>
        <w:t xml:space="preserve">فَكَتَبَ </w:t>
      </w:r>
      <w:r w:rsidRPr="00AC51C5">
        <w:rPr>
          <w:rStyle w:val="libAlaemChar"/>
          <w:rtl/>
        </w:rPr>
        <w:t>عليه‌السلام</w:t>
      </w:r>
      <w:r w:rsidRPr="005D642E">
        <w:rPr>
          <w:rtl/>
          <w:lang w:bidi="fa-IR"/>
        </w:rPr>
        <w:t xml:space="preserve"> إِلَيَّ </w:t>
      </w:r>
      <w:r w:rsidRPr="007C12DB">
        <w:rPr>
          <w:rStyle w:val="libFootnotenumChar"/>
          <w:rtl/>
        </w:rPr>
        <w:t>(5)</w:t>
      </w:r>
      <w:r w:rsidRPr="005D642E">
        <w:rPr>
          <w:rtl/>
          <w:lang w:bidi="fa-IR"/>
        </w:rPr>
        <w:t xml:space="preserve"> : « السِّقْطُ يُدْفَنُ بِدَمِهِ فِي مَوْضِعِهِ </w:t>
      </w:r>
      <w:r w:rsidRPr="007C12DB">
        <w:rPr>
          <w:rStyle w:val="libFootnotenumChar"/>
          <w:rtl/>
        </w:rPr>
        <w:t>(6)</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2C53C2" w:rsidP="00E3253D">
      <w:pPr>
        <w:pStyle w:val="libFootnote0"/>
        <w:rPr>
          <w:rtl/>
          <w:lang w:bidi="fa-IR"/>
        </w:rPr>
      </w:pPr>
      <w:r>
        <w:rPr>
          <w:rFonts w:hint="cs"/>
          <w:rtl/>
        </w:rPr>
        <w:t xml:space="preserve">= </w:t>
      </w:r>
      <w:r w:rsidR="00E3253D" w:rsidRPr="005D642E">
        <w:rPr>
          <w:rtl/>
        </w:rPr>
        <w:t>نفس الباب ، صدر ح 4732 ؛ و</w:t>
      </w:r>
      <w:r w:rsidR="00E3253D" w:rsidRPr="002F4D34">
        <w:rPr>
          <w:rStyle w:val="libFootnoteBoldChar"/>
          <w:rtl/>
        </w:rPr>
        <w:t>معاني الأخبار</w:t>
      </w:r>
      <w:r w:rsidR="00E3253D" w:rsidRPr="005D642E">
        <w:rPr>
          <w:rtl/>
        </w:rPr>
        <w:t xml:space="preserve"> ، ص 407 ، صدر ح 86 ، بسند آخر عن زرارة ، وفي الثلاثة الأخيرة مع اختلاف يسير ، وفي كلّها من قوله : « فما تقول في الولدان » </w:t>
      </w:r>
      <w:r w:rsidR="001A123D">
        <w:rPr>
          <w:rFonts w:hint="cs"/>
          <w:rtl/>
        </w:rPr>
        <w:t>.</w:t>
      </w:r>
      <w:r w:rsidR="00E3253D" w:rsidRPr="002F4D34">
        <w:rPr>
          <w:rStyle w:val="libFootnoteBoldChar"/>
          <w:rtl/>
        </w:rPr>
        <w:t>الوافي</w:t>
      </w:r>
      <w:r w:rsidR="00E3253D" w:rsidRPr="005D642E">
        <w:rPr>
          <w:rtl/>
        </w:rPr>
        <w:t xml:space="preserve"> ، ج 25 ، ص 497 ، ح 24503 ؛ </w:t>
      </w:r>
      <w:r w:rsidR="00E3253D" w:rsidRPr="002F4D34">
        <w:rPr>
          <w:rStyle w:val="libFootnoteBoldChar"/>
          <w:rtl/>
        </w:rPr>
        <w:t>الوسائل</w:t>
      </w:r>
      <w:r w:rsidR="00E3253D" w:rsidRPr="005D642E">
        <w:rPr>
          <w:rtl/>
        </w:rPr>
        <w:t xml:space="preserve"> ، ج 3 ، ص 95 ، ح 3119 ، إلى قوله : « وكان ابن ستّ سنين</w:t>
      </w:r>
      <w:r w:rsidR="00E3253D">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خلقته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329 ، ح 962 ، بسند آخر عن أبي عبدالله </w:t>
      </w:r>
      <w:r w:rsidR="00E3253D" w:rsidRPr="009C32ED">
        <w:rPr>
          <w:rStyle w:val="libFootnoteAlaemChar"/>
          <w:rtl/>
        </w:rPr>
        <w:t>عليه‌السلام</w:t>
      </w:r>
      <w:r w:rsidR="00E3253D" w:rsidRPr="005D642E">
        <w:rPr>
          <w:rtl/>
        </w:rPr>
        <w:t xml:space="preserve"> ، مع اختلاف يسير. </w:t>
      </w:r>
      <w:r w:rsidR="00E3253D" w:rsidRPr="002F4D34">
        <w:rPr>
          <w:rStyle w:val="libFootnoteBoldChar"/>
          <w:rtl/>
        </w:rPr>
        <w:t>الفقيه</w:t>
      </w:r>
      <w:r w:rsidR="00E3253D" w:rsidRPr="005D642E">
        <w:rPr>
          <w:rtl/>
        </w:rPr>
        <w:t xml:space="preserve"> ، ج 1 ، ص 152 ، ذيل ح 418 ؛ </w:t>
      </w:r>
      <w:r w:rsidR="00E3253D" w:rsidRPr="002F4D34">
        <w:rPr>
          <w:rStyle w:val="libFootnoteBoldChar"/>
          <w:rtl/>
        </w:rPr>
        <w:t>المقنعة</w:t>
      </w:r>
      <w:r w:rsidR="00E3253D" w:rsidRPr="005D642E">
        <w:rPr>
          <w:rtl/>
        </w:rPr>
        <w:t xml:space="preserve"> ، ص 83 ، من دون الإسناد إلى المعصوم </w:t>
      </w:r>
      <w:r w:rsidR="00E3253D" w:rsidRPr="009C32ED">
        <w:rPr>
          <w:rStyle w:val="libFootnoteAlaemChar"/>
          <w:rtl/>
        </w:rPr>
        <w:t>عليه‌السلام</w:t>
      </w:r>
      <w:r w:rsidR="00E3253D" w:rsidRPr="005D642E">
        <w:rPr>
          <w:rtl/>
        </w:rPr>
        <w:t xml:space="preserve"> ، وفيهما مع اختلاف </w:t>
      </w:r>
      <w:r w:rsidR="009C32ED">
        <w:rPr>
          <w:rFonts w:hint="cs"/>
          <w:rtl/>
        </w:rPr>
        <w:t>.</w:t>
      </w:r>
      <w:r w:rsidR="00E3253D" w:rsidRPr="002F4D34">
        <w:rPr>
          <w:rStyle w:val="libFootnoteBoldChar"/>
          <w:rtl/>
        </w:rPr>
        <w:t>الوافي</w:t>
      </w:r>
      <w:r w:rsidR="00E3253D" w:rsidRPr="005D642E">
        <w:rPr>
          <w:rtl/>
        </w:rPr>
        <w:t xml:space="preserve"> ، ج 24 ، ص 341 ، ح 24167 ؛ </w:t>
      </w:r>
      <w:r w:rsidR="00E3253D" w:rsidRPr="002F4D34">
        <w:rPr>
          <w:rStyle w:val="libFootnoteBoldChar"/>
          <w:rtl/>
        </w:rPr>
        <w:t>الوسائل</w:t>
      </w:r>
      <w:r w:rsidR="00E3253D" w:rsidRPr="005D642E">
        <w:rPr>
          <w:rtl/>
        </w:rPr>
        <w:t xml:space="preserve"> ، ج 2 ، ص 501 ، ذيل ح 2754.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غ ، بخ ، بف » والوسائل </w:t>
      </w:r>
      <w:r w:rsidR="00B60612" w:rsidRPr="00B60612">
        <w:rPr>
          <w:rStyle w:val="libFootnoteBoldChar"/>
          <w:rtl/>
        </w:rPr>
        <w:t>والتهذيب</w:t>
      </w:r>
      <w:r w:rsidR="00E3253D" w:rsidRPr="005D642E">
        <w:rPr>
          <w:rtl/>
        </w:rPr>
        <w:t>. وفي « ظ ، ى ، بث ، بح ، بس ، ، جح ، جن » والمطبوع : « عليّ بن‌مهران</w:t>
      </w:r>
      <w:r w:rsidR="00E3253D">
        <w:rPr>
          <w:rtl/>
        </w:rPr>
        <w:t xml:space="preserve"> ».</w:t>
      </w:r>
      <w:r w:rsidR="00E3253D" w:rsidRPr="005D642E">
        <w:rPr>
          <w:rtl/>
        </w:rPr>
        <w:t xml:space="preserve"> وقد أكثر سهل بن زياد من الرواية عن عليّ بن مهزيار ، وأمّا روايته عن عليّ بن مهران ، فلم نجدها في موضع. راجع : </w:t>
      </w:r>
      <w:r w:rsidR="00E3253D" w:rsidRPr="002F4D34">
        <w:rPr>
          <w:rStyle w:val="libFootnoteBoldChar"/>
          <w:rtl/>
        </w:rPr>
        <w:t>معجم رجال الحديث</w:t>
      </w:r>
      <w:r w:rsidR="00E3253D" w:rsidRPr="005D642E">
        <w:rPr>
          <w:rtl/>
        </w:rPr>
        <w:t xml:space="preserve"> ، ج 8 ، ص 520</w:t>
      </w:r>
      <w:r w:rsidR="00E3253D">
        <w:rPr>
          <w:rtl/>
        </w:rPr>
        <w:t xml:space="preserve"> </w:t>
      </w:r>
      <w:r w:rsidR="007642BC">
        <w:rPr>
          <w:rtl/>
        </w:rPr>
        <w:t>-</w:t>
      </w:r>
      <w:r w:rsidR="00E3253D">
        <w:rPr>
          <w:rtl/>
        </w:rPr>
        <w:t xml:space="preserve"> </w:t>
      </w:r>
      <w:r w:rsidR="00E3253D" w:rsidRPr="005D642E">
        <w:rPr>
          <w:rtl/>
        </w:rPr>
        <w:t>521.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بف » : « أصنع</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 بح » : « أنّ » بدل « إليّ</w:t>
      </w:r>
      <w:r w:rsidR="00E3253D">
        <w:rPr>
          <w:rtl/>
        </w:rPr>
        <w:t xml:space="preserve"> ».</w:t>
      </w:r>
      <w:r w:rsidR="00E3253D" w:rsidRPr="005D642E">
        <w:rPr>
          <w:rtl/>
        </w:rPr>
        <w:t xml:space="preserve"> وفي المطبوع : + « أنَّ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حمل على ما إذا لم يتمّ له أربعة أشهر.</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329 ، ح 961 ، بسنده عن الكليني. راجع : </w:t>
      </w:r>
      <w:r w:rsidR="00E3253D" w:rsidRPr="002F4D34">
        <w:rPr>
          <w:rStyle w:val="libFootnoteBoldChar"/>
          <w:rtl/>
        </w:rPr>
        <w:t>الفقيه</w:t>
      </w:r>
      <w:r w:rsidR="00E3253D" w:rsidRPr="005D642E">
        <w:rPr>
          <w:rtl/>
        </w:rPr>
        <w:t xml:space="preserve"> ، ج 1 ، ص 152 ، ذيل ح 418 </w:t>
      </w:r>
      <w:r w:rsidR="00FC61B2">
        <w:rPr>
          <w:rFonts w:hint="cs"/>
          <w:rtl/>
        </w:rPr>
        <w:t>.</w:t>
      </w:r>
      <w:r w:rsidR="00E3253D" w:rsidRPr="002F4D34">
        <w:rPr>
          <w:rStyle w:val="libFootnoteBoldChar"/>
          <w:rtl/>
        </w:rPr>
        <w:t>الوافي</w:t>
      </w:r>
      <w:r w:rsidR="00E3253D" w:rsidRPr="005D642E">
        <w:rPr>
          <w:rtl/>
        </w:rPr>
        <w:t xml:space="preserve"> ، ج 24 ، ص 342 ، ح 24169 ؛ </w:t>
      </w:r>
      <w:r w:rsidR="00E3253D" w:rsidRPr="002F4D34">
        <w:rPr>
          <w:rStyle w:val="libFootnoteBoldChar"/>
          <w:rtl/>
        </w:rPr>
        <w:t>الوسائل</w:t>
      </w:r>
      <w:r w:rsidR="00E3253D" w:rsidRPr="005D642E">
        <w:rPr>
          <w:rtl/>
        </w:rPr>
        <w:t xml:space="preserve"> ، ج 2 ، ص 502 ، ح 2758.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B7A65">
        <w:rPr>
          <w:rtl/>
        </w:rPr>
        <w:t>4605</w:t>
      </w:r>
      <w:r w:rsidRPr="00246318">
        <w:rPr>
          <w:rStyle w:val="libBold2Char"/>
          <w:rtl/>
        </w:rPr>
        <w:t xml:space="preserve"> / 7.</w:t>
      </w:r>
      <w:r w:rsidRPr="005D642E">
        <w:rPr>
          <w:rtl/>
          <w:lang w:bidi="fa-IR"/>
        </w:rPr>
        <w:t xml:space="preserve"> عَلِيُّ بْنُ إِبْرَاهِيمَ ، عَنْ أَبِيهِ ، عَنْ عَمْرِو بْنِ عُثْمَانَ </w:t>
      </w:r>
      <w:r w:rsidRPr="007C12DB">
        <w:rPr>
          <w:rStyle w:val="libFootnotenumChar"/>
          <w:rtl/>
        </w:rPr>
        <w:t>(1)</w:t>
      </w:r>
      <w:r w:rsidRPr="005D642E">
        <w:rPr>
          <w:rtl/>
          <w:lang w:bidi="fa-IR"/>
        </w:rPr>
        <w:t xml:space="preserve"> ، عَنْ عَلِيِّ بْنِ عَبْدِ اللهِ ، قَالَ :</w:t>
      </w:r>
    </w:p>
    <w:p w:rsidR="00E3253D" w:rsidRPr="005D642E" w:rsidRDefault="00E3253D" w:rsidP="00E3253D">
      <w:pPr>
        <w:pStyle w:val="libNormal"/>
        <w:rPr>
          <w:rtl/>
          <w:lang w:bidi="fa-IR"/>
        </w:rPr>
      </w:pPr>
      <w:r w:rsidRPr="005D642E">
        <w:rPr>
          <w:rtl/>
          <w:lang w:bidi="fa-IR"/>
        </w:rPr>
        <w:t xml:space="preserve">سَمِعْتُ أَبَا الْحَسَنِ مُوسى </w:t>
      </w:r>
      <w:r w:rsidRPr="00AC51C5">
        <w:rPr>
          <w:rStyle w:val="libAlaemChar"/>
          <w:rtl/>
        </w:rPr>
        <w:t>عليه‌السلام</w:t>
      </w:r>
      <w:r w:rsidRPr="005D642E">
        <w:rPr>
          <w:rtl/>
          <w:lang w:bidi="fa-IR"/>
        </w:rPr>
        <w:t xml:space="preserve"> يَقُولُ : « إِنَّهُ لَمَّا قُبِضَ إِبْرَاهِيمُ بْنُ رَسُولِ اللهِ </w:t>
      </w:r>
      <w:r w:rsidR="0042621E" w:rsidRPr="0042621E">
        <w:rPr>
          <w:rStyle w:val="libAlaemChar"/>
          <w:rtl/>
        </w:rPr>
        <w:t>صلى‌الله‌عليه‌وآله</w:t>
      </w:r>
      <w:r w:rsidRPr="005D642E">
        <w:rPr>
          <w:rtl/>
          <w:lang w:bidi="fa-IR"/>
        </w:rPr>
        <w:t xml:space="preserve"> ، جَرَتْ فِيهِ </w:t>
      </w:r>
      <w:r w:rsidRPr="007C12DB">
        <w:rPr>
          <w:rStyle w:val="libFootnotenumChar"/>
          <w:rtl/>
        </w:rPr>
        <w:t>(2)</w:t>
      </w:r>
      <w:r w:rsidRPr="005D642E">
        <w:rPr>
          <w:rtl/>
          <w:lang w:bidi="fa-IR"/>
        </w:rPr>
        <w:t xml:space="preserve"> ثَلَاثُ سُنَنٍ : أَمَّا وَاحِدَةٌ ، فَإِنَّهُ لَمَّا مَاتَ انْكَسَفَتِ الشَّمْسُ ، فَقَالَ النَّاسُ : انْكَسَفَتِ الشَّمْسُ لِفَقْدِ ابْنِ رَسُولِ اللهِ ، فَصَعِدَ رَسُولُ اللهِ </w:t>
      </w:r>
      <w:r w:rsidR="0042621E" w:rsidRPr="0042621E">
        <w:rPr>
          <w:rStyle w:val="libAlaemChar"/>
          <w:rtl/>
        </w:rPr>
        <w:t>صلى‌الله‌عليه‌وآله</w:t>
      </w:r>
      <w:r w:rsidRPr="005D642E">
        <w:rPr>
          <w:rtl/>
          <w:lang w:bidi="fa-IR"/>
        </w:rPr>
        <w:t xml:space="preserve"> الْمِنْبَرَ ، فَحَمِدَ اللهَ ، وَأَثنى عَلَيْهِ ، ثُمَّ قَالَ : يَا </w:t>
      </w:r>
      <w:r w:rsidRPr="007C12DB">
        <w:rPr>
          <w:rStyle w:val="libFootnotenumChar"/>
          <w:rtl/>
        </w:rPr>
        <w:t>(3)</w:t>
      </w:r>
      <w:r w:rsidRPr="005D642E">
        <w:rPr>
          <w:rtl/>
          <w:lang w:bidi="fa-IR"/>
        </w:rPr>
        <w:t xml:space="preserve"> أَيُّهَا النَّاسُ ، إِنَّ الشَّمْسَ وَالْقَمَرَ آيَتَانِ مِنْ آيَاتِ اللهِ ، يَجْرِيَانِ </w:t>
      </w:r>
      <w:r w:rsidRPr="007C12DB">
        <w:rPr>
          <w:rStyle w:val="libFootnotenumChar"/>
          <w:rtl/>
        </w:rPr>
        <w:t>(4)</w:t>
      </w:r>
      <w:r w:rsidRPr="005D642E">
        <w:rPr>
          <w:rtl/>
          <w:lang w:bidi="fa-IR"/>
        </w:rPr>
        <w:t xml:space="preserve"> بِأَمْرِهِ ، مُطِيعَانِ لَهُ </w:t>
      </w:r>
      <w:r w:rsidRPr="007C12DB">
        <w:rPr>
          <w:rStyle w:val="libFootnotenumChar"/>
          <w:rtl/>
        </w:rPr>
        <w:t>(5)</w:t>
      </w:r>
      <w:r w:rsidRPr="005D642E">
        <w:rPr>
          <w:rtl/>
          <w:lang w:bidi="fa-IR"/>
        </w:rPr>
        <w:t xml:space="preserve"> ، لَايَنْكَسِفَانِ </w:t>
      </w:r>
      <w:r w:rsidRPr="007C12DB">
        <w:rPr>
          <w:rStyle w:val="libFootnotenumChar"/>
          <w:rtl/>
        </w:rPr>
        <w:t>(6)</w:t>
      </w:r>
      <w:r w:rsidRPr="005D642E">
        <w:rPr>
          <w:rtl/>
          <w:lang w:bidi="fa-IR"/>
        </w:rPr>
        <w:t xml:space="preserve"> لِمَوْتِ أَحَدٍ وَلَالِحَيَاتِهِ ، فَإِنِ </w:t>
      </w:r>
      <w:r w:rsidRPr="007C12DB">
        <w:rPr>
          <w:rStyle w:val="libFootnotenumChar"/>
          <w:rtl/>
        </w:rPr>
        <w:t>(7)</w:t>
      </w:r>
      <w:r w:rsidRPr="005D642E">
        <w:rPr>
          <w:rtl/>
          <w:lang w:bidi="fa-IR"/>
        </w:rPr>
        <w:t xml:space="preserve"> انْكَسَفَتَا أَوْ وَاحِدَةٌ‌</w:t>
      </w:r>
      <w:r>
        <w:rPr>
          <w:rFonts w:hint="cs"/>
          <w:rtl/>
          <w:lang w:bidi="fa-IR"/>
        </w:rPr>
        <w:t xml:space="preserve"> </w:t>
      </w:r>
      <w:r w:rsidRPr="005D642E">
        <w:rPr>
          <w:rtl/>
          <w:lang w:bidi="fa-IR"/>
        </w:rPr>
        <w:t>مِنْهُمَا ، فَصَلُّوا.</w:t>
      </w:r>
    </w:p>
    <w:p w:rsidR="00E3253D" w:rsidRPr="005D642E" w:rsidRDefault="00E3253D" w:rsidP="00E3253D">
      <w:pPr>
        <w:pStyle w:val="libNormal"/>
        <w:rPr>
          <w:rtl/>
          <w:lang w:bidi="fa-IR"/>
        </w:rPr>
      </w:pPr>
      <w:r w:rsidRPr="005D642E">
        <w:rPr>
          <w:rtl/>
          <w:lang w:bidi="fa-IR"/>
        </w:rPr>
        <w:t xml:space="preserve">ثُمَّ نَزَلَ عَنِ الْمِنْبَرِ </w:t>
      </w:r>
      <w:r w:rsidRPr="007C12DB">
        <w:rPr>
          <w:rStyle w:val="libFootnotenumChar"/>
          <w:rtl/>
        </w:rPr>
        <w:t>(8)</w:t>
      </w:r>
      <w:r w:rsidRPr="005D642E">
        <w:rPr>
          <w:rtl/>
          <w:lang w:bidi="fa-IR"/>
        </w:rPr>
        <w:t xml:space="preserve"> ، فَصَلّى بِالنَّاسِ صَلَاةَ الْكُسُوفِ ، فَلَمَّا سَلَّمَ ، قَالَ : يَا عَلِيُّ ، قُمْ ، فَجَهِّزِ ابْنِي ، فَقَامَ عَلِيٌّ </w:t>
      </w:r>
      <w:r w:rsidRPr="00AC51C5">
        <w:rPr>
          <w:rStyle w:val="libAlaemChar"/>
          <w:rtl/>
        </w:rPr>
        <w:t>عليه‌السلام</w:t>
      </w:r>
      <w:r w:rsidRPr="005D642E">
        <w:rPr>
          <w:rtl/>
          <w:lang w:bidi="fa-IR"/>
        </w:rPr>
        <w:t xml:space="preserve"> ، فَغَسَّلَ إِبْرَاهِيمَ وَحَنَّطَهُ وَكَفَّنَهُ ، ثُمَّ خَرَجَ بِهِ ، وَمَضى رَسُولُ اللهِ </w:t>
      </w:r>
      <w:r w:rsidR="0042621E" w:rsidRPr="0042621E">
        <w:rPr>
          <w:rStyle w:val="libAlaemChar"/>
          <w:rtl/>
        </w:rPr>
        <w:t>صلى‌الله‌عليه‌وآله</w:t>
      </w:r>
      <w:r w:rsidRPr="005D642E">
        <w:rPr>
          <w:rtl/>
          <w:lang w:bidi="fa-IR"/>
        </w:rPr>
        <w:t xml:space="preserve"> حَتَّى انْتَهى بِهِ إِلى قَبْرِهِ ، فَقَالَ النَّاسُ : إِنَّ رَسُولَ اللهِ </w:t>
      </w:r>
      <w:r w:rsidR="0042621E" w:rsidRPr="0042621E">
        <w:rPr>
          <w:rStyle w:val="libAlaemChar"/>
          <w:rtl/>
        </w:rPr>
        <w:t>صلى‌الله‌عليه‌وآله</w:t>
      </w:r>
      <w:r w:rsidRPr="005D642E">
        <w:rPr>
          <w:rtl/>
          <w:lang w:bidi="fa-IR"/>
        </w:rPr>
        <w:t xml:space="preserve"> نَسِيَ أَنْ يُصَلِّيَ عَلى إِبْرَاهِيمَ لِمَا دَخَلَهُ مِنَ الْجَزَعِ عَلَيْهِ ، فَانْتَصَبَ قَائِماً ، ثُمَّ قَالَ : يَا </w:t>
      </w:r>
      <w:r w:rsidRPr="007C12DB">
        <w:rPr>
          <w:rStyle w:val="libFootnotenumChar"/>
          <w:rtl/>
        </w:rPr>
        <w:t>(9)</w:t>
      </w:r>
      <w:r w:rsidRPr="005D642E">
        <w:rPr>
          <w:rtl/>
          <w:lang w:bidi="fa-IR"/>
        </w:rPr>
        <w:t xml:space="preserve"> أَيُّهَا النَّاسُ ، أَتَانِي جَبْرَئِيلُ </w:t>
      </w:r>
      <w:r w:rsidRPr="00AC51C5">
        <w:rPr>
          <w:rStyle w:val="libAlaemChar"/>
          <w:rtl/>
        </w:rPr>
        <w:t>عليه‌السلام</w:t>
      </w:r>
      <w:r w:rsidRPr="005D642E">
        <w:rPr>
          <w:rtl/>
          <w:lang w:bidi="fa-IR"/>
        </w:rPr>
        <w:t xml:space="preserve"> بِمَا قُلْتُمْ ، زَعَمْتُمْ أَنِّي نَسِيتُ أَنْ أُصَلِّيَ عَلَى ابْنِي </w:t>
      </w:r>
      <w:r w:rsidRPr="007C12DB">
        <w:rPr>
          <w:rStyle w:val="libFootnotenumChar"/>
          <w:rtl/>
        </w:rPr>
        <w:t>(10)</w:t>
      </w:r>
      <w:r w:rsidRPr="005D642E">
        <w:rPr>
          <w:rtl/>
          <w:lang w:bidi="fa-IR"/>
        </w:rPr>
        <w:t xml:space="preserve"> لِمَا دَخَلَنِي </w:t>
      </w:r>
      <w:r w:rsidRPr="007C12DB">
        <w:rPr>
          <w:rStyle w:val="libFootnotenumChar"/>
          <w:rtl/>
        </w:rPr>
        <w:t>(11)</w:t>
      </w:r>
      <w:r w:rsidRPr="005D642E">
        <w:rPr>
          <w:rtl/>
          <w:lang w:bidi="fa-IR"/>
        </w:rPr>
        <w:t xml:space="preserve"> مِنَ الْجَزَعِ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 غ ، بخ ، بف</w:t>
      </w:r>
      <w:r w:rsidR="00E3253D">
        <w:rPr>
          <w:rtl/>
        </w:rPr>
        <w:t xml:space="preserve"> ».</w:t>
      </w:r>
      <w:r w:rsidR="00E3253D" w:rsidRPr="005D642E">
        <w:rPr>
          <w:rtl/>
        </w:rPr>
        <w:t xml:space="preserve"> وفي سائر النسخ والمطبوع : « عمرو بن سعيد</w:t>
      </w:r>
      <w:r w:rsidR="00E3253D">
        <w:rPr>
          <w:rtl/>
        </w:rPr>
        <w:t xml:space="preserve"> ».</w:t>
      </w:r>
      <w:r w:rsidR="00E3253D" w:rsidRPr="005D642E">
        <w:rPr>
          <w:rtl/>
        </w:rPr>
        <w:t xml:space="preserve"> والصواب ما أثبتناه ؛ فإنّه يأتي صدر الخبر في ح 5634 بنفس السند وفيه : « عمرو بن عثمان</w:t>
      </w:r>
      <w:r w:rsidR="00E3253D">
        <w:rPr>
          <w:rtl/>
        </w:rPr>
        <w:t xml:space="preserve"> ».</w:t>
      </w:r>
    </w:p>
    <w:p w:rsidR="00E3253D" w:rsidRPr="005D642E" w:rsidRDefault="00E3253D" w:rsidP="00112B99">
      <w:pPr>
        <w:pStyle w:val="libFootnote0"/>
        <w:rPr>
          <w:rtl/>
          <w:lang w:bidi="fa-IR"/>
        </w:rPr>
      </w:pPr>
      <w:r w:rsidRPr="00B60612">
        <w:rPr>
          <w:rtl/>
        </w:rPr>
        <w:t xml:space="preserve">هذا ، وقد أكثر إبراهيم بن هاشم من الرواية عن عمرو بن عثمان في الأسناد ، وقد توسّط في بعضها عمرو بن عثمان بين إبراهيم بن هاشم وبين عليّ بن عبدالله [ البجلي ]. ولم يثبت رواية إبراهيم بن هاشم ، والد عليّ بن إبراهيم ، عن عمرو بن سعيد في موضع. راجع : </w:t>
      </w:r>
      <w:r w:rsidRPr="002F4D34">
        <w:rPr>
          <w:rStyle w:val="libFootnoteBoldChar"/>
          <w:rtl/>
        </w:rPr>
        <w:t>معجم رجال الحديث</w:t>
      </w:r>
      <w:r w:rsidRPr="00B60612">
        <w:rPr>
          <w:rtl/>
        </w:rPr>
        <w:t xml:space="preserve"> ، ج 1 ، ص 532 </w:t>
      </w:r>
      <w:r w:rsidR="007642BC" w:rsidRPr="00B60612">
        <w:rPr>
          <w:rtl/>
        </w:rPr>
        <w:t>-</w:t>
      </w:r>
      <w:r w:rsidRPr="00B60612">
        <w:rPr>
          <w:rtl/>
        </w:rPr>
        <w:t xml:space="preserve"> 533 ؛ وج 13 ، ص 406.</w:t>
      </w:r>
      <w:r w:rsidR="0042621E" w:rsidRPr="0042621E">
        <w:rPr>
          <w:rStyle w:val="libFootnote0Char"/>
          <w:rtl/>
        </w:rPr>
        <w:t>(2).</w:t>
      </w:r>
      <w:r w:rsidRPr="005D642E">
        <w:rPr>
          <w:rtl/>
        </w:rPr>
        <w:t xml:space="preserve"> في التهذيب :</w:t>
      </w:r>
      <w:r>
        <w:rPr>
          <w:rtl/>
        </w:rPr>
        <w:t xml:space="preserve"> </w:t>
      </w:r>
      <w:r w:rsidR="007642BC">
        <w:rPr>
          <w:rtl/>
        </w:rPr>
        <w:t>-</w:t>
      </w:r>
      <w:r>
        <w:rPr>
          <w:rtl/>
        </w:rPr>
        <w:t xml:space="preserve"> </w:t>
      </w:r>
      <w:r w:rsidRPr="005D642E">
        <w:rPr>
          <w:rtl/>
        </w:rPr>
        <w:t>« فيه</w:t>
      </w:r>
      <w:r>
        <w:rPr>
          <w:rtl/>
        </w:rPr>
        <w:t xml:space="preserve"> ».</w:t>
      </w:r>
    </w:p>
    <w:tbl>
      <w:tblPr>
        <w:tblStyle w:val="TableGrid"/>
        <w:bidiVisual/>
        <w:tblW w:w="0" w:type="auto"/>
        <w:tblLook w:val="04A0" w:firstRow="1" w:lastRow="0" w:firstColumn="1" w:lastColumn="0" w:noHBand="0" w:noVBand="1"/>
      </w:tblPr>
      <w:tblGrid>
        <w:gridCol w:w="4006"/>
        <w:gridCol w:w="4006"/>
      </w:tblGrid>
      <w:tr w:rsidR="00112B99" w:rsidTr="00112B99">
        <w:tc>
          <w:tcPr>
            <w:tcW w:w="4006" w:type="dxa"/>
          </w:tcPr>
          <w:p w:rsidR="00112B99" w:rsidRDefault="00112B99" w:rsidP="00E3253D">
            <w:pPr>
              <w:pStyle w:val="libFootnote0"/>
              <w:rPr>
                <w:rStyle w:val="libFootnote0Char"/>
                <w:rtl/>
                <w:lang w:bidi="fa-IR"/>
              </w:rPr>
            </w:pPr>
            <w:r w:rsidRPr="0042621E">
              <w:rPr>
                <w:rStyle w:val="libFootnote0Char"/>
                <w:rtl/>
              </w:rPr>
              <w:t>(3).</w:t>
            </w:r>
            <w:r w:rsidRPr="005D642E">
              <w:rPr>
                <w:rtl/>
              </w:rPr>
              <w:t xml:space="preserve"> في التهذيب </w:t>
            </w:r>
            <w:r w:rsidRPr="000D749A">
              <w:rPr>
                <w:rStyle w:val="libFootnoteBoldChar"/>
                <w:rtl/>
              </w:rPr>
              <w:t>والمحاسن</w:t>
            </w:r>
            <w:r w:rsidRPr="005D642E">
              <w:rPr>
                <w:rtl/>
              </w:rPr>
              <w:t xml:space="preserve"> :</w:t>
            </w:r>
            <w:r>
              <w:rPr>
                <w:rtl/>
              </w:rPr>
              <w:t xml:space="preserve"> - </w:t>
            </w:r>
            <w:r w:rsidRPr="005D642E">
              <w:rPr>
                <w:rtl/>
              </w:rPr>
              <w:t>« يا</w:t>
            </w:r>
            <w:r>
              <w:rPr>
                <w:rtl/>
              </w:rPr>
              <w:t xml:space="preserve"> ».</w:t>
            </w:r>
          </w:p>
        </w:tc>
        <w:tc>
          <w:tcPr>
            <w:tcW w:w="4006" w:type="dxa"/>
          </w:tcPr>
          <w:p w:rsidR="00112B99" w:rsidRDefault="00112B99" w:rsidP="00E3253D">
            <w:pPr>
              <w:pStyle w:val="libFootnote0"/>
              <w:rPr>
                <w:rStyle w:val="libFootnote0Char"/>
                <w:rtl/>
                <w:lang w:bidi="fa-IR"/>
              </w:rPr>
            </w:pPr>
            <w:r w:rsidRPr="0042621E">
              <w:rPr>
                <w:rStyle w:val="libFootnote0Char"/>
                <w:rtl/>
              </w:rPr>
              <w:t>(4).</w:t>
            </w:r>
            <w:r w:rsidRPr="005D642E">
              <w:rPr>
                <w:rtl/>
              </w:rPr>
              <w:t xml:space="preserve"> في « ظ » والكافي ، ح 5634 : « تجريان</w:t>
            </w:r>
            <w:r>
              <w:rPr>
                <w:rtl/>
              </w:rPr>
              <w:t xml:space="preserve"> ».</w:t>
            </w:r>
          </w:p>
        </w:tc>
      </w:tr>
    </w:tbl>
    <w:p w:rsidR="00E3253D" w:rsidRPr="005D642E" w:rsidRDefault="0042621E" w:rsidP="00FF0A11">
      <w:pPr>
        <w:pStyle w:val="libFootnote0"/>
        <w:rPr>
          <w:rtl/>
          <w:lang w:bidi="fa-IR"/>
        </w:rPr>
      </w:pPr>
      <w:r w:rsidRPr="0042621E">
        <w:rPr>
          <w:rStyle w:val="libFootnote0Char"/>
          <w:rtl/>
        </w:rPr>
        <w:t>(5).</w:t>
      </w:r>
      <w:r w:rsidR="00E3253D" w:rsidRPr="005D642E">
        <w:rPr>
          <w:rtl/>
        </w:rPr>
        <w:t xml:space="preserve"> في « ظ ، غ ، ى ، بث ، بح ، بخ ، بس ، جح ، جس ، جن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r w:rsidR="00E3253D" w:rsidRPr="005D642E">
        <w:rPr>
          <w:rtl/>
        </w:rPr>
        <w:t xml:space="preserve"> وما في المتن موافق للمطبوع </w:t>
      </w:r>
      <w:r w:rsidR="000D749A" w:rsidRPr="000D749A">
        <w:rPr>
          <w:rStyle w:val="libFootnoteBoldChar"/>
          <w:rtl/>
        </w:rPr>
        <w:t>والوافي</w:t>
      </w:r>
      <w:r w:rsidR="00E3253D" w:rsidRPr="005D642E">
        <w:rPr>
          <w:rtl/>
        </w:rPr>
        <w:t xml:space="preserve"> والكافي ، ح 5634 </w:t>
      </w:r>
      <w:r w:rsidR="00B60612" w:rsidRPr="00B60612">
        <w:rPr>
          <w:rStyle w:val="libFootnoteBoldChar"/>
          <w:rtl/>
        </w:rPr>
        <w:t>والتهذيب</w:t>
      </w:r>
      <w:r w:rsidR="00E3253D" w:rsidRPr="005D642E">
        <w:rPr>
          <w:rtl/>
        </w:rPr>
        <w:t>.</w:t>
      </w:r>
      <w:r w:rsidR="00FF0A11">
        <w:rPr>
          <w:rFonts w:hint="cs"/>
          <w:rtl/>
        </w:rPr>
        <w:t xml:space="preserve">                   </w:t>
      </w:r>
      <w:r w:rsidRPr="0042621E">
        <w:rPr>
          <w:rStyle w:val="libFootnote0Char"/>
          <w:rtl/>
        </w:rPr>
        <w:t>(6).</w:t>
      </w:r>
      <w:r w:rsidR="00E3253D" w:rsidRPr="005D642E">
        <w:rPr>
          <w:rtl/>
        </w:rPr>
        <w:t xml:space="preserve"> في الكافي ، ح 5634 : « لاتنكسفان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جس » والوسائل ، ح 9923 والكافي ، ح 5634 </w:t>
      </w:r>
      <w:r w:rsidR="00B60612" w:rsidRPr="00B60612">
        <w:rPr>
          <w:rStyle w:val="libFootnoteBoldChar"/>
          <w:rtl/>
        </w:rPr>
        <w:t>والتهذيب</w:t>
      </w:r>
      <w:r w:rsidR="00E3253D" w:rsidRPr="005D642E">
        <w:rPr>
          <w:rtl/>
        </w:rPr>
        <w:t xml:space="preserve"> : « فإذا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بخ » </w:t>
      </w:r>
      <w:r w:rsidR="000D749A" w:rsidRPr="000D749A">
        <w:rPr>
          <w:rStyle w:val="libFootnoteBoldChar"/>
          <w:rtl/>
        </w:rPr>
        <w:t>والمحاسن</w:t>
      </w:r>
      <w:r w:rsidR="00E3253D" w:rsidRPr="005D642E">
        <w:rPr>
          <w:rtl/>
        </w:rPr>
        <w:t xml:space="preserve"> : « من المنبر</w:t>
      </w:r>
      <w:r w:rsidR="00E3253D">
        <w:rPr>
          <w:rtl/>
        </w:rPr>
        <w:t xml:space="preserve"> ».</w:t>
      </w:r>
      <w:r w:rsidR="00E3253D" w:rsidRPr="005D642E">
        <w:rPr>
          <w:rtl/>
        </w:rPr>
        <w:t xml:space="preserve"> وفي الكافي ، ح 5634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عن المنبر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FF0A11" w:rsidTr="00FF0A11">
        <w:tc>
          <w:tcPr>
            <w:tcW w:w="4006" w:type="dxa"/>
          </w:tcPr>
          <w:p w:rsidR="00FF0A11" w:rsidRDefault="00FF0A11" w:rsidP="00E3253D">
            <w:pPr>
              <w:pStyle w:val="libFootnote0"/>
              <w:rPr>
                <w:rStyle w:val="libFootnote0Char"/>
                <w:rtl/>
              </w:rPr>
            </w:pPr>
            <w:r w:rsidRPr="0042621E">
              <w:rPr>
                <w:rStyle w:val="libFootnote0Char"/>
                <w:rtl/>
              </w:rPr>
              <w:t>(9).</w:t>
            </w:r>
            <w:r w:rsidRPr="005D642E">
              <w:rPr>
                <w:rtl/>
              </w:rPr>
              <w:t xml:space="preserve"> في « بث » :</w:t>
            </w:r>
            <w:r>
              <w:rPr>
                <w:rtl/>
              </w:rPr>
              <w:t xml:space="preserve"> - </w:t>
            </w:r>
            <w:r w:rsidRPr="005D642E">
              <w:rPr>
                <w:rtl/>
              </w:rPr>
              <w:t>« يا</w:t>
            </w:r>
            <w:r>
              <w:rPr>
                <w:rtl/>
              </w:rPr>
              <w:t xml:space="preserve"> ».</w:t>
            </w:r>
          </w:p>
        </w:tc>
        <w:tc>
          <w:tcPr>
            <w:tcW w:w="4006" w:type="dxa"/>
          </w:tcPr>
          <w:p w:rsidR="00FF0A11" w:rsidRDefault="00FF0A11" w:rsidP="00E3253D">
            <w:pPr>
              <w:pStyle w:val="libFootnote0"/>
              <w:rPr>
                <w:rStyle w:val="libFootnote0Char"/>
                <w:rtl/>
              </w:rPr>
            </w:pPr>
            <w:r w:rsidRPr="0042621E">
              <w:rPr>
                <w:rStyle w:val="libFootnote0Char"/>
                <w:rtl/>
              </w:rPr>
              <w:t>(10).</w:t>
            </w:r>
            <w:r w:rsidRPr="005D642E">
              <w:rPr>
                <w:rtl/>
              </w:rPr>
              <w:t xml:space="preserve"> في « بح ، جح » : « إبراهيم</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 + « عليه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أَلَا </w:t>
      </w:r>
      <w:r w:rsidRPr="007C12DB">
        <w:rPr>
          <w:rStyle w:val="libFootnotenumChar"/>
          <w:rtl/>
        </w:rPr>
        <w:t>(1)</w:t>
      </w:r>
      <w:r w:rsidRPr="005D642E">
        <w:rPr>
          <w:rtl/>
          <w:lang w:bidi="fa-IR"/>
        </w:rPr>
        <w:t xml:space="preserve"> وَإِنَّهُ لَيْسَ كَمَا ظَنَنْتُمْ ، وَلكِنَّ اللَّطِيفَ الْخَبِيرَ فَرَضَ عَلَيْكُمْ خَمْسَ صَلَوَاتٍ ، وَجَعَلَ‌</w:t>
      </w:r>
      <w:r>
        <w:rPr>
          <w:rFonts w:hint="cs"/>
          <w:rtl/>
          <w:lang w:bidi="fa-IR"/>
        </w:rPr>
        <w:t xml:space="preserve"> </w:t>
      </w:r>
      <w:r w:rsidRPr="005D642E">
        <w:rPr>
          <w:rtl/>
          <w:lang w:bidi="fa-IR"/>
        </w:rPr>
        <w:t>لِمَوْتَاكُمْ مِنْ كُلِّ صَلَاةٍ تَكْبِيرَةً ، وَأَمَرَنِي أَنْ لَا</w:t>
      </w:r>
      <w:r>
        <w:rPr>
          <w:rFonts w:hint="cs"/>
          <w:rtl/>
          <w:lang w:bidi="fa-IR"/>
        </w:rPr>
        <w:t xml:space="preserve"> </w:t>
      </w:r>
      <w:r w:rsidR="00025200">
        <w:rPr>
          <w:rtl/>
          <w:lang w:bidi="fa-IR"/>
        </w:rPr>
        <w:t>أُصَلِّيَ إِل</w:t>
      </w:r>
      <w:r w:rsidR="00025200">
        <w:rPr>
          <w:rFonts w:hint="cs"/>
          <w:rtl/>
          <w:lang w:bidi="fa-IR"/>
        </w:rPr>
        <w:t>َّ</w:t>
      </w:r>
      <w:r w:rsidR="00025200">
        <w:rPr>
          <w:rtl/>
          <w:lang w:bidi="fa-IR"/>
        </w:rPr>
        <w:t>ا</w:t>
      </w:r>
      <w:r w:rsidRPr="005D642E">
        <w:rPr>
          <w:rtl/>
          <w:lang w:bidi="fa-IR"/>
        </w:rPr>
        <w:t xml:space="preserve"> عَلى مَنْ صَلّى.</w:t>
      </w:r>
    </w:p>
    <w:p w:rsidR="00E3253D" w:rsidRPr="005D642E" w:rsidRDefault="00E3253D" w:rsidP="00E3253D">
      <w:pPr>
        <w:pStyle w:val="libNormal"/>
        <w:rPr>
          <w:rtl/>
          <w:lang w:bidi="fa-IR"/>
        </w:rPr>
      </w:pPr>
      <w:r w:rsidRPr="005D642E">
        <w:rPr>
          <w:rtl/>
          <w:lang w:bidi="fa-IR"/>
        </w:rPr>
        <w:t xml:space="preserve">ثُمَّ قَالَ : يَا عَلِيُّ انْزِلْ </w:t>
      </w:r>
      <w:r w:rsidRPr="007C12DB">
        <w:rPr>
          <w:rStyle w:val="libFootnotenumChar"/>
          <w:rtl/>
        </w:rPr>
        <w:t>(2)</w:t>
      </w:r>
      <w:r w:rsidRPr="005D642E">
        <w:rPr>
          <w:rtl/>
          <w:lang w:bidi="fa-IR"/>
        </w:rPr>
        <w:t xml:space="preserve"> ، فَأَلْحِدِ </w:t>
      </w:r>
      <w:r w:rsidRPr="007C12DB">
        <w:rPr>
          <w:rStyle w:val="libFootnotenumChar"/>
          <w:rtl/>
        </w:rPr>
        <w:t>(3)</w:t>
      </w:r>
      <w:r w:rsidRPr="005D642E">
        <w:rPr>
          <w:rtl/>
          <w:lang w:bidi="fa-IR"/>
        </w:rPr>
        <w:t xml:space="preserve"> ابْنِي ، فَنَزَلَ ، فَأَلْحَدَ </w:t>
      </w:r>
      <w:r w:rsidRPr="007C12DB">
        <w:rPr>
          <w:rStyle w:val="libFootnotenumChar"/>
          <w:rtl/>
        </w:rPr>
        <w:t>(4)</w:t>
      </w:r>
      <w:r w:rsidRPr="005D642E">
        <w:rPr>
          <w:rtl/>
          <w:lang w:bidi="fa-IR"/>
        </w:rPr>
        <w:t xml:space="preserve"> إِبْرَاهِيمَ فِي لَحْدِهِ ، فَقَالَ النَّاسُ : إِنَّهُ لَايَنْبَغِي لِأَحَدٍ أَنْ يَنْزِلَ فِي قَبْرِ وَلَدِهِ ؛ إِذْ </w:t>
      </w:r>
      <w:r w:rsidRPr="007C12DB">
        <w:rPr>
          <w:rStyle w:val="libFootnotenumChar"/>
          <w:rtl/>
        </w:rPr>
        <w:t>(5)</w:t>
      </w:r>
      <w:r w:rsidRPr="005D642E">
        <w:rPr>
          <w:rtl/>
          <w:lang w:bidi="fa-IR"/>
        </w:rPr>
        <w:t xml:space="preserve"> لَمْ يَفْعَلْ رَسُولُ اللهِ </w:t>
      </w:r>
      <w:r w:rsidR="0042621E" w:rsidRPr="0042621E">
        <w:rPr>
          <w:rStyle w:val="libAlaemChar"/>
          <w:rtl/>
        </w:rPr>
        <w:t>صلى‌الله‌عليه‌وآله</w:t>
      </w:r>
      <w:r w:rsidRPr="005D642E">
        <w:rPr>
          <w:rtl/>
          <w:lang w:bidi="fa-IR"/>
        </w:rPr>
        <w:t xml:space="preserve"> ، فَقَالَ لَهُمْ رَسُولُ اللهِ </w:t>
      </w:r>
      <w:r w:rsidR="0042621E" w:rsidRPr="0042621E">
        <w:rPr>
          <w:rStyle w:val="libAlaemChar"/>
          <w:rtl/>
        </w:rPr>
        <w:t>صلى‌الله‌عليه‌وآله</w:t>
      </w:r>
      <w:r w:rsidRPr="005D642E">
        <w:rPr>
          <w:rtl/>
          <w:lang w:bidi="fa-IR"/>
        </w:rPr>
        <w:t xml:space="preserve"> : يَا أَيُّهَا النَّاسُ ، إِنَّهُ لَيْسَ عَلَيْكُمْ بِحَرَامٍ أَنْ تَنْزِلُوا فِي قُبُورِ أَوْلَادِكُمْ ، وَلكِنِّي لَسْتُ آمَنُ</w:t>
      </w:r>
      <w:r>
        <w:rPr>
          <w:rtl/>
          <w:lang w:bidi="fa-IR"/>
        </w:rPr>
        <w:t xml:space="preserve"> </w:t>
      </w:r>
      <w:r w:rsidR="007642BC">
        <w:rPr>
          <w:rtl/>
          <w:lang w:bidi="fa-IR"/>
        </w:rPr>
        <w:t>-</w:t>
      </w:r>
      <w:r>
        <w:rPr>
          <w:rtl/>
          <w:lang w:bidi="fa-IR"/>
        </w:rPr>
        <w:t xml:space="preserve"> </w:t>
      </w:r>
      <w:r w:rsidRPr="005D642E">
        <w:rPr>
          <w:rtl/>
          <w:lang w:bidi="fa-IR"/>
        </w:rPr>
        <w:t>إِذَا حَلَّ أَحَدُكُمُ الْكَفَنَ عَنْ وَلَدِهِ</w:t>
      </w:r>
      <w:r>
        <w:rPr>
          <w:rtl/>
          <w:lang w:bidi="fa-IR"/>
        </w:rPr>
        <w:t xml:space="preserve"> </w:t>
      </w:r>
      <w:r w:rsidR="007642BC">
        <w:rPr>
          <w:rtl/>
          <w:lang w:bidi="fa-IR"/>
        </w:rPr>
        <w:t>-</w:t>
      </w:r>
      <w:r>
        <w:rPr>
          <w:rtl/>
          <w:lang w:bidi="fa-IR"/>
        </w:rPr>
        <w:t xml:space="preserve"> </w:t>
      </w:r>
      <w:r w:rsidRPr="005D642E">
        <w:rPr>
          <w:rtl/>
          <w:lang w:bidi="fa-IR"/>
        </w:rPr>
        <w:t xml:space="preserve">أَنْ يَلْعَبَ بِهِ الشَّيْطَانُ ، فَيَدْخُلَهُ عِنْدَ ذلِكَ مِنَ الْجَزَعِ مَا يُحْبِطُ أَجْرَهُ ، ثُمَّ انْصَرَفَ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6B7A65">
        <w:rPr>
          <w:rtl/>
        </w:rPr>
        <w:t>4606</w:t>
      </w:r>
      <w:r w:rsidRPr="00246318">
        <w:rPr>
          <w:rStyle w:val="libBold2Char"/>
          <w:rtl/>
        </w:rPr>
        <w:t xml:space="preserve"> / 8.</w:t>
      </w:r>
      <w:r w:rsidRPr="005D642E">
        <w:rPr>
          <w:rtl/>
          <w:lang w:bidi="fa-IR"/>
        </w:rPr>
        <w:t xml:space="preserve"> عَلِيٌّ </w:t>
      </w:r>
      <w:r w:rsidRPr="007C12DB">
        <w:rPr>
          <w:rStyle w:val="libFootnotenumChar"/>
          <w:rtl/>
        </w:rPr>
        <w:t>(7)</w:t>
      </w:r>
      <w:r w:rsidRPr="005D642E">
        <w:rPr>
          <w:rtl/>
          <w:lang w:bidi="fa-IR"/>
        </w:rPr>
        <w:t xml:space="preserve"> ، عَنْ عَلِيِّ بْنِ شِيرَةَ ، عَنْ مُحَمَّدِ بْنِ سُلَيْمَانَ ، عَنْ حُسَيْنٍ الْحَرْشُوشِ </w:t>
      </w:r>
      <w:r w:rsidRPr="007C12DB">
        <w:rPr>
          <w:rStyle w:val="libFootnotenumChar"/>
          <w:rtl/>
        </w:rPr>
        <w:t>(8)</w:t>
      </w:r>
      <w:r w:rsidRPr="005D642E">
        <w:rPr>
          <w:rtl/>
          <w:lang w:bidi="fa-IR"/>
        </w:rPr>
        <w:t xml:space="preserve"> ، عَنْ هِشَامٍ </w:t>
      </w:r>
      <w:r w:rsidRPr="007C12DB">
        <w:rPr>
          <w:rStyle w:val="libFootnotenumChar"/>
          <w:rtl/>
        </w:rPr>
        <w:t>(9)</w:t>
      </w:r>
      <w:r w:rsidRPr="005D642E">
        <w:rPr>
          <w:rtl/>
          <w:lang w:bidi="fa-IR"/>
        </w:rPr>
        <w:t xml:space="preserve">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حاشية « بح » : « أما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فانزل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BF13D7" w:rsidTr="00BF13D7">
        <w:tc>
          <w:tcPr>
            <w:tcW w:w="4006" w:type="dxa"/>
          </w:tcPr>
          <w:p w:rsidR="00BF13D7" w:rsidRDefault="00BF13D7" w:rsidP="00E3253D">
            <w:pPr>
              <w:pStyle w:val="libFootnote0"/>
              <w:rPr>
                <w:rStyle w:val="libFootnote0Char"/>
                <w:rtl/>
              </w:rPr>
            </w:pPr>
            <w:r w:rsidRPr="0042621E">
              <w:rPr>
                <w:rStyle w:val="libFootnote0Char"/>
                <w:rtl/>
              </w:rPr>
              <w:t>(3).</w:t>
            </w:r>
            <w:r w:rsidRPr="005D642E">
              <w:rPr>
                <w:rtl/>
              </w:rPr>
              <w:t xml:space="preserve"> في حاشية « بح » : « فلحّد</w:t>
            </w:r>
            <w:r>
              <w:rPr>
                <w:rtl/>
              </w:rPr>
              <w:t xml:space="preserve"> ».</w:t>
            </w:r>
          </w:p>
        </w:tc>
        <w:tc>
          <w:tcPr>
            <w:tcW w:w="4006" w:type="dxa"/>
          </w:tcPr>
          <w:p w:rsidR="00BF13D7" w:rsidRDefault="00BF13D7" w:rsidP="00E3253D">
            <w:pPr>
              <w:pStyle w:val="libFootnote0"/>
              <w:rPr>
                <w:rStyle w:val="libFootnote0Char"/>
                <w:rtl/>
              </w:rPr>
            </w:pPr>
            <w:r w:rsidRPr="0042621E">
              <w:rPr>
                <w:rStyle w:val="libFootnote0Char"/>
                <w:rtl/>
              </w:rPr>
              <w:t>(4).</w:t>
            </w:r>
            <w:r w:rsidRPr="005D642E">
              <w:rPr>
                <w:rtl/>
              </w:rPr>
              <w:t xml:space="preserve"> في « بخ ، بف » </w:t>
            </w:r>
            <w:r w:rsidRPr="000D749A">
              <w:rPr>
                <w:rStyle w:val="libFootnoteBoldChar"/>
                <w:rtl/>
              </w:rPr>
              <w:t>والمحاسن</w:t>
            </w:r>
            <w:r w:rsidRPr="005D642E">
              <w:rPr>
                <w:rtl/>
              </w:rPr>
              <w:t xml:space="preserve"> : « وألحد</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بف ، جن » </w:t>
      </w:r>
      <w:r w:rsidR="000D749A" w:rsidRPr="000D749A">
        <w:rPr>
          <w:rStyle w:val="libFootnoteBoldChar"/>
          <w:rtl/>
        </w:rPr>
        <w:t>والمحاسن</w:t>
      </w:r>
      <w:r w:rsidR="00E3253D" w:rsidRPr="005D642E">
        <w:rPr>
          <w:rtl/>
        </w:rPr>
        <w:t xml:space="preserve"> : « إذا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الكافي</w:t>
      </w:r>
      <w:r w:rsidR="00E3253D" w:rsidRPr="005D642E">
        <w:rPr>
          <w:rtl/>
        </w:rPr>
        <w:t xml:space="preserve"> ، كتاب الصلاة ، باب صلاة الكسوف ، ح 5634. </w:t>
      </w:r>
      <w:r w:rsidR="00E3253D" w:rsidRPr="002F4D34">
        <w:rPr>
          <w:rStyle w:val="libFootnoteBoldChar"/>
          <w:rtl/>
        </w:rPr>
        <w:t>التهذيب</w:t>
      </w:r>
      <w:r w:rsidR="00E3253D" w:rsidRPr="005D642E">
        <w:rPr>
          <w:rtl/>
        </w:rPr>
        <w:t xml:space="preserve"> ، ج 3 ، ص 154 ، ح 329 ، بسنده عن الكليني ، وفيهما إلى قوله : « فصلّى بالناس صلاة الكسوف</w:t>
      </w:r>
      <w:r w:rsidR="00E3253D">
        <w:rPr>
          <w:rtl/>
        </w:rPr>
        <w:t xml:space="preserve"> ».</w:t>
      </w:r>
      <w:r w:rsidR="00E3253D" w:rsidRPr="005D642E">
        <w:rPr>
          <w:rtl/>
        </w:rPr>
        <w:t xml:space="preserve"> </w:t>
      </w:r>
      <w:r w:rsidR="00E3253D" w:rsidRPr="002F4D34">
        <w:rPr>
          <w:rStyle w:val="libFootnoteBoldChar"/>
          <w:rtl/>
        </w:rPr>
        <w:t>المحاسن</w:t>
      </w:r>
      <w:r w:rsidR="00E3253D" w:rsidRPr="005D642E">
        <w:rPr>
          <w:rtl/>
        </w:rPr>
        <w:t xml:space="preserve"> ، ص 313 ، كتاب العلل ، ح 31 ، بسند آخر ، مع اختلاف يسير. </w:t>
      </w:r>
      <w:r w:rsidR="00E3253D" w:rsidRPr="002F4D34">
        <w:rPr>
          <w:rStyle w:val="libFootnoteBoldChar"/>
          <w:rtl/>
        </w:rPr>
        <w:t>الفقيه</w:t>
      </w:r>
      <w:r w:rsidR="00E3253D" w:rsidRPr="005D642E">
        <w:rPr>
          <w:rtl/>
        </w:rPr>
        <w:t xml:space="preserve"> ، ج 1 ، ص 540 ، ح 1507 ، مرسلاً عن النبيّ </w:t>
      </w:r>
      <w:r w:rsidRPr="00312BD7">
        <w:rPr>
          <w:rStyle w:val="libFootnoteAlaemChar"/>
          <w:rtl/>
        </w:rPr>
        <w:t>صلى‌الله‌عليه‌وآله</w:t>
      </w:r>
      <w:r w:rsidR="00E3253D" w:rsidRPr="005D642E">
        <w:rPr>
          <w:rtl/>
        </w:rPr>
        <w:t xml:space="preserve">. </w:t>
      </w:r>
      <w:r w:rsidR="00E3253D" w:rsidRPr="002F4D34">
        <w:rPr>
          <w:rStyle w:val="libFootnoteBoldChar"/>
          <w:rtl/>
        </w:rPr>
        <w:t>المقنعة</w:t>
      </w:r>
      <w:r w:rsidR="00E3253D" w:rsidRPr="005D642E">
        <w:rPr>
          <w:rtl/>
        </w:rPr>
        <w:t xml:space="preserve"> ، ص 209 ، مرسلاً عن الصادق </w:t>
      </w:r>
      <w:r w:rsidR="00E3253D" w:rsidRPr="00F072C6">
        <w:rPr>
          <w:rStyle w:val="libFootnoteAlaemChar"/>
          <w:rtl/>
        </w:rPr>
        <w:t>عليه‌السلام</w:t>
      </w:r>
      <w:r w:rsidR="00E3253D" w:rsidRPr="005D642E">
        <w:rPr>
          <w:rtl/>
        </w:rPr>
        <w:t xml:space="preserve"> عن النبيّ </w:t>
      </w:r>
      <w:r w:rsidRPr="00F072C6">
        <w:rPr>
          <w:rStyle w:val="libFootnoteAlaemChar"/>
          <w:rtl/>
        </w:rPr>
        <w:t>صلى‌الله‌عليه‌وآله</w:t>
      </w:r>
      <w:r w:rsidR="00E3253D" w:rsidRPr="005D642E">
        <w:rPr>
          <w:rtl/>
        </w:rPr>
        <w:t xml:space="preserve"> ، وفيهما من قوله : « إنّ الشمس والقمر آيتان » إلى قوله : « فإن انكسفتا أو واحدة منهما فصلّوا » مع اختلاف يسير </w:t>
      </w:r>
      <w:r w:rsidR="00F072C6">
        <w:rPr>
          <w:rFonts w:hint="cs"/>
          <w:rtl/>
        </w:rPr>
        <w:t>.</w:t>
      </w:r>
      <w:r w:rsidR="00E3253D" w:rsidRPr="002F4D34">
        <w:rPr>
          <w:rStyle w:val="libFootnoteBoldChar"/>
          <w:rtl/>
        </w:rPr>
        <w:t>الوافي</w:t>
      </w:r>
      <w:r w:rsidR="00E3253D" w:rsidRPr="005D642E">
        <w:rPr>
          <w:rtl/>
        </w:rPr>
        <w:t xml:space="preserve"> ، ج 25 ، ص 499 ، ح 24508 ؛ وفي </w:t>
      </w:r>
      <w:r w:rsidR="00E3253D" w:rsidRPr="002F4D34">
        <w:rPr>
          <w:rStyle w:val="libFootnoteBoldChar"/>
          <w:rtl/>
        </w:rPr>
        <w:t>الوسائل</w:t>
      </w:r>
      <w:r w:rsidR="00E3253D" w:rsidRPr="005D642E">
        <w:rPr>
          <w:rtl/>
        </w:rPr>
        <w:t xml:space="preserve"> ، ج 3 ، ص 99 ، ح 3129 ؛ وص 185 ، ح 3357 ؛ وج 7 ، ص 485 ، ح 9923 مقطّعاً ؛ </w:t>
      </w:r>
      <w:r w:rsidR="00E3253D" w:rsidRPr="002F4D34">
        <w:rPr>
          <w:rStyle w:val="libFootnoteBoldChar"/>
          <w:rtl/>
        </w:rPr>
        <w:t>البحار</w:t>
      </w:r>
      <w:r w:rsidR="00E3253D" w:rsidRPr="005D642E">
        <w:rPr>
          <w:rtl/>
        </w:rPr>
        <w:t xml:space="preserve"> ، ج 22 ، ص 155 ، ذيل ح 13.</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التهذيب : + « عليّ بن محمّد</w:t>
      </w:r>
      <w:r w:rsidR="00E3253D">
        <w:rPr>
          <w:rtl/>
        </w:rPr>
        <w:t xml:space="preserve"> ».</w:t>
      </w:r>
      <w:r w:rsidR="00E3253D" w:rsidRPr="005D642E">
        <w:rPr>
          <w:rtl/>
        </w:rPr>
        <w:t xml:space="preserve"> وهو سهو ؛ فإنّ عليّ بن محمّد</w:t>
      </w:r>
      <w:r w:rsidR="00F072C6">
        <w:rPr>
          <w:rtl/>
        </w:rPr>
        <w:t xml:space="preserve"> في مشايخ الكليني مشترك بين عل</w:t>
      </w:r>
      <w:r w:rsidR="00F072C6">
        <w:rPr>
          <w:rFonts w:hint="cs"/>
          <w:rtl/>
        </w:rPr>
        <w:t>ّ</w:t>
      </w:r>
      <w:r w:rsidR="00F072C6">
        <w:rPr>
          <w:rtl/>
        </w:rPr>
        <w:t>ا</w:t>
      </w:r>
      <w:r w:rsidR="00E3253D" w:rsidRPr="005D642E">
        <w:rPr>
          <w:rtl/>
        </w:rPr>
        <w:t>ن الكليني‌و بين ابن بندار ، ولم يثبت روايتهما عن عليّ بن شيرة المراد به عليّ بن محمّد بن شيرة القاساني. والمتكرّر في الأسناد رواية عليّ بن إبراهيم</w:t>
      </w:r>
      <w:r w:rsidR="00E3253D">
        <w:rPr>
          <w:rtl/>
        </w:rPr>
        <w:t xml:space="preserve"> </w:t>
      </w:r>
      <w:r w:rsidR="007642BC">
        <w:rPr>
          <w:rtl/>
        </w:rPr>
        <w:t>-</w:t>
      </w:r>
      <w:r w:rsidR="00E3253D">
        <w:rPr>
          <w:rtl/>
        </w:rPr>
        <w:t xml:space="preserve"> </w:t>
      </w:r>
      <w:r w:rsidR="00E3253D" w:rsidRPr="005D642E">
        <w:rPr>
          <w:rtl/>
        </w:rPr>
        <w:t>وهو المراد من عليّ في ما نحن فيه</w:t>
      </w:r>
      <w:r w:rsidR="00E3253D">
        <w:rPr>
          <w:rtl/>
        </w:rPr>
        <w:t xml:space="preserve"> </w:t>
      </w:r>
      <w:r w:rsidR="007642BC">
        <w:rPr>
          <w:rtl/>
        </w:rPr>
        <w:t>-</w:t>
      </w:r>
      <w:r w:rsidR="00E3253D">
        <w:rPr>
          <w:rtl/>
        </w:rPr>
        <w:t xml:space="preserve"> </w:t>
      </w:r>
      <w:r w:rsidR="00E3253D" w:rsidRPr="005D642E">
        <w:rPr>
          <w:rtl/>
        </w:rPr>
        <w:t>عن عليّ بن محمّد [ القاساني ]</w:t>
      </w:r>
      <w:r w:rsidR="00E3253D">
        <w:rPr>
          <w:rtl/>
        </w:rPr>
        <w:t>.</w:t>
      </w:r>
      <w:r w:rsidR="00E3253D" w:rsidRPr="005D642E">
        <w:rPr>
          <w:rtl/>
        </w:rPr>
        <w:t xml:space="preserve"> راجع : </w:t>
      </w:r>
      <w:r w:rsidR="00E3253D" w:rsidRPr="002F4D34">
        <w:rPr>
          <w:rStyle w:val="libFootnoteBoldChar"/>
          <w:rtl/>
        </w:rPr>
        <w:t>معجم رجال الحديث</w:t>
      </w:r>
      <w:r w:rsidR="00E3253D" w:rsidRPr="005D642E">
        <w:rPr>
          <w:rtl/>
        </w:rPr>
        <w:t xml:space="preserve"> ، ج 11 ، ص 477</w:t>
      </w:r>
      <w:r w:rsidR="00E3253D">
        <w:rPr>
          <w:rtl/>
        </w:rPr>
        <w:t xml:space="preserve"> </w:t>
      </w:r>
      <w:r w:rsidR="007642BC">
        <w:rPr>
          <w:rtl/>
        </w:rPr>
        <w:t>-</w:t>
      </w:r>
      <w:r w:rsidR="00E3253D">
        <w:rPr>
          <w:rtl/>
        </w:rPr>
        <w:t xml:space="preserve"> </w:t>
      </w:r>
      <w:r w:rsidR="00E3253D" w:rsidRPr="005D642E">
        <w:rPr>
          <w:rtl/>
        </w:rPr>
        <w:t>478.</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اختلف النسخ هنا بين « الجرسوس » </w:t>
      </w:r>
      <w:r w:rsidR="00E3253D">
        <w:rPr>
          <w:rtl/>
        </w:rPr>
        <w:t>و «</w:t>
      </w:r>
      <w:r w:rsidR="00E3253D" w:rsidRPr="005D642E">
        <w:rPr>
          <w:rtl/>
        </w:rPr>
        <w:t xml:space="preserve"> الحرسوس » ، </w:t>
      </w:r>
      <w:r w:rsidR="00E3253D">
        <w:rPr>
          <w:rtl/>
        </w:rPr>
        <w:t>و «</w:t>
      </w:r>
      <w:r w:rsidR="00E3253D" w:rsidRPr="005D642E">
        <w:rPr>
          <w:rtl/>
        </w:rPr>
        <w:t xml:space="preserve"> الجرخوس » </w:t>
      </w:r>
      <w:r w:rsidR="00E3253D">
        <w:rPr>
          <w:rtl/>
        </w:rPr>
        <w:t>و «</w:t>
      </w:r>
      <w:r w:rsidR="00E3253D" w:rsidRPr="005D642E">
        <w:rPr>
          <w:rtl/>
        </w:rPr>
        <w:t xml:space="preserve"> الجرحوس</w:t>
      </w:r>
      <w:r w:rsidR="00E3253D">
        <w:rPr>
          <w:rtl/>
        </w:rPr>
        <w:t xml:space="preserve"> ».</w:t>
      </w:r>
      <w:r w:rsidR="00E3253D" w:rsidRPr="005D642E">
        <w:rPr>
          <w:rtl/>
        </w:rPr>
        <w:t xml:space="preserve"> وفي التهذيب : « المرجوس</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المطبوع والوسائل : + « بن سالم</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إِنَّ النَّاسَ يُكَلِّمُونَا ، وَيَرُدُّونَ </w:t>
      </w:r>
      <w:r w:rsidRPr="007C12DB">
        <w:rPr>
          <w:rStyle w:val="libFootnotenumChar"/>
          <w:rtl/>
        </w:rPr>
        <w:t>(1)</w:t>
      </w:r>
      <w:r w:rsidRPr="005D642E">
        <w:rPr>
          <w:rtl/>
          <w:lang w:bidi="fa-IR"/>
        </w:rPr>
        <w:t xml:space="preserve"> عَلَيْنَا قَوْلَنَا : إِنَّهُ لَايُصَلّى عَلَى الطِّفْلِ ؛ لِأَنَّهُ لَمْ يُصَلِّ ، فَيَقُولُ</w:t>
      </w:r>
      <w:r w:rsidR="005E5BFC">
        <w:rPr>
          <w:rtl/>
          <w:lang w:bidi="fa-IR"/>
        </w:rPr>
        <w:t>ونَ : لَايُصَلّى إِل</w:t>
      </w:r>
      <w:r w:rsidR="005E5BFC">
        <w:rPr>
          <w:rFonts w:hint="cs"/>
          <w:rtl/>
          <w:lang w:bidi="fa-IR"/>
        </w:rPr>
        <w:t>َّ</w:t>
      </w:r>
      <w:r w:rsidR="005E5BFC">
        <w:rPr>
          <w:rtl/>
          <w:lang w:bidi="fa-IR"/>
        </w:rPr>
        <w:t>ا</w:t>
      </w:r>
      <w:r w:rsidRPr="005D642E">
        <w:rPr>
          <w:rtl/>
          <w:lang w:bidi="fa-IR"/>
        </w:rPr>
        <w:t xml:space="preserve"> عَلى مَنْ صَلّى</w:t>
      </w:r>
      <w:r>
        <w:rPr>
          <w:rtl/>
          <w:lang w:bidi="fa-IR"/>
        </w:rPr>
        <w:t>؟</w:t>
      </w:r>
      <w:r w:rsidRPr="005D642E">
        <w:rPr>
          <w:rtl/>
          <w:lang w:bidi="fa-IR"/>
        </w:rPr>
        <w:t xml:space="preserve"> فَنَقُو</w:t>
      </w:r>
      <w:r>
        <w:rPr>
          <w:rtl/>
          <w:lang w:bidi="fa-IR"/>
        </w:rPr>
        <w:t>لُ : نَعَمْ ، فَيَقُولُونَ : أَ</w:t>
      </w:r>
      <w:r w:rsidRPr="005D642E">
        <w:rPr>
          <w:rtl/>
          <w:lang w:bidi="fa-IR"/>
        </w:rPr>
        <w:t xml:space="preserve">رَأَيْتُمْ ، لَوْ أَنَّ رَجُلاً نَصْرَانِيّاً أَوْ يَهُودِيّاً أَسْلَمَ ، ثُمَّ مَاتَ مِنْ سَاعَتِهِ ، فَمَا الْجَوَابُ فِيهِ </w:t>
      </w:r>
      <w:r w:rsidRPr="007C12DB">
        <w:rPr>
          <w:rStyle w:val="libFootnotenumChar"/>
          <w:rtl/>
        </w:rPr>
        <w:t>(2)</w:t>
      </w:r>
      <w:r>
        <w:rPr>
          <w:rtl/>
          <w:lang w:bidi="fa-IR"/>
        </w:rPr>
        <w:t>؟</w:t>
      </w:r>
    </w:p>
    <w:p w:rsidR="00E3253D" w:rsidRPr="005D642E" w:rsidRDefault="00E3253D" w:rsidP="00E3253D">
      <w:pPr>
        <w:pStyle w:val="libNormal"/>
        <w:rPr>
          <w:rtl/>
          <w:lang w:bidi="fa-IR"/>
        </w:rPr>
      </w:pPr>
      <w:r>
        <w:rPr>
          <w:rtl/>
          <w:lang w:bidi="fa-IR"/>
        </w:rPr>
        <w:t>فَقَالَ : « قُولُوا لَهُمْ : أَ</w:t>
      </w:r>
      <w:r w:rsidRPr="005D642E">
        <w:rPr>
          <w:rtl/>
          <w:lang w:bidi="fa-IR"/>
        </w:rPr>
        <w:t xml:space="preserve">رَأَيْتَ لَوْ أَنَّ هذَا </w:t>
      </w:r>
      <w:r w:rsidRPr="007C12DB">
        <w:rPr>
          <w:rStyle w:val="libFootnotenumChar"/>
          <w:rtl/>
        </w:rPr>
        <w:t>(3)</w:t>
      </w:r>
      <w:r w:rsidRPr="005D642E">
        <w:rPr>
          <w:rtl/>
          <w:lang w:bidi="fa-IR"/>
        </w:rPr>
        <w:t xml:space="preserve"> الَّذِي أَسْلَمَ السَّاعَةَ ، ثُمَّ افْتَرى عَلى إِنْسَانٍ ، مَا </w:t>
      </w:r>
      <w:r w:rsidRPr="007C12DB">
        <w:rPr>
          <w:rStyle w:val="libFootnotenumChar"/>
          <w:rtl/>
        </w:rPr>
        <w:t>(4)</w:t>
      </w:r>
      <w:r w:rsidRPr="005D642E">
        <w:rPr>
          <w:rtl/>
          <w:lang w:bidi="fa-IR"/>
        </w:rPr>
        <w:t xml:space="preserve"> كَانَ </w:t>
      </w:r>
      <w:r w:rsidRPr="007C12DB">
        <w:rPr>
          <w:rStyle w:val="libFootnotenumChar"/>
          <w:rtl/>
        </w:rPr>
        <w:t>(5)</w:t>
      </w:r>
      <w:r w:rsidRPr="005D642E">
        <w:rPr>
          <w:rtl/>
          <w:lang w:bidi="fa-IR"/>
        </w:rPr>
        <w:t xml:space="preserve"> يَجِبُ عَلَيْهِ فِي فِرْيَتِهِ</w:t>
      </w:r>
      <w:r>
        <w:rPr>
          <w:rtl/>
          <w:lang w:bidi="fa-IR"/>
        </w:rPr>
        <w:t>؟</w:t>
      </w:r>
      <w:r w:rsidRPr="005D642E">
        <w:rPr>
          <w:rtl/>
          <w:lang w:bidi="fa-IR"/>
        </w:rPr>
        <w:t xml:space="preserve"> فَإِنَّهُمْ سَيَقُولُونَ : يَجِبُ عَلَيْهِ الْحَدُّ ، فَإِذَا قَالُوا هذَا ، قِيلَ لَهُمْ : فَلَوْ أَنَّ هذَا الصَّبِيَّ الَّذِي لَمْ يُصَلِّ افْتَرى عَلى إِنْسَانٍ هَلْ كَانَ يَجِبُ عَلَيْهِ الْحَدُّ</w:t>
      </w:r>
      <w:r>
        <w:rPr>
          <w:rtl/>
          <w:lang w:bidi="fa-IR"/>
        </w:rPr>
        <w:t>؟</w:t>
      </w:r>
      <w:r>
        <w:rPr>
          <w:rFonts w:hint="cs"/>
          <w:rtl/>
          <w:lang w:bidi="fa-IR"/>
        </w:rPr>
        <w:t xml:space="preserve"> </w:t>
      </w:r>
      <w:r w:rsidRPr="005D642E">
        <w:rPr>
          <w:rtl/>
          <w:lang w:bidi="fa-IR"/>
        </w:rPr>
        <w:t xml:space="preserve">فَإِنَّهُمْ سَيَقُولُونَ : لَا ، فَيُقَالُ لَهُمْ : صَدَقْتُمْ ، إِنَّمَا يَجِبُ أَنْ يُصَلّى عَلى مَنْ وَجَبَتْ </w:t>
      </w:r>
      <w:r w:rsidRPr="007C12DB">
        <w:rPr>
          <w:rStyle w:val="libFootnotenumChar"/>
          <w:rtl/>
        </w:rPr>
        <w:t>(6)</w:t>
      </w:r>
      <w:r w:rsidRPr="005D642E">
        <w:rPr>
          <w:rtl/>
          <w:lang w:bidi="fa-IR"/>
        </w:rPr>
        <w:t xml:space="preserve"> عَلَيْهِ الصَّلَاةُ وَالْحُدُودُ ، وَلَايُصَلّى عَلى مَنْ لَمْ تَجِبْ </w:t>
      </w:r>
      <w:r w:rsidRPr="007C12DB">
        <w:rPr>
          <w:rStyle w:val="libFootnotenumChar"/>
          <w:rtl/>
        </w:rPr>
        <w:t>(7)</w:t>
      </w:r>
      <w:r w:rsidRPr="005D642E">
        <w:rPr>
          <w:rtl/>
          <w:lang w:bidi="fa-IR"/>
        </w:rPr>
        <w:t xml:space="preserve"> عَلَيْهِ الصَّلَاةُ وَلَا</w:t>
      </w:r>
      <w:r>
        <w:rPr>
          <w:rFonts w:hint="cs"/>
          <w:rtl/>
          <w:lang w:bidi="fa-IR"/>
        </w:rPr>
        <w:t xml:space="preserve"> </w:t>
      </w:r>
      <w:r w:rsidRPr="005D642E">
        <w:rPr>
          <w:rtl/>
          <w:lang w:bidi="fa-IR"/>
        </w:rPr>
        <w:t>الْحُدُودُ</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Heading2Center"/>
        <w:rPr>
          <w:rtl/>
          <w:lang w:bidi="fa-IR"/>
        </w:rPr>
      </w:pPr>
      <w:bookmarkStart w:id="479" w:name="_Toc344647371"/>
      <w:bookmarkStart w:id="480" w:name="_Toc462226885"/>
      <w:bookmarkStart w:id="481" w:name="_Toc40975993"/>
      <w:r w:rsidRPr="005D642E">
        <w:rPr>
          <w:rtl/>
          <w:lang w:bidi="fa-IR"/>
        </w:rPr>
        <w:t>74</w:t>
      </w:r>
      <w:r>
        <w:rPr>
          <w:rtl/>
          <w:lang w:bidi="fa-IR"/>
        </w:rPr>
        <w:t xml:space="preserve"> </w:t>
      </w:r>
      <w:r w:rsidR="007642BC">
        <w:rPr>
          <w:rtl/>
          <w:lang w:bidi="fa-IR"/>
        </w:rPr>
        <w:t>-</w:t>
      </w:r>
      <w:r>
        <w:rPr>
          <w:rtl/>
          <w:lang w:bidi="fa-IR"/>
        </w:rPr>
        <w:t xml:space="preserve"> </w:t>
      </w:r>
      <w:r w:rsidRPr="005D642E">
        <w:rPr>
          <w:rtl/>
          <w:lang w:bidi="fa-IR"/>
        </w:rPr>
        <w:t xml:space="preserve">بَابُ الْغَرِيقِ وَالْمَصْعُوقِ </w:t>
      </w:r>
      <w:r w:rsidRPr="007C12DB">
        <w:rPr>
          <w:rStyle w:val="libFootnotenumChar"/>
          <w:rtl/>
        </w:rPr>
        <w:t>(9)</w:t>
      </w:r>
      <w:r w:rsidRPr="005D642E">
        <w:rPr>
          <w:rtl/>
          <w:lang w:bidi="fa-IR"/>
        </w:rPr>
        <w:t xml:space="preserve"> ‌</w:t>
      </w:r>
      <w:bookmarkEnd w:id="479"/>
      <w:bookmarkEnd w:id="480"/>
      <w:bookmarkEnd w:id="481"/>
    </w:p>
    <w:p w:rsidR="00E3253D" w:rsidRPr="005D642E" w:rsidRDefault="00E3253D" w:rsidP="00E3253D">
      <w:pPr>
        <w:pStyle w:val="libNormal"/>
        <w:rPr>
          <w:rtl/>
          <w:lang w:bidi="fa-IR"/>
        </w:rPr>
      </w:pPr>
      <w:r w:rsidRPr="006B7A65">
        <w:rPr>
          <w:rtl/>
        </w:rPr>
        <w:t>4607</w:t>
      </w:r>
      <w:r w:rsidRPr="00246318">
        <w:rPr>
          <w:rStyle w:val="libBold2Char"/>
          <w:rtl/>
        </w:rPr>
        <w:t xml:space="preserve"> / 1.</w:t>
      </w:r>
      <w:r w:rsidRPr="005D642E">
        <w:rPr>
          <w:rtl/>
          <w:lang w:bidi="fa-IR"/>
        </w:rPr>
        <w:t xml:space="preserve"> عَلِيُّ بْنُ إِبْرَاهِيمَ ، عَنْ أَبِيهِ ، عَنِ ابْنِ أَبِي عُمَيْرٍ ، عَنْ هِشَامِ بْنِ الْحَكَمِ :</w:t>
      </w:r>
    </w:p>
    <w:p w:rsidR="00E3253D" w:rsidRPr="005D642E" w:rsidRDefault="00E3253D" w:rsidP="00E3253D">
      <w:pPr>
        <w:pStyle w:val="libNormal0"/>
        <w:rPr>
          <w:rtl/>
          <w:lang w:bidi="fa-IR"/>
        </w:rPr>
      </w:pPr>
      <w:r w:rsidRPr="005D642E">
        <w:rPr>
          <w:rtl/>
          <w:lang w:bidi="fa-IR"/>
        </w:rPr>
        <w:t xml:space="preserve">عَنْ أَبِي الْحَسَنِ </w:t>
      </w:r>
      <w:r w:rsidRPr="007C12DB">
        <w:rPr>
          <w:rStyle w:val="libFootnotenumChar"/>
          <w:rtl/>
        </w:rPr>
        <w:t>(10)</w:t>
      </w:r>
      <w:r w:rsidRPr="005D642E">
        <w:rPr>
          <w:rtl/>
          <w:lang w:bidi="fa-IR"/>
        </w:rPr>
        <w:t xml:space="preserve"> </w:t>
      </w:r>
      <w:r w:rsidRPr="00AC51C5">
        <w:rPr>
          <w:rStyle w:val="libAlaemChar"/>
          <w:rtl/>
        </w:rPr>
        <w:t>عليه‌السلام</w:t>
      </w:r>
      <w:r w:rsidRPr="005D642E">
        <w:rPr>
          <w:rtl/>
          <w:lang w:bidi="fa-IR"/>
        </w:rPr>
        <w:t xml:space="preserve"> فِي الْمَصْعُوقِ وَالْغَرِيقِ ، قَالَ : « يُنْتَظَرُ </w:t>
      </w:r>
      <w:r w:rsidR="00370F76">
        <w:rPr>
          <w:rtl/>
          <w:lang w:bidi="fa-IR"/>
        </w:rPr>
        <w:t>بِهِ ثَلَاثَةَ أَيَّامٍ ، إِل</w:t>
      </w:r>
      <w:r w:rsidR="00370F76">
        <w:rPr>
          <w:rFonts w:hint="cs"/>
          <w:rtl/>
          <w:lang w:bidi="fa-IR"/>
        </w:rPr>
        <w:t>َّ</w:t>
      </w:r>
      <w:r w:rsidR="00370F76">
        <w:rPr>
          <w:rtl/>
          <w:lang w:bidi="fa-IR"/>
        </w:rPr>
        <w:t>ا</w:t>
      </w:r>
      <w:r w:rsidRPr="005D642E">
        <w:rPr>
          <w:rtl/>
          <w:lang w:bidi="fa-IR"/>
        </w:rPr>
        <w:t xml:space="preserve"> أَنْ‌</w:t>
      </w:r>
      <w:r>
        <w:rPr>
          <w:rFonts w:hint="cs"/>
          <w:rtl/>
          <w:lang w:bidi="fa-IR"/>
        </w:rPr>
        <w:t xml:space="preserve"> </w:t>
      </w:r>
      <w:r w:rsidRPr="005D642E">
        <w:rPr>
          <w:rtl/>
          <w:lang w:bidi="fa-IR"/>
        </w:rPr>
        <w:t xml:space="preserve">يَتَغَيَّرَ قَبْلَ ذلِكَ </w:t>
      </w:r>
      <w:r w:rsidRPr="007C12DB">
        <w:rPr>
          <w:rStyle w:val="libFootnotenumChar"/>
          <w:rtl/>
        </w:rPr>
        <w:t>(</w:t>
      </w:r>
      <w:r w:rsidRPr="007C12DB">
        <w:rPr>
          <w:rStyle w:val="libFootnotenumChar"/>
          <w:rFonts w:hint="cs"/>
          <w:rtl/>
        </w:rPr>
        <w:t>1</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1</w:t>
      </w:r>
      <w:r w:rsidRPr="007C12DB">
        <w:rPr>
          <w:rStyle w:val="libFootnotenumChar"/>
          <w:rtl/>
        </w:rPr>
        <w:t>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11414" w:rsidTr="00311414">
        <w:tc>
          <w:tcPr>
            <w:tcW w:w="4006" w:type="dxa"/>
          </w:tcPr>
          <w:p w:rsidR="00311414" w:rsidRDefault="00311414" w:rsidP="00E3253D">
            <w:pPr>
              <w:pStyle w:val="libFootnote0"/>
              <w:rPr>
                <w:rStyle w:val="libFootnote0Char"/>
                <w:rtl/>
              </w:rPr>
            </w:pPr>
            <w:r w:rsidRPr="0042621E">
              <w:rPr>
                <w:rStyle w:val="libFootnote0Char"/>
                <w:rtl/>
              </w:rPr>
              <w:t>(1).</w:t>
            </w:r>
            <w:r>
              <w:rPr>
                <w:rtl/>
              </w:rPr>
              <w:t xml:space="preserve"> </w:t>
            </w:r>
            <w:r w:rsidRPr="005D642E">
              <w:rPr>
                <w:rtl/>
              </w:rPr>
              <w:t>في « جن » : « أو يردّون</w:t>
            </w:r>
            <w:r>
              <w:rPr>
                <w:rtl/>
              </w:rPr>
              <w:t xml:space="preserve"> ».</w:t>
            </w:r>
          </w:p>
        </w:tc>
        <w:tc>
          <w:tcPr>
            <w:tcW w:w="4006" w:type="dxa"/>
          </w:tcPr>
          <w:p w:rsidR="00311414" w:rsidRDefault="00311414" w:rsidP="00E3253D">
            <w:pPr>
              <w:pStyle w:val="libFootnote0"/>
              <w:rPr>
                <w:rStyle w:val="libFootnote0Char"/>
                <w:rtl/>
              </w:rPr>
            </w:pPr>
            <w:r w:rsidRPr="0042621E">
              <w:rPr>
                <w:rStyle w:val="libFootnote0Char"/>
                <w:rtl/>
              </w:rPr>
              <w:t>(2).</w:t>
            </w:r>
            <w:r w:rsidRPr="005D642E">
              <w:rPr>
                <w:rtl/>
              </w:rPr>
              <w:t xml:space="preserve"> في « بف » :</w:t>
            </w:r>
            <w:r>
              <w:rPr>
                <w:rtl/>
              </w:rPr>
              <w:t xml:space="preserve"> - </w:t>
            </w:r>
            <w:r w:rsidRPr="005D642E">
              <w:rPr>
                <w:rtl/>
              </w:rPr>
              <w:t>« فيه</w:t>
            </w:r>
            <w:r>
              <w:rPr>
                <w:rtl/>
              </w:rPr>
              <w:t xml:space="preserve"> ».</w:t>
            </w:r>
          </w:p>
        </w:tc>
      </w:tr>
      <w:tr w:rsidR="00311414" w:rsidTr="00311414">
        <w:tc>
          <w:tcPr>
            <w:tcW w:w="4006" w:type="dxa"/>
          </w:tcPr>
          <w:p w:rsidR="00311414" w:rsidRDefault="00311414" w:rsidP="00E3253D">
            <w:pPr>
              <w:pStyle w:val="libFootnote0"/>
              <w:rPr>
                <w:rStyle w:val="libFootnote0Char"/>
                <w:rtl/>
              </w:rPr>
            </w:pPr>
            <w:r w:rsidRPr="0042621E">
              <w:rPr>
                <w:rStyle w:val="libFootnote0Char"/>
                <w:rtl/>
              </w:rPr>
              <w:t>(3).</w:t>
            </w:r>
            <w:r w:rsidRPr="005D642E">
              <w:rPr>
                <w:rtl/>
              </w:rPr>
              <w:t xml:space="preserve"> في « جن » :</w:t>
            </w:r>
            <w:r>
              <w:rPr>
                <w:rtl/>
              </w:rPr>
              <w:t xml:space="preserve"> - </w:t>
            </w:r>
            <w:r w:rsidRPr="005D642E">
              <w:rPr>
                <w:rtl/>
              </w:rPr>
              <w:t>« هذا</w:t>
            </w:r>
            <w:r>
              <w:rPr>
                <w:rtl/>
              </w:rPr>
              <w:t xml:space="preserve"> ».</w:t>
            </w:r>
          </w:p>
        </w:tc>
        <w:tc>
          <w:tcPr>
            <w:tcW w:w="4006" w:type="dxa"/>
          </w:tcPr>
          <w:p w:rsidR="00311414" w:rsidRDefault="00311414" w:rsidP="00E3253D">
            <w:pPr>
              <w:pStyle w:val="libFootnote0"/>
              <w:rPr>
                <w:rStyle w:val="libFootnote0Char"/>
                <w:rtl/>
              </w:rPr>
            </w:pPr>
            <w:r w:rsidRPr="0042621E">
              <w:rPr>
                <w:rStyle w:val="libFootnote0Char"/>
                <w:rtl/>
              </w:rPr>
              <w:t>(4).</w:t>
            </w:r>
            <w:r w:rsidRPr="005D642E">
              <w:rPr>
                <w:rtl/>
              </w:rPr>
              <w:t xml:space="preserve"> في التهذيب : « هل » بدل « ما</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كان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w:t>
      </w:r>
      <w:r w:rsidR="00312BD7">
        <w:rPr>
          <w:rtl/>
        </w:rPr>
        <w:t>في « ى ، بث ، جس » والمطبوع : «</w:t>
      </w:r>
      <w:r w:rsidR="00E3253D" w:rsidRPr="005D642E">
        <w:rPr>
          <w:rtl/>
        </w:rPr>
        <w:t>وجب</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بح ، جس » : « لاتجب</w:t>
      </w:r>
      <w:r w:rsidR="00E3253D">
        <w:rPr>
          <w:rtl/>
        </w:rPr>
        <w:t xml:space="preserve"> ».</w:t>
      </w:r>
      <w:r w:rsidR="00E3253D" w:rsidRPr="005D642E">
        <w:rPr>
          <w:rtl/>
        </w:rPr>
        <w:t xml:space="preserve"> وفي « غ ، ى ، بث » : « لم يجب</w:t>
      </w:r>
      <w:r w:rsidR="00E3253D">
        <w:rPr>
          <w:rtl/>
        </w:rPr>
        <w:t xml:space="preserve"> ».</w:t>
      </w:r>
      <w:r w:rsidR="00E3253D" w:rsidRPr="005D642E">
        <w:rPr>
          <w:rtl/>
        </w:rPr>
        <w:t xml:space="preserve"> وفي « بخ » : « لايجب</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332 ، ح 1039 ، معلّقاً عن الكليني ، عن عليّ بن محمّد ، عن عليّ بن شيرة </w:t>
      </w:r>
      <w:r w:rsidR="00EC74E6">
        <w:rPr>
          <w:rFonts w:hint="cs"/>
          <w:rtl/>
        </w:rPr>
        <w:t>.</w:t>
      </w:r>
      <w:r w:rsidR="00E3253D" w:rsidRPr="002F4D34">
        <w:rPr>
          <w:rStyle w:val="libFootnoteBoldChar"/>
          <w:rtl/>
        </w:rPr>
        <w:t>الوافي</w:t>
      </w:r>
      <w:r w:rsidR="00E3253D" w:rsidRPr="005D642E">
        <w:rPr>
          <w:rtl/>
        </w:rPr>
        <w:t xml:space="preserve"> ، ج 25 ، ص 495 ، ح 24501 ؛ </w:t>
      </w:r>
      <w:r w:rsidR="00E3253D" w:rsidRPr="002F4D34">
        <w:rPr>
          <w:rStyle w:val="libFootnoteBoldChar"/>
          <w:rtl/>
        </w:rPr>
        <w:t>الوسائل</w:t>
      </w:r>
      <w:r w:rsidR="00E3253D" w:rsidRPr="005D642E">
        <w:rPr>
          <w:rtl/>
        </w:rPr>
        <w:t xml:space="preserve"> ، ج 3 ، ص 100 ، ح 3130.</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المصعوق » : من أصابته الصاعقة ، والذي غشي عليه. راجع : </w:t>
      </w:r>
      <w:r w:rsidR="00E3253D" w:rsidRPr="002F4D34">
        <w:rPr>
          <w:rStyle w:val="libFootnoteBoldChar"/>
          <w:rtl/>
        </w:rPr>
        <w:t>القاموس المحيط</w:t>
      </w:r>
      <w:r w:rsidR="00E3253D">
        <w:rPr>
          <w:rtl/>
        </w:rPr>
        <w:t xml:space="preserve"> ، ج 2 ، ص 1195 ( صعق )</w:t>
      </w:r>
      <w:r w:rsidR="00E3253D" w:rsidRPr="005D642E">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w:t>
      </w:r>
      <w:r w:rsidR="00B60612" w:rsidRPr="00B60612">
        <w:rPr>
          <w:rStyle w:val="libFootnoteBoldChar"/>
          <w:rtl/>
        </w:rPr>
        <w:t>والتهذيب</w:t>
      </w:r>
      <w:r w:rsidR="00E3253D" w:rsidRPr="005D642E">
        <w:rPr>
          <w:rtl/>
        </w:rPr>
        <w:t>. وفي المطبوع : + « [ الأوّل ]</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Pr>
          <w:rtl/>
        </w:rPr>
        <w:t xml:space="preserve"> </w:t>
      </w:r>
      <w:r w:rsidR="00E3253D" w:rsidRPr="005D642E">
        <w:rPr>
          <w:rtl/>
        </w:rPr>
        <w:t>في « بخ » :</w:t>
      </w:r>
      <w:r w:rsidR="00E3253D">
        <w:rPr>
          <w:rtl/>
        </w:rPr>
        <w:t xml:space="preserve"> </w:t>
      </w:r>
      <w:r w:rsidR="007642BC">
        <w:rPr>
          <w:rtl/>
        </w:rPr>
        <w:t>-</w:t>
      </w:r>
      <w:r w:rsidR="00E3253D">
        <w:rPr>
          <w:rtl/>
        </w:rPr>
        <w:t xml:space="preserve"> </w:t>
      </w:r>
      <w:r w:rsidR="00E3253D" w:rsidRPr="005D642E">
        <w:rPr>
          <w:rtl/>
        </w:rPr>
        <w:t>« ذلك</w:t>
      </w:r>
      <w:r w:rsidR="00E3253D">
        <w:rPr>
          <w:rtl/>
        </w:rPr>
        <w:t xml:space="preserve"> ».</w:t>
      </w:r>
    </w:p>
    <w:p w:rsidR="00E3253D" w:rsidRDefault="0042621E" w:rsidP="00E3253D">
      <w:pPr>
        <w:pStyle w:val="libFootnote0"/>
        <w:rPr>
          <w:rtl/>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338 ، ح 992 ، بسنده عن الكليني. </w:t>
      </w:r>
      <w:r w:rsidR="00E3253D" w:rsidRPr="002F4D34">
        <w:rPr>
          <w:rStyle w:val="libFootnoteBoldChar"/>
          <w:rtl/>
        </w:rPr>
        <w:t>وفيه</w:t>
      </w:r>
      <w:r w:rsidR="00E3253D" w:rsidRPr="005D642E">
        <w:rPr>
          <w:rtl/>
        </w:rPr>
        <w:t xml:space="preserve"> ، ضمن ح 991 ، بسند آخر ، من دون الإسناد </w:t>
      </w:r>
      <w:r w:rsidR="001A6AF6">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B7A65">
        <w:rPr>
          <w:rtl/>
        </w:rPr>
        <w:t>4608</w:t>
      </w:r>
      <w:r w:rsidRPr="00246318">
        <w:rPr>
          <w:rStyle w:val="libBold2Char"/>
          <w:rtl/>
        </w:rPr>
        <w:t xml:space="preserve"> / 2.</w:t>
      </w:r>
      <w:r w:rsidRPr="005D642E">
        <w:rPr>
          <w:rtl/>
          <w:lang w:bidi="fa-IR"/>
        </w:rPr>
        <w:t xml:space="preserve"> مُحَمَّدُ بْنُ يَحْيى ، عَنْ أَحْمَدَ بْنِ مُحَمَّدِ بْنِ عِيسى ، عَنْ عَلِيِّ بْنِ الْحَكَمِ ، عَنْ سَيْفِ بْنِ عَمِيرَةَ ، عَنْ إِسْحَاقَ بْنِ عَمَّارٍ ، قَالَ :</w:t>
      </w:r>
    </w:p>
    <w:p w:rsidR="00E3253D" w:rsidRPr="005D642E" w:rsidRDefault="00E3253D" w:rsidP="00E3253D">
      <w:pPr>
        <w:pStyle w:val="libNormal"/>
        <w:rPr>
          <w:rtl/>
          <w:lang w:bidi="fa-IR"/>
        </w:rPr>
      </w:pPr>
      <w:r w:rsidRPr="005D642E">
        <w:rPr>
          <w:rtl/>
          <w:lang w:bidi="fa-IR"/>
        </w:rPr>
        <w:t xml:space="preserve">سَأَلْتُهُ </w:t>
      </w:r>
      <w:r w:rsidRPr="007C12DB">
        <w:rPr>
          <w:rStyle w:val="libFootnotenumChar"/>
          <w:rtl/>
        </w:rPr>
        <w:t>(</w:t>
      </w:r>
      <w:r w:rsidRPr="007C12DB">
        <w:rPr>
          <w:rStyle w:val="libFootnotenumChar"/>
          <w:rFonts w:hint="cs"/>
          <w:rtl/>
        </w:rPr>
        <w:t>1</w:t>
      </w:r>
      <w:r w:rsidRPr="007C12DB">
        <w:rPr>
          <w:rStyle w:val="libFootnotenumChar"/>
          <w:rtl/>
        </w:rPr>
        <w:t>)</w:t>
      </w:r>
      <w:r>
        <w:rPr>
          <w:rtl/>
          <w:lang w:bidi="fa-IR"/>
        </w:rPr>
        <w:t xml:space="preserve"> عَنِ الْغَرِيقِ : أَ</w:t>
      </w:r>
      <w:r w:rsidRPr="005D642E">
        <w:rPr>
          <w:rtl/>
          <w:lang w:bidi="fa-IR"/>
        </w:rPr>
        <w:t>يُغَسَّلُ</w:t>
      </w:r>
      <w:r>
        <w:rPr>
          <w:rtl/>
          <w:lang w:bidi="fa-IR"/>
        </w:rPr>
        <w:t>؟</w:t>
      </w:r>
      <w:r w:rsidRPr="005D642E">
        <w:rPr>
          <w:rtl/>
          <w:lang w:bidi="fa-IR"/>
        </w:rPr>
        <w:t xml:space="preserve"> قَالَ : « نَعَمْ ، وَيُسْتَبْرَأُ</w:t>
      </w:r>
      <w:r>
        <w:rPr>
          <w:rtl/>
          <w:lang w:bidi="fa-IR"/>
        </w:rPr>
        <w:t xml:space="preserve"> ».</w:t>
      </w:r>
      <w:r w:rsidRPr="005D642E">
        <w:rPr>
          <w:rtl/>
          <w:lang w:bidi="fa-IR"/>
        </w:rPr>
        <w:t xml:space="preserve"> قُلْتُ : وَكَيْفَ يُسْتَبْرَأُ</w:t>
      </w:r>
      <w:r>
        <w:rPr>
          <w:rtl/>
          <w:lang w:bidi="fa-IR"/>
        </w:rPr>
        <w:t>؟</w:t>
      </w:r>
      <w:r w:rsidRPr="005D642E">
        <w:rPr>
          <w:rtl/>
          <w:lang w:bidi="fa-IR"/>
        </w:rPr>
        <w:t xml:space="preserve"> قَالَ :</w:t>
      </w:r>
      <w:r>
        <w:rPr>
          <w:rFonts w:hint="cs"/>
          <w:rtl/>
          <w:lang w:bidi="fa-IR"/>
        </w:rPr>
        <w:t xml:space="preserve"> </w:t>
      </w:r>
      <w:r w:rsidRPr="005D642E">
        <w:rPr>
          <w:rtl/>
          <w:lang w:bidi="fa-IR"/>
        </w:rPr>
        <w:t xml:space="preserve">« يُتْرَكُ ثَلَاثَةَ أَيَّامٍ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قَبْلَ أَنْ يُدْفَنَ ، وَكَذلِكَ أَيْضاً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صَاحِبُ الصَّاعِقَةِ ؛ فَإِنَّهُ </w:t>
      </w:r>
      <w:r w:rsidRPr="007C12DB">
        <w:rPr>
          <w:rStyle w:val="libFootnotenumChar"/>
          <w:rtl/>
        </w:rPr>
        <w:t>(</w:t>
      </w:r>
      <w:r w:rsidRPr="007C12DB">
        <w:rPr>
          <w:rStyle w:val="libFootnotenumChar"/>
          <w:rFonts w:hint="cs"/>
          <w:rtl/>
        </w:rPr>
        <w:t>4</w:t>
      </w:r>
      <w:r w:rsidRPr="007C12DB">
        <w:rPr>
          <w:rStyle w:val="libFootnotenumChar"/>
          <w:rtl/>
        </w:rPr>
        <w:t>)</w:t>
      </w:r>
      <w:r w:rsidRPr="005D642E">
        <w:rPr>
          <w:rtl/>
          <w:lang w:bidi="fa-IR"/>
        </w:rPr>
        <w:t xml:space="preserve"> رُبَّمَا ظَنُّوا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أَنَّهُ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مَاتَ وَلَمْ يَمُتْ</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6B7A65">
        <w:rPr>
          <w:rtl/>
        </w:rPr>
        <w:t>4609</w:t>
      </w:r>
      <w:r w:rsidRPr="00246318">
        <w:rPr>
          <w:rStyle w:val="libBold2Char"/>
          <w:rtl/>
        </w:rPr>
        <w:t xml:space="preserve"> / 3.</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كَانَ أَمِيرُ الْمُؤْمِنِينَ </w:t>
      </w:r>
      <w:r w:rsidRPr="00AC51C5">
        <w:rPr>
          <w:rStyle w:val="libAlaemChar"/>
          <w:rtl/>
        </w:rPr>
        <w:t>عليه‌السلام</w:t>
      </w:r>
      <w:r w:rsidRPr="005D642E">
        <w:rPr>
          <w:rtl/>
          <w:lang w:bidi="fa-IR"/>
        </w:rPr>
        <w:t xml:space="preserve"> يَقُولُ : الْغَرِيقُ يُغَسَّلُ</w:t>
      </w:r>
      <w:r>
        <w:rPr>
          <w:rtl/>
          <w:lang w:bidi="fa-IR"/>
        </w:rPr>
        <w:t xml:space="preserve"> ».</w:t>
      </w:r>
      <w:r w:rsidRPr="005D642E">
        <w:rPr>
          <w:rtl/>
          <w:lang w:bidi="fa-IR"/>
        </w:rPr>
        <w:t xml:space="preserve">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6B7A65">
        <w:rPr>
          <w:rtl/>
        </w:rPr>
        <w:t>4610</w:t>
      </w:r>
      <w:r w:rsidRPr="00246318">
        <w:rPr>
          <w:rStyle w:val="libBold2Char"/>
          <w:rtl/>
        </w:rPr>
        <w:t xml:space="preserve"> / 4.</w:t>
      </w:r>
      <w:r w:rsidRPr="005D642E">
        <w:rPr>
          <w:rtl/>
          <w:lang w:bidi="fa-IR"/>
        </w:rPr>
        <w:t xml:space="preserve"> مُحَمَّدُ بْنُ يَحْيى ، عَنْ مُحَمَّدِ بْنِ أَحْمَدَ ، عَنْ أَحْمَدَ بْنِ الْحَسَنِ ، عَنْ عَمْرِو بْنِ سَعِيدٍ ، عَنْ مُصَدِّقِ بْنِ صَدَقَةَ ، عَنْ عَمَّارٍ </w:t>
      </w:r>
      <w:r w:rsidRPr="007C12DB">
        <w:rPr>
          <w:rStyle w:val="libFootnotenumChar"/>
          <w:rtl/>
        </w:rPr>
        <w:t>(</w:t>
      </w:r>
      <w:r w:rsidRPr="007C12DB">
        <w:rPr>
          <w:rStyle w:val="libFootnotenumChar"/>
          <w:rFonts w:hint="cs"/>
          <w:rtl/>
        </w:rPr>
        <w:t>9</w:t>
      </w:r>
      <w:r w:rsidRPr="007C12DB">
        <w:rPr>
          <w:rStyle w:val="libFootnotenumChar"/>
          <w:rtl/>
        </w:rPr>
        <w:t>)</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الْغَرِيقُ يُحْبَسُ حَتّى يَتَغَيَّرَ </w:t>
      </w:r>
      <w:r w:rsidRPr="007C12DB">
        <w:rPr>
          <w:rStyle w:val="libFootnotenumChar"/>
          <w:rtl/>
        </w:rPr>
        <w:t>(1</w:t>
      </w:r>
      <w:r w:rsidRPr="007C12DB">
        <w:rPr>
          <w:rStyle w:val="libFootnotenumChar"/>
          <w:rFonts w:hint="cs"/>
          <w:rtl/>
        </w:rPr>
        <w:t>0</w:t>
      </w:r>
      <w:r w:rsidRPr="007C12DB">
        <w:rPr>
          <w:rStyle w:val="libFootnotenumChar"/>
          <w:rtl/>
        </w:rPr>
        <w:t>)</w:t>
      </w:r>
      <w:r w:rsidRPr="005D642E">
        <w:rPr>
          <w:rtl/>
          <w:lang w:bidi="fa-IR"/>
        </w:rPr>
        <w:t xml:space="preserve"> ، وَيُعْلَمَ أَنَّهُ قَدْ مَاتَ ، ثُمَّ يُغَسَّلُ ، وَيُكَفَّنُ</w:t>
      </w:r>
      <w:r>
        <w:rPr>
          <w:rtl/>
          <w:lang w:bidi="fa-IR"/>
        </w:rPr>
        <w:t xml:space="preserve"> ».</w:t>
      </w:r>
    </w:p>
    <w:p w:rsidR="00E3253D" w:rsidRPr="005D642E" w:rsidRDefault="00E3253D" w:rsidP="00E3253D">
      <w:pPr>
        <w:pStyle w:val="libNormal"/>
        <w:rPr>
          <w:rtl/>
          <w:lang w:bidi="fa-IR"/>
        </w:rPr>
      </w:pPr>
      <w:r w:rsidRPr="005D642E">
        <w:rPr>
          <w:rtl/>
          <w:lang w:bidi="fa-IR"/>
        </w:rPr>
        <w:t>قَالَ : وَسُئِلَ عَنِ الْمَصْعُوقِ ، فَقَالَ : « إِذَا صُعِقَ حُبِسَ يَوْمَيْنِ ، ثُمَّ يُغَسَّلُ وَيُكَفَّنُ</w:t>
      </w:r>
      <w:r>
        <w:rPr>
          <w:rtl/>
          <w:lang w:bidi="fa-IR"/>
        </w:rPr>
        <w:t xml:space="preserve"> ».</w:t>
      </w:r>
      <w:r w:rsidRPr="005D642E">
        <w:rPr>
          <w:rtl/>
          <w:lang w:bidi="fa-IR"/>
        </w:rPr>
        <w:t xml:space="preserve"> </w:t>
      </w:r>
      <w:r w:rsidRPr="007C12DB">
        <w:rPr>
          <w:rStyle w:val="libFootnotenumChar"/>
          <w:rtl/>
        </w:rPr>
        <w:t>(1</w:t>
      </w:r>
      <w:r w:rsidRPr="007C12DB">
        <w:rPr>
          <w:rStyle w:val="libFootnotenumChar"/>
          <w:rFonts w:hint="cs"/>
          <w:rtl/>
        </w:rPr>
        <w:t>1</w:t>
      </w:r>
      <w:r w:rsidRPr="007C12DB">
        <w:rPr>
          <w:rStyle w:val="libFootnotenumChar"/>
          <w:rtl/>
        </w:rPr>
        <w:t>)</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9A4694" w:rsidP="00E3253D">
      <w:pPr>
        <w:pStyle w:val="libFootnote0"/>
        <w:rPr>
          <w:rtl/>
          <w:lang w:bidi="fa-IR"/>
        </w:rPr>
      </w:pPr>
      <w:r>
        <w:rPr>
          <w:rFonts w:hint="cs"/>
          <w:rtl/>
        </w:rPr>
        <w:t xml:space="preserve">= </w:t>
      </w:r>
      <w:r w:rsidR="00E3253D" w:rsidRPr="005D642E">
        <w:rPr>
          <w:rtl/>
        </w:rPr>
        <w:t xml:space="preserve">إلى المعصوم </w:t>
      </w:r>
      <w:r w:rsidR="00E3253D" w:rsidRPr="004E2DD2">
        <w:rPr>
          <w:rStyle w:val="libFootnoteAlaemChar"/>
          <w:rtl/>
        </w:rPr>
        <w:t>عليه‌السلام</w:t>
      </w:r>
      <w:r w:rsidR="00E3253D" w:rsidRPr="005D642E">
        <w:rPr>
          <w:rtl/>
        </w:rPr>
        <w:t xml:space="preserve"> ، مع اختلاف يسير </w:t>
      </w:r>
      <w:r w:rsidR="004E2DD2">
        <w:rPr>
          <w:rFonts w:hint="cs"/>
          <w:rtl/>
        </w:rPr>
        <w:t>.</w:t>
      </w:r>
      <w:r w:rsidR="00E3253D" w:rsidRPr="002F4D34">
        <w:rPr>
          <w:rStyle w:val="libFootnoteBoldChar"/>
          <w:rtl/>
        </w:rPr>
        <w:t>الوافي</w:t>
      </w:r>
      <w:r w:rsidR="00E3253D" w:rsidRPr="005D642E">
        <w:rPr>
          <w:rtl/>
        </w:rPr>
        <w:t xml:space="preserve"> ، ج 24 ، ص 343 ، ح 24171 ؛ </w:t>
      </w:r>
      <w:r w:rsidR="00E3253D" w:rsidRPr="002F4D34">
        <w:rPr>
          <w:rStyle w:val="libFootnoteBoldChar"/>
          <w:rtl/>
        </w:rPr>
        <w:t>الوسائل</w:t>
      </w:r>
      <w:r w:rsidR="00E3253D" w:rsidRPr="005D642E">
        <w:rPr>
          <w:rtl/>
        </w:rPr>
        <w:t xml:space="preserve"> ، ج 2 ، ص 474 ، ح 2684.</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الوسائل ، ح 2686 : + « يعني أباعبدالله </w:t>
      </w:r>
      <w:r w:rsidR="00E3253D" w:rsidRPr="004E2DD2">
        <w:rPr>
          <w:rStyle w:val="libFootnoteAlaemChar"/>
          <w:rtl/>
        </w:rPr>
        <w:t>عليه‌السلام</w:t>
      </w:r>
      <w:r w:rsidR="00E3253D">
        <w:rPr>
          <w:rtl/>
        </w:rPr>
        <w:t xml:space="preserve"> ».</w:t>
      </w:r>
      <w:r w:rsidR="00E3253D" w:rsidRPr="005D642E">
        <w:rPr>
          <w:rtl/>
        </w:rPr>
        <w:t xml:space="preserve"> وفي التهذيب : « سألت أبا عبدالله </w:t>
      </w:r>
      <w:r w:rsidR="00E3253D" w:rsidRPr="004E2DD2">
        <w:rPr>
          <w:rStyle w:val="libFootnoteAlaemChar"/>
          <w:rtl/>
        </w:rPr>
        <w:t>عليه‌السلام</w:t>
      </w:r>
      <w:r w:rsidR="00E3253D" w:rsidRPr="005D642E">
        <w:rPr>
          <w:rtl/>
        </w:rPr>
        <w:t xml:space="preserve"> » بدل « سألته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E2DD2" w:rsidTr="004E2DD2">
        <w:tc>
          <w:tcPr>
            <w:tcW w:w="4006" w:type="dxa"/>
          </w:tcPr>
          <w:p w:rsidR="004E2DD2" w:rsidRDefault="004E2DD2" w:rsidP="00E3253D">
            <w:pPr>
              <w:pStyle w:val="libFootnote0"/>
              <w:rPr>
                <w:rStyle w:val="libFootnote0Char"/>
                <w:rtl/>
              </w:rPr>
            </w:pPr>
            <w:r w:rsidRPr="0042621E">
              <w:rPr>
                <w:rStyle w:val="libFootnote0Char"/>
                <w:rtl/>
              </w:rPr>
              <w:t>(2).</w:t>
            </w:r>
            <w:r w:rsidRPr="005D642E">
              <w:rPr>
                <w:rtl/>
              </w:rPr>
              <w:t xml:space="preserve"> في « بخ ، بف » : + « من</w:t>
            </w:r>
            <w:r>
              <w:rPr>
                <w:rtl/>
              </w:rPr>
              <w:t xml:space="preserve"> ».</w:t>
            </w:r>
          </w:p>
        </w:tc>
        <w:tc>
          <w:tcPr>
            <w:tcW w:w="4006" w:type="dxa"/>
          </w:tcPr>
          <w:p w:rsidR="004E2DD2" w:rsidRDefault="004E2DD2" w:rsidP="00E3253D">
            <w:pPr>
              <w:pStyle w:val="libFootnote0"/>
              <w:rPr>
                <w:rStyle w:val="libFootnote0Char"/>
                <w:rtl/>
              </w:rPr>
            </w:pPr>
            <w:r w:rsidRPr="0042621E">
              <w:rPr>
                <w:rStyle w:val="libFootnote0Char"/>
                <w:rtl/>
              </w:rPr>
              <w:t>(3).</w:t>
            </w:r>
            <w:r w:rsidRPr="005D642E">
              <w:rPr>
                <w:rtl/>
              </w:rPr>
              <w:t xml:space="preserve"> في « ظ » </w:t>
            </w:r>
            <w:r w:rsidRPr="00B60612">
              <w:rPr>
                <w:rStyle w:val="libFootnoteBoldChar"/>
                <w:rtl/>
              </w:rPr>
              <w:t>والتهذيب</w:t>
            </w:r>
            <w:r w:rsidRPr="005D642E">
              <w:rPr>
                <w:rtl/>
              </w:rPr>
              <w:t xml:space="preserve"> :</w:t>
            </w:r>
            <w:r>
              <w:rPr>
                <w:rtl/>
              </w:rPr>
              <w:t xml:space="preserve"> - </w:t>
            </w:r>
            <w:r w:rsidRPr="005D642E">
              <w:rPr>
                <w:rtl/>
              </w:rPr>
              <w:t>« أيضاً</w:t>
            </w:r>
            <w:r>
              <w:rPr>
                <w:rtl/>
              </w:rPr>
              <w:t xml:space="preserve"> ».</w:t>
            </w:r>
          </w:p>
        </w:tc>
      </w:tr>
      <w:tr w:rsidR="004E2DD2" w:rsidTr="004E2DD2">
        <w:tc>
          <w:tcPr>
            <w:tcW w:w="4006" w:type="dxa"/>
          </w:tcPr>
          <w:p w:rsidR="004E2DD2" w:rsidRDefault="00D9382C" w:rsidP="00E3253D">
            <w:pPr>
              <w:pStyle w:val="libFootnote0"/>
              <w:rPr>
                <w:rStyle w:val="libFootnote0Char"/>
                <w:rtl/>
              </w:rPr>
            </w:pPr>
            <w:r w:rsidRPr="0042621E">
              <w:rPr>
                <w:rStyle w:val="libFootnote0Char"/>
                <w:rtl/>
              </w:rPr>
              <w:t>(4).</w:t>
            </w:r>
            <w:r w:rsidRPr="005D642E">
              <w:rPr>
                <w:rtl/>
              </w:rPr>
              <w:t xml:space="preserve"> في « بح ، جح » وحاشية « بس » : « فإنّهم</w:t>
            </w:r>
            <w:r>
              <w:rPr>
                <w:rtl/>
              </w:rPr>
              <w:t xml:space="preserve"> ».</w:t>
            </w:r>
          </w:p>
        </w:tc>
        <w:tc>
          <w:tcPr>
            <w:tcW w:w="4006" w:type="dxa"/>
          </w:tcPr>
          <w:p w:rsidR="004E2DD2" w:rsidRDefault="000136D4" w:rsidP="00E3253D">
            <w:pPr>
              <w:pStyle w:val="libFootnote0"/>
              <w:rPr>
                <w:rStyle w:val="libFootnote0Char"/>
                <w:rtl/>
              </w:rPr>
            </w:pPr>
            <w:r w:rsidRPr="0042621E">
              <w:rPr>
                <w:rStyle w:val="libFootnote0Char"/>
                <w:rtl/>
              </w:rPr>
              <w:t>(5).</w:t>
            </w:r>
            <w:r w:rsidRPr="005D642E">
              <w:rPr>
                <w:rtl/>
              </w:rPr>
              <w:t xml:space="preserve"> في حاشية « بخ » </w:t>
            </w:r>
            <w:r w:rsidRPr="00B60612">
              <w:rPr>
                <w:rStyle w:val="libFootnoteBoldChar"/>
                <w:rtl/>
              </w:rPr>
              <w:t>والتهذيب</w:t>
            </w:r>
            <w:r w:rsidRPr="005D642E">
              <w:rPr>
                <w:rtl/>
              </w:rPr>
              <w:t xml:space="preserve"> : « ظنّ</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بف » : + « قد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338 ، ح 990 ، بسنده عن عليّ بن الحكم ، مع اختلاف يسير وزيادة. وراجع : </w:t>
      </w:r>
      <w:r w:rsidR="00E3253D" w:rsidRPr="002F4D34">
        <w:rPr>
          <w:rStyle w:val="libFootnoteBoldChar"/>
          <w:rtl/>
        </w:rPr>
        <w:t>الجعفريّات</w:t>
      </w:r>
      <w:r w:rsidR="00E3253D" w:rsidRPr="005D642E">
        <w:rPr>
          <w:rtl/>
        </w:rPr>
        <w:t xml:space="preserve"> ، ص 207 </w:t>
      </w:r>
      <w:r w:rsidR="005E06FA">
        <w:rPr>
          <w:rFonts w:hint="cs"/>
          <w:rtl/>
        </w:rPr>
        <w:t>.</w:t>
      </w:r>
      <w:r w:rsidR="00E3253D" w:rsidRPr="002F4D34">
        <w:rPr>
          <w:rStyle w:val="libFootnoteBoldChar"/>
          <w:rtl/>
        </w:rPr>
        <w:t>الوافي</w:t>
      </w:r>
      <w:r w:rsidR="00E3253D" w:rsidRPr="005D642E">
        <w:rPr>
          <w:rtl/>
        </w:rPr>
        <w:t xml:space="preserve"> ، ج 24 ، ص 343 ، ح 24172 ؛ </w:t>
      </w:r>
      <w:r w:rsidR="00E3253D" w:rsidRPr="002F4D34">
        <w:rPr>
          <w:rStyle w:val="libFootnoteBoldChar"/>
          <w:rtl/>
        </w:rPr>
        <w:t>الوسائل</w:t>
      </w:r>
      <w:r w:rsidR="00E3253D" w:rsidRPr="005D642E">
        <w:rPr>
          <w:rtl/>
        </w:rPr>
        <w:t xml:space="preserve"> ، ج 2 ، ص 475 ، ح 2686 ؛ وص 490 ، ذيل ح 2720.</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338 ، ح 989 ، بسنده عن الحسين بن يزيد ، عن السكوني </w:t>
      </w:r>
      <w:r w:rsidR="005E06FA">
        <w:rPr>
          <w:rFonts w:hint="cs"/>
          <w:rtl/>
        </w:rPr>
        <w:t>.</w:t>
      </w:r>
      <w:r w:rsidR="00E3253D" w:rsidRPr="002F4D34">
        <w:rPr>
          <w:rStyle w:val="libFootnoteBoldChar"/>
          <w:rtl/>
        </w:rPr>
        <w:t>الوافي</w:t>
      </w:r>
      <w:r w:rsidR="00E3253D" w:rsidRPr="005D642E">
        <w:rPr>
          <w:rtl/>
        </w:rPr>
        <w:t xml:space="preserve"> ، ج 24 ، ص 344 ، ح 24173 ؛ </w:t>
      </w:r>
      <w:r w:rsidR="00E3253D" w:rsidRPr="002F4D34">
        <w:rPr>
          <w:rStyle w:val="libFootnoteBoldChar"/>
          <w:rtl/>
        </w:rPr>
        <w:t>الوسائل</w:t>
      </w:r>
      <w:r w:rsidR="00E3253D" w:rsidRPr="005D642E">
        <w:rPr>
          <w:rtl/>
        </w:rPr>
        <w:t xml:space="preserve"> ، ج 2 ، ص 489 ، ح 2717.</w:t>
      </w:r>
    </w:p>
    <w:tbl>
      <w:tblPr>
        <w:tblStyle w:val="TableGrid"/>
        <w:bidiVisual/>
        <w:tblW w:w="0" w:type="auto"/>
        <w:tblLook w:val="04A0" w:firstRow="1" w:lastRow="0" w:firstColumn="1" w:lastColumn="0" w:noHBand="0" w:noVBand="1"/>
      </w:tblPr>
      <w:tblGrid>
        <w:gridCol w:w="4006"/>
        <w:gridCol w:w="4006"/>
      </w:tblGrid>
      <w:tr w:rsidR="005133FE" w:rsidTr="005133FE">
        <w:tc>
          <w:tcPr>
            <w:tcW w:w="4006" w:type="dxa"/>
          </w:tcPr>
          <w:p w:rsidR="005133FE" w:rsidRDefault="005133FE" w:rsidP="00E3253D">
            <w:pPr>
              <w:pStyle w:val="libFootnote0"/>
              <w:rPr>
                <w:rStyle w:val="libFootnote0Char"/>
                <w:rtl/>
              </w:rPr>
            </w:pPr>
            <w:r w:rsidRPr="0042621E">
              <w:rPr>
                <w:rStyle w:val="libFootnote0Char"/>
                <w:rtl/>
              </w:rPr>
              <w:t>(9).</w:t>
            </w:r>
            <w:r w:rsidRPr="005D642E">
              <w:rPr>
                <w:rtl/>
              </w:rPr>
              <w:t xml:space="preserve"> في « ظ » : + « الساباطي</w:t>
            </w:r>
            <w:r>
              <w:rPr>
                <w:rtl/>
              </w:rPr>
              <w:t xml:space="preserve"> ».</w:t>
            </w:r>
          </w:p>
        </w:tc>
        <w:tc>
          <w:tcPr>
            <w:tcW w:w="4006" w:type="dxa"/>
          </w:tcPr>
          <w:p w:rsidR="005133FE" w:rsidRDefault="005133FE" w:rsidP="00E3253D">
            <w:pPr>
              <w:pStyle w:val="libFootnote0"/>
              <w:rPr>
                <w:rStyle w:val="libFootnote0Char"/>
                <w:rtl/>
              </w:rPr>
            </w:pPr>
            <w:r w:rsidRPr="0042621E">
              <w:rPr>
                <w:rStyle w:val="libFootnote0Char"/>
                <w:rtl/>
              </w:rPr>
              <w:t>(10).</w:t>
            </w:r>
            <w:r w:rsidRPr="005D642E">
              <w:rPr>
                <w:rtl/>
              </w:rPr>
              <w:t xml:space="preserve"> في « جس » : « حتّى تغيّر</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الوافي</w:t>
      </w:r>
      <w:r w:rsidR="00E3253D" w:rsidRPr="005D642E">
        <w:rPr>
          <w:rtl/>
        </w:rPr>
        <w:t xml:space="preserve"> ، ج 24 ، ص 344 ، ح 24174 ؛ </w:t>
      </w:r>
      <w:r w:rsidR="00E3253D" w:rsidRPr="002F4D34">
        <w:rPr>
          <w:rStyle w:val="libFootnoteBoldChar"/>
          <w:rtl/>
        </w:rPr>
        <w:t>الوسائل</w:t>
      </w:r>
      <w:r w:rsidR="00E3253D" w:rsidRPr="005D642E">
        <w:rPr>
          <w:rtl/>
        </w:rPr>
        <w:t xml:space="preserve"> ، ج 2 ، ص 475 ، ح 2687 ؛ </w:t>
      </w:r>
      <w:r w:rsidR="00E3253D" w:rsidRPr="002F4D34">
        <w:rPr>
          <w:rStyle w:val="libFootnoteBoldChar"/>
          <w:rtl/>
        </w:rPr>
        <w:t>وفيه</w:t>
      </w:r>
      <w:r w:rsidR="00E3253D" w:rsidRPr="005D642E">
        <w:rPr>
          <w:rtl/>
        </w:rPr>
        <w:t xml:space="preserve"> ، ص 489 ، ح 2716 ، إلى قوله : « قد مات ، ثمّ يغسّل ويكفن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B7A65">
        <w:rPr>
          <w:rtl/>
        </w:rPr>
        <w:t>4611</w:t>
      </w:r>
      <w:r w:rsidRPr="00246318">
        <w:rPr>
          <w:rStyle w:val="libBold2Char"/>
          <w:rtl/>
        </w:rPr>
        <w:t xml:space="preserve"> / 5.</w:t>
      </w:r>
      <w:r w:rsidRPr="005D642E">
        <w:rPr>
          <w:rtl/>
          <w:lang w:bidi="fa-IR"/>
        </w:rPr>
        <w:t xml:space="preserve"> عَلِيُّ بْنُ إِبْرَاهِيمَ ، عَنْ مُحَمَّدِ بْنِ عِيسى ، عَنْ يُونُسَ ، عَنْ إِسْمَاعِيلَ بْنِ عَبْدِ الْخَالِقِ </w:t>
      </w:r>
      <w:r w:rsidRPr="007C12DB">
        <w:rPr>
          <w:rStyle w:val="libFootnotenumChar"/>
          <w:rtl/>
        </w:rPr>
        <w:t>(1)</w:t>
      </w:r>
      <w:r w:rsidRPr="005D642E">
        <w:rPr>
          <w:rtl/>
          <w:lang w:bidi="fa-IR"/>
        </w:rPr>
        <w:t xml:space="preserve"> أَخِي شِهَابِ بْنِ عَبْدِ رَبِّهِ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خَمْسٌ </w:t>
      </w:r>
      <w:r w:rsidRPr="007C12DB">
        <w:rPr>
          <w:rStyle w:val="libFootnotenumChar"/>
          <w:rtl/>
        </w:rPr>
        <w:t>(2)</w:t>
      </w:r>
      <w:r w:rsidRPr="005D642E">
        <w:rPr>
          <w:rtl/>
          <w:lang w:bidi="fa-IR"/>
        </w:rPr>
        <w:t xml:space="preserve"> يُنْتَظَرُ بِهِمْ </w:t>
      </w:r>
      <w:r w:rsidRPr="007C12DB">
        <w:rPr>
          <w:rStyle w:val="libFootnotenumChar"/>
          <w:rtl/>
        </w:rPr>
        <w:t>(3)</w:t>
      </w:r>
      <w:r w:rsidRPr="005D642E">
        <w:rPr>
          <w:rtl/>
          <w:lang w:bidi="fa-IR"/>
        </w:rPr>
        <w:t xml:space="preserve"> إِلاَّ </w:t>
      </w:r>
      <w:r w:rsidRPr="007C12DB">
        <w:rPr>
          <w:rStyle w:val="libFootnotenumChar"/>
          <w:rtl/>
        </w:rPr>
        <w:t>(4)</w:t>
      </w:r>
      <w:r w:rsidRPr="005D642E">
        <w:rPr>
          <w:rtl/>
          <w:lang w:bidi="fa-IR"/>
        </w:rPr>
        <w:t xml:space="preserve"> أَنْ يَتَغَيَّرُوا : الْغَرِيقُ ، وَالْمَصْعُوقُ ، وَالْمَبْطُونُ </w:t>
      </w:r>
      <w:r w:rsidRPr="007C12DB">
        <w:rPr>
          <w:rStyle w:val="libFootnotenumChar"/>
          <w:rtl/>
        </w:rPr>
        <w:t>(5)</w:t>
      </w:r>
      <w:r w:rsidRPr="005D642E">
        <w:rPr>
          <w:rtl/>
          <w:lang w:bidi="fa-IR"/>
        </w:rPr>
        <w:t xml:space="preserve"> ، وَالْمَهْدُومُ ، وَالْمُدَخَّنُ</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6B7A65">
        <w:rPr>
          <w:rtl/>
        </w:rPr>
        <w:t>4612</w:t>
      </w:r>
      <w:r w:rsidRPr="00246318">
        <w:rPr>
          <w:rStyle w:val="libBold2Char"/>
          <w:rtl/>
        </w:rPr>
        <w:t xml:space="preserve"> / 6.</w:t>
      </w:r>
      <w:r w:rsidRPr="005D642E">
        <w:rPr>
          <w:rtl/>
          <w:lang w:bidi="fa-IR"/>
        </w:rPr>
        <w:t xml:space="preserve"> أَحْمَدُ بْنُ مِهْرَانَ ، عَنْ مُحَمَّدِ بْنِ عَلِيٍّ ، عَنْ عَلِيِّ بْنِ أَبِي حَمْزَةَ ، قَالَ :</w:t>
      </w:r>
    </w:p>
    <w:p w:rsidR="00E3253D" w:rsidRPr="005D642E" w:rsidRDefault="00E3253D" w:rsidP="00E3253D">
      <w:pPr>
        <w:pStyle w:val="libNormal"/>
        <w:rPr>
          <w:rtl/>
          <w:lang w:bidi="fa-IR"/>
        </w:rPr>
      </w:pPr>
      <w:r w:rsidRPr="005D642E">
        <w:rPr>
          <w:rtl/>
          <w:lang w:bidi="fa-IR"/>
        </w:rPr>
        <w:t xml:space="preserve">أَصَابَ </w:t>
      </w:r>
      <w:r w:rsidRPr="007C12DB">
        <w:rPr>
          <w:rStyle w:val="libFootnotenumChar"/>
          <w:rtl/>
        </w:rPr>
        <w:t>(7)</w:t>
      </w:r>
      <w:r w:rsidRPr="005D642E">
        <w:rPr>
          <w:rtl/>
          <w:lang w:bidi="fa-IR"/>
        </w:rPr>
        <w:t xml:space="preserve"> بِمَكَّةَ سَنَةً مِنَ السِّنِينَ صَوَاعِقُ كَثِيرَةٌ </w:t>
      </w:r>
      <w:r w:rsidRPr="007C12DB">
        <w:rPr>
          <w:rStyle w:val="libFootnotenumChar"/>
          <w:rtl/>
        </w:rPr>
        <w:t>(8)</w:t>
      </w:r>
      <w:r w:rsidRPr="005D642E">
        <w:rPr>
          <w:rtl/>
          <w:lang w:bidi="fa-IR"/>
        </w:rPr>
        <w:t xml:space="preserve"> مَاتَ مِنْ ذلِكَ خَلْقٌ كَثِيرٌ ، فَدَخَلْتُ عَلى أَبِي إِبْرَاهِيمَ </w:t>
      </w:r>
      <w:r w:rsidRPr="00AC51C5">
        <w:rPr>
          <w:rStyle w:val="libAlaemChar"/>
          <w:rtl/>
        </w:rPr>
        <w:t>عليه‌السلام</w:t>
      </w:r>
      <w:r w:rsidRPr="005D642E">
        <w:rPr>
          <w:rtl/>
          <w:lang w:bidi="fa-IR"/>
        </w:rPr>
        <w:t xml:space="preserve"> ، فَقَالَ</w:t>
      </w:r>
      <w:r>
        <w:rPr>
          <w:rtl/>
          <w:lang w:bidi="fa-IR"/>
        </w:rPr>
        <w:t xml:space="preserve"> </w:t>
      </w:r>
      <w:r w:rsidR="007642BC">
        <w:rPr>
          <w:rtl/>
          <w:lang w:bidi="fa-IR"/>
        </w:rPr>
        <w:t>-</w:t>
      </w:r>
      <w:r>
        <w:rPr>
          <w:rtl/>
          <w:lang w:bidi="fa-IR"/>
        </w:rPr>
        <w:t xml:space="preserve"> </w:t>
      </w:r>
      <w:r w:rsidRPr="005D642E">
        <w:rPr>
          <w:rtl/>
          <w:lang w:bidi="fa-IR"/>
        </w:rPr>
        <w:t>مُبْتَدِئاً مِنْ غَيْرِ أَنْ أَسْأَلَهُ</w:t>
      </w:r>
      <w:r>
        <w:rPr>
          <w:rtl/>
          <w:lang w:bidi="fa-IR"/>
        </w:rPr>
        <w:t xml:space="preserve"> </w:t>
      </w:r>
      <w:r w:rsidR="007642BC">
        <w:rPr>
          <w:rtl/>
          <w:lang w:bidi="fa-IR"/>
        </w:rPr>
        <w:t>-</w:t>
      </w:r>
      <w:r>
        <w:rPr>
          <w:rtl/>
          <w:lang w:bidi="fa-IR"/>
        </w:rPr>
        <w:t xml:space="preserve"> </w:t>
      </w:r>
      <w:r w:rsidRPr="005D642E">
        <w:rPr>
          <w:rtl/>
          <w:lang w:bidi="fa-IR"/>
        </w:rPr>
        <w:t xml:space="preserve">: « يَنْبَغِي لِلْغَرِيقِ وَالْمَصْعُوقِ أَنْ يُتَرَبَّصَ بِهِ </w:t>
      </w:r>
      <w:r w:rsidRPr="007C12DB">
        <w:rPr>
          <w:rStyle w:val="libFootnotenumChar"/>
          <w:rtl/>
        </w:rPr>
        <w:t>(9)</w:t>
      </w:r>
      <w:r w:rsidRPr="005D642E">
        <w:rPr>
          <w:rtl/>
          <w:lang w:bidi="fa-IR"/>
        </w:rPr>
        <w:t xml:space="preserve"> ثَلَاثاً </w:t>
      </w:r>
      <w:r w:rsidRPr="007C12DB">
        <w:rPr>
          <w:rStyle w:val="libFootnotenumChar"/>
          <w:rtl/>
        </w:rPr>
        <w:t>(10)</w:t>
      </w:r>
      <w:r w:rsidRPr="005D642E">
        <w:rPr>
          <w:rtl/>
          <w:lang w:bidi="fa-IR"/>
        </w:rPr>
        <w:t xml:space="preserve"> لَايُدْفَنُ ، إ</w:t>
      </w:r>
      <w:r w:rsidR="00406DBA">
        <w:rPr>
          <w:rtl/>
          <w:lang w:bidi="fa-IR"/>
        </w:rPr>
        <w:t>ِل</w:t>
      </w:r>
      <w:r w:rsidR="00406DBA">
        <w:rPr>
          <w:rFonts w:hint="cs"/>
          <w:rtl/>
          <w:lang w:bidi="fa-IR"/>
        </w:rPr>
        <w:t>َّ</w:t>
      </w:r>
      <w:r w:rsidR="00406DBA">
        <w:rPr>
          <w:rtl/>
          <w:lang w:bidi="fa-IR"/>
        </w:rPr>
        <w:t>ا</w:t>
      </w:r>
      <w:r w:rsidRPr="005D642E">
        <w:rPr>
          <w:rtl/>
          <w:lang w:bidi="fa-IR"/>
        </w:rPr>
        <w:t xml:space="preserve"> </w:t>
      </w:r>
      <w:r w:rsidRPr="007C12DB">
        <w:rPr>
          <w:rStyle w:val="libFootnotenumChar"/>
          <w:rtl/>
        </w:rPr>
        <w:t>(11)</w:t>
      </w:r>
      <w:r w:rsidRPr="005D642E">
        <w:rPr>
          <w:rtl/>
          <w:lang w:bidi="fa-IR"/>
        </w:rPr>
        <w:t xml:space="preserve"> أَنْ تَجِي‌ءَ </w:t>
      </w:r>
      <w:r w:rsidRPr="007C12DB">
        <w:rPr>
          <w:rStyle w:val="libFootnotenumChar"/>
          <w:rtl/>
        </w:rPr>
        <w:t>(12)</w:t>
      </w:r>
      <w:r w:rsidRPr="005D642E">
        <w:rPr>
          <w:rtl/>
          <w:lang w:bidi="fa-IR"/>
        </w:rPr>
        <w:t xml:space="preserve"> مِنْهُ رِيحٌ تَدُلُّ </w:t>
      </w:r>
      <w:r w:rsidRPr="007C12DB">
        <w:rPr>
          <w:rStyle w:val="libFootnotenumChar"/>
          <w:rtl/>
        </w:rPr>
        <w:t>(13)</w:t>
      </w:r>
      <w:r w:rsidRPr="005D642E">
        <w:rPr>
          <w:rtl/>
          <w:lang w:bidi="fa-IR"/>
        </w:rPr>
        <w:t xml:space="preserve"> عَلى مَوْتِهِ </w:t>
      </w:r>
      <w:r w:rsidRPr="007C12DB">
        <w:rPr>
          <w:rStyle w:val="libFootnotenumChar"/>
          <w:rtl/>
        </w:rPr>
        <w:t>(14)</w:t>
      </w:r>
      <w:r>
        <w:rPr>
          <w:rtl/>
          <w:lang w:bidi="fa-IR"/>
        </w:rPr>
        <w:t xml:space="preserve"> ».</w:t>
      </w:r>
    </w:p>
    <w:p w:rsidR="00E3253D" w:rsidRPr="005D642E" w:rsidRDefault="00E3253D" w:rsidP="00E3253D">
      <w:pPr>
        <w:pStyle w:val="libNormal"/>
        <w:rPr>
          <w:rtl/>
          <w:lang w:bidi="fa-IR"/>
        </w:rPr>
      </w:pPr>
      <w:r w:rsidRPr="005D642E">
        <w:rPr>
          <w:rtl/>
          <w:lang w:bidi="fa-IR"/>
        </w:rPr>
        <w:t xml:space="preserve">قُلْتُ </w:t>
      </w:r>
      <w:r w:rsidRPr="007C12DB">
        <w:rPr>
          <w:rStyle w:val="libFootnotenumChar"/>
          <w:rtl/>
        </w:rPr>
        <w:t>(15)</w:t>
      </w:r>
      <w:r w:rsidRPr="005D642E">
        <w:rPr>
          <w:rtl/>
          <w:lang w:bidi="fa-IR"/>
        </w:rPr>
        <w:t xml:space="preserve"> : جُعِلْتُ فِدَاكَ ، كَأَنَّكَ تُخْبِرُنِي أَنَّهُ </w:t>
      </w:r>
      <w:r w:rsidRPr="007C12DB">
        <w:rPr>
          <w:rStyle w:val="libFootnotenumChar"/>
          <w:rtl/>
        </w:rPr>
        <w:t>(16)</w:t>
      </w:r>
      <w:r w:rsidRPr="005D642E">
        <w:rPr>
          <w:rtl/>
          <w:lang w:bidi="fa-IR"/>
        </w:rPr>
        <w:t xml:space="preserve"> قَدْ دُفِنَ </w:t>
      </w:r>
      <w:r w:rsidRPr="007C12DB">
        <w:rPr>
          <w:rStyle w:val="libFootnotenumChar"/>
          <w:rtl/>
        </w:rPr>
        <w:t>(17)</w:t>
      </w:r>
      <w:r w:rsidRPr="005D642E">
        <w:rPr>
          <w:rtl/>
          <w:lang w:bidi="fa-IR"/>
        </w:rPr>
        <w:t xml:space="preserve"> نَاسٌ كَثِيرٌ أَحْيَاءً</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Default="0042621E" w:rsidP="00E3253D">
      <w:pPr>
        <w:pStyle w:val="libFootnote0"/>
        <w:rPr>
          <w:rtl/>
        </w:rPr>
      </w:pPr>
      <w:r w:rsidRPr="0042621E">
        <w:rPr>
          <w:rStyle w:val="libFootnote0Char"/>
          <w:rtl/>
        </w:rPr>
        <w:t>(1).</w:t>
      </w:r>
      <w:r w:rsidR="00E3253D">
        <w:rPr>
          <w:rtl/>
        </w:rPr>
        <w:t xml:space="preserve"> </w:t>
      </w:r>
      <w:r w:rsidR="00E3253D" w:rsidRPr="005D642E">
        <w:rPr>
          <w:rtl/>
        </w:rPr>
        <w:t xml:space="preserve">في « بف ، جح » </w:t>
      </w:r>
      <w:r w:rsidR="00B60612" w:rsidRPr="00B60612">
        <w:rPr>
          <w:rStyle w:val="libFootnoteBoldChar"/>
          <w:rtl/>
        </w:rPr>
        <w:t>والتهذيب</w:t>
      </w:r>
      <w:r w:rsidR="00E3253D" w:rsidRPr="005D642E">
        <w:rPr>
          <w:rtl/>
        </w:rPr>
        <w:t xml:space="preserve"> </w:t>
      </w:r>
      <w:r w:rsidR="009E68BB" w:rsidRPr="009E68BB">
        <w:rPr>
          <w:rStyle w:val="libFootnoteBoldChar"/>
          <w:rtl/>
        </w:rPr>
        <w:t>والخصال</w:t>
      </w:r>
      <w:r w:rsidR="00E3253D" w:rsidRPr="005D642E">
        <w:rPr>
          <w:rtl/>
        </w:rPr>
        <w:t xml:space="preserve"> : + « بن</w:t>
      </w:r>
      <w:r w:rsidR="00E3253D">
        <w:rPr>
          <w:rtl/>
        </w:rPr>
        <w:t xml:space="preserve"> ».</w:t>
      </w:r>
      <w:r w:rsidR="00E3253D" w:rsidRPr="005D642E">
        <w:rPr>
          <w:rtl/>
        </w:rPr>
        <w:t xml:space="preserve"> وفي الوسائل : + « بن</w:t>
      </w:r>
      <w:r w:rsidR="00E3253D">
        <w:rPr>
          <w:rtl/>
        </w:rPr>
        <w:t xml:space="preserve"> ».</w:t>
      </w:r>
      <w:r w:rsidR="00E3253D" w:rsidRPr="005D642E">
        <w:rPr>
          <w:rtl/>
        </w:rPr>
        <w:t xml:space="preserve"> وإسماعيل هذا ، هو إسماعيل بن عبدالخالق بن عبد ربّه ، وعمّه هو شهاب بن عبد ربّه. راجع : </w:t>
      </w:r>
      <w:r w:rsidR="00E3253D" w:rsidRPr="002F4D34">
        <w:rPr>
          <w:rStyle w:val="libFootnoteBoldChar"/>
          <w:rtl/>
        </w:rPr>
        <w:t>رجال النجاشي</w:t>
      </w:r>
      <w:r w:rsidR="00E3253D" w:rsidRPr="005D642E">
        <w:rPr>
          <w:rtl/>
        </w:rPr>
        <w:t xml:space="preserve"> ، ص 27 ، الرقم 50.</w:t>
      </w:r>
    </w:p>
    <w:p w:rsidR="00E3253D" w:rsidRPr="005D642E" w:rsidRDefault="00E3253D" w:rsidP="00E3253D">
      <w:pPr>
        <w:pStyle w:val="libFootnote0"/>
        <w:rPr>
          <w:rtl/>
          <w:lang w:bidi="fa-IR"/>
        </w:rPr>
      </w:pPr>
      <w:r w:rsidRPr="005D642E">
        <w:rPr>
          <w:rtl/>
        </w:rPr>
        <w:t xml:space="preserve">فعليه ، يظهر ما في </w:t>
      </w:r>
      <w:r w:rsidRPr="002F4D34">
        <w:rPr>
          <w:rStyle w:val="libFootnoteBoldChar"/>
          <w:rtl/>
        </w:rPr>
        <w:t>الوسائل</w:t>
      </w:r>
      <w:r w:rsidRPr="005D642E">
        <w:rPr>
          <w:rtl/>
        </w:rPr>
        <w:t xml:space="preserve"> من السهو ؛ فإنّ « ابن أخي شهاب » وصف لإسماعيل ، لا لعبد الخالق ، فلابدّ من إظهار همزة « ابن</w:t>
      </w:r>
      <w:r>
        <w:rPr>
          <w:rtl/>
        </w:rPr>
        <w:t xml:space="preserve"> ».</w:t>
      </w:r>
      <w:r>
        <w:rPr>
          <w:rFonts w:hint="cs"/>
          <w:rtl/>
          <w:lang w:bidi="fa-IR"/>
        </w:rPr>
        <w:t xml:space="preserve"> </w:t>
      </w:r>
      <w:r w:rsidR="00906E8A">
        <w:rPr>
          <w:rFonts w:hint="cs"/>
          <w:rtl/>
          <w:lang w:bidi="fa-IR"/>
        </w:rPr>
        <w:t xml:space="preserve">   </w:t>
      </w:r>
      <w:r w:rsidR="00312BD7">
        <w:rPr>
          <w:rFonts w:hint="cs"/>
          <w:rtl/>
          <w:lang w:bidi="fa-IR"/>
        </w:rPr>
        <w:t xml:space="preserve">                               </w:t>
      </w:r>
      <w:r w:rsidR="00906E8A">
        <w:rPr>
          <w:rFonts w:hint="cs"/>
          <w:rtl/>
          <w:lang w:bidi="fa-IR"/>
        </w:rPr>
        <w:t xml:space="preserve">    </w:t>
      </w:r>
      <w:r w:rsidR="0042621E" w:rsidRPr="0042621E">
        <w:rPr>
          <w:rStyle w:val="libFootnote0Char"/>
          <w:rtl/>
        </w:rPr>
        <w:t>(2).</w:t>
      </w:r>
      <w:r w:rsidRPr="005D642E">
        <w:rPr>
          <w:rtl/>
        </w:rPr>
        <w:t xml:space="preserve"> في الفقيه </w:t>
      </w:r>
      <w:r w:rsidR="00B60612" w:rsidRPr="00B60612">
        <w:rPr>
          <w:rStyle w:val="libFootnoteBoldChar"/>
          <w:rtl/>
        </w:rPr>
        <w:t>والتهذيب</w:t>
      </w:r>
      <w:r w:rsidRPr="005D642E">
        <w:rPr>
          <w:rtl/>
        </w:rPr>
        <w:t xml:space="preserve"> </w:t>
      </w:r>
      <w:r w:rsidR="009E68BB" w:rsidRPr="009E68BB">
        <w:rPr>
          <w:rStyle w:val="libFootnoteBoldChar"/>
          <w:rtl/>
        </w:rPr>
        <w:t>والخصال</w:t>
      </w:r>
      <w:r w:rsidRPr="005D642E">
        <w:rPr>
          <w:rtl/>
        </w:rPr>
        <w:t xml:space="preserve"> : « خمسة</w:t>
      </w:r>
      <w:r>
        <w:rPr>
          <w:rtl/>
        </w:rPr>
        <w:t xml:space="preserve"> ».</w:t>
      </w:r>
    </w:p>
    <w:tbl>
      <w:tblPr>
        <w:tblStyle w:val="TableGrid"/>
        <w:bidiVisual/>
        <w:tblW w:w="0" w:type="auto"/>
        <w:tblLook w:val="04A0" w:firstRow="1" w:lastRow="0" w:firstColumn="1" w:lastColumn="0" w:noHBand="0" w:noVBand="1"/>
      </w:tblPr>
      <w:tblGrid>
        <w:gridCol w:w="4006"/>
        <w:gridCol w:w="4006"/>
      </w:tblGrid>
      <w:tr w:rsidR="00E64FDF" w:rsidTr="00E64FDF">
        <w:tc>
          <w:tcPr>
            <w:tcW w:w="4006" w:type="dxa"/>
          </w:tcPr>
          <w:p w:rsidR="00E64FDF" w:rsidRDefault="00E64FDF" w:rsidP="00E3253D">
            <w:pPr>
              <w:pStyle w:val="libFootnote0"/>
              <w:rPr>
                <w:rStyle w:val="libFootnote0Char"/>
                <w:rtl/>
              </w:rPr>
            </w:pPr>
            <w:r w:rsidRPr="0042621E">
              <w:rPr>
                <w:rStyle w:val="libFootnote0Char"/>
                <w:rtl/>
              </w:rPr>
              <w:t>(3).</w:t>
            </w:r>
            <w:r w:rsidRPr="005D642E">
              <w:rPr>
                <w:rtl/>
              </w:rPr>
              <w:t xml:space="preserve"> في الفقيه : + « ثلاثة أيّام</w:t>
            </w:r>
            <w:r>
              <w:rPr>
                <w:rtl/>
              </w:rPr>
              <w:t xml:space="preserve"> ».</w:t>
            </w:r>
          </w:p>
        </w:tc>
        <w:tc>
          <w:tcPr>
            <w:tcW w:w="4006" w:type="dxa"/>
          </w:tcPr>
          <w:p w:rsidR="00E64FDF" w:rsidRDefault="00E64FDF" w:rsidP="00E3253D">
            <w:pPr>
              <w:pStyle w:val="libFootnote0"/>
              <w:rPr>
                <w:rStyle w:val="libFootnote0Char"/>
                <w:rtl/>
              </w:rPr>
            </w:pPr>
            <w:r w:rsidRPr="0042621E">
              <w:rPr>
                <w:rStyle w:val="libFootnote0Char"/>
                <w:rtl/>
              </w:rPr>
              <w:t>(4).</w:t>
            </w:r>
            <w:r w:rsidR="00906E8A">
              <w:rPr>
                <w:rtl/>
              </w:rPr>
              <w:t xml:space="preserve"> في «جن</w:t>
            </w:r>
            <w:r w:rsidRPr="005D642E">
              <w:rPr>
                <w:rtl/>
              </w:rPr>
              <w:t xml:space="preserve">» وحاشية « بخ » </w:t>
            </w:r>
            <w:r w:rsidRPr="009E68BB">
              <w:rPr>
                <w:rStyle w:val="libFootnoteBoldChar"/>
                <w:rtl/>
              </w:rPr>
              <w:t>والخصال</w:t>
            </w:r>
            <w:r w:rsidRPr="005D642E">
              <w:rPr>
                <w:rtl/>
              </w:rPr>
              <w:t xml:space="preserve"> : « إلى</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وحاشية « بح » : « والمطعون</w:t>
      </w:r>
      <w:r w:rsidR="00E3253D">
        <w:rPr>
          <w:rtl/>
        </w:rPr>
        <w:t xml:space="preserve"> ».</w:t>
      </w:r>
      <w:r w:rsidR="00E3253D" w:rsidRPr="005D642E">
        <w:rPr>
          <w:rtl/>
        </w:rPr>
        <w:t xml:space="preserve"> </w:t>
      </w:r>
      <w:r w:rsidR="00E3253D">
        <w:rPr>
          <w:rtl/>
        </w:rPr>
        <w:t>و «</w:t>
      </w:r>
      <w:r w:rsidR="00E3253D" w:rsidRPr="005D642E">
        <w:rPr>
          <w:rtl/>
        </w:rPr>
        <w:t xml:space="preserve"> المبطون » : الذي يموت بمرض البطن ، وهو داء أو إسهال أو انتفاخ في البطن ، والمراد بعض أفراده المشتبهة. راجع : </w:t>
      </w:r>
      <w:r w:rsidR="00E3253D" w:rsidRPr="002F4D34">
        <w:rPr>
          <w:rStyle w:val="libFootnoteBoldChar"/>
          <w:rtl/>
        </w:rPr>
        <w:t>مجمع البحرين</w:t>
      </w:r>
      <w:r w:rsidR="00E3253D" w:rsidRPr="005D642E">
        <w:rPr>
          <w:rtl/>
        </w:rPr>
        <w:t xml:space="preserve"> ، ج 6 ، ص 215 ( بطن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الخصال</w:t>
      </w:r>
      <w:r w:rsidR="00E3253D" w:rsidRPr="005D642E">
        <w:rPr>
          <w:rtl/>
        </w:rPr>
        <w:t xml:space="preserve"> ، ص 300 ، باب الخمسة ، ح 74 ؛ </w:t>
      </w:r>
      <w:r w:rsidR="00B60612" w:rsidRPr="00B60612">
        <w:rPr>
          <w:rStyle w:val="libFootnoteBoldChar"/>
          <w:rtl/>
        </w:rPr>
        <w:t>والتهذيب</w:t>
      </w:r>
      <w:r w:rsidR="00E3253D" w:rsidRPr="005D642E">
        <w:rPr>
          <w:rtl/>
        </w:rPr>
        <w:t xml:space="preserve"> ، ج 1 ، ص 337 ، ح 988 ، بسندهما عن محمّد بن عيسى. </w:t>
      </w:r>
      <w:r w:rsidR="00E3253D" w:rsidRPr="002F4D34">
        <w:rPr>
          <w:rStyle w:val="libFootnoteBoldChar"/>
          <w:rtl/>
        </w:rPr>
        <w:t>الفقيه</w:t>
      </w:r>
      <w:r w:rsidR="00E3253D" w:rsidRPr="005D642E">
        <w:rPr>
          <w:rtl/>
        </w:rPr>
        <w:t xml:space="preserve"> ، ج 1 ، ص 156 ، ذيل ح 437 </w:t>
      </w:r>
      <w:r w:rsidR="0070383E">
        <w:rPr>
          <w:rFonts w:hint="cs"/>
          <w:rtl/>
        </w:rPr>
        <w:t>.</w:t>
      </w:r>
      <w:r w:rsidR="00E3253D" w:rsidRPr="002F4D34">
        <w:rPr>
          <w:rStyle w:val="libFootnoteBoldChar"/>
          <w:rtl/>
        </w:rPr>
        <w:t>الوافي</w:t>
      </w:r>
      <w:r w:rsidR="00E3253D" w:rsidRPr="005D642E">
        <w:rPr>
          <w:rtl/>
        </w:rPr>
        <w:t xml:space="preserve"> ، ج 24 ، ص 345 ، ح 24175 ؛ </w:t>
      </w:r>
      <w:r w:rsidR="00E3253D" w:rsidRPr="002F4D34">
        <w:rPr>
          <w:rStyle w:val="libFootnoteBoldChar"/>
          <w:rtl/>
        </w:rPr>
        <w:t>الوسائل</w:t>
      </w:r>
      <w:r w:rsidR="00E3253D" w:rsidRPr="005D642E">
        <w:rPr>
          <w:rtl/>
        </w:rPr>
        <w:t xml:space="preserve"> ، ج 2 ، ص 474 ، ح 2685.</w:t>
      </w:r>
    </w:p>
    <w:p w:rsidR="00E3253D" w:rsidRPr="005D642E" w:rsidRDefault="0042621E" w:rsidP="00312BD7">
      <w:pPr>
        <w:pStyle w:val="libFootnote0"/>
        <w:rPr>
          <w:rtl/>
          <w:lang w:bidi="fa-IR"/>
        </w:rPr>
      </w:pPr>
      <w:r w:rsidRPr="0042621E">
        <w:rPr>
          <w:rStyle w:val="libFootnote0Char"/>
          <w:rtl/>
        </w:rPr>
        <w:t>(7).</w:t>
      </w:r>
      <w:r w:rsidR="00E3253D" w:rsidRPr="005D642E">
        <w:rPr>
          <w:rtl/>
        </w:rPr>
        <w:t xml:space="preserve"> هكذا في معظم النسخ التي قوبلت </w:t>
      </w:r>
      <w:r w:rsidR="000D749A" w:rsidRPr="000D749A">
        <w:rPr>
          <w:rStyle w:val="libFootnoteBoldChar"/>
          <w:rtl/>
        </w:rPr>
        <w:t>والوافي</w:t>
      </w:r>
      <w:r w:rsidR="00E3253D" w:rsidRPr="005D642E">
        <w:rPr>
          <w:rtl/>
        </w:rPr>
        <w:t xml:space="preserve"> </w:t>
      </w:r>
      <w:r w:rsidR="00B60612" w:rsidRPr="00B60612">
        <w:rPr>
          <w:rStyle w:val="libFootnoteBoldChar"/>
          <w:rtl/>
        </w:rPr>
        <w:t>والتهذيب</w:t>
      </w:r>
      <w:r w:rsidR="00E3253D" w:rsidRPr="005D642E">
        <w:rPr>
          <w:rtl/>
        </w:rPr>
        <w:t>. وفي « ى ، جن » وحاشية « بخ » والمطبوع والوسائل : + « الناس</w:t>
      </w:r>
      <w:r w:rsidR="00E3253D">
        <w:rPr>
          <w:rtl/>
        </w:rPr>
        <w:t xml:space="preserve"> ».</w:t>
      </w:r>
      <w:r w:rsidR="00E3253D">
        <w:rPr>
          <w:rFonts w:hint="cs"/>
          <w:rtl/>
          <w:lang w:bidi="fa-IR"/>
        </w:rPr>
        <w:t xml:space="preserve"> </w:t>
      </w:r>
      <w:r w:rsidR="0070383E">
        <w:rPr>
          <w:rFonts w:hint="cs"/>
          <w:rtl/>
          <w:lang w:bidi="fa-IR"/>
        </w:rPr>
        <w:t xml:space="preserve">           </w:t>
      </w:r>
      <w:r w:rsidR="00312BD7">
        <w:rPr>
          <w:rFonts w:hint="cs"/>
          <w:rtl/>
          <w:lang w:bidi="fa-IR"/>
        </w:rPr>
        <w:t xml:space="preserve">                               </w:t>
      </w:r>
      <w:r w:rsidR="0070383E">
        <w:rPr>
          <w:rFonts w:hint="cs"/>
          <w:rtl/>
          <w:lang w:bidi="fa-IR"/>
        </w:rPr>
        <w:t xml:space="preserve">  </w:t>
      </w:r>
      <w:r w:rsidRPr="0042621E">
        <w:rPr>
          <w:rStyle w:val="libFootnote0Char"/>
          <w:rtl/>
        </w:rPr>
        <w:t>(8).</w:t>
      </w:r>
      <w:r w:rsidR="00E3253D" w:rsidRPr="005D642E">
        <w:rPr>
          <w:rtl/>
        </w:rPr>
        <w:t xml:space="preserve"> في التهذيب :</w:t>
      </w:r>
      <w:r w:rsidR="00E3253D">
        <w:rPr>
          <w:rtl/>
        </w:rPr>
        <w:t xml:space="preserve"> </w:t>
      </w:r>
      <w:r w:rsidR="007642BC">
        <w:rPr>
          <w:rtl/>
        </w:rPr>
        <w:t>-</w:t>
      </w:r>
      <w:r w:rsidR="00E3253D">
        <w:rPr>
          <w:rtl/>
        </w:rPr>
        <w:t xml:space="preserve"> </w:t>
      </w:r>
      <w:r w:rsidR="00E3253D" w:rsidRPr="005D642E">
        <w:rPr>
          <w:rtl/>
        </w:rPr>
        <w:t>« كثيرة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0383E" w:rsidTr="0070383E">
        <w:tc>
          <w:tcPr>
            <w:tcW w:w="4006" w:type="dxa"/>
          </w:tcPr>
          <w:p w:rsidR="0070383E" w:rsidRDefault="0070383E" w:rsidP="00E3253D">
            <w:pPr>
              <w:pStyle w:val="libFootnote0"/>
              <w:rPr>
                <w:rStyle w:val="libFootnote0Char"/>
                <w:rtl/>
              </w:rPr>
            </w:pPr>
            <w:r w:rsidRPr="0042621E">
              <w:rPr>
                <w:rStyle w:val="libFootnote0Char"/>
                <w:rtl/>
              </w:rPr>
              <w:t>(9).</w:t>
            </w:r>
            <w:r>
              <w:rPr>
                <w:rtl/>
              </w:rPr>
              <w:t xml:space="preserve"> في «غ ، بخ ، بف</w:t>
            </w:r>
            <w:r w:rsidRPr="005D642E">
              <w:rPr>
                <w:rtl/>
              </w:rPr>
              <w:t>» وحاشية « بح » : « بهما</w:t>
            </w:r>
            <w:r>
              <w:rPr>
                <w:rtl/>
              </w:rPr>
              <w:t xml:space="preserve"> ».</w:t>
            </w:r>
          </w:p>
        </w:tc>
        <w:tc>
          <w:tcPr>
            <w:tcW w:w="4006" w:type="dxa"/>
          </w:tcPr>
          <w:p w:rsidR="0070383E" w:rsidRDefault="0070383E" w:rsidP="00E3253D">
            <w:pPr>
              <w:pStyle w:val="libFootnote0"/>
              <w:rPr>
                <w:rStyle w:val="libFootnote0Char"/>
                <w:rtl/>
              </w:rPr>
            </w:pPr>
            <w:r w:rsidRPr="0042621E">
              <w:rPr>
                <w:rStyle w:val="libFootnote0Char"/>
                <w:rtl/>
              </w:rPr>
              <w:t>(10).</w:t>
            </w:r>
            <w:r>
              <w:rPr>
                <w:rtl/>
              </w:rPr>
              <w:t xml:space="preserve"> في«غ»:«</w:t>
            </w:r>
            <w:r w:rsidRPr="005D642E">
              <w:rPr>
                <w:rtl/>
              </w:rPr>
              <w:t>ثلاثة</w:t>
            </w:r>
            <w:r>
              <w:rPr>
                <w:rtl/>
              </w:rPr>
              <w:t>».وفي«بخ،بف</w:t>
            </w:r>
            <w:r w:rsidRPr="005D642E">
              <w:rPr>
                <w:rtl/>
              </w:rPr>
              <w:t>» : « ثلاثة أيّام</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بخ » : « إلى</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غ ، ى ، بث ، بح ، بخ ، بس ، جح ، جن » والوسائل </w:t>
      </w:r>
      <w:r w:rsidR="00B60612" w:rsidRPr="00B60612">
        <w:rPr>
          <w:rStyle w:val="libFootnoteBoldChar"/>
          <w:rtl/>
        </w:rPr>
        <w:t>والتهذيب</w:t>
      </w:r>
      <w:r w:rsidR="00E3253D" w:rsidRPr="005D642E">
        <w:rPr>
          <w:rtl/>
        </w:rPr>
        <w:t xml:space="preserve"> : « أن يجي‌ء</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34F37" w:rsidTr="00534F37">
        <w:tc>
          <w:tcPr>
            <w:tcW w:w="4006" w:type="dxa"/>
          </w:tcPr>
          <w:p w:rsidR="00534F37" w:rsidRDefault="00534F37" w:rsidP="00E3253D">
            <w:pPr>
              <w:pStyle w:val="libFootnote0"/>
              <w:rPr>
                <w:rStyle w:val="libFootnote0Char"/>
                <w:rtl/>
              </w:rPr>
            </w:pPr>
            <w:r w:rsidRPr="0042621E">
              <w:rPr>
                <w:rStyle w:val="libFootnote0Char"/>
                <w:rtl/>
              </w:rPr>
              <w:t>(13).</w:t>
            </w:r>
            <w:r w:rsidRPr="005D642E">
              <w:rPr>
                <w:rtl/>
              </w:rPr>
              <w:t xml:space="preserve"> في التهذيب : « يدلّ</w:t>
            </w:r>
            <w:r>
              <w:rPr>
                <w:rtl/>
              </w:rPr>
              <w:t xml:space="preserve"> ».</w:t>
            </w:r>
          </w:p>
        </w:tc>
        <w:tc>
          <w:tcPr>
            <w:tcW w:w="4006" w:type="dxa"/>
          </w:tcPr>
          <w:p w:rsidR="00534F37" w:rsidRDefault="00534F37" w:rsidP="00E3253D">
            <w:pPr>
              <w:pStyle w:val="libFootnote0"/>
              <w:rPr>
                <w:rStyle w:val="libFootnote0Char"/>
                <w:rtl/>
              </w:rPr>
            </w:pPr>
            <w:r w:rsidRPr="0042621E">
              <w:rPr>
                <w:rStyle w:val="libFootnote0Char"/>
                <w:rtl/>
              </w:rPr>
              <w:t>(14).</w:t>
            </w:r>
            <w:r w:rsidRPr="005D642E">
              <w:rPr>
                <w:rtl/>
              </w:rPr>
              <w:t xml:space="preserve"> في « غ ، بخ ، بف » : « موتهما</w:t>
            </w:r>
            <w:r>
              <w:rPr>
                <w:rtl/>
              </w:rPr>
              <w:t xml:space="preserve"> ».</w:t>
            </w:r>
          </w:p>
        </w:tc>
      </w:tr>
      <w:tr w:rsidR="00534F37" w:rsidTr="00534F37">
        <w:tc>
          <w:tcPr>
            <w:tcW w:w="4006" w:type="dxa"/>
          </w:tcPr>
          <w:p w:rsidR="00534F37" w:rsidRDefault="00534F37" w:rsidP="00E3253D">
            <w:pPr>
              <w:pStyle w:val="libFootnote0"/>
              <w:rPr>
                <w:rStyle w:val="libFootnote0Char"/>
                <w:rtl/>
              </w:rPr>
            </w:pPr>
            <w:r w:rsidRPr="0042621E">
              <w:rPr>
                <w:rStyle w:val="libFootnote0Char"/>
                <w:rtl/>
              </w:rPr>
              <w:t>(15).</w:t>
            </w:r>
            <w:r w:rsidRPr="005D642E">
              <w:rPr>
                <w:rtl/>
              </w:rPr>
              <w:t xml:space="preserve"> في « بخ » : « فقلت</w:t>
            </w:r>
            <w:r>
              <w:rPr>
                <w:rtl/>
              </w:rPr>
              <w:t xml:space="preserve"> ».وفي التهذيب</w:t>
            </w:r>
            <w:r w:rsidRPr="005D642E">
              <w:rPr>
                <w:rtl/>
              </w:rPr>
              <w:t xml:space="preserve">: </w:t>
            </w:r>
            <w:r>
              <w:rPr>
                <w:rtl/>
              </w:rPr>
              <w:t>+</w:t>
            </w:r>
            <w:r w:rsidRPr="005D642E">
              <w:rPr>
                <w:rtl/>
              </w:rPr>
              <w:t>« له</w:t>
            </w:r>
            <w:r>
              <w:rPr>
                <w:rtl/>
              </w:rPr>
              <w:t>».</w:t>
            </w:r>
          </w:p>
        </w:tc>
        <w:tc>
          <w:tcPr>
            <w:tcW w:w="4006" w:type="dxa"/>
          </w:tcPr>
          <w:p w:rsidR="00534F37" w:rsidRDefault="00534F37" w:rsidP="00E3253D">
            <w:pPr>
              <w:pStyle w:val="libFootnote0"/>
              <w:rPr>
                <w:rStyle w:val="libFootnote0Char"/>
                <w:rtl/>
              </w:rPr>
            </w:pPr>
            <w:r w:rsidRPr="005D642E">
              <w:rPr>
                <w:rtl/>
              </w:rPr>
              <w:t>(1</w:t>
            </w:r>
            <w:r>
              <w:rPr>
                <w:rtl/>
              </w:rPr>
              <w:t>6)</w:t>
            </w:r>
            <w:r w:rsidRPr="005D642E">
              <w:rPr>
                <w:rtl/>
              </w:rPr>
              <w:t xml:space="preserve"> في التهذيب :</w:t>
            </w:r>
            <w:r>
              <w:rPr>
                <w:rtl/>
              </w:rPr>
              <w:t xml:space="preserve"> - </w:t>
            </w:r>
            <w:r w:rsidRPr="005D642E">
              <w:rPr>
                <w:rtl/>
              </w:rPr>
              <w:t>« أنّه</w:t>
            </w:r>
            <w:r>
              <w:rPr>
                <w:rtl/>
              </w:rPr>
              <w:t xml:space="preserve"> ».</w:t>
            </w:r>
          </w:p>
        </w:tc>
      </w:tr>
    </w:tbl>
    <w:p w:rsidR="00E3253D" w:rsidRPr="005D642E" w:rsidRDefault="00E3253D" w:rsidP="00E3253D">
      <w:pPr>
        <w:pStyle w:val="libFootnote0"/>
        <w:rPr>
          <w:rtl/>
          <w:lang w:bidi="fa-IR"/>
        </w:rPr>
      </w:pPr>
      <w:r w:rsidRPr="005D642E">
        <w:rPr>
          <w:rtl/>
        </w:rPr>
        <w:t>(1</w:t>
      </w:r>
      <w:r>
        <w:rPr>
          <w:rtl/>
        </w:rPr>
        <w:t>7)</w:t>
      </w:r>
      <w:r w:rsidRPr="005D642E">
        <w:rPr>
          <w:rtl/>
        </w:rPr>
        <w:t xml:space="preserve"> في « بخ ، بف » : « دفن » بدون « قد</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فَقَالَ : « نَعَمْ يَا عَلِيُّ ، قَدْ دُفِنَ </w:t>
      </w:r>
      <w:r w:rsidRPr="007C12DB">
        <w:rPr>
          <w:rStyle w:val="libFootnotenumChar"/>
          <w:rtl/>
        </w:rPr>
        <w:t>(1)</w:t>
      </w:r>
      <w:r w:rsidRPr="005D642E">
        <w:rPr>
          <w:rtl/>
          <w:lang w:bidi="fa-IR"/>
        </w:rPr>
        <w:t xml:space="preserve"> نَاسٌ كَثِ</w:t>
      </w:r>
      <w:r w:rsidR="002B63DE">
        <w:rPr>
          <w:rtl/>
          <w:lang w:bidi="fa-IR"/>
        </w:rPr>
        <w:t>يرٌ أَحْيَاءً مَا مَاتُوا إِل</w:t>
      </w:r>
      <w:r w:rsidR="002B63DE">
        <w:rPr>
          <w:rFonts w:hint="cs"/>
          <w:rtl/>
          <w:lang w:bidi="fa-IR"/>
        </w:rPr>
        <w:t>َّ</w:t>
      </w:r>
      <w:r w:rsidR="002B63DE">
        <w:rPr>
          <w:rtl/>
          <w:lang w:bidi="fa-IR"/>
        </w:rPr>
        <w:t>ا</w:t>
      </w:r>
      <w:r w:rsidRPr="005D642E">
        <w:rPr>
          <w:rtl/>
          <w:lang w:bidi="fa-IR"/>
        </w:rPr>
        <w:t xml:space="preserve"> فِي قُبُورِهِمْ</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Heading2Center"/>
        <w:rPr>
          <w:rtl/>
          <w:lang w:bidi="fa-IR"/>
        </w:rPr>
      </w:pPr>
      <w:bookmarkStart w:id="482" w:name="_Toc344647372"/>
      <w:bookmarkStart w:id="483" w:name="_Toc462226886"/>
      <w:bookmarkStart w:id="484" w:name="_Toc40975994"/>
      <w:r w:rsidRPr="005D642E">
        <w:rPr>
          <w:rtl/>
          <w:lang w:bidi="fa-IR"/>
        </w:rPr>
        <w:t>75</w:t>
      </w:r>
      <w:r>
        <w:rPr>
          <w:rtl/>
          <w:lang w:bidi="fa-IR"/>
        </w:rPr>
        <w:t xml:space="preserve"> </w:t>
      </w:r>
      <w:r w:rsidR="007642BC">
        <w:rPr>
          <w:rtl/>
          <w:lang w:bidi="fa-IR"/>
        </w:rPr>
        <w:t>-</w:t>
      </w:r>
      <w:r>
        <w:rPr>
          <w:rtl/>
          <w:lang w:bidi="fa-IR"/>
        </w:rPr>
        <w:t xml:space="preserve"> </w:t>
      </w:r>
      <w:r w:rsidRPr="005D642E">
        <w:rPr>
          <w:rtl/>
          <w:lang w:bidi="fa-IR"/>
        </w:rPr>
        <w:t>بَابُ الْقَتْلى‌</w:t>
      </w:r>
      <w:bookmarkEnd w:id="482"/>
      <w:bookmarkEnd w:id="483"/>
      <w:bookmarkEnd w:id="484"/>
    </w:p>
    <w:p w:rsidR="00E3253D" w:rsidRPr="005D642E" w:rsidRDefault="00E3253D" w:rsidP="00E3253D">
      <w:pPr>
        <w:pStyle w:val="libNormal"/>
        <w:rPr>
          <w:rtl/>
          <w:lang w:bidi="fa-IR"/>
        </w:rPr>
      </w:pPr>
      <w:r w:rsidRPr="006B7A65">
        <w:rPr>
          <w:rtl/>
        </w:rPr>
        <w:t>4613</w:t>
      </w:r>
      <w:r w:rsidRPr="00246318">
        <w:rPr>
          <w:rStyle w:val="libBold2Char"/>
          <w:rtl/>
        </w:rPr>
        <w:t xml:space="preserve"> / 1.</w:t>
      </w:r>
      <w:r w:rsidRPr="005D642E">
        <w:rPr>
          <w:rtl/>
          <w:lang w:bidi="fa-IR"/>
        </w:rPr>
        <w:t xml:space="preserve"> مُحَمَّدُ بْنُ يَحْيى ، عَنْ أَحْمَدَ بْنِ مُحَمَّدٍ ، عَنْ عَلِيِّ بْنِ الْحَكَمِ ، عَنِ‌الْحُسَيْنِ بْنِ عُثْمَانَ ، عَنِ ابْنِ مُسْكَانَ ، عَنْ أَبَانِ بْنِ تَغْلِبَ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الَّذِي </w:t>
      </w:r>
      <w:r>
        <w:rPr>
          <w:rtl/>
          <w:lang w:bidi="fa-IR"/>
        </w:rPr>
        <w:t>يُقْتَلُ فِي سَبِيلِ اللهِ : أَ</w:t>
      </w:r>
      <w:r w:rsidRPr="005D642E">
        <w:rPr>
          <w:rtl/>
          <w:lang w:bidi="fa-IR"/>
        </w:rPr>
        <w:t xml:space="preserve">يُغَسَّلُ وَيُكَفَّنُ وَيُحَنَّطُ </w:t>
      </w:r>
      <w:r w:rsidRPr="007C12DB">
        <w:rPr>
          <w:rStyle w:val="libFootnotenumChar"/>
          <w:rtl/>
        </w:rPr>
        <w:t>(3)</w:t>
      </w:r>
      <w:r>
        <w:rPr>
          <w:rtl/>
          <w:lang w:bidi="fa-IR"/>
        </w:rPr>
        <w:t>؟</w:t>
      </w:r>
    </w:p>
    <w:p w:rsidR="000B6BBD" w:rsidRDefault="00E3253D" w:rsidP="000B6BBD">
      <w:pPr>
        <w:pStyle w:val="libLine"/>
        <w:rPr>
          <w:rtl/>
          <w:lang w:bidi="fa-IR"/>
        </w:rPr>
      </w:pPr>
      <w:r w:rsidRPr="005D642E">
        <w:rPr>
          <w:rtl/>
          <w:lang w:bidi="fa-IR"/>
        </w:rPr>
        <w:t>قَالَ : « يُدْفَنُ ك</w:t>
      </w:r>
      <w:r w:rsidR="000B6BBD">
        <w:rPr>
          <w:rtl/>
          <w:lang w:bidi="fa-IR"/>
        </w:rPr>
        <w:t>َمَا هُوَ فِي ثِيَابِهِ ، إِل</w:t>
      </w:r>
      <w:r w:rsidR="000B6BBD">
        <w:rPr>
          <w:rFonts w:hint="cs"/>
          <w:rtl/>
          <w:lang w:bidi="fa-IR"/>
        </w:rPr>
        <w:t>َّ</w:t>
      </w:r>
      <w:r w:rsidR="000B6BBD">
        <w:rPr>
          <w:rtl/>
          <w:lang w:bidi="fa-IR"/>
        </w:rPr>
        <w:t>ا</w:t>
      </w:r>
      <w:r w:rsidRPr="005D642E">
        <w:rPr>
          <w:rtl/>
          <w:lang w:bidi="fa-IR"/>
        </w:rPr>
        <w:t xml:space="preserve"> أَنْ يَكُونَ بِهِ رَمَقٌ ثُمَّ مَاتَ ؛ فَإِنَّهُ يُغَسَّلُ وَيُكَفَّنُ وَيُحَنَّطُ ، وَيُصَلّى عَلَيْهِ </w:t>
      </w:r>
      <w:r w:rsidRPr="007C12DB">
        <w:rPr>
          <w:rStyle w:val="libFootnotenumChar"/>
          <w:rtl/>
        </w:rPr>
        <w:t>(4)</w:t>
      </w:r>
      <w:r w:rsidRPr="005D642E">
        <w:rPr>
          <w:rtl/>
          <w:lang w:bidi="fa-IR"/>
        </w:rPr>
        <w:t xml:space="preserve"> ؛ إِنَّ رَسُولَ اللهِ </w:t>
      </w:r>
      <w:r w:rsidR="0042621E" w:rsidRPr="0042621E">
        <w:rPr>
          <w:rStyle w:val="libAlaemChar"/>
          <w:rtl/>
        </w:rPr>
        <w:t>صلى‌الله‌عليه‌وآله</w:t>
      </w:r>
      <w:r w:rsidRPr="005D642E">
        <w:rPr>
          <w:rtl/>
          <w:lang w:bidi="fa-IR"/>
        </w:rPr>
        <w:t xml:space="preserve"> صَلّى عَلى حَمْزَةَ ، وَكَفَّنَهُ </w:t>
      </w:r>
      <w:r w:rsidRPr="007C12DB">
        <w:rPr>
          <w:rStyle w:val="libFootnotenumChar"/>
          <w:rtl/>
        </w:rPr>
        <w:t>(5)</w:t>
      </w:r>
      <w:r w:rsidRPr="005D642E">
        <w:rPr>
          <w:rtl/>
          <w:lang w:bidi="fa-IR"/>
        </w:rPr>
        <w:t xml:space="preserve"> ؛ لِأَنَّهُ كَانَ قَدْ </w:t>
      </w:r>
      <w:r w:rsidRPr="007C12DB">
        <w:rPr>
          <w:rStyle w:val="libFootnotenumChar"/>
          <w:rtl/>
        </w:rPr>
        <w:t>(6)</w:t>
      </w:r>
      <w:r w:rsidRPr="005D642E">
        <w:rPr>
          <w:rtl/>
          <w:lang w:bidi="fa-IR"/>
        </w:rPr>
        <w:t xml:space="preserve"> جُرِّدَ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0B6BBD" w:rsidRPr="005D642E" w:rsidRDefault="00E3253D" w:rsidP="000B6BBD">
      <w:pPr>
        <w:pStyle w:val="libLine"/>
        <w:rPr>
          <w:rtl/>
          <w:lang w:bidi="fa-IR"/>
        </w:rPr>
      </w:pPr>
      <w:r w:rsidRPr="005D642E">
        <w:rPr>
          <w:rtl/>
          <w:lang w:bidi="fa-IR"/>
        </w:rPr>
        <w:t>‌</w:t>
      </w:r>
      <w:r w:rsidR="000B6BBD"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بف » : « دفن » بدون « قد</w:t>
      </w:r>
      <w:r w:rsidR="00E3253D">
        <w:rPr>
          <w:rtl/>
        </w:rPr>
        <w:t xml:space="preserve"> ».</w:t>
      </w:r>
    </w:p>
    <w:p w:rsidR="00E3253D" w:rsidRPr="005D642E" w:rsidRDefault="0042621E" w:rsidP="003C1CB6">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338 ، ح 991 ، بسنده عن الكليني </w:t>
      </w:r>
      <w:r w:rsidR="003C1CB6">
        <w:rPr>
          <w:rFonts w:hint="cs"/>
          <w:rtl/>
        </w:rPr>
        <w:t>.</w:t>
      </w:r>
      <w:r w:rsidR="00E3253D" w:rsidRPr="002F4D34">
        <w:rPr>
          <w:rStyle w:val="libFootnoteBoldChar"/>
          <w:rtl/>
        </w:rPr>
        <w:t>الوافي</w:t>
      </w:r>
      <w:r w:rsidR="00E3253D" w:rsidRPr="005D642E">
        <w:rPr>
          <w:rtl/>
        </w:rPr>
        <w:t xml:space="preserve"> ، ج 24 ، ص 345 ، ح 24177 ؛ </w:t>
      </w:r>
      <w:r w:rsidR="00E3253D" w:rsidRPr="002F4D34">
        <w:rPr>
          <w:rStyle w:val="libFootnoteBoldChar"/>
          <w:rtl/>
        </w:rPr>
        <w:t>الوسائل</w:t>
      </w:r>
      <w:r w:rsidR="00E3253D" w:rsidRPr="005D642E">
        <w:rPr>
          <w:rtl/>
        </w:rPr>
        <w:t xml:space="preserve"> ، ج 2 ، ص 475 ، ح 2688.</w:t>
      </w:r>
      <w:r w:rsidR="003C1CB6">
        <w:rPr>
          <w:rFonts w:hint="cs"/>
          <w:rtl/>
        </w:rPr>
        <w:t xml:space="preserve">                              </w:t>
      </w:r>
      <w:r w:rsidRPr="0042621E">
        <w:rPr>
          <w:rStyle w:val="libFootnote0Char"/>
          <w:rtl/>
        </w:rPr>
        <w:t>(3).</w:t>
      </w:r>
      <w:r w:rsidR="00E3253D" w:rsidRPr="005D642E">
        <w:rPr>
          <w:rtl/>
        </w:rPr>
        <w:t xml:space="preserve"> في الاستبصار : + « ويصلّي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الاستبصار :</w:t>
      </w:r>
      <w:r w:rsidR="00E3253D">
        <w:rPr>
          <w:rtl/>
        </w:rPr>
        <w:t xml:space="preserve"> </w:t>
      </w:r>
      <w:r w:rsidR="007642BC">
        <w:rPr>
          <w:rtl/>
        </w:rPr>
        <w:t>-</w:t>
      </w:r>
      <w:r w:rsidR="00E3253D">
        <w:rPr>
          <w:rtl/>
        </w:rPr>
        <w:t xml:space="preserve"> </w:t>
      </w:r>
      <w:r w:rsidR="00E3253D" w:rsidRPr="005D642E">
        <w:rPr>
          <w:rtl/>
        </w:rPr>
        <w:t>« ويصلّى عليه</w:t>
      </w:r>
      <w:r w:rsidR="00E3253D">
        <w:rPr>
          <w:rtl/>
        </w:rPr>
        <w:t xml:space="preserve"> ».</w:t>
      </w:r>
      <w:r w:rsidR="00E3253D" w:rsidRPr="005D642E">
        <w:rPr>
          <w:rtl/>
        </w:rPr>
        <w:t xml:space="preserve"> وقد ذكر هاهنا في </w:t>
      </w:r>
      <w:r w:rsidR="00E3253D" w:rsidRPr="002F4D34">
        <w:rPr>
          <w:rStyle w:val="libFootnoteBoldChar"/>
          <w:rtl/>
        </w:rPr>
        <w:t>مرآة العقول</w:t>
      </w:r>
      <w:r w:rsidR="00E3253D" w:rsidRPr="005D642E">
        <w:rPr>
          <w:rtl/>
        </w:rPr>
        <w:t xml:space="preserve"> ، ج 14 ، ص 144 ستّ مسائل ، قال في‌سادستها : « لاخلاف بين الأصحاب في وجوب الصلاة عليه ، قال في </w:t>
      </w:r>
      <w:r w:rsidR="00E3253D" w:rsidRPr="002F4D34">
        <w:rPr>
          <w:rStyle w:val="libFootnoteBoldChar"/>
          <w:rtl/>
        </w:rPr>
        <w:t>التذكرة</w:t>
      </w:r>
      <w:r w:rsidR="00E3253D" w:rsidRPr="005D642E">
        <w:rPr>
          <w:rtl/>
        </w:rPr>
        <w:t xml:space="preserve"> : الشهيد يصلّى عليه عند علمائنا أجمع ، وبه قال الحسن وسعيد بن المسيّب والثوري وأبو حنيفة والمزني وأحمد في رواية ، وقال الشافعي ومالك وإسحاق وأحمد في رواية : لايصلّى عليه. انتهى. أقول : هد الخبر ممّا استدلّ به الأصحاب على الوجوب ، ولايخفى أنّه يدلّ ظاهراً على أنّ الصلاة تابعة للكفن ؛ لأنّه لم يذكر الصلاة في الأوّل وذكرها في ما إذا ا</w:t>
      </w:r>
      <w:r w:rsidR="000B20C0">
        <w:rPr>
          <w:rFonts w:hint="cs"/>
          <w:rtl/>
        </w:rPr>
        <w:t>ُ</w:t>
      </w:r>
      <w:r w:rsidR="00E3253D" w:rsidRPr="005D642E">
        <w:rPr>
          <w:rtl/>
        </w:rPr>
        <w:t>خرج وبه رمق ، وعلّل صلاة حمزة وتكفينه بأنّه كان قد جرّد. ويمكن أن يؤوّل بأنّ التعليل للتكفين فقط ، وعدم ذكر الصلاة أوّلاً لايدلّ عي النفي ، وما ذكره آخراً</w:t>
      </w:r>
      <w:r w:rsidR="00E3253D">
        <w:rPr>
          <w:rtl/>
        </w:rPr>
        <w:t xml:space="preserve"> </w:t>
      </w:r>
      <w:r w:rsidR="007642BC">
        <w:rPr>
          <w:rtl/>
        </w:rPr>
        <w:t>-</w:t>
      </w:r>
      <w:r w:rsidR="00E3253D">
        <w:rPr>
          <w:rtl/>
        </w:rPr>
        <w:t xml:space="preserve"> </w:t>
      </w:r>
      <w:r w:rsidR="00E3253D" w:rsidRPr="005D642E">
        <w:rPr>
          <w:rtl/>
        </w:rPr>
        <w:t>إذا قطعنا عنه التعليل</w:t>
      </w:r>
      <w:r w:rsidR="00E3253D">
        <w:rPr>
          <w:rtl/>
        </w:rPr>
        <w:t xml:space="preserve"> </w:t>
      </w:r>
      <w:r w:rsidR="007642BC">
        <w:rPr>
          <w:rtl/>
        </w:rPr>
        <w:t>-</w:t>
      </w:r>
      <w:r w:rsidR="00E3253D">
        <w:rPr>
          <w:rtl/>
        </w:rPr>
        <w:t xml:space="preserve"> </w:t>
      </w:r>
      <w:r w:rsidR="00E3253D" w:rsidRPr="005D642E">
        <w:rPr>
          <w:rtl/>
        </w:rPr>
        <w:t>يدلّ على لزوم الصلاة مطلقاً</w:t>
      </w:r>
      <w:r w:rsidR="00E3253D">
        <w:rPr>
          <w:rtl/>
        </w:rPr>
        <w:t xml:space="preserve"> ».</w:t>
      </w:r>
      <w:r w:rsidR="00E3253D" w:rsidRPr="005D642E">
        <w:rPr>
          <w:rtl/>
        </w:rPr>
        <w:t xml:space="preserve"> وراجع : </w:t>
      </w:r>
      <w:r w:rsidR="00E3253D" w:rsidRPr="002F4D34">
        <w:rPr>
          <w:rStyle w:val="libFootnoteBoldChar"/>
          <w:rtl/>
        </w:rPr>
        <w:t>تذكرة الفقهاء</w:t>
      </w:r>
      <w:r w:rsidR="00E3253D" w:rsidRPr="005D642E">
        <w:rPr>
          <w:rtl/>
        </w:rPr>
        <w:t xml:space="preserve"> ، ج 2 ، ص 31 ، المسألة 181.</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الفقيه : + « وحنّطه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غ ، ى ، بس ، بف ، جح ، جس »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قد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كأنّ تجريده</w:t>
      </w:r>
      <w:r w:rsidR="007E66D0">
        <w:rPr>
          <w:rtl/>
        </w:rPr>
        <w:t xml:space="preserve"> كان عن بعض ثيابه دون بعض ، إل</w:t>
      </w:r>
      <w:r w:rsidR="007E66D0">
        <w:rPr>
          <w:rFonts w:hint="cs"/>
          <w:rtl/>
        </w:rPr>
        <w:t>ّ</w:t>
      </w:r>
      <w:r w:rsidR="007E66D0">
        <w:rPr>
          <w:rtl/>
        </w:rPr>
        <w:t>ا</w:t>
      </w:r>
      <w:r w:rsidR="00E3253D" w:rsidRPr="005D642E">
        <w:rPr>
          <w:rtl/>
        </w:rPr>
        <w:t xml:space="preserve"> أنّه لم يبق عليه ما يكفيه لكفنه ، ولهذا كفّنه بآخره يدلّ على ما قلناه ما يأتي ، وبهذا يتوافق الأخبار</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331 ، ح 969 ، بسنده عن الكليني. </w:t>
      </w:r>
      <w:r w:rsidR="00E3253D" w:rsidRPr="002F4D34">
        <w:rPr>
          <w:rStyle w:val="libFootnoteBoldChar"/>
          <w:rtl/>
        </w:rPr>
        <w:t>الاستبصار</w:t>
      </w:r>
      <w:r w:rsidR="00E3253D" w:rsidRPr="005D642E">
        <w:rPr>
          <w:rtl/>
        </w:rPr>
        <w:t xml:space="preserve"> ، ج 1 ، ص 214 ، ح 755 ، معلّقاً عن الكليني. </w:t>
      </w:r>
      <w:r w:rsidR="00D55C5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B7A65">
        <w:rPr>
          <w:rtl/>
        </w:rPr>
        <w:t>4614</w:t>
      </w:r>
      <w:r w:rsidRPr="00246318">
        <w:rPr>
          <w:rStyle w:val="libBold2Char"/>
          <w:rtl/>
        </w:rPr>
        <w:t xml:space="preserve"> / 2.</w:t>
      </w:r>
      <w:r w:rsidRPr="005D642E">
        <w:rPr>
          <w:rtl/>
          <w:lang w:bidi="fa-IR"/>
        </w:rPr>
        <w:t xml:space="preserve"> عَلِيُّ بْنُ إِبْرَاهِيمَ ، عَنْ أَبِيهِ ، عَنْ حَمَّادٍ ، عَنْ حَرِيزٍ ، عَنْ إِسْمَاعِيلَ بْنِ جَابِرٍ وَزُرَارَةَ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قُلْتُ لَهُ </w:t>
      </w:r>
      <w:r w:rsidRPr="007C12DB">
        <w:rPr>
          <w:rStyle w:val="libFootnotenumChar"/>
          <w:rtl/>
        </w:rPr>
        <w:t>(1)</w:t>
      </w:r>
      <w:r w:rsidRPr="005D642E">
        <w:rPr>
          <w:rtl/>
          <w:lang w:bidi="fa-IR"/>
        </w:rPr>
        <w:t xml:space="preserve"> : كَيْفَ رَأَيْتَ ، الشَّهِيدُ يُدْفَنُ بِدِمَائِهِ</w:t>
      </w:r>
      <w:r>
        <w:rPr>
          <w:rtl/>
          <w:lang w:bidi="fa-IR"/>
        </w:rPr>
        <w:t>؟</w:t>
      </w:r>
    </w:p>
    <w:p w:rsidR="00E3253D" w:rsidRPr="005D642E" w:rsidRDefault="00E3253D" w:rsidP="00E3253D">
      <w:pPr>
        <w:pStyle w:val="libNormal"/>
        <w:rPr>
          <w:rtl/>
          <w:lang w:bidi="fa-IR"/>
        </w:rPr>
      </w:pPr>
      <w:r w:rsidRPr="005D642E">
        <w:rPr>
          <w:rtl/>
          <w:lang w:bidi="fa-IR"/>
        </w:rPr>
        <w:t xml:space="preserve">قَالَ : « نَعَمْ ، فِي ثِيَابِهِ بِدِمَائِهِ </w:t>
      </w:r>
      <w:r w:rsidRPr="007C12DB">
        <w:rPr>
          <w:rStyle w:val="libFootnotenumChar"/>
          <w:rtl/>
        </w:rPr>
        <w:t>(2)</w:t>
      </w:r>
      <w:r w:rsidRPr="005D642E">
        <w:rPr>
          <w:rtl/>
          <w:lang w:bidi="fa-IR"/>
        </w:rPr>
        <w:t xml:space="preserve"> ، وَلَايُحَنَّطُ ، وَلَايُغَسَّلُ </w:t>
      </w:r>
      <w:r w:rsidRPr="007C12DB">
        <w:rPr>
          <w:rStyle w:val="libFootnotenumChar"/>
          <w:rtl/>
        </w:rPr>
        <w:t>(3)</w:t>
      </w:r>
      <w:r w:rsidRPr="005D642E">
        <w:rPr>
          <w:rtl/>
          <w:lang w:bidi="fa-IR"/>
        </w:rPr>
        <w:t xml:space="preserve"> ، وَيُدْفَنُ كَمَا هُوَ</w:t>
      </w:r>
      <w:r>
        <w:rPr>
          <w:rtl/>
          <w:lang w:bidi="fa-IR"/>
        </w:rPr>
        <w:t xml:space="preserve"> ».</w:t>
      </w:r>
    </w:p>
    <w:p w:rsidR="00E3253D" w:rsidRPr="005D642E" w:rsidRDefault="00E3253D" w:rsidP="00E3253D">
      <w:pPr>
        <w:pStyle w:val="libNormal"/>
        <w:rPr>
          <w:rtl/>
          <w:lang w:bidi="fa-IR"/>
        </w:rPr>
      </w:pPr>
      <w:r w:rsidRPr="005D642E">
        <w:rPr>
          <w:rtl/>
          <w:lang w:bidi="fa-IR"/>
        </w:rPr>
        <w:t xml:space="preserve">ثُمَّ قَالَ : « دَفَنَ رَسُولُ اللهِ </w:t>
      </w:r>
      <w:r w:rsidR="0042621E" w:rsidRPr="0042621E">
        <w:rPr>
          <w:rStyle w:val="libAlaemChar"/>
          <w:rtl/>
        </w:rPr>
        <w:t>صلى‌الله‌عليه‌وآله</w:t>
      </w:r>
      <w:r w:rsidRPr="005D642E">
        <w:rPr>
          <w:rtl/>
          <w:lang w:bidi="fa-IR"/>
        </w:rPr>
        <w:t xml:space="preserve"> عَمَّهُ حَمْزَةَ فِي ثِيَابِهِ </w:t>
      </w:r>
      <w:r w:rsidRPr="007C12DB">
        <w:rPr>
          <w:rStyle w:val="libFootnotenumChar"/>
          <w:rtl/>
        </w:rPr>
        <w:t>(4)</w:t>
      </w:r>
      <w:r w:rsidRPr="005D642E">
        <w:rPr>
          <w:rtl/>
          <w:lang w:bidi="fa-IR"/>
        </w:rPr>
        <w:t xml:space="preserve"> بِدِمَائِهِ الَّتِي أُصِيبَ فِيهَا ، وَرَدَّاهُ </w:t>
      </w:r>
      <w:r w:rsidRPr="007C12DB">
        <w:rPr>
          <w:rStyle w:val="libFootnotenumChar"/>
          <w:rtl/>
        </w:rPr>
        <w:t>(5)</w:t>
      </w:r>
      <w:r w:rsidRPr="005D642E">
        <w:rPr>
          <w:rtl/>
          <w:lang w:bidi="fa-IR"/>
        </w:rPr>
        <w:t xml:space="preserve"> النَّبِيُّ </w:t>
      </w:r>
      <w:r w:rsidR="0042621E" w:rsidRPr="0042621E">
        <w:rPr>
          <w:rStyle w:val="libAlaemChar"/>
          <w:rtl/>
        </w:rPr>
        <w:t>صلى‌الله‌عليه‌وآله</w:t>
      </w:r>
      <w:r w:rsidRPr="005D642E">
        <w:rPr>
          <w:rtl/>
          <w:lang w:bidi="fa-IR"/>
        </w:rPr>
        <w:t xml:space="preserve"> بِرِدَاءٍ </w:t>
      </w:r>
      <w:r w:rsidRPr="007C12DB">
        <w:rPr>
          <w:rStyle w:val="libFootnotenumChar"/>
          <w:rtl/>
        </w:rPr>
        <w:t>(6)</w:t>
      </w:r>
      <w:r w:rsidRPr="005D642E">
        <w:rPr>
          <w:rtl/>
          <w:lang w:bidi="fa-IR"/>
        </w:rPr>
        <w:t xml:space="preserve"> ، فَقَصُرَ عَنْ رِجْلَيْهِ ، فَدَعَا لَهُ بِإِذْخِرٍ </w:t>
      </w:r>
      <w:r w:rsidRPr="007C12DB">
        <w:rPr>
          <w:rStyle w:val="libFootnotenumChar"/>
          <w:rtl/>
        </w:rPr>
        <w:t>(7)</w:t>
      </w:r>
      <w:r w:rsidRPr="005D642E">
        <w:rPr>
          <w:rtl/>
          <w:lang w:bidi="fa-IR"/>
        </w:rPr>
        <w:t xml:space="preserve"> ، فَطَرَحَهُ عَلَيْهِ ، وَصَلّى </w:t>
      </w:r>
      <w:r w:rsidRPr="007C12DB">
        <w:rPr>
          <w:rStyle w:val="libFootnotenumChar"/>
          <w:rtl/>
        </w:rPr>
        <w:t>(8)</w:t>
      </w:r>
      <w:r w:rsidRPr="005D642E">
        <w:rPr>
          <w:rtl/>
          <w:lang w:bidi="fa-IR"/>
        </w:rPr>
        <w:t xml:space="preserve"> عَلَيْهِ سَبْعِينَ صَلَاةً </w:t>
      </w:r>
      <w:r w:rsidRPr="007C12DB">
        <w:rPr>
          <w:rStyle w:val="libFootnotenumChar"/>
          <w:rtl/>
        </w:rPr>
        <w:t>(9)</w:t>
      </w:r>
      <w:r w:rsidRPr="005D642E">
        <w:rPr>
          <w:rtl/>
          <w:lang w:bidi="fa-IR"/>
        </w:rPr>
        <w:t xml:space="preserve"> ، وَكَبَّرَ عَلَيْهِ سَبْعِينَ تَكْبِيرَةً</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1279C8" w:rsidP="00E3253D">
      <w:pPr>
        <w:pStyle w:val="libFootnote0"/>
        <w:rPr>
          <w:rtl/>
          <w:lang w:bidi="fa-IR"/>
        </w:rPr>
      </w:pPr>
      <w:r w:rsidRPr="001279C8">
        <w:rPr>
          <w:rFonts w:hint="cs"/>
          <w:rtl/>
        </w:rPr>
        <w:t xml:space="preserve">= </w:t>
      </w:r>
      <w:r w:rsidR="00E3253D" w:rsidRPr="002F4D34">
        <w:rPr>
          <w:rStyle w:val="libFootnoteBoldChar"/>
          <w:rtl/>
        </w:rPr>
        <w:t>الفقيه</w:t>
      </w:r>
      <w:r w:rsidR="00E3253D" w:rsidRPr="005D642E">
        <w:rPr>
          <w:rtl/>
        </w:rPr>
        <w:t xml:space="preserve"> ، ج 1 ، ص 159 ، ح 444 ، معلّقاً عن أبان بن تغلب ، مع اختلاف يسير </w:t>
      </w:r>
      <w:r>
        <w:rPr>
          <w:rFonts w:hint="cs"/>
          <w:rtl/>
        </w:rPr>
        <w:t>.</w:t>
      </w:r>
      <w:r w:rsidR="00E3253D" w:rsidRPr="002F4D34">
        <w:rPr>
          <w:rStyle w:val="libFootnoteBoldChar"/>
          <w:rtl/>
        </w:rPr>
        <w:t>الوافي</w:t>
      </w:r>
      <w:r w:rsidR="00E3253D" w:rsidRPr="005D642E">
        <w:rPr>
          <w:rtl/>
        </w:rPr>
        <w:t xml:space="preserve"> ، ج 24 ، ص 347 ، ح 24181 ؛ </w:t>
      </w:r>
      <w:r w:rsidR="00E3253D" w:rsidRPr="002F4D34">
        <w:rPr>
          <w:rStyle w:val="libFootnoteBoldChar"/>
          <w:rtl/>
        </w:rPr>
        <w:t>الوسائل</w:t>
      </w:r>
      <w:r w:rsidR="00E3253D" w:rsidRPr="005D642E">
        <w:rPr>
          <w:rtl/>
        </w:rPr>
        <w:t xml:space="preserve"> ، ج 2 ، ص 509 ، ح 2774.</w:t>
      </w:r>
    </w:p>
    <w:tbl>
      <w:tblPr>
        <w:tblStyle w:val="TableGrid"/>
        <w:bidiVisual/>
        <w:tblW w:w="0" w:type="auto"/>
        <w:tblLook w:val="04A0" w:firstRow="1" w:lastRow="0" w:firstColumn="1" w:lastColumn="0" w:noHBand="0" w:noVBand="1"/>
      </w:tblPr>
      <w:tblGrid>
        <w:gridCol w:w="4006"/>
        <w:gridCol w:w="4006"/>
      </w:tblGrid>
      <w:tr w:rsidR="00A50C55" w:rsidTr="00A50C55">
        <w:tc>
          <w:tcPr>
            <w:tcW w:w="4006" w:type="dxa"/>
          </w:tcPr>
          <w:p w:rsidR="00A50C55" w:rsidRDefault="00A50C55" w:rsidP="00E3253D">
            <w:pPr>
              <w:pStyle w:val="libFootnote0"/>
              <w:rPr>
                <w:rStyle w:val="libFootnote0Char"/>
                <w:rtl/>
              </w:rPr>
            </w:pPr>
            <w:r w:rsidRPr="0042621E">
              <w:rPr>
                <w:rStyle w:val="libFootnote0Char"/>
                <w:rtl/>
              </w:rPr>
              <w:t>(1).</w:t>
            </w:r>
            <w:r>
              <w:rPr>
                <w:rtl/>
              </w:rPr>
              <w:t xml:space="preserve"> </w:t>
            </w:r>
            <w:r w:rsidRPr="005D642E">
              <w:rPr>
                <w:rtl/>
              </w:rPr>
              <w:t>في « بث ، بس ، جن » :</w:t>
            </w:r>
            <w:r>
              <w:rPr>
                <w:rtl/>
              </w:rPr>
              <w:t xml:space="preserve"> - </w:t>
            </w:r>
            <w:r w:rsidRPr="005D642E">
              <w:rPr>
                <w:rtl/>
              </w:rPr>
              <w:t>« له</w:t>
            </w:r>
            <w:r>
              <w:rPr>
                <w:rtl/>
              </w:rPr>
              <w:t xml:space="preserve"> ».</w:t>
            </w:r>
          </w:p>
        </w:tc>
        <w:tc>
          <w:tcPr>
            <w:tcW w:w="4006" w:type="dxa"/>
          </w:tcPr>
          <w:p w:rsidR="00A50C55" w:rsidRDefault="00A50C55" w:rsidP="00E3253D">
            <w:pPr>
              <w:pStyle w:val="libFootnote0"/>
              <w:rPr>
                <w:rStyle w:val="libFootnote0Char"/>
                <w:rtl/>
              </w:rPr>
            </w:pPr>
            <w:r w:rsidRPr="0042621E">
              <w:rPr>
                <w:rStyle w:val="libFootnote0Char"/>
                <w:rtl/>
              </w:rPr>
              <w:t>(2).</w:t>
            </w:r>
            <w:r w:rsidRPr="005D642E">
              <w:rPr>
                <w:rtl/>
              </w:rPr>
              <w:t xml:space="preserve"> في « بف » : « ودمائه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الاستبصار : « ولا يغسّل ولا يحنّط</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CF663B">
        <w:rPr>
          <w:rStyle w:val="libFootnoteAlaemChar"/>
          <w:rtl/>
        </w:rPr>
        <w:t>عليه‌السلام</w:t>
      </w:r>
      <w:r w:rsidR="00E3253D" w:rsidRPr="005D642E">
        <w:rPr>
          <w:rtl/>
        </w:rPr>
        <w:t xml:space="preserve"> : في ثيابه ، ربّما يتوهّم المنافاة بين هذا وبين ما مرّ في الخبر السابق من تجريده ، وأقول : يمكن التوفيق بوجهين : الأوّل : أن يكون ضمير « ثيابه » راجعاً إلى الرسول </w:t>
      </w:r>
      <w:r w:rsidRPr="00CF663B">
        <w:rPr>
          <w:rStyle w:val="libFootnoteAlaemChar"/>
          <w:rtl/>
        </w:rPr>
        <w:t>صلى‌الله‌عليه‌وآله</w:t>
      </w:r>
      <w:r w:rsidR="00E3253D" w:rsidRPr="005D642E">
        <w:rPr>
          <w:rtl/>
        </w:rPr>
        <w:t xml:space="preserve"> ، وضمير « دمائه » إلى حمزة. الثاني : أن يكون المراد بالتجريد عن بعض ثيابه ، فردّاه النبيّ </w:t>
      </w:r>
      <w:r w:rsidRPr="00CF663B">
        <w:rPr>
          <w:rStyle w:val="libFootnoteAlaemChar"/>
          <w:rtl/>
        </w:rPr>
        <w:t>صلى‌الله‌عليه‌وآله</w:t>
      </w:r>
      <w:r w:rsidR="00E3253D" w:rsidRPr="005D642E">
        <w:rPr>
          <w:rtl/>
        </w:rPr>
        <w:t xml:space="preserve"> ؛ ليستتر جميع بدنه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F663B" w:rsidTr="00CF663B">
        <w:tc>
          <w:tcPr>
            <w:tcW w:w="4006" w:type="dxa"/>
          </w:tcPr>
          <w:p w:rsidR="00CF663B" w:rsidRDefault="00CF663B" w:rsidP="00E3253D">
            <w:pPr>
              <w:pStyle w:val="libFootnote0"/>
              <w:rPr>
                <w:rStyle w:val="libFootnote0Char"/>
                <w:rtl/>
              </w:rPr>
            </w:pPr>
            <w:r w:rsidRPr="0042621E">
              <w:rPr>
                <w:rStyle w:val="libFootnote0Char"/>
                <w:rtl/>
              </w:rPr>
              <w:t>(5).</w:t>
            </w:r>
            <w:r w:rsidRPr="005D642E">
              <w:rPr>
                <w:rtl/>
              </w:rPr>
              <w:t xml:space="preserve"> في التهذيب : « وزاده</w:t>
            </w:r>
            <w:r>
              <w:rPr>
                <w:rtl/>
              </w:rPr>
              <w:t xml:space="preserve"> ».</w:t>
            </w:r>
          </w:p>
        </w:tc>
        <w:tc>
          <w:tcPr>
            <w:tcW w:w="4006" w:type="dxa"/>
          </w:tcPr>
          <w:p w:rsidR="00CF663B" w:rsidRDefault="00CF663B" w:rsidP="00E3253D">
            <w:pPr>
              <w:pStyle w:val="libFootnote0"/>
              <w:rPr>
                <w:rStyle w:val="libFootnote0Char"/>
                <w:rtl/>
              </w:rPr>
            </w:pPr>
            <w:r w:rsidRPr="0042621E">
              <w:rPr>
                <w:rStyle w:val="libFootnote0Char"/>
                <w:rtl/>
              </w:rPr>
              <w:t>(6).</w:t>
            </w:r>
            <w:r w:rsidRPr="005D642E">
              <w:rPr>
                <w:rtl/>
              </w:rPr>
              <w:t xml:space="preserve"> في البحار : « بردائه</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الإذخر » بكسر الهمزة : نبات ذكيّ الريح ، إذا جفّ ابيضّ. راجع : </w:t>
      </w:r>
      <w:r w:rsidR="00E3253D" w:rsidRPr="002F4D34">
        <w:rPr>
          <w:rStyle w:val="libFootnoteBoldChar"/>
          <w:rtl/>
        </w:rPr>
        <w:t>المصباح المنير</w:t>
      </w:r>
      <w:r w:rsidR="00E3253D" w:rsidRPr="005D642E">
        <w:rPr>
          <w:rtl/>
        </w:rPr>
        <w:t xml:space="preserve"> ، ص 207 ( ذخر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البحار : « فصلّى</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CF663B">
        <w:rPr>
          <w:rStyle w:val="libFootnoteAlaemChar"/>
          <w:rtl/>
        </w:rPr>
        <w:t>عليه‌السلام</w:t>
      </w:r>
      <w:r w:rsidR="00E3253D" w:rsidRPr="005D642E">
        <w:rPr>
          <w:rtl/>
        </w:rPr>
        <w:t xml:space="preserve"> : سبعين صلاة ، أي سبعين دعاء خارجاً عن الصلاة ، أو قرأ مع كلّ تكبير دعاء بناء على ما يظهر من بعض الأخبار من أنّ تعدّد الصلاة عليه كان باعتبار التشريك. ويحتمل أن يكون السبعون في الدعاء على التغليب بناء على أنّ أكثر التكبيرات مع الدعاء. ويحتمل على بعد أن يكون المراد بالصلاة الصلاة التامّة ، وبالتكبير تكبيرة الافتتاح ، والثاني أظهر. واستدلّ بهذا الخبر أيضاً على وجوب الصلاد على الشهيد</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331 ، ح 970 ؛ </w:t>
      </w:r>
      <w:r w:rsidR="00E3253D" w:rsidRPr="00E678B5">
        <w:rPr>
          <w:rStyle w:val="libFootnoteBoldChar"/>
          <w:rtl/>
        </w:rPr>
        <w:t>والاستبصار</w:t>
      </w:r>
      <w:r w:rsidR="00E3253D" w:rsidRPr="005D642E">
        <w:rPr>
          <w:rtl/>
        </w:rPr>
        <w:t xml:space="preserve"> ، ج 1 ، ص 214 ، ح 756 ، بسندهما عن الكليني ، وفي الأخير إلى قوله : « ولا يغسّل ويدفن كما هو » </w:t>
      </w:r>
      <w:r w:rsidR="00E3253D" w:rsidRPr="002F4D34">
        <w:rPr>
          <w:rStyle w:val="libFootnoteBoldChar"/>
          <w:rtl/>
        </w:rPr>
        <w:t>الكافي</w:t>
      </w:r>
      <w:r w:rsidR="00E3253D" w:rsidRPr="005D642E">
        <w:rPr>
          <w:rtl/>
        </w:rPr>
        <w:t xml:space="preserve"> ، كتاب الجنائز ، باب من زاد على خمس تكبيرات ، ح 4514 ، بسنده عن زرارة ، وتمام الرواية فيه : « صلّى رسول الله </w:t>
      </w:r>
      <w:r w:rsidRPr="0008722D">
        <w:rPr>
          <w:rStyle w:val="libFootnoteAlaemChar"/>
          <w:rtl/>
        </w:rPr>
        <w:t>صلى‌الله‌عليه‌وآله</w:t>
      </w:r>
      <w:r w:rsidR="00E3253D" w:rsidRPr="005D642E">
        <w:rPr>
          <w:rtl/>
        </w:rPr>
        <w:t xml:space="preserve"> علي حمزة سبعين صلاة » </w:t>
      </w:r>
      <w:r w:rsidR="0008722D">
        <w:rPr>
          <w:rFonts w:hint="cs"/>
          <w:rtl/>
        </w:rPr>
        <w:t>.</w:t>
      </w:r>
      <w:r w:rsidR="00E3253D" w:rsidRPr="002F4D34">
        <w:rPr>
          <w:rStyle w:val="libFootnoteBoldChar"/>
          <w:rtl/>
        </w:rPr>
        <w:t>الوافي</w:t>
      </w:r>
      <w:r w:rsidR="00E3253D" w:rsidRPr="005D642E">
        <w:rPr>
          <w:rtl/>
        </w:rPr>
        <w:t xml:space="preserve"> ، ج 24 ، ص 348 ، ح 24182 ؛ </w:t>
      </w:r>
      <w:r w:rsidR="00E3253D" w:rsidRPr="002F4D34">
        <w:rPr>
          <w:rStyle w:val="libFootnoteBoldChar"/>
          <w:rtl/>
        </w:rPr>
        <w:t>الوسائل</w:t>
      </w:r>
      <w:r w:rsidR="00E3253D" w:rsidRPr="005D642E">
        <w:rPr>
          <w:rtl/>
        </w:rPr>
        <w:t xml:space="preserve"> ، ج 2 ، ص 509 ، ح 2775 ؛ </w:t>
      </w:r>
      <w:r w:rsidR="00E3253D" w:rsidRPr="002F4D34">
        <w:rPr>
          <w:rStyle w:val="libFootnoteBoldChar"/>
          <w:rtl/>
        </w:rPr>
        <w:t>البحار</w:t>
      </w:r>
      <w:r w:rsidR="00E3253D" w:rsidRPr="005D642E">
        <w:rPr>
          <w:rtl/>
        </w:rPr>
        <w:t xml:space="preserve"> ، ج 22 ، ص 281 ، ح 39 من قوله : « قال : دفن رسول الله </w:t>
      </w:r>
      <w:r w:rsidRPr="0008722D">
        <w:rPr>
          <w:rStyle w:val="libFootnoteAlaemChar"/>
          <w:rtl/>
        </w:rPr>
        <w:t>صلى‌الله‌عليه‌وآله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BA30BA">
        <w:rPr>
          <w:rtl/>
        </w:rPr>
        <w:t>4615</w:t>
      </w:r>
      <w:r w:rsidRPr="00246318">
        <w:rPr>
          <w:rStyle w:val="libBold2Char"/>
          <w:rtl/>
        </w:rPr>
        <w:t xml:space="preserve"> / 3.</w:t>
      </w:r>
      <w:r w:rsidRPr="005D642E">
        <w:rPr>
          <w:rtl/>
          <w:lang w:bidi="fa-IR"/>
        </w:rPr>
        <w:t xml:space="preserve"> حُمَيْدُ بْنُ زِيَادٍ ، عَنِ الْحَسَنِ بْنِ مُحَمَّدٍ ، عَنْ غَيْرِ وَاحِدٍ ، عَنْ أَبَانٍ ، عَنْ أَبِي مَرْيَمَ ، قَالَ :</w:t>
      </w:r>
    </w:p>
    <w:p w:rsidR="00E3253D" w:rsidRPr="005D642E" w:rsidRDefault="00E3253D" w:rsidP="00312BD7">
      <w:pPr>
        <w:pStyle w:val="libNormal"/>
        <w:rPr>
          <w:rtl/>
          <w:lang w:bidi="fa-IR"/>
        </w:rPr>
      </w:pPr>
      <w:r w:rsidRPr="005D642E">
        <w:rPr>
          <w:rtl/>
          <w:lang w:bidi="fa-IR"/>
        </w:rPr>
        <w:t xml:space="preserve">سَمِعْتُ أَبَا عَبْدِ اللهِ </w:t>
      </w:r>
      <w:r w:rsidR="00312BD7" w:rsidRPr="00AC51C5">
        <w:rPr>
          <w:rStyle w:val="libAlaemChar"/>
          <w:rtl/>
        </w:rPr>
        <w:t>عليه‌السلام</w:t>
      </w:r>
      <w:r w:rsidR="00312BD7" w:rsidRPr="005D642E">
        <w:rPr>
          <w:rtl/>
          <w:lang w:bidi="fa-IR"/>
        </w:rPr>
        <w:t xml:space="preserve"> </w:t>
      </w:r>
      <w:r w:rsidRPr="005D642E">
        <w:rPr>
          <w:rtl/>
          <w:lang w:bidi="fa-IR"/>
        </w:rPr>
        <w:t xml:space="preserve">يَقُولُ : « الشَّهِيدُ إِذَا كَانَ بِهِ رَمَقٌ ، غُسِّلَ وَكُفِّنَ وَحُنِّطَ وَصُلِّيَ عَلَيْهِ ، وَإِنْ لَمْ يَكُنْ بِهِ رَمَقٌ ، دُفِنَ </w:t>
      </w:r>
      <w:r w:rsidRPr="007C12DB">
        <w:rPr>
          <w:rStyle w:val="libFootnotenumChar"/>
          <w:rtl/>
        </w:rPr>
        <w:t>(1)</w:t>
      </w:r>
      <w:r w:rsidRPr="005D642E">
        <w:rPr>
          <w:rtl/>
          <w:lang w:bidi="fa-IR"/>
        </w:rPr>
        <w:t xml:space="preserve"> فِي أَثْوَابِهِ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BA30BA">
        <w:rPr>
          <w:rtl/>
        </w:rPr>
        <w:t>4616</w:t>
      </w:r>
      <w:r w:rsidRPr="00246318">
        <w:rPr>
          <w:rStyle w:val="libBold2Char"/>
          <w:rtl/>
        </w:rPr>
        <w:t xml:space="preserve"> / 4.</w:t>
      </w:r>
      <w:r w:rsidRPr="005D642E">
        <w:rPr>
          <w:rtl/>
          <w:lang w:bidi="fa-IR"/>
        </w:rPr>
        <w:t xml:space="preserve"> عِدَّةٌ مِنْ أَصْحَابِنَا ، عَنْ أَحْمَدَ بْنِ مُحَمَّدِ بْنِ خَالِدٍ ، عَنْ أَبِيهِ </w:t>
      </w:r>
      <w:r w:rsidRPr="007C12DB">
        <w:rPr>
          <w:rStyle w:val="libFootnotenumChar"/>
          <w:rtl/>
        </w:rPr>
        <w:t>(4)</w:t>
      </w:r>
      <w:r w:rsidRPr="005D642E">
        <w:rPr>
          <w:rtl/>
          <w:lang w:bidi="fa-IR"/>
        </w:rPr>
        <w:t xml:space="preserve"> ، عَنْ أَبِي الْجَوْزَاءِ ، عَنِ الْحُسَيْنِ بْنِ عُلْوَانَ ، عَنْ عَمْرِو بْنِ خَالِدٍ ، عَنْ زَيْدِ بْنِ عَلِيٍّ ، عَنْ آبَائِهِ </w:t>
      </w:r>
      <w:r w:rsidRPr="00AC51C5">
        <w:rPr>
          <w:rStyle w:val="libAlaemChar"/>
          <w:rtl/>
        </w:rPr>
        <w:t>عليهم‌السلام</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 قَالَ أَمِيرُ الْمُؤْمِنِينَ </w:t>
      </w:r>
      <w:r w:rsidRPr="007C12DB">
        <w:rPr>
          <w:rStyle w:val="libFootnotenumChar"/>
          <w:rtl/>
        </w:rPr>
        <w:t>(5)</w:t>
      </w:r>
      <w:r w:rsidRPr="005D642E">
        <w:rPr>
          <w:rtl/>
          <w:lang w:bidi="fa-IR"/>
        </w:rPr>
        <w:t xml:space="preserve"> صَلَوَاتُ اللهِ عَلَيْهِ : يُنْزَعُ عَنِ </w:t>
      </w:r>
      <w:r w:rsidRPr="007C12DB">
        <w:rPr>
          <w:rStyle w:val="libFootnotenumChar"/>
          <w:rtl/>
        </w:rPr>
        <w:t>(6)</w:t>
      </w:r>
      <w:r w:rsidRPr="005D642E">
        <w:rPr>
          <w:rtl/>
          <w:lang w:bidi="fa-IR"/>
        </w:rPr>
        <w:t xml:space="preserve"> الشَّهِيدِ : الْفَرْوُ ، وَالْخُفُّ ،</w:t>
      </w:r>
      <w:r>
        <w:rPr>
          <w:rFonts w:hint="cs"/>
          <w:rtl/>
          <w:lang w:bidi="fa-IR"/>
        </w:rPr>
        <w:t xml:space="preserve"> </w:t>
      </w:r>
      <w:r w:rsidRPr="005D642E">
        <w:rPr>
          <w:rtl/>
          <w:lang w:bidi="fa-IR"/>
        </w:rPr>
        <w:t>وَالْقَلَنْسُوَةُ ، وَالْعِمَامَةُ ، وَالْمِنْط</w:t>
      </w:r>
      <w:r w:rsidR="003009FC">
        <w:rPr>
          <w:rtl/>
          <w:lang w:bidi="fa-IR"/>
        </w:rPr>
        <w:t>َقَةُ ، وَالسَّرَاوِيلُ ، إِل</w:t>
      </w:r>
      <w:r w:rsidR="003009FC">
        <w:rPr>
          <w:rFonts w:hint="cs"/>
          <w:rtl/>
          <w:lang w:bidi="fa-IR"/>
        </w:rPr>
        <w:t>َّ</w:t>
      </w:r>
      <w:r w:rsidR="003009FC">
        <w:rPr>
          <w:rtl/>
          <w:lang w:bidi="fa-IR"/>
        </w:rPr>
        <w:t>ا</w:t>
      </w:r>
      <w:r w:rsidRPr="005D642E">
        <w:rPr>
          <w:rtl/>
          <w:lang w:bidi="fa-IR"/>
        </w:rPr>
        <w:t xml:space="preserve"> أَنْ يَكُونَ أَصَابَهُ دَمٌ ، فَإِنْ أَصَابَهُ دَمٌ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D0695" w:rsidTr="00FD0695">
        <w:tc>
          <w:tcPr>
            <w:tcW w:w="4006" w:type="dxa"/>
          </w:tcPr>
          <w:p w:rsidR="00FD0695" w:rsidRDefault="00FD0695" w:rsidP="00E3253D">
            <w:pPr>
              <w:pStyle w:val="libFootnote0"/>
              <w:rPr>
                <w:rStyle w:val="libFootnote0Char"/>
                <w:rtl/>
              </w:rPr>
            </w:pPr>
            <w:r w:rsidRPr="0042621E">
              <w:rPr>
                <w:rStyle w:val="libFootnote0Char"/>
                <w:rtl/>
              </w:rPr>
              <w:t>(1).</w:t>
            </w:r>
            <w:r>
              <w:rPr>
                <w:rtl/>
              </w:rPr>
              <w:t xml:space="preserve"> </w:t>
            </w:r>
            <w:r w:rsidRPr="005D642E">
              <w:rPr>
                <w:rtl/>
              </w:rPr>
              <w:t>في الفقيه : « كفّن</w:t>
            </w:r>
            <w:r>
              <w:rPr>
                <w:rtl/>
              </w:rPr>
              <w:t xml:space="preserve"> ».</w:t>
            </w:r>
          </w:p>
        </w:tc>
        <w:tc>
          <w:tcPr>
            <w:tcW w:w="4006" w:type="dxa"/>
          </w:tcPr>
          <w:p w:rsidR="00FD0695" w:rsidRDefault="00FD0695" w:rsidP="00E3253D">
            <w:pPr>
              <w:pStyle w:val="libFootnote0"/>
              <w:rPr>
                <w:rStyle w:val="libFootnote0Char"/>
                <w:rtl/>
              </w:rPr>
            </w:pPr>
            <w:r w:rsidRPr="0042621E">
              <w:rPr>
                <w:rStyle w:val="libFootnote0Char"/>
                <w:rtl/>
              </w:rPr>
              <w:t>(2).</w:t>
            </w:r>
            <w:r w:rsidRPr="005D642E">
              <w:rPr>
                <w:rtl/>
              </w:rPr>
              <w:t xml:space="preserve"> في « بخ ، بف » : « في ثيابه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331 ، ح 971 ؛ </w:t>
      </w:r>
      <w:r w:rsidR="00E3253D" w:rsidRPr="00E678B5">
        <w:rPr>
          <w:rStyle w:val="libFootnoteBoldChar"/>
          <w:rtl/>
        </w:rPr>
        <w:t>والاستبصار</w:t>
      </w:r>
      <w:r w:rsidR="00E3253D" w:rsidRPr="005D642E">
        <w:rPr>
          <w:rtl/>
        </w:rPr>
        <w:t xml:space="preserve"> ، ج 1 ، ص 214 ، ح 757 ، بسندهما عن الكليني. </w:t>
      </w:r>
      <w:r w:rsidR="00E3253D" w:rsidRPr="002F4D34">
        <w:rPr>
          <w:rStyle w:val="libFootnoteBoldChar"/>
          <w:rtl/>
        </w:rPr>
        <w:t>الفقيه</w:t>
      </w:r>
      <w:r w:rsidR="00E3253D" w:rsidRPr="005D642E">
        <w:rPr>
          <w:rtl/>
        </w:rPr>
        <w:t xml:space="preserve"> ، ج 1 ، ص 159 ، ح 443 ، معلّقاً عن أبي مريم الأنصاري </w:t>
      </w:r>
      <w:r w:rsidR="008D6D59">
        <w:rPr>
          <w:rFonts w:hint="cs"/>
          <w:rtl/>
        </w:rPr>
        <w:t>.</w:t>
      </w:r>
      <w:r w:rsidR="00E3253D" w:rsidRPr="002F4D34">
        <w:rPr>
          <w:rStyle w:val="libFootnoteBoldChar"/>
          <w:rtl/>
        </w:rPr>
        <w:t>الوافي</w:t>
      </w:r>
      <w:r w:rsidR="00E3253D" w:rsidRPr="005D642E">
        <w:rPr>
          <w:rtl/>
        </w:rPr>
        <w:t xml:space="preserve"> ، ج 24 ، ص 348 ، ح 24183 ؛ </w:t>
      </w:r>
      <w:r w:rsidR="00E3253D" w:rsidRPr="002F4D34">
        <w:rPr>
          <w:rStyle w:val="libFootnoteBoldChar"/>
          <w:rtl/>
        </w:rPr>
        <w:t>الوسائل</w:t>
      </w:r>
      <w:r w:rsidR="00E3253D" w:rsidRPr="005D642E">
        <w:rPr>
          <w:rtl/>
        </w:rPr>
        <w:t xml:space="preserve"> ، ج 2 ، ص 506 ، ذيل ح 2768.</w:t>
      </w:r>
    </w:p>
    <w:p w:rsidR="008D6D59" w:rsidRDefault="0042621E" w:rsidP="00E3253D">
      <w:pPr>
        <w:pStyle w:val="libFootnote0"/>
        <w:rPr>
          <w:rtl/>
        </w:rPr>
      </w:pPr>
      <w:r w:rsidRPr="0042621E">
        <w:rPr>
          <w:rStyle w:val="libFootnote0Char"/>
          <w:rtl/>
        </w:rPr>
        <w:t>(4).</w:t>
      </w:r>
      <w:r w:rsidR="00E3253D" w:rsidRPr="005D642E">
        <w:rPr>
          <w:rtl/>
        </w:rPr>
        <w:t xml:space="preserve"> الخبر رواه الصدوق في </w:t>
      </w:r>
      <w:r w:rsidR="00E3253D" w:rsidRPr="002F4D34">
        <w:rPr>
          <w:rStyle w:val="libFootnoteBoldChar"/>
          <w:rtl/>
        </w:rPr>
        <w:t>الخصال</w:t>
      </w:r>
      <w:r w:rsidR="00E3253D" w:rsidRPr="005D642E">
        <w:rPr>
          <w:rtl/>
        </w:rPr>
        <w:t xml:space="preserve"> ، ص 333 ، ح 33 ، بسنده عن أحمد بن أبي عبدالله البرقي ، عن أبي الجوزاءالمنبّه بن عبدالله ، عن الحسين بن علوان. وأحمد بن أبي عبدالله ، هو أحمد بن محمّد بن خالد. </w:t>
      </w:r>
    </w:p>
    <w:p w:rsidR="00E3253D" w:rsidRPr="005D642E" w:rsidRDefault="00E3253D" w:rsidP="00E3253D">
      <w:pPr>
        <w:pStyle w:val="libFootnote0"/>
        <w:rPr>
          <w:rtl/>
          <w:lang w:bidi="fa-IR"/>
        </w:rPr>
      </w:pPr>
      <w:r w:rsidRPr="005D642E">
        <w:rPr>
          <w:rtl/>
        </w:rPr>
        <w:t xml:space="preserve">ويأتي في ح 4623 ، رواية عدّة من أصحابنا ، عن أحمد بن محمّد بن خالد ، عن أبي الجوزاء ، عن الحسين بن علوان ، عن عمرو بن خالد ، عن زيد بن عليّ ، عن أبائه </w:t>
      </w:r>
      <w:r w:rsidRPr="008D6D59">
        <w:rPr>
          <w:rStyle w:val="libFootnoteAlaemChar"/>
          <w:rtl/>
        </w:rPr>
        <w:t>عليهم‌السلام</w:t>
      </w:r>
      <w:r w:rsidRPr="005D642E">
        <w:rPr>
          <w:rtl/>
        </w:rPr>
        <w:t xml:space="preserve"> ، قال : قال : أميرالمؤمنين </w:t>
      </w:r>
      <w:r w:rsidRPr="008D6D59">
        <w:rPr>
          <w:rStyle w:val="libFootnoteAlaemChar"/>
          <w:rtl/>
        </w:rPr>
        <w:t>عليه‌السلام</w:t>
      </w:r>
      <w:r w:rsidRPr="005D642E">
        <w:rPr>
          <w:rtl/>
        </w:rPr>
        <w:t>.</w:t>
      </w:r>
    </w:p>
    <w:p w:rsidR="00E3253D" w:rsidRPr="005D642E" w:rsidRDefault="00E3253D" w:rsidP="00E3253D">
      <w:pPr>
        <w:pStyle w:val="libFootnote0"/>
        <w:rPr>
          <w:rtl/>
          <w:lang w:bidi="fa-IR"/>
        </w:rPr>
      </w:pPr>
      <w:r w:rsidRPr="00B60612">
        <w:rPr>
          <w:rtl/>
        </w:rPr>
        <w:t xml:space="preserve">والظاهر زيادة « عن أبيه » في ما نحن فيه ؛ فإنّ طبقة أبي الجوزاء لاتلائم رواية محمّد بن خالد البرقي عنه ؛ فقد روى محمّد بن الحسن الصفّار ومحمّد بن عبدالجبّار كتابه. وورد في الأسناد رواية إبراهيم بن هاشم وسعد بن عبدالله عنه. راجع : </w:t>
      </w:r>
      <w:r w:rsidRPr="002F4D34">
        <w:rPr>
          <w:rStyle w:val="libFootnoteBoldChar"/>
          <w:rtl/>
        </w:rPr>
        <w:t>رجال النجاشي</w:t>
      </w:r>
      <w:r w:rsidRPr="00B60612">
        <w:rPr>
          <w:rtl/>
        </w:rPr>
        <w:t xml:space="preserve"> ، ص 459 ، الرقم 1252 ؛ </w:t>
      </w:r>
      <w:r w:rsidRPr="002F4D34">
        <w:rPr>
          <w:rStyle w:val="libFootnoteBoldChar"/>
          <w:rtl/>
        </w:rPr>
        <w:t>معجم رجال الحديث</w:t>
      </w:r>
      <w:r w:rsidRPr="00B60612">
        <w:rPr>
          <w:rtl/>
        </w:rPr>
        <w:t xml:space="preserve"> ، ج 21 ، ص 369.</w:t>
      </w:r>
    </w:p>
    <w:p w:rsidR="00E3253D" w:rsidRPr="005D642E" w:rsidRDefault="00E3253D" w:rsidP="00E3253D">
      <w:pPr>
        <w:pStyle w:val="libFootnote0"/>
        <w:rPr>
          <w:rtl/>
          <w:lang w:bidi="fa-IR"/>
        </w:rPr>
      </w:pPr>
      <w:r w:rsidRPr="00B60612">
        <w:rPr>
          <w:rtl/>
        </w:rPr>
        <w:t xml:space="preserve">هذا ، وقد تكرّر في الأسناد رواية محمّد بن أحمد [ بن يحيى ] ، عن أبي جعفر ، عن أبي الجوزاء ، عن الحسين بن علوان ، عن عمرو بن خالد ، والمتتّبع في الأسناد يرى أنّ المراد من أبي جعفر في لسان محمّد بن أحمد بن يحيى ، هو أحمد بن محمّد بن خالد. راجع : </w:t>
      </w:r>
      <w:r w:rsidRPr="002F4D34">
        <w:rPr>
          <w:rStyle w:val="libFootnoteBoldChar"/>
          <w:rtl/>
        </w:rPr>
        <w:t>معجم رجال الحديث</w:t>
      </w:r>
      <w:r w:rsidRPr="00B60612">
        <w:rPr>
          <w:rtl/>
        </w:rPr>
        <w:t xml:space="preserve"> ، ج 21 ، ص 368.</w:t>
      </w:r>
    </w:p>
    <w:p w:rsidR="00E3253D" w:rsidRPr="005D642E" w:rsidRDefault="00E3253D" w:rsidP="00E3253D">
      <w:pPr>
        <w:pStyle w:val="libFootnote0"/>
        <w:rPr>
          <w:rtl/>
          <w:lang w:bidi="fa-IR"/>
        </w:rPr>
      </w:pPr>
      <w:r w:rsidRPr="00B60612">
        <w:rPr>
          <w:rtl/>
        </w:rPr>
        <w:t xml:space="preserve">ويؤيّد ذلك أنّ ما أشرنا إليه ؛ ممّا ورد في </w:t>
      </w:r>
      <w:r w:rsidRPr="002F4D34">
        <w:rPr>
          <w:rStyle w:val="libFootnoteBoldChar"/>
          <w:rtl/>
        </w:rPr>
        <w:t>الكافي</w:t>
      </w:r>
      <w:r w:rsidRPr="00B60612">
        <w:rPr>
          <w:rtl/>
        </w:rPr>
        <w:t xml:space="preserve"> ، ح 4623 ، رواه الشيخ الطوسي في </w:t>
      </w:r>
      <w:r w:rsidRPr="002F4D34">
        <w:rPr>
          <w:rStyle w:val="libFootnoteBoldChar"/>
          <w:rtl/>
        </w:rPr>
        <w:t>التهذيب</w:t>
      </w:r>
      <w:r w:rsidRPr="00B60612">
        <w:rPr>
          <w:rtl/>
        </w:rPr>
        <w:t xml:space="preserve"> ، ج 1 ، ص 333 ، ح 975 ، بسنده عن محمّد بن أحمد بن يحيى ، عن أبي جعفر ، عن أبي الجوزاء.</w:t>
      </w:r>
    </w:p>
    <w:tbl>
      <w:tblPr>
        <w:tblStyle w:val="TableGrid"/>
        <w:bidiVisual/>
        <w:tblW w:w="0" w:type="auto"/>
        <w:tblLook w:val="04A0" w:firstRow="1" w:lastRow="0" w:firstColumn="1" w:lastColumn="0" w:noHBand="0" w:noVBand="1"/>
      </w:tblPr>
      <w:tblGrid>
        <w:gridCol w:w="4006"/>
        <w:gridCol w:w="4006"/>
      </w:tblGrid>
      <w:tr w:rsidR="008D6D59" w:rsidTr="008D6D59">
        <w:tc>
          <w:tcPr>
            <w:tcW w:w="4006" w:type="dxa"/>
          </w:tcPr>
          <w:p w:rsidR="008D6D59" w:rsidRDefault="008D6D59" w:rsidP="00E3253D">
            <w:pPr>
              <w:pStyle w:val="libFootnote0"/>
              <w:rPr>
                <w:rStyle w:val="libFootnote0Char"/>
                <w:rtl/>
              </w:rPr>
            </w:pPr>
            <w:r w:rsidRPr="0042621E">
              <w:rPr>
                <w:rStyle w:val="libFootnote0Char"/>
                <w:rtl/>
              </w:rPr>
              <w:t>(5).</w:t>
            </w:r>
            <w:r w:rsidRPr="005D642E">
              <w:rPr>
                <w:rtl/>
              </w:rPr>
              <w:t xml:space="preserve"> في « جس » : + « عليّ</w:t>
            </w:r>
            <w:r>
              <w:rPr>
                <w:rtl/>
              </w:rPr>
              <w:t xml:space="preserve"> ».</w:t>
            </w:r>
          </w:p>
        </w:tc>
        <w:tc>
          <w:tcPr>
            <w:tcW w:w="4006" w:type="dxa"/>
          </w:tcPr>
          <w:p w:rsidR="008D6D59" w:rsidRDefault="008D6D59" w:rsidP="00E3253D">
            <w:pPr>
              <w:pStyle w:val="libFootnote0"/>
              <w:rPr>
                <w:rStyle w:val="libFootnote0Char"/>
                <w:rtl/>
              </w:rPr>
            </w:pPr>
            <w:r w:rsidRPr="0042621E">
              <w:rPr>
                <w:rStyle w:val="libFootnote0Char"/>
                <w:rtl/>
              </w:rPr>
              <w:t>(6).</w:t>
            </w:r>
            <w:r w:rsidRPr="005D642E">
              <w:rPr>
                <w:rtl/>
              </w:rPr>
              <w:t xml:space="preserve"> في « بخ ، بف » : « من</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بف ، جس » </w:t>
      </w:r>
      <w:r w:rsidR="009E68BB" w:rsidRPr="009E68BB">
        <w:rPr>
          <w:rStyle w:val="libFootnoteBoldChar"/>
          <w:rtl/>
        </w:rPr>
        <w:t>والخصال</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فإن أصابه دم</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تُرِكَ </w:t>
      </w:r>
      <w:r w:rsidRPr="007C12DB">
        <w:rPr>
          <w:rStyle w:val="libFootnotenumChar"/>
          <w:rtl/>
        </w:rPr>
        <w:t>(1)</w:t>
      </w:r>
      <w:r w:rsidRPr="005D642E">
        <w:rPr>
          <w:rtl/>
          <w:lang w:bidi="fa-IR"/>
        </w:rPr>
        <w:t xml:space="preserve"> ، وَلَايُتْرَكُ ع</w:t>
      </w:r>
      <w:r w:rsidR="002A57AB">
        <w:rPr>
          <w:rtl/>
          <w:lang w:bidi="fa-IR"/>
        </w:rPr>
        <w:t>َلَيْهِ شَيْ‌ءٌ مَعْقُودٌ إِل</w:t>
      </w:r>
      <w:r w:rsidR="002A57AB">
        <w:rPr>
          <w:rFonts w:hint="cs"/>
          <w:rtl/>
          <w:lang w:bidi="fa-IR"/>
        </w:rPr>
        <w:t>َّ</w:t>
      </w:r>
      <w:r w:rsidR="002A57AB">
        <w:rPr>
          <w:rtl/>
          <w:lang w:bidi="fa-IR"/>
        </w:rPr>
        <w:t>ا</w:t>
      </w:r>
      <w:r w:rsidRPr="005D642E">
        <w:rPr>
          <w:rtl/>
          <w:lang w:bidi="fa-IR"/>
        </w:rPr>
        <w:t xml:space="preserve"> حُلَّ</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A30BA">
        <w:rPr>
          <w:rtl/>
        </w:rPr>
        <w:t>4617</w:t>
      </w:r>
      <w:r w:rsidRPr="00246318">
        <w:rPr>
          <w:rStyle w:val="libBold2Char"/>
          <w:rtl/>
        </w:rPr>
        <w:t xml:space="preserve"> / 5.</w:t>
      </w:r>
      <w:r w:rsidRPr="005D642E">
        <w:rPr>
          <w:rtl/>
          <w:lang w:bidi="fa-IR"/>
        </w:rPr>
        <w:t xml:space="preserve"> عَلِيُّ بْنُ إِبْرَاهِيمَ ، عَنْ أَبِيهِ ، عَنِ ابْنِ مَحْبُوبٍ ، عَنِ ابْنِ سِنَانٍ ، عَنْ أَبَانِ بْنِ تَغْلِبَ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الَّذِي يُقْتَلُ فِي سَبِيلِ اللهِ يُدْفَنُ فِي ثِيَ</w:t>
      </w:r>
      <w:r w:rsidR="000B710F">
        <w:rPr>
          <w:rtl/>
          <w:lang w:bidi="fa-IR"/>
        </w:rPr>
        <w:t>ابِهِ ، وَلَا يُغَسَّلُ ، إِل</w:t>
      </w:r>
      <w:r w:rsidR="000B710F">
        <w:rPr>
          <w:rFonts w:hint="cs"/>
          <w:rtl/>
          <w:lang w:bidi="fa-IR"/>
        </w:rPr>
        <w:t>َّ</w:t>
      </w:r>
      <w:r w:rsidR="000B710F">
        <w:rPr>
          <w:rtl/>
          <w:lang w:bidi="fa-IR"/>
        </w:rPr>
        <w:t>ا</w:t>
      </w:r>
      <w:r w:rsidRPr="005D642E">
        <w:rPr>
          <w:rtl/>
          <w:lang w:bidi="fa-IR"/>
        </w:rPr>
        <w:t xml:space="preserve"> أَنْ يُدْرِكَهُ الْمُسْلِمُونَ وَبِهِ رَمَقٌ ، ثُمَّ يَمُوتَ بَعْدُ ؛ فَإِنَّهُ يُغَسَّلُ وَيُكَفَّنُ وَيُحَنَّطُ ؛ إِنَّ رَسُولَ اللهِ </w:t>
      </w:r>
      <w:r w:rsidR="0042621E" w:rsidRPr="0042621E">
        <w:rPr>
          <w:rStyle w:val="libAlaemChar"/>
          <w:rtl/>
        </w:rPr>
        <w:t>صلى‌الله‌عليه‌وآله</w:t>
      </w:r>
      <w:r w:rsidRPr="005D642E">
        <w:rPr>
          <w:rtl/>
          <w:lang w:bidi="fa-IR"/>
        </w:rPr>
        <w:t xml:space="preserve"> كَفَّنَ حَمْزَةَ فِي ثِيَابِهِ </w:t>
      </w:r>
      <w:r w:rsidRPr="007C12DB">
        <w:rPr>
          <w:rStyle w:val="libFootnotenumChar"/>
          <w:rtl/>
        </w:rPr>
        <w:t>(3)</w:t>
      </w:r>
      <w:r w:rsidRPr="005D642E">
        <w:rPr>
          <w:rtl/>
          <w:lang w:bidi="fa-IR"/>
        </w:rPr>
        <w:t xml:space="preserve"> ، وَلَمْ يُغَسِّلْهُ ، وَلكِنَّهُ </w:t>
      </w:r>
      <w:r w:rsidRPr="007C12DB">
        <w:rPr>
          <w:rStyle w:val="libFootnotenumChar"/>
          <w:rtl/>
        </w:rPr>
        <w:t>(4)</w:t>
      </w:r>
      <w:r w:rsidRPr="005D642E">
        <w:rPr>
          <w:rtl/>
          <w:lang w:bidi="fa-IR"/>
        </w:rPr>
        <w:t xml:space="preserve"> صَلّى عَلَيْهِ</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Heading2Center"/>
        <w:rPr>
          <w:rtl/>
          <w:lang w:bidi="fa-IR"/>
        </w:rPr>
      </w:pPr>
      <w:bookmarkStart w:id="485" w:name="_Toc344647373"/>
      <w:bookmarkStart w:id="486" w:name="_Toc462226887"/>
      <w:bookmarkStart w:id="487" w:name="_Toc40975995"/>
      <w:r w:rsidRPr="005D642E">
        <w:rPr>
          <w:rtl/>
          <w:lang w:bidi="fa-IR"/>
        </w:rPr>
        <w:t>76</w:t>
      </w:r>
      <w:r>
        <w:rPr>
          <w:rtl/>
          <w:lang w:bidi="fa-IR"/>
        </w:rPr>
        <w:t xml:space="preserve"> </w:t>
      </w:r>
      <w:r w:rsidR="007642BC">
        <w:rPr>
          <w:rtl/>
          <w:lang w:bidi="fa-IR"/>
        </w:rPr>
        <w:t>-</w:t>
      </w:r>
      <w:r>
        <w:rPr>
          <w:rtl/>
          <w:lang w:bidi="fa-IR"/>
        </w:rPr>
        <w:t xml:space="preserve"> </w:t>
      </w:r>
      <w:r w:rsidRPr="005D642E">
        <w:rPr>
          <w:rtl/>
          <w:lang w:bidi="fa-IR"/>
        </w:rPr>
        <w:t xml:space="preserve">بَابُ أَكِيلِ السَّبُعِ وَالطَّيْرِ وَالْقَتِيلِ يُوجَدُ بَعْضُ جَسَدِهِ وَالْحَرِيقِ </w:t>
      </w:r>
      <w:r w:rsidRPr="007C12DB">
        <w:rPr>
          <w:rStyle w:val="libFootnotenumChar"/>
          <w:rtl/>
        </w:rPr>
        <w:t>(6)</w:t>
      </w:r>
      <w:r w:rsidRPr="005D642E">
        <w:rPr>
          <w:rtl/>
          <w:lang w:bidi="fa-IR"/>
        </w:rPr>
        <w:t xml:space="preserve"> ‌</w:t>
      </w:r>
      <w:bookmarkEnd w:id="485"/>
      <w:bookmarkEnd w:id="486"/>
      <w:bookmarkEnd w:id="487"/>
    </w:p>
    <w:p w:rsidR="00E3253D" w:rsidRPr="005D642E" w:rsidRDefault="00E3253D" w:rsidP="00E3253D">
      <w:pPr>
        <w:pStyle w:val="libNormal"/>
        <w:rPr>
          <w:rtl/>
          <w:lang w:bidi="fa-IR"/>
        </w:rPr>
      </w:pPr>
      <w:r w:rsidRPr="00BA30BA">
        <w:rPr>
          <w:rtl/>
        </w:rPr>
        <w:t>4618</w:t>
      </w:r>
      <w:r w:rsidRPr="00246318">
        <w:rPr>
          <w:rStyle w:val="libBold2Char"/>
          <w:rtl/>
        </w:rPr>
        <w:t xml:space="preserve"> / 1.</w:t>
      </w:r>
      <w:r w:rsidRPr="005D642E">
        <w:rPr>
          <w:rtl/>
          <w:lang w:bidi="fa-IR"/>
        </w:rPr>
        <w:t xml:space="preserve"> مُحَمَّدُ بْنُ يَحْيى ، عَنِ الْعَمْرَكِيِّ ، عَنْ عَلِيِّ بْنِ جَعْفَرٍ :</w:t>
      </w:r>
    </w:p>
    <w:p w:rsidR="00E3253D" w:rsidRPr="005D642E" w:rsidRDefault="00E3253D" w:rsidP="00E3253D">
      <w:pPr>
        <w:pStyle w:val="libNormal"/>
        <w:rPr>
          <w:rtl/>
          <w:lang w:bidi="fa-IR"/>
        </w:rPr>
      </w:pPr>
      <w:r w:rsidRPr="005D642E">
        <w:rPr>
          <w:rtl/>
          <w:lang w:bidi="fa-IR"/>
        </w:rPr>
        <w:t xml:space="preserve">عَنْ أَخِيهِ أَبِي الْحَسَنِ </w:t>
      </w:r>
      <w:r w:rsidRPr="00AC51C5">
        <w:rPr>
          <w:rStyle w:val="libAlaemChar"/>
          <w:rtl/>
        </w:rPr>
        <w:t>عليه‌السلام</w:t>
      </w:r>
      <w:r w:rsidRPr="005D642E">
        <w:rPr>
          <w:rtl/>
          <w:lang w:bidi="fa-IR"/>
        </w:rPr>
        <w:t xml:space="preserve"> ، قَالَ : سَأَلْتُهُ عَنِ الرَّجُلِ يَأْكُلُهُ السَّبُعُ وَالطَّيْرُ </w:t>
      </w:r>
      <w:r w:rsidRPr="007C12DB">
        <w:rPr>
          <w:rStyle w:val="libFootnotenumChar"/>
          <w:rtl/>
        </w:rPr>
        <w:t>(7)</w:t>
      </w:r>
      <w:r w:rsidRPr="005D642E">
        <w:rPr>
          <w:rtl/>
          <w:lang w:bidi="fa-IR"/>
        </w:rPr>
        <w:t xml:space="preserve"> ، فَتَبْقى </w:t>
      </w:r>
      <w:r w:rsidRPr="007C12DB">
        <w:rPr>
          <w:rStyle w:val="libFootnotenumChar"/>
          <w:rtl/>
        </w:rPr>
        <w:t>(8)</w:t>
      </w:r>
      <w:r w:rsidRPr="005D642E">
        <w:rPr>
          <w:rtl/>
          <w:lang w:bidi="fa-IR"/>
        </w:rPr>
        <w:t xml:space="preserve"> عِظَامُهُ بِغَيْرِ لَحْمٍ : كَيْفَ يُصْنَعُ بِهِ</w:t>
      </w:r>
      <w:r>
        <w:rPr>
          <w:rtl/>
          <w:lang w:bidi="fa-IR"/>
        </w:rPr>
        <w:t>؟</w:t>
      </w:r>
    </w:p>
    <w:p w:rsidR="00E3253D" w:rsidRPr="005D642E" w:rsidRDefault="00E3253D" w:rsidP="00E3253D">
      <w:pPr>
        <w:pStyle w:val="libNormal"/>
        <w:rPr>
          <w:rtl/>
          <w:lang w:bidi="fa-IR"/>
        </w:rPr>
      </w:pPr>
      <w:r w:rsidRPr="005D642E">
        <w:rPr>
          <w:rtl/>
          <w:lang w:bidi="fa-IR"/>
        </w:rPr>
        <w:t xml:space="preserve">قَالَ : « يُغَسَّلُ وَيُكَفَّنُ وَيُصَلّى عَلَيْهِ وَيُدْفَنُ ، وَإِذَا </w:t>
      </w:r>
      <w:r w:rsidRPr="007C12DB">
        <w:rPr>
          <w:rStyle w:val="libFootnotenumChar"/>
          <w:rtl/>
        </w:rPr>
        <w:t>(9)</w:t>
      </w:r>
      <w:r w:rsidRPr="005D642E">
        <w:rPr>
          <w:rtl/>
          <w:lang w:bidi="fa-IR"/>
        </w:rPr>
        <w:t xml:space="preserve"> كَانَ الْمَيِّتُ نِصْفَيْنِ ، صُلِّيَ عَلَى‌</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 + « عليه</w:t>
      </w:r>
      <w:r w:rsidR="00E3253D">
        <w:rPr>
          <w:rtl/>
        </w:rPr>
        <w:t xml:space="preserve"> ».</w:t>
      </w:r>
      <w:r w:rsidR="00E3253D" w:rsidRPr="005D642E">
        <w:rPr>
          <w:rtl/>
        </w:rPr>
        <w:t xml:space="preserve"> وفي الخصال : « فيترك</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1 ، ص 332 ، ح 972 ، بسنده عن الكليني. </w:t>
      </w:r>
      <w:r w:rsidR="00E3253D" w:rsidRPr="002F4D34">
        <w:rPr>
          <w:rStyle w:val="libFootnoteBoldChar"/>
          <w:rtl/>
        </w:rPr>
        <w:t>الخصال</w:t>
      </w:r>
      <w:r w:rsidR="00E3253D" w:rsidRPr="005D642E">
        <w:rPr>
          <w:rtl/>
        </w:rPr>
        <w:t xml:space="preserve"> ، ص 333 ، باب الستّة ، ح 33 ، بسنده عن أحمد بن أبي عبدالله البرقي ، عن أبي الجوزاء المنبّه بن عبدالله ، عن الحسين بن علوان. </w:t>
      </w:r>
      <w:r w:rsidR="00E3253D" w:rsidRPr="002F4D34">
        <w:rPr>
          <w:rStyle w:val="libFootnoteBoldChar"/>
          <w:rtl/>
        </w:rPr>
        <w:t>الفقيه</w:t>
      </w:r>
      <w:r w:rsidR="00E3253D" w:rsidRPr="005D642E">
        <w:rPr>
          <w:rtl/>
        </w:rPr>
        <w:t xml:space="preserve"> ، ج 1 ، ص 159 ، ح 446 ، مرسلاً عن أميرالمؤمنين </w:t>
      </w:r>
      <w:r w:rsidR="00E3253D" w:rsidRPr="00B00082">
        <w:rPr>
          <w:rStyle w:val="libFootnoteAlaemChar"/>
          <w:rtl/>
        </w:rPr>
        <w:t>عليه‌السلام</w:t>
      </w:r>
      <w:r w:rsidR="00E3253D" w:rsidRPr="005D642E">
        <w:rPr>
          <w:rtl/>
        </w:rPr>
        <w:t xml:space="preserve"> </w:t>
      </w:r>
      <w:r w:rsidR="00350B00">
        <w:rPr>
          <w:rFonts w:hint="cs"/>
          <w:rtl/>
        </w:rPr>
        <w:t>.</w:t>
      </w:r>
      <w:r w:rsidR="00E3253D" w:rsidRPr="002F4D34">
        <w:rPr>
          <w:rStyle w:val="libFootnoteBoldChar"/>
          <w:rtl/>
        </w:rPr>
        <w:t>الوافي</w:t>
      </w:r>
      <w:r w:rsidR="00E3253D" w:rsidRPr="005D642E">
        <w:rPr>
          <w:rtl/>
        </w:rPr>
        <w:t xml:space="preserve"> ، ج 24 ، ص 349 ، ح 24186 ؛ </w:t>
      </w:r>
      <w:r w:rsidR="00E3253D" w:rsidRPr="002F4D34">
        <w:rPr>
          <w:rStyle w:val="libFootnoteBoldChar"/>
          <w:rtl/>
        </w:rPr>
        <w:t>الوسائل</w:t>
      </w:r>
      <w:r w:rsidR="00E3253D" w:rsidRPr="005D642E">
        <w:rPr>
          <w:rtl/>
        </w:rPr>
        <w:t xml:space="preserve"> ، ج 2 ، ص 510 ، ح 2777.</w:t>
      </w:r>
    </w:p>
    <w:tbl>
      <w:tblPr>
        <w:tblStyle w:val="TableGrid"/>
        <w:bidiVisual/>
        <w:tblW w:w="0" w:type="auto"/>
        <w:tblLook w:val="04A0" w:firstRow="1" w:lastRow="0" w:firstColumn="1" w:lastColumn="0" w:noHBand="0" w:noVBand="1"/>
      </w:tblPr>
      <w:tblGrid>
        <w:gridCol w:w="4006"/>
        <w:gridCol w:w="4006"/>
      </w:tblGrid>
      <w:tr w:rsidR="00B00082" w:rsidTr="00B00082">
        <w:tc>
          <w:tcPr>
            <w:tcW w:w="4006" w:type="dxa"/>
          </w:tcPr>
          <w:p w:rsidR="00B00082" w:rsidRDefault="00B00082" w:rsidP="00E3253D">
            <w:pPr>
              <w:pStyle w:val="libFootnote0"/>
              <w:rPr>
                <w:rStyle w:val="libFootnote0Char"/>
                <w:rtl/>
              </w:rPr>
            </w:pPr>
            <w:r w:rsidRPr="0042621E">
              <w:rPr>
                <w:rStyle w:val="libFootnote0Char"/>
                <w:rtl/>
              </w:rPr>
              <w:t>(3).</w:t>
            </w:r>
            <w:r w:rsidRPr="005D642E">
              <w:rPr>
                <w:rtl/>
              </w:rPr>
              <w:t xml:space="preserve"> في البحار : « بثيابه</w:t>
            </w:r>
            <w:r>
              <w:rPr>
                <w:rtl/>
              </w:rPr>
              <w:t xml:space="preserve"> ».</w:t>
            </w:r>
          </w:p>
        </w:tc>
        <w:tc>
          <w:tcPr>
            <w:tcW w:w="4006" w:type="dxa"/>
          </w:tcPr>
          <w:p w:rsidR="00B00082" w:rsidRDefault="00B00082" w:rsidP="00E3253D">
            <w:pPr>
              <w:pStyle w:val="libFootnote0"/>
              <w:rPr>
                <w:rStyle w:val="libFootnote0Char"/>
                <w:rtl/>
              </w:rPr>
            </w:pPr>
            <w:r w:rsidRPr="0042621E">
              <w:rPr>
                <w:rStyle w:val="libFootnote0Char"/>
                <w:rtl/>
              </w:rPr>
              <w:t>(4).</w:t>
            </w:r>
            <w:r w:rsidRPr="005D642E">
              <w:rPr>
                <w:rtl/>
              </w:rPr>
              <w:t xml:space="preserve"> في « جح » : « ولكن »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332 ، ح 973 ، بسنده عن الكليني </w:t>
      </w:r>
      <w:r w:rsidR="006D092A">
        <w:rPr>
          <w:rFonts w:hint="cs"/>
          <w:rtl/>
        </w:rPr>
        <w:t>.</w:t>
      </w:r>
      <w:r w:rsidR="00E3253D" w:rsidRPr="002F4D34">
        <w:rPr>
          <w:rStyle w:val="libFootnoteBoldChar"/>
          <w:rtl/>
        </w:rPr>
        <w:t>الوافي</w:t>
      </w:r>
      <w:r w:rsidR="00E3253D" w:rsidRPr="005D642E">
        <w:rPr>
          <w:rtl/>
        </w:rPr>
        <w:t xml:space="preserve"> ، ج 24 ، ص 348 ، ح 24184 ؛ </w:t>
      </w:r>
      <w:r w:rsidR="00E3253D" w:rsidRPr="002F4D34">
        <w:rPr>
          <w:rStyle w:val="libFootnoteBoldChar"/>
          <w:rtl/>
        </w:rPr>
        <w:t>الوسائل</w:t>
      </w:r>
      <w:r w:rsidR="00E3253D" w:rsidRPr="005D642E">
        <w:rPr>
          <w:rtl/>
        </w:rPr>
        <w:t xml:space="preserve"> ، ج 2 ، ص 510 ، ح 2776 ؛ </w:t>
      </w:r>
      <w:r w:rsidR="00E3253D" w:rsidRPr="002F4D34">
        <w:rPr>
          <w:rStyle w:val="libFootnoteBoldChar"/>
          <w:rtl/>
        </w:rPr>
        <w:t>البحار</w:t>
      </w:r>
      <w:r w:rsidR="00E3253D" w:rsidRPr="005D642E">
        <w:rPr>
          <w:rtl/>
        </w:rPr>
        <w:t xml:space="preserve"> ، ج 20 ، ص 106 ، ح 31 ، من قوله : « إنّ رسول الله </w:t>
      </w:r>
      <w:r w:rsidRPr="00B00082">
        <w:rPr>
          <w:rStyle w:val="libFootnoteAlaemChar"/>
          <w:rtl/>
        </w:rPr>
        <w:t>صلى‌الله‌عليه‌وآله</w:t>
      </w:r>
      <w:r w:rsidR="00E3253D" w:rsidRPr="005D642E">
        <w:rPr>
          <w:rtl/>
        </w:rPr>
        <w:t xml:space="preserve"> كفّن حمزة</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بخ » : « والطير والحريق والقتيل يوجد بعض جسده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الفقيه </w:t>
      </w:r>
      <w:r w:rsidR="00B60612" w:rsidRPr="00B60612">
        <w:rPr>
          <w:rStyle w:val="libFootnoteBoldChar"/>
          <w:rtl/>
        </w:rPr>
        <w:t>والتهذيب</w:t>
      </w:r>
      <w:r w:rsidR="00E3253D" w:rsidRPr="005D642E">
        <w:rPr>
          <w:rtl/>
        </w:rPr>
        <w:t xml:space="preserve"> ، ج 3 : « أو الطير</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ى ، بح ، جح ، جس » : « فيبقى</w:t>
      </w:r>
      <w:r w:rsidR="00E3253D">
        <w:rPr>
          <w:rtl/>
        </w:rPr>
        <w:t xml:space="preserve"> ».</w:t>
      </w:r>
      <w:r w:rsidR="00E3253D" w:rsidRPr="005D642E">
        <w:rPr>
          <w:rtl/>
        </w:rPr>
        <w:t xml:space="preserve"> وفي التهذيب ، ج 1 : « ويبقى</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التهذيب : « فإذا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النِّصْفِ الَّذِي فِيهِ الْقَلْبُ</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BA30BA">
        <w:rPr>
          <w:rtl/>
        </w:rPr>
        <w:t>4619</w:t>
      </w:r>
      <w:r w:rsidRPr="00246318">
        <w:rPr>
          <w:rStyle w:val="libBold2Char"/>
          <w:rtl/>
        </w:rPr>
        <w:t xml:space="preserve"> / 2.</w:t>
      </w:r>
      <w:r w:rsidRPr="005D642E">
        <w:rPr>
          <w:rtl/>
          <w:lang w:bidi="fa-IR"/>
        </w:rPr>
        <w:t xml:space="preserve"> عَلِيُّ بْنُ إِبْرَاهِيمَ ، عَنْ أَبِيهِ ، عَنْ أَحْمَدَ بْنِ مُحَمَّدِ بْنِ أَبِي نَصْرٍ ، عَنْ جَمِيلِ بْنِ دَرَّاجٍ ، عَنْ مُحَمَّدِ بْنِ مُسْلِمٍ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إِذَا قُتِلَ</w:t>
      </w:r>
      <w:r w:rsidR="006938E2">
        <w:rPr>
          <w:rtl/>
          <w:lang w:bidi="fa-IR"/>
        </w:rPr>
        <w:t xml:space="preserve"> قَتِيلٌ ، فَلَمْ يُوجَدْ إِل</w:t>
      </w:r>
      <w:r w:rsidR="006938E2">
        <w:rPr>
          <w:rFonts w:hint="cs"/>
          <w:rtl/>
          <w:lang w:bidi="fa-IR"/>
        </w:rPr>
        <w:t>َّ</w:t>
      </w:r>
      <w:r w:rsidR="006938E2">
        <w:rPr>
          <w:rtl/>
          <w:lang w:bidi="fa-IR"/>
        </w:rPr>
        <w:t>ا</w:t>
      </w:r>
      <w:r w:rsidRPr="005D642E">
        <w:rPr>
          <w:rtl/>
          <w:lang w:bidi="fa-IR"/>
        </w:rPr>
        <w:t xml:space="preserve"> لَحْمٌ بِلَا عَظْمٍ </w:t>
      </w:r>
      <w:r w:rsidRPr="007C12DB">
        <w:rPr>
          <w:rStyle w:val="libFootnotenumChar"/>
          <w:rtl/>
        </w:rPr>
        <w:t>(2)</w:t>
      </w:r>
      <w:r w:rsidRPr="005D642E">
        <w:rPr>
          <w:rtl/>
          <w:lang w:bidi="fa-IR"/>
        </w:rPr>
        <w:t xml:space="preserve"> ، لَمْ يُصَلَّ عَلَيْهِ ؛ وَإِنْ وُجِدَ عَظْمٌ </w:t>
      </w:r>
      <w:r w:rsidRPr="007C12DB">
        <w:rPr>
          <w:rStyle w:val="libFootnotenumChar"/>
          <w:rtl/>
        </w:rPr>
        <w:t>(3)</w:t>
      </w:r>
      <w:r w:rsidRPr="005D642E">
        <w:rPr>
          <w:rtl/>
          <w:lang w:bidi="fa-IR"/>
        </w:rPr>
        <w:t xml:space="preserve"> بِلَا لَحْمٍ ، صُلِّيَ عَلَيْهِ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0F0FC7" w:rsidP="00E3253D">
      <w:pPr>
        <w:pStyle w:val="libNormal"/>
        <w:rPr>
          <w:rtl/>
          <w:lang w:bidi="fa-IR"/>
        </w:rPr>
      </w:pPr>
      <w:r>
        <w:rPr>
          <w:rFonts w:hint="cs"/>
          <w:rtl/>
          <w:lang w:bidi="fa-IR"/>
        </w:rPr>
        <w:t xml:space="preserve">* </w:t>
      </w:r>
      <w:r w:rsidR="00E3253D" w:rsidRPr="005D642E">
        <w:rPr>
          <w:rtl/>
          <w:lang w:bidi="fa-IR"/>
        </w:rPr>
        <w:t xml:space="preserve">قَالَ </w:t>
      </w:r>
      <w:r w:rsidR="00E3253D" w:rsidRPr="007C12DB">
        <w:rPr>
          <w:rStyle w:val="libFootnotenumChar"/>
          <w:rtl/>
        </w:rPr>
        <w:t>(5)</w:t>
      </w:r>
      <w:r w:rsidR="00E3253D" w:rsidRPr="005D642E">
        <w:rPr>
          <w:rtl/>
          <w:lang w:bidi="fa-IR"/>
        </w:rPr>
        <w:t xml:space="preserve"> : وَرُوِيَ : « أَنَّهُ لَايُصَلّى عَلَى الرَّأْسِ إِذَا أُفْرِدَ مِنَ </w:t>
      </w:r>
      <w:r w:rsidR="00E3253D" w:rsidRPr="007C12DB">
        <w:rPr>
          <w:rStyle w:val="libFootnotenumChar"/>
          <w:rtl/>
        </w:rPr>
        <w:t>(6)</w:t>
      </w:r>
      <w:r w:rsidR="00E3253D" w:rsidRPr="005D642E">
        <w:rPr>
          <w:rtl/>
          <w:lang w:bidi="fa-IR"/>
        </w:rPr>
        <w:t xml:space="preserve"> الْجَسَدِ</w:t>
      </w:r>
      <w:r w:rsidR="00E3253D">
        <w:rPr>
          <w:rtl/>
          <w:lang w:bidi="fa-IR"/>
        </w:rPr>
        <w:t xml:space="preserve"> ».</w:t>
      </w:r>
      <w:r w:rsidR="00E3253D" w:rsidRPr="005D642E">
        <w:rPr>
          <w:rtl/>
          <w:lang w:bidi="fa-IR"/>
        </w:rPr>
        <w:t xml:space="preserve"> </w:t>
      </w:r>
      <w:r w:rsidR="00E3253D" w:rsidRPr="007C12DB">
        <w:rPr>
          <w:rStyle w:val="libFootnotenumChar"/>
          <w:rtl/>
        </w:rPr>
        <w:t>(7)</w:t>
      </w:r>
      <w:r w:rsidR="00E3253D" w:rsidRPr="005D642E">
        <w:rPr>
          <w:rtl/>
          <w:lang w:bidi="fa-IR"/>
        </w:rPr>
        <w:t xml:space="preserve"> ‌</w:t>
      </w:r>
    </w:p>
    <w:p w:rsidR="00E3253D" w:rsidRPr="005D642E" w:rsidRDefault="00E3253D" w:rsidP="00E3253D">
      <w:pPr>
        <w:pStyle w:val="libNormal"/>
        <w:rPr>
          <w:rtl/>
          <w:lang w:bidi="fa-IR"/>
        </w:rPr>
      </w:pPr>
      <w:r w:rsidRPr="00BA30BA">
        <w:rPr>
          <w:rtl/>
        </w:rPr>
        <w:t>4620</w:t>
      </w:r>
      <w:r w:rsidRPr="00246318">
        <w:rPr>
          <w:rStyle w:val="libBold2Char"/>
          <w:rtl/>
        </w:rPr>
        <w:t xml:space="preserve"> / 3.</w:t>
      </w:r>
      <w:r w:rsidRPr="005D642E">
        <w:rPr>
          <w:rtl/>
          <w:lang w:bidi="fa-IR"/>
        </w:rPr>
        <w:t xml:space="preserve"> عِدَّةٌ مِنْ أَصْحَابِنَا ، عَنْ أَحْمَدَ بْنِ مُحَمَّدِ بْنِ خَالِدٍ ، عَنْ أَبِيهِ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وُجِدَ الرَّجُلُ قَتِيلاً ، فَإِنْ وُجِدَ لَهُ عُضْوٌ تَامٌّ ، صُلِّيَ عَلَيْهِ وَدُفِنَ ؛ وَإِنْ لَمْ يُوجَدْ لَهُ عُضْوٌ تَامٌّ ، لَمْ يُصَلَّ عَلَيْهِ وَدُفِنَ</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336 ، ح 983 ، بسنده عن الكليني. </w:t>
      </w:r>
      <w:r w:rsidR="00E3253D" w:rsidRPr="002F4D34">
        <w:rPr>
          <w:rStyle w:val="libFootnoteBoldChar"/>
          <w:rtl/>
        </w:rPr>
        <w:t>الفقيه</w:t>
      </w:r>
      <w:r w:rsidR="00E3253D" w:rsidRPr="005D642E">
        <w:rPr>
          <w:rtl/>
        </w:rPr>
        <w:t xml:space="preserve"> ، ج 1 ، ص 158 ، ح 441 ، معلّقاً عن عليّ بن جعفر ، إلى قوله : « يصلّى عليه ويدفن</w:t>
      </w:r>
      <w:r w:rsidR="00E3253D">
        <w:rPr>
          <w:rtl/>
        </w:rPr>
        <w:t xml:space="preserve"> ».</w:t>
      </w:r>
      <w:r w:rsidR="00E3253D" w:rsidRPr="005D642E">
        <w:rPr>
          <w:rtl/>
        </w:rPr>
        <w:t xml:space="preserve"> </w:t>
      </w:r>
      <w:r w:rsidR="00E3253D" w:rsidRPr="002F4D34">
        <w:rPr>
          <w:rStyle w:val="libFootnoteBoldChar"/>
          <w:rtl/>
        </w:rPr>
        <w:t>التهذيب</w:t>
      </w:r>
      <w:r w:rsidR="00E3253D" w:rsidRPr="005D642E">
        <w:rPr>
          <w:rtl/>
        </w:rPr>
        <w:t xml:space="preserve"> ، ج 3 ، ص 329 ، ح 1027 ، بسند آخر عن أبي جعفر </w:t>
      </w:r>
      <w:r w:rsidR="00E3253D" w:rsidRPr="003C2B80">
        <w:rPr>
          <w:rStyle w:val="libFootnoteAlaemChar"/>
          <w:rtl/>
        </w:rPr>
        <w:t>عليه‌السلام</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3C2B80">
        <w:rPr>
          <w:rStyle w:val="libFootnoteAlaemChar"/>
          <w:rtl/>
        </w:rPr>
        <w:t>عليه‌السلام</w:t>
      </w:r>
      <w:r w:rsidR="00E3253D" w:rsidRPr="005D642E">
        <w:rPr>
          <w:rtl/>
        </w:rPr>
        <w:t xml:space="preserve"> ، ص 173 ، إلى قوله : « يصلّى عليه ويدفن » مع اختلاف يسير </w:t>
      </w:r>
      <w:r w:rsidR="003C2B80">
        <w:rPr>
          <w:rFonts w:hint="cs"/>
          <w:rtl/>
        </w:rPr>
        <w:t>.</w:t>
      </w:r>
      <w:r w:rsidR="00E3253D" w:rsidRPr="002F4D34">
        <w:rPr>
          <w:rStyle w:val="libFootnoteBoldChar"/>
          <w:rtl/>
        </w:rPr>
        <w:t>الوافي</w:t>
      </w:r>
      <w:r w:rsidR="00E3253D" w:rsidRPr="005D642E">
        <w:rPr>
          <w:rtl/>
        </w:rPr>
        <w:t xml:space="preserve"> ، ج 24 ، ص 489 ، ح 24489 ؛ </w:t>
      </w:r>
      <w:r w:rsidR="00E3253D" w:rsidRPr="002F4D34">
        <w:rPr>
          <w:rStyle w:val="libFootnoteBoldChar"/>
          <w:rtl/>
        </w:rPr>
        <w:t>الوسائل</w:t>
      </w:r>
      <w:r w:rsidR="00E3253D" w:rsidRPr="005D642E">
        <w:rPr>
          <w:rtl/>
        </w:rPr>
        <w:t xml:space="preserve"> ، ج 3 ، ص 136 ، ذيل ح 3220.</w:t>
      </w:r>
    </w:p>
    <w:p w:rsidR="00E3253D" w:rsidRPr="005D642E" w:rsidRDefault="0042621E" w:rsidP="003C2B80">
      <w:pPr>
        <w:pStyle w:val="libFootnote0"/>
        <w:rPr>
          <w:rtl/>
          <w:lang w:bidi="fa-IR"/>
        </w:rPr>
      </w:pPr>
      <w:r w:rsidRPr="0042621E">
        <w:rPr>
          <w:rStyle w:val="libFootnote0Char"/>
          <w:rtl/>
        </w:rPr>
        <w:t>(2).</w:t>
      </w:r>
      <w:r w:rsidR="00E3253D" w:rsidRPr="005D642E">
        <w:rPr>
          <w:rtl/>
        </w:rPr>
        <w:t xml:space="preserve"> هكذا في « ظ ، غ ، ى ، بخ ، بس ، بف ، جس ، جن</w:t>
      </w:r>
      <w:r w:rsidR="00E3253D">
        <w:rPr>
          <w:rtl/>
        </w:rPr>
        <w:t xml:space="preserve"> ».</w:t>
      </w:r>
      <w:r w:rsidR="00E3253D" w:rsidRPr="005D642E">
        <w:rPr>
          <w:rtl/>
        </w:rPr>
        <w:t xml:space="preserve"> وفي « بث ، بح ، جح » والمطبوع والوسائل </w:t>
      </w:r>
      <w:r w:rsidR="00B60612" w:rsidRPr="00B60612">
        <w:rPr>
          <w:rStyle w:val="libFootnoteBoldChar"/>
          <w:rtl/>
        </w:rPr>
        <w:t>والتهذيب</w:t>
      </w:r>
      <w:r w:rsidR="00E3253D" w:rsidRPr="005D642E">
        <w:rPr>
          <w:rtl/>
        </w:rPr>
        <w:t xml:space="preserve"> : + « له</w:t>
      </w:r>
      <w:r w:rsidR="00E3253D">
        <w:rPr>
          <w:rtl/>
        </w:rPr>
        <w:t xml:space="preserve"> ».</w:t>
      </w:r>
      <w:r w:rsidR="003C2B80">
        <w:rPr>
          <w:rFonts w:hint="cs"/>
          <w:rtl/>
        </w:rPr>
        <w:t xml:space="preserve">                       </w:t>
      </w:r>
      <w:r w:rsidRPr="0042621E">
        <w:rPr>
          <w:rStyle w:val="libFootnote0Char"/>
          <w:rtl/>
        </w:rPr>
        <w:t>(3).</w:t>
      </w:r>
      <w:r w:rsidR="00E3253D" w:rsidRPr="005D642E">
        <w:rPr>
          <w:rtl/>
        </w:rPr>
        <w:t xml:space="preserve"> في « ى ، بث ، بح ، بس ، جح ، جس ، جن » : « عظماً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336 ، ح 984 ، بسنده عن الكليني. </w:t>
      </w:r>
      <w:r w:rsidR="00E3253D" w:rsidRPr="002F4D34">
        <w:rPr>
          <w:rStyle w:val="libFootnoteBoldChar"/>
          <w:rtl/>
        </w:rPr>
        <w:t>وفيه</w:t>
      </w:r>
      <w:r w:rsidR="00E3253D" w:rsidRPr="005D642E">
        <w:rPr>
          <w:rtl/>
        </w:rPr>
        <w:t xml:space="preserve"> ، ج 3 ، ص 329 ، ح 1031 ، بسنده عن عليّ بن أحمد بن أبي نصر ، عن أبيه ، عن جميل بن درّاج ، مع اختلاف يسير </w:t>
      </w:r>
      <w:r w:rsidR="00AF7E86">
        <w:rPr>
          <w:rFonts w:hint="cs"/>
          <w:rtl/>
        </w:rPr>
        <w:t>.</w:t>
      </w:r>
      <w:r w:rsidR="00E3253D" w:rsidRPr="002F4D34">
        <w:rPr>
          <w:rStyle w:val="libFootnoteBoldChar"/>
          <w:rtl/>
        </w:rPr>
        <w:t>الوافي</w:t>
      </w:r>
      <w:r w:rsidR="00E3253D" w:rsidRPr="005D642E">
        <w:rPr>
          <w:rtl/>
        </w:rPr>
        <w:t xml:space="preserve"> ، ج 24 ، ص 490 ، ح 24491 ؛ </w:t>
      </w:r>
      <w:r w:rsidR="00E3253D" w:rsidRPr="002F4D34">
        <w:rPr>
          <w:rStyle w:val="libFootnoteBoldChar"/>
          <w:rtl/>
        </w:rPr>
        <w:t>الوسائل</w:t>
      </w:r>
      <w:r w:rsidR="00E3253D" w:rsidRPr="005D642E">
        <w:rPr>
          <w:rtl/>
        </w:rPr>
        <w:t xml:space="preserve"> ، ج 3 ، ص 136 ، ح 3222.</w:t>
      </w:r>
    </w:p>
    <w:p w:rsidR="00E3253D" w:rsidRPr="005D642E" w:rsidRDefault="0042621E" w:rsidP="00B53A70">
      <w:pPr>
        <w:pStyle w:val="libFootnote0"/>
        <w:rPr>
          <w:rtl/>
          <w:lang w:bidi="fa-IR"/>
        </w:rPr>
      </w:pPr>
      <w:r w:rsidRPr="0042621E">
        <w:rPr>
          <w:rStyle w:val="libFootnote0Char"/>
          <w:rtl/>
        </w:rPr>
        <w:t>(5).</w:t>
      </w:r>
      <w:r w:rsidR="00E3253D" w:rsidRPr="005D642E">
        <w:rPr>
          <w:rtl/>
        </w:rPr>
        <w:t xml:space="preserve"> الظاهر أنّ الضمير المستتر في « قال » راجع إلى مصنّف الكتاب ، كما هو مقتضى التتبّع في الروايات الذيليّة المبدوّة</w:t>
      </w:r>
      <w:r w:rsidR="00E3253D">
        <w:rPr>
          <w:rtl/>
        </w:rPr>
        <w:t xml:space="preserve"> ب</w:t>
      </w:r>
      <w:r w:rsidR="00ED4A42">
        <w:rPr>
          <w:rFonts w:hint="cs"/>
          <w:rtl/>
        </w:rPr>
        <w:t>ـ</w:t>
      </w:r>
      <w:r w:rsidR="00E3253D">
        <w:rPr>
          <w:rtl/>
        </w:rPr>
        <w:t xml:space="preserve"> </w:t>
      </w:r>
      <w:r w:rsidR="00E3253D" w:rsidRPr="005D642E">
        <w:rPr>
          <w:rtl/>
        </w:rPr>
        <w:t>« وروي</w:t>
      </w:r>
      <w:r w:rsidR="00E3253D">
        <w:rPr>
          <w:rtl/>
        </w:rPr>
        <w:t xml:space="preserve"> ».</w:t>
      </w:r>
      <w:r w:rsidR="00B53A70">
        <w:rPr>
          <w:rFonts w:hint="cs"/>
          <w:rtl/>
        </w:rPr>
        <w:t xml:space="preserve">                                      </w:t>
      </w:r>
      <w:r w:rsidRPr="0042621E">
        <w:rPr>
          <w:rStyle w:val="libFootnote0Char"/>
          <w:rtl/>
        </w:rPr>
        <w:t>(6).</w:t>
      </w:r>
      <w:r w:rsidR="00E3253D" w:rsidRPr="005D642E">
        <w:rPr>
          <w:rtl/>
        </w:rPr>
        <w:t xml:space="preserve"> في حاشية « بح » : « عن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490 ، ح 24492 ؛ </w:t>
      </w:r>
      <w:r w:rsidR="00E3253D" w:rsidRPr="002F4D34">
        <w:rPr>
          <w:rStyle w:val="libFootnoteBoldChar"/>
          <w:rtl/>
        </w:rPr>
        <w:t>الوسائل</w:t>
      </w:r>
      <w:r w:rsidR="00E3253D" w:rsidRPr="005D642E">
        <w:rPr>
          <w:rtl/>
        </w:rPr>
        <w:t xml:space="preserve"> ، ج 3 ، ص 137 ، ح 3224.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337 ، ح 987 ، معلّقاً عن أحمد بن محمّد ، عن محمّد بن خالد ، عمّن ذكره ، عن أبي عبدالله </w:t>
      </w:r>
      <w:r w:rsidR="00E3253D" w:rsidRPr="00ED4A42">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167 ، ح 485 ، مرسلاً ، وفيهما مع اختلاف يسير </w:t>
      </w:r>
      <w:r w:rsidR="008A53E9">
        <w:rPr>
          <w:rFonts w:hint="cs"/>
          <w:rtl/>
        </w:rPr>
        <w:t>.</w:t>
      </w:r>
      <w:r w:rsidR="00E3253D" w:rsidRPr="002F4D34">
        <w:rPr>
          <w:rStyle w:val="libFootnoteBoldChar"/>
          <w:rtl/>
        </w:rPr>
        <w:t>الوافي</w:t>
      </w:r>
      <w:r w:rsidR="00E3253D" w:rsidRPr="005D642E">
        <w:rPr>
          <w:rtl/>
        </w:rPr>
        <w:t xml:space="preserve"> ، ج 24 ، ص 490 ، ح 24493 ؛ </w:t>
      </w:r>
      <w:r w:rsidR="00E3253D" w:rsidRPr="002F4D34">
        <w:rPr>
          <w:rStyle w:val="libFootnoteBoldChar"/>
          <w:rtl/>
        </w:rPr>
        <w:t>الوسائل</w:t>
      </w:r>
      <w:r w:rsidR="00E3253D" w:rsidRPr="005D642E">
        <w:rPr>
          <w:rtl/>
        </w:rPr>
        <w:t xml:space="preserve"> ، ج 3 ، ص 137 ، ح 3223 ؛ </w:t>
      </w:r>
      <w:r w:rsidR="00E3253D" w:rsidRPr="002F4D34">
        <w:rPr>
          <w:rStyle w:val="libFootnoteBoldChar"/>
          <w:rtl/>
        </w:rPr>
        <w:t>البحار</w:t>
      </w:r>
      <w:r w:rsidR="00E3253D" w:rsidRPr="005D642E">
        <w:rPr>
          <w:rtl/>
        </w:rPr>
        <w:t xml:space="preserve"> ، ج 82 ، ص 8 ، ذيل ح 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BA30BA">
        <w:rPr>
          <w:rtl/>
        </w:rPr>
        <w:t>4621</w:t>
      </w:r>
      <w:r w:rsidRPr="00246318">
        <w:rPr>
          <w:rStyle w:val="libBold2Char"/>
          <w:rtl/>
        </w:rPr>
        <w:t xml:space="preserve"> / 4.</w:t>
      </w:r>
      <w:r w:rsidRPr="005D642E">
        <w:rPr>
          <w:rtl/>
          <w:lang w:bidi="fa-IR"/>
        </w:rPr>
        <w:t xml:space="preserve"> عِدَّةٌ مِنْ أَصْحَابِنَا ، عَنْ سَهْلِ بْنِ زِيَادٍ ، عَنْ أَيُّوبَ بْنِ نُوحٍ رَفَعَهُ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قُطِعَ مِنَ الرَّجُلِ قِطْعَةٌ ، فَهُوَ </w:t>
      </w:r>
      <w:r w:rsidRPr="007C12DB">
        <w:rPr>
          <w:rStyle w:val="libFootnotenumChar"/>
          <w:rtl/>
        </w:rPr>
        <w:t>(1)</w:t>
      </w:r>
      <w:r w:rsidRPr="005D642E">
        <w:rPr>
          <w:rtl/>
          <w:lang w:bidi="fa-IR"/>
        </w:rPr>
        <w:t xml:space="preserve"> مَيْتَةٌ ، وَإِذَا </w:t>
      </w:r>
      <w:r w:rsidRPr="007C12DB">
        <w:rPr>
          <w:rStyle w:val="libFootnotenumChar"/>
          <w:rtl/>
        </w:rPr>
        <w:t>(2)</w:t>
      </w:r>
      <w:r w:rsidRPr="005D642E">
        <w:rPr>
          <w:rtl/>
          <w:lang w:bidi="fa-IR"/>
        </w:rPr>
        <w:t xml:space="preserve"> مَسَّهُ الرَّجُلُ ، فَكُلُّ مَا كَانَ فِيهِ عَظْمٌ فَقَدْ وَجَبَ عَلى مَنْ مَسَّهُ الْغُسْلُ ؛ وَإِنْ لَمْ يَكُنْ فِيهِ عَظْمٌ ، فَلَا غُسْلَ عَلَيْهِ</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BA30BA">
        <w:rPr>
          <w:rtl/>
        </w:rPr>
        <w:t>4622</w:t>
      </w:r>
      <w:r w:rsidRPr="00246318">
        <w:rPr>
          <w:rStyle w:val="libBold2Char"/>
          <w:rtl/>
        </w:rPr>
        <w:t xml:space="preserve"> / 5.</w:t>
      </w:r>
      <w:r w:rsidRPr="005D642E">
        <w:rPr>
          <w:rtl/>
          <w:lang w:bidi="fa-IR"/>
        </w:rPr>
        <w:t xml:space="preserve"> سَهْلٌ </w:t>
      </w:r>
      <w:r w:rsidRPr="007C12DB">
        <w:rPr>
          <w:rStyle w:val="libFootnotenumChar"/>
          <w:rtl/>
        </w:rPr>
        <w:t>(4)</w:t>
      </w:r>
      <w:r w:rsidRPr="005D642E">
        <w:rPr>
          <w:rtl/>
          <w:lang w:bidi="fa-IR"/>
        </w:rPr>
        <w:t xml:space="preserve"> ، عَنْ عَبْدِ اللهِ بْنِ الْحُسَيْنِ </w:t>
      </w:r>
      <w:r w:rsidRPr="007C12DB">
        <w:rPr>
          <w:rStyle w:val="libFootnotenumChar"/>
          <w:rtl/>
        </w:rPr>
        <w:t>(5)</w:t>
      </w:r>
      <w:r w:rsidRPr="005D642E">
        <w:rPr>
          <w:rtl/>
          <w:lang w:bidi="fa-IR"/>
        </w:rPr>
        <w:t xml:space="preserve"> ، عَنْ بَعْضِ أَصْحَابِهِ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وُسِّطَ الرَّجُلُ نِصْفَيْنِ </w:t>
      </w:r>
      <w:r w:rsidRPr="007C12DB">
        <w:rPr>
          <w:rStyle w:val="libFootnotenumChar"/>
          <w:rtl/>
        </w:rPr>
        <w:t>(6)</w:t>
      </w:r>
      <w:r w:rsidRPr="005D642E">
        <w:rPr>
          <w:rtl/>
          <w:lang w:bidi="fa-IR"/>
        </w:rPr>
        <w:t xml:space="preserve"> ، صُلِّيَ عَلَى </w:t>
      </w:r>
      <w:r w:rsidRPr="007C12DB">
        <w:rPr>
          <w:rStyle w:val="libFootnotenumChar"/>
          <w:rtl/>
        </w:rPr>
        <w:t>(7)</w:t>
      </w:r>
      <w:r w:rsidRPr="005D642E">
        <w:rPr>
          <w:rtl/>
          <w:lang w:bidi="fa-IR"/>
        </w:rPr>
        <w:t xml:space="preserve"> الَّذِي فِيهِ الْقَلْبُ</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BA30BA">
        <w:rPr>
          <w:rtl/>
        </w:rPr>
        <w:t>4623</w:t>
      </w:r>
      <w:r w:rsidRPr="00246318">
        <w:rPr>
          <w:rStyle w:val="libBold2Char"/>
          <w:rtl/>
        </w:rPr>
        <w:t xml:space="preserve"> / 6.</w:t>
      </w:r>
      <w:r w:rsidRPr="005D642E">
        <w:rPr>
          <w:rtl/>
          <w:lang w:bidi="fa-IR"/>
        </w:rPr>
        <w:t xml:space="preserve"> عِدَّةٌ مِنْ أَصْحَابِنَا ، عَنْ أَحْمَدَ بْنِ مُحَمَّدِ بْنِ خَالِدٍ ، عَنْ أَبِي الْجَوْزَاءِ ، عَنِ الْحُسَيْنِ بْنِ عُلْوَانَ ، عَنْ عَمْرِو بْنِ خَالِدٍ ، عَنْ زَيْدِ بْنِ عَلِيٍّ ، عَنْ آبَائِهِ </w:t>
      </w:r>
      <w:r w:rsidRPr="00AC51C5">
        <w:rPr>
          <w:rStyle w:val="libAlaemChar"/>
          <w:rtl/>
        </w:rPr>
        <w:t>عليهم‌السلام</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قَالَ أَمِيرُ الْمُؤْمِنِينَ</w:t>
      </w:r>
      <w:r>
        <w:rPr>
          <w:rtl/>
          <w:lang w:bidi="fa-IR"/>
        </w:rPr>
        <w:t xml:space="preserve"> </w:t>
      </w:r>
      <w:r w:rsidR="007642BC">
        <w:rPr>
          <w:rtl/>
          <w:lang w:bidi="fa-IR"/>
        </w:rPr>
        <w:t>-</w:t>
      </w:r>
      <w:r>
        <w:rPr>
          <w:rtl/>
          <w:lang w:bidi="fa-IR"/>
        </w:rPr>
        <w:t xml:space="preserve"> </w:t>
      </w:r>
      <w:r w:rsidRPr="005D642E">
        <w:rPr>
          <w:rtl/>
          <w:lang w:bidi="fa-IR"/>
        </w:rPr>
        <w:t>صَلَوَاتُ اللهِ عَلَيْهِ</w:t>
      </w:r>
      <w:r>
        <w:rPr>
          <w:rtl/>
          <w:lang w:bidi="fa-IR"/>
        </w:rPr>
        <w:t xml:space="preserve"> </w:t>
      </w:r>
      <w:r w:rsidR="007642BC">
        <w:rPr>
          <w:rtl/>
          <w:lang w:bidi="fa-IR"/>
        </w:rPr>
        <w:t>-</w:t>
      </w:r>
      <w:r>
        <w:rPr>
          <w:rtl/>
          <w:lang w:bidi="fa-IR"/>
        </w:rPr>
        <w:t xml:space="preserve"> </w:t>
      </w:r>
      <w:r w:rsidRPr="005D642E">
        <w:rPr>
          <w:rtl/>
          <w:lang w:bidi="fa-IR"/>
        </w:rPr>
        <w:t xml:space="preserve">وَسُئِلَ عَنِ الرَّجُلِ يَحْتَرِقُ </w:t>
      </w:r>
      <w:r w:rsidRPr="007C12DB">
        <w:rPr>
          <w:rStyle w:val="libFootnotenumChar"/>
          <w:rtl/>
        </w:rPr>
        <w:t>(9)</w:t>
      </w:r>
      <w:r w:rsidRPr="005D642E">
        <w:rPr>
          <w:rtl/>
          <w:lang w:bidi="fa-IR"/>
        </w:rPr>
        <w:t xml:space="preserve"> بِالنَّارِ ، فَأَمَرَهُمْ أَنْ يَصُبُّوا عَلَيْهِ الْمَاءَ صَبّاً </w:t>
      </w:r>
      <w:r w:rsidRPr="007C12DB">
        <w:rPr>
          <w:rStyle w:val="libFootnotenumChar"/>
          <w:rtl/>
        </w:rPr>
        <w:t>(10)</w:t>
      </w:r>
      <w:r w:rsidRPr="005D642E">
        <w:rPr>
          <w:rtl/>
          <w:lang w:bidi="fa-IR"/>
        </w:rPr>
        <w:t xml:space="preserve"> ، وَأَنْ</w:t>
      </w:r>
      <w:r w:rsidR="00DA3254">
        <w:rPr>
          <w:rFonts w:hint="cs"/>
          <w:rtl/>
          <w:lang w:bidi="fa-IR"/>
        </w:rPr>
        <w:t>................................................</w:t>
      </w:r>
      <w:r w:rsidR="00DA3254">
        <w:rPr>
          <w:rFonts w:hint="cs"/>
          <w:rtl/>
          <w:lang w:bidi="fa-IR"/>
        </w:rPr>
        <w:tab/>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غ ، بح ، بخ ، جح » وحاشية « جن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فهي</w:t>
      </w:r>
      <w:r w:rsidR="00E3253D">
        <w:rPr>
          <w:rtl/>
        </w:rPr>
        <w:t xml:space="preserve"> ».</w:t>
      </w:r>
      <w:r w:rsidR="00E3253D" w:rsidRPr="005D642E">
        <w:rPr>
          <w:rtl/>
        </w:rPr>
        <w:t xml:space="preserve"> وفي « بث » : « وهي</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 « فإذا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429 ، ح 1369 ؛ </w:t>
      </w:r>
      <w:r w:rsidR="00E3253D" w:rsidRPr="00E678B5">
        <w:rPr>
          <w:rStyle w:val="libFootnoteBoldChar"/>
          <w:rtl/>
        </w:rPr>
        <w:t>والاستبصار</w:t>
      </w:r>
      <w:r w:rsidR="00E3253D" w:rsidRPr="005D642E">
        <w:rPr>
          <w:rtl/>
        </w:rPr>
        <w:t xml:space="preserve"> ، ج 1 ، ص 100 ، ح 325 ، معلّقاً عن سعد بن عبدالله ، عن أيّوب بن نوح ، عن بعض أصحابنا ، عن أبي عبدالله </w:t>
      </w:r>
      <w:r w:rsidR="00E3253D" w:rsidRPr="00180FB2">
        <w:rPr>
          <w:rStyle w:val="libFootnoteAlaemChar"/>
          <w:rtl/>
        </w:rPr>
        <w:t>عليه‌السلام</w:t>
      </w:r>
      <w:r w:rsidR="00E3253D" w:rsidRPr="005D642E">
        <w:rPr>
          <w:rtl/>
        </w:rPr>
        <w:t xml:space="preserve"> ، مع اختلاف يسير </w:t>
      </w:r>
      <w:r w:rsidR="00180FB2">
        <w:rPr>
          <w:rFonts w:hint="cs"/>
          <w:rtl/>
        </w:rPr>
        <w:t>.</w:t>
      </w:r>
      <w:r w:rsidR="00E3253D" w:rsidRPr="002F4D34">
        <w:rPr>
          <w:rStyle w:val="libFootnoteBoldChar"/>
          <w:rtl/>
        </w:rPr>
        <w:t>الوافي</w:t>
      </w:r>
      <w:r w:rsidR="00E3253D" w:rsidRPr="005D642E">
        <w:rPr>
          <w:rtl/>
        </w:rPr>
        <w:t xml:space="preserve"> ، ج 6 ، ص 429 ، ح 4633 ؛ </w:t>
      </w:r>
      <w:r w:rsidR="00E3253D" w:rsidRPr="002F4D34">
        <w:rPr>
          <w:rStyle w:val="libFootnoteBoldChar"/>
          <w:rtl/>
        </w:rPr>
        <w:t>الوسائل</w:t>
      </w:r>
      <w:r w:rsidR="00E3253D" w:rsidRPr="005D642E">
        <w:rPr>
          <w:rtl/>
        </w:rPr>
        <w:t xml:space="preserve"> ، ج 3 ، ص 294 ، ذيل ح 3689.</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السند معلّق على سابقه. ويروي عن سهل ، عدّة من أصحابنا.</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بث » : « الحسن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بث ، بخ ، بف » والوسائل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 بنصفين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الوسائل </w:t>
      </w:r>
      <w:r w:rsidR="009E68BB" w:rsidRPr="009E68BB">
        <w:rPr>
          <w:rStyle w:val="libFootnoteBoldChar"/>
          <w:rtl/>
        </w:rPr>
        <w:t>وتحف العقول</w:t>
      </w:r>
      <w:r w:rsidR="00E3253D" w:rsidRPr="005D642E">
        <w:rPr>
          <w:rtl/>
        </w:rPr>
        <w:t xml:space="preserve"> : + « النصف</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1 ، ص 337 ، ح 985 ، بسنده عن الكليني. </w:t>
      </w:r>
      <w:r w:rsidR="00E3253D" w:rsidRPr="002F4D34">
        <w:rPr>
          <w:rStyle w:val="libFootnoteBoldChar"/>
          <w:rtl/>
        </w:rPr>
        <w:t>الفقيه</w:t>
      </w:r>
      <w:r w:rsidR="00E3253D" w:rsidRPr="005D642E">
        <w:rPr>
          <w:rtl/>
        </w:rPr>
        <w:t xml:space="preserve"> ، ج 1 ، ص 167 ، ذيل ح 485 </w:t>
      </w:r>
      <w:r w:rsidR="008C47FB">
        <w:rPr>
          <w:rFonts w:hint="cs"/>
          <w:rtl/>
        </w:rPr>
        <w:t>.</w:t>
      </w:r>
      <w:r w:rsidR="00E3253D" w:rsidRPr="002F4D34">
        <w:rPr>
          <w:rStyle w:val="libFootnoteBoldChar"/>
          <w:rtl/>
        </w:rPr>
        <w:t>الوافي</w:t>
      </w:r>
      <w:r w:rsidR="00E3253D" w:rsidRPr="005D642E">
        <w:rPr>
          <w:rtl/>
        </w:rPr>
        <w:t xml:space="preserve"> ، ج 24 ، ص 491 ، ح 24495 ؛ </w:t>
      </w:r>
      <w:r w:rsidR="00E3253D" w:rsidRPr="002F4D34">
        <w:rPr>
          <w:rStyle w:val="libFootnoteBoldChar"/>
          <w:rtl/>
        </w:rPr>
        <w:t>الوسائل</w:t>
      </w:r>
      <w:r w:rsidR="00E3253D" w:rsidRPr="005D642E">
        <w:rPr>
          <w:rtl/>
        </w:rPr>
        <w:t xml:space="preserve"> ، ج 3 ، ص 137 ، ح 3225.</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 « يُحرق</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w:t>
      </w:r>
      <w:r w:rsidR="00E3253D" w:rsidRPr="002F4D34">
        <w:rPr>
          <w:rStyle w:val="libFootnoteBoldChar"/>
          <w:rtl/>
        </w:rPr>
        <w:t>مرآة العقول</w:t>
      </w:r>
      <w:r w:rsidR="00E3253D" w:rsidRPr="005D642E">
        <w:rPr>
          <w:rtl/>
        </w:rPr>
        <w:t xml:space="preserve"> ، ج 14 ، ص 157 : « قوله </w:t>
      </w:r>
      <w:r w:rsidR="00E3253D" w:rsidRPr="008C47FB">
        <w:rPr>
          <w:rStyle w:val="libFootnoteAlaemChar"/>
          <w:rtl/>
        </w:rPr>
        <w:t>عليه‌السلام</w:t>
      </w:r>
      <w:r w:rsidR="00E3253D" w:rsidRPr="005D642E">
        <w:rPr>
          <w:rtl/>
        </w:rPr>
        <w:t xml:space="preserve"> : « أن يصبّوا عليه الماء ، أي لايمسّ جسده ولايدلك ، بل يكتفى</w:t>
      </w:r>
      <w:r w:rsidR="00E3253D">
        <w:rPr>
          <w:rFonts w:hint="cs"/>
          <w:rtl/>
        </w:rPr>
        <w:t xml:space="preserve"> </w:t>
      </w:r>
      <w:r w:rsidR="008C47F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يُصَلّى عَلَيْهِ</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675D34">
        <w:rPr>
          <w:rtl/>
        </w:rPr>
        <w:t>4624</w:t>
      </w:r>
      <w:r w:rsidRPr="00246318">
        <w:rPr>
          <w:rStyle w:val="libBold2Char"/>
          <w:rtl/>
        </w:rPr>
        <w:t xml:space="preserve"> / 7.</w:t>
      </w:r>
      <w:r w:rsidRPr="005D642E">
        <w:rPr>
          <w:rtl/>
          <w:lang w:bidi="fa-IR"/>
        </w:rPr>
        <w:t xml:space="preserve"> عَلِيُّ بْنُ إِبْرَاهِيمَ ، عَنْ أَبِيهِ ، عَنْ عَلِيِّ بْنِ مَعْبَدٍ </w:t>
      </w:r>
      <w:r w:rsidRPr="007C12DB">
        <w:rPr>
          <w:rStyle w:val="libFootnotenumChar"/>
          <w:rtl/>
        </w:rPr>
        <w:t>(2)</w:t>
      </w:r>
      <w:r w:rsidRPr="005D642E">
        <w:rPr>
          <w:rtl/>
          <w:lang w:bidi="fa-IR"/>
        </w:rPr>
        <w:t xml:space="preserve"> ، عَنِ الدِّهْقَانِ ، عَنْ دُرُسْتَ ، عَنْ أَبِي خَالِدٍ ، قَالَ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D642E">
        <w:rPr>
          <w:rtl/>
          <w:lang w:bidi="fa-IR"/>
        </w:rPr>
        <w:t>اغْسِلْ كُلَّ شَيْ‌ءٍ مِنَ الْمَوْتَى : الْغَرِيقِ ، وَأَكِيلِ ال</w:t>
      </w:r>
      <w:r w:rsidR="00B30DF3">
        <w:rPr>
          <w:rtl/>
          <w:lang w:bidi="fa-IR"/>
        </w:rPr>
        <w:t>سَّبُعِ ، وَكُلَّ شَيْ‌ءٍ إِل</w:t>
      </w:r>
      <w:r w:rsidR="00B30DF3">
        <w:rPr>
          <w:rFonts w:hint="cs"/>
          <w:rtl/>
          <w:lang w:bidi="fa-IR"/>
        </w:rPr>
        <w:t>َّ</w:t>
      </w:r>
      <w:r w:rsidR="00B30DF3">
        <w:rPr>
          <w:rtl/>
          <w:lang w:bidi="fa-IR"/>
        </w:rPr>
        <w:t>ا</w:t>
      </w:r>
      <w:r w:rsidRPr="005D642E">
        <w:rPr>
          <w:rtl/>
          <w:lang w:bidi="fa-IR"/>
        </w:rPr>
        <w:t xml:space="preserve"> مَا قُتِلَ بَيْنَ الصَّفَّيْنِ ، فَإِنْ كَان</w:t>
      </w:r>
      <w:r w:rsidR="00985C91">
        <w:rPr>
          <w:rtl/>
          <w:lang w:bidi="fa-IR"/>
        </w:rPr>
        <w:t>َ بِهِ رَمَقٌ غُسِّلَ ، وَإِل</w:t>
      </w:r>
      <w:r w:rsidR="00985C91">
        <w:rPr>
          <w:rFonts w:hint="cs"/>
          <w:rtl/>
          <w:lang w:bidi="fa-IR"/>
        </w:rPr>
        <w:t>َّ</w:t>
      </w:r>
      <w:r w:rsidR="00985C91">
        <w:rPr>
          <w:rtl/>
          <w:lang w:bidi="fa-IR"/>
        </w:rPr>
        <w:t>ا</w:t>
      </w:r>
      <w:r w:rsidRPr="005D642E">
        <w:rPr>
          <w:rtl/>
          <w:lang w:bidi="fa-IR"/>
        </w:rPr>
        <w:t xml:space="preserve"> فَلَا. </w:t>
      </w:r>
      <w:r w:rsidRPr="007C12DB">
        <w:rPr>
          <w:rStyle w:val="libFootnotenumChar"/>
          <w:rtl/>
        </w:rPr>
        <w:t>(4)</w:t>
      </w:r>
      <w:r w:rsidRPr="005D642E">
        <w:rPr>
          <w:rtl/>
          <w:lang w:bidi="fa-IR"/>
        </w:rPr>
        <w:t xml:space="preserve"> ‌</w:t>
      </w:r>
    </w:p>
    <w:p w:rsidR="00E3253D" w:rsidRDefault="00E3253D" w:rsidP="00E3253D">
      <w:pPr>
        <w:pStyle w:val="Heading2Center"/>
        <w:rPr>
          <w:rtl/>
          <w:lang w:bidi="fa-IR"/>
        </w:rPr>
      </w:pPr>
      <w:bookmarkStart w:id="488" w:name="_Toc344647374"/>
      <w:bookmarkStart w:id="489" w:name="_Toc462226888"/>
      <w:bookmarkStart w:id="490" w:name="_Toc40975996"/>
      <w:r w:rsidRPr="005D642E">
        <w:rPr>
          <w:rtl/>
          <w:lang w:bidi="fa-IR"/>
        </w:rPr>
        <w:t>77</w:t>
      </w:r>
      <w:r>
        <w:rPr>
          <w:rtl/>
          <w:lang w:bidi="fa-IR"/>
        </w:rPr>
        <w:t xml:space="preserve"> </w:t>
      </w:r>
      <w:r w:rsidR="007642BC">
        <w:rPr>
          <w:rtl/>
          <w:lang w:bidi="fa-IR"/>
        </w:rPr>
        <w:t>-</w:t>
      </w:r>
      <w:r>
        <w:rPr>
          <w:rtl/>
          <w:lang w:bidi="fa-IR"/>
        </w:rPr>
        <w:t xml:space="preserve"> </w:t>
      </w:r>
      <w:r w:rsidRPr="005D642E">
        <w:rPr>
          <w:rtl/>
          <w:lang w:bidi="fa-IR"/>
        </w:rPr>
        <w:t>بَابُ مَنْ يَمُوتُ فِي السَّفِينَةِ وَلَايُقْدَرُ</w:t>
      </w:r>
      <w:bookmarkEnd w:id="488"/>
      <w:bookmarkEnd w:id="489"/>
      <w:bookmarkEnd w:id="490"/>
    </w:p>
    <w:p w:rsidR="00E3253D" w:rsidRPr="005D642E" w:rsidRDefault="00E3253D" w:rsidP="00E3253D">
      <w:pPr>
        <w:pStyle w:val="Heading2Center"/>
        <w:rPr>
          <w:rtl/>
          <w:lang w:bidi="fa-IR"/>
        </w:rPr>
      </w:pPr>
      <w:bookmarkStart w:id="491" w:name="_Toc344647375"/>
      <w:bookmarkStart w:id="492" w:name="_Toc462226889"/>
      <w:bookmarkStart w:id="493" w:name="_Toc40975997"/>
      <w:r w:rsidRPr="005D642E">
        <w:rPr>
          <w:rtl/>
          <w:lang w:bidi="fa-IR"/>
        </w:rPr>
        <w:t xml:space="preserve">عَلَى الشَّطِّ </w:t>
      </w:r>
      <w:r w:rsidRPr="007C12DB">
        <w:rPr>
          <w:rStyle w:val="libFootnotenumChar"/>
          <w:rtl/>
        </w:rPr>
        <w:t>(5)</w:t>
      </w:r>
      <w:r>
        <w:rPr>
          <w:rtl/>
          <w:lang w:bidi="fa-IR"/>
        </w:rPr>
        <w:t xml:space="preserve"> </w:t>
      </w:r>
      <w:r w:rsidRPr="005D642E">
        <w:rPr>
          <w:rtl/>
          <w:lang w:bidi="fa-IR"/>
        </w:rPr>
        <w:t>أَوْ يُصَابُ وَهُوَ عُرْيَانٌ‌</w:t>
      </w:r>
      <w:bookmarkEnd w:id="491"/>
      <w:bookmarkEnd w:id="492"/>
      <w:bookmarkEnd w:id="493"/>
    </w:p>
    <w:p w:rsidR="00E3253D" w:rsidRPr="005D642E" w:rsidRDefault="00E3253D" w:rsidP="00E3253D">
      <w:pPr>
        <w:pStyle w:val="libNormal"/>
        <w:rPr>
          <w:rtl/>
          <w:lang w:bidi="fa-IR"/>
        </w:rPr>
      </w:pPr>
      <w:r w:rsidRPr="00675D34">
        <w:rPr>
          <w:rtl/>
        </w:rPr>
        <w:t>4625</w:t>
      </w:r>
      <w:r w:rsidRPr="00246318">
        <w:rPr>
          <w:rStyle w:val="libBold2Char"/>
          <w:rtl/>
        </w:rPr>
        <w:t xml:space="preserve"> / 1.</w:t>
      </w:r>
      <w:r w:rsidRPr="005D642E">
        <w:rPr>
          <w:rtl/>
          <w:lang w:bidi="fa-IR"/>
        </w:rPr>
        <w:t xml:space="preserve"> أَبُو عَلِيٍّ الْأَشْعَرِيُّ ، عَنْ مُحَمَّدِ بْنِ عَبْدِ الْجَبَّارِ ؛</w:t>
      </w:r>
    </w:p>
    <w:p w:rsidR="00E3253D" w:rsidRPr="005D642E" w:rsidRDefault="00E3253D" w:rsidP="00E3253D">
      <w:pPr>
        <w:pStyle w:val="libLine"/>
        <w:rPr>
          <w:rtl/>
          <w:lang w:bidi="fa-IR"/>
        </w:rPr>
      </w:pPr>
      <w:r w:rsidRPr="005D642E">
        <w:rPr>
          <w:rtl/>
          <w:lang w:bidi="fa-IR"/>
        </w:rPr>
        <w:t>__________________</w:t>
      </w:r>
    </w:p>
    <w:p w:rsidR="00E3253D" w:rsidRPr="005D642E" w:rsidRDefault="00E3253D" w:rsidP="00E3253D">
      <w:pPr>
        <w:pStyle w:val="libFootnote0"/>
        <w:rPr>
          <w:rtl/>
          <w:lang w:bidi="fa-IR"/>
        </w:rPr>
      </w:pPr>
      <w:r w:rsidRPr="005D642E">
        <w:rPr>
          <w:rtl/>
        </w:rPr>
        <w:t>‌</w:t>
      </w:r>
      <w:r w:rsidR="00501C9A">
        <w:rPr>
          <w:rFonts w:hint="cs"/>
          <w:rtl/>
        </w:rPr>
        <w:t xml:space="preserve">= </w:t>
      </w:r>
      <w:r w:rsidRPr="005D642E">
        <w:rPr>
          <w:rtl/>
        </w:rPr>
        <w:t xml:space="preserve">بالصبّ ؛ لخوف تناثر جلده عند الدلك. قال في </w:t>
      </w:r>
      <w:r w:rsidRPr="002F4D34">
        <w:rPr>
          <w:rStyle w:val="libFootnoteBoldChar"/>
          <w:rtl/>
        </w:rPr>
        <w:t>المنتهى</w:t>
      </w:r>
      <w:r w:rsidRPr="005D642E">
        <w:rPr>
          <w:rtl/>
        </w:rPr>
        <w:t xml:space="preserve"> : ويصبّ الماء على المحترق والمجدور وصاحب القروح ومن يخاف تناثر جلده من المسّ ؛ لأجل الضرورة ، ولو خيف من ذلك أيضاً يمّم بالتراب ؛ لأنّه في محلّ الضرورة</w:t>
      </w:r>
      <w:r>
        <w:rPr>
          <w:rtl/>
        </w:rPr>
        <w:t xml:space="preserve"> ....</w:t>
      </w:r>
    </w:p>
    <w:p w:rsidR="00E3253D" w:rsidRDefault="00E3253D" w:rsidP="00E3253D">
      <w:pPr>
        <w:pStyle w:val="libFootnote0"/>
        <w:rPr>
          <w:rtl/>
        </w:rPr>
      </w:pPr>
      <w:r w:rsidRPr="00B60612">
        <w:rPr>
          <w:rtl/>
        </w:rPr>
        <w:t xml:space="preserve">فائدة : قال الشيهد في الذكرى : يلوح من الاقتصار على الصبّ الإجزاء بالقراح ؛ لأن المائين الآخرين لايتمّ فائدتهما بدون الدلك غالباً ، وحينئذ فالظاهر الإجزاء بالمرّة ؛ لأنّ الأمر لا يدلّ علي التكرار. انتهى. أقول : يظهر من سياق الخبر ما ذكره ، لكنّ التمسّك بعدم الفائدة غير تامّ ». وراجع : </w:t>
      </w:r>
      <w:r w:rsidRPr="002F4D34">
        <w:rPr>
          <w:rStyle w:val="libFootnoteBoldChar"/>
          <w:rtl/>
        </w:rPr>
        <w:t>منتهى المطلب</w:t>
      </w:r>
      <w:r w:rsidRPr="00B60612">
        <w:rPr>
          <w:rtl/>
        </w:rPr>
        <w:t xml:space="preserve"> ، ج 7 ، ص 193 ؛ </w:t>
      </w:r>
      <w:r w:rsidRPr="002F4D34">
        <w:rPr>
          <w:rStyle w:val="libFootnoteBoldChar"/>
          <w:rtl/>
        </w:rPr>
        <w:t>ذكرى الشيعة</w:t>
      </w:r>
      <w:r w:rsidRPr="00B60612">
        <w:rPr>
          <w:rtl/>
        </w:rPr>
        <w:t xml:space="preserve"> ، ج 1 ، ص 328.</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التهذيب</w:t>
      </w:r>
      <w:r w:rsidR="00E3253D" w:rsidRPr="005D642E">
        <w:rPr>
          <w:rtl/>
        </w:rPr>
        <w:t xml:space="preserve"> ، ج 1 ، ص 333 ، ح 976 ، بسنده عن أبي الجوزاء </w:t>
      </w:r>
      <w:r w:rsidR="000E6AFC">
        <w:rPr>
          <w:rFonts w:hint="cs"/>
          <w:rtl/>
        </w:rPr>
        <w:t>.</w:t>
      </w:r>
      <w:r w:rsidR="00E3253D" w:rsidRPr="002F4D34">
        <w:rPr>
          <w:rStyle w:val="libFootnoteBoldChar"/>
          <w:rtl/>
        </w:rPr>
        <w:t>الوافي</w:t>
      </w:r>
      <w:r w:rsidR="00E3253D" w:rsidRPr="005D642E">
        <w:rPr>
          <w:rtl/>
        </w:rPr>
        <w:t xml:space="preserve"> ، ج 24 ، ص 345 ، ح 24178 ؛ </w:t>
      </w:r>
      <w:r w:rsidR="00E3253D" w:rsidRPr="002F4D34">
        <w:rPr>
          <w:rStyle w:val="libFootnoteBoldChar"/>
          <w:rtl/>
        </w:rPr>
        <w:t>الوسائل</w:t>
      </w:r>
      <w:r w:rsidR="00E3253D" w:rsidRPr="005D642E">
        <w:rPr>
          <w:rtl/>
        </w:rPr>
        <w:t xml:space="preserve"> ، ج 2 ، ص 513 ، ذيل ح 2782.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وحاشية « ظ ، بس » والوسائل : « سعيد</w:t>
      </w:r>
      <w:r w:rsidR="00E3253D">
        <w:rPr>
          <w:rtl/>
        </w:rPr>
        <w:t xml:space="preserve"> ».</w:t>
      </w:r>
      <w:r w:rsidR="00E3253D" w:rsidRPr="005D642E">
        <w:rPr>
          <w:rtl/>
        </w:rPr>
        <w:t xml:space="preserve"> وهو سهو ؛ فقد روى إبراهيم بن هاشم كتاب عليّ بن معبد ، كما روى عنه في بعض الأسناد. وأمّا رواية إبراهيم بن هاشم ، عن عليّ بن سعيد فلم تثبت. راجع : </w:t>
      </w:r>
      <w:r w:rsidR="0059794D" w:rsidRPr="0059794D">
        <w:rPr>
          <w:rStyle w:val="libFootnoteBoldChar"/>
          <w:rtl/>
        </w:rPr>
        <w:t>الفهرست للطوسي</w:t>
      </w:r>
      <w:r w:rsidR="00E3253D" w:rsidRPr="005D642E">
        <w:rPr>
          <w:rtl/>
        </w:rPr>
        <w:t xml:space="preserve"> ، ص 265 ، الرقم 378 ؛ </w:t>
      </w:r>
      <w:r w:rsidR="00E3253D" w:rsidRPr="002F4D34">
        <w:rPr>
          <w:rStyle w:val="libFootnoteBoldChar"/>
          <w:rtl/>
        </w:rPr>
        <w:t>معجم رجال الحديث</w:t>
      </w:r>
      <w:r w:rsidR="00E3253D" w:rsidRPr="005D642E">
        <w:rPr>
          <w:rtl/>
        </w:rPr>
        <w:t xml:space="preserve"> ، ج 1 ، ص 531.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بث » :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330 ، ح 967 ، بسنده عن عليّ بن معبد ، عن عبيدالله بن الدهقان ، عن أبي خالد. </w:t>
      </w:r>
      <w:r w:rsidR="00E3253D" w:rsidRPr="002F4D34">
        <w:rPr>
          <w:rStyle w:val="libFootnoteBoldChar"/>
          <w:rtl/>
        </w:rPr>
        <w:t>الاستبصار</w:t>
      </w:r>
      <w:r w:rsidR="00E3253D" w:rsidRPr="005D642E">
        <w:rPr>
          <w:rtl/>
        </w:rPr>
        <w:t xml:space="preserve"> ، ج 1 ، ص 213 ، ح 746 ، بسنده عن عليّ بن سعيد ، عن عبيدالله بن الدهقان ، عن أبي خالد ، وفيهما مع اختلاف يسير </w:t>
      </w:r>
      <w:r w:rsidR="000E6AFC">
        <w:rPr>
          <w:rFonts w:hint="cs"/>
          <w:rtl/>
        </w:rPr>
        <w:t>.</w:t>
      </w:r>
      <w:r w:rsidR="00E3253D" w:rsidRPr="002F4D34">
        <w:rPr>
          <w:rStyle w:val="libFootnoteBoldChar"/>
          <w:rtl/>
        </w:rPr>
        <w:t>الوافي</w:t>
      </w:r>
      <w:r w:rsidR="00E3253D" w:rsidRPr="005D642E">
        <w:rPr>
          <w:rtl/>
        </w:rPr>
        <w:t xml:space="preserve"> ، ج 24 ، ص 349 ، ح 24187 ؛ </w:t>
      </w:r>
      <w:r w:rsidR="00E3253D" w:rsidRPr="002F4D34">
        <w:rPr>
          <w:rStyle w:val="libFootnoteBoldChar"/>
          <w:rtl/>
        </w:rPr>
        <w:t>الوسائل</w:t>
      </w:r>
      <w:r w:rsidR="00E3253D" w:rsidRPr="005D642E">
        <w:rPr>
          <w:rtl/>
        </w:rPr>
        <w:t xml:space="preserve"> ، ج 2 ، ص 507 ، ذيل ح 2770.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الشطّ » : جانب النهر أو جانب الوادي. </w:t>
      </w:r>
      <w:r w:rsidR="00E3253D" w:rsidRPr="002F4D34">
        <w:rPr>
          <w:rStyle w:val="libFootnoteBoldChar"/>
          <w:rtl/>
        </w:rPr>
        <w:t>المصباح المنير</w:t>
      </w:r>
      <w:r w:rsidR="00E3253D" w:rsidRPr="005D642E">
        <w:rPr>
          <w:rtl/>
        </w:rPr>
        <w:t xml:space="preserve"> ، ص 313 ( شطط )</w:t>
      </w:r>
      <w:r w:rsidR="00E3253D">
        <w:rPr>
          <w:rtl/>
        </w:rPr>
        <w:t>.</w:t>
      </w:r>
    </w:p>
    <w:p w:rsidR="00E3253D" w:rsidRDefault="00E3253D" w:rsidP="00E3253D">
      <w:pPr>
        <w:pStyle w:val="libNormal"/>
        <w:rPr>
          <w:rtl/>
          <w:lang w:bidi="fa-IR"/>
        </w:rPr>
      </w:pPr>
      <w:r>
        <w:rPr>
          <w:rtl/>
          <w:lang w:bidi="fa-IR"/>
        </w:rPr>
        <w:br w:type="page"/>
      </w:r>
    </w:p>
    <w:p w:rsidR="00E3253D" w:rsidRPr="005D642E" w:rsidRDefault="00312BD7" w:rsidP="00E3253D">
      <w:pPr>
        <w:pStyle w:val="libNormal0"/>
        <w:rPr>
          <w:rtl/>
          <w:lang w:bidi="fa-IR"/>
        </w:rPr>
      </w:pPr>
      <w:r>
        <w:rPr>
          <w:rFonts w:hint="cs"/>
          <w:rtl/>
          <w:lang w:bidi="fa-IR"/>
        </w:rPr>
        <w:t xml:space="preserve">              </w:t>
      </w:r>
      <w:r w:rsidR="00E567A6">
        <w:rPr>
          <w:rFonts w:hint="cs"/>
          <w:rtl/>
          <w:lang w:bidi="fa-IR"/>
        </w:rPr>
        <w:t xml:space="preserve"> </w:t>
      </w:r>
      <w:r w:rsidR="00E3253D" w:rsidRPr="005D642E">
        <w:rPr>
          <w:rtl/>
          <w:lang w:bidi="fa-IR"/>
        </w:rPr>
        <w:t>وَمُحَمَّدُ بْنُ إِسْمَاعِيلَ ، عَنِ الْفَضْلِ بْنِ شَاذَانَ جَمِيعاً ، عَنْ صَفْوَانَ بْنِ يَحْيى ، عَنِ ابْنِ مُسْكَانَ ، عَنْ أَيُّوبَ بْنِ الْحُرِّ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sidRPr="005D642E">
        <w:rPr>
          <w:rtl/>
          <w:lang w:bidi="fa-IR"/>
        </w:rPr>
        <w:t xml:space="preserve"> عَنْ رَجُلٍ مَاتَ فِي سَفِينَةٍ </w:t>
      </w:r>
      <w:r w:rsidRPr="007C12DB">
        <w:rPr>
          <w:rStyle w:val="libFootnotenumChar"/>
          <w:rtl/>
        </w:rPr>
        <w:t>(1)</w:t>
      </w:r>
      <w:r w:rsidRPr="005D642E">
        <w:rPr>
          <w:rtl/>
          <w:lang w:bidi="fa-IR"/>
        </w:rPr>
        <w:t xml:space="preserve"> فِي الْبَحْرِ : كَيْفَ يُصْنَعُ بِهِ</w:t>
      </w:r>
      <w:r>
        <w:rPr>
          <w:rtl/>
          <w:lang w:bidi="fa-IR"/>
        </w:rPr>
        <w:t>؟</w:t>
      </w:r>
    </w:p>
    <w:p w:rsidR="00E3253D" w:rsidRPr="005D642E" w:rsidRDefault="00E3253D" w:rsidP="00E3253D">
      <w:pPr>
        <w:pStyle w:val="libNormal"/>
        <w:rPr>
          <w:rtl/>
          <w:lang w:bidi="fa-IR"/>
        </w:rPr>
      </w:pPr>
      <w:r w:rsidRPr="005D642E">
        <w:rPr>
          <w:rtl/>
          <w:lang w:bidi="fa-IR"/>
        </w:rPr>
        <w:t xml:space="preserve">قَالَ : « يُوضَعُ فِي خَابِيَةٍ </w:t>
      </w:r>
      <w:r w:rsidRPr="007C12DB">
        <w:rPr>
          <w:rStyle w:val="libFootnotenumChar"/>
          <w:rtl/>
        </w:rPr>
        <w:t>(2)</w:t>
      </w:r>
      <w:r w:rsidRPr="005D642E">
        <w:rPr>
          <w:rtl/>
          <w:lang w:bidi="fa-IR"/>
        </w:rPr>
        <w:t xml:space="preserve"> ، وَيُوكى </w:t>
      </w:r>
      <w:r w:rsidRPr="007C12DB">
        <w:rPr>
          <w:rStyle w:val="libFootnotenumChar"/>
          <w:rtl/>
        </w:rPr>
        <w:t>(3)</w:t>
      </w:r>
      <w:r w:rsidRPr="005D642E">
        <w:rPr>
          <w:rtl/>
          <w:lang w:bidi="fa-IR"/>
        </w:rPr>
        <w:t xml:space="preserve"> رَأْسُهَا ، وَيُطْرَحُ فِي الْمَاءِ</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675D34">
        <w:rPr>
          <w:rtl/>
        </w:rPr>
        <w:t>4626</w:t>
      </w:r>
      <w:r w:rsidRPr="00246318">
        <w:rPr>
          <w:rStyle w:val="libBold2Char"/>
          <w:rtl/>
        </w:rPr>
        <w:t xml:space="preserve"> / 2.</w:t>
      </w:r>
      <w:r w:rsidRPr="005D642E">
        <w:rPr>
          <w:rtl/>
          <w:lang w:bidi="fa-IR"/>
        </w:rPr>
        <w:t xml:space="preserve"> حُمَيْدُ بْنُ زِيَادٍ ، عَنِ الْحَسَنِ بْنِ مُحَمَّدٍ </w:t>
      </w:r>
      <w:r w:rsidRPr="007C12DB">
        <w:rPr>
          <w:rStyle w:val="libFootnotenumChar"/>
          <w:rtl/>
        </w:rPr>
        <w:t>(5)</w:t>
      </w:r>
      <w:r w:rsidRPr="005D642E">
        <w:rPr>
          <w:rtl/>
          <w:lang w:bidi="fa-IR"/>
        </w:rPr>
        <w:t xml:space="preserve"> ، عَنْ غَيْرِ وَاحِ</w:t>
      </w:r>
      <w:r w:rsidR="00E567A6">
        <w:rPr>
          <w:rtl/>
          <w:lang w:bidi="fa-IR"/>
        </w:rPr>
        <w:t>دٍ ، عَنْ أَبَانٍ ، عَنْ رَجُلٍ</w:t>
      </w:r>
      <w:r w:rsidRPr="005D642E">
        <w:rPr>
          <w:rtl/>
          <w:lang w:bidi="fa-IR"/>
        </w:rPr>
        <w:t>:</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أَنَّهُ قَالَ فِي الرَّجُلِ يَمُوتُ مَعَ الْقَوْمِ فِي الْبَحْرِ ، فَقَالَ : « يُغَسَّلُ وَيُكَفَّنُ وَيُصَلّى عَلَيْهِ ، وَيُثْقَلُ ، وَيُرْمى بِهِ </w:t>
      </w:r>
      <w:r w:rsidRPr="007C12DB">
        <w:rPr>
          <w:rStyle w:val="libFootnotenumChar"/>
          <w:rtl/>
        </w:rPr>
        <w:t>(6)</w:t>
      </w:r>
      <w:r w:rsidRPr="005D642E">
        <w:rPr>
          <w:rtl/>
          <w:lang w:bidi="fa-IR"/>
        </w:rPr>
        <w:t xml:space="preserve"> فِي الْبَحْرِ</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675D34">
        <w:rPr>
          <w:rtl/>
        </w:rPr>
        <w:t>4627</w:t>
      </w:r>
      <w:r w:rsidRPr="00246318">
        <w:rPr>
          <w:rStyle w:val="libBold2Char"/>
          <w:rtl/>
        </w:rPr>
        <w:t xml:space="preserve"> / 3.</w:t>
      </w:r>
      <w:r w:rsidRPr="005D642E">
        <w:rPr>
          <w:rtl/>
          <w:lang w:bidi="fa-IR"/>
        </w:rPr>
        <w:t xml:space="preserve"> عِدَّةٌ مِنْ أَصْحَابِنَا ، عَنْ سَهْلِ بْنِ زِيَادٍ رَفَعَهُ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إِذَا مَاتَ الرَّجُلُ فِي السَّفِينَةِ ، وَلَمْ يُقْدَرْ عَلَى الشَّطِّ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بف » : « في السفينة</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خبأ الشي‌ء ، يخبؤه خبئاً : ستره ، ومنه الخابية</w:t>
      </w:r>
      <w:r w:rsidR="00E3253D">
        <w:rPr>
          <w:rtl/>
        </w:rPr>
        <w:t xml:space="preserve"> </w:t>
      </w:r>
      <w:r w:rsidR="007642BC">
        <w:rPr>
          <w:rtl/>
        </w:rPr>
        <w:t>-</w:t>
      </w:r>
      <w:r w:rsidR="00E3253D">
        <w:rPr>
          <w:rtl/>
        </w:rPr>
        <w:t xml:space="preserve"> </w:t>
      </w:r>
      <w:r w:rsidR="00E3253D" w:rsidRPr="005D642E">
        <w:rPr>
          <w:rtl/>
        </w:rPr>
        <w:t>تركوا همزتها</w:t>
      </w:r>
      <w:r w:rsidR="00E3253D">
        <w:rPr>
          <w:rtl/>
        </w:rPr>
        <w:t xml:space="preserve"> </w:t>
      </w:r>
      <w:r w:rsidR="007642BC">
        <w:rPr>
          <w:rtl/>
        </w:rPr>
        <w:t>-</w:t>
      </w:r>
      <w:r w:rsidR="00E3253D">
        <w:rPr>
          <w:rtl/>
        </w:rPr>
        <w:t xml:space="preserve"> </w:t>
      </w:r>
      <w:r w:rsidR="00E3253D" w:rsidRPr="005D642E">
        <w:rPr>
          <w:rtl/>
        </w:rPr>
        <w:t xml:space="preserve">: الحبّ. راجع : </w:t>
      </w:r>
      <w:r w:rsidR="00E3253D" w:rsidRPr="002F4D34">
        <w:rPr>
          <w:rStyle w:val="libFootnoteBoldChar"/>
          <w:rtl/>
        </w:rPr>
        <w:t>الصحاح</w:t>
      </w:r>
      <w:r w:rsidR="00E3253D" w:rsidRPr="005D642E">
        <w:rPr>
          <w:rtl/>
        </w:rPr>
        <w:t xml:space="preserve"> ، ج 1 ، ص 46 ؛ </w:t>
      </w:r>
      <w:r w:rsidR="00E3253D" w:rsidRPr="002F4D34">
        <w:rPr>
          <w:rStyle w:val="libFootnoteBoldChar"/>
          <w:rtl/>
        </w:rPr>
        <w:t>القاموس المحيط</w:t>
      </w:r>
      <w:r w:rsidR="00E3253D" w:rsidRPr="005D642E">
        <w:rPr>
          <w:rtl/>
        </w:rPr>
        <w:t xml:space="preserve"> ، ج 1 ، ص 102 ( خبأ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يوكى » ، أي يشدّ ، ومنه الوكاء : ما يشدّ به الكيس ورباط القرية وغيرها. راجع : </w:t>
      </w:r>
      <w:r w:rsidR="00E3253D" w:rsidRPr="002F4D34">
        <w:rPr>
          <w:rStyle w:val="libFootnoteBoldChar"/>
          <w:rtl/>
        </w:rPr>
        <w:t>القاموس المحيط</w:t>
      </w:r>
      <w:r w:rsidR="00E3253D" w:rsidRPr="005D642E">
        <w:rPr>
          <w:rtl/>
        </w:rPr>
        <w:t xml:space="preserve"> ، ج 2 ، ص 1760 ؛ </w:t>
      </w:r>
      <w:r w:rsidR="00E3253D" w:rsidRPr="002F4D34">
        <w:rPr>
          <w:rStyle w:val="libFootnoteBoldChar"/>
          <w:rtl/>
        </w:rPr>
        <w:t>لسان العرب</w:t>
      </w:r>
      <w:r w:rsidR="00E3253D" w:rsidRPr="005D642E">
        <w:rPr>
          <w:rtl/>
        </w:rPr>
        <w:t xml:space="preserve"> ، ج 15 ، ص 405 ( وكي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التهذيب</w:t>
      </w:r>
      <w:r w:rsidR="00E3253D" w:rsidRPr="005D642E">
        <w:rPr>
          <w:rtl/>
        </w:rPr>
        <w:t xml:space="preserve"> ، ج 1 ، ص 340 ، ح 996 ؛ </w:t>
      </w:r>
      <w:r w:rsidR="00E3253D" w:rsidRPr="00E678B5">
        <w:rPr>
          <w:rStyle w:val="libFootnoteBoldChar"/>
          <w:rtl/>
        </w:rPr>
        <w:t>والاستبصار</w:t>
      </w:r>
      <w:r w:rsidR="00E3253D" w:rsidRPr="005D642E">
        <w:rPr>
          <w:rtl/>
        </w:rPr>
        <w:t xml:space="preserve"> ، ج 1 ، ص 215 ، ح 756 ، بسندهما عن صفوان ، عن عبدالله بن مسكان. </w:t>
      </w:r>
      <w:r w:rsidR="00E3253D" w:rsidRPr="002F4D34">
        <w:rPr>
          <w:rStyle w:val="libFootnoteBoldChar"/>
          <w:rtl/>
        </w:rPr>
        <w:t>الفقيه</w:t>
      </w:r>
      <w:r w:rsidR="00E3253D" w:rsidRPr="005D642E">
        <w:rPr>
          <w:rtl/>
        </w:rPr>
        <w:t xml:space="preserve"> ، ج 1 ، ص 157 ، ح 439 ، مرسلاً ، وفي كلّها مع اختلاف يسير </w:t>
      </w:r>
      <w:r w:rsidR="00E3253D" w:rsidRPr="002F4D34">
        <w:rPr>
          <w:rStyle w:val="libFootnoteBoldChar"/>
          <w:rtl/>
        </w:rPr>
        <w:t>الوافي</w:t>
      </w:r>
      <w:r w:rsidR="00E3253D" w:rsidRPr="005D642E">
        <w:rPr>
          <w:rtl/>
        </w:rPr>
        <w:t xml:space="preserve"> ، ج 25 ، ص 537 ، ح 24600 ؛ </w:t>
      </w:r>
      <w:r w:rsidR="00E3253D" w:rsidRPr="002F4D34">
        <w:rPr>
          <w:rStyle w:val="libFootnoteBoldChar"/>
          <w:rtl/>
        </w:rPr>
        <w:t>الوسائل</w:t>
      </w:r>
      <w:r w:rsidR="00E3253D" w:rsidRPr="005D642E">
        <w:rPr>
          <w:rtl/>
        </w:rPr>
        <w:t xml:space="preserve"> ، ج 3 ، ص 206 ، ذيل ح 3417.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الاستبصار :</w:t>
      </w:r>
      <w:r w:rsidR="00E3253D">
        <w:rPr>
          <w:rtl/>
        </w:rPr>
        <w:t xml:space="preserve"> </w:t>
      </w:r>
      <w:r w:rsidR="007642BC">
        <w:rPr>
          <w:rtl/>
        </w:rPr>
        <w:t>-</w:t>
      </w:r>
      <w:r w:rsidR="00E3253D">
        <w:rPr>
          <w:rtl/>
        </w:rPr>
        <w:t xml:space="preserve"> </w:t>
      </w:r>
      <w:r w:rsidR="00E3253D" w:rsidRPr="005D642E">
        <w:rPr>
          <w:rtl/>
        </w:rPr>
        <w:t>« عن الحسن بن محمّد</w:t>
      </w:r>
      <w:r w:rsidR="00E3253D">
        <w:rPr>
          <w:rtl/>
        </w:rPr>
        <w:t xml:space="preserve"> ».</w:t>
      </w:r>
      <w:r w:rsidR="00E3253D" w:rsidRPr="005D642E">
        <w:rPr>
          <w:rtl/>
        </w:rPr>
        <w:t xml:space="preserve"> وقد تكرّرت في الأسناد رواية حميد بن زياد ، عن الحسن بن‌محمّد</w:t>
      </w:r>
      <w:r w:rsidR="00E3253D">
        <w:rPr>
          <w:rtl/>
        </w:rPr>
        <w:t xml:space="preserve"> </w:t>
      </w:r>
      <w:r w:rsidR="007642BC">
        <w:rPr>
          <w:rtl/>
        </w:rPr>
        <w:t>-</w:t>
      </w:r>
      <w:r w:rsidR="00E3253D">
        <w:rPr>
          <w:rtl/>
        </w:rPr>
        <w:t xml:space="preserve"> </w:t>
      </w:r>
      <w:r w:rsidR="00E3253D" w:rsidRPr="005D642E">
        <w:rPr>
          <w:rtl/>
        </w:rPr>
        <w:t>وهو ابن سماعة</w:t>
      </w:r>
      <w:r w:rsidR="00E3253D">
        <w:rPr>
          <w:rtl/>
        </w:rPr>
        <w:t xml:space="preserve"> </w:t>
      </w:r>
      <w:r w:rsidR="007642BC">
        <w:rPr>
          <w:rtl/>
        </w:rPr>
        <w:t>-</w:t>
      </w:r>
      <w:r w:rsidR="00E3253D">
        <w:rPr>
          <w:rtl/>
        </w:rPr>
        <w:t xml:space="preserve"> </w:t>
      </w:r>
      <w:r w:rsidR="00E3253D" w:rsidRPr="005D642E">
        <w:rPr>
          <w:rtl/>
        </w:rPr>
        <w:t>عن غير واحد ، عن أبان بن عثمان.</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بس ، بف » :</w:t>
      </w:r>
      <w:r w:rsidR="00E3253D">
        <w:rPr>
          <w:rtl/>
        </w:rPr>
        <w:t xml:space="preserve"> </w:t>
      </w:r>
      <w:r w:rsidR="007642BC">
        <w:rPr>
          <w:rtl/>
        </w:rPr>
        <w:t>-</w:t>
      </w:r>
      <w:r w:rsidR="00E3253D">
        <w:rPr>
          <w:rtl/>
        </w:rPr>
        <w:t xml:space="preserve"> </w:t>
      </w:r>
      <w:r w:rsidR="00E3253D" w:rsidRPr="005D642E">
        <w:rPr>
          <w:rtl/>
        </w:rPr>
        <w:t>« به</w:t>
      </w:r>
      <w:r w:rsidR="00E3253D">
        <w:rPr>
          <w:rtl/>
        </w:rPr>
        <w:t xml:space="preserve"> ».</w:t>
      </w:r>
    </w:p>
    <w:p w:rsidR="00E3253D" w:rsidRPr="005D642E" w:rsidRDefault="0042621E" w:rsidP="00E567A6">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التهذيب</w:t>
      </w:r>
      <w:r w:rsidR="00E3253D" w:rsidRPr="005D642E">
        <w:rPr>
          <w:rtl/>
        </w:rPr>
        <w:t xml:space="preserve"> ، ج 1 ، ص 339 ، ح 993 ؛ </w:t>
      </w:r>
      <w:r w:rsidR="00E3253D" w:rsidRPr="00E678B5">
        <w:rPr>
          <w:rStyle w:val="libFootnoteBoldChar"/>
          <w:rtl/>
        </w:rPr>
        <w:t>والاستبصار</w:t>
      </w:r>
      <w:r w:rsidR="00E3253D" w:rsidRPr="005D642E">
        <w:rPr>
          <w:rtl/>
        </w:rPr>
        <w:t xml:space="preserve"> ، ج 1 ، ص 215 ، ح 759 ، بسندهما عن الكليني. وفي </w:t>
      </w:r>
      <w:r w:rsidR="00E3253D" w:rsidRPr="002F4D34">
        <w:rPr>
          <w:rStyle w:val="libFootnoteBoldChar"/>
          <w:rtl/>
        </w:rPr>
        <w:t>التهذيب</w:t>
      </w:r>
      <w:r w:rsidR="00E3253D" w:rsidRPr="005D642E">
        <w:rPr>
          <w:rtl/>
        </w:rPr>
        <w:t xml:space="preserve"> ، ج 1 ، ص 339 ح 995 ؛ </w:t>
      </w:r>
      <w:r w:rsidR="00E3253D" w:rsidRPr="003B3913">
        <w:rPr>
          <w:rStyle w:val="libFootnoteBoldChar"/>
          <w:rtl/>
        </w:rPr>
        <w:t>وقرب الإسناد</w:t>
      </w:r>
      <w:r w:rsidR="00E3253D" w:rsidRPr="005D642E">
        <w:rPr>
          <w:rtl/>
        </w:rPr>
        <w:t xml:space="preserve"> ، ص 138 ، ح 491 ، بسند آخر عن جعفر بن محمّد ، عن أبيه ، عن أميرالمؤمنين </w:t>
      </w:r>
      <w:r w:rsidR="00E3253D" w:rsidRPr="00E567A6">
        <w:rPr>
          <w:rStyle w:val="libFootnoteAlaemChar"/>
          <w:rtl/>
        </w:rPr>
        <w:t>عليهم‌السلام</w:t>
      </w:r>
      <w:r w:rsidR="00E3253D" w:rsidRPr="005D642E">
        <w:rPr>
          <w:rtl/>
        </w:rPr>
        <w:t xml:space="preserve">. </w:t>
      </w:r>
      <w:r w:rsidR="00E3253D" w:rsidRPr="002F4D34">
        <w:rPr>
          <w:rStyle w:val="libFootnoteBoldChar"/>
          <w:rtl/>
        </w:rPr>
        <w:t>الفقيه</w:t>
      </w:r>
      <w:r w:rsidR="00E3253D" w:rsidRPr="005D642E">
        <w:rPr>
          <w:rtl/>
        </w:rPr>
        <w:t xml:space="preserve"> ، ج 1 ، ص 157 ، ح 438 ، مرسلاً عن أميرالمؤمنين </w:t>
      </w:r>
      <w:r w:rsidR="00E3253D" w:rsidRPr="00B43AC9">
        <w:rPr>
          <w:rStyle w:val="libFootnoteAlaemChar"/>
          <w:rtl/>
        </w:rPr>
        <w:t>عليه‌السلام</w:t>
      </w:r>
      <w:r w:rsidR="00E3253D" w:rsidRPr="005D642E">
        <w:rPr>
          <w:rtl/>
        </w:rPr>
        <w:t xml:space="preserve"> ، وفي الثلاثة الأخيرة مع اختلاف يسير </w:t>
      </w:r>
      <w:r w:rsidR="00E567A6">
        <w:rPr>
          <w:rFonts w:hint="cs"/>
          <w:rtl/>
        </w:rPr>
        <w:t>.</w:t>
      </w:r>
      <w:r w:rsidR="00E3253D" w:rsidRPr="002F4D34">
        <w:rPr>
          <w:rStyle w:val="libFootnoteBoldChar"/>
          <w:rtl/>
        </w:rPr>
        <w:t>الوافي</w:t>
      </w:r>
      <w:r w:rsidR="00E3253D" w:rsidRPr="005D642E">
        <w:rPr>
          <w:rtl/>
        </w:rPr>
        <w:t xml:space="preserve"> ، ج 25 ، ص 537 ، ح 24602 ؛ </w:t>
      </w:r>
      <w:r w:rsidR="00E3253D" w:rsidRPr="002F4D34">
        <w:rPr>
          <w:rStyle w:val="libFootnoteBoldChar"/>
          <w:rtl/>
        </w:rPr>
        <w:t>الوسائل</w:t>
      </w:r>
      <w:r w:rsidR="00E3253D" w:rsidRPr="005D642E">
        <w:rPr>
          <w:rtl/>
        </w:rPr>
        <w:t xml:space="preserve"> ، ج 3 ، ص 206 ، ح 3419.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قَالَ : « يُكَفَّنُ وَيُحَنَّطُ وَيُلَفُّ </w:t>
      </w:r>
      <w:r w:rsidRPr="007C12DB">
        <w:rPr>
          <w:rStyle w:val="libFootnotenumChar"/>
          <w:rtl/>
        </w:rPr>
        <w:t>(1)</w:t>
      </w:r>
      <w:r w:rsidRPr="005D642E">
        <w:rPr>
          <w:rtl/>
          <w:lang w:bidi="fa-IR"/>
        </w:rPr>
        <w:t xml:space="preserve"> فِي ثَوْبٍ </w:t>
      </w:r>
      <w:r w:rsidRPr="007C12DB">
        <w:rPr>
          <w:rStyle w:val="libFootnotenumChar"/>
          <w:rtl/>
        </w:rPr>
        <w:t>(2)</w:t>
      </w:r>
      <w:r w:rsidRPr="005D642E">
        <w:rPr>
          <w:rtl/>
          <w:lang w:bidi="fa-IR"/>
        </w:rPr>
        <w:t xml:space="preserve"> ، وَيُلْقى فِي الْمَاءِ</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675D34">
        <w:rPr>
          <w:rtl/>
        </w:rPr>
        <w:t>4628</w:t>
      </w:r>
      <w:r w:rsidRPr="00246318">
        <w:rPr>
          <w:rStyle w:val="libBold2Char"/>
          <w:rtl/>
        </w:rPr>
        <w:t xml:space="preserve"> / 4.</w:t>
      </w:r>
      <w:r w:rsidRPr="005D642E">
        <w:rPr>
          <w:rtl/>
          <w:lang w:bidi="fa-IR"/>
        </w:rPr>
        <w:t xml:space="preserve"> عِدَّةٌ مِنْ أَصْحَابِنَا ، عَنْ أَحْمَدَ بْنِ مُحَمَّدٍ ، عَنْ أَحْمَدَ بْنِ مُحَمَّدِ بْنِ أَبِي نَصْرٍ </w:t>
      </w:r>
      <w:r w:rsidRPr="007C12DB">
        <w:rPr>
          <w:rStyle w:val="libFootnotenumChar"/>
          <w:rtl/>
        </w:rPr>
        <w:t>(4)</w:t>
      </w:r>
      <w:r w:rsidRPr="005D642E">
        <w:rPr>
          <w:rtl/>
          <w:lang w:bidi="fa-IR"/>
        </w:rPr>
        <w:t xml:space="preserve"> ، عَنْ مَرْوَانَ بْنِ مُسْلِمٍ ، عَنْ عَمَّارِ بْنِ مُوسى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مَا تَقُولُ فِي قَوْمٍ كَانُوا فِي سَفَرٍ ، فَهُمْ </w:t>
      </w:r>
      <w:r w:rsidRPr="007C12DB">
        <w:rPr>
          <w:rStyle w:val="libFootnotenumChar"/>
          <w:rtl/>
        </w:rPr>
        <w:t>(5)</w:t>
      </w:r>
      <w:r w:rsidRPr="005D642E">
        <w:rPr>
          <w:rtl/>
          <w:lang w:bidi="fa-IR"/>
        </w:rPr>
        <w:t xml:space="preserve"> يَمْشُونَ عَلى سَاحِلِ الْبَحْرِ ، فَإِذَا هُمْ بِرَجُلٍ مَيِّتٍ عُرْيَانٍ قَدْ لَفَظَهُ الْبَحْرُ </w:t>
      </w:r>
      <w:r w:rsidRPr="007C12DB">
        <w:rPr>
          <w:rStyle w:val="libFootnotenumChar"/>
          <w:rtl/>
        </w:rPr>
        <w:t>(6)</w:t>
      </w:r>
      <w:r w:rsidRPr="005D642E">
        <w:rPr>
          <w:rtl/>
          <w:lang w:bidi="fa-IR"/>
        </w:rPr>
        <w:t xml:space="preserve"> وَهُمْ عُ</w:t>
      </w:r>
      <w:r w:rsidR="008014BF">
        <w:rPr>
          <w:rtl/>
          <w:lang w:bidi="fa-IR"/>
        </w:rPr>
        <w:t>رَاةٌ ، لَيْسَ عَلَيْهِمْ إِل</w:t>
      </w:r>
      <w:r w:rsidR="008014BF">
        <w:rPr>
          <w:rFonts w:hint="cs"/>
          <w:rtl/>
          <w:lang w:bidi="fa-IR"/>
        </w:rPr>
        <w:t>َّ</w:t>
      </w:r>
      <w:r w:rsidR="008014BF">
        <w:rPr>
          <w:rtl/>
          <w:lang w:bidi="fa-IR"/>
        </w:rPr>
        <w:t>ا</w:t>
      </w:r>
      <w:r w:rsidRPr="005D642E">
        <w:rPr>
          <w:rtl/>
          <w:lang w:bidi="fa-IR"/>
        </w:rPr>
        <w:t xml:space="preserve"> إِزَارٌ ، كَيْفَ يُصَلُّونَ عَلَيْهِ وَهُوَ عُرْيَانٌ ، وَلَيْسَ مَعَهُمْ فَضْلُ ثَوْبٍ يُكَفِّنُونَهُ </w:t>
      </w:r>
      <w:r w:rsidRPr="007C12DB">
        <w:rPr>
          <w:rStyle w:val="libFootnotenumChar"/>
          <w:rtl/>
        </w:rPr>
        <w:t>(7)</w:t>
      </w:r>
      <w:r w:rsidRPr="005D642E">
        <w:rPr>
          <w:rtl/>
          <w:lang w:bidi="fa-IR"/>
        </w:rPr>
        <w:t xml:space="preserve"> فِيهِ </w:t>
      </w:r>
      <w:r w:rsidRPr="007C12DB">
        <w:rPr>
          <w:rStyle w:val="libFootnotenumChar"/>
          <w:rtl/>
        </w:rPr>
        <w:t>(8)</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(9)</w:t>
      </w:r>
      <w:r w:rsidRPr="005D642E">
        <w:rPr>
          <w:rtl/>
          <w:lang w:bidi="fa-IR"/>
        </w:rPr>
        <w:t xml:space="preserve"> : « يُحْفَرُ لَهُ ، وَيُوضَعُ فِي لَحْدِهِ ، وَيُوضَعُ </w:t>
      </w:r>
      <w:r w:rsidRPr="007C12DB">
        <w:rPr>
          <w:rStyle w:val="libFootnotenumChar"/>
          <w:rtl/>
        </w:rPr>
        <w:t>(10)</w:t>
      </w:r>
      <w:r w:rsidRPr="005D642E">
        <w:rPr>
          <w:rtl/>
          <w:lang w:bidi="fa-IR"/>
        </w:rPr>
        <w:t xml:space="preserve"> اللَّبِنُ عَلى عَوْرَتِهِ لِتَسْتُرَ </w:t>
      </w:r>
      <w:r w:rsidRPr="007C12DB">
        <w:rPr>
          <w:rStyle w:val="libFootnotenumChar"/>
          <w:rtl/>
        </w:rPr>
        <w:t>(11)</w:t>
      </w:r>
      <w:r w:rsidRPr="005D642E">
        <w:rPr>
          <w:rtl/>
          <w:lang w:bidi="fa-IR"/>
        </w:rPr>
        <w:t xml:space="preserve"> عَوْرَتُهُ بِاللَّبِنِ ، ثُمَّ </w:t>
      </w:r>
      <w:r w:rsidRPr="007C12DB">
        <w:rPr>
          <w:rStyle w:val="libFootnotenumChar"/>
          <w:rtl/>
        </w:rPr>
        <w:t>(12)</w:t>
      </w:r>
      <w:r w:rsidRPr="005D642E">
        <w:rPr>
          <w:rtl/>
          <w:lang w:bidi="fa-IR"/>
        </w:rPr>
        <w:t xml:space="preserve"> يُصَلّى عَلَيْهِ ، ثُمَّ يُدْفَنُ</w:t>
      </w:r>
      <w:r>
        <w:rPr>
          <w:rtl/>
          <w:lang w:bidi="fa-IR"/>
        </w:rPr>
        <w:t xml:space="preserve"> ».</w:t>
      </w:r>
    </w:p>
    <w:p w:rsidR="00E3253D" w:rsidRPr="005D642E" w:rsidRDefault="00E3253D" w:rsidP="00E3253D">
      <w:pPr>
        <w:pStyle w:val="libNormal"/>
        <w:rPr>
          <w:rtl/>
          <w:lang w:bidi="fa-IR"/>
        </w:rPr>
      </w:pPr>
      <w:r w:rsidRPr="005D642E">
        <w:rPr>
          <w:rtl/>
          <w:lang w:bidi="fa-IR"/>
        </w:rPr>
        <w:t>قَالَ : قُلْتُ : فَلَا يُصَلّى عَلَيْهِ إِذَا دُفِنَ</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ظ ، غ ، ى ، بث ، بح ، بخ ، بس ، بف ، جح ، جس » والوسائل </w:t>
      </w:r>
      <w:r w:rsidR="00B60612" w:rsidRPr="00B60612">
        <w:rPr>
          <w:rStyle w:val="libFootnoteBoldChar"/>
          <w:rtl/>
        </w:rPr>
        <w:t>والتهذيب</w:t>
      </w:r>
      <w:r w:rsidR="00E3253D" w:rsidRPr="005D642E">
        <w:rPr>
          <w:rtl/>
        </w:rPr>
        <w:t xml:space="preserve"> </w:t>
      </w:r>
      <w:r w:rsidR="00E3253D" w:rsidRPr="00E678B5">
        <w:rPr>
          <w:rStyle w:val="libFootnoteBoldChar"/>
          <w:rtl/>
        </w:rPr>
        <w:t>والاستبصار</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ويلفّ</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الاستبصار : + « ويصلّى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339 ، ح 994 ؛ </w:t>
      </w:r>
      <w:r w:rsidR="00E3253D" w:rsidRPr="00E678B5">
        <w:rPr>
          <w:rStyle w:val="libFootnoteBoldChar"/>
          <w:rtl/>
        </w:rPr>
        <w:t>والاستبصار</w:t>
      </w:r>
      <w:r w:rsidR="00E3253D" w:rsidRPr="005D642E">
        <w:rPr>
          <w:rtl/>
        </w:rPr>
        <w:t xml:space="preserve"> ، ج 1 ، ص 215 ، ح 760 ، بسندهما عن الكليني </w:t>
      </w:r>
      <w:r w:rsidR="00391F09">
        <w:rPr>
          <w:rFonts w:hint="cs"/>
          <w:rtl/>
        </w:rPr>
        <w:t>.</w:t>
      </w:r>
      <w:r w:rsidR="00E3253D" w:rsidRPr="002F4D34">
        <w:rPr>
          <w:rStyle w:val="libFootnoteBoldChar"/>
          <w:rtl/>
        </w:rPr>
        <w:t>الوافي</w:t>
      </w:r>
      <w:r w:rsidR="00E3253D" w:rsidRPr="005D642E">
        <w:rPr>
          <w:rtl/>
        </w:rPr>
        <w:t xml:space="preserve"> ، ج 25 ، ص 538 ، ح 24603 ؛ </w:t>
      </w:r>
      <w:r w:rsidR="00E3253D" w:rsidRPr="002F4D34">
        <w:rPr>
          <w:rStyle w:val="libFootnoteBoldChar"/>
          <w:rtl/>
        </w:rPr>
        <w:t>الوسائل</w:t>
      </w:r>
      <w:r w:rsidR="00E3253D" w:rsidRPr="005D642E">
        <w:rPr>
          <w:rtl/>
        </w:rPr>
        <w:t xml:space="preserve"> ، ج 3 ، ص 207 ، ح 3420.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 بث ، بح ، بخ ، بف ، جح » وحاشية « ظ » والوسائل. وفي « ى ، بس ، جن » والمطبوع :</w:t>
      </w:r>
      <w:r w:rsidR="00E3253D">
        <w:rPr>
          <w:rtl/>
        </w:rPr>
        <w:t xml:space="preserve"> </w:t>
      </w:r>
      <w:r w:rsidR="007642BC">
        <w:rPr>
          <w:rtl/>
        </w:rPr>
        <w:t>-</w:t>
      </w:r>
      <w:r w:rsidR="00E3253D">
        <w:rPr>
          <w:rtl/>
        </w:rPr>
        <w:t xml:space="preserve"> </w:t>
      </w:r>
      <w:r w:rsidR="00E3253D" w:rsidRPr="005D642E">
        <w:rPr>
          <w:rtl/>
        </w:rPr>
        <w:t>« عن أحمد بن‌محمّد</w:t>
      </w:r>
      <w:r w:rsidR="00E3253D">
        <w:rPr>
          <w:rtl/>
        </w:rPr>
        <w:t xml:space="preserve"> ».</w:t>
      </w:r>
      <w:r w:rsidR="00E3253D" w:rsidRPr="005D642E">
        <w:rPr>
          <w:rtl/>
        </w:rPr>
        <w:t xml:space="preserve"> وفي « ظ ، جن » وحاشية « بس » : « أحمد بن محمّد ، عن أبي نصر</w:t>
      </w:r>
      <w:r w:rsidR="00E3253D">
        <w:rPr>
          <w:rtl/>
        </w:rPr>
        <w:t xml:space="preserve"> ».</w:t>
      </w:r>
      <w:r w:rsidR="00E3253D" w:rsidRPr="005D642E">
        <w:rPr>
          <w:rtl/>
        </w:rPr>
        <w:t xml:space="preserve"> والمتكرّر في الأسناد رواية عدّة من أصحابنا ، عن أحمد بن محمّد ، عن [ أحمد بن ] محمّد بن أبي نصر.</w:t>
      </w:r>
    </w:p>
    <w:p w:rsidR="00E3253D" w:rsidRPr="005D642E" w:rsidRDefault="00E3253D" w:rsidP="00E3253D">
      <w:pPr>
        <w:pStyle w:val="libFootnote0"/>
        <w:rPr>
          <w:rtl/>
          <w:lang w:bidi="fa-IR"/>
        </w:rPr>
      </w:pPr>
      <w:r w:rsidRPr="00B60612">
        <w:rPr>
          <w:rtl/>
        </w:rPr>
        <w:t xml:space="preserve">والخبر رواه الشيخ الطوسي في </w:t>
      </w:r>
      <w:r w:rsidRPr="002F4D34">
        <w:rPr>
          <w:rStyle w:val="libFootnoteBoldChar"/>
          <w:rtl/>
        </w:rPr>
        <w:t>التهذيب</w:t>
      </w:r>
      <w:r w:rsidRPr="00B60612">
        <w:rPr>
          <w:rtl/>
        </w:rPr>
        <w:t xml:space="preserve"> ، ج 3 ، ص 179 ، ح 406 ؛ وص 327 ، ح 1022 ؛ بإسناده عن أحمد بن محمّد بن عيسى ، عن أحمد بن محمّد بن أبي نصر ، عن مروان [ بن مسلم ] ، عن عمّار بن موسى.</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 « سفرهم » بدل « سفر ، فهم</w:t>
      </w:r>
      <w:r w:rsidR="00E3253D">
        <w:rPr>
          <w:rtl/>
        </w:rPr>
        <w:t xml:space="preserve"> ».</w:t>
      </w:r>
      <w:r w:rsidR="00E3253D" w:rsidRPr="005D642E">
        <w:rPr>
          <w:rtl/>
        </w:rPr>
        <w:t xml:space="preserve"> وفي الفقيه </w:t>
      </w:r>
      <w:r w:rsidR="00B60612" w:rsidRPr="00B60612">
        <w:rPr>
          <w:rStyle w:val="libFootnoteBoldChar"/>
          <w:rtl/>
        </w:rPr>
        <w:t>والتهذيب</w:t>
      </w:r>
      <w:r w:rsidR="00E3253D" w:rsidRPr="005D642E">
        <w:rPr>
          <w:rtl/>
        </w:rPr>
        <w:t xml:space="preserve"> : « لهم » بدل « فهم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لفظه البحر » ، أي رماه إلى الساحل. راجع : </w:t>
      </w:r>
      <w:r w:rsidR="00E3253D" w:rsidRPr="002F4D34">
        <w:rPr>
          <w:rStyle w:val="libFootnoteBoldChar"/>
          <w:rtl/>
        </w:rPr>
        <w:t>لسان العرب</w:t>
      </w:r>
      <w:r w:rsidR="00E3253D" w:rsidRPr="005D642E">
        <w:rPr>
          <w:rtl/>
        </w:rPr>
        <w:t xml:space="preserve"> ، ج 7 ، ص 461 ( لفظ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ى ، بث ، بخ ، بف ، جن » وحاشية « جح » : « يلفّونه</w:t>
      </w:r>
      <w:r w:rsidR="00E3253D">
        <w:rPr>
          <w:rtl/>
        </w:rPr>
        <w:t xml:space="preserve"> ».</w:t>
      </w:r>
      <w:r w:rsidR="00E3253D" w:rsidRPr="005D642E">
        <w:rPr>
          <w:rtl/>
        </w:rPr>
        <w:t xml:space="preserve"> وفي « بس » : « يلقونه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بف » </w:t>
      </w:r>
      <w:r w:rsidR="009E68BB" w:rsidRPr="009E68BB">
        <w:rPr>
          <w:rStyle w:val="libFootnoteBoldChar"/>
          <w:rtl/>
        </w:rPr>
        <w:t>وتحف العقول</w:t>
      </w:r>
      <w:r w:rsidR="00E3253D" w:rsidRPr="005D642E">
        <w:rPr>
          <w:rtl/>
        </w:rPr>
        <w:t xml:space="preserve"> </w:t>
      </w:r>
      <w:r w:rsidR="00B60612" w:rsidRPr="00B60612">
        <w:rPr>
          <w:rStyle w:val="libFootnoteBoldChar"/>
          <w:rtl/>
        </w:rPr>
        <w:t>والتهذيب</w:t>
      </w:r>
      <w:r w:rsidR="00E3253D" w:rsidRPr="005D642E">
        <w:rPr>
          <w:rtl/>
        </w:rPr>
        <w:t xml:space="preserve"> ، ص 179 : « به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بف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بث » : + «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غ ، بث ، بخ ، بس ، بف ، جح ، جس ، جن » : « ليستر</w:t>
      </w:r>
      <w:r w:rsidR="00E3253D">
        <w:rPr>
          <w:rtl/>
        </w:rPr>
        <w:t xml:space="preserve"> ».</w:t>
      </w:r>
      <w:r w:rsidR="00E3253D" w:rsidRPr="005D642E">
        <w:rPr>
          <w:rtl/>
        </w:rPr>
        <w:t xml:space="preserve"> وفي حاشية « بح » : « وتستر</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حاشية « بح » : « </w:t>
      </w:r>
      <w:r w:rsidR="00E3253D">
        <w:rPr>
          <w:rtl/>
        </w:rPr>
        <w:t>و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قَالَ : « لَا ، لَايُصَلّى </w:t>
      </w:r>
      <w:r w:rsidRPr="007C12DB">
        <w:rPr>
          <w:rStyle w:val="libFootnotenumChar"/>
          <w:rtl/>
        </w:rPr>
        <w:t>(1)</w:t>
      </w:r>
      <w:r w:rsidRPr="005D642E">
        <w:rPr>
          <w:rtl/>
          <w:lang w:bidi="fa-IR"/>
        </w:rPr>
        <w:t xml:space="preserve"> عَلَى الْمَيِّتِ بَعْدَ مَا يُدْفَنُ </w:t>
      </w:r>
      <w:r w:rsidRPr="007C12DB">
        <w:rPr>
          <w:rStyle w:val="libFootnotenumChar"/>
          <w:rtl/>
        </w:rPr>
        <w:t>(2)</w:t>
      </w:r>
      <w:r w:rsidRPr="005D642E">
        <w:rPr>
          <w:rtl/>
          <w:lang w:bidi="fa-IR"/>
        </w:rPr>
        <w:t xml:space="preserve"> ، وَلَايُصَلّى عَلَيْهِ وَهُوَ عُرْيَانٌ حَتّى تُوَارى عَوْرَتُهُ</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494" w:name="_Toc344647376"/>
      <w:bookmarkStart w:id="495" w:name="_Toc462226890"/>
      <w:bookmarkStart w:id="496" w:name="_Toc40975998"/>
      <w:r w:rsidRPr="005D642E">
        <w:rPr>
          <w:rtl/>
          <w:lang w:bidi="fa-IR"/>
        </w:rPr>
        <w:t>78</w:t>
      </w:r>
      <w:r>
        <w:rPr>
          <w:rtl/>
          <w:lang w:bidi="fa-IR"/>
        </w:rPr>
        <w:t xml:space="preserve"> </w:t>
      </w:r>
      <w:r w:rsidR="007642BC">
        <w:rPr>
          <w:rtl/>
          <w:lang w:bidi="fa-IR"/>
        </w:rPr>
        <w:t>-</w:t>
      </w:r>
      <w:r>
        <w:rPr>
          <w:rtl/>
          <w:lang w:bidi="fa-IR"/>
        </w:rPr>
        <w:t xml:space="preserve"> </w:t>
      </w:r>
      <w:r w:rsidRPr="005D642E">
        <w:rPr>
          <w:rtl/>
          <w:lang w:bidi="fa-IR"/>
        </w:rPr>
        <w:t>بَابُ الصَّلَاةِ عَلَى الْمَصْلُوبِ وَالْمَرْجُومِ وَالْمُقْتَصِّ مِنْهُ‌</w:t>
      </w:r>
      <w:bookmarkEnd w:id="494"/>
      <w:bookmarkEnd w:id="495"/>
      <w:bookmarkEnd w:id="496"/>
    </w:p>
    <w:p w:rsidR="00E3253D" w:rsidRPr="005D642E" w:rsidRDefault="00E3253D" w:rsidP="00E3253D">
      <w:pPr>
        <w:pStyle w:val="libNormal"/>
        <w:rPr>
          <w:rtl/>
          <w:lang w:bidi="fa-IR"/>
        </w:rPr>
      </w:pPr>
      <w:r w:rsidRPr="001600AC">
        <w:rPr>
          <w:rtl/>
        </w:rPr>
        <w:t>4629</w:t>
      </w:r>
      <w:r w:rsidRPr="00246318">
        <w:rPr>
          <w:rStyle w:val="libBold2Char"/>
          <w:rtl/>
        </w:rPr>
        <w:t xml:space="preserve"> / 1.</w:t>
      </w:r>
      <w:r w:rsidRPr="005D642E">
        <w:rPr>
          <w:rtl/>
          <w:lang w:bidi="fa-IR"/>
        </w:rPr>
        <w:t xml:space="preserve"> عِدَّةٌ مِنْ أَصْحَابِنَا ، عَنْ سَهْلِ بْنِ زِيَادٍ ، عَنْ مُحَمَّدِ بْنِ الْحَسَنِ بْنِ شَمُّونٍ ، عَنْ عَبْدِ اللهِ بْنِ عَبْدِ الرَّحْمنِ ، عَنْ مِسْمَعٍ كِرْدِينٍ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الْمَرْجُومُ وَالْمَرْجُومَةُ يُغَسَّلَانِ وَيُحَنَّطَانِ </w:t>
      </w:r>
      <w:r w:rsidRPr="007C12DB">
        <w:rPr>
          <w:rStyle w:val="libFootnotenumChar"/>
          <w:rtl/>
        </w:rPr>
        <w:t>(4)</w:t>
      </w:r>
      <w:r w:rsidRPr="005D642E">
        <w:rPr>
          <w:rtl/>
          <w:lang w:bidi="fa-IR"/>
        </w:rPr>
        <w:t xml:space="preserve"> ، وَيُلْبَسَانِ</w:t>
      </w:r>
      <w:r>
        <w:rPr>
          <w:rFonts w:hint="cs"/>
          <w:rtl/>
          <w:lang w:bidi="fa-IR"/>
        </w:rPr>
        <w:t xml:space="preserve"> </w:t>
      </w:r>
      <w:r w:rsidRPr="005D642E">
        <w:rPr>
          <w:rtl/>
          <w:lang w:bidi="fa-IR"/>
        </w:rPr>
        <w:t xml:space="preserve">الْكَفَنَ </w:t>
      </w:r>
      <w:r w:rsidRPr="007C12DB">
        <w:rPr>
          <w:rStyle w:val="libFootnotenumChar"/>
          <w:rtl/>
        </w:rPr>
        <w:t>(5)</w:t>
      </w:r>
      <w:r w:rsidRPr="005D642E">
        <w:rPr>
          <w:rtl/>
          <w:lang w:bidi="fa-IR"/>
        </w:rPr>
        <w:t xml:space="preserve"> قَبْلَ ذلِكَ ، ثُمَّ يُرْجَمَانِ ، وَيُصَلّى عَلَيْهِمَا ، وَالْمُقْتَصُّ مِنْهُ بِمَنْزِلَةِ ذلِكَ يُغَسَّلُ </w:t>
      </w:r>
      <w:r w:rsidRPr="007C12DB">
        <w:rPr>
          <w:rStyle w:val="libFootnotenumChar"/>
          <w:rtl/>
        </w:rPr>
        <w:t>(6)</w:t>
      </w:r>
      <w:r w:rsidRPr="005D642E">
        <w:rPr>
          <w:rtl/>
          <w:lang w:bidi="fa-IR"/>
        </w:rPr>
        <w:t xml:space="preserve"> وَيُحَنَّطُ </w:t>
      </w:r>
      <w:r w:rsidRPr="007C12DB">
        <w:rPr>
          <w:rStyle w:val="libFootnotenumChar"/>
          <w:rtl/>
        </w:rPr>
        <w:t>(7)</w:t>
      </w:r>
      <w:r w:rsidRPr="005D642E">
        <w:rPr>
          <w:rtl/>
          <w:lang w:bidi="fa-IR"/>
        </w:rPr>
        <w:t xml:space="preserve"> ، وَيُلْبَسُ </w:t>
      </w:r>
      <w:r w:rsidRPr="007C12DB">
        <w:rPr>
          <w:rStyle w:val="libFootnotenumChar"/>
          <w:rtl/>
        </w:rPr>
        <w:t>(8)</w:t>
      </w:r>
      <w:r w:rsidRPr="005D642E">
        <w:rPr>
          <w:rtl/>
          <w:lang w:bidi="fa-IR"/>
        </w:rPr>
        <w:t xml:space="preserve"> الْكَفَنَ </w:t>
      </w:r>
      <w:r w:rsidRPr="007C12DB">
        <w:rPr>
          <w:rStyle w:val="libFootnotenumChar"/>
          <w:rtl/>
        </w:rPr>
        <w:t>(9)</w:t>
      </w:r>
      <w:r w:rsidRPr="005D642E">
        <w:rPr>
          <w:rtl/>
          <w:lang w:bidi="fa-IR"/>
        </w:rPr>
        <w:t xml:space="preserve"> ، وَيُصَلّى عَلَيْهِ</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0F1D7B">
        <w:rPr>
          <w:rtl/>
        </w:rPr>
        <w:t>4630</w:t>
      </w:r>
      <w:r w:rsidRPr="00246318">
        <w:rPr>
          <w:rStyle w:val="libBold2Char"/>
          <w:rtl/>
        </w:rPr>
        <w:t xml:space="preserve"> / 2.</w:t>
      </w:r>
      <w:r w:rsidRPr="005D642E">
        <w:rPr>
          <w:rtl/>
          <w:lang w:bidi="fa-IR"/>
        </w:rPr>
        <w:t xml:space="preserve"> عَلِيُّ بْنُ إِبْرَاهِيمَ </w:t>
      </w:r>
      <w:r w:rsidRPr="007C12DB">
        <w:rPr>
          <w:rStyle w:val="libFootnotenumChar"/>
          <w:rtl/>
        </w:rPr>
        <w:t>(11)</w:t>
      </w:r>
      <w:r w:rsidRPr="005D642E">
        <w:rPr>
          <w:rtl/>
          <w:lang w:bidi="fa-IR"/>
        </w:rPr>
        <w:t xml:space="preserve"> ، عَنْ أَبِي هَاشِمٍ الْجَعْفَرِيِّ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بث » </w:t>
      </w:r>
      <w:r w:rsidR="00B60612" w:rsidRPr="00B60612">
        <w:rPr>
          <w:rStyle w:val="libFootnoteBoldChar"/>
          <w:rtl/>
        </w:rPr>
        <w:t>والتهذيب</w:t>
      </w:r>
      <w:r w:rsidR="00E3253D" w:rsidRPr="005D642E">
        <w:rPr>
          <w:rtl/>
        </w:rPr>
        <w:t xml:space="preserve"> : « قال : لا يصلّى</w:t>
      </w:r>
      <w:r w:rsidR="00E3253D">
        <w:rPr>
          <w:rtl/>
        </w:rPr>
        <w:t xml:space="preserve"> ».</w:t>
      </w:r>
      <w:r w:rsidR="00E3253D" w:rsidRPr="005D642E">
        <w:rPr>
          <w:rtl/>
        </w:rPr>
        <w:t xml:space="preserve"> وفي حاشية « بف » : « قال : لا ، ولا يصلّى</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ظ » وحاشية « بح ، جح » : « دفن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3 ، ص 179 ، ح 406 ؛ وص 327 ، ح 1022 ، معلّقاً عن أحمد بن محمّد بن عيسى ، عن أحمد بن محمّد بن أبي نصر. </w:t>
      </w:r>
      <w:r w:rsidR="00E3253D" w:rsidRPr="002F4D34">
        <w:rPr>
          <w:rStyle w:val="libFootnoteBoldChar"/>
          <w:rtl/>
        </w:rPr>
        <w:t>الفقيه</w:t>
      </w:r>
      <w:r w:rsidR="00E3253D" w:rsidRPr="005D642E">
        <w:rPr>
          <w:rtl/>
        </w:rPr>
        <w:t xml:space="preserve"> ، ج 1 ، ص 166 ، ح 482 ، معلّقاً عن عمّار بن موسى الساباطي ، إلى قوله : « ثمّ يصلّى عليه ثمّ يدفن » وفي كلّها مع اختلاف يسير </w:t>
      </w:r>
      <w:r w:rsidR="00B865C1">
        <w:rPr>
          <w:rFonts w:hint="cs"/>
          <w:rtl/>
        </w:rPr>
        <w:t>.</w:t>
      </w:r>
      <w:r w:rsidR="00E3253D" w:rsidRPr="002F4D34">
        <w:rPr>
          <w:rStyle w:val="libFootnoteBoldChar"/>
          <w:rtl/>
        </w:rPr>
        <w:t>الوافي</w:t>
      </w:r>
      <w:r w:rsidR="00E3253D" w:rsidRPr="005D642E">
        <w:rPr>
          <w:rtl/>
        </w:rPr>
        <w:t xml:space="preserve"> ، ج 24 ، ص 487 ، ح 24487 ؛ </w:t>
      </w:r>
      <w:r w:rsidR="00E3253D" w:rsidRPr="002F4D34">
        <w:rPr>
          <w:rStyle w:val="libFootnoteBoldChar"/>
          <w:rtl/>
        </w:rPr>
        <w:t>الوسائل</w:t>
      </w:r>
      <w:r w:rsidR="00E3253D" w:rsidRPr="005D642E">
        <w:rPr>
          <w:rtl/>
        </w:rPr>
        <w:t xml:space="preserve"> ، ج 3 ، ص 131 ، ذيل ح 3209.</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فيحنّطان</w:t>
      </w:r>
      <w:r w:rsidR="00E3253D">
        <w:rPr>
          <w:rtl/>
        </w:rPr>
        <w:t xml:space="preserve"> ».</w:t>
      </w:r>
      <w:r w:rsidR="00E3253D" w:rsidRPr="005D642E">
        <w:rPr>
          <w:rtl/>
        </w:rPr>
        <w:t xml:space="preserve"> وفي التهذيب : « يغتسلان ويتحنّطان » بدل « يغسّلان ويحنّطان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B56BF" w:rsidTr="00EB56BF">
        <w:tc>
          <w:tcPr>
            <w:tcW w:w="4006" w:type="dxa"/>
          </w:tcPr>
          <w:p w:rsidR="00EB56BF" w:rsidRDefault="00EB56BF" w:rsidP="00E3253D">
            <w:pPr>
              <w:pStyle w:val="libFootnote0"/>
              <w:rPr>
                <w:rStyle w:val="libFootnote0Char"/>
                <w:rtl/>
              </w:rPr>
            </w:pPr>
            <w:r w:rsidRPr="0042621E">
              <w:rPr>
                <w:rStyle w:val="libFootnote0Char"/>
                <w:rtl/>
              </w:rPr>
              <w:t>(5).</w:t>
            </w:r>
            <w:r>
              <w:rPr>
                <w:rtl/>
              </w:rPr>
              <w:t xml:space="preserve"> في « جس » : «يكفّنان» بدل «</w:t>
            </w:r>
            <w:r w:rsidRPr="005D642E">
              <w:rPr>
                <w:rtl/>
              </w:rPr>
              <w:t>يلبسان الكفن</w:t>
            </w:r>
            <w:r>
              <w:rPr>
                <w:rtl/>
              </w:rPr>
              <w:t>».</w:t>
            </w:r>
          </w:p>
        </w:tc>
        <w:tc>
          <w:tcPr>
            <w:tcW w:w="4006" w:type="dxa"/>
          </w:tcPr>
          <w:p w:rsidR="00EB56BF" w:rsidRDefault="00EB56BF" w:rsidP="00E3253D">
            <w:pPr>
              <w:pStyle w:val="libFootnote0"/>
              <w:rPr>
                <w:rStyle w:val="libFootnote0Char"/>
                <w:rtl/>
              </w:rPr>
            </w:pPr>
            <w:r w:rsidRPr="0042621E">
              <w:rPr>
                <w:rStyle w:val="libFootnote0Char"/>
                <w:rtl/>
              </w:rPr>
              <w:t>(6).</w:t>
            </w:r>
            <w:r>
              <w:rPr>
                <w:rtl/>
              </w:rPr>
              <w:t xml:space="preserve"> في«بخ»</w:t>
            </w:r>
            <w:r w:rsidRPr="005D642E">
              <w:rPr>
                <w:rtl/>
              </w:rPr>
              <w:t>:</w:t>
            </w:r>
            <w:r>
              <w:rPr>
                <w:rtl/>
              </w:rPr>
              <w:t>- «</w:t>
            </w:r>
            <w:r w:rsidRPr="005D642E">
              <w:rPr>
                <w:rtl/>
              </w:rPr>
              <w:t>يغسّل</w:t>
            </w:r>
            <w:r>
              <w:rPr>
                <w:rtl/>
              </w:rPr>
              <w:t>».</w:t>
            </w:r>
            <w:r w:rsidRPr="005D642E">
              <w:rPr>
                <w:rtl/>
              </w:rPr>
              <w:t xml:space="preserve"> وفي التهذيب : « يغتسل</w:t>
            </w:r>
            <w:r>
              <w:rPr>
                <w:rtl/>
              </w:rPr>
              <w:t xml:space="preserve"> ».</w:t>
            </w:r>
          </w:p>
        </w:tc>
      </w:tr>
      <w:tr w:rsidR="00EB56BF" w:rsidTr="00EB56BF">
        <w:tc>
          <w:tcPr>
            <w:tcW w:w="4006" w:type="dxa"/>
          </w:tcPr>
          <w:p w:rsidR="00EB56BF" w:rsidRDefault="00EB56BF" w:rsidP="00E3253D">
            <w:pPr>
              <w:pStyle w:val="libFootnote0"/>
              <w:rPr>
                <w:rStyle w:val="libFootnote0Char"/>
                <w:rtl/>
              </w:rPr>
            </w:pPr>
            <w:r w:rsidRPr="0042621E">
              <w:rPr>
                <w:rStyle w:val="libFootnote0Char"/>
                <w:rtl/>
              </w:rPr>
              <w:t>(7).</w:t>
            </w:r>
            <w:r w:rsidRPr="005D642E">
              <w:rPr>
                <w:rtl/>
              </w:rPr>
              <w:t xml:space="preserve"> في التهذيب : « ويتحنّط</w:t>
            </w:r>
            <w:r>
              <w:rPr>
                <w:rtl/>
              </w:rPr>
              <w:t xml:space="preserve"> ».</w:t>
            </w:r>
          </w:p>
        </w:tc>
        <w:tc>
          <w:tcPr>
            <w:tcW w:w="4006" w:type="dxa"/>
          </w:tcPr>
          <w:p w:rsidR="00EB56BF" w:rsidRDefault="00EB56BF" w:rsidP="00E3253D">
            <w:pPr>
              <w:pStyle w:val="libFootnote0"/>
              <w:rPr>
                <w:rStyle w:val="libFootnote0Char"/>
                <w:rtl/>
              </w:rPr>
            </w:pPr>
            <w:r w:rsidRPr="0042621E">
              <w:rPr>
                <w:rStyle w:val="libFootnote0Char"/>
                <w:rtl/>
              </w:rPr>
              <w:t>(8).</w:t>
            </w:r>
            <w:r w:rsidRPr="005D642E">
              <w:rPr>
                <w:rtl/>
              </w:rPr>
              <w:t xml:space="preserve"> في « بف » : « ولبس</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الفقيه : + « ثمّ يقاد</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التهذيب</w:t>
      </w:r>
      <w:r w:rsidR="00E3253D" w:rsidRPr="005D642E">
        <w:rPr>
          <w:rtl/>
        </w:rPr>
        <w:t xml:space="preserve"> ، ج 1 ، ص 334 ، ح 978 ، بسنده عن الكليني. </w:t>
      </w:r>
      <w:r w:rsidR="00E3253D" w:rsidRPr="002F4D34">
        <w:rPr>
          <w:rStyle w:val="libFootnoteBoldChar"/>
          <w:rtl/>
        </w:rPr>
        <w:t>الفقيه</w:t>
      </w:r>
      <w:r w:rsidR="00E3253D" w:rsidRPr="005D642E">
        <w:rPr>
          <w:rtl/>
        </w:rPr>
        <w:t xml:space="preserve"> ، ج 1 ، ص 157 ، ح 440 ، مرسلاً عن أميرالمؤمنين </w:t>
      </w:r>
      <w:r w:rsidR="00E3253D" w:rsidRPr="00EB56BF">
        <w:rPr>
          <w:rStyle w:val="libFootnoteAlaemChar"/>
          <w:rtl/>
        </w:rPr>
        <w:t>عليه‌السلام</w:t>
      </w:r>
      <w:r w:rsidR="00E3253D" w:rsidRPr="005D642E">
        <w:rPr>
          <w:rtl/>
        </w:rPr>
        <w:t xml:space="preserve"> </w:t>
      </w:r>
      <w:r w:rsidR="000261A8">
        <w:rPr>
          <w:rFonts w:hint="cs"/>
          <w:rtl/>
        </w:rPr>
        <w:t>.</w:t>
      </w:r>
      <w:r w:rsidR="00E3253D" w:rsidRPr="002F4D34">
        <w:rPr>
          <w:rStyle w:val="libFootnoteBoldChar"/>
          <w:rtl/>
        </w:rPr>
        <w:t>الوافي</w:t>
      </w:r>
      <w:r w:rsidR="00E3253D" w:rsidRPr="005D642E">
        <w:rPr>
          <w:rtl/>
        </w:rPr>
        <w:t xml:space="preserve"> ، ج 24 ، ص 350 ، ح 24189 ؛ </w:t>
      </w:r>
      <w:r w:rsidR="00E3253D" w:rsidRPr="002F4D34">
        <w:rPr>
          <w:rStyle w:val="libFootnoteBoldChar"/>
          <w:rtl/>
        </w:rPr>
        <w:t>الوسائل</w:t>
      </w:r>
      <w:r w:rsidR="00E3253D" w:rsidRPr="005D642E">
        <w:rPr>
          <w:rtl/>
        </w:rPr>
        <w:t xml:space="preserve"> ، ج 2 ، ص 513 ، ح 2784.</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 بث ، بخ ، بس ، بف ، جس » وهامش « ظ » وحاشية المطبوع نقلاً من أكثر النسخ </w:t>
      </w:r>
      <w:r w:rsidR="00B60612" w:rsidRPr="00B60612">
        <w:rPr>
          <w:rStyle w:val="libFootnoteBoldChar"/>
          <w:rtl/>
        </w:rPr>
        <w:t>والتهذيب</w:t>
      </w:r>
      <w:r w:rsidR="00E3253D" w:rsidRPr="005D642E">
        <w:rPr>
          <w:rtl/>
        </w:rPr>
        <w:t>. وفي « ظ ، ى ، بح ، جح ، جن » والمطبوع والوسائل : + « عن أبيه</w:t>
      </w:r>
      <w:r w:rsidR="00E3253D">
        <w:rPr>
          <w:rtl/>
        </w:rPr>
        <w:t xml:space="preserve"> ».</w:t>
      </w:r>
      <w:r w:rsidR="000261A8">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سَأَلْتُ الرِّضَا </w:t>
      </w:r>
      <w:r w:rsidRPr="00AC51C5">
        <w:rPr>
          <w:rStyle w:val="libAlaemChar"/>
          <w:rtl/>
        </w:rPr>
        <w:t>عليه‌السلام</w:t>
      </w:r>
      <w:r w:rsidRPr="005D642E">
        <w:rPr>
          <w:rtl/>
          <w:lang w:bidi="fa-IR"/>
        </w:rPr>
        <w:t xml:space="preserve"> عَنِ الْمَصْلُوبِ</w:t>
      </w:r>
      <w:r>
        <w:rPr>
          <w:rtl/>
          <w:lang w:bidi="fa-IR"/>
        </w:rPr>
        <w:t>؟</w:t>
      </w:r>
    </w:p>
    <w:p w:rsidR="00E3253D" w:rsidRPr="005D642E" w:rsidRDefault="00E3253D" w:rsidP="00E3253D">
      <w:pPr>
        <w:pStyle w:val="libNormal"/>
        <w:rPr>
          <w:rtl/>
          <w:lang w:bidi="fa-IR"/>
        </w:rPr>
      </w:pPr>
      <w:r>
        <w:rPr>
          <w:rtl/>
          <w:lang w:bidi="fa-IR"/>
        </w:rPr>
        <w:t>فَقَالَ : « أَ</w:t>
      </w:r>
      <w:r w:rsidRPr="005D642E">
        <w:rPr>
          <w:rtl/>
          <w:lang w:bidi="fa-IR"/>
        </w:rPr>
        <w:t xml:space="preserve">مَا عَلِمْتَ أَنَّ جَدِّي </w:t>
      </w:r>
      <w:r w:rsidRPr="00AC51C5">
        <w:rPr>
          <w:rStyle w:val="libAlaemChar"/>
          <w:rtl/>
        </w:rPr>
        <w:t>عليه‌السلام</w:t>
      </w:r>
      <w:r w:rsidRPr="005D642E">
        <w:rPr>
          <w:rtl/>
          <w:lang w:bidi="fa-IR"/>
        </w:rPr>
        <w:t xml:space="preserve"> صَلّى عَلى عَمِّهِ</w:t>
      </w:r>
      <w:r>
        <w:rPr>
          <w:rtl/>
          <w:lang w:bidi="fa-IR"/>
        </w:rPr>
        <w:t>؟</w:t>
      </w:r>
      <w:r w:rsidRPr="005D642E">
        <w:rPr>
          <w:rtl/>
          <w:lang w:bidi="fa-IR"/>
        </w:rPr>
        <w:t xml:space="preserve"> » ‌</w:t>
      </w:r>
    </w:p>
    <w:p w:rsidR="00E3253D" w:rsidRPr="005D642E" w:rsidRDefault="00E3253D" w:rsidP="00E3253D">
      <w:pPr>
        <w:pStyle w:val="libNormal"/>
        <w:rPr>
          <w:rtl/>
          <w:lang w:bidi="fa-IR"/>
        </w:rPr>
      </w:pPr>
      <w:r w:rsidRPr="005D642E">
        <w:rPr>
          <w:rtl/>
          <w:lang w:bidi="fa-IR"/>
        </w:rPr>
        <w:t xml:space="preserve">قُلْتُ : أَعْلَمُ ذَاكَ </w:t>
      </w:r>
      <w:r w:rsidRPr="007C12DB">
        <w:rPr>
          <w:rStyle w:val="libFootnotenumChar"/>
          <w:rtl/>
        </w:rPr>
        <w:t>(1)</w:t>
      </w:r>
      <w:r w:rsidRPr="005D642E">
        <w:rPr>
          <w:rtl/>
          <w:lang w:bidi="fa-IR"/>
        </w:rPr>
        <w:t xml:space="preserve"> ، وَلكِنِّي لَا</w:t>
      </w:r>
      <w:r>
        <w:rPr>
          <w:rFonts w:hint="cs"/>
          <w:rtl/>
          <w:lang w:bidi="fa-IR"/>
        </w:rPr>
        <w:t xml:space="preserve"> </w:t>
      </w:r>
      <w:r w:rsidRPr="005D642E">
        <w:rPr>
          <w:rtl/>
          <w:lang w:bidi="fa-IR"/>
        </w:rPr>
        <w:t>أَفْهَمُهُ مُبَيَّناً.</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(2)</w:t>
      </w:r>
      <w:r w:rsidRPr="005D642E">
        <w:rPr>
          <w:rtl/>
          <w:lang w:bidi="fa-IR"/>
        </w:rPr>
        <w:t xml:space="preserve"> : « أُبَيِّنُهُ لَكَ ، إِنْ كَانَ وَجْهُ الْمَصْلُوبِ إِلَى الْقِبْلَةِ ، فَقُمْ عَلى مَنْكِبِهِ الْأَيْمَنِ ؛ وَإِنْ كَانَ قَفَاهُ إِلَى الْقِبْلَةِ ، فَقُمْ عَلى مَنْكِبِهِ الْأَيْسَرِ ؛ فَإِنَّ بَيْنَ الْمَشْرِقِ وَالْمَغْرِبِ قِبْلَةً ؛ وَإِنْ كَانَ مَنْكِبُهُ الْأَيْسَرُ إِلَى الْقِبْلَةِ ، فَقُمْ عَلى مَنْكِبِهِ الْأَيْمَنِ ؛ وَإِنْ كَانَ مَنْكِبُهُ الْأَيْمَنُ إِلَى الْقِبْلَةِ ، فَقُمْ عَلى مَنْكِبِهِ الْأَيْسَرِ ، وَكَيْفَ </w:t>
      </w:r>
      <w:r w:rsidRPr="007C12DB">
        <w:rPr>
          <w:rStyle w:val="libFootnotenumChar"/>
          <w:rtl/>
        </w:rPr>
        <w:t>(3)</w:t>
      </w:r>
      <w:r w:rsidRPr="005D642E">
        <w:rPr>
          <w:rtl/>
          <w:lang w:bidi="fa-IR"/>
        </w:rPr>
        <w:t xml:space="preserve"> كَانَ مُنْحَرِفاً </w:t>
      </w:r>
      <w:r w:rsidRPr="007C12DB">
        <w:rPr>
          <w:rStyle w:val="libFootnotenumChar"/>
          <w:rtl/>
        </w:rPr>
        <w:t>(4)</w:t>
      </w:r>
      <w:r w:rsidRPr="005D642E">
        <w:rPr>
          <w:rtl/>
          <w:lang w:bidi="fa-IR"/>
        </w:rPr>
        <w:t xml:space="preserve"> فَلَا تُزَايِلْ </w:t>
      </w:r>
      <w:r w:rsidRPr="007C12DB">
        <w:rPr>
          <w:rStyle w:val="libFootnotenumChar"/>
          <w:rtl/>
        </w:rPr>
        <w:t>(5)</w:t>
      </w:r>
      <w:r w:rsidRPr="005D642E">
        <w:rPr>
          <w:rtl/>
          <w:lang w:bidi="fa-IR"/>
        </w:rPr>
        <w:t xml:space="preserve"> مَنَاكِبَهُ ، وَلْيَكُنْ وَجْهُكَ إِلَى مَا بَيْنَ الْمَشْرِقِ وَالْمَغْرِبِ ، وَلَاتَسْتَقْبِلْهُ </w:t>
      </w:r>
      <w:r w:rsidRPr="007C12DB">
        <w:rPr>
          <w:rStyle w:val="libFootnotenumChar"/>
          <w:rtl/>
        </w:rPr>
        <w:t>(6)</w:t>
      </w:r>
      <w:r w:rsidRPr="005D642E">
        <w:rPr>
          <w:rtl/>
          <w:lang w:bidi="fa-IR"/>
        </w:rPr>
        <w:t xml:space="preserve"> ، وَلَاتَسْتَدْبِرْهُ </w:t>
      </w:r>
      <w:r w:rsidRPr="007C12DB">
        <w:rPr>
          <w:rStyle w:val="libFootnotenumChar"/>
          <w:rtl/>
        </w:rPr>
        <w:t>(7)</w:t>
      </w:r>
      <w:r w:rsidRPr="005D642E">
        <w:rPr>
          <w:rtl/>
          <w:lang w:bidi="fa-IR"/>
        </w:rPr>
        <w:t xml:space="preserve"> أَلْبَتَّةَ</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أَبُو هَاشِمٍ : وَقَدْ فَهِمْتُ إِنْ شَاءَ اللهُ ، فَهِمْتُهُ وَاللهِ. </w:t>
      </w:r>
      <w:r w:rsidRPr="007C12DB">
        <w:rPr>
          <w:rStyle w:val="libFootnotenumChar"/>
          <w:rtl/>
        </w:rPr>
        <w:t>(8)</w:t>
      </w:r>
      <w:r w:rsidRPr="005D642E">
        <w:rPr>
          <w:rtl/>
          <w:lang w:bidi="fa-IR"/>
        </w:rPr>
        <w:t xml:space="preserve"> ‌</w:t>
      </w:r>
    </w:p>
    <w:p w:rsidR="00E3253D" w:rsidRPr="005D642E" w:rsidRDefault="00E3253D" w:rsidP="00E3253D">
      <w:pPr>
        <w:pStyle w:val="libNormal0"/>
        <w:rPr>
          <w:rtl/>
          <w:lang w:bidi="fa-IR"/>
        </w:rPr>
      </w:pPr>
      <w:r w:rsidRPr="000F1D7B">
        <w:rPr>
          <w:rtl/>
        </w:rPr>
        <w:t>4631</w:t>
      </w:r>
      <w:r w:rsidRPr="00246318">
        <w:rPr>
          <w:rStyle w:val="libBold2Char"/>
          <w:rtl/>
        </w:rPr>
        <w:t xml:space="preserve"> / 3.</w:t>
      </w:r>
      <w:r w:rsidRPr="005D642E">
        <w:rPr>
          <w:rtl/>
          <w:lang w:bidi="fa-IR"/>
        </w:rPr>
        <w:t xml:space="preserve"> مُحَمَّدُ بْنُ يَحْيى ، عَنْ مُحَمَّدِ بْنِ أَحْمَدَ ، عَنِ الْعَبَّاسِ بْنِ مَعْرُوفٍ ، عَنِ الْيَعْقُوبِيِّ ، عَنْ مُوسَى بْنِ عِيسى </w:t>
      </w:r>
      <w:r w:rsidRPr="007C12DB">
        <w:rPr>
          <w:rStyle w:val="libFootnotenumChar"/>
          <w:rtl/>
        </w:rPr>
        <w:t>(9)</w:t>
      </w:r>
      <w:r w:rsidRPr="005D642E">
        <w:rPr>
          <w:rtl/>
          <w:lang w:bidi="fa-IR"/>
        </w:rPr>
        <w:t xml:space="preserve"> ، عَنْ مُحَمَّدِ بْنِ مُيَسِّرٍ ، عَنْ هَارُونَ بْنِ الْجَهْمِ ، عَنِ‌</w:t>
      </w:r>
      <w:r>
        <w:rPr>
          <w:rFonts w:hint="cs"/>
          <w:rtl/>
          <w:lang w:bidi="fa-IR"/>
        </w:rPr>
        <w:t xml:space="preserve"> </w:t>
      </w:r>
      <w:r w:rsidRPr="005D642E">
        <w:rPr>
          <w:rtl/>
          <w:lang w:bidi="fa-IR"/>
        </w:rPr>
        <w:t>السَّكُونِيِّ :</w:t>
      </w:r>
    </w:p>
    <w:p w:rsidR="00E3253D" w:rsidRPr="005D642E" w:rsidRDefault="00E3253D" w:rsidP="00E3253D">
      <w:pPr>
        <w:pStyle w:val="libLine"/>
        <w:rPr>
          <w:rtl/>
          <w:lang w:bidi="fa-IR"/>
        </w:rPr>
      </w:pPr>
      <w:r w:rsidRPr="005D642E">
        <w:rPr>
          <w:rtl/>
          <w:lang w:bidi="fa-IR"/>
        </w:rPr>
        <w:t>__________________</w:t>
      </w:r>
    </w:p>
    <w:p w:rsidR="00E3253D" w:rsidRPr="005D642E" w:rsidRDefault="00437CB5" w:rsidP="00E3253D">
      <w:pPr>
        <w:pStyle w:val="libFootnote0"/>
        <w:rPr>
          <w:rtl/>
          <w:lang w:bidi="fa-IR"/>
        </w:rPr>
      </w:pPr>
      <w:r>
        <w:rPr>
          <w:rFonts w:hint="cs"/>
          <w:rtl/>
        </w:rPr>
        <w:t xml:space="preserve">= </w:t>
      </w:r>
      <w:r w:rsidR="00E3253D" w:rsidRPr="00B60612">
        <w:rPr>
          <w:rtl/>
        </w:rPr>
        <w:t xml:space="preserve">والمظنون صحّة ما أثبتناه ؛ لخلوّ أقدم النسخ وأحسنها من هذه العبارة ، ولما قدّمناه في </w:t>
      </w:r>
      <w:r w:rsidR="00E3253D" w:rsidRPr="002F4D34">
        <w:rPr>
          <w:rStyle w:val="libFootnoteBoldChar"/>
          <w:rtl/>
        </w:rPr>
        <w:t>الكافي</w:t>
      </w:r>
      <w:r w:rsidR="00E3253D" w:rsidRPr="00B60612">
        <w:rPr>
          <w:rtl/>
        </w:rPr>
        <w:t xml:space="preserve"> ، ذيل ح 18 من إمكان رواية عليّ بن إبراهيم ، عن أبي هاشم الجعفري ، فلا حظ.</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بح ، جس » والوسائل </w:t>
      </w:r>
      <w:r w:rsidR="00B60612" w:rsidRPr="00B60612">
        <w:rPr>
          <w:rStyle w:val="libFootnoteBoldChar"/>
          <w:rtl/>
        </w:rPr>
        <w:t>والتهذيب</w:t>
      </w:r>
      <w:r w:rsidR="00E3253D" w:rsidRPr="005D642E">
        <w:rPr>
          <w:rtl/>
        </w:rPr>
        <w:t xml:space="preserve"> والعيون : « ذلك</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غ ، بث ، بخ ، بف ، جح » </w:t>
      </w:r>
      <w:r w:rsidR="000D749A" w:rsidRPr="000D749A">
        <w:rPr>
          <w:rStyle w:val="libFootnoteBoldChar"/>
          <w:rtl/>
        </w:rPr>
        <w:t>والوافي</w:t>
      </w:r>
      <w:r w:rsidR="00E3253D" w:rsidRPr="005D642E">
        <w:rPr>
          <w:rtl/>
        </w:rPr>
        <w:t xml:space="preserve"> والوسائل. وفي سائر النسخ والمطبوع : « قال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F5D0A" w:rsidTr="008F5D0A">
        <w:tc>
          <w:tcPr>
            <w:tcW w:w="4006" w:type="dxa"/>
          </w:tcPr>
          <w:p w:rsidR="008F5D0A" w:rsidRDefault="008F5D0A" w:rsidP="00E3253D">
            <w:pPr>
              <w:pStyle w:val="libFootnote0"/>
              <w:rPr>
                <w:rStyle w:val="libFootnote0Char"/>
                <w:rtl/>
              </w:rPr>
            </w:pPr>
            <w:r w:rsidRPr="0042621E">
              <w:rPr>
                <w:rStyle w:val="libFootnote0Char"/>
                <w:rtl/>
              </w:rPr>
              <w:t>(3).</w:t>
            </w:r>
            <w:r w:rsidRPr="005D642E">
              <w:rPr>
                <w:rtl/>
              </w:rPr>
              <w:t xml:space="preserve"> في « جس » :</w:t>
            </w:r>
            <w:r>
              <w:rPr>
                <w:rtl/>
              </w:rPr>
              <w:t xml:space="preserve"> - </w:t>
            </w:r>
            <w:r w:rsidRPr="005D642E">
              <w:rPr>
                <w:rtl/>
              </w:rPr>
              <w:t>« كيف</w:t>
            </w:r>
            <w:r>
              <w:rPr>
                <w:rtl/>
              </w:rPr>
              <w:t xml:space="preserve"> ».</w:t>
            </w:r>
          </w:p>
        </w:tc>
        <w:tc>
          <w:tcPr>
            <w:tcW w:w="4006" w:type="dxa"/>
          </w:tcPr>
          <w:p w:rsidR="008F5D0A" w:rsidRDefault="008F5D0A" w:rsidP="00E3253D">
            <w:pPr>
              <w:pStyle w:val="libFootnote0"/>
              <w:rPr>
                <w:rStyle w:val="libFootnote0Char"/>
                <w:rtl/>
              </w:rPr>
            </w:pPr>
            <w:r w:rsidRPr="0042621E">
              <w:rPr>
                <w:rStyle w:val="libFootnote0Char"/>
                <w:rtl/>
              </w:rPr>
              <w:t>(4).</w:t>
            </w:r>
            <w:r w:rsidRPr="005D642E">
              <w:rPr>
                <w:rtl/>
              </w:rPr>
              <w:t xml:space="preserve"> في « بث ، جس » : « متحرّفاً</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الوسائل </w:t>
      </w:r>
      <w:r w:rsidR="00B60612" w:rsidRPr="00B60612">
        <w:rPr>
          <w:rStyle w:val="libFootnoteBoldChar"/>
          <w:rtl/>
        </w:rPr>
        <w:t>والتهذيب</w:t>
      </w:r>
      <w:r w:rsidR="00E3253D" w:rsidRPr="005D642E">
        <w:rPr>
          <w:rtl/>
        </w:rPr>
        <w:t xml:space="preserve"> والعيون : « فلا تزايلن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 « ولا يستقبل</w:t>
      </w:r>
      <w:r w:rsidR="00E3253D">
        <w:rPr>
          <w:rtl/>
        </w:rPr>
        <w:t xml:space="preserve"> ».</w:t>
      </w:r>
      <w:r w:rsidR="00E3253D" w:rsidRPr="005D642E">
        <w:rPr>
          <w:rtl/>
        </w:rPr>
        <w:t xml:space="preserve"> وفي حاشية « بح » : « فلا تستقبله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جس » : « ولا يستدبره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التهذيب</w:t>
      </w:r>
      <w:r w:rsidR="00E3253D" w:rsidRPr="005D642E">
        <w:rPr>
          <w:rtl/>
        </w:rPr>
        <w:t xml:space="preserve"> ، ج 3 ، ص 327 ، ح 1021 ، معلّقاً عن عليّ بن إبراهيم ، عن أبي هاشم الجعفري. </w:t>
      </w:r>
      <w:r w:rsidR="00E3253D" w:rsidRPr="002F4D34">
        <w:rPr>
          <w:rStyle w:val="libFootnoteBoldChar"/>
          <w:rtl/>
        </w:rPr>
        <w:t>عيون الأخبار</w:t>
      </w:r>
      <w:r w:rsidR="00E3253D" w:rsidRPr="005D642E">
        <w:rPr>
          <w:rtl/>
        </w:rPr>
        <w:t xml:space="preserve"> ، ج 1 ، ص 255 ، ح 8 ، بسنده عن أبي هاشم الجعفري ، عن أبي الحسن </w:t>
      </w:r>
      <w:r w:rsidR="00E3253D" w:rsidRPr="0054250D">
        <w:rPr>
          <w:rStyle w:val="libFootnoteAlaemChar"/>
          <w:rtl/>
        </w:rPr>
        <w:t>عليه‌السلام</w:t>
      </w:r>
      <w:r w:rsidR="00E3253D" w:rsidRPr="005D642E">
        <w:rPr>
          <w:rtl/>
        </w:rPr>
        <w:t xml:space="preserve"> ، وفيهما مع اختلاف يسير </w:t>
      </w:r>
      <w:r w:rsidR="0054250D">
        <w:rPr>
          <w:rFonts w:hint="cs"/>
          <w:rtl/>
        </w:rPr>
        <w:t>.</w:t>
      </w:r>
      <w:r w:rsidR="00E3253D" w:rsidRPr="002F4D34">
        <w:rPr>
          <w:rStyle w:val="libFootnoteBoldChar"/>
          <w:rtl/>
        </w:rPr>
        <w:t>الوافي</w:t>
      </w:r>
      <w:r w:rsidR="00E3253D" w:rsidRPr="005D642E">
        <w:rPr>
          <w:rtl/>
        </w:rPr>
        <w:t xml:space="preserve"> ، ج 24 ، ص 485 ، ح 24482 ؛ </w:t>
      </w:r>
      <w:r w:rsidR="00E3253D" w:rsidRPr="002F4D34">
        <w:rPr>
          <w:rStyle w:val="libFootnoteBoldChar"/>
          <w:rtl/>
        </w:rPr>
        <w:t>الوسائل</w:t>
      </w:r>
      <w:r w:rsidR="00E3253D" w:rsidRPr="005D642E">
        <w:rPr>
          <w:rtl/>
        </w:rPr>
        <w:t xml:space="preserve"> ، ج 3 ، ص 130 ، ح 3208 ؛ </w:t>
      </w:r>
      <w:r w:rsidR="00E3253D" w:rsidRPr="002F4D34">
        <w:rPr>
          <w:rStyle w:val="libFootnoteBoldChar"/>
          <w:rtl/>
        </w:rPr>
        <w:t>البحار</w:t>
      </w:r>
      <w:r w:rsidR="00E3253D" w:rsidRPr="005D642E">
        <w:rPr>
          <w:rtl/>
        </w:rPr>
        <w:t xml:space="preserve"> ، ج 82 ، ص 3 ، ذيل ح 4.</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الصواب في العنوان هو البعقوبي موسى بن عيسى ، كما تقدّم في </w:t>
      </w:r>
      <w:r w:rsidR="00E3253D" w:rsidRPr="002F4D34">
        <w:rPr>
          <w:rStyle w:val="libFootnoteBoldChar"/>
          <w:rtl/>
        </w:rPr>
        <w:t>الكافي</w:t>
      </w:r>
      <w:r w:rsidR="00E3253D" w:rsidRPr="005D642E">
        <w:rPr>
          <w:rtl/>
        </w:rPr>
        <w:t xml:space="preserve"> ، ذيل ح 4329 ، فلاحظ.</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لَاتُقِرُّوا </w:t>
      </w:r>
      <w:r w:rsidRPr="007C12DB">
        <w:rPr>
          <w:rStyle w:val="libFootnotenumChar"/>
          <w:rtl/>
        </w:rPr>
        <w:t>(1)</w:t>
      </w:r>
      <w:r w:rsidRPr="005D642E">
        <w:rPr>
          <w:rtl/>
          <w:lang w:bidi="fa-IR"/>
        </w:rPr>
        <w:t xml:space="preserve"> الْمَصْلُوبَ بَعْدَ ثَلَاثَةٍ </w:t>
      </w:r>
      <w:r w:rsidRPr="007C12DB">
        <w:rPr>
          <w:rStyle w:val="libFootnotenumChar"/>
          <w:rtl/>
        </w:rPr>
        <w:t>(2)</w:t>
      </w:r>
      <w:r w:rsidRPr="005D642E">
        <w:rPr>
          <w:rtl/>
          <w:lang w:bidi="fa-IR"/>
        </w:rPr>
        <w:t xml:space="preserve"> حَتّى يُنْزَلَ وَيُدْفَنَ</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497" w:name="_Toc344647377"/>
      <w:bookmarkStart w:id="498" w:name="_Toc462226891"/>
      <w:bookmarkStart w:id="499" w:name="_Toc40975999"/>
      <w:r w:rsidRPr="005D642E">
        <w:rPr>
          <w:rtl/>
          <w:lang w:bidi="fa-IR"/>
        </w:rPr>
        <w:t>79</w:t>
      </w:r>
      <w:r>
        <w:rPr>
          <w:rtl/>
          <w:lang w:bidi="fa-IR"/>
        </w:rPr>
        <w:t xml:space="preserve"> </w:t>
      </w:r>
      <w:r w:rsidR="007642BC">
        <w:rPr>
          <w:rtl/>
          <w:lang w:bidi="fa-IR"/>
        </w:rPr>
        <w:t>-</w:t>
      </w:r>
      <w:r>
        <w:rPr>
          <w:rtl/>
          <w:lang w:bidi="fa-IR"/>
        </w:rPr>
        <w:t xml:space="preserve"> </w:t>
      </w:r>
      <w:r w:rsidRPr="005D642E">
        <w:rPr>
          <w:rtl/>
          <w:lang w:bidi="fa-IR"/>
        </w:rPr>
        <w:t>بَابُ مَا يَجِبُ عَلَى الْجِيرَانِ لِأَهْلِ الْمُصِيبَةِ وَاتِّخَاذِ الْمَأْتَمِ‌</w:t>
      </w:r>
      <w:bookmarkEnd w:id="497"/>
      <w:bookmarkEnd w:id="498"/>
      <w:bookmarkEnd w:id="499"/>
    </w:p>
    <w:p w:rsidR="00E3253D" w:rsidRPr="005D642E" w:rsidRDefault="00E3253D" w:rsidP="00E3253D">
      <w:pPr>
        <w:pStyle w:val="libNormal"/>
        <w:rPr>
          <w:rtl/>
          <w:lang w:bidi="fa-IR"/>
        </w:rPr>
      </w:pPr>
      <w:r w:rsidRPr="000F1D7B">
        <w:rPr>
          <w:rtl/>
        </w:rPr>
        <w:t>4632</w:t>
      </w:r>
      <w:r w:rsidRPr="00246318">
        <w:rPr>
          <w:rStyle w:val="libBold2Char"/>
          <w:rtl/>
        </w:rPr>
        <w:t xml:space="preserve"> / 1.</w:t>
      </w:r>
      <w:r w:rsidRPr="005D642E">
        <w:rPr>
          <w:rtl/>
          <w:lang w:bidi="fa-IR"/>
        </w:rPr>
        <w:t xml:space="preserve"> عَلِيُّ بْنُ إِبْرَاهِيمَ ، عَنْ أَبِيهِ ، عَنِ ابْنِ أَبِي عُمَيْرٍ ، عَنْ حَفْصِ بْنِ الْبَخْتَرِيِّ وَ</w:t>
      </w:r>
      <w:r>
        <w:rPr>
          <w:rFonts w:hint="cs"/>
          <w:rtl/>
          <w:lang w:bidi="fa-IR"/>
        </w:rPr>
        <w:t xml:space="preserve"> </w:t>
      </w:r>
      <w:r w:rsidRPr="007C12DB">
        <w:rPr>
          <w:rStyle w:val="libFootnotenumChar"/>
          <w:rtl/>
        </w:rPr>
        <w:t>(4)</w:t>
      </w:r>
      <w:r w:rsidRPr="005D642E">
        <w:rPr>
          <w:rtl/>
          <w:lang w:bidi="fa-IR"/>
        </w:rPr>
        <w:t xml:space="preserve"> هِشَامِ بْنِ سَالِمٍ :</w:t>
      </w:r>
    </w:p>
    <w:p w:rsidR="00E3253D" w:rsidRPr="005D642E" w:rsidRDefault="00E3253D" w:rsidP="00F24038">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لَمَّا قُتِلَ جَعْفَرُ بْنُ أَبِي طَالِبٍ </w:t>
      </w:r>
      <w:r w:rsidRPr="00AC51C5">
        <w:rPr>
          <w:rStyle w:val="libAlaemChar"/>
          <w:rtl/>
        </w:rPr>
        <w:t>عليه‌السلام</w:t>
      </w:r>
      <w:r w:rsidRPr="005D642E">
        <w:rPr>
          <w:rtl/>
          <w:lang w:bidi="fa-IR"/>
        </w:rPr>
        <w:t xml:space="preserve"> ، أَمَرَ رَسُولُ اللهِ </w:t>
      </w:r>
      <w:r w:rsidR="0042621E" w:rsidRPr="0042621E">
        <w:rPr>
          <w:rStyle w:val="libAlaemChar"/>
          <w:rtl/>
        </w:rPr>
        <w:t>صلى‌الله‌عليه‌وآله</w:t>
      </w:r>
      <w:r w:rsidRPr="005D642E">
        <w:rPr>
          <w:rtl/>
          <w:lang w:bidi="fa-IR"/>
        </w:rPr>
        <w:t xml:space="preserve"> فَاطِمَةَ </w:t>
      </w:r>
      <w:r w:rsidRPr="00AC51C5">
        <w:rPr>
          <w:rStyle w:val="libAlaemChar"/>
          <w:rtl/>
        </w:rPr>
        <w:t>عليها‌السلام</w:t>
      </w:r>
      <w:r w:rsidRPr="005D642E">
        <w:rPr>
          <w:rtl/>
          <w:lang w:bidi="fa-IR"/>
        </w:rPr>
        <w:t xml:space="preserve"> أَنْ تَتَّخِذَ طَعَاماً لِأَسْمَاءَ بِنْتِ عُمَيْسٍ ثَلَاثَةَ أَيَّامٍ ، وَتَأْتِيَهَا وَنِسَاءَهَا ، فَتُقِيمَ </w:t>
      </w:r>
      <w:r w:rsidRPr="007C12DB">
        <w:rPr>
          <w:rStyle w:val="libFootnotenumChar"/>
          <w:rtl/>
        </w:rPr>
        <w:t>(5)</w:t>
      </w:r>
      <w:r w:rsidRPr="005D642E">
        <w:rPr>
          <w:rtl/>
          <w:lang w:bidi="fa-IR"/>
        </w:rPr>
        <w:t xml:space="preserve"> عِنْدَهَا ثَلَاثَةَ أَيَّامٍ ، فَجَرَتْ بِذلِكَ السُّنَّةُ أَنْ يُصْنَعَ </w:t>
      </w:r>
      <w:r w:rsidRPr="007C12DB">
        <w:rPr>
          <w:rStyle w:val="libFootnotenumChar"/>
          <w:rtl/>
        </w:rPr>
        <w:t>(6)</w:t>
      </w:r>
      <w:r w:rsidRPr="005D642E">
        <w:rPr>
          <w:rtl/>
          <w:lang w:bidi="fa-IR"/>
        </w:rPr>
        <w:t xml:space="preserve"> لِأَهْلِ الْمُصِيبَةِ طَعَامٌ </w:t>
      </w:r>
      <w:r w:rsidRPr="007C12DB">
        <w:rPr>
          <w:rStyle w:val="libFootnotenumChar"/>
          <w:rtl/>
        </w:rPr>
        <w:t>(7)</w:t>
      </w:r>
      <w:r w:rsidRPr="005D642E">
        <w:rPr>
          <w:rtl/>
          <w:lang w:bidi="fa-IR"/>
        </w:rPr>
        <w:t xml:space="preserve"> ثَلَاثاً </w:t>
      </w:r>
      <w:r w:rsidRPr="007C12DB">
        <w:rPr>
          <w:rStyle w:val="libFootnotenumChar"/>
          <w:rtl/>
        </w:rPr>
        <w:t>(8)</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بث » وحاشية « غ ، جن » : « لاتقربوا</w:t>
      </w:r>
      <w:r w:rsidR="00E3253D">
        <w:rPr>
          <w:rtl/>
        </w:rPr>
        <w:t xml:space="preserve"> ».</w:t>
      </w:r>
      <w:r w:rsidR="00E3253D" w:rsidRPr="005D642E">
        <w:rPr>
          <w:rtl/>
        </w:rPr>
        <w:t xml:space="preserve"> </w:t>
      </w:r>
      <w:r w:rsidR="00E3253D">
        <w:rPr>
          <w:rtl/>
        </w:rPr>
        <w:t>و «</w:t>
      </w:r>
      <w:r w:rsidR="00E3253D" w:rsidRPr="005D642E">
        <w:rPr>
          <w:rtl/>
        </w:rPr>
        <w:t xml:space="preserve"> لاتقرّوا » من القرار ، أي الاستقرار والثبوت والسكون. راجع : </w:t>
      </w:r>
      <w:r w:rsidR="00E3253D" w:rsidRPr="002F4D34">
        <w:rPr>
          <w:rStyle w:val="libFootnoteBoldChar"/>
          <w:rtl/>
        </w:rPr>
        <w:t>الصحاح</w:t>
      </w:r>
      <w:r w:rsidR="00E3253D" w:rsidRPr="005D642E">
        <w:rPr>
          <w:rtl/>
        </w:rPr>
        <w:t xml:space="preserve"> ، ج 2 ، ص 790 ؛ </w:t>
      </w:r>
      <w:r w:rsidR="00E3253D" w:rsidRPr="002F4D34">
        <w:rPr>
          <w:rStyle w:val="libFootnoteBoldChar"/>
          <w:rtl/>
        </w:rPr>
        <w:t>القاموس المحيط</w:t>
      </w:r>
      <w:r w:rsidR="00E3253D" w:rsidRPr="005D642E">
        <w:rPr>
          <w:rtl/>
        </w:rPr>
        <w:t xml:space="preserve"> ، ج 1 ، ص 642.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بح ، بس » والوسائل </w:t>
      </w:r>
      <w:r w:rsidR="00B60612" w:rsidRPr="00B60612">
        <w:rPr>
          <w:rStyle w:val="libFootnoteBoldChar"/>
          <w:rtl/>
        </w:rPr>
        <w:t>والتهذيب</w:t>
      </w:r>
      <w:r w:rsidR="00E3253D" w:rsidRPr="005D642E">
        <w:rPr>
          <w:rtl/>
        </w:rPr>
        <w:t xml:space="preserve"> : + « أيّام</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335 ، ح 981 ، بسنده عن الكليني. </w:t>
      </w:r>
      <w:r w:rsidR="00E3253D" w:rsidRPr="002F4D34">
        <w:rPr>
          <w:rStyle w:val="libFootnoteBoldChar"/>
          <w:rtl/>
        </w:rPr>
        <w:t>الجعفريّات</w:t>
      </w:r>
      <w:r w:rsidR="00E3253D" w:rsidRPr="005D642E">
        <w:rPr>
          <w:rtl/>
        </w:rPr>
        <w:t xml:space="preserve"> ، ص 208 ، بسند آخر عن جعفر بن محمّد ، عن آبائه ، عن عليّ بن أبي طالب </w:t>
      </w:r>
      <w:r w:rsidR="00E3253D" w:rsidRPr="00DD672E">
        <w:rPr>
          <w:rStyle w:val="libFootnoteAlaemChar"/>
          <w:rtl/>
        </w:rPr>
        <w:t>عليهم‌السلام</w:t>
      </w:r>
      <w:r w:rsidR="00E3253D" w:rsidRPr="005D642E">
        <w:rPr>
          <w:rtl/>
        </w:rPr>
        <w:t xml:space="preserve"> عن رسول الله </w:t>
      </w:r>
      <w:r w:rsidRPr="00DD672E">
        <w:rPr>
          <w:rStyle w:val="libFootnoteAlaemChar"/>
          <w:rtl/>
        </w:rPr>
        <w:t>صلى‌الله‌عليه‌وآله</w:t>
      </w:r>
      <w:r w:rsidR="00E3253D" w:rsidRPr="005D642E">
        <w:rPr>
          <w:rtl/>
        </w:rPr>
        <w:t xml:space="preserve"> ، مع اختلاف يسير. </w:t>
      </w:r>
      <w:r w:rsidR="00E3253D" w:rsidRPr="002F4D34">
        <w:rPr>
          <w:rStyle w:val="libFootnoteBoldChar"/>
          <w:rtl/>
        </w:rPr>
        <w:t>الفقيه</w:t>
      </w:r>
      <w:r w:rsidR="00E3253D" w:rsidRPr="005D642E">
        <w:rPr>
          <w:rtl/>
        </w:rPr>
        <w:t xml:space="preserve"> ، ج 4 ، ص 68 ، ح 5122 ، مرسلاً عن الصادق </w:t>
      </w:r>
      <w:r w:rsidR="00E3253D" w:rsidRPr="00DD672E">
        <w:rPr>
          <w:rStyle w:val="libFootnoteAlaemChar"/>
          <w:rtl/>
        </w:rPr>
        <w:t>عليه‌السلام</w:t>
      </w:r>
      <w:r w:rsidR="00E3253D" w:rsidRPr="005D642E">
        <w:rPr>
          <w:rtl/>
        </w:rPr>
        <w:t xml:space="preserve"> من دون الإسناد إلى الرسول </w:t>
      </w:r>
      <w:r w:rsidRPr="00DD672E">
        <w:rPr>
          <w:rStyle w:val="libFootnoteAlaemChar"/>
          <w:rtl/>
        </w:rPr>
        <w:t>صلى‌الله‌عليه‌وآله</w:t>
      </w:r>
      <w:r w:rsidR="00E3253D" w:rsidRPr="005D642E">
        <w:rPr>
          <w:rtl/>
        </w:rPr>
        <w:t xml:space="preserve"> ، مع اختلاف يسير وزيادة </w:t>
      </w:r>
      <w:r w:rsidR="00DD672E">
        <w:rPr>
          <w:rFonts w:hint="cs"/>
          <w:rtl/>
        </w:rPr>
        <w:t>.</w:t>
      </w:r>
      <w:r w:rsidR="00E3253D" w:rsidRPr="002F4D34">
        <w:rPr>
          <w:rStyle w:val="libFootnoteBoldChar"/>
          <w:rtl/>
        </w:rPr>
        <w:t>الوافي</w:t>
      </w:r>
      <w:r w:rsidR="00E3253D" w:rsidRPr="005D642E">
        <w:rPr>
          <w:rtl/>
        </w:rPr>
        <w:t xml:space="preserve"> ، ج 24 ، ص 486 ، ح 24483 ؛ </w:t>
      </w:r>
      <w:r w:rsidR="00E3253D" w:rsidRPr="002F4D34">
        <w:rPr>
          <w:rStyle w:val="libFootnoteBoldChar"/>
          <w:rtl/>
        </w:rPr>
        <w:t>الوسائل</w:t>
      </w:r>
      <w:r w:rsidR="00E3253D" w:rsidRPr="005D642E">
        <w:rPr>
          <w:rtl/>
        </w:rPr>
        <w:t xml:space="preserve"> ، ج 2 ، ص 476 ، ح 2689.</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النسخ </w:t>
      </w:r>
      <w:r w:rsidR="000D749A" w:rsidRPr="000D749A">
        <w:rPr>
          <w:rStyle w:val="libFootnoteBoldChar"/>
          <w:rtl/>
        </w:rPr>
        <w:t>والوافي</w:t>
      </w:r>
      <w:r w:rsidR="00E3253D" w:rsidRPr="005D642E">
        <w:rPr>
          <w:rtl/>
        </w:rPr>
        <w:t xml:space="preserve"> والوسائل. وفي المطبوع : + « [ عن ]</w:t>
      </w:r>
      <w:r w:rsidR="00E3253D">
        <w:rPr>
          <w:rtl/>
        </w:rPr>
        <w:t xml:space="preserve"> ».</w:t>
      </w:r>
      <w:r w:rsidR="00E3253D" w:rsidRPr="005D642E">
        <w:rPr>
          <w:rtl/>
        </w:rPr>
        <w:t xml:space="preserve"> وحفص بن البختري وهشام بن سالم كلاهمامن مشايخ ابن أبي عمير ، روى عنهما في كثيرٍ من الأسناد. راجع : </w:t>
      </w:r>
      <w:r w:rsidR="00E3253D" w:rsidRPr="002F4D34">
        <w:rPr>
          <w:rStyle w:val="libFootnoteBoldChar"/>
          <w:rtl/>
        </w:rPr>
        <w:t>رجال النجاشي</w:t>
      </w:r>
      <w:r w:rsidR="00E3253D" w:rsidRPr="005D642E">
        <w:rPr>
          <w:rtl/>
        </w:rPr>
        <w:t xml:space="preserve"> ، ص 134 ، الرقم 344 ؛ ص 434 ، الرقم 1165 ؛ </w:t>
      </w:r>
      <w:r w:rsidR="00E3253D" w:rsidRPr="002F4D34">
        <w:rPr>
          <w:rStyle w:val="libFootnoteBoldChar"/>
          <w:rtl/>
        </w:rPr>
        <w:t>معجم رجال الحديث</w:t>
      </w:r>
      <w:r w:rsidR="00E3253D" w:rsidRPr="005D642E">
        <w:rPr>
          <w:rtl/>
        </w:rPr>
        <w:t xml:space="preserve"> ، ج 22 ، ص 259</w:t>
      </w:r>
      <w:r w:rsidR="00E3253D">
        <w:rPr>
          <w:rtl/>
        </w:rPr>
        <w:t xml:space="preserve"> </w:t>
      </w:r>
      <w:r w:rsidR="007642BC">
        <w:rPr>
          <w:rtl/>
        </w:rPr>
        <w:t>-</w:t>
      </w:r>
      <w:r w:rsidR="00E3253D">
        <w:rPr>
          <w:rtl/>
        </w:rPr>
        <w:t xml:space="preserve"> </w:t>
      </w:r>
      <w:r w:rsidR="00E3253D" w:rsidRPr="005D642E">
        <w:rPr>
          <w:rtl/>
        </w:rPr>
        <w:t>262 ؛ ص 315</w:t>
      </w:r>
      <w:r w:rsidR="00E3253D">
        <w:rPr>
          <w:rtl/>
        </w:rPr>
        <w:t xml:space="preserve"> </w:t>
      </w:r>
      <w:r w:rsidR="007642BC">
        <w:rPr>
          <w:rtl/>
        </w:rPr>
        <w:t>-</w:t>
      </w:r>
      <w:r w:rsidR="00E3253D">
        <w:rPr>
          <w:rtl/>
        </w:rPr>
        <w:t xml:space="preserve"> </w:t>
      </w:r>
      <w:r w:rsidR="00E3253D" w:rsidRPr="005D642E">
        <w:rPr>
          <w:rtl/>
        </w:rPr>
        <w:t>319.</w:t>
      </w:r>
    </w:p>
    <w:tbl>
      <w:tblPr>
        <w:tblStyle w:val="TableGrid"/>
        <w:bidiVisual/>
        <w:tblW w:w="0" w:type="auto"/>
        <w:tblLook w:val="04A0" w:firstRow="1" w:lastRow="0" w:firstColumn="1" w:lastColumn="0" w:noHBand="0" w:noVBand="1"/>
      </w:tblPr>
      <w:tblGrid>
        <w:gridCol w:w="4006"/>
        <w:gridCol w:w="4006"/>
      </w:tblGrid>
      <w:tr w:rsidR="004112E3" w:rsidTr="004112E3">
        <w:tc>
          <w:tcPr>
            <w:tcW w:w="4006" w:type="dxa"/>
          </w:tcPr>
          <w:p w:rsidR="004112E3" w:rsidRDefault="004112E3" w:rsidP="00E3253D">
            <w:pPr>
              <w:pStyle w:val="libFootnote0"/>
              <w:rPr>
                <w:rStyle w:val="libFootnote0Char"/>
                <w:rtl/>
              </w:rPr>
            </w:pPr>
            <w:r w:rsidRPr="0042621E">
              <w:rPr>
                <w:rStyle w:val="libFootnote0Char"/>
                <w:rtl/>
              </w:rPr>
              <w:t>(5).</w:t>
            </w:r>
            <w:r w:rsidRPr="005D642E">
              <w:rPr>
                <w:rtl/>
              </w:rPr>
              <w:t xml:space="preserve"> في حاشية « بث » والوسائل : « وتقيم</w:t>
            </w:r>
            <w:r>
              <w:rPr>
                <w:rtl/>
              </w:rPr>
              <w:t xml:space="preserve"> ».</w:t>
            </w:r>
          </w:p>
        </w:tc>
        <w:tc>
          <w:tcPr>
            <w:tcW w:w="4006" w:type="dxa"/>
          </w:tcPr>
          <w:p w:rsidR="004112E3" w:rsidRDefault="004112E3" w:rsidP="00E3253D">
            <w:pPr>
              <w:pStyle w:val="libFootnote0"/>
              <w:rPr>
                <w:rStyle w:val="libFootnote0Char"/>
                <w:rtl/>
              </w:rPr>
            </w:pPr>
            <w:r w:rsidRPr="0042621E">
              <w:rPr>
                <w:rStyle w:val="libFootnote0Char"/>
                <w:rtl/>
              </w:rPr>
              <w:t>(6).</w:t>
            </w:r>
            <w:r w:rsidRPr="005D642E">
              <w:rPr>
                <w:rtl/>
              </w:rPr>
              <w:t xml:space="preserve"> في « غ ، بث ، بس » : « أن تصنع</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ى ، بث ، بح ، بس ، جح ، جس ، جن » : « طعاماً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غ ، ى ، بس ، جح » : « ثلاثة</w:t>
      </w:r>
      <w:r w:rsidR="00E3253D">
        <w:rPr>
          <w:rtl/>
        </w:rPr>
        <w:t xml:space="preserve"> ».</w:t>
      </w:r>
      <w:r w:rsidR="00E3253D" w:rsidRPr="005D642E">
        <w:rPr>
          <w:rtl/>
        </w:rPr>
        <w:t xml:space="preserve"> وفي « بث » : « ثلاث أيّام</w:t>
      </w:r>
      <w:r w:rsidR="00E3253D">
        <w:rPr>
          <w:rtl/>
        </w:rPr>
        <w:t xml:space="preserve"> ».</w:t>
      </w:r>
      <w:r w:rsidR="00E3253D" w:rsidRPr="005D642E">
        <w:rPr>
          <w:rtl/>
        </w:rPr>
        <w:t xml:space="preserve"> وفي « بح » : « ثلاثة أيّام من يوم مات</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المحاسن</w:t>
      </w:r>
      <w:r w:rsidR="00E3253D" w:rsidRPr="005D642E">
        <w:rPr>
          <w:rtl/>
        </w:rPr>
        <w:t xml:space="preserve"> ، ص 419 ، كتاب المآكل ، ح 191 ، عن أبيه ، عن محمّد بن أبي عمير ، عن هشام بن سالم. </w:t>
      </w:r>
      <w:r w:rsidR="00E3253D" w:rsidRPr="002F4D34">
        <w:rPr>
          <w:rStyle w:val="libFootnoteBoldChar"/>
          <w:rtl/>
        </w:rPr>
        <w:t>وفيه</w:t>
      </w:r>
      <w:r w:rsidR="00E3253D" w:rsidRPr="005D642E">
        <w:rPr>
          <w:rtl/>
        </w:rPr>
        <w:t xml:space="preserve"> ، ح 192 ، عن محمّد بن أبي عمير ، عن حفص بن البختري ، عن أبي عبدالله </w:t>
      </w:r>
      <w:r w:rsidR="00E3253D" w:rsidRPr="004112E3">
        <w:rPr>
          <w:rStyle w:val="libFootnoteAlaemChar"/>
          <w:rtl/>
        </w:rPr>
        <w:t>عليه‌السلام</w:t>
      </w:r>
      <w:r w:rsidR="00E3253D" w:rsidRPr="005D642E">
        <w:rPr>
          <w:rtl/>
        </w:rPr>
        <w:t xml:space="preserve">. </w:t>
      </w:r>
      <w:r w:rsidR="00E3253D" w:rsidRPr="0035521A">
        <w:rPr>
          <w:rStyle w:val="libFootnoteBoldChar"/>
          <w:rtl/>
        </w:rPr>
        <w:t>الأمالي للطوسي</w:t>
      </w:r>
      <w:r w:rsidR="00E3253D" w:rsidRPr="005D642E">
        <w:rPr>
          <w:rtl/>
        </w:rPr>
        <w:t xml:space="preserve"> ، ص 659 ، المجلس 35 ، ح 4 ، بسنده عن هشام بن سالم. </w:t>
      </w:r>
      <w:r w:rsidR="00E3253D" w:rsidRPr="002F4D34">
        <w:rPr>
          <w:rStyle w:val="libFootnoteBoldChar"/>
          <w:rtl/>
        </w:rPr>
        <w:t>الفقيه</w:t>
      </w:r>
      <w:r w:rsidR="00E3253D" w:rsidRPr="005D642E">
        <w:rPr>
          <w:rtl/>
        </w:rPr>
        <w:t xml:space="preserve"> ، ج 1 ، ص 182 ، ح 549 ، مرسلاً ، وفي كلّ المصادر مع اختلاف يسير </w:t>
      </w:r>
      <w:r w:rsidR="00A90E78">
        <w:rPr>
          <w:rFonts w:hint="cs"/>
          <w:rtl/>
        </w:rPr>
        <w:t>.</w:t>
      </w:r>
      <w:r w:rsidR="00E3253D" w:rsidRPr="002F4D34">
        <w:rPr>
          <w:rStyle w:val="libFootnoteBoldChar"/>
          <w:rtl/>
        </w:rPr>
        <w:t>الوافي</w:t>
      </w:r>
      <w:r w:rsidR="00E3253D" w:rsidRPr="005D642E">
        <w:rPr>
          <w:rtl/>
        </w:rPr>
        <w:t xml:space="preserve"> ، ج 25 ، ص 541 ، ح 24606 ؛ </w:t>
      </w:r>
      <w:r w:rsidR="00E3253D" w:rsidRPr="002F4D34">
        <w:rPr>
          <w:rStyle w:val="libFootnoteBoldChar"/>
          <w:rtl/>
        </w:rPr>
        <w:t>الوسائل</w:t>
      </w:r>
      <w:r w:rsidR="00E3253D" w:rsidRPr="005D642E">
        <w:rPr>
          <w:rtl/>
        </w:rPr>
        <w:t xml:space="preserve"> ، ج 3 ، ص 235 ، ح 3499.</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0F1D7B">
        <w:rPr>
          <w:rtl/>
        </w:rPr>
        <w:t>4633</w:t>
      </w:r>
      <w:r w:rsidRPr="00246318">
        <w:rPr>
          <w:rStyle w:val="libBold2Char"/>
          <w:rtl/>
        </w:rPr>
        <w:t xml:space="preserve"> / 2.</w:t>
      </w:r>
      <w:r w:rsidRPr="005D642E">
        <w:rPr>
          <w:rtl/>
          <w:lang w:bidi="fa-IR"/>
        </w:rPr>
        <w:t xml:space="preserve"> عَلِيُّ بْنُ إِبْرَاهِيمَ </w:t>
      </w:r>
      <w:r w:rsidRPr="007C12DB">
        <w:rPr>
          <w:rStyle w:val="libFootnotenumChar"/>
          <w:rtl/>
        </w:rPr>
        <w:t>(1)</w:t>
      </w:r>
      <w:r w:rsidRPr="005D642E">
        <w:rPr>
          <w:rtl/>
          <w:lang w:bidi="fa-IR"/>
        </w:rPr>
        <w:t xml:space="preserve"> ، عَنْ أَبِيهِ ، عَنْ حَمَّادٍ ، عَنْ حَرِيزٍ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يُصْنَعُ </w:t>
      </w:r>
      <w:r w:rsidRPr="007C12DB">
        <w:rPr>
          <w:rStyle w:val="libFootnotenumChar"/>
          <w:rtl/>
        </w:rPr>
        <w:t>(2)</w:t>
      </w:r>
      <w:r w:rsidRPr="005D642E">
        <w:rPr>
          <w:rtl/>
          <w:lang w:bidi="fa-IR"/>
        </w:rPr>
        <w:t xml:space="preserve"> لِأَهْلِ الْمَيِّتِ مَأْتَمٌ </w:t>
      </w:r>
      <w:r w:rsidRPr="007C12DB">
        <w:rPr>
          <w:rStyle w:val="libFootnotenumChar"/>
          <w:rtl/>
        </w:rPr>
        <w:t>(3)</w:t>
      </w:r>
      <w:r w:rsidRPr="005D642E">
        <w:rPr>
          <w:rtl/>
          <w:lang w:bidi="fa-IR"/>
        </w:rPr>
        <w:t xml:space="preserve"> ثَلَاثَةَ أَيَّامٍ مِنْ يَوْمِ مَاتَ</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0F1D7B">
        <w:rPr>
          <w:rtl/>
        </w:rPr>
        <w:t>4634</w:t>
      </w:r>
      <w:r w:rsidRPr="00246318">
        <w:rPr>
          <w:rStyle w:val="libBold2Char"/>
          <w:rtl/>
        </w:rPr>
        <w:t xml:space="preserve"> / 3.</w:t>
      </w:r>
      <w:r w:rsidRPr="005D642E">
        <w:rPr>
          <w:rtl/>
          <w:lang w:bidi="fa-IR"/>
        </w:rPr>
        <w:t xml:space="preserve"> الْحُسَيْنُ بْنُ مُحَمَّدٍ ، عَنْ أَحْمَدَ بْنِ إِسْحَاقَ ، عَنْ سَعْدَانَ ، عَنْ أَبِي بَصِيرٍ :</w:t>
      </w:r>
    </w:p>
    <w:p w:rsidR="00E3253D" w:rsidRPr="005D642E" w:rsidRDefault="00E3253D" w:rsidP="007A79CE">
      <w:pPr>
        <w:pStyle w:val="libNormal"/>
        <w:rPr>
          <w:rtl/>
          <w:lang w:bidi="fa-IR"/>
        </w:rPr>
      </w:pPr>
      <w:r w:rsidRPr="005D642E">
        <w:rPr>
          <w:rtl/>
          <w:lang w:bidi="fa-IR"/>
        </w:rPr>
        <w:t xml:space="preserve">عَنْ‌أَبِي عَبْدِ اللهِ </w:t>
      </w:r>
      <w:r w:rsidRPr="00AC51C5">
        <w:rPr>
          <w:rStyle w:val="libAlaemChar"/>
          <w:rtl/>
        </w:rPr>
        <w:t>عليه‌السلام</w:t>
      </w:r>
      <w:r w:rsidRPr="005D642E">
        <w:rPr>
          <w:rtl/>
          <w:lang w:bidi="fa-IR"/>
        </w:rPr>
        <w:t xml:space="preserve"> ، قَالَ : « يَنْبَغِي لِجِيرَانِ صَاحِبِ الْمُصِيبَةِ أَنْ يُطْعِمُوا الطَّعَامَ عَنْهُ ثَلَاثَةَ أَيَّامٍ</w:t>
      </w:r>
      <w:r>
        <w:rPr>
          <w:rtl/>
          <w:lang w:bidi="fa-IR"/>
        </w:rPr>
        <w:t xml:space="preserve"> ».</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0F1D7B">
        <w:rPr>
          <w:rtl/>
        </w:rPr>
        <w:t>4635</w:t>
      </w:r>
      <w:r w:rsidRPr="00246318">
        <w:rPr>
          <w:rStyle w:val="libBold2Char"/>
          <w:rtl/>
        </w:rPr>
        <w:t xml:space="preserve"> / 4.</w:t>
      </w:r>
      <w:r w:rsidRPr="005D642E">
        <w:rPr>
          <w:rtl/>
          <w:lang w:bidi="fa-IR"/>
        </w:rPr>
        <w:t xml:space="preserve"> عَلِيُّ بْنُ إِبْرَاهِيمَ ، عَنْ أَبِيهِ ، عَنْ حَمَّادِ بْنِ عِيسى ، عَنْ حَرِيزٍ </w:t>
      </w:r>
      <w:r w:rsidRPr="007C12DB">
        <w:rPr>
          <w:rStyle w:val="libFootnotenumChar"/>
          <w:rtl/>
        </w:rPr>
        <w:t>(6)</w:t>
      </w:r>
      <w:r w:rsidR="006C38B6">
        <w:rPr>
          <w:rtl/>
          <w:lang w:bidi="fa-IR"/>
        </w:rPr>
        <w:t xml:space="preserve"> أَوْ غَيْرِهِ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أَوْصى أَبُو جَعْفَرٍ </w:t>
      </w:r>
      <w:r w:rsidRPr="00AC51C5">
        <w:rPr>
          <w:rStyle w:val="libAlaemChar"/>
          <w:rtl/>
        </w:rPr>
        <w:t>عليه‌السلام</w:t>
      </w:r>
      <w:r w:rsidRPr="005D642E">
        <w:rPr>
          <w:rtl/>
          <w:lang w:bidi="fa-IR"/>
        </w:rPr>
        <w:t xml:space="preserve"> بِثَمَانِمِائَةِ دِرْهَمٍ لِمَأْتَمِهِ ، وَكَانَ يَرى ذلِكَ مِنَ السُّنَّةِ ؛ لِأَنَّ رَسُولَ اللهِ </w:t>
      </w:r>
      <w:r w:rsidR="0042621E" w:rsidRPr="0042621E">
        <w:rPr>
          <w:rStyle w:val="libAlaemChar"/>
          <w:rtl/>
        </w:rPr>
        <w:t>صلى‌الله‌عليه‌وآله</w:t>
      </w:r>
      <w:r w:rsidRPr="005D642E">
        <w:rPr>
          <w:rtl/>
          <w:lang w:bidi="fa-IR"/>
        </w:rPr>
        <w:t xml:space="preserve"> قَالَ : « اتَّخِذُوا لِآلِ جَعْفَرٍ طَعَاماً ؛ فَقَدْ شُغِلُوا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0F1D7B">
        <w:rPr>
          <w:rtl/>
        </w:rPr>
        <w:t>4636</w:t>
      </w:r>
      <w:r w:rsidRPr="00246318">
        <w:rPr>
          <w:rStyle w:val="libBold2Char"/>
          <w:rtl/>
        </w:rPr>
        <w:t xml:space="preserve"> / 5.</w:t>
      </w:r>
      <w:r w:rsidRPr="005D642E">
        <w:rPr>
          <w:rtl/>
          <w:lang w:bidi="fa-IR"/>
        </w:rPr>
        <w:t xml:space="preserve"> مُحَمَّدُ بْنُ يَحْيى ، عَنْ أَحْمَدَ بْنِ مُحَمَّدٍ ، عَنْ عَلِيِّ بْنِ الْحَكَمِ ، عَنْ عَبْدِ اللهِ الْكَاهِلِيِّ ، قَالَ :</w:t>
      </w:r>
    </w:p>
    <w:p w:rsidR="00E3253D" w:rsidRPr="005D642E" w:rsidRDefault="00E3253D" w:rsidP="00E3253D">
      <w:pPr>
        <w:pStyle w:val="libNormal"/>
        <w:rPr>
          <w:rtl/>
          <w:lang w:bidi="fa-IR"/>
        </w:rPr>
      </w:pPr>
      <w:r w:rsidRPr="005D642E">
        <w:rPr>
          <w:rtl/>
          <w:lang w:bidi="fa-IR"/>
        </w:rPr>
        <w:t xml:space="preserve">قُلْتُ لِأَبِي الْحَسَنِ </w:t>
      </w:r>
      <w:r w:rsidRPr="00AC51C5">
        <w:rPr>
          <w:rStyle w:val="libAlaemChar"/>
          <w:rtl/>
        </w:rPr>
        <w:t>عليه‌السلام</w:t>
      </w:r>
      <w:r w:rsidRPr="005D642E">
        <w:rPr>
          <w:rtl/>
          <w:lang w:bidi="fa-IR"/>
        </w:rPr>
        <w:t xml:space="preserve"> : إِنَّ امْرَأَتِي وَامْرَأَةَ ابْنِ مَارِدٍ تَخْرُجَانِ </w:t>
      </w:r>
      <w:r w:rsidRPr="007C12DB">
        <w:rPr>
          <w:rStyle w:val="libFootnotenumChar"/>
          <w:rtl/>
        </w:rPr>
        <w:t>(9)</w:t>
      </w:r>
      <w:r w:rsidRPr="005D642E">
        <w:rPr>
          <w:rtl/>
          <w:lang w:bidi="fa-IR"/>
        </w:rPr>
        <w:t xml:space="preserve"> ‌</w:t>
      </w:r>
      <w:r w:rsidR="00AA638C">
        <w:rPr>
          <w:rFonts w:hint="cs"/>
          <w:rtl/>
          <w:lang w:bidi="fa-IR"/>
        </w:rPr>
        <w:t>..................</w:t>
      </w:r>
      <w:r w:rsidR="00AA638C">
        <w:rPr>
          <w:rFonts w:hint="cs"/>
          <w:rtl/>
          <w:lang w:bidi="fa-IR"/>
        </w:rPr>
        <w:tab/>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97297" w:rsidTr="00497297">
        <w:tc>
          <w:tcPr>
            <w:tcW w:w="4006" w:type="dxa"/>
          </w:tcPr>
          <w:p w:rsidR="00497297" w:rsidRDefault="00497297" w:rsidP="00E3253D">
            <w:pPr>
              <w:pStyle w:val="libFootnote0"/>
              <w:rPr>
                <w:rStyle w:val="libFootnote0Char"/>
                <w:rtl/>
              </w:rPr>
            </w:pPr>
            <w:r w:rsidRPr="0042621E">
              <w:rPr>
                <w:rStyle w:val="libFootnote0Char"/>
                <w:rtl/>
              </w:rPr>
              <w:t>(1).</w:t>
            </w:r>
            <w:r>
              <w:rPr>
                <w:rtl/>
              </w:rPr>
              <w:t xml:space="preserve"> </w:t>
            </w:r>
            <w:r w:rsidRPr="005D642E">
              <w:rPr>
                <w:rtl/>
              </w:rPr>
              <w:t>في « بخ ، بف » والوسائل :</w:t>
            </w:r>
            <w:r>
              <w:rPr>
                <w:rtl/>
              </w:rPr>
              <w:t xml:space="preserve"> - </w:t>
            </w:r>
            <w:r w:rsidRPr="005D642E">
              <w:rPr>
                <w:rtl/>
              </w:rPr>
              <w:t>« بن إبراهيم</w:t>
            </w:r>
            <w:r>
              <w:rPr>
                <w:rtl/>
              </w:rPr>
              <w:t xml:space="preserve"> ».</w:t>
            </w:r>
          </w:p>
        </w:tc>
        <w:tc>
          <w:tcPr>
            <w:tcW w:w="4006" w:type="dxa"/>
          </w:tcPr>
          <w:p w:rsidR="00497297" w:rsidRDefault="00497297" w:rsidP="00E3253D">
            <w:pPr>
              <w:pStyle w:val="libFootnote0"/>
              <w:rPr>
                <w:rStyle w:val="libFootnote0Char"/>
                <w:rtl/>
              </w:rPr>
            </w:pPr>
            <w:r w:rsidRPr="0042621E">
              <w:rPr>
                <w:rStyle w:val="libFootnote0Char"/>
                <w:rtl/>
              </w:rPr>
              <w:t>(2).</w:t>
            </w:r>
            <w:r w:rsidRPr="005D642E">
              <w:rPr>
                <w:rtl/>
              </w:rPr>
              <w:t xml:space="preserve"> في « غ ، بث » : « تصنع</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غ ، ى ، بث ، بس ، بف ، جح ، جس ، جن » : « مأتماً</w:t>
      </w:r>
      <w:r w:rsidR="00E3253D">
        <w:rPr>
          <w:rtl/>
        </w:rPr>
        <w:t xml:space="preserve"> ».</w:t>
      </w:r>
      <w:r w:rsidR="00E3253D" w:rsidRPr="005D642E">
        <w:rPr>
          <w:rtl/>
        </w:rPr>
        <w:t xml:space="preserve"> والمأتم : مجتمع النساء في الخير أو الشرّ ، ثمّ خصّ به اجتماع النساء في المصيبة. راجع : </w:t>
      </w:r>
      <w:r w:rsidR="00E3253D" w:rsidRPr="002F4D34">
        <w:rPr>
          <w:rStyle w:val="libFootnoteBoldChar"/>
          <w:rtl/>
        </w:rPr>
        <w:t>الصحاح</w:t>
      </w:r>
      <w:r w:rsidR="00E3253D" w:rsidRPr="005D642E">
        <w:rPr>
          <w:rtl/>
        </w:rPr>
        <w:t xml:space="preserve"> ، ج 5 ، ص 1857 ؛ </w:t>
      </w:r>
      <w:r w:rsidR="00E3253D" w:rsidRPr="002F4D34">
        <w:rPr>
          <w:rStyle w:val="libFootnoteBoldChar"/>
          <w:rtl/>
        </w:rPr>
        <w:t>لسان العرب</w:t>
      </w:r>
      <w:r w:rsidR="00E3253D" w:rsidRPr="005D642E">
        <w:rPr>
          <w:rtl/>
        </w:rPr>
        <w:t xml:space="preserve"> ، ج 12 ، ص 3 ( أتم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المحاسن</w:t>
      </w:r>
      <w:r w:rsidR="00E3253D" w:rsidRPr="005D642E">
        <w:rPr>
          <w:rtl/>
        </w:rPr>
        <w:t xml:space="preserve"> ، ص 419 ، كتاب المآكل ، ح 190 ، عن أبيه ، عن حمّاد بن عيسى ، عن حريز. </w:t>
      </w:r>
      <w:r w:rsidR="00E3253D" w:rsidRPr="002F4D34">
        <w:rPr>
          <w:rStyle w:val="libFootnoteBoldChar"/>
          <w:rtl/>
        </w:rPr>
        <w:t>الفقيه</w:t>
      </w:r>
      <w:r w:rsidR="00E3253D" w:rsidRPr="005D642E">
        <w:rPr>
          <w:rtl/>
        </w:rPr>
        <w:t xml:space="preserve"> ، ج 1 ، ص 182 ، ح 545 ، مرسلاً ، وفيهما مع اختلاف يسير </w:t>
      </w:r>
      <w:r w:rsidR="008143CC">
        <w:rPr>
          <w:rFonts w:hint="cs"/>
          <w:rtl/>
        </w:rPr>
        <w:t>.</w:t>
      </w:r>
      <w:r w:rsidR="00E3253D" w:rsidRPr="002F4D34">
        <w:rPr>
          <w:rStyle w:val="libFootnoteBoldChar"/>
          <w:rtl/>
        </w:rPr>
        <w:t>الوافي</w:t>
      </w:r>
      <w:r w:rsidR="00E3253D" w:rsidRPr="005D642E">
        <w:rPr>
          <w:rtl/>
        </w:rPr>
        <w:t xml:space="preserve"> ، ج 25 ، ص 541 ، ح 24608 ؛ </w:t>
      </w:r>
      <w:r w:rsidR="00E3253D" w:rsidRPr="002F4D34">
        <w:rPr>
          <w:rStyle w:val="libFootnoteBoldChar"/>
          <w:rtl/>
        </w:rPr>
        <w:t>الوسائل</w:t>
      </w:r>
      <w:r w:rsidR="00E3253D" w:rsidRPr="005D642E">
        <w:rPr>
          <w:rtl/>
        </w:rPr>
        <w:t xml:space="preserve"> ، ج 3 ، ص 236 ، ح 3500.</w:t>
      </w:r>
    </w:p>
    <w:p w:rsidR="00E3253D" w:rsidRPr="005D642E" w:rsidRDefault="0042621E" w:rsidP="005C38C0">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المحاسن</w:t>
      </w:r>
      <w:r w:rsidR="00E3253D" w:rsidRPr="005D642E">
        <w:rPr>
          <w:rtl/>
        </w:rPr>
        <w:t xml:space="preserve"> ، ص 419 ، كتاب المآكل ، ح 189 ، عن أبيه ، عن سعدان. </w:t>
      </w:r>
      <w:r w:rsidR="00E3253D" w:rsidRPr="002F4D34">
        <w:rPr>
          <w:rStyle w:val="libFootnoteBoldChar"/>
          <w:rtl/>
        </w:rPr>
        <w:t>علل الشرائع</w:t>
      </w:r>
      <w:r w:rsidR="00E3253D" w:rsidRPr="005D642E">
        <w:rPr>
          <w:rtl/>
        </w:rPr>
        <w:t xml:space="preserve"> ، ص 307 ، ح 1 ، بسنده عن سعدان بن مسلم ، عن عليّ بن أبي حمزة ، عن أبي عبدالله </w:t>
      </w:r>
      <w:r w:rsidR="00E3253D" w:rsidRPr="008143CC">
        <w:rPr>
          <w:rStyle w:val="libFootnoteAlaemChar"/>
          <w:rtl/>
        </w:rPr>
        <w:t>عليه‌السلام</w:t>
      </w:r>
      <w:r w:rsidR="00E3253D" w:rsidRPr="005D642E">
        <w:rPr>
          <w:rtl/>
        </w:rPr>
        <w:t xml:space="preserve"> أو عن أبي بصير ، عن أبي عبدالله </w:t>
      </w:r>
      <w:r w:rsidR="00E3253D" w:rsidRPr="008143CC">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174 ، ح 509 ، مرسلاً ، وفي كلّها مع اختلاف يسير وزيادة في أوّله </w:t>
      </w:r>
      <w:r w:rsidR="00085484">
        <w:rPr>
          <w:rFonts w:hint="cs"/>
          <w:rtl/>
        </w:rPr>
        <w:t>.</w:t>
      </w:r>
      <w:r w:rsidR="00E3253D" w:rsidRPr="002F4D34">
        <w:rPr>
          <w:rStyle w:val="libFootnoteBoldChar"/>
          <w:rtl/>
        </w:rPr>
        <w:t>الوافي</w:t>
      </w:r>
      <w:r w:rsidR="00E3253D" w:rsidRPr="005D642E">
        <w:rPr>
          <w:rtl/>
        </w:rPr>
        <w:t xml:space="preserve"> ، ج 25 ، ص542،ح 24609؛</w:t>
      </w:r>
      <w:r w:rsidR="00E3253D" w:rsidRPr="002F4D34">
        <w:rPr>
          <w:rStyle w:val="libFootnoteBoldChar"/>
          <w:rtl/>
        </w:rPr>
        <w:t>الوسائل</w:t>
      </w:r>
      <w:r w:rsidR="005C38C0">
        <w:rPr>
          <w:rtl/>
        </w:rPr>
        <w:t>،</w:t>
      </w:r>
      <w:r w:rsidR="00E3253D" w:rsidRPr="005D642E">
        <w:rPr>
          <w:rtl/>
        </w:rPr>
        <w:t>ج 3،ص 237،ح 3503.</w:t>
      </w:r>
      <w:r w:rsidR="00E3253D">
        <w:rPr>
          <w:rFonts w:hint="cs"/>
          <w:rtl/>
          <w:lang w:bidi="fa-IR"/>
        </w:rPr>
        <w:t xml:space="preserve"> </w:t>
      </w:r>
      <w:r w:rsidR="005C38C0">
        <w:rPr>
          <w:rFonts w:hint="cs"/>
          <w:rtl/>
          <w:lang w:bidi="fa-IR"/>
        </w:rPr>
        <w:t xml:space="preserve">  </w:t>
      </w:r>
      <w:r w:rsidRPr="0042621E">
        <w:rPr>
          <w:rStyle w:val="libFootnote0Char"/>
          <w:rtl/>
        </w:rPr>
        <w:t>(6).</w:t>
      </w:r>
      <w:r w:rsidR="005C38C0">
        <w:rPr>
          <w:rtl/>
        </w:rPr>
        <w:t xml:space="preserve"> في«بث،بح»والوسائل والبحار</w:t>
      </w:r>
      <w:r w:rsidR="00E3253D" w:rsidRPr="005D642E">
        <w:rPr>
          <w:rtl/>
        </w:rPr>
        <w:t>: + « عن زرارة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بف » : + « بالمصيبة</w:t>
      </w:r>
      <w:r w:rsidR="00E3253D">
        <w:rPr>
          <w:rtl/>
        </w:rPr>
        <w:t xml:space="preserve"> ».</w:t>
      </w:r>
    </w:p>
    <w:p w:rsidR="00E3253D" w:rsidRPr="005D642E" w:rsidRDefault="0042621E" w:rsidP="005C4F1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الفقيه</w:t>
      </w:r>
      <w:r w:rsidR="00E3253D" w:rsidRPr="005D642E">
        <w:rPr>
          <w:rtl/>
        </w:rPr>
        <w:t xml:space="preserve"> ، ج 1 ، ص 182 ، ح 546 ، مرسلاً من دون الإسناد إلى المعصوم </w:t>
      </w:r>
      <w:r w:rsidR="00E3253D" w:rsidRPr="00085484">
        <w:rPr>
          <w:rStyle w:val="libFootnoteAlaemChar"/>
          <w:rtl/>
        </w:rPr>
        <w:t>عليه‌السلام</w:t>
      </w:r>
      <w:r w:rsidR="00E3253D" w:rsidRPr="005D642E">
        <w:rPr>
          <w:rtl/>
        </w:rPr>
        <w:t xml:space="preserve"> ، مع اختلاف يسير. راجع : </w:t>
      </w:r>
      <w:r w:rsidR="00E3253D" w:rsidRPr="002F4D34">
        <w:rPr>
          <w:rStyle w:val="libFootnoteBoldChar"/>
          <w:rtl/>
        </w:rPr>
        <w:t>الجعفريّات</w:t>
      </w:r>
      <w:r w:rsidR="00E3253D" w:rsidRPr="005D642E">
        <w:rPr>
          <w:rtl/>
        </w:rPr>
        <w:t xml:space="preserve"> ، ص 210 </w:t>
      </w:r>
      <w:r w:rsidR="00E3253D">
        <w:rPr>
          <w:rtl/>
        </w:rPr>
        <w:t>و 2</w:t>
      </w:r>
      <w:r w:rsidR="00E3253D" w:rsidRPr="005D642E">
        <w:rPr>
          <w:rtl/>
        </w:rPr>
        <w:t xml:space="preserve">11 </w:t>
      </w:r>
      <w:r w:rsidR="005C38C0">
        <w:rPr>
          <w:rFonts w:hint="cs"/>
          <w:rtl/>
        </w:rPr>
        <w:t>.</w:t>
      </w:r>
      <w:r w:rsidR="00E3253D" w:rsidRPr="002F4D34">
        <w:rPr>
          <w:rStyle w:val="libFootnoteBoldChar"/>
          <w:rtl/>
        </w:rPr>
        <w:t>الوافي</w:t>
      </w:r>
      <w:r w:rsidR="00E3253D" w:rsidRPr="005D642E">
        <w:rPr>
          <w:rtl/>
        </w:rPr>
        <w:t xml:space="preserve"> ، ج 25 ، ص 542 ، ح 24610 ؛ </w:t>
      </w:r>
      <w:r w:rsidR="00E3253D" w:rsidRPr="002F4D34">
        <w:rPr>
          <w:rStyle w:val="libFootnoteBoldChar"/>
          <w:rtl/>
        </w:rPr>
        <w:t>الوسائل</w:t>
      </w:r>
      <w:r w:rsidR="00E3253D" w:rsidRPr="005D642E">
        <w:rPr>
          <w:rtl/>
        </w:rPr>
        <w:t xml:space="preserve"> ، ج 3 ، ص 238 ، ح 3509.</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بح ، بس ، جح ، جس ، جن » : « يخرجان</w:t>
      </w:r>
      <w:r w:rsidR="00E3253D">
        <w:rPr>
          <w:rtl/>
        </w:rPr>
        <w:t xml:space="preserve"> ».</w:t>
      </w:r>
      <w:r w:rsidR="00E3253D" w:rsidRPr="005D642E">
        <w:rPr>
          <w:rtl/>
        </w:rPr>
        <w:t xml:space="preserve"> وفي « بخ » :</w:t>
      </w:r>
      <w:r w:rsidR="00E3253D">
        <w:rPr>
          <w:rtl/>
        </w:rPr>
        <w:t xml:space="preserve"> </w:t>
      </w:r>
      <w:r w:rsidR="007642BC">
        <w:rPr>
          <w:rtl/>
        </w:rPr>
        <w:t>-</w:t>
      </w:r>
      <w:r w:rsidR="00E3253D">
        <w:rPr>
          <w:rtl/>
        </w:rPr>
        <w:t xml:space="preserve"> </w:t>
      </w:r>
      <w:r w:rsidR="00E3253D" w:rsidRPr="005D642E">
        <w:rPr>
          <w:rtl/>
        </w:rPr>
        <w:t>« تخرجان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فِي </w:t>
      </w:r>
      <w:r w:rsidRPr="007C12DB">
        <w:rPr>
          <w:rStyle w:val="libFootnotenumChar"/>
          <w:rtl/>
        </w:rPr>
        <w:t>(1)</w:t>
      </w:r>
      <w:r w:rsidRPr="005D642E">
        <w:rPr>
          <w:rtl/>
          <w:lang w:bidi="fa-IR"/>
        </w:rPr>
        <w:t xml:space="preserve"> الْمَأْتَمِ ، فَأَنْهَاهُمَا ، فَتَقُولُ لِيَ امْرَأَتِي : إِنْ كَانَ حَرَاماً ، فَانْهَنَا عَنْهُ حَتّى نَتْرُكَهُ ؛ وَإِنْ لَمْ يَكُنْ حَرَاماً ، فَلِأَيِّ شَيْ‌ءٍ تَمْنَعُنَاهُ </w:t>
      </w:r>
      <w:r w:rsidRPr="007C12DB">
        <w:rPr>
          <w:rStyle w:val="libFootnotenumChar"/>
          <w:rtl/>
        </w:rPr>
        <w:t>(2)</w:t>
      </w:r>
      <w:r>
        <w:rPr>
          <w:rtl/>
          <w:lang w:bidi="fa-IR"/>
        </w:rPr>
        <w:t>؟</w:t>
      </w:r>
      <w:r w:rsidRPr="005D642E">
        <w:rPr>
          <w:rtl/>
          <w:lang w:bidi="fa-IR"/>
        </w:rPr>
        <w:t xml:space="preserve"> فَإِذَا مَاتَ لَنَا مَيِّتٌ لَمْ يَجِئْنَا أَحَدٌ</w:t>
      </w:r>
      <w:r>
        <w:rPr>
          <w:rtl/>
          <w:lang w:bidi="fa-IR"/>
        </w:rPr>
        <w:t>؟</w:t>
      </w:r>
    </w:p>
    <w:p w:rsidR="00E3253D" w:rsidRPr="005D642E" w:rsidRDefault="00E3253D" w:rsidP="00E3253D">
      <w:pPr>
        <w:pStyle w:val="libNormal"/>
        <w:rPr>
          <w:rtl/>
          <w:lang w:bidi="fa-IR"/>
        </w:rPr>
      </w:pPr>
      <w:r w:rsidRPr="005D642E">
        <w:rPr>
          <w:rtl/>
          <w:lang w:bidi="fa-IR"/>
        </w:rPr>
        <w:t xml:space="preserve">قَالَ : فَقَالَ أَبُو الْحَسَنِ </w:t>
      </w:r>
      <w:r w:rsidRPr="00AC51C5">
        <w:rPr>
          <w:rStyle w:val="libAlaemChar"/>
          <w:rtl/>
        </w:rPr>
        <w:t>عليه‌السلام</w:t>
      </w:r>
      <w:r w:rsidRPr="005D642E">
        <w:rPr>
          <w:rtl/>
          <w:lang w:bidi="fa-IR"/>
        </w:rPr>
        <w:t xml:space="preserve"> : « عَنِ الْحُقُوقِ تَسْأَلُنِي</w:t>
      </w:r>
      <w:r>
        <w:rPr>
          <w:rtl/>
          <w:lang w:bidi="fa-IR"/>
        </w:rPr>
        <w:t>؟</w:t>
      </w:r>
      <w:r w:rsidRPr="005D642E">
        <w:rPr>
          <w:rtl/>
          <w:lang w:bidi="fa-IR"/>
        </w:rPr>
        <w:t xml:space="preserve"> كَانَ أَبِي </w:t>
      </w:r>
      <w:r w:rsidRPr="00AC51C5">
        <w:rPr>
          <w:rStyle w:val="libAlaemChar"/>
          <w:rtl/>
        </w:rPr>
        <w:t>عليه‌السلام</w:t>
      </w:r>
      <w:r w:rsidRPr="005D642E">
        <w:rPr>
          <w:rtl/>
          <w:lang w:bidi="fa-IR"/>
        </w:rPr>
        <w:t xml:space="preserve"> يَبْعَثُ أُمِّي وَأُمَّ فَرْوَةَ تَقْضِيَانِ </w:t>
      </w:r>
      <w:r w:rsidRPr="007C12DB">
        <w:rPr>
          <w:rStyle w:val="libFootnotenumChar"/>
          <w:rtl/>
        </w:rPr>
        <w:t>(3)</w:t>
      </w:r>
      <w:r w:rsidRPr="005D642E">
        <w:rPr>
          <w:rtl/>
          <w:lang w:bidi="fa-IR"/>
        </w:rPr>
        <w:t xml:space="preserve"> حُقُوقَ أَهْلِ الْمَدِينَةِ</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3F15B8">
        <w:rPr>
          <w:rtl/>
        </w:rPr>
        <w:t>4637</w:t>
      </w:r>
      <w:r w:rsidRPr="00246318">
        <w:rPr>
          <w:rStyle w:val="libBold2Char"/>
          <w:rtl/>
        </w:rPr>
        <w:t xml:space="preserve"> / 6.</w:t>
      </w:r>
      <w:r w:rsidRPr="005D642E">
        <w:rPr>
          <w:rtl/>
          <w:lang w:bidi="fa-IR"/>
        </w:rPr>
        <w:t xml:space="preserve"> أَحْمَدُ بْنُ مُحَمَّدٍ الْكُوفِيُّ ، عَنِ ابْنِ جُمْهُورٍ ، عَنْ أَبِيهِ ، عَنْ مُحَمَّدِ بْنِ سِنَانٍ ، عَنِ الْمُفَضَّلِ بْنِ عُمَرَ ، عَنْ أَبِي عَبْدِ اللهِ </w:t>
      </w:r>
      <w:r w:rsidRPr="00AC51C5">
        <w:rPr>
          <w:rStyle w:val="libAlaemChar"/>
          <w:rtl/>
        </w:rPr>
        <w:t>عليه‌السلام</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(5)</w:t>
      </w:r>
      <w:r w:rsidRPr="005D642E">
        <w:rPr>
          <w:rtl/>
          <w:lang w:bidi="fa-IR"/>
        </w:rPr>
        <w:t xml:space="preserve"> : وَحَدَّثَنَا الْأَصَمُّ ، عَنْ حَرِيزٍ ، عَنْ مُحَمَّدِ بْنِ مُسْلِمٍ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 صَلَوَاتُ اللهِ عَلَيْهِ : مُرُوا أَهَالِيَكُمْ‌</w:t>
      </w:r>
      <w:r>
        <w:rPr>
          <w:rFonts w:hint="cs"/>
          <w:rtl/>
          <w:lang w:bidi="fa-IR"/>
        </w:rPr>
        <w:t xml:space="preserve"> </w:t>
      </w:r>
      <w:r w:rsidRPr="005D642E">
        <w:rPr>
          <w:rtl/>
          <w:lang w:bidi="fa-IR"/>
        </w:rPr>
        <w:t>بِالْقَوْلِ الْحَسَنِ عِنْدَ مَوْتَاكُمْ ؛ فَإِنَّ فَاطِمَةَ</w:t>
      </w:r>
      <w:r>
        <w:rPr>
          <w:rtl/>
          <w:lang w:bidi="fa-IR"/>
        </w:rPr>
        <w:t xml:space="preserve"> </w:t>
      </w:r>
      <w:r w:rsidR="007642BC">
        <w:rPr>
          <w:rtl/>
          <w:lang w:bidi="fa-IR"/>
        </w:rPr>
        <w:t>-</w:t>
      </w:r>
      <w:r>
        <w:rPr>
          <w:rtl/>
          <w:lang w:bidi="fa-IR"/>
        </w:rPr>
        <w:t xml:space="preserve"> </w:t>
      </w:r>
      <w:r w:rsidRPr="005D642E">
        <w:rPr>
          <w:rtl/>
          <w:lang w:bidi="fa-IR"/>
        </w:rPr>
        <w:t>سَلَامُ اللهِ عَلَيْهَا</w:t>
      </w:r>
      <w:r>
        <w:rPr>
          <w:rtl/>
          <w:lang w:bidi="fa-IR"/>
        </w:rPr>
        <w:t xml:space="preserve"> </w:t>
      </w:r>
      <w:r w:rsidR="007642BC">
        <w:rPr>
          <w:rtl/>
          <w:lang w:bidi="fa-IR"/>
        </w:rPr>
        <w:t>-</w:t>
      </w:r>
      <w:r>
        <w:rPr>
          <w:rtl/>
          <w:lang w:bidi="fa-IR"/>
        </w:rPr>
        <w:t xml:space="preserve"> </w:t>
      </w:r>
      <w:r w:rsidRPr="005D642E">
        <w:rPr>
          <w:rtl/>
          <w:lang w:bidi="fa-IR"/>
        </w:rPr>
        <w:t xml:space="preserve">لَمَّا قُبِضَ أَبُوهَا </w:t>
      </w:r>
      <w:r w:rsidR="0042621E" w:rsidRPr="0042621E">
        <w:rPr>
          <w:rStyle w:val="libAlaemChar"/>
          <w:rtl/>
        </w:rPr>
        <w:t>صلى‌الله‌عليه‌وآله</w:t>
      </w:r>
      <w:r w:rsidRPr="005D642E">
        <w:rPr>
          <w:rtl/>
          <w:lang w:bidi="fa-IR"/>
        </w:rPr>
        <w:t xml:space="preserve"> أَسْعَدَتْهَا </w:t>
      </w:r>
      <w:r w:rsidRPr="007C12DB">
        <w:rPr>
          <w:rStyle w:val="libFootnotenumChar"/>
          <w:rtl/>
        </w:rPr>
        <w:t>(6)</w:t>
      </w:r>
      <w:r w:rsidRPr="005D642E">
        <w:rPr>
          <w:rtl/>
          <w:lang w:bidi="fa-IR"/>
        </w:rPr>
        <w:t xml:space="preserve"> بَنَاتُ هَاشِمٍ ، فَقَالَتِ : اتْرُكْنَ التَّعْدَادَ </w:t>
      </w:r>
      <w:r w:rsidRPr="007C12DB">
        <w:rPr>
          <w:rStyle w:val="libFootnotenumChar"/>
          <w:rtl/>
        </w:rPr>
        <w:t>(7)</w:t>
      </w:r>
      <w:r w:rsidRPr="005D642E">
        <w:rPr>
          <w:rtl/>
          <w:lang w:bidi="fa-IR"/>
        </w:rPr>
        <w:t xml:space="preserve"> ، وَعَلَيْكُنَّ بِالدُّعَاءِ</w:t>
      </w:r>
      <w:r>
        <w:rPr>
          <w:rtl/>
          <w:lang w:bidi="fa-IR"/>
        </w:rPr>
        <w:t xml:space="preserve"> ».</w:t>
      </w:r>
      <w:r w:rsidRPr="005D642E">
        <w:rPr>
          <w:rtl/>
          <w:lang w:bidi="fa-IR"/>
        </w:rPr>
        <w:t xml:space="preserve"> </w:t>
      </w:r>
      <w:r w:rsidRPr="007C12DB">
        <w:rPr>
          <w:rStyle w:val="libFootnotenumChar"/>
          <w:rtl/>
        </w:rPr>
        <w:t>(8)</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إلى</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بف » : « تمنعنا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جن » : « يقضيان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الفقيه</w:t>
      </w:r>
      <w:r w:rsidR="00E3253D" w:rsidRPr="005D642E">
        <w:rPr>
          <w:rtl/>
        </w:rPr>
        <w:t xml:space="preserve"> ، ج 1 ، ص 178 ، ح 529 ، معلّقاً عن الكاهلي ، مع اختلاف يسير </w:t>
      </w:r>
      <w:r w:rsidR="00B9022F">
        <w:rPr>
          <w:rFonts w:hint="cs"/>
          <w:rtl/>
        </w:rPr>
        <w:t>.</w:t>
      </w:r>
      <w:r w:rsidR="00E3253D" w:rsidRPr="002F4D34">
        <w:rPr>
          <w:rStyle w:val="libFootnoteBoldChar"/>
          <w:rtl/>
        </w:rPr>
        <w:t>الوافي</w:t>
      </w:r>
      <w:r w:rsidR="00E3253D" w:rsidRPr="005D642E">
        <w:rPr>
          <w:rtl/>
        </w:rPr>
        <w:t xml:space="preserve"> ، ج 25 ، ص 543 ، ح 24614 ؛ </w:t>
      </w:r>
      <w:r w:rsidR="00E3253D" w:rsidRPr="002F4D34">
        <w:rPr>
          <w:rStyle w:val="libFootnoteBoldChar"/>
          <w:rtl/>
        </w:rPr>
        <w:t>الوسائل</w:t>
      </w:r>
      <w:r w:rsidR="00E3253D" w:rsidRPr="005D642E">
        <w:rPr>
          <w:rtl/>
        </w:rPr>
        <w:t xml:space="preserve"> ، ج 3 ، ص 239 ، ح 3510 ؛ </w:t>
      </w:r>
      <w:r w:rsidR="00E3253D" w:rsidRPr="002F4D34">
        <w:rPr>
          <w:rStyle w:val="libFootnoteBoldChar"/>
          <w:rtl/>
        </w:rPr>
        <w:t>البحار</w:t>
      </w:r>
      <w:r w:rsidR="00E3253D" w:rsidRPr="005D642E">
        <w:rPr>
          <w:rtl/>
        </w:rPr>
        <w:t xml:space="preserve"> ، ج 47 ، ص 49 ، ح 77 ، من قوله : « كان أبي </w:t>
      </w:r>
      <w:r w:rsidR="00E3253D" w:rsidRPr="00B9022F">
        <w:rPr>
          <w:rStyle w:val="libFootnoteAlaemChar"/>
          <w:rtl/>
        </w:rPr>
        <w:t>عليه‌السلام</w:t>
      </w:r>
      <w:r w:rsidR="00E3253D" w:rsidRPr="005D642E">
        <w:rPr>
          <w:rtl/>
        </w:rPr>
        <w:t xml:space="preserve"> يبعث</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الضمير المستتر في « قال » راجع إلى والد ابن جمهور ، كما تقدّم تفصيل الكلام في </w:t>
      </w:r>
      <w:r w:rsidR="00E3253D" w:rsidRPr="002F4D34">
        <w:rPr>
          <w:rStyle w:val="libFootnoteBoldChar"/>
          <w:rtl/>
        </w:rPr>
        <w:t>الكافي</w:t>
      </w:r>
      <w:r w:rsidR="00E3253D" w:rsidRPr="005D642E">
        <w:rPr>
          <w:rtl/>
        </w:rPr>
        <w:t xml:space="preserve"> ، ذيل ح 4359 ، فلاحظ. فعليه في السند تحويل ، وللمصنّف إلى أبي عبدالله </w:t>
      </w:r>
      <w:r w:rsidR="00E3253D" w:rsidRPr="00B9022F">
        <w:rPr>
          <w:rStyle w:val="libFootnoteAlaemChar"/>
          <w:rtl/>
        </w:rPr>
        <w:t>عليه‌السلام</w:t>
      </w:r>
      <w:r w:rsidR="00E3253D" w:rsidRPr="005D642E">
        <w:rPr>
          <w:rtl/>
        </w:rPr>
        <w:t xml:space="preserve"> طريقان ؛ الطريق الأوّل منهما واضح ، والطريق الثاني هو هكذا : « أحمد بن محمّد الكوفي ، عن ابن جمهور ، عن أبيه ، قال : حدّثنا الأصمّ عن حريز ، عن محمّد بن مسلم</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الإسعاد : الإعانة على النياحة وغيره. راجع : </w:t>
      </w:r>
      <w:r w:rsidR="00E3253D" w:rsidRPr="002F4D34">
        <w:rPr>
          <w:rStyle w:val="libFootnoteBoldChar"/>
          <w:rtl/>
        </w:rPr>
        <w:t>الصحاح</w:t>
      </w:r>
      <w:r w:rsidR="00E3253D" w:rsidRPr="005D642E">
        <w:rPr>
          <w:rtl/>
        </w:rPr>
        <w:t xml:space="preserve"> ، ج 2 ، ص 487 ؛ </w:t>
      </w:r>
      <w:r w:rsidR="00E3253D" w:rsidRPr="002F4D34">
        <w:rPr>
          <w:rStyle w:val="libFootnoteBoldChar"/>
          <w:rtl/>
        </w:rPr>
        <w:t>لسان العرب</w:t>
      </w:r>
      <w:r w:rsidR="00E3253D" w:rsidRPr="005D642E">
        <w:rPr>
          <w:rtl/>
        </w:rPr>
        <w:t xml:space="preserve"> ، ج 3 ، ص 214 ( سعد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 بالبكاء</w:t>
      </w:r>
      <w:r w:rsidR="00E3253D">
        <w:rPr>
          <w:rtl/>
        </w:rPr>
        <w:t xml:space="preserve"> ».</w:t>
      </w:r>
      <w:r w:rsidR="00E3253D" w:rsidRPr="005D642E">
        <w:rPr>
          <w:rtl/>
        </w:rPr>
        <w:t xml:space="preserve"> </w:t>
      </w:r>
      <w:r w:rsidR="00E3253D">
        <w:rPr>
          <w:rtl/>
        </w:rPr>
        <w:t>و «</w:t>
      </w:r>
      <w:r w:rsidR="00E3253D" w:rsidRPr="005D642E">
        <w:rPr>
          <w:rtl/>
        </w:rPr>
        <w:t xml:space="preserve"> التعداد » : عدّ المفاخر والمكارم وذكر ما فائدة فيه ممّا يشبه الشكوى. قاله المحقّق الفيض في الوافي.</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الخصال</w:t>
      </w:r>
      <w:r w:rsidR="00E3253D" w:rsidRPr="005D642E">
        <w:rPr>
          <w:rtl/>
        </w:rPr>
        <w:t xml:space="preserve"> ، ص 618 ، أبواب الثمانين ومافوقه ، ضمن الحديث الطويل 10 ، بسنده عن محمّد بن مسلم ، عن أبي عبدالله ، عن آبائه ، عن أميرالمؤمنين </w:t>
      </w:r>
      <w:r w:rsidR="00E3253D" w:rsidRPr="00B9022F">
        <w:rPr>
          <w:rStyle w:val="libFootnoteAlaemChar"/>
          <w:rtl/>
        </w:rPr>
        <w:t>عليهم‌السلام</w:t>
      </w:r>
      <w:r w:rsidR="00E3253D" w:rsidRPr="005D642E">
        <w:rPr>
          <w:rtl/>
        </w:rPr>
        <w:t xml:space="preserve">. </w:t>
      </w:r>
      <w:r w:rsidR="00E3253D" w:rsidRPr="002F4D34">
        <w:rPr>
          <w:rStyle w:val="libFootnoteBoldChar"/>
          <w:rtl/>
        </w:rPr>
        <w:t>تحف العقول</w:t>
      </w:r>
      <w:r w:rsidR="00E3253D" w:rsidRPr="005D642E">
        <w:rPr>
          <w:rtl/>
        </w:rPr>
        <w:t xml:space="preserve"> ، ص 107 ، مرسلاً عن أميرالمؤمنين </w:t>
      </w:r>
      <w:r w:rsidR="00E3253D" w:rsidRPr="00B9022F">
        <w:rPr>
          <w:rStyle w:val="libFootnoteAlaemChar"/>
          <w:rtl/>
        </w:rPr>
        <w:t>عليه‌السلام</w:t>
      </w:r>
      <w:r w:rsidR="00E3253D" w:rsidRPr="005D642E">
        <w:rPr>
          <w:rtl/>
        </w:rPr>
        <w:t xml:space="preserve"> ، وفيهما مع اختلاف يسير </w:t>
      </w:r>
      <w:r w:rsidR="00B9022F">
        <w:rPr>
          <w:rFonts w:hint="cs"/>
          <w:rtl/>
        </w:rPr>
        <w:t>.</w:t>
      </w:r>
      <w:r w:rsidR="00E3253D" w:rsidRPr="002F4D34">
        <w:rPr>
          <w:rStyle w:val="libFootnoteBoldChar"/>
          <w:rtl/>
        </w:rPr>
        <w:t>الوافي</w:t>
      </w:r>
      <w:r w:rsidR="00E3253D" w:rsidRPr="005D642E">
        <w:rPr>
          <w:rtl/>
        </w:rPr>
        <w:t xml:space="preserve"> ، ج 25 ، ص 544 ، ح 24615 ؛ </w:t>
      </w:r>
      <w:r w:rsidR="00E3253D" w:rsidRPr="002F4D34">
        <w:rPr>
          <w:rStyle w:val="libFootnoteBoldChar"/>
          <w:rtl/>
        </w:rPr>
        <w:t>الوسائل</w:t>
      </w:r>
      <w:r w:rsidR="00E3253D" w:rsidRPr="005D642E">
        <w:rPr>
          <w:rtl/>
        </w:rPr>
        <w:t xml:space="preserve"> ، ج 3 ، ص 241 ، ح 3515.</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500" w:name="_Toc344647378"/>
      <w:bookmarkStart w:id="501" w:name="_Toc462226892"/>
      <w:bookmarkStart w:id="502" w:name="_Toc40976000"/>
      <w:r w:rsidRPr="005D642E">
        <w:rPr>
          <w:rtl/>
          <w:lang w:bidi="fa-IR"/>
        </w:rPr>
        <w:t>80</w:t>
      </w:r>
      <w:r>
        <w:rPr>
          <w:rtl/>
          <w:lang w:bidi="fa-IR"/>
        </w:rPr>
        <w:t xml:space="preserve"> </w:t>
      </w:r>
      <w:r w:rsidR="007642BC">
        <w:rPr>
          <w:rtl/>
          <w:lang w:bidi="fa-IR"/>
        </w:rPr>
        <w:t>-</w:t>
      </w:r>
      <w:r>
        <w:rPr>
          <w:rtl/>
          <w:lang w:bidi="fa-IR"/>
        </w:rPr>
        <w:t xml:space="preserve"> </w:t>
      </w:r>
      <w:r w:rsidRPr="005D642E">
        <w:rPr>
          <w:rtl/>
          <w:lang w:bidi="fa-IR"/>
        </w:rPr>
        <w:t>بَابُ الْمُصِيبَةِ بِالْوَلَدِ‌</w:t>
      </w:r>
      <w:bookmarkEnd w:id="500"/>
      <w:bookmarkEnd w:id="501"/>
      <w:bookmarkEnd w:id="502"/>
    </w:p>
    <w:p w:rsidR="00E3253D" w:rsidRPr="005D642E" w:rsidRDefault="00E3253D" w:rsidP="00E3253D">
      <w:pPr>
        <w:pStyle w:val="libNormal"/>
        <w:rPr>
          <w:rtl/>
          <w:lang w:bidi="fa-IR"/>
        </w:rPr>
      </w:pPr>
      <w:r w:rsidRPr="003E0510">
        <w:rPr>
          <w:rtl/>
        </w:rPr>
        <w:t>4638</w:t>
      </w:r>
      <w:r w:rsidRPr="00246318">
        <w:rPr>
          <w:rStyle w:val="libBold2Char"/>
          <w:rtl/>
        </w:rPr>
        <w:t xml:space="preserve"> / 1.</w:t>
      </w:r>
      <w:r w:rsidRPr="005D642E">
        <w:rPr>
          <w:rtl/>
          <w:lang w:bidi="fa-IR"/>
        </w:rPr>
        <w:t xml:space="preserve"> عِدَّةٌ مِنْ أَصْحَابِنَا ، عَنْ أَحْمَدَ بْنِ مُحَمَّدٍ ، عَنْ مُحَمَّدِ بْنِ إِسْمَاعِيلَ بْنِ بَزِيعٍ ، عَنْ أَبِي إِسْمَاعِيلَ السَّرَّاجِ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وَلَدٌ يُقَدِّمُهُ </w:t>
      </w:r>
      <w:r w:rsidRPr="007C12DB">
        <w:rPr>
          <w:rStyle w:val="libFootnotenumChar"/>
          <w:rtl/>
        </w:rPr>
        <w:t>(1)</w:t>
      </w:r>
      <w:r w:rsidRPr="005D642E">
        <w:rPr>
          <w:rtl/>
          <w:lang w:bidi="fa-IR"/>
        </w:rPr>
        <w:t xml:space="preserve"> الرَّجُلُ أَفْضَلُ مِنْ سَبْعِينَ وَلَداً يُخَلِّفُهُمْ بَعْدَهُ كُلُّهُمْ قَدْ رَكِبَ الْخَيْلَ ، وَجَاهَدَ </w:t>
      </w:r>
      <w:r w:rsidRPr="007C12DB">
        <w:rPr>
          <w:rStyle w:val="libFootnotenumChar"/>
          <w:rtl/>
        </w:rPr>
        <w:t>(2)</w:t>
      </w:r>
      <w:r w:rsidRPr="005D642E">
        <w:rPr>
          <w:rtl/>
          <w:lang w:bidi="fa-IR"/>
        </w:rPr>
        <w:t xml:space="preserve"> فِي سَبِيلِ اللهِ</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3E0510">
        <w:rPr>
          <w:rtl/>
        </w:rPr>
        <w:t>4639</w:t>
      </w:r>
      <w:r w:rsidRPr="00246318">
        <w:rPr>
          <w:rStyle w:val="libBold2Char"/>
          <w:rtl/>
        </w:rPr>
        <w:t xml:space="preserve"> / 2.</w:t>
      </w:r>
      <w:r w:rsidRPr="005D642E">
        <w:rPr>
          <w:rtl/>
          <w:lang w:bidi="fa-IR"/>
        </w:rPr>
        <w:t xml:space="preserve"> أَبُو عَلِيٍّ الْأَشْعَرِيُّ ، عَنْ مُحَمَّدِ بْنِ سَالِمٍ ، عَنْ أَحْمَدَ بْنِ النَّضْرِ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w:t>
      </w:r>
      <w:r w:rsidRPr="007C12DB">
        <w:rPr>
          <w:rStyle w:val="libFootnotenumChar"/>
          <w:rtl/>
        </w:rPr>
        <w:t>(4)</w:t>
      </w:r>
      <w:r w:rsidRPr="005D642E">
        <w:rPr>
          <w:rtl/>
          <w:lang w:bidi="fa-IR"/>
        </w:rPr>
        <w:t xml:space="preserve"> : « دَخَلَ رَسُولُ اللهِ </w:t>
      </w:r>
      <w:r w:rsidR="0042621E" w:rsidRPr="0042621E">
        <w:rPr>
          <w:rStyle w:val="libAlaemChar"/>
          <w:rtl/>
        </w:rPr>
        <w:t>صلى‌الله‌عليه‌وآله</w:t>
      </w:r>
      <w:r w:rsidRPr="005D642E">
        <w:rPr>
          <w:rtl/>
          <w:lang w:bidi="fa-IR"/>
        </w:rPr>
        <w:t xml:space="preserve"> عَلى خَدِيجَةَ حِينَ </w:t>
      </w:r>
      <w:r w:rsidRPr="007C12DB">
        <w:rPr>
          <w:rStyle w:val="libFootnotenumChar"/>
          <w:rtl/>
        </w:rPr>
        <w:t>(5)</w:t>
      </w:r>
      <w:r w:rsidRPr="005D642E">
        <w:rPr>
          <w:rtl/>
          <w:lang w:bidi="fa-IR"/>
        </w:rPr>
        <w:t xml:space="preserve"> مَاتَ الْقَاسِمُ ابْنُهَا وَهِيَ تَبْكِي ، فَقَالَ لَهَا </w:t>
      </w:r>
      <w:r w:rsidRPr="007C12DB">
        <w:rPr>
          <w:rStyle w:val="libFootnotenumChar"/>
          <w:rtl/>
        </w:rPr>
        <w:t>(6)</w:t>
      </w:r>
      <w:r w:rsidRPr="005D642E">
        <w:rPr>
          <w:rtl/>
          <w:lang w:bidi="fa-IR"/>
        </w:rPr>
        <w:t xml:space="preserve"> : مَا يُبْكِيكِ</w:t>
      </w:r>
      <w:r>
        <w:rPr>
          <w:rtl/>
          <w:lang w:bidi="fa-IR"/>
        </w:rPr>
        <w:t>؟</w:t>
      </w:r>
      <w:r w:rsidRPr="005D642E">
        <w:rPr>
          <w:rtl/>
          <w:lang w:bidi="fa-IR"/>
        </w:rPr>
        <w:t xml:space="preserve"> فَقَالَتْ : دَرَّتْ دُرَيْرَةٌ </w:t>
      </w:r>
      <w:r w:rsidRPr="007C12DB">
        <w:rPr>
          <w:rStyle w:val="libFootnotenumChar"/>
          <w:rtl/>
        </w:rPr>
        <w:t>(7)</w:t>
      </w:r>
      <w:r w:rsidRPr="005D642E">
        <w:rPr>
          <w:rtl/>
          <w:lang w:bidi="fa-IR"/>
        </w:rPr>
        <w:t xml:space="preserve"> فَبَكَيْتُ</w:t>
      </w:r>
      <w:r>
        <w:rPr>
          <w:rtl/>
          <w:lang w:bidi="fa-IR"/>
        </w:rPr>
        <w:t xml:space="preserve"> ، فَقَالَ : يَا خَدِيجَةُ ، أَ</w:t>
      </w:r>
      <w:r w:rsidRPr="005D642E">
        <w:rPr>
          <w:rtl/>
          <w:lang w:bidi="fa-IR"/>
        </w:rPr>
        <w:t xml:space="preserve">مَا تَرْضَيْنَ إِذَا كَانَ يَوْمُ الْقِيَامَةِ أَنْ تَجِيئِي </w:t>
      </w:r>
      <w:r w:rsidRPr="007C12DB">
        <w:rPr>
          <w:rStyle w:val="libFootnotenumChar"/>
          <w:rtl/>
        </w:rPr>
        <w:t>(8)</w:t>
      </w:r>
      <w:r w:rsidRPr="005D642E">
        <w:rPr>
          <w:rtl/>
          <w:lang w:bidi="fa-IR"/>
        </w:rPr>
        <w:t xml:space="preserve"> إِلى بَابِ الْجَنَّةِ وَهُوَ قَائِمٌ ، فَيَأْخُذَ‌</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 « يقدم</w:t>
      </w:r>
      <w:r w:rsidR="00E3253D">
        <w:rPr>
          <w:rtl/>
        </w:rPr>
        <w:t xml:space="preserve"> ».</w:t>
      </w:r>
    </w:p>
    <w:p w:rsidR="00E3253D" w:rsidRDefault="0042621E" w:rsidP="00E3253D">
      <w:pPr>
        <w:pStyle w:val="libFootnote0"/>
        <w:rPr>
          <w:rtl/>
        </w:rPr>
      </w:pPr>
      <w:r w:rsidRPr="0042621E">
        <w:rPr>
          <w:rStyle w:val="libFootnote0Char"/>
          <w:rtl/>
        </w:rPr>
        <w:t>(2).</w:t>
      </w:r>
      <w:r w:rsidR="00E3253D" w:rsidRPr="005D642E">
        <w:rPr>
          <w:rtl/>
        </w:rPr>
        <w:t xml:space="preserve"> هكذا في « ظ ، غ ، ي ، جس » وحاشية « بس</w:t>
      </w:r>
      <w:r w:rsidR="00E3253D">
        <w:rPr>
          <w:rtl/>
        </w:rPr>
        <w:t xml:space="preserve"> ».</w:t>
      </w:r>
      <w:r w:rsidR="00E3253D" w:rsidRPr="005D642E">
        <w:rPr>
          <w:rtl/>
        </w:rPr>
        <w:t xml:space="preserve"> وفي « بث ، بح ، بخ ، بس ، بف ، جح ، جن » : « قد ركب الخيل وجاهدوا</w:t>
      </w:r>
      <w:r w:rsidR="00E3253D">
        <w:rPr>
          <w:rtl/>
        </w:rPr>
        <w:t xml:space="preserve"> ».</w:t>
      </w:r>
      <w:r w:rsidR="00E3253D" w:rsidRPr="005D642E">
        <w:rPr>
          <w:rtl/>
        </w:rPr>
        <w:t xml:space="preserve"> وفي المطبوع </w:t>
      </w:r>
      <w:r w:rsidR="000D749A" w:rsidRPr="000D749A">
        <w:rPr>
          <w:rStyle w:val="libFootnoteBoldChar"/>
          <w:rtl/>
        </w:rPr>
        <w:t>والوافي</w:t>
      </w:r>
      <w:r w:rsidR="00E3253D" w:rsidRPr="005D642E">
        <w:rPr>
          <w:rtl/>
        </w:rPr>
        <w:t xml:space="preserve"> والوسائل : « قد ركبوا الخيل وجاهدوا » وقد ورد في هامش </w:t>
      </w:r>
      <w:r w:rsidR="00E3253D" w:rsidRPr="002F4D34">
        <w:rPr>
          <w:rStyle w:val="libFootnoteBoldChar"/>
          <w:rtl/>
        </w:rPr>
        <w:t>الوسائل</w:t>
      </w:r>
      <w:r w:rsidR="00E3253D" w:rsidRPr="005D642E">
        <w:rPr>
          <w:rtl/>
        </w:rPr>
        <w:t xml:space="preserve"> تعليقاً علي هذه العبارة : « أثبتناه من المصدر وفي المخطوط : « ركب الخيل وجاهد</w:t>
      </w:r>
      <w:r w:rsidR="00E3253D">
        <w:rPr>
          <w:rtl/>
        </w:rPr>
        <w:t xml:space="preserve"> ».</w:t>
      </w:r>
    </w:p>
    <w:p w:rsidR="00E3253D" w:rsidRPr="005D642E" w:rsidRDefault="00E3253D" w:rsidP="00E3253D">
      <w:pPr>
        <w:pStyle w:val="libFootnote0"/>
        <w:rPr>
          <w:rtl/>
          <w:lang w:bidi="fa-IR"/>
        </w:rPr>
      </w:pPr>
      <w:r w:rsidRPr="005D642E">
        <w:rPr>
          <w:rtl/>
        </w:rPr>
        <w:t>وما أثبتناه هو مقتضي القاعدة من رجوع الضمير المفرد والمذكّر إلى « كلّ » حينما ا</w:t>
      </w:r>
      <w:r w:rsidR="00DD047D">
        <w:rPr>
          <w:rFonts w:hint="cs"/>
          <w:rtl/>
        </w:rPr>
        <w:t>ُ</w:t>
      </w:r>
      <w:r w:rsidRPr="005D642E">
        <w:rPr>
          <w:rtl/>
        </w:rPr>
        <w:t>ضيفت إلى الضمير ، ووحدة السياق.</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ثواب الأعمال</w:t>
      </w:r>
      <w:r w:rsidR="00E3253D" w:rsidRPr="005D642E">
        <w:rPr>
          <w:rtl/>
        </w:rPr>
        <w:t xml:space="preserve"> ، ص 233 ، ح 4 ، بسند آخر ، مع اختلاف </w:t>
      </w:r>
      <w:r w:rsidR="00DD047D">
        <w:rPr>
          <w:rFonts w:hint="cs"/>
          <w:rtl/>
        </w:rPr>
        <w:t>.</w:t>
      </w:r>
      <w:r w:rsidR="00E3253D" w:rsidRPr="002F4D34">
        <w:rPr>
          <w:rStyle w:val="libFootnoteBoldChar"/>
          <w:rtl/>
        </w:rPr>
        <w:t>الوافي</w:t>
      </w:r>
      <w:r w:rsidR="00E3253D" w:rsidRPr="005D642E">
        <w:rPr>
          <w:rtl/>
        </w:rPr>
        <w:t xml:space="preserve"> ، ج 25 ، ص 545 ، ح 24616 ؛ </w:t>
      </w:r>
      <w:r w:rsidR="00E3253D" w:rsidRPr="002F4D34">
        <w:rPr>
          <w:rStyle w:val="libFootnoteBoldChar"/>
          <w:rtl/>
        </w:rPr>
        <w:t>الوسائل</w:t>
      </w:r>
      <w:r w:rsidR="00E3253D" w:rsidRPr="005D642E">
        <w:rPr>
          <w:rtl/>
        </w:rPr>
        <w:t xml:space="preserve"> ، ج 3 ، ص 243 ، ح 3521.</w:t>
      </w:r>
      <w:r w:rsidR="00E3253D">
        <w:rPr>
          <w:rFonts w:hint="cs"/>
          <w:rtl/>
          <w:lang w:bidi="fa-IR"/>
        </w:rPr>
        <w:t xml:space="preserve"> </w:t>
      </w:r>
      <w:r w:rsidR="00DD047D">
        <w:rPr>
          <w:rFonts w:hint="cs"/>
          <w:rtl/>
          <w:lang w:bidi="fa-IR"/>
        </w:rPr>
        <w:t xml:space="preserve">                      </w:t>
      </w:r>
      <w:r w:rsidRPr="0042621E">
        <w:rPr>
          <w:rStyle w:val="libFootnote0Char"/>
          <w:rtl/>
        </w:rPr>
        <w:t>(4).</w:t>
      </w:r>
      <w:r w:rsidR="00E3253D" w:rsidRPr="005D642E">
        <w:rPr>
          <w:rtl/>
        </w:rPr>
        <w:t xml:space="preserve"> في « بث ، بف » :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غ ، بخ ، بس ، بف ، جح ، جس ، جن » والوسائل والبحار : « حيث</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بف » :</w:t>
      </w:r>
      <w:r w:rsidR="00E3253D">
        <w:rPr>
          <w:rtl/>
        </w:rPr>
        <w:t xml:space="preserve"> </w:t>
      </w:r>
      <w:r w:rsidR="007642BC">
        <w:rPr>
          <w:rtl/>
        </w:rPr>
        <w:t>-</w:t>
      </w:r>
      <w:r w:rsidR="00E3253D">
        <w:rPr>
          <w:rtl/>
        </w:rPr>
        <w:t xml:space="preserve"> </w:t>
      </w:r>
      <w:r w:rsidR="00E3253D" w:rsidRPr="005D642E">
        <w:rPr>
          <w:rtl/>
        </w:rPr>
        <w:t>« لها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درّت دريرة » ، أي جرت اللبن. والدرّ بالفتح : كثرة اللبن وسيلانه راجع : </w:t>
      </w:r>
      <w:r w:rsidR="00E3253D" w:rsidRPr="002F4D34">
        <w:rPr>
          <w:rStyle w:val="libFootnoteBoldChar"/>
          <w:rtl/>
        </w:rPr>
        <w:t>مجمع البحرين</w:t>
      </w:r>
      <w:r w:rsidR="00E3253D" w:rsidRPr="005D642E">
        <w:rPr>
          <w:rtl/>
        </w:rPr>
        <w:t xml:space="preserve"> ، ج 3 ، ص 301 ( درر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 غ ، ى ، بث » والوسائل. وفي « ظ ، بس » : « أن يجي‌ء</w:t>
      </w:r>
      <w:r w:rsidR="00E3253D">
        <w:rPr>
          <w:rtl/>
        </w:rPr>
        <w:t xml:space="preserve"> ».</w:t>
      </w:r>
      <w:r w:rsidR="00E3253D" w:rsidRPr="005D642E">
        <w:rPr>
          <w:rtl/>
        </w:rPr>
        <w:t xml:space="preserve"> وفي « بح ، بخ ، بف ، جح ، جس ، جن » </w:t>
      </w:r>
      <w:r w:rsidR="00E3253D" w:rsidRPr="00DD047D">
        <w:rPr>
          <w:rtl/>
        </w:rPr>
        <w:t xml:space="preserve">والمطبوع </w:t>
      </w:r>
      <w:r w:rsidR="000D749A" w:rsidRPr="00DD047D">
        <w:rPr>
          <w:rtl/>
        </w:rPr>
        <w:t>والوافي</w:t>
      </w:r>
      <w:r w:rsidR="00E3253D" w:rsidRPr="00DD047D">
        <w:rPr>
          <w:rtl/>
        </w:rPr>
        <w:t xml:space="preserve"> والبحار</w:t>
      </w:r>
      <w:r w:rsidR="00E3253D" w:rsidRPr="005D642E">
        <w:rPr>
          <w:rtl/>
        </w:rPr>
        <w:t xml:space="preserve"> : « أن تجي‌ء</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بِيَدِكِ ، فَيُدْخِلَكِ </w:t>
      </w:r>
      <w:r w:rsidRPr="007C12DB">
        <w:rPr>
          <w:rStyle w:val="libFootnotenumChar"/>
          <w:rtl/>
        </w:rPr>
        <w:t>(1)</w:t>
      </w:r>
      <w:r w:rsidRPr="005D642E">
        <w:rPr>
          <w:rtl/>
          <w:lang w:bidi="fa-IR"/>
        </w:rPr>
        <w:t xml:space="preserve"> الْجَنَّةَ ، وَيُنْزِلَكِ أَفْضَلَهَا وَذلِكِ لِكُلِّ مُؤْمِنٍ</w:t>
      </w:r>
      <w:r>
        <w:rPr>
          <w:rtl/>
          <w:lang w:bidi="fa-IR"/>
        </w:rPr>
        <w:t>؟</w:t>
      </w:r>
      <w:r w:rsidRPr="005D642E">
        <w:rPr>
          <w:rtl/>
          <w:lang w:bidi="fa-IR"/>
        </w:rPr>
        <w:t xml:space="preserve"> 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أَحْكَمُ وَأَكْرَمُ أَنْ يَسْلُبَ الْمُؤْمِنَ ثَمَرَةَ فُؤَادِهِ ثُمَّ يُعَذِّبَهُ بَعْدَهَا أَبَداً</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DD047D" w:rsidRDefault="00E3253D" w:rsidP="00DD047D">
      <w:pPr>
        <w:pStyle w:val="libNormal"/>
        <w:rPr>
          <w:rtl/>
          <w:lang w:bidi="fa-IR"/>
        </w:rPr>
      </w:pPr>
      <w:r w:rsidRPr="003E0510">
        <w:rPr>
          <w:rtl/>
        </w:rPr>
        <w:t>4640</w:t>
      </w:r>
      <w:r w:rsidRPr="00246318">
        <w:rPr>
          <w:rStyle w:val="libBold2Char"/>
          <w:rtl/>
        </w:rPr>
        <w:t xml:space="preserve"> / 3.</w:t>
      </w:r>
      <w:r w:rsidRPr="005D642E">
        <w:rPr>
          <w:rtl/>
          <w:lang w:bidi="fa-IR"/>
        </w:rPr>
        <w:t xml:space="preserve"> مُحَمَّدُ بْنُ يَحْيى ، عَنْ أَحْمَدَ بْنِ مُحَمَّدِ بْنِ عِيسى ؛</w:t>
      </w:r>
    </w:p>
    <w:p w:rsidR="00E3253D" w:rsidRPr="005D642E" w:rsidRDefault="00DD047D" w:rsidP="00DD047D">
      <w:pPr>
        <w:pStyle w:val="libNormal"/>
        <w:rPr>
          <w:rtl/>
          <w:lang w:bidi="fa-IR"/>
        </w:rPr>
      </w:pPr>
      <w:r>
        <w:rPr>
          <w:rFonts w:hint="cs"/>
          <w:rtl/>
          <w:lang w:bidi="fa-IR"/>
        </w:rPr>
        <w:t xml:space="preserve">              </w:t>
      </w:r>
      <w:r w:rsidR="00E3253D" w:rsidRPr="005D642E">
        <w:rPr>
          <w:rtl/>
          <w:lang w:bidi="fa-IR"/>
        </w:rPr>
        <w:t xml:space="preserve">وَعِدَّةٌ مِنْ أَصْحَابِنَا ، عَنْ سَهْلِ بْنِ زِيَادٍ جَمِيعاً ، عَنِ ابْنِ مَهْزِيَارَ </w:t>
      </w:r>
      <w:r w:rsidR="00E3253D" w:rsidRPr="007C12DB">
        <w:rPr>
          <w:rStyle w:val="libFootnotenumChar"/>
          <w:rtl/>
        </w:rPr>
        <w:t>(3)</w:t>
      </w:r>
      <w:r w:rsidR="00E3253D"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كَتَبَ رَجُلٌ إِلى أَبِي جَعْفَرٍ الثَّانِي </w:t>
      </w:r>
      <w:r w:rsidRPr="00AC51C5">
        <w:rPr>
          <w:rStyle w:val="libAlaemChar"/>
          <w:rtl/>
        </w:rPr>
        <w:t>عليه‌السلام</w:t>
      </w:r>
      <w:r w:rsidRPr="005D642E">
        <w:rPr>
          <w:rtl/>
          <w:lang w:bidi="fa-IR"/>
        </w:rPr>
        <w:t xml:space="preserve"> يَشْكُو إِلَيْهِ مُصَابَهُ بِوَلَدِهِ ، وَشِدَّةَ مَا دَخَ</w:t>
      </w:r>
      <w:r>
        <w:rPr>
          <w:rtl/>
          <w:lang w:bidi="fa-IR"/>
        </w:rPr>
        <w:t>لَهُ ، فَكَتَبَ إِلَيْهِ : « أَ</w:t>
      </w:r>
      <w:r w:rsidRPr="005D642E">
        <w:rPr>
          <w:rtl/>
          <w:lang w:bidi="fa-IR"/>
        </w:rPr>
        <w:t>مَا عَلِمْتَ أَنَّ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يَخْتَارُ مِنْ مَالِ الْمُؤْمِنِ وَمِنْ وُلْدِهِ أَنْفَسَهُ لِيَأْجُرَهُ عَلى ذلِكَ</w:t>
      </w:r>
      <w:r>
        <w:rPr>
          <w:rtl/>
          <w:lang w:bidi="fa-IR"/>
        </w:rPr>
        <w:t>».</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3E0510">
        <w:rPr>
          <w:rtl/>
        </w:rPr>
        <w:t>4641</w:t>
      </w:r>
      <w:r w:rsidRPr="00246318">
        <w:rPr>
          <w:rStyle w:val="libBold2Char"/>
          <w:rtl/>
        </w:rPr>
        <w:t xml:space="preserve"> / 4.</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إِذَا قُبِضَ وَلَدُ الْمُؤْمِنِ</w:t>
      </w:r>
      <w:r>
        <w:rPr>
          <w:rtl/>
          <w:lang w:bidi="fa-IR"/>
        </w:rPr>
        <w:t xml:space="preserve"> </w:t>
      </w:r>
      <w:r w:rsidR="007642BC">
        <w:rPr>
          <w:rtl/>
          <w:lang w:bidi="fa-IR"/>
        </w:rPr>
        <w:t>-</w:t>
      </w:r>
      <w:r>
        <w:rPr>
          <w:rtl/>
          <w:lang w:bidi="fa-IR"/>
        </w:rPr>
        <w:t xml:space="preserve"> </w:t>
      </w:r>
      <w:r w:rsidRPr="005D642E">
        <w:rPr>
          <w:rtl/>
          <w:lang w:bidi="fa-IR"/>
        </w:rPr>
        <w:t>وَاللهُ أَعْلَمُ‌</w:t>
      </w:r>
      <w:r>
        <w:rPr>
          <w:rFonts w:hint="cs"/>
          <w:rtl/>
          <w:lang w:bidi="fa-IR"/>
        </w:rPr>
        <w:t xml:space="preserve"> </w:t>
      </w:r>
      <w:r w:rsidRPr="005D642E">
        <w:rPr>
          <w:rtl/>
          <w:lang w:bidi="fa-IR"/>
        </w:rPr>
        <w:t>بِمَا قَالَ الْعَبْدُ</w:t>
      </w:r>
      <w:r>
        <w:rPr>
          <w:rtl/>
          <w:lang w:bidi="fa-IR"/>
        </w:rPr>
        <w:t xml:space="preserve"> </w:t>
      </w:r>
      <w:r w:rsidR="007642BC">
        <w:rPr>
          <w:rtl/>
          <w:lang w:bidi="fa-IR"/>
        </w:rPr>
        <w:t>-</w:t>
      </w:r>
      <w:r>
        <w:rPr>
          <w:rtl/>
          <w:lang w:bidi="fa-IR"/>
        </w:rPr>
        <w:t xml:space="preserve"> </w:t>
      </w:r>
      <w:r w:rsidRPr="005D642E">
        <w:rPr>
          <w:rtl/>
          <w:lang w:bidi="fa-IR"/>
        </w:rPr>
        <w:t>قَالَ اللهُ</w:t>
      </w:r>
      <w:r>
        <w:rPr>
          <w:rtl/>
          <w:lang w:bidi="fa-IR"/>
        </w:rPr>
        <w:t xml:space="preserve"> </w:t>
      </w:r>
      <w:r w:rsidR="007642BC">
        <w:rPr>
          <w:rtl/>
          <w:lang w:bidi="fa-IR"/>
        </w:rPr>
        <w:t>-</w:t>
      </w:r>
      <w:r>
        <w:rPr>
          <w:rtl/>
          <w:lang w:bidi="fa-IR"/>
        </w:rPr>
        <w:t xml:space="preserve"> </w:t>
      </w:r>
      <w:r w:rsidRPr="005D642E">
        <w:rPr>
          <w:rtl/>
          <w:lang w:bidi="fa-IR"/>
        </w:rPr>
        <w:t>تَبَارَكَ وَتَعَالى</w:t>
      </w:r>
      <w:r>
        <w:rPr>
          <w:rtl/>
          <w:lang w:bidi="fa-IR"/>
        </w:rPr>
        <w:t xml:space="preserve"> </w:t>
      </w:r>
      <w:r w:rsidR="007642BC">
        <w:rPr>
          <w:rtl/>
          <w:lang w:bidi="fa-IR"/>
        </w:rPr>
        <w:t>-</w:t>
      </w:r>
      <w:r>
        <w:rPr>
          <w:rtl/>
          <w:lang w:bidi="fa-IR"/>
        </w:rPr>
        <w:t xml:space="preserve"> </w:t>
      </w:r>
      <w:r w:rsidRPr="005D642E">
        <w:rPr>
          <w:rtl/>
          <w:lang w:bidi="fa-IR"/>
        </w:rPr>
        <w:t>لِمَلَائِكَتِهِ : قَبَضْتُمْ وَلَدَ فُلَانٍ</w:t>
      </w:r>
      <w:r>
        <w:rPr>
          <w:rtl/>
          <w:lang w:bidi="fa-IR"/>
        </w:rPr>
        <w:t>؟</w:t>
      </w:r>
      <w:r w:rsidRPr="005D642E">
        <w:rPr>
          <w:rtl/>
          <w:lang w:bidi="fa-IR"/>
        </w:rPr>
        <w:t xml:space="preserve"> فَيَقُولُونَ : نَعَمْ رَبَّنَا ، قَالَ </w:t>
      </w:r>
      <w:r w:rsidRPr="007C12DB">
        <w:rPr>
          <w:rStyle w:val="libFootnotenumChar"/>
          <w:rtl/>
        </w:rPr>
        <w:t>(5)</w:t>
      </w:r>
      <w:r w:rsidRPr="005D642E">
        <w:rPr>
          <w:rtl/>
          <w:lang w:bidi="fa-IR"/>
        </w:rPr>
        <w:t xml:space="preserve"> : فَيَقُولُ : فَمَا قَالَ عَبْدِي</w:t>
      </w:r>
      <w:r>
        <w:rPr>
          <w:rtl/>
          <w:lang w:bidi="fa-IR"/>
        </w:rPr>
        <w:t>؟</w:t>
      </w:r>
      <w:r w:rsidRPr="005D642E">
        <w:rPr>
          <w:rtl/>
          <w:lang w:bidi="fa-IR"/>
        </w:rPr>
        <w:t xml:space="preserve"> قَالُوا : حَمِدَكَ وَاسْتَرْجَعَ ، فَيَقُولُ اللهُ تَبَارَكَ وَتَعَالى : أَخَذْتُمْ ثَمَرَةَ قَلْبِهِ وَقُرَّةَ عَيْنِهِ ، فَحَمِدَنِي وَاسْتَرْجَعَ ؛ ابْنُوا لَهُ بَيْتاً فِي الْجَنَّةِ ، وَسَمُّوهُ بَيْتَ الْحَمْدِ</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3E0510">
        <w:rPr>
          <w:rtl/>
        </w:rPr>
        <w:t>4642</w:t>
      </w:r>
      <w:r w:rsidRPr="00246318">
        <w:rPr>
          <w:rStyle w:val="libBold2Char"/>
          <w:rtl/>
        </w:rPr>
        <w:t xml:space="preserve"> / 5.</w:t>
      </w:r>
      <w:r w:rsidRPr="005D642E">
        <w:rPr>
          <w:rtl/>
          <w:lang w:bidi="fa-IR"/>
        </w:rPr>
        <w:t xml:space="preserve"> عِدَّةٌ مِنْ أَصْحَابِنَا ، عَنْ أَحْمَدَ بْنِ مُحَمَّدِ بْنِ خَالِدٍ ، عَنْ إِسْمَاعِيلَ بْنِ مِهْرَانَ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والوسائل : « ويدخلك</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545 ، ح 24617 ؛ </w:t>
      </w:r>
      <w:r w:rsidR="00E3253D" w:rsidRPr="002F4D34">
        <w:rPr>
          <w:rStyle w:val="libFootnoteBoldChar"/>
          <w:rtl/>
        </w:rPr>
        <w:t>الوسائل</w:t>
      </w:r>
      <w:r w:rsidR="00E3253D" w:rsidRPr="005D642E">
        <w:rPr>
          <w:rtl/>
        </w:rPr>
        <w:t xml:space="preserve"> ، ج 3 ، ص 243 ، ح 3523 ؛ </w:t>
      </w:r>
      <w:r w:rsidR="00E3253D" w:rsidRPr="002F4D34">
        <w:rPr>
          <w:rStyle w:val="libFootnoteBoldChar"/>
          <w:rtl/>
        </w:rPr>
        <w:t>البحار</w:t>
      </w:r>
      <w:r w:rsidR="00E3253D" w:rsidRPr="005D642E">
        <w:rPr>
          <w:rtl/>
        </w:rPr>
        <w:t xml:space="preserve"> ، ج 16 ، ص 15 ، ح 14.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بخ ، بف » وحاشية « بث » </w:t>
      </w:r>
      <w:r w:rsidR="000D749A" w:rsidRPr="000D749A">
        <w:rPr>
          <w:rStyle w:val="libFootnoteBoldChar"/>
          <w:rtl/>
        </w:rPr>
        <w:t>والوافي</w:t>
      </w:r>
      <w:r w:rsidR="00E3253D" w:rsidRPr="005D642E">
        <w:rPr>
          <w:rtl/>
        </w:rPr>
        <w:t>. وفي « ظ ، ى ، بث ، بح ، بس ، جح ، جس ، جن » والمطبوع والوسائل : « ابن مهران</w:t>
      </w:r>
      <w:r w:rsidR="00E3253D">
        <w:rPr>
          <w:rtl/>
        </w:rPr>
        <w:t xml:space="preserve"> ».</w:t>
      </w:r>
      <w:r w:rsidR="00E3253D" w:rsidRPr="005D642E">
        <w:rPr>
          <w:rtl/>
        </w:rPr>
        <w:t xml:space="preserve"> والصواب ما أثبتناه ، كما تقدّم تفصيل الكلام في </w:t>
      </w:r>
      <w:r w:rsidR="00E3253D" w:rsidRPr="002F4D34">
        <w:rPr>
          <w:rStyle w:val="libFootnoteBoldChar"/>
          <w:rtl/>
        </w:rPr>
        <w:t>الكافي</w:t>
      </w:r>
      <w:r w:rsidR="00E3253D" w:rsidRPr="005D642E">
        <w:rPr>
          <w:rtl/>
        </w:rPr>
        <w:t xml:space="preserve"> ، ذيل ح 4594 ، فلاحظ.</w:t>
      </w:r>
    </w:p>
    <w:p w:rsidR="00E3253D" w:rsidRPr="005D642E" w:rsidRDefault="0042621E" w:rsidP="000E5337">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النوادر من كتاب الجنائز ، ح 4785 ، عن عدّة من أصحابنا ، عن سهل بن زياد ، عن عليّ بن مهزيار ، عن أبي جعفر </w:t>
      </w:r>
      <w:r w:rsidR="00E3253D" w:rsidRPr="000E5337">
        <w:rPr>
          <w:rStyle w:val="libFootnoteAlaemChar"/>
          <w:rtl/>
        </w:rPr>
        <w:t>عليه‌السلام</w:t>
      </w:r>
      <w:r w:rsidR="00E3253D" w:rsidRPr="005D642E">
        <w:rPr>
          <w:rtl/>
        </w:rPr>
        <w:t xml:space="preserve"> ، مع اختلاف يسير </w:t>
      </w:r>
      <w:r w:rsidR="000E5337">
        <w:rPr>
          <w:rFonts w:hint="cs"/>
          <w:rtl/>
        </w:rPr>
        <w:t>.</w:t>
      </w:r>
      <w:r w:rsidR="00E3253D" w:rsidRPr="002F4D34">
        <w:rPr>
          <w:rStyle w:val="libFootnoteBoldChar"/>
          <w:rtl/>
        </w:rPr>
        <w:t>الوافي</w:t>
      </w:r>
      <w:r w:rsidR="00E3253D" w:rsidRPr="005D642E">
        <w:rPr>
          <w:rtl/>
        </w:rPr>
        <w:t xml:space="preserve"> ، ج 25 ، ص 546 ، ح 24618 ؛ </w:t>
      </w:r>
      <w:r w:rsidR="00E3253D" w:rsidRPr="002F4D34">
        <w:rPr>
          <w:rStyle w:val="libFootnoteBoldChar"/>
          <w:rtl/>
        </w:rPr>
        <w:t>الوسائل</w:t>
      </w:r>
      <w:r w:rsidR="00E3253D" w:rsidRPr="005D642E">
        <w:rPr>
          <w:rtl/>
        </w:rPr>
        <w:t xml:space="preserve"> ، ج 3 ، ص 243 ، ح 3522.</w:t>
      </w:r>
      <w:r w:rsidR="000E5337">
        <w:rPr>
          <w:rFonts w:hint="cs"/>
          <w:rtl/>
        </w:rPr>
        <w:t xml:space="preserve">                 </w:t>
      </w:r>
      <w:r w:rsidRPr="0042621E">
        <w:rPr>
          <w:rStyle w:val="libFootnote0Char"/>
          <w:rtl/>
        </w:rPr>
        <w:t>(5).</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الفقيه</w:t>
      </w:r>
      <w:r w:rsidR="00E3253D" w:rsidRPr="005D642E">
        <w:rPr>
          <w:rtl/>
        </w:rPr>
        <w:t xml:space="preserve"> ، ج 1 ، ص 177 ، ح 523 ، مرسلاً عن رسول الله </w:t>
      </w:r>
      <w:r w:rsidRPr="000E5337">
        <w:rPr>
          <w:rStyle w:val="libFootnoteAlaemChar"/>
          <w:rtl/>
        </w:rPr>
        <w:t>صلى‌الله‌عليه‌وآله</w:t>
      </w:r>
      <w:r w:rsidR="00E3253D" w:rsidRPr="005D642E">
        <w:rPr>
          <w:rtl/>
        </w:rPr>
        <w:t xml:space="preserve"> ، مع اختلاف يسير </w:t>
      </w:r>
      <w:r w:rsidR="000E5337">
        <w:rPr>
          <w:rFonts w:hint="cs"/>
          <w:rtl/>
        </w:rPr>
        <w:t>.</w:t>
      </w:r>
      <w:r w:rsidR="00E3253D" w:rsidRPr="002F4D34">
        <w:rPr>
          <w:rStyle w:val="libFootnoteBoldChar"/>
          <w:rtl/>
        </w:rPr>
        <w:t>الوافي</w:t>
      </w:r>
      <w:r w:rsidR="00E3253D" w:rsidRPr="005D642E">
        <w:rPr>
          <w:rtl/>
        </w:rPr>
        <w:t xml:space="preserve"> ، ج 25 ، ص 546 ، ح 24619 ؛ </w:t>
      </w:r>
      <w:r w:rsidR="00E3253D" w:rsidRPr="002F4D34">
        <w:rPr>
          <w:rStyle w:val="libFootnoteBoldChar"/>
          <w:rtl/>
        </w:rPr>
        <w:t>الوسائل</w:t>
      </w:r>
      <w:r w:rsidR="00E3253D" w:rsidRPr="005D642E">
        <w:rPr>
          <w:rtl/>
        </w:rPr>
        <w:t xml:space="preserve"> ، ج 3 ، ص 246 ، ح 3532.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عَنْ سَيْفِ بْنِ عَمِيرَةَ ، قَالَ : حَدَّثَنَا أَبُو عَبْدِ الرَّحْمنِ ، قَالَ : حَدَّثَنِي </w:t>
      </w:r>
      <w:r w:rsidRPr="007C12DB">
        <w:rPr>
          <w:rStyle w:val="libFootnotenumChar"/>
          <w:rtl/>
        </w:rPr>
        <w:t>(1)</w:t>
      </w:r>
      <w:r w:rsidRPr="005D642E">
        <w:rPr>
          <w:rtl/>
          <w:lang w:bidi="fa-IR"/>
        </w:rPr>
        <w:t xml:space="preserve"> أَبُو بَصِيرٍ ، قَالَ :</w:t>
      </w:r>
    </w:p>
    <w:p w:rsidR="00E3253D" w:rsidRPr="005D642E" w:rsidRDefault="00E3253D" w:rsidP="000E5337">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إِذَا أَحَبَّ عَبْداً ، قَبَضَ أَحَبَّ وُلْدِهِ </w:t>
      </w:r>
      <w:r w:rsidR="000E5337">
        <w:rPr>
          <w:rFonts w:hint="cs"/>
          <w:rtl/>
          <w:lang w:bidi="fa-IR"/>
        </w:rPr>
        <w:t xml:space="preserve"> إِ</w:t>
      </w:r>
      <w:r w:rsidRPr="005D642E">
        <w:rPr>
          <w:rtl/>
          <w:lang w:bidi="fa-IR"/>
        </w:rPr>
        <w:t>لَيْهِ</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3E0510">
        <w:rPr>
          <w:rtl/>
        </w:rPr>
        <w:t>4643</w:t>
      </w:r>
      <w:r w:rsidRPr="00246318">
        <w:rPr>
          <w:rStyle w:val="libBold2Char"/>
          <w:rtl/>
        </w:rPr>
        <w:t xml:space="preserve"> / 6.</w:t>
      </w:r>
      <w:r w:rsidRPr="005D642E">
        <w:rPr>
          <w:rtl/>
          <w:lang w:bidi="fa-IR"/>
        </w:rPr>
        <w:t xml:space="preserve"> عَنْهُ </w:t>
      </w:r>
      <w:r w:rsidRPr="007C12DB">
        <w:rPr>
          <w:rStyle w:val="libFootnotenumChar"/>
          <w:rtl/>
        </w:rPr>
        <w:t>(3)</w:t>
      </w:r>
      <w:r w:rsidRPr="005D642E">
        <w:rPr>
          <w:rtl/>
          <w:lang w:bidi="fa-IR"/>
        </w:rPr>
        <w:t xml:space="preserve"> ، عَنْ إِسْمَاعِيلَ بْنِ مِهْرَانَ ، عَنْ سَيْفِ بْنِ عَمِيرَةَ ، عَنْ عَمْرِو بْنِ شِمْرٍ ، عَنْ جَابِرٍ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قَدَّمَ مِنَ الْمُسْلِمِينَ وَلَدَيْنِ يَحْتَسِبُهُمَا عِنْدَ اللهِ عَزَّ وَجَلَّ ، حَجَبَاهُ مِنَ النَّارِ بِإِذْنِ اللهِ تَعَالى</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3E0510">
        <w:rPr>
          <w:rtl/>
        </w:rPr>
        <w:t>4644</w:t>
      </w:r>
      <w:r w:rsidRPr="00246318">
        <w:rPr>
          <w:rStyle w:val="libBold2Char"/>
          <w:rtl/>
        </w:rPr>
        <w:t xml:space="preserve"> / 7.</w:t>
      </w:r>
      <w:r w:rsidRPr="005D642E">
        <w:rPr>
          <w:rtl/>
          <w:lang w:bidi="fa-IR"/>
        </w:rPr>
        <w:t xml:space="preserve"> عَنْهُ </w:t>
      </w:r>
      <w:r w:rsidRPr="007C12DB">
        <w:rPr>
          <w:rStyle w:val="libFootnotenumChar"/>
          <w:rtl/>
        </w:rPr>
        <w:t>(5)</w:t>
      </w:r>
      <w:r w:rsidRPr="005D642E">
        <w:rPr>
          <w:rtl/>
          <w:lang w:bidi="fa-IR"/>
        </w:rPr>
        <w:t xml:space="preserve"> ، عَنْ إِسْمَاعِيلَ بْنِ مِهْرَانَ </w:t>
      </w:r>
      <w:r w:rsidRPr="007C12DB">
        <w:rPr>
          <w:rStyle w:val="libFootnotenumChar"/>
          <w:rtl/>
        </w:rPr>
        <w:t>(6)</w:t>
      </w:r>
      <w:r w:rsidRPr="005D642E">
        <w:rPr>
          <w:rtl/>
          <w:lang w:bidi="fa-IR"/>
        </w:rPr>
        <w:t xml:space="preserve">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لَمَّا </w:t>
      </w:r>
      <w:r w:rsidRPr="007C12DB">
        <w:rPr>
          <w:rStyle w:val="libFootnotenumChar"/>
          <w:rtl/>
        </w:rPr>
        <w:t>(7)</w:t>
      </w:r>
      <w:r w:rsidRPr="005D642E">
        <w:rPr>
          <w:rtl/>
          <w:lang w:bidi="fa-IR"/>
        </w:rPr>
        <w:t xml:space="preserve"> تُوُفِّيَ طَاهِرٌ ابْنُ رَسُولِ اللهِ </w:t>
      </w:r>
      <w:r w:rsidR="0042621E" w:rsidRPr="0042621E">
        <w:rPr>
          <w:rStyle w:val="libAlaemChar"/>
          <w:rtl/>
        </w:rPr>
        <w:t>صلى‌الله‌عليه‌وآله</w:t>
      </w:r>
      <w:r w:rsidRPr="005D642E">
        <w:rPr>
          <w:rtl/>
          <w:lang w:bidi="fa-IR"/>
        </w:rPr>
        <w:t xml:space="preserve"> ، نَهى </w:t>
      </w:r>
      <w:r w:rsidRPr="007C12DB">
        <w:rPr>
          <w:rStyle w:val="libFootnotenumChar"/>
          <w:rtl/>
        </w:rPr>
        <w:t>(8)</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خَدِيجَةَ عَنِ الْبُكَاءِ ، فَقَالَتْ : بَلى يَا رَسُولَ اللهِ ، وَلكِنْ دَرَّتْ عَلَيْهِ الدُّرَيْرَةُ فَبَكَيْتُ ، فَقَالَ </w:t>
      </w:r>
      <w:r w:rsidRPr="007C12DB">
        <w:rPr>
          <w:rStyle w:val="libFootnotenumChar"/>
          <w:rtl/>
        </w:rPr>
        <w:t>(9)</w:t>
      </w:r>
      <w:r>
        <w:rPr>
          <w:rtl/>
          <w:lang w:bidi="fa-IR"/>
        </w:rPr>
        <w:t xml:space="preserve"> : أَ</w:t>
      </w:r>
      <w:r w:rsidRPr="005D642E">
        <w:rPr>
          <w:rtl/>
          <w:lang w:bidi="fa-IR"/>
        </w:rPr>
        <w:t xml:space="preserve">مَا تَرْضَيْنَ أَنْ تَجِدِيهِ قَائِماً عَلى بَابِ الْجَنَّةِ ، فَإِذَا رَآكِ </w:t>
      </w:r>
      <w:r w:rsidRPr="007C12DB">
        <w:rPr>
          <w:rStyle w:val="libFootnotenumChar"/>
          <w:rtl/>
        </w:rPr>
        <w:t>(10)</w:t>
      </w:r>
      <w:r w:rsidRPr="005D642E">
        <w:rPr>
          <w:rtl/>
          <w:lang w:bidi="fa-IR"/>
        </w:rPr>
        <w:t xml:space="preserve"> أَخَذَ بِيَدِكِ ، فَأَدْخَلَكِ </w:t>
      </w:r>
      <w:r w:rsidRPr="007C12DB">
        <w:rPr>
          <w:rStyle w:val="libFootnotenumChar"/>
          <w:rtl/>
        </w:rPr>
        <w:t>(11)</w:t>
      </w:r>
      <w:r w:rsidRPr="005D642E">
        <w:rPr>
          <w:rtl/>
          <w:lang w:bidi="fa-IR"/>
        </w:rPr>
        <w:t xml:space="preserve"> </w:t>
      </w:r>
      <w:r w:rsidRPr="005D642E">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النسخ. وفي المطبوع : « حدّثنا</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547 ، ح 24620 ؛ </w:t>
      </w:r>
      <w:r w:rsidR="00E3253D" w:rsidRPr="002F4D34">
        <w:rPr>
          <w:rStyle w:val="libFootnoteBoldChar"/>
          <w:rtl/>
        </w:rPr>
        <w:t>الوسائل</w:t>
      </w:r>
      <w:r w:rsidR="00E3253D" w:rsidRPr="005D642E">
        <w:rPr>
          <w:rtl/>
        </w:rPr>
        <w:t xml:space="preserve"> ، ج 3 ، ص 244 ، ح 3524.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الضمير راجع إلى أحمد بن محمّد بن خالد المذكور في السند السابق.</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547 ، ح 24621 ؛ </w:t>
      </w:r>
      <w:r w:rsidR="00E3253D" w:rsidRPr="002F4D34">
        <w:rPr>
          <w:rStyle w:val="libFootnoteBoldChar"/>
          <w:rtl/>
        </w:rPr>
        <w:t>الوسائل</w:t>
      </w:r>
      <w:r w:rsidR="00E3253D" w:rsidRPr="005D642E">
        <w:rPr>
          <w:rtl/>
        </w:rPr>
        <w:t xml:space="preserve"> ، ج 3 ، ص 244 ، ح 3526.</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الضمير راجع إلى أحمد بن محمّد بن خالد. المذكور في السند السابق.</w:t>
      </w:r>
    </w:p>
    <w:p w:rsidR="00E3253D" w:rsidRDefault="0042621E" w:rsidP="00E3253D">
      <w:pPr>
        <w:pStyle w:val="libFootnote0"/>
        <w:rPr>
          <w:rtl/>
        </w:rPr>
      </w:pPr>
      <w:r w:rsidRPr="0042621E">
        <w:rPr>
          <w:rStyle w:val="libFootnote0Char"/>
          <w:rtl/>
        </w:rPr>
        <w:t>(6).</w:t>
      </w:r>
      <w:r w:rsidR="00E3253D" w:rsidRPr="005D642E">
        <w:rPr>
          <w:rtl/>
        </w:rPr>
        <w:t xml:space="preserve"> لم نجد رواية إسماعيل بن مهران عن عمرو بن شمر مباشرةً في موضع. والظاهر سقوط الواسطة من البين ، كما أنّ الظاهر بقرينة الخبرين المتقدّمين هو سيف بن عميرة.</w:t>
      </w:r>
    </w:p>
    <w:p w:rsidR="00E3253D" w:rsidRPr="005D642E" w:rsidRDefault="00E3253D" w:rsidP="00E3253D">
      <w:pPr>
        <w:pStyle w:val="libFootnote0"/>
        <w:rPr>
          <w:rtl/>
          <w:lang w:bidi="fa-IR"/>
        </w:rPr>
      </w:pPr>
      <w:r w:rsidRPr="005D642E">
        <w:rPr>
          <w:rtl/>
        </w:rPr>
        <w:t xml:space="preserve">وأمّا ما ورد في </w:t>
      </w:r>
      <w:r w:rsidRPr="002F4D34">
        <w:rPr>
          <w:rStyle w:val="libFootnoteBoldChar"/>
          <w:rtl/>
        </w:rPr>
        <w:t>الوسائل</w:t>
      </w:r>
      <w:r w:rsidRPr="005D642E">
        <w:rPr>
          <w:rtl/>
        </w:rPr>
        <w:t xml:space="preserve"> ، ج 3 ، ص 244 ، ح 3525 من نقل الخبر هكذا : « وبالإسناد عن سيف بن عميرة ، عن عمرو بن شمر</w:t>
      </w:r>
      <w:r>
        <w:rPr>
          <w:rtl/>
        </w:rPr>
        <w:t xml:space="preserve"> ..</w:t>
      </w:r>
      <w:r w:rsidRPr="005D642E">
        <w:rPr>
          <w:rtl/>
        </w:rPr>
        <w:t xml:space="preserve">. » ، فلا يمكن الاعتماد عليه في تصحيح المتن ؛ لإنّ احتمال سبق القلم بعد تبديل ألفاظ الأسناد ، وتخيّلَ اتّحاد طريق الخبرين 3524 </w:t>
      </w:r>
      <w:r>
        <w:rPr>
          <w:rtl/>
        </w:rPr>
        <w:t>و 3</w:t>
      </w:r>
      <w:r w:rsidRPr="005D642E">
        <w:rPr>
          <w:rtl/>
        </w:rPr>
        <w:t>525 قويّ.</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ى ، بخ ، بس ، بف ، جس » والوسائل والبحار :</w:t>
      </w:r>
      <w:r w:rsidR="00E3253D">
        <w:rPr>
          <w:rtl/>
        </w:rPr>
        <w:t xml:space="preserve"> </w:t>
      </w:r>
      <w:r w:rsidR="007642BC">
        <w:rPr>
          <w:rtl/>
        </w:rPr>
        <w:t>-</w:t>
      </w:r>
      <w:r w:rsidR="00E3253D">
        <w:rPr>
          <w:rtl/>
        </w:rPr>
        <w:t xml:space="preserve"> </w:t>
      </w:r>
      <w:r w:rsidR="00E4755A">
        <w:rPr>
          <w:rtl/>
        </w:rPr>
        <w:t>« لم</w:t>
      </w:r>
      <w:r w:rsidR="00E4755A">
        <w:rPr>
          <w:rFonts w:hint="cs"/>
          <w:rtl/>
        </w:rPr>
        <w:t>ـّ</w:t>
      </w:r>
      <w:r w:rsidR="00E3253D" w:rsidRPr="005D642E">
        <w:rPr>
          <w:rtl/>
        </w:rPr>
        <w:t>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بخ ، بف » وحاشية « بح ، جح » والوسائل والبحار : « فنهى</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بح ، بف ، جح ، جن » والبحار : + « لها</w:t>
      </w:r>
      <w:r w:rsidR="00E3253D">
        <w:rPr>
          <w:rtl/>
        </w:rPr>
        <w:t xml:space="preserve"> ».</w:t>
      </w:r>
      <w:r w:rsidR="00E3253D" w:rsidRPr="005D642E">
        <w:rPr>
          <w:rtl/>
        </w:rPr>
        <w:t xml:space="preserve"> وفي « بخ » : + « لها رسول الله </w:t>
      </w:r>
      <w:r w:rsidRPr="00E4755A">
        <w:rPr>
          <w:rStyle w:val="libFootnoteAlaemChar"/>
          <w:rtl/>
        </w:rPr>
        <w:t>صلى‌الله‌عليه‌وآله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4755A" w:rsidTr="00E4755A">
        <w:tc>
          <w:tcPr>
            <w:tcW w:w="4006" w:type="dxa"/>
          </w:tcPr>
          <w:p w:rsidR="00E4755A" w:rsidRDefault="00E4755A" w:rsidP="00E3253D">
            <w:pPr>
              <w:pStyle w:val="libFootnote0"/>
              <w:rPr>
                <w:rStyle w:val="libFootnote0Char"/>
                <w:rtl/>
              </w:rPr>
            </w:pPr>
            <w:r w:rsidRPr="0042621E">
              <w:rPr>
                <w:rStyle w:val="libFootnote0Char"/>
                <w:rtl/>
              </w:rPr>
              <w:t>(10).</w:t>
            </w:r>
            <w:r w:rsidRPr="005D642E">
              <w:rPr>
                <w:rtl/>
              </w:rPr>
              <w:t xml:space="preserve"> في « بخ » والمطبوع : « أراك</w:t>
            </w:r>
            <w:r>
              <w:rPr>
                <w:rtl/>
              </w:rPr>
              <w:t xml:space="preserve"> ».</w:t>
            </w:r>
          </w:p>
        </w:tc>
        <w:tc>
          <w:tcPr>
            <w:tcW w:w="4006" w:type="dxa"/>
          </w:tcPr>
          <w:p w:rsidR="00E4755A" w:rsidRDefault="00E4755A" w:rsidP="00E3253D">
            <w:pPr>
              <w:pStyle w:val="libFootnote0"/>
              <w:rPr>
                <w:rStyle w:val="libFootnote0Char"/>
                <w:rtl/>
              </w:rPr>
            </w:pPr>
            <w:r w:rsidRPr="0042621E">
              <w:rPr>
                <w:rStyle w:val="libFootnote0Char"/>
                <w:rtl/>
              </w:rPr>
              <w:t>(11).</w:t>
            </w:r>
            <w:r w:rsidRPr="005D642E">
              <w:rPr>
                <w:rtl/>
              </w:rPr>
              <w:t xml:space="preserve"> في « بخ ، بف » : « وأدخلك</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الْجَنَّةَ </w:t>
      </w:r>
      <w:r w:rsidRPr="007C12DB">
        <w:rPr>
          <w:rStyle w:val="libFootnotenumChar"/>
          <w:rtl/>
        </w:rPr>
        <w:t>(1)</w:t>
      </w:r>
      <w:r w:rsidRPr="005D642E">
        <w:rPr>
          <w:rtl/>
          <w:lang w:bidi="fa-IR"/>
        </w:rPr>
        <w:t xml:space="preserve"> أَطْهَرَهَا مَكَاناً وَأَطْيَبَهَا</w:t>
      </w:r>
      <w:r>
        <w:rPr>
          <w:rtl/>
          <w:lang w:bidi="fa-IR"/>
        </w:rPr>
        <w:t>؟</w:t>
      </w:r>
      <w:r w:rsidRPr="005D642E">
        <w:rPr>
          <w:rtl/>
          <w:lang w:bidi="fa-IR"/>
        </w:rPr>
        <w:t xml:space="preserve"> قَالَتْ : وَإِنَّ ذلِكَ </w:t>
      </w:r>
      <w:r w:rsidRPr="007C12DB">
        <w:rPr>
          <w:rStyle w:val="libFootnotenumChar"/>
          <w:rtl/>
        </w:rPr>
        <w:t>(2)</w:t>
      </w:r>
      <w:r w:rsidRPr="005D642E">
        <w:rPr>
          <w:rtl/>
          <w:lang w:bidi="fa-IR"/>
        </w:rPr>
        <w:t xml:space="preserve"> كَذلِكَ</w:t>
      </w:r>
      <w:r>
        <w:rPr>
          <w:rtl/>
          <w:lang w:bidi="fa-IR"/>
        </w:rPr>
        <w:t>؟</w:t>
      </w:r>
      <w:r w:rsidRPr="005D642E">
        <w:rPr>
          <w:rtl/>
          <w:lang w:bidi="fa-IR"/>
        </w:rPr>
        <w:t xml:space="preserve"> قَالَ </w:t>
      </w:r>
      <w:r w:rsidRPr="007C12DB">
        <w:rPr>
          <w:rStyle w:val="libFootnotenumChar"/>
          <w:rtl/>
        </w:rPr>
        <w:t>(3)</w:t>
      </w:r>
      <w:r w:rsidRPr="005D642E">
        <w:rPr>
          <w:rtl/>
          <w:lang w:bidi="fa-IR"/>
        </w:rPr>
        <w:t xml:space="preserve"> : اللهُ أَعَزُّ وَأَكْرَمُ </w:t>
      </w:r>
      <w:r w:rsidRPr="007C12DB">
        <w:rPr>
          <w:rStyle w:val="libFootnotenumChar"/>
          <w:rtl/>
        </w:rPr>
        <w:t>(4)</w:t>
      </w:r>
      <w:r w:rsidRPr="005D642E">
        <w:rPr>
          <w:rtl/>
          <w:lang w:bidi="fa-IR"/>
        </w:rPr>
        <w:t xml:space="preserve"> مِنْ أَنْ يَسْلُبَ عَبْداً ثَمَرَةَ فُؤَادِهِ ، فَيَصْبِرَ ، وَيَحْتَسِبَ ، وَيَحْمَدَ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ثُمَّ يُعَذِّبَهُ</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4755A" w:rsidRDefault="00E3253D" w:rsidP="00E4755A">
      <w:pPr>
        <w:pStyle w:val="libNormal"/>
        <w:rPr>
          <w:rtl/>
          <w:lang w:bidi="fa-IR"/>
        </w:rPr>
      </w:pPr>
      <w:r w:rsidRPr="003E0510">
        <w:rPr>
          <w:rtl/>
        </w:rPr>
        <w:t>4645</w:t>
      </w:r>
      <w:r w:rsidRPr="00246318">
        <w:rPr>
          <w:rStyle w:val="libBold2Char"/>
          <w:rtl/>
        </w:rPr>
        <w:t xml:space="preserve"> / 8.</w:t>
      </w:r>
      <w:r w:rsidRPr="005D642E">
        <w:rPr>
          <w:rtl/>
          <w:lang w:bidi="fa-IR"/>
        </w:rPr>
        <w:t xml:space="preserve"> عَلِيُّ بْنُ إِبْرَاهِيمَ ، عَنْ أَبِيهِ ؛</w:t>
      </w:r>
    </w:p>
    <w:p w:rsidR="00E3253D" w:rsidRPr="005D642E" w:rsidRDefault="00312BD7" w:rsidP="00E4755A">
      <w:pPr>
        <w:pStyle w:val="libNormal"/>
        <w:rPr>
          <w:rtl/>
          <w:lang w:bidi="fa-IR"/>
        </w:rPr>
      </w:pPr>
      <w:r>
        <w:rPr>
          <w:rFonts w:hint="cs"/>
          <w:rtl/>
          <w:lang w:bidi="fa-IR"/>
        </w:rPr>
        <w:t xml:space="preserve">           </w:t>
      </w:r>
      <w:r w:rsidR="00E4755A">
        <w:rPr>
          <w:rFonts w:hint="cs"/>
          <w:rtl/>
          <w:lang w:bidi="fa-IR"/>
        </w:rPr>
        <w:t xml:space="preserve">  </w:t>
      </w:r>
      <w:r w:rsidR="00E3253D" w:rsidRPr="005D642E">
        <w:rPr>
          <w:rtl/>
          <w:lang w:bidi="fa-IR"/>
        </w:rPr>
        <w:t>وَمُحَمَّدُ بْنُ إِسْمَاعِيلَ ، عَنِ الْفَضْلِ بْنِ شَاذَانَ جَمِيعاً ، عَنِ ابْنِ أَبِي عُمَيْرٍ ، عَنِ ابْنِ بُكَيْرٍ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ثَوَابُ الْمُؤْمِنِ مِنْ وَلَدِهِ</w:t>
      </w:r>
      <w:r>
        <w:rPr>
          <w:rtl/>
          <w:lang w:bidi="fa-IR"/>
        </w:rPr>
        <w:t xml:space="preserve"> </w:t>
      </w:r>
      <w:r w:rsidR="007642BC">
        <w:rPr>
          <w:rtl/>
          <w:lang w:bidi="fa-IR"/>
        </w:rPr>
        <w:t>-</w:t>
      </w:r>
      <w:r>
        <w:rPr>
          <w:rtl/>
          <w:lang w:bidi="fa-IR"/>
        </w:rPr>
        <w:t xml:space="preserve"> </w:t>
      </w:r>
      <w:r w:rsidRPr="005D642E">
        <w:rPr>
          <w:rtl/>
          <w:lang w:bidi="fa-IR"/>
        </w:rPr>
        <w:t>إِذَا مَاتَ</w:t>
      </w:r>
      <w:r>
        <w:rPr>
          <w:rtl/>
          <w:lang w:bidi="fa-IR"/>
        </w:rPr>
        <w:t xml:space="preserve"> </w:t>
      </w:r>
      <w:r w:rsidR="007642BC">
        <w:rPr>
          <w:rtl/>
          <w:lang w:bidi="fa-IR"/>
        </w:rPr>
        <w:t>-</w:t>
      </w:r>
      <w:r>
        <w:rPr>
          <w:rtl/>
          <w:lang w:bidi="fa-IR"/>
        </w:rPr>
        <w:t xml:space="preserve"> </w:t>
      </w:r>
      <w:r w:rsidRPr="005D642E">
        <w:rPr>
          <w:rtl/>
          <w:lang w:bidi="fa-IR"/>
        </w:rPr>
        <w:t>الْجَنَّةُ ، صَبَرَ أَوْ لَمْ يَصْبِرْ</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3E0510">
        <w:rPr>
          <w:rtl/>
        </w:rPr>
        <w:t>4646</w:t>
      </w:r>
      <w:r w:rsidRPr="00246318">
        <w:rPr>
          <w:rStyle w:val="libBold2Char"/>
          <w:rtl/>
        </w:rPr>
        <w:t xml:space="preserve"> / 9.</w:t>
      </w:r>
      <w:r w:rsidRPr="005D642E">
        <w:rPr>
          <w:rtl/>
          <w:lang w:bidi="fa-IR"/>
        </w:rPr>
        <w:t xml:space="preserve"> ابْنُ أَبِي عُمَيْرٍ </w:t>
      </w:r>
      <w:r w:rsidRPr="007C12DB">
        <w:rPr>
          <w:rStyle w:val="libFootnotenumChar"/>
          <w:rtl/>
        </w:rPr>
        <w:t>(7)</w:t>
      </w:r>
      <w:r w:rsidRPr="005D642E">
        <w:rPr>
          <w:rtl/>
          <w:lang w:bidi="fa-IR"/>
        </w:rPr>
        <w:t xml:space="preserve"> ، عَنْ عَبْدِ الرَّحْمنِ بْنِ الْحَجَّاجِ :</w:t>
      </w:r>
    </w:p>
    <w:p w:rsidR="00E3253D" w:rsidRPr="005D642E" w:rsidRDefault="00E3253D" w:rsidP="001F7EDD">
      <w:pPr>
        <w:pStyle w:val="libNormal"/>
        <w:rPr>
          <w:rtl/>
          <w:lang w:bidi="fa-IR"/>
        </w:rPr>
      </w:pPr>
      <w:r w:rsidRPr="005D642E">
        <w:rPr>
          <w:rtl/>
          <w:lang w:bidi="fa-IR"/>
        </w:rPr>
        <w:t xml:space="preserve">عَنْ أَبِي عَبْدِ اللهِ أَوْ </w:t>
      </w:r>
      <w:r w:rsidRPr="007C12DB">
        <w:rPr>
          <w:rStyle w:val="libFootnotenumChar"/>
          <w:rtl/>
        </w:rPr>
        <w:t>(8)</w:t>
      </w:r>
      <w:r w:rsidRPr="005D642E">
        <w:rPr>
          <w:rtl/>
          <w:lang w:bidi="fa-IR"/>
        </w:rPr>
        <w:t xml:space="preserve"> أَبِي الْحَسَنِ </w:t>
      </w:r>
      <w:r w:rsidR="001F7EDD" w:rsidRPr="001F7EDD">
        <w:rPr>
          <w:rStyle w:val="libAlaemChar"/>
          <w:rFonts w:eastAsiaTheme="minorHAnsi"/>
          <w:rtl/>
        </w:rPr>
        <w:t>عليهما‌السلام</w:t>
      </w:r>
      <w:r w:rsidR="001F7EDD" w:rsidRPr="005D642E">
        <w:rPr>
          <w:rtl/>
          <w:lang w:bidi="fa-IR"/>
        </w:rPr>
        <w:t xml:space="preserve"> </w:t>
      </w:r>
      <w:r w:rsidRPr="005D642E">
        <w:rPr>
          <w:rtl/>
          <w:lang w:bidi="fa-IR"/>
        </w:rPr>
        <w:t xml:space="preserve">، قَالَ </w:t>
      </w:r>
      <w:r w:rsidRPr="007C12DB">
        <w:rPr>
          <w:rStyle w:val="libFootnotenumChar"/>
          <w:rtl/>
        </w:rPr>
        <w:t>(9)</w:t>
      </w:r>
      <w:r w:rsidRPr="005D642E">
        <w:rPr>
          <w:rtl/>
          <w:lang w:bidi="fa-IR"/>
        </w:rPr>
        <w:t xml:space="preserve"> : « 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لَيَعْجَبُ مِنْ رَجُلٍ </w:t>
      </w:r>
      <w:r w:rsidRPr="007C12DB">
        <w:rPr>
          <w:rStyle w:val="libFootnotenumChar"/>
          <w:rtl/>
        </w:rPr>
        <w:t>(10)</w:t>
      </w:r>
      <w:r w:rsidRPr="005D642E">
        <w:rPr>
          <w:rtl/>
          <w:lang w:bidi="fa-IR"/>
        </w:rPr>
        <w:t xml:space="preserve"> يَمُوتُ وَلَدُهُ وَهُوَ يَحْمَدُ اللهَ ، فَيَقُولُ : يَا مَلَائِكَتِي ، عَبْدِي أَخَذْتُ نَفْسَهُ وَهُوَ</w:t>
      </w:r>
      <w:r>
        <w:rPr>
          <w:rFonts w:hint="cs"/>
          <w:rtl/>
          <w:lang w:bidi="fa-IR"/>
        </w:rPr>
        <w:t xml:space="preserve"> </w:t>
      </w:r>
      <w:r w:rsidRPr="005D642E">
        <w:rPr>
          <w:rtl/>
          <w:lang w:bidi="fa-IR"/>
        </w:rPr>
        <w:t>يَحْمَدُنِي</w:t>
      </w:r>
      <w:r>
        <w:rPr>
          <w:rtl/>
          <w:lang w:bidi="fa-IR"/>
        </w:rPr>
        <w:t>».</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3E0510">
        <w:rPr>
          <w:rtl/>
        </w:rPr>
        <w:t>4647</w:t>
      </w:r>
      <w:r w:rsidRPr="00246318">
        <w:rPr>
          <w:rStyle w:val="libBold2Char"/>
          <w:rtl/>
        </w:rPr>
        <w:t xml:space="preserve"> / 10.</w:t>
      </w:r>
      <w:r w:rsidRPr="005D642E">
        <w:rPr>
          <w:rtl/>
          <w:lang w:bidi="fa-IR"/>
        </w:rPr>
        <w:t xml:space="preserve"> مُحَمَّدُ بْنُ يَحْيى ، عَنْ سَلَمَةَ بْنِ الْخَطَّابِ ، عَنْ عَلِيِّ بْنِ سَيْفٍ ، عَنْ أَبِيهِ ، عَنْ عَمْرِو بْنِ شِمْرٍ ، عَنْ جَابِرٍ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بخ ، بس ، بف ، جح ، جس » والبحار :</w:t>
      </w:r>
      <w:r w:rsidR="00E3253D">
        <w:rPr>
          <w:rtl/>
        </w:rPr>
        <w:t xml:space="preserve"> </w:t>
      </w:r>
      <w:r w:rsidR="007642BC">
        <w:rPr>
          <w:rtl/>
        </w:rPr>
        <w:t>-</w:t>
      </w:r>
      <w:r w:rsidR="00E3253D">
        <w:rPr>
          <w:rtl/>
        </w:rPr>
        <w:t xml:space="preserve"> </w:t>
      </w:r>
      <w:r w:rsidR="00E3253D" w:rsidRPr="005D642E">
        <w:rPr>
          <w:rtl/>
        </w:rPr>
        <w:t>« الجنّة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4755A" w:rsidTr="00E4755A">
        <w:tc>
          <w:tcPr>
            <w:tcW w:w="4006" w:type="dxa"/>
          </w:tcPr>
          <w:p w:rsidR="00E4755A" w:rsidRDefault="00E4755A" w:rsidP="00E3253D">
            <w:pPr>
              <w:pStyle w:val="libFootnote0"/>
              <w:rPr>
                <w:rStyle w:val="libFootnote0Char"/>
                <w:rtl/>
              </w:rPr>
            </w:pPr>
            <w:r w:rsidRPr="0042621E">
              <w:rPr>
                <w:rStyle w:val="libFootnote0Char"/>
                <w:rtl/>
              </w:rPr>
              <w:t>(2).</w:t>
            </w:r>
            <w:r w:rsidRPr="005D642E">
              <w:rPr>
                <w:rtl/>
              </w:rPr>
              <w:t xml:space="preserve"> في « بث ، بف » : « ذاك</w:t>
            </w:r>
            <w:r>
              <w:rPr>
                <w:rtl/>
              </w:rPr>
              <w:t xml:space="preserve"> ».</w:t>
            </w:r>
          </w:p>
        </w:tc>
        <w:tc>
          <w:tcPr>
            <w:tcW w:w="4006" w:type="dxa"/>
          </w:tcPr>
          <w:p w:rsidR="00E4755A" w:rsidRDefault="00E4755A" w:rsidP="00E3253D">
            <w:pPr>
              <w:pStyle w:val="libFootnote0"/>
              <w:rPr>
                <w:rStyle w:val="libFootnote0Char"/>
                <w:rtl/>
              </w:rPr>
            </w:pPr>
            <w:r w:rsidRPr="0042621E">
              <w:rPr>
                <w:rStyle w:val="libFootnote0Char"/>
                <w:rtl/>
              </w:rPr>
              <w:t>(3).</w:t>
            </w:r>
            <w:r w:rsidRPr="005D642E">
              <w:rPr>
                <w:rtl/>
              </w:rPr>
              <w:t xml:space="preserve"> في « بث ، بخ » والبحار : « فإنّ</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عزّوجلّ » بدل « أعزّ وأكرم</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25 ، ص 547 ، ح 24622 ؛ </w:t>
      </w:r>
      <w:r w:rsidR="00E3253D" w:rsidRPr="002F4D34">
        <w:rPr>
          <w:rStyle w:val="libFootnoteBoldChar"/>
          <w:rtl/>
        </w:rPr>
        <w:t>الوسائل</w:t>
      </w:r>
      <w:r w:rsidR="00E3253D" w:rsidRPr="005D642E">
        <w:rPr>
          <w:rtl/>
        </w:rPr>
        <w:t xml:space="preserve"> ، ج 3 ، ص 244 ، ح 3525.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الفقيه</w:t>
      </w:r>
      <w:r w:rsidR="00E3253D" w:rsidRPr="005D642E">
        <w:rPr>
          <w:rtl/>
        </w:rPr>
        <w:t xml:space="preserve"> ، ج 1 ، ص 176 ، ح 518 ، مرسلاً. </w:t>
      </w:r>
      <w:r w:rsidR="00E3253D" w:rsidRPr="002F4D34">
        <w:rPr>
          <w:rStyle w:val="libFootnoteBoldChar"/>
          <w:rtl/>
        </w:rPr>
        <w:t>وفيه</w:t>
      </w:r>
      <w:r w:rsidR="00E3253D" w:rsidRPr="005D642E">
        <w:rPr>
          <w:rtl/>
        </w:rPr>
        <w:t xml:space="preserve"> ، ح 517 ، مرسلاً ، مع اختلاف </w:t>
      </w:r>
      <w:r w:rsidR="00B45EB0">
        <w:rPr>
          <w:rFonts w:hint="cs"/>
          <w:rtl/>
        </w:rPr>
        <w:t>.</w:t>
      </w:r>
      <w:r w:rsidR="00E3253D" w:rsidRPr="002F4D34">
        <w:rPr>
          <w:rStyle w:val="libFootnoteBoldChar"/>
          <w:rtl/>
        </w:rPr>
        <w:t>الوافي</w:t>
      </w:r>
      <w:r w:rsidR="00E3253D" w:rsidRPr="005D642E">
        <w:rPr>
          <w:rtl/>
        </w:rPr>
        <w:t xml:space="preserve"> ، ج 25 ، ص 547 ، ح 24623 ؛ </w:t>
      </w:r>
      <w:r w:rsidR="00E3253D" w:rsidRPr="002F4D34">
        <w:rPr>
          <w:rStyle w:val="libFootnoteBoldChar"/>
          <w:rtl/>
        </w:rPr>
        <w:t>الوسائل</w:t>
      </w:r>
      <w:r w:rsidR="00E3253D" w:rsidRPr="005D642E">
        <w:rPr>
          <w:rtl/>
        </w:rPr>
        <w:t xml:space="preserve"> ، ج 3 ، ص 244 ، ح 3527.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السند معلّق على سابقه ، فينسحب إليه الطريقان المتقدّمان إلى ابن أبي عمير.</w:t>
      </w:r>
    </w:p>
    <w:tbl>
      <w:tblPr>
        <w:tblStyle w:val="TableGrid"/>
        <w:bidiVisual/>
        <w:tblW w:w="0" w:type="auto"/>
        <w:tblLook w:val="04A0" w:firstRow="1" w:lastRow="0" w:firstColumn="1" w:lastColumn="0" w:noHBand="0" w:noVBand="1"/>
      </w:tblPr>
      <w:tblGrid>
        <w:gridCol w:w="4006"/>
        <w:gridCol w:w="4006"/>
      </w:tblGrid>
      <w:tr w:rsidR="00B45EB0" w:rsidTr="00B45EB0">
        <w:tc>
          <w:tcPr>
            <w:tcW w:w="4006" w:type="dxa"/>
          </w:tcPr>
          <w:p w:rsidR="00B45EB0" w:rsidRDefault="00B45EB0" w:rsidP="00E3253D">
            <w:pPr>
              <w:pStyle w:val="libFootnote0"/>
              <w:rPr>
                <w:rStyle w:val="libFootnote0Char"/>
                <w:rtl/>
              </w:rPr>
            </w:pPr>
            <w:r w:rsidRPr="0042621E">
              <w:rPr>
                <w:rStyle w:val="libFootnote0Char"/>
                <w:rtl/>
              </w:rPr>
              <w:t>(8).</w:t>
            </w:r>
            <w:r w:rsidRPr="005D642E">
              <w:rPr>
                <w:rtl/>
              </w:rPr>
              <w:t xml:space="preserve"> في « ى » والوسائل : « </w:t>
            </w:r>
            <w:r>
              <w:rPr>
                <w:rtl/>
              </w:rPr>
              <w:t>و ».</w:t>
            </w:r>
          </w:p>
        </w:tc>
        <w:tc>
          <w:tcPr>
            <w:tcW w:w="4006" w:type="dxa"/>
          </w:tcPr>
          <w:p w:rsidR="00B45EB0" w:rsidRDefault="00B45EB0" w:rsidP="00E3253D">
            <w:pPr>
              <w:pStyle w:val="libFootnote0"/>
              <w:rPr>
                <w:rStyle w:val="libFootnote0Char"/>
                <w:rtl/>
              </w:rPr>
            </w:pPr>
            <w:r w:rsidRPr="0042621E">
              <w:rPr>
                <w:rStyle w:val="libFootnote0Char"/>
                <w:rtl/>
              </w:rPr>
              <w:t>(9).</w:t>
            </w:r>
            <w:r w:rsidRPr="005D642E">
              <w:rPr>
                <w:rtl/>
              </w:rPr>
              <w:t xml:space="preserve"> في الوسائل : « قالا</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جميع النسخ التي قوبلت والوسائل. وفي المطبوع </w:t>
      </w:r>
      <w:r w:rsidR="000D749A" w:rsidRPr="000D749A">
        <w:rPr>
          <w:rStyle w:val="libFootnoteBoldChar"/>
          <w:rtl/>
        </w:rPr>
        <w:t>والوافي</w:t>
      </w:r>
      <w:r w:rsidR="00E3253D" w:rsidRPr="005D642E">
        <w:rPr>
          <w:rtl/>
        </w:rPr>
        <w:t xml:space="preserve"> : « من الرجل</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الوافي</w:t>
      </w:r>
      <w:r w:rsidR="00E3253D" w:rsidRPr="005D642E">
        <w:rPr>
          <w:rtl/>
        </w:rPr>
        <w:t xml:space="preserve"> ، ج 25 ، ص 548 ، ح 24624 ؛ </w:t>
      </w:r>
      <w:r w:rsidR="00E3253D" w:rsidRPr="002F4D34">
        <w:rPr>
          <w:rStyle w:val="libFootnoteBoldChar"/>
          <w:rtl/>
        </w:rPr>
        <w:t>الوسائل</w:t>
      </w:r>
      <w:r w:rsidR="00E3253D" w:rsidRPr="005D642E">
        <w:rPr>
          <w:rtl/>
        </w:rPr>
        <w:t xml:space="preserve"> ، ج 3 ، ص 247 ، ح 3534.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مَنْ قَدَّمَ أَوْلَاداً يَحْتَسِبُهُمْ عِنْدَ اللهِ عَزَّ وَجَلَّ ، حَجَبُوهُ مِنَ النَّارِ بِإِذْنِ اللهِ عَزَّ وَجَلَّ</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Heading2Center"/>
        <w:rPr>
          <w:rtl/>
          <w:lang w:bidi="fa-IR"/>
        </w:rPr>
      </w:pPr>
      <w:bookmarkStart w:id="503" w:name="_Toc344647379"/>
      <w:bookmarkStart w:id="504" w:name="_Toc462226893"/>
      <w:bookmarkStart w:id="505" w:name="_Toc40976001"/>
      <w:r w:rsidRPr="005D642E">
        <w:rPr>
          <w:rtl/>
          <w:lang w:bidi="fa-IR"/>
        </w:rPr>
        <w:t>81</w:t>
      </w:r>
      <w:r>
        <w:rPr>
          <w:rtl/>
          <w:lang w:bidi="fa-IR"/>
        </w:rPr>
        <w:t xml:space="preserve"> </w:t>
      </w:r>
      <w:r w:rsidR="007642BC">
        <w:rPr>
          <w:rtl/>
          <w:lang w:bidi="fa-IR"/>
        </w:rPr>
        <w:t>-</w:t>
      </w:r>
      <w:r>
        <w:rPr>
          <w:rtl/>
          <w:lang w:bidi="fa-IR"/>
        </w:rPr>
        <w:t xml:space="preserve"> </w:t>
      </w:r>
      <w:r w:rsidRPr="005D642E">
        <w:rPr>
          <w:rtl/>
          <w:lang w:bidi="fa-IR"/>
        </w:rPr>
        <w:t>بَابُ التَّعَزِّي‌</w:t>
      </w:r>
      <w:bookmarkEnd w:id="503"/>
      <w:bookmarkEnd w:id="504"/>
      <w:bookmarkEnd w:id="505"/>
    </w:p>
    <w:p w:rsidR="00E3253D" w:rsidRPr="005D642E" w:rsidRDefault="00E3253D" w:rsidP="00E3253D">
      <w:pPr>
        <w:pStyle w:val="libNormal"/>
        <w:rPr>
          <w:rtl/>
          <w:lang w:bidi="fa-IR"/>
        </w:rPr>
      </w:pPr>
      <w:r w:rsidRPr="00C24A4C">
        <w:rPr>
          <w:rtl/>
        </w:rPr>
        <w:t>4648</w:t>
      </w:r>
      <w:r w:rsidRPr="00246318">
        <w:rPr>
          <w:rStyle w:val="libBold2Char"/>
          <w:rtl/>
        </w:rPr>
        <w:t xml:space="preserve"> / 1.</w:t>
      </w:r>
      <w:r w:rsidRPr="005D642E">
        <w:rPr>
          <w:rtl/>
          <w:lang w:bidi="fa-IR"/>
        </w:rPr>
        <w:t xml:space="preserve"> عِدَّةٌ مِنْ أَصْحَابِنَا ، عَنْ سَهْلِ بْنِ زِيَادٍ ، عَنْ عَلِيِّ بْنِ الْحَكَمِ ، عَنْ سُلَيْمَانَ بْنِ عَمْرٍو النَّخَعِيِّ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أُصِيبَ بِمُصِيبَةٍ ، فَلْيَذْكُرْ مُصَابَهُ بِالنَّبِيِّ </w:t>
      </w:r>
      <w:r w:rsidR="0042621E" w:rsidRPr="0042621E">
        <w:rPr>
          <w:rStyle w:val="libAlaemChar"/>
          <w:rtl/>
        </w:rPr>
        <w:t>صلى‌الله‌عليه‌وآله</w:t>
      </w:r>
      <w:r w:rsidRPr="005D642E">
        <w:rPr>
          <w:rtl/>
          <w:lang w:bidi="fa-IR"/>
        </w:rPr>
        <w:t xml:space="preserve"> ؛ فَإِنَّهُ </w:t>
      </w:r>
      <w:r w:rsidRPr="007C12DB">
        <w:rPr>
          <w:rStyle w:val="libFootnotenumChar"/>
          <w:rtl/>
        </w:rPr>
        <w:t>(2)</w:t>
      </w:r>
      <w:r w:rsidRPr="005D642E">
        <w:rPr>
          <w:rtl/>
          <w:lang w:bidi="fa-IR"/>
        </w:rPr>
        <w:t xml:space="preserve"> مِنْ </w:t>
      </w:r>
      <w:r w:rsidRPr="007C12DB">
        <w:rPr>
          <w:rStyle w:val="libFootnotenumChar"/>
          <w:rtl/>
        </w:rPr>
        <w:t>(3)</w:t>
      </w:r>
      <w:r w:rsidRPr="005D642E">
        <w:rPr>
          <w:rtl/>
          <w:lang w:bidi="fa-IR"/>
        </w:rPr>
        <w:t xml:space="preserve"> أَعْظَمِ الْمَصَائِبِ</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C24A4C">
        <w:rPr>
          <w:rtl/>
        </w:rPr>
        <w:t>4649</w:t>
      </w:r>
      <w:r w:rsidRPr="00246318">
        <w:rPr>
          <w:rStyle w:val="libBold2Char"/>
          <w:rtl/>
        </w:rPr>
        <w:t xml:space="preserve"> / 2.</w:t>
      </w:r>
      <w:r w:rsidRPr="005D642E">
        <w:rPr>
          <w:rtl/>
          <w:lang w:bidi="fa-IR"/>
        </w:rPr>
        <w:t xml:space="preserve"> مُحَمَّدُ بْنُ يَحْيى ، عَنْ أَحْمَدَ بْنِ مُحَمَّدِ بْنِ عِيسى ، عَنْ مُحَمَّدِ بْنِ سِنَانٍ ، عَنْ عَمَّارِ بْنِ مَرْوَانَ ، عَنْ زَيْدٍ الشَّحَّامِ ، عَنْ عَمْرِو بْنِ سَعِيدٍ الثَّقَفِيِّ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قَالَ </w:t>
      </w:r>
      <w:r w:rsidRPr="007C12DB">
        <w:rPr>
          <w:rStyle w:val="libFootnotenumChar"/>
          <w:rtl/>
        </w:rPr>
        <w:t>(5)</w:t>
      </w:r>
      <w:r w:rsidRPr="005D642E">
        <w:rPr>
          <w:rtl/>
          <w:lang w:bidi="fa-IR"/>
        </w:rPr>
        <w:t xml:space="preserve"> : « إِنْ أُصِبْتَ بِمُصِيبَةٍ فِي نَفْسِكَ ، أَوْ فِي </w:t>
      </w:r>
      <w:r w:rsidRPr="007C12DB">
        <w:rPr>
          <w:rStyle w:val="libFootnotenumChar"/>
          <w:rtl/>
        </w:rPr>
        <w:t>(6)</w:t>
      </w:r>
      <w:r w:rsidRPr="005D642E">
        <w:rPr>
          <w:rtl/>
          <w:lang w:bidi="fa-IR"/>
        </w:rPr>
        <w:t xml:space="preserve"> مَالِكَ ، أَوْ فِي </w:t>
      </w:r>
      <w:r w:rsidRPr="007C12DB">
        <w:rPr>
          <w:rStyle w:val="libFootnotenumChar"/>
          <w:rtl/>
        </w:rPr>
        <w:t>(7)</w:t>
      </w:r>
      <w:r w:rsidRPr="005D642E">
        <w:rPr>
          <w:rtl/>
          <w:lang w:bidi="fa-IR"/>
        </w:rPr>
        <w:t xml:space="preserve"> وُلْدِكَ ، فَاذْكُرْ مُصَابَكَ بِرَسُولِ اللهِ </w:t>
      </w:r>
      <w:r w:rsidR="0042621E" w:rsidRPr="0042621E">
        <w:rPr>
          <w:rStyle w:val="libAlaemChar"/>
          <w:rtl/>
        </w:rPr>
        <w:t>صلى‌الله‌عليه‌وآله</w:t>
      </w:r>
      <w:r w:rsidRPr="005D642E">
        <w:rPr>
          <w:rtl/>
          <w:lang w:bidi="fa-IR"/>
        </w:rPr>
        <w:t xml:space="preserve"> ؛ فَإِنَّ الْخَلَائِقَ لَمْ يُصَابُوا بِمِثْلِهِ قَطُّ</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C24A4C">
        <w:rPr>
          <w:rtl/>
        </w:rPr>
        <w:t>4650</w:t>
      </w:r>
      <w:r w:rsidRPr="00246318">
        <w:rPr>
          <w:rStyle w:val="libBold2Char"/>
          <w:rtl/>
        </w:rPr>
        <w:t xml:space="preserve"> / 3.</w:t>
      </w:r>
      <w:r w:rsidRPr="005D642E">
        <w:rPr>
          <w:rtl/>
          <w:lang w:bidi="fa-IR"/>
        </w:rPr>
        <w:t xml:space="preserve"> عِدَّةٌ مِنْ أَصْحَابِنَا ، عَنْ أَحْمَدَ بْنِ مُحَمَّدِ بْنِ خَالِدٍ ، عَنْ إِسْمَاعِيلَ بْنِ مِهْرَانَ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0D749A" w:rsidRPr="000D749A">
        <w:rPr>
          <w:rStyle w:val="libFootnoteBoldChar"/>
          <w:rtl/>
        </w:rPr>
        <w:t>الأمالي للصدوق</w:t>
      </w:r>
      <w:r w:rsidR="00E3253D" w:rsidRPr="005D642E">
        <w:rPr>
          <w:rtl/>
        </w:rPr>
        <w:t xml:space="preserve"> ، ص 541 ، المجلس 80 ، ح 6 ؛ </w:t>
      </w:r>
      <w:r w:rsidR="00E3253D" w:rsidRPr="00463E20">
        <w:rPr>
          <w:rStyle w:val="libFootnoteBoldChar"/>
          <w:rtl/>
        </w:rPr>
        <w:t>وث</w:t>
      </w:r>
      <w:r w:rsidR="00E3253D" w:rsidRPr="002F4D34">
        <w:rPr>
          <w:rStyle w:val="libFootnoteBoldChar"/>
          <w:rtl/>
        </w:rPr>
        <w:t>واب الأعمال</w:t>
      </w:r>
      <w:r w:rsidR="00E3253D" w:rsidRPr="005D642E">
        <w:rPr>
          <w:rtl/>
        </w:rPr>
        <w:t xml:space="preserve"> ، ص 233 ، ح 1 ، بسندهما عن عليّ بن سيف ، عن أخيه الحسين ، عن أبيه سيف بن عميرة ، عن عمرو بن شمر. </w:t>
      </w:r>
      <w:r w:rsidR="00E3253D" w:rsidRPr="002F4D34">
        <w:rPr>
          <w:rStyle w:val="libFootnoteBoldChar"/>
          <w:rtl/>
        </w:rPr>
        <w:t>الفقيه</w:t>
      </w:r>
      <w:r w:rsidR="00E3253D" w:rsidRPr="005D642E">
        <w:rPr>
          <w:rtl/>
        </w:rPr>
        <w:t xml:space="preserve"> ، ج 1 ، ص 188 ، ح 574 ، مرسلاً عن الصادق </w:t>
      </w:r>
      <w:r w:rsidR="00E3253D" w:rsidRPr="00463E20">
        <w:rPr>
          <w:rStyle w:val="libFootnoteAlaemChar"/>
          <w:rtl/>
        </w:rPr>
        <w:t>عليه‌السلام</w:t>
      </w:r>
      <w:r w:rsidR="00E3253D" w:rsidRPr="005D642E">
        <w:rPr>
          <w:rtl/>
        </w:rPr>
        <w:t xml:space="preserve"> </w:t>
      </w:r>
      <w:r w:rsidR="00463E20">
        <w:rPr>
          <w:rFonts w:hint="cs"/>
          <w:rtl/>
        </w:rPr>
        <w:t>.</w:t>
      </w:r>
      <w:r w:rsidR="00E3253D" w:rsidRPr="002F4D34">
        <w:rPr>
          <w:rStyle w:val="libFootnoteBoldChar"/>
          <w:rtl/>
        </w:rPr>
        <w:t>الوافي</w:t>
      </w:r>
      <w:r w:rsidR="00E3253D" w:rsidRPr="005D642E">
        <w:rPr>
          <w:rtl/>
        </w:rPr>
        <w:t xml:space="preserve"> ، ج 25 ، ص 548 ، ح 24625 ؛ </w:t>
      </w:r>
      <w:r w:rsidR="00E3253D" w:rsidRPr="002F4D34">
        <w:rPr>
          <w:rStyle w:val="libFootnoteBoldChar"/>
          <w:rtl/>
        </w:rPr>
        <w:t>الوسائل</w:t>
      </w:r>
      <w:r w:rsidR="00E3253D" w:rsidRPr="005D642E">
        <w:rPr>
          <w:rtl/>
        </w:rPr>
        <w:t xml:space="preserve"> ، ج 3 ، ص 245 ، ح 3528.</w:t>
      </w:r>
    </w:p>
    <w:tbl>
      <w:tblPr>
        <w:tblStyle w:val="TableGrid"/>
        <w:bidiVisual/>
        <w:tblW w:w="0" w:type="auto"/>
        <w:tblLook w:val="04A0" w:firstRow="1" w:lastRow="0" w:firstColumn="1" w:lastColumn="0" w:noHBand="0" w:noVBand="1"/>
      </w:tblPr>
      <w:tblGrid>
        <w:gridCol w:w="4006"/>
        <w:gridCol w:w="4006"/>
      </w:tblGrid>
      <w:tr w:rsidR="00463E20" w:rsidTr="00463E20">
        <w:tc>
          <w:tcPr>
            <w:tcW w:w="4006" w:type="dxa"/>
          </w:tcPr>
          <w:p w:rsidR="00463E20" w:rsidRDefault="00463E20" w:rsidP="00E3253D">
            <w:pPr>
              <w:pStyle w:val="libFootnote0"/>
              <w:rPr>
                <w:rStyle w:val="libFootnote0Char"/>
                <w:rtl/>
              </w:rPr>
            </w:pPr>
            <w:r w:rsidRPr="0042621E">
              <w:rPr>
                <w:rStyle w:val="libFootnote0Char"/>
                <w:rtl/>
              </w:rPr>
              <w:t>(2).</w:t>
            </w:r>
            <w:r w:rsidRPr="005D642E">
              <w:rPr>
                <w:rtl/>
              </w:rPr>
              <w:t xml:space="preserve"> في « بخ ، بف » : « فإنّها</w:t>
            </w:r>
            <w:r>
              <w:rPr>
                <w:rtl/>
              </w:rPr>
              <w:t xml:space="preserve"> ».</w:t>
            </w:r>
          </w:p>
        </w:tc>
        <w:tc>
          <w:tcPr>
            <w:tcW w:w="4006" w:type="dxa"/>
          </w:tcPr>
          <w:p w:rsidR="00463E20" w:rsidRDefault="00463E20" w:rsidP="00E3253D">
            <w:pPr>
              <w:pStyle w:val="libFootnote0"/>
              <w:rPr>
                <w:rStyle w:val="libFootnote0Char"/>
                <w:rtl/>
              </w:rPr>
            </w:pPr>
            <w:r w:rsidRPr="0042621E">
              <w:rPr>
                <w:rStyle w:val="libFootnote0Char"/>
                <w:rtl/>
              </w:rPr>
              <w:t>(3).</w:t>
            </w:r>
            <w:r w:rsidRPr="005D642E">
              <w:rPr>
                <w:rtl/>
              </w:rPr>
              <w:t xml:space="preserve"> في « بخ ، بف ، جس » :</w:t>
            </w:r>
            <w:r>
              <w:rPr>
                <w:rtl/>
              </w:rPr>
              <w:t xml:space="preserve"> - </w:t>
            </w:r>
            <w:r w:rsidRPr="005D642E">
              <w:rPr>
                <w:rtl/>
              </w:rPr>
              <w:t>« من</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قرب الإسناد</w:t>
      </w:r>
      <w:r w:rsidR="00E3253D" w:rsidRPr="005D642E">
        <w:rPr>
          <w:rtl/>
        </w:rPr>
        <w:t xml:space="preserve"> ، ص 94 ، ح 319 ، بسند آخر عن جعفر ، عن أبيه </w:t>
      </w:r>
      <w:r w:rsidR="00E3253D" w:rsidRPr="00463E20">
        <w:rPr>
          <w:rStyle w:val="libFootnoteAlaemChar"/>
          <w:rtl/>
        </w:rPr>
        <w:t>عليهما‌السلام</w:t>
      </w:r>
      <w:r w:rsidR="00E3253D" w:rsidRPr="005D642E">
        <w:rPr>
          <w:rtl/>
        </w:rPr>
        <w:t xml:space="preserve"> عن رسول الله </w:t>
      </w:r>
      <w:r w:rsidRPr="00463E20">
        <w:rPr>
          <w:rStyle w:val="libFootnoteAlaemChar"/>
          <w:rtl/>
        </w:rPr>
        <w:t>صلى‌الله‌عليه‌وآله</w:t>
      </w:r>
      <w:r w:rsidR="00E3253D" w:rsidRPr="005D642E">
        <w:rPr>
          <w:rtl/>
        </w:rPr>
        <w:t xml:space="preserve"> ، مع اختلاف يسير. وراجع : </w:t>
      </w:r>
      <w:r w:rsidR="00E3253D" w:rsidRPr="002F4D34">
        <w:rPr>
          <w:rStyle w:val="libFootnoteBoldChar"/>
          <w:rtl/>
        </w:rPr>
        <w:t>الغارات</w:t>
      </w:r>
      <w:r w:rsidR="00E3253D" w:rsidRPr="005D642E">
        <w:rPr>
          <w:rtl/>
        </w:rPr>
        <w:t xml:space="preserve"> ، ج 1 ، ص 169 </w:t>
      </w:r>
      <w:r w:rsidR="00463E20">
        <w:rPr>
          <w:rFonts w:hint="cs"/>
          <w:rtl/>
        </w:rPr>
        <w:t>.</w:t>
      </w:r>
      <w:r w:rsidR="00E3253D" w:rsidRPr="002F4D34">
        <w:rPr>
          <w:rStyle w:val="libFootnoteBoldChar"/>
          <w:rtl/>
        </w:rPr>
        <w:t>الوافي</w:t>
      </w:r>
      <w:r w:rsidR="00E3253D" w:rsidRPr="005D642E">
        <w:rPr>
          <w:rtl/>
        </w:rPr>
        <w:t xml:space="preserve"> ، ج 25 ، ص 561 ، ح 24660 ؛ </w:t>
      </w:r>
      <w:r w:rsidR="00E3253D" w:rsidRPr="002F4D34">
        <w:rPr>
          <w:rStyle w:val="libFootnoteBoldChar"/>
          <w:rtl/>
        </w:rPr>
        <w:t>الوسائل</w:t>
      </w:r>
      <w:r w:rsidR="00E3253D" w:rsidRPr="005D642E">
        <w:rPr>
          <w:rtl/>
        </w:rPr>
        <w:t xml:space="preserve"> ، ج 3 ، ص 267 ، ح 3608.</w:t>
      </w:r>
    </w:p>
    <w:tbl>
      <w:tblPr>
        <w:tblStyle w:val="TableGrid"/>
        <w:bidiVisual/>
        <w:tblW w:w="0" w:type="auto"/>
        <w:tblLook w:val="04A0" w:firstRow="1" w:lastRow="0" w:firstColumn="1" w:lastColumn="0" w:noHBand="0" w:noVBand="1"/>
      </w:tblPr>
      <w:tblGrid>
        <w:gridCol w:w="4006"/>
        <w:gridCol w:w="4006"/>
      </w:tblGrid>
      <w:tr w:rsidR="00463E20" w:rsidTr="00463E20">
        <w:tc>
          <w:tcPr>
            <w:tcW w:w="4006" w:type="dxa"/>
          </w:tcPr>
          <w:p w:rsidR="00463E20" w:rsidRDefault="00463E20" w:rsidP="00E3253D">
            <w:pPr>
              <w:pStyle w:val="libFootnote0"/>
              <w:rPr>
                <w:rStyle w:val="libFootnote0Char"/>
                <w:rtl/>
              </w:rPr>
            </w:pPr>
            <w:r w:rsidRPr="0042621E">
              <w:rPr>
                <w:rStyle w:val="libFootnote0Char"/>
                <w:rtl/>
              </w:rPr>
              <w:t>(5).</w:t>
            </w:r>
            <w:r w:rsidRPr="005D642E">
              <w:rPr>
                <w:rtl/>
              </w:rPr>
              <w:t xml:space="preserve"> في « بخ ، بف ، جس » والزهد :</w:t>
            </w:r>
            <w:r>
              <w:rPr>
                <w:rtl/>
              </w:rPr>
              <w:t xml:space="preserve"> - </w:t>
            </w:r>
            <w:r w:rsidRPr="005D642E">
              <w:rPr>
                <w:rtl/>
              </w:rPr>
              <w:t>« قال</w:t>
            </w:r>
            <w:r>
              <w:rPr>
                <w:rtl/>
              </w:rPr>
              <w:t xml:space="preserve"> ».</w:t>
            </w:r>
          </w:p>
        </w:tc>
        <w:tc>
          <w:tcPr>
            <w:tcW w:w="4006" w:type="dxa"/>
          </w:tcPr>
          <w:p w:rsidR="00463E20" w:rsidRDefault="00463E20" w:rsidP="00E3253D">
            <w:pPr>
              <w:pStyle w:val="libFootnote0"/>
              <w:rPr>
                <w:rStyle w:val="libFootnote0Char"/>
                <w:rtl/>
              </w:rPr>
            </w:pPr>
            <w:r w:rsidRPr="0042621E">
              <w:rPr>
                <w:rStyle w:val="libFootnote0Char"/>
                <w:rtl/>
              </w:rPr>
              <w:t>(6).</w:t>
            </w:r>
            <w:r w:rsidRPr="005D642E">
              <w:rPr>
                <w:rtl/>
              </w:rPr>
              <w:t xml:space="preserve"> في « ى » والزهد :</w:t>
            </w:r>
            <w:r>
              <w:rPr>
                <w:rtl/>
              </w:rPr>
              <w:t xml:space="preserve"> - </w:t>
            </w:r>
            <w:r w:rsidRPr="005D642E">
              <w:rPr>
                <w:rtl/>
              </w:rPr>
              <w:t>« في</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بف ، جس » والزهد :</w:t>
      </w:r>
      <w:r w:rsidR="00E3253D">
        <w:rPr>
          <w:rtl/>
        </w:rPr>
        <w:t xml:space="preserve"> </w:t>
      </w:r>
      <w:r w:rsidR="007642BC">
        <w:rPr>
          <w:rtl/>
        </w:rPr>
        <w:t>-</w:t>
      </w:r>
      <w:r w:rsidR="00E3253D">
        <w:rPr>
          <w:rtl/>
        </w:rPr>
        <w:t xml:space="preserve"> </w:t>
      </w:r>
      <w:r w:rsidR="00E3253D" w:rsidRPr="005D642E">
        <w:rPr>
          <w:rtl/>
        </w:rPr>
        <w:t>« في</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الكافي</w:t>
      </w:r>
      <w:r w:rsidR="00E3253D" w:rsidRPr="005D642E">
        <w:rPr>
          <w:rtl/>
        </w:rPr>
        <w:t xml:space="preserve"> ، كتاب الروضة ، ذيل ح 15004 ؛ </w:t>
      </w:r>
      <w:r w:rsidR="00E3253D" w:rsidRPr="00463E20">
        <w:rPr>
          <w:rStyle w:val="libFootnoteBoldChar"/>
          <w:rtl/>
        </w:rPr>
        <w:t>وا</w:t>
      </w:r>
      <w:r w:rsidR="00E3253D" w:rsidRPr="002F4D34">
        <w:rPr>
          <w:rStyle w:val="libFootnoteBoldChar"/>
          <w:rtl/>
        </w:rPr>
        <w:t>لزهد</w:t>
      </w:r>
      <w:r w:rsidR="00E3253D" w:rsidRPr="005D642E">
        <w:rPr>
          <w:rtl/>
        </w:rPr>
        <w:t xml:space="preserve"> ، ص 72 ، ذيل ح 24 ، بسندهما عن زيد الشحّام ، عن عمرو بن سعيد بن هلال ، عن أبي عبدالله </w:t>
      </w:r>
      <w:r w:rsidR="00E3253D" w:rsidRPr="00463E20">
        <w:rPr>
          <w:rStyle w:val="libFootnoteAlaemChar"/>
          <w:rtl/>
        </w:rPr>
        <w:t>عليه‌السلام</w:t>
      </w:r>
      <w:r w:rsidR="00E3253D" w:rsidRPr="005D642E">
        <w:rPr>
          <w:rtl/>
        </w:rPr>
        <w:t xml:space="preserve"> </w:t>
      </w:r>
      <w:r w:rsidR="00463E20">
        <w:rPr>
          <w:rFonts w:hint="cs"/>
          <w:rtl/>
        </w:rPr>
        <w:t>.</w:t>
      </w:r>
      <w:r w:rsidR="00E3253D" w:rsidRPr="002F4D34">
        <w:rPr>
          <w:rStyle w:val="libFootnoteBoldChar"/>
          <w:rtl/>
        </w:rPr>
        <w:t>الوافي</w:t>
      </w:r>
      <w:r w:rsidR="00E3253D" w:rsidRPr="005D642E">
        <w:rPr>
          <w:rtl/>
        </w:rPr>
        <w:t xml:space="preserve"> ، ج 25 ، ص 561 ، ح 24661 ؛ </w:t>
      </w:r>
      <w:r w:rsidR="00E3253D" w:rsidRPr="002F4D34">
        <w:rPr>
          <w:rStyle w:val="libFootnoteBoldChar"/>
          <w:rtl/>
        </w:rPr>
        <w:t>الوسائل</w:t>
      </w:r>
      <w:r w:rsidR="00E3253D" w:rsidRPr="005D642E">
        <w:rPr>
          <w:rtl/>
        </w:rPr>
        <w:t xml:space="preserve"> ، ج 3 ، ص 268 ، ح 3610.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عَنْ سَيْفِ بْنِ عَمِيرَةَ ، عَنْ عَمْرِو بْنِ شِمْرٍ ، عَنْ عَبْدِ اللهِ بْنِ الْوَلِيدِ الْجُعْفِيِّ ، عَنْ رَجُلٍ ، عَنْ أَبِيهِ ، قَالَ :</w:t>
      </w:r>
    </w:p>
    <w:p w:rsidR="00E3253D" w:rsidRPr="005D642E" w:rsidRDefault="00E3253D" w:rsidP="00E3253D">
      <w:pPr>
        <w:pStyle w:val="libNormal"/>
        <w:rPr>
          <w:rtl/>
          <w:lang w:bidi="fa-IR"/>
        </w:rPr>
      </w:pPr>
      <w:r w:rsidRPr="005D642E">
        <w:rPr>
          <w:rtl/>
          <w:lang w:bidi="fa-IR"/>
        </w:rPr>
        <w:t xml:space="preserve">« لَمَّا أُصِيبَ أَمِيرُ الْمُؤْمِنِينَ </w:t>
      </w:r>
      <w:r w:rsidRPr="00AC51C5">
        <w:rPr>
          <w:rStyle w:val="libAlaemChar"/>
          <w:rtl/>
        </w:rPr>
        <w:t>عليه‌السلام</w:t>
      </w:r>
      <w:r w:rsidRPr="005D642E">
        <w:rPr>
          <w:rtl/>
          <w:lang w:bidi="fa-IR"/>
        </w:rPr>
        <w:t xml:space="preserve"> ، نَعَى </w:t>
      </w:r>
      <w:r w:rsidRPr="007C12DB">
        <w:rPr>
          <w:rStyle w:val="libFootnotenumChar"/>
          <w:rtl/>
        </w:rPr>
        <w:t>(1)</w:t>
      </w:r>
      <w:r w:rsidRPr="005D642E">
        <w:rPr>
          <w:rtl/>
          <w:lang w:bidi="fa-IR"/>
        </w:rPr>
        <w:t xml:space="preserve"> الْحَسَنُ إِلَى الْحُسَيْنِ </w:t>
      </w:r>
      <w:r w:rsidRPr="00AC51C5">
        <w:rPr>
          <w:rStyle w:val="libAlaemChar"/>
          <w:rtl/>
        </w:rPr>
        <w:t>عليهما‌السلام</w:t>
      </w:r>
      <w:r w:rsidRPr="005D642E">
        <w:rPr>
          <w:rtl/>
          <w:lang w:bidi="fa-IR"/>
        </w:rPr>
        <w:t xml:space="preserve"> وَهُوَ بِالْمَدَائِنِ ، فَلَمَّا</w:t>
      </w:r>
      <w:r>
        <w:rPr>
          <w:rFonts w:hint="cs"/>
          <w:rtl/>
          <w:lang w:bidi="fa-IR"/>
        </w:rPr>
        <w:t xml:space="preserve"> </w:t>
      </w:r>
      <w:r w:rsidRPr="005D642E">
        <w:rPr>
          <w:rtl/>
          <w:lang w:bidi="fa-IR"/>
        </w:rPr>
        <w:t xml:space="preserve">قَرَأَ الْكِتَابَ ، قَالَ : يَا لَهَا مِنْ مُصِيبَةٍ مَا أَعْظَمَهَا مَعَ أَنَّ رَسُولَ اللهِ </w:t>
      </w:r>
      <w:r w:rsidR="0042621E" w:rsidRPr="0042621E">
        <w:rPr>
          <w:rStyle w:val="libAlaemChar"/>
          <w:rtl/>
        </w:rPr>
        <w:t>صلى‌الله‌عليه‌وآله</w:t>
      </w:r>
      <w:r w:rsidRPr="005D642E">
        <w:rPr>
          <w:rtl/>
          <w:lang w:bidi="fa-IR"/>
        </w:rPr>
        <w:t xml:space="preserve"> قَالَ : مَنْ أُصِيبَ مِنْكُمْ بِمُصِيبَةٍ </w:t>
      </w:r>
      <w:r w:rsidRPr="007C12DB">
        <w:rPr>
          <w:rStyle w:val="libFootnotenumChar"/>
          <w:rtl/>
        </w:rPr>
        <w:t>(2)</w:t>
      </w:r>
      <w:r w:rsidRPr="005D642E">
        <w:rPr>
          <w:rtl/>
          <w:lang w:bidi="fa-IR"/>
        </w:rPr>
        <w:t xml:space="preserve"> ، فَلْيَذْكُرْ مُصَابَهُ بِي ؛ فَإِنَّهُ لَنْ يُصَابَ بِمُصِيبَةٍ أَعْظَمَ مِنْهَا ، وَصَدَقَ </w:t>
      </w:r>
      <w:r w:rsidRPr="007C12DB">
        <w:rPr>
          <w:rStyle w:val="libFootnotenumChar"/>
          <w:rtl/>
        </w:rPr>
        <w:t>(3)</w:t>
      </w:r>
      <w:r w:rsidRPr="005D642E">
        <w:rPr>
          <w:rtl/>
          <w:lang w:bidi="fa-IR"/>
        </w:rPr>
        <w:t xml:space="preserve">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C24A4C">
        <w:rPr>
          <w:rtl/>
        </w:rPr>
        <w:t>4651</w:t>
      </w:r>
      <w:r w:rsidRPr="00246318">
        <w:rPr>
          <w:rStyle w:val="libBold2Char"/>
          <w:rtl/>
        </w:rPr>
        <w:t xml:space="preserve"> / 4.</w:t>
      </w:r>
      <w:r w:rsidRPr="005D642E">
        <w:rPr>
          <w:rtl/>
          <w:lang w:bidi="fa-IR"/>
        </w:rPr>
        <w:t xml:space="preserve"> عَلِيُّ بْنُ إِبْرَاهِيمَ ، عَنْ أَبِيهِ ، عَنِ ابْنِ أَبِي عُمَيْرٍ ، عَنْ هِشَامِ بْنِ سَالِمٍ :</w:t>
      </w:r>
    </w:p>
    <w:p w:rsidR="00E3253D" w:rsidRPr="005D642E" w:rsidRDefault="00E3253D" w:rsidP="003265C3">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لَمَّا مَاتَ النَّبِيُّ </w:t>
      </w:r>
      <w:r w:rsidR="0042621E" w:rsidRPr="0042621E">
        <w:rPr>
          <w:rStyle w:val="libAlaemChar"/>
          <w:rtl/>
        </w:rPr>
        <w:t>صلى‌الله‌عليه‌وآله</w:t>
      </w:r>
      <w:r w:rsidRPr="005D642E">
        <w:rPr>
          <w:rtl/>
          <w:lang w:bidi="fa-IR"/>
        </w:rPr>
        <w:t xml:space="preserve"> ، سَمِعُوا صَوْتاً وَلَمْ يَرَوْا شَخْصاً يَقُولُ </w:t>
      </w:r>
      <w:r w:rsidRPr="007C12DB">
        <w:rPr>
          <w:rStyle w:val="libFootnotenumChar"/>
          <w:rtl/>
        </w:rPr>
        <w:t>(5)</w:t>
      </w:r>
      <w:r w:rsidRPr="005D642E">
        <w:rPr>
          <w:rtl/>
          <w:lang w:bidi="fa-IR"/>
        </w:rPr>
        <w:t xml:space="preserve"> : </w:t>
      </w:r>
      <w:r w:rsidRPr="00AC51C5">
        <w:rPr>
          <w:rStyle w:val="libAlaemChar"/>
          <w:rtl/>
        </w:rPr>
        <w:t>(</w:t>
      </w:r>
      <w:r w:rsidRPr="00AC51C5">
        <w:rPr>
          <w:rStyle w:val="libAieChar"/>
          <w:rtl/>
        </w:rPr>
        <w:t xml:space="preserve"> كُلُّ نَفْسٍ ذائِقَةُ الْمَوْتِ وَإِنَّما تُوَفَّوْنَ أُجُورَكُمْ يَوْمَ الْقِيامَةِ فَمَنْ زُحْزِحَ</w:t>
      </w:r>
      <w:r w:rsidRPr="003265C3">
        <w:rPr>
          <w:rStyle w:val="libAieChar"/>
          <w:rtl/>
        </w:rPr>
        <w:t xml:space="preserve"> </w:t>
      </w:r>
      <w:r w:rsidRPr="007C12DB">
        <w:rPr>
          <w:rStyle w:val="libFootnotenumChar"/>
          <w:rtl/>
        </w:rPr>
        <w:t>(6)</w:t>
      </w:r>
      <w:r w:rsidRPr="003265C3">
        <w:rPr>
          <w:rStyle w:val="libAieChar"/>
          <w:rtl/>
        </w:rPr>
        <w:t xml:space="preserve"> </w:t>
      </w:r>
      <w:r w:rsidRPr="00AC51C5">
        <w:rPr>
          <w:rStyle w:val="libAieChar"/>
          <w:rtl/>
        </w:rPr>
        <w:t xml:space="preserve">عَنِ النّارِ وَأُدْخِلَ الْجَنَّةَ فَقَدْ فازَ </w:t>
      </w:r>
      <w:r w:rsidRPr="00AC51C5">
        <w:rPr>
          <w:rStyle w:val="libAlaemChar"/>
          <w:rtl/>
        </w:rPr>
        <w:t>)</w:t>
      </w:r>
      <w:r w:rsidRPr="005D642E">
        <w:rPr>
          <w:rtl/>
          <w:lang w:bidi="fa-IR"/>
        </w:rPr>
        <w:t xml:space="preserve"> </w:t>
      </w:r>
      <w:r w:rsidRPr="007C12DB">
        <w:rPr>
          <w:rStyle w:val="libFootnotenumChar"/>
          <w:rtl/>
        </w:rPr>
        <w:t>(7)</w:t>
      </w:r>
      <w:r w:rsidRPr="005D642E">
        <w:rPr>
          <w:rtl/>
          <w:lang w:bidi="fa-IR"/>
        </w:rPr>
        <w:t xml:space="preserve"> ، وَقَالَ : إِنَّ فِي اللهِ خَلَفاً مِنْ كُلِّ هَالِكٍ ، وَعَزَاءً مِنْ </w:t>
      </w:r>
      <w:r w:rsidRPr="007C12DB">
        <w:rPr>
          <w:rStyle w:val="libFootnotenumChar"/>
          <w:rtl/>
        </w:rPr>
        <w:t>(8)</w:t>
      </w:r>
      <w:r w:rsidRPr="005D642E">
        <w:rPr>
          <w:rtl/>
          <w:lang w:bidi="fa-IR"/>
        </w:rPr>
        <w:t xml:space="preserve"> كُلِّ مُصِيبَةٍ ، وَدَرَكاً </w:t>
      </w:r>
      <w:r w:rsidRPr="007C12DB">
        <w:rPr>
          <w:rStyle w:val="libFootnotenumChar"/>
          <w:rtl/>
        </w:rPr>
        <w:t>(9)</w:t>
      </w:r>
      <w:r w:rsidRPr="005D642E">
        <w:rPr>
          <w:rtl/>
          <w:lang w:bidi="fa-IR"/>
        </w:rPr>
        <w:t xml:space="preserve"> مِمَّا فَاتَ ، فَبِاللهِ فَثِقُوا ، وَإِيَّاهُ فَارْجُوا ، وَإِنَّمَا الْمَحْرُومُ مَنْ حُرِمَ الثَّوَابَ</w:t>
      </w:r>
      <w:r>
        <w:rPr>
          <w:rtl/>
          <w:lang w:bidi="fa-IR"/>
        </w:rPr>
        <w:t xml:space="preserve"> ».</w:t>
      </w:r>
      <w:r w:rsidRPr="005D642E">
        <w:rPr>
          <w:rtl/>
          <w:lang w:bidi="fa-IR"/>
        </w:rPr>
        <w:t xml:space="preserve"> </w:t>
      </w:r>
      <w:r w:rsidRPr="007C12DB">
        <w:rPr>
          <w:rStyle w:val="libFootnotenumChar"/>
          <w:rtl/>
        </w:rPr>
        <w:t>(10)</w:t>
      </w:r>
    </w:p>
    <w:p w:rsidR="00E3253D" w:rsidRPr="005D642E" w:rsidRDefault="00E3253D" w:rsidP="00E3253D">
      <w:pPr>
        <w:pStyle w:val="libNormal"/>
        <w:rPr>
          <w:rtl/>
          <w:lang w:bidi="fa-IR"/>
        </w:rPr>
      </w:pPr>
      <w:r w:rsidRPr="00C24A4C">
        <w:rPr>
          <w:rtl/>
        </w:rPr>
        <w:t>4652</w:t>
      </w:r>
      <w:r w:rsidRPr="00246318">
        <w:rPr>
          <w:rStyle w:val="libBold2Char"/>
          <w:rtl/>
        </w:rPr>
        <w:t xml:space="preserve"> / 5.</w:t>
      </w:r>
      <w:r w:rsidRPr="005D642E">
        <w:rPr>
          <w:rtl/>
          <w:lang w:bidi="fa-IR"/>
        </w:rPr>
        <w:t xml:space="preserve"> مُحَمَّدُ بْنُ يَحْيى ، عَنْ سَلَمَةَ بْنِ الْخَطَّابِ ، عَنْ سُلَيْمَانَ بْنِ سَمَاعَةَ ، عَنِ الْحُسَيْنِ بْنِ الْمُخْتَارِ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النعي » : إذاعة خبر الموت. راجع : </w:t>
      </w:r>
      <w:r w:rsidR="00E3253D" w:rsidRPr="002F4D34">
        <w:rPr>
          <w:rStyle w:val="libFootnoteBoldChar"/>
          <w:rtl/>
        </w:rPr>
        <w:t>الصحاح</w:t>
      </w:r>
      <w:r w:rsidR="00E3253D" w:rsidRPr="005D642E">
        <w:rPr>
          <w:rtl/>
        </w:rPr>
        <w:t xml:space="preserve"> ، ج 6 ، ص 2512 ؛ </w:t>
      </w:r>
      <w:r w:rsidR="00E3253D" w:rsidRPr="002F4D34">
        <w:rPr>
          <w:rStyle w:val="libFootnoteBoldChar"/>
          <w:rtl/>
        </w:rPr>
        <w:t>النهاية</w:t>
      </w:r>
      <w:r w:rsidR="00E3253D" w:rsidRPr="005D642E">
        <w:rPr>
          <w:rtl/>
        </w:rPr>
        <w:t xml:space="preserve"> ، ج 5 ، ص 85 ( نعى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بمصيبة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ى » : + « رسول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561 ، ح 24662 ؛ </w:t>
      </w:r>
      <w:r w:rsidR="00E3253D" w:rsidRPr="002F4D34">
        <w:rPr>
          <w:rStyle w:val="libFootnoteBoldChar"/>
          <w:rtl/>
        </w:rPr>
        <w:t>الوسائل</w:t>
      </w:r>
      <w:r w:rsidR="00E3253D" w:rsidRPr="005D642E">
        <w:rPr>
          <w:rtl/>
        </w:rPr>
        <w:t xml:space="preserve"> ، ج 3 ، ص 267 ، ح 3609 ؛ </w:t>
      </w:r>
      <w:r w:rsidR="00E3253D" w:rsidRPr="002F4D34">
        <w:rPr>
          <w:rStyle w:val="libFootnoteBoldChar"/>
          <w:rtl/>
        </w:rPr>
        <w:t>البحار</w:t>
      </w:r>
      <w:r w:rsidR="00E3253D" w:rsidRPr="005D642E">
        <w:rPr>
          <w:rtl/>
        </w:rPr>
        <w:t xml:space="preserve"> ، ج 42 ، ص 247 ، ح 48.</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الضمير في قوله : « يقول » يعود إلى المصوّت المدلول عليه بالصوت ، لا إلى الشخص. راجع : </w:t>
      </w:r>
      <w:r w:rsidR="00E3253D" w:rsidRPr="002F4D34">
        <w:rPr>
          <w:rStyle w:val="libFootnoteBoldChar"/>
          <w:rtl/>
        </w:rPr>
        <w:t>مرآة العقول</w:t>
      </w:r>
      <w:r w:rsidR="00E3253D" w:rsidRPr="005D642E">
        <w:rPr>
          <w:rtl/>
        </w:rPr>
        <w:t xml:space="preserve"> ، ج 14 ، ص 175.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زحزح » ، أي نُحِّيَ وبُعِّدَ. راجع : </w:t>
      </w:r>
      <w:r w:rsidR="00E3253D" w:rsidRPr="002F4D34">
        <w:rPr>
          <w:rStyle w:val="libFootnoteBoldChar"/>
          <w:rtl/>
        </w:rPr>
        <w:t>لسان العرب</w:t>
      </w:r>
      <w:r w:rsidR="00E3253D" w:rsidRPr="005D642E">
        <w:rPr>
          <w:rtl/>
        </w:rPr>
        <w:t xml:space="preserve"> ، ج 2 ، ص 468 ( زحزح )</w:t>
      </w:r>
      <w:r w:rsidR="00E3253D">
        <w:rPr>
          <w:rtl/>
        </w:rPr>
        <w:t>.</w:t>
      </w:r>
    </w:p>
    <w:tbl>
      <w:tblPr>
        <w:tblStyle w:val="TableGrid"/>
        <w:bidiVisual/>
        <w:tblW w:w="0" w:type="auto"/>
        <w:tblLook w:val="04A0" w:firstRow="1" w:lastRow="0" w:firstColumn="1" w:lastColumn="0" w:noHBand="0" w:noVBand="1"/>
      </w:tblPr>
      <w:tblGrid>
        <w:gridCol w:w="4006"/>
        <w:gridCol w:w="4006"/>
      </w:tblGrid>
      <w:tr w:rsidR="003265C3" w:rsidTr="003265C3">
        <w:tc>
          <w:tcPr>
            <w:tcW w:w="4006" w:type="dxa"/>
          </w:tcPr>
          <w:p w:rsidR="003265C3" w:rsidRDefault="003265C3" w:rsidP="00E3253D">
            <w:pPr>
              <w:pStyle w:val="libFootnote0"/>
              <w:rPr>
                <w:rStyle w:val="libFootnote0Char"/>
                <w:rtl/>
              </w:rPr>
            </w:pPr>
            <w:r w:rsidRPr="0042621E">
              <w:rPr>
                <w:rStyle w:val="libFootnote0Char"/>
                <w:rtl/>
              </w:rPr>
              <w:t>(7).</w:t>
            </w:r>
            <w:r w:rsidRPr="005D642E">
              <w:rPr>
                <w:rtl/>
              </w:rPr>
              <w:t xml:space="preserve"> آل عمران </w:t>
            </w:r>
            <w:r w:rsidRPr="0042621E">
              <w:rPr>
                <w:rStyle w:val="libFootnote0Char"/>
                <w:rtl/>
              </w:rPr>
              <w:t>(3)</w:t>
            </w:r>
            <w:r w:rsidRPr="005D642E">
              <w:rPr>
                <w:rtl/>
              </w:rPr>
              <w:t xml:space="preserve"> : 185.</w:t>
            </w:r>
          </w:p>
        </w:tc>
        <w:tc>
          <w:tcPr>
            <w:tcW w:w="4006" w:type="dxa"/>
          </w:tcPr>
          <w:p w:rsidR="003265C3" w:rsidRDefault="003265C3" w:rsidP="00E3253D">
            <w:pPr>
              <w:pStyle w:val="libFootnote0"/>
              <w:rPr>
                <w:rStyle w:val="libFootnote0Char"/>
                <w:rtl/>
              </w:rPr>
            </w:pPr>
            <w:r w:rsidRPr="0042621E">
              <w:rPr>
                <w:rStyle w:val="libFootnote0Char"/>
                <w:rtl/>
              </w:rPr>
              <w:t>(8).</w:t>
            </w:r>
            <w:r w:rsidRPr="005D642E">
              <w:rPr>
                <w:rtl/>
              </w:rPr>
              <w:t xml:space="preserve"> في « بث » : « عن</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الدَرَك » : اللحاق والوصول إلى شي‌ء. </w:t>
      </w:r>
      <w:r w:rsidR="00E3253D" w:rsidRPr="002F4D34">
        <w:rPr>
          <w:rStyle w:val="libFootnoteBoldChar"/>
          <w:rtl/>
        </w:rPr>
        <w:t>النهاية</w:t>
      </w:r>
      <w:r w:rsidR="00E3253D" w:rsidRPr="005D642E">
        <w:rPr>
          <w:rtl/>
        </w:rPr>
        <w:t xml:space="preserve"> ، ج 2 ، ص 114.</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35521A">
        <w:rPr>
          <w:rStyle w:val="libFootnoteBoldChar"/>
          <w:rtl/>
        </w:rPr>
        <w:t>الأمالي للطوسي</w:t>
      </w:r>
      <w:r w:rsidR="00E3253D" w:rsidRPr="005D642E">
        <w:rPr>
          <w:rtl/>
        </w:rPr>
        <w:t xml:space="preserve"> ، ص 660 ، المجلس 35 ، ح 9 ، بسنده عن محمّد بن أبي عمير ، عن هشام بن سالم. </w:t>
      </w:r>
      <w:r w:rsidR="00E3253D" w:rsidRPr="002F4D34">
        <w:rPr>
          <w:rStyle w:val="libFootnoteBoldChar"/>
          <w:rtl/>
        </w:rPr>
        <w:t>تفسير العيّاشي</w:t>
      </w:r>
      <w:r w:rsidR="00E3253D" w:rsidRPr="005D642E">
        <w:rPr>
          <w:rtl/>
        </w:rPr>
        <w:t xml:space="preserve"> ، ج 1 ، ص 210 ، ح 168 ، عن هشام بن سالم. </w:t>
      </w:r>
      <w:r w:rsidR="00E3253D" w:rsidRPr="002F4D34">
        <w:rPr>
          <w:rStyle w:val="libFootnoteBoldChar"/>
          <w:rtl/>
        </w:rPr>
        <w:t>وفيه</w:t>
      </w:r>
      <w:r w:rsidR="00E3253D" w:rsidRPr="005D642E">
        <w:rPr>
          <w:rtl/>
        </w:rPr>
        <w:t xml:space="preserve"> ، ص 209 ، ذيل ح 166 ، عن جابر ، عن أبي جعفر </w:t>
      </w:r>
      <w:r w:rsidR="00E3253D" w:rsidRPr="003265C3">
        <w:rPr>
          <w:rStyle w:val="libFootnoteAlaemChar"/>
          <w:rtl/>
        </w:rPr>
        <w:t>عليه‌السلام</w:t>
      </w:r>
      <w:r w:rsidR="00E3253D" w:rsidRPr="005D642E">
        <w:rPr>
          <w:rtl/>
        </w:rPr>
        <w:t xml:space="preserve"> ، وفي كلّها مع اختلاف يسير </w:t>
      </w:r>
      <w:r w:rsidR="003265C3">
        <w:rPr>
          <w:rFonts w:hint="cs"/>
          <w:rtl/>
        </w:rPr>
        <w:t>.</w:t>
      </w:r>
      <w:r w:rsidR="00E3253D" w:rsidRPr="002F4D34">
        <w:rPr>
          <w:rStyle w:val="libFootnoteBoldChar"/>
          <w:rtl/>
        </w:rPr>
        <w:t>الوافي</w:t>
      </w:r>
      <w:r w:rsidR="00E3253D" w:rsidRPr="005D642E">
        <w:rPr>
          <w:rtl/>
        </w:rPr>
        <w:t xml:space="preserve"> ، ج 25 ، ص 562 ، ح 24663.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لَمَّا قُبِضَ رَسُولُ اللهِ </w:t>
      </w:r>
      <w:r w:rsidR="0042621E" w:rsidRPr="0042621E">
        <w:rPr>
          <w:rStyle w:val="libAlaemChar"/>
          <w:rtl/>
        </w:rPr>
        <w:t>صلى‌الله‌عليه‌وآله</w:t>
      </w:r>
      <w:r w:rsidRPr="005D642E">
        <w:rPr>
          <w:rtl/>
          <w:lang w:bidi="fa-IR"/>
        </w:rPr>
        <w:t xml:space="preserve"> جَاءَهُمْ </w:t>
      </w:r>
      <w:r w:rsidRPr="007C12DB">
        <w:rPr>
          <w:rStyle w:val="libFootnotenumChar"/>
          <w:rtl/>
        </w:rPr>
        <w:t>(1)</w:t>
      </w:r>
      <w:r w:rsidRPr="005D642E">
        <w:rPr>
          <w:rtl/>
          <w:lang w:bidi="fa-IR"/>
        </w:rPr>
        <w:t xml:space="preserve"> جَبْرَئِيلُ </w:t>
      </w:r>
      <w:r w:rsidRPr="00AC51C5">
        <w:rPr>
          <w:rStyle w:val="libAlaemChar"/>
          <w:rtl/>
        </w:rPr>
        <w:t>عليه‌السلام</w:t>
      </w:r>
      <w:r w:rsidRPr="005D642E">
        <w:rPr>
          <w:rtl/>
          <w:lang w:bidi="fa-IR"/>
        </w:rPr>
        <w:t xml:space="preserve"> وَالنَّبِيُّ مُسَجًّى ، وَفِي الْبَيْتِ عَلِيٌّ وَفَاطِمَةُ وَالْحَسَنُ وَالْحُسَيْنُ </w:t>
      </w:r>
      <w:r w:rsidRPr="00AC51C5">
        <w:rPr>
          <w:rStyle w:val="libAlaemChar"/>
          <w:rtl/>
        </w:rPr>
        <w:t>عليهم‌السلام</w:t>
      </w:r>
      <w:r w:rsidRPr="005D642E">
        <w:rPr>
          <w:rtl/>
          <w:lang w:bidi="fa-IR"/>
        </w:rPr>
        <w:t xml:space="preserve"> ، فَقَالَ : السَّلَامُ عَلَيْكُمْ يَا أَهْلَ بَيْتِ الرَّحْمَةِ ، « كُلُّ نَفْسٍ ذائِقَةُ الْمَوْتِ وَإِنَّما تُوَفَّوْنَ أُجُورَكُمْ يَوْمَ الْقِيامَةِ فَمَنْ زُحْزِحَ عَنِ النّارِ وَأُدْخِلَ الْجَنَّةَ فَقَدْ فازَ </w:t>
      </w:r>
      <w:r w:rsidR="003265C3">
        <w:rPr>
          <w:rtl/>
          <w:lang w:bidi="fa-IR"/>
        </w:rPr>
        <w:t>وَمَا الْحَياةُ الدُّنْيا إِل</w:t>
      </w:r>
      <w:r w:rsidR="003265C3">
        <w:rPr>
          <w:rFonts w:hint="cs"/>
          <w:rtl/>
          <w:lang w:bidi="fa-IR"/>
        </w:rPr>
        <w:t>َّ</w:t>
      </w:r>
      <w:r w:rsidR="003265C3">
        <w:rPr>
          <w:rtl/>
          <w:lang w:bidi="fa-IR"/>
        </w:rPr>
        <w:t>ا</w:t>
      </w:r>
      <w:r w:rsidRPr="005D642E">
        <w:rPr>
          <w:rtl/>
          <w:lang w:bidi="fa-IR"/>
        </w:rPr>
        <w:t xml:space="preserve"> مَتاعُ الْغُرُورِ » إِنَّ فِي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عَزَاءً مِنْ كُلِّ مُصِيبَةٍ ، وَخَلَفاً مِنْ كُلِّ هَالِكٍ ، وَدَرَكاً لِمَا </w:t>
      </w:r>
      <w:r w:rsidRPr="007C12DB">
        <w:rPr>
          <w:rStyle w:val="libFootnotenumChar"/>
          <w:rtl/>
        </w:rPr>
        <w:t>(2)</w:t>
      </w:r>
      <w:r w:rsidRPr="005D642E">
        <w:rPr>
          <w:rtl/>
          <w:lang w:bidi="fa-IR"/>
        </w:rPr>
        <w:t xml:space="preserve"> فَاتَ ، فَبِاللهِ فَثِقُوا ، وَإِيَّاهُ فَارْجُوا ؛ فَإِنَّ الْمُصَابَ </w:t>
      </w:r>
      <w:r w:rsidRPr="007C12DB">
        <w:rPr>
          <w:rStyle w:val="libFootnotenumChar"/>
          <w:rtl/>
        </w:rPr>
        <w:t>(3)</w:t>
      </w:r>
      <w:r w:rsidRPr="005D642E">
        <w:rPr>
          <w:rtl/>
          <w:lang w:bidi="fa-IR"/>
        </w:rPr>
        <w:t xml:space="preserve"> مَنْ حُرِمَ الثَّوَابَ ، هذَا آخِرُ وَطْئِي مِنَ الدُّنْيَا </w:t>
      </w:r>
      <w:r w:rsidRPr="007C12DB">
        <w:rPr>
          <w:rStyle w:val="libFootnotenumChar"/>
          <w:rtl/>
        </w:rPr>
        <w:t>(4)</w:t>
      </w:r>
      <w:r w:rsidRPr="005D642E">
        <w:rPr>
          <w:rtl/>
          <w:lang w:bidi="fa-IR"/>
        </w:rPr>
        <w:t xml:space="preserve"> قَالُوا : فَسَمِعْنَا </w:t>
      </w:r>
      <w:r w:rsidRPr="007C12DB">
        <w:rPr>
          <w:rStyle w:val="libFootnotenumChar"/>
          <w:rtl/>
        </w:rPr>
        <w:t>(5)</w:t>
      </w:r>
      <w:r w:rsidRPr="005D642E">
        <w:rPr>
          <w:rtl/>
          <w:lang w:bidi="fa-IR"/>
        </w:rPr>
        <w:t xml:space="preserve"> الصَّوْتَ وَلَمْ نَرَ الشَّخْصَ</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C24A4C">
        <w:rPr>
          <w:rtl/>
        </w:rPr>
        <w:t>4653</w:t>
      </w:r>
      <w:r w:rsidRPr="00246318">
        <w:rPr>
          <w:rStyle w:val="libBold2Char"/>
          <w:rtl/>
        </w:rPr>
        <w:t xml:space="preserve"> / 6.</w:t>
      </w:r>
      <w:r w:rsidRPr="005D642E">
        <w:rPr>
          <w:rtl/>
          <w:lang w:bidi="fa-IR"/>
        </w:rPr>
        <w:t xml:space="preserve"> عَنْهُ ، عَنْ سَلَمَةَ ، عَنْ عَلِيِّ بْنِ سَيْفٍ ، عَنْ أَبِيهِ ، عَنْ أَبِي أُسَامَةَ زَيْدٍ الشَّحَّامِ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لَمَّا قُبِضَ رَسُولُ اللهِ </w:t>
      </w:r>
      <w:r w:rsidR="0042621E" w:rsidRPr="0042621E">
        <w:rPr>
          <w:rStyle w:val="libAlaemChar"/>
          <w:rtl/>
        </w:rPr>
        <w:t>صلى‌الله‌عليه‌وآله</w:t>
      </w:r>
      <w:r w:rsidRPr="005D642E">
        <w:rPr>
          <w:rtl/>
          <w:lang w:bidi="fa-IR"/>
        </w:rPr>
        <w:t xml:space="preserve"> جَاءَتِ التَّعْزِيَةُ ، أَتَاهُمْ آتٍ يَسْمَعُونَ حِسَّهُ ، وَلَايَرَوْنَ شَخْصَهُ ، فَقَالَ </w:t>
      </w:r>
      <w:r w:rsidRPr="007C12DB">
        <w:rPr>
          <w:rStyle w:val="libFootnotenumChar"/>
          <w:rtl/>
        </w:rPr>
        <w:t>(7)</w:t>
      </w:r>
      <w:r w:rsidRPr="005D642E">
        <w:rPr>
          <w:rtl/>
          <w:lang w:bidi="fa-IR"/>
        </w:rPr>
        <w:t xml:space="preserve"> : السَّلَامُ عَلَيْكُمْ أَهْلَ الْبَيْتِ وَرَحْمَةُ اللهِ وَبَرَكَاتُهُ ، </w:t>
      </w:r>
      <w:r w:rsidRPr="00AC51C5">
        <w:rPr>
          <w:rStyle w:val="libAlaemChar"/>
          <w:rtl/>
        </w:rPr>
        <w:t>(</w:t>
      </w:r>
      <w:r w:rsidRPr="00AC51C5">
        <w:rPr>
          <w:rStyle w:val="libAieChar"/>
          <w:rtl/>
        </w:rPr>
        <w:t xml:space="preserve"> كُلُّ نَفْسٍ ذائِقَةُ الْمَوْتِ وَإِنَّما تُوَفَّوْنَ أُجُورَكُمْ يَوْمَ الْقِيامَةِ فَمَنْ زُحْزِحَ عَنِ النّارِ وَأُدْخِلَ الْجَنَّةَ فَقَدْ فازَ وَمَا الْحَياةُ الدُّنْي</w:t>
      </w:r>
      <w:r w:rsidR="001C7F43">
        <w:rPr>
          <w:rStyle w:val="libAieChar"/>
          <w:rtl/>
        </w:rPr>
        <w:t>ا إِل</w:t>
      </w:r>
      <w:r w:rsidR="001C7F43">
        <w:rPr>
          <w:rStyle w:val="libAieChar"/>
          <w:rFonts w:hint="cs"/>
          <w:rtl/>
        </w:rPr>
        <w:t>َّ</w:t>
      </w:r>
      <w:r w:rsidR="001C7F43">
        <w:rPr>
          <w:rStyle w:val="libAieChar"/>
          <w:rtl/>
        </w:rPr>
        <w:t>ا</w:t>
      </w:r>
      <w:r w:rsidRPr="00AC51C5">
        <w:rPr>
          <w:rStyle w:val="libAieChar"/>
          <w:rtl/>
        </w:rPr>
        <w:t xml:space="preserve"> مَتاعُ الْغُرُورِ </w:t>
      </w:r>
      <w:r w:rsidRPr="00AC51C5">
        <w:rPr>
          <w:rStyle w:val="libAlaemChar"/>
          <w:rtl/>
        </w:rPr>
        <w:t>)</w:t>
      </w:r>
      <w:r w:rsidRPr="005D642E">
        <w:rPr>
          <w:rtl/>
          <w:lang w:bidi="fa-IR"/>
        </w:rPr>
        <w:t xml:space="preserve"> </w:t>
      </w:r>
      <w:r w:rsidRPr="007C12DB">
        <w:rPr>
          <w:rStyle w:val="libFootnotenumChar"/>
          <w:rtl/>
        </w:rPr>
        <w:t>(8)</w:t>
      </w:r>
      <w:r w:rsidRPr="005D642E">
        <w:rPr>
          <w:rtl/>
          <w:lang w:bidi="fa-IR"/>
        </w:rPr>
        <w:t xml:space="preserve"> فِي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عَزَاءٌ مِنْ كُلِّ مُصِيبَةٍ ، وَخَلَفٌ </w:t>
      </w:r>
      <w:r w:rsidRPr="007C12DB">
        <w:rPr>
          <w:rStyle w:val="libFootnotenumChar"/>
          <w:rtl/>
        </w:rPr>
        <w:t>(9)</w:t>
      </w:r>
      <w:r w:rsidRPr="005D642E">
        <w:rPr>
          <w:rtl/>
          <w:lang w:bidi="fa-IR"/>
        </w:rPr>
        <w:t xml:space="preserve"> مِنْ كُلِّ هَالِكٍ ، وَدَرَكٌ </w:t>
      </w:r>
      <w:r w:rsidRPr="007C12DB">
        <w:rPr>
          <w:rStyle w:val="libFootnotenumChar"/>
          <w:rtl/>
        </w:rPr>
        <w:t>(10)</w:t>
      </w:r>
      <w:r w:rsidRPr="005D642E">
        <w:rPr>
          <w:rtl/>
          <w:lang w:bidi="fa-IR"/>
        </w:rPr>
        <w:t xml:space="preserve"> لِمَا فَاتَ ، فَبِاللهِ فَثِقُوا ، وَإِيَّاهُ فَارْجُوا ؛ فَإِنَّ الْمَحْرُومَ مَنْ‌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C7F43" w:rsidTr="001C7F43">
        <w:tc>
          <w:tcPr>
            <w:tcW w:w="4006" w:type="dxa"/>
          </w:tcPr>
          <w:p w:rsidR="001C7F43" w:rsidRDefault="001C7F43" w:rsidP="00E3253D">
            <w:pPr>
              <w:pStyle w:val="libFootnote0"/>
              <w:rPr>
                <w:rStyle w:val="libFootnote0Char"/>
                <w:rtl/>
              </w:rPr>
            </w:pPr>
            <w:r w:rsidRPr="0042621E">
              <w:rPr>
                <w:rStyle w:val="libFootnote0Char"/>
                <w:rtl/>
              </w:rPr>
              <w:t>(1).</w:t>
            </w:r>
            <w:r>
              <w:rPr>
                <w:rtl/>
              </w:rPr>
              <w:t xml:space="preserve"> </w:t>
            </w:r>
            <w:r w:rsidRPr="005D642E">
              <w:rPr>
                <w:rtl/>
              </w:rPr>
              <w:t>في « جس » : « جاء</w:t>
            </w:r>
            <w:r>
              <w:rPr>
                <w:rtl/>
              </w:rPr>
              <w:t xml:space="preserve"> ».</w:t>
            </w:r>
          </w:p>
        </w:tc>
        <w:tc>
          <w:tcPr>
            <w:tcW w:w="4006" w:type="dxa"/>
          </w:tcPr>
          <w:p w:rsidR="001C7F43" w:rsidRDefault="001C7F43" w:rsidP="00E3253D">
            <w:pPr>
              <w:pStyle w:val="libFootnote0"/>
              <w:rPr>
                <w:rStyle w:val="libFootnote0Char"/>
                <w:rtl/>
              </w:rPr>
            </w:pPr>
            <w:r w:rsidRPr="0042621E">
              <w:rPr>
                <w:rStyle w:val="libFootnote0Char"/>
                <w:rtl/>
              </w:rPr>
              <w:t>(2).</w:t>
            </w:r>
            <w:r w:rsidRPr="005D642E">
              <w:rPr>
                <w:rtl/>
              </w:rPr>
              <w:t xml:space="preserve"> في « غ ، بخ » : « ممّا</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بف » : « المحروم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هذا آخر وطئي من الدنيا » ، أي آخر نزولي </w:t>
      </w:r>
      <w:r w:rsidR="001C7F43">
        <w:rPr>
          <w:rtl/>
        </w:rPr>
        <w:t>في الأرض ومشيي عليها. قال العل</w:t>
      </w:r>
      <w:r w:rsidR="001C7F43">
        <w:rPr>
          <w:rFonts w:hint="cs"/>
          <w:rtl/>
        </w:rPr>
        <w:t>ّ</w:t>
      </w:r>
      <w:r w:rsidR="001C7F43">
        <w:rPr>
          <w:rtl/>
        </w:rPr>
        <w:t>ا</w:t>
      </w:r>
      <w:r w:rsidR="00E3253D" w:rsidRPr="005D642E">
        <w:rPr>
          <w:rtl/>
        </w:rPr>
        <w:t>مة المجلسي : « ويعارضه أخبار كثيرة ، ويمكن حمله على أنّ المراد نزولي لإنزال الوحي ، أو المراد قلّة النزول بعد ذلك ، فكان القليل في حكم العدم ، والله يعلم</w:t>
      </w:r>
      <w:r w:rsidR="00E3253D">
        <w:rPr>
          <w:rtl/>
        </w:rPr>
        <w:t xml:space="preserve"> ».</w:t>
      </w:r>
      <w:r w:rsidR="00E3253D" w:rsidRPr="005D642E">
        <w:rPr>
          <w:rtl/>
        </w:rPr>
        <w:t xml:space="preserve"> </w:t>
      </w:r>
      <w:r w:rsidR="00E3253D" w:rsidRPr="002F4D34">
        <w:rPr>
          <w:rStyle w:val="libFootnoteBoldChar"/>
          <w:rtl/>
        </w:rPr>
        <w:t>مرآة العقول</w:t>
      </w:r>
      <w:r w:rsidR="00E3253D" w:rsidRPr="005D642E">
        <w:rPr>
          <w:rtl/>
        </w:rPr>
        <w:t xml:space="preserve"> ، ج 14 ، ص 179.</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 « سمعنا</w:t>
      </w:r>
      <w:r w:rsidR="00E3253D">
        <w:rPr>
          <w:rtl/>
        </w:rPr>
        <w:t xml:space="preserve"> ».</w:t>
      </w:r>
    </w:p>
    <w:p w:rsidR="00E3253D" w:rsidRPr="005D642E" w:rsidRDefault="0042621E" w:rsidP="001C7F43">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الكافي</w:t>
      </w:r>
      <w:r w:rsidR="00E3253D" w:rsidRPr="005D642E">
        <w:rPr>
          <w:rtl/>
        </w:rPr>
        <w:t xml:space="preserve"> ، كتاب الحجّة ، باب مولد النبيّ </w:t>
      </w:r>
      <w:r w:rsidRPr="001C7F43">
        <w:rPr>
          <w:rStyle w:val="libFootnoteAlaemChar"/>
          <w:rtl/>
        </w:rPr>
        <w:t>صلى‌الله‌عليه‌وآله</w:t>
      </w:r>
      <w:r w:rsidR="00E3253D" w:rsidRPr="005D642E">
        <w:rPr>
          <w:rtl/>
        </w:rPr>
        <w:t xml:space="preserve"> ووفاته ، ح 1210 ، بسند آخر عن أبي جعفر </w:t>
      </w:r>
      <w:r w:rsidR="00E3253D" w:rsidRPr="001C7F43">
        <w:rPr>
          <w:rStyle w:val="libFootnoteAlaemChar"/>
          <w:rtl/>
        </w:rPr>
        <w:t>عليه‌السلام</w:t>
      </w:r>
      <w:r w:rsidR="00E3253D" w:rsidRPr="005D642E">
        <w:rPr>
          <w:rtl/>
        </w:rPr>
        <w:t xml:space="preserve"> ؛ </w:t>
      </w:r>
      <w:r w:rsidR="00E3253D" w:rsidRPr="0035521A">
        <w:rPr>
          <w:rStyle w:val="libFootnoteBoldChar"/>
          <w:rtl/>
        </w:rPr>
        <w:t>الأمالي للطوسي</w:t>
      </w:r>
      <w:r w:rsidR="00E3253D" w:rsidRPr="005D642E">
        <w:rPr>
          <w:rtl/>
        </w:rPr>
        <w:t xml:space="preserve"> ، ص 547 ، المجلس 20 ، ضمن الحديث الطويل 4 ، بسند آخر عن أبي‌ذرّ عن عليّ </w:t>
      </w:r>
      <w:r w:rsidR="00E3253D" w:rsidRPr="001C7F43">
        <w:rPr>
          <w:rStyle w:val="libFootnoteAlaemChar"/>
          <w:rtl/>
        </w:rPr>
        <w:t>عليه‌السلام</w:t>
      </w:r>
      <w:r w:rsidR="00E3253D" w:rsidRPr="005D642E">
        <w:rPr>
          <w:rtl/>
        </w:rPr>
        <w:t xml:space="preserve"> ، وفيهما مع اختلاف. </w:t>
      </w:r>
      <w:r w:rsidR="00E3253D" w:rsidRPr="002F4D34">
        <w:rPr>
          <w:rStyle w:val="libFootnoteBoldChar"/>
          <w:rtl/>
        </w:rPr>
        <w:t>تفسير العيّاشي</w:t>
      </w:r>
      <w:r w:rsidR="00E3253D" w:rsidRPr="005D642E">
        <w:rPr>
          <w:rtl/>
        </w:rPr>
        <w:t xml:space="preserve"> ، ج 1 ، ص 209 ، ح 167 ، عن الحسين ، عن أبي عبدالله </w:t>
      </w:r>
      <w:r w:rsidR="00E3253D" w:rsidRPr="001C7F43">
        <w:rPr>
          <w:rStyle w:val="libFootnoteAlaemChar"/>
          <w:rtl/>
        </w:rPr>
        <w:t>عليه‌السلام</w:t>
      </w:r>
      <w:r w:rsidR="00E3253D" w:rsidRPr="005D642E">
        <w:rPr>
          <w:rtl/>
        </w:rPr>
        <w:t xml:space="preserve"> ، مع اختلاف يسير </w:t>
      </w:r>
      <w:r w:rsidR="001C7F43">
        <w:rPr>
          <w:rFonts w:hint="cs"/>
          <w:rtl/>
        </w:rPr>
        <w:t>.</w:t>
      </w:r>
      <w:r w:rsidR="00E3253D" w:rsidRPr="002F4D34">
        <w:rPr>
          <w:rStyle w:val="libFootnoteBoldChar"/>
          <w:rtl/>
        </w:rPr>
        <w:t>الوافي</w:t>
      </w:r>
      <w:r w:rsidR="00E3253D" w:rsidRPr="005D642E">
        <w:rPr>
          <w:rtl/>
        </w:rPr>
        <w:t xml:space="preserve"> ، ج 25 ، ص 562 ، ح 24664.</w:t>
      </w:r>
      <w:r w:rsidR="001F7EDD">
        <w:rPr>
          <w:rFonts w:hint="cs"/>
          <w:rtl/>
        </w:rPr>
        <w:t xml:space="preserve">     </w:t>
      </w:r>
      <w:r w:rsidR="001C7F43">
        <w:rPr>
          <w:rFonts w:hint="cs"/>
          <w:rtl/>
        </w:rPr>
        <w:t xml:space="preserve">        </w:t>
      </w:r>
      <w:r w:rsidRPr="0042621E">
        <w:rPr>
          <w:rStyle w:val="libFootnote0Char"/>
          <w:rtl/>
        </w:rPr>
        <w:t>(7).</w:t>
      </w:r>
      <w:r w:rsidR="00E3253D" w:rsidRPr="005D642E">
        <w:rPr>
          <w:rtl/>
        </w:rPr>
        <w:t xml:space="preserve"> في « بف » : « قال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C7F43" w:rsidTr="001C7F43">
        <w:tc>
          <w:tcPr>
            <w:tcW w:w="4006" w:type="dxa"/>
          </w:tcPr>
          <w:p w:rsidR="001C7F43" w:rsidRDefault="001C7F43" w:rsidP="00E3253D">
            <w:pPr>
              <w:pStyle w:val="libFootnote0"/>
              <w:rPr>
                <w:rStyle w:val="libFootnote0Char"/>
                <w:rtl/>
              </w:rPr>
            </w:pPr>
            <w:r w:rsidRPr="0042621E">
              <w:rPr>
                <w:rStyle w:val="libFootnote0Char"/>
                <w:rtl/>
              </w:rPr>
              <w:t>(8).</w:t>
            </w:r>
            <w:r w:rsidRPr="005D642E">
              <w:rPr>
                <w:rtl/>
              </w:rPr>
              <w:t xml:space="preserve"> في « بح » : + « إنّ</w:t>
            </w:r>
            <w:r>
              <w:rPr>
                <w:rtl/>
              </w:rPr>
              <w:t xml:space="preserve"> ».</w:t>
            </w:r>
          </w:p>
        </w:tc>
        <w:tc>
          <w:tcPr>
            <w:tcW w:w="4006" w:type="dxa"/>
          </w:tcPr>
          <w:p w:rsidR="001C7F43" w:rsidRDefault="001C7F43" w:rsidP="00E3253D">
            <w:pPr>
              <w:pStyle w:val="libFootnote0"/>
              <w:rPr>
                <w:rStyle w:val="libFootnote0Char"/>
                <w:rtl/>
              </w:rPr>
            </w:pPr>
            <w:r w:rsidRPr="0042621E">
              <w:rPr>
                <w:rStyle w:val="libFootnote0Char"/>
                <w:rtl/>
              </w:rPr>
              <w:t>(9).</w:t>
            </w:r>
            <w:r w:rsidRPr="005D642E">
              <w:rPr>
                <w:rtl/>
              </w:rPr>
              <w:t xml:space="preserve"> في « بح » : « وخلفاً</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بس ، بح » : « ودركاً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حُرِمَ الثَّوَابَ ، وَالسَّلَامُ عَلَيْكُمْ</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C24A4C">
        <w:rPr>
          <w:rtl/>
        </w:rPr>
        <w:t>4654</w:t>
      </w:r>
      <w:r w:rsidRPr="00246318">
        <w:rPr>
          <w:rStyle w:val="libBold2Char"/>
          <w:rtl/>
        </w:rPr>
        <w:t xml:space="preserve"> / 7.</w:t>
      </w:r>
      <w:r w:rsidRPr="005D642E">
        <w:rPr>
          <w:rtl/>
          <w:lang w:bidi="fa-IR"/>
        </w:rPr>
        <w:t xml:space="preserve"> عَنْهُ </w:t>
      </w:r>
      <w:r w:rsidRPr="007C12DB">
        <w:rPr>
          <w:rStyle w:val="libFootnotenumChar"/>
          <w:rtl/>
        </w:rPr>
        <w:t>(2)</w:t>
      </w:r>
      <w:r w:rsidRPr="005D642E">
        <w:rPr>
          <w:rtl/>
          <w:lang w:bidi="fa-IR"/>
        </w:rPr>
        <w:t xml:space="preserve"> ، عَنْ عَلِيِّ بْنِ سَيْفٍ ، عَنْ أَبِيهِ ، عَنْ أَبِي الْجَارُودِ ، عَنْ أَبِي جَعْفَرٍ </w:t>
      </w:r>
      <w:r w:rsidRPr="00AC51C5">
        <w:rPr>
          <w:rStyle w:val="libAlaemChar"/>
          <w:rtl/>
        </w:rPr>
        <w:t>عليه‌السلام</w:t>
      </w:r>
      <w:r w:rsidRPr="005D642E">
        <w:rPr>
          <w:rtl/>
          <w:lang w:bidi="fa-IR"/>
        </w:rPr>
        <w:t xml:space="preserve"> مِثْلُهُ ، وَزَادَ فِيهِ :</w:t>
      </w:r>
    </w:p>
    <w:p w:rsidR="00E3253D" w:rsidRPr="005D642E" w:rsidRDefault="00E3253D" w:rsidP="00E3253D">
      <w:pPr>
        <w:pStyle w:val="libNormal"/>
        <w:rPr>
          <w:rtl/>
          <w:lang w:bidi="fa-IR"/>
        </w:rPr>
      </w:pPr>
      <w:r w:rsidRPr="005D642E">
        <w:rPr>
          <w:rtl/>
          <w:lang w:bidi="fa-IR"/>
        </w:rPr>
        <w:t>قُلْتُ : مَنْ كَانَ فِي الْبَيْتِ</w:t>
      </w:r>
      <w:r>
        <w:rPr>
          <w:rtl/>
          <w:lang w:bidi="fa-IR"/>
        </w:rPr>
        <w:t>؟</w:t>
      </w:r>
      <w:r w:rsidRPr="005D642E">
        <w:rPr>
          <w:rtl/>
          <w:lang w:bidi="fa-IR"/>
        </w:rPr>
        <w:t xml:space="preserve"> قَالَ : « عَلِيٌّ وَفَاطِمَةُ وَالْحَسَنُ وَالْحُسَيْنُ </w:t>
      </w:r>
      <w:r w:rsidRPr="00AC51C5">
        <w:rPr>
          <w:rStyle w:val="libAlaemChar"/>
          <w:rtl/>
        </w:rPr>
        <w:t>عليهم‌السلام</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C24A4C">
        <w:rPr>
          <w:rtl/>
        </w:rPr>
        <w:t>4655</w:t>
      </w:r>
      <w:r w:rsidRPr="00246318">
        <w:rPr>
          <w:rStyle w:val="libBold2Char"/>
          <w:rtl/>
        </w:rPr>
        <w:t xml:space="preserve"> / 8.</w:t>
      </w:r>
      <w:r w:rsidRPr="005D642E">
        <w:rPr>
          <w:rtl/>
          <w:lang w:bidi="fa-IR"/>
        </w:rPr>
        <w:t xml:space="preserve"> عَنْهُ </w:t>
      </w:r>
      <w:r w:rsidRPr="007C12DB">
        <w:rPr>
          <w:rStyle w:val="libFootnotenumChar"/>
          <w:rtl/>
        </w:rPr>
        <w:t>(4)</w:t>
      </w:r>
      <w:r w:rsidRPr="005D642E">
        <w:rPr>
          <w:rtl/>
          <w:lang w:bidi="fa-IR"/>
        </w:rPr>
        <w:t xml:space="preserve"> ، عَنْ سَلَمَةَ ، عَنْ مُحَمَّدِ بْنِ عِيسَى الْأَرْمَنِيِّ ، عَنِ الْحُسَيْنِ بْنِ عُلْوَانَ ، عَنْ عَبْدِ اللهِ بْنِ الْوَلِيدِ :</w:t>
      </w:r>
    </w:p>
    <w:p w:rsidR="00E3253D" w:rsidRPr="005D642E" w:rsidRDefault="00E3253D" w:rsidP="001C7F43">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لَمَّا قُبِضَ رَسُولُ اللهِ </w:t>
      </w:r>
      <w:r w:rsidR="0042621E" w:rsidRPr="0042621E">
        <w:rPr>
          <w:rStyle w:val="libAlaemChar"/>
          <w:rtl/>
        </w:rPr>
        <w:t>صلى‌الله‌عليه‌وآله</w:t>
      </w:r>
      <w:r w:rsidRPr="005D642E">
        <w:rPr>
          <w:rtl/>
          <w:lang w:bidi="fa-IR"/>
        </w:rPr>
        <w:t xml:space="preserve"> ، أَتَاهُمْ آتٍ ، فَوَقَفَ بِبَابِ الْبَيْتِ ، فَسَلَّمَ عَلَيْهِمْ ، ثُمَّ قَالَ </w:t>
      </w:r>
      <w:r w:rsidRPr="007C12DB">
        <w:rPr>
          <w:rStyle w:val="libFootnotenumChar"/>
          <w:rtl/>
        </w:rPr>
        <w:t>(5)</w:t>
      </w:r>
      <w:r w:rsidRPr="005D642E">
        <w:rPr>
          <w:rtl/>
          <w:lang w:bidi="fa-IR"/>
        </w:rPr>
        <w:t xml:space="preserve"> : السَّلَامُ عَلَيْكُمْ يَا آلَ مُحَمَّدٍ ، </w:t>
      </w:r>
      <w:r w:rsidRPr="00AC51C5">
        <w:rPr>
          <w:rStyle w:val="libAlaemChar"/>
          <w:rtl/>
        </w:rPr>
        <w:t>(</w:t>
      </w:r>
      <w:r w:rsidRPr="00AC51C5">
        <w:rPr>
          <w:rStyle w:val="libAieChar"/>
          <w:rtl/>
        </w:rPr>
        <w:t xml:space="preserve"> كُلُّ نَفْسٍ ذائِقَةُ الْمَوْتِ وَإِنَّما تُوَفَّوْنَ أُجُورَكُمْ يَوْمَ الْقِيامَةِ فَمَنْ زُحْزِحَ عَنِ النّارِ وَأُدْخِلَ الْجَنَّةَ فَقَدْ فازَ</w:t>
      </w:r>
      <w:r w:rsidR="001C7F43">
        <w:rPr>
          <w:rStyle w:val="libAieChar"/>
          <w:rtl/>
        </w:rPr>
        <w:t xml:space="preserve"> وَمَا الْحَياةُ الدُّنْيا إِل</w:t>
      </w:r>
      <w:r w:rsidR="001C7F43">
        <w:rPr>
          <w:rStyle w:val="libAieChar"/>
          <w:rFonts w:hint="cs"/>
          <w:rtl/>
        </w:rPr>
        <w:t>َّ</w:t>
      </w:r>
      <w:r w:rsidR="001C7F43">
        <w:rPr>
          <w:rStyle w:val="libAieChar"/>
          <w:rtl/>
        </w:rPr>
        <w:t>ا</w:t>
      </w:r>
      <w:r w:rsidRPr="00AC51C5">
        <w:rPr>
          <w:rStyle w:val="libAieChar"/>
          <w:rtl/>
        </w:rPr>
        <w:t xml:space="preserve"> مَتاعُ الْغُرُورِ </w:t>
      </w:r>
      <w:r w:rsidRPr="00AC51C5">
        <w:rPr>
          <w:rStyle w:val="libAlaemChar"/>
          <w:rtl/>
        </w:rPr>
        <w:t>)</w:t>
      </w:r>
      <w:r w:rsidRPr="005D642E">
        <w:rPr>
          <w:rtl/>
          <w:lang w:bidi="fa-IR"/>
        </w:rPr>
        <w:t xml:space="preserve"> فِي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خَلَفٌ مِنْ كُلِّ هَالِكٍ ، وَعَزَاءٌ مِنْ كُلِّ مُصِيبَةٍ ، وَدَرَكٌ لِمَا فَاتَ ، فَبِاللهِ فَثِقُوا ، وَعَلَيْهِ فَتَوَكَّلُوا ، وَبِنَصْرِهِ لَكُمْ عِنْدَ الْمُصِيبَةِ فَارْضَوْا ؛ فَإِنَّمَا </w:t>
      </w:r>
      <w:r w:rsidRPr="007C12DB">
        <w:rPr>
          <w:rStyle w:val="libFootnotenumChar"/>
          <w:rtl/>
        </w:rPr>
        <w:t>(6)</w:t>
      </w:r>
      <w:r w:rsidRPr="005D642E">
        <w:rPr>
          <w:rtl/>
          <w:lang w:bidi="fa-IR"/>
        </w:rPr>
        <w:t xml:space="preserve"> الْمُصَابُ مَنْ حُرِمَ الثَّوَابَ ، وَالسَّلَامُ عَلَيْكُمْ وَرَحْمَةُ اللهِ وَبَرَكَاتُهُ. وَلَمْ يَرَوْا أَحَداً ، فَقَالَ بَعْضُ مَنْ فِي الْبَيْتِ : هذَا مَلَكٌ مِنَ السَّمَاءِ بَعَثَهُ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إِلَيْكُمْ لِيُعَزِّيَكُمْ ، وَقَالَ بَعْضُهُمْ : هذَا الْخَضِرُ </w:t>
      </w:r>
      <w:r w:rsidRPr="00AC51C5">
        <w:rPr>
          <w:rStyle w:val="libAlaemChar"/>
          <w:rtl/>
        </w:rPr>
        <w:t>عليه‌السلام</w:t>
      </w:r>
      <w:r w:rsidRPr="005D642E">
        <w:rPr>
          <w:rtl/>
          <w:lang w:bidi="fa-IR"/>
        </w:rPr>
        <w:t xml:space="preserve"> جَاءَكُمْ يُعَزِّيكُمْ بِنَبِيِّكُمْ </w:t>
      </w:r>
      <w:r w:rsidR="001C7F43" w:rsidRPr="0042621E">
        <w:rPr>
          <w:rStyle w:val="libAlaemChar"/>
          <w:rtl/>
        </w:rPr>
        <w:t>صلى‌الله‌عليه‌وآله</w:t>
      </w:r>
      <w:r w:rsidR="001C7F43" w:rsidRPr="005D642E">
        <w:rPr>
          <w:rtl/>
          <w:lang w:bidi="fa-IR"/>
        </w:rPr>
        <w:t xml:space="preserve"> </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0D749A" w:rsidRPr="000D749A">
        <w:rPr>
          <w:rStyle w:val="libFootnoteBoldChar"/>
          <w:rtl/>
        </w:rPr>
        <w:t>الأمالي للصدوق</w:t>
      </w:r>
      <w:r w:rsidR="00E3253D" w:rsidRPr="005D642E">
        <w:rPr>
          <w:rtl/>
        </w:rPr>
        <w:t xml:space="preserve"> ، ص 274 ، المجلس 46 ، ذيل ح 11 ؛ </w:t>
      </w:r>
      <w:r w:rsidR="00E3253D" w:rsidRPr="001C7F43">
        <w:rPr>
          <w:rStyle w:val="libFootnoteBoldChar"/>
          <w:rtl/>
        </w:rPr>
        <w:t>وك</w:t>
      </w:r>
      <w:r w:rsidR="00E3253D" w:rsidRPr="002F4D34">
        <w:rPr>
          <w:rStyle w:val="libFootnoteBoldChar"/>
          <w:rtl/>
        </w:rPr>
        <w:t xml:space="preserve">مال الدين </w:t>
      </w:r>
      <w:r w:rsidR="00E3253D" w:rsidRPr="005D642E">
        <w:rPr>
          <w:rtl/>
        </w:rPr>
        <w:t xml:space="preserve">، ص 392 ، ح 7 ، بسند آخر عن جعفر بن محمّد ، عن أبيه ، عن عليّ بن الحسين </w:t>
      </w:r>
      <w:r w:rsidR="00E3253D" w:rsidRPr="001C7F43">
        <w:rPr>
          <w:rStyle w:val="libFootnoteAlaemChar"/>
          <w:rtl/>
        </w:rPr>
        <w:t>عليهم‌السلام</w:t>
      </w:r>
      <w:r w:rsidR="00E3253D" w:rsidRPr="005D642E">
        <w:rPr>
          <w:rtl/>
        </w:rPr>
        <w:t xml:space="preserve"> </w:t>
      </w:r>
      <w:r w:rsidR="001C7F43">
        <w:rPr>
          <w:rFonts w:hint="cs"/>
          <w:rtl/>
        </w:rPr>
        <w:t>.</w:t>
      </w:r>
      <w:r w:rsidR="00E3253D" w:rsidRPr="002F4D34">
        <w:rPr>
          <w:rStyle w:val="libFootnoteBoldChar"/>
          <w:rtl/>
        </w:rPr>
        <w:t>الوافي</w:t>
      </w:r>
      <w:r w:rsidR="00E3253D" w:rsidRPr="005D642E">
        <w:rPr>
          <w:rtl/>
        </w:rPr>
        <w:t xml:space="preserve"> ، ج 25 ، ص 563 ، ح 24665.</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الضمير راجع إلى سلمة المذكور في السند السابق.</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25 ، ص 563 ، ح 24666.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مرجع الضمير في هذا السند متّحد مع مرجع الضمير في سند الحديث السادس ، وهو محمّد بن يحيى‌المذكور في سند الحديث الخامس ، فليس في هذين السندين تعليق.</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بف » : « وقال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بف » : « إنّما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كمال الدين</w:t>
      </w:r>
      <w:r w:rsidR="00E3253D" w:rsidRPr="005D642E">
        <w:rPr>
          <w:rtl/>
        </w:rPr>
        <w:t xml:space="preserve"> ، ص 391 ، ح 5 ، بسند آخر عن الرضا </w:t>
      </w:r>
      <w:r w:rsidR="00E3253D" w:rsidRPr="001C7F43">
        <w:rPr>
          <w:rStyle w:val="libFootnoteAlaemChar"/>
          <w:rtl/>
        </w:rPr>
        <w:t>عليه‌السلام</w:t>
      </w:r>
      <w:r w:rsidR="00E3253D" w:rsidRPr="005D642E">
        <w:rPr>
          <w:rtl/>
        </w:rPr>
        <w:t xml:space="preserve"> ، مع اختلاف </w:t>
      </w:r>
      <w:r w:rsidR="001C7F43">
        <w:rPr>
          <w:rFonts w:hint="cs"/>
          <w:rtl/>
        </w:rPr>
        <w:t>.</w:t>
      </w:r>
      <w:r w:rsidR="00E3253D" w:rsidRPr="002F4D34">
        <w:rPr>
          <w:rStyle w:val="libFootnoteBoldChar"/>
          <w:rtl/>
        </w:rPr>
        <w:t>الوافي</w:t>
      </w:r>
      <w:r w:rsidR="00E3253D" w:rsidRPr="005D642E">
        <w:rPr>
          <w:rtl/>
        </w:rPr>
        <w:t xml:space="preserve"> ، ج 25 ، ص 563 ، ح 24667.</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506" w:name="_Toc344647380"/>
      <w:bookmarkStart w:id="507" w:name="_Toc462226894"/>
      <w:bookmarkStart w:id="508" w:name="_Toc40976002"/>
      <w:r w:rsidRPr="005D642E">
        <w:rPr>
          <w:rtl/>
          <w:lang w:bidi="fa-IR"/>
        </w:rPr>
        <w:t>82</w:t>
      </w:r>
      <w:r>
        <w:rPr>
          <w:rtl/>
          <w:lang w:bidi="fa-IR"/>
        </w:rPr>
        <w:t xml:space="preserve"> </w:t>
      </w:r>
      <w:r w:rsidR="007642BC">
        <w:rPr>
          <w:rtl/>
          <w:lang w:bidi="fa-IR"/>
        </w:rPr>
        <w:t>-</w:t>
      </w:r>
      <w:r>
        <w:rPr>
          <w:rtl/>
          <w:lang w:bidi="fa-IR"/>
        </w:rPr>
        <w:t xml:space="preserve"> </w:t>
      </w:r>
      <w:r w:rsidRPr="005D642E">
        <w:rPr>
          <w:rtl/>
          <w:lang w:bidi="fa-IR"/>
        </w:rPr>
        <w:t>بَابُ الصَّبْرِ وَالْجَزَعِ وَالِاسْتِرْجَاعِ‌</w:t>
      </w:r>
      <w:bookmarkEnd w:id="506"/>
      <w:bookmarkEnd w:id="507"/>
      <w:bookmarkEnd w:id="508"/>
    </w:p>
    <w:p w:rsidR="00E3253D" w:rsidRPr="005D642E" w:rsidRDefault="00E3253D" w:rsidP="00E3253D">
      <w:pPr>
        <w:pStyle w:val="libNormal"/>
        <w:rPr>
          <w:rtl/>
          <w:lang w:bidi="fa-IR"/>
        </w:rPr>
      </w:pPr>
      <w:r w:rsidRPr="00C24A4C">
        <w:rPr>
          <w:rtl/>
        </w:rPr>
        <w:t>4656</w:t>
      </w:r>
      <w:r w:rsidRPr="00246318">
        <w:rPr>
          <w:rStyle w:val="libBold2Char"/>
          <w:rtl/>
        </w:rPr>
        <w:t xml:space="preserve"> / 1.</w:t>
      </w:r>
      <w:r w:rsidRPr="005D642E">
        <w:rPr>
          <w:rtl/>
          <w:lang w:bidi="fa-IR"/>
        </w:rPr>
        <w:t xml:space="preserve"> عِدَّةٌ مِنْ أَصْحَابِنَا ، عَنْ سَهْلِ بْنِ زِيَادٍ ، عَنْ أَحْمَدَ بْنِ مُحَمَّدِ بْنِ أَبِي نَصْرٍ وَالْحَسَنِ بْنِ عَلِيٍّ جَمِيعاً ، عَنْ أَبِي جَمِيلَةَ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w:t>
      </w:r>
      <w:r w:rsidRPr="007C12DB">
        <w:rPr>
          <w:rStyle w:val="libFootnotenumChar"/>
          <w:rtl/>
        </w:rPr>
        <w:t>(1)</w:t>
      </w:r>
      <w:r w:rsidRPr="005D642E">
        <w:rPr>
          <w:rtl/>
          <w:lang w:bidi="fa-IR"/>
        </w:rPr>
        <w:t xml:space="preserve"> : قُلْتُ لَهُ : مَا الْجَزَعُ</w:t>
      </w:r>
      <w:r>
        <w:rPr>
          <w:rtl/>
          <w:lang w:bidi="fa-IR"/>
        </w:rPr>
        <w:t>؟</w:t>
      </w:r>
    </w:p>
    <w:p w:rsidR="00E3253D" w:rsidRPr="005D642E" w:rsidRDefault="00E3253D" w:rsidP="00E3253D">
      <w:pPr>
        <w:pStyle w:val="libNormal"/>
        <w:rPr>
          <w:rtl/>
          <w:lang w:bidi="fa-IR"/>
        </w:rPr>
      </w:pPr>
      <w:r w:rsidRPr="005D642E">
        <w:rPr>
          <w:rtl/>
          <w:lang w:bidi="fa-IR"/>
        </w:rPr>
        <w:t>قَالَ : « أَشَدُّ الْجَزَعِ الصُّرَاخُ بِالْوَيْلِ وَالْعَوِيلِ ، وَلَطْمُ الْوَجْهِ وَالصَّدْرِ ، وَجَزُّ الشَّعْرِ مِنَ</w:t>
      </w:r>
      <w:r>
        <w:rPr>
          <w:rFonts w:hint="cs"/>
          <w:rtl/>
          <w:lang w:bidi="fa-IR"/>
        </w:rPr>
        <w:t xml:space="preserve"> </w:t>
      </w:r>
      <w:r w:rsidRPr="005D642E">
        <w:rPr>
          <w:rtl/>
          <w:lang w:bidi="fa-IR"/>
        </w:rPr>
        <w:t xml:space="preserve">النَّوَاصِي </w:t>
      </w:r>
      <w:r w:rsidRPr="007C12DB">
        <w:rPr>
          <w:rStyle w:val="libFootnotenumChar"/>
          <w:rtl/>
        </w:rPr>
        <w:t>(2)</w:t>
      </w:r>
      <w:r w:rsidRPr="005D642E">
        <w:rPr>
          <w:rtl/>
          <w:lang w:bidi="fa-IR"/>
        </w:rPr>
        <w:t xml:space="preserve"> ؛ وَمَنْ أَقَامَ النُّوَاحَةَ ، فَقَدْ تَرَكَ الصَّبْرَ ، وَأَخَذَ فِي غَيْرِ طَرِيقِهِ ؛ وَمَنْ صَبَرَ وَاسْتَرْجَعَ وَحَمِدَ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فَقَدْ رَضِيَ بِمَا صَنَعَ اللهُ ، وَوَقَعَ أَجْرُهُ عَلَى اللهِ ؛ وَمَنْ لَمْ يَفْعَلْ ذلِكَ ، جَرى عَلَيْهِ الْقَضَاءُ وَهُوَ ذَمِيمٌ ، وَأَحْبَطَ اللهُ تَعَالى أَجْرَهُ</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04218F" w:rsidP="00E3253D">
      <w:pPr>
        <w:pStyle w:val="libNormal"/>
        <w:rPr>
          <w:rtl/>
          <w:lang w:bidi="fa-IR"/>
        </w:rPr>
      </w:pPr>
      <w:r>
        <w:rPr>
          <w:rFonts w:hint="cs"/>
          <w:rtl/>
          <w:lang w:bidi="fa-IR"/>
        </w:rPr>
        <w:t xml:space="preserve">* </w:t>
      </w:r>
      <w:r w:rsidR="00E3253D" w:rsidRPr="005D642E">
        <w:rPr>
          <w:rtl/>
          <w:lang w:bidi="fa-IR"/>
        </w:rPr>
        <w:t xml:space="preserve">عَلِيُّ بْنُ إِبْرَاهِيمَ ، عَنْ أَبِيهِ ، عَنْ عَمْرِو بْنِ عُثْمَانَ ، عَنْ أَبِي جَمِيلَةَ ، عَنْ جَابِرٍ ، عَنْ أَبِي جَعْفَرٍ </w:t>
      </w:r>
      <w:r w:rsidR="00E3253D" w:rsidRPr="00AC51C5">
        <w:rPr>
          <w:rStyle w:val="libAlaemChar"/>
          <w:rtl/>
        </w:rPr>
        <w:t>عليه‌السلام</w:t>
      </w:r>
      <w:r w:rsidR="00E3253D" w:rsidRPr="005D642E">
        <w:rPr>
          <w:rtl/>
          <w:lang w:bidi="fa-IR"/>
        </w:rPr>
        <w:t xml:space="preserve"> مِثْلَهُ. </w:t>
      </w:r>
      <w:r w:rsidR="00E3253D" w:rsidRPr="007C12DB">
        <w:rPr>
          <w:rStyle w:val="libFootnotenumChar"/>
          <w:rtl/>
        </w:rPr>
        <w:t>(4)</w:t>
      </w:r>
      <w:r w:rsidR="00E3253D" w:rsidRPr="005D642E">
        <w:rPr>
          <w:rtl/>
          <w:lang w:bidi="fa-IR"/>
        </w:rPr>
        <w:t xml:space="preserve"> ‌</w:t>
      </w:r>
    </w:p>
    <w:p w:rsidR="00E3253D" w:rsidRPr="005D642E" w:rsidRDefault="00E3253D" w:rsidP="00E3253D">
      <w:pPr>
        <w:pStyle w:val="libNormal"/>
        <w:rPr>
          <w:rtl/>
          <w:lang w:bidi="fa-IR"/>
        </w:rPr>
      </w:pPr>
      <w:r w:rsidRPr="00C24A4C">
        <w:rPr>
          <w:rtl/>
        </w:rPr>
        <w:t>4657</w:t>
      </w:r>
      <w:r w:rsidRPr="00246318">
        <w:rPr>
          <w:rStyle w:val="libBold2Char"/>
          <w:rtl/>
        </w:rPr>
        <w:t xml:space="preserve"> / 2.</w:t>
      </w:r>
      <w:r w:rsidRPr="005D642E">
        <w:rPr>
          <w:rtl/>
          <w:lang w:bidi="fa-IR"/>
        </w:rPr>
        <w:t xml:space="preserve"> الْحُسَيْنُ بْنُ مُحَمَّدٍ ، عَنْ عَبْدِ اللهِ بْنِ عَامِرٍ ، عَنْ عَلِيِّ بْنِ مَهْزِيَارَ ، عَنْ عَلِيِّ بْنِ إِسْمَاعِيلَ الْمِيثَمِيِّ ، عَنْ رِبْعِيِّ بْنِ عَبْدِ اللهِ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الصَّبْرَ وَالْبَلَاءَ يَسْتَبِقَانِ </w:t>
      </w:r>
      <w:r w:rsidRPr="007C12DB">
        <w:rPr>
          <w:rStyle w:val="libFootnotenumChar"/>
          <w:rtl/>
        </w:rPr>
        <w:t>(5)</w:t>
      </w:r>
      <w:r w:rsidRPr="005D642E">
        <w:rPr>
          <w:rtl/>
          <w:lang w:bidi="fa-IR"/>
        </w:rPr>
        <w:t xml:space="preserve"> إِلَى الْمُؤْمِنِ ، فَيَأْتِيهِ الْبَلَاءُ وَهُوَ صَبُورٌ ؛ وَإِنَّ الْجَزَعَ </w:t>
      </w:r>
      <w:r w:rsidRPr="007C12DB">
        <w:rPr>
          <w:rStyle w:val="libFootnotenumChar"/>
          <w:rtl/>
        </w:rPr>
        <w:t>(6)</w:t>
      </w:r>
      <w:r w:rsidRPr="005D642E">
        <w:rPr>
          <w:rtl/>
          <w:lang w:bidi="fa-IR"/>
        </w:rPr>
        <w:t xml:space="preserve"> وَالْبَلَاءَ يَسْتَبِقَانِ إِلَى الْكَافِرِ ، فَيَأْتِيهِ الْبَلَاءُ وَهُوَ جَزُوعٌ</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بس ، جس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النواصي » جمع الناصية : قصاص الشعر في مقدّم الرأس. راجع : </w:t>
      </w:r>
      <w:r w:rsidR="00E3253D" w:rsidRPr="002F4D34">
        <w:rPr>
          <w:rStyle w:val="libFootnoteBoldChar"/>
          <w:rtl/>
        </w:rPr>
        <w:t>القاموس المحيط</w:t>
      </w:r>
      <w:r w:rsidR="0004218F">
        <w:rPr>
          <w:rtl/>
        </w:rPr>
        <w:t xml:space="preserve"> ، ج 2 ، ص 1754 (</w:t>
      </w:r>
      <w:r w:rsidR="00E3253D" w:rsidRPr="005D642E">
        <w:rPr>
          <w:rtl/>
        </w:rPr>
        <w:t>نصي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25 ، ص 565 ، ح 24672 ؛ </w:t>
      </w:r>
      <w:r w:rsidR="00E3253D" w:rsidRPr="002F4D34">
        <w:rPr>
          <w:rStyle w:val="libFootnoteBoldChar"/>
          <w:rtl/>
        </w:rPr>
        <w:t>الوسائل</w:t>
      </w:r>
      <w:r w:rsidR="00E3253D" w:rsidRPr="005D642E">
        <w:rPr>
          <w:rtl/>
        </w:rPr>
        <w:t xml:space="preserve"> ، ج 3 ، ص 248 ، ح 3538 ، من قوله : « من صبر واسترجع وحمد الله » ؛ </w:t>
      </w:r>
      <w:r w:rsidR="00E3253D" w:rsidRPr="002F4D34">
        <w:rPr>
          <w:rStyle w:val="libFootnoteBoldChar"/>
          <w:rtl/>
        </w:rPr>
        <w:t>وفيه</w:t>
      </w:r>
      <w:r w:rsidR="00E3253D" w:rsidRPr="005D642E">
        <w:rPr>
          <w:rtl/>
        </w:rPr>
        <w:t xml:space="preserve"> ، ص 271 ، ح 3625 ، إلى قوله : « فقد ترك الصبر وأخذ في غير طريقه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566 ، ح 24673 ؛ </w:t>
      </w:r>
      <w:r w:rsidR="00E3253D" w:rsidRPr="002F4D34">
        <w:rPr>
          <w:rStyle w:val="libFootnoteBoldChar"/>
          <w:rtl/>
        </w:rPr>
        <w:t>الوسائل</w:t>
      </w:r>
      <w:r w:rsidR="00E3253D" w:rsidRPr="005D642E">
        <w:rPr>
          <w:rtl/>
        </w:rPr>
        <w:t xml:space="preserve"> ، ج 3 ، ص 248 ، ح 3538 ؛ وص 271 ، ذيل ح 3625.</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أي يتسابقان ، يريد كلّ منهما سبق الآخر ، وإنّ البلاء لا يسبق الصبر ، بل إمّا أن يتواردا على المؤمن ، أو يأتي‌</w:t>
      </w:r>
      <w:r w:rsidR="0004218F">
        <w:rPr>
          <w:rFonts w:hint="cs"/>
          <w:rtl/>
        </w:rPr>
        <w:t xml:space="preserve"> </w:t>
      </w:r>
      <w:r w:rsidR="00E3253D" w:rsidRPr="005D642E">
        <w:rPr>
          <w:rtl/>
        </w:rPr>
        <w:t>الصبر بعده ، وكذا الأمر في تسابق الجزع والبلاء بالنسبة إلى الكافر.</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الوسائل ، ح 3615 : « الصبر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177 ، ح 528 ، مرسلاً </w:t>
      </w:r>
      <w:r w:rsidR="0004218F">
        <w:rPr>
          <w:rFonts w:hint="cs"/>
          <w:rtl/>
        </w:rPr>
        <w:t>.</w:t>
      </w:r>
      <w:r w:rsidR="00E3253D" w:rsidRPr="002F4D34">
        <w:rPr>
          <w:rStyle w:val="libFootnoteBoldChar"/>
          <w:rtl/>
        </w:rPr>
        <w:t>الوافي</w:t>
      </w:r>
      <w:r w:rsidR="00E3253D" w:rsidRPr="005D642E">
        <w:rPr>
          <w:rtl/>
        </w:rPr>
        <w:t xml:space="preserve"> ، ج 25 ، ص 566 ، ح 24674 ؛ </w:t>
      </w:r>
      <w:r w:rsidR="00E3253D" w:rsidRPr="002F4D34">
        <w:rPr>
          <w:rStyle w:val="libFootnoteBoldChar"/>
          <w:rtl/>
        </w:rPr>
        <w:t>الوسائل</w:t>
      </w:r>
      <w:r w:rsidR="00E3253D" w:rsidRPr="005D642E">
        <w:rPr>
          <w:rtl/>
        </w:rPr>
        <w:t xml:space="preserve"> ، ج 3 ، ص 256 ، </w:t>
      </w:r>
      <w:r w:rsidR="0004218F">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C24A4C">
        <w:rPr>
          <w:rtl/>
        </w:rPr>
        <w:t>4658</w:t>
      </w:r>
      <w:r w:rsidRPr="00246318">
        <w:rPr>
          <w:rStyle w:val="libBold2Char"/>
          <w:rtl/>
        </w:rPr>
        <w:t xml:space="preserve"> / 3.</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ضَرْبُ الْمُسْلِمِ يَدَهُ عَلى فَخِذِهِ عِنْدَ الْمُصِيبَةِ إِحْبَاطٌ لِأَجْرِهِ</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C24A4C">
        <w:rPr>
          <w:rtl/>
        </w:rPr>
        <w:t>4659</w:t>
      </w:r>
      <w:r w:rsidRPr="00246318">
        <w:rPr>
          <w:rStyle w:val="libBold2Char"/>
          <w:rtl/>
        </w:rPr>
        <w:t xml:space="preserve"> / 4.</w:t>
      </w:r>
      <w:r w:rsidRPr="005D642E">
        <w:rPr>
          <w:rtl/>
          <w:lang w:bidi="fa-IR"/>
        </w:rPr>
        <w:t xml:space="preserve"> عَلِيُّ بْنُ إِبْرَاهِيمَ ، عَنْ أَبِيهِ ، عَنِ ابْنِ أَبِي عُمَيْرٍ ، عَنْ عَبْدِ اللهِ بْنِ سِنَانٍ ، عَنْ مَعْرُوفِ بْنِ خَرَّبُوذَ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مَا مِنْ عَبْدٍ يُصَابُ بِمُصِيبَةٍ ، فَيَسْتَرْجِعُ عِنْدَ ذِكْرِهِ </w:t>
      </w:r>
      <w:r w:rsidRPr="007C12DB">
        <w:rPr>
          <w:rStyle w:val="libFootnotenumChar"/>
          <w:rtl/>
        </w:rPr>
        <w:t>(2)</w:t>
      </w:r>
      <w:r w:rsidRPr="005D642E">
        <w:rPr>
          <w:rtl/>
          <w:lang w:bidi="fa-IR"/>
        </w:rPr>
        <w:t xml:space="preserve"> الْمُصِيبَةَ ، وَيَصْبِرُ </w:t>
      </w:r>
      <w:r w:rsidRPr="007C12DB">
        <w:rPr>
          <w:rStyle w:val="libFootnotenumChar"/>
          <w:rtl/>
        </w:rPr>
        <w:t>(3)</w:t>
      </w:r>
      <w:r w:rsidRPr="005D642E">
        <w:rPr>
          <w:rtl/>
          <w:lang w:bidi="fa-IR"/>
        </w:rPr>
        <w:t xml:space="preserve"> حِينَ تَفْجَؤُهُ </w:t>
      </w:r>
      <w:r w:rsidRPr="007C12DB">
        <w:rPr>
          <w:rStyle w:val="libFootnotenumChar"/>
          <w:rtl/>
        </w:rPr>
        <w:t>(4)</w:t>
      </w:r>
      <w:r w:rsidR="0004218F">
        <w:rPr>
          <w:rtl/>
          <w:lang w:bidi="fa-IR"/>
        </w:rPr>
        <w:t xml:space="preserve"> إِل</w:t>
      </w:r>
      <w:r w:rsidR="0004218F">
        <w:rPr>
          <w:rFonts w:hint="cs"/>
          <w:rtl/>
          <w:lang w:bidi="fa-IR"/>
        </w:rPr>
        <w:t>َّ</w:t>
      </w:r>
      <w:r w:rsidR="0004218F">
        <w:rPr>
          <w:rtl/>
          <w:lang w:bidi="fa-IR"/>
        </w:rPr>
        <w:t>ا</w:t>
      </w:r>
      <w:r w:rsidRPr="005D642E">
        <w:rPr>
          <w:rtl/>
          <w:lang w:bidi="fa-IR"/>
        </w:rPr>
        <w:t xml:space="preserve"> غَفَرَ اللهُ لَهُ </w:t>
      </w:r>
      <w:r w:rsidRPr="007C12DB">
        <w:rPr>
          <w:rStyle w:val="libFootnotenumChar"/>
          <w:rtl/>
        </w:rPr>
        <w:t>(5)</w:t>
      </w:r>
      <w:r w:rsidRPr="005D642E">
        <w:rPr>
          <w:rtl/>
          <w:lang w:bidi="fa-IR"/>
        </w:rPr>
        <w:t xml:space="preserve"> مَا تَقَدَّمَ مِنْ ذَنْبِهِ ، وَكُلَّمَا ذَكَرَ مُصِيبَتَهُ </w:t>
      </w:r>
      <w:r w:rsidRPr="007C12DB">
        <w:rPr>
          <w:rStyle w:val="libFootnotenumChar"/>
          <w:rtl/>
        </w:rPr>
        <w:t>(6)</w:t>
      </w:r>
      <w:r w:rsidRPr="005D642E">
        <w:rPr>
          <w:rtl/>
          <w:lang w:bidi="fa-IR"/>
        </w:rPr>
        <w:t xml:space="preserve"> ، فَاسْتَرْجَعَ </w:t>
      </w:r>
      <w:r w:rsidRPr="007C12DB">
        <w:rPr>
          <w:rStyle w:val="libFootnotenumChar"/>
          <w:rtl/>
        </w:rPr>
        <w:t>(7)</w:t>
      </w:r>
      <w:r w:rsidRPr="005D642E">
        <w:rPr>
          <w:rtl/>
          <w:lang w:bidi="fa-IR"/>
        </w:rPr>
        <w:t xml:space="preserve"> عِنْدَ ذِكْرِ </w:t>
      </w:r>
      <w:r w:rsidRPr="007C12DB">
        <w:rPr>
          <w:rStyle w:val="libFootnotenumChar"/>
          <w:rtl/>
        </w:rPr>
        <w:t>(8)</w:t>
      </w:r>
      <w:r w:rsidRPr="005D642E">
        <w:rPr>
          <w:rtl/>
          <w:lang w:bidi="fa-IR"/>
        </w:rPr>
        <w:t xml:space="preserve"> الْمُصِيبَةِ ، غَفَرَ اللهُ </w:t>
      </w:r>
      <w:r w:rsidRPr="007C12DB">
        <w:rPr>
          <w:rStyle w:val="libFootnotenumChar"/>
          <w:rtl/>
        </w:rPr>
        <w:t>(9)</w:t>
      </w:r>
      <w:r w:rsidRPr="005D642E">
        <w:rPr>
          <w:rtl/>
          <w:lang w:bidi="fa-IR"/>
        </w:rPr>
        <w:t xml:space="preserve"> لَهُ كُلَّ ذَنْبٍ اكْتَسَبَ </w:t>
      </w:r>
      <w:r w:rsidRPr="007C12DB">
        <w:rPr>
          <w:rStyle w:val="libFootnotenumChar"/>
          <w:rtl/>
        </w:rPr>
        <w:t>(10)</w:t>
      </w:r>
      <w:r w:rsidRPr="005D642E">
        <w:rPr>
          <w:rtl/>
          <w:lang w:bidi="fa-IR"/>
        </w:rPr>
        <w:t xml:space="preserve"> فِيمَا بَيْنَهُمَا </w:t>
      </w:r>
      <w:r w:rsidRPr="007C12DB">
        <w:rPr>
          <w:rStyle w:val="libFootnotenumChar"/>
          <w:rtl/>
        </w:rPr>
        <w:t>(11)</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C24A4C">
        <w:rPr>
          <w:rtl/>
        </w:rPr>
        <w:t>4660</w:t>
      </w:r>
      <w:r w:rsidRPr="00246318">
        <w:rPr>
          <w:rStyle w:val="libBold2Char"/>
          <w:rtl/>
        </w:rPr>
        <w:t xml:space="preserve"> / 5.</w:t>
      </w:r>
      <w:r w:rsidRPr="005D642E">
        <w:rPr>
          <w:rtl/>
          <w:lang w:bidi="fa-IR"/>
        </w:rPr>
        <w:t xml:space="preserve"> عَلِيٌّ ، عَنْ أَبِيهِ ، عَنِ ابْنِ أَبِي عُمَيْرٍ ، عَنْ دَاوُدَ بْنِ زَرْبِيِّ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04218F" w:rsidP="00E3253D">
      <w:pPr>
        <w:pStyle w:val="libFootnote0"/>
        <w:rPr>
          <w:rtl/>
          <w:lang w:bidi="fa-IR"/>
        </w:rPr>
      </w:pPr>
      <w:r>
        <w:rPr>
          <w:rFonts w:hint="cs"/>
          <w:rtl/>
        </w:rPr>
        <w:t xml:space="preserve">= </w:t>
      </w:r>
      <w:r w:rsidR="00E3253D" w:rsidRPr="005D642E">
        <w:rPr>
          <w:rtl/>
        </w:rPr>
        <w:t xml:space="preserve">ح 3565 ؛ </w:t>
      </w:r>
      <w:r w:rsidR="00E3253D" w:rsidRPr="002F4D34">
        <w:rPr>
          <w:rStyle w:val="libFootnoteBoldChar"/>
          <w:rtl/>
        </w:rPr>
        <w:t>وفيه</w:t>
      </w:r>
      <w:r w:rsidR="00E3253D" w:rsidRPr="005D642E">
        <w:rPr>
          <w:rtl/>
        </w:rPr>
        <w:t xml:space="preserve"> ، ص 269 ، ح 3615 ، من قوله : « إنّ الجزع والبلاء</w:t>
      </w:r>
      <w:r w:rsidR="00E3253D">
        <w:rPr>
          <w:rtl/>
        </w:rPr>
        <w:t xml:space="preserve"> ».</w:t>
      </w:r>
    </w:p>
    <w:p w:rsidR="00E3253D" w:rsidRPr="005D642E" w:rsidRDefault="0042621E" w:rsidP="0004218F">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خصائص الأئمّة</w:t>
      </w:r>
      <w:r w:rsidR="00E3253D" w:rsidRPr="005D642E">
        <w:rPr>
          <w:rtl/>
        </w:rPr>
        <w:t xml:space="preserve"> </w:t>
      </w:r>
      <w:r w:rsidR="00E3253D" w:rsidRPr="0004218F">
        <w:rPr>
          <w:rStyle w:val="libFootnoteAlaemChar"/>
          <w:rtl/>
        </w:rPr>
        <w:t>عليهم‌السلام</w:t>
      </w:r>
      <w:r w:rsidR="00E3253D" w:rsidRPr="005D642E">
        <w:rPr>
          <w:rtl/>
        </w:rPr>
        <w:t xml:space="preserve"> ، ص 104 ، مرسلاً ؛ </w:t>
      </w:r>
      <w:r w:rsidR="00E3253D" w:rsidRPr="002F4D34">
        <w:rPr>
          <w:rStyle w:val="libFootnoteBoldChar"/>
          <w:rtl/>
        </w:rPr>
        <w:t>نهج البلاغة</w:t>
      </w:r>
      <w:r w:rsidR="00E3253D" w:rsidRPr="005D642E">
        <w:rPr>
          <w:rtl/>
        </w:rPr>
        <w:t xml:space="preserve"> ، ص 495 ، الحكمة 144 ، وفيهما مع اختلاف يسير وزيادة في أوّله </w:t>
      </w:r>
      <w:r w:rsidR="0004218F">
        <w:rPr>
          <w:rFonts w:hint="cs"/>
          <w:rtl/>
        </w:rPr>
        <w:t>.</w:t>
      </w:r>
      <w:r w:rsidR="00E3253D" w:rsidRPr="002F4D34">
        <w:rPr>
          <w:rStyle w:val="libFootnoteBoldChar"/>
          <w:rtl/>
        </w:rPr>
        <w:t>الوافي</w:t>
      </w:r>
      <w:r w:rsidR="00E3253D" w:rsidRPr="005D642E">
        <w:rPr>
          <w:rtl/>
        </w:rPr>
        <w:t xml:space="preserve"> ، ج 25 ، ص 566 ، ح 24676 ؛ </w:t>
      </w:r>
      <w:r w:rsidR="00E3253D" w:rsidRPr="002F4D34">
        <w:rPr>
          <w:rStyle w:val="libFootnoteBoldChar"/>
          <w:rtl/>
        </w:rPr>
        <w:t>الوسائل</w:t>
      </w:r>
      <w:r w:rsidR="00E3253D" w:rsidRPr="005D642E">
        <w:rPr>
          <w:rtl/>
        </w:rPr>
        <w:t xml:space="preserve"> ، ج 3 ، ص 270 ، ح 3621 ؛ </w:t>
      </w:r>
      <w:r w:rsidR="00E3253D" w:rsidRPr="002F4D34">
        <w:rPr>
          <w:rStyle w:val="libFootnoteBoldChar"/>
          <w:rtl/>
        </w:rPr>
        <w:t>البحار</w:t>
      </w:r>
      <w:r w:rsidR="00E3253D" w:rsidRPr="005D642E">
        <w:rPr>
          <w:rtl/>
        </w:rPr>
        <w:t xml:space="preserve"> ، ج 82 ، ص 85 ، ذيل ح 27.</w:t>
      </w:r>
      <w:r w:rsidR="0004218F">
        <w:rPr>
          <w:rFonts w:hint="cs"/>
          <w:rtl/>
        </w:rPr>
        <w:t xml:space="preserve">       </w:t>
      </w:r>
      <w:r w:rsidRPr="0042621E">
        <w:rPr>
          <w:rStyle w:val="libFootnote0Char"/>
          <w:rtl/>
        </w:rPr>
        <w:t>(2).</w:t>
      </w:r>
      <w:r w:rsidR="00E3253D" w:rsidRPr="005D642E">
        <w:rPr>
          <w:rtl/>
        </w:rPr>
        <w:t xml:space="preserve"> في « بخ » : « ذكر</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بس ، جس » : « يصبر » بدون الواو.</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بس » : « يفجؤه</w:t>
      </w:r>
      <w:r w:rsidR="00E3253D">
        <w:rPr>
          <w:rtl/>
        </w:rPr>
        <w:t xml:space="preserve"> ».</w:t>
      </w:r>
      <w:r w:rsidR="00E3253D" w:rsidRPr="005D642E">
        <w:rPr>
          <w:rtl/>
        </w:rPr>
        <w:t xml:space="preserve"> وفجأه الأمر فجأة ، أي جاء بغتة. راجع : </w:t>
      </w:r>
      <w:r w:rsidR="00E3253D" w:rsidRPr="002F4D34">
        <w:rPr>
          <w:rStyle w:val="libFootnoteBoldChar"/>
          <w:rtl/>
        </w:rPr>
        <w:t>لسان العرب</w:t>
      </w:r>
      <w:r w:rsidR="0004218F">
        <w:rPr>
          <w:rtl/>
        </w:rPr>
        <w:t xml:space="preserve"> ، ج 1 ، ص 120 (فجأ</w:t>
      </w:r>
      <w:r w:rsidR="00E3253D" w:rsidRPr="005D642E">
        <w:rPr>
          <w:rtl/>
        </w:rPr>
        <w:t>)</w:t>
      </w:r>
      <w:r w:rsidR="00E3253D">
        <w:rPr>
          <w:rtl/>
        </w:rPr>
        <w:t>.</w:t>
      </w:r>
    </w:p>
    <w:tbl>
      <w:tblPr>
        <w:tblStyle w:val="TableGrid"/>
        <w:bidiVisual/>
        <w:tblW w:w="0" w:type="auto"/>
        <w:tblLook w:val="04A0" w:firstRow="1" w:lastRow="0" w:firstColumn="1" w:lastColumn="0" w:noHBand="0" w:noVBand="1"/>
      </w:tblPr>
      <w:tblGrid>
        <w:gridCol w:w="4006"/>
        <w:gridCol w:w="4006"/>
      </w:tblGrid>
      <w:tr w:rsidR="0004218F" w:rsidTr="0004218F">
        <w:tc>
          <w:tcPr>
            <w:tcW w:w="4006" w:type="dxa"/>
          </w:tcPr>
          <w:p w:rsidR="0004218F" w:rsidRDefault="0004218F" w:rsidP="00E3253D">
            <w:pPr>
              <w:pStyle w:val="libFootnote0"/>
              <w:rPr>
                <w:rStyle w:val="libFootnote0Char"/>
                <w:rtl/>
                <w:lang w:bidi="fa-IR"/>
              </w:rPr>
            </w:pPr>
            <w:r w:rsidRPr="0042621E">
              <w:rPr>
                <w:rStyle w:val="libFootnote0Char"/>
                <w:rtl/>
              </w:rPr>
              <w:t>(5).</w:t>
            </w:r>
            <w:r w:rsidRPr="005D642E">
              <w:rPr>
                <w:rtl/>
              </w:rPr>
              <w:t xml:space="preserve"> في « بخ » :</w:t>
            </w:r>
            <w:r>
              <w:rPr>
                <w:rtl/>
              </w:rPr>
              <w:t xml:space="preserve"> - </w:t>
            </w:r>
            <w:r w:rsidRPr="005D642E">
              <w:rPr>
                <w:rtl/>
              </w:rPr>
              <w:t>« له</w:t>
            </w:r>
            <w:r>
              <w:rPr>
                <w:rtl/>
              </w:rPr>
              <w:t xml:space="preserve"> ».</w:t>
            </w:r>
          </w:p>
        </w:tc>
        <w:tc>
          <w:tcPr>
            <w:tcW w:w="4006" w:type="dxa"/>
          </w:tcPr>
          <w:p w:rsidR="0004218F" w:rsidRDefault="0004218F" w:rsidP="00E3253D">
            <w:pPr>
              <w:pStyle w:val="libFootnote0"/>
              <w:rPr>
                <w:rStyle w:val="libFootnote0Char"/>
                <w:rtl/>
                <w:lang w:bidi="fa-IR"/>
              </w:rPr>
            </w:pPr>
            <w:r w:rsidRPr="0042621E">
              <w:rPr>
                <w:rStyle w:val="libFootnote0Char"/>
                <w:rtl/>
              </w:rPr>
              <w:t>(6).</w:t>
            </w:r>
            <w:r w:rsidRPr="005D642E">
              <w:rPr>
                <w:rtl/>
              </w:rPr>
              <w:t xml:space="preserve"> في الوسائل : « مصيبة</w:t>
            </w:r>
            <w:r>
              <w:rPr>
                <w:rtl/>
              </w:rPr>
              <w:t xml:space="preserve"> ».</w:t>
            </w:r>
          </w:p>
        </w:tc>
      </w:tr>
      <w:tr w:rsidR="0004218F" w:rsidTr="0004218F">
        <w:tc>
          <w:tcPr>
            <w:tcW w:w="4006" w:type="dxa"/>
          </w:tcPr>
          <w:p w:rsidR="0004218F" w:rsidRDefault="0004218F" w:rsidP="00E3253D">
            <w:pPr>
              <w:pStyle w:val="libFootnote0"/>
              <w:rPr>
                <w:rStyle w:val="libFootnote0Char"/>
                <w:rtl/>
                <w:lang w:bidi="fa-IR"/>
              </w:rPr>
            </w:pPr>
            <w:r w:rsidRPr="0042621E">
              <w:rPr>
                <w:rStyle w:val="libFootnote0Char"/>
                <w:rtl/>
              </w:rPr>
              <w:t>(7).</w:t>
            </w:r>
            <w:r w:rsidRPr="005D642E">
              <w:rPr>
                <w:rtl/>
              </w:rPr>
              <w:t xml:space="preserve"> في « ى » : « فيسترجع</w:t>
            </w:r>
            <w:r>
              <w:rPr>
                <w:rtl/>
              </w:rPr>
              <w:t xml:space="preserve"> ».</w:t>
            </w:r>
          </w:p>
        </w:tc>
        <w:tc>
          <w:tcPr>
            <w:tcW w:w="4006" w:type="dxa"/>
          </w:tcPr>
          <w:p w:rsidR="0004218F" w:rsidRDefault="0004218F" w:rsidP="00E3253D">
            <w:pPr>
              <w:pStyle w:val="libFootnote0"/>
              <w:rPr>
                <w:rStyle w:val="libFootnote0Char"/>
                <w:rtl/>
                <w:lang w:bidi="fa-IR"/>
              </w:rPr>
            </w:pPr>
            <w:r w:rsidRPr="0042621E">
              <w:rPr>
                <w:rStyle w:val="libFootnote0Char"/>
                <w:rtl/>
              </w:rPr>
              <w:t>(8).</w:t>
            </w:r>
            <w:r w:rsidRPr="005D642E">
              <w:rPr>
                <w:rtl/>
              </w:rPr>
              <w:t xml:space="preserve"> في « بث ، بح » والوسائل : « ذكره</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ظ ، غ ، ى ، بخ ، بس ، بف ، جح ، جس ، جن »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الوسائل : « اكتسبه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ضمير التثنية يعود إلى الاسترجاعين المفهومين من قوله </w:t>
      </w:r>
      <w:r w:rsidR="00E3253D" w:rsidRPr="0004218F">
        <w:rPr>
          <w:rStyle w:val="libFootnoteAlaemChar"/>
          <w:rtl/>
        </w:rPr>
        <w:t>عليه‌السلام</w:t>
      </w:r>
      <w:r w:rsidR="00E3253D" w:rsidRPr="005D642E">
        <w:rPr>
          <w:rtl/>
        </w:rPr>
        <w:t xml:space="preserve"> ، لا إلى المصيبة والاسترجاع ، كما قد يتوهّم. وقد ورد التصريح بذلك في </w:t>
      </w:r>
      <w:r w:rsidR="00E3253D" w:rsidRPr="002F4D34">
        <w:rPr>
          <w:rStyle w:val="libFootnoteBoldChar"/>
          <w:rtl/>
        </w:rPr>
        <w:t>الفقيه</w:t>
      </w:r>
      <w:r w:rsidR="00E3253D" w:rsidRPr="005D642E">
        <w:rPr>
          <w:rtl/>
        </w:rPr>
        <w:t xml:space="preserve"> ، ج 1 ، ص 175 ، ح 515.</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ثواب الأعمال</w:t>
      </w:r>
      <w:r w:rsidR="00E3253D" w:rsidRPr="005D642E">
        <w:rPr>
          <w:rtl/>
        </w:rPr>
        <w:t xml:space="preserve"> ، ص 234 ، ح 1 ، بسنده عن عبدالله بن سنان. </w:t>
      </w:r>
      <w:r w:rsidR="00E3253D" w:rsidRPr="002F4D34">
        <w:rPr>
          <w:rStyle w:val="libFootnoteBoldChar"/>
          <w:rtl/>
        </w:rPr>
        <w:t>الفقيه</w:t>
      </w:r>
      <w:r w:rsidR="00E3253D" w:rsidRPr="005D642E">
        <w:rPr>
          <w:rtl/>
        </w:rPr>
        <w:t xml:space="preserve"> ، ج 1 ، ص 175 ، ح 515 ، مرسلاً ، وفيهما مع اختلاف يسير وزيادة </w:t>
      </w:r>
      <w:r w:rsidR="0004218F">
        <w:rPr>
          <w:rFonts w:hint="cs"/>
          <w:rtl/>
        </w:rPr>
        <w:t>.</w:t>
      </w:r>
      <w:r w:rsidR="00E3253D" w:rsidRPr="002F4D34">
        <w:rPr>
          <w:rStyle w:val="libFootnoteBoldChar"/>
          <w:rtl/>
        </w:rPr>
        <w:t>الوافي</w:t>
      </w:r>
      <w:r w:rsidR="00E3253D" w:rsidRPr="005D642E">
        <w:rPr>
          <w:rtl/>
        </w:rPr>
        <w:t xml:space="preserve"> ، ج 25 ، ص 567 ، ح 24678 ؛ </w:t>
      </w:r>
      <w:r w:rsidR="00E3253D" w:rsidRPr="002F4D34">
        <w:rPr>
          <w:rStyle w:val="libFootnoteBoldChar"/>
          <w:rtl/>
        </w:rPr>
        <w:t>الوسائل</w:t>
      </w:r>
      <w:r w:rsidR="00E3253D" w:rsidRPr="005D642E">
        <w:rPr>
          <w:rtl/>
        </w:rPr>
        <w:t xml:space="preserve"> ، ج 3 ، ص 249 ، ح 3541.</w:t>
      </w:r>
    </w:p>
    <w:p w:rsidR="00E3253D" w:rsidRDefault="0042621E" w:rsidP="00E3253D">
      <w:pPr>
        <w:pStyle w:val="libFootnote0"/>
        <w:rPr>
          <w:rtl/>
        </w:rPr>
      </w:pPr>
      <w:r w:rsidRPr="0042621E">
        <w:rPr>
          <w:rStyle w:val="libFootnote0Char"/>
          <w:rtl/>
        </w:rPr>
        <w:t>(13).</w:t>
      </w:r>
      <w:r w:rsidR="00E3253D" w:rsidRPr="005D642E">
        <w:rPr>
          <w:rtl/>
        </w:rPr>
        <w:t xml:space="preserve"> هكذا في الوسائل. وفي النسخ والمطبوع : « رزين</w:t>
      </w:r>
      <w:r w:rsidR="00E3253D">
        <w:rPr>
          <w:rtl/>
        </w:rPr>
        <w:t xml:space="preserve"> ».</w:t>
      </w:r>
      <w:r w:rsidR="00E3253D" w:rsidRPr="005D642E">
        <w:rPr>
          <w:rtl/>
        </w:rPr>
        <w:t xml:space="preserve"> وفي حاشية « بخ » : « زربين</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ذَكَرَ مُصِيبَتَهُ </w:t>
      </w:r>
      <w:r w:rsidRPr="007C12DB">
        <w:rPr>
          <w:rStyle w:val="libFootnotenumChar"/>
          <w:rtl/>
        </w:rPr>
        <w:t>(1)</w:t>
      </w:r>
      <w:r w:rsidRPr="005D642E">
        <w:rPr>
          <w:rtl/>
          <w:lang w:bidi="fa-IR"/>
        </w:rPr>
        <w:t xml:space="preserve"> وَلَوْ بَعْدَ حِينٍ ، فَقَالَ : </w:t>
      </w:r>
      <w:r w:rsidRPr="00AC51C5">
        <w:rPr>
          <w:rStyle w:val="libAlaemChar"/>
          <w:rtl/>
        </w:rPr>
        <w:t>(</w:t>
      </w:r>
      <w:r w:rsidRPr="00AC51C5">
        <w:rPr>
          <w:rStyle w:val="libAieChar"/>
          <w:rtl/>
        </w:rPr>
        <w:t xml:space="preserve"> إِنّا لِلّهِ وَإِنّا إِلَيْهِ راجِعُونَ </w:t>
      </w:r>
      <w:r w:rsidRPr="00AC51C5">
        <w:rPr>
          <w:rStyle w:val="libAlaemChar"/>
          <w:rtl/>
        </w:rPr>
        <w:t>)</w:t>
      </w:r>
      <w:r w:rsidRPr="005D642E">
        <w:rPr>
          <w:rtl/>
          <w:lang w:bidi="fa-IR"/>
        </w:rPr>
        <w:t xml:space="preserve"> </w:t>
      </w:r>
      <w:r w:rsidRPr="007C12DB">
        <w:rPr>
          <w:rStyle w:val="libFootnotenumChar"/>
          <w:rtl/>
        </w:rPr>
        <w:t>(2)</w:t>
      </w:r>
      <w:r w:rsidRPr="005D642E">
        <w:rPr>
          <w:rtl/>
          <w:lang w:bidi="fa-IR"/>
        </w:rPr>
        <w:t xml:space="preserve"> ، وَالْحَمْدُ لِلّهِ رَبِّ الْعَالَمِينَ ، الل</w:t>
      </w:r>
      <w:r w:rsidR="0004218F">
        <w:rPr>
          <w:rFonts w:hint="cs"/>
          <w:rtl/>
          <w:lang w:bidi="fa-IR"/>
        </w:rPr>
        <w:t>َّ</w:t>
      </w:r>
      <w:r w:rsidRPr="005D642E">
        <w:rPr>
          <w:rtl/>
          <w:lang w:bidi="fa-IR"/>
        </w:rPr>
        <w:t xml:space="preserve">هُمَّ آجِرْنِي </w:t>
      </w:r>
      <w:r w:rsidRPr="007C12DB">
        <w:rPr>
          <w:rStyle w:val="libFootnotenumChar"/>
          <w:rtl/>
        </w:rPr>
        <w:t>(3)</w:t>
      </w:r>
      <w:r w:rsidRPr="005D642E">
        <w:rPr>
          <w:rtl/>
          <w:lang w:bidi="fa-IR"/>
        </w:rPr>
        <w:t xml:space="preserve"> عَلى مُصِيبَتِي ، وَأَخْلِفْ عَلَيَّ أَفْضَلَ مِنْهَا </w:t>
      </w:r>
      <w:r w:rsidRPr="007C12DB">
        <w:rPr>
          <w:rStyle w:val="libFootnotenumChar"/>
          <w:rtl/>
        </w:rPr>
        <w:t>(4)</w:t>
      </w:r>
      <w:r w:rsidRPr="005D642E">
        <w:rPr>
          <w:rtl/>
          <w:lang w:bidi="fa-IR"/>
        </w:rPr>
        <w:t xml:space="preserve"> ، كَانَ لَهُ مِنَ الْأَجْرِ مِثْلُ مَا كَانَ عِنْدَ أَوَّلِ صَدْمَةٍ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04218F" w:rsidRDefault="00E3253D" w:rsidP="0004218F">
      <w:pPr>
        <w:pStyle w:val="libNormal"/>
        <w:rPr>
          <w:rtl/>
          <w:lang w:bidi="fa-IR"/>
        </w:rPr>
      </w:pPr>
      <w:r w:rsidRPr="00246318">
        <w:rPr>
          <w:rStyle w:val="libBold2Char"/>
          <w:rtl/>
        </w:rPr>
        <w:t>4661 / 6.</w:t>
      </w:r>
      <w:r w:rsidRPr="005D642E">
        <w:rPr>
          <w:rtl/>
          <w:lang w:bidi="fa-IR"/>
        </w:rPr>
        <w:t xml:space="preserve"> عِدَّةٌ مِنْ أَصْحَابِنَا ، عَنْ سَهْلِ بْنِ زِيَادٍ ؛</w:t>
      </w:r>
    </w:p>
    <w:p w:rsidR="00E3253D" w:rsidRPr="005D642E" w:rsidRDefault="0004218F" w:rsidP="0004218F">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(7)</w:t>
      </w:r>
      <w:r w:rsidR="00E3253D" w:rsidRPr="005D642E">
        <w:rPr>
          <w:rtl/>
          <w:lang w:bidi="fa-IR"/>
        </w:rPr>
        <w:t xml:space="preserve"> مُحَمَّدُ بْنُ يَحْيى ، عَنْ أَحْمَدَ بْنِ مُحَمَّدٍ ، عَنِ ابْنِ مَحْبُوبٍ ، عَنْ إِسْحَاقَ بْنِ عَمَّارٍ :</w:t>
      </w:r>
    </w:p>
    <w:p w:rsidR="00E3253D"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يَا إِسْحَاقُ ، لَاتَعُدَّنَّ مُصِيبَةً أُعْطِيتَ عَلَيْهَا الصَّبْرَ ، وَاسْتَوْجَبْتَ </w:t>
      </w:r>
      <w:r w:rsidRPr="007C12DB">
        <w:rPr>
          <w:rStyle w:val="libFootnotenumChar"/>
          <w:rtl/>
        </w:rPr>
        <w:t>(8)</w:t>
      </w:r>
      <w:r w:rsidRPr="005D642E">
        <w:rPr>
          <w:rtl/>
          <w:lang w:bidi="fa-IR"/>
        </w:rPr>
        <w:t xml:space="preserve"> عَلَيْهَا مِنَ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الثَّوَابَ ، إِنَّمَا الْمُصِيبَةُ الَّتِي </w:t>
      </w:r>
      <w:r w:rsidRPr="007C12DB">
        <w:rPr>
          <w:rStyle w:val="libFootnotenumChar"/>
          <w:rtl/>
        </w:rPr>
        <w:t>(9)</w:t>
      </w:r>
      <w:r w:rsidRPr="005D642E">
        <w:rPr>
          <w:rtl/>
          <w:lang w:bidi="fa-IR"/>
        </w:rPr>
        <w:t xml:space="preserve"> يُحْرَمُ صَاحِبُهَا أَجْرَهَا وَثَوَابَهَا إِذَا لَمْ يَصْبِرْ عِنْدَ نُزُولِهَا</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59111A">
        <w:rPr>
          <w:rtl/>
        </w:rPr>
        <w:t>4662</w:t>
      </w:r>
      <w:r w:rsidRPr="00246318">
        <w:rPr>
          <w:rStyle w:val="libBold2Char"/>
          <w:rtl/>
        </w:rPr>
        <w:t xml:space="preserve"> / 7.</w:t>
      </w:r>
      <w:r w:rsidRPr="005D642E">
        <w:rPr>
          <w:rtl/>
          <w:lang w:bidi="fa-IR"/>
        </w:rPr>
        <w:t xml:space="preserve"> عِدَّةٌ مِنْ أَصْحَابِنَا ، عَنْ سَهْلِ بْنِ زِيَادٍ ، عَنِ الْحَسَنِ بْنِ عَلِيٍّ ، عَنْ عَلِيِّ بْنِ عُقْبَةَ ، عَنِ امْرَأَةِ الْحَسَنِ الصَّيْقَلِ :</w:t>
      </w:r>
    </w:p>
    <w:p w:rsidR="00E3253D" w:rsidRPr="005D642E" w:rsidRDefault="00E3253D" w:rsidP="00E3253D">
      <w:pPr>
        <w:pStyle w:val="libLine"/>
        <w:rPr>
          <w:rtl/>
          <w:lang w:bidi="fa-IR"/>
        </w:rPr>
      </w:pPr>
      <w:r w:rsidRPr="005D642E">
        <w:rPr>
          <w:rtl/>
          <w:lang w:bidi="fa-IR"/>
        </w:rPr>
        <w:t>__________________</w:t>
      </w:r>
    </w:p>
    <w:p w:rsidR="00E3253D" w:rsidRPr="005D642E" w:rsidRDefault="0004218F" w:rsidP="00E3253D">
      <w:pPr>
        <w:pStyle w:val="libFootnote0"/>
        <w:rPr>
          <w:rtl/>
          <w:lang w:bidi="fa-IR"/>
        </w:rPr>
      </w:pPr>
      <w:r>
        <w:rPr>
          <w:rFonts w:hint="cs"/>
          <w:rtl/>
        </w:rPr>
        <w:t xml:space="preserve">= </w:t>
      </w:r>
      <w:r w:rsidR="00E3253D" w:rsidRPr="00C24A4C">
        <w:rPr>
          <w:rtl/>
        </w:rPr>
        <w:t>و</w:t>
      </w:r>
      <w:r w:rsidR="00E3253D" w:rsidRPr="005D642E">
        <w:rPr>
          <w:rtl/>
        </w:rPr>
        <w:t xml:space="preserve">الصواب ما أثبتناه ؛ فإنّ داود بن رزين غير مذكور في الرجال. والمذكور هو داود بن زربيّ ، وداود هذا له أصل رواه ابن أبي عمير. راجع : </w:t>
      </w:r>
      <w:r w:rsidR="0059794D" w:rsidRPr="0059794D">
        <w:rPr>
          <w:rStyle w:val="libFootnoteBoldChar"/>
          <w:rtl/>
        </w:rPr>
        <w:t>الفهرست للطوسي</w:t>
      </w:r>
      <w:r w:rsidR="00E3253D" w:rsidRPr="005D642E">
        <w:rPr>
          <w:rtl/>
        </w:rPr>
        <w:t xml:space="preserve"> ، ص 182 ، الرقم 280 ؛ </w:t>
      </w:r>
      <w:r w:rsidR="00E3253D" w:rsidRPr="002F4D34">
        <w:rPr>
          <w:rStyle w:val="libFootnoteBoldChar"/>
          <w:rtl/>
        </w:rPr>
        <w:t>رجال النجاشي</w:t>
      </w:r>
      <w:r w:rsidR="00E3253D" w:rsidRPr="005D642E">
        <w:rPr>
          <w:rtl/>
        </w:rPr>
        <w:t xml:space="preserve"> ، ص 160 ، الرقم 424 ؛ </w:t>
      </w:r>
      <w:r w:rsidR="00E3253D" w:rsidRPr="002F4D34">
        <w:rPr>
          <w:rStyle w:val="libFootnoteBoldChar"/>
          <w:rtl/>
        </w:rPr>
        <w:t>رجال الطوسي</w:t>
      </w:r>
      <w:r w:rsidR="00E3253D" w:rsidRPr="005D642E">
        <w:rPr>
          <w:rtl/>
        </w:rPr>
        <w:t xml:space="preserve"> ، ص 202 ، الرقم 2579.</w:t>
      </w:r>
    </w:p>
    <w:tbl>
      <w:tblPr>
        <w:tblStyle w:val="TableGrid"/>
        <w:bidiVisual/>
        <w:tblW w:w="0" w:type="auto"/>
        <w:tblLook w:val="04A0" w:firstRow="1" w:lastRow="0" w:firstColumn="1" w:lastColumn="0" w:noHBand="0" w:noVBand="1"/>
      </w:tblPr>
      <w:tblGrid>
        <w:gridCol w:w="4006"/>
        <w:gridCol w:w="4006"/>
      </w:tblGrid>
      <w:tr w:rsidR="0004218F" w:rsidTr="0004218F">
        <w:tc>
          <w:tcPr>
            <w:tcW w:w="4006" w:type="dxa"/>
          </w:tcPr>
          <w:p w:rsidR="0004218F" w:rsidRDefault="0004218F" w:rsidP="00E3253D">
            <w:pPr>
              <w:pStyle w:val="libFootnote0"/>
              <w:rPr>
                <w:rStyle w:val="libFootnote0Char"/>
                <w:rtl/>
                <w:lang w:bidi="fa-IR"/>
              </w:rPr>
            </w:pPr>
            <w:r w:rsidRPr="0042621E">
              <w:rPr>
                <w:rStyle w:val="libFootnote0Char"/>
                <w:rtl/>
              </w:rPr>
              <w:t>(1).</w:t>
            </w:r>
            <w:r>
              <w:rPr>
                <w:rtl/>
              </w:rPr>
              <w:t xml:space="preserve"> </w:t>
            </w:r>
            <w:r w:rsidRPr="005D642E">
              <w:rPr>
                <w:rtl/>
              </w:rPr>
              <w:t>في « جن » والوسائل : « مصيبةً</w:t>
            </w:r>
            <w:r>
              <w:rPr>
                <w:rtl/>
              </w:rPr>
              <w:t xml:space="preserve"> ».</w:t>
            </w:r>
          </w:p>
        </w:tc>
        <w:tc>
          <w:tcPr>
            <w:tcW w:w="4006" w:type="dxa"/>
          </w:tcPr>
          <w:p w:rsidR="0004218F" w:rsidRDefault="0004218F" w:rsidP="00E3253D">
            <w:pPr>
              <w:pStyle w:val="libFootnote0"/>
              <w:rPr>
                <w:rStyle w:val="libFootnote0Char"/>
                <w:rtl/>
                <w:lang w:bidi="fa-IR"/>
              </w:rPr>
            </w:pPr>
            <w:r w:rsidRPr="0042621E">
              <w:rPr>
                <w:rStyle w:val="libFootnote0Char"/>
                <w:rtl/>
              </w:rPr>
              <w:t>(2).</w:t>
            </w:r>
            <w:r w:rsidRPr="005D642E">
              <w:rPr>
                <w:rtl/>
              </w:rPr>
              <w:t xml:space="preserve"> البقرة </w:t>
            </w:r>
            <w:r w:rsidRPr="0042621E">
              <w:rPr>
                <w:rStyle w:val="libFootnote0Char"/>
                <w:rtl/>
              </w:rPr>
              <w:t>(2)</w:t>
            </w:r>
            <w:r w:rsidRPr="005D642E">
              <w:rPr>
                <w:rtl/>
              </w:rPr>
              <w:t xml:space="preserve"> : 156.</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 أجرني</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 « أفضل منها ، أي من المصيبة ، بمعنى المصاب به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w:t>
      </w:r>
      <w:r w:rsidR="00E3253D" w:rsidRPr="002F4D34">
        <w:rPr>
          <w:rStyle w:val="libFootnoteBoldChar"/>
          <w:rtl/>
        </w:rPr>
        <w:t>النهاية</w:t>
      </w:r>
      <w:r w:rsidR="00E3253D" w:rsidRPr="005D642E">
        <w:rPr>
          <w:rtl/>
        </w:rPr>
        <w:t xml:space="preserve"> : « الصبر عند الصدمة الا</w:t>
      </w:r>
      <w:r w:rsidR="0004218F">
        <w:rPr>
          <w:rFonts w:hint="cs"/>
          <w:rtl/>
        </w:rPr>
        <w:t>ُ</w:t>
      </w:r>
      <w:r w:rsidR="00E3253D" w:rsidRPr="005D642E">
        <w:rPr>
          <w:rtl/>
        </w:rPr>
        <w:t>ولى ، أي عند فورة المصيبة وشدّتها. والصدم : ضربُ الشي‌ء الصلب بمثله ، والصدمة : المرّة منه</w:t>
      </w:r>
      <w:r w:rsidR="00E3253D">
        <w:rPr>
          <w:rtl/>
        </w:rPr>
        <w:t xml:space="preserve"> ».</w:t>
      </w:r>
      <w:r w:rsidR="00E3253D" w:rsidRPr="005D642E">
        <w:rPr>
          <w:rtl/>
        </w:rPr>
        <w:t xml:space="preserve"> </w:t>
      </w:r>
      <w:r w:rsidR="00E3253D" w:rsidRPr="002F4D34">
        <w:rPr>
          <w:rStyle w:val="libFootnoteBoldChar"/>
          <w:rtl/>
        </w:rPr>
        <w:t>النهاية</w:t>
      </w:r>
      <w:r w:rsidR="00E3253D" w:rsidRPr="005D642E">
        <w:rPr>
          <w:rtl/>
        </w:rPr>
        <w:t xml:space="preserve"> ، ج 3 ، ص 19 ( صدم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25 ، ص 567 ، ح 24681 ؛ </w:t>
      </w:r>
      <w:r w:rsidR="00E3253D" w:rsidRPr="002F4D34">
        <w:rPr>
          <w:rStyle w:val="libFootnoteBoldChar"/>
          <w:rtl/>
        </w:rPr>
        <w:t>الوسائل</w:t>
      </w:r>
      <w:r w:rsidR="00E3253D" w:rsidRPr="005D642E">
        <w:rPr>
          <w:rtl/>
        </w:rPr>
        <w:t xml:space="preserve"> ، ج 3 ، ص 249 ، ح 3542.</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السند تحويل بعطف « محمّد بن يحيى ، عن أحمد بن محمّد » على « عدّة من أصحابنا ، عن سهل بن زياد</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بخ ، بس ، جس » وحاشية « جح ، جن » : « واسترجعت</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بح ، بس ، جح ، جس ، جن » : « الذي</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تحف العقول</w:t>
      </w:r>
      <w:r w:rsidR="00E3253D" w:rsidRPr="005D642E">
        <w:rPr>
          <w:rtl/>
        </w:rPr>
        <w:t xml:space="preserve"> ، ص 375 ، مع اختلاف يسير </w:t>
      </w:r>
      <w:r w:rsidR="0004218F">
        <w:rPr>
          <w:rFonts w:hint="cs"/>
          <w:rtl/>
        </w:rPr>
        <w:t>.</w:t>
      </w:r>
      <w:r w:rsidR="00E3253D" w:rsidRPr="002F4D34">
        <w:rPr>
          <w:rStyle w:val="libFootnoteBoldChar"/>
          <w:rtl/>
        </w:rPr>
        <w:t>الوافي</w:t>
      </w:r>
      <w:r w:rsidR="00E3253D" w:rsidRPr="005D642E">
        <w:rPr>
          <w:rtl/>
        </w:rPr>
        <w:t xml:space="preserve"> ، ج 25 ، ص 568 ، ح 24684 ؛ </w:t>
      </w:r>
      <w:r w:rsidR="00E3253D" w:rsidRPr="002F4D34">
        <w:rPr>
          <w:rStyle w:val="libFootnoteBoldChar"/>
          <w:rtl/>
        </w:rPr>
        <w:t>الوسائل</w:t>
      </w:r>
      <w:r w:rsidR="00E3253D" w:rsidRPr="005D642E">
        <w:rPr>
          <w:rtl/>
        </w:rPr>
        <w:t xml:space="preserve"> ، ج 3 ، ص 269 ، ح 3616.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يَنْبَغِي الصِّيَاحُ عَلَى الْمَيِّتِ ، وَلَاشَقُّ </w:t>
      </w:r>
      <w:r w:rsidRPr="007C12DB">
        <w:rPr>
          <w:rStyle w:val="libFootnotenumChar"/>
          <w:rtl/>
        </w:rPr>
        <w:t>(1)</w:t>
      </w:r>
      <w:r w:rsidRPr="005D642E">
        <w:rPr>
          <w:rtl/>
          <w:lang w:bidi="fa-IR"/>
        </w:rPr>
        <w:t xml:space="preserve"> الثِّيَابِ</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9111A">
        <w:rPr>
          <w:rtl/>
        </w:rPr>
        <w:t>4663</w:t>
      </w:r>
      <w:r w:rsidRPr="00246318">
        <w:rPr>
          <w:rStyle w:val="libBold2Char"/>
          <w:rtl/>
        </w:rPr>
        <w:t xml:space="preserve"> / 8.</w:t>
      </w:r>
      <w:r w:rsidRPr="005D642E">
        <w:rPr>
          <w:rtl/>
          <w:lang w:bidi="fa-IR"/>
        </w:rPr>
        <w:t xml:space="preserve"> سَهْلٌ </w:t>
      </w:r>
      <w:r w:rsidRPr="007C12DB">
        <w:rPr>
          <w:rStyle w:val="libFootnotenumChar"/>
          <w:rtl/>
        </w:rPr>
        <w:t>(3)</w:t>
      </w:r>
      <w:r w:rsidRPr="005D642E">
        <w:rPr>
          <w:rtl/>
          <w:lang w:bidi="fa-IR"/>
        </w:rPr>
        <w:t xml:space="preserve"> ، عَنْ عَلِيِّ بْنِ حَسَّانَ ، عَنْ مُوسَى بْنِ بَكْرٍ :</w:t>
      </w:r>
    </w:p>
    <w:p w:rsidR="00E3253D" w:rsidRPr="005D642E" w:rsidRDefault="00E3253D" w:rsidP="00E3253D">
      <w:pPr>
        <w:pStyle w:val="libNormal"/>
        <w:rPr>
          <w:rtl/>
          <w:lang w:bidi="fa-IR"/>
        </w:rPr>
      </w:pPr>
      <w:r w:rsidRPr="005D642E">
        <w:rPr>
          <w:rtl/>
          <w:lang w:bidi="fa-IR"/>
        </w:rPr>
        <w:t xml:space="preserve">عَنْ أَبِي الْحَسَنِ الْأَوَّلِ </w:t>
      </w:r>
      <w:r w:rsidRPr="00AC51C5">
        <w:rPr>
          <w:rStyle w:val="libAlaemChar"/>
          <w:rtl/>
        </w:rPr>
        <w:t>عليه‌السلام</w:t>
      </w:r>
      <w:r w:rsidRPr="005D642E">
        <w:rPr>
          <w:rtl/>
          <w:lang w:bidi="fa-IR"/>
        </w:rPr>
        <w:t xml:space="preserve"> ، قَالَ : قَالَ </w:t>
      </w:r>
      <w:r w:rsidRPr="007C12DB">
        <w:rPr>
          <w:rStyle w:val="libFootnotenumChar"/>
          <w:rtl/>
        </w:rPr>
        <w:t>(4)</w:t>
      </w:r>
      <w:r w:rsidRPr="005D642E">
        <w:rPr>
          <w:rtl/>
          <w:lang w:bidi="fa-IR"/>
        </w:rPr>
        <w:t xml:space="preserve"> : « ضَرْبُ الرَّجُلِ يَدَهُ عَلى فَخِذِهِ عِنْدَ الْمُصِيبَةِ إِحْبَاطٌ لِأَجْرِهِ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59111A">
        <w:rPr>
          <w:rtl/>
        </w:rPr>
        <w:t>4664</w:t>
      </w:r>
      <w:r w:rsidRPr="00246318">
        <w:rPr>
          <w:rStyle w:val="libBold2Char"/>
          <w:rtl/>
        </w:rPr>
        <w:t xml:space="preserve"> / 9.</w:t>
      </w:r>
      <w:r w:rsidRPr="005D642E">
        <w:rPr>
          <w:rtl/>
          <w:lang w:bidi="fa-IR"/>
        </w:rPr>
        <w:t xml:space="preserve"> سَهْلٌ </w:t>
      </w:r>
      <w:r w:rsidRPr="007C12DB">
        <w:rPr>
          <w:rStyle w:val="libFootnotenumChar"/>
          <w:rtl/>
        </w:rPr>
        <w:t>(7)</w:t>
      </w:r>
      <w:r w:rsidRPr="005D642E">
        <w:rPr>
          <w:rtl/>
          <w:lang w:bidi="fa-IR"/>
        </w:rPr>
        <w:t xml:space="preserve"> ، عَنِ الْحَسَنِ بْنِ عَلِيٍّ ، عَنْ فُضَيْلِ بْنِ مَيْسَرَةَ </w:t>
      </w:r>
      <w:r w:rsidRPr="007C12DB">
        <w:rPr>
          <w:rStyle w:val="libFootnotenumChar"/>
          <w:rtl/>
        </w:rPr>
        <w:t>(8)</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كُنَّا عِنْدَ أَبِي عَبْدِ اللهِ </w:t>
      </w:r>
      <w:r w:rsidRPr="00AC51C5">
        <w:rPr>
          <w:rStyle w:val="libAlaemChar"/>
          <w:rtl/>
        </w:rPr>
        <w:t>عليه‌السلام</w:t>
      </w:r>
      <w:r w:rsidRPr="005D642E">
        <w:rPr>
          <w:rtl/>
          <w:lang w:bidi="fa-IR"/>
        </w:rPr>
        <w:t xml:space="preserve"> فَجَاءَ </w:t>
      </w:r>
      <w:r w:rsidRPr="007C12DB">
        <w:rPr>
          <w:rStyle w:val="libFootnotenumChar"/>
          <w:rtl/>
        </w:rPr>
        <w:t>(9)</w:t>
      </w:r>
      <w:r w:rsidRPr="005D642E">
        <w:rPr>
          <w:rtl/>
          <w:lang w:bidi="fa-IR"/>
        </w:rPr>
        <w:t xml:space="preserve"> رَجُلٌ ، فَشَكَا إِلَيْهِ </w:t>
      </w:r>
      <w:r w:rsidRPr="007C12DB">
        <w:rPr>
          <w:rStyle w:val="libFootnotenumChar"/>
          <w:rtl/>
        </w:rPr>
        <w:t>(10)</w:t>
      </w:r>
      <w:r w:rsidRPr="005D642E">
        <w:rPr>
          <w:rtl/>
          <w:lang w:bidi="fa-IR"/>
        </w:rPr>
        <w:t xml:space="preserve"> مُصِيبَةً أُصِيبَ بِهَا ، فَقَالَ لَهُ </w:t>
      </w:r>
      <w:r w:rsidRPr="007C12DB">
        <w:rPr>
          <w:rStyle w:val="libFootnotenumChar"/>
          <w:rtl/>
        </w:rPr>
        <w:t>(11)</w:t>
      </w:r>
      <w:r w:rsidRPr="005D642E">
        <w:rPr>
          <w:rtl/>
          <w:lang w:bidi="fa-IR"/>
        </w:rPr>
        <w:t xml:space="preserve"> أَبُو عَبْدِ اللهِ </w:t>
      </w:r>
      <w:r w:rsidRPr="00AC51C5">
        <w:rPr>
          <w:rStyle w:val="libAlaemChar"/>
          <w:rtl/>
        </w:rPr>
        <w:t>عليه‌السلام</w:t>
      </w:r>
      <w:r w:rsidRPr="005D642E">
        <w:rPr>
          <w:rtl/>
          <w:lang w:bidi="fa-IR"/>
        </w:rPr>
        <w:t xml:space="preserve"> : « أَمَا إِنَّكَ إ</w:t>
      </w:r>
      <w:r w:rsidR="004B4F1B">
        <w:rPr>
          <w:rtl/>
          <w:lang w:bidi="fa-IR"/>
        </w:rPr>
        <w:t>ِنْ تَصْبِرْ تُؤْجَرْ ، وَإِل</w:t>
      </w:r>
      <w:r w:rsidR="004B4F1B">
        <w:rPr>
          <w:rFonts w:hint="cs"/>
          <w:rtl/>
          <w:lang w:bidi="fa-IR"/>
        </w:rPr>
        <w:t>َّ</w:t>
      </w:r>
      <w:r w:rsidR="004B4F1B">
        <w:rPr>
          <w:rtl/>
          <w:lang w:bidi="fa-IR"/>
        </w:rPr>
        <w:t>ا</w:t>
      </w:r>
      <w:r w:rsidRPr="005D642E">
        <w:rPr>
          <w:rtl/>
          <w:lang w:bidi="fa-IR"/>
        </w:rPr>
        <w:t xml:space="preserve"> تَصْبِرْ </w:t>
      </w:r>
      <w:r w:rsidRPr="007C12DB">
        <w:rPr>
          <w:rStyle w:val="libFootnotenumChar"/>
          <w:rtl/>
        </w:rPr>
        <w:t>(12)</w:t>
      </w:r>
      <w:r w:rsidRPr="005D642E">
        <w:rPr>
          <w:rtl/>
          <w:lang w:bidi="fa-IR"/>
        </w:rPr>
        <w:t xml:space="preserve"> يَمْضِ </w:t>
      </w:r>
      <w:r w:rsidRPr="007C12DB">
        <w:rPr>
          <w:rStyle w:val="libFootnotenumChar"/>
          <w:rtl/>
        </w:rPr>
        <w:t>(13)</w:t>
      </w:r>
      <w:r w:rsidRPr="005D642E">
        <w:rPr>
          <w:rtl/>
          <w:lang w:bidi="fa-IR"/>
        </w:rPr>
        <w:t xml:space="preserve"> عَلَيْكَ قَدَرُ اللهِ الَّذِي قَدَّرَ عَلَيْكَ وَأَنْتَ مَأْزُورٌ </w:t>
      </w:r>
      <w:r w:rsidRPr="007C12DB">
        <w:rPr>
          <w:rStyle w:val="libFootnotenumChar"/>
          <w:rtl/>
        </w:rPr>
        <w:t>(14)</w:t>
      </w:r>
      <w:r>
        <w:rPr>
          <w:rtl/>
          <w:lang w:bidi="fa-IR"/>
        </w:rPr>
        <w:t xml:space="preserve"> ».</w:t>
      </w:r>
      <w:r w:rsidRPr="005D642E">
        <w:rPr>
          <w:rtl/>
          <w:lang w:bidi="fa-IR"/>
        </w:rPr>
        <w:t xml:space="preserve"> </w:t>
      </w:r>
      <w:r w:rsidRPr="007C12DB">
        <w:rPr>
          <w:rStyle w:val="libFootnotenumChar"/>
          <w:rtl/>
        </w:rPr>
        <w:t>(15)</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غ ، جن » : « ولا يشقّ</w:t>
      </w:r>
      <w:r w:rsidR="00E3253D">
        <w:rPr>
          <w:rtl/>
        </w:rPr>
        <w:t xml:space="preserve"> ».</w:t>
      </w:r>
      <w:r w:rsidR="00E3253D" w:rsidRPr="005D642E">
        <w:rPr>
          <w:rtl/>
        </w:rPr>
        <w:t xml:space="preserve"> وفي الوسائل : « ولا تشقّ</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569 ، ح 24685 ؛ </w:t>
      </w:r>
      <w:r w:rsidR="00E3253D" w:rsidRPr="002F4D34">
        <w:rPr>
          <w:rStyle w:val="libFootnoteBoldChar"/>
          <w:rtl/>
        </w:rPr>
        <w:t>الوسائل</w:t>
      </w:r>
      <w:r w:rsidR="00E3253D" w:rsidRPr="005D642E">
        <w:rPr>
          <w:rtl/>
        </w:rPr>
        <w:t xml:space="preserve"> ، ج 3 ، ص 273 ، ح 3631.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 + « بن زياد</w:t>
      </w:r>
      <w:r w:rsidR="00E3253D">
        <w:rPr>
          <w:rtl/>
        </w:rPr>
        <w:t xml:space="preserve"> ».</w:t>
      </w:r>
      <w:r w:rsidR="00E3253D" w:rsidRPr="005D642E">
        <w:rPr>
          <w:rtl/>
        </w:rPr>
        <w:t xml:space="preserve"> ثمّ إنّ السند معلّق على سابقه. ويروى عن سهل ، عدّة من أصحابنا.</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بخ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حاشية « بث » : « أجره</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الفقيه</w:t>
      </w:r>
      <w:r w:rsidR="00E3253D" w:rsidRPr="005D642E">
        <w:rPr>
          <w:rtl/>
        </w:rPr>
        <w:t xml:space="preserve"> ، ج 4 ، ص 416 ، ضمن ح 5904 ، بسند آخر عن الصادق </w:t>
      </w:r>
      <w:r w:rsidR="00E3253D" w:rsidRPr="004B4F1B">
        <w:rPr>
          <w:rStyle w:val="libFootnoteAlaemChar"/>
          <w:rtl/>
        </w:rPr>
        <w:t>عليه‌السلام</w:t>
      </w:r>
      <w:r w:rsidR="00E3253D" w:rsidRPr="005D642E">
        <w:rPr>
          <w:rtl/>
        </w:rPr>
        <w:t xml:space="preserve">. </w:t>
      </w:r>
      <w:r w:rsidR="00E3253D" w:rsidRPr="002F4D34">
        <w:rPr>
          <w:rStyle w:val="libFootnoteBoldChar"/>
          <w:rtl/>
        </w:rPr>
        <w:t>تحف العقول</w:t>
      </w:r>
      <w:r w:rsidR="00E3253D" w:rsidRPr="005D642E">
        <w:rPr>
          <w:rtl/>
        </w:rPr>
        <w:t xml:space="preserve"> ، ص 403 ، عن موسى بن جعفر </w:t>
      </w:r>
      <w:r w:rsidR="00E3253D" w:rsidRPr="004B4F1B">
        <w:rPr>
          <w:rStyle w:val="libFootnoteAlaemChar"/>
          <w:rtl/>
        </w:rPr>
        <w:t>عليهما‌السلام</w:t>
      </w:r>
      <w:r w:rsidR="00E3253D" w:rsidRPr="005D642E">
        <w:rPr>
          <w:rtl/>
        </w:rPr>
        <w:t xml:space="preserve"> ؛ </w:t>
      </w:r>
      <w:r w:rsidR="00E3253D" w:rsidRPr="002F4D34">
        <w:rPr>
          <w:rStyle w:val="libFootnoteBoldChar"/>
          <w:rtl/>
        </w:rPr>
        <w:t>فيه</w:t>
      </w:r>
      <w:r w:rsidR="00E3253D" w:rsidRPr="005D642E">
        <w:rPr>
          <w:rtl/>
        </w:rPr>
        <w:t xml:space="preserve"> ، ص 221 ، عن أميرالمؤمنين </w:t>
      </w:r>
      <w:r w:rsidR="00E3253D" w:rsidRPr="004B4F1B">
        <w:rPr>
          <w:rStyle w:val="libFootnoteAlaemChar"/>
          <w:rtl/>
        </w:rPr>
        <w:t>عليه‌السلام</w:t>
      </w:r>
      <w:r w:rsidR="00E3253D" w:rsidRPr="005D642E">
        <w:rPr>
          <w:rtl/>
        </w:rPr>
        <w:t xml:space="preserve"> ، وفي كلّها مع اختلاف يسير </w:t>
      </w:r>
      <w:r w:rsidR="004B4F1B">
        <w:rPr>
          <w:rFonts w:hint="cs"/>
          <w:rtl/>
        </w:rPr>
        <w:t>.</w:t>
      </w:r>
      <w:r w:rsidR="00E3253D" w:rsidRPr="002F4D34">
        <w:rPr>
          <w:rStyle w:val="libFootnoteBoldChar"/>
          <w:rtl/>
        </w:rPr>
        <w:t>الوافي</w:t>
      </w:r>
      <w:r w:rsidR="00E3253D" w:rsidRPr="005D642E">
        <w:rPr>
          <w:rtl/>
        </w:rPr>
        <w:t xml:space="preserve"> ، ج 25 ، ص 567 ، ح 24677 ؛ </w:t>
      </w:r>
      <w:r w:rsidR="00E3253D" w:rsidRPr="002F4D34">
        <w:rPr>
          <w:rStyle w:val="libFootnoteBoldChar"/>
          <w:rtl/>
        </w:rPr>
        <w:t>الوسائل</w:t>
      </w:r>
      <w:r w:rsidR="00E3253D" w:rsidRPr="005D642E">
        <w:rPr>
          <w:rtl/>
        </w:rPr>
        <w:t xml:space="preserve"> ، ج 3 ، ص 271 ، ح 3622 ؛ </w:t>
      </w:r>
      <w:r w:rsidR="00E3253D" w:rsidRPr="002F4D34">
        <w:rPr>
          <w:rStyle w:val="libFootnoteBoldChar"/>
          <w:rtl/>
        </w:rPr>
        <w:t>البحار</w:t>
      </w:r>
      <w:r w:rsidR="00E3253D" w:rsidRPr="005D642E">
        <w:rPr>
          <w:rtl/>
        </w:rPr>
        <w:t xml:space="preserve"> ، ج 82 ، ص 85 ، ذيل ح 27.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السند معلّق ، كسابقه.</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 غ » وحاشية « بث</w:t>
      </w:r>
      <w:r w:rsidR="00E3253D">
        <w:rPr>
          <w:rtl/>
        </w:rPr>
        <w:t xml:space="preserve"> ».</w:t>
      </w:r>
      <w:r w:rsidR="00E3253D" w:rsidRPr="005D642E">
        <w:rPr>
          <w:rtl/>
        </w:rPr>
        <w:t xml:space="preserve"> وفي « ظ ، ى ، جس » وحاشية « بح ، بف » والوسائل : « فضل بن ميسر</w:t>
      </w:r>
      <w:r w:rsidR="00E3253D">
        <w:rPr>
          <w:rtl/>
        </w:rPr>
        <w:t xml:space="preserve"> ».</w:t>
      </w:r>
      <w:r w:rsidR="00E3253D" w:rsidRPr="005D642E">
        <w:rPr>
          <w:rtl/>
        </w:rPr>
        <w:t xml:space="preserve"> وفي « بح ، بس ، جح ، جن » : « ميسر</w:t>
      </w:r>
      <w:r w:rsidR="00E3253D">
        <w:rPr>
          <w:rtl/>
        </w:rPr>
        <w:t xml:space="preserve"> ».</w:t>
      </w:r>
      <w:r w:rsidR="00E3253D" w:rsidRPr="005D642E">
        <w:rPr>
          <w:rtl/>
        </w:rPr>
        <w:t xml:space="preserve"> وفي « بث ، بخ ، بف » والمطبوع : « فضيل بن ميسر</w:t>
      </w:r>
      <w:r w:rsidR="00E3253D">
        <w:rPr>
          <w:rtl/>
        </w:rPr>
        <w:t xml:space="preserve"> ».</w:t>
      </w:r>
      <w:r w:rsidR="00E3253D" w:rsidRPr="005D642E">
        <w:rPr>
          <w:rtl/>
        </w:rPr>
        <w:t xml:space="preserve"> والمذكور في الرجال هو فضيل بن ميسرة. راجع : </w:t>
      </w:r>
      <w:r w:rsidR="00E3253D" w:rsidRPr="002F4D34">
        <w:rPr>
          <w:rStyle w:val="libFootnoteBoldChar"/>
          <w:rtl/>
        </w:rPr>
        <w:t>رجال البرقي</w:t>
      </w:r>
      <w:r w:rsidR="00E3253D" w:rsidRPr="005D642E">
        <w:rPr>
          <w:rtl/>
        </w:rPr>
        <w:t xml:space="preserve"> ، ص 34 ؛ </w:t>
      </w:r>
      <w:r w:rsidR="00E3253D" w:rsidRPr="002F4D34">
        <w:rPr>
          <w:rStyle w:val="libFootnoteBoldChar"/>
          <w:rtl/>
        </w:rPr>
        <w:t>رجال الطوسي</w:t>
      </w:r>
      <w:r w:rsidR="00E3253D" w:rsidRPr="005D642E">
        <w:rPr>
          <w:rtl/>
        </w:rPr>
        <w:t xml:space="preserve"> ، ص 270 ، الرقم 3878.</w:t>
      </w:r>
    </w:p>
    <w:tbl>
      <w:tblPr>
        <w:tblStyle w:val="TableGrid"/>
        <w:bidiVisual/>
        <w:tblW w:w="0" w:type="auto"/>
        <w:tblLook w:val="04A0" w:firstRow="1" w:lastRow="0" w:firstColumn="1" w:lastColumn="0" w:noHBand="0" w:noVBand="1"/>
      </w:tblPr>
      <w:tblGrid>
        <w:gridCol w:w="4006"/>
        <w:gridCol w:w="4006"/>
      </w:tblGrid>
      <w:tr w:rsidR="004B4F1B" w:rsidTr="004B4F1B">
        <w:tc>
          <w:tcPr>
            <w:tcW w:w="4006" w:type="dxa"/>
          </w:tcPr>
          <w:p w:rsidR="004B4F1B" w:rsidRDefault="004B4F1B" w:rsidP="00E3253D">
            <w:pPr>
              <w:pStyle w:val="libFootnote0"/>
              <w:rPr>
                <w:rStyle w:val="libFootnote0Char"/>
                <w:rtl/>
              </w:rPr>
            </w:pPr>
            <w:r w:rsidRPr="0042621E">
              <w:rPr>
                <w:rStyle w:val="libFootnote0Char"/>
                <w:rtl/>
              </w:rPr>
              <w:t>(9).</w:t>
            </w:r>
            <w:r>
              <w:rPr>
                <w:rtl/>
              </w:rPr>
              <w:t xml:space="preserve"> في «ظ ،ى ،بح ،بخ ،بف ،جح»:</w:t>
            </w:r>
            <w:r w:rsidRPr="005D642E">
              <w:rPr>
                <w:rtl/>
              </w:rPr>
              <w:t>« فجاءه</w:t>
            </w:r>
            <w:r>
              <w:rPr>
                <w:rtl/>
              </w:rPr>
              <w:t xml:space="preserve"> ».</w:t>
            </w:r>
          </w:p>
        </w:tc>
        <w:tc>
          <w:tcPr>
            <w:tcW w:w="4006" w:type="dxa"/>
          </w:tcPr>
          <w:p w:rsidR="004B4F1B" w:rsidRDefault="004B4F1B" w:rsidP="00E3253D">
            <w:pPr>
              <w:pStyle w:val="libFootnote0"/>
              <w:rPr>
                <w:rStyle w:val="libFootnote0Char"/>
                <w:rtl/>
              </w:rPr>
            </w:pPr>
            <w:r w:rsidRPr="0042621E">
              <w:rPr>
                <w:rStyle w:val="libFootnote0Char"/>
                <w:rtl/>
              </w:rPr>
              <w:t>(10).</w:t>
            </w:r>
            <w:r w:rsidRPr="005D642E">
              <w:rPr>
                <w:rtl/>
              </w:rPr>
              <w:t xml:space="preserve"> في « بخ » :</w:t>
            </w:r>
            <w:r>
              <w:rPr>
                <w:rtl/>
              </w:rPr>
              <w:t xml:space="preserve"> - </w:t>
            </w:r>
            <w:r w:rsidRPr="005D642E">
              <w:rPr>
                <w:rtl/>
              </w:rPr>
              <w:t>« إليه</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ى » : « وإن لا تصبر</w:t>
      </w:r>
      <w:r w:rsidR="00E3253D">
        <w:rPr>
          <w:rtl/>
        </w:rPr>
        <w:t xml:space="preserve"> ».</w:t>
      </w:r>
      <w:r w:rsidR="00E3253D" w:rsidRPr="005D642E">
        <w:rPr>
          <w:rtl/>
        </w:rPr>
        <w:t xml:space="preserve"> وفي « بخ ، بف » </w:t>
      </w:r>
      <w:r w:rsidR="000D749A" w:rsidRPr="000D749A">
        <w:rPr>
          <w:rStyle w:val="libFootnoteBoldChar"/>
          <w:rtl/>
        </w:rPr>
        <w:t>والوافي</w:t>
      </w:r>
      <w:r w:rsidR="00E3253D" w:rsidRPr="005D642E">
        <w:rPr>
          <w:rtl/>
        </w:rPr>
        <w:t xml:space="preserve"> : « وإن لم تصبر</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بف » : « مضى</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الوزر : الحمل والثقل. وأكثر ما يطلق في الحديث على الذنب والإثم. </w:t>
      </w:r>
      <w:r w:rsidR="00E3253D" w:rsidRPr="002F4D34">
        <w:rPr>
          <w:rStyle w:val="libFootnoteBoldChar"/>
          <w:rtl/>
        </w:rPr>
        <w:t>النهاية</w:t>
      </w:r>
      <w:r w:rsidR="00E3253D" w:rsidRPr="005D642E">
        <w:rPr>
          <w:rtl/>
        </w:rPr>
        <w:t xml:space="preserve"> ، ج 5 ، ص 179 ( وزر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الوافي</w:t>
      </w:r>
      <w:r w:rsidR="00E3253D" w:rsidRPr="005D642E">
        <w:rPr>
          <w:rtl/>
        </w:rPr>
        <w:t xml:space="preserve"> ، ج 25 ، ص 569 ، ح 24688 ؛ </w:t>
      </w:r>
      <w:r w:rsidR="00E3253D" w:rsidRPr="002F4D34">
        <w:rPr>
          <w:rStyle w:val="libFootnoteBoldChar"/>
          <w:rtl/>
        </w:rPr>
        <w:t>الوسائل</w:t>
      </w:r>
      <w:r w:rsidR="00E3253D" w:rsidRPr="005D642E">
        <w:rPr>
          <w:rtl/>
        </w:rPr>
        <w:t xml:space="preserve"> ، ج 3 ، ص 269 ، ح 3617.</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C7116">
        <w:rPr>
          <w:rtl/>
        </w:rPr>
        <w:t>4665</w:t>
      </w:r>
      <w:r w:rsidRPr="00246318">
        <w:rPr>
          <w:rStyle w:val="libBold2Char"/>
          <w:rtl/>
        </w:rPr>
        <w:t xml:space="preserve"> / 10.</w:t>
      </w:r>
      <w:r w:rsidRPr="005D642E">
        <w:rPr>
          <w:rtl/>
          <w:lang w:bidi="fa-IR"/>
        </w:rPr>
        <w:t xml:space="preserve"> الْحُسَيْنُ بْنُ مُحَمَّدٍ ، عَنْ عَبْدِ اللهِ بْنِ عَامِرٍ ، عَنْ عَلِيِّ بْنِ مَهْزِيَارَ ، عَنِ الْحَسَنِ </w:t>
      </w:r>
      <w:r w:rsidRPr="007C12DB">
        <w:rPr>
          <w:rStyle w:val="libFootnotenumChar"/>
          <w:rtl/>
        </w:rPr>
        <w:t>(1)</w:t>
      </w:r>
      <w:r w:rsidRPr="005D642E">
        <w:rPr>
          <w:rtl/>
          <w:lang w:bidi="fa-IR"/>
        </w:rPr>
        <w:t xml:space="preserve"> بْنِ مُحَمَّدِ بْنِ مَهْزِيَارَ ، عَنْ قُتَيْبَةَ الْأَعْشى ، قَالَ :</w:t>
      </w:r>
    </w:p>
    <w:p w:rsidR="00E3253D" w:rsidRPr="005D642E" w:rsidRDefault="00E3253D" w:rsidP="00E3253D">
      <w:pPr>
        <w:pStyle w:val="libNormal"/>
        <w:rPr>
          <w:rtl/>
          <w:lang w:bidi="fa-IR"/>
        </w:rPr>
      </w:pPr>
      <w:r w:rsidRPr="005D642E">
        <w:rPr>
          <w:rtl/>
          <w:lang w:bidi="fa-IR"/>
        </w:rPr>
        <w:t xml:space="preserve">أَتَيْتُ أَبَا عَبْدِ اللهِ </w:t>
      </w:r>
      <w:r w:rsidRPr="00AC51C5">
        <w:rPr>
          <w:rStyle w:val="libAlaemChar"/>
          <w:rtl/>
        </w:rPr>
        <w:t>عليه‌السلام</w:t>
      </w:r>
      <w:r w:rsidRPr="005D642E">
        <w:rPr>
          <w:rtl/>
          <w:lang w:bidi="fa-IR"/>
        </w:rPr>
        <w:t xml:space="preserve"> أَعُودُ ابْناً لَهُ ، فَوَجَدْتُهُ عَلَى الْبَابِ ، فَإِذَا هُوَ </w:t>
      </w:r>
      <w:r w:rsidRPr="007C12DB">
        <w:rPr>
          <w:rStyle w:val="libFootnotenumChar"/>
          <w:rtl/>
        </w:rPr>
        <w:t>(2)</w:t>
      </w:r>
      <w:r w:rsidRPr="005D642E">
        <w:rPr>
          <w:rtl/>
          <w:lang w:bidi="fa-IR"/>
        </w:rPr>
        <w:t xml:space="preserve"> مُهْتَمٌّ حَزِينٌ ، فَقُلْتُ </w:t>
      </w:r>
      <w:r w:rsidRPr="007C12DB">
        <w:rPr>
          <w:rStyle w:val="libFootnotenumChar"/>
          <w:rtl/>
        </w:rPr>
        <w:t>(3)</w:t>
      </w:r>
      <w:r w:rsidRPr="005D642E">
        <w:rPr>
          <w:rtl/>
          <w:lang w:bidi="fa-IR"/>
        </w:rPr>
        <w:t xml:space="preserve"> : جُعِلْتُ فِدَاكَ ، كَيْفَ الصَّبِيُّ</w:t>
      </w:r>
      <w:r>
        <w:rPr>
          <w:rtl/>
          <w:lang w:bidi="fa-IR"/>
        </w:rPr>
        <w:t>؟</w:t>
      </w:r>
      <w:r w:rsidRPr="005D642E">
        <w:rPr>
          <w:rtl/>
          <w:lang w:bidi="fa-IR"/>
        </w:rPr>
        <w:t xml:space="preserve"> فَقَالَ : « وَاللهِ ، إِنَّهُ لِمَا بِهِ </w:t>
      </w:r>
      <w:r w:rsidRPr="007C12DB">
        <w:rPr>
          <w:rStyle w:val="libFootnotenumChar"/>
          <w:rtl/>
        </w:rPr>
        <w:t>(4)</w:t>
      </w:r>
      <w:r w:rsidRPr="005D642E">
        <w:rPr>
          <w:rtl/>
          <w:lang w:bidi="fa-IR"/>
        </w:rPr>
        <w:t xml:space="preserve"> » ثُمَّ دَخَلَ فَمَكَثَ سَاعَةً ، ثُمَّ خَرَجَ إِلَيْنَا وَقَدْ أَسْفَرَ </w:t>
      </w:r>
      <w:r w:rsidRPr="007C12DB">
        <w:rPr>
          <w:rStyle w:val="libFootnotenumChar"/>
          <w:rtl/>
        </w:rPr>
        <w:t>(5)</w:t>
      </w:r>
      <w:r w:rsidRPr="005D642E">
        <w:rPr>
          <w:rtl/>
          <w:lang w:bidi="fa-IR"/>
        </w:rPr>
        <w:t xml:space="preserve"> وَجْهُهُ ، وَذَهَبَ التَّغَيُّرُ وَالْحُزْنُ ، قَالَ : فَطَمِعْتُ أَنْ يَكُونَ قَدْ صَلَحَ الصَّبِيُّ ، فَقُلْتُ : كَيْفَ الصَّبِيُّ جُعِلْتُ فِدَاكَ</w:t>
      </w:r>
      <w:r>
        <w:rPr>
          <w:rtl/>
          <w:lang w:bidi="fa-IR"/>
        </w:rPr>
        <w:t>؟</w:t>
      </w:r>
      <w:r w:rsidRPr="005D642E">
        <w:rPr>
          <w:rtl/>
          <w:lang w:bidi="fa-IR"/>
        </w:rPr>
        <w:t xml:space="preserve"> فَقَالَ : « قَدْ </w:t>
      </w:r>
      <w:r w:rsidRPr="007C12DB">
        <w:rPr>
          <w:rStyle w:val="libFootnotenumChar"/>
          <w:rtl/>
        </w:rPr>
        <w:t>(6)</w:t>
      </w:r>
      <w:r w:rsidRPr="005D642E">
        <w:rPr>
          <w:rtl/>
          <w:lang w:bidi="fa-IR"/>
        </w:rPr>
        <w:t xml:space="preserve"> مَضى لِسَبِيلِهِ </w:t>
      </w:r>
      <w:r w:rsidRPr="007C12DB">
        <w:rPr>
          <w:rStyle w:val="libFootnotenumChar"/>
          <w:rtl/>
        </w:rPr>
        <w:t>(7)</w:t>
      </w:r>
      <w:r w:rsidRPr="005D642E">
        <w:rPr>
          <w:rtl/>
          <w:lang w:bidi="fa-IR"/>
        </w:rPr>
        <w:t xml:space="preserve"> » فَقُلْتُ :</w:t>
      </w:r>
      <w:r>
        <w:rPr>
          <w:rFonts w:hint="cs"/>
          <w:rtl/>
          <w:lang w:bidi="fa-IR"/>
        </w:rPr>
        <w:t xml:space="preserve"> </w:t>
      </w:r>
      <w:r w:rsidRPr="005D642E">
        <w:rPr>
          <w:rtl/>
          <w:lang w:bidi="fa-IR"/>
        </w:rPr>
        <w:t>جُعِلْتُ فِدَاكَ ، لَقَدْ كُنْتَ</w:t>
      </w:r>
      <w:r>
        <w:rPr>
          <w:rtl/>
          <w:lang w:bidi="fa-IR"/>
        </w:rPr>
        <w:t xml:space="preserve"> </w:t>
      </w:r>
      <w:r w:rsidR="007642BC">
        <w:rPr>
          <w:rtl/>
          <w:lang w:bidi="fa-IR"/>
        </w:rPr>
        <w:t>-</w:t>
      </w:r>
      <w:r>
        <w:rPr>
          <w:rtl/>
          <w:lang w:bidi="fa-IR"/>
        </w:rPr>
        <w:t xml:space="preserve"> </w:t>
      </w:r>
      <w:r w:rsidRPr="005D642E">
        <w:rPr>
          <w:rtl/>
          <w:lang w:bidi="fa-IR"/>
        </w:rPr>
        <w:t>وَهُوَ حَيٌّ</w:t>
      </w:r>
      <w:r>
        <w:rPr>
          <w:rtl/>
          <w:lang w:bidi="fa-IR"/>
        </w:rPr>
        <w:t xml:space="preserve"> </w:t>
      </w:r>
      <w:r w:rsidR="007642BC">
        <w:rPr>
          <w:rtl/>
          <w:lang w:bidi="fa-IR"/>
        </w:rPr>
        <w:t>-</w:t>
      </w:r>
      <w:r>
        <w:rPr>
          <w:rtl/>
          <w:lang w:bidi="fa-IR"/>
        </w:rPr>
        <w:t xml:space="preserve"> </w:t>
      </w:r>
      <w:r w:rsidRPr="005D642E">
        <w:rPr>
          <w:rtl/>
          <w:lang w:bidi="fa-IR"/>
        </w:rPr>
        <w:t xml:space="preserve">مُهْتَمّاً </w:t>
      </w:r>
      <w:r w:rsidRPr="007C12DB">
        <w:rPr>
          <w:rStyle w:val="libFootnotenumChar"/>
          <w:rtl/>
        </w:rPr>
        <w:t>(8)</w:t>
      </w:r>
      <w:r w:rsidRPr="005D642E">
        <w:rPr>
          <w:rtl/>
          <w:lang w:bidi="fa-IR"/>
        </w:rPr>
        <w:t xml:space="preserve"> حَزِيناً وَقَدْ رَأَيْتُ حَالَكَ السَّاعَةَ</w:t>
      </w:r>
      <w:r>
        <w:rPr>
          <w:rtl/>
          <w:lang w:bidi="fa-IR"/>
        </w:rPr>
        <w:t xml:space="preserve"> </w:t>
      </w:r>
      <w:r w:rsidR="007642BC">
        <w:rPr>
          <w:rtl/>
          <w:lang w:bidi="fa-IR"/>
        </w:rPr>
        <w:t>-</w:t>
      </w:r>
      <w:r>
        <w:rPr>
          <w:rtl/>
          <w:lang w:bidi="fa-IR"/>
        </w:rPr>
        <w:t xml:space="preserve"> </w:t>
      </w:r>
      <w:r w:rsidRPr="005D642E">
        <w:rPr>
          <w:rtl/>
          <w:lang w:bidi="fa-IR"/>
        </w:rPr>
        <w:t>وَقَدْ مَاتَ</w:t>
      </w:r>
      <w:r>
        <w:rPr>
          <w:rtl/>
          <w:lang w:bidi="fa-IR"/>
        </w:rPr>
        <w:t xml:space="preserve"> </w:t>
      </w:r>
      <w:r w:rsidR="007642BC">
        <w:rPr>
          <w:rtl/>
          <w:lang w:bidi="fa-IR"/>
        </w:rPr>
        <w:t>-</w:t>
      </w:r>
      <w:r>
        <w:rPr>
          <w:rtl/>
          <w:lang w:bidi="fa-IR"/>
        </w:rPr>
        <w:t xml:space="preserve"> </w:t>
      </w:r>
      <w:r w:rsidRPr="005D642E">
        <w:rPr>
          <w:rtl/>
          <w:lang w:bidi="fa-IR"/>
        </w:rPr>
        <w:t>غَيْرَ تِلْكَ الْحَالِ ، فَكَيْفَ هذَا</w:t>
      </w:r>
      <w:r>
        <w:rPr>
          <w:rtl/>
          <w:lang w:bidi="fa-IR"/>
        </w:rPr>
        <w:t>؟</w:t>
      </w:r>
      <w:r w:rsidRPr="005D642E">
        <w:rPr>
          <w:rtl/>
          <w:lang w:bidi="fa-IR"/>
        </w:rPr>
        <w:t xml:space="preserve"> فَقَالَ : « إِنَّا أَهْلُ بَيْتٍ </w:t>
      </w:r>
      <w:r w:rsidRPr="007C12DB">
        <w:rPr>
          <w:rStyle w:val="libFootnotenumChar"/>
          <w:rtl/>
        </w:rPr>
        <w:t>(9)</w:t>
      </w:r>
      <w:r w:rsidRPr="005D642E">
        <w:rPr>
          <w:rtl/>
          <w:lang w:bidi="fa-IR"/>
        </w:rPr>
        <w:t xml:space="preserve"> إِنَّمَا نَجْزَعُ قَبْلَ الْمُصِيبَةِ ، فَإِذَا وَقَعَ أَمْرُ اللهِ رَضِينَا بِقَضَائِهِ ، وَسَلَّمْنَا لِأَمْرِهِ</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البحار : « الحسين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هو</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الوسائل : + « له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4B4F1B">
        <w:rPr>
          <w:rtl/>
        </w:rPr>
        <w:t xml:space="preserve"> قال العل</w:t>
      </w:r>
      <w:r w:rsidR="004B4F1B">
        <w:rPr>
          <w:rFonts w:hint="cs"/>
          <w:rtl/>
        </w:rPr>
        <w:t>ّ</w:t>
      </w:r>
      <w:r w:rsidR="004B4F1B">
        <w:rPr>
          <w:rtl/>
        </w:rPr>
        <w:t>ا</w:t>
      </w:r>
      <w:r w:rsidR="00E3253D" w:rsidRPr="005D642E">
        <w:rPr>
          <w:rtl/>
        </w:rPr>
        <w:t xml:space="preserve">مة المجلسي : « لما به ، أي ملكه الأمر الذي هو متلبّس به ، وإيراد « ما » هنا للتفخيم والتبهيم ، نحو قوله تعالى : </w:t>
      </w:r>
      <w:r w:rsidR="00E3253D" w:rsidRPr="004B4F1B">
        <w:rPr>
          <w:rStyle w:val="libFootnoteAlaemChar"/>
          <w:rtl/>
        </w:rPr>
        <w:t>(</w:t>
      </w:r>
      <w:r w:rsidR="00E3253D" w:rsidRPr="00EB702D">
        <w:rPr>
          <w:rStyle w:val="libFootnoteAieChar"/>
          <w:rtl/>
        </w:rPr>
        <w:t xml:space="preserve"> فَغَشِيَهُمْ مِنَ الْيَمِّ ما غَشِيَهُمْ </w:t>
      </w:r>
      <w:r w:rsidR="00E3253D" w:rsidRPr="004B4F1B">
        <w:rPr>
          <w:rStyle w:val="libFootnoteAlaemChar"/>
          <w:rtl/>
        </w:rPr>
        <w:t>)</w:t>
      </w:r>
      <w:r w:rsidR="00E3253D" w:rsidRPr="005D642E">
        <w:rPr>
          <w:rtl/>
        </w:rPr>
        <w:t xml:space="preserve"> [ طه (20) : 78 ]</w:t>
      </w:r>
      <w:r w:rsidR="00E3253D">
        <w:rPr>
          <w:rtl/>
        </w:rPr>
        <w:t>.</w:t>
      </w:r>
      <w:r w:rsidR="00E3253D" w:rsidRPr="005D642E">
        <w:rPr>
          <w:rtl/>
        </w:rPr>
        <w:t xml:space="preserve"> وإيراد اللام لعلّه لبيان أنّه قد أخذه المرض الذي معه ، فلا يمكن أخذه منه ، فكأنّه صار ملكه ؛ فيكون كناية عن احتضاره وإشرافه على الموت</w:t>
      </w:r>
      <w:r w:rsidR="00E3253D">
        <w:rPr>
          <w:rtl/>
        </w:rPr>
        <w:t xml:space="preserve"> ».</w:t>
      </w:r>
      <w:r w:rsidR="00E3253D" w:rsidRPr="005D642E">
        <w:rPr>
          <w:rtl/>
        </w:rPr>
        <w:t xml:space="preserve"> </w:t>
      </w:r>
      <w:r w:rsidR="00E3253D" w:rsidRPr="002F4D34">
        <w:rPr>
          <w:rStyle w:val="libFootnoteBoldChar"/>
          <w:rtl/>
        </w:rPr>
        <w:t>مرآة العقول</w:t>
      </w:r>
      <w:r w:rsidR="00E3253D" w:rsidRPr="005D642E">
        <w:rPr>
          <w:rtl/>
        </w:rPr>
        <w:t xml:space="preserve"> ، ج 14 ، ص 185.</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أسفر » : دخل في سفر الصبح ، وسفر الصبح يسفر : أضاء وأشرق كأسفر. والعبارة كناية عن حسن الوجه</w:t>
      </w:r>
      <w:r w:rsidR="004B4F1B">
        <w:rPr>
          <w:rFonts w:hint="cs"/>
          <w:rtl/>
        </w:rPr>
        <w:t xml:space="preserve"> </w:t>
      </w:r>
      <w:r w:rsidR="00E3253D" w:rsidRPr="005D642E">
        <w:rPr>
          <w:rtl/>
        </w:rPr>
        <w:t xml:space="preserve">‌وإشراقه. راجع : </w:t>
      </w:r>
      <w:r w:rsidR="00E3253D" w:rsidRPr="002F4D34">
        <w:rPr>
          <w:rStyle w:val="libFootnoteBoldChar"/>
          <w:rtl/>
        </w:rPr>
        <w:t>القاموس المحيط</w:t>
      </w:r>
      <w:r w:rsidR="00E3253D" w:rsidRPr="005D642E">
        <w:rPr>
          <w:rtl/>
        </w:rPr>
        <w:t xml:space="preserve"> ، ج 1 ، ص 574.</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وقد</w:t>
      </w:r>
      <w:r w:rsidR="00E3253D">
        <w:rPr>
          <w:rtl/>
        </w:rPr>
        <w:t xml:space="preserve"> ».</w:t>
      </w:r>
      <w:r w:rsidR="00E3253D" w:rsidRPr="005D642E">
        <w:rPr>
          <w:rtl/>
        </w:rPr>
        <w:t xml:space="preserve"> وفي البحار : « لقد</w:t>
      </w:r>
      <w:r w:rsidR="00E3253D">
        <w:rPr>
          <w:rtl/>
        </w:rPr>
        <w:t xml:space="preserve"> ».</w:t>
      </w:r>
    </w:p>
    <w:p w:rsidR="00E3253D" w:rsidRPr="005D642E" w:rsidRDefault="0042621E" w:rsidP="00D06DE1">
      <w:pPr>
        <w:pStyle w:val="libFootnote0"/>
        <w:rPr>
          <w:rtl/>
          <w:lang w:bidi="fa-IR"/>
        </w:rPr>
      </w:pPr>
      <w:r w:rsidRPr="0042621E">
        <w:rPr>
          <w:rStyle w:val="libFootnote0Char"/>
          <w:rtl/>
        </w:rPr>
        <w:t>(7).</w:t>
      </w:r>
      <w:r w:rsidR="00E3253D" w:rsidRPr="005D642E">
        <w:rPr>
          <w:rtl/>
        </w:rPr>
        <w:t xml:space="preserve"> اللام في « لسبيله » بمعنى « في » كما في</w:t>
      </w:r>
      <w:r w:rsidR="00E3253D" w:rsidRPr="004B4F1B">
        <w:rPr>
          <w:rStyle w:val="libFootnoteAlaemChar"/>
          <w:rtl/>
        </w:rPr>
        <w:t>(</w:t>
      </w:r>
      <w:r w:rsidR="00E3253D" w:rsidRPr="00EB702D">
        <w:rPr>
          <w:rStyle w:val="libFootnoteAieChar"/>
          <w:rtl/>
        </w:rPr>
        <w:t xml:space="preserve"> وَنَضَعُ الْمَوازِينَ الْقِسْطَ لِيَوْمِ الْقِيامَةِ </w:t>
      </w:r>
      <w:r w:rsidR="00E3253D" w:rsidRPr="004B4F1B">
        <w:rPr>
          <w:rStyle w:val="libFootnoteAlaemChar"/>
          <w:rtl/>
        </w:rPr>
        <w:t>)</w:t>
      </w:r>
      <w:r w:rsidR="00E3253D" w:rsidRPr="005D642E">
        <w:rPr>
          <w:rtl/>
        </w:rPr>
        <w:t xml:space="preserve"> [ الأنبياء (21) : 47 ] و</w:t>
      </w:r>
      <w:r w:rsidR="00E3253D">
        <w:rPr>
          <w:rFonts w:hint="cs"/>
          <w:rtl/>
        </w:rPr>
        <w:t xml:space="preserve"> </w:t>
      </w:r>
      <w:r w:rsidR="00E3253D" w:rsidRPr="00D06DE1">
        <w:rPr>
          <w:rStyle w:val="libFootnoteAlaemChar"/>
          <w:rtl/>
        </w:rPr>
        <w:t>(</w:t>
      </w:r>
      <w:r w:rsidR="00E3253D" w:rsidRPr="00EB702D">
        <w:rPr>
          <w:rStyle w:val="libFootnoteAieChar"/>
          <w:rtl/>
        </w:rPr>
        <w:t xml:space="preserve"> لا يُجَلِّيها لِوَقْتِها إِلاّ هُوَ </w:t>
      </w:r>
      <w:r w:rsidR="00E3253D" w:rsidRPr="00D06DE1">
        <w:rPr>
          <w:rStyle w:val="libFootnoteAlaemChar"/>
          <w:rtl/>
        </w:rPr>
        <w:t>)</w:t>
      </w:r>
      <w:r w:rsidR="00E3253D" w:rsidRPr="005D642E">
        <w:rPr>
          <w:rtl/>
        </w:rPr>
        <w:t xml:space="preserve"> [ الأعراف </w:t>
      </w:r>
      <w:r w:rsidRPr="0042621E">
        <w:rPr>
          <w:rStyle w:val="libFootnote0Char"/>
          <w:rtl/>
        </w:rPr>
        <w:t>(7)</w:t>
      </w:r>
      <w:r w:rsidR="00E3253D" w:rsidRPr="005D642E">
        <w:rPr>
          <w:rtl/>
        </w:rPr>
        <w:t xml:space="preserve"> : 187 ] ، أي مضى في السبيل الذي لابدّ له ولكلّ حيّ سلوكه ، وهوالموت. راجع : </w:t>
      </w:r>
      <w:r w:rsidR="00E3253D" w:rsidRPr="002F4D34">
        <w:rPr>
          <w:rStyle w:val="libFootnoteBoldChar"/>
          <w:rtl/>
        </w:rPr>
        <w:t>مرآة العقول</w:t>
      </w:r>
      <w:r w:rsidR="00E3253D" w:rsidRPr="005D642E">
        <w:rPr>
          <w:rtl/>
        </w:rPr>
        <w:t xml:space="preserve"> ، ج 14 ، ص 186.</w:t>
      </w:r>
      <w:r w:rsidR="00D06DE1">
        <w:rPr>
          <w:rFonts w:hint="cs"/>
          <w:rtl/>
        </w:rPr>
        <w:t xml:space="preserve">          </w:t>
      </w:r>
      <w:r w:rsidRPr="0042621E">
        <w:rPr>
          <w:rStyle w:val="libFootnote0Char"/>
          <w:rtl/>
        </w:rPr>
        <w:t>(8).</w:t>
      </w:r>
      <w:r w:rsidR="00E3253D" w:rsidRPr="005D642E">
        <w:rPr>
          <w:rtl/>
        </w:rPr>
        <w:t xml:space="preserve"> في « غ ، بخ » : « مغتمّاً</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معظم النسخ التي قوبلت وحاشية « جن » </w:t>
      </w:r>
      <w:r w:rsidR="000D749A" w:rsidRPr="000D749A">
        <w:rPr>
          <w:rStyle w:val="libFootnoteBoldChar"/>
          <w:rtl/>
        </w:rPr>
        <w:t>والوافي</w:t>
      </w:r>
      <w:r w:rsidR="00E3253D" w:rsidRPr="005D642E">
        <w:rPr>
          <w:rtl/>
        </w:rPr>
        <w:t xml:space="preserve"> والوسائل والبحار. وفي « غ ، بخ ، جن » وحاشية « بح » والمطبوع : « أهل البيت</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الفقيه</w:t>
      </w:r>
      <w:r w:rsidR="00E3253D" w:rsidRPr="005D642E">
        <w:rPr>
          <w:rtl/>
        </w:rPr>
        <w:t xml:space="preserve"> ، ج 1 ، ص 187 ، ح 567 ، مرسلاً ، من قوله : « فقال : إنّا أهل بيت » مع اختلاف يسير وزيادة في آخره </w:t>
      </w:r>
      <w:r w:rsidR="00D06DE1">
        <w:rPr>
          <w:rFonts w:hint="cs"/>
          <w:rtl/>
        </w:rPr>
        <w:t>.</w:t>
      </w:r>
      <w:r w:rsidR="00E3253D" w:rsidRPr="002F4D34">
        <w:rPr>
          <w:rStyle w:val="libFootnoteBoldChar"/>
          <w:rtl/>
        </w:rPr>
        <w:t>الوافي</w:t>
      </w:r>
      <w:r w:rsidR="00E3253D" w:rsidRPr="005D642E">
        <w:rPr>
          <w:rtl/>
        </w:rPr>
        <w:t xml:space="preserve"> ، ج 25 ، ص 573 ، ح 24696 ؛ </w:t>
      </w:r>
      <w:r w:rsidR="00E3253D" w:rsidRPr="002F4D34">
        <w:rPr>
          <w:rStyle w:val="libFootnoteBoldChar"/>
          <w:rtl/>
        </w:rPr>
        <w:t>الوسائل</w:t>
      </w:r>
      <w:r w:rsidR="00E3253D" w:rsidRPr="005D642E">
        <w:rPr>
          <w:rtl/>
        </w:rPr>
        <w:t xml:space="preserve"> ، ج 3 ، ص 275 ، ح 3639 ؛ </w:t>
      </w:r>
      <w:r w:rsidR="00E3253D" w:rsidRPr="002F4D34">
        <w:rPr>
          <w:rStyle w:val="libFootnoteBoldChar"/>
          <w:rtl/>
        </w:rPr>
        <w:t>البحار</w:t>
      </w:r>
      <w:r w:rsidR="00E3253D" w:rsidRPr="005D642E">
        <w:rPr>
          <w:rtl/>
        </w:rPr>
        <w:t xml:space="preserve"> ، ج 47 ، ص 49 ، ح 76.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C7116">
        <w:rPr>
          <w:rtl/>
        </w:rPr>
        <w:t>4666</w:t>
      </w:r>
      <w:r w:rsidRPr="00246318">
        <w:rPr>
          <w:rStyle w:val="libBold2Char"/>
          <w:rtl/>
        </w:rPr>
        <w:t xml:space="preserve"> / 11.</w:t>
      </w:r>
      <w:r w:rsidRPr="005D642E">
        <w:rPr>
          <w:rtl/>
          <w:lang w:bidi="fa-IR"/>
        </w:rPr>
        <w:t xml:space="preserve"> مُحَمَّدُ بْنُ يَحْيى ، عَنْ أَحْمَدَ بْنِ مُحَمَّدِ بْنِ عِيسى ، عَنِ الْحُسَيْنِ بْنِ سَعِيدٍ ، عَنِ النَّضْرِ بْنِ سُوَيْدٍ ، عَنِ الْقَاسِمِ بْنِ سُلَيْمَانَ ، عَنْ جَرَّاحٍ الْمَدَائِنِيِّ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لَا يَصْلُحُ الصِّيَاحُ عَلَى الْمَيِّتِ وَلَايَنْبَغِي ، وَلكِنَّ النَّاسَ لَا يَعْرِفُونَهُ </w:t>
      </w:r>
      <w:r w:rsidRPr="007C12DB">
        <w:rPr>
          <w:rStyle w:val="libFootnotenumChar"/>
          <w:rtl/>
        </w:rPr>
        <w:t>(1)</w:t>
      </w:r>
      <w:r w:rsidRPr="005D642E">
        <w:rPr>
          <w:rtl/>
          <w:lang w:bidi="fa-IR"/>
        </w:rPr>
        <w:t xml:space="preserve"> ، وَالصَّبْرُ خَيْرٌ</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2C7116">
        <w:rPr>
          <w:rtl/>
        </w:rPr>
        <w:t>4667</w:t>
      </w:r>
      <w:r w:rsidRPr="00246318">
        <w:rPr>
          <w:rStyle w:val="libBold2Char"/>
          <w:rtl/>
        </w:rPr>
        <w:t xml:space="preserve"> / 12.</w:t>
      </w:r>
      <w:r w:rsidRPr="005D642E">
        <w:rPr>
          <w:rtl/>
          <w:lang w:bidi="fa-IR"/>
        </w:rPr>
        <w:t xml:space="preserve"> عَلِيُّ بْنُ إِبْرَاهِيمَ ، عَنْ أَبِيهِ ، عَنْ حَمَّادِ بْنِ عِيسى ، عَنِ الْحُسَيْنِ بْنِ الْمُخْتَارِ ، عَنِ الْعَلَاءِ </w:t>
      </w:r>
      <w:r w:rsidRPr="007C12DB">
        <w:rPr>
          <w:rStyle w:val="libFootnotenumChar"/>
          <w:rtl/>
        </w:rPr>
        <w:t>(3)</w:t>
      </w:r>
      <w:r w:rsidRPr="005D642E">
        <w:rPr>
          <w:rtl/>
          <w:lang w:bidi="fa-IR"/>
        </w:rPr>
        <w:t xml:space="preserve"> بْنِ كَامِلٍ ، قَالَ :</w:t>
      </w:r>
    </w:p>
    <w:p w:rsidR="00E3253D" w:rsidRPr="005D642E" w:rsidRDefault="00E3253D" w:rsidP="00E3253D">
      <w:pPr>
        <w:pStyle w:val="libNormal"/>
        <w:rPr>
          <w:rtl/>
          <w:lang w:bidi="fa-IR"/>
        </w:rPr>
      </w:pPr>
      <w:r w:rsidRPr="005D642E">
        <w:rPr>
          <w:rtl/>
          <w:lang w:bidi="fa-IR"/>
        </w:rPr>
        <w:t xml:space="preserve">كُنْتُ جَالِساً عِنْدَ أَبِي عَبْدِ اللهِ </w:t>
      </w:r>
      <w:r w:rsidRPr="00AC51C5">
        <w:rPr>
          <w:rStyle w:val="libAlaemChar"/>
          <w:rtl/>
        </w:rPr>
        <w:t>عليه‌السلام</w:t>
      </w:r>
      <w:r w:rsidRPr="005D642E">
        <w:rPr>
          <w:rtl/>
          <w:lang w:bidi="fa-IR"/>
        </w:rPr>
        <w:t xml:space="preserve"> ، فَصَرَخَتْ صَارِخَةٌ </w:t>
      </w:r>
      <w:r w:rsidRPr="007C12DB">
        <w:rPr>
          <w:rStyle w:val="libFootnotenumChar"/>
          <w:rtl/>
        </w:rPr>
        <w:t>(4)</w:t>
      </w:r>
      <w:r w:rsidRPr="005D642E">
        <w:rPr>
          <w:rtl/>
          <w:lang w:bidi="fa-IR"/>
        </w:rPr>
        <w:t xml:space="preserve"> مِنَ الدَّارِ ، فَقَامَ </w:t>
      </w:r>
      <w:r w:rsidRPr="007C12DB">
        <w:rPr>
          <w:rStyle w:val="libFootnotenumChar"/>
          <w:rtl/>
        </w:rPr>
        <w:t>(5)</w:t>
      </w:r>
      <w:r w:rsidRPr="005D642E">
        <w:rPr>
          <w:rtl/>
          <w:lang w:bidi="fa-IR"/>
        </w:rPr>
        <w:t xml:space="preserve"> أَبُو عَبْدِ اللهِ </w:t>
      </w:r>
      <w:r w:rsidRPr="00AC51C5">
        <w:rPr>
          <w:rStyle w:val="libAlaemChar"/>
          <w:rtl/>
        </w:rPr>
        <w:t>عليه‌السلام</w:t>
      </w:r>
      <w:r w:rsidRPr="005D642E">
        <w:rPr>
          <w:rtl/>
          <w:lang w:bidi="fa-IR"/>
        </w:rPr>
        <w:t xml:space="preserve"> ، ثُمَّ جَلَسَ ، فَاسْتَرْجَعَ ، وَعَادَ فِي حَدِيثِهِ حَتّى فَرَغَ مِنْهُ ، ثُمَّ قَالَ : « إِنَّا لَنُحِبُّ أَنْ نُعَافى فِي أَنْفُسِنَا وَأَوْلَادِنَا وَأَمْوَالِنَا </w:t>
      </w:r>
      <w:r w:rsidRPr="007C12DB">
        <w:rPr>
          <w:rStyle w:val="libFootnotenumChar"/>
          <w:rtl/>
        </w:rPr>
        <w:t>(6)</w:t>
      </w:r>
      <w:r w:rsidRPr="005D642E">
        <w:rPr>
          <w:rtl/>
          <w:lang w:bidi="fa-IR"/>
        </w:rPr>
        <w:t xml:space="preserve"> ، فَإِذَا </w:t>
      </w:r>
      <w:r w:rsidRPr="007C12DB">
        <w:rPr>
          <w:rStyle w:val="libFootnotenumChar"/>
          <w:rtl/>
        </w:rPr>
        <w:t>(7)</w:t>
      </w:r>
      <w:r w:rsidRPr="005D642E">
        <w:rPr>
          <w:rtl/>
          <w:lang w:bidi="fa-IR"/>
        </w:rPr>
        <w:t xml:space="preserve"> وَقَعَ الْقَضَاءُ ، فَلَيْسَ </w:t>
      </w:r>
      <w:r w:rsidRPr="007C12DB">
        <w:rPr>
          <w:rStyle w:val="libFootnotenumChar"/>
          <w:rtl/>
        </w:rPr>
        <w:t>(8)</w:t>
      </w:r>
      <w:r w:rsidRPr="005D642E">
        <w:rPr>
          <w:rtl/>
          <w:lang w:bidi="fa-IR"/>
        </w:rPr>
        <w:t xml:space="preserve"> لَنَا أَنْ نُحِبَّ مَا لَمْ يُحِبَّ </w:t>
      </w:r>
      <w:r w:rsidRPr="007C12DB">
        <w:rPr>
          <w:rStyle w:val="libFootnotenumChar"/>
          <w:rtl/>
        </w:rPr>
        <w:t>(9)</w:t>
      </w:r>
      <w:r w:rsidRPr="005D642E">
        <w:rPr>
          <w:rtl/>
          <w:lang w:bidi="fa-IR"/>
        </w:rPr>
        <w:t xml:space="preserve"> اللهُ لَنَا</w:t>
      </w:r>
      <w:r>
        <w:rPr>
          <w:rtl/>
          <w:lang w:bidi="fa-IR"/>
        </w:rPr>
        <w:t>».</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2C7116">
        <w:rPr>
          <w:rtl/>
        </w:rPr>
        <w:t>4668</w:t>
      </w:r>
      <w:r w:rsidRPr="00246318">
        <w:rPr>
          <w:rStyle w:val="libBold2Char"/>
          <w:rtl/>
        </w:rPr>
        <w:t xml:space="preserve"> / 13.</w:t>
      </w:r>
      <w:r w:rsidRPr="005D642E">
        <w:rPr>
          <w:rtl/>
          <w:lang w:bidi="fa-IR"/>
        </w:rPr>
        <w:t xml:space="preserve"> أَبُو عَلِيٍّ الْأَشْعَرِيُّ ، عَنْ مُحَمَّدِ بْنِ عَبْدِ الْجَبَّارِ ، عَنِ ابْنِ فَضَّالٍ ، عَنْ يُونُسَ بْنِ يَعْقُوبَ ، عَنْ بَعْضِ أَصْحَابِنَا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لايعرفون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569 ، ح 24686 ؛ </w:t>
      </w:r>
      <w:r w:rsidR="00E3253D" w:rsidRPr="002F4D34">
        <w:rPr>
          <w:rStyle w:val="libFootnoteBoldChar"/>
          <w:rtl/>
        </w:rPr>
        <w:t>الوسائل</w:t>
      </w:r>
      <w:r w:rsidR="00E3253D" w:rsidRPr="005D642E">
        <w:rPr>
          <w:rtl/>
        </w:rPr>
        <w:t xml:space="preserve"> ، ج 3 ، ص 273 ، ح 3630.</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 ظ ، ى ، بث ، بح ، بخ ، بف ، جح ، جس ، جن » والوسائل والبحار. وفي « بس » : « علا</w:t>
      </w:r>
      <w:r w:rsidR="00E3253D">
        <w:rPr>
          <w:rtl/>
        </w:rPr>
        <w:t xml:space="preserve"> ».</w:t>
      </w:r>
      <w:r w:rsidR="00E3253D" w:rsidRPr="005D642E">
        <w:rPr>
          <w:rtl/>
        </w:rPr>
        <w:t xml:space="preserve"> وفي المطبوع : « علاء</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ظ ، ى ، بث ، بح ، بس ، جح ، جس ، جن » والوسائل والبحار : « الصارخة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D06DE1">
        <w:rPr>
          <w:rtl/>
        </w:rPr>
        <w:t xml:space="preserve"> قال العل</w:t>
      </w:r>
      <w:r w:rsidR="00D06DE1">
        <w:rPr>
          <w:rFonts w:hint="cs"/>
          <w:rtl/>
        </w:rPr>
        <w:t>ّ</w:t>
      </w:r>
      <w:r w:rsidR="00D06DE1">
        <w:rPr>
          <w:rtl/>
        </w:rPr>
        <w:t>ا</w:t>
      </w:r>
      <w:r w:rsidR="00E3253D" w:rsidRPr="005D642E">
        <w:rPr>
          <w:rtl/>
        </w:rPr>
        <w:t xml:space="preserve">مة المجلسي : « لعلّ قيامه </w:t>
      </w:r>
      <w:r w:rsidR="00E3253D" w:rsidRPr="00D06DE1">
        <w:rPr>
          <w:rStyle w:val="libFootnoteAlaemChar"/>
          <w:rtl/>
        </w:rPr>
        <w:t>عليه‌السلام</w:t>
      </w:r>
      <w:r w:rsidR="00E3253D" w:rsidRPr="005D642E">
        <w:rPr>
          <w:rtl/>
        </w:rPr>
        <w:t xml:space="preserve"> لرفع ما حدث في نفسه </w:t>
      </w:r>
      <w:r w:rsidR="00E3253D" w:rsidRPr="00D06DE1">
        <w:rPr>
          <w:rStyle w:val="libFootnoteAlaemChar"/>
          <w:rtl/>
        </w:rPr>
        <w:t>عليه‌السلام</w:t>
      </w:r>
      <w:r w:rsidR="00E3253D" w:rsidRPr="005D642E">
        <w:rPr>
          <w:rtl/>
        </w:rPr>
        <w:t xml:space="preserve"> من سماع الصياح من الوجد والحزن ؛ لأنّ الانتقال من حال إلى حال</w:t>
      </w:r>
      <w:r w:rsidR="00E3253D">
        <w:rPr>
          <w:rtl/>
        </w:rPr>
        <w:t xml:space="preserve"> </w:t>
      </w:r>
      <w:r w:rsidR="007642BC">
        <w:rPr>
          <w:rtl/>
        </w:rPr>
        <w:t>-</w:t>
      </w:r>
      <w:r w:rsidR="00E3253D">
        <w:rPr>
          <w:rtl/>
        </w:rPr>
        <w:t xml:space="preserve"> </w:t>
      </w:r>
      <w:r w:rsidR="00E3253D" w:rsidRPr="005D642E">
        <w:rPr>
          <w:rtl/>
        </w:rPr>
        <w:t>كالانتقال من القيام إلى القعود وبالعكس</w:t>
      </w:r>
      <w:r w:rsidR="00E3253D">
        <w:rPr>
          <w:rtl/>
        </w:rPr>
        <w:t xml:space="preserve"> </w:t>
      </w:r>
      <w:r w:rsidR="007642BC">
        <w:rPr>
          <w:rtl/>
        </w:rPr>
        <w:t>-</w:t>
      </w:r>
      <w:r w:rsidR="00E3253D">
        <w:rPr>
          <w:rtl/>
        </w:rPr>
        <w:t xml:space="preserve"> </w:t>
      </w:r>
      <w:r w:rsidR="00E3253D" w:rsidRPr="005D642E">
        <w:rPr>
          <w:rtl/>
        </w:rPr>
        <w:t>يورث تسكين ما حدث في النفس من تغيّر الحال ، كما ورد في معالجة شدّة الغضب في الخبر ؛ أو لتعليمنا ذلك</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غ ، بح ، جح » : « وأموالنا وأولادنا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وإذا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06DE1" w:rsidTr="00D06DE1">
        <w:tc>
          <w:tcPr>
            <w:tcW w:w="4006" w:type="dxa"/>
          </w:tcPr>
          <w:p w:rsidR="00D06DE1" w:rsidRDefault="00D06DE1" w:rsidP="00E3253D">
            <w:pPr>
              <w:pStyle w:val="libFootnote0"/>
              <w:rPr>
                <w:rStyle w:val="libFootnote0Char"/>
                <w:rtl/>
              </w:rPr>
            </w:pPr>
            <w:r w:rsidRPr="0042621E">
              <w:rPr>
                <w:rStyle w:val="libFootnote0Char"/>
                <w:rtl/>
              </w:rPr>
              <w:t>(8).</w:t>
            </w:r>
            <w:r w:rsidRPr="005D642E">
              <w:rPr>
                <w:rtl/>
              </w:rPr>
              <w:t xml:space="preserve"> في « بح » : « ليس</w:t>
            </w:r>
            <w:r>
              <w:rPr>
                <w:rtl/>
              </w:rPr>
              <w:t xml:space="preserve"> ».</w:t>
            </w:r>
          </w:p>
        </w:tc>
        <w:tc>
          <w:tcPr>
            <w:tcW w:w="4006" w:type="dxa"/>
          </w:tcPr>
          <w:p w:rsidR="00D06DE1" w:rsidRDefault="00D06DE1" w:rsidP="00E3253D">
            <w:pPr>
              <w:pStyle w:val="libFootnote0"/>
              <w:rPr>
                <w:rStyle w:val="libFootnote0Char"/>
                <w:rtl/>
              </w:rPr>
            </w:pPr>
            <w:r w:rsidRPr="0042621E">
              <w:rPr>
                <w:rStyle w:val="libFootnote0Char"/>
                <w:rtl/>
              </w:rPr>
              <w:t>(9).</w:t>
            </w:r>
            <w:r>
              <w:rPr>
                <w:rtl/>
              </w:rPr>
              <w:t xml:space="preserve"> في «بخ» : «إل</w:t>
            </w:r>
            <w:r>
              <w:rPr>
                <w:rFonts w:hint="cs"/>
                <w:rtl/>
              </w:rPr>
              <w:t>ّ</w:t>
            </w:r>
            <w:r>
              <w:rPr>
                <w:rtl/>
              </w:rPr>
              <w:t>ا ما أحبّ</w:t>
            </w:r>
            <w:r w:rsidRPr="005D642E">
              <w:rPr>
                <w:rtl/>
              </w:rPr>
              <w:t>» بدل « ما لم يحبّ</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25 ، ص 573 ، ح 24698 ؛ </w:t>
      </w:r>
      <w:r w:rsidR="00E3253D" w:rsidRPr="002F4D34">
        <w:rPr>
          <w:rStyle w:val="libFootnoteBoldChar"/>
          <w:rtl/>
        </w:rPr>
        <w:t>الوسائل</w:t>
      </w:r>
      <w:r w:rsidR="00E3253D" w:rsidRPr="005D642E">
        <w:rPr>
          <w:rtl/>
        </w:rPr>
        <w:t xml:space="preserve"> ، ج 3 ، ص 276 ، ح 3640 ؛ </w:t>
      </w:r>
      <w:r w:rsidR="00E3253D" w:rsidRPr="002F4D34">
        <w:rPr>
          <w:rStyle w:val="libFootnoteBoldChar"/>
          <w:rtl/>
        </w:rPr>
        <w:t>البحار</w:t>
      </w:r>
      <w:r w:rsidR="00E3253D" w:rsidRPr="005D642E">
        <w:rPr>
          <w:rtl/>
        </w:rPr>
        <w:t xml:space="preserve"> ، ج 47 ، ص 49 ، ح 78.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كَانَ قَوْمٌ أَتَوْا أَبَا جَعْفَرٍ </w:t>
      </w:r>
      <w:r w:rsidRPr="00AC51C5">
        <w:rPr>
          <w:rStyle w:val="libAlaemChar"/>
          <w:rtl/>
        </w:rPr>
        <w:t>عليه‌السلام</w:t>
      </w:r>
      <w:r w:rsidRPr="005D642E">
        <w:rPr>
          <w:rtl/>
          <w:lang w:bidi="fa-IR"/>
        </w:rPr>
        <w:t xml:space="preserve"> ، فَوَافَقُوا </w:t>
      </w:r>
      <w:r w:rsidRPr="007C12DB">
        <w:rPr>
          <w:rStyle w:val="libFootnotenumChar"/>
          <w:rtl/>
        </w:rPr>
        <w:t>(1)</w:t>
      </w:r>
      <w:r w:rsidRPr="005D642E">
        <w:rPr>
          <w:rtl/>
          <w:lang w:bidi="fa-IR"/>
        </w:rPr>
        <w:t xml:space="preserve"> صَبِيّاً لَهُ مَرِيضاً ، فَرَأَوْا مِنْهُ اهْتِمَاماً وَغَمّاً ، وَجَعَلَ لَايَقِرُّ </w:t>
      </w:r>
      <w:r w:rsidRPr="007C12DB">
        <w:rPr>
          <w:rStyle w:val="libFootnotenumChar"/>
          <w:rtl/>
        </w:rPr>
        <w:t>(2)</w:t>
      </w:r>
      <w:r w:rsidRPr="005D642E">
        <w:rPr>
          <w:rtl/>
          <w:lang w:bidi="fa-IR"/>
        </w:rPr>
        <w:t xml:space="preserve"> ، قَالَ : فَقَالُوا : وَاللهِ ، لَئِنْ أَصَابَهُ شَيْ‌ءٌ إِنَّا لَنَتَخَوَّفُ </w:t>
      </w:r>
      <w:r w:rsidRPr="007C12DB">
        <w:rPr>
          <w:rStyle w:val="libFootnotenumChar"/>
          <w:rtl/>
        </w:rPr>
        <w:t>(3)</w:t>
      </w:r>
      <w:r w:rsidRPr="005D642E">
        <w:rPr>
          <w:rtl/>
          <w:lang w:bidi="fa-IR"/>
        </w:rPr>
        <w:t xml:space="preserve"> أَنْ نَرى مِنْهُ </w:t>
      </w:r>
      <w:r w:rsidRPr="007C12DB">
        <w:rPr>
          <w:rStyle w:val="libFootnotenumChar"/>
          <w:rtl/>
        </w:rPr>
        <w:t>(4)</w:t>
      </w:r>
      <w:r w:rsidRPr="005D642E">
        <w:rPr>
          <w:rtl/>
          <w:lang w:bidi="fa-IR"/>
        </w:rPr>
        <w:t xml:space="preserve"> مَا نَكْرَهُ </w:t>
      </w:r>
      <w:r w:rsidRPr="007C12DB">
        <w:rPr>
          <w:rStyle w:val="libFootnotenumChar"/>
          <w:rtl/>
        </w:rPr>
        <w:t>(5)</w:t>
      </w:r>
      <w:r w:rsidRPr="005D642E">
        <w:rPr>
          <w:rtl/>
          <w:lang w:bidi="fa-IR"/>
        </w:rPr>
        <w:t xml:space="preserve"> ، قَالَ </w:t>
      </w:r>
      <w:r w:rsidRPr="007C12DB">
        <w:rPr>
          <w:rStyle w:val="libFootnotenumChar"/>
          <w:rtl/>
        </w:rPr>
        <w:t>(6)</w:t>
      </w:r>
      <w:r w:rsidRPr="005D642E">
        <w:rPr>
          <w:rtl/>
          <w:lang w:bidi="fa-IR"/>
        </w:rPr>
        <w:t xml:space="preserve"> : فَمَا لَبِثُوا أَنْ سَمِعُوا الصِّيَاحَ عَلَيْهِ ، فَإِذَا هُوَ قَدْ خَرَجَ عَلَيْهِمْ مُنْبَسِطَ الْوَجْهِ فِي غَيْرِ الْحَالِ الَّتِي كَانَ عَلَيْهَا ، فَقَالُوا لَهُ : جَعَلَنَا اللهُ فِدَاكَ ، لَقَدْ كُنَّا نَخَافُ مِمَّا نَرى مِنْكَ أَنْ لَوْ وَقَعَ أَنْ نَرى مِنْكَ مَا يَغُمُّنَا ، فَقَالَ لَهُمْ : « إِنَّا لَنُحِبُّ أَنْ نُعَافى فِيمَنْ نُحِبُّ ، فَإِذَا جَاءَ أَمْرُ اللهِ ، سَلَّمْنَا فِيمَا </w:t>
      </w:r>
      <w:r w:rsidRPr="007C12DB">
        <w:rPr>
          <w:rStyle w:val="libFootnotenumChar"/>
          <w:rtl/>
        </w:rPr>
        <w:t>(7)</w:t>
      </w:r>
      <w:r w:rsidRPr="005D642E">
        <w:rPr>
          <w:rtl/>
          <w:lang w:bidi="fa-IR"/>
        </w:rPr>
        <w:t xml:space="preserve"> أَحَبَّ </w:t>
      </w:r>
      <w:r w:rsidRPr="007C12DB">
        <w:rPr>
          <w:rStyle w:val="libFootnotenumChar"/>
          <w:rtl/>
        </w:rPr>
        <w:t>(8)</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Heading2Center"/>
        <w:rPr>
          <w:rtl/>
          <w:lang w:bidi="fa-IR"/>
        </w:rPr>
      </w:pPr>
      <w:bookmarkStart w:id="509" w:name="_Toc344647381"/>
      <w:bookmarkStart w:id="510" w:name="_Toc462226895"/>
      <w:bookmarkStart w:id="511" w:name="_Toc40976003"/>
      <w:r w:rsidRPr="005D642E">
        <w:rPr>
          <w:rtl/>
          <w:lang w:bidi="fa-IR"/>
        </w:rPr>
        <w:t>83</w:t>
      </w:r>
      <w:r>
        <w:rPr>
          <w:rtl/>
          <w:lang w:bidi="fa-IR"/>
        </w:rPr>
        <w:t xml:space="preserve"> </w:t>
      </w:r>
      <w:r w:rsidR="007642BC">
        <w:rPr>
          <w:rtl/>
          <w:lang w:bidi="fa-IR"/>
        </w:rPr>
        <w:t>-</w:t>
      </w:r>
      <w:r>
        <w:rPr>
          <w:rtl/>
          <w:lang w:bidi="fa-IR"/>
        </w:rPr>
        <w:t xml:space="preserve"> </w:t>
      </w:r>
      <w:r w:rsidRPr="005D642E">
        <w:rPr>
          <w:rtl/>
          <w:lang w:bidi="fa-IR"/>
        </w:rPr>
        <w:t>بَابُ ثَوَابِ التَّعْزِيَةِ‌</w:t>
      </w:r>
      <w:bookmarkEnd w:id="509"/>
      <w:bookmarkEnd w:id="510"/>
      <w:bookmarkEnd w:id="511"/>
    </w:p>
    <w:p w:rsidR="00E3253D" w:rsidRPr="005D642E" w:rsidRDefault="00E3253D" w:rsidP="00E3253D">
      <w:pPr>
        <w:pStyle w:val="libNormal"/>
        <w:rPr>
          <w:rtl/>
          <w:lang w:bidi="fa-IR"/>
        </w:rPr>
      </w:pPr>
      <w:r w:rsidRPr="002C7116">
        <w:rPr>
          <w:rtl/>
        </w:rPr>
        <w:t>4669</w:t>
      </w:r>
      <w:r w:rsidRPr="00246318">
        <w:rPr>
          <w:rStyle w:val="libBold2Char"/>
          <w:rtl/>
        </w:rPr>
        <w:t xml:space="preserve"> / 1.</w:t>
      </w:r>
      <w:r w:rsidRPr="005D642E">
        <w:rPr>
          <w:rtl/>
          <w:lang w:bidi="fa-IR"/>
        </w:rPr>
        <w:t xml:space="preserve"> مُحَمَّدُ بْنُ يَحْيى ، عَنْ أَحْمَدَ بْنِ مُحَمَّدٍ ، عَنِ ابْنِ سِنَانٍ ، عَنْ أَبِي الْجَارُودِ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كَانَ فِيمَا نَاجى بِهِ مُوسى </w:t>
      </w:r>
      <w:r w:rsidRPr="00AC51C5">
        <w:rPr>
          <w:rStyle w:val="libAlaemChar"/>
          <w:rtl/>
        </w:rPr>
        <w:t>عليه‌السلام</w:t>
      </w:r>
      <w:r w:rsidRPr="005D642E">
        <w:rPr>
          <w:rtl/>
          <w:lang w:bidi="fa-IR"/>
        </w:rPr>
        <w:t xml:space="preserve"> رَبَّهُ قَالَ : يَا رَبِّ ، مَا لِمَنْ عَزَّى الثَّكْلى </w:t>
      </w:r>
      <w:r w:rsidRPr="007C12DB">
        <w:rPr>
          <w:rStyle w:val="libFootnotenumChar"/>
          <w:rtl/>
        </w:rPr>
        <w:t>(10)</w:t>
      </w:r>
      <w:r>
        <w:rPr>
          <w:rtl/>
          <w:lang w:bidi="fa-IR"/>
        </w:rPr>
        <w:t>؟</w:t>
      </w:r>
      <w:r w:rsidRPr="005D642E">
        <w:rPr>
          <w:rtl/>
          <w:lang w:bidi="fa-IR"/>
        </w:rPr>
        <w:t xml:space="preserve"> قَالَ : أُظِلُّهُ </w:t>
      </w:r>
      <w:r w:rsidRPr="007C12DB">
        <w:rPr>
          <w:rStyle w:val="libFootnotenumChar"/>
          <w:rtl/>
        </w:rPr>
        <w:t>(11)</w:t>
      </w:r>
      <w:r w:rsidRPr="005D642E">
        <w:rPr>
          <w:rtl/>
          <w:lang w:bidi="fa-IR"/>
        </w:rPr>
        <w:t xml:space="preserve"> فِي ظِلِّي يَوْمَ‌</w:t>
      </w:r>
      <w:r w:rsidR="001F7EDD">
        <w:rPr>
          <w:rFonts w:hint="cs"/>
          <w:rtl/>
          <w:lang w:bidi="fa-IR"/>
        </w:rPr>
        <w:t xml:space="preserve"> ..................</w:t>
      </w:r>
      <w:r w:rsidR="00763270">
        <w:rPr>
          <w:rFonts w:hint="cs"/>
          <w:rtl/>
          <w:lang w:bidi="fa-IR"/>
        </w:rPr>
        <w:t>................</w:t>
      </w:r>
      <w:r w:rsidR="00763270">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وافقوا » أي صادفوا. ووافقته : صادفته. راجع : </w:t>
      </w:r>
      <w:r w:rsidR="00E3253D" w:rsidRPr="002F4D34">
        <w:rPr>
          <w:rStyle w:val="libFootnoteBoldChar"/>
          <w:rtl/>
        </w:rPr>
        <w:t>الصحاح</w:t>
      </w:r>
      <w:r w:rsidR="00E3253D" w:rsidRPr="005D642E">
        <w:rPr>
          <w:rtl/>
        </w:rPr>
        <w:t xml:space="preserve"> ، ج 4 ، ص 1567 ( وفق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لايقرّ » من القرار ، وهو الثبوت والسكون. راجع : </w:t>
      </w:r>
      <w:r w:rsidR="00E3253D" w:rsidRPr="002F4D34">
        <w:rPr>
          <w:rStyle w:val="libFootnoteBoldChar"/>
          <w:rtl/>
        </w:rPr>
        <w:t>القاموس المحيط</w:t>
      </w:r>
      <w:r w:rsidR="00E3253D" w:rsidRPr="005D642E">
        <w:rPr>
          <w:rtl/>
        </w:rPr>
        <w:t xml:space="preserve"> ، ج 1 ، ص 642 ( قرر )</w:t>
      </w:r>
      <w:r w:rsidR="00E3253D">
        <w:rPr>
          <w:rtl/>
        </w:rPr>
        <w:t>.</w:t>
      </w:r>
    </w:p>
    <w:tbl>
      <w:tblPr>
        <w:tblStyle w:val="TableGrid"/>
        <w:bidiVisual/>
        <w:tblW w:w="0" w:type="auto"/>
        <w:tblLook w:val="04A0" w:firstRow="1" w:lastRow="0" w:firstColumn="1" w:lastColumn="0" w:noHBand="0" w:noVBand="1"/>
      </w:tblPr>
      <w:tblGrid>
        <w:gridCol w:w="4006"/>
        <w:gridCol w:w="4006"/>
      </w:tblGrid>
      <w:tr w:rsidR="00763270" w:rsidTr="00763270">
        <w:tc>
          <w:tcPr>
            <w:tcW w:w="4006" w:type="dxa"/>
          </w:tcPr>
          <w:p w:rsidR="00763270" w:rsidRDefault="00763270" w:rsidP="00E3253D">
            <w:pPr>
              <w:pStyle w:val="libFootnote0"/>
              <w:rPr>
                <w:rStyle w:val="libFootnote0Char"/>
                <w:rtl/>
              </w:rPr>
            </w:pPr>
            <w:r w:rsidRPr="0042621E">
              <w:rPr>
                <w:rStyle w:val="libFootnote0Char"/>
                <w:rtl/>
              </w:rPr>
              <w:t>(3).</w:t>
            </w:r>
            <w:r w:rsidRPr="005D642E">
              <w:rPr>
                <w:rtl/>
              </w:rPr>
              <w:t xml:space="preserve"> في حاشية « بح » : « نتخوّف</w:t>
            </w:r>
            <w:r>
              <w:rPr>
                <w:rtl/>
              </w:rPr>
              <w:t xml:space="preserve"> ».</w:t>
            </w:r>
          </w:p>
        </w:tc>
        <w:tc>
          <w:tcPr>
            <w:tcW w:w="4006" w:type="dxa"/>
          </w:tcPr>
          <w:p w:rsidR="00763270" w:rsidRDefault="00763270" w:rsidP="00E3253D">
            <w:pPr>
              <w:pStyle w:val="libFootnote0"/>
              <w:rPr>
                <w:rStyle w:val="libFootnote0Char"/>
                <w:rtl/>
              </w:rPr>
            </w:pPr>
            <w:r w:rsidRPr="0042621E">
              <w:rPr>
                <w:rStyle w:val="libFootnote0Char"/>
                <w:rtl/>
              </w:rPr>
              <w:t>(4).</w:t>
            </w:r>
            <w:r w:rsidRPr="005D642E">
              <w:rPr>
                <w:rtl/>
              </w:rPr>
              <w:t xml:space="preserve"> في « بح » : « به</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 من جزع وفزع</w:t>
      </w:r>
      <w:r w:rsidR="00E3253D">
        <w:rPr>
          <w:rtl/>
        </w:rPr>
        <w:t xml:space="preserve"> ».</w:t>
      </w:r>
      <w:r w:rsidR="00E3253D" w:rsidRPr="005D642E">
        <w:rPr>
          <w:rtl/>
        </w:rPr>
        <w:t xml:space="preserve"> وفي « جس » : « ما يكره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63270" w:rsidTr="00763270">
        <w:tc>
          <w:tcPr>
            <w:tcW w:w="4006" w:type="dxa"/>
          </w:tcPr>
          <w:p w:rsidR="00763270" w:rsidRDefault="00763270" w:rsidP="00E3253D">
            <w:pPr>
              <w:pStyle w:val="libFootnote0"/>
              <w:rPr>
                <w:rStyle w:val="libFootnote0Char"/>
                <w:rtl/>
                <w:lang w:bidi="fa-IR"/>
              </w:rPr>
            </w:pPr>
            <w:r w:rsidRPr="0042621E">
              <w:rPr>
                <w:rStyle w:val="libFootnote0Char"/>
                <w:rtl/>
              </w:rPr>
              <w:t>(6).</w:t>
            </w:r>
            <w:r w:rsidRPr="005D642E">
              <w:rPr>
                <w:rtl/>
              </w:rPr>
              <w:t xml:space="preserve"> في « جح » : « فقال</w:t>
            </w:r>
            <w:r>
              <w:rPr>
                <w:rtl/>
              </w:rPr>
              <w:t xml:space="preserve"> ».</w:t>
            </w:r>
          </w:p>
        </w:tc>
        <w:tc>
          <w:tcPr>
            <w:tcW w:w="4006" w:type="dxa"/>
          </w:tcPr>
          <w:p w:rsidR="00763270" w:rsidRDefault="00763270" w:rsidP="00E3253D">
            <w:pPr>
              <w:pStyle w:val="libFootnote0"/>
              <w:rPr>
                <w:rStyle w:val="libFootnote0Char"/>
                <w:rtl/>
                <w:lang w:bidi="fa-IR"/>
              </w:rPr>
            </w:pPr>
            <w:r w:rsidRPr="0042621E">
              <w:rPr>
                <w:rStyle w:val="libFootnote0Char"/>
                <w:rtl/>
              </w:rPr>
              <w:t>(7).</w:t>
            </w:r>
            <w:r w:rsidRPr="005D642E">
              <w:rPr>
                <w:rtl/>
              </w:rPr>
              <w:t xml:space="preserve"> في حاشية « بح » : « فيه ما</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بح » والبحار : « يحبّ</w:t>
      </w:r>
      <w:r w:rsidR="00E3253D">
        <w:rPr>
          <w:rtl/>
        </w:rPr>
        <w:t xml:space="preserve"> ».</w:t>
      </w:r>
      <w:r w:rsidR="00763270">
        <w:rPr>
          <w:rtl/>
        </w:rPr>
        <w:t xml:space="preserve"> وقال العل</w:t>
      </w:r>
      <w:r w:rsidR="00763270">
        <w:rPr>
          <w:rFonts w:hint="cs"/>
          <w:rtl/>
        </w:rPr>
        <w:t>ّ</w:t>
      </w:r>
      <w:r w:rsidR="00763270">
        <w:rPr>
          <w:rtl/>
        </w:rPr>
        <w:t>ا</w:t>
      </w:r>
      <w:r w:rsidR="00E3253D" w:rsidRPr="005D642E">
        <w:rPr>
          <w:rtl/>
        </w:rPr>
        <w:t xml:space="preserve">مة المجلسي </w:t>
      </w:r>
      <w:r w:rsidR="00E3253D" w:rsidRPr="00763270">
        <w:rPr>
          <w:rStyle w:val="libFootnoteAlaemChar"/>
          <w:rtl/>
        </w:rPr>
        <w:t>رحمه‌الله</w:t>
      </w:r>
      <w:r w:rsidR="00E3253D" w:rsidRPr="005D642E">
        <w:rPr>
          <w:rtl/>
        </w:rPr>
        <w:t xml:space="preserve"> : « يحتمل أن يكون « في » بمعنى « مع » ، أي نكون نحن ومن نحبّه معافين ؛ وأن يكون للتعليل أو الظرفيّة المجازيّة ، أي لايصيبنا بسبب من نحبّه مكروه وألم بفقده أو بابتلائه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الوافي</w:t>
      </w:r>
      <w:r w:rsidR="00E3253D" w:rsidRPr="005D642E">
        <w:rPr>
          <w:rtl/>
        </w:rPr>
        <w:t xml:space="preserve"> ، ج 25 ، ص 574 ، ح 24699 ؛ </w:t>
      </w:r>
      <w:r w:rsidR="00E3253D" w:rsidRPr="002F4D34">
        <w:rPr>
          <w:rStyle w:val="libFootnoteBoldChar"/>
          <w:rtl/>
        </w:rPr>
        <w:t>الوسائل</w:t>
      </w:r>
      <w:r w:rsidR="00E3253D" w:rsidRPr="005D642E">
        <w:rPr>
          <w:rtl/>
        </w:rPr>
        <w:t xml:space="preserve"> ، ج 3 ، ص 276 ، ح 3641 ؛ </w:t>
      </w:r>
      <w:r w:rsidR="00E3253D" w:rsidRPr="002F4D34">
        <w:rPr>
          <w:rStyle w:val="libFootnoteBoldChar"/>
          <w:rtl/>
        </w:rPr>
        <w:t>البحار</w:t>
      </w:r>
      <w:r w:rsidR="00E3253D" w:rsidRPr="005D642E">
        <w:rPr>
          <w:rtl/>
        </w:rPr>
        <w:t xml:space="preserve"> ، ج 46 ، ص 301 ، ح 44.</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الثكل »</w:t>
      </w:r>
      <w:r w:rsidR="00E3253D">
        <w:rPr>
          <w:rtl/>
        </w:rPr>
        <w:t xml:space="preserve"> </w:t>
      </w:r>
      <w:r w:rsidR="007642BC">
        <w:rPr>
          <w:rtl/>
        </w:rPr>
        <w:t>-</w:t>
      </w:r>
      <w:r w:rsidR="00E3253D">
        <w:rPr>
          <w:rtl/>
        </w:rPr>
        <w:t xml:space="preserve"> </w:t>
      </w:r>
      <w:r w:rsidR="00E3253D" w:rsidRPr="005D642E">
        <w:rPr>
          <w:rtl/>
        </w:rPr>
        <w:t>بالضمّ</w:t>
      </w:r>
      <w:r w:rsidR="00E3253D">
        <w:rPr>
          <w:rtl/>
        </w:rPr>
        <w:t xml:space="preserve"> </w:t>
      </w:r>
      <w:r w:rsidR="007642BC">
        <w:rPr>
          <w:rtl/>
        </w:rPr>
        <w:t>-</w:t>
      </w:r>
      <w:r w:rsidR="00E3253D">
        <w:rPr>
          <w:rtl/>
        </w:rPr>
        <w:t xml:space="preserve"> </w:t>
      </w:r>
      <w:r w:rsidR="00E3253D" w:rsidRPr="005D642E">
        <w:rPr>
          <w:rtl/>
        </w:rPr>
        <w:t>: الموت والهلاك ، أو فقدان الحبيب أو الولد ، واثكلت المرأة فهي ثكلى ، إذا مات ولدها ، ويطلق الثكلى على الط</w:t>
      </w:r>
      <w:r w:rsidR="00763270">
        <w:rPr>
          <w:rtl/>
        </w:rPr>
        <w:t>ائفة والجماعة أيضاً. وقال العل</w:t>
      </w:r>
      <w:r w:rsidR="00763270">
        <w:rPr>
          <w:rFonts w:hint="cs"/>
          <w:rtl/>
        </w:rPr>
        <w:t>ّ</w:t>
      </w:r>
      <w:r w:rsidR="00763270">
        <w:rPr>
          <w:rtl/>
        </w:rPr>
        <w:t>ا</w:t>
      </w:r>
      <w:r w:rsidR="00E3253D" w:rsidRPr="005D642E">
        <w:rPr>
          <w:rtl/>
        </w:rPr>
        <w:t xml:space="preserve">مة المجلسي </w:t>
      </w:r>
      <w:r w:rsidR="00E3253D" w:rsidRPr="00763270">
        <w:rPr>
          <w:rStyle w:val="libFootnoteAlaemChar"/>
          <w:rtl/>
        </w:rPr>
        <w:t>رحمه‌الله</w:t>
      </w:r>
      <w:r w:rsidR="00E3253D" w:rsidRPr="005D642E">
        <w:rPr>
          <w:rtl/>
        </w:rPr>
        <w:t xml:space="preserve"> : « الأوّل أظهر ، ولعلّ التخصيص لكون المرأة أشدّ جزعاً في المصائب من الرجل</w:t>
      </w:r>
      <w:r w:rsidR="00E3253D">
        <w:rPr>
          <w:rtl/>
        </w:rPr>
        <w:t xml:space="preserve"> ».</w:t>
      </w:r>
      <w:r w:rsidR="00E3253D" w:rsidRPr="005D642E">
        <w:rPr>
          <w:rtl/>
        </w:rPr>
        <w:t xml:space="preserve"> راجع : </w:t>
      </w:r>
      <w:r w:rsidR="00E3253D" w:rsidRPr="002F4D34">
        <w:rPr>
          <w:rStyle w:val="libFootnoteBoldChar"/>
          <w:rtl/>
        </w:rPr>
        <w:t>القاموس المحيط</w:t>
      </w:r>
      <w:r w:rsidR="00E3253D" w:rsidRPr="005D642E">
        <w:rPr>
          <w:rtl/>
        </w:rPr>
        <w:t xml:space="preserve"> ، ج 2 ، ص 1287 ( ثكل ) ؛ </w:t>
      </w:r>
      <w:r w:rsidR="00E3253D" w:rsidRPr="002F4D34">
        <w:rPr>
          <w:rStyle w:val="libFootnoteBoldChar"/>
          <w:rtl/>
        </w:rPr>
        <w:t>مرآة العقول</w:t>
      </w:r>
      <w:r w:rsidR="00E3253D" w:rsidRPr="005D642E">
        <w:rPr>
          <w:rtl/>
        </w:rPr>
        <w:t xml:space="preserve"> ، ج 14 ، ص 188.</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الظلّ هنا عبارة عن الراحة والنعيم والكرامة ، وقيل : كنّه من المكاره ووهج الموقف. راجع : </w:t>
      </w:r>
      <w:r w:rsidR="00E3253D" w:rsidRPr="002F4D34">
        <w:rPr>
          <w:rStyle w:val="libFootnoteBoldChar"/>
          <w:rtl/>
        </w:rPr>
        <w:t>القاموس المحيط</w:t>
      </w:r>
      <w:r w:rsidR="00E3253D" w:rsidRPr="005D642E">
        <w:rPr>
          <w:rtl/>
        </w:rPr>
        <w:t xml:space="preserve"> ، ج 2 ، ص 1358 ( ظلل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لَا ظ</w:t>
      </w:r>
      <w:r w:rsidR="00763270">
        <w:rPr>
          <w:rtl/>
          <w:lang w:bidi="fa-IR"/>
        </w:rPr>
        <w:t>ِلَّ إِل</w:t>
      </w:r>
      <w:r w:rsidR="00763270">
        <w:rPr>
          <w:rFonts w:hint="cs"/>
          <w:rtl/>
          <w:lang w:bidi="fa-IR"/>
        </w:rPr>
        <w:t>َّ</w:t>
      </w:r>
      <w:r w:rsidR="00763270">
        <w:rPr>
          <w:rtl/>
          <w:lang w:bidi="fa-IR"/>
        </w:rPr>
        <w:t>ا</w:t>
      </w:r>
      <w:r w:rsidRPr="005D642E">
        <w:rPr>
          <w:rtl/>
          <w:lang w:bidi="fa-IR"/>
        </w:rPr>
        <w:t xml:space="preserve"> ظِلِّي</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2C7116">
        <w:rPr>
          <w:rtl/>
        </w:rPr>
        <w:t>4670</w:t>
      </w:r>
      <w:r w:rsidRPr="00246318">
        <w:rPr>
          <w:rStyle w:val="libBold2Char"/>
          <w:rtl/>
        </w:rPr>
        <w:t xml:space="preserve"> / 2.</w:t>
      </w:r>
      <w:r w:rsidRPr="005D642E">
        <w:rPr>
          <w:rtl/>
          <w:lang w:bidi="fa-IR"/>
        </w:rPr>
        <w:t xml:space="preserve"> أَبُو عَلِيٍّ الْأَشْعَرِيُّ ، عَنْ مُحَمَّدِ بْنِ عَبْدِ الْجَبَّارِ ، عَنْ مُحَمَّدِ بْنِ حَسَّانَ </w:t>
      </w:r>
      <w:r w:rsidRPr="007C12DB">
        <w:rPr>
          <w:rStyle w:val="libFootnotenumChar"/>
          <w:rtl/>
        </w:rPr>
        <w:t>(2)</w:t>
      </w:r>
      <w:r w:rsidRPr="005D642E">
        <w:rPr>
          <w:rtl/>
          <w:lang w:bidi="fa-IR"/>
        </w:rPr>
        <w:t xml:space="preserve"> ، عَنِ</w:t>
      </w:r>
      <w:r>
        <w:rPr>
          <w:rFonts w:hint="cs"/>
          <w:rtl/>
          <w:lang w:bidi="fa-IR"/>
        </w:rPr>
        <w:t xml:space="preserve"> </w:t>
      </w:r>
      <w:r w:rsidRPr="005D642E">
        <w:rPr>
          <w:rtl/>
          <w:lang w:bidi="fa-IR"/>
        </w:rPr>
        <w:t xml:space="preserve">الْحَسَنِ بْنِ الْحُسَيْنِ ، عَنْ عَلِيِّ بْنِ عَبْدِ اللهِ ، عَنْ عَلِيِّ بْنِ مَنْصُورٍ ، عَنْ إِسْمَاعِيلَ الْجَوْزِيِّ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مَنْ عَزّى حَزِيناً ، كُسِيَ فِي الْمَوْقِفِ حُلَّةً يُحْبى </w:t>
      </w:r>
      <w:r w:rsidRPr="007C12DB">
        <w:rPr>
          <w:rStyle w:val="libFootnotenumChar"/>
          <w:rtl/>
        </w:rPr>
        <w:t>(4)</w:t>
      </w:r>
      <w:r w:rsidRPr="005D642E">
        <w:rPr>
          <w:rtl/>
          <w:lang w:bidi="fa-IR"/>
        </w:rPr>
        <w:t xml:space="preserve"> بِهَا</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2C7116">
        <w:rPr>
          <w:rtl/>
        </w:rPr>
        <w:t>4671</w:t>
      </w:r>
      <w:r w:rsidRPr="00246318">
        <w:rPr>
          <w:rStyle w:val="libBold2Char"/>
          <w:rtl/>
        </w:rPr>
        <w:t xml:space="preserve"> / 3.</w:t>
      </w:r>
      <w:r w:rsidRPr="005D642E">
        <w:rPr>
          <w:rtl/>
          <w:lang w:bidi="fa-IR"/>
        </w:rPr>
        <w:t xml:space="preserve"> عَنْهُ </w:t>
      </w:r>
      <w:r w:rsidRPr="007C12DB">
        <w:rPr>
          <w:rStyle w:val="libFootnotenumChar"/>
          <w:rtl/>
        </w:rPr>
        <w:t>(6)</w:t>
      </w:r>
      <w:r w:rsidRPr="005D642E">
        <w:rPr>
          <w:rtl/>
          <w:lang w:bidi="fa-IR"/>
        </w:rPr>
        <w:t xml:space="preserve"> ، عَنْ مُحَمَّدِ بْنِ عَلِيٍّ ، عَنْ عِيسَى بْنِ عَبْدِ اللهِ‌</w:t>
      </w:r>
      <w:r w:rsidR="001F7EDD">
        <w:rPr>
          <w:rFonts w:hint="cs"/>
          <w:rtl/>
          <w:lang w:bidi="fa-IR"/>
        </w:rPr>
        <w:t xml:space="preserve"> ...........</w:t>
      </w:r>
      <w:r w:rsidR="00763270">
        <w:rPr>
          <w:rFonts w:hint="cs"/>
          <w:rtl/>
          <w:lang w:bidi="fa-IR"/>
        </w:rPr>
        <w:t>...</w:t>
      </w:r>
      <w:r w:rsidR="00763270">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ثواب الأعمال</w:t>
      </w:r>
      <w:r w:rsidR="00E3253D" w:rsidRPr="005D642E">
        <w:rPr>
          <w:rtl/>
        </w:rPr>
        <w:t xml:space="preserve"> ، ص 231 ، ذيل ح 1 ، بسنده عن أحمد بن محمّد بن عيسى ، عن محمّد بن سنان </w:t>
      </w:r>
      <w:r w:rsidR="00763270">
        <w:rPr>
          <w:rFonts w:hint="cs"/>
          <w:rtl/>
        </w:rPr>
        <w:t>.</w:t>
      </w:r>
      <w:r w:rsidR="00E3253D" w:rsidRPr="002F4D34">
        <w:rPr>
          <w:rStyle w:val="libFootnoteBoldChar"/>
          <w:rtl/>
        </w:rPr>
        <w:t>الوافي</w:t>
      </w:r>
      <w:r w:rsidR="00E3253D" w:rsidRPr="005D642E">
        <w:rPr>
          <w:rtl/>
        </w:rPr>
        <w:t xml:space="preserve"> ، ج 25 ، ص 549 ، ح 24630 ؛ </w:t>
      </w:r>
      <w:r w:rsidR="00E3253D" w:rsidRPr="002F4D34">
        <w:rPr>
          <w:rStyle w:val="libFootnoteBoldChar"/>
          <w:rtl/>
        </w:rPr>
        <w:t>الوسائل</w:t>
      </w:r>
      <w:r w:rsidR="00E3253D" w:rsidRPr="005D642E">
        <w:rPr>
          <w:rtl/>
        </w:rPr>
        <w:t xml:space="preserve"> ، ج 3 ، ص 213 ، ح 3437.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محمّد بن حسّان هذا ، هو أبو عبدالله الرازي ، له كتب منها كتاب </w:t>
      </w:r>
      <w:r w:rsidR="00E3253D" w:rsidRPr="002F4D34">
        <w:rPr>
          <w:rStyle w:val="libFootnoteBoldChar"/>
          <w:rtl/>
        </w:rPr>
        <w:t>ثواب الأعمال</w:t>
      </w:r>
      <w:r w:rsidR="00E3253D" w:rsidRPr="005D642E">
        <w:rPr>
          <w:rtl/>
        </w:rPr>
        <w:t xml:space="preserve"> ، روى عنه كتبه أحمد بن‌إدريس ، وهو أبوعليّ الأشعري شيخ المصنّف ، وقد روى عنه في غير واحد من الأسناد مباشرة ، ولم نجد في موضع توسّط محمّدِ بن عبدالجبّار</w:t>
      </w:r>
      <w:r w:rsidR="00E3253D">
        <w:rPr>
          <w:rtl/>
        </w:rPr>
        <w:t xml:space="preserve"> </w:t>
      </w:r>
      <w:r w:rsidR="007642BC">
        <w:rPr>
          <w:rtl/>
        </w:rPr>
        <w:t>-</w:t>
      </w:r>
      <w:r w:rsidR="00E3253D">
        <w:rPr>
          <w:rtl/>
        </w:rPr>
        <w:t xml:space="preserve"> </w:t>
      </w:r>
      <w:r w:rsidR="00E3253D" w:rsidRPr="005D642E">
        <w:rPr>
          <w:rtl/>
        </w:rPr>
        <w:t>لا بهذا العنوان ولا بعنوان محمّد بن أبي الصهبان</w:t>
      </w:r>
      <w:r w:rsidR="00E3253D">
        <w:rPr>
          <w:rtl/>
        </w:rPr>
        <w:t xml:space="preserve"> </w:t>
      </w:r>
      <w:r w:rsidR="007642BC">
        <w:rPr>
          <w:rtl/>
        </w:rPr>
        <w:t>-</w:t>
      </w:r>
      <w:r w:rsidR="00E3253D">
        <w:rPr>
          <w:rtl/>
        </w:rPr>
        <w:t xml:space="preserve"> </w:t>
      </w:r>
      <w:r w:rsidR="00E3253D" w:rsidRPr="005D642E">
        <w:rPr>
          <w:rtl/>
        </w:rPr>
        <w:t xml:space="preserve">بينهما. راجع : </w:t>
      </w:r>
      <w:r w:rsidR="00E3253D" w:rsidRPr="002F4D34">
        <w:rPr>
          <w:rStyle w:val="libFootnoteBoldChar"/>
          <w:rtl/>
        </w:rPr>
        <w:t>رجال النجاشي</w:t>
      </w:r>
      <w:r w:rsidR="00E3253D" w:rsidRPr="005D642E">
        <w:rPr>
          <w:rtl/>
        </w:rPr>
        <w:t xml:space="preserve"> ، ص 338 ، الرقم 903 ؛ </w:t>
      </w:r>
      <w:r w:rsidR="00E3253D" w:rsidRPr="002F4D34">
        <w:rPr>
          <w:rStyle w:val="libFootnoteBoldChar"/>
          <w:rtl/>
        </w:rPr>
        <w:t>معجم رجال الحديث</w:t>
      </w:r>
      <w:r w:rsidR="00E3253D" w:rsidRPr="005D642E">
        <w:rPr>
          <w:rtl/>
        </w:rPr>
        <w:t xml:space="preserve"> ، ج 2 ، ص 421 ؛ وج 21 ، ص 425</w:t>
      </w:r>
      <w:r w:rsidR="00E3253D">
        <w:rPr>
          <w:rtl/>
        </w:rPr>
        <w:t xml:space="preserve"> </w:t>
      </w:r>
      <w:r w:rsidR="007642BC">
        <w:rPr>
          <w:rtl/>
        </w:rPr>
        <w:t>-</w:t>
      </w:r>
      <w:r w:rsidR="00E3253D">
        <w:rPr>
          <w:rtl/>
        </w:rPr>
        <w:t xml:space="preserve"> </w:t>
      </w:r>
      <w:r w:rsidR="00E3253D" w:rsidRPr="005D642E">
        <w:rPr>
          <w:rtl/>
        </w:rPr>
        <w:t>426.</w:t>
      </w:r>
    </w:p>
    <w:p w:rsidR="00E3253D" w:rsidRPr="005D642E" w:rsidRDefault="00E3253D" w:rsidP="00E3253D">
      <w:pPr>
        <w:pStyle w:val="libFootnote0"/>
        <w:rPr>
          <w:rtl/>
          <w:lang w:bidi="fa-IR"/>
        </w:rPr>
      </w:pPr>
      <w:r w:rsidRPr="00B60612">
        <w:rPr>
          <w:rtl/>
        </w:rPr>
        <w:t xml:space="preserve">فعليه ، الظاهر زيادة « عن محمّد بن عبدالجبّار » في السند رأساً ، ومنشأ هذا الأمر كثرة روايات أبي عليّ الأشعري عن محمّد بن عبدالجبّار. راجع : </w:t>
      </w:r>
      <w:r w:rsidRPr="002F4D34">
        <w:rPr>
          <w:rStyle w:val="libFootnoteBoldChar"/>
          <w:rtl/>
        </w:rPr>
        <w:t>معجم رجال الحديث</w:t>
      </w:r>
      <w:r w:rsidRPr="00B60612">
        <w:rPr>
          <w:rtl/>
        </w:rPr>
        <w:t xml:space="preserve"> ، ج 21 ، ص 426.</w:t>
      </w:r>
    </w:p>
    <w:p w:rsidR="00E3253D" w:rsidRPr="005D642E" w:rsidRDefault="00E3253D" w:rsidP="00B60612">
      <w:pPr>
        <w:pStyle w:val="libFootnote0"/>
        <w:rPr>
          <w:rtl/>
          <w:lang w:bidi="fa-IR"/>
        </w:rPr>
      </w:pPr>
      <w:r w:rsidRPr="0095070A">
        <w:rPr>
          <w:rtl/>
        </w:rPr>
        <w:t>وأمّا احتمال عطف محمّد بن حسّان على محمّد بن عبدالجبّار ، فمنتفٍ ، كما سنشير إليه ذيل السند الآتي.</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بث » : « الجرزي</w:t>
      </w:r>
      <w:r w:rsidR="00E3253D">
        <w:rPr>
          <w:rtl/>
        </w:rPr>
        <w:t xml:space="preserve"> ».</w:t>
      </w:r>
      <w:r w:rsidR="00E3253D" w:rsidRPr="005D642E">
        <w:rPr>
          <w:rtl/>
        </w:rPr>
        <w:t xml:space="preserve"> وفي « بخ ، بس » وحاشية « جح » والوسائل : « الجزري</w:t>
      </w:r>
      <w:r w:rsidR="00E3253D">
        <w:rPr>
          <w:rtl/>
        </w:rPr>
        <w:t xml:space="preserve"> ».</w:t>
      </w:r>
      <w:r w:rsidR="00E3253D" w:rsidRPr="005D642E">
        <w:rPr>
          <w:rtl/>
        </w:rPr>
        <w:t xml:space="preserve"> وفي « بف » : « الجرري</w:t>
      </w:r>
      <w:r w:rsidR="00E3253D">
        <w:rPr>
          <w:rtl/>
        </w:rPr>
        <w:t xml:space="preserve"> ».</w:t>
      </w:r>
      <w:r w:rsidR="00E3253D" w:rsidRPr="005D642E">
        <w:rPr>
          <w:rtl/>
        </w:rPr>
        <w:t xml:space="preserve"> وفي « جس » : « الحرري</w:t>
      </w:r>
      <w:r w:rsidR="00E3253D">
        <w:rPr>
          <w:rtl/>
        </w:rPr>
        <w:t xml:space="preserve"> ».</w:t>
      </w:r>
      <w:r w:rsidR="00E3253D" w:rsidRPr="005D642E">
        <w:rPr>
          <w:rtl/>
        </w:rPr>
        <w:t xml:space="preserve"> وفي حاشية « بث » : « الخرزي</w:t>
      </w:r>
      <w:r w:rsidR="00E3253D">
        <w:rPr>
          <w:rtl/>
        </w:rPr>
        <w:t xml:space="preserve"> ».</w:t>
      </w:r>
    </w:p>
    <w:p w:rsidR="00E3253D" w:rsidRPr="005D642E" w:rsidRDefault="0042621E" w:rsidP="00763270">
      <w:pPr>
        <w:pStyle w:val="libFootnote0"/>
        <w:rPr>
          <w:rtl/>
          <w:lang w:bidi="fa-IR"/>
        </w:rPr>
      </w:pPr>
      <w:r w:rsidRPr="0042621E">
        <w:rPr>
          <w:rStyle w:val="libFootnote0Char"/>
          <w:rtl/>
        </w:rPr>
        <w:t>(4).</w:t>
      </w:r>
      <w:r w:rsidR="00E3253D" w:rsidRPr="005D642E">
        <w:rPr>
          <w:rtl/>
        </w:rPr>
        <w:t xml:space="preserve"> في </w:t>
      </w:r>
      <w:r w:rsidR="00E3253D" w:rsidRPr="002C7116">
        <w:rPr>
          <w:rtl/>
        </w:rPr>
        <w:t>الكافي</w:t>
      </w:r>
      <w:r w:rsidR="00E3253D" w:rsidRPr="005D642E">
        <w:rPr>
          <w:rtl/>
        </w:rPr>
        <w:t xml:space="preserve"> ، ح 4595 </w:t>
      </w:r>
      <w:r w:rsidR="009E68BB" w:rsidRPr="009E68BB">
        <w:rPr>
          <w:rStyle w:val="libFootnoteBoldChar"/>
          <w:rtl/>
        </w:rPr>
        <w:t>و</w:t>
      </w:r>
      <w:r w:rsidR="00763270">
        <w:rPr>
          <w:rStyle w:val="libFootnoteBoldChar"/>
          <w:rFonts w:hint="cs"/>
          <w:rtl/>
        </w:rPr>
        <w:t>الفقيه</w:t>
      </w:r>
      <w:r w:rsidR="00E3253D" w:rsidRPr="005D642E">
        <w:rPr>
          <w:rtl/>
        </w:rPr>
        <w:t xml:space="preserve"> وثواب الأعمال : « يحبر » ، أي يزيّن ويسرّ. وقوله : « يحبى » من الحبوة ، وهو الإعطاء بلا جزاء ولا منّ. راجع : </w:t>
      </w:r>
      <w:r w:rsidR="00E3253D" w:rsidRPr="002F4D34">
        <w:rPr>
          <w:rStyle w:val="libFootnoteBoldChar"/>
          <w:rtl/>
        </w:rPr>
        <w:t>القاموس المحيط</w:t>
      </w:r>
      <w:r w:rsidR="00E3253D" w:rsidRPr="005D642E">
        <w:rPr>
          <w:rtl/>
        </w:rPr>
        <w:t xml:space="preserve"> ، ج 1 ، ص 526 ( حبر ) ؛ وج 2 ، ص 1670 ( حبا )</w:t>
      </w:r>
      <w:r w:rsidR="00E3253D">
        <w:rPr>
          <w:rtl/>
        </w:rPr>
        <w:t>.</w:t>
      </w:r>
    </w:p>
    <w:p w:rsidR="00E3253D" w:rsidRPr="005D642E" w:rsidRDefault="0042621E" w:rsidP="00763270">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ثواب من عزّى حزيناً ، ح 4595 ، بسند آخر عن أبي عبدالله ، عن آبائه </w:t>
      </w:r>
      <w:r w:rsidR="00E3253D" w:rsidRPr="00763270">
        <w:rPr>
          <w:rStyle w:val="libFootnoteAlaemChar"/>
          <w:rtl/>
        </w:rPr>
        <w:t>عليهم‌السلام</w:t>
      </w:r>
      <w:r w:rsidR="00E3253D" w:rsidRPr="005D642E">
        <w:rPr>
          <w:rtl/>
        </w:rPr>
        <w:t xml:space="preserve"> عن رسول الله </w:t>
      </w:r>
      <w:r w:rsidRPr="00763270">
        <w:rPr>
          <w:rStyle w:val="libFootnoteAlaemChar"/>
          <w:rtl/>
        </w:rPr>
        <w:t>صلى‌الله‌عليه‌وآله</w:t>
      </w:r>
      <w:r w:rsidR="00E3253D" w:rsidRPr="005D642E">
        <w:rPr>
          <w:rtl/>
        </w:rPr>
        <w:t xml:space="preserve">. وفي </w:t>
      </w:r>
      <w:r w:rsidR="00E3253D" w:rsidRPr="002F4D34">
        <w:rPr>
          <w:rStyle w:val="libFootnoteBoldChar"/>
          <w:rtl/>
        </w:rPr>
        <w:t>الفقيه</w:t>
      </w:r>
      <w:r w:rsidR="00E3253D" w:rsidRPr="005D642E">
        <w:rPr>
          <w:rtl/>
        </w:rPr>
        <w:t xml:space="preserve"> ، ج 1 ، ص 173 ، ح 502 ؛ </w:t>
      </w:r>
      <w:r w:rsidR="00E3253D" w:rsidRPr="00763270">
        <w:rPr>
          <w:rStyle w:val="libFootnoteBoldChar"/>
          <w:rtl/>
        </w:rPr>
        <w:t>وثو</w:t>
      </w:r>
      <w:r w:rsidR="00E3253D" w:rsidRPr="002F4D34">
        <w:rPr>
          <w:rStyle w:val="libFootnoteBoldChar"/>
          <w:rtl/>
        </w:rPr>
        <w:t xml:space="preserve">اب الأعمال </w:t>
      </w:r>
      <w:r w:rsidR="00E3253D" w:rsidRPr="005D642E">
        <w:rPr>
          <w:rtl/>
        </w:rPr>
        <w:t xml:space="preserve">، ص 235 ، ح 2 ، مرسلاً عن رسول الله </w:t>
      </w:r>
      <w:r w:rsidRPr="00763270">
        <w:rPr>
          <w:rStyle w:val="libFootnoteAlaemChar"/>
          <w:rtl/>
        </w:rPr>
        <w:t>صلى‌الله‌عليه‌وآله</w:t>
      </w:r>
      <w:r w:rsidR="00E3253D" w:rsidRPr="005D642E">
        <w:rPr>
          <w:rtl/>
        </w:rPr>
        <w:t xml:space="preserve">. </w:t>
      </w:r>
      <w:r w:rsidR="00E3253D" w:rsidRPr="002F4D34">
        <w:rPr>
          <w:rStyle w:val="libFootnoteBoldChar"/>
          <w:rtl/>
        </w:rPr>
        <w:t>فقه الرضا</w:t>
      </w:r>
      <w:r w:rsidR="00E3253D" w:rsidRPr="005D642E">
        <w:rPr>
          <w:rtl/>
        </w:rPr>
        <w:t xml:space="preserve"> </w:t>
      </w:r>
      <w:r w:rsidR="00E3253D" w:rsidRPr="00763270">
        <w:rPr>
          <w:rStyle w:val="libFootnoteAlaemChar"/>
          <w:rtl/>
        </w:rPr>
        <w:t>عليه‌السلام</w:t>
      </w:r>
      <w:r w:rsidR="00E3253D" w:rsidRPr="005D642E">
        <w:rPr>
          <w:rtl/>
        </w:rPr>
        <w:t xml:space="preserve"> ، ص 172 ، مرسلاً عن أبي عبدالله </w:t>
      </w:r>
      <w:r w:rsidR="00763270" w:rsidRPr="00763270">
        <w:rPr>
          <w:rStyle w:val="libFootnoteAlaemChar"/>
          <w:rtl/>
        </w:rPr>
        <w:t>عليه‌السلام</w:t>
      </w:r>
      <w:r w:rsidR="00763270" w:rsidRPr="005D642E">
        <w:rPr>
          <w:rtl/>
        </w:rPr>
        <w:t xml:space="preserve"> </w:t>
      </w:r>
      <w:r w:rsidR="00E3253D" w:rsidRPr="005D642E">
        <w:rPr>
          <w:rtl/>
        </w:rPr>
        <w:t xml:space="preserve">من دون الإسناد إلى النّبي </w:t>
      </w:r>
      <w:r w:rsidRPr="00763270">
        <w:rPr>
          <w:rStyle w:val="libFootnoteAlaemChar"/>
          <w:rtl/>
        </w:rPr>
        <w:t>صلى‌الله‌عليه‌وآله</w:t>
      </w:r>
      <w:r w:rsidR="00E3253D" w:rsidRPr="005D642E">
        <w:rPr>
          <w:rtl/>
        </w:rPr>
        <w:t xml:space="preserve"> ، مع اختلاف يسير </w:t>
      </w:r>
      <w:r w:rsidR="00763270">
        <w:rPr>
          <w:rFonts w:hint="cs"/>
          <w:rtl/>
        </w:rPr>
        <w:t>.</w:t>
      </w:r>
      <w:r w:rsidR="00E3253D" w:rsidRPr="002F4D34">
        <w:rPr>
          <w:rStyle w:val="libFootnoteBoldChar"/>
          <w:rtl/>
        </w:rPr>
        <w:t>الوافي</w:t>
      </w:r>
      <w:r w:rsidR="00E3253D" w:rsidRPr="005D642E">
        <w:rPr>
          <w:rtl/>
        </w:rPr>
        <w:t xml:space="preserve"> ، ج 25 ، ص 550 ، ح 24632 ؛ </w:t>
      </w:r>
      <w:r w:rsidR="00E3253D" w:rsidRPr="002F4D34">
        <w:rPr>
          <w:rStyle w:val="libFootnoteBoldChar"/>
          <w:rtl/>
        </w:rPr>
        <w:t>الوسائل</w:t>
      </w:r>
      <w:r w:rsidR="00E3253D" w:rsidRPr="005D642E">
        <w:rPr>
          <w:rtl/>
        </w:rPr>
        <w:t xml:space="preserve"> ، ج 3 ، ص 214 ، ح 3438.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الضمير راجع إلى محمّد بن حسّان المذكور في السند السابق ؛ فإنّ عيسى بن عبدالله العمري هو عيسى بن‌عبدالله بن محمّد بن عمر بن عليّ بن أبي طالب </w:t>
      </w:r>
      <w:r w:rsidR="00E3253D" w:rsidRPr="00763270">
        <w:rPr>
          <w:rStyle w:val="libFootnoteAlaemChar"/>
          <w:rtl/>
        </w:rPr>
        <w:t>عليه‌السلام</w:t>
      </w:r>
      <w:r w:rsidR="00E3253D" w:rsidRPr="005D642E">
        <w:rPr>
          <w:rtl/>
        </w:rPr>
        <w:t xml:space="preserve"> ، له كتاب رواه عنه محمّد بن عليّ الكوفي ، كما في </w:t>
      </w:r>
      <w:r w:rsidR="0059794D" w:rsidRPr="0059794D">
        <w:rPr>
          <w:rStyle w:val="libFootnoteBoldChar"/>
          <w:rtl/>
        </w:rPr>
        <w:t>الفهرست للطوسي</w:t>
      </w:r>
      <w:r w:rsidR="00E3253D" w:rsidRPr="005D642E">
        <w:rPr>
          <w:rtl/>
        </w:rPr>
        <w:t xml:space="preserve"> ، ص 331 ، الرقم 519. وروى محمّد بن حسّان الرازي عن محمّد بن عليّ الكوفي ، في غير واحدٍ من </w:t>
      </w:r>
      <w:r w:rsidR="00763270">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الْعُمَرِيِّ </w:t>
      </w:r>
      <w:r w:rsidRPr="007C12DB">
        <w:rPr>
          <w:rStyle w:val="libFootnotenumChar"/>
          <w:rtl/>
        </w:rPr>
        <w:t>(1)</w:t>
      </w:r>
      <w:r w:rsidRPr="005D642E">
        <w:rPr>
          <w:rtl/>
          <w:lang w:bidi="fa-IR"/>
        </w:rPr>
        <w:t xml:space="preserve"> ، عَنْ أَبِيهِ ، عَنْ جَدِّهِ ، عَنْ أَبِيهِ </w:t>
      </w:r>
      <w:r w:rsidRPr="007C12DB">
        <w:rPr>
          <w:rStyle w:val="libFootnotenumChar"/>
          <w:rtl/>
        </w:rPr>
        <w:t>(2)</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قَالَ أَمِيرُ الْمُؤْمِنِينَ </w:t>
      </w:r>
      <w:r w:rsidRPr="00AC51C5">
        <w:rPr>
          <w:rStyle w:val="libAlaemChar"/>
          <w:rtl/>
        </w:rPr>
        <w:t>عليه‌السلام</w:t>
      </w:r>
      <w:r w:rsidRPr="005D642E">
        <w:rPr>
          <w:rtl/>
          <w:lang w:bidi="fa-IR"/>
        </w:rPr>
        <w:t xml:space="preserve"> : « مَنْ عَزَّى الثَّكْلى ، أَظَلَّهُ اللهُ فِي ظِلِّ</w:t>
      </w:r>
      <w:r w:rsidR="00763270">
        <w:rPr>
          <w:rtl/>
          <w:lang w:bidi="fa-IR"/>
        </w:rPr>
        <w:t xml:space="preserve"> عَرْشِهِ يَوْمَ لَاظِلَّ إِل</w:t>
      </w:r>
      <w:r w:rsidR="00763270">
        <w:rPr>
          <w:rFonts w:hint="cs"/>
          <w:rtl/>
          <w:lang w:bidi="fa-IR"/>
        </w:rPr>
        <w:t>َّ</w:t>
      </w:r>
      <w:r w:rsidR="00763270">
        <w:rPr>
          <w:rtl/>
          <w:lang w:bidi="fa-IR"/>
        </w:rPr>
        <w:t>ا</w:t>
      </w:r>
      <w:r w:rsidRPr="005D642E">
        <w:rPr>
          <w:rtl/>
          <w:lang w:bidi="fa-IR"/>
        </w:rPr>
        <w:t xml:space="preserve"> ظِلُّهُ</w:t>
      </w:r>
      <w:r>
        <w:rPr>
          <w:rtl/>
          <w:lang w:bidi="fa-IR"/>
        </w:rPr>
        <w:t>».</w:t>
      </w:r>
      <w:r w:rsidRPr="007C12DB">
        <w:rPr>
          <w:rStyle w:val="libFootnotenumChar"/>
          <w:rtl/>
        </w:rPr>
        <w:t>(3)</w:t>
      </w:r>
    </w:p>
    <w:p w:rsidR="00E3253D" w:rsidRPr="005D642E" w:rsidRDefault="00E3253D" w:rsidP="00E3253D">
      <w:pPr>
        <w:pStyle w:val="libNormal"/>
        <w:rPr>
          <w:rtl/>
          <w:lang w:bidi="fa-IR"/>
        </w:rPr>
      </w:pPr>
      <w:r w:rsidRPr="002C7116">
        <w:rPr>
          <w:rtl/>
        </w:rPr>
        <w:t>4672</w:t>
      </w:r>
      <w:r w:rsidRPr="00246318">
        <w:rPr>
          <w:rStyle w:val="libBold2Char"/>
          <w:rtl/>
        </w:rPr>
        <w:t xml:space="preserve"> / 4.</w:t>
      </w:r>
      <w:r w:rsidRPr="005D642E">
        <w:rPr>
          <w:rtl/>
          <w:lang w:bidi="fa-IR"/>
        </w:rPr>
        <w:t xml:space="preserve"> عِدَّةٌ مِنْ أَصْحَابِنَا ، عَنْ أَحْمَدَ بْنِ مُحَمَّدِ بْنِ خَالِدٍ ، عَنْ أَبِيهِ ، عَنْ وَهْبٍ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مَنْ عَزّى مُصَاباً ، كَانَ لَهُ مِثْلُ أَجْرِهِ مِنْ غَيْرِ أَنْ يَنْتَقِصَ </w:t>
      </w:r>
      <w:r w:rsidRPr="007C12DB">
        <w:rPr>
          <w:rStyle w:val="libFootnotenumChar"/>
          <w:rtl/>
        </w:rPr>
        <w:t>(4)</w:t>
      </w:r>
      <w:r w:rsidRPr="005D642E">
        <w:rPr>
          <w:rtl/>
          <w:lang w:bidi="fa-IR"/>
        </w:rPr>
        <w:t xml:space="preserve"> مِنْ أَجْرِ </w:t>
      </w:r>
      <w:r w:rsidRPr="007C12DB">
        <w:rPr>
          <w:rStyle w:val="libFootnotenumChar"/>
          <w:rtl/>
        </w:rPr>
        <w:t>(5)</w:t>
      </w:r>
      <w:r w:rsidRPr="005D642E">
        <w:rPr>
          <w:rtl/>
          <w:lang w:bidi="fa-IR"/>
        </w:rPr>
        <w:t xml:space="preserve"> الْمُصَابِ شَيْ‌ءٌ</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763270" w:rsidP="00E3253D">
      <w:pPr>
        <w:pStyle w:val="libFootnote0"/>
        <w:rPr>
          <w:rtl/>
          <w:lang w:bidi="fa-IR"/>
        </w:rPr>
      </w:pPr>
      <w:r>
        <w:rPr>
          <w:rFonts w:hint="cs"/>
          <w:rtl/>
        </w:rPr>
        <w:t xml:space="preserve">= </w:t>
      </w:r>
      <w:r w:rsidR="00E3253D" w:rsidRPr="005D642E">
        <w:rPr>
          <w:rtl/>
        </w:rPr>
        <w:t xml:space="preserve">الأسناد ، كما على سبيل المثال في </w:t>
      </w:r>
      <w:r w:rsidR="00E3253D" w:rsidRPr="002F4D34">
        <w:rPr>
          <w:rStyle w:val="libFootnoteBoldChar"/>
          <w:rtl/>
        </w:rPr>
        <w:t>الغيبة</w:t>
      </w:r>
      <w:r w:rsidR="00E3253D" w:rsidRPr="00763270">
        <w:rPr>
          <w:rStyle w:val="libFootnoteBoldChar"/>
          <w:rtl/>
        </w:rPr>
        <w:t xml:space="preserve"> للنعماني</w:t>
      </w:r>
      <w:r w:rsidR="00E3253D" w:rsidRPr="005D642E">
        <w:rPr>
          <w:rtl/>
        </w:rPr>
        <w:t xml:space="preserve"> ، ص 85 ، ح 16 ؛ وص 86 ، ح 17 ؛ وص 115 ، ح 11 ؛ وص 156 ، ح 18 </w:t>
      </w:r>
      <w:r w:rsidR="00E3253D">
        <w:rPr>
          <w:rtl/>
        </w:rPr>
        <w:t>و 1</w:t>
      </w:r>
      <w:r w:rsidR="00E3253D" w:rsidRPr="005D642E">
        <w:rPr>
          <w:rtl/>
        </w:rPr>
        <w:t xml:space="preserve">9 ؛ وص 188 ، ح 43 ؛ وص 191 ، ح 45 ؛ </w:t>
      </w:r>
      <w:r w:rsidR="00E3253D" w:rsidRPr="00763270">
        <w:rPr>
          <w:rStyle w:val="libFootnoteBoldChar"/>
          <w:rtl/>
        </w:rPr>
        <w:t>و</w:t>
      </w:r>
      <w:r w:rsidR="00E3253D" w:rsidRPr="002F4D34">
        <w:rPr>
          <w:rStyle w:val="libFootnoteBoldChar"/>
          <w:rtl/>
        </w:rPr>
        <w:t>علل الشرائع</w:t>
      </w:r>
      <w:r w:rsidR="00E3253D" w:rsidRPr="005D642E">
        <w:rPr>
          <w:rtl/>
        </w:rPr>
        <w:t xml:space="preserve"> ، ص 318 ، ح 1 ؛ </w:t>
      </w:r>
      <w:r w:rsidR="00E3253D" w:rsidRPr="00763270">
        <w:rPr>
          <w:rStyle w:val="libFootnoteBoldChar"/>
          <w:rtl/>
        </w:rPr>
        <w:t>و</w:t>
      </w:r>
      <w:r w:rsidR="00E3253D" w:rsidRPr="002F4D34">
        <w:rPr>
          <w:rStyle w:val="libFootnoteBoldChar"/>
          <w:rtl/>
        </w:rPr>
        <w:t>عيون الأخبار</w:t>
      </w:r>
      <w:r w:rsidR="00E3253D" w:rsidRPr="005D642E">
        <w:rPr>
          <w:rtl/>
        </w:rPr>
        <w:t xml:space="preserve"> ، ج 2 ، ص 206 ، ح 6.</w:t>
      </w:r>
    </w:p>
    <w:p w:rsidR="00E3253D" w:rsidRPr="005D642E" w:rsidRDefault="00E3253D" w:rsidP="00E3253D">
      <w:pPr>
        <w:pStyle w:val="libFootnote0"/>
        <w:rPr>
          <w:rtl/>
          <w:lang w:bidi="fa-IR"/>
        </w:rPr>
      </w:pPr>
      <w:r w:rsidRPr="00B60612">
        <w:rPr>
          <w:rtl/>
        </w:rPr>
        <w:t xml:space="preserve">هذا ، وقد روى أبو عليّ الأشعري عن محمّد بن حسّان عن محمّد بن عليّ في عددٍ من الأسناد. راجع : </w:t>
      </w:r>
      <w:r w:rsidRPr="002F4D34">
        <w:rPr>
          <w:rStyle w:val="libFootnoteBoldChar"/>
          <w:rtl/>
        </w:rPr>
        <w:t>معجم رجال الحديث</w:t>
      </w:r>
      <w:r w:rsidRPr="00B60612">
        <w:rPr>
          <w:rtl/>
        </w:rPr>
        <w:t xml:space="preserve"> ، ج 15 ، ص 369.</w:t>
      </w:r>
    </w:p>
    <w:p w:rsidR="00E3253D" w:rsidRPr="005D642E" w:rsidRDefault="00E3253D" w:rsidP="00B60612">
      <w:pPr>
        <w:pStyle w:val="libFootnote0"/>
        <w:rPr>
          <w:rtl/>
          <w:lang w:bidi="fa-IR"/>
        </w:rPr>
      </w:pPr>
      <w:r w:rsidRPr="0095070A">
        <w:rPr>
          <w:rtl/>
        </w:rPr>
        <w:t>وأمّا رواية محمّد بن عبدالجبّار</w:t>
      </w:r>
      <w:r>
        <w:rPr>
          <w:rtl/>
        </w:rPr>
        <w:t xml:space="preserve"> </w:t>
      </w:r>
      <w:r w:rsidR="007642BC">
        <w:rPr>
          <w:rtl/>
        </w:rPr>
        <w:t>-</w:t>
      </w:r>
      <w:r>
        <w:rPr>
          <w:rtl/>
        </w:rPr>
        <w:t xml:space="preserve"> </w:t>
      </w:r>
      <w:r w:rsidRPr="0095070A">
        <w:rPr>
          <w:rtl/>
        </w:rPr>
        <w:t>بعناوينه المختلفة</w:t>
      </w:r>
      <w:r>
        <w:rPr>
          <w:rtl/>
        </w:rPr>
        <w:t xml:space="preserve"> </w:t>
      </w:r>
      <w:r w:rsidR="007642BC">
        <w:rPr>
          <w:rtl/>
        </w:rPr>
        <w:t>-</w:t>
      </w:r>
      <w:r>
        <w:rPr>
          <w:rtl/>
        </w:rPr>
        <w:t xml:space="preserve"> </w:t>
      </w:r>
      <w:r w:rsidRPr="0095070A">
        <w:rPr>
          <w:rtl/>
        </w:rPr>
        <w:t>عن محمّد بن عليّ</w:t>
      </w:r>
      <w:r>
        <w:rPr>
          <w:rtl/>
        </w:rPr>
        <w:t xml:space="preserve"> </w:t>
      </w:r>
      <w:r w:rsidR="007642BC">
        <w:rPr>
          <w:rtl/>
        </w:rPr>
        <w:t>-</w:t>
      </w:r>
      <w:r>
        <w:rPr>
          <w:rtl/>
        </w:rPr>
        <w:t xml:space="preserve"> </w:t>
      </w:r>
      <w:r w:rsidRPr="0095070A">
        <w:rPr>
          <w:rtl/>
        </w:rPr>
        <w:t>بمختلف عناوينه</w:t>
      </w:r>
      <w:r>
        <w:rPr>
          <w:rtl/>
        </w:rPr>
        <w:t xml:space="preserve"> </w:t>
      </w:r>
      <w:r w:rsidR="007642BC">
        <w:rPr>
          <w:rtl/>
        </w:rPr>
        <w:t>-</w:t>
      </w:r>
      <w:r>
        <w:rPr>
          <w:rtl/>
        </w:rPr>
        <w:t xml:space="preserve"> </w:t>
      </w:r>
      <w:r w:rsidRPr="0095070A">
        <w:rPr>
          <w:rtl/>
        </w:rPr>
        <w:t>فلم نجده في موضع.</w:t>
      </w:r>
    </w:p>
    <w:p w:rsidR="00E3253D" w:rsidRDefault="00E3253D" w:rsidP="00B60612">
      <w:pPr>
        <w:pStyle w:val="libFootnote0"/>
        <w:rPr>
          <w:rtl/>
        </w:rPr>
      </w:pPr>
      <w:r w:rsidRPr="0095070A">
        <w:rPr>
          <w:rtl/>
        </w:rPr>
        <w:t>وهذا ممّا يؤكّد زيادة « عن محمّد بن عبدالجبّار » في السند السابق ؛ فإنّ رجوع الضمير إلى أحد الاسمين من دون نصب قرينة تبرّر ذلك ، خلاف الظاهر.</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ى ، بث ، بح ، بخ ، جح ، جن » وحاشية « بف » والوسائل : « عليّ بن عيسى بن عبدالله العمري » ، وهو سهو كما ظهر ممّا تقدّم آنفاً.</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وفي المطبوع : + « </w:t>
      </w:r>
      <w:r w:rsidR="00E3253D" w:rsidRPr="00763270">
        <w:rPr>
          <w:rtl/>
        </w:rPr>
        <w:t>عليه</w:t>
      </w:r>
      <w:r w:rsidR="00763270">
        <w:rPr>
          <w:rFonts w:hint="cs"/>
          <w:rtl/>
        </w:rPr>
        <w:t xml:space="preserve"> </w:t>
      </w:r>
      <w:r w:rsidR="00E3253D" w:rsidRPr="00763270">
        <w:rPr>
          <w:rtl/>
        </w:rPr>
        <w:t>‌السلام</w:t>
      </w:r>
      <w:r w:rsidR="00E3253D">
        <w:rPr>
          <w:rtl/>
        </w:rPr>
        <w:t xml:space="preserve"> ».</w:t>
      </w:r>
      <w:r w:rsidR="00E3253D" w:rsidRPr="005D642E">
        <w:rPr>
          <w:rtl/>
        </w:rPr>
        <w:t xml:space="preserve"> والمراد من عيسى بن عبدالله العمري ، هو عيسى بن عبدالله بن محمّد بن عمر بن عليّ بن أبي طالب ، فيكون المراد من لفظة « أبيه » والد جدّه عمر بن عليّ بن أبي طالب.</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25 ، ص 549 ، ح 24631 ؛ </w:t>
      </w:r>
      <w:r w:rsidR="00E3253D" w:rsidRPr="002F4D34">
        <w:rPr>
          <w:rStyle w:val="libFootnoteBoldChar"/>
          <w:rtl/>
        </w:rPr>
        <w:t>الوسائل</w:t>
      </w:r>
      <w:r w:rsidR="00E3253D" w:rsidRPr="005D642E">
        <w:rPr>
          <w:rtl/>
        </w:rPr>
        <w:t xml:space="preserve"> ، ج 3 ، ص 214 ، ح 3439 ؛ </w:t>
      </w:r>
      <w:r w:rsidR="00E3253D" w:rsidRPr="002F4D34">
        <w:rPr>
          <w:rStyle w:val="libFootnoteBoldChar"/>
          <w:rtl/>
        </w:rPr>
        <w:t>البحار</w:t>
      </w:r>
      <w:r w:rsidR="00E3253D" w:rsidRPr="005D642E">
        <w:rPr>
          <w:rtl/>
        </w:rPr>
        <w:t xml:space="preserve"> ، ج 82 ، ص 113 ، ذيل ح 56.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بح ، جح ، جن » وحاشية « غ » </w:t>
      </w:r>
      <w:r w:rsidR="00E3253D" w:rsidRPr="003B3913">
        <w:rPr>
          <w:rStyle w:val="libFootnoteBoldChar"/>
          <w:rtl/>
        </w:rPr>
        <w:t>وقرب الإسناد</w:t>
      </w:r>
      <w:r w:rsidR="00E3253D" w:rsidRPr="005D642E">
        <w:rPr>
          <w:rtl/>
        </w:rPr>
        <w:t xml:space="preserve"> وثواب الأعمال : « أن ينقص</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w:t>
      </w:r>
      <w:r w:rsidR="00E3253D">
        <w:rPr>
          <w:rtl/>
        </w:rPr>
        <w:t xml:space="preserve"> </w:t>
      </w:r>
      <w:r w:rsidR="007642BC">
        <w:rPr>
          <w:rtl/>
        </w:rPr>
        <w:t>-</w:t>
      </w:r>
      <w:r w:rsidR="00E3253D">
        <w:rPr>
          <w:rtl/>
        </w:rPr>
        <w:t xml:space="preserve"> </w:t>
      </w:r>
      <w:r w:rsidR="00E3253D" w:rsidRPr="005D642E">
        <w:rPr>
          <w:rtl/>
        </w:rPr>
        <w:t>« أجر</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ثواب من عزّى حزيناً ، ح 4596. وفي </w:t>
      </w:r>
      <w:r w:rsidR="00E3253D" w:rsidRPr="002F4D34">
        <w:rPr>
          <w:rStyle w:val="libFootnoteBoldChar"/>
          <w:rtl/>
        </w:rPr>
        <w:t>ثواب الأعمال</w:t>
      </w:r>
      <w:r w:rsidR="00E3253D" w:rsidRPr="005D642E">
        <w:rPr>
          <w:rtl/>
        </w:rPr>
        <w:t xml:space="preserve"> ، ص 236 ، ح 4 ، بسنده عن أحمد بن أبي عبدالله البرقي ، عن أبيه ، عن وهب بن وهب ، عن جعفر بن محمّد ، عن آبائه </w:t>
      </w:r>
      <w:r w:rsidR="00E3253D" w:rsidRPr="00763270">
        <w:rPr>
          <w:rStyle w:val="libFootnoteAlaemChar"/>
          <w:rtl/>
        </w:rPr>
        <w:t>عليهم‌السلام</w:t>
      </w:r>
      <w:r w:rsidR="00E3253D" w:rsidRPr="005D642E">
        <w:rPr>
          <w:rtl/>
        </w:rPr>
        <w:t xml:space="preserve"> عن رسول الله </w:t>
      </w:r>
      <w:r w:rsidRPr="00763270">
        <w:rPr>
          <w:rStyle w:val="libFootnoteAlaemChar"/>
          <w:rtl/>
        </w:rPr>
        <w:t>صلى‌الله‌عليه‌وآله</w:t>
      </w:r>
      <w:r w:rsidR="00E3253D" w:rsidRPr="005D642E">
        <w:rPr>
          <w:rtl/>
        </w:rPr>
        <w:t xml:space="preserve">. </w:t>
      </w:r>
      <w:r w:rsidR="00E3253D" w:rsidRPr="002F4D34">
        <w:rPr>
          <w:rStyle w:val="libFootnoteBoldChar"/>
          <w:rtl/>
        </w:rPr>
        <w:t>قرب الإسناد</w:t>
      </w:r>
      <w:r w:rsidR="00E3253D" w:rsidRPr="005D642E">
        <w:rPr>
          <w:rtl/>
        </w:rPr>
        <w:t xml:space="preserve"> ، ص 51 ، ح 166 ؛ وص 156 ، ح 574 ، بسند آخر عن جعفر بن محمّد عن أبيه </w:t>
      </w:r>
      <w:r w:rsidR="00E3253D" w:rsidRPr="00763270">
        <w:rPr>
          <w:rStyle w:val="libFootnoteAlaemChar"/>
          <w:rtl/>
        </w:rPr>
        <w:t>عليهم‌السلام</w:t>
      </w:r>
      <w:r w:rsidR="00E3253D" w:rsidRPr="005D642E">
        <w:rPr>
          <w:rtl/>
        </w:rPr>
        <w:t xml:space="preserve"> عن رسول الله </w:t>
      </w:r>
      <w:r w:rsidRPr="00763270">
        <w:rPr>
          <w:rStyle w:val="libFootnoteAlaemChar"/>
          <w:rtl/>
        </w:rPr>
        <w:t>صلى‌الله‌عليه‌وآله</w:t>
      </w:r>
      <w:r w:rsidR="00E3253D" w:rsidRPr="005D642E">
        <w:rPr>
          <w:rtl/>
        </w:rPr>
        <w:t xml:space="preserve"> </w:t>
      </w:r>
      <w:r w:rsidR="00763270">
        <w:rPr>
          <w:rFonts w:hint="cs"/>
          <w:rtl/>
        </w:rPr>
        <w:t>.</w:t>
      </w:r>
      <w:r w:rsidR="00E3253D" w:rsidRPr="002F4D34">
        <w:rPr>
          <w:rStyle w:val="libFootnoteBoldChar"/>
          <w:rtl/>
        </w:rPr>
        <w:t>الوافي</w:t>
      </w:r>
      <w:r w:rsidR="00E3253D" w:rsidRPr="005D642E">
        <w:rPr>
          <w:rtl/>
        </w:rPr>
        <w:t xml:space="preserve"> ، ج 25 ، ص 549 ، ح 24629 ؛ </w:t>
      </w:r>
      <w:r w:rsidR="00E3253D" w:rsidRPr="002F4D34">
        <w:rPr>
          <w:rStyle w:val="libFootnoteBoldChar"/>
          <w:rtl/>
        </w:rPr>
        <w:t>الوسائل</w:t>
      </w:r>
      <w:r w:rsidR="00E3253D" w:rsidRPr="005D642E">
        <w:rPr>
          <w:rtl/>
        </w:rPr>
        <w:t xml:space="preserve"> ، ج 3 ، ص 213 ، ح 3436.</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512" w:name="_Toc344647382"/>
      <w:bookmarkStart w:id="513" w:name="_Toc462226896"/>
      <w:bookmarkStart w:id="514" w:name="_Toc40976004"/>
      <w:r w:rsidRPr="005D642E">
        <w:rPr>
          <w:rtl/>
          <w:lang w:bidi="fa-IR"/>
        </w:rPr>
        <w:t>84</w:t>
      </w:r>
      <w:r>
        <w:rPr>
          <w:rtl/>
          <w:lang w:bidi="fa-IR"/>
        </w:rPr>
        <w:t xml:space="preserve"> </w:t>
      </w:r>
      <w:r w:rsidR="007642BC">
        <w:rPr>
          <w:rtl/>
          <w:lang w:bidi="fa-IR"/>
        </w:rPr>
        <w:t>-</w:t>
      </w:r>
      <w:r>
        <w:rPr>
          <w:rtl/>
          <w:lang w:bidi="fa-IR"/>
        </w:rPr>
        <w:t xml:space="preserve"> </w:t>
      </w:r>
      <w:r w:rsidRPr="005D642E">
        <w:rPr>
          <w:rtl/>
          <w:lang w:bidi="fa-IR"/>
        </w:rPr>
        <w:t xml:space="preserve">بَابٌ فِي السَّلْوَةِ </w:t>
      </w:r>
      <w:r w:rsidRPr="007C12DB">
        <w:rPr>
          <w:rStyle w:val="libFootnotenumChar"/>
          <w:rtl/>
        </w:rPr>
        <w:t>(1)</w:t>
      </w:r>
      <w:r w:rsidRPr="005D642E">
        <w:rPr>
          <w:rtl/>
          <w:lang w:bidi="fa-IR"/>
        </w:rPr>
        <w:t xml:space="preserve"> ‌</w:t>
      </w:r>
      <w:bookmarkEnd w:id="512"/>
      <w:bookmarkEnd w:id="513"/>
      <w:bookmarkEnd w:id="514"/>
    </w:p>
    <w:p w:rsidR="00E3253D" w:rsidRPr="005D642E" w:rsidRDefault="00E3253D" w:rsidP="00E3253D">
      <w:pPr>
        <w:pStyle w:val="libNormal"/>
        <w:rPr>
          <w:rtl/>
          <w:lang w:bidi="fa-IR"/>
        </w:rPr>
      </w:pPr>
      <w:r w:rsidRPr="002C7116">
        <w:rPr>
          <w:rtl/>
        </w:rPr>
        <w:t>4673</w:t>
      </w:r>
      <w:r w:rsidRPr="00246318">
        <w:rPr>
          <w:rStyle w:val="libBold2Char"/>
          <w:rtl/>
        </w:rPr>
        <w:t xml:space="preserve"> / 1.</w:t>
      </w:r>
      <w:r w:rsidRPr="005D642E">
        <w:rPr>
          <w:rtl/>
          <w:lang w:bidi="fa-IR"/>
        </w:rPr>
        <w:t xml:space="preserve"> عِدَّةٌ مِنْ أَصْحَابِنَا ، عَنْ أَحْمَدَ بْنِ مُحَمَّدٍ ، عَنْ عُثْمَانَ بْنِ عِيسى ، عَنْ مِهْرَانَ بْنِ مُحَمَّدٍ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إِنَّ الْمَيِّتَ إِذَا مَاتَ ، بَعَثَ اللهُ مَلَكاً إِلى أَوْجَعِ أَهْلِهِ </w:t>
      </w:r>
      <w:r w:rsidRPr="007C12DB">
        <w:rPr>
          <w:rStyle w:val="libFootnotenumChar"/>
          <w:rtl/>
        </w:rPr>
        <w:t>(2)</w:t>
      </w:r>
      <w:r w:rsidRPr="005D642E">
        <w:rPr>
          <w:rtl/>
          <w:lang w:bidi="fa-IR"/>
        </w:rPr>
        <w:t xml:space="preserve"> ، فَمَسَحَ عَلى قَلْبِهِ ، فَأَنْسَاهُ لَوْعَةَ </w:t>
      </w:r>
      <w:r w:rsidRPr="007C12DB">
        <w:rPr>
          <w:rStyle w:val="libFootnotenumChar"/>
          <w:rtl/>
        </w:rPr>
        <w:t>(3)</w:t>
      </w:r>
      <w:r w:rsidRPr="005D642E">
        <w:rPr>
          <w:rtl/>
          <w:lang w:bidi="fa-IR"/>
        </w:rPr>
        <w:t xml:space="preserve"> الْحُزْنِ ، وَلَوْلَا ذلِكَ لَمْ تُعْمَرِ </w:t>
      </w:r>
      <w:r w:rsidRPr="007C12DB">
        <w:rPr>
          <w:rStyle w:val="libFootnotenumChar"/>
          <w:rtl/>
        </w:rPr>
        <w:t>(4)</w:t>
      </w:r>
      <w:r w:rsidRPr="005D642E">
        <w:rPr>
          <w:rtl/>
          <w:lang w:bidi="fa-IR"/>
        </w:rPr>
        <w:t xml:space="preserve"> الدُّنْيَا</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2C7116">
        <w:rPr>
          <w:rtl/>
        </w:rPr>
        <w:t>4674</w:t>
      </w:r>
      <w:r w:rsidRPr="00246318">
        <w:rPr>
          <w:rStyle w:val="libBold2Char"/>
          <w:rtl/>
        </w:rPr>
        <w:t xml:space="preserve"> / 2.</w:t>
      </w:r>
      <w:r w:rsidRPr="005D642E">
        <w:rPr>
          <w:rtl/>
          <w:lang w:bidi="fa-IR"/>
        </w:rPr>
        <w:t xml:space="preserve"> عَلِيُّ بْنُ إِبْرَاهِيمَ ، عَنْ أَبِيهِ ، عَنِ ابْنِ أَبِي عُمَيْرٍ ، عَنْ هِشَامِ بْنِ سَالِمٍ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اللهَ</w:t>
      </w:r>
      <w:r>
        <w:rPr>
          <w:rtl/>
          <w:lang w:bidi="fa-IR"/>
        </w:rPr>
        <w:t xml:space="preserve"> </w:t>
      </w:r>
      <w:r w:rsidR="007642BC">
        <w:rPr>
          <w:rtl/>
          <w:lang w:bidi="fa-IR"/>
        </w:rPr>
        <w:t>-</w:t>
      </w:r>
      <w:r>
        <w:rPr>
          <w:rtl/>
          <w:lang w:bidi="fa-IR"/>
        </w:rPr>
        <w:t xml:space="preserve"> </w:t>
      </w:r>
      <w:r w:rsidRPr="005D642E">
        <w:rPr>
          <w:rtl/>
          <w:lang w:bidi="fa-IR"/>
        </w:rPr>
        <w:t>تَبَارَكَ وَتَعَالى</w:t>
      </w:r>
      <w:r>
        <w:rPr>
          <w:rtl/>
          <w:lang w:bidi="fa-IR"/>
        </w:rPr>
        <w:t xml:space="preserve"> </w:t>
      </w:r>
      <w:r w:rsidR="007642BC">
        <w:rPr>
          <w:rtl/>
          <w:lang w:bidi="fa-IR"/>
        </w:rPr>
        <w:t>-</w:t>
      </w:r>
      <w:r>
        <w:rPr>
          <w:rtl/>
          <w:lang w:bidi="fa-IR"/>
        </w:rPr>
        <w:t xml:space="preserve"> </w:t>
      </w:r>
      <w:r w:rsidRPr="005D642E">
        <w:rPr>
          <w:rtl/>
          <w:lang w:bidi="fa-IR"/>
        </w:rPr>
        <w:t>تَطَوَّلَ عَلى عِبَادِهِ بِثَلَاثٍ :</w:t>
      </w:r>
      <w:r>
        <w:rPr>
          <w:rFonts w:hint="cs"/>
          <w:rtl/>
          <w:lang w:bidi="fa-IR"/>
        </w:rPr>
        <w:t xml:space="preserve"> </w:t>
      </w:r>
      <w:r w:rsidRPr="005D642E">
        <w:rPr>
          <w:rtl/>
          <w:lang w:bidi="fa-IR"/>
        </w:rPr>
        <w:t xml:space="preserve">أَلْقى عَلَيْهِمُ الرِّيحَ بَعْدَ الرُّوحِ ، وَلَوْلَا ذلِكَ مَا </w:t>
      </w:r>
      <w:r w:rsidRPr="007C12DB">
        <w:rPr>
          <w:rStyle w:val="libFootnotenumChar"/>
          <w:rtl/>
        </w:rPr>
        <w:t>(6)</w:t>
      </w:r>
      <w:r w:rsidRPr="005D642E">
        <w:rPr>
          <w:rtl/>
          <w:lang w:bidi="fa-IR"/>
        </w:rPr>
        <w:t xml:space="preserve"> دَفَنَ حَمِيمٌ حَمِيماً ؛ وَأَلْقى عَلَيْهِمُ </w:t>
      </w:r>
      <w:r w:rsidRPr="007C12DB">
        <w:rPr>
          <w:rStyle w:val="libFootnotenumChar"/>
          <w:rtl/>
        </w:rPr>
        <w:t>(7)</w:t>
      </w:r>
      <w:r w:rsidRPr="005D642E">
        <w:rPr>
          <w:rtl/>
          <w:lang w:bidi="fa-IR"/>
        </w:rPr>
        <w:t xml:space="preserve"> السَّلْوَةَ ، وَلَوْلَا ذلِكَ لَانْقَطَعَ النَّسْلُ </w:t>
      </w:r>
      <w:r w:rsidRPr="007C12DB">
        <w:rPr>
          <w:rStyle w:val="libFootnotenumChar"/>
          <w:rtl/>
        </w:rPr>
        <w:t>(8)</w:t>
      </w:r>
      <w:r w:rsidRPr="005D642E">
        <w:rPr>
          <w:rtl/>
          <w:lang w:bidi="fa-IR"/>
        </w:rPr>
        <w:t xml:space="preserve"> ؛ وَأَلْقى عَلى هذِهِ الْحَبَّةِ الدَّابَّةَ </w:t>
      </w:r>
      <w:r w:rsidRPr="007C12DB">
        <w:rPr>
          <w:rStyle w:val="libFootnotenumChar"/>
          <w:rtl/>
        </w:rPr>
        <w:t>(9)</w:t>
      </w:r>
      <w:r w:rsidRPr="005D642E">
        <w:rPr>
          <w:rtl/>
          <w:lang w:bidi="fa-IR"/>
        </w:rPr>
        <w:t xml:space="preserve"> ، وَلَوْلَا ذلِكَ لَكَنَزَهَا مُلُوكُهُمْ كَمَا يَكْنِزُونَ الذَّهَبَ وَالْفِضَّةَ</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السّلوة » بالفتح والضمّ ، اسم من سَلا يَسلُو سَلْواً وسُلُوّاً وسُل</w:t>
      </w:r>
      <w:r w:rsidR="004A7FA3">
        <w:rPr>
          <w:rtl/>
        </w:rPr>
        <w:t>واناً : نَسِيَ. وأسلاه عنه وسل</w:t>
      </w:r>
      <w:r w:rsidR="004A7FA3">
        <w:rPr>
          <w:rFonts w:hint="cs"/>
          <w:rtl/>
        </w:rPr>
        <w:t>ّ</w:t>
      </w:r>
      <w:r w:rsidR="004A7FA3">
        <w:rPr>
          <w:rtl/>
        </w:rPr>
        <w:t>ا</w:t>
      </w:r>
      <w:r w:rsidR="00E3253D" w:rsidRPr="005D642E">
        <w:rPr>
          <w:rtl/>
        </w:rPr>
        <w:t xml:space="preserve">ه فتسلّى ، وسلاني من همّي وأسلاني ، أي كشفه عنّي. وفي </w:t>
      </w:r>
      <w:r w:rsidR="00E3253D" w:rsidRPr="002F4D34">
        <w:rPr>
          <w:rStyle w:val="libFootnoteBoldChar"/>
          <w:rtl/>
        </w:rPr>
        <w:t>المرآة</w:t>
      </w:r>
      <w:r w:rsidR="00E3253D" w:rsidRPr="005D642E">
        <w:rPr>
          <w:rtl/>
        </w:rPr>
        <w:t xml:space="preserve"> : « السلوة : التسلّي والصبر ونسيان المصيبة</w:t>
      </w:r>
      <w:r w:rsidR="00E3253D">
        <w:rPr>
          <w:rtl/>
        </w:rPr>
        <w:t xml:space="preserve"> ».</w:t>
      </w:r>
      <w:r w:rsidR="00E3253D" w:rsidRPr="005D642E">
        <w:rPr>
          <w:rtl/>
        </w:rPr>
        <w:t xml:space="preserve"> راجع : </w:t>
      </w:r>
      <w:r w:rsidR="00E3253D" w:rsidRPr="002F4D34">
        <w:rPr>
          <w:rStyle w:val="libFootnoteBoldChar"/>
          <w:rtl/>
        </w:rPr>
        <w:t>القاموس المحيط</w:t>
      </w:r>
      <w:r w:rsidR="00E3253D" w:rsidRPr="005D642E">
        <w:rPr>
          <w:rtl/>
        </w:rPr>
        <w:t xml:space="preserve"> ، ج 2 ، ص 1700 ؛ </w:t>
      </w:r>
      <w:r w:rsidR="00E3253D" w:rsidRPr="002F4D34">
        <w:rPr>
          <w:rStyle w:val="libFootnoteBoldChar"/>
          <w:rtl/>
        </w:rPr>
        <w:t>لسان العرب</w:t>
      </w:r>
      <w:r w:rsidR="00E3253D" w:rsidRPr="005D642E">
        <w:rPr>
          <w:rtl/>
        </w:rPr>
        <w:t xml:space="preserve"> ، ج 14 ، ص 396 ( سلى ) ؛ </w:t>
      </w:r>
      <w:r w:rsidR="00E3253D" w:rsidRPr="002F4D34">
        <w:rPr>
          <w:rStyle w:val="libFootnoteBoldChar"/>
          <w:rtl/>
        </w:rPr>
        <w:t>مرآة العقول</w:t>
      </w:r>
      <w:r w:rsidR="00E3253D" w:rsidRPr="005D642E">
        <w:rPr>
          <w:rtl/>
        </w:rPr>
        <w:t xml:space="preserve"> ، ج 14 ، ص 190.</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الفقيه : + «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اللوعة » : حرقة في القلب ، وألم من حُبٍّ أو همٍّ أو مرض. راجع : </w:t>
      </w:r>
      <w:r w:rsidR="00E3253D" w:rsidRPr="002F4D34">
        <w:rPr>
          <w:rStyle w:val="libFootnoteBoldChar"/>
          <w:rtl/>
        </w:rPr>
        <w:t>القاموس المحيط</w:t>
      </w:r>
      <w:r w:rsidR="00E3253D" w:rsidRPr="005D642E">
        <w:rPr>
          <w:rtl/>
        </w:rPr>
        <w:t xml:space="preserve"> ، ج 2 ، ص 1020 ( لوع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لم يعمّر</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الفقيه</w:t>
      </w:r>
      <w:r w:rsidR="00E3253D" w:rsidRPr="005D642E">
        <w:rPr>
          <w:rtl/>
        </w:rPr>
        <w:t xml:space="preserve"> ، ج 1 ، ص 176 ، ح 522 ، معلّقاً عن مهران بن محمّد </w:t>
      </w:r>
      <w:r w:rsidR="004A7FA3">
        <w:rPr>
          <w:rFonts w:hint="cs"/>
          <w:rtl/>
        </w:rPr>
        <w:t>.</w:t>
      </w:r>
      <w:r w:rsidR="00E3253D" w:rsidRPr="002F4D34">
        <w:rPr>
          <w:rStyle w:val="libFootnoteBoldChar"/>
          <w:rtl/>
        </w:rPr>
        <w:t>الوافي</w:t>
      </w:r>
      <w:r w:rsidR="00E3253D" w:rsidRPr="005D642E">
        <w:rPr>
          <w:rtl/>
        </w:rPr>
        <w:t xml:space="preserve"> ، ج 25 ، ص 559 ، ح 24657 ؛ </w:t>
      </w:r>
      <w:r w:rsidR="00E3253D" w:rsidRPr="002F4D34">
        <w:rPr>
          <w:rStyle w:val="libFootnoteBoldChar"/>
          <w:rtl/>
        </w:rPr>
        <w:t>الوسائل</w:t>
      </w:r>
      <w:r w:rsidR="00E3253D" w:rsidRPr="005D642E">
        <w:rPr>
          <w:rtl/>
        </w:rPr>
        <w:t xml:space="preserve"> ، ج 3 ، ص 278 ، ح 3646 ؛ </w:t>
      </w:r>
      <w:r w:rsidR="00E3253D" w:rsidRPr="002F4D34">
        <w:rPr>
          <w:rStyle w:val="libFootnoteBoldChar"/>
          <w:rtl/>
        </w:rPr>
        <w:t>البحار</w:t>
      </w:r>
      <w:r w:rsidR="00E3253D" w:rsidRPr="005D642E">
        <w:rPr>
          <w:rtl/>
        </w:rPr>
        <w:t xml:space="preserve"> ، ج 59 ، ص 188 ، ح 37.</w:t>
      </w:r>
    </w:p>
    <w:tbl>
      <w:tblPr>
        <w:tblStyle w:val="TableGrid"/>
        <w:bidiVisual/>
        <w:tblW w:w="0" w:type="auto"/>
        <w:tblLook w:val="04A0" w:firstRow="1" w:lastRow="0" w:firstColumn="1" w:lastColumn="0" w:noHBand="0" w:noVBand="1"/>
      </w:tblPr>
      <w:tblGrid>
        <w:gridCol w:w="4006"/>
        <w:gridCol w:w="4006"/>
      </w:tblGrid>
      <w:tr w:rsidR="004A7FA3" w:rsidTr="004A7FA3">
        <w:tc>
          <w:tcPr>
            <w:tcW w:w="4006" w:type="dxa"/>
          </w:tcPr>
          <w:p w:rsidR="004A7FA3" w:rsidRDefault="004A7FA3" w:rsidP="00E3253D">
            <w:pPr>
              <w:pStyle w:val="libFootnote0"/>
              <w:rPr>
                <w:rStyle w:val="libFootnote0Char"/>
                <w:rtl/>
              </w:rPr>
            </w:pPr>
            <w:r w:rsidRPr="0042621E">
              <w:rPr>
                <w:rStyle w:val="libFootnote0Char"/>
                <w:rtl/>
              </w:rPr>
              <w:t>(6).</w:t>
            </w:r>
            <w:r w:rsidRPr="005D642E">
              <w:rPr>
                <w:rtl/>
              </w:rPr>
              <w:t xml:space="preserve"> في « بخ » : « لما</w:t>
            </w:r>
            <w:r>
              <w:rPr>
                <w:rtl/>
              </w:rPr>
              <w:t xml:space="preserve"> ».</w:t>
            </w:r>
          </w:p>
        </w:tc>
        <w:tc>
          <w:tcPr>
            <w:tcW w:w="4006" w:type="dxa"/>
          </w:tcPr>
          <w:p w:rsidR="004A7FA3" w:rsidRDefault="004A7FA3" w:rsidP="00E3253D">
            <w:pPr>
              <w:pStyle w:val="libFootnote0"/>
              <w:rPr>
                <w:rStyle w:val="libFootnote0Char"/>
                <w:rtl/>
              </w:rPr>
            </w:pPr>
            <w:r w:rsidRPr="0042621E">
              <w:rPr>
                <w:rStyle w:val="libFootnote0Char"/>
                <w:rtl/>
              </w:rPr>
              <w:t>(7).</w:t>
            </w:r>
            <w:r w:rsidRPr="005D642E">
              <w:rPr>
                <w:rtl/>
              </w:rPr>
              <w:t xml:space="preserve"> في « بس » : « عليه</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 « لقطع النسل</w:t>
      </w:r>
      <w:r w:rsidR="00E3253D">
        <w:rPr>
          <w:rtl/>
        </w:rPr>
        <w:t xml:space="preserve"> ».</w:t>
      </w:r>
      <w:r w:rsidR="00E3253D" w:rsidRPr="005D642E">
        <w:rPr>
          <w:rtl/>
        </w:rPr>
        <w:t xml:space="preserve"> وفي </w:t>
      </w:r>
      <w:r w:rsidR="00E3253D" w:rsidRPr="004A7FA3">
        <w:rPr>
          <w:rStyle w:val="libFootnoteBoldChar"/>
          <w:rtl/>
        </w:rPr>
        <w:t>المرآة</w:t>
      </w:r>
      <w:r w:rsidR="00E3253D" w:rsidRPr="005D642E">
        <w:rPr>
          <w:rtl/>
        </w:rPr>
        <w:t xml:space="preserve"> : « انقطاع النسل بعدم الاشتغال بالتزويج والمقاربة ؛ لما يلحقهم من</w:t>
      </w:r>
      <w:r w:rsidR="004A7FA3">
        <w:rPr>
          <w:rFonts w:hint="cs"/>
          <w:rtl/>
        </w:rPr>
        <w:t xml:space="preserve"> </w:t>
      </w:r>
      <w:r w:rsidR="00E3253D" w:rsidRPr="005D642E">
        <w:rPr>
          <w:rtl/>
        </w:rPr>
        <w:t>‌الحزن ، وحذراً لوقوع مثله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الحبّة » : الحنطة والشعير وأمثالهما. </w:t>
      </w:r>
      <w:r w:rsidR="00E3253D">
        <w:rPr>
          <w:rtl/>
        </w:rPr>
        <w:t>و «</w:t>
      </w:r>
      <w:r w:rsidR="00E3253D" w:rsidRPr="005D642E">
        <w:rPr>
          <w:rtl/>
        </w:rPr>
        <w:t xml:space="preserve"> الدابّة » : الدودة التي تأكل الحبوب وتفسدها. راجع : </w:t>
      </w:r>
      <w:r w:rsidR="00E3253D" w:rsidRPr="002F4D34">
        <w:rPr>
          <w:rStyle w:val="libFootnoteBoldChar"/>
          <w:rtl/>
        </w:rPr>
        <w:t>مرآة العقول</w:t>
      </w:r>
      <w:r w:rsidR="00E3253D" w:rsidRPr="005D642E">
        <w:rPr>
          <w:rtl/>
        </w:rPr>
        <w:t xml:space="preserve"> ، ج 14 ، ص 191.</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علل الشرائع</w:t>
      </w:r>
      <w:r w:rsidR="00E3253D" w:rsidRPr="005D642E">
        <w:rPr>
          <w:rtl/>
        </w:rPr>
        <w:t xml:space="preserve"> ، ص 299 ، ح 1 ، عن أبيه ، عن عليّ بن إبراهيم. وفي </w:t>
      </w:r>
      <w:r w:rsidR="00E3253D" w:rsidRPr="002F4D34">
        <w:rPr>
          <w:rStyle w:val="libFootnoteBoldChar"/>
          <w:rtl/>
        </w:rPr>
        <w:t>المحاسن</w:t>
      </w:r>
      <w:r w:rsidR="004A7FA3">
        <w:rPr>
          <w:rtl/>
        </w:rPr>
        <w:t xml:space="preserve"> ، ص 316 ، كتاب العلل،</w:t>
      </w:r>
      <w:r w:rsidR="004A7FA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C7116">
        <w:rPr>
          <w:rtl/>
        </w:rPr>
        <w:t>4675</w:t>
      </w:r>
      <w:r w:rsidRPr="00246318">
        <w:rPr>
          <w:rStyle w:val="libBold2Char"/>
          <w:rtl/>
        </w:rPr>
        <w:t xml:space="preserve"> / 3.</w:t>
      </w:r>
      <w:r w:rsidRPr="005D642E">
        <w:rPr>
          <w:rtl/>
          <w:lang w:bidi="fa-IR"/>
        </w:rPr>
        <w:t xml:space="preserve"> مُحَمَّدُ بْنُ يَحْيى ، عَنْ مُحَمَّدِ بْنِ الْحُسَيْنِ ، عَنْ عُثْمَانَ بْنِ عِيسى ، عَنْ مِهْرَانَ بْنِ مُحَمَّدٍ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مَاتَ الْمَيِّتُ ، بَعَثَ اللهُ مَلَكاً إِلى أَوْجَعِ أَهْلِهِ ، فَمَسَحَ عَلى قَلْبِهِ ، فَأَنْسَاهُ لَوْعَةَ الْحُزْنِ ، وَلَوْلَا ذلِكَ لَمْ تُعْمَرِ الدُّنْيَا</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Heading2Center"/>
        <w:rPr>
          <w:rtl/>
          <w:lang w:bidi="fa-IR"/>
        </w:rPr>
      </w:pPr>
      <w:bookmarkStart w:id="515" w:name="_Toc344647383"/>
      <w:bookmarkStart w:id="516" w:name="_Toc462226897"/>
      <w:bookmarkStart w:id="517" w:name="_Toc40976005"/>
      <w:r w:rsidRPr="005D642E">
        <w:rPr>
          <w:rtl/>
          <w:lang w:bidi="fa-IR"/>
        </w:rPr>
        <w:t>85</w:t>
      </w:r>
      <w:r>
        <w:rPr>
          <w:rtl/>
          <w:lang w:bidi="fa-IR"/>
        </w:rPr>
        <w:t xml:space="preserve"> </w:t>
      </w:r>
      <w:r w:rsidR="007642BC">
        <w:rPr>
          <w:rtl/>
          <w:lang w:bidi="fa-IR"/>
        </w:rPr>
        <w:t>-</w:t>
      </w:r>
      <w:r>
        <w:rPr>
          <w:rtl/>
          <w:lang w:bidi="fa-IR"/>
        </w:rPr>
        <w:t xml:space="preserve"> </w:t>
      </w:r>
      <w:r w:rsidRPr="005D642E">
        <w:rPr>
          <w:rtl/>
          <w:lang w:bidi="fa-IR"/>
        </w:rPr>
        <w:t>بَابُ زِيَارَةِ الْقُبُورِ‌</w:t>
      </w:r>
      <w:bookmarkEnd w:id="515"/>
      <w:bookmarkEnd w:id="516"/>
      <w:bookmarkEnd w:id="517"/>
    </w:p>
    <w:p w:rsidR="00E3253D" w:rsidRPr="005D642E" w:rsidRDefault="00E3253D" w:rsidP="00E3253D">
      <w:pPr>
        <w:pStyle w:val="libNormal"/>
        <w:rPr>
          <w:rtl/>
          <w:lang w:bidi="fa-IR"/>
        </w:rPr>
      </w:pPr>
      <w:r w:rsidRPr="002C7116">
        <w:rPr>
          <w:rtl/>
        </w:rPr>
        <w:t>4676</w:t>
      </w:r>
      <w:r w:rsidRPr="00246318">
        <w:rPr>
          <w:rStyle w:val="libBold2Char"/>
          <w:rtl/>
        </w:rPr>
        <w:t xml:space="preserve"> / 1.</w:t>
      </w:r>
      <w:r w:rsidRPr="005D642E">
        <w:rPr>
          <w:rtl/>
          <w:lang w:bidi="fa-IR"/>
        </w:rPr>
        <w:t xml:space="preserve"> عَلِيُّ بْنُ إِبْرَاهِيمَ ، عَنْ أَبِيهِ ، عَنِ ابْنِ أَبِي عُمَيْرٍ ، عَنْ حَفْصِ بْنِ الْبَخْتَرِيِّ وَ</w:t>
      </w:r>
      <w:r>
        <w:rPr>
          <w:rFonts w:hint="cs"/>
          <w:rtl/>
          <w:lang w:bidi="fa-IR"/>
        </w:rPr>
        <w:t xml:space="preserve"> </w:t>
      </w:r>
      <w:r w:rsidRPr="007C12DB">
        <w:rPr>
          <w:rStyle w:val="libFootnotenumChar"/>
          <w:rtl/>
        </w:rPr>
        <w:t>(2)</w:t>
      </w:r>
      <w:r w:rsidRPr="005D642E">
        <w:rPr>
          <w:rtl/>
          <w:lang w:bidi="fa-IR"/>
        </w:rPr>
        <w:t xml:space="preserve"> جَمِيلِ بْنِ دَرَّاجٍ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زِيَارَةِ الْقُبُورِ ، قَالَ : « إِنَّهُمْ يَأْنَسُونَ بِكُمْ ، فَإِذَا غِبْتُمْ عَنْهُمُ </w:t>
      </w:r>
      <w:r w:rsidRPr="007C12DB">
        <w:rPr>
          <w:rStyle w:val="libFootnotenumChar"/>
          <w:rtl/>
        </w:rPr>
        <w:t>(3)</w:t>
      </w:r>
      <w:r w:rsidRPr="005D642E">
        <w:rPr>
          <w:rtl/>
          <w:lang w:bidi="fa-IR"/>
        </w:rPr>
        <w:t xml:space="preserve"> اسْتَوْحَشُوا</w:t>
      </w:r>
      <w:r>
        <w:rPr>
          <w:rtl/>
          <w:lang w:bidi="fa-IR"/>
        </w:rPr>
        <w:t xml:space="preserve"> ».</w:t>
      </w:r>
      <w:r w:rsidRPr="005D642E">
        <w:rPr>
          <w:rtl/>
          <w:lang w:bidi="fa-IR"/>
        </w:rPr>
        <w:t xml:space="preserve"> </w:t>
      </w:r>
      <w:r w:rsidRPr="007C12DB">
        <w:rPr>
          <w:rStyle w:val="libFootnotenumChar"/>
          <w:rtl/>
        </w:rPr>
        <w:t>(4)</w:t>
      </w:r>
    </w:p>
    <w:p w:rsidR="00E3253D" w:rsidRPr="005D642E" w:rsidRDefault="00E3253D" w:rsidP="00E3253D">
      <w:pPr>
        <w:pStyle w:val="libNormal"/>
        <w:rPr>
          <w:rtl/>
          <w:lang w:bidi="fa-IR"/>
        </w:rPr>
      </w:pPr>
      <w:r w:rsidRPr="002C7116">
        <w:rPr>
          <w:rtl/>
        </w:rPr>
        <w:t>4677</w:t>
      </w:r>
      <w:r w:rsidRPr="00246318">
        <w:rPr>
          <w:rStyle w:val="libBold2Char"/>
          <w:rtl/>
        </w:rPr>
        <w:t xml:space="preserve"> / 2.</w:t>
      </w:r>
      <w:r w:rsidRPr="005D642E">
        <w:rPr>
          <w:rtl/>
          <w:lang w:bidi="fa-IR"/>
        </w:rPr>
        <w:t xml:space="preserve"> عِدَّةٌ مِنْ أَصْحَابِنَا ، عَنْ أَحْمَدَ بْنِ مُحَمَّدٍ ، عَنْ عُثْمَانَ بْنِ عِيسى ، عَنْ سَمَاعَةَ ، قَالَ :</w:t>
      </w:r>
    </w:p>
    <w:p w:rsidR="00E3253D" w:rsidRPr="005D642E" w:rsidRDefault="00E3253D" w:rsidP="00E3253D">
      <w:pPr>
        <w:pStyle w:val="libNormal"/>
        <w:rPr>
          <w:rtl/>
          <w:lang w:bidi="fa-IR"/>
        </w:rPr>
      </w:pPr>
      <w:r w:rsidRPr="005D642E">
        <w:rPr>
          <w:rtl/>
          <w:lang w:bidi="fa-IR"/>
        </w:rPr>
        <w:t>سَأَلْتُهُ عَنْ زِيَارَةِ الْقُبُورِ وَبِنَاءِ الْمَسَاجِدِ فِيهَا</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(5)</w:t>
      </w:r>
      <w:r w:rsidRPr="005D642E">
        <w:rPr>
          <w:rtl/>
          <w:lang w:bidi="fa-IR"/>
        </w:rPr>
        <w:t xml:space="preserve"> : « أَمَّا زِيَارَةُ الْقُبُورِ فَلَا بَأْسَ بِهَا ، وَلَاتُبْنى </w:t>
      </w:r>
      <w:r w:rsidRPr="007C12DB">
        <w:rPr>
          <w:rStyle w:val="libFootnotenumChar"/>
          <w:rtl/>
        </w:rPr>
        <w:t>(6)</w:t>
      </w:r>
      <w:r w:rsidRPr="005D642E">
        <w:rPr>
          <w:rtl/>
          <w:lang w:bidi="fa-IR"/>
        </w:rPr>
        <w:t xml:space="preserve"> عِنْدَهَا الْمَسَاجِدُ</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A7FA3" w:rsidP="00E3253D">
      <w:pPr>
        <w:pStyle w:val="libFootnote0"/>
        <w:rPr>
          <w:rtl/>
          <w:lang w:bidi="fa-IR"/>
        </w:rPr>
      </w:pPr>
      <w:r>
        <w:rPr>
          <w:rFonts w:hint="cs"/>
          <w:rtl/>
        </w:rPr>
        <w:t xml:space="preserve">= </w:t>
      </w:r>
      <w:r w:rsidR="00E3253D" w:rsidRPr="005D642E">
        <w:rPr>
          <w:rtl/>
        </w:rPr>
        <w:t xml:space="preserve">ح 35 ؛ </w:t>
      </w:r>
      <w:r w:rsidR="009E68BB" w:rsidRPr="009E68BB">
        <w:rPr>
          <w:rStyle w:val="libFootnoteBoldChar"/>
          <w:rtl/>
        </w:rPr>
        <w:t>والخصال</w:t>
      </w:r>
      <w:r w:rsidR="00E3253D" w:rsidRPr="002F4D34">
        <w:rPr>
          <w:rStyle w:val="libFootnoteBoldChar"/>
          <w:rtl/>
        </w:rPr>
        <w:t xml:space="preserve"> </w:t>
      </w:r>
      <w:r w:rsidR="00E3253D" w:rsidRPr="005D642E">
        <w:rPr>
          <w:rtl/>
        </w:rPr>
        <w:t xml:space="preserve">، ص 112 ، باب الثلاثة ، ح 87 ، بسندهما عن ابن أبي عمير. </w:t>
      </w:r>
      <w:r w:rsidR="00E3253D" w:rsidRPr="002F4D34">
        <w:rPr>
          <w:rStyle w:val="libFootnoteBoldChar"/>
          <w:rtl/>
        </w:rPr>
        <w:t>الفقيه</w:t>
      </w:r>
      <w:r w:rsidR="00E3253D" w:rsidRPr="005D642E">
        <w:rPr>
          <w:rtl/>
        </w:rPr>
        <w:t xml:space="preserve"> ، ج 1 ، ص 187 ، ح 566 ، مرسلاً ، وفي كلّها مع اختلاف يسير </w:t>
      </w:r>
      <w:r>
        <w:rPr>
          <w:rFonts w:hint="cs"/>
          <w:rtl/>
        </w:rPr>
        <w:t>.</w:t>
      </w:r>
      <w:r w:rsidR="00E3253D" w:rsidRPr="002F4D34">
        <w:rPr>
          <w:rStyle w:val="libFootnoteBoldChar"/>
          <w:rtl/>
        </w:rPr>
        <w:t>الوافي</w:t>
      </w:r>
      <w:r w:rsidR="00E3253D" w:rsidRPr="005D642E">
        <w:rPr>
          <w:rtl/>
        </w:rPr>
        <w:t xml:space="preserve"> ، ج 25 ، ص 559 ، ح 24658 ؛ </w:t>
      </w:r>
      <w:r w:rsidR="00E3253D" w:rsidRPr="002F4D34">
        <w:rPr>
          <w:rStyle w:val="libFootnoteBoldChar"/>
          <w:rtl/>
        </w:rPr>
        <w:t>الوسائل</w:t>
      </w:r>
      <w:r w:rsidR="00E3253D" w:rsidRPr="005D642E">
        <w:rPr>
          <w:rtl/>
        </w:rPr>
        <w:t xml:space="preserve"> ، ج 3 ، ص 277 ، ح 3645.</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25 ، ص 559 ، ح 24657.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الوسائل : « عن</w:t>
      </w:r>
      <w:r w:rsidR="00E3253D">
        <w:rPr>
          <w:rtl/>
        </w:rPr>
        <w:t xml:space="preserve"> ».</w:t>
      </w:r>
      <w:r w:rsidR="00E3253D" w:rsidRPr="005D642E">
        <w:rPr>
          <w:rtl/>
        </w:rPr>
        <w:t xml:space="preserve"> وهو سهو ؛ فقد روى ابن أبي عمير عن جميل بن درّاج وحفص بن البختري في كثيرٍ من</w:t>
      </w:r>
      <w:r w:rsidR="004A7FA3">
        <w:rPr>
          <w:rFonts w:hint="cs"/>
          <w:rtl/>
        </w:rPr>
        <w:t xml:space="preserve"> </w:t>
      </w:r>
      <w:r w:rsidR="00E3253D" w:rsidRPr="005D642E">
        <w:rPr>
          <w:rtl/>
        </w:rPr>
        <w:t xml:space="preserve">‌الأسناد جدّاً ، وورد في بعضها جميل وحفص معطوفين. ولم يعهد توسّط حفص بين ابن أبي عمير وبين جميل بن درّاج في موضع. راجع : </w:t>
      </w:r>
      <w:r w:rsidR="00E3253D" w:rsidRPr="002F4D34">
        <w:rPr>
          <w:rStyle w:val="libFootnoteBoldChar"/>
          <w:rtl/>
        </w:rPr>
        <w:t>الكافي</w:t>
      </w:r>
      <w:r w:rsidR="00E3253D" w:rsidRPr="005D642E">
        <w:rPr>
          <w:rtl/>
        </w:rPr>
        <w:t xml:space="preserve"> ، ح 7657 ؛ </w:t>
      </w:r>
      <w:r w:rsidR="00E3253D" w:rsidRPr="002F4D34">
        <w:rPr>
          <w:rStyle w:val="libFootnoteBoldChar"/>
          <w:rtl/>
        </w:rPr>
        <w:t>معجم رجال الحديث</w:t>
      </w:r>
      <w:r w:rsidR="00E3253D" w:rsidRPr="005D642E">
        <w:rPr>
          <w:rtl/>
        </w:rPr>
        <w:t xml:space="preserve"> ، ج 22 ، ص 249</w:t>
      </w:r>
      <w:r w:rsidR="00E3253D">
        <w:rPr>
          <w:rtl/>
        </w:rPr>
        <w:t xml:space="preserve"> </w:t>
      </w:r>
      <w:r w:rsidR="007642BC">
        <w:rPr>
          <w:rtl/>
        </w:rPr>
        <w:t>-</w:t>
      </w:r>
      <w:r w:rsidR="00E3253D">
        <w:rPr>
          <w:rtl/>
        </w:rPr>
        <w:t xml:space="preserve"> </w:t>
      </w:r>
      <w:r w:rsidR="00E3253D" w:rsidRPr="005D642E">
        <w:rPr>
          <w:rtl/>
        </w:rPr>
        <w:t>253 ؛ وص 258</w:t>
      </w:r>
      <w:r w:rsidR="00E3253D">
        <w:rPr>
          <w:rtl/>
        </w:rPr>
        <w:t xml:space="preserve"> </w:t>
      </w:r>
      <w:r w:rsidR="007642BC">
        <w:rPr>
          <w:rtl/>
        </w:rPr>
        <w:t>-</w:t>
      </w:r>
      <w:r w:rsidR="00E3253D">
        <w:rPr>
          <w:rtl/>
        </w:rPr>
        <w:t xml:space="preserve"> </w:t>
      </w:r>
      <w:r w:rsidR="00E3253D" w:rsidRPr="005D642E">
        <w:rPr>
          <w:rtl/>
        </w:rPr>
        <w:t>262.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عنهم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577 ، ح 24702 ؛ </w:t>
      </w:r>
      <w:r w:rsidR="00E3253D" w:rsidRPr="002F4D34">
        <w:rPr>
          <w:rStyle w:val="libFootnoteBoldChar"/>
          <w:rtl/>
        </w:rPr>
        <w:t>الوسائل</w:t>
      </w:r>
      <w:r w:rsidR="00E3253D" w:rsidRPr="005D642E">
        <w:rPr>
          <w:rtl/>
        </w:rPr>
        <w:t xml:space="preserve"> ، ج 3 ، ص 222 ، ح 3464.</w:t>
      </w:r>
    </w:p>
    <w:tbl>
      <w:tblPr>
        <w:tblStyle w:val="TableGrid"/>
        <w:bidiVisual/>
        <w:tblW w:w="0" w:type="auto"/>
        <w:tblLook w:val="04A0" w:firstRow="1" w:lastRow="0" w:firstColumn="1" w:lastColumn="0" w:noHBand="0" w:noVBand="1"/>
      </w:tblPr>
      <w:tblGrid>
        <w:gridCol w:w="3891"/>
        <w:gridCol w:w="4121"/>
      </w:tblGrid>
      <w:tr w:rsidR="008572B7" w:rsidTr="008572B7">
        <w:tc>
          <w:tcPr>
            <w:tcW w:w="3891" w:type="dxa"/>
          </w:tcPr>
          <w:p w:rsidR="008572B7" w:rsidRDefault="008572B7" w:rsidP="00E3253D">
            <w:pPr>
              <w:pStyle w:val="libFootnote0"/>
              <w:rPr>
                <w:rStyle w:val="libFootnote0Char"/>
                <w:rtl/>
              </w:rPr>
            </w:pPr>
            <w:r w:rsidRPr="0042621E">
              <w:rPr>
                <w:rStyle w:val="libFootnote0Char"/>
                <w:rtl/>
              </w:rPr>
              <w:t>(5).</w:t>
            </w:r>
            <w:r w:rsidRPr="005D642E">
              <w:rPr>
                <w:rtl/>
              </w:rPr>
              <w:t xml:space="preserve"> في « غ ، بث ، بخ » : « قال</w:t>
            </w:r>
            <w:r>
              <w:rPr>
                <w:rtl/>
              </w:rPr>
              <w:t xml:space="preserve"> ».</w:t>
            </w:r>
          </w:p>
        </w:tc>
        <w:tc>
          <w:tcPr>
            <w:tcW w:w="4121" w:type="dxa"/>
          </w:tcPr>
          <w:p w:rsidR="008572B7" w:rsidRDefault="008572B7" w:rsidP="008572B7">
            <w:pPr>
              <w:pStyle w:val="libFootnote0"/>
              <w:rPr>
                <w:rStyle w:val="libFootnote0Char"/>
                <w:rtl/>
              </w:rPr>
            </w:pPr>
            <w:r w:rsidRPr="0042621E">
              <w:rPr>
                <w:rStyle w:val="libFootnote0Char"/>
                <w:rtl/>
              </w:rPr>
              <w:t>(6).</w:t>
            </w:r>
            <w:r>
              <w:rPr>
                <w:rtl/>
              </w:rPr>
              <w:t>في«ظ،غ،بح،بخ،بف،جح</w:t>
            </w:r>
            <w:r w:rsidRPr="005D642E">
              <w:rPr>
                <w:rtl/>
              </w:rPr>
              <w:t>»</w:t>
            </w:r>
            <w:r w:rsidRPr="009E68BB">
              <w:rPr>
                <w:rStyle w:val="libFootnoteBoldChar"/>
                <w:rtl/>
              </w:rPr>
              <w:t>و</w:t>
            </w:r>
            <w:r>
              <w:rPr>
                <w:rStyle w:val="libFootnoteBoldChar"/>
                <w:rFonts w:hint="cs"/>
                <w:rtl/>
              </w:rPr>
              <w:t>الفقيه</w:t>
            </w:r>
            <w:r>
              <w:rPr>
                <w:rtl/>
              </w:rPr>
              <w:t>:«ولا</w:t>
            </w:r>
            <w:r>
              <w:rPr>
                <w:rFonts w:hint="cs"/>
                <w:rtl/>
              </w:rPr>
              <w:t xml:space="preserve"> </w:t>
            </w:r>
            <w:r w:rsidRPr="005D642E">
              <w:rPr>
                <w:rtl/>
              </w:rPr>
              <w:t>يبنى</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178 ، ح 531 ، معلّقاً عن سماعة بن مهران </w:t>
      </w:r>
      <w:r w:rsidR="008572B7">
        <w:rPr>
          <w:rFonts w:hint="cs"/>
          <w:rtl/>
        </w:rPr>
        <w:t>.</w:t>
      </w:r>
      <w:r w:rsidR="00E3253D" w:rsidRPr="002F4D34">
        <w:rPr>
          <w:rStyle w:val="libFootnoteBoldChar"/>
          <w:rtl/>
        </w:rPr>
        <w:t>الوافي</w:t>
      </w:r>
      <w:r w:rsidR="00E3253D" w:rsidRPr="005D642E">
        <w:rPr>
          <w:rtl/>
        </w:rPr>
        <w:t xml:space="preserve"> ، ج 25 ، ص 578 ، ح 24705 ؛ </w:t>
      </w:r>
      <w:r w:rsidR="008572B7">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C0221A">
        <w:rPr>
          <w:rtl/>
        </w:rPr>
        <w:t>4678</w:t>
      </w:r>
      <w:r w:rsidRPr="00246318">
        <w:rPr>
          <w:rStyle w:val="libBold2Char"/>
          <w:rtl/>
        </w:rPr>
        <w:t xml:space="preserve"> / 3.</w:t>
      </w:r>
      <w:r w:rsidRPr="005D642E">
        <w:rPr>
          <w:rtl/>
          <w:lang w:bidi="fa-IR"/>
        </w:rPr>
        <w:t xml:space="preserve"> عَلِيُّ بْنُ إِبْرَاهِيمَ ، عَنْ أَبِيهِ ، عَنِ ابْنِ أَبِي عُمَيْرٍ ، عَنْ هِشَامِ بْنِ سَالِمٍ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سَمِعْتُهُ يَقُولُ : « عَاشَتْ فَاطِمَةُ </w:t>
      </w:r>
      <w:r w:rsidRPr="00AC51C5">
        <w:rPr>
          <w:rStyle w:val="libAlaemChar"/>
          <w:rtl/>
        </w:rPr>
        <w:t>عليها‌السلام</w:t>
      </w:r>
      <w:r w:rsidRPr="005D642E">
        <w:rPr>
          <w:rtl/>
          <w:lang w:bidi="fa-IR"/>
        </w:rPr>
        <w:t xml:space="preserve"> بَعْدَ أَبِيهَا خَمْسَةً وَسَبْعِينَ يَوْماً لَمْ تُرَ كَاشِرَةً </w:t>
      </w:r>
      <w:r w:rsidRPr="007C12DB">
        <w:rPr>
          <w:rStyle w:val="libFootnotenumChar"/>
          <w:rtl/>
        </w:rPr>
        <w:t>(1)</w:t>
      </w:r>
      <w:r w:rsidRPr="005D642E">
        <w:rPr>
          <w:rtl/>
          <w:lang w:bidi="fa-IR"/>
        </w:rPr>
        <w:t xml:space="preserve"> وَلَاضَاحِكَةً ، تَأْتِي قُبُورَ الشُّهَدَاءِ فِي كُلِّ جُمْعَةٍ مَرَّتَيْنِ :</w:t>
      </w:r>
      <w:r>
        <w:rPr>
          <w:rFonts w:hint="cs"/>
          <w:rtl/>
          <w:lang w:bidi="fa-IR"/>
        </w:rPr>
        <w:t xml:space="preserve"> </w:t>
      </w:r>
      <w:r w:rsidRPr="005D642E">
        <w:rPr>
          <w:rtl/>
          <w:lang w:bidi="fa-IR"/>
        </w:rPr>
        <w:t xml:space="preserve">الْإِثْنَيْنَ ، وَالْخَمِيسَ </w:t>
      </w:r>
      <w:r w:rsidRPr="007C12DB">
        <w:rPr>
          <w:rStyle w:val="libFootnotenumChar"/>
          <w:rtl/>
        </w:rPr>
        <w:t>(2)</w:t>
      </w:r>
      <w:r w:rsidRPr="005D642E">
        <w:rPr>
          <w:rtl/>
          <w:lang w:bidi="fa-IR"/>
        </w:rPr>
        <w:t xml:space="preserve"> ، فَتَقُولُ : هَاهُنَا كَانَ رَسُولُ اللهِ </w:t>
      </w:r>
      <w:r w:rsidR="0042621E" w:rsidRPr="0042621E">
        <w:rPr>
          <w:rStyle w:val="libAlaemChar"/>
          <w:rtl/>
        </w:rPr>
        <w:t>صلى‌الله‌عليه‌وآله</w:t>
      </w:r>
      <w:r w:rsidRPr="005D642E">
        <w:rPr>
          <w:rtl/>
          <w:lang w:bidi="fa-IR"/>
        </w:rPr>
        <w:t xml:space="preserve"> ، هَاهُنَا كَانَ الْمُشْرِكُونَ</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C0221A">
        <w:rPr>
          <w:rtl/>
        </w:rPr>
        <w:t>4679</w:t>
      </w:r>
      <w:r w:rsidRPr="00246318">
        <w:rPr>
          <w:rStyle w:val="libBold2Char"/>
          <w:rtl/>
        </w:rPr>
        <w:t xml:space="preserve"> / 4.</w:t>
      </w:r>
      <w:r w:rsidRPr="005D642E">
        <w:rPr>
          <w:rtl/>
          <w:lang w:bidi="fa-IR"/>
        </w:rPr>
        <w:t xml:space="preserve"> عِدَّةٌ مِنْ أَصْحَابِنَا ، عَنْ سَهْلِ بْنِ زِيَادٍ ، عَنْ مُحَمَّدِ بْنِ سِنَانٍ ، عَنْ إِسْحَاقَ بْنِ عَمَّارٍ :</w:t>
      </w:r>
    </w:p>
    <w:p w:rsidR="00E3253D" w:rsidRPr="005D642E" w:rsidRDefault="00E3253D" w:rsidP="00E3253D">
      <w:pPr>
        <w:pStyle w:val="libNormal"/>
        <w:rPr>
          <w:rtl/>
          <w:lang w:bidi="fa-IR"/>
        </w:rPr>
      </w:pPr>
      <w:r w:rsidRPr="005D642E">
        <w:rPr>
          <w:rtl/>
          <w:lang w:bidi="fa-IR"/>
        </w:rPr>
        <w:t xml:space="preserve">عَنْ أَبِي الْحَسَنِ </w:t>
      </w:r>
      <w:r w:rsidRPr="00AC51C5">
        <w:rPr>
          <w:rStyle w:val="libAlaemChar"/>
          <w:rtl/>
        </w:rPr>
        <w:t>عليه‌السلام</w:t>
      </w:r>
      <w:r w:rsidRPr="005D642E">
        <w:rPr>
          <w:rtl/>
          <w:lang w:bidi="fa-IR"/>
        </w:rPr>
        <w:t xml:space="preserve"> ، قَالَ : قُلْتُ لَهُ : الْمُؤْمِنُ يَعْلَمُ مَنْ </w:t>
      </w:r>
      <w:r w:rsidRPr="007C12DB">
        <w:rPr>
          <w:rStyle w:val="libFootnotenumChar"/>
          <w:rtl/>
        </w:rPr>
        <w:t>(4)</w:t>
      </w:r>
      <w:r w:rsidRPr="005D642E">
        <w:rPr>
          <w:rtl/>
          <w:lang w:bidi="fa-IR"/>
        </w:rPr>
        <w:t xml:space="preserve"> يَزُورُ قَبْرَهُ</w:t>
      </w:r>
      <w:r>
        <w:rPr>
          <w:rtl/>
          <w:lang w:bidi="fa-IR"/>
        </w:rPr>
        <w:t>؟</w:t>
      </w:r>
    </w:p>
    <w:p w:rsidR="00E3253D" w:rsidRPr="005D642E" w:rsidRDefault="00E3253D" w:rsidP="00E3253D">
      <w:pPr>
        <w:pStyle w:val="libNormal"/>
        <w:rPr>
          <w:rtl/>
          <w:lang w:bidi="fa-IR"/>
        </w:rPr>
      </w:pPr>
      <w:r w:rsidRPr="005D642E">
        <w:rPr>
          <w:rtl/>
          <w:lang w:bidi="fa-IR"/>
        </w:rPr>
        <w:t xml:space="preserve">قَالَ : « نَعَمْ ، وَلَايَزَالُ </w:t>
      </w:r>
      <w:r w:rsidRPr="007C12DB">
        <w:rPr>
          <w:rStyle w:val="libFootnotenumChar"/>
          <w:rtl/>
        </w:rPr>
        <w:t>(5)</w:t>
      </w:r>
      <w:r w:rsidRPr="005D642E">
        <w:rPr>
          <w:rtl/>
          <w:lang w:bidi="fa-IR"/>
        </w:rPr>
        <w:t xml:space="preserve"> مُسْتَأْنِساً بِهِ مَا دَامَ </w:t>
      </w:r>
      <w:r w:rsidRPr="007C12DB">
        <w:rPr>
          <w:rStyle w:val="libFootnotenumChar"/>
          <w:rtl/>
        </w:rPr>
        <w:t>(6)</w:t>
      </w:r>
      <w:r w:rsidRPr="005D642E">
        <w:rPr>
          <w:rtl/>
          <w:lang w:bidi="fa-IR"/>
        </w:rPr>
        <w:t xml:space="preserve"> عِنْدَ قَبْرِهِ ، فَإِذَا قَامَ وَانْصَرَفَ مِنْ </w:t>
      </w:r>
      <w:r w:rsidRPr="007C12DB">
        <w:rPr>
          <w:rStyle w:val="libFootnotenumChar"/>
          <w:rtl/>
        </w:rPr>
        <w:t>(7)</w:t>
      </w:r>
      <w:r w:rsidRPr="005D642E">
        <w:rPr>
          <w:rtl/>
          <w:lang w:bidi="fa-IR"/>
        </w:rPr>
        <w:t xml:space="preserve"> قَبْرِهِ ، دَخَلَهُ مِنِ انْصِرَافِهِ عَنْ قَبْرِهِ وَحْشَةٌ</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C0221A">
        <w:rPr>
          <w:rtl/>
        </w:rPr>
        <w:t>4680</w:t>
      </w:r>
      <w:r w:rsidRPr="00246318">
        <w:rPr>
          <w:rStyle w:val="libBold2Char"/>
          <w:rtl/>
        </w:rPr>
        <w:t xml:space="preserve"> / 5.</w:t>
      </w:r>
      <w:r w:rsidRPr="005D642E">
        <w:rPr>
          <w:rtl/>
          <w:lang w:bidi="fa-IR"/>
        </w:rPr>
        <w:t xml:space="preserve"> عَلِيُّ بْنُ إِبْرَاهِيمَ ، عَنْ أَبِيهِ ، عَنْ عَبْدِ اللهِ بْنِ الْمُغِيرَةِ ، عَنْ عَبْدِ اللهِ بْنِ سِنَانٍ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كَيْفَ التَّسْلِيمُ عَلى أَهْلِ الْقُبُورِ</w:t>
      </w:r>
      <w:r>
        <w:rPr>
          <w:rtl/>
          <w:lang w:bidi="fa-IR"/>
        </w:rPr>
        <w:t>؟</w:t>
      </w:r>
    </w:p>
    <w:p w:rsidR="00E3253D" w:rsidRPr="005D642E" w:rsidRDefault="00E3253D" w:rsidP="00E3253D">
      <w:pPr>
        <w:pStyle w:val="libNormal"/>
        <w:rPr>
          <w:rtl/>
          <w:lang w:bidi="fa-IR"/>
        </w:rPr>
      </w:pPr>
      <w:r w:rsidRPr="005D642E">
        <w:rPr>
          <w:rtl/>
          <w:lang w:bidi="fa-IR"/>
        </w:rPr>
        <w:t xml:space="preserve">فَقَالَ : « نَعَمْ ، تَقُولُ </w:t>
      </w:r>
      <w:r w:rsidRPr="007C12DB">
        <w:rPr>
          <w:rStyle w:val="libFootnotenumChar"/>
          <w:rtl/>
        </w:rPr>
        <w:t>(9)</w:t>
      </w:r>
      <w:r w:rsidRPr="005D642E">
        <w:rPr>
          <w:rtl/>
          <w:lang w:bidi="fa-IR"/>
        </w:rPr>
        <w:t xml:space="preserve"> : السَّلَامُ عَلى أَهْلِ الدِّيَارِ مِنَ الْمُؤْمِنِينَ‌</w:t>
      </w:r>
    </w:p>
    <w:p w:rsidR="00E3253D" w:rsidRPr="005D642E" w:rsidRDefault="00E3253D" w:rsidP="00E3253D">
      <w:pPr>
        <w:pStyle w:val="libLine"/>
        <w:rPr>
          <w:rtl/>
          <w:lang w:bidi="fa-IR"/>
        </w:rPr>
      </w:pPr>
      <w:r w:rsidRPr="005D642E">
        <w:rPr>
          <w:rtl/>
          <w:lang w:bidi="fa-IR"/>
        </w:rPr>
        <w:t>__________________</w:t>
      </w:r>
    </w:p>
    <w:p w:rsidR="00E3253D" w:rsidRPr="005D642E" w:rsidRDefault="008572B7" w:rsidP="00E3253D">
      <w:pPr>
        <w:pStyle w:val="libFootnote0"/>
        <w:rPr>
          <w:rtl/>
          <w:lang w:bidi="fa-IR"/>
        </w:rPr>
      </w:pPr>
      <w:r w:rsidRPr="008572B7">
        <w:rPr>
          <w:rFonts w:hint="cs"/>
          <w:rtl/>
        </w:rPr>
        <w:t xml:space="preserve">= </w:t>
      </w:r>
      <w:r w:rsidR="00E3253D" w:rsidRPr="002F4D34">
        <w:rPr>
          <w:rStyle w:val="libFootnoteBoldChar"/>
          <w:rtl/>
        </w:rPr>
        <w:t>الوسائل</w:t>
      </w:r>
      <w:r w:rsidR="00E3253D" w:rsidRPr="005D642E">
        <w:rPr>
          <w:rtl/>
        </w:rPr>
        <w:t xml:space="preserve"> ، ج 3 ، ص 234 ، ذيل ح 3496.</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الكشر : التبسّم. راجع : </w:t>
      </w:r>
      <w:r w:rsidR="00E3253D" w:rsidRPr="002F4D34">
        <w:rPr>
          <w:rStyle w:val="libFootnoteBoldChar"/>
          <w:rtl/>
        </w:rPr>
        <w:t>الصحاح</w:t>
      </w:r>
      <w:r w:rsidR="00E3253D" w:rsidRPr="005D642E">
        <w:rPr>
          <w:rtl/>
        </w:rPr>
        <w:t xml:space="preserve"> ، ج 2 ، ص 806 ( كشر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يدلّ الحديث على استحباب الزيارة في يومي الإثنين والخميس. راجع : </w:t>
      </w:r>
      <w:r w:rsidR="00E3253D" w:rsidRPr="002F4D34">
        <w:rPr>
          <w:rStyle w:val="libFootnoteBoldChar"/>
          <w:rtl/>
        </w:rPr>
        <w:t>مرآة العقول</w:t>
      </w:r>
      <w:r w:rsidR="00E3253D" w:rsidRPr="005D642E">
        <w:rPr>
          <w:rtl/>
        </w:rPr>
        <w:t xml:space="preserve"> ، ج 14 ، ص 193.</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الكافي</w:t>
      </w:r>
      <w:r w:rsidR="00E3253D" w:rsidRPr="005D642E">
        <w:rPr>
          <w:rtl/>
        </w:rPr>
        <w:t xml:space="preserve"> ، كتاب الحجّ ، باب إتيان المشاهد وقبور الشهداء ، ح 8131 ، بسند آخر عن هشام بن سالم ، مع اختلاف يسير </w:t>
      </w:r>
      <w:r w:rsidR="008572B7">
        <w:rPr>
          <w:rFonts w:hint="cs"/>
          <w:rtl/>
        </w:rPr>
        <w:t>.</w:t>
      </w:r>
      <w:r w:rsidR="00E3253D" w:rsidRPr="002F4D34">
        <w:rPr>
          <w:rStyle w:val="libFootnoteBoldChar"/>
          <w:rtl/>
        </w:rPr>
        <w:t>الوافي</w:t>
      </w:r>
      <w:r w:rsidR="00E3253D" w:rsidRPr="005D642E">
        <w:rPr>
          <w:rtl/>
        </w:rPr>
        <w:t xml:space="preserve"> ، ج 25 ، ص 578 ، ح 24707 ؛ </w:t>
      </w:r>
      <w:r w:rsidR="00E3253D" w:rsidRPr="002F4D34">
        <w:rPr>
          <w:rStyle w:val="libFootnoteBoldChar"/>
          <w:rtl/>
        </w:rPr>
        <w:t>الوسائل</w:t>
      </w:r>
      <w:r w:rsidR="00E3253D" w:rsidRPr="005D642E">
        <w:rPr>
          <w:rtl/>
        </w:rPr>
        <w:t xml:space="preserve"> ، ج 3 ، ص 223 ، ح 3467.</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معظم النسخ التي قوبلت </w:t>
      </w:r>
      <w:r w:rsidR="000D749A" w:rsidRPr="008572B7">
        <w:rPr>
          <w:rtl/>
        </w:rPr>
        <w:t>والوافي</w:t>
      </w:r>
      <w:r w:rsidR="00E3253D" w:rsidRPr="005D642E">
        <w:rPr>
          <w:rtl/>
        </w:rPr>
        <w:t xml:space="preserve"> والوسائل. وفي « بس ، جس » والمطبوع : « بمن</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والوسائل : « لايزال » بدون الواو.</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ى ، بث ، بس ، جح ، جس ، جن » وحاشية « بح » والوسائل : « مازال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بف » : « عن</w:t>
      </w:r>
      <w:r w:rsidR="00E3253D">
        <w:rPr>
          <w:rtl/>
        </w:rPr>
        <w:t xml:space="preserve"> ».</w:t>
      </w:r>
      <w:r w:rsidR="00E3253D" w:rsidRPr="005D642E">
        <w:rPr>
          <w:rtl/>
        </w:rPr>
        <w:t xml:space="preserve"> وفي حاشية « بح » : + « عند</w:t>
      </w:r>
      <w:r w:rsidR="00E3253D">
        <w:rPr>
          <w:rtl/>
        </w:rPr>
        <w:t xml:space="preserve"> ».</w:t>
      </w:r>
    </w:p>
    <w:p w:rsidR="00E3253D" w:rsidRPr="005D642E" w:rsidRDefault="0042621E" w:rsidP="008572B7">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كامل الزيارات</w:t>
      </w:r>
      <w:r w:rsidR="00E3253D" w:rsidRPr="005D642E">
        <w:rPr>
          <w:rtl/>
        </w:rPr>
        <w:t xml:space="preserve"> ، ص 321 ، باب 105 ، ح 8 ، بسنده عن سهل بن زياد </w:t>
      </w:r>
      <w:r w:rsidR="008572B7">
        <w:rPr>
          <w:rFonts w:hint="cs"/>
          <w:rtl/>
        </w:rPr>
        <w:t>.</w:t>
      </w:r>
      <w:r w:rsidR="00E3253D" w:rsidRPr="002F4D34">
        <w:rPr>
          <w:rStyle w:val="libFootnoteBoldChar"/>
          <w:rtl/>
        </w:rPr>
        <w:t>الوافي</w:t>
      </w:r>
      <w:r w:rsidR="00E3253D" w:rsidRPr="005D642E">
        <w:rPr>
          <w:rtl/>
        </w:rPr>
        <w:t xml:space="preserve"> ، ج 25 ، ص 579 ، ح 24709 ؛ </w:t>
      </w:r>
      <w:r w:rsidR="00E3253D" w:rsidRPr="002F4D34">
        <w:rPr>
          <w:rStyle w:val="libFootnoteBoldChar"/>
          <w:rtl/>
        </w:rPr>
        <w:t>الوسائل</w:t>
      </w:r>
      <w:r w:rsidR="00E3253D" w:rsidRPr="005D642E">
        <w:rPr>
          <w:rtl/>
        </w:rPr>
        <w:t xml:space="preserve"> ، ج 3 ، ص 222 ، ح 3465.</w:t>
      </w:r>
      <w:r w:rsidR="008572B7">
        <w:rPr>
          <w:rFonts w:hint="cs"/>
          <w:rtl/>
        </w:rPr>
        <w:t xml:space="preserve">     </w:t>
      </w:r>
      <w:r w:rsidRPr="0042621E">
        <w:rPr>
          <w:rStyle w:val="libFootnote0Char"/>
          <w:rtl/>
        </w:rPr>
        <w:t>(9).</w:t>
      </w:r>
      <w:r w:rsidR="00E3253D" w:rsidRPr="005D642E">
        <w:rPr>
          <w:rtl/>
        </w:rPr>
        <w:t xml:space="preserve"> في « بث ، بخ ، جس » : « يقول</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وَالْمُسْلِمِينَ </w:t>
      </w:r>
      <w:r w:rsidRPr="007C12DB">
        <w:rPr>
          <w:rStyle w:val="libFootnotenumChar"/>
          <w:rtl/>
        </w:rPr>
        <w:t>(1)</w:t>
      </w:r>
      <w:r w:rsidRPr="005D642E">
        <w:rPr>
          <w:rtl/>
          <w:lang w:bidi="fa-IR"/>
        </w:rPr>
        <w:t xml:space="preserve"> ، أَنْتُمْ لَنَا فَرَطٌ </w:t>
      </w:r>
      <w:r w:rsidRPr="007C12DB">
        <w:rPr>
          <w:rStyle w:val="libFootnotenumChar"/>
          <w:rtl/>
        </w:rPr>
        <w:t>(2)</w:t>
      </w:r>
      <w:r w:rsidRPr="005D642E">
        <w:rPr>
          <w:rtl/>
          <w:lang w:bidi="fa-IR"/>
        </w:rPr>
        <w:t xml:space="preserve"> ، وَنَحْنُ إِنْ شَاءَ اللهُ بِكُمْ لَاحِقُونَ</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3B70F5" w:rsidRDefault="00E3253D" w:rsidP="003B70F5">
      <w:pPr>
        <w:pStyle w:val="libNormal"/>
        <w:rPr>
          <w:rtl/>
          <w:lang w:bidi="fa-IR"/>
        </w:rPr>
      </w:pPr>
      <w:r w:rsidRPr="00C0221A">
        <w:rPr>
          <w:rtl/>
        </w:rPr>
        <w:t>4681</w:t>
      </w:r>
      <w:r w:rsidRPr="00246318">
        <w:rPr>
          <w:rStyle w:val="libBold2Char"/>
          <w:rtl/>
        </w:rPr>
        <w:t xml:space="preserve"> / 6.</w:t>
      </w:r>
      <w:r w:rsidRPr="005D642E">
        <w:rPr>
          <w:rtl/>
          <w:lang w:bidi="fa-IR"/>
        </w:rPr>
        <w:t xml:space="preserve"> عِدَّةٌ مِنْ أَصْحَابِنَا ، عَنْ سَهْلِ بْنِ زِيَادٍ ؛</w:t>
      </w:r>
    </w:p>
    <w:p w:rsidR="00E3253D" w:rsidRPr="005D642E" w:rsidRDefault="001F7EDD" w:rsidP="003B70F5">
      <w:pPr>
        <w:pStyle w:val="libNormal"/>
        <w:rPr>
          <w:rtl/>
          <w:lang w:bidi="fa-IR"/>
        </w:rPr>
      </w:pPr>
      <w:r>
        <w:rPr>
          <w:rFonts w:hint="cs"/>
          <w:rtl/>
          <w:lang w:bidi="fa-IR"/>
        </w:rPr>
        <w:t xml:space="preserve">            </w:t>
      </w:r>
      <w:r w:rsidR="003B70F5">
        <w:rPr>
          <w:rFonts w:hint="cs"/>
          <w:rtl/>
          <w:lang w:bidi="fa-IR"/>
        </w:rPr>
        <w:t xml:space="preserve"> </w:t>
      </w:r>
      <w:r w:rsidR="00E3253D" w:rsidRPr="005D642E">
        <w:rPr>
          <w:rtl/>
          <w:lang w:bidi="fa-IR"/>
        </w:rPr>
        <w:t xml:space="preserve">وَمُحَمَّدٌ </w:t>
      </w:r>
      <w:r w:rsidR="00E3253D" w:rsidRPr="007C12DB">
        <w:rPr>
          <w:rStyle w:val="libFootnotenumChar"/>
          <w:rtl/>
        </w:rPr>
        <w:t>(4)</w:t>
      </w:r>
      <w:r w:rsidR="00E3253D" w:rsidRPr="005D642E">
        <w:rPr>
          <w:rtl/>
          <w:lang w:bidi="fa-IR"/>
        </w:rPr>
        <w:t xml:space="preserve"> ، عَنْ أَحْمَدَ بْنِ مُحَمَّدٍ جَمِيعاً ، عَنِ ابْنِ مَحْبُوبٍ ، عَنْ عَمْرِو بْنِ أَبِي الْمِقْدَامِ ، عَنْ أَبِيهِ </w:t>
      </w:r>
      <w:r w:rsidR="00E3253D" w:rsidRPr="007C12DB">
        <w:rPr>
          <w:rStyle w:val="libFootnotenumChar"/>
          <w:rtl/>
        </w:rPr>
        <w:t>(5)</w:t>
      </w:r>
      <w:r w:rsidR="00E3253D"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مَرَرْتُ مَعَ أَبِي جَعْفَرٍ </w:t>
      </w:r>
      <w:r w:rsidRPr="00AC51C5">
        <w:rPr>
          <w:rStyle w:val="libAlaemChar"/>
          <w:rtl/>
        </w:rPr>
        <w:t>عليه‌السلام</w:t>
      </w:r>
      <w:r w:rsidRPr="005D642E">
        <w:rPr>
          <w:rtl/>
          <w:lang w:bidi="fa-IR"/>
        </w:rPr>
        <w:t xml:space="preserve"> بِالْبَقِيعِ ، فَمَرَرْنَا بِقَبْرِ رَجُلٍ مِنْ أَهْلِ الْكُوفَةِ مِنَ الشِّيعَةِ </w:t>
      </w:r>
      <w:r w:rsidRPr="007C12DB">
        <w:rPr>
          <w:rStyle w:val="libFootnotenumChar"/>
          <w:rtl/>
        </w:rPr>
        <w:t>(6)</w:t>
      </w:r>
      <w:r w:rsidRPr="005D642E">
        <w:rPr>
          <w:rtl/>
          <w:lang w:bidi="fa-IR"/>
        </w:rPr>
        <w:t xml:space="preserve"> ، قَالَ </w:t>
      </w:r>
      <w:r w:rsidRPr="007C12DB">
        <w:rPr>
          <w:rStyle w:val="libFootnotenumChar"/>
          <w:rtl/>
        </w:rPr>
        <w:t>(7)</w:t>
      </w:r>
      <w:r w:rsidRPr="005D642E">
        <w:rPr>
          <w:rtl/>
          <w:lang w:bidi="fa-IR"/>
        </w:rPr>
        <w:t xml:space="preserve"> : فَوَقَفَ عَلَيْهِ </w:t>
      </w:r>
      <w:r w:rsidRPr="00AC51C5">
        <w:rPr>
          <w:rStyle w:val="libAlaemChar"/>
          <w:rtl/>
        </w:rPr>
        <w:t>عليه‌السلام</w:t>
      </w:r>
      <w:r w:rsidRPr="005D642E">
        <w:rPr>
          <w:rtl/>
          <w:lang w:bidi="fa-IR"/>
        </w:rPr>
        <w:t xml:space="preserve"> ، فَقَالَ </w:t>
      </w:r>
      <w:r w:rsidRPr="007C12DB">
        <w:rPr>
          <w:rStyle w:val="libFootnotenumChar"/>
          <w:rtl/>
        </w:rPr>
        <w:t>(8)</w:t>
      </w:r>
      <w:r w:rsidRPr="005D642E">
        <w:rPr>
          <w:rtl/>
          <w:lang w:bidi="fa-IR"/>
        </w:rPr>
        <w:t xml:space="preserve"> : « الل</w:t>
      </w:r>
      <w:r w:rsidR="003B70F5">
        <w:rPr>
          <w:rFonts w:hint="cs"/>
          <w:rtl/>
          <w:lang w:bidi="fa-IR"/>
        </w:rPr>
        <w:t>َّ</w:t>
      </w:r>
      <w:r w:rsidRPr="005D642E">
        <w:rPr>
          <w:rtl/>
          <w:lang w:bidi="fa-IR"/>
        </w:rPr>
        <w:t xml:space="preserve">هُمَّ ارْحَمْ غُرْبَتَهُ ، وَصِلْ وَحْدَتَهُ ، وَآنِسْ وَحْشَتَهُ </w:t>
      </w:r>
      <w:r w:rsidRPr="007C12DB">
        <w:rPr>
          <w:rStyle w:val="libFootnotenumChar"/>
          <w:rtl/>
        </w:rPr>
        <w:t>(9)</w:t>
      </w:r>
      <w:r w:rsidRPr="005D642E">
        <w:rPr>
          <w:rtl/>
          <w:lang w:bidi="fa-IR"/>
        </w:rPr>
        <w:t xml:space="preserve"> ، وَأَسْكِنْ إِلَيْهِ مِنْ رَحْمَتِكَ مَا يَسْتَغْنِي بِهَا عَنْ رَحْمَةِ مَنْ سِوَاكَ ، وَأَلْحِقْهُ بِمَنْ كَانَ‌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جميع النسخ التي </w:t>
      </w:r>
      <w:r w:rsidR="00E3253D" w:rsidRPr="003B70F5">
        <w:rPr>
          <w:rtl/>
        </w:rPr>
        <w:t xml:space="preserve">قوبلت </w:t>
      </w:r>
      <w:r w:rsidR="000D749A" w:rsidRPr="003B70F5">
        <w:rPr>
          <w:rtl/>
        </w:rPr>
        <w:t>والوافي</w:t>
      </w:r>
      <w:r w:rsidR="00E3253D" w:rsidRPr="005D642E">
        <w:rPr>
          <w:rtl/>
        </w:rPr>
        <w:t xml:space="preserve"> والوسائل و</w:t>
      </w:r>
      <w:r w:rsidR="00E3253D" w:rsidRPr="00C0221A">
        <w:rPr>
          <w:rtl/>
        </w:rPr>
        <w:t>كامل الزيارات</w:t>
      </w:r>
      <w:r w:rsidR="00E3253D" w:rsidRPr="005D642E">
        <w:rPr>
          <w:rtl/>
        </w:rPr>
        <w:t xml:space="preserve"> ، ص 321. وفي المطبوع : « المسلمين والمؤمنين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الفَرَط » ، المتقدّم والسابق ، ومنه الحديث في الدعاء للطفل الميّت : « الل</w:t>
      </w:r>
      <w:r w:rsidR="003B70F5">
        <w:rPr>
          <w:rFonts w:hint="cs"/>
          <w:rtl/>
        </w:rPr>
        <w:t>ّ</w:t>
      </w:r>
      <w:r w:rsidR="00E3253D" w:rsidRPr="005D642E">
        <w:rPr>
          <w:rtl/>
        </w:rPr>
        <w:t>همّ اجعله لنا فَرَطاً » ، أي أجراً يتقدّمنا. ا</w:t>
      </w:r>
      <w:r w:rsidR="003B70F5">
        <w:rPr>
          <w:rFonts w:hint="cs"/>
          <w:rtl/>
        </w:rPr>
        <w:t>ُ</w:t>
      </w:r>
      <w:r w:rsidR="00E3253D" w:rsidRPr="005D642E">
        <w:rPr>
          <w:rtl/>
        </w:rPr>
        <w:t xml:space="preserve">نظر : </w:t>
      </w:r>
      <w:r w:rsidR="00E3253D" w:rsidRPr="002F4D34">
        <w:rPr>
          <w:rStyle w:val="libFootnoteBoldChar"/>
          <w:rtl/>
        </w:rPr>
        <w:t>القاموس المحيط</w:t>
      </w:r>
      <w:r w:rsidR="00E3253D" w:rsidRPr="005D642E">
        <w:rPr>
          <w:rtl/>
        </w:rPr>
        <w:t xml:space="preserve"> ، ج 1 ، ص 918 ؛ </w:t>
      </w:r>
      <w:r w:rsidR="00E3253D" w:rsidRPr="002F4D34">
        <w:rPr>
          <w:rStyle w:val="libFootnoteBoldChar"/>
          <w:rtl/>
        </w:rPr>
        <w:t>النهاية</w:t>
      </w:r>
      <w:r w:rsidR="00E3253D" w:rsidRPr="005D642E">
        <w:rPr>
          <w:rtl/>
        </w:rPr>
        <w:t xml:space="preserve"> ، ج 3 ، ص 434 ( فرط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كامل الزيارات</w:t>
      </w:r>
      <w:r w:rsidR="00E3253D" w:rsidRPr="005D642E">
        <w:rPr>
          <w:rtl/>
        </w:rPr>
        <w:t xml:space="preserve"> ، ص 321 ، باب 105 ، ح 9 ، بسنده عن عبدالله بن المغيرة ، وفي ذيله بسند آخر عن عبدالله بن سنان. </w:t>
      </w:r>
      <w:r w:rsidR="00E3253D" w:rsidRPr="002F4D34">
        <w:rPr>
          <w:rStyle w:val="libFootnoteBoldChar"/>
          <w:rtl/>
        </w:rPr>
        <w:t>وفيه</w:t>
      </w:r>
      <w:r w:rsidR="00E3253D" w:rsidRPr="005D642E">
        <w:rPr>
          <w:rtl/>
        </w:rPr>
        <w:t xml:space="preserve"> ، ص 322 ، نفس الباب ، ح 15 ؛ وصدر ح 17 ، بسند آخر. </w:t>
      </w:r>
      <w:r w:rsidR="00E3253D" w:rsidRPr="002F4D34">
        <w:rPr>
          <w:rStyle w:val="libFootnoteBoldChar"/>
          <w:rtl/>
        </w:rPr>
        <w:t>وفيه</w:t>
      </w:r>
      <w:r w:rsidR="00E3253D" w:rsidRPr="005D642E">
        <w:rPr>
          <w:rtl/>
        </w:rPr>
        <w:t xml:space="preserve"> ، ص 323 ، نفس الباب ، ح 16 ، بسند آخر عن أميرالمؤمنين </w:t>
      </w:r>
      <w:r w:rsidR="00E3253D" w:rsidRPr="003B70F5">
        <w:rPr>
          <w:rStyle w:val="libFootnoteAlaemChar"/>
          <w:rtl/>
        </w:rPr>
        <w:t>عليه‌السلام</w:t>
      </w:r>
      <w:r w:rsidR="00E3253D" w:rsidRPr="005D642E">
        <w:rPr>
          <w:rtl/>
        </w:rPr>
        <w:t xml:space="preserve"> ، مع زيادة ، وفي كلّ المصادر مع اختلاف يسير </w:t>
      </w:r>
      <w:r w:rsidR="003B70F5">
        <w:rPr>
          <w:rFonts w:hint="cs"/>
          <w:rtl/>
        </w:rPr>
        <w:t>.</w:t>
      </w:r>
      <w:r w:rsidR="00E3253D" w:rsidRPr="002F4D34">
        <w:rPr>
          <w:rStyle w:val="libFootnoteBoldChar"/>
          <w:rtl/>
        </w:rPr>
        <w:t>الوافي</w:t>
      </w:r>
      <w:r w:rsidR="00E3253D" w:rsidRPr="005D642E">
        <w:rPr>
          <w:rtl/>
        </w:rPr>
        <w:t xml:space="preserve"> ، ج 25 ، ص 579 ، ح 24710 ؛ </w:t>
      </w:r>
      <w:r w:rsidR="00E3253D" w:rsidRPr="002F4D34">
        <w:rPr>
          <w:rStyle w:val="libFootnoteBoldChar"/>
          <w:rtl/>
        </w:rPr>
        <w:t>الوسائل</w:t>
      </w:r>
      <w:r w:rsidR="00E3253D" w:rsidRPr="005D642E">
        <w:rPr>
          <w:rtl/>
        </w:rPr>
        <w:t xml:space="preserve"> ، ج 3 ، ص 225 ، ح 3470.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النسخ. وفي المطبوع والوسائل : + « بن يحيى</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 بخ ، بف</w:t>
      </w:r>
      <w:r w:rsidR="00E3253D">
        <w:rPr>
          <w:rtl/>
        </w:rPr>
        <w:t xml:space="preserve"> ».</w:t>
      </w:r>
      <w:r w:rsidR="00E3253D" w:rsidRPr="005D642E">
        <w:rPr>
          <w:rtl/>
        </w:rPr>
        <w:t xml:space="preserve"> وفي « ظ ، ى ، بث ، بح ، بس ، جح ، جس ، جن » والمطبوع والوسائل :</w:t>
      </w:r>
      <w:r w:rsidR="00E3253D">
        <w:rPr>
          <w:rtl/>
        </w:rPr>
        <w:t xml:space="preserve"> </w:t>
      </w:r>
      <w:r w:rsidR="007642BC">
        <w:rPr>
          <w:rtl/>
        </w:rPr>
        <w:t>-</w:t>
      </w:r>
      <w:r w:rsidR="00E3253D">
        <w:rPr>
          <w:rtl/>
        </w:rPr>
        <w:t xml:space="preserve"> </w:t>
      </w:r>
      <w:r w:rsidR="00E3253D" w:rsidRPr="005D642E">
        <w:rPr>
          <w:rtl/>
        </w:rPr>
        <w:t>« عن أبيه</w:t>
      </w:r>
      <w:r w:rsidR="00E3253D">
        <w:rPr>
          <w:rtl/>
        </w:rPr>
        <w:t xml:space="preserve"> ».</w:t>
      </w:r>
    </w:p>
    <w:p w:rsidR="00E3253D" w:rsidRPr="005D642E" w:rsidRDefault="00E3253D" w:rsidP="00E3253D">
      <w:pPr>
        <w:pStyle w:val="libFootnote0"/>
        <w:rPr>
          <w:rtl/>
          <w:lang w:bidi="fa-IR"/>
        </w:rPr>
      </w:pPr>
      <w:r w:rsidRPr="00B60612">
        <w:rPr>
          <w:rtl/>
        </w:rPr>
        <w:t xml:space="preserve">والظاهر أنّ الصواب ما أثبتناه ؛ فقد ورد الخبر </w:t>
      </w:r>
      <w:r w:rsidR="007642BC" w:rsidRPr="00B60612">
        <w:rPr>
          <w:rtl/>
        </w:rPr>
        <w:t>-</w:t>
      </w:r>
      <w:r w:rsidRPr="00B60612">
        <w:rPr>
          <w:rtl/>
        </w:rPr>
        <w:t xml:space="preserve"> مع زيادة يسيرة </w:t>
      </w:r>
      <w:r w:rsidR="007642BC" w:rsidRPr="00B60612">
        <w:rPr>
          <w:rtl/>
        </w:rPr>
        <w:t>-</w:t>
      </w:r>
      <w:r w:rsidRPr="00B60612">
        <w:rPr>
          <w:rtl/>
        </w:rPr>
        <w:t xml:space="preserve"> في </w:t>
      </w:r>
      <w:r w:rsidRPr="002F4D34">
        <w:rPr>
          <w:rStyle w:val="libFootnoteBoldChar"/>
          <w:rtl/>
        </w:rPr>
        <w:t>كامل الزيارات</w:t>
      </w:r>
      <w:r w:rsidRPr="00B60612">
        <w:rPr>
          <w:rtl/>
        </w:rPr>
        <w:t xml:space="preserve"> ، ص 321 ، ح 10 ؛ </w:t>
      </w:r>
      <w:r w:rsidRPr="003B70F5">
        <w:rPr>
          <w:rStyle w:val="libFootnoteBoldChar"/>
          <w:rtl/>
        </w:rPr>
        <w:t>وال</w:t>
      </w:r>
      <w:r w:rsidRPr="002F4D34">
        <w:rPr>
          <w:rStyle w:val="libFootnoteBoldChar"/>
          <w:rtl/>
        </w:rPr>
        <w:t>مزار</w:t>
      </w:r>
      <w:r w:rsidRPr="00B60612">
        <w:rPr>
          <w:rtl/>
        </w:rPr>
        <w:t xml:space="preserve"> للمفيد ، ص 187 ، ح 1 ؛ </w:t>
      </w:r>
      <w:r w:rsidR="00B60612" w:rsidRPr="00B60612">
        <w:rPr>
          <w:rStyle w:val="libFootnoteBoldChar"/>
          <w:rtl/>
        </w:rPr>
        <w:t>والتهذيب</w:t>
      </w:r>
      <w:r w:rsidRPr="00B60612">
        <w:rPr>
          <w:rtl/>
        </w:rPr>
        <w:t xml:space="preserve"> ، ج 6 ، ص 105 ، ح 183 ، عن الحسن بن محبوب ، عن عمرو بن أبي المقدام ، عن أبيه ، قال : مررت مع أبي جعفر </w:t>
      </w:r>
      <w:r w:rsidRPr="003B70F5">
        <w:rPr>
          <w:rStyle w:val="libFootnoteAlaemChar"/>
          <w:rtl/>
        </w:rPr>
        <w:t>عليه‌السلام</w:t>
      </w:r>
      <w:r w:rsidRPr="00B60612">
        <w:rPr>
          <w:rtl/>
        </w:rPr>
        <w:t xml:space="preserve"> بالبقيع.</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حاشية « جح ، جن » : + « فقلت : جعلت فداك ، هذا قبر رجل من الشيعة</w:t>
      </w:r>
      <w:r w:rsidR="00E3253D">
        <w:rPr>
          <w:rtl/>
        </w:rPr>
        <w:t xml:space="preserve"> ».</w:t>
      </w:r>
      <w:r w:rsidR="00E3253D" w:rsidRPr="005D642E">
        <w:rPr>
          <w:rtl/>
        </w:rPr>
        <w:t xml:space="preserve"> وفي التهذيب وكامل الزيارات‌والمزار : + « فقلت لأبي جعفر </w:t>
      </w:r>
      <w:r w:rsidR="00E3253D" w:rsidRPr="003B70F5">
        <w:rPr>
          <w:rStyle w:val="libFootnoteAlaemChar"/>
          <w:rtl/>
        </w:rPr>
        <w:t>عليه‌السلام</w:t>
      </w:r>
      <w:r w:rsidR="00E3253D" w:rsidRPr="005D642E">
        <w:rPr>
          <w:rtl/>
        </w:rPr>
        <w:t xml:space="preserve"> : جعلت فداك ، هذا قبر رجل من الشيعة</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بف » وكامل الزيارات والمزار : « وقال</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الوسائل :</w:t>
      </w:r>
      <w:r w:rsidR="00E3253D">
        <w:rPr>
          <w:rtl/>
        </w:rPr>
        <w:t xml:space="preserve"> </w:t>
      </w:r>
      <w:r w:rsidR="007642BC">
        <w:rPr>
          <w:rtl/>
        </w:rPr>
        <w:t>-</w:t>
      </w:r>
      <w:r w:rsidR="00E3253D">
        <w:rPr>
          <w:rtl/>
        </w:rPr>
        <w:t xml:space="preserve"> </w:t>
      </w:r>
      <w:r w:rsidR="00E3253D" w:rsidRPr="005D642E">
        <w:rPr>
          <w:rtl/>
        </w:rPr>
        <w:t>« وآنس وحشته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3B70F5" w:rsidP="00E3253D">
      <w:pPr>
        <w:pStyle w:val="libNormal0"/>
        <w:rPr>
          <w:rtl/>
          <w:lang w:bidi="fa-IR"/>
        </w:rPr>
      </w:pPr>
      <w:r>
        <w:rPr>
          <w:rtl/>
          <w:lang w:bidi="fa-IR"/>
        </w:rPr>
        <w:t>يَتَوَل</w:t>
      </w:r>
      <w:r>
        <w:rPr>
          <w:rFonts w:hint="cs"/>
          <w:rtl/>
          <w:lang w:bidi="fa-IR"/>
        </w:rPr>
        <w:t>َّ</w:t>
      </w:r>
      <w:r>
        <w:rPr>
          <w:rtl/>
          <w:lang w:bidi="fa-IR"/>
        </w:rPr>
        <w:t>ا</w:t>
      </w:r>
      <w:r w:rsidR="00E3253D" w:rsidRPr="005D642E">
        <w:rPr>
          <w:rtl/>
          <w:lang w:bidi="fa-IR"/>
        </w:rPr>
        <w:t xml:space="preserve">هُ </w:t>
      </w:r>
      <w:r w:rsidR="00E3253D" w:rsidRPr="007C12DB">
        <w:rPr>
          <w:rStyle w:val="libFootnotenumChar"/>
          <w:rtl/>
        </w:rPr>
        <w:t>(1)</w:t>
      </w:r>
      <w:r w:rsidR="00E3253D">
        <w:rPr>
          <w:rtl/>
          <w:lang w:bidi="fa-IR"/>
        </w:rPr>
        <w:t xml:space="preserve"> ».</w:t>
      </w:r>
      <w:r w:rsidR="00E3253D" w:rsidRPr="005D642E">
        <w:rPr>
          <w:rtl/>
          <w:lang w:bidi="fa-IR"/>
        </w:rPr>
        <w:t xml:space="preserve"> </w:t>
      </w:r>
      <w:r w:rsidR="00E3253D" w:rsidRPr="007C12DB">
        <w:rPr>
          <w:rStyle w:val="libFootnotenumChar"/>
          <w:rtl/>
        </w:rPr>
        <w:t>(2)</w:t>
      </w:r>
      <w:r w:rsidR="00E3253D" w:rsidRPr="005D642E">
        <w:rPr>
          <w:rtl/>
          <w:lang w:bidi="fa-IR"/>
        </w:rPr>
        <w:t xml:space="preserve"> ‌</w:t>
      </w:r>
    </w:p>
    <w:p w:rsidR="003B70F5" w:rsidRDefault="00E3253D" w:rsidP="003B70F5">
      <w:pPr>
        <w:pStyle w:val="libNormal"/>
        <w:rPr>
          <w:rtl/>
          <w:lang w:bidi="fa-IR"/>
        </w:rPr>
      </w:pPr>
      <w:r w:rsidRPr="00C0221A">
        <w:rPr>
          <w:rtl/>
        </w:rPr>
        <w:t>4682</w:t>
      </w:r>
      <w:r w:rsidRPr="00246318">
        <w:rPr>
          <w:rStyle w:val="libBold2Char"/>
          <w:rtl/>
        </w:rPr>
        <w:t xml:space="preserve"> / 7.</w:t>
      </w:r>
      <w:r w:rsidRPr="005D642E">
        <w:rPr>
          <w:rtl/>
          <w:lang w:bidi="fa-IR"/>
        </w:rPr>
        <w:t xml:space="preserve"> أَبُو عَلِيٍّ الْأَشْعَرِيُّ ، عَنْ مُحَمَّدِ بْنِ عَبْدِ الْجَبَّارِ ؛</w:t>
      </w:r>
    </w:p>
    <w:p w:rsidR="00E3253D" w:rsidRPr="005D642E" w:rsidRDefault="003B70F5" w:rsidP="003B70F5">
      <w:pPr>
        <w:pStyle w:val="libNormal"/>
        <w:rPr>
          <w:rtl/>
          <w:lang w:bidi="fa-IR"/>
        </w:rPr>
      </w:pPr>
      <w:r>
        <w:rPr>
          <w:rFonts w:hint="cs"/>
          <w:rtl/>
          <w:lang w:bidi="fa-IR"/>
        </w:rPr>
        <w:t xml:space="preserve">              </w:t>
      </w:r>
      <w:r w:rsidR="00E3253D" w:rsidRPr="005D642E">
        <w:rPr>
          <w:rtl/>
          <w:lang w:bidi="fa-IR"/>
        </w:rPr>
        <w:t xml:space="preserve">وَمُحَمَّدُ بْنُ إِسْمَاعِيلَ ، عَنِ الْفَضْلِ بْنِ شَاذَانَ جَمِيعاً ، عَنْ صَفْوَانَ بْنِ يَحْيى ، عَنْ مَنْصُورِ بْنِ حَازِمٍ </w:t>
      </w:r>
      <w:r w:rsidR="00E3253D" w:rsidRPr="007C12DB">
        <w:rPr>
          <w:rStyle w:val="libFootnotenumChar"/>
          <w:rtl/>
        </w:rPr>
        <w:t>(3)</w:t>
      </w:r>
      <w:r w:rsidR="00E3253D"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قَالَ : تَقُولُ </w:t>
      </w:r>
      <w:r w:rsidRPr="007C12DB">
        <w:rPr>
          <w:rStyle w:val="libFootnotenumChar"/>
          <w:rtl/>
        </w:rPr>
        <w:t>(4)</w:t>
      </w:r>
      <w:r w:rsidRPr="005D642E">
        <w:rPr>
          <w:rtl/>
          <w:lang w:bidi="fa-IR"/>
        </w:rPr>
        <w:t xml:space="preserve"> : السَّلَامُ عَلَيْكُمْ مِنْ </w:t>
      </w:r>
      <w:r w:rsidRPr="007C12DB">
        <w:rPr>
          <w:rStyle w:val="libFootnotenumChar"/>
          <w:rtl/>
        </w:rPr>
        <w:t>(5)</w:t>
      </w:r>
      <w:r w:rsidRPr="005D642E">
        <w:rPr>
          <w:rtl/>
          <w:lang w:bidi="fa-IR"/>
        </w:rPr>
        <w:t xml:space="preserve"> دِيَارِ قَوْمٍ مُؤْمِنِينَ ، وَإِنَّا إِنْ شَاءَ اللهُ بِكُمْ لَاحِقُونَ.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C0221A">
        <w:rPr>
          <w:rtl/>
        </w:rPr>
        <w:t>4683</w:t>
      </w:r>
      <w:r w:rsidRPr="00246318">
        <w:rPr>
          <w:rStyle w:val="libBold2Char"/>
          <w:rtl/>
        </w:rPr>
        <w:t xml:space="preserve"> / 8.</w:t>
      </w:r>
      <w:r w:rsidRPr="005D642E">
        <w:rPr>
          <w:rtl/>
          <w:lang w:bidi="fa-IR"/>
        </w:rPr>
        <w:t xml:space="preserve"> مُحَمَّدُ بْنُ يَحْيى ، عَنْ أَحْمَدَ بْنِ مُحَمَّدِ بْنِ عِيسى ، عَنِ الْحُسَيْنِ بْنِ سَعِيدٍ ، عَنِ النَّضْرِ بْنِ سُوَيْدٍ ، عَنِ الْقَاسِمِ بْنِ سُلَيْمَانَ ، عَنْ جَرَّاحٍ الْمَدَائِنِيِّ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 كَيْفَ التَّسْلِيمُ عَلى أَهْلِ الْقُبُورِ</w:t>
      </w:r>
      <w:r>
        <w:rPr>
          <w:rtl/>
          <w:lang w:bidi="fa-IR"/>
        </w:rPr>
        <w:t>؟</w:t>
      </w:r>
    </w:p>
    <w:p w:rsidR="00E3253D" w:rsidRPr="005D642E" w:rsidRDefault="00E3253D" w:rsidP="00E3253D">
      <w:pPr>
        <w:pStyle w:val="libNormal"/>
        <w:rPr>
          <w:rtl/>
          <w:lang w:bidi="fa-IR"/>
        </w:rPr>
      </w:pPr>
      <w:r w:rsidRPr="005D642E">
        <w:rPr>
          <w:rtl/>
          <w:lang w:bidi="fa-IR"/>
        </w:rPr>
        <w:t xml:space="preserve">قَالَ : « تَقُولُ </w:t>
      </w:r>
      <w:r w:rsidRPr="007C12DB">
        <w:rPr>
          <w:rStyle w:val="libFootnotenumChar"/>
          <w:rtl/>
        </w:rPr>
        <w:t>(7)</w:t>
      </w:r>
      <w:r w:rsidRPr="005D642E">
        <w:rPr>
          <w:rtl/>
          <w:lang w:bidi="fa-IR"/>
        </w:rPr>
        <w:t xml:space="preserve"> : السَّلَامُ عَلى أَهْلِ </w:t>
      </w:r>
      <w:r w:rsidRPr="007C12DB">
        <w:rPr>
          <w:rStyle w:val="libFootnotenumChar"/>
          <w:rtl/>
        </w:rPr>
        <w:t>(8)</w:t>
      </w:r>
      <w:r w:rsidRPr="005D642E">
        <w:rPr>
          <w:rtl/>
          <w:lang w:bidi="fa-IR"/>
        </w:rPr>
        <w:t xml:space="preserve"> الدِّيَارِ مِنَ الْمُسْلِمِينَ‌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يتولّى</w:t>
      </w:r>
      <w:r w:rsidR="00E3253D">
        <w:rPr>
          <w:rtl/>
        </w:rPr>
        <w:t xml:space="preserve"> ».</w:t>
      </w:r>
      <w:r w:rsidR="003B70F5">
        <w:rPr>
          <w:rtl/>
        </w:rPr>
        <w:t xml:space="preserve"> وقال العل</w:t>
      </w:r>
      <w:r w:rsidR="003B70F5">
        <w:rPr>
          <w:rFonts w:hint="cs"/>
          <w:rtl/>
        </w:rPr>
        <w:t>ّ</w:t>
      </w:r>
      <w:r w:rsidR="003B70F5">
        <w:rPr>
          <w:rtl/>
        </w:rPr>
        <w:t>ا</w:t>
      </w:r>
      <w:r w:rsidR="00E3253D" w:rsidRPr="005D642E">
        <w:rPr>
          <w:rtl/>
        </w:rPr>
        <w:t xml:space="preserve">مة المجلسي </w:t>
      </w:r>
      <w:r w:rsidR="00E3253D" w:rsidRPr="003B70F5">
        <w:rPr>
          <w:rStyle w:val="libFootnoteAlaemChar"/>
          <w:rtl/>
        </w:rPr>
        <w:t>رحمه‌الله</w:t>
      </w:r>
      <w:r w:rsidR="00E3253D" w:rsidRPr="005D642E">
        <w:rPr>
          <w:rtl/>
        </w:rPr>
        <w:t xml:space="preserve"> : « يدلّ على استحباب هذا الدعاء ، وجواز الاكتفاء به بدون سورة القدر وغيرها ، ولو قائماً ، وإن كان الجلوس أفضل ، ولعلّه فعله </w:t>
      </w:r>
      <w:r w:rsidR="00E3253D" w:rsidRPr="003B70F5">
        <w:rPr>
          <w:rStyle w:val="libFootnoteAlaemChar"/>
          <w:rtl/>
        </w:rPr>
        <w:t>عليه‌السلام</w:t>
      </w:r>
      <w:r w:rsidR="00E3253D" w:rsidRPr="005D642E">
        <w:rPr>
          <w:rtl/>
        </w:rPr>
        <w:t xml:space="preserve"> لبيان الجواز ، أو لعذر. وفي بعض الكتب في تتمّة هذا الخبر : أنّه </w:t>
      </w:r>
      <w:r w:rsidR="00E3253D" w:rsidRPr="003B70F5">
        <w:rPr>
          <w:rStyle w:val="libFootnoteAlaemChar"/>
          <w:rtl/>
        </w:rPr>
        <w:t>عليه‌السلام</w:t>
      </w:r>
      <w:r w:rsidR="00E3253D" w:rsidRPr="005D642E">
        <w:rPr>
          <w:rtl/>
        </w:rPr>
        <w:t xml:space="preserve"> قرأ القدر سبعاً ، كما في </w:t>
      </w:r>
      <w:r w:rsidR="00E3253D" w:rsidRPr="002F4D34">
        <w:rPr>
          <w:rStyle w:val="libFootnoteBoldChar"/>
          <w:rtl/>
        </w:rPr>
        <w:t>الذكرى</w:t>
      </w:r>
      <w:r w:rsidR="00E3253D">
        <w:rPr>
          <w:rtl/>
        </w:rPr>
        <w:t xml:space="preserve"> ».</w:t>
      </w:r>
      <w:r w:rsidR="00E3253D" w:rsidRPr="005D642E">
        <w:rPr>
          <w:rtl/>
        </w:rPr>
        <w:t xml:space="preserve"> </w:t>
      </w:r>
      <w:r w:rsidR="00E3253D" w:rsidRPr="002F4D34">
        <w:rPr>
          <w:rStyle w:val="libFootnoteBoldChar"/>
          <w:rtl/>
        </w:rPr>
        <w:t>مرآة العقول</w:t>
      </w:r>
      <w:r w:rsidR="00E3253D" w:rsidRPr="005D642E">
        <w:rPr>
          <w:rtl/>
        </w:rPr>
        <w:t xml:space="preserve"> ، ج 14 ، ص 194. وانظر : </w:t>
      </w:r>
      <w:r w:rsidR="00E3253D" w:rsidRPr="002F4D34">
        <w:rPr>
          <w:rStyle w:val="libFootnoteBoldChar"/>
          <w:rtl/>
        </w:rPr>
        <w:t>الذكرى</w:t>
      </w:r>
      <w:r w:rsidR="00E3253D" w:rsidRPr="005D642E">
        <w:rPr>
          <w:rtl/>
        </w:rPr>
        <w:t xml:space="preserve"> ، ج 2 ، ص 63.</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التهذيب</w:t>
      </w:r>
      <w:r w:rsidR="00E3253D" w:rsidRPr="005D642E">
        <w:rPr>
          <w:rtl/>
        </w:rPr>
        <w:t xml:space="preserve"> ، ج 6 ، ص 105 ، ح 183 ؛ </w:t>
      </w:r>
      <w:r w:rsidR="00E3253D" w:rsidRPr="002F4D34">
        <w:rPr>
          <w:rStyle w:val="libFootnoteBoldChar"/>
          <w:rtl/>
        </w:rPr>
        <w:t>كامل الزيارات</w:t>
      </w:r>
      <w:r w:rsidR="00E3253D" w:rsidRPr="005D642E">
        <w:rPr>
          <w:rtl/>
        </w:rPr>
        <w:t xml:space="preserve"> ، ص 321 ، باب 105 ، ح 10 ؛ </w:t>
      </w:r>
      <w:r w:rsidR="00E3253D" w:rsidRPr="00821D88">
        <w:rPr>
          <w:rStyle w:val="libFootnoteBoldChar"/>
          <w:rtl/>
        </w:rPr>
        <w:t>كتاب ا</w:t>
      </w:r>
      <w:r w:rsidR="00E3253D" w:rsidRPr="002F4D34">
        <w:rPr>
          <w:rStyle w:val="libFootnoteBoldChar"/>
          <w:rtl/>
        </w:rPr>
        <w:t>لمزار</w:t>
      </w:r>
      <w:r w:rsidR="00E3253D" w:rsidRPr="005D642E">
        <w:rPr>
          <w:rtl/>
        </w:rPr>
        <w:t xml:space="preserve"> ، ص 218 ، ح 1 ، مع زيادة في آخره ، وفي كلّها بسند آخر عن الحسن بن محبوب مع اختلاف يسير. </w:t>
      </w:r>
      <w:r w:rsidR="00E3253D" w:rsidRPr="002F4D34">
        <w:rPr>
          <w:rStyle w:val="libFootnoteBoldChar"/>
          <w:rtl/>
        </w:rPr>
        <w:t>الكافي</w:t>
      </w:r>
      <w:r w:rsidR="00E3253D" w:rsidRPr="005D642E">
        <w:rPr>
          <w:rtl/>
        </w:rPr>
        <w:t xml:space="preserve"> ، كتاب الجنائز ، باب تربيع القبر ورشّه بالماء</w:t>
      </w:r>
      <w:r w:rsidR="00E3253D">
        <w:rPr>
          <w:rtl/>
        </w:rPr>
        <w:t xml:space="preserve"> ..</w:t>
      </w:r>
      <w:r w:rsidR="00E3253D" w:rsidRPr="005D642E">
        <w:rPr>
          <w:rtl/>
        </w:rPr>
        <w:t xml:space="preserve">. ، ح 4576 ، بسند آخر ، مع اختلاف يسير </w:t>
      </w:r>
      <w:r w:rsidR="00821D88">
        <w:rPr>
          <w:rFonts w:hint="cs"/>
          <w:rtl/>
        </w:rPr>
        <w:t>.</w:t>
      </w:r>
      <w:r w:rsidR="00E3253D" w:rsidRPr="002F4D34">
        <w:rPr>
          <w:rStyle w:val="libFootnoteBoldChar"/>
          <w:rtl/>
        </w:rPr>
        <w:t>الوافي</w:t>
      </w:r>
      <w:r w:rsidR="00E3253D" w:rsidRPr="005D642E">
        <w:rPr>
          <w:rtl/>
        </w:rPr>
        <w:t xml:space="preserve"> ، ج 25 ، ص 580 ، ح 24714 ؛ </w:t>
      </w:r>
      <w:r w:rsidR="00E3253D" w:rsidRPr="002F4D34">
        <w:rPr>
          <w:rStyle w:val="libFootnoteBoldChar"/>
          <w:rtl/>
        </w:rPr>
        <w:t>الوسائل</w:t>
      </w:r>
      <w:r w:rsidR="00E3253D" w:rsidRPr="005D642E">
        <w:rPr>
          <w:rtl/>
        </w:rPr>
        <w:t xml:space="preserve"> ، ج 3 ، ص 199 ، ح 3400.</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حاشية « بح ، جن » : + « قال : سألته : كيف التسليم على أهل القبور</w:t>
      </w:r>
      <w:r w:rsidR="00E3253D">
        <w:rPr>
          <w:rtl/>
        </w:rPr>
        <w:t>؟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بخ ، جس » : « 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من » لبيان ضمير الخطاب ، أو للابتلاء ، أي ا</w:t>
      </w:r>
      <w:r w:rsidR="00821D88">
        <w:rPr>
          <w:rFonts w:hint="cs"/>
          <w:rtl/>
        </w:rPr>
        <w:t>ُ</w:t>
      </w:r>
      <w:r w:rsidR="00E3253D" w:rsidRPr="005D642E">
        <w:rPr>
          <w:rtl/>
        </w:rPr>
        <w:t xml:space="preserve">بلّغ إليكم سلام أهل الديار من المؤمنين. راجع : </w:t>
      </w:r>
      <w:r w:rsidR="00E3253D" w:rsidRPr="002F4D34">
        <w:rPr>
          <w:rStyle w:val="libFootnoteBoldChar"/>
          <w:rtl/>
        </w:rPr>
        <w:t>مرآة العقول</w:t>
      </w:r>
      <w:r w:rsidR="00E3253D" w:rsidRPr="005D642E">
        <w:rPr>
          <w:rtl/>
        </w:rPr>
        <w:t xml:space="preserve"> ، ج 14 ، ص 194.</w:t>
      </w:r>
    </w:p>
    <w:p w:rsidR="00E3253D" w:rsidRPr="005D642E" w:rsidRDefault="0042621E" w:rsidP="00821D88">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كامل الزيارات</w:t>
      </w:r>
      <w:r w:rsidR="00E3253D" w:rsidRPr="005D642E">
        <w:rPr>
          <w:rtl/>
        </w:rPr>
        <w:t xml:space="preserve"> ، ص 322 ، باب 105 ، ح 13 ، بسند آخر عن أبي جعفر </w:t>
      </w:r>
      <w:r w:rsidR="00E3253D" w:rsidRPr="00821D88">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1 ، ص 179 ، ح 534 ، مرسلاً عن رسول الله </w:t>
      </w:r>
      <w:r w:rsidRPr="00821D88">
        <w:rPr>
          <w:rStyle w:val="libFootnoteAlaemChar"/>
          <w:rtl/>
        </w:rPr>
        <w:t>صلى‌الله‌عليه‌وآله</w:t>
      </w:r>
      <w:r w:rsidR="00E3253D" w:rsidRPr="005D642E">
        <w:rPr>
          <w:rtl/>
        </w:rPr>
        <w:t xml:space="preserve"> ، وفيهما مع اختلاف يسير </w:t>
      </w:r>
      <w:r w:rsidR="00821D88">
        <w:rPr>
          <w:rFonts w:hint="cs"/>
          <w:rtl/>
        </w:rPr>
        <w:t>.</w:t>
      </w:r>
      <w:r w:rsidR="00E3253D" w:rsidRPr="002F4D34">
        <w:rPr>
          <w:rStyle w:val="libFootnoteBoldChar"/>
          <w:rtl/>
        </w:rPr>
        <w:t>الوافي</w:t>
      </w:r>
      <w:r w:rsidR="00E3253D" w:rsidRPr="005D642E">
        <w:rPr>
          <w:rtl/>
        </w:rPr>
        <w:t xml:space="preserve"> ، ج 25 ، ص 579 ، ح 24711 ؛ </w:t>
      </w:r>
      <w:r w:rsidR="00E3253D" w:rsidRPr="002F4D34">
        <w:rPr>
          <w:rStyle w:val="libFootnoteBoldChar"/>
          <w:rtl/>
        </w:rPr>
        <w:t>الوسائل</w:t>
      </w:r>
      <w:r w:rsidR="00E3253D" w:rsidRPr="005D642E">
        <w:rPr>
          <w:rtl/>
        </w:rPr>
        <w:t xml:space="preserve"> ، ج 3 ، ص 225 ، ح 3471.</w:t>
      </w:r>
      <w:r w:rsidR="00821D88">
        <w:rPr>
          <w:rFonts w:hint="cs"/>
          <w:rtl/>
        </w:rPr>
        <w:t xml:space="preserve">                </w:t>
      </w:r>
      <w:r w:rsidRPr="0042621E">
        <w:rPr>
          <w:rStyle w:val="libFootnote0Char"/>
          <w:rtl/>
        </w:rPr>
        <w:t>(7).</w:t>
      </w:r>
      <w:r w:rsidR="00E3253D" w:rsidRPr="005D642E">
        <w:rPr>
          <w:rtl/>
        </w:rPr>
        <w:t xml:space="preserve"> في « بخ ، جس » : « 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 « أصحاب</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وَالْمُؤْمِنِينَ </w:t>
      </w:r>
      <w:r w:rsidRPr="007C12DB">
        <w:rPr>
          <w:rStyle w:val="libFootnotenumChar"/>
          <w:rtl/>
        </w:rPr>
        <w:t>(1)</w:t>
      </w:r>
      <w:r w:rsidRPr="005D642E">
        <w:rPr>
          <w:rtl/>
          <w:lang w:bidi="fa-IR"/>
        </w:rPr>
        <w:t xml:space="preserve"> ، رَحِمَ اللهُ الْمُسْتَقْدِمِينَ </w:t>
      </w:r>
      <w:r w:rsidRPr="007C12DB">
        <w:rPr>
          <w:rStyle w:val="libFootnotenumChar"/>
          <w:rtl/>
        </w:rPr>
        <w:t>(2)</w:t>
      </w:r>
      <w:r w:rsidRPr="005D642E">
        <w:rPr>
          <w:rtl/>
          <w:lang w:bidi="fa-IR"/>
        </w:rPr>
        <w:t xml:space="preserve"> مِنَّا </w:t>
      </w:r>
      <w:r w:rsidRPr="007C12DB">
        <w:rPr>
          <w:rStyle w:val="libFootnotenumChar"/>
          <w:rtl/>
        </w:rPr>
        <w:t>(3)</w:t>
      </w:r>
      <w:r w:rsidRPr="005D642E">
        <w:rPr>
          <w:rtl/>
          <w:lang w:bidi="fa-IR"/>
        </w:rPr>
        <w:t xml:space="preserve"> وَالْمُسْتَأْخِرِينَ </w:t>
      </w:r>
      <w:r w:rsidRPr="007C12DB">
        <w:rPr>
          <w:rStyle w:val="libFootnotenumChar"/>
          <w:rtl/>
        </w:rPr>
        <w:t>(4)</w:t>
      </w:r>
      <w:r w:rsidRPr="005D642E">
        <w:rPr>
          <w:rtl/>
          <w:lang w:bidi="fa-IR"/>
        </w:rPr>
        <w:t xml:space="preserve"> ، وَإِنَّا إِنْ شَاءَ اللهُ بِكُمْ لَاحِقُونَ</w:t>
      </w:r>
      <w:r>
        <w:rPr>
          <w:rtl/>
          <w:lang w:bidi="fa-IR"/>
        </w:rPr>
        <w:t>».</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C0221A">
        <w:rPr>
          <w:rtl/>
        </w:rPr>
        <w:t>4684</w:t>
      </w:r>
      <w:r w:rsidRPr="00246318">
        <w:rPr>
          <w:rStyle w:val="libBold2Char"/>
          <w:rtl/>
        </w:rPr>
        <w:t xml:space="preserve"> / 9.</w:t>
      </w:r>
      <w:r w:rsidRPr="005D642E">
        <w:rPr>
          <w:rtl/>
          <w:lang w:bidi="fa-IR"/>
        </w:rPr>
        <w:t xml:space="preserve"> مُحَمَّدُ بْنُ يَحْيى ، عَنْ مُحَمَّدِ بْنِ أَحْمَدَ </w:t>
      </w:r>
      <w:r w:rsidRPr="007C12DB">
        <w:rPr>
          <w:rStyle w:val="libFootnotenumChar"/>
          <w:rtl/>
        </w:rPr>
        <w:t>(6)</w:t>
      </w:r>
      <w:r w:rsidRPr="005D642E">
        <w:rPr>
          <w:rtl/>
          <w:lang w:bidi="fa-IR"/>
        </w:rPr>
        <w:t xml:space="preserve"> ، قَالَ :</w:t>
      </w:r>
    </w:p>
    <w:p w:rsidR="00E3253D" w:rsidRPr="005D642E" w:rsidRDefault="00E3253D" w:rsidP="00821D88">
      <w:pPr>
        <w:pStyle w:val="libNormal"/>
        <w:rPr>
          <w:rtl/>
          <w:lang w:bidi="fa-IR"/>
        </w:rPr>
      </w:pPr>
      <w:r w:rsidRPr="005D642E">
        <w:rPr>
          <w:rtl/>
          <w:lang w:bidi="fa-IR"/>
        </w:rPr>
        <w:t xml:space="preserve">كُنْتُ بِفَيْدَ </w:t>
      </w:r>
      <w:r w:rsidRPr="007C12DB">
        <w:rPr>
          <w:rStyle w:val="libFootnotenumChar"/>
          <w:rtl/>
        </w:rPr>
        <w:t>(7)</w:t>
      </w:r>
      <w:r w:rsidRPr="005D642E">
        <w:rPr>
          <w:rtl/>
          <w:lang w:bidi="fa-IR"/>
        </w:rPr>
        <w:t xml:space="preserve"> ، فَمَشَيْتُ مَعَ عَلِيِّ بْنِ بِلَالٍ إِلى قَبْرِ مُحَمَّدِ بْنِ إِسْمَاعِيلَ بْنِ بَزِيعٍ </w:t>
      </w:r>
      <w:r w:rsidRPr="007C12DB">
        <w:rPr>
          <w:rStyle w:val="libFootnotenumChar"/>
          <w:rtl/>
        </w:rPr>
        <w:t>(8)</w:t>
      </w:r>
      <w:r w:rsidRPr="005D642E">
        <w:rPr>
          <w:rtl/>
          <w:lang w:bidi="fa-IR"/>
        </w:rPr>
        <w:t xml:space="preserve"> ، فَقَالَ لِي </w:t>
      </w:r>
      <w:r w:rsidRPr="007C12DB">
        <w:rPr>
          <w:rStyle w:val="libFootnotenumChar"/>
          <w:rtl/>
        </w:rPr>
        <w:t>(9)</w:t>
      </w:r>
      <w:r w:rsidRPr="005D642E">
        <w:rPr>
          <w:rtl/>
          <w:lang w:bidi="fa-IR"/>
        </w:rPr>
        <w:t xml:space="preserve"> عَلِيُّ بْنُ بِلَالٍ : قَالَ لِي صَاحِبُ هذَا الْقَبْرِ عَنِ </w:t>
      </w:r>
      <w:r w:rsidRPr="007C12DB">
        <w:rPr>
          <w:rStyle w:val="libFootnotenumChar"/>
          <w:rtl/>
        </w:rPr>
        <w:t>(10)</w:t>
      </w:r>
      <w:r w:rsidRPr="005D642E">
        <w:rPr>
          <w:rtl/>
          <w:lang w:bidi="fa-IR"/>
        </w:rPr>
        <w:t xml:space="preserve"> الرِّضَا </w:t>
      </w:r>
      <w:r w:rsidRPr="00AC51C5">
        <w:rPr>
          <w:rStyle w:val="libAlaemChar"/>
          <w:rtl/>
        </w:rPr>
        <w:t>عليه‌السلام</w:t>
      </w:r>
      <w:r w:rsidRPr="005D642E">
        <w:rPr>
          <w:rtl/>
          <w:lang w:bidi="fa-IR"/>
        </w:rPr>
        <w:t xml:space="preserve"> : قَالَ </w:t>
      </w:r>
      <w:r w:rsidRPr="007C12DB">
        <w:rPr>
          <w:rStyle w:val="libFootnotenumChar"/>
          <w:rtl/>
        </w:rPr>
        <w:t>(11)</w:t>
      </w:r>
      <w:r w:rsidRPr="005D642E">
        <w:rPr>
          <w:rtl/>
          <w:lang w:bidi="fa-IR"/>
        </w:rPr>
        <w:t xml:space="preserve"> : « مَنْ أَتى قَبْرَ أَخِيهِ</w:t>
      </w:r>
      <w:r w:rsidRPr="007C12DB">
        <w:rPr>
          <w:rStyle w:val="libFootnotenumChar"/>
          <w:rtl/>
        </w:rPr>
        <w:t>(12)</w:t>
      </w:r>
      <w:r w:rsidRPr="005D642E">
        <w:rPr>
          <w:rtl/>
          <w:lang w:bidi="fa-IR"/>
        </w:rPr>
        <w:t xml:space="preserve"> ، ثُمَّ وَضَعَ </w:t>
      </w:r>
      <w:r w:rsidRPr="007C12DB">
        <w:rPr>
          <w:rStyle w:val="libFootnotenumChar"/>
          <w:rtl/>
        </w:rPr>
        <w:t>(13)</w:t>
      </w:r>
      <w:r w:rsidRPr="005D642E">
        <w:rPr>
          <w:rtl/>
          <w:lang w:bidi="fa-IR"/>
        </w:rPr>
        <w:t xml:space="preserve"> يَدَهُ </w:t>
      </w:r>
      <w:r w:rsidRPr="007C12DB">
        <w:rPr>
          <w:rStyle w:val="libFootnotenumChar"/>
          <w:rtl/>
        </w:rPr>
        <w:t>(14)</w:t>
      </w:r>
      <w:r w:rsidRPr="005D642E">
        <w:rPr>
          <w:rtl/>
          <w:lang w:bidi="fa-IR"/>
        </w:rPr>
        <w:t xml:space="preserve"> عَلَى الْقَبْرِ ، وَقَرَأَ </w:t>
      </w:r>
      <w:r w:rsidRPr="007C12DB">
        <w:rPr>
          <w:rStyle w:val="libFootnotenumChar"/>
          <w:rtl/>
        </w:rPr>
        <w:t>(15)</w:t>
      </w:r>
      <w:r w:rsidRPr="005D642E">
        <w:rPr>
          <w:rtl/>
          <w:lang w:bidi="fa-IR"/>
        </w:rPr>
        <w:t xml:space="preserve"> </w:t>
      </w:r>
      <w:r w:rsidR="00821D88" w:rsidRPr="00821D88">
        <w:rPr>
          <w:rStyle w:val="libAlaemChar"/>
          <w:rFonts w:hint="cs"/>
          <w:rtl/>
        </w:rPr>
        <w:t>(</w:t>
      </w:r>
      <w:r w:rsidRPr="00821D88">
        <w:rPr>
          <w:rStyle w:val="libAieChar"/>
          <w:rtl/>
        </w:rPr>
        <w:t xml:space="preserve"> إِنَّا أَنْزَلْنَاهُ فِى لَيْلَةِ الْقَدْرِ </w:t>
      </w:r>
      <w:r w:rsidR="00821D88" w:rsidRPr="00821D88">
        <w:rPr>
          <w:rStyle w:val="libAlaemChar"/>
          <w:rFonts w:hint="cs"/>
          <w:rtl/>
        </w:rPr>
        <w:t>)</w:t>
      </w:r>
      <w:r w:rsidRPr="005D642E">
        <w:rPr>
          <w:rtl/>
          <w:lang w:bidi="fa-IR"/>
        </w:rPr>
        <w:t xml:space="preserve"> سَبْعَ مَرَّاتٍ ، أَمِنَ يَوْمَ </w:t>
      </w:r>
      <w:r w:rsidRPr="007C12DB">
        <w:rPr>
          <w:rStyle w:val="libFootnotenumChar"/>
          <w:rtl/>
        </w:rPr>
        <w:t>(16)</w:t>
      </w:r>
      <w:r w:rsidRPr="005D642E">
        <w:rPr>
          <w:rtl/>
          <w:lang w:bidi="fa-IR"/>
        </w:rPr>
        <w:t xml:space="preserve"> الْفَزَعِ الْأَكْبَرِ ، أَوْ يَوْمَ الْفَزَعِ </w:t>
      </w:r>
      <w:r w:rsidRPr="007C12DB">
        <w:rPr>
          <w:rStyle w:val="libFootnotenumChar"/>
          <w:rtl/>
        </w:rPr>
        <w:t>(17)</w:t>
      </w:r>
      <w:r>
        <w:rPr>
          <w:rtl/>
          <w:lang w:bidi="fa-IR"/>
        </w:rPr>
        <w:t xml:space="preserve"> ».</w:t>
      </w:r>
      <w:r w:rsidRPr="005D642E">
        <w:rPr>
          <w:rtl/>
          <w:lang w:bidi="fa-IR"/>
        </w:rPr>
        <w:t xml:space="preserve"> </w:t>
      </w:r>
      <w:r w:rsidRPr="007C12DB">
        <w:rPr>
          <w:rStyle w:val="libFootnotenumChar"/>
          <w:rtl/>
        </w:rPr>
        <w:t>(18)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821D88">
      <w:pPr>
        <w:pStyle w:val="libFootnote0"/>
        <w:rPr>
          <w:rtl/>
          <w:lang w:bidi="fa-IR"/>
        </w:rPr>
      </w:pPr>
      <w:r w:rsidRPr="0042621E">
        <w:rPr>
          <w:rStyle w:val="libFootnote0Char"/>
          <w:rtl/>
        </w:rPr>
        <w:t>(1).</w:t>
      </w:r>
      <w:r w:rsidR="00E3253D">
        <w:rPr>
          <w:rtl/>
        </w:rPr>
        <w:t xml:space="preserve"> </w:t>
      </w:r>
      <w:r w:rsidR="00E3253D" w:rsidRPr="005D642E">
        <w:rPr>
          <w:rtl/>
        </w:rPr>
        <w:t xml:space="preserve">في « غ » </w:t>
      </w:r>
      <w:r w:rsidR="00E3253D" w:rsidRPr="00821D88">
        <w:rPr>
          <w:rtl/>
        </w:rPr>
        <w:t xml:space="preserve">والوسائل </w:t>
      </w:r>
      <w:r w:rsidR="009E68BB" w:rsidRPr="00821D88">
        <w:rPr>
          <w:rtl/>
        </w:rPr>
        <w:t>و</w:t>
      </w:r>
      <w:r w:rsidR="00821D88" w:rsidRPr="00821D88">
        <w:rPr>
          <w:rFonts w:hint="cs"/>
          <w:rtl/>
        </w:rPr>
        <w:t>الفقيه</w:t>
      </w:r>
      <w:r w:rsidR="00E3253D" w:rsidRPr="00821D88">
        <w:rPr>
          <w:rtl/>
        </w:rPr>
        <w:t xml:space="preserve"> وكامل</w:t>
      </w:r>
      <w:r w:rsidR="00E3253D" w:rsidRPr="005D642E">
        <w:rPr>
          <w:rtl/>
        </w:rPr>
        <w:t xml:space="preserve"> الزيارات : « من المؤمنين والمسلمين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21D88" w:rsidTr="00821D88">
        <w:tc>
          <w:tcPr>
            <w:tcW w:w="4006" w:type="dxa"/>
          </w:tcPr>
          <w:p w:rsidR="00821D88" w:rsidRDefault="00821D88" w:rsidP="00E3253D">
            <w:pPr>
              <w:pStyle w:val="libFootnote0"/>
              <w:rPr>
                <w:rStyle w:val="libFootnote0Char"/>
                <w:rtl/>
              </w:rPr>
            </w:pPr>
            <w:r w:rsidRPr="0042621E">
              <w:rPr>
                <w:rStyle w:val="libFootnote0Char"/>
                <w:rtl/>
              </w:rPr>
              <w:t>(2).</w:t>
            </w:r>
            <w:r w:rsidRPr="005D642E">
              <w:rPr>
                <w:rtl/>
              </w:rPr>
              <w:t xml:space="preserve"> في « ى ، بح ، جح » : « المتقدّمين</w:t>
            </w:r>
            <w:r>
              <w:rPr>
                <w:rtl/>
              </w:rPr>
              <w:t xml:space="preserve"> ».</w:t>
            </w:r>
          </w:p>
        </w:tc>
        <w:tc>
          <w:tcPr>
            <w:tcW w:w="4006" w:type="dxa"/>
          </w:tcPr>
          <w:p w:rsidR="00821D88" w:rsidRDefault="00821D88" w:rsidP="00E3253D">
            <w:pPr>
              <w:pStyle w:val="libFootnote0"/>
              <w:rPr>
                <w:rStyle w:val="libFootnote0Char"/>
                <w:rtl/>
              </w:rPr>
            </w:pPr>
            <w:r w:rsidRPr="0042621E">
              <w:rPr>
                <w:rStyle w:val="libFootnote0Char"/>
                <w:rtl/>
              </w:rPr>
              <w:t>(3).</w:t>
            </w:r>
            <w:r w:rsidRPr="005D642E">
              <w:rPr>
                <w:rtl/>
              </w:rPr>
              <w:t xml:space="preserve"> في « جس » :</w:t>
            </w:r>
            <w:r>
              <w:rPr>
                <w:rtl/>
              </w:rPr>
              <w:t xml:space="preserve"> - </w:t>
            </w:r>
            <w:r w:rsidRPr="005D642E">
              <w:rPr>
                <w:rtl/>
              </w:rPr>
              <w:t>« منّا</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بح » : « والمتأخّرين</w:t>
      </w:r>
      <w:r w:rsidR="00E3253D">
        <w:rPr>
          <w:rtl/>
        </w:rPr>
        <w:t xml:space="preserve"> ».</w:t>
      </w:r>
    </w:p>
    <w:p w:rsidR="00E3253D" w:rsidRPr="005D642E" w:rsidRDefault="0042621E" w:rsidP="00821D88">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كامل الزيارات</w:t>
      </w:r>
      <w:r w:rsidR="00E3253D" w:rsidRPr="005D642E">
        <w:rPr>
          <w:rtl/>
        </w:rPr>
        <w:t xml:space="preserve"> ، ص 321 ، باب 105 ، ح 11 ، بطريقين عن النضر بن سويد. </w:t>
      </w:r>
      <w:r w:rsidR="00E3253D" w:rsidRPr="002F4D34">
        <w:rPr>
          <w:rStyle w:val="libFootnoteBoldChar"/>
          <w:rtl/>
        </w:rPr>
        <w:t>الفقيه</w:t>
      </w:r>
      <w:r w:rsidR="00E3253D" w:rsidRPr="005D642E">
        <w:rPr>
          <w:rtl/>
        </w:rPr>
        <w:t xml:space="preserve"> ، ج 1 ، ص 178 ، ح 533 ، معلّقاً عن جرّاح المدائني ، وفيهما مع اختلاف يسير </w:t>
      </w:r>
      <w:r w:rsidR="00821D88">
        <w:rPr>
          <w:rFonts w:hint="cs"/>
          <w:rtl/>
        </w:rPr>
        <w:t>.</w:t>
      </w:r>
      <w:r w:rsidR="00E3253D" w:rsidRPr="002F4D34">
        <w:rPr>
          <w:rStyle w:val="libFootnoteBoldChar"/>
          <w:rtl/>
        </w:rPr>
        <w:t>الوافي</w:t>
      </w:r>
      <w:r w:rsidR="00E3253D" w:rsidRPr="005D642E">
        <w:rPr>
          <w:rtl/>
        </w:rPr>
        <w:t xml:space="preserve"> ، ج 25 ، ص 580 ، ح 24713 ؛ </w:t>
      </w:r>
      <w:r w:rsidR="00E3253D" w:rsidRPr="002F4D34">
        <w:rPr>
          <w:rStyle w:val="libFootnoteBoldChar"/>
          <w:rtl/>
        </w:rPr>
        <w:t>الوسائل</w:t>
      </w:r>
      <w:r w:rsidR="00E3253D" w:rsidRPr="005D642E">
        <w:rPr>
          <w:rtl/>
        </w:rPr>
        <w:t xml:space="preserve"> ، ج 3 ، ص 225 ، ح 3472.</w:t>
      </w:r>
      <w:r w:rsidR="00821D88">
        <w:rPr>
          <w:rFonts w:hint="cs"/>
          <w:rtl/>
        </w:rPr>
        <w:t xml:space="preserve">                 </w:t>
      </w:r>
      <w:r w:rsidRPr="0042621E">
        <w:rPr>
          <w:rStyle w:val="libFootnote0Char"/>
          <w:rtl/>
        </w:rPr>
        <w:t>(6).</w:t>
      </w:r>
      <w:r w:rsidR="00E3253D" w:rsidRPr="005D642E">
        <w:rPr>
          <w:rtl/>
        </w:rPr>
        <w:t xml:space="preserve"> في التهذيب : + « بن يحيى</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فيد » : بُلَيْدَة في منتصف طريق مكّة من الكوفة. راجع : </w:t>
      </w:r>
      <w:r w:rsidR="00E3253D" w:rsidRPr="002F4D34">
        <w:rPr>
          <w:rStyle w:val="libFootnoteBoldChar"/>
          <w:rtl/>
        </w:rPr>
        <w:t>معجم البلدان</w:t>
      </w:r>
      <w:r w:rsidR="00E3253D" w:rsidRPr="005D642E">
        <w:rPr>
          <w:rtl/>
        </w:rPr>
        <w:t xml:space="preserve"> ، ج 4 ، ص 282.</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التهذيب وكامل الزيارات ، ص 319 والمزار :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النسخ التي قوبلت </w:t>
      </w:r>
      <w:r w:rsidR="000D749A" w:rsidRPr="00821D88">
        <w:rPr>
          <w:rtl/>
        </w:rPr>
        <w:t>والوافي</w:t>
      </w:r>
      <w:r w:rsidR="00E3253D" w:rsidRPr="00821D88">
        <w:rPr>
          <w:rtl/>
        </w:rPr>
        <w:t xml:space="preserve"> والوسائل </w:t>
      </w:r>
      <w:r w:rsidR="00B60612" w:rsidRPr="00821D88">
        <w:rPr>
          <w:rtl/>
        </w:rPr>
        <w:t>والتهذيب</w:t>
      </w:r>
      <w:r w:rsidR="00E3253D" w:rsidRPr="00821D88">
        <w:rPr>
          <w:rtl/>
        </w:rPr>
        <w:t>.</w:t>
      </w:r>
      <w:r w:rsidR="00E3253D" w:rsidRPr="005D642E">
        <w:rPr>
          <w:rtl/>
        </w:rPr>
        <w:t xml:space="preserve"> وفي المطبوع :</w:t>
      </w:r>
      <w:r w:rsidR="00E3253D">
        <w:rPr>
          <w:rtl/>
        </w:rPr>
        <w:t xml:space="preserve"> </w:t>
      </w:r>
      <w:r w:rsidR="007642BC">
        <w:rPr>
          <w:rtl/>
        </w:rPr>
        <w:t>-</w:t>
      </w:r>
      <w:r w:rsidR="00E3253D">
        <w:rPr>
          <w:rtl/>
        </w:rPr>
        <w:t xml:space="preserve"> </w:t>
      </w:r>
      <w:r w:rsidR="00E3253D" w:rsidRPr="005D642E">
        <w:rPr>
          <w:rtl/>
        </w:rPr>
        <w:t>« لي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21D88" w:rsidTr="00821D88">
        <w:tc>
          <w:tcPr>
            <w:tcW w:w="4006" w:type="dxa"/>
          </w:tcPr>
          <w:p w:rsidR="00821D88" w:rsidRDefault="00821D88" w:rsidP="00E3253D">
            <w:pPr>
              <w:pStyle w:val="libFootnote0"/>
              <w:rPr>
                <w:rStyle w:val="libFootnote0Char"/>
                <w:rtl/>
              </w:rPr>
            </w:pPr>
            <w:r w:rsidRPr="0042621E">
              <w:rPr>
                <w:rStyle w:val="libFootnote0Char"/>
                <w:rtl/>
              </w:rPr>
              <w:t>(10).</w:t>
            </w:r>
            <w:r w:rsidRPr="005D642E">
              <w:rPr>
                <w:rtl/>
              </w:rPr>
              <w:t xml:space="preserve"> في « بف »</w:t>
            </w:r>
            <w:r w:rsidRPr="00821D88">
              <w:rPr>
                <w:rtl/>
              </w:rPr>
              <w:t xml:space="preserve"> والوافي</w:t>
            </w:r>
            <w:r w:rsidRPr="005D642E">
              <w:rPr>
                <w:rtl/>
              </w:rPr>
              <w:t xml:space="preserve"> : + « عليّ</w:t>
            </w:r>
            <w:r>
              <w:rPr>
                <w:rtl/>
              </w:rPr>
              <w:t xml:space="preserve"> ».</w:t>
            </w:r>
          </w:p>
        </w:tc>
        <w:tc>
          <w:tcPr>
            <w:tcW w:w="4006" w:type="dxa"/>
          </w:tcPr>
          <w:p w:rsidR="00821D88" w:rsidRDefault="00821D88" w:rsidP="00E3253D">
            <w:pPr>
              <w:pStyle w:val="libFootnote0"/>
              <w:rPr>
                <w:rStyle w:val="libFootnote0Char"/>
                <w:rtl/>
              </w:rPr>
            </w:pPr>
            <w:r w:rsidRPr="0042621E">
              <w:rPr>
                <w:rStyle w:val="libFootnote0Char"/>
                <w:rtl/>
              </w:rPr>
              <w:t>(11).</w:t>
            </w:r>
            <w:r w:rsidRPr="005D642E">
              <w:rPr>
                <w:rtl/>
              </w:rPr>
              <w:t xml:space="preserve"> في التهذيب :</w:t>
            </w:r>
            <w:r>
              <w:rPr>
                <w:rtl/>
              </w:rPr>
              <w:t xml:space="preserve"> - </w:t>
            </w:r>
            <w:r w:rsidRPr="005D642E">
              <w:rPr>
                <w:rtl/>
              </w:rPr>
              <w:t>« قال</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التهذيب وكامل الزيارات ، ص 319 والمزار : + « المؤمن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254D1C" w:rsidTr="00254D1C">
        <w:tc>
          <w:tcPr>
            <w:tcW w:w="4006" w:type="dxa"/>
          </w:tcPr>
          <w:p w:rsidR="00254D1C" w:rsidRDefault="00254D1C" w:rsidP="00E3253D">
            <w:pPr>
              <w:pStyle w:val="libFootnote0"/>
              <w:rPr>
                <w:rStyle w:val="libFootnote0Char"/>
                <w:rtl/>
              </w:rPr>
            </w:pPr>
            <w:r w:rsidRPr="0042621E">
              <w:rPr>
                <w:rStyle w:val="libFootnote0Char"/>
                <w:rtl/>
              </w:rPr>
              <w:t>(13).</w:t>
            </w:r>
            <w:r w:rsidRPr="005D642E">
              <w:rPr>
                <w:rtl/>
              </w:rPr>
              <w:t xml:space="preserve"> في المزار : « فوضع</w:t>
            </w:r>
            <w:r>
              <w:rPr>
                <w:rtl/>
              </w:rPr>
              <w:t xml:space="preserve"> ».</w:t>
            </w:r>
          </w:p>
        </w:tc>
        <w:tc>
          <w:tcPr>
            <w:tcW w:w="4006" w:type="dxa"/>
          </w:tcPr>
          <w:p w:rsidR="00254D1C" w:rsidRDefault="00254D1C" w:rsidP="00E3253D">
            <w:pPr>
              <w:pStyle w:val="libFootnote0"/>
              <w:rPr>
                <w:rStyle w:val="libFootnote0Char"/>
                <w:rtl/>
              </w:rPr>
            </w:pPr>
            <w:r w:rsidRPr="0042621E">
              <w:rPr>
                <w:rStyle w:val="libFootnote0Char"/>
                <w:rtl/>
              </w:rPr>
              <w:t>(14).</w:t>
            </w:r>
            <w:r w:rsidRPr="005D642E">
              <w:rPr>
                <w:rtl/>
              </w:rPr>
              <w:t xml:space="preserve"> في « بخ ، بف ، جس » : « يديه</w:t>
            </w:r>
            <w:r>
              <w:rPr>
                <w:rtl/>
              </w:rPr>
              <w:t xml:space="preserve"> ».</w:t>
            </w:r>
          </w:p>
        </w:tc>
      </w:tr>
    </w:tbl>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التهذيب : « من أيّ ناحية يضع يده ويقرأ » بدل « ثمّ وضع يده على القبر وقرأ</w:t>
      </w:r>
      <w:r w:rsidR="00E3253D">
        <w:rPr>
          <w:rtl/>
        </w:rPr>
        <w:t xml:space="preserve"> ».</w:t>
      </w:r>
    </w:p>
    <w:p w:rsidR="00E3253D" w:rsidRPr="005D642E" w:rsidRDefault="00E3253D" w:rsidP="00E3253D">
      <w:pPr>
        <w:pStyle w:val="libFootnote0"/>
        <w:rPr>
          <w:rtl/>
          <w:lang w:bidi="fa-IR"/>
        </w:rPr>
      </w:pPr>
      <w:r w:rsidRPr="005D642E">
        <w:rPr>
          <w:rtl/>
        </w:rPr>
        <w:t>(1</w:t>
      </w:r>
      <w:r>
        <w:rPr>
          <w:rtl/>
        </w:rPr>
        <w:t>6)</w:t>
      </w:r>
      <w:r w:rsidRPr="005D642E">
        <w:rPr>
          <w:rtl/>
        </w:rPr>
        <w:t xml:space="preserve"> في « غ ، بف » : « من يوم</w:t>
      </w:r>
      <w:r>
        <w:rPr>
          <w:rtl/>
        </w:rPr>
        <w:t xml:space="preserve"> ».</w:t>
      </w:r>
      <w:r w:rsidRPr="005D642E">
        <w:rPr>
          <w:rtl/>
        </w:rPr>
        <w:t xml:space="preserve"> وفي التهذيب : « من » كلاهما بدل « يوم</w:t>
      </w:r>
      <w:r>
        <w:rPr>
          <w:rtl/>
        </w:rPr>
        <w:t xml:space="preserve"> ».</w:t>
      </w:r>
    </w:p>
    <w:p w:rsidR="00E3253D" w:rsidRPr="005D642E" w:rsidRDefault="00E3253D" w:rsidP="00E3253D">
      <w:pPr>
        <w:pStyle w:val="libFootnote0"/>
        <w:rPr>
          <w:rtl/>
          <w:lang w:bidi="fa-IR"/>
        </w:rPr>
      </w:pPr>
      <w:r w:rsidRPr="005D642E">
        <w:rPr>
          <w:rtl/>
        </w:rPr>
        <w:t>(1</w:t>
      </w:r>
      <w:r>
        <w:rPr>
          <w:rtl/>
        </w:rPr>
        <w:t>7)</w:t>
      </w:r>
      <w:r w:rsidRPr="005D642E">
        <w:rPr>
          <w:rtl/>
        </w:rPr>
        <w:t xml:space="preserve"> في التهذيب وكامل الزيارات ، ص 319 والمزار :</w:t>
      </w:r>
      <w:r>
        <w:rPr>
          <w:rtl/>
        </w:rPr>
        <w:t xml:space="preserve"> </w:t>
      </w:r>
      <w:r w:rsidR="007642BC">
        <w:rPr>
          <w:rtl/>
        </w:rPr>
        <w:t>-</w:t>
      </w:r>
      <w:r>
        <w:rPr>
          <w:rtl/>
        </w:rPr>
        <w:t xml:space="preserve"> </w:t>
      </w:r>
      <w:r w:rsidRPr="005D642E">
        <w:rPr>
          <w:rtl/>
        </w:rPr>
        <w:t>« أو يوم الفزع</w:t>
      </w:r>
      <w:r>
        <w:rPr>
          <w:rtl/>
        </w:rPr>
        <w:t xml:space="preserve"> ».</w:t>
      </w:r>
    </w:p>
    <w:p w:rsidR="00E3253D" w:rsidRPr="005D642E" w:rsidRDefault="00E3253D" w:rsidP="00E3253D">
      <w:pPr>
        <w:pStyle w:val="libFootnote0"/>
        <w:rPr>
          <w:rtl/>
          <w:lang w:bidi="fa-IR"/>
        </w:rPr>
      </w:pPr>
      <w:r w:rsidRPr="005D642E">
        <w:rPr>
          <w:rtl/>
        </w:rPr>
        <w:t>(1</w:t>
      </w:r>
      <w:r>
        <w:rPr>
          <w:rtl/>
        </w:rPr>
        <w:t>8)</w:t>
      </w:r>
      <w:r w:rsidRPr="005D642E">
        <w:rPr>
          <w:rtl/>
        </w:rPr>
        <w:t xml:space="preserve"> </w:t>
      </w:r>
      <w:r w:rsidRPr="002F4D34">
        <w:rPr>
          <w:rStyle w:val="libFootnoteBoldChar"/>
          <w:rtl/>
        </w:rPr>
        <w:t>التهذيب</w:t>
      </w:r>
      <w:r w:rsidRPr="005D642E">
        <w:rPr>
          <w:rtl/>
        </w:rPr>
        <w:t xml:space="preserve"> ، ج 6 ، ص 104 ، ح 182 ، معلّقاً عن الكليني. </w:t>
      </w:r>
      <w:r w:rsidRPr="002F4D34">
        <w:rPr>
          <w:rStyle w:val="libFootnoteBoldChar"/>
          <w:rtl/>
        </w:rPr>
        <w:t>كامل الزيارات</w:t>
      </w:r>
      <w:r w:rsidRPr="005D642E">
        <w:rPr>
          <w:rtl/>
        </w:rPr>
        <w:t xml:space="preserve"> ، ص 319 ، باب 105 ، ح 3 ؛ </w:t>
      </w:r>
      <w:r w:rsidRPr="00254D1C">
        <w:rPr>
          <w:rStyle w:val="libFootnoteBoldChar"/>
          <w:rtl/>
        </w:rPr>
        <w:t xml:space="preserve">وكتاب </w:t>
      </w:r>
      <w:r w:rsidRPr="002F4D34">
        <w:rPr>
          <w:rStyle w:val="libFootnoteBoldChar"/>
          <w:rtl/>
        </w:rPr>
        <w:t>المزار</w:t>
      </w:r>
      <w:r w:rsidRPr="005D642E">
        <w:rPr>
          <w:rtl/>
        </w:rPr>
        <w:t xml:space="preserve"> ، ص 216 ، ح 2 ، بسندهما عن الكليني. </w:t>
      </w:r>
      <w:r w:rsidRPr="002F4D34">
        <w:rPr>
          <w:rStyle w:val="libFootnoteBoldChar"/>
          <w:rtl/>
        </w:rPr>
        <w:t>رجال الكشّي</w:t>
      </w:r>
      <w:r w:rsidRPr="005D642E">
        <w:rPr>
          <w:rtl/>
        </w:rPr>
        <w:t xml:space="preserve"> ، ص 564 ، ح 1066 ، بسنده عن محمّد بن يحيى العطّار ؛ </w:t>
      </w:r>
      <w:r w:rsidRPr="002F4D34">
        <w:rPr>
          <w:rStyle w:val="libFootnoteBoldChar"/>
          <w:rtl/>
        </w:rPr>
        <w:t>كامل الزيارات</w:t>
      </w:r>
      <w:r w:rsidRPr="005D642E">
        <w:rPr>
          <w:rtl/>
        </w:rPr>
        <w:t xml:space="preserve"> ، ص 320 ، باب 105 ، ح 4 ، بسنده عن محمّد بن أحمد بن يحيى ، وفيهما مع اختلاف يسير وزيادة </w:t>
      </w:r>
      <w:r w:rsidR="00254D1C">
        <w:rPr>
          <w:rFonts w:hint="cs"/>
          <w:rtl/>
        </w:rPr>
        <w:t>.</w:t>
      </w:r>
      <w:r w:rsidRPr="002F4D34">
        <w:rPr>
          <w:rStyle w:val="libFootnoteBoldChar"/>
          <w:rtl/>
        </w:rPr>
        <w:t>الوافي</w:t>
      </w:r>
      <w:r w:rsidRPr="005D642E">
        <w:rPr>
          <w:rtl/>
        </w:rPr>
        <w:t xml:space="preserve"> ، ج 25 ، ص 581 ، ح 24716 ؛ </w:t>
      </w:r>
      <w:r w:rsidRPr="002F4D34">
        <w:rPr>
          <w:rStyle w:val="libFootnoteBoldChar"/>
          <w:rtl/>
        </w:rPr>
        <w:t>الوسائل</w:t>
      </w:r>
      <w:r w:rsidRPr="005D642E">
        <w:rPr>
          <w:rtl/>
        </w:rPr>
        <w:t xml:space="preserve"> ، ج 3 ، ص 226 ، ح 3475.</w:t>
      </w:r>
    </w:p>
    <w:p w:rsidR="00E3253D" w:rsidRDefault="00E3253D" w:rsidP="00E3253D">
      <w:pPr>
        <w:pStyle w:val="libNormal"/>
        <w:rPr>
          <w:rtl/>
          <w:lang w:bidi="fa-IR"/>
        </w:rPr>
      </w:pPr>
      <w:r>
        <w:rPr>
          <w:rtl/>
          <w:lang w:bidi="fa-IR"/>
        </w:rPr>
        <w:br w:type="page"/>
      </w:r>
    </w:p>
    <w:p w:rsidR="00254D1C" w:rsidRDefault="00E3253D" w:rsidP="00254D1C">
      <w:pPr>
        <w:pStyle w:val="libNormal"/>
        <w:rPr>
          <w:rtl/>
          <w:lang w:bidi="fa-IR"/>
        </w:rPr>
      </w:pPr>
      <w:r w:rsidRPr="00BC7B20">
        <w:rPr>
          <w:rtl/>
        </w:rPr>
        <w:t>4685</w:t>
      </w:r>
      <w:r w:rsidRPr="00246318">
        <w:rPr>
          <w:rStyle w:val="libBold2Char"/>
          <w:rtl/>
        </w:rPr>
        <w:t xml:space="preserve"> / 10.</w:t>
      </w:r>
      <w:r w:rsidRPr="005D642E">
        <w:rPr>
          <w:rtl/>
          <w:lang w:bidi="fa-IR"/>
        </w:rPr>
        <w:t xml:space="preserve"> أَحْمَدُ بْنُ مُحَمَّدٍ الْكُوفِيُّ ، عَنِ ابْنِ جُمْهُورٍ ، عَنْ أَبِيهِ ، عَنْ مُحَمَّدِ بْنِ سِنَانٍ ،</w:t>
      </w:r>
      <w:r>
        <w:rPr>
          <w:rFonts w:hint="cs"/>
          <w:rtl/>
          <w:lang w:bidi="fa-IR"/>
        </w:rPr>
        <w:t xml:space="preserve"> </w:t>
      </w:r>
      <w:r w:rsidRPr="005D642E">
        <w:rPr>
          <w:rtl/>
          <w:lang w:bidi="fa-IR"/>
        </w:rPr>
        <w:t xml:space="preserve">عَنْ مُفَضَّلِ بْنِ عُمَرَ ، عَنْ أَبِي عَبْدِ اللهِ </w:t>
      </w:r>
      <w:r w:rsidRPr="00AC51C5">
        <w:rPr>
          <w:rStyle w:val="libAlaemChar"/>
          <w:rtl/>
        </w:rPr>
        <w:t>عليه‌السلام</w:t>
      </w:r>
      <w:r w:rsidRPr="005D642E">
        <w:rPr>
          <w:rtl/>
          <w:lang w:bidi="fa-IR"/>
        </w:rPr>
        <w:t xml:space="preserve"> ؛</w:t>
      </w:r>
    </w:p>
    <w:p w:rsidR="00E3253D" w:rsidRPr="005D642E" w:rsidRDefault="00254D1C" w:rsidP="00254D1C">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(1)</w:t>
      </w:r>
      <w:r w:rsidR="00E3253D" w:rsidRPr="005D642E">
        <w:rPr>
          <w:rtl/>
          <w:lang w:bidi="fa-IR"/>
        </w:rPr>
        <w:t xml:space="preserve"> عَنْ عَبْدِ اللهِ بْنِ عَبْدِ الرَّحْمنِ الْأَصَمِّ ، عَنْ حَرِيزٍ ، عَنْ مُحَمَّدِ بْنِ مُسْلِمٍ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 </w:t>
      </w:r>
      <w:r w:rsidRPr="00AC51C5">
        <w:rPr>
          <w:rStyle w:val="libAlaemChar"/>
          <w:rtl/>
        </w:rPr>
        <w:t>عليه‌السلام</w:t>
      </w:r>
      <w:r w:rsidRPr="005D642E">
        <w:rPr>
          <w:rtl/>
          <w:lang w:bidi="fa-IR"/>
        </w:rPr>
        <w:t xml:space="preserve"> : زُورُوا مَوْتَاكُمْ </w:t>
      </w:r>
      <w:r w:rsidRPr="007C12DB">
        <w:rPr>
          <w:rStyle w:val="libFootnotenumChar"/>
          <w:rtl/>
        </w:rPr>
        <w:t>(2)</w:t>
      </w:r>
      <w:r w:rsidRPr="005D642E">
        <w:rPr>
          <w:rtl/>
          <w:lang w:bidi="fa-IR"/>
        </w:rPr>
        <w:t xml:space="preserve"> ؛ فَإِنَّهُمْ يَفْرَحُونَ بِزِيَارَتِكُمْ ، وَلْيَطْلُبْ أَحَدُكُمْ حَاجَتَهُ عِنْدَ قَبْرِ أَبِيهِ وَعِنْدَ </w:t>
      </w:r>
      <w:r w:rsidRPr="007C12DB">
        <w:rPr>
          <w:rStyle w:val="libFootnotenumChar"/>
          <w:rtl/>
        </w:rPr>
        <w:t>(3)</w:t>
      </w:r>
      <w:r w:rsidRPr="005D642E">
        <w:rPr>
          <w:rtl/>
          <w:lang w:bidi="fa-IR"/>
        </w:rPr>
        <w:t xml:space="preserve"> قَبْرِ أُمِّهِ بِمَا يَدْعُو لَهُمَا</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518" w:name="_Toc344647384"/>
      <w:bookmarkStart w:id="519" w:name="_Toc462226898"/>
      <w:bookmarkStart w:id="520" w:name="_Toc40976006"/>
      <w:r w:rsidRPr="005D642E">
        <w:rPr>
          <w:rtl/>
          <w:lang w:bidi="fa-IR"/>
        </w:rPr>
        <w:t>86</w:t>
      </w:r>
      <w:r>
        <w:rPr>
          <w:rtl/>
          <w:lang w:bidi="fa-IR"/>
        </w:rPr>
        <w:t xml:space="preserve"> </w:t>
      </w:r>
      <w:r w:rsidR="007642BC">
        <w:rPr>
          <w:rtl/>
          <w:lang w:bidi="fa-IR"/>
        </w:rPr>
        <w:t>-</w:t>
      </w:r>
      <w:r>
        <w:rPr>
          <w:rtl/>
          <w:lang w:bidi="fa-IR"/>
        </w:rPr>
        <w:t xml:space="preserve"> </w:t>
      </w:r>
      <w:r w:rsidRPr="005D642E">
        <w:rPr>
          <w:rtl/>
          <w:lang w:bidi="fa-IR"/>
        </w:rPr>
        <w:t>بَابُ أَنَّ الْمَيِّتَ يَزُورُ أَهْلَهُ‌</w:t>
      </w:r>
      <w:bookmarkEnd w:id="518"/>
      <w:bookmarkEnd w:id="519"/>
      <w:bookmarkEnd w:id="520"/>
    </w:p>
    <w:p w:rsidR="00E3253D" w:rsidRPr="005D642E" w:rsidRDefault="00E3253D" w:rsidP="00E3253D">
      <w:pPr>
        <w:pStyle w:val="libNormal"/>
        <w:rPr>
          <w:rtl/>
          <w:lang w:bidi="fa-IR"/>
        </w:rPr>
      </w:pPr>
      <w:r w:rsidRPr="00BC7B20">
        <w:rPr>
          <w:rtl/>
        </w:rPr>
        <w:t>4686</w:t>
      </w:r>
      <w:r w:rsidRPr="00246318">
        <w:rPr>
          <w:rStyle w:val="libBold2Char"/>
          <w:rtl/>
        </w:rPr>
        <w:t xml:space="preserve"> / 1.</w:t>
      </w:r>
      <w:r w:rsidRPr="005D642E">
        <w:rPr>
          <w:rtl/>
          <w:lang w:bidi="fa-IR"/>
        </w:rPr>
        <w:t xml:space="preserve"> عَلِيُّ بْنُ إِبْرَاهِيمَ ، عَنْ أَبِيهِ ، عَنِ ابْنِ أَبِي عُمَيْرٍ ، عَنْ حَفْصِ بْنِ الْبَخْتَرِيِّ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الْمُؤْمِنَ لَيَزُورُ أَهْلَهُ ، فَيَرى مَا يُحِبُّ ، وَيُسْتَرُ عَنْهُ مَا يَكْرَهُ ؛ وَإِنَّ الْكَافِرَ لَيَزُورُ </w:t>
      </w:r>
      <w:r w:rsidRPr="007C12DB">
        <w:rPr>
          <w:rStyle w:val="libFootnotenumChar"/>
          <w:rtl/>
        </w:rPr>
        <w:t>(5)</w:t>
      </w:r>
      <w:r w:rsidRPr="005D642E">
        <w:rPr>
          <w:rtl/>
          <w:lang w:bidi="fa-IR"/>
        </w:rPr>
        <w:t xml:space="preserve"> أَهْلَهُ ، فَيَرى مَا يَكْرَهُ ، وَيُسْتَرُ عَنْهُ مَا يُحِبُّ</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وَمِنْهُمْ </w:t>
      </w:r>
      <w:r w:rsidRPr="007C12DB">
        <w:rPr>
          <w:rStyle w:val="libFootnotenumChar"/>
          <w:rtl/>
        </w:rPr>
        <w:t>(6)</w:t>
      </w:r>
      <w:r w:rsidRPr="005D642E">
        <w:rPr>
          <w:rtl/>
          <w:lang w:bidi="fa-IR"/>
        </w:rPr>
        <w:t xml:space="preserve"> مَنْ يَزُورُ كُلَّ جُمْعَةٍ ، وَمِنْهُمْ مَنْ يَزُورُ عَلى قَدْرِ عَمَلِهِ</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BC7B20">
        <w:rPr>
          <w:rtl/>
        </w:rPr>
        <w:t>4687</w:t>
      </w:r>
      <w:r w:rsidRPr="00246318">
        <w:rPr>
          <w:rStyle w:val="libBold2Char"/>
          <w:rtl/>
        </w:rPr>
        <w:t xml:space="preserve"> / 2.</w:t>
      </w:r>
      <w:r w:rsidRPr="005D642E">
        <w:rPr>
          <w:rtl/>
          <w:lang w:bidi="fa-IR"/>
        </w:rPr>
        <w:t xml:space="preserve"> مُحَمَّدُ بْنُ يَحْيى ، عَنْ أَحْمَدَ بْنِ مُحَمَّدٍ ، عَنْ عَلِيِّ بْنِ الْحَكَمِ ، عَنْ عَلِيِّ بْنِ‌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السند تحويل ، وللمصنّف إلى أبي عبدالله </w:t>
      </w:r>
      <w:r w:rsidR="00E3253D" w:rsidRPr="00254D1C">
        <w:rPr>
          <w:rStyle w:val="libFootnoteAlaemChar"/>
          <w:rtl/>
        </w:rPr>
        <w:t>عليه‌السلام</w:t>
      </w:r>
      <w:r w:rsidR="00E3253D" w:rsidRPr="005D642E">
        <w:rPr>
          <w:rtl/>
        </w:rPr>
        <w:t xml:space="preserve"> طريقان ، وطريقه الثاني هو « أحمد بن محمّد الكوفي ، عن</w:t>
      </w:r>
      <w:r w:rsidR="00254D1C">
        <w:rPr>
          <w:rFonts w:hint="cs"/>
          <w:rtl/>
        </w:rPr>
        <w:t xml:space="preserve"> </w:t>
      </w:r>
      <w:r w:rsidR="00E3253D" w:rsidRPr="005D642E">
        <w:rPr>
          <w:rtl/>
        </w:rPr>
        <w:t>‌ابن جمهور ، عن أبيه ، عن عبدالله بن عبدالرحمن الأصمّ ، عن حريز ، عن محمّد بن مسلم</w:t>
      </w:r>
      <w:r w:rsidR="00E3253D">
        <w:rPr>
          <w:rtl/>
        </w:rPr>
        <w:t xml:space="preserve"> ».</w:t>
      </w:r>
      <w:r w:rsidR="00E3253D" w:rsidRPr="005D642E">
        <w:rPr>
          <w:rtl/>
        </w:rPr>
        <w:t xml:space="preserve"> ا</w:t>
      </w:r>
      <w:r w:rsidR="00254D1C">
        <w:rPr>
          <w:rFonts w:hint="cs"/>
          <w:rtl/>
        </w:rPr>
        <w:t>ُ</w:t>
      </w:r>
      <w:r w:rsidR="00E3253D" w:rsidRPr="005D642E">
        <w:rPr>
          <w:rtl/>
        </w:rPr>
        <w:t xml:space="preserve">نظر ما قدّمناه في </w:t>
      </w:r>
      <w:r w:rsidR="00E3253D" w:rsidRPr="002F4D34">
        <w:rPr>
          <w:rStyle w:val="libFootnoteBoldChar"/>
          <w:rtl/>
        </w:rPr>
        <w:t>الكافي</w:t>
      </w:r>
      <w:r w:rsidR="00E3253D" w:rsidRPr="005D642E">
        <w:rPr>
          <w:rtl/>
        </w:rPr>
        <w:t xml:space="preserve"> ، ذيل ح 4359.</w:t>
      </w:r>
    </w:p>
    <w:tbl>
      <w:tblPr>
        <w:tblStyle w:val="TableGrid"/>
        <w:bidiVisual/>
        <w:tblW w:w="0" w:type="auto"/>
        <w:tblLook w:val="04A0" w:firstRow="1" w:lastRow="0" w:firstColumn="1" w:lastColumn="0" w:noHBand="0" w:noVBand="1"/>
      </w:tblPr>
      <w:tblGrid>
        <w:gridCol w:w="4006"/>
        <w:gridCol w:w="4006"/>
      </w:tblGrid>
      <w:tr w:rsidR="00254D1C" w:rsidTr="00254D1C">
        <w:tc>
          <w:tcPr>
            <w:tcW w:w="4006" w:type="dxa"/>
          </w:tcPr>
          <w:p w:rsidR="00254D1C" w:rsidRDefault="00254D1C" w:rsidP="00E3253D">
            <w:pPr>
              <w:pStyle w:val="libFootnote0"/>
              <w:rPr>
                <w:rStyle w:val="libFootnote0Char"/>
                <w:rtl/>
                <w:lang w:bidi="fa-IR"/>
              </w:rPr>
            </w:pPr>
            <w:r w:rsidRPr="0042621E">
              <w:rPr>
                <w:rStyle w:val="libFootnote0Char"/>
                <w:rtl/>
              </w:rPr>
              <w:t>(2).</w:t>
            </w:r>
            <w:r w:rsidRPr="005D642E">
              <w:rPr>
                <w:rtl/>
              </w:rPr>
              <w:t xml:space="preserve"> في « جن » : « أمواتكم</w:t>
            </w:r>
            <w:r>
              <w:rPr>
                <w:rtl/>
              </w:rPr>
              <w:t xml:space="preserve"> ».</w:t>
            </w:r>
          </w:p>
        </w:tc>
        <w:tc>
          <w:tcPr>
            <w:tcW w:w="4006" w:type="dxa"/>
          </w:tcPr>
          <w:p w:rsidR="00254D1C" w:rsidRDefault="00254D1C" w:rsidP="00E3253D">
            <w:pPr>
              <w:pStyle w:val="libFootnote0"/>
              <w:rPr>
                <w:rStyle w:val="libFootnote0Char"/>
                <w:rtl/>
                <w:lang w:bidi="fa-IR"/>
              </w:rPr>
            </w:pPr>
            <w:r w:rsidRPr="0042621E">
              <w:rPr>
                <w:rStyle w:val="libFootnote0Char"/>
                <w:rtl/>
              </w:rPr>
              <w:t>(3).</w:t>
            </w:r>
            <w:r w:rsidRPr="005D642E">
              <w:rPr>
                <w:rtl/>
              </w:rPr>
              <w:t xml:space="preserve"> في « بث » :</w:t>
            </w:r>
            <w:r>
              <w:rPr>
                <w:rtl/>
              </w:rPr>
              <w:t xml:space="preserve"> - </w:t>
            </w:r>
            <w:r w:rsidRPr="005D642E">
              <w:rPr>
                <w:rtl/>
              </w:rPr>
              <w:t>« عند</w:t>
            </w:r>
            <w:r>
              <w:rPr>
                <w:rtl/>
              </w:rPr>
              <w:t xml:space="preserve"> ».</w:t>
            </w:r>
          </w:p>
        </w:tc>
      </w:tr>
    </w:tbl>
    <w:p w:rsidR="00E3253D" w:rsidRPr="005D642E" w:rsidRDefault="0042621E" w:rsidP="001F7ED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الخصال</w:t>
      </w:r>
      <w:r w:rsidR="00E3253D" w:rsidRPr="005D642E">
        <w:rPr>
          <w:rtl/>
        </w:rPr>
        <w:t xml:space="preserve"> ، ص 618 ، أبواب الثمانين ومافوقه ، ضمن الحديث الطويل 10 ، بسنده عن أبي بصير ومحمّد بن مسلم ، ، عن أبي عبدالله ، عن آبائه ، عن أميرالمؤمنين </w:t>
      </w:r>
      <w:r w:rsidR="00E3253D" w:rsidRPr="00254D1C">
        <w:rPr>
          <w:rStyle w:val="libFootnoteAlaemChar"/>
          <w:rtl/>
        </w:rPr>
        <w:t>عليهم‌السلام</w:t>
      </w:r>
      <w:r w:rsidR="00E3253D" w:rsidRPr="005D642E">
        <w:rPr>
          <w:rtl/>
        </w:rPr>
        <w:t xml:space="preserve">. </w:t>
      </w:r>
      <w:r w:rsidR="00E3253D" w:rsidRPr="002F4D34">
        <w:rPr>
          <w:rStyle w:val="libFootnoteBoldChar"/>
          <w:rtl/>
        </w:rPr>
        <w:t>تحف العقول</w:t>
      </w:r>
      <w:r w:rsidR="00E3253D" w:rsidRPr="005D642E">
        <w:rPr>
          <w:rtl/>
        </w:rPr>
        <w:t xml:space="preserve"> ، ص 104 ، ضمن الحديث الطويل ، عن أميرالمؤمنين </w:t>
      </w:r>
      <w:r w:rsidR="001F7EDD" w:rsidRPr="00254D1C">
        <w:rPr>
          <w:rStyle w:val="libFootnoteAlaemChar"/>
          <w:rtl/>
        </w:rPr>
        <w:t>عليه‌السلام</w:t>
      </w:r>
      <w:r w:rsidR="001F7EDD" w:rsidRPr="005D642E">
        <w:rPr>
          <w:rtl/>
        </w:rPr>
        <w:t xml:space="preserve"> </w:t>
      </w:r>
      <w:r w:rsidR="00E3253D" w:rsidRPr="005D642E">
        <w:rPr>
          <w:rtl/>
        </w:rPr>
        <w:t xml:space="preserve">، وفيهما مع اختلاف يسير </w:t>
      </w:r>
      <w:r w:rsidR="00254D1C">
        <w:rPr>
          <w:rFonts w:hint="cs"/>
          <w:rtl/>
        </w:rPr>
        <w:t>.</w:t>
      </w:r>
      <w:r w:rsidR="00E3253D" w:rsidRPr="002F4D34">
        <w:rPr>
          <w:rStyle w:val="libFootnoteBoldChar"/>
          <w:rtl/>
        </w:rPr>
        <w:t>الوافي</w:t>
      </w:r>
      <w:r w:rsidR="00E3253D" w:rsidRPr="005D642E">
        <w:rPr>
          <w:rtl/>
        </w:rPr>
        <w:t xml:space="preserve"> ، ج 25 ، ص 578 ، ح 24706 ؛ </w:t>
      </w:r>
      <w:r w:rsidR="00E3253D" w:rsidRPr="002F4D34">
        <w:rPr>
          <w:rStyle w:val="libFootnoteBoldChar"/>
          <w:rtl/>
        </w:rPr>
        <w:t>الوسائل</w:t>
      </w:r>
      <w:r w:rsidR="00E3253D" w:rsidRPr="005D642E">
        <w:rPr>
          <w:rtl/>
        </w:rPr>
        <w:t xml:space="preserve"> ، ج 3 ، ص 223 ، ح 3466.</w:t>
      </w:r>
      <w:r w:rsidR="00254D1C">
        <w:rPr>
          <w:rFonts w:hint="cs"/>
          <w:rtl/>
        </w:rPr>
        <w:t xml:space="preserve">                                    </w:t>
      </w:r>
      <w:r w:rsidRPr="0042621E">
        <w:rPr>
          <w:rStyle w:val="libFootnote0Char"/>
          <w:rtl/>
        </w:rPr>
        <w:t>(5).</w:t>
      </w:r>
      <w:r w:rsidR="00E3253D" w:rsidRPr="005D642E">
        <w:rPr>
          <w:rtl/>
        </w:rPr>
        <w:t xml:space="preserve"> في « بح » : « يزور</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ظ ، ى ، بث ، بح ، بس ، جح ، جس ، جن » والبحار ، ج 61 : « وفيهم</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25 ، ص 627 ، ح 24772 ؛ </w:t>
      </w:r>
      <w:r w:rsidR="00E3253D" w:rsidRPr="002F4D34">
        <w:rPr>
          <w:rStyle w:val="libFootnoteBoldChar"/>
          <w:rtl/>
        </w:rPr>
        <w:t>البحار</w:t>
      </w:r>
      <w:r w:rsidR="00E3253D" w:rsidRPr="005D642E">
        <w:rPr>
          <w:rtl/>
        </w:rPr>
        <w:t xml:space="preserve"> ، ج 6 ، ص 256 ، ح 89 ؛ وج 61 ، ص 52 ، ح 38.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أَبِي حَمْزَةَ ، عَنْ أَبِي بَصِيرٍ :</w:t>
      </w:r>
    </w:p>
    <w:p w:rsidR="00E3253D" w:rsidRPr="005D642E" w:rsidRDefault="00E3253D" w:rsidP="00E3253D">
      <w:pPr>
        <w:pStyle w:val="libNormal"/>
        <w:rPr>
          <w:rtl/>
          <w:lang w:bidi="fa-IR"/>
        </w:rPr>
      </w:pPr>
      <w:r w:rsidRPr="005D642E">
        <w:rPr>
          <w:rtl/>
          <w:lang w:bidi="fa-IR"/>
        </w:rPr>
        <w:t xml:space="preserve">عَنْ‌أَبِي عَبْدِ اللهِ </w:t>
      </w:r>
      <w:r w:rsidRPr="00AC51C5">
        <w:rPr>
          <w:rStyle w:val="libAlaemChar"/>
          <w:rtl/>
        </w:rPr>
        <w:t>عليه‌السلام</w:t>
      </w:r>
      <w:r w:rsidRPr="005D642E">
        <w:rPr>
          <w:rtl/>
          <w:lang w:bidi="fa-IR"/>
        </w:rPr>
        <w:t xml:space="preserve"> ، قَالَ : « مَا م</w:t>
      </w:r>
      <w:r w:rsidR="00D436A8">
        <w:rPr>
          <w:rtl/>
          <w:lang w:bidi="fa-IR"/>
        </w:rPr>
        <w:t>ِنْ مُؤْمِنٍ وَلَاكَافِرٍ إِل</w:t>
      </w:r>
      <w:r w:rsidR="00D436A8">
        <w:rPr>
          <w:rFonts w:hint="cs"/>
          <w:rtl/>
          <w:lang w:bidi="fa-IR"/>
        </w:rPr>
        <w:t>َّ</w:t>
      </w:r>
      <w:r w:rsidR="00D436A8">
        <w:rPr>
          <w:rtl/>
          <w:lang w:bidi="fa-IR"/>
        </w:rPr>
        <w:t>ا</w:t>
      </w:r>
      <w:r w:rsidRPr="005D642E">
        <w:rPr>
          <w:rtl/>
          <w:lang w:bidi="fa-IR"/>
        </w:rPr>
        <w:t xml:space="preserve"> وَهُوَ يَأْتِي أَهْلَهُ عِنْدَ زَوَالِ الشَّمْسِ ، فَإِذَا </w:t>
      </w:r>
      <w:r w:rsidRPr="007C12DB">
        <w:rPr>
          <w:rStyle w:val="libFootnotenumChar"/>
          <w:rtl/>
        </w:rPr>
        <w:t>(1)</w:t>
      </w:r>
      <w:r w:rsidRPr="005D642E">
        <w:rPr>
          <w:rtl/>
          <w:lang w:bidi="fa-IR"/>
        </w:rPr>
        <w:t xml:space="preserve"> رَأى أَهْلَهُ يَعْمَلُونَ بِالصَّالِحَاتِ ، حَمِدَ اللهَ عَلى ذلِكَ ، وَإِذَا رَأَى الْكَافِرُ أَهْلَهُ يَعْمَلُونَ بِالصَّالِحَاتِ </w:t>
      </w:r>
      <w:r w:rsidRPr="007C12DB">
        <w:rPr>
          <w:rStyle w:val="libFootnotenumChar"/>
          <w:rtl/>
        </w:rPr>
        <w:t>(2)</w:t>
      </w:r>
      <w:r w:rsidRPr="005D642E">
        <w:rPr>
          <w:rtl/>
          <w:lang w:bidi="fa-IR"/>
        </w:rPr>
        <w:t xml:space="preserve"> ، كَانَتْ عَلَيْهِ </w:t>
      </w:r>
      <w:r w:rsidRPr="007C12DB">
        <w:rPr>
          <w:rStyle w:val="libFootnotenumChar"/>
          <w:rtl/>
        </w:rPr>
        <w:t>(3)</w:t>
      </w:r>
      <w:r w:rsidRPr="005D642E">
        <w:rPr>
          <w:rtl/>
          <w:lang w:bidi="fa-IR"/>
        </w:rPr>
        <w:t xml:space="preserve"> حَسْرَةً</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BC7B20">
        <w:rPr>
          <w:rtl/>
        </w:rPr>
        <w:t>4688</w:t>
      </w:r>
      <w:r w:rsidRPr="00246318">
        <w:rPr>
          <w:rStyle w:val="libBold2Char"/>
          <w:rtl/>
        </w:rPr>
        <w:t xml:space="preserve"> / 3.</w:t>
      </w:r>
      <w:r w:rsidRPr="005D642E">
        <w:rPr>
          <w:rtl/>
          <w:lang w:bidi="fa-IR"/>
        </w:rPr>
        <w:t xml:space="preserve"> عِدَّةٌ مِنْ أَصْحَابِنَا ، عَنْ سَهْلِ بْنِ زِيَادٍ ، عَنِ ابْنِ مَحْبُوبٍ ، عَنْ إِسْحَاقَ بْنِ عَمَّارٍ :</w:t>
      </w:r>
    </w:p>
    <w:p w:rsidR="00E3253D" w:rsidRPr="005D642E" w:rsidRDefault="00E3253D" w:rsidP="00E3253D">
      <w:pPr>
        <w:pStyle w:val="libNormal"/>
        <w:rPr>
          <w:rtl/>
          <w:lang w:bidi="fa-IR"/>
        </w:rPr>
      </w:pPr>
      <w:r w:rsidRPr="005D642E">
        <w:rPr>
          <w:rtl/>
          <w:lang w:bidi="fa-IR"/>
        </w:rPr>
        <w:t xml:space="preserve">عَنْ أَبِي الْحَسَنِ الْأَوَّلِ </w:t>
      </w:r>
      <w:r w:rsidRPr="00AC51C5">
        <w:rPr>
          <w:rStyle w:val="libAlaemChar"/>
          <w:rtl/>
        </w:rPr>
        <w:t>عليه‌السلام</w:t>
      </w:r>
      <w:r w:rsidRPr="005D642E">
        <w:rPr>
          <w:rtl/>
          <w:lang w:bidi="fa-IR"/>
        </w:rPr>
        <w:t xml:space="preserve"> ، قَالَ : سَأَلْتُهُ عَنِ الْمَيِّتِ : يَزُورُ أَهْلَهُ</w:t>
      </w:r>
      <w:r>
        <w:rPr>
          <w:rtl/>
          <w:lang w:bidi="fa-IR"/>
        </w:rPr>
        <w:t>؟</w:t>
      </w:r>
      <w:r w:rsidRPr="005D642E">
        <w:rPr>
          <w:rtl/>
          <w:lang w:bidi="fa-IR"/>
        </w:rPr>
        <w:t xml:space="preserve"> قَالَ : « نَعَمْ</w:t>
      </w:r>
      <w:r>
        <w:rPr>
          <w:rtl/>
          <w:lang w:bidi="fa-IR"/>
        </w:rPr>
        <w:t xml:space="preserve"> ».</w:t>
      </w:r>
      <w:r w:rsidRPr="005D642E">
        <w:rPr>
          <w:rtl/>
          <w:lang w:bidi="fa-IR"/>
        </w:rPr>
        <w:t xml:space="preserve"> فَقُلْتُ</w:t>
      </w:r>
      <w:r w:rsidRPr="007C12DB">
        <w:rPr>
          <w:rStyle w:val="libFootnotenumChar"/>
          <w:rtl/>
        </w:rPr>
        <w:t>(5)</w:t>
      </w:r>
      <w:r w:rsidRPr="005D642E">
        <w:rPr>
          <w:rtl/>
          <w:lang w:bidi="fa-IR"/>
        </w:rPr>
        <w:t>:</w:t>
      </w:r>
    </w:p>
    <w:p w:rsidR="00E3253D" w:rsidRPr="005D642E" w:rsidRDefault="00E3253D" w:rsidP="00E3253D">
      <w:pPr>
        <w:pStyle w:val="libNormal"/>
        <w:rPr>
          <w:rtl/>
          <w:lang w:bidi="fa-IR"/>
        </w:rPr>
      </w:pPr>
      <w:r w:rsidRPr="005D642E">
        <w:rPr>
          <w:rtl/>
          <w:lang w:bidi="fa-IR"/>
        </w:rPr>
        <w:t>فِي كَمْ يَزُورُ</w:t>
      </w:r>
      <w:r>
        <w:rPr>
          <w:rtl/>
          <w:lang w:bidi="fa-IR"/>
        </w:rPr>
        <w:t>؟</w:t>
      </w:r>
      <w:r w:rsidRPr="005D642E">
        <w:rPr>
          <w:rtl/>
          <w:lang w:bidi="fa-IR"/>
        </w:rPr>
        <w:t xml:space="preserve"> قَالَ </w:t>
      </w:r>
      <w:r w:rsidRPr="007C12DB">
        <w:rPr>
          <w:rStyle w:val="libFootnotenumChar"/>
          <w:rtl/>
        </w:rPr>
        <w:t>(6)</w:t>
      </w:r>
      <w:r w:rsidRPr="005D642E">
        <w:rPr>
          <w:rtl/>
          <w:lang w:bidi="fa-IR"/>
        </w:rPr>
        <w:t xml:space="preserve"> : « فِي الْجُمْعَةِ </w:t>
      </w:r>
      <w:r w:rsidRPr="007C12DB">
        <w:rPr>
          <w:rStyle w:val="libFootnotenumChar"/>
          <w:rtl/>
        </w:rPr>
        <w:t>(7)</w:t>
      </w:r>
      <w:r w:rsidRPr="005D642E">
        <w:rPr>
          <w:rtl/>
          <w:lang w:bidi="fa-IR"/>
        </w:rPr>
        <w:t xml:space="preserve"> ، وَفِي الشَّهْرِ ، وَفِي السَّنَةِ عَلى قَدْرِ مَنْزِلَتِهِ</w:t>
      </w:r>
      <w:r>
        <w:rPr>
          <w:rtl/>
          <w:lang w:bidi="fa-IR"/>
        </w:rPr>
        <w:t xml:space="preserve"> ».</w:t>
      </w:r>
    </w:p>
    <w:p w:rsidR="00E3253D" w:rsidRPr="005D642E" w:rsidRDefault="00E3253D" w:rsidP="00E3253D">
      <w:pPr>
        <w:pStyle w:val="libNormal"/>
        <w:rPr>
          <w:rtl/>
          <w:lang w:bidi="fa-IR"/>
        </w:rPr>
      </w:pPr>
      <w:r w:rsidRPr="005D642E">
        <w:rPr>
          <w:rtl/>
          <w:lang w:bidi="fa-IR"/>
        </w:rPr>
        <w:t>فَقُلْتُ : فِي أَيِّ صُورَةٍ يَأْتِيهِمْ</w:t>
      </w:r>
      <w:r>
        <w:rPr>
          <w:rtl/>
          <w:lang w:bidi="fa-IR"/>
        </w:rPr>
        <w:t>؟</w:t>
      </w:r>
      <w:r w:rsidRPr="005D642E">
        <w:rPr>
          <w:rtl/>
          <w:lang w:bidi="fa-IR"/>
        </w:rPr>
        <w:t xml:space="preserve"> قَالَ </w:t>
      </w:r>
      <w:r w:rsidRPr="007C12DB">
        <w:rPr>
          <w:rStyle w:val="libFootnotenumChar"/>
          <w:rtl/>
        </w:rPr>
        <w:t>(8)</w:t>
      </w:r>
      <w:r w:rsidRPr="005D642E">
        <w:rPr>
          <w:rtl/>
          <w:lang w:bidi="fa-IR"/>
        </w:rPr>
        <w:t xml:space="preserve"> : « فِي صُورَةِ طَائِرٍ لَطِيفٍ يَسْقُطُ عَلى جُدُرِهِمْ ، وَيُشْرِفُ عَلَيْهِمْ ، فَإِنْ رَآهُمْ بِخَيْرٍ ، فَرِحَ ؛ وَإِنْ رَآهُمْ بِشَرٍّ وَحَاجَةٍ ، حَزِنَ وَاغْتَمَّ</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BC7B20">
        <w:rPr>
          <w:rtl/>
        </w:rPr>
        <w:t>4689</w:t>
      </w:r>
      <w:r w:rsidRPr="00246318">
        <w:rPr>
          <w:rStyle w:val="libBold2Char"/>
          <w:rtl/>
        </w:rPr>
        <w:t xml:space="preserve"> / 4.</w:t>
      </w:r>
      <w:r w:rsidRPr="005D642E">
        <w:rPr>
          <w:rtl/>
          <w:lang w:bidi="fa-IR"/>
        </w:rPr>
        <w:t xml:space="preserve"> عَنْهُ </w:t>
      </w:r>
      <w:r w:rsidRPr="007C12DB">
        <w:rPr>
          <w:rStyle w:val="libFootnotenumChar"/>
          <w:rtl/>
        </w:rPr>
        <w:t>(10)</w:t>
      </w:r>
      <w:r w:rsidRPr="005D642E">
        <w:rPr>
          <w:rtl/>
          <w:lang w:bidi="fa-IR"/>
        </w:rPr>
        <w:t xml:space="preserve"> ، عَنْ إِسْمَاعِيلَ بْنِ مِهْرَانَ ، عَنْ دُرُسْتَ الْوَاسِطِيِّ ، عَنْ إِسْحَاقَ بْنِ عَمَّارٍ ، عَنْ عَبْدِ الرَّحِيمِ الْقَصِيرِ ، قَالَ :</w:t>
      </w:r>
    </w:p>
    <w:p w:rsidR="00E3253D" w:rsidRPr="005D642E" w:rsidRDefault="00E3253D" w:rsidP="00E3253D">
      <w:pPr>
        <w:pStyle w:val="libNormal"/>
        <w:rPr>
          <w:rtl/>
          <w:lang w:bidi="fa-IR"/>
        </w:rPr>
      </w:pPr>
      <w:r w:rsidRPr="005D642E">
        <w:rPr>
          <w:rtl/>
          <w:lang w:bidi="fa-IR"/>
        </w:rPr>
        <w:t>قُلْتُ لَهُ : الْمُؤْمِنُ يَزُورُ أَهْلَهُ</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بح » : « فإن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بس » : « بالطالحات</w:t>
      </w:r>
      <w:r w:rsidR="00E3253D">
        <w:rPr>
          <w:rtl/>
        </w:rPr>
        <w:t xml:space="preserve"> ».</w:t>
      </w:r>
      <w:r w:rsidR="00E3253D" w:rsidRPr="005D642E">
        <w:rPr>
          <w:rtl/>
        </w:rPr>
        <w:t xml:space="preserve"> وفي « بف » : « الصالحات</w:t>
      </w:r>
      <w:r w:rsidR="00E3253D">
        <w:rPr>
          <w:rtl/>
        </w:rPr>
        <w:t xml:space="preserve"> ».</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حمد الله على ذلك</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بالصالحات</w:t>
      </w:r>
      <w:r w:rsidR="00E3253D">
        <w:rPr>
          <w:rtl/>
        </w:rPr>
        <w:t xml:space="preserve"> ».</w:t>
      </w:r>
      <w:r w:rsidR="00E3253D" w:rsidRPr="005D642E">
        <w:rPr>
          <w:rtl/>
        </w:rPr>
        <w:t xml:space="preserve"> وفي حاشية « جن » : « الطالحات</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ظ » : « عليهم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628 ، ح 24775 ؛ </w:t>
      </w:r>
      <w:r w:rsidR="00E3253D" w:rsidRPr="002F4D34">
        <w:rPr>
          <w:rStyle w:val="libFootnoteBoldChar"/>
          <w:rtl/>
        </w:rPr>
        <w:t>البحار</w:t>
      </w:r>
      <w:r w:rsidR="00E3253D" w:rsidRPr="005D642E">
        <w:rPr>
          <w:rtl/>
        </w:rPr>
        <w:t xml:space="preserve"> ، ج 6 ، ص 257 ، ح 90.</w:t>
      </w:r>
    </w:p>
    <w:tbl>
      <w:tblPr>
        <w:tblStyle w:val="TableGrid"/>
        <w:bidiVisual/>
        <w:tblW w:w="0" w:type="auto"/>
        <w:tblLook w:val="04A0" w:firstRow="1" w:lastRow="0" w:firstColumn="1" w:lastColumn="0" w:noHBand="0" w:noVBand="1"/>
      </w:tblPr>
      <w:tblGrid>
        <w:gridCol w:w="4006"/>
        <w:gridCol w:w="4006"/>
      </w:tblGrid>
      <w:tr w:rsidR="00D436A8" w:rsidTr="00D436A8">
        <w:tc>
          <w:tcPr>
            <w:tcW w:w="4006" w:type="dxa"/>
          </w:tcPr>
          <w:p w:rsidR="00D436A8" w:rsidRDefault="00D436A8" w:rsidP="00E3253D">
            <w:pPr>
              <w:pStyle w:val="libFootnote0"/>
              <w:rPr>
                <w:rStyle w:val="libFootnote0Char"/>
                <w:rtl/>
              </w:rPr>
            </w:pPr>
            <w:r w:rsidRPr="0042621E">
              <w:rPr>
                <w:rStyle w:val="libFootnote0Char"/>
                <w:rtl/>
              </w:rPr>
              <w:t>(5).</w:t>
            </w:r>
            <w:r w:rsidRPr="005D642E">
              <w:rPr>
                <w:rtl/>
              </w:rPr>
              <w:t xml:space="preserve"> في « غ ، بث ، بخ ، جس » : « قلت</w:t>
            </w:r>
            <w:r>
              <w:rPr>
                <w:rtl/>
              </w:rPr>
              <w:t xml:space="preserve"> ».</w:t>
            </w:r>
          </w:p>
        </w:tc>
        <w:tc>
          <w:tcPr>
            <w:tcW w:w="4006" w:type="dxa"/>
          </w:tcPr>
          <w:p w:rsidR="00D436A8" w:rsidRDefault="00D436A8" w:rsidP="00E3253D">
            <w:pPr>
              <w:pStyle w:val="libFootnote0"/>
              <w:rPr>
                <w:rStyle w:val="libFootnote0Char"/>
                <w:rtl/>
              </w:rPr>
            </w:pPr>
            <w:r w:rsidRPr="0042621E">
              <w:rPr>
                <w:rStyle w:val="libFootnote0Char"/>
                <w:rtl/>
              </w:rPr>
              <w:t>(6).</w:t>
            </w:r>
            <w:r w:rsidRPr="005D642E">
              <w:rPr>
                <w:rtl/>
              </w:rPr>
              <w:t xml:space="preserve"> في « بخ ، بف » وحاشية « بح » : « فقال</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الوافي</w:t>
      </w:r>
      <w:r w:rsidR="00E3253D" w:rsidRPr="005D642E">
        <w:rPr>
          <w:rtl/>
        </w:rPr>
        <w:t xml:space="preserve"> : « ا</w:t>
      </w:r>
      <w:r w:rsidR="00D436A8">
        <w:rPr>
          <w:rFonts w:hint="cs"/>
          <w:rtl/>
        </w:rPr>
        <w:t>ُ</w:t>
      </w:r>
      <w:r w:rsidR="00E3253D" w:rsidRPr="005D642E">
        <w:rPr>
          <w:rtl/>
        </w:rPr>
        <w:t>ريد بالجمعة الا</w:t>
      </w:r>
      <w:r w:rsidR="00D436A8">
        <w:rPr>
          <w:rFonts w:hint="cs"/>
          <w:rtl/>
        </w:rPr>
        <w:t>ُ</w:t>
      </w:r>
      <w:r w:rsidR="00E3253D" w:rsidRPr="005D642E">
        <w:rPr>
          <w:rtl/>
        </w:rPr>
        <w:t>سبوع ، لا اليوم المخصوص ؛ بقرينة معطوفيه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غ ، بخ ، بس ، بف ، جح ، جس ، جن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الوافي</w:t>
      </w:r>
      <w:r w:rsidR="00E3253D" w:rsidRPr="005D642E">
        <w:rPr>
          <w:rtl/>
        </w:rPr>
        <w:t xml:space="preserve"> ، ج 25 ، ص 628 ، ح 24775 ؛ </w:t>
      </w:r>
      <w:r w:rsidR="00E3253D" w:rsidRPr="002F4D34">
        <w:rPr>
          <w:rStyle w:val="libFootnoteBoldChar"/>
          <w:rtl/>
        </w:rPr>
        <w:t>البحار</w:t>
      </w:r>
      <w:r w:rsidR="00E3253D" w:rsidRPr="005D642E">
        <w:rPr>
          <w:rtl/>
        </w:rPr>
        <w:t xml:space="preserve"> ، ج 6 ، ص 257 ، ح 91 ؛ وج 61 ، ص 52 ، ح 39.</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الضمير راجع إلى سهل بن زياد المذكور في السند السابق.</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فَقَالَ : « نَعَمْ ، يَسْتَأْذِنُ رَبَّهُ ، فَيَأْذَنُ لَهُ ، فَيَبْعَثُ مَعَهُ مَلَكَيْنِ ، فَيَأْتِيهِمْ فِي بَعْضِ صُوَرِ الطَّيْرِ </w:t>
      </w:r>
      <w:r w:rsidRPr="007C12DB">
        <w:rPr>
          <w:rStyle w:val="libFootnotenumChar"/>
          <w:rtl/>
        </w:rPr>
        <w:t>(1)</w:t>
      </w:r>
      <w:r w:rsidRPr="005D642E">
        <w:rPr>
          <w:rtl/>
          <w:lang w:bidi="fa-IR"/>
        </w:rPr>
        <w:t xml:space="preserve"> يَقَعُ فِي دَارِهِ ، يَنْظُرُ إِلَيْهِمْ ، وَيَسْمَعُ كَلَامَهُمْ</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C7B20">
        <w:rPr>
          <w:rtl/>
        </w:rPr>
        <w:t>4690</w:t>
      </w:r>
      <w:r w:rsidRPr="00246318">
        <w:rPr>
          <w:rStyle w:val="libBold2Char"/>
          <w:rtl/>
        </w:rPr>
        <w:t xml:space="preserve"> / 5.</w:t>
      </w:r>
      <w:r w:rsidRPr="005D642E">
        <w:rPr>
          <w:rtl/>
          <w:lang w:bidi="fa-IR"/>
        </w:rPr>
        <w:t xml:space="preserve"> عَنْهُ </w:t>
      </w:r>
      <w:r w:rsidRPr="007C12DB">
        <w:rPr>
          <w:rStyle w:val="libFootnotenumChar"/>
          <w:rtl/>
        </w:rPr>
        <w:t>(3)</w:t>
      </w:r>
      <w:r w:rsidRPr="005D642E">
        <w:rPr>
          <w:rtl/>
          <w:lang w:bidi="fa-IR"/>
        </w:rPr>
        <w:t xml:space="preserve"> ، عَنْ مُحَمَّدِ بْنِ سِنَانٍ ، عَنْ إِسْحَاقَ بْنِ عَمَّارٍ ، قَالَ :</w:t>
      </w:r>
    </w:p>
    <w:p w:rsidR="00E3253D" w:rsidRPr="005D642E" w:rsidRDefault="00E3253D" w:rsidP="00E3253D">
      <w:pPr>
        <w:pStyle w:val="libNormal"/>
        <w:rPr>
          <w:rtl/>
          <w:lang w:bidi="fa-IR"/>
        </w:rPr>
      </w:pPr>
      <w:r w:rsidRPr="005D642E">
        <w:rPr>
          <w:rtl/>
          <w:lang w:bidi="fa-IR"/>
        </w:rPr>
        <w:t xml:space="preserve">قُلْتُ لِأَبِي الْحَسَنِ الْأَوَّلِ </w:t>
      </w:r>
      <w:r w:rsidRPr="00AC51C5">
        <w:rPr>
          <w:rStyle w:val="libAlaemChar"/>
          <w:rtl/>
        </w:rPr>
        <w:t>عليه‌السلام</w:t>
      </w:r>
      <w:r w:rsidRPr="005D642E">
        <w:rPr>
          <w:rtl/>
          <w:lang w:bidi="fa-IR"/>
        </w:rPr>
        <w:t xml:space="preserve"> : يَزُورُ الْمُؤْمِنُ أَهْلَهُ</w:t>
      </w:r>
      <w:r>
        <w:rPr>
          <w:rtl/>
          <w:lang w:bidi="fa-IR"/>
        </w:rPr>
        <w:t>؟</w:t>
      </w:r>
    </w:p>
    <w:p w:rsidR="00E3253D" w:rsidRPr="005D642E" w:rsidRDefault="00E3253D" w:rsidP="00E3253D">
      <w:pPr>
        <w:pStyle w:val="libNormal"/>
        <w:rPr>
          <w:rtl/>
          <w:lang w:bidi="fa-IR"/>
        </w:rPr>
      </w:pPr>
      <w:r w:rsidRPr="005D642E">
        <w:rPr>
          <w:rtl/>
          <w:lang w:bidi="fa-IR"/>
        </w:rPr>
        <w:t>فَقَالَ : « نَعَمْ</w:t>
      </w:r>
      <w:r>
        <w:rPr>
          <w:rtl/>
          <w:lang w:bidi="fa-IR"/>
        </w:rPr>
        <w:t xml:space="preserve"> ».</w:t>
      </w:r>
      <w:r w:rsidRPr="005D642E">
        <w:rPr>
          <w:rtl/>
          <w:lang w:bidi="fa-IR"/>
        </w:rPr>
        <w:t xml:space="preserve"> فَقُلْتُ : فِي كَمْ</w:t>
      </w:r>
      <w:r>
        <w:rPr>
          <w:rtl/>
          <w:lang w:bidi="fa-IR"/>
        </w:rPr>
        <w:t>؟</w:t>
      </w:r>
      <w:r w:rsidRPr="005D642E">
        <w:rPr>
          <w:rtl/>
          <w:lang w:bidi="fa-IR"/>
        </w:rPr>
        <w:t xml:space="preserve"> قَالَ </w:t>
      </w:r>
      <w:r w:rsidRPr="007C12DB">
        <w:rPr>
          <w:rStyle w:val="libFootnotenumChar"/>
          <w:rtl/>
        </w:rPr>
        <w:t>(4)</w:t>
      </w:r>
      <w:r w:rsidRPr="005D642E">
        <w:rPr>
          <w:rtl/>
          <w:lang w:bidi="fa-IR"/>
        </w:rPr>
        <w:t xml:space="preserve"> : « عَلى قَدْرِ فَضَائِلِهِمْ : مِنْهُمْ مَنْ يَزُورُ فِي كُلِّ يَوْمٍ ، وَمِنْهُمْ مَنْ يَزُورُ فِي كُلِّ يَوْمَيْنِ ، وَمِنْهُمْ مَنْ يَزُورُ فِي كُلِّ ثَلَاثَةِ أَيَّامٍ</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ثُمَّ رَأَيْتُ فِي مَجْرى كَلَامِهِ أَنَّهُ </w:t>
      </w:r>
      <w:r w:rsidRPr="007C12DB">
        <w:rPr>
          <w:rStyle w:val="libFootnotenumChar"/>
          <w:rtl/>
        </w:rPr>
        <w:t>(5)</w:t>
      </w:r>
      <w:r w:rsidRPr="005D642E">
        <w:rPr>
          <w:rtl/>
          <w:lang w:bidi="fa-IR"/>
        </w:rPr>
        <w:t xml:space="preserve"> يَقُولُ : « أَدْنَاهُمْ </w:t>
      </w:r>
      <w:r w:rsidRPr="007C12DB">
        <w:rPr>
          <w:rStyle w:val="libFootnotenumChar"/>
          <w:rtl/>
        </w:rPr>
        <w:t>(6)</w:t>
      </w:r>
      <w:r w:rsidRPr="005D642E">
        <w:rPr>
          <w:rtl/>
          <w:lang w:bidi="fa-IR"/>
        </w:rPr>
        <w:t xml:space="preserve"> مَنْزِلَةً يَزُورُ </w:t>
      </w:r>
      <w:r w:rsidRPr="007C12DB">
        <w:rPr>
          <w:rStyle w:val="libFootnotenumChar"/>
          <w:rtl/>
        </w:rPr>
        <w:t>(7)</w:t>
      </w:r>
      <w:r w:rsidRPr="005D642E">
        <w:rPr>
          <w:rtl/>
          <w:lang w:bidi="fa-IR"/>
        </w:rPr>
        <w:t xml:space="preserve"> كُلَّ جُمْعَةٍ</w:t>
      </w:r>
      <w:r>
        <w:rPr>
          <w:rtl/>
          <w:lang w:bidi="fa-IR"/>
        </w:rPr>
        <w:t xml:space="preserve"> ».</w:t>
      </w:r>
    </w:p>
    <w:p w:rsidR="00E3253D" w:rsidRPr="005D642E" w:rsidRDefault="00E3253D" w:rsidP="00E3253D">
      <w:pPr>
        <w:pStyle w:val="libNormal"/>
        <w:rPr>
          <w:rtl/>
          <w:lang w:bidi="fa-IR"/>
        </w:rPr>
      </w:pPr>
      <w:r w:rsidRPr="005D642E">
        <w:rPr>
          <w:rtl/>
          <w:lang w:bidi="fa-IR"/>
        </w:rPr>
        <w:t>قَالَ : قُلْتُ : فِي أَيِّ سَاعَةٍ</w:t>
      </w:r>
      <w:r>
        <w:rPr>
          <w:rtl/>
          <w:lang w:bidi="fa-IR"/>
        </w:rPr>
        <w:t>؟</w:t>
      </w:r>
      <w:r w:rsidRPr="005D642E">
        <w:rPr>
          <w:rtl/>
          <w:lang w:bidi="fa-IR"/>
        </w:rPr>
        <w:t xml:space="preserve"> قَالَ : « عِنْدَ زَوَالِ الشَّمْسِ وَمِثْلِ ذلِكَ</w:t>
      </w:r>
      <w:r>
        <w:rPr>
          <w:rtl/>
          <w:lang w:bidi="fa-IR"/>
        </w:rPr>
        <w:t xml:space="preserve"> ».</w:t>
      </w:r>
    </w:p>
    <w:p w:rsidR="00E3253D" w:rsidRPr="005D642E" w:rsidRDefault="00E3253D" w:rsidP="00E3253D">
      <w:pPr>
        <w:pStyle w:val="libNormal"/>
        <w:rPr>
          <w:rtl/>
          <w:lang w:bidi="fa-IR"/>
        </w:rPr>
      </w:pPr>
      <w:r w:rsidRPr="005D642E">
        <w:rPr>
          <w:rtl/>
          <w:lang w:bidi="fa-IR"/>
        </w:rPr>
        <w:t>قَالَ : قُلْتُ : فِي أَيِّ صُورَةٍ</w:t>
      </w:r>
      <w:r>
        <w:rPr>
          <w:rtl/>
          <w:lang w:bidi="fa-IR"/>
        </w:rPr>
        <w:t>؟</w:t>
      </w:r>
      <w:r w:rsidRPr="005D642E">
        <w:rPr>
          <w:rtl/>
          <w:lang w:bidi="fa-IR"/>
        </w:rPr>
        <w:t xml:space="preserve"> قَالَ : « فِي صُورَةِ الْعُصْفُورِ ، أَوْ أَصْغَرَ مِنْ ذلِكَ ، فَيَبْعَثُ </w:t>
      </w:r>
      <w:r w:rsidRPr="007C12DB">
        <w:rPr>
          <w:rStyle w:val="libFootnotenumChar"/>
          <w:rtl/>
        </w:rPr>
        <w:t>(8)</w:t>
      </w:r>
      <w:r w:rsidRPr="005D642E">
        <w:rPr>
          <w:rtl/>
          <w:lang w:bidi="fa-IR"/>
        </w:rPr>
        <w:t xml:space="preserve">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مَعَهُ مَلَكاً </w:t>
      </w:r>
      <w:r w:rsidRPr="007C12DB">
        <w:rPr>
          <w:rStyle w:val="libFootnotenumChar"/>
          <w:rtl/>
        </w:rPr>
        <w:t>(9)</w:t>
      </w:r>
      <w:r w:rsidRPr="005D642E">
        <w:rPr>
          <w:rtl/>
          <w:lang w:bidi="fa-IR"/>
        </w:rPr>
        <w:t xml:space="preserve"> ، فَيُرِيهِ مَا يَسُرُّهُ ، وَيَسْتُرُ عَنْهُ </w:t>
      </w:r>
      <w:r w:rsidRPr="007C12DB">
        <w:rPr>
          <w:rStyle w:val="libFootnotenumChar"/>
          <w:rtl/>
        </w:rPr>
        <w:t>(10)</w:t>
      </w:r>
      <w:r w:rsidRPr="005D642E">
        <w:rPr>
          <w:rtl/>
          <w:lang w:bidi="fa-IR"/>
        </w:rPr>
        <w:t xml:space="preserve"> مَا يَكْرَهُ ، فَيَرى مَا يَسُرُّهُ ، وَيَرْجِعُ إِلى قُرَّةِ عَيْنٍ</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Default="0042621E" w:rsidP="00E3253D">
      <w:pPr>
        <w:pStyle w:val="libFootnote0"/>
        <w:rPr>
          <w:rtl/>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ج 14 ، ص 197 : « ربّما يتوهّم التنافي بين هذه الأخبار وبين ما سيأتي من أنّ المؤمن أكرم من أن يجعل روحه في حوصلة طائر. ويمكن الجواب بحمَل تلك على كونهم أبداً كذلك ، فلا ينافي أن يصير</w:t>
      </w:r>
      <w:r w:rsidR="00A52A04">
        <w:rPr>
          <w:rtl/>
        </w:rPr>
        <w:t>وا أحياناً في صورة الطير ؛ لئل</w:t>
      </w:r>
      <w:r w:rsidR="00A52A04">
        <w:rPr>
          <w:rFonts w:hint="cs"/>
          <w:rtl/>
        </w:rPr>
        <w:t>ّ</w:t>
      </w:r>
      <w:r w:rsidR="00A52A04">
        <w:rPr>
          <w:rtl/>
        </w:rPr>
        <w:t>ا</w:t>
      </w:r>
      <w:r w:rsidR="00E3253D" w:rsidRPr="005D642E">
        <w:rPr>
          <w:rtl/>
        </w:rPr>
        <w:t xml:space="preserve"> يعرفهم أهلهم</w:t>
      </w:r>
      <w:r w:rsidR="00E3253D">
        <w:rPr>
          <w:rtl/>
        </w:rPr>
        <w:t xml:space="preserve"> ».</w:t>
      </w:r>
    </w:p>
    <w:p w:rsidR="00E3253D" w:rsidRPr="005D642E" w:rsidRDefault="00E3253D" w:rsidP="00E3253D">
      <w:pPr>
        <w:pStyle w:val="libFootnote0"/>
        <w:rPr>
          <w:rtl/>
          <w:lang w:bidi="fa-IR"/>
        </w:rPr>
      </w:pPr>
      <w:r w:rsidRPr="005D642E">
        <w:rPr>
          <w:rtl/>
        </w:rPr>
        <w:t xml:space="preserve">وقال المحقّق الشعراني </w:t>
      </w:r>
      <w:r w:rsidRPr="00A52A04">
        <w:rPr>
          <w:rStyle w:val="libFootnoteAlaemChar"/>
          <w:rtl/>
        </w:rPr>
        <w:t>رحمه‌الله</w:t>
      </w:r>
      <w:r w:rsidRPr="005D642E">
        <w:rPr>
          <w:rtl/>
        </w:rPr>
        <w:t xml:space="preserve"> في هامش </w:t>
      </w:r>
      <w:r w:rsidRPr="002F4D34">
        <w:rPr>
          <w:rStyle w:val="libFootnoteBoldChar"/>
          <w:rtl/>
        </w:rPr>
        <w:t>الوافي</w:t>
      </w:r>
      <w:r w:rsidRPr="005D642E">
        <w:rPr>
          <w:rtl/>
        </w:rPr>
        <w:t xml:space="preserve"> : « في بعض صور الطير ، تشبيهٌ في سرعة الحضور والحركة والإشراف ، لا أنّ الأرواح في صورة طير حقيقة ؛ لأنّ الإمام </w:t>
      </w:r>
      <w:r w:rsidRPr="00A52A04">
        <w:rPr>
          <w:rStyle w:val="libFootnoteAlaemChar"/>
          <w:rtl/>
        </w:rPr>
        <w:t>عليه‌السلام</w:t>
      </w:r>
      <w:r w:rsidRPr="005D642E">
        <w:rPr>
          <w:rtl/>
        </w:rPr>
        <w:t xml:space="preserve"> كذّب ذلك ، وقال : إنّ الأرواح في أبدان كأبدانهم الدنيويّة ، كما يأتي</w:t>
      </w:r>
      <w:r>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628 ، ح 24776 ؛ </w:t>
      </w:r>
      <w:r w:rsidR="00E3253D" w:rsidRPr="002F4D34">
        <w:rPr>
          <w:rStyle w:val="libFootnoteBoldChar"/>
          <w:rtl/>
        </w:rPr>
        <w:t>البحار</w:t>
      </w:r>
      <w:r w:rsidR="00E3253D" w:rsidRPr="005D642E">
        <w:rPr>
          <w:rtl/>
        </w:rPr>
        <w:t xml:space="preserve"> ، ج 6 ، ص 257 ، ح 92.</w:t>
      </w:r>
    </w:p>
    <w:tbl>
      <w:tblPr>
        <w:tblStyle w:val="TableGrid"/>
        <w:bidiVisual/>
        <w:tblW w:w="0" w:type="auto"/>
        <w:tblLook w:val="04A0" w:firstRow="1" w:lastRow="0" w:firstColumn="1" w:lastColumn="0" w:noHBand="0" w:noVBand="1"/>
      </w:tblPr>
      <w:tblGrid>
        <w:gridCol w:w="4006"/>
        <w:gridCol w:w="4006"/>
      </w:tblGrid>
      <w:tr w:rsidR="00A52A04" w:rsidTr="00A52A04">
        <w:tc>
          <w:tcPr>
            <w:tcW w:w="4006" w:type="dxa"/>
          </w:tcPr>
          <w:p w:rsidR="00A52A04" w:rsidRDefault="00A52A04" w:rsidP="00E3253D">
            <w:pPr>
              <w:pStyle w:val="libFootnote0"/>
              <w:rPr>
                <w:rStyle w:val="libFootnote0Char"/>
                <w:rtl/>
              </w:rPr>
            </w:pPr>
            <w:r w:rsidRPr="0042621E">
              <w:rPr>
                <w:rStyle w:val="libFootnote0Char"/>
                <w:rtl/>
              </w:rPr>
              <w:t>(3).</w:t>
            </w:r>
            <w:r w:rsidRPr="005D642E">
              <w:rPr>
                <w:rtl/>
              </w:rPr>
              <w:t xml:space="preserve"> الضمير راجع إلى سهل بن زياد.</w:t>
            </w:r>
          </w:p>
        </w:tc>
        <w:tc>
          <w:tcPr>
            <w:tcW w:w="4006" w:type="dxa"/>
          </w:tcPr>
          <w:p w:rsidR="00A52A04" w:rsidRDefault="00A52A04" w:rsidP="00E3253D">
            <w:pPr>
              <w:pStyle w:val="libFootnote0"/>
              <w:rPr>
                <w:rStyle w:val="libFootnote0Char"/>
                <w:rtl/>
              </w:rPr>
            </w:pPr>
            <w:r w:rsidRPr="0042621E">
              <w:rPr>
                <w:rStyle w:val="libFootnote0Char"/>
                <w:rtl/>
              </w:rPr>
              <w:t>(4).</w:t>
            </w:r>
            <w:r w:rsidRPr="005D642E">
              <w:rPr>
                <w:rtl/>
              </w:rPr>
              <w:t xml:space="preserve"> في « غ ، بث ، بح ، جح » : « فقال</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ظ ، ى ، بث ، بح ، بس ، جح ، جس » والبحار :</w:t>
      </w:r>
      <w:r w:rsidR="00E3253D">
        <w:rPr>
          <w:rtl/>
        </w:rPr>
        <w:t xml:space="preserve"> </w:t>
      </w:r>
      <w:r w:rsidR="007642BC">
        <w:rPr>
          <w:rtl/>
        </w:rPr>
        <w:t>-</w:t>
      </w:r>
      <w:r w:rsidR="00E3253D">
        <w:rPr>
          <w:rtl/>
        </w:rPr>
        <w:t xml:space="preserve"> </w:t>
      </w:r>
      <w:r w:rsidR="00E3253D" w:rsidRPr="005D642E">
        <w:rPr>
          <w:rtl/>
        </w:rPr>
        <w:t>« أنّه</w:t>
      </w:r>
      <w:r w:rsidR="00E3253D">
        <w:rPr>
          <w:rtl/>
        </w:rPr>
        <w:t xml:space="preserve"> ».</w:t>
      </w:r>
    </w:p>
    <w:p w:rsidR="00E3253D" w:rsidRPr="005D642E" w:rsidRDefault="0042621E" w:rsidP="00A52A04">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المرآة</w:t>
      </w:r>
      <w:r w:rsidR="00E3253D" w:rsidRPr="005D642E">
        <w:rPr>
          <w:rtl/>
        </w:rPr>
        <w:t xml:space="preserve"> : « أدناهم ، أي غالباً ، أو لا يكون المؤمن أقلّ من ذلك ، فيحمل ما مرّ من الشهر والسنة على غير المؤمن</w:t>
      </w:r>
      <w:r w:rsidR="00E3253D">
        <w:rPr>
          <w:rtl/>
        </w:rPr>
        <w:t xml:space="preserve"> ».</w:t>
      </w:r>
      <w:r w:rsidR="00A52A04">
        <w:rPr>
          <w:rFonts w:hint="cs"/>
          <w:rtl/>
        </w:rPr>
        <w:t xml:space="preserve">           </w:t>
      </w:r>
      <w:r w:rsidR="001F7EDD">
        <w:rPr>
          <w:rFonts w:hint="cs"/>
          <w:rtl/>
        </w:rPr>
        <w:t xml:space="preserve">                              </w:t>
      </w:r>
      <w:r w:rsidR="00A52A04">
        <w:rPr>
          <w:rFonts w:hint="cs"/>
          <w:rtl/>
        </w:rPr>
        <w:t xml:space="preserve"> </w:t>
      </w:r>
      <w:r w:rsidR="00281B93">
        <w:rPr>
          <w:rFonts w:hint="cs"/>
          <w:rtl/>
        </w:rPr>
        <w:t xml:space="preserve">      </w:t>
      </w:r>
      <w:r w:rsidR="00A52A04">
        <w:rPr>
          <w:rFonts w:hint="cs"/>
          <w:rtl/>
        </w:rPr>
        <w:t xml:space="preserve">  </w:t>
      </w:r>
      <w:r w:rsidRPr="0042621E">
        <w:rPr>
          <w:rStyle w:val="libFootnote0Char"/>
          <w:rtl/>
        </w:rPr>
        <w:t>(7).</w:t>
      </w:r>
      <w:r w:rsidR="00E3253D" w:rsidRPr="005D642E">
        <w:rPr>
          <w:rtl/>
        </w:rPr>
        <w:t xml:space="preserve"> في « بح ، جح ، جس » : + « في</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حاشية « بح » : « فبعث</w:t>
      </w:r>
      <w:r w:rsidR="00E3253D">
        <w:rPr>
          <w:rtl/>
        </w:rPr>
        <w:t xml:space="preserve"> ».</w:t>
      </w:r>
      <w:r w:rsidR="00E3253D" w:rsidRPr="005D642E">
        <w:rPr>
          <w:rtl/>
        </w:rPr>
        <w:t xml:space="preserve"> وفي البحار : « يبعث</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52A04" w:rsidTr="00A52A04">
        <w:tc>
          <w:tcPr>
            <w:tcW w:w="4006" w:type="dxa"/>
          </w:tcPr>
          <w:p w:rsidR="00A52A04" w:rsidRDefault="00281B93" w:rsidP="00E3253D">
            <w:pPr>
              <w:pStyle w:val="libFootnote0"/>
              <w:rPr>
                <w:rStyle w:val="libFootnote0Char"/>
                <w:rtl/>
              </w:rPr>
            </w:pPr>
            <w:r w:rsidRPr="0042621E">
              <w:rPr>
                <w:rStyle w:val="libFootnote0Char"/>
                <w:rtl/>
              </w:rPr>
              <w:t>(9).</w:t>
            </w:r>
            <w:r w:rsidRPr="005D642E">
              <w:rPr>
                <w:rtl/>
              </w:rPr>
              <w:t xml:space="preserve"> في « جن » : « ملكاً معه</w:t>
            </w:r>
            <w:r>
              <w:rPr>
                <w:rtl/>
              </w:rPr>
              <w:t xml:space="preserve"> ».</w:t>
            </w:r>
          </w:p>
        </w:tc>
        <w:tc>
          <w:tcPr>
            <w:tcW w:w="4006" w:type="dxa"/>
          </w:tcPr>
          <w:p w:rsidR="00A52A04" w:rsidRDefault="00281B93" w:rsidP="00E3253D">
            <w:pPr>
              <w:pStyle w:val="libFootnote0"/>
              <w:rPr>
                <w:rStyle w:val="libFootnote0Char"/>
                <w:rtl/>
              </w:rPr>
            </w:pPr>
            <w:r w:rsidRPr="0042621E">
              <w:rPr>
                <w:rStyle w:val="libFootnote0Char"/>
                <w:rtl/>
              </w:rPr>
              <w:t>(10).</w:t>
            </w:r>
            <w:r w:rsidRPr="005D642E">
              <w:rPr>
                <w:rtl/>
              </w:rPr>
              <w:t xml:space="preserve"> في « بف » :</w:t>
            </w:r>
            <w:r>
              <w:rPr>
                <w:rtl/>
              </w:rPr>
              <w:t xml:space="preserve"> - </w:t>
            </w:r>
            <w:r w:rsidRPr="005D642E">
              <w:rPr>
                <w:rtl/>
              </w:rPr>
              <w:t>« عنه</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الفقيه</w:t>
      </w:r>
      <w:r w:rsidR="00E3253D" w:rsidRPr="005D642E">
        <w:rPr>
          <w:rtl/>
        </w:rPr>
        <w:t xml:space="preserve"> ، ج 1 ، ص 181 ، ح 542 ، معلّقاً عن إسحاق بن عمّار ، مع اختلاف يسير </w:t>
      </w:r>
      <w:r w:rsidR="00281B93">
        <w:rPr>
          <w:rFonts w:hint="cs"/>
          <w:rtl/>
        </w:rPr>
        <w:t>.</w:t>
      </w:r>
      <w:r w:rsidR="00E3253D" w:rsidRPr="002F4D34">
        <w:rPr>
          <w:rStyle w:val="libFootnoteBoldChar"/>
          <w:rtl/>
        </w:rPr>
        <w:t>الوافي</w:t>
      </w:r>
      <w:r w:rsidR="00E3253D" w:rsidRPr="005D642E">
        <w:rPr>
          <w:rtl/>
        </w:rPr>
        <w:t xml:space="preserve"> ، ج 25 ، ص 629 ، </w:t>
      </w:r>
      <w:r w:rsidR="00281B93">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521" w:name="_Toc344647385"/>
      <w:bookmarkStart w:id="522" w:name="_Toc462226899"/>
      <w:bookmarkStart w:id="523" w:name="_Toc40976007"/>
      <w:r w:rsidRPr="005D642E">
        <w:rPr>
          <w:rtl/>
          <w:lang w:bidi="fa-IR"/>
        </w:rPr>
        <w:t>87</w:t>
      </w:r>
      <w:r>
        <w:rPr>
          <w:rtl/>
          <w:lang w:bidi="fa-IR"/>
        </w:rPr>
        <w:t xml:space="preserve"> </w:t>
      </w:r>
      <w:r w:rsidR="007642BC">
        <w:rPr>
          <w:rtl/>
          <w:lang w:bidi="fa-IR"/>
        </w:rPr>
        <w:t>-</w:t>
      </w:r>
      <w:r>
        <w:rPr>
          <w:rtl/>
          <w:lang w:bidi="fa-IR"/>
        </w:rPr>
        <w:t xml:space="preserve"> </w:t>
      </w:r>
      <w:r w:rsidRPr="005D642E">
        <w:rPr>
          <w:rtl/>
          <w:lang w:bidi="fa-IR"/>
        </w:rPr>
        <w:t>بَابُ أَنَّ الْمَيِّتَ يُمَثَّلُ لَهُ مَالُهُ وَوَلَدُهُ وَعَمَلُهُ قَبْلَ مَوْتِهِ‌</w:t>
      </w:r>
      <w:bookmarkEnd w:id="521"/>
      <w:bookmarkEnd w:id="522"/>
      <w:bookmarkEnd w:id="523"/>
    </w:p>
    <w:p w:rsidR="00281B93" w:rsidRDefault="00E3253D" w:rsidP="00281B93">
      <w:pPr>
        <w:pStyle w:val="libNormal"/>
        <w:rPr>
          <w:rtl/>
          <w:lang w:bidi="fa-IR"/>
        </w:rPr>
      </w:pPr>
      <w:r w:rsidRPr="00BC7B20">
        <w:rPr>
          <w:rtl/>
        </w:rPr>
        <w:t>4691</w:t>
      </w:r>
      <w:r w:rsidRPr="00246318">
        <w:rPr>
          <w:rStyle w:val="libBold2Char"/>
          <w:rtl/>
        </w:rPr>
        <w:t xml:space="preserve"> / 1.</w:t>
      </w:r>
      <w:r w:rsidRPr="005D642E">
        <w:rPr>
          <w:rtl/>
          <w:lang w:bidi="fa-IR"/>
        </w:rPr>
        <w:t xml:space="preserve"> عَلِيُّ بْنُ إِبْرَاهِيمَ ، عَنْ أَبِيهِ ، عَنْ عَمْرِو بْنِ عُثْمَانَ ؛</w:t>
      </w:r>
    </w:p>
    <w:p w:rsidR="00281B93" w:rsidRDefault="00281B93" w:rsidP="00281B93">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(1)</w:t>
      </w:r>
      <w:r w:rsidR="00E3253D" w:rsidRPr="005D642E">
        <w:rPr>
          <w:rtl/>
          <w:lang w:bidi="fa-IR"/>
        </w:rPr>
        <w:t xml:space="preserve"> عِدَّةٌ مِنْ أَصْحَابِنَا ، عَنْ سَهْلِ بْنِ زِيَادٍ ، عَنْ أَحْمَدَ بْنِ مُحَمَّدِ بْنِ أَبِي نَصْرٍ وَالْحَسَنُ بْنُ عَلِيٍّ جَمِيعاً ، عَنْ أَبِي جَمِيلَةَ مُفَضَّلِ بْنِ صَالِحٍ ، عَنْ جَابِرٍ ، عَنْ عَبْدِ الْأَعْلى ؛</w:t>
      </w:r>
    </w:p>
    <w:p w:rsidR="00E3253D" w:rsidRPr="005D642E" w:rsidRDefault="00281B93" w:rsidP="00281B93">
      <w:pPr>
        <w:pStyle w:val="libNormal"/>
        <w:rPr>
          <w:rtl/>
          <w:lang w:bidi="fa-IR"/>
        </w:rPr>
      </w:pPr>
      <w:r>
        <w:rPr>
          <w:rFonts w:hint="cs"/>
          <w:rtl/>
          <w:lang w:bidi="fa-IR"/>
        </w:rPr>
        <w:t xml:space="preserve">              </w:t>
      </w:r>
      <w:r w:rsidR="00E3253D" w:rsidRPr="005D642E">
        <w:rPr>
          <w:rtl/>
          <w:lang w:bidi="fa-IR"/>
        </w:rPr>
        <w:t xml:space="preserve">وَعَلِيُّ بْنُ إِبْرَاهِيمَ ، عَنْ مُحَمَّدِ بْنِ عِيسى ، عَنْ يُونُسَ ، عَنْ إِبْرَاهِيمَ بْنِ </w:t>
      </w:r>
      <w:r w:rsidR="00E3253D" w:rsidRPr="007C12DB">
        <w:rPr>
          <w:rStyle w:val="libFootnotenumChar"/>
          <w:rtl/>
        </w:rPr>
        <w:t>(2)</w:t>
      </w:r>
      <w:r w:rsidR="00E3253D"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281B93" w:rsidP="00E3253D">
      <w:pPr>
        <w:pStyle w:val="libFootnote0"/>
        <w:rPr>
          <w:rtl/>
          <w:lang w:bidi="fa-IR"/>
        </w:rPr>
      </w:pPr>
      <w:r>
        <w:rPr>
          <w:rFonts w:hint="cs"/>
          <w:rtl/>
        </w:rPr>
        <w:t xml:space="preserve">= </w:t>
      </w:r>
      <w:r w:rsidR="00E3253D" w:rsidRPr="005D642E">
        <w:rPr>
          <w:rtl/>
        </w:rPr>
        <w:t xml:space="preserve">ح 24777 ؛ </w:t>
      </w:r>
      <w:r w:rsidR="00E3253D" w:rsidRPr="002F4D34">
        <w:rPr>
          <w:rStyle w:val="libFootnoteBoldChar"/>
          <w:rtl/>
        </w:rPr>
        <w:t>البحار</w:t>
      </w:r>
      <w:r w:rsidR="00E3253D" w:rsidRPr="005D642E">
        <w:rPr>
          <w:rtl/>
        </w:rPr>
        <w:t xml:space="preserve"> ، ج 6 ، ص 257 ، ح 93.</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السند تحويل ، وللمصنّف إلى سويد بن غفلة ثلاثة طرق :</w:t>
      </w:r>
    </w:p>
    <w:p w:rsidR="00E3253D" w:rsidRPr="005D642E" w:rsidRDefault="00E3253D" w:rsidP="00B60612">
      <w:pPr>
        <w:pStyle w:val="libFootnote0"/>
        <w:rPr>
          <w:rtl/>
          <w:lang w:bidi="fa-IR"/>
        </w:rPr>
      </w:pPr>
      <w:r w:rsidRPr="0095070A">
        <w:rPr>
          <w:rtl/>
        </w:rPr>
        <w:t>الأوّل : عليّ بن إبراهيم ، عن أبيه ، عن عمرو بن عثمان ، عن أبي جميلة مفضّل بن صالح ، عن جابر ، عن عبدالأعلى.</w:t>
      </w:r>
    </w:p>
    <w:p w:rsidR="00E3253D" w:rsidRPr="005D642E" w:rsidRDefault="00E3253D" w:rsidP="00B60612">
      <w:pPr>
        <w:pStyle w:val="libFootnote0"/>
        <w:rPr>
          <w:rtl/>
          <w:lang w:bidi="fa-IR"/>
        </w:rPr>
      </w:pPr>
      <w:r w:rsidRPr="0095070A">
        <w:rPr>
          <w:rtl/>
        </w:rPr>
        <w:t>الثاني : عدّة من أصحابنا ، عن سهل بن زياد ، عن أحمد بن محمّد بن أبي نصر والحسن بن عليّ جميعاً ، عن أبي جميلة مفضّل بن صالح ، عن جابر ، عن عبدالأعلى.</w:t>
      </w:r>
    </w:p>
    <w:p w:rsidR="00E3253D" w:rsidRPr="005D642E" w:rsidRDefault="00E3253D" w:rsidP="00B60612">
      <w:pPr>
        <w:pStyle w:val="libFootnote0"/>
        <w:rPr>
          <w:rtl/>
          <w:lang w:bidi="fa-IR"/>
        </w:rPr>
      </w:pPr>
      <w:r w:rsidRPr="0095070A">
        <w:rPr>
          <w:rtl/>
        </w:rPr>
        <w:t>الثالث : عليّ بن إبراهيم ، عن محمّد بن عيسى ، عن يونس ، عن إبراهيم بن عبد الأعلى.</w:t>
      </w:r>
    </w:p>
    <w:p w:rsidR="00E3253D" w:rsidRPr="005D642E" w:rsidRDefault="00E3253D" w:rsidP="00B60612">
      <w:pPr>
        <w:pStyle w:val="libFootnote0"/>
        <w:rPr>
          <w:rtl/>
          <w:lang w:bidi="fa-IR"/>
        </w:rPr>
      </w:pPr>
      <w:r w:rsidRPr="0095070A">
        <w:rPr>
          <w:rtl/>
        </w:rPr>
        <w:t>ثمّ إنّ الظاهر أنّ عبدالأعلى في انتهاء الطريقين الأوّلين محرّف من « ابن عبدالأعلى » أو « إبراهيم بن عبد الأعلى » كما سنشير إليه.</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ظ ، ى ، بث ، بح ، بف ، جح ، جن » والبحار. وفي « جن » والمطبوع والوسائل : « عن » بدل « بن</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 فقد روى الشيخ الطوسي الخبر في </w:t>
      </w:r>
      <w:r w:rsidRPr="00BC7B20">
        <w:rPr>
          <w:rtl/>
        </w:rPr>
        <w:t>أماليه</w:t>
      </w:r>
      <w:r w:rsidRPr="00B60612">
        <w:rPr>
          <w:rtl/>
        </w:rPr>
        <w:t xml:space="preserve"> ، ص 347 ، ح 719 ، بسنده عن جابر ، عن إبراهيم بن عبدالأعلى ، عن سويد بن غَفَلة ، عن عليّ بن أبي طالب </w:t>
      </w:r>
      <w:r w:rsidRPr="00281B93">
        <w:rPr>
          <w:rStyle w:val="libFootnoteAlaemChar"/>
          <w:rtl/>
        </w:rPr>
        <w:t>عليه‌السلام</w:t>
      </w:r>
      <w:r w:rsidRPr="00B60612">
        <w:rPr>
          <w:rtl/>
        </w:rPr>
        <w:t xml:space="preserve"> وعبدالله بن عبّاس.</w:t>
      </w:r>
    </w:p>
    <w:p w:rsidR="00E3253D" w:rsidRPr="005D642E" w:rsidRDefault="00E3253D" w:rsidP="00E3253D">
      <w:pPr>
        <w:pStyle w:val="libFootnote0"/>
        <w:rPr>
          <w:rtl/>
          <w:lang w:bidi="fa-IR"/>
        </w:rPr>
      </w:pPr>
      <w:r w:rsidRPr="00B60612">
        <w:rPr>
          <w:rtl/>
        </w:rPr>
        <w:t xml:space="preserve">وقد عُدَّ إبراهيم بن عبدالأعلى الجعفي من رواة سويد بن غفلة ، كما عُدَّ يونس بن أبي إسحاق السبيعي من رواة إبراهيم بن عبدالأعلى. راجع : </w:t>
      </w:r>
      <w:r w:rsidRPr="002F4D34">
        <w:rPr>
          <w:rStyle w:val="libFootnoteBoldChar"/>
          <w:rtl/>
        </w:rPr>
        <w:t>تهذيب الكمال</w:t>
      </w:r>
      <w:r w:rsidRPr="00B60612">
        <w:rPr>
          <w:rtl/>
        </w:rPr>
        <w:t xml:space="preserve"> ، ج 2 ، ص 131 ، الرقم 200 ؛ وج 12 ، ص 265 ، الرقم 2647.</w:t>
      </w:r>
    </w:p>
    <w:p w:rsidR="00E3253D" w:rsidRPr="005D642E" w:rsidRDefault="00E3253D" w:rsidP="00E3253D">
      <w:pPr>
        <w:pStyle w:val="libFootnote0"/>
        <w:rPr>
          <w:rtl/>
          <w:lang w:bidi="fa-IR"/>
        </w:rPr>
      </w:pPr>
      <w:r w:rsidRPr="00B60612">
        <w:rPr>
          <w:rtl/>
        </w:rPr>
        <w:t xml:space="preserve">هذا ، وما ورد في </w:t>
      </w:r>
      <w:r w:rsidRPr="0035521A">
        <w:rPr>
          <w:rStyle w:val="libFootnoteBoldChar"/>
          <w:rtl/>
        </w:rPr>
        <w:t>الأمالي للطوسي</w:t>
      </w:r>
      <w:r w:rsidRPr="00B60612">
        <w:rPr>
          <w:rtl/>
        </w:rPr>
        <w:t xml:space="preserve"> يؤيّد ما أشرنا إليه ؛ من وقوع التحريف في « عبدالأعلى » في الطريقين الأوّلين. ويوكّده أنّ عبدالأعلى في أسنادنا منصرف إلى عبدالأعلى بن أعين مولى آل سام ، ولم نجد في موضع رواية جابر </w:t>
      </w:r>
      <w:r w:rsidR="007642BC" w:rsidRPr="00B60612">
        <w:rPr>
          <w:rtl/>
        </w:rPr>
        <w:t>-</w:t>
      </w:r>
      <w:r w:rsidRPr="00B60612">
        <w:rPr>
          <w:rtl/>
        </w:rPr>
        <w:t xml:space="preserve"> وهو ابن يزيد الجعفي </w:t>
      </w:r>
      <w:r w:rsidR="007642BC" w:rsidRPr="00B60612">
        <w:rPr>
          <w:rtl/>
        </w:rPr>
        <w:t>-</w:t>
      </w:r>
      <w:r w:rsidRPr="00B60612">
        <w:rPr>
          <w:rtl/>
        </w:rPr>
        <w:t xml:space="preserve"> عنه ، ولا روايته عن سويد بن غفلة.</w:t>
      </w:r>
    </w:p>
    <w:p w:rsidR="00E3253D" w:rsidRPr="005D642E" w:rsidRDefault="00E3253D" w:rsidP="00B60612">
      <w:pPr>
        <w:pStyle w:val="libFootnote0"/>
        <w:rPr>
          <w:rtl/>
          <w:lang w:bidi="fa-IR"/>
        </w:rPr>
      </w:pPr>
      <w:r w:rsidRPr="0095070A">
        <w:rPr>
          <w:rtl/>
        </w:rPr>
        <w:t>ثمّ إنّ يونس في مشايخ محمّد بن عيسى ، هو يونس بن عبدالرحمن ، ولم نجد روايته عن إبراهيم بن عبدالأعلى ، وقد تقدّم آنفاً أنّ يونس الراوي عن إبراهيم بن عبدالأعلى هو يونس بن أبي إسحاق السبيعي ، ويونس هذا ليس من مشايخ محمّد بن عيسى.</w:t>
      </w:r>
    </w:p>
    <w:p w:rsidR="00E3253D" w:rsidRPr="005D642E" w:rsidRDefault="00E3253D" w:rsidP="00B60612">
      <w:pPr>
        <w:pStyle w:val="libFootnote0"/>
        <w:rPr>
          <w:rtl/>
          <w:lang w:bidi="fa-IR"/>
        </w:rPr>
      </w:pPr>
      <w:r w:rsidRPr="0095070A">
        <w:rPr>
          <w:rtl/>
        </w:rPr>
        <w:t>والمظنون أنّ المصنّف سها في تطبيق يونس في ما نحن فيه على يونس بن عبدالرحمن ، ثمّ أضاف طريقه المعروف إليه.</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عَبْدِ الْأَعْلى ، عَنْ سُوَيْدِ بْنِ غَفَلَةَ ، قَالَ :</w:t>
      </w:r>
    </w:p>
    <w:p w:rsidR="00E3253D" w:rsidRPr="005D642E" w:rsidRDefault="00E3253D" w:rsidP="00E3253D">
      <w:pPr>
        <w:pStyle w:val="libNormal"/>
        <w:rPr>
          <w:rtl/>
          <w:lang w:bidi="fa-IR"/>
        </w:rPr>
      </w:pPr>
      <w:r w:rsidRPr="005D642E">
        <w:rPr>
          <w:rtl/>
          <w:lang w:bidi="fa-IR"/>
        </w:rPr>
        <w:t xml:space="preserve">قَالَ أَمِيرُ الْمُؤْمِنِينَ </w:t>
      </w:r>
      <w:r w:rsidRPr="00AC51C5">
        <w:rPr>
          <w:rStyle w:val="libAlaemChar"/>
          <w:rtl/>
        </w:rPr>
        <w:t>عليه‌السلام</w:t>
      </w:r>
      <w:r w:rsidRPr="005D642E">
        <w:rPr>
          <w:rtl/>
          <w:lang w:bidi="fa-IR"/>
        </w:rPr>
        <w:t xml:space="preserve"> : « إِنَّ ابْنَ آدَمَ إِذَا كَانَ فِي آخِرِ يَوْمٍ مِنْ أَيَّامِ الدُّنْيَا وَأَوَّلِ يَوْمٍ مِنْ أَيَّامِ الْآخِرَةِ </w:t>
      </w:r>
      <w:r w:rsidRPr="007C12DB">
        <w:rPr>
          <w:rStyle w:val="libFootnotenumChar"/>
          <w:rtl/>
        </w:rPr>
        <w:t>(1)</w:t>
      </w:r>
      <w:r w:rsidRPr="005D642E">
        <w:rPr>
          <w:rtl/>
          <w:lang w:bidi="fa-IR"/>
        </w:rPr>
        <w:t xml:space="preserve"> ، مُثِّلَ لَهُ مَالُهُ وَوَلَدُهُ وَعَمَلُهُ ، فَيَلْتَفِتُ إِلى مَالِهِ ، فَيَقُولُ : وَاللهِ ، إِنِّي </w:t>
      </w:r>
      <w:r w:rsidRPr="007C12DB">
        <w:rPr>
          <w:rStyle w:val="libFootnotenumChar"/>
          <w:rtl/>
        </w:rPr>
        <w:t>(2)</w:t>
      </w:r>
      <w:r w:rsidRPr="005D642E">
        <w:rPr>
          <w:rtl/>
          <w:lang w:bidi="fa-IR"/>
        </w:rPr>
        <w:t xml:space="preserve"> كُنْتُ عَلَيْكَ حَرِيصاً </w:t>
      </w:r>
      <w:r w:rsidRPr="007C12DB">
        <w:rPr>
          <w:rStyle w:val="libFootnotenumChar"/>
          <w:rtl/>
        </w:rPr>
        <w:t>(3)</w:t>
      </w:r>
      <w:r w:rsidRPr="005D642E">
        <w:rPr>
          <w:rtl/>
          <w:lang w:bidi="fa-IR"/>
        </w:rPr>
        <w:t xml:space="preserve"> شَحِيحاً </w:t>
      </w:r>
      <w:r w:rsidRPr="007C12DB">
        <w:rPr>
          <w:rStyle w:val="libFootnotenumChar"/>
          <w:rtl/>
        </w:rPr>
        <w:t>(4)</w:t>
      </w:r>
      <w:r w:rsidRPr="005D642E">
        <w:rPr>
          <w:rtl/>
          <w:lang w:bidi="fa-IR"/>
        </w:rPr>
        <w:t xml:space="preserve"> ، فَمَا لِي عِنْدَكَ</w:t>
      </w:r>
      <w:r>
        <w:rPr>
          <w:rtl/>
          <w:lang w:bidi="fa-IR"/>
        </w:rPr>
        <w:t>؟</w:t>
      </w:r>
      <w:r w:rsidRPr="005D642E">
        <w:rPr>
          <w:rtl/>
          <w:lang w:bidi="fa-IR"/>
        </w:rPr>
        <w:t xml:space="preserve"> فَيَقُولُ : خُذْ مِنِّي كَفَنَكَ</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فَيَلْتَفِتُ إِلى وَلَدِهِ ، فَيَقُولُ </w:t>
      </w:r>
      <w:r w:rsidRPr="007C12DB">
        <w:rPr>
          <w:rStyle w:val="libFootnotenumChar"/>
          <w:rtl/>
        </w:rPr>
        <w:t>(5)</w:t>
      </w:r>
      <w:r w:rsidRPr="005D642E">
        <w:rPr>
          <w:rtl/>
          <w:lang w:bidi="fa-IR"/>
        </w:rPr>
        <w:t xml:space="preserve"> : وَاللهِ ، إِنِّي كُنْتُ </w:t>
      </w:r>
      <w:r w:rsidRPr="007C12DB">
        <w:rPr>
          <w:rStyle w:val="libFootnotenumChar"/>
          <w:rtl/>
        </w:rPr>
        <w:t>(6)</w:t>
      </w:r>
      <w:r w:rsidRPr="005D642E">
        <w:rPr>
          <w:rtl/>
          <w:lang w:bidi="fa-IR"/>
        </w:rPr>
        <w:t xml:space="preserve"> لَكُمْ مُحِبّاً ، وَإِنِّي كُنْتُ عَلَيْكُمْ مُحَامِياً ، فَمَاذَا لِي </w:t>
      </w:r>
      <w:r w:rsidRPr="007C12DB">
        <w:rPr>
          <w:rStyle w:val="libFootnotenumChar"/>
          <w:rtl/>
        </w:rPr>
        <w:t>(7)</w:t>
      </w:r>
      <w:r w:rsidRPr="005D642E">
        <w:rPr>
          <w:rtl/>
          <w:lang w:bidi="fa-IR"/>
        </w:rPr>
        <w:t xml:space="preserve"> عِنْدَكُمْ</w:t>
      </w:r>
      <w:r>
        <w:rPr>
          <w:rtl/>
          <w:lang w:bidi="fa-IR"/>
        </w:rPr>
        <w:t>؟</w:t>
      </w:r>
      <w:r w:rsidRPr="005D642E">
        <w:rPr>
          <w:rtl/>
          <w:lang w:bidi="fa-IR"/>
        </w:rPr>
        <w:t xml:space="preserve"> فَيَقُولُونَ : نُؤَدِّيكَ </w:t>
      </w:r>
      <w:r w:rsidRPr="007C12DB">
        <w:rPr>
          <w:rStyle w:val="libFootnotenumChar"/>
          <w:rtl/>
        </w:rPr>
        <w:t>(8)</w:t>
      </w:r>
      <w:r w:rsidRPr="005D642E">
        <w:rPr>
          <w:rtl/>
          <w:lang w:bidi="fa-IR"/>
        </w:rPr>
        <w:t xml:space="preserve"> إِلى حُفْرَتِكَ نُوَارِيكَ </w:t>
      </w:r>
      <w:r w:rsidRPr="007C12DB">
        <w:rPr>
          <w:rStyle w:val="libFootnotenumChar"/>
          <w:rtl/>
        </w:rPr>
        <w:t>(9)</w:t>
      </w:r>
      <w:r w:rsidRPr="005D642E">
        <w:rPr>
          <w:rtl/>
          <w:lang w:bidi="fa-IR"/>
        </w:rPr>
        <w:t xml:space="preserve"> فِيهَا</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(10)</w:t>
      </w:r>
      <w:r w:rsidRPr="005D642E">
        <w:rPr>
          <w:rtl/>
          <w:lang w:bidi="fa-IR"/>
        </w:rPr>
        <w:t xml:space="preserve"> : « فَيَلْتَفِتُ إِلى عَمَلِهِ ، فَيَقُولُ : وَاللهِ ، إِنِّي </w:t>
      </w:r>
      <w:r w:rsidRPr="007C12DB">
        <w:rPr>
          <w:rStyle w:val="libFootnotenumChar"/>
          <w:rtl/>
        </w:rPr>
        <w:t>(11)</w:t>
      </w:r>
      <w:r w:rsidRPr="005D642E">
        <w:rPr>
          <w:rtl/>
          <w:lang w:bidi="fa-IR"/>
        </w:rPr>
        <w:t xml:space="preserve"> كُنْتُ فِيكَ لَزَاهِداً وَإِنْ كُنْتَ عَلَيَّ </w:t>
      </w:r>
      <w:r w:rsidRPr="007C12DB">
        <w:rPr>
          <w:rStyle w:val="libFootnotenumChar"/>
          <w:rtl/>
        </w:rPr>
        <w:t>(12)</w:t>
      </w:r>
      <w:r w:rsidRPr="005D642E">
        <w:rPr>
          <w:rtl/>
          <w:lang w:bidi="fa-IR"/>
        </w:rPr>
        <w:t xml:space="preserve"> لَثَقِيلاً ، فَمَاذَا عِنْدَكَ </w:t>
      </w:r>
      <w:r w:rsidRPr="007C12DB">
        <w:rPr>
          <w:rStyle w:val="libFootnotenumChar"/>
          <w:rtl/>
        </w:rPr>
        <w:t>(13)</w:t>
      </w:r>
      <w:r>
        <w:rPr>
          <w:rtl/>
          <w:lang w:bidi="fa-IR"/>
        </w:rPr>
        <w:t>؟</w:t>
      </w:r>
      <w:r w:rsidRPr="005D642E">
        <w:rPr>
          <w:rtl/>
          <w:lang w:bidi="fa-IR"/>
        </w:rPr>
        <w:t xml:space="preserve"> فَيَقُولُ : أَنَا قَرِينُكَ فِي قَبْرِكَ وَيَوْمِ نَشْرِكَ حَتّى أُعْرَضَ أَنَا‌</w:t>
      </w:r>
      <w:r>
        <w:rPr>
          <w:rFonts w:hint="cs"/>
          <w:rtl/>
          <w:lang w:bidi="fa-IR"/>
        </w:rPr>
        <w:t xml:space="preserve"> </w:t>
      </w:r>
      <w:r w:rsidRPr="005D642E">
        <w:rPr>
          <w:rtl/>
          <w:lang w:bidi="fa-IR"/>
        </w:rPr>
        <w:t>وَأَنْتَ عَلى رَبِّكَ</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فَإِنْ كَانَ لِلّهِ </w:t>
      </w:r>
      <w:r w:rsidRPr="007C12DB">
        <w:rPr>
          <w:rStyle w:val="libFootnotenumChar"/>
          <w:rtl/>
        </w:rPr>
        <w:t>(14)</w:t>
      </w:r>
      <w:r w:rsidRPr="005D642E">
        <w:rPr>
          <w:rtl/>
          <w:lang w:bidi="fa-IR"/>
        </w:rPr>
        <w:t xml:space="preserve"> وَلِيّاً ، أَتَاهُ </w:t>
      </w:r>
      <w:r w:rsidRPr="007C12DB">
        <w:rPr>
          <w:rStyle w:val="libFootnotenumChar"/>
          <w:rtl/>
        </w:rPr>
        <w:t>(15)</w:t>
      </w:r>
      <w:r w:rsidRPr="005D642E">
        <w:rPr>
          <w:rtl/>
          <w:lang w:bidi="fa-IR"/>
        </w:rPr>
        <w:t xml:space="preserve"> أَطْيَبُ النَّاسِ رِيحاً ، وَأَحْسَنُهُمْ مَنْظَراً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 « الا</w:t>
      </w:r>
      <w:r w:rsidR="005800B7">
        <w:rPr>
          <w:rFonts w:hint="cs"/>
          <w:rtl/>
        </w:rPr>
        <w:t>ُ</w:t>
      </w:r>
      <w:r w:rsidR="00E3253D" w:rsidRPr="005D642E">
        <w:rPr>
          <w:rtl/>
        </w:rPr>
        <w:t>خرى</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جح » : « إن</w:t>
      </w:r>
      <w:r w:rsidR="00E3253D">
        <w:rPr>
          <w:rtl/>
        </w:rPr>
        <w:t xml:space="preserve"> ».</w:t>
      </w:r>
    </w:p>
    <w:p w:rsidR="00E3253D" w:rsidRPr="005D642E" w:rsidRDefault="0042621E" w:rsidP="005800B7">
      <w:pPr>
        <w:pStyle w:val="libFootnote0"/>
        <w:rPr>
          <w:rtl/>
          <w:lang w:bidi="fa-IR"/>
        </w:rPr>
      </w:pPr>
      <w:r w:rsidRPr="0042621E">
        <w:rPr>
          <w:rStyle w:val="libFootnote0Char"/>
          <w:rtl/>
        </w:rPr>
        <w:t>(3).</w:t>
      </w:r>
      <w:r w:rsidR="00E3253D" w:rsidRPr="005D642E">
        <w:rPr>
          <w:rtl/>
        </w:rPr>
        <w:t xml:space="preserve"> في « جح » </w:t>
      </w:r>
      <w:r w:rsidR="009E68BB" w:rsidRPr="009E68BB">
        <w:rPr>
          <w:rStyle w:val="libFootnoteBoldChar"/>
          <w:rtl/>
        </w:rPr>
        <w:t>و</w:t>
      </w:r>
      <w:r w:rsidR="005800B7">
        <w:rPr>
          <w:rStyle w:val="libFootnoteBoldChar"/>
          <w:rFonts w:hint="cs"/>
          <w:rtl/>
        </w:rPr>
        <w:t>الفقيه</w:t>
      </w:r>
      <w:r w:rsidR="00E3253D" w:rsidRPr="005D642E">
        <w:rPr>
          <w:rtl/>
        </w:rPr>
        <w:t xml:space="preserve"> وتفسير القمّي </w:t>
      </w:r>
      <w:r w:rsidR="009E68BB" w:rsidRPr="009E68BB">
        <w:rPr>
          <w:rStyle w:val="libFootnoteBoldChar"/>
          <w:rtl/>
        </w:rPr>
        <w:t>وتفسير العيّاشي</w:t>
      </w:r>
      <w:r w:rsidR="00E3253D" w:rsidRPr="005D642E">
        <w:rPr>
          <w:rtl/>
        </w:rPr>
        <w:t xml:space="preserve"> ، ص 227 : « لحريصاً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5800B7">
        <w:rPr>
          <w:rtl/>
        </w:rPr>
        <w:t>الشحّ : البخل مع حرص. قال العل</w:t>
      </w:r>
      <w:r w:rsidR="005800B7">
        <w:rPr>
          <w:rFonts w:hint="cs"/>
          <w:rtl/>
        </w:rPr>
        <w:t>ّ</w:t>
      </w:r>
      <w:r w:rsidR="005800B7">
        <w:rPr>
          <w:rtl/>
        </w:rPr>
        <w:t>ا</w:t>
      </w:r>
      <w:r w:rsidR="00E3253D" w:rsidRPr="005D642E">
        <w:rPr>
          <w:rtl/>
        </w:rPr>
        <w:t>مة المجلسي : « فالحرص في الجمع ، والشحّ في الضبط وعدم البذل ، والزهد في الشي‌ء عند الرغبة فيه</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1 ، ص 378 ( شحح ) ؛ </w:t>
      </w:r>
      <w:r w:rsidR="00E3253D" w:rsidRPr="002F4D34">
        <w:rPr>
          <w:rStyle w:val="libFootnoteBoldChar"/>
          <w:rtl/>
        </w:rPr>
        <w:t>مرآة العقول</w:t>
      </w:r>
      <w:r w:rsidR="00E3253D" w:rsidRPr="005D642E">
        <w:rPr>
          <w:rtl/>
        </w:rPr>
        <w:t xml:space="preserve"> ، ج 14 ، ص 198.</w:t>
      </w:r>
    </w:p>
    <w:tbl>
      <w:tblPr>
        <w:tblStyle w:val="TableGrid"/>
        <w:bidiVisual/>
        <w:tblW w:w="0" w:type="auto"/>
        <w:tblLook w:val="04A0" w:firstRow="1" w:lastRow="0" w:firstColumn="1" w:lastColumn="0" w:noHBand="0" w:noVBand="1"/>
      </w:tblPr>
      <w:tblGrid>
        <w:gridCol w:w="4006"/>
        <w:gridCol w:w="4006"/>
      </w:tblGrid>
      <w:tr w:rsidR="005800B7" w:rsidTr="005800B7">
        <w:tc>
          <w:tcPr>
            <w:tcW w:w="4006" w:type="dxa"/>
          </w:tcPr>
          <w:p w:rsidR="005800B7" w:rsidRDefault="005800B7" w:rsidP="00E3253D">
            <w:pPr>
              <w:pStyle w:val="libFootnote0"/>
              <w:rPr>
                <w:rStyle w:val="libFootnote0Char"/>
                <w:rtl/>
              </w:rPr>
            </w:pPr>
            <w:r w:rsidRPr="0042621E">
              <w:rPr>
                <w:rStyle w:val="libFootnote0Char"/>
                <w:rtl/>
              </w:rPr>
              <w:t>(5).</w:t>
            </w:r>
            <w:r>
              <w:rPr>
                <w:rtl/>
              </w:rPr>
              <w:t xml:space="preserve"> في «جس»</w:t>
            </w:r>
            <w:r w:rsidRPr="005D642E">
              <w:rPr>
                <w:rtl/>
              </w:rPr>
              <w:t>:</w:t>
            </w:r>
            <w:r>
              <w:rPr>
                <w:rtl/>
              </w:rPr>
              <w:t>-«</w:t>
            </w:r>
            <w:r w:rsidRPr="005D642E">
              <w:rPr>
                <w:rtl/>
              </w:rPr>
              <w:t>خذ منّي كفنك</w:t>
            </w:r>
            <w:r>
              <w:rPr>
                <w:rtl/>
              </w:rPr>
              <w:t>-</w:t>
            </w:r>
            <w:r w:rsidRPr="005D642E">
              <w:rPr>
                <w:rtl/>
              </w:rPr>
              <w:t>إلى</w:t>
            </w:r>
            <w:r>
              <w:rPr>
                <w:rtl/>
              </w:rPr>
              <w:t xml:space="preserve">- </w:t>
            </w:r>
            <w:r w:rsidRPr="005D642E">
              <w:rPr>
                <w:rtl/>
              </w:rPr>
              <w:t>فيقول</w:t>
            </w:r>
            <w:r>
              <w:rPr>
                <w:rtl/>
              </w:rPr>
              <w:t>».</w:t>
            </w:r>
          </w:p>
        </w:tc>
        <w:tc>
          <w:tcPr>
            <w:tcW w:w="4006" w:type="dxa"/>
          </w:tcPr>
          <w:p w:rsidR="005800B7" w:rsidRDefault="005800B7" w:rsidP="00E3253D">
            <w:pPr>
              <w:pStyle w:val="libFootnote0"/>
              <w:rPr>
                <w:rStyle w:val="libFootnote0Char"/>
                <w:rtl/>
              </w:rPr>
            </w:pPr>
            <w:r w:rsidRPr="0042621E">
              <w:rPr>
                <w:rStyle w:val="libFootnote0Char"/>
                <w:rtl/>
              </w:rPr>
              <w:t>(6).</w:t>
            </w:r>
            <w:r w:rsidRPr="005D642E">
              <w:rPr>
                <w:rtl/>
              </w:rPr>
              <w:t xml:space="preserve"> في « بث ، بح » : « لكنت</w:t>
            </w:r>
            <w:r>
              <w:rPr>
                <w:rtl/>
              </w:rPr>
              <w:t xml:space="preserve"> ».</w:t>
            </w:r>
          </w:p>
        </w:tc>
      </w:tr>
    </w:tbl>
    <w:p w:rsidR="00E3253D" w:rsidRPr="005D642E" w:rsidRDefault="0042621E" w:rsidP="005800B7">
      <w:pPr>
        <w:pStyle w:val="libFootnote0"/>
        <w:rPr>
          <w:rtl/>
          <w:lang w:bidi="fa-IR"/>
        </w:rPr>
      </w:pPr>
      <w:r w:rsidRPr="0042621E">
        <w:rPr>
          <w:rStyle w:val="libFootnote0Char"/>
          <w:rtl/>
        </w:rPr>
        <w:t>(7).</w:t>
      </w:r>
      <w:r w:rsidR="00E3253D" w:rsidRPr="005D642E">
        <w:rPr>
          <w:rtl/>
        </w:rPr>
        <w:t xml:space="preserve"> في « ظ ، بث ، بح ، بس ، جح ، جس ، جن » والوسائل </w:t>
      </w:r>
      <w:r w:rsidR="009E68BB" w:rsidRPr="009E68BB">
        <w:rPr>
          <w:rStyle w:val="libFootnoteBoldChar"/>
          <w:rtl/>
        </w:rPr>
        <w:t>و</w:t>
      </w:r>
      <w:r w:rsidR="005800B7">
        <w:rPr>
          <w:rStyle w:val="libFootnoteBoldChar"/>
          <w:rFonts w:hint="cs"/>
          <w:rtl/>
        </w:rPr>
        <w:t>الفقيه</w:t>
      </w:r>
      <w:r w:rsidR="00E3253D" w:rsidRPr="005D642E">
        <w:rPr>
          <w:rtl/>
        </w:rPr>
        <w:t xml:space="preserve"> وتفسير القمّي </w:t>
      </w:r>
      <w:r w:rsidR="009E68BB" w:rsidRPr="009E68BB">
        <w:rPr>
          <w:rStyle w:val="libFootnoteBoldChar"/>
          <w:rtl/>
        </w:rPr>
        <w:t>وتفسير العيّاشي</w:t>
      </w:r>
      <w:r w:rsidR="00E3253D" w:rsidRPr="005D642E">
        <w:rPr>
          <w:rtl/>
        </w:rPr>
        <w:t xml:space="preserve"> ، ص 227 :</w:t>
      </w:r>
      <w:r w:rsidR="00E3253D">
        <w:rPr>
          <w:rtl/>
        </w:rPr>
        <w:t xml:space="preserve"> </w:t>
      </w:r>
      <w:r w:rsidR="007642BC">
        <w:rPr>
          <w:rtl/>
        </w:rPr>
        <w:t>-</w:t>
      </w:r>
      <w:r w:rsidR="00E3253D">
        <w:rPr>
          <w:rtl/>
        </w:rPr>
        <w:t xml:space="preserve"> </w:t>
      </w:r>
      <w:r w:rsidR="00E3253D" w:rsidRPr="005D642E">
        <w:rPr>
          <w:rtl/>
        </w:rPr>
        <w:t>« لي</w:t>
      </w:r>
      <w:r w:rsidR="00E3253D">
        <w:rPr>
          <w:rtl/>
        </w:rPr>
        <w:t xml:space="preserve"> ».</w:t>
      </w:r>
      <w:r w:rsidR="00E3253D" w:rsidRPr="005D642E">
        <w:rPr>
          <w:rtl/>
        </w:rPr>
        <w:t xml:space="preserve"> وفي « بف » :</w:t>
      </w:r>
      <w:r w:rsidR="00E3253D">
        <w:rPr>
          <w:rtl/>
        </w:rPr>
        <w:t xml:space="preserve"> </w:t>
      </w:r>
      <w:r w:rsidR="007642BC">
        <w:rPr>
          <w:rtl/>
        </w:rPr>
        <w:t>-</w:t>
      </w:r>
      <w:r w:rsidR="00E3253D">
        <w:rPr>
          <w:rtl/>
        </w:rPr>
        <w:t xml:space="preserve"> </w:t>
      </w:r>
      <w:r w:rsidR="00E3253D" w:rsidRPr="005D642E">
        <w:rPr>
          <w:rtl/>
        </w:rPr>
        <w:t>« ذا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نؤدّيك » بالهمزة ، أي نوصلك. راجع : </w:t>
      </w:r>
      <w:r w:rsidR="00E3253D" w:rsidRPr="002F4D34">
        <w:rPr>
          <w:rStyle w:val="libFootnoteBoldChar"/>
          <w:rtl/>
        </w:rPr>
        <w:t>لسان العرب</w:t>
      </w:r>
      <w:r w:rsidR="00E3253D" w:rsidRPr="005D642E">
        <w:rPr>
          <w:rtl/>
        </w:rPr>
        <w:t xml:space="preserve"> ، ج 14 ، ص 26 ( أدى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بخ » وحاشية « بح » : « فنواريك</w:t>
      </w:r>
      <w:r w:rsidR="00E3253D">
        <w:rPr>
          <w:rtl/>
        </w:rPr>
        <w:t xml:space="preserve"> ».</w:t>
      </w:r>
      <w:r w:rsidR="00E3253D" w:rsidRPr="005D642E">
        <w:rPr>
          <w:rtl/>
        </w:rPr>
        <w:t xml:space="preserve"> </w:t>
      </w:r>
      <w:r w:rsidR="00E3253D">
        <w:rPr>
          <w:rtl/>
        </w:rPr>
        <w:t>و «</w:t>
      </w:r>
      <w:r w:rsidR="00E3253D" w:rsidRPr="005D642E">
        <w:rPr>
          <w:rtl/>
        </w:rPr>
        <w:t xml:space="preserve"> نواريك » أي ندفنك في قبرك ، من ورَّيت الشي‌ء. وواريته : إذا أخفيته. راجع : </w:t>
      </w:r>
      <w:r w:rsidR="00E3253D" w:rsidRPr="002F4D34">
        <w:rPr>
          <w:rStyle w:val="libFootnoteBoldChar"/>
          <w:rtl/>
        </w:rPr>
        <w:t>لسان العرب</w:t>
      </w:r>
      <w:r w:rsidR="00E3253D" w:rsidRPr="005D642E">
        <w:rPr>
          <w:rtl/>
        </w:rPr>
        <w:t xml:space="preserve"> ، ج 15 ، ص 389 ( ورى )</w:t>
      </w:r>
      <w:r w:rsidR="00E3253D">
        <w:rPr>
          <w:rtl/>
        </w:rPr>
        <w:t>.</w:t>
      </w:r>
    </w:p>
    <w:p w:rsidR="00E3253D" w:rsidRPr="005D642E" w:rsidRDefault="0042621E" w:rsidP="005800B7">
      <w:pPr>
        <w:pStyle w:val="libFootnote0"/>
        <w:rPr>
          <w:rtl/>
          <w:lang w:bidi="fa-IR"/>
        </w:rPr>
      </w:pPr>
      <w:r w:rsidRPr="0042621E">
        <w:rPr>
          <w:rStyle w:val="libFootnote0Char"/>
          <w:rtl/>
        </w:rPr>
        <w:t>(10).</w:t>
      </w:r>
      <w:r w:rsidR="00E3253D" w:rsidRPr="005D642E">
        <w:rPr>
          <w:rtl/>
        </w:rPr>
        <w:t xml:space="preserve"> في « جس » </w:t>
      </w:r>
      <w:r w:rsidR="009E68BB" w:rsidRPr="009E68BB">
        <w:rPr>
          <w:rStyle w:val="libFootnoteBoldChar"/>
          <w:rtl/>
        </w:rPr>
        <w:t>و</w:t>
      </w:r>
      <w:r w:rsidR="005800B7">
        <w:rPr>
          <w:rStyle w:val="libFootnoteBoldChar"/>
          <w:rFonts w:hint="cs"/>
          <w:rtl/>
        </w:rPr>
        <w:t>الفقيه</w:t>
      </w:r>
      <w:r w:rsidR="00E3253D" w:rsidRPr="005D642E">
        <w:rPr>
          <w:rtl/>
        </w:rPr>
        <w:t xml:space="preserve"> وتفسير القمّي </w:t>
      </w:r>
      <w:r w:rsidR="009E68BB" w:rsidRPr="009E68BB">
        <w:rPr>
          <w:rStyle w:val="libFootnoteBoldChar"/>
          <w:rtl/>
        </w:rPr>
        <w:t>وتفسير العيّاشي</w:t>
      </w:r>
      <w:r w:rsidR="00E3253D" w:rsidRPr="005D642E">
        <w:rPr>
          <w:rtl/>
        </w:rPr>
        <w:t xml:space="preserve"> ، ص 227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800B7" w:rsidTr="005800B7">
        <w:tc>
          <w:tcPr>
            <w:tcW w:w="4006" w:type="dxa"/>
          </w:tcPr>
          <w:p w:rsidR="005800B7" w:rsidRDefault="005800B7" w:rsidP="00E3253D">
            <w:pPr>
              <w:pStyle w:val="libFootnote0"/>
              <w:rPr>
                <w:rStyle w:val="libFootnote0Char"/>
                <w:rtl/>
              </w:rPr>
            </w:pPr>
            <w:r w:rsidRPr="0042621E">
              <w:rPr>
                <w:rStyle w:val="libFootnote0Char"/>
                <w:rtl/>
              </w:rPr>
              <w:t>(11).</w:t>
            </w:r>
            <w:r w:rsidRPr="005D642E">
              <w:rPr>
                <w:rtl/>
              </w:rPr>
              <w:t xml:space="preserve"> في « بف » : « إن</w:t>
            </w:r>
            <w:r>
              <w:rPr>
                <w:rtl/>
              </w:rPr>
              <w:t xml:space="preserve"> ».</w:t>
            </w:r>
          </w:p>
        </w:tc>
        <w:tc>
          <w:tcPr>
            <w:tcW w:w="4006" w:type="dxa"/>
          </w:tcPr>
          <w:p w:rsidR="005800B7" w:rsidRDefault="005800B7" w:rsidP="00E3253D">
            <w:pPr>
              <w:pStyle w:val="libFootnote0"/>
              <w:rPr>
                <w:rStyle w:val="libFootnote0Char"/>
                <w:rtl/>
              </w:rPr>
            </w:pPr>
            <w:r w:rsidRPr="0042621E">
              <w:rPr>
                <w:rStyle w:val="libFootnote0Char"/>
                <w:rtl/>
              </w:rPr>
              <w:t>(12).</w:t>
            </w:r>
            <w:r w:rsidRPr="005D642E">
              <w:rPr>
                <w:rtl/>
              </w:rPr>
              <w:t xml:space="preserve"> في الوسائل :</w:t>
            </w:r>
            <w:r>
              <w:rPr>
                <w:rtl/>
              </w:rPr>
              <w:t xml:space="preserve"> - </w:t>
            </w:r>
            <w:r w:rsidRPr="005D642E">
              <w:rPr>
                <w:rtl/>
              </w:rPr>
              <w:t>« عليّ</w:t>
            </w:r>
            <w:r>
              <w:rPr>
                <w:rtl/>
              </w:rPr>
              <w:t xml:space="preserve"> ».</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ظ ، ى » : « فما لي عندك</w:t>
      </w:r>
      <w:r w:rsidR="00E3253D">
        <w:rPr>
          <w:rtl/>
        </w:rPr>
        <w:t xml:space="preserve"> ».</w:t>
      </w:r>
      <w:r w:rsidR="00E3253D" w:rsidRPr="005D642E">
        <w:rPr>
          <w:rtl/>
        </w:rPr>
        <w:t xml:space="preserve"> وفي « جس » : « فما عندك</w:t>
      </w:r>
      <w:r w:rsidR="00E3253D">
        <w:rPr>
          <w:rtl/>
        </w:rPr>
        <w:t xml:space="preserve"> ».</w:t>
      </w:r>
      <w:r w:rsidR="00E3253D" w:rsidRPr="005D642E">
        <w:rPr>
          <w:rtl/>
        </w:rPr>
        <w:t xml:space="preserve"> وفي الوسائل :</w:t>
      </w:r>
      <w:r w:rsidR="00E3253D">
        <w:rPr>
          <w:rtl/>
        </w:rPr>
        <w:t xml:space="preserve"> </w:t>
      </w:r>
      <w:r w:rsidR="007642BC">
        <w:rPr>
          <w:rtl/>
        </w:rPr>
        <w:t>-</w:t>
      </w:r>
      <w:r w:rsidR="00E3253D">
        <w:rPr>
          <w:rtl/>
        </w:rPr>
        <w:t xml:space="preserve"> </w:t>
      </w:r>
      <w:r w:rsidR="00E3253D" w:rsidRPr="005D642E">
        <w:rPr>
          <w:rtl/>
        </w:rPr>
        <w:t>« فماذا عندك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800B7" w:rsidTr="005800B7">
        <w:tc>
          <w:tcPr>
            <w:tcW w:w="4006" w:type="dxa"/>
          </w:tcPr>
          <w:p w:rsidR="005800B7" w:rsidRDefault="005800B7" w:rsidP="00E3253D">
            <w:pPr>
              <w:pStyle w:val="libFootnote0"/>
              <w:rPr>
                <w:rStyle w:val="libFootnote0Char"/>
                <w:rtl/>
                <w:lang w:bidi="fa-IR"/>
              </w:rPr>
            </w:pPr>
            <w:r w:rsidRPr="0042621E">
              <w:rPr>
                <w:rStyle w:val="libFootnote0Char"/>
                <w:rtl/>
              </w:rPr>
              <w:t>(14).</w:t>
            </w:r>
            <w:r w:rsidRPr="005D642E">
              <w:rPr>
                <w:rtl/>
              </w:rPr>
              <w:t xml:space="preserve"> في « بث » :</w:t>
            </w:r>
            <w:r>
              <w:rPr>
                <w:rtl/>
              </w:rPr>
              <w:t xml:space="preserve"> - </w:t>
            </w:r>
            <w:r w:rsidRPr="005D642E">
              <w:rPr>
                <w:rtl/>
              </w:rPr>
              <w:t>« لله</w:t>
            </w:r>
            <w:r>
              <w:rPr>
                <w:rtl/>
              </w:rPr>
              <w:t xml:space="preserve"> ».</w:t>
            </w:r>
          </w:p>
        </w:tc>
        <w:tc>
          <w:tcPr>
            <w:tcW w:w="4006" w:type="dxa"/>
          </w:tcPr>
          <w:p w:rsidR="005800B7" w:rsidRDefault="005800B7" w:rsidP="00E3253D">
            <w:pPr>
              <w:pStyle w:val="libFootnote0"/>
              <w:rPr>
                <w:rStyle w:val="libFootnote0Char"/>
                <w:rtl/>
                <w:lang w:bidi="fa-IR"/>
              </w:rPr>
            </w:pPr>
            <w:r w:rsidRPr="0042621E">
              <w:rPr>
                <w:rStyle w:val="libFootnote0Char"/>
                <w:rtl/>
              </w:rPr>
              <w:t>(15).</w:t>
            </w:r>
            <w:r w:rsidRPr="005D642E">
              <w:rPr>
                <w:rtl/>
              </w:rPr>
              <w:t xml:space="preserve"> في « ى » : « أتى</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وَأَحْسَنُهُمْ رِيَاشاً </w:t>
      </w:r>
      <w:r w:rsidRPr="007C12DB">
        <w:rPr>
          <w:rStyle w:val="libFootnotenumChar"/>
          <w:rtl/>
        </w:rPr>
        <w:t>(1)</w:t>
      </w:r>
      <w:r w:rsidRPr="005D642E">
        <w:rPr>
          <w:rtl/>
          <w:lang w:bidi="fa-IR"/>
        </w:rPr>
        <w:t xml:space="preserve"> ، فَقَالَ </w:t>
      </w:r>
      <w:r w:rsidRPr="007C12DB">
        <w:rPr>
          <w:rStyle w:val="libFootnotenumChar"/>
          <w:rtl/>
        </w:rPr>
        <w:t>(2)</w:t>
      </w:r>
      <w:r w:rsidRPr="005D642E">
        <w:rPr>
          <w:rtl/>
          <w:lang w:bidi="fa-IR"/>
        </w:rPr>
        <w:t xml:space="preserve"> : أَبْشِرْ بِرَوْحٍ </w:t>
      </w:r>
      <w:r w:rsidRPr="007C12DB">
        <w:rPr>
          <w:rStyle w:val="libFootnotenumChar"/>
          <w:rtl/>
        </w:rPr>
        <w:t>(3)</w:t>
      </w:r>
      <w:r w:rsidRPr="005D642E">
        <w:rPr>
          <w:rtl/>
          <w:lang w:bidi="fa-IR"/>
        </w:rPr>
        <w:t xml:space="preserve"> وَرَيْحَانٍ وَجَنَّةِ نَعِيمٍ </w:t>
      </w:r>
      <w:r w:rsidRPr="007C12DB">
        <w:rPr>
          <w:rStyle w:val="libFootnotenumChar"/>
          <w:rtl/>
        </w:rPr>
        <w:t>(4)</w:t>
      </w:r>
      <w:r w:rsidRPr="005D642E">
        <w:rPr>
          <w:rtl/>
          <w:lang w:bidi="fa-IR"/>
        </w:rPr>
        <w:t xml:space="preserve"> ، وَمَقْدَمُكَ خَيْرُ مَقْدَمٍ ، فَيَقُولُ لَهُ </w:t>
      </w:r>
      <w:r w:rsidRPr="007C12DB">
        <w:rPr>
          <w:rStyle w:val="libFootnotenumChar"/>
          <w:rtl/>
        </w:rPr>
        <w:t>(5)</w:t>
      </w:r>
      <w:r w:rsidRPr="005D642E">
        <w:rPr>
          <w:rtl/>
          <w:lang w:bidi="fa-IR"/>
        </w:rPr>
        <w:t xml:space="preserve"> : مَنْ أَنْتَ</w:t>
      </w:r>
      <w:r>
        <w:rPr>
          <w:rtl/>
          <w:lang w:bidi="fa-IR"/>
        </w:rPr>
        <w:t>؟</w:t>
      </w:r>
      <w:r w:rsidRPr="005D642E">
        <w:rPr>
          <w:rtl/>
          <w:lang w:bidi="fa-IR"/>
        </w:rPr>
        <w:t xml:space="preserve"> فَيَقُولُ </w:t>
      </w:r>
      <w:r w:rsidRPr="007C12DB">
        <w:rPr>
          <w:rStyle w:val="libFootnotenumChar"/>
          <w:rtl/>
        </w:rPr>
        <w:t>(6)</w:t>
      </w:r>
      <w:r w:rsidRPr="005D642E">
        <w:rPr>
          <w:rtl/>
          <w:lang w:bidi="fa-IR"/>
        </w:rPr>
        <w:t xml:space="preserve"> : أَنَا عَمَلُكَ الصَّالِحُ ، ارْتَحِلْ مِنَ الدُّنْيَا إِلَى الْجَنَّةِ ، وَإِنَّهُ لَيَعْرِفُ </w:t>
      </w:r>
      <w:r w:rsidRPr="007C12DB">
        <w:rPr>
          <w:rStyle w:val="libFootnotenumChar"/>
          <w:rtl/>
        </w:rPr>
        <w:t>(7)</w:t>
      </w:r>
      <w:r w:rsidRPr="005D642E">
        <w:rPr>
          <w:rtl/>
          <w:lang w:bidi="fa-IR"/>
        </w:rPr>
        <w:t xml:space="preserve"> غَاسِلَهُ </w:t>
      </w:r>
      <w:r w:rsidRPr="007C12DB">
        <w:rPr>
          <w:rStyle w:val="libFootnotenumChar"/>
          <w:rtl/>
        </w:rPr>
        <w:t>(8)</w:t>
      </w:r>
      <w:r w:rsidRPr="005D642E">
        <w:rPr>
          <w:rtl/>
          <w:lang w:bidi="fa-IR"/>
        </w:rPr>
        <w:t xml:space="preserve"> ، وَيُنَاشِدُ </w:t>
      </w:r>
      <w:r w:rsidRPr="007C12DB">
        <w:rPr>
          <w:rStyle w:val="libFootnotenumChar"/>
          <w:rtl/>
        </w:rPr>
        <w:t>(9)</w:t>
      </w:r>
      <w:r w:rsidRPr="005D642E">
        <w:rPr>
          <w:rtl/>
          <w:lang w:bidi="fa-IR"/>
        </w:rPr>
        <w:t xml:space="preserve"> حَامِلَهُ أَنْ يُعَجِّلَهُ ، فَإِذَا أُدْخِلَ </w:t>
      </w:r>
      <w:r w:rsidRPr="007C12DB">
        <w:rPr>
          <w:rStyle w:val="libFootnotenumChar"/>
          <w:rtl/>
        </w:rPr>
        <w:t>(10)</w:t>
      </w:r>
      <w:r w:rsidRPr="005D642E">
        <w:rPr>
          <w:rtl/>
          <w:lang w:bidi="fa-IR"/>
        </w:rPr>
        <w:t xml:space="preserve"> قَبْرَهُ ، أَتَاهُ مَلَكَا الْقَبْرِ يَجُرَّانِ أَشْعَارَهُمَا ، وَيَخُدَّانِ الْأَرْضَ بِأَقْدَامِهِمَا ، أَصْوَاتُهُمَا كَالرَّعْدِ الْقَاصِفِ ، وَأَبْصَارُهُمَا كَالْبَرْقِ الْخَاطِفِ ، فَيَقُولَانِ لَهُ : مَنْ رَبُّكَ</w:t>
      </w:r>
      <w:r>
        <w:rPr>
          <w:rtl/>
          <w:lang w:bidi="fa-IR"/>
        </w:rPr>
        <w:t>؟</w:t>
      </w:r>
      <w:r w:rsidRPr="005D642E">
        <w:rPr>
          <w:rtl/>
          <w:lang w:bidi="fa-IR"/>
        </w:rPr>
        <w:t xml:space="preserve"> وَمَا دِينُكَ</w:t>
      </w:r>
      <w:r>
        <w:rPr>
          <w:rtl/>
          <w:lang w:bidi="fa-IR"/>
        </w:rPr>
        <w:t>؟</w:t>
      </w:r>
      <w:r w:rsidRPr="005D642E">
        <w:rPr>
          <w:rtl/>
          <w:lang w:bidi="fa-IR"/>
        </w:rPr>
        <w:t xml:space="preserve"> وَمَنْ نَبِيُّكَ</w:t>
      </w:r>
      <w:r>
        <w:rPr>
          <w:rtl/>
          <w:lang w:bidi="fa-IR"/>
        </w:rPr>
        <w:t>؟</w:t>
      </w:r>
      <w:r w:rsidRPr="005D642E">
        <w:rPr>
          <w:rtl/>
          <w:lang w:bidi="fa-IR"/>
        </w:rPr>
        <w:t xml:space="preserve"> فَيَقُولُ : اللهُ رَبِّي ، وَدِينِيَ الْإِسْلَامُ ، وَنَبِيِّي مُحَمَّدٌ </w:t>
      </w:r>
      <w:r w:rsidR="0042621E" w:rsidRPr="0042621E">
        <w:rPr>
          <w:rStyle w:val="libAlaemChar"/>
          <w:rtl/>
        </w:rPr>
        <w:t>صلى‌الله‌عليه‌وآله</w:t>
      </w:r>
      <w:r w:rsidRPr="005D642E">
        <w:rPr>
          <w:rtl/>
          <w:lang w:bidi="fa-IR"/>
        </w:rPr>
        <w:t xml:space="preserve"> ، فَيَقُولَانِ لَهُ </w:t>
      </w:r>
      <w:r w:rsidRPr="007C12DB">
        <w:rPr>
          <w:rStyle w:val="libFootnotenumChar"/>
          <w:rtl/>
        </w:rPr>
        <w:t>(11)</w:t>
      </w:r>
      <w:r w:rsidRPr="005D642E">
        <w:rPr>
          <w:rtl/>
          <w:lang w:bidi="fa-IR"/>
        </w:rPr>
        <w:t xml:space="preserve"> : ثَبَّتَكَ اللهُ فِيمَا تُحِبُّ وَتَرْضى </w:t>
      </w:r>
      <w:r w:rsidRPr="007C12DB">
        <w:rPr>
          <w:rStyle w:val="libFootnotenumChar"/>
          <w:rtl/>
        </w:rPr>
        <w:t>(12)</w:t>
      </w:r>
      <w:r w:rsidRPr="005D642E">
        <w:rPr>
          <w:rtl/>
          <w:lang w:bidi="fa-IR"/>
        </w:rPr>
        <w:t xml:space="preserve"> ، وَهُوَ قَوْلُ اللهِ عَزَّ وَجَلَّ : </w:t>
      </w:r>
      <w:r w:rsidRPr="00AC51C5">
        <w:rPr>
          <w:rStyle w:val="libAlaemChar"/>
          <w:rtl/>
        </w:rPr>
        <w:t>(</w:t>
      </w:r>
      <w:r w:rsidRPr="00AC51C5">
        <w:rPr>
          <w:rStyle w:val="libAieChar"/>
          <w:rtl/>
        </w:rPr>
        <w:t xml:space="preserve"> يُثَبِّتُ اللهُ الَّذِينَ آمَنُوا بِالْقَوْلِ الثّابِتِ فِي الْحَياةِ الدُّنْيا وَفِي الْآخِرَةِ </w:t>
      </w:r>
      <w:r w:rsidRPr="00AC51C5">
        <w:rPr>
          <w:rStyle w:val="libAlaemChar"/>
          <w:rtl/>
        </w:rPr>
        <w:t>)</w:t>
      </w:r>
      <w:r w:rsidRPr="005D642E">
        <w:rPr>
          <w:rtl/>
          <w:lang w:bidi="fa-IR"/>
        </w:rPr>
        <w:t xml:space="preserve"> </w:t>
      </w:r>
      <w:r w:rsidRPr="007C12DB">
        <w:rPr>
          <w:rStyle w:val="libFootnotenumChar"/>
          <w:rtl/>
        </w:rPr>
        <w:t>(13)</w:t>
      </w:r>
      <w:r w:rsidRPr="005D642E">
        <w:rPr>
          <w:rtl/>
          <w:lang w:bidi="fa-IR"/>
        </w:rPr>
        <w:t xml:space="preserve"> ثُمَّ يَفْسَحَانِ لَهُ فِي قَبْرِهِ مَدَّ بَصَرِهِ ، ثُمَّ يَفْتَحَانِ لَهُ بَاباً إِلَى الْجَنَّةِ ، ثُمَّ يَقُولَانِ لَهُ : نَمْ قَرِيرَ الْعَيْنِ نَوْمَ الشَّابِّ النَّاعِمِ </w:t>
      </w:r>
      <w:r w:rsidRPr="007C12DB">
        <w:rPr>
          <w:rStyle w:val="libFootnotenumChar"/>
          <w:rtl/>
        </w:rPr>
        <w:t>(14)</w:t>
      </w:r>
      <w:r w:rsidRPr="005D642E">
        <w:rPr>
          <w:rtl/>
          <w:lang w:bidi="fa-IR"/>
        </w:rPr>
        <w:t xml:space="preserve"> ؛ فَإِنَّ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يَقُولُ : </w:t>
      </w:r>
      <w:r w:rsidRPr="00AC51C5">
        <w:rPr>
          <w:rStyle w:val="libAlaemChar"/>
          <w:rtl/>
        </w:rPr>
        <w:t>(</w:t>
      </w:r>
      <w:r w:rsidRPr="00AC51C5">
        <w:rPr>
          <w:rStyle w:val="libAieChar"/>
          <w:rtl/>
        </w:rPr>
        <w:t xml:space="preserve"> أَصْحابُ الْجَنَّةِ يَوْمَئِذٍ خَيْرٌ</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الرياش » : اللباس الفاخر. </w:t>
      </w:r>
      <w:r w:rsidR="00E3253D" w:rsidRPr="002F4D34">
        <w:rPr>
          <w:rStyle w:val="libFootnoteBoldChar"/>
          <w:rtl/>
        </w:rPr>
        <w:t>القاموس المحيط</w:t>
      </w:r>
      <w:r w:rsidR="00E3253D" w:rsidRPr="005D642E">
        <w:rPr>
          <w:rtl/>
        </w:rPr>
        <w:t xml:space="preserve"> ، ج 1 ، ص 811 ( ريش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غ ، جح » وحاشية « جن » وتفسير القمّي </w:t>
      </w:r>
      <w:r w:rsidR="009E68BB" w:rsidRPr="009E68BB">
        <w:rPr>
          <w:rStyle w:val="libFootnoteBoldChar"/>
          <w:rtl/>
        </w:rPr>
        <w:t>وتفسير العيّاشي</w:t>
      </w:r>
      <w:r w:rsidR="00E3253D" w:rsidRPr="005D642E">
        <w:rPr>
          <w:rtl/>
        </w:rPr>
        <w:t xml:space="preserve"> ، ص 227 : « فيقول</w:t>
      </w:r>
      <w:r w:rsidR="00E3253D">
        <w:rPr>
          <w:rtl/>
        </w:rPr>
        <w:t xml:space="preserve"> ».</w:t>
      </w:r>
      <w:r w:rsidR="00E3253D" w:rsidRPr="005D642E">
        <w:rPr>
          <w:rtl/>
        </w:rPr>
        <w:t xml:space="preserve"> وفي « بح » : « فيقول له</w:t>
      </w:r>
      <w:r w:rsidR="00E3253D">
        <w:rPr>
          <w:rtl/>
        </w:rPr>
        <w:t xml:space="preserve"> ».</w:t>
      </w:r>
    </w:p>
    <w:p w:rsidR="00E3253D" w:rsidRPr="005D642E" w:rsidRDefault="0042621E" w:rsidP="00BC6491">
      <w:pPr>
        <w:pStyle w:val="libFootnote0"/>
        <w:rPr>
          <w:rtl/>
          <w:lang w:bidi="fa-IR"/>
        </w:rPr>
      </w:pPr>
      <w:r w:rsidRPr="0042621E">
        <w:rPr>
          <w:rStyle w:val="libFootnote0Char"/>
          <w:rtl/>
        </w:rPr>
        <w:t>(3).</w:t>
      </w:r>
      <w:r w:rsidR="00E3253D" w:rsidRPr="005D642E">
        <w:rPr>
          <w:rtl/>
        </w:rPr>
        <w:t xml:space="preserve"> « الرَّوْح » : الاستراحة والسرور والفرح ، ويأتي بمعنى الرحمة في قوله تعالى : </w:t>
      </w:r>
      <w:r w:rsidR="00E3253D" w:rsidRPr="005800B7">
        <w:rPr>
          <w:rStyle w:val="libFootnoteAlaemChar"/>
          <w:rtl/>
        </w:rPr>
        <w:t>(</w:t>
      </w:r>
      <w:r w:rsidR="00E3253D" w:rsidRPr="00EB702D">
        <w:rPr>
          <w:rStyle w:val="libFootnoteAieChar"/>
          <w:rtl/>
        </w:rPr>
        <w:t xml:space="preserve"> وَل</w:t>
      </w:r>
      <w:r w:rsidR="00BC6491">
        <w:rPr>
          <w:rStyle w:val="libFootnoteAieChar"/>
          <w:rFonts w:hint="cs"/>
          <w:rtl/>
        </w:rPr>
        <w:t>َ</w:t>
      </w:r>
      <w:r w:rsidR="00E3253D" w:rsidRPr="00EB702D">
        <w:rPr>
          <w:rStyle w:val="libFootnoteAieChar"/>
          <w:rtl/>
        </w:rPr>
        <w:t>ا تَ</w:t>
      </w:r>
      <w:r w:rsidR="00BC6491">
        <w:rPr>
          <w:rStyle w:val="libFootnoteAieChar"/>
          <w:rFonts w:hint="cs"/>
          <w:rtl/>
        </w:rPr>
        <w:t>ا</w:t>
      </w:r>
      <w:r w:rsidR="00BC6491">
        <w:rPr>
          <w:rStyle w:val="libFootnoteAieChar"/>
          <w:rtl/>
        </w:rPr>
        <w:t>يْ</w:t>
      </w:r>
      <w:r w:rsidR="00BC6491">
        <w:rPr>
          <w:rStyle w:val="libFootnoteAieChar"/>
          <w:rFonts w:hint="cs"/>
          <w:rtl/>
        </w:rPr>
        <w:t>ئَ</w:t>
      </w:r>
      <w:r w:rsidR="00E3253D" w:rsidRPr="00EB702D">
        <w:rPr>
          <w:rStyle w:val="libFootnoteAieChar"/>
          <w:rtl/>
        </w:rPr>
        <w:t xml:space="preserve">سُوا مِنْ رَوْحِ اللهِ </w:t>
      </w:r>
      <w:r w:rsidR="00E3253D" w:rsidRPr="005800B7">
        <w:rPr>
          <w:rStyle w:val="libFootnoteAlaemChar"/>
          <w:rtl/>
        </w:rPr>
        <w:t>)</w:t>
      </w:r>
      <w:r w:rsidR="00E3253D" w:rsidRPr="005D642E">
        <w:rPr>
          <w:rtl/>
        </w:rPr>
        <w:t xml:space="preserve"> يوسف </w:t>
      </w:r>
      <w:r w:rsidRPr="0042621E">
        <w:rPr>
          <w:rStyle w:val="libFootnote0Char"/>
          <w:rtl/>
        </w:rPr>
        <w:t>(12)</w:t>
      </w:r>
      <w:r w:rsidR="00E3253D" w:rsidRPr="005D642E">
        <w:rPr>
          <w:rtl/>
        </w:rPr>
        <w:t xml:space="preserve"> : 78. في الوافي : « الروح ، بفتح أوّله : الراحة. وبضمّه : الرحمة والحياة الدائمة</w:t>
      </w:r>
      <w:r w:rsidR="00E3253D">
        <w:rPr>
          <w:rtl/>
        </w:rPr>
        <w:t xml:space="preserve"> ».</w:t>
      </w:r>
      <w:r w:rsidR="00E3253D" w:rsidRPr="005D642E">
        <w:rPr>
          <w:rtl/>
        </w:rPr>
        <w:t xml:space="preserve"> وانظر أيضاً : </w:t>
      </w:r>
      <w:r w:rsidR="00E3253D" w:rsidRPr="002F4D34">
        <w:rPr>
          <w:rStyle w:val="libFootnoteBoldChar"/>
          <w:rtl/>
        </w:rPr>
        <w:t>لسان العرب</w:t>
      </w:r>
      <w:r w:rsidR="00E3253D" w:rsidRPr="005D642E">
        <w:rPr>
          <w:rtl/>
        </w:rPr>
        <w:t xml:space="preserve"> ، ج 2 ، ص 459 ( روح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بف » : « وجنّة ونعيم</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جن » وتفسير القمّي </w:t>
      </w:r>
      <w:r w:rsidR="009E68BB" w:rsidRPr="009E68BB">
        <w:rPr>
          <w:rStyle w:val="libFootnoteBoldChar"/>
          <w:rtl/>
        </w:rPr>
        <w:t>وتفسير العيّاشي</w:t>
      </w:r>
      <w:r w:rsidR="00E3253D" w:rsidRPr="005D642E">
        <w:rPr>
          <w:rtl/>
        </w:rPr>
        <w:t xml:space="preserve"> ، ص 227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r w:rsidR="00E3253D" w:rsidRPr="005D642E">
        <w:rPr>
          <w:rtl/>
        </w:rPr>
        <w:t xml:space="preserve"> وفي حاشية « بح » : « فقال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BC6491" w:rsidTr="00BC6491">
        <w:tc>
          <w:tcPr>
            <w:tcW w:w="4006" w:type="dxa"/>
          </w:tcPr>
          <w:p w:rsidR="00BC6491" w:rsidRDefault="00BC6491" w:rsidP="00E3253D">
            <w:pPr>
              <w:pStyle w:val="libFootnote0"/>
              <w:rPr>
                <w:rStyle w:val="libFootnote0Char"/>
                <w:rtl/>
              </w:rPr>
            </w:pPr>
            <w:r w:rsidRPr="0042621E">
              <w:rPr>
                <w:rStyle w:val="libFootnote0Char"/>
                <w:rtl/>
              </w:rPr>
              <w:t>(6).</w:t>
            </w:r>
            <w:r w:rsidRPr="005D642E">
              <w:rPr>
                <w:rtl/>
              </w:rPr>
              <w:t xml:space="preserve"> في حاشية « جح » : « فقال</w:t>
            </w:r>
            <w:r>
              <w:rPr>
                <w:rtl/>
              </w:rPr>
              <w:t xml:space="preserve"> ».</w:t>
            </w:r>
          </w:p>
        </w:tc>
        <w:tc>
          <w:tcPr>
            <w:tcW w:w="4006" w:type="dxa"/>
          </w:tcPr>
          <w:p w:rsidR="00BC6491" w:rsidRDefault="00BC6491" w:rsidP="00E3253D">
            <w:pPr>
              <w:pStyle w:val="libFootnote0"/>
              <w:rPr>
                <w:rStyle w:val="libFootnote0Char"/>
                <w:rtl/>
              </w:rPr>
            </w:pPr>
            <w:r w:rsidRPr="0042621E">
              <w:rPr>
                <w:rStyle w:val="libFootnote0Char"/>
                <w:rtl/>
              </w:rPr>
              <w:t>(7).</w:t>
            </w:r>
            <w:r w:rsidRPr="005D642E">
              <w:rPr>
                <w:rtl/>
              </w:rPr>
              <w:t xml:space="preserve"> في « جس » : « يعرف</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w:t>
      </w:r>
      <w:r w:rsidR="00E3253D" w:rsidRPr="002F4D34">
        <w:rPr>
          <w:rStyle w:val="libFootnoteBoldChar"/>
          <w:rtl/>
        </w:rPr>
        <w:t>المرآة</w:t>
      </w:r>
      <w:r w:rsidR="00E3253D" w:rsidRPr="005D642E">
        <w:rPr>
          <w:rtl/>
        </w:rPr>
        <w:t xml:space="preserve"> : « وفي قوله : وإنّه ليعرف غاسله ، فعل مقدّر ويدلّ عليه السياق ، والواو حاليّة ، والتقدير : فيرتحل والحال أنّه ليعرف غاسله. ويحتمل أن تكون عاطفة على « أتاه » فلا تقدير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أي يقول له : ناشدتك الله ، أي سألتك بالله. راجع : </w:t>
      </w:r>
      <w:r w:rsidR="00E3253D" w:rsidRPr="002F4D34">
        <w:rPr>
          <w:rStyle w:val="libFootnoteBoldChar"/>
          <w:rtl/>
        </w:rPr>
        <w:t>الصحاح</w:t>
      </w:r>
      <w:r w:rsidR="00E3253D" w:rsidRPr="005D642E">
        <w:rPr>
          <w:rtl/>
        </w:rPr>
        <w:t xml:space="preserve"> ، ج 2 ، ص 543 ( نشد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غ ، ى ، بث ، بح ، بف ، جس » : « فإذا دخل</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ى ، بخ ، بس ، جح ، جس » </w:t>
      </w:r>
      <w:r w:rsidR="009E68BB" w:rsidRPr="009E68BB">
        <w:rPr>
          <w:rStyle w:val="libFootnoteBoldChar"/>
          <w:rtl/>
        </w:rPr>
        <w:t>وتفسير العيّاشي</w:t>
      </w:r>
      <w:r w:rsidR="00E3253D" w:rsidRPr="005D642E">
        <w:rPr>
          <w:rtl/>
        </w:rPr>
        <w:t xml:space="preserve"> ، ص 227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بخ » </w:t>
      </w:r>
      <w:r w:rsidR="000D749A" w:rsidRPr="000D749A">
        <w:rPr>
          <w:rStyle w:val="libFootnoteBoldChar"/>
          <w:rtl/>
        </w:rPr>
        <w:t>والوافي</w:t>
      </w:r>
      <w:r w:rsidR="00E3253D" w:rsidRPr="005D642E">
        <w:rPr>
          <w:rtl/>
        </w:rPr>
        <w:t xml:space="preserve"> : « يحبّ ويرضى</w:t>
      </w:r>
      <w:r w:rsidR="00E3253D">
        <w:rPr>
          <w:rtl/>
        </w:rPr>
        <w:t xml:space="preserve"> ».</w:t>
      </w:r>
      <w:r w:rsidR="00E3253D" w:rsidRPr="005D642E">
        <w:rPr>
          <w:rtl/>
        </w:rPr>
        <w:t xml:space="preserve"> وفي « جس » : « تحبّ ويرضى</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 xml:space="preserve">إبراهيم </w:t>
      </w:r>
      <w:r w:rsidRPr="0042621E">
        <w:rPr>
          <w:rStyle w:val="libFootnote0Char"/>
          <w:rtl/>
        </w:rPr>
        <w:t>(14)</w:t>
      </w:r>
      <w:r w:rsidR="00E3253D" w:rsidRPr="005D642E">
        <w:rPr>
          <w:rtl/>
        </w:rPr>
        <w:t xml:space="preserve"> : 27.</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 الناعم » ، عن النِّعمة</w:t>
      </w:r>
      <w:r w:rsidR="00E3253D">
        <w:rPr>
          <w:rtl/>
        </w:rPr>
        <w:t xml:space="preserve"> </w:t>
      </w:r>
      <w:r w:rsidR="007642BC">
        <w:rPr>
          <w:rtl/>
        </w:rPr>
        <w:t>-</w:t>
      </w:r>
      <w:r w:rsidR="00E3253D">
        <w:rPr>
          <w:rtl/>
        </w:rPr>
        <w:t xml:space="preserve"> </w:t>
      </w:r>
      <w:r w:rsidR="00E3253D" w:rsidRPr="005D642E">
        <w:rPr>
          <w:rtl/>
        </w:rPr>
        <w:t>بالكسر</w:t>
      </w:r>
      <w:r w:rsidR="00E3253D">
        <w:rPr>
          <w:rtl/>
        </w:rPr>
        <w:t xml:space="preserve"> </w:t>
      </w:r>
      <w:r w:rsidR="007642BC">
        <w:rPr>
          <w:rtl/>
        </w:rPr>
        <w:t>-</w:t>
      </w:r>
      <w:r w:rsidR="00E3253D">
        <w:rPr>
          <w:rtl/>
        </w:rPr>
        <w:t xml:space="preserve"> </w:t>
      </w:r>
      <w:r w:rsidR="00E3253D" w:rsidRPr="005D642E">
        <w:rPr>
          <w:rtl/>
        </w:rPr>
        <w:t>: ما يتنعّم به من مال ونحوه ؛ أو من النَّعمة</w:t>
      </w:r>
      <w:r w:rsidR="00E3253D">
        <w:rPr>
          <w:rtl/>
        </w:rPr>
        <w:t xml:space="preserve"> </w:t>
      </w:r>
      <w:r w:rsidR="007642BC">
        <w:rPr>
          <w:rtl/>
        </w:rPr>
        <w:t>-</w:t>
      </w:r>
      <w:r w:rsidR="00E3253D">
        <w:rPr>
          <w:rtl/>
        </w:rPr>
        <w:t xml:space="preserve"> </w:t>
      </w:r>
      <w:r w:rsidR="00E3253D" w:rsidRPr="005D642E">
        <w:rPr>
          <w:rtl/>
        </w:rPr>
        <w:t>بالفتح</w:t>
      </w:r>
      <w:r w:rsidR="00E3253D">
        <w:rPr>
          <w:rtl/>
        </w:rPr>
        <w:t xml:space="preserve"> </w:t>
      </w:r>
      <w:r w:rsidR="007642BC">
        <w:rPr>
          <w:rtl/>
        </w:rPr>
        <w:t>-</w:t>
      </w:r>
      <w:r w:rsidR="00E3253D">
        <w:rPr>
          <w:rtl/>
        </w:rPr>
        <w:t xml:space="preserve"> </w:t>
      </w:r>
      <w:r w:rsidR="00E3253D" w:rsidRPr="005D642E">
        <w:rPr>
          <w:rtl/>
        </w:rPr>
        <w:t>وهو نفس التنعّم. ا</w:t>
      </w:r>
      <w:r w:rsidR="00BC6491">
        <w:rPr>
          <w:rFonts w:hint="cs"/>
          <w:rtl/>
        </w:rPr>
        <w:t>ُ</w:t>
      </w:r>
      <w:r w:rsidR="00E3253D" w:rsidRPr="005D642E">
        <w:rPr>
          <w:rtl/>
        </w:rPr>
        <w:t xml:space="preserve">نظر : </w:t>
      </w:r>
      <w:r w:rsidR="00E3253D" w:rsidRPr="002F4D34">
        <w:rPr>
          <w:rStyle w:val="libFootnoteBoldChar"/>
          <w:rtl/>
        </w:rPr>
        <w:t>مرآةالعقول</w:t>
      </w:r>
      <w:r w:rsidR="00E3253D" w:rsidRPr="005D642E">
        <w:rPr>
          <w:rtl/>
        </w:rPr>
        <w:t xml:space="preserve"> ، ج 14 ، ص 201.</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AC51C5">
        <w:rPr>
          <w:rStyle w:val="libAieChar"/>
          <w:rtl/>
        </w:rPr>
        <w:t xml:space="preserve">مُسْتَقَرًّا وَأَحْسَنُ مَقِيلاً </w:t>
      </w:r>
      <w:r w:rsidRPr="00AC51C5">
        <w:rPr>
          <w:rStyle w:val="libAlaemChar"/>
          <w:rtl/>
        </w:rPr>
        <w:t>)</w:t>
      </w:r>
      <w:r w:rsidRPr="005D642E">
        <w:rPr>
          <w:rtl/>
          <w:lang w:bidi="fa-IR"/>
        </w:rPr>
        <w:t xml:space="preserve"> </w:t>
      </w:r>
      <w:r w:rsidRPr="007C12DB">
        <w:rPr>
          <w:rStyle w:val="libFootnotenumChar"/>
          <w:rtl/>
        </w:rPr>
        <w:t>(1)</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وَإِذَا </w:t>
      </w:r>
      <w:r w:rsidRPr="007C12DB">
        <w:rPr>
          <w:rStyle w:val="libFootnotenumChar"/>
          <w:rtl/>
        </w:rPr>
        <w:t>(2)</w:t>
      </w:r>
      <w:r w:rsidRPr="005D642E">
        <w:rPr>
          <w:rtl/>
          <w:lang w:bidi="fa-IR"/>
        </w:rPr>
        <w:t xml:space="preserve"> كَانَ لِرَبِّهِ عَدُوّاً </w:t>
      </w:r>
      <w:r w:rsidRPr="007C12DB">
        <w:rPr>
          <w:rStyle w:val="libFootnotenumChar"/>
          <w:rtl/>
        </w:rPr>
        <w:t>(3)</w:t>
      </w:r>
      <w:r w:rsidRPr="005D642E">
        <w:rPr>
          <w:rtl/>
          <w:lang w:bidi="fa-IR"/>
        </w:rPr>
        <w:t xml:space="preserve"> ، فَإِنَّهُ </w:t>
      </w:r>
      <w:r w:rsidRPr="007C12DB">
        <w:rPr>
          <w:rStyle w:val="libFootnotenumChar"/>
          <w:rtl/>
        </w:rPr>
        <w:t>(4)</w:t>
      </w:r>
      <w:r w:rsidRPr="005D642E">
        <w:rPr>
          <w:rtl/>
          <w:lang w:bidi="fa-IR"/>
        </w:rPr>
        <w:t xml:space="preserve"> يَأْتِيهِ </w:t>
      </w:r>
      <w:r w:rsidRPr="007C12DB">
        <w:rPr>
          <w:rStyle w:val="libFootnotenumChar"/>
          <w:rtl/>
        </w:rPr>
        <w:t>(5)</w:t>
      </w:r>
      <w:r w:rsidRPr="005D642E">
        <w:rPr>
          <w:rtl/>
          <w:lang w:bidi="fa-IR"/>
        </w:rPr>
        <w:t xml:space="preserve"> أَقْبَحُ مَنْ خَلَقَ اللهُ زِيّاً وَرُؤْياً ، وَأَنْتَنُهُ رِيحاً ، فَيَقُولُ لَهُ </w:t>
      </w:r>
      <w:r w:rsidRPr="007C12DB">
        <w:rPr>
          <w:rStyle w:val="libFootnotenumChar"/>
          <w:rtl/>
        </w:rPr>
        <w:t>(6)</w:t>
      </w:r>
      <w:r w:rsidRPr="005D642E">
        <w:rPr>
          <w:rtl/>
          <w:lang w:bidi="fa-IR"/>
        </w:rPr>
        <w:t xml:space="preserve"> : أَبْشِرْ بِنُزُلٍ مِنْ حَمِيمٍ </w:t>
      </w:r>
      <w:r w:rsidRPr="007C12DB">
        <w:rPr>
          <w:rStyle w:val="libFootnotenumChar"/>
          <w:rtl/>
        </w:rPr>
        <w:t>(7)</w:t>
      </w:r>
      <w:r w:rsidRPr="005D642E">
        <w:rPr>
          <w:rtl/>
          <w:lang w:bidi="fa-IR"/>
        </w:rPr>
        <w:t xml:space="preserve"> ، وَتَصْلِيَةِ جَحِيمٍ ، وَإِنَّهُ لَيَعْرِفُ غَاسِلَهُ ، وَيُنَاشِدُ حَمَلَتَهُ أَنْ يَحْبِسُوهُ ، فَإِذَا أُدْخِلَ </w:t>
      </w:r>
      <w:r w:rsidRPr="007C12DB">
        <w:rPr>
          <w:rStyle w:val="libFootnotenumChar"/>
          <w:rtl/>
        </w:rPr>
        <w:t>(8)</w:t>
      </w:r>
      <w:r w:rsidRPr="005D642E">
        <w:rPr>
          <w:rtl/>
          <w:lang w:bidi="fa-IR"/>
        </w:rPr>
        <w:t xml:space="preserve"> الْقَبْرَ ، أَتَاهُ مُمْتَحِنَا الْقَبْرِ ، فَأَلْقَيَا عَنْهُ أَكْفَانَهُ ، ثُمَّ يَقُولَانِ لَهُ : مَنْ رَبُّكَ</w:t>
      </w:r>
      <w:r>
        <w:rPr>
          <w:rtl/>
          <w:lang w:bidi="fa-IR"/>
        </w:rPr>
        <w:t>؟</w:t>
      </w:r>
      <w:r w:rsidRPr="005D642E">
        <w:rPr>
          <w:rtl/>
          <w:lang w:bidi="fa-IR"/>
        </w:rPr>
        <w:t xml:space="preserve"> وَمَا دِينُكَ</w:t>
      </w:r>
      <w:r>
        <w:rPr>
          <w:rtl/>
          <w:lang w:bidi="fa-IR"/>
        </w:rPr>
        <w:t>؟</w:t>
      </w:r>
      <w:r w:rsidRPr="005D642E">
        <w:rPr>
          <w:rtl/>
          <w:lang w:bidi="fa-IR"/>
        </w:rPr>
        <w:t xml:space="preserve"> وَمَنْ نَبِيُّكَ</w:t>
      </w:r>
      <w:r>
        <w:rPr>
          <w:rtl/>
          <w:lang w:bidi="fa-IR"/>
        </w:rPr>
        <w:t>؟</w:t>
      </w:r>
      <w:r w:rsidRPr="005D642E">
        <w:rPr>
          <w:rtl/>
          <w:lang w:bidi="fa-IR"/>
        </w:rPr>
        <w:t xml:space="preserve"> فَيَقُولُ : لَا</w:t>
      </w:r>
      <w:r>
        <w:rPr>
          <w:rFonts w:hint="cs"/>
          <w:rtl/>
          <w:lang w:bidi="fa-IR"/>
        </w:rPr>
        <w:t xml:space="preserve"> </w:t>
      </w:r>
      <w:r w:rsidRPr="005D642E">
        <w:rPr>
          <w:rtl/>
          <w:lang w:bidi="fa-IR"/>
        </w:rPr>
        <w:t xml:space="preserve">أَدْرِي ، فَيَقُولَانِ : لَادَرَيْتَ ، وَلَاهَدَيْتَ ، فَيَضْرِبَانِ يَافُوخَهُ </w:t>
      </w:r>
      <w:r w:rsidRPr="007C12DB">
        <w:rPr>
          <w:rStyle w:val="libFootnotenumChar"/>
          <w:rtl/>
        </w:rPr>
        <w:t>(9)</w:t>
      </w:r>
      <w:r w:rsidRPr="005D642E">
        <w:rPr>
          <w:rtl/>
          <w:lang w:bidi="fa-IR"/>
        </w:rPr>
        <w:t xml:space="preserve"> بِمِرْزَبَةٍ </w:t>
      </w:r>
      <w:r w:rsidRPr="007C12DB">
        <w:rPr>
          <w:rStyle w:val="libFootnotenumChar"/>
          <w:rtl/>
        </w:rPr>
        <w:t>(10)</w:t>
      </w:r>
      <w:r w:rsidRPr="005D642E">
        <w:rPr>
          <w:rtl/>
          <w:lang w:bidi="fa-IR"/>
        </w:rPr>
        <w:t xml:space="preserve"> مَعَهُمَا ضَرْبَةً مَا </w:t>
      </w:r>
      <w:r w:rsidRPr="007C12DB">
        <w:rPr>
          <w:rStyle w:val="libFootnotenumChar"/>
          <w:rtl/>
        </w:rPr>
        <w:t>(11)</w:t>
      </w:r>
      <w:r w:rsidRPr="005D642E">
        <w:rPr>
          <w:rtl/>
          <w:lang w:bidi="fa-IR"/>
        </w:rPr>
        <w:t xml:space="preserve"> خَلَقَ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00BC6491">
        <w:rPr>
          <w:rtl/>
          <w:lang w:bidi="fa-IR"/>
        </w:rPr>
        <w:t>مِنْ دَابَّةٍ ، إِل</w:t>
      </w:r>
      <w:r w:rsidR="00BC6491">
        <w:rPr>
          <w:rFonts w:hint="cs"/>
          <w:rtl/>
          <w:lang w:bidi="fa-IR"/>
        </w:rPr>
        <w:t>َّ</w:t>
      </w:r>
      <w:r w:rsidR="00BC6491">
        <w:rPr>
          <w:rtl/>
          <w:lang w:bidi="fa-IR"/>
        </w:rPr>
        <w:t>ا</w:t>
      </w:r>
      <w:r w:rsidRPr="005D642E">
        <w:rPr>
          <w:rtl/>
          <w:lang w:bidi="fa-IR"/>
        </w:rPr>
        <w:t xml:space="preserve"> وَتَذْعَرُ </w:t>
      </w:r>
      <w:r w:rsidRPr="007C12DB">
        <w:rPr>
          <w:rStyle w:val="libFootnotenumChar"/>
          <w:rtl/>
        </w:rPr>
        <w:t>(12)</w:t>
      </w:r>
      <w:r w:rsidRPr="005D642E">
        <w:rPr>
          <w:rtl/>
          <w:lang w:bidi="fa-IR"/>
        </w:rPr>
        <w:t xml:space="preserve"> لَهَا مَا خَلَا الثَّقَلَيْنِ ، ثُمَّ يَفْتَحَانِ </w:t>
      </w:r>
      <w:r w:rsidRPr="007C12DB">
        <w:rPr>
          <w:rStyle w:val="libFootnotenumChar"/>
          <w:rtl/>
        </w:rPr>
        <w:t>(13)</w:t>
      </w:r>
      <w:r w:rsidRPr="005D642E">
        <w:rPr>
          <w:rtl/>
          <w:lang w:bidi="fa-IR"/>
        </w:rPr>
        <w:t xml:space="preserve"> لَهُ‌</w:t>
      </w:r>
      <w:r>
        <w:rPr>
          <w:rFonts w:hint="cs"/>
          <w:rtl/>
          <w:lang w:bidi="fa-IR"/>
        </w:rPr>
        <w:t xml:space="preserve"> </w:t>
      </w:r>
      <w:r w:rsidRPr="005D642E">
        <w:rPr>
          <w:rtl/>
          <w:lang w:bidi="fa-IR"/>
        </w:rPr>
        <w:t xml:space="preserve">بَاباً إِلَى النَّارِ ، ثُمَّ يَقُولَانِ لَهُ : نَمْ بِشَرِّ حَالٍ فِيهِ مِنَ الضَّيْقِ مِثْلُ مَا فِيهِ الْقَنَا </w:t>
      </w:r>
      <w:r w:rsidRPr="007C12DB">
        <w:rPr>
          <w:rStyle w:val="libFootnotenumChar"/>
          <w:rtl/>
        </w:rPr>
        <w:t>(14)</w:t>
      </w:r>
      <w:r w:rsidRPr="005D642E">
        <w:rPr>
          <w:rtl/>
          <w:lang w:bidi="fa-IR"/>
        </w:rPr>
        <w:t xml:space="preserve"> مِنَ‌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الفرقان (25) : 24. و</w:t>
      </w:r>
      <w:r w:rsidR="00E3253D">
        <w:rPr>
          <w:rFonts w:hint="cs"/>
          <w:rtl/>
        </w:rPr>
        <w:t xml:space="preserve"> </w:t>
      </w:r>
      <w:r w:rsidR="00E3253D" w:rsidRPr="00BC6491">
        <w:rPr>
          <w:rStyle w:val="libFootnoteAlaemChar"/>
          <w:rFonts w:hint="cs"/>
          <w:rtl/>
        </w:rPr>
        <w:t>(</w:t>
      </w:r>
      <w:r w:rsidR="00E3253D" w:rsidRPr="005D642E">
        <w:rPr>
          <w:rtl/>
        </w:rPr>
        <w:t xml:space="preserve"> </w:t>
      </w:r>
      <w:r w:rsidR="00E3253D" w:rsidRPr="00EB702D">
        <w:rPr>
          <w:rStyle w:val="libFootnoteAieChar"/>
          <w:rtl/>
        </w:rPr>
        <w:t>مَقِيلاً</w:t>
      </w:r>
      <w:r w:rsidR="00E3253D" w:rsidRPr="005D642E">
        <w:rPr>
          <w:rtl/>
        </w:rPr>
        <w:t xml:space="preserve"> </w:t>
      </w:r>
      <w:r w:rsidR="00E3253D" w:rsidRPr="00BC6491">
        <w:rPr>
          <w:rStyle w:val="libFootnoteAlaemChar"/>
          <w:rFonts w:hint="cs"/>
          <w:rtl/>
        </w:rPr>
        <w:t>)</w:t>
      </w:r>
      <w:r w:rsidR="00E3253D" w:rsidRPr="005D642E">
        <w:rPr>
          <w:rtl/>
        </w:rPr>
        <w:t xml:space="preserve"> من القيلولة ، وهي عند العرب الاستراحة نصف النهار إذا اشتدّ الحرّ ، وان لم يكن مع ذلك نوم ، والدليل على ذلك أنّ الجنّة لانوم فيها. راجع : </w:t>
      </w:r>
      <w:r w:rsidR="00E3253D" w:rsidRPr="002F4D34">
        <w:rPr>
          <w:rStyle w:val="libFootnoteBoldChar"/>
          <w:rtl/>
        </w:rPr>
        <w:t>مجمع البيان</w:t>
      </w:r>
      <w:r w:rsidR="00E3253D" w:rsidRPr="005D642E">
        <w:rPr>
          <w:rtl/>
        </w:rPr>
        <w:t xml:space="preserve"> ، ج 7 ، ص 292 ، ذيل الآية المذكورة.</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وفي المطبوع : « وإن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BC6491" w:rsidTr="00BC6491">
        <w:tc>
          <w:tcPr>
            <w:tcW w:w="4006" w:type="dxa"/>
          </w:tcPr>
          <w:p w:rsidR="00BC6491" w:rsidRDefault="00BC6491" w:rsidP="00E3253D">
            <w:pPr>
              <w:pStyle w:val="libFootnote0"/>
              <w:rPr>
                <w:rStyle w:val="libFootnote0Char"/>
                <w:rtl/>
              </w:rPr>
            </w:pPr>
            <w:r w:rsidRPr="0042621E">
              <w:rPr>
                <w:rStyle w:val="libFootnote0Char"/>
                <w:rtl/>
              </w:rPr>
              <w:t>(3).</w:t>
            </w:r>
            <w:r w:rsidRPr="005D642E">
              <w:rPr>
                <w:rtl/>
              </w:rPr>
              <w:t xml:space="preserve"> في « بح » : « لعدوّاً</w:t>
            </w:r>
            <w:r>
              <w:rPr>
                <w:rtl/>
              </w:rPr>
              <w:t xml:space="preserve"> ».</w:t>
            </w:r>
          </w:p>
        </w:tc>
        <w:tc>
          <w:tcPr>
            <w:tcW w:w="4006" w:type="dxa"/>
          </w:tcPr>
          <w:p w:rsidR="00BC6491" w:rsidRDefault="00BC6491" w:rsidP="00E3253D">
            <w:pPr>
              <w:pStyle w:val="libFootnote0"/>
              <w:rPr>
                <w:rStyle w:val="libFootnote0Char"/>
                <w:rtl/>
              </w:rPr>
            </w:pPr>
            <w:r w:rsidRPr="0042621E">
              <w:rPr>
                <w:rStyle w:val="libFootnote0Char"/>
                <w:rtl/>
              </w:rPr>
              <w:t>(4).</w:t>
            </w:r>
            <w:r w:rsidRPr="005D642E">
              <w:rPr>
                <w:rtl/>
              </w:rPr>
              <w:t xml:space="preserve"> في « بخ » :</w:t>
            </w:r>
            <w:r>
              <w:rPr>
                <w:rtl/>
              </w:rPr>
              <w:t xml:space="preserve"> - </w:t>
            </w:r>
            <w:r w:rsidRPr="005D642E">
              <w:rPr>
                <w:rtl/>
              </w:rPr>
              <w:t>« فإنّه</w:t>
            </w:r>
            <w:r>
              <w:rPr>
                <w:rtl/>
              </w:rPr>
              <w:t xml:space="preserve"> ».</w:t>
            </w:r>
          </w:p>
        </w:tc>
      </w:tr>
      <w:tr w:rsidR="00BC6491" w:rsidTr="00BC6491">
        <w:tc>
          <w:tcPr>
            <w:tcW w:w="4006" w:type="dxa"/>
          </w:tcPr>
          <w:p w:rsidR="00BC6491" w:rsidRDefault="00BC6491" w:rsidP="00E3253D">
            <w:pPr>
              <w:pStyle w:val="libFootnote0"/>
              <w:rPr>
                <w:rStyle w:val="libFootnote0Char"/>
                <w:rtl/>
              </w:rPr>
            </w:pPr>
            <w:r w:rsidRPr="0042621E">
              <w:rPr>
                <w:rStyle w:val="libFootnote0Char"/>
                <w:rtl/>
              </w:rPr>
              <w:t>(5).</w:t>
            </w:r>
            <w:r w:rsidRPr="005D642E">
              <w:rPr>
                <w:rtl/>
              </w:rPr>
              <w:t xml:space="preserve"> في « بح » : + « من</w:t>
            </w:r>
            <w:r>
              <w:rPr>
                <w:rtl/>
              </w:rPr>
              <w:t xml:space="preserve"> ».</w:t>
            </w:r>
          </w:p>
        </w:tc>
        <w:tc>
          <w:tcPr>
            <w:tcW w:w="4006" w:type="dxa"/>
          </w:tcPr>
          <w:p w:rsidR="00BC6491" w:rsidRDefault="00BC6491" w:rsidP="00E3253D">
            <w:pPr>
              <w:pStyle w:val="libFootnote0"/>
              <w:rPr>
                <w:rStyle w:val="libFootnote0Char"/>
                <w:rtl/>
              </w:rPr>
            </w:pPr>
            <w:r w:rsidRPr="0042621E">
              <w:rPr>
                <w:rStyle w:val="libFootnote0Char"/>
                <w:rtl/>
              </w:rPr>
              <w:t>(6).</w:t>
            </w:r>
            <w:r>
              <w:rPr>
                <w:rtl/>
              </w:rPr>
              <w:t>في«ظ،ى،بس</w:t>
            </w:r>
            <w:r w:rsidRPr="005D642E">
              <w:rPr>
                <w:rtl/>
              </w:rPr>
              <w:t>»</w:t>
            </w:r>
            <w:r w:rsidRPr="009E68BB">
              <w:rPr>
                <w:rStyle w:val="libFootnoteBoldChar"/>
                <w:rtl/>
              </w:rPr>
              <w:t>وتفسير العيّاشي</w:t>
            </w:r>
            <w:r>
              <w:rPr>
                <w:rtl/>
              </w:rPr>
              <w:t>،ص 227</w:t>
            </w:r>
            <w:r w:rsidRPr="005D642E">
              <w:rPr>
                <w:rtl/>
              </w:rPr>
              <w:t>:</w:t>
            </w:r>
            <w:r>
              <w:rPr>
                <w:rtl/>
              </w:rPr>
              <w:t>-«</w:t>
            </w:r>
            <w:r w:rsidRPr="005D642E">
              <w:rPr>
                <w:rtl/>
              </w:rPr>
              <w:t>له</w:t>
            </w:r>
            <w:r>
              <w:rPr>
                <w:rtl/>
              </w:rPr>
              <w:t>».</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النزل ما هُيِّئَ للضيف إذا نزل عليه. والحميم : ماء حارّ يستقى منه أهل النار. والتصلية : التلويح علي النار. انظر : </w:t>
      </w:r>
      <w:r w:rsidR="00E3253D" w:rsidRPr="002F4D34">
        <w:rPr>
          <w:rStyle w:val="libFootnoteBoldChar"/>
          <w:rtl/>
        </w:rPr>
        <w:t>لسان العرب</w:t>
      </w:r>
      <w:r w:rsidR="00E3253D" w:rsidRPr="005D642E">
        <w:rPr>
          <w:rtl/>
        </w:rPr>
        <w:t xml:space="preserve"> ، ج 11 ، ص 658 ( نزل ) وج 12 ، ص 153 ( حمم ) </w:t>
      </w:r>
      <w:r w:rsidR="00E3253D" w:rsidRPr="00BC6491">
        <w:rPr>
          <w:rStyle w:val="libFootnoteBoldChar"/>
          <w:rtl/>
        </w:rPr>
        <w:t>و</w:t>
      </w:r>
      <w:r w:rsidR="00E3253D" w:rsidRPr="002F4D34">
        <w:rPr>
          <w:rStyle w:val="libFootnoteBoldChar"/>
          <w:rtl/>
        </w:rPr>
        <w:t>مجمع البحرين</w:t>
      </w:r>
      <w:r w:rsidR="00BC6491">
        <w:rPr>
          <w:rtl/>
        </w:rPr>
        <w:t xml:space="preserve"> ، ج 1 ، ص 226 (صلا</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غ ، بث ، بف ، جس » وحاشية « بخ » : « فإذا دخل</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اليافوخ » : الموضع الذي يتحرّك من رأس الطفل إذا كان قريب عهد بالولادة ، وهو فراغ بين عظام جمجمته‌في مقدّمتها وأعلاها ، لايلبث أن تلتقي فيه العظام. راجع : </w:t>
      </w:r>
      <w:r w:rsidR="00E3253D" w:rsidRPr="002F4D34">
        <w:rPr>
          <w:rStyle w:val="libFootnoteBoldChar"/>
          <w:rtl/>
        </w:rPr>
        <w:t>مرآة العقول</w:t>
      </w:r>
      <w:r w:rsidR="00E3253D" w:rsidRPr="005D642E">
        <w:rPr>
          <w:rtl/>
        </w:rPr>
        <w:t xml:space="preserve"> ، ج 14 ، ص 202 ؛ </w:t>
      </w:r>
      <w:r w:rsidR="00E3253D" w:rsidRPr="002F4D34">
        <w:rPr>
          <w:rStyle w:val="libFootnoteBoldChar"/>
          <w:rtl/>
        </w:rPr>
        <w:t>الوافي</w:t>
      </w:r>
      <w:r w:rsidR="00E3253D" w:rsidRPr="005D642E">
        <w:rPr>
          <w:rtl/>
        </w:rPr>
        <w:t xml:space="preserve"> ، ج 25 ، ص 603.</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المِرْزَبَةُ ، بالتخفيف : عُصي</w:t>
      </w:r>
      <w:r w:rsidR="00CE289B">
        <w:rPr>
          <w:rtl/>
        </w:rPr>
        <w:t>ّة من حديد ، والتي يكسر بها الم</w:t>
      </w:r>
      <w:r w:rsidR="00CE289B">
        <w:rPr>
          <w:rFonts w:hint="cs"/>
          <w:rtl/>
        </w:rPr>
        <w:t>ـَ</w:t>
      </w:r>
      <w:r w:rsidR="00E3253D" w:rsidRPr="005D642E">
        <w:rPr>
          <w:rtl/>
        </w:rPr>
        <w:t xml:space="preserve">دَر ، أي الطين ، ولمطرقة الكبيرة التي تكون للحدّادين. ويقال لها أيضاً : الإرْزَبّة بالتشديد. راجع : </w:t>
      </w:r>
      <w:r w:rsidR="00E3253D" w:rsidRPr="002F4D34">
        <w:rPr>
          <w:rStyle w:val="libFootnoteBoldChar"/>
          <w:rtl/>
        </w:rPr>
        <w:t>لسان العرب</w:t>
      </w:r>
      <w:r w:rsidR="00E3253D" w:rsidRPr="005D642E">
        <w:rPr>
          <w:rtl/>
        </w:rPr>
        <w:t xml:space="preserve"> ، ج 1 ، ص 416 ( رزب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بخ ، بف ، جس » : « فما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ظ ، بح ، بس ، جح ، جن » : « يذعر</w:t>
      </w:r>
      <w:r w:rsidR="00E3253D">
        <w:rPr>
          <w:rtl/>
        </w:rPr>
        <w:t xml:space="preserve"> ».</w:t>
      </w:r>
      <w:r w:rsidR="00E3253D" w:rsidRPr="005D642E">
        <w:rPr>
          <w:rtl/>
        </w:rPr>
        <w:t xml:space="preserve"> </w:t>
      </w:r>
      <w:r w:rsidR="00E3253D">
        <w:rPr>
          <w:rtl/>
        </w:rPr>
        <w:t>و «</w:t>
      </w:r>
      <w:r w:rsidR="00E3253D" w:rsidRPr="005D642E">
        <w:rPr>
          <w:rtl/>
        </w:rPr>
        <w:t xml:space="preserve"> الذُّعر » بالضمّ : الخوف ، وبالفتح : التخويف كالإذعار ، أي تفزع. راجع : </w:t>
      </w:r>
      <w:r w:rsidR="00E3253D" w:rsidRPr="002F4D34">
        <w:rPr>
          <w:rStyle w:val="libFootnoteBoldChar"/>
          <w:rtl/>
        </w:rPr>
        <w:t>الصحاح</w:t>
      </w:r>
      <w:r w:rsidR="00E3253D" w:rsidRPr="005D642E">
        <w:rPr>
          <w:rtl/>
        </w:rPr>
        <w:t xml:space="preserve"> ، ج 2 ، ص 663 ؛ </w:t>
      </w:r>
      <w:r w:rsidR="00E3253D" w:rsidRPr="002F4D34">
        <w:rPr>
          <w:rStyle w:val="libFootnoteBoldChar"/>
          <w:rtl/>
        </w:rPr>
        <w:t>القاموس المحيط</w:t>
      </w:r>
      <w:r w:rsidR="00E3253D" w:rsidRPr="005D642E">
        <w:rPr>
          <w:rtl/>
        </w:rPr>
        <w:t xml:space="preserve"> ، ج 1 ، ص 559 ( ذعر ) والثقين : الجنّ والإنس.</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بخ » </w:t>
      </w:r>
      <w:r w:rsidR="009E68BB" w:rsidRPr="009E68BB">
        <w:rPr>
          <w:rStyle w:val="libFootnoteBoldChar"/>
          <w:rtl/>
        </w:rPr>
        <w:t>وتفسير العيّاشي</w:t>
      </w:r>
      <w:r w:rsidR="00E3253D" w:rsidRPr="005D642E">
        <w:rPr>
          <w:rtl/>
        </w:rPr>
        <w:t xml:space="preserve"> ، ص 227 : « يفتح</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 القنا » بالقصر ، جمع القناة ، وهي الرمح. راجع : </w:t>
      </w:r>
      <w:r w:rsidR="00E3253D" w:rsidRPr="002F4D34">
        <w:rPr>
          <w:rStyle w:val="libFootnoteBoldChar"/>
          <w:rtl/>
        </w:rPr>
        <w:t>القاموس المحيط</w:t>
      </w:r>
      <w:r w:rsidR="00E3253D" w:rsidRPr="005D642E">
        <w:rPr>
          <w:rtl/>
        </w:rPr>
        <w:t xml:space="preserve"> ، ج 2 ، ص 1738 ( قنا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الزُّجِّ </w:t>
      </w:r>
      <w:r w:rsidRPr="007C12DB">
        <w:rPr>
          <w:rStyle w:val="libFootnotenumChar"/>
          <w:rtl/>
        </w:rPr>
        <w:t>(1)</w:t>
      </w:r>
      <w:r w:rsidRPr="005D642E">
        <w:rPr>
          <w:rtl/>
          <w:lang w:bidi="fa-IR"/>
        </w:rPr>
        <w:t xml:space="preserve"> حَتّى إِنَّ دِمَاغَهُ لَيَخْرُجُ مِنْ بَيْنِ ظُفُرِهِ وَلَحْمِهِ ، وَيُسَلِّطُ اللهُ عَلَيْهِ حَيَّاتِ الْأَرْضِ وَعَقَارِبَهَا وَهَوَامَّهَا ، فَتَنْهَشُهُ حَتّى يَبْعَثَهُ اللهُ مِنْ قَبْرِهِ ، وَإِنَّهُ </w:t>
      </w:r>
      <w:r w:rsidRPr="007C12DB">
        <w:rPr>
          <w:rStyle w:val="libFootnotenumChar"/>
          <w:rtl/>
        </w:rPr>
        <w:t>(2)</w:t>
      </w:r>
      <w:r w:rsidRPr="005D642E">
        <w:rPr>
          <w:rtl/>
          <w:lang w:bidi="fa-IR"/>
        </w:rPr>
        <w:t xml:space="preserve"> لَيَتَمَنّى قِيَامَ السَّاعَةِ فِيمَا </w:t>
      </w:r>
      <w:r w:rsidRPr="007C12DB">
        <w:rPr>
          <w:rStyle w:val="libFootnotenumChar"/>
          <w:rtl/>
        </w:rPr>
        <w:t>(3)</w:t>
      </w:r>
      <w:r w:rsidRPr="005D642E">
        <w:rPr>
          <w:rtl/>
          <w:lang w:bidi="fa-IR"/>
        </w:rPr>
        <w:t xml:space="preserve"> هُوَ فِيهِ مِنَ الشَّرِّ</w:t>
      </w:r>
      <w:r>
        <w:rPr>
          <w:rtl/>
          <w:lang w:bidi="fa-IR"/>
        </w:rPr>
        <w:t>».</w:t>
      </w:r>
    </w:p>
    <w:p w:rsidR="00E3253D" w:rsidRPr="005D642E" w:rsidRDefault="00CE289B" w:rsidP="00E3253D">
      <w:pPr>
        <w:pStyle w:val="libNormal"/>
        <w:rPr>
          <w:rtl/>
          <w:lang w:bidi="fa-IR"/>
        </w:rPr>
      </w:pPr>
      <w:r>
        <w:rPr>
          <w:rFonts w:hint="cs"/>
          <w:rtl/>
          <w:lang w:bidi="fa-IR"/>
        </w:rPr>
        <w:t xml:space="preserve">* </w:t>
      </w:r>
      <w:r w:rsidR="00E3253D" w:rsidRPr="005D642E">
        <w:rPr>
          <w:rtl/>
          <w:lang w:bidi="fa-IR"/>
        </w:rPr>
        <w:t xml:space="preserve">وَقَالَ جَابِرٌ </w:t>
      </w:r>
      <w:r w:rsidR="00E3253D" w:rsidRPr="007C12DB">
        <w:rPr>
          <w:rStyle w:val="libFootnotenumChar"/>
          <w:rtl/>
        </w:rPr>
        <w:t>(4)</w:t>
      </w:r>
      <w:r w:rsidR="00E3253D" w:rsidRPr="005D642E">
        <w:rPr>
          <w:rtl/>
          <w:lang w:bidi="fa-IR"/>
        </w:rPr>
        <w:t xml:space="preserve"> : قَالَ أَبُو جَعْفَرٍ </w:t>
      </w:r>
      <w:r w:rsidR="00E3253D" w:rsidRPr="00AC51C5">
        <w:rPr>
          <w:rStyle w:val="libAlaemChar"/>
          <w:rtl/>
        </w:rPr>
        <w:t>عليه‌السلام</w:t>
      </w:r>
      <w:r w:rsidR="00E3253D" w:rsidRPr="005D642E">
        <w:rPr>
          <w:rtl/>
          <w:lang w:bidi="fa-IR"/>
        </w:rPr>
        <w:t xml:space="preserve"> : « قَالَ النَّبِيُّ </w:t>
      </w:r>
      <w:r w:rsidR="0042621E" w:rsidRPr="0042621E">
        <w:rPr>
          <w:rStyle w:val="libAlaemChar"/>
          <w:rtl/>
        </w:rPr>
        <w:t>صلى‌الله‌عليه‌وآله</w:t>
      </w:r>
      <w:r w:rsidR="00E3253D" w:rsidRPr="005D642E">
        <w:rPr>
          <w:rtl/>
          <w:lang w:bidi="fa-IR"/>
        </w:rPr>
        <w:t xml:space="preserve"> : إِنِّي كُنْتُ أَنْظُرُ </w:t>
      </w:r>
      <w:r w:rsidR="00E3253D" w:rsidRPr="007C12DB">
        <w:rPr>
          <w:rStyle w:val="libFootnotenumChar"/>
          <w:rtl/>
        </w:rPr>
        <w:t>(5)</w:t>
      </w:r>
      <w:r w:rsidR="00E3253D" w:rsidRPr="005D642E">
        <w:rPr>
          <w:rtl/>
          <w:lang w:bidi="fa-IR"/>
        </w:rPr>
        <w:t xml:space="preserve"> إِلَى الْإِبِلِ وَالْغَنَمِ وَأَنَا أَرْعَاهَ</w:t>
      </w:r>
      <w:r>
        <w:rPr>
          <w:rtl/>
          <w:lang w:bidi="fa-IR"/>
        </w:rPr>
        <w:t>ا ، وَلَيْسَ مِنْ نَبِيٍّ إِل</w:t>
      </w:r>
      <w:r>
        <w:rPr>
          <w:rFonts w:hint="cs"/>
          <w:rtl/>
          <w:lang w:bidi="fa-IR"/>
        </w:rPr>
        <w:t>َّ</w:t>
      </w:r>
      <w:r>
        <w:rPr>
          <w:rtl/>
          <w:lang w:bidi="fa-IR"/>
        </w:rPr>
        <w:t>ا</w:t>
      </w:r>
      <w:r w:rsidR="00E3253D" w:rsidRPr="005D642E">
        <w:rPr>
          <w:rtl/>
          <w:lang w:bidi="fa-IR"/>
        </w:rPr>
        <w:t xml:space="preserve"> وَقَدْ رَعَى الْغَنَمَ ، وَكُنْتُ </w:t>
      </w:r>
      <w:r w:rsidR="00E3253D" w:rsidRPr="007C12DB">
        <w:rPr>
          <w:rStyle w:val="libFootnotenumChar"/>
          <w:rtl/>
        </w:rPr>
        <w:t>(6)</w:t>
      </w:r>
      <w:r w:rsidR="00E3253D" w:rsidRPr="005D642E">
        <w:rPr>
          <w:rtl/>
          <w:lang w:bidi="fa-IR"/>
        </w:rPr>
        <w:t xml:space="preserve"> أَنْظُرُ </w:t>
      </w:r>
      <w:r w:rsidR="00E3253D" w:rsidRPr="007C12DB">
        <w:rPr>
          <w:rStyle w:val="libFootnotenumChar"/>
          <w:rtl/>
        </w:rPr>
        <w:t>(7)</w:t>
      </w:r>
      <w:r w:rsidR="00E3253D" w:rsidRPr="005D642E">
        <w:rPr>
          <w:rtl/>
          <w:lang w:bidi="fa-IR"/>
        </w:rPr>
        <w:t xml:space="preserve"> إِلَيْهَا قَبْلَ النُّبُوَّةِ وَهِيَ مُتَمَكِّنَةٌ فِي </w:t>
      </w:r>
      <w:r w:rsidR="00E3253D" w:rsidRPr="007C12DB">
        <w:rPr>
          <w:rStyle w:val="libFootnotenumChar"/>
          <w:rtl/>
        </w:rPr>
        <w:t>(8)</w:t>
      </w:r>
      <w:r w:rsidR="00E3253D" w:rsidRPr="005D642E">
        <w:rPr>
          <w:rtl/>
          <w:lang w:bidi="fa-IR"/>
        </w:rPr>
        <w:t xml:space="preserve"> الْمَكِينَةِ ، مَا حَوْلَهَا شَيْ‌ءٌ يُهَيِّجُهَا حَتّى تَذْعَرَ فَتَطِيرَ ، فَأَقُولُ : مَا هذَا وَأَعْجَبُ حَتّى حَدَّثَنِي جَبْرَئِيلُ </w:t>
      </w:r>
      <w:r w:rsidR="00E3253D" w:rsidRPr="00AC51C5">
        <w:rPr>
          <w:rStyle w:val="libAlaemChar"/>
          <w:rtl/>
        </w:rPr>
        <w:t>عليه‌السلام</w:t>
      </w:r>
      <w:r w:rsidR="00E3253D" w:rsidRPr="005D642E">
        <w:rPr>
          <w:rtl/>
          <w:lang w:bidi="fa-IR"/>
        </w:rPr>
        <w:t xml:space="preserve"> أَنَّ الْكَافِرَ يُضْرَبُ ضَرْبَةً</w:t>
      </w:r>
      <w:r>
        <w:rPr>
          <w:rtl/>
          <w:lang w:bidi="fa-IR"/>
        </w:rPr>
        <w:t xml:space="preserve"> مَا خَلَقَ اللهُ شَيْئاً إِل</w:t>
      </w:r>
      <w:r>
        <w:rPr>
          <w:rFonts w:hint="cs"/>
          <w:rtl/>
          <w:lang w:bidi="fa-IR"/>
        </w:rPr>
        <w:t>َّ</w:t>
      </w:r>
      <w:r>
        <w:rPr>
          <w:rtl/>
          <w:lang w:bidi="fa-IR"/>
        </w:rPr>
        <w:t>ا</w:t>
      </w:r>
      <w:r w:rsidR="00E3253D" w:rsidRPr="005D642E">
        <w:rPr>
          <w:rtl/>
          <w:lang w:bidi="fa-IR"/>
        </w:rPr>
        <w:t xml:space="preserve"> سَمِعَهَا وَيَذْعَرُ </w:t>
      </w:r>
      <w:r w:rsidR="00E3253D" w:rsidRPr="007C12DB">
        <w:rPr>
          <w:rStyle w:val="libFootnotenumChar"/>
          <w:rtl/>
        </w:rPr>
        <w:t>(9)</w:t>
      </w:r>
      <w:r>
        <w:rPr>
          <w:rtl/>
          <w:lang w:bidi="fa-IR"/>
        </w:rPr>
        <w:t xml:space="preserve"> لَهَا إِل</w:t>
      </w:r>
      <w:r>
        <w:rPr>
          <w:rFonts w:hint="cs"/>
          <w:rtl/>
          <w:lang w:bidi="fa-IR"/>
        </w:rPr>
        <w:t>َّ</w:t>
      </w:r>
      <w:r>
        <w:rPr>
          <w:rtl/>
          <w:lang w:bidi="fa-IR"/>
        </w:rPr>
        <w:t>ا</w:t>
      </w:r>
      <w:r w:rsidR="00E3253D" w:rsidRPr="005D642E">
        <w:rPr>
          <w:rtl/>
          <w:lang w:bidi="fa-IR"/>
        </w:rPr>
        <w:t xml:space="preserve"> الثَّقَلَيْنِ ، فَقُلْنَا </w:t>
      </w:r>
      <w:r w:rsidR="00E3253D" w:rsidRPr="007C12DB">
        <w:rPr>
          <w:rStyle w:val="libFootnotenumChar"/>
          <w:rtl/>
        </w:rPr>
        <w:t>(10)</w:t>
      </w:r>
      <w:r w:rsidR="00E3253D" w:rsidRPr="005D642E">
        <w:rPr>
          <w:rtl/>
          <w:lang w:bidi="fa-IR"/>
        </w:rPr>
        <w:t xml:space="preserve"> : ذلِكَ لِضَرْبَةِ الْكَافِرِ </w:t>
      </w:r>
      <w:r w:rsidR="00E3253D" w:rsidRPr="007C12DB">
        <w:rPr>
          <w:rStyle w:val="libFootnotenumChar"/>
          <w:rtl/>
        </w:rPr>
        <w:t>(11)</w:t>
      </w:r>
      <w:r w:rsidR="00E3253D" w:rsidRPr="005D642E">
        <w:rPr>
          <w:rtl/>
          <w:lang w:bidi="fa-IR"/>
        </w:rPr>
        <w:t xml:space="preserve"> ، فَنَعُوذُ </w:t>
      </w:r>
      <w:r w:rsidR="00E3253D" w:rsidRPr="007C12DB">
        <w:rPr>
          <w:rStyle w:val="libFootnotenumChar"/>
          <w:rtl/>
        </w:rPr>
        <w:t>(12)</w:t>
      </w:r>
      <w:r w:rsidR="00E3253D" w:rsidRPr="005D642E">
        <w:rPr>
          <w:rtl/>
          <w:lang w:bidi="fa-IR"/>
        </w:rPr>
        <w:t xml:space="preserve"> بِاللهِ مِنْ عَذَابِ الْقَبْرِ</w:t>
      </w:r>
      <w:r w:rsidR="00E3253D">
        <w:rPr>
          <w:rtl/>
          <w:lang w:bidi="fa-IR"/>
        </w:rPr>
        <w:t xml:space="preserve"> ».</w:t>
      </w:r>
      <w:r w:rsidR="00E3253D" w:rsidRPr="005D642E">
        <w:rPr>
          <w:rtl/>
          <w:lang w:bidi="fa-IR"/>
        </w:rPr>
        <w:t xml:space="preserve"> </w:t>
      </w:r>
      <w:r w:rsidR="00E3253D" w:rsidRPr="007C12DB">
        <w:rPr>
          <w:rStyle w:val="libFootnotenumChar"/>
          <w:rtl/>
        </w:rPr>
        <w:t>(13)</w:t>
      </w:r>
      <w:r w:rsidR="00E3253D"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الزجّ » : الحديدة أسفل الرمح. راجع : </w:t>
      </w:r>
      <w:r w:rsidR="00E3253D" w:rsidRPr="002F4D34">
        <w:rPr>
          <w:rStyle w:val="libFootnoteBoldChar"/>
          <w:rtl/>
        </w:rPr>
        <w:t>القاموس المحيط</w:t>
      </w:r>
      <w:r w:rsidR="00E3253D" w:rsidRPr="005D642E">
        <w:rPr>
          <w:rtl/>
        </w:rPr>
        <w:t xml:space="preserve"> ، ج 1 ، ص 297 ( زجج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 « فإنّه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بخ » وحاشية « جح » وتفسير القمّي </w:t>
      </w:r>
      <w:r w:rsidR="009E68BB" w:rsidRPr="009E68BB">
        <w:rPr>
          <w:rStyle w:val="libFootnoteBoldChar"/>
          <w:rtl/>
        </w:rPr>
        <w:t>وتفسير العيّاشي</w:t>
      </w:r>
      <w:r w:rsidR="00E3253D" w:rsidRPr="005D642E">
        <w:rPr>
          <w:rtl/>
        </w:rPr>
        <w:t xml:space="preserve"> ، ص 227 : « ممّا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السند معلّق على الطريقين الأوّلين المذكورين في صدر الخبر.</w:t>
      </w:r>
    </w:p>
    <w:tbl>
      <w:tblPr>
        <w:tblStyle w:val="TableGrid"/>
        <w:bidiVisual/>
        <w:tblW w:w="0" w:type="auto"/>
        <w:tblLook w:val="04A0" w:firstRow="1" w:lastRow="0" w:firstColumn="1" w:lastColumn="0" w:noHBand="0" w:noVBand="1"/>
      </w:tblPr>
      <w:tblGrid>
        <w:gridCol w:w="4006"/>
        <w:gridCol w:w="4006"/>
      </w:tblGrid>
      <w:tr w:rsidR="00CE289B" w:rsidTr="00CE289B">
        <w:tc>
          <w:tcPr>
            <w:tcW w:w="4006" w:type="dxa"/>
          </w:tcPr>
          <w:p w:rsidR="00CE289B" w:rsidRDefault="00CE289B" w:rsidP="00E3253D">
            <w:pPr>
              <w:pStyle w:val="libFootnote0"/>
              <w:rPr>
                <w:rStyle w:val="libFootnote0Char"/>
                <w:rtl/>
              </w:rPr>
            </w:pPr>
            <w:r w:rsidRPr="0042621E">
              <w:rPr>
                <w:rStyle w:val="libFootnote0Char"/>
                <w:rtl/>
              </w:rPr>
              <w:t>(5).</w:t>
            </w:r>
            <w:r w:rsidRPr="005D642E">
              <w:rPr>
                <w:rtl/>
              </w:rPr>
              <w:t xml:space="preserve"> في « بث ، بخ » : « لأنظر</w:t>
            </w:r>
            <w:r>
              <w:rPr>
                <w:rtl/>
              </w:rPr>
              <w:t xml:space="preserve"> ».</w:t>
            </w:r>
          </w:p>
        </w:tc>
        <w:tc>
          <w:tcPr>
            <w:tcW w:w="4006" w:type="dxa"/>
          </w:tcPr>
          <w:p w:rsidR="00CE289B" w:rsidRDefault="00CE289B" w:rsidP="00E3253D">
            <w:pPr>
              <w:pStyle w:val="libFootnote0"/>
              <w:rPr>
                <w:rStyle w:val="libFootnote0Char"/>
                <w:rtl/>
              </w:rPr>
            </w:pPr>
            <w:r w:rsidRPr="0042621E">
              <w:rPr>
                <w:rStyle w:val="libFootnote0Char"/>
                <w:rtl/>
              </w:rPr>
              <w:t>(6).</w:t>
            </w:r>
            <w:r>
              <w:rPr>
                <w:rtl/>
              </w:rPr>
              <w:t>في«بح،بف</w:t>
            </w:r>
            <w:r w:rsidRPr="005D642E">
              <w:rPr>
                <w:rtl/>
              </w:rPr>
              <w:t>»</w:t>
            </w:r>
            <w:r w:rsidRPr="009E68BB">
              <w:rPr>
                <w:rStyle w:val="libFootnoteBoldChar"/>
                <w:rtl/>
              </w:rPr>
              <w:t>وتفسير العيّاشي</w:t>
            </w:r>
            <w:r>
              <w:rPr>
                <w:rtl/>
              </w:rPr>
              <w:t>،ص 228:«</w:t>
            </w:r>
            <w:r w:rsidRPr="005D642E">
              <w:rPr>
                <w:rtl/>
              </w:rPr>
              <w:t>فكنت</w:t>
            </w:r>
            <w:r>
              <w:rPr>
                <w:rtl/>
              </w:rPr>
              <w:t>».</w:t>
            </w:r>
          </w:p>
        </w:tc>
      </w:tr>
      <w:tr w:rsidR="00CE289B" w:rsidTr="00CE289B">
        <w:tc>
          <w:tcPr>
            <w:tcW w:w="4006" w:type="dxa"/>
          </w:tcPr>
          <w:p w:rsidR="00CE289B" w:rsidRDefault="00CE289B" w:rsidP="00E3253D">
            <w:pPr>
              <w:pStyle w:val="libFootnote0"/>
              <w:rPr>
                <w:rStyle w:val="libFootnote0Char"/>
                <w:rtl/>
              </w:rPr>
            </w:pPr>
            <w:r w:rsidRPr="0042621E">
              <w:rPr>
                <w:rStyle w:val="libFootnote0Char"/>
                <w:rtl/>
              </w:rPr>
              <w:t>(7).</w:t>
            </w:r>
            <w:r w:rsidRPr="005D642E">
              <w:rPr>
                <w:rtl/>
              </w:rPr>
              <w:t xml:space="preserve"> في حاشية « بث » : « لأنظر</w:t>
            </w:r>
            <w:r>
              <w:rPr>
                <w:rtl/>
              </w:rPr>
              <w:t xml:space="preserve"> ».</w:t>
            </w:r>
          </w:p>
        </w:tc>
        <w:tc>
          <w:tcPr>
            <w:tcW w:w="4006" w:type="dxa"/>
          </w:tcPr>
          <w:p w:rsidR="00CE289B" w:rsidRDefault="00CE289B" w:rsidP="00E3253D">
            <w:pPr>
              <w:pStyle w:val="libFootnote0"/>
              <w:rPr>
                <w:rStyle w:val="libFootnote0Char"/>
                <w:rtl/>
              </w:rPr>
            </w:pPr>
            <w:r w:rsidRPr="0042621E">
              <w:rPr>
                <w:rStyle w:val="libFootnote0Char"/>
                <w:rtl/>
              </w:rPr>
              <w:t>(8).</w:t>
            </w:r>
            <w:r w:rsidRPr="005D642E">
              <w:rPr>
                <w:rtl/>
              </w:rPr>
              <w:t xml:space="preserve"> في « غ ، بخ » وحاشية « بح » : « من</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بح ، جح » : « وتذعر</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والبحار وفي المطبوع : « فقلت</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E289B" w:rsidTr="00CE289B">
        <w:tc>
          <w:tcPr>
            <w:tcW w:w="4006" w:type="dxa"/>
          </w:tcPr>
          <w:p w:rsidR="00CE289B" w:rsidRDefault="00CE289B" w:rsidP="00E3253D">
            <w:pPr>
              <w:pStyle w:val="libFootnote0"/>
              <w:rPr>
                <w:rStyle w:val="libFootnote0Char"/>
                <w:rtl/>
              </w:rPr>
            </w:pPr>
            <w:r w:rsidRPr="0042621E">
              <w:rPr>
                <w:rStyle w:val="libFootnote0Char"/>
                <w:rtl/>
              </w:rPr>
              <w:t>(11).</w:t>
            </w:r>
            <w:r w:rsidRPr="005D642E">
              <w:rPr>
                <w:rtl/>
              </w:rPr>
              <w:t xml:space="preserve"> في « بس » : « الكافرة</w:t>
            </w:r>
            <w:r>
              <w:rPr>
                <w:rtl/>
              </w:rPr>
              <w:t xml:space="preserve"> ».</w:t>
            </w:r>
          </w:p>
        </w:tc>
        <w:tc>
          <w:tcPr>
            <w:tcW w:w="4006" w:type="dxa"/>
          </w:tcPr>
          <w:p w:rsidR="00CE289B" w:rsidRDefault="00CE289B" w:rsidP="00E3253D">
            <w:pPr>
              <w:pStyle w:val="libFootnote0"/>
              <w:rPr>
                <w:rStyle w:val="libFootnote0Char"/>
                <w:rtl/>
              </w:rPr>
            </w:pPr>
            <w:r w:rsidRPr="0042621E">
              <w:rPr>
                <w:rStyle w:val="libFootnote0Char"/>
                <w:rtl/>
              </w:rPr>
              <w:t>(12).</w:t>
            </w:r>
            <w:r w:rsidRPr="005D642E">
              <w:rPr>
                <w:rtl/>
              </w:rPr>
              <w:t xml:space="preserve"> في « غ » : « فتعوذ</w:t>
            </w:r>
            <w:r>
              <w:rPr>
                <w:rtl/>
              </w:rPr>
              <w:t xml:space="preserve"> ».</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2F4D34">
        <w:rPr>
          <w:rStyle w:val="libFootnoteBoldChar"/>
          <w:rtl/>
        </w:rPr>
        <w:t>تفسير القمّي</w:t>
      </w:r>
      <w:r w:rsidR="00E3253D" w:rsidRPr="005D642E">
        <w:rPr>
          <w:rtl/>
        </w:rPr>
        <w:t xml:space="preserve"> ، ج 1 ، ص 369 ، عن أبيه ، عن عليّ بن مهزيار ، عن عمر بن عثمان ، عن المفضّل بن صالح ، عن جابر ، عن إبراهيم بن العلى ، عن سويد بن علقمة ، عن أميرالمؤمنين </w:t>
      </w:r>
      <w:r w:rsidR="00E3253D" w:rsidRPr="00CE289B">
        <w:rPr>
          <w:rStyle w:val="libFootnoteAlaemChar"/>
          <w:rtl/>
        </w:rPr>
        <w:t>عليه‌السلام</w:t>
      </w:r>
      <w:r w:rsidR="00E3253D" w:rsidRPr="005D642E">
        <w:rPr>
          <w:rtl/>
        </w:rPr>
        <w:t xml:space="preserve">. </w:t>
      </w:r>
      <w:r w:rsidR="00E3253D" w:rsidRPr="0035521A">
        <w:rPr>
          <w:rStyle w:val="libFootnoteBoldChar"/>
          <w:rtl/>
        </w:rPr>
        <w:t>الأمالي للطوسي</w:t>
      </w:r>
      <w:r w:rsidR="00E3253D" w:rsidRPr="005D642E">
        <w:rPr>
          <w:rtl/>
        </w:rPr>
        <w:t xml:space="preserve"> ، ص 347 ، المجلس 12 ، ح 59 ، بسنده عن جابر ، عن إبراهيم بن عبد الأعلى ، عن سويد بن غفلة ، عن عليّ بن أبي طالب </w:t>
      </w:r>
      <w:r w:rsidR="00E3253D" w:rsidRPr="00CE289B">
        <w:rPr>
          <w:rStyle w:val="libFootnoteAlaemChar"/>
          <w:rtl/>
        </w:rPr>
        <w:t>عليه‌السلام</w:t>
      </w:r>
      <w:r w:rsidR="00E3253D" w:rsidRPr="005D642E">
        <w:rPr>
          <w:rtl/>
        </w:rPr>
        <w:t xml:space="preserve"> وعبدالله بن عبّاس. </w:t>
      </w:r>
      <w:r w:rsidR="00E3253D" w:rsidRPr="002F4D34">
        <w:rPr>
          <w:rStyle w:val="libFootnoteBoldChar"/>
          <w:rtl/>
        </w:rPr>
        <w:t>تفسير العيّاشي</w:t>
      </w:r>
      <w:r w:rsidR="00E3253D" w:rsidRPr="005D642E">
        <w:rPr>
          <w:rtl/>
        </w:rPr>
        <w:t xml:space="preserve"> ، ج 2 ، ص 227 ، ح 20 ، عن سويد بن غفلة ، عن أميرالمؤمنين </w:t>
      </w:r>
      <w:r w:rsidR="00E3253D" w:rsidRPr="00CE289B">
        <w:rPr>
          <w:rStyle w:val="libFootnoteAlaemChar"/>
          <w:rtl/>
        </w:rPr>
        <w:t>عليه‌السلام</w:t>
      </w:r>
      <w:r w:rsidR="00E3253D" w:rsidRPr="005D642E">
        <w:rPr>
          <w:rtl/>
        </w:rPr>
        <w:t xml:space="preserve"> ، وفي كلّها إلى قوله : « وإنّه ليتمنّى قيام الساعة فيما هو فيه من الشرّ</w:t>
      </w:r>
      <w:r w:rsidR="00E3253D">
        <w:rPr>
          <w:rtl/>
        </w:rPr>
        <w:t xml:space="preserve"> ».</w:t>
      </w:r>
      <w:r w:rsidR="00E3253D" w:rsidRPr="005D642E">
        <w:rPr>
          <w:rtl/>
        </w:rPr>
        <w:t xml:space="preserve"> </w:t>
      </w:r>
      <w:r w:rsidR="00E3253D" w:rsidRPr="00CE289B">
        <w:rPr>
          <w:rStyle w:val="libFootnoteBoldChar"/>
          <w:rtl/>
        </w:rPr>
        <w:t>وتف</w:t>
      </w:r>
      <w:r w:rsidR="00E3253D" w:rsidRPr="002F4D34">
        <w:rPr>
          <w:rStyle w:val="libFootnoteBoldChar"/>
          <w:rtl/>
        </w:rPr>
        <w:t xml:space="preserve">سيرالعيّاشي </w:t>
      </w:r>
      <w:r w:rsidR="00E3253D" w:rsidRPr="005D642E">
        <w:rPr>
          <w:rtl/>
        </w:rPr>
        <w:t xml:space="preserve">، ص 228 ، ح 21 ، عن جابر ، عن أبي جعفر </w:t>
      </w:r>
      <w:r w:rsidR="00E3253D" w:rsidRPr="00CE289B">
        <w:rPr>
          <w:rStyle w:val="libFootnoteAlaemChar"/>
          <w:rtl/>
        </w:rPr>
        <w:t>عليه‌السلام</w:t>
      </w:r>
      <w:r w:rsidR="00E3253D" w:rsidRPr="005D642E">
        <w:rPr>
          <w:rtl/>
        </w:rPr>
        <w:t xml:space="preserve"> عن النبيّ </w:t>
      </w:r>
      <w:r w:rsidRPr="00CE289B">
        <w:rPr>
          <w:rStyle w:val="libFootnoteAlaemChar"/>
          <w:rtl/>
        </w:rPr>
        <w:t>صلى‌الله‌عليه‌وآله</w:t>
      </w:r>
      <w:r w:rsidR="00E3253D" w:rsidRPr="005D642E">
        <w:rPr>
          <w:rtl/>
        </w:rPr>
        <w:t xml:space="preserve"> ، من قوله : « إنّي كنت أنظر إلى الإبل والغنم</w:t>
      </w:r>
      <w:r w:rsidR="00E3253D">
        <w:rPr>
          <w:rtl/>
        </w:rPr>
        <w:t xml:space="preserve"> ».</w:t>
      </w:r>
      <w:r w:rsidR="00E3253D" w:rsidRPr="005D642E">
        <w:rPr>
          <w:rtl/>
        </w:rPr>
        <w:t xml:space="preserve"> </w:t>
      </w:r>
      <w:r w:rsidR="00E3253D" w:rsidRPr="002F4D34">
        <w:rPr>
          <w:rStyle w:val="libFootnoteBoldChar"/>
          <w:rtl/>
        </w:rPr>
        <w:t>الفقيه</w:t>
      </w:r>
      <w:r w:rsidR="00E3253D" w:rsidRPr="005D642E">
        <w:rPr>
          <w:rtl/>
        </w:rPr>
        <w:t xml:space="preserve"> ، ج 1 ، ص 137 ، ح 370 ، مرسلاً عن أميرالمؤمنين </w:t>
      </w:r>
      <w:r w:rsidR="00E3253D" w:rsidRPr="00CE289B">
        <w:rPr>
          <w:rStyle w:val="libFootnoteAlaemChar"/>
          <w:rtl/>
        </w:rPr>
        <w:t>عليه‌السلام</w:t>
      </w:r>
      <w:r w:rsidR="00E3253D" w:rsidRPr="005D642E">
        <w:rPr>
          <w:rtl/>
        </w:rPr>
        <w:t xml:space="preserve"> ، إلى قوله : « حتّى اعرض أنا وأنت على ربّك » وفي كلّ المصادر مع اختلاف يسير </w:t>
      </w:r>
      <w:r w:rsidR="00CE289B">
        <w:rPr>
          <w:rFonts w:hint="cs"/>
          <w:rtl/>
        </w:rPr>
        <w:t>.</w:t>
      </w:r>
      <w:r w:rsidR="00E3253D" w:rsidRPr="002F4D34">
        <w:rPr>
          <w:rStyle w:val="libFootnoteBoldChar"/>
          <w:rtl/>
        </w:rPr>
        <w:t>الوافي</w:t>
      </w:r>
      <w:r w:rsidR="00E3253D" w:rsidRPr="005D642E">
        <w:rPr>
          <w:rtl/>
        </w:rPr>
        <w:t xml:space="preserve"> ، ج 25 ، ص 599 ، ح 24746 ؛ </w:t>
      </w:r>
      <w:r w:rsidR="00E3253D" w:rsidRPr="002F4D34">
        <w:rPr>
          <w:rStyle w:val="libFootnoteBoldChar"/>
          <w:rtl/>
        </w:rPr>
        <w:t>الوسائل</w:t>
      </w:r>
      <w:r w:rsidR="00E3253D" w:rsidRPr="005D642E">
        <w:rPr>
          <w:rtl/>
        </w:rPr>
        <w:t xml:space="preserve"> ، ج 16 ، ص 105 ، ح 21100 ، إلى قوله : « في قبرك ويوم نشرك حتّى ا</w:t>
      </w:r>
      <w:r w:rsidR="00CE289B">
        <w:rPr>
          <w:rFonts w:hint="cs"/>
          <w:rtl/>
        </w:rPr>
        <w:t>ُ</w:t>
      </w:r>
      <w:r w:rsidR="00E3253D" w:rsidRPr="005D642E">
        <w:rPr>
          <w:rtl/>
        </w:rPr>
        <w:t xml:space="preserve">عرض أنا وأنت على ربّك » ؛ </w:t>
      </w:r>
      <w:r w:rsidR="00E3253D" w:rsidRPr="002F4D34">
        <w:rPr>
          <w:rStyle w:val="libFootnoteBoldChar"/>
          <w:rtl/>
        </w:rPr>
        <w:t>البحار</w:t>
      </w:r>
      <w:r w:rsidR="00E3253D" w:rsidRPr="005D642E">
        <w:rPr>
          <w:rtl/>
        </w:rPr>
        <w:t xml:space="preserve"> ، ج 6 ، ص 226 ، ح 28.</w:t>
      </w:r>
    </w:p>
    <w:p w:rsidR="00E3253D" w:rsidRDefault="00E3253D" w:rsidP="00E3253D">
      <w:pPr>
        <w:pStyle w:val="libNormal"/>
        <w:rPr>
          <w:rtl/>
          <w:lang w:bidi="fa-IR"/>
        </w:rPr>
      </w:pPr>
      <w:r>
        <w:rPr>
          <w:rtl/>
          <w:lang w:bidi="fa-IR"/>
        </w:rPr>
        <w:br w:type="page"/>
      </w:r>
    </w:p>
    <w:p w:rsidR="00CE289B" w:rsidRDefault="00E3253D" w:rsidP="00CE289B">
      <w:pPr>
        <w:pStyle w:val="libNormal"/>
        <w:rPr>
          <w:rtl/>
          <w:lang w:bidi="fa-IR"/>
        </w:rPr>
      </w:pPr>
      <w:r w:rsidRPr="00EB505B">
        <w:rPr>
          <w:rtl/>
        </w:rPr>
        <w:t>4692</w:t>
      </w:r>
      <w:r w:rsidRPr="00246318">
        <w:rPr>
          <w:rStyle w:val="libBold2Char"/>
          <w:rtl/>
        </w:rPr>
        <w:t xml:space="preserve"> / 2.</w:t>
      </w:r>
      <w:r w:rsidRPr="005D642E">
        <w:rPr>
          <w:rtl/>
          <w:lang w:bidi="fa-IR"/>
        </w:rPr>
        <w:t xml:space="preserve"> سَهْلُ بْنُ زِيَادٍ </w:t>
      </w:r>
      <w:r w:rsidRPr="007C12DB">
        <w:rPr>
          <w:rStyle w:val="libFootnotenumChar"/>
          <w:rtl/>
        </w:rPr>
        <w:t>(1)</w:t>
      </w:r>
      <w:r w:rsidRPr="005D642E">
        <w:rPr>
          <w:rtl/>
          <w:lang w:bidi="fa-IR"/>
        </w:rPr>
        <w:t xml:space="preserve"> ، عَنِ الْحَسَنِ بْنِ عَلِيٍّ </w:t>
      </w:r>
      <w:r w:rsidRPr="007C12DB">
        <w:rPr>
          <w:rStyle w:val="libFootnotenumChar"/>
          <w:rtl/>
        </w:rPr>
        <w:t>(2)</w:t>
      </w:r>
      <w:r w:rsidRPr="005D642E">
        <w:rPr>
          <w:rtl/>
          <w:lang w:bidi="fa-IR"/>
        </w:rPr>
        <w:t xml:space="preserve"> ، عَنْ بَشِيرٍ الدَّهَّانِ ، عَنْ أَبِي عَبْدِ اللهِ </w:t>
      </w:r>
      <w:r w:rsidRPr="00AC51C5">
        <w:rPr>
          <w:rStyle w:val="libAlaemChar"/>
          <w:rtl/>
        </w:rPr>
        <w:t>عليه‌السلام</w:t>
      </w:r>
      <w:r w:rsidRPr="005D642E">
        <w:rPr>
          <w:rtl/>
          <w:lang w:bidi="fa-IR"/>
        </w:rPr>
        <w:t xml:space="preserve"> ؛</w:t>
      </w:r>
    </w:p>
    <w:p w:rsidR="00E3253D" w:rsidRPr="005D642E" w:rsidRDefault="001F7EDD" w:rsidP="00CE289B">
      <w:pPr>
        <w:pStyle w:val="libNormal"/>
        <w:rPr>
          <w:rtl/>
          <w:lang w:bidi="fa-IR"/>
        </w:rPr>
      </w:pPr>
      <w:r>
        <w:rPr>
          <w:rFonts w:hint="cs"/>
          <w:rtl/>
          <w:lang w:bidi="fa-IR"/>
        </w:rPr>
        <w:t xml:space="preserve">           </w:t>
      </w:r>
      <w:r w:rsidR="0024280B">
        <w:rPr>
          <w:rFonts w:hint="cs"/>
          <w:rtl/>
          <w:lang w:bidi="fa-IR"/>
        </w:rPr>
        <w:t xml:space="preserve">  </w:t>
      </w:r>
      <w:r w:rsidR="00E3253D" w:rsidRPr="005D642E">
        <w:rPr>
          <w:rtl/>
          <w:lang w:bidi="fa-IR"/>
        </w:rPr>
        <w:t>وَعَلِيُّ بْنُ إِبْرَاهِيمَ ، عَنْ مُحَمَّدِ بْنِ عِيسى ، عَنْ يُونُسَ ، عَنْ</w:t>
      </w:r>
      <w:r>
        <w:rPr>
          <w:rtl/>
          <w:lang w:bidi="fa-IR"/>
        </w:rPr>
        <w:t xml:space="preserve"> أَبِي جَمِيلَةَ ، عَنْ جَابِرٍ</w:t>
      </w:r>
      <w:r w:rsidR="00E3253D" w:rsidRPr="005D642E">
        <w:rPr>
          <w:rtl/>
          <w:lang w:bidi="fa-IR"/>
        </w:rPr>
        <w:t>:</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عَنْ جَابِرِ بْنِ عَبْدِ اللهِ ، قَالَ : « قَالَ رَسُولُ اللهِ </w:t>
      </w:r>
      <w:r w:rsidR="0042621E" w:rsidRPr="0042621E">
        <w:rPr>
          <w:rStyle w:val="libAlaemChar"/>
          <w:rtl/>
        </w:rPr>
        <w:t>صلى‌الله‌عليه‌وآله</w:t>
      </w:r>
      <w:r w:rsidRPr="005D642E">
        <w:rPr>
          <w:rtl/>
          <w:lang w:bidi="fa-IR"/>
        </w:rPr>
        <w:t xml:space="preserve"> : إِذَا حُمِلَ عَدُوُّ اللهِ إِلى ق</w:t>
      </w:r>
      <w:r>
        <w:rPr>
          <w:rtl/>
          <w:lang w:bidi="fa-IR"/>
        </w:rPr>
        <w:t>َبْرِهِ ، نَادى حَمَلَتَهُ : أَ</w:t>
      </w:r>
      <w:r w:rsidRPr="005D642E">
        <w:rPr>
          <w:rtl/>
          <w:lang w:bidi="fa-IR"/>
        </w:rPr>
        <w:t>لَا</w:t>
      </w:r>
      <w:r w:rsidR="0024280B">
        <w:rPr>
          <w:rFonts w:hint="cs"/>
          <w:rtl/>
          <w:lang w:bidi="fa-IR"/>
        </w:rPr>
        <w:t xml:space="preserve"> </w:t>
      </w:r>
      <w:r w:rsidRPr="005D642E">
        <w:rPr>
          <w:rtl/>
          <w:lang w:bidi="fa-IR"/>
        </w:rPr>
        <w:t xml:space="preserve">تَسْمَعُونَ يَا إِخْوَتَاهْ ، أَنِّي أَشْكُو إِلَيْكُمْ مَا وَقَعَ فِيهِ أَخُوكُمُ الشَّقِيُّ أَنَّ عَدُوَّ اللهِ خَدَعَنِي ، فَأَوْرَدَنِي </w:t>
      </w:r>
      <w:r w:rsidRPr="007C12DB">
        <w:rPr>
          <w:rStyle w:val="libFootnotenumChar"/>
          <w:rtl/>
        </w:rPr>
        <w:t>(3)</w:t>
      </w:r>
      <w:r w:rsidRPr="005D642E">
        <w:rPr>
          <w:rtl/>
          <w:lang w:bidi="fa-IR"/>
        </w:rPr>
        <w:t xml:space="preserve"> ، ثُمَّ لَمْ يُصْدِرْنِي </w:t>
      </w:r>
      <w:r w:rsidRPr="007C12DB">
        <w:rPr>
          <w:rStyle w:val="libFootnotenumChar"/>
          <w:rtl/>
        </w:rPr>
        <w:t>(4)</w:t>
      </w:r>
      <w:r w:rsidRPr="005D642E">
        <w:rPr>
          <w:rtl/>
          <w:lang w:bidi="fa-IR"/>
        </w:rPr>
        <w:t xml:space="preserve"> ، وَأَقْسَمَ لِي أَنَّهُ نَاصِحٌ لِي ، فَغَشَّنِي ؛ وَأَشْكُو </w:t>
      </w:r>
      <w:r w:rsidRPr="007C12DB">
        <w:rPr>
          <w:rStyle w:val="libFootnotenumChar"/>
          <w:rtl/>
        </w:rPr>
        <w:t>(5)</w:t>
      </w:r>
      <w:r w:rsidRPr="005D642E">
        <w:rPr>
          <w:rtl/>
          <w:lang w:bidi="fa-IR"/>
        </w:rPr>
        <w:t xml:space="preserve"> إِلَيْكُمْ دُنْيَا غَرَّتْنِي ، حَتّى إِذَا اطْمَأْنَنْتُ إِلَيْهَا صَرَعَتْنِي</w:t>
      </w:r>
      <w:r w:rsidR="0024280B">
        <w:rPr>
          <w:rtl/>
          <w:lang w:bidi="fa-IR"/>
        </w:rPr>
        <w:t xml:space="preserve"> ؛ وَأَشْكُو إِلَيْكُمْ أَخِل</w:t>
      </w:r>
      <w:r w:rsidR="0024280B">
        <w:rPr>
          <w:rFonts w:hint="cs"/>
          <w:rtl/>
          <w:lang w:bidi="fa-IR"/>
        </w:rPr>
        <w:t>َّ</w:t>
      </w:r>
      <w:r w:rsidR="0024280B">
        <w:rPr>
          <w:rtl/>
          <w:lang w:bidi="fa-IR"/>
        </w:rPr>
        <w:t>ا</w:t>
      </w:r>
      <w:r w:rsidRPr="005D642E">
        <w:rPr>
          <w:rtl/>
          <w:lang w:bidi="fa-IR"/>
        </w:rPr>
        <w:t xml:space="preserve">ءَ الْهَوى مَنَّوْنِي ، ثُمَّ تَبَرَّؤُوا مِنِّي ، وَخَذَلُونِي ؛ وَأَشْكُو إِلَيْكُمْ أَوْلَاداً حَمَيْتُ عَنْهُمْ ، وَآثَرْتُهُمْ عَلى نَفْسِي ، فَأَكَلُوا مَالِي ، وَأَسْلَمُونِي </w:t>
      </w:r>
      <w:r w:rsidRPr="007C12DB">
        <w:rPr>
          <w:rStyle w:val="libFootnotenumChar"/>
          <w:rtl/>
        </w:rPr>
        <w:t>(6)</w:t>
      </w:r>
      <w:r w:rsidRPr="005D642E">
        <w:rPr>
          <w:rtl/>
          <w:lang w:bidi="fa-IR"/>
        </w:rPr>
        <w:t xml:space="preserve"> ؛ وَأَشْكُو إِلَيْكُمْ مَالاً مَنَعْتُ مِنْهُ </w:t>
      </w:r>
      <w:r w:rsidRPr="007C12DB">
        <w:rPr>
          <w:rStyle w:val="libFootnotenumChar"/>
          <w:rtl/>
        </w:rPr>
        <w:t>(7)</w:t>
      </w:r>
      <w:r w:rsidRPr="005D642E">
        <w:rPr>
          <w:rtl/>
          <w:lang w:bidi="fa-IR"/>
        </w:rPr>
        <w:t xml:space="preserve"> حَقَّ‌</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السند الثاني من الحديث السابق ، ويروي عن سهل بن زياد ، عدّة من أصحابنا. ثمّ إنّ وقوع نوع من التحويل وأنّ للخبر طريقين واضح.</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يأتي في ح 4714 ، رواية سهل بن زياد ، عن الحسن بن عليّ ، عن غالب بن عثمان ، عن بشير الدّهان ، عن أبي عبدالله </w:t>
      </w:r>
      <w:r w:rsidR="00E3253D" w:rsidRPr="0024280B">
        <w:rPr>
          <w:rStyle w:val="libFootnoteAlaemChar"/>
          <w:rtl/>
        </w:rPr>
        <w:t>عليه‌السلام</w:t>
      </w:r>
      <w:r w:rsidR="00E3253D" w:rsidRPr="005D642E">
        <w:rPr>
          <w:rtl/>
        </w:rPr>
        <w:t>. ومضمون ذاك الخبر يشبه ما ورد في ذيل خبرنا هذا ؛ من « أنا بيت الدود » ، « أنا بيت الظلمة » و</w:t>
      </w:r>
      <w:r w:rsidR="00E3253D">
        <w:rPr>
          <w:rtl/>
        </w:rPr>
        <w:t xml:space="preserve"> ....</w:t>
      </w:r>
    </w:p>
    <w:p w:rsidR="00E3253D" w:rsidRPr="00EB505B" w:rsidRDefault="00E3253D" w:rsidP="00B60612">
      <w:pPr>
        <w:pStyle w:val="libFootnote0"/>
        <w:rPr>
          <w:rtl/>
        </w:rPr>
      </w:pPr>
      <w:r w:rsidRPr="00EB505B">
        <w:rPr>
          <w:rtl/>
        </w:rPr>
        <w:t>والمظنون في ما نحن فيه سقوط « عن غالب بن عثمان » بعده « الحسن بن عليّ</w:t>
      </w:r>
      <w:r>
        <w:rPr>
          <w:rtl/>
        </w:rPr>
        <w:t xml:space="preserve"> ».</w:t>
      </w:r>
    </w:p>
    <w:p w:rsidR="00E3253D" w:rsidRPr="00B60612" w:rsidRDefault="00E3253D" w:rsidP="00B60612">
      <w:pPr>
        <w:pStyle w:val="libFootnote0"/>
        <w:rPr>
          <w:rtl/>
        </w:rPr>
      </w:pPr>
      <w:r w:rsidRPr="00EB505B">
        <w:rPr>
          <w:rtl/>
        </w:rPr>
        <w:t xml:space="preserve">ويؤيّد ذلك ما ورد في </w:t>
      </w:r>
      <w:r w:rsidRPr="002F4D34">
        <w:rPr>
          <w:rStyle w:val="libFootnoteBoldChar"/>
          <w:rtl/>
        </w:rPr>
        <w:t>الكافي</w:t>
      </w:r>
      <w:r w:rsidRPr="00B60612">
        <w:rPr>
          <w:rtl/>
        </w:rPr>
        <w:t xml:space="preserve"> ، ح 3196 ، من رواية ابن فضّال </w:t>
      </w:r>
      <w:r w:rsidR="007642BC" w:rsidRPr="00B60612">
        <w:rPr>
          <w:rtl/>
        </w:rPr>
        <w:t>-</w:t>
      </w:r>
      <w:r w:rsidRPr="00B60612">
        <w:rPr>
          <w:rtl/>
        </w:rPr>
        <w:t xml:space="preserve"> وهو المراد من الحسن بن عليّ في ما نحن فيه </w:t>
      </w:r>
      <w:r w:rsidR="007642BC" w:rsidRPr="00B60612">
        <w:rPr>
          <w:rtl/>
        </w:rPr>
        <w:t>-</w:t>
      </w:r>
      <w:r w:rsidRPr="00B60612">
        <w:rPr>
          <w:rtl/>
        </w:rPr>
        <w:t xml:space="preserve"> عن غالب بن عثمان ، عن بشير الدهّان ، وكذا ما يأتي في </w:t>
      </w:r>
      <w:r w:rsidRPr="002F4D34">
        <w:rPr>
          <w:rStyle w:val="libFootnoteBoldChar"/>
          <w:rtl/>
        </w:rPr>
        <w:t>الكافي</w:t>
      </w:r>
      <w:r w:rsidRPr="00B60612">
        <w:rPr>
          <w:rtl/>
        </w:rPr>
        <w:t xml:space="preserve"> ، ح 4701 من رواية أحمد بن محمّد بن عيسى ، عن الحسن بن عليّ ، عن غالب بن عثمان ، عن بشير الدهّان.</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غ ، بث ، بف » : « وأوردني</w:t>
      </w:r>
      <w:r w:rsidR="00E3253D">
        <w:rPr>
          <w:rtl/>
        </w:rPr>
        <w:t xml:space="preserve"> ».</w:t>
      </w:r>
      <w:r w:rsidR="00E3253D" w:rsidRPr="005D642E">
        <w:rPr>
          <w:rtl/>
        </w:rPr>
        <w:t xml:space="preserve"> وقوله : « عدوّ الله » يعني : الشيطان ، وقوله : « فأوردني » أي المهالك.</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الصَّدَر : رجوع المسافر من مقصده ، وهنا كناية عن ترغيب الشخص في التورّط بشي‌ءٍ ثمّ عدم محاولة تخليصه منها ، فيقال : أورده ثمّ لم يصدره. راجع : </w:t>
      </w:r>
      <w:r w:rsidR="00E3253D" w:rsidRPr="002F4D34">
        <w:rPr>
          <w:rStyle w:val="libFootnoteBoldChar"/>
          <w:rtl/>
        </w:rPr>
        <w:t>النهاية</w:t>
      </w:r>
      <w:r w:rsidR="00E3253D" w:rsidRPr="005D642E">
        <w:rPr>
          <w:rtl/>
        </w:rPr>
        <w:t xml:space="preserve"> ، ج 3 ، ص 15 ( صدر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غ » : « أشكو » بدون الواو. وفي « بث » : « فأشكو</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وأشكو إليكم أولاداً حميت</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وأسلموني</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غ ، ى ، بث ، بح ، بس ، جح ، جس ، جن » </w:t>
      </w:r>
      <w:r w:rsidR="000D749A" w:rsidRPr="000D749A">
        <w:rPr>
          <w:rStyle w:val="libFootnoteBoldChar"/>
          <w:rtl/>
        </w:rPr>
        <w:t>والوافي</w:t>
      </w:r>
      <w:r w:rsidR="00E3253D" w:rsidRPr="005D642E">
        <w:rPr>
          <w:rtl/>
        </w:rPr>
        <w:t xml:space="preserve"> : « فيه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اللهِ ، فَكَانَ وَبَالُهُ عَلَيَّ ، وَكَانَ نَفْعُهُ لِغَيْرِي ؛ وَأَشْكُو إِلَيْكُمْ دَاراً أَنْفَقْتُ </w:t>
      </w:r>
      <w:r w:rsidRPr="007C12DB">
        <w:rPr>
          <w:rStyle w:val="libFootnotenumChar"/>
          <w:rtl/>
        </w:rPr>
        <w:t>(1)</w:t>
      </w:r>
      <w:r w:rsidRPr="005D642E">
        <w:rPr>
          <w:rtl/>
          <w:lang w:bidi="fa-IR"/>
        </w:rPr>
        <w:t xml:space="preserve"> عَلَيْهَا حَرِيبَتِي </w:t>
      </w:r>
      <w:r w:rsidRPr="007C12DB">
        <w:rPr>
          <w:rStyle w:val="libFootnotenumChar"/>
          <w:rtl/>
        </w:rPr>
        <w:t>(2)</w:t>
      </w:r>
      <w:r w:rsidRPr="005D642E">
        <w:rPr>
          <w:rtl/>
          <w:lang w:bidi="fa-IR"/>
        </w:rPr>
        <w:t xml:space="preserve"> ، وَصَارَ سَاكِنُهَا </w:t>
      </w:r>
      <w:r w:rsidRPr="007C12DB">
        <w:rPr>
          <w:rStyle w:val="libFootnotenumChar"/>
          <w:rtl/>
        </w:rPr>
        <w:t>(3)</w:t>
      </w:r>
      <w:r w:rsidRPr="005D642E">
        <w:rPr>
          <w:rtl/>
          <w:lang w:bidi="fa-IR"/>
        </w:rPr>
        <w:t xml:space="preserve"> غَيْرِي ؛ وَأَشْكُو إِلَيْكُمْ طُولَ الثَّوَاءِ </w:t>
      </w:r>
      <w:r w:rsidRPr="007C12DB">
        <w:rPr>
          <w:rStyle w:val="libFootnotenumChar"/>
          <w:rtl/>
        </w:rPr>
        <w:t>(4)</w:t>
      </w:r>
      <w:r w:rsidRPr="005D642E">
        <w:rPr>
          <w:rtl/>
          <w:lang w:bidi="fa-IR"/>
        </w:rPr>
        <w:t xml:space="preserve"> فِي قَبْرِي ، يُنَادِي : أَنَا بَيْتُ الدُّودِ ، أَنَا </w:t>
      </w:r>
      <w:r w:rsidRPr="007C12DB">
        <w:rPr>
          <w:rStyle w:val="libFootnotenumChar"/>
          <w:rtl/>
        </w:rPr>
        <w:t>(5)</w:t>
      </w:r>
      <w:r w:rsidRPr="005D642E">
        <w:rPr>
          <w:rtl/>
          <w:lang w:bidi="fa-IR"/>
        </w:rPr>
        <w:t xml:space="preserve"> بَيْتُ الظُّلْمَةِ وَالْوَحْشَةِ وَالضَّيْقِ ، يَا إِخْوَتَاهْ ، فَاحْبِسُونِي </w:t>
      </w:r>
      <w:r w:rsidRPr="007C12DB">
        <w:rPr>
          <w:rStyle w:val="libFootnotenumChar"/>
          <w:rtl/>
        </w:rPr>
        <w:t>(6)</w:t>
      </w:r>
      <w:r w:rsidRPr="005D642E">
        <w:rPr>
          <w:rtl/>
          <w:lang w:bidi="fa-IR"/>
        </w:rPr>
        <w:t xml:space="preserve"> مَا اسْتَطَعْتُمْ ، وَاحْذَرُوا مِثْلَ‌</w:t>
      </w:r>
      <w:r>
        <w:rPr>
          <w:rFonts w:hint="cs"/>
          <w:rtl/>
          <w:lang w:bidi="fa-IR"/>
        </w:rPr>
        <w:t xml:space="preserve"> </w:t>
      </w:r>
      <w:r w:rsidRPr="005D642E">
        <w:rPr>
          <w:rtl/>
          <w:lang w:bidi="fa-IR"/>
        </w:rPr>
        <w:t xml:space="preserve">مَا لَقِيتُ ؛ فَإِنِّي قَدْ بُشِّرْتُ بِالنَّارِ ، وَبِالذُّلِّ </w:t>
      </w:r>
      <w:r w:rsidRPr="007C12DB">
        <w:rPr>
          <w:rStyle w:val="libFootnotenumChar"/>
          <w:rtl/>
        </w:rPr>
        <w:t>(7)</w:t>
      </w:r>
      <w:r w:rsidRPr="005D642E">
        <w:rPr>
          <w:rtl/>
          <w:lang w:bidi="fa-IR"/>
        </w:rPr>
        <w:t xml:space="preserve"> وَالصَّغَارِ ، وَغَضَبِ الْعَزِيزِ الْجَبَّارِ ، وَا حَسْرَتَاهْ </w:t>
      </w:r>
      <w:r w:rsidRPr="007C12DB">
        <w:rPr>
          <w:rStyle w:val="libFootnotenumChar"/>
          <w:rtl/>
        </w:rPr>
        <w:t>(8)</w:t>
      </w:r>
      <w:r w:rsidRPr="005D642E">
        <w:rPr>
          <w:rtl/>
          <w:lang w:bidi="fa-IR"/>
        </w:rPr>
        <w:t xml:space="preserve"> عَلى مَا فَرَّطْتُ فِي جَنْبِ اللهِ ، وَيَا طُولَ عَوْلَتَاهْ </w:t>
      </w:r>
      <w:r w:rsidRPr="007C12DB">
        <w:rPr>
          <w:rStyle w:val="libFootnotenumChar"/>
          <w:rtl/>
        </w:rPr>
        <w:t>(9)</w:t>
      </w:r>
      <w:r w:rsidRPr="005D642E">
        <w:rPr>
          <w:rtl/>
          <w:lang w:bidi="fa-IR"/>
        </w:rPr>
        <w:t xml:space="preserve"> ، فَمَا لِي مِنْ شَفِيعٍ يُطَاعُ ، وَلَاصَدِيقٍ يَرْحَمُنِي ، فَلَوْ أَنَّ لِي كَرَّةً ، فَأَكُونَ مِنَ الْمُؤْمِنِينَ</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EB505B">
        <w:rPr>
          <w:rtl/>
        </w:rPr>
        <w:t>4693</w:t>
      </w:r>
      <w:r w:rsidRPr="00246318">
        <w:rPr>
          <w:rStyle w:val="libBold2Char"/>
          <w:rtl/>
        </w:rPr>
        <w:t xml:space="preserve"> / 3.</w:t>
      </w:r>
      <w:r w:rsidRPr="005D642E">
        <w:rPr>
          <w:rtl/>
          <w:lang w:bidi="fa-IR"/>
        </w:rPr>
        <w:t xml:space="preserve"> مُحَمَّدُ بْنُ يَحْيى ، عَنْ مُحَمَّدِ بْنِ الْحُسَيْنِ ، عَنْ عَمْرِو بْنِ عُثْمَانَ ، عَنْ جَابِرٍ </w:t>
      </w:r>
      <w:r w:rsidRPr="007C12DB">
        <w:rPr>
          <w:rStyle w:val="libFootnotenumChar"/>
          <w:rtl/>
        </w:rPr>
        <w:t>(11)</w:t>
      </w:r>
      <w:r w:rsidRPr="005D642E">
        <w:rPr>
          <w:rtl/>
          <w:lang w:bidi="fa-IR"/>
        </w:rPr>
        <w:t xml:space="preserve"> ، عَنْ أَبِي جَعْفَرٍ </w:t>
      </w:r>
      <w:r w:rsidRPr="00AC51C5">
        <w:rPr>
          <w:rStyle w:val="libAlaemChar"/>
          <w:rtl/>
        </w:rPr>
        <w:t>عليه‌السلام</w:t>
      </w:r>
      <w:r w:rsidRPr="005D642E">
        <w:rPr>
          <w:rtl/>
          <w:lang w:bidi="fa-IR"/>
        </w:rPr>
        <w:t xml:space="preserve"> مِثْلَهُ ، وَزَادَ فِيهِ :</w:t>
      </w:r>
    </w:p>
    <w:p w:rsidR="00E3253D" w:rsidRPr="005D642E" w:rsidRDefault="00E3253D" w:rsidP="00E3253D">
      <w:pPr>
        <w:pStyle w:val="libNormal"/>
        <w:rPr>
          <w:rtl/>
          <w:lang w:bidi="fa-IR"/>
        </w:rPr>
      </w:pPr>
      <w:r w:rsidRPr="005D642E">
        <w:rPr>
          <w:rtl/>
          <w:lang w:bidi="fa-IR"/>
        </w:rPr>
        <w:t xml:space="preserve">« فَمَا يَفْتُرُ </w:t>
      </w:r>
      <w:r w:rsidRPr="007C12DB">
        <w:rPr>
          <w:rStyle w:val="libFootnotenumChar"/>
          <w:rtl/>
        </w:rPr>
        <w:t>(12)</w:t>
      </w:r>
      <w:r w:rsidRPr="005D642E">
        <w:rPr>
          <w:rtl/>
          <w:lang w:bidi="fa-IR"/>
        </w:rPr>
        <w:t xml:space="preserve"> يُنَادِي حَتّى يُدْخَلَ قَبْرَهُ ، فَإِذَا دَخَلَ </w:t>
      </w:r>
      <w:r w:rsidRPr="007C12DB">
        <w:rPr>
          <w:rStyle w:val="libFootnotenumChar"/>
          <w:rtl/>
        </w:rPr>
        <w:t>(13)</w:t>
      </w:r>
      <w:r w:rsidRPr="005D642E">
        <w:rPr>
          <w:rtl/>
          <w:lang w:bidi="fa-IR"/>
        </w:rPr>
        <w:t xml:space="preserve"> حُفْرَتَهُ </w:t>
      </w:r>
      <w:r w:rsidRPr="007C12DB">
        <w:rPr>
          <w:rStyle w:val="libFootnotenumChar"/>
          <w:rtl/>
        </w:rPr>
        <w:t>(14)</w:t>
      </w:r>
      <w:r w:rsidRPr="005D642E">
        <w:rPr>
          <w:rtl/>
          <w:lang w:bidi="fa-IR"/>
        </w:rPr>
        <w:t xml:space="preserve"> ، رُدَّتِ‌</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حاشية « بح ، جح » : « ضيّعت</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الحريبة » : المال المسلوب ، أو المال الذي يعيش به الرجل ويقوم به أمره. راجع : </w:t>
      </w:r>
      <w:r w:rsidR="00E3253D" w:rsidRPr="002F4D34">
        <w:rPr>
          <w:rStyle w:val="libFootnoteBoldChar"/>
          <w:rtl/>
        </w:rPr>
        <w:t>الصحاح</w:t>
      </w:r>
      <w:r w:rsidR="00E3253D" w:rsidRPr="005D642E">
        <w:rPr>
          <w:rtl/>
        </w:rPr>
        <w:t xml:space="preserve"> ، ج 1 ، ص 109 ؛ </w:t>
      </w:r>
      <w:r w:rsidR="00E3253D" w:rsidRPr="002F4D34">
        <w:rPr>
          <w:rStyle w:val="libFootnoteBoldChar"/>
          <w:rtl/>
        </w:rPr>
        <w:t>النهاية</w:t>
      </w:r>
      <w:r w:rsidR="00E3253D" w:rsidRPr="005D642E">
        <w:rPr>
          <w:rtl/>
        </w:rPr>
        <w:t xml:space="preserve"> ، ج 1 ، ص 359 ؛ </w:t>
      </w:r>
      <w:r w:rsidR="00E3253D" w:rsidRPr="002F4D34">
        <w:rPr>
          <w:rStyle w:val="libFootnoteBoldChar"/>
          <w:rtl/>
        </w:rPr>
        <w:t>القاموس المحيط</w:t>
      </w:r>
      <w:r w:rsidR="00E3253D" w:rsidRPr="005D642E">
        <w:rPr>
          <w:rtl/>
        </w:rPr>
        <w:t xml:space="preserve"> ، ج 1 ، ص 147 ( حرب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بس ، جح ، جس ، جن » وحاشية « بح » والبحار : « سكّانها</w:t>
      </w:r>
      <w:r w:rsidR="00E3253D">
        <w:rPr>
          <w:rtl/>
        </w:rPr>
        <w:t xml:space="preserve"> ».</w:t>
      </w:r>
      <w:r w:rsidR="00E3253D" w:rsidRPr="005D642E">
        <w:rPr>
          <w:rtl/>
        </w:rPr>
        <w:t xml:space="preserve"> وفي « بح » : « سكنها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الثواء » : طول الإقامة بالمكان. ا</w:t>
      </w:r>
      <w:r w:rsidR="0024280B">
        <w:rPr>
          <w:rFonts w:hint="cs"/>
          <w:rtl/>
        </w:rPr>
        <w:t>ُ</w:t>
      </w:r>
      <w:r w:rsidR="00E3253D" w:rsidRPr="005D642E">
        <w:rPr>
          <w:rtl/>
        </w:rPr>
        <w:t xml:space="preserve">نظر : </w:t>
      </w:r>
      <w:r w:rsidR="00E3253D" w:rsidRPr="002F4D34">
        <w:rPr>
          <w:rStyle w:val="libFootnoteBoldChar"/>
          <w:rtl/>
        </w:rPr>
        <w:t>القاموس المحيط</w:t>
      </w:r>
      <w:r w:rsidR="00E3253D" w:rsidRPr="005D642E">
        <w:rPr>
          <w:rtl/>
        </w:rPr>
        <w:t xml:space="preserve"> ، ج 2 ، ص 1665 ( ثوى )</w:t>
      </w:r>
      <w:r w:rsidR="00E3253D">
        <w:rPr>
          <w:rtl/>
        </w:rPr>
        <w:t>.</w:t>
      </w:r>
    </w:p>
    <w:tbl>
      <w:tblPr>
        <w:tblStyle w:val="TableGrid"/>
        <w:bidiVisual/>
        <w:tblW w:w="0" w:type="auto"/>
        <w:tblLook w:val="04A0" w:firstRow="1" w:lastRow="0" w:firstColumn="1" w:lastColumn="0" w:noHBand="0" w:noVBand="1"/>
      </w:tblPr>
      <w:tblGrid>
        <w:gridCol w:w="4006"/>
        <w:gridCol w:w="4006"/>
      </w:tblGrid>
      <w:tr w:rsidR="0024280B" w:rsidTr="0024280B">
        <w:tc>
          <w:tcPr>
            <w:tcW w:w="4006" w:type="dxa"/>
          </w:tcPr>
          <w:p w:rsidR="0024280B" w:rsidRDefault="0024280B" w:rsidP="00E3253D">
            <w:pPr>
              <w:pStyle w:val="libFootnote0"/>
              <w:rPr>
                <w:rStyle w:val="libFootnote0Char"/>
                <w:rtl/>
                <w:lang w:bidi="fa-IR"/>
              </w:rPr>
            </w:pPr>
            <w:r w:rsidRPr="0042621E">
              <w:rPr>
                <w:rStyle w:val="libFootnote0Char"/>
                <w:rtl/>
              </w:rPr>
              <w:t>(5).</w:t>
            </w:r>
            <w:r w:rsidRPr="005D642E">
              <w:rPr>
                <w:rtl/>
              </w:rPr>
              <w:t xml:space="preserve"> في « غ ، بث ، بح » : « وأنا</w:t>
            </w:r>
            <w:r>
              <w:rPr>
                <w:rtl/>
              </w:rPr>
              <w:t xml:space="preserve"> ».</w:t>
            </w:r>
          </w:p>
        </w:tc>
        <w:tc>
          <w:tcPr>
            <w:tcW w:w="4006" w:type="dxa"/>
          </w:tcPr>
          <w:p w:rsidR="0024280B" w:rsidRDefault="0024280B" w:rsidP="00E3253D">
            <w:pPr>
              <w:pStyle w:val="libFootnote0"/>
              <w:rPr>
                <w:rStyle w:val="libFootnote0Char"/>
                <w:rtl/>
                <w:lang w:bidi="fa-IR"/>
              </w:rPr>
            </w:pPr>
            <w:r w:rsidRPr="0042621E">
              <w:rPr>
                <w:rStyle w:val="libFootnote0Char"/>
                <w:rtl/>
              </w:rPr>
              <w:t>(6).</w:t>
            </w:r>
            <w:r w:rsidRPr="005D642E">
              <w:rPr>
                <w:rtl/>
              </w:rPr>
              <w:t xml:space="preserve"> في « ى » : « فأجيبوني</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بالذلّ وبالنار</w:t>
      </w:r>
      <w:r w:rsidR="00E3253D">
        <w:rPr>
          <w:rtl/>
        </w:rPr>
        <w:t xml:space="preserve"> ».</w:t>
      </w:r>
      <w:r w:rsidR="00E3253D" w:rsidRPr="005D642E">
        <w:rPr>
          <w:rtl/>
        </w:rPr>
        <w:t xml:space="preserve"> وفي البحار : « والذلّ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جس » : « واحسرتا</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غ » وحاشية « بث » : « ثواياه</w:t>
      </w:r>
      <w:r w:rsidR="00E3253D">
        <w:rPr>
          <w:rtl/>
        </w:rPr>
        <w:t xml:space="preserve"> ».</w:t>
      </w:r>
      <w:r w:rsidR="00E3253D" w:rsidRPr="005D642E">
        <w:rPr>
          <w:rtl/>
        </w:rPr>
        <w:t xml:space="preserve"> وفي « بخ ، بف » وحاشية « بث » : « عويلاه</w:t>
      </w:r>
      <w:r w:rsidR="00E3253D">
        <w:rPr>
          <w:rtl/>
        </w:rPr>
        <w:t xml:space="preserve"> ».</w:t>
      </w:r>
      <w:r w:rsidR="00E3253D" w:rsidRPr="005D642E">
        <w:rPr>
          <w:rtl/>
        </w:rPr>
        <w:t xml:space="preserve"> وفي حاشية « بس ، جح » : « عولاه</w:t>
      </w:r>
      <w:r w:rsidR="00E3253D">
        <w:rPr>
          <w:rtl/>
        </w:rPr>
        <w:t xml:space="preserve"> ».</w:t>
      </w:r>
      <w:r w:rsidR="00E3253D" w:rsidRPr="005D642E">
        <w:rPr>
          <w:rtl/>
        </w:rPr>
        <w:t xml:space="preserve"> والعويل : صوت الصدر بالبكاء. </w:t>
      </w:r>
      <w:r w:rsidR="00E3253D" w:rsidRPr="002F4D34">
        <w:rPr>
          <w:rStyle w:val="libFootnoteBoldChar"/>
          <w:rtl/>
        </w:rPr>
        <w:t>لسان العرب</w:t>
      </w:r>
      <w:r w:rsidR="00E3253D" w:rsidRPr="005D642E">
        <w:rPr>
          <w:rtl/>
        </w:rPr>
        <w:t xml:space="preserve"> ، ج 11 ، ص 483 ( عول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25 ، ص 606 ، ح 24751 ؛ </w:t>
      </w:r>
      <w:r w:rsidR="00E3253D" w:rsidRPr="002F4D34">
        <w:rPr>
          <w:rStyle w:val="libFootnoteBoldChar"/>
          <w:rtl/>
        </w:rPr>
        <w:t>البحار</w:t>
      </w:r>
      <w:r w:rsidR="00E3253D" w:rsidRPr="005D642E">
        <w:rPr>
          <w:rtl/>
        </w:rPr>
        <w:t xml:space="preserve"> ، ج 6 ، ص 258 ، ح 94.</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تقدّم في ح 4252 </w:t>
      </w:r>
      <w:r w:rsidR="00E3253D">
        <w:rPr>
          <w:rtl/>
        </w:rPr>
        <w:t>و 4</w:t>
      </w:r>
      <w:r w:rsidR="00E3253D" w:rsidRPr="005D642E">
        <w:rPr>
          <w:rtl/>
        </w:rPr>
        <w:t xml:space="preserve">363 </w:t>
      </w:r>
      <w:r w:rsidR="00E3253D">
        <w:rPr>
          <w:rtl/>
        </w:rPr>
        <w:t>و 4</w:t>
      </w:r>
      <w:r w:rsidR="00E3253D" w:rsidRPr="005D642E">
        <w:rPr>
          <w:rtl/>
        </w:rPr>
        <w:t xml:space="preserve">450 وذيل 4656 </w:t>
      </w:r>
      <w:r w:rsidR="00E3253D">
        <w:rPr>
          <w:rtl/>
        </w:rPr>
        <w:t>و 4</w:t>
      </w:r>
      <w:r w:rsidR="00E3253D" w:rsidRPr="005D642E">
        <w:rPr>
          <w:rtl/>
        </w:rPr>
        <w:t>691 ، رواية عمرو بن عثمان عن جابر بتوسّط المفضّل بن صالح</w:t>
      </w:r>
      <w:r w:rsidR="00E3253D">
        <w:rPr>
          <w:rtl/>
        </w:rPr>
        <w:t xml:space="preserve"> </w:t>
      </w:r>
      <w:r w:rsidR="007642BC">
        <w:rPr>
          <w:rtl/>
        </w:rPr>
        <w:t>-</w:t>
      </w:r>
      <w:r w:rsidR="00E3253D">
        <w:rPr>
          <w:rtl/>
        </w:rPr>
        <w:t xml:space="preserve"> </w:t>
      </w:r>
      <w:r w:rsidR="00E3253D" w:rsidRPr="005D642E">
        <w:rPr>
          <w:rtl/>
        </w:rPr>
        <w:t>بعناوينه المختلفة</w:t>
      </w:r>
      <w:r w:rsidR="00E3253D">
        <w:rPr>
          <w:rtl/>
        </w:rPr>
        <w:t xml:space="preserve"> </w:t>
      </w:r>
      <w:r w:rsidR="007642BC">
        <w:rPr>
          <w:rtl/>
        </w:rPr>
        <w:t>-</w:t>
      </w:r>
      <w:r w:rsidR="00E3253D">
        <w:rPr>
          <w:rtl/>
        </w:rPr>
        <w:t xml:space="preserve"> </w:t>
      </w:r>
      <w:r w:rsidR="00E3253D" w:rsidRPr="005D642E">
        <w:rPr>
          <w:rtl/>
        </w:rPr>
        <w:t xml:space="preserve">، وقد ورد في </w:t>
      </w:r>
      <w:r w:rsidR="00E3253D" w:rsidRPr="002F4D34">
        <w:rPr>
          <w:rStyle w:val="libFootnoteBoldChar"/>
          <w:rtl/>
        </w:rPr>
        <w:t>بصائر الدرجات</w:t>
      </w:r>
      <w:r w:rsidR="00E3253D" w:rsidRPr="005D642E">
        <w:rPr>
          <w:rtl/>
        </w:rPr>
        <w:t xml:space="preserve"> ، ص 30 ، ح 4 ، رواية محمّد بن الحسين ، عن عمرو بن عثمان ، عن المفضّل ، عن جابر. وفي ص 375 ، ح 10 ، رواية محمّد بن الحسين ، عن عمرو بن عثمان ، عن أبي جميلة ، عن جابر. والظاهر في ما نحن فيه سقوط الواسطة بين « عمرو بن عثمان » وبين « جابر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24280B" w:rsidTr="0024280B">
        <w:tc>
          <w:tcPr>
            <w:tcW w:w="4006" w:type="dxa"/>
          </w:tcPr>
          <w:p w:rsidR="0024280B" w:rsidRDefault="0024280B" w:rsidP="00E3253D">
            <w:pPr>
              <w:pStyle w:val="libFootnote0"/>
              <w:rPr>
                <w:rStyle w:val="libFootnote0Char"/>
                <w:rtl/>
              </w:rPr>
            </w:pPr>
            <w:r w:rsidRPr="0042621E">
              <w:rPr>
                <w:rStyle w:val="libFootnote0Char"/>
                <w:rtl/>
              </w:rPr>
              <w:t>(12).</w:t>
            </w:r>
            <w:r w:rsidRPr="005D642E">
              <w:rPr>
                <w:rtl/>
              </w:rPr>
              <w:t xml:space="preserve"> في « جن » : « ما يفتر</w:t>
            </w:r>
            <w:r>
              <w:rPr>
                <w:rtl/>
              </w:rPr>
              <w:t xml:space="preserve"> ».</w:t>
            </w:r>
          </w:p>
        </w:tc>
        <w:tc>
          <w:tcPr>
            <w:tcW w:w="4006" w:type="dxa"/>
          </w:tcPr>
          <w:p w:rsidR="0024280B" w:rsidRDefault="0024280B" w:rsidP="00E3253D">
            <w:pPr>
              <w:pStyle w:val="libFootnote0"/>
              <w:rPr>
                <w:rStyle w:val="libFootnote0Char"/>
                <w:rtl/>
              </w:rPr>
            </w:pPr>
            <w:r w:rsidRPr="0042621E">
              <w:rPr>
                <w:rStyle w:val="libFootnote0Char"/>
                <w:rtl/>
              </w:rPr>
              <w:t>(13).</w:t>
            </w:r>
            <w:r w:rsidRPr="005D642E">
              <w:rPr>
                <w:rtl/>
              </w:rPr>
              <w:t xml:space="preserve"> في البحار : « فإذا أدخل</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غ » : « حَفيرَتَه</w:t>
      </w:r>
      <w:r w:rsidR="00E3253D">
        <w:rPr>
          <w:rtl/>
        </w:rPr>
        <w:t xml:space="preserve"> ».</w:t>
      </w:r>
      <w:r w:rsidR="00E3253D" w:rsidRPr="005D642E">
        <w:rPr>
          <w:rtl/>
        </w:rPr>
        <w:t xml:space="preserve"> وفي حاشية « بث » : « فيه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الرُّوحُ </w:t>
      </w:r>
      <w:r w:rsidRPr="007C12DB">
        <w:rPr>
          <w:rStyle w:val="libFootnotenumChar"/>
          <w:rtl/>
        </w:rPr>
        <w:t>(1)</w:t>
      </w:r>
      <w:r w:rsidRPr="005D642E">
        <w:rPr>
          <w:rtl/>
          <w:lang w:bidi="fa-IR"/>
        </w:rPr>
        <w:t xml:space="preserve"> فِي جَسَدِهِ ، وَجَاءَهُ </w:t>
      </w:r>
      <w:r w:rsidRPr="007C12DB">
        <w:rPr>
          <w:rStyle w:val="libFootnotenumChar"/>
          <w:rtl/>
        </w:rPr>
        <w:t>(2)</w:t>
      </w:r>
      <w:r w:rsidRPr="005D642E">
        <w:rPr>
          <w:rtl/>
          <w:lang w:bidi="fa-IR"/>
        </w:rPr>
        <w:t xml:space="preserve"> مَلَكَا الْقَبْرِ ، فَامْتَحَنَاهُ » قَالَ : وَكَانَ أَبُو جَعْفَرٍ </w:t>
      </w:r>
      <w:r w:rsidRPr="00AC51C5">
        <w:rPr>
          <w:rStyle w:val="libAlaemChar"/>
          <w:rtl/>
        </w:rPr>
        <w:t>عليه‌السلام</w:t>
      </w:r>
      <w:r w:rsidRPr="005D642E">
        <w:rPr>
          <w:rtl/>
          <w:lang w:bidi="fa-IR"/>
        </w:rPr>
        <w:t xml:space="preserve"> يَبْكِي إِذَا ذَكَرَ </w:t>
      </w:r>
      <w:r w:rsidRPr="007C12DB">
        <w:rPr>
          <w:rStyle w:val="libFootnotenumChar"/>
          <w:rtl/>
        </w:rPr>
        <w:t>(3)</w:t>
      </w:r>
      <w:r w:rsidRPr="005D642E">
        <w:rPr>
          <w:rtl/>
          <w:lang w:bidi="fa-IR"/>
        </w:rPr>
        <w:t xml:space="preserve"> هذَا </w:t>
      </w:r>
      <w:r w:rsidRPr="007C12DB">
        <w:rPr>
          <w:rStyle w:val="libFootnotenumChar"/>
          <w:rtl/>
        </w:rPr>
        <w:t>(4)</w:t>
      </w:r>
      <w:r w:rsidRPr="005D642E">
        <w:rPr>
          <w:rtl/>
          <w:lang w:bidi="fa-IR"/>
        </w:rPr>
        <w:t xml:space="preserve"> الْحَدِيثَ.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2A6AED">
        <w:rPr>
          <w:rtl/>
        </w:rPr>
        <w:t>4694</w:t>
      </w:r>
      <w:r w:rsidRPr="00246318">
        <w:rPr>
          <w:rStyle w:val="libBold2Char"/>
          <w:rtl/>
        </w:rPr>
        <w:t xml:space="preserve"> / 4.</w:t>
      </w:r>
      <w:r w:rsidRPr="005D642E">
        <w:rPr>
          <w:rtl/>
          <w:lang w:bidi="fa-IR"/>
        </w:rPr>
        <w:t xml:space="preserve"> عَلِيُّ بْنُ إِبْرَاهِيمَ ، عَنْ مُحَمَّدِ بْنِ عِيسى ، عَنْ يُونُسَ ، عَنْ عَمْرِو بْنِ شِمْرٍ ، عَنْ جَابِرٍ ، قَالَ :</w:t>
      </w:r>
    </w:p>
    <w:p w:rsidR="00E3253D" w:rsidRPr="005D642E" w:rsidRDefault="00E3253D" w:rsidP="00E3253D">
      <w:pPr>
        <w:pStyle w:val="libNormal"/>
        <w:rPr>
          <w:rtl/>
          <w:lang w:bidi="fa-IR"/>
        </w:rPr>
      </w:pPr>
      <w:r w:rsidRPr="005D642E">
        <w:rPr>
          <w:rtl/>
          <w:lang w:bidi="fa-IR"/>
        </w:rPr>
        <w:t xml:space="preserve">قَالَ عَلِيُّ بْنُ الْحُسَيْنِ </w:t>
      </w:r>
      <w:r w:rsidRPr="00AC51C5">
        <w:rPr>
          <w:rStyle w:val="libAlaemChar"/>
          <w:rtl/>
        </w:rPr>
        <w:t>عليهما‌السلام</w:t>
      </w:r>
      <w:r w:rsidRPr="005D642E">
        <w:rPr>
          <w:rtl/>
          <w:lang w:bidi="fa-IR"/>
        </w:rPr>
        <w:t xml:space="preserve"> : « مَا نَدْرِي </w:t>
      </w:r>
      <w:r w:rsidRPr="007C12DB">
        <w:rPr>
          <w:rStyle w:val="libFootnotenumChar"/>
          <w:rtl/>
        </w:rPr>
        <w:t>(6)</w:t>
      </w:r>
      <w:r w:rsidRPr="005D642E">
        <w:rPr>
          <w:rtl/>
          <w:lang w:bidi="fa-IR"/>
        </w:rPr>
        <w:t xml:space="preserve"> كَيْفَ نَصْنَعُ </w:t>
      </w:r>
      <w:r w:rsidRPr="007C12DB">
        <w:rPr>
          <w:rStyle w:val="libFootnotenumChar"/>
          <w:rtl/>
        </w:rPr>
        <w:t>(7)</w:t>
      </w:r>
      <w:r w:rsidRPr="005D642E">
        <w:rPr>
          <w:rtl/>
          <w:lang w:bidi="fa-IR"/>
        </w:rPr>
        <w:t xml:space="preserve"> بِالنَّاسِ ، إِنْ حَدَّثْنَاهُمْ بِمَا سَمِعْنَا مِنْ </w:t>
      </w:r>
      <w:r w:rsidRPr="007C12DB">
        <w:rPr>
          <w:rStyle w:val="libFootnotenumChar"/>
          <w:rtl/>
        </w:rPr>
        <w:t>(8)</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ضَحِكُوا ، وَإِنْ سَكَتْنَا لَمْ يَسَعْنَا</w:t>
      </w:r>
      <w:r>
        <w:rPr>
          <w:rtl/>
          <w:lang w:bidi="fa-IR"/>
        </w:rPr>
        <w:t>؟ ».</w:t>
      </w:r>
    </w:p>
    <w:p w:rsidR="00E3253D" w:rsidRPr="005D642E" w:rsidRDefault="00E3253D" w:rsidP="00E3253D">
      <w:pPr>
        <w:pStyle w:val="libNormal"/>
        <w:rPr>
          <w:rtl/>
          <w:lang w:bidi="fa-IR"/>
        </w:rPr>
      </w:pPr>
      <w:r w:rsidRPr="005D642E">
        <w:rPr>
          <w:rtl/>
          <w:lang w:bidi="fa-IR"/>
        </w:rPr>
        <w:t xml:space="preserve">قَالَ : فَقَالَ ضَمْرَةُ </w:t>
      </w:r>
      <w:r w:rsidRPr="007C12DB">
        <w:rPr>
          <w:rStyle w:val="libFootnotenumChar"/>
          <w:rtl/>
        </w:rPr>
        <w:t>(9)</w:t>
      </w:r>
      <w:r w:rsidRPr="005D642E">
        <w:rPr>
          <w:rtl/>
          <w:lang w:bidi="fa-IR"/>
        </w:rPr>
        <w:t xml:space="preserve"> بْنُ مَعْبَدٍ </w:t>
      </w:r>
      <w:r w:rsidRPr="007C12DB">
        <w:rPr>
          <w:rStyle w:val="libFootnotenumChar"/>
          <w:rtl/>
        </w:rPr>
        <w:t>(10)</w:t>
      </w:r>
      <w:r w:rsidRPr="005D642E">
        <w:rPr>
          <w:rtl/>
          <w:lang w:bidi="fa-IR"/>
        </w:rPr>
        <w:t xml:space="preserve"> : حَدِّثْنَا ، فَقَالَ : « هَلْ </w:t>
      </w:r>
      <w:r w:rsidRPr="007C12DB">
        <w:rPr>
          <w:rStyle w:val="libFootnotenumChar"/>
          <w:rtl/>
        </w:rPr>
        <w:t>(11)</w:t>
      </w:r>
      <w:r w:rsidRPr="005D642E">
        <w:rPr>
          <w:rtl/>
          <w:lang w:bidi="fa-IR"/>
        </w:rPr>
        <w:t xml:space="preserve"> تَدْرُونَ مَا يَقُولُ عَدُوُّ اللهِ إِذَا حُمِلَ عَلى </w:t>
      </w:r>
      <w:r w:rsidRPr="007C12DB">
        <w:rPr>
          <w:rStyle w:val="libFootnotenumChar"/>
          <w:rtl/>
        </w:rPr>
        <w:t>(12)</w:t>
      </w:r>
      <w:r w:rsidRPr="005D642E">
        <w:rPr>
          <w:rtl/>
          <w:lang w:bidi="fa-IR"/>
        </w:rPr>
        <w:t xml:space="preserve"> سَرِيرِهِ</w:t>
      </w:r>
      <w:r>
        <w:rPr>
          <w:rtl/>
          <w:lang w:bidi="fa-IR"/>
        </w:rPr>
        <w:t>؟</w:t>
      </w:r>
      <w:r w:rsidRPr="005D642E">
        <w:rPr>
          <w:rtl/>
          <w:lang w:bidi="fa-IR"/>
        </w:rPr>
        <w:t xml:space="preserve"> » قَالَ : فَقُلْنَا : لَا ، قَالَ : « فَإِنَّهُ </w:t>
      </w:r>
      <w:r w:rsidRPr="007C12DB">
        <w:rPr>
          <w:rStyle w:val="libFootnotenumChar"/>
          <w:rtl/>
        </w:rPr>
        <w:t>(13)</w:t>
      </w:r>
      <w:r>
        <w:rPr>
          <w:rtl/>
          <w:lang w:bidi="fa-IR"/>
        </w:rPr>
        <w:t xml:space="preserve"> يَقُولُ لِحَمَلَتِهِ : أَ</w:t>
      </w:r>
      <w:r w:rsidRPr="005D642E">
        <w:rPr>
          <w:rtl/>
          <w:lang w:bidi="fa-IR"/>
        </w:rPr>
        <w:t xml:space="preserve">لَاتَسْمَعُونَ أَنِّي أَشْكُو إِلَيْكُمْ عَدُوَّ اللهِ ، خَدَعَنِي وَأَوْرَدَنِي ، ثُمَّ لَمْ يُصْدِرْنِي ؛ وَأَشْكُو إِلَيْكُمْ إِخْوَاناً وَاخَيْتُهُمْ </w:t>
      </w:r>
      <w:r w:rsidRPr="007C12DB">
        <w:rPr>
          <w:rStyle w:val="libFootnotenumChar"/>
          <w:rtl/>
        </w:rPr>
        <w:t>(14)</w:t>
      </w:r>
      <w:r w:rsidRPr="005D642E">
        <w:rPr>
          <w:rtl/>
          <w:lang w:bidi="fa-IR"/>
        </w:rPr>
        <w:t xml:space="preserve"> ، فَخَذَلُونِي </w:t>
      </w:r>
      <w:r w:rsidRPr="007C12DB">
        <w:rPr>
          <w:rStyle w:val="libFootnotenumChar"/>
          <w:rtl/>
        </w:rPr>
        <w:t>(15)</w:t>
      </w:r>
      <w:r w:rsidRPr="005D642E">
        <w:rPr>
          <w:rtl/>
          <w:lang w:bidi="fa-IR"/>
        </w:rPr>
        <w:t xml:space="preserve"> ؛ وَأَشْكُو إِلَيْكُمْ أَوْلَاداً حَامَيْتُ عَلَيْهِمْ </w:t>
      </w:r>
      <w:r w:rsidRPr="007C12DB">
        <w:rPr>
          <w:rStyle w:val="libFootnotenumChar"/>
          <w:rtl/>
        </w:rPr>
        <w:t>(16)</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4280B" w:rsidTr="0024280B">
        <w:tc>
          <w:tcPr>
            <w:tcW w:w="4006" w:type="dxa"/>
          </w:tcPr>
          <w:p w:rsidR="0024280B" w:rsidRDefault="0024280B" w:rsidP="00E3253D">
            <w:pPr>
              <w:pStyle w:val="libFootnote0"/>
              <w:rPr>
                <w:rStyle w:val="libFootnote0Char"/>
                <w:rtl/>
              </w:rPr>
            </w:pPr>
            <w:r w:rsidRPr="0042621E">
              <w:rPr>
                <w:rStyle w:val="libFootnote0Char"/>
                <w:rtl/>
              </w:rPr>
              <w:t>(1).</w:t>
            </w:r>
            <w:r>
              <w:rPr>
                <w:rtl/>
              </w:rPr>
              <w:t xml:space="preserve"> </w:t>
            </w:r>
            <w:r w:rsidRPr="005D642E">
              <w:rPr>
                <w:rtl/>
              </w:rPr>
              <w:t>في « بث » : + « إليه</w:t>
            </w:r>
            <w:r>
              <w:rPr>
                <w:rtl/>
              </w:rPr>
              <w:t xml:space="preserve"> ».</w:t>
            </w:r>
          </w:p>
        </w:tc>
        <w:tc>
          <w:tcPr>
            <w:tcW w:w="4006" w:type="dxa"/>
          </w:tcPr>
          <w:p w:rsidR="0024280B" w:rsidRDefault="0024280B" w:rsidP="00E3253D">
            <w:pPr>
              <w:pStyle w:val="libFootnote0"/>
              <w:rPr>
                <w:rStyle w:val="libFootnote0Char"/>
                <w:rtl/>
              </w:rPr>
            </w:pPr>
            <w:r w:rsidRPr="0042621E">
              <w:rPr>
                <w:rStyle w:val="libFootnote0Char"/>
                <w:rtl/>
              </w:rPr>
              <w:t>(2).</w:t>
            </w:r>
            <w:r w:rsidRPr="005D642E">
              <w:rPr>
                <w:rtl/>
              </w:rPr>
              <w:t xml:space="preserve"> في « ى ، جس ، جن » والبحار : « وجاء</w:t>
            </w:r>
            <w:r>
              <w:rPr>
                <w:rtl/>
              </w:rPr>
              <w:t xml:space="preserve"> ».</w:t>
            </w:r>
          </w:p>
        </w:tc>
      </w:tr>
      <w:tr w:rsidR="0024280B" w:rsidTr="0024280B">
        <w:tc>
          <w:tcPr>
            <w:tcW w:w="4006" w:type="dxa"/>
          </w:tcPr>
          <w:p w:rsidR="0024280B" w:rsidRDefault="0024280B" w:rsidP="00E3253D">
            <w:pPr>
              <w:pStyle w:val="libFootnote0"/>
              <w:rPr>
                <w:rStyle w:val="libFootnote0Char"/>
                <w:rtl/>
              </w:rPr>
            </w:pPr>
            <w:r w:rsidRPr="0042621E">
              <w:rPr>
                <w:rStyle w:val="libFootnote0Char"/>
                <w:rtl/>
              </w:rPr>
              <w:t>(3).</w:t>
            </w:r>
            <w:r w:rsidRPr="005D642E">
              <w:rPr>
                <w:rtl/>
              </w:rPr>
              <w:t xml:space="preserve"> في « بف » : « إذا تذكّر</w:t>
            </w:r>
            <w:r>
              <w:rPr>
                <w:rtl/>
              </w:rPr>
              <w:t xml:space="preserve"> ».</w:t>
            </w:r>
          </w:p>
        </w:tc>
        <w:tc>
          <w:tcPr>
            <w:tcW w:w="4006" w:type="dxa"/>
          </w:tcPr>
          <w:p w:rsidR="0024280B" w:rsidRDefault="0024280B" w:rsidP="00E3253D">
            <w:pPr>
              <w:pStyle w:val="libFootnote0"/>
              <w:rPr>
                <w:rStyle w:val="libFootnote0Char"/>
                <w:rtl/>
              </w:rPr>
            </w:pPr>
            <w:r w:rsidRPr="0042621E">
              <w:rPr>
                <w:rStyle w:val="libFootnote0Char"/>
                <w:rtl/>
              </w:rPr>
              <w:t>(4).</w:t>
            </w:r>
            <w:r w:rsidRPr="005D642E">
              <w:rPr>
                <w:rtl/>
              </w:rPr>
              <w:t xml:space="preserve"> في « جس » :</w:t>
            </w:r>
            <w:r>
              <w:rPr>
                <w:rtl/>
              </w:rPr>
              <w:t xml:space="preserve"> - </w:t>
            </w:r>
            <w:r w:rsidRPr="005D642E">
              <w:rPr>
                <w:rtl/>
              </w:rPr>
              <w:t>« هذا</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25 ، ص 608 ، ح 24752 ؛ </w:t>
      </w:r>
      <w:r w:rsidR="00E3253D" w:rsidRPr="002F4D34">
        <w:rPr>
          <w:rStyle w:val="libFootnoteBoldChar"/>
          <w:rtl/>
        </w:rPr>
        <w:t>البحار</w:t>
      </w:r>
      <w:r w:rsidR="00E3253D" w:rsidRPr="005D642E">
        <w:rPr>
          <w:rtl/>
        </w:rPr>
        <w:t xml:space="preserve"> ، ج 6 ، ص 259 ، ح 95.</w:t>
      </w:r>
    </w:p>
    <w:tbl>
      <w:tblPr>
        <w:tblStyle w:val="TableGrid"/>
        <w:bidiVisual/>
        <w:tblW w:w="0" w:type="auto"/>
        <w:tblLook w:val="04A0" w:firstRow="1" w:lastRow="0" w:firstColumn="1" w:lastColumn="0" w:noHBand="0" w:noVBand="1"/>
      </w:tblPr>
      <w:tblGrid>
        <w:gridCol w:w="4006"/>
        <w:gridCol w:w="4006"/>
      </w:tblGrid>
      <w:tr w:rsidR="0024280B" w:rsidTr="0024280B">
        <w:tc>
          <w:tcPr>
            <w:tcW w:w="4006" w:type="dxa"/>
          </w:tcPr>
          <w:p w:rsidR="0024280B" w:rsidRDefault="0024280B" w:rsidP="00E3253D">
            <w:pPr>
              <w:pStyle w:val="libFootnote0"/>
              <w:rPr>
                <w:rStyle w:val="libFootnote0Char"/>
                <w:rtl/>
                <w:lang w:bidi="fa-IR"/>
              </w:rPr>
            </w:pPr>
            <w:r w:rsidRPr="0042621E">
              <w:rPr>
                <w:rStyle w:val="libFootnote0Char"/>
                <w:rtl/>
              </w:rPr>
              <w:t>(6).</w:t>
            </w:r>
            <w:r w:rsidRPr="005D642E">
              <w:rPr>
                <w:rtl/>
              </w:rPr>
              <w:t xml:space="preserve"> في « بث » : « ما تدري</w:t>
            </w:r>
            <w:r>
              <w:rPr>
                <w:rtl/>
              </w:rPr>
              <w:t xml:space="preserve"> ».</w:t>
            </w:r>
          </w:p>
        </w:tc>
        <w:tc>
          <w:tcPr>
            <w:tcW w:w="4006" w:type="dxa"/>
          </w:tcPr>
          <w:p w:rsidR="0024280B" w:rsidRDefault="0024280B" w:rsidP="00E3253D">
            <w:pPr>
              <w:pStyle w:val="libFootnote0"/>
              <w:rPr>
                <w:rStyle w:val="libFootnote0Char"/>
                <w:rtl/>
                <w:lang w:bidi="fa-IR"/>
              </w:rPr>
            </w:pPr>
            <w:r w:rsidRPr="0042621E">
              <w:rPr>
                <w:rStyle w:val="libFootnote0Char"/>
                <w:rtl/>
              </w:rPr>
              <w:t>(7).</w:t>
            </w:r>
            <w:r w:rsidRPr="005D642E">
              <w:rPr>
                <w:rtl/>
              </w:rPr>
              <w:t xml:space="preserve"> في « بث ، بف » : « يُصنع</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من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 « ضميرة</w:t>
      </w:r>
      <w:r w:rsidR="00E3253D">
        <w:rPr>
          <w:rtl/>
        </w:rPr>
        <w:t xml:space="preserve"> ».</w:t>
      </w:r>
      <w:r w:rsidR="00E3253D" w:rsidRPr="005D642E">
        <w:rPr>
          <w:rtl/>
        </w:rPr>
        <w:t xml:space="preserve"> وفي « بح » : « حمزة</w:t>
      </w:r>
      <w:r w:rsidR="00E3253D">
        <w:rPr>
          <w:rtl/>
        </w:rPr>
        <w:t xml:space="preserve"> ».</w:t>
      </w:r>
      <w:r w:rsidR="00E3253D" w:rsidRPr="005D642E">
        <w:rPr>
          <w:rtl/>
        </w:rPr>
        <w:t xml:space="preserve"> وفي « بخ » : « ضمر</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جح ، جس » وحاشية « بث » : « سعيد</w:t>
      </w:r>
      <w:r w:rsidR="00E3253D">
        <w:rPr>
          <w:rtl/>
        </w:rPr>
        <w:t xml:space="preserve"> ».</w:t>
      </w:r>
      <w:r w:rsidR="00E3253D" w:rsidRPr="005D642E">
        <w:rPr>
          <w:rtl/>
        </w:rPr>
        <w:t xml:space="preserve"> وهو سهو ؛ فإنّ ضمرة بن سعيد هو المازني الأنصاري ، وقد ذكره الذهبي في من توفّي بعد سنة 120 ، ومفاد الخبر أنّه مات ضمرة في حياة عليّ بن الحسين </w:t>
      </w:r>
      <w:r w:rsidR="00E3253D" w:rsidRPr="0024280B">
        <w:rPr>
          <w:rStyle w:val="libFootnoteAlaemChar"/>
          <w:rtl/>
        </w:rPr>
        <w:t>عليه‌السلام</w:t>
      </w:r>
      <w:r w:rsidR="00E3253D" w:rsidRPr="005D642E">
        <w:rPr>
          <w:rtl/>
        </w:rPr>
        <w:t xml:space="preserve"> ، وأكثر ما قيل في سنة وفاته هي سنة 99. راجع : </w:t>
      </w:r>
      <w:r w:rsidR="00E3253D" w:rsidRPr="002F4D34">
        <w:rPr>
          <w:rStyle w:val="libFootnoteBoldChar"/>
          <w:rtl/>
        </w:rPr>
        <w:t>الإرش</w:t>
      </w:r>
      <w:r w:rsidR="00E3253D" w:rsidRPr="0024280B">
        <w:rPr>
          <w:rStyle w:val="libFootnoteBoldChar"/>
          <w:rtl/>
        </w:rPr>
        <w:t>اد للمفيد</w:t>
      </w:r>
      <w:r w:rsidR="00E3253D" w:rsidRPr="005D642E">
        <w:rPr>
          <w:rtl/>
        </w:rPr>
        <w:t xml:space="preserve"> ، ج 2 ، ص 382 ؛ </w:t>
      </w:r>
      <w:r w:rsidR="00E3253D" w:rsidRPr="002F4D34">
        <w:rPr>
          <w:rStyle w:val="libFootnoteBoldChar"/>
          <w:rtl/>
        </w:rPr>
        <w:t>تاريخ الإسل</w:t>
      </w:r>
      <w:r w:rsidR="00E3253D" w:rsidRPr="0024280B">
        <w:rPr>
          <w:rStyle w:val="libFootnoteBoldChar"/>
          <w:rtl/>
        </w:rPr>
        <w:t>ام للذهبي</w:t>
      </w:r>
      <w:r w:rsidR="00E3253D" w:rsidRPr="005D642E">
        <w:rPr>
          <w:rtl/>
        </w:rPr>
        <w:t xml:space="preserve"> ، ج 8 ، ص 135 ؛ </w:t>
      </w:r>
      <w:r w:rsidR="00E3253D" w:rsidRPr="002F4D34">
        <w:rPr>
          <w:rStyle w:val="libFootnoteBoldChar"/>
          <w:rtl/>
        </w:rPr>
        <w:t>تهذيب الكمال</w:t>
      </w:r>
      <w:r w:rsidR="00E3253D" w:rsidRPr="005D642E">
        <w:rPr>
          <w:rtl/>
        </w:rPr>
        <w:t xml:space="preserve"> ، ج 13 ، ص 321 ، الرقم 2939 ؛ وج 20 ، ص 382 ، الرقم 4050.</w:t>
      </w:r>
    </w:p>
    <w:tbl>
      <w:tblPr>
        <w:tblStyle w:val="TableGrid"/>
        <w:bidiVisual/>
        <w:tblW w:w="0" w:type="auto"/>
        <w:tblLook w:val="04A0" w:firstRow="1" w:lastRow="0" w:firstColumn="1" w:lastColumn="0" w:noHBand="0" w:noVBand="1"/>
      </w:tblPr>
      <w:tblGrid>
        <w:gridCol w:w="4006"/>
        <w:gridCol w:w="4006"/>
      </w:tblGrid>
      <w:tr w:rsidR="0024280B" w:rsidTr="0024280B">
        <w:tc>
          <w:tcPr>
            <w:tcW w:w="4006" w:type="dxa"/>
          </w:tcPr>
          <w:p w:rsidR="0024280B" w:rsidRDefault="0024280B" w:rsidP="00E3253D">
            <w:pPr>
              <w:pStyle w:val="libFootnote0"/>
              <w:rPr>
                <w:rStyle w:val="libFootnote0Char"/>
                <w:rtl/>
              </w:rPr>
            </w:pPr>
            <w:r w:rsidRPr="0042621E">
              <w:rPr>
                <w:rStyle w:val="libFootnote0Char"/>
                <w:rtl/>
              </w:rPr>
              <w:t>(11).</w:t>
            </w:r>
            <w:r w:rsidRPr="005D642E">
              <w:rPr>
                <w:rtl/>
              </w:rPr>
              <w:t xml:space="preserve"> في « ى » :</w:t>
            </w:r>
            <w:r>
              <w:rPr>
                <w:rtl/>
              </w:rPr>
              <w:t xml:space="preserve"> - </w:t>
            </w:r>
            <w:r w:rsidRPr="005D642E">
              <w:rPr>
                <w:rtl/>
              </w:rPr>
              <w:t>« هل</w:t>
            </w:r>
            <w:r>
              <w:rPr>
                <w:rtl/>
              </w:rPr>
              <w:t xml:space="preserve"> ».</w:t>
            </w:r>
          </w:p>
        </w:tc>
        <w:tc>
          <w:tcPr>
            <w:tcW w:w="4006" w:type="dxa"/>
          </w:tcPr>
          <w:p w:rsidR="0024280B" w:rsidRDefault="0024280B" w:rsidP="00E3253D">
            <w:pPr>
              <w:pStyle w:val="libFootnote0"/>
              <w:rPr>
                <w:rStyle w:val="libFootnote0Char"/>
                <w:rtl/>
              </w:rPr>
            </w:pPr>
            <w:r w:rsidRPr="0042621E">
              <w:rPr>
                <w:rStyle w:val="libFootnote0Char"/>
                <w:rtl/>
              </w:rPr>
              <w:t>(12).</w:t>
            </w:r>
            <w:r w:rsidRPr="005D642E">
              <w:rPr>
                <w:rtl/>
              </w:rPr>
              <w:t xml:space="preserve"> في « غ » : « لحملته » بدل « على</w:t>
            </w:r>
            <w:r>
              <w:rPr>
                <w:rtl/>
              </w:rPr>
              <w:t xml:space="preserve"> ».</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البحار ، ج 46 : « فقال : إنّه » بدل « قال : فإنّه</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في « بح » : « أحببتهم</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في البحار ، ج 6 :</w:t>
      </w:r>
      <w:r w:rsidR="00E3253D">
        <w:rPr>
          <w:rtl/>
        </w:rPr>
        <w:t xml:space="preserve"> </w:t>
      </w:r>
      <w:r w:rsidR="007642BC">
        <w:rPr>
          <w:rtl/>
        </w:rPr>
        <w:t>-</w:t>
      </w:r>
      <w:r w:rsidR="00E3253D">
        <w:rPr>
          <w:rtl/>
        </w:rPr>
        <w:t xml:space="preserve"> </w:t>
      </w:r>
      <w:r w:rsidR="00E3253D" w:rsidRPr="005D642E">
        <w:rPr>
          <w:rtl/>
        </w:rPr>
        <w:t>« وأشكو إليكم إخواناً واخيتهم ، فخذلوني</w:t>
      </w:r>
      <w:r w:rsidR="00E3253D">
        <w:rPr>
          <w:rtl/>
        </w:rPr>
        <w:t xml:space="preserve"> ».</w:t>
      </w:r>
    </w:p>
    <w:p w:rsidR="00E3253D" w:rsidRPr="005D642E" w:rsidRDefault="00E3253D" w:rsidP="00E3253D">
      <w:pPr>
        <w:pStyle w:val="libFootnote0"/>
        <w:rPr>
          <w:rtl/>
          <w:lang w:bidi="fa-IR"/>
        </w:rPr>
      </w:pPr>
      <w:r w:rsidRPr="005D642E">
        <w:rPr>
          <w:rtl/>
        </w:rPr>
        <w:t>(1</w:t>
      </w:r>
      <w:r>
        <w:rPr>
          <w:rtl/>
        </w:rPr>
        <w:t>6)</w:t>
      </w:r>
      <w:r w:rsidRPr="005D642E">
        <w:rPr>
          <w:rtl/>
        </w:rPr>
        <w:t xml:space="preserve"> هكذا في النسخ التي قوبلت </w:t>
      </w:r>
      <w:r w:rsidR="000D749A" w:rsidRPr="0024280B">
        <w:rPr>
          <w:rtl/>
        </w:rPr>
        <w:t>والوافي</w:t>
      </w:r>
      <w:r w:rsidRPr="005D642E">
        <w:rPr>
          <w:rtl/>
        </w:rPr>
        <w:t>. وف</w:t>
      </w:r>
      <w:r w:rsidR="0024280B">
        <w:rPr>
          <w:rtl/>
        </w:rPr>
        <w:t>ي المطبوع والبحار ، ج 46 : «</w:t>
      </w:r>
      <w:r w:rsidRPr="005D642E">
        <w:rPr>
          <w:rtl/>
        </w:rPr>
        <w:t>عنهم</w:t>
      </w:r>
      <w:r>
        <w:rPr>
          <w:rtl/>
        </w:rPr>
        <w:t>».</w:t>
      </w:r>
      <w:r w:rsidR="0024280B">
        <w:rPr>
          <w:rtl/>
        </w:rPr>
        <w:t xml:space="preserve"> ويقال : حاميت على ضيفي،</w:t>
      </w:r>
      <w:r w:rsidR="0024280B">
        <w:rPr>
          <w:rFonts w:hint="cs"/>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فَخَذَلُونِي </w:t>
      </w:r>
      <w:r w:rsidRPr="007C12DB">
        <w:rPr>
          <w:rStyle w:val="libFootnotenumChar"/>
          <w:rtl/>
        </w:rPr>
        <w:t>(1)</w:t>
      </w:r>
      <w:r w:rsidRPr="005D642E">
        <w:rPr>
          <w:rtl/>
          <w:lang w:bidi="fa-IR"/>
        </w:rPr>
        <w:t xml:space="preserve"> ؛ وَأَشْكُو إِلَيْكُمْ دَاراً أَنْفَقْتُ فِيهَا حَرِيبَتِي ، فَصَارَ </w:t>
      </w:r>
      <w:r w:rsidRPr="007C12DB">
        <w:rPr>
          <w:rStyle w:val="libFootnotenumChar"/>
          <w:rtl/>
        </w:rPr>
        <w:t>(2)</w:t>
      </w:r>
      <w:r w:rsidRPr="005D642E">
        <w:rPr>
          <w:rtl/>
          <w:lang w:bidi="fa-IR"/>
        </w:rPr>
        <w:t xml:space="preserve"> سُكَّانُهَا غَيْرِي ، فَارْفُقُوا بِي ، وَلَاتَسْتَعْجِلُوا</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فَقَالَ ضَمْرَةُ </w:t>
      </w:r>
      <w:r w:rsidRPr="007C12DB">
        <w:rPr>
          <w:rStyle w:val="libFootnotenumChar"/>
          <w:rtl/>
        </w:rPr>
        <w:t>(3)</w:t>
      </w:r>
      <w:r w:rsidRPr="005D642E">
        <w:rPr>
          <w:rtl/>
          <w:lang w:bidi="fa-IR"/>
        </w:rPr>
        <w:t xml:space="preserve"> : يَا أَبَا الْحَسَنِ ، إِنْ كَانَ هذَا يَتَكَلَّمُ بِهذَا الْكَلَامِ ، يُوشِكُ أَنْ يَثِبَ </w:t>
      </w:r>
      <w:r w:rsidRPr="007C12DB">
        <w:rPr>
          <w:rStyle w:val="libFootnotenumChar"/>
          <w:rtl/>
        </w:rPr>
        <w:t>(4)</w:t>
      </w:r>
      <w:r w:rsidRPr="005D642E">
        <w:rPr>
          <w:rtl/>
          <w:lang w:bidi="fa-IR"/>
        </w:rPr>
        <w:t xml:space="preserve"> عَلى أَعْنَاقِ الَّذِينَ يَحْمِلُونَهُ</w:t>
      </w:r>
      <w:r>
        <w:rPr>
          <w:rtl/>
          <w:lang w:bidi="fa-IR"/>
        </w:rPr>
        <w:t>؟</w:t>
      </w:r>
    </w:p>
    <w:p w:rsidR="00E3253D" w:rsidRPr="005D642E" w:rsidRDefault="00E3253D" w:rsidP="00E3253D">
      <w:pPr>
        <w:pStyle w:val="libNormal"/>
        <w:rPr>
          <w:rtl/>
          <w:lang w:bidi="fa-IR"/>
        </w:rPr>
      </w:pPr>
      <w:r w:rsidRPr="005D642E">
        <w:rPr>
          <w:rtl/>
          <w:lang w:bidi="fa-IR"/>
        </w:rPr>
        <w:t xml:space="preserve">قَالَ : فَقَالَ عَلِيُّ بْنُ الْحُسَيْنِ </w:t>
      </w:r>
      <w:r w:rsidRPr="00AC51C5">
        <w:rPr>
          <w:rStyle w:val="libAlaemChar"/>
          <w:rtl/>
        </w:rPr>
        <w:t>عليهما‌السلام</w:t>
      </w:r>
      <w:r w:rsidRPr="005D642E">
        <w:rPr>
          <w:rtl/>
          <w:lang w:bidi="fa-IR"/>
        </w:rPr>
        <w:t xml:space="preserve"> : « الل</w:t>
      </w:r>
      <w:r w:rsidR="00AE6EEE">
        <w:rPr>
          <w:rFonts w:hint="cs"/>
          <w:rtl/>
          <w:lang w:bidi="fa-IR"/>
        </w:rPr>
        <w:t>َّ</w:t>
      </w:r>
      <w:r w:rsidRPr="005D642E">
        <w:rPr>
          <w:rtl/>
          <w:lang w:bidi="fa-IR"/>
        </w:rPr>
        <w:t xml:space="preserve">هُمَّ إِنْ كَانَ ضَمْرَةُ </w:t>
      </w:r>
      <w:r w:rsidRPr="007C12DB">
        <w:rPr>
          <w:rStyle w:val="libFootnotenumChar"/>
          <w:rtl/>
        </w:rPr>
        <w:t>(5)</w:t>
      </w:r>
      <w:r w:rsidRPr="005D642E">
        <w:rPr>
          <w:rtl/>
          <w:lang w:bidi="fa-IR"/>
        </w:rPr>
        <w:t xml:space="preserve"> هَزِئَ مِنْ حَدِيثِ رَسُولِكَ </w:t>
      </w:r>
      <w:r w:rsidRPr="007C12DB">
        <w:rPr>
          <w:rStyle w:val="libFootnotenumChar"/>
          <w:rtl/>
        </w:rPr>
        <w:t>(6)</w:t>
      </w:r>
      <w:r w:rsidRPr="005D642E">
        <w:rPr>
          <w:rtl/>
          <w:lang w:bidi="fa-IR"/>
        </w:rPr>
        <w:t xml:space="preserve"> </w:t>
      </w:r>
      <w:r w:rsidR="0042621E" w:rsidRPr="0042621E">
        <w:rPr>
          <w:rStyle w:val="libAlaemChar"/>
          <w:rtl/>
        </w:rPr>
        <w:t>صلى‌الله‌عليه‌وآله</w:t>
      </w:r>
      <w:r w:rsidRPr="005D642E">
        <w:rPr>
          <w:rtl/>
          <w:lang w:bidi="fa-IR"/>
        </w:rPr>
        <w:t xml:space="preserve"> ، فَخُذْهُ أَخْذَةَ </w:t>
      </w:r>
      <w:r w:rsidRPr="007C12DB">
        <w:rPr>
          <w:rStyle w:val="libFootnotenumChar"/>
          <w:rtl/>
        </w:rPr>
        <w:t>(7)</w:t>
      </w:r>
      <w:r w:rsidRPr="005D642E">
        <w:rPr>
          <w:rtl/>
          <w:lang w:bidi="fa-IR"/>
        </w:rPr>
        <w:t xml:space="preserve"> أَسَفٍ » </w:t>
      </w:r>
      <w:r w:rsidRPr="007C12DB">
        <w:rPr>
          <w:rStyle w:val="libFootnotenumChar"/>
          <w:rtl/>
        </w:rPr>
        <w:t>(8)</w:t>
      </w:r>
      <w:r w:rsidR="00AE6EEE" w:rsidRPr="00AE6EEE">
        <w:rPr>
          <w:rFonts w:hint="cs"/>
          <w:rtl/>
        </w:rPr>
        <w:t>.</w:t>
      </w:r>
    </w:p>
    <w:p w:rsidR="00E3253D" w:rsidRPr="005D642E" w:rsidRDefault="00E3253D" w:rsidP="00E3253D">
      <w:pPr>
        <w:pStyle w:val="libNormal"/>
        <w:rPr>
          <w:rtl/>
          <w:lang w:bidi="fa-IR"/>
        </w:rPr>
      </w:pPr>
      <w:r w:rsidRPr="005D642E">
        <w:rPr>
          <w:rtl/>
          <w:lang w:bidi="fa-IR"/>
        </w:rPr>
        <w:t>قَالَ : فَمَكَثَ أَرْبَعِينَ يَوْماً ، ثُمَّ مَاتَ ، فَحَضَرَهُ مَوْلًى لَهُ.</w:t>
      </w:r>
    </w:p>
    <w:p w:rsidR="00E3253D" w:rsidRPr="005D642E" w:rsidRDefault="00E3253D" w:rsidP="00E3253D">
      <w:pPr>
        <w:pStyle w:val="libNormal"/>
        <w:rPr>
          <w:rtl/>
          <w:lang w:bidi="fa-IR"/>
        </w:rPr>
      </w:pPr>
      <w:r w:rsidRPr="005D642E">
        <w:rPr>
          <w:rtl/>
          <w:lang w:bidi="fa-IR"/>
        </w:rPr>
        <w:t xml:space="preserve">قَالَ : فَلَمَّا دُفِنَ ، أَتى عَلِيَّ بْنَ الْحُسَيْنِ </w:t>
      </w:r>
      <w:r w:rsidRPr="00AC51C5">
        <w:rPr>
          <w:rStyle w:val="libAlaemChar"/>
          <w:rtl/>
        </w:rPr>
        <w:t>عليهما‌السلام</w:t>
      </w:r>
      <w:r w:rsidRPr="005D642E">
        <w:rPr>
          <w:rtl/>
          <w:lang w:bidi="fa-IR"/>
        </w:rPr>
        <w:t xml:space="preserve"> ، فَجَلَسَ إِلَيْهِ ، فَقَالَ لَهُ </w:t>
      </w:r>
      <w:r w:rsidRPr="007C12DB">
        <w:rPr>
          <w:rStyle w:val="libFootnotenumChar"/>
          <w:rtl/>
        </w:rPr>
        <w:t>(9)</w:t>
      </w:r>
      <w:r w:rsidRPr="005D642E">
        <w:rPr>
          <w:rtl/>
          <w:lang w:bidi="fa-IR"/>
        </w:rPr>
        <w:t xml:space="preserve"> : « مِنْ أَيْنَ‌</w:t>
      </w:r>
      <w:r>
        <w:rPr>
          <w:rFonts w:hint="cs"/>
          <w:rtl/>
          <w:lang w:bidi="fa-IR"/>
        </w:rPr>
        <w:t xml:space="preserve"> </w:t>
      </w:r>
      <w:r w:rsidRPr="005D642E">
        <w:rPr>
          <w:rtl/>
          <w:lang w:bidi="fa-IR"/>
        </w:rPr>
        <w:t>جِئْتَ يَا فُلَانُ</w:t>
      </w:r>
      <w:r>
        <w:rPr>
          <w:rtl/>
          <w:lang w:bidi="fa-IR"/>
        </w:rPr>
        <w:t>؟</w:t>
      </w:r>
      <w:r w:rsidRPr="005D642E">
        <w:rPr>
          <w:rtl/>
          <w:lang w:bidi="fa-IR"/>
        </w:rPr>
        <w:t xml:space="preserve"> » قَالَ </w:t>
      </w:r>
      <w:r w:rsidRPr="007C12DB">
        <w:rPr>
          <w:rStyle w:val="libFootnotenumChar"/>
          <w:rtl/>
        </w:rPr>
        <w:t>(10)</w:t>
      </w:r>
      <w:r w:rsidRPr="005D642E">
        <w:rPr>
          <w:rtl/>
          <w:lang w:bidi="fa-IR"/>
        </w:rPr>
        <w:t xml:space="preserve"> : مِنْ جِنَازَةِ </w:t>
      </w:r>
      <w:r w:rsidRPr="007C12DB">
        <w:rPr>
          <w:rStyle w:val="libFootnotenumChar"/>
          <w:rtl/>
        </w:rPr>
        <w:t>(11)</w:t>
      </w:r>
      <w:r w:rsidRPr="005D642E">
        <w:rPr>
          <w:rtl/>
          <w:lang w:bidi="fa-IR"/>
        </w:rPr>
        <w:t xml:space="preserve"> ضَمْرَةَ </w:t>
      </w:r>
      <w:r w:rsidRPr="007C12DB">
        <w:rPr>
          <w:rStyle w:val="libFootnotenumChar"/>
          <w:rtl/>
        </w:rPr>
        <w:t>(12)</w:t>
      </w:r>
      <w:r w:rsidRPr="005D642E">
        <w:rPr>
          <w:rtl/>
          <w:lang w:bidi="fa-IR"/>
        </w:rPr>
        <w:t xml:space="preserve"> ، فَوَضَعْتُ وَجْهِي عَلَيْهِ حِينَ سُوِّيَ عَلَيْهِ ، فَسَمِعْتُ صَوْتَهُ</w:t>
      </w:r>
      <w:r>
        <w:rPr>
          <w:rtl/>
          <w:lang w:bidi="fa-IR"/>
        </w:rPr>
        <w:t xml:space="preserve"> </w:t>
      </w:r>
      <w:r w:rsidR="007642BC">
        <w:rPr>
          <w:rtl/>
          <w:lang w:bidi="fa-IR"/>
        </w:rPr>
        <w:t>-</w:t>
      </w:r>
      <w:r>
        <w:rPr>
          <w:rtl/>
          <w:lang w:bidi="fa-IR"/>
        </w:rPr>
        <w:t xml:space="preserve"> </w:t>
      </w:r>
      <w:r w:rsidRPr="005D642E">
        <w:rPr>
          <w:rtl/>
          <w:lang w:bidi="fa-IR"/>
        </w:rPr>
        <w:t>وَاللهِ أَعْرِفُهُ ، كَمَا كُنْتُ أَعْرِفُهُ وَهُوَ حَيٌّ</w:t>
      </w:r>
      <w:r>
        <w:rPr>
          <w:rtl/>
          <w:lang w:bidi="fa-IR"/>
        </w:rPr>
        <w:t xml:space="preserve"> </w:t>
      </w:r>
      <w:r w:rsidR="007642BC">
        <w:rPr>
          <w:rtl/>
          <w:lang w:bidi="fa-IR"/>
        </w:rPr>
        <w:t>-</w:t>
      </w:r>
      <w:r>
        <w:rPr>
          <w:rtl/>
          <w:lang w:bidi="fa-IR"/>
        </w:rPr>
        <w:t xml:space="preserve"> </w:t>
      </w:r>
      <w:r w:rsidRPr="005D642E">
        <w:rPr>
          <w:rtl/>
          <w:lang w:bidi="fa-IR"/>
        </w:rPr>
        <w:t xml:space="preserve">يَقُولُ </w:t>
      </w:r>
      <w:r w:rsidRPr="007C12DB">
        <w:rPr>
          <w:rStyle w:val="libFootnotenumChar"/>
          <w:rtl/>
        </w:rPr>
        <w:t>(13)</w:t>
      </w:r>
      <w:r w:rsidRPr="005D642E">
        <w:rPr>
          <w:rtl/>
          <w:lang w:bidi="fa-IR"/>
        </w:rPr>
        <w:t xml:space="preserve"> : وَيْلَكَ يَا ضَمْرَةَ </w:t>
      </w:r>
      <w:r w:rsidRPr="007C12DB">
        <w:rPr>
          <w:rStyle w:val="libFootnotenumChar"/>
          <w:rtl/>
        </w:rPr>
        <w:t>(14)</w:t>
      </w:r>
      <w:r w:rsidRPr="005D642E">
        <w:rPr>
          <w:rtl/>
          <w:lang w:bidi="fa-IR"/>
        </w:rPr>
        <w:t xml:space="preserve"> بْنَ مَعْبَدٍ </w:t>
      </w:r>
      <w:r w:rsidRPr="007C12DB">
        <w:rPr>
          <w:rStyle w:val="libFootnotenumChar"/>
          <w:rtl/>
        </w:rPr>
        <w:t>(15)</w:t>
      </w:r>
      <w:r w:rsidRPr="005D642E">
        <w:rPr>
          <w:rtl/>
          <w:lang w:bidi="fa-IR"/>
        </w:rPr>
        <w:t xml:space="preserve"> ، الْيَوْمَ </w:t>
      </w:r>
      <w:r w:rsidRPr="007C12DB">
        <w:rPr>
          <w:rStyle w:val="libFootnotenumChar"/>
          <w:rtl/>
        </w:rPr>
        <w:t>(16)</w:t>
      </w:r>
      <w:r w:rsidRPr="005D642E">
        <w:rPr>
          <w:rtl/>
          <w:lang w:bidi="fa-IR"/>
        </w:rPr>
        <w:t xml:space="preserve"> خَذَلَكَ كُلُّ خَلِيلٍ ، وَصَارَ مَصِيرُكَ إِلَى الْجَحِيمِ ، فِيهَا‌</w:t>
      </w:r>
    </w:p>
    <w:p w:rsidR="00E3253D" w:rsidRPr="005D642E" w:rsidRDefault="00E3253D" w:rsidP="00E3253D">
      <w:pPr>
        <w:pStyle w:val="libLine"/>
        <w:rPr>
          <w:rtl/>
          <w:lang w:bidi="fa-IR"/>
        </w:rPr>
      </w:pPr>
      <w:r w:rsidRPr="005D642E">
        <w:rPr>
          <w:rtl/>
          <w:lang w:bidi="fa-IR"/>
        </w:rPr>
        <w:t>__________________</w:t>
      </w:r>
    </w:p>
    <w:p w:rsidR="00E3253D" w:rsidRPr="005D642E" w:rsidRDefault="00AE6EEE" w:rsidP="00E3253D">
      <w:pPr>
        <w:pStyle w:val="libFootnote0"/>
        <w:rPr>
          <w:rtl/>
          <w:lang w:bidi="fa-IR"/>
        </w:rPr>
      </w:pPr>
      <w:r>
        <w:rPr>
          <w:rFonts w:hint="cs"/>
          <w:rtl/>
        </w:rPr>
        <w:t xml:space="preserve">= </w:t>
      </w:r>
      <w:r w:rsidR="00E3253D" w:rsidRPr="005D642E">
        <w:rPr>
          <w:rtl/>
        </w:rPr>
        <w:t xml:space="preserve">أي احتفلت له واهتممت بأمره. ويقال : حاميت عنه محاماةً وحمايةً ، أي منعت عنه. راجع : </w:t>
      </w:r>
      <w:r w:rsidR="00E3253D" w:rsidRPr="002F4D34">
        <w:rPr>
          <w:rStyle w:val="libFootnoteBoldChar"/>
          <w:rtl/>
        </w:rPr>
        <w:t>القاموس المحيط</w:t>
      </w:r>
      <w:r w:rsidR="00E3253D" w:rsidRPr="005D642E">
        <w:rPr>
          <w:rtl/>
        </w:rPr>
        <w:t xml:space="preserve"> ، ج 2 ، ص 1676 ( حمي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بف » : « فأسلموني وخذلوني</w:t>
      </w:r>
      <w:r w:rsidR="00E3253D">
        <w:rPr>
          <w:rtl/>
        </w:rPr>
        <w:t xml:space="preserve"> ».</w:t>
      </w:r>
      <w:r w:rsidR="00E3253D" w:rsidRPr="005D642E">
        <w:rPr>
          <w:rtl/>
        </w:rPr>
        <w:t xml:space="preserve"> وفي « بخ » وحاشية « غ ، بث » : « فأسلموني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AE6EEE" w:rsidTr="00AE6EEE">
        <w:tc>
          <w:tcPr>
            <w:tcW w:w="4006" w:type="dxa"/>
          </w:tcPr>
          <w:p w:rsidR="00AE6EEE" w:rsidRDefault="00AE6EEE" w:rsidP="00E3253D">
            <w:pPr>
              <w:pStyle w:val="libFootnote0"/>
              <w:rPr>
                <w:rStyle w:val="libFootnote0Char"/>
                <w:rtl/>
              </w:rPr>
            </w:pPr>
            <w:r w:rsidRPr="0042621E">
              <w:rPr>
                <w:rStyle w:val="libFootnote0Char"/>
                <w:rtl/>
              </w:rPr>
              <w:t>(2).</w:t>
            </w:r>
            <w:r>
              <w:rPr>
                <w:rtl/>
              </w:rPr>
              <w:t xml:space="preserve"> في «ظ،بخ» :«</w:t>
            </w:r>
            <w:r w:rsidRPr="005D642E">
              <w:rPr>
                <w:rtl/>
              </w:rPr>
              <w:t>وصار</w:t>
            </w:r>
            <w:r>
              <w:rPr>
                <w:rtl/>
              </w:rPr>
              <w:t>». وفي «بف» : «</w:t>
            </w:r>
            <w:r w:rsidRPr="005D642E">
              <w:rPr>
                <w:rtl/>
              </w:rPr>
              <w:t>وكان</w:t>
            </w:r>
            <w:r>
              <w:rPr>
                <w:rtl/>
              </w:rPr>
              <w:t xml:space="preserve"> ».</w:t>
            </w:r>
          </w:p>
        </w:tc>
        <w:tc>
          <w:tcPr>
            <w:tcW w:w="4006" w:type="dxa"/>
          </w:tcPr>
          <w:p w:rsidR="00AE6EEE" w:rsidRDefault="00AE6EEE" w:rsidP="00E3253D">
            <w:pPr>
              <w:pStyle w:val="libFootnote0"/>
              <w:rPr>
                <w:rStyle w:val="libFootnote0Char"/>
                <w:rtl/>
              </w:rPr>
            </w:pPr>
            <w:r w:rsidRPr="0042621E">
              <w:rPr>
                <w:rStyle w:val="libFootnote0Char"/>
                <w:rtl/>
              </w:rPr>
              <w:t>(3).</w:t>
            </w:r>
            <w:r w:rsidRPr="005D642E">
              <w:rPr>
                <w:rtl/>
              </w:rPr>
              <w:t xml:space="preserve"> في « ى » : « ضميرة</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أن يثب » ، أي يطفر ، ويتسلّط. راجع : </w:t>
      </w:r>
      <w:r w:rsidR="00E3253D" w:rsidRPr="002F4D34">
        <w:rPr>
          <w:rStyle w:val="libFootnoteBoldChar"/>
          <w:rtl/>
        </w:rPr>
        <w:t>لسان العرب</w:t>
      </w:r>
      <w:r w:rsidR="00E3253D" w:rsidRPr="005D642E">
        <w:rPr>
          <w:rtl/>
        </w:rPr>
        <w:t xml:space="preserve"> ، ج 1 ، ص 792 ( وثب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 « ضميرة</w:t>
      </w:r>
      <w:r w:rsidR="00E3253D">
        <w:rPr>
          <w:rtl/>
        </w:rPr>
        <w:t xml:space="preserve"> ».</w:t>
      </w:r>
      <w:r w:rsidR="00E3253D" w:rsidRPr="005D642E">
        <w:rPr>
          <w:rtl/>
        </w:rPr>
        <w:t xml:space="preserve"> وفي « جس » : « حُمزَة</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النسخ التي </w:t>
      </w:r>
      <w:r w:rsidR="00E3253D" w:rsidRPr="00AE6EEE">
        <w:rPr>
          <w:rtl/>
        </w:rPr>
        <w:t xml:space="preserve">قوبلت </w:t>
      </w:r>
      <w:r w:rsidR="000D749A" w:rsidRPr="00AE6EEE">
        <w:rPr>
          <w:rtl/>
        </w:rPr>
        <w:t>والوافي</w:t>
      </w:r>
      <w:r w:rsidR="00E3253D" w:rsidRPr="005D642E">
        <w:rPr>
          <w:rtl/>
        </w:rPr>
        <w:t xml:space="preserve"> والبحار. وفي المطبوع : « رسول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ظ ، ى ، بح ، بخ ، بس ، جح ، جس » والبحار : « أخذ</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أخذة أسف » ، أي أخذة غضب ، أو غضبان ؛ من أسف : إذا غضب. راجع : </w:t>
      </w:r>
      <w:r w:rsidR="00E3253D" w:rsidRPr="002F4D34">
        <w:rPr>
          <w:rStyle w:val="libFootnoteBoldChar"/>
          <w:rtl/>
        </w:rPr>
        <w:t>النهاية</w:t>
      </w:r>
      <w:r w:rsidR="00AE6EEE">
        <w:rPr>
          <w:rtl/>
        </w:rPr>
        <w:t xml:space="preserve"> ، ج 1 ، ص 48 (</w:t>
      </w:r>
      <w:r w:rsidR="00E3253D" w:rsidRPr="005D642E">
        <w:rPr>
          <w:rtl/>
        </w:rPr>
        <w:t>أسف )</w:t>
      </w:r>
      <w:r w:rsidR="00E3253D">
        <w:rPr>
          <w:rtl/>
        </w:rPr>
        <w:t>.</w:t>
      </w:r>
    </w:p>
    <w:tbl>
      <w:tblPr>
        <w:tblStyle w:val="TableGrid"/>
        <w:bidiVisual/>
        <w:tblW w:w="0" w:type="auto"/>
        <w:tblLook w:val="04A0" w:firstRow="1" w:lastRow="0" w:firstColumn="1" w:lastColumn="0" w:noHBand="0" w:noVBand="1"/>
      </w:tblPr>
      <w:tblGrid>
        <w:gridCol w:w="3891"/>
        <w:gridCol w:w="4121"/>
      </w:tblGrid>
      <w:tr w:rsidR="00AE6EEE" w:rsidTr="00AE6EEE">
        <w:tc>
          <w:tcPr>
            <w:tcW w:w="3891" w:type="dxa"/>
          </w:tcPr>
          <w:p w:rsidR="00AE6EEE" w:rsidRDefault="00AE6EEE" w:rsidP="00E3253D">
            <w:pPr>
              <w:pStyle w:val="libFootnote0"/>
              <w:rPr>
                <w:rStyle w:val="libFootnote0Char"/>
                <w:rtl/>
                <w:lang w:bidi="fa-IR"/>
              </w:rPr>
            </w:pPr>
            <w:r w:rsidRPr="0042621E">
              <w:rPr>
                <w:rStyle w:val="libFootnote0Char"/>
                <w:rtl/>
              </w:rPr>
              <w:t>(9).</w:t>
            </w:r>
            <w:r w:rsidRPr="005D642E">
              <w:rPr>
                <w:rtl/>
              </w:rPr>
              <w:t xml:space="preserve"> في « ظ » :</w:t>
            </w:r>
            <w:r>
              <w:rPr>
                <w:rtl/>
              </w:rPr>
              <w:t xml:space="preserve"> - </w:t>
            </w:r>
            <w:r w:rsidRPr="005D642E">
              <w:rPr>
                <w:rtl/>
              </w:rPr>
              <w:t>« له</w:t>
            </w:r>
            <w:r>
              <w:rPr>
                <w:rtl/>
              </w:rPr>
              <w:t xml:space="preserve"> ».</w:t>
            </w:r>
          </w:p>
        </w:tc>
        <w:tc>
          <w:tcPr>
            <w:tcW w:w="4121" w:type="dxa"/>
          </w:tcPr>
          <w:p w:rsidR="00AE6EEE" w:rsidRDefault="00AE6EEE" w:rsidP="00E3253D">
            <w:pPr>
              <w:pStyle w:val="libFootnote0"/>
              <w:rPr>
                <w:rStyle w:val="libFootnote0Char"/>
                <w:rtl/>
                <w:lang w:bidi="fa-IR"/>
              </w:rPr>
            </w:pPr>
            <w:r w:rsidRPr="0042621E">
              <w:rPr>
                <w:rStyle w:val="libFootnote0Char"/>
                <w:rtl/>
              </w:rPr>
              <w:t>(10).</w:t>
            </w:r>
            <w:r>
              <w:rPr>
                <w:rtl/>
              </w:rPr>
              <w:t>في«غ»:«فقال:</w:t>
            </w:r>
            <w:r w:rsidRPr="005D642E">
              <w:rPr>
                <w:rtl/>
              </w:rPr>
              <w:t>جئت</w:t>
            </w:r>
            <w:r>
              <w:rPr>
                <w:rtl/>
              </w:rPr>
              <w:t>». وفي «بث،</w:t>
            </w:r>
            <w:r w:rsidRPr="005D642E">
              <w:rPr>
                <w:rtl/>
              </w:rPr>
              <w:t>بخ</w:t>
            </w:r>
            <w:r>
              <w:rPr>
                <w:rtl/>
              </w:rPr>
              <w:t>»:+«</w:t>
            </w:r>
            <w:r w:rsidRPr="005D642E">
              <w:rPr>
                <w:rtl/>
              </w:rPr>
              <w:t>جئت</w:t>
            </w:r>
            <w:r>
              <w:rPr>
                <w:rtl/>
              </w:rPr>
              <w:t>».</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بخ ، بف »</w:t>
      </w:r>
      <w:r w:rsidR="00E3253D" w:rsidRPr="00755A07">
        <w:rPr>
          <w:rtl/>
        </w:rPr>
        <w:t xml:space="preserve"> </w:t>
      </w:r>
      <w:r w:rsidR="000D749A" w:rsidRPr="00755A07">
        <w:rPr>
          <w:rtl/>
        </w:rPr>
        <w:t>والوافي</w:t>
      </w:r>
      <w:r w:rsidR="00E3253D" w:rsidRPr="005D642E">
        <w:rPr>
          <w:rtl/>
        </w:rPr>
        <w:t xml:space="preserve"> : « من عند قبر » بدل « من جنازة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55A07" w:rsidTr="00755A07">
        <w:tc>
          <w:tcPr>
            <w:tcW w:w="4006" w:type="dxa"/>
          </w:tcPr>
          <w:p w:rsidR="00755A07" w:rsidRDefault="00755A07" w:rsidP="00E3253D">
            <w:pPr>
              <w:pStyle w:val="libFootnote0"/>
              <w:rPr>
                <w:rStyle w:val="libFootnote0Char"/>
                <w:rtl/>
              </w:rPr>
            </w:pPr>
            <w:r w:rsidRPr="0042621E">
              <w:rPr>
                <w:rStyle w:val="libFootnote0Char"/>
                <w:rtl/>
              </w:rPr>
              <w:t>(12).</w:t>
            </w:r>
            <w:r>
              <w:rPr>
                <w:rtl/>
              </w:rPr>
              <w:t xml:space="preserve"> في«ى»:«</w:t>
            </w:r>
            <w:r w:rsidRPr="005D642E">
              <w:rPr>
                <w:rtl/>
              </w:rPr>
              <w:t>ضميرة</w:t>
            </w:r>
            <w:r>
              <w:rPr>
                <w:rtl/>
              </w:rPr>
              <w:t>».</w:t>
            </w:r>
            <w:r w:rsidRPr="005D642E">
              <w:rPr>
                <w:rtl/>
              </w:rPr>
              <w:t xml:space="preserve"> وفي « جس » : « حمزة</w:t>
            </w:r>
            <w:r>
              <w:rPr>
                <w:rtl/>
              </w:rPr>
              <w:t xml:space="preserve"> ».</w:t>
            </w:r>
          </w:p>
        </w:tc>
        <w:tc>
          <w:tcPr>
            <w:tcW w:w="4006" w:type="dxa"/>
          </w:tcPr>
          <w:p w:rsidR="00755A07" w:rsidRDefault="00755A07" w:rsidP="00E3253D">
            <w:pPr>
              <w:pStyle w:val="libFootnote0"/>
              <w:rPr>
                <w:rStyle w:val="libFootnote0Char"/>
                <w:rtl/>
              </w:rPr>
            </w:pPr>
            <w:r w:rsidRPr="0042621E">
              <w:rPr>
                <w:rStyle w:val="libFootnote0Char"/>
                <w:rtl/>
              </w:rPr>
              <w:t>(13).</w:t>
            </w:r>
            <w:r w:rsidRPr="005D642E">
              <w:rPr>
                <w:rtl/>
              </w:rPr>
              <w:t xml:space="preserve"> في البحار ، ج 6 : « وهو يقول</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ى » : « ضميرة</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في « غ » وحاشية « بث » : « سعيد</w:t>
      </w:r>
      <w:r w:rsidR="00E3253D">
        <w:rPr>
          <w:rtl/>
        </w:rPr>
        <w:t xml:space="preserve"> ».</w:t>
      </w:r>
      <w:r w:rsidR="00E3253D" w:rsidRPr="005D642E">
        <w:rPr>
          <w:rtl/>
        </w:rPr>
        <w:t xml:space="preserve"> وفي حاشية « غ » : « معيد</w:t>
      </w:r>
      <w:r w:rsidR="00E3253D">
        <w:rPr>
          <w:rtl/>
        </w:rPr>
        <w:t xml:space="preserve"> ».</w:t>
      </w:r>
    </w:p>
    <w:p w:rsidR="00E3253D" w:rsidRPr="005D642E" w:rsidRDefault="00E3253D" w:rsidP="00E3253D">
      <w:pPr>
        <w:pStyle w:val="libFootnote0"/>
        <w:rPr>
          <w:rtl/>
          <w:lang w:bidi="fa-IR"/>
        </w:rPr>
      </w:pPr>
      <w:r w:rsidRPr="005D642E">
        <w:rPr>
          <w:rtl/>
        </w:rPr>
        <w:t>(1</w:t>
      </w:r>
      <w:r>
        <w:rPr>
          <w:rtl/>
        </w:rPr>
        <w:t>6)</w:t>
      </w:r>
      <w:r w:rsidRPr="005D642E">
        <w:rPr>
          <w:rtl/>
        </w:rPr>
        <w:t xml:space="preserve"> في « بخ » :</w:t>
      </w:r>
      <w:r>
        <w:rPr>
          <w:rtl/>
        </w:rPr>
        <w:t xml:space="preserve"> </w:t>
      </w:r>
      <w:r w:rsidR="007642BC">
        <w:rPr>
          <w:rtl/>
        </w:rPr>
        <w:t>-</w:t>
      </w:r>
      <w:r>
        <w:rPr>
          <w:rtl/>
        </w:rPr>
        <w:t xml:space="preserve"> </w:t>
      </w:r>
      <w:r w:rsidRPr="005D642E">
        <w:rPr>
          <w:rtl/>
        </w:rPr>
        <w:t>« اليوم</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مَسْكَنُكَ وَمَبِيتُكَ </w:t>
      </w:r>
      <w:r w:rsidRPr="007C12DB">
        <w:rPr>
          <w:rStyle w:val="libFootnotenumChar"/>
          <w:rtl/>
        </w:rPr>
        <w:t>(1)</w:t>
      </w:r>
      <w:r w:rsidRPr="005D642E">
        <w:rPr>
          <w:rtl/>
          <w:lang w:bidi="fa-IR"/>
        </w:rPr>
        <w:t xml:space="preserve"> وَالْمَقِيلُ </w:t>
      </w:r>
      <w:r w:rsidRPr="007C12DB">
        <w:rPr>
          <w:rStyle w:val="libFootnotenumChar"/>
          <w:rtl/>
        </w:rPr>
        <w:t>(2)</w:t>
      </w:r>
      <w:r w:rsidR="00755A07" w:rsidRPr="00755A07">
        <w:rPr>
          <w:rStyle w:val="libNormalChar"/>
          <w:rFonts w:hint="cs"/>
          <w:rtl/>
        </w:rPr>
        <w:t>.</w:t>
      </w:r>
    </w:p>
    <w:p w:rsidR="00E3253D" w:rsidRPr="005D642E" w:rsidRDefault="00E3253D" w:rsidP="00E3253D">
      <w:pPr>
        <w:pStyle w:val="libNormal"/>
        <w:rPr>
          <w:rtl/>
          <w:lang w:bidi="fa-IR"/>
        </w:rPr>
      </w:pPr>
      <w:r w:rsidRPr="005D642E">
        <w:rPr>
          <w:rtl/>
          <w:lang w:bidi="fa-IR"/>
        </w:rPr>
        <w:t xml:space="preserve">قَالَ : فَقَالَ عَلِيُّ بْنُ الْحُسَيْنِ </w:t>
      </w:r>
      <w:r w:rsidRPr="00AC51C5">
        <w:rPr>
          <w:rStyle w:val="libAlaemChar"/>
          <w:rtl/>
        </w:rPr>
        <w:t>عليهما‌السلام</w:t>
      </w:r>
      <w:r w:rsidRPr="005D642E">
        <w:rPr>
          <w:rtl/>
          <w:lang w:bidi="fa-IR"/>
        </w:rPr>
        <w:t xml:space="preserve"> : « أَسْأَلُ اللهَ </w:t>
      </w:r>
      <w:r w:rsidRPr="007C12DB">
        <w:rPr>
          <w:rStyle w:val="libFootnotenumChar"/>
          <w:rtl/>
        </w:rPr>
        <w:t>(3)</w:t>
      </w:r>
      <w:r w:rsidRPr="005D642E">
        <w:rPr>
          <w:rtl/>
          <w:lang w:bidi="fa-IR"/>
        </w:rPr>
        <w:t xml:space="preserve"> الْعَافِيَةَ ، هذَا جَزَاءُ مَنْ يَهْزَأُ مِنْ حَدِيثِ رَسُولِ اللهِ </w:t>
      </w:r>
      <w:r w:rsidR="0042621E" w:rsidRPr="0042621E">
        <w:rPr>
          <w:rStyle w:val="libAlaemChar"/>
          <w:rtl/>
        </w:rPr>
        <w:t>صلى‌الله‌عليه‌وآله</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Heading2Center"/>
        <w:rPr>
          <w:rtl/>
          <w:lang w:bidi="fa-IR"/>
        </w:rPr>
      </w:pPr>
      <w:bookmarkStart w:id="524" w:name="_Toc344647386"/>
      <w:bookmarkStart w:id="525" w:name="_Toc462226900"/>
      <w:bookmarkStart w:id="526" w:name="_Toc40976008"/>
      <w:r w:rsidRPr="005D642E">
        <w:rPr>
          <w:rtl/>
          <w:lang w:bidi="fa-IR"/>
        </w:rPr>
        <w:t>88</w:t>
      </w:r>
      <w:r>
        <w:rPr>
          <w:rtl/>
          <w:lang w:bidi="fa-IR"/>
        </w:rPr>
        <w:t xml:space="preserve"> </w:t>
      </w:r>
      <w:r w:rsidR="007642BC">
        <w:rPr>
          <w:rtl/>
          <w:lang w:bidi="fa-IR"/>
        </w:rPr>
        <w:t>-</w:t>
      </w:r>
      <w:r>
        <w:rPr>
          <w:rtl/>
          <w:lang w:bidi="fa-IR"/>
        </w:rPr>
        <w:t xml:space="preserve"> </w:t>
      </w:r>
      <w:r w:rsidRPr="005D642E">
        <w:rPr>
          <w:rtl/>
          <w:lang w:bidi="fa-IR"/>
        </w:rPr>
        <w:t>بَابُ الْمَسْأَلَةِ فِي الْقَبْرِ وَمَنْ يُسْأَلُ وَمَنْ لَايُسْأَلُ‌</w:t>
      </w:r>
      <w:bookmarkEnd w:id="524"/>
      <w:bookmarkEnd w:id="525"/>
      <w:bookmarkEnd w:id="526"/>
    </w:p>
    <w:p w:rsidR="00E3253D" w:rsidRPr="005D642E" w:rsidRDefault="00E3253D" w:rsidP="00E3253D">
      <w:pPr>
        <w:pStyle w:val="libNormal"/>
        <w:rPr>
          <w:rtl/>
          <w:lang w:bidi="fa-IR"/>
        </w:rPr>
      </w:pPr>
      <w:r w:rsidRPr="002A6AED">
        <w:rPr>
          <w:rtl/>
        </w:rPr>
        <w:t>4695</w:t>
      </w:r>
      <w:r w:rsidRPr="00246318">
        <w:rPr>
          <w:rStyle w:val="libBold2Char"/>
          <w:rtl/>
        </w:rPr>
        <w:t xml:space="preserve"> / 1.</w:t>
      </w:r>
      <w:r w:rsidRPr="005D642E">
        <w:rPr>
          <w:rtl/>
          <w:lang w:bidi="fa-IR"/>
        </w:rPr>
        <w:t xml:space="preserve"> أَبُو عَلِيٍّ الْأَشْعَرِيُّ ، عَنْ مُحَمَّدِ بْنِ عَبْدِ الْجَبَّارِ ، عَنِ الْحَجَّالِ ، عَنْ ثَعْلَبَةَ ، عَنْ أَبِي بَكْرٍ الْحَضْرَمِيِّ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ل</w:t>
      </w:r>
      <w:r w:rsidR="00755A07">
        <w:rPr>
          <w:rtl/>
          <w:lang w:bidi="fa-IR"/>
        </w:rPr>
        <w:t>َا يُسْأَلُ فِي الْقَبْرِ إِل</w:t>
      </w:r>
      <w:r w:rsidR="00755A07">
        <w:rPr>
          <w:rFonts w:hint="cs"/>
          <w:rtl/>
          <w:lang w:bidi="fa-IR"/>
        </w:rPr>
        <w:t>َّ</w:t>
      </w:r>
      <w:r w:rsidR="00755A07">
        <w:rPr>
          <w:rtl/>
          <w:lang w:bidi="fa-IR"/>
        </w:rPr>
        <w:t>ا</w:t>
      </w:r>
      <w:r w:rsidRPr="005D642E">
        <w:rPr>
          <w:rtl/>
          <w:lang w:bidi="fa-IR"/>
        </w:rPr>
        <w:t xml:space="preserve"> مَنْ مَحَضَ الْإِيمَانَ مَحْضاً </w:t>
      </w:r>
      <w:r w:rsidRPr="007C12DB">
        <w:rPr>
          <w:rStyle w:val="libFootnotenumChar"/>
          <w:rtl/>
        </w:rPr>
        <w:t>(5)</w:t>
      </w:r>
      <w:r w:rsidRPr="005D642E">
        <w:rPr>
          <w:rtl/>
          <w:lang w:bidi="fa-IR"/>
        </w:rPr>
        <w:t xml:space="preserve"> ، أَوْ </w:t>
      </w:r>
      <w:r w:rsidRPr="007C12DB">
        <w:rPr>
          <w:rStyle w:val="libFootnotenumChar"/>
          <w:rtl/>
        </w:rPr>
        <w:t>(6)</w:t>
      </w:r>
      <w:r w:rsidRPr="005D642E">
        <w:rPr>
          <w:rtl/>
          <w:lang w:bidi="fa-IR"/>
        </w:rPr>
        <w:t xml:space="preserve"> مَحَضَ الْكُفْرَ مَحْضاً ، وَالْآخَرُونَ يُلْهَوْنَ عَنْهُمْ</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2A6AED">
        <w:rPr>
          <w:rtl/>
        </w:rPr>
        <w:t>4696</w:t>
      </w:r>
      <w:r w:rsidRPr="00246318">
        <w:rPr>
          <w:rStyle w:val="libBold2Char"/>
          <w:rtl/>
        </w:rPr>
        <w:t xml:space="preserve"> / 2.</w:t>
      </w:r>
      <w:r w:rsidRPr="005D642E">
        <w:rPr>
          <w:rtl/>
          <w:lang w:bidi="fa-IR"/>
        </w:rPr>
        <w:t xml:space="preserve"> عِدَّةٌ مِنْ أَصْحَابِنَا ، عَنْ سَهْلِ بْنِ زِيَادٍ ، عَنْ عَبْدِ الرَّحْمنِ بْنِ أَبِي نَجْرَانَ ، عَنْ عَبْدِ اللهِ بْنِ سِنَانٍ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إِنَّمَا يُسْأَلُ فِي قَبْرِهِ مَنْ مَحَضَ الْإِيمَانَ مَحْضاً </w:t>
      </w:r>
      <w:r w:rsidRPr="007C12DB">
        <w:rPr>
          <w:rStyle w:val="libFootnotenumChar"/>
          <w:rtl/>
        </w:rPr>
        <w:t>(8)</w:t>
      </w:r>
      <w:r w:rsidRPr="005D642E">
        <w:rPr>
          <w:rtl/>
          <w:lang w:bidi="fa-IR"/>
        </w:rPr>
        <w:t xml:space="preserve"> وَالْكُفْرَ مَحْضاً ، وَأَمَّا </w:t>
      </w:r>
      <w:r w:rsidRPr="007C12DB">
        <w:rPr>
          <w:rStyle w:val="libFootnotenumChar"/>
          <w:rtl/>
        </w:rPr>
        <w:t>(9)</w:t>
      </w:r>
      <w:r w:rsidRPr="005D642E">
        <w:rPr>
          <w:rtl/>
          <w:lang w:bidi="fa-IR"/>
        </w:rPr>
        <w:t xml:space="preserve"> مَا </w:t>
      </w:r>
      <w:r w:rsidRPr="007C12DB">
        <w:rPr>
          <w:rStyle w:val="libFootnotenumChar"/>
          <w:rtl/>
        </w:rPr>
        <w:t>(10)</w:t>
      </w:r>
      <w:r w:rsidRPr="005D642E">
        <w:rPr>
          <w:rtl/>
          <w:lang w:bidi="fa-IR"/>
        </w:rPr>
        <w:t xml:space="preserve"> سِوى ذلِكَ فَيُلْهى عَنْهُمْ </w:t>
      </w:r>
      <w:r w:rsidRPr="007C12DB">
        <w:rPr>
          <w:rStyle w:val="libFootnotenumChar"/>
          <w:rtl/>
        </w:rPr>
        <w:t>(11)</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w:t>
      </w:r>
      <w:r w:rsidR="00E3253D">
        <w:rPr>
          <w:rtl/>
        </w:rPr>
        <w:t xml:space="preserve"> </w:t>
      </w:r>
      <w:r w:rsidR="007642BC">
        <w:rPr>
          <w:rtl/>
        </w:rPr>
        <w:t>-</w:t>
      </w:r>
      <w:r w:rsidR="00E3253D">
        <w:rPr>
          <w:rtl/>
        </w:rPr>
        <w:t xml:space="preserve"> </w:t>
      </w:r>
      <w:r w:rsidR="00E3253D" w:rsidRPr="005D642E">
        <w:rPr>
          <w:rtl/>
        </w:rPr>
        <w:t>« ومبيتك</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المقيل » : القيلولة ، وهي الاستراحة نصف النهار وإن لم يكن معها نوم. </w:t>
      </w:r>
      <w:r w:rsidR="00E3253D" w:rsidRPr="002F4D34">
        <w:rPr>
          <w:rStyle w:val="libFootnoteBoldChar"/>
          <w:rtl/>
        </w:rPr>
        <w:t>النهاية</w:t>
      </w:r>
      <w:r w:rsidR="00E3253D" w:rsidRPr="005D642E">
        <w:rPr>
          <w:rtl/>
        </w:rPr>
        <w:t xml:space="preserve"> ، ج 4 ، ص 133 ( قيل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2F4D34">
        <w:rPr>
          <w:rStyle w:val="libFootnoteBoldChar"/>
          <w:rtl/>
        </w:rPr>
        <w:t>الوافي</w:t>
      </w:r>
      <w:r w:rsidR="001F7EDD">
        <w:rPr>
          <w:rtl/>
        </w:rPr>
        <w:t>،</w:t>
      </w:r>
      <w:r w:rsidR="00E3253D" w:rsidRPr="005D642E">
        <w:rPr>
          <w:rtl/>
        </w:rPr>
        <w:t xml:space="preserve">ج 25 ، ص 608 ، ح 24753 ؛ </w:t>
      </w:r>
      <w:r w:rsidR="00E3253D" w:rsidRPr="002F4D34">
        <w:rPr>
          <w:rStyle w:val="libFootnoteBoldChar"/>
          <w:rtl/>
        </w:rPr>
        <w:t>البحار</w:t>
      </w:r>
      <w:r w:rsidR="00E3253D" w:rsidRPr="005D642E">
        <w:rPr>
          <w:rtl/>
        </w:rPr>
        <w:t xml:space="preserve"> ، ج 6 ، ص</w:t>
      </w:r>
      <w:r w:rsidR="001F7EDD">
        <w:rPr>
          <w:rtl/>
        </w:rPr>
        <w:t xml:space="preserve"> 259 ، ح 96 ؛ وج 46 ، ص 142،ح</w:t>
      </w:r>
      <w:r w:rsidR="00E3253D" w:rsidRPr="005D642E">
        <w:rPr>
          <w:rtl/>
        </w:rPr>
        <w:t>25.</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محضاً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 + « من</w:t>
      </w:r>
      <w:r w:rsidR="00E3253D">
        <w:rPr>
          <w:rtl/>
        </w:rPr>
        <w:t xml:space="preserve"> ».</w:t>
      </w:r>
    </w:p>
    <w:p w:rsidR="00E3253D" w:rsidRPr="005D642E" w:rsidRDefault="0042621E" w:rsidP="00755A07">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الفقيه</w:t>
      </w:r>
      <w:r w:rsidR="00E3253D" w:rsidRPr="005D642E">
        <w:rPr>
          <w:rtl/>
        </w:rPr>
        <w:t xml:space="preserve"> ، ج 1 ، ص 178 ، ح 530 ، مرسلاً ، مع اختلاف يسير </w:t>
      </w:r>
      <w:r w:rsidR="00755A07">
        <w:rPr>
          <w:rFonts w:hint="cs"/>
          <w:rtl/>
        </w:rPr>
        <w:t>.</w:t>
      </w:r>
      <w:r w:rsidR="00E3253D" w:rsidRPr="002F4D34">
        <w:rPr>
          <w:rStyle w:val="libFootnoteBoldChar"/>
          <w:rtl/>
        </w:rPr>
        <w:t>الوافي</w:t>
      </w:r>
      <w:r w:rsidR="00E3253D" w:rsidRPr="005D642E">
        <w:rPr>
          <w:rtl/>
        </w:rPr>
        <w:t xml:space="preserve"> ، ج 25 ، ص 613 ، ح 24755 ؛ </w:t>
      </w:r>
      <w:r w:rsidR="00E3253D" w:rsidRPr="002F4D34">
        <w:rPr>
          <w:rStyle w:val="libFootnoteBoldChar"/>
          <w:rtl/>
        </w:rPr>
        <w:t>البحار</w:t>
      </w:r>
      <w:r w:rsidR="00E3253D" w:rsidRPr="005D642E">
        <w:rPr>
          <w:rtl/>
        </w:rPr>
        <w:t xml:space="preserve"> ، ج 6 ، ص 260 ، ح 97.</w:t>
      </w:r>
      <w:r w:rsidR="00755A07">
        <w:rPr>
          <w:rFonts w:hint="cs"/>
          <w:rtl/>
        </w:rPr>
        <w:t xml:space="preserve">          </w:t>
      </w:r>
      <w:r w:rsidRPr="0042621E">
        <w:rPr>
          <w:rStyle w:val="libFootnote0Char"/>
          <w:rtl/>
        </w:rPr>
        <w:t>(8).</w:t>
      </w:r>
      <w:r w:rsidR="00E3253D" w:rsidRPr="005D642E">
        <w:rPr>
          <w:rtl/>
        </w:rPr>
        <w:t xml:space="preserve"> في البحار :</w:t>
      </w:r>
      <w:r w:rsidR="00E3253D">
        <w:rPr>
          <w:rtl/>
        </w:rPr>
        <w:t xml:space="preserve"> </w:t>
      </w:r>
      <w:r w:rsidR="007642BC">
        <w:rPr>
          <w:rtl/>
        </w:rPr>
        <w:t>-</w:t>
      </w:r>
      <w:r w:rsidR="00E3253D">
        <w:rPr>
          <w:rtl/>
        </w:rPr>
        <w:t xml:space="preserve"> </w:t>
      </w:r>
      <w:r w:rsidR="00E3253D" w:rsidRPr="005D642E">
        <w:rPr>
          <w:rtl/>
        </w:rPr>
        <w:t>« محضاً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55A07" w:rsidTr="00755A07">
        <w:tc>
          <w:tcPr>
            <w:tcW w:w="4006" w:type="dxa"/>
          </w:tcPr>
          <w:p w:rsidR="00755A07" w:rsidRDefault="00755A07" w:rsidP="00E3253D">
            <w:pPr>
              <w:pStyle w:val="libFootnote0"/>
              <w:rPr>
                <w:rStyle w:val="libFootnote0Char"/>
                <w:rtl/>
              </w:rPr>
            </w:pPr>
            <w:r w:rsidRPr="0042621E">
              <w:rPr>
                <w:rStyle w:val="libFootnote0Char"/>
                <w:rtl/>
              </w:rPr>
              <w:t>(9).</w:t>
            </w:r>
            <w:r w:rsidRPr="005D642E">
              <w:rPr>
                <w:rtl/>
              </w:rPr>
              <w:t xml:space="preserve"> في « ى ، جن » :</w:t>
            </w:r>
            <w:r>
              <w:rPr>
                <w:rtl/>
              </w:rPr>
              <w:t xml:space="preserve"> - </w:t>
            </w:r>
            <w:r w:rsidRPr="005D642E">
              <w:rPr>
                <w:rtl/>
              </w:rPr>
              <w:t>« أمّا</w:t>
            </w:r>
            <w:r>
              <w:rPr>
                <w:rtl/>
              </w:rPr>
              <w:t xml:space="preserve"> ».</w:t>
            </w:r>
          </w:p>
        </w:tc>
        <w:tc>
          <w:tcPr>
            <w:tcW w:w="4006" w:type="dxa"/>
          </w:tcPr>
          <w:p w:rsidR="00755A07" w:rsidRDefault="00755A07" w:rsidP="00E3253D">
            <w:pPr>
              <w:pStyle w:val="libFootnote0"/>
              <w:rPr>
                <w:rStyle w:val="libFootnote0Char"/>
                <w:rtl/>
              </w:rPr>
            </w:pPr>
            <w:r w:rsidRPr="0042621E">
              <w:rPr>
                <w:rStyle w:val="libFootnote0Char"/>
                <w:rtl/>
              </w:rPr>
              <w:t>(10).</w:t>
            </w:r>
            <w:r w:rsidRPr="005D642E">
              <w:rPr>
                <w:rtl/>
              </w:rPr>
              <w:t xml:space="preserve"> في « بس ، جس » :</w:t>
            </w:r>
            <w:r>
              <w:rPr>
                <w:rtl/>
              </w:rPr>
              <w:t xml:space="preserve"> - </w:t>
            </w:r>
            <w:r w:rsidRPr="005D642E">
              <w:rPr>
                <w:rtl/>
              </w:rPr>
              <w:t>« ما</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ظ ، غ ، بث ، بس ، جس ، جن » والبحار : « عنه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الوافي</w:t>
      </w:r>
      <w:r w:rsidR="00E3253D" w:rsidRPr="005D642E">
        <w:rPr>
          <w:rtl/>
        </w:rPr>
        <w:t xml:space="preserve"> ، ج 25 ، ص 614 ، ح 24756 ؛ </w:t>
      </w:r>
      <w:r w:rsidR="00E3253D" w:rsidRPr="002F4D34">
        <w:rPr>
          <w:rStyle w:val="libFootnoteBoldChar"/>
          <w:rtl/>
        </w:rPr>
        <w:t>البحار</w:t>
      </w:r>
      <w:r w:rsidR="00E3253D" w:rsidRPr="005D642E">
        <w:rPr>
          <w:rtl/>
        </w:rPr>
        <w:t xml:space="preserve"> ، ج 6 ، ص 260 ، ح 98.</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A6AED">
        <w:rPr>
          <w:rtl/>
        </w:rPr>
        <w:t>4697</w:t>
      </w:r>
      <w:r w:rsidRPr="00246318">
        <w:rPr>
          <w:rStyle w:val="libBold2Char"/>
          <w:rtl/>
        </w:rPr>
        <w:t xml:space="preserve"> / 3.</w:t>
      </w:r>
      <w:r w:rsidRPr="005D642E">
        <w:rPr>
          <w:rtl/>
          <w:lang w:bidi="fa-IR"/>
        </w:rPr>
        <w:t xml:space="preserve"> أَبُو عَلِيٍّ الْأَشْعَرِيُّ ، عَنْ مُحَمَّدِ بْنِ عَبْدِ الْجَبَّارِ ، عَنْ مُحَمَّدِ بْنِ إِسْمَاعِيلَ ، عَنْ مَنْصُورِ بْنِ يُونُسَ ، عَنْ أَبِي بَكْرٍ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إِنَّمَا </w:t>
      </w:r>
      <w:r w:rsidRPr="007C12DB">
        <w:rPr>
          <w:rStyle w:val="libFootnotenumChar"/>
          <w:rtl/>
        </w:rPr>
        <w:t>(2)</w:t>
      </w:r>
      <w:r w:rsidRPr="005D642E">
        <w:rPr>
          <w:rtl/>
          <w:lang w:bidi="fa-IR"/>
        </w:rPr>
        <w:t xml:space="preserve"> يُسْأَلُ فِي قَبْرِهِ </w:t>
      </w:r>
      <w:r w:rsidRPr="007C12DB">
        <w:rPr>
          <w:rStyle w:val="libFootnotenumChar"/>
          <w:rtl/>
        </w:rPr>
        <w:t>(3)</w:t>
      </w:r>
      <w:r w:rsidRPr="005D642E">
        <w:rPr>
          <w:rtl/>
          <w:lang w:bidi="fa-IR"/>
        </w:rPr>
        <w:t xml:space="preserve"> مَنْ مَحَضَ الْإِيمَانَ مَحْضاً وَالْكُفْرَ </w:t>
      </w:r>
      <w:r w:rsidRPr="007C12DB">
        <w:rPr>
          <w:rStyle w:val="libFootnotenumChar"/>
          <w:rtl/>
        </w:rPr>
        <w:t>(4)</w:t>
      </w:r>
      <w:r w:rsidRPr="005D642E">
        <w:rPr>
          <w:rtl/>
          <w:lang w:bidi="fa-IR"/>
        </w:rPr>
        <w:t xml:space="preserve"> ، وَأَمَّا مَا سِوى ذلِكَ فَيُلْهى عَنْهُ </w:t>
      </w:r>
      <w:r w:rsidRPr="007C12DB">
        <w:rPr>
          <w:rStyle w:val="libFootnotenumChar"/>
          <w:rtl/>
        </w:rPr>
        <w:t>(5)</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2A6AED">
        <w:rPr>
          <w:rtl/>
        </w:rPr>
        <w:t>4698</w:t>
      </w:r>
      <w:r w:rsidRPr="00246318">
        <w:rPr>
          <w:rStyle w:val="libBold2Char"/>
          <w:rtl/>
        </w:rPr>
        <w:t xml:space="preserve"> / 4.</w:t>
      </w:r>
      <w:r w:rsidRPr="005D642E">
        <w:rPr>
          <w:rtl/>
          <w:lang w:bidi="fa-IR"/>
        </w:rPr>
        <w:t xml:space="preserve"> مُحَمَّدُ بْنُ يَحْيى ، عَنْ أَحْمَدَ بْنِ مُحَمَّدِ بْنِ عِيسى ، عَنِ الْحُسَيْنِ بْنِ سَعِيدٍ ، عَنِ النَّضْرِ بْنِ سُوَيْدٍ ، عَنْ يَحْيَى الْحَلَبِيِّ ، عَنْ بُرَيْدِ بْنِ مُعَاوِيَةَ ، عَنْ مُحَمَّدِ بْنِ مُسْلِمٍ ، قَالَ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ل</w:t>
      </w:r>
      <w:r w:rsidR="001E101E">
        <w:rPr>
          <w:rtl/>
          <w:lang w:bidi="fa-IR"/>
        </w:rPr>
        <w:t>َا يُسْأَلُ فِي الْقَبْرِ إِل</w:t>
      </w:r>
      <w:r w:rsidR="001E101E">
        <w:rPr>
          <w:rFonts w:hint="cs"/>
          <w:rtl/>
          <w:lang w:bidi="fa-IR"/>
        </w:rPr>
        <w:t>َّ</w:t>
      </w:r>
      <w:r w:rsidR="001E101E">
        <w:rPr>
          <w:rtl/>
          <w:lang w:bidi="fa-IR"/>
        </w:rPr>
        <w:t>ا</w:t>
      </w:r>
      <w:r w:rsidRPr="005D642E">
        <w:rPr>
          <w:rtl/>
          <w:lang w:bidi="fa-IR"/>
        </w:rPr>
        <w:t xml:space="preserve"> مَنْ مَحَضَ الْإِيمَانَ مَحْضاً ، أَوْ مَحَضَ الْكُفْرَ مَحْضاً</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2A6AED">
        <w:rPr>
          <w:rtl/>
        </w:rPr>
        <w:t>4699</w:t>
      </w:r>
      <w:r w:rsidRPr="00246318">
        <w:rPr>
          <w:rStyle w:val="libBold2Char"/>
          <w:rtl/>
        </w:rPr>
        <w:t xml:space="preserve"> / 5.</w:t>
      </w:r>
      <w:r w:rsidRPr="005D642E">
        <w:rPr>
          <w:rtl/>
          <w:lang w:bidi="fa-IR"/>
        </w:rPr>
        <w:t xml:space="preserve"> عَنْهُ ، عَنْ أَحْمَدَ بْنِ مُحَمَّدٍ ، عَنِ الْحُسَيْنِ ، عَنِ النَّضْرِ بْنِ سُوَيْدٍ ، عَنْ يَحْيَى الْحَلَبِيِّ ، عَنْ هَارُونَ بْنِ خَارِجَةَ ، عَنْ أَبِي بَصِيرٍ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ظ ، ى ، بح ، بخ ، بس ، بف ، جح ، جس ، جن » والمطبوع والبحار : « ابن بكير</w:t>
      </w:r>
      <w:r w:rsidR="00E3253D">
        <w:rPr>
          <w:rtl/>
        </w:rPr>
        <w:t xml:space="preserve"> ».</w:t>
      </w:r>
      <w:r w:rsidR="00E3253D" w:rsidRPr="005D642E">
        <w:rPr>
          <w:rtl/>
        </w:rPr>
        <w:t xml:space="preserve"> وفي « غ » : « ابن بكر » بعد تصحيحه من « أبي بكر</w:t>
      </w:r>
      <w:r w:rsidR="00E3253D">
        <w:rPr>
          <w:rtl/>
        </w:rPr>
        <w:t xml:space="preserve"> ».</w:t>
      </w:r>
      <w:r w:rsidR="00E3253D" w:rsidRPr="005D642E">
        <w:rPr>
          <w:rtl/>
        </w:rPr>
        <w:t xml:space="preserve"> وفي « بث » : « أبي بكير</w:t>
      </w:r>
      <w:r w:rsidR="00E3253D">
        <w:rPr>
          <w:rtl/>
        </w:rPr>
        <w:t xml:space="preserve"> ».</w:t>
      </w:r>
    </w:p>
    <w:p w:rsidR="00E3253D" w:rsidRPr="005D642E" w:rsidRDefault="00E3253D" w:rsidP="00E3253D">
      <w:pPr>
        <w:pStyle w:val="libFootnote0"/>
        <w:rPr>
          <w:rtl/>
          <w:lang w:bidi="fa-IR"/>
        </w:rPr>
      </w:pPr>
      <w:r w:rsidRPr="00B60612">
        <w:rPr>
          <w:rtl/>
        </w:rPr>
        <w:t xml:space="preserve">والصواب ما أثبتناه جمعاً بين ما ورد في « غ » وما ورد في « بث ». والمراد من أبي بكر ، هو أبوبكر الحضرمي الذي روى منصور بن يونس عنه عن أبي جعفر </w:t>
      </w:r>
      <w:r w:rsidRPr="001E101E">
        <w:rPr>
          <w:rStyle w:val="libFootnoteAlaemChar"/>
          <w:rtl/>
        </w:rPr>
        <w:t>عليه‌السلام</w:t>
      </w:r>
      <w:r w:rsidRPr="00B60612">
        <w:rPr>
          <w:rtl/>
        </w:rPr>
        <w:t xml:space="preserve"> في بعض الأسناد ، كما </w:t>
      </w:r>
      <w:r w:rsidR="007642BC" w:rsidRPr="00B60612">
        <w:rPr>
          <w:rtl/>
        </w:rPr>
        <w:t>-</w:t>
      </w:r>
      <w:r w:rsidRPr="00B60612">
        <w:rPr>
          <w:rtl/>
        </w:rPr>
        <w:t xml:space="preserve"> على سبيل المثال </w:t>
      </w:r>
      <w:r w:rsidR="007642BC" w:rsidRPr="00B60612">
        <w:rPr>
          <w:rtl/>
        </w:rPr>
        <w:t>-</w:t>
      </w:r>
      <w:r w:rsidRPr="00B60612">
        <w:rPr>
          <w:rtl/>
        </w:rPr>
        <w:t xml:space="preserve"> في </w:t>
      </w:r>
      <w:r w:rsidRPr="002F4D34">
        <w:rPr>
          <w:rStyle w:val="libFootnoteBoldChar"/>
          <w:rtl/>
        </w:rPr>
        <w:t>الكافي</w:t>
      </w:r>
      <w:r w:rsidRPr="00B60612">
        <w:rPr>
          <w:rtl/>
        </w:rPr>
        <w:t xml:space="preserve"> ، ح 552 و 770 و 5206 ؛ </w:t>
      </w:r>
      <w:r w:rsidRPr="001E101E">
        <w:rPr>
          <w:rStyle w:val="libFootnoteBoldChar"/>
          <w:rtl/>
        </w:rPr>
        <w:t>و</w:t>
      </w:r>
      <w:r w:rsidRPr="002F4D34">
        <w:rPr>
          <w:rStyle w:val="libFootnoteBoldChar"/>
          <w:rtl/>
        </w:rPr>
        <w:t xml:space="preserve">بصائر الدرجات </w:t>
      </w:r>
      <w:r w:rsidRPr="00B60612">
        <w:rPr>
          <w:rtl/>
        </w:rPr>
        <w:t xml:space="preserve">، ص 38 ، ح 1 ؛ وص 307 ، ح 2 ؛ </w:t>
      </w:r>
      <w:r w:rsidR="009E68BB" w:rsidRPr="009E68BB">
        <w:rPr>
          <w:rStyle w:val="libFootnoteBoldChar"/>
          <w:rtl/>
        </w:rPr>
        <w:t>والخصال</w:t>
      </w:r>
      <w:r w:rsidRPr="00B60612">
        <w:rPr>
          <w:rtl/>
        </w:rPr>
        <w:t xml:space="preserve"> ، ص 648 ، ح 41.</w:t>
      </w:r>
    </w:p>
    <w:p w:rsidR="00E3253D" w:rsidRPr="005D642E" w:rsidRDefault="00E3253D" w:rsidP="00E3253D">
      <w:pPr>
        <w:pStyle w:val="libFootnote0"/>
        <w:rPr>
          <w:rtl/>
          <w:lang w:bidi="fa-IR"/>
        </w:rPr>
      </w:pPr>
      <w:r w:rsidRPr="00B60612">
        <w:rPr>
          <w:rtl/>
        </w:rPr>
        <w:t xml:space="preserve">وأمّا رواية منصور بن يونس ، عن ابن بكير </w:t>
      </w:r>
      <w:r w:rsidR="007642BC" w:rsidRPr="00B60612">
        <w:rPr>
          <w:rtl/>
        </w:rPr>
        <w:t>-</w:t>
      </w:r>
      <w:r w:rsidRPr="00B60612">
        <w:rPr>
          <w:rtl/>
        </w:rPr>
        <w:t xml:space="preserve"> والمراد منه في الأسناد هو عبدالله بن بكير </w:t>
      </w:r>
      <w:r w:rsidR="007642BC" w:rsidRPr="00B60612">
        <w:rPr>
          <w:rtl/>
        </w:rPr>
        <w:t>-</w:t>
      </w:r>
      <w:r w:rsidRPr="00B60612">
        <w:rPr>
          <w:rtl/>
        </w:rPr>
        <w:t xml:space="preserve"> فلم نجده في موضع ، كما أنّ رواية ابن بكير الذي عُدَّ من فقهاء أصحاب أبي عبدالله </w:t>
      </w:r>
      <w:r w:rsidRPr="001E101E">
        <w:rPr>
          <w:rStyle w:val="libFootnoteAlaemChar"/>
          <w:rtl/>
        </w:rPr>
        <w:t>عليه‌السلام</w:t>
      </w:r>
      <w:r w:rsidRPr="00B60612">
        <w:rPr>
          <w:rtl/>
        </w:rPr>
        <w:t xml:space="preserve"> ، وكان من أحداث أصحابه </w:t>
      </w:r>
      <w:r w:rsidRPr="001E101E">
        <w:rPr>
          <w:rStyle w:val="libFootnoteAlaemChar"/>
          <w:rtl/>
        </w:rPr>
        <w:t>عليه‌السلام</w:t>
      </w:r>
      <w:r w:rsidRPr="00B60612">
        <w:rPr>
          <w:rtl/>
        </w:rPr>
        <w:t xml:space="preserve"> ، عن أبي جعفر </w:t>
      </w:r>
      <w:r w:rsidRPr="001E101E">
        <w:rPr>
          <w:rStyle w:val="libFootnoteAlaemChar"/>
          <w:rtl/>
        </w:rPr>
        <w:t>عليه‌السلام</w:t>
      </w:r>
      <w:r w:rsidRPr="00B60612">
        <w:rPr>
          <w:rtl/>
        </w:rPr>
        <w:t xml:space="preserve"> لايخلو من خللٍ. راجع : </w:t>
      </w:r>
      <w:r w:rsidRPr="002F4D34">
        <w:rPr>
          <w:rStyle w:val="libFootnoteBoldChar"/>
          <w:rtl/>
        </w:rPr>
        <w:t>رجال الكشّي</w:t>
      </w:r>
      <w:r w:rsidRPr="00B60612">
        <w:rPr>
          <w:rtl/>
        </w:rPr>
        <w:t xml:space="preserve"> ، ص 375 ، الرقم 705.</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لا » بدل « قال : إنّما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1E101E">
        <w:rPr>
          <w:rtl/>
        </w:rPr>
        <w:t xml:space="preserve"> في « بخ » : « في القبر إل</w:t>
      </w:r>
      <w:r w:rsidR="001E101E">
        <w:rPr>
          <w:rFonts w:hint="cs"/>
          <w:rtl/>
        </w:rPr>
        <w:t>ّ</w:t>
      </w:r>
      <w:r w:rsidR="001E101E">
        <w:rPr>
          <w:rtl/>
        </w:rPr>
        <w:t>ا</w:t>
      </w:r>
      <w:r w:rsidR="00E3253D" w:rsidRPr="005D642E">
        <w:rPr>
          <w:rtl/>
        </w:rPr>
        <w:t xml:space="preserve"> » بدل « في قبره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هكذا في معظم النسخ التي </w:t>
      </w:r>
      <w:r w:rsidR="00E3253D" w:rsidRPr="001E101E">
        <w:rPr>
          <w:rtl/>
        </w:rPr>
        <w:t xml:space="preserve">قوبلت </w:t>
      </w:r>
      <w:r w:rsidR="000D749A" w:rsidRPr="001E101E">
        <w:rPr>
          <w:rtl/>
        </w:rPr>
        <w:t>والوافي</w:t>
      </w:r>
      <w:r w:rsidR="00E3253D" w:rsidRPr="001E101E">
        <w:rPr>
          <w:rtl/>
        </w:rPr>
        <w:t>.</w:t>
      </w:r>
      <w:r w:rsidR="00E3253D" w:rsidRPr="005D642E">
        <w:rPr>
          <w:rtl/>
        </w:rPr>
        <w:t xml:space="preserve"> وفي المطبوع : + « محضاً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بس ، جح ، جس ، جن » وحاشية « ظ » : « عنهم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25 ، ص 614 ، ح 24757 ؛ </w:t>
      </w:r>
      <w:r w:rsidR="00E3253D" w:rsidRPr="002F4D34">
        <w:rPr>
          <w:rStyle w:val="libFootnoteBoldChar"/>
          <w:rtl/>
        </w:rPr>
        <w:t>البحار</w:t>
      </w:r>
      <w:r w:rsidR="00E3253D" w:rsidRPr="005D642E">
        <w:rPr>
          <w:rtl/>
        </w:rPr>
        <w:t xml:space="preserve"> ، ج 6 ، ص 260 ، ح 99.</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هكذا في معظم النسخ التي قوبلت والبحار. وفي « بخ » والمطبوع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25 ، ص 614 ، ح 24758 ؛ </w:t>
      </w:r>
      <w:r w:rsidR="00E3253D" w:rsidRPr="002F4D34">
        <w:rPr>
          <w:rStyle w:val="libFootnoteBoldChar"/>
          <w:rtl/>
        </w:rPr>
        <w:t>البحار</w:t>
      </w:r>
      <w:r w:rsidR="00E3253D" w:rsidRPr="005D642E">
        <w:rPr>
          <w:rtl/>
        </w:rPr>
        <w:t xml:space="preserve"> ، ج 6 ، ص 260 ، ح 100.</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يُسْأَلُ وَهُوَ مَضْغُوطٌ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p>
    <w:p w:rsidR="00E3253D" w:rsidRPr="005D642E" w:rsidRDefault="00E3253D" w:rsidP="00E3253D">
      <w:pPr>
        <w:pStyle w:val="libNormal"/>
        <w:rPr>
          <w:rtl/>
          <w:lang w:bidi="fa-IR"/>
        </w:rPr>
      </w:pPr>
      <w:r w:rsidRPr="002A6AED">
        <w:rPr>
          <w:rtl/>
        </w:rPr>
        <w:t>4700</w:t>
      </w:r>
      <w:r w:rsidRPr="00246318">
        <w:rPr>
          <w:rStyle w:val="libBold2Char"/>
          <w:rtl/>
        </w:rPr>
        <w:t xml:space="preserve"> / 6.</w:t>
      </w:r>
      <w:r w:rsidRPr="005D642E">
        <w:rPr>
          <w:rtl/>
          <w:lang w:bidi="fa-IR"/>
        </w:rPr>
        <w:t xml:space="preserve"> عِدَّةٌ مِنْ أَصْحَابِنَا ، عَنْ أَحْمَدَ بْنِ مُحَمَّدِ بْنِ خَالِدٍ ، عَنْ عُثْمَانَ بْنِ عِيسى ، عَنْ عَلِيِّ بْنِ أَبِي حَمْزَةَ ، عَنْ أَبِي بَصِيرٍ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Pr>
          <w:rtl/>
          <w:lang w:bidi="fa-IR"/>
        </w:rPr>
        <w:t xml:space="preserve"> : أَ</w:t>
      </w:r>
      <w:r w:rsidRPr="005D642E">
        <w:rPr>
          <w:rtl/>
          <w:lang w:bidi="fa-IR"/>
        </w:rPr>
        <w:t xml:space="preserve">يُفْلِتُ </w:t>
      </w:r>
      <w:r w:rsidRPr="007C12DB">
        <w:rPr>
          <w:rStyle w:val="libFootnotenumChar"/>
          <w:rtl/>
        </w:rPr>
        <w:t>(3)</w:t>
      </w:r>
      <w:r w:rsidRPr="005D642E">
        <w:rPr>
          <w:rtl/>
          <w:lang w:bidi="fa-IR"/>
        </w:rPr>
        <w:t xml:space="preserve"> مِنْ ضَغْطَةِ الْقَبْرِ أَحَدٌ</w:t>
      </w:r>
      <w:r>
        <w:rPr>
          <w:rtl/>
          <w:lang w:bidi="fa-IR"/>
        </w:rPr>
        <w:t>؟</w:t>
      </w:r>
    </w:p>
    <w:p w:rsidR="00E3253D" w:rsidRPr="005D642E" w:rsidRDefault="00E3253D" w:rsidP="00E3253D">
      <w:pPr>
        <w:pStyle w:val="libNormal"/>
        <w:rPr>
          <w:rtl/>
          <w:lang w:bidi="fa-IR"/>
        </w:rPr>
      </w:pPr>
      <w:r w:rsidRPr="005D642E">
        <w:rPr>
          <w:rtl/>
          <w:lang w:bidi="fa-IR"/>
        </w:rPr>
        <w:t xml:space="preserve">قَالَ : فَقَالَ : « نَعُوذُ بِاللهِ مِنْهَا </w:t>
      </w:r>
      <w:r w:rsidRPr="007C12DB">
        <w:rPr>
          <w:rStyle w:val="libFootnotenumChar"/>
          <w:rtl/>
        </w:rPr>
        <w:t>(4)</w:t>
      </w:r>
      <w:r w:rsidRPr="005D642E">
        <w:rPr>
          <w:rtl/>
          <w:lang w:bidi="fa-IR"/>
        </w:rPr>
        <w:t xml:space="preserve"> ، مَا أَقَلَّ مَنْ يُفْلِتُ </w:t>
      </w:r>
      <w:r w:rsidRPr="007C12DB">
        <w:rPr>
          <w:rStyle w:val="libFootnotenumChar"/>
          <w:rtl/>
        </w:rPr>
        <w:t>(5)</w:t>
      </w:r>
      <w:r w:rsidRPr="005D642E">
        <w:rPr>
          <w:rtl/>
          <w:lang w:bidi="fa-IR"/>
        </w:rPr>
        <w:t xml:space="preserve"> مِنْ ضَغْطَةِ الْقَبْرِ ، إِنَّ رُقَيَّةَ لَمَّا قَتَلَهَا عُثْمَانُ ، وَقَفَ رَسُولُ اللهِ </w:t>
      </w:r>
      <w:r w:rsidR="0042621E" w:rsidRPr="0042621E">
        <w:rPr>
          <w:rStyle w:val="libAlaemChar"/>
          <w:rtl/>
        </w:rPr>
        <w:t>صلى‌الله‌عليه‌وآله</w:t>
      </w:r>
      <w:r w:rsidRPr="005D642E">
        <w:rPr>
          <w:rtl/>
          <w:lang w:bidi="fa-IR"/>
        </w:rPr>
        <w:t xml:space="preserve"> عَلى قَبْرِهَا ، فَرَفَعَ رَأْسَهُ إِلَى السَّمَاءِ ، فَدَمَعَتْ عَيْنَاهُ ، وَقَالَ لِلنَّاسِ : إِنِّي </w:t>
      </w:r>
      <w:r w:rsidRPr="007C12DB">
        <w:rPr>
          <w:rStyle w:val="libFootnotenumChar"/>
          <w:rtl/>
        </w:rPr>
        <w:t>(6)</w:t>
      </w:r>
      <w:r w:rsidRPr="005D642E">
        <w:rPr>
          <w:rtl/>
          <w:lang w:bidi="fa-IR"/>
        </w:rPr>
        <w:t xml:space="preserve"> ذَكَرْتُ هذِهِ وَمَا لَقِيَتْ ، فَرَقَقْتُ </w:t>
      </w:r>
      <w:r w:rsidRPr="007C12DB">
        <w:rPr>
          <w:rStyle w:val="libFootnotenumChar"/>
          <w:rtl/>
        </w:rPr>
        <w:t>(7)</w:t>
      </w:r>
      <w:r w:rsidRPr="005D642E">
        <w:rPr>
          <w:rtl/>
          <w:lang w:bidi="fa-IR"/>
        </w:rPr>
        <w:t xml:space="preserve"> لَهَا وَاسْتَوْهَبْتُهَا </w:t>
      </w:r>
      <w:r w:rsidRPr="007C12DB">
        <w:rPr>
          <w:rStyle w:val="libFootnotenumChar"/>
          <w:rtl/>
        </w:rPr>
        <w:t>(8)</w:t>
      </w:r>
      <w:r w:rsidRPr="005D642E">
        <w:rPr>
          <w:rtl/>
          <w:lang w:bidi="fa-IR"/>
        </w:rPr>
        <w:t xml:space="preserve"> مِنْ ضَمَّةِ </w:t>
      </w:r>
      <w:r w:rsidRPr="007C12DB">
        <w:rPr>
          <w:rStyle w:val="libFootnotenumChar"/>
          <w:rtl/>
        </w:rPr>
        <w:t>(9)</w:t>
      </w:r>
      <w:r w:rsidRPr="005D642E">
        <w:rPr>
          <w:rtl/>
          <w:lang w:bidi="fa-IR"/>
        </w:rPr>
        <w:t xml:space="preserve"> الْقَبْرِ » قَالَ : « فَقَالَ : الل</w:t>
      </w:r>
      <w:r w:rsidR="001E101E">
        <w:rPr>
          <w:rFonts w:hint="cs"/>
          <w:rtl/>
          <w:lang w:bidi="fa-IR"/>
        </w:rPr>
        <w:t>َّ</w:t>
      </w:r>
      <w:r w:rsidRPr="005D642E">
        <w:rPr>
          <w:rtl/>
          <w:lang w:bidi="fa-IR"/>
        </w:rPr>
        <w:t xml:space="preserve">هُمَّ ، هَبْ لِي رُقَيَّةَ مِنْ ضَمَّةِ </w:t>
      </w:r>
      <w:r w:rsidRPr="007C12DB">
        <w:rPr>
          <w:rStyle w:val="libFootnotenumChar"/>
          <w:rtl/>
        </w:rPr>
        <w:t>(10)</w:t>
      </w:r>
      <w:r w:rsidRPr="005D642E">
        <w:rPr>
          <w:rtl/>
          <w:lang w:bidi="fa-IR"/>
        </w:rPr>
        <w:t xml:space="preserve"> الْقَبْرِ ، فَوَهَبَهَا اللهُ لَهُ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وَإِنَّ رَسُولَ اللهِ </w:t>
      </w:r>
      <w:r w:rsidR="0042621E" w:rsidRPr="0042621E">
        <w:rPr>
          <w:rStyle w:val="libAlaemChar"/>
          <w:rtl/>
        </w:rPr>
        <w:t>صلى‌الله‌عليه‌وآله</w:t>
      </w:r>
      <w:r w:rsidRPr="005D642E">
        <w:rPr>
          <w:rtl/>
          <w:lang w:bidi="fa-IR"/>
        </w:rPr>
        <w:t xml:space="preserve"> خَرَجَ فِي جِنَازَةِ سَعْدٍ وَقَدْ شَيَّعَهُ سَبْعُونَ أَلْفَ مَلَكٍ ، فَرَفَعَ رَسُولُ اللهِ </w:t>
      </w:r>
      <w:r w:rsidR="0042621E" w:rsidRPr="0042621E">
        <w:rPr>
          <w:rStyle w:val="libAlaemChar"/>
          <w:rtl/>
        </w:rPr>
        <w:t>صلى‌الله‌عليه‌وآله</w:t>
      </w:r>
      <w:r w:rsidRPr="005D642E">
        <w:rPr>
          <w:rtl/>
          <w:lang w:bidi="fa-IR"/>
        </w:rPr>
        <w:t xml:space="preserve"> رَأْسَهُ إِلَى السَّمَاءِ ثُمَّ قَالَ : مِثْلُ سَعْدٍ يُضَمُّ</w:t>
      </w:r>
      <w:r>
        <w:rPr>
          <w:rtl/>
          <w:lang w:bidi="fa-IR"/>
        </w:rPr>
        <w:t>؟ ».</w:t>
      </w:r>
    </w:p>
    <w:p w:rsidR="00E3253D" w:rsidRPr="005D642E" w:rsidRDefault="00E3253D" w:rsidP="00E3253D">
      <w:pPr>
        <w:pStyle w:val="libNormal"/>
        <w:rPr>
          <w:rtl/>
          <w:lang w:bidi="fa-IR"/>
        </w:rPr>
      </w:pPr>
      <w:r w:rsidRPr="005D642E">
        <w:rPr>
          <w:rtl/>
          <w:lang w:bidi="fa-IR"/>
        </w:rPr>
        <w:t>قَالَ : قُلْتُ : جُعِلْتُ فِدَاكَ ، إِنَّا نُحَدِّثُ أَنَّهُ كَانَ يَسْتَخِفُّ بِالْبَوْلِ</w:t>
      </w:r>
      <w:r>
        <w:rPr>
          <w:rtl/>
          <w:lang w:bidi="fa-IR"/>
        </w:rPr>
        <w:t>؟</w:t>
      </w:r>
    </w:p>
    <w:p w:rsidR="00E3253D" w:rsidRPr="005D642E" w:rsidRDefault="00E3253D" w:rsidP="00E3253D">
      <w:pPr>
        <w:pStyle w:val="libNormal"/>
        <w:rPr>
          <w:rtl/>
          <w:lang w:bidi="fa-IR"/>
        </w:rPr>
      </w:pPr>
      <w:r w:rsidRPr="005D642E">
        <w:rPr>
          <w:rtl/>
          <w:lang w:bidi="fa-IR"/>
        </w:rPr>
        <w:t>فَقَالَ : « مَعَاذَ اللهِ ، إِنَّمَا كَانَ مِنْ زَعَارَّةٍ فِي خُلُقِهِ عَلى أَهْلِهِ » قَالَ : « فَقَالَتْ أُمُّ سَعْدٍ :</w:t>
      </w:r>
      <w:r>
        <w:rPr>
          <w:rFonts w:hint="cs"/>
          <w:rtl/>
          <w:lang w:bidi="fa-IR"/>
        </w:rPr>
        <w:t xml:space="preserve"> </w:t>
      </w:r>
      <w:r w:rsidRPr="005D642E">
        <w:rPr>
          <w:rtl/>
          <w:lang w:bidi="fa-IR"/>
        </w:rPr>
        <w:t xml:space="preserve">هَنِيئاً لَكَ يَا سَعْدُ » قَالَ : « فَقَالَ لَهَا رَسُولُ اللهِ </w:t>
      </w:r>
      <w:r w:rsidR="0042621E" w:rsidRPr="0042621E">
        <w:rPr>
          <w:rStyle w:val="libAlaemChar"/>
          <w:rtl/>
        </w:rPr>
        <w:t>صلى‌الله‌عليه‌وآله</w:t>
      </w:r>
      <w:r w:rsidRPr="005D642E">
        <w:rPr>
          <w:rtl/>
          <w:lang w:bidi="fa-IR"/>
        </w:rPr>
        <w:t xml:space="preserve"> يَا أُمَّ سَعْدٍ ، لَاتَحْتِمِي عَلَى اللهِ</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المضغوط » : المزاحم ، يقال : ضغطه ضغطاً ، إذا عصره وضَيّق عليه وقهره. </w:t>
      </w:r>
      <w:r w:rsidR="00E3253D" w:rsidRPr="002F4D34">
        <w:rPr>
          <w:rStyle w:val="libFootnoteBoldChar"/>
          <w:rtl/>
        </w:rPr>
        <w:t>النهاية</w:t>
      </w:r>
      <w:r w:rsidR="001E101E">
        <w:rPr>
          <w:rtl/>
        </w:rPr>
        <w:t xml:space="preserve"> ، ج 3 ، ص 90(ضغط</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623 ، ح 24767 ؛ </w:t>
      </w:r>
      <w:r w:rsidR="00E3253D" w:rsidRPr="002F4D34">
        <w:rPr>
          <w:rStyle w:val="libFootnoteBoldChar"/>
          <w:rtl/>
        </w:rPr>
        <w:t>البحار</w:t>
      </w:r>
      <w:r w:rsidR="00E3253D" w:rsidRPr="005D642E">
        <w:rPr>
          <w:rtl/>
        </w:rPr>
        <w:t xml:space="preserve"> ، ج 6 ، ص 260 ، ح 101.</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الإفلات : التخلّص من الشي‌ء فجأة من غير تمكّث. راجع : </w:t>
      </w:r>
      <w:r w:rsidR="00E3253D" w:rsidRPr="002F4D34">
        <w:rPr>
          <w:rStyle w:val="libFootnoteBoldChar"/>
          <w:rtl/>
        </w:rPr>
        <w:t>النهاية</w:t>
      </w:r>
      <w:r w:rsidR="00E3253D" w:rsidRPr="005D642E">
        <w:rPr>
          <w:rtl/>
        </w:rPr>
        <w:t xml:space="preserve"> ، ج 3 ، ص 467 ( فلت )</w:t>
      </w:r>
      <w:r w:rsidR="00E3253D">
        <w:rPr>
          <w:rtl/>
        </w:rPr>
        <w:t>.</w:t>
      </w:r>
    </w:p>
    <w:tbl>
      <w:tblPr>
        <w:tblStyle w:val="TableGrid"/>
        <w:bidiVisual/>
        <w:tblW w:w="0" w:type="auto"/>
        <w:tblLook w:val="04A0" w:firstRow="1" w:lastRow="0" w:firstColumn="1" w:lastColumn="0" w:noHBand="0" w:noVBand="1"/>
      </w:tblPr>
      <w:tblGrid>
        <w:gridCol w:w="4006"/>
        <w:gridCol w:w="4006"/>
      </w:tblGrid>
      <w:tr w:rsidR="001E101E" w:rsidTr="001E101E">
        <w:tc>
          <w:tcPr>
            <w:tcW w:w="4006" w:type="dxa"/>
          </w:tcPr>
          <w:p w:rsidR="001E101E" w:rsidRDefault="001E101E" w:rsidP="00E3253D">
            <w:pPr>
              <w:pStyle w:val="libFootnote0"/>
              <w:rPr>
                <w:rStyle w:val="libFootnote0Char"/>
                <w:rtl/>
              </w:rPr>
            </w:pPr>
            <w:r w:rsidRPr="0042621E">
              <w:rPr>
                <w:rStyle w:val="libFootnote0Char"/>
                <w:rtl/>
              </w:rPr>
              <w:t>(4).</w:t>
            </w:r>
            <w:r w:rsidRPr="005D642E">
              <w:rPr>
                <w:rtl/>
              </w:rPr>
              <w:t xml:space="preserve"> في البحار ، ج 22 ، ص 163 :</w:t>
            </w:r>
            <w:r>
              <w:rPr>
                <w:rtl/>
              </w:rPr>
              <w:t xml:space="preserve"> - </w:t>
            </w:r>
            <w:r w:rsidRPr="005D642E">
              <w:rPr>
                <w:rtl/>
              </w:rPr>
              <w:t>« منها</w:t>
            </w:r>
            <w:r>
              <w:rPr>
                <w:rtl/>
              </w:rPr>
              <w:t xml:space="preserve"> ».</w:t>
            </w:r>
          </w:p>
        </w:tc>
        <w:tc>
          <w:tcPr>
            <w:tcW w:w="4006" w:type="dxa"/>
          </w:tcPr>
          <w:p w:rsidR="001E101E" w:rsidRDefault="001E101E" w:rsidP="00E3253D">
            <w:pPr>
              <w:pStyle w:val="libFootnote0"/>
              <w:rPr>
                <w:rStyle w:val="libFootnote0Char"/>
                <w:rtl/>
              </w:rPr>
            </w:pPr>
            <w:r w:rsidRPr="0042621E">
              <w:rPr>
                <w:rStyle w:val="libFootnote0Char"/>
                <w:rtl/>
              </w:rPr>
              <w:t>(5).</w:t>
            </w:r>
            <w:r w:rsidRPr="005D642E">
              <w:rPr>
                <w:rtl/>
              </w:rPr>
              <w:t xml:space="preserve"> في « بث » : « ما يفلت</w:t>
            </w:r>
            <w:r>
              <w:rPr>
                <w:rtl/>
              </w:rPr>
              <w:t xml:space="preserve"> ».</w:t>
            </w:r>
          </w:p>
        </w:tc>
      </w:tr>
      <w:tr w:rsidR="001E101E" w:rsidTr="001E101E">
        <w:tc>
          <w:tcPr>
            <w:tcW w:w="4006" w:type="dxa"/>
          </w:tcPr>
          <w:p w:rsidR="001E101E" w:rsidRDefault="001E101E" w:rsidP="00E3253D">
            <w:pPr>
              <w:pStyle w:val="libFootnote0"/>
              <w:rPr>
                <w:rStyle w:val="libFootnote0Char"/>
                <w:rtl/>
              </w:rPr>
            </w:pPr>
            <w:r w:rsidRPr="0042621E">
              <w:rPr>
                <w:rStyle w:val="libFootnote0Char"/>
                <w:rtl/>
              </w:rPr>
              <w:t>(6).</w:t>
            </w:r>
            <w:r>
              <w:rPr>
                <w:rtl/>
              </w:rPr>
              <w:t xml:space="preserve"> في «ظ،ى،بس،</w:t>
            </w:r>
            <w:r w:rsidRPr="005D642E">
              <w:rPr>
                <w:rtl/>
              </w:rPr>
              <w:t>جح</w:t>
            </w:r>
            <w:r>
              <w:rPr>
                <w:rtl/>
              </w:rPr>
              <w:t>،جس،جن»</w:t>
            </w:r>
            <w:r w:rsidRPr="005D642E">
              <w:rPr>
                <w:rtl/>
              </w:rPr>
              <w:t>:</w:t>
            </w:r>
            <w:r>
              <w:rPr>
                <w:rtl/>
              </w:rPr>
              <w:t>-</w:t>
            </w:r>
            <w:r w:rsidRPr="005D642E">
              <w:rPr>
                <w:rtl/>
              </w:rPr>
              <w:t>« إنّي</w:t>
            </w:r>
            <w:r>
              <w:rPr>
                <w:rtl/>
              </w:rPr>
              <w:t xml:space="preserve"> ».</w:t>
            </w:r>
          </w:p>
        </w:tc>
        <w:tc>
          <w:tcPr>
            <w:tcW w:w="4006" w:type="dxa"/>
          </w:tcPr>
          <w:p w:rsidR="001E101E" w:rsidRDefault="001E101E" w:rsidP="00E3253D">
            <w:pPr>
              <w:pStyle w:val="libFootnote0"/>
              <w:rPr>
                <w:rStyle w:val="libFootnote0Char"/>
                <w:rtl/>
              </w:rPr>
            </w:pPr>
            <w:r w:rsidRPr="0042621E">
              <w:rPr>
                <w:rStyle w:val="libFootnote0Char"/>
                <w:rtl/>
              </w:rPr>
              <w:t>(7).</w:t>
            </w:r>
            <w:r w:rsidRPr="005D642E">
              <w:rPr>
                <w:rtl/>
              </w:rPr>
              <w:t xml:space="preserve"> في « جس » : « فوقفت</w:t>
            </w:r>
            <w:r>
              <w:rPr>
                <w:rtl/>
              </w:rPr>
              <w:t xml:space="preserve"> ».</w:t>
            </w:r>
          </w:p>
        </w:tc>
      </w:tr>
      <w:tr w:rsidR="001E101E" w:rsidTr="001E101E">
        <w:tc>
          <w:tcPr>
            <w:tcW w:w="4006" w:type="dxa"/>
          </w:tcPr>
          <w:p w:rsidR="001E101E" w:rsidRDefault="001E101E" w:rsidP="00E3253D">
            <w:pPr>
              <w:pStyle w:val="libFootnote0"/>
              <w:rPr>
                <w:rStyle w:val="libFootnote0Char"/>
                <w:rtl/>
              </w:rPr>
            </w:pPr>
            <w:r w:rsidRPr="0042621E">
              <w:rPr>
                <w:rStyle w:val="libFootnote0Char"/>
                <w:rtl/>
              </w:rPr>
              <w:t>(8).</w:t>
            </w:r>
            <w:r w:rsidRPr="005D642E">
              <w:rPr>
                <w:rtl/>
              </w:rPr>
              <w:t xml:space="preserve"> في « بخ » : « فاستوهبتها</w:t>
            </w:r>
            <w:r>
              <w:rPr>
                <w:rtl/>
              </w:rPr>
              <w:t xml:space="preserve"> ».</w:t>
            </w:r>
          </w:p>
        </w:tc>
        <w:tc>
          <w:tcPr>
            <w:tcW w:w="4006" w:type="dxa"/>
          </w:tcPr>
          <w:p w:rsidR="001E101E" w:rsidRDefault="001E101E" w:rsidP="00E3253D">
            <w:pPr>
              <w:pStyle w:val="libFootnote0"/>
              <w:rPr>
                <w:rStyle w:val="libFootnote0Char"/>
                <w:rtl/>
              </w:rPr>
            </w:pPr>
            <w:r w:rsidRPr="0042621E">
              <w:rPr>
                <w:rStyle w:val="libFootnote0Char"/>
                <w:rtl/>
              </w:rPr>
              <w:t>(9).</w:t>
            </w:r>
            <w:r w:rsidRPr="005D642E">
              <w:rPr>
                <w:rtl/>
              </w:rPr>
              <w:t xml:space="preserve"> في « جن » والبحار ، ج 6 : « من ضغطة</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جن » والبحار ، ج 6 : « من ضغطة</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الزهد</w:t>
      </w:r>
      <w:r w:rsidR="00E3253D" w:rsidRPr="005D642E">
        <w:rPr>
          <w:rtl/>
        </w:rPr>
        <w:t xml:space="preserve"> ، ص 161 ، ح 237 ، عن القاسم وعثمان بن عيسى ، عن عليّ ، عن أبي بصير ، عن أبي عبدالله </w:t>
      </w:r>
      <w:r w:rsidR="00E3253D" w:rsidRPr="001E101E">
        <w:rPr>
          <w:rStyle w:val="libFootnoteAlaemChar"/>
          <w:rtl/>
        </w:rPr>
        <w:t>عليه‌السلام</w:t>
      </w:r>
      <w:r w:rsidR="00E3253D" w:rsidRPr="005D642E">
        <w:rPr>
          <w:rtl/>
        </w:rPr>
        <w:t xml:space="preserve"> ، من قوله : « إنّ رسول الله </w:t>
      </w:r>
      <w:r w:rsidRPr="001E101E">
        <w:rPr>
          <w:rStyle w:val="libFootnoteAlaemChar"/>
          <w:rtl/>
        </w:rPr>
        <w:t>صلى‌الله‌عليه‌وآله</w:t>
      </w:r>
      <w:r w:rsidR="00E3253D" w:rsidRPr="005D642E">
        <w:rPr>
          <w:rtl/>
        </w:rPr>
        <w:t xml:space="preserve"> خرج في جنازة سعد » ، مع اختلاف يسير. </w:t>
      </w:r>
      <w:r w:rsidR="00E3253D" w:rsidRPr="002F4D34">
        <w:rPr>
          <w:rStyle w:val="libFootnoteBoldChar"/>
          <w:rtl/>
        </w:rPr>
        <w:t>وفيه</w:t>
      </w:r>
      <w:r w:rsidR="00E3253D" w:rsidRPr="005D642E">
        <w:rPr>
          <w:rtl/>
        </w:rPr>
        <w:t xml:space="preserve"> ، ح 238 عن أبي بصير ، عن أبي عبدالله </w:t>
      </w:r>
      <w:r w:rsidR="00E3253D" w:rsidRPr="001E101E">
        <w:rPr>
          <w:rStyle w:val="libFootnoteAlaemChar"/>
          <w:rtl/>
        </w:rPr>
        <w:t>عليه‌السلام</w:t>
      </w:r>
      <w:r w:rsidR="00E3253D" w:rsidRPr="005D642E">
        <w:rPr>
          <w:rtl/>
        </w:rPr>
        <w:t xml:space="preserve"> ، إلى قوله : « واستوهبتها من ضمّة القبر » </w:t>
      </w:r>
      <w:r w:rsidR="001E101E">
        <w:rPr>
          <w:rFonts w:hint="cs"/>
          <w:rtl/>
        </w:rPr>
        <w:t>.</w:t>
      </w:r>
      <w:r w:rsidR="00E3253D" w:rsidRPr="002F4D34">
        <w:rPr>
          <w:rStyle w:val="libFootnoteBoldChar"/>
          <w:rtl/>
        </w:rPr>
        <w:t>الوافي</w:t>
      </w:r>
      <w:r w:rsidR="00E3253D" w:rsidRPr="005D642E">
        <w:rPr>
          <w:rtl/>
        </w:rPr>
        <w:t xml:space="preserve"> ، ج 25 ، ص 623 ، ح 24768 ؛ </w:t>
      </w:r>
      <w:r w:rsidR="00E3253D" w:rsidRPr="002F4D34">
        <w:rPr>
          <w:rStyle w:val="libFootnoteBoldChar"/>
          <w:rtl/>
        </w:rPr>
        <w:t>البحار</w:t>
      </w:r>
      <w:r w:rsidR="00E3253D" w:rsidRPr="005D642E">
        <w:rPr>
          <w:rtl/>
        </w:rPr>
        <w:t xml:space="preserve"> ، ج 6 ، ص 261 ، ح 102 ؛ </w:t>
      </w:r>
      <w:r w:rsidR="00E3253D" w:rsidRPr="002F4D34">
        <w:rPr>
          <w:rStyle w:val="libFootnoteBoldChar"/>
          <w:rtl/>
        </w:rPr>
        <w:t>وفيه</w:t>
      </w:r>
      <w:r w:rsidR="00E3253D" w:rsidRPr="005D642E">
        <w:rPr>
          <w:rtl/>
        </w:rPr>
        <w:t xml:space="preserve"> ، ج 22 ، ص 144 ، ح 133 ، من قوله : « قال : وإنّ رسول الله </w:t>
      </w:r>
      <w:r w:rsidRPr="001E101E">
        <w:rPr>
          <w:rStyle w:val="libFootnoteAlaemChar"/>
          <w:rtl/>
        </w:rPr>
        <w:t>صلى‌الله‌عليه‌وآله</w:t>
      </w:r>
      <w:r w:rsidR="00E3253D" w:rsidRPr="005D642E">
        <w:rPr>
          <w:rtl/>
        </w:rPr>
        <w:t xml:space="preserve"> خرج في جنازة سعد » ؛ وص 163 ، ح 23.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1574D">
        <w:rPr>
          <w:rtl/>
        </w:rPr>
        <w:t>4701</w:t>
      </w:r>
      <w:r w:rsidRPr="00246318">
        <w:rPr>
          <w:rStyle w:val="libBold2Char"/>
          <w:rtl/>
        </w:rPr>
        <w:t xml:space="preserve"> / 7.</w:t>
      </w:r>
      <w:r w:rsidRPr="005D642E">
        <w:rPr>
          <w:rtl/>
          <w:lang w:bidi="fa-IR"/>
        </w:rPr>
        <w:t xml:space="preserve"> مُحَمَّدُ بْنُ يَحْيى ، عَنْ أَحْمَدَ بْنِ مُحَمَّدِ بْنِ عِيسى </w:t>
      </w:r>
      <w:r w:rsidRPr="007C12DB">
        <w:rPr>
          <w:rStyle w:val="libFootnotenumChar"/>
          <w:rtl/>
        </w:rPr>
        <w:t>(1)</w:t>
      </w:r>
      <w:r w:rsidRPr="005D642E">
        <w:rPr>
          <w:rtl/>
          <w:lang w:bidi="fa-IR"/>
        </w:rPr>
        <w:t xml:space="preserve"> ، عَنِ الْحَسَنِ بْنِ عَلِيٍّ ، عَنْ غَالِبِ بْنِ عُثْمَانَ ، عَنْ بَشِيرٍ الدَّهَّانِ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يَجِي‌ءُ الْمَلَكَانِ</w:t>
      </w:r>
      <w:r>
        <w:rPr>
          <w:rtl/>
          <w:lang w:bidi="fa-IR"/>
        </w:rPr>
        <w:t xml:space="preserve"> </w:t>
      </w:r>
      <w:r w:rsidR="007642BC">
        <w:rPr>
          <w:rtl/>
          <w:lang w:bidi="fa-IR"/>
        </w:rPr>
        <w:t>-</w:t>
      </w:r>
      <w:r>
        <w:rPr>
          <w:rtl/>
          <w:lang w:bidi="fa-IR"/>
        </w:rPr>
        <w:t xml:space="preserve"> </w:t>
      </w:r>
      <w:r w:rsidRPr="005D642E">
        <w:rPr>
          <w:rtl/>
          <w:lang w:bidi="fa-IR"/>
        </w:rPr>
        <w:t>مُنْكَرٌ وَنَكِيرٌ</w:t>
      </w:r>
      <w:r>
        <w:rPr>
          <w:rtl/>
          <w:lang w:bidi="fa-IR"/>
        </w:rPr>
        <w:t xml:space="preserve"> </w:t>
      </w:r>
      <w:r w:rsidR="007642BC">
        <w:rPr>
          <w:rtl/>
          <w:lang w:bidi="fa-IR"/>
        </w:rPr>
        <w:t>-</w:t>
      </w:r>
      <w:r>
        <w:rPr>
          <w:rtl/>
          <w:lang w:bidi="fa-IR"/>
        </w:rPr>
        <w:t xml:space="preserve"> </w:t>
      </w:r>
      <w:r w:rsidRPr="005D642E">
        <w:rPr>
          <w:rtl/>
          <w:lang w:bidi="fa-IR"/>
        </w:rPr>
        <w:t xml:space="preserve">إِلَى الْمَيِّتِ حِينَ يُدْفَنُ ، أَصْوَاتُهُمَا كَالرَّعْدِ الْقَاصِفِ </w:t>
      </w:r>
      <w:r w:rsidRPr="007C12DB">
        <w:rPr>
          <w:rStyle w:val="libFootnotenumChar"/>
          <w:rtl/>
        </w:rPr>
        <w:t>(2)</w:t>
      </w:r>
      <w:r w:rsidRPr="005D642E">
        <w:rPr>
          <w:rtl/>
          <w:lang w:bidi="fa-IR"/>
        </w:rPr>
        <w:t xml:space="preserve"> ، وَأَبْصَارُهُمَا كَالْبَرْقِ الْخَاطِفِ </w:t>
      </w:r>
      <w:r w:rsidRPr="007C12DB">
        <w:rPr>
          <w:rStyle w:val="libFootnotenumChar"/>
          <w:rtl/>
        </w:rPr>
        <w:t>(3)</w:t>
      </w:r>
      <w:r w:rsidRPr="005D642E">
        <w:rPr>
          <w:rtl/>
          <w:lang w:bidi="fa-IR"/>
        </w:rPr>
        <w:t xml:space="preserve"> ، يَخُطَّانِ الْأَرْضَ بِأَنْيَابِهِمَا ،</w:t>
      </w:r>
      <w:r>
        <w:rPr>
          <w:rFonts w:hint="cs"/>
          <w:rtl/>
          <w:lang w:bidi="fa-IR"/>
        </w:rPr>
        <w:t xml:space="preserve"> </w:t>
      </w:r>
      <w:r w:rsidRPr="005D642E">
        <w:rPr>
          <w:rtl/>
          <w:lang w:bidi="fa-IR"/>
        </w:rPr>
        <w:t xml:space="preserve">وَيَطَأَانِ </w:t>
      </w:r>
      <w:r w:rsidRPr="007C12DB">
        <w:rPr>
          <w:rStyle w:val="libFootnotenumChar"/>
          <w:rtl/>
        </w:rPr>
        <w:t>(4)</w:t>
      </w:r>
      <w:r w:rsidRPr="005D642E">
        <w:rPr>
          <w:rtl/>
          <w:lang w:bidi="fa-IR"/>
        </w:rPr>
        <w:t xml:space="preserve"> فِي شُعُورِهِمَا ، فَيَسْأَلَانِ </w:t>
      </w:r>
      <w:r w:rsidRPr="007C12DB">
        <w:rPr>
          <w:rStyle w:val="libFootnotenumChar"/>
          <w:rtl/>
        </w:rPr>
        <w:t>(5)</w:t>
      </w:r>
      <w:r w:rsidRPr="005D642E">
        <w:rPr>
          <w:rtl/>
          <w:lang w:bidi="fa-IR"/>
        </w:rPr>
        <w:t xml:space="preserve"> الْمَيِّتَ : مَنْ رَبُّكَ</w:t>
      </w:r>
      <w:r>
        <w:rPr>
          <w:rtl/>
          <w:lang w:bidi="fa-IR"/>
        </w:rPr>
        <w:t>؟</w:t>
      </w:r>
      <w:r w:rsidRPr="005D642E">
        <w:rPr>
          <w:rtl/>
          <w:lang w:bidi="fa-IR"/>
        </w:rPr>
        <w:t xml:space="preserve"> وَمَا دِينُكَ</w:t>
      </w:r>
      <w:r>
        <w:rPr>
          <w:rtl/>
          <w:lang w:bidi="fa-IR"/>
        </w:rPr>
        <w:t>؟ ».</w:t>
      </w:r>
    </w:p>
    <w:p w:rsidR="00E3253D" w:rsidRPr="005D642E" w:rsidRDefault="00E3253D" w:rsidP="00E3253D">
      <w:pPr>
        <w:pStyle w:val="libNormal"/>
        <w:rPr>
          <w:rtl/>
          <w:lang w:bidi="fa-IR"/>
        </w:rPr>
      </w:pPr>
      <w:r w:rsidRPr="005D642E">
        <w:rPr>
          <w:rtl/>
          <w:lang w:bidi="fa-IR"/>
        </w:rPr>
        <w:t xml:space="preserve">قَالَ : « فَإِذَا </w:t>
      </w:r>
      <w:r w:rsidRPr="007C12DB">
        <w:rPr>
          <w:rStyle w:val="libFootnotenumChar"/>
          <w:rtl/>
        </w:rPr>
        <w:t>(6)</w:t>
      </w:r>
      <w:r w:rsidRPr="005D642E">
        <w:rPr>
          <w:rtl/>
          <w:lang w:bidi="fa-IR"/>
        </w:rPr>
        <w:t xml:space="preserve"> كَانَ مُؤْمِناً ، قَالَ : اللهُ رَبِّي ، وَدِينِيَ الْإِسْلَامُ </w:t>
      </w:r>
      <w:r w:rsidRPr="007C12DB">
        <w:rPr>
          <w:rStyle w:val="libFootnotenumChar"/>
          <w:rtl/>
        </w:rPr>
        <w:t>(7)</w:t>
      </w:r>
      <w:r w:rsidRPr="005D642E">
        <w:rPr>
          <w:rtl/>
          <w:lang w:bidi="fa-IR"/>
        </w:rPr>
        <w:t xml:space="preserve"> ، فَيَقُولَانِ لَهُ : مَا تَقُولُ فِي هذَا الرَّجُلِ الَّذِي خَرَجَ </w:t>
      </w:r>
      <w:r w:rsidRPr="007C12DB">
        <w:rPr>
          <w:rStyle w:val="libFootnotenumChar"/>
          <w:rtl/>
        </w:rPr>
        <w:t>(8)</w:t>
      </w:r>
      <w:r w:rsidRPr="005D642E">
        <w:rPr>
          <w:rtl/>
          <w:lang w:bidi="fa-IR"/>
        </w:rPr>
        <w:t xml:space="preserve"> بَيْنَ ظَهْرَانَيْكُمْ </w:t>
      </w:r>
      <w:r w:rsidRPr="007C12DB">
        <w:rPr>
          <w:rStyle w:val="libFootnotenumChar"/>
          <w:rtl/>
        </w:rPr>
        <w:t>(9)</w:t>
      </w:r>
      <w:r>
        <w:rPr>
          <w:rtl/>
          <w:lang w:bidi="fa-IR"/>
        </w:rPr>
        <w:t>؟ فَيَقُولُ : أَ</w:t>
      </w:r>
      <w:r w:rsidRPr="005D642E">
        <w:rPr>
          <w:rtl/>
          <w:lang w:bidi="fa-IR"/>
        </w:rPr>
        <w:t xml:space="preserve">عَنْ مُحَمَّدٍ </w:t>
      </w:r>
      <w:r w:rsidRPr="007C12DB">
        <w:rPr>
          <w:rStyle w:val="libFootnotenumChar"/>
          <w:rtl/>
        </w:rPr>
        <w:t>(10)</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تَسْأَلَانِي</w:t>
      </w:r>
      <w:r>
        <w:rPr>
          <w:rtl/>
          <w:lang w:bidi="fa-IR"/>
        </w:rPr>
        <w:t>؟</w:t>
      </w:r>
    </w:p>
    <w:p w:rsidR="00E3253D" w:rsidRPr="005D642E" w:rsidRDefault="00E3253D" w:rsidP="00E3253D">
      <w:pPr>
        <w:pStyle w:val="libLine"/>
        <w:rPr>
          <w:rtl/>
          <w:lang w:bidi="fa-IR"/>
        </w:rPr>
      </w:pPr>
      <w:r w:rsidRPr="005D642E">
        <w:rPr>
          <w:rtl/>
          <w:lang w:bidi="fa-IR"/>
        </w:rPr>
        <w:t>__________________</w:t>
      </w:r>
    </w:p>
    <w:p w:rsidR="007C52CC" w:rsidRDefault="0042621E" w:rsidP="007C52CC">
      <w:pPr>
        <w:pStyle w:val="libFootnote0"/>
        <w:rPr>
          <w:rtl/>
        </w:rPr>
      </w:pPr>
      <w:r w:rsidRPr="0042621E">
        <w:rPr>
          <w:rStyle w:val="libFootnote0Char"/>
          <w:rtl/>
        </w:rPr>
        <w:t>(1).</w:t>
      </w:r>
      <w:r w:rsidR="00E3253D">
        <w:rPr>
          <w:rtl/>
        </w:rPr>
        <w:t xml:space="preserve"> </w:t>
      </w:r>
      <w:r w:rsidR="00E3253D" w:rsidRPr="005D642E">
        <w:rPr>
          <w:rtl/>
        </w:rPr>
        <w:t>في « ظ ، ى ، بث ، بح ، بس ، جح ، جن » والبحار : « أحمد بن محمّد ، عن محمّد بن عيسى</w:t>
      </w:r>
      <w:r w:rsidR="00E3253D">
        <w:rPr>
          <w:rtl/>
        </w:rPr>
        <w:t xml:space="preserve"> ».</w:t>
      </w:r>
      <w:r w:rsidR="00E3253D" w:rsidRPr="005D642E">
        <w:rPr>
          <w:rtl/>
        </w:rPr>
        <w:t xml:space="preserve"> وربّما يحتمل صحّة</w:t>
      </w:r>
      <w:r w:rsidR="007C52CC">
        <w:rPr>
          <w:rFonts w:hint="cs"/>
          <w:rtl/>
        </w:rPr>
        <w:t xml:space="preserve"> </w:t>
      </w:r>
      <w:r w:rsidR="00E3253D" w:rsidRPr="005D642E">
        <w:rPr>
          <w:rtl/>
        </w:rPr>
        <w:t>ما في هذه النسخ ، سيّما بالنظر إلى تكرّر « محمّد » واحتمال جواز النظر من أحدهما إلى الآخر.</w:t>
      </w:r>
    </w:p>
    <w:p w:rsidR="00E3253D" w:rsidRPr="005D642E" w:rsidRDefault="00E3253D" w:rsidP="007C52CC">
      <w:pPr>
        <w:pStyle w:val="libFootnote0"/>
        <w:rPr>
          <w:rtl/>
          <w:lang w:bidi="fa-IR"/>
        </w:rPr>
      </w:pPr>
      <w:r w:rsidRPr="005D642E">
        <w:rPr>
          <w:rtl/>
        </w:rPr>
        <w:t xml:space="preserve">لكن هذا الاحتمال يواجه عدّة إشكالات ، منها : أنّ الحسن بن عليّ الراوي عن غالب بن عثمان ، هو الحسن بن عليّ بن فضّال ، وقد روى محمّد بن يحيى عن أحمد بن محمّد [ بن عيسى ] عن ابن فضّال في‌كثيرٍ من الأسناد جدّاً. راجع : </w:t>
      </w:r>
      <w:r w:rsidRPr="002F4D34">
        <w:rPr>
          <w:rStyle w:val="libFootnoteBoldChar"/>
          <w:rtl/>
        </w:rPr>
        <w:t>معجم رجال الحديث</w:t>
      </w:r>
      <w:r w:rsidRPr="005D642E">
        <w:rPr>
          <w:rtl/>
        </w:rPr>
        <w:t xml:space="preserve"> ، ج 2 ، ص 473</w:t>
      </w:r>
      <w:r>
        <w:rPr>
          <w:rtl/>
        </w:rPr>
        <w:t xml:space="preserve"> </w:t>
      </w:r>
      <w:r w:rsidR="007642BC">
        <w:rPr>
          <w:rtl/>
        </w:rPr>
        <w:t>-</w:t>
      </w:r>
      <w:r>
        <w:rPr>
          <w:rtl/>
        </w:rPr>
        <w:t xml:space="preserve"> </w:t>
      </w:r>
      <w:r w:rsidRPr="005D642E">
        <w:rPr>
          <w:rtl/>
        </w:rPr>
        <w:t>476 ؛ ص 496</w:t>
      </w:r>
      <w:r>
        <w:rPr>
          <w:rtl/>
        </w:rPr>
        <w:t xml:space="preserve"> </w:t>
      </w:r>
      <w:r w:rsidR="007642BC">
        <w:rPr>
          <w:rtl/>
        </w:rPr>
        <w:t>-</w:t>
      </w:r>
      <w:r>
        <w:rPr>
          <w:rtl/>
        </w:rPr>
        <w:t xml:space="preserve"> </w:t>
      </w:r>
      <w:r w:rsidRPr="005D642E">
        <w:rPr>
          <w:rtl/>
        </w:rPr>
        <w:t>497 ؛ ص 656</w:t>
      </w:r>
      <w:r>
        <w:rPr>
          <w:rtl/>
        </w:rPr>
        <w:t xml:space="preserve"> </w:t>
      </w:r>
      <w:r w:rsidR="007642BC">
        <w:rPr>
          <w:rtl/>
        </w:rPr>
        <w:t>-</w:t>
      </w:r>
      <w:r>
        <w:rPr>
          <w:rtl/>
        </w:rPr>
        <w:t xml:space="preserve"> </w:t>
      </w:r>
      <w:r w:rsidRPr="005D642E">
        <w:rPr>
          <w:rtl/>
        </w:rPr>
        <w:t>657 ؛ وص 665</w:t>
      </w:r>
      <w:r>
        <w:rPr>
          <w:rtl/>
        </w:rPr>
        <w:t xml:space="preserve"> </w:t>
      </w:r>
      <w:r w:rsidR="007642BC">
        <w:rPr>
          <w:rtl/>
        </w:rPr>
        <w:t>-</w:t>
      </w:r>
      <w:r>
        <w:rPr>
          <w:rtl/>
        </w:rPr>
        <w:t xml:space="preserve"> </w:t>
      </w:r>
      <w:r w:rsidRPr="005D642E">
        <w:rPr>
          <w:rtl/>
        </w:rPr>
        <w:t>666.</w:t>
      </w:r>
    </w:p>
    <w:p w:rsidR="00E3253D" w:rsidRPr="005D642E" w:rsidRDefault="00E3253D" w:rsidP="00B60612">
      <w:pPr>
        <w:pStyle w:val="libFootnote0"/>
        <w:rPr>
          <w:rtl/>
          <w:lang w:bidi="fa-IR"/>
        </w:rPr>
      </w:pPr>
      <w:r w:rsidRPr="0095070A">
        <w:rPr>
          <w:rtl/>
        </w:rPr>
        <w:t>ومنها : عدم توسّط محمّد بن عيسى</w:t>
      </w:r>
      <w:r>
        <w:rPr>
          <w:rtl/>
        </w:rPr>
        <w:t xml:space="preserve"> </w:t>
      </w:r>
      <w:r w:rsidR="007642BC">
        <w:rPr>
          <w:rtl/>
        </w:rPr>
        <w:t>-</w:t>
      </w:r>
      <w:r>
        <w:rPr>
          <w:rtl/>
        </w:rPr>
        <w:t xml:space="preserve"> </w:t>
      </w:r>
      <w:r w:rsidRPr="0095070A">
        <w:rPr>
          <w:rtl/>
        </w:rPr>
        <w:t>لا بهذا العنوان ولا بسائر عناوينه</w:t>
      </w:r>
      <w:r>
        <w:rPr>
          <w:rtl/>
        </w:rPr>
        <w:t xml:space="preserve"> </w:t>
      </w:r>
      <w:r w:rsidR="007642BC">
        <w:rPr>
          <w:rtl/>
        </w:rPr>
        <w:t>-</w:t>
      </w:r>
      <w:r>
        <w:rPr>
          <w:rtl/>
        </w:rPr>
        <w:t xml:space="preserve"> </w:t>
      </w:r>
      <w:r w:rsidRPr="0095070A">
        <w:rPr>
          <w:rtl/>
        </w:rPr>
        <w:t>بين أحمد بن محمّد بن عيسى وابن فضّال</w:t>
      </w:r>
      <w:r>
        <w:rPr>
          <w:rtl/>
        </w:rPr>
        <w:t xml:space="preserve"> </w:t>
      </w:r>
      <w:r w:rsidR="007642BC">
        <w:rPr>
          <w:rtl/>
        </w:rPr>
        <w:t>-</w:t>
      </w:r>
      <w:r>
        <w:rPr>
          <w:rtl/>
        </w:rPr>
        <w:t xml:space="preserve"> </w:t>
      </w:r>
      <w:r w:rsidRPr="0095070A">
        <w:rPr>
          <w:rtl/>
        </w:rPr>
        <w:t>بمختلف عناوينهما</w:t>
      </w:r>
      <w:r>
        <w:rPr>
          <w:rtl/>
        </w:rPr>
        <w:t xml:space="preserve"> </w:t>
      </w:r>
      <w:r w:rsidR="007642BC">
        <w:rPr>
          <w:rtl/>
        </w:rPr>
        <w:t>-</w:t>
      </w:r>
      <w:r>
        <w:rPr>
          <w:rtl/>
        </w:rPr>
        <w:t xml:space="preserve"> </w:t>
      </w:r>
      <w:r w:rsidRPr="0095070A">
        <w:rPr>
          <w:rtl/>
        </w:rPr>
        <w:t>في موضع.</w:t>
      </w:r>
    </w:p>
    <w:p w:rsidR="00E3253D" w:rsidRPr="005D642E" w:rsidRDefault="00E3253D" w:rsidP="00B60612">
      <w:pPr>
        <w:pStyle w:val="libFootnote0"/>
        <w:rPr>
          <w:rtl/>
          <w:lang w:bidi="fa-IR"/>
        </w:rPr>
      </w:pPr>
      <w:r w:rsidRPr="0095070A">
        <w:rPr>
          <w:rtl/>
        </w:rPr>
        <w:t>ومنها : رواية أحمد بن محمّد بن عيسى عن غالب بن عثمان بواسطةٍ واحدة في غير هذا الموضع.</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الرعد القاصف » : الشديد المهلك لشدّة صوته ؛ من القصف بمعنى الكسر والدفع الشديد. </w:t>
      </w:r>
      <w:r w:rsidR="00E3253D" w:rsidRPr="002F4D34">
        <w:rPr>
          <w:rStyle w:val="libFootnoteBoldChar"/>
          <w:rtl/>
        </w:rPr>
        <w:t>النهاية</w:t>
      </w:r>
      <w:r w:rsidR="00E3253D" w:rsidRPr="005D642E">
        <w:rPr>
          <w:rtl/>
        </w:rPr>
        <w:t xml:space="preserve"> ، ج 4 ، ص 73</w:t>
      </w:r>
      <w:r w:rsidR="00E3253D">
        <w:rPr>
          <w:rtl/>
        </w:rPr>
        <w:t xml:space="preserve"> </w:t>
      </w:r>
      <w:r w:rsidR="007642BC">
        <w:rPr>
          <w:rtl/>
        </w:rPr>
        <w:t>-</w:t>
      </w:r>
      <w:r w:rsidR="00E3253D">
        <w:rPr>
          <w:rtl/>
        </w:rPr>
        <w:t xml:space="preserve"> </w:t>
      </w:r>
      <w:r w:rsidR="00E3253D" w:rsidRPr="005D642E">
        <w:rPr>
          <w:rtl/>
        </w:rPr>
        <w:t>74 ( قصف )</w:t>
      </w:r>
      <w:r w:rsidR="00E3253D">
        <w:rPr>
          <w:rtl/>
        </w:rPr>
        <w:t>.</w:t>
      </w:r>
    </w:p>
    <w:p w:rsidR="00E3253D" w:rsidRPr="006F7A5E" w:rsidRDefault="0042621E" w:rsidP="00E3253D">
      <w:pPr>
        <w:pStyle w:val="libFootnote0"/>
        <w:rPr>
          <w:rtl/>
        </w:rPr>
      </w:pPr>
      <w:r w:rsidRPr="0042621E">
        <w:rPr>
          <w:rStyle w:val="libFootnote0Char"/>
          <w:rtl/>
        </w:rPr>
        <w:t>(3).</w:t>
      </w:r>
      <w:r w:rsidR="00E3253D" w:rsidRPr="006F7A5E">
        <w:rPr>
          <w:rtl/>
        </w:rPr>
        <w:t xml:space="preserve"> « الخاطف » : من الخطف ، وهو استلاب الشي‌ء وأخذه بسرعة. </w:t>
      </w:r>
      <w:r w:rsidR="00E3253D" w:rsidRPr="007C52CC">
        <w:rPr>
          <w:rStyle w:val="libFootnoteBoldChar"/>
          <w:rtl/>
        </w:rPr>
        <w:t>النهاية</w:t>
      </w:r>
      <w:r w:rsidR="00E3253D" w:rsidRPr="006F7A5E">
        <w:rPr>
          <w:rtl/>
        </w:rPr>
        <w:t xml:space="preserve"> ، ج 2 ، ص 49 ( خطف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الوافي</w:t>
      </w:r>
      <w:r w:rsidR="00E3253D" w:rsidRPr="005D642E">
        <w:rPr>
          <w:rtl/>
        </w:rPr>
        <w:t xml:space="preserve"> : « في بعض النسخ : يطثان ، بالثاء المثلّثة من الوطث كالرعد ؛ يعني يضربان أرجلهما على الأرض ضرباً شديداً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 + « عن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C52CC" w:rsidTr="007C52CC">
        <w:tc>
          <w:tcPr>
            <w:tcW w:w="4006" w:type="dxa"/>
          </w:tcPr>
          <w:p w:rsidR="007C52CC" w:rsidRDefault="007C52CC" w:rsidP="00E3253D">
            <w:pPr>
              <w:pStyle w:val="libFootnote0"/>
              <w:rPr>
                <w:rStyle w:val="libFootnote0Char"/>
                <w:rtl/>
              </w:rPr>
            </w:pPr>
            <w:r w:rsidRPr="0042621E">
              <w:rPr>
                <w:rStyle w:val="libFootnote0Char"/>
                <w:rtl/>
              </w:rPr>
              <w:t>(6).</w:t>
            </w:r>
            <w:r w:rsidRPr="005D642E">
              <w:rPr>
                <w:rtl/>
              </w:rPr>
              <w:t xml:space="preserve"> في « جس » : « إذا</w:t>
            </w:r>
            <w:r>
              <w:rPr>
                <w:rtl/>
              </w:rPr>
              <w:t xml:space="preserve"> ».</w:t>
            </w:r>
          </w:p>
        </w:tc>
        <w:tc>
          <w:tcPr>
            <w:tcW w:w="4006" w:type="dxa"/>
          </w:tcPr>
          <w:p w:rsidR="007C52CC" w:rsidRDefault="007C52CC" w:rsidP="00E3253D">
            <w:pPr>
              <w:pStyle w:val="libFootnote0"/>
              <w:rPr>
                <w:rStyle w:val="libFootnote0Char"/>
                <w:rtl/>
              </w:rPr>
            </w:pPr>
            <w:r w:rsidRPr="0042621E">
              <w:rPr>
                <w:rStyle w:val="libFootnote0Char"/>
                <w:rtl/>
              </w:rPr>
              <w:t>(7).</w:t>
            </w:r>
            <w:r w:rsidRPr="005D642E">
              <w:rPr>
                <w:rtl/>
              </w:rPr>
              <w:t xml:space="preserve"> في « بخ » : « الإسلام ديني</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ظ » : + « من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بين ظهرانيكم » ، أي بينكم على سبيل الاستظهار والاستناد إليكم ، وزيدت فيه ألف ونون مفتوحة تأكيداً ، ومعناه أنّ ظهراً منكم قدّامه وظهراً منهم وراءه ، فهو مكفوف من جانِبَيْه ، ومن جوانبه إذا قيل : بين أظهركم ، ثمّ استعمل في الإقامة بين القوم مطلقاً. راجع : </w:t>
      </w:r>
      <w:r w:rsidR="00E3253D" w:rsidRPr="002F4D34">
        <w:rPr>
          <w:rStyle w:val="libFootnoteBoldChar"/>
          <w:rtl/>
        </w:rPr>
        <w:t>النهاية</w:t>
      </w:r>
      <w:r w:rsidR="00E3253D" w:rsidRPr="005D642E">
        <w:rPr>
          <w:rtl/>
        </w:rPr>
        <w:t xml:space="preserve"> ، ج 3 ، ص 166 ( ظهر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ظ ، ى ، بس ، جح ، جس » :</w:t>
      </w:r>
      <w:r w:rsidR="00E3253D">
        <w:rPr>
          <w:rtl/>
        </w:rPr>
        <w:t xml:space="preserve"> </w:t>
      </w:r>
      <w:r w:rsidR="007642BC">
        <w:rPr>
          <w:rtl/>
        </w:rPr>
        <w:t>-</w:t>
      </w:r>
      <w:r w:rsidR="00E3253D">
        <w:rPr>
          <w:rtl/>
        </w:rPr>
        <w:t xml:space="preserve"> </w:t>
      </w:r>
      <w:r w:rsidR="00E3253D" w:rsidRPr="005D642E">
        <w:rPr>
          <w:rtl/>
        </w:rPr>
        <w:t>« محمّد</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فَيَقُولَانِ لَهُ : تَشْهَدُ أَنَّهُ رَسُولُ اللهِ</w:t>
      </w:r>
      <w:r>
        <w:rPr>
          <w:rtl/>
          <w:lang w:bidi="fa-IR"/>
        </w:rPr>
        <w:t>؟</w:t>
      </w:r>
      <w:r w:rsidRPr="005D642E">
        <w:rPr>
          <w:rtl/>
          <w:lang w:bidi="fa-IR"/>
        </w:rPr>
        <w:t xml:space="preserve"> فَيَقُولُ : أَشْهَدُ أَنَّهُ رَسُولُ اللهِ ، فَيَقُولَانِ لَهُ : نَمْ نَوْمَةً لَا حُلُمَ فِيهَا </w:t>
      </w:r>
      <w:r w:rsidRPr="007C12DB">
        <w:rPr>
          <w:rStyle w:val="libFootnotenumChar"/>
          <w:rtl/>
        </w:rPr>
        <w:t>(1)</w:t>
      </w:r>
      <w:r w:rsidRPr="005D642E">
        <w:rPr>
          <w:rtl/>
          <w:lang w:bidi="fa-IR"/>
        </w:rPr>
        <w:t xml:space="preserve"> ، وَيُفْسَحُ لَهُ </w:t>
      </w:r>
      <w:r w:rsidRPr="007C12DB">
        <w:rPr>
          <w:rStyle w:val="libFootnotenumChar"/>
          <w:rtl/>
        </w:rPr>
        <w:t>(2)</w:t>
      </w:r>
      <w:r w:rsidRPr="005D642E">
        <w:rPr>
          <w:rtl/>
          <w:lang w:bidi="fa-IR"/>
        </w:rPr>
        <w:t xml:space="preserve"> فِي قَبْرِهِ تِسْعَةُ أَذْرُعٍ ، وَيُفْتَحُ لَهُ بَابٌ إِلَى الْجَنَّةِ ، وَيَرى مَقْعَدَهُ فِيهَا.</w:t>
      </w:r>
    </w:p>
    <w:p w:rsidR="00E3253D" w:rsidRPr="005D642E" w:rsidRDefault="00E3253D" w:rsidP="00E3253D">
      <w:pPr>
        <w:pStyle w:val="libNormal"/>
        <w:rPr>
          <w:rtl/>
          <w:lang w:bidi="fa-IR"/>
        </w:rPr>
      </w:pPr>
      <w:r w:rsidRPr="005D642E">
        <w:rPr>
          <w:rtl/>
          <w:lang w:bidi="fa-IR"/>
        </w:rPr>
        <w:t xml:space="preserve">وَإِذَا كَانَ الرَّجُلُ كَافِراً ، دَخَلَا عَلَيْهِ ، وَأُقِيمَ الشَّيْطَانُ بَيْنَ يَدَيْهِ ، عَيْنَاهُ مِنْ نُحَاسٍ </w:t>
      </w:r>
      <w:r w:rsidRPr="007C12DB">
        <w:rPr>
          <w:rStyle w:val="libFootnotenumChar"/>
          <w:rtl/>
        </w:rPr>
        <w:t>(3)</w:t>
      </w:r>
      <w:r w:rsidRPr="005D642E">
        <w:rPr>
          <w:rtl/>
          <w:lang w:bidi="fa-IR"/>
        </w:rPr>
        <w:t xml:space="preserve"> ، فَيَقُولَانِ لَهُ : مَنْ رَبُّكَ</w:t>
      </w:r>
      <w:r>
        <w:rPr>
          <w:rtl/>
          <w:lang w:bidi="fa-IR"/>
        </w:rPr>
        <w:t>؟</w:t>
      </w:r>
      <w:r w:rsidRPr="005D642E">
        <w:rPr>
          <w:rtl/>
          <w:lang w:bidi="fa-IR"/>
        </w:rPr>
        <w:t xml:space="preserve"> وَمَا دِينُكَ</w:t>
      </w:r>
      <w:r>
        <w:rPr>
          <w:rtl/>
          <w:lang w:bidi="fa-IR"/>
        </w:rPr>
        <w:t>؟</w:t>
      </w:r>
      <w:r w:rsidRPr="005D642E">
        <w:rPr>
          <w:rtl/>
          <w:lang w:bidi="fa-IR"/>
        </w:rPr>
        <w:t xml:space="preserve"> وَمَا تَقُولُ </w:t>
      </w:r>
      <w:r w:rsidRPr="007C12DB">
        <w:rPr>
          <w:rStyle w:val="libFootnotenumChar"/>
          <w:rtl/>
        </w:rPr>
        <w:t>(4)</w:t>
      </w:r>
      <w:r w:rsidRPr="005D642E">
        <w:rPr>
          <w:rtl/>
          <w:lang w:bidi="fa-IR"/>
        </w:rPr>
        <w:t xml:space="preserve"> فِي هذَا الرَّجُلِ الَّذِي قَدْ </w:t>
      </w:r>
      <w:r w:rsidRPr="007C12DB">
        <w:rPr>
          <w:rStyle w:val="libFootnotenumChar"/>
          <w:rtl/>
        </w:rPr>
        <w:t>(5)</w:t>
      </w:r>
      <w:r w:rsidRPr="005D642E">
        <w:rPr>
          <w:rtl/>
          <w:lang w:bidi="fa-IR"/>
        </w:rPr>
        <w:t xml:space="preserve"> خَرَجَ مِنْ </w:t>
      </w:r>
      <w:r w:rsidRPr="007C12DB">
        <w:rPr>
          <w:rStyle w:val="libFootnotenumChar"/>
          <w:rtl/>
        </w:rPr>
        <w:t>(6)</w:t>
      </w:r>
      <w:r w:rsidRPr="005D642E">
        <w:rPr>
          <w:rtl/>
          <w:lang w:bidi="fa-IR"/>
        </w:rPr>
        <w:t xml:space="preserve"> بَيْنِ ظَهْرَانَيْكُمْ</w:t>
      </w:r>
      <w:r>
        <w:rPr>
          <w:rtl/>
          <w:lang w:bidi="fa-IR"/>
        </w:rPr>
        <w:t>؟</w:t>
      </w:r>
      <w:r w:rsidRPr="005D642E">
        <w:rPr>
          <w:rtl/>
          <w:lang w:bidi="fa-IR"/>
        </w:rPr>
        <w:t xml:space="preserve"> فَيَقُولُ : لَا</w:t>
      </w:r>
      <w:r>
        <w:rPr>
          <w:rFonts w:hint="cs"/>
          <w:rtl/>
          <w:lang w:bidi="fa-IR"/>
        </w:rPr>
        <w:t xml:space="preserve"> </w:t>
      </w:r>
      <w:r w:rsidRPr="005D642E">
        <w:rPr>
          <w:rtl/>
          <w:lang w:bidi="fa-IR"/>
        </w:rPr>
        <w:t xml:space="preserve">أَدْرِي ، فَيُخَلِّيَانِ بَيْنَهُ وَبَيْنَ الشَّيْطَانِ ، فَيُسَلِّطُ </w:t>
      </w:r>
      <w:r w:rsidRPr="007C12DB">
        <w:rPr>
          <w:rStyle w:val="libFootnotenumChar"/>
          <w:rtl/>
        </w:rPr>
        <w:t>(7)</w:t>
      </w:r>
      <w:r w:rsidRPr="005D642E">
        <w:rPr>
          <w:rtl/>
          <w:lang w:bidi="fa-IR"/>
        </w:rPr>
        <w:t xml:space="preserve"> عَلَيْهِ فِي قَبْرِهِ تِسْعَةً وَتِسْعِينَ </w:t>
      </w:r>
      <w:r w:rsidRPr="007C12DB">
        <w:rPr>
          <w:rStyle w:val="libFootnotenumChar"/>
          <w:rtl/>
        </w:rPr>
        <w:t>(8)</w:t>
      </w:r>
      <w:r w:rsidRPr="005D642E">
        <w:rPr>
          <w:rtl/>
          <w:lang w:bidi="fa-IR"/>
        </w:rPr>
        <w:t xml:space="preserve"> تِنِّيناً </w:t>
      </w:r>
      <w:r w:rsidRPr="007C12DB">
        <w:rPr>
          <w:rStyle w:val="libFootnotenumChar"/>
          <w:rtl/>
        </w:rPr>
        <w:t>(9)</w:t>
      </w:r>
      <w:r w:rsidRPr="005D642E">
        <w:rPr>
          <w:rtl/>
          <w:lang w:bidi="fa-IR"/>
        </w:rPr>
        <w:t xml:space="preserve"> لَوْ أَنَّ تِنِّيناً وَاحِداً مِنْهَا نَفَخَ فِي الْأَرْضِ </w:t>
      </w:r>
      <w:r w:rsidRPr="007C12DB">
        <w:rPr>
          <w:rStyle w:val="libFootnotenumChar"/>
          <w:rtl/>
        </w:rPr>
        <w:t>(10)</w:t>
      </w:r>
      <w:r w:rsidRPr="005D642E">
        <w:rPr>
          <w:rtl/>
          <w:lang w:bidi="fa-IR"/>
        </w:rPr>
        <w:t xml:space="preserve"> ، مَا أَنْبَتَتْ شَجَراً أَبَداً ، وَيُفْتَحُ لَهُ بَابٌ إِلَى النَّارِ ، وَيَرى مَقْعَدَهُ فِيهَا </w:t>
      </w:r>
      <w:r w:rsidRPr="007C12DB">
        <w:rPr>
          <w:rStyle w:val="libFootnotenumChar"/>
          <w:rtl/>
        </w:rPr>
        <w:t>(11)</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Normal"/>
        <w:rPr>
          <w:rtl/>
          <w:lang w:bidi="fa-IR"/>
        </w:rPr>
      </w:pPr>
      <w:r w:rsidRPr="0051574D">
        <w:rPr>
          <w:rtl/>
        </w:rPr>
        <w:t>4702</w:t>
      </w:r>
      <w:r w:rsidRPr="00246318">
        <w:rPr>
          <w:rStyle w:val="libBold2Char"/>
          <w:rtl/>
        </w:rPr>
        <w:t xml:space="preserve"> / 8.</w:t>
      </w:r>
      <w:r w:rsidRPr="005D642E">
        <w:rPr>
          <w:rtl/>
          <w:lang w:bidi="fa-IR"/>
        </w:rPr>
        <w:t xml:space="preserve"> عِدَّةٌ مِنْ أَصْحَابِنَا ، عَنْ سَهْلِ بْنِ زِيَادٍ ، عَنْ مُحَمَّدِ بْنِ الْحَسَنِ بْنِ شَمُّونٍ ، عَنْ عَبْدِ اللهِ بْنِ عَبْدِ الرَّحْمنِ ، عَنْ عَبْدِ اللهِ بْنِ الْقَاسِمِ ، عَنْ أَبِي بَكْرٍ الْحَضْرَمِيِّ ، قَالَ :</w:t>
      </w:r>
    </w:p>
    <w:p w:rsidR="00E3253D" w:rsidRPr="005D642E" w:rsidRDefault="00E3253D" w:rsidP="00E3253D">
      <w:pPr>
        <w:pStyle w:val="libNormal"/>
        <w:rPr>
          <w:rtl/>
          <w:lang w:bidi="fa-IR"/>
        </w:rPr>
      </w:pPr>
      <w:r w:rsidRPr="005D642E">
        <w:rPr>
          <w:rtl/>
          <w:lang w:bidi="fa-IR"/>
        </w:rPr>
        <w:t xml:space="preserve">قُلْتُ لِأَبِي جَعْفَرٍ </w:t>
      </w:r>
      <w:r w:rsidRPr="007C12DB">
        <w:rPr>
          <w:rStyle w:val="libFootnotenumChar"/>
          <w:rtl/>
        </w:rPr>
        <w:t>(13)</w:t>
      </w:r>
      <w:r w:rsidRPr="005D642E">
        <w:rPr>
          <w:rtl/>
          <w:lang w:bidi="fa-IR"/>
        </w:rPr>
        <w:t xml:space="preserve"> </w:t>
      </w:r>
      <w:r w:rsidRPr="00AC51C5">
        <w:rPr>
          <w:rStyle w:val="libAlaemChar"/>
          <w:rtl/>
        </w:rPr>
        <w:t>عليه‌السلام</w:t>
      </w:r>
      <w:r w:rsidRPr="005D642E">
        <w:rPr>
          <w:rtl/>
          <w:lang w:bidi="fa-IR"/>
        </w:rPr>
        <w:t xml:space="preserve"> : أَصْلَحَكَ اللهُ ، مَنِ الْمَسْؤُولُونَ فِي قُبُورِهِمْ</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 « لا حلم لها</w:t>
      </w:r>
      <w:r w:rsidR="00E3253D">
        <w:rPr>
          <w:rtl/>
        </w:rPr>
        <w:t xml:space="preserve"> ».</w:t>
      </w:r>
      <w:r w:rsidR="00E3253D" w:rsidRPr="005D642E">
        <w:rPr>
          <w:rtl/>
        </w:rPr>
        <w:t xml:space="preserve"> </w:t>
      </w:r>
      <w:r w:rsidR="00E3253D">
        <w:rPr>
          <w:rtl/>
        </w:rPr>
        <w:t>و «</w:t>
      </w:r>
      <w:r w:rsidR="00E3253D" w:rsidRPr="005D642E">
        <w:rPr>
          <w:rtl/>
        </w:rPr>
        <w:t xml:space="preserve"> الحُلُم » : ما يراه النائم في نومه من الأشياء ، لكن غلب على ما يراه من الشرّ</w:t>
      </w:r>
      <w:r w:rsidR="00DA3BDC">
        <w:rPr>
          <w:rFonts w:hint="cs"/>
          <w:rtl/>
        </w:rPr>
        <w:t xml:space="preserve"> </w:t>
      </w:r>
      <w:r w:rsidR="00E3253D" w:rsidRPr="005D642E">
        <w:rPr>
          <w:rtl/>
        </w:rPr>
        <w:t xml:space="preserve">والقبيح. </w:t>
      </w:r>
      <w:r w:rsidR="00E3253D" w:rsidRPr="002F4D34">
        <w:rPr>
          <w:rStyle w:val="libFootnoteBoldChar"/>
          <w:rtl/>
        </w:rPr>
        <w:t>النهاية</w:t>
      </w:r>
      <w:r w:rsidR="00E3253D" w:rsidRPr="005D642E">
        <w:rPr>
          <w:rtl/>
        </w:rPr>
        <w:t xml:space="preserve"> ، ج 1 ، ص 434 ( حلم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يفسح له » ، أي وُسِّعَ له ؛ من الفسحة بمعنى السعة. راجع : </w:t>
      </w:r>
      <w:r w:rsidR="00E3253D" w:rsidRPr="002F4D34">
        <w:rPr>
          <w:rStyle w:val="libFootnoteBoldChar"/>
          <w:rtl/>
        </w:rPr>
        <w:t>الصحاح</w:t>
      </w:r>
      <w:r w:rsidR="00E3253D" w:rsidRPr="005D642E">
        <w:rPr>
          <w:rtl/>
        </w:rPr>
        <w:t xml:space="preserve"> ، ج 1 ، ص 391 ( فسح )</w:t>
      </w:r>
      <w:r w:rsidR="00E3253D">
        <w:rPr>
          <w:rtl/>
        </w:rPr>
        <w:t>.</w:t>
      </w:r>
    </w:p>
    <w:p w:rsidR="00E3253D" w:rsidRPr="005D642E" w:rsidRDefault="0042621E" w:rsidP="00DA3BDC">
      <w:pPr>
        <w:pStyle w:val="libFootnote0"/>
        <w:rPr>
          <w:rtl/>
          <w:lang w:bidi="fa-IR"/>
        </w:rPr>
      </w:pPr>
      <w:r w:rsidRPr="0042621E">
        <w:rPr>
          <w:rStyle w:val="libFootnote0Char"/>
          <w:rtl/>
        </w:rPr>
        <w:t>(3).</w:t>
      </w:r>
      <w:r w:rsidR="00E3253D" w:rsidRPr="005D642E">
        <w:rPr>
          <w:rtl/>
        </w:rPr>
        <w:t xml:space="preserve"> « النُحاس » : ضرب من الصُفْر والآنية شديدة الحمرة ، وال</w:t>
      </w:r>
      <w:r w:rsidR="00DA3BDC">
        <w:rPr>
          <w:rtl/>
        </w:rPr>
        <w:t>دخان الذي لا لهب فيه. قال العل</w:t>
      </w:r>
      <w:r w:rsidR="00DA3BDC">
        <w:rPr>
          <w:rFonts w:hint="cs"/>
          <w:rtl/>
        </w:rPr>
        <w:t>ّ</w:t>
      </w:r>
      <w:r w:rsidR="00DA3BDC">
        <w:rPr>
          <w:rtl/>
        </w:rPr>
        <w:t>ا</w:t>
      </w:r>
      <w:r w:rsidR="00E3253D" w:rsidRPr="005D642E">
        <w:rPr>
          <w:rtl/>
        </w:rPr>
        <w:t>مة الفيض : « عيناه</w:t>
      </w:r>
      <w:r w:rsidR="00DA3BDC">
        <w:rPr>
          <w:rFonts w:hint="cs"/>
          <w:rtl/>
        </w:rPr>
        <w:t xml:space="preserve"> </w:t>
      </w:r>
      <w:r w:rsidR="00E3253D" w:rsidRPr="005D642E">
        <w:rPr>
          <w:rtl/>
        </w:rPr>
        <w:t>من نحاس ؛ يعني في المنظر</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3 ، ص 981 ؛ </w:t>
      </w:r>
      <w:r w:rsidR="00E3253D" w:rsidRPr="002F4D34">
        <w:rPr>
          <w:rStyle w:val="libFootnoteBoldChar"/>
          <w:rtl/>
        </w:rPr>
        <w:t>لسان العرب</w:t>
      </w:r>
      <w:r w:rsidR="00DA3BDC">
        <w:rPr>
          <w:rtl/>
        </w:rPr>
        <w:t xml:space="preserve"> ، ج 6 ، ص 227(نحس</w:t>
      </w:r>
      <w:r w:rsidR="00E3253D" w:rsidRPr="005D642E">
        <w:rPr>
          <w:rtl/>
        </w:rPr>
        <w:t>)</w:t>
      </w:r>
      <w:r w:rsidR="00E3253D">
        <w:rPr>
          <w:rtl/>
        </w:rPr>
        <w:t>.</w:t>
      </w:r>
    </w:p>
    <w:tbl>
      <w:tblPr>
        <w:tblStyle w:val="TableGrid"/>
        <w:bidiVisual/>
        <w:tblW w:w="0" w:type="auto"/>
        <w:tblLook w:val="04A0" w:firstRow="1" w:lastRow="0" w:firstColumn="1" w:lastColumn="0" w:noHBand="0" w:noVBand="1"/>
      </w:tblPr>
      <w:tblGrid>
        <w:gridCol w:w="4006"/>
        <w:gridCol w:w="4006"/>
      </w:tblGrid>
      <w:tr w:rsidR="00DA3BDC" w:rsidTr="00DA3BDC">
        <w:tc>
          <w:tcPr>
            <w:tcW w:w="4006" w:type="dxa"/>
          </w:tcPr>
          <w:p w:rsidR="00DA3BDC" w:rsidRDefault="00DA3BDC" w:rsidP="00E3253D">
            <w:pPr>
              <w:pStyle w:val="libFootnote0"/>
              <w:rPr>
                <w:rStyle w:val="libFootnote0Char"/>
                <w:rtl/>
                <w:lang w:bidi="fa-IR"/>
              </w:rPr>
            </w:pPr>
            <w:r w:rsidRPr="0042621E">
              <w:rPr>
                <w:rStyle w:val="libFootnote0Char"/>
                <w:rtl/>
              </w:rPr>
              <w:t>(4).</w:t>
            </w:r>
            <w:r w:rsidRPr="005D642E">
              <w:rPr>
                <w:rtl/>
              </w:rPr>
              <w:t xml:space="preserve"> في « بح » : « فما تقول</w:t>
            </w:r>
            <w:r>
              <w:rPr>
                <w:rtl/>
              </w:rPr>
              <w:t xml:space="preserve"> ».</w:t>
            </w:r>
          </w:p>
        </w:tc>
        <w:tc>
          <w:tcPr>
            <w:tcW w:w="4006" w:type="dxa"/>
          </w:tcPr>
          <w:p w:rsidR="00DA3BDC" w:rsidRDefault="00DA3BDC" w:rsidP="00E3253D">
            <w:pPr>
              <w:pStyle w:val="libFootnote0"/>
              <w:rPr>
                <w:rStyle w:val="libFootnote0Char"/>
                <w:rtl/>
                <w:lang w:bidi="fa-IR"/>
              </w:rPr>
            </w:pPr>
            <w:r w:rsidRPr="0042621E">
              <w:rPr>
                <w:rStyle w:val="libFootnote0Char"/>
                <w:rtl/>
              </w:rPr>
              <w:t>(5).</w:t>
            </w:r>
            <w:r w:rsidRPr="005D642E">
              <w:rPr>
                <w:rtl/>
              </w:rPr>
              <w:t xml:space="preserve"> في « بخ </w:t>
            </w:r>
            <w:r w:rsidRPr="00DA3BDC">
              <w:rPr>
                <w:rtl/>
              </w:rPr>
              <w:t>» والوافي</w:t>
            </w:r>
            <w:r w:rsidRPr="005D642E">
              <w:rPr>
                <w:rtl/>
              </w:rPr>
              <w:t xml:space="preserve"> :</w:t>
            </w:r>
            <w:r>
              <w:rPr>
                <w:rtl/>
              </w:rPr>
              <w:t xml:space="preserve"> - </w:t>
            </w:r>
            <w:r w:rsidRPr="005D642E">
              <w:rPr>
                <w:rtl/>
              </w:rPr>
              <w:t>« قد</w:t>
            </w:r>
            <w:r>
              <w:rPr>
                <w:rtl/>
              </w:rPr>
              <w:t xml:space="preserve"> ».</w:t>
            </w:r>
          </w:p>
        </w:tc>
      </w:tr>
      <w:tr w:rsidR="00DA3BDC" w:rsidTr="00DA3BDC">
        <w:tc>
          <w:tcPr>
            <w:tcW w:w="4006" w:type="dxa"/>
          </w:tcPr>
          <w:p w:rsidR="00DA3BDC" w:rsidRDefault="00DA3BDC" w:rsidP="00E3253D">
            <w:pPr>
              <w:pStyle w:val="libFootnote0"/>
              <w:rPr>
                <w:rStyle w:val="libFootnote0Char"/>
                <w:rtl/>
                <w:lang w:bidi="fa-IR"/>
              </w:rPr>
            </w:pPr>
            <w:r w:rsidRPr="0042621E">
              <w:rPr>
                <w:rStyle w:val="libFootnote0Char"/>
                <w:rtl/>
              </w:rPr>
              <w:t>(6).</w:t>
            </w:r>
            <w:r w:rsidRPr="005D642E">
              <w:rPr>
                <w:rtl/>
              </w:rPr>
              <w:t xml:space="preserve"> في « ى » :</w:t>
            </w:r>
            <w:r>
              <w:rPr>
                <w:rtl/>
              </w:rPr>
              <w:t xml:space="preserve"> - </w:t>
            </w:r>
            <w:r w:rsidRPr="005D642E">
              <w:rPr>
                <w:rtl/>
              </w:rPr>
              <w:t>« من</w:t>
            </w:r>
            <w:r>
              <w:rPr>
                <w:rtl/>
              </w:rPr>
              <w:t xml:space="preserve"> ».</w:t>
            </w:r>
          </w:p>
        </w:tc>
        <w:tc>
          <w:tcPr>
            <w:tcW w:w="4006" w:type="dxa"/>
          </w:tcPr>
          <w:p w:rsidR="00DA3BDC" w:rsidRDefault="00DA3BDC" w:rsidP="00E3253D">
            <w:pPr>
              <w:pStyle w:val="libFootnote0"/>
              <w:rPr>
                <w:rStyle w:val="libFootnote0Char"/>
                <w:rtl/>
                <w:lang w:bidi="fa-IR"/>
              </w:rPr>
            </w:pPr>
            <w:r w:rsidRPr="0042621E">
              <w:rPr>
                <w:rStyle w:val="libFootnote0Char"/>
                <w:rtl/>
              </w:rPr>
              <w:t>(7).</w:t>
            </w:r>
            <w:r w:rsidRPr="005D642E">
              <w:rPr>
                <w:rtl/>
              </w:rPr>
              <w:t xml:space="preserve"> في « </w:t>
            </w:r>
            <w:r w:rsidRPr="00DA3BDC">
              <w:rPr>
                <w:rtl/>
              </w:rPr>
              <w:t>بخ » والوافي</w:t>
            </w:r>
            <w:r w:rsidRPr="005D642E">
              <w:rPr>
                <w:rtl/>
              </w:rPr>
              <w:t xml:space="preserve"> : « ويسلّط</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 « وتسعون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البحار : + « </w:t>
      </w:r>
      <w:r w:rsidR="00E3253D">
        <w:rPr>
          <w:rtl/>
        </w:rPr>
        <w:t>و ».</w:t>
      </w:r>
      <w:r w:rsidR="00E3253D" w:rsidRPr="005D642E">
        <w:rPr>
          <w:rtl/>
        </w:rPr>
        <w:t xml:space="preserve"> </w:t>
      </w:r>
      <w:r w:rsidR="00E3253D">
        <w:rPr>
          <w:rtl/>
        </w:rPr>
        <w:t>و «</w:t>
      </w:r>
      <w:r w:rsidR="00E3253D" w:rsidRPr="005D642E">
        <w:rPr>
          <w:rtl/>
        </w:rPr>
        <w:t xml:space="preserve"> التِنِّين » ، كسِكّين : ضرب من الحيّات. وقيل : هي حيّة عظيمة. راجع : </w:t>
      </w:r>
      <w:r w:rsidR="00E3253D" w:rsidRPr="002F4D34">
        <w:rPr>
          <w:rStyle w:val="libFootnoteBoldChar"/>
          <w:rtl/>
        </w:rPr>
        <w:t>الصحاح</w:t>
      </w:r>
      <w:r w:rsidR="00E3253D" w:rsidRPr="005D642E">
        <w:rPr>
          <w:rtl/>
        </w:rPr>
        <w:t xml:space="preserve"> ، ج 5 ، ص 2087 ؛ </w:t>
      </w:r>
      <w:r w:rsidR="00E3253D" w:rsidRPr="002F4D34">
        <w:rPr>
          <w:rStyle w:val="libFootnoteBoldChar"/>
          <w:rtl/>
        </w:rPr>
        <w:t>القاموس المحيط</w:t>
      </w:r>
      <w:r w:rsidR="00E3253D" w:rsidRPr="005D642E">
        <w:rPr>
          <w:rtl/>
        </w:rPr>
        <w:t xml:space="preserve"> ، ج 2 ، ص 1556 ( تنن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بخ ، جح » : « نفح » بدل « نفخ</w:t>
      </w:r>
      <w:r w:rsidR="00E3253D">
        <w:rPr>
          <w:rtl/>
        </w:rPr>
        <w:t xml:space="preserve"> ».</w:t>
      </w:r>
      <w:r w:rsidR="00E3253D" w:rsidRPr="005D642E">
        <w:rPr>
          <w:rtl/>
        </w:rPr>
        <w:t xml:space="preserve"> وفي « بخ » : « نفخ على الأرض</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بث ، بخ » : « منها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الوافي</w:t>
      </w:r>
      <w:r w:rsidR="00E3253D" w:rsidRPr="005D642E">
        <w:rPr>
          <w:rtl/>
        </w:rPr>
        <w:t xml:space="preserve"> ، ج 25 ، ص 616 ، ح 24762 ؛ </w:t>
      </w:r>
      <w:r w:rsidR="00E3253D" w:rsidRPr="002F4D34">
        <w:rPr>
          <w:rStyle w:val="libFootnoteBoldChar"/>
          <w:rtl/>
        </w:rPr>
        <w:t>البحار</w:t>
      </w:r>
      <w:r w:rsidR="00E3253D" w:rsidRPr="005D642E">
        <w:rPr>
          <w:rtl/>
        </w:rPr>
        <w:t xml:space="preserve"> ، ج 6 ، ص 261 ، ح 103.</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بث » : « لأبي عبدالله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قَالَ : « مَنْ مَحَضَ الْإِيمَانَ ، وَمَنْ مَحَضَ الْكُفْرَ</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(1)</w:t>
      </w:r>
      <w:r w:rsidRPr="005D642E">
        <w:rPr>
          <w:rtl/>
          <w:lang w:bidi="fa-IR"/>
        </w:rPr>
        <w:t xml:space="preserve"> : قُلْتُ : فَبَقِيَّةُ هذَا الْخَلْقِ</w:t>
      </w:r>
      <w:r>
        <w:rPr>
          <w:rtl/>
          <w:lang w:bidi="fa-IR"/>
        </w:rPr>
        <w:t>؟</w:t>
      </w:r>
    </w:p>
    <w:p w:rsidR="00E3253D" w:rsidRPr="005D642E" w:rsidRDefault="00E3253D" w:rsidP="00E3253D">
      <w:pPr>
        <w:pStyle w:val="libNormal"/>
        <w:rPr>
          <w:rtl/>
          <w:lang w:bidi="fa-IR"/>
        </w:rPr>
      </w:pPr>
      <w:r w:rsidRPr="005D642E">
        <w:rPr>
          <w:rtl/>
          <w:lang w:bidi="fa-IR"/>
        </w:rPr>
        <w:t xml:space="preserve">قَالَ : « يُلْهى </w:t>
      </w:r>
      <w:r w:rsidRPr="007C12DB">
        <w:rPr>
          <w:rStyle w:val="libFootnotenumChar"/>
          <w:rtl/>
        </w:rPr>
        <w:t>(2)</w:t>
      </w:r>
      <w:r w:rsidRPr="005D642E">
        <w:rPr>
          <w:rtl/>
          <w:lang w:bidi="fa-IR"/>
        </w:rPr>
        <w:t xml:space="preserve"> وَاللهِ عَنْهُمْ ، مَا يُعْبَأُ </w:t>
      </w:r>
      <w:r w:rsidRPr="007C12DB">
        <w:rPr>
          <w:rStyle w:val="libFootnotenumChar"/>
          <w:rtl/>
        </w:rPr>
        <w:t>(3)</w:t>
      </w:r>
      <w:r w:rsidRPr="005D642E">
        <w:rPr>
          <w:rtl/>
          <w:lang w:bidi="fa-IR"/>
        </w:rPr>
        <w:t xml:space="preserve"> بِهِمْ</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قُلْتُ </w:t>
      </w:r>
      <w:r w:rsidRPr="007C12DB">
        <w:rPr>
          <w:rStyle w:val="libFootnotenumChar"/>
          <w:rtl/>
        </w:rPr>
        <w:t>(4)</w:t>
      </w:r>
      <w:r w:rsidRPr="005D642E">
        <w:rPr>
          <w:rtl/>
          <w:lang w:bidi="fa-IR"/>
        </w:rPr>
        <w:t xml:space="preserve"> : وَعَمَّ </w:t>
      </w:r>
      <w:r w:rsidRPr="007C12DB">
        <w:rPr>
          <w:rStyle w:val="libFootnotenumChar"/>
          <w:rtl/>
        </w:rPr>
        <w:t>(5)</w:t>
      </w:r>
      <w:r w:rsidRPr="005D642E">
        <w:rPr>
          <w:rtl/>
          <w:lang w:bidi="fa-IR"/>
        </w:rPr>
        <w:t xml:space="preserve"> يُسْأَلُونَ</w:t>
      </w:r>
      <w:r>
        <w:rPr>
          <w:rtl/>
          <w:lang w:bidi="fa-IR"/>
        </w:rPr>
        <w:t>؟</w:t>
      </w:r>
    </w:p>
    <w:p w:rsidR="00E3253D" w:rsidRPr="005D642E" w:rsidRDefault="00E3253D" w:rsidP="00E3253D">
      <w:pPr>
        <w:pStyle w:val="libNormal"/>
        <w:rPr>
          <w:rtl/>
          <w:lang w:bidi="fa-IR"/>
        </w:rPr>
      </w:pPr>
      <w:r w:rsidRPr="005D642E">
        <w:rPr>
          <w:rtl/>
          <w:lang w:bidi="fa-IR"/>
        </w:rPr>
        <w:t xml:space="preserve">قَالَ : « عَنِ الْحُجَّةِ الْقَائِمَةِ </w:t>
      </w:r>
      <w:r w:rsidRPr="007C12DB">
        <w:rPr>
          <w:rStyle w:val="libFootnotenumChar"/>
          <w:rtl/>
        </w:rPr>
        <w:t>(6)</w:t>
      </w:r>
      <w:r w:rsidRPr="005D642E">
        <w:rPr>
          <w:rtl/>
          <w:lang w:bidi="fa-IR"/>
        </w:rPr>
        <w:t xml:space="preserve"> بَيْنَ أَظْهُرِكُمْ </w:t>
      </w:r>
      <w:r w:rsidRPr="007C12DB">
        <w:rPr>
          <w:rStyle w:val="libFootnotenumChar"/>
          <w:rtl/>
        </w:rPr>
        <w:t>(7)</w:t>
      </w:r>
      <w:r w:rsidRPr="005D642E">
        <w:rPr>
          <w:rtl/>
          <w:lang w:bidi="fa-IR"/>
        </w:rPr>
        <w:t xml:space="preserve"> ، فَيُقَالُ لِلْمُؤْمِنِ : مَا تَقُولُ </w:t>
      </w:r>
      <w:r w:rsidRPr="007C12DB">
        <w:rPr>
          <w:rStyle w:val="libFootnotenumChar"/>
          <w:rtl/>
        </w:rPr>
        <w:t>(8)</w:t>
      </w:r>
      <w:r w:rsidRPr="005D642E">
        <w:rPr>
          <w:rtl/>
          <w:lang w:bidi="fa-IR"/>
        </w:rPr>
        <w:t xml:space="preserve"> فِي فُلَانِ بْنِ فُلَانٍ</w:t>
      </w:r>
      <w:r>
        <w:rPr>
          <w:rtl/>
          <w:lang w:bidi="fa-IR"/>
        </w:rPr>
        <w:t>؟</w:t>
      </w:r>
      <w:r w:rsidRPr="005D642E">
        <w:rPr>
          <w:rtl/>
          <w:lang w:bidi="fa-IR"/>
        </w:rPr>
        <w:t xml:space="preserve"> فَيَقُولُ : ذَاكَ </w:t>
      </w:r>
      <w:r w:rsidRPr="007C12DB">
        <w:rPr>
          <w:rStyle w:val="libFootnotenumChar"/>
          <w:rtl/>
        </w:rPr>
        <w:t>(9)</w:t>
      </w:r>
      <w:r w:rsidRPr="005D642E">
        <w:rPr>
          <w:rtl/>
          <w:lang w:bidi="fa-IR"/>
        </w:rPr>
        <w:t xml:space="preserve"> إِمَامِي ، فَيُقَالُ </w:t>
      </w:r>
      <w:r w:rsidRPr="007C12DB">
        <w:rPr>
          <w:rStyle w:val="libFootnotenumChar"/>
          <w:rtl/>
        </w:rPr>
        <w:t>(10)</w:t>
      </w:r>
      <w:r w:rsidRPr="005D642E">
        <w:rPr>
          <w:rtl/>
          <w:lang w:bidi="fa-IR"/>
        </w:rPr>
        <w:t xml:space="preserve"> : نَمْ أَنَامَ اللهُ عَيْنَكَ </w:t>
      </w:r>
      <w:r w:rsidRPr="007C12DB">
        <w:rPr>
          <w:rStyle w:val="libFootnotenumChar"/>
          <w:rtl/>
        </w:rPr>
        <w:t>(11)</w:t>
      </w:r>
      <w:r w:rsidRPr="005D642E">
        <w:rPr>
          <w:rtl/>
          <w:lang w:bidi="fa-IR"/>
        </w:rPr>
        <w:t xml:space="preserve"> ، وَيُفْتَحُ لَهُ بَابٌ مِنَ الْجَنَّةِ </w:t>
      </w:r>
      <w:r w:rsidRPr="007C12DB">
        <w:rPr>
          <w:rStyle w:val="libFootnotenumChar"/>
          <w:rtl/>
        </w:rPr>
        <w:t>(12)</w:t>
      </w:r>
      <w:r w:rsidRPr="005D642E">
        <w:rPr>
          <w:rtl/>
          <w:lang w:bidi="fa-IR"/>
        </w:rPr>
        <w:t xml:space="preserve"> ، فَمَا يَزَالُ </w:t>
      </w:r>
      <w:r w:rsidRPr="007C12DB">
        <w:rPr>
          <w:rStyle w:val="libFootnotenumChar"/>
          <w:rtl/>
        </w:rPr>
        <w:t>(13)</w:t>
      </w:r>
      <w:r w:rsidRPr="005D642E">
        <w:rPr>
          <w:rtl/>
          <w:lang w:bidi="fa-IR"/>
        </w:rPr>
        <w:t xml:space="preserve"> يُتْحِفُهُ </w:t>
      </w:r>
      <w:r w:rsidRPr="007C12DB">
        <w:rPr>
          <w:rStyle w:val="libFootnotenumChar"/>
          <w:rtl/>
        </w:rPr>
        <w:t>(14)</w:t>
      </w:r>
      <w:r w:rsidRPr="005D642E">
        <w:rPr>
          <w:rtl/>
          <w:lang w:bidi="fa-IR"/>
        </w:rPr>
        <w:t xml:space="preserve"> مِنْ رَوْحِهَا إِلى يَوْمِ الْقِيَامَةِ ؛ وَيُقَالُ لِلْكَافِرِ : مَا تَقُولُ </w:t>
      </w:r>
      <w:r w:rsidRPr="007C12DB">
        <w:rPr>
          <w:rStyle w:val="libFootnotenumChar"/>
          <w:rtl/>
        </w:rPr>
        <w:t>(15)</w:t>
      </w:r>
      <w:r w:rsidRPr="005D642E">
        <w:rPr>
          <w:rtl/>
          <w:lang w:bidi="fa-IR"/>
        </w:rPr>
        <w:t xml:space="preserve"> فِي فُلَانِ بْنِ فُلَانٍ</w:t>
      </w:r>
      <w:r>
        <w:rPr>
          <w:rtl/>
          <w:lang w:bidi="fa-IR"/>
        </w:rPr>
        <w:t>؟</w:t>
      </w:r>
      <w:r w:rsidRPr="005D642E">
        <w:rPr>
          <w:rtl/>
          <w:lang w:bidi="fa-IR"/>
        </w:rPr>
        <w:t xml:space="preserve"> » قَالَ </w:t>
      </w:r>
      <w:r w:rsidRPr="007C12DB">
        <w:rPr>
          <w:rStyle w:val="libFootnotenumChar"/>
          <w:rtl/>
        </w:rPr>
        <w:t>(16)</w:t>
      </w:r>
      <w:r w:rsidRPr="005D642E">
        <w:rPr>
          <w:rtl/>
          <w:lang w:bidi="fa-IR"/>
        </w:rPr>
        <w:t xml:space="preserve"> : « فَيَقُولُ : قَدْ سَمِعْتُ بِهِ وَمَا أَدْرِي مَا هُوَ </w:t>
      </w:r>
      <w:r w:rsidRPr="007C12DB">
        <w:rPr>
          <w:rStyle w:val="libFootnotenumChar"/>
          <w:rtl/>
        </w:rPr>
        <w:t>(17)</w:t>
      </w:r>
      <w:r>
        <w:rPr>
          <w:rtl/>
          <w:lang w:bidi="fa-IR"/>
        </w:rPr>
        <w:t>؟</w:t>
      </w:r>
      <w:r w:rsidRPr="005D642E">
        <w:rPr>
          <w:rtl/>
          <w:lang w:bidi="fa-IR"/>
        </w:rPr>
        <w:t xml:space="preserve"> فَيُقَالُ لَهُ </w:t>
      </w:r>
      <w:r w:rsidRPr="007C12DB">
        <w:rPr>
          <w:rStyle w:val="libFootnotenumChar"/>
          <w:rtl/>
        </w:rPr>
        <w:t>(18)</w:t>
      </w:r>
      <w:r w:rsidRPr="005D642E">
        <w:rPr>
          <w:rtl/>
          <w:lang w:bidi="fa-IR"/>
        </w:rPr>
        <w:t xml:space="preserve"> : لَادَرَيْتَ </w:t>
      </w:r>
      <w:r w:rsidRPr="007C12DB">
        <w:rPr>
          <w:rStyle w:val="libFootnotenumChar"/>
          <w:rtl/>
        </w:rPr>
        <w:t>(19)</w:t>
      </w:r>
      <w:r w:rsidRPr="005D642E">
        <w:rPr>
          <w:rtl/>
          <w:lang w:bidi="fa-IR"/>
        </w:rPr>
        <w:t xml:space="preserve"> » قَالَ </w:t>
      </w:r>
      <w:r w:rsidRPr="007C12DB">
        <w:rPr>
          <w:rStyle w:val="libFootnotenumChar"/>
          <w:rtl/>
        </w:rPr>
        <w:t>(20)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 يلهو</w:t>
      </w:r>
      <w:r w:rsidR="00E3253D">
        <w:rPr>
          <w:rtl/>
        </w:rPr>
        <w:t xml:space="preserve"> ».</w:t>
      </w:r>
      <w:r w:rsidR="00E3253D" w:rsidRPr="005D642E">
        <w:rPr>
          <w:rtl/>
        </w:rPr>
        <w:t xml:space="preserve"> وفي « بث ، بس ، جح ، جس » وحاشية « بخ » : « يلهوا</w:t>
      </w:r>
      <w:r w:rsidR="00E3253D">
        <w:rPr>
          <w:rtl/>
        </w:rPr>
        <w:t xml:space="preserve"> ».</w:t>
      </w:r>
      <w:r w:rsidR="00E3253D" w:rsidRPr="005D642E">
        <w:rPr>
          <w:rtl/>
        </w:rPr>
        <w:t xml:space="preserve"> وفي « بح » والبحار : « يلهون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A3BDC" w:rsidTr="00DA3BDC">
        <w:tc>
          <w:tcPr>
            <w:tcW w:w="4006" w:type="dxa"/>
          </w:tcPr>
          <w:p w:rsidR="00DA3BDC" w:rsidRDefault="00DA3BDC" w:rsidP="00E3253D">
            <w:pPr>
              <w:pStyle w:val="libFootnote0"/>
              <w:rPr>
                <w:rStyle w:val="libFootnote0Char"/>
                <w:rtl/>
              </w:rPr>
            </w:pPr>
            <w:r w:rsidRPr="0042621E">
              <w:rPr>
                <w:rStyle w:val="libFootnote0Char"/>
                <w:rtl/>
              </w:rPr>
              <w:t>(3).</w:t>
            </w:r>
            <w:r w:rsidRPr="005D642E">
              <w:rPr>
                <w:rtl/>
              </w:rPr>
              <w:t xml:space="preserve"> في « جح » : « وما يُعبأ</w:t>
            </w:r>
            <w:r>
              <w:rPr>
                <w:rtl/>
              </w:rPr>
              <w:t xml:space="preserve"> ».</w:t>
            </w:r>
          </w:p>
        </w:tc>
        <w:tc>
          <w:tcPr>
            <w:tcW w:w="4006" w:type="dxa"/>
          </w:tcPr>
          <w:p w:rsidR="00DA3BDC" w:rsidRDefault="00DA3BDC" w:rsidP="00E3253D">
            <w:pPr>
              <w:pStyle w:val="libFootnote0"/>
              <w:rPr>
                <w:rStyle w:val="libFootnote0Char"/>
                <w:rtl/>
              </w:rPr>
            </w:pPr>
            <w:r w:rsidRPr="0042621E">
              <w:rPr>
                <w:rStyle w:val="libFootnote0Char"/>
                <w:rtl/>
              </w:rPr>
              <w:t>(4).</w:t>
            </w:r>
            <w:r w:rsidRPr="005D642E">
              <w:rPr>
                <w:rtl/>
              </w:rPr>
              <w:t xml:space="preserve"> في البحار : « وقلت</w:t>
            </w:r>
            <w:r>
              <w:rPr>
                <w:rtl/>
              </w:rPr>
              <w:t xml:space="preserve"> ».</w:t>
            </w:r>
          </w:p>
        </w:tc>
      </w:tr>
      <w:tr w:rsidR="00DA3BDC" w:rsidTr="00DA3BDC">
        <w:tc>
          <w:tcPr>
            <w:tcW w:w="4006" w:type="dxa"/>
          </w:tcPr>
          <w:p w:rsidR="00DA3BDC" w:rsidRDefault="00DA3BDC" w:rsidP="00E3253D">
            <w:pPr>
              <w:pStyle w:val="libFootnote0"/>
              <w:rPr>
                <w:rStyle w:val="libFootnote0Char"/>
                <w:rtl/>
              </w:rPr>
            </w:pPr>
            <w:r w:rsidRPr="0042621E">
              <w:rPr>
                <w:rStyle w:val="libFootnote0Char"/>
                <w:rtl/>
              </w:rPr>
              <w:t>(5).</w:t>
            </w:r>
            <w:r w:rsidRPr="005D642E">
              <w:rPr>
                <w:rtl/>
              </w:rPr>
              <w:t xml:space="preserve"> في « بث ، بح » : « وعمّا</w:t>
            </w:r>
            <w:r>
              <w:rPr>
                <w:rtl/>
              </w:rPr>
              <w:t xml:space="preserve"> ».</w:t>
            </w:r>
          </w:p>
        </w:tc>
        <w:tc>
          <w:tcPr>
            <w:tcW w:w="4006" w:type="dxa"/>
          </w:tcPr>
          <w:p w:rsidR="00DA3BDC" w:rsidRDefault="00DA3BDC" w:rsidP="00E3253D">
            <w:pPr>
              <w:pStyle w:val="libFootnote0"/>
              <w:rPr>
                <w:rStyle w:val="libFootnote0Char"/>
                <w:rtl/>
              </w:rPr>
            </w:pPr>
            <w:r w:rsidRPr="0042621E">
              <w:rPr>
                <w:rStyle w:val="libFootnote0Char"/>
                <w:rtl/>
              </w:rPr>
              <w:t>(6).</w:t>
            </w:r>
            <w:r w:rsidRPr="005D642E">
              <w:rPr>
                <w:rtl/>
              </w:rPr>
              <w:t xml:space="preserve"> في « بث ، بس » : « القائم</w:t>
            </w:r>
            <w:r>
              <w:rPr>
                <w:rtl/>
              </w:rPr>
              <w:t xml:space="preserve"> ».</w:t>
            </w:r>
          </w:p>
        </w:tc>
      </w:tr>
      <w:tr w:rsidR="00DA3BDC" w:rsidTr="00DA3BDC">
        <w:tc>
          <w:tcPr>
            <w:tcW w:w="4006" w:type="dxa"/>
          </w:tcPr>
          <w:p w:rsidR="00DA3BDC" w:rsidRDefault="00DA3BDC" w:rsidP="00E3253D">
            <w:pPr>
              <w:pStyle w:val="libFootnote0"/>
              <w:rPr>
                <w:rStyle w:val="libFootnote0Char"/>
                <w:rtl/>
              </w:rPr>
            </w:pPr>
            <w:r w:rsidRPr="0042621E">
              <w:rPr>
                <w:rStyle w:val="libFootnote0Char"/>
                <w:rtl/>
              </w:rPr>
              <w:t>(7).</w:t>
            </w:r>
            <w:r w:rsidRPr="005D642E">
              <w:rPr>
                <w:rtl/>
              </w:rPr>
              <w:t xml:space="preserve"> في « بخ ، جس » : « أظهرهم</w:t>
            </w:r>
            <w:r>
              <w:rPr>
                <w:rtl/>
              </w:rPr>
              <w:t xml:space="preserve"> ».</w:t>
            </w:r>
          </w:p>
        </w:tc>
        <w:tc>
          <w:tcPr>
            <w:tcW w:w="4006" w:type="dxa"/>
          </w:tcPr>
          <w:p w:rsidR="00DA3BDC" w:rsidRDefault="00DA3BDC" w:rsidP="00E3253D">
            <w:pPr>
              <w:pStyle w:val="libFootnote0"/>
              <w:rPr>
                <w:rStyle w:val="libFootnote0Char"/>
                <w:rtl/>
              </w:rPr>
            </w:pPr>
            <w:r w:rsidRPr="0042621E">
              <w:rPr>
                <w:rStyle w:val="libFootnote0Char"/>
                <w:rtl/>
              </w:rPr>
              <w:t>(8).</w:t>
            </w:r>
            <w:r w:rsidRPr="005D642E">
              <w:rPr>
                <w:rtl/>
              </w:rPr>
              <w:t xml:space="preserve"> في « جس » : « ما يقول</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 « ذلك</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بث ، بح ، بس ، جح ، جس » والبحار : « فيقول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A3BDC" w:rsidTr="00DA3BDC">
        <w:tc>
          <w:tcPr>
            <w:tcW w:w="4006" w:type="dxa"/>
          </w:tcPr>
          <w:p w:rsidR="00DA3BDC" w:rsidRDefault="00DA3BDC" w:rsidP="00E3253D">
            <w:pPr>
              <w:pStyle w:val="libFootnote0"/>
              <w:rPr>
                <w:rStyle w:val="libFootnote0Char"/>
                <w:rtl/>
              </w:rPr>
            </w:pPr>
            <w:r w:rsidRPr="0042621E">
              <w:rPr>
                <w:rStyle w:val="libFootnote0Char"/>
                <w:rtl/>
              </w:rPr>
              <w:t>(11).</w:t>
            </w:r>
            <w:r w:rsidRPr="005D642E">
              <w:rPr>
                <w:rtl/>
              </w:rPr>
              <w:t xml:space="preserve"> في البحار : « عينيك</w:t>
            </w:r>
            <w:r>
              <w:rPr>
                <w:rtl/>
              </w:rPr>
              <w:t xml:space="preserve"> ».</w:t>
            </w:r>
          </w:p>
        </w:tc>
        <w:tc>
          <w:tcPr>
            <w:tcW w:w="4006" w:type="dxa"/>
          </w:tcPr>
          <w:p w:rsidR="00DA3BDC" w:rsidRDefault="00DA3BDC" w:rsidP="00E3253D">
            <w:pPr>
              <w:pStyle w:val="libFootnote0"/>
              <w:rPr>
                <w:rStyle w:val="libFootnote0Char"/>
                <w:rtl/>
              </w:rPr>
            </w:pPr>
            <w:r w:rsidRPr="0042621E">
              <w:rPr>
                <w:rStyle w:val="libFootnote0Char"/>
                <w:rtl/>
              </w:rPr>
              <w:t>(12).</w:t>
            </w:r>
            <w:r w:rsidRPr="005D642E">
              <w:rPr>
                <w:rtl/>
              </w:rPr>
              <w:t xml:space="preserve"> في « بخ »</w:t>
            </w:r>
            <w:r w:rsidRPr="00DA3BDC">
              <w:rPr>
                <w:rtl/>
              </w:rPr>
              <w:t xml:space="preserve"> والوافي</w:t>
            </w:r>
            <w:r w:rsidRPr="005D642E">
              <w:rPr>
                <w:rtl/>
              </w:rPr>
              <w:t xml:space="preserve"> : « إلى الجنّة</w:t>
            </w:r>
            <w:r>
              <w:rPr>
                <w:rtl/>
              </w:rPr>
              <w:t xml:space="preserve"> ».</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بخ </w:t>
      </w:r>
      <w:r w:rsidR="00E3253D" w:rsidRPr="00DA3BDC">
        <w:rPr>
          <w:rtl/>
        </w:rPr>
        <w:t xml:space="preserve">» </w:t>
      </w:r>
      <w:r w:rsidR="000D749A" w:rsidRPr="00DA3BDC">
        <w:rPr>
          <w:rtl/>
        </w:rPr>
        <w:t>والوافي</w:t>
      </w:r>
      <w:r w:rsidR="00E3253D" w:rsidRPr="005D642E">
        <w:rPr>
          <w:rtl/>
        </w:rPr>
        <w:t xml:space="preserve"> : « فلا يزال</w:t>
      </w:r>
      <w:r w:rsidR="00E3253D">
        <w:rPr>
          <w:rtl/>
        </w:rPr>
        <w:t xml:space="preserve"> ».</w:t>
      </w:r>
      <w:r w:rsidR="00E3253D" w:rsidRPr="005D642E">
        <w:rPr>
          <w:rtl/>
        </w:rPr>
        <w:t xml:space="preserve"> وفي « بس » : « فما زال</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حاشية « بح » : « ينعمه</w:t>
      </w:r>
      <w:r w:rsidR="00E3253D">
        <w:rPr>
          <w:rtl/>
        </w:rPr>
        <w:t xml:space="preserve"> ».</w:t>
      </w:r>
      <w:r w:rsidR="00E3253D" w:rsidRPr="005D642E">
        <w:rPr>
          <w:rtl/>
        </w:rPr>
        <w:t xml:space="preserve"> وفي الوافي : « ينفحه » بالحاء المهملة. </w:t>
      </w:r>
      <w:r w:rsidR="00E3253D">
        <w:rPr>
          <w:rtl/>
        </w:rPr>
        <w:t>و «</w:t>
      </w:r>
      <w:r w:rsidR="00E3253D" w:rsidRPr="005D642E">
        <w:rPr>
          <w:rtl/>
        </w:rPr>
        <w:t xml:space="preserve"> يتحفه » أي يعطيه ويهدي إليه ، يقال : أتحفه الشي‌ء وبه ، أي أهداه إيّاه ، وأتحفه ، أي أعطاه تحفة ، والتُحْفَةُ والتُحَفة : البِرّ واللطف ، وعلى هذا والإتحاف في الأخ</w:t>
      </w:r>
      <w:r w:rsidR="006C1E9E">
        <w:rPr>
          <w:rtl/>
        </w:rPr>
        <w:t>ير على التهكّم ، كما قاله العل</w:t>
      </w:r>
      <w:r w:rsidR="006C1E9E">
        <w:rPr>
          <w:rFonts w:hint="cs"/>
          <w:rtl/>
        </w:rPr>
        <w:t>ّ</w:t>
      </w:r>
      <w:r w:rsidR="006C1E9E">
        <w:rPr>
          <w:rtl/>
        </w:rPr>
        <w:t>ا</w:t>
      </w:r>
      <w:r w:rsidR="00E3253D" w:rsidRPr="005D642E">
        <w:rPr>
          <w:rtl/>
        </w:rPr>
        <w:t xml:space="preserve">مة المجلسي </w:t>
      </w:r>
      <w:r w:rsidR="00E3253D" w:rsidRPr="006C1E9E">
        <w:rPr>
          <w:rStyle w:val="libFootnoteAlaemChar"/>
          <w:rtl/>
        </w:rPr>
        <w:t>رحمه‌الله</w:t>
      </w:r>
      <w:r w:rsidR="00E3253D" w:rsidRPr="005D642E">
        <w:rPr>
          <w:rtl/>
        </w:rPr>
        <w:t xml:space="preserve">. راجع : </w:t>
      </w:r>
      <w:r w:rsidR="00E3253D" w:rsidRPr="002F4D34">
        <w:rPr>
          <w:rStyle w:val="libFootnoteBoldChar"/>
          <w:rtl/>
        </w:rPr>
        <w:t>القاموس المحيط</w:t>
      </w:r>
      <w:r w:rsidR="00E3253D" w:rsidRPr="005D642E">
        <w:rPr>
          <w:rtl/>
        </w:rPr>
        <w:t xml:space="preserve"> ، ج 2 ، ص 1060 ؛ </w:t>
      </w:r>
      <w:r w:rsidR="00E3253D" w:rsidRPr="002F4D34">
        <w:rPr>
          <w:rStyle w:val="libFootnoteBoldChar"/>
          <w:rtl/>
        </w:rPr>
        <w:t>أقرب الموارد</w:t>
      </w:r>
      <w:r w:rsidR="00E3253D" w:rsidRPr="005D642E">
        <w:rPr>
          <w:rtl/>
        </w:rPr>
        <w:t xml:space="preserve"> ، ج 1 ، ص 294 ؛ </w:t>
      </w:r>
      <w:r w:rsidR="00E3253D" w:rsidRPr="002F4D34">
        <w:rPr>
          <w:rStyle w:val="libFootnoteBoldChar"/>
          <w:rtl/>
        </w:rPr>
        <w:t>المعجم الوسيط</w:t>
      </w:r>
      <w:r w:rsidR="00E3253D" w:rsidRPr="005D642E">
        <w:rPr>
          <w:rtl/>
        </w:rPr>
        <w:t xml:space="preserve"> ، ص 82 ( تحف )</w:t>
      </w:r>
      <w:r w:rsidR="00E3253D">
        <w:rPr>
          <w:rtl/>
        </w:rPr>
        <w:t>.</w:t>
      </w:r>
    </w:p>
    <w:tbl>
      <w:tblPr>
        <w:tblStyle w:val="TableGrid"/>
        <w:bidiVisual/>
        <w:tblW w:w="0" w:type="auto"/>
        <w:tblLook w:val="04A0" w:firstRow="1" w:lastRow="0" w:firstColumn="1" w:lastColumn="0" w:noHBand="0" w:noVBand="1"/>
      </w:tblPr>
      <w:tblGrid>
        <w:gridCol w:w="4006"/>
        <w:gridCol w:w="4006"/>
      </w:tblGrid>
      <w:tr w:rsidR="006C1E9E" w:rsidTr="006C1E9E">
        <w:tc>
          <w:tcPr>
            <w:tcW w:w="4006" w:type="dxa"/>
          </w:tcPr>
          <w:p w:rsidR="006C1E9E" w:rsidRDefault="006C1E9E" w:rsidP="00E3253D">
            <w:pPr>
              <w:pStyle w:val="libFootnote0"/>
              <w:rPr>
                <w:rStyle w:val="libFootnote0Char"/>
                <w:rtl/>
              </w:rPr>
            </w:pPr>
            <w:r w:rsidRPr="0042621E">
              <w:rPr>
                <w:rStyle w:val="libFootnote0Char"/>
                <w:rtl/>
              </w:rPr>
              <w:t>(15).</w:t>
            </w:r>
            <w:r>
              <w:rPr>
                <w:rtl/>
              </w:rPr>
              <w:t xml:space="preserve"> </w:t>
            </w:r>
            <w:r w:rsidRPr="005D642E">
              <w:rPr>
                <w:rtl/>
              </w:rPr>
              <w:t>في « جس » : « ما يقول</w:t>
            </w:r>
            <w:r>
              <w:rPr>
                <w:rtl/>
              </w:rPr>
              <w:t xml:space="preserve"> ».</w:t>
            </w:r>
          </w:p>
        </w:tc>
        <w:tc>
          <w:tcPr>
            <w:tcW w:w="4006" w:type="dxa"/>
          </w:tcPr>
          <w:p w:rsidR="006C1E9E" w:rsidRDefault="006C1E9E" w:rsidP="00E3253D">
            <w:pPr>
              <w:pStyle w:val="libFootnote0"/>
              <w:rPr>
                <w:rStyle w:val="libFootnote0Char"/>
                <w:rtl/>
              </w:rPr>
            </w:pPr>
            <w:r w:rsidRPr="005D642E">
              <w:rPr>
                <w:rtl/>
              </w:rPr>
              <w:t>(1</w:t>
            </w:r>
            <w:r>
              <w:rPr>
                <w:rtl/>
              </w:rPr>
              <w:t>6)</w:t>
            </w:r>
            <w:r w:rsidRPr="005D642E">
              <w:rPr>
                <w:rtl/>
              </w:rPr>
              <w:t xml:space="preserve"> في الوافي :</w:t>
            </w:r>
            <w:r>
              <w:rPr>
                <w:rtl/>
              </w:rPr>
              <w:t xml:space="preserve"> - </w:t>
            </w:r>
            <w:r w:rsidRPr="005D642E">
              <w:rPr>
                <w:rtl/>
              </w:rPr>
              <w:t>« قال</w:t>
            </w:r>
            <w:r>
              <w:rPr>
                <w:rtl/>
              </w:rPr>
              <w:t xml:space="preserve"> ».</w:t>
            </w:r>
          </w:p>
        </w:tc>
      </w:tr>
      <w:tr w:rsidR="006C1E9E" w:rsidTr="006C1E9E">
        <w:tc>
          <w:tcPr>
            <w:tcW w:w="4006" w:type="dxa"/>
          </w:tcPr>
          <w:p w:rsidR="006C1E9E" w:rsidRDefault="006C1E9E" w:rsidP="00E3253D">
            <w:pPr>
              <w:pStyle w:val="libFootnote0"/>
              <w:rPr>
                <w:rtl/>
              </w:rPr>
            </w:pPr>
            <w:r w:rsidRPr="005D642E">
              <w:rPr>
                <w:rtl/>
              </w:rPr>
              <w:t>(1</w:t>
            </w:r>
            <w:r>
              <w:rPr>
                <w:rtl/>
              </w:rPr>
              <w:t>7) في «ى ،بث ،بح ،بخ ،بس»:+</w:t>
            </w:r>
            <w:r w:rsidRPr="005D642E">
              <w:rPr>
                <w:rtl/>
              </w:rPr>
              <w:t>« قال</w:t>
            </w:r>
            <w:r>
              <w:rPr>
                <w:rtl/>
              </w:rPr>
              <w:t xml:space="preserve"> ».</w:t>
            </w:r>
          </w:p>
        </w:tc>
        <w:tc>
          <w:tcPr>
            <w:tcW w:w="4006" w:type="dxa"/>
          </w:tcPr>
          <w:p w:rsidR="006C1E9E" w:rsidRDefault="006C1E9E" w:rsidP="00E3253D">
            <w:pPr>
              <w:pStyle w:val="libFootnote0"/>
              <w:rPr>
                <w:rtl/>
              </w:rPr>
            </w:pPr>
            <w:r w:rsidRPr="005D642E">
              <w:rPr>
                <w:rtl/>
              </w:rPr>
              <w:t>(1</w:t>
            </w:r>
            <w:r>
              <w:rPr>
                <w:rtl/>
              </w:rPr>
              <w:t>8)</w:t>
            </w:r>
            <w:r w:rsidRPr="005D642E">
              <w:rPr>
                <w:rtl/>
              </w:rPr>
              <w:t xml:space="preserve"> في « بخ » :</w:t>
            </w:r>
            <w:r>
              <w:rPr>
                <w:rtl/>
              </w:rPr>
              <w:t xml:space="preserve"> - </w:t>
            </w:r>
            <w:r w:rsidRPr="005D642E">
              <w:rPr>
                <w:rtl/>
              </w:rPr>
              <w:t>« له</w:t>
            </w:r>
            <w:r>
              <w:rPr>
                <w:rtl/>
              </w:rPr>
              <w:t xml:space="preserve"> ».</w:t>
            </w:r>
          </w:p>
        </w:tc>
      </w:tr>
    </w:tbl>
    <w:p w:rsidR="00E3253D" w:rsidRPr="005D642E" w:rsidRDefault="00E3253D" w:rsidP="00E3253D">
      <w:pPr>
        <w:pStyle w:val="libFootnote0"/>
        <w:rPr>
          <w:rtl/>
          <w:lang w:bidi="fa-IR"/>
        </w:rPr>
      </w:pPr>
      <w:r w:rsidRPr="005D642E">
        <w:rPr>
          <w:rtl/>
        </w:rPr>
        <w:t>(1</w:t>
      </w:r>
      <w:r>
        <w:rPr>
          <w:rtl/>
        </w:rPr>
        <w:t>9)</w:t>
      </w:r>
      <w:r w:rsidRPr="005D642E">
        <w:rPr>
          <w:rtl/>
        </w:rPr>
        <w:t xml:space="preserve"> في </w:t>
      </w:r>
      <w:r w:rsidRPr="002F4D34">
        <w:rPr>
          <w:rStyle w:val="libFootnoteBoldChar"/>
          <w:rtl/>
        </w:rPr>
        <w:t>مرآة العقول</w:t>
      </w:r>
      <w:r w:rsidRPr="005D642E">
        <w:rPr>
          <w:rtl/>
        </w:rPr>
        <w:t xml:space="preserve"> ، ج 14 ، ص 210 : « قوله </w:t>
      </w:r>
      <w:r w:rsidRPr="006C1E9E">
        <w:rPr>
          <w:rStyle w:val="libFootnoteAlaemChar"/>
          <w:rtl/>
        </w:rPr>
        <w:t>عليه‌السلام</w:t>
      </w:r>
      <w:r w:rsidRPr="005D642E">
        <w:rPr>
          <w:rtl/>
        </w:rPr>
        <w:t xml:space="preserve"> : لا دريت ، الظاهر أنّه دعاء عليه ، ويحتمل أن يكون استفهاماً على الإنكار ، أي علمت تمّت عليك الحجّة في الدنيا وإنّما جحدْتَ لشقاوتك ، أو كان عدم العلم لتقصيرك</w:t>
      </w:r>
      <w:r>
        <w:rPr>
          <w:rtl/>
        </w:rPr>
        <w:t>».</w:t>
      </w:r>
    </w:p>
    <w:p w:rsidR="00E3253D" w:rsidRPr="005D642E" w:rsidRDefault="00E3253D" w:rsidP="00E3253D">
      <w:pPr>
        <w:pStyle w:val="libFootnote0"/>
        <w:rPr>
          <w:rtl/>
          <w:lang w:bidi="fa-IR"/>
        </w:rPr>
      </w:pPr>
      <w:r>
        <w:rPr>
          <w:rtl/>
        </w:rPr>
        <w:t>(20)</w:t>
      </w:r>
      <w:r w:rsidRPr="005D642E">
        <w:rPr>
          <w:rtl/>
        </w:rPr>
        <w:t xml:space="preserve"> في « بخ </w:t>
      </w:r>
      <w:r w:rsidRPr="006C1E9E">
        <w:rPr>
          <w:rtl/>
        </w:rPr>
        <w:t xml:space="preserve">» </w:t>
      </w:r>
      <w:r w:rsidR="000D749A" w:rsidRPr="006C1E9E">
        <w:rPr>
          <w:rtl/>
        </w:rPr>
        <w:t>والوافي</w:t>
      </w:r>
      <w:r w:rsidRPr="005D642E">
        <w:rPr>
          <w:rtl/>
        </w:rPr>
        <w:t xml:space="preserve"> :</w:t>
      </w:r>
      <w:r>
        <w:rPr>
          <w:rtl/>
        </w:rPr>
        <w:t xml:space="preserve"> </w:t>
      </w:r>
      <w:r w:rsidR="007642BC">
        <w:rPr>
          <w:rtl/>
        </w:rPr>
        <w:t>-</w:t>
      </w:r>
      <w:r>
        <w:rPr>
          <w:rtl/>
        </w:rPr>
        <w:t xml:space="preserve"> </w:t>
      </w:r>
      <w:r w:rsidRPr="005D642E">
        <w:rPr>
          <w:rtl/>
        </w:rPr>
        <w:t>« قال</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 وَيُفْتَحُ </w:t>
      </w:r>
      <w:r w:rsidRPr="007C12DB">
        <w:rPr>
          <w:rStyle w:val="libFootnotenumChar"/>
          <w:rtl/>
        </w:rPr>
        <w:t>(1)</w:t>
      </w:r>
      <w:r w:rsidRPr="005D642E">
        <w:rPr>
          <w:rtl/>
          <w:lang w:bidi="fa-IR"/>
        </w:rPr>
        <w:t xml:space="preserve"> لَهُ بَابٌ مِنَ النَّارِ </w:t>
      </w:r>
      <w:r w:rsidRPr="007C12DB">
        <w:rPr>
          <w:rStyle w:val="libFootnotenumChar"/>
          <w:rtl/>
        </w:rPr>
        <w:t>(2)</w:t>
      </w:r>
      <w:r w:rsidRPr="005D642E">
        <w:rPr>
          <w:rtl/>
          <w:lang w:bidi="fa-IR"/>
        </w:rPr>
        <w:t xml:space="preserve"> ، فَلَا يَزَالُ يُتْحِفُهُ </w:t>
      </w:r>
      <w:r w:rsidRPr="007C12DB">
        <w:rPr>
          <w:rStyle w:val="libFootnotenumChar"/>
          <w:rtl/>
        </w:rPr>
        <w:t>(3)</w:t>
      </w:r>
      <w:r w:rsidRPr="005D642E">
        <w:rPr>
          <w:rtl/>
          <w:lang w:bidi="fa-IR"/>
        </w:rPr>
        <w:t xml:space="preserve"> مِنْ حَرِّهَا إِلى يَوْمِ الْقِيَامَةِ</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51574D">
        <w:rPr>
          <w:rtl/>
        </w:rPr>
        <w:t>4703</w:t>
      </w:r>
      <w:r w:rsidRPr="00246318">
        <w:rPr>
          <w:rStyle w:val="libBold2Char"/>
          <w:rtl/>
        </w:rPr>
        <w:t xml:space="preserve"> / 9.</w:t>
      </w:r>
      <w:r w:rsidRPr="005D642E">
        <w:rPr>
          <w:rtl/>
          <w:lang w:bidi="fa-IR"/>
        </w:rPr>
        <w:t xml:space="preserve"> مُحَمَّدُ بْنُ يَحْيى ، عَنْ أَحْمَدَ بْنِ مُحَمَّدِ بْنِ عِيسى ، عَنْ عَلِيِّ بْنِ حَدِيدٍ ، عَنْ جَمِيلٍ ، عَنْ عَمْرِو بْنِ الْأَشْعَثِ :</w:t>
      </w:r>
    </w:p>
    <w:p w:rsidR="00E3253D" w:rsidRPr="005D642E" w:rsidRDefault="00E3253D" w:rsidP="00E3253D">
      <w:pPr>
        <w:pStyle w:val="libNormal"/>
        <w:rPr>
          <w:rtl/>
          <w:lang w:bidi="fa-IR"/>
        </w:rPr>
      </w:pPr>
      <w:r w:rsidRPr="005D642E">
        <w:rPr>
          <w:rtl/>
          <w:lang w:bidi="fa-IR"/>
        </w:rPr>
        <w:t xml:space="preserve">أَنَّهُ سَمِعَ أَبَا عَبْدِ اللهِ </w:t>
      </w:r>
      <w:r w:rsidRPr="00AC51C5">
        <w:rPr>
          <w:rStyle w:val="libAlaemChar"/>
          <w:rtl/>
        </w:rPr>
        <w:t>عليه‌السلام</w:t>
      </w:r>
      <w:r w:rsidRPr="005D642E">
        <w:rPr>
          <w:rtl/>
          <w:lang w:bidi="fa-IR"/>
        </w:rPr>
        <w:t xml:space="preserve"> يَقُولُ : « يُسْأَلُ الرَّجُلُ فِي قَبْرِهِ ، فَإِذَا أَثْبَتَ فُسِحَ </w:t>
      </w:r>
      <w:r w:rsidRPr="007C12DB">
        <w:rPr>
          <w:rStyle w:val="libFootnotenumChar"/>
          <w:rtl/>
        </w:rPr>
        <w:t>(5)</w:t>
      </w:r>
      <w:r w:rsidRPr="005D642E">
        <w:rPr>
          <w:rtl/>
          <w:lang w:bidi="fa-IR"/>
        </w:rPr>
        <w:t xml:space="preserve"> لَهُ فِي قَبْرِهِ سَبْعَةُ أَذْرُعٍ ، وَفُتِحَ لَهُ بَابٌ إِلَى الْجَنَّةِ ، وَقِيلَ لَهُ : نَمْ نَوْمَةَ الْعَرُوسِ </w:t>
      </w:r>
      <w:r w:rsidRPr="007C12DB">
        <w:rPr>
          <w:rStyle w:val="libFootnotenumChar"/>
          <w:rtl/>
        </w:rPr>
        <w:t>(6)</w:t>
      </w:r>
      <w:r w:rsidRPr="005D642E">
        <w:rPr>
          <w:rtl/>
          <w:lang w:bidi="fa-IR"/>
        </w:rPr>
        <w:t xml:space="preserve"> ، قَرِيرَ الْعَيْنِ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51574D">
        <w:rPr>
          <w:rtl/>
        </w:rPr>
        <w:t>4704</w:t>
      </w:r>
      <w:r w:rsidRPr="00246318">
        <w:rPr>
          <w:rStyle w:val="libBold2Char"/>
          <w:rtl/>
        </w:rPr>
        <w:t xml:space="preserve"> / 10.</w:t>
      </w:r>
      <w:r w:rsidRPr="005D642E">
        <w:rPr>
          <w:rtl/>
          <w:lang w:bidi="fa-IR"/>
        </w:rPr>
        <w:t xml:space="preserve"> عِدَّةٌ مِنْ أَصْحَابِنَا ، عَنْ سَهْلِ بْنِ زِيَادٍ ، عَنْ عَبْدِ الرَّحْمنِ بْنِ أَبِي نَجْرَانَ ، عَنْ عَاصِمِ بْنِ حُمَيْدٍ ، عَنْ أَبِي بَصِيرٍ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إِذَا وُضِعَ الرَّجُلُ فِي قَبْرِهِ ، أَتَاهُ مَلَكَانِ : مَلَكٌ عَنْ يَمِينِهِ ، وَمَلَكٌ عَنْ يَسَارِهِ ، وَأُقِيمَ الشَّيْطَانُ بَيْنَ عَيْنَيْهِ ، عَيْنَاهُ مِنْ نُحَاسٍ ، فَيُقَالُ لَهُ :</w:t>
      </w:r>
      <w:r>
        <w:rPr>
          <w:rFonts w:hint="cs"/>
          <w:rtl/>
          <w:lang w:bidi="fa-IR"/>
        </w:rPr>
        <w:t xml:space="preserve"> </w:t>
      </w:r>
      <w:r w:rsidRPr="005D642E">
        <w:rPr>
          <w:rtl/>
          <w:lang w:bidi="fa-IR"/>
        </w:rPr>
        <w:t xml:space="preserve">كَيْفَ تَقُولُ </w:t>
      </w:r>
      <w:r w:rsidRPr="007C12DB">
        <w:rPr>
          <w:rStyle w:val="libFootnotenumChar"/>
          <w:rtl/>
        </w:rPr>
        <w:t>(9)</w:t>
      </w:r>
      <w:r w:rsidRPr="005D642E">
        <w:rPr>
          <w:rtl/>
          <w:lang w:bidi="fa-IR"/>
        </w:rPr>
        <w:t xml:space="preserve"> فِي الرَّجُلِ الَّذِي كَانَ </w:t>
      </w:r>
      <w:r w:rsidRPr="007C12DB">
        <w:rPr>
          <w:rStyle w:val="libFootnotenumChar"/>
          <w:rtl/>
        </w:rPr>
        <w:t>(10)</w:t>
      </w:r>
      <w:r w:rsidRPr="005D642E">
        <w:rPr>
          <w:rtl/>
          <w:lang w:bidi="fa-IR"/>
        </w:rPr>
        <w:t xml:space="preserve"> بَيْنَ ظَهْرَانَيْكُمْ</w:t>
      </w:r>
      <w:r>
        <w:rPr>
          <w:rtl/>
          <w:lang w:bidi="fa-IR"/>
        </w:rPr>
        <w:t>؟</w:t>
      </w:r>
      <w:r w:rsidRPr="005D642E">
        <w:rPr>
          <w:rtl/>
          <w:lang w:bidi="fa-IR"/>
        </w:rPr>
        <w:t xml:space="preserve"> » قَالَ : « فَيَفْزَعُ لَهُ فَزْعَةً ، فَيَقُو</w:t>
      </w:r>
      <w:r>
        <w:rPr>
          <w:rtl/>
          <w:lang w:bidi="fa-IR"/>
        </w:rPr>
        <w:t>لُ ، إِذَا كَانَ مُؤْمِناً : أَ</w:t>
      </w:r>
      <w:r w:rsidRPr="005D642E">
        <w:rPr>
          <w:rtl/>
          <w:lang w:bidi="fa-IR"/>
        </w:rPr>
        <w:t xml:space="preserve">عَنْ مُحَمَّدٍ رَسُولِ اللهِ </w:t>
      </w:r>
      <w:r w:rsidR="0042621E" w:rsidRPr="0042621E">
        <w:rPr>
          <w:rStyle w:val="libAlaemChar"/>
          <w:rtl/>
        </w:rPr>
        <w:t>صلى‌الله‌عليه‌وآله</w:t>
      </w:r>
      <w:r w:rsidRPr="005D642E">
        <w:rPr>
          <w:rtl/>
          <w:lang w:bidi="fa-IR"/>
        </w:rPr>
        <w:t xml:space="preserve"> تَسْأَلَانِي </w:t>
      </w:r>
      <w:r w:rsidRPr="007C12DB">
        <w:rPr>
          <w:rStyle w:val="libFootnotenumChar"/>
          <w:rtl/>
        </w:rPr>
        <w:t>(11)</w:t>
      </w:r>
      <w:r>
        <w:rPr>
          <w:rtl/>
          <w:lang w:bidi="fa-IR"/>
        </w:rPr>
        <w:t>؟</w:t>
      </w:r>
      <w:r w:rsidRPr="005D642E">
        <w:rPr>
          <w:rtl/>
          <w:lang w:bidi="fa-IR"/>
        </w:rPr>
        <w:t xml:space="preserve"> فَيَقُولَانِ لَهُ : نَمْ نَوْمَةً لَاحُلُمَ فِيهَا ، وَيُفْسَحُ لَهُ فِي قَبْرِهِ تِسْعَةُ أَذْرُعٍ ، وَيَرى مَقْعَدَهُ مِنَ الْجَنَّةِ ، وَهُوَ قَوْلُ اللهِ‌</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D3553" w:rsidTr="001D3553">
        <w:tc>
          <w:tcPr>
            <w:tcW w:w="4006" w:type="dxa"/>
          </w:tcPr>
          <w:p w:rsidR="001D3553" w:rsidRDefault="001D3553" w:rsidP="00E3253D">
            <w:pPr>
              <w:pStyle w:val="libFootnote0"/>
              <w:rPr>
                <w:rStyle w:val="libFootnote0Char"/>
                <w:rtl/>
              </w:rPr>
            </w:pPr>
            <w:r w:rsidRPr="0042621E">
              <w:rPr>
                <w:rStyle w:val="libFootnote0Char"/>
                <w:rtl/>
              </w:rPr>
              <w:t>(1).</w:t>
            </w:r>
            <w:r>
              <w:rPr>
                <w:rtl/>
              </w:rPr>
              <w:t xml:space="preserve"> </w:t>
            </w:r>
            <w:r w:rsidRPr="005D642E">
              <w:rPr>
                <w:rtl/>
              </w:rPr>
              <w:t>في « ى ، بس » : « يفتح » بدون الواو.</w:t>
            </w:r>
          </w:p>
        </w:tc>
        <w:tc>
          <w:tcPr>
            <w:tcW w:w="4006" w:type="dxa"/>
          </w:tcPr>
          <w:p w:rsidR="001D3553" w:rsidRDefault="001D3553" w:rsidP="00E3253D">
            <w:pPr>
              <w:pStyle w:val="libFootnote0"/>
              <w:rPr>
                <w:rStyle w:val="libFootnote0Char"/>
                <w:rtl/>
              </w:rPr>
            </w:pPr>
            <w:r w:rsidRPr="0042621E">
              <w:rPr>
                <w:rStyle w:val="libFootnote0Char"/>
                <w:rtl/>
              </w:rPr>
              <w:t>(2).</w:t>
            </w:r>
            <w:r w:rsidRPr="005D642E">
              <w:rPr>
                <w:rtl/>
              </w:rPr>
              <w:t xml:space="preserve"> في الوافي : « إلى النار</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 « ينفحه » بالحاء المهملة.</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615 ، ح 24759 ؛ </w:t>
      </w:r>
      <w:r w:rsidR="00E3253D" w:rsidRPr="002F4D34">
        <w:rPr>
          <w:rStyle w:val="libFootnoteBoldChar"/>
          <w:rtl/>
        </w:rPr>
        <w:t>البحار</w:t>
      </w:r>
      <w:r w:rsidR="00E3253D" w:rsidRPr="005D642E">
        <w:rPr>
          <w:rtl/>
        </w:rPr>
        <w:t xml:space="preserve"> ، ج 6 ، ص 262 ، ح 104.</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فتح</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يقال للرجل : عروس ، كما يقال للمرأة ، وهو اسم لهما عند دخول أحدهما بالآخر وماداما في أعراسهما. راجع : </w:t>
      </w:r>
      <w:r w:rsidR="00E3253D" w:rsidRPr="002F4D34">
        <w:rPr>
          <w:rStyle w:val="libFootnoteBoldChar"/>
          <w:rtl/>
        </w:rPr>
        <w:t>الصحاح</w:t>
      </w:r>
      <w:r w:rsidR="00E3253D" w:rsidRPr="005D642E">
        <w:rPr>
          <w:rtl/>
        </w:rPr>
        <w:t xml:space="preserve"> ، ج 3 ، ص 947 ؛ </w:t>
      </w:r>
      <w:r w:rsidR="00E3253D" w:rsidRPr="002F4D34">
        <w:rPr>
          <w:rStyle w:val="libFootnoteBoldChar"/>
          <w:rtl/>
        </w:rPr>
        <w:t>النهاية</w:t>
      </w:r>
      <w:r w:rsidR="00E3253D" w:rsidRPr="005D642E">
        <w:rPr>
          <w:rtl/>
        </w:rPr>
        <w:t xml:space="preserve"> ، ج 3 ، ص 206 ( عرس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قرير العين » ، أي الباردة والمنقطعة البكاء ؛ فإنّ للسرور دمعة باردة ؛ من القرّ بمعنى البرد ، أو هو من القرار ، أي رأت ما كانت متشوّقة إليه فقرّت ونامت. راجع : </w:t>
      </w:r>
      <w:r w:rsidR="00E3253D" w:rsidRPr="002F4D34">
        <w:rPr>
          <w:rStyle w:val="libFootnoteBoldChar"/>
          <w:rtl/>
        </w:rPr>
        <w:t>لسان العرب</w:t>
      </w:r>
      <w:r w:rsidR="00E3253D" w:rsidRPr="005D642E">
        <w:rPr>
          <w:rtl/>
        </w:rPr>
        <w:t xml:space="preserve"> ، ج 5 ، ص 86 ( قرر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25 ، ص 615 ، ح 24760 ؛ </w:t>
      </w:r>
      <w:r w:rsidR="00E3253D" w:rsidRPr="002F4D34">
        <w:rPr>
          <w:rStyle w:val="libFootnoteBoldChar"/>
          <w:rtl/>
        </w:rPr>
        <w:t>البحار</w:t>
      </w:r>
      <w:r w:rsidR="00E3253D" w:rsidRPr="005D642E">
        <w:rPr>
          <w:rtl/>
        </w:rPr>
        <w:t xml:space="preserve"> ، ج 6 ، ص 262 ، ح 105.</w:t>
      </w:r>
    </w:p>
    <w:tbl>
      <w:tblPr>
        <w:tblStyle w:val="TableGrid"/>
        <w:bidiVisual/>
        <w:tblW w:w="0" w:type="auto"/>
        <w:tblLook w:val="04A0" w:firstRow="1" w:lastRow="0" w:firstColumn="1" w:lastColumn="0" w:noHBand="0" w:noVBand="1"/>
      </w:tblPr>
      <w:tblGrid>
        <w:gridCol w:w="4006"/>
        <w:gridCol w:w="4006"/>
      </w:tblGrid>
      <w:tr w:rsidR="001D3553" w:rsidTr="001D3553">
        <w:tc>
          <w:tcPr>
            <w:tcW w:w="4006" w:type="dxa"/>
          </w:tcPr>
          <w:p w:rsidR="001D3553" w:rsidRDefault="001D3553" w:rsidP="00E3253D">
            <w:pPr>
              <w:pStyle w:val="libFootnote0"/>
              <w:rPr>
                <w:rStyle w:val="libFootnote0Char"/>
                <w:rtl/>
              </w:rPr>
            </w:pPr>
            <w:r w:rsidRPr="0042621E">
              <w:rPr>
                <w:rStyle w:val="libFootnote0Char"/>
                <w:rtl/>
              </w:rPr>
              <w:t>(9).</w:t>
            </w:r>
            <w:r w:rsidRPr="005D642E">
              <w:rPr>
                <w:rtl/>
              </w:rPr>
              <w:t xml:space="preserve"> في « جس » : « يقول</w:t>
            </w:r>
            <w:r>
              <w:rPr>
                <w:rtl/>
              </w:rPr>
              <w:t xml:space="preserve"> ».</w:t>
            </w:r>
          </w:p>
        </w:tc>
        <w:tc>
          <w:tcPr>
            <w:tcW w:w="4006" w:type="dxa"/>
          </w:tcPr>
          <w:p w:rsidR="001D3553" w:rsidRDefault="001D3553" w:rsidP="00E3253D">
            <w:pPr>
              <w:pStyle w:val="libFootnote0"/>
              <w:rPr>
                <w:rStyle w:val="libFootnote0Char"/>
                <w:rtl/>
              </w:rPr>
            </w:pPr>
            <w:r w:rsidRPr="0042621E">
              <w:rPr>
                <w:rStyle w:val="libFootnote0Char"/>
                <w:rtl/>
              </w:rPr>
              <w:t>(10).</w:t>
            </w:r>
            <w:r w:rsidRPr="005D642E">
              <w:rPr>
                <w:rtl/>
              </w:rPr>
              <w:t xml:space="preserve"> في « ى ، بس » :</w:t>
            </w:r>
            <w:r>
              <w:rPr>
                <w:rtl/>
              </w:rPr>
              <w:t xml:space="preserve"> - </w:t>
            </w:r>
            <w:r w:rsidRPr="005D642E">
              <w:rPr>
                <w:rtl/>
              </w:rPr>
              <w:t>« كان</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جس » : « يسألاني</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عَزَّ وَجَلَّ : </w:t>
      </w:r>
      <w:r w:rsidRPr="00AC51C5">
        <w:rPr>
          <w:rStyle w:val="libAlaemChar"/>
          <w:rtl/>
        </w:rPr>
        <w:t>(</w:t>
      </w:r>
      <w:r w:rsidRPr="00AC51C5">
        <w:rPr>
          <w:rStyle w:val="libAieChar"/>
          <w:rtl/>
        </w:rPr>
        <w:t xml:space="preserve"> يُثَبِّتُ اللهُ الَّذِينَ آمَنُوا بِالْقَوْلِ الثّابِتِ فِي الْحَياةِ الدُّنْيا وَفِي الْآخِرَةِ </w:t>
      </w:r>
      <w:r w:rsidRPr="00AC51C5">
        <w:rPr>
          <w:rStyle w:val="libAlaemChar"/>
          <w:rtl/>
        </w:rPr>
        <w:t>)</w:t>
      </w:r>
      <w:r w:rsidRPr="005D642E">
        <w:rPr>
          <w:rtl/>
          <w:lang w:bidi="fa-IR"/>
        </w:rPr>
        <w:t xml:space="preserve"> </w:t>
      </w:r>
      <w:r w:rsidRPr="007C12DB">
        <w:rPr>
          <w:rStyle w:val="libFootnotenumChar"/>
          <w:rtl/>
        </w:rPr>
        <w:t>(1)</w:t>
      </w:r>
      <w:r w:rsidRPr="005D642E">
        <w:rPr>
          <w:rtl/>
          <w:lang w:bidi="fa-IR"/>
        </w:rPr>
        <w:t xml:space="preserve"> ؛ وَإِذَا </w:t>
      </w:r>
      <w:r w:rsidRPr="007C12DB">
        <w:rPr>
          <w:rStyle w:val="libFootnotenumChar"/>
          <w:rtl/>
        </w:rPr>
        <w:t>(2)</w:t>
      </w:r>
      <w:r w:rsidRPr="005D642E">
        <w:rPr>
          <w:rtl/>
          <w:lang w:bidi="fa-IR"/>
        </w:rPr>
        <w:t xml:space="preserve"> كَانَ كَافِراً قَالَا لَهُ : مَنْ هذَا الرَّجُلُ الَّذِي خَرَجَ بَيْنَ ظَهْرَانَيْكُمْ</w:t>
      </w:r>
      <w:r>
        <w:rPr>
          <w:rtl/>
          <w:lang w:bidi="fa-IR"/>
        </w:rPr>
        <w:t>؟</w:t>
      </w:r>
      <w:r w:rsidRPr="005D642E">
        <w:rPr>
          <w:rtl/>
          <w:lang w:bidi="fa-IR"/>
        </w:rPr>
        <w:t xml:space="preserve"> فَيَقُولُ : لَا</w:t>
      </w:r>
      <w:r>
        <w:rPr>
          <w:rFonts w:hint="cs"/>
          <w:rtl/>
          <w:lang w:bidi="fa-IR"/>
        </w:rPr>
        <w:t xml:space="preserve"> </w:t>
      </w:r>
      <w:r w:rsidRPr="005D642E">
        <w:rPr>
          <w:rtl/>
          <w:lang w:bidi="fa-IR"/>
        </w:rPr>
        <w:t>أَدْرِي ، فَيُخَلِّيَانِ بَيْنَهُ وَبَيْنَ الشَّيْطَانِ</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1574D">
        <w:rPr>
          <w:rtl/>
        </w:rPr>
        <w:t>4705</w:t>
      </w:r>
      <w:r w:rsidRPr="00246318">
        <w:rPr>
          <w:rStyle w:val="libBold2Char"/>
          <w:rtl/>
        </w:rPr>
        <w:t xml:space="preserve"> / 11.</w:t>
      </w:r>
      <w:r w:rsidRPr="005D642E">
        <w:rPr>
          <w:rtl/>
          <w:lang w:bidi="fa-IR"/>
        </w:rPr>
        <w:t xml:space="preserve"> مُحَمَّدُ بْنُ يَحْيى ، عَنْ أَحْمَدَ بْنِ مُحَمَّدٍ ، عَنِ الْحُسَيْنِ بْنِ سَعِيدٍ ، عَنْ إِبْرَاهِيمَ بْنِ أَبِي الْبِلَادِ ، عَنْ بَعْضِ أَصْحَابِهِ :</w:t>
      </w:r>
    </w:p>
    <w:p w:rsidR="00E3253D" w:rsidRPr="005D642E" w:rsidRDefault="00E3253D" w:rsidP="00E3253D">
      <w:pPr>
        <w:pStyle w:val="libNormal"/>
        <w:rPr>
          <w:rtl/>
          <w:lang w:bidi="fa-IR"/>
        </w:rPr>
      </w:pPr>
      <w:r w:rsidRPr="005D642E">
        <w:rPr>
          <w:rtl/>
          <w:lang w:bidi="fa-IR"/>
        </w:rPr>
        <w:t xml:space="preserve">عَنْ أَبِي الْحَسَنِ مُوسى </w:t>
      </w:r>
      <w:r w:rsidRPr="00AC51C5">
        <w:rPr>
          <w:rStyle w:val="libAlaemChar"/>
          <w:rtl/>
        </w:rPr>
        <w:t>عليه‌السلام</w:t>
      </w:r>
      <w:r w:rsidRPr="005D642E">
        <w:rPr>
          <w:rtl/>
          <w:lang w:bidi="fa-IR"/>
        </w:rPr>
        <w:t xml:space="preserve"> ، قَالَ : « يُقَالُ لِلْمُؤْمِنِ فِي قَبْرِهِ : مَنْ رَبُّكَ</w:t>
      </w:r>
      <w:r>
        <w:rPr>
          <w:rtl/>
          <w:lang w:bidi="fa-IR"/>
        </w:rPr>
        <w:t>؟</w:t>
      </w:r>
      <w:r w:rsidRPr="005D642E">
        <w:rPr>
          <w:rtl/>
          <w:lang w:bidi="fa-IR"/>
        </w:rPr>
        <w:t xml:space="preserve"> » قَالَ :</w:t>
      </w:r>
      <w:r>
        <w:rPr>
          <w:rFonts w:hint="cs"/>
          <w:rtl/>
          <w:lang w:bidi="fa-IR"/>
        </w:rPr>
        <w:t xml:space="preserve"> </w:t>
      </w:r>
      <w:r w:rsidRPr="005D642E">
        <w:rPr>
          <w:rtl/>
          <w:lang w:bidi="fa-IR"/>
        </w:rPr>
        <w:t>« فَيَقُولُ : اللهُ ، فَيُقَالُ لَهُ : مَا دِينُكَ</w:t>
      </w:r>
      <w:r>
        <w:rPr>
          <w:rtl/>
          <w:lang w:bidi="fa-IR"/>
        </w:rPr>
        <w:t>؟</w:t>
      </w:r>
      <w:r w:rsidRPr="005D642E">
        <w:rPr>
          <w:rtl/>
          <w:lang w:bidi="fa-IR"/>
        </w:rPr>
        <w:t xml:space="preserve"> فَيَقُولُ : الْإِسْلَامُ </w:t>
      </w:r>
      <w:r w:rsidRPr="007C12DB">
        <w:rPr>
          <w:rStyle w:val="libFootnotenumChar"/>
          <w:rtl/>
        </w:rPr>
        <w:t>(4)</w:t>
      </w:r>
      <w:r w:rsidRPr="005D642E">
        <w:rPr>
          <w:rtl/>
          <w:lang w:bidi="fa-IR"/>
        </w:rPr>
        <w:t xml:space="preserve"> ، فَيُقَالُ لَهُ </w:t>
      </w:r>
      <w:r w:rsidRPr="007C12DB">
        <w:rPr>
          <w:rStyle w:val="libFootnotenumChar"/>
          <w:rtl/>
        </w:rPr>
        <w:t>(5)</w:t>
      </w:r>
      <w:r w:rsidRPr="005D642E">
        <w:rPr>
          <w:rtl/>
          <w:lang w:bidi="fa-IR"/>
        </w:rPr>
        <w:t xml:space="preserve"> : مَنْ نَبِيُّكَ</w:t>
      </w:r>
      <w:r>
        <w:rPr>
          <w:rtl/>
          <w:lang w:bidi="fa-IR"/>
        </w:rPr>
        <w:t>؟</w:t>
      </w:r>
      <w:r w:rsidRPr="005D642E">
        <w:rPr>
          <w:rtl/>
          <w:lang w:bidi="fa-IR"/>
        </w:rPr>
        <w:t xml:space="preserve"> فَيَقُولُ :</w:t>
      </w:r>
      <w:r>
        <w:rPr>
          <w:rFonts w:hint="cs"/>
          <w:rtl/>
          <w:lang w:bidi="fa-IR"/>
        </w:rPr>
        <w:t xml:space="preserve"> </w:t>
      </w:r>
      <w:r w:rsidRPr="005D642E">
        <w:rPr>
          <w:rtl/>
          <w:lang w:bidi="fa-IR"/>
        </w:rPr>
        <w:t xml:space="preserve">مُحَمَّدٌ </w:t>
      </w:r>
      <w:r w:rsidRPr="007C12DB">
        <w:rPr>
          <w:rStyle w:val="libFootnotenumChar"/>
          <w:rtl/>
        </w:rPr>
        <w:t>(6)</w:t>
      </w:r>
      <w:r w:rsidRPr="005D642E">
        <w:rPr>
          <w:rtl/>
          <w:lang w:bidi="fa-IR"/>
        </w:rPr>
        <w:t xml:space="preserve"> ، فَيُقَالُ </w:t>
      </w:r>
      <w:r w:rsidRPr="007C12DB">
        <w:rPr>
          <w:rStyle w:val="libFootnotenumChar"/>
          <w:rtl/>
        </w:rPr>
        <w:t>(7)</w:t>
      </w:r>
      <w:r w:rsidRPr="005D642E">
        <w:rPr>
          <w:rtl/>
          <w:lang w:bidi="fa-IR"/>
        </w:rPr>
        <w:t xml:space="preserve"> : مَنْ إِمَامُكَ</w:t>
      </w:r>
      <w:r>
        <w:rPr>
          <w:rtl/>
          <w:lang w:bidi="fa-IR"/>
        </w:rPr>
        <w:t>؟</w:t>
      </w:r>
      <w:r w:rsidRPr="005D642E">
        <w:rPr>
          <w:rtl/>
          <w:lang w:bidi="fa-IR"/>
        </w:rPr>
        <w:t xml:space="preserve"> فَيَقُولُ : فُلَانٌ ، فَيُقَالُ : كَيْفَ عَلِمْتَ بِذلِكَ </w:t>
      </w:r>
      <w:r w:rsidRPr="007C12DB">
        <w:rPr>
          <w:rStyle w:val="libFootnotenumChar"/>
          <w:rtl/>
        </w:rPr>
        <w:t>(8)</w:t>
      </w:r>
      <w:r>
        <w:rPr>
          <w:rtl/>
          <w:lang w:bidi="fa-IR"/>
        </w:rPr>
        <w:t>؟</w:t>
      </w:r>
      <w:r w:rsidRPr="005D642E">
        <w:rPr>
          <w:rtl/>
          <w:lang w:bidi="fa-IR"/>
        </w:rPr>
        <w:t xml:space="preserve"> فَيَقُولُ :</w:t>
      </w:r>
      <w:r>
        <w:rPr>
          <w:rFonts w:hint="cs"/>
          <w:rtl/>
          <w:lang w:bidi="fa-IR"/>
        </w:rPr>
        <w:t xml:space="preserve"> </w:t>
      </w:r>
      <w:r w:rsidRPr="005D642E">
        <w:rPr>
          <w:rtl/>
          <w:lang w:bidi="fa-IR"/>
        </w:rPr>
        <w:t xml:space="preserve">أَمْرٌ هَدَانِي اللهُ لَهُ </w:t>
      </w:r>
      <w:r w:rsidRPr="007C12DB">
        <w:rPr>
          <w:rStyle w:val="libFootnotenumChar"/>
          <w:rtl/>
        </w:rPr>
        <w:t>(9)</w:t>
      </w:r>
      <w:r w:rsidRPr="005D642E">
        <w:rPr>
          <w:rtl/>
          <w:lang w:bidi="fa-IR"/>
        </w:rPr>
        <w:t xml:space="preserve"> وَثَبَّتَنِي عَلَيْهِ ، فَيُقَالُ لَهُ : نَمْ نَوْمَةً لَاحُلُمَ فِيهَا نَوْمَةَ الْعَرُوسِ ، ثُمَّ يُفْتَحُ لَهُ بَابٌ إِلَى الْجَنَّةِ ، فَيَدْخُلُ عَلَيْهِ </w:t>
      </w:r>
      <w:r w:rsidRPr="007C12DB">
        <w:rPr>
          <w:rStyle w:val="libFootnotenumChar"/>
          <w:rtl/>
        </w:rPr>
        <w:t>(10)</w:t>
      </w:r>
      <w:r w:rsidRPr="005D642E">
        <w:rPr>
          <w:rtl/>
          <w:lang w:bidi="fa-IR"/>
        </w:rPr>
        <w:t xml:space="preserve"> مِنْ رَوْحِهَا وَرَيْحَانِهَا ، فَيَقُولُ : يَا </w:t>
      </w:r>
      <w:r w:rsidRPr="007C12DB">
        <w:rPr>
          <w:rStyle w:val="libFootnotenumChar"/>
          <w:rtl/>
        </w:rPr>
        <w:t>(11)</w:t>
      </w:r>
      <w:r w:rsidRPr="005D642E">
        <w:rPr>
          <w:rtl/>
          <w:lang w:bidi="fa-IR"/>
        </w:rPr>
        <w:t xml:space="preserve"> رَبِّ ، عَجِّلْ قِيَامَ السَّاعَةِ ؛ لَعَلِّي أَرْجِعُ إِلى أَهْلِي وَمَالِي.</w:t>
      </w:r>
    </w:p>
    <w:p w:rsidR="00E3253D" w:rsidRPr="005D642E" w:rsidRDefault="00E3253D" w:rsidP="00E3253D">
      <w:pPr>
        <w:pStyle w:val="libNormal"/>
        <w:rPr>
          <w:rtl/>
          <w:lang w:bidi="fa-IR"/>
        </w:rPr>
      </w:pPr>
      <w:r w:rsidRPr="005D642E">
        <w:rPr>
          <w:rtl/>
          <w:lang w:bidi="fa-IR"/>
        </w:rPr>
        <w:t>وَيُقَالُ لِلْكَافِرِ : مَنْ رَبُّكَ</w:t>
      </w:r>
      <w:r>
        <w:rPr>
          <w:rtl/>
          <w:lang w:bidi="fa-IR"/>
        </w:rPr>
        <w:t>؟</w:t>
      </w:r>
      <w:r w:rsidRPr="005D642E">
        <w:rPr>
          <w:rtl/>
          <w:lang w:bidi="fa-IR"/>
        </w:rPr>
        <w:t xml:space="preserve"> فَيَقُولُ : اللهُ </w:t>
      </w:r>
      <w:r w:rsidRPr="007C12DB">
        <w:rPr>
          <w:rStyle w:val="libFootnotenumChar"/>
          <w:rtl/>
        </w:rPr>
        <w:t>(12)</w:t>
      </w:r>
      <w:r w:rsidRPr="005D642E">
        <w:rPr>
          <w:rtl/>
          <w:lang w:bidi="fa-IR"/>
        </w:rPr>
        <w:t xml:space="preserve"> ، فَيُقَالُ : مَنْ نَ</w:t>
      </w:r>
      <w:r>
        <w:rPr>
          <w:rtl/>
          <w:lang w:bidi="fa-IR"/>
        </w:rPr>
        <w:t>بِيُّكَ؟ فَيَقُولُ : مُحَمَّدٌ</w:t>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إبراهيم </w:t>
      </w:r>
      <w:r w:rsidRPr="0042621E">
        <w:rPr>
          <w:rStyle w:val="libFootnote0Char"/>
          <w:rtl/>
        </w:rPr>
        <w:t>(14)</w:t>
      </w:r>
      <w:r w:rsidR="00E3253D" w:rsidRPr="005D642E">
        <w:rPr>
          <w:rtl/>
        </w:rPr>
        <w:t xml:space="preserve"> : 27.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بخ ، بس ، جس » وحاشية « بح » </w:t>
      </w:r>
      <w:r w:rsidR="000D749A" w:rsidRPr="000D749A">
        <w:rPr>
          <w:rStyle w:val="libFootnoteBoldChar"/>
          <w:rtl/>
        </w:rPr>
        <w:t>والوافي</w:t>
      </w:r>
      <w:r w:rsidR="00E3253D" w:rsidRPr="005D642E">
        <w:rPr>
          <w:rtl/>
        </w:rPr>
        <w:t xml:space="preserve"> والبحار والزهد : « فإذا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الزهد</w:t>
      </w:r>
      <w:r w:rsidR="00E3253D" w:rsidRPr="005D642E">
        <w:rPr>
          <w:rtl/>
        </w:rPr>
        <w:t xml:space="preserve"> ، ص 160 ، ح 235 ، بسنده عن عاصم بن حميد. </w:t>
      </w:r>
      <w:r w:rsidR="00E3253D" w:rsidRPr="002F4D34">
        <w:rPr>
          <w:rStyle w:val="libFootnoteBoldChar"/>
          <w:rtl/>
        </w:rPr>
        <w:t>تفسير العيّاشي</w:t>
      </w:r>
      <w:r w:rsidR="00E3253D" w:rsidRPr="005D642E">
        <w:rPr>
          <w:rtl/>
        </w:rPr>
        <w:t xml:space="preserve"> ، ج 2 ، ص 225 ، ح 17 ، عن زرارة وحمران ومحمّد بن مسلم ، عن أبي جعفر وأبي عبدالله </w:t>
      </w:r>
      <w:r w:rsidR="00E3253D" w:rsidRPr="001D3553">
        <w:rPr>
          <w:rStyle w:val="libFootnoteAlaemChar"/>
          <w:rtl/>
        </w:rPr>
        <w:t>عليهما‌السلام</w:t>
      </w:r>
      <w:r w:rsidR="00E3253D" w:rsidRPr="005D642E">
        <w:rPr>
          <w:rtl/>
        </w:rPr>
        <w:t xml:space="preserve">. </w:t>
      </w:r>
      <w:r w:rsidR="00E3253D" w:rsidRPr="002F4D34">
        <w:rPr>
          <w:rStyle w:val="libFootnoteBoldChar"/>
          <w:rtl/>
        </w:rPr>
        <w:t>وفيه</w:t>
      </w:r>
      <w:r w:rsidR="00E3253D" w:rsidRPr="005D642E">
        <w:rPr>
          <w:rtl/>
        </w:rPr>
        <w:t xml:space="preserve"> ، ص 227 ، ح 19 ، عن محمّد بن مسلم ، عن أبي جعفر </w:t>
      </w:r>
      <w:r w:rsidR="00E3253D" w:rsidRPr="001D3553">
        <w:rPr>
          <w:rStyle w:val="libFootnoteAlaemChar"/>
          <w:rtl/>
        </w:rPr>
        <w:t>عليه‌السلام</w:t>
      </w:r>
      <w:r w:rsidR="00E3253D" w:rsidRPr="005D642E">
        <w:rPr>
          <w:rtl/>
        </w:rPr>
        <w:t xml:space="preserve"> ، وفي كلّ المصادر مع اختلاف يسير </w:t>
      </w:r>
      <w:r w:rsidR="001D3553">
        <w:rPr>
          <w:rFonts w:hint="cs"/>
          <w:rtl/>
        </w:rPr>
        <w:t>.</w:t>
      </w:r>
      <w:r w:rsidR="00E3253D" w:rsidRPr="002F4D34">
        <w:rPr>
          <w:rStyle w:val="libFootnoteBoldChar"/>
          <w:rtl/>
        </w:rPr>
        <w:t>الوافي</w:t>
      </w:r>
      <w:r w:rsidR="00E3253D" w:rsidRPr="005D642E">
        <w:rPr>
          <w:rtl/>
        </w:rPr>
        <w:t xml:space="preserve"> ، ج 25 ، ص 615 ، ح 24761 ؛ </w:t>
      </w:r>
      <w:r w:rsidR="00E3253D" w:rsidRPr="002F4D34">
        <w:rPr>
          <w:rStyle w:val="libFootnoteBoldChar"/>
          <w:rtl/>
        </w:rPr>
        <w:t>البحار</w:t>
      </w:r>
      <w:r w:rsidR="00E3253D" w:rsidRPr="005D642E">
        <w:rPr>
          <w:rtl/>
        </w:rPr>
        <w:t xml:space="preserve"> ، ج 6 ، ص 262 ، ح 106.</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 + « ديني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بح ، بس ، جح ، جس » والبحار والزهد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1D3553" w:rsidTr="001D3553">
        <w:tc>
          <w:tcPr>
            <w:tcW w:w="4006" w:type="dxa"/>
          </w:tcPr>
          <w:p w:rsidR="001D3553" w:rsidRDefault="001D3553" w:rsidP="00E3253D">
            <w:pPr>
              <w:pStyle w:val="libFootnote0"/>
              <w:rPr>
                <w:rStyle w:val="libFootnote0Char"/>
                <w:rtl/>
              </w:rPr>
            </w:pPr>
            <w:r w:rsidRPr="0042621E">
              <w:rPr>
                <w:rStyle w:val="libFootnote0Char"/>
                <w:rtl/>
              </w:rPr>
              <w:t>(6).</w:t>
            </w:r>
            <w:r w:rsidRPr="005D642E">
              <w:rPr>
                <w:rtl/>
              </w:rPr>
              <w:t xml:space="preserve"> في « بث » : + « نبيّي »</w:t>
            </w:r>
          </w:p>
        </w:tc>
        <w:tc>
          <w:tcPr>
            <w:tcW w:w="4006" w:type="dxa"/>
          </w:tcPr>
          <w:p w:rsidR="001D3553" w:rsidRDefault="001D3553" w:rsidP="00E3253D">
            <w:pPr>
              <w:pStyle w:val="libFootnote0"/>
              <w:rPr>
                <w:rStyle w:val="libFootnote0Char"/>
                <w:rtl/>
              </w:rPr>
            </w:pPr>
            <w:r w:rsidRPr="0042621E">
              <w:rPr>
                <w:rStyle w:val="libFootnote0Char"/>
                <w:rtl/>
              </w:rPr>
              <w:t>(7).</w:t>
            </w:r>
            <w:r w:rsidRPr="005D642E">
              <w:rPr>
                <w:rtl/>
              </w:rPr>
              <w:t xml:space="preserve"> في « بخ »</w:t>
            </w:r>
            <w:r w:rsidRPr="00C113C9">
              <w:rPr>
                <w:rtl/>
              </w:rPr>
              <w:t xml:space="preserve"> والوافي</w:t>
            </w:r>
            <w:r w:rsidRPr="005D642E">
              <w:rPr>
                <w:rtl/>
              </w:rPr>
              <w:t xml:space="preserve"> : + « له</w:t>
            </w:r>
            <w:r>
              <w:rPr>
                <w:rtl/>
              </w:rPr>
              <w:t xml:space="preserve"> ».</w:t>
            </w:r>
          </w:p>
        </w:tc>
      </w:tr>
      <w:tr w:rsidR="001D3553" w:rsidTr="001D3553">
        <w:tc>
          <w:tcPr>
            <w:tcW w:w="4006" w:type="dxa"/>
          </w:tcPr>
          <w:p w:rsidR="001D3553" w:rsidRDefault="001D3553" w:rsidP="00E3253D">
            <w:pPr>
              <w:pStyle w:val="libFootnote0"/>
              <w:rPr>
                <w:rStyle w:val="libFootnote0Char"/>
                <w:rtl/>
              </w:rPr>
            </w:pPr>
            <w:r w:rsidRPr="0042621E">
              <w:rPr>
                <w:rStyle w:val="libFootnote0Char"/>
                <w:rtl/>
              </w:rPr>
              <w:t>(8).</w:t>
            </w:r>
            <w:r w:rsidRPr="005D642E">
              <w:rPr>
                <w:rtl/>
              </w:rPr>
              <w:t xml:space="preserve"> في « جس » : « ذلك</w:t>
            </w:r>
            <w:r>
              <w:rPr>
                <w:rtl/>
              </w:rPr>
              <w:t xml:space="preserve"> ».</w:t>
            </w:r>
          </w:p>
        </w:tc>
        <w:tc>
          <w:tcPr>
            <w:tcW w:w="4006" w:type="dxa"/>
          </w:tcPr>
          <w:p w:rsidR="001D3553" w:rsidRDefault="001D3553" w:rsidP="00E3253D">
            <w:pPr>
              <w:pStyle w:val="libFootnote0"/>
              <w:rPr>
                <w:rStyle w:val="libFootnote0Char"/>
                <w:rtl/>
              </w:rPr>
            </w:pPr>
            <w:r w:rsidRPr="0042621E">
              <w:rPr>
                <w:rStyle w:val="libFootnote0Char"/>
                <w:rtl/>
              </w:rPr>
              <w:t>(9).</w:t>
            </w:r>
            <w:r w:rsidRPr="005D642E">
              <w:rPr>
                <w:rtl/>
              </w:rPr>
              <w:t xml:space="preserve"> في « بث » :</w:t>
            </w:r>
            <w:r>
              <w:rPr>
                <w:rtl/>
              </w:rPr>
              <w:t xml:space="preserve"> - </w:t>
            </w:r>
            <w:r w:rsidRPr="005D642E">
              <w:rPr>
                <w:rtl/>
              </w:rPr>
              <w:t>« له</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بث ، بح ، بخ ، بس ، جح ، جس »</w:t>
      </w:r>
      <w:r w:rsidR="00E3253D" w:rsidRPr="00C113C9">
        <w:rPr>
          <w:rtl/>
        </w:rPr>
        <w:t xml:space="preserve"> </w:t>
      </w:r>
      <w:r w:rsidR="000D749A" w:rsidRPr="00C113C9">
        <w:rPr>
          <w:rtl/>
        </w:rPr>
        <w:t>والوافي</w:t>
      </w:r>
      <w:r w:rsidR="00E3253D" w:rsidRPr="005D642E">
        <w:rPr>
          <w:rtl/>
        </w:rPr>
        <w:t xml:space="preserve"> والبحار : « إليه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113C9" w:rsidTr="00C113C9">
        <w:tc>
          <w:tcPr>
            <w:tcW w:w="4006" w:type="dxa"/>
          </w:tcPr>
          <w:p w:rsidR="00C113C9" w:rsidRDefault="00C113C9" w:rsidP="00E3253D">
            <w:pPr>
              <w:pStyle w:val="libFootnote0"/>
              <w:rPr>
                <w:rStyle w:val="libFootnote0Char"/>
                <w:rtl/>
              </w:rPr>
            </w:pPr>
            <w:r w:rsidRPr="0042621E">
              <w:rPr>
                <w:rStyle w:val="libFootnote0Char"/>
                <w:rtl/>
              </w:rPr>
              <w:t>(11).</w:t>
            </w:r>
            <w:r w:rsidRPr="005D642E">
              <w:rPr>
                <w:rtl/>
              </w:rPr>
              <w:t xml:space="preserve"> في « بخ » :</w:t>
            </w:r>
            <w:r>
              <w:rPr>
                <w:rtl/>
              </w:rPr>
              <w:t xml:space="preserve"> - </w:t>
            </w:r>
            <w:r w:rsidRPr="005D642E">
              <w:rPr>
                <w:rtl/>
              </w:rPr>
              <w:t>« يا</w:t>
            </w:r>
            <w:r>
              <w:rPr>
                <w:rtl/>
              </w:rPr>
              <w:t xml:space="preserve"> ».</w:t>
            </w:r>
          </w:p>
        </w:tc>
        <w:tc>
          <w:tcPr>
            <w:tcW w:w="4006" w:type="dxa"/>
          </w:tcPr>
          <w:p w:rsidR="00C113C9" w:rsidRDefault="00C113C9" w:rsidP="00E3253D">
            <w:pPr>
              <w:pStyle w:val="libFootnote0"/>
              <w:rPr>
                <w:rStyle w:val="libFootnote0Char"/>
                <w:rtl/>
              </w:rPr>
            </w:pPr>
            <w:r w:rsidRPr="0042621E">
              <w:rPr>
                <w:rStyle w:val="libFootnote0Char"/>
                <w:rtl/>
              </w:rPr>
              <w:t>(12).</w:t>
            </w:r>
            <w:r w:rsidRPr="005D642E">
              <w:rPr>
                <w:rtl/>
              </w:rPr>
              <w:t xml:space="preserve"> في « بث ، بح ، جح » : + « ربّي</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فَيُقَالُ </w:t>
      </w:r>
      <w:r w:rsidRPr="007C12DB">
        <w:rPr>
          <w:rStyle w:val="libFootnotenumChar"/>
          <w:rtl/>
        </w:rPr>
        <w:t>(1)</w:t>
      </w:r>
      <w:r w:rsidRPr="005D642E">
        <w:rPr>
          <w:rtl/>
          <w:lang w:bidi="fa-IR"/>
        </w:rPr>
        <w:t xml:space="preserve"> : مَا دِينُكَ</w:t>
      </w:r>
      <w:r>
        <w:rPr>
          <w:rtl/>
          <w:lang w:bidi="fa-IR"/>
        </w:rPr>
        <w:t>؟</w:t>
      </w:r>
      <w:r w:rsidRPr="005D642E">
        <w:rPr>
          <w:rtl/>
          <w:lang w:bidi="fa-IR"/>
        </w:rPr>
        <w:t xml:space="preserve"> فَيَقُولُ : الْإِسْلَامُ ، فَيُقَالُ : مِنْ أَيْنَ عَلِمْتَ ذلِكَ </w:t>
      </w:r>
      <w:r w:rsidRPr="007C12DB">
        <w:rPr>
          <w:rStyle w:val="libFootnotenumChar"/>
          <w:rtl/>
        </w:rPr>
        <w:t>(2)</w:t>
      </w:r>
      <w:r>
        <w:rPr>
          <w:rtl/>
          <w:lang w:bidi="fa-IR"/>
        </w:rPr>
        <w:t>؟</w:t>
      </w:r>
      <w:r w:rsidRPr="005D642E">
        <w:rPr>
          <w:rtl/>
          <w:lang w:bidi="fa-IR"/>
        </w:rPr>
        <w:t xml:space="preserve"> فَيَقُولُ : سَمِعْتُ </w:t>
      </w:r>
      <w:r w:rsidRPr="007C12DB">
        <w:rPr>
          <w:rStyle w:val="libFootnotenumChar"/>
          <w:rtl/>
        </w:rPr>
        <w:t>(3)</w:t>
      </w:r>
      <w:r w:rsidRPr="005D642E">
        <w:rPr>
          <w:rtl/>
          <w:lang w:bidi="fa-IR"/>
        </w:rPr>
        <w:t xml:space="preserve"> النَّاسَ يَقُولُونَ فَقُلْتُهُ </w:t>
      </w:r>
      <w:r w:rsidRPr="007C12DB">
        <w:rPr>
          <w:rStyle w:val="libFootnotenumChar"/>
          <w:rtl/>
        </w:rPr>
        <w:t>(4)</w:t>
      </w:r>
      <w:r w:rsidRPr="005D642E">
        <w:rPr>
          <w:rtl/>
          <w:lang w:bidi="fa-IR"/>
        </w:rPr>
        <w:t xml:space="preserve"> ، فَيَضْرِبَانِهِ </w:t>
      </w:r>
      <w:r w:rsidRPr="007C12DB">
        <w:rPr>
          <w:rStyle w:val="libFootnotenumChar"/>
          <w:rtl/>
        </w:rPr>
        <w:t>(5)</w:t>
      </w:r>
      <w:r w:rsidRPr="005D642E">
        <w:rPr>
          <w:rtl/>
          <w:lang w:bidi="fa-IR"/>
        </w:rPr>
        <w:t xml:space="preserve"> بِمِرْزَبَةٍ </w:t>
      </w:r>
      <w:r w:rsidRPr="007C12DB">
        <w:rPr>
          <w:rStyle w:val="libFootnotenumChar"/>
          <w:rtl/>
        </w:rPr>
        <w:t>(6)</w:t>
      </w:r>
      <w:r w:rsidRPr="005D642E">
        <w:rPr>
          <w:rtl/>
          <w:lang w:bidi="fa-IR"/>
        </w:rPr>
        <w:t xml:space="preserve"> لَوِ اجْتَمَعَ عَلَيْهَا الثَّقَلَانِ</w:t>
      </w:r>
      <w:r>
        <w:rPr>
          <w:rtl/>
          <w:lang w:bidi="fa-IR"/>
        </w:rPr>
        <w:t xml:space="preserve"> </w:t>
      </w:r>
      <w:r w:rsidR="007642BC">
        <w:rPr>
          <w:rtl/>
          <w:lang w:bidi="fa-IR"/>
        </w:rPr>
        <w:t>-</w:t>
      </w:r>
      <w:r>
        <w:rPr>
          <w:rtl/>
          <w:lang w:bidi="fa-IR"/>
        </w:rPr>
        <w:t xml:space="preserve"> </w:t>
      </w:r>
      <w:r w:rsidRPr="005D642E">
        <w:rPr>
          <w:rtl/>
          <w:lang w:bidi="fa-IR"/>
        </w:rPr>
        <w:t xml:space="preserve">الْإِنْسُ وَالْجِنُّ </w:t>
      </w:r>
      <w:r w:rsidRPr="007C12DB">
        <w:rPr>
          <w:rStyle w:val="libFootnotenumChar"/>
          <w:rtl/>
        </w:rPr>
        <w:t>(7)</w:t>
      </w:r>
      <w:r>
        <w:rPr>
          <w:rtl/>
          <w:lang w:bidi="fa-IR"/>
        </w:rPr>
        <w:t xml:space="preserve"> </w:t>
      </w:r>
      <w:r w:rsidR="007642BC">
        <w:rPr>
          <w:rtl/>
          <w:lang w:bidi="fa-IR"/>
        </w:rPr>
        <w:t>-</w:t>
      </w:r>
      <w:r>
        <w:rPr>
          <w:rtl/>
          <w:lang w:bidi="fa-IR"/>
        </w:rPr>
        <w:t xml:space="preserve"> </w:t>
      </w:r>
      <w:r w:rsidRPr="005D642E">
        <w:rPr>
          <w:rtl/>
          <w:lang w:bidi="fa-IR"/>
        </w:rPr>
        <w:t>لَمْ يُطِيقُوهَا » قَالَ : « فَيَذُوبُ كَمَا يَذُوبُ الرَّصَاصُ ، ثُمَّ يُعِيدَانِ فِيهِ الرُّوحَ ، فَيُوضَعُ قَلْبُهُ بَيْنَ لَوْحَيْنِ مِنْ نَارٍ ، فَيَقُولُ : يَا رَبِّ ، أَخِّرْ قِيَامَ السَّاعَةِ</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51574D">
        <w:rPr>
          <w:rtl/>
        </w:rPr>
        <w:t>4706</w:t>
      </w:r>
      <w:r w:rsidRPr="00246318">
        <w:rPr>
          <w:rStyle w:val="libBold2Char"/>
          <w:rtl/>
        </w:rPr>
        <w:t xml:space="preserve"> / 12.</w:t>
      </w:r>
      <w:r w:rsidRPr="005D642E">
        <w:rPr>
          <w:rtl/>
          <w:lang w:bidi="fa-IR"/>
        </w:rPr>
        <w:t xml:space="preserve"> مُحَمَّدُ بْنُ يَحْيى ، عَنْ أَحْمَدَ بْنِ مُحَمَّدِ بْنِ عِيسى ، عَنِ الْحُسَيْنِ بْنِ سَعِيدٍ ، عَنِ الْقَاسِمِ بْنِ مُحَمَّدٍ ، عَنْ عَلِيِّ بْنِ أَبِي حَمْزَةَ ، عَنْ أَبِي بَصِيرٍ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الْمُؤْمِنَ إِذَا أُخْرِجَ </w:t>
      </w:r>
      <w:r w:rsidRPr="007C12DB">
        <w:rPr>
          <w:rStyle w:val="libFootnotenumChar"/>
          <w:rtl/>
        </w:rPr>
        <w:t>(9)</w:t>
      </w:r>
      <w:r w:rsidRPr="005D642E">
        <w:rPr>
          <w:rtl/>
          <w:lang w:bidi="fa-IR"/>
        </w:rPr>
        <w:t xml:space="preserve"> مِنْ بَيْتِهِ ، شَيَّعَتْهُ </w:t>
      </w:r>
      <w:r w:rsidRPr="007C12DB">
        <w:rPr>
          <w:rStyle w:val="libFootnotenumChar"/>
          <w:rtl/>
        </w:rPr>
        <w:t>(10)</w:t>
      </w:r>
      <w:r w:rsidRPr="005D642E">
        <w:rPr>
          <w:rtl/>
          <w:lang w:bidi="fa-IR"/>
        </w:rPr>
        <w:t xml:space="preserve"> الْمَلَائِكَةُ </w:t>
      </w:r>
      <w:r w:rsidRPr="007C12DB">
        <w:rPr>
          <w:rStyle w:val="libFootnotenumChar"/>
          <w:rtl/>
        </w:rPr>
        <w:t>(11)</w:t>
      </w:r>
      <w:r w:rsidRPr="005D642E">
        <w:rPr>
          <w:rtl/>
          <w:lang w:bidi="fa-IR"/>
        </w:rPr>
        <w:t xml:space="preserve"> إِلى قَبْرِهِ يَزْدَحِمُونَ عَلَيْهِ حَتّى إِذَا </w:t>
      </w:r>
      <w:r w:rsidRPr="007C12DB">
        <w:rPr>
          <w:rStyle w:val="libFootnotenumChar"/>
          <w:rtl/>
        </w:rPr>
        <w:t>(12)</w:t>
      </w:r>
      <w:r w:rsidRPr="005D642E">
        <w:rPr>
          <w:rtl/>
          <w:lang w:bidi="fa-IR"/>
        </w:rPr>
        <w:t xml:space="preserve"> انْتَهى بِهِ إِلى قَبْرِهِ ، قَالَتْ لَهُ الْأَرْضُ : مَرْحَباً بِكَ وَأَهْلاً ، أَمَا وَاللهِ ، لَقَدْ كُنْتُ أُحِبُّ أَنْ يَمْشِيَ عَلَيَّ مِثْلُكَ ، لَتَرَيَنَّ مَا أَصْنَعُ بِكَ ، فَتَوَسَّعُ </w:t>
      </w:r>
      <w:r w:rsidRPr="007C12DB">
        <w:rPr>
          <w:rStyle w:val="libFootnotenumChar"/>
          <w:rtl/>
        </w:rPr>
        <w:t>(13)</w:t>
      </w:r>
      <w:r w:rsidRPr="005D642E">
        <w:rPr>
          <w:rtl/>
          <w:lang w:bidi="fa-IR"/>
        </w:rPr>
        <w:t xml:space="preserve"> لَهُ مَدَّ بَصَرِهِ ، وَيَدْخُلُ عَلَيْهِ فِي قَبْرِهِ مَلَكَا الْقَبْرِ وَهُمَا قَعِيدَا </w:t>
      </w:r>
      <w:r w:rsidRPr="007C12DB">
        <w:rPr>
          <w:rStyle w:val="libFootnotenumChar"/>
          <w:rtl/>
        </w:rPr>
        <w:t>(14)</w:t>
      </w:r>
      <w:r w:rsidRPr="005D642E">
        <w:rPr>
          <w:rtl/>
          <w:lang w:bidi="fa-IR"/>
        </w:rPr>
        <w:t xml:space="preserve"> الْقَبْرِ : مُنْكَرٌ وَنَكِيرٌ ، فَيُلْقِيَانِ فِيهِ الرُّوحَ إِلى حَقْوَيْهِ </w:t>
      </w:r>
      <w:r w:rsidRPr="007C12DB">
        <w:rPr>
          <w:rStyle w:val="libFootnotenumChar"/>
          <w:rtl/>
        </w:rPr>
        <w:t>(15)</w:t>
      </w:r>
      <w:r w:rsidRPr="005D642E">
        <w:rPr>
          <w:rtl/>
          <w:lang w:bidi="fa-IR"/>
        </w:rPr>
        <w:t xml:space="preserve"> ، فَيُقْعِدَانِهِ وَيَسْأَلَانِهِ ، فَيَقُولَانِ‌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113C9" w:rsidTr="00C113C9">
        <w:tc>
          <w:tcPr>
            <w:tcW w:w="4006" w:type="dxa"/>
          </w:tcPr>
          <w:p w:rsidR="00C113C9" w:rsidRDefault="00C113C9" w:rsidP="00E3253D">
            <w:pPr>
              <w:pStyle w:val="libFootnote0"/>
              <w:rPr>
                <w:rStyle w:val="libFootnote0Char"/>
                <w:rtl/>
              </w:rPr>
            </w:pPr>
            <w:r w:rsidRPr="0042621E">
              <w:rPr>
                <w:rStyle w:val="libFootnote0Char"/>
                <w:rtl/>
              </w:rPr>
              <w:t>(1).</w:t>
            </w:r>
            <w:r>
              <w:rPr>
                <w:rtl/>
              </w:rPr>
              <w:t xml:space="preserve"> في «بخ» : «</w:t>
            </w:r>
            <w:r w:rsidRPr="005D642E">
              <w:rPr>
                <w:rtl/>
              </w:rPr>
              <w:t>ويقال</w:t>
            </w:r>
            <w:r>
              <w:rPr>
                <w:rtl/>
              </w:rPr>
              <w:t>».</w:t>
            </w:r>
            <w:r w:rsidRPr="005D642E">
              <w:rPr>
                <w:rtl/>
              </w:rPr>
              <w:t xml:space="preserve"> وفي الوافي : « ويقال له</w:t>
            </w:r>
            <w:r>
              <w:rPr>
                <w:rtl/>
              </w:rPr>
              <w:t xml:space="preserve"> ».</w:t>
            </w:r>
          </w:p>
        </w:tc>
        <w:tc>
          <w:tcPr>
            <w:tcW w:w="4006" w:type="dxa"/>
          </w:tcPr>
          <w:p w:rsidR="00C113C9" w:rsidRDefault="00C113C9" w:rsidP="00E3253D">
            <w:pPr>
              <w:pStyle w:val="libFootnote0"/>
              <w:rPr>
                <w:rStyle w:val="libFootnote0Char"/>
                <w:rtl/>
              </w:rPr>
            </w:pPr>
            <w:r w:rsidRPr="0042621E">
              <w:rPr>
                <w:rStyle w:val="libFootnote0Char"/>
                <w:rtl/>
              </w:rPr>
              <w:t>(2).</w:t>
            </w:r>
            <w:r w:rsidRPr="005D642E">
              <w:rPr>
                <w:rtl/>
              </w:rPr>
              <w:t xml:space="preserve"> في « جس » : « هذا</w:t>
            </w:r>
            <w:r>
              <w:rPr>
                <w:rtl/>
              </w:rPr>
              <w:t xml:space="preserve"> ».</w:t>
            </w:r>
          </w:p>
        </w:tc>
      </w:tr>
      <w:tr w:rsidR="00C113C9" w:rsidTr="00C113C9">
        <w:tc>
          <w:tcPr>
            <w:tcW w:w="4006" w:type="dxa"/>
          </w:tcPr>
          <w:p w:rsidR="00C113C9" w:rsidRDefault="00C113C9" w:rsidP="00E3253D">
            <w:pPr>
              <w:pStyle w:val="libFootnote0"/>
              <w:rPr>
                <w:rStyle w:val="libFootnote0Char"/>
                <w:rtl/>
              </w:rPr>
            </w:pPr>
            <w:r w:rsidRPr="0042621E">
              <w:rPr>
                <w:rStyle w:val="libFootnote0Char"/>
                <w:rtl/>
              </w:rPr>
              <w:t>(3).</w:t>
            </w:r>
            <w:r w:rsidRPr="005D642E">
              <w:rPr>
                <w:rtl/>
              </w:rPr>
              <w:t xml:space="preserve"> في « بث » : + « من</w:t>
            </w:r>
            <w:r>
              <w:rPr>
                <w:rtl/>
              </w:rPr>
              <w:t xml:space="preserve"> ».</w:t>
            </w:r>
          </w:p>
        </w:tc>
        <w:tc>
          <w:tcPr>
            <w:tcW w:w="4006" w:type="dxa"/>
          </w:tcPr>
          <w:p w:rsidR="00C113C9" w:rsidRDefault="00C113C9" w:rsidP="00E3253D">
            <w:pPr>
              <w:pStyle w:val="libFootnote0"/>
              <w:rPr>
                <w:rStyle w:val="libFootnote0Char"/>
                <w:rtl/>
              </w:rPr>
            </w:pPr>
            <w:r w:rsidRPr="0042621E">
              <w:rPr>
                <w:rStyle w:val="libFootnote0Char"/>
                <w:rtl/>
              </w:rPr>
              <w:t>(4).</w:t>
            </w:r>
            <w:r w:rsidRPr="005D642E">
              <w:rPr>
                <w:rtl/>
              </w:rPr>
              <w:t xml:space="preserve"> في « بح ، جح » : « فقلت</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فيضربان</w:t>
      </w:r>
      <w:r w:rsidR="00E3253D">
        <w:rPr>
          <w:rtl/>
        </w:rPr>
        <w:t xml:space="preserve"> ».</w:t>
      </w:r>
    </w:p>
    <w:p w:rsidR="00E3253D" w:rsidRPr="005D642E" w:rsidRDefault="0042621E" w:rsidP="00C113C9">
      <w:pPr>
        <w:pStyle w:val="libFootnote0"/>
        <w:rPr>
          <w:rtl/>
          <w:lang w:bidi="fa-IR"/>
        </w:rPr>
      </w:pPr>
      <w:r w:rsidRPr="0042621E">
        <w:rPr>
          <w:rStyle w:val="libFootnote0Char"/>
          <w:rtl/>
        </w:rPr>
        <w:t>(6).</w:t>
      </w:r>
      <w:r w:rsidR="00E3253D" w:rsidRPr="005D642E">
        <w:rPr>
          <w:rtl/>
        </w:rPr>
        <w:t xml:space="preserve"> « المِرْزبَةُ » : المِطْرقة الكبيرة التي تكون للحدّاد ، وقيل : هِي عُصَيَّة من حديد. راجع : </w:t>
      </w:r>
      <w:r w:rsidR="00E3253D" w:rsidRPr="002F4D34">
        <w:rPr>
          <w:rStyle w:val="libFootnoteBoldChar"/>
          <w:rtl/>
        </w:rPr>
        <w:t>النهاية</w:t>
      </w:r>
      <w:r w:rsidR="00E3253D" w:rsidRPr="005D642E">
        <w:rPr>
          <w:rtl/>
        </w:rPr>
        <w:t xml:space="preserve"> ، ج 2 ، ص 219 ؛ </w:t>
      </w:r>
      <w:r w:rsidR="00E3253D" w:rsidRPr="002F4D34">
        <w:rPr>
          <w:rStyle w:val="libFootnoteBoldChar"/>
          <w:rtl/>
        </w:rPr>
        <w:t>لسان العرب</w:t>
      </w:r>
      <w:r w:rsidR="00E3253D" w:rsidRPr="005D642E">
        <w:rPr>
          <w:rtl/>
        </w:rPr>
        <w:t xml:space="preserve"> ، ج 1 ، ص 416 ( رزب )</w:t>
      </w:r>
      <w:r w:rsidR="00E3253D">
        <w:rPr>
          <w:rtl/>
        </w:rPr>
        <w:t>.</w:t>
      </w:r>
      <w:r w:rsidR="00C113C9">
        <w:rPr>
          <w:rFonts w:hint="cs"/>
          <w:rtl/>
        </w:rPr>
        <w:t xml:space="preserve">       </w:t>
      </w:r>
      <w:r w:rsidRPr="0042621E">
        <w:rPr>
          <w:rStyle w:val="libFootnote0Char"/>
          <w:rtl/>
        </w:rPr>
        <w:t>(7).</w:t>
      </w:r>
      <w:r w:rsidR="00E3253D" w:rsidRPr="005D642E">
        <w:rPr>
          <w:rtl/>
        </w:rPr>
        <w:t xml:space="preserve"> في « بث » : « الجنّ والإنس</w:t>
      </w:r>
      <w:r w:rsidR="00E3253D">
        <w:rPr>
          <w:rtl/>
        </w:rPr>
        <w:t xml:space="preserve"> ».</w:t>
      </w:r>
    </w:p>
    <w:p w:rsidR="00E3253D" w:rsidRPr="005D642E" w:rsidRDefault="0042621E" w:rsidP="00C113C9">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الزهد</w:t>
      </w:r>
      <w:r w:rsidR="00E3253D" w:rsidRPr="005D642E">
        <w:rPr>
          <w:rtl/>
        </w:rPr>
        <w:t xml:space="preserve"> ، ص 161 ، ح 236 ، عن إبراهيم بن أبي البلاد ، عن بعض أصحابه رفعه إلى بعض الفقهاء ، من دون الإسناد إلى المعصوم </w:t>
      </w:r>
      <w:r w:rsidR="00E3253D" w:rsidRPr="00C113C9">
        <w:rPr>
          <w:rStyle w:val="libFootnoteAlaemChar"/>
          <w:rtl/>
        </w:rPr>
        <w:t>عليه‌السلام</w:t>
      </w:r>
      <w:r w:rsidR="00E3253D" w:rsidRPr="005D642E">
        <w:rPr>
          <w:rtl/>
        </w:rPr>
        <w:t xml:space="preserve"> ، مع اختلاف يسير. وراجع : </w:t>
      </w:r>
      <w:r w:rsidR="00E3253D" w:rsidRPr="002F4D34">
        <w:rPr>
          <w:rStyle w:val="libFootnoteBoldChar"/>
          <w:rtl/>
        </w:rPr>
        <w:t>الاختصاص</w:t>
      </w:r>
      <w:r w:rsidR="00E3253D" w:rsidRPr="005D642E">
        <w:rPr>
          <w:rtl/>
        </w:rPr>
        <w:t xml:space="preserve"> ، ص 347 </w:t>
      </w:r>
      <w:r w:rsidR="00C113C9">
        <w:rPr>
          <w:rFonts w:hint="cs"/>
          <w:rtl/>
        </w:rPr>
        <w:t>.</w:t>
      </w:r>
      <w:r w:rsidR="00E3253D" w:rsidRPr="002F4D34">
        <w:rPr>
          <w:rStyle w:val="libFootnoteBoldChar"/>
          <w:rtl/>
        </w:rPr>
        <w:t>الوافي</w:t>
      </w:r>
      <w:r w:rsidR="00E3253D" w:rsidRPr="005D642E">
        <w:rPr>
          <w:rtl/>
        </w:rPr>
        <w:t xml:space="preserve"> ، ج 25 ، ص 617 ، ح 24763 ؛ </w:t>
      </w:r>
      <w:r w:rsidR="00E3253D" w:rsidRPr="002F4D34">
        <w:rPr>
          <w:rStyle w:val="libFootnoteBoldChar"/>
          <w:rtl/>
        </w:rPr>
        <w:t>البحار</w:t>
      </w:r>
      <w:r w:rsidR="00E3253D" w:rsidRPr="005D642E">
        <w:rPr>
          <w:rtl/>
        </w:rPr>
        <w:t xml:space="preserve"> ، ج 6 ، ص 263 ، ح 107.</w:t>
      </w:r>
      <w:r w:rsidR="00C113C9">
        <w:rPr>
          <w:rFonts w:hint="cs"/>
          <w:rtl/>
        </w:rPr>
        <w:t xml:space="preserve">        </w:t>
      </w:r>
      <w:r w:rsidRPr="0042621E">
        <w:rPr>
          <w:rStyle w:val="libFootnote0Char"/>
          <w:rtl/>
        </w:rPr>
        <w:t>(9).</w:t>
      </w:r>
      <w:r w:rsidR="00E3253D" w:rsidRPr="005D642E">
        <w:rPr>
          <w:rtl/>
        </w:rPr>
        <w:t xml:space="preserve"> في « ى ، بث ، بح ، بخ ، بس » : « إذا خرج</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C113C9" w:rsidTr="00C113C9">
        <w:tc>
          <w:tcPr>
            <w:tcW w:w="4006" w:type="dxa"/>
          </w:tcPr>
          <w:p w:rsidR="00C113C9" w:rsidRDefault="00C113C9" w:rsidP="00E3253D">
            <w:pPr>
              <w:pStyle w:val="libFootnote0"/>
              <w:rPr>
                <w:rStyle w:val="libFootnote0Char"/>
                <w:rtl/>
              </w:rPr>
            </w:pPr>
            <w:r w:rsidRPr="0042621E">
              <w:rPr>
                <w:rStyle w:val="libFootnote0Char"/>
                <w:rtl/>
              </w:rPr>
              <w:t>(10).</w:t>
            </w:r>
            <w:r w:rsidRPr="005D642E">
              <w:rPr>
                <w:rtl/>
              </w:rPr>
              <w:t xml:space="preserve"> في « بس » والبحار : « شيّعه</w:t>
            </w:r>
            <w:r>
              <w:rPr>
                <w:rtl/>
              </w:rPr>
              <w:t xml:space="preserve"> ».</w:t>
            </w:r>
          </w:p>
        </w:tc>
        <w:tc>
          <w:tcPr>
            <w:tcW w:w="4006" w:type="dxa"/>
          </w:tcPr>
          <w:p w:rsidR="00C113C9" w:rsidRDefault="00C113C9" w:rsidP="00E3253D">
            <w:pPr>
              <w:pStyle w:val="libFootnote0"/>
              <w:rPr>
                <w:rStyle w:val="libFootnote0Char"/>
                <w:rtl/>
              </w:rPr>
            </w:pPr>
            <w:r w:rsidRPr="0042621E">
              <w:rPr>
                <w:rStyle w:val="libFootnote0Char"/>
                <w:rtl/>
              </w:rPr>
              <w:t>(11).</w:t>
            </w:r>
            <w:r w:rsidRPr="005D642E">
              <w:rPr>
                <w:rtl/>
              </w:rPr>
              <w:t xml:space="preserve"> في « بخ » </w:t>
            </w:r>
            <w:r w:rsidRPr="00C113C9">
              <w:rPr>
                <w:rtl/>
              </w:rPr>
              <w:t>والوافي :</w:t>
            </w:r>
            <w:r w:rsidRPr="005D642E">
              <w:rPr>
                <w:rtl/>
              </w:rPr>
              <w:t xml:space="preserve"> « ملائكة الله</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جس » :</w:t>
      </w:r>
      <w:r w:rsidR="00E3253D">
        <w:rPr>
          <w:rtl/>
        </w:rPr>
        <w:t xml:space="preserve"> </w:t>
      </w:r>
      <w:r w:rsidR="007642BC">
        <w:rPr>
          <w:rtl/>
        </w:rPr>
        <w:t>-</w:t>
      </w:r>
      <w:r w:rsidR="00E3253D">
        <w:rPr>
          <w:rtl/>
        </w:rPr>
        <w:t xml:space="preserve"> </w:t>
      </w:r>
      <w:r w:rsidR="00E3253D" w:rsidRPr="005D642E">
        <w:rPr>
          <w:rtl/>
        </w:rPr>
        <w:t>« إذا</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ى ، بث ، بح ، بخ ، بس ، جس » والبحار : « فيوسّع</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بث ، بخ ، بس ، جس » : « قعيد</w:t>
      </w:r>
      <w:r w:rsidR="00E3253D">
        <w:rPr>
          <w:rtl/>
        </w:rPr>
        <w:t xml:space="preserve"> ».</w:t>
      </w:r>
      <w:r w:rsidR="00E3253D" w:rsidRPr="005D642E">
        <w:rPr>
          <w:rtl/>
        </w:rPr>
        <w:t xml:space="preserve"> والقعيد : الذي يصاحبك في قعودك ، فعيل بمعنى مفاعل. راجع : </w:t>
      </w:r>
      <w:r w:rsidR="00E3253D" w:rsidRPr="002F4D34">
        <w:rPr>
          <w:rStyle w:val="libFootnoteBoldChar"/>
          <w:rtl/>
        </w:rPr>
        <w:t>النهاية</w:t>
      </w:r>
      <w:r w:rsidR="00E3253D" w:rsidRPr="005D642E">
        <w:rPr>
          <w:rtl/>
        </w:rPr>
        <w:t xml:space="preserve"> ، ج 4 ، ص 86 ( قعد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الحَقْوان : الخاصرتان ، وهما من الإنسان جنباه فوق رأس الورك. الواحد : الحَقْو ، وهو معقد الإزار </w:t>
      </w:r>
      <w:r w:rsidR="00C113C9">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لَهُ </w:t>
      </w:r>
      <w:r w:rsidRPr="007C12DB">
        <w:rPr>
          <w:rStyle w:val="libFootnotenumChar"/>
          <w:rtl/>
        </w:rPr>
        <w:t>(1)</w:t>
      </w:r>
      <w:r w:rsidRPr="005D642E">
        <w:rPr>
          <w:rtl/>
          <w:lang w:bidi="fa-IR"/>
        </w:rPr>
        <w:t xml:space="preserve"> : مَنْ رَبُّكَ</w:t>
      </w:r>
      <w:r>
        <w:rPr>
          <w:rtl/>
          <w:lang w:bidi="fa-IR"/>
        </w:rPr>
        <w:t>؟</w:t>
      </w:r>
      <w:r w:rsidRPr="005D642E">
        <w:rPr>
          <w:rtl/>
          <w:lang w:bidi="fa-IR"/>
        </w:rPr>
        <w:t xml:space="preserve"> فَيَقُولُ : اللهُ ، فَيَقُولَانِ : مَا دِينُكَ</w:t>
      </w:r>
      <w:r>
        <w:rPr>
          <w:rtl/>
          <w:lang w:bidi="fa-IR"/>
        </w:rPr>
        <w:t>؟</w:t>
      </w:r>
      <w:r w:rsidRPr="005D642E">
        <w:rPr>
          <w:rtl/>
          <w:lang w:bidi="fa-IR"/>
        </w:rPr>
        <w:t xml:space="preserve"> فَيَقُولُ : الْإِسْلَامُ ، فَيَقُولَانِ : وَمَنْ </w:t>
      </w:r>
      <w:r w:rsidRPr="007C12DB">
        <w:rPr>
          <w:rStyle w:val="libFootnotenumChar"/>
          <w:rtl/>
        </w:rPr>
        <w:t>(2)</w:t>
      </w:r>
      <w:r w:rsidRPr="005D642E">
        <w:rPr>
          <w:rtl/>
          <w:lang w:bidi="fa-IR"/>
        </w:rPr>
        <w:t xml:space="preserve"> نَبِيُّكَ</w:t>
      </w:r>
      <w:r>
        <w:rPr>
          <w:rtl/>
          <w:lang w:bidi="fa-IR"/>
        </w:rPr>
        <w:t>؟</w:t>
      </w:r>
      <w:r w:rsidRPr="005D642E">
        <w:rPr>
          <w:rtl/>
          <w:lang w:bidi="fa-IR"/>
        </w:rPr>
        <w:t xml:space="preserve"> فَيَقُولُ : مُحَمَّدٌ </w:t>
      </w:r>
      <w:r w:rsidR="0042621E" w:rsidRPr="0042621E">
        <w:rPr>
          <w:rStyle w:val="libAlaemChar"/>
          <w:rtl/>
        </w:rPr>
        <w:t>صلى‌الله‌عليه‌وآله</w:t>
      </w:r>
      <w:r w:rsidRPr="005D642E">
        <w:rPr>
          <w:rtl/>
          <w:lang w:bidi="fa-IR"/>
        </w:rPr>
        <w:t xml:space="preserve"> ، فَيَقُولَانِ : وَمَنْ إِمَامُكَ</w:t>
      </w:r>
      <w:r>
        <w:rPr>
          <w:rtl/>
          <w:lang w:bidi="fa-IR"/>
        </w:rPr>
        <w:t>؟</w:t>
      </w:r>
      <w:r w:rsidRPr="005D642E">
        <w:rPr>
          <w:rtl/>
          <w:lang w:bidi="fa-IR"/>
        </w:rPr>
        <w:t xml:space="preserve"> فَيَقُولُ : فُلَانٌ</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فَيُنَادِي </w:t>
      </w:r>
      <w:r w:rsidRPr="007C12DB">
        <w:rPr>
          <w:rStyle w:val="libFootnotenumChar"/>
          <w:rtl/>
        </w:rPr>
        <w:t>(3)</w:t>
      </w:r>
      <w:r w:rsidRPr="005D642E">
        <w:rPr>
          <w:rtl/>
          <w:lang w:bidi="fa-IR"/>
        </w:rPr>
        <w:t xml:space="preserve"> مُنَادٍ مِنَ السَّمَاءِ : صَدَقَ عَبْدِي ، افْرُشُوا لَهُ فِي قَبْرِهِ مِنَ </w:t>
      </w:r>
      <w:r w:rsidRPr="007C12DB">
        <w:rPr>
          <w:rStyle w:val="libFootnotenumChar"/>
          <w:rtl/>
        </w:rPr>
        <w:t>(4)</w:t>
      </w:r>
      <w:r w:rsidRPr="005D642E">
        <w:rPr>
          <w:rtl/>
          <w:lang w:bidi="fa-IR"/>
        </w:rPr>
        <w:t xml:space="preserve"> الْجَنَّةِ ، وَافْتَحُوا لَهُ فِي قَبْرِهِ بَاباً إِلَى </w:t>
      </w:r>
      <w:r w:rsidRPr="007C12DB">
        <w:rPr>
          <w:rStyle w:val="libFootnotenumChar"/>
          <w:rtl/>
        </w:rPr>
        <w:t>(5)</w:t>
      </w:r>
      <w:r w:rsidRPr="005D642E">
        <w:rPr>
          <w:rtl/>
          <w:lang w:bidi="fa-IR"/>
        </w:rPr>
        <w:t xml:space="preserve"> الْجَنَّةِ ، وَأَلْبِسُوهُ </w:t>
      </w:r>
      <w:r w:rsidRPr="007C12DB">
        <w:rPr>
          <w:rStyle w:val="libFootnotenumChar"/>
          <w:rtl/>
        </w:rPr>
        <w:t>(6)</w:t>
      </w:r>
      <w:r w:rsidRPr="005D642E">
        <w:rPr>
          <w:rtl/>
          <w:lang w:bidi="fa-IR"/>
        </w:rPr>
        <w:t xml:space="preserve"> مِنْ ثِيَابِ الْجَنَّةِ حَتّى يَأْتِيَنَا ، وَمَا عِنْدَنَا خَيْرٌ لَهُ ، ثُمَّ يُقَالُ لَهُ : نَمْ نَوْمَةَ عَرُوسٍ </w:t>
      </w:r>
      <w:r w:rsidRPr="007C12DB">
        <w:rPr>
          <w:rStyle w:val="libFootnotenumChar"/>
          <w:rtl/>
        </w:rPr>
        <w:t>(7)</w:t>
      </w:r>
      <w:r w:rsidRPr="005D642E">
        <w:rPr>
          <w:rtl/>
          <w:lang w:bidi="fa-IR"/>
        </w:rPr>
        <w:t xml:space="preserve"> ، نَمْ نَوْمَةً </w:t>
      </w:r>
      <w:r w:rsidRPr="007C12DB">
        <w:rPr>
          <w:rStyle w:val="libFootnotenumChar"/>
          <w:rtl/>
        </w:rPr>
        <w:t>(8)</w:t>
      </w:r>
      <w:r w:rsidRPr="005D642E">
        <w:rPr>
          <w:rtl/>
          <w:lang w:bidi="fa-IR"/>
        </w:rPr>
        <w:t xml:space="preserve"> لَاحُلُمَ فِيهَا</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وَإِنْ كَانَ كَافِراً ، خَرَجَتِ </w:t>
      </w:r>
      <w:r w:rsidRPr="007C12DB">
        <w:rPr>
          <w:rStyle w:val="libFootnotenumChar"/>
          <w:rtl/>
        </w:rPr>
        <w:t>(9)</w:t>
      </w:r>
      <w:r w:rsidRPr="005D642E">
        <w:rPr>
          <w:rtl/>
          <w:lang w:bidi="fa-IR"/>
        </w:rPr>
        <w:t xml:space="preserve"> الْمَلَائِكَةُ تُشَيِّعُهُ إِلى قَبْرِهِ يَلْعَنُونَهُ </w:t>
      </w:r>
      <w:r w:rsidRPr="007C12DB">
        <w:rPr>
          <w:rStyle w:val="libFootnotenumChar"/>
          <w:rtl/>
        </w:rPr>
        <w:t>(10)</w:t>
      </w:r>
      <w:r w:rsidRPr="005D642E">
        <w:rPr>
          <w:rtl/>
          <w:lang w:bidi="fa-IR"/>
        </w:rPr>
        <w:t xml:space="preserve"> حَتّى إِذَا انْتَهى </w:t>
      </w:r>
      <w:r w:rsidRPr="007C12DB">
        <w:rPr>
          <w:rStyle w:val="libFootnotenumChar"/>
          <w:rtl/>
        </w:rPr>
        <w:t>(11)</w:t>
      </w:r>
      <w:r w:rsidRPr="005D642E">
        <w:rPr>
          <w:rtl/>
          <w:lang w:bidi="fa-IR"/>
        </w:rPr>
        <w:t xml:space="preserve"> إِلى قَبْرِهِ ، قَالَتْ لَهُ الْأَرْضُ : لَامَرْحَباً بِكَ </w:t>
      </w:r>
      <w:r w:rsidRPr="007C12DB">
        <w:rPr>
          <w:rStyle w:val="libFootnotenumChar"/>
          <w:rtl/>
        </w:rPr>
        <w:t>(12)</w:t>
      </w:r>
      <w:r w:rsidRPr="005D642E">
        <w:rPr>
          <w:rtl/>
          <w:lang w:bidi="fa-IR"/>
        </w:rPr>
        <w:t xml:space="preserve"> وَلَا</w:t>
      </w:r>
      <w:r>
        <w:rPr>
          <w:rFonts w:hint="cs"/>
          <w:rtl/>
          <w:lang w:bidi="fa-IR"/>
        </w:rPr>
        <w:t xml:space="preserve"> </w:t>
      </w:r>
      <w:r w:rsidRPr="005D642E">
        <w:rPr>
          <w:rtl/>
          <w:lang w:bidi="fa-IR"/>
        </w:rPr>
        <w:t xml:space="preserve">أَهْلاً ، أَمَا وَاللهِ ، لَقَدْ كُنْتُ أُبْغِضُ أَنْ يَمْشِيَ عَلَيَّ مِثْلُكَ ، لَاجَرَمَ لَتَرَيَنَّ مَا أَصْنَعُ بِكَ الْيَوْمَ </w:t>
      </w:r>
      <w:r w:rsidRPr="007C12DB">
        <w:rPr>
          <w:rStyle w:val="libFootnotenumChar"/>
          <w:rtl/>
        </w:rPr>
        <w:t>(13)</w:t>
      </w:r>
      <w:r w:rsidRPr="005D642E">
        <w:rPr>
          <w:rtl/>
          <w:lang w:bidi="fa-IR"/>
        </w:rPr>
        <w:t xml:space="preserve"> ، فَتَضِيقُ </w:t>
      </w:r>
      <w:r w:rsidRPr="007C12DB">
        <w:rPr>
          <w:rStyle w:val="libFootnotenumChar"/>
          <w:rtl/>
        </w:rPr>
        <w:t>(14)</w:t>
      </w:r>
      <w:r w:rsidRPr="005D642E">
        <w:rPr>
          <w:rtl/>
          <w:lang w:bidi="fa-IR"/>
        </w:rPr>
        <w:t xml:space="preserve"> عَلَيْهِ حَتّى تَلْتَقِيَ </w:t>
      </w:r>
      <w:r w:rsidRPr="007C12DB">
        <w:rPr>
          <w:rStyle w:val="libFootnotenumChar"/>
          <w:rtl/>
        </w:rPr>
        <w:t>(15)</w:t>
      </w:r>
      <w:r w:rsidRPr="005D642E">
        <w:rPr>
          <w:rtl/>
          <w:lang w:bidi="fa-IR"/>
        </w:rPr>
        <w:t xml:space="preserve"> جَوَانِحُهُ </w:t>
      </w:r>
      <w:r w:rsidRPr="007C12DB">
        <w:rPr>
          <w:rStyle w:val="libFootnotenumChar"/>
          <w:rtl/>
        </w:rPr>
        <w:t>(16)</w:t>
      </w:r>
      <w:r w:rsidRPr="005D642E">
        <w:rPr>
          <w:rtl/>
          <w:lang w:bidi="fa-IR"/>
        </w:rPr>
        <w:t xml:space="preserve"> » قَالَ : « ثُمَّ يَدْخُلُ عَلَيْهِ مَلَكَا الْقَبْرِ وَهُمَا قَعِيدَا </w:t>
      </w:r>
      <w:r w:rsidRPr="007C12DB">
        <w:rPr>
          <w:rStyle w:val="libFootnotenumChar"/>
          <w:rtl/>
        </w:rPr>
        <w:t>(17)</w:t>
      </w:r>
      <w:r w:rsidRPr="005D642E">
        <w:rPr>
          <w:rtl/>
          <w:lang w:bidi="fa-IR"/>
        </w:rPr>
        <w:t xml:space="preserve"> الْقَبْرِ : مُنْكَرٌ وَنَكِيرٌ</w:t>
      </w:r>
      <w:r>
        <w:rPr>
          <w:rtl/>
          <w:lang w:bidi="fa-IR"/>
        </w:rPr>
        <w:t xml:space="preserve"> ».</w:t>
      </w:r>
    </w:p>
    <w:p w:rsidR="00E3253D" w:rsidRPr="005D642E" w:rsidRDefault="00E3253D" w:rsidP="00E3253D">
      <w:pPr>
        <w:pStyle w:val="libNormal"/>
        <w:rPr>
          <w:rtl/>
          <w:lang w:bidi="fa-IR"/>
        </w:rPr>
      </w:pPr>
      <w:r w:rsidRPr="005D642E">
        <w:rPr>
          <w:rtl/>
          <w:lang w:bidi="fa-IR"/>
        </w:rPr>
        <w:t>قَالَ أَبُو بَصِيرٍ : جُعِلْتُ فِدَاكَ ، يَدْخُلَانِ عَلَى الْمُؤْمِنِ وَالْ</w:t>
      </w:r>
      <w:r>
        <w:rPr>
          <w:rtl/>
          <w:lang w:bidi="fa-IR"/>
        </w:rPr>
        <w:t>كَافِرِ فِي صُورَةٍ وَاحِدَةٍ؟</w:t>
      </w:r>
      <w:r>
        <w:rPr>
          <w:rFonts w:hint="cs"/>
          <w:rtl/>
          <w:lang w:bidi="fa-IR"/>
        </w:rPr>
        <w:t xml:space="preserve"> </w:t>
      </w:r>
      <w:r w:rsidR="003D6E10">
        <w:rPr>
          <w:rtl/>
          <w:lang w:bidi="fa-IR"/>
        </w:rPr>
        <w:t>فَقَالَ : «</w:t>
      </w:r>
      <w:r w:rsidRPr="005D642E">
        <w:rPr>
          <w:rtl/>
          <w:lang w:bidi="fa-IR"/>
        </w:rPr>
        <w:t>لَا</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3D6E10" w:rsidP="00E3253D">
      <w:pPr>
        <w:pStyle w:val="libFootnote0"/>
        <w:rPr>
          <w:rtl/>
          <w:lang w:bidi="fa-IR"/>
        </w:rPr>
      </w:pPr>
      <w:r>
        <w:rPr>
          <w:rFonts w:hint="cs"/>
          <w:rtl/>
        </w:rPr>
        <w:t>=</w:t>
      </w:r>
      <w:r w:rsidR="00E3253D" w:rsidRPr="005D642E">
        <w:rPr>
          <w:rtl/>
        </w:rPr>
        <w:t xml:space="preserve">ومَشدّه وموضعه. راجع : </w:t>
      </w:r>
      <w:r w:rsidR="00E3253D" w:rsidRPr="002F4D34">
        <w:rPr>
          <w:rStyle w:val="libFootnoteBoldChar"/>
          <w:rtl/>
        </w:rPr>
        <w:t>الصحاح</w:t>
      </w:r>
      <w:r w:rsidR="00E3253D" w:rsidRPr="005D642E">
        <w:rPr>
          <w:rtl/>
        </w:rPr>
        <w:t xml:space="preserve"> ، ج 6 ، ص 2317 ؛ </w:t>
      </w:r>
      <w:r w:rsidR="00E3253D" w:rsidRPr="002F4D34">
        <w:rPr>
          <w:rStyle w:val="libFootnoteBoldChar"/>
          <w:rtl/>
        </w:rPr>
        <w:t>النهاية</w:t>
      </w:r>
      <w:r w:rsidR="00E3253D" w:rsidRPr="005D642E">
        <w:rPr>
          <w:rtl/>
        </w:rPr>
        <w:t xml:space="preserve"> ، ج 1 ، ص 417 ( حقا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بث ، بح ، بخ ، حج ، جس » </w:t>
      </w:r>
      <w:r w:rsidR="000D749A" w:rsidRPr="000D749A">
        <w:rPr>
          <w:rStyle w:val="libFootnoteBoldChar"/>
          <w:rtl/>
        </w:rPr>
        <w:t>والوافي</w:t>
      </w:r>
      <w:r w:rsidR="00E3253D" w:rsidRPr="005D642E">
        <w:rPr>
          <w:rtl/>
        </w:rPr>
        <w:t xml:space="preserve"> والبحار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(2).</w:t>
            </w:r>
            <w:r w:rsidRPr="005D642E">
              <w:rPr>
                <w:rtl/>
              </w:rPr>
              <w:t xml:space="preserve"> في البحار : « من » بدون الواو.</w:t>
            </w:r>
          </w:p>
        </w:tc>
        <w:tc>
          <w:tcPr>
            <w:tcW w:w="4006" w:type="dxa"/>
          </w:tcPr>
          <w:p w:rsidR="003D6E10" w:rsidRDefault="003D6E10" w:rsidP="00E3253D">
            <w:pPr>
              <w:pStyle w:val="libFootnote0"/>
              <w:rPr>
                <w:rStyle w:val="libFootnote0Char"/>
                <w:rtl/>
              </w:rPr>
            </w:pPr>
            <w:r w:rsidRPr="0042621E">
              <w:rPr>
                <w:rStyle w:val="libFootnote0Char"/>
                <w:rtl/>
              </w:rPr>
              <w:t>(3).</w:t>
            </w:r>
            <w:r w:rsidRPr="005D642E">
              <w:rPr>
                <w:rtl/>
              </w:rPr>
              <w:t xml:space="preserve"> في « بخ » : « فنادى</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(4).</w:t>
            </w:r>
            <w:r w:rsidRPr="005D642E">
              <w:rPr>
                <w:rtl/>
              </w:rPr>
              <w:t xml:space="preserve"> في الوافي : + « فرش</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(5).</w:t>
            </w:r>
            <w:r w:rsidRPr="005D642E">
              <w:rPr>
                <w:rtl/>
              </w:rPr>
              <w:t xml:space="preserve"> في « ى » : « من</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(6).</w:t>
            </w:r>
            <w:r w:rsidRPr="005D642E">
              <w:rPr>
                <w:rtl/>
              </w:rPr>
              <w:t xml:space="preserve"> في حاشية « بح » : « فألبسوه</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(7).</w:t>
            </w:r>
            <w:r w:rsidRPr="005D642E">
              <w:rPr>
                <w:rtl/>
              </w:rPr>
              <w:t xml:space="preserve"> في البحار : « العروس</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(8).</w:t>
            </w:r>
            <w:r w:rsidRPr="005D642E">
              <w:rPr>
                <w:rtl/>
              </w:rPr>
              <w:t xml:space="preserve"> في « ى » :</w:t>
            </w:r>
            <w:r>
              <w:rPr>
                <w:rtl/>
              </w:rPr>
              <w:t xml:space="preserve"> - </w:t>
            </w:r>
            <w:r w:rsidRPr="005D642E">
              <w:rPr>
                <w:rtl/>
              </w:rPr>
              <w:t>« نم نومة</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(9).</w:t>
            </w:r>
            <w:r w:rsidRPr="005D642E">
              <w:rPr>
                <w:rtl/>
              </w:rPr>
              <w:t xml:space="preserve"> في « بخ » : « أخرجت</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جميع النسخ التي قوبلت</w:t>
      </w:r>
      <w:r w:rsidR="00E3253D" w:rsidRPr="003D6E10">
        <w:rPr>
          <w:rtl/>
        </w:rPr>
        <w:t xml:space="preserve"> </w:t>
      </w:r>
      <w:r w:rsidR="000D749A" w:rsidRPr="003D6E10">
        <w:rPr>
          <w:rtl/>
        </w:rPr>
        <w:t>والوافي</w:t>
      </w:r>
      <w:r w:rsidR="00E3253D" w:rsidRPr="005D642E">
        <w:rPr>
          <w:rtl/>
        </w:rPr>
        <w:t xml:space="preserve"> والبحار. وفي المطبوع : « تلعنونه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هكذا في جميع النسخ التي قوبلت والبحار. وفي </w:t>
      </w:r>
      <w:r w:rsidR="00E3253D" w:rsidRPr="003D6E10">
        <w:rPr>
          <w:rtl/>
        </w:rPr>
        <w:t xml:space="preserve">المطبوع </w:t>
      </w:r>
      <w:r w:rsidR="000D749A" w:rsidRPr="003D6E10">
        <w:rPr>
          <w:rtl/>
        </w:rPr>
        <w:t>والوافي</w:t>
      </w:r>
      <w:r w:rsidR="00E3253D" w:rsidRPr="005D642E">
        <w:rPr>
          <w:rtl/>
        </w:rPr>
        <w:t xml:space="preserve"> : + « به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(12).</w:t>
            </w:r>
            <w:r w:rsidRPr="005D642E">
              <w:rPr>
                <w:rtl/>
              </w:rPr>
              <w:t xml:space="preserve"> في « جس » :</w:t>
            </w:r>
            <w:r>
              <w:rPr>
                <w:rtl/>
              </w:rPr>
              <w:t xml:space="preserve"> - </w:t>
            </w:r>
            <w:r w:rsidRPr="005D642E">
              <w:rPr>
                <w:rtl/>
              </w:rPr>
              <w:t>« بك</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(13).</w:t>
            </w:r>
            <w:r w:rsidRPr="005D642E">
              <w:rPr>
                <w:rtl/>
              </w:rPr>
              <w:t xml:space="preserve"> في « بث » : « اليوم بك</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(14).</w:t>
            </w:r>
            <w:r w:rsidRPr="005D642E">
              <w:rPr>
                <w:rtl/>
              </w:rPr>
              <w:t xml:space="preserve"> في « بث ، جح » : فيضيّق</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(15).</w:t>
            </w:r>
            <w:r w:rsidRPr="005D642E">
              <w:rPr>
                <w:rtl/>
              </w:rPr>
              <w:t xml:space="preserve"> في « ى ، بث ، بح ، جح » : « حتّى يلتقي</w:t>
            </w:r>
            <w:r>
              <w:rPr>
                <w:rtl/>
              </w:rPr>
              <w:t xml:space="preserve"> ».</w:t>
            </w:r>
          </w:p>
        </w:tc>
      </w:tr>
    </w:tbl>
    <w:p w:rsidR="00E3253D" w:rsidRPr="005D642E" w:rsidRDefault="00E3253D" w:rsidP="00E3253D">
      <w:pPr>
        <w:pStyle w:val="libFootnote0"/>
        <w:rPr>
          <w:rtl/>
          <w:lang w:bidi="fa-IR"/>
        </w:rPr>
      </w:pPr>
      <w:r w:rsidRPr="005D642E">
        <w:rPr>
          <w:rtl/>
        </w:rPr>
        <w:t>(1</w:t>
      </w:r>
      <w:r>
        <w:rPr>
          <w:rtl/>
        </w:rPr>
        <w:t>6)</w:t>
      </w:r>
      <w:r w:rsidRPr="005D642E">
        <w:rPr>
          <w:rtl/>
        </w:rPr>
        <w:t xml:space="preserve"> « الجَوانح » : الأضلاع التي تحت الترائب ، وهي ممّا يلي الصدر ، والواحدة : الجانحة. والترائب : جمع التَرِيبة ، وهي عظام الصدر ما بين التَرْقُوَة إلى الثَنْدُؤة. وقيل : هي أعلى صدر الإنسان تحت الذَقَن. راجع : </w:t>
      </w:r>
      <w:r w:rsidRPr="002F4D34">
        <w:rPr>
          <w:rStyle w:val="libFootnoteBoldChar"/>
          <w:rtl/>
        </w:rPr>
        <w:t>الصحاح</w:t>
      </w:r>
      <w:r w:rsidRPr="005D642E">
        <w:rPr>
          <w:rtl/>
        </w:rPr>
        <w:t xml:space="preserve"> ، ج 1 ، ص 91 </w:t>
      </w:r>
      <w:r>
        <w:rPr>
          <w:rtl/>
        </w:rPr>
        <w:t>و 3</w:t>
      </w:r>
      <w:r w:rsidRPr="005D642E">
        <w:rPr>
          <w:rtl/>
        </w:rPr>
        <w:t xml:space="preserve">60 ؛ </w:t>
      </w:r>
      <w:r w:rsidRPr="002F4D34">
        <w:rPr>
          <w:rStyle w:val="libFootnoteBoldChar"/>
          <w:rtl/>
        </w:rPr>
        <w:t>النهاية</w:t>
      </w:r>
      <w:r w:rsidRPr="005D642E">
        <w:rPr>
          <w:rtl/>
        </w:rPr>
        <w:t xml:space="preserve"> ، ج 1 ، ص 184 </w:t>
      </w:r>
      <w:r>
        <w:rPr>
          <w:rtl/>
        </w:rPr>
        <w:t>و 3</w:t>
      </w:r>
      <w:r w:rsidRPr="005D642E">
        <w:rPr>
          <w:rtl/>
        </w:rPr>
        <w:t xml:space="preserve">05 ( ترب ) </w:t>
      </w:r>
      <w:r>
        <w:rPr>
          <w:rtl/>
        </w:rPr>
        <w:t>و (</w:t>
      </w:r>
      <w:r w:rsidRPr="005D642E">
        <w:rPr>
          <w:rtl/>
        </w:rPr>
        <w:t xml:space="preserve"> جنح )</w:t>
      </w:r>
      <w:r>
        <w:rPr>
          <w:rtl/>
        </w:rPr>
        <w:t>.</w:t>
      </w:r>
    </w:p>
    <w:p w:rsidR="00E3253D" w:rsidRPr="005D642E" w:rsidRDefault="00E3253D" w:rsidP="00E3253D">
      <w:pPr>
        <w:pStyle w:val="libFootnote0"/>
        <w:rPr>
          <w:rtl/>
          <w:lang w:bidi="fa-IR"/>
        </w:rPr>
      </w:pPr>
      <w:r w:rsidRPr="005D642E">
        <w:rPr>
          <w:rtl/>
        </w:rPr>
        <w:t>(1</w:t>
      </w:r>
      <w:r>
        <w:rPr>
          <w:rtl/>
        </w:rPr>
        <w:t>7)</w:t>
      </w:r>
      <w:r w:rsidRPr="005D642E">
        <w:rPr>
          <w:rtl/>
        </w:rPr>
        <w:t xml:space="preserve"> في « بث ، بخ ، جس » : « قعيد</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(1)</w:t>
      </w:r>
      <w:r w:rsidRPr="005D642E">
        <w:rPr>
          <w:rtl/>
          <w:lang w:bidi="fa-IR"/>
        </w:rPr>
        <w:t xml:space="preserve"> : « فَيُقْعِدَانِهِ وَيُلْقِيَانِ </w:t>
      </w:r>
      <w:r w:rsidRPr="007C12DB">
        <w:rPr>
          <w:rStyle w:val="libFootnotenumChar"/>
          <w:rtl/>
        </w:rPr>
        <w:t>(2)</w:t>
      </w:r>
      <w:r w:rsidRPr="005D642E">
        <w:rPr>
          <w:rtl/>
          <w:lang w:bidi="fa-IR"/>
        </w:rPr>
        <w:t xml:space="preserve"> فِيهِ الرُّوحَ إِلى حَقْوَيْهِ ، فَيَقُولَانِ لَهُ </w:t>
      </w:r>
      <w:r w:rsidRPr="007C12DB">
        <w:rPr>
          <w:rStyle w:val="libFootnotenumChar"/>
          <w:rtl/>
        </w:rPr>
        <w:t>(3)</w:t>
      </w:r>
      <w:r w:rsidRPr="005D642E">
        <w:rPr>
          <w:rtl/>
          <w:lang w:bidi="fa-IR"/>
        </w:rPr>
        <w:t xml:space="preserve"> : مَنْ رَبُّكَ</w:t>
      </w:r>
      <w:r>
        <w:rPr>
          <w:rtl/>
          <w:lang w:bidi="fa-IR"/>
        </w:rPr>
        <w:t>؟</w:t>
      </w:r>
      <w:r>
        <w:rPr>
          <w:rFonts w:hint="cs"/>
          <w:rtl/>
          <w:lang w:bidi="fa-IR"/>
        </w:rPr>
        <w:t xml:space="preserve"> </w:t>
      </w:r>
      <w:r w:rsidRPr="005D642E">
        <w:rPr>
          <w:rtl/>
          <w:lang w:bidi="fa-IR"/>
        </w:rPr>
        <w:t xml:space="preserve">فَيَتَلَجْلَجُ </w:t>
      </w:r>
      <w:r w:rsidRPr="007C12DB">
        <w:rPr>
          <w:rStyle w:val="libFootnotenumChar"/>
          <w:rtl/>
        </w:rPr>
        <w:t>(4)</w:t>
      </w:r>
      <w:r w:rsidRPr="005D642E">
        <w:rPr>
          <w:rtl/>
          <w:lang w:bidi="fa-IR"/>
        </w:rPr>
        <w:t xml:space="preserve"> وَيَقُولُ </w:t>
      </w:r>
      <w:r w:rsidRPr="007C12DB">
        <w:rPr>
          <w:rStyle w:val="libFootnotenumChar"/>
          <w:rtl/>
        </w:rPr>
        <w:t>(5)</w:t>
      </w:r>
      <w:r w:rsidRPr="005D642E">
        <w:rPr>
          <w:rtl/>
          <w:lang w:bidi="fa-IR"/>
        </w:rPr>
        <w:t xml:space="preserve"> : قَدْ سَمِعْتُ النَّاسَ يَقُولُونَ ، فَيَقُولَانِ لَهُ </w:t>
      </w:r>
      <w:r w:rsidRPr="007C12DB">
        <w:rPr>
          <w:rStyle w:val="libFootnotenumChar"/>
          <w:rtl/>
        </w:rPr>
        <w:t>(6)</w:t>
      </w:r>
      <w:r w:rsidRPr="005D642E">
        <w:rPr>
          <w:rtl/>
          <w:lang w:bidi="fa-IR"/>
        </w:rPr>
        <w:t xml:space="preserve"> : لَادَرَيْتَ ، وَيَقُولَانِ </w:t>
      </w:r>
      <w:r w:rsidRPr="007C12DB">
        <w:rPr>
          <w:rStyle w:val="libFootnotenumChar"/>
          <w:rtl/>
        </w:rPr>
        <w:t>(7)</w:t>
      </w:r>
      <w:r w:rsidRPr="005D642E">
        <w:rPr>
          <w:rtl/>
          <w:lang w:bidi="fa-IR"/>
        </w:rPr>
        <w:t xml:space="preserve"> لَهُ : مَا دِينُكَ</w:t>
      </w:r>
      <w:r>
        <w:rPr>
          <w:rtl/>
          <w:lang w:bidi="fa-IR"/>
        </w:rPr>
        <w:t>؟</w:t>
      </w:r>
      <w:r w:rsidRPr="005D642E">
        <w:rPr>
          <w:rtl/>
          <w:lang w:bidi="fa-IR"/>
        </w:rPr>
        <w:t xml:space="preserve"> فَيَتَلَجْلَجُ ، فَيَقُولَانِ لَهُ : لَادَرَيْتَ ، وَيَقُولَانِ لَهُ : مَنْ نَبِيُّكَ</w:t>
      </w:r>
      <w:r>
        <w:rPr>
          <w:rtl/>
          <w:lang w:bidi="fa-IR"/>
        </w:rPr>
        <w:t>؟</w:t>
      </w:r>
      <w:r w:rsidRPr="005D642E">
        <w:rPr>
          <w:rtl/>
          <w:lang w:bidi="fa-IR"/>
        </w:rPr>
        <w:t xml:space="preserve"> فَيَقُولُ : قَدْ سَمِعْتُ النَّاسَ يَقُولُونَ ، فَيَقُولَانِ لَهُ </w:t>
      </w:r>
      <w:r w:rsidRPr="007C12DB">
        <w:rPr>
          <w:rStyle w:val="libFootnotenumChar"/>
          <w:rtl/>
        </w:rPr>
        <w:t>(8)</w:t>
      </w:r>
      <w:r w:rsidRPr="005D642E">
        <w:rPr>
          <w:rtl/>
          <w:lang w:bidi="fa-IR"/>
        </w:rPr>
        <w:t xml:space="preserve"> : لَادَرَيْتَ ، وَيُسْأَلُ عَنْ </w:t>
      </w:r>
      <w:r w:rsidRPr="007C12DB">
        <w:rPr>
          <w:rStyle w:val="libFootnotenumChar"/>
          <w:rtl/>
        </w:rPr>
        <w:t>(9)</w:t>
      </w:r>
      <w:r w:rsidRPr="005D642E">
        <w:rPr>
          <w:rtl/>
          <w:lang w:bidi="fa-IR"/>
        </w:rPr>
        <w:t xml:space="preserve"> إِمَامِ زَمَانِهِ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وَيُنَادِي </w:t>
      </w:r>
      <w:r w:rsidRPr="007C12DB">
        <w:rPr>
          <w:rStyle w:val="libFootnotenumChar"/>
          <w:rtl/>
        </w:rPr>
        <w:t>(10)</w:t>
      </w:r>
      <w:r w:rsidRPr="005D642E">
        <w:rPr>
          <w:rtl/>
          <w:lang w:bidi="fa-IR"/>
        </w:rPr>
        <w:t xml:space="preserve"> مُنَادٍ مِنَ السَّمَاءِ : كَذَبَ عَبْدِي ، افْرُشُوا لَهُ فِي قَبْرِهِ مِنَ النَّارِ ، وَأَلْبِسُوهُ مِنْ ثِيَابِ النَّارِ ، وَافْتَحُوا لَهُ بَاباً إِلَى النَّارِ حَتّى يَأْتِيَنَا ، وَمَا عِنْدَنَا شَرٌّ لَهُ ، فَيَضْرِبَانِهِ بِمِرْزَبَةٍ ثَلَاثَ ضَرَبَاتٍ لَيْسَ مِنْهَا </w:t>
      </w:r>
      <w:r w:rsidRPr="007C12DB">
        <w:rPr>
          <w:rStyle w:val="libFootnotenumChar"/>
          <w:rtl/>
        </w:rPr>
        <w:t>(11)</w:t>
      </w:r>
      <w:r w:rsidR="003D6E10">
        <w:rPr>
          <w:rtl/>
          <w:lang w:bidi="fa-IR"/>
        </w:rPr>
        <w:t xml:space="preserve"> ضَرْبَةٌ إِل</w:t>
      </w:r>
      <w:r w:rsidR="003D6E10">
        <w:rPr>
          <w:rFonts w:hint="cs"/>
          <w:rtl/>
          <w:lang w:bidi="fa-IR"/>
        </w:rPr>
        <w:t>َّ</w:t>
      </w:r>
      <w:r w:rsidR="003D6E10">
        <w:rPr>
          <w:rtl/>
          <w:lang w:bidi="fa-IR"/>
        </w:rPr>
        <w:t>ا</w:t>
      </w:r>
      <w:r w:rsidRPr="005D642E">
        <w:rPr>
          <w:rtl/>
          <w:lang w:bidi="fa-IR"/>
        </w:rPr>
        <w:t xml:space="preserve"> يَتَطَايَرُ </w:t>
      </w:r>
      <w:r w:rsidRPr="007C12DB">
        <w:rPr>
          <w:rStyle w:val="libFootnotenumChar"/>
          <w:rtl/>
        </w:rPr>
        <w:t>(12)</w:t>
      </w:r>
      <w:r w:rsidRPr="005D642E">
        <w:rPr>
          <w:rtl/>
          <w:lang w:bidi="fa-IR"/>
        </w:rPr>
        <w:t xml:space="preserve"> قَبْرُهُ نَاراً ، لَوْ ضُرِبَ بِتِلْكَ الْمِرْزَبَةِ جِبَالُ تِهَامَةَ </w:t>
      </w:r>
      <w:r w:rsidRPr="007C12DB">
        <w:rPr>
          <w:rStyle w:val="libFootnotenumChar"/>
          <w:rtl/>
        </w:rPr>
        <w:t>(13)</w:t>
      </w:r>
      <w:r w:rsidRPr="005D642E">
        <w:rPr>
          <w:rtl/>
          <w:lang w:bidi="fa-IR"/>
        </w:rPr>
        <w:t xml:space="preserve"> لَكَانَتْ رَمِيماً</w:t>
      </w:r>
      <w:r>
        <w:rPr>
          <w:rtl/>
          <w:lang w:bidi="fa-IR"/>
        </w:rPr>
        <w:t xml:space="preserve"> ».</w:t>
      </w:r>
    </w:p>
    <w:p w:rsidR="00E3253D" w:rsidRPr="005D642E" w:rsidRDefault="00E3253D" w:rsidP="00E3253D">
      <w:pPr>
        <w:pStyle w:val="libNormal"/>
        <w:rPr>
          <w:rtl/>
          <w:lang w:bidi="fa-IR"/>
        </w:rPr>
      </w:pPr>
      <w:r w:rsidRPr="005D642E">
        <w:rPr>
          <w:rtl/>
          <w:lang w:bidi="fa-IR"/>
        </w:rPr>
        <w:t xml:space="preserve">وَقَالَ أَبُو عَبْدِ اللهِ </w:t>
      </w:r>
      <w:r w:rsidRPr="00AC51C5">
        <w:rPr>
          <w:rStyle w:val="libAlaemChar"/>
          <w:rtl/>
        </w:rPr>
        <w:t>عليه‌السلام</w:t>
      </w:r>
      <w:r w:rsidRPr="005D642E">
        <w:rPr>
          <w:rtl/>
          <w:lang w:bidi="fa-IR"/>
        </w:rPr>
        <w:t xml:space="preserve"> : « وَيُسَلِّطُ اللهُ عَلَيْهِ فِي قَبْرِهِ الْحَيَّاتِ تَنْهَشُهُ </w:t>
      </w:r>
      <w:r w:rsidRPr="007C12DB">
        <w:rPr>
          <w:rStyle w:val="libFootnotenumChar"/>
          <w:rtl/>
        </w:rPr>
        <w:t>(14)</w:t>
      </w:r>
      <w:r w:rsidRPr="005D642E">
        <w:rPr>
          <w:rtl/>
          <w:lang w:bidi="fa-IR"/>
        </w:rPr>
        <w:t xml:space="preserve"> نَهْشاً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جس » :</w:t>
      </w:r>
      <w:r w:rsidR="00E3253D">
        <w:rPr>
          <w:rtl/>
        </w:rPr>
        <w:t xml:space="preserve"> </w:t>
      </w:r>
      <w:r w:rsidR="007642BC">
        <w:rPr>
          <w:rtl/>
        </w:rPr>
        <w:t>-</w:t>
      </w:r>
      <w:r w:rsidR="00E3253D">
        <w:rPr>
          <w:rtl/>
        </w:rPr>
        <w:t xml:space="preserve"> </w:t>
      </w:r>
      <w:r w:rsidR="00E3253D" w:rsidRPr="005D642E">
        <w:rPr>
          <w:rtl/>
        </w:rPr>
        <w:t>« 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 ويلقيانه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جح ، جس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r w:rsidR="00E3253D" w:rsidRPr="005D642E">
        <w:rPr>
          <w:rtl/>
        </w:rPr>
        <w:t xml:space="preserve"> وفي « بخ » </w:t>
      </w:r>
      <w:r w:rsidR="000D749A" w:rsidRPr="003D6E10">
        <w:rPr>
          <w:rtl/>
        </w:rPr>
        <w:t>والوافي</w:t>
      </w:r>
      <w:r w:rsidR="00E3253D" w:rsidRPr="003D6E10">
        <w:rPr>
          <w:rtl/>
        </w:rPr>
        <w:t xml:space="preserve"> </w:t>
      </w:r>
      <w:r w:rsidR="00E3253D" w:rsidRPr="005D642E">
        <w:rPr>
          <w:rtl/>
        </w:rPr>
        <w:t>: « ويقولان له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اللجلجة والتلجلج : التردّد في الكلام. راجع : </w:t>
      </w:r>
      <w:r w:rsidR="00E3253D" w:rsidRPr="002F4D34">
        <w:rPr>
          <w:rStyle w:val="libFootnoteBoldChar"/>
          <w:rtl/>
        </w:rPr>
        <w:t>القاموس المحيط</w:t>
      </w:r>
      <w:r w:rsidR="00E3253D" w:rsidRPr="005D642E">
        <w:rPr>
          <w:rtl/>
        </w:rPr>
        <w:t xml:space="preserve"> ، ج 1 ، ص 313 ( لجج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جح » : « فيقول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جح ، جس »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فيقولان</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بح » : « فيقولان » بدل « يقولون ، فيقولان له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البحار : « من</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جميع النسخ التي قوبلت </w:t>
      </w:r>
      <w:r w:rsidR="000D749A" w:rsidRPr="003D6E10">
        <w:rPr>
          <w:rtl/>
        </w:rPr>
        <w:t>والوافي</w:t>
      </w:r>
      <w:r w:rsidR="00E3253D" w:rsidRPr="005D642E">
        <w:rPr>
          <w:rtl/>
        </w:rPr>
        <w:t>. وفي المطبوع والبحار : « فينادي</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بح » : « فيها</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الوافي : « ويتطاير</w:t>
      </w:r>
      <w:r w:rsidR="00E3253D">
        <w:rPr>
          <w:rtl/>
        </w:rPr>
        <w:t xml:space="preserve"> ».</w:t>
      </w:r>
      <w:r w:rsidR="00E3253D" w:rsidRPr="005D642E">
        <w:rPr>
          <w:rtl/>
        </w:rPr>
        <w:t xml:space="preserve"> وقوله : « يتطاير قبره » ، أي يتفرّق ويتقطّع قِطَعاً ، والاستطارة والتطاير : التفرّق والذهاب. راجع : </w:t>
      </w:r>
      <w:r w:rsidR="00E3253D" w:rsidRPr="002F4D34">
        <w:rPr>
          <w:rStyle w:val="libFootnoteBoldChar"/>
          <w:rtl/>
        </w:rPr>
        <w:t>النهاية</w:t>
      </w:r>
      <w:r w:rsidR="00E3253D" w:rsidRPr="005D642E">
        <w:rPr>
          <w:rtl/>
        </w:rPr>
        <w:t xml:space="preserve"> ، ج 3 ، ص 151</w:t>
      </w:r>
      <w:r w:rsidR="00E3253D">
        <w:rPr>
          <w:rtl/>
        </w:rPr>
        <w:t xml:space="preserve"> </w:t>
      </w:r>
      <w:r w:rsidR="007642BC">
        <w:rPr>
          <w:rtl/>
        </w:rPr>
        <w:t>-</w:t>
      </w:r>
      <w:r w:rsidR="00E3253D">
        <w:rPr>
          <w:rtl/>
        </w:rPr>
        <w:t xml:space="preserve"> </w:t>
      </w:r>
      <w:r w:rsidR="00E3253D" w:rsidRPr="005D642E">
        <w:rPr>
          <w:rtl/>
        </w:rPr>
        <w:t>152 ( طير )</w:t>
      </w:r>
      <w:r w:rsidR="00E3253D">
        <w:rPr>
          <w:rtl/>
        </w:rPr>
        <w:t>.</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 تِهامة » : اسم مكّة شرّفها الله تعالى. وقيل : بلد. وقيل : هي أرض أوّلها ذات عِرْق من قبل نجد إلى مكّة وماوراءها بمرحلتين أو أكثر ، ثمّ تتّصل بالغور وتأخذ إلى البحر ، ويقال : إنّ تهامة تتّصل بأرض اليمن وإنّ مكّة من تهامة اليمن ، والنسبة إليها تهاميّ. راجع : </w:t>
      </w:r>
      <w:r w:rsidR="00E3253D" w:rsidRPr="002F4D34">
        <w:rPr>
          <w:rStyle w:val="libFootnoteBoldChar"/>
          <w:rtl/>
        </w:rPr>
        <w:t>لسان العرب</w:t>
      </w:r>
      <w:r w:rsidR="00E3253D" w:rsidRPr="005D642E">
        <w:rPr>
          <w:rtl/>
        </w:rPr>
        <w:t xml:space="preserve"> ، ج 12 ، ص 72 ؛ </w:t>
      </w:r>
      <w:r w:rsidR="00E3253D" w:rsidRPr="002F4D34">
        <w:rPr>
          <w:rStyle w:val="libFootnoteBoldChar"/>
          <w:rtl/>
        </w:rPr>
        <w:t>المصباح المنير</w:t>
      </w:r>
      <w:r w:rsidR="00E3253D" w:rsidRPr="005D642E">
        <w:rPr>
          <w:rtl/>
        </w:rPr>
        <w:t xml:space="preserve"> ، ص 77</w:t>
      </w:r>
      <w:r w:rsidR="00E3253D">
        <w:rPr>
          <w:rtl/>
        </w:rPr>
        <w:t xml:space="preserve"> </w:t>
      </w:r>
      <w:r w:rsidR="007642BC">
        <w:rPr>
          <w:rtl/>
        </w:rPr>
        <w:t>-</w:t>
      </w:r>
      <w:r w:rsidR="00E3253D">
        <w:rPr>
          <w:rtl/>
        </w:rPr>
        <w:t xml:space="preserve"> 78 ( تهم )</w:t>
      </w:r>
      <w:r w:rsidR="00E3253D" w:rsidRPr="005D642E">
        <w:rPr>
          <w:rtl/>
        </w:rPr>
        <w:t>.</w:t>
      </w:r>
    </w:p>
    <w:p w:rsidR="00E3253D" w:rsidRPr="005D642E" w:rsidRDefault="0042621E" w:rsidP="00E3253D">
      <w:pPr>
        <w:pStyle w:val="libFootnote0"/>
        <w:rPr>
          <w:rtl/>
          <w:lang w:bidi="fa-IR"/>
        </w:rPr>
      </w:pPr>
      <w:r w:rsidRPr="0042621E">
        <w:rPr>
          <w:rStyle w:val="libFootnote0Char"/>
          <w:rtl/>
        </w:rPr>
        <w:t>(14).</w:t>
      </w:r>
      <w:r w:rsidR="00E3253D">
        <w:rPr>
          <w:rtl/>
        </w:rPr>
        <w:t xml:space="preserve"> </w:t>
      </w:r>
      <w:r w:rsidR="00E3253D" w:rsidRPr="005D642E">
        <w:rPr>
          <w:rtl/>
        </w:rPr>
        <w:t xml:space="preserve">« تنهشه » أي تتناوله بفمها لتَعَضَّه فتؤثّر فيه ولا يجرحه. راجع : </w:t>
      </w:r>
      <w:r w:rsidR="00E3253D" w:rsidRPr="002F4D34">
        <w:rPr>
          <w:rStyle w:val="libFootnoteBoldChar"/>
          <w:rtl/>
        </w:rPr>
        <w:t>لسان العرب</w:t>
      </w:r>
      <w:r w:rsidR="00E3253D" w:rsidRPr="005D642E">
        <w:rPr>
          <w:rtl/>
        </w:rPr>
        <w:t xml:space="preserve"> ، ج 6 ، ص 360 ( نهش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وَالشَّيْطَانَ يَغُمُّهُ غَمّاً » قَالَ : « وَ</w:t>
      </w:r>
      <w:r>
        <w:rPr>
          <w:rFonts w:hint="cs"/>
          <w:rtl/>
          <w:lang w:bidi="fa-IR"/>
        </w:rPr>
        <w:t xml:space="preserve"> </w:t>
      </w:r>
      <w:r w:rsidRPr="007C12DB">
        <w:rPr>
          <w:rStyle w:val="libFootnotenumChar"/>
          <w:rtl/>
        </w:rPr>
        <w:t>(1)</w:t>
      </w:r>
      <w:r w:rsidRPr="005D642E">
        <w:rPr>
          <w:rtl/>
          <w:lang w:bidi="fa-IR"/>
        </w:rPr>
        <w:t xml:space="preserve"> يَسْمَعُ عَ</w:t>
      </w:r>
      <w:r w:rsidR="003D6E10">
        <w:rPr>
          <w:rtl/>
          <w:lang w:bidi="fa-IR"/>
        </w:rPr>
        <w:t>ذَابَهُ مَنْ خَلَقَ اللهُ إِل</w:t>
      </w:r>
      <w:r w:rsidR="003D6E10">
        <w:rPr>
          <w:rFonts w:hint="cs"/>
          <w:rtl/>
          <w:lang w:bidi="fa-IR"/>
        </w:rPr>
        <w:t>َّ</w:t>
      </w:r>
      <w:r w:rsidR="003D6E10">
        <w:rPr>
          <w:rtl/>
          <w:lang w:bidi="fa-IR"/>
        </w:rPr>
        <w:t>ا</w:t>
      </w:r>
      <w:r w:rsidRPr="005D642E">
        <w:rPr>
          <w:rtl/>
          <w:lang w:bidi="fa-IR"/>
        </w:rPr>
        <w:t xml:space="preserve"> الْجِنَّ وَالْإِنْسَ » قَالَ : « وَإِنَّهُ لَيَسْمَعُ خَفْقَ نِعَالِهِمْ </w:t>
      </w:r>
      <w:r w:rsidRPr="007C12DB">
        <w:rPr>
          <w:rStyle w:val="libFootnotenumChar"/>
          <w:rtl/>
        </w:rPr>
        <w:t>(2)</w:t>
      </w:r>
      <w:r w:rsidRPr="005D642E">
        <w:rPr>
          <w:rtl/>
          <w:lang w:bidi="fa-IR"/>
        </w:rPr>
        <w:t xml:space="preserve"> وَنَقْضَ </w:t>
      </w:r>
      <w:r w:rsidRPr="007C12DB">
        <w:rPr>
          <w:rStyle w:val="libFootnotenumChar"/>
          <w:rtl/>
        </w:rPr>
        <w:t>(3)</w:t>
      </w:r>
      <w:r w:rsidRPr="005D642E">
        <w:rPr>
          <w:rtl/>
          <w:lang w:bidi="fa-IR"/>
        </w:rPr>
        <w:t xml:space="preserve"> أَيْدِيهِمْ ، وَهُوَ قَوْلُ اللهِ عَزَّ وَجَلَّ : </w:t>
      </w:r>
      <w:r w:rsidRPr="00AC51C5">
        <w:rPr>
          <w:rStyle w:val="libAlaemChar"/>
          <w:rtl/>
        </w:rPr>
        <w:t>(</w:t>
      </w:r>
      <w:r w:rsidRPr="00AC51C5">
        <w:rPr>
          <w:rStyle w:val="libAieChar"/>
          <w:rtl/>
        </w:rPr>
        <w:t xml:space="preserve"> يُثَبِّتُ اللهُ الَّذِينَ آمَنُوا بِالْقَوْلِ الثّابِتِ فِي الْحَياةِ الدُّنْيا وَفِي الْآخِرَةِ وَيُضِلُّ اللهُ الظّالِمِينَ وَيَفْعَلُ اللهُ ما يَشاءُ </w:t>
      </w:r>
      <w:r w:rsidRPr="00AC51C5">
        <w:rPr>
          <w:rStyle w:val="libAlaemChar"/>
          <w:rtl/>
        </w:rPr>
        <w:t>)</w:t>
      </w:r>
      <w:r w:rsidRPr="005D642E">
        <w:rPr>
          <w:rtl/>
          <w:lang w:bidi="fa-IR"/>
        </w:rPr>
        <w:t xml:space="preserve"> </w:t>
      </w:r>
      <w:r w:rsidRPr="007C12DB">
        <w:rPr>
          <w:rStyle w:val="libFootnotenumChar"/>
          <w:rtl/>
        </w:rPr>
        <w:t>(4)</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1574D">
        <w:rPr>
          <w:rtl/>
        </w:rPr>
        <w:t>4707</w:t>
      </w:r>
      <w:r w:rsidRPr="00246318">
        <w:rPr>
          <w:rStyle w:val="libBold2Char"/>
          <w:rtl/>
        </w:rPr>
        <w:t xml:space="preserve"> / 13.</w:t>
      </w:r>
      <w:r w:rsidRPr="005D642E">
        <w:rPr>
          <w:rtl/>
          <w:lang w:bidi="fa-IR"/>
        </w:rPr>
        <w:t xml:space="preserve"> عَلِيُّ بْنُ إِبْرَاهِيمَ ، عَنْ أَبِيهِ ، عَنِ ابْنِ مَحْبُوبٍ ، عَنْ عَبْدِ اللهِ بْنِ كُولُومٍ </w:t>
      </w:r>
      <w:r w:rsidRPr="007C12DB">
        <w:rPr>
          <w:rStyle w:val="libFootnotenumChar"/>
          <w:rtl/>
        </w:rPr>
        <w:t>(6)</w:t>
      </w:r>
      <w:r w:rsidRPr="005D642E">
        <w:rPr>
          <w:rtl/>
          <w:lang w:bidi="fa-IR"/>
        </w:rPr>
        <w:t xml:space="preserve"> ، عَنْ أَبِي سَعِيدٍ :</w:t>
      </w:r>
    </w:p>
    <w:p w:rsidR="00E3253D" w:rsidRPr="003D6E10" w:rsidRDefault="00E3253D" w:rsidP="00E3253D">
      <w:pPr>
        <w:pStyle w:val="libNormal"/>
        <w:rPr>
          <w:rtl/>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دَخَلَ الْمُؤْمِنُ </w:t>
      </w:r>
      <w:r w:rsidRPr="007C12DB">
        <w:rPr>
          <w:rStyle w:val="libFootnotenumChar"/>
          <w:rtl/>
        </w:rPr>
        <w:t>(7)</w:t>
      </w:r>
      <w:r w:rsidRPr="005D642E">
        <w:rPr>
          <w:rtl/>
          <w:lang w:bidi="fa-IR"/>
        </w:rPr>
        <w:t xml:space="preserve"> قَبْرَهُ ، كَانَتِ الصَّلَاةُ عَنْ يَمِينِهِ ، وَالزَّكَاةُ عَنْ يَسَارِهِ ، وَالْبِرُّ يُطِلُّ </w:t>
      </w:r>
      <w:r w:rsidRPr="007C12DB">
        <w:rPr>
          <w:rStyle w:val="libFootnotenumChar"/>
          <w:rtl/>
        </w:rPr>
        <w:t>(8)</w:t>
      </w:r>
      <w:r w:rsidRPr="005D642E">
        <w:rPr>
          <w:rtl/>
          <w:lang w:bidi="fa-IR"/>
        </w:rPr>
        <w:t xml:space="preserve"> عَلَيْهِ </w:t>
      </w:r>
      <w:r w:rsidRPr="007C12DB">
        <w:rPr>
          <w:rStyle w:val="libFootnotenumChar"/>
          <w:rtl/>
        </w:rPr>
        <w:t>(9)</w:t>
      </w:r>
      <w:r w:rsidRPr="005D642E">
        <w:rPr>
          <w:rtl/>
          <w:lang w:bidi="fa-IR"/>
        </w:rPr>
        <w:t xml:space="preserve"> ، وَيَتَنَحَّى الصَّبْرُ نَاحِيَةً ، وَإِذَا </w:t>
      </w:r>
      <w:r w:rsidRPr="007C12DB">
        <w:rPr>
          <w:rStyle w:val="libFootnotenumChar"/>
          <w:rtl/>
        </w:rPr>
        <w:t>(10)</w:t>
      </w:r>
      <w:r w:rsidRPr="005D642E">
        <w:rPr>
          <w:rtl/>
          <w:lang w:bidi="fa-IR"/>
        </w:rPr>
        <w:t xml:space="preserve"> دَخَلَ عَلَيْهِ الْمَلَكَانِ اللَّذَانِ يَلِيَانِ مُسَاءَلَتَهُ </w:t>
      </w:r>
      <w:r w:rsidRPr="007C12DB">
        <w:rPr>
          <w:rStyle w:val="libFootnotenumChar"/>
          <w:rtl/>
        </w:rPr>
        <w:t>(11)</w:t>
      </w:r>
      <w:r w:rsidRPr="005D642E">
        <w:rPr>
          <w:rtl/>
          <w:lang w:bidi="fa-IR"/>
        </w:rPr>
        <w:t xml:space="preserve"> ، قَالَ الصَّبْرُ لِلصَّلَاةِ وَالزَّكَاةِ : دُونَكُمَا </w:t>
      </w:r>
      <w:r w:rsidRPr="007C12DB">
        <w:rPr>
          <w:rStyle w:val="libFootnotenumChar"/>
          <w:rtl/>
        </w:rPr>
        <w:t>(12)</w:t>
      </w:r>
      <w:r w:rsidRPr="005D642E">
        <w:rPr>
          <w:rtl/>
          <w:lang w:bidi="fa-IR"/>
        </w:rPr>
        <w:t xml:space="preserve"> صَاحِبَكُمْ </w:t>
      </w:r>
      <w:r w:rsidRPr="007C12DB">
        <w:rPr>
          <w:rStyle w:val="libFootnotenumChar"/>
          <w:rtl/>
        </w:rPr>
        <w:t>(13)</w:t>
      </w:r>
      <w:r w:rsidRPr="005D642E">
        <w:rPr>
          <w:rtl/>
          <w:lang w:bidi="fa-IR"/>
        </w:rPr>
        <w:t xml:space="preserve"> ، فَإِنْ عَجَزْتُمْ </w:t>
      </w:r>
      <w:r w:rsidRPr="007C12DB">
        <w:rPr>
          <w:rStyle w:val="libFootnotenumChar"/>
          <w:rtl/>
        </w:rPr>
        <w:t>(14)</w:t>
      </w:r>
      <w:r w:rsidRPr="005D642E">
        <w:rPr>
          <w:rtl/>
          <w:lang w:bidi="fa-IR"/>
        </w:rPr>
        <w:t xml:space="preserve"> عَنْهُ فَأَنَا دُونَهُ</w:t>
      </w:r>
      <w:r>
        <w:rPr>
          <w:rtl/>
          <w:lang w:bidi="fa-IR"/>
        </w:rPr>
        <w:t xml:space="preserve"> ».</w:t>
      </w:r>
      <w:r w:rsidRPr="005D642E">
        <w:rPr>
          <w:rtl/>
          <w:lang w:bidi="fa-IR"/>
        </w:rPr>
        <w:t xml:space="preserve"> </w:t>
      </w:r>
      <w:r w:rsidRPr="007C12DB">
        <w:rPr>
          <w:rStyle w:val="libFootnotenumChar"/>
          <w:rtl/>
        </w:rPr>
        <w:t>(15)</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 « وقال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ليسمع خفق نعالهم » ؛ يعني الميّت ، أي يسمع صوت نعالهم على الأرض إذا مشوا. راجع : </w:t>
      </w:r>
      <w:r w:rsidR="00E3253D" w:rsidRPr="002F4D34">
        <w:rPr>
          <w:rStyle w:val="libFootnoteBoldChar"/>
          <w:rtl/>
        </w:rPr>
        <w:t>النهاية</w:t>
      </w:r>
      <w:r w:rsidR="00E3253D" w:rsidRPr="005D642E">
        <w:rPr>
          <w:rtl/>
        </w:rPr>
        <w:t xml:space="preserve"> ، ج 2 ، ص 56 ( خفق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جح » والبحار : « ونفض</w:t>
      </w:r>
      <w:r w:rsidR="00E3253D">
        <w:rPr>
          <w:rtl/>
        </w:rPr>
        <w:t xml:space="preserve"> ».</w:t>
      </w:r>
      <w:r w:rsidR="00E3253D" w:rsidRPr="005D642E">
        <w:rPr>
          <w:rtl/>
        </w:rPr>
        <w:t xml:space="preserve"> قوله </w:t>
      </w:r>
      <w:r w:rsidR="00E3253D" w:rsidRPr="003D6E10">
        <w:rPr>
          <w:rStyle w:val="libFootnoteAlaemChar"/>
          <w:rtl/>
        </w:rPr>
        <w:t>عليه‌السلام</w:t>
      </w:r>
      <w:r w:rsidR="00E3253D" w:rsidRPr="005D642E">
        <w:rPr>
          <w:rtl/>
        </w:rPr>
        <w:t xml:space="preserve"> </w:t>
      </w:r>
      <w:r w:rsidR="003D6E10">
        <w:rPr>
          <w:rtl/>
        </w:rPr>
        <w:t>: « نقض » ، الظاهر أنّ العل</w:t>
      </w:r>
      <w:r w:rsidR="003D6E10">
        <w:rPr>
          <w:rFonts w:hint="cs"/>
          <w:rtl/>
        </w:rPr>
        <w:t>ّ</w:t>
      </w:r>
      <w:r w:rsidR="003D6E10">
        <w:rPr>
          <w:rtl/>
        </w:rPr>
        <w:t>ا</w:t>
      </w:r>
      <w:r w:rsidR="00E3253D" w:rsidRPr="005D642E">
        <w:rPr>
          <w:rtl/>
        </w:rPr>
        <w:t>مة الفيض قرأه بالفاء ، حيث قال : « ونفض الأيدي ؛ يعني به من تراب القبر</w:t>
      </w:r>
      <w:r w:rsidR="00E3253D">
        <w:rPr>
          <w:rtl/>
        </w:rPr>
        <w:t xml:space="preserve"> ».</w:t>
      </w:r>
      <w:r w:rsidR="003D6E10">
        <w:rPr>
          <w:rFonts w:hint="cs"/>
          <w:rtl/>
        </w:rPr>
        <w:t xml:space="preserve">               </w:t>
      </w:r>
      <w:r w:rsidR="00E3253D">
        <w:rPr>
          <w:rFonts w:hint="cs"/>
          <w:rtl/>
          <w:lang w:bidi="fa-IR"/>
        </w:rPr>
        <w:t xml:space="preserve"> </w:t>
      </w:r>
      <w:r w:rsidRPr="0042621E">
        <w:rPr>
          <w:rStyle w:val="libFootnote0Char"/>
          <w:rtl/>
        </w:rPr>
        <w:t>(4).</w:t>
      </w:r>
      <w:r w:rsidR="00E3253D" w:rsidRPr="005D642E">
        <w:rPr>
          <w:rtl/>
        </w:rPr>
        <w:t xml:space="preserve"> إبراهيم </w:t>
      </w:r>
      <w:r w:rsidRPr="0042621E">
        <w:rPr>
          <w:rStyle w:val="libFootnote0Char"/>
          <w:rtl/>
        </w:rPr>
        <w:t>(14)</w:t>
      </w:r>
      <w:r w:rsidR="00E3253D" w:rsidRPr="005D642E">
        <w:rPr>
          <w:rtl/>
        </w:rPr>
        <w:t xml:space="preserve"> : 27.</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تفسير العيّاشي</w:t>
      </w:r>
      <w:r w:rsidR="00E3253D" w:rsidRPr="005D642E">
        <w:rPr>
          <w:rtl/>
        </w:rPr>
        <w:t xml:space="preserve"> ، ج 2 ، ص 225 ، ح 18 ، عن أبي بصير ، مع اختلاف يسير. راجع : </w:t>
      </w:r>
      <w:r w:rsidR="00E3253D" w:rsidRPr="002F4D34">
        <w:rPr>
          <w:rStyle w:val="libFootnoteBoldChar"/>
          <w:rtl/>
        </w:rPr>
        <w:t>الغارات</w:t>
      </w:r>
      <w:r w:rsidR="00E3253D" w:rsidRPr="005D642E">
        <w:rPr>
          <w:rtl/>
        </w:rPr>
        <w:t xml:space="preserve"> ، ج 1 ، ص 148 ؛ </w:t>
      </w:r>
      <w:r w:rsidR="00E3253D" w:rsidRPr="003D6E10">
        <w:rPr>
          <w:rStyle w:val="libFootnoteBoldChar"/>
          <w:rtl/>
        </w:rPr>
        <w:t>والأمالي للمفيد</w:t>
      </w:r>
      <w:r w:rsidR="00E3253D" w:rsidRPr="005D642E">
        <w:rPr>
          <w:rtl/>
        </w:rPr>
        <w:t xml:space="preserve"> ، ص 265 ، المجلس 31 ، ح 3 ؛ </w:t>
      </w:r>
      <w:r w:rsidR="00E3253D" w:rsidRPr="003D6E10">
        <w:rPr>
          <w:rStyle w:val="libFootnoteBoldChar"/>
          <w:rtl/>
        </w:rPr>
        <w:t>وال</w:t>
      </w:r>
      <w:r w:rsidR="00E3253D" w:rsidRPr="002F4D34">
        <w:rPr>
          <w:rStyle w:val="libFootnoteBoldChar"/>
          <w:rtl/>
        </w:rPr>
        <w:t>اختصاص</w:t>
      </w:r>
      <w:r w:rsidR="00E3253D" w:rsidRPr="005D642E">
        <w:rPr>
          <w:rtl/>
        </w:rPr>
        <w:t xml:space="preserve"> ، ص 347 ؛ </w:t>
      </w:r>
      <w:r w:rsidR="009E68BB" w:rsidRPr="009E68BB">
        <w:rPr>
          <w:rStyle w:val="libFootnoteBoldChar"/>
          <w:rtl/>
        </w:rPr>
        <w:t>و</w:t>
      </w:r>
      <w:r w:rsidR="009E68BB" w:rsidRPr="0035521A">
        <w:rPr>
          <w:rStyle w:val="libFootnoteBoldChar"/>
          <w:rtl/>
        </w:rPr>
        <w:t>الأمالي للطوسي</w:t>
      </w:r>
      <w:r w:rsidR="00E3253D" w:rsidRPr="005D642E">
        <w:rPr>
          <w:rtl/>
        </w:rPr>
        <w:t xml:space="preserve"> ، ص 27 ، المجلس 1 ، ح 31 </w:t>
      </w:r>
      <w:r w:rsidR="003D6E10">
        <w:rPr>
          <w:rFonts w:hint="cs"/>
          <w:rtl/>
        </w:rPr>
        <w:t>.</w:t>
      </w:r>
      <w:r w:rsidR="00E3253D" w:rsidRPr="002F4D34">
        <w:rPr>
          <w:rStyle w:val="libFootnoteBoldChar"/>
          <w:rtl/>
        </w:rPr>
        <w:t>الوافي</w:t>
      </w:r>
      <w:r w:rsidR="00E3253D" w:rsidRPr="005D642E">
        <w:rPr>
          <w:rtl/>
        </w:rPr>
        <w:t xml:space="preserve"> ، ج 25 ، ص 619 ، ح 24764 ؛ </w:t>
      </w:r>
      <w:r w:rsidR="00E3253D" w:rsidRPr="002F4D34">
        <w:rPr>
          <w:rStyle w:val="libFootnoteBoldChar"/>
          <w:rtl/>
        </w:rPr>
        <w:t>البحار</w:t>
      </w:r>
      <w:r w:rsidR="00E3253D" w:rsidRPr="005D642E">
        <w:rPr>
          <w:rtl/>
        </w:rPr>
        <w:t xml:space="preserve"> ، ج 6 ، ص 263 ، ح 108.</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تقدّم الخبر في </w:t>
      </w:r>
      <w:r w:rsidR="00E3253D" w:rsidRPr="003D6E10">
        <w:rPr>
          <w:rStyle w:val="libFootnoteBoldChar"/>
          <w:rtl/>
        </w:rPr>
        <w:t>الكافي</w:t>
      </w:r>
      <w:r w:rsidR="00E3253D" w:rsidRPr="005D642E">
        <w:rPr>
          <w:rtl/>
        </w:rPr>
        <w:t xml:space="preserve"> ، ح 1697 ، بنفس السند عن عبدالله بن مرحوم ، عن أبي سيّار. ولا يبعد صحّة « عبدالله</w:t>
      </w:r>
      <w:r w:rsidR="003D6E10">
        <w:rPr>
          <w:rFonts w:hint="cs"/>
          <w:rtl/>
        </w:rPr>
        <w:t xml:space="preserve"> </w:t>
      </w:r>
      <w:r w:rsidR="00E3253D" w:rsidRPr="005D642E">
        <w:rPr>
          <w:rtl/>
        </w:rPr>
        <w:t>‌بن مرحوم » كما أشرنا إليه هناك ، فلا حظ.</w:t>
      </w:r>
      <w:r w:rsidR="003D6E10">
        <w:rPr>
          <w:rFonts w:hint="cs"/>
          <w:rtl/>
        </w:rPr>
        <w:t xml:space="preserve">            </w:t>
      </w:r>
      <w:r w:rsidR="00E3253D">
        <w:rPr>
          <w:rFonts w:hint="cs"/>
          <w:rtl/>
          <w:lang w:bidi="fa-IR"/>
        </w:rPr>
        <w:t xml:space="preserve"> </w:t>
      </w:r>
      <w:r w:rsidRPr="0042621E">
        <w:rPr>
          <w:rStyle w:val="libFootnote0Char"/>
          <w:rtl/>
        </w:rPr>
        <w:t>(7).</w:t>
      </w:r>
      <w:r w:rsidR="00E3253D" w:rsidRPr="005D642E">
        <w:rPr>
          <w:rtl/>
        </w:rPr>
        <w:t xml:space="preserve"> في الكافي ، ح 1697 : + « في</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 « يظلّ</w:t>
      </w:r>
      <w:r w:rsidR="00E3253D">
        <w:rPr>
          <w:rtl/>
        </w:rPr>
        <w:t xml:space="preserve"> ».</w:t>
      </w:r>
      <w:r w:rsidR="00E3253D" w:rsidRPr="005D642E">
        <w:rPr>
          <w:rtl/>
        </w:rPr>
        <w:t xml:space="preserve"> وفي « بح ، بخ ، جح » : « مظلّ</w:t>
      </w:r>
      <w:r w:rsidR="00E3253D">
        <w:rPr>
          <w:rtl/>
        </w:rPr>
        <w:t xml:space="preserve"> ».</w:t>
      </w:r>
      <w:r w:rsidR="00E3253D" w:rsidRPr="005D642E">
        <w:rPr>
          <w:rtl/>
        </w:rPr>
        <w:t xml:space="preserve"> وفي « بس ، جس » والكافي ، ح 1697 </w:t>
      </w:r>
      <w:r w:rsidR="00E3253D" w:rsidRPr="003D6E10">
        <w:rPr>
          <w:rStyle w:val="libFootnoteBoldChar"/>
          <w:rtl/>
        </w:rPr>
        <w:t>وثواب الأعمال</w:t>
      </w:r>
      <w:r w:rsidR="00E3253D" w:rsidRPr="005D642E">
        <w:rPr>
          <w:rtl/>
        </w:rPr>
        <w:t xml:space="preserve"> : « مطلّ</w:t>
      </w:r>
      <w:r w:rsidR="00E3253D">
        <w:rPr>
          <w:rtl/>
        </w:rPr>
        <w:t xml:space="preserve"> ».</w:t>
      </w:r>
      <w:r w:rsidR="00E3253D" w:rsidRPr="005D642E">
        <w:rPr>
          <w:rtl/>
        </w:rPr>
        <w:t xml:space="preserve"> وفي الوافي : « مظلّل</w:t>
      </w:r>
      <w:r w:rsidR="00E3253D">
        <w:rPr>
          <w:rtl/>
        </w:rPr>
        <w:t xml:space="preserve"> ».</w:t>
      </w:r>
      <w:r w:rsidR="00E3253D" w:rsidRPr="005D642E">
        <w:rPr>
          <w:rtl/>
        </w:rPr>
        <w:t xml:space="preserve"> </w:t>
      </w:r>
      <w:r w:rsidR="00E3253D">
        <w:rPr>
          <w:rtl/>
        </w:rPr>
        <w:t>و «</w:t>
      </w:r>
      <w:r w:rsidR="00E3253D" w:rsidRPr="005D642E">
        <w:rPr>
          <w:rtl/>
        </w:rPr>
        <w:t xml:space="preserve"> يطلّ عليه » أي يشرف. راجع : </w:t>
      </w:r>
      <w:r w:rsidR="00E3253D" w:rsidRPr="002F4D34">
        <w:rPr>
          <w:rStyle w:val="libFootnoteBoldChar"/>
          <w:rtl/>
        </w:rPr>
        <w:t>النهاية</w:t>
      </w:r>
      <w:r w:rsidR="00E3253D" w:rsidRPr="005D642E">
        <w:rPr>
          <w:rtl/>
        </w:rPr>
        <w:t xml:space="preserve"> ، ج 3 ، ص 136 ( طلل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بح ، بخ ، بس ، جح ، جس » : + « قال</w:t>
      </w:r>
      <w:r w:rsidR="00E3253D">
        <w:rPr>
          <w:rtl/>
        </w:rPr>
        <w:t xml:space="preserve"> ».</w:t>
      </w:r>
      <w:r w:rsidR="00E3253D" w:rsidRPr="005D642E">
        <w:rPr>
          <w:rtl/>
        </w:rPr>
        <w:t xml:space="preserve"> وفي « جس » : « معه » بدل « عليه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بس ، جح ، جس » والكافي ، ح 1697 وثواب الأعمال : « فإذا</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 « مسائله</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الكافي ، ح 1697 وثواب الأعمال : « والبرّ دونكم » بدل « دو نكما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(13).</w:t>
            </w:r>
            <w:r w:rsidRPr="005D642E">
              <w:rPr>
                <w:rtl/>
              </w:rPr>
              <w:t xml:space="preserve"> في « بث ، بخ » </w:t>
            </w:r>
            <w:r w:rsidRPr="003D6E10">
              <w:rPr>
                <w:rtl/>
              </w:rPr>
              <w:t>والوافي</w:t>
            </w:r>
            <w:r w:rsidRPr="005D642E">
              <w:rPr>
                <w:rtl/>
              </w:rPr>
              <w:t xml:space="preserve"> : « صاحبكما</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(14).</w:t>
            </w:r>
            <w:r>
              <w:rPr>
                <w:rtl/>
              </w:rPr>
              <w:t xml:space="preserve"> في «بث، بح ، بخ</w:t>
            </w:r>
            <w:r w:rsidRPr="005D642E">
              <w:rPr>
                <w:rtl/>
              </w:rPr>
              <w:t xml:space="preserve">» </w:t>
            </w:r>
            <w:r w:rsidRPr="000D749A">
              <w:rPr>
                <w:rStyle w:val="libFootnoteBoldChar"/>
                <w:rtl/>
              </w:rPr>
              <w:t>والوافي</w:t>
            </w:r>
            <w:r>
              <w:rPr>
                <w:rtl/>
              </w:rPr>
              <w:t xml:space="preserve"> : «</w:t>
            </w:r>
            <w:r w:rsidRPr="005D642E">
              <w:rPr>
                <w:rtl/>
              </w:rPr>
              <w:t>فإن عجزتما</w:t>
            </w:r>
            <w:r>
              <w:rPr>
                <w:rtl/>
              </w:rPr>
              <w:t xml:space="preserve"> ».</w:t>
            </w:r>
          </w:p>
        </w:tc>
      </w:tr>
    </w:tbl>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w:t>
      </w:r>
      <w:r w:rsidR="00E3253D" w:rsidRPr="002F4D34">
        <w:rPr>
          <w:rStyle w:val="libFootnoteBoldChar"/>
          <w:rtl/>
        </w:rPr>
        <w:t>الكافي</w:t>
      </w:r>
      <w:r w:rsidR="00E3253D" w:rsidRPr="005D642E">
        <w:rPr>
          <w:rtl/>
        </w:rPr>
        <w:t xml:space="preserve"> ، كتاب الإيمان والكفر ، باب الصبر ، ح 1697. وفي </w:t>
      </w:r>
      <w:r w:rsidR="00E3253D" w:rsidRPr="002F4D34">
        <w:rPr>
          <w:rStyle w:val="libFootnoteBoldChar"/>
          <w:rtl/>
        </w:rPr>
        <w:t>ثواب الأعمال</w:t>
      </w:r>
      <w:r w:rsidR="00E3253D" w:rsidRPr="005D642E">
        <w:rPr>
          <w:rtl/>
        </w:rPr>
        <w:t xml:space="preserve"> ، ص 203 ، ح 1 ، بسنده عن </w:t>
      </w:r>
      <w:r w:rsidR="003D6E10">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1574D">
        <w:rPr>
          <w:rtl/>
        </w:rPr>
        <w:t>4708</w:t>
      </w:r>
      <w:r w:rsidRPr="00246318">
        <w:rPr>
          <w:rStyle w:val="libBold2Char"/>
          <w:rtl/>
        </w:rPr>
        <w:t xml:space="preserve"> / 14.</w:t>
      </w:r>
      <w:r w:rsidRPr="005D642E">
        <w:rPr>
          <w:rtl/>
          <w:lang w:bidi="fa-IR"/>
        </w:rPr>
        <w:t xml:space="preserve"> عَلِيُّ بْنُ مُحَمَّدٍ ، عَنْ مُحَمَّدِ بْنِ </w:t>
      </w:r>
      <w:r w:rsidRPr="007C12DB">
        <w:rPr>
          <w:rStyle w:val="libFootnotenumChar"/>
          <w:rtl/>
        </w:rPr>
        <w:t>(1)</w:t>
      </w:r>
      <w:r w:rsidRPr="005D642E">
        <w:rPr>
          <w:rtl/>
          <w:lang w:bidi="fa-IR"/>
        </w:rPr>
        <w:t xml:space="preserve"> أَحْمَدَ الْخُرَاسَانِيِّ ، عَنْ أَبِيهِ </w:t>
      </w:r>
      <w:r w:rsidRPr="007C12DB">
        <w:rPr>
          <w:rStyle w:val="libFootnotenumChar"/>
          <w:rtl/>
        </w:rPr>
        <w:t>(2)</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إِذَا وُضِعَ </w:t>
      </w:r>
      <w:r w:rsidRPr="007C12DB">
        <w:rPr>
          <w:rStyle w:val="libFootnotenumChar"/>
          <w:rtl/>
        </w:rPr>
        <w:t>(3)</w:t>
      </w:r>
      <w:r w:rsidRPr="005D642E">
        <w:rPr>
          <w:rtl/>
          <w:lang w:bidi="fa-IR"/>
        </w:rPr>
        <w:t xml:space="preserve"> الْمَيِّتُ فِي قَبْرِهِ مُثِّلَ لَهُ شَخْصٌ ، فَقَالَ لَهُ : يَا هذَا ، كُنَّا ثَلَاثَةً : كَانَ رِزْقُكَ ، فَانْقَطَعَ بِانْقِطَاعِ أَجَلِكَ ؛ وَكَانَ أَهْلُكَ ، فَخَلَّفُوكَ </w:t>
      </w:r>
      <w:r w:rsidRPr="007C12DB">
        <w:rPr>
          <w:rStyle w:val="libFootnotenumChar"/>
          <w:rtl/>
        </w:rPr>
        <w:t>(4)</w:t>
      </w:r>
      <w:r w:rsidRPr="005D642E">
        <w:rPr>
          <w:rtl/>
          <w:lang w:bidi="fa-IR"/>
        </w:rPr>
        <w:t xml:space="preserve"> وَانْصَرَفُوا عَنْكَ ؛ وَكُنْتُ عَمَلَكَ ، فَبَقِيتُ مَعَكَ ، أَمَا إِنِّي كُنْتُ أَهْوَنَ الثَّلَاثَةِ عَلَيْكَ</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1574D">
        <w:rPr>
          <w:rtl/>
        </w:rPr>
        <w:t>4709</w:t>
      </w:r>
      <w:r w:rsidRPr="00246318">
        <w:rPr>
          <w:rStyle w:val="libBold2Char"/>
          <w:rtl/>
        </w:rPr>
        <w:t xml:space="preserve"> / 15.</w:t>
      </w:r>
      <w:r w:rsidRPr="005D642E">
        <w:rPr>
          <w:rtl/>
          <w:lang w:bidi="fa-IR"/>
        </w:rPr>
        <w:t xml:space="preserve"> عَنْهُ </w:t>
      </w:r>
      <w:r w:rsidRPr="007C12DB">
        <w:rPr>
          <w:rStyle w:val="libFootnotenumChar"/>
          <w:rtl/>
        </w:rPr>
        <w:t>(6)</w:t>
      </w:r>
      <w:r w:rsidRPr="005D642E">
        <w:rPr>
          <w:rtl/>
          <w:lang w:bidi="fa-IR"/>
        </w:rPr>
        <w:t xml:space="preserve"> ، عَنْ أَبِيهِ رَفَعَهُ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يُسْأَلُ الْمَيِّتُ فِي قَبْرِهِ عَنْ خَمْسٍ : عَنْ </w:t>
      </w:r>
      <w:r w:rsidRPr="007C12DB">
        <w:rPr>
          <w:rStyle w:val="libFootnotenumChar"/>
          <w:rtl/>
        </w:rPr>
        <w:t>(7)</w:t>
      </w:r>
      <w:r w:rsidRPr="005D642E">
        <w:rPr>
          <w:rtl/>
          <w:lang w:bidi="fa-IR"/>
        </w:rPr>
        <w:t xml:space="preserve"> صَلَاتِهِ ، وَزَكَاتِهِ ، وَحَجِّهِ ، وَصِيَامِهِ </w:t>
      </w:r>
      <w:r w:rsidRPr="007C12DB">
        <w:rPr>
          <w:rStyle w:val="libFootnotenumChar"/>
          <w:rtl/>
        </w:rPr>
        <w:t>(8)</w:t>
      </w:r>
      <w:r w:rsidRPr="005D642E">
        <w:rPr>
          <w:rtl/>
          <w:lang w:bidi="fa-IR"/>
        </w:rPr>
        <w:t xml:space="preserve"> ، وَوَلَايَتِهِ إِيَّانَا أَهْلَ الْبَيْتِ ، فَتَقُولُ </w:t>
      </w:r>
      <w:r w:rsidRPr="007C12DB">
        <w:rPr>
          <w:rStyle w:val="libFootnotenumChar"/>
          <w:rtl/>
        </w:rPr>
        <w:t>(9)</w:t>
      </w:r>
      <w:r w:rsidRPr="005D642E">
        <w:rPr>
          <w:rtl/>
          <w:lang w:bidi="fa-IR"/>
        </w:rPr>
        <w:t xml:space="preserve"> الْوَلَايَةُ مِنْ </w:t>
      </w:r>
      <w:r w:rsidRPr="007C12DB">
        <w:rPr>
          <w:rStyle w:val="libFootnotenumChar"/>
          <w:rtl/>
        </w:rPr>
        <w:t>(10)</w:t>
      </w:r>
      <w:r w:rsidRPr="005D642E">
        <w:rPr>
          <w:rtl/>
          <w:lang w:bidi="fa-IR"/>
        </w:rPr>
        <w:t xml:space="preserve"> جَانِبِ الْقَبْرِ لِلْأَرْبَعِ :</w:t>
      </w:r>
      <w:r>
        <w:rPr>
          <w:rFonts w:hint="cs"/>
          <w:rtl/>
          <w:lang w:bidi="fa-IR"/>
        </w:rPr>
        <w:t xml:space="preserve"> </w:t>
      </w:r>
      <w:r w:rsidRPr="005D642E">
        <w:rPr>
          <w:rtl/>
          <w:lang w:bidi="fa-IR"/>
        </w:rPr>
        <w:t>مَا دَخَلَ فِيكُنَّ مِنْ نَقْصٍ فَعَلَيَّ تَمَامُهُ</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51574D">
        <w:rPr>
          <w:rtl/>
        </w:rPr>
        <w:t>4710</w:t>
      </w:r>
      <w:r w:rsidRPr="00246318">
        <w:rPr>
          <w:rStyle w:val="libBold2Char"/>
          <w:rtl/>
        </w:rPr>
        <w:t xml:space="preserve"> / 16.</w:t>
      </w:r>
      <w:r w:rsidRPr="005D642E">
        <w:rPr>
          <w:rtl/>
          <w:lang w:bidi="fa-IR"/>
        </w:rPr>
        <w:t xml:space="preserve"> عَلِيُّ بْنُ إِبْرَاهِيمَ ، عَنْ مُحَمَّدِ بْنِ عِيسى ، عَنْ يُونُسَ ، قَالَ :</w:t>
      </w:r>
    </w:p>
    <w:p w:rsidR="00E3253D" w:rsidRPr="005D642E" w:rsidRDefault="00E3253D" w:rsidP="00E3253D">
      <w:pPr>
        <w:pStyle w:val="libNormal"/>
        <w:rPr>
          <w:rtl/>
          <w:lang w:bidi="fa-IR"/>
        </w:rPr>
      </w:pPr>
      <w:r w:rsidRPr="005D642E">
        <w:rPr>
          <w:rtl/>
          <w:lang w:bidi="fa-IR"/>
        </w:rPr>
        <w:t>سَأَلْتُهُ عَنِ الْمَصْلُوبِ : يُعَذَّبُ عَذَابَ الْقَبْرِ</w:t>
      </w:r>
      <w:r>
        <w:rPr>
          <w:rtl/>
          <w:lang w:bidi="fa-IR"/>
        </w:rPr>
        <w:t>؟</w:t>
      </w:r>
    </w:p>
    <w:p w:rsidR="00E3253D" w:rsidRPr="005D642E" w:rsidRDefault="00E3253D" w:rsidP="00E3253D">
      <w:pPr>
        <w:pStyle w:val="libNormal"/>
        <w:rPr>
          <w:rtl/>
          <w:lang w:bidi="fa-IR"/>
        </w:rPr>
      </w:pPr>
      <w:r w:rsidRPr="005D642E">
        <w:rPr>
          <w:rtl/>
          <w:lang w:bidi="fa-IR"/>
        </w:rPr>
        <w:t>قَالَ : فَقَالَ : « نَعَمْ ، 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يَأْمُرُ الْهَوَاءَ </w:t>
      </w:r>
      <w:r w:rsidRPr="007C12DB">
        <w:rPr>
          <w:rStyle w:val="libFootnotenumChar"/>
          <w:rtl/>
        </w:rPr>
        <w:t>(12)</w:t>
      </w:r>
      <w:r w:rsidRPr="005D642E">
        <w:rPr>
          <w:rtl/>
          <w:lang w:bidi="fa-IR"/>
        </w:rPr>
        <w:t xml:space="preserve"> ‌</w:t>
      </w:r>
      <w:r w:rsidR="003D6E10">
        <w:rPr>
          <w:rFonts w:hint="cs"/>
          <w:rtl/>
          <w:lang w:bidi="fa-IR"/>
        </w:rPr>
        <w:t>.....................</w:t>
      </w:r>
      <w:r w:rsidR="003D6E10">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3D6E10" w:rsidP="00E3253D">
      <w:pPr>
        <w:pStyle w:val="libFootnote0"/>
        <w:rPr>
          <w:rtl/>
          <w:lang w:bidi="fa-IR"/>
        </w:rPr>
      </w:pPr>
      <w:r>
        <w:rPr>
          <w:rFonts w:hint="cs"/>
          <w:rtl/>
        </w:rPr>
        <w:t xml:space="preserve">= </w:t>
      </w:r>
      <w:r w:rsidR="00E3253D" w:rsidRPr="005D642E">
        <w:rPr>
          <w:rtl/>
        </w:rPr>
        <w:t xml:space="preserve">الحسن بن محبوب ، عن عبدالله بن مرحوم ، عن ابن سنان ، عن أبي عبدالله </w:t>
      </w:r>
      <w:r w:rsidR="00E3253D" w:rsidRPr="003D6E10">
        <w:rPr>
          <w:rStyle w:val="libFootnoteAlaemChar"/>
          <w:rtl/>
        </w:rPr>
        <w:t>عليه‌السلام</w:t>
      </w:r>
      <w:r w:rsidR="00E3253D" w:rsidRPr="005D642E">
        <w:rPr>
          <w:rtl/>
        </w:rPr>
        <w:t xml:space="preserve"> </w:t>
      </w:r>
      <w:r>
        <w:rPr>
          <w:rFonts w:hint="cs"/>
          <w:rtl/>
        </w:rPr>
        <w:t>.</w:t>
      </w:r>
      <w:r w:rsidR="00E3253D" w:rsidRPr="002F4D34">
        <w:rPr>
          <w:rStyle w:val="libFootnoteBoldChar"/>
          <w:rtl/>
        </w:rPr>
        <w:t>الوافي</w:t>
      </w:r>
      <w:r w:rsidR="00E3253D" w:rsidRPr="005D642E">
        <w:rPr>
          <w:rtl/>
        </w:rPr>
        <w:t xml:space="preserve"> ، ج 25 ، ص 621 ، ح 24765 ؛ </w:t>
      </w:r>
      <w:r w:rsidR="00E3253D" w:rsidRPr="002F4D34">
        <w:rPr>
          <w:rStyle w:val="libFootnoteBoldChar"/>
          <w:rtl/>
        </w:rPr>
        <w:t>الوسائل</w:t>
      </w:r>
      <w:r w:rsidR="00E3253D" w:rsidRPr="005D642E">
        <w:rPr>
          <w:rtl/>
        </w:rPr>
        <w:t xml:space="preserve"> ، ج 3 ، ص 255 ، ذيل ح 3562.</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(1).</w:t>
            </w:r>
            <w:r>
              <w:rPr>
                <w:rtl/>
              </w:rPr>
              <w:t xml:space="preserve"> </w:t>
            </w:r>
            <w:r w:rsidRPr="005D642E">
              <w:rPr>
                <w:rtl/>
              </w:rPr>
              <w:t>في البحار :</w:t>
            </w:r>
            <w:r>
              <w:rPr>
                <w:rtl/>
              </w:rPr>
              <w:t xml:space="preserve"> - </w:t>
            </w:r>
            <w:r w:rsidRPr="005D642E">
              <w:rPr>
                <w:rtl/>
              </w:rPr>
              <w:t>« محمّد بن</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(2).</w:t>
            </w:r>
            <w:r>
              <w:rPr>
                <w:rtl/>
              </w:rPr>
              <w:t xml:space="preserve"> في «بح»:+ «</w:t>
            </w:r>
            <w:r w:rsidRPr="005D642E">
              <w:rPr>
                <w:rtl/>
              </w:rPr>
              <w:t>رفعه</w:t>
            </w:r>
            <w:r>
              <w:rPr>
                <w:rtl/>
              </w:rPr>
              <w:t>».</w:t>
            </w:r>
            <w:r w:rsidRPr="005D642E">
              <w:rPr>
                <w:rtl/>
              </w:rPr>
              <w:t xml:space="preserve"> وفي الوافي :</w:t>
            </w:r>
            <w:r>
              <w:rPr>
                <w:rtl/>
              </w:rPr>
              <w:t xml:space="preserve"> -«</w:t>
            </w:r>
            <w:r w:rsidRPr="005D642E">
              <w:rPr>
                <w:rtl/>
              </w:rPr>
              <w:t>عن أبيه</w:t>
            </w:r>
            <w:r>
              <w:rPr>
                <w:rtl/>
              </w:rPr>
              <w:t>».</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(3).</w:t>
            </w:r>
            <w:r w:rsidRPr="005D642E">
              <w:rPr>
                <w:rtl/>
              </w:rPr>
              <w:t xml:space="preserve"> في « بح » : « وقع</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(4).</w:t>
            </w:r>
            <w:r w:rsidRPr="005D642E">
              <w:rPr>
                <w:rtl/>
              </w:rPr>
              <w:t xml:space="preserve"> في « بخ » </w:t>
            </w:r>
            <w:r w:rsidRPr="003D6E10">
              <w:rPr>
                <w:rtl/>
              </w:rPr>
              <w:t>والوافي</w:t>
            </w:r>
            <w:r w:rsidRPr="005D642E">
              <w:rPr>
                <w:rtl/>
              </w:rPr>
              <w:t xml:space="preserve"> : « فخلّوك</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25 ، ص 604 ، ح 24747 ؛ </w:t>
      </w:r>
      <w:r w:rsidR="00E3253D" w:rsidRPr="002F4D34">
        <w:rPr>
          <w:rStyle w:val="libFootnoteBoldChar"/>
          <w:rtl/>
        </w:rPr>
        <w:t>البحار</w:t>
      </w:r>
      <w:r w:rsidR="00E3253D" w:rsidRPr="005D642E">
        <w:rPr>
          <w:rtl/>
        </w:rPr>
        <w:t xml:space="preserve"> ، ج 6 ، ص 265 ، ح 110.</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الظاهر رجوع الضمير إلى محمّد بن أحمد الخراساني المذكور في السند السابق.</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عن</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هذا الخبر ينافي ما يدلّ على أنّ السؤال في القبر إنّما هو عن المعتق</w:t>
      </w:r>
      <w:r w:rsidR="003D6E10">
        <w:rPr>
          <w:rtl/>
        </w:rPr>
        <w:t>دات دون الأعمال. أجاب عنه العل</w:t>
      </w:r>
      <w:r w:rsidR="003D6E10">
        <w:rPr>
          <w:rFonts w:hint="cs"/>
          <w:rtl/>
        </w:rPr>
        <w:t>ّ</w:t>
      </w:r>
      <w:r w:rsidR="003D6E10">
        <w:rPr>
          <w:rtl/>
        </w:rPr>
        <w:t>ا</w:t>
      </w:r>
      <w:r w:rsidR="00E3253D" w:rsidRPr="005D642E">
        <w:rPr>
          <w:rtl/>
        </w:rPr>
        <w:t>مةالفيض بقوله : « لا ينافي</w:t>
      </w:r>
      <w:r w:rsidR="00E3253D">
        <w:rPr>
          <w:rtl/>
        </w:rPr>
        <w:t xml:space="preserve"> ..</w:t>
      </w:r>
      <w:r w:rsidR="00E3253D" w:rsidRPr="005D642E">
        <w:rPr>
          <w:rtl/>
        </w:rPr>
        <w:t>. ؛ لأنّ من جملة المعتقدات دين الإسلام الذي بناؤه على هذه الخمس ، كما ورد في الأخبار : بني الإسلام على خمس</w:t>
      </w:r>
      <w:r w:rsidR="00E3253D">
        <w:rPr>
          <w:rtl/>
        </w:rPr>
        <w:t xml:space="preserve"> ».</w:t>
      </w:r>
      <w:r w:rsidR="003D6E10">
        <w:rPr>
          <w:rtl/>
        </w:rPr>
        <w:t xml:space="preserve"> والعل</w:t>
      </w:r>
      <w:r w:rsidR="003D6E10">
        <w:rPr>
          <w:rFonts w:hint="cs"/>
          <w:rtl/>
        </w:rPr>
        <w:t>ّ</w:t>
      </w:r>
      <w:r w:rsidR="003D6E10">
        <w:rPr>
          <w:rtl/>
        </w:rPr>
        <w:t>ا</w:t>
      </w:r>
      <w:r w:rsidR="00E3253D" w:rsidRPr="005D642E">
        <w:rPr>
          <w:rtl/>
        </w:rPr>
        <w:t>مة المجلسي بقوله : « يمكن حمله على السؤال عن الاعتقاد بها ؛ لكونها من ضروريّات الدين ، فالاعتقاد بها من أجزاء الإيمان لا من عملها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(9).</w:t>
            </w:r>
            <w:r w:rsidRPr="005D642E">
              <w:rPr>
                <w:rtl/>
              </w:rPr>
              <w:t xml:space="preserve"> في « ى ، بخ » : « فيقول</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(10).</w:t>
            </w:r>
            <w:r w:rsidRPr="005D642E">
              <w:rPr>
                <w:rtl/>
              </w:rPr>
              <w:t xml:space="preserve"> في البحار : « عن</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الوافي</w:t>
      </w:r>
      <w:r w:rsidR="00E3253D" w:rsidRPr="005D642E">
        <w:rPr>
          <w:rtl/>
        </w:rPr>
        <w:t xml:space="preserve"> ، ج 25 ، ص 621 ، ح 24766 ؛ </w:t>
      </w:r>
      <w:r w:rsidR="00E3253D" w:rsidRPr="002F4D34">
        <w:rPr>
          <w:rStyle w:val="libFootnoteBoldChar"/>
          <w:rtl/>
        </w:rPr>
        <w:t>البحار</w:t>
      </w:r>
      <w:r w:rsidR="00E3253D" w:rsidRPr="005D642E">
        <w:rPr>
          <w:rtl/>
        </w:rPr>
        <w:t xml:space="preserve"> ، ج 6 ، ص 265 ، ح 111.</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بس » : « بالهواء</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أَنْ يَضْغَطَهُ </w:t>
      </w:r>
      <w:r w:rsidRPr="007C12DB">
        <w:rPr>
          <w:rStyle w:val="libFootnotenumChar"/>
          <w:rtl/>
        </w:rPr>
        <w:t>(1)</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1574D">
        <w:rPr>
          <w:rtl/>
        </w:rPr>
        <w:t>4711</w:t>
      </w:r>
      <w:r w:rsidRPr="00246318">
        <w:rPr>
          <w:rStyle w:val="libBold2Char"/>
          <w:rtl/>
        </w:rPr>
        <w:t xml:space="preserve"> / 17.</w:t>
      </w:r>
      <w:r w:rsidRPr="005D642E">
        <w:rPr>
          <w:rtl/>
          <w:lang w:bidi="fa-IR"/>
        </w:rPr>
        <w:t xml:space="preserve"> وَفِي رِوَايَةٍ أُخْرى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sidRPr="005D642E">
        <w:rPr>
          <w:rtl/>
          <w:lang w:bidi="fa-IR"/>
        </w:rPr>
        <w:t xml:space="preserve"> عَنِ الْمَصْلُوبِ : يُصِيبُهُ عَذَابُ الْقَبْرِ</w:t>
      </w:r>
      <w:r>
        <w:rPr>
          <w:rtl/>
          <w:lang w:bidi="fa-IR"/>
        </w:rPr>
        <w:t>؟</w:t>
      </w:r>
    </w:p>
    <w:p w:rsidR="00E3253D" w:rsidRPr="005D642E" w:rsidRDefault="00E3253D" w:rsidP="00E3253D">
      <w:pPr>
        <w:pStyle w:val="libNormal"/>
        <w:rPr>
          <w:rtl/>
          <w:lang w:bidi="fa-IR"/>
        </w:rPr>
      </w:pPr>
      <w:r w:rsidRPr="005D642E">
        <w:rPr>
          <w:rtl/>
          <w:lang w:bidi="fa-IR"/>
        </w:rPr>
        <w:t>فَقَالَ : « إِنَّ رَبَّ الْأَرْضِ هُوَ رَبُّ الْهَوَاءِ ، فَيُوحِي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إِلَى الْهَوَاءِ ، فَيَضْغَطُهُ ضَغْطَةً </w:t>
      </w:r>
      <w:r w:rsidRPr="007C12DB">
        <w:rPr>
          <w:rStyle w:val="libFootnotenumChar"/>
          <w:rtl/>
        </w:rPr>
        <w:t>(4)</w:t>
      </w:r>
      <w:r w:rsidRPr="005D642E">
        <w:rPr>
          <w:rtl/>
          <w:lang w:bidi="fa-IR"/>
        </w:rPr>
        <w:t xml:space="preserve"> أَشَدَّ مِنْ ضَغْطَةِ الْقَبْرِ</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1574D">
        <w:rPr>
          <w:rtl/>
        </w:rPr>
        <w:t>4712</w:t>
      </w:r>
      <w:r w:rsidRPr="00246318">
        <w:rPr>
          <w:rStyle w:val="libBold2Char"/>
          <w:rtl/>
        </w:rPr>
        <w:t xml:space="preserve"> / 18.</w:t>
      </w:r>
      <w:r w:rsidRPr="005D642E">
        <w:rPr>
          <w:rtl/>
          <w:lang w:bidi="fa-IR"/>
        </w:rPr>
        <w:t xml:space="preserve"> حُمَيْدُ بْنُ زِيَادٍ ، عَنِ الْحَسَنِ بْنِ مُحَمَّدِ بْنِ سَمَاعَةَ ، عَنْ غَيْرِ وَاحِدٍ ، عَنْ أَبَانٍ ، عَنْ أَبِي بَصِيرٍ :</w:t>
      </w:r>
    </w:p>
    <w:p w:rsidR="00E3253D" w:rsidRPr="005D642E" w:rsidRDefault="00E3253D" w:rsidP="00E3253D">
      <w:pPr>
        <w:pStyle w:val="libNormal"/>
        <w:rPr>
          <w:rtl/>
          <w:lang w:bidi="fa-IR"/>
        </w:rPr>
      </w:pPr>
      <w:r w:rsidRPr="005D642E">
        <w:rPr>
          <w:rtl/>
          <w:lang w:bidi="fa-IR"/>
        </w:rPr>
        <w:t xml:space="preserve">عَنْ أَحَدِهِمَا </w:t>
      </w:r>
      <w:r w:rsidRPr="00AC51C5">
        <w:rPr>
          <w:rStyle w:val="libAlaemChar"/>
          <w:rtl/>
        </w:rPr>
        <w:t>عليهما‌السلام</w:t>
      </w:r>
      <w:r w:rsidRPr="005D642E">
        <w:rPr>
          <w:rtl/>
          <w:lang w:bidi="fa-IR"/>
        </w:rPr>
        <w:t xml:space="preserve"> ، قَالَ : « لَمَّا مَاتَتْ رُقَيَّةُ ابْنَةُ </w:t>
      </w:r>
      <w:r w:rsidRPr="007C12DB">
        <w:rPr>
          <w:rStyle w:val="libFootnotenumChar"/>
          <w:rtl/>
        </w:rPr>
        <w:t>(6)</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 قَالَ رَسُولُ اللهِ </w:t>
      </w:r>
      <w:r w:rsidR="0042621E" w:rsidRPr="0042621E">
        <w:rPr>
          <w:rStyle w:val="libAlaemChar"/>
          <w:rtl/>
        </w:rPr>
        <w:t>صلى‌الله‌عليه‌وآله</w:t>
      </w:r>
      <w:r w:rsidRPr="005D642E">
        <w:rPr>
          <w:rtl/>
          <w:lang w:bidi="fa-IR"/>
        </w:rPr>
        <w:t xml:space="preserve"> :</w:t>
      </w:r>
      <w:r>
        <w:rPr>
          <w:rFonts w:hint="cs"/>
          <w:rtl/>
          <w:lang w:bidi="fa-IR"/>
        </w:rPr>
        <w:t xml:space="preserve"> </w:t>
      </w:r>
      <w:r w:rsidRPr="005D642E">
        <w:rPr>
          <w:rtl/>
          <w:lang w:bidi="fa-IR"/>
        </w:rPr>
        <w:t xml:space="preserve">الْحَقِي بِسَلَفِنَا </w:t>
      </w:r>
      <w:r w:rsidRPr="007C12DB">
        <w:rPr>
          <w:rStyle w:val="libFootnotenumChar"/>
          <w:rtl/>
        </w:rPr>
        <w:t>(7)</w:t>
      </w:r>
      <w:r w:rsidRPr="005D642E">
        <w:rPr>
          <w:rtl/>
          <w:lang w:bidi="fa-IR"/>
        </w:rPr>
        <w:t xml:space="preserve"> الصَّالِحِ عُثْمَانَ بْنِ مَظْعُونٍ وَأَصْحَابِهِ » قَالَ : « وَفَاطِمَةُ </w:t>
      </w:r>
      <w:r w:rsidRPr="00AC51C5">
        <w:rPr>
          <w:rStyle w:val="libAlaemChar"/>
          <w:rtl/>
        </w:rPr>
        <w:t>عليها‌السلام</w:t>
      </w:r>
      <w:r w:rsidRPr="005D642E">
        <w:rPr>
          <w:rtl/>
          <w:lang w:bidi="fa-IR"/>
        </w:rPr>
        <w:t xml:space="preserve"> عَلى شَفِيرِ الْقَبْرِ تَنْحَدِرُ </w:t>
      </w:r>
      <w:r w:rsidRPr="007C12DB">
        <w:rPr>
          <w:rStyle w:val="libFootnotenumChar"/>
          <w:rtl/>
        </w:rPr>
        <w:t>(8)</w:t>
      </w:r>
      <w:r w:rsidRPr="005D642E">
        <w:rPr>
          <w:rtl/>
          <w:lang w:bidi="fa-IR"/>
        </w:rPr>
        <w:t xml:space="preserve"> دُمُوعُهَا فِي الْقَبْرِ وَرَسُولُ اللهِ </w:t>
      </w:r>
      <w:r w:rsidR="0042621E" w:rsidRPr="0042621E">
        <w:rPr>
          <w:rStyle w:val="libAlaemChar"/>
          <w:rtl/>
        </w:rPr>
        <w:t>صلى‌الله‌عليه‌وآله</w:t>
      </w:r>
      <w:r w:rsidRPr="005D642E">
        <w:rPr>
          <w:rtl/>
          <w:lang w:bidi="fa-IR"/>
        </w:rPr>
        <w:t xml:space="preserve"> يَتَلَقَّاهُ بِثَوْبِهِ قَائِماً </w:t>
      </w:r>
      <w:r w:rsidRPr="007C12DB">
        <w:rPr>
          <w:rStyle w:val="libFootnotenumChar"/>
          <w:rtl/>
        </w:rPr>
        <w:t>(9)</w:t>
      </w:r>
      <w:r w:rsidRPr="005D642E">
        <w:rPr>
          <w:rtl/>
          <w:lang w:bidi="fa-IR"/>
        </w:rPr>
        <w:t xml:space="preserve"> يَدْعُو </w:t>
      </w:r>
      <w:r w:rsidRPr="007C12DB">
        <w:rPr>
          <w:rStyle w:val="libFootnotenumChar"/>
          <w:rtl/>
        </w:rPr>
        <w:t>(10)</w:t>
      </w:r>
      <w:r w:rsidRPr="005D642E">
        <w:rPr>
          <w:rtl/>
          <w:lang w:bidi="fa-IR"/>
        </w:rPr>
        <w:t xml:space="preserve"> » قَالَ : « إِنِّي لَأَعْرِفُ ضَعْفَهَا </w:t>
      </w:r>
      <w:r w:rsidRPr="007C12DB">
        <w:rPr>
          <w:rStyle w:val="libFootnotenumChar"/>
          <w:rtl/>
        </w:rPr>
        <w:t>(11)</w:t>
      </w:r>
      <w:r w:rsidRPr="005D642E">
        <w:rPr>
          <w:rtl/>
          <w:lang w:bidi="fa-IR"/>
        </w:rPr>
        <w:t xml:space="preserve"> ، وَسَأَلْتُ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أَنْ يُجِيرَهَا مِنْ ضَمَّةِ الْقَبْرِ</w:t>
      </w:r>
      <w:r>
        <w:rPr>
          <w:rtl/>
          <w:lang w:bidi="fa-IR"/>
        </w:rPr>
        <w:t xml:space="preserve"> ».</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أن يَضْغَطُهُ » ، أي يعصره ، يقال : ضغطه يضغطه ضغطاً. إذا عصره وضيّق عليه وقهره. راجع : </w:t>
      </w:r>
      <w:r w:rsidR="00E3253D" w:rsidRPr="002F4D34">
        <w:rPr>
          <w:rStyle w:val="libFootnoteBoldChar"/>
          <w:rtl/>
        </w:rPr>
        <w:t>النهاية</w:t>
      </w:r>
      <w:r w:rsidR="00E3253D" w:rsidRPr="005D642E">
        <w:rPr>
          <w:rtl/>
        </w:rPr>
        <w:t xml:space="preserve"> ، ج 3 ، ص 90 ( ضغط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624 ، ح 24770 ؛ </w:t>
      </w:r>
      <w:r w:rsidR="00E3253D" w:rsidRPr="002F4D34">
        <w:rPr>
          <w:rStyle w:val="libFootnoteBoldChar"/>
          <w:rtl/>
        </w:rPr>
        <w:t>البحار</w:t>
      </w:r>
      <w:r w:rsidR="00E3253D" w:rsidRPr="005D642E">
        <w:rPr>
          <w:rtl/>
        </w:rPr>
        <w:t xml:space="preserve"> ، ج 6 ، ص 266 ، ح 112.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w:t>
      </w:r>
      <w:r w:rsidR="000D749A" w:rsidRPr="003D6E10">
        <w:rPr>
          <w:rtl/>
        </w:rPr>
        <w:t>والوافي</w:t>
      </w:r>
      <w:r w:rsidR="00E3253D" w:rsidRPr="005D642E">
        <w:rPr>
          <w:rtl/>
        </w:rPr>
        <w:t xml:space="preserve"> :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بث ، بح ، جح » وحاشية « بس » : + « هو</w:t>
      </w:r>
      <w:r w:rsidR="00E3253D">
        <w:rPr>
          <w:rtl/>
        </w:rPr>
        <w:t xml:space="preserve"> ».</w:t>
      </w:r>
      <w:r w:rsidR="00E3253D" w:rsidRPr="005D642E">
        <w:rPr>
          <w:rtl/>
        </w:rPr>
        <w:t xml:space="preserve"> وفي الفقيه :</w:t>
      </w:r>
      <w:r w:rsidR="00E3253D">
        <w:rPr>
          <w:rtl/>
        </w:rPr>
        <w:t xml:space="preserve"> </w:t>
      </w:r>
      <w:r w:rsidR="007642BC">
        <w:rPr>
          <w:rtl/>
        </w:rPr>
        <w:t>-</w:t>
      </w:r>
      <w:r w:rsidR="00E3253D">
        <w:rPr>
          <w:rtl/>
        </w:rPr>
        <w:t xml:space="preserve"> </w:t>
      </w:r>
      <w:r w:rsidR="00E3253D" w:rsidRPr="005D642E">
        <w:rPr>
          <w:rtl/>
        </w:rPr>
        <w:t>« ضغطة</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الفقيه</w:t>
      </w:r>
      <w:r w:rsidR="00E3253D" w:rsidRPr="005D642E">
        <w:rPr>
          <w:rtl/>
        </w:rPr>
        <w:t xml:space="preserve"> ، ج 1 ، ص 192 ، ح 584 ، مرسلاً </w:t>
      </w:r>
      <w:r w:rsidR="003D6E10">
        <w:rPr>
          <w:rFonts w:hint="cs"/>
          <w:rtl/>
        </w:rPr>
        <w:t>.</w:t>
      </w:r>
      <w:r w:rsidR="00E3253D" w:rsidRPr="002F4D34">
        <w:rPr>
          <w:rStyle w:val="libFootnoteBoldChar"/>
          <w:rtl/>
        </w:rPr>
        <w:t>الوافي</w:t>
      </w:r>
      <w:r w:rsidR="00E3253D" w:rsidRPr="005D642E">
        <w:rPr>
          <w:rtl/>
        </w:rPr>
        <w:t xml:space="preserve"> ، ج 25 ، ص 625 ، ح 24771 ؛ </w:t>
      </w:r>
      <w:r w:rsidR="00E3253D" w:rsidRPr="002F4D34">
        <w:rPr>
          <w:rStyle w:val="libFootnoteBoldChar"/>
          <w:rtl/>
        </w:rPr>
        <w:t>البحار</w:t>
      </w:r>
      <w:r w:rsidR="00E3253D" w:rsidRPr="005D642E">
        <w:rPr>
          <w:rtl/>
        </w:rPr>
        <w:t xml:space="preserve"> ، ج 6 ، ص 266 ، ذيل ح 12.</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وحاشية « بح » : « بنت</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سلفنا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 « ينحدر</w:t>
      </w:r>
      <w:r w:rsidR="00E3253D">
        <w:rPr>
          <w:rtl/>
        </w:rPr>
        <w:t xml:space="preserve"> ».</w:t>
      </w:r>
      <w:r w:rsidR="00E3253D" w:rsidRPr="005D642E">
        <w:rPr>
          <w:rtl/>
        </w:rPr>
        <w:t xml:space="preserve"> وفي « بث : « يتحدّر</w:t>
      </w:r>
      <w:r w:rsidR="00E3253D">
        <w:rPr>
          <w:rtl/>
        </w:rPr>
        <w:t xml:space="preserve"> ».</w:t>
      </w:r>
      <w:r w:rsidR="00E3253D" w:rsidRPr="005D642E">
        <w:rPr>
          <w:rtl/>
        </w:rPr>
        <w:t xml:space="preserve"> وفي « بح » : « تتحدّر</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بث ، بح ، بس ، جح ، جس » : « قائم</w:t>
      </w:r>
      <w:r w:rsidR="00E3253D">
        <w:rPr>
          <w:rtl/>
        </w:rPr>
        <w:t xml:space="preserve"> ».</w:t>
      </w:r>
      <w:r w:rsidR="00E3253D" w:rsidRPr="005D642E">
        <w:rPr>
          <w:rtl/>
        </w:rPr>
        <w:t xml:space="preserve"> وفي الوافي : + « بما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(10).</w:t>
            </w:r>
            <w:r w:rsidRPr="005D642E">
              <w:rPr>
                <w:rtl/>
              </w:rPr>
              <w:t xml:space="preserve"> في « ى » :</w:t>
            </w:r>
            <w:r>
              <w:rPr>
                <w:rtl/>
              </w:rPr>
              <w:t xml:space="preserve"> - </w:t>
            </w:r>
            <w:r w:rsidRPr="005D642E">
              <w:rPr>
                <w:rtl/>
              </w:rPr>
              <w:t>« يدعو</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(11).</w:t>
            </w:r>
            <w:r w:rsidRPr="005D642E">
              <w:rPr>
                <w:rtl/>
              </w:rPr>
              <w:t xml:space="preserve"> في « ى » : « صفتها</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الوافي</w:t>
      </w:r>
      <w:r w:rsidR="00E3253D" w:rsidRPr="005D642E">
        <w:rPr>
          <w:rtl/>
        </w:rPr>
        <w:t xml:space="preserve"> ، ج 25 ، ص 624 ، ح 24769 ؛ </w:t>
      </w:r>
      <w:r w:rsidR="00E3253D" w:rsidRPr="002F4D34">
        <w:rPr>
          <w:rStyle w:val="libFootnoteBoldChar"/>
          <w:rtl/>
        </w:rPr>
        <w:t>الوسائل</w:t>
      </w:r>
      <w:r w:rsidR="00E3253D" w:rsidRPr="005D642E">
        <w:rPr>
          <w:rtl/>
        </w:rPr>
        <w:t xml:space="preserve"> ، ج 3 ، ص 279 ، ح 3649 ، إلى قوله : « تنحدر دموعها في القبر » ؛ </w:t>
      </w:r>
      <w:r w:rsidR="00E3253D" w:rsidRPr="002F4D34">
        <w:rPr>
          <w:rStyle w:val="libFootnoteBoldChar"/>
          <w:rtl/>
        </w:rPr>
        <w:t>البحار</w:t>
      </w:r>
      <w:r w:rsidR="00E3253D" w:rsidRPr="005D642E">
        <w:rPr>
          <w:rtl/>
        </w:rPr>
        <w:t xml:space="preserve"> ، ج 6 ، ص 266 ، ح 113 ؛ وج 22 ، ص 164 ، ح 24.</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527" w:name="_Toc344647387"/>
      <w:bookmarkStart w:id="528" w:name="_Toc462226901"/>
      <w:bookmarkStart w:id="529" w:name="_Toc40976009"/>
      <w:r w:rsidRPr="005D642E">
        <w:rPr>
          <w:rtl/>
          <w:lang w:bidi="fa-IR"/>
        </w:rPr>
        <w:t>89</w:t>
      </w:r>
      <w:r>
        <w:rPr>
          <w:rtl/>
          <w:lang w:bidi="fa-IR"/>
        </w:rPr>
        <w:t xml:space="preserve"> </w:t>
      </w:r>
      <w:r w:rsidR="007642BC">
        <w:rPr>
          <w:rtl/>
          <w:lang w:bidi="fa-IR"/>
        </w:rPr>
        <w:t>-</w:t>
      </w:r>
      <w:r>
        <w:rPr>
          <w:rtl/>
          <w:lang w:bidi="fa-IR"/>
        </w:rPr>
        <w:t xml:space="preserve"> </w:t>
      </w:r>
      <w:r w:rsidRPr="005D642E">
        <w:rPr>
          <w:rtl/>
          <w:lang w:bidi="fa-IR"/>
        </w:rPr>
        <w:t xml:space="preserve">بَابُ مَا يَنْطِقُ بِهِ مَوْضِعُ الْقَبْرِ </w:t>
      </w:r>
      <w:r w:rsidRPr="007C12DB">
        <w:rPr>
          <w:rStyle w:val="libFootnotenumChar"/>
          <w:rtl/>
        </w:rPr>
        <w:t>(</w:t>
      </w:r>
      <w:r w:rsidRPr="007C12DB">
        <w:rPr>
          <w:rStyle w:val="libFootnotenumChar"/>
          <w:rFonts w:hint="cs"/>
          <w:rtl/>
        </w:rPr>
        <w:t>1</w:t>
      </w:r>
      <w:r w:rsidRPr="007C12DB">
        <w:rPr>
          <w:rStyle w:val="libFootnotenumChar"/>
          <w:rtl/>
        </w:rPr>
        <w:t>)</w:t>
      </w:r>
      <w:r w:rsidRPr="005D642E">
        <w:rPr>
          <w:rtl/>
          <w:lang w:bidi="fa-IR"/>
        </w:rPr>
        <w:t xml:space="preserve"> ‌</w:t>
      </w:r>
      <w:bookmarkEnd w:id="527"/>
      <w:bookmarkEnd w:id="528"/>
      <w:bookmarkEnd w:id="529"/>
    </w:p>
    <w:p w:rsidR="00E3253D" w:rsidRPr="005D642E" w:rsidRDefault="00E3253D" w:rsidP="00E3253D">
      <w:pPr>
        <w:pStyle w:val="libNormal"/>
        <w:rPr>
          <w:rtl/>
          <w:lang w:bidi="fa-IR"/>
        </w:rPr>
      </w:pPr>
      <w:r w:rsidRPr="0051574D">
        <w:rPr>
          <w:rtl/>
        </w:rPr>
        <w:t>4713</w:t>
      </w:r>
      <w:r w:rsidRPr="00246318">
        <w:rPr>
          <w:rStyle w:val="libBold2Char"/>
          <w:rtl/>
        </w:rPr>
        <w:t xml:space="preserve"> / 1.</w:t>
      </w:r>
      <w:r w:rsidRPr="005D642E">
        <w:rPr>
          <w:rtl/>
          <w:lang w:bidi="fa-IR"/>
        </w:rPr>
        <w:t xml:space="preserve"> مُحَمَّدُ بْنُ يَحْيى ، عَنْ مُحَمَّدِ بْنِ الْحُسَيْنِ ، عَنْ عَبْدِ الرَّحْمنِ بْنِ أَبِي هَاشِمٍ ، عَنْ سَالِمٍ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مَا مِنْ </w:t>
      </w:r>
      <w:r w:rsidRPr="007C12DB">
        <w:rPr>
          <w:rStyle w:val="libFootnotenumChar"/>
          <w:rtl/>
        </w:rPr>
        <w:t>(</w:t>
      </w:r>
      <w:r w:rsidRPr="007C12DB">
        <w:rPr>
          <w:rStyle w:val="libFootnotenumChar"/>
          <w:rFonts w:hint="cs"/>
          <w:rtl/>
        </w:rPr>
        <w:t>2</w:t>
      </w:r>
      <w:r w:rsidRPr="007C12DB">
        <w:rPr>
          <w:rStyle w:val="libFootnotenumChar"/>
          <w:rtl/>
        </w:rPr>
        <w:t>)</w:t>
      </w:r>
      <w:r w:rsidRPr="005D642E">
        <w:rPr>
          <w:rtl/>
          <w:lang w:bidi="fa-IR"/>
        </w:rPr>
        <w:t xml:space="preserve"> مَوْضِعِ </w:t>
      </w:r>
      <w:r w:rsidRPr="007C12DB">
        <w:rPr>
          <w:rStyle w:val="libFootnotenumChar"/>
          <w:rtl/>
        </w:rPr>
        <w:t>(</w:t>
      </w:r>
      <w:r w:rsidRPr="007C12DB">
        <w:rPr>
          <w:rStyle w:val="libFootnotenumChar"/>
          <w:rFonts w:hint="cs"/>
          <w:rtl/>
        </w:rPr>
        <w:t>3</w:t>
      </w:r>
      <w:r w:rsidRPr="007C12DB">
        <w:rPr>
          <w:rStyle w:val="libFootnotenumChar"/>
          <w:rtl/>
        </w:rPr>
        <w:t>)</w:t>
      </w:r>
      <w:r w:rsidRPr="005D642E">
        <w:rPr>
          <w:rtl/>
          <w:lang w:bidi="fa-IR"/>
        </w:rPr>
        <w:t xml:space="preserve"> قَبْرٍ </w:t>
      </w:r>
      <w:r w:rsidRPr="007C12DB">
        <w:rPr>
          <w:rStyle w:val="libFootnotenumChar"/>
          <w:rtl/>
        </w:rPr>
        <w:t>(</w:t>
      </w:r>
      <w:r w:rsidRPr="007C12DB">
        <w:rPr>
          <w:rStyle w:val="libFootnotenumChar"/>
          <w:rFonts w:hint="cs"/>
          <w:rtl/>
        </w:rPr>
        <w:t>4</w:t>
      </w:r>
      <w:r w:rsidRPr="007C12DB">
        <w:rPr>
          <w:rStyle w:val="libFootnotenumChar"/>
          <w:rtl/>
        </w:rPr>
        <w:t>)</w:t>
      </w:r>
      <w:r w:rsidR="003D6E10">
        <w:rPr>
          <w:rtl/>
          <w:lang w:bidi="fa-IR"/>
        </w:rPr>
        <w:t xml:space="preserve"> إِل</w:t>
      </w:r>
      <w:r w:rsidR="003D6E10">
        <w:rPr>
          <w:rFonts w:hint="cs"/>
          <w:rtl/>
          <w:lang w:bidi="fa-IR"/>
        </w:rPr>
        <w:t>َّ</w:t>
      </w:r>
      <w:r w:rsidR="003D6E10">
        <w:rPr>
          <w:rtl/>
          <w:lang w:bidi="fa-IR"/>
        </w:rPr>
        <w:t>ا</w:t>
      </w:r>
      <w:r w:rsidRPr="005D642E">
        <w:rPr>
          <w:rtl/>
          <w:lang w:bidi="fa-IR"/>
        </w:rPr>
        <w:t xml:space="preserve"> وَهُوَ </w:t>
      </w:r>
      <w:r w:rsidRPr="007C12DB">
        <w:rPr>
          <w:rStyle w:val="libFootnotenumChar"/>
          <w:rtl/>
        </w:rPr>
        <w:t>(</w:t>
      </w:r>
      <w:r w:rsidRPr="007C12DB">
        <w:rPr>
          <w:rStyle w:val="libFootnotenumChar"/>
          <w:rFonts w:hint="cs"/>
          <w:rtl/>
        </w:rPr>
        <w:t>5</w:t>
      </w:r>
      <w:r w:rsidRPr="007C12DB">
        <w:rPr>
          <w:rStyle w:val="libFootnotenumChar"/>
          <w:rtl/>
        </w:rPr>
        <w:t>)</w:t>
      </w:r>
      <w:r w:rsidRPr="005D642E">
        <w:rPr>
          <w:rtl/>
          <w:lang w:bidi="fa-IR"/>
        </w:rPr>
        <w:t xml:space="preserve"> يَنْطِقُ كُلَّ يَوْمٍ ثَلَاثَ مَرَّاتٍ : أَنَا بَيْتُ التُّرَابِ ، أَنَا بَيْتُ الْبَلَاءِ </w:t>
      </w:r>
      <w:r w:rsidRPr="007C12DB">
        <w:rPr>
          <w:rStyle w:val="libFootnotenumChar"/>
          <w:rtl/>
        </w:rPr>
        <w:t>(</w:t>
      </w:r>
      <w:r w:rsidRPr="007C12DB">
        <w:rPr>
          <w:rStyle w:val="libFootnotenumChar"/>
          <w:rFonts w:hint="cs"/>
          <w:rtl/>
        </w:rPr>
        <w:t>6</w:t>
      </w:r>
      <w:r w:rsidRPr="007C12DB">
        <w:rPr>
          <w:rStyle w:val="libFootnotenumChar"/>
          <w:rtl/>
        </w:rPr>
        <w:t>)</w:t>
      </w:r>
      <w:r w:rsidRPr="005D642E">
        <w:rPr>
          <w:rtl/>
          <w:lang w:bidi="fa-IR"/>
        </w:rPr>
        <w:t xml:space="preserve"> ، أَنَا بَيْتُ الدُّودِ</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فَإِذَا دَخَلَهُ عَبْدٌ مُؤْمِنٌ ، قَالَ : مَرْحَباً وَأَهْلاً ، أَمَا </w:t>
      </w:r>
      <w:r w:rsidRPr="007C12DB">
        <w:rPr>
          <w:rStyle w:val="libFootnotenumChar"/>
          <w:rtl/>
        </w:rPr>
        <w:t>(</w:t>
      </w:r>
      <w:r w:rsidRPr="007C12DB">
        <w:rPr>
          <w:rStyle w:val="libFootnotenumChar"/>
          <w:rFonts w:hint="cs"/>
          <w:rtl/>
        </w:rPr>
        <w:t>7</w:t>
      </w:r>
      <w:r w:rsidRPr="007C12DB">
        <w:rPr>
          <w:rStyle w:val="libFootnotenumChar"/>
          <w:rtl/>
        </w:rPr>
        <w:t>)</w:t>
      </w:r>
      <w:r w:rsidRPr="005D642E">
        <w:rPr>
          <w:rtl/>
          <w:lang w:bidi="fa-IR"/>
        </w:rPr>
        <w:t xml:space="preserve"> وَاللهِ ، لَقَدْ كُنْتُ أُحِبُّكَ وَأَنْتَ </w:t>
      </w:r>
      <w:r w:rsidRPr="007C12DB">
        <w:rPr>
          <w:rStyle w:val="libFootnotenumChar"/>
          <w:rtl/>
        </w:rPr>
        <w:t>(</w:t>
      </w:r>
      <w:r w:rsidRPr="007C12DB">
        <w:rPr>
          <w:rStyle w:val="libFootnotenumChar"/>
          <w:rFonts w:hint="cs"/>
          <w:rtl/>
        </w:rPr>
        <w:t>8</w:t>
      </w:r>
      <w:r w:rsidRPr="007C12DB">
        <w:rPr>
          <w:rStyle w:val="libFootnotenumChar"/>
          <w:rtl/>
        </w:rPr>
        <w:t>)</w:t>
      </w:r>
      <w:r w:rsidRPr="005D642E">
        <w:rPr>
          <w:rtl/>
          <w:lang w:bidi="fa-IR"/>
        </w:rPr>
        <w:t xml:space="preserve"> تَمْشِي عَلى ظَهْرِي ، فَكَيْفَ إِذَا دَخَلْتَ بَطْنِي ، فَسَتَرى ذلِكَ </w:t>
      </w:r>
      <w:r w:rsidRPr="007C12DB">
        <w:rPr>
          <w:rStyle w:val="libFootnotenumChar"/>
          <w:rtl/>
        </w:rPr>
        <w:t>(</w:t>
      </w:r>
      <w:r w:rsidRPr="007C12DB">
        <w:rPr>
          <w:rStyle w:val="libFootnotenumChar"/>
          <w:rFonts w:hint="cs"/>
          <w:rtl/>
        </w:rPr>
        <w:t>9</w:t>
      </w:r>
      <w:r w:rsidRPr="007C12DB">
        <w:rPr>
          <w:rStyle w:val="libFootnotenumChar"/>
          <w:rtl/>
        </w:rPr>
        <w:t>)</w:t>
      </w:r>
      <w:r w:rsidRPr="005D642E">
        <w:rPr>
          <w:rtl/>
          <w:lang w:bidi="fa-IR"/>
        </w:rPr>
        <w:t xml:space="preserve"> » قَالَ : « فَيُفْسَحُ </w:t>
      </w:r>
      <w:r w:rsidRPr="007C12DB">
        <w:rPr>
          <w:rStyle w:val="libFootnotenumChar"/>
          <w:rtl/>
        </w:rPr>
        <w:t>(</w:t>
      </w:r>
      <w:r w:rsidRPr="007C12DB">
        <w:rPr>
          <w:rStyle w:val="libFootnotenumChar"/>
          <w:rFonts w:hint="cs"/>
          <w:rtl/>
        </w:rPr>
        <w:t>10</w:t>
      </w:r>
      <w:r w:rsidRPr="007C12DB">
        <w:rPr>
          <w:rStyle w:val="libFootnotenumChar"/>
          <w:rtl/>
        </w:rPr>
        <w:t>)</w:t>
      </w:r>
      <w:r w:rsidRPr="005D642E">
        <w:rPr>
          <w:rtl/>
          <w:lang w:bidi="fa-IR"/>
        </w:rPr>
        <w:t xml:space="preserve"> لَهُ مَدَّ الْبَصَرِ ، وَيُفْتَحُ لَهُ بَابٌ </w:t>
      </w:r>
      <w:r w:rsidRPr="007C12DB">
        <w:rPr>
          <w:rStyle w:val="libFootnotenumChar"/>
          <w:rtl/>
        </w:rPr>
        <w:t>(</w:t>
      </w:r>
      <w:r w:rsidRPr="007C12DB">
        <w:rPr>
          <w:rStyle w:val="libFootnotenumChar"/>
          <w:rFonts w:hint="cs"/>
          <w:rtl/>
        </w:rPr>
        <w:t>11</w:t>
      </w:r>
      <w:r w:rsidRPr="007C12DB">
        <w:rPr>
          <w:rStyle w:val="libFootnotenumChar"/>
          <w:rtl/>
        </w:rPr>
        <w:t>)</w:t>
      </w:r>
      <w:r w:rsidRPr="005D642E">
        <w:rPr>
          <w:rtl/>
          <w:lang w:bidi="fa-IR"/>
        </w:rPr>
        <w:t xml:space="preserve"> يَرى مَقْعَدَهُ مِنَ الْجَنَّةِ</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وَيَخْرُجُ مِنْ ذلِكَ رَجُلٌ لَمْ تَرَ عَيْنَاهُ شَيْئاً قَطُّ </w:t>
      </w:r>
      <w:r w:rsidRPr="007C12DB">
        <w:rPr>
          <w:rStyle w:val="libFootnotenumChar"/>
          <w:rtl/>
        </w:rPr>
        <w:t>(</w:t>
      </w:r>
      <w:r w:rsidRPr="007C12DB">
        <w:rPr>
          <w:rStyle w:val="libFootnotenumChar"/>
          <w:rFonts w:hint="cs"/>
          <w:rtl/>
        </w:rPr>
        <w:t>12</w:t>
      </w:r>
      <w:r w:rsidRPr="007C12DB">
        <w:rPr>
          <w:rStyle w:val="libFootnotenumChar"/>
          <w:rtl/>
        </w:rPr>
        <w:t>)</w:t>
      </w:r>
      <w:r w:rsidRPr="005D642E">
        <w:rPr>
          <w:rtl/>
          <w:lang w:bidi="fa-IR"/>
        </w:rPr>
        <w:t xml:space="preserve"> أَحْسَنَ مِنْهُ ، فَيَقُولُ :</w:t>
      </w:r>
      <w:r>
        <w:rPr>
          <w:rFonts w:hint="cs"/>
          <w:rtl/>
          <w:lang w:bidi="fa-IR"/>
        </w:rPr>
        <w:t xml:space="preserve"> </w:t>
      </w:r>
      <w:r w:rsidRPr="005D642E">
        <w:rPr>
          <w:rtl/>
          <w:lang w:bidi="fa-IR"/>
        </w:rPr>
        <w:t xml:space="preserve">يَا عَبْدَ اللهِ ، مَا رَأَيْتُ شَيْئاً قَطُّ أَحْسَنَ مِنْكَ </w:t>
      </w:r>
      <w:r w:rsidRPr="007C12DB">
        <w:rPr>
          <w:rStyle w:val="libFootnotenumChar"/>
          <w:rtl/>
        </w:rPr>
        <w:t>(</w:t>
      </w:r>
      <w:r w:rsidRPr="007C12DB">
        <w:rPr>
          <w:rStyle w:val="libFootnotenumChar"/>
          <w:rFonts w:hint="cs"/>
          <w:rtl/>
        </w:rPr>
        <w:t>13</w:t>
      </w:r>
      <w:r w:rsidRPr="007C12DB">
        <w:rPr>
          <w:rStyle w:val="libFootnotenumChar"/>
          <w:rtl/>
        </w:rPr>
        <w:t>)</w:t>
      </w:r>
      <w:r>
        <w:rPr>
          <w:rtl/>
          <w:lang w:bidi="fa-IR"/>
        </w:rPr>
        <w:t>؟</w:t>
      </w:r>
      <w:r w:rsidRPr="005D642E">
        <w:rPr>
          <w:rtl/>
          <w:lang w:bidi="fa-IR"/>
        </w:rPr>
        <w:t xml:space="preserve"> فَيَقُولُ </w:t>
      </w:r>
      <w:r w:rsidRPr="007C12DB">
        <w:rPr>
          <w:rStyle w:val="libFootnotenumChar"/>
          <w:rtl/>
        </w:rPr>
        <w:t>(</w:t>
      </w:r>
      <w:r w:rsidRPr="007C12DB">
        <w:rPr>
          <w:rStyle w:val="libFootnotenumChar"/>
          <w:rFonts w:hint="cs"/>
          <w:rtl/>
        </w:rPr>
        <w:t>14</w:t>
      </w:r>
      <w:r w:rsidRPr="007C12DB">
        <w:rPr>
          <w:rStyle w:val="libFootnotenumChar"/>
          <w:rtl/>
        </w:rPr>
        <w:t>)</w:t>
      </w:r>
      <w:r w:rsidRPr="005D642E">
        <w:rPr>
          <w:rtl/>
          <w:lang w:bidi="fa-IR"/>
        </w:rPr>
        <w:t xml:space="preserve"> : أَنَا رَأْيُكَ الْحَسَنُ الَّذِي كُنْتَ عَلَيْهِ ، وَعَمَلُكَ الصَّالِحُ الَّذِي كُنْتَ تَعْمَلُهُ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ثُمَّ تُؤْخَذُ </w:t>
      </w:r>
      <w:r w:rsidRPr="007C12DB">
        <w:rPr>
          <w:rStyle w:val="libFootnotenumChar"/>
          <w:rtl/>
        </w:rPr>
        <w:t>(</w:t>
      </w:r>
      <w:r w:rsidRPr="007C12DB">
        <w:rPr>
          <w:rStyle w:val="libFootnotenumChar"/>
          <w:rFonts w:hint="cs"/>
          <w:rtl/>
        </w:rPr>
        <w:t>15</w:t>
      </w:r>
      <w:r w:rsidRPr="007C12DB">
        <w:rPr>
          <w:rStyle w:val="libFootnotenumChar"/>
          <w:rtl/>
        </w:rPr>
        <w:t>)</w:t>
      </w:r>
      <w:r w:rsidRPr="005D642E">
        <w:rPr>
          <w:rtl/>
          <w:lang w:bidi="fa-IR"/>
        </w:rPr>
        <w:t xml:space="preserve"> رُوحُهُ ، فَتُوضَعُ فِي الْجَنَّةِ حَيْثُ رَأى مَنْزِلَهُ ، ثُمَّ يُقَالُ لَهُ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في « ى ، بخ ، بس ، جح ، جس » :</w:t>
      </w:r>
      <w:r w:rsidR="00E3253D">
        <w:rPr>
          <w:rtl/>
        </w:rPr>
        <w:t xml:space="preserve"> </w:t>
      </w:r>
      <w:r w:rsidR="007642BC">
        <w:rPr>
          <w:rtl/>
        </w:rPr>
        <w:t>-</w:t>
      </w:r>
      <w:r w:rsidR="00E3253D">
        <w:rPr>
          <w:rtl/>
        </w:rPr>
        <w:t xml:space="preserve"> </w:t>
      </w:r>
      <w:r w:rsidR="00E3253D" w:rsidRPr="005D642E">
        <w:rPr>
          <w:rtl/>
        </w:rPr>
        <w:t>« ما ينطق به موضع القبر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Pr>
          <w:rtl/>
        </w:rPr>
        <w:t xml:space="preserve"> </w:t>
      </w:r>
      <w:r w:rsidR="00E3253D" w:rsidRPr="005D642E">
        <w:rPr>
          <w:rtl/>
        </w:rPr>
        <w:t>في « بخ » :</w:t>
      </w:r>
      <w:r w:rsidR="00E3253D">
        <w:rPr>
          <w:rtl/>
        </w:rPr>
        <w:t xml:space="preserve"> </w:t>
      </w:r>
      <w:r w:rsidR="007642BC">
        <w:rPr>
          <w:rtl/>
        </w:rPr>
        <w:t>-</w:t>
      </w:r>
      <w:r w:rsidR="00E3253D">
        <w:rPr>
          <w:rtl/>
        </w:rPr>
        <w:t xml:space="preserve"> </w:t>
      </w:r>
      <w:r w:rsidR="00E3253D" w:rsidRPr="005D642E">
        <w:rPr>
          <w:rtl/>
        </w:rPr>
        <w:t>« من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(3).</w:t>
            </w:r>
            <w:r w:rsidRPr="005D642E">
              <w:rPr>
                <w:rtl/>
              </w:rPr>
              <w:t xml:space="preserve"> في البحار :</w:t>
            </w:r>
            <w:r>
              <w:rPr>
                <w:rtl/>
              </w:rPr>
              <w:t xml:space="preserve"> - </w:t>
            </w:r>
            <w:r w:rsidRPr="005D642E">
              <w:rPr>
                <w:rtl/>
              </w:rPr>
              <w:t>« موضع</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(4).</w:t>
            </w:r>
            <w:r w:rsidRPr="005D642E">
              <w:rPr>
                <w:rtl/>
              </w:rPr>
              <w:t xml:space="preserve"> في « ى » : « القبر</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جس » : « هو » بدون الواو.</w:t>
      </w:r>
    </w:p>
    <w:p w:rsidR="00E3253D" w:rsidRPr="005D642E" w:rsidRDefault="0042621E" w:rsidP="003D6E10">
      <w:pPr>
        <w:pStyle w:val="libFootnote0"/>
        <w:rPr>
          <w:rtl/>
          <w:lang w:bidi="fa-IR"/>
        </w:rPr>
      </w:pPr>
      <w:r w:rsidRPr="0042621E">
        <w:rPr>
          <w:rStyle w:val="libFootnote0Char"/>
          <w:rtl/>
        </w:rPr>
        <w:t>(6).</w:t>
      </w:r>
      <w:r w:rsidR="003D6E10">
        <w:rPr>
          <w:rtl/>
        </w:rPr>
        <w:t xml:space="preserve"> قرأه العل</w:t>
      </w:r>
      <w:r w:rsidR="003D6E10">
        <w:rPr>
          <w:rFonts w:hint="cs"/>
          <w:rtl/>
        </w:rPr>
        <w:t>ّ</w:t>
      </w:r>
      <w:r w:rsidR="003D6E10">
        <w:rPr>
          <w:rtl/>
        </w:rPr>
        <w:t>ا</w:t>
      </w:r>
      <w:r w:rsidR="00E3253D" w:rsidRPr="005D642E">
        <w:rPr>
          <w:rtl/>
        </w:rPr>
        <w:t>مة المجلسي مقصوراً ، حيث قال : « البلى ، بكسر الباء : الخَلَق ، والبالي : خلاف الجديد ، أي تبلى فيه الأجساد</w:t>
      </w:r>
      <w:r w:rsidR="00E3253D">
        <w:rPr>
          <w:rtl/>
        </w:rPr>
        <w:t xml:space="preserve"> ».</w:t>
      </w:r>
      <w:r w:rsidR="003D6E10">
        <w:rPr>
          <w:rFonts w:hint="cs"/>
          <w:rtl/>
        </w:rPr>
        <w:t xml:space="preserve">                                            </w:t>
      </w:r>
      <w:r w:rsidRPr="0042621E">
        <w:rPr>
          <w:rStyle w:val="libFootnote0Char"/>
          <w:rtl/>
        </w:rPr>
        <w:t>(7).</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أما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 « ا</w:t>
      </w:r>
      <w:r w:rsidR="003D6E10">
        <w:rPr>
          <w:rFonts w:hint="cs"/>
          <w:rtl/>
        </w:rPr>
        <w:t>ُ</w:t>
      </w:r>
      <w:r w:rsidR="00E3253D" w:rsidRPr="005D642E">
        <w:rPr>
          <w:rtl/>
        </w:rPr>
        <w:t>حبّ أن » بدل « ا</w:t>
      </w:r>
      <w:r w:rsidR="003D6E10">
        <w:rPr>
          <w:rFonts w:hint="cs"/>
          <w:rtl/>
        </w:rPr>
        <w:t>ُ</w:t>
      </w:r>
      <w:r w:rsidR="00E3253D" w:rsidRPr="005D642E">
        <w:rPr>
          <w:rtl/>
        </w:rPr>
        <w:t>حبّك وأنت</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جس » : « سترى » بدل « فسترى ذلك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(10).</w:t>
            </w:r>
            <w:r w:rsidRPr="005D642E">
              <w:rPr>
                <w:rtl/>
              </w:rPr>
              <w:t xml:space="preserve"> في « بخ » : « فتفسح</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(11).</w:t>
            </w:r>
            <w:r w:rsidRPr="005D642E">
              <w:rPr>
                <w:rtl/>
              </w:rPr>
              <w:t xml:space="preserve"> في « جس » : « باباً</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ى ، بث ، بح ، بخ ، بس ، جس » والبحار :</w:t>
      </w:r>
      <w:r w:rsidR="00E3253D">
        <w:rPr>
          <w:rtl/>
        </w:rPr>
        <w:t xml:space="preserve"> </w:t>
      </w:r>
      <w:r w:rsidR="007642BC">
        <w:rPr>
          <w:rtl/>
        </w:rPr>
        <w:t>-</w:t>
      </w:r>
      <w:r w:rsidR="00E3253D">
        <w:rPr>
          <w:rtl/>
        </w:rPr>
        <w:t xml:space="preserve"> </w:t>
      </w:r>
      <w:r w:rsidR="00E3253D" w:rsidRPr="005D642E">
        <w:rPr>
          <w:rtl/>
        </w:rPr>
        <w:t>« قطّ</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بث » : « أحسن منك قطّ » بدل « قطّ أحسن منك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(14).</w:t>
            </w:r>
            <w:r w:rsidRPr="005D642E">
              <w:rPr>
                <w:rtl/>
              </w:rPr>
              <w:t xml:space="preserve"> في « بخ ، جس » : « قال</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(15).</w:t>
            </w:r>
            <w:r w:rsidRPr="005D642E">
              <w:rPr>
                <w:rtl/>
              </w:rPr>
              <w:t xml:space="preserve"> في « بث ، بح ، بس » : « ثمّ يؤخذ</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3D6E10">
      <w:pPr>
        <w:pStyle w:val="libNormal0"/>
        <w:rPr>
          <w:rtl/>
          <w:lang w:bidi="fa-IR"/>
        </w:rPr>
      </w:pPr>
      <w:r w:rsidRPr="005D642E">
        <w:rPr>
          <w:rtl/>
          <w:lang w:bidi="fa-IR"/>
        </w:rPr>
        <w:t xml:space="preserve">نَمْ قَرِيرَ الْعَيْنِ </w:t>
      </w:r>
      <w:r w:rsidRPr="007C12DB">
        <w:rPr>
          <w:rStyle w:val="libFootnotenumChar"/>
          <w:rtl/>
        </w:rPr>
        <w:t>(1)</w:t>
      </w:r>
      <w:r w:rsidRPr="005D642E">
        <w:rPr>
          <w:rtl/>
          <w:lang w:bidi="fa-IR"/>
        </w:rPr>
        <w:t xml:space="preserve"> ، فَلَا يَزَالُ </w:t>
      </w:r>
      <w:r w:rsidRPr="007C12DB">
        <w:rPr>
          <w:rStyle w:val="libFootnotenumChar"/>
          <w:rtl/>
        </w:rPr>
        <w:t>(2)</w:t>
      </w:r>
      <w:r w:rsidRPr="005D642E">
        <w:rPr>
          <w:rtl/>
          <w:lang w:bidi="fa-IR"/>
        </w:rPr>
        <w:t xml:space="preserve"> نَفْحَةٌ </w:t>
      </w:r>
      <w:r w:rsidRPr="007C12DB">
        <w:rPr>
          <w:rStyle w:val="libFootnotenumChar"/>
          <w:rtl/>
        </w:rPr>
        <w:t>(3)</w:t>
      </w:r>
      <w:r w:rsidRPr="005D642E">
        <w:rPr>
          <w:rtl/>
          <w:lang w:bidi="fa-IR"/>
        </w:rPr>
        <w:t xml:space="preserve"> مِنَ الْجَنَّةِ تُصِيبُ جَسَدَهُ يَجِدُ لَذَّتَهَا وَطِيبَهَا حَتّى يُبْعَثَ</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(4)</w:t>
      </w:r>
      <w:r w:rsidRPr="005D642E">
        <w:rPr>
          <w:rtl/>
          <w:lang w:bidi="fa-IR"/>
        </w:rPr>
        <w:t xml:space="preserve"> : « وَإِذَا دَخَلَ الْكَافِرُ </w:t>
      </w:r>
      <w:r w:rsidRPr="007C12DB">
        <w:rPr>
          <w:rStyle w:val="libFootnotenumChar"/>
          <w:rtl/>
        </w:rPr>
        <w:t>(5)</w:t>
      </w:r>
      <w:r w:rsidRPr="005D642E">
        <w:rPr>
          <w:rtl/>
          <w:lang w:bidi="fa-IR"/>
        </w:rPr>
        <w:t xml:space="preserve"> ، قَالَتْ </w:t>
      </w:r>
      <w:r w:rsidRPr="007C12DB">
        <w:rPr>
          <w:rStyle w:val="libFootnotenumChar"/>
          <w:rtl/>
        </w:rPr>
        <w:t>(6)</w:t>
      </w:r>
      <w:r w:rsidRPr="005D642E">
        <w:rPr>
          <w:rtl/>
          <w:lang w:bidi="fa-IR"/>
        </w:rPr>
        <w:t xml:space="preserve"> : لَامَرْحَباً بِكَ وَلَا</w:t>
      </w:r>
      <w:r>
        <w:rPr>
          <w:rFonts w:hint="cs"/>
          <w:rtl/>
          <w:lang w:bidi="fa-IR"/>
        </w:rPr>
        <w:t xml:space="preserve"> </w:t>
      </w:r>
      <w:r w:rsidRPr="005D642E">
        <w:rPr>
          <w:rtl/>
          <w:lang w:bidi="fa-IR"/>
        </w:rPr>
        <w:t xml:space="preserve">أَهْلاً ، أَمَا وَاللهِ ، لَقَدْ كُنْتُ أُبْغِضُكَ وَأَنْتَ تَمْشِي عَلى ظَهْرِي </w:t>
      </w:r>
      <w:r w:rsidRPr="007C12DB">
        <w:rPr>
          <w:rStyle w:val="libFootnotenumChar"/>
          <w:rtl/>
        </w:rPr>
        <w:t>(7)</w:t>
      </w:r>
      <w:r w:rsidRPr="005D642E">
        <w:rPr>
          <w:rtl/>
          <w:lang w:bidi="fa-IR"/>
        </w:rPr>
        <w:t xml:space="preserve"> ، فَكَيْفَ إِذَا دَخَلْتَ بَطْنِي سَتَرى ذلِكَ » قَالَ </w:t>
      </w:r>
      <w:r w:rsidRPr="007C12DB">
        <w:rPr>
          <w:rStyle w:val="libFootnotenumChar"/>
          <w:rtl/>
        </w:rPr>
        <w:t>(8)</w:t>
      </w:r>
      <w:r w:rsidRPr="005D642E">
        <w:rPr>
          <w:rtl/>
          <w:lang w:bidi="fa-IR"/>
        </w:rPr>
        <w:t xml:space="preserve"> : « فَتَضُمُّ </w:t>
      </w:r>
      <w:r w:rsidRPr="007C12DB">
        <w:rPr>
          <w:rStyle w:val="libFootnotenumChar"/>
          <w:rtl/>
        </w:rPr>
        <w:t>(9)</w:t>
      </w:r>
      <w:r w:rsidRPr="005D642E">
        <w:rPr>
          <w:rtl/>
          <w:lang w:bidi="fa-IR"/>
        </w:rPr>
        <w:t xml:space="preserve"> عَلَيْهِ ، فَتَجْعَلُهُ رَمِيماً ، وَيُعَادُ كَمَا كَانَ ، وَيُفْتَحُ لَهُ بَابٌ إِلَى النَّارِ ، فَيَرى مَقْعَدَهُ مِنَ النَّارِ</w:t>
      </w:r>
      <w:r>
        <w:rPr>
          <w:rtl/>
          <w:lang w:bidi="fa-IR"/>
        </w:rPr>
        <w:t xml:space="preserve"> ».</w:t>
      </w:r>
    </w:p>
    <w:p w:rsidR="00E3253D" w:rsidRPr="005D642E" w:rsidRDefault="00E3253D" w:rsidP="00E3253D">
      <w:pPr>
        <w:pStyle w:val="libNormal"/>
        <w:rPr>
          <w:rtl/>
          <w:lang w:bidi="fa-IR"/>
        </w:rPr>
      </w:pPr>
      <w:r w:rsidRPr="005D642E">
        <w:rPr>
          <w:rtl/>
          <w:lang w:bidi="fa-IR"/>
        </w:rPr>
        <w:t xml:space="preserve">ثُمَّ </w:t>
      </w:r>
      <w:r w:rsidRPr="007C12DB">
        <w:rPr>
          <w:rStyle w:val="libFootnotenumChar"/>
          <w:rtl/>
        </w:rPr>
        <w:t>(10)</w:t>
      </w:r>
      <w:r w:rsidRPr="005D642E">
        <w:rPr>
          <w:rtl/>
          <w:lang w:bidi="fa-IR"/>
        </w:rPr>
        <w:t xml:space="preserve"> قَالَ : « ثُمَّ </w:t>
      </w:r>
      <w:r w:rsidRPr="007C12DB">
        <w:rPr>
          <w:rStyle w:val="libFootnotenumChar"/>
          <w:rtl/>
        </w:rPr>
        <w:t>(11)</w:t>
      </w:r>
      <w:r w:rsidRPr="005D642E">
        <w:rPr>
          <w:rtl/>
          <w:lang w:bidi="fa-IR"/>
        </w:rPr>
        <w:t xml:space="preserve"> إِنَّهُ يَخْرُجُ مِنْهُ رَجُلٌ أَقْبَحُ مَنْ رَأى قَطُّ </w:t>
      </w:r>
      <w:r w:rsidRPr="007C12DB">
        <w:rPr>
          <w:rStyle w:val="libFootnotenumChar"/>
          <w:rtl/>
        </w:rPr>
        <w:t>(12)</w:t>
      </w:r>
      <w:r w:rsidRPr="005D642E">
        <w:rPr>
          <w:rtl/>
          <w:lang w:bidi="fa-IR"/>
        </w:rPr>
        <w:t xml:space="preserve"> » قَالَ : « فَيَقُولُ : يَا عَبْدَ اللهِ ، مَنْ أَنْتَ</w:t>
      </w:r>
      <w:r>
        <w:rPr>
          <w:rtl/>
          <w:lang w:bidi="fa-IR"/>
        </w:rPr>
        <w:t>؟</w:t>
      </w:r>
      <w:r w:rsidRPr="005D642E">
        <w:rPr>
          <w:rtl/>
          <w:lang w:bidi="fa-IR"/>
        </w:rPr>
        <w:t xml:space="preserve"> مَا </w:t>
      </w:r>
      <w:r w:rsidRPr="007C12DB">
        <w:rPr>
          <w:rStyle w:val="libFootnotenumChar"/>
          <w:rtl/>
        </w:rPr>
        <w:t>(13)</w:t>
      </w:r>
      <w:r w:rsidRPr="005D642E">
        <w:rPr>
          <w:rtl/>
          <w:lang w:bidi="fa-IR"/>
        </w:rPr>
        <w:t xml:space="preserve"> رَأَيْتُ شَيْئاً أَقْبَحَ مِنْكَ</w:t>
      </w:r>
      <w:r>
        <w:rPr>
          <w:rtl/>
          <w:lang w:bidi="fa-IR"/>
        </w:rPr>
        <w:t>؟</w:t>
      </w:r>
      <w:r w:rsidRPr="005D642E">
        <w:rPr>
          <w:rtl/>
          <w:lang w:bidi="fa-IR"/>
        </w:rPr>
        <w:t xml:space="preserve"> » قَالَ : « فَيَقُولُ : أَنَا عَمَلُكَ السَّيِّئُ الَّذِي كُنْتَ تَعْمَلُهُ ، وَرَأْيُكَ الْخَبِيثُ</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(14)</w:t>
      </w:r>
      <w:r w:rsidRPr="005D642E">
        <w:rPr>
          <w:rtl/>
          <w:lang w:bidi="fa-IR"/>
        </w:rPr>
        <w:t xml:space="preserve"> : « ثُمَّ تُؤْخَذُ </w:t>
      </w:r>
      <w:r w:rsidRPr="007C12DB">
        <w:rPr>
          <w:rStyle w:val="libFootnotenumChar"/>
          <w:rtl/>
        </w:rPr>
        <w:t>(15)</w:t>
      </w:r>
      <w:r w:rsidRPr="005D642E">
        <w:rPr>
          <w:rtl/>
          <w:lang w:bidi="fa-IR"/>
        </w:rPr>
        <w:t xml:space="preserve"> رُوحُهُ ، فَتُوضَعُ </w:t>
      </w:r>
      <w:r w:rsidRPr="007C12DB">
        <w:rPr>
          <w:rStyle w:val="libFootnotenumChar"/>
          <w:rtl/>
        </w:rPr>
        <w:t>(16)</w:t>
      </w:r>
      <w:r w:rsidRPr="005D642E">
        <w:rPr>
          <w:rtl/>
          <w:lang w:bidi="fa-IR"/>
        </w:rPr>
        <w:t xml:space="preserve"> حَيْثُ رَأى مَقْعَدَهُ مِنَ النَّارِ ، ثُمَّ لَمْ تَزَلْ </w:t>
      </w:r>
      <w:r w:rsidRPr="007C12DB">
        <w:rPr>
          <w:rStyle w:val="libFootnotenumChar"/>
          <w:rtl/>
        </w:rPr>
        <w:t>(17)</w:t>
      </w:r>
      <w:r w:rsidRPr="005D642E">
        <w:rPr>
          <w:rtl/>
          <w:lang w:bidi="fa-IR"/>
        </w:rPr>
        <w:t xml:space="preserve"> نَفْخَةٌ </w:t>
      </w:r>
      <w:r w:rsidRPr="007C12DB">
        <w:rPr>
          <w:rStyle w:val="libFootnotenumChar"/>
          <w:rtl/>
        </w:rPr>
        <w:t>(18)</w:t>
      </w:r>
      <w:r w:rsidRPr="005D642E">
        <w:rPr>
          <w:rtl/>
          <w:lang w:bidi="fa-IR"/>
        </w:rPr>
        <w:t xml:space="preserve"> مِنَ النَّارِ تُصِيبُ جَسَدَهُ ، فَيَجِدُ </w:t>
      </w:r>
      <w:r w:rsidRPr="007C12DB">
        <w:rPr>
          <w:rStyle w:val="libFootnotenumChar"/>
          <w:rtl/>
        </w:rPr>
        <w:t>(19)</w:t>
      </w:r>
      <w:r w:rsidRPr="005D642E">
        <w:rPr>
          <w:rtl/>
          <w:lang w:bidi="fa-IR"/>
        </w:rPr>
        <w:t xml:space="preserve"> أَلَمَهَا وَحَرَّهَا فِي جَسَدِهِ </w:t>
      </w:r>
      <w:r w:rsidRPr="007C12DB">
        <w:rPr>
          <w:rStyle w:val="libFootnotenumChar"/>
          <w:rtl/>
        </w:rPr>
        <w:t>(20)</w:t>
      </w:r>
      <w:r w:rsidRPr="005D642E">
        <w:rPr>
          <w:rtl/>
          <w:lang w:bidi="fa-IR"/>
        </w:rPr>
        <w:t xml:space="preserve"> إِلى يَوْمِ يُبْعَثُ </w:t>
      </w:r>
      <w:r w:rsidRPr="007C12DB">
        <w:rPr>
          <w:rStyle w:val="libFootnotenumChar"/>
          <w:rtl/>
        </w:rPr>
        <w:t>(21)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قرير العين » ، أي الباردة والمنقطعة البكاء ؛ فإنّ للسرور دمعة باردة ؛ من القرّ بمعنى البرد ، أو هو من القرار ، أي رأت ما كانت متشوّقَة إليه فقرّت ونامت. راجع : </w:t>
      </w:r>
      <w:r w:rsidR="00E3253D" w:rsidRPr="002F4D34">
        <w:rPr>
          <w:rStyle w:val="libFootnoteBoldChar"/>
          <w:rtl/>
        </w:rPr>
        <w:t>لسان العرب</w:t>
      </w:r>
      <w:r w:rsidR="00E3253D" w:rsidRPr="005D642E">
        <w:rPr>
          <w:rtl/>
        </w:rPr>
        <w:t xml:space="preserve"> ، ج 5 ، ص 86 ( قرر )</w:t>
      </w:r>
      <w:r w:rsidR="00E3253D">
        <w:rPr>
          <w:rtl/>
        </w:rPr>
        <w:t>.</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(2).</w:t>
            </w:r>
            <w:r w:rsidRPr="005D642E">
              <w:rPr>
                <w:rtl/>
              </w:rPr>
              <w:t xml:space="preserve"> في « بث ، بس ، جس » والبحار : « فلا تزال</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(3).</w:t>
            </w:r>
            <w:r>
              <w:rPr>
                <w:rtl/>
              </w:rPr>
              <w:t xml:space="preserve"> في «ى،جس»:«</w:t>
            </w:r>
            <w:r w:rsidRPr="005D642E">
              <w:rPr>
                <w:rtl/>
              </w:rPr>
              <w:t>نفخه</w:t>
            </w:r>
            <w:r>
              <w:rPr>
                <w:rtl/>
              </w:rPr>
              <w:t>». وفي «بح»:«</w:t>
            </w:r>
            <w:r w:rsidRPr="005D642E">
              <w:rPr>
                <w:rtl/>
              </w:rPr>
              <w:t>نفخة</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(4).</w:t>
            </w:r>
            <w:r w:rsidRPr="005D642E">
              <w:rPr>
                <w:rtl/>
              </w:rPr>
              <w:t xml:space="preserve"> في « جس » :</w:t>
            </w:r>
            <w:r>
              <w:rPr>
                <w:rtl/>
              </w:rPr>
              <w:t xml:space="preserve"> - </w:t>
            </w:r>
            <w:r w:rsidRPr="005D642E">
              <w:rPr>
                <w:rtl/>
              </w:rPr>
              <w:t>« قال</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(5).</w:t>
            </w:r>
            <w:r w:rsidRPr="005D642E">
              <w:rPr>
                <w:rtl/>
              </w:rPr>
              <w:t xml:space="preserve"> في الوافي : + « قبره</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هكذا في جميع النسخ التي قوبلت والبحار. وفي المطبوع : « قال</w:t>
      </w:r>
      <w:r w:rsidR="00E3253D">
        <w:rPr>
          <w:rtl/>
        </w:rPr>
        <w:t xml:space="preserve"> ».</w:t>
      </w:r>
      <w:r w:rsidR="00E3253D" w:rsidRPr="005D642E">
        <w:rPr>
          <w:rtl/>
        </w:rPr>
        <w:t xml:space="preserve"> وفي الوافي : + «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Style w:val="libFootnote0Char"/>
                <w:rtl/>
              </w:rPr>
            </w:pPr>
            <w:r w:rsidRPr="0042621E">
              <w:rPr>
                <w:rStyle w:val="libFootnote0Char"/>
                <w:rtl/>
              </w:rPr>
              <w:t>(7).</w:t>
            </w:r>
            <w:r w:rsidRPr="005D642E">
              <w:rPr>
                <w:rtl/>
              </w:rPr>
              <w:t xml:space="preserve"> في « جس » :</w:t>
            </w:r>
            <w:r>
              <w:rPr>
                <w:rtl/>
              </w:rPr>
              <w:t xml:space="preserve"> - </w:t>
            </w:r>
            <w:r w:rsidRPr="005D642E">
              <w:rPr>
                <w:rtl/>
              </w:rPr>
              <w:t>« ظهري</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(8).</w:t>
            </w:r>
            <w:r w:rsidRPr="005D642E">
              <w:rPr>
                <w:rtl/>
              </w:rPr>
              <w:t xml:space="preserve"> في البحار :</w:t>
            </w:r>
            <w:r>
              <w:rPr>
                <w:rtl/>
              </w:rPr>
              <w:t xml:space="preserve"> - </w:t>
            </w:r>
            <w:r w:rsidRPr="005D642E">
              <w:rPr>
                <w:rtl/>
              </w:rPr>
              <w:t>« قال</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(9).</w:t>
            </w:r>
            <w:r w:rsidRPr="005D642E">
              <w:rPr>
                <w:rtl/>
              </w:rPr>
              <w:t xml:space="preserve"> في « بس » : « فتنضمّ</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(10).</w:t>
            </w:r>
            <w:r w:rsidRPr="005D642E">
              <w:rPr>
                <w:rtl/>
              </w:rPr>
              <w:t xml:space="preserve"> في الوافي :</w:t>
            </w:r>
            <w:r>
              <w:rPr>
                <w:rtl/>
              </w:rPr>
              <w:t xml:space="preserve"> - </w:t>
            </w:r>
            <w:r w:rsidRPr="005D642E">
              <w:rPr>
                <w:rtl/>
              </w:rPr>
              <w:t>« ثمّ</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(11).</w:t>
            </w:r>
            <w:r w:rsidRPr="005D642E">
              <w:rPr>
                <w:rtl/>
              </w:rPr>
              <w:t xml:space="preserve"> في « جس » :</w:t>
            </w:r>
            <w:r>
              <w:rPr>
                <w:rtl/>
              </w:rPr>
              <w:t xml:space="preserve"> - </w:t>
            </w:r>
            <w:r w:rsidRPr="005D642E">
              <w:rPr>
                <w:rtl/>
              </w:rPr>
              <w:t>« ثمّ</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(12).</w:t>
            </w:r>
            <w:r w:rsidRPr="005D642E">
              <w:rPr>
                <w:rtl/>
              </w:rPr>
              <w:t xml:space="preserve"> في « جح » :</w:t>
            </w:r>
            <w:r>
              <w:rPr>
                <w:rtl/>
              </w:rPr>
              <w:t xml:space="preserve"> - </w:t>
            </w:r>
            <w:r w:rsidRPr="005D642E">
              <w:rPr>
                <w:rtl/>
              </w:rPr>
              <w:t>« قطّ</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(13).</w:t>
            </w:r>
            <w:r w:rsidRPr="005D642E">
              <w:rPr>
                <w:rtl/>
              </w:rPr>
              <w:t xml:space="preserve"> في « بخ » : « فما</w:t>
            </w:r>
            <w:r>
              <w:rPr>
                <w:rtl/>
              </w:rPr>
              <w:t xml:space="preserve"> ».</w:t>
            </w:r>
          </w:p>
        </w:tc>
        <w:tc>
          <w:tcPr>
            <w:tcW w:w="4006" w:type="dxa"/>
          </w:tcPr>
          <w:p w:rsidR="003D6E10" w:rsidRDefault="003D6E10" w:rsidP="00E3253D">
            <w:pPr>
              <w:pStyle w:val="libFootnote0"/>
              <w:rPr>
                <w:rStyle w:val="libFootnote0Char"/>
                <w:rtl/>
              </w:rPr>
            </w:pPr>
            <w:r w:rsidRPr="0042621E">
              <w:rPr>
                <w:rStyle w:val="libFootnote0Char"/>
                <w:rtl/>
              </w:rPr>
              <w:t>(14).</w:t>
            </w:r>
            <w:r w:rsidRPr="005D642E">
              <w:rPr>
                <w:rtl/>
              </w:rPr>
              <w:t xml:space="preserve"> في « بح » : « ثمّ قال</w:t>
            </w:r>
            <w:r>
              <w:rPr>
                <w:rtl/>
              </w:rPr>
              <w:t xml:space="preserve"> ».</w:t>
            </w:r>
          </w:p>
        </w:tc>
      </w:tr>
      <w:tr w:rsidR="003D6E10" w:rsidTr="003D6E10">
        <w:tc>
          <w:tcPr>
            <w:tcW w:w="4006" w:type="dxa"/>
          </w:tcPr>
          <w:p w:rsidR="003D6E10" w:rsidRDefault="003D6E10" w:rsidP="00E3253D">
            <w:pPr>
              <w:pStyle w:val="libFootnote0"/>
              <w:rPr>
                <w:rStyle w:val="libFootnote0Char"/>
                <w:rtl/>
              </w:rPr>
            </w:pPr>
            <w:r w:rsidRPr="0042621E">
              <w:rPr>
                <w:rStyle w:val="libFootnote0Char"/>
                <w:rtl/>
              </w:rPr>
              <w:t>(15).</w:t>
            </w:r>
            <w:r w:rsidRPr="005D642E">
              <w:rPr>
                <w:rtl/>
              </w:rPr>
              <w:t xml:space="preserve"> في « ى ، بس » </w:t>
            </w:r>
            <w:r w:rsidRPr="000D749A">
              <w:rPr>
                <w:rStyle w:val="libFootnoteBoldChar"/>
                <w:rtl/>
              </w:rPr>
              <w:t>والوافي</w:t>
            </w:r>
            <w:r w:rsidRPr="005D642E">
              <w:rPr>
                <w:rtl/>
              </w:rPr>
              <w:t xml:space="preserve"> : « ثمّ يؤخذ</w:t>
            </w:r>
            <w:r>
              <w:rPr>
                <w:rtl/>
              </w:rPr>
              <w:t xml:space="preserve"> ».</w:t>
            </w:r>
          </w:p>
        </w:tc>
        <w:tc>
          <w:tcPr>
            <w:tcW w:w="4006" w:type="dxa"/>
          </w:tcPr>
          <w:p w:rsidR="003D6E10" w:rsidRDefault="003D6E10" w:rsidP="00E3253D">
            <w:pPr>
              <w:pStyle w:val="libFootnote0"/>
              <w:rPr>
                <w:rStyle w:val="libFootnote0Char"/>
                <w:rtl/>
              </w:rPr>
            </w:pPr>
            <w:r w:rsidRPr="005D642E">
              <w:rPr>
                <w:rtl/>
              </w:rPr>
              <w:t>(1</w:t>
            </w:r>
            <w:r>
              <w:rPr>
                <w:rtl/>
              </w:rPr>
              <w:t>6)</w:t>
            </w:r>
            <w:r w:rsidRPr="005D642E">
              <w:rPr>
                <w:rtl/>
              </w:rPr>
              <w:t xml:space="preserve"> في « جس » </w:t>
            </w:r>
            <w:r w:rsidRPr="003D6E10">
              <w:rPr>
                <w:rtl/>
              </w:rPr>
              <w:t>والوافي</w:t>
            </w:r>
            <w:r w:rsidRPr="005D642E">
              <w:rPr>
                <w:rtl/>
              </w:rPr>
              <w:t xml:space="preserve"> : « فيوضع</w:t>
            </w:r>
            <w:r>
              <w:rPr>
                <w:rtl/>
              </w:rPr>
              <w:t xml:space="preserve"> ».</w:t>
            </w:r>
          </w:p>
        </w:tc>
      </w:tr>
    </w:tbl>
    <w:p w:rsidR="00E3253D" w:rsidRPr="005D642E" w:rsidRDefault="00E3253D" w:rsidP="00E3253D">
      <w:pPr>
        <w:pStyle w:val="libFootnote0"/>
        <w:rPr>
          <w:rtl/>
          <w:lang w:bidi="fa-IR"/>
        </w:rPr>
      </w:pPr>
      <w:r w:rsidRPr="005D642E">
        <w:rPr>
          <w:rtl/>
        </w:rPr>
        <w:t>(1</w:t>
      </w:r>
      <w:r>
        <w:rPr>
          <w:rtl/>
        </w:rPr>
        <w:t>7)</w:t>
      </w:r>
      <w:r w:rsidRPr="005D642E">
        <w:rPr>
          <w:rtl/>
        </w:rPr>
        <w:t xml:space="preserve"> في « بث » : « لم يزل</w:t>
      </w:r>
      <w:r>
        <w:rPr>
          <w:rtl/>
        </w:rPr>
        <w:t xml:space="preserve"> ».</w:t>
      </w:r>
      <w:r w:rsidRPr="005D642E">
        <w:rPr>
          <w:rtl/>
        </w:rPr>
        <w:t xml:space="preserve"> وفي « بخ » : « لا تزال</w:t>
      </w:r>
      <w:r>
        <w:rPr>
          <w:rtl/>
        </w:rPr>
        <w:t xml:space="preserve"> ».</w:t>
      </w:r>
      <w:r w:rsidRPr="005D642E">
        <w:rPr>
          <w:rtl/>
        </w:rPr>
        <w:t xml:space="preserve"> وفي الوافي : « لايزال</w:t>
      </w:r>
      <w:r>
        <w:rPr>
          <w:rtl/>
        </w:rPr>
        <w:t xml:space="preserve"> ».</w:t>
      </w:r>
    </w:p>
    <w:p w:rsidR="00E3253D" w:rsidRPr="005D642E" w:rsidRDefault="00E3253D" w:rsidP="00E3253D">
      <w:pPr>
        <w:pStyle w:val="libFootnote0"/>
        <w:rPr>
          <w:rtl/>
          <w:lang w:bidi="fa-IR"/>
        </w:rPr>
      </w:pPr>
      <w:r w:rsidRPr="005D642E">
        <w:rPr>
          <w:rtl/>
        </w:rPr>
        <w:t>(1</w:t>
      </w:r>
      <w:r>
        <w:rPr>
          <w:rtl/>
        </w:rPr>
        <w:t>8)</w:t>
      </w:r>
      <w:r w:rsidRPr="005D642E">
        <w:rPr>
          <w:rtl/>
        </w:rPr>
        <w:t xml:space="preserve"> في « ى ، بث ، بخ ، بس » : « نفحه</w:t>
      </w:r>
      <w:r>
        <w:rPr>
          <w:rtl/>
        </w:rPr>
        <w:t xml:space="preserve"> ».</w:t>
      </w:r>
      <w:r w:rsidRPr="005D642E">
        <w:rPr>
          <w:rtl/>
        </w:rPr>
        <w:t xml:space="preserve"> وفي « بح ، جح » : « نفحة</w:t>
      </w:r>
      <w:r>
        <w:rPr>
          <w:rtl/>
        </w:rPr>
        <w:t xml:space="preserve"> ».</w:t>
      </w:r>
    </w:p>
    <w:tbl>
      <w:tblPr>
        <w:tblStyle w:val="TableGrid"/>
        <w:bidiVisual/>
        <w:tblW w:w="0" w:type="auto"/>
        <w:tblLook w:val="04A0" w:firstRow="1" w:lastRow="0" w:firstColumn="1" w:lastColumn="0" w:noHBand="0" w:noVBand="1"/>
      </w:tblPr>
      <w:tblGrid>
        <w:gridCol w:w="4006"/>
        <w:gridCol w:w="4006"/>
      </w:tblGrid>
      <w:tr w:rsidR="003D6E10" w:rsidTr="003D6E10">
        <w:tc>
          <w:tcPr>
            <w:tcW w:w="4006" w:type="dxa"/>
          </w:tcPr>
          <w:p w:rsidR="003D6E10" w:rsidRDefault="003D6E10" w:rsidP="00E3253D">
            <w:pPr>
              <w:pStyle w:val="libFootnote0"/>
              <w:rPr>
                <w:rtl/>
              </w:rPr>
            </w:pPr>
            <w:r w:rsidRPr="005D642E">
              <w:rPr>
                <w:rtl/>
              </w:rPr>
              <w:t>(1</w:t>
            </w:r>
            <w:r>
              <w:rPr>
                <w:rtl/>
              </w:rPr>
              <w:t>9)</w:t>
            </w:r>
            <w:r w:rsidRPr="005D642E">
              <w:rPr>
                <w:rtl/>
              </w:rPr>
              <w:t xml:space="preserve"> في « بخ »</w:t>
            </w:r>
            <w:r w:rsidRPr="003D6E10">
              <w:rPr>
                <w:rtl/>
              </w:rPr>
              <w:t xml:space="preserve"> والوافي</w:t>
            </w:r>
            <w:r w:rsidRPr="005D642E">
              <w:rPr>
                <w:rtl/>
              </w:rPr>
              <w:t xml:space="preserve"> : « يجد</w:t>
            </w:r>
            <w:r>
              <w:rPr>
                <w:rtl/>
              </w:rPr>
              <w:t xml:space="preserve"> ».</w:t>
            </w:r>
          </w:p>
        </w:tc>
        <w:tc>
          <w:tcPr>
            <w:tcW w:w="4006" w:type="dxa"/>
          </w:tcPr>
          <w:p w:rsidR="003D6E10" w:rsidRDefault="003D6E10" w:rsidP="00E3253D">
            <w:pPr>
              <w:pStyle w:val="libFootnote0"/>
              <w:rPr>
                <w:rtl/>
              </w:rPr>
            </w:pPr>
            <w:r>
              <w:rPr>
                <w:rtl/>
              </w:rPr>
              <w:t>(20)</w:t>
            </w:r>
            <w:r w:rsidRPr="005D642E">
              <w:rPr>
                <w:rtl/>
              </w:rPr>
              <w:t xml:space="preserve"> في « ى » والبحار :</w:t>
            </w:r>
            <w:r>
              <w:rPr>
                <w:rtl/>
              </w:rPr>
              <w:t xml:space="preserve"> - </w:t>
            </w:r>
            <w:r w:rsidRPr="005D642E">
              <w:rPr>
                <w:rtl/>
              </w:rPr>
              <w:t>« في جسده</w:t>
            </w:r>
            <w:r>
              <w:rPr>
                <w:rtl/>
              </w:rPr>
              <w:t xml:space="preserve"> ».</w:t>
            </w:r>
          </w:p>
        </w:tc>
      </w:tr>
    </w:tbl>
    <w:p w:rsidR="00E3253D" w:rsidRPr="005D642E" w:rsidRDefault="00E3253D" w:rsidP="00E3253D">
      <w:pPr>
        <w:pStyle w:val="libFootnote0"/>
        <w:rPr>
          <w:rtl/>
          <w:lang w:bidi="fa-IR"/>
        </w:rPr>
      </w:pPr>
      <w:r w:rsidRPr="005D642E">
        <w:rPr>
          <w:rtl/>
        </w:rPr>
        <w:t>(2</w:t>
      </w:r>
      <w:r>
        <w:rPr>
          <w:rtl/>
        </w:rPr>
        <w:t>1)</w:t>
      </w:r>
      <w:r w:rsidRPr="005D642E">
        <w:rPr>
          <w:rtl/>
        </w:rPr>
        <w:t xml:space="preserve"> في « بخ » وحاشية « بث »</w:t>
      </w:r>
      <w:r w:rsidRPr="003D6E10">
        <w:rPr>
          <w:rtl/>
        </w:rPr>
        <w:t xml:space="preserve"> </w:t>
      </w:r>
      <w:r w:rsidR="000D749A" w:rsidRPr="003D6E10">
        <w:rPr>
          <w:rtl/>
        </w:rPr>
        <w:t>والوافي</w:t>
      </w:r>
      <w:r w:rsidRPr="005D642E">
        <w:rPr>
          <w:rtl/>
        </w:rPr>
        <w:t xml:space="preserve"> : « إلى أن يبعث</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وَيُسَلِّطُ اللهُ </w:t>
      </w:r>
      <w:r w:rsidRPr="007C12DB">
        <w:rPr>
          <w:rStyle w:val="libFootnotenumChar"/>
          <w:rtl/>
        </w:rPr>
        <w:t>(1)</w:t>
      </w:r>
      <w:r w:rsidRPr="005D642E">
        <w:rPr>
          <w:rtl/>
          <w:lang w:bidi="fa-IR"/>
        </w:rPr>
        <w:t xml:space="preserve"> عَلى رُوحِهِ تِسْعَةً </w:t>
      </w:r>
      <w:r w:rsidRPr="007C12DB">
        <w:rPr>
          <w:rStyle w:val="libFootnotenumChar"/>
          <w:rtl/>
        </w:rPr>
        <w:t>(2)</w:t>
      </w:r>
      <w:r w:rsidRPr="005D642E">
        <w:rPr>
          <w:rtl/>
          <w:lang w:bidi="fa-IR"/>
        </w:rPr>
        <w:t xml:space="preserve"> وَتِسْعِينَ </w:t>
      </w:r>
      <w:r w:rsidRPr="007C12DB">
        <w:rPr>
          <w:rStyle w:val="libFootnotenumChar"/>
          <w:rtl/>
        </w:rPr>
        <w:t>(3)</w:t>
      </w:r>
      <w:r w:rsidRPr="005D642E">
        <w:rPr>
          <w:rtl/>
          <w:lang w:bidi="fa-IR"/>
        </w:rPr>
        <w:t xml:space="preserve"> تِنِّيناً </w:t>
      </w:r>
      <w:r w:rsidRPr="007C12DB">
        <w:rPr>
          <w:rStyle w:val="libFootnotenumChar"/>
          <w:rtl/>
        </w:rPr>
        <w:t>(4)</w:t>
      </w:r>
      <w:r w:rsidRPr="005D642E">
        <w:rPr>
          <w:rtl/>
          <w:lang w:bidi="fa-IR"/>
        </w:rPr>
        <w:t xml:space="preserve"> تَنْهَشُهُ </w:t>
      </w:r>
      <w:r w:rsidRPr="007C12DB">
        <w:rPr>
          <w:rStyle w:val="libFootnotenumChar"/>
          <w:rtl/>
        </w:rPr>
        <w:t>(5)</w:t>
      </w:r>
      <w:r w:rsidRPr="005D642E">
        <w:rPr>
          <w:rtl/>
          <w:lang w:bidi="fa-IR"/>
        </w:rPr>
        <w:t xml:space="preserve"> لَيْسَ فِيهَا </w:t>
      </w:r>
      <w:r w:rsidRPr="007C12DB">
        <w:rPr>
          <w:rStyle w:val="libFootnotenumChar"/>
          <w:rtl/>
        </w:rPr>
        <w:t>(6)</w:t>
      </w:r>
      <w:r w:rsidRPr="005D642E">
        <w:rPr>
          <w:rtl/>
          <w:lang w:bidi="fa-IR"/>
        </w:rPr>
        <w:t xml:space="preserve"> تِنِّينٌ يَنْفُخُ </w:t>
      </w:r>
      <w:r w:rsidRPr="007C12DB">
        <w:rPr>
          <w:rStyle w:val="libFootnotenumChar"/>
          <w:rtl/>
        </w:rPr>
        <w:t>(7)</w:t>
      </w:r>
      <w:r w:rsidRPr="005D642E">
        <w:rPr>
          <w:rtl/>
          <w:lang w:bidi="fa-IR"/>
        </w:rPr>
        <w:t xml:space="preserve"> عَلى ظَهْرِ الْأَرْضِ ؛ فَتُنْبِتَ شَيْئاً</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6E4CAA">
        <w:rPr>
          <w:rtl/>
        </w:rPr>
        <w:t>4714</w:t>
      </w:r>
      <w:r w:rsidRPr="00246318">
        <w:rPr>
          <w:rStyle w:val="libBold2Char"/>
          <w:rtl/>
        </w:rPr>
        <w:t xml:space="preserve"> / 2.</w:t>
      </w:r>
      <w:r w:rsidRPr="005D642E">
        <w:rPr>
          <w:rtl/>
          <w:lang w:bidi="fa-IR"/>
        </w:rPr>
        <w:t xml:space="preserve"> عِدَّةٌ مِنْ أَصْحَابِنَا ، عَنْ سَهْلِ بْنِ زِيَادٍ ، عَنِ الْحَسَنِ بْنِ عَلِيٍّ ، عَنْ غَالِبِ بْنِ عُثْمَانَ ، عَنْ بَشِيرٍ الدَّهَّانِ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لِلْقَبْرِ كَلَاماً فِي كُلِّ يَوْمٍ يَقُولُ : أَنَا بَيْتُ الْغُرْبَةِ ، أَنَا بَيْتُ الْوَحْشَةِ ، أَنَا بَيْتُ الدُّودِ ، أَنَا الْقَبْرُ ، أَنَا رَوْضَةٌ مِنْ رِيَاضِ الْجَنَّةِ ، أَوْ حُفْرَةٌ مِنْ حُفَرِ النَّارِ </w:t>
      </w:r>
      <w:r w:rsidRPr="007C12DB">
        <w:rPr>
          <w:rStyle w:val="libFootnotenumChar"/>
          <w:rtl/>
        </w:rPr>
        <w:t>(9)</w:t>
      </w:r>
      <w:r>
        <w:rPr>
          <w:rtl/>
          <w:lang w:bidi="fa-IR"/>
        </w:rPr>
        <w:t>».</w:t>
      </w:r>
      <w:r w:rsidRPr="007C12DB">
        <w:rPr>
          <w:rStyle w:val="libFootnotenumChar"/>
          <w:rtl/>
        </w:rPr>
        <w:t>(10)</w:t>
      </w:r>
      <w:r w:rsidRPr="005D642E">
        <w:rPr>
          <w:rtl/>
          <w:lang w:bidi="fa-IR"/>
        </w:rPr>
        <w:t>‌</w:t>
      </w:r>
    </w:p>
    <w:p w:rsidR="00E3253D" w:rsidRPr="005D642E" w:rsidRDefault="00E3253D" w:rsidP="00E3253D">
      <w:pPr>
        <w:pStyle w:val="libNormal"/>
        <w:rPr>
          <w:rtl/>
          <w:lang w:bidi="fa-IR"/>
        </w:rPr>
      </w:pPr>
      <w:r w:rsidRPr="006E4CAA">
        <w:rPr>
          <w:rtl/>
        </w:rPr>
        <w:t>4715</w:t>
      </w:r>
      <w:r w:rsidRPr="00246318">
        <w:rPr>
          <w:rStyle w:val="libBold2Char"/>
          <w:rtl/>
        </w:rPr>
        <w:t xml:space="preserve"> / 3.</w:t>
      </w:r>
      <w:r w:rsidRPr="005D642E">
        <w:rPr>
          <w:rtl/>
          <w:lang w:bidi="fa-IR"/>
        </w:rPr>
        <w:t xml:space="preserve"> مُحَمَّدُ بْنُ يَحْيى ، عَنْ أَحْمَدَ بْنِ مُحَمَّدِ بْنِ عِيسى </w:t>
      </w:r>
      <w:r w:rsidRPr="007C12DB">
        <w:rPr>
          <w:rStyle w:val="libFootnotenumChar"/>
          <w:rtl/>
        </w:rPr>
        <w:t>(11)</w:t>
      </w:r>
      <w:r w:rsidRPr="005D642E">
        <w:rPr>
          <w:rtl/>
          <w:lang w:bidi="fa-IR"/>
        </w:rPr>
        <w:t xml:space="preserve"> ، عَنْ أَحْمَدَ بْنِ‌مُحَمَّدٍ ، عَنْ عَبْدِ الرَّحْمنِ بْنِ حَمَّادٍ ، عَنْ عُمَرَ </w:t>
      </w:r>
      <w:r w:rsidRPr="007C12DB">
        <w:rPr>
          <w:rStyle w:val="libFootnotenumChar"/>
          <w:rtl/>
        </w:rPr>
        <w:t>(12)</w:t>
      </w:r>
      <w:r w:rsidRPr="005D642E">
        <w:rPr>
          <w:rtl/>
          <w:lang w:bidi="fa-IR"/>
        </w:rPr>
        <w:t xml:space="preserve"> بْنِ يَزِيدَ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بث ، بخ ، بس ، جح ، جس » والبحار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بح » : « ستّة</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بث ، بح ، جح ، جس » : « وستّين</w:t>
      </w:r>
      <w:r w:rsidR="00E3253D">
        <w:rPr>
          <w:rtl/>
        </w:rPr>
        <w:t xml:space="preserve"> ».</w:t>
      </w:r>
      <w:r w:rsidR="00E3253D" w:rsidRPr="005D642E">
        <w:rPr>
          <w:rtl/>
        </w:rPr>
        <w:t xml:space="preserve"> وفي « بخ </w:t>
      </w:r>
      <w:r w:rsidR="00E3253D" w:rsidRPr="003D6E10">
        <w:rPr>
          <w:rtl/>
        </w:rPr>
        <w:t xml:space="preserve">» </w:t>
      </w:r>
      <w:r w:rsidR="000D749A" w:rsidRPr="003D6E10">
        <w:rPr>
          <w:rtl/>
        </w:rPr>
        <w:t>والوافي</w:t>
      </w:r>
      <w:r w:rsidR="00E3253D" w:rsidRPr="003D6E10">
        <w:rPr>
          <w:rtl/>
        </w:rPr>
        <w:t xml:space="preserve"> :</w:t>
      </w:r>
      <w:r w:rsidR="00E3253D" w:rsidRPr="005D642E">
        <w:rPr>
          <w:rtl/>
        </w:rPr>
        <w:t xml:space="preserve"> « وتسعون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التِنّين » ، كسِكّين : ضرب من الحيّات. وقيل : هي حيّة عظيمة. راجع : </w:t>
      </w:r>
      <w:r w:rsidR="00E3253D" w:rsidRPr="002F4D34">
        <w:rPr>
          <w:rStyle w:val="libFootnoteBoldChar"/>
          <w:rtl/>
        </w:rPr>
        <w:t>الصحاح</w:t>
      </w:r>
      <w:r w:rsidR="00E3253D" w:rsidRPr="005D642E">
        <w:rPr>
          <w:rtl/>
        </w:rPr>
        <w:t xml:space="preserve"> ، ج 5 ، ص 2087 ؛ </w:t>
      </w:r>
      <w:r w:rsidR="00E3253D" w:rsidRPr="002F4D34">
        <w:rPr>
          <w:rStyle w:val="libFootnoteBoldChar"/>
          <w:rtl/>
        </w:rPr>
        <w:t>القاموس المحيط</w:t>
      </w:r>
      <w:r w:rsidR="00E3253D" w:rsidRPr="005D642E">
        <w:rPr>
          <w:rtl/>
        </w:rPr>
        <w:t xml:space="preserve"> ، ج 2 ، ص 1556 ( تنن )</w:t>
      </w:r>
      <w:r w:rsidR="00E3253D">
        <w:rPr>
          <w:rtl/>
        </w:rPr>
        <w:t>.</w:t>
      </w:r>
    </w:p>
    <w:p w:rsidR="00E3253D" w:rsidRPr="005D642E" w:rsidRDefault="0042621E" w:rsidP="003D6E10">
      <w:pPr>
        <w:pStyle w:val="libFootnote0"/>
        <w:rPr>
          <w:rtl/>
          <w:lang w:bidi="fa-IR"/>
        </w:rPr>
      </w:pPr>
      <w:r w:rsidRPr="0042621E">
        <w:rPr>
          <w:rStyle w:val="libFootnote0Char"/>
          <w:rtl/>
        </w:rPr>
        <w:t>(5).</w:t>
      </w:r>
      <w:r w:rsidR="00E3253D" w:rsidRPr="005D642E">
        <w:rPr>
          <w:rtl/>
        </w:rPr>
        <w:t xml:space="preserve"> في « بث » : « ينهشه</w:t>
      </w:r>
      <w:r w:rsidR="00E3253D">
        <w:rPr>
          <w:rtl/>
        </w:rPr>
        <w:t xml:space="preserve"> ».</w:t>
      </w:r>
      <w:r w:rsidR="00E3253D" w:rsidRPr="005D642E">
        <w:rPr>
          <w:rtl/>
        </w:rPr>
        <w:t xml:space="preserve"> </w:t>
      </w:r>
      <w:r w:rsidR="00E3253D">
        <w:rPr>
          <w:rtl/>
        </w:rPr>
        <w:t>و «</w:t>
      </w:r>
      <w:r w:rsidR="00E3253D" w:rsidRPr="005D642E">
        <w:rPr>
          <w:rtl/>
        </w:rPr>
        <w:t xml:space="preserve"> تنهشه » ، أي تتناوله بفمها لتعضّه فتؤثّر فيه ولا يجرحه. راجع : </w:t>
      </w:r>
      <w:r w:rsidR="00E3253D" w:rsidRPr="002F4D34">
        <w:rPr>
          <w:rStyle w:val="libFootnoteBoldChar"/>
          <w:rtl/>
        </w:rPr>
        <w:t>لسان العرب</w:t>
      </w:r>
      <w:r w:rsidR="00E3253D" w:rsidRPr="005D642E">
        <w:rPr>
          <w:rtl/>
        </w:rPr>
        <w:t xml:space="preserve"> ، ج 6 ، ص 360 ( نهش )</w:t>
      </w:r>
      <w:r w:rsidR="00E3253D">
        <w:rPr>
          <w:rtl/>
        </w:rPr>
        <w:t>.</w:t>
      </w:r>
      <w:r w:rsidR="003D6E10">
        <w:rPr>
          <w:rFonts w:hint="cs"/>
          <w:rtl/>
        </w:rPr>
        <w:t xml:space="preserve">                                      </w:t>
      </w:r>
      <w:r w:rsidRPr="0042621E">
        <w:rPr>
          <w:rStyle w:val="libFootnote0Char"/>
          <w:rtl/>
        </w:rPr>
        <w:t>(6).</w:t>
      </w:r>
      <w:r w:rsidR="00E3253D" w:rsidRPr="005D642E">
        <w:rPr>
          <w:rtl/>
        </w:rPr>
        <w:t xml:space="preserve"> في « بث ، بخ » </w:t>
      </w:r>
      <w:r w:rsidR="000D749A" w:rsidRPr="000D749A">
        <w:rPr>
          <w:rStyle w:val="libFootnoteBoldChar"/>
          <w:rtl/>
        </w:rPr>
        <w:t>والوافي</w:t>
      </w:r>
      <w:r w:rsidR="00E3253D" w:rsidRPr="005D642E">
        <w:rPr>
          <w:rtl/>
        </w:rPr>
        <w:t xml:space="preserve"> : « منها</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البحار </w:t>
      </w:r>
      <w:r w:rsidR="000D749A" w:rsidRPr="000D749A">
        <w:rPr>
          <w:rStyle w:val="libFootnoteBoldChar"/>
          <w:rtl/>
        </w:rPr>
        <w:t>والوافي</w:t>
      </w:r>
      <w:r w:rsidR="00E3253D" w:rsidRPr="005D642E">
        <w:rPr>
          <w:rtl/>
        </w:rPr>
        <w:t xml:space="preserve"> : « تنفخ</w:t>
      </w:r>
      <w:r w:rsidR="00E3253D">
        <w:rPr>
          <w:rtl/>
        </w:rPr>
        <w:t xml:space="preserve"> ».</w:t>
      </w:r>
    </w:p>
    <w:p w:rsidR="00E3253D" w:rsidRPr="005D642E" w:rsidRDefault="0042621E" w:rsidP="003D6E10">
      <w:pPr>
        <w:pStyle w:val="libFootnote0"/>
        <w:rPr>
          <w:rtl/>
          <w:lang w:bidi="fa-IR"/>
        </w:rPr>
      </w:pPr>
      <w:r w:rsidRPr="0042621E">
        <w:rPr>
          <w:rStyle w:val="libFootnote0Char"/>
          <w:rtl/>
        </w:rPr>
        <w:t>(8).</w:t>
      </w:r>
      <w:r w:rsidR="00E3253D" w:rsidRPr="005D642E">
        <w:rPr>
          <w:rtl/>
        </w:rPr>
        <w:t xml:space="preserve"> راجع : </w:t>
      </w:r>
      <w:r w:rsidR="00E3253D" w:rsidRPr="002F4D34">
        <w:rPr>
          <w:rStyle w:val="libFootnoteBoldChar"/>
          <w:rtl/>
        </w:rPr>
        <w:t>الغارات</w:t>
      </w:r>
      <w:r w:rsidR="00E3253D" w:rsidRPr="005D642E">
        <w:rPr>
          <w:rtl/>
        </w:rPr>
        <w:t xml:space="preserve"> ، ج 1 ، ص 148 ؛ </w:t>
      </w:r>
      <w:r w:rsidR="00E3253D" w:rsidRPr="003D6E10">
        <w:rPr>
          <w:rStyle w:val="libFootnoteBoldChar"/>
          <w:rtl/>
        </w:rPr>
        <w:t>وال</w:t>
      </w:r>
      <w:r w:rsidR="00E3253D" w:rsidRPr="002F4D34">
        <w:rPr>
          <w:rStyle w:val="libFootnoteBoldChar"/>
          <w:rtl/>
        </w:rPr>
        <w:t>اختصاص</w:t>
      </w:r>
      <w:r w:rsidR="00E3253D" w:rsidRPr="005D642E">
        <w:rPr>
          <w:rtl/>
        </w:rPr>
        <w:t xml:space="preserve"> ، ص 347 ؛ </w:t>
      </w:r>
      <w:r w:rsidR="00E3253D" w:rsidRPr="003D6E10">
        <w:rPr>
          <w:rStyle w:val="libFootnoteBoldChar"/>
          <w:rtl/>
        </w:rPr>
        <w:t>والأمالي للمفيد</w:t>
      </w:r>
      <w:r w:rsidR="00E3253D" w:rsidRPr="005D642E">
        <w:rPr>
          <w:rtl/>
        </w:rPr>
        <w:t xml:space="preserve"> ، ص 265 ، المجلس 31 ، ح 3 ؛ </w:t>
      </w:r>
      <w:r w:rsidR="009E68BB" w:rsidRPr="009E68BB">
        <w:rPr>
          <w:rStyle w:val="libFootnoteBoldChar"/>
          <w:rtl/>
        </w:rPr>
        <w:t>و</w:t>
      </w:r>
      <w:r w:rsidR="009E68BB" w:rsidRPr="0035521A">
        <w:rPr>
          <w:rStyle w:val="libFootnoteBoldChar"/>
          <w:rtl/>
        </w:rPr>
        <w:t>الأمالي للطوسي</w:t>
      </w:r>
      <w:r w:rsidR="00E3253D" w:rsidRPr="005D642E">
        <w:rPr>
          <w:rtl/>
        </w:rPr>
        <w:t xml:space="preserve"> ، ص 27 ، المجلس 1 ، ح 31 </w:t>
      </w:r>
      <w:r w:rsidR="003D6E10">
        <w:rPr>
          <w:rFonts w:hint="cs"/>
          <w:rtl/>
        </w:rPr>
        <w:t>.</w:t>
      </w:r>
      <w:r w:rsidR="00E3253D" w:rsidRPr="002F4D34">
        <w:rPr>
          <w:rStyle w:val="libFootnoteBoldChar"/>
          <w:rtl/>
        </w:rPr>
        <w:t>الوافي</w:t>
      </w:r>
      <w:r w:rsidR="00E3253D" w:rsidRPr="005D642E">
        <w:rPr>
          <w:rtl/>
        </w:rPr>
        <w:t xml:space="preserve"> ، ج 25 ، ص 605 ، ح 24748 ؛ </w:t>
      </w:r>
      <w:r w:rsidR="00E3253D" w:rsidRPr="002F4D34">
        <w:rPr>
          <w:rStyle w:val="libFootnoteBoldChar"/>
          <w:rtl/>
        </w:rPr>
        <w:t>البحار</w:t>
      </w:r>
      <w:r w:rsidR="00E3253D" w:rsidRPr="005D642E">
        <w:rPr>
          <w:rtl/>
        </w:rPr>
        <w:t xml:space="preserve"> ، ج 6 ، ص 266 ، ح 114.</w:t>
      </w:r>
      <w:r w:rsidR="003D6E10">
        <w:rPr>
          <w:rFonts w:hint="cs"/>
          <w:rtl/>
        </w:rPr>
        <w:t xml:space="preserve">                                   </w:t>
      </w:r>
      <w:r w:rsidRPr="0042621E">
        <w:rPr>
          <w:rStyle w:val="libFootnote0Char"/>
          <w:rtl/>
        </w:rPr>
        <w:t>(9).</w:t>
      </w:r>
      <w:r w:rsidR="00E3253D" w:rsidRPr="005D642E">
        <w:rPr>
          <w:rtl/>
        </w:rPr>
        <w:t xml:space="preserve"> في « بخ » وحاشية « بث » : « النيران</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الخصال</w:t>
      </w:r>
      <w:r w:rsidR="00E3253D" w:rsidRPr="005D642E">
        <w:rPr>
          <w:rtl/>
        </w:rPr>
        <w:t xml:space="preserve"> ، ص 119 ، باب الثلاثة ، ضمن ح 108 ، بسند آخر عن عليّ بن الحسين </w:t>
      </w:r>
      <w:r w:rsidR="00E3253D" w:rsidRPr="003D6E10">
        <w:rPr>
          <w:rStyle w:val="libFootnoteAlaemChar"/>
          <w:rtl/>
        </w:rPr>
        <w:t>عليهما‌السلام</w:t>
      </w:r>
      <w:r w:rsidR="00E3253D" w:rsidRPr="005D642E">
        <w:rPr>
          <w:rtl/>
        </w:rPr>
        <w:t xml:space="preserve"> ؛ </w:t>
      </w:r>
      <w:r w:rsidR="00E3253D" w:rsidRPr="002F4D34">
        <w:rPr>
          <w:rStyle w:val="libFootnoteBoldChar"/>
          <w:rtl/>
        </w:rPr>
        <w:t>الاختصاص</w:t>
      </w:r>
      <w:r w:rsidR="00E3253D" w:rsidRPr="005D642E">
        <w:rPr>
          <w:rtl/>
        </w:rPr>
        <w:t xml:space="preserve"> ، ص 360 ، ضمن الحديث الطويل ، بسند آخر عن أبي جعفر </w:t>
      </w:r>
      <w:r w:rsidR="00E3253D" w:rsidRPr="003D6E10">
        <w:rPr>
          <w:rStyle w:val="libFootnoteAlaemChar"/>
          <w:rtl/>
        </w:rPr>
        <w:t>عليه‌السلام</w:t>
      </w:r>
      <w:r w:rsidR="00E3253D" w:rsidRPr="005D642E">
        <w:rPr>
          <w:rtl/>
        </w:rPr>
        <w:t xml:space="preserve">. </w:t>
      </w:r>
      <w:r w:rsidR="00E3253D" w:rsidRPr="002F4D34">
        <w:rPr>
          <w:rStyle w:val="libFootnoteBoldChar"/>
          <w:rtl/>
        </w:rPr>
        <w:t>تفسير القمّي</w:t>
      </w:r>
      <w:r w:rsidR="00E3253D" w:rsidRPr="005D642E">
        <w:rPr>
          <w:rtl/>
        </w:rPr>
        <w:t xml:space="preserve"> ، ج 2 ، ص 94 ، مرسلاً عن عليّ بن الحسين </w:t>
      </w:r>
      <w:r w:rsidR="00E3253D" w:rsidRPr="003D6E10">
        <w:rPr>
          <w:rStyle w:val="libFootnoteAlaemChar"/>
          <w:rtl/>
        </w:rPr>
        <w:t>عليهما‌السلام</w:t>
      </w:r>
      <w:r w:rsidR="00E3253D" w:rsidRPr="005D642E">
        <w:rPr>
          <w:rtl/>
        </w:rPr>
        <w:t xml:space="preserve"> ، وفي كلّها من قوله : « أنا روضة من رياض الجنّة » مع اختلاف يسير </w:t>
      </w:r>
      <w:r w:rsidR="003D6E10">
        <w:rPr>
          <w:rFonts w:hint="cs"/>
          <w:rtl/>
        </w:rPr>
        <w:t>.</w:t>
      </w:r>
      <w:r w:rsidR="00E3253D" w:rsidRPr="002F4D34">
        <w:rPr>
          <w:rStyle w:val="libFootnoteBoldChar"/>
          <w:rtl/>
        </w:rPr>
        <w:t>الوافي</w:t>
      </w:r>
      <w:r w:rsidR="00E3253D" w:rsidRPr="005D642E">
        <w:rPr>
          <w:rtl/>
        </w:rPr>
        <w:t xml:space="preserve"> ، ج 25 ، ص 606 ، ح 24749 ؛ </w:t>
      </w:r>
      <w:r w:rsidR="00E3253D" w:rsidRPr="002F4D34">
        <w:rPr>
          <w:rStyle w:val="libFootnoteBoldChar"/>
          <w:rtl/>
        </w:rPr>
        <w:t>البحار</w:t>
      </w:r>
      <w:r w:rsidR="00E3253D" w:rsidRPr="005D642E">
        <w:rPr>
          <w:rtl/>
        </w:rPr>
        <w:t xml:space="preserve"> ، ج 6 ، ص 267 ، ح 115.</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عن أحمد بن محمّد بن عيسى</w:t>
      </w:r>
      <w:r w:rsidR="00E3253D">
        <w:rPr>
          <w:rtl/>
        </w:rPr>
        <w:t xml:space="preserve"> ».</w:t>
      </w:r>
      <w:r w:rsidR="00E3253D" w:rsidRPr="005D642E">
        <w:rPr>
          <w:rtl/>
        </w:rPr>
        <w:t xml:space="preserve"> وفي « جس » :</w:t>
      </w:r>
      <w:r w:rsidR="00E3253D">
        <w:rPr>
          <w:rtl/>
        </w:rPr>
        <w:t xml:space="preserve"> </w:t>
      </w:r>
      <w:r w:rsidR="007642BC">
        <w:rPr>
          <w:rtl/>
        </w:rPr>
        <w:t>-</w:t>
      </w:r>
      <w:r w:rsidR="00E3253D">
        <w:rPr>
          <w:rtl/>
        </w:rPr>
        <w:t xml:space="preserve"> </w:t>
      </w:r>
      <w:r w:rsidR="00E3253D" w:rsidRPr="005D642E">
        <w:rPr>
          <w:rtl/>
        </w:rPr>
        <w:t>« محمّد بن</w:t>
      </w:r>
      <w:r w:rsidR="00E3253D">
        <w:rPr>
          <w:rtl/>
        </w:rPr>
        <w:t xml:space="preserve"> ».</w:t>
      </w:r>
    </w:p>
    <w:p w:rsidR="00E3253D" w:rsidRDefault="0042621E" w:rsidP="00E3253D">
      <w:pPr>
        <w:pStyle w:val="libFootnote0"/>
        <w:rPr>
          <w:rtl/>
        </w:rPr>
      </w:pPr>
      <w:r w:rsidRPr="0042621E">
        <w:rPr>
          <w:rStyle w:val="libFootnote0Char"/>
          <w:rtl/>
        </w:rPr>
        <w:t>(12).</w:t>
      </w:r>
      <w:r w:rsidR="00E3253D" w:rsidRPr="005D642E">
        <w:rPr>
          <w:rtl/>
        </w:rPr>
        <w:t xml:space="preserve"> هكذا في « ظ ، ى ، بث ، بح ، بخ ، جح ، جس ، جن</w:t>
      </w:r>
      <w:r w:rsidR="00E3253D">
        <w:rPr>
          <w:rtl/>
        </w:rPr>
        <w:t xml:space="preserve"> ».</w:t>
      </w:r>
      <w:r w:rsidR="00E3253D" w:rsidRPr="005D642E">
        <w:rPr>
          <w:rtl/>
        </w:rPr>
        <w:t xml:space="preserve"> وفي « بس » والمطبوع والبحار : « عمرو</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إِنِّي سَمِعْتُكَ وَأَنْتَ تَقُولُ : كُلُّ شِيعَتِنَا فِي الْجَنَّةِ عَلى مَا كَانَ فِيهِمْ</w:t>
      </w:r>
      <w:r w:rsidRPr="007C12DB">
        <w:rPr>
          <w:rStyle w:val="libFootnotenumChar"/>
          <w:rtl/>
        </w:rPr>
        <w:t>(1)</w:t>
      </w:r>
      <w:r>
        <w:rPr>
          <w:rtl/>
          <w:lang w:bidi="fa-IR"/>
        </w:rPr>
        <w:t>؟</w:t>
      </w:r>
    </w:p>
    <w:p w:rsidR="00E3253D" w:rsidRPr="005D642E" w:rsidRDefault="00E3253D" w:rsidP="00E3253D">
      <w:pPr>
        <w:pStyle w:val="libNormal"/>
        <w:rPr>
          <w:rtl/>
          <w:lang w:bidi="fa-IR"/>
        </w:rPr>
      </w:pPr>
      <w:r w:rsidRPr="005D642E">
        <w:rPr>
          <w:rtl/>
          <w:lang w:bidi="fa-IR"/>
        </w:rPr>
        <w:t xml:space="preserve">قَالَ : « صَدَقْتُكَ </w:t>
      </w:r>
      <w:r w:rsidRPr="007C12DB">
        <w:rPr>
          <w:rStyle w:val="libFootnotenumChar"/>
          <w:rtl/>
        </w:rPr>
        <w:t>(2)</w:t>
      </w:r>
      <w:r w:rsidRPr="005D642E">
        <w:rPr>
          <w:rtl/>
          <w:lang w:bidi="fa-IR"/>
        </w:rPr>
        <w:t xml:space="preserve"> ، كُلُّهُمْ</w:t>
      </w:r>
      <w:r>
        <w:rPr>
          <w:rtl/>
          <w:lang w:bidi="fa-IR"/>
        </w:rPr>
        <w:t xml:space="preserve"> </w:t>
      </w:r>
      <w:r w:rsidR="007642BC">
        <w:rPr>
          <w:rtl/>
          <w:lang w:bidi="fa-IR"/>
        </w:rPr>
        <w:t>-</w:t>
      </w:r>
      <w:r>
        <w:rPr>
          <w:rtl/>
          <w:lang w:bidi="fa-IR"/>
        </w:rPr>
        <w:t xml:space="preserve"> </w:t>
      </w:r>
      <w:r w:rsidRPr="005D642E">
        <w:rPr>
          <w:rtl/>
          <w:lang w:bidi="fa-IR"/>
        </w:rPr>
        <w:t>وَاللهِ</w:t>
      </w:r>
      <w:r>
        <w:rPr>
          <w:rtl/>
          <w:lang w:bidi="fa-IR"/>
        </w:rPr>
        <w:t xml:space="preserve"> </w:t>
      </w:r>
      <w:r w:rsidR="007642BC">
        <w:rPr>
          <w:rtl/>
          <w:lang w:bidi="fa-IR"/>
        </w:rPr>
        <w:t>-</w:t>
      </w:r>
      <w:r>
        <w:rPr>
          <w:rtl/>
          <w:lang w:bidi="fa-IR"/>
        </w:rPr>
        <w:t xml:space="preserve"> </w:t>
      </w:r>
      <w:r w:rsidRPr="005D642E">
        <w:rPr>
          <w:rtl/>
          <w:lang w:bidi="fa-IR"/>
        </w:rPr>
        <w:t>فِي الْجَنَّةِ</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قُلْتُ : جُعِلْتُ فِدَاكَ ، إِنَّ الذُّنُوبَ كَثِيرَةٌ كِبَارٌ </w:t>
      </w:r>
      <w:r w:rsidRPr="007C12DB">
        <w:rPr>
          <w:rStyle w:val="libFootnotenumChar"/>
          <w:rtl/>
        </w:rPr>
        <w:t>(3)</w:t>
      </w:r>
      <w:r>
        <w:rPr>
          <w:rtl/>
          <w:lang w:bidi="fa-IR"/>
        </w:rPr>
        <w:t>؟</w:t>
      </w:r>
    </w:p>
    <w:p w:rsidR="00E3253D" w:rsidRPr="005D642E" w:rsidRDefault="00E3253D" w:rsidP="00E3253D">
      <w:pPr>
        <w:pStyle w:val="libNormal"/>
        <w:rPr>
          <w:rtl/>
          <w:lang w:bidi="fa-IR"/>
        </w:rPr>
      </w:pPr>
      <w:r w:rsidRPr="005D642E">
        <w:rPr>
          <w:rtl/>
          <w:lang w:bidi="fa-IR"/>
        </w:rPr>
        <w:t xml:space="preserve">فَقَالَ : « أَمَّا فِي الْقِيَامَةِ ، فَكُلُّكُمْ </w:t>
      </w:r>
      <w:r w:rsidRPr="007C12DB">
        <w:rPr>
          <w:rStyle w:val="libFootnotenumChar"/>
          <w:rtl/>
        </w:rPr>
        <w:t>(4)</w:t>
      </w:r>
      <w:r w:rsidRPr="005D642E">
        <w:rPr>
          <w:rtl/>
          <w:lang w:bidi="fa-IR"/>
        </w:rPr>
        <w:t xml:space="preserve"> فِي الْجَنَّةِ بِشَفَاعَةِ النَّبِيِّ الْمُطَاعِ ، أَوْ وَصِيِّ النَّبِيِّ ، وَلكِنِّي</w:t>
      </w:r>
      <w:r>
        <w:rPr>
          <w:rtl/>
          <w:lang w:bidi="fa-IR"/>
        </w:rPr>
        <w:t xml:space="preserve"> </w:t>
      </w:r>
      <w:r w:rsidR="007642BC">
        <w:rPr>
          <w:rtl/>
          <w:lang w:bidi="fa-IR"/>
        </w:rPr>
        <w:t>-</w:t>
      </w:r>
      <w:r>
        <w:rPr>
          <w:rtl/>
          <w:lang w:bidi="fa-IR"/>
        </w:rPr>
        <w:t xml:space="preserve"> </w:t>
      </w:r>
      <w:r w:rsidRPr="005D642E">
        <w:rPr>
          <w:rtl/>
          <w:lang w:bidi="fa-IR"/>
        </w:rPr>
        <w:t>وَاللهِ</w:t>
      </w:r>
      <w:r>
        <w:rPr>
          <w:rtl/>
          <w:lang w:bidi="fa-IR"/>
        </w:rPr>
        <w:t xml:space="preserve"> </w:t>
      </w:r>
      <w:r w:rsidR="007642BC">
        <w:rPr>
          <w:rtl/>
          <w:lang w:bidi="fa-IR"/>
        </w:rPr>
        <w:t>-</w:t>
      </w:r>
      <w:r>
        <w:rPr>
          <w:rtl/>
          <w:lang w:bidi="fa-IR"/>
        </w:rPr>
        <w:t xml:space="preserve"> </w:t>
      </w:r>
      <w:r w:rsidRPr="005D642E">
        <w:rPr>
          <w:rtl/>
          <w:lang w:bidi="fa-IR"/>
        </w:rPr>
        <w:t xml:space="preserve">أَتَخَوَّفُ عَلَيْكُمْ </w:t>
      </w:r>
      <w:r w:rsidRPr="007C12DB">
        <w:rPr>
          <w:rStyle w:val="libFootnotenumChar"/>
          <w:rtl/>
        </w:rPr>
        <w:t>(5)</w:t>
      </w:r>
      <w:r w:rsidRPr="005D642E">
        <w:rPr>
          <w:rtl/>
          <w:lang w:bidi="fa-IR"/>
        </w:rPr>
        <w:t xml:space="preserve"> فِي الْبَرْزَخِ</w:t>
      </w:r>
      <w:r>
        <w:rPr>
          <w:rtl/>
          <w:lang w:bidi="fa-IR"/>
        </w:rPr>
        <w:t xml:space="preserve"> ».</w:t>
      </w:r>
    </w:p>
    <w:p w:rsidR="00E3253D" w:rsidRPr="005D642E" w:rsidRDefault="00E3253D" w:rsidP="00E3253D">
      <w:pPr>
        <w:pStyle w:val="libNormal"/>
        <w:rPr>
          <w:rtl/>
          <w:lang w:bidi="fa-IR"/>
        </w:rPr>
      </w:pPr>
      <w:r w:rsidRPr="005D642E">
        <w:rPr>
          <w:rtl/>
          <w:lang w:bidi="fa-IR"/>
        </w:rPr>
        <w:t>قُلْتُ : وَمَا الْبَرْزَخُ</w:t>
      </w:r>
      <w:r>
        <w:rPr>
          <w:rtl/>
          <w:lang w:bidi="fa-IR"/>
        </w:rPr>
        <w:t>؟</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(6)</w:t>
      </w:r>
      <w:r w:rsidRPr="005D642E">
        <w:rPr>
          <w:rtl/>
          <w:lang w:bidi="fa-IR"/>
        </w:rPr>
        <w:t xml:space="preserve"> : « الْقَبْرُ مُنْذُ حِينِ مَوْتِهِ إِلى يَوْمِ الْقِيَامَةِ</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Heading2Center"/>
        <w:rPr>
          <w:rtl/>
          <w:lang w:bidi="fa-IR"/>
        </w:rPr>
      </w:pPr>
      <w:bookmarkStart w:id="530" w:name="_Toc344647388"/>
      <w:bookmarkStart w:id="531" w:name="_Toc462226902"/>
      <w:bookmarkStart w:id="532" w:name="_Toc40976010"/>
      <w:r w:rsidRPr="005D642E">
        <w:rPr>
          <w:rtl/>
          <w:lang w:bidi="fa-IR"/>
        </w:rPr>
        <w:t>90</w:t>
      </w:r>
      <w:r>
        <w:rPr>
          <w:rtl/>
          <w:lang w:bidi="fa-IR"/>
        </w:rPr>
        <w:t xml:space="preserve"> </w:t>
      </w:r>
      <w:r w:rsidR="007642BC">
        <w:rPr>
          <w:rtl/>
          <w:lang w:bidi="fa-IR"/>
        </w:rPr>
        <w:t>-</w:t>
      </w:r>
      <w:r>
        <w:rPr>
          <w:rtl/>
          <w:lang w:bidi="fa-IR"/>
        </w:rPr>
        <w:t xml:space="preserve"> </w:t>
      </w:r>
      <w:r w:rsidRPr="005D642E">
        <w:rPr>
          <w:rtl/>
          <w:lang w:bidi="fa-IR"/>
        </w:rPr>
        <w:t xml:space="preserve">بَابٌ فِي </w:t>
      </w:r>
      <w:r w:rsidRPr="007C12DB">
        <w:rPr>
          <w:rStyle w:val="libFootnotenumChar"/>
          <w:rtl/>
        </w:rPr>
        <w:t>(8)</w:t>
      </w:r>
      <w:r>
        <w:rPr>
          <w:rtl/>
        </w:rPr>
        <w:t xml:space="preserve"> </w:t>
      </w:r>
      <w:r w:rsidRPr="005D642E">
        <w:rPr>
          <w:rtl/>
          <w:lang w:bidi="fa-IR"/>
        </w:rPr>
        <w:t>أَرْوَاحِ الْمُؤْمِنِينَ‌</w:t>
      </w:r>
      <w:bookmarkEnd w:id="530"/>
      <w:bookmarkEnd w:id="531"/>
      <w:bookmarkEnd w:id="532"/>
    </w:p>
    <w:p w:rsidR="00E3253D" w:rsidRPr="005D642E" w:rsidRDefault="00E3253D" w:rsidP="00E3253D">
      <w:pPr>
        <w:pStyle w:val="libNormal"/>
        <w:rPr>
          <w:rtl/>
          <w:lang w:bidi="fa-IR"/>
        </w:rPr>
      </w:pPr>
      <w:r w:rsidRPr="006E4CAA">
        <w:rPr>
          <w:rtl/>
        </w:rPr>
        <w:t>4716</w:t>
      </w:r>
      <w:r w:rsidRPr="00246318">
        <w:rPr>
          <w:rStyle w:val="libBold2Char"/>
          <w:rtl/>
        </w:rPr>
        <w:t xml:space="preserve"> / 1.</w:t>
      </w:r>
      <w:r w:rsidRPr="005D642E">
        <w:rPr>
          <w:rtl/>
          <w:lang w:bidi="fa-IR"/>
        </w:rPr>
        <w:t xml:space="preserve"> عَلِيُّ بْنُ مُحَمَّدٍ ، عَنْ عَلِيِّ بْنِ الْحَسَنِ ، عَنْ حُسَيْنِ </w:t>
      </w:r>
      <w:r w:rsidRPr="007C12DB">
        <w:rPr>
          <w:rStyle w:val="libFootnotenumChar"/>
          <w:rtl/>
        </w:rPr>
        <w:t>(9)</w:t>
      </w:r>
      <w:r w:rsidRPr="005D642E">
        <w:rPr>
          <w:rtl/>
          <w:lang w:bidi="fa-IR"/>
        </w:rPr>
        <w:t xml:space="preserve"> بْنِ رَاشِدٍ ، عَنِ‌</w:t>
      </w:r>
    </w:p>
    <w:p w:rsidR="00E3253D" w:rsidRPr="005D642E" w:rsidRDefault="00E3253D" w:rsidP="00E3253D">
      <w:pPr>
        <w:pStyle w:val="libLine"/>
        <w:rPr>
          <w:rtl/>
          <w:lang w:bidi="fa-IR"/>
        </w:rPr>
      </w:pPr>
      <w:r w:rsidRPr="005D642E">
        <w:rPr>
          <w:rtl/>
          <w:lang w:bidi="fa-IR"/>
        </w:rPr>
        <w:t>__________________</w:t>
      </w:r>
    </w:p>
    <w:p w:rsidR="00E3253D" w:rsidRPr="005D642E" w:rsidRDefault="003D6E10" w:rsidP="00E3253D">
      <w:pPr>
        <w:pStyle w:val="libFootnote0"/>
        <w:rPr>
          <w:rtl/>
          <w:lang w:bidi="fa-IR"/>
        </w:rPr>
      </w:pPr>
      <w:r>
        <w:rPr>
          <w:rFonts w:hint="cs"/>
          <w:rtl/>
        </w:rPr>
        <w:t xml:space="preserve">= </w:t>
      </w:r>
      <w:r w:rsidR="00E3253D" w:rsidRPr="005D642E">
        <w:rPr>
          <w:rtl/>
        </w:rPr>
        <w:t xml:space="preserve">والصواب ما أثبتناه ؛ فقد روى عبدالرحمن بن حمّاد ، عن عمر بن يزيد ، عن أبي عبدالله </w:t>
      </w:r>
      <w:r w:rsidR="00E3253D" w:rsidRPr="003D6E10">
        <w:rPr>
          <w:rStyle w:val="libFootnoteAlaemChar"/>
          <w:rtl/>
        </w:rPr>
        <w:t>عليه‌السلام</w:t>
      </w:r>
      <w:r w:rsidR="00E3253D" w:rsidRPr="005D642E">
        <w:rPr>
          <w:rtl/>
        </w:rPr>
        <w:t xml:space="preserve"> في بعض الأسناد. راجع : </w:t>
      </w:r>
      <w:r w:rsidR="00E3253D" w:rsidRPr="002F4D34">
        <w:rPr>
          <w:rStyle w:val="libFootnoteBoldChar"/>
          <w:rtl/>
        </w:rPr>
        <w:t>معجم رجال الحديث</w:t>
      </w:r>
      <w:r w:rsidR="00E3253D" w:rsidRPr="005D642E">
        <w:rPr>
          <w:rtl/>
        </w:rPr>
        <w:t xml:space="preserve"> ، ج 13 ، ص 378</w:t>
      </w:r>
      <w:r w:rsidR="00E3253D">
        <w:rPr>
          <w:rtl/>
        </w:rPr>
        <w:t xml:space="preserve"> </w:t>
      </w:r>
      <w:r w:rsidR="007642BC">
        <w:rPr>
          <w:rtl/>
        </w:rPr>
        <w:t>-</w:t>
      </w:r>
      <w:r w:rsidR="00E3253D">
        <w:rPr>
          <w:rtl/>
        </w:rPr>
        <w:t xml:space="preserve"> </w:t>
      </w:r>
      <w:r w:rsidR="00E3253D" w:rsidRPr="005D642E">
        <w:rPr>
          <w:rtl/>
        </w:rPr>
        <w:t xml:space="preserve">381 ؛ </w:t>
      </w:r>
      <w:r w:rsidR="00E3253D" w:rsidRPr="002F4D34">
        <w:rPr>
          <w:rStyle w:val="libFootnoteBoldChar"/>
          <w:rtl/>
        </w:rPr>
        <w:t>بصائر الدرجات</w:t>
      </w:r>
      <w:r w:rsidR="00E3253D" w:rsidRPr="005D642E">
        <w:rPr>
          <w:rtl/>
        </w:rPr>
        <w:t xml:space="preserve"> ، ص 60 ، ح 3.</w:t>
      </w:r>
    </w:p>
    <w:p w:rsidR="00E3253D" w:rsidRPr="005D642E" w:rsidRDefault="00E3253D" w:rsidP="00E3253D">
      <w:pPr>
        <w:pStyle w:val="libFootnote0"/>
        <w:rPr>
          <w:rtl/>
          <w:lang w:bidi="fa-IR"/>
        </w:rPr>
      </w:pPr>
      <w:r w:rsidRPr="00B60612">
        <w:rPr>
          <w:rtl/>
        </w:rPr>
        <w:t xml:space="preserve">وعمر بن يزيد هذا مشترك بين عمربن يزيد الصيقل وعمر بن يزيد بيّاع السابري ، وهما المذكوران في كتب الرجال. راجع : </w:t>
      </w:r>
      <w:r w:rsidRPr="002F4D34">
        <w:rPr>
          <w:rStyle w:val="libFootnoteBoldChar"/>
          <w:rtl/>
        </w:rPr>
        <w:t>رجال البرقي</w:t>
      </w:r>
      <w:r w:rsidRPr="00B60612">
        <w:rPr>
          <w:rtl/>
        </w:rPr>
        <w:t xml:space="preserve"> ، ص 36 ؛ </w:t>
      </w:r>
      <w:r w:rsidRPr="002F4D34">
        <w:rPr>
          <w:rStyle w:val="libFootnoteBoldChar"/>
          <w:rtl/>
        </w:rPr>
        <w:t>رجال الطوسي</w:t>
      </w:r>
      <w:r w:rsidRPr="00B60612">
        <w:rPr>
          <w:rtl/>
        </w:rPr>
        <w:t xml:space="preserve"> ، ص 252 ، الرقم 3541 ؛ وص 253 ، الرقم 3549 ؛ </w:t>
      </w:r>
      <w:r w:rsidRPr="002F4D34">
        <w:rPr>
          <w:rStyle w:val="libFootnoteBoldChar"/>
          <w:rtl/>
        </w:rPr>
        <w:t>رجال النجاشي</w:t>
      </w:r>
      <w:r w:rsidRPr="00B60612">
        <w:rPr>
          <w:rtl/>
        </w:rPr>
        <w:t xml:space="preserve"> ، ص 283 ، الرقم 751 ؛ وص 286 ، الرقم 763.</w:t>
      </w:r>
    </w:p>
    <w:p w:rsidR="00E3253D" w:rsidRPr="005D642E" w:rsidRDefault="00E3253D" w:rsidP="00E3253D">
      <w:pPr>
        <w:pStyle w:val="libFootnote0"/>
        <w:rPr>
          <w:rtl/>
          <w:lang w:bidi="fa-IR"/>
        </w:rPr>
      </w:pPr>
      <w:r w:rsidRPr="00B60612">
        <w:rPr>
          <w:rtl/>
        </w:rPr>
        <w:t xml:space="preserve">وأمّا ما ورد وفي </w:t>
      </w:r>
      <w:r w:rsidRPr="002F4D34">
        <w:rPr>
          <w:rStyle w:val="libFootnoteBoldChar"/>
          <w:rtl/>
        </w:rPr>
        <w:t>رجال الطوسي</w:t>
      </w:r>
      <w:r w:rsidRPr="00B60612">
        <w:rPr>
          <w:rtl/>
        </w:rPr>
        <w:t xml:space="preserve"> ، ص 251 ، الرقم ، 3513 من عمرو بن يزيد الهمداني ، فلا يعتَمَد عليه ؛ لما ورد في هامش الكتاب نقلاً من بعض النسخ ؛ من « عمرو بن فرقد » بدل « عمرو بن يزيد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w:t>
      </w:r>
      <w:r w:rsidR="000D749A" w:rsidRPr="000D749A">
        <w:rPr>
          <w:rStyle w:val="libFootnoteBoldChar"/>
          <w:rtl/>
        </w:rPr>
        <w:t>والوافي</w:t>
      </w:r>
      <w:r w:rsidR="00E3253D" w:rsidRPr="005D642E">
        <w:rPr>
          <w:rtl/>
        </w:rPr>
        <w:t xml:space="preserve"> : « منهم</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بح ، جح » : « صدقت</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البحار : « كبائر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F4C1E" w:rsidTr="009F4C1E">
        <w:tc>
          <w:tcPr>
            <w:tcW w:w="4006" w:type="dxa"/>
          </w:tcPr>
          <w:p w:rsidR="009F4C1E" w:rsidRDefault="009F4C1E" w:rsidP="00E3253D">
            <w:pPr>
              <w:pStyle w:val="libFootnote0"/>
              <w:rPr>
                <w:rStyle w:val="libFootnote0Char"/>
                <w:rtl/>
              </w:rPr>
            </w:pPr>
            <w:r w:rsidRPr="0042621E">
              <w:rPr>
                <w:rStyle w:val="libFootnote0Char"/>
                <w:rtl/>
              </w:rPr>
              <w:t>(4).</w:t>
            </w:r>
            <w:r w:rsidRPr="005D642E">
              <w:rPr>
                <w:rtl/>
              </w:rPr>
              <w:t xml:space="preserve"> في « بث » : « فكلّهم</w:t>
            </w:r>
            <w:r>
              <w:rPr>
                <w:rtl/>
              </w:rPr>
              <w:t xml:space="preserve"> ».</w:t>
            </w:r>
          </w:p>
        </w:tc>
        <w:tc>
          <w:tcPr>
            <w:tcW w:w="4006" w:type="dxa"/>
          </w:tcPr>
          <w:p w:rsidR="009F4C1E" w:rsidRDefault="009F4C1E" w:rsidP="00E3253D">
            <w:pPr>
              <w:pStyle w:val="libFootnote0"/>
              <w:rPr>
                <w:rStyle w:val="libFootnote0Char"/>
                <w:rtl/>
              </w:rPr>
            </w:pPr>
            <w:r w:rsidRPr="0042621E">
              <w:rPr>
                <w:rStyle w:val="libFootnote0Char"/>
                <w:rtl/>
              </w:rPr>
              <w:t>(5).</w:t>
            </w:r>
            <w:r w:rsidRPr="005D642E">
              <w:rPr>
                <w:rtl/>
              </w:rPr>
              <w:t xml:space="preserve"> في « بخ » : « عليهم</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بح ، جح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25 ، ص 606 ، ح 24750 ؛ </w:t>
      </w:r>
      <w:r w:rsidR="00E3253D" w:rsidRPr="002F4D34">
        <w:rPr>
          <w:rStyle w:val="libFootnoteBoldChar"/>
          <w:rtl/>
        </w:rPr>
        <w:t>البحار</w:t>
      </w:r>
      <w:r w:rsidR="00E3253D" w:rsidRPr="005D642E">
        <w:rPr>
          <w:rtl/>
        </w:rPr>
        <w:t xml:space="preserve"> ، ج 6 ، ص 267 ، ح 116.</w:t>
      </w:r>
    </w:p>
    <w:tbl>
      <w:tblPr>
        <w:tblStyle w:val="TableGrid"/>
        <w:bidiVisual/>
        <w:tblW w:w="0" w:type="auto"/>
        <w:tblLook w:val="04A0" w:firstRow="1" w:lastRow="0" w:firstColumn="1" w:lastColumn="0" w:noHBand="0" w:noVBand="1"/>
      </w:tblPr>
      <w:tblGrid>
        <w:gridCol w:w="4006"/>
        <w:gridCol w:w="4006"/>
      </w:tblGrid>
      <w:tr w:rsidR="009F4C1E" w:rsidTr="009F4C1E">
        <w:tc>
          <w:tcPr>
            <w:tcW w:w="4006" w:type="dxa"/>
          </w:tcPr>
          <w:p w:rsidR="009F4C1E" w:rsidRDefault="009F4C1E" w:rsidP="00E3253D">
            <w:pPr>
              <w:pStyle w:val="libFootnote0"/>
              <w:rPr>
                <w:rStyle w:val="libFootnote0Char"/>
                <w:rtl/>
              </w:rPr>
            </w:pPr>
            <w:r w:rsidRPr="0042621E">
              <w:rPr>
                <w:rStyle w:val="libFootnote0Char"/>
                <w:rtl/>
              </w:rPr>
              <w:t>(8).</w:t>
            </w:r>
            <w:r w:rsidRPr="005D642E">
              <w:rPr>
                <w:rtl/>
              </w:rPr>
              <w:t xml:space="preserve"> في « ى ، بث » :</w:t>
            </w:r>
            <w:r>
              <w:rPr>
                <w:rtl/>
              </w:rPr>
              <w:t xml:space="preserve"> - </w:t>
            </w:r>
            <w:r w:rsidRPr="005D642E">
              <w:rPr>
                <w:rtl/>
              </w:rPr>
              <w:t>« في</w:t>
            </w:r>
            <w:r>
              <w:rPr>
                <w:rtl/>
              </w:rPr>
              <w:t xml:space="preserve"> ».</w:t>
            </w:r>
          </w:p>
        </w:tc>
        <w:tc>
          <w:tcPr>
            <w:tcW w:w="4006" w:type="dxa"/>
          </w:tcPr>
          <w:p w:rsidR="009F4C1E" w:rsidRDefault="009F4C1E" w:rsidP="00E3253D">
            <w:pPr>
              <w:pStyle w:val="libFootnote0"/>
              <w:rPr>
                <w:rStyle w:val="libFootnote0Char"/>
                <w:rtl/>
              </w:rPr>
            </w:pPr>
            <w:r w:rsidRPr="0042621E">
              <w:rPr>
                <w:rStyle w:val="libFootnote0Char"/>
                <w:rtl/>
              </w:rPr>
              <w:t>(9).</w:t>
            </w:r>
            <w:r w:rsidRPr="005D642E">
              <w:rPr>
                <w:rtl/>
              </w:rPr>
              <w:t xml:space="preserve"> هكذا في</w:t>
            </w:r>
            <w:r>
              <w:rPr>
                <w:rtl/>
              </w:rPr>
              <w:t xml:space="preserve"> النسخ. وفي المطبوع والبحار: «</w:t>
            </w:r>
            <w:r w:rsidRPr="005D642E">
              <w:rPr>
                <w:rtl/>
              </w:rPr>
              <w:t>الحسين</w:t>
            </w:r>
            <w:r>
              <w:rPr>
                <w:rtl/>
              </w:rPr>
              <w:t>».</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الْمُرْتَجِلِ بْنِ مَعْمَرٍ ، عَنْ ذَرِيحٍ الْمُحَارِبِيِّ ، عَنْ عَبَايَةَ </w:t>
      </w:r>
      <w:r w:rsidRPr="007C12DB">
        <w:rPr>
          <w:rStyle w:val="libFootnotenumChar"/>
          <w:rtl/>
        </w:rPr>
        <w:t>(1)</w:t>
      </w:r>
      <w:r w:rsidRPr="005D642E">
        <w:rPr>
          <w:rtl/>
          <w:lang w:bidi="fa-IR"/>
        </w:rPr>
        <w:t xml:space="preserve"> الْأَسَدِيِّ ، عَنْ حَبَّةَ الْعُرَنِيِّ ، قَالَ :</w:t>
      </w:r>
    </w:p>
    <w:p w:rsidR="00E3253D" w:rsidRPr="005D642E" w:rsidRDefault="00E3253D" w:rsidP="00E3253D">
      <w:pPr>
        <w:pStyle w:val="libNormal"/>
        <w:rPr>
          <w:rtl/>
          <w:lang w:bidi="fa-IR"/>
        </w:rPr>
      </w:pPr>
      <w:r w:rsidRPr="005D642E">
        <w:rPr>
          <w:rtl/>
          <w:lang w:bidi="fa-IR"/>
        </w:rPr>
        <w:t xml:space="preserve">خَرَجْتُ مَعَ أَمِيرِ الْمُؤْمِنِينَ </w:t>
      </w:r>
      <w:r w:rsidRPr="00AC51C5">
        <w:rPr>
          <w:rStyle w:val="libAlaemChar"/>
          <w:rtl/>
        </w:rPr>
        <w:t>عليه‌السلام</w:t>
      </w:r>
      <w:r w:rsidRPr="005D642E">
        <w:rPr>
          <w:rtl/>
          <w:lang w:bidi="fa-IR"/>
        </w:rPr>
        <w:t xml:space="preserve"> إِلَى الظَّهْرِ </w:t>
      </w:r>
      <w:r w:rsidRPr="007C12DB">
        <w:rPr>
          <w:rStyle w:val="libFootnotenumChar"/>
          <w:rtl/>
        </w:rPr>
        <w:t>(2)</w:t>
      </w:r>
      <w:r w:rsidRPr="005D642E">
        <w:rPr>
          <w:rtl/>
          <w:lang w:bidi="fa-IR"/>
        </w:rPr>
        <w:t xml:space="preserve"> ، فَوَقَفَ بِوَادِي السَّلَامِ كَأَنَّهُ مُخَاطِبٌ </w:t>
      </w:r>
      <w:r w:rsidRPr="007C12DB">
        <w:rPr>
          <w:rStyle w:val="libFootnotenumChar"/>
          <w:rtl/>
        </w:rPr>
        <w:t>(3)</w:t>
      </w:r>
      <w:r w:rsidRPr="005D642E">
        <w:rPr>
          <w:rtl/>
          <w:lang w:bidi="fa-IR"/>
        </w:rPr>
        <w:t xml:space="preserve"> لِأَقْوَامٍ ، فَقُمْتُ بِقِيَامِهِ حَتّى أَعْيَيْتُ </w:t>
      </w:r>
      <w:r w:rsidRPr="007C12DB">
        <w:rPr>
          <w:rStyle w:val="libFootnotenumChar"/>
          <w:rtl/>
        </w:rPr>
        <w:t>(4)</w:t>
      </w:r>
      <w:r w:rsidRPr="005D642E">
        <w:rPr>
          <w:rtl/>
          <w:lang w:bidi="fa-IR"/>
        </w:rPr>
        <w:t xml:space="preserve"> ، ثُمَّ جَلَسْتُ حَتّى مَلِلْتُ ، ثُمَّ قُمْتُ حَتّى نَالَنِي مِثْلُ مَا نَالَنِي أَوَّلاً ، ثُمَّ جَلَسْتُ حَتّى مَلِلْتُ ، ثُمَّ قُمْتُ </w:t>
      </w:r>
      <w:r w:rsidRPr="007C12DB">
        <w:rPr>
          <w:rStyle w:val="libFootnotenumChar"/>
          <w:rtl/>
        </w:rPr>
        <w:t>(5)</w:t>
      </w:r>
      <w:r w:rsidRPr="005D642E">
        <w:rPr>
          <w:rtl/>
          <w:lang w:bidi="fa-IR"/>
        </w:rPr>
        <w:t xml:space="preserve"> وَجَمَعْتُ رِدَائِي ، فَقُلْتُ : يَا أَمِيرَ الْمُؤْمِنِينَ ، إِنِّي قَدْ أَشْفَقْتُ عَلَيْكَ مِنْ طُولِ الْقِيَامِ ، فَرَاحَةَ سَاعَةٍ </w:t>
      </w:r>
      <w:r w:rsidRPr="007C12DB">
        <w:rPr>
          <w:rStyle w:val="libFootnotenumChar"/>
          <w:rtl/>
        </w:rPr>
        <w:t>(6)</w:t>
      </w:r>
      <w:r w:rsidRPr="005D642E">
        <w:rPr>
          <w:rtl/>
          <w:lang w:bidi="fa-IR"/>
        </w:rPr>
        <w:t xml:space="preserve"> ، ثُمَّ طَرَحْتُ </w:t>
      </w:r>
      <w:r w:rsidRPr="007C12DB">
        <w:rPr>
          <w:rStyle w:val="libFootnotenumChar"/>
          <w:rtl/>
        </w:rPr>
        <w:t>(7)</w:t>
      </w:r>
      <w:r w:rsidRPr="005D642E">
        <w:rPr>
          <w:rtl/>
          <w:lang w:bidi="fa-IR"/>
        </w:rPr>
        <w:t xml:space="preserve"> الرِّدَاءَ لِيَجْلِسَ عَلَيْهِ ، فَقَالَ لِي </w:t>
      </w:r>
      <w:r w:rsidRPr="007C12DB">
        <w:rPr>
          <w:rStyle w:val="libFootnotenumChar"/>
          <w:rtl/>
        </w:rPr>
        <w:t>(8)</w:t>
      </w:r>
      <w:r w:rsidRPr="005D642E">
        <w:rPr>
          <w:rtl/>
          <w:lang w:bidi="fa-IR"/>
        </w:rPr>
        <w:t xml:space="preserve"> : </w:t>
      </w:r>
      <w:r w:rsidR="009F4C1E">
        <w:rPr>
          <w:rtl/>
          <w:lang w:bidi="fa-IR"/>
        </w:rPr>
        <w:t>« يَا حَبَّةُ ، إِنْ هُوَ إِل</w:t>
      </w:r>
      <w:r w:rsidR="009F4C1E">
        <w:rPr>
          <w:rFonts w:hint="cs"/>
          <w:rtl/>
          <w:lang w:bidi="fa-IR"/>
        </w:rPr>
        <w:t>َّ</w:t>
      </w:r>
      <w:r w:rsidR="009F4C1E">
        <w:rPr>
          <w:rtl/>
          <w:lang w:bidi="fa-IR"/>
        </w:rPr>
        <w:t>ا</w:t>
      </w:r>
      <w:r w:rsidRPr="005D642E">
        <w:rPr>
          <w:rtl/>
          <w:lang w:bidi="fa-IR"/>
        </w:rPr>
        <w:t xml:space="preserve"> مُحَادَثَةُ مُؤْمِنٍ ، أَوْ مُؤَانَسَتُهُ</w:t>
      </w:r>
      <w:r>
        <w:rPr>
          <w:rtl/>
          <w:lang w:bidi="fa-IR"/>
        </w:rPr>
        <w:t xml:space="preserve"> ».</w:t>
      </w:r>
    </w:p>
    <w:p w:rsidR="00E3253D" w:rsidRPr="005D642E" w:rsidRDefault="00E3253D" w:rsidP="00E3253D">
      <w:pPr>
        <w:pStyle w:val="libNormal"/>
        <w:rPr>
          <w:rtl/>
          <w:lang w:bidi="fa-IR"/>
        </w:rPr>
      </w:pPr>
      <w:r w:rsidRPr="005D642E">
        <w:rPr>
          <w:rtl/>
          <w:lang w:bidi="fa-IR"/>
        </w:rPr>
        <w:t>قَالَ : قُلْتُ : يَا أَمِيرَ الْمُؤْمِنِينَ ، وَإِنَّهُمْ لَكَذلِكَ</w:t>
      </w:r>
      <w:r>
        <w:rPr>
          <w:rtl/>
          <w:lang w:bidi="fa-IR"/>
        </w:rPr>
        <w:t>؟</w:t>
      </w:r>
    </w:p>
    <w:p w:rsidR="00E3253D" w:rsidRPr="005D642E" w:rsidRDefault="00E3253D" w:rsidP="00E3253D">
      <w:pPr>
        <w:pStyle w:val="libNormal"/>
        <w:rPr>
          <w:rtl/>
          <w:lang w:bidi="fa-IR"/>
        </w:rPr>
      </w:pPr>
      <w:r w:rsidRPr="005D642E">
        <w:rPr>
          <w:rtl/>
          <w:lang w:bidi="fa-IR"/>
        </w:rPr>
        <w:t xml:space="preserve">قَالَ : « نَعَمْ </w:t>
      </w:r>
      <w:r w:rsidRPr="007C12DB">
        <w:rPr>
          <w:rStyle w:val="libFootnotenumChar"/>
          <w:rtl/>
        </w:rPr>
        <w:t>(9)</w:t>
      </w:r>
      <w:r w:rsidRPr="005D642E">
        <w:rPr>
          <w:rtl/>
          <w:lang w:bidi="fa-IR"/>
        </w:rPr>
        <w:t xml:space="preserve"> ، وَلَوْ كُشِفَ </w:t>
      </w:r>
      <w:r w:rsidRPr="007C12DB">
        <w:rPr>
          <w:rStyle w:val="libFootnotenumChar"/>
          <w:rtl/>
        </w:rPr>
        <w:t>(10)</w:t>
      </w:r>
      <w:r w:rsidRPr="005D642E">
        <w:rPr>
          <w:rtl/>
          <w:lang w:bidi="fa-IR"/>
        </w:rPr>
        <w:t xml:space="preserve"> لَكَ لَرَأَيْتَهُمْ حَلَقاً حَلَقاً‌</w:t>
      </w:r>
      <w:r w:rsidR="009F4C1E">
        <w:rPr>
          <w:rFonts w:hint="cs"/>
          <w:rtl/>
          <w:lang w:bidi="fa-IR"/>
        </w:rPr>
        <w:t xml:space="preserve"> .......................</w:t>
      </w:r>
      <w:r w:rsidR="009F4C1E">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هكذا في « بث ، بس ، جس » وحاشية « جح » </w:t>
      </w:r>
      <w:r w:rsidR="000D749A" w:rsidRPr="000D749A">
        <w:rPr>
          <w:rStyle w:val="libFootnoteBoldChar"/>
          <w:rtl/>
        </w:rPr>
        <w:t>والوافي</w:t>
      </w:r>
      <w:r w:rsidR="00E3253D" w:rsidRPr="005D642E">
        <w:rPr>
          <w:rtl/>
        </w:rPr>
        <w:t xml:space="preserve"> والبحار. وفي « ظ ، ى ، بح ، بخ ، جح ، جن » والمطبوع : « عبادة</w:t>
      </w:r>
      <w:r w:rsidR="00E3253D">
        <w:rPr>
          <w:rtl/>
        </w:rPr>
        <w:t xml:space="preserve"> ».</w:t>
      </w:r>
    </w:p>
    <w:p w:rsidR="00E3253D" w:rsidRPr="005D642E" w:rsidRDefault="00E3253D" w:rsidP="00E3253D">
      <w:pPr>
        <w:pStyle w:val="libFootnote0"/>
        <w:rPr>
          <w:rtl/>
          <w:lang w:bidi="fa-IR"/>
        </w:rPr>
      </w:pPr>
      <w:r w:rsidRPr="00B60612">
        <w:rPr>
          <w:rtl/>
        </w:rPr>
        <w:t xml:space="preserve">والظاهر أنّ الصواب ما أثبتناه ؛ فإنّ عبادة الأسَدي منصرف إلى عبادة بن زياد الأسَدي الكوفي الذي ذكره الذهبي في </w:t>
      </w:r>
      <w:r w:rsidRPr="002F4D34">
        <w:rPr>
          <w:rStyle w:val="libFootnoteBoldChar"/>
          <w:rtl/>
        </w:rPr>
        <w:t>تاريخ الإسلام</w:t>
      </w:r>
      <w:r w:rsidRPr="00B60612">
        <w:rPr>
          <w:rtl/>
        </w:rPr>
        <w:t xml:space="preserve"> ، ج 17 ، ص 208 ، الر قم 198 ، في من توفّي سنة 231 ، وهو متّحد مع عَبَادة بن زياد الأسَدِي الذي ترجم له النجاشي في رجاله ، ص 304 ، الر قم 830 ونسب إليه كتاباً رواه حميد بن زياد ، عن إبراهيم بن سليمان النِّهمي عنه.</w:t>
      </w:r>
    </w:p>
    <w:p w:rsidR="00E3253D" w:rsidRPr="005D642E" w:rsidRDefault="00E3253D" w:rsidP="00B60612">
      <w:pPr>
        <w:pStyle w:val="libFootnote0"/>
        <w:rPr>
          <w:rtl/>
          <w:lang w:bidi="fa-IR"/>
        </w:rPr>
      </w:pPr>
      <w:r w:rsidRPr="0095070A">
        <w:rPr>
          <w:rtl/>
        </w:rPr>
        <w:t>وأمّا حبة العرني</w:t>
      </w:r>
      <w:r>
        <w:rPr>
          <w:rtl/>
        </w:rPr>
        <w:t xml:space="preserve"> </w:t>
      </w:r>
      <w:r w:rsidR="007642BC">
        <w:rPr>
          <w:rtl/>
        </w:rPr>
        <w:t>-</w:t>
      </w:r>
      <w:r>
        <w:rPr>
          <w:rtl/>
        </w:rPr>
        <w:t xml:space="preserve"> </w:t>
      </w:r>
      <w:r w:rsidRPr="0095070A">
        <w:rPr>
          <w:rtl/>
        </w:rPr>
        <w:t>وهو ابن جوين</w:t>
      </w:r>
      <w:r>
        <w:rPr>
          <w:rtl/>
        </w:rPr>
        <w:t xml:space="preserve"> </w:t>
      </w:r>
      <w:r w:rsidR="007642BC">
        <w:rPr>
          <w:rtl/>
        </w:rPr>
        <w:t>-</w:t>
      </w:r>
      <w:r>
        <w:rPr>
          <w:rtl/>
        </w:rPr>
        <w:t xml:space="preserve"> </w:t>
      </w:r>
      <w:r w:rsidRPr="0095070A">
        <w:rPr>
          <w:rtl/>
        </w:rPr>
        <w:t>فأكثر ما قيل في سنة وفاته ، هي سنة 79 ، فيستبعد جدّاً رواية عبادة بن زياد عنه.</w:t>
      </w:r>
    </w:p>
    <w:p w:rsidR="00E3253D" w:rsidRPr="005D642E" w:rsidRDefault="00E3253D" w:rsidP="009F4C1E">
      <w:pPr>
        <w:pStyle w:val="libFootnote0"/>
        <w:rPr>
          <w:rtl/>
          <w:lang w:bidi="fa-IR"/>
        </w:rPr>
      </w:pPr>
      <w:r w:rsidRPr="00B60612">
        <w:rPr>
          <w:rtl/>
        </w:rPr>
        <w:t xml:space="preserve">وعَباية الأسدي. هو عباية بن ربعيّ الذي عُدّ من أصحاب أمير المؤمنين </w:t>
      </w:r>
      <w:r w:rsidRPr="009F4C1E">
        <w:rPr>
          <w:rStyle w:val="libFootnoteAlaemChar"/>
          <w:rtl/>
        </w:rPr>
        <w:t>عليه‌السلام</w:t>
      </w:r>
      <w:r w:rsidRPr="00B60612">
        <w:rPr>
          <w:rtl/>
        </w:rPr>
        <w:t xml:space="preserve">. وروى في مائة منقبة لابن شاذان ، ص 18 بعنوان عباية عن حبّة العرني عن أمير المؤمنين عليّ بن أبي طالب </w:t>
      </w:r>
      <w:r w:rsidRPr="009F4C1E">
        <w:rPr>
          <w:rStyle w:val="libFootnoteAlaemChar"/>
          <w:rtl/>
        </w:rPr>
        <w:t>عليه‌السلام</w:t>
      </w:r>
      <w:r w:rsidRPr="00B60612">
        <w:rPr>
          <w:rtl/>
        </w:rPr>
        <w:t xml:space="preserve">. راجع : </w:t>
      </w:r>
      <w:r w:rsidRPr="002F4D34">
        <w:rPr>
          <w:rStyle w:val="libFootnoteBoldChar"/>
          <w:rtl/>
        </w:rPr>
        <w:t>رجال البرقي</w:t>
      </w:r>
      <w:r w:rsidRPr="00B60612">
        <w:rPr>
          <w:rtl/>
        </w:rPr>
        <w:t xml:space="preserve"> ، ص 5 ؛ </w:t>
      </w:r>
      <w:r w:rsidRPr="002F4D34">
        <w:rPr>
          <w:rStyle w:val="libFootnoteBoldChar"/>
          <w:rtl/>
        </w:rPr>
        <w:t>رجال الطوسي</w:t>
      </w:r>
      <w:r w:rsidRPr="00B60612">
        <w:rPr>
          <w:rtl/>
        </w:rPr>
        <w:t xml:space="preserve"> ، ص 71 ، الر قم 656.</w:t>
      </w:r>
      <w:r w:rsidR="009F4C1E">
        <w:rPr>
          <w:rFonts w:hint="cs"/>
          <w:rtl/>
        </w:rPr>
        <w:t xml:space="preserve">               </w:t>
      </w:r>
      <w:r w:rsidR="001F7EDD">
        <w:rPr>
          <w:rFonts w:hint="cs"/>
          <w:rtl/>
        </w:rPr>
        <w:t xml:space="preserve">         </w:t>
      </w:r>
      <w:r w:rsidR="0042621E" w:rsidRPr="0042621E">
        <w:rPr>
          <w:rStyle w:val="libFootnote0Char"/>
          <w:rtl/>
        </w:rPr>
        <w:t>(2).</w:t>
      </w:r>
      <w:r w:rsidRPr="005D642E">
        <w:rPr>
          <w:rtl/>
        </w:rPr>
        <w:t xml:space="preserve"> في </w:t>
      </w:r>
      <w:r w:rsidRPr="002F4D34">
        <w:rPr>
          <w:rStyle w:val="libFootnoteBoldChar"/>
          <w:rtl/>
        </w:rPr>
        <w:t>مرآة العقول</w:t>
      </w:r>
      <w:r w:rsidR="001F7EDD">
        <w:rPr>
          <w:rtl/>
        </w:rPr>
        <w:t xml:space="preserve"> : «</w:t>
      </w:r>
      <w:r w:rsidRPr="005D642E">
        <w:rPr>
          <w:rtl/>
        </w:rPr>
        <w:t>إلى الظهر ، أي ظهر الكوفة</w:t>
      </w:r>
      <w:r>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 « مخاطباً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أعييتُ » أي كللت وتعبت. راجع : </w:t>
      </w:r>
      <w:r w:rsidR="00E3253D" w:rsidRPr="002F4D34">
        <w:rPr>
          <w:rStyle w:val="libFootnoteBoldChar"/>
          <w:rtl/>
        </w:rPr>
        <w:t>لسان العرب</w:t>
      </w:r>
      <w:r w:rsidR="00E3253D" w:rsidRPr="005D642E">
        <w:rPr>
          <w:rtl/>
        </w:rPr>
        <w:t xml:space="preserve"> ، ج 15 ص 112 ( عيا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حتّى نالني</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ثمّ قمت</w:t>
      </w:r>
      <w:r w:rsidR="00E3253D">
        <w:rPr>
          <w:rtl/>
        </w:rPr>
        <w:t xml:space="preserve"> ».</w:t>
      </w:r>
    </w:p>
    <w:p w:rsidR="00E3253D" w:rsidRPr="005D642E" w:rsidRDefault="0042621E" w:rsidP="009F4C1E">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مرآة العقول</w:t>
      </w:r>
      <w:r w:rsidR="00E3253D" w:rsidRPr="005D642E">
        <w:rPr>
          <w:rtl/>
        </w:rPr>
        <w:t xml:space="preserve"> : « فراحة ساعة ، منصوب بفعل مقدّر ، أي اطلب ، أو أطلب راحة ساعة ؛ أو مرفوع والخبر</w:t>
      </w:r>
      <w:r w:rsidR="009F4C1E">
        <w:rPr>
          <w:rFonts w:hint="cs"/>
          <w:rtl/>
        </w:rPr>
        <w:t xml:space="preserve"> </w:t>
      </w:r>
      <w:r w:rsidR="00E3253D" w:rsidRPr="005D642E">
        <w:rPr>
          <w:rtl/>
        </w:rPr>
        <w:t>مقدّر ، أي أولى وأحرى</w:t>
      </w:r>
      <w:r w:rsidR="00E3253D">
        <w:rPr>
          <w:rtl/>
        </w:rPr>
        <w:t xml:space="preserve"> ».</w:t>
      </w:r>
      <w:r w:rsidR="009F4C1E">
        <w:rPr>
          <w:rFonts w:hint="cs"/>
          <w:rtl/>
        </w:rPr>
        <w:t xml:space="preserve">                                 </w:t>
      </w:r>
      <w:r w:rsidRPr="0042621E">
        <w:rPr>
          <w:rStyle w:val="libFootnote0Char"/>
          <w:rtl/>
        </w:rPr>
        <w:t>(7).</w:t>
      </w:r>
      <w:r w:rsidR="00E3253D" w:rsidRPr="005D642E">
        <w:rPr>
          <w:rtl/>
        </w:rPr>
        <w:t xml:space="preserve"> في « بث ، جس </w:t>
      </w:r>
      <w:r w:rsidR="00E3253D" w:rsidRPr="009F4C1E">
        <w:rPr>
          <w:rtl/>
        </w:rPr>
        <w:t xml:space="preserve">» </w:t>
      </w:r>
      <w:r w:rsidR="000D749A" w:rsidRPr="009F4C1E">
        <w:rPr>
          <w:rtl/>
        </w:rPr>
        <w:t>والوافي</w:t>
      </w:r>
      <w:r w:rsidR="00E3253D" w:rsidRPr="005D642E">
        <w:rPr>
          <w:rtl/>
        </w:rPr>
        <w:t xml:space="preserve"> : « وطرحت</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F4C1E" w:rsidTr="009F4C1E">
        <w:tc>
          <w:tcPr>
            <w:tcW w:w="4006" w:type="dxa"/>
          </w:tcPr>
          <w:p w:rsidR="009F4C1E" w:rsidRDefault="009F4C1E" w:rsidP="00E3253D">
            <w:pPr>
              <w:pStyle w:val="libFootnote0"/>
              <w:rPr>
                <w:rStyle w:val="libFootnote0Char"/>
                <w:rtl/>
              </w:rPr>
            </w:pPr>
            <w:r w:rsidRPr="0042621E">
              <w:rPr>
                <w:rStyle w:val="libFootnote0Char"/>
                <w:rtl/>
              </w:rPr>
              <w:t>(8).</w:t>
            </w:r>
            <w:r w:rsidRPr="005D642E">
              <w:rPr>
                <w:rtl/>
              </w:rPr>
              <w:t xml:space="preserve"> في الوافي والبحار :</w:t>
            </w:r>
            <w:r>
              <w:rPr>
                <w:rtl/>
              </w:rPr>
              <w:t xml:space="preserve"> - </w:t>
            </w:r>
            <w:r w:rsidRPr="005D642E">
              <w:rPr>
                <w:rtl/>
              </w:rPr>
              <w:t>« لي</w:t>
            </w:r>
            <w:r>
              <w:rPr>
                <w:rtl/>
              </w:rPr>
              <w:t xml:space="preserve"> ».</w:t>
            </w:r>
          </w:p>
        </w:tc>
        <w:tc>
          <w:tcPr>
            <w:tcW w:w="4006" w:type="dxa"/>
          </w:tcPr>
          <w:p w:rsidR="009F4C1E" w:rsidRDefault="009F4C1E" w:rsidP="00E3253D">
            <w:pPr>
              <w:pStyle w:val="libFootnote0"/>
              <w:rPr>
                <w:rStyle w:val="libFootnote0Char"/>
                <w:rtl/>
              </w:rPr>
            </w:pPr>
            <w:r w:rsidRPr="0042621E">
              <w:rPr>
                <w:rStyle w:val="libFootnote0Char"/>
                <w:rtl/>
              </w:rPr>
              <w:t>(9).</w:t>
            </w:r>
            <w:r w:rsidRPr="005D642E">
              <w:rPr>
                <w:rtl/>
              </w:rPr>
              <w:t xml:space="preserve"> في « ى » :</w:t>
            </w:r>
            <w:r>
              <w:rPr>
                <w:rtl/>
              </w:rPr>
              <w:t xml:space="preserve"> - </w:t>
            </w:r>
            <w:r w:rsidRPr="005D642E">
              <w:rPr>
                <w:rtl/>
              </w:rPr>
              <w:t>« نعم</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 « كشفت الغطاء</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مُحْتَبِينَ </w:t>
      </w:r>
      <w:r w:rsidRPr="007C12DB">
        <w:rPr>
          <w:rStyle w:val="libFootnotenumChar"/>
          <w:rtl/>
        </w:rPr>
        <w:t>(1)</w:t>
      </w:r>
      <w:r w:rsidRPr="005D642E">
        <w:rPr>
          <w:rtl/>
          <w:lang w:bidi="fa-IR"/>
        </w:rPr>
        <w:t xml:space="preserve"> يَتَحَادَثُونَ</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D642E">
        <w:rPr>
          <w:rtl/>
          <w:lang w:bidi="fa-IR"/>
        </w:rPr>
        <w:t>فَقُلْتُ : أَجْسَامٌ ، أَمْ أَرْوَاحٌ</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(3)</w:t>
      </w:r>
      <w:r w:rsidRPr="005D642E">
        <w:rPr>
          <w:rtl/>
          <w:lang w:bidi="fa-IR"/>
        </w:rPr>
        <w:t xml:space="preserve"> : « أَرْوَاحٌ ، وَمَا مِنْ </w:t>
      </w:r>
      <w:r w:rsidRPr="007C12DB">
        <w:rPr>
          <w:rStyle w:val="libFootnotenumChar"/>
          <w:rtl/>
        </w:rPr>
        <w:t>(4)</w:t>
      </w:r>
      <w:r w:rsidRPr="005D642E">
        <w:rPr>
          <w:rtl/>
          <w:lang w:bidi="fa-IR"/>
        </w:rPr>
        <w:t xml:space="preserve"> مُؤْمِنٍ يَمُوتُ فِي بُقْعَ</w:t>
      </w:r>
      <w:r w:rsidR="009F4C1E">
        <w:rPr>
          <w:rtl/>
          <w:lang w:bidi="fa-IR"/>
        </w:rPr>
        <w:t>ةٍ مِنْ بِقَاعِ الْأَرْضِ إِل</w:t>
      </w:r>
      <w:r w:rsidR="009F4C1E">
        <w:rPr>
          <w:rFonts w:hint="cs"/>
          <w:rtl/>
          <w:lang w:bidi="fa-IR"/>
        </w:rPr>
        <w:t>َّ</w:t>
      </w:r>
      <w:r w:rsidR="009F4C1E">
        <w:rPr>
          <w:rtl/>
          <w:lang w:bidi="fa-IR"/>
        </w:rPr>
        <w:t>ا</w:t>
      </w:r>
      <w:r w:rsidRPr="005D642E">
        <w:rPr>
          <w:rtl/>
          <w:lang w:bidi="fa-IR"/>
        </w:rPr>
        <w:t xml:space="preserve"> قِيلَ لِرُوحِهِ :</w:t>
      </w:r>
      <w:r>
        <w:rPr>
          <w:rFonts w:hint="cs"/>
          <w:rtl/>
          <w:lang w:bidi="fa-IR"/>
        </w:rPr>
        <w:t xml:space="preserve"> </w:t>
      </w:r>
      <w:r w:rsidRPr="005D642E">
        <w:rPr>
          <w:rtl/>
          <w:lang w:bidi="fa-IR"/>
        </w:rPr>
        <w:t>الْحَقِي بِوَادِي السَّلَامِ ، وَإِنَّهَا لَبُقْعَةٌ مِنْ جَنَّةِ عَدْنٍ</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6E4CAA">
        <w:rPr>
          <w:rtl/>
        </w:rPr>
        <w:t>4717</w:t>
      </w:r>
      <w:r w:rsidRPr="00246318">
        <w:rPr>
          <w:rStyle w:val="libBold2Char"/>
          <w:rtl/>
        </w:rPr>
        <w:t xml:space="preserve"> / 2.</w:t>
      </w:r>
      <w:r w:rsidRPr="005D642E">
        <w:rPr>
          <w:rtl/>
          <w:lang w:bidi="fa-IR"/>
        </w:rPr>
        <w:t xml:space="preserve"> عِدَّةٌ مِنْ أَصْحَابِنَا ، عَنْ سَهْلِ بْنِ زِيَادٍ ، عَنِ الْحَسَنِ بْنِ عَلِيٍّ ، عَنْ أَحْمَدَ بْنِ عُمَرَ رَفَعَهُ :</w:t>
      </w:r>
    </w:p>
    <w:p w:rsidR="00E3253D" w:rsidRPr="005D642E" w:rsidRDefault="00E3253D" w:rsidP="00E3253D">
      <w:pPr>
        <w:pStyle w:val="libNormal"/>
        <w:rPr>
          <w:rtl/>
          <w:lang w:bidi="fa-IR"/>
        </w:rPr>
      </w:pPr>
      <w:r w:rsidRPr="005D642E">
        <w:rPr>
          <w:rtl/>
          <w:lang w:bidi="fa-IR"/>
        </w:rPr>
        <w:t xml:space="preserve">عَنْ </w:t>
      </w:r>
      <w:r w:rsidRPr="007C12DB">
        <w:rPr>
          <w:rStyle w:val="libFootnotenumChar"/>
          <w:rtl/>
        </w:rPr>
        <w:t>(6)</w:t>
      </w:r>
      <w:r w:rsidRPr="005D642E">
        <w:rPr>
          <w:rtl/>
          <w:lang w:bidi="fa-IR"/>
        </w:rPr>
        <w:t xml:space="preserve"> أَبِي عَبْدِ اللهِ </w:t>
      </w:r>
      <w:r w:rsidRPr="00AC51C5">
        <w:rPr>
          <w:rStyle w:val="libAlaemChar"/>
          <w:rtl/>
        </w:rPr>
        <w:t>عليه‌السلام</w:t>
      </w:r>
      <w:r w:rsidRPr="005D642E">
        <w:rPr>
          <w:rtl/>
          <w:lang w:bidi="fa-IR"/>
        </w:rPr>
        <w:t xml:space="preserve"> ، قَالَ : قُلْتُ لَهُ : إِنَّ أَخِي بِبَغْدَادَ ، وَأَخَافُ أَنْ يَمُوتَ بِهَا</w:t>
      </w:r>
      <w:r>
        <w:rPr>
          <w:rtl/>
          <w:lang w:bidi="fa-IR"/>
        </w:rPr>
        <w:t>؟</w:t>
      </w:r>
    </w:p>
    <w:p w:rsidR="00E3253D" w:rsidRPr="005D642E" w:rsidRDefault="00E3253D" w:rsidP="00E3253D">
      <w:pPr>
        <w:pStyle w:val="libNormal"/>
        <w:rPr>
          <w:rtl/>
          <w:lang w:bidi="fa-IR"/>
        </w:rPr>
      </w:pPr>
      <w:r w:rsidRPr="005D642E">
        <w:rPr>
          <w:rtl/>
          <w:lang w:bidi="fa-IR"/>
        </w:rPr>
        <w:t xml:space="preserve">فَقَالَ : « مَا تُبَالِي </w:t>
      </w:r>
      <w:r w:rsidRPr="007C12DB">
        <w:rPr>
          <w:rStyle w:val="libFootnotenumChar"/>
          <w:rtl/>
        </w:rPr>
        <w:t>(7)</w:t>
      </w:r>
      <w:r w:rsidRPr="005D642E">
        <w:rPr>
          <w:rtl/>
          <w:lang w:bidi="fa-IR"/>
        </w:rPr>
        <w:t xml:space="preserve"> حَيْثُمَا </w:t>
      </w:r>
      <w:r w:rsidRPr="007C12DB">
        <w:rPr>
          <w:rStyle w:val="libFootnotenumChar"/>
          <w:rtl/>
        </w:rPr>
        <w:t>(8)</w:t>
      </w:r>
      <w:r w:rsidRPr="005D642E">
        <w:rPr>
          <w:rtl/>
          <w:lang w:bidi="fa-IR"/>
        </w:rPr>
        <w:t xml:space="preserve"> مَاتَ ، أَمَا </w:t>
      </w:r>
      <w:r w:rsidRPr="007C12DB">
        <w:rPr>
          <w:rStyle w:val="libFootnotenumChar"/>
          <w:rtl/>
        </w:rPr>
        <w:t>(9)</w:t>
      </w:r>
      <w:r w:rsidRPr="005D642E">
        <w:rPr>
          <w:rtl/>
          <w:lang w:bidi="fa-IR"/>
        </w:rPr>
        <w:t xml:space="preserve"> إِنَّهُ لَايَبْقى مُؤْمِنٌ فِي شَر</w:t>
      </w:r>
      <w:r w:rsidR="009F4C1E">
        <w:rPr>
          <w:rtl/>
          <w:lang w:bidi="fa-IR"/>
        </w:rPr>
        <w:t>ْقِ الْأَرْضِ وَغَرْبِهَا إِل</w:t>
      </w:r>
      <w:r w:rsidR="009F4C1E">
        <w:rPr>
          <w:rFonts w:hint="cs"/>
          <w:rtl/>
          <w:lang w:bidi="fa-IR"/>
        </w:rPr>
        <w:t>َّ</w:t>
      </w:r>
      <w:r w:rsidR="009F4C1E">
        <w:rPr>
          <w:rtl/>
          <w:lang w:bidi="fa-IR"/>
        </w:rPr>
        <w:t>ا</w:t>
      </w:r>
      <w:r w:rsidRPr="005D642E">
        <w:rPr>
          <w:rtl/>
          <w:lang w:bidi="fa-IR"/>
        </w:rPr>
        <w:t xml:space="preserve"> حَشَرَ </w:t>
      </w:r>
      <w:r w:rsidRPr="007C12DB">
        <w:rPr>
          <w:rStyle w:val="libFootnotenumChar"/>
          <w:rtl/>
        </w:rPr>
        <w:t>(10)</w:t>
      </w:r>
      <w:r w:rsidRPr="005D642E">
        <w:rPr>
          <w:rtl/>
          <w:lang w:bidi="fa-IR"/>
        </w:rPr>
        <w:t xml:space="preserve"> اللهُ رُوحَهُ إِلى </w:t>
      </w:r>
      <w:r w:rsidRPr="007C12DB">
        <w:rPr>
          <w:rStyle w:val="libFootnotenumChar"/>
          <w:rtl/>
        </w:rPr>
        <w:t>(11)</w:t>
      </w:r>
      <w:r w:rsidRPr="005D642E">
        <w:rPr>
          <w:rtl/>
          <w:lang w:bidi="fa-IR"/>
        </w:rPr>
        <w:t xml:space="preserve"> وَادِي السَّلَامِ</w:t>
      </w:r>
      <w:r>
        <w:rPr>
          <w:rtl/>
          <w:lang w:bidi="fa-IR"/>
        </w:rPr>
        <w:t xml:space="preserve"> ».</w:t>
      </w:r>
    </w:p>
    <w:p w:rsidR="00E3253D" w:rsidRPr="005D642E" w:rsidRDefault="00E3253D" w:rsidP="00E3253D">
      <w:pPr>
        <w:pStyle w:val="libNormal"/>
        <w:rPr>
          <w:rtl/>
          <w:lang w:bidi="fa-IR"/>
        </w:rPr>
      </w:pPr>
      <w:r w:rsidRPr="005D642E">
        <w:rPr>
          <w:rtl/>
          <w:lang w:bidi="fa-IR"/>
        </w:rPr>
        <w:t>قُلْتُ لَهُ : وَأَيْنَ وَادِي السَّلَامِ</w:t>
      </w:r>
      <w:r>
        <w:rPr>
          <w:rtl/>
          <w:lang w:bidi="fa-IR"/>
        </w:rPr>
        <w:t>؟</w:t>
      </w:r>
    </w:p>
    <w:p w:rsidR="00E3253D" w:rsidRPr="005D642E" w:rsidRDefault="00E3253D" w:rsidP="00E3253D">
      <w:pPr>
        <w:pStyle w:val="libNormal"/>
        <w:rPr>
          <w:rtl/>
          <w:lang w:bidi="fa-IR"/>
        </w:rPr>
      </w:pPr>
      <w:r w:rsidRPr="005D642E">
        <w:rPr>
          <w:rtl/>
          <w:lang w:bidi="fa-IR"/>
        </w:rPr>
        <w:t xml:space="preserve">قَالَ : « ظَهْرُ الْكُوفَةِ ، أَمَا إِنِّي كَأَنِّي بِهِمْ حَلَقٌ حَلَقٌ قُعُودٌ </w:t>
      </w:r>
      <w:r w:rsidRPr="007C12DB">
        <w:rPr>
          <w:rStyle w:val="libFootnotenumChar"/>
          <w:rtl/>
        </w:rPr>
        <w:t>(12)</w:t>
      </w:r>
      <w:r w:rsidRPr="005D642E">
        <w:rPr>
          <w:rtl/>
          <w:lang w:bidi="fa-IR"/>
        </w:rPr>
        <w:t xml:space="preserve"> يَتَحَدَّثُونَ</w:t>
      </w:r>
      <w:r>
        <w:rPr>
          <w:rtl/>
          <w:lang w:bidi="fa-IR"/>
        </w:rPr>
        <w:t xml:space="preserve"> ».</w:t>
      </w:r>
      <w:r w:rsidRPr="005D642E">
        <w:rPr>
          <w:rtl/>
          <w:lang w:bidi="fa-IR"/>
        </w:rPr>
        <w:t xml:space="preserve"> </w:t>
      </w:r>
      <w:r w:rsidRPr="007C12DB">
        <w:rPr>
          <w:rStyle w:val="libFootnotenumChar"/>
          <w:rtl/>
        </w:rPr>
        <w:t>(13)</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6F7A5E">
        <w:rPr>
          <w:rtl/>
        </w:rPr>
        <w:t>الوافي</w:t>
      </w:r>
      <w:r w:rsidR="00E3253D" w:rsidRPr="005D642E">
        <w:rPr>
          <w:rtl/>
        </w:rPr>
        <w:t xml:space="preserve"> : « مخبتين » من الإخبات بمعنى الخشوع. والاحتباء : هو أن يضمّ الإنسان رجليه إلى بطنه بثوب يجمعهما به مع ظهره ويشدّه عليها. وقد يكون الاحتباء باليدين عوض الثوب. راجع : </w:t>
      </w:r>
      <w:r w:rsidR="00E3253D" w:rsidRPr="002F4D34">
        <w:rPr>
          <w:rStyle w:val="libFootnoteBoldChar"/>
          <w:rtl/>
        </w:rPr>
        <w:t>الصحاح</w:t>
      </w:r>
      <w:r w:rsidR="00E3253D" w:rsidRPr="005D642E">
        <w:rPr>
          <w:rtl/>
        </w:rPr>
        <w:t xml:space="preserve"> ، ج 6 ، ص 2307 ؛ </w:t>
      </w:r>
      <w:r w:rsidR="00E3253D" w:rsidRPr="002F4D34">
        <w:rPr>
          <w:rStyle w:val="libFootnoteBoldChar"/>
          <w:rtl/>
        </w:rPr>
        <w:t>النهاية</w:t>
      </w:r>
      <w:r w:rsidR="00E3253D" w:rsidRPr="005D642E">
        <w:rPr>
          <w:rtl/>
        </w:rPr>
        <w:t xml:space="preserve"> ، ج 1 ، ص 335 ( حبا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يتحدّثون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DF0078" w:rsidTr="00DF0078">
        <w:tc>
          <w:tcPr>
            <w:tcW w:w="4006" w:type="dxa"/>
          </w:tcPr>
          <w:p w:rsidR="00DF0078" w:rsidRDefault="00DF0078" w:rsidP="00E3253D">
            <w:pPr>
              <w:pStyle w:val="libFootnote0"/>
              <w:rPr>
                <w:rStyle w:val="libFootnote0Char"/>
                <w:rtl/>
              </w:rPr>
            </w:pPr>
            <w:r w:rsidRPr="0042621E">
              <w:rPr>
                <w:rStyle w:val="libFootnote0Char"/>
                <w:rtl/>
              </w:rPr>
              <w:t>(3).</w:t>
            </w:r>
            <w:r w:rsidRPr="005D642E">
              <w:rPr>
                <w:rtl/>
              </w:rPr>
              <w:t xml:space="preserve"> في « بخ » : + « لي</w:t>
            </w:r>
            <w:r>
              <w:rPr>
                <w:rtl/>
              </w:rPr>
              <w:t xml:space="preserve"> ».</w:t>
            </w:r>
            <w:r w:rsidRPr="005D642E">
              <w:rPr>
                <w:rtl/>
              </w:rPr>
              <w:t xml:space="preserve"> وفي الوافي : + « بل</w:t>
            </w:r>
            <w:r>
              <w:rPr>
                <w:rtl/>
              </w:rPr>
              <w:t xml:space="preserve"> ».</w:t>
            </w:r>
          </w:p>
        </w:tc>
        <w:tc>
          <w:tcPr>
            <w:tcW w:w="4006" w:type="dxa"/>
          </w:tcPr>
          <w:p w:rsidR="00DF0078" w:rsidRDefault="00DF0078" w:rsidP="00E3253D">
            <w:pPr>
              <w:pStyle w:val="libFootnote0"/>
              <w:rPr>
                <w:rStyle w:val="libFootnote0Char"/>
                <w:rtl/>
              </w:rPr>
            </w:pPr>
            <w:r w:rsidRPr="0042621E">
              <w:rPr>
                <w:rStyle w:val="libFootnote0Char"/>
                <w:rtl/>
              </w:rPr>
              <w:t>(4).</w:t>
            </w:r>
            <w:r w:rsidRPr="005D642E">
              <w:rPr>
                <w:rtl/>
              </w:rPr>
              <w:t xml:space="preserve"> في « بس » :</w:t>
            </w:r>
            <w:r>
              <w:rPr>
                <w:rtl/>
              </w:rPr>
              <w:t xml:space="preserve"> - </w:t>
            </w:r>
            <w:r w:rsidRPr="005D642E">
              <w:rPr>
                <w:rtl/>
              </w:rPr>
              <w:t>« من</w:t>
            </w:r>
            <w:r>
              <w:rPr>
                <w:rtl/>
              </w:rPr>
              <w:t xml:space="preserve"> ».</w:t>
            </w:r>
          </w:p>
        </w:tc>
      </w:tr>
    </w:tbl>
    <w:p w:rsidR="00E3253D" w:rsidRPr="005D642E" w:rsidRDefault="0042621E" w:rsidP="00DF0078">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25 ، ص 631 ، ح 24778 ؛ </w:t>
      </w:r>
      <w:r w:rsidR="00E3253D" w:rsidRPr="002F4D34">
        <w:rPr>
          <w:rStyle w:val="libFootnoteBoldChar"/>
          <w:rtl/>
        </w:rPr>
        <w:t>البحار</w:t>
      </w:r>
      <w:r w:rsidR="00E3253D" w:rsidRPr="005D642E">
        <w:rPr>
          <w:rtl/>
        </w:rPr>
        <w:t xml:space="preserve"> ، ج 6 ، ص 267 ، ح 117 ؛ وج 41 ، ص 223 ، ح 35 ؛ وج 100 ، ص 234 ، ح 26.</w:t>
      </w:r>
      <w:r w:rsidR="00DF0078">
        <w:rPr>
          <w:rFonts w:hint="cs"/>
          <w:rtl/>
        </w:rPr>
        <w:t xml:space="preserve">                  </w:t>
      </w:r>
      <w:r w:rsidRPr="0042621E">
        <w:rPr>
          <w:rStyle w:val="libFootnote0Char"/>
          <w:rtl/>
        </w:rPr>
        <w:t>(6).</w:t>
      </w:r>
      <w:r w:rsidR="00E3253D" w:rsidRPr="005D642E">
        <w:rPr>
          <w:rtl/>
        </w:rPr>
        <w:t xml:space="preserve"> في « بح » : « إلى</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جميع النسخ التي قوبلت : « ما يبالي</w:t>
      </w:r>
      <w:r w:rsidR="00E3253D">
        <w:rPr>
          <w:rtl/>
        </w:rPr>
        <w:t xml:space="preserve"> ».</w:t>
      </w:r>
      <w:r w:rsidR="00E3253D" w:rsidRPr="005D642E">
        <w:rPr>
          <w:rtl/>
        </w:rPr>
        <w:t xml:space="preserve"> وما أثبتناه مطابق </w:t>
      </w:r>
      <w:r w:rsidR="00E3253D" w:rsidRPr="00DF0078">
        <w:rPr>
          <w:rtl/>
        </w:rPr>
        <w:t xml:space="preserve">للمطبوع </w:t>
      </w:r>
      <w:r w:rsidR="000D749A" w:rsidRPr="00DF0078">
        <w:rPr>
          <w:rtl/>
        </w:rPr>
        <w:t>والوافي</w:t>
      </w:r>
      <w:r w:rsidR="00E3253D" w:rsidRPr="005D642E">
        <w:rPr>
          <w:rtl/>
        </w:rPr>
        <w:t xml:space="preserve"> والبحار.</w:t>
      </w:r>
    </w:p>
    <w:tbl>
      <w:tblPr>
        <w:tblStyle w:val="TableGrid"/>
        <w:bidiVisual/>
        <w:tblW w:w="0" w:type="auto"/>
        <w:tblLook w:val="04A0" w:firstRow="1" w:lastRow="0" w:firstColumn="1" w:lastColumn="0" w:noHBand="0" w:noVBand="1"/>
      </w:tblPr>
      <w:tblGrid>
        <w:gridCol w:w="4006"/>
        <w:gridCol w:w="4006"/>
      </w:tblGrid>
      <w:tr w:rsidR="00DF0078" w:rsidTr="00DF0078">
        <w:tc>
          <w:tcPr>
            <w:tcW w:w="4006" w:type="dxa"/>
          </w:tcPr>
          <w:p w:rsidR="00DF0078" w:rsidRDefault="00DF0078" w:rsidP="00E3253D">
            <w:pPr>
              <w:pStyle w:val="libFootnote0"/>
              <w:rPr>
                <w:rStyle w:val="libFootnote0Char"/>
                <w:rtl/>
              </w:rPr>
            </w:pPr>
            <w:r w:rsidRPr="0042621E">
              <w:rPr>
                <w:rStyle w:val="libFootnote0Char"/>
                <w:rtl/>
              </w:rPr>
              <w:t>(8).</w:t>
            </w:r>
            <w:r w:rsidRPr="005D642E">
              <w:rPr>
                <w:rtl/>
              </w:rPr>
              <w:t xml:space="preserve"> في « ى » : « حيث</w:t>
            </w:r>
            <w:r>
              <w:rPr>
                <w:rtl/>
              </w:rPr>
              <w:t xml:space="preserve"> ».</w:t>
            </w:r>
          </w:p>
        </w:tc>
        <w:tc>
          <w:tcPr>
            <w:tcW w:w="4006" w:type="dxa"/>
          </w:tcPr>
          <w:p w:rsidR="00DF0078" w:rsidRDefault="00DF0078" w:rsidP="00E3253D">
            <w:pPr>
              <w:pStyle w:val="libFootnote0"/>
              <w:rPr>
                <w:rStyle w:val="libFootnote0Char"/>
                <w:rtl/>
              </w:rPr>
            </w:pPr>
            <w:r w:rsidRPr="0042621E">
              <w:rPr>
                <w:rStyle w:val="libFootnote0Char"/>
                <w:rtl/>
              </w:rPr>
              <w:t>(9).</w:t>
            </w:r>
            <w:r w:rsidRPr="005D642E">
              <w:rPr>
                <w:rtl/>
              </w:rPr>
              <w:t xml:space="preserve"> في « جس » :</w:t>
            </w:r>
            <w:r>
              <w:rPr>
                <w:rtl/>
              </w:rPr>
              <w:t xml:space="preserve"> - </w:t>
            </w:r>
            <w:r w:rsidRPr="005D642E">
              <w:rPr>
                <w:rtl/>
              </w:rPr>
              <w:t>« أما</w:t>
            </w:r>
            <w:r>
              <w:rPr>
                <w:rtl/>
              </w:rPr>
              <w:t xml:space="preserve"> ».</w:t>
            </w:r>
          </w:p>
        </w:tc>
      </w:tr>
      <w:tr w:rsidR="00DF0078" w:rsidTr="00DF0078">
        <w:tc>
          <w:tcPr>
            <w:tcW w:w="4006" w:type="dxa"/>
          </w:tcPr>
          <w:p w:rsidR="00DF0078" w:rsidRDefault="00DF0078" w:rsidP="00E3253D">
            <w:pPr>
              <w:pStyle w:val="libFootnote0"/>
              <w:rPr>
                <w:rStyle w:val="libFootnote0Char"/>
                <w:rtl/>
              </w:rPr>
            </w:pPr>
            <w:r w:rsidRPr="0042621E">
              <w:rPr>
                <w:rStyle w:val="libFootnote0Char"/>
                <w:rtl/>
              </w:rPr>
              <w:t>(10).</w:t>
            </w:r>
            <w:r w:rsidRPr="005D642E">
              <w:rPr>
                <w:rtl/>
              </w:rPr>
              <w:t xml:space="preserve"> في « جس » والبحار ، ج 6 : « حشره</w:t>
            </w:r>
            <w:r>
              <w:rPr>
                <w:rtl/>
              </w:rPr>
              <w:t xml:space="preserve"> ».</w:t>
            </w:r>
          </w:p>
        </w:tc>
        <w:tc>
          <w:tcPr>
            <w:tcW w:w="4006" w:type="dxa"/>
          </w:tcPr>
          <w:p w:rsidR="00DF0078" w:rsidRDefault="00DF0078" w:rsidP="00E3253D">
            <w:pPr>
              <w:pStyle w:val="libFootnote0"/>
              <w:rPr>
                <w:rStyle w:val="libFootnote0Char"/>
                <w:rtl/>
              </w:rPr>
            </w:pPr>
            <w:r w:rsidRPr="0042621E">
              <w:rPr>
                <w:rStyle w:val="libFootnote0Char"/>
                <w:rtl/>
              </w:rPr>
              <w:t>(11).</w:t>
            </w:r>
            <w:r w:rsidRPr="005D642E">
              <w:rPr>
                <w:rtl/>
              </w:rPr>
              <w:t xml:space="preserve"> في « ى » :</w:t>
            </w:r>
            <w:r>
              <w:rPr>
                <w:rtl/>
              </w:rPr>
              <w:t xml:space="preserve"> - </w:t>
            </w:r>
            <w:r w:rsidRPr="005D642E">
              <w:rPr>
                <w:rtl/>
              </w:rPr>
              <w:t>« إلى</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بث :</w:t>
      </w:r>
      <w:r w:rsidR="00E3253D">
        <w:rPr>
          <w:rtl/>
        </w:rPr>
        <w:t xml:space="preserve"> </w:t>
      </w:r>
      <w:r w:rsidR="007642BC">
        <w:rPr>
          <w:rtl/>
        </w:rPr>
        <w:t>-</w:t>
      </w:r>
      <w:r w:rsidR="00E3253D">
        <w:rPr>
          <w:rtl/>
        </w:rPr>
        <w:t xml:space="preserve"> </w:t>
      </w:r>
      <w:r w:rsidR="00E3253D" w:rsidRPr="005D642E">
        <w:rPr>
          <w:rtl/>
        </w:rPr>
        <w:t>« قعود</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2F4D34">
        <w:rPr>
          <w:rStyle w:val="libFootnoteBoldChar"/>
          <w:rtl/>
        </w:rPr>
        <w:t>التهذيب</w:t>
      </w:r>
      <w:r w:rsidR="00E3253D" w:rsidRPr="005D642E">
        <w:rPr>
          <w:rtl/>
        </w:rPr>
        <w:t xml:space="preserve"> ، ج 1 ، ص 466 ، ح 1525 ، بسنده عن الحسن بن عليّ ، عن أحمد بن عمر ، عن مروان بن مسلم ، عن أبي عبدالله </w:t>
      </w:r>
      <w:r w:rsidR="00E3253D" w:rsidRPr="00DF0078">
        <w:rPr>
          <w:rStyle w:val="libFootnoteAlaemChar"/>
          <w:rtl/>
        </w:rPr>
        <w:t>عليه‌السلام</w:t>
      </w:r>
      <w:r w:rsidR="00E3253D" w:rsidRPr="005D642E">
        <w:rPr>
          <w:rtl/>
        </w:rPr>
        <w:t xml:space="preserve"> ، مع اختلاف يسير </w:t>
      </w:r>
      <w:r w:rsidR="00DF0078">
        <w:rPr>
          <w:rFonts w:hint="cs"/>
          <w:rtl/>
        </w:rPr>
        <w:t>.</w:t>
      </w:r>
      <w:r w:rsidR="00E3253D" w:rsidRPr="002F4D34">
        <w:rPr>
          <w:rStyle w:val="libFootnoteBoldChar"/>
          <w:rtl/>
        </w:rPr>
        <w:t>الوافي</w:t>
      </w:r>
      <w:r w:rsidR="00E3253D" w:rsidRPr="005D642E">
        <w:rPr>
          <w:rtl/>
        </w:rPr>
        <w:t xml:space="preserve"> ، ج 25 ، ص 632 ، ح 24779 ؛ </w:t>
      </w:r>
      <w:r w:rsidR="00E3253D" w:rsidRPr="002F4D34">
        <w:rPr>
          <w:rStyle w:val="libFootnoteBoldChar"/>
          <w:rtl/>
        </w:rPr>
        <w:t>البحار</w:t>
      </w:r>
      <w:r w:rsidR="00E3253D" w:rsidRPr="005D642E">
        <w:rPr>
          <w:rtl/>
        </w:rPr>
        <w:t xml:space="preserve"> ، ج 6 ، ص 268 ، ح 118 ؛ وج 100 ، ص 234 ، ح 27.</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533" w:name="_Toc344647389"/>
      <w:bookmarkStart w:id="534" w:name="_Toc462226903"/>
      <w:bookmarkStart w:id="535" w:name="_Toc40976011"/>
      <w:r w:rsidRPr="005D642E">
        <w:rPr>
          <w:rtl/>
          <w:lang w:bidi="fa-IR"/>
        </w:rPr>
        <w:t>91</w:t>
      </w:r>
      <w:r>
        <w:rPr>
          <w:rtl/>
          <w:lang w:bidi="fa-IR"/>
        </w:rPr>
        <w:t xml:space="preserve"> </w:t>
      </w:r>
      <w:r w:rsidR="007642BC">
        <w:rPr>
          <w:rtl/>
          <w:lang w:bidi="fa-IR"/>
        </w:rPr>
        <w:t>-</w:t>
      </w:r>
      <w:r>
        <w:rPr>
          <w:rtl/>
          <w:lang w:bidi="fa-IR"/>
        </w:rPr>
        <w:t xml:space="preserve"> </w:t>
      </w:r>
      <w:r w:rsidRPr="005D642E">
        <w:rPr>
          <w:rtl/>
          <w:lang w:bidi="fa-IR"/>
        </w:rPr>
        <w:t xml:space="preserve">بَابٌ آخَرُ فِي أَرْوَاحِ الْمُؤْمِنِينَ </w:t>
      </w:r>
      <w:r w:rsidRPr="007C12DB">
        <w:rPr>
          <w:rStyle w:val="libFootnotenumChar"/>
          <w:rtl/>
        </w:rPr>
        <w:t>(1)</w:t>
      </w:r>
      <w:r w:rsidRPr="005D642E">
        <w:rPr>
          <w:rtl/>
          <w:lang w:bidi="fa-IR"/>
        </w:rPr>
        <w:t xml:space="preserve"> ‌</w:t>
      </w:r>
      <w:bookmarkEnd w:id="533"/>
      <w:bookmarkEnd w:id="534"/>
      <w:bookmarkEnd w:id="535"/>
    </w:p>
    <w:p w:rsidR="00E3253D" w:rsidRPr="005D642E" w:rsidRDefault="00E3253D" w:rsidP="00E3253D">
      <w:pPr>
        <w:pStyle w:val="libNormal"/>
        <w:rPr>
          <w:rtl/>
          <w:lang w:bidi="fa-IR"/>
        </w:rPr>
      </w:pPr>
      <w:r w:rsidRPr="00F70C08">
        <w:rPr>
          <w:rtl/>
        </w:rPr>
        <w:t>4718</w:t>
      </w:r>
      <w:r w:rsidRPr="00246318">
        <w:rPr>
          <w:rStyle w:val="libBold2Char"/>
          <w:rtl/>
        </w:rPr>
        <w:t xml:space="preserve"> / 1.</w:t>
      </w:r>
      <w:r w:rsidRPr="005D642E">
        <w:rPr>
          <w:rtl/>
          <w:lang w:bidi="fa-IR"/>
        </w:rPr>
        <w:t xml:space="preserve"> عَلِيُّ بْنُ إِبْرَاهِيمَ ، عَنْ أَبِيهِ ، عَنِ الْحَسَنِ بْ</w:t>
      </w:r>
      <w:r w:rsidR="00DF0078">
        <w:rPr>
          <w:rtl/>
          <w:lang w:bidi="fa-IR"/>
        </w:rPr>
        <w:t>نِ مَحْبُوبٍ ، عَنْ أَبِي وَل</w:t>
      </w:r>
      <w:r w:rsidR="00DF0078">
        <w:rPr>
          <w:rFonts w:hint="cs"/>
          <w:rtl/>
          <w:lang w:bidi="fa-IR"/>
        </w:rPr>
        <w:t>َّ</w:t>
      </w:r>
      <w:r w:rsidR="00DF0078">
        <w:rPr>
          <w:rtl/>
          <w:lang w:bidi="fa-IR"/>
        </w:rPr>
        <w:t>ا</w:t>
      </w:r>
      <w:r w:rsidRPr="005D642E">
        <w:rPr>
          <w:rtl/>
          <w:lang w:bidi="fa-IR"/>
        </w:rPr>
        <w:t>دٍ الْحَنَّاطِ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قُلْتُ لَهُ : جُعِلْتُ فِدَاكَ ، يَرْوُونَ </w:t>
      </w:r>
      <w:r w:rsidRPr="007C12DB">
        <w:rPr>
          <w:rStyle w:val="libFootnotenumChar"/>
          <w:rtl/>
        </w:rPr>
        <w:t>(2)</w:t>
      </w:r>
      <w:r w:rsidRPr="005D642E">
        <w:rPr>
          <w:rtl/>
          <w:lang w:bidi="fa-IR"/>
        </w:rPr>
        <w:t xml:space="preserve"> أَنَّ أَرْوَاحَ الْمُؤْمِنِينَ فِي حَوَاصِلِ طُيُورٍ </w:t>
      </w:r>
      <w:r w:rsidRPr="007C12DB">
        <w:rPr>
          <w:rStyle w:val="libFootnotenumChar"/>
          <w:rtl/>
        </w:rPr>
        <w:t>(3)</w:t>
      </w:r>
      <w:r w:rsidRPr="005D642E">
        <w:rPr>
          <w:rtl/>
          <w:lang w:bidi="fa-IR"/>
        </w:rPr>
        <w:t xml:space="preserve"> خُضْرٍ حَوْلَ الْعَرْشِ</w:t>
      </w:r>
      <w:r>
        <w:rPr>
          <w:rtl/>
          <w:lang w:bidi="fa-IR"/>
        </w:rPr>
        <w:t>؟</w:t>
      </w:r>
    </w:p>
    <w:p w:rsidR="00E3253D" w:rsidRPr="005D642E" w:rsidRDefault="00E3253D" w:rsidP="00E3253D">
      <w:pPr>
        <w:pStyle w:val="libNormal"/>
        <w:rPr>
          <w:rtl/>
          <w:lang w:bidi="fa-IR"/>
        </w:rPr>
      </w:pPr>
      <w:r w:rsidRPr="005D642E">
        <w:rPr>
          <w:rtl/>
          <w:lang w:bidi="fa-IR"/>
        </w:rPr>
        <w:t xml:space="preserve">فَقَالَ : « لَا ، الْمُؤْمِنُ أَكْرَمُ عَلَى اللهِ مِنْ أَنْ يَجْعَلَ رُوحَهُ </w:t>
      </w:r>
      <w:r w:rsidRPr="007C12DB">
        <w:rPr>
          <w:rStyle w:val="libFootnotenumChar"/>
          <w:rtl/>
        </w:rPr>
        <w:t>(4)</w:t>
      </w:r>
      <w:r w:rsidRPr="005D642E">
        <w:rPr>
          <w:rtl/>
          <w:lang w:bidi="fa-IR"/>
        </w:rPr>
        <w:t xml:space="preserve"> فِي حَوْصَلَةِ طَيْرٍ </w:t>
      </w:r>
      <w:r w:rsidRPr="007C12DB">
        <w:rPr>
          <w:rStyle w:val="libFootnotenumChar"/>
          <w:rtl/>
        </w:rPr>
        <w:t>(5)</w:t>
      </w:r>
      <w:r w:rsidRPr="005D642E">
        <w:rPr>
          <w:rtl/>
          <w:lang w:bidi="fa-IR"/>
        </w:rPr>
        <w:t xml:space="preserve"> ، وَلكِنْ </w:t>
      </w:r>
      <w:r w:rsidRPr="007C12DB">
        <w:rPr>
          <w:rStyle w:val="libFootnotenumChar"/>
          <w:rtl/>
        </w:rPr>
        <w:t>(6)</w:t>
      </w:r>
      <w:r w:rsidRPr="005D642E">
        <w:rPr>
          <w:rtl/>
          <w:lang w:bidi="fa-IR"/>
        </w:rPr>
        <w:t xml:space="preserve"> فِي أَبْدَانٍ كَأَبْدَانِهِمْ</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F70C08">
        <w:rPr>
          <w:rtl/>
        </w:rPr>
        <w:t>4719</w:t>
      </w:r>
      <w:r w:rsidRPr="00246318">
        <w:rPr>
          <w:rStyle w:val="libBold2Char"/>
          <w:rtl/>
        </w:rPr>
        <w:t xml:space="preserve"> / 2.</w:t>
      </w:r>
      <w:r w:rsidRPr="005D642E">
        <w:rPr>
          <w:rtl/>
          <w:lang w:bidi="fa-IR"/>
        </w:rPr>
        <w:t xml:space="preserve"> عِدَّةٌ مِنْ أَصْحَابِنَا ، عَنْ سَهْلِ بْنِ زِيَادٍ ، عَنْ عَبْدِ الرَّحْمنِ بْنِ أَبِي نَجْرَانَ ، عَنْ مُثَنًّى الْحَنَّاطِ ، عَنْ أَبِي بَصِيرٍ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إِنَّ أَرْوَاحَ الْمُؤْمِنِينَ لَفِي شَجَرَةٍ مِنَ الْجَنَّةِ ، يَأْكُلُونَ مِنْ طَعَامِهَا ، وَيَشْرَبُونَ مِنْ شَرَابِهَا ، وَيَقُولُونَ : رَبَّنَا ، أَقِمِ السَّاعَةَ لَنَا </w:t>
      </w:r>
      <w:r w:rsidRPr="007C12DB">
        <w:rPr>
          <w:rStyle w:val="libFootnotenumChar"/>
          <w:rtl/>
        </w:rPr>
        <w:t>(8)</w:t>
      </w:r>
      <w:r w:rsidRPr="005D642E">
        <w:rPr>
          <w:rtl/>
          <w:lang w:bidi="fa-IR"/>
        </w:rPr>
        <w:t xml:space="preserve"> ، وَأَنْجِزْ </w:t>
      </w:r>
      <w:r w:rsidRPr="007C12DB">
        <w:rPr>
          <w:rStyle w:val="libFootnotenumChar"/>
          <w:rtl/>
        </w:rPr>
        <w:t>(9)</w:t>
      </w:r>
      <w:r w:rsidRPr="005D642E">
        <w:rPr>
          <w:rtl/>
          <w:lang w:bidi="fa-IR"/>
        </w:rPr>
        <w:t xml:space="preserve"> لَنَا مَا وَعَدْتَنَا ، وَأَلْحِقْ آخِرَنَا بِأَوَّلِنَا</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F70C08">
        <w:rPr>
          <w:rtl/>
        </w:rPr>
        <w:t>4720</w:t>
      </w:r>
      <w:r w:rsidRPr="00246318">
        <w:rPr>
          <w:rStyle w:val="libBold2Char"/>
          <w:rtl/>
        </w:rPr>
        <w:t xml:space="preserve"> / 3.</w:t>
      </w:r>
      <w:r w:rsidRPr="005D642E">
        <w:rPr>
          <w:rtl/>
          <w:lang w:bidi="fa-IR"/>
        </w:rPr>
        <w:t xml:space="preserve"> سَهْلُ بْنُ زِيَادٍ </w:t>
      </w:r>
      <w:r w:rsidRPr="007C12DB">
        <w:rPr>
          <w:rStyle w:val="libFootnotenumChar"/>
          <w:rtl/>
        </w:rPr>
        <w:t>(11)</w:t>
      </w:r>
      <w:r w:rsidRPr="005D642E">
        <w:rPr>
          <w:rtl/>
          <w:lang w:bidi="fa-IR"/>
        </w:rPr>
        <w:t xml:space="preserve"> ، عَنْ إِسْمَاعِيلَ بْنِ مِهْرَانَ ، عَنْ دُرُسْتَ بْنِ أَبِي مَنْصُورٍ ، عَنِ‌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جح ، جس » :</w:t>
      </w:r>
      <w:r w:rsidR="00E3253D">
        <w:rPr>
          <w:rtl/>
        </w:rPr>
        <w:t xml:space="preserve"> </w:t>
      </w:r>
      <w:r w:rsidR="007642BC">
        <w:rPr>
          <w:rtl/>
        </w:rPr>
        <w:t>-</w:t>
      </w:r>
      <w:r w:rsidR="00E3253D">
        <w:rPr>
          <w:rtl/>
        </w:rPr>
        <w:t xml:space="preserve"> </w:t>
      </w:r>
      <w:r w:rsidR="00E3253D" w:rsidRPr="005D642E">
        <w:rPr>
          <w:rtl/>
        </w:rPr>
        <w:t>« آخر في أرواح المؤمنين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بخ ، بس ، جس » : « يرون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جس » وحاشية « بث » : « طير</w:t>
      </w:r>
      <w:r w:rsidR="00E3253D">
        <w:rPr>
          <w:rtl/>
        </w:rPr>
        <w:t xml:space="preserve"> ».</w:t>
      </w:r>
      <w:r w:rsidR="00E3253D" w:rsidRPr="005D642E">
        <w:rPr>
          <w:rtl/>
        </w:rPr>
        <w:t xml:space="preserve"> </w:t>
      </w:r>
      <w:r w:rsidR="00E3253D">
        <w:rPr>
          <w:rtl/>
        </w:rPr>
        <w:t>و «</w:t>
      </w:r>
      <w:r w:rsidR="00E3253D" w:rsidRPr="005D642E">
        <w:rPr>
          <w:rtl/>
        </w:rPr>
        <w:t xml:space="preserve"> حواصل » : جمع حَوْصَلَة ، بتخفيف اللام وتشديدها ، وهي من الطير بمنزلة المعدة من الإنسان. </w:t>
      </w:r>
      <w:r w:rsidR="00E3253D" w:rsidRPr="002F4D34">
        <w:rPr>
          <w:rStyle w:val="libFootnoteBoldChar"/>
          <w:rtl/>
        </w:rPr>
        <w:t>القاموس المحيط</w:t>
      </w:r>
      <w:r w:rsidR="00E3253D" w:rsidRPr="005D642E">
        <w:rPr>
          <w:rtl/>
        </w:rPr>
        <w:t xml:space="preserve"> ، ج 2 ، ص 1303 ( حصل )</w:t>
      </w:r>
      <w:r w:rsidR="00E3253D">
        <w:rPr>
          <w:rtl/>
        </w:rPr>
        <w:t>.</w:t>
      </w:r>
    </w:p>
    <w:tbl>
      <w:tblPr>
        <w:tblStyle w:val="TableGrid"/>
        <w:bidiVisual/>
        <w:tblW w:w="0" w:type="auto"/>
        <w:tblLook w:val="04A0" w:firstRow="1" w:lastRow="0" w:firstColumn="1" w:lastColumn="0" w:noHBand="0" w:noVBand="1"/>
      </w:tblPr>
      <w:tblGrid>
        <w:gridCol w:w="4006"/>
        <w:gridCol w:w="4006"/>
      </w:tblGrid>
      <w:tr w:rsidR="00DF0078" w:rsidTr="00DF0078">
        <w:tc>
          <w:tcPr>
            <w:tcW w:w="4006" w:type="dxa"/>
          </w:tcPr>
          <w:p w:rsidR="00DF0078" w:rsidRDefault="00DF0078" w:rsidP="00E3253D">
            <w:pPr>
              <w:pStyle w:val="libFootnote0"/>
              <w:rPr>
                <w:rStyle w:val="libFootnote0Char"/>
                <w:rtl/>
              </w:rPr>
            </w:pPr>
            <w:r w:rsidRPr="0042621E">
              <w:rPr>
                <w:rStyle w:val="libFootnote0Char"/>
                <w:rtl/>
              </w:rPr>
              <w:t>(4).</w:t>
            </w:r>
            <w:r w:rsidRPr="005D642E">
              <w:rPr>
                <w:rtl/>
              </w:rPr>
              <w:t xml:space="preserve"> في « بث » : « أرواح المؤمنين</w:t>
            </w:r>
            <w:r>
              <w:rPr>
                <w:rtl/>
              </w:rPr>
              <w:t xml:space="preserve"> ».</w:t>
            </w:r>
          </w:p>
        </w:tc>
        <w:tc>
          <w:tcPr>
            <w:tcW w:w="4006" w:type="dxa"/>
          </w:tcPr>
          <w:p w:rsidR="00DF0078" w:rsidRDefault="00DF0078" w:rsidP="00E3253D">
            <w:pPr>
              <w:pStyle w:val="libFootnote0"/>
              <w:rPr>
                <w:rStyle w:val="libFootnote0Char"/>
                <w:rtl/>
              </w:rPr>
            </w:pPr>
            <w:r w:rsidRPr="0042621E">
              <w:rPr>
                <w:rStyle w:val="libFootnote0Char"/>
                <w:rtl/>
              </w:rPr>
              <w:t>(5).</w:t>
            </w:r>
            <w:r w:rsidRPr="005D642E">
              <w:rPr>
                <w:rtl/>
              </w:rPr>
              <w:t xml:space="preserve"> في « ى » : + « خضر</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بث ، بح ، بس ، جح » والبحار : « لكن » بدون الواو.</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25 ، ص 635 ، ح 24787 ؛ </w:t>
      </w:r>
      <w:r w:rsidR="00E3253D" w:rsidRPr="002F4D34">
        <w:rPr>
          <w:rStyle w:val="libFootnoteBoldChar"/>
          <w:rtl/>
        </w:rPr>
        <w:t>البحار</w:t>
      </w:r>
      <w:r w:rsidR="00E3253D" w:rsidRPr="005D642E">
        <w:rPr>
          <w:rtl/>
        </w:rPr>
        <w:t xml:space="preserve"> ، ج 6 ، ص 268 ، ح 119 ؛ وج 61 ، ص 50 ، ح 29.</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w:t>
      </w:r>
      <w:r w:rsidR="000D749A" w:rsidRPr="00DF0078">
        <w:rPr>
          <w:rtl/>
        </w:rPr>
        <w:t>والوافي</w:t>
      </w:r>
      <w:r w:rsidR="00E3253D" w:rsidRPr="00DF0078">
        <w:rPr>
          <w:rtl/>
        </w:rPr>
        <w:t xml:space="preserve"> </w:t>
      </w:r>
      <w:r w:rsidR="00E3253D" w:rsidRPr="005D642E">
        <w:rPr>
          <w:rtl/>
        </w:rPr>
        <w:t>والبحار : « لنا الساعة</w:t>
      </w:r>
      <w:r w:rsidR="00E3253D">
        <w:rPr>
          <w:rtl/>
        </w:rPr>
        <w:t xml:space="preserve"> ».</w:t>
      </w:r>
      <w:r w:rsidR="00E3253D" w:rsidRPr="005D642E">
        <w:rPr>
          <w:rtl/>
        </w:rPr>
        <w:t xml:space="preserve"> وفي « بس » :</w:t>
      </w:r>
      <w:r w:rsidR="00E3253D">
        <w:rPr>
          <w:rtl/>
        </w:rPr>
        <w:t xml:space="preserve"> </w:t>
      </w:r>
      <w:r w:rsidR="007642BC">
        <w:rPr>
          <w:rtl/>
        </w:rPr>
        <w:t>-</w:t>
      </w:r>
      <w:r w:rsidR="00E3253D">
        <w:rPr>
          <w:rtl/>
        </w:rPr>
        <w:t xml:space="preserve"> </w:t>
      </w:r>
      <w:r w:rsidR="00E3253D" w:rsidRPr="005D642E">
        <w:rPr>
          <w:rtl/>
        </w:rPr>
        <w:t>« لنا</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إنجاز الوعد : قضاؤه والوفاء به والتعجيل فيه. راجع : </w:t>
      </w:r>
      <w:r w:rsidR="00E3253D" w:rsidRPr="002F4D34">
        <w:rPr>
          <w:rStyle w:val="libFootnoteBoldChar"/>
          <w:rtl/>
        </w:rPr>
        <w:t>النهاية</w:t>
      </w:r>
      <w:r w:rsidR="00E3253D" w:rsidRPr="005D642E">
        <w:rPr>
          <w:rtl/>
        </w:rPr>
        <w:t xml:space="preserve"> ، ج 5 ، ص 21 ؛ </w:t>
      </w:r>
      <w:r w:rsidR="00E3253D" w:rsidRPr="002F4D34">
        <w:rPr>
          <w:rStyle w:val="libFootnoteBoldChar"/>
          <w:rtl/>
        </w:rPr>
        <w:t>المصباح المنير</w:t>
      </w:r>
      <w:r w:rsidR="00E3253D" w:rsidRPr="005D642E">
        <w:rPr>
          <w:rtl/>
        </w:rPr>
        <w:t xml:space="preserve"> ، ص 594 ( نجز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25 ، ص 633 ، ح 24781 ؛ </w:t>
      </w:r>
      <w:r w:rsidR="00E3253D" w:rsidRPr="002F4D34">
        <w:rPr>
          <w:rStyle w:val="libFootnoteBoldChar"/>
          <w:rtl/>
        </w:rPr>
        <w:t>البحار</w:t>
      </w:r>
      <w:r w:rsidR="00E3253D" w:rsidRPr="005D642E">
        <w:rPr>
          <w:rtl/>
        </w:rPr>
        <w:t xml:space="preserve"> ، ج 6 ، ص 268 ، ح 120.</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السند معلّق على سابقه. ويروي عن سهل بن زياد ، عدّة من أصحابنا.</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ابْنِ مُسْكَانَ ، عَنْ أَبِي بَصِيرٍ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الْأَرْوَاحَ فِي صِفَةِ الْأَجْسَادِ فِي شَجَرَةٍ </w:t>
      </w:r>
      <w:r w:rsidRPr="007C12DB">
        <w:rPr>
          <w:rStyle w:val="libFootnotenumChar"/>
          <w:rtl/>
        </w:rPr>
        <w:t>(1)</w:t>
      </w:r>
      <w:r w:rsidRPr="005D642E">
        <w:rPr>
          <w:rtl/>
          <w:lang w:bidi="fa-IR"/>
        </w:rPr>
        <w:t xml:space="preserve"> فِي الْجَنَّةِ تَعَارَفُ </w:t>
      </w:r>
      <w:r w:rsidRPr="007C12DB">
        <w:rPr>
          <w:rStyle w:val="libFootnotenumChar"/>
          <w:rtl/>
        </w:rPr>
        <w:t>(2)</w:t>
      </w:r>
      <w:r w:rsidRPr="005D642E">
        <w:rPr>
          <w:rtl/>
          <w:lang w:bidi="fa-IR"/>
        </w:rPr>
        <w:t xml:space="preserve"> وَتَسَاءَلُ ، فَإِذَا قَدِمَتِ الرُّوحُ عَلَى الْأَرْوَاحِ </w:t>
      </w:r>
      <w:r w:rsidRPr="007C12DB">
        <w:rPr>
          <w:rStyle w:val="libFootnotenumChar"/>
          <w:rtl/>
        </w:rPr>
        <w:t>(3)</w:t>
      </w:r>
      <w:r w:rsidRPr="005D642E">
        <w:rPr>
          <w:rtl/>
          <w:lang w:bidi="fa-IR"/>
        </w:rPr>
        <w:t xml:space="preserve"> ، يَقُولُ </w:t>
      </w:r>
      <w:r w:rsidRPr="007C12DB">
        <w:rPr>
          <w:rStyle w:val="libFootnotenumChar"/>
          <w:rtl/>
        </w:rPr>
        <w:t>(4)</w:t>
      </w:r>
      <w:r w:rsidRPr="005D642E">
        <w:rPr>
          <w:rtl/>
          <w:lang w:bidi="fa-IR"/>
        </w:rPr>
        <w:t xml:space="preserve"> : دَعُوهَا ؛ فَإِنَّهَا قَدْ أَفْلَتَتْ </w:t>
      </w:r>
      <w:r w:rsidRPr="007C12DB">
        <w:rPr>
          <w:rStyle w:val="libFootnotenumChar"/>
          <w:rtl/>
        </w:rPr>
        <w:t>(5)</w:t>
      </w:r>
      <w:r w:rsidRPr="005D642E">
        <w:rPr>
          <w:rtl/>
          <w:lang w:bidi="fa-IR"/>
        </w:rPr>
        <w:t xml:space="preserve"> مِنْ هَوْلٍ عَظِيمٍ ، ثُمَّ يَسْأَلُونَهَا : مَا فَعَلَ فُلَانٌ</w:t>
      </w:r>
      <w:r>
        <w:rPr>
          <w:rtl/>
          <w:lang w:bidi="fa-IR"/>
        </w:rPr>
        <w:t>؟</w:t>
      </w:r>
      <w:r w:rsidRPr="005D642E">
        <w:rPr>
          <w:rtl/>
          <w:lang w:bidi="fa-IR"/>
        </w:rPr>
        <w:t xml:space="preserve"> وَمَا فَعَلَ فُلَانٌ</w:t>
      </w:r>
      <w:r>
        <w:rPr>
          <w:rtl/>
          <w:lang w:bidi="fa-IR"/>
        </w:rPr>
        <w:t>؟</w:t>
      </w:r>
      <w:r w:rsidRPr="005D642E">
        <w:rPr>
          <w:rtl/>
          <w:lang w:bidi="fa-IR"/>
        </w:rPr>
        <w:t xml:space="preserve"> فَإِنْ قَالَتْ لَهُمْ : تَرَكْتُهُ </w:t>
      </w:r>
      <w:r w:rsidRPr="007C12DB">
        <w:rPr>
          <w:rStyle w:val="libFootnotenumChar"/>
          <w:rtl/>
        </w:rPr>
        <w:t>(6)</w:t>
      </w:r>
      <w:r w:rsidRPr="005D642E">
        <w:rPr>
          <w:rtl/>
          <w:lang w:bidi="fa-IR"/>
        </w:rPr>
        <w:t xml:space="preserve"> حَيّاً ، ارْتَجَوْهُ ؛ وَإِنْ قَالَتْ لَهُمْ : قَدْ هَلَكَ ، قَالُوا : قَدْ هَوى </w:t>
      </w:r>
      <w:r w:rsidRPr="007C12DB">
        <w:rPr>
          <w:rStyle w:val="libFootnotenumChar"/>
          <w:rtl/>
        </w:rPr>
        <w:t>(7)</w:t>
      </w:r>
      <w:r w:rsidRPr="005D642E">
        <w:rPr>
          <w:rtl/>
          <w:lang w:bidi="fa-IR"/>
        </w:rPr>
        <w:t xml:space="preserve"> هَوى</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F70C08">
        <w:rPr>
          <w:rtl/>
        </w:rPr>
        <w:t>4721</w:t>
      </w:r>
      <w:r w:rsidRPr="00246318">
        <w:rPr>
          <w:rStyle w:val="libBold2Char"/>
          <w:rtl/>
        </w:rPr>
        <w:t xml:space="preserve"> / 4.</w:t>
      </w:r>
      <w:r w:rsidRPr="005D642E">
        <w:rPr>
          <w:rtl/>
          <w:lang w:bidi="fa-IR"/>
        </w:rPr>
        <w:t xml:space="preserve"> عَلِيُّ بْنُ إِبْرَاهِيمَ ، عَنْ أَبِيهِ ، عَنِ ابْنِ أَبِي عُمَيْرٍ ، عَنْ مُحَمَّدِ بْنِ عُثْمَانَ ، عَنْ أَبِي بَصِيرٍ ، عَنْ أَبِي عَبْدِ اللهِ </w:t>
      </w:r>
      <w:r w:rsidRPr="00AC51C5">
        <w:rPr>
          <w:rStyle w:val="libAlaemChar"/>
          <w:rtl/>
        </w:rPr>
        <w:t>عليه‌السلام</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أَرْوَاحِ الْمُؤْمِنِينَ</w:t>
      </w:r>
      <w:r>
        <w:rPr>
          <w:rtl/>
          <w:lang w:bidi="fa-IR"/>
        </w:rPr>
        <w:t>؟</w:t>
      </w:r>
    </w:p>
    <w:p w:rsidR="00E3253D" w:rsidRPr="005D642E" w:rsidRDefault="00E3253D" w:rsidP="00E3253D">
      <w:pPr>
        <w:pStyle w:val="libNormal"/>
        <w:rPr>
          <w:rtl/>
          <w:lang w:bidi="fa-IR"/>
        </w:rPr>
      </w:pPr>
      <w:r w:rsidRPr="005D642E">
        <w:rPr>
          <w:rtl/>
          <w:lang w:bidi="fa-IR"/>
        </w:rPr>
        <w:t xml:space="preserve">فَقَالَ : « فِي حُجُرَاتٍ فِي الْجَنَّةِ ، يَأْكُلُونَ مِنْ طَعَامِهَا ، وَيَشْرَبُونَ مِنْ شَرَابِهَا ، وَيَقُولُونَ : رَبَّنَا أَقِمْ لَنَا السَّاعَةَ </w:t>
      </w:r>
      <w:r w:rsidRPr="007C12DB">
        <w:rPr>
          <w:rStyle w:val="libFootnotenumChar"/>
          <w:rtl/>
        </w:rPr>
        <w:t>(9)</w:t>
      </w:r>
      <w:r w:rsidRPr="005D642E">
        <w:rPr>
          <w:rtl/>
          <w:lang w:bidi="fa-IR"/>
        </w:rPr>
        <w:t xml:space="preserve"> ، وَأَنْجِزْ لَنَا مَا وَعَدْتَنَا ، وَأَلْحِقْ آخِرَنَا بِأَوَّلِنَا</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F70C08">
        <w:rPr>
          <w:rtl/>
        </w:rPr>
        <w:t>4722</w:t>
      </w:r>
      <w:r w:rsidRPr="00246318">
        <w:rPr>
          <w:rStyle w:val="libBold2Char"/>
          <w:rtl/>
        </w:rPr>
        <w:t xml:space="preserve"> / 5.</w:t>
      </w:r>
      <w:r w:rsidRPr="005D642E">
        <w:rPr>
          <w:rtl/>
          <w:lang w:bidi="fa-IR"/>
        </w:rPr>
        <w:t xml:space="preserve"> عَلِيٌّ ، عَنْ أَبِيهِ ، عَنْ مُحَسِّنِ بْنِ أَحْمَدَ ، عَنْ مُحَمَّدِ بْنِ حَمَّادٍ ، عَنْ يُونُسَ بْنِ يَعْقُوبَ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75A6B" w:rsidTr="00775A6B">
        <w:tc>
          <w:tcPr>
            <w:tcW w:w="4006" w:type="dxa"/>
          </w:tcPr>
          <w:p w:rsidR="00775A6B" w:rsidRDefault="00775A6B" w:rsidP="00E3253D">
            <w:pPr>
              <w:pStyle w:val="libFootnote0"/>
              <w:rPr>
                <w:rStyle w:val="libFootnote0Char"/>
                <w:rtl/>
              </w:rPr>
            </w:pPr>
            <w:r w:rsidRPr="0042621E">
              <w:rPr>
                <w:rStyle w:val="libFootnote0Char"/>
                <w:rtl/>
              </w:rPr>
              <w:t>(1).</w:t>
            </w:r>
            <w:r>
              <w:rPr>
                <w:rtl/>
              </w:rPr>
              <w:t xml:space="preserve"> في «بس ، جس» وحاشية «</w:t>
            </w:r>
            <w:r w:rsidRPr="005D642E">
              <w:rPr>
                <w:rtl/>
              </w:rPr>
              <w:t>ب</w:t>
            </w:r>
            <w:r>
              <w:rPr>
                <w:rtl/>
              </w:rPr>
              <w:t>خ</w:t>
            </w:r>
            <w:r w:rsidRPr="005D642E">
              <w:rPr>
                <w:rtl/>
              </w:rPr>
              <w:t>» : « شجر</w:t>
            </w:r>
            <w:r>
              <w:rPr>
                <w:rtl/>
              </w:rPr>
              <w:t xml:space="preserve"> ».</w:t>
            </w:r>
          </w:p>
        </w:tc>
        <w:tc>
          <w:tcPr>
            <w:tcW w:w="4006" w:type="dxa"/>
          </w:tcPr>
          <w:p w:rsidR="00775A6B" w:rsidRDefault="00775A6B" w:rsidP="00E3253D">
            <w:pPr>
              <w:pStyle w:val="libFootnote0"/>
              <w:rPr>
                <w:rStyle w:val="libFootnote0Char"/>
                <w:rtl/>
              </w:rPr>
            </w:pPr>
            <w:r w:rsidRPr="0042621E">
              <w:rPr>
                <w:rStyle w:val="libFootnote0Char"/>
                <w:rtl/>
              </w:rPr>
              <w:t>(2).</w:t>
            </w:r>
            <w:r w:rsidRPr="005D642E">
              <w:rPr>
                <w:rtl/>
              </w:rPr>
              <w:t xml:space="preserve"> في الوافي : « تتعارف</w:t>
            </w:r>
            <w:r>
              <w:rPr>
                <w:rtl/>
              </w:rPr>
              <w:t xml:space="preserve"> ».</w:t>
            </w:r>
          </w:p>
        </w:tc>
      </w:tr>
      <w:tr w:rsidR="00775A6B" w:rsidTr="00775A6B">
        <w:tc>
          <w:tcPr>
            <w:tcW w:w="4006" w:type="dxa"/>
          </w:tcPr>
          <w:p w:rsidR="00775A6B" w:rsidRDefault="00775A6B" w:rsidP="00E3253D">
            <w:pPr>
              <w:pStyle w:val="libFootnote0"/>
              <w:rPr>
                <w:rStyle w:val="libFootnote0Char"/>
                <w:rtl/>
              </w:rPr>
            </w:pPr>
            <w:r w:rsidRPr="0042621E">
              <w:rPr>
                <w:rStyle w:val="libFootnote0Char"/>
                <w:rtl/>
              </w:rPr>
              <w:t>(3).</w:t>
            </w:r>
            <w:r w:rsidRPr="005D642E">
              <w:rPr>
                <w:rtl/>
              </w:rPr>
              <w:t xml:space="preserve"> في « ى » :</w:t>
            </w:r>
            <w:r>
              <w:rPr>
                <w:rtl/>
              </w:rPr>
              <w:t xml:space="preserve"> - </w:t>
            </w:r>
            <w:r w:rsidRPr="005D642E">
              <w:rPr>
                <w:rtl/>
              </w:rPr>
              <w:t>« على الأرواح</w:t>
            </w:r>
            <w:r>
              <w:rPr>
                <w:rtl/>
              </w:rPr>
              <w:t xml:space="preserve"> ».</w:t>
            </w:r>
          </w:p>
        </w:tc>
        <w:tc>
          <w:tcPr>
            <w:tcW w:w="4006" w:type="dxa"/>
          </w:tcPr>
          <w:p w:rsidR="00775A6B" w:rsidRDefault="00775A6B" w:rsidP="00E3253D">
            <w:pPr>
              <w:pStyle w:val="libFootnote0"/>
              <w:rPr>
                <w:rStyle w:val="libFootnote0Char"/>
                <w:rtl/>
              </w:rPr>
            </w:pPr>
            <w:r w:rsidRPr="0042621E">
              <w:rPr>
                <w:rStyle w:val="libFootnote0Char"/>
                <w:rtl/>
              </w:rPr>
              <w:t>(4).</w:t>
            </w:r>
            <w:r>
              <w:rPr>
                <w:rtl/>
              </w:rPr>
              <w:t xml:space="preserve"> في «ى،بح ،بس ،جح</w:t>
            </w:r>
            <w:r w:rsidRPr="005D642E">
              <w:rPr>
                <w:rtl/>
              </w:rPr>
              <w:t xml:space="preserve">» </w:t>
            </w:r>
            <w:r w:rsidRPr="000D749A">
              <w:rPr>
                <w:rStyle w:val="libFootnoteBoldChar"/>
                <w:rtl/>
              </w:rPr>
              <w:t>والوافي</w:t>
            </w:r>
            <w:r>
              <w:rPr>
                <w:rtl/>
              </w:rPr>
              <w:t>والبحار:«</w:t>
            </w:r>
            <w:r w:rsidRPr="005D642E">
              <w:rPr>
                <w:rtl/>
              </w:rPr>
              <w:t>تقول</w:t>
            </w:r>
            <w:r>
              <w:rPr>
                <w:rtl/>
              </w:rPr>
              <w:t>».</w:t>
            </w:r>
          </w:p>
        </w:tc>
      </w:tr>
    </w:tbl>
    <w:p w:rsidR="00E3253D" w:rsidRPr="005D642E" w:rsidRDefault="0042621E" w:rsidP="00775A6B">
      <w:pPr>
        <w:pStyle w:val="libFootnote0"/>
        <w:rPr>
          <w:rtl/>
          <w:lang w:bidi="fa-IR"/>
        </w:rPr>
      </w:pPr>
      <w:r w:rsidRPr="0042621E">
        <w:rPr>
          <w:rStyle w:val="libFootnote0Char"/>
          <w:rtl/>
        </w:rPr>
        <w:t>(5).</w:t>
      </w:r>
      <w:r w:rsidR="00E3253D" w:rsidRPr="005D642E">
        <w:rPr>
          <w:rtl/>
        </w:rPr>
        <w:t xml:space="preserve"> في « ى ، بث ، بخ ، بس » : « قد أقبلت</w:t>
      </w:r>
      <w:r w:rsidR="00E3253D">
        <w:rPr>
          <w:rtl/>
        </w:rPr>
        <w:t xml:space="preserve"> ».</w:t>
      </w:r>
      <w:r w:rsidR="00E3253D" w:rsidRPr="005D642E">
        <w:rPr>
          <w:rtl/>
        </w:rPr>
        <w:t xml:space="preserve"> والإفلات والتفلّت والانفلات : التخلّص من الشي‌ء فجأة من غير مكث. راجع : </w:t>
      </w:r>
      <w:r w:rsidR="00E3253D" w:rsidRPr="002F4D34">
        <w:rPr>
          <w:rStyle w:val="libFootnoteBoldChar"/>
          <w:rtl/>
        </w:rPr>
        <w:t>النهاية</w:t>
      </w:r>
      <w:r w:rsidR="00E3253D" w:rsidRPr="005D642E">
        <w:rPr>
          <w:rtl/>
        </w:rPr>
        <w:t xml:space="preserve"> ، ج 3 ، ص 467 ( فلت )</w:t>
      </w:r>
      <w:r w:rsidR="00E3253D">
        <w:rPr>
          <w:rtl/>
        </w:rPr>
        <w:t>.</w:t>
      </w:r>
      <w:r w:rsidR="00775A6B">
        <w:rPr>
          <w:rFonts w:hint="cs"/>
          <w:rtl/>
        </w:rPr>
        <w:t xml:space="preserve">   </w:t>
      </w:r>
      <w:r w:rsidRPr="0042621E">
        <w:rPr>
          <w:rStyle w:val="libFootnote0Char"/>
          <w:rtl/>
        </w:rPr>
        <w:t>(6).</w:t>
      </w:r>
      <w:r w:rsidR="00E3253D" w:rsidRPr="005D642E">
        <w:rPr>
          <w:rtl/>
        </w:rPr>
        <w:t xml:space="preserve"> في « بخ » : « تركتهم</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هوى ، أي سقط إلى أسفل وهبط. وفي </w:t>
      </w:r>
      <w:r w:rsidR="00E3253D" w:rsidRPr="002F4D34">
        <w:rPr>
          <w:rStyle w:val="libFootnoteBoldChar"/>
          <w:rtl/>
        </w:rPr>
        <w:t>المرآة</w:t>
      </w:r>
      <w:r w:rsidR="00E3253D" w:rsidRPr="005D642E">
        <w:rPr>
          <w:rtl/>
        </w:rPr>
        <w:t xml:space="preserve"> : « والمعنى : سقط إلى دركات الجحيم ؛ إذ لو كان من السعداء لكان يلحق بنا</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6 ، ص 2538 ( هوى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الفقيه</w:t>
      </w:r>
      <w:r w:rsidR="00E3253D" w:rsidRPr="005D642E">
        <w:rPr>
          <w:rtl/>
        </w:rPr>
        <w:t xml:space="preserve"> ، ج 1 ، ص 193 ، ح 593 ، مرسلاً ، مع اختلاف يسير </w:t>
      </w:r>
      <w:r w:rsidR="00775A6B">
        <w:rPr>
          <w:rFonts w:hint="cs"/>
          <w:rtl/>
        </w:rPr>
        <w:t>.</w:t>
      </w:r>
      <w:r w:rsidR="00E3253D" w:rsidRPr="002F4D34">
        <w:rPr>
          <w:rStyle w:val="libFootnoteBoldChar"/>
          <w:rtl/>
        </w:rPr>
        <w:t>الوافي</w:t>
      </w:r>
      <w:r w:rsidR="00E3253D" w:rsidRPr="005D642E">
        <w:rPr>
          <w:rtl/>
        </w:rPr>
        <w:t xml:space="preserve"> ، ج 25 ، ص 633 ، ح 24782 ؛ </w:t>
      </w:r>
      <w:r w:rsidR="00E3253D" w:rsidRPr="002F4D34">
        <w:rPr>
          <w:rStyle w:val="libFootnoteBoldChar"/>
          <w:rtl/>
        </w:rPr>
        <w:t>البحار</w:t>
      </w:r>
      <w:r w:rsidR="00E3253D" w:rsidRPr="005D642E">
        <w:rPr>
          <w:rtl/>
        </w:rPr>
        <w:t xml:space="preserve"> ، ج 6 ، ص 269 ، ح 121.</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جميع النسخ التي قوبلت</w:t>
      </w:r>
      <w:r w:rsidR="00E3253D" w:rsidRPr="00775A6B">
        <w:rPr>
          <w:rtl/>
        </w:rPr>
        <w:t xml:space="preserve"> </w:t>
      </w:r>
      <w:r w:rsidR="000D749A" w:rsidRPr="00775A6B">
        <w:rPr>
          <w:rtl/>
        </w:rPr>
        <w:t>والوافي</w:t>
      </w:r>
      <w:r w:rsidR="00E3253D" w:rsidRPr="005D642E">
        <w:rPr>
          <w:rtl/>
        </w:rPr>
        <w:t xml:space="preserve"> والبحار والزهد. وفي المطبوع : « الساعة لنا</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الزهد</w:t>
      </w:r>
      <w:r w:rsidR="00E3253D" w:rsidRPr="005D642E">
        <w:rPr>
          <w:rtl/>
        </w:rPr>
        <w:t xml:space="preserve"> ، ص 164 ، ح 243 ، عن محمّد بن أبي عمير ، عن عليّ ، عن أبي بصير. </w:t>
      </w:r>
      <w:r w:rsidR="00E3253D" w:rsidRPr="002F4D34">
        <w:rPr>
          <w:rStyle w:val="libFootnoteBoldChar"/>
          <w:rtl/>
        </w:rPr>
        <w:t>المحاسن</w:t>
      </w:r>
      <w:r w:rsidR="00E3253D" w:rsidRPr="005D642E">
        <w:rPr>
          <w:rtl/>
        </w:rPr>
        <w:t xml:space="preserve"> ، ص 178 ، كتاب الصفوة ، ح 165 ، بسند آخر ، إلى قوله : « وأنجز لنا ما وعدتنا » مع اختلاف يسير وزيادة في آخره </w:t>
      </w:r>
      <w:r w:rsidR="00775A6B">
        <w:rPr>
          <w:rFonts w:hint="cs"/>
          <w:rtl/>
        </w:rPr>
        <w:t>.</w:t>
      </w:r>
      <w:r w:rsidR="00E3253D" w:rsidRPr="002F4D34">
        <w:rPr>
          <w:rStyle w:val="libFootnoteBoldChar"/>
          <w:rtl/>
        </w:rPr>
        <w:t>الوافي</w:t>
      </w:r>
      <w:r w:rsidR="00E3253D" w:rsidRPr="005D642E">
        <w:rPr>
          <w:rtl/>
        </w:rPr>
        <w:t xml:space="preserve"> ، ج 25 ، ص 634 ، ح 24783 ؛ </w:t>
      </w:r>
      <w:r w:rsidR="00E3253D" w:rsidRPr="002F4D34">
        <w:rPr>
          <w:rStyle w:val="libFootnoteBoldChar"/>
          <w:rtl/>
        </w:rPr>
        <w:t>البحار</w:t>
      </w:r>
      <w:r w:rsidR="00E3253D" w:rsidRPr="005D642E">
        <w:rPr>
          <w:rtl/>
        </w:rPr>
        <w:t xml:space="preserve"> ، ج 6 ، ص 269 ، ح 122.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مَاتَ الْمَيِّتُ ، اجْتَمَعُوا عِنْدَهُ يَسْأَلُونَهُ </w:t>
      </w:r>
      <w:r w:rsidRPr="007C12DB">
        <w:rPr>
          <w:rStyle w:val="libFootnotenumChar"/>
          <w:rtl/>
        </w:rPr>
        <w:t>(1)</w:t>
      </w:r>
      <w:r w:rsidRPr="005D642E">
        <w:rPr>
          <w:rtl/>
          <w:lang w:bidi="fa-IR"/>
        </w:rPr>
        <w:t xml:space="preserve"> عَمَّنْ مَضى</w:t>
      </w:r>
      <w:r>
        <w:rPr>
          <w:rFonts w:hint="cs"/>
          <w:rtl/>
          <w:lang w:bidi="fa-IR"/>
        </w:rPr>
        <w:t xml:space="preserve"> </w:t>
      </w:r>
      <w:r w:rsidRPr="005D642E">
        <w:rPr>
          <w:rtl/>
          <w:lang w:bidi="fa-IR"/>
        </w:rPr>
        <w:t xml:space="preserve">وعَمَّنْ بَقِيَ ، فَإِنْ كَانَ مَاتَ وَلَمْ يَرِدْ عَلَيْهِمْ ، قَالُوا : قَدْ هَوى هَوى ، وَيَقُولُ </w:t>
      </w:r>
      <w:r w:rsidRPr="007C12DB">
        <w:rPr>
          <w:rStyle w:val="libFootnotenumChar"/>
          <w:rtl/>
        </w:rPr>
        <w:t>(2)</w:t>
      </w:r>
      <w:r w:rsidRPr="005D642E">
        <w:rPr>
          <w:rtl/>
          <w:lang w:bidi="fa-IR"/>
        </w:rPr>
        <w:t xml:space="preserve"> بَعْضُهُمْ لِبَعْضٍ : دَعُوهُ حَتّى يَسْكُنَ مِمَّا مَرَّ عَلَيْهِ مِنَ الْمَوْتِ</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F70C08">
        <w:rPr>
          <w:rtl/>
        </w:rPr>
        <w:t>4723</w:t>
      </w:r>
      <w:r w:rsidRPr="00246318">
        <w:rPr>
          <w:rStyle w:val="libBold2Char"/>
          <w:rtl/>
        </w:rPr>
        <w:t xml:space="preserve"> / 6.</w:t>
      </w:r>
      <w:r w:rsidRPr="005D642E">
        <w:rPr>
          <w:rtl/>
          <w:lang w:bidi="fa-IR"/>
        </w:rPr>
        <w:t xml:space="preserve"> مُحَمَّدُ بْنُ يَحْيى ، عَنْ أَحْمَدَ بْنِ مُحَمَّدِ بْنِ عِيسى ، عَنْ مُحَمَّدِ بْنِ خَالِدٍ ، عَنِ الْقَاسِمِ بْنِ مُحَمَّدٍ ، عَنِ الْحُسَيْنِ بْنِ أَحْمَدَ </w:t>
      </w:r>
      <w:r w:rsidRPr="007C12DB">
        <w:rPr>
          <w:rStyle w:val="libFootnotenumChar"/>
          <w:rtl/>
        </w:rPr>
        <w:t>(4)</w:t>
      </w:r>
      <w:r w:rsidRPr="005D642E">
        <w:rPr>
          <w:rtl/>
          <w:lang w:bidi="fa-IR"/>
        </w:rPr>
        <w:t xml:space="preserve"> ، عَنْ يُونُسَ بْنِ ظَبْيَانَ ، قَالَ :</w:t>
      </w:r>
    </w:p>
    <w:p w:rsidR="00E3253D" w:rsidRPr="005D642E" w:rsidRDefault="00E3253D" w:rsidP="00E3253D">
      <w:pPr>
        <w:pStyle w:val="libNormal"/>
        <w:rPr>
          <w:rtl/>
          <w:lang w:bidi="fa-IR"/>
        </w:rPr>
      </w:pPr>
      <w:r w:rsidRPr="005D642E">
        <w:rPr>
          <w:rtl/>
          <w:lang w:bidi="fa-IR"/>
        </w:rPr>
        <w:t xml:space="preserve">كُنْتُ عِنْدَ أَبِي عَبْدِ اللهِ </w:t>
      </w:r>
      <w:r w:rsidRPr="00AC51C5">
        <w:rPr>
          <w:rStyle w:val="libAlaemChar"/>
          <w:rtl/>
        </w:rPr>
        <w:t>عليه‌السلام</w:t>
      </w:r>
      <w:r w:rsidRPr="005D642E">
        <w:rPr>
          <w:rtl/>
          <w:lang w:bidi="fa-IR"/>
        </w:rPr>
        <w:t xml:space="preserve"> ، فَقَالَ </w:t>
      </w:r>
      <w:r w:rsidRPr="007C12DB">
        <w:rPr>
          <w:rStyle w:val="libFootnotenumChar"/>
          <w:rtl/>
        </w:rPr>
        <w:t>(5)</w:t>
      </w:r>
      <w:r w:rsidRPr="005D642E">
        <w:rPr>
          <w:rtl/>
          <w:lang w:bidi="fa-IR"/>
        </w:rPr>
        <w:t xml:space="preserve"> : « مَا يَقُولُ </w:t>
      </w:r>
      <w:r w:rsidRPr="007C12DB">
        <w:rPr>
          <w:rStyle w:val="libFootnotenumChar"/>
          <w:rtl/>
        </w:rPr>
        <w:t>(6)</w:t>
      </w:r>
      <w:r w:rsidRPr="005D642E">
        <w:rPr>
          <w:rtl/>
          <w:lang w:bidi="fa-IR"/>
        </w:rPr>
        <w:t xml:space="preserve"> النَّاسُ فِي أَرْوَاحِ الْمُؤْمِنِينَ</w:t>
      </w:r>
      <w:r>
        <w:rPr>
          <w:rtl/>
          <w:lang w:bidi="fa-IR"/>
        </w:rPr>
        <w:t>؟ ».</w:t>
      </w:r>
    </w:p>
    <w:p w:rsidR="00E3253D" w:rsidRPr="005D642E" w:rsidRDefault="00E3253D" w:rsidP="00E3253D">
      <w:pPr>
        <w:pStyle w:val="libNormal"/>
        <w:rPr>
          <w:rtl/>
          <w:lang w:bidi="fa-IR"/>
        </w:rPr>
      </w:pPr>
      <w:r w:rsidRPr="005D642E">
        <w:rPr>
          <w:rtl/>
          <w:lang w:bidi="fa-IR"/>
        </w:rPr>
        <w:t xml:space="preserve">فَقُلْتُ : يَقُولُونَ : تَكُونُ </w:t>
      </w:r>
      <w:r w:rsidRPr="007C12DB">
        <w:rPr>
          <w:rStyle w:val="libFootnotenumChar"/>
          <w:rtl/>
        </w:rPr>
        <w:t>(7)</w:t>
      </w:r>
      <w:r w:rsidRPr="005D642E">
        <w:rPr>
          <w:rtl/>
          <w:lang w:bidi="fa-IR"/>
        </w:rPr>
        <w:t xml:space="preserve"> فِي حَوَاصِلِ طُيُورٍ خُضْرٍ فِي قَنَادِيلَ تَحْتَ الْعَرْشِ.</w:t>
      </w:r>
    </w:p>
    <w:p w:rsidR="00E3253D" w:rsidRPr="005D642E" w:rsidRDefault="00E3253D" w:rsidP="00E3253D">
      <w:pPr>
        <w:pStyle w:val="libNormal"/>
        <w:rPr>
          <w:rtl/>
          <w:lang w:bidi="fa-IR"/>
        </w:rPr>
      </w:pPr>
      <w:r w:rsidRPr="005D642E">
        <w:rPr>
          <w:rtl/>
          <w:lang w:bidi="fa-IR"/>
        </w:rPr>
        <w:t xml:space="preserve">فَقَالَ أَبُو عَبْدِ اللهِ </w:t>
      </w:r>
      <w:r w:rsidRPr="00AC51C5">
        <w:rPr>
          <w:rStyle w:val="libAlaemChar"/>
          <w:rtl/>
        </w:rPr>
        <w:t>عليه‌السلام</w:t>
      </w:r>
      <w:r w:rsidRPr="005D642E">
        <w:rPr>
          <w:rtl/>
          <w:lang w:bidi="fa-IR"/>
        </w:rPr>
        <w:t xml:space="preserve"> </w:t>
      </w:r>
      <w:r w:rsidRPr="007C12DB">
        <w:rPr>
          <w:rStyle w:val="libFootnotenumChar"/>
          <w:rtl/>
        </w:rPr>
        <w:t>(8)</w:t>
      </w:r>
      <w:r w:rsidRPr="005D642E">
        <w:rPr>
          <w:rtl/>
          <w:lang w:bidi="fa-IR"/>
        </w:rPr>
        <w:t xml:space="preserve"> : « سُبْحَانَ اللهِ</w:t>
      </w:r>
      <w:r>
        <w:rPr>
          <w:rtl/>
          <w:lang w:bidi="fa-IR"/>
        </w:rPr>
        <w:t>!</w:t>
      </w:r>
      <w:r w:rsidRPr="005D642E">
        <w:rPr>
          <w:rtl/>
          <w:lang w:bidi="fa-IR"/>
        </w:rPr>
        <w:t xml:space="preserve"> الْمُؤْمِنُ أَكْرَمُ عَلَى اللهِ مِنْ أَنْ يَجْعَلَ رُوحَهُ فِي حَوْصَلَةِ طَيْرٍ </w:t>
      </w:r>
      <w:r w:rsidRPr="007C12DB">
        <w:rPr>
          <w:rStyle w:val="libFootnotenumChar"/>
          <w:rtl/>
        </w:rPr>
        <w:t>(9)</w:t>
      </w:r>
      <w:r w:rsidRPr="005D642E">
        <w:rPr>
          <w:rtl/>
          <w:lang w:bidi="fa-IR"/>
        </w:rPr>
        <w:t xml:space="preserve"> ، يَا يُونُسُ ، إِذَا كَانَ ذلِكَ </w:t>
      </w:r>
      <w:r w:rsidRPr="007C12DB">
        <w:rPr>
          <w:rStyle w:val="libFootnotenumChar"/>
          <w:rtl/>
        </w:rPr>
        <w:t>(10)</w:t>
      </w:r>
      <w:r w:rsidRPr="005D642E">
        <w:rPr>
          <w:rtl/>
          <w:lang w:bidi="fa-IR"/>
        </w:rPr>
        <w:t xml:space="preserve"> ، أَتَاهُ مُحَمَّدٌ </w:t>
      </w:r>
      <w:r w:rsidR="0042621E" w:rsidRPr="0042621E">
        <w:rPr>
          <w:rStyle w:val="libAlaemChar"/>
          <w:rtl/>
        </w:rPr>
        <w:t>صلى‌الله‌عليه‌وآله</w:t>
      </w:r>
      <w:r w:rsidRPr="005D642E">
        <w:rPr>
          <w:rtl/>
          <w:lang w:bidi="fa-IR"/>
        </w:rPr>
        <w:t xml:space="preserve"> وَعَلِيٌّ وَفَاطِمَةُ وَالْحَسَنُ وَالْحُسَيْنُ </w:t>
      </w:r>
      <w:r w:rsidRPr="00AC51C5">
        <w:rPr>
          <w:rStyle w:val="libAlaemChar"/>
          <w:rtl/>
        </w:rPr>
        <w:t>عليهم‌السلام</w:t>
      </w:r>
      <w:r w:rsidRPr="005D642E">
        <w:rPr>
          <w:rtl/>
          <w:lang w:bidi="fa-IR"/>
        </w:rPr>
        <w:t xml:space="preserve"> وَالْمَلَائِكَةُ الْمُقَرَّبُونَ </w:t>
      </w:r>
      <w:r w:rsidRPr="00AC51C5">
        <w:rPr>
          <w:rStyle w:val="libAlaemChar"/>
          <w:rtl/>
        </w:rPr>
        <w:t>عليهم‌السلام</w:t>
      </w:r>
      <w:r w:rsidRPr="005D642E">
        <w:rPr>
          <w:rtl/>
          <w:lang w:bidi="fa-IR"/>
        </w:rPr>
        <w:t xml:space="preserve"> ، فَإِذَا قَبَضَهُ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صَيَّرَ تِلْكَ الرُّوحَ فِي قَالَبٍ كَقَالَبِهِ فِي الدُّنْيَا ، فَيَأْكُلُونَ وَيَشْرَبُونَ ، فَإِذَا قَدِمَ عَلَيْهِمُ الْقَادِمُ ، عَرَفُوهُ بِتِلْكَ الصُّورَةِ‌</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w:t>
      </w:r>
      <w:r w:rsidR="00E3253D" w:rsidRPr="00775A6B">
        <w:rPr>
          <w:rtl/>
        </w:rPr>
        <w:t xml:space="preserve"> </w:t>
      </w:r>
      <w:r w:rsidR="000D749A" w:rsidRPr="00775A6B">
        <w:rPr>
          <w:rtl/>
        </w:rPr>
        <w:t>والوافي</w:t>
      </w:r>
      <w:r w:rsidR="00E3253D" w:rsidRPr="005D642E">
        <w:rPr>
          <w:rtl/>
        </w:rPr>
        <w:t xml:space="preserve"> : « فسألوه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 « ويقولون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25 ، ص 634 ، ح 24784 ؛ </w:t>
      </w:r>
      <w:r w:rsidR="00E3253D" w:rsidRPr="002F4D34">
        <w:rPr>
          <w:rStyle w:val="libFootnoteBoldChar"/>
          <w:rtl/>
        </w:rPr>
        <w:t>البحار</w:t>
      </w:r>
      <w:r w:rsidR="00E3253D" w:rsidRPr="005D642E">
        <w:rPr>
          <w:rtl/>
        </w:rPr>
        <w:t xml:space="preserve"> ، ج 6 ، ص 269 ، ح 123.</w:t>
      </w:r>
    </w:p>
    <w:p w:rsidR="00E3253D" w:rsidRDefault="0042621E" w:rsidP="00E3253D">
      <w:pPr>
        <w:pStyle w:val="libFootnote0"/>
        <w:rPr>
          <w:rtl/>
        </w:rPr>
      </w:pPr>
      <w:r w:rsidRPr="0042621E">
        <w:rPr>
          <w:rStyle w:val="libFootnote0Char"/>
          <w:rtl/>
        </w:rPr>
        <w:t>(4).</w:t>
      </w:r>
      <w:r w:rsidR="00E3253D" w:rsidRPr="005D642E">
        <w:rPr>
          <w:rtl/>
        </w:rPr>
        <w:t xml:space="preserve"> ورد الخبر في كتاب </w:t>
      </w:r>
      <w:r w:rsidR="00E3253D" w:rsidRPr="002F4D34">
        <w:rPr>
          <w:rStyle w:val="libFootnoteBoldChar"/>
          <w:rtl/>
        </w:rPr>
        <w:t>الزهد</w:t>
      </w:r>
      <w:r w:rsidR="00E3253D" w:rsidRPr="005D642E">
        <w:rPr>
          <w:rtl/>
        </w:rPr>
        <w:t xml:space="preserve"> للحسين بن سعيد ، ص 164 ، ح 244 ، وسنده هكذا : « القاسم ، عن الحسين بن حمّاد ، عن يونس بن ظبيان</w:t>
      </w:r>
      <w:r w:rsidR="00E3253D">
        <w:rPr>
          <w:rtl/>
        </w:rPr>
        <w:t xml:space="preserve"> ».</w:t>
      </w:r>
    </w:p>
    <w:p w:rsidR="00E3253D" w:rsidRPr="005D642E" w:rsidRDefault="00E3253D" w:rsidP="00E3253D">
      <w:pPr>
        <w:pStyle w:val="libFootnote0"/>
        <w:rPr>
          <w:rtl/>
          <w:lang w:bidi="fa-IR"/>
        </w:rPr>
      </w:pPr>
      <w:r w:rsidRPr="005D642E">
        <w:rPr>
          <w:rtl/>
        </w:rPr>
        <w:t xml:space="preserve">والظاهر أنّ الحسين بن حمّاد ، مصحّف ، والصواب هو الحسين بن أحمد ، كما في ما نحن فيه ، والمراد به هو الحسين بن أحمد المنقري الذي روى عن يونس [ بن ظبيان ] في بعض الأسناد. راجع : </w:t>
      </w:r>
      <w:r w:rsidRPr="002F4D34">
        <w:rPr>
          <w:rStyle w:val="libFootnoteBoldChar"/>
          <w:rtl/>
        </w:rPr>
        <w:t>معجم</w:t>
      </w:r>
      <w:r w:rsidR="00775A6B">
        <w:rPr>
          <w:rStyle w:val="libFootnoteBoldChar"/>
          <w:rFonts w:hint="cs"/>
          <w:rtl/>
        </w:rPr>
        <w:t xml:space="preserve"> </w:t>
      </w:r>
      <w:r w:rsidRPr="002F4D34">
        <w:rPr>
          <w:rStyle w:val="libFootnoteBoldChar"/>
          <w:rtl/>
        </w:rPr>
        <w:t>‌رجال الحديث</w:t>
      </w:r>
      <w:r w:rsidRPr="005D642E">
        <w:rPr>
          <w:rtl/>
        </w:rPr>
        <w:t xml:space="preserve"> ، ج 5 ، ص 408</w:t>
      </w:r>
      <w:r>
        <w:rPr>
          <w:rtl/>
        </w:rPr>
        <w:t xml:space="preserve"> </w:t>
      </w:r>
      <w:r w:rsidR="007642BC">
        <w:rPr>
          <w:rtl/>
        </w:rPr>
        <w:t>-</w:t>
      </w:r>
      <w:r>
        <w:rPr>
          <w:rtl/>
        </w:rPr>
        <w:t xml:space="preserve"> </w:t>
      </w:r>
      <w:r w:rsidRPr="005D642E">
        <w:rPr>
          <w:rtl/>
        </w:rPr>
        <w:t>409.</w:t>
      </w:r>
    </w:p>
    <w:p w:rsidR="00E3253D" w:rsidRPr="005D642E" w:rsidRDefault="00E3253D" w:rsidP="00E3253D">
      <w:pPr>
        <w:pStyle w:val="libFootnote0"/>
        <w:rPr>
          <w:rtl/>
          <w:lang w:bidi="fa-IR"/>
        </w:rPr>
      </w:pPr>
      <w:r w:rsidRPr="00B60612">
        <w:rPr>
          <w:rtl/>
        </w:rPr>
        <w:t xml:space="preserve">ويؤيّد ذلك أنّ الخبر رواه الشيخ الطوسي في </w:t>
      </w:r>
      <w:r w:rsidRPr="002F4D34">
        <w:rPr>
          <w:rStyle w:val="libFootnoteBoldChar"/>
          <w:rtl/>
        </w:rPr>
        <w:t>الأمالي</w:t>
      </w:r>
      <w:r w:rsidRPr="00B60612">
        <w:rPr>
          <w:rtl/>
        </w:rPr>
        <w:t xml:space="preserve"> ، ص 418 ، ح 90 بسنده عن الحسين بن سعيد ، عن القاسم بن محمّد الجوهري ، عن الحسين بن أحمد ، عن يونس بن ظبيان.</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والزهد : + « لي</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بث ، بس » : « ما تقول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775A6B" w:rsidTr="00775A6B">
        <w:tc>
          <w:tcPr>
            <w:tcW w:w="4006" w:type="dxa"/>
          </w:tcPr>
          <w:p w:rsidR="00775A6B" w:rsidRDefault="00775A6B" w:rsidP="00E3253D">
            <w:pPr>
              <w:pStyle w:val="libFootnote0"/>
              <w:rPr>
                <w:rStyle w:val="libFootnote0Char"/>
                <w:rtl/>
              </w:rPr>
            </w:pPr>
            <w:r w:rsidRPr="0042621E">
              <w:rPr>
                <w:rStyle w:val="libFootnote0Char"/>
                <w:rtl/>
              </w:rPr>
              <w:t>(7).</w:t>
            </w:r>
            <w:r w:rsidRPr="005D642E">
              <w:rPr>
                <w:rtl/>
              </w:rPr>
              <w:t xml:space="preserve"> في « بخ ، جس » : « يكون</w:t>
            </w:r>
            <w:r>
              <w:rPr>
                <w:rtl/>
              </w:rPr>
              <w:t xml:space="preserve"> ».</w:t>
            </w:r>
          </w:p>
        </w:tc>
        <w:tc>
          <w:tcPr>
            <w:tcW w:w="4006" w:type="dxa"/>
          </w:tcPr>
          <w:p w:rsidR="00775A6B" w:rsidRDefault="00775A6B" w:rsidP="00E3253D">
            <w:pPr>
              <w:pStyle w:val="libFootnote0"/>
              <w:rPr>
                <w:rStyle w:val="libFootnote0Char"/>
                <w:rtl/>
              </w:rPr>
            </w:pPr>
            <w:r w:rsidRPr="0042621E">
              <w:rPr>
                <w:rStyle w:val="libFootnote0Char"/>
                <w:rtl/>
              </w:rPr>
              <w:t>(8).</w:t>
            </w:r>
            <w:r w:rsidRPr="005D642E">
              <w:rPr>
                <w:rtl/>
              </w:rPr>
              <w:t xml:space="preserve"> في الوافي : + « جالساً</w:t>
            </w:r>
            <w:r>
              <w:rPr>
                <w:rtl/>
              </w:rPr>
              <w:t xml:space="preserve"> ».</w:t>
            </w:r>
          </w:p>
        </w:tc>
      </w:tr>
      <w:tr w:rsidR="00775A6B" w:rsidTr="00775A6B">
        <w:tc>
          <w:tcPr>
            <w:tcW w:w="4006" w:type="dxa"/>
          </w:tcPr>
          <w:p w:rsidR="00775A6B" w:rsidRDefault="00775A6B" w:rsidP="00E3253D">
            <w:pPr>
              <w:pStyle w:val="libFootnote0"/>
              <w:rPr>
                <w:rStyle w:val="libFootnote0Char"/>
                <w:rtl/>
              </w:rPr>
            </w:pPr>
            <w:r w:rsidRPr="0042621E">
              <w:rPr>
                <w:rStyle w:val="libFootnote0Char"/>
                <w:rtl/>
              </w:rPr>
              <w:t>(9).</w:t>
            </w:r>
            <w:r w:rsidRPr="005D642E">
              <w:rPr>
                <w:rtl/>
              </w:rPr>
              <w:t xml:space="preserve"> في الزهد : + « أخضر</w:t>
            </w:r>
            <w:r>
              <w:rPr>
                <w:rtl/>
              </w:rPr>
              <w:t xml:space="preserve"> ».</w:t>
            </w:r>
          </w:p>
        </w:tc>
        <w:tc>
          <w:tcPr>
            <w:tcW w:w="4006" w:type="dxa"/>
          </w:tcPr>
          <w:p w:rsidR="00775A6B" w:rsidRDefault="00775A6B" w:rsidP="00E3253D">
            <w:pPr>
              <w:pStyle w:val="libFootnote0"/>
              <w:rPr>
                <w:rStyle w:val="libFootnote0Char"/>
                <w:rtl/>
              </w:rPr>
            </w:pPr>
            <w:r w:rsidRPr="0042621E">
              <w:rPr>
                <w:rStyle w:val="libFootnote0Char"/>
                <w:rtl/>
              </w:rPr>
              <w:t>(10).</w:t>
            </w:r>
            <w:r w:rsidRPr="005D642E">
              <w:rPr>
                <w:rtl/>
              </w:rPr>
              <w:t xml:space="preserve"> في « بخ ، بس » </w:t>
            </w:r>
            <w:r w:rsidRPr="00775A6B">
              <w:rPr>
                <w:rtl/>
              </w:rPr>
              <w:t>والوافي</w:t>
            </w:r>
            <w:r w:rsidRPr="005D642E">
              <w:rPr>
                <w:rtl/>
              </w:rPr>
              <w:t xml:space="preserve"> : « ذاك</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الَّتِي كَانَتْ فِي الدُّنْيَا</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F70C08">
        <w:rPr>
          <w:rtl/>
        </w:rPr>
        <w:t>4724</w:t>
      </w:r>
      <w:r w:rsidRPr="00246318">
        <w:rPr>
          <w:rStyle w:val="libBold2Char"/>
          <w:rtl/>
        </w:rPr>
        <w:t xml:space="preserve"> / 7.</w:t>
      </w:r>
      <w:r w:rsidRPr="005D642E">
        <w:rPr>
          <w:rtl/>
          <w:lang w:bidi="fa-IR"/>
        </w:rPr>
        <w:t xml:space="preserve"> مُحَمَّدٌ ، عَنْ أَحْمَدَ </w:t>
      </w:r>
      <w:r w:rsidRPr="007C12DB">
        <w:rPr>
          <w:rStyle w:val="libFootnotenumChar"/>
          <w:rtl/>
        </w:rPr>
        <w:t>(2)</w:t>
      </w:r>
      <w:r w:rsidRPr="005D642E">
        <w:rPr>
          <w:rtl/>
          <w:lang w:bidi="fa-IR"/>
        </w:rPr>
        <w:t xml:space="preserve"> ، عَنِ الْحُسَيْنِ بْنِ سَعِيدٍ ، عَنْ أَخِيهِ الْحَسَنِ ، عَنْ زُرْعَةَ ، عَنْ أَبِي بَصِيرٍ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إِنَّا نَتَحَدَّثُ عَنْ أَرْوَاحِ الْمُؤْمِنِينَ أَنَّهَا </w:t>
      </w:r>
      <w:r w:rsidRPr="007C12DB">
        <w:rPr>
          <w:rStyle w:val="libFootnotenumChar"/>
          <w:rtl/>
        </w:rPr>
        <w:t>(3)</w:t>
      </w:r>
      <w:r w:rsidRPr="005D642E">
        <w:rPr>
          <w:rtl/>
          <w:lang w:bidi="fa-IR"/>
        </w:rPr>
        <w:t xml:space="preserve"> فِي حَوَاصِلِ طُيُورٍ </w:t>
      </w:r>
      <w:r w:rsidRPr="007C12DB">
        <w:rPr>
          <w:rStyle w:val="libFootnotenumChar"/>
          <w:rtl/>
        </w:rPr>
        <w:t>(4)</w:t>
      </w:r>
      <w:r w:rsidRPr="005D642E">
        <w:rPr>
          <w:rtl/>
          <w:lang w:bidi="fa-IR"/>
        </w:rPr>
        <w:t xml:space="preserve"> خُضْرٍ تَرْعى فِي الْجَنَّةِ ، وَتَأْوِي إِلى قَنَادِيلَ تَحْتَ الْعَرْشِ</w:t>
      </w:r>
      <w:r>
        <w:rPr>
          <w:rtl/>
          <w:lang w:bidi="fa-IR"/>
        </w:rPr>
        <w:t>؟</w:t>
      </w:r>
    </w:p>
    <w:p w:rsidR="00E3253D" w:rsidRPr="005D642E" w:rsidRDefault="00E3253D" w:rsidP="00E3253D">
      <w:pPr>
        <w:pStyle w:val="libNormal"/>
        <w:rPr>
          <w:rtl/>
          <w:lang w:bidi="fa-IR"/>
        </w:rPr>
      </w:pPr>
      <w:r w:rsidRPr="005D642E">
        <w:rPr>
          <w:rtl/>
          <w:lang w:bidi="fa-IR"/>
        </w:rPr>
        <w:t xml:space="preserve">فَقَالَ : « لَا ، إِذاً مَا هِيَ فِي حَوَاصِلِ طَيْرٍ </w:t>
      </w:r>
      <w:r w:rsidRPr="007C12DB">
        <w:rPr>
          <w:rStyle w:val="libFootnotenumChar"/>
          <w:rtl/>
        </w:rPr>
        <w:t>(5)</w:t>
      </w:r>
      <w:r>
        <w:rPr>
          <w:rtl/>
          <w:lang w:bidi="fa-IR"/>
        </w:rPr>
        <w:t xml:space="preserve"> ».</w:t>
      </w:r>
    </w:p>
    <w:p w:rsidR="00E3253D" w:rsidRPr="005D642E" w:rsidRDefault="00E3253D" w:rsidP="00E3253D">
      <w:pPr>
        <w:pStyle w:val="libNormal"/>
        <w:rPr>
          <w:rtl/>
          <w:lang w:bidi="fa-IR"/>
        </w:rPr>
      </w:pPr>
      <w:r w:rsidRPr="005D642E">
        <w:rPr>
          <w:rtl/>
          <w:lang w:bidi="fa-IR"/>
        </w:rPr>
        <w:t>قُلْتُ : فَأَيْنَ هِيَ</w:t>
      </w:r>
      <w:r>
        <w:rPr>
          <w:rtl/>
          <w:lang w:bidi="fa-IR"/>
        </w:rPr>
        <w:t>؟</w:t>
      </w:r>
    </w:p>
    <w:p w:rsidR="00E3253D" w:rsidRPr="005D642E" w:rsidRDefault="00E3253D" w:rsidP="00E3253D">
      <w:pPr>
        <w:pStyle w:val="libNormal"/>
        <w:rPr>
          <w:rtl/>
          <w:lang w:bidi="fa-IR"/>
        </w:rPr>
      </w:pPr>
      <w:r w:rsidRPr="005D642E">
        <w:rPr>
          <w:rtl/>
          <w:lang w:bidi="fa-IR"/>
        </w:rPr>
        <w:t>قَالَ : « فِي رَوْضَةٍ كَهَيْئَةِ الْأَجْسَادِ فِي الْجَنَّةِ</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Heading2Center"/>
        <w:rPr>
          <w:rtl/>
          <w:lang w:bidi="fa-IR"/>
        </w:rPr>
      </w:pPr>
      <w:bookmarkStart w:id="536" w:name="_Toc344647390"/>
      <w:bookmarkStart w:id="537" w:name="_Toc462226904"/>
      <w:bookmarkStart w:id="538" w:name="_Toc40976012"/>
      <w:r w:rsidRPr="005D642E">
        <w:rPr>
          <w:rtl/>
          <w:lang w:bidi="fa-IR"/>
        </w:rPr>
        <w:t>92</w:t>
      </w:r>
      <w:r>
        <w:rPr>
          <w:rtl/>
          <w:lang w:bidi="fa-IR"/>
        </w:rPr>
        <w:t xml:space="preserve"> </w:t>
      </w:r>
      <w:r w:rsidR="007642BC">
        <w:rPr>
          <w:rtl/>
          <w:lang w:bidi="fa-IR"/>
        </w:rPr>
        <w:t>-</w:t>
      </w:r>
      <w:r>
        <w:rPr>
          <w:rtl/>
          <w:lang w:bidi="fa-IR"/>
        </w:rPr>
        <w:t xml:space="preserve"> </w:t>
      </w:r>
      <w:r w:rsidRPr="005D642E">
        <w:rPr>
          <w:rtl/>
          <w:lang w:bidi="fa-IR"/>
        </w:rPr>
        <w:t xml:space="preserve">بَابٌ فِي </w:t>
      </w:r>
      <w:r w:rsidRPr="007C12DB">
        <w:rPr>
          <w:rStyle w:val="libFootnotenumChar"/>
          <w:rtl/>
        </w:rPr>
        <w:t>(7)</w:t>
      </w:r>
      <w:r>
        <w:rPr>
          <w:rtl/>
        </w:rPr>
        <w:t xml:space="preserve"> </w:t>
      </w:r>
      <w:r w:rsidRPr="005D642E">
        <w:rPr>
          <w:rtl/>
          <w:lang w:bidi="fa-IR"/>
        </w:rPr>
        <w:t>أَرْوَاحِ الْكُفَّارِ‌</w:t>
      </w:r>
      <w:bookmarkEnd w:id="536"/>
      <w:bookmarkEnd w:id="537"/>
      <w:bookmarkEnd w:id="538"/>
    </w:p>
    <w:p w:rsidR="00E3253D" w:rsidRPr="005D642E" w:rsidRDefault="00E3253D" w:rsidP="00E3253D">
      <w:pPr>
        <w:pStyle w:val="libNormal"/>
        <w:rPr>
          <w:rtl/>
          <w:lang w:bidi="fa-IR"/>
        </w:rPr>
      </w:pPr>
      <w:r w:rsidRPr="00F70C08">
        <w:rPr>
          <w:rtl/>
        </w:rPr>
        <w:t>4725</w:t>
      </w:r>
      <w:r w:rsidRPr="00246318">
        <w:rPr>
          <w:rStyle w:val="libBold2Char"/>
          <w:rtl/>
        </w:rPr>
        <w:t xml:space="preserve"> / 1.</w:t>
      </w:r>
      <w:r w:rsidRPr="005D642E">
        <w:rPr>
          <w:rtl/>
          <w:lang w:bidi="fa-IR"/>
        </w:rPr>
        <w:t xml:space="preserve"> عَلِيٌّ </w:t>
      </w:r>
      <w:r w:rsidRPr="007C12DB">
        <w:rPr>
          <w:rStyle w:val="libFootnotenumChar"/>
          <w:rtl/>
        </w:rPr>
        <w:t>(8)</w:t>
      </w:r>
      <w:r w:rsidRPr="005D642E">
        <w:rPr>
          <w:rtl/>
          <w:lang w:bidi="fa-IR"/>
        </w:rPr>
        <w:t xml:space="preserve"> ، عَنْ أَبِيهِ ، عَنِ ابْنِ أَبِي عُمَيْرٍ ، عَنْ مُحَمَّدِ بْنِ عُثْمَانَ ، عَنْ أَبِي بَصِيرٍ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أَرْوَاحِ الْمُشْرِكِينَ</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الزهد</w:t>
      </w:r>
      <w:r w:rsidR="00E3253D" w:rsidRPr="005D642E">
        <w:rPr>
          <w:rtl/>
        </w:rPr>
        <w:t xml:space="preserve"> ، ص 164 ، ح 244 ، عن القاسم ، عن الحسين بن حمّاد ، عن يونس بن ظبيان. وفي </w:t>
      </w:r>
      <w:r w:rsidR="00E3253D" w:rsidRPr="002F4D34">
        <w:rPr>
          <w:rStyle w:val="libFootnoteBoldChar"/>
          <w:rtl/>
        </w:rPr>
        <w:t>التهذيب</w:t>
      </w:r>
      <w:r w:rsidR="00E3253D" w:rsidRPr="005D642E">
        <w:rPr>
          <w:rtl/>
        </w:rPr>
        <w:t xml:space="preserve"> ، ج 1 ، ص 466 ، ح 1526 ؛ </w:t>
      </w:r>
      <w:r w:rsidR="009E68BB" w:rsidRPr="009E68BB">
        <w:rPr>
          <w:rStyle w:val="libFootnoteBoldChar"/>
          <w:rtl/>
        </w:rPr>
        <w:t>و</w:t>
      </w:r>
      <w:r w:rsidR="009E68BB" w:rsidRPr="0035521A">
        <w:rPr>
          <w:rStyle w:val="libFootnoteBoldChar"/>
          <w:rtl/>
        </w:rPr>
        <w:t>الأمالي للطوسي</w:t>
      </w:r>
      <w:r w:rsidR="00E3253D" w:rsidRPr="005D642E">
        <w:rPr>
          <w:rtl/>
        </w:rPr>
        <w:t xml:space="preserve"> ، ص 418 ، المجلس 14 ، ح 90 ، بسندهما عن القاسم بن محمّد ، مع اختلاف يسير ، وفي الأخير مع زيادة </w:t>
      </w:r>
      <w:r w:rsidR="00775A6B">
        <w:rPr>
          <w:rFonts w:hint="cs"/>
          <w:rtl/>
        </w:rPr>
        <w:t>.</w:t>
      </w:r>
      <w:r w:rsidR="00E3253D" w:rsidRPr="002F4D34">
        <w:rPr>
          <w:rStyle w:val="libFootnoteBoldChar"/>
          <w:rtl/>
        </w:rPr>
        <w:t>الوافي</w:t>
      </w:r>
      <w:r w:rsidR="00E3253D" w:rsidRPr="005D642E">
        <w:rPr>
          <w:rtl/>
        </w:rPr>
        <w:t xml:space="preserve"> ، ج 25 ، ص 634 ، ح 24785 ؛ </w:t>
      </w:r>
      <w:r w:rsidR="00E3253D" w:rsidRPr="002F4D34">
        <w:rPr>
          <w:rStyle w:val="libFootnoteBoldChar"/>
          <w:rtl/>
        </w:rPr>
        <w:t>البحار</w:t>
      </w:r>
      <w:r w:rsidR="00E3253D" w:rsidRPr="005D642E">
        <w:rPr>
          <w:rtl/>
        </w:rPr>
        <w:t xml:space="preserve"> ، ج 6 ، ص 269 ، ح 124 ؛ وج 61 ، ص 50 ، ح 30 ، من قوله : « فإذا قبضه الله عزّوجلّ صيّر تلك الروح</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ى ، بخ ، بس ، جس » والبحار : « محمّد بن أحمد</w:t>
      </w:r>
      <w:r w:rsidR="00E3253D">
        <w:rPr>
          <w:rtl/>
        </w:rPr>
        <w:t xml:space="preserve"> ».</w:t>
      </w:r>
      <w:r w:rsidR="00E3253D" w:rsidRPr="005D642E">
        <w:rPr>
          <w:rtl/>
        </w:rPr>
        <w:t xml:space="preserve"> وهو سهو. والمراد من « محمّد عن أحمد » ، « محمّد بن</w:t>
      </w:r>
      <w:r w:rsidR="00775A6B">
        <w:rPr>
          <w:rFonts w:hint="cs"/>
          <w:rtl/>
        </w:rPr>
        <w:t xml:space="preserve"> </w:t>
      </w:r>
      <w:r w:rsidR="00E3253D" w:rsidRPr="005D642E">
        <w:rPr>
          <w:rtl/>
        </w:rPr>
        <w:t xml:space="preserve">‌يحيى ، عن أحمد بن محمّد بن عيسى » ، وقد اختصر العنوانان اتّكاءً على السند السابق. راجع : </w:t>
      </w:r>
      <w:r w:rsidR="00E3253D" w:rsidRPr="002F4D34">
        <w:rPr>
          <w:rStyle w:val="libFootnoteBoldChar"/>
          <w:rtl/>
        </w:rPr>
        <w:t>معجم رجال الحديث</w:t>
      </w:r>
      <w:r w:rsidR="00E3253D" w:rsidRPr="005D642E">
        <w:rPr>
          <w:rtl/>
        </w:rPr>
        <w:t xml:space="preserve"> ، ج 2 ، ص 670</w:t>
      </w:r>
      <w:r w:rsidR="00E3253D">
        <w:rPr>
          <w:rtl/>
        </w:rPr>
        <w:t xml:space="preserve"> </w:t>
      </w:r>
      <w:r w:rsidR="007642BC">
        <w:rPr>
          <w:rtl/>
        </w:rPr>
        <w:t>-</w:t>
      </w:r>
      <w:r w:rsidR="00E3253D">
        <w:rPr>
          <w:rtl/>
        </w:rPr>
        <w:t xml:space="preserve"> </w:t>
      </w:r>
      <w:r w:rsidR="00E3253D" w:rsidRPr="005D642E">
        <w:rPr>
          <w:rtl/>
        </w:rPr>
        <w:t>674.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بث ، جس » :</w:t>
      </w:r>
      <w:r w:rsidR="00E3253D">
        <w:rPr>
          <w:rtl/>
        </w:rPr>
        <w:t xml:space="preserve"> </w:t>
      </w:r>
      <w:r w:rsidR="007642BC">
        <w:rPr>
          <w:rtl/>
        </w:rPr>
        <w:t>-</w:t>
      </w:r>
      <w:r w:rsidR="00E3253D">
        <w:rPr>
          <w:rtl/>
        </w:rPr>
        <w:t xml:space="preserve"> </w:t>
      </w:r>
      <w:r w:rsidR="00E3253D" w:rsidRPr="005D642E">
        <w:rPr>
          <w:rtl/>
        </w:rPr>
        <w:t>« أنّها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بث »</w:t>
      </w:r>
      <w:r w:rsidR="00E3253D" w:rsidRPr="00775A6B">
        <w:rPr>
          <w:rtl/>
        </w:rPr>
        <w:t xml:space="preserve"> </w:t>
      </w:r>
      <w:r w:rsidR="000D749A" w:rsidRPr="00775A6B">
        <w:rPr>
          <w:rtl/>
        </w:rPr>
        <w:t>والوافي</w:t>
      </w:r>
      <w:r w:rsidR="00E3253D" w:rsidRPr="005D642E">
        <w:rPr>
          <w:rtl/>
        </w:rPr>
        <w:t xml:space="preserve"> والبحار ، ج 6 : « طير</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بث » : + « أخضر</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25 ، ص 635 ، ح 24786 ؛ </w:t>
      </w:r>
      <w:r w:rsidR="00E3253D" w:rsidRPr="002F4D34">
        <w:rPr>
          <w:rStyle w:val="libFootnoteBoldChar"/>
          <w:rtl/>
        </w:rPr>
        <w:t>البحار</w:t>
      </w:r>
      <w:r w:rsidR="00E3253D" w:rsidRPr="005D642E">
        <w:rPr>
          <w:rtl/>
        </w:rPr>
        <w:t xml:space="preserve"> ، ج 6 ، ص 270 ، ح 125 ؛ وج 61 ، ص 50 ، ح 31.</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w:t>
      </w:r>
      <w:r w:rsidR="00E3253D">
        <w:rPr>
          <w:rtl/>
        </w:rPr>
        <w:t xml:space="preserve"> </w:t>
      </w:r>
      <w:r w:rsidR="007642BC">
        <w:rPr>
          <w:rtl/>
        </w:rPr>
        <w:t>-</w:t>
      </w:r>
      <w:r w:rsidR="00E3253D">
        <w:rPr>
          <w:rtl/>
        </w:rPr>
        <w:t xml:space="preserve"> </w:t>
      </w:r>
      <w:r w:rsidR="00E3253D" w:rsidRPr="005D642E">
        <w:rPr>
          <w:rtl/>
        </w:rPr>
        <w:t>« في</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 ظ ، ى ، بث ، بح ، بس ، جح ، جس ، جن</w:t>
      </w:r>
      <w:r w:rsidR="00E3253D">
        <w:rPr>
          <w:rtl/>
        </w:rPr>
        <w:t xml:space="preserve"> ».</w:t>
      </w:r>
      <w:r w:rsidR="00E3253D" w:rsidRPr="005D642E">
        <w:rPr>
          <w:rtl/>
        </w:rPr>
        <w:t xml:space="preserve"> وفي « بخ » والمطبوع : « علي بن إبراهيم</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فَقَالَ : « فِي النَّارِ يُعَذَّبُونَ يَقُولُونَ : رَبَّنَا لَاتُقِمْ لَنَا السَّاعَةَ ، وَلَاتُنْجِزْ لَنَا مَا وَعَدْتَنَا ، وَلَاتُلْحِقْ آخِرَنَا بِأَوَّلِنَا</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F70C08">
        <w:rPr>
          <w:rtl/>
        </w:rPr>
        <w:t>4726</w:t>
      </w:r>
      <w:r w:rsidRPr="00246318">
        <w:rPr>
          <w:rStyle w:val="libBold2Char"/>
          <w:rtl/>
        </w:rPr>
        <w:t xml:space="preserve"> / 2.</w:t>
      </w:r>
      <w:r w:rsidRPr="005D642E">
        <w:rPr>
          <w:rtl/>
          <w:lang w:bidi="fa-IR"/>
        </w:rPr>
        <w:t xml:space="preserve"> عِدَّةٌ مِنْ أَصْحَابِنَا ، عَنْ سَهْلِ بْنِ زِيَادٍ ، عَنْ عَبْدِ الرَّحْمنِ بْنِ أَبِي نَجْرَانَ ، عَنْ مُثَنًّى ، عَنْ أَبِي بَصِيرٍ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أَرْوَاحَ الْكُفَّارِ فِي نَارِ </w:t>
      </w:r>
      <w:r w:rsidRPr="007C12DB">
        <w:rPr>
          <w:rStyle w:val="libFootnotenumChar"/>
          <w:rtl/>
        </w:rPr>
        <w:t>(2)</w:t>
      </w:r>
      <w:r w:rsidRPr="005D642E">
        <w:rPr>
          <w:rtl/>
          <w:lang w:bidi="fa-IR"/>
        </w:rPr>
        <w:t xml:space="preserve"> جَهَنَّمَ يُعْرَضُونَ عَلَيْهَا يَقُولُونَ :</w:t>
      </w:r>
      <w:r>
        <w:rPr>
          <w:rFonts w:hint="cs"/>
          <w:rtl/>
          <w:lang w:bidi="fa-IR"/>
        </w:rPr>
        <w:t xml:space="preserve"> </w:t>
      </w:r>
      <w:r w:rsidRPr="005D642E">
        <w:rPr>
          <w:rtl/>
          <w:lang w:bidi="fa-IR"/>
        </w:rPr>
        <w:t xml:space="preserve">رَبَّنَا لَاتُقِمْ لَنَا </w:t>
      </w:r>
      <w:r w:rsidRPr="007C12DB">
        <w:rPr>
          <w:rStyle w:val="libFootnotenumChar"/>
          <w:rtl/>
        </w:rPr>
        <w:t>(3)</w:t>
      </w:r>
      <w:r w:rsidRPr="005D642E">
        <w:rPr>
          <w:rtl/>
          <w:lang w:bidi="fa-IR"/>
        </w:rPr>
        <w:t xml:space="preserve"> السَّاعَةَ ، وَلَاتُنْجِزْ لَنَا مَا وَعَدْتَنَا ، وَلَاتُلْحِقْ </w:t>
      </w:r>
      <w:r w:rsidRPr="007C12DB">
        <w:rPr>
          <w:rStyle w:val="libFootnotenumChar"/>
          <w:rtl/>
        </w:rPr>
        <w:t>(4)</w:t>
      </w:r>
      <w:r w:rsidRPr="005D642E">
        <w:rPr>
          <w:rtl/>
          <w:lang w:bidi="fa-IR"/>
        </w:rPr>
        <w:t xml:space="preserve"> آخِرَنَا بِأَوَّلِنَا</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F70C08">
        <w:rPr>
          <w:rtl/>
        </w:rPr>
        <w:t>4727</w:t>
      </w:r>
      <w:r w:rsidRPr="00246318">
        <w:rPr>
          <w:rStyle w:val="libBold2Char"/>
          <w:rtl/>
        </w:rPr>
        <w:t xml:space="preserve"> / 3.</w:t>
      </w:r>
      <w:r w:rsidRPr="005D642E">
        <w:rPr>
          <w:rtl/>
          <w:lang w:bidi="fa-IR"/>
        </w:rPr>
        <w:t xml:space="preserve"> مُحَمَّدُ بْنُ يَحْيى ، عَنْ مُحَمَّدِ بْنِ أَحْمَدَ ، بِإِسْنَادٍ لَهُ ، قَالَ :</w:t>
      </w:r>
    </w:p>
    <w:p w:rsidR="00E3253D" w:rsidRPr="005D642E" w:rsidRDefault="00E3253D" w:rsidP="00E3253D">
      <w:pPr>
        <w:pStyle w:val="libNormal"/>
        <w:rPr>
          <w:rtl/>
          <w:lang w:bidi="fa-IR"/>
        </w:rPr>
      </w:pPr>
      <w:r w:rsidRPr="005D642E">
        <w:rPr>
          <w:rtl/>
          <w:lang w:bidi="fa-IR"/>
        </w:rPr>
        <w:t xml:space="preserve">قَالَ أَمِيرُ الْمُؤْمِنِينَ </w:t>
      </w:r>
      <w:r w:rsidRPr="00AC51C5">
        <w:rPr>
          <w:rStyle w:val="libAlaemChar"/>
          <w:rtl/>
        </w:rPr>
        <w:t>عليه‌السلام</w:t>
      </w:r>
      <w:r w:rsidRPr="005D642E">
        <w:rPr>
          <w:rtl/>
          <w:lang w:bidi="fa-IR"/>
        </w:rPr>
        <w:t xml:space="preserve"> : « شَرُّ بِئْرٍ فِي النَّارِ بَرَهُوتُ الَّذِي فِيهِ أَرْوَاحُ الْكُفَّارِ</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775A6B" w:rsidRDefault="00E3253D" w:rsidP="00775A6B">
      <w:pPr>
        <w:pStyle w:val="libNormal"/>
        <w:rPr>
          <w:rtl/>
          <w:lang w:bidi="fa-IR"/>
        </w:rPr>
      </w:pPr>
      <w:r w:rsidRPr="00F70C08">
        <w:rPr>
          <w:rtl/>
        </w:rPr>
        <w:t>4728</w:t>
      </w:r>
      <w:r w:rsidRPr="00246318">
        <w:rPr>
          <w:rStyle w:val="libBold2Char"/>
          <w:rtl/>
        </w:rPr>
        <w:t xml:space="preserve"> / 4.</w:t>
      </w:r>
      <w:r w:rsidRPr="005D642E">
        <w:rPr>
          <w:rtl/>
          <w:lang w:bidi="fa-IR"/>
        </w:rPr>
        <w:t xml:space="preserve"> عِدَّةٌ مِنْ أَصْحَابِنَا ، عَنْ سَهْلِ بْنِ زِيَادٍ ؛</w:t>
      </w:r>
    </w:p>
    <w:p w:rsidR="00E3253D" w:rsidRPr="005D642E" w:rsidRDefault="00775A6B" w:rsidP="00775A6B">
      <w:pPr>
        <w:pStyle w:val="libNormal"/>
        <w:rPr>
          <w:rtl/>
          <w:lang w:bidi="fa-IR"/>
        </w:rPr>
      </w:pPr>
      <w:r>
        <w:rPr>
          <w:rFonts w:hint="cs"/>
          <w:rtl/>
          <w:lang w:bidi="fa-IR"/>
        </w:rPr>
        <w:t xml:space="preserve">              </w:t>
      </w:r>
      <w:r w:rsidR="00E3253D" w:rsidRPr="005D642E">
        <w:rPr>
          <w:rtl/>
          <w:lang w:bidi="fa-IR"/>
        </w:rPr>
        <w:t>وَعَلِيُّ بْنُ إِبْرَاهِيمَ ، عَنْ أَبِيهِ جَمِيعاً ، عَنْ جَعْفَرِ بْنِ مُحَمَّدٍ ال</w:t>
      </w:r>
      <w:r>
        <w:rPr>
          <w:rtl/>
          <w:lang w:bidi="fa-IR"/>
        </w:rPr>
        <w:t>ْأَشْعَرِيِّ ، عَنِ الْقَدَّاحِ</w:t>
      </w:r>
      <w:r w:rsidR="00E3253D" w:rsidRPr="005D642E">
        <w:rPr>
          <w:rtl/>
          <w:lang w:bidi="fa-IR"/>
        </w:rPr>
        <w:t>:</w:t>
      </w:r>
    </w:p>
    <w:p w:rsidR="00E3253D" w:rsidRPr="005D642E" w:rsidRDefault="00E3253D" w:rsidP="00E3253D">
      <w:pPr>
        <w:pStyle w:val="libNormal"/>
        <w:rPr>
          <w:rtl/>
          <w:lang w:bidi="fa-IR"/>
        </w:rPr>
      </w:pPr>
      <w:r w:rsidRPr="005D642E">
        <w:rPr>
          <w:rtl/>
          <w:lang w:bidi="fa-IR"/>
        </w:rPr>
        <w:t xml:space="preserve">عَنْ أَبِي عَبْدِ اللهِ ، عَنْ آبَائِهِ </w:t>
      </w:r>
      <w:r w:rsidRPr="00AC51C5">
        <w:rPr>
          <w:rStyle w:val="libAlaemChar"/>
          <w:rtl/>
        </w:rPr>
        <w:t>عليهم‌السلام</w:t>
      </w:r>
      <w:r w:rsidRPr="005D642E">
        <w:rPr>
          <w:rtl/>
          <w:lang w:bidi="fa-IR"/>
        </w:rPr>
        <w:t xml:space="preserve"> ، قَالَ : « قَالَ أَمِيرُ الْمُؤْمِنِينَ </w:t>
      </w:r>
      <w:r w:rsidRPr="00AC51C5">
        <w:rPr>
          <w:rStyle w:val="libAlaemChar"/>
          <w:rtl/>
        </w:rPr>
        <w:t>عليه‌السلام</w:t>
      </w:r>
      <w:r w:rsidRPr="005D642E">
        <w:rPr>
          <w:rtl/>
          <w:lang w:bidi="fa-IR"/>
        </w:rPr>
        <w:t xml:space="preserve"> </w:t>
      </w:r>
      <w:r w:rsidRPr="007C12DB">
        <w:rPr>
          <w:rStyle w:val="libFootnotenumChar"/>
          <w:rtl/>
        </w:rPr>
        <w:t>(7)</w:t>
      </w:r>
      <w:r w:rsidRPr="005D642E">
        <w:rPr>
          <w:rtl/>
          <w:lang w:bidi="fa-IR"/>
        </w:rPr>
        <w:t xml:space="preserve"> : شَرُّ مَاءٍ عَلى وَجْهِ الْأَرْضِ مَاءُ بَرَهُوتَ </w:t>
      </w:r>
      <w:r w:rsidRPr="007C12DB">
        <w:rPr>
          <w:rStyle w:val="libFootnotenumChar"/>
          <w:rtl/>
        </w:rPr>
        <w:t>(8)</w:t>
      </w:r>
      <w:r w:rsidRPr="005D642E">
        <w:rPr>
          <w:rtl/>
          <w:lang w:bidi="fa-IR"/>
        </w:rPr>
        <w:t xml:space="preserve"> ، وَهُوَ </w:t>
      </w:r>
      <w:r w:rsidRPr="007C12DB">
        <w:rPr>
          <w:rStyle w:val="libFootnotenumChar"/>
          <w:rtl/>
        </w:rPr>
        <w:t>(9)</w:t>
      </w:r>
      <w:r w:rsidRPr="005D642E">
        <w:rPr>
          <w:rtl/>
          <w:lang w:bidi="fa-IR"/>
        </w:rPr>
        <w:t xml:space="preserve"> الَّذِي بِحَضْرَمَوْتَ ، تَرِدُهُ </w:t>
      </w:r>
      <w:r w:rsidRPr="007C12DB">
        <w:rPr>
          <w:rStyle w:val="libFootnotenumChar"/>
          <w:rtl/>
        </w:rPr>
        <w:t>(10)</w:t>
      </w:r>
      <w:r w:rsidRPr="005D642E">
        <w:rPr>
          <w:rtl/>
          <w:lang w:bidi="fa-IR"/>
        </w:rPr>
        <w:t xml:space="preserve"> ‌</w:t>
      </w:r>
      <w:r w:rsidR="00775A6B">
        <w:rPr>
          <w:rFonts w:hint="cs"/>
          <w:rtl/>
          <w:lang w:bidi="fa-IR"/>
        </w:rPr>
        <w:t>........................</w:t>
      </w:r>
      <w:r w:rsidR="00775A6B">
        <w:rPr>
          <w:rFonts w:hint="cs"/>
          <w:rtl/>
          <w:lang w:bidi="fa-IR"/>
        </w:rPr>
        <w:tab/>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الزهد</w:t>
      </w:r>
      <w:r w:rsidR="00E3253D" w:rsidRPr="005D642E">
        <w:rPr>
          <w:rtl/>
        </w:rPr>
        <w:t xml:space="preserve"> ، ص 164 ، ح 243 ، عن ابن أبي عمير ، عن عليّ ، عن أبي بصير </w:t>
      </w:r>
      <w:r w:rsidR="00775A6B">
        <w:rPr>
          <w:rFonts w:hint="cs"/>
          <w:rtl/>
        </w:rPr>
        <w:t>.</w:t>
      </w:r>
      <w:r w:rsidR="00E3253D" w:rsidRPr="002F4D34">
        <w:rPr>
          <w:rStyle w:val="libFootnoteBoldChar"/>
          <w:rtl/>
        </w:rPr>
        <w:t>الوافي</w:t>
      </w:r>
      <w:r w:rsidR="00E3253D" w:rsidRPr="005D642E">
        <w:rPr>
          <w:rtl/>
        </w:rPr>
        <w:t xml:space="preserve"> ، ج 25 ، ص 638 ، ح 24789 ؛ </w:t>
      </w:r>
      <w:r w:rsidR="00E3253D" w:rsidRPr="002F4D34">
        <w:rPr>
          <w:rStyle w:val="libFootnoteBoldChar"/>
          <w:rtl/>
        </w:rPr>
        <w:t>البحار</w:t>
      </w:r>
      <w:r w:rsidR="00E3253D" w:rsidRPr="005D642E">
        <w:rPr>
          <w:rtl/>
        </w:rPr>
        <w:t xml:space="preserve"> ، ج 6 ، ص 270 ، ح 126.</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بس » :</w:t>
      </w:r>
      <w:r w:rsidR="00E3253D">
        <w:rPr>
          <w:rtl/>
        </w:rPr>
        <w:t xml:space="preserve"> </w:t>
      </w:r>
      <w:r w:rsidR="007642BC">
        <w:rPr>
          <w:rtl/>
        </w:rPr>
        <w:t>-</w:t>
      </w:r>
      <w:r w:rsidR="00E3253D">
        <w:rPr>
          <w:rtl/>
        </w:rPr>
        <w:t xml:space="preserve"> </w:t>
      </w:r>
      <w:r w:rsidR="00E3253D" w:rsidRPr="005D642E">
        <w:rPr>
          <w:rtl/>
        </w:rPr>
        <w:t>« نار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70AB1" w:rsidTr="00870AB1">
        <w:tc>
          <w:tcPr>
            <w:tcW w:w="4006" w:type="dxa"/>
          </w:tcPr>
          <w:p w:rsidR="00870AB1" w:rsidRDefault="00870AB1" w:rsidP="00E3253D">
            <w:pPr>
              <w:pStyle w:val="libFootnote0"/>
              <w:rPr>
                <w:rStyle w:val="libFootnote0Char"/>
                <w:rtl/>
              </w:rPr>
            </w:pPr>
            <w:r w:rsidRPr="0042621E">
              <w:rPr>
                <w:rStyle w:val="libFootnote0Char"/>
                <w:rtl/>
              </w:rPr>
              <w:t>(3).</w:t>
            </w:r>
            <w:r w:rsidRPr="005D642E">
              <w:rPr>
                <w:rtl/>
              </w:rPr>
              <w:t xml:space="preserve"> في « جس » :</w:t>
            </w:r>
            <w:r>
              <w:rPr>
                <w:rtl/>
              </w:rPr>
              <w:t xml:space="preserve"> - </w:t>
            </w:r>
            <w:r w:rsidRPr="005D642E">
              <w:rPr>
                <w:rtl/>
              </w:rPr>
              <w:t>« لنا</w:t>
            </w:r>
            <w:r>
              <w:rPr>
                <w:rtl/>
              </w:rPr>
              <w:t xml:space="preserve"> ».</w:t>
            </w:r>
          </w:p>
        </w:tc>
        <w:tc>
          <w:tcPr>
            <w:tcW w:w="4006" w:type="dxa"/>
          </w:tcPr>
          <w:p w:rsidR="00870AB1" w:rsidRDefault="00870AB1" w:rsidP="00E3253D">
            <w:pPr>
              <w:pStyle w:val="libFootnote0"/>
              <w:rPr>
                <w:rStyle w:val="libFootnote0Char"/>
                <w:rtl/>
              </w:rPr>
            </w:pPr>
            <w:r w:rsidRPr="0042621E">
              <w:rPr>
                <w:rStyle w:val="libFootnote0Char"/>
                <w:rtl/>
              </w:rPr>
              <w:t>(4).</w:t>
            </w:r>
            <w:r w:rsidRPr="005D642E">
              <w:rPr>
                <w:rtl/>
              </w:rPr>
              <w:t xml:space="preserve"> في « ى » : « ولا تلحقنا</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25 ، ص 638 ، ح 24790 ؛ </w:t>
      </w:r>
      <w:r w:rsidR="00E3253D" w:rsidRPr="002F4D34">
        <w:rPr>
          <w:rStyle w:val="libFootnoteBoldChar"/>
          <w:rtl/>
        </w:rPr>
        <w:t>البحار</w:t>
      </w:r>
      <w:r w:rsidR="00E3253D" w:rsidRPr="005D642E">
        <w:rPr>
          <w:rtl/>
        </w:rPr>
        <w:t xml:space="preserve"> ، ج 6 ، ص 270 ، ح 127.</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25 ، ص 638 ، ح 24791 ؛ </w:t>
      </w:r>
      <w:r w:rsidR="00E3253D" w:rsidRPr="002F4D34">
        <w:rPr>
          <w:rStyle w:val="libFootnoteBoldChar"/>
          <w:rtl/>
        </w:rPr>
        <w:t>البحار</w:t>
      </w:r>
      <w:r w:rsidR="00E3253D" w:rsidRPr="005D642E">
        <w:rPr>
          <w:rtl/>
        </w:rPr>
        <w:t xml:space="preserve"> ، ج 6 ، ص 288 ، ح 11.</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الكافي ، ح 12198 </w:t>
      </w:r>
      <w:r w:rsidR="000D749A" w:rsidRPr="000D749A">
        <w:rPr>
          <w:rStyle w:val="libFootnoteBoldChar"/>
          <w:rtl/>
        </w:rPr>
        <w:t>والمحاسن</w:t>
      </w:r>
      <w:r w:rsidR="00E3253D" w:rsidRPr="005D642E">
        <w:rPr>
          <w:rtl/>
        </w:rPr>
        <w:t xml:space="preserve"> : + « ماء زمزم خير ماء على وجه الأرض </w:t>
      </w:r>
      <w:r w:rsidR="00E3253D">
        <w:rPr>
          <w:rtl/>
        </w:rPr>
        <w:t>و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بَرَهُوت » ، بفتح الباء والراء : بئر عميقة بحضرموت لايستطاع النزول إلى قعرها. ويقال : بُرْهُوت ، بضمّ الباء</w:t>
      </w:r>
      <w:r w:rsidR="00870AB1">
        <w:rPr>
          <w:rFonts w:hint="cs"/>
          <w:rtl/>
        </w:rPr>
        <w:t xml:space="preserve"> </w:t>
      </w:r>
      <w:r w:rsidR="00E3253D" w:rsidRPr="005D642E">
        <w:rPr>
          <w:rtl/>
        </w:rPr>
        <w:t xml:space="preserve">و سكون الراء ، فتكون تاؤها على الأوّل زائدة وعلى الثاني أصليّة. راجع : </w:t>
      </w:r>
      <w:r w:rsidR="00E3253D" w:rsidRPr="002F4D34">
        <w:rPr>
          <w:rStyle w:val="libFootnoteBoldChar"/>
          <w:rtl/>
        </w:rPr>
        <w:t>النهاية</w:t>
      </w:r>
      <w:r w:rsidR="00E3253D" w:rsidRPr="005D642E">
        <w:rPr>
          <w:rtl/>
        </w:rPr>
        <w:t xml:space="preserve"> ، ج 1 ، ص 122 ( برهوت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الكافي ، ح 12198 </w:t>
      </w:r>
      <w:r w:rsidR="000D749A" w:rsidRPr="000D749A">
        <w:rPr>
          <w:rStyle w:val="libFootnoteBoldChar"/>
          <w:rtl/>
        </w:rPr>
        <w:t>والمحاسن</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وهو</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بخ ، بس ، جح » </w:t>
      </w:r>
      <w:r w:rsidR="000D749A" w:rsidRPr="000D749A">
        <w:rPr>
          <w:rStyle w:val="libFootnoteBoldChar"/>
          <w:rtl/>
        </w:rPr>
        <w:t>والوافي</w:t>
      </w:r>
      <w:r w:rsidR="00E3253D" w:rsidRPr="005D642E">
        <w:rPr>
          <w:rtl/>
        </w:rPr>
        <w:t xml:space="preserve"> والبحار : « يرده</w:t>
      </w:r>
      <w:r w:rsidR="00E3253D">
        <w:rPr>
          <w:rtl/>
        </w:rPr>
        <w:t xml:space="preserve"> ».</w:t>
      </w:r>
      <w:r w:rsidR="00E3253D" w:rsidRPr="005D642E">
        <w:rPr>
          <w:rtl/>
        </w:rPr>
        <w:t xml:space="preserve"> وفي حاشية « بث ، بخ » : « تردها</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هَامُ </w:t>
      </w:r>
      <w:r w:rsidRPr="007C12DB">
        <w:rPr>
          <w:rStyle w:val="libFootnotenumChar"/>
          <w:rtl/>
        </w:rPr>
        <w:t>(1)</w:t>
      </w:r>
      <w:r w:rsidRPr="005D642E">
        <w:rPr>
          <w:rtl/>
          <w:lang w:bidi="fa-IR"/>
        </w:rPr>
        <w:t xml:space="preserve"> الْكُفَّارِ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A37E4C">
        <w:rPr>
          <w:rtl/>
        </w:rPr>
        <w:t>4729</w:t>
      </w:r>
      <w:r w:rsidRPr="00246318">
        <w:rPr>
          <w:rStyle w:val="libBold2Char"/>
          <w:rtl/>
        </w:rPr>
        <w:t xml:space="preserve"> / 5.</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شَرُّ الْيَهُودِ يَهُودُ بَيْسَانَ </w:t>
      </w:r>
      <w:r w:rsidRPr="007C12DB">
        <w:rPr>
          <w:rStyle w:val="libFootnotenumChar"/>
          <w:rtl/>
        </w:rPr>
        <w:t>(4)</w:t>
      </w:r>
      <w:r w:rsidRPr="005D642E">
        <w:rPr>
          <w:rtl/>
          <w:lang w:bidi="fa-IR"/>
        </w:rPr>
        <w:t xml:space="preserve"> ، وَشَرُّ النَّصَارى نَصَارى نَجْرَانَ </w:t>
      </w:r>
      <w:r w:rsidRPr="007C12DB">
        <w:rPr>
          <w:rStyle w:val="libFootnotenumChar"/>
          <w:rtl/>
        </w:rPr>
        <w:t>(5)</w:t>
      </w:r>
      <w:r w:rsidRPr="005D642E">
        <w:rPr>
          <w:rtl/>
          <w:lang w:bidi="fa-IR"/>
        </w:rPr>
        <w:t xml:space="preserve"> ، وَخَيْرُ مَاءٍ عَلى وَجْهِ الْأَرْضِ مَاءُ زَمْزَمَ ، وَشَرُّ مَاءٍ عَلى وَجْهِ الْأَرْضِ مَاءُ بَرَهُوتَ ، وَهُوَ وَادٍ بِحَضْرَمَوْتَ ، يَرِدُ </w:t>
      </w:r>
      <w:r w:rsidRPr="007C12DB">
        <w:rPr>
          <w:rStyle w:val="libFootnotenumChar"/>
          <w:rtl/>
        </w:rPr>
        <w:t>(6)</w:t>
      </w:r>
      <w:r w:rsidRPr="005D642E">
        <w:rPr>
          <w:rtl/>
          <w:lang w:bidi="fa-IR"/>
        </w:rPr>
        <w:t xml:space="preserve"> عَلَيْهِ هَامُ الْكُفَّارِ وَصَدَاهُمْ </w:t>
      </w:r>
      <w:r w:rsidRPr="007C12DB">
        <w:rPr>
          <w:rStyle w:val="libFootnotenumChar"/>
          <w:rtl/>
        </w:rPr>
        <w:t>(7)</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حاشية « بث » :</w:t>
      </w:r>
      <w:r w:rsidR="00E3253D">
        <w:rPr>
          <w:rtl/>
        </w:rPr>
        <w:t xml:space="preserve"> </w:t>
      </w:r>
      <w:r w:rsidR="007642BC">
        <w:rPr>
          <w:rtl/>
        </w:rPr>
        <w:t>-</w:t>
      </w:r>
      <w:r w:rsidR="00E3253D">
        <w:rPr>
          <w:rtl/>
        </w:rPr>
        <w:t xml:space="preserve"> </w:t>
      </w:r>
      <w:r w:rsidR="00E3253D" w:rsidRPr="005D642E">
        <w:rPr>
          <w:rtl/>
        </w:rPr>
        <w:t>« هام</w:t>
      </w:r>
      <w:r w:rsidR="00E3253D">
        <w:rPr>
          <w:rtl/>
        </w:rPr>
        <w:t xml:space="preserve"> ».</w:t>
      </w:r>
      <w:r w:rsidR="00E3253D" w:rsidRPr="005D642E">
        <w:rPr>
          <w:rtl/>
        </w:rPr>
        <w:t xml:space="preserve"> </w:t>
      </w:r>
      <w:r w:rsidR="00E3253D">
        <w:rPr>
          <w:rtl/>
        </w:rPr>
        <w:t>و «</w:t>
      </w:r>
      <w:r w:rsidR="00E3253D" w:rsidRPr="005D642E">
        <w:rPr>
          <w:rtl/>
        </w:rPr>
        <w:t xml:space="preserve"> هام</w:t>
      </w:r>
      <w:r w:rsidR="00E3253D">
        <w:rPr>
          <w:rtl/>
        </w:rPr>
        <w:t xml:space="preserve"> ».</w:t>
      </w:r>
      <w:r w:rsidR="00E3253D" w:rsidRPr="005D642E">
        <w:rPr>
          <w:rtl/>
        </w:rPr>
        <w:t xml:space="preserve"> جمع هامة ، وهي طائر من طير الليل ، وهو الصدى. والعرب تزعم في الجاهليّة أنّه طائر يخرج من رأس المقتول إذا بلي ، وكانوا يزعمون أنّ عظام الميّت تصير </w:t>
      </w:r>
      <w:r w:rsidR="00870AB1">
        <w:rPr>
          <w:rtl/>
        </w:rPr>
        <w:t>هامة فتطير على قبره ، قال العل</w:t>
      </w:r>
      <w:r w:rsidR="00870AB1">
        <w:rPr>
          <w:rFonts w:hint="cs"/>
          <w:rtl/>
        </w:rPr>
        <w:t>ّ</w:t>
      </w:r>
      <w:r w:rsidR="00870AB1">
        <w:rPr>
          <w:rtl/>
        </w:rPr>
        <w:t>ا</w:t>
      </w:r>
      <w:r w:rsidR="00E3253D" w:rsidRPr="005D642E">
        <w:rPr>
          <w:rtl/>
        </w:rPr>
        <w:t>مة الفيض : « والمراد بالهامة هنا أرواح الكفّار وأبدانهم المثاليّة</w:t>
      </w:r>
      <w:r w:rsidR="00E3253D">
        <w:rPr>
          <w:rtl/>
        </w:rPr>
        <w:t xml:space="preserve"> ».</w:t>
      </w:r>
      <w:r w:rsidR="00870AB1">
        <w:rPr>
          <w:rtl/>
        </w:rPr>
        <w:t xml:space="preserve"> وقال العل</w:t>
      </w:r>
      <w:r w:rsidR="00870AB1">
        <w:rPr>
          <w:rFonts w:hint="cs"/>
          <w:rtl/>
        </w:rPr>
        <w:t>ّ</w:t>
      </w:r>
      <w:r w:rsidR="00870AB1">
        <w:rPr>
          <w:rtl/>
        </w:rPr>
        <w:t>ا</w:t>
      </w:r>
      <w:r w:rsidR="00E3253D" w:rsidRPr="005D642E">
        <w:rPr>
          <w:rtl/>
        </w:rPr>
        <w:t>مة المجلسي : « أي أرواح الكفّار التي يعبّرون الناس عنها بالهام وإن كان باطلاً ، أو هي تكون في صورة الهام في أجسادهم المثاليّة</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5 ، ص 2063 ؛ </w:t>
      </w:r>
      <w:r w:rsidR="00E3253D" w:rsidRPr="002F4D34">
        <w:rPr>
          <w:rStyle w:val="libFootnoteBoldChar"/>
          <w:rtl/>
        </w:rPr>
        <w:t>النهاية</w:t>
      </w:r>
      <w:r w:rsidR="00E3253D" w:rsidRPr="005D642E">
        <w:rPr>
          <w:rtl/>
        </w:rPr>
        <w:t xml:space="preserve"> ، ج 5 ، ص 283 ( هوم ) ؛ </w:t>
      </w:r>
      <w:r w:rsidR="00E3253D" w:rsidRPr="002F4D34">
        <w:rPr>
          <w:rStyle w:val="libFootnoteBoldChar"/>
          <w:rtl/>
        </w:rPr>
        <w:t>مرآة العقول</w:t>
      </w:r>
      <w:r w:rsidR="00E3253D" w:rsidRPr="005D642E">
        <w:rPr>
          <w:rtl/>
        </w:rPr>
        <w:t xml:space="preserve"> ، ج 14 ، ص 227.</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الكافي ، ح 12198 </w:t>
      </w:r>
      <w:r w:rsidR="000D749A" w:rsidRPr="000D749A">
        <w:rPr>
          <w:rStyle w:val="libFootnoteBoldChar"/>
          <w:rtl/>
        </w:rPr>
        <w:t>والمحاسن</w:t>
      </w:r>
      <w:r w:rsidR="00E3253D" w:rsidRPr="005D642E">
        <w:rPr>
          <w:rtl/>
        </w:rPr>
        <w:t xml:space="preserve"> : + « بالليل</w:t>
      </w:r>
      <w:r w:rsidR="00E3253D">
        <w:rPr>
          <w:rtl/>
        </w:rPr>
        <w:t xml:space="preserve"> ».</w:t>
      </w:r>
    </w:p>
    <w:p w:rsidR="00E3253D" w:rsidRDefault="0042621E" w:rsidP="00E3253D">
      <w:pPr>
        <w:pStyle w:val="libFootnote0"/>
        <w:rPr>
          <w:rtl/>
        </w:rPr>
      </w:pPr>
      <w:r w:rsidRPr="0042621E">
        <w:rPr>
          <w:rStyle w:val="libFootnote0Char"/>
          <w:rtl/>
        </w:rPr>
        <w:t>(3).</w:t>
      </w:r>
      <w:r w:rsidR="00E3253D" w:rsidRPr="005D642E">
        <w:rPr>
          <w:rtl/>
        </w:rPr>
        <w:t xml:space="preserve"> </w:t>
      </w:r>
      <w:r w:rsidR="00E3253D" w:rsidRPr="002F4D34">
        <w:rPr>
          <w:rStyle w:val="libFootnoteBoldChar"/>
          <w:rtl/>
        </w:rPr>
        <w:t>الكافي</w:t>
      </w:r>
      <w:r w:rsidR="00E3253D" w:rsidRPr="005D642E">
        <w:rPr>
          <w:rtl/>
        </w:rPr>
        <w:t xml:space="preserve"> ، كتاب الأشربة ، باب فضل ماء زمزم وماء الميزاب ، ح 12198 ، عن عدّة من أصحابنا ، عن سهل بن زياد ، عن جعفر بن محمّد الأشعري ، عن ابن القدّاح ، عن أبي عبدالله ، عن أميرالمؤمنين </w:t>
      </w:r>
      <w:r w:rsidR="00E3253D" w:rsidRPr="00870AB1">
        <w:rPr>
          <w:rStyle w:val="libFootnoteAlaemChar"/>
          <w:rtl/>
        </w:rPr>
        <w:t>عليهما‌السلام</w:t>
      </w:r>
      <w:r w:rsidR="00E3253D" w:rsidRPr="005D642E">
        <w:rPr>
          <w:rtl/>
        </w:rPr>
        <w:t xml:space="preserve">. </w:t>
      </w:r>
      <w:r w:rsidR="00E3253D" w:rsidRPr="002F4D34">
        <w:rPr>
          <w:rStyle w:val="libFootnoteBoldChar"/>
          <w:rtl/>
        </w:rPr>
        <w:t>المحاسن</w:t>
      </w:r>
      <w:r w:rsidR="00E3253D" w:rsidRPr="005D642E">
        <w:rPr>
          <w:rtl/>
        </w:rPr>
        <w:t xml:space="preserve"> ، ص 573 ، كتاب الماء ، ح 18 ، عن جعفر بن محمّد ، عن ابن القدّاح ، عن أبي عبدالله ، عن أبيه ، عن أميرالمؤمنين </w:t>
      </w:r>
      <w:r w:rsidR="00E3253D" w:rsidRPr="00870AB1">
        <w:rPr>
          <w:rStyle w:val="libFootnoteAlaemChar"/>
          <w:rtl/>
        </w:rPr>
        <w:t>عليهم‌السلام</w:t>
      </w:r>
      <w:r w:rsidR="00E3253D" w:rsidRPr="005D642E">
        <w:rPr>
          <w:rtl/>
        </w:rPr>
        <w:t xml:space="preserve"> ، وفيهما مع زيادة في أوّله </w:t>
      </w:r>
      <w:r w:rsidR="00870AB1">
        <w:rPr>
          <w:rFonts w:hint="cs"/>
          <w:rtl/>
        </w:rPr>
        <w:t>.</w:t>
      </w:r>
      <w:r w:rsidR="00E3253D" w:rsidRPr="002F4D34">
        <w:rPr>
          <w:rStyle w:val="libFootnoteBoldChar"/>
          <w:rtl/>
        </w:rPr>
        <w:t>الوافي</w:t>
      </w:r>
      <w:r w:rsidR="00E3253D" w:rsidRPr="005D642E">
        <w:rPr>
          <w:rtl/>
        </w:rPr>
        <w:t xml:space="preserve"> ، ج 25 ، ص 638 ، ح 24792 ؛ </w:t>
      </w:r>
      <w:r w:rsidR="00E3253D" w:rsidRPr="002F4D34">
        <w:rPr>
          <w:rStyle w:val="libFootnoteBoldChar"/>
          <w:rtl/>
        </w:rPr>
        <w:t>البحار</w:t>
      </w:r>
      <w:r w:rsidR="00E3253D" w:rsidRPr="005D642E">
        <w:rPr>
          <w:rtl/>
        </w:rPr>
        <w:t xml:space="preserve"> ، ج 6 ، ص 289 ، ح 12.</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بَيْسان » : قرية بمرو ، وقرية بالشام ، وموضع باليمامة. وقال الجوهري : «</w:t>
      </w:r>
      <w:r w:rsidR="00B9485C">
        <w:rPr>
          <w:rtl/>
        </w:rPr>
        <w:t xml:space="preserve"> بَيْسان : موضع تنسب إليه الخمر</w:t>
      </w:r>
      <w:r w:rsidR="00E3253D" w:rsidRPr="005D642E">
        <w:rPr>
          <w:rtl/>
        </w:rPr>
        <w:t xml:space="preserve">» ، وقيل غير ذلك. راجع : </w:t>
      </w:r>
      <w:r w:rsidR="00E3253D" w:rsidRPr="002F4D34">
        <w:rPr>
          <w:rStyle w:val="libFootnoteBoldChar"/>
          <w:rtl/>
        </w:rPr>
        <w:t>الصحاح</w:t>
      </w:r>
      <w:r w:rsidR="00E3253D" w:rsidRPr="005D642E">
        <w:rPr>
          <w:rtl/>
        </w:rPr>
        <w:t xml:space="preserve"> ، ج 3 ، ص 910 ؛ </w:t>
      </w:r>
      <w:r w:rsidR="00E3253D" w:rsidRPr="002F4D34">
        <w:rPr>
          <w:rStyle w:val="libFootnoteBoldChar"/>
          <w:rtl/>
        </w:rPr>
        <w:t>لسان العرب</w:t>
      </w:r>
      <w:r w:rsidR="00E3253D" w:rsidRPr="005D642E">
        <w:rPr>
          <w:rtl/>
        </w:rPr>
        <w:t xml:space="preserve"> ، ج 6 ، ص 31 ( بيس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نجران » : موضع معروف بين الحجاز والشام واليمن. وقيل : « موضع باليمن ، فتح سنة عشر ، سمّي بنجران</w:t>
      </w:r>
      <w:r w:rsidR="00FB1A77">
        <w:rPr>
          <w:rFonts w:hint="cs"/>
          <w:rtl/>
        </w:rPr>
        <w:t xml:space="preserve"> </w:t>
      </w:r>
      <w:r w:rsidR="00E3253D" w:rsidRPr="005D642E">
        <w:rPr>
          <w:rtl/>
        </w:rPr>
        <w:t>‌بن زيدان بن سبأ ، وموضع بالبحرين ، وموضع بحَوْران قرب دمشق ، وموضع بين الكوفة و</w:t>
      </w:r>
      <w:r w:rsidR="00FB1A77">
        <w:rPr>
          <w:rFonts w:hint="cs"/>
          <w:rtl/>
        </w:rPr>
        <w:t xml:space="preserve"> </w:t>
      </w:r>
      <w:r w:rsidR="00E3253D" w:rsidRPr="005D642E">
        <w:rPr>
          <w:rtl/>
        </w:rPr>
        <w:t>واسط</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5 ، ص 21 ؛ </w:t>
      </w:r>
      <w:r w:rsidR="00E3253D" w:rsidRPr="002F4D34">
        <w:rPr>
          <w:rStyle w:val="libFootnoteBoldChar"/>
          <w:rtl/>
        </w:rPr>
        <w:t>القاموس المحيط</w:t>
      </w:r>
      <w:r w:rsidR="00E3253D" w:rsidRPr="005D642E">
        <w:rPr>
          <w:rtl/>
        </w:rPr>
        <w:t xml:space="preserve"> ، ج 1 ، ص 666 ( نجر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البحار : « ترد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الصَدَى : الرجل اللطيف الجسد ، والجسد من الآدميّ بعد موته ، وطائر يَصِرّ بالليل ويقفز قَفَزاناً ويطير. راجع : </w:t>
      </w:r>
      <w:r w:rsidR="00E3253D" w:rsidRPr="002F4D34">
        <w:rPr>
          <w:rStyle w:val="libFootnoteBoldChar"/>
          <w:rtl/>
        </w:rPr>
        <w:t>الصحاح</w:t>
      </w:r>
      <w:r w:rsidR="00E3253D" w:rsidRPr="005D642E">
        <w:rPr>
          <w:rtl/>
        </w:rPr>
        <w:t xml:space="preserve"> ، ج 6 ، ص 2399 ؛ </w:t>
      </w:r>
      <w:r w:rsidR="00E3253D" w:rsidRPr="002F4D34">
        <w:rPr>
          <w:rStyle w:val="libFootnoteBoldChar"/>
          <w:rtl/>
        </w:rPr>
        <w:t>القاموس المحيط</w:t>
      </w:r>
      <w:r w:rsidR="00E3253D" w:rsidRPr="005D642E">
        <w:rPr>
          <w:rtl/>
        </w:rPr>
        <w:t xml:space="preserve"> ، ج 2 ، ص 1707. ( صدى )</w:t>
      </w:r>
      <w:r w:rsidR="00E3253D">
        <w:rPr>
          <w:rtl/>
        </w:rPr>
        <w:t>.</w:t>
      </w:r>
    </w:p>
    <w:p w:rsidR="00E3253D" w:rsidRPr="005D642E" w:rsidRDefault="0042621E" w:rsidP="001F7ED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الجعفريّات</w:t>
      </w:r>
      <w:r w:rsidR="00E3253D" w:rsidRPr="005D642E">
        <w:rPr>
          <w:rtl/>
        </w:rPr>
        <w:t xml:space="preserve"> ، ص 190 ، بسند آخر عن جعفر بن محمّد ، عن آبائه </w:t>
      </w:r>
      <w:r w:rsidR="001F7EDD" w:rsidRPr="00870AB1">
        <w:rPr>
          <w:rStyle w:val="libFootnoteAlaemChar"/>
          <w:rtl/>
        </w:rPr>
        <w:t>عليهم‌السلام</w:t>
      </w:r>
      <w:r w:rsidR="001F7EDD" w:rsidRPr="005D642E">
        <w:rPr>
          <w:rtl/>
        </w:rPr>
        <w:t xml:space="preserve"> </w:t>
      </w:r>
      <w:r w:rsidR="00E3253D" w:rsidRPr="005D642E">
        <w:rPr>
          <w:rtl/>
        </w:rPr>
        <w:t xml:space="preserve">عن رسول الله </w:t>
      </w:r>
      <w:r w:rsidRPr="00FB1A77">
        <w:rPr>
          <w:rStyle w:val="libFootnoteAlaemChar"/>
          <w:rtl/>
        </w:rPr>
        <w:t>صلى‌الله‌عليه‌وآله</w:t>
      </w:r>
      <w:r w:rsidR="00E3253D" w:rsidRPr="005D642E">
        <w:rPr>
          <w:rtl/>
        </w:rPr>
        <w:t xml:space="preserve"> ، مع اختلاف يسير </w:t>
      </w:r>
      <w:r w:rsidR="00FB1A77">
        <w:rPr>
          <w:rFonts w:hint="cs"/>
          <w:rtl/>
        </w:rPr>
        <w:t>.</w:t>
      </w:r>
      <w:r w:rsidR="00E3253D" w:rsidRPr="002F4D34">
        <w:rPr>
          <w:rStyle w:val="libFootnoteBoldChar"/>
          <w:rtl/>
        </w:rPr>
        <w:t>الوافي</w:t>
      </w:r>
      <w:r w:rsidR="00E3253D" w:rsidRPr="005D642E">
        <w:rPr>
          <w:rtl/>
        </w:rPr>
        <w:t xml:space="preserve"> ، ج 25 ، ص 638 ، ح 24793 ؛ </w:t>
      </w:r>
      <w:r w:rsidR="00E3253D" w:rsidRPr="002F4D34">
        <w:rPr>
          <w:rStyle w:val="libFootnoteBoldChar"/>
          <w:rtl/>
        </w:rPr>
        <w:t>البحار</w:t>
      </w:r>
      <w:r w:rsidR="00E3253D" w:rsidRPr="005D642E">
        <w:rPr>
          <w:rtl/>
        </w:rPr>
        <w:t xml:space="preserve"> ، ج 6 ، ص 289 ، ح 13.</w:t>
      </w:r>
    </w:p>
    <w:p w:rsidR="00E3253D" w:rsidRDefault="00E3253D" w:rsidP="00E3253D">
      <w:pPr>
        <w:pStyle w:val="libNormal"/>
        <w:rPr>
          <w:rtl/>
          <w:lang w:bidi="fa-IR"/>
        </w:rPr>
      </w:pPr>
      <w:r>
        <w:rPr>
          <w:rtl/>
          <w:lang w:bidi="fa-IR"/>
        </w:rPr>
        <w:br w:type="page"/>
      </w:r>
    </w:p>
    <w:p w:rsidR="00E3253D" w:rsidRPr="005D642E" w:rsidRDefault="00E3253D" w:rsidP="00E3253D">
      <w:pPr>
        <w:pStyle w:val="Heading2Center"/>
        <w:rPr>
          <w:rtl/>
          <w:lang w:bidi="fa-IR"/>
        </w:rPr>
      </w:pPr>
      <w:bookmarkStart w:id="539" w:name="_Toc344647391"/>
      <w:bookmarkStart w:id="540" w:name="_Toc462226905"/>
      <w:bookmarkStart w:id="541" w:name="_Toc40976013"/>
      <w:r w:rsidRPr="005D642E">
        <w:rPr>
          <w:rtl/>
          <w:lang w:bidi="fa-IR"/>
        </w:rPr>
        <w:t>93</w:t>
      </w:r>
      <w:r>
        <w:rPr>
          <w:rtl/>
          <w:lang w:bidi="fa-IR"/>
        </w:rPr>
        <w:t xml:space="preserve"> </w:t>
      </w:r>
      <w:r w:rsidR="007642BC">
        <w:rPr>
          <w:rtl/>
          <w:lang w:bidi="fa-IR"/>
        </w:rPr>
        <w:t>-</w:t>
      </w:r>
      <w:r>
        <w:rPr>
          <w:rtl/>
          <w:lang w:bidi="fa-IR"/>
        </w:rPr>
        <w:t xml:space="preserve"> </w:t>
      </w:r>
      <w:r w:rsidRPr="005D642E">
        <w:rPr>
          <w:rtl/>
          <w:lang w:bidi="fa-IR"/>
        </w:rPr>
        <w:t xml:space="preserve">بَابُ جَنَّةِ الدُّنْيَا </w:t>
      </w:r>
      <w:r w:rsidRPr="007C12DB">
        <w:rPr>
          <w:rStyle w:val="libFootnotenumChar"/>
          <w:rtl/>
        </w:rPr>
        <w:t>(1)</w:t>
      </w:r>
      <w:r w:rsidRPr="005D642E">
        <w:rPr>
          <w:rtl/>
          <w:lang w:bidi="fa-IR"/>
        </w:rPr>
        <w:t xml:space="preserve"> ‌</w:t>
      </w:r>
      <w:bookmarkEnd w:id="539"/>
      <w:bookmarkEnd w:id="540"/>
      <w:bookmarkEnd w:id="541"/>
    </w:p>
    <w:p w:rsidR="00446B60" w:rsidRDefault="00E3253D" w:rsidP="00446B60">
      <w:pPr>
        <w:pStyle w:val="libNormal"/>
        <w:rPr>
          <w:rtl/>
          <w:lang w:bidi="fa-IR"/>
        </w:rPr>
      </w:pPr>
      <w:r w:rsidRPr="00A37E4C">
        <w:rPr>
          <w:rtl/>
        </w:rPr>
        <w:t>4730</w:t>
      </w:r>
      <w:r w:rsidRPr="00246318">
        <w:rPr>
          <w:rStyle w:val="libBold2Char"/>
          <w:rtl/>
        </w:rPr>
        <w:t xml:space="preserve"> / 1.</w:t>
      </w:r>
      <w:r w:rsidRPr="005D642E">
        <w:rPr>
          <w:rtl/>
          <w:lang w:bidi="fa-IR"/>
        </w:rPr>
        <w:t xml:space="preserve"> عِدَّةٌ مِنْ أَصْحَابِنَا ، عَنْ أَحْمَدَ بْنِ مُحَمَّدٍ وَسَهْلِ بْنِ زِيَادٍ ؛</w:t>
      </w:r>
    </w:p>
    <w:p w:rsidR="00E3253D" w:rsidRPr="005D642E" w:rsidRDefault="00446B60" w:rsidP="00446B60">
      <w:pPr>
        <w:pStyle w:val="libNormal"/>
        <w:rPr>
          <w:rtl/>
          <w:lang w:bidi="fa-IR"/>
        </w:rPr>
      </w:pPr>
      <w:r>
        <w:rPr>
          <w:rFonts w:hint="cs"/>
          <w:rtl/>
          <w:lang w:bidi="fa-IR"/>
        </w:rPr>
        <w:t xml:space="preserve">              </w:t>
      </w:r>
      <w:r w:rsidR="00E3253D" w:rsidRPr="005D642E">
        <w:rPr>
          <w:rtl/>
          <w:lang w:bidi="fa-IR"/>
        </w:rPr>
        <w:t xml:space="preserve">وَعَلِيُّ بْنُ إِبْرَاهِيمَ ، عَنْ أَبِيهِ جَمِيعاً ، عَنِ ابْنِ مَحْبُوبٍ ، عَنْ عَلِيِّ </w:t>
      </w:r>
      <w:r w:rsidR="00E3253D" w:rsidRPr="007C12DB">
        <w:rPr>
          <w:rStyle w:val="libFootnotenumChar"/>
          <w:rtl/>
        </w:rPr>
        <w:t>(2)</w:t>
      </w:r>
      <w:r w:rsidR="00E3253D" w:rsidRPr="005D642E">
        <w:rPr>
          <w:rtl/>
          <w:lang w:bidi="fa-IR"/>
        </w:rPr>
        <w:t xml:space="preserve"> بْنِ رِئَابٍ ، عَنْ ضُرَيْسٍ الْكُنَاسِيِّ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أَنَّ النَّاسَ يَذْكُرُونَ أَنَّ فُرَاتَنَا يَخْرُجُ </w:t>
      </w:r>
      <w:r w:rsidRPr="007C12DB">
        <w:rPr>
          <w:rStyle w:val="libFootnotenumChar"/>
          <w:rtl/>
        </w:rPr>
        <w:t>(3)</w:t>
      </w:r>
      <w:r w:rsidRPr="005D642E">
        <w:rPr>
          <w:rtl/>
          <w:lang w:bidi="fa-IR"/>
        </w:rPr>
        <w:t xml:space="preserve"> مِنَ الْجَنَّةِ ، فَكَيْفَ </w:t>
      </w:r>
      <w:r w:rsidRPr="007C12DB">
        <w:rPr>
          <w:rStyle w:val="libFootnotenumChar"/>
          <w:rtl/>
        </w:rPr>
        <w:t>(4)</w:t>
      </w:r>
      <w:r w:rsidRPr="005D642E">
        <w:rPr>
          <w:rtl/>
          <w:lang w:bidi="fa-IR"/>
        </w:rPr>
        <w:t xml:space="preserve"> هُوَ </w:t>
      </w:r>
      <w:r w:rsidRPr="007C12DB">
        <w:rPr>
          <w:rStyle w:val="libFootnotenumChar"/>
          <w:rtl/>
        </w:rPr>
        <w:t>(5)</w:t>
      </w:r>
      <w:r w:rsidRPr="005D642E">
        <w:rPr>
          <w:rtl/>
          <w:lang w:bidi="fa-IR"/>
        </w:rPr>
        <w:t xml:space="preserve"> وَهُوَ يُقْبِلُ مِنَ الْمَغْرِبِ وَتُصَبُّ </w:t>
      </w:r>
      <w:r w:rsidRPr="007C12DB">
        <w:rPr>
          <w:rStyle w:val="libFootnotenumChar"/>
          <w:rtl/>
        </w:rPr>
        <w:t>(6)</w:t>
      </w:r>
      <w:r w:rsidRPr="005D642E">
        <w:rPr>
          <w:rtl/>
          <w:lang w:bidi="fa-IR"/>
        </w:rPr>
        <w:t xml:space="preserve"> فِيهِ الْعُيُونُ وَالْأَوْدِيَةُ</w:t>
      </w:r>
      <w:r>
        <w:rPr>
          <w:rtl/>
          <w:lang w:bidi="fa-IR"/>
        </w:rPr>
        <w:t>؟</w:t>
      </w:r>
    </w:p>
    <w:p w:rsidR="00E3253D" w:rsidRPr="005D642E" w:rsidRDefault="00E3253D" w:rsidP="00E3253D">
      <w:pPr>
        <w:pStyle w:val="libNormal"/>
        <w:rPr>
          <w:rtl/>
          <w:lang w:bidi="fa-IR"/>
        </w:rPr>
      </w:pPr>
      <w:r w:rsidRPr="005D642E">
        <w:rPr>
          <w:rtl/>
          <w:lang w:bidi="fa-IR"/>
        </w:rPr>
        <w:t xml:space="preserve">قَالَ : فَقَالَ أَبُو جَعْفَرٍ </w:t>
      </w:r>
      <w:r w:rsidRPr="00AC51C5">
        <w:rPr>
          <w:rStyle w:val="libAlaemChar"/>
          <w:rtl/>
        </w:rPr>
        <w:t>عليه‌السلام</w:t>
      </w:r>
      <w:r>
        <w:rPr>
          <w:rtl/>
          <w:lang w:bidi="fa-IR"/>
        </w:rPr>
        <w:t xml:space="preserve"> </w:t>
      </w:r>
      <w:r w:rsidR="007642BC">
        <w:rPr>
          <w:rtl/>
          <w:lang w:bidi="fa-IR"/>
        </w:rPr>
        <w:t>-</w:t>
      </w:r>
      <w:r>
        <w:rPr>
          <w:rtl/>
          <w:lang w:bidi="fa-IR"/>
        </w:rPr>
        <w:t xml:space="preserve"> </w:t>
      </w:r>
      <w:r w:rsidRPr="005D642E">
        <w:rPr>
          <w:rtl/>
          <w:lang w:bidi="fa-IR"/>
        </w:rPr>
        <w:t>وَأَنَا أَسْمَعُ</w:t>
      </w:r>
      <w:r>
        <w:rPr>
          <w:rtl/>
          <w:lang w:bidi="fa-IR"/>
        </w:rPr>
        <w:t xml:space="preserve"> </w:t>
      </w:r>
      <w:r w:rsidR="007642BC">
        <w:rPr>
          <w:rtl/>
          <w:lang w:bidi="fa-IR"/>
        </w:rPr>
        <w:t>-</w:t>
      </w:r>
      <w:r>
        <w:rPr>
          <w:rtl/>
          <w:lang w:bidi="fa-IR"/>
        </w:rPr>
        <w:t xml:space="preserve"> </w:t>
      </w:r>
      <w:r w:rsidRPr="005D642E">
        <w:rPr>
          <w:rtl/>
          <w:lang w:bidi="fa-IR"/>
        </w:rPr>
        <w:t xml:space="preserve">: « إِنَّ لِلّهِ جَنَّةً خَلَقَهَا اللهُ فِي الْمَغْرِبِ ، وَمَاءَ فُرَاتِكُمْ </w:t>
      </w:r>
      <w:r w:rsidRPr="007C12DB">
        <w:rPr>
          <w:rStyle w:val="libFootnotenumChar"/>
          <w:rtl/>
        </w:rPr>
        <w:t>(7)</w:t>
      </w:r>
      <w:r w:rsidRPr="005D642E">
        <w:rPr>
          <w:rtl/>
          <w:lang w:bidi="fa-IR"/>
        </w:rPr>
        <w:t xml:space="preserve"> يَخْرُجُ مِنْهَا ، وَإِلَيْهَا تَخْرُجُ </w:t>
      </w:r>
      <w:r w:rsidRPr="007C12DB">
        <w:rPr>
          <w:rStyle w:val="libFootnotenumChar"/>
          <w:rtl/>
        </w:rPr>
        <w:t>(8)</w:t>
      </w:r>
      <w:r w:rsidRPr="005D642E">
        <w:rPr>
          <w:rtl/>
          <w:lang w:bidi="fa-IR"/>
        </w:rPr>
        <w:t xml:space="preserve"> أَرْوَاحُ الْمُؤْمِنِينَ مِنْ حُفَرِهِمْ عِنْدَ كُلِّ مَسَاءٍ ، فَتَسْقُطُ عَلى ثِمَارِهَا </w:t>
      </w:r>
      <w:r w:rsidRPr="007C12DB">
        <w:rPr>
          <w:rStyle w:val="libFootnotenumChar"/>
          <w:rtl/>
        </w:rPr>
        <w:t>(9)</w:t>
      </w:r>
      <w:r w:rsidRPr="005D642E">
        <w:rPr>
          <w:rtl/>
          <w:lang w:bidi="fa-IR"/>
        </w:rPr>
        <w:t xml:space="preserve"> ، وَتَأْكُلُ مِنْهَا ، وَتَتَنَعَّمُ فِيهَا ، وَتَتَلَاقى وَتَتَعَارَفُ ، فَإِذَا طَلَعَ الْفَجْرُ هَاجَتْ مِنَ الْجَنَّةِ ، فَكَانَتْ </w:t>
      </w:r>
      <w:r w:rsidRPr="007C12DB">
        <w:rPr>
          <w:rStyle w:val="libFootnotenumChar"/>
          <w:rtl/>
        </w:rPr>
        <w:t>(10)</w:t>
      </w:r>
      <w:r w:rsidRPr="005D642E">
        <w:rPr>
          <w:rtl/>
          <w:lang w:bidi="fa-IR"/>
        </w:rPr>
        <w:t xml:space="preserve"> فِي الْهَوَاءِ فِيمَا بَيْنَ السَّمَاءِ وَالْأَرْضِ ، تَطِيرُ ذَاهِبَةً وَجَائِيَةً ، وَتَعْهَدُ حُفَرَهَا إِذَا طَلَعَتِ الشَّمْسُ ، وَتَتَلَاقى </w:t>
      </w:r>
      <w:r w:rsidRPr="007C12DB">
        <w:rPr>
          <w:rStyle w:val="libFootnotenumChar"/>
          <w:rtl/>
        </w:rPr>
        <w:t>(11)</w:t>
      </w:r>
      <w:r w:rsidRPr="005D642E">
        <w:rPr>
          <w:rtl/>
          <w:lang w:bidi="fa-IR"/>
        </w:rPr>
        <w:t xml:space="preserve"> فِي الْهَوَاءِ وَتَتَعَارَفُ</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وَإِنَّ لِلّهِ نَاراً فِي الْمَشْرِقِ خَلَقَهَا </w:t>
      </w:r>
      <w:r w:rsidRPr="007C12DB">
        <w:rPr>
          <w:rStyle w:val="libFootnotenumChar"/>
          <w:rtl/>
        </w:rPr>
        <w:t>(12)</w:t>
      </w:r>
      <w:r w:rsidRPr="005D642E">
        <w:rPr>
          <w:rtl/>
          <w:lang w:bidi="fa-IR"/>
        </w:rPr>
        <w:t xml:space="preserve"> لِيُسْكِنَهَا أَرْوَاحَ الْكُفَّارِ ، وَيَأْكُلُونَ مِنْ زَقُّومِهَا </w:t>
      </w:r>
      <w:r w:rsidRPr="007C12DB">
        <w:rPr>
          <w:rStyle w:val="libFootnotenumChar"/>
          <w:rtl/>
        </w:rPr>
        <w:t>(13)</w:t>
      </w:r>
      <w:r w:rsidRPr="005D642E">
        <w:rPr>
          <w:rtl/>
          <w:lang w:bidi="fa-IR"/>
        </w:rPr>
        <w:t xml:space="preserve"> ، وَيَشْرَبُونَ مِنْ حَمِيمِهَا </w:t>
      </w:r>
      <w:r w:rsidRPr="007C12DB">
        <w:rPr>
          <w:rStyle w:val="libFootnotenumChar"/>
          <w:rtl/>
        </w:rPr>
        <w:t>(14)</w:t>
      </w:r>
      <w:r w:rsidRPr="005D642E">
        <w:rPr>
          <w:rtl/>
          <w:lang w:bidi="fa-IR"/>
        </w:rPr>
        <w:t xml:space="preserve"> لَيْلَهُمْ ، فَإِذَا طَلَعَ الْفَجْرُ هَاجَتْ إِلى وَادٍ بِالْيَمَنِ‌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46B60" w:rsidTr="00446B60">
        <w:tc>
          <w:tcPr>
            <w:tcW w:w="4006" w:type="dxa"/>
          </w:tcPr>
          <w:p w:rsidR="00446B60" w:rsidRDefault="00446B60" w:rsidP="00E3253D">
            <w:pPr>
              <w:pStyle w:val="libFootnote0"/>
              <w:rPr>
                <w:rStyle w:val="libFootnote0Char"/>
                <w:rtl/>
              </w:rPr>
            </w:pPr>
            <w:r w:rsidRPr="0042621E">
              <w:rPr>
                <w:rStyle w:val="libFootnote0Char"/>
                <w:rtl/>
              </w:rPr>
              <w:t>(1).</w:t>
            </w:r>
            <w:r>
              <w:rPr>
                <w:rtl/>
              </w:rPr>
              <w:t xml:space="preserve"> </w:t>
            </w:r>
            <w:r w:rsidR="009252DC">
              <w:rPr>
                <w:rtl/>
              </w:rPr>
              <w:t>في «ى ،بخ ،جح ،</w:t>
            </w:r>
            <w:r w:rsidRPr="005D642E">
              <w:rPr>
                <w:rtl/>
              </w:rPr>
              <w:t>جس » :</w:t>
            </w:r>
            <w:r w:rsidR="009252DC">
              <w:rPr>
                <w:rtl/>
              </w:rPr>
              <w:t>-</w:t>
            </w:r>
            <w:r w:rsidRPr="005D642E">
              <w:rPr>
                <w:rtl/>
              </w:rPr>
              <w:t>« جنّة الدنيا</w:t>
            </w:r>
            <w:r>
              <w:rPr>
                <w:rtl/>
              </w:rPr>
              <w:t xml:space="preserve"> ».</w:t>
            </w:r>
          </w:p>
        </w:tc>
        <w:tc>
          <w:tcPr>
            <w:tcW w:w="4006" w:type="dxa"/>
          </w:tcPr>
          <w:p w:rsidR="00446B60" w:rsidRDefault="00446B60" w:rsidP="00E3253D">
            <w:pPr>
              <w:pStyle w:val="libFootnote0"/>
              <w:rPr>
                <w:rStyle w:val="libFootnote0Char"/>
                <w:rtl/>
              </w:rPr>
            </w:pPr>
            <w:r w:rsidRPr="0042621E">
              <w:rPr>
                <w:rStyle w:val="libFootnote0Char"/>
                <w:rtl/>
              </w:rPr>
              <w:t>(2).</w:t>
            </w:r>
            <w:r w:rsidR="009252DC">
              <w:rPr>
                <w:rtl/>
              </w:rPr>
              <w:t xml:space="preserve"> في «ى ،بخ ،بس ، جس ، جن »</w:t>
            </w:r>
            <w:r w:rsidRPr="005D642E">
              <w:rPr>
                <w:rtl/>
              </w:rPr>
              <w:t>:</w:t>
            </w:r>
            <w:r>
              <w:rPr>
                <w:rtl/>
              </w:rPr>
              <w:t xml:space="preserve"> - </w:t>
            </w:r>
            <w:r w:rsidR="009252DC">
              <w:rPr>
                <w:rtl/>
              </w:rPr>
              <w:t>«</w:t>
            </w:r>
            <w:r w:rsidRPr="005D642E">
              <w:rPr>
                <w:rtl/>
              </w:rPr>
              <w:t>علي</w:t>
            </w:r>
            <w:r>
              <w:rPr>
                <w:rtl/>
              </w:rPr>
              <w:t>».</w:t>
            </w:r>
          </w:p>
        </w:tc>
      </w:tr>
      <w:tr w:rsidR="00446B60" w:rsidTr="00446B60">
        <w:tc>
          <w:tcPr>
            <w:tcW w:w="4006" w:type="dxa"/>
          </w:tcPr>
          <w:p w:rsidR="00446B60" w:rsidRDefault="00446B60" w:rsidP="00E3253D">
            <w:pPr>
              <w:pStyle w:val="libFootnote0"/>
              <w:rPr>
                <w:rStyle w:val="libFootnote0Char"/>
                <w:rtl/>
              </w:rPr>
            </w:pPr>
            <w:r w:rsidRPr="0042621E">
              <w:rPr>
                <w:rStyle w:val="libFootnote0Char"/>
                <w:rtl/>
              </w:rPr>
              <w:t>(3).</w:t>
            </w:r>
            <w:r w:rsidRPr="005D642E">
              <w:rPr>
                <w:rtl/>
              </w:rPr>
              <w:t xml:space="preserve"> في « بح ، بخ » : « تخرج</w:t>
            </w:r>
            <w:r>
              <w:rPr>
                <w:rtl/>
              </w:rPr>
              <w:t xml:space="preserve"> ».</w:t>
            </w:r>
          </w:p>
        </w:tc>
        <w:tc>
          <w:tcPr>
            <w:tcW w:w="4006" w:type="dxa"/>
          </w:tcPr>
          <w:p w:rsidR="00446B60" w:rsidRDefault="00446B60" w:rsidP="00E3253D">
            <w:pPr>
              <w:pStyle w:val="libFootnote0"/>
              <w:rPr>
                <w:rStyle w:val="libFootnote0Char"/>
                <w:rtl/>
              </w:rPr>
            </w:pPr>
            <w:r w:rsidRPr="0042621E">
              <w:rPr>
                <w:rStyle w:val="libFootnote0Char"/>
                <w:rtl/>
              </w:rPr>
              <w:t>(4).</w:t>
            </w:r>
            <w:r w:rsidRPr="005D642E">
              <w:rPr>
                <w:rtl/>
              </w:rPr>
              <w:t xml:space="preserve"> في « بخ » </w:t>
            </w:r>
            <w:r w:rsidRPr="00435375">
              <w:rPr>
                <w:rtl/>
              </w:rPr>
              <w:t>والوافي</w:t>
            </w:r>
            <w:r w:rsidRPr="005D642E">
              <w:rPr>
                <w:rtl/>
              </w:rPr>
              <w:t xml:space="preserve"> : « وكيف</w:t>
            </w:r>
            <w:r>
              <w:rPr>
                <w:rtl/>
              </w:rPr>
              <w:t xml:space="preserve"> ».</w:t>
            </w:r>
          </w:p>
        </w:tc>
      </w:tr>
      <w:tr w:rsidR="00446B60" w:rsidTr="00446B60">
        <w:tc>
          <w:tcPr>
            <w:tcW w:w="4006" w:type="dxa"/>
          </w:tcPr>
          <w:p w:rsidR="00446B60" w:rsidRDefault="00446B60" w:rsidP="00E3253D">
            <w:pPr>
              <w:pStyle w:val="libFootnote0"/>
              <w:rPr>
                <w:rStyle w:val="libFootnote0Char"/>
                <w:rtl/>
              </w:rPr>
            </w:pPr>
            <w:r w:rsidRPr="0042621E">
              <w:rPr>
                <w:rStyle w:val="libFootnote0Char"/>
                <w:rtl/>
              </w:rPr>
              <w:t>(5).</w:t>
            </w:r>
            <w:r w:rsidRPr="005D642E">
              <w:rPr>
                <w:rtl/>
              </w:rPr>
              <w:t xml:space="preserve"> في « جس » </w:t>
            </w:r>
            <w:r w:rsidRPr="009252DC">
              <w:rPr>
                <w:rtl/>
              </w:rPr>
              <w:t>والوافي</w:t>
            </w:r>
            <w:r w:rsidRPr="005D642E">
              <w:rPr>
                <w:rtl/>
              </w:rPr>
              <w:t xml:space="preserve"> :</w:t>
            </w:r>
            <w:r>
              <w:rPr>
                <w:rtl/>
              </w:rPr>
              <w:t xml:space="preserve"> - </w:t>
            </w:r>
            <w:r w:rsidRPr="005D642E">
              <w:rPr>
                <w:rtl/>
              </w:rPr>
              <w:t>« هو</w:t>
            </w:r>
            <w:r>
              <w:rPr>
                <w:rtl/>
              </w:rPr>
              <w:t xml:space="preserve"> ».</w:t>
            </w:r>
          </w:p>
        </w:tc>
        <w:tc>
          <w:tcPr>
            <w:tcW w:w="4006" w:type="dxa"/>
          </w:tcPr>
          <w:p w:rsidR="00446B60" w:rsidRDefault="00446B60" w:rsidP="00E3253D">
            <w:pPr>
              <w:pStyle w:val="libFootnote0"/>
              <w:rPr>
                <w:rStyle w:val="libFootnote0Char"/>
                <w:rtl/>
              </w:rPr>
            </w:pPr>
            <w:r w:rsidRPr="0042621E">
              <w:rPr>
                <w:rStyle w:val="libFootnote0Char"/>
                <w:rtl/>
              </w:rPr>
              <w:t>(6).</w:t>
            </w:r>
            <w:r w:rsidRPr="005D642E">
              <w:rPr>
                <w:rtl/>
              </w:rPr>
              <w:t xml:space="preserve"> في الوافي : « ويصبّ</w:t>
            </w:r>
            <w:r>
              <w:rPr>
                <w:rtl/>
              </w:rPr>
              <w:t xml:space="preserve"> ».</w:t>
            </w:r>
          </w:p>
        </w:tc>
      </w:tr>
      <w:tr w:rsidR="00446B60" w:rsidTr="00446B60">
        <w:tc>
          <w:tcPr>
            <w:tcW w:w="4006" w:type="dxa"/>
          </w:tcPr>
          <w:p w:rsidR="00446B60" w:rsidRDefault="00446B60" w:rsidP="00E3253D">
            <w:pPr>
              <w:pStyle w:val="libFootnote0"/>
              <w:rPr>
                <w:rStyle w:val="libFootnote0Char"/>
                <w:rtl/>
              </w:rPr>
            </w:pPr>
            <w:r w:rsidRPr="0042621E">
              <w:rPr>
                <w:rStyle w:val="libFootnote0Char"/>
                <w:rtl/>
              </w:rPr>
              <w:t>(7).</w:t>
            </w:r>
            <w:r w:rsidRPr="005D642E">
              <w:rPr>
                <w:rtl/>
              </w:rPr>
              <w:t xml:space="preserve"> في « بث ، بخ » </w:t>
            </w:r>
            <w:r w:rsidRPr="009252DC">
              <w:rPr>
                <w:rtl/>
              </w:rPr>
              <w:t>والوافي</w:t>
            </w:r>
            <w:r w:rsidRPr="005D642E">
              <w:rPr>
                <w:rtl/>
              </w:rPr>
              <w:t xml:space="preserve"> والبحار : + « هذه</w:t>
            </w:r>
            <w:r>
              <w:rPr>
                <w:rtl/>
              </w:rPr>
              <w:t xml:space="preserve"> ».</w:t>
            </w:r>
          </w:p>
        </w:tc>
        <w:tc>
          <w:tcPr>
            <w:tcW w:w="4006" w:type="dxa"/>
          </w:tcPr>
          <w:p w:rsidR="00446B60" w:rsidRDefault="00446B60" w:rsidP="00E3253D">
            <w:pPr>
              <w:pStyle w:val="libFootnote0"/>
              <w:rPr>
                <w:rStyle w:val="libFootnote0Char"/>
                <w:rtl/>
              </w:rPr>
            </w:pPr>
            <w:r w:rsidRPr="0042621E">
              <w:rPr>
                <w:rStyle w:val="libFootnote0Char"/>
                <w:rtl/>
              </w:rPr>
              <w:t>(8).</w:t>
            </w:r>
            <w:r w:rsidRPr="005D642E">
              <w:rPr>
                <w:rtl/>
              </w:rPr>
              <w:t xml:space="preserve"> في « بخ ، بس ، جس » : « يخرج</w:t>
            </w:r>
            <w:r>
              <w:rPr>
                <w:rtl/>
              </w:rPr>
              <w:t xml:space="preserve"> ».</w:t>
            </w:r>
          </w:p>
        </w:tc>
      </w:tr>
      <w:tr w:rsidR="00446B60" w:rsidTr="00446B60">
        <w:tc>
          <w:tcPr>
            <w:tcW w:w="4006" w:type="dxa"/>
          </w:tcPr>
          <w:p w:rsidR="00446B60" w:rsidRDefault="00446B60" w:rsidP="00E3253D">
            <w:pPr>
              <w:pStyle w:val="libFootnote0"/>
              <w:rPr>
                <w:rStyle w:val="libFootnote0Char"/>
                <w:rtl/>
              </w:rPr>
            </w:pPr>
            <w:r w:rsidRPr="0042621E">
              <w:rPr>
                <w:rStyle w:val="libFootnote0Char"/>
                <w:rtl/>
              </w:rPr>
              <w:t>(9).</w:t>
            </w:r>
            <w:r w:rsidRPr="005D642E">
              <w:rPr>
                <w:rtl/>
              </w:rPr>
              <w:t xml:space="preserve"> في « ى ، بث » </w:t>
            </w:r>
            <w:r w:rsidRPr="009252DC">
              <w:rPr>
                <w:rtl/>
              </w:rPr>
              <w:t>والوافي :</w:t>
            </w:r>
            <w:r w:rsidRPr="005D642E">
              <w:rPr>
                <w:rtl/>
              </w:rPr>
              <w:t xml:space="preserve"> « أثمارها</w:t>
            </w:r>
            <w:r>
              <w:rPr>
                <w:rtl/>
              </w:rPr>
              <w:t xml:space="preserve"> ».</w:t>
            </w:r>
          </w:p>
        </w:tc>
        <w:tc>
          <w:tcPr>
            <w:tcW w:w="4006" w:type="dxa"/>
          </w:tcPr>
          <w:p w:rsidR="00446B60" w:rsidRDefault="001A1F41" w:rsidP="00E3253D">
            <w:pPr>
              <w:pStyle w:val="libFootnote0"/>
              <w:rPr>
                <w:rStyle w:val="libFootnote0Char"/>
                <w:rtl/>
              </w:rPr>
            </w:pPr>
            <w:r w:rsidRPr="0042621E">
              <w:rPr>
                <w:rStyle w:val="libFootnote0Char"/>
                <w:rtl/>
              </w:rPr>
              <w:t>(10).</w:t>
            </w:r>
            <w:r w:rsidRPr="005D642E">
              <w:rPr>
                <w:rtl/>
              </w:rPr>
              <w:t xml:space="preserve"> في الوافي : « وكانت</w:t>
            </w:r>
            <w:r>
              <w:rPr>
                <w:rtl/>
              </w:rPr>
              <w:t xml:space="preserve"> ».</w:t>
            </w:r>
          </w:p>
        </w:tc>
      </w:tr>
      <w:tr w:rsidR="00446B60" w:rsidTr="00446B60">
        <w:tc>
          <w:tcPr>
            <w:tcW w:w="4006" w:type="dxa"/>
          </w:tcPr>
          <w:p w:rsidR="00446B60" w:rsidRDefault="001A1F41" w:rsidP="00E3253D">
            <w:pPr>
              <w:pStyle w:val="libFootnote0"/>
              <w:rPr>
                <w:rStyle w:val="libFootnote0Char"/>
                <w:rtl/>
              </w:rPr>
            </w:pPr>
            <w:r w:rsidRPr="0042621E">
              <w:rPr>
                <w:rStyle w:val="libFootnote0Char"/>
                <w:rtl/>
              </w:rPr>
              <w:t>(11).</w:t>
            </w:r>
            <w:r w:rsidR="009252DC">
              <w:rPr>
                <w:rtl/>
              </w:rPr>
              <w:t xml:space="preserve"> في «بث» : «وتلاقى</w:t>
            </w:r>
            <w:r w:rsidRPr="005D642E">
              <w:rPr>
                <w:rtl/>
              </w:rPr>
              <w:t>» بحذف إحدى التاءين.</w:t>
            </w:r>
          </w:p>
        </w:tc>
        <w:tc>
          <w:tcPr>
            <w:tcW w:w="4006" w:type="dxa"/>
          </w:tcPr>
          <w:p w:rsidR="00446B60" w:rsidRDefault="001A1F41" w:rsidP="00E3253D">
            <w:pPr>
              <w:pStyle w:val="libFootnote0"/>
              <w:rPr>
                <w:rStyle w:val="libFootnote0Char"/>
                <w:rtl/>
              </w:rPr>
            </w:pPr>
            <w:r w:rsidRPr="0042621E">
              <w:rPr>
                <w:rStyle w:val="libFootnote0Char"/>
                <w:rtl/>
              </w:rPr>
              <w:t>(12).</w:t>
            </w:r>
            <w:r w:rsidR="00435375">
              <w:rPr>
                <w:rtl/>
              </w:rPr>
              <w:t>في«بح»:+«</w:t>
            </w:r>
            <w:r w:rsidRPr="005D642E">
              <w:rPr>
                <w:rtl/>
              </w:rPr>
              <w:t>الله</w:t>
            </w:r>
            <w:r>
              <w:rPr>
                <w:rtl/>
              </w:rPr>
              <w:t>».</w:t>
            </w:r>
            <w:r w:rsidR="00435375">
              <w:rPr>
                <w:rtl/>
              </w:rPr>
              <w:t>وفي «بخ»:«</w:t>
            </w:r>
            <w:r w:rsidRPr="005D642E">
              <w:rPr>
                <w:rtl/>
              </w:rPr>
              <w:t>خلقها في المشرق</w:t>
            </w:r>
            <w:r>
              <w:rPr>
                <w:rtl/>
              </w:rPr>
              <w:t>».</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قال الراغب : « الزَقّوم : عبارة عن أطعمة كريهة في النار</w:t>
      </w:r>
      <w:r w:rsidR="00E3253D">
        <w:rPr>
          <w:rtl/>
        </w:rPr>
        <w:t xml:space="preserve"> ».</w:t>
      </w:r>
      <w:r w:rsidR="00E3253D" w:rsidRPr="005D642E">
        <w:rPr>
          <w:rtl/>
        </w:rPr>
        <w:t xml:space="preserve"> وقال ابن الأثير : « الزقّوم : ما وصف الله في كتابه</w:t>
      </w:r>
      <w:r w:rsidR="00440E1C">
        <w:rPr>
          <w:rFonts w:hint="cs"/>
          <w:rtl/>
        </w:rPr>
        <w:t xml:space="preserve"> </w:t>
      </w:r>
      <w:r w:rsidR="00E3253D" w:rsidRPr="005D642E">
        <w:rPr>
          <w:rtl/>
        </w:rPr>
        <w:t xml:space="preserve">‌العزيز ، فقال : </w:t>
      </w:r>
      <w:r w:rsidR="00E3253D" w:rsidRPr="00440E1C">
        <w:rPr>
          <w:rStyle w:val="libFootnoteAlaemChar"/>
          <w:rtl/>
        </w:rPr>
        <w:t>(</w:t>
      </w:r>
      <w:r w:rsidR="00E3253D" w:rsidRPr="00EB702D">
        <w:rPr>
          <w:rStyle w:val="libFootnoteAieChar"/>
          <w:rtl/>
        </w:rPr>
        <w:t xml:space="preserve"> إِنَّه</w:t>
      </w:r>
      <w:r w:rsidR="00440E1C">
        <w:rPr>
          <w:rStyle w:val="libFootnoteAieChar"/>
          <w:rFonts w:hint="cs"/>
          <w:rtl/>
        </w:rPr>
        <w:t>َ</w:t>
      </w:r>
      <w:r w:rsidR="00E3253D" w:rsidRPr="00EB702D">
        <w:rPr>
          <w:rStyle w:val="libFootnoteAieChar"/>
          <w:rtl/>
        </w:rPr>
        <w:t xml:space="preserve">ا شَجَرَةٌ تَخْرُجُ فِي أَصْلِ الْجَحِيمِ </w:t>
      </w:r>
      <w:r w:rsidR="00440E1C">
        <w:rPr>
          <w:rStyle w:val="libFootnoteAieChar"/>
          <w:rFonts w:hint="cs"/>
          <w:rtl/>
        </w:rPr>
        <w:t xml:space="preserve">* </w:t>
      </w:r>
      <w:r w:rsidR="00E3253D" w:rsidRPr="00EB702D">
        <w:rPr>
          <w:rStyle w:val="libFootnoteAieChar"/>
          <w:rtl/>
        </w:rPr>
        <w:t>طَلْعُه</w:t>
      </w:r>
      <w:r w:rsidR="00440E1C">
        <w:rPr>
          <w:rStyle w:val="libFootnoteAieChar"/>
          <w:rFonts w:hint="cs"/>
          <w:rtl/>
        </w:rPr>
        <w:t>َ</w:t>
      </w:r>
      <w:r w:rsidR="00E3253D" w:rsidRPr="00EB702D">
        <w:rPr>
          <w:rStyle w:val="libFootnoteAieChar"/>
          <w:rtl/>
        </w:rPr>
        <w:t>ا كَأَنَّهُ رُؤُسُ الشَّي</w:t>
      </w:r>
      <w:r w:rsidR="00440E1C">
        <w:rPr>
          <w:rStyle w:val="libFootnoteAieChar"/>
          <w:rFonts w:hint="cs"/>
          <w:rtl/>
        </w:rPr>
        <w:t>َ</w:t>
      </w:r>
      <w:r w:rsidR="00E3253D" w:rsidRPr="00EB702D">
        <w:rPr>
          <w:rStyle w:val="libFootnoteAieChar"/>
          <w:rtl/>
        </w:rPr>
        <w:t xml:space="preserve">اطِينِ </w:t>
      </w:r>
      <w:r w:rsidR="00E3253D" w:rsidRPr="001F7EDD">
        <w:rPr>
          <w:rStyle w:val="libFootnoteAlaemChar"/>
          <w:rtl/>
        </w:rPr>
        <w:t>)</w:t>
      </w:r>
      <w:r w:rsidR="00E3253D" w:rsidRPr="005D642E">
        <w:rPr>
          <w:rtl/>
        </w:rPr>
        <w:t xml:space="preserve"> [ الصافّات (37) : 64</w:t>
      </w:r>
      <w:r w:rsidR="00E3253D">
        <w:rPr>
          <w:rtl/>
        </w:rPr>
        <w:t xml:space="preserve"> </w:t>
      </w:r>
      <w:r w:rsidR="007642BC">
        <w:rPr>
          <w:rtl/>
        </w:rPr>
        <w:t>-</w:t>
      </w:r>
      <w:r w:rsidR="00E3253D">
        <w:rPr>
          <w:rtl/>
        </w:rPr>
        <w:t xml:space="preserve"> </w:t>
      </w:r>
      <w:r w:rsidR="00440E1C">
        <w:rPr>
          <w:rtl/>
        </w:rPr>
        <w:t>65</w:t>
      </w:r>
      <w:r w:rsidR="00E3253D" w:rsidRPr="005D642E">
        <w:rPr>
          <w:rtl/>
        </w:rPr>
        <w:t>] ، وهي فَعّول من الزَقْم : اللقم الشديد والشرب المفرط</w:t>
      </w:r>
      <w:r w:rsidR="00E3253D">
        <w:rPr>
          <w:rtl/>
        </w:rPr>
        <w:t xml:space="preserve"> ».</w:t>
      </w:r>
      <w:r w:rsidR="00E3253D" w:rsidRPr="005D642E">
        <w:rPr>
          <w:rtl/>
        </w:rPr>
        <w:t xml:space="preserve"> وقيل غير ذلك. راجع : </w:t>
      </w:r>
      <w:r w:rsidR="00E3253D" w:rsidRPr="002F4D34">
        <w:rPr>
          <w:rStyle w:val="libFootnoteBoldChar"/>
          <w:rtl/>
        </w:rPr>
        <w:t>المفردا</w:t>
      </w:r>
      <w:r w:rsidR="00E3253D" w:rsidRPr="00440E1C">
        <w:rPr>
          <w:rStyle w:val="libFootnoteBoldChar"/>
          <w:rtl/>
        </w:rPr>
        <w:t>ت للراغب</w:t>
      </w:r>
      <w:r w:rsidR="00E3253D" w:rsidRPr="005D642E">
        <w:rPr>
          <w:rtl/>
        </w:rPr>
        <w:t xml:space="preserve"> ، ص 380 ؛ </w:t>
      </w:r>
      <w:r w:rsidR="00E3253D" w:rsidRPr="002F4D34">
        <w:rPr>
          <w:rStyle w:val="libFootnoteBoldChar"/>
          <w:rtl/>
        </w:rPr>
        <w:t>النهاية</w:t>
      </w:r>
      <w:r w:rsidR="00E3253D" w:rsidRPr="005D642E">
        <w:rPr>
          <w:rtl/>
        </w:rPr>
        <w:t xml:space="preserve"> ، ج 2 ، ص 306 ؛ </w:t>
      </w:r>
      <w:r w:rsidR="00E3253D" w:rsidRPr="002F4D34">
        <w:rPr>
          <w:rStyle w:val="libFootnoteBoldChar"/>
          <w:rtl/>
        </w:rPr>
        <w:t>لسان العرب</w:t>
      </w:r>
      <w:r w:rsidR="00E3253D" w:rsidRPr="005D642E">
        <w:rPr>
          <w:rtl/>
        </w:rPr>
        <w:t xml:space="preserve"> ، ج 12 ، ص 268 ( زقم )</w:t>
      </w:r>
      <w:r w:rsidR="00E3253D">
        <w:rPr>
          <w:rtl/>
        </w:rPr>
        <w:t>.</w:t>
      </w:r>
    </w:p>
    <w:p w:rsidR="00E3253D" w:rsidRPr="005D642E" w:rsidRDefault="0042621E" w:rsidP="00E3253D">
      <w:pPr>
        <w:pStyle w:val="libFootnote0"/>
        <w:rPr>
          <w:rtl/>
          <w:lang w:bidi="fa-IR"/>
        </w:rPr>
      </w:pPr>
      <w:r w:rsidRPr="0042621E">
        <w:rPr>
          <w:rStyle w:val="libFootnote0Char"/>
          <w:rtl/>
        </w:rPr>
        <w:t>(14).</w:t>
      </w:r>
      <w:r w:rsidR="00E3253D">
        <w:rPr>
          <w:rtl/>
        </w:rPr>
        <w:t>.</w:t>
      </w:r>
      <w:r w:rsidR="00E3253D" w:rsidRPr="005D642E">
        <w:rPr>
          <w:rtl/>
        </w:rPr>
        <w:t xml:space="preserve"> « الحميم » : الماء الشديد الحرارة. راجع : </w:t>
      </w:r>
      <w:r w:rsidR="00E3253D" w:rsidRPr="002F4D34">
        <w:rPr>
          <w:rStyle w:val="libFootnoteBoldChar"/>
          <w:rtl/>
        </w:rPr>
        <w:t>المفردات</w:t>
      </w:r>
      <w:r w:rsidR="00E3253D" w:rsidRPr="005D642E">
        <w:rPr>
          <w:rtl/>
        </w:rPr>
        <w:t xml:space="preserve"> للراغب ، ص 254 ( حمم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يُقَالُ لَهُ : بَرَهُوتُ ، أَشَدُّ حَرّاً مِنْ نِيرَانِ الدُّنْيَا ، كَانُوا فِيهَا </w:t>
      </w:r>
      <w:r w:rsidRPr="007C12DB">
        <w:rPr>
          <w:rStyle w:val="libFootnotenumChar"/>
          <w:rtl/>
        </w:rPr>
        <w:t>(1)</w:t>
      </w:r>
      <w:r w:rsidRPr="005D642E">
        <w:rPr>
          <w:rtl/>
          <w:lang w:bidi="fa-IR"/>
        </w:rPr>
        <w:t xml:space="preserve"> يَتَلَاقَوْنَ وَيَتَعَارَفُونَ ، فَإِذَا </w:t>
      </w:r>
      <w:r w:rsidRPr="007C12DB">
        <w:rPr>
          <w:rStyle w:val="libFootnotenumChar"/>
          <w:rtl/>
        </w:rPr>
        <w:t>(2)</w:t>
      </w:r>
      <w:r w:rsidRPr="005D642E">
        <w:rPr>
          <w:rtl/>
          <w:lang w:bidi="fa-IR"/>
        </w:rPr>
        <w:t xml:space="preserve"> كَانَ الْمَسَاءُ عَادُوا إِلَى النَّارِ ، فَهُمْ كَذلِكَ إِلى يَوْمِ الْقِيَامَةِ</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قُلْتُ : أَصْلَحَكَ اللهُ ، فَمَا حَالُ </w:t>
      </w:r>
      <w:r w:rsidRPr="007C12DB">
        <w:rPr>
          <w:rStyle w:val="libFootnotenumChar"/>
          <w:rtl/>
        </w:rPr>
        <w:t>(3)</w:t>
      </w:r>
      <w:r w:rsidRPr="005D642E">
        <w:rPr>
          <w:rtl/>
          <w:lang w:bidi="fa-IR"/>
        </w:rPr>
        <w:t xml:space="preserve"> الْمُوَحِّدِينَ الْمُقِرِّينَ بِنُبُوَّةِ مُحَمَّدٍ </w:t>
      </w:r>
      <w:r w:rsidR="0042621E" w:rsidRPr="0042621E">
        <w:rPr>
          <w:rStyle w:val="libAlaemChar"/>
          <w:rtl/>
        </w:rPr>
        <w:t>صلى‌الله‌عليه‌وآله</w:t>
      </w:r>
      <w:r w:rsidRPr="005D642E">
        <w:rPr>
          <w:rtl/>
          <w:lang w:bidi="fa-IR"/>
        </w:rPr>
        <w:t xml:space="preserve"> مِنَ الْمُسْلِمِينَ الْمُذْنِبِينَ ، الَّذِينَ يَمُوتُونَ وَلَيْسَ لَهُمْ إِمَامٌ ، وَلَايَعْرِفُونَ </w:t>
      </w:r>
      <w:r w:rsidRPr="007C12DB">
        <w:rPr>
          <w:rStyle w:val="libFootnotenumChar"/>
          <w:rtl/>
        </w:rPr>
        <w:t>(4)</w:t>
      </w:r>
      <w:r w:rsidRPr="005D642E">
        <w:rPr>
          <w:rtl/>
          <w:lang w:bidi="fa-IR"/>
        </w:rPr>
        <w:t xml:space="preserve"> وَلَايَتَكُمْ</w:t>
      </w:r>
      <w:r>
        <w:rPr>
          <w:rtl/>
          <w:lang w:bidi="fa-IR"/>
        </w:rPr>
        <w:t>؟</w:t>
      </w:r>
    </w:p>
    <w:p w:rsidR="00E3253D" w:rsidRPr="005D642E" w:rsidRDefault="00E3253D" w:rsidP="00E3253D">
      <w:pPr>
        <w:pStyle w:val="libNormal"/>
        <w:rPr>
          <w:rtl/>
          <w:lang w:bidi="fa-IR"/>
        </w:rPr>
      </w:pPr>
      <w:r w:rsidRPr="005D642E">
        <w:rPr>
          <w:rtl/>
          <w:lang w:bidi="fa-IR"/>
        </w:rPr>
        <w:t xml:space="preserve">فَقَالَ : « أَمَّا هؤُلَاءِ ، فَإِنَّهُمْ فِي حُفَرِهِمْ </w:t>
      </w:r>
      <w:r w:rsidRPr="007C12DB">
        <w:rPr>
          <w:rStyle w:val="libFootnotenumChar"/>
          <w:rtl/>
        </w:rPr>
        <w:t>(5)</w:t>
      </w:r>
      <w:r w:rsidRPr="005D642E">
        <w:rPr>
          <w:rtl/>
          <w:lang w:bidi="fa-IR"/>
        </w:rPr>
        <w:t xml:space="preserve"> لَايَخْرُجُونَ مِنْهَا ، فَمَنْ كَانَ مِنْهُمْ </w:t>
      </w:r>
      <w:r w:rsidRPr="007C12DB">
        <w:rPr>
          <w:rStyle w:val="libFootnotenumChar"/>
          <w:rtl/>
        </w:rPr>
        <w:t>(6)</w:t>
      </w:r>
      <w:r w:rsidRPr="005D642E">
        <w:rPr>
          <w:rtl/>
          <w:lang w:bidi="fa-IR"/>
        </w:rPr>
        <w:t xml:space="preserve"> لَهُ عَمَلٌ صَالِحٌ وَلَمْ يُظْهِرْ مِنْهُ عَدَاوَةً ، فَإِنَّهُ يُخَدُّ لَهُ خَدٌّ </w:t>
      </w:r>
      <w:r w:rsidRPr="007C12DB">
        <w:rPr>
          <w:rStyle w:val="libFootnotenumChar"/>
          <w:rtl/>
        </w:rPr>
        <w:t>(7)</w:t>
      </w:r>
      <w:r w:rsidRPr="005D642E">
        <w:rPr>
          <w:rtl/>
          <w:lang w:bidi="fa-IR"/>
        </w:rPr>
        <w:t xml:space="preserve"> إِلَى الْجَنَّةِ الَّتِي خَلَقَهَا اللهُ فِي الْمَغْرِبِ </w:t>
      </w:r>
      <w:r w:rsidRPr="007C12DB">
        <w:rPr>
          <w:rStyle w:val="libFootnotenumChar"/>
          <w:rtl/>
        </w:rPr>
        <w:t>(8)</w:t>
      </w:r>
      <w:r w:rsidRPr="005D642E">
        <w:rPr>
          <w:rtl/>
          <w:lang w:bidi="fa-IR"/>
        </w:rPr>
        <w:t xml:space="preserve"> ، فَيَدْخُلُ </w:t>
      </w:r>
      <w:r w:rsidRPr="007C12DB">
        <w:rPr>
          <w:rStyle w:val="libFootnotenumChar"/>
          <w:rtl/>
        </w:rPr>
        <w:t>(9)</w:t>
      </w:r>
      <w:r w:rsidRPr="005D642E">
        <w:rPr>
          <w:rtl/>
          <w:lang w:bidi="fa-IR"/>
        </w:rPr>
        <w:t xml:space="preserve"> عَلَيْهِ مِنْهَا الرُّوحُ فِي حُفْرَتِهِ إِلى يَوْمِ الْقِيَامَةِ ، فَيَلْقَى اللهَ ، فَيُحَاسِبُهُ بِحَسَنَاتِهِ وَسَيِّئَاتِهِ ، فَإِمَّا إِلَى الْجَنَّةِ </w:t>
      </w:r>
      <w:r w:rsidRPr="007C12DB">
        <w:rPr>
          <w:rStyle w:val="libFootnotenumChar"/>
          <w:rtl/>
        </w:rPr>
        <w:t>(10)</w:t>
      </w:r>
      <w:r w:rsidRPr="005D642E">
        <w:rPr>
          <w:rtl/>
          <w:lang w:bidi="fa-IR"/>
        </w:rPr>
        <w:t xml:space="preserve"> ، وَإِمَّا </w:t>
      </w:r>
      <w:r w:rsidRPr="007C12DB">
        <w:rPr>
          <w:rStyle w:val="libFootnotenumChar"/>
          <w:rtl/>
        </w:rPr>
        <w:t>(11)</w:t>
      </w:r>
      <w:r w:rsidRPr="005D642E">
        <w:rPr>
          <w:rtl/>
          <w:lang w:bidi="fa-IR"/>
        </w:rPr>
        <w:t xml:space="preserve"> إِلَى النَّارِ </w:t>
      </w:r>
      <w:r w:rsidRPr="007C12DB">
        <w:rPr>
          <w:rStyle w:val="libFootnotenumChar"/>
          <w:rtl/>
        </w:rPr>
        <w:t>(12)</w:t>
      </w:r>
      <w:r w:rsidRPr="005D642E">
        <w:rPr>
          <w:rtl/>
          <w:lang w:bidi="fa-IR"/>
        </w:rPr>
        <w:t xml:space="preserve"> ، فَهؤُلَاءِ مَوْقُوفُونَ لِأَمْرِ اللهِ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وَكَذلِكَ يَفْعَلُ اللهُ </w:t>
      </w:r>
      <w:r w:rsidRPr="007C12DB">
        <w:rPr>
          <w:rStyle w:val="libFootnotenumChar"/>
          <w:rtl/>
        </w:rPr>
        <w:t>(13)</w:t>
      </w:r>
      <w:r w:rsidRPr="005D642E">
        <w:rPr>
          <w:rtl/>
          <w:lang w:bidi="fa-IR"/>
        </w:rPr>
        <w:t xml:space="preserve"> بِالْمُسْتَضْعَفِينَ </w:t>
      </w:r>
      <w:r w:rsidRPr="007C12DB">
        <w:rPr>
          <w:rStyle w:val="libFootnotenumChar"/>
          <w:rtl/>
        </w:rPr>
        <w:t>(14)</w:t>
      </w:r>
      <w:r w:rsidRPr="005D642E">
        <w:rPr>
          <w:rtl/>
          <w:lang w:bidi="fa-IR"/>
        </w:rPr>
        <w:t xml:space="preserve"> وَالْبُلْهِ وَالْأَطْفَالِ وَأَوْلَادِ الْمُسْلِمِينَ ، الَّذِينَ لَمْ يَبْلُغُوا الْحُلُمَ. فَأَمَّا </w:t>
      </w:r>
      <w:r w:rsidRPr="007C12DB">
        <w:rPr>
          <w:rStyle w:val="libFootnotenumChar"/>
          <w:rtl/>
        </w:rPr>
        <w:t>(15)</w:t>
      </w:r>
      <w:r w:rsidRPr="005D642E">
        <w:rPr>
          <w:rtl/>
          <w:lang w:bidi="fa-IR"/>
        </w:rPr>
        <w:t xml:space="preserve"> النُّصَّابُ مِنْ أَهْلِ الْقِبْلَةِ ، فَإِنَّهُمْ يُخَدُّ لَهُمْ خَدٌّ إِلَى النَّارِ الَّتِي خَلَقَهَا اللهُ فِي الْمَشْرِقِ ، فَيَدْخُلُ عَلَيْهِمْ مِنْهَا الل</w:t>
      </w:r>
      <w:r w:rsidR="00440E1C">
        <w:rPr>
          <w:rFonts w:hint="cs"/>
          <w:rtl/>
          <w:lang w:bidi="fa-IR"/>
        </w:rPr>
        <w:t>َّ</w:t>
      </w:r>
      <w:r w:rsidRPr="005D642E">
        <w:rPr>
          <w:rtl/>
          <w:lang w:bidi="fa-IR"/>
        </w:rPr>
        <w:t xml:space="preserve">هَبُ وَالشَّرَرُ وَالدُّخَانُ وَفَوْرَةُ الْحَمِيمِ إِلى يَوْمِ الْقِيَامَةِ ، ثُمَّ </w:t>
      </w:r>
      <w:r w:rsidRPr="007C12DB">
        <w:rPr>
          <w:rStyle w:val="libFootnotenumChar"/>
          <w:rtl/>
        </w:rPr>
        <w:t>(16)</w:t>
      </w:r>
      <w:r w:rsidRPr="005D642E">
        <w:rPr>
          <w:rtl/>
          <w:lang w:bidi="fa-IR"/>
        </w:rPr>
        <w:t xml:space="preserve"> مَصِيرُهُمْ </w:t>
      </w:r>
      <w:r w:rsidRPr="007C12DB">
        <w:rPr>
          <w:rStyle w:val="libFootnotenumChar"/>
          <w:rtl/>
        </w:rPr>
        <w:t>(17)</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40E1C" w:rsidTr="00440E1C">
        <w:tc>
          <w:tcPr>
            <w:tcW w:w="4006" w:type="dxa"/>
          </w:tcPr>
          <w:p w:rsidR="00440E1C" w:rsidRDefault="00440E1C" w:rsidP="00E3253D">
            <w:pPr>
              <w:pStyle w:val="libFootnote0"/>
              <w:rPr>
                <w:rStyle w:val="libFootnote0Char"/>
                <w:rtl/>
              </w:rPr>
            </w:pPr>
            <w:r w:rsidRPr="0042621E">
              <w:rPr>
                <w:rStyle w:val="libFootnote0Char"/>
                <w:rtl/>
              </w:rPr>
              <w:t>(1).</w:t>
            </w:r>
            <w:r>
              <w:rPr>
                <w:rtl/>
              </w:rPr>
              <w:t xml:space="preserve"> في «ى ، بخ ، جح» والبحار ، ج 6 : «</w:t>
            </w:r>
            <w:r w:rsidRPr="005D642E">
              <w:rPr>
                <w:rtl/>
              </w:rPr>
              <w:t>فيه</w:t>
            </w:r>
            <w:r>
              <w:rPr>
                <w:rtl/>
              </w:rPr>
              <w:t>».</w:t>
            </w:r>
          </w:p>
        </w:tc>
        <w:tc>
          <w:tcPr>
            <w:tcW w:w="4006" w:type="dxa"/>
          </w:tcPr>
          <w:p w:rsidR="00440E1C" w:rsidRDefault="00440E1C" w:rsidP="00E3253D">
            <w:pPr>
              <w:pStyle w:val="libFootnote0"/>
              <w:rPr>
                <w:rStyle w:val="libFootnote0Char"/>
                <w:rtl/>
              </w:rPr>
            </w:pPr>
            <w:r w:rsidRPr="0042621E">
              <w:rPr>
                <w:rStyle w:val="libFootnote0Char"/>
                <w:rtl/>
              </w:rPr>
              <w:t>(2).</w:t>
            </w:r>
            <w:r w:rsidRPr="005D642E">
              <w:rPr>
                <w:rtl/>
              </w:rPr>
              <w:t xml:space="preserve"> في « بخ ، جس » </w:t>
            </w:r>
            <w:r w:rsidRPr="00440E1C">
              <w:rPr>
                <w:rtl/>
              </w:rPr>
              <w:t>والوافي</w:t>
            </w:r>
            <w:r w:rsidRPr="005D642E">
              <w:rPr>
                <w:rtl/>
              </w:rPr>
              <w:t xml:space="preserve"> : « وإذا</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بخ ، جس » وحاشية « بح » </w:t>
      </w:r>
      <w:r w:rsidR="000D749A" w:rsidRPr="00440E1C">
        <w:rPr>
          <w:rtl/>
        </w:rPr>
        <w:t>والوافي</w:t>
      </w:r>
      <w:r w:rsidR="00E3253D" w:rsidRPr="005D642E">
        <w:rPr>
          <w:rtl/>
        </w:rPr>
        <w:t xml:space="preserve"> والبحار ، ج 6 : « ما حال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بس ، جس » : « لا يعرفون » بدون الواو.</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والبحار ، ج 6 وتفسير القمّي. وفي المطبوع </w:t>
      </w:r>
      <w:r w:rsidR="000D749A" w:rsidRPr="003E2DF0">
        <w:rPr>
          <w:rtl/>
        </w:rPr>
        <w:t>والوافي</w:t>
      </w:r>
      <w:r w:rsidR="00E3253D" w:rsidRPr="005D642E">
        <w:rPr>
          <w:rtl/>
        </w:rPr>
        <w:t xml:space="preserve"> : « حفرتهم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بخ ، بس ، جس » وتفسير القمّي :</w:t>
      </w:r>
      <w:r w:rsidR="00E3253D">
        <w:rPr>
          <w:rtl/>
        </w:rPr>
        <w:t xml:space="preserve"> </w:t>
      </w:r>
      <w:r w:rsidR="007642BC">
        <w:rPr>
          <w:rtl/>
        </w:rPr>
        <w:t>-</w:t>
      </w:r>
      <w:r w:rsidR="00E3253D">
        <w:rPr>
          <w:rtl/>
        </w:rPr>
        <w:t xml:space="preserve"> </w:t>
      </w:r>
      <w:r w:rsidR="00E3253D" w:rsidRPr="005D642E">
        <w:rPr>
          <w:rtl/>
        </w:rPr>
        <w:t>« منهم</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 « يحدّ له جدّاً</w:t>
      </w:r>
      <w:r w:rsidR="00E3253D">
        <w:rPr>
          <w:rtl/>
        </w:rPr>
        <w:t xml:space="preserve"> ».</w:t>
      </w:r>
      <w:r w:rsidR="00E3253D" w:rsidRPr="005D642E">
        <w:rPr>
          <w:rtl/>
        </w:rPr>
        <w:t xml:space="preserve"> وفي « جح »</w:t>
      </w:r>
      <w:r w:rsidR="00E3253D" w:rsidRPr="003E2DF0">
        <w:rPr>
          <w:rtl/>
        </w:rPr>
        <w:t xml:space="preserve"> </w:t>
      </w:r>
      <w:r w:rsidR="000D749A" w:rsidRPr="003E2DF0">
        <w:rPr>
          <w:rtl/>
        </w:rPr>
        <w:t>والوافي</w:t>
      </w:r>
      <w:r w:rsidR="00E3253D" w:rsidRPr="005D642E">
        <w:rPr>
          <w:rtl/>
        </w:rPr>
        <w:t xml:space="preserve"> : </w:t>
      </w:r>
      <w:r w:rsidR="00E3253D">
        <w:rPr>
          <w:rtl/>
        </w:rPr>
        <w:t>و «</w:t>
      </w:r>
      <w:r w:rsidR="00E3253D" w:rsidRPr="005D642E">
        <w:rPr>
          <w:rtl/>
        </w:rPr>
        <w:t xml:space="preserve"> يخدّ له خدّاً</w:t>
      </w:r>
      <w:r w:rsidR="00E3253D">
        <w:rPr>
          <w:rtl/>
        </w:rPr>
        <w:t xml:space="preserve"> ».</w:t>
      </w:r>
      <w:r w:rsidR="00E3253D" w:rsidRPr="005D642E">
        <w:rPr>
          <w:rtl/>
        </w:rPr>
        <w:t xml:space="preserve"> </w:t>
      </w:r>
      <w:r w:rsidR="00E3253D">
        <w:rPr>
          <w:rtl/>
        </w:rPr>
        <w:t>و «</w:t>
      </w:r>
      <w:r w:rsidR="00E3253D" w:rsidRPr="005D642E">
        <w:rPr>
          <w:rtl/>
        </w:rPr>
        <w:t xml:space="preserve"> يُخَدُّ له خَدٌّ » أي يُشقّ له شَقّ. والخَدُّ : الشَقّ والحفرة تحفرها في الأرض مستطيلة. راجع : </w:t>
      </w:r>
      <w:r w:rsidR="00E3253D" w:rsidRPr="002F4D34">
        <w:rPr>
          <w:rStyle w:val="libFootnoteBoldChar"/>
          <w:rtl/>
        </w:rPr>
        <w:t>لسان العرب</w:t>
      </w:r>
      <w:r w:rsidR="00E3253D" w:rsidRPr="005D642E">
        <w:rPr>
          <w:rtl/>
        </w:rPr>
        <w:t xml:space="preserve"> ، ج 3 ، ص 160 ( خدد )</w:t>
      </w:r>
      <w:r w:rsidR="00E3253D">
        <w:rPr>
          <w:rtl/>
        </w:rPr>
        <w:t>.</w:t>
      </w:r>
    </w:p>
    <w:tbl>
      <w:tblPr>
        <w:tblStyle w:val="TableGrid"/>
        <w:bidiVisual/>
        <w:tblW w:w="0" w:type="auto"/>
        <w:tblLook w:val="04A0" w:firstRow="1" w:lastRow="0" w:firstColumn="1" w:lastColumn="0" w:noHBand="0" w:noVBand="1"/>
      </w:tblPr>
      <w:tblGrid>
        <w:gridCol w:w="4006"/>
        <w:gridCol w:w="4006"/>
      </w:tblGrid>
      <w:tr w:rsidR="003E2DF0" w:rsidTr="003E2DF0">
        <w:tc>
          <w:tcPr>
            <w:tcW w:w="4006" w:type="dxa"/>
          </w:tcPr>
          <w:p w:rsidR="003E2DF0" w:rsidRDefault="003E2DF0" w:rsidP="00E3253D">
            <w:pPr>
              <w:pStyle w:val="libFootnote0"/>
              <w:rPr>
                <w:rStyle w:val="libFootnote0Char"/>
                <w:rtl/>
              </w:rPr>
            </w:pPr>
            <w:r w:rsidRPr="0042621E">
              <w:rPr>
                <w:rStyle w:val="libFootnote0Char"/>
                <w:rtl/>
              </w:rPr>
              <w:t>(8).</w:t>
            </w:r>
            <w:r w:rsidRPr="005D642E">
              <w:rPr>
                <w:rtl/>
              </w:rPr>
              <w:t xml:space="preserve"> في « بث ، جس » وتفسير القمّي : « بالمغرب</w:t>
            </w:r>
            <w:r>
              <w:rPr>
                <w:rtl/>
              </w:rPr>
              <w:t xml:space="preserve"> ».</w:t>
            </w:r>
          </w:p>
        </w:tc>
        <w:tc>
          <w:tcPr>
            <w:tcW w:w="4006" w:type="dxa"/>
          </w:tcPr>
          <w:p w:rsidR="003E2DF0" w:rsidRDefault="003E2DF0" w:rsidP="00E3253D">
            <w:pPr>
              <w:pStyle w:val="libFootnote0"/>
              <w:rPr>
                <w:rStyle w:val="libFootnote0Char"/>
                <w:rtl/>
              </w:rPr>
            </w:pPr>
            <w:r w:rsidRPr="0042621E">
              <w:rPr>
                <w:rStyle w:val="libFootnote0Char"/>
                <w:rtl/>
              </w:rPr>
              <w:t>(9).</w:t>
            </w:r>
            <w:r w:rsidRPr="005D642E">
              <w:rPr>
                <w:rtl/>
              </w:rPr>
              <w:t xml:space="preserve"> في الوافي : « ويدخل</w:t>
            </w:r>
            <w:r>
              <w:rPr>
                <w:rtl/>
              </w:rPr>
              <w:t xml:space="preserve"> ».</w:t>
            </w:r>
          </w:p>
        </w:tc>
      </w:tr>
      <w:tr w:rsidR="003E2DF0" w:rsidTr="003E2DF0">
        <w:tc>
          <w:tcPr>
            <w:tcW w:w="4006" w:type="dxa"/>
          </w:tcPr>
          <w:p w:rsidR="003E2DF0" w:rsidRDefault="003E2DF0" w:rsidP="00E3253D">
            <w:pPr>
              <w:pStyle w:val="libFootnote0"/>
              <w:rPr>
                <w:rStyle w:val="libFootnote0Char"/>
                <w:rtl/>
              </w:rPr>
            </w:pPr>
            <w:r w:rsidRPr="0042621E">
              <w:rPr>
                <w:rStyle w:val="libFootnote0Char"/>
                <w:rtl/>
              </w:rPr>
              <w:t>(10).</w:t>
            </w:r>
            <w:r w:rsidRPr="005D642E">
              <w:rPr>
                <w:rtl/>
              </w:rPr>
              <w:t xml:space="preserve"> في « بث ، بخ ، بس » </w:t>
            </w:r>
            <w:r w:rsidRPr="003E2DF0">
              <w:rPr>
                <w:rtl/>
              </w:rPr>
              <w:t>والوافي</w:t>
            </w:r>
            <w:r w:rsidRPr="005D642E">
              <w:rPr>
                <w:rtl/>
              </w:rPr>
              <w:t xml:space="preserve"> : « جنّة</w:t>
            </w:r>
            <w:r>
              <w:rPr>
                <w:rtl/>
              </w:rPr>
              <w:t xml:space="preserve"> ».</w:t>
            </w:r>
          </w:p>
        </w:tc>
        <w:tc>
          <w:tcPr>
            <w:tcW w:w="4006" w:type="dxa"/>
          </w:tcPr>
          <w:p w:rsidR="003E2DF0" w:rsidRDefault="003E2DF0" w:rsidP="00E3253D">
            <w:pPr>
              <w:pStyle w:val="libFootnote0"/>
              <w:rPr>
                <w:rStyle w:val="libFootnote0Char"/>
                <w:rtl/>
              </w:rPr>
            </w:pPr>
            <w:r w:rsidRPr="0042621E">
              <w:rPr>
                <w:rStyle w:val="libFootnote0Char"/>
                <w:rtl/>
              </w:rPr>
              <w:t>(11).</w:t>
            </w:r>
            <w:r>
              <w:rPr>
                <w:rtl/>
              </w:rPr>
              <w:t xml:space="preserve"> في «ى» والبحار ، ج 6 : «أو» بدل «</w:t>
            </w:r>
            <w:r w:rsidRPr="005D642E">
              <w:rPr>
                <w:rtl/>
              </w:rPr>
              <w:t>وإمّا</w:t>
            </w:r>
            <w:r>
              <w:rPr>
                <w:rtl/>
              </w:rPr>
              <w:t>».</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بث ، بح ، بخ ، بس ، جح » </w:t>
      </w:r>
      <w:r w:rsidR="000D749A" w:rsidRPr="003E2DF0">
        <w:rPr>
          <w:rtl/>
        </w:rPr>
        <w:t>والوافي</w:t>
      </w:r>
      <w:r w:rsidR="00E3253D" w:rsidRPr="005D642E">
        <w:rPr>
          <w:rtl/>
        </w:rPr>
        <w:t xml:space="preserve"> : « نار</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في « ى » وتفسير القمّي :</w:t>
      </w:r>
      <w:r w:rsidR="00E3253D">
        <w:rPr>
          <w:rtl/>
        </w:rPr>
        <w:t xml:space="preserve"> </w:t>
      </w:r>
      <w:r w:rsidR="007642BC">
        <w:rPr>
          <w:rtl/>
        </w:rPr>
        <w:t>-</w:t>
      </w:r>
      <w:r w:rsidR="00E3253D">
        <w:rPr>
          <w:rtl/>
        </w:rPr>
        <w:t xml:space="preserve"> </w:t>
      </w:r>
      <w:r w:rsidR="00E3253D" w:rsidRPr="005D642E">
        <w:rPr>
          <w:rtl/>
        </w:rPr>
        <w:t>« الله</w:t>
      </w:r>
      <w:r w:rsidR="00E3253D">
        <w:rPr>
          <w:rtl/>
        </w:rPr>
        <w:t xml:space="preserve"> ».</w:t>
      </w:r>
      <w:r w:rsidR="00E3253D" w:rsidRPr="005D642E">
        <w:rPr>
          <w:rtl/>
        </w:rPr>
        <w:t xml:space="preserve"> وفي « بث » : « الله يفعل</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E2DF0" w:rsidTr="003E2DF0">
        <w:tc>
          <w:tcPr>
            <w:tcW w:w="4006" w:type="dxa"/>
          </w:tcPr>
          <w:p w:rsidR="003E2DF0" w:rsidRDefault="003E2DF0" w:rsidP="00E3253D">
            <w:pPr>
              <w:pStyle w:val="libFootnote0"/>
              <w:rPr>
                <w:rStyle w:val="libFootnote0Char"/>
                <w:rtl/>
              </w:rPr>
            </w:pPr>
            <w:r w:rsidRPr="0042621E">
              <w:rPr>
                <w:rStyle w:val="libFootnote0Char"/>
                <w:rtl/>
              </w:rPr>
              <w:t>(14).</w:t>
            </w:r>
            <w:r w:rsidRPr="005D642E">
              <w:rPr>
                <w:rtl/>
              </w:rPr>
              <w:t xml:space="preserve"> في « بح » : « بالمستضعف</w:t>
            </w:r>
            <w:r>
              <w:rPr>
                <w:rtl/>
              </w:rPr>
              <w:t xml:space="preserve"> ».</w:t>
            </w:r>
          </w:p>
        </w:tc>
        <w:tc>
          <w:tcPr>
            <w:tcW w:w="4006" w:type="dxa"/>
          </w:tcPr>
          <w:p w:rsidR="003E2DF0" w:rsidRDefault="003E2DF0" w:rsidP="00E3253D">
            <w:pPr>
              <w:pStyle w:val="libFootnote0"/>
              <w:rPr>
                <w:rStyle w:val="libFootnote0Char"/>
                <w:rtl/>
              </w:rPr>
            </w:pPr>
            <w:r w:rsidRPr="0042621E">
              <w:rPr>
                <w:rStyle w:val="libFootnote0Char"/>
                <w:rtl/>
              </w:rPr>
              <w:t>(15).</w:t>
            </w:r>
            <w:r>
              <w:rPr>
                <w:rtl/>
              </w:rPr>
              <w:t xml:space="preserve"> </w:t>
            </w:r>
            <w:r w:rsidRPr="005D642E">
              <w:rPr>
                <w:rtl/>
              </w:rPr>
              <w:t>في « ى » وتفسير القمّي : « وأمّا</w:t>
            </w:r>
            <w:r>
              <w:rPr>
                <w:rtl/>
              </w:rPr>
              <w:t xml:space="preserve"> ».</w:t>
            </w:r>
          </w:p>
        </w:tc>
      </w:tr>
      <w:tr w:rsidR="003E2DF0" w:rsidTr="003E2DF0">
        <w:tc>
          <w:tcPr>
            <w:tcW w:w="4006" w:type="dxa"/>
          </w:tcPr>
          <w:p w:rsidR="003E2DF0" w:rsidRDefault="003E2DF0" w:rsidP="00E3253D">
            <w:pPr>
              <w:pStyle w:val="libFootnote0"/>
              <w:rPr>
                <w:rStyle w:val="libFootnote0Char"/>
                <w:rtl/>
              </w:rPr>
            </w:pPr>
            <w:r w:rsidRPr="005D642E">
              <w:rPr>
                <w:rtl/>
              </w:rPr>
              <w:t>(1</w:t>
            </w:r>
            <w:r>
              <w:rPr>
                <w:rtl/>
              </w:rPr>
              <w:t>6)</w:t>
            </w:r>
            <w:r w:rsidRPr="005D642E">
              <w:rPr>
                <w:rtl/>
              </w:rPr>
              <w:t xml:space="preserve"> في تفسير القمّي : + « بعد ذلك</w:t>
            </w:r>
            <w:r>
              <w:rPr>
                <w:rtl/>
              </w:rPr>
              <w:t xml:space="preserve"> ».</w:t>
            </w:r>
          </w:p>
        </w:tc>
        <w:tc>
          <w:tcPr>
            <w:tcW w:w="4006" w:type="dxa"/>
          </w:tcPr>
          <w:p w:rsidR="003E2DF0" w:rsidRDefault="003E2DF0" w:rsidP="00E3253D">
            <w:pPr>
              <w:pStyle w:val="libFootnote0"/>
              <w:rPr>
                <w:rStyle w:val="libFootnote0Char"/>
                <w:rtl/>
              </w:rPr>
            </w:pPr>
            <w:r w:rsidRPr="005D642E">
              <w:rPr>
                <w:rtl/>
              </w:rPr>
              <w:t>(1</w:t>
            </w:r>
            <w:r>
              <w:rPr>
                <w:rtl/>
              </w:rPr>
              <w:t>7)</w:t>
            </w:r>
            <w:r w:rsidRPr="005D642E">
              <w:rPr>
                <w:rtl/>
              </w:rPr>
              <w:t xml:space="preserve"> في « بخ » : « يصيربهم</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إِلَى الْحَمِيمِ </w:t>
      </w:r>
      <w:r w:rsidRPr="007C12DB">
        <w:rPr>
          <w:rStyle w:val="libFootnotenumChar"/>
          <w:rtl/>
        </w:rPr>
        <w:t>(1)</w:t>
      </w:r>
      <w:r w:rsidRPr="005D642E">
        <w:rPr>
          <w:rtl/>
          <w:lang w:bidi="fa-IR"/>
        </w:rPr>
        <w:t xml:space="preserve"> ، ثُمَّ </w:t>
      </w:r>
      <w:r w:rsidRPr="007C12DB">
        <w:rPr>
          <w:rStyle w:val="libFootnotenumChar"/>
          <w:rtl/>
        </w:rPr>
        <w:t>(2)</w:t>
      </w:r>
      <w:r w:rsidRPr="005D642E">
        <w:rPr>
          <w:rtl/>
          <w:lang w:bidi="fa-IR"/>
        </w:rPr>
        <w:t xml:space="preserve"> فِي النَّارِ يُسْجَرُونَ ، ثُمَّ قِيلَ لَهُمْ أَيْنَمَا كُنْتُمْ تَدْعُونَ </w:t>
      </w:r>
      <w:r w:rsidRPr="007C12DB">
        <w:rPr>
          <w:rStyle w:val="libFootnotenumChar"/>
          <w:rtl/>
        </w:rPr>
        <w:t>(3)</w:t>
      </w:r>
      <w:r w:rsidRPr="005D642E">
        <w:rPr>
          <w:rtl/>
          <w:lang w:bidi="fa-IR"/>
        </w:rPr>
        <w:t xml:space="preserve"> مِنْ دُونِ اللهِ </w:t>
      </w:r>
      <w:r w:rsidRPr="007C12DB">
        <w:rPr>
          <w:rStyle w:val="libFootnotenumChar"/>
          <w:rtl/>
        </w:rPr>
        <w:t>(4)</w:t>
      </w:r>
      <w:r>
        <w:rPr>
          <w:rtl/>
          <w:lang w:bidi="fa-IR"/>
        </w:rPr>
        <w:t>؟</w:t>
      </w:r>
      <w:r w:rsidRPr="005D642E">
        <w:rPr>
          <w:rtl/>
          <w:lang w:bidi="fa-IR"/>
        </w:rPr>
        <w:t xml:space="preserve"> أَيْنَ إِمَامُكُمُ الَّذِي اتَّخَذْتُمُوهُ دُونَ الْإِمَامِ الَّذِي جَعَلَهُ اللهُ لِلنَّاسِ إِمَاماً</w:t>
      </w:r>
      <w:r>
        <w:rPr>
          <w:rtl/>
          <w:lang w:bidi="fa-IR"/>
        </w:rPr>
        <w:t>؟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A37E4C">
        <w:rPr>
          <w:rtl/>
        </w:rPr>
        <w:t>4731</w:t>
      </w:r>
      <w:r w:rsidRPr="00246318">
        <w:rPr>
          <w:rStyle w:val="libBold2Char"/>
          <w:rtl/>
        </w:rPr>
        <w:t xml:space="preserve"> / 2.</w:t>
      </w:r>
      <w:r w:rsidRPr="005D642E">
        <w:rPr>
          <w:rtl/>
          <w:lang w:bidi="fa-IR"/>
        </w:rPr>
        <w:t xml:space="preserve"> عَلِيُّ بْنُ إِبْرَاهِيمَ ، عَنْ أَبِيهِ ، عَنْ أَحْمَدَ بْنِ مُحَمَّدِ بْنِ أَبِي نَصْرٍ ، عَنِ الْحُسَيْنِ بْنِ مُيَسِّرٍ </w:t>
      </w:r>
      <w:r w:rsidRPr="007C12DB">
        <w:rPr>
          <w:rStyle w:val="libFootnotenumChar"/>
          <w:rtl/>
        </w:rPr>
        <w:t>(6)</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سَأَلْتُ أَبَا عَبْدِ اللهِ </w:t>
      </w:r>
      <w:r w:rsidRPr="00AC51C5">
        <w:rPr>
          <w:rStyle w:val="libAlaemChar"/>
          <w:rtl/>
        </w:rPr>
        <w:t>عليه‌السلام</w:t>
      </w:r>
      <w:r w:rsidRPr="005D642E">
        <w:rPr>
          <w:rtl/>
          <w:lang w:bidi="fa-IR"/>
        </w:rPr>
        <w:t xml:space="preserve"> عَنْ جَنَّةِ آدَمَ </w:t>
      </w:r>
      <w:r w:rsidRPr="00AC51C5">
        <w:rPr>
          <w:rStyle w:val="libAlaemChar"/>
          <w:rtl/>
        </w:rPr>
        <w:t>عليه‌السلام</w:t>
      </w:r>
      <w:r>
        <w:rPr>
          <w:rtl/>
          <w:lang w:bidi="fa-IR"/>
        </w:rPr>
        <w:t>؟</w:t>
      </w:r>
    </w:p>
    <w:p w:rsidR="00E3253D" w:rsidRPr="005D642E" w:rsidRDefault="00E3253D" w:rsidP="00E3253D">
      <w:pPr>
        <w:pStyle w:val="libNormal"/>
        <w:rPr>
          <w:rtl/>
          <w:lang w:bidi="fa-IR"/>
        </w:rPr>
      </w:pPr>
      <w:r w:rsidRPr="005D642E">
        <w:rPr>
          <w:rtl/>
          <w:lang w:bidi="fa-IR"/>
        </w:rPr>
        <w:t xml:space="preserve">فَقَالَ : « جَنَّةٌ مِنْ جِنَانِ </w:t>
      </w:r>
      <w:r w:rsidRPr="007C12DB">
        <w:rPr>
          <w:rStyle w:val="libFootnotenumChar"/>
          <w:rtl/>
        </w:rPr>
        <w:t>(7)</w:t>
      </w:r>
      <w:r w:rsidRPr="005D642E">
        <w:rPr>
          <w:rtl/>
          <w:lang w:bidi="fa-IR"/>
        </w:rPr>
        <w:t xml:space="preserve"> الدُّنْيَا تَطْلُعُ </w:t>
      </w:r>
      <w:r w:rsidRPr="007C12DB">
        <w:rPr>
          <w:rStyle w:val="libFootnotenumChar"/>
          <w:rtl/>
        </w:rPr>
        <w:t>(8)</w:t>
      </w:r>
      <w:r w:rsidRPr="005D642E">
        <w:rPr>
          <w:rtl/>
          <w:lang w:bidi="fa-IR"/>
        </w:rPr>
        <w:t xml:space="preserve"> فِيهَا الشَّمْسُ وَالْقَمَرُ ، وَلَوْ كَانَتْ مِنْ جِنَانِ </w:t>
      </w:r>
      <w:r w:rsidRPr="007C12DB">
        <w:rPr>
          <w:rStyle w:val="libFootnotenumChar"/>
          <w:rtl/>
        </w:rPr>
        <w:t>(9)</w:t>
      </w:r>
      <w:r w:rsidRPr="005D642E">
        <w:rPr>
          <w:rtl/>
          <w:lang w:bidi="fa-IR"/>
        </w:rPr>
        <w:t xml:space="preserve"> الْآخِرَةِ مَا خَرَجَ مِنْهَا أَبَداً</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Heading2Center"/>
        <w:rPr>
          <w:rtl/>
          <w:lang w:bidi="fa-IR"/>
        </w:rPr>
      </w:pPr>
      <w:bookmarkStart w:id="542" w:name="_Toc344647392"/>
      <w:bookmarkStart w:id="543" w:name="_Toc462226906"/>
      <w:bookmarkStart w:id="544" w:name="_Toc40976014"/>
      <w:r w:rsidRPr="005D642E">
        <w:rPr>
          <w:rtl/>
          <w:lang w:bidi="fa-IR"/>
        </w:rPr>
        <w:t>94</w:t>
      </w:r>
      <w:r>
        <w:rPr>
          <w:rtl/>
          <w:lang w:bidi="fa-IR"/>
        </w:rPr>
        <w:t xml:space="preserve"> </w:t>
      </w:r>
      <w:r w:rsidR="007642BC">
        <w:rPr>
          <w:rtl/>
          <w:lang w:bidi="fa-IR"/>
        </w:rPr>
        <w:t>-</w:t>
      </w:r>
      <w:r>
        <w:rPr>
          <w:rtl/>
          <w:lang w:bidi="fa-IR"/>
        </w:rPr>
        <w:t xml:space="preserve"> </w:t>
      </w:r>
      <w:r w:rsidRPr="005D642E">
        <w:rPr>
          <w:rtl/>
          <w:lang w:bidi="fa-IR"/>
        </w:rPr>
        <w:t>بَابُ الْأَطْفَالِ‌</w:t>
      </w:r>
      <w:bookmarkEnd w:id="542"/>
      <w:bookmarkEnd w:id="543"/>
      <w:bookmarkEnd w:id="544"/>
    </w:p>
    <w:p w:rsidR="00E3253D" w:rsidRPr="005D642E" w:rsidRDefault="00E3253D" w:rsidP="00E3253D">
      <w:pPr>
        <w:pStyle w:val="libNormal"/>
        <w:rPr>
          <w:rtl/>
          <w:lang w:bidi="fa-IR"/>
        </w:rPr>
      </w:pPr>
      <w:r w:rsidRPr="00A37E4C">
        <w:rPr>
          <w:rtl/>
        </w:rPr>
        <w:t>4732</w:t>
      </w:r>
      <w:r w:rsidRPr="00246318">
        <w:rPr>
          <w:rStyle w:val="libBold2Char"/>
          <w:rtl/>
        </w:rPr>
        <w:t xml:space="preserve"> / 1.</w:t>
      </w:r>
      <w:r w:rsidRPr="005D642E">
        <w:rPr>
          <w:rtl/>
          <w:lang w:bidi="fa-IR"/>
        </w:rPr>
        <w:t xml:space="preserve"> عَلِيُّ بْنُ إِبْرَاهِيمَ ، عَنْ أَبِيهِ ، عَنْ حَمَّادٍ ، عَنْ حَرِيزٍ ، عَنْ زُرَارَةَ :</w:t>
      </w:r>
    </w:p>
    <w:p w:rsidR="00E3253D"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سَأَلْتُهُ : هَلْ سُئِلَ رَسُولُ اللهِ </w:t>
      </w:r>
      <w:r w:rsidR="0042621E" w:rsidRPr="0042621E">
        <w:rPr>
          <w:rStyle w:val="libAlaemChar"/>
          <w:rtl/>
        </w:rPr>
        <w:t>صلى‌الله‌عليه‌وآله</w:t>
      </w:r>
      <w:r w:rsidRPr="005D642E">
        <w:rPr>
          <w:rtl/>
          <w:lang w:bidi="fa-IR"/>
        </w:rPr>
        <w:t xml:space="preserve"> عَنِ الْأَطْفَالِ</w:t>
      </w:r>
      <w:r>
        <w:rPr>
          <w:rtl/>
          <w:lang w:bidi="fa-IR"/>
        </w:rPr>
        <w:t>؟</w:t>
      </w:r>
    </w:p>
    <w:p w:rsidR="003E2DF0" w:rsidRPr="005D642E" w:rsidRDefault="003E2DF0" w:rsidP="00E3253D">
      <w:pPr>
        <w:pStyle w:val="libNormal"/>
        <w:rPr>
          <w:rtl/>
          <w:lang w:bidi="fa-IR"/>
        </w:rPr>
      </w:pPr>
      <w:r w:rsidRPr="005D642E">
        <w:rPr>
          <w:rtl/>
          <w:lang w:bidi="fa-IR"/>
        </w:rPr>
        <w:t>فَقَالَ : « قَدْ سُئِلَ ، فَقَالَ : اللهُ أَعْلَمُ بِمَا كَانُوا عَامِلِينَ » ثُمَّ قَالَ : « يَا زُرَارَةُ ، هَلْ تَدْرِي</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تفسير القمّي : « الجحيم</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w:t>
      </w:r>
      <w:r w:rsidR="00E3253D">
        <w:rPr>
          <w:rtl/>
        </w:rPr>
        <w:t xml:space="preserve"> </w:t>
      </w:r>
      <w:r w:rsidR="007642BC">
        <w:rPr>
          <w:rtl/>
        </w:rPr>
        <w:t>-</w:t>
      </w:r>
      <w:r w:rsidR="00E3253D">
        <w:rPr>
          <w:rtl/>
        </w:rPr>
        <w:t xml:space="preserve"> </w:t>
      </w:r>
      <w:r w:rsidR="00E3253D" w:rsidRPr="005D642E">
        <w:rPr>
          <w:rtl/>
        </w:rPr>
        <w:t>« ثمّ</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 « تعبدون</w:t>
      </w:r>
      <w:r w:rsidR="00E3253D">
        <w:rPr>
          <w:rtl/>
        </w:rPr>
        <w:t xml:space="preserve"> ».</w:t>
      </w:r>
      <w:r w:rsidR="00E3253D" w:rsidRPr="005D642E">
        <w:rPr>
          <w:rtl/>
        </w:rPr>
        <w:t xml:space="preserve"> وفي تفسير القمّي : « تشركون</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تفسير القمّي : + « أي</w:t>
      </w:r>
      <w:r w:rsidR="00E3253D">
        <w:rPr>
          <w:rtl/>
        </w:rPr>
        <w:t xml:space="preserve"> ».</w:t>
      </w:r>
      <w:r w:rsidR="00E3253D" w:rsidRPr="005D642E">
        <w:rPr>
          <w:rtl/>
        </w:rPr>
        <w:t xml:space="preserve"> إشارة إلى الآية 72</w:t>
      </w:r>
      <w:r w:rsidR="00E3253D">
        <w:rPr>
          <w:rtl/>
        </w:rPr>
        <w:t xml:space="preserve"> </w:t>
      </w:r>
      <w:r w:rsidR="007642BC">
        <w:rPr>
          <w:rtl/>
        </w:rPr>
        <w:t>-</w:t>
      </w:r>
      <w:r w:rsidR="00E3253D">
        <w:rPr>
          <w:rtl/>
        </w:rPr>
        <w:t xml:space="preserve"> </w:t>
      </w:r>
      <w:r w:rsidR="00E3253D" w:rsidRPr="005D642E">
        <w:rPr>
          <w:rtl/>
        </w:rPr>
        <w:t>74 من سورة غافر (40)</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تفسير القمّي</w:t>
      </w:r>
      <w:r w:rsidR="00E3253D" w:rsidRPr="005D642E">
        <w:rPr>
          <w:rtl/>
        </w:rPr>
        <w:t xml:space="preserve"> ، ج 2 ، ص 260 ، عن أبيه ، عن الحسن بن محبوب </w:t>
      </w:r>
      <w:r w:rsidR="003E2DF0">
        <w:rPr>
          <w:rFonts w:hint="cs"/>
          <w:rtl/>
        </w:rPr>
        <w:t>.</w:t>
      </w:r>
      <w:r w:rsidR="00E3253D" w:rsidRPr="002F4D34">
        <w:rPr>
          <w:rStyle w:val="libFootnoteBoldChar"/>
          <w:rtl/>
        </w:rPr>
        <w:t>الوافي</w:t>
      </w:r>
      <w:r w:rsidR="00E3253D" w:rsidRPr="005D642E">
        <w:rPr>
          <w:rtl/>
        </w:rPr>
        <w:t xml:space="preserve"> ، ج 25 ، ص 639 ، ح 24794 ؛ </w:t>
      </w:r>
      <w:r w:rsidR="00E3253D" w:rsidRPr="002F4D34">
        <w:rPr>
          <w:rStyle w:val="libFootnoteBoldChar"/>
          <w:rtl/>
        </w:rPr>
        <w:t>البحار</w:t>
      </w:r>
      <w:r w:rsidR="00E3253D" w:rsidRPr="005D642E">
        <w:rPr>
          <w:rtl/>
        </w:rPr>
        <w:t xml:space="preserve"> ، ج 6 ، ص 289 ، ح 14 ؛ </w:t>
      </w:r>
      <w:r w:rsidR="00E3253D" w:rsidRPr="002F4D34">
        <w:rPr>
          <w:rStyle w:val="libFootnoteBoldChar"/>
          <w:rtl/>
        </w:rPr>
        <w:t>وفيه</w:t>
      </w:r>
      <w:r w:rsidR="00E3253D" w:rsidRPr="005D642E">
        <w:rPr>
          <w:rtl/>
        </w:rPr>
        <w:t xml:space="preserve"> ، ج 61 ، ص 51 ، ح 33 ، من قوله : « إنّ لله‌</w:t>
      </w:r>
      <w:r w:rsidR="003E2DF0">
        <w:rPr>
          <w:rFonts w:hint="cs"/>
          <w:rtl/>
        </w:rPr>
        <w:t xml:space="preserve"> </w:t>
      </w:r>
      <w:r w:rsidR="00E3253D" w:rsidRPr="005D642E">
        <w:rPr>
          <w:rtl/>
        </w:rPr>
        <w:t>جنّة خلقها الله في المغرب » إلى قوله : « فهم كذلك إلى يوم القيامة</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w:t>
      </w:r>
      <w:r w:rsidR="00E3253D" w:rsidRPr="003E2DF0">
        <w:rPr>
          <w:rtl/>
        </w:rPr>
        <w:t xml:space="preserve"> </w:t>
      </w:r>
      <w:r w:rsidR="000D749A" w:rsidRPr="003E2DF0">
        <w:rPr>
          <w:rtl/>
        </w:rPr>
        <w:t>والوافي</w:t>
      </w:r>
      <w:r w:rsidR="00E3253D" w:rsidRPr="005D642E">
        <w:rPr>
          <w:rtl/>
        </w:rPr>
        <w:t xml:space="preserve"> : « بشر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E2DF0" w:rsidTr="003E2DF0">
        <w:tc>
          <w:tcPr>
            <w:tcW w:w="4006" w:type="dxa"/>
          </w:tcPr>
          <w:p w:rsidR="003E2DF0" w:rsidRDefault="003E2DF0" w:rsidP="00E3253D">
            <w:pPr>
              <w:pStyle w:val="libFootnote0"/>
              <w:rPr>
                <w:rStyle w:val="libFootnote0Char"/>
                <w:rtl/>
              </w:rPr>
            </w:pPr>
            <w:r w:rsidRPr="0042621E">
              <w:rPr>
                <w:rStyle w:val="libFootnote0Char"/>
                <w:rtl/>
              </w:rPr>
              <w:t>(7).</w:t>
            </w:r>
            <w:r w:rsidRPr="005D642E">
              <w:rPr>
                <w:rtl/>
              </w:rPr>
              <w:t xml:space="preserve"> في « بث » وحاشية « بخ » : « جنّات</w:t>
            </w:r>
            <w:r>
              <w:rPr>
                <w:rtl/>
              </w:rPr>
              <w:t xml:space="preserve"> ».</w:t>
            </w:r>
          </w:p>
        </w:tc>
        <w:tc>
          <w:tcPr>
            <w:tcW w:w="4006" w:type="dxa"/>
          </w:tcPr>
          <w:p w:rsidR="003E2DF0" w:rsidRDefault="003E2DF0" w:rsidP="00E3253D">
            <w:pPr>
              <w:pStyle w:val="libFootnote0"/>
              <w:rPr>
                <w:rStyle w:val="libFootnote0Char"/>
                <w:rtl/>
              </w:rPr>
            </w:pPr>
            <w:r w:rsidRPr="0042621E">
              <w:rPr>
                <w:rStyle w:val="libFootnote0Char"/>
                <w:rtl/>
              </w:rPr>
              <w:t>(8).</w:t>
            </w:r>
            <w:r w:rsidRPr="005D642E">
              <w:rPr>
                <w:rtl/>
              </w:rPr>
              <w:t xml:space="preserve"> في « بس »</w:t>
            </w:r>
            <w:r w:rsidRPr="003E2DF0">
              <w:rPr>
                <w:rtl/>
              </w:rPr>
              <w:t xml:space="preserve"> والوافي</w:t>
            </w:r>
            <w:r w:rsidRPr="005D642E">
              <w:rPr>
                <w:rtl/>
              </w:rPr>
              <w:t xml:space="preserve"> : « يطلع</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بث » : « جنّات</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تفسير القمّي</w:t>
      </w:r>
      <w:r w:rsidR="00E3253D" w:rsidRPr="005D642E">
        <w:rPr>
          <w:rtl/>
        </w:rPr>
        <w:t xml:space="preserve"> ، ج 1 ، ص 43 ، عن أبيه ، رفعه إلى الصادق </w:t>
      </w:r>
      <w:r w:rsidR="00E3253D" w:rsidRPr="00EA7EB0">
        <w:rPr>
          <w:rStyle w:val="libFootnoteAlaemChar"/>
          <w:rtl/>
        </w:rPr>
        <w:t>عليه‌السلام</w:t>
      </w:r>
      <w:r w:rsidR="00E3253D" w:rsidRPr="005D642E">
        <w:rPr>
          <w:rtl/>
        </w:rPr>
        <w:t xml:space="preserve"> ، مع زيادة في أوّله. </w:t>
      </w:r>
      <w:r w:rsidR="00E3253D" w:rsidRPr="002F4D34">
        <w:rPr>
          <w:rStyle w:val="libFootnoteBoldChar"/>
          <w:rtl/>
        </w:rPr>
        <w:t>علل الشرائع</w:t>
      </w:r>
      <w:r w:rsidR="00E3253D" w:rsidRPr="005D642E">
        <w:rPr>
          <w:rtl/>
        </w:rPr>
        <w:t xml:space="preserve"> ، ص 600 ، ح 55 ، بسند آخر ، وفيهما مع اختلاف يسير </w:t>
      </w:r>
      <w:r w:rsidR="00EA7EB0">
        <w:rPr>
          <w:rFonts w:hint="cs"/>
          <w:rtl/>
        </w:rPr>
        <w:t>.</w:t>
      </w:r>
      <w:r w:rsidR="00E3253D" w:rsidRPr="002F4D34">
        <w:rPr>
          <w:rStyle w:val="libFootnoteBoldChar"/>
          <w:rtl/>
        </w:rPr>
        <w:t>الوافي</w:t>
      </w:r>
      <w:r w:rsidR="00E3253D" w:rsidRPr="005D642E">
        <w:rPr>
          <w:rtl/>
        </w:rPr>
        <w:t xml:space="preserve"> ، ج 25 ، ص 680 ، ح 24816 ؛ </w:t>
      </w:r>
      <w:r w:rsidR="00E3253D" w:rsidRPr="002F4D34">
        <w:rPr>
          <w:rStyle w:val="libFootnoteBoldChar"/>
          <w:rtl/>
        </w:rPr>
        <w:t>البحار</w:t>
      </w:r>
      <w:r w:rsidR="00E3253D" w:rsidRPr="005D642E">
        <w:rPr>
          <w:rtl/>
        </w:rPr>
        <w:t xml:space="preserve"> ، ج 6 ، ص 284 ، ذيل ح 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قَوْلَهُ </w:t>
      </w:r>
      <w:r w:rsidRPr="007C12DB">
        <w:rPr>
          <w:rStyle w:val="libFootnotenumChar"/>
          <w:rtl/>
        </w:rPr>
        <w:t>(1)</w:t>
      </w:r>
      <w:r w:rsidRPr="005D642E">
        <w:rPr>
          <w:rtl/>
          <w:lang w:bidi="fa-IR"/>
        </w:rPr>
        <w:t xml:space="preserve"> : اللهُ أَعْلَمُ بِمَا كَانُوا عَامِلِينَ</w:t>
      </w:r>
      <w:r>
        <w:rPr>
          <w:rtl/>
          <w:lang w:bidi="fa-IR"/>
        </w:rPr>
        <w:t>؟</w:t>
      </w:r>
      <w:r w:rsidRPr="005D642E">
        <w:rPr>
          <w:rtl/>
          <w:lang w:bidi="fa-IR"/>
        </w:rPr>
        <w:t xml:space="preserve"> » قُلْتُ : لَا ، قَالَ : « لِلّهِ فِيهِمُ الْمَشِيئَةُ إِنَّهُ إِذَا كَانَ يَوْمُ الْقِيَامَةِ ، جَمَعَ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الْأَطْفَالَ ، وَالَّذِي مَاتَ مِنَ النَّاسِ فِي الْفَتْرَةِ </w:t>
      </w:r>
      <w:r w:rsidRPr="007C12DB">
        <w:rPr>
          <w:rStyle w:val="libFootnotenumChar"/>
          <w:rtl/>
        </w:rPr>
        <w:t>(2)</w:t>
      </w:r>
      <w:r w:rsidRPr="005D642E">
        <w:rPr>
          <w:rtl/>
          <w:lang w:bidi="fa-IR"/>
        </w:rPr>
        <w:t xml:space="preserve"> ، وَالشَّيْخَ الْكَبِيرَ الَّذِي أَدْرَكَ النَّبِيَّ </w:t>
      </w:r>
      <w:r w:rsidR="0042621E" w:rsidRPr="0042621E">
        <w:rPr>
          <w:rStyle w:val="libAlaemChar"/>
          <w:rtl/>
        </w:rPr>
        <w:t>صلى‌الله‌عليه‌وآله</w:t>
      </w:r>
      <w:r w:rsidRPr="005D642E">
        <w:rPr>
          <w:rtl/>
          <w:lang w:bidi="fa-IR"/>
        </w:rPr>
        <w:t xml:space="preserve"> وَهُوَ لَايَعْقِلُ ، وَالْأَصَمَّ ، وَالْأَبْكَمَ الَّذِي لَايَعْقِلُ ، وَالْمَجْنُونَ ، وَالْأَبْلَهَ الَّذِي لَايَعْقِلُ ، وَكُلُّ </w:t>
      </w:r>
      <w:r w:rsidRPr="007C12DB">
        <w:rPr>
          <w:rStyle w:val="libFootnotenumChar"/>
          <w:rtl/>
        </w:rPr>
        <w:t>(3)</w:t>
      </w:r>
      <w:r w:rsidRPr="005D642E">
        <w:rPr>
          <w:rtl/>
          <w:lang w:bidi="fa-IR"/>
        </w:rPr>
        <w:t xml:space="preserve"> وَاحِدٍ مِنْهُمْ يَحْتَجُّ عَلَى اللهِ عَزَّ وَجَلَّ ، فَيَبْعَثُ اللهُ إِلَيْهِمْ مَلَكاً مِنَ الْمَلَائِكَةِ ، فَيُؤَجِّجُ لَهُمْ نَاراً </w:t>
      </w:r>
      <w:r w:rsidRPr="007C12DB">
        <w:rPr>
          <w:rStyle w:val="libFootnotenumChar"/>
          <w:rtl/>
        </w:rPr>
        <w:t>(4)</w:t>
      </w:r>
      <w:r w:rsidRPr="005D642E">
        <w:rPr>
          <w:rtl/>
          <w:lang w:bidi="fa-IR"/>
        </w:rPr>
        <w:t xml:space="preserve"> ، ثُمَّ يَبْعَثُ اللهُ إِلَيْهِمْ مَلَكاً ، فَيَقُولُ لَهُمْ </w:t>
      </w:r>
      <w:r w:rsidRPr="007C12DB">
        <w:rPr>
          <w:rStyle w:val="libFootnotenumChar"/>
          <w:rtl/>
        </w:rPr>
        <w:t>(5)</w:t>
      </w:r>
      <w:r w:rsidRPr="005D642E">
        <w:rPr>
          <w:rtl/>
          <w:lang w:bidi="fa-IR"/>
        </w:rPr>
        <w:t xml:space="preserve"> : إِنَّ رَبَّكُمْ يَأْمُرُكُمْ أَنْ تَثِبُوا فِيهَا </w:t>
      </w:r>
      <w:r w:rsidRPr="007C12DB">
        <w:rPr>
          <w:rStyle w:val="libFootnotenumChar"/>
          <w:rtl/>
        </w:rPr>
        <w:t>(6)</w:t>
      </w:r>
      <w:r w:rsidRPr="005D642E">
        <w:rPr>
          <w:rtl/>
          <w:lang w:bidi="fa-IR"/>
        </w:rPr>
        <w:t xml:space="preserve"> ؛ فَمَنْ دَخَلَهَا كَانَتْ عَلَيْهِ بَرْداً وَسَلَاماً ، وَأُدْخِلَ الْجَنَّةَ ؛ وَمَنْ تَخَلَّفَ عَنْهَا دَخَلَ النَّارَ</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A37E4C">
        <w:rPr>
          <w:rtl/>
        </w:rPr>
        <w:t>4733</w:t>
      </w:r>
      <w:r w:rsidRPr="00246318">
        <w:rPr>
          <w:rStyle w:val="libBold2Char"/>
          <w:rtl/>
        </w:rPr>
        <w:t xml:space="preserve"> / 2.</w:t>
      </w:r>
      <w:r w:rsidRPr="005D642E">
        <w:rPr>
          <w:rtl/>
          <w:lang w:bidi="fa-IR"/>
        </w:rPr>
        <w:t xml:space="preserve"> عِدَّةٌ مِنْ أَصْحَابِنَا ، عَنْ سَهْلِ بْنِ زِيَادٍ ، عَنْ غَيْرِ وَاحِدٍ رَفَعُوهُ :</w:t>
      </w:r>
    </w:p>
    <w:p w:rsidR="00E3253D" w:rsidRPr="005D642E" w:rsidRDefault="00E3253D" w:rsidP="00E3253D">
      <w:pPr>
        <w:pStyle w:val="libNormal"/>
        <w:rPr>
          <w:rtl/>
          <w:lang w:bidi="fa-IR"/>
        </w:rPr>
      </w:pPr>
      <w:r w:rsidRPr="005D642E">
        <w:rPr>
          <w:rtl/>
          <w:lang w:bidi="fa-IR"/>
        </w:rPr>
        <w:t>أَنَّهُ سُئِلَ عَنِ الْأَطْفَالِ</w:t>
      </w:r>
      <w:r>
        <w:rPr>
          <w:rtl/>
          <w:lang w:bidi="fa-IR"/>
        </w:rPr>
        <w:t>؟</w:t>
      </w:r>
    </w:p>
    <w:p w:rsidR="00E3253D" w:rsidRPr="005D642E" w:rsidRDefault="00E3253D" w:rsidP="00E3253D">
      <w:pPr>
        <w:pStyle w:val="libNormal"/>
        <w:rPr>
          <w:rtl/>
          <w:lang w:bidi="fa-IR"/>
        </w:rPr>
      </w:pPr>
      <w:r w:rsidRPr="005D642E">
        <w:rPr>
          <w:rtl/>
          <w:lang w:bidi="fa-IR"/>
        </w:rPr>
        <w:t xml:space="preserve">فَقَالَ : « إِذَا كَانَ يَوْمُ الْقِيَامَةِ جَمَعَهُمُ اللهُ ، وَأَجَّجَ لَهُمْ </w:t>
      </w:r>
      <w:r w:rsidRPr="007C12DB">
        <w:rPr>
          <w:rStyle w:val="libFootnotenumChar"/>
          <w:rtl/>
        </w:rPr>
        <w:t>(8)</w:t>
      </w:r>
      <w:r w:rsidRPr="005D642E">
        <w:rPr>
          <w:rtl/>
          <w:lang w:bidi="fa-IR"/>
        </w:rPr>
        <w:t xml:space="preserve"> نَاراً ، وَأَمَرَهُمْ أَنْ يَطْرَحُوا أَنْفُسَهُمْ فِيهَا ؛ فَمَنْ كَانَ فِي عِلْمِ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أَنَّهُ سَعِيدٌ ، رَمى بِنَفْسِهِ </w:t>
      </w:r>
      <w:r w:rsidRPr="007C12DB">
        <w:rPr>
          <w:rStyle w:val="libFootnotenumChar"/>
          <w:rtl/>
        </w:rPr>
        <w:t>(9)</w:t>
      </w:r>
      <w:r w:rsidRPr="005D642E">
        <w:rPr>
          <w:rtl/>
          <w:lang w:bidi="fa-IR"/>
        </w:rPr>
        <w:t xml:space="preserve"> فِيهَا ، وَكَانَتْ عَلَيْهِ بَرْداً وَسَلَاماً ؛ وَمَنْ كَانَ فِي عِلْمِهِ </w:t>
      </w:r>
      <w:r w:rsidRPr="007C12DB">
        <w:rPr>
          <w:rStyle w:val="libFootnotenumChar"/>
          <w:rtl/>
        </w:rPr>
        <w:t>(10)</w:t>
      </w:r>
      <w:r w:rsidRPr="005D642E">
        <w:rPr>
          <w:rtl/>
          <w:lang w:bidi="fa-IR"/>
        </w:rPr>
        <w:t xml:space="preserve"> أَنَّهُ شَقِيٌّ ، امْتَنَعَ ، فَيَأْمُرُ اللهُ بِهِمْ إِلَى النَّارِ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بث ، بخ ، بس ، جح » وحاشية « بح » : « قول</w:t>
      </w:r>
      <w:r w:rsidR="00E3253D">
        <w:rPr>
          <w:rtl/>
        </w:rPr>
        <w:t xml:space="preserve"> ».</w:t>
      </w:r>
    </w:p>
    <w:p w:rsidR="00E3253D" w:rsidRPr="005D642E" w:rsidRDefault="0042621E" w:rsidP="00EA7EB0">
      <w:pPr>
        <w:pStyle w:val="libFootnote0"/>
        <w:rPr>
          <w:rtl/>
          <w:lang w:bidi="fa-IR"/>
        </w:rPr>
      </w:pPr>
      <w:r w:rsidRPr="0042621E">
        <w:rPr>
          <w:rStyle w:val="libFootnote0Char"/>
          <w:rtl/>
        </w:rPr>
        <w:t>(2).</w:t>
      </w:r>
      <w:r w:rsidR="00E3253D" w:rsidRPr="005D642E">
        <w:rPr>
          <w:rtl/>
        </w:rPr>
        <w:t xml:space="preserve"> « الفترة » : ما بين الرسولين من رسل الله تعالى من الزمان الذي انقطعت فيه الرسالة. راجع : </w:t>
      </w:r>
      <w:r w:rsidR="00E3253D" w:rsidRPr="002F4D34">
        <w:rPr>
          <w:rStyle w:val="libFootnoteBoldChar"/>
          <w:rtl/>
        </w:rPr>
        <w:t>النهاية</w:t>
      </w:r>
      <w:r w:rsidR="00E3253D" w:rsidRPr="005D642E">
        <w:rPr>
          <w:rtl/>
        </w:rPr>
        <w:t xml:space="preserve"> ، ج 3 ، ص 408 ( فتر )</w:t>
      </w:r>
      <w:r w:rsidR="00E3253D">
        <w:rPr>
          <w:rtl/>
        </w:rPr>
        <w:t>.</w:t>
      </w:r>
      <w:r w:rsidR="00EA7EB0">
        <w:rPr>
          <w:rFonts w:hint="cs"/>
          <w:rtl/>
        </w:rPr>
        <w:t xml:space="preserve">                             </w:t>
      </w:r>
      <w:r w:rsidRPr="0042621E">
        <w:rPr>
          <w:rStyle w:val="libFootnote0Char"/>
          <w:rtl/>
        </w:rPr>
        <w:t>(3).</w:t>
      </w:r>
      <w:r w:rsidR="00E3253D" w:rsidRPr="005D642E">
        <w:rPr>
          <w:rtl/>
        </w:rPr>
        <w:t xml:space="preserve"> في « بح ، بخ ، بس ، جح ، جس » والمعاني : « فكلّ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فيؤجّج لهم ناراً » ، أي يلهبها ويُوقدها ويُشعلها. راجع : </w:t>
      </w:r>
      <w:r w:rsidR="00E3253D" w:rsidRPr="002F4D34">
        <w:rPr>
          <w:rStyle w:val="libFootnoteBoldChar"/>
          <w:rtl/>
        </w:rPr>
        <w:t>لسان العرب</w:t>
      </w:r>
      <w:r w:rsidR="00E3253D" w:rsidRPr="005D642E">
        <w:rPr>
          <w:rtl/>
        </w:rPr>
        <w:t xml:space="preserve"> ، ج 2 ، ص 206 ( أجج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لهم</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أن تثبوا فيها » ، أي تطرحوا أنفسكم فيها. راجع : </w:t>
      </w:r>
      <w:r w:rsidR="00E3253D" w:rsidRPr="002F4D34">
        <w:rPr>
          <w:rStyle w:val="libFootnoteBoldChar"/>
          <w:rtl/>
        </w:rPr>
        <w:t>الصحاح</w:t>
      </w:r>
      <w:r w:rsidR="00E3253D" w:rsidRPr="005D642E">
        <w:rPr>
          <w:rtl/>
        </w:rPr>
        <w:t xml:space="preserve"> ، ج 1 ، ص 231 ( وثب )</w:t>
      </w:r>
      <w:r w:rsidR="00E3253D">
        <w:rPr>
          <w:rtl/>
        </w:rPr>
        <w:t>.</w:t>
      </w:r>
    </w:p>
    <w:p w:rsidR="00E3253D" w:rsidRPr="005D642E" w:rsidRDefault="0042621E" w:rsidP="00EA7EB0">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معاني الأخبار</w:t>
      </w:r>
      <w:r w:rsidR="00E3253D" w:rsidRPr="005D642E">
        <w:rPr>
          <w:rtl/>
        </w:rPr>
        <w:t xml:space="preserve"> ، ص 407 ، ح 86 ، بسنده عن حمّاد. </w:t>
      </w:r>
      <w:r w:rsidR="00E3253D" w:rsidRPr="002F4D34">
        <w:rPr>
          <w:rStyle w:val="libFootnoteBoldChar"/>
          <w:rtl/>
        </w:rPr>
        <w:t>التوحيد</w:t>
      </w:r>
      <w:r w:rsidR="00E3253D" w:rsidRPr="005D642E">
        <w:rPr>
          <w:rtl/>
        </w:rPr>
        <w:t xml:space="preserve"> ، ص 392 ، ح 5 ، مع زيادة في أوّله ؛ </w:t>
      </w:r>
      <w:r w:rsidR="00E3253D" w:rsidRPr="00EA7EB0">
        <w:rPr>
          <w:rStyle w:val="libFootnoteBoldChar"/>
          <w:rtl/>
        </w:rPr>
        <w:t>وفيه</w:t>
      </w:r>
      <w:r w:rsidR="00E3253D" w:rsidRPr="005D642E">
        <w:rPr>
          <w:rtl/>
        </w:rPr>
        <w:t xml:space="preserve"> ، ح 3 ؛ </w:t>
      </w:r>
      <w:r w:rsidR="00E3253D" w:rsidRPr="00EA7EB0">
        <w:rPr>
          <w:rStyle w:val="libFootnoteBoldChar"/>
          <w:rtl/>
        </w:rPr>
        <w:t>الخصال</w:t>
      </w:r>
      <w:r w:rsidR="00E3253D" w:rsidRPr="005D642E">
        <w:rPr>
          <w:rtl/>
        </w:rPr>
        <w:t xml:space="preserve"> ، ص 283 ، باب الخمسة ، ح 31 ، وفي الثلاثة الأخيرة بسند آخر عن حمّاد بن عيسى ، عن حريز ؛ </w:t>
      </w:r>
      <w:r w:rsidR="00E3253D" w:rsidRPr="002F4D34">
        <w:rPr>
          <w:rStyle w:val="libFootnoteBoldChar"/>
          <w:rtl/>
        </w:rPr>
        <w:t>الفقيه</w:t>
      </w:r>
      <w:r w:rsidR="00E3253D" w:rsidRPr="005D642E">
        <w:rPr>
          <w:rtl/>
        </w:rPr>
        <w:t xml:space="preserve"> ، ج 3 ، ص 492 ، ح 4742 ، معلّقاً عن حريز ، وفي الأربعة الأخيرة من قوله : « إذا كان يوم القيامة جمع الله عزّوجلّ الأطفال » وفي كلّها مع اختلاف يسير </w:t>
      </w:r>
      <w:r w:rsidR="00EA7EB0">
        <w:rPr>
          <w:rFonts w:hint="cs"/>
          <w:rtl/>
        </w:rPr>
        <w:t>.</w:t>
      </w:r>
      <w:r w:rsidR="00E3253D" w:rsidRPr="002F4D34">
        <w:rPr>
          <w:rStyle w:val="libFootnoteBoldChar"/>
          <w:rtl/>
        </w:rPr>
        <w:t>الوافي</w:t>
      </w:r>
      <w:r w:rsidR="00E3253D" w:rsidRPr="005D642E">
        <w:rPr>
          <w:rtl/>
        </w:rPr>
        <w:t xml:space="preserve"> ، ج 25 ، ص 643 ، ح 24798 ؛ </w:t>
      </w:r>
      <w:r w:rsidR="00E3253D" w:rsidRPr="002F4D34">
        <w:rPr>
          <w:rStyle w:val="libFootnoteBoldChar"/>
          <w:rtl/>
        </w:rPr>
        <w:t>البحار</w:t>
      </w:r>
      <w:r w:rsidR="00E3253D" w:rsidRPr="005D642E">
        <w:rPr>
          <w:rtl/>
        </w:rPr>
        <w:t xml:space="preserve"> ، ج 5 ، ص 290 ، ذيل ح 3.</w:t>
      </w:r>
      <w:r w:rsidR="00EA7EB0">
        <w:rPr>
          <w:rFonts w:hint="cs"/>
          <w:rtl/>
        </w:rPr>
        <w:t xml:space="preserve">                            </w:t>
      </w:r>
      <w:r w:rsidRPr="0042621E">
        <w:rPr>
          <w:rStyle w:val="libFootnote0Char"/>
          <w:rtl/>
        </w:rPr>
        <w:t>(8).</w:t>
      </w:r>
      <w:r w:rsidR="00E3253D" w:rsidRPr="005D642E">
        <w:rPr>
          <w:rtl/>
        </w:rPr>
        <w:t xml:space="preserve"> في « بس ، جس » والبحار :</w:t>
      </w:r>
      <w:r w:rsidR="00E3253D">
        <w:rPr>
          <w:rtl/>
        </w:rPr>
        <w:t xml:space="preserve"> </w:t>
      </w:r>
      <w:r w:rsidR="007642BC">
        <w:rPr>
          <w:rtl/>
        </w:rPr>
        <w:t>-</w:t>
      </w:r>
      <w:r w:rsidR="00E3253D">
        <w:rPr>
          <w:rtl/>
        </w:rPr>
        <w:t xml:space="preserve"> </w:t>
      </w:r>
      <w:r w:rsidR="00E3253D" w:rsidRPr="005D642E">
        <w:rPr>
          <w:rtl/>
        </w:rPr>
        <w:t>« لهم</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A7EB0" w:rsidTr="00EA7EB0">
        <w:tc>
          <w:tcPr>
            <w:tcW w:w="4006" w:type="dxa"/>
          </w:tcPr>
          <w:p w:rsidR="00EA7EB0" w:rsidRDefault="00EA7EB0" w:rsidP="00E3253D">
            <w:pPr>
              <w:pStyle w:val="libFootnote0"/>
              <w:rPr>
                <w:rStyle w:val="libFootnote0Char"/>
                <w:rtl/>
              </w:rPr>
            </w:pPr>
            <w:r w:rsidRPr="0042621E">
              <w:rPr>
                <w:rStyle w:val="libFootnote0Char"/>
                <w:rtl/>
              </w:rPr>
              <w:t>(9).</w:t>
            </w:r>
            <w:r w:rsidRPr="005D642E">
              <w:rPr>
                <w:rtl/>
              </w:rPr>
              <w:t xml:space="preserve"> في البحار : « نفسه</w:t>
            </w:r>
            <w:r>
              <w:rPr>
                <w:rtl/>
              </w:rPr>
              <w:t xml:space="preserve"> ».</w:t>
            </w:r>
          </w:p>
        </w:tc>
        <w:tc>
          <w:tcPr>
            <w:tcW w:w="4006" w:type="dxa"/>
          </w:tcPr>
          <w:p w:rsidR="00EA7EB0" w:rsidRDefault="00EA7EB0" w:rsidP="00E3253D">
            <w:pPr>
              <w:pStyle w:val="libFootnote0"/>
              <w:rPr>
                <w:rStyle w:val="libFootnote0Char"/>
                <w:rtl/>
              </w:rPr>
            </w:pPr>
            <w:r w:rsidRPr="0042621E">
              <w:rPr>
                <w:rStyle w:val="libFootnote0Char"/>
                <w:rtl/>
              </w:rPr>
              <w:t>(10).</w:t>
            </w:r>
            <w:r w:rsidRPr="005D642E">
              <w:rPr>
                <w:rtl/>
              </w:rPr>
              <w:t xml:space="preserve"> في « بث » : « علم الله</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فَيَقُولُونَ : يَا رَبَّنَا </w:t>
      </w:r>
      <w:r w:rsidRPr="007C12DB">
        <w:rPr>
          <w:rStyle w:val="libFootnotenumChar"/>
          <w:rtl/>
        </w:rPr>
        <w:t>(1)</w:t>
      </w:r>
      <w:r w:rsidRPr="005D642E">
        <w:rPr>
          <w:rtl/>
          <w:lang w:bidi="fa-IR"/>
        </w:rPr>
        <w:t xml:space="preserve"> تَأْمُرُ بِنَا </w:t>
      </w:r>
      <w:r w:rsidRPr="007C12DB">
        <w:rPr>
          <w:rStyle w:val="libFootnotenumChar"/>
          <w:rtl/>
        </w:rPr>
        <w:t>(2)</w:t>
      </w:r>
      <w:r w:rsidRPr="005D642E">
        <w:rPr>
          <w:rtl/>
          <w:lang w:bidi="fa-IR"/>
        </w:rPr>
        <w:t xml:space="preserve"> إِلَى النَّارِ وَلَمْ تُجْرِ </w:t>
      </w:r>
      <w:r w:rsidRPr="007C12DB">
        <w:rPr>
          <w:rStyle w:val="libFootnotenumChar"/>
          <w:rtl/>
        </w:rPr>
        <w:t>(3)</w:t>
      </w:r>
      <w:r w:rsidRPr="005D642E">
        <w:rPr>
          <w:rtl/>
          <w:lang w:bidi="fa-IR"/>
        </w:rPr>
        <w:t xml:space="preserve"> عَلَيْنَا الْقَلَمَ</w:t>
      </w:r>
      <w:r>
        <w:rPr>
          <w:rtl/>
          <w:lang w:bidi="fa-IR"/>
        </w:rPr>
        <w:t>؟</w:t>
      </w:r>
      <w:r w:rsidRPr="005D642E">
        <w:rPr>
          <w:rtl/>
          <w:lang w:bidi="fa-IR"/>
        </w:rPr>
        <w:t xml:space="preserve"> فَيَقُولُ الْجَبَّارُ : قَدْ </w:t>
      </w:r>
      <w:r w:rsidRPr="007C12DB">
        <w:rPr>
          <w:rStyle w:val="libFootnotenumChar"/>
          <w:rtl/>
        </w:rPr>
        <w:t>(4)</w:t>
      </w:r>
      <w:r w:rsidRPr="005D642E">
        <w:rPr>
          <w:rtl/>
          <w:lang w:bidi="fa-IR"/>
        </w:rPr>
        <w:t xml:space="preserve"> أَمَرْتُكُمْ مُشَافَهَةً ، فَلَمْ تُطِيعُونِي ، فَكَيْفَ وَلَوْ </w:t>
      </w:r>
      <w:r w:rsidRPr="007C12DB">
        <w:rPr>
          <w:rStyle w:val="libFootnotenumChar"/>
          <w:rtl/>
        </w:rPr>
        <w:t>(5)</w:t>
      </w:r>
      <w:r w:rsidRPr="005D642E">
        <w:rPr>
          <w:rtl/>
          <w:lang w:bidi="fa-IR"/>
        </w:rPr>
        <w:t xml:space="preserve"> أَرْسَلْتُ رُسُلِي بِالْغَيْبِ إِلَيْكُمْ</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B96810">
        <w:rPr>
          <w:rtl/>
        </w:rPr>
        <w:t>4734</w:t>
      </w:r>
      <w:r w:rsidRPr="00246318">
        <w:rPr>
          <w:rStyle w:val="libBold2Char"/>
          <w:rtl/>
        </w:rPr>
        <w:t xml:space="preserve"> / 3.</w:t>
      </w:r>
      <w:r w:rsidRPr="005D642E">
        <w:rPr>
          <w:rtl/>
          <w:lang w:bidi="fa-IR"/>
        </w:rPr>
        <w:t xml:space="preserve"> وَفِي حَدِيثٍ آخَرَ : « أَمَّا أَطْفَالُ الْمُؤْمِنِينَ ، فَيَلْحَقُونَ </w:t>
      </w:r>
      <w:r w:rsidRPr="007C12DB">
        <w:rPr>
          <w:rStyle w:val="libFootnotenumChar"/>
          <w:rtl/>
        </w:rPr>
        <w:t>(7)</w:t>
      </w:r>
      <w:r w:rsidRPr="005D642E">
        <w:rPr>
          <w:rtl/>
          <w:lang w:bidi="fa-IR"/>
        </w:rPr>
        <w:t xml:space="preserve"> بِآبَائِهِمْ ، وَأَوْلَادُ الْمُشْرِكِينَ يَلْحَقُونَ بِآبَائِهِمْ </w:t>
      </w:r>
      <w:r w:rsidRPr="007C12DB">
        <w:rPr>
          <w:rStyle w:val="libFootnotenumChar"/>
          <w:rtl/>
        </w:rPr>
        <w:t>(8)</w:t>
      </w:r>
      <w:r w:rsidRPr="005D642E">
        <w:rPr>
          <w:rtl/>
          <w:lang w:bidi="fa-IR"/>
        </w:rPr>
        <w:t xml:space="preserve"> ، وَهُوَ قَوْلُ اللهِ عَزَّ وَجَلَّ : </w:t>
      </w:r>
      <w:r w:rsidRPr="00AC51C5">
        <w:rPr>
          <w:rStyle w:val="libAlaemChar"/>
          <w:rtl/>
        </w:rPr>
        <w:t>(</w:t>
      </w:r>
      <w:r w:rsidRPr="00AC51C5">
        <w:rPr>
          <w:rStyle w:val="libAieChar"/>
          <w:rtl/>
        </w:rPr>
        <w:t xml:space="preserve"> بِإِيمانٍ أَلْحَقْنا بِهِمْ ذُرِّيَّتَهُمْ </w:t>
      </w:r>
      <w:r w:rsidRPr="00AC51C5">
        <w:rPr>
          <w:rStyle w:val="libAlaemChar"/>
          <w:rtl/>
        </w:rPr>
        <w:t>)</w:t>
      </w:r>
      <w:r w:rsidRPr="005D642E">
        <w:rPr>
          <w:rtl/>
          <w:lang w:bidi="fa-IR"/>
        </w:rPr>
        <w:t xml:space="preserve"> </w:t>
      </w:r>
      <w:r w:rsidRPr="007C12DB">
        <w:rPr>
          <w:rStyle w:val="libFootnotenumChar"/>
          <w:rtl/>
        </w:rPr>
        <w:t>(9)</w:t>
      </w:r>
      <w:r>
        <w:rPr>
          <w:rtl/>
          <w:lang w:bidi="fa-IR"/>
        </w:rPr>
        <w:t>».</w:t>
      </w:r>
      <w:r w:rsidRPr="007C12DB">
        <w:rPr>
          <w:rStyle w:val="libFootnotenumChar"/>
          <w:rtl/>
        </w:rPr>
        <w:t>(10)</w:t>
      </w:r>
      <w:r w:rsidRPr="005D642E">
        <w:rPr>
          <w:rtl/>
          <w:lang w:bidi="fa-IR"/>
        </w:rPr>
        <w:t>‌</w:t>
      </w:r>
    </w:p>
    <w:p w:rsidR="00E3253D" w:rsidRPr="005D642E" w:rsidRDefault="00E3253D" w:rsidP="00E3253D">
      <w:pPr>
        <w:pStyle w:val="libNormal"/>
        <w:rPr>
          <w:rtl/>
          <w:lang w:bidi="fa-IR"/>
        </w:rPr>
      </w:pPr>
      <w:r w:rsidRPr="00B96810">
        <w:rPr>
          <w:rtl/>
        </w:rPr>
        <w:t>4735</w:t>
      </w:r>
      <w:r w:rsidRPr="00246318">
        <w:rPr>
          <w:rStyle w:val="libBold2Char"/>
          <w:rtl/>
        </w:rPr>
        <w:t xml:space="preserve"> / 4.</w:t>
      </w:r>
      <w:r w:rsidRPr="005D642E">
        <w:rPr>
          <w:rtl/>
          <w:lang w:bidi="fa-IR"/>
        </w:rPr>
        <w:t xml:space="preserve"> مُحَمَّدُ بْنُ يَحْيى ، عَنْ أَحْمَدَ بْنِ مُحَمَّدٍ ، عَنِ الْحُسَيْنِ بْنِ سَعِيدٍ ، عَنِ النَّضْرِ بْنِ سُوَيْدٍ ، عَنْ يَحْيَى الْحَلَبِيِّ ، عَنِ ابْنِ مُسْكَانَ ، عَنْ زُرَارَةَ ، قَالَ :</w:t>
      </w:r>
    </w:p>
    <w:p w:rsidR="00E3253D" w:rsidRPr="005D642E" w:rsidRDefault="00E3253D" w:rsidP="00E3253D">
      <w:pPr>
        <w:pStyle w:val="libNormal"/>
        <w:rPr>
          <w:rtl/>
          <w:lang w:bidi="fa-IR"/>
        </w:rPr>
      </w:pPr>
      <w:r w:rsidRPr="005D642E">
        <w:rPr>
          <w:rtl/>
          <w:lang w:bidi="fa-IR"/>
        </w:rPr>
        <w:t xml:space="preserve">سَأَلْتُ أَبَا جَعْفَرٍ </w:t>
      </w:r>
      <w:r w:rsidRPr="00AC51C5">
        <w:rPr>
          <w:rStyle w:val="libAlaemChar"/>
          <w:rtl/>
        </w:rPr>
        <w:t>عليه‌السلام</w:t>
      </w:r>
      <w:r w:rsidRPr="005D642E">
        <w:rPr>
          <w:rtl/>
          <w:lang w:bidi="fa-IR"/>
        </w:rPr>
        <w:t xml:space="preserve"> عَنِ الْوِلْدَانِ</w:t>
      </w:r>
      <w:r>
        <w:rPr>
          <w:rtl/>
          <w:lang w:bidi="fa-IR"/>
        </w:rPr>
        <w:t>؟</w:t>
      </w:r>
    </w:p>
    <w:p w:rsidR="00E3253D" w:rsidRPr="005D642E" w:rsidRDefault="00E3253D" w:rsidP="00E3253D">
      <w:pPr>
        <w:pStyle w:val="libNormal"/>
        <w:rPr>
          <w:rtl/>
          <w:lang w:bidi="fa-IR"/>
        </w:rPr>
      </w:pPr>
      <w:r w:rsidRPr="005D642E">
        <w:rPr>
          <w:rtl/>
          <w:lang w:bidi="fa-IR"/>
        </w:rPr>
        <w:t xml:space="preserve">فَقَالَ : « سُئِلَ رَسُولُ اللهِ </w:t>
      </w:r>
      <w:r w:rsidR="0042621E" w:rsidRPr="0042621E">
        <w:rPr>
          <w:rStyle w:val="libAlaemChar"/>
          <w:rtl/>
        </w:rPr>
        <w:t>صلى‌الله‌عليه‌وآله</w:t>
      </w:r>
      <w:r w:rsidRPr="005D642E">
        <w:rPr>
          <w:rtl/>
          <w:lang w:bidi="fa-IR"/>
        </w:rPr>
        <w:t xml:space="preserve"> عَنِ الْوِلْدَانِ وَالْأَطْفَالِ </w:t>
      </w:r>
      <w:r w:rsidRPr="007C12DB">
        <w:rPr>
          <w:rStyle w:val="libFootnotenumChar"/>
          <w:rtl/>
        </w:rPr>
        <w:t>(11)</w:t>
      </w:r>
      <w:r w:rsidRPr="005D642E">
        <w:rPr>
          <w:rtl/>
          <w:lang w:bidi="fa-IR"/>
        </w:rPr>
        <w:t xml:space="preserve"> ، فَقَالَ : اللهُ أَعْلَمُ بِمَا كَانُوا‌</w:t>
      </w:r>
      <w:r>
        <w:rPr>
          <w:rFonts w:hint="cs"/>
          <w:rtl/>
          <w:lang w:bidi="fa-IR"/>
        </w:rPr>
        <w:t xml:space="preserve"> </w:t>
      </w:r>
      <w:r w:rsidRPr="005D642E">
        <w:rPr>
          <w:rtl/>
          <w:lang w:bidi="fa-IR"/>
        </w:rPr>
        <w:t>عَامِلِينَ</w:t>
      </w:r>
      <w:r>
        <w:rPr>
          <w:rtl/>
          <w:lang w:bidi="fa-IR"/>
        </w:rPr>
        <w:t>».</w:t>
      </w:r>
      <w:r w:rsidRPr="005D642E">
        <w:rPr>
          <w:rtl/>
          <w:lang w:bidi="fa-IR"/>
        </w:rPr>
        <w:t xml:space="preserve">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15E20" w:rsidTr="00415E20">
        <w:tc>
          <w:tcPr>
            <w:tcW w:w="4006" w:type="dxa"/>
          </w:tcPr>
          <w:p w:rsidR="00415E20" w:rsidRDefault="00415E20" w:rsidP="00E3253D">
            <w:pPr>
              <w:pStyle w:val="libFootnote0"/>
              <w:rPr>
                <w:rStyle w:val="libFootnote0Char"/>
                <w:rtl/>
              </w:rPr>
            </w:pPr>
            <w:r w:rsidRPr="0042621E">
              <w:rPr>
                <w:rStyle w:val="libFootnote0Char"/>
                <w:rtl/>
              </w:rPr>
              <w:t>(1).</w:t>
            </w:r>
            <w:r>
              <w:rPr>
                <w:rtl/>
              </w:rPr>
              <w:t xml:space="preserve"> </w:t>
            </w:r>
            <w:r w:rsidRPr="005D642E">
              <w:rPr>
                <w:rtl/>
              </w:rPr>
              <w:t>في « ى » :</w:t>
            </w:r>
            <w:r>
              <w:rPr>
                <w:rtl/>
              </w:rPr>
              <w:t xml:space="preserve"> - </w:t>
            </w:r>
            <w:r w:rsidRPr="005D642E">
              <w:rPr>
                <w:rtl/>
              </w:rPr>
              <w:t>« يا</w:t>
            </w:r>
            <w:r>
              <w:rPr>
                <w:rtl/>
              </w:rPr>
              <w:t xml:space="preserve"> ».</w:t>
            </w:r>
            <w:r w:rsidRPr="005D642E">
              <w:rPr>
                <w:rtl/>
              </w:rPr>
              <w:t xml:space="preserve"> وفي الوافي : « يا ربّ</w:t>
            </w:r>
            <w:r>
              <w:rPr>
                <w:rtl/>
              </w:rPr>
              <w:t xml:space="preserve"> ».</w:t>
            </w:r>
          </w:p>
        </w:tc>
        <w:tc>
          <w:tcPr>
            <w:tcW w:w="4006" w:type="dxa"/>
          </w:tcPr>
          <w:p w:rsidR="00415E20" w:rsidRDefault="00415E20" w:rsidP="00E3253D">
            <w:pPr>
              <w:pStyle w:val="libFootnote0"/>
              <w:rPr>
                <w:rStyle w:val="libFootnote0Char"/>
                <w:rtl/>
              </w:rPr>
            </w:pPr>
            <w:r w:rsidRPr="0042621E">
              <w:rPr>
                <w:rStyle w:val="libFootnote0Char"/>
                <w:rtl/>
              </w:rPr>
              <w:t>(2).</w:t>
            </w:r>
            <w:r w:rsidRPr="005D642E">
              <w:rPr>
                <w:rtl/>
              </w:rPr>
              <w:t xml:space="preserve"> في الوافي : « تأمرنا</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بخ ، بس </w:t>
      </w:r>
      <w:r w:rsidR="00E3253D" w:rsidRPr="00415E20">
        <w:rPr>
          <w:rtl/>
        </w:rPr>
        <w:t xml:space="preserve">» </w:t>
      </w:r>
      <w:r w:rsidR="000D749A" w:rsidRPr="00415E20">
        <w:rPr>
          <w:rtl/>
        </w:rPr>
        <w:t>والوافي</w:t>
      </w:r>
      <w:r w:rsidR="00E3253D" w:rsidRPr="005D642E">
        <w:rPr>
          <w:rtl/>
        </w:rPr>
        <w:t xml:space="preserve"> والبحار : « ولم يجر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15E20" w:rsidTr="00415E20">
        <w:tc>
          <w:tcPr>
            <w:tcW w:w="4006" w:type="dxa"/>
          </w:tcPr>
          <w:p w:rsidR="00415E20" w:rsidRDefault="00415E20" w:rsidP="00E3253D">
            <w:pPr>
              <w:pStyle w:val="libFootnote0"/>
              <w:rPr>
                <w:rStyle w:val="libFootnote0Char"/>
                <w:rtl/>
              </w:rPr>
            </w:pPr>
            <w:r w:rsidRPr="0042621E">
              <w:rPr>
                <w:rStyle w:val="libFootnote0Char"/>
                <w:rtl/>
              </w:rPr>
              <w:t>(4).</w:t>
            </w:r>
            <w:r w:rsidRPr="005D642E">
              <w:rPr>
                <w:rtl/>
              </w:rPr>
              <w:t xml:space="preserve"> في « بخ » :</w:t>
            </w:r>
            <w:r>
              <w:rPr>
                <w:rtl/>
              </w:rPr>
              <w:t xml:space="preserve"> - </w:t>
            </w:r>
            <w:r w:rsidRPr="005D642E">
              <w:rPr>
                <w:rtl/>
              </w:rPr>
              <w:t>« قد</w:t>
            </w:r>
            <w:r>
              <w:rPr>
                <w:rtl/>
              </w:rPr>
              <w:t xml:space="preserve"> ».</w:t>
            </w:r>
          </w:p>
        </w:tc>
        <w:tc>
          <w:tcPr>
            <w:tcW w:w="4006" w:type="dxa"/>
          </w:tcPr>
          <w:p w:rsidR="00415E20" w:rsidRDefault="00415E20" w:rsidP="00E3253D">
            <w:pPr>
              <w:pStyle w:val="libFootnote0"/>
              <w:rPr>
                <w:rStyle w:val="libFootnote0Char"/>
                <w:rtl/>
              </w:rPr>
            </w:pPr>
            <w:r w:rsidRPr="0042621E">
              <w:rPr>
                <w:rStyle w:val="libFootnote0Char"/>
                <w:rtl/>
              </w:rPr>
              <w:t>(5).</w:t>
            </w:r>
            <w:r>
              <w:rPr>
                <w:rtl/>
              </w:rPr>
              <w:t>في«جس</w:t>
            </w:r>
            <w:r w:rsidRPr="005D642E">
              <w:rPr>
                <w:rtl/>
              </w:rPr>
              <w:t>:</w:t>
            </w:r>
            <w:r>
              <w:rPr>
                <w:rtl/>
              </w:rPr>
              <w:t>-«</w:t>
            </w:r>
            <w:r w:rsidRPr="005D642E">
              <w:rPr>
                <w:rtl/>
              </w:rPr>
              <w:t>ولو</w:t>
            </w:r>
            <w:r>
              <w:rPr>
                <w:rtl/>
              </w:rPr>
              <w:t>».</w:t>
            </w:r>
            <w:r w:rsidRPr="005D642E">
              <w:rPr>
                <w:rtl/>
              </w:rPr>
              <w:t>وفي البحار : « لو » بدون الواو.</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الوافي</w:t>
      </w:r>
      <w:r w:rsidR="00E3253D" w:rsidRPr="005D642E">
        <w:rPr>
          <w:rtl/>
        </w:rPr>
        <w:t xml:space="preserve"> ، ج 25 ، ص 645 ، ح 24802 ؛ </w:t>
      </w:r>
      <w:r w:rsidR="00E3253D" w:rsidRPr="002F4D34">
        <w:rPr>
          <w:rStyle w:val="libFootnoteBoldChar"/>
          <w:rtl/>
        </w:rPr>
        <w:t>البحار</w:t>
      </w:r>
      <w:r w:rsidR="00E3253D" w:rsidRPr="005D642E">
        <w:rPr>
          <w:rtl/>
        </w:rPr>
        <w:t xml:space="preserve"> ، ج 5 ، ص 292 ، ح 8.</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بث ، بس ، جن » : « يلحقون</w:t>
      </w:r>
      <w:r w:rsidR="00E3253D">
        <w:rPr>
          <w:rtl/>
        </w:rPr>
        <w:t xml:space="preserve"> ».</w:t>
      </w:r>
      <w:r w:rsidR="00E3253D" w:rsidRPr="005D642E">
        <w:rPr>
          <w:rtl/>
        </w:rPr>
        <w:t xml:space="preserve"> وفي « بخ »</w:t>
      </w:r>
      <w:r w:rsidR="00E3253D" w:rsidRPr="00415E20">
        <w:rPr>
          <w:rtl/>
        </w:rPr>
        <w:t xml:space="preserve"> </w:t>
      </w:r>
      <w:r w:rsidR="000D749A" w:rsidRPr="00415E20">
        <w:rPr>
          <w:rtl/>
        </w:rPr>
        <w:t>والوافي</w:t>
      </w:r>
      <w:r w:rsidR="00E3253D" w:rsidRPr="005D642E">
        <w:rPr>
          <w:rtl/>
        </w:rPr>
        <w:t xml:space="preserve"> : « فإنّهم يلحقون</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لا خلاف ولا إشكال في دخول أطفال المؤمنين الجنّة ولحوقهم بآبائهم ، وإنّما الخلاف والإشكال في لحوق أطفال المشركين بآبائهم ، قال الشيخ الصدوق : « هذه الأخبار متّفقة ليست بمختلفة ، وأطفال المشركين والكفّار مع آبائهم في النار لايصيبهم من حرّها ؛ لتكون الحجّة أوكد عليهم متى ا</w:t>
      </w:r>
      <w:r w:rsidR="00415E20">
        <w:rPr>
          <w:rFonts w:hint="cs"/>
          <w:rtl/>
        </w:rPr>
        <w:t>ُ</w:t>
      </w:r>
      <w:r w:rsidR="00E3253D" w:rsidRPr="005D642E">
        <w:rPr>
          <w:rtl/>
        </w:rPr>
        <w:t>مروا يوم القيامة بدخول نار تؤجّج لهم مع ضمان السلامة متى لم يثقوا به ولم يصدّقوا وعده في شي‌ء قد شاهدوا مثله</w:t>
      </w:r>
      <w:r w:rsidR="00E3253D">
        <w:rPr>
          <w:rtl/>
        </w:rPr>
        <w:t xml:space="preserve"> ».</w:t>
      </w:r>
      <w:r w:rsidR="00415E20">
        <w:rPr>
          <w:rtl/>
        </w:rPr>
        <w:t xml:space="preserve"> وقال العل</w:t>
      </w:r>
      <w:r w:rsidR="00415E20">
        <w:rPr>
          <w:rFonts w:hint="cs"/>
          <w:rtl/>
        </w:rPr>
        <w:t>ّ</w:t>
      </w:r>
      <w:r w:rsidR="00415E20">
        <w:rPr>
          <w:rtl/>
        </w:rPr>
        <w:t>ا</w:t>
      </w:r>
      <w:r w:rsidR="00E3253D" w:rsidRPr="005D642E">
        <w:rPr>
          <w:rtl/>
        </w:rPr>
        <w:t>مة</w:t>
      </w:r>
      <w:r w:rsidR="00415E20">
        <w:rPr>
          <w:rFonts w:hint="cs"/>
          <w:rtl/>
        </w:rPr>
        <w:t xml:space="preserve"> </w:t>
      </w:r>
      <w:r w:rsidR="00E3253D" w:rsidRPr="005D642E">
        <w:rPr>
          <w:rtl/>
        </w:rPr>
        <w:t>المجلسي : « يخصّ دخول النار ودخول مداخل آبائهم بمن يدخل منهم نار التكليف ، والأظهر حملها</w:t>
      </w:r>
      <w:r w:rsidR="00E3253D">
        <w:rPr>
          <w:rtl/>
        </w:rPr>
        <w:t xml:space="preserve"> </w:t>
      </w:r>
      <w:r w:rsidR="007642BC">
        <w:rPr>
          <w:rtl/>
        </w:rPr>
        <w:t>-</w:t>
      </w:r>
      <w:r w:rsidR="00E3253D">
        <w:rPr>
          <w:rtl/>
        </w:rPr>
        <w:t xml:space="preserve"> </w:t>
      </w:r>
      <w:r w:rsidR="00E3253D" w:rsidRPr="005D642E">
        <w:rPr>
          <w:rtl/>
        </w:rPr>
        <w:t>أي الروايات الدالّة على دخول النار</w:t>
      </w:r>
      <w:r w:rsidR="00E3253D">
        <w:rPr>
          <w:rtl/>
        </w:rPr>
        <w:t xml:space="preserve"> </w:t>
      </w:r>
      <w:r w:rsidR="007642BC">
        <w:rPr>
          <w:rtl/>
        </w:rPr>
        <w:t>-</w:t>
      </w:r>
      <w:r w:rsidR="00E3253D">
        <w:rPr>
          <w:rtl/>
        </w:rPr>
        <w:t xml:space="preserve"> </w:t>
      </w:r>
      <w:r w:rsidR="00E3253D" w:rsidRPr="005D642E">
        <w:rPr>
          <w:rtl/>
        </w:rPr>
        <w:t>على التقيّة ؛ لموافقتها لروايات المخالفين وأقوال أكثرهم</w:t>
      </w:r>
      <w:r w:rsidR="00E3253D">
        <w:rPr>
          <w:rtl/>
        </w:rPr>
        <w:t xml:space="preserve"> ».</w:t>
      </w:r>
      <w:r w:rsidR="00E3253D" w:rsidRPr="005D642E">
        <w:rPr>
          <w:rtl/>
        </w:rPr>
        <w:t xml:space="preserve"> راجع : </w:t>
      </w:r>
      <w:r w:rsidR="00E3253D" w:rsidRPr="002F4D34">
        <w:rPr>
          <w:rStyle w:val="libFootnoteBoldChar"/>
          <w:rtl/>
        </w:rPr>
        <w:t>الفقية</w:t>
      </w:r>
      <w:r w:rsidR="00E3253D" w:rsidRPr="005D642E">
        <w:rPr>
          <w:rtl/>
        </w:rPr>
        <w:t xml:space="preserve"> ، ج 3 ، ص 492 ، ذيل ح 4745 ؛ </w:t>
      </w:r>
      <w:r w:rsidR="00E3253D" w:rsidRPr="002F4D34">
        <w:rPr>
          <w:rStyle w:val="libFootnoteBoldChar"/>
          <w:rtl/>
        </w:rPr>
        <w:t>مرآة العقول</w:t>
      </w:r>
      <w:r w:rsidR="00E3253D" w:rsidRPr="005D642E">
        <w:rPr>
          <w:rtl/>
        </w:rPr>
        <w:t xml:space="preserve"> ، ج 14 ، ص 232</w:t>
      </w:r>
      <w:r w:rsidR="00E3253D">
        <w:rPr>
          <w:rtl/>
        </w:rPr>
        <w:t xml:space="preserve"> </w:t>
      </w:r>
      <w:r w:rsidR="007642BC">
        <w:rPr>
          <w:rtl/>
        </w:rPr>
        <w:t>-</w:t>
      </w:r>
      <w:r w:rsidR="00E3253D">
        <w:rPr>
          <w:rtl/>
        </w:rPr>
        <w:t xml:space="preserve"> </w:t>
      </w:r>
      <w:r w:rsidR="00E3253D" w:rsidRPr="005D642E">
        <w:rPr>
          <w:rtl/>
        </w:rPr>
        <w:t>234.</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الطور (52) : 21.</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25 ، ص 645 ، ح 24803 ؛ </w:t>
      </w:r>
      <w:r w:rsidR="00E3253D" w:rsidRPr="002F4D34">
        <w:rPr>
          <w:rStyle w:val="libFootnoteBoldChar"/>
          <w:rtl/>
        </w:rPr>
        <w:t>البحار</w:t>
      </w:r>
      <w:r w:rsidR="00E3253D" w:rsidRPr="005D642E">
        <w:rPr>
          <w:rtl/>
        </w:rPr>
        <w:t xml:space="preserve"> ، ج 5 ، ص 292 ، ح 9.</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بس ، جح ، جس » : « الأطفال » بدون الواو.</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غسل الأطفال والصبيان والصلاة عليهم ، ذيل ح 4602 ، عن محمّد بن يحيى ، عن </w:t>
      </w:r>
      <w:r w:rsidR="00415E20">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B96810">
        <w:rPr>
          <w:rtl/>
        </w:rPr>
        <w:t>4736</w:t>
      </w:r>
      <w:r w:rsidRPr="00246318">
        <w:rPr>
          <w:rStyle w:val="libBold2Char"/>
          <w:rtl/>
        </w:rPr>
        <w:t xml:space="preserve"> / 5.</w:t>
      </w:r>
      <w:r w:rsidRPr="005D642E">
        <w:rPr>
          <w:rtl/>
          <w:lang w:bidi="fa-IR"/>
        </w:rPr>
        <w:t xml:space="preserve"> عَلِيُّ بْنُ إِبْرَاهِيمَ ، عَنْ أَبِيهِ ، عَنِ ابْنِ أَبِي عُمَيْرٍ ، عَنْ عُمَرَ بْنِ أُذَيْنَةَ ، عَنْ زُرَارَةَ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مَا تَقُولُ فِي الْأَطْفَالِ الَّذِينَ مَاتُوا قَبْلَ أَنْ يَبْلُغُوا</w:t>
      </w:r>
      <w:r>
        <w:rPr>
          <w:rtl/>
          <w:lang w:bidi="fa-IR"/>
        </w:rPr>
        <w:t>؟</w:t>
      </w:r>
    </w:p>
    <w:p w:rsidR="00E3253D" w:rsidRPr="005D642E" w:rsidRDefault="00E3253D" w:rsidP="00E3253D">
      <w:pPr>
        <w:pStyle w:val="libNormal"/>
        <w:rPr>
          <w:rtl/>
          <w:lang w:bidi="fa-IR"/>
        </w:rPr>
      </w:pPr>
      <w:r w:rsidRPr="005D642E">
        <w:rPr>
          <w:rtl/>
          <w:lang w:bidi="fa-IR"/>
        </w:rPr>
        <w:t xml:space="preserve">فَقَالَ : « سُئِلَ عَنْهُمْ رَسُولُ اللهِ </w:t>
      </w:r>
      <w:r w:rsidR="0042621E" w:rsidRPr="0042621E">
        <w:rPr>
          <w:rStyle w:val="libAlaemChar"/>
          <w:rtl/>
        </w:rPr>
        <w:t>صلى‌الله‌عليه‌وآله</w:t>
      </w:r>
      <w:r w:rsidRPr="005D642E">
        <w:rPr>
          <w:rtl/>
          <w:lang w:bidi="fa-IR"/>
        </w:rPr>
        <w:t xml:space="preserve"> ، فَقَالَ : اللهُ أَعْلَمُ بِمَا كَانُوا عَامِلِينَ</w:t>
      </w:r>
      <w:r>
        <w:rPr>
          <w:rtl/>
          <w:lang w:bidi="fa-IR"/>
        </w:rPr>
        <w:t xml:space="preserve"> ».</w:t>
      </w:r>
    </w:p>
    <w:p w:rsidR="00E3253D" w:rsidRPr="005D642E" w:rsidRDefault="00E3253D" w:rsidP="00E3253D">
      <w:pPr>
        <w:pStyle w:val="libNormal"/>
        <w:rPr>
          <w:rtl/>
          <w:lang w:bidi="fa-IR"/>
        </w:rPr>
      </w:pPr>
      <w:r w:rsidRPr="005D642E">
        <w:rPr>
          <w:rtl/>
          <w:lang w:bidi="fa-IR"/>
        </w:rPr>
        <w:t xml:space="preserve">ثُمَّ أَقْبَلَ عَلَيَّ ، فَقَالَ : « يَا زُرَارَةُ ، هَلْ تَدْرِي مَا عَنى بِذلِكَ رَسُولُ اللهِ </w:t>
      </w:r>
      <w:r w:rsidR="0042621E" w:rsidRPr="0042621E">
        <w:rPr>
          <w:rStyle w:val="libAlaemChar"/>
          <w:rtl/>
        </w:rPr>
        <w:t>صلى‌الله‌عليه‌وآله</w:t>
      </w:r>
      <w:r>
        <w:rPr>
          <w:rtl/>
          <w:lang w:bidi="fa-IR"/>
        </w:rPr>
        <w:t>؟</w:t>
      </w:r>
      <w:r w:rsidRPr="005D642E">
        <w:rPr>
          <w:rtl/>
          <w:lang w:bidi="fa-IR"/>
        </w:rPr>
        <w:t xml:space="preserve"> » قَالَ : قُلْتُ :</w:t>
      </w:r>
      <w:r>
        <w:rPr>
          <w:rFonts w:hint="cs"/>
          <w:rtl/>
          <w:lang w:bidi="fa-IR"/>
        </w:rPr>
        <w:t xml:space="preserve"> </w:t>
      </w:r>
      <w:r w:rsidRPr="005D642E">
        <w:rPr>
          <w:rtl/>
          <w:lang w:bidi="fa-IR"/>
        </w:rPr>
        <w:t xml:space="preserve">لَا ، فَقَالَ : « إِنَّمَا عَنى كُفُّوا عَنْهُمْ ، وَلَاتَقُولُوا فِيهِمْ شَيْئاً </w:t>
      </w:r>
      <w:r w:rsidRPr="007C12DB">
        <w:rPr>
          <w:rStyle w:val="libFootnotenumChar"/>
          <w:rtl/>
        </w:rPr>
        <w:t>(1)</w:t>
      </w:r>
      <w:r w:rsidRPr="005D642E">
        <w:rPr>
          <w:rtl/>
          <w:lang w:bidi="fa-IR"/>
        </w:rPr>
        <w:t xml:space="preserve"> ، وَرُدُّوا عِلْمَهُمْ إِلَى اللهِ</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B96810">
        <w:rPr>
          <w:rtl/>
        </w:rPr>
        <w:t>4737</w:t>
      </w:r>
      <w:r w:rsidRPr="00246318">
        <w:rPr>
          <w:rStyle w:val="libBold2Char"/>
          <w:rtl/>
        </w:rPr>
        <w:t xml:space="preserve"> / 6.</w:t>
      </w:r>
      <w:r w:rsidRPr="005D642E">
        <w:rPr>
          <w:rtl/>
          <w:lang w:bidi="fa-IR"/>
        </w:rPr>
        <w:t xml:space="preserve"> عِدَّةٌ مِنْ أَصْحَابِنَا ، عَنْ سَهْلِ بْنِ زِيَادٍ ، عَنْ عَلِيِّ بْنِ الْحَكَمِ ، عَنْ سَيْفِ بْنِ عَمِيرَةَ ، عَنْ أبِي بَكْرٍ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فِي قَوْلِ اللهِ عَزَّ وَجَلَّ : </w:t>
      </w:r>
      <w:r w:rsidRPr="00AC51C5">
        <w:rPr>
          <w:rStyle w:val="libAlaemChar"/>
          <w:rtl/>
        </w:rPr>
        <w:t>(</w:t>
      </w:r>
      <w:r w:rsidRPr="00AC51C5">
        <w:rPr>
          <w:rStyle w:val="libAieChar"/>
          <w:rtl/>
        </w:rPr>
        <w:t xml:space="preserve"> وَالَّذِينَ آمَنُوا وَاتَّبَعَتْهُمْ ذُرِّيَّتُهُمْ بِإِيمانٍ</w:t>
      </w:r>
    </w:p>
    <w:p w:rsidR="00E3253D" w:rsidRPr="005D642E" w:rsidRDefault="00E3253D" w:rsidP="00E3253D">
      <w:pPr>
        <w:pStyle w:val="libLine"/>
        <w:rPr>
          <w:rtl/>
          <w:lang w:bidi="fa-IR"/>
        </w:rPr>
      </w:pPr>
      <w:r w:rsidRPr="005D642E">
        <w:rPr>
          <w:rtl/>
          <w:lang w:bidi="fa-IR"/>
        </w:rPr>
        <w:t>__________________</w:t>
      </w:r>
    </w:p>
    <w:p w:rsidR="00E3253D" w:rsidRPr="005D642E" w:rsidRDefault="00415E20" w:rsidP="00E3253D">
      <w:pPr>
        <w:pStyle w:val="libFootnote0"/>
        <w:rPr>
          <w:rtl/>
          <w:lang w:bidi="fa-IR"/>
        </w:rPr>
      </w:pPr>
      <w:r>
        <w:rPr>
          <w:rFonts w:hint="cs"/>
          <w:rtl/>
        </w:rPr>
        <w:t xml:space="preserve">= </w:t>
      </w:r>
      <w:r w:rsidR="00E3253D" w:rsidRPr="005D642E">
        <w:rPr>
          <w:rtl/>
        </w:rPr>
        <w:t>أحمد بن محمّد بن عيسى ، عن محمّد بن خالد والحسين بن سعيد ، عن النضر بن سويد ، وفيه هكذا : « قال ، قلت : فما تقول في الولدان</w:t>
      </w:r>
      <w:r w:rsidR="00E3253D">
        <w:rPr>
          <w:rtl/>
        </w:rPr>
        <w:t>؟</w:t>
      </w:r>
      <w:r w:rsidR="00E3253D" w:rsidRPr="005D642E">
        <w:rPr>
          <w:rtl/>
        </w:rPr>
        <w:t xml:space="preserve"> فقال : سئل رسول الله </w:t>
      </w:r>
      <w:r w:rsidR="0042621E" w:rsidRPr="00415E20">
        <w:rPr>
          <w:rStyle w:val="libFootnoteAlaemChar"/>
          <w:rtl/>
        </w:rPr>
        <w:t>صلى‌الله‌عليه‌وآله</w:t>
      </w:r>
      <w:r w:rsidR="00E3253D" w:rsidRPr="005D642E">
        <w:rPr>
          <w:rtl/>
        </w:rPr>
        <w:t xml:space="preserve"> عنهم ، فقال : الله أعلم</w:t>
      </w:r>
      <w:r w:rsidR="00E3253D">
        <w:rPr>
          <w:rtl/>
        </w:rPr>
        <w:t xml:space="preserve"> ..</w:t>
      </w:r>
      <w:r w:rsidR="00E3253D" w:rsidRPr="005D642E">
        <w:rPr>
          <w:rtl/>
        </w:rPr>
        <w:t xml:space="preserve">. » </w:t>
      </w:r>
      <w:r>
        <w:rPr>
          <w:rFonts w:hint="cs"/>
          <w:rtl/>
        </w:rPr>
        <w:t>.</w:t>
      </w:r>
      <w:r w:rsidR="00E3253D" w:rsidRPr="002F4D34">
        <w:rPr>
          <w:rStyle w:val="libFootnoteBoldChar"/>
          <w:rtl/>
        </w:rPr>
        <w:t>الوافي</w:t>
      </w:r>
      <w:r w:rsidR="00E3253D" w:rsidRPr="005D642E">
        <w:rPr>
          <w:rtl/>
        </w:rPr>
        <w:t xml:space="preserve"> ، ج 25 ، ص 643 ، ح 24796 ؛ </w:t>
      </w:r>
      <w:r w:rsidR="00E3253D" w:rsidRPr="002F4D34">
        <w:rPr>
          <w:rStyle w:val="libFootnoteBoldChar"/>
          <w:rtl/>
        </w:rPr>
        <w:t>البحار</w:t>
      </w:r>
      <w:r w:rsidR="00E3253D" w:rsidRPr="005D642E">
        <w:rPr>
          <w:rtl/>
        </w:rPr>
        <w:t xml:space="preserve"> ، ج 5 ، ص 292 ، ح 10.</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اختلاف التفسير أيضاً من شواهد التقيّة</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643 ، ح 24797 ؛ </w:t>
      </w:r>
      <w:r w:rsidR="00E3253D" w:rsidRPr="002F4D34">
        <w:rPr>
          <w:rStyle w:val="libFootnoteBoldChar"/>
          <w:rtl/>
        </w:rPr>
        <w:t>البحار</w:t>
      </w:r>
      <w:r w:rsidR="00E3253D" w:rsidRPr="005D642E">
        <w:rPr>
          <w:rtl/>
        </w:rPr>
        <w:t xml:space="preserve"> ، ج 5 ، ص 292 ، ح 11.</w:t>
      </w:r>
    </w:p>
    <w:p w:rsidR="00E3253D" w:rsidRDefault="0042621E" w:rsidP="00E3253D">
      <w:pPr>
        <w:pStyle w:val="libFootnote0"/>
        <w:rPr>
          <w:rtl/>
        </w:rPr>
      </w:pPr>
      <w:r w:rsidRPr="0042621E">
        <w:rPr>
          <w:rStyle w:val="libFootnote0Char"/>
          <w:rtl/>
        </w:rPr>
        <w:t>(3).</w:t>
      </w:r>
      <w:r w:rsidR="00E3253D" w:rsidRPr="005D642E">
        <w:rPr>
          <w:rtl/>
        </w:rPr>
        <w:t xml:space="preserve"> هكذا في « ظ ، بخ » وحاشية « بس</w:t>
      </w:r>
      <w:r w:rsidR="00E3253D">
        <w:rPr>
          <w:rtl/>
        </w:rPr>
        <w:t xml:space="preserve"> ».</w:t>
      </w:r>
      <w:r w:rsidR="00E3253D" w:rsidRPr="005D642E">
        <w:rPr>
          <w:rtl/>
        </w:rPr>
        <w:t xml:space="preserve"> وفي « بث » : « أبي بكير</w:t>
      </w:r>
      <w:r w:rsidR="00E3253D">
        <w:rPr>
          <w:rtl/>
        </w:rPr>
        <w:t xml:space="preserve"> ».</w:t>
      </w:r>
      <w:r w:rsidR="00E3253D" w:rsidRPr="005D642E">
        <w:rPr>
          <w:rtl/>
        </w:rPr>
        <w:t xml:space="preserve"> وفي « ى ، بح ، بس ، جح ، جس ، جن » والمطبوع والبحار : « ابن بكير</w:t>
      </w:r>
      <w:r w:rsidR="00E3253D">
        <w:rPr>
          <w:rtl/>
        </w:rPr>
        <w:t xml:space="preserve"> ».</w:t>
      </w:r>
    </w:p>
    <w:p w:rsidR="00E3253D" w:rsidRPr="005D642E" w:rsidRDefault="00E3253D" w:rsidP="00E3253D">
      <w:pPr>
        <w:pStyle w:val="libFootnote0"/>
        <w:rPr>
          <w:rtl/>
          <w:lang w:bidi="fa-IR"/>
        </w:rPr>
      </w:pPr>
      <w:r w:rsidRPr="005D642E">
        <w:rPr>
          <w:rtl/>
        </w:rPr>
        <w:t xml:space="preserve">والمراد من أبي بكر هو أبوبكر الحضرمي الذي أكثر سيف بن عميرة من الرواية عنه. راجع : </w:t>
      </w:r>
      <w:r w:rsidRPr="002F4D34">
        <w:rPr>
          <w:rStyle w:val="libFootnoteBoldChar"/>
          <w:rtl/>
        </w:rPr>
        <w:t>معجم رجال الحديث</w:t>
      </w:r>
      <w:r w:rsidRPr="005D642E">
        <w:rPr>
          <w:rtl/>
        </w:rPr>
        <w:t xml:space="preserve"> ، ج 8 ، ص 541</w:t>
      </w:r>
      <w:r>
        <w:rPr>
          <w:rtl/>
        </w:rPr>
        <w:t xml:space="preserve"> </w:t>
      </w:r>
      <w:r w:rsidR="007642BC">
        <w:rPr>
          <w:rtl/>
        </w:rPr>
        <w:t>-</w:t>
      </w:r>
      <w:r>
        <w:rPr>
          <w:rtl/>
        </w:rPr>
        <w:t xml:space="preserve"> </w:t>
      </w:r>
      <w:r w:rsidRPr="005D642E">
        <w:rPr>
          <w:rtl/>
        </w:rPr>
        <w:t>543.</w:t>
      </w:r>
    </w:p>
    <w:p w:rsidR="00E3253D" w:rsidRPr="005D642E" w:rsidRDefault="00E3253D" w:rsidP="00E3253D">
      <w:pPr>
        <w:pStyle w:val="libFootnote0"/>
        <w:rPr>
          <w:rtl/>
          <w:lang w:bidi="fa-IR"/>
        </w:rPr>
      </w:pPr>
      <w:r w:rsidRPr="00B60612">
        <w:rPr>
          <w:rtl/>
        </w:rPr>
        <w:t xml:space="preserve">والخبر رواه الشيخ الصدوق في </w:t>
      </w:r>
      <w:r w:rsidRPr="002F4D34">
        <w:rPr>
          <w:rStyle w:val="libFootnoteBoldChar"/>
          <w:rtl/>
        </w:rPr>
        <w:t>الفقيه</w:t>
      </w:r>
      <w:r w:rsidRPr="00B60612">
        <w:rPr>
          <w:rtl/>
        </w:rPr>
        <w:t xml:space="preserve"> ، ج 3 ، ص 490 ، ح 4733 ، قال : « وفي رواية أبي بكر الحضرمي ، قال : قال أبو عبدالله </w:t>
      </w:r>
      <w:r w:rsidRPr="00514A76">
        <w:rPr>
          <w:rStyle w:val="libFootnoteAlaemChar"/>
          <w:rtl/>
        </w:rPr>
        <w:t>عليه‌السلام</w:t>
      </w:r>
      <w:r w:rsidRPr="00B60612">
        <w:rPr>
          <w:rtl/>
        </w:rPr>
        <w:t xml:space="preserve"> ».</w:t>
      </w:r>
    </w:p>
    <w:p w:rsidR="00E3253D" w:rsidRPr="005D642E" w:rsidRDefault="00E3253D" w:rsidP="00E3253D">
      <w:pPr>
        <w:pStyle w:val="libFootnote0"/>
        <w:rPr>
          <w:rtl/>
          <w:lang w:bidi="fa-IR"/>
        </w:rPr>
      </w:pPr>
      <w:r w:rsidRPr="00B60612">
        <w:rPr>
          <w:rtl/>
        </w:rPr>
        <w:t xml:space="preserve">ورواية سيف بن عميرة عن ابن بكير وإن وردت في </w:t>
      </w:r>
      <w:r w:rsidRPr="002F4D34">
        <w:rPr>
          <w:rStyle w:val="libFootnoteBoldChar"/>
          <w:rtl/>
        </w:rPr>
        <w:t>التهذيب</w:t>
      </w:r>
      <w:r w:rsidRPr="00B60612">
        <w:rPr>
          <w:rtl/>
        </w:rPr>
        <w:t xml:space="preserve"> ، ج 10 ، ص 73 ، ح 277 ؛ </w:t>
      </w:r>
      <w:r w:rsidRPr="00E678B5">
        <w:rPr>
          <w:rStyle w:val="libFootnoteBoldChar"/>
          <w:rtl/>
        </w:rPr>
        <w:t>والاستبصار</w:t>
      </w:r>
      <w:r w:rsidRPr="00B60612">
        <w:rPr>
          <w:rtl/>
        </w:rPr>
        <w:t xml:space="preserve"> ، ج 4 ، ص 229 ، ح 860 </w:t>
      </w:r>
      <w:r w:rsidR="007642BC" w:rsidRPr="00B60612">
        <w:rPr>
          <w:rtl/>
        </w:rPr>
        <w:t>-</w:t>
      </w:r>
      <w:r w:rsidRPr="00B60612">
        <w:rPr>
          <w:rtl/>
        </w:rPr>
        <w:t xml:space="preserve"> والخبر فيها واحد </w:t>
      </w:r>
      <w:r w:rsidR="007642BC" w:rsidRPr="00B60612">
        <w:rPr>
          <w:rtl/>
        </w:rPr>
        <w:t>-</w:t>
      </w:r>
      <w:r w:rsidRPr="00B60612">
        <w:rPr>
          <w:rtl/>
        </w:rPr>
        <w:t xml:space="preserve"> لكن ابن بكير في هذين الموضعين أيضاً مصحّف من أبي بكر ؛ فقد ورد الخبر </w:t>
      </w:r>
      <w:r w:rsidR="007642BC" w:rsidRPr="00B60612">
        <w:rPr>
          <w:rtl/>
        </w:rPr>
        <w:t>-</w:t>
      </w:r>
      <w:r w:rsidRPr="00B60612">
        <w:rPr>
          <w:rtl/>
        </w:rPr>
        <w:t xml:space="preserve"> باختلاف يسير في الألفاظ </w:t>
      </w:r>
      <w:r w:rsidR="007642BC" w:rsidRPr="00B60612">
        <w:rPr>
          <w:rtl/>
        </w:rPr>
        <w:t>-</w:t>
      </w:r>
      <w:r w:rsidRPr="00B60612">
        <w:rPr>
          <w:rtl/>
        </w:rPr>
        <w:t xml:space="preserve"> في </w:t>
      </w:r>
      <w:r w:rsidRPr="002F4D34">
        <w:rPr>
          <w:rStyle w:val="libFootnoteBoldChar"/>
          <w:rtl/>
        </w:rPr>
        <w:t>الكافي</w:t>
      </w:r>
      <w:r w:rsidRPr="00B60612">
        <w:rPr>
          <w:rtl/>
        </w:rPr>
        <w:t xml:space="preserve"> ، ح 13948 ، </w:t>
      </w:r>
      <w:r w:rsidR="00B60612" w:rsidRPr="00B60612">
        <w:rPr>
          <w:rStyle w:val="libFootnoteBoldChar"/>
          <w:rtl/>
        </w:rPr>
        <w:t>والتهذيب</w:t>
      </w:r>
      <w:r w:rsidRPr="00B60612">
        <w:rPr>
          <w:rtl/>
        </w:rPr>
        <w:t xml:space="preserve"> ، ج 1 ، ص 72 ، ح 275 ، </w:t>
      </w:r>
      <w:r w:rsidRPr="00E678B5">
        <w:rPr>
          <w:rStyle w:val="libFootnoteBoldChar"/>
          <w:rtl/>
        </w:rPr>
        <w:t>والاستبصار</w:t>
      </w:r>
      <w:r w:rsidRPr="00B60612">
        <w:rPr>
          <w:rtl/>
        </w:rPr>
        <w:t xml:space="preserve"> ، ج 4 ، ص 228 ، ح 858 ، والمذكور في المواضع الثلاثة هو : سيف بن عميرة ، عن أبي بكر الحضرمي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AC51C5">
        <w:rPr>
          <w:rStyle w:val="libAieChar"/>
          <w:rtl/>
        </w:rPr>
        <w:t xml:space="preserve">أَلْحَقْنا بِهِمْ ذُرِّيَّتَهُمْ </w:t>
      </w:r>
      <w:r w:rsidRPr="00AC51C5">
        <w:rPr>
          <w:rStyle w:val="libAlaemChar"/>
          <w:rtl/>
        </w:rPr>
        <w:t>)</w:t>
      </w:r>
      <w:r w:rsidRPr="005D642E">
        <w:rPr>
          <w:rtl/>
          <w:lang w:bidi="fa-IR"/>
        </w:rPr>
        <w:t xml:space="preserve"> </w:t>
      </w:r>
      <w:r w:rsidRPr="007C12DB">
        <w:rPr>
          <w:rStyle w:val="libFootnotenumChar"/>
          <w:rtl/>
        </w:rPr>
        <w:t>(1)</w:t>
      </w:r>
      <w:r w:rsidRPr="005D642E">
        <w:rPr>
          <w:rtl/>
          <w:lang w:bidi="fa-IR"/>
        </w:rPr>
        <w:t xml:space="preserve"> قَالَ : فَقَالَ : « قَصَرَتِ الْأَبْنَاءُ عَنْ عَمَلِ الْآبَاءِ ، فَأَلْحَقُوا الْأَبْنَاءَ بِالْآبَاءِ لِتَقَرَّ </w:t>
      </w:r>
      <w:r w:rsidRPr="007C12DB">
        <w:rPr>
          <w:rStyle w:val="libFootnotenumChar"/>
          <w:rtl/>
        </w:rPr>
        <w:t>(2)</w:t>
      </w:r>
      <w:r w:rsidRPr="005D642E">
        <w:rPr>
          <w:rtl/>
          <w:lang w:bidi="fa-IR"/>
        </w:rPr>
        <w:t xml:space="preserve"> بِذلِكَ أَعْيُنُهُمْ</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334A32">
        <w:rPr>
          <w:rtl/>
        </w:rPr>
        <w:t>4738</w:t>
      </w:r>
      <w:r w:rsidRPr="00246318">
        <w:rPr>
          <w:rStyle w:val="libBold2Char"/>
          <w:rtl/>
        </w:rPr>
        <w:t xml:space="preserve"> / 7.</w:t>
      </w:r>
      <w:r w:rsidRPr="005D642E">
        <w:rPr>
          <w:rtl/>
          <w:lang w:bidi="fa-IR"/>
        </w:rPr>
        <w:t xml:space="preserve"> عَلِيُّ بْنُ إِبْرَاهِيمَ ، عَنْ أَبِيهِ ، عَنِ ابْنِ أَبِي عُمَيْرٍ ، عَنْ هِشَامٍ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أَنَّهُ سُئِلَ عَمَّنْ مَاتَ فِي الْفَتْرَةِ ، وَعَمَّنْ لَمْ يُدْرِكِ الْحِنْثَ </w:t>
      </w:r>
      <w:r w:rsidRPr="007C12DB">
        <w:rPr>
          <w:rStyle w:val="libFootnotenumChar"/>
          <w:rtl/>
        </w:rPr>
        <w:t>(4)</w:t>
      </w:r>
      <w:r w:rsidRPr="005D642E">
        <w:rPr>
          <w:rtl/>
          <w:lang w:bidi="fa-IR"/>
        </w:rPr>
        <w:t xml:space="preserve"> ، وَالْمَعْتُوهِ</w:t>
      </w:r>
      <w:r w:rsidRPr="007C12DB">
        <w:rPr>
          <w:rStyle w:val="libFootnotenumChar"/>
          <w:rtl/>
        </w:rPr>
        <w:t>(5)</w:t>
      </w:r>
      <w:r>
        <w:rPr>
          <w:rtl/>
          <w:lang w:bidi="fa-IR"/>
        </w:rPr>
        <w:t>؟</w:t>
      </w:r>
    </w:p>
    <w:p w:rsidR="00E3253D" w:rsidRPr="005D642E" w:rsidRDefault="00E3253D" w:rsidP="00E3253D">
      <w:pPr>
        <w:pStyle w:val="libNormal"/>
        <w:rPr>
          <w:rtl/>
          <w:lang w:bidi="fa-IR"/>
        </w:rPr>
      </w:pPr>
      <w:r w:rsidRPr="005D642E">
        <w:rPr>
          <w:rtl/>
          <w:lang w:bidi="fa-IR"/>
        </w:rPr>
        <w:t xml:space="preserve">فَقَالَ : « يَحْتَجُّ اللهُ </w:t>
      </w:r>
      <w:r w:rsidRPr="007C12DB">
        <w:rPr>
          <w:rStyle w:val="libFootnotenumChar"/>
          <w:rtl/>
        </w:rPr>
        <w:t>(6)</w:t>
      </w:r>
      <w:r w:rsidRPr="005D642E">
        <w:rPr>
          <w:rtl/>
          <w:lang w:bidi="fa-IR"/>
        </w:rPr>
        <w:t xml:space="preserve"> عَلَيْهِمْ ، يَرْفَعُ لَهُمْ نَاراً </w:t>
      </w:r>
      <w:r w:rsidRPr="007C12DB">
        <w:rPr>
          <w:rStyle w:val="libFootnotenumChar"/>
          <w:rtl/>
        </w:rPr>
        <w:t>(7)</w:t>
      </w:r>
      <w:r w:rsidRPr="005D642E">
        <w:rPr>
          <w:rtl/>
          <w:lang w:bidi="fa-IR"/>
        </w:rPr>
        <w:t xml:space="preserve"> ، فَيَقُولُ </w:t>
      </w:r>
      <w:r w:rsidRPr="007C12DB">
        <w:rPr>
          <w:rStyle w:val="libFootnotenumChar"/>
          <w:rtl/>
        </w:rPr>
        <w:t>(8)</w:t>
      </w:r>
      <w:r w:rsidRPr="005D642E">
        <w:rPr>
          <w:rtl/>
          <w:lang w:bidi="fa-IR"/>
        </w:rPr>
        <w:t xml:space="preserve"> لَهُمْ : ادْخُلُوهَا ، فَمَنْ دَخَلَهَا كَانَتْ عَلَيْهِ بَرْداً وَسَلَاماً ، وَمَنْ أَبى قَالَ : هَا </w:t>
      </w:r>
      <w:r w:rsidRPr="007C12DB">
        <w:rPr>
          <w:rStyle w:val="libFootnotenumChar"/>
          <w:rtl/>
        </w:rPr>
        <w:t>(9)</w:t>
      </w:r>
      <w:r w:rsidRPr="005D642E">
        <w:rPr>
          <w:rtl/>
          <w:lang w:bidi="fa-IR"/>
        </w:rPr>
        <w:t xml:space="preserve"> أَنْتُمْ قَدْ أَمَرْتُكُمْ فَعَصَيْتُمُونِي</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334A32">
        <w:rPr>
          <w:rtl/>
        </w:rPr>
        <w:t>4739</w:t>
      </w:r>
      <w:r w:rsidRPr="00246318">
        <w:rPr>
          <w:rStyle w:val="libBold2Char"/>
          <w:rtl/>
        </w:rPr>
        <w:t xml:space="preserve"> / 8.</w:t>
      </w:r>
      <w:r w:rsidRPr="005D642E">
        <w:rPr>
          <w:rtl/>
          <w:lang w:bidi="fa-IR"/>
        </w:rPr>
        <w:t xml:space="preserve"> وَبِهذَا الْإِسْنَادِ ، قَالَ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 ثَلَاثَةٌ يُحْتَجُّ عَلَيْهِمُ : الْأَبْكَمُ </w:t>
      </w:r>
      <w:r w:rsidRPr="007C12DB">
        <w:rPr>
          <w:rStyle w:val="libFootnotenumChar"/>
          <w:rtl/>
        </w:rPr>
        <w:t>(12)</w:t>
      </w:r>
      <w:r w:rsidRPr="005D642E">
        <w:rPr>
          <w:rtl/>
          <w:lang w:bidi="fa-IR"/>
        </w:rPr>
        <w:t xml:space="preserve"> ، وَالطِّفْلُ ، وَمَنْ مَاتَ فِي الْفَتْرَةِ ؛ فَتُرْفَعُ </w:t>
      </w:r>
      <w:r w:rsidRPr="007C12DB">
        <w:rPr>
          <w:rStyle w:val="libFootnotenumChar"/>
          <w:rtl/>
        </w:rPr>
        <w:t>(13)</w:t>
      </w:r>
      <w:r w:rsidRPr="005D642E">
        <w:rPr>
          <w:rtl/>
          <w:lang w:bidi="fa-IR"/>
        </w:rPr>
        <w:t xml:space="preserve"> لَهُمْ‌</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14A76" w:rsidTr="00514A76">
        <w:tc>
          <w:tcPr>
            <w:tcW w:w="4006" w:type="dxa"/>
          </w:tcPr>
          <w:p w:rsidR="00514A76" w:rsidRDefault="00514A76" w:rsidP="00E3253D">
            <w:pPr>
              <w:pStyle w:val="libFootnote0"/>
              <w:rPr>
                <w:rStyle w:val="libFootnote0Char"/>
                <w:rtl/>
              </w:rPr>
            </w:pPr>
            <w:r w:rsidRPr="0042621E">
              <w:rPr>
                <w:rStyle w:val="libFootnote0Char"/>
                <w:rtl/>
              </w:rPr>
              <w:t>(1).</w:t>
            </w:r>
            <w:r w:rsidRPr="005D642E">
              <w:rPr>
                <w:rtl/>
              </w:rPr>
              <w:t xml:space="preserve"> الطور (52) : 21.</w:t>
            </w:r>
          </w:p>
        </w:tc>
        <w:tc>
          <w:tcPr>
            <w:tcW w:w="4006" w:type="dxa"/>
          </w:tcPr>
          <w:p w:rsidR="00514A76" w:rsidRDefault="00514A76" w:rsidP="00E3253D">
            <w:pPr>
              <w:pStyle w:val="libFootnote0"/>
              <w:rPr>
                <w:rStyle w:val="libFootnote0Char"/>
                <w:rtl/>
              </w:rPr>
            </w:pPr>
            <w:r w:rsidRPr="0042621E">
              <w:rPr>
                <w:rStyle w:val="libFootnote0Char"/>
                <w:rtl/>
              </w:rPr>
              <w:t>(2).</w:t>
            </w:r>
            <w:r w:rsidRPr="005D642E">
              <w:rPr>
                <w:rtl/>
              </w:rPr>
              <w:t xml:space="preserve"> في « جس » : « ليقرّ</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التوحيد</w:t>
      </w:r>
      <w:r w:rsidR="00E3253D" w:rsidRPr="005D642E">
        <w:rPr>
          <w:rtl/>
        </w:rPr>
        <w:t xml:space="preserve"> ، ص 394 ، ح 7 ، بسنده عن عليّ بن الحكم ، عن سيف بن عميرة ، عن أبي بكر الحضرمي ، عن أبي عبدالله </w:t>
      </w:r>
      <w:r w:rsidR="00E3253D" w:rsidRPr="00514A76">
        <w:rPr>
          <w:rStyle w:val="libFootnoteAlaemChar"/>
          <w:rtl/>
        </w:rPr>
        <w:t>عليه‌السلام</w:t>
      </w:r>
      <w:r w:rsidR="00E3253D" w:rsidRPr="005D642E">
        <w:rPr>
          <w:rtl/>
        </w:rPr>
        <w:t xml:space="preserve">. </w:t>
      </w:r>
      <w:r w:rsidR="00E3253D" w:rsidRPr="002F4D34">
        <w:rPr>
          <w:rStyle w:val="libFootnoteBoldChar"/>
          <w:rtl/>
        </w:rPr>
        <w:t>الفقيه</w:t>
      </w:r>
      <w:r w:rsidR="00E3253D" w:rsidRPr="005D642E">
        <w:rPr>
          <w:rtl/>
        </w:rPr>
        <w:t xml:space="preserve"> ، ج 3 ، ص 490 ، ح 4733 ، معلّقاً عن أبي بكر الحضرمي ، عن أبي عبدالله </w:t>
      </w:r>
      <w:r w:rsidR="00E3253D" w:rsidRPr="00514A76">
        <w:rPr>
          <w:rStyle w:val="libFootnoteAlaemChar"/>
          <w:rtl/>
        </w:rPr>
        <w:t>عليه‌السلام</w:t>
      </w:r>
      <w:r w:rsidR="00E3253D" w:rsidRPr="005D642E">
        <w:rPr>
          <w:rtl/>
        </w:rPr>
        <w:t xml:space="preserve"> ، وفيهما مع اختلاف يسير. وراجع : </w:t>
      </w:r>
      <w:r w:rsidR="00E3253D" w:rsidRPr="002F4D34">
        <w:rPr>
          <w:rStyle w:val="libFootnoteBoldChar"/>
          <w:rtl/>
        </w:rPr>
        <w:t>تفسير القمّي</w:t>
      </w:r>
      <w:r w:rsidR="00E3253D" w:rsidRPr="005D642E">
        <w:rPr>
          <w:rtl/>
        </w:rPr>
        <w:t xml:space="preserve"> ، ج 2 ، ص 332 </w:t>
      </w:r>
      <w:r w:rsidR="00514A76">
        <w:rPr>
          <w:rFonts w:hint="cs"/>
          <w:rtl/>
        </w:rPr>
        <w:t>.</w:t>
      </w:r>
      <w:r w:rsidR="00E3253D" w:rsidRPr="002F4D34">
        <w:rPr>
          <w:rStyle w:val="libFootnoteBoldChar"/>
          <w:rtl/>
        </w:rPr>
        <w:t>الوافي</w:t>
      </w:r>
      <w:r w:rsidR="00E3253D" w:rsidRPr="005D642E">
        <w:rPr>
          <w:rtl/>
        </w:rPr>
        <w:t xml:space="preserve"> ، ج 25 ، ص 646 ، ح 24804 ؛ </w:t>
      </w:r>
      <w:r w:rsidR="00E3253D" w:rsidRPr="002F4D34">
        <w:rPr>
          <w:rStyle w:val="libFootnoteBoldChar"/>
          <w:rtl/>
        </w:rPr>
        <w:t>البحار</w:t>
      </w:r>
      <w:r w:rsidR="00E3253D" w:rsidRPr="005D642E">
        <w:rPr>
          <w:rtl/>
        </w:rPr>
        <w:t xml:space="preserve"> ، ج 5 ، ص 292 ، ح 12.</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الحِنْث » : الذنب ، والمعني : لم يبلغ مبلغ الرجال فيجري عليه القلم فيكتب له الحنث ، أي الذنب. </w:t>
      </w:r>
      <w:r w:rsidR="00E3253D" w:rsidRPr="002F4D34">
        <w:rPr>
          <w:rStyle w:val="libFootnoteBoldChar"/>
          <w:rtl/>
        </w:rPr>
        <w:t>النهاية</w:t>
      </w:r>
      <w:r w:rsidR="00E3253D" w:rsidRPr="005D642E">
        <w:rPr>
          <w:rtl/>
        </w:rPr>
        <w:t xml:space="preserve"> ، ج 1 ، ص 449 ( حنث )</w:t>
      </w:r>
      <w:r w:rsidR="00E3253D">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قال الجوهري : « المعتوه : الناقص العقل » ، وقال ابن الأثير : « هو المجنون المصاب بعقله</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6 ، ص 2239 ؛ </w:t>
      </w:r>
      <w:r w:rsidR="00E3253D" w:rsidRPr="002F4D34">
        <w:rPr>
          <w:rStyle w:val="libFootnoteBoldChar"/>
          <w:rtl/>
        </w:rPr>
        <w:t>النهاية</w:t>
      </w:r>
      <w:r w:rsidR="00E3253D" w:rsidRPr="005D642E">
        <w:rPr>
          <w:rtl/>
        </w:rPr>
        <w:t xml:space="preserve"> ، ج 3 ، ص 181 ( عته )</w:t>
      </w:r>
      <w:r w:rsidR="00E3253D">
        <w:rPr>
          <w:rtl/>
        </w:rPr>
        <w:t>.</w:t>
      </w:r>
    </w:p>
    <w:tbl>
      <w:tblPr>
        <w:tblStyle w:val="TableGrid"/>
        <w:bidiVisual/>
        <w:tblW w:w="0" w:type="auto"/>
        <w:tblLook w:val="04A0" w:firstRow="1" w:lastRow="0" w:firstColumn="1" w:lastColumn="0" w:noHBand="0" w:noVBand="1"/>
      </w:tblPr>
      <w:tblGrid>
        <w:gridCol w:w="4006"/>
        <w:gridCol w:w="4006"/>
      </w:tblGrid>
      <w:tr w:rsidR="00514A76" w:rsidTr="00514A76">
        <w:tc>
          <w:tcPr>
            <w:tcW w:w="4006" w:type="dxa"/>
          </w:tcPr>
          <w:p w:rsidR="00514A76" w:rsidRDefault="00514A76" w:rsidP="00E3253D">
            <w:pPr>
              <w:pStyle w:val="libFootnote0"/>
              <w:rPr>
                <w:rStyle w:val="libFootnote0Char"/>
                <w:rtl/>
              </w:rPr>
            </w:pPr>
            <w:r w:rsidRPr="0042621E">
              <w:rPr>
                <w:rStyle w:val="libFootnote0Char"/>
                <w:rtl/>
              </w:rPr>
              <w:t>(6).</w:t>
            </w:r>
            <w:r w:rsidRPr="005D642E">
              <w:rPr>
                <w:rtl/>
              </w:rPr>
              <w:t xml:space="preserve"> في « بس ، جح ، جس » :</w:t>
            </w:r>
            <w:r>
              <w:rPr>
                <w:rtl/>
              </w:rPr>
              <w:t xml:space="preserve"> - </w:t>
            </w:r>
            <w:r w:rsidRPr="005D642E">
              <w:rPr>
                <w:rtl/>
              </w:rPr>
              <w:t>« الله</w:t>
            </w:r>
            <w:r>
              <w:rPr>
                <w:rtl/>
              </w:rPr>
              <w:t xml:space="preserve"> ».</w:t>
            </w:r>
          </w:p>
        </w:tc>
        <w:tc>
          <w:tcPr>
            <w:tcW w:w="4006" w:type="dxa"/>
          </w:tcPr>
          <w:p w:rsidR="00514A76" w:rsidRDefault="00514A76" w:rsidP="00E3253D">
            <w:pPr>
              <w:pStyle w:val="libFootnote0"/>
              <w:rPr>
                <w:rStyle w:val="libFootnote0Char"/>
                <w:rtl/>
              </w:rPr>
            </w:pPr>
            <w:r w:rsidRPr="0042621E">
              <w:rPr>
                <w:rStyle w:val="libFootnote0Char"/>
                <w:rtl/>
              </w:rPr>
              <w:t>(7).</w:t>
            </w:r>
            <w:r w:rsidRPr="005D642E">
              <w:rPr>
                <w:rtl/>
              </w:rPr>
              <w:t xml:space="preserve"> في « بث ، بخ » : « نار</w:t>
            </w:r>
            <w:r>
              <w:rPr>
                <w:rtl/>
              </w:rPr>
              <w:t xml:space="preserve"> ».</w:t>
            </w:r>
          </w:p>
        </w:tc>
      </w:tr>
      <w:tr w:rsidR="00514A76" w:rsidTr="00514A76">
        <w:tc>
          <w:tcPr>
            <w:tcW w:w="4006" w:type="dxa"/>
          </w:tcPr>
          <w:p w:rsidR="00514A76" w:rsidRDefault="00514A76" w:rsidP="00E3253D">
            <w:pPr>
              <w:pStyle w:val="libFootnote0"/>
              <w:rPr>
                <w:rStyle w:val="libFootnote0Char"/>
                <w:rtl/>
              </w:rPr>
            </w:pPr>
            <w:r w:rsidRPr="0042621E">
              <w:rPr>
                <w:rStyle w:val="libFootnote0Char"/>
                <w:rtl/>
              </w:rPr>
              <w:t>(8).</w:t>
            </w:r>
            <w:r w:rsidRPr="005D642E">
              <w:rPr>
                <w:rtl/>
              </w:rPr>
              <w:t xml:space="preserve"> في « بخ » وحاشية « بح » : « فيقال</w:t>
            </w:r>
            <w:r>
              <w:rPr>
                <w:rtl/>
              </w:rPr>
              <w:t xml:space="preserve"> ».</w:t>
            </w:r>
          </w:p>
        </w:tc>
        <w:tc>
          <w:tcPr>
            <w:tcW w:w="4006" w:type="dxa"/>
          </w:tcPr>
          <w:p w:rsidR="00514A76" w:rsidRDefault="00514A76" w:rsidP="00E3253D">
            <w:pPr>
              <w:pStyle w:val="libFootnote0"/>
              <w:rPr>
                <w:rStyle w:val="libFootnote0Char"/>
                <w:rtl/>
              </w:rPr>
            </w:pPr>
            <w:r w:rsidRPr="0042621E">
              <w:rPr>
                <w:rStyle w:val="libFootnote0Char"/>
                <w:rtl/>
              </w:rPr>
              <w:t>(9).</w:t>
            </w:r>
            <w:r w:rsidRPr="005D642E">
              <w:rPr>
                <w:rtl/>
              </w:rPr>
              <w:t xml:space="preserve"> في « ى » :</w:t>
            </w:r>
            <w:r>
              <w:rPr>
                <w:rtl/>
              </w:rPr>
              <w:t xml:space="preserve"> - </w:t>
            </w:r>
            <w:r w:rsidRPr="005D642E">
              <w:rPr>
                <w:rtl/>
              </w:rPr>
              <w:t>« ها</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الفقيه</w:t>
      </w:r>
      <w:r w:rsidR="00E3253D" w:rsidRPr="005D642E">
        <w:rPr>
          <w:rtl/>
        </w:rPr>
        <w:t xml:space="preserve"> ، ج 3 ، ص 492 ، ح 4741 ، مرسلاً ، من قوله : « فقال : يحتجّ الله عليهم » مع اختلاف يسير وزيادة في آخره </w:t>
      </w:r>
      <w:r w:rsidR="00514A76">
        <w:rPr>
          <w:rFonts w:hint="cs"/>
          <w:rtl/>
        </w:rPr>
        <w:t>.</w:t>
      </w:r>
      <w:r w:rsidR="00E3253D" w:rsidRPr="002F4D34">
        <w:rPr>
          <w:rStyle w:val="libFootnoteBoldChar"/>
          <w:rtl/>
        </w:rPr>
        <w:t>الوافي</w:t>
      </w:r>
      <w:r w:rsidR="00E3253D" w:rsidRPr="005D642E">
        <w:rPr>
          <w:rtl/>
        </w:rPr>
        <w:t xml:space="preserve"> ، ج 25 ، ص 645 ، ح 24800 ؛ </w:t>
      </w:r>
      <w:r w:rsidR="00E3253D" w:rsidRPr="002F4D34">
        <w:rPr>
          <w:rStyle w:val="libFootnoteBoldChar"/>
          <w:rtl/>
        </w:rPr>
        <w:t>البحار</w:t>
      </w:r>
      <w:r w:rsidR="00E3253D" w:rsidRPr="005D642E">
        <w:rPr>
          <w:rtl/>
        </w:rPr>
        <w:t xml:space="preserve"> ، ج 5 ، ص 292 ، ح 14.</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الضمير المستتر في « قال » راجع إلى أبي عبدالله </w:t>
      </w:r>
      <w:r w:rsidR="00E3253D" w:rsidRPr="00514A76">
        <w:rPr>
          <w:rStyle w:val="libFootnoteAlaemChar"/>
          <w:rtl/>
        </w:rPr>
        <w:t>عليه‌السلام</w:t>
      </w:r>
      <w:r w:rsidR="00E3253D" w:rsidRPr="005D642E">
        <w:rPr>
          <w:rtl/>
        </w:rPr>
        <w:t xml:space="preserve"> ، والمراد من قوله : « بهذا الإسناد » هو السند المتقدّم المذكور إليه </w:t>
      </w:r>
      <w:r w:rsidR="00E3253D" w:rsidRPr="00514A76">
        <w:rPr>
          <w:rStyle w:val="libFootnoteAlaemChar"/>
          <w:rtl/>
        </w:rPr>
        <w:t>عليه‌السلام</w:t>
      </w:r>
      <w:r w:rsidR="00E3253D" w:rsidRPr="005D642E">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w:t>
      </w:r>
      <w:r w:rsidR="00E3253D" w:rsidRPr="002F4D34">
        <w:rPr>
          <w:rStyle w:val="libFootnoteBoldChar"/>
          <w:rtl/>
        </w:rPr>
        <w:t>مرآة العقول</w:t>
      </w:r>
      <w:r w:rsidR="00E3253D" w:rsidRPr="005D642E">
        <w:rPr>
          <w:rtl/>
        </w:rPr>
        <w:t xml:space="preserve"> : « المراد بالأبكم هو الأصمّ الأبكم الذي لم يتمّ عليه الحجّة في الدنيا</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ى ، بخ ، بس ، جس » والبحار : « فيرفع</w:t>
      </w:r>
      <w:r w:rsidR="00E3253D">
        <w:rPr>
          <w:rtl/>
        </w:rPr>
        <w:t xml:space="preserve"> ».</w:t>
      </w:r>
      <w:r w:rsidR="00E3253D" w:rsidRPr="005D642E">
        <w:rPr>
          <w:rtl/>
        </w:rPr>
        <w:t xml:space="preserve"> وفي « بث » : « يرفع</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نَارٌ </w:t>
      </w:r>
      <w:r w:rsidRPr="007C12DB">
        <w:rPr>
          <w:rStyle w:val="libFootnotenumChar"/>
          <w:rtl/>
        </w:rPr>
        <w:t>(1)</w:t>
      </w:r>
      <w:r w:rsidRPr="005D642E">
        <w:rPr>
          <w:rtl/>
          <w:lang w:bidi="fa-IR"/>
        </w:rPr>
        <w:t xml:space="preserve"> ، فَيُقَالُ لَهُمْ : ادْخُلُوهَا ، فَمَنْ دَخَلَهَا كَانَتْ عَلَيْهِ بَرْداً وَسَلَاماً ، وَمَنْ أَبى قَالَ </w:t>
      </w:r>
      <w:r w:rsidRPr="007C12DB">
        <w:rPr>
          <w:rStyle w:val="libFootnotenumChar"/>
          <w:rtl/>
        </w:rPr>
        <w:t>(2)</w:t>
      </w:r>
      <w:r w:rsidRPr="005D642E">
        <w:rPr>
          <w:rtl/>
          <w:lang w:bidi="fa-IR"/>
        </w:rPr>
        <w:t xml:space="preserve"> تَبَارَكَ وَتَعَالى : هذَا قَدْ أَمَرْتُكُمْ فَعَصَيْتُمُونِي</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Heading2Center"/>
        <w:rPr>
          <w:rtl/>
          <w:lang w:bidi="fa-IR"/>
        </w:rPr>
      </w:pPr>
      <w:bookmarkStart w:id="545" w:name="_Toc344647393"/>
      <w:bookmarkStart w:id="546" w:name="_Toc462226907"/>
      <w:bookmarkStart w:id="547" w:name="_Toc40976015"/>
      <w:r w:rsidRPr="005D642E">
        <w:rPr>
          <w:rtl/>
          <w:lang w:bidi="fa-IR"/>
        </w:rPr>
        <w:t>95</w:t>
      </w:r>
      <w:r>
        <w:rPr>
          <w:rtl/>
          <w:lang w:bidi="fa-IR"/>
        </w:rPr>
        <w:t xml:space="preserve"> </w:t>
      </w:r>
      <w:r w:rsidR="007642BC">
        <w:rPr>
          <w:rtl/>
          <w:lang w:bidi="fa-IR"/>
        </w:rPr>
        <w:t>-</w:t>
      </w:r>
      <w:r>
        <w:rPr>
          <w:rtl/>
          <w:lang w:bidi="fa-IR"/>
        </w:rPr>
        <w:t xml:space="preserve"> </w:t>
      </w:r>
      <w:r w:rsidRPr="005D642E">
        <w:rPr>
          <w:rtl/>
          <w:lang w:bidi="fa-IR"/>
        </w:rPr>
        <w:t>بَابُ النَّوَادِرِ‌</w:t>
      </w:r>
      <w:bookmarkEnd w:id="545"/>
      <w:bookmarkEnd w:id="546"/>
      <w:bookmarkEnd w:id="547"/>
    </w:p>
    <w:p w:rsidR="00E3253D" w:rsidRPr="005D642E" w:rsidRDefault="00E3253D" w:rsidP="00E3253D">
      <w:pPr>
        <w:pStyle w:val="libNormal"/>
        <w:rPr>
          <w:rtl/>
          <w:lang w:bidi="fa-IR"/>
        </w:rPr>
      </w:pPr>
      <w:r w:rsidRPr="00334A32">
        <w:rPr>
          <w:rtl/>
        </w:rPr>
        <w:t>4740</w:t>
      </w:r>
      <w:r w:rsidRPr="00246318">
        <w:rPr>
          <w:rStyle w:val="libBold2Char"/>
          <w:rtl/>
        </w:rPr>
        <w:t xml:space="preserve"> / 1.</w:t>
      </w:r>
      <w:r w:rsidRPr="005D642E">
        <w:rPr>
          <w:rtl/>
          <w:lang w:bidi="fa-IR"/>
        </w:rPr>
        <w:t xml:space="preserve"> عَلِيُّ بْنُ إِبْرَاهِيمَ ، عَنْ أَبِيهِ ، عَنْ نُوحِ بْنِ شُعَيْبٍ ، عَنْ شِهَابِ بْنِ عَبْدِ رَبِّهِ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الْجُنُبِ : يُغَسِّلُ الْمَيِّتَ</w:t>
      </w:r>
      <w:r>
        <w:rPr>
          <w:rtl/>
          <w:lang w:bidi="fa-IR"/>
        </w:rPr>
        <w:t>؟</w:t>
      </w:r>
      <w:r w:rsidRPr="005D642E">
        <w:rPr>
          <w:rtl/>
          <w:lang w:bidi="fa-IR"/>
        </w:rPr>
        <w:t xml:space="preserve"> أَوْ مَنْ </w:t>
      </w:r>
      <w:r w:rsidRPr="007C12DB">
        <w:rPr>
          <w:rStyle w:val="libFootnotenumChar"/>
          <w:rtl/>
        </w:rPr>
        <w:t>(4)</w:t>
      </w:r>
      <w:r w:rsidRPr="005D642E">
        <w:rPr>
          <w:rtl/>
          <w:lang w:bidi="fa-IR"/>
        </w:rPr>
        <w:t xml:space="preserve"> غَسَّلَ مَيِّتاً لَهُ </w:t>
      </w:r>
      <w:r w:rsidRPr="007C12DB">
        <w:rPr>
          <w:rStyle w:val="libFootnotenumChar"/>
          <w:rtl/>
        </w:rPr>
        <w:t>(5)</w:t>
      </w:r>
      <w:r w:rsidRPr="005D642E">
        <w:rPr>
          <w:rtl/>
          <w:lang w:bidi="fa-IR"/>
        </w:rPr>
        <w:t xml:space="preserve"> أَنْ يَأْتِيَ أَهْلَهُ ثُمَّ يَغْتَسِلَ</w:t>
      </w:r>
      <w:r>
        <w:rPr>
          <w:rtl/>
          <w:lang w:bidi="fa-IR"/>
        </w:rPr>
        <w:t>؟</w:t>
      </w:r>
    </w:p>
    <w:p w:rsidR="00E3253D" w:rsidRPr="005D642E" w:rsidRDefault="00E3253D" w:rsidP="00E3253D">
      <w:pPr>
        <w:pStyle w:val="libNormal"/>
        <w:rPr>
          <w:rtl/>
          <w:lang w:bidi="fa-IR"/>
        </w:rPr>
      </w:pPr>
      <w:r w:rsidRPr="005D642E">
        <w:rPr>
          <w:rtl/>
          <w:lang w:bidi="fa-IR"/>
        </w:rPr>
        <w:t xml:space="preserve">فَقَالَ : « سَوَاءٌ ، لَابَأْسَ بِذلِكَ ، إِذَا كَانَ جُنُباً غَسَلَ يَدَهُ </w:t>
      </w:r>
      <w:r w:rsidRPr="007C12DB">
        <w:rPr>
          <w:rStyle w:val="libFootnotenumChar"/>
          <w:rtl/>
        </w:rPr>
        <w:t>(6)</w:t>
      </w:r>
      <w:r w:rsidRPr="005D642E">
        <w:rPr>
          <w:rtl/>
          <w:lang w:bidi="fa-IR"/>
        </w:rPr>
        <w:t xml:space="preserve"> وَتَوَضَّأَ وَغَسَّلَ الْمَيِّتَ </w:t>
      </w:r>
      <w:r w:rsidRPr="007C12DB">
        <w:rPr>
          <w:rStyle w:val="libFootnotenumChar"/>
          <w:rtl/>
        </w:rPr>
        <w:t>(7)</w:t>
      </w:r>
      <w:r w:rsidRPr="005D642E">
        <w:rPr>
          <w:rtl/>
          <w:lang w:bidi="fa-IR"/>
        </w:rPr>
        <w:t xml:space="preserve"> ، فَإِنْ </w:t>
      </w:r>
      <w:r w:rsidRPr="007C12DB">
        <w:rPr>
          <w:rStyle w:val="libFootnotenumChar"/>
          <w:rtl/>
        </w:rPr>
        <w:t>(8)</w:t>
      </w:r>
      <w:r w:rsidRPr="005D642E">
        <w:rPr>
          <w:rtl/>
          <w:lang w:bidi="fa-IR"/>
        </w:rPr>
        <w:t xml:space="preserve"> غَسَّلَ مَيِّتاً ، ثُمَّ </w:t>
      </w:r>
      <w:r w:rsidRPr="007C12DB">
        <w:rPr>
          <w:rStyle w:val="libFootnotenumChar"/>
          <w:rtl/>
        </w:rPr>
        <w:t>(9)</w:t>
      </w:r>
      <w:r w:rsidRPr="005D642E">
        <w:rPr>
          <w:rtl/>
          <w:lang w:bidi="fa-IR"/>
        </w:rPr>
        <w:t xml:space="preserve"> تَوَضَّأَ ، ثُمَّ أَتى أَهْلَهُ ، يُجْزِئُهُ </w:t>
      </w:r>
      <w:r w:rsidRPr="007C12DB">
        <w:rPr>
          <w:rStyle w:val="libFootnotenumChar"/>
          <w:rtl/>
        </w:rPr>
        <w:t>(10)</w:t>
      </w:r>
      <w:r w:rsidRPr="005D642E">
        <w:rPr>
          <w:rtl/>
          <w:lang w:bidi="fa-IR"/>
        </w:rPr>
        <w:t xml:space="preserve"> غُسْلٌ وَاحِدٌ لَهُمَا</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334A32">
        <w:rPr>
          <w:rtl/>
        </w:rPr>
        <w:t>4741</w:t>
      </w:r>
      <w:r w:rsidRPr="00246318">
        <w:rPr>
          <w:rStyle w:val="libBold2Char"/>
          <w:rtl/>
        </w:rPr>
        <w:t xml:space="preserve"> / 2.</w:t>
      </w:r>
      <w:r w:rsidRPr="005D642E">
        <w:rPr>
          <w:rtl/>
          <w:lang w:bidi="fa-IR"/>
        </w:rPr>
        <w:t xml:space="preserve"> عَلِيٌّ ، عَنْ أَبِيهِ </w:t>
      </w:r>
      <w:r w:rsidRPr="007C12DB">
        <w:rPr>
          <w:rStyle w:val="libFootnotenumChar"/>
          <w:rtl/>
        </w:rPr>
        <w:t>(12)</w:t>
      </w:r>
      <w:r w:rsidRPr="005D642E">
        <w:rPr>
          <w:rtl/>
          <w:lang w:bidi="fa-IR"/>
        </w:rPr>
        <w:t xml:space="preserve"> ، عَنْ عَبْدِ اللهِ بْنِ الْمُغِيرَةِ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الْمَيِّتَ إِذَا حَضَرَهُ الْمَوْتُ ، أَوْثَقَهُ </w:t>
      </w:r>
      <w:r w:rsidRPr="007C12DB">
        <w:rPr>
          <w:rStyle w:val="libFootnotenumChar"/>
          <w:rtl/>
        </w:rPr>
        <w:t>(13)</w:t>
      </w:r>
      <w:r w:rsidRPr="005D642E">
        <w:rPr>
          <w:rtl/>
          <w:lang w:bidi="fa-IR"/>
        </w:rPr>
        <w:t xml:space="preserve"> مَلَكُ الْمَوْتِ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14A76" w:rsidTr="00514A76">
        <w:tc>
          <w:tcPr>
            <w:tcW w:w="4006" w:type="dxa"/>
          </w:tcPr>
          <w:p w:rsidR="00514A76" w:rsidRDefault="00514A76" w:rsidP="00E3253D">
            <w:pPr>
              <w:pStyle w:val="libFootnote0"/>
              <w:rPr>
                <w:rStyle w:val="libFootnote0Char"/>
                <w:rtl/>
              </w:rPr>
            </w:pPr>
            <w:r w:rsidRPr="0042621E">
              <w:rPr>
                <w:rStyle w:val="libFootnote0Char"/>
                <w:rtl/>
              </w:rPr>
              <w:t>(1).</w:t>
            </w:r>
            <w:r>
              <w:rPr>
                <w:rtl/>
              </w:rPr>
              <w:t xml:space="preserve"> </w:t>
            </w:r>
            <w:r w:rsidRPr="005D642E">
              <w:rPr>
                <w:rtl/>
              </w:rPr>
              <w:t>في « ى ، بث ، بخ ، بس » : « ناراً</w:t>
            </w:r>
            <w:r>
              <w:rPr>
                <w:rtl/>
              </w:rPr>
              <w:t xml:space="preserve"> ».</w:t>
            </w:r>
          </w:p>
        </w:tc>
        <w:tc>
          <w:tcPr>
            <w:tcW w:w="4006" w:type="dxa"/>
          </w:tcPr>
          <w:p w:rsidR="00514A76" w:rsidRDefault="00514A76" w:rsidP="00E3253D">
            <w:pPr>
              <w:pStyle w:val="libFootnote0"/>
              <w:rPr>
                <w:rStyle w:val="libFootnote0Char"/>
                <w:rtl/>
              </w:rPr>
            </w:pPr>
            <w:r w:rsidRPr="0042621E">
              <w:rPr>
                <w:rStyle w:val="libFootnote0Char"/>
                <w:rtl/>
              </w:rPr>
              <w:t>(2).</w:t>
            </w:r>
            <w:r w:rsidRPr="005D642E">
              <w:rPr>
                <w:rtl/>
              </w:rPr>
              <w:t xml:space="preserve"> في « بح ، بس ، جح » : + « الله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25 ، ص 645 ، ح 24802 ؛ </w:t>
      </w:r>
      <w:r w:rsidR="00E3253D" w:rsidRPr="002F4D34">
        <w:rPr>
          <w:rStyle w:val="libFootnoteBoldChar"/>
          <w:rtl/>
        </w:rPr>
        <w:t>البحار</w:t>
      </w:r>
      <w:r w:rsidR="00E3253D" w:rsidRPr="005D642E">
        <w:rPr>
          <w:rtl/>
        </w:rPr>
        <w:t xml:space="preserve"> ، ج 5 ، ص 293 ، ح 15.</w:t>
      </w:r>
    </w:p>
    <w:tbl>
      <w:tblPr>
        <w:tblStyle w:val="TableGrid"/>
        <w:bidiVisual/>
        <w:tblW w:w="0" w:type="auto"/>
        <w:tblLook w:val="04A0" w:firstRow="1" w:lastRow="0" w:firstColumn="1" w:lastColumn="0" w:noHBand="0" w:noVBand="1"/>
      </w:tblPr>
      <w:tblGrid>
        <w:gridCol w:w="4006"/>
        <w:gridCol w:w="4006"/>
      </w:tblGrid>
      <w:tr w:rsidR="00DB3C64" w:rsidTr="00DB3C64">
        <w:tc>
          <w:tcPr>
            <w:tcW w:w="4006" w:type="dxa"/>
          </w:tcPr>
          <w:p w:rsidR="00DB3C64" w:rsidRDefault="00DB3C64" w:rsidP="00E3253D">
            <w:pPr>
              <w:pStyle w:val="libFootnote0"/>
              <w:rPr>
                <w:rStyle w:val="libFootnote0Char"/>
                <w:rtl/>
                <w:lang w:bidi="fa-IR"/>
              </w:rPr>
            </w:pPr>
            <w:r w:rsidRPr="0042621E">
              <w:rPr>
                <w:rStyle w:val="libFootnote0Char"/>
                <w:rtl/>
              </w:rPr>
              <w:t>(4).</w:t>
            </w:r>
            <w:r w:rsidRPr="005D642E">
              <w:rPr>
                <w:rtl/>
              </w:rPr>
              <w:t xml:space="preserve"> في « بخ » </w:t>
            </w:r>
            <w:r w:rsidRPr="00DB3C64">
              <w:rPr>
                <w:rtl/>
              </w:rPr>
              <w:t>والوافي</w:t>
            </w:r>
            <w:r w:rsidRPr="005D642E">
              <w:rPr>
                <w:rtl/>
              </w:rPr>
              <w:t xml:space="preserve"> : « ومن</w:t>
            </w:r>
            <w:r>
              <w:rPr>
                <w:rtl/>
              </w:rPr>
              <w:t xml:space="preserve"> ».</w:t>
            </w:r>
          </w:p>
        </w:tc>
        <w:tc>
          <w:tcPr>
            <w:tcW w:w="4006" w:type="dxa"/>
          </w:tcPr>
          <w:p w:rsidR="00DB3C64" w:rsidRDefault="00DB3C64" w:rsidP="00E3253D">
            <w:pPr>
              <w:pStyle w:val="libFootnote0"/>
              <w:rPr>
                <w:rStyle w:val="libFootnote0Char"/>
                <w:rtl/>
                <w:lang w:bidi="fa-IR"/>
              </w:rPr>
            </w:pPr>
            <w:r w:rsidRPr="0042621E">
              <w:rPr>
                <w:rStyle w:val="libFootnote0Char"/>
                <w:rtl/>
              </w:rPr>
              <w:t>(5).</w:t>
            </w:r>
            <w:r>
              <w:rPr>
                <w:rtl/>
              </w:rPr>
              <w:t xml:space="preserve"> في الوافي : « أ</w:t>
            </w:r>
            <w:r w:rsidRPr="005D642E">
              <w:rPr>
                <w:rtl/>
              </w:rPr>
              <w:t>له</w:t>
            </w:r>
            <w:r>
              <w:rPr>
                <w:rtl/>
              </w:rPr>
              <w:t xml:space="preserve"> ».</w:t>
            </w:r>
          </w:p>
        </w:tc>
      </w:tr>
      <w:tr w:rsidR="00DB3C64" w:rsidTr="00DB3C64">
        <w:tc>
          <w:tcPr>
            <w:tcW w:w="4006" w:type="dxa"/>
          </w:tcPr>
          <w:p w:rsidR="00DB3C64" w:rsidRDefault="00DB3C64" w:rsidP="00E3253D">
            <w:pPr>
              <w:pStyle w:val="libFootnote0"/>
              <w:rPr>
                <w:rStyle w:val="libFootnote0Char"/>
                <w:rtl/>
                <w:lang w:bidi="fa-IR"/>
              </w:rPr>
            </w:pPr>
            <w:r w:rsidRPr="0042621E">
              <w:rPr>
                <w:rStyle w:val="libFootnote0Char"/>
                <w:rtl/>
              </w:rPr>
              <w:t>(6).</w:t>
            </w:r>
            <w:r w:rsidRPr="005D642E">
              <w:rPr>
                <w:rtl/>
              </w:rPr>
              <w:t xml:space="preserve"> في « بخ » </w:t>
            </w:r>
            <w:r w:rsidRPr="00DB3C64">
              <w:rPr>
                <w:rtl/>
              </w:rPr>
              <w:t>والوافي والتهذيب</w:t>
            </w:r>
            <w:r w:rsidRPr="005D642E">
              <w:rPr>
                <w:rtl/>
              </w:rPr>
              <w:t xml:space="preserve"> : « يديه</w:t>
            </w:r>
            <w:r>
              <w:rPr>
                <w:rtl/>
              </w:rPr>
              <w:t xml:space="preserve"> ».</w:t>
            </w:r>
          </w:p>
        </w:tc>
        <w:tc>
          <w:tcPr>
            <w:tcW w:w="4006" w:type="dxa"/>
          </w:tcPr>
          <w:p w:rsidR="00DB3C64" w:rsidRDefault="00DB3C64" w:rsidP="00E3253D">
            <w:pPr>
              <w:pStyle w:val="libFootnote0"/>
              <w:rPr>
                <w:rStyle w:val="libFootnote0Char"/>
                <w:rtl/>
                <w:lang w:bidi="fa-IR"/>
              </w:rPr>
            </w:pPr>
            <w:r w:rsidRPr="0042621E">
              <w:rPr>
                <w:rStyle w:val="libFootnote0Char"/>
                <w:rtl/>
              </w:rPr>
              <w:t>(7).</w:t>
            </w:r>
            <w:r w:rsidRPr="005D642E">
              <w:rPr>
                <w:rtl/>
              </w:rPr>
              <w:t xml:space="preserve"> في الوسائل : + « وهو جنب</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بث ، بح ، بخ ، جس </w:t>
      </w:r>
      <w:r w:rsidR="00E3253D" w:rsidRPr="00DB3C64">
        <w:rPr>
          <w:rtl/>
        </w:rPr>
        <w:t xml:space="preserve">» </w:t>
      </w:r>
      <w:r w:rsidR="000D749A" w:rsidRPr="00DB3C64">
        <w:rPr>
          <w:rtl/>
        </w:rPr>
        <w:t>والوافي</w:t>
      </w:r>
      <w:r w:rsidR="00E3253D" w:rsidRPr="005D642E">
        <w:rPr>
          <w:rtl/>
        </w:rPr>
        <w:t xml:space="preserve"> والوسائل : « وإن</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الوافي : « </w:t>
      </w:r>
      <w:r w:rsidR="00E3253D">
        <w:rPr>
          <w:rtl/>
        </w:rPr>
        <w:t>و »</w:t>
      </w:r>
      <w:r w:rsidR="00E3253D" w:rsidRPr="005D642E">
        <w:rPr>
          <w:rtl/>
        </w:rPr>
        <w:t xml:space="preserve"> بدل « ثمّ</w:t>
      </w:r>
      <w:r w:rsidR="00E3253D">
        <w:rPr>
          <w:rtl/>
        </w:rPr>
        <w:t xml:space="preserve"> ».</w:t>
      </w:r>
      <w:r w:rsidR="00E3253D" w:rsidRPr="005D642E">
        <w:rPr>
          <w:rtl/>
        </w:rPr>
        <w:t xml:space="preserve"> وفي الوسائل :</w:t>
      </w:r>
      <w:r w:rsidR="00E3253D">
        <w:rPr>
          <w:rtl/>
        </w:rPr>
        <w:t xml:space="preserve"> </w:t>
      </w:r>
      <w:r w:rsidR="007642BC">
        <w:rPr>
          <w:rtl/>
        </w:rPr>
        <w:t>-</w:t>
      </w:r>
      <w:r w:rsidR="00E3253D">
        <w:rPr>
          <w:rtl/>
        </w:rPr>
        <w:t xml:space="preserve"> </w:t>
      </w:r>
      <w:r w:rsidR="00E3253D" w:rsidRPr="005D642E">
        <w:rPr>
          <w:rtl/>
        </w:rPr>
        <w:t>« ثمّ</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بث ، بس ، جح » : « ويجزئه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التهذيب</w:t>
      </w:r>
      <w:r w:rsidR="00E3253D" w:rsidRPr="005D642E">
        <w:rPr>
          <w:rtl/>
        </w:rPr>
        <w:t xml:space="preserve"> ، ج 1 ، ص 448 ، ح 1450 ، بسنده عن إبراهيم بن هاشم ، مع اختلاف يسير </w:t>
      </w:r>
      <w:r w:rsidR="00DB3C64">
        <w:rPr>
          <w:rFonts w:hint="cs"/>
          <w:rtl/>
        </w:rPr>
        <w:t>.</w:t>
      </w:r>
      <w:r w:rsidR="00E3253D" w:rsidRPr="002F4D34">
        <w:rPr>
          <w:rStyle w:val="libFootnoteBoldChar"/>
          <w:rtl/>
        </w:rPr>
        <w:t>الوافي</w:t>
      </w:r>
      <w:r w:rsidR="00E3253D" w:rsidRPr="005D642E">
        <w:rPr>
          <w:rtl/>
        </w:rPr>
        <w:t xml:space="preserve"> ، ج 6 ، ص 421 ، ح 4612 ؛ </w:t>
      </w:r>
      <w:r w:rsidR="00E3253D" w:rsidRPr="002F4D34">
        <w:rPr>
          <w:rStyle w:val="libFootnoteBoldChar"/>
          <w:rtl/>
        </w:rPr>
        <w:t>الوسائل</w:t>
      </w:r>
      <w:r w:rsidR="00E3253D" w:rsidRPr="005D642E">
        <w:rPr>
          <w:rtl/>
        </w:rPr>
        <w:t xml:space="preserve"> ، ج 2 ، ص 263 ، ح 2109 ؛ وص 544 ، ذيل ح 2864.</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البحار :</w:t>
      </w:r>
      <w:r w:rsidR="00E3253D">
        <w:rPr>
          <w:rtl/>
        </w:rPr>
        <w:t xml:space="preserve"> </w:t>
      </w:r>
      <w:r w:rsidR="007642BC">
        <w:rPr>
          <w:rtl/>
        </w:rPr>
        <w:t>-</w:t>
      </w:r>
      <w:r w:rsidR="00E3253D">
        <w:rPr>
          <w:rtl/>
        </w:rPr>
        <w:t xml:space="preserve"> </w:t>
      </w:r>
      <w:r w:rsidR="00E3253D" w:rsidRPr="005D642E">
        <w:rPr>
          <w:rtl/>
        </w:rPr>
        <w:t>« عن أبيه</w:t>
      </w:r>
      <w:r w:rsidR="00E3253D">
        <w:rPr>
          <w:rtl/>
        </w:rPr>
        <w:t xml:space="preserve"> ».</w:t>
      </w:r>
      <w:r w:rsidR="00E3253D" w:rsidRPr="005D642E">
        <w:rPr>
          <w:rtl/>
        </w:rPr>
        <w:t xml:space="preserve"> وهو سهو ؛ فقد روى علي [ بن إبراهيم ] ، عن أبيه ، عن عبدالله بن المغيرة في كثير من الأسناد. راجع : </w:t>
      </w:r>
      <w:r w:rsidR="00E3253D" w:rsidRPr="002F4D34">
        <w:rPr>
          <w:rStyle w:val="libFootnoteBoldChar"/>
          <w:rtl/>
        </w:rPr>
        <w:t>معجم رجال الحديث</w:t>
      </w:r>
      <w:r w:rsidR="00E3253D" w:rsidRPr="005D642E">
        <w:rPr>
          <w:rtl/>
        </w:rPr>
        <w:t xml:space="preserve"> ، ج 1 ، ص 525</w:t>
      </w:r>
      <w:r w:rsidR="00E3253D">
        <w:rPr>
          <w:rtl/>
        </w:rPr>
        <w:t xml:space="preserve"> </w:t>
      </w:r>
      <w:r w:rsidR="007642BC">
        <w:rPr>
          <w:rtl/>
        </w:rPr>
        <w:t>-</w:t>
      </w:r>
      <w:r w:rsidR="00E3253D">
        <w:rPr>
          <w:rtl/>
        </w:rPr>
        <w:t xml:space="preserve"> </w:t>
      </w:r>
      <w:r w:rsidR="00E3253D" w:rsidRPr="005D642E">
        <w:rPr>
          <w:rtl/>
        </w:rPr>
        <w:t>527.</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w:t>
      </w:r>
      <w:r w:rsidR="00E3253D" w:rsidRPr="002F4D34">
        <w:rPr>
          <w:rStyle w:val="libFootnoteBoldChar"/>
          <w:rtl/>
        </w:rPr>
        <w:t>مرآة العقول</w:t>
      </w:r>
      <w:r w:rsidR="00E3253D" w:rsidRPr="005D642E">
        <w:rPr>
          <w:rtl/>
        </w:rPr>
        <w:t xml:space="preserve"> ، ج 14 ، ص 236 : « الإيثاق إمّا على الحقيقة وإن لم نر الوثاق ، أو هو كناية عن أنّ بعد رؤيته لا</w:t>
      </w:r>
      <w:r w:rsidR="00E3253D">
        <w:rPr>
          <w:rFonts w:hint="cs"/>
          <w:rtl/>
        </w:rPr>
        <w:t xml:space="preserve"> </w:t>
      </w:r>
      <w:r w:rsidR="00DB3C6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وَلَوْ لَاذلِكَ مَا اسْتَقَرَّ</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E7648F">
        <w:rPr>
          <w:rtl/>
        </w:rPr>
        <w:t>4742</w:t>
      </w:r>
      <w:r w:rsidRPr="00246318">
        <w:rPr>
          <w:rStyle w:val="libBold2Char"/>
          <w:rtl/>
        </w:rPr>
        <w:t xml:space="preserve"> / 3.</w:t>
      </w:r>
      <w:r w:rsidRPr="005D642E">
        <w:rPr>
          <w:rtl/>
          <w:lang w:bidi="fa-IR"/>
        </w:rPr>
        <w:t xml:space="preserve"> أَبُو عَلِيٍّ الْأَشْعَرِيُّ ، عَنْ مُحَمَّدِ بْنِ عَبْدِ الْجَبَّارِ ، عَنْ أَبِي مُحَمَّدٍ الْهُذَلِيِّ ، عَنْ إِبْرَاهِيمَ بْنِ خَالِدٍ الْقَطَّانِ </w:t>
      </w:r>
      <w:r w:rsidRPr="007C12DB">
        <w:rPr>
          <w:rStyle w:val="libFootnotenumChar"/>
          <w:rtl/>
        </w:rPr>
        <w:t>(2)</w:t>
      </w:r>
      <w:r w:rsidRPr="005D642E">
        <w:rPr>
          <w:rtl/>
          <w:lang w:bidi="fa-IR"/>
        </w:rPr>
        <w:t xml:space="preserve"> ، عَنْ مُحَمَّدِ بْنِ مَنْصُورٍ الصَّيْقَلِ ، عَنْ أَبِيهِ ، قَالَ :</w:t>
      </w:r>
    </w:p>
    <w:p w:rsidR="00E3253D" w:rsidRPr="005D642E" w:rsidRDefault="00E3253D" w:rsidP="00E3253D">
      <w:pPr>
        <w:pStyle w:val="libNormal"/>
        <w:rPr>
          <w:rtl/>
          <w:lang w:bidi="fa-IR"/>
        </w:rPr>
      </w:pPr>
      <w:r w:rsidRPr="005D642E">
        <w:rPr>
          <w:rtl/>
          <w:lang w:bidi="fa-IR"/>
        </w:rPr>
        <w:t xml:space="preserve">شَكَوْتُ إِلى أَبِي عَبْدِ اللهِ </w:t>
      </w:r>
      <w:r w:rsidRPr="00AC51C5">
        <w:rPr>
          <w:rStyle w:val="libAlaemChar"/>
          <w:rtl/>
        </w:rPr>
        <w:t>عليه‌السلام</w:t>
      </w:r>
      <w:r w:rsidRPr="005D642E">
        <w:rPr>
          <w:rtl/>
          <w:lang w:bidi="fa-IR"/>
        </w:rPr>
        <w:t xml:space="preserve"> وَجْداً </w:t>
      </w:r>
      <w:r w:rsidRPr="007C12DB">
        <w:rPr>
          <w:rStyle w:val="libFootnotenumChar"/>
          <w:rtl/>
        </w:rPr>
        <w:t>(3)</w:t>
      </w:r>
      <w:r w:rsidRPr="005D642E">
        <w:rPr>
          <w:rtl/>
          <w:lang w:bidi="fa-IR"/>
        </w:rPr>
        <w:t xml:space="preserve"> وَجَدْتُهُ عَلَى ابْنٍ لِي هَلَكَ حَتّى خِفْتُ عَلى عَقْلِي ، فَقَالَ : « إِذَا أَصَابَكَ مِنْ هذَا شَيْ‌ءٌ ، فَأَفِضْ مِنْ دُمُوعِكَ ؛ فَإِنَّهُ يَسْكُنُ </w:t>
      </w:r>
      <w:r w:rsidRPr="007C12DB">
        <w:rPr>
          <w:rStyle w:val="libFootnotenumChar"/>
          <w:rtl/>
        </w:rPr>
        <w:t>(4)</w:t>
      </w:r>
      <w:r w:rsidRPr="005D642E">
        <w:rPr>
          <w:rtl/>
          <w:lang w:bidi="fa-IR"/>
        </w:rPr>
        <w:t xml:space="preserve"> عَنْكَ</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7648F">
        <w:rPr>
          <w:rtl/>
        </w:rPr>
        <w:t>4743</w:t>
      </w:r>
      <w:r w:rsidRPr="00246318">
        <w:rPr>
          <w:rStyle w:val="libBold2Char"/>
          <w:rtl/>
        </w:rPr>
        <w:t xml:space="preserve"> / 4.</w:t>
      </w:r>
      <w:r w:rsidRPr="005D642E">
        <w:rPr>
          <w:rtl/>
          <w:lang w:bidi="fa-IR"/>
        </w:rPr>
        <w:t xml:space="preserve"> عَلِيُّ بْنُ إِبْرَاهِيمَ رَفَعَهُ ، قَالَ :</w:t>
      </w:r>
    </w:p>
    <w:p w:rsidR="00E3253D" w:rsidRPr="005D642E" w:rsidRDefault="00E3253D" w:rsidP="00E3253D">
      <w:pPr>
        <w:pStyle w:val="libNormal"/>
        <w:rPr>
          <w:rtl/>
          <w:lang w:bidi="fa-IR"/>
        </w:rPr>
      </w:pPr>
      <w:r w:rsidRPr="005D642E">
        <w:rPr>
          <w:rtl/>
          <w:lang w:bidi="fa-IR"/>
        </w:rPr>
        <w:t xml:space="preserve">لَمَّا مَاتَ ذَرُّ بْنُ أَبِي ذَرٍّ ، مَسَحَ أَبُو ذَرٍّ الْقَبْرَ بِيَدِهِ ، ثُمَّ قَالَ : رَحِمَكَ اللهُ يَا ذَرُّ ، وَاللهِ إِنْ </w:t>
      </w:r>
      <w:r w:rsidRPr="007C12DB">
        <w:rPr>
          <w:rStyle w:val="libFootnotenumChar"/>
          <w:rtl/>
        </w:rPr>
        <w:t>(6)</w:t>
      </w:r>
      <w:r w:rsidRPr="005D642E">
        <w:rPr>
          <w:rtl/>
          <w:lang w:bidi="fa-IR"/>
        </w:rPr>
        <w:t xml:space="preserve"> كُنْتَ بِي </w:t>
      </w:r>
      <w:r w:rsidRPr="007C12DB">
        <w:rPr>
          <w:rStyle w:val="libFootnotenumChar"/>
          <w:rtl/>
        </w:rPr>
        <w:t>(7)</w:t>
      </w:r>
      <w:r w:rsidRPr="005D642E">
        <w:rPr>
          <w:rtl/>
          <w:lang w:bidi="fa-IR"/>
        </w:rPr>
        <w:t xml:space="preserve"> بَارّاً ، وَلَقَدْ قُبِضْتَ وَإِنِّي عَنْكَ لَرَاضٍ </w:t>
      </w:r>
      <w:r w:rsidRPr="007C12DB">
        <w:rPr>
          <w:rStyle w:val="libFootnotenumChar"/>
          <w:rtl/>
        </w:rPr>
        <w:t>(8)</w:t>
      </w:r>
      <w:r w:rsidRPr="005D642E">
        <w:rPr>
          <w:rtl/>
          <w:lang w:bidi="fa-IR"/>
        </w:rPr>
        <w:t xml:space="preserve"> ، أَمَا وَاللهِ مَا بِي فَقْدُكَ </w:t>
      </w:r>
      <w:r w:rsidRPr="007C12DB">
        <w:rPr>
          <w:rStyle w:val="libFootnotenumChar"/>
          <w:rtl/>
        </w:rPr>
        <w:t>(9)</w:t>
      </w:r>
      <w:r w:rsidRPr="005D642E">
        <w:rPr>
          <w:rtl/>
          <w:lang w:bidi="fa-IR"/>
        </w:rPr>
        <w:t xml:space="preserve"> ، وَمَا عَلَيَّ مِنْ غَضَاضَةٍ </w:t>
      </w:r>
      <w:r w:rsidRPr="007C12DB">
        <w:rPr>
          <w:rStyle w:val="libFootnotenumChar"/>
          <w:rtl/>
        </w:rPr>
        <w:t>(10)</w:t>
      </w:r>
      <w:r w:rsidRPr="005D642E">
        <w:rPr>
          <w:rtl/>
          <w:lang w:bidi="fa-IR"/>
        </w:rPr>
        <w:t xml:space="preserve"> ، وَمَا لِي إِلى أَحَدٍ سِوَى اللهِ مِنْ حَاجَةٍ ، وَلَوْ لَاهَوْلُ </w:t>
      </w:r>
      <w:r w:rsidRPr="007C12DB">
        <w:rPr>
          <w:rStyle w:val="libFootnotenumChar"/>
          <w:rtl/>
        </w:rPr>
        <w:t>(11)</w:t>
      </w:r>
      <w:r w:rsidRPr="005D642E">
        <w:rPr>
          <w:rtl/>
          <w:lang w:bidi="fa-IR"/>
        </w:rPr>
        <w:t xml:space="preserve"> الْمُطَّلَعِ </w:t>
      </w:r>
      <w:r w:rsidRPr="007C12DB">
        <w:rPr>
          <w:rStyle w:val="libFootnotenumChar"/>
          <w:rtl/>
        </w:rPr>
        <w:t>(12)</w:t>
      </w:r>
      <w:r w:rsidRPr="005D642E">
        <w:rPr>
          <w:rtl/>
          <w:lang w:bidi="fa-IR"/>
        </w:rPr>
        <w:t xml:space="preserve"> ، لَسَرَّنِي‌</w:t>
      </w:r>
    </w:p>
    <w:p w:rsidR="00E3253D" w:rsidRPr="005D642E" w:rsidRDefault="00E3253D" w:rsidP="00E3253D">
      <w:pPr>
        <w:pStyle w:val="libLine"/>
        <w:rPr>
          <w:rtl/>
          <w:lang w:bidi="fa-IR"/>
        </w:rPr>
      </w:pPr>
      <w:r w:rsidRPr="005D642E">
        <w:rPr>
          <w:rtl/>
          <w:lang w:bidi="fa-IR"/>
        </w:rPr>
        <w:t>__________________</w:t>
      </w:r>
    </w:p>
    <w:p w:rsidR="00E3253D" w:rsidRPr="005D642E" w:rsidRDefault="00971B89" w:rsidP="00E3253D">
      <w:pPr>
        <w:pStyle w:val="libFootnote0"/>
        <w:rPr>
          <w:rtl/>
          <w:lang w:bidi="fa-IR"/>
        </w:rPr>
      </w:pPr>
      <w:r>
        <w:rPr>
          <w:rFonts w:hint="cs"/>
          <w:rtl/>
        </w:rPr>
        <w:t xml:space="preserve">= </w:t>
      </w:r>
      <w:r w:rsidR="00E3253D" w:rsidRPr="005D642E">
        <w:rPr>
          <w:rtl/>
        </w:rPr>
        <w:t xml:space="preserve">تبقي له قوّة تقدر على الحركة. وقال الوالد </w:t>
      </w:r>
      <w:r w:rsidR="00E3253D" w:rsidRPr="00971B89">
        <w:rPr>
          <w:rStyle w:val="libFootnoteAlaemChar"/>
          <w:rtl/>
        </w:rPr>
        <w:t>رحمه‌الله</w:t>
      </w:r>
      <w:r w:rsidR="00E3253D" w:rsidRPr="005D642E">
        <w:rPr>
          <w:rtl/>
        </w:rPr>
        <w:t xml:space="preserve"> : يوثقه بالبشارة بما أعدّ الله ، أو بإراءة الجنّة ومراتبها المعدّة له ، أو بمشاهدته كما ترى أنّه إذا رأى الشخص أسداً كأنّه يتوثّق ولا يمكنه الحركة أو بأنياب المنيّة</w:t>
      </w:r>
      <w:r>
        <w:rPr>
          <w:rtl/>
        </w:rPr>
        <w:t xml:space="preserve"> ، أو بغير ذلك ممّا لايعلمه إل</w:t>
      </w:r>
      <w:r>
        <w:rPr>
          <w:rFonts w:hint="cs"/>
          <w:rtl/>
        </w:rPr>
        <w:t>ّ</w:t>
      </w:r>
      <w:r>
        <w:rPr>
          <w:rtl/>
        </w:rPr>
        <w:t>ا</w:t>
      </w:r>
      <w:r w:rsidR="00E3253D">
        <w:rPr>
          <w:rFonts w:hint="cs"/>
          <w:rtl/>
        </w:rPr>
        <w:t xml:space="preserve"> </w:t>
      </w:r>
      <w:r w:rsidR="00E3253D" w:rsidRPr="005D642E">
        <w:rPr>
          <w:rtl/>
        </w:rPr>
        <w:t xml:space="preserve">الله تعالي وحججه </w:t>
      </w:r>
      <w:r w:rsidR="00E3253D" w:rsidRPr="00971B89">
        <w:rPr>
          <w:rStyle w:val="libFootnoteAlaemChar"/>
          <w:rtl/>
        </w:rPr>
        <w:t>عليهم‌السلام</w:t>
      </w:r>
      <w:r w:rsidR="00E3253D">
        <w:rPr>
          <w:rtl/>
        </w:rPr>
        <w:t xml:space="preserve">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2F4D34">
        <w:rPr>
          <w:rStyle w:val="libFootnoteBoldChar"/>
          <w:rtl/>
        </w:rPr>
        <w:t>الوافي</w:t>
      </w:r>
      <w:r w:rsidR="00E3253D" w:rsidRPr="005D642E">
        <w:rPr>
          <w:rtl/>
        </w:rPr>
        <w:t xml:space="preserve"> ، ج 24 ، ص 264 ، ح 24003 ؛ </w:t>
      </w:r>
      <w:r w:rsidR="00E3253D" w:rsidRPr="002F4D34">
        <w:rPr>
          <w:rStyle w:val="libFootnoteBoldChar"/>
          <w:rtl/>
        </w:rPr>
        <w:t>البحار</w:t>
      </w:r>
      <w:r w:rsidR="00E3253D" w:rsidRPr="005D642E">
        <w:rPr>
          <w:rtl/>
        </w:rPr>
        <w:t xml:space="preserve"> ، ج 6 ، ص 166 ، ح 37.</w:t>
      </w:r>
    </w:p>
    <w:tbl>
      <w:tblPr>
        <w:tblStyle w:val="TableGrid"/>
        <w:bidiVisual/>
        <w:tblW w:w="0" w:type="auto"/>
        <w:tblLook w:val="04A0" w:firstRow="1" w:lastRow="0" w:firstColumn="1" w:lastColumn="0" w:noHBand="0" w:noVBand="1"/>
      </w:tblPr>
      <w:tblGrid>
        <w:gridCol w:w="4006"/>
        <w:gridCol w:w="4006"/>
      </w:tblGrid>
      <w:tr w:rsidR="00971B89" w:rsidTr="00971B89">
        <w:tc>
          <w:tcPr>
            <w:tcW w:w="4006" w:type="dxa"/>
          </w:tcPr>
          <w:p w:rsidR="00971B89" w:rsidRDefault="00971B89" w:rsidP="00E3253D">
            <w:pPr>
              <w:pStyle w:val="libFootnote0"/>
              <w:rPr>
                <w:rStyle w:val="libFootnote0Char"/>
                <w:rtl/>
              </w:rPr>
            </w:pPr>
            <w:r w:rsidRPr="0042621E">
              <w:rPr>
                <w:rStyle w:val="libFootnote0Char"/>
                <w:rtl/>
              </w:rPr>
              <w:t>(2).</w:t>
            </w:r>
            <w:r w:rsidRPr="005D642E">
              <w:rPr>
                <w:rtl/>
              </w:rPr>
              <w:t xml:space="preserve"> في « جس » : « العطّار</w:t>
            </w:r>
            <w:r>
              <w:rPr>
                <w:rtl/>
              </w:rPr>
              <w:t xml:space="preserve"> ».</w:t>
            </w:r>
          </w:p>
        </w:tc>
        <w:tc>
          <w:tcPr>
            <w:tcW w:w="4006" w:type="dxa"/>
          </w:tcPr>
          <w:p w:rsidR="00971B89" w:rsidRDefault="00971B89" w:rsidP="00971B89">
            <w:pPr>
              <w:pStyle w:val="libFootnote0"/>
              <w:rPr>
                <w:rStyle w:val="libFootnote0Char"/>
                <w:rtl/>
              </w:rPr>
            </w:pPr>
            <w:r w:rsidRPr="0042621E">
              <w:rPr>
                <w:rStyle w:val="libFootnote0Char"/>
                <w:rtl/>
              </w:rPr>
              <w:t>(3).</w:t>
            </w:r>
            <w:r>
              <w:rPr>
                <w:rtl/>
              </w:rPr>
              <w:t>«الوَجْد»:</w:t>
            </w:r>
            <w:r w:rsidRPr="005D642E">
              <w:rPr>
                <w:rtl/>
              </w:rPr>
              <w:t>الحزن.</w:t>
            </w:r>
            <w:r>
              <w:rPr>
                <w:rStyle w:val="libFootnoteBoldChar"/>
                <w:rtl/>
              </w:rPr>
              <w:t>لسان</w:t>
            </w:r>
            <w:r>
              <w:rPr>
                <w:rStyle w:val="libFootnoteBoldChar"/>
                <w:rFonts w:hint="cs"/>
                <w:rtl/>
              </w:rPr>
              <w:t xml:space="preserve"> </w:t>
            </w:r>
            <w:r w:rsidRPr="002F4D34">
              <w:rPr>
                <w:rStyle w:val="libFootnoteBoldChar"/>
                <w:rtl/>
              </w:rPr>
              <w:t>العرب</w:t>
            </w:r>
            <w:r>
              <w:rPr>
                <w:rtl/>
              </w:rPr>
              <w:t>،ج</w:t>
            </w:r>
            <w:r>
              <w:rPr>
                <w:rFonts w:hint="cs"/>
                <w:rtl/>
              </w:rPr>
              <w:t>3</w:t>
            </w:r>
            <w:r>
              <w:rPr>
                <w:rtl/>
              </w:rPr>
              <w:t>،ص 446(وجد</w:t>
            </w:r>
            <w:r w:rsidRPr="005D642E">
              <w:rPr>
                <w:rtl/>
              </w:rPr>
              <w:t>)</w:t>
            </w:r>
            <w:r>
              <w:rPr>
                <w:rtl/>
              </w:rPr>
              <w:t>.</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بخ » : « يسكّن » بالتضعيف.</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25 ، ص 564 ، ح 24668 ؛ </w:t>
      </w:r>
      <w:r w:rsidR="00E3253D" w:rsidRPr="002F4D34">
        <w:rPr>
          <w:rStyle w:val="libFootnoteBoldChar"/>
          <w:rtl/>
        </w:rPr>
        <w:t>الوسائل</w:t>
      </w:r>
      <w:r w:rsidR="00E3253D" w:rsidRPr="005D642E">
        <w:rPr>
          <w:rtl/>
        </w:rPr>
        <w:t xml:space="preserve"> ، ج 3 ، ص 279 ، ح 3650.</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 « إنّك</w:t>
      </w:r>
      <w:r w:rsidR="00E3253D">
        <w:rPr>
          <w:rtl/>
        </w:rPr>
        <w:t xml:space="preserve"> ».</w:t>
      </w:r>
      <w:r w:rsidR="00E3253D" w:rsidRPr="005D642E">
        <w:rPr>
          <w:rtl/>
        </w:rPr>
        <w:t xml:space="preserve"> وفي </w:t>
      </w:r>
      <w:r w:rsidR="00E3253D" w:rsidRPr="00971B89">
        <w:rPr>
          <w:rStyle w:val="libFootnoteBoldChar"/>
          <w:rtl/>
        </w:rPr>
        <w:t>مرآة العقول</w:t>
      </w:r>
      <w:r w:rsidR="00E3253D" w:rsidRPr="005D642E">
        <w:rPr>
          <w:rtl/>
        </w:rPr>
        <w:t xml:space="preserve"> : « كلمة إنْ مخفّفة من المثقّلة</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71B89" w:rsidTr="00971B89">
        <w:tc>
          <w:tcPr>
            <w:tcW w:w="4006" w:type="dxa"/>
          </w:tcPr>
          <w:p w:rsidR="00971B89" w:rsidRDefault="00971B89" w:rsidP="00E3253D">
            <w:pPr>
              <w:pStyle w:val="libFootnote0"/>
              <w:rPr>
                <w:rStyle w:val="libFootnote0Char"/>
                <w:rtl/>
              </w:rPr>
            </w:pPr>
            <w:r w:rsidRPr="0042621E">
              <w:rPr>
                <w:rStyle w:val="libFootnote0Char"/>
                <w:rtl/>
              </w:rPr>
              <w:t>(7).</w:t>
            </w:r>
            <w:r w:rsidRPr="005D642E">
              <w:rPr>
                <w:rtl/>
              </w:rPr>
              <w:t xml:space="preserve"> في « ى ، بث ، بح » : « لي</w:t>
            </w:r>
            <w:r>
              <w:rPr>
                <w:rtl/>
              </w:rPr>
              <w:t xml:space="preserve"> ».</w:t>
            </w:r>
          </w:p>
        </w:tc>
        <w:tc>
          <w:tcPr>
            <w:tcW w:w="4006" w:type="dxa"/>
          </w:tcPr>
          <w:p w:rsidR="00971B89" w:rsidRDefault="00971B89" w:rsidP="00E3253D">
            <w:pPr>
              <w:pStyle w:val="libFootnote0"/>
              <w:rPr>
                <w:rStyle w:val="libFootnote0Char"/>
                <w:rtl/>
              </w:rPr>
            </w:pPr>
            <w:r w:rsidRPr="0042621E">
              <w:rPr>
                <w:rStyle w:val="libFootnote0Char"/>
                <w:rtl/>
              </w:rPr>
              <w:t>(8).</w:t>
            </w:r>
            <w:r w:rsidRPr="005D642E">
              <w:rPr>
                <w:rtl/>
              </w:rPr>
              <w:t xml:space="preserve"> في « ى » : « راض</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971B89">
        <w:rPr>
          <w:rtl/>
        </w:rPr>
        <w:t xml:space="preserve"> قال العل</w:t>
      </w:r>
      <w:r w:rsidR="00971B89">
        <w:rPr>
          <w:rFonts w:hint="cs"/>
          <w:rtl/>
        </w:rPr>
        <w:t>ّ</w:t>
      </w:r>
      <w:r w:rsidR="00971B89">
        <w:rPr>
          <w:rtl/>
        </w:rPr>
        <w:t>ا</w:t>
      </w:r>
      <w:r w:rsidR="00E3253D" w:rsidRPr="005D642E">
        <w:rPr>
          <w:rtl/>
        </w:rPr>
        <w:t>مة الفيض : « ما بي فقدك ، أي أنت لي الآن كما كنت قبل</w:t>
      </w:r>
      <w:r w:rsidR="00E3253D">
        <w:rPr>
          <w:rtl/>
        </w:rPr>
        <w:t xml:space="preserve"> ».</w:t>
      </w:r>
      <w:r w:rsidR="00971B89">
        <w:rPr>
          <w:rtl/>
        </w:rPr>
        <w:t xml:space="preserve"> وقال العل</w:t>
      </w:r>
      <w:r w:rsidR="00971B89">
        <w:rPr>
          <w:rFonts w:hint="cs"/>
          <w:rtl/>
        </w:rPr>
        <w:t>ّ</w:t>
      </w:r>
      <w:r w:rsidR="00971B89">
        <w:rPr>
          <w:rtl/>
        </w:rPr>
        <w:t>ا</w:t>
      </w:r>
      <w:r w:rsidR="00E3253D" w:rsidRPr="005D642E">
        <w:rPr>
          <w:rtl/>
        </w:rPr>
        <w:t>مة المجلسي : « أي ليس عليّ بأس وحزن من فقدك وما أوقع بي فقدك مكروهاً والحاصل : ليس بي حزن فقدك. وربّما يقال : الباء للسببيّة ، أي لم يكن فقدك وموتك بفعلي ، بل كان بقضاء الله تعالى ، ولا يخفى بعده</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 الغضاضة » : الذلّة والمنقصة. راجع : </w:t>
      </w:r>
      <w:r w:rsidR="00E3253D" w:rsidRPr="002F4D34">
        <w:rPr>
          <w:rStyle w:val="libFootnoteBoldChar"/>
          <w:rtl/>
        </w:rPr>
        <w:t>القاموس المحيط</w:t>
      </w:r>
      <w:r w:rsidR="00E3253D" w:rsidRPr="005D642E">
        <w:rPr>
          <w:rtl/>
        </w:rPr>
        <w:t xml:space="preserve"> ، ج 1 ، ص 878 ( غضض )</w:t>
      </w:r>
      <w:r w:rsidR="00E3253D">
        <w:rPr>
          <w:rtl/>
        </w:rPr>
        <w:t>.</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 الهَوْل » : الخوف والأمر الشديد ، وقد هاله يهوله ، أي أخافه وأفزعه. راجع : </w:t>
      </w:r>
      <w:r w:rsidR="00E3253D" w:rsidRPr="002F4D34">
        <w:rPr>
          <w:rStyle w:val="libFootnoteBoldChar"/>
          <w:rtl/>
        </w:rPr>
        <w:t>الصحاح</w:t>
      </w:r>
      <w:r w:rsidR="00E3253D" w:rsidRPr="005D642E">
        <w:rPr>
          <w:rtl/>
        </w:rPr>
        <w:t xml:space="preserve"> ، ج 5 ، ص 1855 ؛ </w:t>
      </w:r>
      <w:r w:rsidR="00E3253D" w:rsidRPr="002F4D34">
        <w:rPr>
          <w:rStyle w:val="libFootnoteBoldChar"/>
          <w:rtl/>
        </w:rPr>
        <w:t>النهاية</w:t>
      </w:r>
      <w:r w:rsidR="00E3253D" w:rsidRPr="005D642E">
        <w:rPr>
          <w:rtl/>
        </w:rPr>
        <w:t xml:space="preserve"> ، ج 5 ، ص 283 ( هول )</w:t>
      </w:r>
      <w:r w:rsidR="00E3253D">
        <w:rPr>
          <w:rtl/>
        </w:rPr>
        <w:t>.</w:t>
      </w:r>
    </w:p>
    <w:p w:rsidR="00E3253D" w:rsidRPr="005D642E" w:rsidRDefault="0042621E" w:rsidP="00E3253D">
      <w:pPr>
        <w:pStyle w:val="libFootnote0"/>
        <w:rPr>
          <w:rtl/>
          <w:lang w:bidi="fa-IR"/>
        </w:rPr>
      </w:pPr>
      <w:r w:rsidRPr="0042621E">
        <w:rPr>
          <w:rStyle w:val="libFootnote0Char"/>
          <w:rtl/>
        </w:rPr>
        <w:t>(12).</w:t>
      </w:r>
      <w:r w:rsidR="00971B89">
        <w:rPr>
          <w:rtl/>
        </w:rPr>
        <w:t xml:space="preserve"> « الم</w:t>
      </w:r>
      <w:r w:rsidR="00971B89">
        <w:rPr>
          <w:rFonts w:hint="cs"/>
          <w:rtl/>
        </w:rPr>
        <w:t>ـُ</w:t>
      </w:r>
      <w:r w:rsidR="00E3253D" w:rsidRPr="005D642E">
        <w:rPr>
          <w:rtl/>
        </w:rPr>
        <w:t xml:space="preserve">طَّلَعُ » : المأتيّ ، وموضع الاطّلاع من إشرف إلى انحدار ، أي مكان الاطّلاع من موضع عال. والمراد به هنا </w:t>
      </w:r>
      <w:r w:rsidR="000472A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0472A4">
      <w:pPr>
        <w:pStyle w:val="libNormal0"/>
        <w:rPr>
          <w:rtl/>
          <w:lang w:bidi="fa-IR"/>
        </w:rPr>
      </w:pPr>
      <w:r w:rsidRPr="005D642E">
        <w:rPr>
          <w:rtl/>
          <w:lang w:bidi="fa-IR"/>
        </w:rPr>
        <w:t xml:space="preserve">أَنْ أَكُونَ مَكَانَكَ ، وَلَقَدْ شَغَلَنِي الْحُزْنُ </w:t>
      </w:r>
      <w:r w:rsidRPr="007C12DB">
        <w:rPr>
          <w:rStyle w:val="libFootnotenumChar"/>
          <w:rtl/>
        </w:rPr>
        <w:t>(1)</w:t>
      </w:r>
      <w:r w:rsidRPr="005D642E">
        <w:rPr>
          <w:rtl/>
          <w:lang w:bidi="fa-IR"/>
        </w:rPr>
        <w:t xml:space="preserve"> لَكَ عَنِ </w:t>
      </w:r>
      <w:r w:rsidRPr="007C12DB">
        <w:rPr>
          <w:rStyle w:val="libFootnotenumChar"/>
          <w:rtl/>
        </w:rPr>
        <w:t>(2)</w:t>
      </w:r>
      <w:r w:rsidRPr="005D642E">
        <w:rPr>
          <w:rtl/>
          <w:lang w:bidi="fa-IR"/>
        </w:rPr>
        <w:t xml:space="preserve"> الْحُزْنِ </w:t>
      </w:r>
      <w:r w:rsidRPr="007C12DB">
        <w:rPr>
          <w:rStyle w:val="libFootnotenumChar"/>
          <w:rtl/>
        </w:rPr>
        <w:t>(3)</w:t>
      </w:r>
      <w:r w:rsidRPr="005D642E">
        <w:rPr>
          <w:rtl/>
          <w:lang w:bidi="fa-IR"/>
        </w:rPr>
        <w:t xml:space="preserve"> عَلَيْكَ ، وَاللهِ مَا بَكَيْتُ لَكَ وَلكِنْ </w:t>
      </w:r>
      <w:r w:rsidRPr="007C12DB">
        <w:rPr>
          <w:rStyle w:val="libFootnotenumChar"/>
          <w:rtl/>
        </w:rPr>
        <w:t>(4)</w:t>
      </w:r>
      <w:r w:rsidRPr="005D642E">
        <w:rPr>
          <w:rtl/>
          <w:lang w:bidi="fa-IR"/>
        </w:rPr>
        <w:t xml:space="preserve"> بَكَيْتُ عَلَيْكَ </w:t>
      </w:r>
      <w:r w:rsidRPr="007C12DB">
        <w:rPr>
          <w:rStyle w:val="libFootnotenumChar"/>
          <w:rtl/>
        </w:rPr>
        <w:t>(5)</w:t>
      </w:r>
      <w:r w:rsidRPr="005D642E">
        <w:rPr>
          <w:rtl/>
          <w:lang w:bidi="fa-IR"/>
        </w:rPr>
        <w:t xml:space="preserve"> ، فَلَيْتَ شِعْرِي مَا ذَا قُلْتَ ، وَمَا ذَا قِيلَ لَكَ ، ثُمَّ قَالَ : الل</w:t>
      </w:r>
      <w:r w:rsidR="000472A4">
        <w:rPr>
          <w:rFonts w:hint="cs"/>
          <w:rtl/>
          <w:lang w:bidi="fa-IR"/>
        </w:rPr>
        <w:t>َّ</w:t>
      </w:r>
      <w:r w:rsidRPr="005D642E">
        <w:rPr>
          <w:rtl/>
          <w:lang w:bidi="fa-IR"/>
        </w:rPr>
        <w:t>هُمَّ إِنِّي قَدْ‌</w:t>
      </w:r>
      <w:r>
        <w:rPr>
          <w:rFonts w:hint="cs"/>
          <w:rtl/>
          <w:lang w:bidi="fa-IR"/>
        </w:rPr>
        <w:t xml:space="preserve"> </w:t>
      </w:r>
      <w:r w:rsidRPr="005D642E">
        <w:rPr>
          <w:rtl/>
          <w:lang w:bidi="fa-IR"/>
        </w:rPr>
        <w:t xml:space="preserve">وَهَبْتُ لَهُ مَا افْتَرَضْتَ عَلَيْهِ مِنْ حَقِّي ، فَهَبْ لَهُ مَا افْتَرَضْتَ عَلَيْهِ مِنْ حَقِّكَ ؛ فَأَنْتَ </w:t>
      </w:r>
      <w:r w:rsidRPr="007C12DB">
        <w:rPr>
          <w:rStyle w:val="libFootnotenumChar"/>
          <w:rtl/>
        </w:rPr>
        <w:t>(6)</w:t>
      </w:r>
      <w:r w:rsidRPr="005D642E">
        <w:rPr>
          <w:rtl/>
          <w:lang w:bidi="fa-IR"/>
        </w:rPr>
        <w:t xml:space="preserve"> أَحَقُّ بِالْجُودِ مِنِّي</w:t>
      </w:r>
      <w:r w:rsidRPr="007C12DB">
        <w:rPr>
          <w:rStyle w:val="libFootnotenumChar"/>
          <w:rtl/>
        </w:rPr>
        <w:t>(7)</w:t>
      </w:r>
      <w:r w:rsidR="000472A4">
        <w:rPr>
          <w:rFonts w:hint="cs"/>
          <w:rtl/>
          <w:lang w:bidi="fa-IR"/>
        </w:rPr>
        <w:t>.</w:t>
      </w:r>
      <w:r w:rsidRPr="007C12DB">
        <w:rPr>
          <w:rStyle w:val="libFootnotenumChar"/>
          <w:rtl/>
        </w:rPr>
        <w:t>(8)</w:t>
      </w:r>
      <w:r w:rsidRPr="005D642E">
        <w:rPr>
          <w:rtl/>
          <w:lang w:bidi="fa-IR"/>
        </w:rPr>
        <w:t>‌</w:t>
      </w:r>
    </w:p>
    <w:p w:rsidR="00E3253D" w:rsidRPr="005D642E" w:rsidRDefault="00E3253D" w:rsidP="00E3253D">
      <w:pPr>
        <w:pStyle w:val="libNormal"/>
        <w:rPr>
          <w:rtl/>
          <w:lang w:bidi="fa-IR"/>
        </w:rPr>
      </w:pPr>
      <w:r w:rsidRPr="00E7648F">
        <w:rPr>
          <w:rtl/>
        </w:rPr>
        <w:t>4744</w:t>
      </w:r>
      <w:r w:rsidRPr="00246318">
        <w:rPr>
          <w:rStyle w:val="libBold2Char"/>
          <w:rtl/>
        </w:rPr>
        <w:t xml:space="preserve"> / 5.</w:t>
      </w:r>
      <w:r w:rsidRPr="005D642E">
        <w:rPr>
          <w:rtl/>
          <w:lang w:bidi="fa-IR"/>
        </w:rPr>
        <w:t xml:space="preserve"> عِدَّةٌ مِنْ أَصْحَابِنَا ، عَنْ سَهْلِ بْنِ زِيَادٍ ، عَنْ عُثْمَانَ بْنِ عِيسى ، عَنْ عِدَّةٍ مِنْ أَصْحَابِنَا ، قَالَ :</w:t>
      </w:r>
    </w:p>
    <w:p w:rsidR="00E3253D" w:rsidRPr="005D642E" w:rsidRDefault="00E3253D" w:rsidP="00E3253D">
      <w:pPr>
        <w:pStyle w:val="libNormal"/>
        <w:rPr>
          <w:rtl/>
          <w:lang w:bidi="fa-IR"/>
        </w:rPr>
      </w:pPr>
      <w:r w:rsidRPr="005D642E">
        <w:rPr>
          <w:rtl/>
          <w:lang w:bidi="fa-IR"/>
        </w:rPr>
        <w:t xml:space="preserve">لَمَّا قُبِضَ أَبُو جَعْفَرٍ </w:t>
      </w:r>
      <w:r w:rsidRPr="00AC51C5">
        <w:rPr>
          <w:rStyle w:val="libAlaemChar"/>
          <w:rtl/>
        </w:rPr>
        <w:t>عليه‌السلام</w:t>
      </w:r>
      <w:r w:rsidRPr="005D642E">
        <w:rPr>
          <w:rtl/>
          <w:lang w:bidi="fa-IR"/>
        </w:rPr>
        <w:t xml:space="preserve"> أَمَرَ أَبُو عَبْدِ اللهِ </w:t>
      </w:r>
      <w:r w:rsidRPr="00AC51C5">
        <w:rPr>
          <w:rStyle w:val="libAlaemChar"/>
          <w:rtl/>
        </w:rPr>
        <w:t>عليه‌السلام</w:t>
      </w:r>
      <w:r w:rsidRPr="005D642E">
        <w:rPr>
          <w:rtl/>
          <w:lang w:bidi="fa-IR"/>
        </w:rPr>
        <w:t xml:space="preserve"> بِالسِّرَاجِ فِي الْبَيْتِ الَّذِي كَانَ يَسْكُنُهُ </w:t>
      </w:r>
      <w:r w:rsidRPr="007C12DB">
        <w:rPr>
          <w:rStyle w:val="libFootnotenumChar"/>
          <w:rtl/>
        </w:rPr>
        <w:t>(9)</w:t>
      </w:r>
      <w:r w:rsidRPr="005D642E">
        <w:rPr>
          <w:rtl/>
          <w:lang w:bidi="fa-IR"/>
        </w:rPr>
        <w:t xml:space="preserve"> حَتّى قُبِضَ أَبُو عَبْدِ اللهِ </w:t>
      </w:r>
      <w:r w:rsidRPr="00AC51C5">
        <w:rPr>
          <w:rStyle w:val="libAlaemChar"/>
          <w:rtl/>
        </w:rPr>
        <w:t>عليه‌السلام</w:t>
      </w:r>
      <w:r w:rsidRPr="005D642E">
        <w:rPr>
          <w:rtl/>
          <w:lang w:bidi="fa-IR"/>
        </w:rPr>
        <w:t xml:space="preserve"> ، ثُمَّ أَمَرَ أَبُو الْحَسَنِ </w:t>
      </w:r>
      <w:r w:rsidRPr="007C12DB">
        <w:rPr>
          <w:rStyle w:val="libFootnotenumChar"/>
          <w:rtl/>
        </w:rPr>
        <w:t>(10)</w:t>
      </w:r>
      <w:r w:rsidRPr="005D642E">
        <w:rPr>
          <w:rtl/>
          <w:lang w:bidi="fa-IR"/>
        </w:rPr>
        <w:t xml:space="preserve"> </w:t>
      </w:r>
      <w:r w:rsidRPr="00AC51C5">
        <w:rPr>
          <w:rStyle w:val="libAlaemChar"/>
          <w:rtl/>
        </w:rPr>
        <w:t>عليه‌السلام</w:t>
      </w:r>
      <w:r w:rsidRPr="005D642E">
        <w:rPr>
          <w:rtl/>
          <w:lang w:bidi="fa-IR"/>
        </w:rPr>
        <w:t xml:space="preserve"> بِمِثْلِ ذلِكَ فِي بَيْتِ أَبِي عَبْدِ اللهِ </w:t>
      </w:r>
      <w:r w:rsidRPr="00AC51C5">
        <w:rPr>
          <w:rStyle w:val="libAlaemChar"/>
          <w:rtl/>
        </w:rPr>
        <w:t>عليه‌السلام</w:t>
      </w:r>
      <w:r w:rsidRPr="005D642E">
        <w:rPr>
          <w:rtl/>
          <w:lang w:bidi="fa-IR"/>
        </w:rPr>
        <w:t xml:space="preserve"> حَتّى خَرَجَ </w:t>
      </w:r>
      <w:r w:rsidRPr="007C12DB">
        <w:rPr>
          <w:rStyle w:val="libFootnotenumChar"/>
          <w:rtl/>
        </w:rPr>
        <w:t>(11)</w:t>
      </w:r>
      <w:r w:rsidRPr="005D642E">
        <w:rPr>
          <w:rtl/>
          <w:lang w:bidi="fa-IR"/>
        </w:rPr>
        <w:t xml:space="preserve"> بِهِ إِلَى الْعِرَاقِ ، ثُمَّ لَا</w:t>
      </w:r>
      <w:r>
        <w:rPr>
          <w:rFonts w:hint="cs"/>
          <w:rtl/>
          <w:lang w:bidi="fa-IR"/>
        </w:rPr>
        <w:t xml:space="preserve"> </w:t>
      </w:r>
      <w:r w:rsidRPr="005D642E">
        <w:rPr>
          <w:rtl/>
          <w:lang w:bidi="fa-IR"/>
        </w:rPr>
        <w:t xml:space="preserve">أَدْرِي مَا كَانَ. </w:t>
      </w:r>
      <w:r w:rsidRPr="007C12DB">
        <w:rPr>
          <w:rStyle w:val="libFootnotenumChar"/>
          <w:rtl/>
        </w:rPr>
        <w:t>(12)</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0472A4" w:rsidP="00E3253D">
      <w:pPr>
        <w:pStyle w:val="libFootnote0"/>
        <w:rPr>
          <w:rtl/>
          <w:lang w:bidi="fa-IR"/>
        </w:rPr>
      </w:pPr>
      <w:r>
        <w:rPr>
          <w:rFonts w:hint="cs"/>
          <w:rtl/>
        </w:rPr>
        <w:t xml:space="preserve">= </w:t>
      </w:r>
      <w:r w:rsidR="00E3253D" w:rsidRPr="005D642E">
        <w:rPr>
          <w:rtl/>
        </w:rPr>
        <w:t xml:space="preserve">الموقف يوم القيامة ، أو ما يُشرف عليه من أمر الآخرة </w:t>
      </w:r>
      <w:r>
        <w:rPr>
          <w:rtl/>
        </w:rPr>
        <w:t>وأهوالها عقيب الموت فشبّهه بالم</w:t>
      </w:r>
      <w:r>
        <w:rPr>
          <w:rFonts w:hint="cs"/>
          <w:rtl/>
        </w:rPr>
        <w:t>ـُ</w:t>
      </w:r>
      <w:r w:rsidR="00E3253D" w:rsidRPr="005D642E">
        <w:rPr>
          <w:rtl/>
        </w:rPr>
        <w:t xml:space="preserve">طَّلَعَ الذي يُشرَف عليه من موضع عال. راجع : </w:t>
      </w:r>
      <w:r w:rsidR="00E3253D" w:rsidRPr="002F4D34">
        <w:rPr>
          <w:rStyle w:val="libFootnoteBoldChar"/>
          <w:rtl/>
        </w:rPr>
        <w:t>النهاية</w:t>
      </w:r>
      <w:r w:rsidR="00E3253D" w:rsidRPr="005D642E">
        <w:rPr>
          <w:rtl/>
        </w:rPr>
        <w:t xml:space="preserve"> ، ج 3 ، ص 132</w:t>
      </w:r>
      <w:r w:rsidR="00E3253D">
        <w:rPr>
          <w:rtl/>
        </w:rPr>
        <w:t xml:space="preserve"> </w:t>
      </w:r>
      <w:r w:rsidR="007642BC">
        <w:rPr>
          <w:rtl/>
        </w:rPr>
        <w:t>-</w:t>
      </w:r>
      <w:r w:rsidR="00E3253D">
        <w:rPr>
          <w:rtl/>
        </w:rPr>
        <w:t xml:space="preserve"> </w:t>
      </w:r>
      <w:r w:rsidR="00E3253D" w:rsidRPr="005D642E">
        <w:rPr>
          <w:rtl/>
        </w:rPr>
        <w:t xml:space="preserve">133 ؛ </w:t>
      </w:r>
      <w:r w:rsidR="00E3253D" w:rsidRPr="002F4D34">
        <w:rPr>
          <w:rStyle w:val="libFootnoteBoldChar"/>
          <w:rtl/>
        </w:rPr>
        <w:t>القاموس المحيط</w:t>
      </w:r>
      <w:r w:rsidR="00E3253D" w:rsidRPr="005D642E">
        <w:rPr>
          <w:rtl/>
        </w:rPr>
        <w:t xml:space="preserve"> ، ج 2 ، ص 998 ( طلع ) ؛ </w:t>
      </w:r>
      <w:r w:rsidR="00E3253D" w:rsidRPr="000472A4">
        <w:rPr>
          <w:rtl/>
        </w:rPr>
        <w:t>الوافي</w:t>
      </w:r>
      <w:r w:rsidR="00E3253D" w:rsidRPr="005D642E">
        <w:rPr>
          <w:rtl/>
        </w:rPr>
        <w:t xml:space="preserve"> ، ج 25 ، ص 575.</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بخ ، بس ، جس » وحاشية « بح ، جح » </w:t>
      </w:r>
      <w:r w:rsidR="000D749A" w:rsidRPr="000472A4">
        <w:rPr>
          <w:rtl/>
        </w:rPr>
        <w:t>والوافي</w:t>
      </w:r>
      <w:r w:rsidR="00E3253D" w:rsidRPr="005D642E">
        <w:rPr>
          <w:rtl/>
        </w:rPr>
        <w:t xml:space="preserve"> : « الحذر</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 « من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لك عن الحزن</w:t>
      </w:r>
      <w:r w:rsidR="00E3253D">
        <w:rPr>
          <w:rtl/>
        </w:rPr>
        <w:t xml:space="preserve"> ».</w:t>
      </w:r>
      <w:r w:rsidR="00E3253D" w:rsidRPr="005D642E">
        <w:rPr>
          <w:rtl/>
        </w:rPr>
        <w:t xml:space="preserve"> وفي « بس » وحاشية « بح ، جح » </w:t>
      </w:r>
      <w:r w:rsidR="000D749A" w:rsidRPr="000472A4">
        <w:rPr>
          <w:rtl/>
        </w:rPr>
        <w:t>والوافي</w:t>
      </w:r>
      <w:r w:rsidR="00E3253D" w:rsidRPr="005D642E">
        <w:rPr>
          <w:rtl/>
        </w:rPr>
        <w:t xml:space="preserve"> : « الحذر</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بث » : « بل » بدل « ولكن</w:t>
      </w:r>
      <w:r w:rsidR="00E3253D">
        <w:rPr>
          <w:rtl/>
        </w:rPr>
        <w:t xml:space="preserve"> ».</w:t>
      </w:r>
    </w:p>
    <w:p w:rsidR="00E3253D" w:rsidRPr="005D642E" w:rsidRDefault="0042621E" w:rsidP="000472A4">
      <w:pPr>
        <w:pStyle w:val="libFootnote0"/>
        <w:rPr>
          <w:rtl/>
          <w:lang w:bidi="fa-IR"/>
        </w:rPr>
      </w:pPr>
      <w:r w:rsidRPr="0042621E">
        <w:rPr>
          <w:rStyle w:val="libFootnote0Char"/>
          <w:rtl/>
        </w:rPr>
        <w:t>(5).</w:t>
      </w:r>
      <w:r w:rsidR="00E3253D" w:rsidRPr="005D642E">
        <w:rPr>
          <w:rtl/>
        </w:rPr>
        <w:t xml:space="preserve"> « لك » ، أي في أمر الآخرة وممّايصيبك من أهوال الآخرة ، </w:t>
      </w:r>
      <w:r w:rsidR="00E3253D">
        <w:rPr>
          <w:rtl/>
        </w:rPr>
        <w:t>و «</w:t>
      </w:r>
      <w:r w:rsidR="00E3253D" w:rsidRPr="005D642E">
        <w:rPr>
          <w:rtl/>
        </w:rPr>
        <w:t xml:space="preserve"> عليك » ، أي على مفارقتك وممّا أصابني من م</w:t>
      </w:r>
      <w:r w:rsidR="000472A4">
        <w:rPr>
          <w:rtl/>
        </w:rPr>
        <w:t>وتك. هذا في الأوّلين. قال العل</w:t>
      </w:r>
      <w:r w:rsidR="000472A4">
        <w:rPr>
          <w:rFonts w:hint="cs"/>
          <w:rtl/>
        </w:rPr>
        <w:t>ّ</w:t>
      </w:r>
      <w:r w:rsidR="000472A4">
        <w:rPr>
          <w:rtl/>
        </w:rPr>
        <w:t>ا</w:t>
      </w:r>
      <w:r w:rsidR="00E3253D" w:rsidRPr="005D642E">
        <w:rPr>
          <w:rtl/>
        </w:rPr>
        <w:t>مة الفيض : « وكذا القول في البكاء له وعليه</w:t>
      </w:r>
      <w:r w:rsidR="00E3253D">
        <w:rPr>
          <w:rtl/>
        </w:rPr>
        <w:t xml:space="preserve"> ».</w:t>
      </w:r>
      <w:r w:rsidR="000472A4">
        <w:rPr>
          <w:rtl/>
        </w:rPr>
        <w:t xml:space="preserve"> وأمّا العل</w:t>
      </w:r>
      <w:r w:rsidR="000472A4">
        <w:rPr>
          <w:rFonts w:hint="cs"/>
          <w:rtl/>
        </w:rPr>
        <w:t>ّ</w:t>
      </w:r>
      <w:r w:rsidR="000472A4">
        <w:rPr>
          <w:rtl/>
        </w:rPr>
        <w:t>ا</w:t>
      </w:r>
      <w:r w:rsidR="00E3253D" w:rsidRPr="005D642E">
        <w:rPr>
          <w:rtl/>
        </w:rPr>
        <w:t>مة</w:t>
      </w:r>
      <w:r w:rsidR="000472A4">
        <w:rPr>
          <w:rFonts w:hint="cs"/>
          <w:rtl/>
        </w:rPr>
        <w:t xml:space="preserve"> </w:t>
      </w:r>
      <w:r w:rsidR="00E3253D" w:rsidRPr="005D642E">
        <w:rPr>
          <w:rtl/>
        </w:rPr>
        <w:t>المجلسي فإنّه قال : « والله ما بكيت لك ، أي لفراقك ، ولكن بكيت عليك ، أي للإشفاق عليك ، أو على ضعفك وعجزك عن الأهوال التي أمامك</w:t>
      </w:r>
      <w:r w:rsidR="00E3253D">
        <w:rPr>
          <w:rtl/>
        </w:rPr>
        <w:t xml:space="preserve"> ».</w:t>
      </w:r>
      <w:r w:rsidR="000472A4">
        <w:rPr>
          <w:rFonts w:hint="cs"/>
          <w:rtl/>
        </w:rPr>
        <w:t xml:space="preserve">                                          </w:t>
      </w:r>
      <w:r w:rsidRPr="0042621E">
        <w:rPr>
          <w:rStyle w:val="libFootnote0Char"/>
          <w:rtl/>
        </w:rPr>
        <w:t>(6).</w:t>
      </w:r>
      <w:r w:rsidR="00E3253D" w:rsidRPr="005D642E">
        <w:rPr>
          <w:rtl/>
        </w:rPr>
        <w:t xml:space="preserve"> في « بث » : « وأنت</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 والكرم</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الفقيه</w:t>
      </w:r>
      <w:r w:rsidR="00E3253D" w:rsidRPr="005D642E">
        <w:rPr>
          <w:rtl/>
        </w:rPr>
        <w:t xml:space="preserve"> ، ج 1 ، ص 185 ، ح 558 ، من دون الإسناد إلى المعصوم </w:t>
      </w:r>
      <w:r w:rsidR="00E3253D" w:rsidRPr="000472A4">
        <w:rPr>
          <w:rStyle w:val="libFootnoteAlaemChar"/>
          <w:rtl/>
        </w:rPr>
        <w:t>عليه‌السلام</w:t>
      </w:r>
      <w:r w:rsidR="00E3253D" w:rsidRPr="005D642E">
        <w:rPr>
          <w:rtl/>
        </w:rPr>
        <w:t xml:space="preserve"> ، مع اختلاف يسير. راجع : </w:t>
      </w:r>
      <w:r w:rsidR="00E3253D" w:rsidRPr="002F4D34">
        <w:rPr>
          <w:rStyle w:val="libFootnoteBoldChar"/>
          <w:rtl/>
        </w:rPr>
        <w:t>الغيبة</w:t>
      </w:r>
      <w:r w:rsidR="00E3253D" w:rsidRPr="005D642E">
        <w:rPr>
          <w:rtl/>
        </w:rPr>
        <w:t xml:space="preserve"> للنعماني ، ص 327 ، الباب 24 ، ح 7 </w:t>
      </w:r>
      <w:r w:rsidR="000472A4">
        <w:rPr>
          <w:rFonts w:hint="cs"/>
          <w:rtl/>
        </w:rPr>
        <w:t>.</w:t>
      </w:r>
      <w:r w:rsidR="00E3253D" w:rsidRPr="002F4D34">
        <w:rPr>
          <w:rStyle w:val="libFootnoteBoldChar"/>
          <w:rtl/>
        </w:rPr>
        <w:t>الوافي</w:t>
      </w:r>
      <w:r w:rsidR="00E3253D" w:rsidRPr="005D642E">
        <w:rPr>
          <w:rtl/>
        </w:rPr>
        <w:t xml:space="preserve"> ، ج 25 ، ص 574 ، ح 24700 ؛ </w:t>
      </w:r>
      <w:r w:rsidR="00E3253D" w:rsidRPr="002F4D34">
        <w:rPr>
          <w:rStyle w:val="libFootnoteBoldChar"/>
          <w:rtl/>
        </w:rPr>
        <w:t>البحار</w:t>
      </w:r>
      <w:r w:rsidR="00E3253D" w:rsidRPr="005D642E">
        <w:rPr>
          <w:rtl/>
        </w:rPr>
        <w:t xml:space="preserve"> ، ج 22 ، ص 435 ، ح 50.</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حاشية « جح » : « يسكن</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الفقية : + « موسى بن جعفر</w:t>
      </w:r>
      <w:r w:rsidR="00E3253D">
        <w:rPr>
          <w:rtl/>
        </w:rPr>
        <w:t xml:space="preserve"> ».</w:t>
      </w:r>
      <w:r w:rsidR="00E3253D" w:rsidRPr="005D642E">
        <w:rPr>
          <w:rtl/>
        </w:rPr>
        <w:t xml:space="preserve"> وفي التهذيب : + « موسى</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بح ، جح » والوسائل </w:t>
      </w:r>
      <w:r w:rsidR="009E68BB" w:rsidRPr="000472A4">
        <w:rPr>
          <w:rtl/>
        </w:rPr>
        <w:t>وتحف العقول</w:t>
      </w:r>
      <w:r w:rsidR="00E3253D" w:rsidRPr="000472A4">
        <w:rPr>
          <w:rtl/>
        </w:rPr>
        <w:t xml:space="preserve"> </w:t>
      </w:r>
      <w:r w:rsidR="00B60612" w:rsidRPr="000472A4">
        <w:rPr>
          <w:rtl/>
        </w:rPr>
        <w:t>والتهذيب</w:t>
      </w:r>
      <w:r w:rsidR="00E3253D" w:rsidRPr="005D642E">
        <w:rPr>
          <w:rtl/>
        </w:rPr>
        <w:t xml:space="preserve"> : « ا</w:t>
      </w:r>
      <w:r w:rsidR="000472A4">
        <w:rPr>
          <w:rFonts w:hint="cs"/>
          <w:rtl/>
        </w:rPr>
        <w:t>ُ</w:t>
      </w:r>
      <w:r w:rsidR="00E3253D" w:rsidRPr="005D642E">
        <w:rPr>
          <w:rtl/>
        </w:rPr>
        <w:t>خرِجَ</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w:t>
      </w:r>
      <w:r w:rsidR="00E3253D" w:rsidRPr="002F4D34">
        <w:rPr>
          <w:rStyle w:val="libFootnoteBoldChar"/>
          <w:rtl/>
        </w:rPr>
        <w:t>التهذيب</w:t>
      </w:r>
      <w:r w:rsidR="00E3253D" w:rsidRPr="005D642E">
        <w:rPr>
          <w:rtl/>
        </w:rPr>
        <w:t xml:space="preserve"> ، ج 1 ، ص 289 ، ح 843 ، بسنده عن الكليني. </w:t>
      </w:r>
      <w:r w:rsidR="00E3253D" w:rsidRPr="002F4D34">
        <w:rPr>
          <w:rStyle w:val="libFootnoteBoldChar"/>
          <w:rtl/>
        </w:rPr>
        <w:t>الفقيه</w:t>
      </w:r>
      <w:r w:rsidR="00E3253D" w:rsidRPr="005D642E">
        <w:rPr>
          <w:rtl/>
        </w:rPr>
        <w:t xml:space="preserve"> ، ج 1 ، ص 160 ، ح 447 ، مرسلاً ، مع </w:t>
      </w:r>
      <w:r w:rsidR="000472A4">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E7648F">
        <w:rPr>
          <w:rtl/>
        </w:rPr>
        <w:t>4745</w:t>
      </w:r>
      <w:r w:rsidRPr="00246318">
        <w:rPr>
          <w:rStyle w:val="libBold2Char"/>
          <w:rtl/>
        </w:rPr>
        <w:t xml:space="preserve"> / 6.</w:t>
      </w:r>
      <w:r w:rsidRPr="005D642E">
        <w:rPr>
          <w:rtl/>
          <w:lang w:bidi="fa-IR"/>
        </w:rPr>
        <w:t xml:space="preserve"> عَلِيُّ بْنُ إِبْرَاهِيمَ ، عَنْ أَبِيهِ ، عَنِ ابْنِ أَبِي عُمَيْرٍ ، عَنْ حَمَّادٍ ، عَنِ الْحَلَبِيِّ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سَأَلْتُهُ عَنْ أَوَّلِ مَنْ جُعِلَ لَهُ النَّعْشُ </w:t>
      </w:r>
      <w:r w:rsidRPr="007C12DB">
        <w:rPr>
          <w:rStyle w:val="libFootnotenumChar"/>
          <w:rtl/>
        </w:rPr>
        <w:t>(1)</w:t>
      </w:r>
      <w:r>
        <w:rPr>
          <w:rtl/>
          <w:lang w:bidi="fa-IR"/>
        </w:rPr>
        <w:t>؟</w:t>
      </w:r>
      <w:r w:rsidRPr="005D642E">
        <w:rPr>
          <w:rtl/>
          <w:lang w:bidi="fa-IR"/>
        </w:rPr>
        <w:t xml:space="preserve"> فَقَالَ :</w:t>
      </w:r>
      <w:r>
        <w:rPr>
          <w:rFonts w:hint="cs"/>
          <w:rtl/>
          <w:lang w:bidi="fa-IR"/>
        </w:rPr>
        <w:t xml:space="preserve"> </w:t>
      </w:r>
      <w:r w:rsidRPr="005D642E">
        <w:rPr>
          <w:rtl/>
          <w:lang w:bidi="fa-IR"/>
        </w:rPr>
        <w:t xml:space="preserve">« فَاطِمَةُ </w:t>
      </w:r>
      <w:r w:rsidRPr="007C12DB">
        <w:rPr>
          <w:rStyle w:val="libFootnotenumChar"/>
          <w:rtl/>
        </w:rPr>
        <w:t>(2)</w:t>
      </w:r>
      <w:r w:rsidRPr="005D642E">
        <w:rPr>
          <w:rtl/>
          <w:lang w:bidi="fa-IR"/>
        </w:rPr>
        <w:t xml:space="preserve"> </w:t>
      </w:r>
      <w:r w:rsidRPr="00AC51C5">
        <w:rPr>
          <w:rStyle w:val="libAlaemChar"/>
          <w:rtl/>
        </w:rPr>
        <w:t>عليها‌السلام</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E7648F">
        <w:rPr>
          <w:rtl/>
        </w:rPr>
        <w:t>4746</w:t>
      </w:r>
      <w:r w:rsidRPr="00246318">
        <w:rPr>
          <w:rStyle w:val="libBold2Char"/>
          <w:rtl/>
        </w:rPr>
        <w:t xml:space="preserve"> / 7.</w:t>
      </w:r>
      <w:r w:rsidRPr="005D642E">
        <w:rPr>
          <w:rtl/>
          <w:lang w:bidi="fa-IR"/>
        </w:rPr>
        <w:t xml:space="preserve"> مُحَمَّدُ بْنُ يَحْيى ، عَنْ مُحَمَّدِ بْنِ أَحْمَدَ ، عَنْ أَحْمَدَ بْنِ الْحَسَنِ ، عَنْ عَمْرِو بْنِ سَعِيدٍ ، عَنْ مُصَدِّقِ بْنِ صَدَقَةَ ، عَنْ عَمَّارِ بْنِ مُوسى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سُئِلَ عَنِ الْمَيِّتِ : يَبْلى </w:t>
      </w:r>
      <w:r w:rsidRPr="007C12DB">
        <w:rPr>
          <w:rStyle w:val="libFootnotenumChar"/>
          <w:rtl/>
        </w:rPr>
        <w:t>(4)</w:t>
      </w:r>
      <w:r w:rsidRPr="005D642E">
        <w:rPr>
          <w:rtl/>
          <w:lang w:bidi="fa-IR"/>
        </w:rPr>
        <w:t xml:space="preserve"> جَسَدُهُ</w:t>
      </w:r>
      <w:r>
        <w:rPr>
          <w:rtl/>
          <w:lang w:bidi="fa-IR"/>
        </w:rPr>
        <w:t>؟</w:t>
      </w:r>
    </w:p>
    <w:p w:rsidR="00E3253D" w:rsidRPr="005D642E" w:rsidRDefault="00E3253D" w:rsidP="00E3253D">
      <w:pPr>
        <w:pStyle w:val="libNormal"/>
        <w:rPr>
          <w:rtl/>
          <w:lang w:bidi="fa-IR"/>
        </w:rPr>
      </w:pPr>
      <w:r w:rsidRPr="005D642E">
        <w:rPr>
          <w:rtl/>
          <w:lang w:bidi="fa-IR"/>
        </w:rPr>
        <w:t xml:space="preserve">قَالَ : « نَعَمْ ، حَتى لَايَبْقى لَهُ </w:t>
      </w:r>
      <w:r w:rsidRPr="007C12DB">
        <w:rPr>
          <w:rStyle w:val="libFootnotenumChar"/>
          <w:rtl/>
        </w:rPr>
        <w:t>(5)</w:t>
      </w:r>
      <w:r w:rsidR="000472A4">
        <w:rPr>
          <w:rtl/>
          <w:lang w:bidi="fa-IR"/>
        </w:rPr>
        <w:t xml:space="preserve"> لَحْمٌ وَلَاعَظْمٌ إِل</w:t>
      </w:r>
      <w:r w:rsidR="000472A4">
        <w:rPr>
          <w:rFonts w:hint="cs"/>
          <w:rtl/>
          <w:lang w:bidi="fa-IR"/>
        </w:rPr>
        <w:t>َّ</w:t>
      </w:r>
      <w:r w:rsidR="000472A4">
        <w:rPr>
          <w:rtl/>
          <w:lang w:bidi="fa-IR"/>
        </w:rPr>
        <w:t>ا</w:t>
      </w:r>
      <w:r w:rsidRPr="005D642E">
        <w:rPr>
          <w:rtl/>
          <w:lang w:bidi="fa-IR"/>
        </w:rPr>
        <w:t xml:space="preserve"> طِينَتُهُ </w:t>
      </w:r>
      <w:r w:rsidRPr="007C12DB">
        <w:rPr>
          <w:rStyle w:val="libFootnotenumChar"/>
          <w:rtl/>
        </w:rPr>
        <w:t>(6)</w:t>
      </w:r>
      <w:r w:rsidRPr="005D642E">
        <w:rPr>
          <w:rtl/>
          <w:lang w:bidi="fa-IR"/>
        </w:rPr>
        <w:t xml:space="preserve"> الَّتِي خُلِقَ مِنْهَا ؛ فَإِنَّهَا لَا تُبْلى ، تَبْقى </w:t>
      </w:r>
      <w:r w:rsidRPr="007C12DB">
        <w:rPr>
          <w:rStyle w:val="libFootnotenumChar"/>
          <w:rtl/>
        </w:rPr>
        <w:t>(7)</w:t>
      </w:r>
      <w:r w:rsidRPr="005D642E">
        <w:rPr>
          <w:rtl/>
          <w:lang w:bidi="fa-IR"/>
        </w:rPr>
        <w:t xml:space="preserve"> فِي الْقَبْرِ مُسْتَدِيرَةً حَتّى يُخْلَقَ </w:t>
      </w:r>
      <w:r w:rsidRPr="007C12DB">
        <w:rPr>
          <w:rStyle w:val="libFootnotenumChar"/>
          <w:rtl/>
        </w:rPr>
        <w:t>(8)</w:t>
      </w:r>
      <w:r w:rsidRPr="005D642E">
        <w:rPr>
          <w:rtl/>
          <w:lang w:bidi="fa-IR"/>
        </w:rPr>
        <w:t xml:space="preserve"> مِنْهَا كَمَا خُلِقَ أَوَّلَ مَرَّةٍ</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0472A4" w:rsidRDefault="00E3253D" w:rsidP="000472A4">
      <w:pPr>
        <w:pStyle w:val="libNormal"/>
        <w:rPr>
          <w:rtl/>
          <w:lang w:bidi="fa-IR"/>
        </w:rPr>
      </w:pPr>
      <w:r w:rsidRPr="00E7648F">
        <w:rPr>
          <w:rtl/>
        </w:rPr>
        <w:t>4747</w:t>
      </w:r>
      <w:r w:rsidRPr="00246318">
        <w:rPr>
          <w:rStyle w:val="libBold2Char"/>
          <w:rtl/>
        </w:rPr>
        <w:t xml:space="preserve"> / 8.</w:t>
      </w:r>
      <w:r w:rsidRPr="005D642E">
        <w:rPr>
          <w:rtl/>
          <w:lang w:bidi="fa-IR"/>
        </w:rPr>
        <w:t xml:space="preserve"> عَلِيُّ بْنُ إِبْرَاهِيمَ ، عَنْ أَبِيهِ ؛</w:t>
      </w:r>
    </w:p>
    <w:p w:rsidR="00E3253D" w:rsidRPr="005D642E" w:rsidRDefault="000472A4" w:rsidP="000472A4">
      <w:pPr>
        <w:pStyle w:val="libNormal"/>
        <w:rPr>
          <w:rtl/>
          <w:lang w:bidi="fa-IR"/>
        </w:rPr>
      </w:pPr>
      <w:r>
        <w:rPr>
          <w:rFonts w:hint="cs"/>
          <w:rtl/>
          <w:lang w:bidi="fa-IR"/>
        </w:rPr>
        <w:t xml:space="preserve">              </w:t>
      </w:r>
      <w:r w:rsidR="00E3253D" w:rsidRPr="005D642E">
        <w:rPr>
          <w:rtl/>
          <w:lang w:bidi="fa-IR"/>
        </w:rPr>
        <w:t>وَ</w:t>
      </w:r>
      <w:r w:rsidR="00E3253D">
        <w:rPr>
          <w:rFonts w:hint="cs"/>
          <w:rtl/>
          <w:lang w:bidi="fa-IR"/>
        </w:rPr>
        <w:t xml:space="preserve"> </w:t>
      </w:r>
      <w:r w:rsidR="00E3253D" w:rsidRPr="007C12DB">
        <w:rPr>
          <w:rStyle w:val="libFootnotenumChar"/>
          <w:rtl/>
        </w:rPr>
        <w:t>(10)</w:t>
      </w:r>
      <w:r w:rsidR="00E3253D" w:rsidRPr="005D642E">
        <w:rPr>
          <w:rtl/>
          <w:lang w:bidi="fa-IR"/>
        </w:rPr>
        <w:t xml:space="preserve"> أَحْمَدُ بْنُ مُحَمَّدٍ الْكُوفِيُّ ، عَنْ بَعْضِ أَصْحَابِهِ ، عَنْ صَفْوَانَ بْنِ يَحْيى ،</w:t>
      </w:r>
    </w:p>
    <w:p w:rsidR="00E3253D" w:rsidRPr="005D642E" w:rsidRDefault="00E3253D" w:rsidP="00E3253D">
      <w:pPr>
        <w:pStyle w:val="libLine"/>
        <w:rPr>
          <w:rtl/>
          <w:lang w:bidi="fa-IR"/>
        </w:rPr>
      </w:pPr>
      <w:r w:rsidRPr="005D642E">
        <w:rPr>
          <w:rtl/>
          <w:lang w:bidi="fa-IR"/>
        </w:rPr>
        <w:t>__________________</w:t>
      </w:r>
    </w:p>
    <w:p w:rsidR="00E3253D" w:rsidRPr="005D642E" w:rsidRDefault="000472A4" w:rsidP="00E3253D">
      <w:pPr>
        <w:pStyle w:val="libFootnote0"/>
        <w:rPr>
          <w:rtl/>
          <w:lang w:bidi="fa-IR"/>
        </w:rPr>
      </w:pPr>
      <w:r>
        <w:rPr>
          <w:rFonts w:hint="cs"/>
          <w:rtl/>
        </w:rPr>
        <w:t xml:space="preserve">= </w:t>
      </w:r>
      <w:r w:rsidR="00E3253D" w:rsidRPr="005D642E">
        <w:rPr>
          <w:rtl/>
        </w:rPr>
        <w:t xml:space="preserve">اختلاف يسير </w:t>
      </w:r>
      <w:r>
        <w:rPr>
          <w:rFonts w:hint="cs"/>
          <w:rtl/>
        </w:rPr>
        <w:t>.</w:t>
      </w:r>
      <w:r w:rsidR="00E3253D" w:rsidRPr="002F4D34">
        <w:rPr>
          <w:rStyle w:val="libFootnoteBoldChar"/>
          <w:rtl/>
        </w:rPr>
        <w:t>الوافي</w:t>
      </w:r>
      <w:r w:rsidR="00E3253D" w:rsidRPr="005D642E">
        <w:rPr>
          <w:rtl/>
        </w:rPr>
        <w:t xml:space="preserve"> ، ج 25 ، ص 589 ، ح 24733 ؛ </w:t>
      </w:r>
      <w:r w:rsidR="00E3253D" w:rsidRPr="002F4D34">
        <w:rPr>
          <w:rStyle w:val="libFootnoteBoldChar"/>
          <w:rtl/>
        </w:rPr>
        <w:t>الوسائل</w:t>
      </w:r>
      <w:r w:rsidR="00E3253D" w:rsidRPr="005D642E">
        <w:rPr>
          <w:rtl/>
        </w:rPr>
        <w:t xml:space="preserve"> ، ج 2 ، ص 469 ، ح 2668 ؛ </w:t>
      </w:r>
      <w:r w:rsidR="00E3253D" w:rsidRPr="002F4D34">
        <w:rPr>
          <w:rStyle w:val="libFootnoteBoldChar"/>
          <w:rtl/>
        </w:rPr>
        <w:t>البحار</w:t>
      </w:r>
      <w:r w:rsidR="00E3253D" w:rsidRPr="005D642E">
        <w:rPr>
          <w:rtl/>
        </w:rPr>
        <w:t xml:space="preserve"> ، ج 47 ، ص 7 ، ح 22 ؛ وج 100 ، ص 132 ، ح 18.</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النَعْش » : سرير الميّت ، سمّي به لارتفاعه ، من قولهم : نعشه الله نعْشاً ، أي رفعه. وإذا لم يكن عليه ميّت‌</w:t>
      </w:r>
      <w:r w:rsidR="000472A4">
        <w:rPr>
          <w:rFonts w:hint="cs"/>
          <w:rtl/>
        </w:rPr>
        <w:t xml:space="preserve"> </w:t>
      </w:r>
      <w:r w:rsidR="00E3253D" w:rsidRPr="005D642E">
        <w:rPr>
          <w:rtl/>
        </w:rPr>
        <w:t xml:space="preserve">محمول فهو سرير. راجع : </w:t>
      </w:r>
      <w:r w:rsidR="00E3253D" w:rsidRPr="002F4D34">
        <w:rPr>
          <w:rStyle w:val="libFootnoteBoldChar"/>
          <w:rtl/>
        </w:rPr>
        <w:t>النهاية</w:t>
      </w:r>
      <w:r w:rsidR="00E3253D" w:rsidRPr="005D642E">
        <w:rPr>
          <w:rtl/>
        </w:rPr>
        <w:t xml:space="preserve"> ، ج 5 ، ص 81 ( نعش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حاشية « بث » : « لفاطمة</w:t>
      </w:r>
      <w:r w:rsidR="00E3253D">
        <w:rPr>
          <w:rtl/>
        </w:rPr>
        <w:t xml:space="preserve"> ».</w:t>
      </w:r>
      <w:r w:rsidR="00E3253D" w:rsidRPr="005D642E">
        <w:rPr>
          <w:rtl/>
        </w:rPr>
        <w:t xml:space="preserve"> وفي التهذيب : + « بنت رسول الله </w:t>
      </w:r>
      <w:r w:rsidRPr="000472A4">
        <w:rPr>
          <w:rStyle w:val="libFootnoteAlaemChar"/>
          <w:rtl/>
        </w:rPr>
        <w:t>صلى‌الله‌عليه‌وآله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1 ، ص 469 ، ح 1539 وصدر ح 1540 ، بسند آخر. </w:t>
      </w:r>
      <w:r w:rsidR="00E3253D" w:rsidRPr="002F4D34">
        <w:rPr>
          <w:rStyle w:val="libFootnoteBoldChar"/>
          <w:rtl/>
        </w:rPr>
        <w:t>الجعفريّات</w:t>
      </w:r>
      <w:r w:rsidR="00E3253D" w:rsidRPr="005D642E">
        <w:rPr>
          <w:rtl/>
        </w:rPr>
        <w:t xml:space="preserve"> ، ص 205 ، ذيل الحديث ، بسند آخر عن جعفر بن محمّد ، عن آبائه ، عن عليّ بن أبي طالب </w:t>
      </w:r>
      <w:r w:rsidR="00E3253D" w:rsidRPr="000472A4">
        <w:rPr>
          <w:rStyle w:val="libFootnoteAlaemChar"/>
          <w:rtl/>
        </w:rPr>
        <w:t>عليهم‌السلام</w:t>
      </w:r>
      <w:r w:rsidR="00E3253D" w:rsidRPr="005D642E">
        <w:rPr>
          <w:rtl/>
        </w:rPr>
        <w:t xml:space="preserve">. </w:t>
      </w:r>
      <w:r w:rsidR="00E3253D" w:rsidRPr="002F4D34">
        <w:rPr>
          <w:rStyle w:val="libFootnoteBoldChar"/>
          <w:rtl/>
        </w:rPr>
        <w:t>الفقيه</w:t>
      </w:r>
      <w:r w:rsidR="00E3253D" w:rsidRPr="005D642E">
        <w:rPr>
          <w:rtl/>
        </w:rPr>
        <w:t xml:space="preserve"> ، ج 1 ، ص 194 ، ح 597 ، مرسلاً ؛ </w:t>
      </w:r>
      <w:r w:rsidR="00E3253D" w:rsidRPr="002F4D34">
        <w:rPr>
          <w:rStyle w:val="libFootnoteBoldChar"/>
          <w:rtl/>
        </w:rPr>
        <w:t>فقه الرضا</w:t>
      </w:r>
      <w:r w:rsidR="00E3253D" w:rsidRPr="005D642E">
        <w:rPr>
          <w:rtl/>
        </w:rPr>
        <w:t xml:space="preserve"> </w:t>
      </w:r>
      <w:r w:rsidR="00E3253D" w:rsidRPr="000472A4">
        <w:rPr>
          <w:rStyle w:val="libFootnoteAlaemChar"/>
          <w:rtl/>
        </w:rPr>
        <w:t>عليه‌السلام</w:t>
      </w:r>
      <w:r w:rsidR="00E3253D" w:rsidRPr="005D642E">
        <w:rPr>
          <w:rtl/>
        </w:rPr>
        <w:t xml:space="preserve"> </w:t>
      </w:r>
      <w:r w:rsidR="000472A4">
        <w:rPr>
          <w:rtl/>
        </w:rPr>
        <w:t>، ص 189 ، وفي كلّ المصادر إل</w:t>
      </w:r>
      <w:r w:rsidR="000472A4">
        <w:rPr>
          <w:rFonts w:hint="cs"/>
          <w:rtl/>
        </w:rPr>
        <w:t>ّ</w:t>
      </w:r>
      <w:r w:rsidR="000472A4">
        <w:rPr>
          <w:rtl/>
        </w:rPr>
        <w:t>ا</w:t>
      </w:r>
      <w:r w:rsidR="00E3253D">
        <w:rPr>
          <w:rFonts w:hint="cs"/>
          <w:rtl/>
        </w:rPr>
        <w:t xml:space="preserve"> </w:t>
      </w:r>
      <w:r w:rsidR="00E3253D" w:rsidRPr="002F4D34">
        <w:rPr>
          <w:rStyle w:val="libFootnoteBoldChar"/>
          <w:rtl/>
        </w:rPr>
        <w:t>التهذيب</w:t>
      </w:r>
      <w:r w:rsidR="00E3253D" w:rsidRPr="005D642E">
        <w:rPr>
          <w:rtl/>
        </w:rPr>
        <w:t xml:space="preserve"> ، ح 1540 مع اختلاف يسير </w:t>
      </w:r>
      <w:r w:rsidR="000472A4">
        <w:rPr>
          <w:rFonts w:hint="cs"/>
          <w:rtl/>
        </w:rPr>
        <w:t>.</w:t>
      </w:r>
      <w:r w:rsidR="00E3253D" w:rsidRPr="002F4D34">
        <w:rPr>
          <w:rStyle w:val="libFootnoteBoldChar"/>
          <w:rtl/>
        </w:rPr>
        <w:t>الوافي</w:t>
      </w:r>
      <w:r w:rsidR="00E3253D" w:rsidRPr="005D642E">
        <w:rPr>
          <w:rtl/>
        </w:rPr>
        <w:t xml:space="preserve"> ، ج 24 ، ص 389 ، ح 24289 ؛ </w:t>
      </w:r>
      <w:r w:rsidR="00E3253D" w:rsidRPr="002F4D34">
        <w:rPr>
          <w:rStyle w:val="libFootnoteBoldChar"/>
          <w:rtl/>
        </w:rPr>
        <w:t>الوسائل</w:t>
      </w:r>
      <w:r w:rsidR="00E3253D" w:rsidRPr="005D642E">
        <w:rPr>
          <w:rtl/>
        </w:rPr>
        <w:t xml:space="preserve"> ، ج 3 ، ص 220 ، ح 3457.</w:t>
      </w:r>
    </w:p>
    <w:tbl>
      <w:tblPr>
        <w:tblStyle w:val="TableGrid"/>
        <w:bidiVisual/>
        <w:tblW w:w="0" w:type="auto"/>
        <w:tblLook w:val="04A0" w:firstRow="1" w:lastRow="0" w:firstColumn="1" w:lastColumn="0" w:noHBand="0" w:noVBand="1"/>
      </w:tblPr>
      <w:tblGrid>
        <w:gridCol w:w="3674"/>
        <w:gridCol w:w="4338"/>
      </w:tblGrid>
      <w:tr w:rsidR="000472A4" w:rsidTr="00E2067B">
        <w:tc>
          <w:tcPr>
            <w:tcW w:w="3674" w:type="dxa"/>
          </w:tcPr>
          <w:p w:rsidR="000472A4" w:rsidRDefault="000472A4" w:rsidP="00E3253D">
            <w:pPr>
              <w:pStyle w:val="libFootnote0"/>
              <w:rPr>
                <w:rStyle w:val="libFootnote0Char"/>
                <w:rtl/>
              </w:rPr>
            </w:pPr>
            <w:r w:rsidRPr="0042621E">
              <w:rPr>
                <w:rStyle w:val="libFootnote0Char"/>
                <w:rtl/>
              </w:rPr>
              <w:t>(4).</w:t>
            </w:r>
            <w:r w:rsidRPr="005D642E">
              <w:rPr>
                <w:rtl/>
              </w:rPr>
              <w:t xml:space="preserve"> في الوافي : « هل يبلى</w:t>
            </w:r>
            <w:r>
              <w:rPr>
                <w:rtl/>
              </w:rPr>
              <w:t xml:space="preserve"> ».</w:t>
            </w:r>
          </w:p>
        </w:tc>
        <w:tc>
          <w:tcPr>
            <w:tcW w:w="4338" w:type="dxa"/>
          </w:tcPr>
          <w:p w:rsidR="000472A4" w:rsidRDefault="000472A4" w:rsidP="00E3253D">
            <w:pPr>
              <w:pStyle w:val="libFootnote0"/>
              <w:rPr>
                <w:rStyle w:val="libFootnote0Char"/>
                <w:rtl/>
              </w:rPr>
            </w:pPr>
            <w:r w:rsidRPr="0042621E">
              <w:rPr>
                <w:rStyle w:val="libFootnote0Char"/>
                <w:rtl/>
              </w:rPr>
              <w:t>(5)</w:t>
            </w:r>
            <w:r w:rsidR="00E2067B">
              <w:rPr>
                <w:rtl/>
              </w:rPr>
              <w:t>في«ى،بث،</w:t>
            </w:r>
            <w:r w:rsidRPr="005D642E">
              <w:rPr>
                <w:rtl/>
              </w:rPr>
              <w:t>ب</w:t>
            </w:r>
            <w:r w:rsidR="00E2067B">
              <w:rPr>
                <w:rtl/>
              </w:rPr>
              <w:t>ح،جح،جس»</w:t>
            </w:r>
            <w:r w:rsidRPr="005D642E">
              <w:rPr>
                <w:rtl/>
              </w:rPr>
              <w:t>والبحا</w:t>
            </w:r>
            <w:r w:rsidR="00E2067B">
              <w:rPr>
                <w:rFonts w:hint="cs"/>
                <w:rtl/>
              </w:rPr>
              <w:t>ر</w:t>
            </w:r>
            <w:r w:rsidRPr="009E68BB">
              <w:rPr>
                <w:rStyle w:val="libFootnoteBoldChar"/>
                <w:rtl/>
              </w:rPr>
              <w:t>وتحف العقول</w:t>
            </w:r>
            <w:r w:rsidRPr="005D642E">
              <w:rPr>
                <w:rtl/>
              </w:rPr>
              <w:t>:</w:t>
            </w:r>
            <w:r>
              <w:rPr>
                <w:rtl/>
              </w:rPr>
              <w:t>-</w:t>
            </w:r>
            <w:r w:rsidR="00E2067B">
              <w:rPr>
                <w:rtl/>
              </w:rPr>
              <w:t>«</w:t>
            </w:r>
            <w:r w:rsidRPr="005D642E">
              <w:rPr>
                <w:rtl/>
              </w:rPr>
              <w:t>له</w:t>
            </w:r>
            <w:r>
              <w:rPr>
                <w:rtl/>
              </w:rPr>
              <w:t>».</w:t>
            </w:r>
          </w:p>
        </w:tc>
      </w:tr>
      <w:tr w:rsidR="000472A4" w:rsidTr="00E2067B">
        <w:tc>
          <w:tcPr>
            <w:tcW w:w="3674" w:type="dxa"/>
          </w:tcPr>
          <w:p w:rsidR="000472A4" w:rsidRDefault="000472A4" w:rsidP="00E3253D">
            <w:pPr>
              <w:pStyle w:val="libFootnote0"/>
              <w:rPr>
                <w:rStyle w:val="libFootnote0Char"/>
                <w:rtl/>
              </w:rPr>
            </w:pPr>
            <w:r w:rsidRPr="0042621E">
              <w:rPr>
                <w:rStyle w:val="libFootnote0Char"/>
                <w:rtl/>
              </w:rPr>
              <w:t>(6).</w:t>
            </w:r>
            <w:r w:rsidRPr="005D642E">
              <w:rPr>
                <w:rtl/>
              </w:rPr>
              <w:t xml:space="preserve"> في « بح » : « طينة</w:t>
            </w:r>
            <w:r>
              <w:rPr>
                <w:rtl/>
              </w:rPr>
              <w:t xml:space="preserve"> ».</w:t>
            </w:r>
          </w:p>
        </w:tc>
        <w:tc>
          <w:tcPr>
            <w:tcW w:w="4338" w:type="dxa"/>
          </w:tcPr>
          <w:p w:rsidR="000472A4" w:rsidRDefault="00E2067B" w:rsidP="00E3253D">
            <w:pPr>
              <w:pStyle w:val="libFootnote0"/>
              <w:rPr>
                <w:rStyle w:val="libFootnote0Char"/>
                <w:rtl/>
              </w:rPr>
            </w:pPr>
            <w:r w:rsidRPr="0042621E">
              <w:rPr>
                <w:rStyle w:val="libFootnote0Char"/>
                <w:rtl/>
              </w:rPr>
              <w:t>(7).</w:t>
            </w:r>
            <w:r w:rsidRPr="005D642E">
              <w:rPr>
                <w:rtl/>
              </w:rPr>
              <w:t xml:space="preserve"> في « ى » : « حتّى تبقى</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البحار ، ج 60 : + «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الفقيه</w:t>
      </w:r>
      <w:r w:rsidR="00E3253D" w:rsidRPr="005D642E">
        <w:rPr>
          <w:rtl/>
        </w:rPr>
        <w:t xml:space="preserve"> ، ج 1 ، ص 191 ، ح 580 ، معلّقاً عن عمّار الساباطي </w:t>
      </w:r>
      <w:r w:rsidR="00E2067B">
        <w:rPr>
          <w:rFonts w:hint="cs"/>
          <w:rtl/>
        </w:rPr>
        <w:t>.</w:t>
      </w:r>
      <w:r w:rsidR="00E3253D" w:rsidRPr="002F4D34">
        <w:rPr>
          <w:rStyle w:val="libFootnoteBoldChar"/>
          <w:rtl/>
        </w:rPr>
        <w:t>الوافي</w:t>
      </w:r>
      <w:r w:rsidR="00E3253D" w:rsidRPr="005D642E">
        <w:rPr>
          <w:rtl/>
        </w:rPr>
        <w:t xml:space="preserve"> ، ج 25 ، ص 687 ، ح 24822 ؛ </w:t>
      </w:r>
      <w:r w:rsidR="00E3253D" w:rsidRPr="002F4D34">
        <w:rPr>
          <w:rStyle w:val="libFootnoteBoldChar"/>
          <w:rtl/>
        </w:rPr>
        <w:t>البحار</w:t>
      </w:r>
      <w:r w:rsidR="00E3253D" w:rsidRPr="005D642E">
        <w:rPr>
          <w:rtl/>
        </w:rPr>
        <w:t xml:space="preserve"> ، ج 7 ، ص 43 ، ح 21 ؛ وج 60 ، ص 357 ، ح 43.</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السند تحويل بعطف « أحمد بن محمّد الكوفي ، عن بعض أصحابه » على « عليّ بن إبراهيم ، عن أبيه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عَنْ يَزِيدَ بْنِ خَلِيفَةَ الْخَوْلَانِيِّ</w:t>
      </w:r>
      <w:r>
        <w:rPr>
          <w:rtl/>
          <w:lang w:bidi="fa-IR"/>
        </w:rPr>
        <w:t xml:space="preserve"> </w:t>
      </w:r>
      <w:r w:rsidR="007642BC">
        <w:rPr>
          <w:rtl/>
          <w:lang w:bidi="fa-IR"/>
        </w:rPr>
        <w:t>-</w:t>
      </w:r>
      <w:r>
        <w:rPr>
          <w:rtl/>
          <w:lang w:bidi="fa-IR"/>
        </w:rPr>
        <w:t xml:space="preserve"> </w:t>
      </w:r>
      <w:r w:rsidRPr="005D642E">
        <w:rPr>
          <w:rtl/>
          <w:lang w:bidi="fa-IR"/>
        </w:rPr>
        <w:t>وَهُوَ يَزِيدُ بْنُ خَلِيفَةَ الْحَارِثِيُّ</w:t>
      </w:r>
      <w:r>
        <w:rPr>
          <w:rtl/>
          <w:lang w:bidi="fa-IR"/>
        </w:rPr>
        <w:t xml:space="preserve"> </w:t>
      </w:r>
      <w:r w:rsidR="007642BC">
        <w:rPr>
          <w:rtl/>
          <w:lang w:bidi="fa-IR"/>
        </w:rPr>
        <w:t>-</w:t>
      </w:r>
      <w:r>
        <w:rPr>
          <w:rtl/>
          <w:lang w:bidi="fa-IR"/>
        </w:rPr>
        <w:t xml:space="preserve"> </w:t>
      </w:r>
      <w:r w:rsidRPr="005D642E">
        <w:rPr>
          <w:rtl/>
          <w:lang w:bidi="fa-IR"/>
        </w:rPr>
        <w:t>قَالَ :</w:t>
      </w:r>
    </w:p>
    <w:p w:rsidR="00E3253D" w:rsidRPr="005D642E" w:rsidRDefault="00E3253D" w:rsidP="00E3253D">
      <w:pPr>
        <w:pStyle w:val="libNormal"/>
        <w:rPr>
          <w:rtl/>
          <w:lang w:bidi="fa-IR"/>
        </w:rPr>
      </w:pPr>
      <w:r w:rsidRPr="005D642E">
        <w:rPr>
          <w:rtl/>
          <w:lang w:bidi="fa-IR"/>
        </w:rPr>
        <w:t xml:space="preserve">سَأَلَ عِيسَى بْنُ عَبْدِ اللهِ أَبَا عَبْدِ اللهِ </w:t>
      </w:r>
      <w:r w:rsidRPr="00AC51C5">
        <w:rPr>
          <w:rStyle w:val="libAlaemChar"/>
          <w:rtl/>
        </w:rPr>
        <w:t>عليه‌السلام</w:t>
      </w:r>
      <w:r w:rsidRPr="005D642E">
        <w:rPr>
          <w:rtl/>
          <w:lang w:bidi="fa-IR"/>
        </w:rPr>
        <w:t xml:space="preserve"> وَأَنَا حَاضِرٌ ، فَقَالَ : تَخْرُجُ النِّسَاءُ إِلَى </w:t>
      </w:r>
      <w:r w:rsidRPr="007C12DB">
        <w:rPr>
          <w:rStyle w:val="libFootnotenumChar"/>
          <w:rtl/>
        </w:rPr>
        <w:t>(1)</w:t>
      </w:r>
      <w:r w:rsidRPr="005D642E">
        <w:rPr>
          <w:rtl/>
          <w:lang w:bidi="fa-IR"/>
        </w:rPr>
        <w:t xml:space="preserve"> الْجَنَازَةِ</w:t>
      </w:r>
      <w:r>
        <w:rPr>
          <w:rtl/>
          <w:lang w:bidi="fa-IR"/>
        </w:rPr>
        <w:t>؟</w:t>
      </w:r>
    </w:p>
    <w:p w:rsidR="00E3253D" w:rsidRPr="005D642E" w:rsidRDefault="00E3253D" w:rsidP="00E3253D">
      <w:pPr>
        <w:pStyle w:val="libNormal"/>
        <w:rPr>
          <w:rtl/>
          <w:lang w:bidi="fa-IR"/>
        </w:rPr>
      </w:pPr>
      <w:r w:rsidRPr="005D642E">
        <w:rPr>
          <w:rtl/>
          <w:lang w:bidi="fa-IR"/>
        </w:rPr>
        <w:t xml:space="preserve">وَكَانَ </w:t>
      </w:r>
      <w:r w:rsidRPr="00AC51C5">
        <w:rPr>
          <w:rStyle w:val="libAlaemChar"/>
          <w:rtl/>
        </w:rPr>
        <w:t>عليه‌السلام</w:t>
      </w:r>
      <w:r w:rsidRPr="005D642E">
        <w:rPr>
          <w:rtl/>
          <w:lang w:bidi="fa-IR"/>
        </w:rPr>
        <w:t xml:space="preserve"> مُتَّكِئاً ، فَاسْتَوى جَالِساً ، ثُمَّ قَالَ : « إِنَّ الْفَاسِقَ</w:t>
      </w:r>
      <w:r>
        <w:rPr>
          <w:rtl/>
          <w:lang w:bidi="fa-IR"/>
        </w:rPr>
        <w:t xml:space="preserve"> </w:t>
      </w:r>
      <w:r w:rsidR="007642BC">
        <w:rPr>
          <w:rtl/>
          <w:lang w:bidi="fa-IR"/>
        </w:rPr>
        <w:t>-</w:t>
      </w:r>
      <w:r>
        <w:rPr>
          <w:rtl/>
          <w:lang w:bidi="fa-IR"/>
        </w:rPr>
        <w:t xml:space="preserve"> </w:t>
      </w:r>
      <w:r w:rsidRPr="005D642E">
        <w:rPr>
          <w:rtl/>
          <w:lang w:bidi="fa-IR"/>
        </w:rPr>
        <w:t xml:space="preserve">عَلَيْهِ لَعْنَةُ </w:t>
      </w:r>
      <w:r w:rsidRPr="007C12DB">
        <w:rPr>
          <w:rStyle w:val="libFootnotenumChar"/>
          <w:rtl/>
        </w:rPr>
        <w:t>(2)</w:t>
      </w:r>
      <w:r w:rsidRPr="005D642E">
        <w:rPr>
          <w:rtl/>
          <w:lang w:bidi="fa-IR"/>
        </w:rPr>
        <w:t xml:space="preserve"> اللهِ</w:t>
      </w:r>
      <w:r>
        <w:rPr>
          <w:rtl/>
          <w:lang w:bidi="fa-IR"/>
        </w:rPr>
        <w:t xml:space="preserve"> </w:t>
      </w:r>
      <w:r w:rsidR="007642BC">
        <w:rPr>
          <w:rtl/>
          <w:lang w:bidi="fa-IR"/>
        </w:rPr>
        <w:t>-</w:t>
      </w:r>
      <w:r>
        <w:rPr>
          <w:rtl/>
          <w:lang w:bidi="fa-IR"/>
        </w:rPr>
        <w:t xml:space="preserve"> </w:t>
      </w:r>
      <w:r w:rsidRPr="005D642E">
        <w:rPr>
          <w:rtl/>
          <w:lang w:bidi="fa-IR"/>
        </w:rPr>
        <w:t xml:space="preserve">آوى عَمَّهُ الْمُغِيرَةَ بْنَ أَبِي </w:t>
      </w:r>
      <w:r w:rsidRPr="007C12DB">
        <w:rPr>
          <w:rStyle w:val="libFootnotenumChar"/>
          <w:rtl/>
        </w:rPr>
        <w:t>(3)</w:t>
      </w:r>
      <w:r w:rsidRPr="005D642E">
        <w:rPr>
          <w:rtl/>
          <w:lang w:bidi="fa-IR"/>
        </w:rPr>
        <w:t xml:space="preserve"> الْعَاصِ ، وَكَانَ </w:t>
      </w:r>
      <w:r w:rsidRPr="007C12DB">
        <w:rPr>
          <w:rStyle w:val="libFootnotenumChar"/>
          <w:rtl/>
        </w:rPr>
        <w:t>(4)</w:t>
      </w:r>
      <w:r w:rsidRPr="005D642E">
        <w:rPr>
          <w:rtl/>
          <w:lang w:bidi="fa-IR"/>
        </w:rPr>
        <w:t xml:space="preserve"> مِمَّنْ هَدَرَ </w:t>
      </w:r>
      <w:r w:rsidRPr="007C12DB">
        <w:rPr>
          <w:rStyle w:val="libFootnotenumChar"/>
          <w:rtl/>
        </w:rPr>
        <w:t>(5)</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دَمَهُ ، فَقَالَ لِابْنَةِ رَسُولِ اللهِ </w:t>
      </w:r>
      <w:r w:rsidR="0042621E" w:rsidRPr="0042621E">
        <w:rPr>
          <w:rStyle w:val="libAlaemChar"/>
          <w:rtl/>
        </w:rPr>
        <w:t>صلى‌الله‌عليه‌وآله</w:t>
      </w:r>
      <w:r w:rsidRPr="005D642E">
        <w:rPr>
          <w:rtl/>
          <w:lang w:bidi="fa-IR"/>
        </w:rPr>
        <w:t xml:space="preserve"> : لَاتُخْبِرِي أَبَاكِ بِمَكَانِهِ</w:t>
      </w:r>
      <w:r>
        <w:rPr>
          <w:rtl/>
          <w:lang w:bidi="fa-IR"/>
        </w:rPr>
        <w:t xml:space="preserve"> </w:t>
      </w:r>
      <w:r w:rsidR="007642BC">
        <w:rPr>
          <w:rtl/>
          <w:lang w:bidi="fa-IR"/>
        </w:rPr>
        <w:t>-</w:t>
      </w:r>
      <w:r>
        <w:rPr>
          <w:rtl/>
          <w:lang w:bidi="fa-IR"/>
        </w:rPr>
        <w:t xml:space="preserve"> </w:t>
      </w:r>
      <w:r w:rsidRPr="005D642E">
        <w:rPr>
          <w:rtl/>
          <w:lang w:bidi="fa-IR"/>
        </w:rPr>
        <w:t xml:space="preserve">كَأَنَّهُ </w:t>
      </w:r>
      <w:r w:rsidRPr="007C12DB">
        <w:rPr>
          <w:rStyle w:val="libFootnotenumChar"/>
          <w:rtl/>
        </w:rPr>
        <w:t>(6)</w:t>
      </w:r>
      <w:r w:rsidRPr="005D642E">
        <w:rPr>
          <w:rtl/>
          <w:lang w:bidi="fa-IR"/>
        </w:rPr>
        <w:t xml:space="preserve"> لَايُوقِنُ أَنَّ الْوَحْيَ يَأْتِي مُحَمَّداً</w:t>
      </w:r>
      <w:r>
        <w:rPr>
          <w:rtl/>
          <w:lang w:bidi="fa-IR"/>
        </w:rPr>
        <w:t xml:space="preserve"> </w:t>
      </w:r>
      <w:r w:rsidR="007642BC">
        <w:rPr>
          <w:rtl/>
          <w:lang w:bidi="fa-IR"/>
        </w:rPr>
        <w:t>-</w:t>
      </w:r>
      <w:r>
        <w:rPr>
          <w:rtl/>
          <w:lang w:bidi="fa-IR"/>
        </w:rPr>
        <w:t xml:space="preserve"> </w:t>
      </w:r>
      <w:r w:rsidRPr="005D642E">
        <w:rPr>
          <w:rtl/>
          <w:lang w:bidi="fa-IR"/>
        </w:rPr>
        <w:t xml:space="preserve">فَقَالَتْ : مَا كُنْتُ لِأَكْتُمَ </w:t>
      </w:r>
      <w:r w:rsidRPr="007C12DB">
        <w:rPr>
          <w:rStyle w:val="libFootnotenumChar"/>
          <w:rtl/>
        </w:rPr>
        <w:t>(7)</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عَدُوَّهُ ، فَجَعَلَهُ بَيْنَ مِشْجَبٍ </w:t>
      </w:r>
      <w:r w:rsidRPr="007C12DB">
        <w:rPr>
          <w:rStyle w:val="libFootnotenumChar"/>
          <w:rtl/>
        </w:rPr>
        <w:t>(8)</w:t>
      </w:r>
      <w:r w:rsidRPr="005D642E">
        <w:rPr>
          <w:rtl/>
          <w:lang w:bidi="fa-IR"/>
        </w:rPr>
        <w:t xml:space="preserve"> لَهُ ، وَلَحَفَهُ بِقَطِيفَةٍ ، فَأَتى رَسُولَ اللهِ </w:t>
      </w:r>
      <w:r w:rsidR="0042621E" w:rsidRPr="0042621E">
        <w:rPr>
          <w:rStyle w:val="libAlaemChar"/>
          <w:rtl/>
        </w:rPr>
        <w:t>صلى‌الله‌عليه‌وآله</w:t>
      </w:r>
      <w:r w:rsidRPr="005D642E">
        <w:rPr>
          <w:rtl/>
          <w:lang w:bidi="fa-IR"/>
        </w:rPr>
        <w:t xml:space="preserve"> الْوَحْيُ ، فَأَخْبَرَهُ </w:t>
      </w:r>
      <w:r w:rsidRPr="007C12DB">
        <w:rPr>
          <w:rStyle w:val="libFootnotenumChar"/>
          <w:rtl/>
        </w:rPr>
        <w:t>(9)</w:t>
      </w:r>
      <w:r w:rsidRPr="005D642E">
        <w:rPr>
          <w:rtl/>
          <w:lang w:bidi="fa-IR"/>
        </w:rPr>
        <w:t xml:space="preserve"> بِمَكَانِهِ ، فَبَعَثَ </w:t>
      </w:r>
      <w:r w:rsidRPr="007C12DB">
        <w:rPr>
          <w:rStyle w:val="libFootnotenumChar"/>
          <w:rtl/>
        </w:rPr>
        <w:t>(10)</w:t>
      </w:r>
      <w:r w:rsidRPr="005D642E">
        <w:rPr>
          <w:rtl/>
          <w:lang w:bidi="fa-IR"/>
        </w:rPr>
        <w:t xml:space="preserve"> إِلَيْهِ عَلِيّاً </w:t>
      </w:r>
      <w:r w:rsidRPr="00AC51C5">
        <w:rPr>
          <w:rStyle w:val="libAlaemChar"/>
          <w:rtl/>
        </w:rPr>
        <w:t>عليه‌السلام</w:t>
      </w:r>
      <w:r w:rsidRPr="005D642E">
        <w:rPr>
          <w:rtl/>
          <w:lang w:bidi="fa-IR"/>
        </w:rPr>
        <w:t xml:space="preserve"> ، وَقَالَ : اشْتَمِلْ عَلى سَيْفِكَ ، ائْتِ </w:t>
      </w:r>
      <w:r w:rsidRPr="007C12DB">
        <w:rPr>
          <w:rStyle w:val="libFootnotenumChar"/>
          <w:rtl/>
        </w:rPr>
        <w:t>(11)</w:t>
      </w:r>
      <w:r w:rsidRPr="005D642E">
        <w:rPr>
          <w:rtl/>
          <w:lang w:bidi="fa-IR"/>
        </w:rPr>
        <w:t xml:space="preserve"> بَيْتَ ابْنَةِ ابْنِ </w:t>
      </w:r>
      <w:r w:rsidRPr="007C12DB">
        <w:rPr>
          <w:rStyle w:val="libFootnotenumChar"/>
          <w:rtl/>
        </w:rPr>
        <w:t>(12)</w:t>
      </w:r>
      <w:r w:rsidRPr="005D642E">
        <w:rPr>
          <w:rtl/>
          <w:lang w:bidi="fa-IR"/>
        </w:rPr>
        <w:t xml:space="preserve"> عَمِّكَ ، فَإِنْ ظَفِرْتَ بِالْمُغِيرَةِ فَاقْتُلْهُ ، فَأَتَى الْبَيْتَ ، فَجَالَ فِيهِ ، فَلَمْ يَظْفَرْ بِهِ ، فَرَجَعَ إِلَى رَسُولِ اللهِ </w:t>
      </w:r>
      <w:r w:rsidR="0042621E" w:rsidRPr="0042621E">
        <w:rPr>
          <w:rStyle w:val="libAlaemChar"/>
          <w:rtl/>
        </w:rPr>
        <w:t>صلى‌الله‌عليه‌وآله</w:t>
      </w:r>
      <w:r w:rsidRPr="005D642E">
        <w:rPr>
          <w:rtl/>
          <w:lang w:bidi="fa-IR"/>
        </w:rPr>
        <w:t xml:space="preserve"> ، فَأَخْبَرَهُ ، فَقَالَ : يَا رَسُولَ اللهِ ، لَمْ أَرَهُ ، فَقَالَ : إِنَّ الْوَحْيَ قَدْ </w:t>
      </w:r>
      <w:r w:rsidRPr="007C12DB">
        <w:rPr>
          <w:rStyle w:val="libFootnotenumChar"/>
          <w:rtl/>
        </w:rPr>
        <w:t>(13)</w:t>
      </w:r>
      <w:r w:rsidRPr="005D642E">
        <w:rPr>
          <w:rtl/>
          <w:lang w:bidi="fa-IR"/>
        </w:rPr>
        <w:t xml:space="preserve"> ‌أَتَانِي ، فَأَخْبَرَنِي أَنَّهُ فِي الْمِشْجَبِ ، وَدَخَلَ عُثْمَانُ بَعْدَ خُرُوجِ عَلِيٍّ </w:t>
      </w:r>
      <w:r w:rsidRPr="00AC51C5">
        <w:rPr>
          <w:rStyle w:val="libAlaemChar"/>
          <w:rtl/>
        </w:rPr>
        <w:t>عليه‌السلام</w:t>
      </w:r>
      <w:r w:rsidRPr="005D642E">
        <w:rPr>
          <w:rtl/>
          <w:lang w:bidi="fa-IR"/>
        </w:rPr>
        <w:t xml:space="preserve"> ، فَأَخَذَ بِيَدِ عَمِّهِ ، فَأَتى بِهِ إِلَى </w:t>
      </w:r>
      <w:r w:rsidRPr="007C12DB">
        <w:rPr>
          <w:rStyle w:val="libFootnotenumChar"/>
          <w:rtl/>
        </w:rPr>
        <w:t>(14)</w:t>
      </w:r>
      <w:r w:rsidRPr="005D642E">
        <w:rPr>
          <w:rtl/>
          <w:lang w:bidi="fa-IR"/>
        </w:rPr>
        <w:t xml:space="preserve"> النَّبِيِّ </w:t>
      </w:r>
      <w:r w:rsidR="0042621E" w:rsidRPr="0042621E">
        <w:rPr>
          <w:rStyle w:val="libAlaemChar"/>
          <w:rtl/>
        </w:rPr>
        <w:t>صلى‌الله‌عليه‌وآله</w:t>
      </w:r>
      <w:r w:rsidRPr="005D642E">
        <w:rPr>
          <w:rtl/>
          <w:lang w:bidi="fa-IR"/>
        </w:rPr>
        <w:t xml:space="preserve"> ، فَلَمَّا رَآهُ ، أَكَبَّ عَلَيْهِ </w:t>
      </w:r>
      <w:r w:rsidRPr="007C12DB">
        <w:rPr>
          <w:rStyle w:val="libFootnotenumChar"/>
          <w:rtl/>
        </w:rPr>
        <w:t>(15)</w:t>
      </w:r>
      <w:r w:rsidRPr="005D642E">
        <w:rPr>
          <w:rtl/>
          <w:lang w:bidi="fa-IR"/>
        </w:rPr>
        <w:t xml:space="preserve"> ، وَلَمْ يَلْتَفِتْ إِلَيْهِ ، وَكَانَ‌</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2067B" w:rsidTr="00E2067B">
        <w:tc>
          <w:tcPr>
            <w:tcW w:w="4006" w:type="dxa"/>
          </w:tcPr>
          <w:p w:rsidR="00E2067B" w:rsidRDefault="00E2067B" w:rsidP="00E3253D">
            <w:pPr>
              <w:pStyle w:val="libFootnote0"/>
              <w:rPr>
                <w:rStyle w:val="libFootnote0Char"/>
                <w:rtl/>
              </w:rPr>
            </w:pPr>
            <w:r w:rsidRPr="0042621E">
              <w:rPr>
                <w:rStyle w:val="libFootnote0Char"/>
                <w:rtl/>
              </w:rPr>
              <w:t>(1).</w:t>
            </w:r>
            <w:r>
              <w:rPr>
                <w:rtl/>
              </w:rPr>
              <w:t xml:space="preserve"> </w:t>
            </w:r>
            <w:r w:rsidRPr="005D642E">
              <w:rPr>
                <w:rtl/>
              </w:rPr>
              <w:t>في « بث » : « في</w:t>
            </w:r>
            <w:r>
              <w:rPr>
                <w:rtl/>
              </w:rPr>
              <w:t xml:space="preserve"> ».</w:t>
            </w:r>
          </w:p>
        </w:tc>
        <w:tc>
          <w:tcPr>
            <w:tcW w:w="4006" w:type="dxa"/>
          </w:tcPr>
          <w:p w:rsidR="00E2067B" w:rsidRDefault="00E2067B" w:rsidP="00E3253D">
            <w:pPr>
              <w:pStyle w:val="libFootnote0"/>
              <w:rPr>
                <w:rStyle w:val="libFootnote0Char"/>
                <w:rtl/>
              </w:rPr>
            </w:pPr>
            <w:r w:rsidRPr="0042621E">
              <w:rPr>
                <w:rStyle w:val="libFootnote0Char"/>
                <w:rtl/>
              </w:rPr>
              <w:t>(2).</w:t>
            </w:r>
            <w:r>
              <w:rPr>
                <w:rtl/>
              </w:rPr>
              <w:t xml:space="preserve"> في «بخ</w:t>
            </w:r>
            <w:r w:rsidRPr="005D642E">
              <w:rPr>
                <w:rtl/>
              </w:rPr>
              <w:t xml:space="preserve">» </w:t>
            </w:r>
            <w:r w:rsidRPr="000D749A">
              <w:rPr>
                <w:rStyle w:val="libFootnoteBoldChar"/>
                <w:rtl/>
              </w:rPr>
              <w:t>والوافي</w:t>
            </w:r>
            <w:r>
              <w:rPr>
                <w:rtl/>
              </w:rPr>
              <w:t xml:space="preserve"> : «لعنه</w:t>
            </w:r>
            <w:r w:rsidRPr="005D642E">
              <w:rPr>
                <w:rtl/>
              </w:rPr>
              <w:t>» بدل « عليه لعنة</w:t>
            </w:r>
            <w:r>
              <w:rPr>
                <w:rtl/>
              </w:rPr>
              <w:t xml:space="preserve"> ».</w:t>
            </w:r>
          </w:p>
        </w:tc>
      </w:tr>
      <w:tr w:rsidR="00E2067B" w:rsidTr="00E2067B">
        <w:tc>
          <w:tcPr>
            <w:tcW w:w="4006" w:type="dxa"/>
          </w:tcPr>
          <w:p w:rsidR="00E2067B" w:rsidRDefault="00E2067B" w:rsidP="00E3253D">
            <w:pPr>
              <w:pStyle w:val="libFootnote0"/>
              <w:rPr>
                <w:rStyle w:val="libFootnote0Char"/>
                <w:rtl/>
              </w:rPr>
            </w:pPr>
            <w:r w:rsidRPr="0042621E">
              <w:rPr>
                <w:rStyle w:val="libFootnote0Char"/>
                <w:rtl/>
              </w:rPr>
              <w:t>(3).</w:t>
            </w:r>
            <w:r>
              <w:rPr>
                <w:rtl/>
              </w:rPr>
              <w:t xml:space="preserve"> في «ى ، بث ، بخ ، جح ، جس»</w:t>
            </w:r>
            <w:r w:rsidRPr="005D642E">
              <w:rPr>
                <w:rtl/>
              </w:rPr>
              <w:t>:</w:t>
            </w:r>
            <w:r>
              <w:rPr>
                <w:rtl/>
              </w:rPr>
              <w:t xml:space="preserve"> - «</w:t>
            </w:r>
            <w:r w:rsidRPr="005D642E">
              <w:rPr>
                <w:rtl/>
              </w:rPr>
              <w:t>أبي</w:t>
            </w:r>
            <w:r>
              <w:rPr>
                <w:rtl/>
              </w:rPr>
              <w:t>».</w:t>
            </w:r>
          </w:p>
        </w:tc>
        <w:tc>
          <w:tcPr>
            <w:tcW w:w="4006" w:type="dxa"/>
          </w:tcPr>
          <w:p w:rsidR="00E2067B" w:rsidRDefault="00E2067B" w:rsidP="00E3253D">
            <w:pPr>
              <w:pStyle w:val="libFootnote0"/>
              <w:rPr>
                <w:rStyle w:val="libFootnote0Char"/>
                <w:rtl/>
              </w:rPr>
            </w:pPr>
            <w:r w:rsidRPr="0042621E">
              <w:rPr>
                <w:rStyle w:val="libFootnote0Char"/>
                <w:rtl/>
              </w:rPr>
              <w:t>(4).</w:t>
            </w:r>
            <w:r w:rsidRPr="005D642E">
              <w:rPr>
                <w:rtl/>
              </w:rPr>
              <w:t xml:space="preserve"> في « ى » :</w:t>
            </w:r>
            <w:r>
              <w:rPr>
                <w:rtl/>
              </w:rPr>
              <w:t xml:space="preserve"> - </w:t>
            </w:r>
            <w:r w:rsidRPr="005D642E">
              <w:rPr>
                <w:rtl/>
              </w:rPr>
              <w:t>« وكان</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البحار : « نذر</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E2067B">
        <w:rPr>
          <w:rStyle w:val="libFootnoteAlaemChar"/>
          <w:rtl/>
        </w:rPr>
        <w:t>عليه‌السلام</w:t>
      </w:r>
      <w:r w:rsidR="00E3253D" w:rsidRPr="005D642E">
        <w:rPr>
          <w:rtl/>
        </w:rPr>
        <w:t xml:space="preserve"> : وكان ممّن نذر رسول الله ، كأنّه على بناء التفعيل ، يقال : نذّر الشي‌ء : أسقط ، وأنذره : أسقطه. وفي بعض النسخ : ممّن هدر ، وهو أظهر</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2067B" w:rsidTr="00E2067B">
        <w:tc>
          <w:tcPr>
            <w:tcW w:w="4006" w:type="dxa"/>
          </w:tcPr>
          <w:p w:rsidR="00E2067B" w:rsidRDefault="00E2067B" w:rsidP="00E3253D">
            <w:pPr>
              <w:pStyle w:val="libFootnote0"/>
              <w:rPr>
                <w:rStyle w:val="libFootnote0Char"/>
                <w:rtl/>
              </w:rPr>
            </w:pPr>
            <w:r w:rsidRPr="0042621E">
              <w:rPr>
                <w:rStyle w:val="libFootnote0Char"/>
                <w:rtl/>
              </w:rPr>
              <w:t>(6).</w:t>
            </w:r>
            <w:r w:rsidRPr="005D642E">
              <w:rPr>
                <w:rtl/>
              </w:rPr>
              <w:t xml:space="preserve"> في « بس ، جس » :</w:t>
            </w:r>
            <w:r>
              <w:rPr>
                <w:rtl/>
              </w:rPr>
              <w:t xml:space="preserve"> - </w:t>
            </w:r>
            <w:r w:rsidRPr="005D642E">
              <w:rPr>
                <w:rtl/>
              </w:rPr>
              <w:t>« كأنّه</w:t>
            </w:r>
            <w:r>
              <w:rPr>
                <w:rtl/>
              </w:rPr>
              <w:t xml:space="preserve"> ».</w:t>
            </w:r>
          </w:p>
        </w:tc>
        <w:tc>
          <w:tcPr>
            <w:tcW w:w="4006" w:type="dxa"/>
          </w:tcPr>
          <w:p w:rsidR="00E2067B" w:rsidRDefault="00E2067B" w:rsidP="00E3253D">
            <w:pPr>
              <w:pStyle w:val="libFootnote0"/>
              <w:rPr>
                <w:rStyle w:val="libFootnote0Char"/>
                <w:rtl/>
              </w:rPr>
            </w:pPr>
            <w:r w:rsidRPr="0042621E">
              <w:rPr>
                <w:rStyle w:val="libFootnote0Char"/>
                <w:rtl/>
              </w:rPr>
              <w:t>(7).</w:t>
            </w:r>
            <w:r w:rsidRPr="005D642E">
              <w:rPr>
                <w:rtl/>
              </w:rPr>
              <w:t xml:space="preserve"> في الوافي : + « عن</w:t>
            </w:r>
            <w:r>
              <w:rPr>
                <w:rtl/>
              </w:rPr>
              <w:t xml:space="preserve"> ».</w:t>
            </w:r>
          </w:p>
        </w:tc>
      </w:tr>
    </w:tbl>
    <w:p w:rsidR="00E3253D" w:rsidRPr="005D642E" w:rsidRDefault="0042621E" w:rsidP="00E2067B">
      <w:pPr>
        <w:pStyle w:val="libFootnote0"/>
        <w:rPr>
          <w:rtl/>
          <w:lang w:bidi="fa-IR"/>
        </w:rPr>
      </w:pPr>
      <w:r w:rsidRPr="0042621E">
        <w:rPr>
          <w:rStyle w:val="libFootnote0Char"/>
          <w:rtl/>
        </w:rPr>
        <w:t>(8).</w:t>
      </w:r>
      <w:r w:rsidR="00E3253D" w:rsidRPr="005D642E">
        <w:rPr>
          <w:rtl/>
        </w:rPr>
        <w:t xml:space="preserve"> « المجشب » بكسر الميم : عيدانٌ تضمّ رؤوسها ويفرَّج بين قوائمها وتوضع عليها الثياب. </w:t>
      </w:r>
      <w:r w:rsidR="00E3253D" w:rsidRPr="002F4D34">
        <w:rPr>
          <w:rStyle w:val="libFootnoteBoldChar"/>
          <w:rtl/>
        </w:rPr>
        <w:t>النهاية</w:t>
      </w:r>
      <w:r w:rsidR="00E3253D" w:rsidRPr="005D642E">
        <w:rPr>
          <w:rtl/>
        </w:rPr>
        <w:t xml:space="preserve"> ، ج 2 ، ص 445 ( شجب )</w:t>
      </w:r>
      <w:r w:rsidR="00E3253D">
        <w:rPr>
          <w:rtl/>
        </w:rPr>
        <w:t>.</w:t>
      </w:r>
      <w:r w:rsidR="00E2067B">
        <w:rPr>
          <w:rFonts w:hint="cs"/>
          <w:rtl/>
        </w:rPr>
        <w:t xml:space="preserve">                                          </w:t>
      </w:r>
      <w:r w:rsidRPr="0042621E">
        <w:rPr>
          <w:rStyle w:val="libFootnote0Char"/>
          <w:rtl/>
        </w:rPr>
        <w:t>(9).</w:t>
      </w:r>
      <w:r w:rsidR="00E3253D" w:rsidRPr="005D642E">
        <w:rPr>
          <w:rtl/>
        </w:rPr>
        <w:t xml:space="preserve"> في الوافي : « فأخبر</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بخ » : + «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جس » : « وات</w:t>
      </w:r>
      <w:r w:rsidR="00E3253D">
        <w:rPr>
          <w:rtl/>
        </w:rPr>
        <w:t xml:space="preserve"> ».</w:t>
      </w:r>
      <w:r w:rsidR="00E3253D" w:rsidRPr="005D642E">
        <w:rPr>
          <w:rtl/>
        </w:rPr>
        <w:t xml:space="preserve"> وفي « بث ، بح ، بخ ، بس » </w:t>
      </w:r>
      <w:r w:rsidR="000D749A" w:rsidRPr="00E2067B">
        <w:rPr>
          <w:rtl/>
        </w:rPr>
        <w:t>والوافي</w:t>
      </w:r>
      <w:r w:rsidR="00E3253D" w:rsidRPr="005D642E">
        <w:rPr>
          <w:rtl/>
        </w:rPr>
        <w:t xml:space="preserve"> والبحار : « وائت</w:t>
      </w:r>
      <w:r w:rsidR="00E3253D">
        <w:rPr>
          <w:rtl/>
        </w:rPr>
        <w:t xml:space="preserve"> ».</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بث ، بخ ، جح ، جس » والبحار :</w:t>
      </w:r>
      <w:r w:rsidR="00E3253D">
        <w:rPr>
          <w:rtl/>
        </w:rPr>
        <w:t xml:space="preserve"> </w:t>
      </w:r>
      <w:r w:rsidR="007642BC">
        <w:rPr>
          <w:rtl/>
        </w:rPr>
        <w:t>-</w:t>
      </w:r>
      <w:r w:rsidR="00E3253D">
        <w:rPr>
          <w:rtl/>
        </w:rPr>
        <w:t xml:space="preserve"> </w:t>
      </w:r>
      <w:r w:rsidR="00E3253D" w:rsidRPr="005D642E">
        <w:rPr>
          <w:rtl/>
        </w:rPr>
        <w:t>« ابن</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ى ، بث ، بخ ، جح ، جس </w:t>
      </w:r>
      <w:r w:rsidR="00E3253D" w:rsidRPr="00E2067B">
        <w:rPr>
          <w:rtl/>
        </w:rPr>
        <w:t xml:space="preserve">» </w:t>
      </w:r>
      <w:r w:rsidR="000D749A" w:rsidRPr="00E2067B">
        <w:rP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قد</w:t>
      </w:r>
      <w:r w:rsidR="00E3253D">
        <w:rPr>
          <w:rtl/>
        </w:rPr>
        <w:t xml:space="preserve"> ».</w:t>
      </w:r>
    </w:p>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في « ى ، بح ، بخ ، بس ، جح ، جس » </w:t>
      </w:r>
      <w:r w:rsidR="000D749A" w:rsidRPr="00E2067B">
        <w:rPr>
          <w:rtl/>
        </w:rPr>
        <w:t>والوافي</w:t>
      </w:r>
      <w:r w:rsidR="00E3253D" w:rsidRPr="005D642E">
        <w:rPr>
          <w:rtl/>
        </w:rPr>
        <w:t xml:space="preserve"> والبحار :</w:t>
      </w:r>
      <w:r w:rsidR="00E3253D">
        <w:rPr>
          <w:rtl/>
        </w:rPr>
        <w:t xml:space="preserve"> </w:t>
      </w:r>
      <w:r w:rsidR="007642BC">
        <w:rPr>
          <w:rtl/>
        </w:rPr>
        <w:t>-</w:t>
      </w:r>
      <w:r w:rsidR="00E3253D">
        <w:rPr>
          <w:rtl/>
        </w:rPr>
        <w:t xml:space="preserve"> </w:t>
      </w:r>
      <w:r w:rsidR="00E3253D" w:rsidRPr="005D642E">
        <w:rPr>
          <w:rtl/>
        </w:rPr>
        <w:t>« إلى</w:t>
      </w:r>
      <w:r w:rsidR="00E3253D">
        <w:rPr>
          <w:rtl/>
        </w:rPr>
        <w:t xml:space="preserve"> ».</w:t>
      </w:r>
    </w:p>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في « ى ، بث ، بح ، بس ، جح ، جس » والبحار :</w:t>
      </w:r>
      <w:r w:rsidR="00E3253D">
        <w:rPr>
          <w:rtl/>
        </w:rPr>
        <w:t xml:space="preserve"> </w:t>
      </w:r>
      <w:r w:rsidR="007642BC">
        <w:rPr>
          <w:rtl/>
        </w:rPr>
        <w:t>-</w:t>
      </w:r>
      <w:r w:rsidR="00E3253D">
        <w:rPr>
          <w:rtl/>
        </w:rPr>
        <w:t xml:space="preserve"> </w:t>
      </w:r>
      <w:r w:rsidR="00E3253D" w:rsidRPr="005D642E">
        <w:rPr>
          <w:rtl/>
        </w:rPr>
        <w:t>« عليه</w:t>
      </w:r>
      <w:r w:rsidR="00E3253D">
        <w:rPr>
          <w:rtl/>
        </w:rPr>
        <w:t xml:space="preserve"> ».</w:t>
      </w:r>
      <w:r w:rsidR="00E3253D" w:rsidRPr="005D642E">
        <w:rPr>
          <w:rtl/>
        </w:rPr>
        <w:t xml:space="preserve"> وفي الوافي : « أكبّ عليه : أقبل عليه ولزم</w:t>
      </w:r>
      <w:r w:rsidR="00E3253D">
        <w:rPr>
          <w:rtl/>
        </w:rPr>
        <w:t xml:space="preserve"> ».</w:t>
      </w:r>
      <w:r w:rsidR="00E3253D" w:rsidRPr="005D642E">
        <w:rPr>
          <w:rtl/>
        </w:rPr>
        <w:t xml:space="preserve"> </w:t>
      </w:r>
      <w:r w:rsidR="00E2067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نَبِيُّ اللهِ </w:t>
      </w:r>
      <w:r w:rsidRPr="007C12DB">
        <w:rPr>
          <w:rStyle w:val="libFootnotenumChar"/>
          <w:rtl/>
        </w:rPr>
        <w:t>(1)</w:t>
      </w:r>
      <w:r w:rsidRPr="005D642E">
        <w:rPr>
          <w:rtl/>
          <w:lang w:bidi="fa-IR"/>
        </w:rPr>
        <w:t xml:space="preserve"> </w:t>
      </w:r>
      <w:r w:rsidR="0042621E" w:rsidRPr="0042621E">
        <w:rPr>
          <w:rStyle w:val="libAlaemChar"/>
          <w:rtl/>
        </w:rPr>
        <w:t>صلى‌الله‌عليه‌وآله</w:t>
      </w:r>
      <w:r w:rsidRPr="005D642E">
        <w:rPr>
          <w:rtl/>
          <w:lang w:bidi="fa-IR"/>
        </w:rPr>
        <w:t xml:space="preserve"> حَيِيّاً </w:t>
      </w:r>
      <w:r w:rsidRPr="007C12DB">
        <w:rPr>
          <w:rStyle w:val="libFootnotenumChar"/>
          <w:rtl/>
        </w:rPr>
        <w:t>(2)</w:t>
      </w:r>
      <w:r w:rsidRPr="005D642E">
        <w:rPr>
          <w:rtl/>
          <w:lang w:bidi="fa-IR"/>
        </w:rPr>
        <w:t xml:space="preserve"> كَرِيماً ، فَقَالَ : يَا رَسُولَ اللهِ ، هذَا عَمِّي هذَا </w:t>
      </w:r>
      <w:r w:rsidRPr="007C12DB">
        <w:rPr>
          <w:rStyle w:val="libFootnotenumChar"/>
          <w:rtl/>
        </w:rPr>
        <w:t>(3)</w:t>
      </w:r>
      <w:r w:rsidRPr="005D642E">
        <w:rPr>
          <w:rtl/>
          <w:lang w:bidi="fa-IR"/>
        </w:rPr>
        <w:t xml:space="preserve"> الْمُغِيرَةُ بْنُ أَبِي الْعَاصِ وَفَدَ </w:t>
      </w:r>
      <w:r w:rsidRPr="007C12DB">
        <w:rPr>
          <w:rStyle w:val="libFootnotenumChar"/>
          <w:rtl/>
        </w:rPr>
        <w:t>(4)</w:t>
      </w:r>
      <w:r w:rsidRPr="005D642E">
        <w:rPr>
          <w:rtl/>
          <w:lang w:bidi="fa-IR"/>
        </w:rPr>
        <w:t xml:space="preserve"> ، وَالَّذِي بَعَثَكَ بِالْحَقِّ آمَنْتَهُ </w:t>
      </w:r>
      <w:r w:rsidRPr="007C12DB">
        <w:rPr>
          <w:rStyle w:val="libFootnotenumChar"/>
          <w:rtl/>
        </w:rPr>
        <w:t>(5)</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w:t>
      </w:r>
      <w:r w:rsidRPr="007C12DB">
        <w:rPr>
          <w:rStyle w:val="libFootnotenumChar"/>
          <w:rtl/>
        </w:rPr>
        <w:t>(6)</w:t>
      </w:r>
      <w:r w:rsidRPr="005D642E">
        <w:rPr>
          <w:rtl/>
          <w:lang w:bidi="fa-IR"/>
        </w:rPr>
        <w:t xml:space="preserve"> أَبُو عَبْدِ اللهِ </w:t>
      </w:r>
      <w:r w:rsidRPr="00AC51C5">
        <w:rPr>
          <w:rStyle w:val="libAlaemChar"/>
          <w:rtl/>
        </w:rPr>
        <w:t>عليه‌السلام</w:t>
      </w:r>
      <w:r w:rsidRPr="005D642E">
        <w:rPr>
          <w:rtl/>
          <w:lang w:bidi="fa-IR"/>
        </w:rPr>
        <w:t xml:space="preserve"> : « وَكَذَبَ وَالَّذِي </w:t>
      </w:r>
      <w:r w:rsidRPr="007C12DB">
        <w:rPr>
          <w:rStyle w:val="libFootnotenumChar"/>
          <w:rtl/>
        </w:rPr>
        <w:t>(7)</w:t>
      </w:r>
      <w:r w:rsidRPr="005D642E">
        <w:rPr>
          <w:rtl/>
          <w:lang w:bidi="fa-IR"/>
        </w:rPr>
        <w:t xml:space="preserve"> بَعَثَهُ بِالْحَقِّ </w:t>
      </w:r>
      <w:r w:rsidRPr="007C12DB">
        <w:rPr>
          <w:rStyle w:val="libFootnotenumChar"/>
          <w:rtl/>
        </w:rPr>
        <w:t>(8)</w:t>
      </w:r>
      <w:r w:rsidRPr="005D642E">
        <w:rPr>
          <w:rtl/>
          <w:lang w:bidi="fa-IR"/>
        </w:rPr>
        <w:t xml:space="preserve"> ، مَا آمَنَهُ ، فَأَعَادَهَا </w:t>
      </w:r>
      <w:r w:rsidRPr="007C12DB">
        <w:rPr>
          <w:rStyle w:val="libFootnotenumChar"/>
          <w:rtl/>
        </w:rPr>
        <w:t>(9)</w:t>
      </w:r>
      <w:r w:rsidRPr="005D642E">
        <w:rPr>
          <w:rtl/>
          <w:lang w:bidi="fa-IR"/>
        </w:rPr>
        <w:t xml:space="preserve"> ثَلَاثاً » وَأَعَادَهَا أَبُو عَبْدِ اللهِ </w:t>
      </w:r>
      <w:r w:rsidRPr="00AC51C5">
        <w:rPr>
          <w:rStyle w:val="libAlaemChar"/>
          <w:rtl/>
        </w:rPr>
        <w:t>عليه‌السلام</w:t>
      </w:r>
      <w:r w:rsidRPr="005D642E">
        <w:rPr>
          <w:rtl/>
          <w:lang w:bidi="fa-IR"/>
        </w:rPr>
        <w:t xml:space="preserve"> ثَلَاثاً : </w:t>
      </w:r>
      <w:r w:rsidRPr="007C12DB">
        <w:rPr>
          <w:rStyle w:val="libFootnotenumChar"/>
          <w:rtl/>
        </w:rPr>
        <w:t>(10)</w:t>
      </w:r>
      <w:r w:rsidRPr="005D642E">
        <w:rPr>
          <w:rtl/>
          <w:lang w:bidi="fa-IR"/>
        </w:rPr>
        <w:t xml:space="preserve"> « أَنّى آمَنَهُ </w:t>
      </w:r>
      <w:r w:rsidRPr="007C12DB">
        <w:rPr>
          <w:rStyle w:val="libFootnotenumChar"/>
          <w:rtl/>
        </w:rPr>
        <w:t>(11)</w:t>
      </w:r>
      <w:r w:rsidR="00E2067B">
        <w:rPr>
          <w:rtl/>
          <w:lang w:bidi="fa-IR"/>
        </w:rPr>
        <w:t xml:space="preserve"> إِل</w:t>
      </w:r>
      <w:r w:rsidR="00E2067B">
        <w:rPr>
          <w:rFonts w:hint="cs"/>
          <w:rtl/>
          <w:lang w:bidi="fa-IR"/>
        </w:rPr>
        <w:t>َّ</w:t>
      </w:r>
      <w:r w:rsidR="00E2067B">
        <w:rPr>
          <w:rtl/>
          <w:lang w:bidi="fa-IR"/>
        </w:rPr>
        <w:t>ا</w:t>
      </w:r>
      <w:r w:rsidRPr="005D642E">
        <w:rPr>
          <w:rtl/>
          <w:lang w:bidi="fa-IR"/>
        </w:rPr>
        <w:t xml:space="preserve"> أَنَّهُ يَأْتِيهِ عَنْ يَمِينِهِ ، ثُمَّ يَأْتِيهِ عَنْ يَسَارِهِ ، فَلَمَّا كَانَ فِي الرَّابِعَةِ </w:t>
      </w:r>
      <w:r w:rsidRPr="007C12DB">
        <w:rPr>
          <w:rStyle w:val="libFootnotenumChar"/>
          <w:rtl/>
        </w:rPr>
        <w:t>(12)</w:t>
      </w:r>
      <w:r w:rsidRPr="005D642E">
        <w:rPr>
          <w:rtl/>
          <w:lang w:bidi="fa-IR"/>
        </w:rPr>
        <w:t xml:space="preserve"> ، رَفَعَ رَأْسَهُ إِلَيْهِ ، فَقَالَ </w:t>
      </w:r>
      <w:r w:rsidRPr="007C12DB">
        <w:rPr>
          <w:rStyle w:val="libFootnotenumChar"/>
          <w:rtl/>
        </w:rPr>
        <w:t>(13)</w:t>
      </w:r>
      <w:r w:rsidRPr="005D642E">
        <w:rPr>
          <w:rtl/>
          <w:lang w:bidi="fa-IR"/>
        </w:rPr>
        <w:t xml:space="preserve"> : قَدْ جَعَلْتُ لَكَ ثَلَاثاً ، فَإِنْ قَدَرْتُ عَلَيْهِ‌</w:t>
      </w:r>
    </w:p>
    <w:p w:rsidR="00E3253D" w:rsidRPr="005D642E" w:rsidRDefault="00E3253D" w:rsidP="00E3253D">
      <w:pPr>
        <w:pStyle w:val="libLine"/>
        <w:rPr>
          <w:rtl/>
          <w:lang w:bidi="fa-IR"/>
        </w:rPr>
      </w:pPr>
      <w:r w:rsidRPr="005D642E">
        <w:rPr>
          <w:rtl/>
          <w:lang w:bidi="fa-IR"/>
        </w:rPr>
        <w:t>__________________</w:t>
      </w:r>
    </w:p>
    <w:p w:rsidR="00E3253D" w:rsidRPr="005D642E" w:rsidRDefault="00E2067B" w:rsidP="00E3253D">
      <w:pPr>
        <w:pStyle w:val="libFootnote0"/>
        <w:rPr>
          <w:rtl/>
          <w:lang w:bidi="fa-IR"/>
        </w:rPr>
      </w:pPr>
      <w:r w:rsidRPr="00E2067B">
        <w:rPr>
          <w:rFonts w:hint="cs"/>
          <w:rtl/>
        </w:rPr>
        <w:t xml:space="preserve">= </w:t>
      </w:r>
      <w:r w:rsidR="000D749A" w:rsidRPr="000D749A">
        <w:rPr>
          <w:rStyle w:val="libFootnoteBoldChar"/>
          <w:rtl/>
        </w:rPr>
        <w:t>والمرآة</w:t>
      </w:r>
      <w:r w:rsidR="00E3253D" w:rsidRPr="005D642E">
        <w:rPr>
          <w:rtl/>
        </w:rPr>
        <w:t xml:space="preserve"> : « قوله </w:t>
      </w:r>
      <w:r w:rsidR="00E3253D" w:rsidRPr="00E2067B">
        <w:rPr>
          <w:rStyle w:val="libFootnoteAlaemChar"/>
          <w:rtl/>
        </w:rPr>
        <w:t>عليه‌السلام</w:t>
      </w:r>
      <w:r w:rsidR="00E3253D" w:rsidRPr="005D642E">
        <w:rPr>
          <w:rtl/>
        </w:rPr>
        <w:t xml:space="preserve"> : أكبّ ، أي نكس رأسه ولم ير</w:t>
      </w:r>
      <w:r>
        <w:rPr>
          <w:rtl/>
        </w:rPr>
        <w:t>فعه ؛ لئل</w:t>
      </w:r>
      <w:r>
        <w:rPr>
          <w:rFonts w:hint="cs"/>
          <w:rtl/>
        </w:rPr>
        <w:t>ّ</w:t>
      </w:r>
      <w:r>
        <w:rPr>
          <w:rtl/>
        </w:rPr>
        <w:t>ا</w:t>
      </w:r>
      <w:r w:rsidR="00E3253D" w:rsidRPr="005D642E">
        <w:rPr>
          <w:rtl/>
        </w:rPr>
        <w:t xml:space="preserve"> يقع نظره عليه ، وإنّما فعل ذلك ؛ لأنّه كان حييّاً كريماً ولا يريد أن يشافهه بالرّد</w:t>
      </w:r>
      <w:r w:rsidR="00E3253D">
        <w:rPr>
          <w:rtl/>
        </w:rPr>
        <w:t xml:space="preserve"> ».</w:t>
      </w:r>
      <w:r w:rsidR="00E3253D" w:rsidRPr="005D642E">
        <w:rPr>
          <w:rtl/>
        </w:rPr>
        <w:t xml:space="preserve"> وكلاهما واردان في اللغة. راجع : </w:t>
      </w:r>
      <w:r w:rsidR="00E3253D" w:rsidRPr="002F4D34">
        <w:rPr>
          <w:rStyle w:val="libFootnoteBoldChar"/>
          <w:rtl/>
        </w:rPr>
        <w:t>لسان العرب</w:t>
      </w:r>
      <w:r w:rsidR="00E3253D" w:rsidRPr="005D642E">
        <w:rPr>
          <w:rtl/>
        </w:rPr>
        <w:t xml:space="preserve"> ، ج 1 ، ص 696 ؛ </w:t>
      </w:r>
      <w:r w:rsidR="00E3253D" w:rsidRPr="002F4D34">
        <w:rPr>
          <w:rStyle w:val="libFootnoteBoldChar"/>
          <w:rtl/>
        </w:rPr>
        <w:t>القاموس المحيط</w:t>
      </w:r>
      <w:r w:rsidR="00E3253D" w:rsidRPr="005D642E">
        <w:rPr>
          <w:rtl/>
        </w:rPr>
        <w:t xml:space="preserve"> ، ج 1 ، ص 218 ( كبب )</w:t>
      </w:r>
      <w:r w:rsidR="00E3253D">
        <w:rPr>
          <w:rtl/>
        </w:rPr>
        <w:t>.</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بث » : « رسول الله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البحار : « حنيناً</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w:t>
      </w:r>
      <w:r w:rsidR="00E3253D">
        <w:rPr>
          <w:rtl/>
        </w:rPr>
        <w:t xml:space="preserve"> </w:t>
      </w:r>
      <w:r w:rsidR="007642BC">
        <w:rPr>
          <w:rtl/>
        </w:rPr>
        <w:t>-</w:t>
      </w:r>
      <w:r w:rsidR="00E3253D">
        <w:rPr>
          <w:rtl/>
        </w:rPr>
        <w:t xml:space="preserve"> </w:t>
      </w:r>
      <w:r w:rsidR="00E3253D" w:rsidRPr="005D642E">
        <w:rPr>
          <w:rtl/>
        </w:rPr>
        <w:t>« هذا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بح ، جح » وحاشية « بخ » </w:t>
      </w:r>
      <w:r w:rsidR="000D749A" w:rsidRPr="00E2067B">
        <w:rPr>
          <w:rtl/>
        </w:rPr>
        <w:t>والوافي</w:t>
      </w:r>
      <w:r w:rsidR="00E3253D" w:rsidRPr="005D642E">
        <w:rPr>
          <w:rtl/>
        </w:rPr>
        <w:t xml:space="preserve"> والبحار : « وقد</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قال في </w:t>
      </w:r>
      <w:r w:rsidR="00E3253D" w:rsidRPr="002F4D34">
        <w:rPr>
          <w:rStyle w:val="libFootnoteBoldChar"/>
          <w:rtl/>
        </w:rPr>
        <w:t>مرآة العقول</w:t>
      </w:r>
      <w:r w:rsidR="00E3253D" w:rsidRPr="005D642E">
        <w:rPr>
          <w:rtl/>
        </w:rPr>
        <w:t xml:space="preserve"> : « قوله </w:t>
      </w:r>
      <w:r w:rsidR="00E3253D" w:rsidRPr="00E2067B">
        <w:rPr>
          <w:rStyle w:val="libFootnoteAlaemChar"/>
          <w:rtl/>
        </w:rPr>
        <w:t>عليه‌السلام</w:t>
      </w:r>
      <w:r w:rsidR="00E3253D" w:rsidRPr="005D642E">
        <w:rPr>
          <w:rtl/>
        </w:rPr>
        <w:t xml:space="preserve"> : آمنته ، على صيغة الخطاب ، أو التكلّم ، أي آمنته في الحرب قبل أن يأتي بالمدينة فدخل بأمانيّ » ، ثمّ نقل الخبر عن الخرائج وقال : « فظهر أنّ الخطاب أظهر وأنّه لا وجه له لمن قرأ : أمّنته ، على بناء التفعيل بصيغة المتكلّم ، أي جعلته مؤمَّناً ، لكن في خبر الكتاب التكلّم أظهر لما ستعرف</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w:t>
      </w:r>
      <w:r w:rsidR="00E3253D" w:rsidRPr="00E2067B">
        <w:rPr>
          <w:rtl/>
        </w:rPr>
        <w:t xml:space="preserve"> </w:t>
      </w:r>
      <w:r w:rsidR="000D749A" w:rsidRPr="00E2067B">
        <w:rPr>
          <w:rtl/>
        </w:rPr>
        <w:t>والوافي</w:t>
      </w:r>
      <w:r w:rsidR="00E3253D" w:rsidRPr="005D642E">
        <w:rPr>
          <w:rtl/>
        </w:rPr>
        <w:t xml:space="preserve">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w:t>
      </w:r>
      <w:r w:rsidR="00E3253D" w:rsidRPr="00E2067B">
        <w:rPr>
          <w:rtl/>
        </w:rPr>
        <w:t xml:space="preserve">» </w:t>
      </w:r>
      <w:r w:rsidR="000D749A" w:rsidRPr="00E2067B">
        <w:rPr>
          <w:rtl/>
        </w:rPr>
        <w:t>والوافي</w:t>
      </w:r>
      <w:r w:rsidR="00E3253D" w:rsidRPr="00E2067B">
        <w:rPr>
          <w:rtl/>
        </w:rPr>
        <w:t xml:space="preserve"> :</w:t>
      </w:r>
      <w:r w:rsidR="00E3253D" w:rsidRPr="005D642E">
        <w:rPr>
          <w:rtl/>
        </w:rPr>
        <w:t xml:space="preserve"> « بالذي</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2067B" w:rsidTr="00E2067B">
        <w:tc>
          <w:tcPr>
            <w:tcW w:w="4006" w:type="dxa"/>
          </w:tcPr>
          <w:p w:rsidR="00E2067B" w:rsidRDefault="00E2067B" w:rsidP="00E3253D">
            <w:pPr>
              <w:pStyle w:val="libFootnote0"/>
              <w:rPr>
                <w:rStyle w:val="libFootnote0Char"/>
                <w:rtl/>
              </w:rPr>
            </w:pPr>
            <w:r w:rsidRPr="0042621E">
              <w:rPr>
                <w:rStyle w:val="libFootnote0Char"/>
                <w:rtl/>
              </w:rPr>
              <w:t>(8).</w:t>
            </w:r>
            <w:r w:rsidRPr="005D642E">
              <w:rPr>
                <w:rtl/>
              </w:rPr>
              <w:t xml:space="preserve"> في البحار : + « نبيّاً</w:t>
            </w:r>
            <w:r>
              <w:rPr>
                <w:rtl/>
              </w:rPr>
              <w:t xml:space="preserve"> ».</w:t>
            </w:r>
          </w:p>
        </w:tc>
        <w:tc>
          <w:tcPr>
            <w:tcW w:w="4006" w:type="dxa"/>
          </w:tcPr>
          <w:p w:rsidR="00E2067B" w:rsidRDefault="00E2067B" w:rsidP="00E3253D">
            <w:pPr>
              <w:pStyle w:val="libFootnote0"/>
              <w:rPr>
                <w:rStyle w:val="libFootnote0Char"/>
                <w:rtl/>
              </w:rPr>
            </w:pPr>
            <w:r w:rsidRPr="0042621E">
              <w:rPr>
                <w:rStyle w:val="libFootnote0Char"/>
                <w:rtl/>
              </w:rPr>
              <w:t>(9).</w:t>
            </w:r>
            <w:r w:rsidRPr="005D642E">
              <w:rPr>
                <w:rtl/>
              </w:rPr>
              <w:t xml:space="preserve"> في « بث ، بخ » </w:t>
            </w:r>
            <w:r w:rsidRPr="00E2067B">
              <w:rPr>
                <w:rtl/>
              </w:rPr>
              <w:t>والوافي</w:t>
            </w:r>
            <w:r w:rsidRPr="005D642E">
              <w:rPr>
                <w:rtl/>
              </w:rPr>
              <w:t xml:space="preserve"> : « وأعادها</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جح » : + « لا</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 ى ، بح ، بخ ، بس ، جح » ومرآة العقول والبحار : « آمنته</w:t>
      </w:r>
      <w:r w:rsidR="00E3253D">
        <w:rPr>
          <w:rtl/>
        </w:rPr>
        <w:t xml:space="preserve"> ».</w:t>
      </w:r>
      <w:r w:rsidR="00E3253D" w:rsidRPr="005D642E">
        <w:rPr>
          <w:rtl/>
        </w:rPr>
        <w:t xml:space="preserve"> وقال في </w:t>
      </w:r>
      <w:r w:rsidR="00E3253D" w:rsidRPr="002F4D34">
        <w:rPr>
          <w:rStyle w:val="libFootnoteBoldChar"/>
          <w:rtl/>
        </w:rPr>
        <w:t>المرآة</w:t>
      </w:r>
      <w:r w:rsidR="00E3253D" w:rsidRPr="005D642E">
        <w:rPr>
          <w:rtl/>
        </w:rPr>
        <w:t xml:space="preserve"> : « قوله </w:t>
      </w:r>
      <w:r w:rsidR="00E3253D" w:rsidRPr="00E2067B">
        <w:rPr>
          <w:rStyle w:val="libFootnoteAlaemChar"/>
          <w:rtl/>
        </w:rPr>
        <w:t>عليه‌السلام</w:t>
      </w:r>
      <w:r w:rsidR="00E3253D" w:rsidRPr="005D642E">
        <w:rPr>
          <w:rtl/>
        </w:rPr>
        <w:t xml:space="preserve"> : فأعادها ثلاثاً ، هذا من كلام الإمام </w:t>
      </w:r>
      <w:r w:rsidR="00E3253D" w:rsidRPr="00E2067B">
        <w:rPr>
          <w:rStyle w:val="libFootnoteAlaemChar"/>
          <w:rtl/>
        </w:rPr>
        <w:t>عليه‌السلام</w:t>
      </w:r>
      <w:r w:rsidR="00E3253D" w:rsidRPr="005D642E">
        <w:rPr>
          <w:rtl/>
        </w:rPr>
        <w:t xml:space="preserve"> والضمير راجع إلى كلام عثمان بتأويل الكلمة ، أو الجملة ، أي أعاد قوله : والذي بعثك بالحقّ إنّي آمنته ، وقوله : وأعادها أبو عبدالله </w:t>
      </w:r>
      <w:r w:rsidR="00E3253D" w:rsidRPr="00E2067B">
        <w:rPr>
          <w:rStyle w:val="libFootnoteAlaemChar"/>
          <w:rtl/>
        </w:rPr>
        <w:t>عليه‌السلام</w:t>
      </w:r>
      <w:r w:rsidR="00E3253D" w:rsidRPr="005D642E">
        <w:rPr>
          <w:rtl/>
        </w:rPr>
        <w:t xml:space="preserve"> ثلاثاً ، كلام الراوي ، أي إنّه </w:t>
      </w:r>
      <w:r w:rsidR="00E3253D" w:rsidRPr="00E2067B">
        <w:rPr>
          <w:rStyle w:val="libFootnoteAlaemChar"/>
          <w:rtl/>
        </w:rPr>
        <w:t>عليه‌السلام</w:t>
      </w:r>
      <w:r w:rsidR="00E3253D" w:rsidRPr="005D642E">
        <w:rPr>
          <w:rtl/>
        </w:rPr>
        <w:t xml:space="preserve"> كلّما أعاد كلام عثمان أتبعه بقوله : والذي بعثه بالحقّ نبيّاً ما آمنه ، وقوله : إنّي آمنته ، بيان لمرجع الضمير في قوله : أعادها أوّلاً ، وأحال المرجع في الثاني على الظهور » ذكر احتمالين آخرين </w:t>
      </w:r>
      <w:r w:rsidR="00E2067B">
        <w:rPr>
          <w:rtl/>
        </w:rPr>
        <w:t>في معنى العبارة وأنّ قوله : إل</w:t>
      </w:r>
      <w:r w:rsidR="00E2067B">
        <w:rPr>
          <w:rFonts w:hint="cs"/>
          <w:rtl/>
        </w:rPr>
        <w:t>ّ</w:t>
      </w:r>
      <w:r w:rsidR="00E2067B">
        <w:rPr>
          <w:rtl/>
        </w:rPr>
        <w:t>ا</w:t>
      </w:r>
      <w:r w:rsidR="00E3253D">
        <w:rPr>
          <w:rFonts w:hint="cs"/>
          <w:rtl/>
        </w:rPr>
        <w:t xml:space="preserve"> </w:t>
      </w:r>
      <w:r w:rsidR="00E3253D" w:rsidRPr="005D642E">
        <w:rPr>
          <w:rtl/>
        </w:rPr>
        <w:t>استثناء من قوله : ما آمنه ، قال : « وفي بعض النسخ : أنّى آمنه ، على صيغة الماضي الغائب فأنّى بالفتح ، والتشديد للاستفهام الإنكاري والاستثناء متعلّق به ، لكن في أكثر النسخ بصيغة المتكلّم</w:t>
      </w:r>
      <w:r w:rsidR="00E3253D">
        <w:rPr>
          <w:rtl/>
        </w:rPr>
        <w:t xml:space="preserve"> ».</w:t>
      </w:r>
      <w:r w:rsidR="00E3253D" w:rsidRPr="005D642E">
        <w:rPr>
          <w:rtl/>
        </w:rPr>
        <w:t xml:space="preserve"> راجع : </w:t>
      </w:r>
      <w:r w:rsidR="00E3253D" w:rsidRPr="002F4D34">
        <w:rPr>
          <w:rStyle w:val="libFootnoteBoldChar"/>
          <w:rtl/>
        </w:rPr>
        <w:t>مرآة العقول</w:t>
      </w:r>
      <w:r w:rsidR="00E3253D" w:rsidRPr="005D642E">
        <w:rPr>
          <w:rtl/>
        </w:rPr>
        <w:t xml:space="preserve"> ، ج 14 ، ص 245.</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بح » : « الرابع</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Pr>
          <w:rtl/>
        </w:rPr>
        <w:t xml:space="preserve"> </w:t>
      </w:r>
      <w:r w:rsidR="00E3253D" w:rsidRPr="005D642E">
        <w:rPr>
          <w:rtl/>
        </w:rPr>
        <w:t>هكذا في جميع النسخ التي قوبلت والبحار. وفي المطبوع : + « له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بَعْدَ ثَالِثَةٍ </w:t>
      </w:r>
      <w:r w:rsidRPr="007C12DB">
        <w:rPr>
          <w:rStyle w:val="libFootnotenumChar"/>
          <w:rtl/>
        </w:rPr>
        <w:t>(1)</w:t>
      </w:r>
      <w:r w:rsidRPr="005D642E">
        <w:rPr>
          <w:rtl/>
          <w:lang w:bidi="fa-IR"/>
        </w:rPr>
        <w:t xml:space="preserve"> قَتَلْتُهُ ، فَلَمَّا أَدْبَرَ قَالَ رَسُولُ اللهِ </w:t>
      </w:r>
      <w:r w:rsidR="0042621E" w:rsidRPr="0042621E">
        <w:rPr>
          <w:rStyle w:val="libAlaemChar"/>
          <w:rtl/>
        </w:rPr>
        <w:t>صلى‌الله‌عليه‌وآله</w:t>
      </w:r>
      <w:r w:rsidRPr="005D642E">
        <w:rPr>
          <w:rtl/>
          <w:lang w:bidi="fa-IR"/>
        </w:rPr>
        <w:t xml:space="preserve"> : الل</w:t>
      </w:r>
      <w:r w:rsidR="00E2067B">
        <w:rPr>
          <w:rFonts w:hint="cs"/>
          <w:rtl/>
          <w:lang w:bidi="fa-IR"/>
        </w:rPr>
        <w:t>َّ</w:t>
      </w:r>
      <w:r w:rsidRPr="005D642E">
        <w:rPr>
          <w:rtl/>
          <w:lang w:bidi="fa-IR"/>
        </w:rPr>
        <w:t xml:space="preserve">هُمَّ الْعَنِ الْمُغِيرَةَ بْنَ أَبِي الْعَاصِ ، وَالْعَنْ مَنْ يُؤْوِيهِ ، وَالْعَنْ مَنْ يَحْمِلُهُ ، وَالْعَنْ مَنْ يُطْعِمُهُ ، وَالْعَنْ مَنْ يَسْقِيهِ ، وَالْعَنْ مَنْ يُجَهِّزُهُ </w:t>
      </w:r>
      <w:r w:rsidRPr="007C12DB">
        <w:rPr>
          <w:rStyle w:val="libFootnotenumChar"/>
          <w:rtl/>
        </w:rPr>
        <w:t>(2)</w:t>
      </w:r>
      <w:r w:rsidRPr="005D642E">
        <w:rPr>
          <w:rtl/>
          <w:lang w:bidi="fa-IR"/>
        </w:rPr>
        <w:t xml:space="preserve"> ، وَالْعَنْ مَنْ يُعْطِيهِ سِقَاءً </w:t>
      </w:r>
      <w:r w:rsidRPr="007C12DB">
        <w:rPr>
          <w:rStyle w:val="libFootnotenumChar"/>
          <w:rtl/>
        </w:rPr>
        <w:t>(3)</w:t>
      </w:r>
      <w:r w:rsidRPr="005D642E">
        <w:rPr>
          <w:rtl/>
          <w:lang w:bidi="fa-IR"/>
        </w:rPr>
        <w:t xml:space="preserve"> ، أَوْ حِذَاءً ، أَوْ رِشَاءً </w:t>
      </w:r>
      <w:r w:rsidRPr="007C12DB">
        <w:rPr>
          <w:rStyle w:val="libFootnotenumChar"/>
          <w:rtl/>
        </w:rPr>
        <w:t>(4)</w:t>
      </w:r>
      <w:r w:rsidRPr="005D642E">
        <w:rPr>
          <w:rtl/>
          <w:lang w:bidi="fa-IR"/>
        </w:rPr>
        <w:t xml:space="preserve"> ، أَوْ وِعَاءً</w:t>
      </w:r>
      <w:r>
        <w:rPr>
          <w:rtl/>
          <w:lang w:bidi="fa-IR"/>
        </w:rPr>
        <w:t xml:space="preserve"> </w:t>
      </w:r>
      <w:r w:rsidR="007642BC">
        <w:rPr>
          <w:rtl/>
          <w:lang w:bidi="fa-IR"/>
        </w:rPr>
        <w:t>-</w:t>
      </w:r>
      <w:r>
        <w:rPr>
          <w:rtl/>
          <w:lang w:bidi="fa-IR"/>
        </w:rPr>
        <w:t xml:space="preserve"> </w:t>
      </w:r>
      <w:r w:rsidRPr="005D642E">
        <w:rPr>
          <w:rtl/>
          <w:lang w:bidi="fa-IR"/>
        </w:rPr>
        <w:t>وَهُوَ يَعُدُّهُنَّ بِيَمِينِهِ</w:t>
      </w:r>
      <w:r>
        <w:rPr>
          <w:rtl/>
          <w:lang w:bidi="fa-IR"/>
        </w:rPr>
        <w:t xml:space="preserve"> </w:t>
      </w:r>
      <w:r w:rsidR="007642BC">
        <w:rPr>
          <w:rtl/>
          <w:lang w:bidi="fa-IR"/>
        </w:rPr>
        <w:t>-</w:t>
      </w:r>
      <w:r>
        <w:rPr>
          <w:rtl/>
          <w:lang w:bidi="fa-IR"/>
        </w:rPr>
        <w:t xml:space="preserve"> </w:t>
      </w:r>
      <w:r w:rsidRPr="005D642E">
        <w:rPr>
          <w:rtl/>
          <w:lang w:bidi="fa-IR"/>
        </w:rPr>
        <w:t xml:space="preserve">وَانْطَلَقَ </w:t>
      </w:r>
      <w:r w:rsidRPr="007C12DB">
        <w:rPr>
          <w:rStyle w:val="libFootnotenumChar"/>
          <w:rtl/>
        </w:rPr>
        <w:t>(5)</w:t>
      </w:r>
      <w:r w:rsidRPr="005D642E">
        <w:rPr>
          <w:rtl/>
          <w:lang w:bidi="fa-IR"/>
        </w:rPr>
        <w:t xml:space="preserve"> بِهِ عُثْمَانُ </w:t>
      </w:r>
      <w:r w:rsidRPr="007C12DB">
        <w:rPr>
          <w:rStyle w:val="libFootnotenumChar"/>
          <w:rtl/>
        </w:rPr>
        <w:t>(6)</w:t>
      </w:r>
      <w:r w:rsidRPr="005D642E">
        <w:rPr>
          <w:rtl/>
          <w:lang w:bidi="fa-IR"/>
        </w:rPr>
        <w:t xml:space="preserve"> ، فَآوَاهُ وَأَطْعَمَهُ </w:t>
      </w:r>
      <w:r w:rsidRPr="007C12DB">
        <w:rPr>
          <w:rStyle w:val="libFootnotenumChar"/>
          <w:rtl/>
        </w:rPr>
        <w:t>(7)</w:t>
      </w:r>
      <w:r w:rsidRPr="005D642E">
        <w:rPr>
          <w:rtl/>
          <w:lang w:bidi="fa-IR"/>
        </w:rPr>
        <w:t xml:space="preserve"> وَسَقَاهُ وَحَمَلَهُ وَجَهَّزَهُ حَتّى فَعَلَ جَمِيعَ مَا لَعَنَ عَلَيْهِ النَّبِيُّ </w:t>
      </w:r>
      <w:r w:rsidR="0042621E" w:rsidRPr="0042621E">
        <w:rPr>
          <w:rStyle w:val="libAlaemChar"/>
          <w:rtl/>
        </w:rPr>
        <w:t>صلى‌الله‌عليه‌وآله</w:t>
      </w:r>
      <w:r w:rsidRPr="005D642E">
        <w:rPr>
          <w:rtl/>
          <w:lang w:bidi="fa-IR"/>
        </w:rPr>
        <w:t xml:space="preserve"> مَنْ يَفْعَلُهُ بِهِ.</w:t>
      </w:r>
    </w:p>
    <w:p w:rsidR="00E3253D" w:rsidRPr="005D642E" w:rsidRDefault="00E3253D" w:rsidP="00E3253D">
      <w:pPr>
        <w:pStyle w:val="libNormal"/>
        <w:rPr>
          <w:rtl/>
          <w:lang w:bidi="fa-IR"/>
        </w:rPr>
      </w:pPr>
      <w:r w:rsidRPr="005D642E">
        <w:rPr>
          <w:rtl/>
          <w:lang w:bidi="fa-IR"/>
        </w:rPr>
        <w:t xml:space="preserve">ثُمَّ أَخْرَجَهُ فِي الْيَوْمِ الرَّابِعِ يَسُوقُهُ ، فَلَمْ يَخْرُجْ مِنْ أَبْيَاتِ الْمَدِينَةِ </w:t>
      </w:r>
      <w:r w:rsidRPr="007C12DB">
        <w:rPr>
          <w:rStyle w:val="libFootnotenumChar"/>
          <w:rtl/>
        </w:rPr>
        <w:t>(8)</w:t>
      </w:r>
      <w:r w:rsidRPr="005D642E">
        <w:rPr>
          <w:rtl/>
          <w:lang w:bidi="fa-IR"/>
        </w:rPr>
        <w:t xml:space="preserve"> حَتّى أَعْطَبَ </w:t>
      </w:r>
      <w:r w:rsidRPr="007C12DB">
        <w:rPr>
          <w:rStyle w:val="libFootnotenumChar"/>
          <w:rtl/>
        </w:rPr>
        <w:t>(9)</w:t>
      </w:r>
      <w:r w:rsidRPr="005D642E">
        <w:rPr>
          <w:rtl/>
          <w:lang w:bidi="fa-IR"/>
        </w:rPr>
        <w:t xml:space="preserve"> اللهُ رَاحِلَتَهُ ، وَنُقِبَ </w:t>
      </w:r>
      <w:r w:rsidRPr="007C12DB">
        <w:rPr>
          <w:rStyle w:val="libFootnotenumChar"/>
          <w:rtl/>
        </w:rPr>
        <w:t>(10)</w:t>
      </w:r>
      <w:r w:rsidRPr="005D642E">
        <w:rPr>
          <w:rtl/>
          <w:lang w:bidi="fa-IR"/>
        </w:rPr>
        <w:t xml:space="preserve"> حِذَاهُ ، وَدَمِيَتْ </w:t>
      </w:r>
      <w:r w:rsidRPr="007C12DB">
        <w:rPr>
          <w:rStyle w:val="libFootnotenumChar"/>
          <w:rtl/>
        </w:rPr>
        <w:t>(11)</w:t>
      </w:r>
      <w:r w:rsidRPr="005D642E">
        <w:rPr>
          <w:rtl/>
          <w:lang w:bidi="fa-IR"/>
        </w:rPr>
        <w:t xml:space="preserve"> قَدَمَاهُ ، فَاسْتَعَانَ بِيَدَيْهِ </w:t>
      </w:r>
      <w:r w:rsidRPr="007C12DB">
        <w:rPr>
          <w:rStyle w:val="libFootnotenumChar"/>
          <w:rtl/>
        </w:rPr>
        <w:t>(12)</w:t>
      </w:r>
      <w:r w:rsidRPr="005D642E">
        <w:rPr>
          <w:rtl/>
          <w:lang w:bidi="fa-IR"/>
        </w:rPr>
        <w:t xml:space="preserve"> وَرُكْبَتَيْهِ </w:t>
      </w:r>
      <w:r w:rsidRPr="007C12DB">
        <w:rPr>
          <w:rStyle w:val="libFootnotenumChar"/>
          <w:rtl/>
        </w:rPr>
        <w:t>(13)</w:t>
      </w:r>
      <w:r w:rsidRPr="005D642E">
        <w:rPr>
          <w:rtl/>
          <w:lang w:bidi="fa-IR"/>
        </w:rPr>
        <w:t xml:space="preserve"> ، وَأَثْقَلَهُ جَهَازُهُ حَتّى وَجَسَ </w:t>
      </w:r>
      <w:r w:rsidRPr="007C12DB">
        <w:rPr>
          <w:rStyle w:val="libFootnotenumChar"/>
          <w:rtl/>
        </w:rPr>
        <w:t>(14)</w:t>
      </w:r>
      <w:r w:rsidRPr="005D642E">
        <w:rPr>
          <w:rtl/>
          <w:lang w:bidi="fa-IR"/>
        </w:rPr>
        <w:t xml:space="preserve"> بِهِ ، فَأَتى </w:t>
      </w:r>
      <w:r w:rsidRPr="007C12DB">
        <w:rPr>
          <w:rStyle w:val="libFootnotenumChar"/>
          <w:rtl/>
        </w:rPr>
        <w:t>(15)</w:t>
      </w:r>
      <w:r w:rsidRPr="005D642E">
        <w:rPr>
          <w:rtl/>
          <w:lang w:bidi="fa-IR"/>
        </w:rPr>
        <w:t xml:space="preserve"> شَجَرَةً </w:t>
      </w:r>
      <w:r w:rsidRPr="007C12DB">
        <w:rPr>
          <w:rStyle w:val="libFootnotenumChar"/>
          <w:rtl/>
        </w:rPr>
        <w:t>(16)</w:t>
      </w:r>
      <w:r w:rsidRPr="005D642E">
        <w:rPr>
          <w:rtl/>
          <w:lang w:bidi="fa-IR"/>
        </w:rPr>
        <w:t xml:space="preserve"> ، فَاسْتَظَلَّ بِهَا ، لَوْ أَتَاهَا بَعْضُكُمْ مَا أَبْهَرَهُ‌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البحار : « ثلاثة</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من يجهّزه » ، أي يهّيئ جِهاز سفره ، وهو ما يحتاج إليه في السفر. راجع : </w:t>
      </w:r>
      <w:r w:rsidR="00E3253D" w:rsidRPr="002F4D34">
        <w:rPr>
          <w:rStyle w:val="libFootnoteBoldChar"/>
          <w:rtl/>
        </w:rPr>
        <w:t>الصحاح</w:t>
      </w:r>
      <w:r w:rsidR="00E3253D" w:rsidRPr="005D642E">
        <w:rPr>
          <w:rtl/>
        </w:rPr>
        <w:t xml:space="preserve"> ، ج 3 ، ص 870 ؛ </w:t>
      </w:r>
      <w:r w:rsidR="00E3253D" w:rsidRPr="002F4D34">
        <w:rPr>
          <w:rStyle w:val="libFootnoteBoldChar"/>
          <w:rtl/>
        </w:rPr>
        <w:t>المصباح</w:t>
      </w:r>
      <w:r w:rsidR="00E2067B">
        <w:rPr>
          <w:rStyle w:val="libFootnoteBoldChar"/>
          <w:rFonts w:hint="cs"/>
          <w:rtl/>
        </w:rPr>
        <w:t xml:space="preserve"> </w:t>
      </w:r>
      <w:r w:rsidR="00E3253D" w:rsidRPr="002F4D34">
        <w:rPr>
          <w:rStyle w:val="libFootnoteBoldChar"/>
          <w:rtl/>
        </w:rPr>
        <w:t>‌المنير</w:t>
      </w:r>
      <w:r w:rsidR="00E3253D" w:rsidRPr="005D642E">
        <w:rPr>
          <w:rtl/>
        </w:rPr>
        <w:t xml:space="preserve"> ، ص 113 ( جهز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السِقاء » : ظرف الماء من الجلد ، ويجمع على أسقية. راجع : </w:t>
      </w:r>
      <w:r w:rsidR="00E3253D" w:rsidRPr="002F4D34">
        <w:rPr>
          <w:rStyle w:val="libFootnoteBoldChar"/>
          <w:rtl/>
        </w:rPr>
        <w:t>النهاية</w:t>
      </w:r>
      <w:r w:rsidR="00E3253D" w:rsidRPr="005D642E">
        <w:rPr>
          <w:rtl/>
        </w:rPr>
        <w:t xml:space="preserve"> ، ج 2 ، ص 381 ( سقا )</w:t>
      </w:r>
      <w:r w:rsidR="00E3253D">
        <w:rPr>
          <w:rtl/>
        </w:rPr>
        <w:t>.</w:t>
      </w:r>
    </w:p>
    <w:p w:rsidR="00E3253D" w:rsidRPr="005D642E" w:rsidRDefault="0042621E" w:rsidP="00E2067B">
      <w:pPr>
        <w:pStyle w:val="libFootnote0"/>
        <w:rPr>
          <w:rtl/>
          <w:lang w:bidi="fa-IR"/>
        </w:rPr>
      </w:pPr>
      <w:r w:rsidRPr="0042621E">
        <w:rPr>
          <w:rStyle w:val="libFootnote0Char"/>
          <w:rtl/>
        </w:rPr>
        <w:t>(4).</w:t>
      </w:r>
      <w:r w:rsidR="00E3253D" w:rsidRPr="005D642E">
        <w:rPr>
          <w:rtl/>
        </w:rPr>
        <w:t xml:space="preserve"> « الرِشاء » : رَسَن الدلو ، وهو الحبل الذي يتوصّل به إلى الماء. راجع : </w:t>
      </w:r>
      <w:r w:rsidR="00E3253D" w:rsidRPr="002F4D34">
        <w:rPr>
          <w:rStyle w:val="libFootnoteBoldChar"/>
          <w:rtl/>
        </w:rPr>
        <w:t>النهاية</w:t>
      </w:r>
      <w:r w:rsidR="00E3253D" w:rsidRPr="005D642E">
        <w:rPr>
          <w:rtl/>
        </w:rPr>
        <w:t xml:space="preserve"> ، ج 2 ، ص 226 ؛ </w:t>
      </w:r>
      <w:r w:rsidR="00E3253D" w:rsidRPr="002F4D34">
        <w:rPr>
          <w:rStyle w:val="libFootnoteBoldChar"/>
          <w:rtl/>
        </w:rPr>
        <w:t>لسان العرب</w:t>
      </w:r>
      <w:r w:rsidR="00E3253D" w:rsidRPr="005D642E">
        <w:rPr>
          <w:rtl/>
        </w:rPr>
        <w:t xml:space="preserve"> ، ج 14 ، ص 322 ( رشا )</w:t>
      </w:r>
      <w:r w:rsidR="00E3253D">
        <w:rPr>
          <w:rtl/>
        </w:rPr>
        <w:t>.</w:t>
      </w:r>
      <w:r w:rsidR="00E2067B">
        <w:rPr>
          <w:rFonts w:hint="cs"/>
          <w:rtl/>
        </w:rPr>
        <w:t xml:space="preserve">                      </w:t>
      </w:r>
      <w:r w:rsidRPr="0042621E">
        <w:rPr>
          <w:rStyle w:val="libFootnote0Char"/>
          <w:rtl/>
        </w:rPr>
        <w:t>(5).</w:t>
      </w:r>
      <w:r w:rsidR="00E3253D" w:rsidRPr="005D642E">
        <w:rPr>
          <w:rtl/>
        </w:rPr>
        <w:t xml:space="preserve"> في « بخ »</w:t>
      </w:r>
      <w:r w:rsidR="00E3253D" w:rsidRPr="00E2067B">
        <w:rPr>
          <w:rtl/>
        </w:rPr>
        <w:t xml:space="preserve"> </w:t>
      </w:r>
      <w:r w:rsidR="000D749A" w:rsidRPr="00E2067B">
        <w:rPr>
          <w:rtl/>
        </w:rPr>
        <w:t>والوافي</w:t>
      </w:r>
      <w:r w:rsidR="00E3253D" w:rsidRPr="005D642E">
        <w:rPr>
          <w:rtl/>
        </w:rPr>
        <w:t xml:space="preserve"> : « فانطلق</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E2067B" w:rsidTr="00E2067B">
        <w:tc>
          <w:tcPr>
            <w:tcW w:w="4006" w:type="dxa"/>
          </w:tcPr>
          <w:p w:rsidR="00E2067B" w:rsidRDefault="00E2067B" w:rsidP="00E3253D">
            <w:pPr>
              <w:pStyle w:val="libFootnote0"/>
              <w:rPr>
                <w:rStyle w:val="libFootnote0Char"/>
                <w:rtl/>
              </w:rPr>
            </w:pPr>
            <w:r w:rsidRPr="0042621E">
              <w:rPr>
                <w:rStyle w:val="libFootnote0Char"/>
                <w:rtl/>
              </w:rPr>
              <w:t>(6).</w:t>
            </w:r>
            <w:r w:rsidRPr="005D642E">
              <w:rPr>
                <w:rtl/>
              </w:rPr>
              <w:t xml:space="preserve"> في « ى » : « عثمان به » بدل « به عثمان</w:t>
            </w:r>
            <w:r>
              <w:rPr>
                <w:rtl/>
              </w:rPr>
              <w:t xml:space="preserve"> ».</w:t>
            </w:r>
          </w:p>
        </w:tc>
        <w:tc>
          <w:tcPr>
            <w:tcW w:w="4006" w:type="dxa"/>
          </w:tcPr>
          <w:p w:rsidR="00E2067B" w:rsidRDefault="00E2067B" w:rsidP="00E3253D">
            <w:pPr>
              <w:pStyle w:val="libFootnote0"/>
              <w:rPr>
                <w:rStyle w:val="libFootnote0Char"/>
                <w:rtl/>
              </w:rPr>
            </w:pPr>
            <w:r w:rsidRPr="0042621E">
              <w:rPr>
                <w:rStyle w:val="libFootnote0Char"/>
                <w:rtl/>
              </w:rPr>
              <w:t>(7).</w:t>
            </w:r>
            <w:r w:rsidRPr="005D642E">
              <w:rPr>
                <w:rtl/>
              </w:rPr>
              <w:t xml:space="preserve"> في حاشية « بث » : « فأطعمه</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جس » : « البيت</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أعطب » ، أي أهلك ؛ من العطب بمعنى الهلاك. راجع : </w:t>
      </w:r>
      <w:r w:rsidR="00E3253D" w:rsidRPr="002F4D34">
        <w:rPr>
          <w:rStyle w:val="libFootnoteBoldChar"/>
          <w:rtl/>
        </w:rPr>
        <w:t>الصحاح</w:t>
      </w:r>
      <w:r w:rsidR="00E3253D" w:rsidRPr="005D642E">
        <w:rPr>
          <w:rtl/>
        </w:rPr>
        <w:t xml:space="preserve"> ، ج 1 ، ص 184 ( عطب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بح » : « ثقب</w:t>
      </w:r>
      <w:r w:rsidR="00E3253D">
        <w:rPr>
          <w:rtl/>
        </w:rPr>
        <w:t xml:space="preserve"> ».</w:t>
      </w:r>
      <w:r w:rsidR="00E3253D" w:rsidRPr="005D642E">
        <w:rPr>
          <w:rtl/>
        </w:rPr>
        <w:t xml:space="preserve"> والنَقْب : الثقب. </w:t>
      </w:r>
      <w:r w:rsidR="00E3253D" w:rsidRPr="002F4D34">
        <w:rPr>
          <w:rStyle w:val="libFootnoteBoldChar"/>
          <w:rtl/>
        </w:rPr>
        <w:t>القاموس المحيط</w:t>
      </w:r>
      <w:r w:rsidR="00E3253D" w:rsidRPr="005D642E">
        <w:rPr>
          <w:rtl/>
        </w:rPr>
        <w:t xml:space="preserve"> ، ج 1 ، ص 231 ( نقب )</w:t>
      </w:r>
      <w:r w:rsidR="00E3253D">
        <w:rPr>
          <w:rtl/>
        </w:rPr>
        <w:t>.</w:t>
      </w:r>
    </w:p>
    <w:p w:rsidR="00E3253D" w:rsidRPr="005D642E" w:rsidRDefault="0042621E" w:rsidP="00E2067B">
      <w:pPr>
        <w:pStyle w:val="libFootnote0"/>
        <w:rPr>
          <w:rtl/>
          <w:lang w:bidi="fa-IR"/>
        </w:rPr>
      </w:pPr>
      <w:r w:rsidRPr="0042621E">
        <w:rPr>
          <w:rStyle w:val="libFootnote0Char"/>
          <w:rtl/>
        </w:rPr>
        <w:t>(11).</w:t>
      </w:r>
      <w:r w:rsidR="00E3253D" w:rsidRPr="005D642E">
        <w:rPr>
          <w:rtl/>
        </w:rPr>
        <w:t xml:space="preserve"> هكذا في معظم النسخ التي قوبلت </w:t>
      </w:r>
      <w:r w:rsidR="000D749A" w:rsidRPr="00E2067B">
        <w:rPr>
          <w:rtl/>
        </w:rPr>
        <w:t>والوافي</w:t>
      </w:r>
      <w:r w:rsidR="00E3253D" w:rsidRPr="005D642E">
        <w:rPr>
          <w:rtl/>
        </w:rPr>
        <w:t xml:space="preserve"> والبحار وفي « ي ، بس » : « دميت » بدون الواو. وفي المطبوع : « وورمت</w:t>
      </w:r>
      <w:r w:rsidR="00E3253D">
        <w:rPr>
          <w:rtl/>
        </w:rPr>
        <w:t xml:space="preserve"> ».</w:t>
      </w:r>
      <w:r w:rsidR="00E2067B">
        <w:rPr>
          <w:rFonts w:hint="cs"/>
          <w:rtl/>
        </w:rPr>
        <w:t xml:space="preserve">                                                </w:t>
      </w:r>
      <w:r w:rsidRPr="0042621E">
        <w:rPr>
          <w:rStyle w:val="libFootnote0Char"/>
          <w:rtl/>
        </w:rPr>
        <w:t>(12).</w:t>
      </w:r>
      <w:r w:rsidR="00E3253D" w:rsidRPr="005D642E">
        <w:rPr>
          <w:rtl/>
        </w:rPr>
        <w:t xml:space="preserve"> في البحار : « بيده</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 بس » : « وبركبتيه</w:t>
      </w:r>
      <w:r w:rsidR="00E3253D">
        <w:rPr>
          <w:rtl/>
        </w:rPr>
        <w:t xml:space="preserve"> ».</w:t>
      </w:r>
      <w:r w:rsidR="00E3253D" w:rsidRPr="005D642E">
        <w:rPr>
          <w:rtl/>
        </w:rPr>
        <w:t xml:space="preserve"> وفي البحار : « وركبته</w:t>
      </w:r>
      <w:r w:rsidR="00E3253D">
        <w:rPr>
          <w:rtl/>
        </w:rPr>
        <w:t xml:space="preserve"> ».</w:t>
      </w:r>
    </w:p>
    <w:p w:rsidR="00E3253D" w:rsidRPr="005D642E" w:rsidRDefault="0042621E" w:rsidP="000B6320">
      <w:pPr>
        <w:pStyle w:val="libFootnote0"/>
        <w:rPr>
          <w:rtl/>
          <w:lang w:bidi="fa-IR"/>
        </w:rPr>
      </w:pPr>
      <w:r w:rsidRPr="0042621E">
        <w:rPr>
          <w:rStyle w:val="libFootnote0Char"/>
          <w:rtl/>
        </w:rPr>
        <w:t>(14).</w:t>
      </w:r>
      <w:r w:rsidR="00E3253D" w:rsidRPr="005D642E">
        <w:rPr>
          <w:rtl/>
        </w:rPr>
        <w:t xml:space="preserve"> في « بث » : « حتّى وحش</w:t>
      </w:r>
      <w:r w:rsidR="00E3253D">
        <w:rPr>
          <w:rtl/>
        </w:rPr>
        <w:t xml:space="preserve"> ».</w:t>
      </w:r>
      <w:r w:rsidR="00E3253D" w:rsidRPr="005D642E">
        <w:rPr>
          <w:rtl/>
        </w:rPr>
        <w:t xml:space="preserve"> وفي « بح » والبحار : « حتّى وجر</w:t>
      </w:r>
      <w:r w:rsidR="00E3253D">
        <w:rPr>
          <w:rtl/>
        </w:rPr>
        <w:t xml:space="preserve"> ».</w:t>
      </w:r>
      <w:r w:rsidR="00E3253D" w:rsidRPr="005D642E">
        <w:rPr>
          <w:rtl/>
        </w:rPr>
        <w:t xml:space="preserve"> والوَجْس : فزع يقع في القلب ، أو في السمع من‌صوت أو غير ذلك ، أي وقع في قلبه الفزع من الموت. وفي </w:t>
      </w:r>
      <w:r w:rsidR="00E3253D" w:rsidRPr="002F4D34">
        <w:rPr>
          <w:rStyle w:val="libFootnoteBoldChar"/>
          <w:rtl/>
        </w:rPr>
        <w:t>مرآة العقول</w:t>
      </w:r>
      <w:r w:rsidR="00E3253D" w:rsidRPr="005D642E">
        <w:rPr>
          <w:rtl/>
        </w:rPr>
        <w:t xml:space="preserve"> : « الوجس : الفزع ، أي خاف الموت على نفسه ، أو خيف عليه. وفي بعض النسخ : حسر به ، أي أعيا ، وفي بعضها : وجر به ، قال الجوهري : وجرت منه ، بالكسر : خفت ، وفي بعضها بالخاء المعجمة والزاء ، أي طعن بالجهاز وأثر في بدنه</w:t>
      </w:r>
      <w:r w:rsidR="00E3253D">
        <w:rPr>
          <w:rtl/>
        </w:rPr>
        <w:t xml:space="preserve"> ».</w:t>
      </w:r>
      <w:r w:rsidR="00E3253D" w:rsidRPr="005D642E">
        <w:rPr>
          <w:rtl/>
        </w:rPr>
        <w:t xml:space="preserve"> راجع : </w:t>
      </w:r>
      <w:r w:rsidR="00E3253D" w:rsidRPr="002F4D34">
        <w:rPr>
          <w:rStyle w:val="libFootnoteBoldChar"/>
          <w:rtl/>
        </w:rPr>
        <w:t>لسان العرب</w:t>
      </w:r>
      <w:r w:rsidR="00E3253D" w:rsidRPr="005D642E">
        <w:rPr>
          <w:rtl/>
        </w:rPr>
        <w:t xml:space="preserve"> ، ج 6 ، ص 253 ( وجس )</w:t>
      </w:r>
      <w:r w:rsidR="00E3253D">
        <w:rPr>
          <w:rtl/>
        </w:rPr>
        <w:t>.</w:t>
      </w:r>
      <w:r w:rsidR="000B6320">
        <w:rPr>
          <w:rFonts w:hint="cs"/>
          <w:rtl/>
        </w:rPr>
        <w:t xml:space="preserve">                    </w:t>
      </w:r>
      <w:r w:rsidRPr="0042621E">
        <w:rPr>
          <w:rStyle w:val="libFootnote0Char"/>
          <w:rtl/>
        </w:rPr>
        <w:t>(15).</w:t>
      </w:r>
      <w:r w:rsidR="00E3253D">
        <w:rPr>
          <w:rtl/>
        </w:rPr>
        <w:t xml:space="preserve"> </w:t>
      </w:r>
      <w:r w:rsidR="00E3253D" w:rsidRPr="005D642E">
        <w:rPr>
          <w:rtl/>
        </w:rPr>
        <w:t>في « بح » : « وأتى</w:t>
      </w:r>
      <w:r w:rsidR="00E3253D">
        <w:rPr>
          <w:rtl/>
        </w:rPr>
        <w:t xml:space="preserve"> ».</w:t>
      </w:r>
    </w:p>
    <w:p w:rsidR="00E3253D" w:rsidRPr="005D642E" w:rsidRDefault="00E3253D" w:rsidP="00E3253D">
      <w:pPr>
        <w:pStyle w:val="libFootnote0"/>
        <w:rPr>
          <w:rtl/>
          <w:lang w:bidi="fa-IR"/>
        </w:rPr>
      </w:pPr>
      <w:r w:rsidRPr="005D642E">
        <w:rPr>
          <w:rtl/>
        </w:rPr>
        <w:t>(1</w:t>
      </w:r>
      <w:r>
        <w:rPr>
          <w:rtl/>
        </w:rPr>
        <w:t>6)</w:t>
      </w:r>
      <w:r w:rsidRPr="005D642E">
        <w:rPr>
          <w:rtl/>
        </w:rPr>
        <w:t xml:space="preserve"> في « بح ، بس ، جح ، جس » وحاشية « بخ » ومرآة العقول والبحار : « سمرة</w:t>
      </w:r>
      <w:r>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ذلِكَ </w:t>
      </w:r>
      <w:r w:rsidRPr="007C12DB">
        <w:rPr>
          <w:rStyle w:val="libFootnotenumChar"/>
          <w:rtl/>
        </w:rPr>
        <w:t>(1)</w:t>
      </w:r>
      <w:r w:rsidRPr="005D642E">
        <w:rPr>
          <w:rtl/>
          <w:lang w:bidi="fa-IR"/>
        </w:rPr>
        <w:t xml:space="preserve"> ، فَأَتى رَسُولَ اللهِ </w:t>
      </w:r>
      <w:r w:rsidR="0042621E" w:rsidRPr="0042621E">
        <w:rPr>
          <w:rStyle w:val="libAlaemChar"/>
          <w:rtl/>
        </w:rPr>
        <w:t>صلى‌الله‌عليه‌وآله</w:t>
      </w:r>
      <w:r w:rsidRPr="005D642E">
        <w:rPr>
          <w:rtl/>
          <w:lang w:bidi="fa-IR"/>
        </w:rPr>
        <w:t xml:space="preserve"> الْوَحْيُ ، فَأَخْبَرَهُ بِذلِكَ ، فَدَعَا عَلِيّاً </w:t>
      </w:r>
      <w:r w:rsidRPr="00AC51C5">
        <w:rPr>
          <w:rStyle w:val="libAlaemChar"/>
          <w:rtl/>
        </w:rPr>
        <w:t>عليه‌السلام</w:t>
      </w:r>
      <w:r w:rsidRPr="005D642E">
        <w:rPr>
          <w:rtl/>
          <w:lang w:bidi="fa-IR"/>
        </w:rPr>
        <w:t xml:space="preserve"> ، فَقَالَ </w:t>
      </w:r>
      <w:r w:rsidRPr="007C12DB">
        <w:rPr>
          <w:rStyle w:val="libFootnotenumChar"/>
          <w:rtl/>
        </w:rPr>
        <w:t>(2)</w:t>
      </w:r>
      <w:r w:rsidRPr="005D642E">
        <w:rPr>
          <w:rtl/>
          <w:lang w:bidi="fa-IR"/>
        </w:rPr>
        <w:t xml:space="preserve"> : خُذْ سَيْفَكَ ، وَانْطَلِقْ </w:t>
      </w:r>
      <w:r w:rsidRPr="007C12DB">
        <w:rPr>
          <w:rStyle w:val="libFootnotenumChar"/>
          <w:rtl/>
        </w:rPr>
        <w:t>(3)</w:t>
      </w:r>
      <w:r w:rsidRPr="005D642E">
        <w:rPr>
          <w:rtl/>
          <w:lang w:bidi="fa-IR"/>
        </w:rPr>
        <w:t xml:space="preserve"> أَنْتَ وَعَمَّارٌ وَثَالِثٌ لَهُمْ </w:t>
      </w:r>
      <w:r w:rsidRPr="007C12DB">
        <w:rPr>
          <w:rStyle w:val="libFootnotenumChar"/>
          <w:rtl/>
        </w:rPr>
        <w:t>(4)</w:t>
      </w:r>
      <w:r w:rsidRPr="005D642E">
        <w:rPr>
          <w:rtl/>
          <w:lang w:bidi="fa-IR"/>
        </w:rPr>
        <w:t xml:space="preserve"> ، فَأْتِ </w:t>
      </w:r>
      <w:r w:rsidRPr="007C12DB">
        <w:rPr>
          <w:rStyle w:val="libFootnotenumChar"/>
          <w:rtl/>
        </w:rPr>
        <w:t>(5)</w:t>
      </w:r>
      <w:r w:rsidRPr="005D642E">
        <w:rPr>
          <w:rtl/>
          <w:lang w:bidi="fa-IR"/>
        </w:rPr>
        <w:t xml:space="preserve"> الْمُغِيرَةَ بْنَ أَبِي الْعَاصِ تَحْتَ شَجَرَةِ </w:t>
      </w:r>
      <w:r w:rsidRPr="007C12DB">
        <w:rPr>
          <w:rStyle w:val="libFootnotenumChar"/>
          <w:rtl/>
        </w:rPr>
        <w:t>(6)</w:t>
      </w:r>
      <w:r w:rsidRPr="005D642E">
        <w:rPr>
          <w:rtl/>
          <w:lang w:bidi="fa-IR"/>
        </w:rPr>
        <w:t xml:space="preserve"> كَذَا وَكَذَا ، فَأَتَاهُ عَلِيٌّ </w:t>
      </w:r>
      <w:r w:rsidRPr="00AC51C5">
        <w:rPr>
          <w:rStyle w:val="libAlaemChar"/>
          <w:rtl/>
        </w:rPr>
        <w:t>عليه‌السلام</w:t>
      </w:r>
      <w:r w:rsidRPr="005D642E">
        <w:rPr>
          <w:rtl/>
          <w:lang w:bidi="fa-IR"/>
        </w:rPr>
        <w:t xml:space="preserve"> ، فَقَتَلَهُ.</w:t>
      </w:r>
    </w:p>
    <w:p w:rsidR="00E3253D" w:rsidRPr="005D642E" w:rsidRDefault="00E3253D" w:rsidP="00E3253D">
      <w:pPr>
        <w:pStyle w:val="libNormal"/>
        <w:rPr>
          <w:rtl/>
          <w:lang w:bidi="fa-IR"/>
        </w:rPr>
      </w:pPr>
      <w:r w:rsidRPr="005D642E">
        <w:rPr>
          <w:rtl/>
          <w:lang w:bidi="fa-IR"/>
        </w:rPr>
        <w:t xml:space="preserve">فَضَرَبَ </w:t>
      </w:r>
      <w:r w:rsidRPr="007C12DB">
        <w:rPr>
          <w:rStyle w:val="libFootnotenumChar"/>
          <w:rtl/>
        </w:rPr>
        <w:t>(7)</w:t>
      </w:r>
      <w:r w:rsidRPr="005D642E">
        <w:rPr>
          <w:rtl/>
          <w:lang w:bidi="fa-IR"/>
        </w:rPr>
        <w:t xml:space="preserve"> عُثْمَانُ بِنْتَ رَسُولِ اللهِ </w:t>
      </w:r>
      <w:r w:rsidR="0042621E" w:rsidRPr="0042621E">
        <w:rPr>
          <w:rStyle w:val="libAlaemChar"/>
          <w:rtl/>
        </w:rPr>
        <w:t>صلى‌الله‌عليه‌وآله</w:t>
      </w:r>
      <w:r w:rsidRPr="005D642E">
        <w:rPr>
          <w:rtl/>
          <w:lang w:bidi="fa-IR"/>
        </w:rPr>
        <w:t xml:space="preserve"> ، وَقَالَ : أَنْتِ أَخْبَرْتِ أَبَاكِ بِمَكَانِهِ ، فَبَعَثَتْ إِلى رَسُولِ اللهِ </w:t>
      </w:r>
      <w:r w:rsidR="0042621E" w:rsidRPr="0042621E">
        <w:rPr>
          <w:rStyle w:val="libAlaemChar"/>
          <w:rtl/>
        </w:rPr>
        <w:t>صلى‌الله‌عليه‌وآله</w:t>
      </w:r>
      <w:r w:rsidRPr="005D642E">
        <w:rPr>
          <w:rtl/>
          <w:lang w:bidi="fa-IR"/>
        </w:rPr>
        <w:t xml:space="preserve"> تَشْكُو مَا لَقِيَتْ ، فَأَرْسَلَ إِلَيْهَا رَسُولُ اللهِ </w:t>
      </w:r>
      <w:r w:rsidR="0042621E" w:rsidRPr="0042621E">
        <w:rPr>
          <w:rStyle w:val="libAlaemChar"/>
          <w:rtl/>
        </w:rPr>
        <w:t>صلى‌الله‌عليه‌وآله</w:t>
      </w:r>
      <w:r w:rsidRPr="005D642E">
        <w:rPr>
          <w:rtl/>
          <w:lang w:bidi="fa-IR"/>
        </w:rPr>
        <w:t xml:space="preserve"> : اقْنَيْ حَيَاءَكِ </w:t>
      </w:r>
      <w:r w:rsidRPr="007C12DB">
        <w:rPr>
          <w:rStyle w:val="libFootnotenumChar"/>
          <w:rtl/>
        </w:rPr>
        <w:t>(8)</w:t>
      </w:r>
      <w:r w:rsidRPr="005D642E">
        <w:rPr>
          <w:rtl/>
          <w:lang w:bidi="fa-IR"/>
        </w:rPr>
        <w:t xml:space="preserve"> ، مَا </w:t>
      </w:r>
      <w:r w:rsidRPr="007C12DB">
        <w:rPr>
          <w:rStyle w:val="libFootnotenumChar"/>
          <w:rtl/>
        </w:rPr>
        <w:t>(9)</w:t>
      </w:r>
      <w:r w:rsidRPr="005D642E">
        <w:rPr>
          <w:rtl/>
          <w:lang w:bidi="fa-IR"/>
        </w:rPr>
        <w:t xml:space="preserve"> أَقْبَحَ بِالْمَرْأَةِ ذَاتِ حَسَبٍ وَدِينٍ فِي </w:t>
      </w:r>
      <w:r w:rsidRPr="007C12DB">
        <w:rPr>
          <w:rStyle w:val="libFootnotenumChar"/>
          <w:rtl/>
        </w:rPr>
        <w:t>(10)</w:t>
      </w:r>
      <w:r w:rsidRPr="005D642E">
        <w:rPr>
          <w:rtl/>
          <w:lang w:bidi="fa-IR"/>
        </w:rPr>
        <w:t xml:space="preserve"> كُلِّ يَوْمٍ تَشْكُو زَوْجَهَا ، فَأَرْسَلَتْ إِلَيْهِ مَرَّاتٍ </w:t>
      </w:r>
      <w:r w:rsidRPr="007C12DB">
        <w:rPr>
          <w:rStyle w:val="libFootnotenumChar"/>
          <w:rtl/>
        </w:rPr>
        <w:t>(11)</w:t>
      </w:r>
      <w:r w:rsidRPr="005D642E">
        <w:rPr>
          <w:rtl/>
          <w:lang w:bidi="fa-IR"/>
        </w:rPr>
        <w:t xml:space="preserve"> ، كُلَّ ذلِكَ </w:t>
      </w:r>
      <w:r w:rsidRPr="007C12DB">
        <w:rPr>
          <w:rStyle w:val="libFootnotenumChar"/>
          <w:rtl/>
        </w:rPr>
        <w:t>(12)</w:t>
      </w:r>
      <w:r w:rsidRPr="005D642E">
        <w:rPr>
          <w:rtl/>
          <w:lang w:bidi="fa-IR"/>
        </w:rPr>
        <w:t xml:space="preserve"> يَقُولُ لَهَا ذلِكَ ، فَلَمَّا كَانَ فِي </w:t>
      </w:r>
      <w:r w:rsidRPr="007C12DB">
        <w:rPr>
          <w:rStyle w:val="libFootnotenumChar"/>
          <w:rtl/>
        </w:rPr>
        <w:t>(13)</w:t>
      </w:r>
      <w:r w:rsidRPr="005D642E">
        <w:rPr>
          <w:rtl/>
          <w:lang w:bidi="fa-IR"/>
        </w:rPr>
        <w:t xml:space="preserve"> الرَّابِعَةِ دَعَا عَلِيّاً </w:t>
      </w:r>
      <w:r w:rsidRPr="00AC51C5">
        <w:rPr>
          <w:rStyle w:val="libAlaemChar"/>
          <w:rtl/>
        </w:rPr>
        <w:t>عليه‌السلام</w:t>
      </w:r>
      <w:r w:rsidRPr="005D642E">
        <w:rPr>
          <w:rtl/>
          <w:lang w:bidi="fa-IR"/>
        </w:rPr>
        <w:t xml:space="preserve"> ، وَقَالَ </w:t>
      </w:r>
      <w:r w:rsidRPr="007C12DB">
        <w:rPr>
          <w:rStyle w:val="libFootnotenumChar"/>
          <w:rtl/>
        </w:rPr>
        <w:t>(14)</w:t>
      </w:r>
      <w:r w:rsidRPr="005D642E">
        <w:rPr>
          <w:rtl/>
          <w:lang w:bidi="fa-IR"/>
        </w:rPr>
        <w:t xml:space="preserve"> : خُذْ سَيْفَكَ ، وَاشْتَمِلْ عَلَيْهِ ، ثُمَّ ائْتِ بَيْتَ </w:t>
      </w:r>
      <w:r w:rsidRPr="007C12DB">
        <w:rPr>
          <w:rStyle w:val="libFootnotenumChar"/>
          <w:rtl/>
        </w:rPr>
        <w:t>(15)</w:t>
      </w:r>
      <w:r w:rsidRPr="005D642E">
        <w:rPr>
          <w:rtl/>
          <w:lang w:bidi="fa-IR"/>
        </w:rPr>
        <w:t xml:space="preserve"> ابْنَةِ </w:t>
      </w:r>
      <w:r w:rsidRPr="007C12DB">
        <w:rPr>
          <w:rStyle w:val="libFootnotenumChar"/>
          <w:rtl/>
        </w:rPr>
        <w:t>(16)</w:t>
      </w:r>
      <w:r w:rsidRPr="005D642E">
        <w:rPr>
          <w:rtl/>
          <w:lang w:bidi="fa-IR"/>
        </w:rPr>
        <w:t xml:space="preserve"> ابْنِ </w:t>
      </w:r>
      <w:r w:rsidRPr="007C12DB">
        <w:rPr>
          <w:rStyle w:val="libFootnotenumChar"/>
          <w:rtl/>
        </w:rPr>
        <w:t>(17)</w:t>
      </w:r>
      <w:r w:rsidRPr="005D642E">
        <w:rPr>
          <w:rtl/>
          <w:lang w:bidi="fa-IR"/>
        </w:rPr>
        <w:t xml:space="preserve"> عَمِّكَ ، فَخُذْ بِيَدِهَا ، فَإِنْ حَالَ بَيْنَكَ وَبَيْنَهَا أَحَدٌ ، فَاحْطِمْهُ</w:t>
      </w:r>
      <w:r w:rsidRPr="007C12DB">
        <w:rPr>
          <w:rStyle w:val="libFootnotenumChar"/>
          <w:rtl/>
        </w:rPr>
        <w:t>(18)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البحار :</w:t>
      </w:r>
      <w:r w:rsidR="00E3253D">
        <w:rPr>
          <w:rtl/>
        </w:rPr>
        <w:t xml:space="preserve"> </w:t>
      </w:r>
      <w:r w:rsidR="007642BC">
        <w:rPr>
          <w:rtl/>
        </w:rPr>
        <w:t>-</w:t>
      </w:r>
      <w:r w:rsidR="00E3253D">
        <w:rPr>
          <w:rtl/>
        </w:rPr>
        <w:t xml:space="preserve"> </w:t>
      </w:r>
      <w:r w:rsidR="00E3253D" w:rsidRPr="005D642E">
        <w:rPr>
          <w:rtl/>
        </w:rPr>
        <w:t>« ذلك</w:t>
      </w:r>
      <w:r w:rsidR="00E3253D">
        <w:rPr>
          <w:rtl/>
        </w:rPr>
        <w:t xml:space="preserve"> ».</w:t>
      </w:r>
      <w:r w:rsidR="00E3253D" w:rsidRPr="005D642E">
        <w:rPr>
          <w:rtl/>
        </w:rPr>
        <w:t xml:space="preserve"> وقوله : « ما أبهره ذلك » أي ما أوقع عليه البُهْرَ ، وهو ما يعتري الإنسان عند السعي الشديدو العَدْو من النهيج وتتا</w:t>
      </w:r>
      <w:r w:rsidR="000B6320">
        <w:rPr>
          <w:rtl/>
        </w:rPr>
        <w:t>بع النَفَس. قال العل</w:t>
      </w:r>
      <w:r w:rsidR="000B6320">
        <w:rPr>
          <w:rFonts w:hint="cs"/>
          <w:rtl/>
        </w:rPr>
        <w:t>ّ</w:t>
      </w:r>
      <w:r w:rsidR="000B6320">
        <w:rPr>
          <w:rtl/>
        </w:rPr>
        <w:t>ا</w:t>
      </w:r>
      <w:r w:rsidR="00E3253D" w:rsidRPr="005D642E">
        <w:rPr>
          <w:rtl/>
        </w:rPr>
        <w:t>مة الفيض : « كناية عن قرب المسافة ؛ يعني كانت الشجرة قريبة من المدينة بحيث لوأتاها بعضكم ما أتعبه إتيانها</w:t>
      </w:r>
      <w:r w:rsidR="00E3253D">
        <w:rPr>
          <w:rtl/>
        </w:rPr>
        <w:t xml:space="preserve"> ».</w:t>
      </w:r>
      <w:r w:rsidR="000B6320">
        <w:rPr>
          <w:rtl/>
        </w:rPr>
        <w:t xml:space="preserve"> وقال العل</w:t>
      </w:r>
      <w:r w:rsidR="000B6320">
        <w:rPr>
          <w:rFonts w:hint="cs"/>
          <w:rtl/>
        </w:rPr>
        <w:t>ّ</w:t>
      </w:r>
      <w:r w:rsidR="000B6320">
        <w:rPr>
          <w:rtl/>
        </w:rPr>
        <w:t>ا</w:t>
      </w:r>
      <w:r w:rsidR="00E3253D" w:rsidRPr="005D642E">
        <w:rPr>
          <w:rtl/>
        </w:rPr>
        <w:t xml:space="preserve">مة المجلسي : « قوله </w:t>
      </w:r>
      <w:r w:rsidR="00E3253D" w:rsidRPr="000B6320">
        <w:rPr>
          <w:rStyle w:val="libFootnoteAlaemChar"/>
          <w:rtl/>
        </w:rPr>
        <w:t>عليه‌السلام</w:t>
      </w:r>
      <w:r w:rsidR="00E3253D" w:rsidRPr="005D642E">
        <w:rPr>
          <w:rtl/>
        </w:rPr>
        <w:t xml:space="preserve"> : ما أبهره ، كلمة ما نافية ، والبهرة تتابع النَفَس للإعياء ، أي لم يمش مكاناً بعيداً مع هذه المشقّة التي تحملها ، بل ذهب إلى مكان لوأتاه بعضكم من المدينة ماشياً لم يحصل له إعياء وتعب ، فأعجزه الله في هذه المسافة القليلة مع العدّة التي أعدّها له عثمان بإعجاز النبيّ </w:t>
      </w:r>
      <w:r w:rsidRPr="000B6320">
        <w:rPr>
          <w:rStyle w:val="libFootnoteAlaemChar"/>
          <w:rtl/>
        </w:rPr>
        <w:t>صلى‌الله‌عليه‌وآله</w:t>
      </w:r>
      <w:r w:rsidR="00E3253D">
        <w:rPr>
          <w:rtl/>
        </w:rPr>
        <w:t xml:space="preserve"> ..</w:t>
      </w:r>
      <w:r w:rsidR="00E3253D" w:rsidRPr="005D642E">
        <w:rPr>
          <w:rtl/>
        </w:rPr>
        <w:t>. وربّما يقرأ على صيغة التعجّب ، أي تنحّى بعيداً عن الطريق ولم ينفعه ذلك ، وهو بعيد</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2 ، ص 598 ؛ </w:t>
      </w:r>
      <w:r w:rsidR="00E3253D" w:rsidRPr="002F4D34">
        <w:rPr>
          <w:rStyle w:val="libFootnoteBoldChar"/>
          <w:rtl/>
        </w:rPr>
        <w:t>النهاية</w:t>
      </w:r>
      <w:r w:rsidR="00E3253D" w:rsidRPr="005D642E">
        <w:rPr>
          <w:rtl/>
        </w:rPr>
        <w:t xml:space="preserve"> ، ج 1 ، ص 165 ( بهر )</w:t>
      </w:r>
      <w:r w:rsidR="00E3253D">
        <w:rPr>
          <w:rtl/>
        </w:rPr>
        <w:t>.</w:t>
      </w:r>
    </w:p>
    <w:tbl>
      <w:tblPr>
        <w:tblStyle w:val="TableGrid"/>
        <w:bidiVisual/>
        <w:tblW w:w="0" w:type="auto"/>
        <w:tblLook w:val="04A0" w:firstRow="1" w:lastRow="0" w:firstColumn="1" w:lastColumn="0" w:noHBand="0" w:noVBand="1"/>
      </w:tblPr>
      <w:tblGrid>
        <w:gridCol w:w="4006"/>
        <w:gridCol w:w="4006"/>
      </w:tblGrid>
      <w:tr w:rsidR="000B6320" w:rsidTr="000B6320">
        <w:tc>
          <w:tcPr>
            <w:tcW w:w="4006" w:type="dxa"/>
          </w:tcPr>
          <w:p w:rsidR="000B6320" w:rsidRDefault="000B6320" w:rsidP="00E3253D">
            <w:pPr>
              <w:pStyle w:val="libFootnote0"/>
              <w:rPr>
                <w:rStyle w:val="libFootnote0Char"/>
                <w:rtl/>
              </w:rPr>
            </w:pPr>
            <w:r w:rsidRPr="0042621E">
              <w:rPr>
                <w:rStyle w:val="libFootnote0Char"/>
                <w:rtl/>
              </w:rPr>
              <w:t>(2).</w:t>
            </w:r>
            <w:r w:rsidRPr="005D642E">
              <w:rPr>
                <w:rtl/>
              </w:rPr>
              <w:t xml:space="preserve"> في « بث : + « له</w:t>
            </w:r>
            <w:r>
              <w:rPr>
                <w:rtl/>
              </w:rPr>
              <w:t xml:space="preserve"> ».</w:t>
            </w:r>
          </w:p>
        </w:tc>
        <w:tc>
          <w:tcPr>
            <w:tcW w:w="4006" w:type="dxa"/>
          </w:tcPr>
          <w:p w:rsidR="000B6320" w:rsidRDefault="000B6320" w:rsidP="00E3253D">
            <w:pPr>
              <w:pStyle w:val="libFootnote0"/>
              <w:rPr>
                <w:rStyle w:val="libFootnote0Char"/>
                <w:rtl/>
              </w:rPr>
            </w:pPr>
            <w:r w:rsidRPr="0042621E">
              <w:rPr>
                <w:rStyle w:val="libFootnote0Char"/>
                <w:rtl/>
              </w:rPr>
              <w:t>(3).</w:t>
            </w:r>
            <w:r w:rsidRPr="005D642E">
              <w:rPr>
                <w:rtl/>
              </w:rPr>
              <w:t xml:space="preserve"> في « ى ، بح ، جح » والبحار : « فانطلق</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 « وثالثهم</w:t>
      </w:r>
      <w:r w:rsidR="00E3253D">
        <w:rPr>
          <w:rtl/>
        </w:rPr>
        <w:t xml:space="preserve"> ».</w:t>
      </w:r>
      <w:r w:rsidR="00E3253D" w:rsidRPr="005D642E">
        <w:rPr>
          <w:rtl/>
        </w:rPr>
        <w:t xml:space="preserve"> وفي « بخ » وحاشية « بح » </w:t>
      </w:r>
      <w:r w:rsidR="000D749A" w:rsidRPr="000B6320">
        <w:rPr>
          <w:rtl/>
        </w:rPr>
        <w:t>والوافي</w:t>
      </w:r>
      <w:r w:rsidR="00E3253D" w:rsidRPr="000B6320">
        <w:rPr>
          <w:rtl/>
        </w:rPr>
        <w:t xml:space="preserve"> </w:t>
      </w:r>
      <w:r w:rsidR="00E3253D" w:rsidRPr="005D642E">
        <w:rPr>
          <w:rtl/>
        </w:rPr>
        <w:t>: « وثالث لهما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B6320" w:rsidTr="000B6320">
        <w:tc>
          <w:tcPr>
            <w:tcW w:w="4006" w:type="dxa"/>
          </w:tcPr>
          <w:p w:rsidR="000B6320" w:rsidRDefault="000B6320" w:rsidP="00E3253D">
            <w:pPr>
              <w:pStyle w:val="libFootnote0"/>
              <w:rPr>
                <w:rStyle w:val="libFootnote0Char"/>
                <w:rtl/>
              </w:rPr>
            </w:pPr>
            <w:r w:rsidRPr="0042621E">
              <w:rPr>
                <w:rStyle w:val="libFootnote0Char"/>
                <w:rtl/>
              </w:rPr>
              <w:t>(5).</w:t>
            </w:r>
            <w:r w:rsidRPr="005D642E">
              <w:rPr>
                <w:rtl/>
              </w:rPr>
              <w:t xml:space="preserve"> في حاشية « بث » والبحار : « فإنّ</w:t>
            </w:r>
            <w:r>
              <w:rPr>
                <w:rtl/>
              </w:rPr>
              <w:t xml:space="preserve"> ».</w:t>
            </w:r>
          </w:p>
        </w:tc>
        <w:tc>
          <w:tcPr>
            <w:tcW w:w="4006" w:type="dxa"/>
          </w:tcPr>
          <w:p w:rsidR="000B6320" w:rsidRDefault="000B6320" w:rsidP="00E3253D">
            <w:pPr>
              <w:pStyle w:val="libFootnote0"/>
              <w:rPr>
                <w:rStyle w:val="libFootnote0Char"/>
                <w:rtl/>
              </w:rPr>
            </w:pPr>
            <w:r w:rsidRPr="0042621E">
              <w:rPr>
                <w:rStyle w:val="libFootnote0Char"/>
                <w:rtl/>
              </w:rPr>
              <w:t>(6).</w:t>
            </w:r>
            <w:r w:rsidRPr="005D642E">
              <w:rPr>
                <w:rtl/>
              </w:rPr>
              <w:t xml:space="preserve"> في « بح ، بس ، جح ، جس » : « سمرة</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الوافي : « وضرب</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 اقْنَي حياءَكِ » أي الزميه واحفظيه. راجع : </w:t>
      </w:r>
      <w:r w:rsidR="00E3253D" w:rsidRPr="002F4D34">
        <w:rPr>
          <w:rStyle w:val="libFootnoteBoldChar"/>
          <w:rtl/>
        </w:rPr>
        <w:t>لسان العرب</w:t>
      </w:r>
      <w:r w:rsidR="00E3253D" w:rsidRPr="005D642E">
        <w:rPr>
          <w:rtl/>
        </w:rPr>
        <w:t xml:space="preserve"> ، ج 15 ، ص 201</w:t>
      </w:r>
      <w:r w:rsidR="00E3253D">
        <w:rPr>
          <w:rtl/>
        </w:rPr>
        <w:t xml:space="preserve"> </w:t>
      </w:r>
      <w:r w:rsidR="007642BC">
        <w:rPr>
          <w:rtl/>
        </w:rPr>
        <w:t>-</w:t>
      </w:r>
      <w:r w:rsidR="00E3253D">
        <w:rPr>
          <w:rtl/>
        </w:rPr>
        <w:t xml:space="preserve"> </w:t>
      </w:r>
      <w:r w:rsidR="00E3253D" w:rsidRPr="005D642E">
        <w:rPr>
          <w:rtl/>
        </w:rPr>
        <w:t>202 ( قنا )</w:t>
      </w:r>
      <w:r w:rsidR="00E3253D">
        <w:rPr>
          <w:rtl/>
        </w:rPr>
        <w:t>.</w:t>
      </w:r>
    </w:p>
    <w:tbl>
      <w:tblPr>
        <w:tblStyle w:val="TableGrid"/>
        <w:bidiVisual/>
        <w:tblW w:w="0" w:type="auto"/>
        <w:tblLook w:val="04A0" w:firstRow="1" w:lastRow="0" w:firstColumn="1" w:lastColumn="0" w:noHBand="0" w:noVBand="1"/>
      </w:tblPr>
      <w:tblGrid>
        <w:gridCol w:w="4006"/>
        <w:gridCol w:w="4006"/>
      </w:tblGrid>
      <w:tr w:rsidR="000B6320" w:rsidTr="000B6320">
        <w:tc>
          <w:tcPr>
            <w:tcW w:w="4006" w:type="dxa"/>
          </w:tcPr>
          <w:p w:rsidR="000B6320" w:rsidRDefault="000B6320" w:rsidP="00E3253D">
            <w:pPr>
              <w:pStyle w:val="libFootnote0"/>
              <w:rPr>
                <w:rStyle w:val="libFootnote0Char"/>
                <w:rtl/>
              </w:rPr>
            </w:pPr>
            <w:r w:rsidRPr="0042621E">
              <w:rPr>
                <w:rStyle w:val="libFootnote0Char"/>
                <w:rtl/>
              </w:rPr>
              <w:t>(9).</w:t>
            </w:r>
            <w:r w:rsidRPr="005D642E">
              <w:rPr>
                <w:rtl/>
              </w:rPr>
              <w:t xml:space="preserve"> في الوافي والبحار : « فما</w:t>
            </w:r>
            <w:r>
              <w:rPr>
                <w:rtl/>
              </w:rPr>
              <w:t xml:space="preserve"> ».</w:t>
            </w:r>
          </w:p>
        </w:tc>
        <w:tc>
          <w:tcPr>
            <w:tcW w:w="4006" w:type="dxa"/>
          </w:tcPr>
          <w:p w:rsidR="000B6320" w:rsidRDefault="000B6320" w:rsidP="00E3253D">
            <w:pPr>
              <w:pStyle w:val="libFootnote0"/>
              <w:rPr>
                <w:rStyle w:val="libFootnote0Char"/>
                <w:rtl/>
              </w:rPr>
            </w:pPr>
            <w:r w:rsidRPr="0042621E">
              <w:rPr>
                <w:rStyle w:val="libFootnote0Char"/>
                <w:rtl/>
              </w:rPr>
              <w:t>(10).</w:t>
            </w:r>
            <w:r w:rsidRPr="005D642E">
              <w:rPr>
                <w:rtl/>
              </w:rPr>
              <w:t xml:space="preserve"> في « بح » :</w:t>
            </w:r>
            <w:r>
              <w:rPr>
                <w:rtl/>
              </w:rPr>
              <w:t xml:space="preserve"> - </w:t>
            </w:r>
            <w:r w:rsidRPr="005D642E">
              <w:rPr>
                <w:rtl/>
              </w:rPr>
              <w:t>« في</w:t>
            </w:r>
            <w:r>
              <w:rPr>
                <w:rtl/>
              </w:rPr>
              <w:t xml:space="preserve"> ».</w:t>
            </w:r>
          </w:p>
        </w:tc>
      </w:tr>
      <w:tr w:rsidR="000B6320" w:rsidTr="000B6320">
        <w:tc>
          <w:tcPr>
            <w:tcW w:w="4006" w:type="dxa"/>
          </w:tcPr>
          <w:p w:rsidR="000B6320" w:rsidRDefault="000B6320" w:rsidP="00E3253D">
            <w:pPr>
              <w:pStyle w:val="libFootnote0"/>
              <w:rPr>
                <w:rStyle w:val="libFootnote0Char"/>
                <w:rtl/>
              </w:rPr>
            </w:pPr>
            <w:r w:rsidRPr="0042621E">
              <w:rPr>
                <w:rStyle w:val="libFootnote0Char"/>
                <w:rtl/>
              </w:rPr>
              <w:t>(11).</w:t>
            </w:r>
            <w:r w:rsidRPr="005D642E">
              <w:rPr>
                <w:rtl/>
              </w:rPr>
              <w:t xml:space="preserve"> في « بث ، بخ » </w:t>
            </w:r>
            <w:r w:rsidRPr="000B6320">
              <w:rPr>
                <w:rtl/>
              </w:rPr>
              <w:t>والوافي</w:t>
            </w:r>
            <w:r w:rsidRPr="005D642E">
              <w:rPr>
                <w:rtl/>
              </w:rPr>
              <w:t xml:space="preserve"> : « مراراً</w:t>
            </w:r>
            <w:r>
              <w:rPr>
                <w:rtl/>
              </w:rPr>
              <w:t xml:space="preserve"> ».</w:t>
            </w:r>
          </w:p>
        </w:tc>
        <w:tc>
          <w:tcPr>
            <w:tcW w:w="4006" w:type="dxa"/>
          </w:tcPr>
          <w:p w:rsidR="000B6320" w:rsidRDefault="000B6320" w:rsidP="00E3253D">
            <w:pPr>
              <w:pStyle w:val="libFootnote0"/>
              <w:rPr>
                <w:rStyle w:val="libFootnote0Char"/>
                <w:rtl/>
              </w:rPr>
            </w:pPr>
            <w:r w:rsidRPr="0042621E">
              <w:rPr>
                <w:rStyle w:val="libFootnote0Char"/>
                <w:rtl/>
              </w:rPr>
              <w:t>(12).</w:t>
            </w:r>
            <w:r w:rsidRPr="005D642E">
              <w:rPr>
                <w:rtl/>
              </w:rPr>
              <w:t xml:space="preserve"> في « جس » : « كلّ يوم</w:t>
            </w:r>
            <w:r>
              <w:rPr>
                <w:rtl/>
              </w:rPr>
              <w:t xml:space="preserve"> ».</w:t>
            </w:r>
          </w:p>
        </w:tc>
      </w:tr>
      <w:tr w:rsidR="000B6320" w:rsidTr="000B6320">
        <w:tc>
          <w:tcPr>
            <w:tcW w:w="4006" w:type="dxa"/>
          </w:tcPr>
          <w:p w:rsidR="000B6320" w:rsidRDefault="000B6320" w:rsidP="00E3253D">
            <w:pPr>
              <w:pStyle w:val="libFootnote0"/>
              <w:rPr>
                <w:rStyle w:val="libFootnote0Char"/>
                <w:rtl/>
              </w:rPr>
            </w:pPr>
            <w:r w:rsidRPr="0042621E">
              <w:rPr>
                <w:rStyle w:val="libFootnote0Char"/>
                <w:rtl/>
              </w:rPr>
              <w:t>(13).</w:t>
            </w:r>
            <w:r w:rsidRPr="005D642E">
              <w:rPr>
                <w:rtl/>
              </w:rPr>
              <w:t xml:space="preserve"> في « ى » :</w:t>
            </w:r>
            <w:r>
              <w:rPr>
                <w:rtl/>
              </w:rPr>
              <w:t xml:space="preserve"> - </w:t>
            </w:r>
            <w:r w:rsidRPr="005D642E">
              <w:rPr>
                <w:rtl/>
              </w:rPr>
              <w:t>« في</w:t>
            </w:r>
            <w:r>
              <w:rPr>
                <w:rtl/>
              </w:rPr>
              <w:t xml:space="preserve"> ».</w:t>
            </w:r>
          </w:p>
        </w:tc>
        <w:tc>
          <w:tcPr>
            <w:tcW w:w="4006" w:type="dxa"/>
          </w:tcPr>
          <w:p w:rsidR="000B6320" w:rsidRDefault="000B6320" w:rsidP="00E3253D">
            <w:pPr>
              <w:pStyle w:val="libFootnote0"/>
              <w:rPr>
                <w:rStyle w:val="libFootnote0Char"/>
                <w:rtl/>
              </w:rPr>
            </w:pPr>
            <w:r w:rsidRPr="0042621E">
              <w:rPr>
                <w:rStyle w:val="libFootnote0Char"/>
                <w:rtl/>
              </w:rPr>
              <w:t>(14).</w:t>
            </w:r>
            <w:r>
              <w:rPr>
                <w:rtl/>
              </w:rPr>
              <w:t xml:space="preserve"> </w:t>
            </w:r>
            <w:r w:rsidRPr="005D642E">
              <w:rPr>
                <w:rtl/>
              </w:rPr>
              <w:t xml:space="preserve">في « بخ » </w:t>
            </w:r>
            <w:r w:rsidRPr="000B6320">
              <w:rPr>
                <w:rtl/>
              </w:rPr>
              <w:t>والوافي</w:t>
            </w:r>
            <w:r w:rsidRPr="005D642E">
              <w:rPr>
                <w:rtl/>
              </w:rPr>
              <w:t xml:space="preserve"> : « فقال</w:t>
            </w:r>
            <w:r>
              <w:rPr>
                <w:rtl/>
              </w:rPr>
              <w:t xml:space="preserve"> ».</w:t>
            </w:r>
          </w:p>
        </w:tc>
      </w:tr>
      <w:tr w:rsidR="000B6320" w:rsidTr="000B6320">
        <w:tc>
          <w:tcPr>
            <w:tcW w:w="4006" w:type="dxa"/>
          </w:tcPr>
          <w:p w:rsidR="000B6320" w:rsidRDefault="000B6320" w:rsidP="00E3253D">
            <w:pPr>
              <w:pStyle w:val="libFootnote0"/>
              <w:rPr>
                <w:rStyle w:val="libFootnote0Char"/>
                <w:rtl/>
              </w:rPr>
            </w:pPr>
            <w:r w:rsidRPr="0042621E">
              <w:rPr>
                <w:rStyle w:val="libFootnote0Char"/>
                <w:rtl/>
              </w:rPr>
              <w:t>(15).</w:t>
            </w:r>
            <w:r>
              <w:rPr>
                <w:rtl/>
              </w:rPr>
              <w:t xml:space="preserve"> </w:t>
            </w:r>
            <w:r w:rsidRPr="005D642E">
              <w:rPr>
                <w:rtl/>
              </w:rPr>
              <w:t>في « ى ، جس »</w:t>
            </w:r>
            <w:r w:rsidRPr="000B6320">
              <w:rPr>
                <w:rtl/>
              </w:rPr>
              <w:t xml:space="preserve"> والوافي</w:t>
            </w:r>
            <w:r w:rsidRPr="005D642E">
              <w:rPr>
                <w:rtl/>
              </w:rPr>
              <w:t xml:space="preserve"> :</w:t>
            </w:r>
            <w:r>
              <w:rPr>
                <w:rtl/>
              </w:rPr>
              <w:t xml:space="preserve"> - </w:t>
            </w:r>
            <w:r w:rsidRPr="005D642E">
              <w:rPr>
                <w:rtl/>
              </w:rPr>
              <w:t>« بيت</w:t>
            </w:r>
            <w:r>
              <w:rPr>
                <w:rtl/>
              </w:rPr>
              <w:t xml:space="preserve"> ».</w:t>
            </w:r>
          </w:p>
        </w:tc>
        <w:tc>
          <w:tcPr>
            <w:tcW w:w="4006" w:type="dxa"/>
          </w:tcPr>
          <w:p w:rsidR="000B6320" w:rsidRDefault="000B6320" w:rsidP="00E3253D">
            <w:pPr>
              <w:pStyle w:val="libFootnote0"/>
              <w:rPr>
                <w:rStyle w:val="libFootnote0Char"/>
                <w:rtl/>
              </w:rPr>
            </w:pPr>
            <w:r w:rsidRPr="005D642E">
              <w:rPr>
                <w:rtl/>
              </w:rPr>
              <w:t>(1</w:t>
            </w:r>
            <w:r>
              <w:rPr>
                <w:rtl/>
              </w:rPr>
              <w:t>6) في «ى ، جس» : «</w:t>
            </w:r>
            <w:r w:rsidRPr="005D642E">
              <w:rPr>
                <w:rtl/>
              </w:rPr>
              <w:t>بنت</w:t>
            </w:r>
            <w:r>
              <w:rPr>
                <w:rtl/>
              </w:rPr>
              <w:t>». وفي البحار</w:t>
            </w:r>
            <w:r w:rsidRPr="005D642E">
              <w:rPr>
                <w:rtl/>
              </w:rPr>
              <w:t>:</w:t>
            </w:r>
            <w:r>
              <w:rPr>
                <w:rtl/>
              </w:rPr>
              <w:t>-«</w:t>
            </w:r>
            <w:r w:rsidRPr="005D642E">
              <w:rPr>
                <w:rtl/>
              </w:rPr>
              <w:t>ابنة</w:t>
            </w:r>
            <w:r>
              <w:rPr>
                <w:rtl/>
              </w:rPr>
              <w:t>».</w:t>
            </w:r>
          </w:p>
        </w:tc>
      </w:tr>
    </w:tbl>
    <w:p w:rsidR="00E3253D" w:rsidRPr="005D642E" w:rsidRDefault="00E3253D" w:rsidP="00E3253D">
      <w:pPr>
        <w:pStyle w:val="libFootnote0"/>
        <w:rPr>
          <w:rtl/>
          <w:lang w:bidi="fa-IR"/>
        </w:rPr>
      </w:pPr>
      <w:r w:rsidRPr="005D642E">
        <w:rPr>
          <w:rtl/>
        </w:rPr>
        <w:t>(1</w:t>
      </w:r>
      <w:r>
        <w:rPr>
          <w:rtl/>
        </w:rPr>
        <w:t>7)</w:t>
      </w:r>
      <w:r w:rsidRPr="005D642E">
        <w:rPr>
          <w:rtl/>
        </w:rPr>
        <w:t xml:space="preserve"> في « بح » :</w:t>
      </w:r>
      <w:r>
        <w:rPr>
          <w:rtl/>
        </w:rPr>
        <w:t xml:space="preserve"> </w:t>
      </w:r>
      <w:r w:rsidR="007642BC">
        <w:rPr>
          <w:rtl/>
        </w:rPr>
        <w:t>-</w:t>
      </w:r>
      <w:r>
        <w:rPr>
          <w:rtl/>
        </w:rPr>
        <w:t xml:space="preserve"> </w:t>
      </w:r>
      <w:r w:rsidRPr="005D642E">
        <w:rPr>
          <w:rtl/>
        </w:rPr>
        <w:t>« ابن</w:t>
      </w:r>
      <w:r>
        <w:rPr>
          <w:rtl/>
        </w:rPr>
        <w:t xml:space="preserve"> ».</w:t>
      </w:r>
    </w:p>
    <w:p w:rsidR="00E3253D" w:rsidRPr="005D642E" w:rsidRDefault="00E3253D" w:rsidP="00E3253D">
      <w:pPr>
        <w:pStyle w:val="libFootnote0"/>
        <w:rPr>
          <w:rtl/>
          <w:lang w:bidi="fa-IR"/>
        </w:rPr>
      </w:pPr>
      <w:r w:rsidRPr="005D642E">
        <w:rPr>
          <w:rtl/>
        </w:rPr>
        <w:t>(1</w:t>
      </w:r>
      <w:r>
        <w:rPr>
          <w:rtl/>
        </w:rPr>
        <w:t>8)</w:t>
      </w:r>
      <w:r w:rsidRPr="005D642E">
        <w:rPr>
          <w:rtl/>
        </w:rPr>
        <w:t xml:space="preserve"> في « جح » : « فاخطمه</w:t>
      </w:r>
      <w:r>
        <w:rPr>
          <w:rtl/>
        </w:rPr>
        <w:t xml:space="preserve"> ».</w:t>
      </w:r>
      <w:r w:rsidRPr="005D642E">
        <w:rPr>
          <w:rtl/>
        </w:rPr>
        <w:t xml:space="preserve"> </w:t>
      </w:r>
      <w:r>
        <w:rPr>
          <w:rtl/>
        </w:rPr>
        <w:t>و «</w:t>
      </w:r>
      <w:r w:rsidRPr="005D642E">
        <w:rPr>
          <w:rtl/>
        </w:rPr>
        <w:t xml:space="preserve"> فاحطمه » أي اكسره. راجع : </w:t>
      </w:r>
      <w:r w:rsidRPr="002F4D34">
        <w:rPr>
          <w:rStyle w:val="libFootnoteBoldChar"/>
          <w:rtl/>
        </w:rPr>
        <w:t>الصحاح</w:t>
      </w:r>
      <w:r w:rsidRPr="005D642E">
        <w:rPr>
          <w:rtl/>
        </w:rPr>
        <w:t xml:space="preserve"> ، ج 5 ، ص 1900 ( حطم )</w:t>
      </w:r>
      <w:r>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بِالسَّيْفِ ، وَأَقْبَلَ رَسُولُ اللهِ </w:t>
      </w:r>
      <w:r w:rsidR="0042621E" w:rsidRPr="0042621E">
        <w:rPr>
          <w:rStyle w:val="libAlaemChar"/>
          <w:rtl/>
        </w:rPr>
        <w:t>صلى‌الله‌عليه‌وآله</w:t>
      </w:r>
      <w:r w:rsidRPr="005D642E">
        <w:rPr>
          <w:rtl/>
          <w:lang w:bidi="fa-IR"/>
        </w:rPr>
        <w:t xml:space="preserve"> كَالْوَالِهِ مِنْ </w:t>
      </w:r>
      <w:r w:rsidRPr="007C12DB">
        <w:rPr>
          <w:rStyle w:val="libFootnotenumChar"/>
          <w:rtl/>
        </w:rPr>
        <w:t>(1)</w:t>
      </w:r>
      <w:r w:rsidRPr="005D642E">
        <w:rPr>
          <w:rtl/>
          <w:lang w:bidi="fa-IR"/>
        </w:rPr>
        <w:t xml:space="preserve"> مَنْزِلِهِ إِلى </w:t>
      </w:r>
      <w:r w:rsidRPr="007C12DB">
        <w:rPr>
          <w:rStyle w:val="libFootnotenumChar"/>
          <w:rtl/>
        </w:rPr>
        <w:t>(2)</w:t>
      </w:r>
      <w:r w:rsidRPr="005D642E">
        <w:rPr>
          <w:rtl/>
          <w:lang w:bidi="fa-IR"/>
        </w:rPr>
        <w:t xml:space="preserve"> دَارِ عُثْمَانَ ، فَأَخْرَجَ عَلِيٌّ </w:t>
      </w:r>
      <w:r w:rsidRPr="00AC51C5">
        <w:rPr>
          <w:rStyle w:val="libAlaemChar"/>
          <w:rtl/>
        </w:rPr>
        <w:t>عليه‌السلام</w:t>
      </w:r>
      <w:r w:rsidRPr="005D642E">
        <w:rPr>
          <w:rtl/>
          <w:lang w:bidi="fa-IR"/>
        </w:rPr>
        <w:t xml:space="preserve"> ابْنَةَ رَسُولِ اللهِ ، فَلَمَّا نَظَرَتْ إِلَيْهِ ، رَفَعَتْ صَوْتَهَا بِالْبُكَاءِ </w:t>
      </w:r>
      <w:r w:rsidRPr="007C12DB">
        <w:rPr>
          <w:rStyle w:val="libFootnotenumChar"/>
          <w:rtl/>
        </w:rPr>
        <w:t>(3)</w:t>
      </w:r>
      <w:r w:rsidRPr="005D642E">
        <w:rPr>
          <w:rtl/>
          <w:lang w:bidi="fa-IR"/>
        </w:rPr>
        <w:t xml:space="preserve"> ، وَاسْتَعْبَرَ </w:t>
      </w:r>
      <w:r w:rsidRPr="007C12DB">
        <w:rPr>
          <w:rStyle w:val="libFootnotenumChar"/>
          <w:rtl/>
        </w:rPr>
        <w:t>(4)</w:t>
      </w:r>
      <w:r w:rsidRPr="005D642E">
        <w:rPr>
          <w:rtl/>
          <w:lang w:bidi="fa-IR"/>
        </w:rPr>
        <w:t xml:space="preserve"> رَسُولُ اللهِ </w:t>
      </w:r>
      <w:r w:rsidR="0042621E" w:rsidRPr="0042621E">
        <w:rPr>
          <w:rStyle w:val="libAlaemChar"/>
          <w:rtl/>
        </w:rPr>
        <w:t>صلى‌الله‌عليه‌وآله</w:t>
      </w:r>
      <w:r w:rsidRPr="005D642E">
        <w:rPr>
          <w:rtl/>
          <w:lang w:bidi="fa-IR"/>
        </w:rPr>
        <w:t xml:space="preserve"> ، وَبَكى ، ثُمَّ أَدْخَلَهَا مَنْزِلَهُ ، وَكَشَفَتْ </w:t>
      </w:r>
      <w:r w:rsidRPr="007C12DB">
        <w:rPr>
          <w:rStyle w:val="libFootnotenumChar"/>
          <w:rtl/>
        </w:rPr>
        <w:t>(5)</w:t>
      </w:r>
      <w:r w:rsidRPr="005D642E">
        <w:rPr>
          <w:rtl/>
          <w:lang w:bidi="fa-IR"/>
        </w:rPr>
        <w:t xml:space="preserve"> عَنْ ظَهْرِهَا ، فَلَمَّا أَنْ رَأى مَا بِظَهْرِهَا ، قَالَ</w:t>
      </w:r>
      <w:r>
        <w:rPr>
          <w:rtl/>
          <w:lang w:bidi="fa-IR"/>
        </w:rPr>
        <w:t xml:space="preserve"> </w:t>
      </w:r>
      <w:r w:rsidR="007642BC">
        <w:rPr>
          <w:rtl/>
          <w:lang w:bidi="fa-IR"/>
        </w:rPr>
        <w:t>-</w:t>
      </w:r>
      <w:r>
        <w:rPr>
          <w:rtl/>
          <w:lang w:bidi="fa-IR"/>
        </w:rPr>
        <w:t xml:space="preserve"> </w:t>
      </w:r>
      <w:r w:rsidRPr="005D642E">
        <w:rPr>
          <w:rtl/>
          <w:lang w:bidi="fa-IR"/>
        </w:rPr>
        <w:t>ثَلَاثَ مَرَّاتٍ</w:t>
      </w:r>
      <w:r>
        <w:rPr>
          <w:rtl/>
          <w:lang w:bidi="fa-IR"/>
        </w:rPr>
        <w:t xml:space="preserve"> </w:t>
      </w:r>
      <w:r w:rsidR="007642BC">
        <w:rPr>
          <w:rtl/>
          <w:lang w:bidi="fa-IR"/>
        </w:rPr>
        <w:t>-</w:t>
      </w:r>
      <w:r>
        <w:rPr>
          <w:rtl/>
          <w:lang w:bidi="fa-IR"/>
        </w:rPr>
        <w:t xml:space="preserve"> </w:t>
      </w:r>
      <w:r w:rsidRPr="005D642E">
        <w:rPr>
          <w:rtl/>
          <w:lang w:bidi="fa-IR"/>
        </w:rPr>
        <w:t xml:space="preserve">: مَا لَهُ قَتَلَكِ قَتَلَهُ اللهُ ، وَكَانَ </w:t>
      </w:r>
      <w:r w:rsidRPr="007C12DB">
        <w:rPr>
          <w:rStyle w:val="libFootnotenumChar"/>
          <w:rtl/>
        </w:rPr>
        <w:t>(6)</w:t>
      </w:r>
      <w:r w:rsidRPr="005D642E">
        <w:rPr>
          <w:rtl/>
          <w:lang w:bidi="fa-IR"/>
        </w:rPr>
        <w:t xml:space="preserve"> ذلِكَ يَوْمَ الْأَحَدِ ، وَبَاتَ عُثْمَانُ مُلْتَحِفاً </w:t>
      </w:r>
      <w:r w:rsidRPr="007C12DB">
        <w:rPr>
          <w:rStyle w:val="libFootnotenumChar"/>
          <w:rtl/>
        </w:rPr>
        <w:t>(7)</w:t>
      </w:r>
      <w:r w:rsidRPr="005D642E">
        <w:rPr>
          <w:rtl/>
          <w:lang w:bidi="fa-IR"/>
        </w:rPr>
        <w:t xml:space="preserve"> بِجَارِيَتِهَا </w:t>
      </w:r>
      <w:r w:rsidRPr="007C12DB">
        <w:rPr>
          <w:rStyle w:val="libFootnotenumChar"/>
          <w:rtl/>
        </w:rPr>
        <w:t>(8)</w:t>
      </w:r>
      <w:r w:rsidRPr="005D642E">
        <w:rPr>
          <w:rtl/>
          <w:lang w:bidi="fa-IR"/>
        </w:rPr>
        <w:t xml:space="preserve"> ، فَمَكَثَتْ </w:t>
      </w:r>
      <w:r w:rsidRPr="007C12DB">
        <w:rPr>
          <w:rStyle w:val="libFootnotenumChar"/>
          <w:rtl/>
        </w:rPr>
        <w:t>(9)</w:t>
      </w:r>
      <w:r w:rsidRPr="005D642E">
        <w:rPr>
          <w:rtl/>
          <w:lang w:bidi="fa-IR"/>
        </w:rPr>
        <w:t xml:space="preserve"> الْإِثْنَيْنَ وَالثَّلَاثَاءَ </w:t>
      </w:r>
      <w:r w:rsidRPr="007C12DB">
        <w:rPr>
          <w:rStyle w:val="libFootnotenumChar"/>
          <w:rtl/>
        </w:rPr>
        <w:t>(10)</w:t>
      </w:r>
      <w:r w:rsidRPr="005D642E">
        <w:rPr>
          <w:rtl/>
          <w:lang w:bidi="fa-IR"/>
        </w:rPr>
        <w:t xml:space="preserve"> ، وَمَاتَتْ فِي الْيَوْمِ الرَّابِعِ.</w:t>
      </w:r>
    </w:p>
    <w:p w:rsidR="00E3253D" w:rsidRPr="005D642E" w:rsidRDefault="00E3253D" w:rsidP="00E3253D">
      <w:pPr>
        <w:pStyle w:val="libNormal"/>
        <w:rPr>
          <w:rtl/>
          <w:lang w:bidi="fa-IR"/>
        </w:rPr>
      </w:pPr>
      <w:r w:rsidRPr="005D642E">
        <w:rPr>
          <w:rtl/>
          <w:lang w:bidi="fa-IR"/>
        </w:rPr>
        <w:t xml:space="preserve">فَلَمَّا حَضَرَ أَنْ يَخْرُجَ بِهَا ، أَمَرَ رَسُولُ اللهِ </w:t>
      </w:r>
      <w:r w:rsidR="0042621E" w:rsidRPr="0042621E">
        <w:rPr>
          <w:rStyle w:val="libAlaemChar"/>
          <w:rtl/>
        </w:rPr>
        <w:t>صلى‌الله‌عليه‌وآله</w:t>
      </w:r>
      <w:r w:rsidRPr="005D642E">
        <w:rPr>
          <w:rtl/>
          <w:lang w:bidi="fa-IR"/>
        </w:rPr>
        <w:t xml:space="preserve"> فَاطِمَةَ </w:t>
      </w:r>
      <w:r w:rsidRPr="00AC51C5">
        <w:rPr>
          <w:rStyle w:val="libAlaemChar"/>
          <w:rtl/>
        </w:rPr>
        <w:t>عليها‌السلام</w:t>
      </w:r>
      <w:r w:rsidRPr="005D642E">
        <w:rPr>
          <w:rtl/>
          <w:lang w:bidi="fa-IR"/>
        </w:rPr>
        <w:t xml:space="preserve"> ، فَخَرَجَتْ </w:t>
      </w:r>
      <w:r w:rsidRPr="00AC51C5">
        <w:rPr>
          <w:rStyle w:val="libAlaemChar"/>
          <w:rtl/>
        </w:rPr>
        <w:t>عليها‌السلام</w:t>
      </w:r>
      <w:r w:rsidRPr="005D642E">
        <w:rPr>
          <w:rtl/>
          <w:lang w:bidi="fa-IR"/>
        </w:rPr>
        <w:t xml:space="preserve"> وَنِسَاءُ الْمُؤْمِنِينَ مَعَهَا ، وَخَرَجَ عُثْمَانُ يُشَيِّعُ جَنَازَتَهَا ، فَلَمَّا نَظَرَ إِلَيْهِ النَّبِيُّ </w:t>
      </w:r>
      <w:r w:rsidR="0042621E" w:rsidRPr="0042621E">
        <w:rPr>
          <w:rStyle w:val="libAlaemChar"/>
          <w:rtl/>
        </w:rPr>
        <w:t>صلى‌الله‌عليه‌وآله</w:t>
      </w:r>
      <w:r w:rsidRPr="005D642E">
        <w:rPr>
          <w:rtl/>
          <w:lang w:bidi="fa-IR"/>
        </w:rPr>
        <w:t xml:space="preserve"> ، قَالَ : مَنْ أَطَافَ </w:t>
      </w:r>
      <w:r w:rsidRPr="007C12DB">
        <w:rPr>
          <w:rStyle w:val="libFootnotenumChar"/>
          <w:rtl/>
        </w:rPr>
        <w:t>(11)</w:t>
      </w:r>
      <w:r w:rsidRPr="005D642E">
        <w:rPr>
          <w:rtl/>
          <w:lang w:bidi="fa-IR"/>
        </w:rPr>
        <w:t xml:space="preserve"> الْبَارِحَةَ بِأَهْلِهِ أَوْ بِفَتَاتِهِ </w:t>
      </w:r>
      <w:r w:rsidRPr="007C12DB">
        <w:rPr>
          <w:rStyle w:val="libFootnotenumChar"/>
          <w:rtl/>
        </w:rPr>
        <w:t>(12)</w:t>
      </w:r>
      <w:r w:rsidRPr="005D642E">
        <w:rPr>
          <w:rtl/>
          <w:lang w:bidi="fa-IR"/>
        </w:rPr>
        <w:t xml:space="preserve"> ، فَلَا يَتْبَعَنَّ جَنَازَتَهَا ، قَالَ ذلِكَ ثَلَاثاً ، فَلَمْ يَنْصَرِفْ </w:t>
      </w:r>
      <w:r w:rsidRPr="007C12DB">
        <w:rPr>
          <w:rStyle w:val="libFootnotenumChar"/>
          <w:rtl/>
        </w:rPr>
        <w:t>(13)</w:t>
      </w:r>
      <w:r w:rsidRPr="005D642E">
        <w:rPr>
          <w:rtl/>
          <w:lang w:bidi="fa-IR"/>
        </w:rPr>
        <w:t xml:space="preserve"> ، فَلَمَّا كَانَ فِي الرَّابِعَةِ ، قَالَ : لَيَنْصَرِفَنَّ أَوْ لَأُسَمِّيَنَّ بِاسْمِهِ ، فَأَقْبَلَ عُثْمَانُ مُتَوَكِّئاً عَلى مَوْلًى لَهُ </w:t>
      </w:r>
      <w:r w:rsidRPr="007C12DB">
        <w:rPr>
          <w:rStyle w:val="libFootnotenumChar"/>
          <w:rtl/>
        </w:rPr>
        <w:t>(14)</w:t>
      </w:r>
      <w:r w:rsidRPr="005D642E">
        <w:rPr>
          <w:rtl/>
          <w:lang w:bidi="fa-IR"/>
        </w:rPr>
        <w:t xml:space="preserve"> ، مُمْسِكاً </w:t>
      </w:r>
      <w:r w:rsidRPr="007C12DB">
        <w:rPr>
          <w:rStyle w:val="libFootnotenumChar"/>
          <w:rtl/>
        </w:rPr>
        <w:t>(15)</w:t>
      </w:r>
      <w:r w:rsidRPr="005D642E">
        <w:rPr>
          <w:rtl/>
          <w:lang w:bidi="fa-IR"/>
        </w:rPr>
        <w:t xml:space="preserve"> بِبَطْنِهِ </w:t>
      </w:r>
      <w:r w:rsidRPr="007C12DB">
        <w:rPr>
          <w:rStyle w:val="libFootnotenumChar"/>
          <w:rtl/>
        </w:rPr>
        <w:t>(16)</w:t>
      </w:r>
      <w:r w:rsidRPr="005D642E">
        <w:rPr>
          <w:rtl/>
          <w:lang w:bidi="fa-IR"/>
        </w:rPr>
        <w:t xml:space="preserve"> ، فَقَالَ : يَا رَسُولَ اللهِ ، إِنِّي أَشْتَكِي </w:t>
      </w:r>
      <w:r w:rsidRPr="007C12DB">
        <w:rPr>
          <w:rStyle w:val="libFootnotenumChar"/>
          <w:rtl/>
        </w:rPr>
        <w:t>(17)</w:t>
      </w:r>
      <w:r w:rsidRPr="005D642E">
        <w:rPr>
          <w:rtl/>
          <w:lang w:bidi="fa-IR"/>
        </w:rPr>
        <w:t xml:space="preserve"> بَطْنِي ، فَإِنْ رَأَيْتَ أَنْ تَأْذَنَ‌</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بين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بخ » </w:t>
      </w:r>
      <w:r w:rsidR="000D749A" w:rsidRPr="000D749A">
        <w:rPr>
          <w:rStyle w:val="libFootnoteBoldChar"/>
          <w:rtl/>
        </w:rPr>
        <w:t>والوافي</w:t>
      </w:r>
      <w:r w:rsidR="00E3253D" w:rsidRPr="005D642E">
        <w:rPr>
          <w:rtl/>
        </w:rPr>
        <w:t xml:space="preserve"> : « </w:t>
      </w:r>
      <w:r w:rsidR="00E3253D">
        <w:rPr>
          <w:rtl/>
        </w:rPr>
        <w:t>و »</w:t>
      </w:r>
      <w:r w:rsidR="00E3253D" w:rsidRPr="005D642E">
        <w:rPr>
          <w:rtl/>
        </w:rPr>
        <w:t xml:space="preserve"> بدل « إلى</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 + « والنحيب</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 استعبر » أي جرت عَبْرتُه ، أي دَمْعَتُهُ وحزن. وقيل : استعبر : هو استفعل من العبرة ، وهي تحلّب الدمع ، أي جريه وسيلانه. راجع : </w:t>
      </w:r>
      <w:r w:rsidR="00E3253D" w:rsidRPr="002F4D34">
        <w:rPr>
          <w:rStyle w:val="libFootnoteBoldChar"/>
          <w:rtl/>
        </w:rPr>
        <w:t>النهاية</w:t>
      </w:r>
      <w:r w:rsidR="00E3253D" w:rsidRPr="005D642E">
        <w:rPr>
          <w:rtl/>
        </w:rPr>
        <w:t xml:space="preserve"> ، ج 3 ، ص 171 ؛ </w:t>
      </w:r>
      <w:r w:rsidR="00E3253D" w:rsidRPr="002F4D34">
        <w:rPr>
          <w:rStyle w:val="libFootnoteBoldChar"/>
          <w:rtl/>
        </w:rPr>
        <w:t>لسان العرب</w:t>
      </w:r>
      <w:r w:rsidR="00E3253D" w:rsidRPr="005D642E">
        <w:rPr>
          <w:rtl/>
        </w:rPr>
        <w:t xml:space="preserve"> ، ج 4 ، ص 532 ( عبر )</w:t>
      </w:r>
      <w:r w:rsidR="00E3253D">
        <w:rPr>
          <w:rtl/>
        </w:rPr>
        <w:t>.</w:t>
      </w:r>
    </w:p>
    <w:tbl>
      <w:tblPr>
        <w:tblStyle w:val="TableGrid"/>
        <w:bidiVisual/>
        <w:tblW w:w="0" w:type="auto"/>
        <w:tblLook w:val="04A0" w:firstRow="1" w:lastRow="0" w:firstColumn="1" w:lastColumn="0" w:noHBand="0" w:noVBand="1"/>
      </w:tblPr>
      <w:tblGrid>
        <w:gridCol w:w="4006"/>
        <w:gridCol w:w="4006"/>
      </w:tblGrid>
      <w:tr w:rsidR="000B6320" w:rsidTr="000B6320">
        <w:tc>
          <w:tcPr>
            <w:tcW w:w="4006" w:type="dxa"/>
          </w:tcPr>
          <w:p w:rsidR="000B6320" w:rsidRDefault="000B6320" w:rsidP="00E3253D">
            <w:pPr>
              <w:pStyle w:val="libFootnote0"/>
              <w:rPr>
                <w:rStyle w:val="libFootnote0Char"/>
                <w:rtl/>
              </w:rPr>
            </w:pPr>
            <w:r w:rsidRPr="0042621E">
              <w:rPr>
                <w:rStyle w:val="libFootnote0Char"/>
                <w:rtl/>
              </w:rPr>
              <w:t>(5).</w:t>
            </w:r>
            <w:r w:rsidRPr="005D642E">
              <w:rPr>
                <w:rtl/>
              </w:rPr>
              <w:t xml:space="preserve"> في « ى » : « وكشف</w:t>
            </w:r>
            <w:r>
              <w:rPr>
                <w:rtl/>
              </w:rPr>
              <w:t xml:space="preserve"> ».</w:t>
            </w:r>
          </w:p>
        </w:tc>
        <w:tc>
          <w:tcPr>
            <w:tcW w:w="4006" w:type="dxa"/>
          </w:tcPr>
          <w:p w:rsidR="000B6320" w:rsidRDefault="000B6320" w:rsidP="00E3253D">
            <w:pPr>
              <w:pStyle w:val="libFootnote0"/>
              <w:rPr>
                <w:rStyle w:val="libFootnote0Char"/>
                <w:rtl/>
              </w:rPr>
            </w:pPr>
            <w:r w:rsidRPr="0042621E">
              <w:rPr>
                <w:rStyle w:val="libFootnote0Char"/>
                <w:rtl/>
              </w:rPr>
              <w:t>(6).</w:t>
            </w:r>
            <w:r w:rsidRPr="005D642E">
              <w:rPr>
                <w:rtl/>
              </w:rPr>
              <w:t xml:space="preserve"> في « جس » :</w:t>
            </w:r>
            <w:r>
              <w:rPr>
                <w:rtl/>
              </w:rPr>
              <w:t xml:space="preserve"> - </w:t>
            </w:r>
            <w:r w:rsidRPr="005D642E">
              <w:rPr>
                <w:rtl/>
              </w:rPr>
              <w:t>« كان</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بس ، جح » : « متلحِفاً</w:t>
      </w:r>
      <w:r w:rsidR="00E3253D">
        <w:rPr>
          <w:rtl/>
        </w:rPr>
        <w:t xml:space="preserve"> ».</w:t>
      </w:r>
      <w:r w:rsidR="00E3253D" w:rsidRPr="005D642E">
        <w:rPr>
          <w:rtl/>
        </w:rPr>
        <w:t xml:space="preserve"> وفي « بخ » وحاشية « بح »</w:t>
      </w:r>
      <w:r w:rsidR="00E3253D" w:rsidRPr="000B6320">
        <w:rPr>
          <w:rtl/>
        </w:rPr>
        <w:t xml:space="preserve"> </w:t>
      </w:r>
      <w:r w:rsidR="000D749A" w:rsidRPr="000B6320">
        <w:rPr>
          <w:rtl/>
        </w:rPr>
        <w:t>والوافي</w:t>
      </w:r>
      <w:r w:rsidR="00E3253D" w:rsidRPr="005D642E">
        <w:rPr>
          <w:rtl/>
        </w:rPr>
        <w:t xml:space="preserve"> : « متخلّياً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بس ، جس » : « لجاريتها</w:t>
      </w:r>
      <w:r w:rsidR="00E3253D">
        <w:rPr>
          <w:rtl/>
        </w:rPr>
        <w:t xml:space="preserve"> ».</w:t>
      </w:r>
      <w:r w:rsidR="00E3253D" w:rsidRPr="005D642E">
        <w:rPr>
          <w:rtl/>
        </w:rPr>
        <w:t xml:space="preserve"> يقال : التحف به ، أي تغطّى. راجع : </w:t>
      </w:r>
      <w:r w:rsidR="00E3253D" w:rsidRPr="002F4D34">
        <w:rPr>
          <w:rStyle w:val="libFootnoteBoldChar"/>
          <w:rtl/>
        </w:rPr>
        <w:t>القاموس المحيط</w:t>
      </w:r>
      <w:r w:rsidR="00E3253D" w:rsidRPr="005D642E">
        <w:rPr>
          <w:rtl/>
        </w:rPr>
        <w:t xml:space="preserve"> ، ج 2 ، ص 1134 ( لحف )</w:t>
      </w:r>
      <w:r w:rsidR="00E3253D">
        <w:rPr>
          <w:rtl/>
        </w:rPr>
        <w:t>.</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ى ، بح ، بخ ، بس ، جح ، جس »</w:t>
      </w:r>
      <w:r w:rsidR="00E3253D" w:rsidRPr="000B6320">
        <w:rPr>
          <w:rtl/>
        </w:rPr>
        <w:t xml:space="preserve"> </w:t>
      </w:r>
      <w:r w:rsidR="000D749A" w:rsidRPr="000B6320">
        <w:rPr>
          <w:rtl/>
        </w:rPr>
        <w:t>والوافي</w:t>
      </w:r>
      <w:r w:rsidR="00E3253D" w:rsidRPr="005D642E">
        <w:rPr>
          <w:rtl/>
        </w:rPr>
        <w:t xml:space="preserve"> والبحار. وفي سائر النسخ التي قوبلت والمطبوع : « فمكث</w:t>
      </w:r>
      <w:r w:rsidR="00E3253D">
        <w:rPr>
          <w:rtl/>
        </w:rPr>
        <w:t xml:space="preserve"> ».</w:t>
      </w:r>
      <w:r w:rsidR="000B6320">
        <w:rPr>
          <w:rFonts w:hint="cs"/>
          <w:rtl/>
        </w:rPr>
        <w:t xml:space="preserve">                                                 </w:t>
      </w:r>
      <w:r w:rsidR="00E3253D">
        <w:rPr>
          <w:rFonts w:hint="cs"/>
          <w:rtl/>
          <w:lang w:bidi="fa-IR"/>
        </w:rPr>
        <w:t xml:space="preserve"> </w:t>
      </w:r>
      <w:r w:rsidRPr="0042621E">
        <w:rPr>
          <w:rStyle w:val="libFootnote0Char"/>
          <w:rtl/>
        </w:rPr>
        <w:t>(10).</w:t>
      </w:r>
      <w:r w:rsidR="000B6320">
        <w:rPr>
          <w:rtl/>
        </w:rPr>
        <w:t xml:space="preserve"> في «</w:t>
      </w:r>
      <w:r w:rsidR="00E3253D" w:rsidRPr="005D642E">
        <w:rPr>
          <w:rtl/>
        </w:rPr>
        <w:t>ى ، بح ، بخ ، بس ، جس » : « والثلثاء</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يقال : أطاف به ، أي ألمّ ونزل به قاربه. وفي الوافي : « الإطافة بالأهل كناية عن مباشرتها</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4 ، ص 1397 ( طوف )</w:t>
      </w:r>
      <w:r w:rsidR="00E3253D">
        <w:rPr>
          <w:rtl/>
        </w:rPr>
        <w:t>.</w:t>
      </w:r>
      <w:r w:rsidR="00E3253D">
        <w:rPr>
          <w:rFonts w:hint="cs"/>
          <w:rtl/>
          <w:lang w:bidi="fa-IR"/>
        </w:rPr>
        <w:t xml:space="preserve"> </w:t>
      </w:r>
      <w:r w:rsidR="000B6320">
        <w:rPr>
          <w:rFonts w:hint="cs"/>
          <w:rtl/>
          <w:lang w:bidi="fa-IR"/>
        </w:rPr>
        <w:t xml:space="preserve">                          </w:t>
      </w:r>
      <w:r w:rsidRPr="0042621E">
        <w:rPr>
          <w:rStyle w:val="libFootnote0Char"/>
          <w:rtl/>
        </w:rPr>
        <w:t>(12).</w:t>
      </w:r>
      <w:r w:rsidR="00E3253D" w:rsidRPr="005D642E">
        <w:rPr>
          <w:rtl/>
        </w:rPr>
        <w:t xml:space="preserve"> في الوافي : « بفتياته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B6320" w:rsidTr="000B6320">
        <w:tc>
          <w:tcPr>
            <w:tcW w:w="4006" w:type="dxa"/>
          </w:tcPr>
          <w:p w:rsidR="000B6320" w:rsidRDefault="000B6320" w:rsidP="00E3253D">
            <w:pPr>
              <w:pStyle w:val="libFootnote0"/>
              <w:rPr>
                <w:rStyle w:val="libFootnote0Char"/>
                <w:rtl/>
              </w:rPr>
            </w:pPr>
            <w:r w:rsidRPr="0042621E">
              <w:rPr>
                <w:rStyle w:val="libFootnote0Char"/>
                <w:rtl/>
              </w:rPr>
              <w:t>(13).</w:t>
            </w:r>
            <w:r>
              <w:rPr>
                <w:rtl/>
              </w:rPr>
              <w:t xml:space="preserve"> </w:t>
            </w:r>
            <w:r w:rsidRPr="005D642E">
              <w:rPr>
                <w:rtl/>
              </w:rPr>
              <w:t>في « ى » : + « عثمان</w:t>
            </w:r>
            <w:r>
              <w:rPr>
                <w:rtl/>
              </w:rPr>
              <w:t xml:space="preserve"> ».</w:t>
            </w:r>
          </w:p>
        </w:tc>
        <w:tc>
          <w:tcPr>
            <w:tcW w:w="4006" w:type="dxa"/>
          </w:tcPr>
          <w:p w:rsidR="000B6320" w:rsidRDefault="000B6320" w:rsidP="00E3253D">
            <w:pPr>
              <w:pStyle w:val="libFootnote0"/>
              <w:rPr>
                <w:rStyle w:val="libFootnote0Char"/>
                <w:rtl/>
              </w:rPr>
            </w:pPr>
            <w:r w:rsidRPr="0042621E">
              <w:rPr>
                <w:rStyle w:val="libFootnote0Char"/>
                <w:rtl/>
              </w:rPr>
              <w:t>(14).</w:t>
            </w:r>
            <w:r>
              <w:rPr>
                <w:rtl/>
              </w:rPr>
              <w:t xml:space="preserve"> </w:t>
            </w:r>
            <w:r w:rsidRPr="005D642E">
              <w:rPr>
                <w:rtl/>
              </w:rPr>
              <w:t>في « بخ » : « مولاه » بدل « مولى له</w:t>
            </w:r>
            <w:r>
              <w:rPr>
                <w:rtl/>
              </w:rPr>
              <w:t xml:space="preserve"> ».</w:t>
            </w:r>
          </w:p>
        </w:tc>
      </w:tr>
    </w:tbl>
    <w:p w:rsidR="00E3253D" w:rsidRPr="005D642E" w:rsidRDefault="0042621E" w:rsidP="00E3253D">
      <w:pPr>
        <w:pStyle w:val="libFootnote0"/>
        <w:rPr>
          <w:rtl/>
          <w:lang w:bidi="fa-IR"/>
        </w:rPr>
      </w:pPr>
      <w:r w:rsidRPr="0042621E">
        <w:rPr>
          <w:rStyle w:val="libFootnote0Char"/>
          <w:rtl/>
        </w:rPr>
        <w:t>(15).</w:t>
      </w:r>
      <w:r w:rsidR="00E3253D" w:rsidRPr="005D642E">
        <w:rPr>
          <w:rtl/>
        </w:rPr>
        <w:t xml:space="preserve"> هكذا في « بخ » </w:t>
      </w:r>
      <w:r w:rsidR="000D749A" w:rsidRPr="000B6320">
        <w:rPr>
          <w:rtl/>
        </w:rPr>
        <w:t>والوافي</w:t>
      </w:r>
      <w:r w:rsidR="00E3253D" w:rsidRPr="000B6320">
        <w:rPr>
          <w:rtl/>
        </w:rPr>
        <w:t xml:space="preserve"> والبحار</w:t>
      </w:r>
      <w:r w:rsidR="00E3253D" w:rsidRPr="005D642E">
        <w:rPr>
          <w:rtl/>
        </w:rPr>
        <w:t>. وفي سائر النسخ والمطبوع : « ممسك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B6320" w:rsidTr="000B6320">
        <w:tc>
          <w:tcPr>
            <w:tcW w:w="4006" w:type="dxa"/>
          </w:tcPr>
          <w:p w:rsidR="000B6320" w:rsidRDefault="000B6320" w:rsidP="00E3253D">
            <w:pPr>
              <w:pStyle w:val="libFootnote0"/>
              <w:rPr>
                <w:rtl/>
              </w:rPr>
            </w:pPr>
            <w:r w:rsidRPr="005D642E">
              <w:rPr>
                <w:rtl/>
              </w:rPr>
              <w:t>(1</w:t>
            </w:r>
            <w:r>
              <w:rPr>
                <w:rtl/>
              </w:rPr>
              <w:t>6)</w:t>
            </w:r>
            <w:r w:rsidRPr="005D642E">
              <w:rPr>
                <w:rtl/>
              </w:rPr>
              <w:t xml:space="preserve"> في « بخ » </w:t>
            </w:r>
            <w:r w:rsidRPr="000B6320">
              <w:rPr>
                <w:rtl/>
              </w:rPr>
              <w:t>والوافي</w:t>
            </w:r>
            <w:r w:rsidRPr="005D642E">
              <w:rPr>
                <w:rtl/>
              </w:rPr>
              <w:t xml:space="preserve"> : « بطنه</w:t>
            </w:r>
            <w:r>
              <w:rPr>
                <w:rtl/>
              </w:rPr>
              <w:t xml:space="preserve"> ».</w:t>
            </w:r>
          </w:p>
        </w:tc>
        <w:tc>
          <w:tcPr>
            <w:tcW w:w="4006" w:type="dxa"/>
          </w:tcPr>
          <w:p w:rsidR="000B6320" w:rsidRDefault="000B6320" w:rsidP="00E3253D">
            <w:pPr>
              <w:pStyle w:val="libFootnote0"/>
              <w:rPr>
                <w:rtl/>
              </w:rPr>
            </w:pPr>
            <w:r w:rsidRPr="005D642E">
              <w:rPr>
                <w:rtl/>
              </w:rPr>
              <w:t>(1</w:t>
            </w:r>
            <w:r>
              <w:rPr>
                <w:rtl/>
              </w:rPr>
              <w:t>7)</w:t>
            </w:r>
            <w:r w:rsidRPr="005D642E">
              <w:rPr>
                <w:rtl/>
              </w:rPr>
              <w:t xml:space="preserve"> في « بث » : « لمشتكي</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لِي أَنْ </w:t>
      </w:r>
      <w:r w:rsidRPr="007C12DB">
        <w:rPr>
          <w:rStyle w:val="libFootnotenumChar"/>
          <w:rtl/>
        </w:rPr>
        <w:t>(1)</w:t>
      </w:r>
      <w:r w:rsidRPr="005D642E">
        <w:rPr>
          <w:rtl/>
          <w:lang w:bidi="fa-IR"/>
        </w:rPr>
        <w:t xml:space="preserve"> أَنْصَرِفَ ، قَالَ : انْصَرِفْ </w:t>
      </w:r>
      <w:r w:rsidRPr="007C12DB">
        <w:rPr>
          <w:rStyle w:val="libFootnotenumChar"/>
          <w:rtl/>
        </w:rPr>
        <w:t>(2)</w:t>
      </w:r>
      <w:r w:rsidRPr="005D642E">
        <w:rPr>
          <w:rtl/>
          <w:lang w:bidi="fa-IR"/>
        </w:rPr>
        <w:t xml:space="preserve"> ، وَخَرَجَتْ فَاطِمَةُ </w:t>
      </w:r>
      <w:r w:rsidRPr="00AC51C5">
        <w:rPr>
          <w:rStyle w:val="libAlaemChar"/>
          <w:rtl/>
        </w:rPr>
        <w:t>عليها‌السلام</w:t>
      </w:r>
      <w:r w:rsidRPr="005D642E">
        <w:rPr>
          <w:rtl/>
          <w:lang w:bidi="fa-IR"/>
        </w:rPr>
        <w:t xml:space="preserve"> وَنِسَاءُ الْمُؤْمِنِينَ وَالْمُهَاجِرِينَ ، فَصَلَّيْنَ عَلَى الْجَنَازَةِ</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E7648F">
        <w:rPr>
          <w:rtl/>
        </w:rPr>
        <w:t>4748</w:t>
      </w:r>
      <w:r w:rsidRPr="00246318">
        <w:rPr>
          <w:rStyle w:val="libBold2Char"/>
          <w:rtl/>
        </w:rPr>
        <w:t xml:space="preserve"> / 9.</w:t>
      </w:r>
      <w:r w:rsidRPr="005D642E">
        <w:rPr>
          <w:rtl/>
          <w:lang w:bidi="fa-IR"/>
        </w:rPr>
        <w:t xml:space="preserve"> عَلِيُّ بْنُ إِبْرَاهِيمَ ، عَنْ أَبِيهِ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أَعَدَّ الرَّجُلُ كَفَنَهُ ، فَهُوَ مَأْجُورٌ كُلَّمَا </w:t>
      </w:r>
      <w:r w:rsidRPr="007C12DB">
        <w:rPr>
          <w:rStyle w:val="libFootnotenumChar"/>
          <w:rtl/>
        </w:rPr>
        <w:t>(4)</w:t>
      </w:r>
      <w:r w:rsidRPr="005D642E">
        <w:rPr>
          <w:rtl/>
          <w:lang w:bidi="fa-IR"/>
        </w:rPr>
        <w:t xml:space="preserve"> نَظَرَ إِلَيْهِ</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E7648F">
        <w:rPr>
          <w:rtl/>
        </w:rPr>
        <w:t>4749</w:t>
      </w:r>
      <w:r w:rsidRPr="00246318">
        <w:rPr>
          <w:rStyle w:val="libBold2Char"/>
          <w:rtl/>
        </w:rPr>
        <w:t xml:space="preserve"> / 10.</w:t>
      </w:r>
      <w:r w:rsidRPr="005D642E">
        <w:rPr>
          <w:rtl/>
          <w:lang w:bidi="fa-IR"/>
        </w:rPr>
        <w:t xml:space="preserve"> وَبِهذَا الْإِسْنَادِ </w:t>
      </w:r>
      <w:r w:rsidRPr="007C12DB">
        <w:rPr>
          <w:rStyle w:val="libFootnotenumChar"/>
          <w:rtl/>
        </w:rPr>
        <w:t>(6)</w:t>
      </w:r>
      <w:r w:rsidRPr="005D642E">
        <w:rPr>
          <w:rtl/>
          <w:lang w:bidi="fa-IR"/>
        </w:rPr>
        <w:t xml:space="preserve"> : « أَنَّ أَمِيرَ الْمُؤْمِنِينَ </w:t>
      </w:r>
      <w:r w:rsidRPr="00AC51C5">
        <w:rPr>
          <w:rStyle w:val="libAlaemChar"/>
          <w:rtl/>
        </w:rPr>
        <w:t>عليه‌السلام</w:t>
      </w:r>
      <w:r w:rsidRPr="005D642E">
        <w:rPr>
          <w:rtl/>
          <w:lang w:bidi="fa-IR"/>
        </w:rPr>
        <w:t xml:space="preserve"> اشْتَكى عَيْنَهُ </w:t>
      </w:r>
      <w:r w:rsidRPr="007C12DB">
        <w:rPr>
          <w:rStyle w:val="libFootnotenumChar"/>
          <w:rtl/>
        </w:rPr>
        <w:t>(7)</w:t>
      </w:r>
      <w:r w:rsidRPr="005D642E">
        <w:rPr>
          <w:rtl/>
          <w:lang w:bidi="fa-IR"/>
        </w:rPr>
        <w:t xml:space="preserve"> ، فَعَادَهُ النَّبِيُّ </w:t>
      </w:r>
      <w:r w:rsidR="0042621E" w:rsidRPr="0042621E">
        <w:rPr>
          <w:rStyle w:val="libAlaemChar"/>
          <w:rtl/>
        </w:rPr>
        <w:t>صلى‌الله‌عليه‌وآله</w:t>
      </w:r>
      <w:r w:rsidRPr="005D642E">
        <w:rPr>
          <w:rtl/>
          <w:lang w:bidi="fa-IR"/>
        </w:rPr>
        <w:t xml:space="preserve"> فَإِذَا هُوَ يَصِيحُ ، فَقَالَ لَهُ </w:t>
      </w:r>
      <w:r w:rsidRPr="007C12DB">
        <w:rPr>
          <w:rStyle w:val="libFootnotenumChar"/>
          <w:rtl/>
        </w:rPr>
        <w:t>(8)</w:t>
      </w:r>
      <w:r w:rsidRPr="005D642E">
        <w:rPr>
          <w:rtl/>
          <w:lang w:bidi="fa-IR"/>
        </w:rPr>
        <w:t xml:space="preserve"> النَّبِيُّ </w:t>
      </w:r>
      <w:r w:rsidR="0042621E" w:rsidRPr="0042621E">
        <w:rPr>
          <w:rStyle w:val="libAlaemChar"/>
          <w:rtl/>
        </w:rPr>
        <w:t>صلى‌الله‌عليه‌وآله</w:t>
      </w:r>
      <w:r>
        <w:rPr>
          <w:rtl/>
          <w:lang w:bidi="fa-IR"/>
        </w:rPr>
        <w:t xml:space="preserve"> : أَ</w:t>
      </w:r>
      <w:r w:rsidRPr="005D642E">
        <w:rPr>
          <w:rtl/>
          <w:lang w:bidi="fa-IR"/>
        </w:rPr>
        <w:t xml:space="preserve">جَزَعاً </w:t>
      </w:r>
      <w:r w:rsidRPr="007C12DB">
        <w:rPr>
          <w:rStyle w:val="libFootnotenumChar"/>
          <w:rtl/>
        </w:rPr>
        <w:t>(9)</w:t>
      </w:r>
      <w:r w:rsidRPr="005D642E">
        <w:rPr>
          <w:rtl/>
          <w:lang w:bidi="fa-IR"/>
        </w:rPr>
        <w:t xml:space="preserve"> أَمْ وَجَعاً </w:t>
      </w:r>
      <w:r w:rsidRPr="007C12DB">
        <w:rPr>
          <w:rStyle w:val="libFootnotenumChar"/>
          <w:rtl/>
        </w:rPr>
        <w:t>(10)</w:t>
      </w:r>
      <w:r>
        <w:rPr>
          <w:rtl/>
          <w:lang w:bidi="fa-IR"/>
        </w:rPr>
        <w:t>؟</w:t>
      </w:r>
      <w:r w:rsidRPr="005D642E">
        <w:rPr>
          <w:rtl/>
          <w:lang w:bidi="fa-IR"/>
        </w:rPr>
        <w:t xml:space="preserve"> فَقَالَ : يَا رَسُولَ اللهِ ، مَا وَجِعْتُ وَجَعاً قَطُّ </w:t>
      </w:r>
      <w:r w:rsidRPr="007C12DB">
        <w:rPr>
          <w:rStyle w:val="libFootnotenumChar"/>
          <w:rtl/>
        </w:rPr>
        <w:t>(11)</w:t>
      </w:r>
      <w:r w:rsidRPr="005D642E">
        <w:rPr>
          <w:rtl/>
          <w:lang w:bidi="fa-IR"/>
        </w:rPr>
        <w:t xml:space="preserve"> أَشَدَّ مِنْهُ.</w:t>
      </w:r>
    </w:p>
    <w:p w:rsidR="00E3253D" w:rsidRPr="005D642E" w:rsidRDefault="00E3253D" w:rsidP="00E3253D">
      <w:pPr>
        <w:pStyle w:val="libNormal"/>
        <w:rPr>
          <w:rtl/>
          <w:lang w:bidi="fa-IR"/>
        </w:rPr>
      </w:pPr>
      <w:r w:rsidRPr="005D642E">
        <w:rPr>
          <w:rtl/>
          <w:lang w:bidi="fa-IR"/>
        </w:rPr>
        <w:t xml:space="preserve">فَقَالَ : يَا عَلِيُّ ، إِنَّ مَلَكَ الْمَوْتِ إِذَا نَزَلَ لِقَبْضِ </w:t>
      </w:r>
      <w:r w:rsidRPr="007C12DB">
        <w:rPr>
          <w:rStyle w:val="libFootnotenumChar"/>
          <w:rtl/>
        </w:rPr>
        <w:t>(12)</w:t>
      </w:r>
      <w:r w:rsidRPr="005D642E">
        <w:rPr>
          <w:rtl/>
          <w:lang w:bidi="fa-IR"/>
        </w:rPr>
        <w:t xml:space="preserve"> رُوحِ الْكَافِرِ </w:t>
      </w:r>
      <w:r w:rsidRPr="007C12DB">
        <w:rPr>
          <w:rStyle w:val="libFootnotenumChar"/>
          <w:rtl/>
        </w:rPr>
        <w:t>(13)</w:t>
      </w:r>
      <w:r w:rsidRPr="005D642E">
        <w:rPr>
          <w:rtl/>
          <w:lang w:bidi="fa-IR"/>
        </w:rPr>
        <w:t xml:space="preserve"> ، نَزَلَ مَعَهُ سَفُّودٌ </w:t>
      </w:r>
      <w:r w:rsidRPr="007C12DB">
        <w:rPr>
          <w:rStyle w:val="libFootnotenumChar"/>
          <w:rtl/>
        </w:rPr>
        <w:t>(14)</w:t>
      </w:r>
      <w:r w:rsidRPr="005D642E">
        <w:rPr>
          <w:rtl/>
          <w:lang w:bidi="fa-IR"/>
        </w:rPr>
        <w:t xml:space="preserve"> مِنْ‌</w:t>
      </w:r>
      <w:r>
        <w:rPr>
          <w:rFonts w:hint="cs"/>
          <w:rtl/>
          <w:lang w:bidi="fa-IR"/>
        </w:rPr>
        <w:t xml:space="preserve"> </w:t>
      </w:r>
      <w:r w:rsidRPr="005D642E">
        <w:rPr>
          <w:rtl/>
          <w:lang w:bidi="fa-IR"/>
        </w:rPr>
        <w:t xml:space="preserve">نَارٍ ، فَيَنْزِعُ </w:t>
      </w:r>
      <w:r w:rsidRPr="007C12DB">
        <w:rPr>
          <w:rStyle w:val="libFootnotenumChar"/>
          <w:rtl/>
        </w:rPr>
        <w:t>(15)</w:t>
      </w:r>
      <w:r w:rsidRPr="005D642E">
        <w:rPr>
          <w:rtl/>
          <w:lang w:bidi="fa-IR"/>
        </w:rPr>
        <w:t xml:space="preserve"> رُوحَهُ بِهِ ، فَتَصِيحُ جَهَنَّمُ.</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هكذا في جميع النسخ التي قوبلت</w:t>
      </w:r>
      <w:r w:rsidR="00E3253D" w:rsidRPr="000B6320">
        <w:rPr>
          <w:rtl/>
        </w:rPr>
        <w:t xml:space="preserve"> </w:t>
      </w:r>
      <w:r w:rsidR="000D749A" w:rsidRPr="000B6320">
        <w:rPr>
          <w:rtl/>
        </w:rPr>
        <w:t>والوافي</w:t>
      </w:r>
      <w:r w:rsidR="00E3253D" w:rsidRPr="005D642E">
        <w:rPr>
          <w:rtl/>
        </w:rPr>
        <w:t xml:space="preserve"> والبحار. وفي المطبوع :</w:t>
      </w:r>
      <w:r w:rsidR="00E3253D">
        <w:rPr>
          <w:rtl/>
        </w:rPr>
        <w:t xml:space="preserve"> </w:t>
      </w:r>
      <w:r w:rsidR="007642BC">
        <w:rPr>
          <w:rtl/>
        </w:rPr>
        <w:t>-</w:t>
      </w:r>
      <w:r w:rsidR="00E3253D">
        <w:rPr>
          <w:rtl/>
        </w:rPr>
        <w:t xml:space="preserve"> </w:t>
      </w:r>
      <w:r w:rsidR="00E3253D" w:rsidRPr="005D642E">
        <w:rPr>
          <w:rtl/>
        </w:rPr>
        <w:t>« أن</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w:t>
      </w:r>
      <w:r w:rsidR="00E3253D">
        <w:rPr>
          <w:rtl/>
        </w:rPr>
        <w:t xml:space="preserve"> </w:t>
      </w:r>
      <w:r w:rsidR="007642BC">
        <w:rPr>
          <w:rtl/>
        </w:rPr>
        <w:t>-</w:t>
      </w:r>
      <w:r w:rsidR="00E3253D">
        <w:rPr>
          <w:rtl/>
        </w:rPr>
        <w:t xml:space="preserve"> </w:t>
      </w:r>
      <w:r w:rsidR="00E3253D" w:rsidRPr="005D642E">
        <w:rPr>
          <w:rtl/>
        </w:rPr>
        <w:t>« قال : انصرف</w:t>
      </w:r>
      <w:r w:rsidR="00E3253D">
        <w:rPr>
          <w:rtl/>
        </w:rPr>
        <w:t xml:space="preserve"> ».</w:t>
      </w:r>
    </w:p>
    <w:p w:rsidR="00E3253D" w:rsidRPr="005D642E" w:rsidRDefault="0042621E" w:rsidP="000B6320">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الوافي</w:t>
      </w:r>
      <w:r w:rsidR="00E3253D" w:rsidRPr="005D642E">
        <w:rPr>
          <w:rtl/>
        </w:rPr>
        <w:t xml:space="preserve"> ، ج 2 ، ص 210 ، ح 675 ؛ </w:t>
      </w:r>
      <w:r w:rsidR="00E3253D" w:rsidRPr="002F4D34">
        <w:rPr>
          <w:rStyle w:val="libFootnoteBoldChar"/>
          <w:rtl/>
        </w:rPr>
        <w:t>الوسائل</w:t>
      </w:r>
      <w:r w:rsidR="00E3253D" w:rsidRPr="005D642E">
        <w:rPr>
          <w:rtl/>
        </w:rPr>
        <w:t xml:space="preserve"> ، ج 3 ، ص 139 ، ح 3229 ، قطعة منه ؛ </w:t>
      </w:r>
      <w:r w:rsidR="00E3253D" w:rsidRPr="002F4D34">
        <w:rPr>
          <w:rStyle w:val="libFootnoteBoldChar"/>
          <w:rtl/>
        </w:rPr>
        <w:t>البحار</w:t>
      </w:r>
      <w:r w:rsidR="00E3253D" w:rsidRPr="005D642E">
        <w:rPr>
          <w:rtl/>
        </w:rPr>
        <w:t xml:space="preserve"> ، ج 22 ، ص 160 ، ح 22.</w:t>
      </w:r>
      <w:r w:rsidR="000B6320">
        <w:rPr>
          <w:rFonts w:hint="cs"/>
          <w:rtl/>
        </w:rPr>
        <w:t xml:space="preserve">                                           </w:t>
      </w:r>
      <w:r w:rsidRPr="0042621E">
        <w:rPr>
          <w:rStyle w:val="libFootnote0Char"/>
          <w:rtl/>
        </w:rPr>
        <w:t>(4).</w:t>
      </w:r>
      <w:r w:rsidR="00E3253D" w:rsidRPr="005D642E">
        <w:rPr>
          <w:rtl/>
        </w:rPr>
        <w:t xml:space="preserve"> في « ى ، بس ، جح ، جس » : « ما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0D749A" w:rsidRPr="000D749A">
        <w:rPr>
          <w:rStyle w:val="libFootnoteBoldChar"/>
          <w:rtl/>
        </w:rPr>
        <w:t>الأمالي للصدوق</w:t>
      </w:r>
      <w:r w:rsidR="00E3253D" w:rsidRPr="005D642E">
        <w:rPr>
          <w:rtl/>
        </w:rPr>
        <w:t xml:space="preserve"> ، ص 328 ، المجلس 53 ، ح 4 ، بسند آخر عن جعفر بن محمّد ، عن آبائه </w:t>
      </w:r>
      <w:r w:rsidR="00E3253D" w:rsidRPr="000B6320">
        <w:rPr>
          <w:rStyle w:val="libFootnoteAlaemChar"/>
          <w:rtl/>
        </w:rPr>
        <w:t>عليهم‌السلام</w:t>
      </w:r>
      <w:r w:rsidR="00E3253D" w:rsidRPr="005D642E">
        <w:rPr>
          <w:rtl/>
        </w:rPr>
        <w:t xml:space="preserve"> عن رسول الله </w:t>
      </w:r>
      <w:r w:rsidRPr="000B6320">
        <w:rPr>
          <w:rStyle w:val="libFootnoteAlaemChar"/>
          <w:rtl/>
        </w:rPr>
        <w:t>صلى‌الله‌عليه‌وآله</w:t>
      </w:r>
      <w:r w:rsidR="00E3253D" w:rsidRPr="005D642E">
        <w:rPr>
          <w:rtl/>
        </w:rPr>
        <w:t xml:space="preserve"> ، مع اختلاف يسير </w:t>
      </w:r>
      <w:r w:rsidR="000B6320">
        <w:rPr>
          <w:rFonts w:hint="cs"/>
          <w:rtl/>
        </w:rPr>
        <w:t>.</w:t>
      </w:r>
      <w:r w:rsidR="00E3253D" w:rsidRPr="002F4D34">
        <w:rPr>
          <w:rStyle w:val="libFootnoteBoldChar"/>
          <w:rtl/>
        </w:rPr>
        <w:t>الوافي</w:t>
      </w:r>
      <w:r w:rsidR="00E3253D" w:rsidRPr="005D642E">
        <w:rPr>
          <w:rtl/>
        </w:rPr>
        <w:t xml:space="preserve"> ، ج 24 ، ص 353 ، ح 24194 ؛ </w:t>
      </w:r>
      <w:r w:rsidR="00E3253D" w:rsidRPr="002F4D34">
        <w:rPr>
          <w:rStyle w:val="libFootnoteBoldChar"/>
          <w:rtl/>
        </w:rPr>
        <w:t>الوسائل</w:t>
      </w:r>
      <w:r w:rsidR="00E3253D" w:rsidRPr="005D642E">
        <w:rPr>
          <w:rtl/>
        </w:rPr>
        <w:t xml:space="preserve"> ، ج 3 ، ص 49 ، ح 2997.</w:t>
      </w:r>
    </w:p>
    <w:p w:rsidR="00E3253D" w:rsidRPr="005D642E" w:rsidRDefault="0042621E" w:rsidP="000B6320">
      <w:pPr>
        <w:pStyle w:val="libFootnote0"/>
        <w:rPr>
          <w:rtl/>
          <w:lang w:bidi="fa-IR"/>
        </w:rPr>
      </w:pPr>
      <w:r w:rsidRPr="0042621E">
        <w:rPr>
          <w:rStyle w:val="libFootnote0Char"/>
          <w:rtl/>
        </w:rPr>
        <w:t>(6).</w:t>
      </w:r>
      <w:r w:rsidR="00E3253D" w:rsidRPr="005D642E">
        <w:rPr>
          <w:rtl/>
        </w:rPr>
        <w:t xml:space="preserve"> المراد من « بهذا الإسناد » هو سند الحديث السابق كُلُّه. يؤيّد ذلك أنّ الخبر رواه الشيخ الطوسي</w:t>
      </w:r>
      <w:r w:rsidR="00E3253D">
        <w:rPr>
          <w:rtl/>
        </w:rPr>
        <w:t xml:space="preserve"> </w:t>
      </w:r>
      <w:r w:rsidR="007642BC">
        <w:rPr>
          <w:rtl/>
        </w:rPr>
        <w:t>-</w:t>
      </w:r>
      <w:r w:rsidR="00E3253D">
        <w:rPr>
          <w:rtl/>
        </w:rPr>
        <w:t xml:space="preserve"> </w:t>
      </w:r>
      <w:r w:rsidR="00E3253D" w:rsidRPr="005D642E">
        <w:rPr>
          <w:rtl/>
        </w:rPr>
        <w:t>باختلاف‌</w:t>
      </w:r>
      <w:r w:rsidR="000B6320">
        <w:rPr>
          <w:rFonts w:hint="cs"/>
          <w:rtl/>
        </w:rPr>
        <w:t xml:space="preserve"> </w:t>
      </w:r>
      <w:r w:rsidR="00E3253D" w:rsidRPr="005D642E">
        <w:rPr>
          <w:rtl/>
        </w:rPr>
        <w:t>يسير في الألفاظ</w:t>
      </w:r>
      <w:r w:rsidR="00E3253D">
        <w:rPr>
          <w:rtl/>
        </w:rPr>
        <w:t xml:space="preserve"> </w:t>
      </w:r>
      <w:r w:rsidR="007642BC">
        <w:rPr>
          <w:rtl/>
        </w:rPr>
        <w:t>-</w:t>
      </w:r>
      <w:r w:rsidR="00E3253D">
        <w:rPr>
          <w:rtl/>
        </w:rPr>
        <w:t xml:space="preserve"> </w:t>
      </w:r>
      <w:r w:rsidR="00E3253D" w:rsidRPr="005D642E">
        <w:rPr>
          <w:rtl/>
        </w:rPr>
        <w:t xml:space="preserve">في </w:t>
      </w:r>
      <w:r w:rsidR="00E3253D" w:rsidRPr="002F4D34">
        <w:rPr>
          <w:rStyle w:val="libFootnoteBoldChar"/>
          <w:rtl/>
        </w:rPr>
        <w:t>التهذيب</w:t>
      </w:r>
      <w:r w:rsidR="00E3253D" w:rsidRPr="005D642E">
        <w:rPr>
          <w:rtl/>
        </w:rPr>
        <w:t xml:space="preserve"> ، ج 6 ، ص 224 ، ح 537 ، بسنده عن السكوني ، عن جعفر ، عن أبيه ، عن علي </w:t>
      </w:r>
      <w:r w:rsidR="00E3253D" w:rsidRPr="000B6320">
        <w:rPr>
          <w:rStyle w:val="libFootnoteAlaemChar"/>
          <w:rtl/>
        </w:rPr>
        <w:t>عليهم‌السلام</w:t>
      </w:r>
      <w:r w:rsidR="00E3253D" w:rsidRPr="005D642E">
        <w:rPr>
          <w:rtl/>
        </w:rPr>
        <w:t>.</w:t>
      </w:r>
      <w:r w:rsidR="000B6320">
        <w:rPr>
          <w:rFonts w:hint="cs"/>
          <w:rtl/>
        </w:rPr>
        <w:t xml:space="preserve">                                                          </w:t>
      </w:r>
      <w:r w:rsidRPr="0042621E">
        <w:rPr>
          <w:rStyle w:val="libFootnote0Char"/>
          <w:rtl/>
        </w:rPr>
        <w:t>(7).</w:t>
      </w:r>
      <w:r w:rsidR="00E3253D" w:rsidRPr="005D642E">
        <w:rPr>
          <w:rtl/>
        </w:rPr>
        <w:t xml:space="preserve"> في « ى » : « عينيه</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جميع النسخ التي قوبلت </w:t>
      </w:r>
      <w:r w:rsidR="000D749A" w:rsidRPr="000B6320">
        <w:rPr>
          <w:rtl/>
        </w:rPr>
        <w:t>والوافي</w:t>
      </w:r>
      <w:r w:rsidR="00E3253D" w:rsidRPr="005D642E">
        <w:rPr>
          <w:rtl/>
        </w:rPr>
        <w:t xml:space="preserve"> والوسائل والبحار. وفي المطبوع :</w:t>
      </w:r>
      <w:r w:rsidR="00E3253D">
        <w:rPr>
          <w:rtl/>
        </w:rPr>
        <w:t xml:space="preserve"> </w:t>
      </w:r>
      <w:r w:rsidR="007642BC">
        <w:rPr>
          <w:rtl/>
        </w:rPr>
        <w:t>-</w:t>
      </w:r>
      <w:r w:rsidR="00E3253D">
        <w:rPr>
          <w:rtl/>
        </w:rPr>
        <w:t xml:space="preserve"> </w:t>
      </w:r>
      <w:r w:rsidR="00E3253D" w:rsidRPr="005D642E">
        <w:rPr>
          <w:rtl/>
        </w:rPr>
        <w:t>« له</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w:t>
      </w:r>
      <w:r w:rsidR="00E3253D" w:rsidRPr="002F4D34">
        <w:rPr>
          <w:rStyle w:val="libFootnoteBoldChar"/>
          <w:rtl/>
        </w:rPr>
        <w:t>مرآة العقول</w:t>
      </w:r>
      <w:r w:rsidR="00E3253D" w:rsidRPr="005D642E">
        <w:rPr>
          <w:rtl/>
        </w:rPr>
        <w:t xml:space="preserve"> ، ج 14 ، ص 247 : « قوله </w:t>
      </w:r>
      <w:r w:rsidR="00E3253D" w:rsidRPr="000B6320">
        <w:rPr>
          <w:rStyle w:val="libFootnoteAlaemChar"/>
          <w:rtl/>
        </w:rPr>
        <w:t>عليه‌السلام</w:t>
      </w:r>
      <w:r w:rsidR="00E3253D">
        <w:rPr>
          <w:rtl/>
        </w:rPr>
        <w:t xml:space="preserve"> : أ</w:t>
      </w:r>
      <w:r w:rsidR="00E3253D" w:rsidRPr="005D642E">
        <w:rPr>
          <w:rtl/>
        </w:rPr>
        <w:t>جزعاً ، هو مفعول له لفعل محذوف</w:t>
      </w:r>
      <w:r w:rsidR="00E3253D">
        <w:rPr>
          <w:rtl/>
        </w:rPr>
        <w:t xml:space="preserve"> ، أي أ</w:t>
      </w:r>
      <w:r w:rsidR="00E3253D" w:rsidRPr="005D642E">
        <w:rPr>
          <w:rtl/>
        </w:rPr>
        <w:t>تصيح جزعاً ، أي هل هذا من الجزع وقلّة الصبر ، أو أنّ الوجع شديد بحيث لا يمكنك الصبر عليه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B6320" w:rsidTr="000B6320">
        <w:tc>
          <w:tcPr>
            <w:tcW w:w="4006" w:type="dxa"/>
          </w:tcPr>
          <w:p w:rsidR="000B6320" w:rsidRDefault="000B6320" w:rsidP="00E3253D">
            <w:pPr>
              <w:pStyle w:val="libFootnote0"/>
              <w:rPr>
                <w:rStyle w:val="libFootnote0Char"/>
                <w:rtl/>
              </w:rPr>
            </w:pPr>
            <w:r w:rsidRPr="0042621E">
              <w:rPr>
                <w:rStyle w:val="libFootnote0Char"/>
                <w:rtl/>
              </w:rPr>
              <w:t>(10).</w:t>
            </w:r>
            <w:r w:rsidRPr="005D642E">
              <w:rPr>
                <w:rtl/>
              </w:rPr>
              <w:t xml:space="preserve"> في حاشية « بث » </w:t>
            </w:r>
            <w:r w:rsidRPr="005E192F">
              <w:rPr>
                <w:rtl/>
              </w:rPr>
              <w:t>والوافي</w:t>
            </w:r>
            <w:r w:rsidRPr="005D642E">
              <w:rPr>
                <w:rtl/>
              </w:rPr>
              <w:t xml:space="preserve"> : « أو وجعاً</w:t>
            </w:r>
            <w:r>
              <w:rPr>
                <w:rtl/>
              </w:rPr>
              <w:t xml:space="preserve"> ».</w:t>
            </w:r>
          </w:p>
        </w:tc>
        <w:tc>
          <w:tcPr>
            <w:tcW w:w="4006" w:type="dxa"/>
          </w:tcPr>
          <w:p w:rsidR="000B6320" w:rsidRDefault="005E192F" w:rsidP="00E3253D">
            <w:pPr>
              <w:pStyle w:val="libFootnote0"/>
              <w:rPr>
                <w:rStyle w:val="libFootnote0Char"/>
                <w:rtl/>
              </w:rPr>
            </w:pPr>
            <w:r w:rsidRPr="0042621E">
              <w:rPr>
                <w:rStyle w:val="libFootnote0Char"/>
                <w:rtl/>
              </w:rPr>
              <w:t>(11).</w:t>
            </w:r>
            <w:r w:rsidRPr="005D642E">
              <w:rPr>
                <w:rtl/>
              </w:rPr>
              <w:t xml:space="preserve"> في « بخ » :</w:t>
            </w:r>
            <w:r>
              <w:rPr>
                <w:rtl/>
              </w:rPr>
              <w:t xml:space="preserve"> - </w:t>
            </w:r>
            <w:r w:rsidRPr="005D642E">
              <w:rPr>
                <w:rtl/>
              </w:rPr>
              <w:t>« قطّ</w:t>
            </w:r>
            <w:r>
              <w:rPr>
                <w:rtl/>
              </w:rPr>
              <w:t xml:space="preserve"> ».</w:t>
            </w:r>
          </w:p>
        </w:tc>
      </w:tr>
      <w:tr w:rsidR="000B6320" w:rsidTr="000B6320">
        <w:tc>
          <w:tcPr>
            <w:tcW w:w="4006" w:type="dxa"/>
          </w:tcPr>
          <w:p w:rsidR="000B6320" w:rsidRDefault="005E192F" w:rsidP="00E3253D">
            <w:pPr>
              <w:pStyle w:val="libFootnote0"/>
              <w:rPr>
                <w:rStyle w:val="libFootnote0Char"/>
                <w:rtl/>
              </w:rPr>
            </w:pPr>
            <w:r w:rsidRPr="0042621E">
              <w:rPr>
                <w:rStyle w:val="libFootnote0Char"/>
                <w:rtl/>
              </w:rPr>
              <w:t>(12).</w:t>
            </w:r>
            <w:r w:rsidRPr="005D642E">
              <w:rPr>
                <w:rtl/>
              </w:rPr>
              <w:t xml:space="preserve"> في « بخ » </w:t>
            </w:r>
            <w:r w:rsidRPr="005E192F">
              <w:rPr>
                <w:rtl/>
              </w:rPr>
              <w:t>والوافي والتهذيب</w:t>
            </w:r>
            <w:r w:rsidRPr="005D642E">
              <w:rPr>
                <w:rtl/>
              </w:rPr>
              <w:t xml:space="preserve"> : « ليقبض</w:t>
            </w:r>
            <w:r>
              <w:rPr>
                <w:rtl/>
              </w:rPr>
              <w:t xml:space="preserve"> ».</w:t>
            </w:r>
          </w:p>
        </w:tc>
        <w:tc>
          <w:tcPr>
            <w:tcW w:w="4006" w:type="dxa"/>
          </w:tcPr>
          <w:p w:rsidR="000B6320" w:rsidRDefault="005E192F" w:rsidP="00E3253D">
            <w:pPr>
              <w:pStyle w:val="libFootnote0"/>
              <w:rPr>
                <w:rStyle w:val="libFootnote0Char"/>
                <w:rtl/>
              </w:rPr>
            </w:pPr>
            <w:r w:rsidRPr="0042621E">
              <w:rPr>
                <w:rStyle w:val="libFootnote0Char"/>
                <w:rtl/>
              </w:rPr>
              <w:t>(13).</w:t>
            </w:r>
            <w:r w:rsidRPr="005D642E">
              <w:rPr>
                <w:rtl/>
              </w:rPr>
              <w:t xml:space="preserve"> في التهذيب </w:t>
            </w:r>
            <w:r w:rsidRPr="005E192F">
              <w:rPr>
                <w:rtl/>
              </w:rPr>
              <w:t>والجعفريّات</w:t>
            </w:r>
            <w:r w:rsidRPr="005D642E">
              <w:rPr>
                <w:rtl/>
              </w:rPr>
              <w:t xml:space="preserve"> : « الفاجر</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 سَفّود » كتنّور : حديدة يُشوَى بها. راجع : </w:t>
      </w:r>
      <w:r w:rsidR="00E3253D" w:rsidRPr="002F4D34">
        <w:rPr>
          <w:rStyle w:val="libFootnoteBoldChar"/>
          <w:rtl/>
        </w:rPr>
        <w:t>القاموس المحيط</w:t>
      </w:r>
      <w:r w:rsidR="00E3253D" w:rsidRPr="005D642E">
        <w:rPr>
          <w:rtl/>
        </w:rPr>
        <w:t xml:space="preserve"> ، ج 1 ، ص 422 ( سفد )</w:t>
      </w:r>
      <w:r w:rsidR="00E3253D">
        <w:rPr>
          <w:rtl/>
        </w:rPr>
        <w:t>.</w:t>
      </w:r>
    </w:p>
    <w:p w:rsidR="00E3253D" w:rsidRPr="005D642E" w:rsidRDefault="0042621E" w:rsidP="00E3253D">
      <w:pPr>
        <w:pStyle w:val="libFootnote0"/>
        <w:rPr>
          <w:rtl/>
          <w:lang w:bidi="fa-IR"/>
        </w:rPr>
      </w:pPr>
      <w:r w:rsidRPr="0042621E">
        <w:rPr>
          <w:rStyle w:val="libFootnote0Char"/>
          <w:rtl/>
        </w:rPr>
        <w:t>(15).</w:t>
      </w:r>
      <w:r w:rsidR="00E3253D">
        <w:rPr>
          <w:rtl/>
        </w:rPr>
        <w:t xml:space="preserve"> </w:t>
      </w:r>
      <w:r w:rsidR="00E3253D" w:rsidRPr="005D642E">
        <w:rPr>
          <w:rtl/>
        </w:rPr>
        <w:t xml:space="preserve">في « بح ، بس ، جس » والبحار </w:t>
      </w:r>
      <w:r w:rsidR="000D749A" w:rsidRPr="000D749A">
        <w:rPr>
          <w:rStyle w:val="libFootnoteBoldChar"/>
          <w:rtl/>
        </w:rPr>
        <w:t>والجعفريّات</w:t>
      </w:r>
      <w:r w:rsidR="00E3253D" w:rsidRPr="005D642E">
        <w:rPr>
          <w:rtl/>
        </w:rPr>
        <w:t xml:space="preserve"> : « فنزع</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فَاسْتَوى عَلِيٌّ </w:t>
      </w:r>
      <w:r w:rsidRPr="00AC51C5">
        <w:rPr>
          <w:rStyle w:val="libAlaemChar"/>
          <w:rtl/>
        </w:rPr>
        <w:t>عليه‌السلام</w:t>
      </w:r>
      <w:r w:rsidRPr="005D642E">
        <w:rPr>
          <w:rtl/>
          <w:lang w:bidi="fa-IR"/>
        </w:rPr>
        <w:t xml:space="preserve"> جَالِساً ، فَقَالَ : يَا رَسُولَ اللهِ ، أَعِدْ عَلَيَّ حَدِيثَكَ ؛ فَلَقَدْ </w:t>
      </w:r>
      <w:r w:rsidRPr="007C12DB">
        <w:rPr>
          <w:rStyle w:val="libFootnotenumChar"/>
          <w:rtl/>
        </w:rPr>
        <w:t>(1)</w:t>
      </w:r>
      <w:r w:rsidRPr="005D642E">
        <w:rPr>
          <w:rtl/>
          <w:lang w:bidi="fa-IR"/>
        </w:rPr>
        <w:t xml:space="preserve"> أَنْسَانِي وَجَعِي مَا قُلْتَ ، ثُمَّ قَالَ : هَلْ يُصِيبُ ذلِكَ أَحَداً مِنْ أُمَّتِكَ</w:t>
      </w:r>
      <w:r>
        <w:rPr>
          <w:rtl/>
          <w:lang w:bidi="fa-IR"/>
        </w:rPr>
        <w:t>؟</w:t>
      </w:r>
    </w:p>
    <w:p w:rsidR="00E3253D" w:rsidRPr="005D642E" w:rsidRDefault="00E3253D" w:rsidP="00E3253D">
      <w:pPr>
        <w:pStyle w:val="libNormal"/>
        <w:rPr>
          <w:rtl/>
          <w:lang w:bidi="fa-IR"/>
        </w:rPr>
      </w:pPr>
      <w:r w:rsidRPr="005D642E">
        <w:rPr>
          <w:rtl/>
          <w:lang w:bidi="fa-IR"/>
        </w:rPr>
        <w:t xml:space="preserve">قَالَ : نَعَمْ ، حَاكِمٌ جَائِرٌ ، وَآكِلُ مَالِ الْيَتِيمِ ظُلْماً ، وَشَاهِدُ زُورٍ </w:t>
      </w:r>
      <w:r w:rsidRPr="007C12DB">
        <w:rPr>
          <w:rStyle w:val="libFootnotenumChar"/>
          <w:rtl/>
        </w:rPr>
        <w:t>(2)</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E7648F">
        <w:rPr>
          <w:rtl/>
        </w:rPr>
        <w:t>4750</w:t>
      </w:r>
      <w:r w:rsidRPr="00246318">
        <w:rPr>
          <w:rStyle w:val="libBold2Char"/>
          <w:rtl/>
        </w:rPr>
        <w:t xml:space="preserve"> / 11.</w:t>
      </w:r>
      <w:r w:rsidRPr="005D642E">
        <w:rPr>
          <w:rtl/>
          <w:lang w:bidi="fa-IR"/>
        </w:rPr>
        <w:t xml:space="preserve"> وَبِهذَا الْإِسْنَادِ </w:t>
      </w:r>
      <w:r w:rsidRPr="007C12DB">
        <w:rPr>
          <w:rStyle w:val="libFootnotenumChar"/>
          <w:rtl/>
        </w:rPr>
        <w:t>(4)</w:t>
      </w:r>
      <w:r w:rsidRPr="005D642E">
        <w:rPr>
          <w:rtl/>
          <w:lang w:bidi="fa-IR"/>
        </w:rPr>
        <w:t xml:space="preserve"> ، عَنْ أَبِي عَبْدِ اللهِ </w:t>
      </w:r>
      <w:r w:rsidRPr="00AC51C5">
        <w:rPr>
          <w:rStyle w:val="libAlaemChar"/>
          <w:rtl/>
        </w:rPr>
        <w:t>عليه‌السلام</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 قَالَ النَّبِيُّ </w:t>
      </w:r>
      <w:r w:rsidR="0042621E" w:rsidRPr="0042621E">
        <w:rPr>
          <w:rStyle w:val="libAlaemChar"/>
          <w:rtl/>
        </w:rPr>
        <w:t>صلى‌الله‌عليه‌وآله</w:t>
      </w:r>
      <w:r w:rsidRPr="005D642E">
        <w:rPr>
          <w:rtl/>
          <w:lang w:bidi="fa-IR"/>
        </w:rPr>
        <w:t xml:space="preserve"> : مُسْتَرِيحٌ وَمُسْتَرَاحٌ مِنْهُ ، أَمَّا الْمُسْتَرِيحُ ، فَالْعَبْدُ الصَّالِحُ ، اسْتَرَاحَ مِنْ غَمِّ الدُّنْيَا ، وَمَا كَانَ فِيهِ مِنَ الْعِبَادَةِ إِلَى الرَّاحَةِ وَنَعِيمِ الْآخِرَةِ. وَأَمَّا الْمُسْتَرَاحُ مِنْهُ ، فَالْفَاجِرُ ، يَسْتَرِيحُ مِنْهُ مَلَكَاهُ </w:t>
      </w:r>
      <w:r w:rsidRPr="007C12DB">
        <w:rPr>
          <w:rStyle w:val="libFootnotenumChar"/>
          <w:rtl/>
        </w:rPr>
        <w:t>(5)</w:t>
      </w:r>
      <w:r w:rsidRPr="005D642E">
        <w:rPr>
          <w:rtl/>
          <w:lang w:bidi="fa-IR"/>
        </w:rPr>
        <w:t xml:space="preserve"> اللَّذَانِ يَحْفَظَانِ عَلَيْهِ ، وَخَادِمُهُ ، وَأَهْلُهُ ، وَالْأَرْضُ الَّتِي كَانَ يَمْشِي عَلَيْهَا</w:t>
      </w:r>
      <w:r>
        <w:rPr>
          <w:rtl/>
          <w:lang w:bidi="fa-IR"/>
        </w:rPr>
        <w:t xml:space="preserve"> ».</w:t>
      </w:r>
      <w:r w:rsidRPr="005D642E">
        <w:rPr>
          <w:rtl/>
          <w:lang w:bidi="fa-IR"/>
        </w:rPr>
        <w:t xml:space="preserve"> </w:t>
      </w:r>
      <w:r w:rsidRPr="007C12DB">
        <w:rPr>
          <w:rStyle w:val="libFootnotenumChar"/>
          <w:rtl/>
        </w:rPr>
        <w:t>(6)</w:t>
      </w:r>
      <w:r w:rsidRPr="005D642E">
        <w:rPr>
          <w:rtl/>
          <w:lang w:bidi="fa-IR"/>
        </w:rPr>
        <w:t xml:space="preserve"> ‌</w:t>
      </w:r>
    </w:p>
    <w:p w:rsidR="00E3253D" w:rsidRPr="005D642E" w:rsidRDefault="00E3253D" w:rsidP="00E3253D">
      <w:pPr>
        <w:pStyle w:val="libNormal"/>
        <w:rPr>
          <w:rtl/>
          <w:lang w:bidi="fa-IR"/>
        </w:rPr>
      </w:pPr>
      <w:r w:rsidRPr="00E7648F">
        <w:rPr>
          <w:rtl/>
        </w:rPr>
        <w:t>4751</w:t>
      </w:r>
      <w:r w:rsidRPr="00246318">
        <w:rPr>
          <w:rStyle w:val="libBold2Char"/>
          <w:rtl/>
        </w:rPr>
        <w:t xml:space="preserve"> / 12.</w:t>
      </w:r>
      <w:r w:rsidRPr="005D642E">
        <w:rPr>
          <w:rtl/>
          <w:lang w:bidi="fa-IR"/>
        </w:rPr>
        <w:t xml:space="preserve"> عِدَّةٌ مِنْ أَصْحَابِنَا ، عَنْ سَهْلِ بْنِ زِيَادٍ ، عَنِ النَّوْفَلِيِّ ، عَنِ السَّكُونِيِّ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أَعَدَّ الرَّجُلُ كَفَنَهُ ، فَهُوَ مَأْجُورٌ كُلَّمَا نَظَرَ إِلَيْهِ</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5E192F">
      <w:pPr>
        <w:pStyle w:val="libNormal"/>
        <w:rPr>
          <w:rtl/>
          <w:lang w:bidi="fa-IR"/>
        </w:rPr>
      </w:pPr>
      <w:r w:rsidRPr="00E7648F">
        <w:rPr>
          <w:rtl/>
        </w:rPr>
        <w:t>4752</w:t>
      </w:r>
      <w:r w:rsidRPr="00246318">
        <w:rPr>
          <w:rStyle w:val="libBold2Char"/>
          <w:rtl/>
        </w:rPr>
        <w:t xml:space="preserve"> / 13.</w:t>
      </w:r>
      <w:r w:rsidRPr="005D642E">
        <w:rPr>
          <w:rtl/>
          <w:lang w:bidi="fa-IR"/>
        </w:rPr>
        <w:t xml:space="preserve"> سَهْلُ بْنُ زِيَادٍ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البحار ، ج 6 </w:t>
      </w:r>
      <w:r w:rsidR="00B60612" w:rsidRPr="005E192F">
        <w:rPr>
          <w:rtl/>
        </w:rPr>
        <w:t>والتهذيب</w:t>
      </w:r>
      <w:r w:rsidR="00E3253D" w:rsidRPr="005D642E">
        <w:rPr>
          <w:rtl/>
        </w:rPr>
        <w:t xml:space="preserve"> : « فقد</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الزُور » : الكذب والباطل والتهمة. راجع : </w:t>
      </w:r>
      <w:r w:rsidR="00E3253D" w:rsidRPr="002F4D34">
        <w:rPr>
          <w:rStyle w:val="libFootnoteBoldChar"/>
          <w:rtl/>
        </w:rPr>
        <w:t>النهاية</w:t>
      </w:r>
      <w:r w:rsidR="00E3253D" w:rsidRPr="005D642E">
        <w:rPr>
          <w:rtl/>
        </w:rPr>
        <w:t xml:space="preserve"> ، ج 2 ، ص 318 ( زور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التهذيب</w:t>
      </w:r>
      <w:r w:rsidR="00E3253D" w:rsidRPr="005D642E">
        <w:rPr>
          <w:rtl/>
        </w:rPr>
        <w:t xml:space="preserve"> ، ج 6 ، ص 224 ، ح 537 ، بسنده عن النوفلي ، عن السكوني ، عن جعفر ، عن أبيه ، عن عليّ </w:t>
      </w:r>
      <w:r w:rsidR="00E3253D" w:rsidRPr="005E192F">
        <w:rPr>
          <w:rStyle w:val="libFootnoteAlaemChar"/>
          <w:rtl/>
        </w:rPr>
        <w:t>عليهم‌السلام</w:t>
      </w:r>
      <w:r w:rsidR="00E3253D" w:rsidRPr="005D642E">
        <w:rPr>
          <w:rtl/>
        </w:rPr>
        <w:t xml:space="preserve">. </w:t>
      </w:r>
      <w:r w:rsidR="00E3253D" w:rsidRPr="002F4D34">
        <w:rPr>
          <w:rStyle w:val="libFootnoteBoldChar"/>
          <w:rtl/>
        </w:rPr>
        <w:t>الجعفريّات</w:t>
      </w:r>
      <w:r w:rsidR="00E3253D" w:rsidRPr="005D642E">
        <w:rPr>
          <w:rtl/>
        </w:rPr>
        <w:t xml:space="preserve"> ، ص 146 ، بسند آخر عن جعفر بن محمّد ، عن آبائه ، عن عليّ </w:t>
      </w:r>
      <w:r w:rsidR="00E3253D" w:rsidRPr="005E192F">
        <w:rPr>
          <w:rStyle w:val="libFootnoteAlaemChar"/>
          <w:rtl/>
        </w:rPr>
        <w:t>عليهم‌السلام</w:t>
      </w:r>
      <w:r w:rsidR="00E3253D" w:rsidRPr="005D642E">
        <w:rPr>
          <w:rtl/>
        </w:rPr>
        <w:t xml:space="preserve"> ، وفيهما مع اختلاف يسير </w:t>
      </w:r>
      <w:r w:rsidR="005E192F">
        <w:rPr>
          <w:rFonts w:hint="cs"/>
          <w:rtl/>
        </w:rPr>
        <w:t>.</w:t>
      </w:r>
      <w:r w:rsidR="00E3253D" w:rsidRPr="002F4D34">
        <w:rPr>
          <w:rStyle w:val="libFootnoteBoldChar"/>
          <w:rtl/>
        </w:rPr>
        <w:t>الوافي</w:t>
      </w:r>
      <w:r w:rsidR="00E3253D" w:rsidRPr="005D642E">
        <w:rPr>
          <w:rtl/>
        </w:rPr>
        <w:t xml:space="preserve"> ، ج 24 ، ص 263 ، ح 24001 ؛ </w:t>
      </w:r>
      <w:r w:rsidR="00E3253D" w:rsidRPr="002F4D34">
        <w:rPr>
          <w:rStyle w:val="libFootnoteBoldChar"/>
          <w:rtl/>
        </w:rPr>
        <w:t>الوسائل</w:t>
      </w:r>
      <w:r w:rsidR="00E3253D" w:rsidRPr="005D642E">
        <w:rPr>
          <w:rtl/>
        </w:rPr>
        <w:t xml:space="preserve"> ، ج 2 ، ص 421 ، ح 2530 ، إلى قوله : « ما وجعت وجعاً قطّ أشدّ منه » ؛ </w:t>
      </w:r>
      <w:r w:rsidR="00E3253D" w:rsidRPr="002F4D34">
        <w:rPr>
          <w:rStyle w:val="libFootnoteBoldChar"/>
          <w:rtl/>
        </w:rPr>
        <w:t>البحار</w:t>
      </w:r>
      <w:r w:rsidR="00E3253D" w:rsidRPr="005D642E">
        <w:rPr>
          <w:rtl/>
        </w:rPr>
        <w:t xml:space="preserve"> ، ج 6 ، ص 170 ، ح 46 ؛ وج 38 ، ص 311 ، ح 11.</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المراد من « بهذا الإسناد » هو السند المتقدّم المذكور إلى أبي عبدالله </w:t>
      </w:r>
      <w:r w:rsidR="00E3253D" w:rsidRPr="005E192F">
        <w:rPr>
          <w:rStyle w:val="libFootnoteAlaemChar"/>
          <w:rtl/>
        </w:rPr>
        <w:t>عليه‌السلام</w:t>
      </w:r>
      <w:r w:rsidR="00E3253D" w:rsidRPr="005D642E">
        <w:rPr>
          <w:rtl/>
        </w:rPr>
        <w:t>.</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هكذا في جميع النسخ التي قوبلت </w:t>
      </w:r>
      <w:r w:rsidR="000D749A" w:rsidRPr="005E192F">
        <w:rPr>
          <w:rtl/>
        </w:rPr>
        <w:t>والوافي</w:t>
      </w:r>
      <w:r w:rsidR="00E3253D" w:rsidRPr="005D642E">
        <w:rPr>
          <w:rtl/>
        </w:rPr>
        <w:t>. وفي المطبوع : « الملكان</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w:t>
      </w:r>
      <w:r w:rsidR="00E3253D" w:rsidRPr="002F4D34">
        <w:rPr>
          <w:rStyle w:val="libFootnoteBoldChar"/>
          <w:rtl/>
        </w:rPr>
        <w:t>الجعفريّات</w:t>
      </w:r>
      <w:r w:rsidR="00E3253D" w:rsidRPr="005D642E">
        <w:rPr>
          <w:rtl/>
        </w:rPr>
        <w:t xml:space="preserve"> ، ص 201 ، بسند آخر عن جعفر بن محمّد ، عن آبائه </w:t>
      </w:r>
      <w:r w:rsidR="00E3253D" w:rsidRPr="005E192F">
        <w:rPr>
          <w:rStyle w:val="libFootnoteAlaemChar"/>
          <w:rtl/>
        </w:rPr>
        <w:t>عليهم‌السلام</w:t>
      </w:r>
      <w:r w:rsidR="00E3253D" w:rsidRPr="005D642E">
        <w:rPr>
          <w:rtl/>
        </w:rPr>
        <w:t xml:space="preserve"> عن رسول الله </w:t>
      </w:r>
      <w:r w:rsidRPr="005E192F">
        <w:rPr>
          <w:rStyle w:val="libFootnoteAlaemChar"/>
          <w:rtl/>
        </w:rPr>
        <w:t>صلى‌الله‌عليه‌وآله</w:t>
      </w:r>
      <w:r w:rsidR="00E3253D" w:rsidRPr="005D642E">
        <w:rPr>
          <w:rtl/>
        </w:rPr>
        <w:t xml:space="preserve"> ، مع اختلاف يسير. </w:t>
      </w:r>
      <w:r w:rsidR="00E3253D" w:rsidRPr="002F4D34">
        <w:rPr>
          <w:rStyle w:val="libFootnoteBoldChar"/>
          <w:rtl/>
        </w:rPr>
        <w:t>الخصال</w:t>
      </w:r>
      <w:r w:rsidR="00E3253D" w:rsidRPr="005D642E">
        <w:rPr>
          <w:rtl/>
        </w:rPr>
        <w:t xml:space="preserve"> ، ص 38 ، باب الاثنين ، ح 21 ، بسند آخر عن أبي جعفر </w:t>
      </w:r>
      <w:r w:rsidR="00E3253D" w:rsidRPr="005E192F">
        <w:rPr>
          <w:rStyle w:val="libFootnoteAlaemChar"/>
          <w:rtl/>
        </w:rPr>
        <w:t>عليه‌السلام</w:t>
      </w:r>
      <w:r w:rsidR="00E3253D" w:rsidRPr="005D642E">
        <w:rPr>
          <w:rtl/>
        </w:rPr>
        <w:t xml:space="preserve"> عن رسول الله </w:t>
      </w:r>
      <w:r w:rsidRPr="005E192F">
        <w:rPr>
          <w:rStyle w:val="libFootnoteAlaemChar"/>
          <w:rtl/>
        </w:rPr>
        <w:t>صلى‌الله‌عليه‌وآله</w:t>
      </w:r>
      <w:r w:rsidR="00E3253D" w:rsidRPr="005D642E">
        <w:rPr>
          <w:rtl/>
        </w:rPr>
        <w:t xml:space="preserve"> ، مع اختلاف. وراجع : </w:t>
      </w:r>
      <w:r w:rsidR="00E3253D" w:rsidRPr="002F4D34">
        <w:rPr>
          <w:rStyle w:val="libFootnoteBoldChar"/>
          <w:rtl/>
        </w:rPr>
        <w:t>معاني الأخبار</w:t>
      </w:r>
      <w:r w:rsidR="00E3253D" w:rsidRPr="005D642E">
        <w:rPr>
          <w:rtl/>
        </w:rPr>
        <w:t xml:space="preserve"> ، ص 289 ، ح 7 </w:t>
      </w:r>
      <w:r w:rsidR="005E192F">
        <w:rPr>
          <w:rFonts w:hint="cs"/>
          <w:rtl/>
        </w:rPr>
        <w:t>.</w:t>
      </w:r>
      <w:r w:rsidR="00E3253D" w:rsidRPr="002F4D34">
        <w:rPr>
          <w:rStyle w:val="libFootnoteBoldChar"/>
          <w:rtl/>
        </w:rPr>
        <w:t>الوافي</w:t>
      </w:r>
      <w:r w:rsidR="00E3253D" w:rsidRPr="005D642E">
        <w:rPr>
          <w:rtl/>
        </w:rPr>
        <w:t xml:space="preserve"> ، ج 25 ، ص 687 ، ح 24821.</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الوافي</w:t>
      </w:r>
      <w:r w:rsidR="00E3253D" w:rsidRPr="005D642E">
        <w:rPr>
          <w:rtl/>
        </w:rPr>
        <w:t xml:space="preserve"> ، ج 24 ، ص 353 ، ح 24194.</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السند معلّق على سابقه. ويروي عن سهل بن زياد ، عدّة من أصحابنا.</w:t>
      </w:r>
    </w:p>
    <w:p w:rsidR="00E3253D" w:rsidRDefault="00E3253D" w:rsidP="00E3253D">
      <w:pPr>
        <w:pStyle w:val="libNormal"/>
        <w:rPr>
          <w:rtl/>
          <w:lang w:bidi="fa-IR"/>
        </w:rPr>
      </w:pPr>
      <w:r>
        <w:rPr>
          <w:rtl/>
          <w:lang w:bidi="fa-IR"/>
        </w:rPr>
        <w:br w:type="page"/>
      </w:r>
    </w:p>
    <w:p w:rsidR="005E192F" w:rsidRDefault="005E192F" w:rsidP="00E3253D">
      <w:pPr>
        <w:pStyle w:val="libNormal"/>
        <w:rPr>
          <w:rtl/>
          <w:lang w:bidi="fa-IR"/>
        </w:rPr>
      </w:pPr>
      <w:r>
        <w:rPr>
          <w:rFonts w:hint="cs"/>
          <w:rtl/>
          <w:lang w:bidi="fa-IR"/>
        </w:rPr>
        <w:t xml:space="preserve">              </w:t>
      </w:r>
      <w:r w:rsidRPr="005D642E">
        <w:rPr>
          <w:rtl/>
          <w:lang w:bidi="fa-IR"/>
        </w:rPr>
        <w:t>وَعَلِيُّ بْنُ إِبْرَاهِيمَ ، عَنْ أَبِيهِ جَمِيعاً ، عَنِ ابْنِ مَحْبُوبٍ ، عَ</w:t>
      </w:r>
      <w:r>
        <w:rPr>
          <w:rtl/>
          <w:lang w:bidi="fa-IR"/>
        </w:rPr>
        <w:t>نْ عَلِيِّ بْنِ رِئَابٍ ، قَالَ</w:t>
      </w:r>
      <w:r w:rsidRPr="005D642E">
        <w:rPr>
          <w:rtl/>
          <w:lang w:bidi="fa-IR"/>
        </w:rPr>
        <w:t>:</w:t>
      </w:r>
    </w:p>
    <w:p w:rsidR="00E3253D" w:rsidRPr="005D642E" w:rsidRDefault="00E3253D" w:rsidP="00E3253D">
      <w:pPr>
        <w:pStyle w:val="libNormal"/>
        <w:rPr>
          <w:rtl/>
          <w:lang w:bidi="fa-IR"/>
        </w:rPr>
      </w:pPr>
      <w:r w:rsidRPr="005D642E">
        <w:rPr>
          <w:rtl/>
          <w:lang w:bidi="fa-IR"/>
        </w:rPr>
        <w:t xml:space="preserve">سَمِعْتُ أَبَا الْحَسَنِ الْأَوَّلَ </w:t>
      </w:r>
      <w:r w:rsidRPr="007C12DB">
        <w:rPr>
          <w:rStyle w:val="libFootnotenumChar"/>
          <w:rtl/>
        </w:rPr>
        <w:t>(1)</w:t>
      </w:r>
      <w:r w:rsidRPr="005D642E">
        <w:rPr>
          <w:rtl/>
          <w:lang w:bidi="fa-IR"/>
        </w:rPr>
        <w:t xml:space="preserve"> </w:t>
      </w:r>
      <w:r w:rsidRPr="00AC51C5">
        <w:rPr>
          <w:rStyle w:val="libAlaemChar"/>
          <w:rtl/>
        </w:rPr>
        <w:t>عليه‌السلام</w:t>
      </w:r>
      <w:r w:rsidRPr="005D642E">
        <w:rPr>
          <w:rtl/>
          <w:lang w:bidi="fa-IR"/>
        </w:rPr>
        <w:t xml:space="preserve"> يَقُولُ : « إِذَا مَاتَ الْمُؤْمِنُ بَكَتْ عَلَيْهِ الْمَلَائِكَةُ ، وَبِقَاعُ الْأَرْضِ الَّتِي كَانَ يَعْبُدُ اللهَ عَلَيْهَا ، وَأَبْوَابُ السَّمَاءِ الَّتِي كَانَ يُصْعَدُ </w:t>
      </w:r>
      <w:r w:rsidRPr="007C12DB">
        <w:rPr>
          <w:rStyle w:val="libFootnotenumChar"/>
          <w:rtl/>
        </w:rPr>
        <w:t>(2)</w:t>
      </w:r>
      <w:r w:rsidRPr="005D642E">
        <w:rPr>
          <w:rtl/>
          <w:lang w:bidi="fa-IR"/>
        </w:rPr>
        <w:t xml:space="preserve"> أَعْمَالُهُ </w:t>
      </w:r>
      <w:r w:rsidRPr="007C12DB">
        <w:rPr>
          <w:rStyle w:val="libFootnotenumChar"/>
          <w:rtl/>
        </w:rPr>
        <w:t>(3)</w:t>
      </w:r>
      <w:r w:rsidRPr="005D642E">
        <w:rPr>
          <w:rtl/>
          <w:lang w:bidi="fa-IR"/>
        </w:rPr>
        <w:t xml:space="preserve"> فِيهَا </w:t>
      </w:r>
      <w:r w:rsidRPr="007C12DB">
        <w:rPr>
          <w:rStyle w:val="libFootnotenumChar"/>
          <w:rtl/>
        </w:rPr>
        <w:t>(4)</w:t>
      </w:r>
      <w:r w:rsidRPr="005D642E">
        <w:rPr>
          <w:rtl/>
          <w:lang w:bidi="fa-IR"/>
        </w:rPr>
        <w:t xml:space="preserve"> ، وَثُلِمَ ثُلْمَةٌ فِي الْإِسْلَامِ </w:t>
      </w:r>
      <w:r w:rsidRPr="007C12DB">
        <w:rPr>
          <w:rStyle w:val="libFootnotenumChar"/>
          <w:rtl/>
        </w:rPr>
        <w:t>(5)</w:t>
      </w:r>
      <w:r w:rsidRPr="005D642E">
        <w:rPr>
          <w:rtl/>
          <w:lang w:bidi="fa-IR"/>
        </w:rPr>
        <w:t xml:space="preserve"> لَايَسُدُّهَا شَيْ‌ءٌ ؛ لِأَنَّ الْمُؤْمِنِينَ حُصُونُ الْإِسْلَامِ كَحُصُونِ </w:t>
      </w:r>
      <w:r w:rsidRPr="007C12DB">
        <w:rPr>
          <w:rStyle w:val="libFootnotenumChar"/>
          <w:rtl/>
        </w:rPr>
        <w:t>(6)</w:t>
      </w:r>
      <w:r w:rsidRPr="005D642E">
        <w:rPr>
          <w:rtl/>
          <w:lang w:bidi="fa-IR"/>
        </w:rPr>
        <w:t xml:space="preserve"> سُورِ الْمَدِينَةِ لَهَا</w:t>
      </w:r>
      <w:r>
        <w:rPr>
          <w:rtl/>
          <w:lang w:bidi="fa-IR"/>
        </w:rPr>
        <w:t>».</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070F58">
        <w:rPr>
          <w:rtl/>
        </w:rPr>
        <w:t>4753</w:t>
      </w:r>
      <w:r w:rsidRPr="00246318">
        <w:rPr>
          <w:rStyle w:val="libBold2Char"/>
          <w:rtl/>
        </w:rPr>
        <w:t xml:space="preserve"> / 14.</w:t>
      </w:r>
      <w:r w:rsidRPr="005D642E">
        <w:rPr>
          <w:rtl/>
          <w:lang w:bidi="fa-IR"/>
        </w:rPr>
        <w:t xml:space="preserve"> سَهْلُ بْنُ زِيَادٍ </w:t>
      </w:r>
      <w:r w:rsidRPr="007C12DB">
        <w:rPr>
          <w:rStyle w:val="libFootnotenumChar"/>
          <w:rtl/>
        </w:rPr>
        <w:t>(8)</w:t>
      </w:r>
      <w:r w:rsidRPr="005D642E">
        <w:rPr>
          <w:rtl/>
          <w:lang w:bidi="fa-IR"/>
        </w:rPr>
        <w:t xml:space="preserve"> ، عَنْ مُحَمَّدِ بْنِ عَلِيٍّ ، عَنْ إِسْمَاعِيلَ بْنِ يَسَارٍ ، عَنْ عُمَرَ </w:t>
      </w:r>
      <w:r w:rsidRPr="007C12DB">
        <w:rPr>
          <w:rStyle w:val="libFootnotenumChar"/>
          <w:rtl/>
        </w:rPr>
        <w:t>(9)</w:t>
      </w:r>
      <w:r w:rsidRPr="005D642E">
        <w:rPr>
          <w:rtl/>
          <w:lang w:bidi="fa-IR"/>
        </w:rPr>
        <w:t xml:space="preserve"> بْنِ‌</w:t>
      </w:r>
      <w:r w:rsidRPr="00070F58">
        <w:rPr>
          <w:rtl/>
          <w:lang w:bidi="fa-IR"/>
        </w:rPr>
        <w:t xml:space="preserve"> </w:t>
      </w:r>
      <w:r w:rsidRPr="005D642E">
        <w:rPr>
          <w:rtl/>
          <w:lang w:bidi="fa-IR"/>
        </w:rPr>
        <w:t>يَزِيدَ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موسى بن جعفر » بدل « الأوّل</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كانت تصعد</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والكافي ، ج 77 </w:t>
      </w:r>
      <w:r w:rsidR="00E3253D" w:rsidRPr="005E192F">
        <w:rPr>
          <w:rtl/>
        </w:rPr>
        <w:t>وقرب الإسناد والعلل</w:t>
      </w:r>
      <w:r w:rsidR="00E3253D" w:rsidRPr="005D642E">
        <w:rPr>
          <w:rtl/>
        </w:rPr>
        <w:t xml:space="preserve"> : « بأعماله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E192F" w:rsidTr="005E192F">
        <w:tc>
          <w:tcPr>
            <w:tcW w:w="4006" w:type="dxa"/>
          </w:tcPr>
          <w:p w:rsidR="005E192F" w:rsidRDefault="005E192F" w:rsidP="00E3253D">
            <w:pPr>
              <w:pStyle w:val="libFootnote0"/>
              <w:rPr>
                <w:rStyle w:val="libFootnote0Char"/>
                <w:rtl/>
              </w:rPr>
            </w:pPr>
            <w:r w:rsidRPr="0042621E">
              <w:rPr>
                <w:rStyle w:val="libFootnote0Char"/>
                <w:rtl/>
              </w:rPr>
              <w:t>(4).</w:t>
            </w:r>
            <w:r w:rsidRPr="005D642E">
              <w:rPr>
                <w:rtl/>
              </w:rPr>
              <w:t xml:space="preserve"> في الوافي : « فيها بأعماله</w:t>
            </w:r>
            <w:r>
              <w:rPr>
                <w:rtl/>
              </w:rPr>
              <w:t xml:space="preserve"> ».</w:t>
            </w:r>
          </w:p>
        </w:tc>
        <w:tc>
          <w:tcPr>
            <w:tcW w:w="4006" w:type="dxa"/>
          </w:tcPr>
          <w:p w:rsidR="005E192F" w:rsidRDefault="005E192F" w:rsidP="00E3253D">
            <w:pPr>
              <w:pStyle w:val="libFootnote0"/>
              <w:rPr>
                <w:rStyle w:val="libFootnote0Char"/>
                <w:rtl/>
              </w:rPr>
            </w:pPr>
            <w:r w:rsidRPr="0042621E">
              <w:rPr>
                <w:rStyle w:val="libFootnote0Char"/>
                <w:rtl/>
              </w:rPr>
              <w:t>(5).</w:t>
            </w:r>
            <w:r w:rsidRPr="005D642E">
              <w:rPr>
                <w:rtl/>
              </w:rPr>
              <w:t xml:space="preserve"> في الوافي : « في الإسلام ثلمة</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 « كحصن</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قرب الإسناد</w:t>
      </w:r>
      <w:r w:rsidR="00E3253D" w:rsidRPr="005D642E">
        <w:rPr>
          <w:rtl/>
        </w:rPr>
        <w:t xml:space="preserve"> ، ص 303 ، ح 1190 ؛ </w:t>
      </w:r>
      <w:r w:rsidR="00E3253D" w:rsidRPr="00FB6501">
        <w:rPr>
          <w:rStyle w:val="libFootnoteBoldChar"/>
          <w:rtl/>
        </w:rPr>
        <w:t>وع</w:t>
      </w:r>
      <w:r w:rsidR="00E3253D" w:rsidRPr="002F4D34">
        <w:rPr>
          <w:rStyle w:val="libFootnoteBoldChar"/>
          <w:rtl/>
        </w:rPr>
        <w:t>لل الشرائع</w:t>
      </w:r>
      <w:r w:rsidR="00E3253D" w:rsidRPr="005D642E">
        <w:rPr>
          <w:rtl/>
        </w:rPr>
        <w:t xml:space="preserve"> ، ص 462 ، ح 2 ، بسندهما عن الحسن بن محبوب. </w:t>
      </w:r>
      <w:r w:rsidR="00E3253D" w:rsidRPr="002F4D34">
        <w:rPr>
          <w:rStyle w:val="libFootnoteBoldChar"/>
          <w:rtl/>
        </w:rPr>
        <w:t>الكافي</w:t>
      </w:r>
      <w:r w:rsidR="00E3253D" w:rsidRPr="005D642E">
        <w:rPr>
          <w:rtl/>
        </w:rPr>
        <w:t xml:space="preserve"> ، كتاب فضل العلم ، باب فقد العلماء ، ح 77 ، بسنده عن ابن محبوب ، عن عليّ بن أبي حمزة ، عن أبي الحسن موسى بن جعفر </w:t>
      </w:r>
      <w:r w:rsidR="00E3253D" w:rsidRPr="00FB6501">
        <w:rPr>
          <w:rStyle w:val="libFootnoteAlaemChar"/>
          <w:rtl/>
        </w:rPr>
        <w:t>عليهما‌السلام</w:t>
      </w:r>
      <w:r w:rsidR="00E3253D" w:rsidRPr="005D642E">
        <w:rPr>
          <w:rtl/>
        </w:rPr>
        <w:t xml:space="preserve">. </w:t>
      </w:r>
      <w:r w:rsidR="00E3253D" w:rsidRPr="002F4D34">
        <w:rPr>
          <w:rStyle w:val="libFootnoteBoldChar"/>
          <w:rtl/>
        </w:rPr>
        <w:t>الفقيه</w:t>
      </w:r>
      <w:r w:rsidR="00E3253D" w:rsidRPr="005D642E">
        <w:rPr>
          <w:rtl/>
        </w:rPr>
        <w:t xml:space="preserve"> ، ج 1 ، ص 139 ، ح 381 ، مرسلاً من دون التصريح باسم المعصوم </w:t>
      </w:r>
      <w:r w:rsidR="00E3253D" w:rsidRPr="00FB6501">
        <w:rPr>
          <w:rStyle w:val="libFootnoteAlaemChar"/>
          <w:rtl/>
        </w:rPr>
        <w:t>عليه‌السلام</w:t>
      </w:r>
      <w:r w:rsidR="00E3253D" w:rsidRPr="005D642E">
        <w:rPr>
          <w:rtl/>
        </w:rPr>
        <w:t xml:space="preserve"> ، إلى قوله : « يصعد أعماله فيها » وفي كلّ المصادر مع اختلاف يسير. راجع : </w:t>
      </w:r>
      <w:r w:rsidR="00E3253D" w:rsidRPr="002F4D34">
        <w:rPr>
          <w:rStyle w:val="libFootnoteBoldChar"/>
          <w:rtl/>
        </w:rPr>
        <w:t>الكافي</w:t>
      </w:r>
      <w:r w:rsidR="00E3253D" w:rsidRPr="005D642E">
        <w:rPr>
          <w:rtl/>
        </w:rPr>
        <w:t xml:space="preserve"> ، نفس الكتاب ، باب فقد العلماء ، ح 76 ؛ </w:t>
      </w:r>
      <w:r w:rsidR="000D749A" w:rsidRPr="000D749A">
        <w:rPr>
          <w:rStyle w:val="libFootnoteBoldChar"/>
          <w:rtl/>
        </w:rPr>
        <w:t>والمحاسن</w:t>
      </w:r>
      <w:r w:rsidR="00E3253D" w:rsidRPr="005D642E">
        <w:rPr>
          <w:rtl/>
        </w:rPr>
        <w:t xml:space="preserve"> ، ص 233 ، كتاب مصابيح الظلم ، ح 185 ؛ </w:t>
      </w:r>
      <w:r w:rsidR="00E3253D" w:rsidRPr="00FB6501">
        <w:rPr>
          <w:rStyle w:val="libFootnoteBoldChar"/>
          <w:rtl/>
        </w:rPr>
        <w:t>وب</w:t>
      </w:r>
      <w:r w:rsidR="00E3253D" w:rsidRPr="002F4D34">
        <w:rPr>
          <w:rStyle w:val="libFootnoteBoldChar"/>
          <w:rtl/>
        </w:rPr>
        <w:t>صائرالدرجات</w:t>
      </w:r>
      <w:r w:rsidR="00E3253D" w:rsidRPr="005D642E">
        <w:rPr>
          <w:rtl/>
        </w:rPr>
        <w:t xml:space="preserve"> ، ص 4 ، ح 10 ؛ </w:t>
      </w:r>
      <w:r w:rsidR="009E68BB" w:rsidRPr="009E68BB">
        <w:rPr>
          <w:rStyle w:val="libFootnoteBoldChar"/>
          <w:rtl/>
        </w:rPr>
        <w:t>والخصال</w:t>
      </w:r>
      <w:r w:rsidR="00E3253D" w:rsidRPr="005D642E">
        <w:rPr>
          <w:rtl/>
        </w:rPr>
        <w:t xml:space="preserve"> ، ص 504 ، أبواب الستّة عشر ، ح 1 </w:t>
      </w:r>
      <w:r w:rsidR="00FB6501">
        <w:rPr>
          <w:rFonts w:hint="cs"/>
          <w:rtl/>
        </w:rPr>
        <w:t>.</w:t>
      </w:r>
      <w:r w:rsidR="00E3253D" w:rsidRPr="002F4D34">
        <w:rPr>
          <w:rStyle w:val="libFootnoteBoldChar"/>
          <w:rtl/>
        </w:rPr>
        <w:t>الوافي</w:t>
      </w:r>
      <w:r w:rsidR="00E3253D" w:rsidRPr="005D642E">
        <w:rPr>
          <w:rtl/>
        </w:rPr>
        <w:t xml:space="preserve"> ، ج 1 ، ص 148 ، ح 63 ؛ </w:t>
      </w:r>
      <w:r w:rsidR="00E3253D" w:rsidRPr="002F4D34">
        <w:rPr>
          <w:rStyle w:val="libFootnoteBoldChar"/>
          <w:rtl/>
        </w:rPr>
        <w:t>الوسائل</w:t>
      </w:r>
      <w:r w:rsidR="00E3253D" w:rsidRPr="005D642E">
        <w:rPr>
          <w:rtl/>
        </w:rPr>
        <w:t xml:space="preserve"> ، ج 3 ، ص 283 ، ح 3660 ؛ </w:t>
      </w:r>
      <w:r w:rsidR="00E3253D" w:rsidRPr="002F4D34">
        <w:rPr>
          <w:rStyle w:val="libFootnoteBoldChar"/>
          <w:rtl/>
        </w:rPr>
        <w:t>وفيه</w:t>
      </w:r>
      <w:r w:rsidR="00E3253D" w:rsidRPr="005D642E">
        <w:rPr>
          <w:rtl/>
        </w:rPr>
        <w:t xml:space="preserve"> ، ج 5 ، ص 187 ، ح 6289 ، إلى قوله : « كان يصعد أعماله فيها</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الراوي عن سهل ، هم عدّة من أصحابنا ، فيكون السند معلّقاً.</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ظ ، بث ، بح ، بخ ، جح ، جس ، جن » والوسائل. وفي « ى ، بس » والمطبوع : « عمرو</w:t>
      </w:r>
      <w:r w:rsidR="00E3253D">
        <w:rPr>
          <w:rtl/>
        </w:rPr>
        <w:t xml:space="preserve"> ».</w:t>
      </w:r>
    </w:p>
    <w:p w:rsidR="00E3253D" w:rsidRPr="005D642E" w:rsidRDefault="00E3253D" w:rsidP="00E3253D">
      <w:pPr>
        <w:pStyle w:val="libFootnote0"/>
        <w:rPr>
          <w:rtl/>
          <w:lang w:bidi="fa-IR"/>
        </w:rPr>
      </w:pPr>
      <w:r w:rsidRPr="00B60612">
        <w:rPr>
          <w:rtl/>
        </w:rPr>
        <w:t xml:space="preserve">والخبر رواه الشيخ الصدوق في </w:t>
      </w:r>
      <w:r w:rsidRPr="002F4D34">
        <w:rPr>
          <w:rStyle w:val="libFootnoteBoldChar"/>
          <w:rtl/>
        </w:rPr>
        <w:t>الفقيه</w:t>
      </w:r>
      <w:r w:rsidRPr="00B60612">
        <w:rPr>
          <w:rtl/>
        </w:rPr>
        <w:t xml:space="preserve"> ، ج 1 ، ص 165 ، ح 472 </w:t>
      </w:r>
      <w:r w:rsidR="007642BC" w:rsidRPr="00B60612">
        <w:rPr>
          <w:rtl/>
        </w:rPr>
        <w:t>-</w:t>
      </w:r>
      <w:r w:rsidRPr="00B60612">
        <w:rPr>
          <w:rtl/>
        </w:rPr>
        <w:t xml:space="preserve"> باختلاف في الألفاظ </w:t>
      </w:r>
      <w:r w:rsidR="007642BC" w:rsidRPr="00B60612">
        <w:rPr>
          <w:rtl/>
        </w:rPr>
        <w:t>-</w:t>
      </w:r>
      <w:r w:rsidRPr="00B60612">
        <w:rPr>
          <w:rtl/>
        </w:rPr>
        <w:t xml:space="preserve"> قال : « وروى عمر بن يزيد ، عن أبي عبدالله </w:t>
      </w:r>
      <w:r w:rsidRPr="00FB6501">
        <w:rPr>
          <w:rStyle w:val="libFootnoteAlaemChar"/>
          <w:rtl/>
        </w:rPr>
        <w:t>عليه‌السلام</w:t>
      </w:r>
      <w:r w:rsidRPr="00B60612">
        <w:rPr>
          <w:rtl/>
        </w:rPr>
        <w:t xml:space="preserve"> ».</w:t>
      </w:r>
    </w:p>
    <w:p w:rsidR="00E3253D" w:rsidRPr="005D642E" w:rsidRDefault="00E3253D" w:rsidP="00E3253D">
      <w:pPr>
        <w:pStyle w:val="libFootnote0"/>
        <w:rPr>
          <w:rtl/>
          <w:lang w:bidi="fa-IR"/>
        </w:rPr>
      </w:pPr>
      <w:r w:rsidRPr="00B60612">
        <w:rPr>
          <w:rtl/>
        </w:rPr>
        <w:t xml:space="preserve">وعمر بن يزيد هذا ، هو عمر بن يزيد بيّاع السابري ، كما يعلم من مشيخة الصدوق في </w:t>
      </w:r>
      <w:r w:rsidRPr="002F4D34">
        <w:rPr>
          <w:rStyle w:val="libFootnoteBoldChar"/>
          <w:rtl/>
        </w:rPr>
        <w:t>الفقيه</w:t>
      </w:r>
      <w:r w:rsidRPr="00B60612">
        <w:rPr>
          <w:rtl/>
        </w:rPr>
        <w:t xml:space="preserve"> ، ج 4 ، ص 425 ، ومقارنته مع </w:t>
      </w:r>
      <w:r w:rsidRPr="002F4D34">
        <w:rPr>
          <w:rStyle w:val="libFootnoteBoldChar"/>
          <w:rtl/>
        </w:rPr>
        <w:t>رجال النجاشي</w:t>
      </w:r>
      <w:r w:rsidRPr="00B60612">
        <w:rPr>
          <w:rtl/>
        </w:rPr>
        <w:t xml:space="preserve"> ، ص 364 ، الر قم 981 ، فلا حظ.</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إِذَا حَضَرَ الْمَيِّتَ أَرْبَعُونَ رَجُلاً ، فَقَالُوا </w:t>
      </w:r>
      <w:r w:rsidRPr="007C12DB">
        <w:rPr>
          <w:rStyle w:val="libFootnotenumChar"/>
          <w:rtl/>
        </w:rPr>
        <w:t>(1)</w:t>
      </w:r>
      <w:r w:rsidRPr="005D642E">
        <w:rPr>
          <w:rtl/>
          <w:lang w:bidi="fa-IR"/>
        </w:rPr>
        <w:t xml:space="preserve"> : الل</w:t>
      </w:r>
      <w:r w:rsidR="00FB6501">
        <w:rPr>
          <w:rFonts w:hint="cs"/>
          <w:rtl/>
          <w:lang w:bidi="fa-IR"/>
        </w:rPr>
        <w:t>َّ</w:t>
      </w:r>
      <w:r w:rsidRPr="005D642E">
        <w:rPr>
          <w:rtl/>
          <w:lang w:bidi="fa-IR"/>
        </w:rPr>
        <w:t xml:space="preserve">هُمَّ إِنَّا لَانَعْلَمُ مِنْهُ </w:t>
      </w:r>
      <w:r w:rsidRPr="007C12DB">
        <w:rPr>
          <w:rStyle w:val="libFootnotenumChar"/>
          <w:rtl/>
        </w:rPr>
        <w:t>(2)</w:t>
      </w:r>
      <w:r w:rsidR="00FB6501">
        <w:rPr>
          <w:rtl/>
          <w:lang w:bidi="fa-IR"/>
        </w:rPr>
        <w:t xml:space="preserve"> إِل</w:t>
      </w:r>
      <w:r w:rsidR="00FB6501">
        <w:rPr>
          <w:rFonts w:hint="cs"/>
          <w:rtl/>
          <w:lang w:bidi="fa-IR"/>
        </w:rPr>
        <w:t>َّ</w:t>
      </w:r>
      <w:r w:rsidR="00FB6501">
        <w:rPr>
          <w:rtl/>
          <w:lang w:bidi="fa-IR"/>
        </w:rPr>
        <w:t>ا</w:t>
      </w:r>
      <w:r w:rsidRPr="005D642E">
        <w:rPr>
          <w:rtl/>
          <w:lang w:bidi="fa-IR"/>
        </w:rPr>
        <w:t xml:space="preserve"> خَيْراً ، قَالَ اللهُ عَزَّ وَجَلَّ : قَدْ قَبِلْتُ شَهَادَتَكُمْ ، وَغَفَرْتُ لَهُ مَا عَلِمْتُ مِمَّا لَا تَعْلَمُونَ</w:t>
      </w:r>
      <w:r>
        <w:rPr>
          <w:rtl/>
          <w:lang w:bidi="fa-IR"/>
        </w:rPr>
        <w:t>».</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070F58">
        <w:rPr>
          <w:rtl/>
        </w:rPr>
        <w:t>4754</w:t>
      </w:r>
      <w:r w:rsidRPr="00246318">
        <w:rPr>
          <w:rStyle w:val="libBold2Char"/>
          <w:rtl/>
        </w:rPr>
        <w:t xml:space="preserve"> / 15.</w:t>
      </w:r>
      <w:r w:rsidRPr="005D642E">
        <w:rPr>
          <w:rtl/>
          <w:lang w:bidi="fa-IR"/>
        </w:rPr>
        <w:t xml:space="preserve"> سَهْلٌ </w:t>
      </w:r>
      <w:r w:rsidRPr="007C12DB">
        <w:rPr>
          <w:rStyle w:val="libFootnotenumChar"/>
          <w:rtl/>
        </w:rPr>
        <w:t>(4)</w:t>
      </w:r>
      <w:r w:rsidRPr="005D642E">
        <w:rPr>
          <w:rtl/>
          <w:lang w:bidi="fa-IR"/>
        </w:rPr>
        <w:t xml:space="preserve"> ، عَنْ أَحْمَدَ بْنِ مُحَمَّدِ بْنِ أَبِي نَصْرٍ ، عَنْ حَمَّادِ بْنِ عُثْمَانَ ، عَنْ عَامِرِ بْنِ عَبْدِ اللهِ ، قَالَ :</w:t>
      </w:r>
    </w:p>
    <w:p w:rsidR="00E3253D" w:rsidRPr="005D642E" w:rsidRDefault="00E3253D" w:rsidP="00E3253D">
      <w:pPr>
        <w:pStyle w:val="libNormal"/>
        <w:rPr>
          <w:rtl/>
          <w:lang w:bidi="fa-IR"/>
        </w:rPr>
      </w:pPr>
      <w:r w:rsidRPr="005D642E">
        <w:rPr>
          <w:rtl/>
          <w:lang w:bidi="fa-IR"/>
        </w:rPr>
        <w:t xml:space="preserve">سَمِعْتُ أَبَا عَبْدِ اللهِ </w:t>
      </w:r>
      <w:r w:rsidRPr="00AC51C5">
        <w:rPr>
          <w:rStyle w:val="libAlaemChar"/>
          <w:rtl/>
        </w:rPr>
        <w:t>عليه‌السلام</w:t>
      </w:r>
      <w:r w:rsidRPr="005D642E">
        <w:rPr>
          <w:rtl/>
          <w:lang w:bidi="fa-IR"/>
        </w:rPr>
        <w:t xml:space="preserve"> يَقُولُ : « كَانَ عَلى قَبْرِ إِبْرَاهِيمَ ابْنِ رَسُولِ اللهِ </w:t>
      </w:r>
      <w:r w:rsidR="0042621E" w:rsidRPr="0042621E">
        <w:rPr>
          <w:rStyle w:val="libAlaemChar"/>
          <w:rtl/>
        </w:rPr>
        <w:t>صلى‌الله‌عليه‌وآله</w:t>
      </w:r>
      <w:r w:rsidRPr="005D642E">
        <w:rPr>
          <w:rtl/>
          <w:lang w:bidi="fa-IR"/>
        </w:rPr>
        <w:t xml:space="preserve"> عَذْقٌ </w:t>
      </w:r>
      <w:r w:rsidRPr="007C12DB">
        <w:rPr>
          <w:rStyle w:val="libFootnotenumChar"/>
          <w:rtl/>
        </w:rPr>
        <w:t>(5)</w:t>
      </w:r>
      <w:r w:rsidRPr="005D642E">
        <w:rPr>
          <w:rtl/>
          <w:lang w:bidi="fa-IR"/>
        </w:rPr>
        <w:t xml:space="preserve"> يُظِلُّهُ مِنَ الشَّمْسِ ، يَدُورُ حَيْثُ دَارَتِ </w:t>
      </w:r>
      <w:r w:rsidRPr="007C12DB">
        <w:rPr>
          <w:rStyle w:val="libFootnotenumChar"/>
          <w:rtl/>
        </w:rPr>
        <w:t>(6)</w:t>
      </w:r>
      <w:r w:rsidRPr="005D642E">
        <w:rPr>
          <w:rtl/>
          <w:lang w:bidi="fa-IR"/>
        </w:rPr>
        <w:t xml:space="preserve"> الشَّمْسُ ، فَلَمَّا يَبِسَ الْعَذْقُ دَرَسَ الْقَبْرُ ، فَلَمْ يُعْلَمْ مَكَانُهُ</w:t>
      </w:r>
      <w:r>
        <w:rPr>
          <w:rtl/>
          <w:lang w:bidi="fa-IR"/>
        </w:rPr>
        <w:t>».</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070F58">
        <w:rPr>
          <w:rtl/>
        </w:rPr>
        <w:t>4755</w:t>
      </w:r>
      <w:r w:rsidRPr="00246318">
        <w:rPr>
          <w:rStyle w:val="libBold2Char"/>
          <w:rtl/>
        </w:rPr>
        <w:t xml:space="preserve"> / 16.</w:t>
      </w:r>
      <w:r w:rsidRPr="005D642E">
        <w:rPr>
          <w:rtl/>
          <w:lang w:bidi="fa-IR"/>
        </w:rPr>
        <w:t xml:space="preserve"> الْحُسَيْنُ بْنُ مُحَمَّدٍ ، عَنْ عَبْدِ اللهِ بْنِ عَامِرٍ ، عَنْ عَلِيِّ بْنِ مَهْزِيَارَ ، عَنْ حَمَّادِ بْنِ عِيسى ، عَنْ مُعَاوِيَةَ بْنِ عَمَّارٍ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كَانَ الْبَرَاءُ بْنُ مَعْرُورٍ التَّمِيمِيُّ </w:t>
      </w:r>
      <w:r w:rsidRPr="007C12DB">
        <w:rPr>
          <w:rStyle w:val="libFootnotenumChar"/>
          <w:rtl/>
        </w:rPr>
        <w:t>(8)</w:t>
      </w:r>
      <w:r w:rsidRPr="005D642E">
        <w:rPr>
          <w:rtl/>
          <w:lang w:bidi="fa-IR"/>
        </w:rPr>
        <w:t xml:space="preserve"> الْأَنْصَارِيُّ بِالْمَدِينَةِ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FB6501">
      <w:pPr>
        <w:pStyle w:val="libFootnote0"/>
        <w:rPr>
          <w:rtl/>
          <w:lang w:bidi="fa-IR"/>
        </w:rPr>
      </w:pPr>
      <w:r w:rsidRPr="0042621E">
        <w:rPr>
          <w:rStyle w:val="libFootnote0Char"/>
          <w:rtl/>
        </w:rPr>
        <w:t>(1).</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FB6501">
        <w:rPr>
          <w:rStyle w:val="libFootnoteAlaemChar"/>
          <w:rtl/>
        </w:rPr>
        <w:t>عليه‌السلام</w:t>
      </w:r>
      <w:r w:rsidR="00E3253D" w:rsidRPr="005D642E">
        <w:rPr>
          <w:rtl/>
        </w:rPr>
        <w:t xml:space="preserve"> : فقالوا ، أي في الصلاة أو الأعمّ ، وهو أظهر ، يدلّ على استحباب ذكر الميّت بخير وإن علم منه الشرّ إذاكان مؤمناً</w:t>
      </w:r>
      <w:r w:rsidR="00E3253D">
        <w:rPr>
          <w:rtl/>
        </w:rPr>
        <w:t xml:space="preserve"> ».</w:t>
      </w:r>
      <w:r w:rsidR="00FB6501">
        <w:rPr>
          <w:rFonts w:hint="cs"/>
          <w:rtl/>
        </w:rPr>
        <w:t xml:space="preserve">                                </w:t>
      </w:r>
      <w:r w:rsidRPr="0042621E">
        <w:rPr>
          <w:rStyle w:val="libFootnote0Char"/>
          <w:rtl/>
        </w:rPr>
        <w:t>(2).</w:t>
      </w:r>
      <w:r w:rsidR="00E3253D" w:rsidRPr="005D642E">
        <w:rPr>
          <w:rtl/>
        </w:rPr>
        <w:t xml:space="preserve"> في « ى ، بس ، جس » :</w:t>
      </w:r>
      <w:r w:rsidR="00E3253D">
        <w:rPr>
          <w:rtl/>
        </w:rPr>
        <w:t xml:space="preserve"> </w:t>
      </w:r>
      <w:r w:rsidR="007642BC">
        <w:rPr>
          <w:rtl/>
        </w:rPr>
        <w:t>-</w:t>
      </w:r>
      <w:r w:rsidR="00E3253D">
        <w:rPr>
          <w:rtl/>
        </w:rPr>
        <w:t xml:space="preserve"> </w:t>
      </w:r>
      <w:r w:rsidR="00E3253D" w:rsidRPr="005D642E">
        <w:rPr>
          <w:rtl/>
        </w:rPr>
        <w:t>« منه</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الفقيه</w:t>
      </w:r>
      <w:r w:rsidR="00E3253D" w:rsidRPr="005D642E">
        <w:rPr>
          <w:rtl/>
        </w:rPr>
        <w:t xml:space="preserve"> ، ج 1 ، ص 165 ، ح 472 ، معلّقاً عن عمر بن يزيد. </w:t>
      </w:r>
      <w:r w:rsidR="00E3253D" w:rsidRPr="002F4D34">
        <w:rPr>
          <w:rStyle w:val="libFootnoteBoldChar"/>
          <w:rtl/>
        </w:rPr>
        <w:t>الخصال</w:t>
      </w:r>
      <w:r w:rsidR="00E3253D" w:rsidRPr="005D642E">
        <w:rPr>
          <w:rtl/>
        </w:rPr>
        <w:t xml:space="preserve"> ، ص 538 ، أبواب الأربعين وما فوقه ، ح 4 ، بسند آخر ، وفيهما مع اختلاف يسير </w:t>
      </w:r>
      <w:r w:rsidR="00FB6501">
        <w:rPr>
          <w:rFonts w:hint="cs"/>
          <w:rtl/>
        </w:rPr>
        <w:t>.</w:t>
      </w:r>
      <w:r w:rsidR="00E3253D" w:rsidRPr="002F4D34">
        <w:rPr>
          <w:rStyle w:val="libFootnoteBoldChar"/>
          <w:rtl/>
        </w:rPr>
        <w:t>الوافي</w:t>
      </w:r>
      <w:r w:rsidR="00E3253D" w:rsidRPr="005D642E">
        <w:rPr>
          <w:rtl/>
        </w:rPr>
        <w:t xml:space="preserve"> ، ج 24 ، ص 457 ، ح 24437 ؛ وج 25 ، ص 591 ، ح 24740 ؛ </w:t>
      </w:r>
      <w:r w:rsidR="00E3253D" w:rsidRPr="002F4D34">
        <w:rPr>
          <w:rStyle w:val="libFootnoteBoldChar"/>
          <w:rtl/>
        </w:rPr>
        <w:t>الوسائل</w:t>
      </w:r>
      <w:r w:rsidR="00E3253D" w:rsidRPr="005D642E">
        <w:rPr>
          <w:rtl/>
        </w:rPr>
        <w:t xml:space="preserve"> ، ج 3 ، ص 285 ، ذيل ح 3664.</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جن » : + « بن زياد</w:t>
      </w:r>
      <w:r w:rsidR="00E3253D">
        <w:rPr>
          <w:rtl/>
        </w:rPr>
        <w:t xml:space="preserve"> ».</w:t>
      </w:r>
      <w:r w:rsidR="00E3253D" w:rsidRPr="005D642E">
        <w:rPr>
          <w:rtl/>
        </w:rPr>
        <w:t xml:space="preserve"> ثمّ إنّ السند معلّق كما هو واضح.</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العَذْق » ، كفلس : النخلة بحملها. راجع : </w:t>
      </w:r>
      <w:r w:rsidR="00E3253D" w:rsidRPr="002F4D34">
        <w:rPr>
          <w:rStyle w:val="libFootnoteBoldChar"/>
          <w:rtl/>
        </w:rPr>
        <w:t>الصحاح</w:t>
      </w:r>
      <w:r w:rsidR="00E3253D" w:rsidRPr="005D642E">
        <w:rPr>
          <w:rtl/>
        </w:rPr>
        <w:t xml:space="preserve"> ، ج 4 ، ص 1522 ( عذق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بح ، بس ، جح ، جس » : « ذالت</w:t>
      </w:r>
      <w:r w:rsidR="00E3253D">
        <w:rPr>
          <w:rtl/>
        </w:rPr>
        <w:t xml:space="preserve"> ».</w:t>
      </w:r>
      <w:r w:rsidR="00E3253D" w:rsidRPr="005D642E">
        <w:rPr>
          <w:rtl/>
        </w:rPr>
        <w:t xml:space="preserve"> وفي حاشية « بح » : « دار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التوحيد</w:t>
      </w:r>
      <w:r w:rsidR="00E3253D" w:rsidRPr="005D642E">
        <w:rPr>
          <w:rtl/>
        </w:rPr>
        <w:t xml:space="preserve"> ، ص 395 ، ح 12 ، بسنده عن حمّاد بن عثمان ، مع زيادة في آخره. </w:t>
      </w:r>
      <w:r w:rsidR="00E3253D" w:rsidRPr="002F4D34">
        <w:rPr>
          <w:rStyle w:val="libFootnoteBoldChar"/>
          <w:rtl/>
        </w:rPr>
        <w:t>الفقيه</w:t>
      </w:r>
      <w:r w:rsidR="00E3253D" w:rsidRPr="005D642E">
        <w:rPr>
          <w:rtl/>
        </w:rPr>
        <w:t xml:space="preserve"> ، ج 3 ، ص 491 ، ح 4736 ، معلّقاً عن عامر بن عبدالله ، وفيهما مع اختلاف يسير </w:t>
      </w:r>
      <w:r w:rsidR="00FB6501">
        <w:rPr>
          <w:rFonts w:hint="cs"/>
          <w:rtl/>
        </w:rPr>
        <w:t>.</w:t>
      </w:r>
      <w:r w:rsidR="00E3253D" w:rsidRPr="002F4D34">
        <w:rPr>
          <w:rStyle w:val="libFootnoteBoldChar"/>
          <w:rtl/>
        </w:rPr>
        <w:t>الوافي</w:t>
      </w:r>
      <w:r w:rsidR="00E3253D" w:rsidRPr="005D642E">
        <w:rPr>
          <w:rtl/>
        </w:rPr>
        <w:t xml:space="preserve"> ، ج 25 ، ص 591 ، ح 24740 ؛ </w:t>
      </w:r>
      <w:r w:rsidR="00E3253D" w:rsidRPr="002F4D34">
        <w:rPr>
          <w:rStyle w:val="libFootnoteBoldChar"/>
          <w:rtl/>
        </w:rPr>
        <w:t>البحار</w:t>
      </w:r>
      <w:r w:rsidR="00E3253D" w:rsidRPr="005D642E">
        <w:rPr>
          <w:rtl/>
        </w:rPr>
        <w:t xml:space="preserve"> ، ج 22 ، ص 152 ، ح 5.</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بث ، بس » : « مغرور التميمي</w:t>
      </w:r>
      <w:r w:rsidR="00E3253D">
        <w:rPr>
          <w:rtl/>
        </w:rPr>
        <w:t xml:space="preserve"> ».</w:t>
      </w:r>
      <w:r w:rsidR="00E3253D" w:rsidRPr="005D642E">
        <w:rPr>
          <w:rtl/>
        </w:rPr>
        <w:t xml:space="preserve"> وفي الوافي :</w:t>
      </w:r>
      <w:r w:rsidR="00E3253D">
        <w:rPr>
          <w:rtl/>
        </w:rPr>
        <w:t xml:space="preserve"> </w:t>
      </w:r>
      <w:r w:rsidR="007642BC">
        <w:rPr>
          <w:rtl/>
        </w:rPr>
        <w:t>-</w:t>
      </w:r>
      <w:r w:rsidR="00E3253D">
        <w:rPr>
          <w:rtl/>
        </w:rPr>
        <w:t xml:space="preserve"> </w:t>
      </w:r>
      <w:r w:rsidR="00E3253D" w:rsidRPr="005D642E">
        <w:rPr>
          <w:rtl/>
        </w:rPr>
        <w:t>« التميمي</w:t>
      </w:r>
      <w:r w:rsidR="00E3253D">
        <w:rPr>
          <w:rtl/>
        </w:rPr>
        <w:t xml:space="preserve"> ».</w:t>
      </w:r>
      <w:r w:rsidR="00E3253D" w:rsidRPr="005D642E">
        <w:rPr>
          <w:rtl/>
        </w:rPr>
        <w:t xml:space="preserve"> والبراء هذا ، هو البراء بن معرور الخزرجي</w:t>
      </w:r>
      <w:r w:rsidR="00FB6501">
        <w:rPr>
          <w:rFonts w:hint="cs"/>
          <w:rtl/>
        </w:rPr>
        <w:t xml:space="preserve"> </w:t>
      </w:r>
      <w:r w:rsidR="00E3253D" w:rsidRPr="005D642E">
        <w:rPr>
          <w:rtl/>
        </w:rPr>
        <w:t>‌السلمي ، شهد العقبة الا</w:t>
      </w:r>
      <w:r w:rsidR="00FB6501">
        <w:rPr>
          <w:rFonts w:hint="cs"/>
          <w:rtl/>
        </w:rPr>
        <w:t>ُ</w:t>
      </w:r>
      <w:r w:rsidR="00E3253D" w:rsidRPr="005D642E">
        <w:rPr>
          <w:rtl/>
        </w:rPr>
        <w:t xml:space="preserve">ولى وكان نقيب قومه بني سلمة ، فلا يبعد أن يكون </w:t>
      </w:r>
      <w:r w:rsidR="00FB6501">
        <w:rPr>
          <w:rtl/>
        </w:rPr>
        <w:t>التميمي محرّفاً من السلمي. راجع</w:t>
      </w:r>
      <w:r w:rsidR="00E3253D" w:rsidRPr="005D642E">
        <w:rPr>
          <w:rtl/>
        </w:rPr>
        <w:t xml:space="preserve">: </w:t>
      </w:r>
      <w:r w:rsidR="00FB650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وَكَانَ رَسُولُ اللهِ </w:t>
      </w:r>
      <w:r w:rsidR="0042621E" w:rsidRPr="0042621E">
        <w:rPr>
          <w:rStyle w:val="libAlaemChar"/>
          <w:rtl/>
        </w:rPr>
        <w:t>صلى‌الله‌عليه‌وآله</w:t>
      </w:r>
      <w:r w:rsidRPr="005D642E">
        <w:rPr>
          <w:rtl/>
          <w:lang w:bidi="fa-IR"/>
        </w:rPr>
        <w:t xml:space="preserve"> بِمَكَّةَ ، وَإِنَّهُ حَضَرَهُ الْمَوْتُ ، وَكَانَ رَسُولُ اللهِ </w:t>
      </w:r>
      <w:r w:rsidR="0042621E" w:rsidRPr="0042621E">
        <w:rPr>
          <w:rStyle w:val="libAlaemChar"/>
          <w:rtl/>
        </w:rPr>
        <w:t>صلى‌الله‌عليه‌وآله</w:t>
      </w:r>
      <w:r w:rsidRPr="005D642E">
        <w:rPr>
          <w:rtl/>
          <w:lang w:bidi="fa-IR"/>
        </w:rPr>
        <w:t xml:space="preserve"> وَالْمُسْلِمُونَ يُصَلُّونَ إِلى بَيْتِ الْمَقْدِسِ ، فَأَوْصَى </w:t>
      </w:r>
      <w:r w:rsidRPr="007C12DB">
        <w:rPr>
          <w:rStyle w:val="libFootnotenumChar"/>
          <w:rtl/>
        </w:rPr>
        <w:t>(1)</w:t>
      </w:r>
      <w:r w:rsidRPr="005D642E">
        <w:rPr>
          <w:rtl/>
          <w:lang w:bidi="fa-IR"/>
        </w:rPr>
        <w:t xml:space="preserve"> الْبَرَاءُ إِذَا دُفِنَ أَنْ يُجْعَلَ وَجْهُهُ إِلى رَسُولِ اللهِ </w:t>
      </w:r>
      <w:r w:rsidR="0042621E" w:rsidRPr="0042621E">
        <w:rPr>
          <w:rStyle w:val="libAlaemChar"/>
          <w:rtl/>
        </w:rPr>
        <w:t>صلى‌الله‌عليه‌وآله</w:t>
      </w:r>
      <w:r w:rsidRPr="005D642E">
        <w:rPr>
          <w:rtl/>
          <w:lang w:bidi="fa-IR"/>
        </w:rPr>
        <w:t xml:space="preserve"> </w:t>
      </w:r>
      <w:r w:rsidRPr="007C12DB">
        <w:rPr>
          <w:rStyle w:val="libFootnotenumChar"/>
          <w:rtl/>
        </w:rPr>
        <w:t>(2)</w:t>
      </w:r>
      <w:r w:rsidRPr="005D642E">
        <w:rPr>
          <w:rtl/>
          <w:lang w:bidi="fa-IR"/>
        </w:rPr>
        <w:t xml:space="preserve"> إِلَى الْقِبْلَةِ </w:t>
      </w:r>
      <w:r w:rsidRPr="007C12DB">
        <w:rPr>
          <w:rStyle w:val="libFootnotenumChar"/>
          <w:rtl/>
        </w:rPr>
        <w:t>(3)</w:t>
      </w:r>
      <w:r w:rsidRPr="005D642E">
        <w:rPr>
          <w:rtl/>
          <w:lang w:bidi="fa-IR"/>
        </w:rPr>
        <w:t xml:space="preserve"> ، فَجَرَتْ </w:t>
      </w:r>
      <w:r w:rsidRPr="007C12DB">
        <w:rPr>
          <w:rStyle w:val="libFootnotenumChar"/>
          <w:rtl/>
        </w:rPr>
        <w:t>(4)</w:t>
      </w:r>
      <w:r w:rsidRPr="005D642E">
        <w:rPr>
          <w:rtl/>
          <w:lang w:bidi="fa-IR"/>
        </w:rPr>
        <w:t xml:space="preserve"> بِهِ السُّنَّةُ ، وَأَنَّهُ أَوْصى بِثُلُثِ مَالِهِ ، فَنَزَلَ بِهِ الْكِتَابُ ، وَجَرَتْ بِهِ السُّنَّةُ</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070F58">
        <w:rPr>
          <w:rtl/>
        </w:rPr>
        <w:t>4756</w:t>
      </w:r>
      <w:r w:rsidRPr="00246318">
        <w:rPr>
          <w:rStyle w:val="libBold2Char"/>
          <w:rtl/>
        </w:rPr>
        <w:t xml:space="preserve"> / 17.</w:t>
      </w:r>
      <w:r w:rsidRPr="005D642E">
        <w:rPr>
          <w:rtl/>
          <w:lang w:bidi="fa-IR"/>
        </w:rPr>
        <w:t xml:space="preserve"> عَلِيُّ بْنُ إِبْرَاهِيمَ ، عَنْ أَبِيهِ ، عَنِ ابْنِ أَبِي عُمَيْرٍ ، عَنْ هِشَامِ بْنِ سَالِمٍ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جَاءَ جَبْرَئِيلُ </w:t>
      </w:r>
      <w:r w:rsidRPr="00AC51C5">
        <w:rPr>
          <w:rStyle w:val="libAlaemChar"/>
          <w:rtl/>
        </w:rPr>
        <w:t>عليه‌السلام</w:t>
      </w:r>
      <w:r w:rsidRPr="005D642E">
        <w:rPr>
          <w:rtl/>
          <w:lang w:bidi="fa-IR"/>
        </w:rPr>
        <w:t xml:space="preserve"> إِلَى النَّبِيِّ </w:t>
      </w:r>
      <w:r w:rsidR="0042621E" w:rsidRPr="0042621E">
        <w:rPr>
          <w:rStyle w:val="libAlaemChar"/>
          <w:rtl/>
        </w:rPr>
        <w:t>صلى‌الله‌عليه‌وآله</w:t>
      </w:r>
      <w:r w:rsidRPr="005D642E">
        <w:rPr>
          <w:rtl/>
          <w:lang w:bidi="fa-IR"/>
        </w:rPr>
        <w:t xml:space="preserve"> ، فَقَالَ : يَا مُحَمَّدُ ، عِشْ مَا شِئْتَ ، فَإِنَّكَ مَيِّتٌ ؛ وَأَحْبِبْ </w:t>
      </w:r>
      <w:r w:rsidRPr="007C12DB">
        <w:rPr>
          <w:rStyle w:val="libFootnotenumChar"/>
          <w:rtl/>
        </w:rPr>
        <w:t>(6)</w:t>
      </w:r>
      <w:r w:rsidRPr="005D642E">
        <w:rPr>
          <w:rtl/>
          <w:lang w:bidi="fa-IR"/>
        </w:rPr>
        <w:t xml:space="preserve"> مَنْ شِئْتَ ، فَإِنَّكَ مُفَارِقُهُ ؛ وَاعْمَلْ مَا شِئْتَ ، فَإِنَّكَ لَاقِيهِ</w:t>
      </w:r>
      <w:r w:rsidRPr="007C12DB">
        <w:rPr>
          <w:rStyle w:val="libFootnotenumChar"/>
          <w:rtl/>
        </w:rPr>
        <w:t>(7)</w:t>
      </w:r>
      <w:r>
        <w:rPr>
          <w:rtl/>
          <w:lang w:bidi="fa-IR"/>
        </w:rPr>
        <w:t>».</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273971" w:rsidP="00E3253D">
      <w:pPr>
        <w:pStyle w:val="libFootnote0"/>
        <w:rPr>
          <w:rtl/>
          <w:lang w:bidi="fa-IR"/>
        </w:rPr>
      </w:pPr>
      <w:r>
        <w:rPr>
          <w:rFonts w:hint="cs"/>
          <w:rtl/>
        </w:rPr>
        <w:t xml:space="preserve">= </w:t>
      </w:r>
      <w:r w:rsidR="00E3253D" w:rsidRPr="00273971">
        <w:rPr>
          <w:rStyle w:val="libFootnoteBoldChar"/>
          <w:rtl/>
        </w:rPr>
        <w:t xml:space="preserve">اسد </w:t>
      </w:r>
      <w:r w:rsidR="00E3253D" w:rsidRPr="002F4D34">
        <w:rPr>
          <w:rStyle w:val="libFootnoteBoldChar"/>
          <w:rtl/>
        </w:rPr>
        <w:t>الغابة</w:t>
      </w:r>
      <w:r w:rsidR="00E3253D" w:rsidRPr="005D642E">
        <w:rPr>
          <w:rtl/>
        </w:rPr>
        <w:t xml:space="preserve"> ، ج 1 ، ص 364 ، الرقم 392 ؛ </w:t>
      </w:r>
      <w:r w:rsidR="00E3253D" w:rsidRPr="002F4D34">
        <w:rPr>
          <w:rStyle w:val="libFootnoteBoldChar"/>
          <w:rtl/>
        </w:rPr>
        <w:t>سير أعلام النبلاء</w:t>
      </w:r>
      <w:r w:rsidR="00E3253D" w:rsidRPr="005D642E">
        <w:rPr>
          <w:rtl/>
        </w:rPr>
        <w:t xml:space="preserve"> ، ج 1 ، ص 267 ، الرقم 53.</w:t>
      </w:r>
    </w:p>
    <w:p w:rsidR="00E3253D" w:rsidRDefault="00E3253D" w:rsidP="00E3253D">
      <w:pPr>
        <w:pStyle w:val="libFootnote0"/>
        <w:rPr>
          <w:rtl/>
        </w:rPr>
      </w:pPr>
      <w:r w:rsidRPr="00B60612">
        <w:rPr>
          <w:rtl/>
        </w:rPr>
        <w:t xml:space="preserve">هذا ، وقد ظهر بذلك وقوع السهو في ما ورد في </w:t>
      </w:r>
      <w:r w:rsidRPr="002F4D34">
        <w:rPr>
          <w:rStyle w:val="libFootnoteBoldChar"/>
          <w:rtl/>
        </w:rPr>
        <w:t>علل الشرائع</w:t>
      </w:r>
      <w:r w:rsidRPr="00B60612">
        <w:rPr>
          <w:rtl/>
        </w:rPr>
        <w:t xml:space="preserve"> ، ص 566 ، من « البراء بن مغرور الأنصاري ».</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قوله </w:t>
      </w:r>
      <w:r w:rsidR="00E3253D" w:rsidRPr="00273971">
        <w:rPr>
          <w:rStyle w:val="libFootnoteAlaemChar"/>
          <w:rtl/>
        </w:rPr>
        <w:t>عليه‌السلام</w:t>
      </w:r>
      <w:r w:rsidR="00E3253D" w:rsidRPr="005D642E">
        <w:rPr>
          <w:rtl/>
        </w:rPr>
        <w:t xml:space="preserve"> : فأوصى ، لعلّه لم يكن في شرعهم تعيين لتوجيه الميّت إلى جانب وكانوا مخيّرين</w:t>
      </w:r>
      <w:r w:rsidR="00273971">
        <w:rPr>
          <w:rFonts w:hint="cs"/>
          <w:rtl/>
        </w:rPr>
        <w:t xml:space="preserve"> </w:t>
      </w:r>
      <w:r w:rsidR="00E3253D" w:rsidRPr="005D642E">
        <w:rPr>
          <w:rtl/>
        </w:rPr>
        <w:t xml:space="preserve">‌في الجهات فاختار هذه الجهة للاستحسان العقلي ، أو لما ثبت عنده شرعاً من تعظيم الرسول </w:t>
      </w:r>
      <w:r w:rsidRPr="00273971">
        <w:rPr>
          <w:rStyle w:val="libFootnoteAlaemChar"/>
          <w:rtl/>
        </w:rPr>
        <w:t>صلى‌الله‌عليه‌وآله</w:t>
      </w:r>
      <w:r w:rsidR="00E3253D" w:rsidRPr="005D642E">
        <w:rPr>
          <w:rtl/>
        </w:rPr>
        <w:t xml:space="preserve"> ، فعلى الأوّل يدلّ على حجيّة تلك الاستحسانات أو على أنّ الإنسان يثاب على ما يفعله موافقاً للواقع وإن لم يكن مستنداً إلى دليل معتبر ، كما اختاره الفاضل الأردبيلي </w:t>
      </w:r>
      <w:r w:rsidR="00E3253D" w:rsidRPr="00273971">
        <w:rPr>
          <w:rStyle w:val="libFootnoteAlaemChar"/>
          <w:rtl/>
        </w:rPr>
        <w:t>رحمه‌الله</w:t>
      </w:r>
      <w:r w:rsidR="00E3253D" w:rsidRPr="005D642E">
        <w:rPr>
          <w:rtl/>
        </w:rPr>
        <w:t xml:space="preserve"> ، وعلى الثاني على جواز العمل بتلك العمومات ، كتقبيل الأعتاب الشريفة وكتب الأخبار وتعظيم ما ينسب إليهم بما يعدّ تعظيماً عرفاً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273971" w:rsidTr="00273971">
        <w:tc>
          <w:tcPr>
            <w:tcW w:w="4006" w:type="dxa"/>
          </w:tcPr>
          <w:p w:rsidR="00273971" w:rsidRDefault="00273971" w:rsidP="00E3253D">
            <w:pPr>
              <w:pStyle w:val="libFootnote0"/>
              <w:rPr>
                <w:rStyle w:val="libFootnote0Char"/>
                <w:rtl/>
              </w:rPr>
            </w:pPr>
            <w:r w:rsidRPr="0042621E">
              <w:rPr>
                <w:rStyle w:val="libFootnote0Char"/>
                <w:rtl/>
              </w:rPr>
              <w:t>(2).</w:t>
            </w:r>
            <w:r w:rsidRPr="005D642E">
              <w:rPr>
                <w:rtl/>
              </w:rPr>
              <w:t xml:space="preserve"> في الوافي : « تلقاء النبيّ » بدل « رسول الله</w:t>
            </w:r>
            <w:r>
              <w:rPr>
                <w:rtl/>
              </w:rPr>
              <w:t xml:space="preserve"> ».</w:t>
            </w:r>
          </w:p>
        </w:tc>
        <w:tc>
          <w:tcPr>
            <w:tcW w:w="4006" w:type="dxa"/>
          </w:tcPr>
          <w:p w:rsidR="00273971" w:rsidRDefault="00273971" w:rsidP="00E3253D">
            <w:pPr>
              <w:pStyle w:val="libFootnote0"/>
              <w:rPr>
                <w:rStyle w:val="libFootnote0Char"/>
                <w:rtl/>
              </w:rPr>
            </w:pPr>
            <w:r w:rsidRPr="0042621E">
              <w:rPr>
                <w:rStyle w:val="libFootnote0Char"/>
                <w:rtl/>
              </w:rPr>
              <w:t>(3).</w:t>
            </w:r>
            <w:r w:rsidRPr="005D642E">
              <w:rPr>
                <w:rtl/>
              </w:rPr>
              <w:t xml:space="preserve"> في الوافي : + « وأوصى بثلت ماله</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بث » : « وجرت</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علل الشرائع</w:t>
      </w:r>
      <w:r w:rsidR="00E3253D" w:rsidRPr="005D642E">
        <w:rPr>
          <w:rtl/>
        </w:rPr>
        <w:t xml:space="preserve"> ، ص 301 ، ح 1 ، إلى قوله : « إلى القبلة » ؛ </w:t>
      </w:r>
      <w:r w:rsidR="00E3253D" w:rsidRPr="002F4D34">
        <w:rPr>
          <w:rStyle w:val="libFootnoteBoldChar"/>
          <w:rtl/>
        </w:rPr>
        <w:t>وفيه</w:t>
      </w:r>
      <w:r w:rsidR="00E3253D" w:rsidRPr="005D642E">
        <w:rPr>
          <w:rtl/>
        </w:rPr>
        <w:t xml:space="preserve"> ، ص 566 ، ح 1 ، إلى قوله : « وكان رسول الله </w:t>
      </w:r>
      <w:r w:rsidRPr="00273971">
        <w:rPr>
          <w:rStyle w:val="libFootnoteAlaemChar"/>
          <w:rtl/>
        </w:rPr>
        <w:t>صلى‌الله‌عليه‌وآله</w:t>
      </w:r>
      <w:r w:rsidR="00E3253D" w:rsidRPr="005D642E">
        <w:rPr>
          <w:rtl/>
        </w:rPr>
        <w:t xml:space="preserve"> بمكّة » ومن قوله : « وأنّه أوصى بثلث ماله » وفيهما بسند آخر عن حمّاد بن عيسى. وفي الكافي ، كتاب الوصايا ، باب ما للإنسان أن يوصي به بعد موته</w:t>
      </w:r>
      <w:r w:rsidR="00E3253D">
        <w:rPr>
          <w:rtl/>
        </w:rPr>
        <w:t xml:space="preserve"> ..</w:t>
      </w:r>
      <w:r w:rsidR="00E3253D" w:rsidRPr="005D642E">
        <w:rPr>
          <w:rtl/>
        </w:rPr>
        <w:t xml:space="preserve">. ، ح 13126 ؛ </w:t>
      </w:r>
      <w:r w:rsidR="009E68BB" w:rsidRPr="009E68BB">
        <w:rPr>
          <w:rStyle w:val="libFootnoteBoldChar"/>
          <w:rtl/>
        </w:rPr>
        <w:t>وتحف العقول</w:t>
      </w:r>
      <w:r w:rsidR="00E3253D" w:rsidRPr="005D642E">
        <w:rPr>
          <w:rtl/>
        </w:rPr>
        <w:t xml:space="preserve"> ، ج 4 ، ص 186 ، ح 5428 ؛ </w:t>
      </w:r>
      <w:r w:rsidR="00B60612" w:rsidRPr="00B60612">
        <w:rPr>
          <w:rStyle w:val="libFootnoteBoldChar"/>
          <w:rtl/>
        </w:rPr>
        <w:t>والتهذيب</w:t>
      </w:r>
      <w:r w:rsidR="00E3253D" w:rsidRPr="005D642E">
        <w:rPr>
          <w:rtl/>
        </w:rPr>
        <w:t xml:space="preserve"> ، ج 9 ، ص 192 ، ح 771 ، بسند آخر عن معاوية بن عمّار. </w:t>
      </w:r>
      <w:r w:rsidR="00E3253D" w:rsidRPr="002F4D34">
        <w:rPr>
          <w:rStyle w:val="libFootnoteBoldChar"/>
          <w:rtl/>
        </w:rPr>
        <w:t>الخصال</w:t>
      </w:r>
      <w:r w:rsidR="00E3253D" w:rsidRPr="005D642E">
        <w:rPr>
          <w:rtl/>
        </w:rPr>
        <w:t xml:space="preserve"> ، ص 192 ، باب الثلاثة ، ذيل ح 267 ، بسند آخر ، من قوله : « فأوصى البراء إذا دفن » مع زيادة في أوّله ، وفي كلّ المصادر مع اختلاف يسير </w:t>
      </w:r>
      <w:r w:rsidR="00273971">
        <w:rPr>
          <w:rFonts w:hint="cs"/>
          <w:rtl/>
        </w:rPr>
        <w:t>.</w:t>
      </w:r>
      <w:r w:rsidR="00E3253D" w:rsidRPr="002F4D34">
        <w:rPr>
          <w:rStyle w:val="libFootnoteBoldChar"/>
          <w:rtl/>
        </w:rPr>
        <w:t>الوافي</w:t>
      </w:r>
      <w:r w:rsidR="00E3253D" w:rsidRPr="005D642E">
        <w:rPr>
          <w:rtl/>
        </w:rPr>
        <w:t xml:space="preserve"> ، ج 24 ، ص 37 ، ح 23616 ؛ </w:t>
      </w:r>
      <w:r w:rsidR="00E3253D" w:rsidRPr="002F4D34">
        <w:rPr>
          <w:rStyle w:val="libFootnoteBoldChar"/>
          <w:rtl/>
        </w:rPr>
        <w:t>الوسائل</w:t>
      </w:r>
      <w:r w:rsidR="00E3253D" w:rsidRPr="005D642E">
        <w:rPr>
          <w:rtl/>
        </w:rPr>
        <w:t xml:space="preserve"> ، ج 3 ، ص 230 ، ح 3486 ؛ </w:t>
      </w:r>
      <w:r w:rsidR="00E3253D" w:rsidRPr="002F4D34">
        <w:rPr>
          <w:rStyle w:val="libFootnoteBoldChar"/>
          <w:rtl/>
        </w:rPr>
        <w:t>البحار</w:t>
      </w:r>
      <w:r w:rsidR="00E3253D" w:rsidRPr="005D642E">
        <w:rPr>
          <w:rtl/>
        </w:rPr>
        <w:t xml:space="preserve"> ، ج 22 ، ص 126 ، ح 99.</w:t>
      </w:r>
    </w:p>
    <w:tbl>
      <w:tblPr>
        <w:tblStyle w:val="TableGrid"/>
        <w:bidiVisual/>
        <w:tblW w:w="0" w:type="auto"/>
        <w:tblLook w:val="04A0" w:firstRow="1" w:lastRow="0" w:firstColumn="1" w:lastColumn="0" w:noHBand="0" w:noVBand="1"/>
      </w:tblPr>
      <w:tblGrid>
        <w:gridCol w:w="4006"/>
        <w:gridCol w:w="4006"/>
      </w:tblGrid>
      <w:tr w:rsidR="00273971" w:rsidTr="00273971">
        <w:tc>
          <w:tcPr>
            <w:tcW w:w="4006" w:type="dxa"/>
          </w:tcPr>
          <w:p w:rsidR="00273971" w:rsidRDefault="00273971" w:rsidP="00E3253D">
            <w:pPr>
              <w:pStyle w:val="libFootnote0"/>
              <w:rPr>
                <w:rStyle w:val="libFootnote0Char"/>
                <w:rtl/>
              </w:rPr>
            </w:pPr>
            <w:r w:rsidRPr="0042621E">
              <w:rPr>
                <w:rStyle w:val="libFootnote0Char"/>
                <w:rtl/>
              </w:rPr>
              <w:t>(6).</w:t>
            </w:r>
            <w:r w:rsidRPr="005D642E">
              <w:rPr>
                <w:rtl/>
              </w:rPr>
              <w:t xml:space="preserve"> في « بخ » : « وأحبّ</w:t>
            </w:r>
            <w:r>
              <w:rPr>
                <w:rtl/>
              </w:rPr>
              <w:t xml:space="preserve"> ».</w:t>
            </w:r>
          </w:p>
        </w:tc>
        <w:tc>
          <w:tcPr>
            <w:tcW w:w="4006" w:type="dxa"/>
          </w:tcPr>
          <w:p w:rsidR="00273971" w:rsidRDefault="00273971" w:rsidP="00E3253D">
            <w:pPr>
              <w:pStyle w:val="libFootnote0"/>
              <w:rPr>
                <w:rStyle w:val="libFootnote0Char"/>
                <w:rtl/>
              </w:rPr>
            </w:pPr>
            <w:r w:rsidRPr="0042621E">
              <w:rPr>
                <w:rStyle w:val="libFootnote0Char"/>
                <w:rtl/>
              </w:rPr>
              <w:t>(7).</w:t>
            </w:r>
            <w:r w:rsidRPr="005D642E">
              <w:rPr>
                <w:rtl/>
              </w:rPr>
              <w:t xml:space="preserve"> في الوافي : « ملاقيه</w:t>
            </w:r>
            <w:r>
              <w:rPr>
                <w:rtl/>
              </w:rPr>
              <w:t xml:space="preserve"> ».</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الزهد</w:t>
      </w:r>
      <w:r w:rsidR="00E3253D" w:rsidRPr="005D642E">
        <w:rPr>
          <w:rtl/>
        </w:rPr>
        <w:t xml:space="preserve"> ، ص 150 ، ح 218 ، عن ابن أبي عمير. </w:t>
      </w:r>
      <w:r w:rsidR="00E3253D" w:rsidRPr="002F4D34">
        <w:rPr>
          <w:rStyle w:val="libFootnoteBoldChar"/>
          <w:rtl/>
        </w:rPr>
        <w:t>الخصال</w:t>
      </w:r>
      <w:r w:rsidR="00E3253D" w:rsidRPr="005D642E">
        <w:rPr>
          <w:rtl/>
        </w:rPr>
        <w:t xml:space="preserve"> ، ص 7 ، باب الواحد ، ح 19 ، بسند آخر عن أبي عبدالله </w:t>
      </w:r>
      <w:r w:rsidR="00E3253D" w:rsidRPr="00273971">
        <w:rPr>
          <w:rStyle w:val="libFootnoteAlaemChar"/>
          <w:rtl/>
        </w:rPr>
        <w:t>عليه‌السلام</w:t>
      </w:r>
      <w:r w:rsidR="00E3253D" w:rsidRPr="005D642E">
        <w:rPr>
          <w:rtl/>
        </w:rPr>
        <w:t xml:space="preserve"> عن رسول الله </w:t>
      </w:r>
      <w:r w:rsidRPr="00273971">
        <w:rPr>
          <w:rStyle w:val="libFootnoteAlaemChar"/>
          <w:rtl/>
        </w:rPr>
        <w:t>صلى‌الله‌عليه‌وآله</w:t>
      </w:r>
      <w:r w:rsidR="00E3253D" w:rsidRPr="005D642E">
        <w:rPr>
          <w:rtl/>
        </w:rPr>
        <w:t xml:space="preserve"> ، وفيهما مع زيادة في آخره. وفي </w:t>
      </w:r>
      <w:r w:rsidR="00E3253D" w:rsidRPr="002F4D34">
        <w:rPr>
          <w:rStyle w:val="libFootnoteBoldChar"/>
          <w:rtl/>
        </w:rPr>
        <w:t>الجعفريّات</w:t>
      </w:r>
      <w:r w:rsidR="00E3253D" w:rsidRPr="005D642E">
        <w:rPr>
          <w:rtl/>
        </w:rPr>
        <w:t xml:space="preserve"> ، ص 181 ؛ </w:t>
      </w:r>
      <w:r w:rsidR="009E68BB" w:rsidRPr="009E68BB">
        <w:rPr>
          <w:rStyle w:val="libFootnoteBoldChar"/>
          <w:rtl/>
        </w:rPr>
        <w:t>و</w:t>
      </w:r>
      <w:r w:rsidR="009E68BB" w:rsidRPr="0035521A">
        <w:rPr>
          <w:rStyle w:val="libFootnoteBoldChar"/>
          <w:rtl/>
        </w:rPr>
        <w:t>الأمالي للطوسي</w:t>
      </w:r>
      <w:r w:rsidR="00E3253D" w:rsidRPr="005D642E">
        <w:rPr>
          <w:rtl/>
        </w:rPr>
        <w:t xml:space="preserve"> ، ص 590 ، المجلس 25 ، ح 13 ، بسند آخر عن جعفر بن محمّد ، عن آبائه </w:t>
      </w:r>
      <w:r w:rsidR="00E3253D" w:rsidRPr="00273971">
        <w:rPr>
          <w:rStyle w:val="libFootnoteAlaemChar"/>
          <w:rtl/>
        </w:rPr>
        <w:t>عليهم‌السلام</w:t>
      </w:r>
      <w:r w:rsidR="00E3253D" w:rsidRPr="005D642E">
        <w:rPr>
          <w:rtl/>
        </w:rPr>
        <w:t xml:space="preserve"> عن رسول الله </w:t>
      </w:r>
      <w:r w:rsidRPr="00273971">
        <w:rPr>
          <w:rStyle w:val="libFootnoteAlaemChar"/>
          <w:rtl/>
        </w:rPr>
        <w:t>صلى‌الله‌عليه‌وآله</w:t>
      </w:r>
      <w:r w:rsidR="00E3253D" w:rsidRPr="005D642E">
        <w:rPr>
          <w:rtl/>
        </w:rPr>
        <w:t xml:space="preserve">. وفي </w:t>
      </w:r>
      <w:r w:rsidR="000D749A" w:rsidRPr="000D749A">
        <w:rPr>
          <w:rStyle w:val="libFootnoteBoldChar"/>
          <w:rtl/>
        </w:rPr>
        <w:t>الأمالي للصدوق</w:t>
      </w:r>
      <w:r w:rsidR="00E3253D" w:rsidRPr="005D642E">
        <w:rPr>
          <w:rtl/>
        </w:rPr>
        <w:t xml:space="preserve"> ، ص 233 ، المجلس 41 ، ح 5 ؛ </w:t>
      </w:r>
      <w:r w:rsidR="009E68BB" w:rsidRPr="009E68BB">
        <w:rPr>
          <w:rStyle w:val="libFootnoteBoldChar"/>
          <w:rtl/>
        </w:rPr>
        <w:t>والخصال</w:t>
      </w:r>
      <w:r w:rsidR="00E3253D" w:rsidRPr="002F4D34">
        <w:rPr>
          <w:rStyle w:val="libFootnoteBoldChar"/>
          <w:rtl/>
        </w:rPr>
        <w:t xml:space="preserve"> </w:t>
      </w:r>
      <w:r w:rsidR="00E3253D" w:rsidRPr="005D642E">
        <w:rPr>
          <w:rtl/>
        </w:rPr>
        <w:t xml:space="preserve">، ص 7 ، باب الواحد ، ح 20 ؛ </w:t>
      </w:r>
      <w:r w:rsidR="00E3253D" w:rsidRPr="00273971">
        <w:rPr>
          <w:rStyle w:val="libFootnoteBoldChar"/>
          <w:rtl/>
        </w:rPr>
        <w:t>و</w:t>
      </w:r>
      <w:r w:rsidR="00E3253D" w:rsidRPr="002F4D34">
        <w:rPr>
          <w:rStyle w:val="libFootnoteBoldChar"/>
          <w:rtl/>
        </w:rPr>
        <w:t>معاني الأخبار</w:t>
      </w:r>
      <w:r w:rsidR="00E3253D" w:rsidRPr="005D642E">
        <w:rPr>
          <w:rtl/>
        </w:rPr>
        <w:t xml:space="preserve"> ، ص 178 ، </w:t>
      </w:r>
      <w:r w:rsidR="00273971">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2130D2">
        <w:rPr>
          <w:rtl/>
        </w:rPr>
        <w:t>4757</w:t>
      </w:r>
      <w:r w:rsidRPr="00246318">
        <w:rPr>
          <w:rStyle w:val="libBold2Char"/>
          <w:rtl/>
        </w:rPr>
        <w:t xml:space="preserve"> / 18.</w:t>
      </w:r>
      <w:r w:rsidRPr="005D642E">
        <w:rPr>
          <w:rtl/>
          <w:lang w:bidi="fa-IR"/>
        </w:rPr>
        <w:t xml:space="preserve"> ابْنُ أَبِي عُمَيْرٍ </w:t>
      </w:r>
      <w:r w:rsidRPr="007C12DB">
        <w:rPr>
          <w:rStyle w:val="libFootnotenumChar"/>
          <w:rtl/>
        </w:rPr>
        <w:t>(1)</w:t>
      </w:r>
      <w:r w:rsidRPr="005D642E">
        <w:rPr>
          <w:rtl/>
          <w:lang w:bidi="fa-IR"/>
        </w:rPr>
        <w:t xml:space="preserve"> ، عَنْ أَبِي </w:t>
      </w:r>
      <w:r w:rsidRPr="007C12DB">
        <w:rPr>
          <w:rStyle w:val="libFootnotenumChar"/>
          <w:rtl/>
        </w:rPr>
        <w:t>(2)</w:t>
      </w:r>
      <w:r w:rsidRPr="005D642E">
        <w:rPr>
          <w:rtl/>
          <w:lang w:bidi="fa-IR"/>
        </w:rPr>
        <w:t xml:space="preserve"> أَيُّوبَ ، عَنْ أَبِي عُبَيْدَةَ ، قَالَ :</w:t>
      </w:r>
    </w:p>
    <w:p w:rsidR="00E3253D" w:rsidRPr="005D642E" w:rsidRDefault="00E3253D" w:rsidP="00E3253D">
      <w:pPr>
        <w:pStyle w:val="libNormal"/>
        <w:rPr>
          <w:rtl/>
          <w:lang w:bidi="fa-IR"/>
        </w:rPr>
      </w:pPr>
      <w:r w:rsidRPr="005D642E">
        <w:rPr>
          <w:rtl/>
          <w:lang w:bidi="fa-IR"/>
        </w:rPr>
        <w:t xml:space="preserve">قُلْتُ لِأَبِي جَعْفَرٍ </w:t>
      </w:r>
      <w:r w:rsidRPr="00AC51C5">
        <w:rPr>
          <w:rStyle w:val="libAlaemChar"/>
          <w:rtl/>
        </w:rPr>
        <w:t>عليه‌السلام</w:t>
      </w:r>
      <w:r w:rsidRPr="005D642E">
        <w:rPr>
          <w:rtl/>
          <w:lang w:bidi="fa-IR"/>
        </w:rPr>
        <w:t xml:space="preserve"> : حَدِّثْنِي مَا أَنْتَفِعُ بِهِ ، فَقَالَ : « يَا أَبَا عُبَيْدَة </w:t>
      </w:r>
      <w:r w:rsidRPr="007C12DB">
        <w:rPr>
          <w:rStyle w:val="libFootnotenumChar"/>
          <w:rtl/>
        </w:rPr>
        <w:t>(3)</w:t>
      </w:r>
      <w:r w:rsidRPr="005D642E">
        <w:rPr>
          <w:rtl/>
          <w:lang w:bidi="fa-IR"/>
        </w:rPr>
        <w:t xml:space="preserve"> ، أَكْثِرْ ذِكْرَ الْمَوْتِ ؛ فَإِنَّهُ لَمْ يُكْثِرْ ذِكْرَهُ إِنْسَانٌ </w:t>
      </w:r>
      <w:r w:rsidRPr="007C12DB">
        <w:rPr>
          <w:rStyle w:val="libFootnotenumChar"/>
          <w:rtl/>
        </w:rPr>
        <w:t>(4)</w:t>
      </w:r>
      <w:r w:rsidR="00273971">
        <w:rPr>
          <w:rtl/>
          <w:lang w:bidi="fa-IR"/>
        </w:rPr>
        <w:t xml:space="preserve"> إِل</w:t>
      </w:r>
      <w:r w:rsidR="00273971">
        <w:rPr>
          <w:rFonts w:hint="cs"/>
          <w:rtl/>
          <w:lang w:bidi="fa-IR"/>
        </w:rPr>
        <w:t>َّ</w:t>
      </w:r>
      <w:r w:rsidR="00273971">
        <w:rPr>
          <w:rtl/>
          <w:lang w:bidi="fa-IR"/>
        </w:rPr>
        <w:t>ا</w:t>
      </w:r>
      <w:r w:rsidRPr="005D642E">
        <w:rPr>
          <w:rtl/>
          <w:lang w:bidi="fa-IR"/>
        </w:rPr>
        <w:t xml:space="preserve"> زَهِدَ فِي الدُّنْيَا</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6F7A5E">
        <w:rPr>
          <w:rtl/>
        </w:rPr>
        <w:t>4758</w:t>
      </w:r>
      <w:r w:rsidRPr="00246318">
        <w:rPr>
          <w:rStyle w:val="libBold2Char"/>
          <w:rtl/>
        </w:rPr>
        <w:t xml:space="preserve"> / 19.</w:t>
      </w:r>
      <w:r w:rsidRPr="005D642E">
        <w:rPr>
          <w:rtl/>
          <w:lang w:bidi="fa-IR"/>
        </w:rPr>
        <w:t xml:space="preserve"> ابْنُ أَبِي عُمَيْرٍ </w:t>
      </w:r>
      <w:r w:rsidRPr="007C12DB">
        <w:rPr>
          <w:rStyle w:val="libFootnotenumChar"/>
          <w:rtl/>
        </w:rPr>
        <w:t>(6)</w:t>
      </w:r>
      <w:r w:rsidRPr="005D642E">
        <w:rPr>
          <w:rtl/>
          <w:lang w:bidi="fa-IR"/>
        </w:rPr>
        <w:t xml:space="preserve"> ، عَنِ الْحَكَمِ بْنِ أَيْمَنَ ، عَنْ دَاوُدَ الْأَبْزَارِيِّ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مُنَادٍ يُنَادِي </w:t>
      </w:r>
      <w:r w:rsidRPr="007C12DB">
        <w:rPr>
          <w:rStyle w:val="libFootnotenumChar"/>
          <w:rtl/>
        </w:rPr>
        <w:t>(7)</w:t>
      </w:r>
      <w:r w:rsidRPr="005D642E">
        <w:rPr>
          <w:rtl/>
          <w:lang w:bidi="fa-IR"/>
        </w:rPr>
        <w:t xml:space="preserve"> فِي كُلِّ يَوْمٍ : ابْنَ آدَمَ ، لِدْ لِلْمَوْتِ ، وَاجْمَعْ لِلْفَنَاءِ ، وَابْنِ لِلْخَرَابِ</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6F7A5E">
        <w:rPr>
          <w:rtl/>
        </w:rPr>
        <w:t>4759</w:t>
      </w:r>
      <w:r w:rsidRPr="00246318">
        <w:rPr>
          <w:rStyle w:val="libBold2Char"/>
          <w:rtl/>
        </w:rPr>
        <w:t xml:space="preserve"> / 20.</w:t>
      </w:r>
      <w:r w:rsidRPr="005D642E">
        <w:rPr>
          <w:rtl/>
          <w:lang w:bidi="fa-IR"/>
        </w:rPr>
        <w:t xml:space="preserve"> ابْنُ أَبِي عُمَيْرٍ </w:t>
      </w:r>
      <w:r w:rsidRPr="007C12DB">
        <w:rPr>
          <w:rStyle w:val="libFootnotenumChar"/>
          <w:rtl/>
        </w:rPr>
        <w:t>(9)</w:t>
      </w:r>
      <w:r w:rsidRPr="005D642E">
        <w:rPr>
          <w:rtl/>
          <w:lang w:bidi="fa-IR"/>
        </w:rPr>
        <w:t xml:space="preserve"> ، عَنْ عَلِيِّ بْنِ أَبِي حَمْزَةَ ، عَنْ أَبِي بَصِيرٍ ، قَالَ :</w:t>
      </w:r>
    </w:p>
    <w:p w:rsidR="00E3253D" w:rsidRPr="005D642E" w:rsidRDefault="00E3253D" w:rsidP="00E3253D">
      <w:pPr>
        <w:pStyle w:val="libLine"/>
        <w:rPr>
          <w:rtl/>
          <w:lang w:bidi="fa-IR"/>
        </w:rPr>
      </w:pPr>
      <w:r w:rsidRPr="005D642E">
        <w:rPr>
          <w:rtl/>
          <w:lang w:bidi="fa-IR"/>
        </w:rPr>
        <w:t>__________________</w:t>
      </w:r>
    </w:p>
    <w:p w:rsidR="00E3253D" w:rsidRPr="005D642E" w:rsidRDefault="00273971" w:rsidP="00E3253D">
      <w:pPr>
        <w:pStyle w:val="libFootnote0"/>
        <w:rPr>
          <w:rtl/>
          <w:lang w:bidi="fa-IR"/>
        </w:rPr>
      </w:pPr>
      <w:r>
        <w:rPr>
          <w:rFonts w:hint="cs"/>
          <w:rtl/>
        </w:rPr>
        <w:t xml:space="preserve">= </w:t>
      </w:r>
      <w:r w:rsidR="00E3253D" w:rsidRPr="005D642E">
        <w:rPr>
          <w:rtl/>
        </w:rPr>
        <w:t xml:space="preserve">ح 2 ، بسند آخر عن سهل بن سعد ، من دون الإسناد إلى المعصوم </w:t>
      </w:r>
      <w:r w:rsidR="00E3253D" w:rsidRPr="00273971">
        <w:rPr>
          <w:rStyle w:val="libFootnoteAlaemChar"/>
          <w:rtl/>
        </w:rPr>
        <w:t>عليه‌السلام</w:t>
      </w:r>
      <w:r w:rsidR="00E3253D" w:rsidRPr="005D642E">
        <w:rPr>
          <w:rtl/>
        </w:rPr>
        <w:t xml:space="preserve"> ، مع زيادة في آخره. وفي </w:t>
      </w:r>
      <w:r w:rsidR="00E3253D" w:rsidRPr="002F4D34">
        <w:rPr>
          <w:rStyle w:val="libFootnoteBoldChar"/>
          <w:rtl/>
        </w:rPr>
        <w:t>الفقيه</w:t>
      </w:r>
      <w:r w:rsidR="00E3253D" w:rsidRPr="005D642E">
        <w:rPr>
          <w:rtl/>
        </w:rPr>
        <w:t xml:space="preserve"> ، ج 1 ، ص 471 ، ح 1360 ؛ وج 4 ، ص 399 ، ح 5856 ، من دون الإسناد إلى المعصوم </w:t>
      </w:r>
      <w:r w:rsidR="00E3253D" w:rsidRPr="00273971">
        <w:rPr>
          <w:rStyle w:val="libFootnoteAlaemChar"/>
          <w:rtl/>
        </w:rPr>
        <w:t>عليه‌السلام</w:t>
      </w:r>
      <w:r w:rsidR="00E3253D" w:rsidRPr="005D642E">
        <w:rPr>
          <w:rtl/>
        </w:rPr>
        <w:t xml:space="preserve"> ، مع زيادة في آخره ، وفي كلّ المصادر مع اختلاف يسير </w:t>
      </w:r>
      <w:r>
        <w:rPr>
          <w:rFonts w:hint="cs"/>
          <w:rtl/>
        </w:rPr>
        <w:t>.</w:t>
      </w:r>
      <w:r w:rsidR="00E3253D" w:rsidRPr="002F4D34">
        <w:rPr>
          <w:rStyle w:val="libFootnoteBoldChar"/>
          <w:rtl/>
        </w:rPr>
        <w:t>الوافي</w:t>
      </w:r>
      <w:r w:rsidR="00E3253D" w:rsidRPr="005D642E">
        <w:rPr>
          <w:rtl/>
        </w:rPr>
        <w:t xml:space="preserve"> ، ج 24 ، ص 189 ، ح 23871 ؛ </w:t>
      </w:r>
      <w:r w:rsidR="00E3253D" w:rsidRPr="002F4D34">
        <w:rPr>
          <w:rStyle w:val="libFootnoteBoldChar"/>
          <w:rtl/>
        </w:rPr>
        <w:t>الوسائل</w:t>
      </w:r>
      <w:r w:rsidR="00E3253D" w:rsidRPr="005D642E">
        <w:rPr>
          <w:rtl/>
        </w:rPr>
        <w:t xml:space="preserve"> ، ج 1 ، ص 85 ، ح 199.</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السند معلّق على سابقه. ويروي عن ابن أبي عمير ، عليّ بن إبراهيم ، عن أبيه.</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جص » والوسائل. وفي سائر النسخ والمطبوع :</w:t>
      </w:r>
      <w:r w:rsidR="00E3253D">
        <w:rPr>
          <w:rtl/>
        </w:rPr>
        <w:t xml:space="preserve"> </w:t>
      </w:r>
      <w:r w:rsidR="007642BC">
        <w:rPr>
          <w:rtl/>
        </w:rPr>
        <w:t>-</w:t>
      </w:r>
      <w:r w:rsidR="00E3253D">
        <w:rPr>
          <w:rtl/>
        </w:rPr>
        <w:t xml:space="preserve"> </w:t>
      </w:r>
      <w:r w:rsidR="00E3253D" w:rsidRPr="005D642E">
        <w:rPr>
          <w:rtl/>
        </w:rPr>
        <w:t>« أبي</w:t>
      </w:r>
      <w:r w:rsidR="00E3253D">
        <w:rPr>
          <w:rtl/>
        </w:rPr>
        <w:t xml:space="preserve"> ».</w:t>
      </w:r>
    </w:p>
    <w:p w:rsidR="00E3253D" w:rsidRPr="006F7A5E" w:rsidRDefault="00E3253D" w:rsidP="00273971">
      <w:pPr>
        <w:pStyle w:val="libFootnote0"/>
        <w:rPr>
          <w:rtl/>
        </w:rPr>
      </w:pPr>
      <w:r w:rsidRPr="00685B42">
        <w:rPr>
          <w:rtl/>
        </w:rPr>
        <w:t xml:space="preserve">والصواب ما أثبتناه ؛ فقد تقدّم الخبر في </w:t>
      </w:r>
      <w:r w:rsidRPr="002F4D34">
        <w:rPr>
          <w:rStyle w:val="libFootnoteBoldChar"/>
          <w:rtl/>
        </w:rPr>
        <w:t>الكافي</w:t>
      </w:r>
      <w:r w:rsidRPr="006F7A5E">
        <w:rPr>
          <w:rtl/>
        </w:rPr>
        <w:t xml:space="preserve"> ، ح 1905 ، بسند آخر عن أبي أيّوب الخرّاز ، عن أبي عبيدة الحذّاء ، عن أبي جعفر </w:t>
      </w:r>
      <w:r w:rsidR="00273971" w:rsidRPr="00273971">
        <w:rPr>
          <w:rStyle w:val="libFootnoteAlaemChar"/>
          <w:rtl/>
        </w:rPr>
        <w:t>عليه‌السلام</w:t>
      </w:r>
      <w:r w:rsidRPr="006F7A5E">
        <w:rPr>
          <w:rtl/>
        </w:rPr>
        <w:t>.</w:t>
      </w:r>
    </w:p>
    <w:p w:rsidR="00E3253D" w:rsidRPr="00B60612" w:rsidRDefault="00E3253D" w:rsidP="00B60612">
      <w:pPr>
        <w:pStyle w:val="libFootnote0"/>
        <w:rPr>
          <w:rtl/>
        </w:rPr>
      </w:pPr>
      <w:r w:rsidRPr="006F7A5E">
        <w:rPr>
          <w:rtl/>
        </w:rPr>
        <w:t xml:space="preserve">والمتكرّر في الأسناد ، رواية أبي أيّوب [ الخرّاز ] عن أبي عبيدة [ الحذّاء ] ، وأمّا رواية من يسمّى بأيّوب عن أبي عبيدة ، فلم نجده في موضع. راجع : </w:t>
      </w:r>
      <w:r w:rsidRPr="002F4D34">
        <w:rPr>
          <w:rStyle w:val="libFootnoteBoldChar"/>
          <w:rtl/>
        </w:rPr>
        <w:t>معجم رجال الحديث</w:t>
      </w:r>
      <w:r w:rsidRPr="00B60612">
        <w:rPr>
          <w:rtl/>
        </w:rPr>
        <w:t xml:space="preserve"> ، ج 21 ، ص 285 </w:t>
      </w:r>
      <w:r w:rsidR="007642BC" w:rsidRPr="00B60612">
        <w:rPr>
          <w:rtl/>
        </w:rPr>
        <w:t>-</w:t>
      </w:r>
      <w:r w:rsidRPr="00B60612">
        <w:rPr>
          <w:rtl/>
        </w:rPr>
        <w:t xml:space="preserve"> 286 وص 294.</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الوافي : « يا باعبيدة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 « الإنسان</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الزهد</w:t>
      </w:r>
      <w:r w:rsidR="00E3253D" w:rsidRPr="005D642E">
        <w:rPr>
          <w:rtl/>
        </w:rPr>
        <w:t xml:space="preserve"> ، ص 148 ، ح 214 ، عن ابن أبي عمير. </w:t>
      </w:r>
      <w:r w:rsidR="00E3253D" w:rsidRPr="002F4D34">
        <w:rPr>
          <w:rStyle w:val="libFootnoteBoldChar"/>
          <w:rtl/>
        </w:rPr>
        <w:t>الكافي</w:t>
      </w:r>
      <w:r w:rsidR="00E3253D" w:rsidRPr="005D642E">
        <w:rPr>
          <w:rtl/>
        </w:rPr>
        <w:t xml:space="preserve"> ، كتاب الإيمان والكفر ، باب ذمّ الدنيا والزهد فيها ، ح 1905 ، بسنده عن أبي أيّوب الخرّاز ، عن أبي عبيدة الحذّاء ، وفيهما مع اختلاف يسير </w:t>
      </w:r>
      <w:r w:rsidR="007C1692">
        <w:rPr>
          <w:rFonts w:hint="cs"/>
          <w:rtl/>
        </w:rPr>
        <w:t>.</w:t>
      </w:r>
      <w:r w:rsidR="00E3253D" w:rsidRPr="002F4D34">
        <w:rPr>
          <w:rStyle w:val="libFootnoteBoldChar"/>
          <w:rtl/>
        </w:rPr>
        <w:t>الوافي</w:t>
      </w:r>
      <w:r w:rsidR="00E3253D" w:rsidRPr="005D642E">
        <w:rPr>
          <w:rtl/>
        </w:rPr>
        <w:t xml:space="preserve"> ، ج 24 ، ص 189 ، ح 23872 ؛ </w:t>
      </w:r>
      <w:r w:rsidR="00E3253D" w:rsidRPr="002F4D34">
        <w:rPr>
          <w:rStyle w:val="libFootnoteBoldChar"/>
          <w:rtl/>
        </w:rPr>
        <w:t>الوسائل</w:t>
      </w:r>
      <w:r w:rsidR="00E3253D" w:rsidRPr="005D642E">
        <w:rPr>
          <w:rtl/>
        </w:rPr>
        <w:t xml:space="preserve"> ، ج 2 ، ص 434 ، ذيل ح 2568.</w:t>
      </w:r>
    </w:p>
    <w:tbl>
      <w:tblPr>
        <w:tblStyle w:val="TableGrid"/>
        <w:bidiVisual/>
        <w:tblW w:w="0" w:type="auto"/>
        <w:tblLook w:val="04A0" w:firstRow="1" w:lastRow="0" w:firstColumn="1" w:lastColumn="0" w:noHBand="0" w:noVBand="1"/>
      </w:tblPr>
      <w:tblGrid>
        <w:gridCol w:w="4006"/>
        <w:gridCol w:w="4006"/>
      </w:tblGrid>
      <w:tr w:rsidR="007C1692" w:rsidTr="007C1692">
        <w:tc>
          <w:tcPr>
            <w:tcW w:w="4006" w:type="dxa"/>
          </w:tcPr>
          <w:p w:rsidR="007C1692" w:rsidRDefault="007C1692" w:rsidP="00E3253D">
            <w:pPr>
              <w:pStyle w:val="libFootnote0"/>
              <w:rPr>
                <w:rStyle w:val="libFootnote0Char"/>
                <w:rtl/>
              </w:rPr>
            </w:pPr>
            <w:r w:rsidRPr="0042621E">
              <w:rPr>
                <w:rStyle w:val="libFootnote0Char"/>
                <w:rtl/>
              </w:rPr>
              <w:t>(6).</w:t>
            </w:r>
            <w:r w:rsidRPr="005D642E">
              <w:rPr>
                <w:rtl/>
              </w:rPr>
              <w:t xml:space="preserve"> السند معلّق ، كسابقه.</w:t>
            </w:r>
          </w:p>
        </w:tc>
        <w:tc>
          <w:tcPr>
            <w:tcW w:w="4006" w:type="dxa"/>
          </w:tcPr>
          <w:p w:rsidR="007C1692" w:rsidRDefault="007C1692" w:rsidP="00E3253D">
            <w:pPr>
              <w:pStyle w:val="libFootnote0"/>
              <w:rPr>
                <w:rStyle w:val="libFootnote0Char"/>
                <w:rtl/>
              </w:rPr>
            </w:pPr>
            <w:r w:rsidRPr="0042621E">
              <w:rPr>
                <w:rStyle w:val="libFootnote0Char"/>
                <w:rtl/>
              </w:rPr>
              <w:t>(7).</w:t>
            </w:r>
            <w:r w:rsidRPr="005D642E">
              <w:rPr>
                <w:rtl/>
              </w:rPr>
              <w:t xml:space="preserve"> في « بخ » </w:t>
            </w:r>
            <w:r w:rsidRPr="007C1692">
              <w:rPr>
                <w:rtl/>
              </w:rPr>
              <w:t>والوافي</w:t>
            </w:r>
            <w:r w:rsidRPr="005D642E">
              <w:rPr>
                <w:rtl/>
              </w:rPr>
              <w:t xml:space="preserve"> والزهد : « ينادي مناد</w:t>
            </w:r>
            <w:r>
              <w:rPr>
                <w:rtl/>
              </w:rPr>
              <w:t xml:space="preserve"> ».</w:t>
            </w:r>
          </w:p>
        </w:tc>
      </w:tr>
    </w:tbl>
    <w:p w:rsidR="00E3253D" w:rsidRPr="005D642E" w:rsidRDefault="0042621E" w:rsidP="007C1692">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الزهد</w:t>
      </w:r>
      <w:r w:rsidR="00E3253D" w:rsidRPr="005D642E">
        <w:rPr>
          <w:rtl/>
        </w:rPr>
        <w:t xml:space="preserve"> ، ص 148 ، ح 213 ، عن محمّد بن أبي عمير. الكافي ، كتاب الإيمان والكفر ، باب ذمّ الدنيا والزهد فيها ، ح 1906 ، بسنده عن الحكم بن أيمن. </w:t>
      </w:r>
      <w:r w:rsidR="00E3253D" w:rsidRPr="002F4D34">
        <w:rPr>
          <w:rStyle w:val="libFootnoteBoldChar"/>
          <w:rtl/>
        </w:rPr>
        <w:t>قرب الإسناد</w:t>
      </w:r>
      <w:r w:rsidR="00E3253D" w:rsidRPr="005D642E">
        <w:rPr>
          <w:rtl/>
        </w:rPr>
        <w:t xml:space="preserve"> ، ص 39 ، ح 125 ، بسند آخر عن الصادق </w:t>
      </w:r>
      <w:r w:rsidR="00E3253D" w:rsidRPr="007C1692">
        <w:rPr>
          <w:rStyle w:val="libFootnoteAlaemChar"/>
          <w:rtl/>
        </w:rPr>
        <w:t>عليه‌السلام</w:t>
      </w:r>
      <w:r w:rsidR="00E3253D" w:rsidRPr="005D642E">
        <w:rPr>
          <w:rtl/>
        </w:rPr>
        <w:t xml:space="preserve">. </w:t>
      </w:r>
      <w:r w:rsidR="00E3253D" w:rsidRPr="002F4D34">
        <w:rPr>
          <w:rStyle w:val="libFootnoteBoldChar"/>
          <w:rtl/>
        </w:rPr>
        <w:t>الاختصاص</w:t>
      </w:r>
      <w:r w:rsidR="00E3253D" w:rsidRPr="005D642E">
        <w:rPr>
          <w:rtl/>
        </w:rPr>
        <w:t xml:space="preserve"> ، ص 234 ، مرسلاً عن الصادق </w:t>
      </w:r>
      <w:r w:rsidR="00E3253D" w:rsidRPr="007C1692">
        <w:rPr>
          <w:rStyle w:val="libFootnoteAlaemChar"/>
          <w:rtl/>
        </w:rPr>
        <w:t>عليه‌السلام</w:t>
      </w:r>
      <w:r w:rsidR="00E3253D" w:rsidRPr="005D642E">
        <w:rPr>
          <w:rtl/>
        </w:rPr>
        <w:t xml:space="preserve"> ، وفيهما مع اختلاف يسير وزيادة في أوّله </w:t>
      </w:r>
      <w:r w:rsidR="007C1692">
        <w:rPr>
          <w:rFonts w:hint="cs"/>
          <w:rtl/>
        </w:rPr>
        <w:t>.</w:t>
      </w:r>
      <w:r w:rsidR="00E3253D" w:rsidRPr="002F4D34">
        <w:rPr>
          <w:rStyle w:val="libFootnoteBoldChar"/>
          <w:rtl/>
        </w:rPr>
        <w:t>الوافي</w:t>
      </w:r>
      <w:r w:rsidR="00E3253D" w:rsidRPr="005D642E">
        <w:rPr>
          <w:rtl/>
        </w:rPr>
        <w:t xml:space="preserve"> ، ج 24 ، ص 190 ، ح 23873.</w:t>
      </w:r>
      <w:r w:rsidR="007C1692">
        <w:rPr>
          <w:rFonts w:hint="cs"/>
          <w:rtl/>
        </w:rPr>
        <w:t xml:space="preserve">                                   </w:t>
      </w:r>
      <w:r w:rsidRPr="0042621E">
        <w:rPr>
          <w:rStyle w:val="libFootnote0Char"/>
          <w:rtl/>
        </w:rPr>
        <w:t>(9).</w:t>
      </w:r>
      <w:r w:rsidR="00E3253D" w:rsidRPr="005D642E">
        <w:rPr>
          <w:rtl/>
        </w:rPr>
        <w:t xml:space="preserve"> السند معلّق كسابقيه.</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شَكَوْتُ إِلى أَبِي عَبْدِ اللهِ </w:t>
      </w:r>
      <w:r w:rsidRPr="00AC51C5">
        <w:rPr>
          <w:rStyle w:val="libAlaemChar"/>
          <w:rtl/>
        </w:rPr>
        <w:t>عليه‌السلام</w:t>
      </w:r>
      <w:r w:rsidRPr="005D642E">
        <w:rPr>
          <w:rtl/>
          <w:lang w:bidi="fa-IR"/>
        </w:rPr>
        <w:t xml:space="preserve"> الْوَسْوَاسَ </w:t>
      </w:r>
      <w:r w:rsidRPr="007C12DB">
        <w:rPr>
          <w:rStyle w:val="libFootnotenumChar"/>
          <w:rtl/>
        </w:rPr>
        <w:t>(1)</w:t>
      </w:r>
      <w:r w:rsidRPr="005D642E">
        <w:rPr>
          <w:rtl/>
          <w:lang w:bidi="fa-IR"/>
        </w:rPr>
        <w:t xml:space="preserve"> ، فَقَالَ : « يَا أَبَا مُحَمَّدٍ </w:t>
      </w:r>
      <w:r w:rsidRPr="007C12DB">
        <w:rPr>
          <w:rStyle w:val="libFootnotenumChar"/>
          <w:rtl/>
        </w:rPr>
        <w:t>(2)</w:t>
      </w:r>
      <w:r w:rsidRPr="005D642E">
        <w:rPr>
          <w:rtl/>
          <w:lang w:bidi="fa-IR"/>
        </w:rPr>
        <w:t xml:space="preserve"> ، اذْكُرْ تَقَطُّعَ أَوْصَالِكَ فِي قَبْرِكَ ، وَرُجُوعَ أَحْبَابِكَ </w:t>
      </w:r>
      <w:r w:rsidRPr="007C12DB">
        <w:rPr>
          <w:rStyle w:val="libFootnotenumChar"/>
          <w:rtl/>
        </w:rPr>
        <w:t>(3)</w:t>
      </w:r>
      <w:r w:rsidRPr="005D642E">
        <w:rPr>
          <w:rtl/>
          <w:lang w:bidi="fa-IR"/>
        </w:rPr>
        <w:t xml:space="preserve"> عَنْكَ إِذَا دَفَنُوكَ فِي حُفْرَتِكَ ، وَخُرُوجَ بَنَاتِ الْمَاءِ </w:t>
      </w:r>
      <w:r w:rsidRPr="007C12DB">
        <w:rPr>
          <w:rStyle w:val="libFootnotenumChar"/>
          <w:rtl/>
        </w:rPr>
        <w:t>(4)</w:t>
      </w:r>
      <w:r w:rsidRPr="005D642E">
        <w:rPr>
          <w:rtl/>
          <w:lang w:bidi="fa-IR"/>
        </w:rPr>
        <w:t xml:space="preserve"> مِنْ مَنْخِرَيْكَ </w:t>
      </w:r>
      <w:r w:rsidRPr="007C12DB">
        <w:rPr>
          <w:rStyle w:val="libFootnotenumChar"/>
          <w:rtl/>
        </w:rPr>
        <w:t>(5)</w:t>
      </w:r>
      <w:r w:rsidRPr="005D642E">
        <w:rPr>
          <w:rtl/>
          <w:lang w:bidi="fa-IR"/>
        </w:rPr>
        <w:t xml:space="preserve"> ، وَأَكْلَ الدُّودِ لَحْمَكَ ؛ فَإِنَّ ذلِكَ يُسَلِّي عَنْكَ مَا أَنْتَ فِيهِ </w:t>
      </w:r>
      <w:r w:rsidRPr="007C12DB">
        <w:rPr>
          <w:rStyle w:val="libFootnotenumChar"/>
          <w:rtl/>
        </w:rPr>
        <w:t>(6)</w:t>
      </w:r>
      <w:r w:rsidRPr="005D642E">
        <w:rPr>
          <w:rtl/>
          <w:lang w:bidi="fa-IR"/>
        </w:rPr>
        <w:t xml:space="preserve"> » قَالَ أَبُو بَصِيرٍ : فَ</w:t>
      </w:r>
      <w:r w:rsidR="007C1692">
        <w:rPr>
          <w:rtl/>
          <w:lang w:bidi="fa-IR"/>
        </w:rPr>
        <w:t>وَ اللهِ ، مَا ذَكَرْتُهُ إِل</w:t>
      </w:r>
      <w:r w:rsidR="007C1692">
        <w:rPr>
          <w:rFonts w:hint="cs"/>
          <w:rtl/>
          <w:lang w:bidi="fa-IR"/>
        </w:rPr>
        <w:t>َّ</w:t>
      </w:r>
      <w:r w:rsidR="007C1692">
        <w:rPr>
          <w:rtl/>
          <w:lang w:bidi="fa-IR"/>
        </w:rPr>
        <w:t>ا</w:t>
      </w:r>
      <w:r w:rsidRPr="005D642E">
        <w:rPr>
          <w:rtl/>
          <w:lang w:bidi="fa-IR"/>
        </w:rPr>
        <w:t xml:space="preserve"> سَلّى عَنِّي مَا أَنَا فِيهِ مِنْ هَمِّ الدُّنْيَا.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6F7A5E">
        <w:rPr>
          <w:rtl/>
        </w:rPr>
        <w:t>4760</w:t>
      </w:r>
      <w:r w:rsidRPr="00246318">
        <w:rPr>
          <w:rStyle w:val="libBold2Char"/>
          <w:rtl/>
        </w:rPr>
        <w:t xml:space="preserve"> / 21.</w:t>
      </w:r>
      <w:r w:rsidRPr="005D642E">
        <w:rPr>
          <w:rtl/>
          <w:lang w:bidi="fa-IR"/>
        </w:rPr>
        <w:t xml:space="preserve"> أَبُو عَلِيٍّ الْأَشْعَرِيُّ ، عَنْ مُحَمَّدِ بْنِ عَبْدِ الْجَبَّارِ ، عَنِ ابْنِ فَضَّالٍ ، عَنْ عَلِيِّ بْنِ عُقْبَةَ ، عَنْ أَسْبَاطِ بْنِ سَالِمٍ مَوْلى أَبَانٍ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جُعِلْتُ فِدَاكَ ، يَعْلَمُ مَلَكُ الْمَوْتِ </w:t>
      </w:r>
      <w:r w:rsidRPr="007C12DB">
        <w:rPr>
          <w:rStyle w:val="libFootnotenumChar"/>
          <w:rtl/>
        </w:rPr>
        <w:t>(8)</w:t>
      </w:r>
      <w:r w:rsidRPr="005D642E">
        <w:rPr>
          <w:rtl/>
          <w:lang w:bidi="fa-IR"/>
        </w:rPr>
        <w:t xml:space="preserve"> بِقَبْضِ </w:t>
      </w:r>
      <w:r w:rsidRPr="007C12DB">
        <w:rPr>
          <w:rStyle w:val="libFootnotenumChar"/>
          <w:rtl/>
        </w:rPr>
        <w:t>(9)</w:t>
      </w:r>
      <w:r w:rsidRPr="005D642E">
        <w:rPr>
          <w:rtl/>
          <w:lang w:bidi="fa-IR"/>
        </w:rPr>
        <w:t xml:space="preserve"> مَنْ يَقْبِضُ</w:t>
      </w:r>
      <w:r>
        <w:rPr>
          <w:rtl/>
          <w:lang w:bidi="fa-IR"/>
        </w:rPr>
        <w:t>؟</w:t>
      </w:r>
    </w:p>
    <w:p w:rsidR="00E3253D" w:rsidRPr="005D642E" w:rsidRDefault="00E3253D" w:rsidP="00E3253D">
      <w:pPr>
        <w:pStyle w:val="libNormal"/>
        <w:rPr>
          <w:rtl/>
          <w:lang w:bidi="fa-IR"/>
        </w:rPr>
      </w:pPr>
      <w:r w:rsidRPr="005D642E">
        <w:rPr>
          <w:rtl/>
          <w:lang w:bidi="fa-IR"/>
        </w:rPr>
        <w:t xml:space="preserve">قَالَ : « لَا </w:t>
      </w:r>
      <w:r w:rsidRPr="007C12DB">
        <w:rPr>
          <w:rStyle w:val="libFootnotenumChar"/>
          <w:rtl/>
        </w:rPr>
        <w:t>(10)</w:t>
      </w:r>
      <w:r w:rsidRPr="005D642E">
        <w:rPr>
          <w:rtl/>
          <w:lang w:bidi="fa-IR"/>
        </w:rPr>
        <w:t xml:space="preserve"> ، إِنَّمَا هِيَ صِكَاكٌ </w:t>
      </w:r>
      <w:r w:rsidRPr="007C12DB">
        <w:rPr>
          <w:rStyle w:val="libFootnotenumChar"/>
          <w:rtl/>
        </w:rPr>
        <w:t>(11)</w:t>
      </w:r>
      <w:r w:rsidRPr="005D642E">
        <w:rPr>
          <w:rtl/>
          <w:lang w:bidi="fa-IR"/>
        </w:rPr>
        <w:t xml:space="preserve"> تَنْزِلُ </w:t>
      </w:r>
      <w:r w:rsidRPr="007C12DB">
        <w:rPr>
          <w:rStyle w:val="libFootnotenumChar"/>
          <w:rtl/>
        </w:rPr>
        <w:t>(12)</w:t>
      </w:r>
      <w:r w:rsidRPr="005D642E">
        <w:rPr>
          <w:rtl/>
          <w:lang w:bidi="fa-IR"/>
        </w:rPr>
        <w:t xml:space="preserve"> مِنَ السَّمَاءِ : اقْبِضْ نَفْسَ فُلَانِ بْنِ فُلَانٍ</w:t>
      </w:r>
      <w:r>
        <w:rPr>
          <w:rtl/>
          <w:lang w:bidi="fa-IR"/>
        </w:rPr>
        <w:t>».</w:t>
      </w:r>
      <w:r w:rsidRPr="007C12DB">
        <w:rPr>
          <w:rStyle w:val="libFootnotenumChar"/>
          <w:rtl/>
        </w:rPr>
        <w:t>(13)</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الوَسْواس » : حديث النفس والأفكار. ووسْوَسَ ، إذا تك</w:t>
      </w:r>
      <w:r w:rsidR="007C1692">
        <w:rPr>
          <w:rtl/>
        </w:rPr>
        <w:t>لّم بكلام لم يبيّنه. وقال العل</w:t>
      </w:r>
      <w:r w:rsidR="007C1692">
        <w:rPr>
          <w:rFonts w:hint="cs"/>
          <w:rtl/>
        </w:rPr>
        <w:t>ّ</w:t>
      </w:r>
      <w:r w:rsidR="007C1692">
        <w:rPr>
          <w:rtl/>
        </w:rPr>
        <w:t>ا</w:t>
      </w:r>
      <w:r w:rsidR="00E3253D" w:rsidRPr="005D642E">
        <w:rPr>
          <w:rtl/>
        </w:rPr>
        <w:t>مة</w:t>
      </w:r>
      <w:r w:rsidR="007C1692">
        <w:rPr>
          <w:rFonts w:hint="cs"/>
          <w:rtl/>
        </w:rPr>
        <w:t xml:space="preserve"> </w:t>
      </w:r>
      <w:r w:rsidR="007C1692">
        <w:rPr>
          <w:rtl/>
        </w:rPr>
        <w:t>المجلسي : «</w:t>
      </w:r>
      <w:r w:rsidR="00E3253D" w:rsidRPr="005D642E">
        <w:rPr>
          <w:rtl/>
        </w:rPr>
        <w:t>والمراد</w:t>
      </w:r>
      <w:r w:rsidR="007C1692">
        <w:rPr>
          <w:rFonts w:hint="cs"/>
          <w:rtl/>
        </w:rPr>
        <w:t xml:space="preserve"> </w:t>
      </w:r>
      <w:r w:rsidR="00E3253D" w:rsidRPr="005D642E">
        <w:rPr>
          <w:rtl/>
        </w:rPr>
        <w:t>بالوسواس هنا فكر الدنيا وغمّها</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5 ، ص 186 ( وسوس )</w:t>
      </w:r>
      <w:r w:rsidR="00E3253D">
        <w:rPr>
          <w:rtl/>
        </w:rPr>
        <w:t>.</w:t>
      </w:r>
    </w:p>
    <w:tbl>
      <w:tblPr>
        <w:tblStyle w:val="TableGrid"/>
        <w:bidiVisual/>
        <w:tblW w:w="0" w:type="auto"/>
        <w:tblLook w:val="04A0" w:firstRow="1" w:lastRow="0" w:firstColumn="1" w:lastColumn="0" w:noHBand="0" w:noVBand="1"/>
      </w:tblPr>
      <w:tblGrid>
        <w:gridCol w:w="4006"/>
        <w:gridCol w:w="4006"/>
      </w:tblGrid>
      <w:tr w:rsidR="007C1692" w:rsidTr="007C1692">
        <w:tc>
          <w:tcPr>
            <w:tcW w:w="4006" w:type="dxa"/>
          </w:tcPr>
          <w:p w:rsidR="007C1692" w:rsidRDefault="007C1692" w:rsidP="00E3253D">
            <w:pPr>
              <w:pStyle w:val="libFootnote0"/>
              <w:rPr>
                <w:rStyle w:val="libFootnote0Char"/>
                <w:rtl/>
              </w:rPr>
            </w:pPr>
            <w:r w:rsidRPr="0042621E">
              <w:rPr>
                <w:rStyle w:val="libFootnote0Char"/>
                <w:rtl/>
              </w:rPr>
              <w:t>(2).</w:t>
            </w:r>
            <w:r w:rsidRPr="005D642E">
              <w:rPr>
                <w:rtl/>
              </w:rPr>
              <w:t xml:space="preserve"> في الوافي : « يا با محمّد</w:t>
            </w:r>
            <w:r>
              <w:rPr>
                <w:rtl/>
              </w:rPr>
              <w:t xml:space="preserve"> ».</w:t>
            </w:r>
          </w:p>
        </w:tc>
        <w:tc>
          <w:tcPr>
            <w:tcW w:w="4006" w:type="dxa"/>
          </w:tcPr>
          <w:p w:rsidR="007C1692" w:rsidRDefault="007C1692" w:rsidP="00E3253D">
            <w:pPr>
              <w:pStyle w:val="libFootnote0"/>
              <w:rPr>
                <w:rStyle w:val="libFootnote0Char"/>
                <w:rtl/>
              </w:rPr>
            </w:pPr>
            <w:r w:rsidRPr="0042621E">
              <w:rPr>
                <w:rStyle w:val="libFootnote0Char"/>
                <w:rtl/>
              </w:rPr>
              <w:t>(3).</w:t>
            </w:r>
            <w:r w:rsidRPr="005D642E">
              <w:rPr>
                <w:rtl/>
              </w:rPr>
              <w:t xml:space="preserve"> في الوسائل : « أحبّائك</w:t>
            </w:r>
            <w:r>
              <w:rPr>
                <w:rtl/>
              </w:rPr>
              <w:t xml:space="preserve"> ».</w:t>
            </w:r>
          </w:p>
        </w:tc>
      </w:tr>
    </w:tbl>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اللغة : بنات الماء : طيره ، استعارة ، والواحد : ابن الماء ، كبنات مخاض في ابن مخاض. والمراد هنا الديدان الصغار التي تتولّد من الرطوبات. راجع : </w:t>
      </w:r>
      <w:r w:rsidR="00E3253D" w:rsidRPr="002F4D34">
        <w:rPr>
          <w:rStyle w:val="libFootnoteBoldChar"/>
          <w:rtl/>
        </w:rPr>
        <w:t>المغرب</w:t>
      </w:r>
      <w:r w:rsidR="00E3253D" w:rsidRPr="005D642E">
        <w:rPr>
          <w:rtl/>
        </w:rPr>
        <w:t xml:space="preserve"> ، ص 52 ؛ </w:t>
      </w:r>
      <w:r w:rsidR="00E3253D" w:rsidRPr="002F4D34">
        <w:rPr>
          <w:rStyle w:val="libFootnoteBoldChar"/>
          <w:rtl/>
        </w:rPr>
        <w:t>مجمع البحرين</w:t>
      </w:r>
      <w:r w:rsidR="00E3253D" w:rsidRPr="005D642E">
        <w:rPr>
          <w:rtl/>
        </w:rPr>
        <w:t xml:space="preserve"> ، ج 1 ، ص 66 ( بنا ) ؛ </w:t>
      </w:r>
      <w:r w:rsidR="00E3253D" w:rsidRPr="002F4D34">
        <w:rPr>
          <w:rStyle w:val="libFootnoteBoldChar"/>
          <w:rtl/>
        </w:rPr>
        <w:t>مرآة العقول</w:t>
      </w:r>
      <w:r w:rsidR="00E3253D" w:rsidRPr="005D642E">
        <w:rPr>
          <w:rtl/>
        </w:rPr>
        <w:t xml:space="preserve"> ، ج 14 ، ص 251.</w:t>
      </w:r>
    </w:p>
    <w:p w:rsidR="00E3253D" w:rsidRPr="005D642E" w:rsidRDefault="0042621E" w:rsidP="00E3253D">
      <w:pPr>
        <w:pStyle w:val="libFootnote0"/>
        <w:rPr>
          <w:rtl/>
          <w:lang w:bidi="fa-IR"/>
        </w:rPr>
      </w:pPr>
      <w:r w:rsidRPr="0042621E">
        <w:rPr>
          <w:rStyle w:val="libFootnote0Char"/>
          <w:rtl/>
        </w:rPr>
        <w:t>(5).</w:t>
      </w:r>
      <w:r w:rsidR="007C1692">
        <w:rPr>
          <w:rtl/>
        </w:rPr>
        <w:t xml:space="preserve"> الم</w:t>
      </w:r>
      <w:r w:rsidR="007C1692">
        <w:rPr>
          <w:rFonts w:hint="cs"/>
          <w:rtl/>
        </w:rPr>
        <w:t>ـَ</w:t>
      </w:r>
      <w:r w:rsidR="00E3253D" w:rsidRPr="005D642E">
        <w:rPr>
          <w:rtl/>
        </w:rPr>
        <w:t xml:space="preserve">نْخِران : ثقبا الأنف. راجع : </w:t>
      </w:r>
      <w:r w:rsidR="00E3253D" w:rsidRPr="002F4D34">
        <w:rPr>
          <w:rStyle w:val="libFootnoteBoldChar"/>
          <w:rtl/>
        </w:rPr>
        <w:t>النهاية</w:t>
      </w:r>
      <w:r w:rsidR="00E3253D" w:rsidRPr="005D642E">
        <w:rPr>
          <w:rtl/>
        </w:rPr>
        <w:t xml:space="preserve"> ، ج 5 ، ص 32 ( نخر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 يسلّي عنك ما أنت فيه » أي يكشف عنك غمّه ويرفعه. راجع : </w:t>
      </w:r>
      <w:r w:rsidR="00E3253D" w:rsidRPr="002F4D34">
        <w:rPr>
          <w:rStyle w:val="libFootnoteBoldChar"/>
          <w:rtl/>
        </w:rPr>
        <w:t>الصحاح</w:t>
      </w:r>
      <w:r w:rsidR="00E3253D" w:rsidRPr="005D642E">
        <w:rPr>
          <w:rtl/>
        </w:rPr>
        <w:t xml:space="preserve"> ، ج 6 ، ص 2381 ( سلا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w:t>
      </w:r>
      <w:r w:rsidR="000D749A" w:rsidRPr="000D749A">
        <w:rPr>
          <w:rStyle w:val="libFootnoteBoldChar"/>
          <w:rtl/>
        </w:rPr>
        <w:t>الأمالي للصدوق</w:t>
      </w:r>
      <w:r w:rsidR="00E3253D" w:rsidRPr="005D642E">
        <w:rPr>
          <w:rtl/>
        </w:rPr>
        <w:t xml:space="preserve"> ، ص 345 ، المجلس 55 ، ح 2 ، بسنده عن أبي بصير ، إلى قوله : « فإنّ ذلك يسلّي عنك ما أنت فيه » مع اختلاف وزيادة في أوّله وآخره </w:t>
      </w:r>
      <w:r w:rsidR="007C1692">
        <w:rPr>
          <w:rFonts w:hint="cs"/>
          <w:rtl/>
        </w:rPr>
        <w:t>.</w:t>
      </w:r>
      <w:r w:rsidR="00E3253D" w:rsidRPr="002F4D34">
        <w:rPr>
          <w:rStyle w:val="libFootnoteBoldChar"/>
          <w:rtl/>
        </w:rPr>
        <w:t>الوافي</w:t>
      </w:r>
      <w:r w:rsidR="00E3253D" w:rsidRPr="005D642E">
        <w:rPr>
          <w:rtl/>
        </w:rPr>
        <w:t xml:space="preserve"> ، ج 24 ، ص 190 ، ح 23874 ؛ </w:t>
      </w:r>
      <w:r w:rsidR="00E3253D" w:rsidRPr="002F4D34">
        <w:rPr>
          <w:rStyle w:val="libFootnoteBoldChar"/>
          <w:rtl/>
        </w:rPr>
        <w:t>الوسائل</w:t>
      </w:r>
      <w:r w:rsidR="00E3253D" w:rsidRPr="005D642E">
        <w:rPr>
          <w:rtl/>
        </w:rPr>
        <w:t xml:space="preserve"> ، ج 2 ، ص 434 ، ح 2570.</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لعلّ مراد السائل : هل يعلم قبل حلول الأجل وقبل وقت قبضه بأنّه مأمور به. راجع : </w:t>
      </w:r>
      <w:r w:rsidR="00E3253D" w:rsidRPr="002F4D34">
        <w:rPr>
          <w:rStyle w:val="libFootnoteBoldChar"/>
          <w:rtl/>
        </w:rPr>
        <w:t>الوافي</w:t>
      </w:r>
      <w:r w:rsidR="00E3253D" w:rsidRPr="005D642E">
        <w:rPr>
          <w:rtl/>
        </w:rPr>
        <w:t xml:space="preserve"> ، ج 24 ، ص 265 ؛ </w:t>
      </w:r>
      <w:r w:rsidR="00E3253D" w:rsidRPr="002F4D34">
        <w:rPr>
          <w:rStyle w:val="libFootnoteBoldChar"/>
          <w:rtl/>
        </w:rPr>
        <w:t>مرآة العقول</w:t>
      </w:r>
      <w:r w:rsidR="00E3253D" w:rsidRPr="005D642E">
        <w:rPr>
          <w:rtl/>
        </w:rPr>
        <w:t xml:space="preserve"> ، ج 14 ، ص 251.</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بح » : « يقبض</w:t>
      </w:r>
      <w:r w:rsidR="00E3253D">
        <w:rPr>
          <w:rtl/>
        </w:rPr>
        <w:t xml:space="preserve"> ».</w:t>
      </w:r>
      <w:r w:rsidR="00E3253D" w:rsidRPr="005D642E">
        <w:rPr>
          <w:rtl/>
        </w:rPr>
        <w:t xml:space="preserve"> وفي « بخ ، جح </w:t>
      </w:r>
      <w:r w:rsidR="00E3253D" w:rsidRPr="007C1692">
        <w:rPr>
          <w:rtl/>
        </w:rPr>
        <w:t xml:space="preserve">» </w:t>
      </w:r>
      <w:r w:rsidR="000D749A" w:rsidRPr="007C1692">
        <w:rPr>
          <w:rtl/>
        </w:rPr>
        <w:t>والوافي</w:t>
      </w:r>
      <w:r w:rsidR="00E3253D" w:rsidRPr="005D642E">
        <w:rPr>
          <w:rtl/>
        </w:rPr>
        <w:t xml:space="preserve"> والأمالي : « نفس</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الأمالي :</w:t>
      </w:r>
      <w:r w:rsidR="00E3253D">
        <w:rPr>
          <w:rtl/>
        </w:rPr>
        <w:t xml:space="preserve"> </w:t>
      </w:r>
      <w:r w:rsidR="007642BC">
        <w:rPr>
          <w:rtl/>
        </w:rPr>
        <w:t>-</w:t>
      </w:r>
      <w:r w:rsidR="00E3253D">
        <w:rPr>
          <w:rtl/>
        </w:rPr>
        <w:t xml:space="preserve"> </w:t>
      </w:r>
      <w:r w:rsidR="00E3253D" w:rsidRPr="005D642E">
        <w:rPr>
          <w:rtl/>
        </w:rPr>
        <w:t>« لا</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 الصكاك » : جمع الصَكّ وهو الكتاب ، فارسيّ معرّب. راجع : </w:t>
      </w:r>
      <w:r w:rsidR="00E3253D" w:rsidRPr="002F4D34">
        <w:rPr>
          <w:rStyle w:val="libFootnoteBoldChar"/>
          <w:rtl/>
        </w:rPr>
        <w:t>الصحاح</w:t>
      </w:r>
      <w:r w:rsidR="00E3253D" w:rsidRPr="005D642E">
        <w:rPr>
          <w:rtl/>
        </w:rPr>
        <w:t xml:space="preserve"> ، ج 4 ، ص 1596 ( ص</w:t>
      </w:r>
      <w:r w:rsidR="007C1692">
        <w:rPr>
          <w:rtl/>
        </w:rPr>
        <w:t>كك</w:t>
      </w:r>
      <w:r w:rsidR="00E3253D" w:rsidRPr="005D642E">
        <w:rPr>
          <w:rtl/>
        </w:rPr>
        <w:t>)</w:t>
      </w:r>
      <w:r w:rsidR="00E3253D">
        <w:rPr>
          <w:rtl/>
        </w:rPr>
        <w:t>.</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في « ى ، بث » : « ينزل</w:t>
      </w:r>
      <w:r w:rsidR="00E3253D">
        <w:rPr>
          <w:rtl/>
        </w:rPr>
        <w:t xml:space="preserve"> ».</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w:t>
      </w:r>
      <w:r w:rsidR="00E3253D" w:rsidRPr="0035521A">
        <w:rPr>
          <w:rStyle w:val="libFootnoteBoldChar"/>
          <w:rtl/>
        </w:rPr>
        <w:t>الأمالي للطوسي</w:t>
      </w:r>
      <w:r w:rsidR="00E3253D" w:rsidRPr="005D642E">
        <w:rPr>
          <w:rtl/>
        </w:rPr>
        <w:t xml:space="preserve"> ، ص 693 ، المجلس 39 ، ح 18 ، بسنده عن الحسن بن فضّال ، عن عليّ بن عقبة </w:t>
      </w:r>
      <w:r w:rsidR="007C1692">
        <w:rPr>
          <w:rFonts w:hint="cs"/>
          <w:rtl/>
        </w:rPr>
        <w:t>.</w:t>
      </w:r>
      <w:r w:rsidR="00E3253D" w:rsidRPr="002F4D34">
        <w:rPr>
          <w:rStyle w:val="libFootnoteBoldChar"/>
          <w:rtl/>
        </w:rPr>
        <w:t>الوافي</w:t>
      </w:r>
      <w:r w:rsidR="00E3253D" w:rsidRPr="005D642E">
        <w:rPr>
          <w:rtl/>
        </w:rPr>
        <w:t xml:space="preserve"> ، </w:t>
      </w:r>
      <w:r w:rsidR="007C1692">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F7A5E">
        <w:rPr>
          <w:rtl/>
        </w:rPr>
        <w:t>4761</w:t>
      </w:r>
      <w:r w:rsidRPr="00246318">
        <w:rPr>
          <w:rStyle w:val="libBold2Char"/>
          <w:rtl/>
        </w:rPr>
        <w:t xml:space="preserve"> / 22.</w:t>
      </w:r>
      <w:r w:rsidRPr="005D642E">
        <w:rPr>
          <w:rtl/>
          <w:lang w:bidi="fa-IR"/>
        </w:rPr>
        <w:t xml:space="preserve"> عَلِيُّ بْنُ إِبْرَاهِيمَ ، عَنْ أَبِيهِ ، عَنِ ابْنِ أَبِي عُمَيْرٍ ، عَنْ هِشَامِ بْنِ سَالِمٍ ، قَالَ :</w:t>
      </w:r>
    </w:p>
    <w:p w:rsidR="00E3253D" w:rsidRPr="005D642E" w:rsidRDefault="00E3253D" w:rsidP="00E3253D">
      <w:pPr>
        <w:pStyle w:val="libNormal"/>
        <w:rPr>
          <w:rtl/>
          <w:lang w:bidi="fa-IR"/>
        </w:rPr>
      </w:pPr>
      <w:r w:rsidRPr="005D642E">
        <w:rPr>
          <w:rtl/>
          <w:lang w:bidi="fa-IR"/>
        </w:rPr>
        <w:t xml:space="preserve">قَالَ أَبُو عَبْدِ اللهِ </w:t>
      </w:r>
      <w:r w:rsidRPr="00AC51C5">
        <w:rPr>
          <w:rStyle w:val="libAlaemChar"/>
          <w:rtl/>
        </w:rPr>
        <w:t>عليه‌السلام</w:t>
      </w:r>
      <w:r w:rsidRPr="005D642E">
        <w:rPr>
          <w:rtl/>
          <w:lang w:bidi="fa-IR"/>
        </w:rPr>
        <w:t xml:space="preserve"> : « مَا مِنْ أَهْلِ بَيْتِ شَعْرٍ وَلَاوَبَرٍ </w:t>
      </w:r>
      <w:r w:rsidRPr="007C12DB">
        <w:rPr>
          <w:rStyle w:val="libFootnotenumChar"/>
          <w:rtl/>
        </w:rPr>
        <w:t>(1)</w:t>
      </w:r>
      <w:r w:rsidR="007C1692">
        <w:rPr>
          <w:rtl/>
          <w:lang w:bidi="fa-IR"/>
        </w:rPr>
        <w:t xml:space="preserve"> إِل</w:t>
      </w:r>
      <w:r w:rsidR="007C1692">
        <w:rPr>
          <w:rFonts w:hint="cs"/>
          <w:rtl/>
          <w:lang w:bidi="fa-IR"/>
        </w:rPr>
        <w:t>َّ</w:t>
      </w:r>
      <w:r w:rsidR="007C1692">
        <w:rPr>
          <w:rtl/>
          <w:lang w:bidi="fa-IR"/>
        </w:rPr>
        <w:t>ا</w:t>
      </w:r>
      <w:r w:rsidRPr="005D642E">
        <w:rPr>
          <w:rtl/>
          <w:lang w:bidi="fa-IR"/>
        </w:rPr>
        <w:t xml:space="preserve"> وَمَلَكُ الْمَوْتِ يَتَصَفَّحُهُمْ </w:t>
      </w:r>
      <w:r w:rsidRPr="007C12DB">
        <w:rPr>
          <w:rStyle w:val="libFootnotenumChar"/>
          <w:rtl/>
        </w:rPr>
        <w:t>(2)</w:t>
      </w:r>
      <w:r w:rsidRPr="005D642E">
        <w:rPr>
          <w:rtl/>
          <w:lang w:bidi="fa-IR"/>
        </w:rPr>
        <w:t xml:space="preserve"> فِي كُلِّ يَوْمٍ خَمْسَ مَرَّاتٍ</w:t>
      </w:r>
      <w:r>
        <w:rPr>
          <w:rtl/>
          <w:lang w:bidi="fa-IR"/>
        </w:rPr>
        <w:t xml:space="preserve"> ».</w:t>
      </w:r>
      <w:r w:rsidRPr="005D642E">
        <w:rPr>
          <w:rtl/>
          <w:lang w:bidi="fa-IR"/>
        </w:rPr>
        <w:t xml:space="preserve"> </w:t>
      </w:r>
      <w:r w:rsidRPr="007C12DB">
        <w:rPr>
          <w:rStyle w:val="libFootnotenumChar"/>
          <w:rtl/>
        </w:rPr>
        <w:t>(3)</w:t>
      </w:r>
      <w:r w:rsidRPr="005D642E">
        <w:rPr>
          <w:rtl/>
          <w:lang w:bidi="fa-IR"/>
        </w:rPr>
        <w:t xml:space="preserve"> ‌</w:t>
      </w:r>
    </w:p>
    <w:p w:rsidR="00E3253D" w:rsidRPr="005D642E" w:rsidRDefault="00E3253D" w:rsidP="00E3253D">
      <w:pPr>
        <w:pStyle w:val="libNormal"/>
        <w:rPr>
          <w:rtl/>
          <w:lang w:bidi="fa-IR"/>
        </w:rPr>
      </w:pPr>
      <w:r w:rsidRPr="006F7A5E">
        <w:rPr>
          <w:rtl/>
        </w:rPr>
        <w:t>4762</w:t>
      </w:r>
      <w:r w:rsidRPr="00246318">
        <w:rPr>
          <w:rStyle w:val="libBold2Char"/>
          <w:rtl/>
        </w:rPr>
        <w:t xml:space="preserve"> / 23.</w:t>
      </w:r>
      <w:r w:rsidRPr="005D642E">
        <w:rPr>
          <w:rtl/>
          <w:lang w:bidi="fa-IR"/>
        </w:rPr>
        <w:t xml:space="preserve"> مُحَمَّدُ بْنُ يَحْيى ، عَنْ أَحْمَدَ بْنِ مُحَمَّدٍ ، عَنْ مُحَمَّدِ بْنِ سِنَانٍ ، عَمَّنْ أَخْبَرَهُ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مَنْ كَانَ مَعَهُ كَفَنُهُ </w:t>
      </w:r>
      <w:r w:rsidRPr="007C12DB">
        <w:rPr>
          <w:rStyle w:val="libFootnotenumChar"/>
          <w:rtl/>
        </w:rPr>
        <w:t>(4)</w:t>
      </w:r>
      <w:r w:rsidRPr="005D642E">
        <w:rPr>
          <w:rtl/>
          <w:lang w:bidi="fa-IR"/>
        </w:rPr>
        <w:t xml:space="preserve"> فِي بَيْتِهِ ، لَمْ يُكْتَبْ مِنَ الْغَافِلِينَ ، وَكَانَ مَأْجُوراً كُلَّمَا نَظَرَ إِلَيْهِ</w:t>
      </w:r>
      <w:r>
        <w:rPr>
          <w:rtl/>
          <w:lang w:bidi="fa-IR"/>
        </w:rPr>
        <w:t xml:space="preserve"> ».</w:t>
      </w:r>
      <w:r w:rsidRPr="005D642E">
        <w:rPr>
          <w:rtl/>
          <w:lang w:bidi="fa-IR"/>
        </w:rPr>
        <w:t xml:space="preserve">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6F7A5E">
        <w:rPr>
          <w:rtl/>
        </w:rPr>
        <w:t>4763</w:t>
      </w:r>
      <w:r w:rsidRPr="00246318">
        <w:rPr>
          <w:rStyle w:val="libBold2Char"/>
          <w:rtl/>
        </w:rPr>
        <w:t xml:space="preserve"> / 24.</w:t>
      </w:r>
      <w:r w:rsidRPr="005D642E">
        <w:rPr>
          <w:rtl/>
          <w:lang w:bidi="fa-IR"/>
        </w:rPr>
        <w:t xml:space="preserve"> عَلِيُّ بْنُ إِبْرَاهِيمَ ، عَنْ أَبِيهِ ، عَنْ عَمْرِو بْنِ عُثْمَانَ ، عَنِ الْمُفَضَّلِ بْنِ صَالِحٍ ، عَنْ زَيْدٍ الشَّحَّامِ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sidRPr="005D642E">
        <w:rPr>
          <w:rtl/>
          <w:lang w:bidi="fa-IR"/>
        </w:rPr>
        <w:t xml:space="preserve"> عَنْ مَلَكِ الْمَوْتِ : يُقَالُ </w:t>
      </w:r>
      <w:r w:rsidRPr="007C12DB">
        <w:rPr>
          <w:rStyle w:val="libFootnotenumChar"/>
          <w:rtl/>
        </w:rPr>
        <w:t>(6)</w:t>
      </w:r>
      <w:r w:rsidRPr="005D642E">
        <w:rPr>
          <w:rtl/>
          <w:lang w:bidi="fa-IR"/>
        </w:rPr>
        <w:t xml:space="preserve"> : الْأَرْضُ بَيْنَ يَدَيْهِ كَالْقَصْعَةِ </w:t>
      </w:r>
      <w:r w:rsidRPr="007C12DB">
        <w:rPr>
          <w:rStyle w:val="libFootnotenumChar"/>
          <w:rtl/>
        </w:rPr>
        <w:t>(7)</w:t>
      </w:r>
      <w:r w:rsidRPr="005D642E">
        <w:rPr>
          <w:rtl/>
          <w:lang w:bidi="fa-IR"/>
        </w:rPr>
        <w:t xml:space="preserve"> ، يَمُدُّ يَدَهُ مِنْهَا </w:t>
      </w:r>
      <w:r w:rsidRPr="007C12DB">
        <w:rPr>
          <w:rStyle w:val="libFootnotenumChar"/>
          <w:rtl/>
        </w:rPr>
        <w:t>(8)</w:t>
      </w:r>
      <w:r w:rsidRPr="005D642E">
        <w:rPr>
          <w:rtl/>
          <w:lang w:bidi="fa-IR"/>
        </w:rPr>
        <w:t xml:space="preserve"> حَيْثُ يَشَاءُ</w:t>
      </w:r>
      <w:r>
        <w:rPr>
          <w:rtl/>
          <w:lang w:bidi="fa-IR"/>
        </w:rPr>
        <w:t>؟</w:t>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(9)</w:t>
      </w:r>
      <w:r w:rsidRPr="005D642E">
        <w:rPr>
          <w:rtl/>
          <w:lang w:bidi="fa-IR"/>
        </w:rPr>
        <w:t xml:space="preserve"> : « نَعَمْ</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CF5C27" w:rsidP="00E3253D">
      <w:pPr>
        <w:pStyle w:val="libFootnote0"/>
        <w:rPr>
          <w:rtl/>
          <w:lang w:bidi="fa-IR"/>
        </w:rPr>
      </w:pPr>
      <w:r>
        <w:rPr>
          <w:rFonts w:hint="cs"/>
          <w:rtl/>
        </w:rPr>
        <w:t xml:space="preserve">= </w:t>
      </w:r>
      <w:r w:rsidR="00E3253D" w:rsidRPr="005D642E">
        <w:rPr>
          <w:rtl/>
        </w:rPr>
        <w:t xml:space="preserve">ج 24 ، ص 265 ، ح 24005 ؛ </w:t>
      </w:r>
      <w:r w:rsidR="00E3253D" w:rsidRPr="002F4D34">
        <w:rPr>
          <w:rStyle w:val="libFootnoteBoldChar"/>
          <w:rtl/>
        </w:rPr>
        <w:t>البحار</w:t>
      </w:r>
      <w:r w:rsidR="00E3253D" w:rsidRPr="005D642E">
        <w:rPr>
          <w:rtl/>
        </w:rPr>
        <w:t xml:space="preserve"> ، ج 6 ، ص 145 ، ح 16.</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مرآة العقول</w:t>
      </w:r>
      <w:r w:rsidR="00E3253D" w:rsidRPr="005D642E">
        <w:rPr>
          <w:rtl/>
        </w:rPr>
        <w:t xml:space="preserve"> : « قوله </w:t>
      </w:r>
      <w:r w:rsidR="00E3253D" w:rsidRPr="00CF5C27">
        <w:rPr>
          <w:rStyle w:val="libFootnoteAlaemChar"/>
          <w:rtl/>
        </w:rPr>
        <w:t>عليه‌السلام</w:t>
      </w:r>
      <w:r w:rsidR="00E3253D" w:rsidRPr="005D642E">
        <w:rPr>
          <w:rtl/>
        </w:rPr>
        <w:t xml:space="preserve"> : ولا وبر لعلّ الأظهر : ولا مدر ، على البدل ، كما في بعض النسخ ، أو الاجتماع</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يتصفّحهم » ، أي ينظر فيهم. راجع : </w:t>
      </w:r>
      <w:r w:rsidR="00E3253D" w:rsidRPr="002F4D34">
        <w:rPr>
          <w:rStyle w:val="libFootnoteBoldChar"/>
          <w:rtl/>
        </w:rPr>
        <w:t>الصحاح</w:t>
      </w:r>
      <w:r w:rsidR="00E3253D" w:rsidRPr="005D642E">
        <w:rPr>
          <w:rtl/>
        </w:rPr>
        <w:t xml:space="preserve"> ، ج 1 ، ص 383 ( صفح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إخراج روح المؤمن والكافر ، ضمن ح 4326 ، بسند آخر. </w:t>
      </w:r>
      <w:r w:rsidR="00E3253D" w:rsidRPr="002F4D34">
        <w:rPr>
          <w:rStyle w:val="libFootnoteBoldChar"/>
          <w:rtl/>
        </w:rPr>
        <w:t>فيه</w:t>
      </w:r>
      <w:r w:rsidR="00E3253D" w:rsidRPr="005D642E">
        <w:rPr>
          <w:rtl/>
        </w:rPr>
        <w:t xml:space="preserve"> ، ضمن ح 4327 ، بسند آخر عن أبي جعفر </w:t>
      </w:r>
      <w:r w:rsidR="00E3253D" w:rsidRPr="00CF5C27">
        <w:rPr>
          <w:rStyle w:val="libFootnoteAlaemChar"/>
          <w:rtl/>
        </w:rPr>
        <w:t>عليه‌السلام</w:t>
      </w:r>
      <w:r w:rsidR="00E3253D" w:rsidRPr="005D642E">
        <w:rPr>
          <w:rtl/>
        </w:rPr>
        <w:t xml:space="preserve"> ، وفيهما مع اختلاف يسير </w:t>
      </w:r>
      <w:r w:rsidR="00CF5C27">
        <w:rPr>
          <w:rFonts w:hint="cs"/>
          <w:rtl/>
        </w:rPr>
        <w:t>.</w:t>
      </w:r>
      <w:r w:rsidR="00E3253D" w:rsidRPr="002F4D34">
        <w:rPr>
          <w:rStyle w:val="libFootnoteBoldChar"/>
          <w:rtl/>
        </w:rPr>
        <w:t>الوافي</w:t>
      </w:r>
      <w:r w:rsidR="00E3253D" w:rsidRPr="005D642E">
        <w:rPr>
          <w:rtl/>
        </w:rPr>
        <w:t xml:space="preserve"> ، ج 24 ، ص 265 ، ح 24006 ؛ </w:t>
      </w:r>
      <w:r w:rsidR="00E3253D" w:rsidRPr="002F4D34">
        <w:rPr>
          <w:rStyle w:val="libFootnoteBoldChar"/>
          <w:rtl/>
        </w:rPr>
        <w:t>البحار</w:t>
      </w:r>
      <w:r w:rsidR="00E3253D" w:rsidRPr="005D642E">
        <w:rPr>
          <w:rtl/>
        </w:rPr>
        <w:t xml:space="preserve"> ، ج 6 ، ص 143 ، ح 10.</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ى ، بخ ، جس » وحاشية « جح </w:t>
      </w:r>
      <w:r w:rsidR="00E3253D" w:rsidRPr="00CF5C27">
        <w:rPr>
          <w:rtl/>
        </w:rPr>
        <w:t xml:space="preserve">» </w:t>
      </w:r>
      <w:r w:rsidR="000D749A" w:rsidRPr="00CF5C27">
        <w:rPr>
          <w:rtl/>
        </w:rPr>
        <w:t>والوافي</w:t>
      </w:r>
      <w:r w:rsidR="00E3253D" w:rsidRPr="005D642E">
        <w:rPr>
          <w:rtl/>
        </w:rPr>
        <w:t xml:space="preserve"> </w:t>
      </w:r>
      <w:r w:rsidR="00E3253D" w:rsidRPr="00CF5C27">
        <w:rPr>
          <w:rtl/>
        </w:rPr>
        <w:t xml:space="preserve">والوسائل </w:t>
      </w:r>
      <w:r w:rsidR="00B60612" w:rsidRPr="00CF5C27">
        <w:rPr>
          <w:rtl/>
        </w:rPr>
        <w:t>والتهذيب</w:t>
      </w:r>
      <w:r w:rsidR="00E3253D" w:rsidRPr="00CF5C27">
        <w:rPr>
          <w:rtl/>
        </w:rPr>
        <w:t xml:space="preserve"> :</w:t>
      </w:r>
      <w:r w:rsidR="00E3253D" w:rsidRPr="005D642E">
        <w:rPr>
          <w:rtl/>
        </w:rPr>
        <w:t xml:space="preserve"> « كفنه معه</w:t>
      </w:r>
      <w:r w:rsidR="00E3253D">
        <w:rPr>
          <w:rtl/>
        </w:rPr>
        <w:t xml:space="preserve"> ».</w:t>
      </w:r>
    </w:p>
    <w:p w:rsidR="00E3253D" w:rsidRPr="005D642E" w:rsidRDefault="0042621E" w:rsidP="00CF5C27">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التهذيب</w:t>
      </w:r>
      <w:r w:rsidR="00E3253D" w:rsidRPr="005D642E">
        <w:rPr>
          <w:rtl/>
        </w:rPr>
        <w:t xml:space="preserve"> ، ج 1 ، ص 499 ، ح 1452 ، بسنده عن محمّد بن سنان </w:t>
      </w:r>
      <w:r w:rsidR="00CF5C27">
        <w:rPr>
          <w:rFonts w:hint="cs"/>
          <w:rtl/>
        </w:rPr>
        <w:t>.</w:t>
      </w:r>
      <w:r w:rsidR="00E3253D" w:rsidRPr="002F4D34">
        <w:rPr>
          <w:rStyle w:val="libFootnoteBoldChar"/>
          <w:rtl/>
        </w:rPr>
        <w:t>الوافي</w:t>
      </w:r>
      <w:r w:rsidR="00E3253D" w:rsidRPr="005D642E">
        <w:rPr>
          <w:rtl/>
        </w:rPr>
        <w:t xml:space="preserve"> ، ج 24 ، ص 353 ، ح 24193 ؛ </w:t>
      </w:r>
      <w:r w:rsidR="00E3253D" w:rsidRPr="002F4D34">
        <w:rPr>
          <w:rStyle w:val="libFootnoteBoldChar"/>
          <w:rtl/>
        </w:rPr>
        <w:t>الوسائل</w:t>
      </w:r>
      <w:r w:rsidR="00E3253D" w:rsidRPr="005D642E">
        <w:rPr>
          <w:rtl/>
        </w:rPr>
        <w:t xml:space="preserve"> ، ج 3 ، ص 50 ، ح 2998.</w:t>
      </w:r>
      <w:r w:rsidR="00CF5C27">
        <w:rPr>
          <w:rFonts w:hint="cs"/>
          <w:rtl/>
        </w:rPr>
        <w:t xml:space="preserve">       </w:t>
      </w:r>
      <w:r w:rsidRPr="0042621E">
        <w:rPr>
          <w:rStyle w:val="libFootnote0Char"/>
          <w:rtl/>
        </w:rPr>
        <w:t>(6).</w:t>
      </w:r>
      <w:r w:rsidR="00CF5C27">
        <w:rPr>
          <w:rtl/>
        </w:rPr>
        <w:t xml:space="preserve"> في «ى،</w:t>
      </w:r>
      <w:r w:rsidR="00E3253D" w:rsidRPr="005D642E">
        <w:rPr>
          <w:rtl/>
        </w:rPr>
        <w:t>بح،</w:t>
      </w:r>
      <w:r w:rsidR="00CF5C27">
        <w:rPr>
          <w:rtl/>
        </w:rPr>
        <w:t>بخ،بس» وحاشية «جح</w:t>
      </w:r>
      <w:r w:rsidR="00E3253D" w:rsidRPr="005D642E">
        <w:rPr>
          <w:rtl/>
        </w:rPr>
        <w:t>»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القَصْعَةُ » : وعاء يؤكل فيه ويثرد ، ويقال له : الصحفة أو الضخمة ، تشبع عشرة. راجع : </w:t>
      </w:r>
      <w:r w:rsidR="00E3253D" w:rsidRPr="002F4D34">
        <w:rPr>
          <w:rStyle w:val="libFootnoteBoldChar"/>
          <w:rtl/>
        </w:rPr>
        <w:t>لسان العرب</w:t>
      </w:r>
      <w:r w:rsidR="00E3253D" w:rsidRPr="005D642E">
        <w:rPr>
          <w:rtl/>
        </w:rPr>
        <w:t xml:space="preserve"> ، ج 8 ، ص 274 ؛ </w:t>
      </w:r>
      <w:r w:rsidR="00E3253D" w:rsidRPr="002F4D34">
        <w:rPr>
          <w:rStyle w:val="libFootnoteBoldChar"/>
          <w:rtl/>
        </w:rPr>
        <w:t>المعجم الوسيط</w:t>
      </w:r>
      <w:r w:rsidR="00E3253D" w:rsidRPr="005D642E">
        <w:rPr>
          <w:rtl/>
        </w:rPr>
        <w:t xml:space="preserve"> ، ج 2 ، ص 740 ( قصع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البحار :</w:t>
      </w:r>
      <w:r w:rsidR="00E3253D">
        <w:rPr>
          <w:rtl/>
        </w:rPr>
        <w:t xml:space="preserve"> </w:t>
      </w:r>
      <w:r w:rsidR="007642BC">
        <w:rPr>
          <w:rtl/>
        </w:rPr>
        <w:t>-</w:t>
      </w:r>
      <w:r w:rsidR="00E3253D">
        <w:rPr>
          <w:rtl/>
        </w:rPr>
        <w:t xml:space="preserve"> </w:t>
      </w:r>
      <w:r w:rsidR="00E3253D" w:rsidRPr="005D642E">
        <w:rPr>
          <w:rtl/>
        </w:rPr>
        <w:t>« منها</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هكذا في « بح ، بخ ، بس ، جح ، جس » </w:t>
      </w:r>
      <w:r w:rsidR="000D749A" w:rsidRPr="00CF5C27">
        <w:rPr>
          <w:rtl/>
        </w:rPr>
        <w:t>والوافي</w:t>
      </w:r>
      <w:r w:rsidR="00E3253D" w:rsidRPr="005D642E">
        <w:rPr>
          <w:rtl/>
        </w:rPr>
        <w:t xml:space="preserve"> والبحار. وفي سائر النسخ والمطبوع : « قال</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24 ، ص 265 ، ح 24008 ؛ </w:t>
      </w:r>
      <w:r w:rsidR="00E3253D" w:rsidRPr="002F4D34">
        <w:rPr>
          <w:rStyle w:val="libFootnoteBoldChar"/>
          <w:rtl/>
        </w:rPr>
        <w:t>البحار</w:t>
      </w:r>
      <w:r w:rsidR="00E3253D" w:rsidRPr="005D642E">
        <w:rPr>
          <w:rtl/>
        </w:rPr>
        <w:t xml:space="preserve"> ، ج 6 ، ص 144 ، ح 12.</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F7A5E">
        <w:rPr>
          <w:rtl/>
        </w:rPr>
        <w:t>4764</w:t>
      </w:r>
      <w:r w:rsidRPr="00246318">
        <w:rPr>
          <w:rStyle w:val="libBold2Char"/>
          <w:rtl/>
        </w:rPr>
        <w:t xml:space="preserve"> / 25.</w:t>
      </w:r>
      <w:r w:rsidRPr="005D642E">
        <w:rPr>
          <w:rtl/>
          <w:lang w:bidi="fa-IR"/>
        </w:rPr>
        <w:t xml:space="preserve"> مُحَمَّدُ بْنُ يَحْيى ، عَنْ أَحْمَدَ بْنِ مُحَمَّدِ بْنِ عِيسى ، عَنِ الْحُسَيْنِ بْنِ سَعِيدٍ ، عَنْ فَضَالَةَ بْنِ أَيُّوبَ ، عَنْ أَبِي الْمَغْرَاءِ ، قَالَ : حَدَّثَنِي يَعْقُوبُ الْأَحْمَرُ ، قَالَ :</w:t>
      </w:r>
    </w:p>
    <w:p w:rsidR="00E3253D" w:rsidRPr="005D642E" w:rsidRDefault="00E3253D" w:rsidP="00E3253D">
      <w:pPr>
        <w:pStyle w:val="libNormal"/>
        <w:rPr>
          <w:rtl/>
          <w:lang w:bidi="fa-IR"/>
        </w:rPr>
      </w:pPr>
      <w:r w:rsidRPr="005D642E">
        <w:rPr>
          <w:rtl/>
          <w:lang w:bidi="fa-IR"/>
        </w:rPr>
        <w:t xml:space="preserve">دَخَلْنَا عَلى أَبِي عَبْدِ اللهِ </w:t>
      </w:r>
      <w:r w:rsidRPr="00AC51C5">
        <w:rPr>
          <w:rStyle w:val="libAlaemChar"/>
          <w:rtl/>
        </w:rPr>
        <w:t>عليه‌السلام</w:t>
      </w:r>
      <w:r w:rsidRPr="005D642E">
        <w:rPr>
          <w:rtl/>
          <w:lang w:bidi="fa-IR"/>
        </w:rPr>
        <w:t xml:space="preserve"> نُعَزِّيهِ </w:t>
      </w:r>
      <w:r w:rsidRPr="007C12DB">
        <w:rPr>
          <w:rStyle w:val="libFootnotenumChar"/>
          <w:rtl/>
        </w:rPr>
        <w:t>(1)</w:t>
      </w:r>
      <w:r w:rsidRPr="005D642E">
        <w:rPr>
          <w:rtl/>
          <w:lang w:bidi="fa-IR"/>
        </w:rPr>
        <w:t xml:space="preserve"> بِإِسْمَاعِيلَ ، فَتَرَحَّمَ عَلَيْهِ ، ثُمَّ قَالَ : « إِنَّ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 xml:space="preserve">نَعى إِلى </w:t>
      </w:r>
      <w:r w:rsidRPr="007C12DB">
        <w:rPr>
          <w:rStyle w:val="libFootnotenumChar"/>
          <w:rtl/>
        </w:rPr>
        <w:t>(2)</w:t>
      </w:r>
      <w:r w:rsidRPr="005D642E">
        <w:rPr>
          <w:rtl/>
          <w:lang w:bidi="fa-IR"/>
        </w:rPr>
        <w:t xml:space="preserve"> نَبِيِّهِ </w:t>
      </w:r>
      <w:r w:rsidR="0042621E" w:rsidRPr="0042621E">
        <w:rPr>
          <w:rStyle w:val="libAlaemChar"/>
          <w:rtl/>
        </w:rPr>
        <w:t>صلى‌الله‌عليه‌وآله</w:t>
      </w:r>
      <w:r w:rsidRPr="005D642E">
        <w:rPr>
          <w:rtl/>
          <w:lang w:bidi="fa-IR"/>
        </w:rPr>
        <w:t xml:space="preserve"> نَفْسَهُ </w:t>
      </w:r>
      <w:r w:rsidRPr="007C12DB">
        <w:rPr>
          <w:rStyle w:val="libFootnotenumChar"/>
          <w:rtl/>
        </w:rPr>
        <w:t>(3)</w:t>
      </w:r>
      <w:r w:rsidRPr="005D642E">
        <w:rPr>
          <w:rtl/>
          <w:lang w:bidi="fa-IR"/>
        </w:rPr>
        <w:t xml:space="preserve"> ، فَقَالَ : </w:t>
      </w:r>
      <w:r w:rsidRPr="00AC51C5">
        <w:rPr>
          <w:rStyle w:val="libAlaemChar"/>
          <w:rtl/>
        </w:rPr>
        <w:t>(</w:t>
      </w:r>
      <w:r w:rsidRPr="00AC51C5">
        <w:rPr>
          <w:rStyle w:val="libAieChar"/>
          <w:rtl/>
        </w:rPr>
        <w:t xml:space="preserve"> إِنَّكَ مَيِّتٌ وَإِنَّهُمْ مَيِّتُونَ </w:t>
      </w:r>
      <w:r w:rsidRPr="00AC51C5">
        <w:rPr>
          <w:rStyle w:val="libAlaemChar"/>
          <w:rtl/>
        </w:rPr>
        <w:t>)</w:t>
      </w:r>
      <w:r w:rsidRPr="005D642E">
        <w:rPr>
          <w:rtl/>
          <w:lang w:bidi="fa-IR"/>
        </w:rPr>
        <w:t xml:space="preserve"> </w:t>
      </w:r>
      <w:r w:rsidRPr="007C12DB">
        <w:rPr>
          <w:rStyle w:val="libFootnotenumChar"/>
          <w:rtl/>
        </w:rPr>
        <w:t>(4)</w:t>
      </w:r>
      <w:r w:rsidRPr="005D642E">
        <w:rPr>
          <w:rtl/>
          <w:lang w:bidi="fa-IR"/>
        </w:rPr>
        <w:t xml:space="preserve"> وَقَالَ : </w:t>
      </w:r>
      <w:r w:rsidRPr="00AC51C5">
        <w:rPr>
          <w:rStyle w:val="libAlaemChar"/>
          <w:rtl/>
        </w:rPr>
        <w:t>(</w:t>
      </w:r>
      <w:r w:rsidRPr="00AC51C5">
        <w:rPr>
          <w:rStyle w:val="libAieChar"/>
          <w:rtl/>
        </w:rPr>
        <w:t xml:space="preserve"> كُلُّ نَفْسٍ ذائِقَةُ الْمَوْتِ </w:t>
      </w:r>
      <w:r w:rsidRPr="00AC51C5">
        <w:rPr>
          <w:rStyle w:val="libAlaemChar"/>
          <w:rtl/>
        </w:rPr>
        <w:t>)</w:t>
      </w:r>
      <w:r w:rsidRPr="005D642E">
        <w:rPr>
          <w:rtl/>
          <w:lang w:bidi="fa-IR"/>
        </w:rPr>
        <w:t xml:space="preserve"> </w:t>
      </w:r>
      <w:r w:rsidRPr="007C12DB">
        <w:rPr>
          <w:rStyle w:val="libFootnotenumChar"/>
          <w:rtl/>
        </w:rPr>
        <w:t>(5)</w:t>
      </w:r>
      <w:r w:rsidRPr="005D642E">
        <w:rPr>
          <w:rtl/>
          <w:lang w:bidi="fa-IR"/>
        </w:rPr>
        <w:t xml:space="preserve"> » ثُمَّ أَنْشَأَ يُحَدِّثُ ، فَقَالَ : « إِنَّهُ يَمُوتُ أَهْلُ الْأَرْضِ حَتّى لَايَبْقى أَحَدٌ ، ثُمَّ يَمُوتُ أَهْلُ السَّمَا</w:t>
      </w:r>
      <w:r w:rsidR="00925A22">
        <w:rPr>
          <w:rtl/>
          <w:lang w:bidi="fa-IR"/>
        </w:rPr>
        <w:t>ءِ حَتّى لَايَبْقى أَحَدٌ إِل</w:t>
      </w:r>
      <w:r w:rsidR="00925A22">
        <w:rPr>
          <w:rFonts w:hint="cs"/>
          <w:rtl/>
          <w:lang w:bidi="fa-IR"/>
        </w:rPr>
        <w:t>َّ</w:t>
      </w:r>
      <w:r w:rsidR="00925A22">
        <w:rPr>
          <w:rtl/>
          <w:lang w:bidi="fa-IR"/>
        </w:rPr>
        <w:t>ا</w:t>
      </w:r>
      <w:r w:rsidRPr="005D642E">
        <w:rPr>
          <w:rtl/>
          <w:lang w:bidi="fa-IR"/>
        </w:rPr>
        <w:t xml:space="preserve"> مَلَكُ الْمَوْتِ ، وَحَمَلَةُ الْعَرْشِ ، وَجَبْرَئِيلُ ، وَمِيكَائِيلُ</w:t>
      </w:r>
      <w:r w:rsidRPr="00AC51C5">
        <w:rPr>
          <w:rStyle w:val="libAlaemChar"/>
          <w:rtl/>
        </w:rPr>
        <w:t>عليهم‌السلام</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فَيَجِي‌ءُ مَلَكُ الْمَوْتِ </w:t>
      </w:r>
      <w:r w:rsidRPr="00AC51C5">
        <w:rPr>
          <w:rStyle w:val="libAlaemChar"/>
          <w:rtl/>
        </w:rPr>
        <w:t>عليه‌السلام</w:t>
      </w:r>
      <w:r w:rsidRPr="005D642E">
        <w:rPr>
          <w:rtl/>
          <w:lang w:bidi="fa-IR"/>
        </w:rPr>
        <w:t xml:space="preserve"> حَتّى يَقُومَ بَيْنَ يَدَيِ اللهِ عَزَّ وَجَلَّ ، فَيُقَالُ لَهُ : مَنْ بَقِيَ</w:t>
      </w:r>
      <w:r>
        <w:rPr>
          <w:rtl/>
          <w:lang w:bidi="fa-IR"/>
        </w:rPr>
        <w:t xml:space="preserve"> </w:t>
      </w:r>
      <w:r w:rsidR="007642BC">
        <w:rPr>
          <w:rtl/>
          <w:lang w:bidi="fa-IR"/>
        </w:rPr>
        <w:t>-</w:t>
      </w:r>
      <w:r>
        <w:rPr>
          <w:rtl/>
          <w:lang w:bidi="fa-IR"/>
        </w:rPr>
        <w:t xml:space="preserve"> </w:t>
      </w:r>
      <w:r w:rsidRPr="005D642E">
        <w:rPr>
          <w:rtl/>
          <w:lang w:bidi="fa-IR"/>
        </w:rPr>
        <w:t>وَهُوَ أَعْلَمُ</w:t>
      </w:r>
      <w:r>
        <w:rPr>
          <w:rtl/>
          <w:lang w:bidi="fa-IR"/>
        </w:rPr>
        <w:t xml:space="preserve"> </w:t>
      </w:r>
      <w:r w:rsidR="007642BC">
        <w:rPr>
          <w:rtl/>
          <w:lang w:bidi="fa-IR"/>
        </w:rPr>
        <w:t>-</w:t>
      </w:r>
      <w:r>
        <w:rPr>
          <w:rtl/>
          <w:lang w:bidi="fa-IR"/>
        </w:rPr>
        <w:t>؟</w:t>
      </w:r>
      <w:r w:rsidRPr="005D642E">
        <w:rPr>
          <w:rtl/>
          <w:lang w:bidi="fa-IR"/>
        </w:rPr>
        <w:t xml:space="preserve"> فَيَقُولُ : يَا رَبِّ ، لَمْ يَبْقَ </w:t>
      </w:r>
      <w:r w:rsidRPr="007C12DB">
        <w:rPr>
          <w:rStyle w:val="libFootnotenumChar"/>
          <w:rtl/>
        </w:rPr>
        <w:t>(6)</w:t>
      </w:r>
      <w:r w:rsidR="00925A22">
        <w:rPr>
          <w:rtl/>
          <w:lang w:bidi="fa-IR"/>
        </w:rPr>
        <w:t xml:space="preserve"> إِل</w:t>
      </w:r>
      <w:r w:rsidR="00925A22">
        <w:rPr>
          <w:rFonts w:hint="cs"/>
          <w:rtl/>
          <w:lang w:bidi="fa-IR"/>
        </w:rPr>
        <w:t>َّ</w:t>
      </w:r>
      <w:r w:rsidR="00925A22">
        <w:rPr>
          <w:rtl/>
          <w:lang w:bidi="fa-IR"/>
        </w:rPr>
        <w:t>ا</w:t>
      </w:r>
      <w:r w:rsidRPr="005D642E">
        <w:rPr>
          <w:rtl/>
          <w:lang w:bidi="fa-IR"/>
        </w:rPr>
        <w:t xml:space="preserve"> مَلَكُ الْمَوْتِ ، وَحَمَلَةُ الْعَرْشِ ، وَجَبْرَئِيلُ ، وَمِيكَائِيلُ </w:t>
      </w:r>
      <w:r w:rsidRPr="00AC51C5">
        <w:rPr>
          <w:rStyle w:val="libAlaemChar"/>
          <w:rtl/>
        </w:rPr>
        <w:t>عليهم‌السلام</w:t>
      </w:r>
      <w:r w:rsidRPr="005D642E">
        <w:rPr>
          <w:rtl/>
          <w:lang w:bidi="fa-IR"/>
        </w:rPr>
        <w:t xml:space="preserve"> ، فَيُقَالُ لَهُ </w:t>
      </w:r>
      <w:r w:rsidRPr="007C12DB">
        <w:rPr>
          <w:rStyle w:val="libFootnotenumChar"/>
          <w:rtl/>
        </w:rPr>
        <w:t>(7)</w:t>
      </w:r>
      <w:r w:rsidRPr="005D642E">
        <w:rPr>
          <w:rtl/>
          <w:lang w:bidi="fa-IR"/>
        </w:rPr>
        <w:t xml:space="preserve"> : قُلْ لِجَبْرَئِيلَ وَمِيكَائِيلَ : فَلْيَمُوتَا ، فَتَقُولُ </w:t>
      </w:r>
      <w:r w:rsidRPr="007C12DB">
        <w:rPr>
          <w:rStyle w:val="libFootnotenumChar"/>
          <w:rtl/>
        </w:rPr>
        <w:t>(8)</w:t>
      </w:r>
      <w:r w:rsidRPr="005D642E">
        <w:rPr>
          <w:rtl/>
          <w:lang w:bidi="fa-IR"/>
        </w:rPr>
        <w:t xml:space="preserve"> الْمَلَائِكَةُ عِنْدَ ذلِكَ :</w:t>
      </w:r>
      <w:r>
        <w:rPr>
          <w:rFonts w:hint="cs"/>
          <w:rtl/>
          <w:lang w:bidi="fa-IR"/>
        </w:rPr>
        <w:t xml:space="preserve"> </w:t>
      </w:r>
      <w:r w:rsidRPr="005D642E">
        <w:rPr>
          <w:rtl/>
          <w:lang w:bidi="fa-IR"/>
        </w:rPr>
        <w:t xml:space="preserve">يَا رَبِّ ، رَسُولَيْكَ </w:t>
      </w:r>
      <w:r w:rsidRPr="007C12DB">
        <w:rPr>
          <w:rStyle w:val="libFootnotenumChar"/>
          <w:rtl/>
        </w:rPr>
        <w:t>(9)</w:t>
      </w:r>
      <w:r w:rsidRPr="005D642E">
        <w:rPr>
          <w:rtl/>
          <w:lang w:bidi="fa-IR"/>
        </w:rPr>
        <w:t xml:space="preserve"> وَأَمِينَيْكَ </w:t>
      </w:r>
      <w:r w:rsidRPr="007C12DB">
        <w:rPr>
          <w:rStyle w:val="libFootnotenumChar"/>
          <w:rtl/>
        </w:rPr>
        <w:t>(10)</w:t>
      </w:r>
      <w:r>
        <w:rPr>
          <w:rtl/>
          <w:lang w:bidi="fa-IR"/>
        </w:rPr>
        <w:t>؟</w:t>
      </w:r>
      <w:r w:rsidRPr="005D642E">
        <w:rPr>
          <w:rtl/>
          <w:lang w:bidi="fa-IR"/>
        </w:rPr>
        <w:t xml:space="preserve"> فَيَقُولُ : إِنِّي قَدْ </w:t>
      </w:r>
      <w:r w:rsidRPr="007C12DB">
        <w:rPr>
          <w:rStyle w:val="libFootnotenumChar"/>
          <w:rtl/>
        </w:rPr>
        <w:t>(11)</w:t>
      </w:r>
      <w:r w:rsidRPr="005D642E">
        <w:rPr>
          <w:rtl/>
          <w:lang w:bidi="fa-IR"/>
        </w:rPr>
        <w:t xml:space="preserve"> قَضَيْتُ عَلى </w:t>
      </w:r>
      <w:r w:rsidRPr="007C12DB">
        <w:rPr>
          <w:rStyle w:val="libFootnotenumChar"/>
          <w:rtl/>
        </w:rPr>
        <w:t>(12)</w:t>
      </w:r>
      <w:r w:rsidRPr="005D642E">
        <w:rPr>
          <w:rtl/>
          <w:lang w:bidi="fa-IR"/>
        </w:rPr>
        <w:t xml:space="preserve"> كُلِّ نَفْسٍ فِيهَا </w:t>
      </w:r>
      <w:r w:rsidRPr="007C12DB">
        <w:rPr>
          <w:rStyle w:val="libFootnotenumChar"/>
          <w:rtl/>
        </w:rPr>
        <w:t>(13)</w:t>
      </w:r>
      <w:r w:rsidRPr="005D642E">
        <w:rPr>
          <w:rtl/>
          <w:lang w:bidi="fa-IR"/>
        </w:rPr>
        <w:t xml:space="preserve"> الرُّوحُ الْمَوْتَ.</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نعزّيه » أي نقول له </w:t>
      </w:r>
      <w:r w:rsidR="00E3253D" w:rsidRPr="00925A22">
        <w:rPr>
          <w:rStyle w:val="libFootnoteAlaemChar"/>
          <w:rtl/>
        </w:rPr>
        <w:t>عليه‌السلام</w:t>
      </w:r>
      <w:r w:rsidR="00E3253D" w:rsidRPr="005D642E">
        <w:rPr>
          <w:rtl/>
        </w:rPr>
        <w:t xml:space="preserve"> : أحسن الله تعالى عزاءَكَ ، أي رزقك الصبر الحسن. والغراء : الصبر عن كلّ ما فقدت ، أو حسنه. راجع : </w:t>
      </w:r>
      <w:r w:rsidR="00E3253D" w:rsidRPr="002F4D34">
        <w:rPr>
          <w:rStyle w:val="libFootnoteBoldChar"/>
          <w:rtl/>
        </w:rPr>
        <w:t>لسان العرب</w:t>
      </w:r>
      <w:r w:rsidR="00E3253D" w:rsidRPr="005D642E">
        <w:rPr>
          <w:rtl/>
        </w:rPr>
        <w:t xml:space="preserve"> ، ج 15 ، ص 52 ؛ </w:t>
      </w:r>
      <w:r w:rsidR="00E3253D" w:rsidRPr="002F4D34">
        <w:rPr>
          <w:rStyle w:val="libFootnoteBoldChar"/>
          <w:rtl/>
        </w:rPr>
        <w:t>المصباح المنير</w:t>
      </w:r>
      <w:r w:rsidR="00E3253D" w:rsidRPr="005D642E">
        <w:rPr>
          <w:rtl/>
        </w:rPr>
        <w:t xml:space="preserve"> ، ص 408 ( عزا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الزهد : « عزى » بدل « نعى إلى</w:t>
      </w:r>
      <w:r w:rsidR="00E3253D">
        <w:rPr>
          <w:rtl/>
        </w:rPr>
        <w:t xml:space="preserve"> ».</w:t>
      </w:r>
      <w:r w:rsidR="00E3253D" w:rsidRPr="005D642E">
        <w:rPr>
          <w:rtl/>
        </w:rPr>
        <w:t xml:space="preserve"> والنَعْي : خبر الموت والإخبار به. راجع : </w:t>
      </w:r>
      <w:r w:rsidR="00E3253D" w:rsidRPr="002F4D34">
        <w:rPr>
          <w:rStyle w:val="libFootnoteBoldChar"/>
          <w:rtl/>
        </w:rPr>
        <w:t>النهاية</w:t>
      </w:r>
      <w:r w:rsidR="00E3253D" w:rsidRPr="005D642E">
        <w:rPr>
          <w:rtl/>
        </w:rPr>
        <w:t xml:space="preserve"> ، ج 5 ، ص 85 ( نعا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الزهد : « بنفسه</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الزمر (39) : 30.</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آل عمران </w:t>
      </w:r>
      <w:r w:rsidRPr="0042621E">
        <w:rPr>
          <w:rStyle w:val="libFootnote0Char"/>
          <w:rtl/>
        </w:rPr>
        <w:t>(3).</w:t>
      </w:r>
      <w:r w:rsidR="00E3253D" w:rsidRPr="005D642E">
        <w:rPr>
          <w:rtl/>
        </w:rPr>
        <w:t xml:space="preserve"> : 185 ؛ الأنبياء (21) : 35 ؛ العنكبوت (29) : 57.</w:t>
      </w:r>
    </w:p>
    <w:tbl>
      <w:tblPr>
        <w:tblStyle w:val="TableGrid"/>
        <w:bidiVisual/>
        <w:tblW w:w="0" w:type="auto"/>
        <w:tblLook w:val="04A0" w:firstRow="1" w:lastRow="0" w:firstColumn="1" w:lastColumn="0" w:noHBand="0" w:noVBand="1"/>
      </w:tblPr>
      <w:tblGrid>
        <w:gridCol w:w="4006"/>
        <w:gridCol w:w="4006"/>
      </w:tblGrid>
      <w:tr w:rsidR="00925A22" w:rsidTr="00925A22">
        <w:tc>
          <w:tcPr>
            <w:tcW w:w="4006" w:type="dxa"/>
          </w:tcPr>
          <w:p w:rsidR="00925A22" w:rsidRDefault="00925A22" w:rsidP="00E3253D">
            <w:pPr>
              <w:pStyle w:val="libFootnote0"/>
              <w:rPr>
                <w:rStyle w:val="libFootnote0Char"/>
                <w:rtl/>
              </w:rPr>
            </w:pPr>
            <w:r w:rsidRPr="0042621E">
              <w:rPr>
                <w:rStyle w:val="libFootnote0Char"/>
                <w:rtl/>
              </w:rPr>
              <w:t>(6).</w:t>
            </w:r>
            <w:r w:rsidRPr="005D642E">
              <w:rPr>
                <w:rtl/>
              </w:rPr>
              <w:t xml:space="preserve"> في « بخ » : « ما بقي</w:t>
            </w:r>
            <w:r>
              <w:rPr>
                <w:rtl/>
              </w:rPr>
              <w:t xml:space="preserve"> ».</w:t>
            </w:r>
          </w:p>
        </w:tc>
        <w:tc>
          <w:tcPr>
            <w:tcW w:w="4006" w:type="dxa"/>
          </w:tcPr>
          <w:p w:rsidR="00925A22" w:rsidRDefault="00925A22" w:rsidP="00E3253D">
            <w:pPr>
              <w:pStyle w:val="libFootnote0"/>
              <w:rPr>
                <w:rStyle w:val="libFootnote0Char"/>
                <w:rtl/>
              </w:rPr>
            </w:pPr>
            <w:r w:rsidRPr="0042621E">
              <w:rPr>
                <w:rStyle w:val="libFootnote0Char"/>
                <w:rtl/>
              </w:rPr>
              <w:t>(7).</w:t>
            </w:r>
            <w:r>
              <w:rPr>
                <w:rtl/>
              </w:rPr>
              <w:t xml:space="preserve"> في «ى» : «</w:t>
            </w:r>
            <w:r w:rsidRPr="005D642E">
              <w:rPr>
                <w:rtl/>
              </w:rPr>
              <w:t>فقال له</w:t>
            </w:r>
            <w:r>
              <w:rPr>
                <w:rtl/>
              </w:rPr>
              <w:t>».وفي البحار والزهد</w:t>
            </w:r>
            <w:r w:rsidRPr="005D642E">
              <w:rPr>
                <w:rtl/>
              </w:rPr>
              <w:t>:</w:t>
            </w:r>
            <w:r>
              <w:rPr>
                <w:rtl/>
              </w:rPr>
              <w:t>-«</w:t>
            </w:r>
            <w:r w:rsidRPr="005D642E">
              <w:rPr>
                <w:rtl/>
              </w:rPr>
              <w:t>له</w:t>
            </w:r>
            <w:r>
              <w:rPr>
                <w:rtl/>
              </w:rPr>
              <w:t>».</w:t>
            </w:r>
          </w:p>
        </w:tc>
      </w:tr>
    </w:tbl>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بث ، بح ، بخ ، جح ، جس » </w:t>
      </w:r>
      <w:r w:rsidR="000D749A" w:rsidRPr="00925A22">
        <w:rPr>
          <w:rtl/>
        </w:rPr>
        <w:t>والوافي</w:t>
      </w:r>
      <w:r w:rsidR="00E3253D" w:rsidRPr="005D642E">
        <w:rPr>
          <w:rtl/>
        </w:rPr>
        <w:t xml:space="preserve"> والبحار والزهد : « فيقول</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بخ ، جح » </w:t>
      </w:r>
      <w:r w:rsidR="000D749A" w:rsidRPr="00925A22">
        <w:rPr>
          <w:rtl/>
        </w:rPr>
        <w:t>والوافي</w:t>
      </w:r>
      <w:r w:rsidR="00E3253D" w:rsidRPr="005D642E">
        <w:rPr>
          <w:rtl/>
        </w:rPr>
        <w:t xml:space="preserve"> والبحار والزهد : « رسولاك</w:t>
      </w:r>
      <w:r w:rsidR="00E3253D">
        <w:rPr>
          <w:rtl/>
        </w:rPr>
        <w:t xml:space="preserve"> ».</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جح </w:t>
      </w:r>
      <w:r w:rsidR="00E3253D" w:rsidRPr="00925A22">
        <w:rPr>
          <w:rtl/>
        </w:rPr>
        <w:t xml:space="preserve">» </w:t>
      </w:r>
      <w:r w:rsidR="000D749A" w:rsidRPr="00925A22">
        <w:rPr>
          <w:rtl/>
        </w:rPr>
        <w:t>والوافي</w:t>
      </w:r>
      <w:r w:rsidR="00E3253D" w:rsidRPr="00925A22">
        <w:rPr>
          <w:rtl/>
        </w:rPr>
        <w:t xml:space="preserve"> والبحار</w:t>
      </w:r>
      <w:r w:rsidR="00E3253D" w:rsidRPr="005D642E">
        <w:rPr>
          <w:rtl/>
        </w:rPr>
        <w:t xml:space="preserve"> والزهد : « وأميناك</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25A22" w:rsidTr="00925A22">
        <w:tc>
          <w:tcPr>
            <w:tcW w:w="4006" w:type="dxa"/>
          </w:tcPr>
          <w:p w:rsidR="00925A22" w:rsidRDefault="00925A22" w:rsidP="00E3253D">
            <w:pPr>
              <w:pStyle w:val="libFootnote0"/>
              <w:rPr>
                <w:rStyle w:val="libFootnote0Char"/>
                <w:rtl/>
              </w:rPr>
            </w:pPr>
            <w:r w:rsidRPr="0042621E">
              <w:rPr>
                <w:rStyle w:val="libFootnote0Char"/>
                <w:rtl/>
              </w:rPr>
              <w:t>(11).</w:t>
            </w:r>
            <w:r w:rsidRPr="005D642E">
              <w:rPr>
                <w:rtl/>
              </w:rPr>
              <w:t xml:space="preserve"> في « بخ ، جس » :</w:t>
            </w:r>
            <w:r>
              <w:rPr>
                <w:rtl/>
              </w:rPr>
              <w:t xml:space="preserve"> - </w:t>
            </w:r>
            <w:r w:rsidRPr="005D642E">
              <w:rPr>
                <w:rtl/>
              </w:rPr>
              <w:t>« قد</w:t>
            </w:r>
            <w:r>
              <w:rPr>
                <w:rtl/>
              </w:rPr>
              <w:t xml:space="preserve"> ».</w:t>
            </w:r>
          </w:p>
        </w:tc>
        <w:tc>
          <w:tcPr>
            <w:tcW w:w="4006" w:type="dxa"/>
          </w:tcPr>
          <w:p w:rsidR="00925A22" w:rsidRDefault="00925A22" w:rsidP="00E3253D">
            <w:pPr>
              <w:pStyle w:val="libFootnote0"/>
              <w:rPr>
                <w:rStyle w:val="libFootnote0Char"/>
                <w:rtl/>
              </w:rPr>
            </w:pPr>
            <w:r w:rsidRPr="0042621E">
              <w:rPr>
                <w:rStyle w:val="libFootnote0Char"/>
                <w:rtl/>
              </w:rPr>
              <w:t>(12).</w:t>
            </w:r>
            <w:r w:rsidRPr="005D642E">
              <w:rPr>
                <w:rtl/>
              </w:rPr>
              <w:t xml:space="preserve"> في « جس » :</w:t>
            </w:r>
            <w:r>
              <w:rPr>
                <w:rtl/>
              </w:rPr>
              <w:t xml:space="preserve"> - </w:t>
            </w:r>
            <w:r w:rsidRPr="005D642E">
              <w:rPr>
                <w:rtl/>
              </w:rPr>
              <w:t>« على</w:t>
            </w:r>
            <w:r>
              <w:rPr>
                <w:rtl/>
              </w:rPr>
              <w:t xml:space="preserve"> ».</w:t>
            </w:r>
          </w:p>
        </w:tc>
      </w:tr>
    </w:tbl>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في الوافي : « فيه</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ثُمَّ يَجِي‌ءُ مَلَكُ الْمَوْتِ حَتّى يَقِفَ </w:t>
      </w:r>
      <w:r w:rsidRPr="007C12DB">
        <w:rPr>
          <w:rStyle w:val="libFootnotenumChar"/>
          <w:rtl/>
        </w:rPr>
        <w:t>(1)</w:t>
      </w:r>
      <w:r w:rsidRPr="005D642E">
        <w:rPr>
          <w:rtl/>
          <w:lang w:bidi="fa-IR"/>
        </w:rPr>
        <w:t xml:space="preserve"> بَيْنَ يَدَيِ اللهِ عَزَّ وَجَلَّ ، فَيُقَالُ </w:t>
      </w:r>
      <w:r w:rsidRPr="007C12DB">
        <w:rPr>
          <w:rStyle w:val="libFootnotenumChar"/>
          <w:rtl/>
        </w:rPr>
        <w:t>(2)</w:t>
      </w:r>
      <w:r w:rsidRPr="005D642E">
        <w:rPr>
          <w:rtl/>
          <w:lang w:bidi="fa-IR"/>
        </w:rPr>
        <w:t xml:space="preserve"> لَهُ : مَنْ بَقِيَ</w:t>
      </w:r>
      <w:r>
        <w:rPr>
          <w:rtl/>
          <w:lang w:bidi="fa-IR"/>
        </w:rPr>
        <w:t xml:space="preserve"> </w:t>
      </w:r>
      <w:r w:rsidR="007642BC">
        <w:rPr>
          <w:rtl/>
          <w:lang w:bidi="fa-IR"/>
        </w:rPr>
        <w:t>-</w:t>
      </w:r>
      <w:r>
        <w:rPr>
          <w:rtl/>
          <w:lang w:bidi="fa-IR"/>
        </w:rPr>
        <w:t xml:space="preserve"> </w:t>
      </w:r>
      <w:r w:rsidRPr="005D642E">
        <w:rPr>
          <w:rtl/>
          <w:lang w:bidi="fa-IR"/>
        </w:rPr>
        <w:t xml:space="preserve">وَهُوَ أَعْلَمُ </w:t>
      </w:r>
      <w:r w:rsidRPr="007C12DB">
        <w:rPr>
          <w:rStyle w:val="libFootnotenumChar"/>
          <w:rtl/>
        </w:rPr>
        <w:t>(3)</w:t>
      </w:r>
      <w:r>
        <w:rPr>
          <w:rtl/>
          <w:lang w:bidi="fa-IR"/>
        </w:rPr>
        <w:t xml:space="preserve"> </w:t>
      </w:r>
      <w:r w:rsidR="007642BC">
        <w:rPr>
          <w:rtl/>
          <w:lang w:bidi="fa-IR"/>
        </w:rPr>
        <w:t>-</w:t>
      </w:r>
      <w:r>
        <w:rPr>
          <w:rtl/>
          <w:lang w:bidi="fa-IR"/>
        </w:rPr>
        <w:t>؟</w:t>
      </w:r>
      <w:r w:rsidRPr="005D642E">
        <w:rPr>
          <w:rtl/>
          <w:lang w:bidi="fa-IR"/>
        </w:rPr>
        <w:t xml:space="preserve"> فَيَقُولُ : يَا </w:t>
      </w:r>
      <w:r w:rsidRPr="007C12DB">
        <w:rPr>
          <w:rStyle w:val="libFootnotenumChar"/>
          <w:rtl/>
        </w:rPr>
        <w:t>(4)</w:t>
      </w:r>
      <w:r w:rsidRPr="005D642E">
        <w:rPr>
          <w:rtl/>
          <w:lang w:bidi="fa-IR"/>
        </w:rPr>
        <w:t xml:space="preserve"> رَبِّ ، لَمْ يَبْقَ </w:t>
      </w:r>
      <w:r w:rsidRPr="007C12DB">
        <w:rPr>
          <w:rStyle w:val="libFootnotenumChar"/>
          <w:rtl/>
        </w:rPr>
        <w:t>(5)</w:t>
      </w:r>
      <w:r w:rsidR="00925A22">
        <w:rPr>
          <w:rtl/>
          <w:lang w:bidi="fa-IR"/>
        </w:rPr>
        <w:t xml:space="preserve"> إِل</w:t>
      </w:r>
      <w:r w:rsidR="00925A22">
        <w:rPr>
          <w:rFonts w:hint="cs"/>
          <w:rtl/>
          <w:lang w:bidi="fa-IR"/>
        </w:rPr>
        <w:t>َّ</w:t>
      </w:r>
      <w:r w:rsidR="00925A22">
        <w:rPr>
          <w:rtl/>
          <w:lang w:bidi="fa-IR"/>
        </w:rPr>
        <w:t>ا</w:t>
      </w:r>
      <w:r w:rsidRPr="005D642E">
        <w:rPr>
          <w:rtl/>
          <w:lang w:bidi="fa-IR"/>
        </w:rPr>
        <w:t xml:space="preserve"> مَلَكُ الْمَوْتِ ، وَحَمَلَةُ الْعَرْشِ ، فَيَقُولُ : قُلْ لِحَمَلَةِ الْعَرْشِ : فَلْيَمُوتُوا » قَالَ : « ثُمَّ يَجِي‌ءُ كَئِيباً </w:t>
      </w:r>
      <w:r w:rsidRPr="007C12DB">
        <w:rPr>
          <w:rStyle w:val="libFootnotenumChar"/>
          <w:rtl/>
        </w:rPr>
        <w:t>(6)</w:t>
      </w:r>
      <w:r w:rsidRPr="005D642E">
        <w:rPr>
          <w:rtl/>
          <w:lang w:bidi="fa-IR"/>
        </w:rPr>
        <w:t xml:space="preserve"> حَزِيناً لَايَرْفَعُ طَرْفَهُ </w:t>
      </w:r>
      <w:r w:rsidRPr="007C12DB">
        <w:rPr>
          <w:rStyle w:val="libFootnotenumChar"/>
          <w:rtl/>
        </w:rPr>
        <w:t>(7)</w:t>
      </w:r>
      <w:r w:rsidRPr="005D642E">
        <w:rPr>
          <w:rtl/>
          <w:lang w:bidi="fa-IR"/>
        </w:rPr>
        <w:t xml:space="preserve"> ، فَيُقَالُ </w:t>
      </w:r>
      <w:r w:rsidRPr="007C12DB">
        <w:rPr>
          <w:rStyle w:val="libFootnotenumChar"/>
          <w:rtl/>
        </w:rPr>
        <w:t>(8)</w:t>
      </w:r>
      <w:r w:rsidRPr="005D642E">
        <w:rPr>
          <w:rtl/>
          <w:lang w:bidi="fa-IR"/>
        </w:rPr>
        <w:t xml:space="preserve"> : مَنْ بَقِيَ </w:t>
      </w:r>
      <w:r w:rsidRPr="007C12DB">
        <w:rPr>
          <w:rStyle w:val="libFootnotenumChar"/>
          <w:rtl/>
        </w:rPr>
        <w:t>(9)</w:t>
      </w:r>
      <w:r>
        <w:rPr>
          <w:rtl/>
          <w:lang w:bidi="fa-IR"/>
        </w:rPr>
        <w:t>؟</w:t>
      </w:r>
      <w:r>
        <w:rPr>
          <w:rFonts w:hint="cs"/>
          <w:rtl/>
          <w:lang w:bidi="fa-IR"/>
        </w:rPr>
        <w:t xml:space="preserve"> </w:t>
      </w:r>
      <w:r w:rsidRPr="005D642E">
        <w:rPr>
          <w:rtl/>
          <w:lang w:bidi="fa-IR"/>
        </w:rPr>
        <w:t xml:space="preserve">فَيَقُولُ : يَا رَبِّ ، لَمْ يَبْقَ </w:t>
      </w:r>
      <w:r w:rsidRPr="007C12DB">
        <w:rPr>
          <w:rStyle w:val="libFootnotenumChar"/>
          <w:rtl/>
        </w:rPr>
        <w:t>(10)</w:t>
      </w:r>
      <w:r w:rsidR="00925A22">
        <w:rPr>
          <w:rtl/>
          <w:lang w:bidi="fa-IR"/>
        </w:rPr>
        <w:t xml:space="preserve"> إِل</w:t>
      </w:r>
      <w:r w:rsidR="00925A22">
        <w:rPr>
          <w:rFonts w:hint="cs"/>
          <w:rtl/>
          <w:lang w:bidi="fa-IR"/>
        </w:rPr>
        <w:t>َّ</w:t>
      </w:r>
      <w:r w:rsidR="00925A22">
        <w:rPr>
          <w:rtl/>
          <w:lang w:bidi="fa-IR"/>
        </w:rPr>
        <w:t>ا</w:t>
      </w:r>
      <w:r w:rsidRPr="005D642E">
        <w:rPr>
          <w:rtl/>
          <w:lang w:bidi="fa-IR"/>
        </w:rPr>
        <w:t xml:space="preserve"> مَلَكُ الْمَوْتِ ، فَيُقَالُ لَهُ : مُتْ يَا مَلَكَ الْمَوْتِ ، فَيَمُوتُ.</w:t>
      </w:r>
    </w:p>
    <w:p w:rsidR="00E3253D" w:rsidRPr="005D642E" w:rsidRDefault="00E3253D" w:rsidP="00925A22">
      <w:pPr>
        <w:pStyle w:val="libNormal"/>
        <w:rPr>
          <w:rtl/>
          <w:lang w:bidi="fa-IR"/>
        </w:rPr>
      </w:pPr>
      <w:r w:rsidRPr="005D642E">
        <w:rPr>
          <w:rtl/>
          <w:lang w:bidi="fa-IR"/>
        </w:rPr>
        <w:t xml:space="preserve">ثُمَّ يَأْخُذُ الْأَرْضَ </w:t>
      </w:r>
      <w:r w:rsidRPr="007C12DB">
        <w:rPr>
          <w:rStyle w:val="libFootnotenumChar"/>
          <w:rtl/>
        </w:rPr>
        <w:t>(11)</w:t>
      </w:r>
      <w:r w:rsidRPr="005D642E">
        <w:rPr>
          <w:rtl/>
          <w:lang w:bidi="fa-IR"/>
        </w:rPr>
        <w:t xml:space="preserve"> بِيَمِينِهِ </w:t>
      </w:r>
      <w:r w:rsidRPr="007C12DB">
        <w:rPr>
          <w:rStyle w:val="libFootnotenumChar"/>
          <w:rtl/>
        </w:rPr>
        <w:t>(12)</w:t>
      </w:r>
      <w:r w:rsidRPr="005D642E">
        <w:rPr>
          <w:rtl/>
          <w:lang w:bidi="fa-IR"/>
        </w:rPr>
        <w:t xml:space="preserve"> ، وَالسَّمَاوَاتِ بِيَمِينِهِ </w:t>
      </w:r>
      <w:r w:rsidRPr="007C12DB">
        <w:rPr>
          <w:rStyle w:val="libFootnotenumChar"/>
          <w:rtl/>
        </w:rPr>
        <w:t>(13)</w:t>
      </w:r>
      <w:r w:rsidRPr="005D642E">
        <w:rPr>
          <w:rtl/>
          <w:lang w:bidi="fa-IR"/>
        </w:rPr>
        <w:t xml:space="preserve"> ، وَيَقُولُ : أَيْنَ الَّذِينَ كَانُوا يَدْعُونَ مَعِي شَرِيكاً</w:t>
      </w:r>
      <w:r>
        <w:rPr>
          <w:rtl/>
          <w:lang w:bidi="fa-IR"/>
        </w:rPr>
        <w:t>؟</w:t>
      </w:r>
      <w:r w:rsidRPr="005D642E">
        <w:rPr>
          <w:rtl/>
          <w:lang w:bidi="fa-IR"/>
        </w:rPr>
        <w:t xml:space="preserve"> أَيْنَ الَّذِينَ كَانُوا يَجْعَلُونَ مَعِي إِلهاً آخَرَ</w:t>
      </w:r>
      <w:r>
        <w:rPr>
          <w:rtl/>
          <w:lang w:bidi="fa-IR"/>
        </w:rPr>
        <w:t>؟ ».</w:t>
      </w:r>
      <w:r w:rsidRPr="005D642E">
        <w:rPr>
          <w:rtl/>
          <w:lang w:bidi="fa-IR"/>
        </w:rPr>
        <w:t xml:space="preserve"> </w:t>
      </w:r>
      <w:r w:rsidRPr="007C12DB">
        <w:rPr>
          <w:rStyle w:val="libFootnotenumChar"/>
          <w:rtl/>
        </w:rPr>
        <w:t>(14)</w:t>
      </w:r>
    </w:p>
    <w:p w:rsidR="00E3253D" w:rsidRPr="005D642E" w:rsidRDefault="00E3253D" w:rsidP="00E3253D">
      <w:pPr>
        <w:pStyle w:val="libNormal"/>
        <w:rPr>
          <w:rtl/>
          <w:lang w:bidi="fa-IR"/>
        </w:rPr>
      </w:pPr>
      <w:r w:rsidRPr="006F7A5E">
        <w:rPr>
          <w:rtl/>
        </w:rPr>
        <w:t>4765</w:t>
      </w:r>
      <w:r w:rsidRPr="00246318">
        <w:rPr>
          <w:rStyle w:val="libBold2Char"/>
          <w:rtl/>
        </w:rPr>
        <w:t xml:space="preserve"> / 26.</w:t>
      </w:r>
      <w:r w:rsidRPr="005D642E">
        <w:rPr>
          <w:rtl/>
          <w:lang w:bidi="fa-IR"/>
        </w:rPr>
        <w:t xml:space="preserve"> عَلِيُّ بْنُ إِبْرَاهِيمَ ، عَنْ أَبِيهِ ، عَنْ عَمْرِو بْنِ عُثْمَانَ ، عَنْ مُفَضَّلِ بْنِ صَالِحٍ ، عَنْ جَابِرٍ :</w:t>
      </w:r>
    </w:p>
    <w:p w:rsidR="00E3253D" w:rsidRPr="005D642E" w:rsidRDefault="00E3253D" w:rsidP="00E3253D">
      <w:pPr>
        <w:pStyle w:val="libNormal"/>
        <w:rPr>
          <w:rtl/>
          <w:lang w:bidi="fa-IR"/>
        </w:rPr>
      </w:pPr>
      <w:r w:rsidRPr="005D642E">
        <w:rPr>
          <w:rtl/>
          <w:lang w:bidi="fa-IR"/>
        </w:rPr>
        <w:t xml:space="preserve">عَنْ أَبِي جَعْفَرٍ </w:t>
      </w:r>
      <w:r w:rsidRPr="007C12DB">
        <w:rPr>
          <w:rStyle w:val="libFootnotenumChar"/>
          <w:rtl/>
        </w:rPr>
        <w:t>(15)</w:t>
      </w:r>
      <w:r w:rsidRPr="005D642E">
        <w:rPr>
          <w:rtl/>
          <w:lang w:bidi="fa-IR"/>
        </w:rPr>
        <w:t xml:space="preserve">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أَخْبَرَنِي جَبْرَئِيلُ </w:t>
      </w:r>
      <w:r w:rsidRPr="00AC51C5">
        <w:rPr>
          <w:rStyle w:val="libAlaemChar"/>
          <w:rtl/>
        </w:rPr>
        <w:t>عليه‌السلام</w:t>
      </w:r>
      <w:r w:rsidRPr="005D642E">
        <w:rPr>
          <w:rtl/>
          <w:lang w:bidi="fa-IR"/>
        </w:rPr>
        <w:t xml:space="preserve"> أَنَّ مَلَكاً مِنْ مَلَائِكَةِ اللهِ </w:t>
      </w:r>
      <w:r w:rsidRPr="007C12DB">
        <w:rPr>
          <w:rStyle w:val="libFootnotenumChar"/>
          <w:rtl/>
        </w:rPr>
        <w:t>(16)</w:t>
      </w:r>
      <w:r w:rsidRPr="005D642E">
        <w:rPr>
          <w:rtl/>
          <w:lang w:bidi="fa-IR"/>
        </w:rPr>
        <w:t xml:space="preserve"> كَانَتْ لَهُ عِنْدَ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مَنْزِلَةٌ عَظِيمَةٌ ،</w:t>
      </w:r>
      <w:r w:rsidR="00925A22">
        <w:rPr>
          <w:rFonts w:hint="cs"/>
          <w:rtl/>
          <w:lang w:bidi="fa-IR"/>
        </w:rPr>
        <w:t>.....................</w:t>
      </w:r>
      <w:r w:rsidR="00925A22">
        <w:rPr>
          <w:rFonts w:hint="cs"/>
          <w:rtl/>
          <w:lang w:bidi="fa-IR"/>
        </w:rPr>
        <w:tab/>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25A22" w:rsidTr="00925A22">
        <w:tc>
          <w:tcPr>
            <w:tcW w:w="4006" w:type="dxa"/>
          </w:tcPr>
          <w:p w:rsidR="00925A22" w:rsidRDefault="00925A22" w:rsidP="00E3253D">
            <w:pPr>
              <w:pStyle w:val="libFootnote0"/>
              <w:rPr>
                <w:rStyle w:val="libFootnote0Char"/>
                <w:rtl/>
              </w:rPr>
            </w:pPr>
            <w:r w:rsidRPr="0042621E">
              <w:rPr>
                <w:rStyle w:val="libFootnote0Char"/>
                <w:rtl/>
              </w:rPr>
              <w:t>(1).</w:t>
            </w:r>
            <w:r>
              <w:rPr>
                <w:rtl/>
              </w:rPr>
              <w:t xml:space="preserve"> </w:t>
            </w:r>
            <w:r w:rsidRPr="005D642E">
              <w:rPr>
                <w:rtl/>
              </w:rPr>
              <w:t>في حاشية « بح » : « حتّى يقوم</w:t>
            </w:r>
            <w:r>
              <w:rPr>
                <w:rtl/>
              </w:rPr>
              <w:t xml:space="preserve"> ».</w:t>
            </w:r>
          </w:p>
        </w:tc>
        <w:tc>
          <w:tcPr>
            <w:tcW w:w="4006" w:type="dxa"/>
          </w:tcPr>
          <w:p w:rsidR="00925A22" w:rsidRDefault="00925A22" w:rsidP="00E3253D">
            <w:pPr>
              <w:pStyle w:val="libFootnote0"/>
              <w:rPr>
                <w:rStyle w:val="libFootnote0Char"/>
                <w:rtl/>
              </w:rPr>
            </w:pPr>
            <w:r w:rsidRPr="0042621E">
              <w:rPr>
                <w:rStyle w:val="libFootnote0Char"/>
                <w:rtl/>
              </w:rPr>
              <w:t>(2).</w:t>
            </w:r>
            <w:r w:rsidRPr="005D642E">
              <w:rPr>
                <w:rtl/>
              </w:rPr>
              <w:t xml:space="preserve"> في « بخ » </w:t>
            </w:r>
            <w:r w:rsidRPr="00435004">
              <w:rPr>
                <w:rtl/>
              </w:rPr>
              <w:t>والوافي</w:t>
            </w:r>
            <w:r w:rsidRPr="005D642E">
              <w:rPr>
                <w:rtl/>
              </w:rPr>
              <w:t xml:space="preserve"> : « فيقول</w:t>
            </w:r>
            <w:r>
              <w:rPr>
                <w:rtl/>
              </w:rPr>
              <w:t xml:space="preserve"> ».</w:t>
            </w:r>
          </w:p>
        </w:tc>
      </w:tr>
      <w:tr w:rsidR="00925A22" w:rsidTr="00925A22">
        <w:tc>
          <w:tcPr>
            <w:tcW w:w="4006" w:type="dxa"/>
          </w:tcPr>
          <w:p w:rsidR="00925A22" w:rsidRDefault="00925A22" w:rsidP="00E3253D">
            <w:pPr>
              <w:pStyle w:val="libFootnote0"/>
              <w:rPr>
                <w:rStyle w:val="libFootnote0Char"/>
                <w:rtl/>
              </w:rPr>
            </w:pPr>
            <w:r w:rsidRPr="0042621E">
              <w:rPr>
                <w:rStyle w:val="libFootnote0Char"/>
                <w:rtl/>
              </w:rPr>
              <w:t>(3).</w:t>
            </w:r>
            <w:r w:rsidRPr="005D642E">
              <w:rPr>
                <w:rtl/>
              </w:rPr>
              <w:t xml:space="preserve"> في « بخ »</w:t>
            </w:r>
            <w:r w:rsidRPr="00435004">
              <w:rPr>
                <w:rtl/>
              </w:rPr>
              <w:t xml:space="preserve"> والوافي</w:t>
            </w:r>
            <w:r w:rsidRPr="005D642E">
              <w:rPr>
                <w:rtl/>
              </w:rPr>
              <w:t xml:space="preserve"> : + « بذلك</w:t>
            </w:r>
            <w:r>
              <w:rPr>
                <w:rtl/>
              </w:rPr>
              <w:t xml:space="preserve"> ».</w:t>
            </w:r>
          </w:p>
        </w:tc>
        <w:tc>
          <w:tcPr>
            <w:tcW w:w="4006" w:type="dxa"/>
          </w:tcPr>
          <w:p w:rsidR="00925A22" w:rsidRDefault="00925A22" w:rsidP="00E3253D">
            <w:pPr>
              <w:pStyle w:val="libFootnote0"/>
              <w:rPr>
                <w:rStyle w:val="libFootnote0Char"/>
                <w:rtl/>
              </w:rPr>
            </w:pPr>
            <w:r w:rsidRPr="0042621E">
              <w:rPr>
                <w:rStyle w:val="libFootnote0Char"/>
                <w:rtl/>
              </w:rPr>
              <w:t>(4).</w:t>
            </w:r>
            <w:r w:rsidRPr="005D642E">
              <w:rPr>
                <w:rtl/>
              </w:rPr>
              <w:t xml:space="preserve"> في « جس » :</w:t>
            </w:r>
            <w:r>
              <w:rPr>
                <w:rtl/>
              </w:rPr>
              <w:t xml:space="preserve"> - </w:t>
            </w:r>
            <w:r w:rsidRPr="005D642E">
              <w:rPr>
                <w:rtl/>
              </w:rPr>
              <w:t>« يا</w:t>
            </w:r>
            <w:r>
              <w:rPr>
                <w:rtl/>
              </w:rPr>
              <w:t xml:space="preserve"> ».</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 : « ما بقي</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 « مكتئباً</w:t>
      </w:r>
      <w:r w:rsidR="00E3253D">
        <w:rPr>
          <w:rtl/>
        </w:rPr>
        <w:t xml:space="preserve"> ».</w:t>
      </w:r>
      <w:r w:rsidR="00E3253D" w:rsidRPr="005D642E">
        <w:rPr>
          <w:rtl/>
        </w:rPr>
        <w:t xml:space="preserve"> </w:t>
      </w:r>
      <w:r w:rsidR="00E3253D">
        <w:rPr>
          <w:rtl/>
        </w:rPr>
        <w:t>و «</w:t>
      </w:r>
      <w:r w:rsidR="00E3253D" w:rsidRPr="005D642E">
        <w:rPr>
          <w:rtl/>
        </w:rPr>
        <w:t xml:space="preserve"> الكئيب » : من الكَآبة والكأب ، وهو سوء الحال وتغيّر النفس بالانكسار من شدّة الحزن</w:t>
      </w:r>
      <w:r w:rsidR="00435004">
        <w:rPr>
          <w:rFonts w:hint="cs"/>
          <w:rtl/>
        </w:rPr>
        <w:t xml:space="preserve"> </w:t>
      </w:r>
      <w:r w:rsidR="00E3253D" w:rsidRPr="005D642E">
        <w:rPr>
          <w:rtl/>
        </w:rPr>
        <w:t xml:space="preserve">‌و الهمّ. راجع : </w:t>
      </w:r>
      <w:r w:rsidR="00E3253D" w:rsidRPr="002F4D34">
        <w:rPr>
          <w:rStyle w:val="libFootnoteBoldChar"/>
          <w:rtl/>
        </w:rPr>
        <w:t>النهاية</w:t>
      </w:r>
      <w:r w:rsidR="00E3253D" w:rsidRPr="005D642E">
        <w:rPr>
          <w:rtl/>
        </w:rPr>
        <w:t xml:space="preserve"> ، ج 4 ، ص 137 ؛ </w:t>
      </w:r>
      <w:r w:rsidR="00E3253D" w:rsidRPr="002F4D34">
        <w:rPr>
          <w:rStyle w:val="libFootnoteBoldChar"/>
          <w:rtl/>
        </w:rPr>
        <w:t>لسان العرب</w:t>
      </w:r>
      <w:r w:rsidR="00E3253D" w:rsidRPr="005D642E">
        <w:rPr>
          <w:rtl/>
        </w:rPr>
        <w:t xml:space="preserve"> ، ج 1 ، ص 694 ( كأب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الطَرْف » : جَفْن العين وغطاؤها. راجع : </w:t>
      </w:r>
      <w:r w:rsidR="00E3253D" w:rsidRPr="002F4D34">
        <w:rPr>
          <w:rStyle w:val="libFootnoteBoldChar"/>
          <w:rtl/>
        </w:rPr>
        <w:t>المفردات</w:t>
      </w:r>
      <w:r w:rsidR="00E3253D" w:rsidRPr="005D642E">
        <w:rPr>
          <w:rtl/>
        </w:rPr>
        <w:t xml:space="preserve"> للراغب ، ص 517 ( طرف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ي » وحاشيه « بث » : « فيقول</w:t>
      </w:r>
      <w:r w:rsidR="00E3253D">
        <w:rPr>
          <w:rtl/>
        </w:rPr>
        <w:t xml:space="preserve"> ».</w:t>
      </w:r>
      <w:r w:rsidR="00E3253D" w:rsidRPr="005D642E">
        <w:rPr>
          <w:rtl/>
        </w:rPr>
        <w:t xml:space="preserve"> وفي « بح » وحاشية « جح » والبحار والزهد : + « له</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435004" w:rsidTr="00435004">
        <w:tc>
          <w:tcPr>
            <w:tcW w:w="4006" w:type="dxa"/>
          </w:tcPr>
          <w:p w:rsidR="00435004" w:rsidRDefault="00435004" w:rsidP="00E3253D">
            <w:pPr>
              <w:pStyle w:val="libFootnote0"/>
              <w:rPr>
                <w:rStyle w:val="libFootnote0Char"/>
                <w:rtl/>
              </w:rPr>
            </w:pPr>
            <w:r w:rsidRPr="0042621E">
              <w:rPr>
                <w:rStyle w:val="libFootnote0Char"/>
                <w:rtl/>
              </w:rPr>
              <w:t>(9).</w:t>
            </w:r>
            <w:r w:rsidRPr="005D642E">
              <w:rPr>
                <w:rtl/>
              </w:rPr>
              <w:t xml:space="preserve"> في « بح ، جح » : + « وهو أعلم</w:t>
            </w:r>
            <w:r>
              <w:rPr>
                <w:rtl/>
              </w:rPr>
              <w:t xml:space="preserve"> ».</w:t>
            </w:r>
          </w:p>
        </w:tc>
        <w:tc>
          <w:tcPr>
            <w:tcW w:w="4006" w:type="dxa"/>
          </w:tcPr>
          <w:p w:rsidR="00435004" w:rsidRDefault="00435004" w:rsidP="00E3253D">
            <w:pPr>
              <w:pStyle w:val="libFootnote0"/>
              <w:rPr>
                <w:rStyle w:val="libFootnote0Char"/>
                <w:rtl/>
              </w:rPr>
            </w:pPr>
            <w:r w:rsidRPr="0042621E">
              <w:rPr>
                <w:rStyle w:val="libFootnote0Char"/>
                <w:rtl/>
              </w:rPr>
              <w:t>(10).</w:t>
            </w:r>
            <w:r w:rsidRPr="005D642E">
              <w:rPr>
                <w:rtl/>
              </w:rPr>
              <w:t xml:space="preserve"> في « جس » :</w:t>
            </w:r>
            <w:r>
              <w:rPr>
                <w:rtl/>
              </w:rPr>
              <w:t xml:space="preserve"> - </w:t>
            </w:r>
            <w:r w:rsidRPr="005D642E">
              <w:rPr>
                <w:rtl/>
              </w:rPr>
              <w:t>« لم يبق</w:t>
            </w:r>
            <w:r>
              <w:rPr>
                <w:rtl/>
              </w:rPr>
              <w:t xml:space="preserve"> ».</w:t>
            </w:r>
          </w:p>
        </w:tc>
      </w:tr>
    </w:tbl>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435004">
        <w:rPr>
          <w:rStyle w:val="libFootnoteAlaemChar"/>
          <w:rtl/>
        </w:rPr>
        <w:t>عليه‌السلام</w:t>
      </w:r>
      <w:r w:rsidR="00E3253D" w:rsidRPr="005D642E">
        <w:rPr>
          <w:rtl/>
        </w:rPr>
        <w:t xml:space="preserve"> : ثمّ يأخذ الأرض ، أقول : هو إشارة إلى قوله سبحانه : </w:t>
      </w:r>
      <w:r w:rsidR="00E3253D" w:rsidRPr="00435004">
        <w:rPr>
          <w:rStyle w:val="libFootnoteAlaemChar"/>
          <w:rtl/>
        </w:rPr>
        <w:t>(</w:t>
      </w:r>
      <w:r w:rsidR="00E3253D" w:rsidRPr="00EB702D">
        <w:rPr>
          <w:rStyle w:val="libFootnoteAieChar"/>
          <w:rtl/>
        </w:rPr>
        <w:t xml:space="preserve"> وَالْأَرْضُ جَمِيعاً قَبْضَتُهُ يَوْمَ الْقِيامَةِ وَالسَّماواتُ مَطْوِيّاتٌ بِيَمِينِهِ </w:t>
      </w:r>
      <w:r w:rsidR="00E3253D" w:rsidRPr="001F7EDD">
        <w:rPr>
          <w:rStyle w:val="libFootnoteAlaemChar"/>
          <w:rtl/>
        </w:rPr>
        <w:t>)</w:t>
      </w:r>
      <w:r w:rsidR="00E3253D" w:rsidRPr="005D642E">
        <w:rPr>
          <w:rtl/>
        </w:rPr>
        <w:t xml:space="preserve"> [ الزمر (39) : 67 ] ، قال الطبرسي قدّس الله روحه :</w:t>
      </w:r>
      <w:r w:rsidR="00E3253D">
        <w:rPr>
          <w:rtl/>
        </w:rPr>
        <w:t xml:space="preserve"> ..</w:t>
      </w:r>
      <w:r w:rsidR="00E3253D" w:rsidRPr="005D642E">
        <w:rPr>
          <w:rtl/>
        </w:rPr>
        <w:t>. هذا تفهيم لنا على عادة التخاطب بيننا</w:t>
      </w:r>
      <w:r w:rsidR="00E3253D">
        <w:rPr>
          <w:rtl/>
        </w:rPr>
        <w:t xml:space="preserve"> ».</w:t>
      </w:r>
      <w:r w:rsidR="00E3253D" w:rsidRPr="005D642E">
        <w:rPr>
          <w:rtl/>
        </w:rPr>
        <w:t xml:space="preserve"> وراجع : </w:t>
      </w:r>
      <w:r w:rsidR="00E3253D" w:rsidRPr="002F4D34">
        <w:rPr>
          <w:rStyle w:val="libFootnoteBoldChar"/>
          <w:rtl/>
        </w:rPr>
        <w:t>مجمع البيان</w:t>
      </w:r>
      <w:r w:rsidR="00E3253D" w:rsidRPr="005D642E">
        <w:rPr>
          <w:rtl/>
        </w:rPr>
        <w:t xml:space="preserve"> ، ج 8 ، ص 415</w:t>
      </w:r>
      <w:r w:rsidR="00E3253D">
        <w:rPr>
          <w:rtl/>
        </w:rPr>
        <w:t xml:space="preserve"> </w:t>
      </w:r>
      <w:r w:rsidR="007642BC">
        <w:rPr>
          <w:rtl/>
        </w:rPr>
        <w:t>-</w:t>
      </w:r>
      <w:r w:rsidR="00E3253D">
        <w:rPr>
          <w:rtl/>
        </w:rPr>
        <w:t xml:space="preserve"> </w:t>
      </w:r>
      <w:r w:rsidR="00E3253D" w:rsidRPr="005D642E">
        <w:rPr>
          <w:rtl/>
        </w:rPr>
        <w:t>416 ، ذيل الآية المذكورة.</w:t>
      </w:r>
    </w:p>
    <w:tbl>
      <w:tblPr>
        <w:tblStyle w:val="TableGrid"/>
        <w:bidiVisual/>
        <w:tblW w:w="0" w:type="auto"/>
        <w:tblLook w:val="04A0" w:firstRow="1" w:lastRow="0" w:firstColumn="1" w:lastColumn="0" w:noHBand="0" w:noVBand="1"/>
      </w:tblPr>
      <w:tblGrid>
        <w:gridCol w:w="4006"/>
        <w:gridCol w:w="4006"/>
      </w:tblGrid>
      <w:tr w:rsidR="00435004" w:rsidTr="00435004">
        <w:tc>
          <w:tcPr>
            <w:tcW w:w="4006" w:type="dxa"/>
          </w:tcPr>
          <w:p w:rsidR="00435004" w:rsidRDefault="00435004" w:rsidP="00E3253D">
            <w:pPr>
              <w:pStyle w:val="libFootnote0"/>
              <w:rPr>
                <w:rStyle w:val="libFootnote0Char"/>
                <w:rtl/>
              </w:rPr>
            </w:pPr>
            <w:r w:rsidRPr="0042621E">
              <w:rPr>
                <w:rStyle w:val="libFootnote0Char"/>
                <w:rtl/>
              </w:rPr>
              <w:t>(12).</w:t>
            </w:r>
            <w:r w:rsidRPr="005D642E">
              <w:rPr>
                <w:rtl/>
              </w:rPr>
              <w:t xml:space="preserve"> في الزهد : « بشماله</w:t>
            </w:r>
            <w:r>
              <w:rPr>
                <w:rtl/>
              </w:rPr>
              <w:t xml:space="preserve"> ».</w:t>
            </w:r>
          </w:p>
        </w:tc>
        <w:tc>
          <w:tcPr>
            <w:tcW w:w="4006" w:type="dxa"/>
          </w:tcPr>
          <w:p w:rsidR="00435004" w:rsidRDefault="00435004" w:rsidP="00E3253D">
            <w:pPr>
              <w:pStyle w:val="libFootnote0"/>
              <w:rPr>
                <w:rStyle w:val="libFootnote0Char"/>
                <w:rtl/>
              </w:rPr>
            </w:pPr>
            <w:r w:rsidRPr="0042621E">
              <w:rPr>
                <w:rStyle w:val="libFootnote0Char"/>
                <w:rtl/>
              </w:rPr>
              <w:t>(13).</w:t>
            </w:r>
            <w:r w:rsidRPr="005D642E">
              <w:rPr>
                <w:rtl/>
              </w:rPr>
              <w:t xml:space="preserve"> في الزهد : + « فيهزّهنّ هزّاً مرّات</w:t>
            </w:r>
            <w:r>
              <w:rPr>
                <w:rtl/>
              </w:rPr>
              <w:t xml:space="preserve"> ».</w:t>
            </w:r>
          </w:p>
        </w:tc>
      </w:tr>
    </w:tbl>
    <w:p w:rsidR="00E3253D" w:rsidRPr="005D642E" w:rsidRDefault="0042621E" w:rsidP="00E3253D">
      <w:pPr>
        <w:pStyle w:val="libFootnote0"/>
        <w:rPr>
          <w:rtl/>
          <w:lang w:bidi="fa-IR"/>
        </w:rPr>
      </w:pPr>
      <w:r w:rsidRPr="0042621E">
        <w:rPr>
          <w:rStyle w:val="libFootnote0Char"/>
          <w:rtl/>
        </w:rPr>
        <w:t>(14).</w:t>
      </w:r>
      <w:r w:rsidR="00E3253D" w:rsidRPr="005D642E">
        <w:rPr>
          <w:rtl/>
        </w:rPr>
        <w:t xml:space="preserve"> </w:t>
      </w:r>
      <w:r w:rsidR="00E3253D" w:rsidRPr="002F4D34">
        <w:rPr>
          <w:rStyle w:val="libFootnoteBoldChar"/>
          <w:rtl/>
        </w:rPr>
        <w:t>الزهد</w:t>
      </w:r>
      <w:r w:rsidR="00E3253D" w:rsidRPr="005D642E">
        <w:rPr>
          <w:rtl/>
        </w:rPr>
        <w:t xml:space="preserve"> ، ص 151 ، باب ذكر الموت والقبر ، ح 220 ، عن فضالة ، عن أبي المغراء ، مع اختلاف يسير </w:t>
      </w:r>
      <w:r w:rsidR="00435004">
        <w:rPr>
          <w:rFonts w:hint="cs"/>
          <w:rtl/>
        </w:rPr>
        <w:t>.</w:t>
      </w:r>
      <w:r w:rsidR="00E3253D" w:rsidRPr="002F4D34">
        <w:rPr>
          <w:rStyle w:val="libFootnoteBoldChar"/>
          <w:rtl/>
        </w:rPr>
        <w:t>الوافي</w:t>
      </w:r>
      <w:r w:rsidR="00E3253D" w:rsidRPr="005D642E">
        <w:rPr>
          <w:rtl/>
        </w:rPr>
        <w:t xml:space="preserve"> ، ج 24 ، ص 192 ، ح 23882 ؛ </w:t>
      </w:r>
      <w:r w:rsidR="00E3253D" w:rsidRPr="002F4D34">
        <w:rPr>
          <w:rStyle w:val="libFootnoteBoldChar"/>
          <w:rtl/>
        </w:rPr>
        <w:t>البحار</w:t>
      </w:r>
      <w:r w:rsidR="00E3253D" w:rsidRPr="005D642E">
        <w:rPr>
          <w:rtl/>
        </w:rPr>
        <w:t xml:space="preserve"> ، ج 6 ، ص 329 ، ح 14.</w:t>
      </w:r>
    </w:p>
    <w:tbl>
      <w:tblPr>
        <w:tblStyle w:val="TableGrid"/>
        <w:bidiVisual/>
        <w:tblW w:w="0" w:type="auto"/>
        <w:tblLook w:val="04A0" w:firstRow="1" w:lastRow="0" w:firstColumn="1" w:lastColumn="0" w:noHBand="0" w:noVBand="1"/>
      </w:tblPr>
      <w:tblGrid>
        <w:gridCol w:w="4006"/>
        <w:gridCol w:w="4006"/>
      </w:tblGrid>
      <w:tr w:rsidR="00435004" w:rsidTr="00435004">
        <w:tc>
          <w:tcPr>
            <w:tcW w:w="4006" w:type="dxa"/>
          </w:tcPr>
          <w:p w:rsidR="00435004" w:rsidRDefault="00435004" w:rsidP="00E3253D">
            <w:pPr>
              <w:pStyle w:val="libFootnote0"/>
              <w:rPr>
                <w:rStyle w:val="libFootnote0Char"/>
                <w:rtl/>
              </w:rPr>
            </w:pPr>
            <w:r w:rsidRPr="0042621E">
              <w:rPr>
                <w:rStyle w:val="libFootnote0Char"/>
                <w:rtl/>
              </w:rPr>
              <w:t>(15).</w:t>
            </w:r>
            <w:r>
              <w:rPr>
                <w:rtl/>
              </w:rPr>
              <w:t xml:space="preserve"> </w:t>
            </w:r>
            <w:r w:rsidRPr="005D642E">
              <w:rPr>
                <w:rtl/>
              </w:rPr>
              <w:t>في « جس » : « أبي عبدالله</w:t>
            </w:r>
            <w:r>
              <w:rPr>
                <w:rtl/>
              </w:rPr>
              <w:t xml:space="preserve"> ».</w:t>
            </w:r>
          </w:p>
        </w:tc>
        <w:tc>
          <w:tcPr>
            <w:tcW w:w="4006" w:type="dxa"/>
          </w:tcPr>
          <w:p w:rsidR="00435004" w:rsidRDefault="00435004" w:rsidP="00E3253D">
            <w:pPr>
              <w:pStyle w:val="libFootnote0"/>
              <w:rPr>
                <w:rStyle w:val="libFootnote0Char"/>
                <w:rtl/>
              </w:rPr>
            </w:pPr>
            <w:r w:rsidRPr="005D642E">
              <w:rPr>
                <w:rtl/>
              </w:rPr>
              <w:t>(1</w:t>
            </w:r>
            <w:r>
              <w:rPr>
                <w:rtl/>
              </w:rPr>
              <w:t>6)</w:t>
            </w:r>
            <w:r w:rsidRPr="005D642E">
              <w:rPr>
                <w:rtl/>
              </w:rPr>
              <w:t xml:space="preserve"> في « بخ » </w:t>
            </w:r>
            <w:r w:rsidRPr="00435004">
              <w:rPr>
                <w:rtl/>
              </w:rPr>
              <w:t xml:space="preserve">والوافي </w:t>
            </w:r>
            <w:r w:rsidRPr="005D642E">
              <w:rPr>
                <w:rtl/>
              </w:rPr>
              <w:t>: « من الملائكة</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فَتُعُتِّبَ </w:t>
      </w:r>
      <w:r w:rsidRPr="007C12DB">
        <w:rPr>
          <w:rStyle w:val="libFootnotenumChar"/>
          <w:rtl/>
        </w:rPr>
        <w:t>(1)</w:t>
      </w:r>
      <w:r w:rsidRPr="005D642E">
        <w:rPr>
          <w:rtl/>
          <w:lang w:bidi="fa-IR"/>
        </w:rPr>
        <w:t xml:space="preserve"> عَلَيْهِ </w:t>
      </w:r>
      <w:r w:rsidRPr="007C12DB">
        <w:rPr>
          <w:rStyle w:val="libFootnotenumChar"/>
          <w:rtl/>
        </w:rPr>
        <w:t>(2)</w:t>
      </w:r>
      <w:r w:rsidRPr="005D642E">
        <w:rPr>
          <w:rtl/>
          <w:lang w:bidi="fa-IR"/>
        </w:rPr>
        <w:t xml:space="preserve"> ، فَأَهْبَطَهُ </w:t>
      </w:r>
      <w:r w:rsidRPr="007C12DB">
        <w:rPr>
          <w:rStyle w:val="libFootnotenumChar"/>
          <w:rtl/>
        </w:rPr>
        <w:t>(3)</w:t>
      </w:r>
      <w:r w:rsidRPr="005D642E">
        <w:rPr>
          <w:rtl/>
          <w:lang w:bidi="fa-IR"/>
        </w:rPr>
        <w:t xml:space="preserve"> مِنَ السَّمَاءِ إِلَى الْأَرْضِ ، فَأَتى إِدْرِيسَ </w:t>
      </w:r>
      <w:r w:rsidRPr="00AC51C5">
        <w:rPr>
          <w:rStyle w:val="libAlaemChar"/>
          <w:rtl/>
        </w:rPr>
        <w:t>عليه‌السلام</w:t>
      </w:r>
      <w:r w:rsidRPr="005D642E">
        <w:rPr>
          <w:rtl/>
          <w:lang w:bidi="fa-IR"/>
        </w:rPr>
        <w:t xml:space="preserve"> ، فَقَالَ : إِنَّ لَكَ مِنَ اللهِ مَنْزِلَةً ، فَاشْفَعْ لِي عِنْدَ رَبِّكَ ، فَصَلّى ثَلَاثَ لَيَالٍ </w:t>
      </w:r>
      <w:r w:rsidRPr="007C12DB">
        <w:rPr>
          <w:rStyle w:val="libFootnotenumChar"/>
          <w:rtl/>
        </w:rPr>
        <w:t>(4)</w:t>
      </w:r>
      <w:r w:rsidRPr="005D642E">
        <w:rPr>
          <w:rtl/>
          <w:lang w:bidi="fa-IR"/>
        </w:rPr>
        <w:t xml:space="preserve"> لَايَفْتُرُ </w:t>
      </w:r>
      <w:r w:rsidRPr="007C12DB">
        <w:rPr>
          <w:rStyle w:val="libFootnotenumChar"/>
          <w:rtl/>
        </w:rPr>
        <w:t>(5)</w:t>
      </w:r>
      <w:r w:rsidRPr="005D642E">
        <w:rPr>
          <w:rtl/>
          <w:lang w:bidi="fa-IR"/>
        </w:rPr>
        <w:t xml:space="preserve"> ، وَصَامَ أَيَّامَهَا لَايُفْطِرُ ، ثُمَّ طَلَبَ إِلَى اللهِ تَعَالى فِي السَّحَرِ فِي الْمَلَكِ ، فَقَالَ الْمَلَكُ : إِنَّكَ قَدْ </w:t>
      </w:r>
      <w:r w:rsidRPr="007C12DB">
        <w:rPr>
          <w:rStyle w:val="libFootnotenumChar"/>
          <w:rtl/>
        </w:rPr>
        <w:t>(6)</w:t>
      </w:r>
      <w:r w:rsidRPr="005D642E">
        <w:rPr>
          <w:rtl/>
          <w:lang w:bidi="fa-IR"/>
        </w:rPr>
        <w:t xml:space="preserve"> أُعْطِيتَ سُؤْلَكَ </w:t>
      </w:r>
      <w:r w:rsidRPr="007C12DB">
        <w:rPr>
          <w:rStyle w:val="libFootnotenumChar"/>
          <w:rtl/>
        </w:rPr>
        <w:t>(7)</w:t>
      </w:r>
      <w:r w:rsidRPr="005D642E">
        <w:rPr>
          <w:rtl/>
          <w:lang w:bidi="fa-IR"/>
        </w:rPr>
        <w:t xml:space="preserve"> ، وَقَدْ أُطْلِقَ لِي جَنَاحِي وَأَنَا أُحِبُّ أَنْ أُكَافِيَكَ ، فَاطْلُبْ إِلَيَّ حَاجَةً ، فَقَالَ </w:t>
      </w:r>
      <w:r w:rsidRPr="007C12DB">
        <w:rPr>
          <w:rStyle w:val="libFootnotenumChar"/>
          <w:rtl/>
        </w:rPr>
        <w:t>(8)</w:t>
      </w:r>
      <w:r w:rsidRPr="005D642E">
        <w:rPr>
          <w:rtl/>
          <w:lang w:bidi="fa-IR"/>
        </w:rPr>
        <w:t xml:space="preserve"> : تُرِينِي مَلَكَ الْمَوْتِ لَعَلِّي آنَسُ بِهِ ؛ فَإِنَّهُ لَيْسَ يَهْنِئُنِي مَعَ ذِكْرِهِ شَيْ‌ءٌ ، فَبَسَطَ جَنَاحَهُ ، ثُمَّ قَالَ </w:t>
      </w:r>
      <w:r w:rsidRPr="007C12DB">
        <w:rPr>
          <w:rStyle w:val="libFootnotenumChar"/>
          <w:rtl/>
        </w:rPr>
        <w:t>(9)</w:t>
      </w:r>
      <w:r w:rsidRPr="005D642E">
        <w:rPr>
          <w:rtl/>
          <w:lang w:bidi="fa-IR"/>
        </w:rPr>
        <w:t xml:space="preserve"> : ارْكَبْ ، فَصَعِدَ بِهِ يَطْلُبُ </w:t>
      </w:r>
      <w:r w:rsidRPr="007C12DB">
        <w:rPr>
          <w:rStyle w:val="libFootnotenumChar"/>
          <w:rtl/>
        </w:rPr>
        <w:t>(10)</w:t>
      </w:r>
      <w:r w:rsidRPr="005D642E">
        <w:rPr>
          <w:rtl/>
          <w:lang w:bidi="fa-IR"/>
        </w:rPr>
        <w:t xml:space="preserve"> مَلَكَ الْمَوْتِ فِي السَّمَاءِ الدُّنْيَا ، فَقِيلَ لَهُ : اصْعَدْ ، فَاسْتَقْبَلَهُ </w:t>
      </w:r>
      <w:r w:rsidRPr="007C12DB">
        <w:rPr>
          <w:rStyle w:val="libFootnotenumChar"/>
          <w:rtl/>
        </w:rPr>
        <w:t>(11)</w:t>
      </w:r>
      <w:r w:rsidRPr="005D642E">
        <w:rPr>
          <w:rtl/>
          <w:lang w:bidi="fa-IR"/>
        </w:rPr>
        <w:t xml:space="preserve"> بَيْنَ السَّمَاءِ الرَّابِعَةِ وَالْخَامِسَةِ ، فَقَالَ الْمَلَكُ : يَا مَلَكَ الْمَوْتِ ، مَا لِي أَرَاكَ قَاطِباً </w:t>
      </w:r>
      <w:r w:rsidRPr="007C12DB">
        <w:rPr>
          <w:rStyle w:val="libFootnotenumChar"/>
          <w:rtl/>
        </w:rPr>
        <w:t>(12)</w:t>
      </w:r>
      <w:r>
        <w:rPr>
          <w:rtl/>
          <w:lang w:bidi="fa-IR"/>
        </w:rPr>
        <w:t>؟</w:t>
      </w:r>
      <w:r w:rsidRPr="005D642E">
        <w:rPr>
          <w:rtl/>
          <w:lang w:bidi="fa-IR"/>
        </w:rPr>
        <w:t xml:space="preserve"> قَالَ : الْعَجَبُ ؛ إِنِّي تَحْتَ ظِلِّ الْعَرْشِ حَيْثُ أُمِرْتُ أَنْ أَقْبِضَ رُوحَ آدَمِيٍّ بَيْنَ السَّمَاءِ الرَّابِعَةِ وَالْخَامِسَةِ ، فَسَمِعَ إِدْرِيسُ </w:t>
      </w:r>
      <w:r w:rsidRPr="00AC51C5">
        <w:rPr>
          <w:rStyle w:val="libAlaemChar"/>
          <w:rtl/>
        </w:rPr>
        <w:t>عليه‌السلام</w:t>
      </w:r>
      <w:r w:rsidRPr="005D642E">
        <w:rPr>
          <w:rtl/>
          <w:lang w:bidi="fa-IR"/>
        </w:rPr>
        <w:t xml:space="preserve"> ، فَامْتَعَضَ </w:t>
      </w:r>
      <w:r w:rsidRPr="007C12DB">
        <w:rPr>
          <w:rStyle w:val="libFootnotenumChar"/>
          <w:rtl/>
        </w:rPr>
        <w:t>(13)</w:t>
      </w:r>
      <w:r w:rsidRPr="005D642E">
        <w:rPr>
          <w:rtl/>
          <w:lang w:bidi="fa-IR"/>
        </w:rPr>
        <w:t xml:space="preserve"> ، فَخَرَّ </w:t>
      </w:r>
      <w:r w:rsidRPr="007C12DB">
        <w:rPr>
          <w:rStyle w:val="libFootnotenumChar"/>
          <w:rtl/>
        </w:rPr>
        <w:t>(14)</w:t>
      </w:r>
      <w:r w:rsidRPr="005D642E">
        <w:rPr>
          <w:rtl/>
          <w:lang w:bidi="fa-IR"/>
        </w:rPr>
        <w:t xml:space="preserve"> مِنْ </w:t>
      </w:r>
      <w:r w:rsidRPr="007C12DB">
        <w:rPr>
          <w:rStyle w:val="libFootnotenumChar"/>
          <w:rtl/>
        </w:rPr>
        <w:t>(15)</w:t>
      </w:r>
      <w:r w:rsidRPr="005D642E">
        <w:rPr>
          <w:rtl/>
          <w:lang w:bidi="fa-IR"/>
        </w:rPr>
        <w:t xml:space="preserve"> جَنَاحِ الْمَلَكِ ، فَقُبِضَ رُوحُهُ مَكَانَهُ ، وَقَالَ اللهُ عَزَّوَجَلَّ : </w:t>
      </w:r>
      <w:r w:rsidRPr="00AC51C5">
        <w:rPr>
          <w:rStyle w:val="libAlaemChar"/>
          <w:rtl/>
        </w:rPr>
        <w:t>(</w:t>
      </w:r>
      <w:r w:rsidRPr="00AC51C5">
        <w:rPr>
          <w:rStyle w:val="libAieChar"/>
          <w:rtl/>
        </w:rPr>
        <w:t xml:space="preserve"> وَرَفَعْناهُ مَكاناً عَلِيًّا </w:t>
      </w:r>
      <w:r w:rsidRPr="00AC51C5">
        <w:rPr>
          <w:rStyle w:val="libAlaemChar"/>
          <w:rtl/>
        </w:rPr>
        <w:t>)</w:t>
      </w:r>
      <w:r w:rsidRPr="005D642E">
        <w:rPr>
          <w:rtl/>
          <w:lang w:bidi="fa-IR"/>
        </w:rPr>
        <w:t xml:space="preserve"> </w:t>
      </w:r>
      <w:r w:rsidRPr="007C12DB">
        <w:rPr>
          <w:rStyle w:val="libFootnotenumChar"/>
          <w:rtl/>
        </w:rPr>
        <w:t>(16)</w:t>
      </w:r>
      <w:r>
        <w:rPr>
          <w:rtl/>
          <w:lang w:bidi="fa-IR"/>
        </w:rPr>
        <w:t xml:space="preserve"> ».</w:t>
      </w:r>
      <w:r w:rsidRPr="005D642E">
        <w:rPr>
          <w:rtl/>
          <w:lang w:bidi="fa-IR"/>
        </w:rPr>
        <w:t xml:space="preserve"> </w:t>
      </w:r>
      <w:r w:rsidRPr="007C12DB">
        <w:rPr>
          <w:rStyle w:val="libFootnotenumChar"/>
          <w:rtl/>
        </w:rPr>
        <w:t>(17)</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الوافي : « فعتب</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 تُعُتِّبَ عليه » أي غُضِبَ عليه ، مثل عُيّب عليه ، من العَتْب ، وهو اللوم في تسخّط. راجع : </w:t>
      </w:r>
      <w:r w:rsidR="00E3253D" w:rsidRPr="002F4D34">
        <w:rPr>
          <w:rStyle w:val="libFootnoteBoldChar"/>
          <w:rtl/>
        </w:rPr>
        <w:t>الصحاح</w:t>
      </w:r>
      <w:r w:rsidR="00E3253D" w:rsidRPr="005D642E">
        <w:rPr>
          <w:rtl/>
        </w:rPr>
        <w:t xml:space="preserve"> ، ج 1 ، ص 175</w:t>
      </w:r>
      <w:r w:rsidR="00E3253D">
        <w:rPr>
          <w:rtl/>
        </w:rPr>
        <w:t xml:space="preserve"> </w:t>
      </w:r>
      <w:r w:rsidR="007642BC">
        <w:rPr>
          <w:rtl/>
        </w:rPr>
        <w:t>-</w:t>
      </w:r>
      <w:r w:rsidR="00E3253D">
        <w:rPr>
          <w:rtl/>
        </w:rPr>
        <w:t xml:space="preserve"> </w:t>
      </w:r>
      <w:r w:rsidR="00E3253D" w:rsidRPr="005D642E">
        <w:rPr>
          <w:rtl/>
        </w:rPr>
        <w:t xml:space="preserve">176 ؛ </w:t>
      </w:r>
      <w:r w:rsidR="00E3253D" w:rsidRPr="002F4D34">
        <w:rPr>
          <w:rStyle w:val="libFootnoteBoldChar"/>
          <w:rtl/>
        </w:rPr>
        <w:t>المصباح المنير</w:t>
      </w:r>
      <w:r w:rsidR="00E3253D" w:rsidRPr="005D642E">
        <w:rPr>
          <w:rtl/>
        </w:rPr>
        <w:t xml:space="preserve"> ، ص 391 ( عتب )</w:t>
      </w:r>
      <w:r w:rsidR="00E3253D">
        <w:rPr>
          <w:rtl/>
        </w:rPr>
        <w:t>.</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هكذا في معظم النسخ التي قوبلت </w:t>
      </w:r>
      <w:r w:rsidR="000D749A" w:rsidRPr="00435004">
        <w:rPr>
          <w:rtl/>
        </w:rPr>
        <w:t>والوافي</w:t>
      </w:r>
      <w:r w:rsidR="00E3253D" w:rsidRPr="005D642E">
        <w:rPr>
          <w:rtl/>
        </w:rPr>
        <w:t>. وفي « ى » والمطبوع : « فاهبط</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جح » : « أيّام</w:t>
      </w:r>
      <w:r w:rsidR="00E3253D">
        <w:rPr>
          <w:rtl/>
        </w:rPr>
        <w:t xml:space="preserve"> ».</w:t>
      </w:r>
    </w:p>
    <w:p w:rsidR="00E3253D" w:rsidRPr="005D642E" w:rsidRDefault="0042621E" w:rsidP="00435004">
      <w:pPr>
        <w:pStyle w:val="libFootnote0"/>
        <w:rPr>
          <w:rtl/>
          <w:lang w:bidi="fa-IR"/>
        </w:rPr>
      </w:pPr>
      <w:r w:rsidRPr="0042621E">
        <w:rPr>
          <w:rStyle w:val="libFootnote0Char"/>
          <w:rtl/>
        </w:rPr>
        <w:t>(5).</w:t>
      </w:r>
      <w:r w:rsidR="00E3253D" w:rsidRPr="005D642E">
        <w:rPr>
          <w:rtl/>
        </w:rPr>
        <w:t xml:space="preserve"> « لا يَفْتُرُ » ، أي لايضعف ؛ من الفُتُور بمعنى الضعف والانكسار. راجع : </w:t>
      </w:r>
      <w:r w:rsidR="00E3253D" w:rsidRPr="002F4D34">
        <w:rPr>
          <w:rStyle w:val="libFootnoteBoldChar"/>
          <w:rtl/>
        </w:rPr>
        <w:t>الصحاح</w:t>
      </w:r>
      <w:r w:rsidR="00E3253D" w:rsidRPr="005D642E">
        <w:rPr>
          <w:rtl/>
        </w:rPr>
        <w:t xml:space="preserve"> ، ج 2 ، ص 777 ؛ </w:t>
      </w:r>
      <w:r w:rsidR="00E3253D" w:rsidRPr="002F4D34">
        <w:rPr>
          <w:rStyle w:val="libFootnoteBoldChar"/>
          <w:rtl/>
        </w:rPr>
        <w:t>النهاية</w:t>
      </w:r>
      <w:r w:rsidR="00E3253D" w:rsidRPr="005D642E">
        <w:rPr>
          <w:rtl/>
        </w:rPr>
        <w:t xml:space="preserve"> ، ج 3 ، ص 408 ( فتر )</w:t>
      </w:r>
      <w:r w:rsidR="00E3253D">
        <w:rPr>
          <w:rtl/>
        </w:rPr>
        <w:t>.</w:t>
      </w:r>
      <w:r w:rsidR="00435004">
        <w:rPr>
          <w:rFonts w:hint="cs"/>
          <w:rtl/>
        </w:rPr>
        <w:t xml:space="preserve">                        </w:t>
      </w:r>
      <w:r w:rsidRPr="0042621E">
        <w:rPr>
          <w:rStyle w:val="libFootnote0Char"/>
          <w:rtl/>
        </w:rPr>
        <w:t>(6).</w:t>
      </w:r>
      <w:r w:rsidR="00E3253D" w:rsidRPr="005D642E">
        <w:rPr>
          <w:rtl/>
        </w:rPr>
        <w:t xml:space="preserve"> في « بح » : « لقد</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 السُؤْل » ما يسأله الإنسان. راجع : </w:t>
      </w:r>
      <w:r w:rsidR="00E3253D" w:rsidRPr="002F4D34">
        <w:rPr>
          <w:rStyle w:val="libFootnoteBoldChar"/>
          <w:rtl/>
        </w:rPr>
        <w:t>الصحاح</w:t>
      </w:r>
      <w:r w:rsidR="00E3253D" w:rsidRPr="005D642E">
        <w:rPr>
          <w:rtl/>
        </w:rPr>
        <w:t xml:space="preserve"> ، ج 5 ، ص 1723 ( سأل )</w:t>
      </w:r>
      <w:r w:rsidR="00E3253D">
        <w:rPr>
          <w:rtl/>
        </w:rPr>
        <w:t>.</w:t>
      </w:r>
    </w:p>
    <w:tbl>
      <w:tblPr>
        <w:tblStyle w:val="TableGrid"/>
        <w:bidiVisual/>
        <w:tblW w:w="0" w:type="auto"/>
        <w:tblLook w:val="04A0" w:firstRow="1" w:lastRow="0" w:firstColumn="1" w:lastColumn="0" w:noHBand="0" w:noVBand="1"/>
      </w:tblPr>
      <w:tblGrid>
        <w:gridCol w:w="4006"/>
        <w:gridCol w:w="4006"/>
      </w:tblGrid>
      <w:tr w:rsidR="00435004" w:rsidTr="00435004">
        <w:tc>
          <w:tcPr>
            <w:tcW w:w="4006" w:type="dxa"/>
          </w:tcPr>
          <w:p w:rsidR="00435004" w:rsidRDefault="00435004" w:rsidP="00E3253D">
            <w:pPr>
              <w:pStyle w:val="libFootnote0"/>
              <w:rPr>
                <w:rStyle w:val="libFootnote0Char"/>
                <w:rtl/>
              </w:rPr>
            </w:pPr>
            <w:r w:rsidRPr="0042621E">
              <w:rPr>
                <w:rStyle w:val="libFootnote0Char"/>
                <w:rtl/>
              </w:rPr>
              <w:t>(8).</w:t>
            </w:r>
            <w:r w:rsidRPr="005D642E">
              <w:rPr>
                <w:rtl/>
              </w:rPr>
              <w:t xml:space="preserve"> في « بخ ، بس ، جس » : « قال</w:t>
            </w:r>
            <w:r>
              <w:rPr>
                <w:rtl/>
              </w:rPr>
              <w:t xml:space="preserve"> ».</w:t>
            </w:r>
          </w:p>
        </w:tc>
        <w:tc>
          <w:tcPr>
            <w:tcW w:w="4006" w:type="dxa"/>
          </w:tcPr>
          <w:p w:rsidR="00435004" w:rsidRDefault="00435004" w:rsidP="00E3253D">
            <w:pPr>
              <w:pStyle w:val="libFootnote0"/>
              <w:rPr>
                <w:rStyle w:val="libFootnote0Char"/>
                <w:rtl/>
              </w:rPr>
            </w:pPr>
            <w:r w:rsidRPr="0042621E">
              <w:rPr>
                <w:rStyle w:val="libFootnote0Char"/>
                <w:rtl/>
              </w:rPr>
              <w:t>(9).</w:t>
            </w:r>
            <w:r w:rsidRPr="005D642E">
              <w:rPr>
                <w:rtl/>
              </w:rPr>
              <w:t xml:space="preserve"> في الوافي : + « له</w:t>
            </w:r>
            <w:r>
              <w:rPr>
                <w:rtl/>
              </w:rPr>
              <w:t xml:space="preserve"> ».</w:t>
            </w:r>
          </w:p>
        </w:tc>
      </w:tr>
      <w:tr w:rsidR="00435004" w:rsidTr="00435004">
        <w:tc>
          <w:tcPr>
            <w:tcW w:w="4006" w:type="dxa"/>
          </w:tcPr>
          <w:p w:rsidR="00435004" w:rsidRDefault="00435004" w:rsidP="00E3253D">
            <w:pPr>
              <w:pStyle w:val="libFootnote0"/>
              <w:rPr>
                <w:rStyle w:val="libFootnote0Char"/>
                <w:rtl/>
              </w:rPr>
            </w:pPr>
            <w:r w:rsidRPr="0042621E">
              <w:rPr>
                <w:rStyle w:val="libFootnote0Char"/>
                <w:rtl/>
              </w:rPr>
              <w:t>(10).</w:t>
            </w:r>
            <w:r w:rsidRPr="005D642E">
              <w:rPr>
                <w:rtl/>
              </w:rPr>
              <w:t xml:space="preserve"> في الوافي : « وصعد به ، فطلب</w:t>
            </w:r>
            <w:r>
              <w:rPr>
                <w:rtl/>
              </w:rPr>
              <w:t xml:space="preserve"> ».</w:t>
            </w:r>
          </w:p>
        </w:tc>
        <w:tc>
          <w:tcPr>
            <w:tcW w:w="4006" w:type="dxa"/>
          </w:tcPr>
          <w:p w:rsidR="00435004" w:rsidRDefault="00435004" w:rsidP="00E3253D">
            <w:pPr>
              <w:pStyle w:val="libFootnote0"/>
              <w:rPr>
                <w:rStyle w:val="libFootnote0Char"/>
                <w:rtl/>
              </w:rPr>
            </w:pPr>
            <w:r w:rsidRPr="0042621E">
              <w:rPr>
                <w:rStyle w:val="libFootnote0Char"/>
                <w:rtl/>
              </w:rPr>
              <w:t>(11).</w:t>
            </w:r>
            <w:r w:rsidRPr="005D642E">
              <w:rPr>
                <w:rtl/>
              </w:rPr>
              <w:t xml:space="preserve"> في الوافي : « واستقبله</w:t>
            </w:r>
            <w:r>
              <w:rPr>
                <w:rtl/>
              </w:rPr>
              <w:t xml:space="preserve"> ».</w:t>
            </w:r>
          </w:p>
        </w:tc>
      </w:tr>
    </w:tbl>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 قاطباً » أي عابساً ، يقال : قَطَبَ يَقْطِبُ ، أي زَوَى ما بين عينيه وعَبَسَ. راجع : </w:t>
      </w:r>
      <w:r w:rsidR="00E3253D" w:rsidRPr="002F4D34">
        <w:rPr>
          <w:rStyle w:val="libFootnoteBoldChar"/>
          <w:rtl/>
        </w:rPr>
        <w:t>لسان العرب</w:t>
      </w:r>
      <w:r w:rsidR="00E3253D" w:rsidRPr="005D642E">
        <w:rPr>
          <w:rtl/>
        </w:rPr>
        <w:t xml:space="preserve"> ، ج 1 ، ص 680 ( قطب )</w:t>
      </w:r>
      <w:r w:rsidR="00E3253D">
        <w:rPr>
          <w:rtl/>
        </w:rPr>
        <w:t>.</w:t>
      </w:r>
    </w:p>
    <w:p w:rsidR="00E3253D" w:rsidRPr="005D642E" w:rsidRDefault="0042621E" w:rsidP="009A5A2E">
      <w:pPr>
        <w:pStyle w:val="libFootnote0"/>
        <w:rPr>
          <w:rtl/>
          <w:lang w:bidi="fa-IR"/>
        </w:rPr>
      </w:pPr>
      <w:r w:rsidRPr="0042621E">
        <w:rPr>
          <w:rStyle w:val="libFootnote0Char"/>
          <w:rtl/>
        </w:rPr>
        <w:t>(13).</w:t>
      </w:r>
      <w:r w:rsidR="00E3253D" w:rsidRPr="005D642E">
        <w:rPr>
          <w:rtl/>
        </w:rPr>
        <w:t xml:space="preserve"> « فامتعض</w:t>
      </w:r>
      <w:r w:rsidR="009A5A2E">
        <w:rPr>
          <w:rtl/>
        </w:rPr>
        <w:t xml:space="preserve"> » أي غضب وشقّ عليه. وقال العل</w:t>
      </w:r>
      <w:r w:rsidR="009A5A2E">
        <w:rPr>
          <w:rFonts w:hint="cs"/>
          <w:rtl/>
        </w:rPr>
        <w:t>ّ</w:t>
      </w:r>
      <w:r w:rsidR="009A5A2E">
        <w:rPr>
          <w:rtl/>
        </w:rPr>
        <w:t>ا</w:t>
      </w:r>
      <w:r w:rsidR="00E3253D" w:rsidRPr="005D642E">
        <w:rPr>
          <w:rtl/>
        </w:rPr>
        <w:t>مة المجلسي : « وفي بعض النسخ : انتقض ، وهو أظهر</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4 ، ص 342 ( معض )</w:t>
      </w:r>
      <w:r w:rsidR="00E3253D">
        <w:rPr>
          <w:rtl/>
        </w:rPr>
        <w:t>.</w:t>
      </w:r>
      <w:r w:rsidR="009A5A2E">
        <w:rPr>
          <w:rFonts w:hint="cs"/>
          <w:rtl/>
        </w:rPr>
        <w:t xml:space="preserve">             </w:t>
      </w:r>
      <w:r w:rsidRPr="0042621E">
        <w:rPr>
          <w:rStyle w:val="libFootnote0Char"/>
          <w:rtl/>
        </w:rPr>
        <w:t>(14).</w:t>
      </w:r>
      <w:r w:rsidR="00E3253D" w:rsidRPr="005D642E">
        <w:rPr>
          <w:rtl/>
        </w:rPr>
        <w:t xml:space="preserve"> في « ى ، بح ، بس » : « فخرج</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9A5A2E" w:rsidTr="009A5A2E">
        <w:tc>
          <w:tcPr>
            <w:tcW w:w="4006" w:type="dxa"/>
          </w:tcPr>
          <w:p w:rsidR="009A5A2E" w:rsidRDefault="009A5A2E" w:rsidP="00E3253D">
            <w:pPr>
              <w:pStyle w:val="libFootnote0"/>
              <w:rPr>
                <w:rStyle w:val="libFootnote0Char"/>
                <w:rtl/>
              </w:rPr>
            </w:pPr>
            <w:r w:rsidRPr="0042621E">
              <w:rPr>
                <w:rStyle w:val="libFootnote0Char"/>
                <w:rtl/>
              </w:rPr>
              <w:t>(15).</w:t>
            </w:r>
            <w:r>
              <w:rPr>
                <w:rtl/>
              </w:rPr>
              <w:t xml:space="preserve"> </w:t>
            </w:r>
            <w:r w:rsidRPr="005D642E">
              <w:rPr>
                <w:rtl/>
              </w:rPr>
              <w:t>في « ى » : + « بين</w:t>
            </w:r>
            <w:r>
              <w:rPr>
                <w:rtl/>
              </w:rPr>
              <w:t xml:space="preserve"> ».</w:t>
            </w:r>
          </w:p>
        </w:tc>
        <w:tc>
          <w:tcPr>
            <w:tcW w:w="4006" w:type="dxa"/>
          </w:tcPr>
          <w:p w:rsidR="009A5A2E" w:rsidRDefault="009A5A2E" w:rsidP="00E3253D">
            <w:pPr>
              <w:pStyle w:val="libFootnote0"/>
              <w:rPr>
                <w:rStyle w:val="libFootnote0Char"/>
                <w:rtl/>
              </w:rPr>
            </w:pPr>
            <w:r w:rsidRPr="005D642E">
              <w:rPr>
                <w:rtl/>
              </w:rPr>
              <w:t>(1</w:t>
            </w:r>
            <w:r>
              <w:rPr>
                <w:rtl/>
              </w:rPr>
              <w:t>6)</w:t>
            </w:r>
            <w:r w:rsidRPr="005D642E">
              <w:rPr>
                <w:rtl/>
              </w:rPr>
              <w:t xml:space="preserve"> مريم (19) : 57.</w:t>
            </w:r>
          </w:p>
        </w:tc>
      </w:tr>
    </w:tbl>
    <w:p w:rsidR="00E3253D" w:rsidRPr="005D642E" w:rsidRDefault="00E3253D" w:rsidP="00E3253D">
      <w:pPr>
        <w:pStyle w:val="libFootnote0"/>
        <w:rPr>
          <w:rtl/>
          <w:lang w:bidi="fa-IR"/>
        </w:rPr>
      </w:pPr>
      <w:r w:rsidRPr="005D642E">
        <w:rPr>
          <w:rtl/>
        </w:rPr>
        <w:t>(1</w:t>
      </w:r>
      <w:r>
        <w:rPr>
          <w:rtl/>
        </w:rPr>
        <w:t>7)</w:t>
      </w:r>
      <w:r w:rsidRPr="005D642E">
        <w:rPr>
          <w:rtl/>
        </w:rPr>
        <w:t xml:space="preserve"> </w:t>
      </w:r>
      <w:r w:rsidRPr="002F4D34">
        <w:rPr>
          <w:rStyle w:val="libFootnoteBoldChar"/>
          <w:rtl/>
        </w:rPr>
        <w:t>الوافي</w:t>
      </w:r>
      <w:r w:rsidRPr="005D642E">
        <w:rPr>
          <w:rtl/>
        </w:rPr>
        <w:t xml:space="preserve"> ، ج 24 ، ص 273 ، ح 24024.</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6F7A5E">
        <w:rPr>
          <w:rtl/>
        </w:rPr>
        <w:t>4766</w:t>
      </w:r>
      <w:r w:rsidRPr="00246318">
        <w:rPr>
          <w:rStyle w:val="libBold2Char"/>
          <w:rtl/>
        </w:rPr>
        <w:t xml:space="preserve"> / 27.</w:t>
      </w:r>
      <w:r w:rsidRPr="005D642E">
        <w:rPr>
          <w:rtl/>
          <w:lang w:bidi="fa-IR"/>
        </w:rPr>
        <w:t xml:space="preserve"> مُحَمَّدُ بْنُ يَحْيى ، عَنْ أَحْمَدَ بْنِ مُحَمَّدٍ ، عَنْ عَلِيِّ بْنِ النُّعْمَانِ ، عَنِ ابْنِ مُسْكَانَ ، عَنْ دَاوُدَ بْنِ فَرْقَدٍ </w:t>
      </w:r>
      <w:r w:rsidRPr="007C12DB">
        <w:rPr>
          <w:rStyle w:val="libFootnotenumChar"/>
          <w:rtl/>
        </w:rPr>
        <w:t>(1)</w:t>
      </w:r>
      <w:r w:rsidRPr="005D642E">
        <w:rPr>
          <w:rtl/>
          <w:lang w:bidi="fa-IR"/>
        </w:rPr>
        <w:t xml:space="preserve"> ، عَنْ أَبِي شَيْبَةَ الزُّهْرِيِّ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قَالَ رَسُولُ اللهِ </w:t>
      </w:r>
      <w:r w:rsidR="0042621E" w:rsidRPr="0042621E">
        <w:rPr>
          <w:rStyle w:val="libAlaemChar"/>
          <w:rtl/>
        </w:rPr>
        <w:t>صلى‌الله‌عليه‌وآله</w:t>
      </w:r>
      <w:r w:rsidRPr="005D642E">
        <w:rPr>
          <w:rtl/>
          <w:lang w:bidi="fa-IR"/>
        </w:rPr>
        <w:t xml:space="preserve"> : الْمَوْتَ الْمَوْتَ ، أَلَا </w:t>
      </w:r>
      <w:r w:rsidRPr="007C12DB">
        <w:rPr>
          <w:rStyle w:val="libFootnotenumChar"/>
          <w:rtl/>
        </w:rPr>
        <w:t>(3)</w:t>
      </w:r>
      <w:r w:rsidRPr="005D642E">
        <w:rPr>
          <w:rtl/>
          <w:lang w:bidi="fa-IR"/>
        </w:rPr>
        <w:t xml:space="preserve"> وَلَابُدَّ مِنَ الْمَوْتِ ، جَاءَ الْمَوْتُ </w:t>
      </w:r>
      <w:r w:rsidRPr="007C12DB">
        <w:rPr>
          <w:rStyle w:val="libFootnotenumChar"/>
          <w:rtl/>
        </w:rPr>
        <w:t>(4)</w:t>
      </w:r>
      <w:r w:rsidRPr="005D642E">
        <w:rPr>
          <w:rtl/>
          <w:lang w:bidi="fa-IR"/>
        </w:rPr>
        <w:t xml:space="preserve"> بِمَا فِيهِ ، جَاءَ </w:t>
      </w:r>
      <w:r w:rsidRPr="007C12DB">
        <w:rPr>
          <w:rStyle w:val="libFootnotenumChar"/>
          <w:rtl/>
        </w:rPr>
        <w:t>(5)</w:t>
      </w:r>
      <w:r w:rsidRPr="005D642E">
        <w:rPr>
          <w:rtl/>
          <w:lang w:bidi="fa-IR"/>
        </w:rPr>
        <w:t xml:space="preserve"> بِالرَّوْحِ وَالرَّاحَةِ وَالْكَرَّةِ </w:t>
      </w:r>
      <w:r w:rsidRPr="007C12DB">
        <w:rPr>
          <w:rStyle w:val="libFootnotenumChar"/>
          <w:rtl/>
        </w:rPr>
        <w:t>(6)</w:t>
      </w:r>
      <w:r w:rsidRPr="005D642E">
        <w:rPr>
          <w:rtl/>
          <w:lang w:bidi="fa-IR"/>
        </w:rPr>
        <w:t xml:space="preserve"> الْمُبَارَكَةِ إِلى جَنَّةٍ عَالِيَةٍ لِأَهْلِ دَارِ</w:t>
      </w:r>
      <w:r>
        <w:rPr>
          <w:rFonts w:hint="cs"/>
          <w:rtl/>
          <w:lang w:bidi="fa-IR"/>
        </w:rPr>
        <w:t xml:space="preserve"> </w:t>
      </w:r>
      <w:r w:rsidRPr="005D642E">
        <w:rPr>
          <w:rtl/>
          <w:lang w:bidi="fa-IR"/>
        </w:rPr>
        <w:t xml:space="preserve">الْخُلُودِ الَّذِينَ كَانَ لَهَا سَعْيُهُمْ ، وَفِيهَا رَغْبَتُهُمْ ، وَجَاءَ الْمَوْتُ بِمَا فِيهِ بِالشِّقْوَةِ </w:t>
      </w:r>
      <w:r w:rsidRPr="007C12DB">
        <w:rPr>
          <w:rStyle w:val="libFootnotenumChar"/>
          <w:rtl/>
        </w:rPr>
        <w:t>(7)</w:t>
      </w:r>
      <w:r w:rsidRPr="005D642E">
        <w:rPr>
          <w:rtl/>
          <w:lang w:bidi="fa-IR"/>
        </w:rPr>
        <w:t xml:space="preserve"> وَالنَّدَامَةِ ،</w:t>
      </w:r>
      <w:r>
        <w:rPr>
          <w:rFonts w:hint="cs"/>
          <w:rtl/>
          <w:lang w:bidi="fa-IR"/>
        </w:rPr>
        <w:t xml:space="preserve"> </w:t>
      </w:r>
      <w:r w:rsidRPr="005D642E">
        <w:rPr>
          <w:rtl/>
          <w:lang w:bidi="fa-IR"/>
        </w:rPr>
        <w:t xml:space="preserve">وَبِالْكَرَّةِ </w:t>
      </w:r>
      <w:r w:rsidRPr="007C12DB">
        <w:rPr>
          <w:rStyle w:val="libFootnotenumChar"/>
          <w:rtl/>
        </w:rPr>
        <w:t>(8)</w:t>
      </w:r>
      <w:r w:rsidRPr="005D642E">
        <w:rPr>
          <w:rtl/>
          <w:lang w:bidi="fa-IR"/>
        </w:rPr>
        <w:t xml:space="preserve"> الْخَاسِرَةِ إِلى نَارٍ حَامِيَةٍ </w:t>
      </w:r>
      <w:r w:rsidRPr="007C12DB">
        <w:rPr>
          <w:rStyle w:val="libFootnotenumChar"/>
          <w:rtl/>
        </w:rPr>
        <w:t>(9)</w:t>
      </w:r>
      <w:r w:rsidRPr="005D642E">
        <w:rPr>
          <w:rtl/>
          <w:lang w:bidi="fa-IR"/>
        </w:rPr>
        <w:t xml:space="preserve"> لِأَهْلِ دَارِ الْغُرُورِ الَّذِينَ كَانَ لَهَا سَعْيُهُمْ ، وَفِيهَا رَغْبَتُهُمْ</w:t>
      </w:r>
      <w:r>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Default="0042621E" w:rsidP="00E3253D">
      <w:pPr>
        <w:pStyle w:val="libFootnote0"/>
        <w:rPr>
          <w:rtl/>
        </w:rPr>
      </w:pPr>
      <w:r w:rsidRPr="0042621E">
        <w:rPr>
          <w:rStyle w:val="libFootnote0Char"/>
          <w:rtl/>
        </w:rPr>
        <w:t>(1).</w:t>
      </w:r>
      <w:r w:rsidR="00E3253D">
        <w:rPr>
          <w:rtl/>
        </w:rPr>
        <w:t xml:space="preserve"> </w:t>
      </w:r>
      <w:r w:rsidR="00E3253D" w:rsidRPr="005D642E">
        <w:rPr>
          <w:rtl/>
        </w:rPr>
        <w:t>هكذا في « ظ ، ى ، بث ، بس ، جح ، جس ، جن » والوسائل. وفي « بح ، بخ » : + « عن يزيد</w:t>
      </w:r>
      <w:r w:rsidR="00E3253D">
        <w:rPr>
          <w:rtl/>
        </w:rPr>
        <w:t xml:space="preserve"> ».</w:t>
      </w:r>
      <w:r w:rsidR="00E3253D" w:rsidRPr="005D642E">
        <w:rPr>
          <w:rtl/>
        </w:rPr>
        <w:t xml:space="preserve"> وفي المطبوع : « داود بن فرقد [ أبي يزيد ]</w:t>
      </w:r>
      <w:r w:rsidR="00E3253D">
        <w:rPr>
          <w:rtl/>
        </w:rPr>
        <w:t xml:space="preserve"> ».</w:t>
      </w:r>
    </w:p>
    <w:p w:rsidR="00E3253D" w:rsidRPr="005D642E" w:rsidRDefault="00E3253D" w:rsidP="00E3253D">
      <w:pPr>
        <w:pStyle w:val="libFootnote0"/>
        <w:rPr>
          <w:rtl/>
          <w:lang w:bidi="fa-IR"/>
        </w:rPr>
      </w:pPr>
      <w:r w:rsidRPr="005D642E">
        <w:rPr>
          <w:rtl/>
        </w:rPr>
        <w:t>وداود بن فرقد يكنّي والده أبا يزيد</w:t>
      </w:r>
      <w:r>
        <w:rPr>
          <w:rtl/>
        </w:rPr>
        <w:t xml:space="preserve"> </w:t>
      </w:r>
      <w:r w:rsidR="007642BC">
        <w:rPr>
          <w:rtl/>
        </w:rPr>
        <w:t>-</w:t>
      </w:r>
      <w:r>
        <w:rPr>
          <w:rtl/>
        </w:rPr>
        <w:t xml:space="preserve"> </w:t>
      </w:r>
      <w:r w:rsidRPr="005D642E">
        <w:rPr>
          <w:rtl/>
        </w:rPr>
        <w:t xml:space="preserve">كما في </w:t>
      </w:r>
      <w:r w:rsidRPr="002F4D34">
        <w:rPr>
          <w:rStyle w:val="libFootnoteBoldChar"/>
          <w:rtl/>
        </w:rPr>
        <w:t>رجال النجاشي</w:t>
      </w:r>
      <w:r w:rsidRPr="005D642E">
        <w:rPr>
          <w:rtl/>
        </w:rPr>
        <w:t xml:space="preserve"> ، ص 158 ، والرقم 418 ؛ </w:t>
      </w:r>
      <w:r w:rsidRPr="002F4D34">
        <w:rPr>
          <w:rStyle w:val="libFootnoteBoldChar"/>
          <w:rtl/>
        </w:rPr>
        <w:t>رجال البرقي</w:t>
      </w:r>
      <w:r w:rsidRPr="005D642E">
        <w:rPr>
          <w:rtl/>
        </w:rPr>
        <w:t xml:space="preserve"> ، ص 32 ؛ </w:t>
      </w:r>
      <w:r w:rsidRPr="009A5A2E">
        <w:rPr>
          <w:rStyle w:val="libFootnoteBoldChar"/>
          <w:rtl/>
        </w:rPr>
        <w:t>ور</w:t>
      </w:r>
      <w:r w:rsidRPr="002F4D34">
        <w:rPr>
          <w:rStyle w:val="libFootnoteBoldChar"/>
          <w:rtl/>
        </w:rPr>
        <w:t>جال الطوسي</w:t>
      </w:r>
      <w:r w:rsidRPr="005D642E">
        <w:rPr>
          <w:rtl/>
        </w:rPr>
        <w:t xml:space="preserve"> ، ص 201 ، الرقم 256. وقد روى عليّ بن النعمان عن ابن مسكان عن داود هذا ، بعنوان داود ، داود بن فرقد ، وداود بن أبي يزيد عن أبي شيبة الزهري في </w:t>
      </w:r>
      <w:r w:rsidRPr="002F4D34">
        <w:rPr>
          <w:rStyle w:val="libFootnoteBoldChar"/>
          <w:rtl/>
        </w:rPr>
        <w:t>الزهد</w:t>
      </w:r>
      <w:r w:rsidRPr="005D642E">
        <w:rPr>
          <w:rtl/>
        </w:rPr>
        <w:t xml:space="preserve"> للحسين بن سعيد ، ص 5 ، ح 5 ؛ ص 19 ، ح 41 ؛ ص 78 ، ح 211 ؛ وص 106 ، ح 289.</w:t>
      </w:r>
    </w:p>
    <w:p w:rsidR="00E3253D" w:rsidRPr="005D642E" w:rsidRDefault="00E3253D" w:rsidP="00E3253D">
      <w:pPr>
        <w:pStyle w:val="libFootnote0"/>
        <w:rPr>
          <w:rtl/>
          <w:lang w:bidi="fa-IR"/>
        </w:rPr>
      </w:pPr>
      <w:r w:rsidRPr="00B60612">
        <w:rPr>
          <w:rtl/>
        </w:rPr>
        <w:t xml:space="preserve">هذا ، والمقارنة بين ماورد في </w:t>
      </w:r>
      <w:r w:rsidRPr="002F4D34">
        <w:rPr>
          <w:rStyle w:val="libFootnoteBoldChar"/>
          <w:rtl/>
        </w:rPr>
        <w:t>الكافي</w:t>
      </w:r>
      <w:r w:rsidRPr="00B60612">
        <w:rPr>
          <w:rtl/>
        </w:rPr>
        <w:t xml:space="preserve"> ، ح 136 و 221 و 8322 ، من رواية عليّ بن النعمان ، عن [ عبدالله ] بن مسكان ، عن داود بن فرقد ، عن أبي سعيد الزهري وبين ما تقدّم من </w:t>
      </w:r>
      <w:r w:rsidRPr="002F4D34">
        <w:rPr>
          <w:rStyle w:val="libFootnoteBoldChar"/>
          <w:rtl/>
        </w:rPr>
        <w:t>الزهد</w:t>
      </w:r>
      <w:r w:rsidRPr="00B60612">
        <w:rPr>
          <w:rtl/>
        </w:rPr>
        <w:t xml:space="preserve"> ، المقارنة يقضي باتّحاد أبي شيبة الزهري وأبي سعيد الزهري ، ووقوع التصحيف في أحد العنوانين.</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هكذا في « بح</w:t>
      </w:r>
      <w:r w:rsidR="00E3253D">
        <w:rPr>
          <w:rtl/>
        </w:rPr>
        <w:t xml:space="preserve"> ».</w:t>
      </w:r>
      <w:r w:rsidR="00E3253D" w:rsidRPr="005D642E">
        <w:rPr>
          <w:rtl/>
        </w:rPr>
        <w:t xml:space="preserve"> وفي « ظ ، ى ، بخ ، جح ، جن » والوسائل والمطبوع : « ابن أبي شيبة الزهري</w:t>
      </w:r>
      <w:r w:rsidR="00E3253D">
        <w:rPr>
          <w:rtl/>
        </w:rPr>
        <w:t xml:space="preserve"> ».</w:t>
      </w:r>
      <w:r w:rsidR="00E3253D" w:rsidRPr="005D642E">
        <w:rPr>
          <w:rtl/>
        </w:rPr>
        <w:t xml:space="preserve"> وفي « بث ، بس » : « ابن أبي شيه الزهري</w:t>
      </w:r>
      <w:r w:rsidR="00E3253D">
        <w:rPr>
          <w:rtl/>
        </w:rPr>
        <w:t xml:space="preserve"> ».</w:t>
      </w:r>
      <w:r w:rsidR="00E3253D" w:rsidRPr="005D642E">
        <w:rPr>
          <w:rtl/>
        </w:rPr>
        <w:t xml:space="preserve"> وفي « جس » : « ابن أبي شبه الزهري</w:t>
      </w:r>
      <w:r w:rsidR="00E3253D">
        <w:rPr>
          <w:rtl/>
        </w:rPr>
        <w:t xml:space="preserve"> ».</w:t>
      </w:r>
    </w:p>
    <w:p w:rsidR="00E3253D" w:rsidRPr="005D642E" w:rsidRDefault="00E3253D" w:rsidP="00E3253D">
      <w:pPr>
        <w:pStyle w:val="libFootnote0"/>
        <w:rPr>
          <w:rtl/>
          <w:lang w:bidi="fa-IR"/>
        </w:rPr>
      </w:pPr>
      <w:r w:rsidRPr="00B60612">
        <w:rPr>
          <w:rtl/>
        </w:rPr>
        <w:t xml:space="preserve">وظهر ممّا تقدّم آنفاً ، وكذا ما قدّمناه سابقاً في </w:t>
      </w:r>
      <w:r w:rsidRPr="002F4D34">
        <w:rPr>
          <w:rStyle w:val="libFootnoteBoldChar"/>
          <w:rtl/>
        </w:rPr>
        <w:t>الكافي</w:t>
      </w:r>
      <w:r w:rsidRPr="00B60612">
        <w:rPr>
          <w:rtl/>
        </w:rPr>
        <w:t xml:space="preserve"> ، ذيل ح 2706 ، صحّة ما أثبتناه.</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ألا</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w:t>
      </w:r>
      <w:r w:rsidR="00E3253D" w:rsidRPr="002F4D34">
        <w:rPr>
          <w:rStyle w:val="libFootnoteBoldChar"/>
          <w:rtl/>
        </w:rPr>
        <w:t>الوافي</w:t>
      </w:r>
      <w:r w:rsidR="00E3253D" w:rsidRPr="005D642E">
        <w:rPr>
          <w:rtl/>
        </w:rPr>
        <w:t xml:space="preserve"> : « جاء الموت ، أي قرب مجيئه ، أو نزّل محّقق الوقوع منزله الواقع بما فيه ، أي مع ما فيه</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بح » : « وجاء</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والكرّة : الرجعة ، وفي تعبيره </w:t>
      </w:r>
      <w:r w:rsidRPr="009A5A2E">
        <w:rPr>
          <w:rStyle w:val="libFootnoteAlaemChar"/>
          <w:rtl/>
        </w:rPr>
        <w:t>صلى‌الله‌عليه‌وآله</w:t>
      </w:r>
      <w:r w:rsidR="00E3253D" w:rsidRPr="005D642E">
        <w:rPr>
          <w:rtl/>
        </w:rPr>
        <w:t xml:space="preserve"> عن مجي‌ء الموت بالكرّة إشارة إلى أنّ كلّ انتقال للإنسان من حال إلى حال فوقه كأنّه موت عن الأوّل وحياة في الآخر</w:t>
      </w:r>
      <w:r w:rsidR="00E3253D">
        <w:rPr>
          <w:rtl/>
        </w:rPr>
        <w:t xml:space="preserve"> ».</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 « الشقوة</w:t>
      </w:r>
      <w:r w:rsidR="00E3253D">
        <w:rPr>
          <w:rtl/>
        </w:rPr>
        <w:t xml:space="preserve"> ».</w:t>
      </w:r>
      <w:r w:rsidR="00E3253D" w:rsidRPr="005D642E">
        <w:rPr>
          <w:rtl/>
        </w:rPr>
        <w:t xml:space="preserve"> وفي « بخ » : « من الشقوة</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بخ » : « بالكرّة » بدون الواو.</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الحامية » : الحارّة ، أو شديد الحرارة. راجع : </w:t>
      </w:r>
      <w:r w:rsidR="00E3253D" w:rsidRPr="002F4D34">
        <w:rPr>
          <w:rStyle w:val="libFootnoteBoldChar"/>
          <w:rtl/>
        </w:rPr>
        <w:t>المفردات</w:t>
      </w:r>
      <w:r w:rsidR="00E3253D" w:rsidRPr="009A5A2E">
        <w:rPr>
          <w:rStyle w:val="libFootnoteBoldChar"/>
          <w:rtl/>
        </w:rPr>
        <w:t xml:space="preserve"> للراغب</w:t>
      </w:r>
      <w:r w:rsidR="00E3253D" w:rsidRPr="005D642E">
        <w:rPr>
          <w:rtl/>
        </w:rPr>
        <w:t xml:space="preserve"> ، ص 258 ؛ </w:t>
      </w:r>
      <w:r w:rsidR="00E3253D" w:rsidRPr="002F4D34">
        <w:rPr>
          <w:rStyle w:val="libFootnoteBoldChar"/>
          <w:rtl/>
        </w:rPr>
        <w:t>المصباح المنير</w:t>
      </w:r>
      <w:r w:rsidR="00E3253D" w:rsidRPr="005D642E">
        <w:rPr>
          <w:rtl/>
        </w:rPr>
        <w:t xml:space="preserve"> ، ص 153 ( حمى )</w:t>
      </w:r>
      <w:r w:rsidR="00E3253D">
        <w:rPr>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ثُمَّ </w:t>
      </w:r>
      <w:r w:rsidRPr="007C12DB">
        <w:rPr>
          <w:rStyle w:val="libFootnotenumChar"/>
          <w:rtl/>
        </w:rPr>
        <w:t>(1)</w:t>
      </w:r>
      <w:r w:rsidRPr="005D642E">
        <w:rPr>
          <w:rtl/>
          <w:lang w:bidi="fa-IR"/>
        </w:rPr>
        <w:t xml:space="preserve"> قَالَ : « وَقَالَ : إِذَا اسْتَحَقَّتْ </w:t>
      </w:r>
      <w:r w:rsidRPr="007C12DB">
        <w:rPr>
          <w:rStyle w:val="libFootnotenumChar"/>
          <w:rtl/>
        </w:rPr>
        <w:t>(2)</w:t>
      </w:r>
      <w:r w:rsidRPr="005D642E">
        <w:rPr>
          <w:rtl/>
          <w:lang w:bidi="fa-IR"/>
        </w:rPr>
        <w:t xml:space="preserve"> وَلَايَةُ اللهِ وَالسَّعَادَةُ ، جَاءَ الْأَجَلُ بَيْنَ الْعَيْنَيْنِ ، وَذَهَبَ الْأَمَلُ وَرَاءَ الظَّهْرِ ، وَإِذَا اسْتَحَقَّتْ وَلَايَةُ الشَّيْطَانِ وَالشَّقَاوَةُ </w:t>
      </w:r>
      <w:r w:rsidRPr="007C12DB">
        <w:rPr>
          <w:rStyle w:val="libFootnotenumChar"/>
          <w:rtl/>
        </w:rPr>
        <w:t>(3)</w:t>
      </w:r>
      <w:r w:rsidRPr="005D642E">
        <w:rPr>
          <w:rtl/>
          <w:lang w:bidi="fa-IR"/>
        </w:rPr>
        <w:t xml:space="preserve"> ، جَاءَ الْأَمَلُ بَيْنَ الْعَيْنَيْنِ ، وَذَهَبَ الْأَجَلُ وَرَاءَ الظَّهْرِ</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وَسُئِلَ رَسُولُ اللهِ </w:t>
      </w:r>
      <w:r w:rsidR="0042621E" w:rsidRPr="0042621E">
        <w:rPr>
          <w:rStyle w:val="libAlaemChar"/>
          <w:rtl/>
        </w:rPr>
        <w:t>صلى‌الله‌عليه‌وآله</w:t>
      </w:r>
      <w:r w:rsidRPr="005D642E">
        <w:rPr>
          <w:rtl/>
          <w:lang w:bidi="fa-IR"/>
        </w:rPr>
        <w:t xml:space="preserve"> : أَيُّ الْمُؤْمِنِينَ أَكْيَسُ</w:t>
      </w:r>
      <w:r>
        <w:rPr>
          <w:rtl/>
          <w:lang w:bidi="fa-IR"/>
        </w:rPr>
        <w:t>؟</w:t>
      </w:r>
      <w:r w:rsidRPr="005D642E">
        <w:rPr>
          <w:rtl/>
          <w:lang w:bidi="fa-IR"/>
        </w:rPr>
        <w:t xml:space="preserve"> فَقَالَ : أَكْثَرُهُمْ ذِكْراً لِلْمَوْتِ ، وَأَشَدُّهُمْ لَهُ اسْتِعْدَاداً</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9B571E">
        <w:rPr>
          <w:rtl/>
        </w:rPr>
        <w:t>4767</w:t>
      </w:r>
      <w:r w:rsidRPr="00246318">
        <w:rPr>
          <w:rStyle w:val="libBold2Char"/>
          <w:rtl/>
        </w:rPr>
        <w:t xml:space="preserve"> / 28.</w:t>
      </w:r>
      <w:r w:rsidRPr="005D642E">
        <w:rPr>
          <w:rtl/>
          <w:lang w:bidi="fa-IR"/>
        </w:rPr>
        <w:t xml:space="preserve"> عَلِيُّ بْنُ إِبْرَاهِيمَ ، عَنْ أَبِيهِ ، عَنِ ابْنِ أَبِي عُمَيْرٍ ، عَنْ هِشَامِ بْنِ سَالِمٍ ، عَنْ أَبِي حَمْزَةَ ، قَالَ :</w:t>
      </w:r>
    </w:p>
    <w:p w:rsidR="00E3253D" w:rsidRPr="005D642E" w:rsidRDefault="00E3253D" w:rsidP="00E3253D">
      <w:pPr>
        <w:pStyle w:val="libNormal"/>
        <w:rPr>
          <w:rtl/>
          <w:lang w:bidi="fa-IR"/>
        </w:rPr>
      </w:pPr>
      <w:r w:rsidRPr="005D642E">
        <w:rPr>
          <w:rtl/>
          <w:lang w:bidi="fa-IR"/>
        </w:rPr>
        <w:t xml:space="preserve">سَمِعْتُ عَلِيَّ بْنَ الْحُسَيْنِ </w:t>
      </w:r>
      <w:r w:rsidRPr="00AC51C5">
        <w:rPr>
          <w:rStyle w:val="libAlaemChar"/>
          <w:rtl/>
        </w:rPr>
        <w:t>عليهما‌السلام</w:t>
      </w:r>
      <w:r w:rsidRPr="005D642E">
        <w:rPr>
          <w:rtl/>
          <w:lang w:bidi="fa-IR"/>
        </w:rPr>
        <w:t xml:space="preserve"> يَقُولُ : « عَجَبٌ </w:t>
      </w:r>
      <w:r w:rsidRPr="007C12DB">
        <w:rPr>
          <w:rStyle w:val="libFootnotenumChar"/>
          <w:rtl/>
        </w:rPr>
        <w:t>(5)</w:t>
      </w:r>
      <w:r w:rsidRPr="005D642E">
        <w:rPr>
          <w:rtl/>
          <w:lang w:bidi="fa-IR"/>
        </w:rPr>
        <w:t xml:space="preserve"> كُلُّ الْعَجَبِ لِمَنْ أَنْكَرَ الْمَوْتَ </w:t>
      </w:r>
      <w:r w:rsidRPr="007C12DB">
        <w:rPr>
          <w:rStyle w:val="libFootnotenumChar"/>
          <w:rtl/>
        </w:rPr>
        <w:t>(6)</w:t>
      </w:r>
      <w:r w:rsidRPr="005D642E">
        <w:rPr>
          <w:rtl/>
          <w:lang w:bidi="fa-IR"/>
        </w:rPr>
        <w:t xml:space="preserve"> وَهُوَ يَرى مَنْ يَمُوتُ كُلَّ يَوْمٍ وَلَيْلَةٍ ، وَالْعَجَبُ كُلُّ الْعَجَبِ لِمَنْ أَنْكَرَ النَّشْأَةَ الْأُخْرى </w:t>
      </w:r>
      <w:r w:rsidRPr="007C12DB">
        <w:rPr>
          <w:rStyle w:val="libFootnotenumChar"/>
          <w:rtl/>
        </w:rPr>
        <w:t>(7)</w:t>
      </w:r>
      <w:r w:rsidRPr="005D642E">
        <w:rPr>
          <w:rtl/>
          <w:lang w:bidi="fa-IR"/>
        </w:rPr>
        <w:t xml:space="preserve"> وَهُوَ يَرَى النَّشْأَةَ الْأُولى</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بخ ، جس » </w:t>
      </w:r>
      <w:r w:rsidR="000D749A" w:rsidRPr="009A5A2E">
        <w:rPr>
          <w:rtl/>
        </w:rPr>
        <w:t>والوافي</w:t>
      </w:r>
      <w:r w:rsidR="00E3253D" w:rsidRPr="005D642E">
        <w:rPr>
          <w:rtl/>
        </w:rPr>
        <w:t xml:space="preserve"> :</w:t>
      </w:r>
      <w:r w:rsidR="00E3253D">
        <w:rPr>
          <w:rtl/>
        </w:rPr>
        <w:t xml:space="preserve"> </w:t>
      </w:r>
      <w:r w:rsidR="007642BC">
        <w:rPr>
          <w:rtl/>
        </w:rPr>
        <w:t>-</w:t>
      </w:r>
      <w:r w:rsidR="00E3253D">
        <w:rPr>
          <w:rtl/>
        </w:rPr>
        <w:t xml:space="preserve"> </w:t>
      </w:r>
      <w:r w:rsidR="00E3253D" w:rsidRPr="005D642E">
        <w:rPr>
          <w:rtl/>
        </w:rPr>
        <w:t>« ثمّ</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9A5A2E">
        <w:rPr>
          <w:rStyle w:val="libFootnoteAlaemChar"/>
          <w:rtl/>
        </w:rPr>
        <w:t>عليه‌السلام</w:t>
      </w:r>
      <w:r w:rsidR="00E3253D" w:rsidRPr="005D642E">
        <w:rPr>
          <w:rtl/>
        </w:rPr>
        <w:t xml:space="preserve"> : إذا استحقّت ، على بناء المعلوم ، أي لزمت. ومجي‌ء الأجل بين العينين كناية عن تذكّر الموت ، وذهاب الأمل وراء الظهر كناية عن عدم الاعتماد على العمر ، وعدم الالتفات إلى مشتهيات الدنيا وترك الرغبة فيها ، وكذا العكس</w:t>
      </w:r>
      <w:r w:rsidR="00E3253D">
        <w:rPr>
          <w:rtl/>
        </w:rPr>
        <w:t xml:space="preserve"> ».</w:t>
      </w:r>
      <w:r w:rsidR="00E3253D" w:rsidRPr="005D642E">
        <w:rPr>
          <w:rtl/>
        </w:rPr>
        <w:t xml:space="preserve"> وفي هامش المطبوع : « لعلّ معناه أنّ من استحقّ ولاية الله جعل الأجل نصب عينيه ونبذ الأمل وراء ظهره ، ومن استحقّ ولاية الشيطان حاله على عكس ذلك ، والله أعلم</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بخ » :</w:t>
      </w:r>
      <w:r w:rsidR="00E3253D">
        <w:rPr>
          <w:rtl/>
        </w:rPr>
        <w:t xml:space="preserve"> </w:t>
      </w:r>
      <w:r w:rsidR="007642BC">
        <w:rPr>
          <w:rtl/>
        </w:rPr>
        <w:t>-</w:t>
      </w:r>
      <w:r w:rsidR="00E3253D">
        <w:rPr>
          <w:rtl/>
        </w:rPr>
        <w:t xml:space="preserve"> </w:t>
      </w:r>
      <w:r w:rsidR="00E3253D" w:rsidRPr="005D642E">
        <w:rPr>
          <w:rtl/>
        </w:rPr>
        <w:t>« والشقاوة</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الزهد</w:t>
      </w:r>
      <w:r w:rsidR="00E3253D" w:rsidRPr="005D642E">
        <w:rPr>
          <w:rtl/>
        </w:rPr>
        <w:t xml:space="preserve"> ، ص 149 ، ح 215 ، عن عليّ بن النعمان. </w:t>
      </w:r>
      <w:r w:rsidR="00E3253D" w:rsidRPr="002F4D34">
        <w:rPr>
          <w:rStyle w:val="libFootnoteBoldChar"/>
          <w:rtl/>
        </w:rPr>
        <w:t>الجعفريّات</w:t>
      </w:r>
      <w:r w:rsidR="00E3253D" w:rsidRPr="005D642E">
        <w:rPr>
          <w:rtl/>
        </w:rPr>
        <w:t xml:space="preserve"> ، ص 199 ، بسند آخر عن جعفر بن محمّد ، عن آبائه </w:t>
      </w:r>
      <w:r w:rsidR="00E3253D" w:rsidRPr="009A5A2E">
        <w:rPr>
          <w:rStyle w:val="libFootnoteAlaemChar"/>
          <w:rtl/>
        </w:rPr>
        <w:t>عليهم‌السلام</w:t>
      </w:r>
      <w:r w:rsidR="00E3253D" w:rsidRPr="005D642E">
        <w:rPr>
          <w:rtl/>
        </w:rPr>
        <w:t xml:space="preserve"> عن رسول الله </w:t>
      </w:r>
      <w:r w:rsidRPr="009A5A2E">
        <w:rPr>
          <w:rStyle w:val="libFootnoteAlaemChar"/>
          <w:rtl/>
        </w:rPr>
        <w:t>صلى‌الله‌عليه‌وآله</w:t>
      </w:r>
      <w:r w:rsidR="00E3253D" w:rsidRPr="005D642E">
        <w:rPr>
          <w:rtl/>
        </w:rPr>
        <w:t xml:space="preserve"> ، مع زيادة في أوّله. </w:t>
      </w:r>
      <w:r w:rsidR="00E3253D" w:rsidRPr="0035521A">
        <w:rPr>
          <w:rStyle w:val="libFootnoteBoldChar"/>
          <w:rtl/>
        </w:rPr>
        <w:t>الأمالي للطوسي</w:t>
      </w:r>
      <w:r w:rsidR="00E3253D" w:rsidRPr="005D642E">
        <w:rPr>
          <w:rtl/>
        </w:rPr>
        <w:t xml:space="preserve"> ، ص 531 ، المجلس 19 ، ضمن الحديث الطويل 1 ، بسند آخر عن أبي‌ذرّ ، عن رسول الله </w:t>
      </w:r>
      <w:r w:rsidRPr="0010387A">
        <w:rPr>
          <w:rStyle w:val="libFootnoteAlaemChar"/>
          <w:rtl/>
        </w:rPr>
        <w:t>صلى‌الله‌عليه‌وآله</w:t>
      </w:r>
      <w:r w:rsidR="00E3253D" w:rsidRPr="005D642E">
        <w:rPr>
          <w:rtl/>
        </w:rPr>
        <w:t xml:space="preserve"> ، وفيهما من قوله : « وسئل رسول الله </w:t>
      </w:r>
      <w:r w:rsidRPr="0010387A">
        <w:rPr>
          <w:rStyle w:val="libFootnoteAlaemChar"/>
          <w:rtl/>
        </w:rPr>
        <w:t>صلى‌الله‌عليه‌وآله</w:t>
      </w:r>
      <w:r w:rsidR="00E3253D" w:rsidRPr="005D642E">
        <w:rPr>
          <w:rtl/>
        </w:rPr>
        <w:t xml:space="preserve"> أيّ المؤمنين أكيس » وفي كلّ المصادر مع اختلاف يسير </w:t>
      </w:r>
      <w:r w:rsidR="0010387A">
        <w:rPr>
          <w:rFonts w:hint="cs"/>
          <w:rtl/>
        </w:rPr>
        <w:t>.</w:t>
      </w:r>
      <w:r w:rsidR="00E3253D" w:rsidRPr="002F4D34">
        <w:rPr>
          <w:rStyle w:val="libFootnoteBoldChar"/>
          <w:rtl/>
        </w:rPr>
        <w:t>الوافي</w:t>
      </w:r>
      <w:r w:rsidR="00E3253D" w:rsidRPr="005D642E">
        <w:rPr>
          <w:rtl/>
        </w:rPr>
        <w:t xml:space="preserve"> ، ج 24 ، ص 194 ، ح 23884.</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 بخ »</w:t>
      </w:r>
      <w:r w:rsidR="00E3253D" w:rsidRPr="0010387A">
        <w:rPr>
          <w:rtl/>
        </w:rPr>
        <w:t xml:space="preserve"> </w:t>
      </w:r>
      <w:r w:rsidR="000D749A" w:rsidRPr="0010387A">
        <w:rPr>
          <w:rtl/>
        </w:rPr>
        <w:t>والمحاسن</w:t>
      </w:r>
      <w:r w:rsidR="00E3253D" w:rsidRPr="005D642E">
        <w:rPr>
          <w:rtl/>
        </w:rPr>
        <w:t xml:space="preserve"> والأمالي : « العجب</w:t>
      </w:r>
      <w:r w:rsidR="00E3253D">
        <w:rPr>
          <w:rtl/>
        </w:rPr>
        <w:t xml:space="preserve"> ».</w:t>
      </w:r>
      <w:r w:rsidR="00E3253D" w:rsidRPr="005D642E">
        <w:rPr>
          <w:rtl/>
        </w:rPr>
        <w:t xml:space="preserve"> وفي حاشية « بث » : « أعجب</w:t>
      </w:r>
      <w:r w:rsidR="00E3253D">
        <w:rPr>
          <w:rtl/>
        </w:rPr>
        <w:t xml:space="preserve"> ».</w:t>
      </w:r>
      <w:r w:rsidR="00E3253D" w:rsidRPr="005D642E">
        <w:rPr>
          <w:rtl/>
        </w:rPr>
        <w:t xml:space="preserve"> وفي الوافي : « عجباً</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w:t>
      </w:r>
      <w:r w:rsidR="00E3253D" w:rsidRPr="002F4D34">
        <w:rPr>
          <w:rStyle w:val="libFootnoteBoldChar"/>
          <w:rtl/>
        </w:rPr>
        <w:t>الوافي</w:t>
      </w:r>
      <w:r w:rsidR="00E3253D" w:rsidRPr="005D642E">
        <w:rPr>
          <w:rtl/>
        </w:rPr>
        <w:t xml:space="preserve"> : « إن قيل : لايكاد يوجد أحد ينكر الموت فكيف يتعجّب ممّن لا يوجد</w:t>
      </w:r>
      <w:r w:rsidR="00E3253D">
        <w:rPr>
          <w:rtl/>
        </w:rPr>
        <w:t>؟</w:t>
      </w:r>
      <w:r w:rsidR="0010387A">
        <w:rPr>
          <w:rtl/>
        </w:rPr>
        <w:t xml:space="preserve"> قلنا : لم</w:t>
      </w:r>
      <w:r w:rsidR="0010387A">
        <w:rPr>
          <w:rFonts w:hint="cs"/>
          <w:rtl/>
        </w:rPr>
        <w:t>ـّ</w:t>
      </w:r>
      <w:r w:rsidR="00E3253D" w:rsidRPr="005D642E">
        <w:rPr>
          <w:rtl/>
        </w:rPr>
        <w:t xml:space="preserve">ا كان أكثر الناس يعملون أعمالاً لا ينبغي أن يعملها من هو في معرض الموت ، فكأنّهم له منكرون ؛ لأنّهم والمنكر سواء في العمل » ، وقيل غير ذلك. راجع : </w:t>
      </w:r>
      <w:r w:rsidR="00E3253D" w:rsidRPr="002F4D34">
        <w:rPr>
          <w:rStyle w:val="libFootnoteBoldChar"/>
          <w:rtl/>
        </w:rPr>
        <w:t>مرآة العقول</w:t>
      </w:r>
      <w:r w:rsidR="00E3253D" w:rsidRPr="005D642E">
        <w:rPr>
          <w:rtl/>
        </w:rPr>
        <w:t xml:space="preserve"> ، ج 14 ، ص 257.</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وحاشية « بث » </w:t>
      </w:r>
      <w:r w:rsidR="000D749A" w:rsidRPr="0010387A">
        <w:rPr>
          <w:rtl/>
        </w:rPr>
        <w:t>والمحاسن</w:t>
      </w:r>
      <w:r w:rsidR="00E3253D" w:rsidRPr="005D642E">
        <w:rPr>
          <w:rtl/>
        </w:rPr>
        <w:t xml:space="preserve"> : « الآخرة</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35521A">
        <w:rPr>
          <w:rStyle w:val="libFootnoteBoldChar"/>
          <w:rtl/>
        </w:rPr>
        <w:t>الأمالي للطوسي</w:t>
      </w:r>
      <w:r w:rsidR="0010387A">
        <w:rPr>
          <w:rtl/>
        </w:rPr>
        <w:t xml:space="preserve"> ، ص 663 ، المجلس 35 ، ح 31 ،</w:t>
      </w:r>
      <w:r w:rsidR="00E3253D" w:rsidRPr="005D642E">
        <w:rPr>
          <w:rtl/>
        </w:rPr>
        <w:t>بسنده عن محمّد بن أبي عمير.</w:t>
      </w:r>
      <w:r w:rsidR="00E3253D" w:rsidRPr="002F4D34">
        <w:rPr>
          <w:rStyle w:val="libFootnoteBoldChar"/>
          <w:rtl/>
        </w:rPr>
        <w:t>المحاسن</w:t>
      </w:r>
      <w:r w:rsidR="0010387A">
        <w:rPr>
          <w:rtl/>
        </w:rPr>
        <w:t xml:space="preserve"> ، ص 242،</w:t>
      </w:r>
      <w:r w:rsidR="0010387A">
        <w:rPr>
          <w:rFonts w:hint="cs"/>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9B571E">
        <w:rPr>
          <w:rtl/>
        </w:rPr>
        <w:t>4768</w:t>
      </w:r>
      <w:r w:rsidRPr="00246318">
        <w:rPr>
          <w:rStyle w:val="libBold2Char"/>
          <w:rtl/>
        </w:rPr>
        <w:t xml:space="preserve"> / 29.</w:t>
      </w:r>
      <w:r w:rsidRPr="005D642E">
        <w:rPr>
          <w:rtl/>
          <w:lang w:bidi="fa-IR"/>
        </w:rPr>
        <w:t xml:space="preserve"> مُحَمَّدُ بْنُ يَحْيى ، عَنِ الْحُسَيْنِ بْنِ إِسْحَاقَ ، عَنْ عَلِيِّ بْنِ مَهْزِيَارَ ، عَنْ فَضَالَةَ بْنِ أَيُّوبَ ، عَنْ سَعْدَانَ ، عَنْ عَجْلَانَ أَبِي صَالِحٍ ، قَالَ :</w:t>
      </w:r>
    </w:p>
    <w:p w:rsidR="00E3253D" w:rsidRPr="005D642E" w:rsidRDefault="00E3253D" w:rsidP="00E3253D">
      <w:pPr>
        <w:pStyle w:val="libNormal"/>
        <w:rPr>
          <w:rtl/>
          <w:lang w:bidi="fa-IR"/>
        </w:rPr>
      </w:pPr>
      <w:r w:rsidRPr="005D642E">
        <w:rPr>
          <w:rtl/>
          <w:lang w:bidi="fa-IR"/>
        </w:rPr>
        <w:t xml:space="preserve">قَالَ لِي </w:t>
      </w:r>
      <w:r w:rsidRPr="007C12DB">
        <w:rPr>
          <w:rStyle w:val="libFootnotenumChar"/>
          <w:rtl/>
        </w:rPr>
        <w:t>(1)</w:t>
      </w:r>
      <w:r w:rsidRPr="005D642E">
        <w:rPr>
          <w:rtl/>
          <w:lang w:bidi="fa-IR"/>
        </w:rPr>
        <w:t xml:space="preserve"> أَبُو عَبْدِ اللهِ </w:t>
      </w:r>
      <w:r w:rsidRPr="00AC51C5">
        <w:rPr>
          <w:rStyle w:val="libAlaemChar"/>
          <w:rtl/>
        </w:rPr>
        <w:t>عليه‌السلام</w:t>
      </w:r>
      <w:r w:rsidRPr="005D642E">
        <w:rPr>
          <w:rtl/>
          <w:lang w:bidi="fa-IR"/>
        </w:rPr>
        <w:t xml:space="preserve"> : « يَا أَبَا صَالِحٍ </w:t>
      </w:r>
      <w:r w:rsidRPr="007C12DB">
        <w:rPr>
          <w:rStyle w:val="libFootnotenumChar"/>
          <w:rtl/>
        </w:rPr>
        <w:t>(2)</w:t>
      </w:r>
      <w:r w:rsidRPr="005D642E">
        <w:rPr>
          <w:rtl/>
          <w:lang w:bidi="fa-IR"/>
        </w:rPr>
        <w:t xml:space="preserve"> ، إِذَا أَنْتَ حَمَلْتَ جَنَازَةً ، فَكُنْ كَأَنَّكَ أَنْتَ الْمَحْمُولُ ، وَ</w:t>
      </w:r>
      <w:r>
        <w:rPr>
          <w:rFonts w:hint="cs"/>
          <w:rtl/>
          <w:lang w:bidi="fa-IR"/>
        </w:rPr>
        <w:t xml:space="preserve"> </w:t>
      </w:r>
      <w:r w:rsidRPr="007C12DB">
        <w:rPr>
          <w:rStyle w:val="libFootnotenumChar"/>
          <w:rtl/>
        </w:rPr>
        <w:t>(3)</w:t>
      </w:r>
      <w:r w:rsidRPr="005D642E">
        <w:rPr>
          <w:rtl/>
          <w:lang w:bidi="fa-IR"/>
        </w:rPr>
        <w:t xml:space="preserve"> كَأَنَّكَ سَأَلْتَ رَبَّكَ الرُّجُوعَ إِلَى الدُّنْيَا فَفَعَلَ </w:t>
      </w:r>
      <w:r w:rsidRPr="007C12DB">
        <w:rPr>
          <w:rStyle w:val="libFootnotenumChar"/>
          <w:rtl/>
        </w:rPr>
        <w:t>(4)</w:t>
      </w:r>
      <w:r w:rsidRPr="005D642E">
        <w:rPr>
          <w:rtl/>
          <w:lang w:bidi="fa-IR"/>
        </w:rPr>
        <w:t xml:space="preserve"> ، فَانْظُرْ مَا ذَا تَسْتَأْنِفُ</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ثُمَّ قَالَ : « عَجَبٌ </w:t>
      </w:r>
      <w:r w:rsidRPr="007C12DB">
        <w:rPr>
          <w:rStyle w:val="libFootnotenumChar"/>
          <w:rtl/>
        </w:rPr>
        <w:t>(5)</w:t>
      </w:r>
      <w:r w:rsidRPr="005D642E">
        <w:rPr>
          <w:rtl/>
          <w:lang w:bidi="fa-IR"/>
        </w:rPr>
        <w:t xml:space="preserve"> لِقَوْمٍ حُبِسَ أَوَّلُهُمْ عَنْ </w:t>
      </w:r>
      <w:r w:rsidRPr="007C12DB">
        <w:rPr>
          <w:rStyle w:val="libFootnotenumChar"/>
          <w:rtl/>
        </w:rPr>
        <w:t>(6)</w:t>
      </w:r>
      <w:r w:rsidRPr="005D642E">
        <w:rPr>
          <w:rtl/>
          <w:lang w:bidi="fa-IR"/>
        </w:rPr>
        <w:t xml:space="preserve"> آخِرِهِمْ </w:t>
      </w:r>
      <w:r w:rsidRPr="007C12DB">
        <w:rPr>
          <w:rStyle w:val="libFootnotenumChar"/>
          <w:rtl/>
        </w:rPr>
        <w:t>(7)</w:t>
      </w:r>
      <w:r w:rsidRPr="005D642E">
        <w:rPr>
          <w:rtl/>
          <w:lang w:bidi="fa-IR"/>
        </w:rPr>
        <w:t xml:space="preserve"> ، ثُمَّ نُودِيَ فِيهِمُ الرَّحِيلُ </w:t>
      </w:r>
      <w:r w:rsidRPr="007C12DB">
        <w:rPr>
          <w:rStyle w:val="libFootnotenumChar"/>
          <w:rtl/>
        </w:rPr>
        <w:t>(8)</w:t>
      </w:r>
      <w:r w:rsidRPr="005D642E">
        <w:rPr>
          <w:rtl/>
          <w:lang w:bidi="fa-IR"/>
        </w:rPr>
        <w:t xml:space="preserve"> وَهُمْ يَلْعَبُونَ</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9B571E">
        <w:rPr>
          <w:rtl/>
        </w:rPr>
        <w:t>4769</w:t>
      </w:r>
      <w:r w:rsidRPr="00246318">
        <w:rPr>
          <w:rStyle w:val="libBold2Char"/>
          <w:rtl/>
        </w:rPr>
        <w:t xml:space="preserve"> / 30.</w:t>
      </w:r>
      <w:r w:rsidRPr="005D642E">
        <w:rPr>
          <w:rtl/>
          <w:lang w:bidi="fa-IR"/>
        </w:rPr>
        <w:t xml:space="preserve"> عَنْهُ </w:t>
      </w:r>
      <w:r w:rsidRPr="007C12DB">
        <w:rPr>
          <w:rStyle w:val="libFootnotenumChar"/>
          <w:rtl/>
        </w:rPr>
        <w:t>(10)</w:t>
      </w:r>
      <w:r w:rsidRPr="005D642E">
        <w:rPr>
          <w:rtl/>
          <w:lang w:bidi="fa-IR"/>
        </w:rPr>
        <w:t xml:space="preserve"> ، عَنْ فَضَالَةَ ، عَنْ إِسْمَاعِيلَ بْنِ أَبِي زِيَادٍ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أَمِيرُ الْمُؤْمِنِينَ </w:t>
      </w:r>
      <w:r w:rsidRPr="00AC51C5">
        <w:rPr>
          <w:rStyle w:val="libAlaemChar"/>
          <w:rtl/>
        </w:rPr>
        <w:t>عليه‌السلام</w:t>
      </w:r>
      <w:r w:rsidRPr="005D642E">
        <w:rPr>
          <w:rtl/>
          <w:lang w:bidi="fa-IR"/>
        </w:rPr>
        <w:t xml:space="preserve"> : مَا أَنْزَلَ الْمَوْتَ حَقَّ مَنْزِلَتِهِ مَنْ عَدَّ غَداً مِنْ أَجَلِهِ</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وَقَالَ أَمِيرُ الْمُؤْمِنِينَ </w:t>
      </w:r>
      <w:r w:rsidRPr="00AC51C5">
        <w:rPr>
          <w:rStyle w:val="libAlaemChar"/>
          <w:rtl/>
        </w:rPr>
        <w:t>عليه‌السلام</w:t>
      </w:r>
      <w:r w:rsidRPr="005D642E">
        <w:rPr>
          <w:rtl/>
          <w:lang w:bidi="fa-IR"/>
        </w:rPr>
        <w:t xml:space="preserve"> : مَا</w:t>
      </w:r>
      <w:r w:rsidR="0010387A">
        <w:rPr>
          <w:rtl/>
          <w:lang w:bidi="fa-IR"/>
        </w:rPr>
        <w:t xml:space="preserve"> أَطَالَ عَبْدٌ الْأَمَلَ إِل</w:t>
      </w:r>
      <w:r w:rsidR="0010387A">
        <w:rPr>
          <w:rFonts w:hint="cs"/>
          <w:rtl/>
          <w:lang w:bidi="fa-IR"/>
        </w:rPr>
        <w:t>َّ</w:t>
      </w:r>
      <w:r w:rsidR="0010387A">
        <w:rPr>
          <w:rtl/>
          <w:lang w:bidi="fa-IR"/>
        </w:rPr>
        <w:t>ا</w:t>
      </w:r>
      <w:r w:rsidRPr="005D642E">
        <w:rPr>
          <w:rtl/>
          <w:lang w:bidi="fa-IR"/>
        </w:rPr>
        <w:t xml:space="preserve"> أَسَاءَ الْعَمَلَ</w:t>
      </w:r>
      <w:r>
        <w:rPr>
          <w:rtl/>
          <w:lang w:bidi="fa-IR"/>
        </w:rPr>
        <w:t xml:space="preserve"> ».</w:t>
      </w:r>
      <w:r w:rsidRPr="005D642E">
        <w:rPr>
          <w:rtl/>
          <w:lang w:bidi="fa-IR"/>
        </w:rPr>
        <w:t xml:space="preserve"> وَكَانَ يَقُولُ :</w:t>
      </w:r>
    </w:p>
    <w:p w:rsidR="00E3253D" w:rsidRPr="005D642E" w:rsidRDefault="00E3253D" w:rsidP="00E3253D">
      <w:pPr>
        <w:pStyle w:val="libLine"/>
        <w:rPr>
          <w:rtl/>
          <w:lang w:bidi="fa-IR"/>
        </w:rPr>
      </w:pPr>
      <w:r w:rsidRPr="005D642E">
        <w:rPr>
          <w:rtl/>
          <w:lang w:bidi="fa-IR"/>
        </w:rPr>
        <w:t>__________________</w:t>
      </w:r>
    </w:p>
    <w:p w:rsidR="00E3253D" w:rsidRDefault="0010387A" w:rsidP="00E3253D">
      <w:pPr>
        <w:pStyle w:val="libFootnote0"/>
        <w:rPr>
          <w:rtl/>
          <w:lang w:bidi="fa-IR"/>
        </w:rPr>
      </w:pPr>
      <w:r>
        <w:rPr>
          <w:rFonts w:hint="cs"/>
          <w:rtl/>
        </w:rPr>
        <w:t xml:space="preserve">= </w:t>
      </w:r>
      <w:r w:rsidR="00E3253D" w:rsidRPr="005D642E">
        <w:rPr>
          <w:rtl/>
        </w:rPr>
        <w:t xml:space="preserve">كتاب مصابيح الظلم ، ذيل ح 230 ، بسنده عن هشام بن سالم ، وفيهما مع زيادة في أوّله وآخره. </w:t>
      </w:r>
      <w:r w:rsidR="00E3253D" w:rsidRPr="002F4D34">
        <w:rPr>
          <w:rStyle w:val="libFootnoteBoldChar"/>
          <w:rtl/>
        </w:rPr>
        <w:t>الخصال</w:t>
      </w:r>
      <w:r w:rsidR="00E3253D" w:rsidRPr="005D642E">
        <w:rPr>
          <w:rtl/>
        </w:rPr>
        <w:t xml:space="preserve"> ، ص 236 ، باب الأربعة ، ذيل ح 79 ، بسند آخر عن أبي جعفر </w:t>
      </w:r>
      <w:r w:rsidR="00E3253D" w:rsidRPr="0010387A">
        <w:rPr>
          <w:rStyle w:val="libFootnoteAlaemChar"/>
          <w:rtl/>
        </w:rPr>
        <w:t>عليه‌السلام</w:t>
      </w:r>
      <w:r w:rsidR="00E3253D" w:rsidRPr="005D642E">
        <w:rPr>
          <w:rtl/>
        </w:rPr>
        <w:t xml:space="preserve"> ، من قوله : « والعجب كلّ العجب لمن أنكر النشأة الا</w:t>
      </w:r>
      <w:r>
        <w:rPr>
          <w:rFonts w:hint="cs"/>
          <w:rtl/>
        </w:rPr>
        <w:t>ُ</w:t>
      </w:r>
      <w:r w:rsidR="00E3253D" w:rsidRPr="005D642E">
        <w:rPr>
          <w:rtl/>
        </w:rPr>
        <w:t>خرى</w:t>
      </w:r>
      <w:r w:rsidR="00E3253D">
        <w:rPr>
          <w:rtl/>
        </w:rPr>
        <w:t xml:space="preserve"> ».</w:t>
      </w:r>
      <w:r w:rsidR="00E3253D" w:rsidRPr="005D642E">
        <w:rPr>
          <w:rtl/>
        </w:rPr>
        <w:t xml:space="preserve"> وفي </w:t>
      </w:r>
      <w:r w:rsidR="00E3253D" w:rsidRPr="002F4D34">
        <w:rPr>
          <w:rStyle w:val="libFootnoteBoldChar"/>
          <w:rtl/>
        </w:rPr>
        <w:t>فقه الرضا</w:t>
      </w:r>
      <w:r w:rsidR="00E3253D" w:rsidRPr="005D642E">
        <w:rPr>
          <w:rtl/>
        </w:rPr>
        <w:t xml:space="preserve"> </w:t>
      </w:r>
      <w:r w:rsidR="00E3253D" w:rsidRPr="0010387A">
        <w:rPr>
          <w:rStyle w:val="libFootnoteAlaemChar"/>
          <w:rtl/>
        </w:rPr>
        <w:t>عليه‌السلام</w:t>
      </w:r>
      <w:r w:rsidR="00E3253D" w:rsidRPr="005D642E">
        <w:rPr>
          <w:rtl/>
        </w:rPr>
        <w:t xml:space="preserve"> ، ص 372 ؛ </w:t>
      </w:r>
      <w:r w:rsidR="00E3253D" w:rsidRPr="0010387A">
        <w:rPr>
          <w:rStyle w:val="libFootnoteBoldChar"/>
          <w:rtl/>
        </w:rPr>
        <w:t>و</w:t>
      </w:r>
      <w:r w:rsidR="00E3253D" w:rsidRPr="002F4D34">
        <w:rPr>
          <w:rStyle w:val="libFootnoteBoldChar"/>
          <w:rtl/>
        </w:rPr>
        <w:t>نهج البلاغة</w:t>
      </w:r>
      <w:r w:rsidR="00E3253D" w:rsidRPr="005D642E">
        <w:rPr>
          <w:rtl/>
        </w:rPr>
        <w:t xml:space="preserve"> ، ص 491 ، الرسالة 126 ، مع زيادة في أوّله وآخره ، وفي كلّ المصادر مع اختلاف يسير </w:t>
      </w:r>
      <w:r>
        <w:rPr>
          <w:rFonts w:hint="cs"/>
          <w:rtl/>
        </w:rPr>
        <w:t>.</w:t>
      </w:r>
      <w:r w:rsidR="00E3253D" w:rsidRPr="002F4D34">
        <w:rPr>
          <w:rStyle w:val="libFootnoteBoldChar"/>
          <w:rtl/>
        </w:rPr>
        <w:t>الوافي</w:t>
      </w:r>
      <w:r w:rsidR="00E3253D" w:rsidRPr="005D642E">
        <w:rPr>
          <w:rtl/>
        </w:rPr>
        <w:t xml:space="preserve"> ، ج 24 ، ص 195 ، ح 23885.</w:t>
      </w:r>
    </w:p>
    <w:tbl>
      <w:tblPr>
        <w:tblStyle w:val="TableGrid"/>
        <w:bidiVisual/>
        <w:tblW w:w="0" w:type="auto"/>
        <w:tblLook w:val="04A0" w:firstRow="1" w:lastRow="0" w:firstColumn="1" w:lastColumn="0" w:noHBand="0" w:noVBand="1"/>
      </w:tblPr>
      <w:tblGrid>
        <w:gridCol w:w="4006"/>
        <w:gridCol w:w="4006"/>
      </w:tblGrid>
      <w:tr w:rsidR="0010387A" w:rsidTr="0010387A">
        <w:tc>
          <w:tcPr>
            <w:tcW w:w="4006" w:type="dxa"/>
          </w:tcPr>
          <w:p w:rsidR="0010387A" w:rsidRDefault="0010387A" w:rsidP="00E3253D">
            <w:pPr>
              <w:pStyle w:val="libFootnote0"/>
              <w:rPr>
                <w:rStyle w:val="libFootnote0Char"/>
                <w:rtl/>
              </w:rPr>
            </w:pPr>
            <w:r w:rsidRPr="0042621E">
              <w:rPr>
                <w:rStyle w:val="libFootnote0Char"/>
                <w:rtl/>
              </w:rPr>
              <w:t>(1).</w:t>
            </w:r>
            <w:r>
              <w:rPr>
                <w:rtl/>
              </w:rPr>
              <w:t xml:space="preserve"> </w:t>
            </w:r>
            <w:r w:rsidRPr="005D642E">
              <w:rPr>
                <w:rtl/>
              </w:rPr>
              <w:t xml:space="preserve">في « بخ » </w:t>
            </w:r>
            <w:r w:rsidRPr="0010387A">
              <w:rPr>
                <w:rtl/>
              </w:rPr>
              <w:t>والوافي</w:t>
            </w:r>
            <w:r w:rsidRPr="005D642E">
              <w:rPr>
                <w:rtl/>
              </w:rPr>
              <w:t xml:space="preserve"> والزهد :</w:t>
            </w:r>
            <w:r>
              <w:rPr>
                <w:rtl/>
              </w:rPr>
              <w:t xml:space="preserve"> - </w:t>
            </w:r>
            <w:r w:rsidRPr="005D642E">
              <w:rPr>
                <w:rtl/>
              </w:rPr>
              <w:t>« لي</w:t>
            </w:r>
            <w:r>
              <w:rPr>
                <w:rtl/>
              </w:rPr>
              <w:t xml:space="preserve"> ».</w:t>
            </w:r>
          </w:p>
        </w:tc>
        <w:tc>
          <w:tcPr>
            <w:tcW w:w="4006" w:type="dxa"/>
          </w:tcPr>
          <w:p w:rsidR="0010387A" w:rsidRDefault="0010387A" w:rsidP="00E3253D">
            <w:pPr>
              <w:pStyle w:val="libFootnote0"/>
              <w:rPr>
                <w:rStyle w:val="libFootnote0Char"/>
                <w:rtl/>
              </w:rPr>
            </w:pPr>
            <w:r w:rsidRPr="0042621E">
              <w:rPr>
                <w:rStyle w:val="libFootnote0Char"/>
                <w:rtl/>
              </w:rPr>
              <w:t>(2).</w:t>
            </w:r>
            <w:r w:rsidRPr="005D642E">
              <w:rPr>
                <w:rtl/>
              </w:rPr>
              <w:t xml:space="preserve"> في الوافي : « يا باصالح</w:t>
            </w:r>
            <w:r>
              <w:rPr>
                <w:rtl/>
              </w:rPr>
              <w:t xml:space="preserve"> ».</w:t>
            </w:r>
          </w:p>
        </w:tc>
      </w:tr>
      <w:tr w:rsidR="0010387A" w:rsidTr="0010387A">
        <w:tc>
          <w:tcPr>
            <w:tcW w:w="4006" w:type="dxa"/>
          </w:tcPr>
          <w:p w:rsidR="0010387A" w:rsidRDefault="0010387A" w:rsidP="00E3253D">
            <w:pPr>
              <w:pStyle w:val="libFootnote0"/>
              <w:rPr>
                <w:rStyle w:val="libFootnote0Char"/>
                <w:rtl/>
              </w:rPr>
            </w:pPr>
            <w:r w:rsidRPr="0042621E">
              <w:rPr>
                <w:rStyle w:val="libFootnote0Char"/>
                <w:rtl/>
              </w:rPr>
              <w:t>(3).</w:t>
            </w:r>
            <w:r w:rsidRPr="005D642E">
              <w:rPr>
                <w:rtl/>
              </w:rPr>
              <w:t xml:space="preserve"> في الزهد : « أو</w:t>
            </w:r>
            <w:r>
              <w:rPr>
                <w:rtl/>
              </w:rPr>
              <w:t xml:space="preserve"> ».</w:t>
            </w:r>
          </w:p>
        </w:tc>
        <w:tc>
          <w:tcPr>
            <w:tcW w:w="4006" w:type="dxa"/>
          </w:tcPr>
          <w:p w:rsidR="0010387A" w:rsidRDefault="0010387A" w:rsidP="00E3253D">
            <w:pPr>
              <w:pStyle w:val="libFootnote0"/>
              <w:rPr>
                <w:rStyle w:val="libFootnote0Char"/>
                <w:rtl/>
              </w:rPr>
            </w:pPr>
            <w:r w:rsidRPr="0042621E">
              <w:rPr>
                <w:rStyle w:val="libFootnote0Char"/>
                <w:rtl/>
              </w:rPr>
              <w:t>(4).</w:t>
            </w:r>
            <w:r w:rsidRPr="005D642E">
              <w:rPr>
                <w:rtl/>
              </w:rPr>
              <w:t xml:space="preserve"> في الزهد : « لتعمل</w:t>
            </w:r>
            <w:r>
              <w:rPr>
                <w:rtl/>
              </w:rPr>
              <w:t xml:space="preserve"> ».</w:t>
            </w:r>
          </w:p>
        </w:tc>
      </w:tr>
      <w:tr w:rsidR="0010387A" w:rsidTr="0010387A">
        <w:tc>
          <w:tcPr>
            <w:tcW w:w="4006" w:type="dxa"/>
          </w:tcPr>
          <w:p w:rsidR="0010387A" w:rsidRDefault="0010387A" w:rsidP="00E3253D">
            <w:pPr>
              <w:pStyle w:val="libFootnote0"/>
              <w:rPr>
                <w:rStyle w:val="libFootnote0Char"/>
                <w:rtl/>
              </w:rPr>
            </w:pPr>
            <w:r w:rsidRPr="0042621E">
              <w:rPr>
                <w:rStyle w:val="libFootnote0Char"/>
                <w:rtl/>
              </w:rPr>
              <w:t>(5).</w:t>
            </w:r>
            <w:r w:rsidRPr="005D642E">
              <w:rPr>
                <w:rtl/>
              </w:rPr>
              <w:t xml:space="preserve"> في « بث ، بخ » </w:t>
            </w:r>
            <w:r w:rsidRPr="0010387A">
              <w:rPr>
                <w:rtl/>
              </w:rPr>
              <w:t xml:space="preserve">والوافي </w:t>
            </w:r>
            <w:r w:rsidRPr="005D642E">
              <w:rPr>
                <w:rtl/>
              </w:rPr>
              <w:t>: « عجباً</w:t>
            </w:r>
            <w:r>
              <w:rPr>
                <w:rtl/>
              </w:rPr>
              <w:t xml:space="preserve"> ».</w:t>
            </w:r>
          </w:p>
        </w:tc>
        <w:tc>
          <w:tcPr>
            <w:tcW w:w="4006" w:type="dxa"/>
          </w:tcPr>
          <w:p w:rsidR="0010387A" w:rsidRDefault="0010387A" w:rsidP="00E3253D">
            <w:pPr>
              <w:pStyle w:val="libFootnote0"/>
              <w:rPr>
                <w:rStyle w:val="libFootnote0Char"/>
                <w:rtl/>
              </w:rPr>
            </w:pPr>
            <w:r w:rsidRPr="0042621E">
              <w:rPr>
                <w:rStyle w:val="libFootnote0Char"/>
                <w:rtl/>
              </w:rPr>
              <w:t>(6).</w:t>
            </w:r>
            <w:r w:rsidRPr="005D642E">
              <w:rPr>
                <w:rtl/>
              </w:rPr>
              <w:t xml:space="preserve"> في الزهد : « علي</w:t>
            </w:r>
            <w:r>
              <w:rPr>
                <w:rtl/>
              </w:rPr>
              <w:t xml:space="preserve"> ».</w:t>
            </w:r>
          </w:p>
        </w:tc>
      </w:tr>
    </w:tbl>
    <w:p w:rsidR="00E3253D" w:rsidRPr="005D642E" w:rsidRDefault="0042621E" w:rsidP="0010387A">
      <w:pPr>
        <w:pStyle w:val="libFootnote0"/>
        <w:rPr>
          <w:rtl/>
          <w:lang w:bidi="fa-IR"/>
        </w:rPr>
      </w:pPr>
      <w:r w:rsidRPr="0042621E">
        <w:rPr>
          <w:rStyle w:val="libFootnote0Char"/>
          <w:rtl/>
        </w:rPr>
        <w:t>(7).</w:t>
      </w:r>
      <w:r w:rsidR="00E3253D" w:rsidRPr="005D642E">
        <w:rPr>
          <w:rtl/>
        </w:rPr>
        <w:t xml:space="preserve"> في </w:t>
      </w:r>
      <w:r w:rsidR="00E3253D" w:rsidRPr="002F4D34">
        <w:rPr>
          <w:rStyle w:val="libFootnoteBoldChar"/>
          <w:rtl/>
        </w:rPr>
        <w:t>مرآة العقول</w:t>
      </w:r>
      <w:r w:rsidR="00E3253D" w:rsidRPr="005D642E">
        <w:rPr>
          <w:rtl/>
        </w:rPr>
        <w:t xml:space="preserve"> : « قوله </w:t>
      </w:r>
      <w:r w:rsidR="00E3253D" w:rsidRPr="0010387A">
        <w:rPr>
          <w:rStyle w:val="libFootnoteAlaemChar"/>
          <w:rtl/>
        </w:rPr>
        <w:t>عليه‌السلام</w:t>
      </w:r>
      <w:r w:rsidR="00E3253D" w:rsidRPr="005D642E">
        <w:rPr>
          <w:rtl/>
        </w:rPr>
        <w:t xml:space="preserve"> : حبس أوّلهم عن آخرهم ، أي يمنعون من ذهب منهم ، أي الأموات ، أن يرجعوا إلى آخرهم ، أي الأحياء الذين لم يلحقوا بعد بهم فيخبروهم بما جرى عليهم ، أو يئسوا من عودهم إلى الدنيا ، ثمّ نودي في الأحياء بالرحيل إلى الأموات ، وهم لاعبون غافلون عمّا ينفعهم في تلك النشأة ، فلا شي‌ء أعجب من تلك الحال ، ويحتمل أن تكون كلمة « عن » للتعليل ، أي حبس أوّلهم ومن مضى منهم في القبور ؛ ليلحق بهم آخرهم فيحشرون معاً إلى القيامة</w:t>
      </w:r>
      <w:r w:rsidR="00E3253D">
        <w:rPr>
          <w:rtl/>
        </w:rPr>
        <w:t xml:space="preserve"> ».</w:t>
      </w:r>
      <w:r w:rsidR="0010387A">
        <w:rPr>
          <w:rFonts w:hint="cs"/>
          <w:rtl/>
        </w:rPr>
        <w:t xml:space="preserve">                               </w:t>
      </w:r>
      <w:r w:rsidRPr="0042621E">
        <w:rPr>
          <w:rStyle w:val="libFootnote0Char"/>
          <w:rtl/>
        </w:rPr>
        <w:t>(8).</w:t>
      </w:r>
      <w:r w:rsidR="00E3253D" w:rsidRPr="005D642E">
        <w:rPr>
          <w:rtl/>
        </w:rPr>
        <w:t xml:space="preserve"> في « بخ </w:t>
      </w:r>
      <w:r w:rsidR="00E3253D" w:rsidRPr="0010387A">
        <w:rPr>
          <w:rtl/>
        </w:rPr>
        <w:t xml:space="preserve">» </w:t>
      </w:r>
      <w:r w:rsidR="000D749A" w:rsidRPr="0010387A">
        <w:rPr>
          <w:rtl/>
        </w:rPr>
        <w:t>والوافي</w:t>
      </w:r>
      <w:r w:rsidR="00E3253D" w:rsidRPr="0010387A">
        <w:rPr>
          <w:rtl/>
        </w:rPr>
        <w:t xml:space="preserve"> </w:t>
      </w:r>
      <w:r w:rsidR="00E3253D" w:rsidRPr="005D642E">
        <w:rPr>
          <w:rtl/>
        </w:rPr>
        <w:t>والزهد : « بالرحيل</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الزهد</w:t>
      </w:r>
      <w:r w:rsidR="00E3253D" w:rsidRPr="005D642E">
        <w:rPr>
          <w:rtl/>
        </w:rPr>
        <w:t xml:space="preserve"> ، ص 148 ، ح 212 ، عن فضالة بن أيّوب ، مع اختلاف يسير </w:t>
      </w:r>
      <w:r w:rsidR="0010387A">
        <w:rPr>
          <w:rFonts w:hint="cs"/>
          <w:rtl/>
        </w:rPr>
        <w:t>.</w:t>
      </w:r>
      <w:r w:rsidR="00E3253D" w:rsidRPr="002F4D34">
        <w:rPr>
          <w:rStyle w:val="libFootnoteBoldChar"/>
          <w:rtl/>
        </w:rPr>
        <w:t>الوافي</w:t>
      </w:r>
      <w:r w:rsidR="00E3253D" w:rsidRPr="005D642E">
        <w:rPr>
          <w:rtl/>
        </w:rPr>
        <w:t xml:space="preserve"> ، ج 24 ، ص 190 ، ح 23875 ؛ </w:t>
      </w:r>
      <w:r w:rsidR="00E3253D" w:rsidRPr="002F4D34">
        <w:rPr>
          <w:rStyle w:val="libFootnoteBoldChar"/>
          <w:rtl/>
        </w:rPr>
        <w:t>الوسائل</w:t>
      </w:r>
      <w:r w:rsidR="00E3253D" w:rsidRPr="005D642E">
        <w:rPr>
          <w:rtl/>
        </w:rPr>
        <w:t xml:space="preserve"> ، ج 3 ، ص 229 ، ح 3482.</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الضمير راجع إلى عليّ بن مهزيار المذكور في السند السابق.</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 لَوْ رَأَى الْعَبْدُ أَجَلَهُ وَسُرْعَتَهُ إِلَيْهِ </w:t>
      </w:r>
      <w:r w:rsidRPr="007C12DB">
        <w:rPr>
          <w:rStyle w:val="libFootnotenumChar"/>
          <w:rtl/>
        </w:rPr>
        <w:t>(1)</w:t>
      </w:r>
      <w:r w:rsidRPr="005D642E">
        <w:rPr>
          <w:rtl/>
          <w:lang w:bidi="fa-IR"/>
        </w:rPr>
        <w:t xml:space="preserve"> ، لَأَبْغَضَ الْعَمَلَ مِنْ طَلَبِ الدُّنْيَا</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9B571E">
        <w:rPr>
          <w:rtl/>
        </w:rPr>
        <w:t>4770</w:t>
      </w:r>
      <w:r w:rsidRPr="00246318">
        <w:rPr>
          <w:rStyle w:val="libBold2Char"/>
          <w:rtl/>
        </w:rPr>
        <w:t xml:space="preserve"> / 31.</w:t>
      </w:r>
      <w:r w:rsidRPr="005D642E">
        <w:rPr>
          <w:rtl/>
          <w:lang w:bidi="fa-IR"/>
        </w:rPr>
        <w:t xml:space="preserve"> مُحَمَّدٌ ، عَنْ أَحْمَدَ بْنِ مُحَمَّدٍ ، عَنِ الْحُسَيْنِ بْنِ سَعِيدٍ ، عَنِ الْحُسَيْنِ بْنِ عُلْوَانَ ، عَنْ عَمْرِو بْنِ شِمْرٍ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سَأَلْتُهُ عَنْ لَحْظَةِ مَلَكِ الْمَوْتِ ، قَالَ </w:t>
      </w:r>
      <w:r w:rsidRPr="007C12DB">
        <w:rPr>
          <w:rStyle w:val="libFootnotenumChar"/>
          <w:rtl/>
        </w:rPr>
        <w:t>(3)</w:t>
      </w:r>
      <w:r>
        <w:rPr>
          <w:rtl/>
          <w:lang w:bidi="fa-IR"/>
        </w:rPr>
        <w:t xml:space="preserve"> : « أَ</w:t>
      </w:r>
      <w:r w:rsidRPr="005D642E">
        <w:rPr>
          <w:rtl/>
          <w:lang w:bidi="fa-IR"/>
        </w:rPr>
        <w:t xml:space="preserve">مَا رَأَيْتَ النَّاسَ يَكُونُونَ جُلُوساً ، فَتَعْتَرِيهِمُ </w:t>
      </w:r>
      <w:r w:rsidRPr="007C12DB">
        <w:rPr>
          <w:rStyle w:val="libFootnotenumChar"/>
          <w:rtl/>
        </w:rPr>
        <w:t>(4)</w:t>
      </w:r>
      <w:r w:rsidRPr="005D642E">
        <w:rPr>
          <w:rtl/>
          <w:lang w:bidi="fa-IR"/>
        </w:rPr>
        <w:t xml:space="preserve"> السَّكْتَةُ </w:t>
      </w:r>
      <w:r w:rsidRPr="007C12DB">
        <w:rPr>
          <w:rStyle w:val="libFootnotenumChar"/>
          <w:rtl/>
        </w:rPr>
        <w:t>(5)</w:t>
      </w:r>
      <w:r w:rsidRPr="005D642E">
        <w:rPr>
          <w:rtl/>
          <w:lang w:bidi="fa-IR"/>
        </w:rPr>
        <w:t xml:space="preserve"> ، فَمَا يَتَكَلَّمُ أَحَدٌ مِنْهُمْ</w:t>
      </w:r>
      <w:r>
        <w:rPr>
          <w:rtl/>
          <w:lang w:bidi="fa-IR"/>
        </w:rPr>
        <w:t>؟</w:t>
      </w:r>
      <w:r w:rsidRPr="005D642E">
        <w:rPr>
          <w:rtl/>
          <w:lang w:bidi="fa-IR"/>
        </w:rPr>
        <w:t xml:space="preserve"> فَتِلْكَ لَحْظَةُ مَلَكِ الْمَوْتِ حَيْثُ </w:t>
      </w:r>
      <w:r w:rsidRPr="007C12DB">
        <w:rPr>
          <w:rStyle w:val="libFootnotenumChar"/>
          <w:rtl/>
        </w:rPr>
        <w:t>(6)</w:t>
      </w:r>
      <w:r w:rsidRPr="005D642E">
        <w:rPr>
          <w:rtl/>
          <w:lang w:bidi="fa-IR"/>
        </w:rPr>
        <w:t xml:space="preserve"> يَلْحَظُهُمْ</w:t>
      </w:r>
      <w:r>
        <w:rPr>
          <w:rtl/>
          <w:lang w:bidi="fa-IR"/>
        </w:rPr>
        <w:t xml:space="preserve"> ».</w:t>
      </w:r>
      <w:r w:rsidRPr="005D642E">
        <w:rPr>
          <w:rtl/>
          <w:lang w:bidi="fa-IR"/>
        </w:rPr>
        <w:t xml:space="preserve"> </w:t>
      </w:r>
      <w:r w:rsidRPr="007C12DB">
        <w:rPr>
          <w:rStyle w:val="libFootnotenumChar"/>
          <w:rtl/>
        </w:rPr>
        <w:t>(7)</w:t>
      </w:r>
      <w:r w:rsidRPr="005D642E">
        <w:rPr>
          <w:rtl/>
          <w:lang w:bidi="fa-IR"/>
        </w:rPr>
        <w:t xml:space="preserve"> ‌</w:t>
      </w:r>
    </w:p>
    <w:p w:rsidR="00E3253D" w:rsidRPr="005D642E" w:rsidRDefault="00E3253D" w:rsidP="00E3253D">
      <w:pPr>
        <w:pStyle w:val="libNormal"/>
        <w:rPr>
          <w:rtl/>
          <w:lang w:bidi="fa-IR"/>
        </w:rPr>
      </w:pPr>
      <w:r w:rsidRPr="009B571E">
        <w:rPr>
          <w:rtl/>
        </w:rPr>
        <w:t>4771</w:t>
      </w:r>
      <w:r w:rsidRPr="00246318">
        <w:rPr>
          <w:rStyle w:val="libBold2Char"/>
          <w:rtl/>
        </w:rPr>
        <w:t xml:space="preserve"> / 32.</w:t>
      </w:r>
      <w:r w:rsidRPr="005D642E">
        <w:rPr>
          <w:rtl/>
          <w:lang w:bidi="fa-IR"/>
        </w:rPr>
        <w:t xml:space="preserve"> عَلِيُّ بْنُ إِبْرَاهِيمَ ، عَنْ أَبِيهِ ، عَنْ عَمْرِو بْنِ عُثْمَانَ ، عَنِ الْمُفَضَّلِ بْنِ صَالِحٍ ، عَنْ جَابِرٍ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سَأَلْتُهُ عَنْ قَوْلِ اللهِ تَبَارَكَ وَتَعَالى : </w:t>
      </w:r>
      <w:r w:rsidRPr="00AC51C5">
        <w:rPr>
          <w:rStyle w:val="libAlaemChar"/>
          <w:rtl/>
        </w:rPr>
        <w:t>(</w:t>
      </w:r>
      <w:r w:rsidRPr="00AC51C5">
        <w:rPr>
          <w:rStyle w:val="libAieChar"/>
          <w:rtl/>
        </w:rPr>
        <w:t xml:space="preserve"> وَقِيلَ مَنْ راقٍ </w:t>
      </w:r>
      <w:r w:rsidR="00821817">
        <w:rPr>
          <w:rStyle w:val="libAieChar"/>
          <w:rFonts w:hint="cs"/>
          <w:rtl/>
        </w:rPr>
        <w:t xml:space="preserve">* </w:t>
      </w:r>
      <w:r w:rsidRPr="00AC51C5">
        <w:rPr>
          <w:rStyle w:val="libAieChar"/>
          <w:rtl/>
        </w:rPr>
        <w:t xml:space="preserve">وَظَنَّ أَنَّهُ الْفِراقُ </w:t>
      </w:r>
      <w:r w:rsidRPr="00AC51C5">
        <w:rPr>
          <w:rStyle w:val="libAlaemChar"/>
          <w:rtl/>
        </w:rPr>
        <w:t>)</w:t>
      </w:r>
      <w:r w:rsidRPr="005D642E">
        <w:rPr>
          <w:rtl/>
          <w:lang w:bidi="fa-IR"/>
        </w:rPr>
        <w:t xml:space="preserve"> </w:t>
      </w:r>
      <w:r w:rsidRPr="007C12DB">
        <w:rPr>
          <w:rStyle w:val="libFootnotenumChar"/>
          <w:rtl/>
        </w:rPr>
        <w:t>(8)</w:t>
      </w:r>
      <w:r>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ى » :</w:t>
      </w:r>
      <w:r w:rsidR="00E3253D">
        <w:rPr>
          <w:rtl/>
        </w:rPr>
        <w:t xml:space="preserve"> </w:t>
      </w:r>
      <w:r w:rsidR="007642BC">
        <w:rPr>
          <w:rtl/>
        </w:rPr>
        <w:t>-</w:t>
      </w:r>
      <w:r w:rsidR="00E3253D">
        <w:rPr>
          <w:rtl/>
        </w:rPr>
        <w:t xml:space="preserve"> </w:t>
      </w:r>
      <w:r w:rsidR="00E3253D" w:rsidRPr="005D642E">
        <w:rPr>
          <w:rtl/>
        </w:rPr>
        <w:t>« إليه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الزهد</w:t>
      </w:r>
      <w:r w:rsidR="00E3253D" w:rsidRPr="005D642E">
        <w:rPr>
          <w:rtl/>
        </w:rPr>
        <w:t xml:space="preserve"> ، ص 152 ، ح 221 ، عن فضالة. </w:t>
      </w:r>
      <w:r w:rsidR="000D749A" w:rsidRPr="000D749A">
        <w:rPr>
          <w:rStyle w:val="libFootnoteBoldChar"/>
          <w:rtl/>
        </w:rPr>
        <w:t>الأمالي للصدوق</w:t>
      </w:r>
      <w:r w:rsidR="00E3253D" w:rsidRPr="005D642E">
        <w:rPr>
          <w:rtl/>
        </w:rPr>
        <w:t xml:space="preserve"> ، ص 108 ، المجلس 23 ، ح 4 ، بسنده عن السكوني ، عن الصادق ، عن آبائه ، عن أميرالمؤمنين </w:t>
      </w:r>
      <w:r w:rsidR="00E3253D" w:rsidRPr="00821817">
        <w:rPr>
          <w:rStyle w:val="libFootnoteAlaemChar"/>
          <w:rtl/>
        </w:rPr>
        <w:t>عليهم‌السلام</w:t>
      </w:r>
      <w:r w:rsidR="00E3253D" w:rsidRPr="005D642E">
        <w:rPr>
          <w:rtl/>
        </w:rPr>
        <w:t xml:space="preserve"> ، إلى قوله : « من عدّ غداً من أجله</w:t>
      </w:r>
      <w:r w:rsidR="00E3253D">
        <w:rPr>
          <w:rtl/>
        </w:rPr>
        <w:t xml:space="preserve"> ».</w:t>
      </w:r>
      <w:r w:rsidR="00E3253D" w:rsidRPr="005D642E">
        <w:rPr>
          <w:rtl/>
        </w:rPr>
        <w:t xml:space="preserve"> وفي </w:t>
      </w:r>
      <w:r w:rsidR="00E3253D" w:rsidRPr="002F4D34">
        <w:rPr>
          <w:rStyle w:val="libFootnoteBoldChar"/>
          <w:rtl/>
        </w:rPr>
        <w:t>صحيفة الرضا</w:t>
      </w:r>
      <w:r w:rsidR="00E3253D" w:rsidRPr="005D642E">
        <w:rPr>
          <w:rtl/>
        </w:rPr>
        <w:t xml:space="preserve"> </w:t>
      </w:r>
      <w:r w:rsidR="00E3253D" w:rsidRPr="00821817">
        <w:rPr>
          <w:rStyle w:val="libFootnoteAlaemChar"/>
          <w:rtl/>
        </w:rPr>
        <w:t>عليه‌السلام</w:t>
      </w:r>
      <w:r w:rsidR="00E3253D" w:rsidRPr="005D642E">
        <w:rPr>
          <w:rtl/>
        </w:rPr>
        <w:t xml:space="preserve"> ، ص 70 ، ح 137 ؛ </w:t>
      </w:r>
      <w:r w:rsidR="00E3253D" w:rsidRPr="00821817">
        <w:rPr>
          <w:rStyle w:val="libFootnoteBoldChar"/>
          <w:rtl/>
        </w:rPr>
        <w:t>و</w:t>
      </w:r>
      <w:r w:rsidR="00E3253D" w:rsidRPr="002F4D34">
        <w:rPr>
          <w:rStyle w:val="libFootnoteBoldChar"/>
          <w:rtl/>
        </w:rPr>
        <w:t>عيون الأخبار</w:t>
      </w:r>
      <w:r w:rsidR="00E3253D" w:rsidRPr="005D642E">
        <w:rPr>
          <w:rtl/>
        </w:rPr>
        <w:t xml:space="preserve"> ، ص 39 ، ح 120 ؛ </w:t>
      </w:r>
      <w:r w:rsidR="00E3253D" w:rsidRPr="00821817">
        <w:rPr>
          <w:rStyle w:val="libFootnoteBoldChar"/>
          <w:rtl/>
        </w:rPr>
        <w:t>والأمالي للمفيد</w:t>
      </w:r>
      <w:r w:rsidR="00E3253D" w:rsidRPr="005D642E">
        <w:rPr>
          <w:rtl/>
        </w:rPr>
        <w:t xml:space="preserve"> ، ص 309 ، المجلس 36 ، ح 8 ، بسند آخر عن الرضا ، عن آبائه ، عن أميرالمؤمنين </w:t>
      </w:r>
      <w:r w:rsidR="00E3253D" w:rsidRPr="00821817">
        <w:rPr>
          <w:rStyle w:val="libFootnoteAlaemChar"/>
          <w:rtl/>
        </w:rPr>
        <w:t>عليهم‌السلام</w:t>
      </w:r>
      <w:r w:rsidR="00E3253D" w:rsidRPr="005D642E">
        <w:rPr>
          <w:rtl/>
        </w:rPr>
        <w:t xml:space="preserve">. </w:t>
      </w:r>
      <w:r w:rsidR="00E3253D" w:rsidRPr="0035521A">
        <w:rPr>
          <w:rStyle w:val="libFootnoteBoldChar"/>
          <w:rtl/>
        </w:rPr>
        <w:t>الأمالي للطوسي</w:t>
      </w:r>
      <w:r w:rsidR="00E3253D" w:rsidRPr="005D642E">
        <w:rPr>
          <w:rtl/>
        </w:rPr>
        <w:t xml:space="preserve"> ، ص 78 ، المجلس 3 ، ح 24 ، بسند آخر عن موسى بن جعفر ، عن آبائه ، عن أميرالمؤمنين </w:t>
      </w:r>
      <w:r w:rsidR="00E3253D" w:rsidRPr="00821817">
        <w:rPr>
          <w:rStyle w:val="libFootnoteAlaemChar"/>
          <w:rtl/>
        </w:rPr>
        <w:t>عليهم‌السلام</w:t>
      </w:r>
      <w:r w:rsidR="00E3253D" w:rsidRPr="005D642E">
        <w:rPr>
          <w:rtl/>
        </w:rPr>
        <w:t xml:space="preserve">. </w:t>
      </w:r>
      <w:r w:rsidR="00E3253D" w:rsidRPr="002F4D34">
        <w:rPr>
          <w:rStyle w:val="libFootnoteBoldChar"/>
          <w:rtl/>
        </w:rPr>
        <w:t>نهج البلاغة</w:t>
      </w:r>
      <w:r w:rsidR="00E3253D" w:rsidRPr="005D642E">
        <w:rPr>
          <w:rtl/>
        </w:rPr>
        <w:t xml:space="preserve"> ، ص 534 ، الحكمة 334 ، وفي الخمسة الأخيرة من قوله : « لو رأي العبد أجله وسرعته إليه » مع اختلاف يسير. </w:t>
      </w:r>
      <w:r w:rsidR="00E3253D" w:rsidRPr="002F4D34">
        <w:rPr>
          <w:rStyle w:val="libFootnoteBoldChar"/>
          <w:rtl/>
        </w:rPr>
        <w:t>تحف العقول</w:t>
      </w:r>
      <w:r w:rsidR="00E3253D" w:rsidRPr="005D642E">
        <w:rPr>
          <w:rtl/>
        </w:rPr>
        <w:t xml:space="preserve"> ، ص 211 ، وتمام الرواية </w:t>
      </w:r>
      <w:r w:rsidR="00821817">
        <w:rPr>
          <w:rtl/>
        </w:rPr>
        <w:t>فيه : « ما أطال العبد الأمل إل</w:t>
      </w:r>
      <w:r w:rsidR="00821817">
        <w:rPr>
          <w:rFonts w:hint="cs"/>
          <w:rtl/>
        </w:rPr>
        <w:t>ّ</w:t>
      </w:r>
      <w:r w:rsidR="00821817">
        <w:rPr>
          <w:rtl/>
        </w:rPr>
        <w:t>ا</w:t>
      </w:r>
      <w:r w:rsidR="00E3253D" w:rsidRPr="005D642E">
        <w:rPr>
          <w:rtl/>
        </w:rPr>
        <w:t xml:space="preserve"> أنساه العمل</w:t>
      </w:r>
      <w:r w:rsidR="00E3253D">
        <w:rPr>
          <w:rtl/>
        </w:rPr>
        <w:t xml:space="preserve"> ».</w:t>
      </w:r>
      <w:r w:rsidR="00E3253D" w:rsidRPr="005D642E">
        <w:rPr>
          <w:rtl/>
        </w:rPr>
        <w:t xml:space="preserve"> راجع : </w:t>
      </w:r>
      <w:r w:rsidR="00E3253D" w:rsidRPr="002F4D34">
        <w:rPr>
          <w:rStyle w:val="libFootnoteBoldChar"/>
          <w:rtl/>
        </w:rPr>
        <w:t>الفقيه</w:t>
      </w:r>
      <w:r w:rsidR="00E3253D" w:rsidRPr="005D642E">
        <w:rPr>
          <w:rtl/>
        </w:rPr>
        <w:t xml:space="preserve"> ، ج 1 ، ص 139 ، ح 382 ؛ </w:t>
      </w:r>
      <w:r w:rsidR="00E3253D" w:rsidRPr="00821817">
        <w:rPr>
          <w:rStyle w:val="libFootnoteBoldChar"/>
          <w:rtl/>
        </w:rPr>
        <w:t>وت</w:t>
      </w:r>
      <w:r w:rsidR="00E3253D" w:rsidRPr="002F4D34">
        <w:rPr>
          <w:rStyle w:val="libFootnoteBoldChar"/>
          <w:rtl/>
        </w:rPr>
        <w:t>حف العقول</w:t>
      </w:r>
      <w:r w:rsidR="00E3253D" w:rsidRPr="005D642E">
        <w:rPr>
          <w:rtl/>
        </w:rPr>
        <w:t xml:space="preserve"> ، ص 49 </w:t>
      </w:r>
      <w:r w:rsidR="00821817">
        <w:rPr>
          <w:rFonts w:hint="cs"/>
          <w:rtl/>
        </w:rPr>
        <w:t>.</w:t>
      </w:r>
      <w:r w:rsidR="00E3253D" w:rsidRPr="002F4D34">
        <w:rPr>
          <w:rStyle w:val="libFootnoteBoldChar"/>
          <w:rtl/>
        </w:rPr>
        <w:t>الوافي</w:t>
      </w:r>
      <w:r w:rsidR="00E3253D" w:rsidRPr="005D642E">
        <w:rPr>
          <w:rtl/>
        </w:rPr>
        <w:t xml:space="preserve"> ، ج 24 ، ص 190 ، ح 23876 ؛ </w:t>
      </w:r>
      <w:r w:rsidR="00E3253D" w:rsidRPr="002F4D34">
        <w:rPr>
          <w:rStyle w:val="libFootnoteBoldChar"/>
          <w:rtl/>
        </w:rPr>
        <w:t>الوسائل</w:t>
      </w:r>
      <w:r w:rsidR="00E3253D" w:rsidRPr="005D642E">
        <w:rPr>
          <w:rtl/>
        </w:rPr>
        <w:t xml:space="preserve"> ، ج 2 ، ص 437 ، ح 2577.</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بث ، بخ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الوافي : « فيعتريهم</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في المطبوع وجميع النسخ التي قوبلت : « السكينة</w:t>
      </w:r>
      <w:r w:rsidR="00E3253D">
        <w:rPr>
          <w:rtl/>
        </w:rPr>
        <w:t xml:space="preserve"> ».</w:t>
      </w:r>
      <w:r w:rsidR="00E3253D" w:rsidRPr="005D642E">
        <w:rPr>
          <w:rtl/>
        </w:rPr>
        <w:t xml:space="preserve"> وما أثبتناه موافق للوافي والمطبوع.</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الزهد : « حين</w:t>
      </w:r>
      <w:r w:rsidR="00E3253D">
        <w:rPr>
          <w:rtl/>
        </w:rPr>
        <w:t xml:space="preserve"> ».</w:t>
      </w:r>
    </w:p>
    <w:p w:rsidR="00E3253D" w:rsidRPr="005D642E" w:rsidRDefault="0042621E" w:rsidP="00821817">
      <w:pPr>
        <w:pStyle w:val="libFootnote0"/>
        <w:rPr>
          <w:rtl/>
          <w:lang w:bidi="fa-IR"/>
        </w:rPr>
      </w:pPr>
      <w:r w:rsidRPr="0042621E">
        <w:rPr>
          <w:rStyle w:val="libFootnote0Char"/>
          <w:rtl/>
        </w:rPr>
        <w:t>(7).</w:t>
      </w:r>
      <w:r w:rsidR="00E3253D" w:rsidRPr="005D642E">
        <w:rPr>
          <w:rtl/>
        </w:rPr>
        <w:t xml:space="preserve"> </w:t>
      </w:r>
      <w:r w:rsidR="00E3253D" w:rsidRPr="002F4D34">
        <w:rPr>
          <w:rStyle w:val="libFootnoteBoldChar"/>
          <w:rtl/>
        </w:rPr>
        <w:t>الزهد</w:t>
      </w:r>
      <w:r w:rsidR="00E3253D" w:rsidRPr="005D642E">
        <w:rPr>
          <w:rtl/>
        </w:rPr>
        <w:t xml:space="preserve"> ، ص 123 ، ح 150 ، عن الحسين بن علوان ، مع اختلاف يسير </w:t>
      </w:r>
      <w:r w:rsidR="00821817">
        <w:rPr>
          <w:rFonts w:hint="cs"/>
          <w:rtl/>
        </w:rPr>
        <w:t>.</w:t>
      </w:r>
      <w:r w:rsidR="00E3253D" w:rsidRPr="002F4D34">
        <w:rPr>
          <w:rStyle w:val="libFootnoteBoldChar"/>
          <w:rtl/>
        </w:rPr>
        <w:t>الوافي</w:t>
      </w:r>
      <w:r w:rsidR="00E3253D" w:rsidRPr="005D642E">
        <w:rPr>
          <w:rtl/>
        </w:rPr>
        <w:t xml:space="preserve"> ، ج 24 ، ص 265 ، ح 24007 ؛ </w:t>
      </w:r>
      <w:r w:rsidR="00E3253D" w:rsidRPr="002F4D34">
        <w:rPr>
          <w:rStyle w:val="libFootnoteBoldChar"/>
          <w:rtl/>
        </w:rPr>
        <w:t>البحار</w:t>
      </w:r>
      <w:r w:rsidR="00E3253D" w:rsidRPr="005D642E">
        <w:rPr>
          <w:rtl/>
        </w:rPr>
        <w:t xml:space="preserve"> ، ج 6 ، ص 143 ، ح 11.</w:t>
      </w:r>
      <w:r w:rsidR="00821817">
        <w:rPr>
          <w:rFonts w:hint="cs"/>
          <w:rtl/>
        </w:rPr>
        <w:t xml:space="preserve">               </w:t>
      </w:r>
      <w:r w:rsidRPr="0042621E">
        <w:rPr>
          <w:rStyle w:val="libFootnote0Char"/>
          <w:rtl/>
        </w:rPr>
        <w:t>(8).</w:t>
      </w:r>
      <w:r w:rsidR="00E3253D" w:rsidRPr="005D642E">
        <w:rPr>
          <w:rtl/>
        </w:rPr>
        <w:t xml:space="preserve"> القيامة (75) : 27</w:t>
      </w:r>
      <w:r w:rsidR="00E3253D">
        <w:rPr>
          <w:rtl/>
        </w:rPr>
        <w:t xml:space="preserve"> </w:t>
      </w:r>
      <w:r w:rsidR="007642BC">
        <w:rPr>
          <w:rtl/>
        </w:rPr>
        <w:t>-</w:t>
      </w:r>
      <w:r w:rsidR="00E3253D">
        <w:rPr>
          <w:rtl/>
        </w:rPr>
        <w:t xml:space="preserve"> </w:t>
      </w:r>
      <w:r w:rsidR="00E3253D" w:rsidRPr="005D642E">
        <w:rPr>
          <w:rtl/>
        </w:rPr>
        <w:t>28.</w:t>
      </w:r>
    </w:p>
    <w:p w:rsidR="00E3253D" w:rsidRDefault="00E3253D" w:rsidP="00E3253D">
      <w:pPr>
        <w:pStyle w:val="libNormal"/>
        <w:rPr>
          <w:rtl/>
          <w:lang w:bidi="fa-IR"/>
        </w:rPr>
      </w:pPr>
      <w:r>
        <w:rPr>
          <w:rtl/>
          <w:lang w:bidi="fa-IR"/>
        </w:rPr>
        <w:br w:type="page"/>
      </w:r>
    </w:p>
    <w:p w:rsidR="00E3253D" w:rsidRDefault="00E3253D" w:rsidP="00E3253D">
      <w:pPr>
        <w:pStyle w:val="libNormal"/>
        <w:rPr>
          <w:rtl/>
          <w:lang w:bidi="fa-IR"/>
        </w:rPr>
      </w:pPr>
      <w:r w:rsidRPr="005D642E">
        <w:rPr>
          <w:rtl/>
          <w:lang w:bidi="fa-IR"/>
        </w:rPr>
        <w:t xml:space="preserve">قَالَ : « فَإِنَّ ذلِكَ ابْنُ آدَمَ ، إِذَا حَلَّ بِهِ الْمَوْتُ ، قَالَ : هَلْ مِنْ طَبِيبٍ </w:t>
      </w:r>
      <w:r w:rsidRPr="007C12DB">
        <w:rPr>
          <w:rStyle w:val="libFootnotenumChar"/>
          <w:rtl/>
        </w:rPr>
        <w:t>(1)</w:t>
      </w:r>
      <w:r w:rsidRPr="005D642E">
        <w:rPr>
          <w:rtl/>
          <w:lang w:bidi="fa-IR"/>
        </w:rPr>
        <w:t xml:space="preserve"> ، إِنَّهُ الْفِرَاقُ ، أَيْقَنَ </w:t>
      </w:r>
      <w:r w:rsidRPr="007C12DB">
        <w:rPr>
          <w:rStyle w:val="libFootnotenumChar"/>
          <w:rtl/>
        </w:rPr>
        <w:t>(2)</w:t>
      </w:r>
      <w:r w:rsidRPr="005D642E">
        <w:rPr>
          <w:rtl/>
          <w:lang w:bidi="fa-IR"/>
        </w:rPr>
        <w:t xml:space="preserve"> بِمُفَارَقَةِ </w:t>
      </w:r>
      <w:r w:rsidRPr="007C12DB">
        <w:rPr>
          <w:rStyle w:val="libFootnotenumChar"/>
          <w:rtl/>
        </w:rPr>
        <w:t>(3)</w:t>
      </w:r>
      <w:r w:rsidRPr="005D642E">
        <w:rPr>
          <w:rtl/>
          <w:lang w:bidi="fa-IR"/>
        </w:rPr>
        <w:t xml:space="preserve"> الْأَحِبَّةِ </w:t>
      </w:r>
      <w:r w:rsidRPr="007C12DB">
        <w:rPr>
          <w:rStyle w:val="libFootnotenumChar"/>
          <w:rtl/>
        </w:rPr>
        <w:t>(4)</w:t>
      </w:r>
      <w:r w:rsidRPr="005D642E">
        <w:rPr>
          <w:rtl/>
          <w:lang w:bidi="fa-IR"/>
        </w:rPr>
        <w:t xml:space="preserve"> ، قَالَ : </w:t>
      </w:r>
      <w:r w:rsidRPr="00AC51C5">
        <w:rPr>
          <w:rStyle w:val="libAlaemChar"/>
          <w:rtl/>
        </w:rPr>
        <w:t>(</w:t>
      </w:r>
      <w:r w:rsidRPr="00AC51C5">
        <w:rPr>
          <w:rStyle w:val="libAieChar"/>
          <w:rtl/>
        </w:rPr>
        <w:t xml:space="preserve"> وَالْتَفَّتِ السّاقُ بِالسّاقِ </w:t>
      </w:r>
      <w:r w:rsidRPr="00AC51C5">
        <w:rPr>
          <w:rStyle w:val="libAlaemChar"/>
          <w:rtl/>
        </w:rPr>
        <w:t>)</w:t>
      </w:r>
      <w:r w:rsidRPr="005D642E">
        <w:rPr>
          <w:rtl/>
          <w:lang w:bidi="fa-IR"/>
        </w:rPr>
        <w:t xml:space="preserve"> : الْتَفَّتِ الدُّنْيَا بِالْآخِرَةِ ، ثُمَّ</w:t>
      </w:r>
      <w:r>
        <w:rPr>
          <w:rFonts w:hint="cs"/>
          <w:rtl/>
          <w:lang w:bidi="fa-IR"/>
        </w:rPr>
        <w:t xml:space="preserve"> </w:t>
      </w:r>
      <w:r w:rsidRPr="00AC51C5">
        <w:rPr>
          <w:rStyle w:val="libAlaemChar"/>
          <w:rtl/>
        </w:rPr>
        <w:t>(</w:t>
      </w:r>
      <w:r w:rsidRPr="00AC51C5">
        <w:rPr>
          <w:rStyle w:val="libAieChar"/>
          <w:rtl/>
        </w:rPr>
        <w:t xml:space="preserve"> إِلى رَبِّكَ يَوْمَئِذٍ الْمَساقُ </w:t>
      </w:r>
      <w:r w:rsidRPr="00AC51C5">
        <w:rPr>
          <w:rStyle w:val="libAlaemChar"/>
          <w:rtl/>
        </w:rPr>
        <w:t>)</w:t>
      </w:r>
      <w:r w:rsidRPr="005D642E">
        <w:rPr>
          <w:rtl/>
          <w:lang w:bidi="fa-IR"/>
        </w:rPr>
        <w:t xml:space="preserve"> </w:t>
      </w:r>
      <w:r w:rsidRPr="007C12DB">
        <w:rPr>
          <w:rStyle w:val="libFootnotenumChar"/>
          <w:rtl/>
        </w:rPr>
        <w:t>(5)</w:t>
      </w:r>
      <w:r w:rsidRPr="005D642E">
        <w:rPr>
          <w:rtl/>
          <w:lang w:bidi="fa-IR"/>
        </w:rPr>
        <w:t xml:space="preserve"> قَالَ : الْمَصِيرُ إِلى رَبِّ الْعَالَمِينَ</w:t>
      </w:r>
      <w:r>
        <w:rPr>
          <w:rtl/>
          <w:lang w:bidi="fa-IR"/>
        </w:rPr>
        <w:t xml:space="preserve"> ».</w:t>
      </w:r>
      <w:r w:rsidRPr="005D642E">
        <w:rPr>
          <w:rtl/>
          <w:lang w:bidi="fa-IR"/>
        </w:rPr>
        <w:t xml:space="preserve"> </w:t>
      </w:r>
      <w:r w:rsidRPr="007C12DB">
        <w:rPr>
          <w:rStyle w:val="libFootnotenumChar"/>
          <w:rtl/>
        </w:rPr>
        <w:t>(6)</w:t>
      </w:r>
    </w:p>
    <w:p w:rsidR="00E3253D" w:rsidRPr="005D642E" w:rsidRDefault="00E3253D" w:rsidP="00E3253D">
      <w:pPr>
        <w:pStyle w:val="libNormal"/>
        <w:rPr>
          <w:rtl/>
          <w:lang w:bidi="fa-IR"/>
        </w:rPr>
      </w:pPr>
      <w:r w:rsidRPr="005D642E">
        <w:rPr>
          <w:rtl/>
          <w:lang w:bidi="fa-IR"/>
        </w:rPr>
        <w:t>‌</w:t>
      </w:r>
      <w:r w:rsidRPr="009B571E">
        <w:rPr>
          <w:rtl/>
        </w:rPr>
        <w:t>4772</w:t>
      </w:r>
      <w:r w:rsidRPr="00246318">
        <w:rPr>
          <w:rStyle w:val="libBold2Char"/>
          <w:rtl/>
        </w:rPr>
        <w:t xml:space="preserve"> / 33.</w:t>
      </w:r>
      <w:r w:rsidRPr="005D642E">
        <w:rPr>
          <w:rtl/>
          <w:lang w:bidi="fa-IR"/>
        </w:rPr>
        <w:t xml:space="preserve"> مُحَمَّدُ بْنُ يَحْيى ، عَنِ الْحُسَيْنِ بْنِ إِسْحَاقَ ، عَنْ عَلِيِّ بْنِ مَهْزِيَارَ ، عَنْ عَلِيِّ بْنِ إِسْمَاعِيلَ الْمِيثَمِيِّ ، عَنْ عَبْدِ الْأَعْلى مَوْلى آلِ سَامٍ ، قَالَ :</w:t>
      </w:r>
    </w:p>
    <w:p w:rsidR="00E3253D" w:rsidRPr="005D642E" w:rsidRDefault="00E3253D" w:rsidP="00E3253D">
      <w:pPr>
        <w:pStyle w:val="libNormal"/>
        <w:rPr>
          <w:rtl/>
          <w:lang w:bidi="fa-IR"/>
        </w:rPr>
      </w:pPr>
      <w:r w:rsidRPr="005D642E">
        <w:rPr>
          <w:rtl/>
          <w:lang w:bidi="fa-IR"/>
        </w:rPr>
        <w:t xml:space="preserve">قُلْتُ لِأَبِي عَبْدِ اللهِ </w:t>
      </w:r>
      <w:r w:rsidRPr="00AC51C5">
        <w:rPr>
          <w:rStyle w:val="libAlaemChar"/>
          <w:rtl/>
        </w:rPr>
        <w:t>عليه‌السلام</w:t>
      </w:r>
      <w:r w:rsidRPr="005D642E">
        <w:rPr>
          <w:rtl/>
          <w:lang w:bidi="fa-IR"/>
        </w:rPr>
        <w:t xml:space="preserve"> : قَوْلُ اللهِ عَزَّ وَجَلَّ : « إِنَّما نَعُدُّ لَهُمْ عَدًّا » </w:t>
      </w:r>
      <w:r w:rsidRPr="007C12DB">
        <w:rPr>
          <w:rStyle w:val="libFootnotenumChar"/>
          <w:rtl/>
        </w:rPr>
        <w:t>(7)</w:t>
      </w:r>
      <w:r>
        <w:rPr>
          <w:rtl/>
          <w:lang w:bidi="fa-IR"/>
        </w:rPr>
        <w:t>؟</w:t>
      </w:r>
    </w:p>
    <w:p w:rsidR="00E3253D" w:rsidRPr="005D642E" w:rsidRDefault="00E3253D" w:rsidP="00E3253D">
      <w:pPr>
        <w:pStyle w:val="libNormal"/>
        <w:rPr>
          <w:rtl/>
          <w:lang w:bidi="fa-IR"/>
        </w:rPr>
      </w:pPr>
      <w:r w:rsidRPr="005D642E">
        <w:rPr>
          <w:rtl/>
          <w:lang w:bidi="fa-IR"/>
        </w:rPr>
        <w:t xml:space="preserve">قَالَ : « مَا </w:t>
      </w:r>
      <w:r w:rsidRPr="007C12DB">
        <w:rPr>
          <w:rStyle w:val="libFootnotenumChar"/>
          <w:rtl/>
        </w:rPr>
        <w:t>(8)</w:t>
      </w:r>
      <w:r w:rsidRPr="005D642E">
        <w:rPr>
          <w:rtl/>
          <w:lang w:bidi="fa-IR"/>
        </w:rPr>
        <w:t xml:space="preserve"> هُوَ عِنْدَكَ</w:t>
      </w:r>
      <w:r>
        <w:rPr>
          <w:rtl/>
          <w:lang w:bidi="fa-IR"/>
        </w:rPr>
        <w:t>؟</w:t>
      </w:r>
      <w:r w:rsidRPr="005D642E">
        <w:rPr>
          <w:rtl/>
          <w:lang w:bidi="fa-IR"/>
        </w:rPr>
        <w:t xml:space="preserve"> » قُلْتُ : عَدَدُ الْأَيَّامِ ، قَالَ </w:t>
      </w:r>
      <w:r w:rsidRPr="007C12DB">
        <w:rPr>
          <w:rStyle w:val="libFootnotenumChar"/>
          <w:rtl/>
        </w:rPr>
        <w:t>(9)</w:t>
      </w:r>
      <w:r w:rsidRPr="005D642E">
        <w:rPr>
          <w:rtl/>
          <w:lang w:bidi="fa-IR"/>
        </w:rPr>
        <w:t xml:space="preserve"> : « إِنَّ الْآبَاءَ وَالْأُمَّهَاتِ يُحْصُونَ ذلِكَ ، لَا وَلكِنَّهُ عَدَدُ </w:t>
      </w:r>
      <w:r w:rsidRPr="007C12DB">
        <w:rPr>
          <w:rStyle w:val="libFootnotenumChar"/>
          <w:rtl/>
        </w:rPr>
        <w:t>(10)</w:t>
      </w:r>
      <w:r w:rsidRPr="005D642E">
        <w:rPr>
          <w:rtl/>
          <w:lang w:bidi="fa-IR"/>
        </w:rPr>
        <w:t xml:space="preserve"> الْأَنْفَاسِ</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Normal"/>
        <w:rPr>
          <w:rtl/>
          <w:lang w:bidi="fa-IR"/>
        </w:rPr>
      </w:pPr>
      <w:r w:rsidRPr="009B571E">
        <w:rPr>
          <w:rtl/>
        </w:rPr>
        <w:t>4773</w:t>
      </w:r>
      <w:r w:rsidRPr="00246318">
        <w:rPr>
          <w:rStyle w:val="libBold2Char"/>
          <w:rtl/>
        </w:rPr>
        <w:t xml:space="preserve"> / 34.</w:t>
      </w:r>
      <w:r w:rsidRPr="005D642E">
        <w:rPr>
          <w:rtl/>
          <w:lang w:bidi="fa-IR"/>
        </w:rPr>
        <w:t xml:space="preserve"> عَنْهُ </w:t>
      </w:r>
      <w:r w:rsidRPr="007C12DB">
        <w:rPr>
          <w:rStyle w:val="libFootnotenumChar"/>
          <w:rtl/>
        </w:rPr>
        <w:t>(12)</w:t>
      </w:r>
      <w:r w:rsidRPr="005D642E">
        <w:rPr>
          <w:rtl/>
          <w:lang w:bidi="fa-IR"/>
        </w:rPr>
        <w:t xml:space="preserve"> ، عَنْ فَضَالَةَ ، عَنْ مُوسَى بْنِ بَكْرٍ ، عَنْ زُرَارَةَ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الْحَيَاةُ وَالْمَوْتُ خَلْقَانِ مِنْ خَلْقِ اللهِ ، فَإِذَا جَاءَ الْمَوْتُ ، فَدَخَلَ فِي الْإِنْسَانِ ، </w:t>
      </w:r>
      <w:r w:rsidR="00821817">
        <w:rPr>
          <w:rtl/>
          <w:lang w:bidi="fa-IR"/>
        </w:rPr>
        <w:t>لَمْ يَدْخُلْ فِي شَيْ‌ءٍ إِل</w:t>
      </w:r>
      <w:r w:rsidR="00821817">
        <w:rPr>
          <w:rFonts w:hint="cs"/>
          <w:rtl/>
          <w:lang w:bidi="fa-IR"/>
        </w:rPr>
        <w:t>َّ</w:t>
      </w:r>
      <w:r w:rsidR="00821817">
        <w:rPr>
          <w:rtl/>
          <w:lang w:bidi="fa-IR"/>
        </w:rPr>
        <w:t>ا</w:t>
      </w:r>
      <w:r w:rsidRPr="005D642E">
        <w:rPr>
          <w:rtl/>
          <w:lang w:bidi="fa-IR"/>
        </w:rPr>
        <w:t xml:space="preserve"> وَخَرَجَتْ </w:t>
      </w:r>
      <w:r w:rsidRPr="007C12DB">
        <w:rPr>
          <w:rStyle w:val="libFootnotenumChar"/>
          <w:rtl/>
        </w:rPr>
        <w:t>(13)</w:t>
      </w:r>
      <w:r w:rsidRPr="005D642E">
        <w:rPr>
          <w:rtl/>
          <w:lang w:bidi="fa-IR"/>
        </w:rPr>
        <w:t xml:space="preserve"> مِنْهُ‌</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821817">
      <w:pPr>
        <w:pStyle w:val="libFootnote0"/>
        <w:rPr>
          <w:rtl/>
          <w:lang w:bidi="fa-IR"/>
        </w:rPr>
      </w:pPr>
      <w:r w:rsidRPr="0042621E">
        <w:rPr>
          <w:rStyle w:val="libFootnote0Char"/>
          <w:rtl/>
        </w:rPr>
        <w:t>(1).</w:t>
      </w:r>
      <w:r w:rsidR="00E3253D">
        <w:rPr>
          <w:rtl/>
        </w:rPr>
        <w:t xml:space="preserve"> </w:t>
      </w:r>
      <w:r w:rsidR="00E3253D" w:rsidRPr="005D642E">
        <w:rPr>
          <w:rtl/>
        </w:rPr>
        <w:t xml:space="preserve">في </w:t>
      </w:r>
      <w:r w:rsidR="00E3253D" w:rsidRPr="002F4D34">
        <w:rPr>
          <w:rStyle w:val="libFootnoteBoldChar"/>
          <w:rtl/>
        </w:rPr>
        <w:t>الوافي</w:t>
      </w:r>
      <w:r w:rsidR="00E3253D" w:rsidRPr="005D642E">
        <w:rPr>
          <w:rtl/>
        </w:rPr>
        <w:t xml:space="preserve"> : « الراقي ، من الرقية ، فسّره بالطبيب ؛ لأنّها نوع طبابة ، وفسّر الظنّ باليقين ؛ لأنّه هاهنا بمعنى العلم ، وفسّر الساقين بالدنيا والآخرة ؛ لأنّ الساق بمعنى الشدّة ، وللدنيا شدّة ، وللآخرة شدّة ، والتفّ آخر شدّة الدنيا بأوّل شدّة الآخرة حينئذٍ ، فأراد بالدنيا والآخرة شدّتهما</w:t>
      </w:r>
      <w:r w:rsidR="00E3253D">
        <w:rPr>
          <w:rtl/>
        </w:rPr>
        <w:t xml:space="preserve"> ».</w:t>
      </w:r>
      <w:r w:rsidR="00E3253D" w:rsidRPr="005D642E">
        <w:rPr>
          <w:rtl/>
        </w:rPr>
        <w:t xml:space="preserve"> وللمزيد راجع : </w:t>
      </w:r>
      <w:r w:rsidR="00E3253D" w:rsidRPr="002F4D34">
        <w:rPr>
          <w:rStyle w:val="libFootnoteBoldChar"/>
          <w:rtl/>
        </w:rPr>
        <w:t>مجمع البيان</w:t>
      </w:r>
      <w:r w:rsidR="00E3253D" w:rsidRPr="005D642E">
        <w:rPr>
          <w:rtl/>
        </w:rPr>
        <w:t xml:space="preserve"> ، ج 10 ، ص 202 ، ذيل الآيات المذكورة.</w:t>
      </w:r>
      <w:r w:rsidR="00821817">
        <w:rPr>
          <w:rFonts w:hint="cs"/>
          <w:rtl/>
        </w:rPr>
        <w:t xml:space="preserve">         </w:t>
      </w:r>
      <w:r w:rsidR="001F7EDD">
        <w:rPr>
          <w:rFonts w:hint="cs"/>
          <w:rtl/>
        </w:rPr>
        <w:t xml:space="preserve">                              </w:t>
      </w:r>
      <w:r w:rsidR="00821817">
        <w:rPr>
          <w:rFonts w:hint="cs"/>
          <w:rtl/>
        </w:rPr>
        <w:t xml:space="preserve">    </w:t>
      </w:r>
      <w:r w:rsidRPr="0042621E">
        <w:rPr>
          <w:rStyle w:val="libFootnote0Char"/>
          <w:rtl/>
        </w:rPr>
        <w:t>(2).</w:t>
      </w:r>
      <w:r w:rsidR="00E3253D" w:rsidRPr="005D642E">
        <w:rPr>
          <w:rtl/>
        </w:rPr>
        <w:t xml:space="preserve"> في « بث ، بح ، جح » : « وأيقن</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821817" w:rsidTr="00821817">
        <w:tc>
          <w:tcPr>
            <w:tcW w:w="4006" w:type="dxa"/>
          </w:tcPr>
          <w:p w:rsidR="00821817" w:rsidRDefault="00821817" w:rsidP="00E3253D">
            <w:pPr>
              <w:pStyle w:val="libFootnote0"/>
              <w:rPr>
                <w:rStyle w:val="libFootnote0Char"/>
                <w:rtl/>
              </w:rPr>
            </w:pPr>
            <w:r w:rsidRPr="0042621E">
              <w:rPr>
                <w:rStyle w:val="libFootnote0Char"/>
                <w:rtl/>
              </w:rPr>
              <w:t>(3).</w:t>
            </w:r>
            <w:r w:rsidRPr="005D642E">
              <w:rPr>
                <w:rtl/>
              </w:rPr>
              <w:t xml:space="preserve"> في « ى » : « بمفارقته</w:t>
            </w:r>
            <w:r>
              <w:rPr>
                <w:rtl/>
              </w:rPr>
              <w:t xml:space="preserve"> ».</w:t>
            </w:r>
          </w:p>
        </w:tc>
        <w:tc>
          <w:tcPr>
            <w:tcW w:w="4006" w:type="dxa"/>
          </w:tcPr>
          <w:p w:rsidR="00821817" w:rsidRDefault="00821817" w:rsidP="00E3253D">
            <w:pPr>
              <w:pStyle w:val="libFootnote0"/>
              <w:rPr>
                <w:rStyle w:val="libFootnote0Char"/>
                <w:rtl/>
              </w:rPr>
            </w:pPr>
            <w:r w:rsidRPr="0042621E">
              <w:rPr>
                <w:rStyle w:val="libFootnote0Char"/>
                <w:rtl/>
              </w:rPr>
              <w:t>(4).</w:t>
            </w:r>
            <w:r>
              <w:rPr>
                <w:rtl/>
              </w:rPr>
              <w:t xml:space="preserve"> في «بخ» وحاشية «بث</w:t>
            </w:r>
            <w:r w:rsidRPr="005D642E">
              <w:rPr>
                <w:rtl/>
              </w:rPr>
              <w:t xml:space="preserve">» </w:t>
            </w:r>
            <w:r w:rsidRPr="000D749A">
              <w:rPr>
                <w:rStyle w:val="libFootnoteBoldChar"/>
                <w:rtl/>
              </w:rPr>
              <w:t>والوافي</w:t>
            </w:r>
            <w:r>
              <w:rPr>
                <w:rtl/>
              </w:rPr>
              <w:t xml:space="preserve"> :«</w:t>
            </w:r>
            <w:r w:rsidRPr="005D642E">
              <w:rPr>
                <w:rtl/>
              </w:rPr>
              <w:t>الأحباب</w:t>
            </w:r>
            <w:r>
              <w:rPr>
                <w:rtl/>
              </w:rPr>
              <w:t>».</w:t>
            </w:r>
          </w:p>
        </w:tc>
      </w:tr>
    </w:tbl>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القيامة (75) : 29</w:t>
      </w:r>
      <w:r w:rsidR="00E3253D">
        <w:rPr>
          <w:rtl/>
        </w:rPr>
        <w:t xml:space="preserve"> </w:t>
      </w:r>
      <w:r w:rsidR="007642BC">
        <w:rPr>
          <w:rtl/>
        </w:rPr>
        <w:t>-</w:t>
      </w:r>
      <w:r w:rsidR="00E3253D">
        <w:rPr>
          <w:rtl/>
        </w:rPr>
        <w:t xml:space="preserve"> </w:t>
      </w:r>
      <w:r w:rsidR="00E3253D" w:rsidRPr="005D642E">
        <w:rPr>
          <w:rtl/>
        </w:rPr>
        <w:t>30.</w:t>
      </w:r>
    </w:p>
    <w:p w:rsidR="00E3253D" w:rsidRPr="005D642E" w:rsidRDefault="0042621E" w:rsidP="00821817">
      <w:pPr>
        <w:pStyle w:val="libFootnote0"/>
        <w:rPr>
          <w:rtl/>
          <w:lang w:bidi="fa-IR"/>
        </w:rPr>
      </w:pPr>
      <w:r w:rsidRPr="0042621E">
        <w:rPr>
          <w:rStyle w:val="libFootnote0Char"/>
          <w:rtl/>
        </w:rPr>
        <w:t>(6).</w:t>
      </w:r>
      <w:r w:rsidR="00E3253D" w:rsidRPr="005D642E">
        <w:rPr>
          <w:rtl/>
        </w:rPr>
        <w:t xml:space="preserve"> </w:t>
      </w:r>
      <w:r w:rsidR="000D749A" w:rsidRPr="000D749A">
        <w:rPr>
          <w:rStyle w:val="libFootnoteBoldChar"/>
          <w:rtl/>
        </w:rPr>
        <w:t>الأمالي للصدوق</w:t>
      </w:r>
      <w:r w:rsidR="00E3253D" w:rsidRPr="005D642E">
        <w:rPr>
          <w:rtl/>
        </w:rPr>
        <w:t xml:space="preserve"> ، ص 307 ، المجلس 51 ، ح 1 ، بسند آخر ، مع اختلاف يسير </w:t>
      </w:r>
      <w:r w:rsidR="00821817">
        <w:rPr>
          <w:rFonts w:hint="cs"/>
          <w:rtl/>
        </w:rPr>
        <w:t>.</w:t>
      </w:r>
      <w:r w:rsidR="00E3253D" w:rsidRPr="002F4D34">
        <w:rPr>
          <w:rStyle w:val="libFootnoteBoldChar"/>
          <w:rtl/>
        </w:rPr>
        <w:t>الوافي</w:t>
      </w:r>
      <w:r w:rsidR="00E3253D" w:rsidRPr="005D642E">
        <w:rPr>
          <w:rtl/>
        </w:rPr>
        <w:t xml:space="preserve"> ، ج 24 ، ص 197 ، ح 23888.</w:t>
      </w:r>
      <w:r w:rsidR="00821817">
        <w:rPr>
          <w:rFonts w:hint="cs"/>
          <w:rtl/>
        </w:rPr>
        <w:t xml:space="preserve"> </w:t>
      </w:r>
      <w:r w:rsidR="001F7EDD">
        <w:rPr>
          <w:rFonts w:hint="cs"/>
          <w:rtl/>
        </w:rPr>
        <w:t xml:space="preserve">                              </w:t>
      </w:r>
      <w:r w:rsidR="00821817">
        <w:rPr>
          <w:rFonts w:hint="cs"/>
          <w:rtl/>
        </w:rPr>
        <w:t xml:space="preserve">      </w:t>
      </w:r>
      <w:r w:rsidRPr="0042621E">
        <w:rPr>
          <w:rStyle w:val="libFootnote0Char"/>
          <w:rtl/>
        </w:rPr>
        <w:t>(7).</w:t>
      </w:r>
      <w:r w:rsidR="00E3253D" w:rsidRPr="005D642E">
        <w:rPr>
          <w:rtl/>
        </w:rPr>
        <w:t xml:space="preserve"> مريم (19) : 84.</w:t>
      </w:r>
    </w:p>
    <w:tbl>
      <w:tblPr>
        <w:tblStyle w:val="TableGrid"/>
        <w:bidiVisual/>
        <w:tblW w:w="0" w:type="auto"/>
        <w:tblLook w:val="04A0" w:firstRow="1" w:lastRow="0" w:firstColumn="1" w:lastColumn="0" w:noHBand="0" w:noVBand="1"/>
      </w:tblPr>
      <w:tblGrid>
        <w:gridCol w:w="4006"/>
        <w:gridCol w:w="4006"/>
      </w:tblGrid>
      <w:tr w:rsidR="00821817" w:rsidTr="00821817">
        <w:tc>
          <w:tcPr>
            <w:tcW w:w="4006" w:type="dxa"/>
          </w:tcPr>
          <w:p w:rsidR="00821817" w:rsidRDefault="00821817" w:rsidP="00E3253D">
            <w:pPr>
              <w:pStyle w:val="libFootnote0"/>
              <w:rPr>
                <w:rStyle w:val="libFootnote0Char"/>
                <w:rtl/>
              </w:rPr>
            </w:pPr>
            <w:r w:rsidRPr="0042621E">
              <w:rPr>
                <w:rStyle w:val="libFootnote0Char"/>
                <w:rtl/>
              </w:rPr>
              <w:t>(8).</w:t>
            </w:r>
            <w:r w:rsidRPr="005D642E">
              <w:rPr>
                <w:rtl/>
              </w:rPr>
              <w:t xml:space="preserve"> في البحار : « فما</w:t>
            </w:r>
            <w:r>
              <w:rPr>
                <w:rtl/>
              </w:rPr>
              <w:t xml:space="preserve"> ».</w:t>
            </w:r>
          </w:p>
        </w:tc>
        <w:tc>
          <w:tcPr>
            <w:tcW w:w="4006" w:type="dxa"/>
          </w:tcPr>
          <w:p w:rsidR="00821817" w:rsidRDefault="00821817" w:rsidP="00E3253D">
            <w:pPr>
              <w:pStyle w:val="libFootnote0"/>
              <w:rPr>
                <w:rStyle w:val="libFootnote0Char"/>
                <w:rtl/>
              </w:rPr>
            </w:pPr>
            <w:r w:rsidRPr="0042621E">
              <w:rPr>
                <w:rStyle w:val="libFootnote0Char"/>
                <w:rtl/>
              </w:rPr>
              <w:t>(9).</w:t>
            </w:r>
            <w:r w:rsidRPr="005D642E">
              <w:rPr>
                <w:rtl/>
              </w:rPr>
              <w:t xml:space="preserve"> في « بخ » </w:t>
            </w:r>
            <w:r w:rsidRPr="000D749A">
              <w:rPr>
                <w:rStyle w:val="libFootnoteBoldChar"/>
                <w:rtl/>
              </w:rPr>
              <w:t>والوافي</w:t>
            </w:r>
            <w:r w:rsidRPr="005D642E">
              <w:rPr>
                <w:rtl/>
              </w:rPr>
              <w:t xml:space="preserve"> : « فقال</w:t>
            </w:r>
            <w:r>
              <w:rPr>
                <w:rtl/>
              </w:rPr>
              <w:t xml:space="preserve"> ».</w:t>
            </w:r>
          </w:p>
        </w:tc>
      </w:tr>
    </w:tbl>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في « ى » : « عدّ</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تفسير القمّي</w:t>
      </w:r>
      <w:r w:rsidR="00E3253D" w:rsidRPr="005D642E">
        <w:rPr>
          <w:rtl/>
        </w:rPr>
        <w:t xml:space="preserve"> ، ج 2 ، ص 53 ، من دون الإسناد إلى المعصوم </w:t>
      </w:r>
      <w:r w:rsidR="00E3253D" w:rsidRPr="00821817">
        <w:rPr>
          <w:rStyle w:val="libFootnoteAlaemChar"/>
          <w:rtl/>
        </w:rPr>
        <w:t>عليه‌السلام</w:t>
      </w:r>
      <w:r w:rsidR="00E3253D" w:rsidRPr="005D642E">
        <w:rPr>
          <w:rtl/>
        </w:rPr>
        <w:t xml:space="preserve"> ، مع اختلاف يسير </w:t>
      </w:r>
      <w:r w:rsidR="00821817">
        <w:rPr>
          <w:rFonts w:hint="cs"/>
          <w:rtl/>
        </w:rPr>
        <w:t>.</w:t>
      </w:r>
      <w:r w:rsidR="00E3253D" w:rsidRPr="002F4D34">
        <w:rPr>
          <w:rStyle w:val="libFootnoteBoldChar"/>
          <w:rtl/>
        </w:rPr>
        <w:t>الوافي</w:t>
      </w:r>
      <w:r w:rsidR="00E3253D" w:rsidRPr="005D642E">
        <w:rPr>
          <w:rtl/>
        </w:rPr>
        <w:t xml:space="preserve"> ، ج 24 ، ص 196 ، ح 23887 ؛ </w:t>
      </w:r>
      <w:r w:rsidR="00E3253D" w:rsidRPr="002F4D34">
        <w:rPr>
          <w:rStyle w:val="libFootnoteBoldChar"/>
          <w:rtl/>
        </w:rPr>
        <w:t>البحار</w:t>
      </w:r>
      <w:r w:rsidR="00E3253D" w:rsidRPr="005D642E">
        <w:rPr>
          <w:rtl/>
        </w:rPr>
        <w:t xml:space="preserve"> ، ج 6 ، ص 145 ، ح 17.</w:t>
      </w:r>
    </w:p>
    <w:p w:rsidR="00E3253D" w:rsidRPr="005D642E" w:rsidRDefault="0042621E" w:rsidP="00E3253D">
      <w:pPr>
        <w:pStyle w:val="libFootnote0"/>
        <w:rPr>
          <w:rtl/>
          <w:lang w:bidi="fa-IR"/>
        </w:rPr>
      </w:pPr>
      <w:r w:rsidRPr="0042621E">
        <w:rPr>
          <w:rStyle w:val="libFootnote0Char"/>
          <w:rtl/>
        </w:rPr>
        <w:t>(12).</w:t>
      </w:r>
      <w:r w:rsidR="00E3253D" w:rsidRPr="005D642E">
        <w:rPr>
          <w:rtl/>
        </w:rPr>
        <w:t xml:space="preserve"> الضمير راجع إلى عليّ بن مهزيار المذكور في السند السابق.</w:t>
      </w:r>
    </w:p>
    <w:p w:rsidR="00E3253D" w:rsidRPr="005D642E" w:rsidRDefault="0042621E" w:rsidP="00E3253D">
      <w:pPr>
        <w:pStyle w:val="libFootnote0"/>
        <w:rPr>
          <w:rtl/>
          <w:lang w:bidi="fa-IR"/>
        </w:rPr>
      </w:pPr>
      <w:r w:rsidRPr="0042621E">
        <w:rPr>
          <w:rStyle w:val="libFootnote0Char"/>
          <w:rtl/>
        </w:rPr>
        <w:t>(13).</w:t>
      </w:r>
      <w:r w:rsidR="00E3253D" w:rsidRPr="005D642E">
        <w:rPr>
          <w:rtl/>
        </w:rPr>
        <w:t xml:space="preserve"> هكذا في معظم النسخ التي قوبلت </w:t>
      </w:r>
      <w:r w:rsidR="000D749A" w:rsidRPr="00821817">
        <w:rPr>
          <w:rtl/>
        </w:rPr>
        <w:t>والوافي</w:t>
      </w:r>
      <w:r w:rsidR="00E3253D" w:rsidRPr="005D642E">
        <w:rPr>
          <w:rtl/>
        </w:rPr>
        <w:t xml:space="preserve"> والبحار. وفي « ى » والمطبوع : « وقد خرجت</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الْحَيَاةُ</w:t>
      </w:r>
      <w:r>
        <w:rPr>
          <w:rtl/>
          <w:lang w:bidi="fa-IR"/>
        </w:rPr>
        <w:t xml:space="preserve"> ».</w:t>
      </w:r>
      <w:r w:rsidRPr="005D642E">
        <w:rPr>
          <w:rtl/>
          <w:lang w:bidi="fa-IR"/>
        </w:rPr>
        <w:t xml:space="preserve"> </w:t>
      </w:r>
      <w:r w:rsidRPr="007C12DB">
        <w:rPr>
          <w:rStyle w:val="libFootnotenumChar"/>
          <w:rtl/>
        </w:rPr>
        <w:t>(1)</w:t>
      </w:r>
      <w:r w:rsidRPr="005D642E">
        <w:rPr>
          <w:rtl/>
          <w:lang w:bidi="fa-IR"/>
        </w:rPr>
        <w:t xml:space="preserve"> ‌</w:t>
      </w:r>
    </w:p>
    <w:p w:rsidR="00E3253D" w:rsidRPr="005D642E" w:rsidRDefault="00E3253D" w:rsidP="00E3253D">
      <w:pPr>
        <w:pStyle w:val="libNormal"/>
        <w:rPr>
          <w:rtl/>
          <w:lang w:bidi="fa-IR"/>
        </w:rPr>
      </w:pPr>
      <w:r w:rsidRPr="009B571E">
        <w:rPr>
          <w:rtl/>
        </w:rPr>
        <w:t>4774</w:t>
      </w:r>
      <w:r w:rsidRPr="00246318">
        <w:rPr>
          <w:rStyle w:val="libBold2Char"/>
          <w:rtl/>
        </w:rPr>
        <w:t xml:space="preserve"> / 35.</w:t>
      </w:r>
      <w:r w:rsidRPr="005D642E">
        <w:rPr>
          <w:rtl/>
          <w:lang w:bidi="fa-IR"/>
        </w:rPr>
        <w:t xml:space="preserve"> عِدَّةٌ مِنْ أَصْحَابِنَا ، عَنْ سَهْلِ بْنِ زِيَادٍ ، عَنْ بَعْضِ أَصْحَابِهِ ، عَنْ مُحَمَّدِ بْنِ سُكَيْنٍ </w:t>
      </w:r>
      <w:r w:rsidRPr="007C12DB">
        <w:rPr>
          <w:rStyle w:val="libFootnotenumChar"/>
          <w:rtl/>
        </w:rPr>
        <w:t>(2)</w:t>
      </w:r>
      <w:r w:rsidRPr="005D642E">
        <w:rPr>
          <w:rtl/>
          <w:lang w:bidi="fa-IR"/>
        </w:rPr>
        <w:t xml:space="preserve"> ، قَالَ :</w:t>
      </w:r>
    </w:p>
    <w:p w:rsidR="00E3253D" w:rsidRPr="005D642E" w:rsidRDefault="00E3253D" w:rsidP="00E3253D">
      <w:pPr>
        <w:pStyle w:val="libNormal"/>
        <w:rPr>
          <w:rtl/>
          <w:lang w:bidi="fa-IR"/>
        </w:rPr>
      </w:pPr>
      <w:r w:rsidRPr="005D642E">
        <w:rPr>
          <w:rtl/>
          <w:lang w:bidi="fa-IR"/>
        </w:rPr>
        <w:t xml:space="preserve">سُئِلَ أَبُو عَبْدِ اللهِ </w:t>
      </w:r>
      <w:r w:rsidRPr="00AC51C5">
        <w:rPr>
          <w:rStyle w:val="libAlaemChar"/>
          <w:rtl/>
        </w:rPr>
        <w:t>عليه‌السلام</w:t>
      </w:r>
      <w:r w:rsidRPr="005D642E">
        <w:rPr>
          <w:rtl/>
          <w:lang w:bidi="fa-IR"/>
        </w:rPr>
        <w:t xml:space="preserve"> عَنِ الرَّجُلِ يَقُولُ : اسْتَأْثَرَ اللهُ بِفُلَانٍ </w:t>
      </w:r>
      <w:r w:rsidRPr="007C12DB">
        <w:rPr>
          <w:rStyle w:val="libFootnotenumChar"/>
          <w:rtl/>
        </w:rPr>
        <w:t>(3)</w:t>
      </w:r>
      <w:r>
        <w:rPr>
          <w:rtl/>
          <w:lang w:bidi="fa-IR"/>
        </w:rPr>
        <w:t>؟</w:t>
      </w:r>
    </w:p>
    <w:p w:rsidR="00E3253D" w:rsidRPr="005D642E" w:rsidRDefault="00E3253D" w:rsidP="00E3253D">
      <w:pPr>
        <w:pStyle w:val="libNormal"/>
        <w:rPr>
          <w:rtl/>
          <w:lang w:bidi="fa-IR"/>
        </w:rPr>
      </w:pPr>
      <w:r w:rsidRPr="005D642E">
        <w:rPr>
          <w:rtl/>
          <w:lang w:bidi="fa-IR"/>
        </w:rPr>
        <w:t>فَقَالَ : « ذَا مَكْرُوهٌ</w:t>
      </w:r>
      <w:r>
        <w:rPr>
          <w:rtl/>
          <w:lang w:bidi="fa-IR"/>
        </w:rPr>
        <w:t xml:space="preserve"> ».</w:t>
      </w:r>
    </w:p>
    <w:p w:rsidR="00E3253D" w:rsidRPr="005D642E" w:rsidRDefault="00E3253D" w:rsidP="00E3253D">
      <w:pPr>
        <w:pStyle w:val="libNormal"/>
        <w:rPr>
          <w:rtl/>
          <w:lang w:bidi="fa-IR"/>
        </w:rPr>
      </w:pPr>
      <w:r w:rsidRPr="005D642E">
        <w:rPr>
          <w:rtl/>
          <w:lang w:bidi="fa-IR"/>
        </w:rPr>
        <w:t xml:space="preserve">فَقِيلَ </w:t>
      </w:r>
      <w:r w:rsidRPr="007C12DB">
        <w:rPr>
          <w:rStyle w:val="libFootnotenumChar"/>
          <w:rtl/>
        </w:rPr>
        <w:t>(4)</w:t>
      </w:r>
      <w:r w:rsidRPr="005D642E">
        <w:rPr>
          <w:rtl/>
          <w:lang w:bidi="fa-IR"/>
        </w:rPr>
        <w:t xml:space="preserve"> : فُلَانٌ يَجُودُ بِنَفْسِهِ </w:t>
      </w:r>
      <w:r w:rsidRPr="007C12DB">
        <w:rPr>
          <w:rStyle w:val="libFootnotenumChar"/>
          <w:rtl/>
        </w:rPr>
        <w:t>(5)</w:t>
      </w:r>
      <w:r>
        <w:rPr>
          <w:rtl/>
          <w:lang w:bidi="fa-IR"/>
        </w:rPr>
        <w:t>؟</w:t>
      </w:r>
    </w:p>
    <w:p w:rsidR="00E3253D" w:rsidRPr="005D642E" w:rsidRDefault="00E3253D" w:rsidP="00D80930">
      <w:pPr>
        <w:pStyle w:val="libNormal"/>
        <w:rPr>
          <w:rtl/>
          <w:lang w:bidi="fa-IR"/>
        </w:rPr>
      </w:pPr>
      <w:r>
        <w:rPr>
          <w:rtl/>
          <w:lang w:bidi="fa-IR"/>
        </w:rPr>
        <w:t>فَقَالَ : « لَا بَأْسَ ، أَ</w:t>
      </w:r>
      <w:r w:rsidRPr="005D642E">
        <w:rPr>
          <w:rtl/>
          <w:lang w:bidi="fa-IR"/>
        </w:rPr>
        <w:t xml:space="preserve">مَا تَرَاهُ يَفْتَحُ فَاهُ عِنْدَ مَوْتِهِ مَرَّتَيْنِ أَوْ ثَلَاثَةً </w:t>
      </w:r>
      <w:r w:rsidRPr="007C12DB">
        <w:rPr>
          <w:rStyle w:val="libFootnotenumChar"/>
          <w:rtl/>
        </w:rPr>
        <w:t>(6)</w:t>
      </w:r>
      <w:r w:rsidRPr="005D642E">
        <w:rPr>
          <w:rtl/>
          <w:lang w:bidi="fa-IR"/>
        </w:rPr>
        <w:t xml:space="preserve"> ، فَذلِكَ </w:t>
      </w:r>
      <w:r w:rsidRPr="007C12DB">
        <w:rPr>
          <w:rStyle w:val="libFootnotenumChar"/>
          <w:rtl/>
        </w:rPr>
        <w:t>(7)</w:t>
      </w:r>
      <w:r w:rsidRPr="005D642E">
        <w:rPr>
          <w:rtl/>
          <w:lang w:bidi="fa-IR"/>
        </w:rPr>
        <w:t xml:space="preserve"> حِينَ يَجُودُ بِهَا ؛ لِمَا يَرى مِنْ ثَوَابِ اللهِ عَزَّ وَجَلَّ ، وَقَدْ كَانَ بِهذَا </w:t>
      </w:r>
      <w:r w:rsidRPr="007C12DB">
        <w:rPr>
          <w:rStyle w:val="libFootnotenumChar"/>
          <w:rtl/>
        </w:rPr>
        <w:t>(8)</w:t>
      </w:r>
      <w:r w:rsidRPr="005D642E">
        <w:rPr>
          <w:rtl/>
          <w:lang w:bidi="fa-IR"/>
        </w:rPr>
        <w:t xml:space="preserve"> ضَنِيناً </w:t>
      </w:r>
      <w:r w:rsidRPr="007C12DB">
        <w:rPr>
          <w:rStyle w:val="libFootnotenumChar"/>
          <w:rtl/>
        </w:rPr>
        <w:t>(9)</w:t>
      </w:r>
      <w:r>
        <w:rPr>
          <w:rtl/>
          <w:lang w:bidi="fa-IR"/>
        </w:rPr>
        <w:t xml:space="preserve"> ».</w:t>
      </w:r>
      <w:r w:rsidRPr="005D642E">
        <w:rPr>
          <w:rtl/>
          <w:lang w:bidi="fa-IR"/>
        </w:rPr>
        <w:t xml:space="preserve"> </w:t>
      </w:r>
      <w:r w:rsidRPr="007C12DB">
        <w:rPr>
          <w:rStyle w:val="libFootnotenumChar"/>
          <w:rtl/>
        </w:rPr>
        <w:t>(10)</w:t>
      </w:r>
      <w:r w:rsidRPr="005D642E">
        <w:rPr>
          <w:rtl/>
          <w:lang w:bidi="fa-IR"/>
        </w:rPr>
        <w:t xml:space="preserve"> ‌</w:t>
      </w:r>
    </w:p>
    <w:p w:rsidR="00E3253D" w:rsidRPr="005D642E" w:rsidRDefault="00E3253D" w:rsidP="00E3253D">
      <w:pPr>
        <w:pStyle w:val="libNormal"/>
        <w:rPr>
          <w:rtl/>
          <w:lang w:bidi="fa-IR"/>
        </w:rPr>
      </w:pPr>
      <w:r w:rsidRPr="009B571E">
        <w:rPr>
          <w:rtl/>
        </w:rPr>
        <w:t>4775</w:t>
      </w:r>
      <w:r w:rsidRPr="00246318">
        <w:rPr>
          <w:rStyle w:val="libBold2Char"/>
          <w:rtl/>
        </w:rPr>
        <w:t xml:space="preserve"> / 36.</w:t>
      </w:r>
      <w:r w:rsidRPr="005D642E">
        <w:rPr>
          <w:rtl/>
          <w:lang w:bidi="fa-IR"/>
        </w:rPr>
        <w:t xml:space="preserve"> عَلِيُّ بْنُ إِبْرَاهِيمَ ، عَنْ أَبِيهِ ، عَنِ ابْنِ أَبِي عُمَيْرٍ ، عَنْ هِشَامِ بْنِ سَالِمٍ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قَوْماً فِيمَا مَضى قَالُوا لِنَبِيٍّ لَهُمْ : ادْعُ لَنَا رَبَّكَ يَرْفَعُ عَنَّا الْمَوْتَ ، فَدَعَا لَهُمْ ، فَرَفَعَ اللهُ عَنْهُمُ الْمَوْتَ ، فَكَثُرُوا حَتّى ضَاقَتْ عَلَيْهِمُ الْمَنَازِلُ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sidRPr="005D642E">
        <w:rPr>
          <w:rtl/>
        </w:rPr>
        <w:t xml:space="preserve"> </w:t>
      </w:r>
      <w:r w:rsidR="00E3253D" w:rsidRPr="002F4D34">
        <w:rPr>
          <w:rStyle w:val="libFootnoteBoldChar"/>
          <w:rtl/>
        </w:rPr>
        <w:t>الوافي</w:t>
      </w:r>
      <w:r w:rsidR="00E3253D" w:rsidRPr="005D642E">
        <w:rPr>
          <w:rtl/>
        </w:rPr>
        <w:t xml:space="preserve"> ، ج 24 ، ص 274 ، ح 24025 ؛ </w:t>
      </w:r>
      <w:r w:rsidR="00E3253D" w:rsidRPr="002F4D34">
        <w:rPr>
          <w:rStyle w:val="libFootnoteBoldChar"/>
          <w:rtl/>
        </w:rPr>
        <w:t>البحار</w:t>
      </w:r>
      <w:r w:rsidR="00E3253D" w:rsidRPr="005D642E">
        <w:rPr>
          <w:rtl/>
        </w:rPr>
        <w:t xml:space="preserve"> ، ج 6 ، ص 117 ، ح 2.</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بث ، بح ، بخ ، بس » </w:t>
      </w:r>
      <w:r w:rsidR="000D749A" w:rsidRPr="000D749A">
        <w:rPr>
          <w:rStyle w:val="libFootnoteBoldChar"/>
          <w:rtl/>
        </w:rPr>
        <w:t>والوافي</w:t>
      </w:r>
      <w:r w:rsidR="00E3253D" w:rsidRPr="005D642E">
        <w:rPr>
          <w:rtl/>
        </w:rPr>
        <w:t xml:space="preserve"> والوسائل : « مسكين</w:t>
      </w:r>
      <w:r w:rsidR="00E3253D">
        <w:rPr>
          <w:rtl/>
        </w:rPr>
        <w:t xml:space="preserve"> ».</w:t>
      </w:r>
    </w:p>
    <w:p w:rsidR="00E3253D" w:rsidRPr="005D642E" w:rsidRDefault="00E3253D" w:rsidP="00E3253D">
      <w:pPr>
        <w:pStyle w:val="libFootnote0"/>
        <w:rPr>
          <w:rtl/>
          <w:lang w:bidi="fa-IR"/>
        </w:rPr>
      </w:pPr>
      <w:r w:rsidRPr="00B60612">
        <w:rPr>
          <w:rtl/>
        </w:rPr>
        <w:t xml:space="preserve">والمذكور في كتب الرجال ، هو محمّد بن سكين. راجع : </w:t>
      </w:r>
      <w:r w:rsidRPr="002F4D34">
        <w:rPr>
          <w:rStyle w:val="libFootnoteBoldChar"/>
          <w:rtl/>
        </w:rPr>
        <w:t>رجال النجاشي</w:t>
      </w:r>
      <w:r w:rsidRPr="00B60612">
        <w:rPr>
          <w:rtl/>
        </w:rPr>
        <w:t xml:space="preserve"> ، ص 102 ، الرقم 254 ؛ ص 361 ، الرقم 969 ؛ ص 411 ، الرقم 1096 ؛ </w:t>
      </w:r>
      <w:r w:rsidRPr="002F4D34">
        <w:rPr>
          <w:rStyle w:val="libFootnoteBoldChar"/>
          <w:rtl/>
        </w:rPr>
        <w:t>رجال البرقي</w:t>
      </w:r>
      <w:r w:rsidRPr="00B60612">
        <w:rPr>
          <w:rtl/>
        </w:rPr>
        <w:t xml:space="preserve"> ، ص 52.</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قال الراغب : « الاستئثار : التفرّد بالشي‌ء دون غيره ، وقولهم : استأثر الله بفلان كناية عن موته ، تنبيه على أنّه ممّن اصطفاه وتفرّد تعالى به من دون الورى تشريفاً له</w:t>
      </w:r>
      <w:r w:rsidR="00E3253D">
        <w:rPr>
          <w:rtl/>
        </w:rPr>
        <w:t xml:space="preserve"> ».</w:t>
      </w:r>
      <w:r w:rsidR="00E3253D" w:rsidRPr="005D642E">
        <w:rPr>
          <w:rtl/>
        </w:rPr>
        <w:t xml:space="preserve"> وقيل : استأثر الله فلاناً وبفلان ، إذا مات وهو ممّن يرجى له الجنّة ورُجي له الغفران. راجع : </w:t>
      </w:r>
      <w:r w:rsidR="00E3253D" w:rsidRPr="002F4D34">
        <w:rPr>
          <w:rStyle w:val="libFootnoteBoldChar"/>
          <w:rtl/>
        </w:rPr>
        <w:t>المفردات</w:t>
      </w:r>
      <w:r w:rsidR="00E3253D" w:rsidRPr="005D642E">
        <w:rPr>
          <w:rtl/>
        </w:rPr>
        <w:t xml:space="preserve"> للراغب ، ص 62 ؛ </w:t>
      </w:r>
      <w:r w:rsidR="00E3253D" w:rsidRPr="002F4D34">
        <w:rPr>
          <w:rStyle w:val="libFootnoteBoldChar"/>
          <w:rtl/>
        </w:rPr>
        <w:t>لسان العرب</w:t>
      </w:r>
      <w:r w:rsidR="00E3253D" w:rsidRPr="005D642E">
        <w:rPr>
          <w:rtl/>
        </w:rPr>
        <w:t xml:space="preserve"> ج 4 ، ص 8 ( أثر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حاشية « بح » : « فقال</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 يجود بنفسه » ، قال ابن الأثير : « أي يُخرجها ويدفعها كما يدفع الإنسان ماله ، يجود به ، والجود : الكرم ، يريد أنّه كان في النزع وسياق الموت</w:t>
      </w:r>
      <w:r w:rsidR="00E3253D">
        <w:rPr>
          <w:rtl/>
        </w:rPr>
        <w:t xml:space="preserve"> ».</w:t>
      </w:r>
      <w:r w:rsidR="00E3253D" w:rsidRPr="005D642E">
        <w:rPr>
          <w:rtl/>
        </w:rPr>
        <w:t xml:space="preserve"> راجع : </w:t>
      </w:r>
      <w:r w:rsidR="00E3253D" w:rsidRPr="002F4D34">
        <w:rPr>
          <w:rStyle w:val="libFootnoteBoldChar"/>
          <w:rtl/>
        </w:rPr>
        <w:t>النهاية</w:t>
      </w:r>
      <w:r w:rsidR="00E3253D" w:rsidRPr="005D642E">
        <w:rPr>
          <w:rtl/>
        </w:rPr>
        <w:t xml:space="preserve"> ، ج 1 ، ص 312 ( جود )</w:t>
      </w:r>
      <w:r w:rsidR="00E3253D">
        <w:rPr>
          <w:rtl/>
        </w:rPr>
        <w:t>.</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بخ » : « ثلاث</w:t>
      </w:r>
      <w:r w:rsidR="00E3253D">
        <w:rPr>
          <w:rtl/>
        </w:rPr>
        <w:t xml:space="preserve"> ».</w:t>
      </w:r>
      <w:r w:rsidR="00E3253D" w:rsidRPr="005D642E">
        <w:rPr>
          <w:rtl/>
        </w:rPr>
        <w:t xml:space="preserve"> وفي الوافي والبحار والوسائل : « ثلاثاً</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0D2B6B" w:rsidTr="000D2B6B">
        <w:tc>
          <w:tcPr>
            <w:tcW w:w="4006" w:type="dxa"/>
          </w:tcPr>
          <w:p w:rsidR="000D2B6B" w:rsidRDefault="000D2B6B" w:rsidP="00E3253D">
            <w:pPr>
              <w:pStyle w:val="libFootnote0"/>
              <w:rPr>
                <w:rStyle w:val="libFootnote0Char"/>
                <w:rtl/>
              </w:rPr>
            </w:pPr>
            <w:r w:rsidRPr="0042621E">
              <w:rPr>
                <w:rStyle w:val="libFootnote0Char"/>
                <w:rtl/>
              </w:rPr>
              <w:t>(7).</w:t>
            </w:r>
            <w:r w:rsidRPr="005D642E">
              <w:rPr>
                <w:rtl/>
              </w:rPr>
              <w:t xml:space="preserve"> في الوسائل : « فذاك</w:t>
            </w:r>
            <w:r>
              <w:rPr>
                <w:rtl/>
              </w:rPr>
              <w:t xml:space="preserve"> ».</w:t>
            </w:r>
          </w:p>
        </w:tc>
        <w:tc>
          <w:tcPr>
            <w:tcW w:w="4006" w:type="dxa"/>
          </w:tcPr>
          <w:p w:rsidR="000D2B6B" w:rsidRDefault="000D2B6B" w:rsidP="00E3253D">
            <w:pPr>
              <w:pStyle w:val="libFootnote0"/>
              <w:rPr>
                <w:rStyle w:val="libFootnote0Char"/>
                <w:rtl/>
              </w:rPr>
            </w:pPr>
            <w:r w:rsidRPr="0042621E">
              <w:rPr>
                <w:rStyle w:val="libFootnote0Char"/>
                <w:rtl/>
              </w:rPr>
              <w:t>(8).</w:t>
            </w:r>
            <w:r w:rsidRPr="005D642E">
              <w:rPr>
                <w:rtl/>
              </w:rPr>
              <w:t xml:space="preserve"> في الوسائل والبحار : « بها</w:t>
            </w:r>
            <w:r>
              <w:rPr>
                <w:rtl/>
              </w:rPr>
              <w:t xml:space="preserve"> ».</w:t>
            </w:r>
          </w:p>
        </w:tc>
      </w:tr>
    </w:tbl>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 الضَنِين » : البخيل ؛ ومن الضِنّ بمعنى البخل. راجع : </w:t>
      </w:r>
      <w:r w:rsidR="00E3253D" w:rsidRPr="002F4D34">
        <w:rPr>
          <w:rStyle w:val="libFootnoteBoldChar"/>
          <w:rtl/>
        </w:rPr>
        <w:t>الصحاح</w:t>
      </w:r>
      <w:r w:rsidR="00E3253D" w:rsidRPr="005D642E">
        <w:rPr>
          <w:rtl/>
        </w:rPr>
        <w:t xml:space="preserve"> ، ج 6 ، ص 2156 ( ضنن )</w:t>
      </w:r>
      <w:r w:rsidR="00E3253D">
        <w:rPr>
          <w:rtl/>
        </w:rPr>
        <w:t>.</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الوافي</w:t>
      </w:r>
      <w:r w:rsidR="00E3253D" w:rsidRPr="005D642E">
        <w:rPr>
          <w:rtl/>
        </w:rPr>
        <w:t xml:space="preserve"> ، ج 24 ، ص 244 ، ح 23974 ؛ </w:t>
      </w:r>
      <w:r w:rsidR="00E3253D" w:rsidRPr="002F4D34">
        <w:rPr>
          <w:rStyle w:val="libFootnoteBoldChar"/>
          <w:rtl/>
        </w:rPr>
        <w:t>الوسائل</w:t>
      </w:r>
      <w:r w:rsidR="00E3253D" w:rsidRPr="005D642E">
        <w:rPr>
          <w:rtl/>
        </w:rPr>
        <w:t xml:space="preserve"> ، ج 2 ، ص 439 ، ح 2587 ؛ </w:t>
      </w:r>
      <w:r w:rsidR="00E3253D" w:rsidRPr="002F4D34">
        <w:rPr>
          <w:rStyle w:val="libFootnoteBoldChar"/>
          <w:rtl/>
        </w:rPr>
        <w:t>البحار</w:t>
      </w:r>
      <w:r w:rsidR="00E3253D" w:rsidRPr="005D642E">
        <w:rPr>
          <w:rtl/>
        </w:rPr>
        <w:t xml:space="preserve"> ، ج 6 ، ص 117 ، ح 3.</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وَكَثُرَ النَّسْلُ ، وَيُصْبِحُ </w:t>
      </w:r>
      <w:r w:rsidRPr="007C12DB">
        <w:rPr>
          <w:rStyle w:val="libFootnotenumChar"/>
          <w:rtl/>
        </w:rPr>
        <w:t>(1)</w:t>
      </w:r>
      <w:r w:rsidRPr="005D642E">
        <w:rPr>
          <w:rtl/>
          <w:lang w:bidi="fa-IR"/>
        </w:rPr>
        <w:t xml:space="preserve"> الرَّجُلُ يُطْعِمُ أَبَاهُ وَجَدَّهُ وَأُمَّهُ </w:t>
      </w:r>
      <w:r w:rsidRPr="007C12DB">
        <w:rPr>
          <w:rStyle w:val="libFootnotenumChar"/>
          <w:rtl/>
        </w:rPr>
        <w:t>(2)</w:t>
      </w:r>
      <w:r w:rsidRPr="005D642E">
        <w:rPr>
          <w:rtl/>
          <w:lang w:bidi="fa-IR"/>
        </w:rPr>
        <w:t xml:space="preserve"> وَجَدَّ جَدِّهِ ، وَيُوَضِّيهِمْ </w:t>
      </w:r>
      <w:r w:rsidRPr="007C12DB">
        <w:rPr>
          <w:rStyle w:val="libFootnotenumChar"/>
          <w:rtl/>
        </w:rPr>
        <w:t>(3)</w:t>
      </w:r>
      <w:r w:rsidRPr="005D642E">
        <w:rPr>
          <w:rtl/>
          <w:lang w:bidi="fa-IR"/>
        </w:rPr>
        <w:t xml:space="preserve"> ، وَيَتَعَاهَدُهُمْ ، فَشَغَلُوا عَنْ طَلَبِ الْمَعَاشِ ، فَقَالُوا : سَلْ لَنَا رَبَّكَ أَنْ يَرُدَّنَا إِلى حَالِنَا الَّتِي كُنَّا عَلَيْهَا ، فَسَأَلَ نَبِيُّهُمْ رَبَّهُ ، فَرَدَّهُمْ إِلى حَالِهِمْ</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9B571E">
        <w:rPr>
          <w:rtl/>
        </w:rPr>
        <w:t>4776</w:t>
      </w:r>
      <w:r w:rsidRPr="00246318">
        <w:rPr>
          <w:rStyle w:val="libBold2Char"/>
          <w:rtl/>
        </w:rPr>
        <w:t xml:space="preserve"> / 37.</w:t>
      </w:r>
      <w:r w:rsidRPr="005D642E">
        <w:rPr>
          <w:rtl/>
          <w:lang w:bidi="fa-IR"/>
        </w:rPr>
        <w:t xml:space="preserve"> عَلِيُّ بْنُ مُحَمَّدٍ ، عَنْ بَعْضِ أَصْحَابِنَا ، عَنْ عَلِيِّ بْنِ الْحَكَمِ ، عَنْ رَبِيعِ بْنِ مُحَمَّدٍ ، عَنْ عَبْدِ اللهِ بْنِ سُلَيْمٍ الْعَامِرِيِّ :</w:t>
      </w:r>
    </w:p>
    <w:p w:rsidR="00E3253D" w:rsidRPr="005D642E"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إِنَّ عِيسَى بْنَ مَرْيَمَ جَاءَ إِلى قَبْرِ يَحْيَى بْنِ زَكَرِيَّا </w:t>
      </w:r>
      <w:r w:rsidRPr="00AC51C5">
        <w:rPr>
          <w:rStyle w:val="libAlaemChar"/>
          <w:rtl/>
        </w:rPr>
        <w:t>عليه‌السلام</w:t>
      </w:r>
      <w:r w:rsidRPr="005D642E">
        <w:rPr>
          <w:rtl/>
          <w:lang w:bidi="fa-IR"/>
        </w:rPr>
        <w:t xml:space="preserve"> ، وَكَانَ سَأَلَ رَبَّهُ </w:t>
      </w:r>
      <w:r w:rsidRPr="007C12DB">
        <w:rPr>
          <w:rStyle w:val="libFootnotenumChar"/>
          <w:rtl/>
        </w:rPr>
        <w:t>(5)</w:t>
      </w:r>
      <w:r w:rsidRPr="005D642E">
        <w:rPr>
          <w:rtl/>
          <w:lang w:bidi="fa-IR"/>
        </w:rPr>
        <w:t xml:space="preserve"> أَنْ يُحْيِيَهُ لَهُ ، فَدَعَاهُ ، فَأَجَابَهُ ، وَخَرَجَ إِلَيْهِ مِنَ الْقَبْرِ ، فَقَالَ لَهُ : مَا تُرِيدُ مِنِّي</w:t>
      </w:r>
      <w:r>
        <w:rPr>
          <w:rtl/>
          <w:lang w:bidi="fa-IR"/>
        </w:rPr>
        <w:t>؟</w:t>
      </w:r>
      <w:r w:rsidRPr="005D642E">
        <w:rPr>
          <w:rtl/>
          <w:lang w:bidi="fa-IR"/>
        </w:rPr>
        <w:t xml:space="preserve"> فَقَالَ لَهُ : أُرِيدُ أَنْ تُؤْنِسَنِي كَمَا كُنْتَ فِي الدُّنْيَا ، فَقَالَ لَهُ : يَا عِيسى ، مَا سَكَنَتْ عَنِّي حَرَارَةُ </w:t>
      </w:r>
      <w:r w:rsidRPr="007C12DB">
        <w:rPr>
          <w:rStyle w:val="libFootnotenumChar"/>
          <w:rtl/>
        </w:rPr>
        <w:t>(6)</w:t>
      </w:r>
      <w:r w:rsidRPr="005D642E">
        <w:rPr>
          <w:rtl/>
          <w:lang w:bidi="fa-IR"/>
        </w:rPr>
        <w:t xml:space="preserve"> الْمَوْتِ وَأَنْتَ تُرِيدُ أَنْ تُعِيدَنِي إِلَى الدُّنْيَا ، وَتَعُودَ عَلَيَّ </w:t>
      </w:r>
      <w:r w:rsidRPr="007C12DB">
        <w:rPr>
          <w:rStyle w:val="libFootnotenumChar"/>
          <w:rtl/>
        </w:rPr>
        <w:t>(7)</w:t>
      </w:r>
      <w:r w:rsidRPr="005D642E">
        <w:rPr>
          <w:rtl/>
          <w:lang w:bidi="fa-IR"/>
        </w:rPr>
        <w:t xml:space="preserve"> حَرَارَةُ الْمَوْتِ</w:t>
      </w:r>
      <w:r>
        <w:rPr>
          <w:rtl/>
          <w:lang w:bidi="fa-IR"/>
        </w:rPr>
        <w:t>؟</w:t>
      </w:r>
      <w:r w:rsidRPr="005D642E">
        <w:rPr>
          <w:rtl/>
          <w:lang w:bidi="fa-IR"/>
        </w:rPr>
        <w:t xml:space="preserve"> فَتَرَكَهُ فَعَادَ إِلى قَبْرِهِ</w:t>
      </w:r>
      <w:r>
        <w:rPr>
          <w:rtl/>
          <w:lang w:bidi="fa-IR"/>
        </w:rPr>
        <w:t xml:space="preserve"> ».</w:t>
      </w:r>
      <w:r w:rsidRPr="005D642E">
        <w:rPr>
          <w:rtl/>
          <w:lang w:bidi="fa-IR"/>
        </w:rPr>
        <w:t xml:space="preserve"> </w:t>
      </w:r>
      <w:r w:rsidRPr="007C12DB">
        <w:rPr>
          <w:rStyle w:val="libFootnotenumChar"/>
          <w:rtl/>
        </w:rPr>
        <w:t>(8)</w:t>
      </w:r>
      <w:r w:rsidRPr="005D642E">
        <w:rPr>
          <w:rtl/>
          <w:lang w:bidi="fa-IR"/>
        </w:rPr>
        <w:t xml:space="preserve"> ‌</w:t>
      </w:r>
    </w:p>
    <w:p w:rsidR="00E3253D" w:rsidRPr="005D642E" w:rsidRDefault="00E3253D" w:rsidP="00E3253D">
      <w:pPr>
        <w:pStyle w:val="libNormal"/>
        <w:rPr>
          <w:rtl/>
          <w:lang w:bidi="fa-IR"/>
        </w:rPr>
      </w:pPr>
      <w:r w:rsidRPr="009B571E">
        <w:rPr>
          <w:rtl/>
        </w:rPr>
        <w:t>4777</w:t>
      </w:r>
      <w:r w:rsidRPr="00246318">
        <w:rPr>
          <w:rStyle w:val="libBold2Char"/>
          <w:rtl/>
        </w:rPr>
        <w:t xml:space="preserve"> / 38.</w:t>
      </w:r>
      <w:r w:rsidRPr="005D642E">
        <w:rPr>
          <w:rtl/>
          <w:lang w:bidi="fa-IR"/>
        </w:rPr>
        <w:t xml:space="preserve"> عَلِيُّ بْنُ إِبْرَاهِيمَ ، عَنْ أَبِيهِ ، عَنِ ابْنِ مَحْبُوبٍ ، عَنْ أَبِي أَيُّوبَ ، عَنْ يَزِيدَ </w:t>
      </w:r>
      <w:r w:rsidRPr="007C12DB">
        <w:rPr>
          <w:rStyle w:val="libFootnotenumChar"/>
          <w:rtl/>
        </w:rPr>
        <w:t>(9)</w:t>
      </w:r>
      <w:r w:rsidRPr="005D642E">
        <w:rPr>
          <w:rtl/>
          <w:lang w:bidi="fa-IR"/>
        </w:rPr>
        <w:t xml:space="preserve"> الْكُنَاسِيِّ :</w:t>
      </w:r>
    </w:p>
    <w:p w:rsidR="00E3253D" w:rsidRPr="005D642E" w:rsidRDefault="00E3253D" w:rsidP="00E3253D">
      <w:pPr>
        <w:pStyle w:val="libNormal"/>
        <w:rPr>
          <w:rtl/>
          <w:lang w:bidi="fa-IR"/>
        </w:rPr>
      </w:pPr>
      <w:r w:rsidRPr="005D642E">
        <w:rPr>
          <w:rtl/>
          <w:lang w:bidi="fa-IR"/>
        </w:rPr>
        <w:t xml:space="preserve">عَنْ أَبِي جَعْفَرٍ </w:t>
      </w:r>
      <w:r w:rsidRPr="00AC51C5">
        <w:rPr>
          <w:rStyle w:val="libAlaemChar"/>
          <w:rtl/>
        </w:rPr>
        <w:t>عليه‌السلام</w:t>
      </w:r>
      <w:r w:rsidRPr="005D642E">
        <w:rPr>
          <w:rtl/>
          <w:lang w:bidi="fa-IR"/>
        </w:rPr>
        <w:t xml:space="preserve"> ، قَالَ : « إِنَّ فِتْيَةً مِنْ أَوْلَادِ مُلُوكِ بَنِي إِسْرَائِيلَ كَانُوا مُتَعَبِّدِينَ ، وَكَانَتِ الْعِبَادَةُ فِي أَوْلَادِ مُلُوكِ بَنِي إِسْرَائِيلَ ، وَإِنَّهُمْ خَرَجُوا يَسِيرُونَ فِي الْبِلَادِ لِيَعْتَبِرُوا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D5AE1" w:rsidTr="002D5AE1">
        <w:tc>
          <w:tcPr>
            <w:tcW w:w="4006" w:type="dxa"/>
          </w:tcPr>
          <w:p w:rsidR="002D5AE1" w:rsidRDefault="002D5AE1" w:rsidP="00E3253D">
            <w:pPr>
              <w:pStyle w:val="libFootnote0"/>
              <w:rPr>
                <w:rStyle w:val="libFootnote0Char"/>
                <w:rtl/>
              </w:rPr>
            </w:pPr>
            <w:r w:rsidRPr="0042621E">
              <w:rPr>
                <w:rStyle w:val="libFootnote0Char"/>
                <w:rtl/>
              </w:rPr>
              <w:t>(1).</w:t>
            </w:r>
            <w:r>
              <w:rPr>
                <w:rtl/>
              </w:rPr>
              <w:t xml:space="preserve"> </w:t>
            </w:r>
            <w:r w:rsidRPr="005D642E">
              <w:rPr>
                <w:rtl/>
              </w:rPr>
              <w:t xml:space="preserve">في « بخ » </w:t>
            </w:r>
            <w:r w:rsidRPr="000D749A">
              <w:rPr>
                <w:rStyle w:val="libFootnoteBoldChar"/>
                <w:rtl/>
              </w:rPr>
              <w:t>والوافي</w:t>
            </w:r>
            <w:r w:rsidRPr="005D642E">
              <w:rPr>
                <w:rtl/>
              </w:rPr>
              <w:t xml:space="preserve"> : « وصار</w:t>
            </w:r>
            <w:r>
              <w:rPr>
                <w:rtl/>
              </w:rPr>
              <w:t xml:space="preserve"> ».</w:t>
            </w:r>
          </w:p>
        </w:tc>
        <w:tc>
          <w:tcPr>
            <w:tcW w:w="4006" w:type="dxa"/>
          </w:tcPr>
          <w:p w:rsidR="002D5AE1" w:rsidRDefault="002D5AE1" w:rsidP="00E3253D">
            <w:pPr>
              <w:pStyle w:val="libFootnote0"/>
              <w:rPr>
                <w:rStyle w:val="libFootnote0Char"/>
                <w:rtl/>
              </w:rPr>
            </w:pPr>
            <w:r w:rsidRPr="0042621E">
              <w:rPr>
                <w:rStyle w:val="libFootnote0Char"/>
                <w:rtl/>
              </w:rPr>
              <w:t>(2).</w:t>
            </w:r>
            <w:r w:rsidRPr="005D642E">
              <w:rPr>
                <w:rtl/>
              </w:rPr>
              <w:t xml:space="preserve"> في « جس » :</w:t>
            </w:r>
            <w:r>
              <w:rPr>
                <w:rtl/>
              </w:rPr>
              <w:t xml:space="preserve"> - </w:t>
            </w:r>
            <w:r w:rsidRPr="005D642E">
              <w:rPr>
                <w:rtl/>
              </w:rPr>
              <w:t>« وا</w:t>
            </w:r>
            <w:r>
              <w:rPr>
                <w:rFonts w:hint="cs"/>
                <w:rtl/>
              </w:rPr>
              <w:t>ُ</w:t>
            </w:r>
            <w:r w:rsidRPr="005D642E">
              <w:rPr>
                <w:rtl/>
              </w:rPr>
              <w:t>مّه</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بح » </w:t>
      </w:r>
      <w:r w:rsidR="000D749A" w:rsidRPr="000D749A">
        <w:rPr>
          <w:rStyle w:val="libFootnoteBoldChar"/>
          <w:rtl/>
        </w:rPr>
        <w:t>والوافي</w:t>
      </w:r>
      <w:r w:rsidR="00E3253D" w:rsidRPr="005D642E">
        <w:rPr>
          <w:rtl/>
        </w:rPr>
        <w:t xml:space="preserve"> والتوحيد : « ويرضيهم</w:t>
      </w:r>
      <w:r w:rsidR="00E3253D">
        <w:rPr>
          <w:rtl/>
        </w:rPr>
        <w:t xml:space="preserve"> ».</w:t>
      </w:r>
      <w:r w:rsidR="00E3253D" w:rsidRPr="005D642E">
        <w:rPr>
          <w:rtl/>
        </w:rPr>
        <w:t xml:space="preserve"> وفي </w:t>
      </w:r>
      <w:r w:rsidR="00E3253D" w:rsidRPr="002F4D34">
        <w:rPr>
          <w:rStyle w:val="libFootnoteBoldChar"/>
          <w:rtl/>
        </w:rPr>
        <w:t>مرآة العقول</w:t>
      </w:r>
      <w:r w:rsidR="00E3253D" w:rsidRPr="005D642E">
        <w:rPr>
          <w:rtl/>
        </w:rPr>
        <w:t xml:space="preserve"> : « قوله </w:t>
      </w:r>
      <w:r w:rsidR="00E3253D" w:rsidRPr="002D5AE1">
        <w:rPr>
          <w:rStyle w:val="libFootnoteAlaemChar"/>
          <w:rtl/>
        </w:rPr>
        <w:t>عليه‌السلام</w:t>
      </w:r>
      <w:r w:rsidR="00E3253D" w:rsidRPr="005D642E">
        <w:rPr>
          <w:rtl/>
        </w:rPr>
        <w:t xml:space="preserve"> : يوضّيهم ، أي يذهب بهم إلى الخلاء وينجّيهم ويغسلهم</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0D749A" w:rsidRPr="000D749A">
        <w:rPr>
          <w:rStyle w:val="libFootnoteBoldChar"/>
          <w:rtl/>
        </w:rPr>
        <w:t>الأمالي للصدوق</w:t>
      </w:r>
      <w:r w:rsidR="00E3253D" w:rsidRPr="005D642E">
        <w:rPr>
          <w:rtl/>
        </w:rPr>
        <w:t xml:space="preserve"> ، ص 510 ، المجلس 77 ، ح 2 ؛ و</w:t>
      </w:r>
      <w:r w:rsidR="00E3253D" w:rsidRPr="002F4D34">
        <w:rPr>
          <w:rStyle w:val="libFootnoteBoldChar"/>
          <w:rtl/>
        </w:rPr>
        <w:t xml:space="preserve">التوحيد </w:t>
      </w:r>
      <w:r w:rsidR="00E3253D" w:rsidRPr="005D642E">
        <w:rPr>
          <w:rtl/>
        </w:rPr>
        <w:t xml:space="preserve">، ص 401 ، ح 4 ، بسندهما عن محمّد بن أبي عمير ، ومع اختلاف يسير </w:t>
      </w:r>
      <w:r w:rsidR="00974C1B">
        <w:rPr>
          <w:rFonts w:hint="cs"/>
          <w:rtl/>
        </w:rPr>
        <w:t>.</w:t>
      </w:r>
      <w:r w:rsidR="00E3253D" w:rsidRPr="002F4D34">
        <w:rPr>
          <w:rStyle w:val="libFootnoteBoldChar"/>
          <w:rtl/>
        </w:rPr>
        <w:t>الوافي</w:t>
      </w:r>
      <w:r w:rsidR="00E3253D" w:rsidRPr="005D642E">
        <w:rPr>
          <w:rtl/>
        </w:rPr>
        <w:t xml:space="preserve"> ، ج 24 ، ص 19 ، ح 23883 ؛ </w:t>
      </w:r>
      <w:r w:rsidR="00E3253D" w:rsidRPr="002F4D34">
        <w:rPr>
          <w:rStyle w:val="libFootnoteBoldChar"/>
          <w:rtl/>
        </w:rPr>
        <w:t>البحار</w:t>
      </w:r>
      <w:r w:rsidR="00E3253D" w:rsidRPr="005D642E">
        <w:rPr>
          <w:rtl/>
        </w:rPr>
        <w:t xml:space="preserve"> ، ج 14 ، ص 463 ، ح 30.</w:t>
      </w:r>
    </w:p>
    <w:tbl>
      <w:tblPr>
        <w:tblStyle w:val="TableGrid"/>
        <w:bidiVisual/>
        <w:tblW w:w="0" w:type="auto"/>
        <w:tblLook w:val="04A0" w:firstRow="1" w:lastRow="0" w:firstColumn="1" w:lastColumn="0" w:noHBand="0" w:noVBand="1"/>
      </w:tblPr>
      <w:tblGrid>
        <w:gridCol w:w="4006"/>
        <w:gridCol w:w="4006"/>
      </w:tblGrid>
      <w:tr w:rsidR="00974C1B" w:rsidTr="00974C1B">
        <w:tc>
          <w:tcPr>
            <w:tcW w:w="4006" w:type="dxa"/>
          </w:tcPr>
          <w:p w:rsidR="00974C1B" w:rsidRDefault="00974C1B" w:rsidP="00E3253D">
            <w:pPr>
              <w:pStyle w:val="libFootnote0"/>
              <w:rPr>
                <w:rStyle w:val="libFootnote0Char"/>
                <w:rtl/>
              </w:rPr>
            </w:pPr>
            <w:r w:rsidRPr="0042621E">
              <w:rPr>
                <w:rStyle w:val="libFootnote0Char"/>
                <w:rtl/>
              </w:rPr>
              <w:t>(5).</w:t>
            </w:r>
            <w:r w:rsidRPr="005D642E">
              <w:rPr>
                <w:rtl/>
              </w:rPr>
              <w:t xml:space="preserve"> في « بخ » </w:t>
            </w:r>
            <w:r w:rsidRPr="000D749A">
              <w:rPr>
                <w:rStyle w:val="libFootnoteBoldChar"/>
                <w:rtl/>
              </w:rPr>
              <w:t>والوافي</w:t>
            </w:r>
            <w:r w:rsidRPr="005D642E">
              <w:rPr>
                <w:rtl/>
              </w:rPr>
              <w:t xml:space="preserve"> : « الله</w:t>
            </w:r>
            <w:r>
              <w:rPr>
                <w:rtl/>
              </w:rPr>
              <w:t xml:space="preserve"> ».</w:t>
            </w:r>
          </w:p>
        </w:tc>
        <w:tc>
          <w:tcPr>
            <w:tcW w:w="4006" w:type="dxa"/>
          </w:tcPr>
          <w:p w:rsidR="00974C1B" w:rsidRDefault="00974C1B" w:rsidP="00E3253D">
            <w:pPr>
              <w:pStyle w:val="libFootnote0"/>
              <w:rPr>
                <w:rStyle w:val="libFootnote0Char"/>
                <w:rtl/>
              </w:rPr>
            </w:pPr>
            <w:r w:rsidRPr="0042621E">
              <w:rPr>
                <w:rStyle w:val="libFootnote0Char"/>
                <w:rtl/>
              </w:rPr>
              <w:t>(6).</w:t>
            </w:r>
            <w:r>
              <w:rPr>
                <w:rtl/>
              </w:rPr>
              <w:t xml:space="preserve"> في حاشية«بخ» :«</w:t>
            </w:r>
            <w:r w:rsidRPr="005D642E">
              <w:rPr>
                <w:rtl/>
              </w:rPr>
              <w:t>مرارة</w:t>
            </w:r>
            <w:r>
              <w:rPr>
                <w:rtl/>
              </w:rPr>
              <w:t>».</w:t>
            </w:r>
            <w:r w:rsidRPr="005D642E">
              <w:rPr>
                <w:rtl/>
              </w:rPr>
              <w:t xml:space="preserve"> وفي الوافي : « حزازة</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البحار ، ج 14 : « إليّ</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w:t>
      </w:r>
      <w:r w:rsidR="00E3253D" w:rsidRPr="002F4D34">
        <w:rPr>
          <w:rStyle w:val="libFootnoteBoldChar"/>
          <w:rtl/>
        </w:rPr>
        <w:t>الوافي</w:t>
      </w:r>
      <w:r w:rsidR="00E3253D" w:rsidRPr="005D642E">
        <w:rPr>
          <w:rtl/>
        </w:rPr>
        <w:t xml:space="preserve"> ، ج 25 ، ص 691 ، ح 24824 ؛ </w:t>
      </w:r>
      <w:r w:rsidR="00E3253D" w:rsidRPr="002F4D34">
        <w:rPr>
          <w:rStyle w:val="libFootnoteBoldChar"/>
          <w:rtl/>
        </w:rPr>
        <w:t>البحار</w:t>
      </w:r>
      <w:r w:rsidR="00E3253D" w:rsidRPr="005D642E">
        <w:rPr>
          <w:rtl/>
        </w:rPr>
        <w:t xml:space="preserve"> ، ج 6 ، ص 170 ، ح 47 ؛ وج 14 ، ص 187 ، ح 37.</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في « ى ، بح ، بس ، جح » : « بريد</w:t>
      </w:r>
      <w:r w:rsidR="00E3253D">
        <w:rPr>
          <w:rtl/>
        </w:rPr>
        <w:t xml:space="preserve"> ».</w:t>
      </w:r>
      <w:r w:rsidR="00E3253D" w:rsidRPr="005D642E">
        <w:rPr>
          <w:rtl/>
        </w:rPr>
        <w:t xml:space="preserve"> وهو سهو ، كما يأتي تفصيل الكلام في </w:t>
      </w:r>
      <w:r w:rsidR="00E3253D" w:rsidRPr="002F4D34">
        <w:rPr>
          <w:rStyle w:val="libFootnoteBoldChar"/>
          <w:rtl/>
        </w:rPr>
        <w:t>الكافي</w:t>
      </w:r>
      <w:r w:rsidR="00E3253D" w:rsidRPr="005D642E">
        <w:rPr>
          <w:rtl/>
        </w:rPr>
        <w:t xml:space="preserve"> ، ذيل ح 11073 ، فلاحظ.</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فَمَرُّوا بِقَبْرٍ عَلى ظَهْرِ الطَّرِيقِ </w:t>
      </w:r>
      <w:r w:rsidRPr="007C12DB">
        <w:rPr>
          <w:rStyle w:val="libFootnotenumChar"/>
          <w:rtl/>
        </w:rPr>
        <w:t>(1)</w:t>
      </w:r>
      <w:r w:rsidRPr="005D642E">
        <w:rPr>
          <w:rtl/>
          <w:lang w:bidi="fa-IR"/>
        </w:rPr>
        <w:t xml:space="preserve"> قَدْ سَفى عَلَيْهِ السَّافِي </w:t>
      </w:r>
      <w:r w:rsidRPr="007C12DB">
        <w:rPr>
          <w:rStyle w:val="libFootnotenumChar"/>
          <w:rtl/>
        </w:rPr>
        <w:t>(2)</w:t>
      </w:r>
      <w:r w:rsidRPr="005D642E">
        <w:rPr>
          <w:rtl/>
          <w:lang w:bidi="fa-IR"/>
        </w:rPr>
        <w:t xml:space="preserve"> لَيْسَ يُبَيَّنُ </w:t>
      </w:r>
      <w:r w:rsidRPr="007C12DB">
        <w:rPr>
          <w:rStyle w:val="libFootnotenumChar"/>
          <w:rtl/>
        </w:rPr>
        <w:t>(3)</w:t>
      </w:r>
      <w:r w:rsidR="004E71B1">
        <w:rPr>
          <w:rtl/>
          <w:lang w:bidi="fa-IR"/>
        </w:rPr>
        <w:t xml:space="preserve"> مِنْهُ إِل</w:t>
      </w:r>
      <w:r w:rsidR="004E71B1">
        <w:rPr>
          <w:rFonts w:hint="cs"/>
          <w:rtl/>
          <w:lang w:bidi="fa-IR"/>
        </w:rPr>
        <w:t>َّ</w:t>
      </w:r>
      <w:r w:rsidR="004E71B1">
        <w:rPr>
          <w:rtl/>
          <w:lang w:bidi="fa-IR"/>
        </w:rPr>
        <w:t>ا</w:t>
      </w:r>
      <w:r w:rsidRPr="005D642E">
        <w:rPr>
          <w:rtl/>
          <w:lang w:bidi="fa-IR"/>
        </w:rPr>
        <w:t xml:space="preserve"> رَسْمُهُ </w:t>
      </w:r>
      <w:r w:rsidRPr="007C12DB">
        <w:rPr>
          <w:rStyle w:val="libFootnotenumChar"/>
          <w:rtl/>
        </w:rPr>
        <w:t>(4)</w:t>
      </w:r>
      <w:r w:rsidRPr="005D642E">
        <w:rPr>
          <w:rtl/>
          <w:lang w:bidi="fa-IR"/>
        </w:rPr>
        <w:t xml:space="preserve"> ، فَقَالُوا : لَوْ دَعَوْنَا اللهَ السَّاعَةَ ، فَيَنْشُرُ لَنَا صَاحِبَ هذَا الْقَبْرِ ، فَسَاءَلْنَاهُ : كَيْفَ وَجَدَ طَعْمَ الْمَوْتِ</w:t>
      </w:r>
      <w:r>
        <w:rPr>
          <w:rtl/>
          <w:lang w:bidi="fa-IR"/>
        </w:rPr>
        <w:t>؟</w:t>
      </w:r>
      <w:r w:rsidRPr="005D642E">
        <w:rPr>
          <w:rtl/>
          <w:lang w:bidi="fa-IR"/>
        </w:rPr>
        <w:t xml:space="preserve"> فَدَعَوُا اللهَ ، وَكَانَ دُعَاؤُهُمُ الَّذِي دَعَوُا اللهَ بِهِ </w:t>
      </w:r>
      <w:r w:rsidRPr="007C12DB">
        <w:rPr>
          <w:rStyle w:val="libFootnotenumChar"/>
          <w:rtl/>
        </w:rPr>
        <w:t>(5)</w:t>
      </w:r>
      <w:r w:rsidRPr="005D642E">
        <w:rPr>
          <w:rtl/>
          <w:lang w:bidi="fa-IR"/>
        </w:rPr>
        <w:t xml:space="preserve"> : أَنْتَ إِلهُنَا ، يَا رَبَّنَا ، لَيْسَ لَنَا إِلهٌ غَيْرُكَ ، وَالْبَدِيعُ الدَّائِمُ غَيْرُ الْغَافِلِ ، وَالْحَيُّ </w:t>
      </w:r>
      <w:r w:rsidRPr="007C12DB">
        <w:rPr>
          <w:rStyle w:val="libFootnotenumChar"/>
          <w:rtl/>
        </w:rPr>
        <w:t>(6)</w:t>
      </w:r>
      <w:r w:rsidRPr="005D642E">
        <w:rPr>
          <w:rtl/>
          <w:lang w:bidi="fa-IR"/>
        </w:rPr>
        <w:t xml:space="preserve"> الَّذِي لَايَمُوتُ ، لَكَ فِي كُلِّ يَوْمٍ شَأْنٌ ، تَعْلَمُ كُلَّ شَيْ‌ءٍ بِغَيْرِ تَعْلِيمٍ </w:t>
      </w:r>
      <w:r w:rsidRPr="007C12DB">
        <w:rPr>
          <w:rStyle w:val="libFootnotenumChar"/>
          <w:rtl/>
        </w:rPr>
        <w:t>(7)</w:t>
      </w:r>
      <w:r w:rsidRPr="005D642E">
        <w:rPr>
          <w:rtl/>
          <w:lang w:bidi="fa-IR"/>
        </w:rPr>
        <w:t xml:space="preserve"> ، انْشُرْ لَنَا هذَا الْمَيِّتَ بِقُدْرَتِكَ</w:t>
      </w:r>
      <w:r>
        <w:rPr>
          <w:rtl/>
          <w:lang w:bidi="fa-IR"/>
        </w:rPr>
        <w:t xml:space="preserve"> ».</w:t>
      </w:r>
    </w:p>
    <w:p w:rsidR="00E3253D" w:rsidRPr="005D642E" w:rsidRDefault="00E3253D" w:rsidP="00E3253D">
      <w:pPr>
        <w:pStyle w:val="libNormal"/>
        <w:rPr>
          <w:rtl/>
          <w:lang w:bidi="fa-IR"/>
        </w:rPr>
      </w:pPr>
      <w:r w:rsidRPr="005D642E">
        <w:rPr>
          <w:rtl/>
          <w:lang w:bidi="fa-IR"/>
        </w:rPr>
        <w:t xml:space="preserve">قَالَ : « فَخَرَجَ مِنْ ذلِكَ الْقَبْرِ رَجُلٌ أَبْيَضُ الرَّأْسِ وَاللِّحْيَةِ ، يَنْفُضُ رَأْسَهُ مِنَ التُّرَابِ فَزِعاً ، شَاخِصاً بَصَرَهُ </w:t>
      </w:r>
      <w:r w:rsidRPr="007C12DB">
        <w:rPr>
          <w:rStyle w:val="libFootnotenumChar"/>
          <w:rtl/>
        </w:rPr>
        <w:t>(8)</w:t>
      </w:r>
      <w:r w:rsidRPr="005D642E">
        <w:rPr>
          <w:rtl/>
          <w:lang w:bidi="fa-IR"/>
        </w:rPr>
        <w:t xml:space="preserve"> إِلَى السَّمَاءِ ، فَقَالَ لَهُمْ </w:t>
      </w:r>
      <w:r w:rsidRPr="007C12DB">
        <w:rPr>
          <w:rStyle w:val="libFootnotenumChar"/>
          <w:rtl/>
        </w:rPr>
        <w:t>(9)</w:t>
      </w:r>
      <w:r w:rsidRPr="005D642E">
        <w:rPr>
          <w:rtl/>
          <w:lang w:bidi="fa-IR"/>
        </w:rPr>
        <w:t xml:space="preserve"> : مَا يُوقِفُكُمْ عَلى قَبْرِي</w:t>
      </w:r>
      <w:r>
        <w:rPr>
          <w:rtl/>
          <w:lang w:bidi="fa-IR"/>
        </w:rPr>
        <w:t>؟</w:t>
      </w:r>
      <w:r w:rsidRPr="005D642E">
        <w:rPr>
          <w:rtl/>
          <w:lang w:bidi="fa-IR"/>
        </w:rPr>
        <w:t xml:space="preserve"> فَقَالُوا </w:t>
      </w:r>
      <w:r w:rsidRPr="007C12DB">
        <w:rPr>
          <w:rStyle w:val="libFootnotenumChar"/>
          <w:rtl/>
        </w:rPr>
        <w:t>(10)</w:t>
      </w:r>
      <w:r w:rsidRPr="005D642E">
        <w:rPr>
          <w:rtl/>
          <w:lang w:bidi="fa-IR"/>
        </w:rPr>
        <w:t xml:space="preserve"> : دَعَوْنَاكَ لِنَسْأَلَكَ : كَيْفَ وَجَدْتَ طَعْمَ الْمَوْتِ</w:t>
      </w:r>
      <w:r>
        <w:rPr>
          <w:rtl/>
          <w:lang w:bidi="fa-IR"/>
        </w:rPr>
        <w:t>؟</w:t>
      </w:r>
      <w:r w:rsidRPr="005D642E">
        <w:rPr>
          <w:rtl/>
          <w:lang w:bidi="fa-IR"/>
        </w:rPr>
        <w:t xml:space="preserve"> فَقَالَ لَهُمْ : لَقَدْ سَكَنْتُ </w:t>
      </w:r>
      <w:r w:rsidRPr="007C12DB">
        <w:rPr>
          <w:rStyle w:val="libFootnotenumChar"/>
          <w:rtl/>
        </w:rPr>
        <w:t>(11)</w:t>
      </w:r>
      <w:r w:rsidRPr="005D642E">
        <w:rPr>
          <w:rtl/>
          <w:lang w:bidi="fa-IR"/>
        </w:rPr>
        <w:t xml:space="preserve"> فِي قَبْرِي تِسْعَةً وَتِسْعِينَ سَنَةً مَا ذَهَبَ عَنِّي أَلَمُ الْمَوْتِ وَكَرْبُهُ ، وَلَاخَرَجَ مَرَارَةُ طَعْمِ الْمَوْتِ مِنْ حَلْقِي ، فَقَالُوا لَهُ </w:t>
      </w:r>
      <w:r w:rsidRPr="007C12DB">
        <w:rPr>
          <w:rStyle w:val="libFootnotenumChar"/>
          <w:rtl/>
        </w:rPr>
        <w:t>(12)</w:t>
      </w:r>
      <w:r w:rsidRPr="005D642E">
        <w:rPr>
          <w:rtl/>
          <w:lang w:bidi="fa-IR"/>
        </w:rPr>
        <w:t xml:space="preserve"> : مِتَّ </w:t>
      </w:r>
      <w:r w:rsidRPr="007C12DB">
        <w:rPr>
          <w:rStyle w:val="libFootnotenumChar"/>
          <w:rtl/>
        </w:rPr>
        <w:t>(13)</w:t>
      </w:r>
      <w:r w:rsidRPr="005D642E">
        <w:rPr>
          <w:rtl/>
          <w:lang w:bidi="fa-IR"/>
        </w:rPr>
        <w:t xml:space="preserve"> يَوْمَ مِتَّ </w:t>
      </w:r>
      <w:r w:rsidRPr="007C12DB">
        <w:rPr>
          <w:rStyle w:val="libFootnotenumChar"/>
          <w:rtl/>
        </w:rPr>
        <w:t>(14)</w:t>
      </w:r>
      <w:r w:rsidRPr="005D642E">
        <w:rPr>
          <w:rtl/>
          <w:lang w:bidi="fa-IR"/>
        </w:rPr>
        <w:t xml:space="preserve"> وَأَنْتَ عَلى مَا نَرى </w:t>
      </w:r>
      <w:r w:rsidRPr="007C12DB">
        <w:rPr>
          <w:rStyle w:val="libFootnotenumChar"/>
          <w:rtl/>
        </w:rPr>
        <w:t>(15)</w:t>
      </w:r>
      <w:r w:rsidRPr="005D642E">
        <w:rPr>
          <w:rtl/>
          <w:lang w:bidi="fa-IR"/>
        </w:rPr>
        <w:t xml:space="preserve"> أَبْيَضُ الرَّأْسِ وَاللِّحْيَةِ</w:t>
      </w:r>
      <w:r>
        <w:rPr>
          <w:rtl/>
          <w:lang w:bidi="fa-IR"/>
        </w:rPr>
        <w:t>؟</w:t>
      </w:r>
      <w:r w:rsidRPr="005D642E">
        <w:rPr>
          <w:rtl/>
          <w:lang w:bidi="fa-IR"/>
        </w:rPr>
        <w:t xml:space="preserve"> قَالَ </w:t>
      </w:r>
      <w:r w:rsidRPr="007C12DB">
        <w:rPr>
          <w:rStyle w:val="libFootnotenumChar"/>
          <w:rtl/>
        </w:rPr>
        <w:t>(16)</w:t>
      </w:r>
      <w:r w:rsidRPr="005D642E">
        <w:rPr>
          <w:rtl/>
          <w:lang w:bidi="fa-IR"/>
        </w:rPr>
        <w:t xml:space="preserve"> : لَا ، وَلكِنْ </w:t>
      </w:r>
      <w:r w:rsidRPr="007C12DB">
        <w:rPr>
          <w:rStyle w:val="libFootnotenumChar"/>
          <w:rtl/>
        </w:rPr>
        <w:t>(17)</w:t>
      </w:r>
      <w:r w:rsidRPr="005D642E">
        <w:rPr>
          <w:rtl/>
          <w:lang w:bidi="fa-IR"/>
        </w:rPr>
        <w:t xml:space="preserve"> لَمَّا سَمِعْتُ الصَّيْحَةَ : اخْرُجْ ، اجْتَمَعَتْ تُرْبَةُ عِظَامِي إِلى رُوحِي ، فَبَقِيَتْ </w:t>
      </w:r>
      <w:r w:rsidRPr="007C12DB">
        <w:rPr>
          <w:rStyle w:val="libFootnotenumChar"/>
          <w:rtl/>
        </w:rPr>
        <w:t>(18)</w:t>
      </w:r>
      <w:r w:rsidRPr="005D642E">
        <w:rPr>
          <w:rtl/>
          <w:lang w:bidi="fa-IR"/>
        </w:rPr>
        <w:t xml:space="preserve"> فِيهِ ، فَخَرَجْتُ‌</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البحار ، ج 14 : « طريق</w:t>
      </w:r>
      <w:r w:rsidR="00E3253D">
        <w:rPr>
          <w:rtl/>
        </w:rPr>
        <w:t xml:space="preserve"> ».</w:t>
      </w:r>
    </w:p>
    <w:p w:rsidR="00E3253D" w:rsidRPr="005D642E" w:rsidRDefault="0042621E" w:rsidP="00533825">
      <w:pPr>
        <w:pStyle w:val="libFootnote0"/>
        <w:rPr>
          <w:rtl/>
          <w:lang w:bidi="fa-IR"/>
        </w:rPr>
      </w:pPr>
      <w:r w:rsidRPr="0042621E">
        <w:rPr>
          <w:rStyle w:val="libFootnote0Char"/>
          <w:rtl/>
        </w:rPr>
        <w:t>(2).</w:t>
      </w:r>
      <w:r w:rsidR="00E3253D" w:rsidRPr="005D642E">
        <w:rPr>
          <w:rtl/>
        </w:rPr>
        <w:t xml:space="preserve"> يقال : سَفَتِ الريحُ التراب تَسْفِيهِ ، أي ذَرَتْه وأطارته وفرّقته ، أو حملته. والسافي : الريح التي تَسْفَى التراب. وقيل للتراب الذي تسفيه الريح أيضاً : سافٍ. راجع : </w:t>
      </w:r>
      <w:r w:rsidR="00E3253D" w:rsidRPr="002F4D34">
        <w:rPr>
          <w:rStyle w:val="libFootnoteBoldChar"/>
          <w:rtl/>
        </w:rPr>
        <w:t>النهاية</w:t>
      </w:r>
      <w:r w:rsidR="00E3253D" w:rsidRPr="005D642E">
        <w:rPr>
          <w:rtl/>
        </w:rPr>
        <w:t xml:space="preserve"> ، ج 2 ، ص 377 ؛ </w:t>
      </w:r>
      <w:r w:rsidR="00E3253D" w:rsidRPr="002F4D34">
        <w:rPr>
          <w:rStyle w:val="libFootnoteBoldChar"/>
          <w:rtl/>
        </w:rPr>
        <w:t>القاموس المحيط</w:t>
      </w:r>
      <w:r w:rsidR="00E3253D" w:rsidRPr="005D642E">
        <w:rPr>
          <w:rtl/>
        </w:rPr>
        <w:t xml:space="preserve"> ، ج 2 ، ص 1699 ( سفا )</w:t>
      </w:r>
      <w:r w:rsidR="00E3253D">
        <w:rPr>
          <w:rtl/>
        </w:rPr>
        <w:t>.</w:t>
      </w:r>
      <w:r w:rsidR="00533825">
        <w:rPr>
          <w:rFonts w:hint="cs"/>
          <w:rtl/>
        </w:rPr>
        <w:t xml:space="preserve">        </w:t>
      </w:r>
      <w:r w:rsidRPr="0042621E">
        <w:rPr>
          <w:rStyle w:val="libFootnote0Char"/>
          <w:rtl/>
        </w:rPr>
        <w:t>(3).</w:t>
      </w:r>
      <w:r w:rsidR="00533825">
        <w:rPr>
          <w:rtl/>
        </w:rPr>
        <w:t xml:space="preserve"> في«ى،ب،جس</w:t>
      </w:r>
      <w:r w:rsidR="00E3253D" w:rsidRPr="005D642E">
        <w:rPr>
          <w:rtl/>
        </w:rPr>
        <w:t>» :</w:t>
      </w:r>
      <w:r w:rsidR="00E3253D">
        <w:rPr>
          <w:rtl/>
        </w:rPr>
        <w:t xml:space="preserve"> </w:t>
      </w:r>
      <w:r w:rsidR="007642BC">
        <w:rPr>
          <w:rtl/>
        </w:rPr>
        <w:t>-</w:t>
      </w:r>
      <w:r w:rsidR="00E3253D">
        <w:rPr>
          <w:rtl/>
        </w:rPr>
        <w:t xml:space="preserve"> </w:t>
      </w:r>
      <w:r w:rsidR="00E3253D" w:rsidRPr="005D642E">
        <w:rPr>
          <w:rtl/>
        </w:rPr>
        <w:t>«يبيّن</w:t>
      </w:r>
      <w:r w:rsidR="00E3253D">
        <w:rPr>
          <w:rtl/>
        </w:rPr>
        <w:t>».</w:t>
      </w:r>
      <w:r w:rsidR="00533825">
        <w:rPr>
          <w:rtl/>
        </w:rPr>
        <w:t xml:space="preserve"> وفي«بح،بخ»:«</w:t>
      </w:r>
      <w:r w:rsidR="00E3253D" w:rsidRPr="005D642E">
        <w:rPr>
          <w:rtl/>
        </w:rPr>
        <w:t>تبيّن</w:t>
      </w:r>
      <w:r w:rsidR="00E3253D">
        <w:rPr>
          <w:rtl/>
        </w:rPr>
        <w:t>».</w:t>
      </w:r>
      <w:r w:rsidR="00533825">
        <w:rPr>
          <w:rtl/>
        </w:rPr>
        <w:t xml:space="preserve"> وفي الوافي والبحار : «</w:t>
      </w:r>
      <w:r w:rsidR="00E3253D" w:rsidRPr="005D642E">
        <w:rPr>
          <w:rtl/>
        </w:rPr>
        <w:t>يتبيّن</w:t>
      </w:r>
      <w:r w:rsidR="00E3253D">
        <w:rPr>
          <w:rtl/>
        </w:rPr>
        <w:t>».</w:t>
      </w:r>
    </w:p>
    <w:tbl>
      <w:tblPr>
        <w:tblStyle w:val="TableGrid"/>
        <w:bidiVisual/>
        <w:tblW w:w="0" w:type="auto"/>
        <w:tblLook w:val="04A0" w:firstRow="1" w:lastRow="0" w:firstColumn="1" w:lastColumn="0" w:noHBand="0" w:noVBand="1"/>
      </w:tblPr>
      <w:tblGrid>
        <w:gridCol w:w="4006"/>
        <w:gridCol w:w="4006"/>
      </w:tblGrid>
      <w:tr w:rsidR="00533825" w:rsidTr="00533825">
        <w:tc>
          <w:tcPr>
            <w:tcW w:w="4006" w:type="dxa"/>
          </w:tcPr>
          <w:p w:rsidR="00533825" w:rsidRDefault="00533825" w:rsidP="00E3253D">
            <w:pPr>
              <w:pStyle w:val="libFootnote0"/>
              <w:rPr>
                <w:rStyle w:val="libFootnote0Char"/>
                <w:rtl/>
                <w:lang w:bidi="fa-IR"/>
              </w:rPr>
            </w:pPr>
            <w:r w:rsidRPr="0042621E">
              <w:rPr>
                <w:rStyle w:val="libFootnote0Char"/>
                <w:rtl/>
              </w:rPr>
              <w:t>(4).</w:t>
            </w:r>
            <w:r w:rsidRPr="005D642E">
              <w:rPr>
                <w:rtl/>
              </w:rPr>
              <w:t xml:space="preserve"> في « بخ » </w:t>
            </w:r>
            <w:r w:rsidRPr="000D749A">
              <w:rPr>
                <w:rStyle w:val="libFootnoteBoldChar"/>
                <w:rtl/>
              </w:rPr>
              <w:t>والوافي</w:t>
            </w:r>
            <w:r w:rsidRPr="005D642E">
              <w:rPr>
                <w:rtl/>
              </w:rPr>
              <w:t xml:space="preserve"> : « رمسه</w:t>
            </w:r>
            <w:r>
              <w:rPr>
                <w:rtl/>
              </w:rPr>
              <w:t xml:space="preserve"> ».</w:t>
            </w:r>
          </w:p>
        </w:tc>
        <w:tc>
          <w:tcPr>
            <w:tcW w:w="4006" w:type="dxa"/>
          </w:tcPr>
          <w:p w:rsidR="00533825" w:rsidRDefault="00533825" w:rsidP="00E3253D">
            <w:pPr>
              <w:pStyle w:val="libFootnote0"/>
              <w:rPr>
                <w:rStyle w:val="libFootnote0Char"/>
                <w:rtl/>
                <w:lang w:bidi="fa-IR"/>
              </w:rPr>
            </w:pPr>
            <w:r w:rsidRPr="0042621E">
              <w:rPr>
                <w:rStyle w:val="libFootnote0Char"/>
                <w:rtl/>
              </w:rPr>
              <w:t>(5).</w:t>
            </w:r>
            <w:r w:rsidRPr="005D642E">
              <w:rPr>
                <w:rtl/>
              </w:rPr>
              <w:t xml:space="preserve"> في « بث ، جس » : « دعوا به الله</w:t>
            </w:r>
            <w:r>
              <w:rPr>
                <w:rtl/>
              </w:rPr>
              <w:t xml:space="preserve"> ».</w:t>
            </w:r>
          </w:p>
        </w:tc>
      </w:tr>
    </w:tbl>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 ى ، بث ، بخ ، بس ، جح ، جس » والبحار : « الحيّ » بدون الواو.</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بخ » : « تعلّم</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قال الجوهري : « يقال : شَخَصَ بصرَهُ ، فهو شاخص : إذا فتح عينيه وجعل لايَطْرِفُ</w:t>
      </w:r>
      <w:r w:rsidR="00E3253D">
        <w:rPr>
          <w:rtl/>
        </w:rPr>
        <w:t xml:space="preserve"> ».</w:t>
      </w:r>
      <w:r w:rsidR="00E3253D" w:rsidRPr="005D642E">
        <w:rPr>
          <w:rtl/>
        </w:rPr>
        <w:t xml:space="preserve"> راجع : </w:t>
      </w:r>
      <w:r w:rsidR="00E3253D" w:rsidRPr="002F4D34">
        <w:rPr>
          <w:rStyle w:val="libFootnoteBoldChar"/>
          <w:rtl/>
        </w:rPr>
        <w:t>الصحاح</w:t>
      </w:r>
      <w:r w:rsidR="00E3253D" w:rsidRPr="005D642E">
        <w:rPr>
          <w:rtl/>
        </w:rPr>
        <w:t xml:space="preserve"> ، ج 3 ، ص 1042 ( شخص )</w:t>
      </w:r>
      <w:r w:rsidR="00E3253D">
        <w:rPr>
          <w:rtl/>
        </w:rPr>
        <w:t>.</w:t>
      </w:r>
      <w:r w:rsidR="00E3253D">
        <w:rPr>
          <w:rFonts w:hint="cs"/>
          <w:rtl/>
          <w:lang w:bidi="fa-IR"/>
        </w:rPr>
        <w:t xml:space="preserve"> </w:t>
      </w:r>
      <w:r w:rsidR="004F5931">
        <w:rPr>
          <w:rFonts w:hint="cs"/>
          <w:rtl/>
          <w:lang w:bidi="fa-IR"/>
        </w:rPr>
        <w:t xml:space="preserve">                              </w:t>
      </w:r>
      <w:r w:rsidRPr="0042621E">
        <w:rPr>
          <w:rStyle w:val="libFootnote0Char"/>
          <w:rtl/>
        </w:rPr>
        <w:t>(9).</w:t>
      </w:r>
      <w:r w:rsidR="00E3253D" w:rsidRPr="005D642E">
        <w:rPr>
          <w:rtl/>
        </w:rPr>
        <w:t xml:space="preserve"> في « بخ » : + « كيف</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31094A" w:rsidTr="0031094A">
        <w:tc>
          <w:tcPr>
            <w:tcW w:w="4006" w:type="dxa"/>
          </w:tcPr>
          <w:p w:rsidR="0031094A" w:rsidRDefault="0031094A" w:rsidP="00E3253D">
            <w:pPr>
              <w:pStyle w:val="libFootnote0"/>
              <w:rPr>
                <w:rStyle w:val="libFootnote0Char"/>
                <w:rtl/>
              </w:rPr>
            </w:pPr>
            <w:r w:rsidRPr="0042621E">
              <w:rPr>
                <w:rStyle w:val="libFootnote0Char"/>
                <w:rtl/>
              </w:rPr>
              <w:t>(10).</w:t>
            </w:r>
            <w:r w:rsidRPr="005D642E">
              <w:rPr>
                <w:rtl/>
              </w:rPr>
              <w:t xml:space="preserve"> في « بث ، بح ، جح » : « قالوا</w:t>
            </w:r>
            <w:r>
              <w:rPr>
                <w:rtl/>
              </w:rPr>
              <w:t xml:space="preserve"> ».</w:t>
            </w:r>
          </w:p>
        </w:tc>
        <w:tc>
          <w:tcPr>
            <w:tcW w:w="4006" w:type="dxa"/>
          </w:tcPr>
          <w:p w:rsidR="0031094A" w:rsidRDefault="0031094A" w:rsidP="00E3253D">
            <w:pPr>
              <w:pStyle w:val="libFootnote0"/>
              <w:rPr>
                <w:rStyle w:val="libFootnote0Char"/>
                <w:rtl/>
              </w:rPr>
            </w:pPr>
            <w:r w:rsidRPr="0042621E">
              <w:rPr>
                <w:rStyle w:val="libFootnote0Char"/>
                <w:rtl/>
              </w:rPr>
              <w:t>(11).</w:t>
            </w:r>
            <w:r w:rsidRPr="005D642E">
              <w:rPr>
                <w:rtl/>
              </w:rPr>
              <w:t xml:space="preserve"> في « بخ » </w:t>
            </w:r>
            <w:r w:rsidRPr="000D749A">
              <w:rPr>
                <w:rStyle w:val="libFootnoteBoldChar"/>
                <w:rtl/>
              </w:rPr>
              <w:t>والوافي</w:t>
            </w:r>
            <w:r w:rsidRPr="005D642E">
              <w:rPr>
                <w:rtl/>
              </w:rPr>
              <w:t xml:space="preserve"> : « مكثت</w:t>
            </w:r>
            <w:r>
              <w:rPr>
                <w:rtl/>
              </w:rPr>
              <w:t xml:space="preserve"> ».</w:t>
            </w:r>
          </w:p>
        </w:tc>
      </w:tr>
      <w:tr w:rsidR="0031094A" w:rsidTr="0031094A">
        <w:tc>
          <w:tcPr>
            <w:tcW w:w="4006" w:type="dxa"/>
          </w:tcPr>
          <w:p w:rsidR="0031094A" w:rsidRDefault="0031094A" w:rsidP="00E3253D">
            <w:pPr>
              <w:pStyle w:val="libFootnote0"/>
              <w:rPr>
                <w:rStyle w:val="libFootnote0Char"/>
                <w:rtl/>
              </w:rPr>
            </w:pPr>
            <w:r w:rsidRPr="0042621E">
              <w:rPr>
                <w:rStyle w:val="libFootnote0Char"/>
                <w:rtl/>
              </w:rPr>
              <w:t>(12).</w:t>
            </w:r>
            <w:r w:rsidRPr="005D642E">
              <w:rPr>
                <w:rtl/>
              </w:rPr>
              <w:t xml:space="preserve"> في « بخ » :</w:t>
            </w:r>
            <w:r>
              <w:rPr>
                <w:rtl/>
              </w:rPr>
              <w:t xml:space="preserve"> - </w:t>
            </w:r>
            <w:r w:rsidRPr="005D642E">
              <w:rPr>
                <w:rtl/>
              </w:rPr>
              <w:t>« له</w:t>
            </w:r>
            <w:r>
              <w:rPr>
                <w:rtl/>
              </w:rPr>
              <w:t xml:space="preserve"> ».</w:t>
            </w:r>
          </w:p>
        </w:tc>
        <w:tc>
          <w:tcPr>
            <w:tcW w:w="4006" w:type="dxa"/>
          </w:tcPr>
          <w:p w:rsidR="0031094A" w:rsidRDefault="0031094A" w:rsidP="00E3253D">
            <w:pPr>
              <w:pStyle w:val="libFootnote0"/>
              <w:rPr>
                <w:rStyle w:val="libFootnote0Char"/>
                <w:rtl/>
              </w:rPr>
            </w:pPr>
            <w:r w:rsidRPr="0042621E">
              <w:rPr>
                <w:rStyle w:val="libFootnote0Char"/>
                <w:rtl/>
              </w:rPr>
              <w:t>(13).</w:t>
            </w:r>
            <w:r>
              <w:rPr>
                <w:rtl/>
              </w:rPr>
              <w:t xml:space="preserve"> </w:t>
            </w:r>
            <w:r w:rsidRPr="005D642E">
              <w:rPr>
                <w:rtl/>
              </w:rPr>
              <w:t>في « بح » : « منذ</w:t>
            </w:r>
            <w:r>
              <w:rPr>
                <w:rtl/>
              </w:rPr>
              <w:t xml:space="preserve"> ».</w:t>
            </w:r>
          </w:p>
        </w:tc>
      </w:tr>
      <w:tr w:rsidR="0031094A" w:rsidTr="0031094A">
        <w:tc>
          <w:tcPr>
            <w:tcW w:w="4006" w:type="dxa"/>
          </w:tcPr>
          <w:p w:rsidR="0031094A" w:rsidRDefault="0031094A" w:rsidP="00E3253D">
            <w:pPr>
              <w:pStyle w:val="libFootnote0"/>
              <w:rPr>
                <w:rStyle w:val="libFootnote0Char"/>
                <w:rtl/>
              </w:rPr>
            </w:pPr>
            <w:r w:rsidRPr="0042621E">
              <w:rPr>
                <w:rStyle w:val="libFootnote0Char"/>
                <w:rtl/>
              </w:rPr>
              <w:t>(14).</w:t>
            </w:r>
            <w:r w:rsidRPr="005D642E">
              <w:rPr>
                <w:rtl/>
              </w:rPr>
              <w:t xml:space="preserve"> في « جس » :</w:t>
            </w:r>
            <w:r>
              <w:rPr>
                <w:rtl/>
              </w:rPr>
              <w:t xml:space="preserve"> - </w:t>
            </w:r>
            <w:r w:rsidRPr="005D642E">
              <w:rPr>
                <w:rtl/>
              </w:rPr>
              <w:t>« يوم متّ</w:t>
            </w:r>
            <w:r>
              <w:rPr>
                <w:rtl/>
              </w:rPr>
              <w:t xml:space="preserve"> ».</w:t>
            </w:r>
          </w:p>
        </w:tc>
        <w:tc>
          <w:tcPr>
            <w:tcW w:w="4006" w:type="dxa"/>
          </w:tcPr>
          <w:p w:rsidR="0031094A" w:rsidRDefault="0031094A" w:rsidP="00E3253D">
            <w:pPr>
              <w:pStyle w:val="libFootnote0"/>
              <w:rPr>
                <w:rStyle w:val="libFootnote0Char"/>
                <w:rtl/>
              </w:rPr>
            </w:pPr>
            <w:r w:rsidRPr="0042621E">
              <w:rPr>
                <w:rStyle w:val="libFootnote0Char"/>
                <w:rtl/>
              </w:rPr>
              <w:t>(15).</w:t>
            </w:r>
            <w:r>
              <w:rPr>
                <w:rtl/>
              </w:rPr>
              <w:t xml:space="preserve"> </w:t>
            </w:r>
            <w:r w:rsidRPr="005D642E">
              <w:rPr>
                <w:rtl/>
              </w:rPr>
              <w:t>في « ى ، بث ، بح » : « ما ترى</w:t>
            </w:r>
            <w:r>
              <w:rPr>
                <w:rtl/>
              </w:rPr>
              <w:t xml:space="preserve"> ».</w:t>
            </w:r>
          </w:p>
        </w:tc>
      </w:tr>
      <w:tr w:rsidR="0031094A" w:rsidTr="0031094A">
        <w:tc>
          <w:tcPr>
            <w:tcW w:w="4006" w:type="dxa"/>
          </w:tcPr>
          <w:p w:rsidR="0031094A" w:rsidRDefault="0031094A" w:rsidP="00E3253D">
            <w:pPr>
              <w:pStyle w:val="libFootnote0"/>
              <w:rPr>
                <w:rStyle w:val="libFootnote0Char"/>
                <w:rtl/>
              </w:rPr>
            </w:pPr>
            <w:r w:rsidRPr="005D642E">
              <w:rPr>
                <w:rtl/>
              </w:rPr>
              <w:t>(1</w:t>
            </w:r>
            <w:r>
              <w:rPr>
                <w:rtl/>
              </w:rPr>
              <w:t>6)</w:t>
            </w:r>
            <w:r w:rsidRPr="005D642E">
              <w:rPr>
                <w:rtl/>
              </w:rPr>
              <w:t xml:space="preserve"> في « بخ » </w:t>
            </w:r>
            <w:r w:rsidRPr="000D749A">
              <w:rPr>
                <w:rStyle w:val="libFootnoteBoldChar"/>
                <w:rtl/>
              </w:rPr>
              <w:t>والوافي</w:t>
            </w:r>
            <w:r w:rsidRPr="005D642E">
              <w:rPr>
                <w:rtl/>
              </w:rPr>
              <w:t xml:space="preserve"> : « فقال</w:t>
            </w:r>
            <w:r>
              <w:rPr>
                <w:rtl/>
              </w:rPr>
              <w:t xml:space="preserve"> ».</w:t>
            </w:r>
          </w:p>
        </w:tc>
        <w:tc>
          <w:tcPr>
            <w:tcW w:w="4006" w:type="dxa"/>
          </w:tcPr>
          <w:p w:rsidR="0031094A" w:rsidRDefault="0031094A" w:rsidP="00E3253D">
            <w:pPr>
              <w:pStyle w:val="libFootnote0"/>
              <w:rPr>
                <w:rStyle w:val="libFootnote0Char"/>
                <w:rtl/>
              </w:rPr>
            </w:pPr>
            <w:r w:rsidRPr="005D642E">
              <w:rPr>
                <w:rtl/>
              </w:rPr>
              <w:t>(1</w:t>
            </w:r>
            <w:r>
              <w:rPr>
                <w:rtl/>
              </w:rPr>
              <w:t>7)</w:t>
            </w:r>
            <w:r w:rsidRPr="005D642E">
              <w:rPr>
                <w:rtl/>
              </w:rPr>
              <w:t xml:space="preserve"> في « جس » : « لكن » بدون الواو.</w:t>
            </w:r>
          </w:p>
        </w:tc>
      </w:tr>
    </w:tbl>
    <w:p w:rsidR="00E3253D" w:rsidRPr="005D642E" w:rsidRDefault="00E3253D" w:rsidP="00E3253D">
      <w:pPr>
        <w:pStyle w:val="libFootnote0"/>
        <w:rPr>
          <w:rtl/>
          <w:lang w:bidi="fa-IR"/>
        </w:rPr>
      </w:pPr>
      <w:r w:rsidRPr="005D642E">
        <w:rPr>
          <w:rtl/>
        </w:rPr>
        <w:t>(1</w:t>
      </w:r>
      <w:r>
        <w:rPr>
          <w:rtl/>
        </w:rPr>
        <w:t>8)</w:t>
      </w:r>
      <w:r w:rsidRPr="005D642E">
        <w:rPr>
          <w:rtl/>
        </w:rPr>
        <w:t xml:space="preserve"> هكذا في جميع النسخ والشروح والمصادر. وفي المطبوع : « فنفست » وهو سهو.</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فَزِعاً شَاخِصاً بَصَرِي ، مُهْطِعاً </w:t>
      </w:r>
      <w:r w:rsidRPr="007C12DB">
        <w:rPr>
          <w:rStyle w:val="libFootnotenumChar"/>
          <w:rtl/>
        </w:rPr>
        <w:t>(1)</w:t>
      </w:r>
      <w:r w:rsidRPr="005D642E">
        <w:rPr>
          <w:rtl/>
          <w:lang w:bidi="fa-IR"/>
        </w:rPr>
        <w:t xml:space="preserve"> إِلى صَوْتِ الدَّاعِي ، فَابْيَضَّ لِذلِكَ رَأْسِي وَلِحْيَتِي</w:t>
      </w:r>
      <w:r>
        <w:rPr>
          <w:rtl/>
          <w:lang w:bidi="fa-IR"/>
        </w:rPr>
        <w:t xml:space="preserve"> ».</w:t>
      </w:r>
      <w:r w:rsidRPr="005D642E">
        <w:rPr>
          <w:rtl/>
          <w:lang w:bidi="fa-IR"/>
        </w:rPr>
        <w:t xml:space="preserve"> </w:t>
      </w:r>
      <w:r w:rsidRPr="007C12DB">
        <w:rPr>
          <w:rStyle w:val="libFootnotenumChar"/>
          <w:rtl/>
        </w:rPr>
        <w:t>(2)</w:t>
      </w:r>
      <w:r w:rsidRPr="005D642E">
        <w:rPr>
          <w:rtl/>
          <w:lang w:bidi="fa-IR"/>
        </w:rPr>
        <w:t xml:space="preserve"> ‌</w:t>
      </w:r>
    </w:p>
    <w:p w:rsidR="00E3253D" w:rsidRPr="005D642E" w:rsidRDefault="00E3253D" w:rsidP="00E3253D">
      <w:pPr>
        <w:pStyle w:val="libNormal"/>
        <w:rPr>
          <w:rtl/>
          <w:lang w:bidi="fa-IR"/>
        </w:rPr>
      </w:pPr>
      <w:r w:rsidRPr="009B571E">
        <w:rPr>
          <w:rtl/>
        </w:rPr>
        <w:t>4778</w:t>
      </w:r>
      <w:r w:rsidRPr="00246318">
        <w:rPr>
          <w:rStyle w:val="libBold2Char"/>
          <w:rtl/>
        </w:rPr>
        <w:t xml:space="preserve"> / 39.</w:t>
      </w:r>
      <w:r w:rsidRPr="005D642E">
        <w:rPr>
          <w:rtl/>
          <w:lang w:bidi="fa-IR"/>
        </w:rPr>
        <w:t xml:space="preserve"> عَلِيٌّ ، عَنْ أَبِيهِ ، عَنِ النَّوْفَلِيِّ ، عَنِ السَّكُونِيِّ :</w:t>
      </w:r>
    </w:p>
    <w:p w:rsidR="00E3253D" w:rsidRPr="005D642E" w:rsidRDefault="00E3253D" w:rsidP="004F5931">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قَالَ النَّبِيُّ </w:t>
      </w:r>
      <w:r w:rsidR="0042621E" w:rsidRPr="0042621E">
        <w:rPr>
          <w:rStyle w:val="libAlaemChar"/>
          <w:rtl/>
        </w:rPr>
        <w:t>صلى‌الله‌عليه‌وآله</w:t>
      </w:r>
      <w:r w:rsidRPr="005D642E">
        <w:rPr>
          <w:rtl/>
          <w:lang w:bidi="fa-IR"/>
        </w:rPr>
        <w:t xml:space="preserve"> : مِنْ أَشْرَاطِ السَّاعَةِ </w:t>
      </w:r>
      <w:r w:rsidRPr="007C12DB">
        <w:rPr>
          <w:rStyle w:val="libFootnotenumChar"/>
          <w:rtl/>
        </w:rPr>
        <w:t>(3)</w:t>
      </w:r>
      <w:r w:rsidRPr="005D642E">
        <w:rPr>
          <w:rtl/>
          <w:lang w:bidi="fa-IR"/>
        </w:rPr>
        <w:t xml:space="preserve"> أَنْ يَفْشُوَ </w:t>
      </w:r>
      <w:r w:rsidRPr="007C12DB">
        <w:rPr>
          <w:rStyle w:val="libFootnotenumChar"/>
          <w:rtl/>
        </w:rPr>
        <w:t>(4)</w:t>
      </w:r>
      <w:r w:rsidRPr="005D642E">
        <w:rPr>
          <w:rtl/>
          <w:lang w:bidi="fa-IR"/>
        </w:rPr>
        <w:t xml:space="preserve"> الْفَالِجُ وَمَوْتُ الْفَجْأَةِ</w:t>
      </w:r>
      <w:r>
        <w:rPr>
          <w:rtl/>
          <w:lang w:bidi="fa-IR"/>
        </w:rPr>
        <w:t xml:space="preserve"> ».</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9B571E">
        <w:rPr>
          <w:rtl/>
        </w:rPr>
        <w:t>4779</w:t>
      </w:r>
      <w:r w:rsidRPr="00246318">
        <w:rPr>
          <w:rStyle w:val="libBold2Char"/>
          <w:rtl/>
        </w:rPr>
        <w:t xml:space="preserve"> / 40.</w:t>
      </w:r>
      <w:r w:rsidRPr="005D642E">
        <w:rPr>
          <w:rtl/>
          <w:lang w:bidi="fa-IR"/>
        </w:rPr>
        <w:t xml:space="preserve"> عَلِيُّ بْنُ مُحَمَّدٍ ، عَنْ صَالِحِ بْنِ أَبِي حَمَّادٍ رَفَعَهُ ، قَالَ :</w:t>
      </w:r>
    </w:p>
    <w:p w:rsidR="00E3253D" w:rsidRPr="005D642E" w:rsidRDefault="00E3253D" w:rsidP="00E3253D">
      <w:pPr>
        <w:pStyle w:val="libNormal"/>
        <w:rPr>
          <w:rtl/>
          <w:lang w:bidi="fa-IR"/>
        </w:rPr>
      </w:pPr>
      <w:r w:rsidRPr="005D642E">
        <w:rPr>
          <w:rtl/>
          <w:lang w:bidi="fa-IR"/>
        </w:rPr>
        <w:t xml:space="preserve">جَاءَ أَمِيرُ الْمُؤْمِنِينَ </w:t>
      </w:r>
      <w:r w:rsidRPr="00AC51C5">
        <w:rPr>
          <w:rStyle w:val="libAlaemChar"/>
          <w:rtl/>
        </w:rPr>
        <w:t>عليه‌السلام</w:t>
      </w:r>
      <w:r w:rsidRPr="005D642E">
        <w:rPr>
          <w:rtl/>
          <w:lang w:bidi="fa-IR"/>
        </w:rPr>
        <w:t xml:space="preserve"> إِلَى الْأَشْعَثِ بْنِ قَيْسٍ يُعَزِّيهِ </w:t>
      </w:r>
      <w:r w:rsidRPr="007C12DB">
        <w:rPr>
          <w:rStyle w:val="libFootnotenumChar"/>
          <w:rtl/>
        </w:rPr>
        <w:t>(6)</w:t>
      </w:r>
      <w:r w:rsidRPr="005D642E">
        <w:rPr>
          <w:rtl/>
          <w:lang w:bidi="fa-IR"/>
        </w:rPr>
        <w:t xml:space="preserve"> بِأَخٍ </w:t>
      </w:r>
      <w:r w:rsidRPr="007C12DB">
        <w:rPr>
          <w:rStyle w:val="libFootnotenumChar"/>
          <w:rtl/>
        </w:rPr>
        <w:t>(7)</w:t>
      </w:r>
      <w:r w:rsidRPr="005D642E">
        <w:rPr>
          <w:rtl/>
          <w:lang w:bidi="fa-IR"/>
        </w:rPr>
        <w:t xml:space="preserve"> لَهُ</w:t>
      </w:r>
      <w:r>
        <w:rPr>
          <w:rtl/>
          <w:lang w:bidi="fa-IR"/>
        </w:rPr>
        <w:t xml:space="preserve"> </w:t>
      </w:r>
      <w:r w:rsidR="007642BC">
        <w:rPr>
          <w:rtl/>
          <w:lang w:bidi="fa-IR"/>
        </w:rPr>
        <w:t>-</w:t>
      </w:r>
      <w:r>
        <w:rPr>
          <w:rtl/>
          <w:lang w:bidi="fa-IR"/>
        </w:rPr>
        <w:t xml:space="preserve"> </w:t>
      </w:r>
      <w:r w:rsidRPr="005D642E">
        <w:rPr>
          <w:rtl/>
          <w:lang w:bidi="fa-IR"/>
        </w:rPr>
        <w:t>يُقَالُ لَهُ : عَبْدُ الرَّحْمنِ</w:t>
      </w:r>
      <w:r>
        <w:rPr>
          <w:rtl/>
          <w:lang w:bidi="fa-IR"/>
        </w:rPr>
        <w:t xml:space="preserve"> </w:t>
      </w:r>
      <w:r w:rsidR="007642BC">
        <w:rPr>
          <w:rtl/>
          <w:lang w:bidi="fa-IR"/>
        </w:rPr>
        <w:t>-</w:t>
      </w:r>
      <w:r>
        <w:rPr>
          <w:rtl/>
          <w:lang w:bidi="fa-IR"/>
        </w:rPr>
        <w:t xml:space="preserve"> </w:t>
      </w:r>
      <w:r w:rsidRPr="005D642E">
        <w:rPr>
          <w:rtl/>
          <w:lang w:bidi="fa-IR"/>
        </w:rPr>
        <w:t xml:space="preserve">فَقَالَ لَهُ أَمِيرُ الْمُؤْمِنِينَ </w:t>
      </w:r>
      <w:r w:rsidRPr="00AC51C5">
        <w:rPr>
          <w:rStyle w:val="libAlaemChar"/>
          <w:rtl/>
        </w:rPr>
        <w:t>عليه‌السلام</w:t>
      </w:r>
      <w:r w:rsidRPr="005D642E">
        <w:rPr>
          <w:rtl/>
          <w:lang w:bidi="fa-IR"/>
        </w:rPr>
        <w:t xml:space="preserve"> : « إِنْ جَزِعْتَ ، فَحَقَّ الرَّحِمِ أَتَيْتَ ؛ وَإِنْ صَبَرْتَ ، فَحَقَّ اللهِ أَدَّيْتَ ؛ عَلى أَنَّكَ إِنْ صَبَرْتَ ، جَرى عَلَيْكَ الْقَضَاءُ وَأَنْتَ مَحْمُودٌ </w:t>
      </w:r>
      <w:r w:rsidRPr="007C12DB">
        <w:rPr>
          <w:rStyle w:val="libFootnotenumChar"/>
          <w:rtl/>
        </w:rPr>
        <w:t>(8)</w:t>
      </w:r>
      <w:r w:rsidRPr="005D642E">
        <w:rPr>
          <w:rtl/>
          <w:lang w:bidi="fa-IR"/>
        </w:rPr>
        <w:t xml:space="preserve"> ؛ وَإِنْ جَزِعْتَ ، جَرى عَلَيْكَ الْقَضَاءُ وَأَنْتَ مَذْمُومٌ</w:t>
      </w:r>
      <w:r>
        <w:rPr>
          <w:rtl/>
          <w:lang w:bidi="fa-IR"/>
        </w:rPr>
        <w:t xml:space="preserve"> ».</w:t>
      </w:r>
    </w:p>
    <w:p w:rsidR="00E3253D" w:rsidRPr="005D642E" w:rsidRDefault="00E3253D" w:rsidP="00E3253D">
      <w:pPr>
        <w:pStyle w:val="libNormal"/>
        <w:rPr>
          <w:rtl/>
          <w:lang w:bidi="fa-IR"/>
        </w:rPr>
      </w:pPr>
      <w:r w:rsidRPr="005D642E">
        <w:rPr>
          <w:rtl/>
          <w:lang w:bidi="fa-IR"/>
        </w:rPr>
        <w:t xml:space="preserve">فَقَالَ لَهُ الْأَشْعَثُ : </w:t>
      </w:r>
      <w:r w:rsidRPr="00AC51C5">
        <w:rPr>
          <w:rStyle w:val="libAlaemChar"/>
          <w:rtl/>
        </w:rPr>
        <w:t>(</w:t>
      </w:r>
      <w:r w:rsidRPr="00AC51C5">
        <w:rPr>
          <w:rStyle w:val="libAieChar"/>
          <w:rtl/>
        </w:rPr>
        <w:t xml:space="preserve"> إِنّ</w:t>
      </w:r>
      <w:r w:rsidR="004F5931">
        <w:rPr>
          <w:rStyle w:val="libAieChar"/>
          <w:rFonts w:hint="cs"/>
          <w:rtl/>
        </w:rPr>
        <w:t>َ</w:t>
      </w:r>
      <w:r w:rsidRPr="00AC51C5">
        <w:rPr>
          <w:rStyle w:val="libAieChar"/>
          <w:rtl/>
        </w:rPr>
        <w:t>ا لِلّه</w:t>
      </w:r>
      <w:r w:rsidR="004F5931">
        <w:rPr>
          <w:rStyle w:val="libAieChar"/>
          <w:rFonts w:hint="cs"/>
          <w:rtl/>
        </w:rPr>
        <w:t>ِ</w:t>
      </w:r>
      <w:r w:rsidRPr="00AC51C5">
        <w:rPr>
          <w:rStyle w:val="libAieChar"/>
          <w:rtl/>
        </w:rPr>
        <w:t>ِ وَإِنّ</w:t>
      </w:r>
      <w:r w:rsidR="004F5931">
        <w:rPr>
          <w:rStyle w:val="libAieChar"/>
          <w:rFonts w:hint="cs"/>
          <w:rtl/>
        </w:rPr>
        <w:t>َ</w:t>
      </w:r>
      <w:r w:rsidRPr="00AC51C5">
        <w:rPr>
          <w:rStyle w:val="libAieChar"/>
          <w:rtl/>
        </w:rPr>
        <w:t>ا إِلَيْهِ ر</w:t>
      </w:r>
      <w:r w:rsidR="004F5931">
        <w:rPr>
          <w:rStyle w:val="libAieChar"/>
          <w:rFonts w:hint="cs"/>
          <w:rtl/>
        </w:rPr>
        <w:t>َ</w:t>
      </w:r>
      <w:r w:rsidRPr="00AC51C5">
        <w:rPr>
          <w:rStyle w:val="libAieChar"/>
          <w:rtl/>
        </w:rPr>
        <w:t xml:space="preserve">اجِعُونَ </w:t>
      </w:r>
      <w:r w:rsidRPr="00AC51C5">
        <w:rPr>
          <w:rStyle w:val="libAlaemChar"/>
          <w:rtl/>
        </w:rPr>
        <w:t>)</w:t>
      </w:r>
      <w:r w:rsidRPr="005D642E">
        <w:rPr>
          <w:rtl/>
          <w:lang w:bidi="fa-IR"/>
        </w:rPr>
        <w:t xml:space="preserve"> </w:t>
      </w:r>
      <w:r w:rsidRPr="007C12DB">
        <w:rPr>
          <w:rStyle w:val="libFootnotenumChar"/>
          <w:rtl/>
        </w:rPr>
        <w:t>(9)</w:t>
      </w:r>
    </w:p>
    <w:p w:rsidR="00E3253D" w:rsidRPr="005D642E" w:rsidRDefault="00E3253D" w:rsidP="00515494">
      <w:pPr>
        <w:pStyle w:val="libNormal"/>
        <w:rPr>
          <w:rtl/>
          <w:lang w:bidi="fa-IR"/>
        </w:rPr>
      </w:pPr>
      <w:r w:rsidRPr="005D642E">
        <w:rPr>
          <w:rtl/>
          <w:lang w:bidi="fa-IR"/>
        </w:rPr>
        <w:t xml:space="preserve">فَقَالَ </w:t>
      </w:r>
      <w:r w:rsidRPr="007C12DB">
        <w:rPr>
          <w:rStyle w:val="libFootnotenumChar"/>
          <w:rtl/>
        </w:rPr>
        <w:t>(10)</w:t>
      </w:r>
      <w:r w:rsidRPr="005D642E">
        <w:rPr>
          <w:rtl/>
          <w:lang w:bidi="fa-IR"/>
        </w:rPr>
        <w:t xml:space="preserve"> أَمِيرُ الْمُؤْمِنِينَ </w:t>
      </w:r>
      <w:r w:rsidRPr="00AC51C5">
        <w:rPr>
          <w:rStyle w:val="libAlaemChar"/>
          <w:rtl/>
        </w:rPr>
        <w:t>عليه‌السلام</w:t>
      </w:r>
      <w:r>
        <w:rPr>
          <w:rtl/>
          <w:lang w:bidi="fa-IR"/>
        </w:rPr>
        <w:t xml:space="preserve"> : « أَ</w:t>
      </w:r>
      <w:r w:rsidRPr="005D642E">
        <w:rPr>
          <w:rtl/>
          <w:lang w:bidi="fa-IR"/>
        </w:rPr>
        <w:t>تَدْرِي مَا تَأْوِيلُهَا</w:t>
      </w:r>
      <w:r>
        <w:rPr>
          <w:rtl/>
          <w:lang w:bidi="fa-IR"/>
        </w:rPr>
        <w:t>؟</w:t>
      </w:r>
      <w:r w:rsidR="00515494">
        <w:rPr>
          <w:rtl/>
          <w:lang w:bidi="fa-IR"/>
        </w:rPr>
        <w:t xml:space="preserve"> »</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بس » : « ومهطعاً</w:t>
      </w:r>
      <w:r w:rsidR="00E3253D">
        <w:rPr>
          <w:rtl/>
        </w:rPr>
        <w:t xml:space="preserve"> ».</w:t>
      </w:r>
      <w:r w:rsidR="00E3253D" w:rsidRPr="005D642E">
        <w:rPr>
          <w:rtl/>
        </w:rPr>
        <w:t xml:space="preserve"> </w:t>
      </w:r>
      <w:r w:rsidR="00E3253D">
        <w:rPr>
          <w:rtl/>
        </w:rPr>
        <w:t>و «</w:t>
      </w:r>
      <w:r w:rsidR="00E3253D" w:rsidRPr="005D642E">
        <w:rPr>
          <w:rtl/>
        </w:rPr>
        <w:t xml:space="preserve"> ال</w:t>
      </w:r>
      <w:r w:rsidR="00515494">
        <w:rPr>
          <w:rFonts w:hint="cs"/>
          <w:rtl/>
        </w:rPr>
        <w:t>ـ</w:t>
      </w:r>
      <w:r w:rsidR="00E3253D" w:rsidRPr="005D642E">
        <w:rPr>
          <w:rtl/>
        </w:rPr>
        <w:t xml:space="preserve">مُهْطِعُ » : الذي ينظر في ذلّ وخشوع ، أو الذي يقبل مسرعاً مع خوف ، أو الذي ينظر بخضوع ، أو الذي يمدّ عنقه ويخفض رأسه. راجع : </w:t>
      </w:r>
      <w:r w:rsidR="00E3253D" w:rsidRPr="002F4D34">
        <w:rPr>
          <w:rStyle w:val="libFootnoteBoldChar"/>
          <w:rtl/>
        </w:rPr>
        <w:t>لسان العرب</w:t>
      </w:r>
      <w:r w:rsidR="00E3253D" w:rsidRPr="005D642E">
        <w:rPr>
          <w:rtl/>
        </w:rPr>
        <w:t xml:space="preserve"> ، ج 8 ، ص 372 ( هطع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w:t>
      </w:r>
      <w:r w:rsidR="00E3253D" w:rsidRPr="002F4D34">
        <w:rPr>
          <w:rStyle w:val="libFootnoteBoldChar"/>
          <w:rtl/>
        </w:rPr>
        <w:t>الوافي</w:t>
      </w:r>
      <w:r w:rsidR="00E3253D" w:rsidRPr="005D642E">
        <w:rPr>
          <w:rtl/>
        </w:rPr>
        <w:t xml:space="preserve"> ، ج 25 ، ص 691 ، ح 24825 ؛ </w:t>
      </w:r>
      <w:r w:rsidR="00E3253D" w:rsidRPr="002F4D34">
        <w:rPr>
          <w:rStyle w:val="libFootnoteBoldChar"/>
          <w:rtl/>
        </w:rPr>
        <w:t>البحار</w:t>
      </w:r>
      <w:r w:rsidR="00E3253D" w:rsidRPr="005D642E">
        <w:rPr>
          <w:rtl/>
        </w:rPr>
        <w:t xml:space="preserve"> ، ج 6 ، ص 171 ، ح 48 ؛ وج 14 ، ص 501 ، ح 25.</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 أشراط الساعة » : علاماتها ، واحدها : شَرَط ، بالتحريك. وحكي عن بعض أهل اللغة أنّه أنكر هذا التفسير وقال : أشراط الساعة : ما ينكره الناس من صغار ا</w:t>
      </w:r>
      <w:r w:rsidR="00515494">
        <w:rPr>
          <w:rFonts w:hint="cs"/>
          <w:rtl/>
        </w:rPr>
        <w:t>ُ</w:t>
      </w:r>
      <w:r w:rsidR="00E3253D" w:rsidRPr="005D642E">
        <w:rPr>
          <w:rtl/>
        </w:rPr>
        <w:t>مورها قبل أن تقوم الساعة. راجع : النهاية ، ج 2 ، ص 460 ( شرط )</w:t>
      </w:r>
      <w:r w:rsidR="00E3253D">
        <w:rPr>
          <w:rtl/>
        </w:rPr>
        <w:t>.</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جس » : « أن يشفوا</w:t>
      </w:r>
      <w:r w:rsidR="00E3253D">
        <w:rPr>
          <w:rtl/>
        </w:rPr>
        <w:t xml:space="preserve"> ».</w:t>
      </w:r>
      <w:r w:rsidR="00E3253D" w:rsidRPr="005D642E">
        <w:rPr>
          <w:rtl/>
        </w:rPr>
        <w:t xml:space="preserve"> وفي حاشية « بث » : « أن ينسوا</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24 ، ص 206 ، ح 23903 ؛ </w:t>
      </w:r>
      <w:r w:rsidR="00E3253D" w:rsidRPr="002F4D34">
        <w:rPr>
          <w:rStyle w:val="libFootnoteBoldChar"/>
          <w:rtl/>
        </w:rPr>
        <w:t>البحار</w:t>
      </w:r>
      <w:r w:rsidR="00E3253D" w:rsidRPr="005D642E">
        <w:rPr>
          <w:rtl/>
        </w:rPr>
        <w:t xml:space="preserve"> ، ج 6 ، ص 312 ، ح 15.</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يقال : عزّاه ، أي قال له : أحسن الله تعالى عزاءك ، أي رزقك الصبر الحسن. والعزاء : الصبرُ عن كلّ ما فقدتَ ، أو حُسْنُهُ. راجع : </w:t>
      </w:r>
      <w:r w:rsidR="00E3253D" w:rsidRPr="002F4D34">
        <w:rPr>
          <w:rStyle w:val="libFootnoteBoldChar"/>
          <w:rtl/>
        </w:rPr>
        <w:t>لسان العرب</w:t>
      </w:r>
      <w:r w:rsidR="00E3253D" w:rsidRPr="005D642E">
        <w:rPr>
          <w:rtl/>
        </w:rPr>
        <w:t xml:space="preserve"> ، ج 15 ، ص 52 ؛ </w:t>
      </w:r>
      <w:r w:rsidR="00E3253D" w:rsidRPr="002F4D34">
        <w:rPr>
          <w:rStyle w:val="libFootnoteBoldChar"/>
          <w:rtl/>
        </w:rPr>
        <w:t>المصباح المنير</w:t>
      </w:r>
      <w:r w:rsidR="00E3253D" w:rsidRPr="005D642E">
        <w:rPr>
          <w:rtl/>
        </w:rPr>
        <w:t xml:space="preserve"> ، ص 408 ( عزا )</w:t>
      </w:r>
      <w:r w:rsidR="00E3253D">
        <w:rPr>
          <w:rtl/>
        </w:rPr>
        <w:t>.</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حاشية « جح » : « بولد</w:t>
      </w:r>
      <w:r w:rsidR="00E3253D">
        <w:rPr>
          <w:rtl/>
        </w:rPr>
        <w:t xml:space="preserve"> ».</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البحار : « ممدوح</w:t>
      </w:r>
      <w:r w:rsidR="00E3253D">
        <w:rPr>
          <w:rtl/>
        </w:rPr>
        <w:t xml:space="preserve"> ».</w:t>
      </w:r>
    </w:p>
    <w:tbl>
      <w:tblPr>
        <w:tblStyle w:val="TableGrid"/>
        <w:bidiVisual/>
        <w:tblW w:w="0" w:type="auto"/>
        <w:tblLook w:val="04A0" w:firstRow="1" w:lastRow="0" w:firstColumn="1" w:lastColumn="0" w:noHBand="0" w:noVBand="1"/>
      </w:tblPr>
      <w:tblGrid>
        <w:gridCol w:w="4006"/>
        <w:gridCol w:w="4006"/>
      </w:tblGrid>
      <w:tr w:rsidR="00515494" w:rsidTr="00515494">
        <w:tc>
          <w:tcPr>
            <w:tcW w:w="4006" w:type="dxa"/>
          </w:tcPr>
          <w:p w:rsidR="00515494" w:rsidRDefault="00515494" w:rsidP="00E3253D">
            <w:pPr>
              <w:pStyle w:val="libFootnote0"/>
              <w:rPr>
                <w:rStyle w:val="libFootnote0Char"/>
                <w:rtl/>
              </w:rPr>
            </w:pPr>
            <w:r w:rsidRPr="0042621E">
              <w:rPr>
                <w:rStyle w:val="libFootnote0Char"/>
                <w:rtl/>
              </w:rPr>
              <w:t>(9).</w:t>
            </w:r>
            <w:r w:rsidRPr="005D642E">
              <w:rPr>
                <w:rtl/>
              </w:rPr>
              <w:t xml:space="preserve"> البقرة </w:t>
            </w:r>
            <w:r w:rsidRPr="0042621E">
              <w:rPr>
                <w:rStyle w:val="libFootnote0Char"/>
                <w:rtl/>
              </w:rPr>
              <w:t>(2)</w:t>
            </w:r>
            <w:r w:rsidRPr="005D642E">
              <w:rPr>
                <w:rtl/>
              </w:rPr>
              <w:t xml:space="preserve"> : 156.</w:t>
            </w:r>
          </w:p>
        </w:tc>
        <w:tc>
          <w:tcPr>
            <w:tcW w:w="4006" w:type="dxa"/>
          </w:tcPr>
          <w:p w:rsidR="00515494" w:rsidRDefault="00515494" w:rsidP="00E3253D">
            <w:pPr>
              <w:pStyle w:val="libFootnote0"/>
              <w:rPr>
                <w:rStyle w:val="libFootnote0Char"/>
                <w:rtl/>
              </w:rPr>
            </w:pPr>
            <w:r w:rsidRPr="0042621E">
              <w:rPr>
                <w:rStyle w:val="libFootnote0Char"/>
                <w:rtl/>
              </w:rPr>
              <w:t>(10).</w:t>
            </w:r>
            <w:r w:rsidRPr="005D642E">
              <w:rPr>
                <w:rtl/>
              </w:rPr>
              <w:t xml:space="preserve"> في « بخ » : + « له</w:t>
            </w:r>
            <w:r>
              <w:rPr>
                <w:rtl/>
              </w:rPr>
              <w:t xml:space="preserve"> ».</w:t>
            </w:r>
          </w:p>
        </w:tc>
      </w:tr>
    </w:tbl>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5D642E">
        <w:rPr>
          <w:rtl/>
          <w:lang w:bidi="fa-IR"/>
        </w:rPr>
        <w:t xml:space="preserve">فَقَالَ </w:t>
      </w:r>
      <w:r w:rsidRPr="007C12DB">
        <w:rPr>
          <w:rStyle w:val="libFootnotenumChar"/>
          <w:rtl/>
        </w:rPr>
        <w:t>(1)</w:t>
      </w:r>
      <w:r w:rsidRPr="005D642E">
        <w:rPr>
          <w:rtl/>
          <w:lang w:bidi="fa-IR"/>
        </w:rPr>
        <w:t xml:space="preserve"> الْأَشْعَثُ : لَا </w:t>
      </w:r>
      <w:r w:rsidRPr="007C12DB">
        <w:rPr>
          <w:rStyle w:val="libFootnotenumChar"/>
          <w:rtl/>
        </w:rPr>
        <w:t>(2)</w:t>
      </w:r>
      <w:r w:rsidRPr="005D642E">
        <w:rPr>
          <w:rtl/>
          <w:lang w:bidi="fa-IR"/>
        </w:rPr>
        <w:t xml:space="preserve"> ، أَنْتَ غَايَةُ الْعِلْمِ وَمُنْتَهَاهُ.</w:t>
      </w:r>
    </w:p>
    <w:p w:rsidR="00E3253D" w:rsidRPr="005D642E" w:rsidRDefault="00E3253D" w:rsidP="00E3253D">
      <w:pPr>
        <w:pStyle w:val="libNormal"/>
        <w:rPr>
          <w:rtl/>
          <w:lang w:bidi="fa-IR"/>
        </w:rPr>
      </w:pPr>
      <w:r w:rsidRPr="005D642E">
        <w:rPr>
          <w:rtl/>
          <w:lang w:bidi="fa-IR"/>
        </w:rPr>
        <w:t xml:space="preserve">فَقَالَ لَهُ : « أَمَّا قَوْلُكَ : </w:t>
      </w:r>
      <w:r w:rsidRPr="00AC51C5">
        <w:rPr>
          <w:rStyle w:val="libAlaemChar"/>
          <w:rtl/>
        </w:rPr>
        <w:t>(</w:t>
      </w:r>
      <w:r w:rsidRPr="00AC51C5">
        <w:rPr>
          <w:rStyle w:val="libAieChar"/>
          <w:rtl/>
        </w:rPr>
        <w:t xml:space="preserve"> إِنّ</w:t>
      </w:r>
      <w:r w:rsidR="007C1D2E">
        <w:rPr>
          <w:rStyle w:val="libAieChar"/>
          <w:rFonts w:hint="cs"/>
          <w:rtl/>
        </w:rPr>
        <w:t>َ</w:t>
      </w:r>
      <w:r w:rsidRPr="00AC51C5">
        <w:rPr>
          <w:rStyle w:val="libAieChar"/>
          <w:rtl/>
        </w:rPr>
        <w:t>ا لِلّهِ</w:t>
      </w:r>
      <w:r w:rsidR="007C1D2E">
        <w:rPr>
          <w:rStyle w:val="libAieChar"/>
          <w:rFonts w:hint="cs"/>
          <w:rtl/>
        </w:rPr>
        <w:t>ِ</w:t>
      </w:r>
      <w:r w:rsidRPr="00AC51C5">
        <w:rPr>
          <w:rStyle w:val="libAieChar"/>
          <w:rtl/>
        </w:rPr>
        <w:t xml:space="preserve"> </w:t>
      </w:r>
      <w:r w:rsidRPr="00AC51C5">
        <w:rPr>
          <w:rStyle w:val="libAlaemChar"/>
          <w:rtl/>
        </w:rPr>
        <w:t>)</w:t>
      </w:r>
      <w:r w:rsidRPr="005D642E">
        <w:rPr>
          <w:rtl/>
          <w:lang w:bidi="fa-IR"/>
        </w:rPr>
        <w:t xml:space="preserve"> فَإِقْرَارٌ مِنْكَ بِالْمُلْكِ ، وَأَمَّا قَوْلُكَ : </w:t>
      </w:r>
      <w:r w:rsidRPr="00AC51C5">
        <w:rPr>
          <w:rStyle w:val="libAlaemChar"/>
          <w:rtl/>
        </w:rPr>
        <w:t>(</w:t>
      </w:r>
      <w:r w:rsidRPr="00AC51C5">
        <w:rPr>
          <w:rStyle w:val="libAieChar"/>
          <w:rtl/>
        </w:rPr>
        <w:t xml:space="preserve"> وَإِنّ</w:t>
      </w:r>
      <w:r w:rsidR="007C1D2E">
        <w:rPr>
          <w:rStyle w:val="libAieChar"/>
          <w:rFonts w:hint="cs"/>
          <w:rtl/>
        </w:rPr>
        <w:t>َ</w:t>
      </w:r>
      <w:r w:rsidRPr="00AC51C5">
        <w:rPr>
          <w:rStyle w:val="libAieChar"/>
          <w:rtl/>
        </w:rPr>
        <w:t>ا إِلَيْهِ ر</w:t>
      </w:r>
      <w:r w:rsidR="007C1D2E">
        <w:rPr>
          <w:rStyle w:val="libAieChar"/>
          <w:rFonts w:hint="cs"/>
          <w:rtl/>
        </w:rPr>
        <w:t>َ</w:t>
      </w:r>
      <w:r w:rsidRPr="00AC51C5">
        <w:rPr>
          <w:rStyle w:val="libAieChar"/>
          <w:rtl/>
        </w:rPr>
        <w:t xml:space="preserve">اجِعُونَ </w:t>
      </w:r>
      <w:r w:rsidRPr="00AC51C5">
        <w:rPr>
          <w:rStyle w:val="libAlaemChar"/>
          <w:rtl/>
        </w:rPr>
        <w:t>)</w:t>
      </w:r>
      <w:r w:rsidRPr="005D642E">
        <w:rPr>
          <w:rtl/>
          <w:lang w:bidi="fa-IR"/>
        </w:rPr>
        <w:t xml:space="preserve"> فَإِقْرَارٌ مِنْكَ بِالْهَلَاكِ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9B571E">
        <w:rPr>
          <w:rtl/>
        </w:rPr>
        <w:t>4780</w:t>
      </w:r>
      <w:r w:rsidRPr="00246318">
        <w:rPr>
          <w:rStyle w:val="libBold2Char"/>
          <w:rtl/>
        </w:rPr>
        <w:t xml:space="preserve"> / 41.</w:t>
      </w:r>
      <w:r w:rsidRPr="005D642E">
        <w:rPr>
          <w:rtl/>
          <w:lang w:bidi="fa-IR"/>
        </w:rPr>
        <w:t xml:space="preserve"> مُحَمَّدُ بْنُ يَحْيى يَرْفَعُهُ </w:t>
      </w:r>
      <w:r w:rsidRPr="007C12DB">
        <w:rPr>
          <w:rStyle w:val="libFootnotenumChar"/>
          <w:rtl/>
        </w:rPr>
        <w:t>(5)</w:t>
      </w:r>
      <w:r w:rsidRPr="005D642E">
        <w:rPr>
          <w:rtl/>
          <w:lang w:bidi="fa-IR"/>
        </w:rPr>
        <w:t xml:space="preserve"> :</w:t>
      </w:r>
    </w:p>
    <w:p w:rsidR="00E3253D" w:rsidRPr="005D642E" w:rsidRDefault="00E3253D" w:rsidP="00E3253D">
      <w:pPr>
        <w:pStyle w:val="libNormal"/>
        <w:rPr>
          <w:rtl/>
          <w:lang w:bidi="fa-IR"/>
        </w:rPr>
      </w:pPr>
      <w:r w:rsidRPr="005D642E">
        <w:rPr>
          <w:rtl/>
          <w:lang w:bidi="fa-IR"/>
        </w:rPr>
        <w:t xml:space="preserve">عَنْ أَمِيرِ الْمُؤْمِنِينَ </w:t>
      </w:r>
      <w:r w:rsidRPr="00AC51C5">
        <w:rPr>
          <w:rStyle w:val="libAlaemChar"/>
          <w:rtl/>
        </w:rPr>
        <w:t>عليه‌السلام</w:t>
      </w:r>
      <w:r w:rsidRPr="005D642E">
        <w:rPr>
          <w:rtl/>
          <w:lang w:bidi="fa-IR"/>
        </w:rPr>
        <w:t xml:space="preserve"> ، قَالَ : « دَعَا نَبِيٌّ مِنَ الْأَنْبِيَاءِ عَلى قَوْمِهِ ، فَقِيلَ لَهُ : أُسَلِّطُ‌</w:t>
      </w:r>
      <w:r>
        <w:rPr>
          <w:rFonts w:hint="cs"/>
          <w:rtl/>
          <w:lang w:bidi="fa-IR"/>
        </w:rPr>
        <w:t xml:space="preserve"> </w:t>
      </w:r>
      <w:r w:rsidRPr="005D642E">
        <w:rPr>
          <w:rtl/>
          <w:lang w:bidi="fa-IR"/>
        </w:rPr>
        <w:t>عَلَيْهِمْ عَدُوَّهُمْ</w:t>
      </w:r>
      <w:r>
        <w:rPr>
          <w:rtl/>
          <w:lang w:bidi="fa-IR"/>
        </w:rPr>
        <w:t>؟</w:t>
      </w:r>
      <w:r w:rsidRPr="005D642E">
        <w:rPr>
          <w:rtl/>
          <w:lang w:bidi="fa-IR"/>
        </w:rPr>
        <w:t xml:space="preserve"> فَقَالَ : لَا. فَقِيلَ لَهُ </w:t>
      </w:r>
      <w:r w:rsidRPr="007C12DB">
        <w:rPr>
          <w:rStyle w:val="libFootnotenumChar"/>
          <w:rtl/>
        </w:rPr>
        <w:t>(6)</w:t>
      </w:r>
      <w:r w:rsidRPr="005D642E">
        <w:rPr>
          <w:rtl/>
          <w:lang w:bidi="fa-IR"/>
        </w:rPr>
        <w:t xml:space="preserve"> : فَالْجُوعَ</w:t>
      </w:r>
      <w:r>
        <w:rPr>
          <w:rtl/>
          <w:lang w:bidi="fa-IR"/>
        </w:rPr>
        <w:t>؟</w:t>
      </w:r>
      <w:r w:rsidRPr="005D642E">
        <w:rPr>
          <w:rtl/>
          <w:lang w:bidi="fa-IR"/>
        </w:rPr>
        <w:t xml:space="preserve"> فَقَالَ : لَا ، فَقِيلَ لَهُ : مَا تُرِيدُ</w:t>
      </w:r>
      <w:r>
        <w:rPr>
          <w:rtl/>
          <w:lang w:bidi="fa-IR"/>
        </w:rPr>
        <w:t>؟</w:t>
      </w:r>
      <w:r w:rsidRPr="005D642E">
        <w:rPr>
          <w:rtl/>
          <w:lang w:bidi="fa-IR"/>
        </w:rPr>
        <w:t xml:space="preserve"> فَقَالَ : مَوْتٌ دَفِيقٌ </w:t>
      </w:r>
      <w:r w:rsidRPr="007C12DB">
        <w:rPr>
          <w:rStyle w:val="libFootnotenumChar"/>
          <w:rtl/>
        </w:rPr>
        <w:t>(7)</w:t>
      </w:r>
      <w:r w:rsidRPr="005D642E">
        <w:rPr>
          <w:rtl/>
          <w:lang w:bidi="fa-IR"/>
        </w:rPr>
        <w:t xml:space="preserve"> يَحْزُنُ الْقَلْبَ ، وَيُقِلُّ الْعَدَدَ ؛ فَأُرْسِلَ عَلَيْهِمُ </w:t>
      </w:r>
      <w:r w:rsidRPr="007C12DB">
        <w:rPr>
          <w:rStyle w:val="libFootnotenumChar"/>
          <w:rtl/>
        </w:rPr>
        <w:t>(8)</w:t>
      </w:r>
      <w:r w:rsidRPr="005D642E">
        <w:rPr>
          <w:rtl/>
          <w:lang w:bidi="fa-IR"/>
        </w:rPr>
        <w:t xml:space="preserve"> الطَّاعُونُ</w:t>
      </w:r>
      <w:r>
        <w:rPr>
          <w:rtl/>
          <w:lang w:bidi="fa-IR"/>
        </w:rPr>
        <w:t xml:space="preserve"> ».</w:t>
      </w:r>
      <w:r w:rsidRPr="005D642E">
        <w:rPr>
          <w:rtl/>
          <w:lang w:bidi="fa-IR"/>
        </w:rPr>
        <w:t xml:space="preserve"> </w:t>
      </w:r>
      <w:r w:rsidRPr="007C12DB">
        <w:rPr>
          <w:rStyle w:val="libFootnotenumChar"/>
          <w:rtl/>
        </w:rPr>
        <w:t>(9)</w:t>
      </w:r>
      <w:r w:rsidRPr="005D642E">
        <w:rPr>
          <w:rtl/>
          <w:lang w:bidi="fa-IR"/>
        </w:rPr>
        <w:t xml:space="preserve"> ‌</w:t>
      </w:r>
    </w:p>
    <w:p w:rsidR="00E3253D" w:rsidRPr="005D642E" w:rsidRDefault="00E3253D" w:rsidP="00E3253D">
      <w:pPr>
        <w:pStyle w:val="libNormal"/>
        <w:rPr>
          <w:rtl/>
          <w:lang w:bidi="fa-IR"/>
        </w:rPr>
      </w:pPr>
      <w:r w:rsidRPr="009B571E">
        <w:rPr>
          <w:rtl/>
        </w:rPr>
        <w:t>4781</w:t>
      </w:r>
      <w:r w:rsidRPr="00246318">
        <w:rPr>
          <w:rStyle w:val="libBold2Char"/>
          <w:rtl/>
        </w:rPr>
        <w:t xml:space="preserve"> / 42.</w:t>
      </w:r>
      <w:r w:rsidRPr="005D642E">
        <w:rPr>
          <w:rtl/>
          <w:lang w:bidi="fa-IR"/>
        </w:rPr>
        <w:t xml:space="preserve"> عِدَّةٌ مِنْ أَصْحَابِنَا ، عَنْ سَهْلِ بْنِ زِيَادٍ ، عَنْ عَلِيِّ بْنِ أَسْبَاطٍ رَفَعَهُ ، قَالَ :</w:t>
      </w:r>
    </w:p>
    <w:p w:rsidR="00E3253D" w:rsidRPr="005D642E" w:rsidRDefault="00E3253D" w:rsidP="00E3253D">
      <w:pPr>
        <w:pStyle w:val="libNormal"/>
        <w:rPr>
          <w:rtl/>
          <w:lang w:bidi="fa-IR"/>
        </w:rPr>
      </w:pPr>
      <w:r w:rsidRPr="005D642E">
        <w:rPr>
          <w:rtl/>
          <w:lang w:bidi="fa-IR"/>
        </w:rPr>
        <w:t xml:space="preserve">كَانَ أَبُو عَبْدِ اللهِ </w:t>
      </w:r>
      <w:r w:rsidRPr="00AC51C5">
        <w:rPr>
          <w:rStyle w:val="libAlaemChar"/>
          <w:rtl/>
        </w:rPr>
        <w:t>عليه‌السلام</w:t>
      </w:r>
      <w:r w:rsidRPr="005D642E">
        <w:rPr>
          <w:rtl/>
          <w:lang w:bidi="fa-IR"/>
        </w:rPr>
        <w:t xml:space="preserve"> يَقُولُ عِنْدَ الْمُصِيبَةِ : « الْحَمْدُ لِلّهِ الَّذِي لَمْ يَجْعَلْ مُصِيبَتِي فِي دِينِي ، وَالْحَمْدُ لِلّهِ الَّذِي لَوْ شَاءَ أَنْ يَكُونَ </w:t>
      </w:r>
      <w:r w:rsidRPr="007C12DB">
        <w:rPr>
          <w:rStyle w:val="libFootnotenumChar"/>
          <w:rtl/>
        </w:rPr>
        <w:t>(10)</w:t>
      </w:r>
      <w:r w:rsidRPr="005D642E">
        <w:rPr>
          <w:rtl/>
          <w:lang w:bidi="fa-IR"/>
        </w:rPr>
        <w:t xml:space="preserve"> مُصِيبَتِي أَعْظَمَ مِمَّا كَانَتْ ، وَالْحَمْدُ لِلّهِ عَلَى الْأَمْرِ الَّذِي شَاءَ أَنْ يَكُونَ ، فَكَانَ</w:t>
      </w:r>
      <w:r>
        <w:rPr>
          <w:rtl/>
          <w:lang w:bidi="fa-IR"/>
        </w:rPr>
        <w:t xml:space="preserve"> ».</w:t>
      </w:r>
      <w:r w:rsidRPr="005D642E">
        <w:rPr>
          <w:rtl/>
          <w:lang w:bidi="fa-IR"/>
        </w:rPr>
        <w:t xml:space="preserve"> </w:t>
      </w:r>
      <w:r w:rsidRPr="007C12DB">
        <w:rPr>
          <w:rStyle w:val="libFootnotenumChar"/>
          <w:rtl/>
        </w:rPr>
        <w:t>(11)</w:t>
      </w:r>
      <w:r w:rsidRPr="005D642E">
        <w:rPr>
          <w:rtl/>
          <w:lang w:bidi="fa-IR"/>
        </w:rPr>
        <w:t xml:space="preserve"> ‌</w:t>
      </w:r>
    </w:p>
    <w:p w:rsidR="00E3253D" w:rsidRPr="005D642E" w:rsidRDefault="00E3253D" w:rsidP="00E3253D">
      <w:pPr>
        <w:pStyle w:val="libLine"/>
        <w:rPr>
          <w:rtl/>
          <w:lang w:bidi="fa-IR"/>
        </w:rPr>
      </w:pPr>
      <w:r w:rsidRPr="005D642E">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C1D2E" w:rsidTr="007C1D2E">
        <w:tc>
          <w:tcPr>
            <w:tcW w:w="4006" w:type="dxa"/>
          </w:tcPr>
          <w:p w:rsidR="007C1D2E" w:rsidRDefault="007C1D2E" w:rsidP="00E3253D">
            <w:pPr>
              <w:pStyle w:val="libFootnote0"/>
              <w:rPr>
                <w:rStyle w:val="libFootnote0Char"/>
                <w:rtl/>
              </w:rPr>
            </w:pPr>
            <w:r w:rsidRPr="0042621E">
              <w:rPr>
                <w:rStyle w:val="libFootnote0Char"/>
                <w:rtl/>
              </w:rPr>
              <w:t>(1).</w:t>
            </w:r>
            <w:r>
              <w:rPr>
                <w:rtl/>
              </w:rPr>
              <w:t xml:space="preserve"> </w:t>
            </w:r>
            <w:r w:rsidRPr="005D642E">
              <w:rPr>
                <w:rtl/>
              </w:rPr>
              <w:t>في « ى » والبحار : + « له</w:t>
            </w:r>
            <w:r>
              <w:rPr>
                <w:rtl/>
              </w:rPr>
              <w:t xml:space="preserve"> ».</w:t>
            </w:r>
          </w:p>
        </w:tc>
        <w:tc>
          <w:tcPr>
            <w:tcW w:w="4006" w:type="dxa"/>
          </w:tcPr>
          <w:p w:rsidR="007C1D2E" w:rsidRDefault="007C1D2E" w:rsidP="00E3253D">
            <w:pPr>
              <w:pStyle w:val="libFootnote0"/>
              <w:rPr>
                <w:rStyle w:val="libFootnote0Char"/>
                <w:rtl/>
              </w:rPr>
            </w:pPr>
            <w:r w:rsidRPr="0042621E">
              <w:rPr>
                <w:rStyle w:val="libFootnote0Char"/>
                <w:rtl/>
              </w:rPr>
              <w:t>(2).</w:t>
            </w:r>
            <w:r w:rsidRPr="005D642E">
              <w:rPr>
                <w:rtl/>
              </w:rPr>
              <w:t xml:space="preserve"> في « بث ، بس ، جس » والبحار :</w:t>
            </w:r>
            <w:r>
              <w:rPr>
                <w:rtl/>
              </w:rPr>
              <w:t xml:space="preserve"> - </w:t>
            </w:r>
            <w:r w:rsidRPr="005D642E">
              <w:rPr>
                <w:rtl/>
              </w:rPr>
              <w:t>« لا</w:t>
            </w:r>
            <w:r>
              <w:rPr>
                <w:rtl/>
              </w:rPr>
              <w:t xml:space="preserve"> ».</w:t>
            </w:r>
          </w:p>
        </w:tc>
      </w:tr>
    </w:tbl>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 ى ، بح ، بخ ، بس ، جح » : « بالهلك</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تحف العقول</w:t>
      </w:r>
      <w:r w:rsidR="00E3253D" w:rsidRPr="005D642E">
        <w:rPr>
          <w:rtl/>
        </w:rPr>
        <w:t xml:space="preserve"> ، ص 209 ، مع اختلاف يسير </w:t>
      </w:r>
      <w:r w:rsidR="002D3E26">
        <w:rPr>
          <w:rFonts w:hint="cs"/>
          <w:rtl/>
        </w:rPr>
        <w:t>.</w:t>
      </w:r>
      <w:r w:rsidR="00E3253D" w:rsidRPr="002F4D34">
        <w:rPr>
          <w:rStyle w:val="libFootnoteBoldChar"/>
          <w:rtl/>
        </w:rPr>
        <w:t>الوافي</w:t>
      </w:r>
      <w:r w:rsidR="00E3253D" w:rsidRPr="005D642E">
        <w:rPr>
          <w:rtl/>
        </w:rPr>
        <w:t xml:space="preserve"> ، ج 25 ، ص 575 ، ح 24701 ؛ </w:t>
      </w:r>
      <w:r w:rsidR="00E3253D" w:rsidRPr="002F4D34">
        <w:rPr>
          <w:rStyle w:val="libFootnoteBoldChar"/>
          <w:rtl/>
        </w:rPr>
        <w:t>الوسائل</w:t>
      </w:r>
      <w:r w:rsidR="00E3253D" w:rsidRPr="005D642E">
        <w:rPr>
          <w:rtl/>
        </w:rPr>
        <w:t xml:space="preserve"> ، ج 3 ، ص 270 ، ح 3619 ، إلى قوله : « وأنت مذموم » ؛ </w:t>
      </w:r>
      <w:r w:rsidR="00E3253D" w:rsidRPr="002F4D34">
        <w:rPr>
          <w:rStyle w:val="libFootnoteBoldChar"/>
          <w:rtl/>
        </w:rPr>
        <w:t>البحار</w:t>
      </w:r>
      <w:r w:rsidR="00E3253D" w:rsidRPr="005D642E">
        <w:rPr>
          <w:rtl/>
        </w:rPr>
        <w:t xml:space="preserve"> ، ج 42 ، ص 159 ، ح 29.</w:t>
      </w:r>
    </w:p>
    <w:tbl>
      <w:tblPr>
        <w:tblStyle w:val="TableGrid"/>
        <w:bidiVisual/>
        <w:tblW w:w="0" w:type="auto"/>
        <w:tblLook w:val="04A0" w:firstRow="1" w:lastRow="0" w:firstColumn="1" w:lastColumn="0" w:noHBand="0" w:noVBand="1"/>
      </w:tblPr>
      <w:tblGrid>
        <w:gridCol w:w="4006"/>
        <w:gridCol w:w="4006"/>
      </w:tblGrid>
      <w:tr w:rsidR="002D3E26" w:rsidTr="002D3E26">
        <w:tc>
          <w:tcPr>
            <w:tcW w:w="4006" w:type="dxa"/>
          </w:tcPr>
          <w:p w:rsidR="002D3E26" w:rsidRDefault="002D3E26" w:rsidP="00E3253D">
            <w:pPr>
              <w:pStyle w:val="libFootnote0"/>
              <w:rPr>
                <w:rStyle w:val="libFootnote0Char"/>
                <w:rtl/>
              </w:rPr>
            </w:pPr>
            <w:r w:rsidRPr="0042621E">
              <w:rPr>
                <w:rStyle w:val="libFootnote0Char"/>
                <w:rtl/>
              </w:rPr>
              <w:t>(5).</w:t>
            </w:r>
            <w:r w:rsidRPr="005D642E">
              <w:rPr>
                <w:rtl/>
              </w:rPr>
              <w:t xml:space="preserve"> في « ظ ، غ ، ى ، بث ، بخ » : « رفعه</w:t>
            </w:r>
            <w:r>
              <w:rPr>
                <w:rtl/>
              </w:rPr>
              <w:t xml:space="preserve"> ».</w:t>
            </w:r>
          </w:p>
        </w:tc>
        <w:tc>
          <w:tcPr>
            <w:tcW w:w="4006" w:type="dxa"/>
          </w:tcPr>
          <w:p w:rsidR="002D3E26" w:rsidRDefault="00A50303" w:rsidP="00E3253D">
            <w:pPr>
              <w:pStyle w:val="libFootnote0"/>
              <w:rPr>
                <w:rStyle w:val="libFootnote0Char"/>
                <w:rtl/>
              </w:rPr>
            </w:pPr>
            <w:r w:rsidRPr="0042621E">
              <w:rPr>
                <w:rStyle w:val="libFootnote0Char"/>
                <w:rtl/>
              </w:rPr>
              <w:t>(6).</w:t>
            </w:r>
            <w:r w:rsidRPr="005D642E">
              <w:rPr>
                <w:rtl/>
              </w:rPr>
              <w:t xml:space="preserve"> في « ى » :</w:t>
            </w:r>
            <w:r>
              <w:rPr>
                <w:rtl/>
              </w:rPr>
              <w:t xml:space="preserve"> - </w:t>
            </w:r>
            <w:r w:rsidRPr="005D642E">
              <w:rPr>
                <w:rtl/>
              </w:rPr>
              <w:t>« له</w:t>
            </w:r>
            <w:r>
              <w:rPr>
                <w:rtl/>
              </w:rPr>
              <w:t xml:space="preserve"> ».</w:t>
            </w:r>
          </w:p>
        </w:tc>
      </w:tr>
    </w:tbl>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ى ، بث ، بح ، بس ، جح » وحاشية « بخ » ومرآة العقول والبحار : « دفيف</w:t>
      </w:r>
      <w:r w:rsidR="00E3253D">
        <w:rPr>
          <w:rtl/>
        </w:rPr>
        <w:t xml:space="preserve"> ».</w:t>
      </w:r>
      <w:r w:rsidR="00E3253D" w:rsidRPr="005D642E">
        <w:rPr>
          <w:rtl/>
        </w:rPr>
        <w:t xml:space="preserve"> والدَفْقُ : انصباب الماء بشدّة مرةً واحدةً. ويقال في الدعاء على الانسان بالموت : دَفَقَ الله روح</w:t>
      </w:r>
      <w:r w:rsidR="00503281">
        <w:rPr>
          <w:rtl/>
        </w:rPr>
        <w:t>ه ، أي أفاظه وأماته. وقال العل</w:t>
      </w:r>
      <w:r w:rsidR="00503281">
        <w:rPr>
          <w:rFonts w:hint="cs"/>
          <w:rtl/>
        </w:rPr>
        <w:t>ّ</w:t>
      </w:r>
      <w:r w:rsidR="00503281">
        <w:rPr>
          <w:rtl/>
        </w:rPr>
        <w:t>ا</w:t>
      </w:r>
      <w:r w:rsidR="00D57EA5">
        <w:rPr>
          <w:rtl/>
        </w:rPr>
        <w:t>مة الفيض</w:t>
      </w:r>
      <w:r w:rsidR="00E3253D" w:rsidRPr="005D642E">
        <w:rPr>
          <w:rtl/>
        </w:rPr>
        <w:t>: « فلعلّ المراد بالموت الدفيق المنصبّ عليهم بغتة المبدّد لهم بمرّة</w:t>
      </w:r>
      <w:r w:rsidR="00E3253D">
        <w:rPr>
          <w:rtl/>
        </w:rPr>
        <w:t xml:space="preserve"> ».</w:t>
      </w:r>
      <w:r w:rsidR="00E3253D" w:rsidRPr="005D642E">
        <w:rPr>
          <w:rtl/>
        </w:rPr>
        <w:t xml:space="preserve"> راجع : </w:t>
      </w:r>
      <w:r w:rsidR="00E3253D" w:rsidRPr="002F4D34">
        <w:rPr>
          <w:rStyle w:val="libFootnoteBoldChar"/>
          <w:rtl/>
        </w:rPr>
        <w:t>لسان العرب</w:t>
      </w:r>
      <w:r w:rsidR="00E3253D" w:rsidRPr="005D642E">
        <w:rPr>
          <w:rtl/>
        </w:rPr>
        <w:t xml:space="preserve"> ، ج 10 ، ص 99 ؛ </w:t>
      </w:r>
      <w:r w:rsidR="00E3253D" w:rsidRPr="002F4D34">
        <w:rPr>
          <w:rStyle w:val="libFootnoteBoldChar"/>
          <w:rtl/>
        </w:rPr>
        <w:t>المصباح المنير</w:t>
      </w:r>
      <w:r w:rsidR="00E3253D" w:rsidRPr="005D642E">
        <w:rPr>
          <w:rtl/>
        </w:rPr>
        <w:t xml:space="preserve"> ، ص 197 ( دفق )</w:t>
      </w:r>
      <w:r w:rsidR="00E3253D">
        <w:rPr>
          <w:rtl/>
        </w:rPr>
        <w:t>.</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هكذا في « بث ، بح ، بس ، جح ، جس » </w:t>
      </w:r>
      <w:r w:rsidR="000D749A" w:rsidRPr="000D749A">
        <w:rPr>
          <w:rStyle w:val="libFootnoteBoldChar"/>
          <w:rtl/>
        </w:rPr>
        <w:t>والوافي</w:t>
      </w:r>
      <w:r w:rsidR="00E3253D" w:rsidRPr="005D642E">
        <w:rPr>
          <w:rtl/>
        </w:rPr>
        <w:t xml:space="preserve"> والبحار. وفي سائر النسخ والمطبوع : « إليهم</w:t>
      </w:r>
      <w:r w:rsidR="00E3253D">
        <w:rPr>
          <w:rtl/>
        </w:rPr>
        <w:t xml:space="preserve"> ».</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w:t>
      </w:r>
      <w:r w:rsidR="00E3253D" w:rsidRPr="002F4D34">
        <w:rPr>
          <w:rStyle w:val="libFootnoteBoldChar"/>
          <w:rtl/>
        </w:rPr>
        <w:t>الوافي</w:t>
      </w:r>
      <w:r w:rsidR="00E3253D" w:rsidRPr="005D642E">
        <w:rPr>
          <w:rtl/>
        </w:rPr>
        <w:t xml:space="preserve"> ، ج 24 ، ص 274 ، ح 24026 ؛ </w:t>
      </w:r>
      <w:r w:rsidR="00E3253D" w:rsidRPr="002F4D34">
        <w:rPr>
          <w:rStyle w:val="libFootnoteBoldChar"/>
          <w:rtl/>
        </w:rPr>
        <w:t>البحار</w:t>
      </w:r>
      <w:r w:rsidR="00E3253D" w:rsidRPr="005D642E">
        <w:rPr>
          <w:rtl/>
        </w:rPr>
        <w:t xml:space="preserve"> ، ج 6 ، ص 122 ، ح 7.</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هكذا في « ى ، بث ، بخ ، جس » </w:t>
      </w:r>
      <w:r w:rsidR="000D749A" w:rsidRPr="000D749A">
        <w:rPr>
          <w:rStyle w:val="libFootnoteBoldChar"/>
          <w:rtl/>
        </w:rPr>
        <w:t>والوافي</w:t>
      </w:r>
      <w:r w:rsidR="00E3253D" w:rsidRPr="005D642E">
        <w:rPr>
          <w:rtl/>
        </w:rPr>
        <w:t>. وفي « بح ، بس ، جح » : « أن تكون</w:t>
      </w:r>
      <w:r w:rsidR="00E3253D">
        <w:rPr>
          <w:rtl/>
        </w:rPr>
        <w:t xml:space="preserve"> ».</w:t>
      </w:r>
      <w:r w:rsidR="00E3253D" w:rsidRPr="005D642E">
        <w:rPr>
          <w:rtl/>
        </w:rPr>
        <w:t xml:space="preserve"> وفي سائر النسخ والمطبوع والوسائل : « أن يجعل</w:t>
      </w:r>
      <w:r w:rsidR="00E3253D">
        <w:rPr>
          <w:rtl/>
        </w:rPr>
        <w:t xml:space="preserve"> ».</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w:t>
      </w:r>
      <w:r w:rsidR="00E3253D" w:rsidRPr="002F4D34">
        <w:rPr>
          <w:rStyle w:val="libFootnoteBoldChar"/>
          <w:rtl/>
        </w:rPr>
        <w:t>تحف العقول</w:t>
      </w:r>
      <w:r w:rsidR="00E3253D" w:rsidRPr="005D642E">
        <w:rPr>
          <w:rtl/>
        </w:rPr>
        <w:t xml:space="preserve"> ، ص 381 ، مع اختلاف يسير </w:t>
      </w:r>
      <w:r w:rsidR="00D57EA5">
        <w:rPr>
          <w:rFonts w:hint="cs"/>
          <w:rtl/>
        </w:rPr>
        <w:t>.</w:t>
      </w:r>
      <w:r w:rsidR="00E3253D" w:rsidRPr="002F4D34">
        <w:rPr>
          <w:rStyle w:val="libFootnoteBoldChar"/>
          <w:rtl/>
        </w:rPr>
        <w:t>الوافي</w:t>
      </w:r>
      <w:r w:rsidR="00E3253D" w:rsidRPr="005D642E">
        <w:rPr>
          <w:rtl/>
        </w:rPr>
        <w:t xml:space="preserve"> ، ج 25 ، ص 568 ، ح 24682 ؛ </w:t>
      </w:r>
      <w:r w:rsidR="00E3253D" w:rsidRPr="002F4D34">
        <w:rPr>
          <w:rStyle w:val="libFootnoteBoldChar"/>
          <w:rtl/>
        </w:rPr>
        <w:t>الوسائل</w:t>
      </w:r>
      <w:r w:rsidR="00E3253D" w:rsidRPr="005D642E">
        <w:rPr>
          <w:rtl/>
        </w:rPr>
        <w:t xml:space="preserve"> ، ج 3 ، ص 247 ، ح 3536.</w:t>
      </w:r>
    </w:p>
    <w:p w:rsidR="00E3253D" w:rsidRDefault="00E3253D" w:rsidP="00E3253D">
      <w:pPr>
        <w:pStyle w:val="libNormal"/>
        <w:rPr>
          <w:rtl/>
          <w:lang w:bidi="fa-IR"/>
        </w:rPr>
      </w:pPr>
      <w:r>
        <w:rPr>
          <w:rtl/>
          <w:lang w:bidi="fa-IR"/>
        </w:rPr>
        <w:br w:type="page"/>
      </w:r>
    </w:p>
    <w:p w:rsidR="00E3253D" w:rsidRPr="005D642E" w:rsidRDefault="00E3253D" w:rsidP="00E3253D">
      <w:pPr>
        <w:pStyle w:val="libNormal"/>
        <w:rPr>
          <w:rtl/>
          <w:lang w:bidi="fa-IR"/>
        </w:rPr>
      </w:pPr>
      <w:r w:rsidRPr="009B571E">
        <w:rPr>
          <w:rtl/>
        </w:rPr>
        <w:t>4782</w:t>
      </w:r>
      <w:r w:rsidRPr="00246318">
        <w:rPr>
          <w:rStyle w:val="libBold2Char"/>
          <w:rtl/>
        </w:rPr>
        <w:t xml:space="preserve"> / 43.</w:t>
      </w:r>
      <w:r w:rsidRPr="005D642E">
        <w:rPr>
          <w:rtl/>
          <w:lang w:bidi="fa-IR"/>
        </w:rPr>
        <w:t xml:space="preserve"> عَلِيُّ بْنُ إِبْرَاهِيمَ ، عَنْ أَبِيهِ ، عَنِ النَّضْرِ بْنِ سُوَيْدٍ ، عَنِ الْقَاسِمِ بْنِ سُلَيْمَانَ ، عَنْ عَبْدِ الْحَمِيدِ </w:t>
      </w:r>
      <w:r w:rsidRPr="007C12DB">
        <w:rPr>
          <w:rStyle w:val="libFootnotenumChar"/>
          <w:rtl/>
        </w:rPr>
        <w:t>(1)</w:t>
      </w:r>
      <w:r w:rsidRPr="005D642E">
        <w:rPr>
          <w:rtl/>
          <w:lang w:bidi="fa-IR"/>
        </w:rPr>
        <w:t xml:space="preserve"> بْنِ أَبِي جَعْفَرٍ الْفَرَّاءِ ، قَالَ :</w:t>
      </w:r>
    </w:p>
    <w:p w:rsidR="00E3253D" w:rsidRDefault="00E3253D" w:rsidP="00E3253D">
      <w:pPr>
        <w:pStyle w:val="libNormal"/>
        <w:rPr>
          <w:rtl/>
          <w:lang w:bidi="fa-IR"/>
        </w:rPr>
      </w:pPr>
      <w:r w:rsidRPr="005D642E">
        <w:rPr>
          <w:rtl/>
          <w:lang w:bidi="fa-IR"/>
        </w:rPr>
        <w:t xml:space="preserve">إِنَّ أَبَا جَعْفَرٍ </w:t>
      </w:r>
      <w:r w:rsidRPr="00AC51C5">
        <w:rPr>
          <w:rStyle w:val="libAlaemChar"/>
          <w:rtl/>
        </w:rPr>
        <w:t>عليه‌السلام</w:t>
      </w:r>
      <w:r w:rsidRPr="005D642E">
        <w:rPr>
          <w:rtl/>
          <w:lang w:bidi="fa-IR"/>
        </w:rPr>
        <w:t xml:space="preserve"> انْقَلَعَ ضِرْسٌ مِنْ أَضْرَاسِهِ ، فَوَضَعَهُ فِي كَفِّهِ ، ثُمَّ قَالَ : « الْحَمْدُ لِلّهِ » ثُمَّ قَالَ : « يَا جَعْفَرُ ، إِذَا أَنْتَ دَفَنْتَنِي </w:t>
      </w:r>
      <w:r w:rsidRPr="007C12DB">
        <w:rPr>
          <w:rStyle w:val="libFootnotenumChar"/>
          <w:rtl/>
        </w:rPr>
        <w:t>(2)</w:t>
      </w:r>
      <w:r w:rsidRPr="005D642E">
        <w:rPr>
          <w:rtl/>
          <w:lang w:bidi="fa-IR"/>
        </w:rPr>
        <w:t xml:space="preserve"> فَادْفِنْهُ مَعِي » ثُمَّ مَكَثَ بَعْدَ حِينٍ ، ثُمَّ انْقَلَعَ أَيْضاً آخَرُ ، فَوَضَعَهُ عَلى </w:t>
      </w:r>
      <w:r w:rsidRPr="007C12DB">
        <w:rPr>
          <w:rStyle w:val="libFootnotenumChar"/>
          <w:rtl/>
        </w:rPr>
        <w:t>(3)</w:t>
      </w:r>
      <w:r w:rsidRPr="005D642E">
        <w:rPr>
          <w:rtl/>
          <w:lang w:bidi="fa-IR"/>
        </w:rPr>
        <w:t xml:space="preserve"> كَفِّهِ ، ثُمَّ قَالَ : « الْحَمْدُ لِلّهِ ، يَا جَعْفَرُ ، إِذَا مِتُّ </w:t>
      </w:r>
      <w:r w:rsidRPr="007C12DB">
        <w:rPr>
          <w:rStyle w:val="libFootnotenumChar"/>
          <w:rtl/>
        </w:rPr>
        <w:t>(4)</w:t>
      </w:r>
      <w:r w:rsidRPr="005D642E">
        <w:rPr>
          <w:rtl/>
          <w:lang w:bidi="fa-IR"/>
        </w:rPr>
        <w:t xml:space="preserve"> فَادْفِنْهُ مَعِي</w:t>
      </w:r>
      <w:r>
        <w:rPr>
          <w:rtl/>
          <w:lang w:bidi="fa-IR"/>
        </w:rPr>
        <w:t xml:space="preserve"> ».</w:t>
      </w:r>
      <w:r w:rsidRPr="005D642E">
        <w:rPr>
          <w:rtl/>
          <w:lang w:bidi="fa-IR"/>
        </w:rPr>
        <w:t xml:space="preserve"> </w:t>
      </w:r>
      <w:r w:rsidRPr="007C12DB">
        <w:rPr>
          <w:rStyle w:val="libFootnotenumChar"/>
          <w:rtl/>
        </w:rPr>
        <w:t>(5)</w:t>
      </w:r>
    </w:p>
    <w:p w:rsidR="00E3253D" w:rsidRPr="005D642E" w:rsidRDefault="00E3253D" w:rsidP="00E3253D">
      <w:pPr>
        <w:pStyle w:val="libNormal"/>
        <w:rPr>
          <w:rtl/>
          <w:lang w:bidi="fa-IR"/>
        </w:rPr>
      </w:pPr>
      <w:r w:rsidRPr="009B571E">
        <w:rPr>
          <w:rtl/>
        </w:rPr>
        <w:t>4783</w:t>
      </w:r>
      <w:r w:rsidRPr="00246318">
        <w:rPr>
          <w:rStyle w:val="libBold2Char"/>
          <w:rtl/>
        </w:rPr>
        <w:t xml:space="preserve"> / 44.</w:t>
      </w:r>
      <w:r w:rsidRPr="005D642E">
        <w:rPr>
          <w:rtl/>
          <w:lang w:bidi="fa-IR"/>
        </w:rPr>
        <w:t xml:space="preserve"> عَلِيُّ بْنُ إِبْرَاهِيمَ ، عَنْ أَبِيهِ ، عَنْ بَكْرِ بْنِ مُحَمَّدٍ الْأَزْدِيِّ :</w:t>
      </w:r>
    </w:p>
    <w:p w:rsidR="00E3253D" w:rsidRPr="005D642E" w:rsidRDefault="00E3253D" w:rsidP="00D57EA5">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w:t>
      </w:r>
      <w:r w:rsidRPr="00AC51C5">
        <w:rPr>
          <w:rStyle w:val="libAlaemChar"/>
          <w:rtl/>
        </w:rPr>
        <w:t>(</w:t>
      </w:r>
      <w:r w:rsidRPr="00AC51C5">
        <w:rPr>
          <w:rStyle w:val="libAieChar"/>
          <w:rtl/>
        </w:rPr>
        <w:t xml:space="preserve"> إِنَّ الْمَوْتَ الَّذِي تَفِرُّونَ مِنْهُ فَإِنَّهُ مُلاقِيكُمْ </w:t>
      </w:r>
      <w:r w:rsidRPr="00AC51C5">
        <w:rPr>
          <w:rStyle w:val="libAlaemChar"/>
          <w:rtl/>
        </w:rPr>
        <w:t>)</w:t>
      </w:r>
      <w:r w:rsidRPr="005D642E">
        <w:rPr>
          <w:rtl/>
          <w:lang w:bidi="fa-IR"/>
        </w:rPr>
        <w:t xml:space="preserve"> إِلى قَوْلِهِ</w:t>
      </w:r>
      <w:r>
        <w:rPr>
          <w:rFonts w:hint="cs"/>
          <w:rtl/>
          <w:lang w:bidi="fa-IR"/>
        </w:rPr>
        <w:t xml:space="preserve"> </w:t>
      </w:r>
      <w:r w:rsidRPr="00AC51C5">
        <w:rPr>
          <w:rStyle w:val="libAlaemChar"/>
          <w:rtl/>
        </w:rPr>
        <w:t>(</w:t>
      </w:r>
      <w:r w:rsidRPr="00AC51C5">
        <w:rPr>
          <w:rStyle w:val="libAieChar"/>
          <w:rtl/>
        </w:rPr>
        <w:t xml:space="preserve"> تَعْمَلُونَ </w:t>
      </w:r>
      <w:r w:rsidRPr="00AC51C5">
        <w:rPr>
          <w:rStyle w:val="libAlaemChar"/>
          <w:rtl/>
        </w:rPr>
        <w:t>)</w:t>
      </w:r>
      <w:r w:rsidRPr="005D642E">
        <w:rPr>
          <w:rtl/>
          <w:lang w:bidi="fa-IR"/>
        </w:rPr>
        <w:t xml:space="preserve"> </w:t>
      </w:r>
      <w:r w:rsidRPr="007C12DB">
        <w:rPr>
          <w:rStyle w:val="libFootnotenumChar"/>
          <w:rtl/>
        </w:rPr>
        <w:t>(6)</w:t>
      </w:r>
      <w:r w:rsidRPr="005D642E">
        <w:rPr>
          <w:rtl/>
          <w:lang w:bidi="fa-IR"/>
        </w:rPr>
        <w:t xml:space="preserve"> »</w:t>
      </w:r>
      <w:r>
        <w:rPr>
          <w:rtl/>
          <w:lang w:bidi="fa-IR"/>
        </w:rPr>
        <w:t>؟</w:t>
      </w:r>
      <w:r w:rsidRPr="005D642E">
        <w:rPr>
          <w:rtl/>
          <w:lang w:bidi="fa-IR"/>
        </w:rPr>
        <w:t xml:space="preserve"> قَالَ : « تَعُدُّ </w:t>
      </w:r>
      <w:r w:rsidRPr="007C12DB">
        <w:rPr>
          <w:rStyle w:val="libFootnotenumChar"/>
          <w:rtl/>
        </w:rPr>
        <w:t>(7)</w:t>
      </w:r>
      <w:r w:rsidRPr="005D642E">
        <w:rPr>
          <w:rtl/>
          <w:lang w:bidi="fa-IR"/>
        </w:rPr>
        <w:t xml:space="preserve"> السِّنِينَ ، ثُمَّ تَعُدُّ الشُّهُورَ ، ثُمَّ تَعُدُّ الْأَيَّامَ ، ثُمَّ تَعُدُّ السَّاعَاتِ ، ثُمَّ تَعُدُّ النَّفَسَ</w:t>
      </w:r>
      <w:r>
        <w:rPr>
          <w:rFonts w:hint="cs"/>
          <w:rtl/>
          <w:lang w:bidi="fa-IR"/>
        </w:rPr>
        <w:t xml:space="preserve"> </w:t>
      </w:r>
      <w:r w:rsidRPr="00AC51C5">
        <w:rPr>
          <w:rStyle w:val="libAlaemChar"/>
          <w:rtl/>
        </w:rPr>
        <w:t>(</w:t>
      </w:r>
      <w:r w:rsidRPr="00AC51C5">
        <w:rPr>
          <w:rStyle w:val="libAieChar"/>
          <w:rtl/>
        </w:rPr>
        <w:t xml:space="preserve"> فَإِذا جاءَ أَجَلُهُمْ لا يَسْتَأْخِرُونَ</w:t>
      </w:r>
      <w:r w:rsidRPr="005D642E">
        <w:rPr>
          <w:rtl/>
          <w:lang w:bidi="fa-IR"/>
        </w:rPr>
        <w:t xml:space="preserve"> </w:t>
      </w:r>
      <w:r w:rsidRPr="007C12DB">
        <w:rPr>
          <w:rStyle w:val="libFootnotenumChar"/>
          <w:rtl/>
        </w:rPr>
        <w:t>(8)</w:t>
      </w:r>
      <w:r w:rsidRPr="005D642E">
        <w:rPr>
          <w:rtl/>
          <w:lang w:bidi="fa-IR"/>
        </w:rPr>
        <w:t xml:space="preserve"> </w:t>
      </w:r>
      <w:r w:rsidRPr="00AC51C5">
        <w:rPr>
          <w:rStyle w:val="libAieChar"/>
          <w:rtl/>
        </w:rPr>
        <w:t xml:space="preserve">ساعَةً وَلا يَسْتَقْدِمُونَ </w:t>
      </w:r>
      <w:r w:rsidRPr="00AC51C5">
        <w:rPr>
          <w:rStyle w:val="libAlaemChar"/>
          <w:rtl/>
        </w:rPr>
        <w:t>)</w:t>
      </w:r>
      <w:r w:rsidRPr="007C12DB">
        <w:rPr>
          <w:rStyle w:val="libFootnotenumChar"/>
          <w:rtl/>
        </w:rPr>
        <w:t>(9)</w:t>
      </w:r>
      <w:r>
        <w:rPr>
          <w:rtl/>
          <w:lang w:bidi="fa-IR"/>
        </w:rPr>
        <w:t>».</w:t>
      </w:r>
      <w:r w:rsidRPr="007C12DB">
        <w:rPr>
          <w:rStyle w:val="libFootnotenumChar"/>
          <w:rtl/>
        </w:rPr>
        <w:t>(10)</w:t>
      </w:r>
    </w:p>
    <w:p w:rsidR="00E3253D" w:rsidRPr="005D642E" w:rsidRDefault="00E3253D" w:rsidP="00E3253D">
      <w:pPr>
        <w:pStyle w:val="libNormal"/>
        <w:rPr>
          <w:rtl/>
          <w:lang w:bidi="fa-IR"/>
        </w:rPr>
      </w:pPr>
      <w:r w:rsidRPr="009B571E">
        <w:rPr>
          <w:rtl/>
        </w:rPr>
        <w:t>4784</w:t>
      </w:r>
      <w:r w:rsidRPr="00246318">
        <w:rPr>
          <w:rStyle w:val="libBold2Char"/>
          <w:rtl/>
        </w:rPr>
        <w:t xml:space="preserve"> / 45.</w:t>
      </w:r>
      <w:r w:rsidRPr="005D642E">
        <w:rPr>
          <w:rtl/>
          <w:lang w:bidi="fa-IR"/>
        </w:rPr>
        <w:t xml:space="preserve"> عِدَّةٌ مِنْ أَصْحَابِنَا ، عَنْ سَهْلِ بْنِ زِيَادٍ ، عَنْ جَعْفَرِ بْنِ مُح</w:t>
      </w:r>
      <w:r w:rsidR="007615CA">
        <w:rPr>
          <w:rtl/>
          <w:lang w:bidi="fa-IR"/>
        </w:rPr>
        <w:t>َمَّدٍ ، عَنِ ابْنِ الْقَدَّاحِ</w:t>
      </w:r>
      <w:r w:rsidRPr="005D642E">
        <w:rPr>
          <w:rtl/>
          <w:lang w:bidi="fa-IR"/>
        </w:rPr>
        <w:t>:</w:t>
      </w:r>
    </w:p>
    <w:p w:rsidR="00E3253D" w:rsidRDefault="00E3253D" w:rsidP="00E3253D">
      <w:pPr>
        <w:pStyle w:val="libNormal"/>
        <w:rPr>
          <w:rtl/>
          <w:lang w:bidi="fa-IR"/>
        </w:rPr>
      </w:pPr>
      <w:r w:rsidRPr="005D642E">
        <w:rPr>
          <w:rtl/>
          <w:lang w:bidi="fa-IR"/>
        </w:rPr>
        <w:t xml:space="preserve">عَنْ أَبِي عَبْدِ اللهِ </w:t>
      </w:r>
      <w:r w:rsidRPr="00AC51C5">
        <w:rPr>
          <w:rStyle w:val="libAlaemChar"/>
          <w:rtl/>
        </w:rPr>
        <w:t>عليه‌السلام</w:t>
      </w:r>
      <w:r w:rsidRPr="005D642E">
        <w:rPr>
          <w:rtl/>
          <w:lang w:bidi="fa-IR"/>
        </w:rPr>
        <w:t xml:space="preserve"> ، قَالَ : « سَمِعَ النَّبِيُّ </w:t>
      </w:r>
      <w:r w:rsidR="0042621E" w:rsidRPr="0042621E">
        <w:rPr>
          <w:rStyle w:val="libAlaemChar"/>
          <w:rtl/>
        </w:rPr>
        <w:t>صلى‌الله‌عليه‌وآله</w:t>
      </w:r>
      <w:r w:rsidRPr="005D642E">
        <w:rPr>
          <w:rtl/>
          <w:lang w:bidi="fa-IR"/>
        </w:rPr>
        <w:t xml:space="preserve"> امْرَأَةً حِينَ مَاتَ عُثْمَانُ بْنُ مَظْعُونٍ </w:t>
      </w:r>
      <w:r w:rsidRPr="007C12DB">
        <w:rPr>
          <w:rStyle w:val="libFootnotenumChar"/>
          <w:rtl/>
        </w:rPr>
        <w:t>(11)</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في « بخ » : « عبد الرحمن</w:t>
      </w:r>
      <w:r w:rsidR="00E3253D">
        <w:rPr>
          <w:rtl/>
        </w:rPr>
        <w:t xml:space="preserve"> ».</w:t>
      </w:r>
    </w:p>
    <w:p w:rsidR="00E3253D" w:rsidRPr="005D642E" w:rsidRDefault="0042621E" w:rsidP="00DF1CDB">
      <w:pPr>
        <w:pStyle w:val="libFootnote0"/>
        <w:rPr>
          <w:rtl/>
          <w:lang w:bidi="fa-IR"/>
        </w:rPr>
      </w:pPr>
      <w:r w:rsidRPr="0042621E">
        <w:rPr>
          <w:rStyle w:val="libFootnote0Char"/>
          <w:rtl/>
        </w:rPr>
        <w:t>(2).</w:t>
      </w:r>
      <w:r w:rsidR="00E3253D" w:rsidRPr="005D642E">
        <w:rPr>
          <w:rtl/>
        </w:rPr>
        <w:t xml:space="preserve"> هكذا في جميع النسخ التي قوبلت </w:t>
      </w:r>
      <w:r w:rsidR="000D749A" w:rsidRPr="000D749A">
        <w:rPr>
          <w:rStyle w:val="libFootnoteBoldChar"/>
          <w:rtl/>
        </w:rPr>
        <w:t>والوافي</w:t>
      </w:r>
      <w:r w:rsidR="00E3253D" w:rsidRPr="005D642E">
        <w:rPr>
          <w:rtl/>
        </w:rPr>
        <w:t xml:space="preserve"> والوسائل ، ح 1698 ، و</w:t>
      </w:r>
      <w:r w:rsidR="001F7EDD">
        <w:rPr>
          <w:rFonts w:hint="cs"/>
          <w:rtl/>
        </w:rPr>
        <w:t xml:space="preserve"> </w:t>
      </w:r>
      <w:r w:rsidR="00E3253D" w:rsidRPr="005D642E">
        <w:rPr>
          <w:rtl/>
        </w:rPr>
        <w:t>البحار. وفي المطبوع : « إذا أنا مِتّ ودفنتني</w:t>
      </w:r>
      <w:r w:rsidR="00E3253D">
        <w:rPr>
          <w:rtl/>
        </w:rPr>
        <w:t xml:space="preserve"> ».</w:t>
      </w:r>
      <w:r w:rsidR="00DF1CDB">
        <w:rPr>
          <w:rFonts w:hint="cs"/>
          <w:rtl/>
        </w:rPr>
        <w:t xml:space="preserve">                                                           </w:t>
      </w:r>
      <w:r w:rsidRPr="0042621E">
        <w:rPr>
          <w:rStyle w:val="libFootnote0Char"/>
          <w:rtl/>
        </w:rPr>
        <w:t>(3).</w:t>
      </w:r>
      <w:r w:rsidR="00E3253D" w:rsidRPr="005D642E">
        <w:rPr>
          <w:rtl/>
        </w:rPr>
        <w:t xml:space="preserve"> في « بخ » </w:t>
      </w:r>
      <w:r w:rsidR="000D749A" w:rsidRPr="000D749A">
        <w:rPr>
          <w:rStyle w:val="libFootnoteBoldChar"/>
          <w:rtl/>
        </w:rPr>
        <w:t>والوافي</w:t>
      </w:r>
      <w:r w:rsidR="00E3253D" w:rsidRPr="005D642E">
        <w:rPr>
          <w:rtl/>
        </w:rPr>
        <w:t xml:space="preserve"> : « في</w:t>
      </w:r>
      <w:r w:rsidR="00E3253D">
        <w:rPr>
          <w:rtl/>
        </w:rPr>
        <w:t xml:space="preserve"> ».</w:t>
      </w:r>
    </w:p>
    <w:p w:rsidR="00E3253D" w:rsidRPr="005D642E" w:rsidRDefault="0042621E" w:rsidP="00E3253D">
      <w:pPr>
        <w:pStyle w:val="libFootnote0"/>
        <w:rPr>
          <w:rtl/>
          <w:lang w:bidi="fa-IR"/>
        </w:rPr>
      </w:pPr>
      <w:r w:rsidRPr="0042621E">
        <w:rPr>
          <w:rStyle w:val="libFootnote0Char"/>
          <w:rtl/>
        </w:rPr>
        <w:t>(4).</w:t>
      </w:r>
      <w:r w:rsidR="00E3253D" w:rsidRPr="005D642E">
        <w:rPr>
          <w:rtl/>
        </w:rPr>
        <w:t xml:space="preserve"> في « بح ، جح » : + « ودفنتني</w:t>
      </w:r>
      <w:r w:rsidR="00E3253D">
        <w:rPr>
          <w:rtl/>
        </w:rPr>
        <w:t xml:space="preserve"> ».</w:t>
      </w:r>
    </w:p>
    <w:p w:rsidR="00E3253D" w:rsidRPr="005D642E" w:rsidRDefault="0042621E" w:rsidP="00E3253D">
      <w:pPr>
        <w:pStyle w:val="libFootnote0"/>
        <w:rPr>
          <w:rtl/>
          <w:lang w:bidi="fa-IR"/>
        </w:rPr>
      </w:pPr>
      <w:r w:rsidRPr="0042621E">
        <w:rPr>
          <w:rStyle w:val="libFootnote0Char"/>
          <w:rtl/>
        </w:rPr>
        <w:t>(5).</w:t>
      </w:r>
      <w:r w:rsidR="00E3253D" w:rsidRPr="005D642E">
        <w:rPr>
          <w:rtl/>
        </w:rPr>
        <w:t xml:space="preserve"> </w:t>
      </w:r>
      <w:r w:rsidR="00E3253D" w:rsidRPr="002F4D34">
        <w:rPr>
          <w:rStyle w:val="libFootnoteBoldChar"/>
          <w:rtl/>
        </w:rPr>
        <w:t>الوافي</w:t>
      </w:r>
      <w:r w:rsidR="00E3253D" w:rsidRPr="005D642E">
        <w:rPr>
          <w:rtl/>
        </w:rPr>
        <w:t xml:space="preserve"> ، ج 25 ، ص 590 ، ح 24736 ؛ </w:t>
      </w:r>
      <w:r w:rsidR="00E3253D" w:rsidRPr="002F4D34">
        <w:rPr>
          <w:rStyle w:val="libFootnoteBoldChar"/>
          <w:rtl/>
        </w:rPr>
        <w:t>الوسائل</w:t>
      </w:r>
      <w:r w:rsidR="00E3253D" w:rsidRPr="005D642E">
        <w:rPr>
          <w:rtl/>
        </w:rPr>
        <w:t xml:space="preserve"> ، ج 2 ، ص 128 ، ح 1698 ؛ </w:t>
      </w:r>
      <w:r w:rsidR="00E3253D" w:rsidRPr="002F4D34">
        <w:rPr>
          <w:rStyle w:val="libFootnoteBoldChar"/>
          <w:rtl/>
        </w:rPr>
        <w:t>وفيه</w:t>
      </w:r>
      <w:r w:rsidR="00E3253D" w:rsidRPr="005D642E">
        <w:rPr>
          <w:rtl/>
        </w:rPr>
        <w:t xml:space="preserve"> ، ج 3 ، ص 247 ، ح 3533 ، إلى قوله : « فوضعه في كفّه ، ثمّ قال : الحمد لله » ؛ </w:t>
      </w:r>
      <w:r w:rsidR="00E3253D" w:rsidRPr="002F4D34">
        <w:rPr>
          <w:rStyle w:val="libFootnoteBoldChar"/>
          <w:rtl/>
        </w:rPr>
        <w:t>البحار</w:t>
      </w:r>
      <w:r w:rsidR="00E3253D" w:rsidRPr="005D642E">
        <w:rPr>
          <w:rtl/>
        </w:rPr>
        <w:t xml:space="preserve"> ، ج 46 ، ص 215 ، ح 11.</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الجمعة (62) : 8.</w:t>
      </w:r>
    </w:p>
    <w:p w:rsidR="00E3253D" w:rsidRPr="005D642E" w:rsidRDefault="0042621E" w:rsidP="00E3253D">
      <w:pPr>
        <w:pStyle w:val="libFootnote0"/>
        <w:rPr>
          <w:rtl/>
          <w:lang w:bidi="fa-IR"/>
        </w:rPr>
      </w:pPr>
      <w:r w:rsidRPr="0042621E">
        <w:rPr>
          <w:rStyle w:val="libFootnote0Char"/>
          <w:rtl/>
        </w:rPr>
        <w:t>(7).</w:t>
      </w:r>
      <w:r w:rsidR="00E3253D" w:rsidRPr="005D642E">
        <w:rPr>
          <w:rtl/>
        </w:rPr>
        <w:t xml:space="preserve"> في « بث ، جس » </w:t>
      </w:r>
      <w:r w:rsidR="000D749A" w:rsidRPr="000D749A">
        <w:rPr>
          <w:rStyle w:val="libFootnoteBoldChar"/>
          <w:rtl/>
        </w:rPr>
        <w:t>والوافي</w:t>
      </w:r>
      <w:r w:rsidR="00E3253D" w:rsidRPr="005D642E">
        <w:rPr>
          <w:rtl/>
        </w:rPr>
        <w:t xml:space="preserve"> </w:t>
      </w:r>
      <w:r w:rsidR="00E3253D" w:rsidRPr="003B3913">
        <w:rPr>
          <w:rStyle w:val="libFootnoteBoldChar"/>
          <w:rtl/>
        </w:rPr>
        <w:t>وقرب الإسناد</w:t>
      </w:r>
      <w:r w:rsidR="00E3253D" w:rsidRPr="005D642E">
        <w:rPr>
          <w:rtl/>
        </w:rPr>
        <w:t xml:space="preserve"> : « يعدّ</w:t>
      </w:r>
      <w:r w:rsidR="00E3253D">
        <w:rPr>
          <w:rtl/>
        </w:rPr>
        <w:t xml:space="preserve"> ».</w:t>
      </w:r>
      <w:r w:rsidR="00E3253D" w:rsidRPr="005D642E">
        <w:rPr>
          <w:rtl/>
        </w:rPr>
        <w:t xml:space="preserve"> وكذا فيما بعد.</w:t>
      </w:r>
    </w:p>
    <w:p w:rsidR="00E3253D" w:rsidRPr="005D642E" w:rsidRDefault="0042621E" w:rsidP="00E3253D">
      <w:pPr>
        <w:pStyle w:val="libFootnote0"/>
        <w:rPr>
          <w:rtl/>
          <w:lang w:bidi="fa-IR"/>
        </w:rPr>
      </w:pPr>
      <w:r w:rsidRPr="0042621E">
        <w:rPr>
          <w:rStyle w:val="libFootnote0Char"/>
          <w:rtl/>
        </w:rPr>
        <w:t>(8).</w:t>
      </w:r>
      <w:r w:rsidR="00E3253D" w:rsidRPr="005D642E">
        <w:rPr>
          <w:rtl/>
        </w:rPr>
        <w:t xml:space="preserve"> في « ى ، بث ، بح ، جح » والبحار : </w:t>
      </w:r>
      <w:r w:rsidR="00E3253D" w:rsidRPr="001F7EDD">
        <w:rPr>
          <w:rStyle w:val="libFootnoteAlaemChar"/>
          <w:rtl/>
        </w:rPr>
        <w:t>(</w:t>
      </w:r>
      <w:r w:rsidR="00E3253D" w:rsidRPr="00EB702D">
        <w:rPr>
          <w:rStyle w:val="libFootnoteAieChar"/>
          <w:rtl/>
        </w:rPr>
        <w:t xml:space="preserve"> فَل</w:t>
      </w:r>
      <w:r w:rsidR="00DF1CDB">
        <w:rPr>
          <w:rStyle w:val="libFootnoteAieChar"/>
          <w:rFonts w:hint="cs"/>
          <w:rtl/>
        </w:rPr>
        <w:t>َ</w:t>
      </w:r>
      <w:r w:rsidR="00E3253D" w:rsidRPr="00EB702D">
        <w:rPr>
          <w:rStyle w:val="libFootnoteAieChar"/>
          <w:rtl/>
        </w:rPr>
        <w:t xml:space="preserve">ا يَسْتَأْخِرُونَ </w:t>
      </w:r>
      <w:r w:rsidR="00E3253D" w:rsidRPr="001F7EDD">
        <w:rPr>
          <w:rStyle w:val="libFootnoteAlaemChar"/>
          <w:rtl/>
        </w:rPr>
        <w:t>)</w:t>
      </w:r>
      <w:r w:rsidR="00E3253D" w:rsidRPr="005D642E">
        <w:rPr>
          <w:rtl/>
        </w:rPr>
        <w:t xml:space="preserve"> وحينئذ يكون المراد الآية 49 من سورة يونس</w:t>
      </w:r>
      <w:r w:rsidRPr="0042621E">
        <w:rPr>
          <w:rStyle w:val="libFootnote0Char"/>
          <w:rtl/>
        </w:rPr>
        <w:t>(10).</w:t>
      </w:r>
    </w:p>
    <w:p w:rsidR="00E3253D" w:rsidRPr="005D642E" w:rsidRDefault="0042621E" w:rsidP="00E3253D">
      <w:pPr>
        <w:pStyle w:val="libFootnote0"/>
        <w:rPr>
          <w:rtl/>
          <w:lang w:bidi="fa-IR"/>
        </w:rPr>
      </w:pPr>
      <w:r w:rsidRPr="0042621E">
        <w:rPr>
          <w:rStyle w:val="libFootnote0Char"/>
          <w:rtl/>
        </w:rPr>
        <w:t>(9).</w:t>
      </w:r>
      <w:r w:rsidR="00E3253D" w:rsidRPr="005D642E">
        <w:rPr>
          <w:rtl/>
        </w:rPr>
        <w:t xml:space="preserve"> الأعراف </w:t>
      </w:r>
      <w:r w:rsidRPr="0042621E">
        <w:rPr>
          <w:rStyle w:val="libFootnote0Char"/>
          <w:rtl/>
        </w:rPr>
        <w:t>(7)</w:t>
      </w:r>
      <w:r w:rsidR="00E3253D" w:rsidRPr="005D642E">
        <w:rPr>
          <w:rtl/>
        </w:rPr>
        <w:t xml:space="preserve"> : 34 ؛ النحل (16) : 61.</w:t>
      </w:r>
    </w:p>
    <w:p w:rsidR="00E3253D" w:rsidRPr="005D642E" w:rsidRDefault="0042621E" w:rsidP="00E3253D">
      <w:pPr>
        <w:pStyle w:val="libFootnote0"/>
        <w:rPr>
          <w:rtl/>
          <w:lang w:bidi="fa-IR"/>
        </w:rPr>
      </w:pPr>
      <w:r w:rsidRPr="0042621E">
        <w:rPr>
          <w:rStyle w:val="libFootnote0Char"/>
          <w:rtl/>
        </w:rPr>
        <w:t>(10).</w:t>
      </w:r>
      <w:r w:rsidR="00E3253D" w:rsidRPr="005D642E">
        <w:rPr>
          <w:rtl/>
        </w:rPr>
        <w:t xml:space="preserve"> </w:t>
      </w:r>
      <w:r w:rsidR="00E3253D" w:rsidRPr="002F4D34">
        <w:rPr>
          <w:rStyle w:val="libFootnoteBoldChar"/>
          <w:rtl/>
        </w:rPr>
        <w:t>قرب الإسناد</w:t>
      </w:r>
      <w:r w:rsidR="00E3253D" w:rsidRPr="005D642E">
        <w:rPr>
          <w:rtl/>
        </w:rPr>
        <w:t xml:space="preserve"> ، ص 41 ، ح 131 ، بسنده عن بكر بن محمّد الأزدي </w:t>
      </w:r>
      <w:r w:rsidR="00DF1CDB">
        <w:rPr>
          <w:rFonts w:hint="cs"/>
          <w:rtl/>
        </w:rPr>
        <w:t>.</w:t>
      </w:r>
      <w:r w:rsidR="00E3253D" w:rsidRPr="002F4D34">
        <w:rPr>
          <w:rStyle w:val="libFootnoteBoldChar"/>
          <w:rtl/>
        </w:rPr>
        <w:t>الوافي</w:t>
      </w:r>
      <w:r w:rsidR="00E3253D" w:rsidRPr="005D642E">
        <w:rPr>
          <w:rtl/>
        </w:rPr>
        <w:t xml:space="preserve"> ، ج 24 ، ص 196 ، ح 23886 ؛ </w:t>
      </w:r>
      <w:r w:rsidR="00E3253D" w:rsidRPr="002F4D34">
        <w:rPr>
          <w:rStyle w:val="libFootnoteBoldChar"/>
          <w:rtl/>
        </w:rPr>
        <w:t>البحار</w:t>
      </w:r>
      <w:r w:rsidR="00E3253D" w:rsidRPr="005D642E">
        <w:rPr>
          <w:rtl/>
        </w:rPr>
        <w:t xml:space="preserve"> ، ج 6 ، ص 145 ، ح 18.</w:t>
      </w:r>
    </w:p>
    <w:p w:rsidR="00E3253D" w:rsidRPr="005D642E" w:rsidRDefault="0042621E" w:rsidP="00E3253D">
      <w:pPr>
        <w:pStyle w:val="libFootnote0"/>
        <w:rPr>
          <w:rtl/>
          <w:lang w:bidi="fa-IR"/>
        </w:rPr>
      </w:pPr>
      <w:r w:rsidRPr="0042621E">
        <w:rPr>
          <w:rStyle w:val="libFootnote0Char"/>
          <w:rtl/>
        </w:rPr>
        <w:t>(11).</w:t>
      </w:r>
      <w:r w:rsidR="00E3253D" w:rsidRPr="005D642E">
        <w:rPr>
          <w:rtl/>
        </w:rPr>
        <w:t xml:space="preserve"> قال ابن الأثير : « عثمان بن مظعون</w:t>
      </w:r>
      <w:r w:rsidR="00E3253D">
        <w:rPr>
          <w:rtl/>
        </w:rPr>
        <w:t xml:space="preserve"> ..</w:t>
      </w:r>
      <w:r w:rsidR="00E3253D" w:rsidRPr="005D642E">
        <w:rPr>
          <w:rtl/>
        </w:rPr>
        <w:t>. أسلم بعد ثلاثة عشر رجلاً وهاجر الهجرتين وشهد بدراً وكان حرّم</w:t>
      </w:r>
      <w:r w:rsidR="00E3253D">
        <w:rPr>
          <w:rFonts w:hint="cs"/>
          <w:rtl/>
        </w:rPr>
        <w:t xml:space="preserve"> </w:t>
      </w:r>
      <w:r w:rsidR="00DF1CDB">
        <w:rPr>
          <w:rFonts w:hint="cs"/>
          <w:rtl/>
        </w:rPr>
        <w:t>=</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وَهِيَ تَقُولُ : هَنِيئاً لَكَ يَا أَبَا السَّائِبِ الْجَنَّةُ ، فَقَالَ النَّبِيُّ </w:t>
      </w:r>
      <w:r w:rsidR="0042621E" w:rsidRPr="0042621E">
        <w:rPr>
          <w:rStyle w:val="libAlaemChar"/>
          <w:rtl/>
        </w:rPr>
        <w:t>صلى‌الله‌عليه‌وآله</w:t>
      </w:r>
      <w:r w:rsidRPr="005D642E">
        <w:rPr>
          <w:rtl/>
          <w:lang w:bidi="fa-IR"/>
        </w:rPr>
        <w:t xml:space="preserve"> : وَمَا عِلْمُكِ</w:t>
      </w:r>
      <w:r>
        <w:rPr>
          <w:rtl/>
          <w:lang w:bidi="fa-IR"/>
        </w:rPr>
        <w:t>؟</w:t>
      </w:r>
      <w:r w:rsidRPr="005D642E">
        <w:rPr>
          <w:rtl/>
          <w:lang w:bidi="fa-IR"/>
        </w:rPr>
        <w:t xml:space="preserve"> حَسْبُكِ أَنْ تَقُولِي : كَانَ يُحِبُّ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وَرَسُولَهُ.</w:t>
      </w:r>
    </w:p>
    <w:p w:rsidR="00E3253D" w:rsidRPr="005D642E" w:rsidRDefault="00E3253D" w:rsidP="001F7EDD">
      <w:pPr>
        <w:pStyle w:val="libNormal"/>
        <w:rPr>
          <w:rtl/>
          <w:lang w:bidi="fa-IR"/>
        </w:rPr>
      </w:pPr>
      <w:r w:rsidRPr="005D642E">
        <w:rPr>
          <w:rtl/>
          <w:lang w:bidi="fa-IR"/>
        </w:rPr>
        <w:t xml:space="preserve">فَلَمَّا مَاتَ إِبْرَاهِيمُ ابْنُ رَسُولِ اللهِ </w:t>
      </w:r>
      <w:r w:rsidR="001F7EDD" w:rsidRPr="0042621E">
        <w:rPr>
          <w:rStyle w:val="libAlaemChar"/>
          <w:rtl/>
        </w:rPr>
        <w:t>صلى‌الله‌عليه‌وآله</w:t>
      </w:r>
      <w:r w:rsidR="001F7EDD" w:rsidRPr="005D642E">
        <w:rPr>
          <w:rtl/>
          <w:lang w:bidi="fa-IR"/>
        </w:rPr>
        <w:t xml:space="preserve"> </w:t>
      </w:r>
      <w:r w:rsidRPr="005D642E">
        <w:rPr>
          <w:rtl/>
          <w:lang w:bidi="fa-IR"/>
        </w:rPr>
        <w:t xml:space="preserve">، هَمَلَتْ </w:t>
      </w:r>
      <w:r w:rsidRPr="007C12DB">
        <w:rPr>
          <w:rStyle w:val="libFootnotenumChar"/>
          <w:rtl/>
        </w:rPr>
        <w:t>(1)</w:t>
      </w:r>
      <w:r w:rsidRPr="005D642E">
        <w:rPr>
          <w:rtl/>
          <w:lang w:bidi="fa-IR"/>
        </w:rPr>
        <w:t xml:space="preserve"> عَيْنُ رَسُولِ‌اللهِ </w:t>
      </w:r>
      <w:r w:rsidR="0042621E" w:rsidRPr="0042621E">
        <w:rPr>
          <w:rStyle w:val="libAlaemChar"/>
          <w:rtl/>
        </w:rPr>
        <w:t>صلى‌الله‌عليه‌وآله</w:t>
      </w:r>
      <w:r w:rsidRPr="005D642E">
        <w:rPr>
          <w:rtl/>
          <w:lang w:bidi="fa-IR"/>
        </w:rPr>
        <w:t xml:space="preserve"> بِالدُّمُوعِ ، ثُمَّ قَالَ‌</w:t>
      </w:r>
      <w:r>
        <w:rPr>
          <w:rFonts w:hint="cs"/>
          <w:rtl/>
          <w:lang w:bidi="fa-IR"/>
        </w:rPr>
        <w:t xml:space="preserve"> </w:t>
      </w:r>
      <w:r w:rsidRPr="005D642E">
        <w:rPr>
          <w:rtl/>
          <w:lang w:bidi="fa-IR"/>
        </w:rPr>
        <w:t xml:space="preserve">النَّبِيُّ </w:t>
      </w:r>
      <w:r w:rsidR="0042621E" w:rsidRPr="0042621E">
        <w:rPr>
          <w:rStyle w:val="libAlaemChar"/>
          <w:rtl/>
        </w:rPr>
        <w:t>صلى‌الله‌عليه‌وآله</w:t>
      </w:r>
      <w:r w:rsidRPr="005D642E">
        <w:rPr>
          <w:rtl/>
          <w:lang w:bidi="fa-IR"/>
        </w:rPr>
        <w:t xml:space="preserve"> : تَدْمَعُ الْعَيْنُ ، وَيَحْزَنُ الْقَلْبُ ، وَلَانَقُولُ مَا يُسْخِطُ الرَّبَّ ، وَإِنَّا بِكَ يَا إِبْرَاهِيمُ لَمَحْزُونُونَ </w:t>
      </w:r>
      <w:r w:rsidRPr="007C12DB">
        <w:rPr>
          <w:rStyle w:val="libFootnotenumChar"/>
          <w:rtl/>
        </w:rPr>
        <w:t>(2)</w:t>
      </w:r>
      <w:r w:rsidRPr="005D642E">
        <w:rPr>
          <w:rtl/>
          <w:lang w:bidi="fa-IR"/>
        </w:rPr>
        <w:t xml:space="preserve"> ، ثُمَّ رَأَى النَّبِيُّ </w:t>
      </w:r>
      <w:r w:rsidR="0042621E" w:rsidRPr="0042621E">
        <w:rPr>
          <w:rStyle w:val="libAlaemChar"/>
          <w:rtl/>
        </w:rPr>
        <w:t>صلى‌الله‌عليه‌وآله</w:t>
      </w:r>
      <w:r w:rsidRPr="005D642E">
        <w:rPr>
          <w:rtl/>
          <w:lang w:bidi="fa-IR"/>
        </w:rPr>
        <w:t xml:space="preserve"> فِي قَبْرِهِ خَلَلاً ، فَسَوَّاهُ بِيَدِهِ ، ثُمَّ قَالَ : إِذَا عَمِلَ أَحَدُكُمْ عَمَلاً فَلْيُتْقِنْ ، ثُمَّ قَالَ : الْحَقْ بِسَلَفِكَ الصَّالِحِ عُثْمَانَ بْنِ مَظْعُونٍ </w:t>
      </w:r>
      <w:r w:rsidRPr="007C12DB">
        <w:rPr>
          <w:rStyle w:val="libFootnotenumChar"/>
          <w:rtl/>
        </w:rPr>
        <w:t>(3)</w:t>
      </w:r>
      <w:r>
        <w:rPr>
          <w:rtl/>
          <w:lang w:bidi="fa-IR"/>
        </w:rPr>
        <w:t xml:space="preserve"> ».</w:t>
      </w:r>
      <w:r w:rsidRPr="005D642E">
        <w:rPr>
          <w:rtl/>
          <w:lang w:bidi="fa-IR"/>
        </w:rPr>
        <w:t xml:space="preserve"> </w:t>
      </w:r>
      <w:r w:rsidRPr="007C12DB">
        <w:rPr>
          <w:rStyle w:val="libFootnotenumChar"/>
          <w:rtl/>
        </w:rPr>
        <w:t>(4)</w:t>
      </w:r>
      <w:r w:rsidRPr="005D642E">
        <w:rPr>
          <w:rtl/>
          <w:lang w:bidi="fa-IR"/>
        </w:rPr>
        <w:t xml:space="preserve"> ‌</w:t>
      </w:r>
    </w:p>
    <w:p w:rsidR="00E3253D" w:rsidRPr="005D642E" w:rsidRDefault="00E3253D" w:rsidP="00E3253D">
      <w:pPr>
        <w:pStyle w:val="libNormal"/>
        <w:rPr>
          <w:rtl/>
          <w:lang w:bidi="fa-IR"/>
        </w:rPr>
      </w:pPr>
      <w:r w:rsidRPr="009B571E">
        <w:rPr>
          <w:rtl/>
        </w:rPr>
        <w:t>4785</w:t>
      </w:r>
      <w:r w:rsidRPr="00246318">
        <w:rPr>
          <w:rStyle w:val="libBold2Char"/>
          <w:rtl/>
        </w:rPr>
        <w:t xml:space="preserve"> / 46.</w:t>
      </w:r>
      <w:r w:rsidRPr="005D642E">
        <w:rPr>
          <w:rtl/>
          <w:lang w:bidi="fa-IR"/>
        </w:rPr>
        <w:t xml:space="preserve"> عِدَّةٌ مِنْ أَصْحَابِنَا ، عَنْ سَهْلِ بْنِ زِيَادٍ ، عَنْ عَلِيِّ بْنِ مَهْزِيَارَ ، قَالَ :</w:t>
      </w:r>
    </w:p>
    <w:p w:rsidR="00E3253D" w:rsidRPr="005D642E" w:rsidRDefault="00E3253D" w:rsidP="00E3253D">
      <w:pPr>
        <w:pStyle w:val="libNormal"/>
        <w:rPr>
          <w:rtl/>
          <w:lang w:bidi="fa-IR"/>
        </w:rPr>
      </w:pPr>
      <w:r w:rsidRPr="005D642E">
        <w:rPr>
          <w:rtl/>
          <w:lang w:bidi="fa-IR"/>
        </w:rPr>
        <w:t xml:space="preserve">كَتَبَ </w:t>
      </w:r>
      <w:r w:rsidRPr="007C12DB">
        <w:rPr>
          <w:rStyle w:val="libFootnotenumChar"/>
          <w:rtl/>
        </w:rPr>
        <w:t>(5)</w:t>
      </w:r>
      <w:r w:rsidRPr="005D642E">
        <w:rPr>
          <w:rtl/>
          <w:lang w:bidi="fa-IR"/>
        </w:rPr>
        <w:t xml:space="preserve"> إِلى أَبِي جَعْفَرٍ </w:t>
      </w:r>
      <w:r w:rsidRPr="00AC51C5">
        <w:rPr>
          <w:rStyle w:val="libAlaemChar"/>
          <w:rtl/>
        </w:rPr>
        <w:t>عليه‌السلام</w:t>
      </w:r>
      <w:r w:rsidRPr="005D642E">
        <w:rPr>
          <w:rtl/>
          <w:lang w:bidi="fa-IR"/>
        </w:rPr>
        <w:t xml:space="preserve"> رَجُلٌ </w:t>
      </w:r>
      <w:r w:rsidRPr="007C12DB">
        <w:rPr>
          <w:rStyle w:val="libFootnotenumChar"/>
          <w:rtl/>
        </w:rPr>
        <w:t>(6)</w:t>
      </w:r>
      <w:r w:rsidRPr="005D642E">
        <w:rPr>
          <w:rtl/>
          <w:lang w:bidi="fa-IR"/>
        </w:rPr>
        <w:t xml:space="preserve"> يَشْكُو إِلَيْهِ مُصَابَهُ بِوَلَدٍ</w:t>
      </w:r>
      <w:r w:rsidR="001F4511">
        <w:rPr>
          <w:rFonts w:hint="cs"/>
          <w:rtl/>
          <w:lang w:bidi="fa-IR"/>
        </w:rPr>
        <w:t>..................</w:t>
      </w:r>
      <w:r w:rsidR="001F4511">
        <w:rPr>
          <w:rFonts w:hint="cs"/>
          <w:rtl/>
          <w:lang w:bidi="fa-IR"/>
        </w:rPr>
        <w:tab/>
      </w:r>
      <w:r w:rsidRPr="005D642E">
        <w:rPr>
          <w:rtl/>
          <w:lang w:bidi="fa-IR"/>
        </w:rPr>
        <w:t>‌</w:t>
      </w:r>
    </w:p>
    <w:p w:rsidR="00E3253D" w:rsidRPr="005D642E" w:rsidRDefault="00E3253D" w:rsidP="00E3253D">
      <w:pPr>
        <w:pStyle w:val="libLine"/>
        <w:rPr>
          <w:rtl/>
          <w:lang w:bidi="fa-IR"/>
        </w:rPr>
      </w:pPr>
      <w:r w:rsidRPr="005D642E">
        <w:rPr>
          <w:rtl/>
          <w:lang w:bidi="fa-IR"/>
        </w:rPr>
        <w:t>__________________</w:t>
      </w:r>
    </w:p>
    <w:p w:rsidR="00E3253D" w:rsidRPr="005D642E" w:rsidRDefault="00E3253D" w:rsidP="00E3253D">
      <w:pPr>
        <w:pStyle w:val="libFootnote0"/>
        <w:rPr>
          <w:rtl/>
          <w:lang w:bidi="fa-IR"/>
        </w:rPr>
      </w:pPr>
      <w:r w:rsidRPr="005D642E">
        <w:rPr>
          <w:rtl/>
        </w:rPr>
        <w:t>‌</w:t>
      </w:r>
      <w:r w:rsidR="003D2569">
        <w:rPr>
          <w:rFonts w:hint="cs"/>
          <w:rtl/>
        </w:rPr>
        <w:t xml:space="preserve">= </w:t>
      </w:r>
      <w:r w:rsidRPr="005D642E">
        <w:rPr>
          <w:rtl/>
        </w:rPr>
        <w:t xml:space="preserve">الخمر في الجاهليّة ، وهو أوّل من مات من المهاجرين بالمدينة في شعبان على رأس ثلاثين شهراً من الهجرة. وقيل : بعد اثنين وعشرين شهراً ، وقبّل النبيّ </w:t>
      </w:r>
      <w:r w:rsidR="0042621E" w:rsidRPr="003D2569">
        <w:rPr>
          <w:rStyle w:val="libFootnoteAlaemChar"/>
          <w:rtl/>
        </w:rPr>
        <w:t>صلى‌الله‌عليه‌وآله</w:t>
      </w:r>
      <w:r w:rsidRPr="005D642E">
        <w:rPr>
          <w:rtl/>
        </w:rPr>
        <w:t xml:space="preserve"> وجهه بعد موته ، ول</w:t>
      </w:r>
      <w:r w:rsidR="003D2569">
        <w:rPr>
          <w:rFonts w:hint="cs"/>
          <w:rtl/>
        </w:rPr>
        <w:t>ـ</w:t>
      </w:r>
      <w:r w:rsidRPr="005D642E">
        <w:rPr>
          <w:rtl/>
        </w:rPr>
        <w:t>مّا دفن قال : نعم السلف هو لنا. ودفن بالبقيع وكان عابداً مجتهداً من فضلاء الصحابة</w:t>
      </w:r>
      <w:r>
        <w:rPr>
          <w:rtl/>
        </w:rPr>
        <w:t xml:space="preserve"> ».</w:t>
      </w:r>
      <w:r w:rsidR="003D2569">
        <w:rPr>
          <w:rtl/>
        </w:rPr>
        <w:t xml:space="preserve"> وقال العل</w:t>
      </w:r>
      <w:r w:rsidR="003D2569">
        <w:rPr>
          <w:rFonts w:hint="cs"/>
          <w:rtl/>
        </w:rPr>
        <w:t>ّ</w:t>
      </w:r>
      <w:r w:rsidR="003D2569">
        <w:rPr>
          <w:rtl/>
        </w:rPr>
        <w:t>ا</w:t>
      </w:r>
      <w:r w:rsidRPr="005D642E">
        <w:rPr>
          <w:rtl/>
        </w:rPr>
        <w:t xml:space="preserve">مة المجلسي : « عثمان كان من زهّاد الصحابة وأكابرها وكان رسول الله </w:t>
      </w:r>
      <w:r w:rsidR="0042621E" w:rsidRPr="003D2569">
        <w:rPr>
          <w:rStyle w:val="libFootnoteAlaemChar"/>
          <w:rtl/>
        </w:rPr>
        <w:t>صلى‌الله‌عليه‌وآله</w:t>
      </w:r>
      <w:r w:rsidRPr="005D642E">
        <w:rPr>
          <w:rtl/>
          <w:lang w:bidi="fa-IR"/>
        </w:rPr>
        <w:t xml:space="preserve"> </w:t>
      </w:r>
      <w:r w:rsidRPr="005D642E">
        <w:rPr>
          <w:rtl/>
        </w:rPr>
        <w:t>يحبّه شديداً</w:t>
      </w:r>
      <w:r>
        <w:rPr>
          <w:rtl/>
        </w:rPr>
        <w:t xml:space="preserve"> ».</w:t>
      </w:r>
      <w:r w:rsidRPr="005D642E">
        <w:rPr>
          <w:rtl/>
        </w:rPr>
        <w:t xml:space="preserve"> راجع : </w:t>
      </w:r>
      <w:r w:rsidRPr="002F4D34">
        <w:rPr>
          <w:rStyle w:val="libFootnoteBoldChar"/>
          <w:rtl/>
        </w:rPr>
        <w:t>جامع الا</w:t>
      </w:r>
      <w:r w:rsidR="00885612">
        <w:rPr>
          <w:rStyle w:val="libFootnoteBoldChar"/>
          <w:rFonts w:hint="cs"/>
          <w:rtl/>
        </w:rPr>
        <w:t>ُ</w:t>
      </w:r>
      <w:r w:rsidRPr="002F4D34">
        <w:rPr>
          <w:rStyle w:val="libFootnoteBoldChar"/>
          <w:rtl/>
        </w:rPr>
        <w:t>صول</w:t>
      </w:r>
      <w:r w:rsidRPr="005D642E">
        <w:rPr>
          <w:rtl/>
        </w:rPr>
        <w:t xml:space="preserve"> ، ج 12 ، ص 598 ؛ </w:t>
      </w:r>
      <w:r w:rsidRPr="002F4D34">
        <w:rPr>
          <w:rStyle w:val="libFootnoteBoldChar"/>
          <w:rtl/>
        </w:rPr>
        <w:t>مرآة العقول</w:t>
      </w:r>
      <w:r w:rsidRPr="005D642E">
        <w:rPr>
          <w:rtl/>
        </w:rPr>
        <w:t xml:space="preserve"> ، ج 14 ، ص 267.</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 هَمَلَتْ » : فاضت ، وسالت. راجع : </w:t>
      </w:r>
      <w:r w:rsidR="00E3253D" w:rsidRPr="002F4D34">
        <w:rPr>
          <w:rStyle w:val="libFootnoteBoldChar"/>
          <w:rtl/>
        </w:rPr>
        <w:t>لسان العرب</w:t>
      </w:r>
      <w:r w:rsidR="00E3253D" w:rsidRPr="005D642E">
        <w:rPr>
          <w:rtl/>
        </w:rPr>
        <w:t xml:space="preserve"> ، ج 11 ، ص 710 ( همل )</w:t>
      </w:r>
      <w:r w:rsidR="00E3253D">
        <w:rPr>
          <w:rtl/>
        </w:rPr>
        <w:t>.</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 بخ » : « محزون</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في </w:t>
      </w:r>
      <w:r w:rsidR="00E3253D" w:rsidRPr="002F4D34">
        <w:rPr>
          <w:rStyle w:val="libFootnoteBoldChar"/>
          <w:rtl/>
        </w:rPr>
        <w:t>مرآة العقول</w:t>
      </w:r>
      <w:r w:rsidR="00E3253D" w:rsidRPr="005D642E">
        <w:rPr>
          <w:rtl/>
        </w:rPr>
        <w:t xml:space="preserve"> : « يدلّ على مرجوحيّة التحتّم والحكم بالجزم بكون الميّت من أهل الجنّة وإن كان في أقصى درجة الصلاح والزهد ؛ فإنّ عثمان كان من زهاد الصحابة وأكابرها ، وكان رسول الله </w:t>
      </w:r>
      <w:r w:rsidRPr="003D2569">
        <w:rPr>
          <w:rStyle w:val="libFootnoteAlaemChar"/>
          <w:rtl/>
        </w:rPr>
        <w:t>صلى‌الله‌عليه‌وآله</w:t>
      </w:r>
      <w:r w:rsidR="00E3253D" w:rsidRPr="005D642E">
        <w:rPr>
          <w:rtl/>
        </w:rPr>
        <w:t xml:space="preserve"> يحبّه شديداً ، قال : ابن الأثير في </w:t>
      </w:r>
      <w:r w:rsidR="00E3253D" w:rsidRPr="002F4D34">
        <w:rPr>
          <w:rStyle w:val="libFootnoteBoldChar"/>
          <w:rtl/>
        </w:rPr>
        <w:t>جامع الا</w:t>
      </w:r>
      <w:r w:rsidR="00A77F37">
        <w:rPr>
          <w:rStyle w:val="libFootnoteBoldChar"/>
          <w:rFonts w:hint="cs"/>
          <w:rtl/>
        </w:rPr>
        <w:t>ُ</w:t>
      </w:r>
      <w:r w:rsidR="00E3253D" w:rsidRPr="002F4D34">
        <w:rPr>
          <w:rStyle w:val="libFootnoteBoldChar"/>
          <w:rtl/>
        </w:rPr>
        <w:t>صول</w:t>
      </w:r>
      <w:r w:rsidR="00E3253D" w:rsidRPr="005D642E">
        <w:rPr>
          <w:rtl/>
        </w:rPr>
        <w:t xml:space="preserve"> : أسلم بعد ثلاثة عشر رجلاً ، وهاجر الهجرتين ، وشهد بدراً ، وكان حرّم الخمر في الجاهليّة ، وهو أوّل المهاجرين موتاً بالمدينة في شعبان على رأس ثلاثين شهراً من الهجرة ، وقيل : بعد اثنين وعشرين شهراً ، وقبّل النبيّ </w:t>
      </w:r>
      <w:r w:rsidRPr="003D2569">
        <w:rPr>
          <w:rStyle w:val="libFootnoteAlaemChar"/>
          <w:rtl/>
        </w:rPr>
        <w:t>صلى‌الله‌عليه‌وآله</w:t>
      </w:r>
      <w:r w:rsidR="00E3253D" w:rsidRPr="005D642E">
        <w:rPr>
          <w:rtl/>
        </w:rPr>
        <w:t xml:space="preserve"> وجهه بعد موته ، ول</w:t>
      </w:r>
      <w:r w:rsidR="003D2569">
        <w:rPr>
          <w:rFonts w:hint="cs"/>
          <w:rtl/>
        </w:rPr>
        <w:t>ـ</w:t>
      </w:r>
      <w:r w:rsidR="00E3253D" w:rsidRPr="005D642E">
        <w:rPr>
          <w:rtl/>
        </w:rPr>
        <w:t xml:space="preserve">مّا دفن بالبقيع قال : نعم السلف لنا ، كان عابداً من فضلاء الصحابة ، وإبراهيم كان ابن رسول الله </w:t>
      </w:r>
      <w:r w:rsidRPr="003D2569">
        <w:rPr>
          <w:rStyle w:val="libFootnoteAlaemChar"/>
          <w:rtl/>
        </w:rPr>
        <w:t>صلى‌الله‌عليه‌وآله</w:t>
      </w:r>
      <w:r w:rsidR="00E3253D" w:rsidRPr="005D642E">
        <w:rPr>
          <w:rtl/>
        </w:rPr>
        <w:t xml:space="preserve"> من مارية القبطيّة ، وولد </w:t>
      </w:r>
      <w:r w:rsidR="00E3253D" w:rsidRPr="003D2569">
        <w:rPr>
          <w:rStyle w:val="libFootnoteAlaemChar"/>
          <w:rtl/>
        </w:rPr>
        <w:t>عليه‌السلام</w:t>
      </w:r>
      <w:r w:rsidR="00E3253D" w:rsidRPr="005D642E">
        <w:rPr>
          <w:rtl/>
        </w:rPr>
        <w:t xml:space="preserve"> بالمدينة في ذي الحجّة سنة ثمان ، ومات في ذي الحجّة سنة عشر ، وقيل : في ربيع الأوّل سنة عشر. ويدلِّ على عدم منافاة البكاء للصبر ، بل كونه مطلوباً إذا لم يقل شيئاً يوجب سخط الربّ تعالى ، ويحتمل كون بكائه </w:t>
      </w:r>
      <w:r w:rsidRPr="00594B94">
        <w:rPr>
          <w:rStyle w:val="libFootnoteAlaemChar"/>
          <w:rtl/>
        </w:rPr>
        <w:t>صلى‌الله‌عليه‌وآله</w:t>
      </w:r>
      <w:r w:rsidR="00E3253D" w:rsidRPr="005D642E">
        <w:rPr>
          <w:rtl/>
        </w:rPr>
        <w:t xml:space="preserve"> للشفقة على الا</w:t>
      </w:r>
      <w:r w:rsidR="00594B94">
        <w:rPr>
          <w:rFonts w:hint="cs"/>
          <w:rtl/>
        </w:rPr>
        <w:t>ُ</w:t>
      </w:r>
      <w:r w:rsidR="00E3253D" w:rsidRPr="005D642E">
        <w:rPr>
          <w:rtl/>
        </w:rPr>
        <w:t>مّة. ويدلّ على استحباب تسوية القبر وسدّ خلاله</w:t>
      </w:r>
      <w:r w:rsidR="00E3253D">
        <w:rPr>
          <w:rtl/>
        </w:rPr>
        <w:t xml:space="preserve"> ».</w:t>
      </w:r>
    </w:p>
    <w:p w:rsidR="00E3253D" w:rsidRPr="005D642E" w:rsidRDefault="0042621E" w:rsidP="00594B94">
      <w:pPr>
        <w:pStyle w:val="libFootnote0"/>
        <w:rPr>
          <w:rtl/>
          <w:lang w:bidi="fa-IR"/>
        </w:rPr>
      </w:pPr>
      <w:r w:rsidRPr="0042621E">
        <w:rPr>
          <w:rStyle w:val="libFootnote0Char"/>
          <w:rtl/>
        </w:rPr>
        <w:t>(4).</w:t>
      </w:r>
      <w:r w:rsidR="00E3253D" w:rsidRPr="005D642E">
        <w:rPr>
          <w:rtl/>
        </w:rPr>
        <w:t xml:space="preserve"> </w:t>
      </w:r>
      <w:r w:rsidR="00E3253D" w:rsidRPr="002F4D34">
        <w:rPr>
          <w:rStyle w:val="libFootnoteBoldChar"/>
          <w:rtl/>
        </w:rPr>
        <w:t>الوافي</w:t>
      </w:r>
      <w:r w:rsidR="00E3253D" w:rsidRPr="005D642E">
        <w:rPr>
          <w:rtl/>
        </w:rPr>
        <w:t xml:space="preserve"> ، ج 25 ، ص 569 ، ح 24689 ؛ </w:t>
      </w:r>
      <w:r w:rsidR="00E3253D" w:rsidRPr="002F4D34">
        <w:rPr>
          <w:rStyle w:val="libFootnoteBoldChar"/>
          <w:rtl/>
        </w:rPr>
        <w:t>الوسائل</w:t>
      </w:r>
      <w:r w:rsidR="00E3253D" w:rsidRPr="005D642E">
        <w:rPr>
          <w:rtl/>
        </w:rPr>
        <w:t xml:space="preserve"> ، ج 3 ، ص 229 ، ح 3483 ، وفيه قطعة منه ملخّصاً ؛ </w:t>
      </w:r>
      <w:r w:rsidR="00E3253D" w:rsidRPr="002F4D34">
        <w:rPr>
          <w:rStyle w:val="libFootnoteBoldChar"/>
          <w:rtl/>
        </w:rPr>
        <w:t>البحار</w:t>
      </w:r>
      <w:r w:rsidR="00E3253D" w:rsidRPr="005D642E">
        <w:rPr>
          <w:rtl/>
        </w:rPr>
        <w:t xml:space="preserve"> ، ج 22 ، ص 157 ، ح 16 ؛ وص 264 ، ح 5.</w:t>
      </w:r>
      <w:r w:rsidR="00594B94">
        <w:rPr>
          <w:rFonts w:hint="cs"/>
          <w:rtl/>
        </w:rPr>
        <w:t xml:space="preserve">      </w:t>
      </w:r>
      <w:r w:rsidRPr="0042621E">
        <w:rPr>
          <w:rStyle w:val="libFootnote0Char"/>
          <w:rtl/>
        </w:rPr>
        <w:t>(5).</w:t>
      </w:r>
      <w:r w:rsidR="00E3253D" w:rsidRPr="005D642E">
        <w:rPr>
          <w:rtl/>
        </w:rPr>
        <w:t xml:space="preserve"> في « ى » : « كتبت</w:t>
      </w:r>
      <w:r w:rsidR="00E3253D">
        <w:rPr>
          <w:rtl/>
        </w:rPr>
        <w:t xml:space="preserve"> ».</w:t>
      </w:r>
    </w:p>
    <w:p w:rsidR="00E3253D" w:rsidRPr="005D642E" w:rsidRDefault="0042621E" w:rsidP="00E3253D">
      <w:pPr>
        <w:pStyle w:val="libFootnote0"/>
        <w:rPr>
          <w:rtl/>
          <w:lang w:bidi="fa-IR"/>
        </w:rPr>
      </w:pPr>
      <w:r w:rsidRPr="0042621E">
        <w:rPr>
          <w:rStyle w:val="libFootnote0Char"/>
          <w:rtl/>
        </w:rPr>
        <w:t>(6).</w:t>
      </w:r>
      <w:r w:rsidR="00E3253D" w:rsidRPr="005D642E">
        <w:rPr>
          <w:rtl/>
        </w:rPr>
        <w:t xml:space="preserve"> في الوافي : « كتب رجل إلى أبي جعفر الثاني </w:t>
      </w:r>
      <w:r w:rsidR="00E3253D" w:rsidRPr="00594B94">
        <w:rPr>
          <w:rStyle w:val="libFootnoteAlaemChar"/>
          <w:rtl/>
        </w:rPr>
        <w:t>عليه‌السلام</w:t>
      </w:r>
      <w:r w:rsidR="00E3253D">
        <w:rPr>
          <w:rtl/>
        </w:rPr>
        <w:t xml:space="preserve"> ».</w:t>
      </w:r>
    </w:p>
    <w:p w:rsidR="00E3253D" w:rsidRDefault="00E3253D" w:rsidP="00E3253D">
      <w:pPr>
        <w:pStyle w:val="libNormal"/>
        <w:rPr>
          <w:rtl/>
          <w:lang w:bidi="fa-IR"/>
        </w:rPr>
      </w:pPr>
      <w:r>
        <w:rPr>
          <w:rtl/>
          <w:lang w:bidi="fa-IR"/>
        </w:rPr>
        <w:br w:type="page"/>
      </w:r>
    </w:p>
    <w:p w:rsidR="00E3253D" w:rsidRPr="005D642E" w:rsidRDefault="00E3253D" w:rsidP="00E3253D">
      <w:pPr>
        <w:pStyle w:val="libNormal0"/>
        <w:rPr>
          <w:rtl/>
          <w:lang w:bidi="fa-IR"/>
        </w:rPr>
      </w:pPr>
      <w:r w:rsidRPr="005D642E">
        <w:rPr>
          <w:rtl/>
          <w:lang w:bidi="fa-IR"/>
        </w:rPr>
        <w:t xml:space="preserve">لَهُ </w:t>
      </w:r>
      <w:r w:rsidRPr="007C12DB">
        <w:rPr>
          <w:rStyle w:val="libFootnotenumChar"/>
          <w:rtl/>
        </w:rPr>
        <w:t>(1)</w:t>
      </w:r>
      <w:r w:rsidRPr="005D642E">
        <w:rPr>
          <w:rtl/>
          <w:lang w:bidi="fa-IR"/>
        </w:rPr>
        <w:t xml:space="preserve"> ، وَشِدَّةَ مَا يَدْخُلُهُ.</w:t>
      </w:r>
    </w:p>
    <w:p w:rsidR="00E3253D" w:rsidRPr="005D642E" w:rsidRDefault="00E3253D" w:rsidP="00E3253D">
      <w:pPr>
        <w:pStyle w:val="libNormal"/>
        <w:rPr>
          <w:rtl/>
          <w:lang w:bidi="fa-IR"/>
        </w:rPr>
      </w:pPr>
      <w:r w:rsidRPr="005D642E">
        <w:rPr>
          <w:rtl/>
          <w:lang w:bidi="fa-IR"/>
        </w:rPr>
        <w:t xml:space="preserve">فَقَالَ : وَكَتَبَ </w:t>
      </w:r>
      <w:r w:rsidRPr="007C12DB">
        <w:rPr>
          <w:rStyle w:val="libFootnotenumChar"/>
          <w:rtl/>
        </w:rPr>
        <w:t>(2)</w:t>
      </w:r>
      <w:r w:rsidRPr="005D642E">
        <w:rPr>
          <w:rtl/>
          <w:lang w:bidi="fa-IR"/>
        </w:rPr>
        <w:t xml:space="preserve"> </w:t>
      </w:r>
      <w:r w:rsidRPr="00AC51C5">
        <w:rPr>
          <w:rStyle w:val="libAlaemChar"/>
          <w:rtl/>
        </w:rPr>
        <w:t>عليه‌السلام</w:t>
      </w:r>
      <w:r>
        <w:rPr>
          <w:rtl/>
          <w:lang w:bidi="fa-IR"/>
        </w:rPr>
        <w:t xml:space="preserve"> إِلَيْهِ : « أَ</w:t>
      </w:r>
      <w:r w:rsidRPr="005D642E">
        <w:rPr>
          <w:rtl/>
          <w:lang w:bidi="fa-IR"/>
        </w:rPr>
        <w:t>مَا عَلِمْتَ أَنَّ اللهَ</w:t>
      </w:r>
      <w:r>
        <w:rPr>
          <w:rtl/>
          <w:lang w:bidi="fa-IR"/>
        </w:rPr>
        <w:t xml:space="preserve"> </w:t>
      </w:r>
      <w:r w:rsidR="007642BC">
        <w:rPr>
          <w:rtl/>
          <w:lang w:bidi="fa-IR"/>
        </w:rPr>
        <w:t>-</w:t>
      </w:r>
      <w:r>
        <w:rPr>
          <w:rtl/>
          <w:lang w:bidi="fa-IR"/>
        </w:rPr>
        <w:t xml:space="preserve"> </w:t>
      </w:r>
      <w:r w:rsidRPr="005D642E">
        <w:rPr>
          <w:rtl/>
          <w:lang w:bidi="fa-IR"/>
        </w:rPr>
        <w:t>عَزَّ وَجَلَّ</w:t>
      </w:r>
      <w:r>
        <w:rPr>
          <w:rtl/>
          <w:lang w:bidi="fa-IR"/>
        </w:rPr>
        <w:t xml:space="preserve"> </w:t>
      </w:r>
      <w:r w:rsidR="007642BC">
        <w:rPr>
          <w:rtl/>
          <w:lang w:bidi="fa-IR"/>
        </w:rPr>
        <w:t>-</w:t>
      </w:r>
      <w:r>
        <w:rPr>
          <w:rtl/>
          <w:lang w:bidi="fa-IR"/>
        </w:rPr>
        <w:t xml:space="preserve"> </w:t>
      </w:r>
      <w:r w:rsidRPr="005D642E">
        <w:rPr>
          <w:rtl/>
          <w:lang w:bidi="fa-IR"/>
        </w:rPr>
        <w:t>يَخْتَارُ مِنْ مَالِ الْمُؤْمِنِ وَمِنْ وُلْدِهِ أَنْفَسَهُ لِيَأْجُرَهُ عَلى ذلِكَ</w:t>
      </w:r>
      <w:r>
        <w:rPr>
          <w:rtl/>
          <w:lang w:bidi="fa-IR"/>
        </w:rPr>
        <w:t>؟ ».</w:t>
      </w:r>
      <w:r w:rsidRPr="005D642E">
        <w:rPr>
          <w:rtl/>
          <w:lang w:bidi="fa-IR"/>
        </w:rPr>
        <w:t xml:space="preserve"> </w:t>
      </w:r>
      <w:r w:rsidRPr="007C12DB">
        <w:rPr>
          <w:rStyle w:val="libFootnotenumChar"/>
          <w:rtl/>
        </w:rPr>
        <w:t>(3)</w:t>
      </w:r>
      <w:r w:rsidRPr="005D642E">
        <w:rPr>
          <w:rtl/>
          <w:lang w:bidi="fa-IR"/>
        </w:rPr>
        <w:t xml:space="preserve"> ‌</w:t>
      </w:r>
    </w:p>
    <w:p w:rsidR="00E3253D" w:rsidRDefault="00E3253D" w:rsidP="00E3253D">
      <w:pPr>
        <w:rPr>
          <w:rtl/>
          <w:lang w:bidi="fa-IR"/>
        </w:rPr>
      </w:pPr>
      <w:r w:rsidRPr="005D642E">
        <w:rPr>
          <w:rtl/>
          <w:lang w:bidi="fa-IR"/>
        </w:rPr>
        <w:t xml:space="preserve">هذَا آخِرُ كِتَابِ الْجَنَائِزِ مِنْ كِتَابِ الْكَافِي </w:t>
      </w:r>
      <w:r w:rsidR="00DC04F3">
        <w:rPr>
          <w:rtl/>
          <w:lang w:bidi="fa-IR"/>
        </w:rPr>
        <w:t>لِأَبِي جَعْفَرٍ مُحَمَّدِ بْنِ</w:t>
      </w:r>
    </w:p>
    <w:p w:rsidR="00E3253D" w:rsidRPr="005D642E" w:rsidRDefault="00E3253D" w:rsidP="00E3253D">
      <w:pPr>
        <w:rPr>
          <w:rtl/>
          <w:lang w:bidi="fa-IR"/>
        </w:rPr>
      </w:pPr>
      <w:r w:rsidRPr="005D642E">
        <w:rPr>
          <w:rtl/>
          <w:lang w:bidi="fa-IR"/>
        </w:rPr>
        <w:t>يَعْقُوبَ الْكُلَيْنِيِّ رَحِمَهُ اللهُ ، وَالْحَمْدُ لِلّهِ وَحْدَهُ ، وَصَلَّى اللهُ</w:t>
      </w:r>
      <w:r w:rsidR="00DC04F3" w:rsidRPr="00DC04F3">
        <w:rPr>
          <w:rtl/>
          <w:lang w:bidi="fa-IR"/>
        </w:rPr>
        <w:t xml:space="preserve"> </w:t>
      </w:r>
      <w:r w:rsidR="00DC04F3" w:rsidRPr="005D642E">
        <w:rPr>
          <w:rtl/>
          <w:lang w:bidi="fa-IR"/>
        </w:rPr>
        <w:t>عَلى</w:t>
      </w:r>
    </w:p>
    <w:p w:rsidR="00E3253D" w:rsidRPr="005D642E" w:rsidRDefault="00E3253D" w:rsidP="00054877">
      <w:pPr>
        <w:rPr>
          <w:rtl/>
          <w:lang w:bidi="fa-IR"/>
        </w:rPr>
      </w:pPr>
      <w:r w:rsidRPr="005D642E">
        <w:rPr>
          <w:rtl/>
          <w:lang w:bidi="fa-IR"/>
        </w:rPr>
        <w:t xml:space="preserve">مُحَمَّدٍ وَآلِهِ أَجْمَعِينَ. وَيَتْلُوهُ كِتَابُ الصَّلَاةِ. </w:t>
      </w:r>
      <w:r w:rsidRPr="007C12DB">
        <w:rPr>
          <w:rStyle w:val="libFootnotenumChar"/>
          <w:rtl/>
        </w:rPr>
        <w:t>(4)</w:t>
      </w:r>
    </w:p>
    <w:p w:rsidR="00E3253D" w:rsidRPr="005D642E" w:rsidRDefault="00E3253D" w:rsidP="00E3253D">
      <w:pPr>
        <w:pStyle w:val="libLine"/>
        <w:rPr>
          <w:rtl/>
          <w:lang w:bidi="fa-IR"/>
        </w:rPr>
      </w:pPr>
      <w:r w:rsidRPr="005D642E">
        <w:rPr>
          <w:rtl/>
          <w:lang w:bidi="fa-IR"/>
        </w:rPr>
        <w:t>__________________</w:t>
      </w:r>
    </w:p>
    <w:p w:rsidR="00E3253D" w:rsidRPr="005D642E" w:rsidRDefault="0042621E" w:rsidP="00E3253D">
      <w:pPr>
        <w:pStyle w:val="libFootnote0"/>
        <w:rPr>
          <w:rtl/>
          <w:lang w:bidi="fa-IR"/>
        </w:rPr>
      </w:pPr>
      <w:r w:rsidRPr="0042621E">
        <w:rPr>
          <w:rStyle w:val="libFootnote0Char"/>
          <w:rtl/>
        </w:rPr>
        <w:t>(1).</w:t>
      </w:r>
      <w:r w:rsidR="00E3253D">
        <w:rPr>
          <w:rtl/>
        </w:rPr>
        <w:t xml:space="preserve"> </w:t>
      </w:r>
      <w:r w:rsidR="00E3253D" w:rsidRPr="005D642E">
        <w:rPr>
          <w:rtl/>
        </w:rPr>
        <w:t xml:space="preserve">في « ى ، جح » </w:t>
      </w:r>
      <w:r w:rsidR="000D749A" w:rsidRPr="000D749A">
        <w:rPr>
          <w:rStyle w:val="libFootnoteBoldChar"/>
          <w:rtl/>
        </w:rPr>
        <w:t>والوافي</w:t>
      </w:r>
      <w:r w:rsidR="00E3253D" w:rsidRPr="005D642E">
        <w:rPr>
          <w:rtl/>
        </w:rPr>
        <w:t xml:space="preserve"> والكافي ، ح 4640 : « بولده » بدل « بولد له</w:t>
      </w:r>
      <w:r w:rsidR="00E3253D">
        <w:rPr>
          <w:rtl/>
        </w:rPr>
        <w:t xml:space="preserve"> ».</w:t>
      </w:r>
    </w:p>
    <w:p w:rsidR="00E3253D" w:rsidRPr="005D642E" w:rsidRDefault="0042621E" w:rsidP="00E3253D">
      <w:pPr>
        <w:pStyle w:val="libFootnote0"/>
        <w:rPr>
          <w:rtl/>
          <w:lang w:bidi="fa-IR"/>
        </w:rPr>
      </w:pPr>
      <w:r w:rsidRPr="0042621E">
        <w:rPr>
          <w:rStyle w:val="libFootnote0Char"/>
          <w:rtl/>
        </w:rPr>
        <w:t>(2).</w:t>
      </w:r>
      <w:r w:rsidR="00E3253D" w:rsidRPr="005D642E">
        <w:rPr>
          <w:rtl/>
        </w:rPr>
        <w:t xml:space="preserve"> في الوافي والكافي ، ح 4640 : « دخله فكتب » بدل « يدخله فقال : وكتب</w:t>
      </w:r>
      <w:r w:rsidR="00E3253D">
        <w:rPr>
          <w:rtl/>
        </w:rPr>
        <w:t xml:space="preserve"> ».</w:t>
      </w:r>
    </w:p>
    <w:p w:rsidR="00E3253D" w:rsidRPr="005D642E" w:rsidRDefault="0042621E" w:rsidP="00E3253D">
      <w:pPr>
        <w:pStyle w:val="libFootnote0"/>
        <w:rPr>
          <w:rtl/>
          <w:lang w:bidi="fa-IR"/>
        </w:rPr>
      </w:pPr>
      <w:r w:rsidRPr="0042621E">
        <w:rPr>
          <w:rStyle w:val="libFootnote0Char"/>
          <w:rtl/>
        </w:rPr>
        <w:t>(3).</w:t>
      </w:r>
      <w:r w:rsidR="00E3253D" w:rsidRPr="005D642E">
        <w:rPr>
          <w:rtl/>
        </w:rPr>
        <w:t xml:space="preserve"> </w:t>
      </w:r>
      <w:r w:rsidR="00E3253D" w:rsidRPr="002F4D34">
        <w:rPr>
          <w:rStyle w:val="libFootnoteBoldChar"/>
          <w:rtl/>
        </w:rPr>
        <w:t>الكافي</w:t>
      </w:r>
      <w:r w:rsidR="00E3253D" w:rsidRPr="005D642E">
        <w:rPr>
          <w:rtl/>
        </w:rPr>
        <w:t xml:space="preserve"> ، كتاب الجنائز ، باب المصيبة بالولد ، ح 4640 ، بطريقين ، أحدهما عن عدّة من أصحابنا ، عن سهل بن زياد ، عن ابن مهران ، عن أبي جعفر الثاني </w:t>
      </w:r>
      <w:r w:rsidR="00E3253D" w:rsidRPr="00930777">
        <w:rPr>
          <w:rStyle w:val="libFootnoteAlaemChar"/>
          <w:rtl/>
        </w:rPr>
        <w:t>عليه‌السلام</w:t>
      </w:r>
      <w:r w:rsidR="00E3253D" w:rsidRPr="005D642E">
        <w:rPr>
          <w:rtl/>
        </w:rPr>
        <w:t xml:space="preserve"> </w:t>
      </w:r>
      <w:r w:rsidR="00930777">
        <w:rPr>
          <w:rFonts w:hint="cs"/>
          <w:rtl/>
        </w:rPr>
        <w:t>.</w:t>
      </w:r>
      <w:r w:rsidR="00E3253D" w:rsidRPr="002F4D34">
        <w:rPr>
          <w:rStyle w:val="libFootnoteBoldChar"/>
          <w:rtl/>
        </w:rPr>
        <w:t>الوافي</w:t>
      </w:r>
      <w:r w:rsidR="00E3253D" w:rsidRPr="005D642E">
        <w:rPr>
          <w:rtl/>
        </w:rPr>
        <w:t xml:space="preserve"> ، ج 25 ، ص 546 ، ح 24618.</w:t>
      </w:r>
    </w:p>
    <w:p w:rsidR="00E3253D" w:rsidRDefault="0042621E" w:rsidP="00E3253D">
      <w:pPr>
        <w:pStyle w:val="libFootnote0"/>
        <w:rPr>
          <w:rtl/>
          <w:lang w:bidi="fa-IR"/>
        </w:rPr>
      </w:pPr>
      <w:r w:rsidRPr="0042621E">
        <w:rPr>
          <w:rStyle w:val="libFootnote0Char"/>
          <w:rtl/>
        </w:rPr>
        <w:t>(4).</w:t>
      </w:r>
      <w:r w:rsidR="00E3253D" w:rsidRPr="005D642E">
        <w:rPr>
          <w:rtl/>
        </w:rPr>
        <w:t xml:space="preserve"> في أكثر النسخ بدل قوله : « هذا آخر كتاب الجنائز</w:t>
      </w:r>
      <w:r w:rsidR="00E3253D">
        <w:rPr>
          <w:rtl/>
        </w:rPr>
        <w:t xml:space="preserve"> </w:t>
      </w:r>
      <w:r w:rsidR="007642BC">
        <w:rPr>
          <w:rtl/>
        </w:rPr>
        <w:t>-</w:t>
      </w:r>
      <w:r w:rsidR="00E3253D">
        <w:rPr>
          <w:rtl/>
        </w:rPr>
        <w:t xml:space="preserve"> </w:t>
      </w:r>
      <w:r w:rsidR="00E3253D" w:rsidRPr="005D642E">
        <w:rPr>
          <w:rtl/>
        </w:rPr>
        <w:t>إلى</w:t>
      </w:r>
      <w:r w:rsidR="00E3253D">
        <w:rPr>
          <w:rtl/>
        </w:rPr>
        <w:t xml:space="preserve"> </w:t>
      </w:r>
      <w:r w:rsidR="007642BC">
        <w:rPr>
          <w:rtl/>
        </w:rPr>
        <w:t>-</w:t>
      </w:r>
      <w:r w:rsidR="00E3253D">
        <w:rPr>
          <w:rtl/>
        </w:rPr>
        <w:t xml:space="preserve"> </w:t>
      </w:r>
      <w:r w:rsidR="00E3253D" w:rsidRPr="005D642E">
        <w:rPr>
          <w:rtl/>
        </w:rPr>
        <w:t>ويتلوه كتاب الصلاة » عبارات مختلفة.</w:t>
      </w:r>
    </w:p>
    <w:p w:rsidR="001F7EDD" w:rsidRDefault="001F7EDD" w:rsidP="001F7EDD">
      <w:pPr>
        <w:pStyle w:val="libNormal"/>
        <w:rPr>
          <w:rtl/>
          <w:lang w:bidi="fa-IR"/>
        </w:rPr>
      </w:pPr>
      <w:r>
        <w:rPr>
          <w:rtl/>
          <w:lang w:bidi="fa-IR"/>
        </w:rPr>
        <w:br w:type="page"/>
      </w:r>
    </w:p>
    <w:p w:rsidR="00E3253D" w:rsidRDefault="001F7EDD" w:rsidP="001F7EDD">
      <w:pPr>
        <w:pStyle w:val="Heading2Center"/>
        <w:rPr>
          <w:rtl/>
          <w:lang w:bidi="fa-IR"/>
        </w:rPr>
      </w:pPr>
      <w:bookmarkStart w:id="548" w:name="_Toc40976016"/>
      <w:r>
        <w:rPr>
          <w:rFonts w:hint="cs"/>
          <w:rtl/>
          <w:lang w:bidi="fa-IR"/>
        </w:rPr>
        <w:t>الفهرس</w:t>
      </w:r>
      <w:bookmarkEnd w:id="548"/>
    </w:p>
    <w:sdt>
      <w:sdtPr>
        <w:rPr>
          <w:rFonts w:ascii="Times New Roman" w:eastAsia="Times New Roman" w:hAnsi="Times New Roman" w:cs="Traditional Arabic"/>
          <w:b w:val="0"/>
          <w:bCs w:val="0"/>
          <w:color w:val="000000"/>
          <w:sz w:val="24"/>
          <w:szCs w:val="32"/>
        </w:rPr>
        <w:id w:val="5683647"/>
        <w:docPartObj>
          <w:docPartGallery w:val="Table of Contents"/>
          <w:docPartUnique/>
        </w:docPartObj>
      </w:sdtPr>
      <w:sdtEndPr>
        <w:rPr>
          <w:rtl/>
        </w:rPr>
      </w:sdtEndPr>
      <w:sdtContent>
        <w:p w:rsidR="00FB4A23" w:rsidRDefault="00FB4A23" w:rsidP="00FB4A23">
          <w:pPr>
            <w:pStyle w:val="TOCHeading"/>
          </w:pPr>
        </w:p>
        <w:p w:rsidR="00FB4A23" w:rsidRDefault="00FB4A23" w:rsidP="00FB4A23">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40975831" w:history="1">
            <w:r w:rsidRPr="001F2956">
              <w:rPr>
                <w:rStyle w:val="Hyperlink"/>
                <w:noProof/>
                <w:rtl/>
              </w:rPr>
              <w:t>(9)</w:t>
            </w:r>
            <w:r>
              <w:rPr>
                <w:noProof/>
                <w:webHidden/>
                <w:rtl/>
              </w:rPr>
              <w:t xml:space="preserve"> </w:t>
            </w:r>
          </w:hyperlink>
          <w:r>
            <w:rPr>
              <w:rStyle w:val="Hyperlink"/>
              <w:rFonts w:hint="cs"/>
              <w:noProof/>
              <w:rtl/>
            </w:rPr>
            <w:t xml:space="preserve"> </w:t>
          </w:r>
          <w:hyperlink w:anchor="_Toc40975832" w:history="1">
            <w:r w:rsidRPr="001F2956">
              <w:rPr>
                <w:rStyle w:val="Hyperlink"/>
                <w:rFonts w:hint="eastAsia"/>
                <w:noProof/>
                <w:rtl/>
              </w:rPr>
              <w:t>كتاب</w:t>
            </w:r>
            <w:r w:rsidRPr="001F2956">
              <w:rPr>
                <w:rStyle w:val="Hyperlink"/>
                <w:noProof/>
                <w:rtl/>
              </w:rPr>
              <w:t xml:space="preserve"> </w:t>
            </w:r>
            <w:r w:rsidRPr="001F2956">
              <w:rPr>
                <w:rStyle w:val="Hyperlink"/>
                <w:rFonts w:hint="eastAsia"/>
                <w:noProof/>
                <w:rtl/>
              </w:rPr>
              <w:t>الطهارة‌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40975832 </w:instrText>
            </w:r>
            <w:r>
              <w:rPr>
                <w:noProof/>
                <w:webHidden/>
              </w:rPr>
              <w:instrText>\h</w:instrText>
            </w:r>
            <w:r>
              <w:rPr>
                <w:noProof/>
                <w:webHidden/>
                <w:rtl/>
              </w:rPr>
              <w:instrText xml:space="preserve"> </w:instrText>
            </w:r>
            <w:r>
              <w:rPr>
                <w:noProof/>
                <w:webHidden/>
                <w:rtl/>
              </w:rPr>
            </w:r>
            <w:r>
              <w:rPr>
                <w:noProof/>
                <w:webHidden/>
                <w:rtl/>
              </w:rPr>
              <w:fldChar w:fldCharType="separate"/>
            </w:r>
            <w:r w:rsidR="008811AB">
              <w:rPr>
                <w:noProof/>
                <w:webHidden/>
                <w:rtl/>
              </w:rPr>
              <w:t>6</w:t>
            </w:r>
            <w:r>
              <w:rPr>
                <w:noProof/>
                <w:webHidden/>
                <w:rtl/>
              </w:rPr>
              <w:fldChar w:fldCharType="end"/>
            </w:r>
          </w:hyperlink>
        </w:p>
        <w:p w:rsidR="00FB4A23" w:rsidRDefault="008811AB" w:rsidP="00FB4A23">
          <w:pPr>
            <w:pStyle w:val="TOC1"/>
            <w:rPr>
              <w:rFonts w:asciiTheme="minorHAnsi" w:eastAsiaTheme="minorEastAsia" w:hAnsiTheme="minorHAnsi" w:cstheme="minorBidi"/>
              <w:noProof/>
              <w:color w:val="auto"/>
              <w:sz w:val="22"/>
              <w:szCs w:val="22"/>
              <w:rtl/>
            </w:rPr>
          </w:pPr>
          <w:hyperlink w:anchor="_Toc40975833" w:history="1">
            <w:r w:rsidR="00FB4A23" w:rsidRPr="001F2956">
              <w:rPr>
                <w:rStyle w:val="Hyperlink"/>
                <w:rFonts w:hint="eastAsia"/>
                <w:noProof/>
                <w:rtl/>
                <w:lang w:bidi="fa-IR"/>
              </w:rPr>
              <w:t>كِتَابُ</w:t>
            </w:r>
            <w:r w:rsidR="00FB4A23" w:rsidRPr="001F2956">
              <w:rPr>
                <w:rStyle w:val="Hyperlink"/>
                <w:noProof/>
                <w:rtl/>
                <w:lang w:bidi="fa-IR"/>
              </w:rPr>
              <w:t xml:space="preserve"> </w:t>
            </w:r>
            <w:r w:rsidR="00FB4A23" w:rsidRPr="001F2956">
              <w:rPr>
                <w:rStyle w:val="Hyperlink"/>
                <w:rFonts w:hint="eastAsia"/>
                <w:noProof/>
                <w:rtl/>
                <w:lang w:bidi="fa-IR"/>
              </w:rPr>
              <w:t>الطَّهَارَةِ‌</w:t>
            </w:r>
          </w:hyperlink>
          <w:r w:rsidR="00FB4A23">
            <w:rPr>
              <w:rStyle w:val="Hyperlink"/>
              <w:rFonts w:hint="cs"/>
              <w:noProof/>
              <w:rtl/>
            </w:rPr>
            <w:t xml:space="preserve"> </w:t>
          </w:r>
          <w:hyperlink w:anchor="_Toc40975834" w:history="1">
            <w:r w:rsidR="00FB4A23" w:rsidRPr="001F2956">
              <w:rPr>
                <w:rStyle w:val="Hyperlink"/>
                <w:noProof/>
                <w:rtl/>
                <w:lang w:bidi="fa-IR"/>
              </w:rPr>
              <w:t xml:space="preserve">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طَهُورِ</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rPr>
              <w:t xml:space="preserve"> </w:t>
            </w:r>
            <w:r w:rsidR="00FB4A23" w:rsidRPr="001F2956">
              <w:rPr>
                <w:rStyle w:val="Hyperlink"/>
                <w:rFonts w:hint="eastAsia"/>
                <w:noProof/>
                <w:rtl/>
                <w:lang w:bidi="fa-IR"/>
              </w:rPr>
              <w:t>الْمَاءِ‌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40975834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35" w:history="1">
            <w:r w:rsidR="00FB4A23" w:rsidRPr="001F2956">
              <w:rPr>
                <w:rStyle w:val="Hyperlink"/>
                <w:noProof/>
                <w:rtl/>
                <w:lang w:bidi="fa-IR"/>
              </w:rPr>
              <w:t xml:space="preserve">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لَايُنَجِّسُهُ</w:t>
            </w:r>
            <w:r w:rsidR="00FB4A23" w:rsidRPr="001F2956">
              <w:rPr>
                <w:rStyle w:val="Hyperlink"/>
                <w:noProof/>
                <w:rtl/>
                <w:lang w:bidi="fa-IR"/>
              </w:rPr>
              <w:t xml:space="preserve"> </w:t>
            </w:r>
            <w:r w:rsidR="00FB4A23" w:rsidRPr="001F2956">
              <w:rPr>
                <w:rStyle w:val="Hyperlink"/>
                <w:rFonts w:hint="eastAsia"/>
                <w:noProof/>
                <w:rtl/>
                <w:lang w:bidi="fa-IR"/>
              </w:rPr>
              <w:t>شَيْ‌ءٌ‌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40975835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11</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36" w:history="1">
            <w:r w:rsidR="00FB4A23" w:rsidRPr="001F2956">
              <w:rPr>
                <w:rStyle w:val="Hyperlink"/>
                <w:noProof/>
                <w:rtl/>
                <w:lang w:bidi="fa-IR"/>
              </w:rPr>
              <w:t xml:space="preserve">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تَكُونُ</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rPr>
              <w:t xml:space="preserve"> </w:t>
            </w:r>
            <w:r w:rsidR="00FB4A23" w:rsidRPr="001F2956">
              <w:rPr>
                <w:rStyle w:val="Hyperlink"/>
                <w:rFonts w:hint="eastAsia"/>
                <w:noProof/>
                <w:rtl/>
                <w:lang w:bidi="fa-IR"/>
              </w:rPr>
              <w:t>فِيهِ</w:t>
            </w:r>
            <w:r w:rsidR="00FB4A23" w:rsidRPr="001F2956">
              <w:rPr>
                <w:rStyle w:val="Hyperlink"/>
                <w:noProof/>
                <w:rtl/>
                <w:lang w:bidi="fa-IR"/>
              </w:rPr>
              <w:t xml:space="preserve"> </w:t>
            </w:r>
            <w:r w:rsidR="00FB4A23" w:rsidRPr="001F2956">
              <w:rPr>
                <w:rStyle w:val="Hyperlink"/>
                <w:rFonts w:hint="eastAsia"/>
                <w:noProof/>
                <w:rtl/>
                <w:lang w:bidi="fa-IR"/>
              </w:rPr>
              <w:t>قِلَّةٌ</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وَالْمَاءِ</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noProof/>
                <w:vertAlign w:val="superscript"/>
                <w:rtl/>
              </w:rPr>
              <w:t>(10)</w:t>
            </w:r>
            <w:r w:rsidR="00FB4A23" w:rsidRPr="001F2956">
              <w:rPr>
                <w:rStyle w:val="Hyperlink"/>
                <w:noProof/>
                <w:rtl/>
              </w:rPr>
              <w:t xml:space="preserve"> </w:t>
            </w:r>
            <w:r w:rsidR="00FB4A23" w:rsidRPr="001F2956">
              <w:rPr>
                <w:rStyle w:val="Hyperlink"/>
                <w:rFonts w:hint="eastAsia"/>
                <w:noProof/>
                <w:rtl/>
                <w:lang w:bidi="fa-IR"/>
              </w:rPr>
              <w:t>فِيهِ</w:t>
            </w:r>
            <w:r w:rsidR="00FB4A23" w:rsidRPr="001F2956">
              <w:rPr>
                <w:rStyle w:val="Hyperlink"/>
                <w:noProof/>
                <w:rtl/>
                <w:lang w:bidi="fa-IR"/>
              </w:rPr>
              <w:t xml:space="preserve"> </w:t>
            </w:r>
            <w:r w:rsidR="00FB4A23" w:rsidRPr="001F2956">
              <w:rPr>
                <w:rStyle w:val="Hyperlink"/>
                <w:rFonts w:hint="eastAsia"/>
                <w:noProof/>
                <w:rtl/>
                <w:lang w:bidi="fa-IR"/>
              </w:rPr>
              <w:t>الْجِيَفُ</w:t>
            </w:r>
            <w:r w:rsidR="00FB4A23" w:rsidRPr="001F2956">
              <w:rPr>
                <w:rStyle w:val="Hyperlink"/>
                <w:noProof/>
                <w:rtl/>
                <w:lang w:bidi="fa-IR"/>
              </w:rPr>
              <w:t xml:space="preserve"> </w:t>
            </w:r>
            <w:r w:rsidR="00FB4A23" w:rsidRPr="001F2956">
              <w:rPr>
                <w:rStyle w:val="Hyperlink"/>
                <w:noProof/>
                <w:vertAlign w:val="superscript"/>
                <w:rtl/>
              </w:rPr>
              <w:t>(11)</w:t>
            </w:r>
            <w:r w:rsidR="00FB4A23" w:rsidRPr="001F2956">
              <w:rPr>
                <w:rStyle w:val="Hyperlink"/>
                <w:noProof/>
                <w:rtl/>
              </w:rPr>
              <w:t xml:space="preserve"> </w:t>
            </w:r>
            <w:r w:rsidR="00FB4A23" w:rsidRPr="001F2956">
              <w:rPr>
                <w:rStyle w:val="Hyperlink"/>
                <w:rFonts w:hint="eastAsia"/>
                <w:noProof/>
                <w:rtl/>
                <w:lang w:bidi="fa-IR"/>
              </w:rPr>
              <w:t>،</w:t>
            </w:r>
          </w:hyperlink>
          <w:r w:rsidR="00FB4A23">
            <w:rPr>
              <w:rStyle w:val="Hyperlink"/>
              <w:rFonts w:hint="cs"/>
              <w:noProof/>
              <w:rtl/>
            </w:rPr>
            <w:t xml:space="preserve"> </w:t>
          </w:r>
          <w:hyperlink w:anchor="_Toc40975837" w:history="1">
            <w:r w:rsidR="00FB4A23" w:rsidRPr="001F2956">
              <w:rPr>
                <w:rStyle w:val="Hyperlink"/>
                <w:rFonts w:hint="eastAsia"/>
                <w:noProof/>
                <w:rtl/>
                <w:lang w:bidi="fa-IR"/>
              </w:rPr>
              <w:t>وَالرَّجُلُ</w:t>
            </w:r>
            <w:r w:rsidR="00FB4A23" w:rsidRPr="001F2956">
              <w:rPr>
                <w:rStyle w:val="Hyperlink"/>
                <w:noProof/>
                <w:rtl/>
                <w:lang w:bidi="fa-IR"/>
              </w:rPr>
              <w:t xml:space="preserve"> </w:t>
            </w:r>
            <w:r w:rsidR="00FB4A23" w:rsidRPr="001F2956">
              <w:rPr>
                <w:rStyle w:val="Hyperlink"/>
                <w:noProof/>
                <w:vertAlign w:val="superscript"/>
                <w:rtl/>
              </w:rPr>
              <w:t>(12)</w:t>
            </w:r>
            <w:r w:rsidR="00FB4A23" w:rsidRPr="001F2956">
              <w:rPr>
                <w:rStyle w:val="Hyperlink"/>
                <w:noProof/>
                <w:rtl/>
              </w:rPr>
              <w:t xml:space="preserve"> </w:t>
            </w:r>
            <w:r w:rsidR="00FB4A23" w:rsidRPr="001F2956">
              <w:rPr>
                <w:rStyle w:val="Hyperlink"/>
                <w:rFonts w:hint="eastAsia"/>
                <w:noProof/>
                <w:rtl/>
                <w:lang w:bidi="fa-IR"/>
              </w:rPr>
              <w:t>يَأْتِي</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rFonts w:hint="eastAsia"/>
                <w:noProof/>
                <w:rtl/>
                <w:lang w:bidi="fa-IR"/>
              </w:rPr>
              <w:t>وَيَدُهُ</w:t>
            </w:r>
            <w:r w:rsidR="00FB4A23" w:rsidRPr="001F2956">
              <w:rPr>
                <w:rStyle w:val="Hyperlink"/>
                <w:noProof/>
                <w:rtl/>
                <w:lang w:bidi="fa-IR"/>
              </w:rPr>
              <w:t xml:space="preserve"> </w:t>
            </w:r>
            <w:r w:rsidR="00FB4A23" w:rsidRPr="001F2956">
              <w:rPr>
                <w:rStyle w:val="Hyperlink"/>
                <w:rFonts w:hint="eastAsia"/>
                <w:noProof/>
                <w:rtl/>
                <w:lang w:bidi="fa-IR"/>
              </w:rPr>
              <w:t>قَذِرَةٌ‌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40975837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38" w:history="1">
            <w:r w:rsidR="00FB4A23" w:rsidRPr="001F2956">
              <w:rPr>
                <w:rStyle w:val="Hyperlink"/>
                <w:noProof/>
                <w:rtl/>
                <w:lang w:bidi="fa-IR"/>
              </w:rPr>
              <w:t xml:space="preserve">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الْبِئْرِ</w:t>
            </w:r>
            <w:r w:rsidR="00FB4A23" w:rsidRPr="001F2956">
              <w:rPr>
                <w:rStyle w:val="Hyperlink"/>
                <w:noProof/>
                <w:rtl/>
                <w:lang w:bidi="fa-IR"/>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يَقَعُ</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rPr>
              <w:t xml:space="preserve"> </w:t>
            </w:r>
            <w:r w:rsidR="00FB4A23" w:rsidRPr="001F2956">
              <w:rPr>
                <w:rStyle w:val="Hyperlink"/>
                <w:rFonts w:hint="eastAsia"/>
                <w:noProof/>
                <w:rtl/>
                <w:lang w:bidi="fa-IR"/>
              </w:rPr>
              <w:t>فِيهَا‌</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40975838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39" w:history="1">
            <w:r w:rsidR="00FB4A23" w:rsidRPr="001F2956">
              <w:rPr>
                <w:rStyle w:val="Hyperlink"/>
                <w:noProof/>
                <w:rtl/>
                <w:lang w:bidi="fa-IR"/>
              </w:rPr>
              <w:t xml:space="preserve">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الْبِئْرِ</w:t>
            </w:r>
            <w:r w:rsidR="00FB4A23" w:rsidRPr="001F2956">
              <w:rPr>
                <w:rStyle w:val="Hyperlink"/>
                <w:noProof/>
                <w:rtl/>
                <w:lang w:bidi="fa-IR"/>
              </w:rPr>
              <w:t xml:space="preserve"> </w:t>
            </w:r>
            <w:r w:rsidR="00FB4A23" w:rsidRPr="001F2956">
              <w:rPr>
                <w:rStyle w:val="Hyperlink"/>
                <w:rFonts w:hint="eastAsia"/>
                <w:noProof/>
                <w:rtl/>
                <w:lang w:bidi="fa-IR"/>
              </w:rPr>
              <w:t>تَكُونُ</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rPr>
              <w:t xml:space="preserve"> </w:t>
            </w:r>
            <w:r w:rsidR="00FB4A23" w:rsidRPr="001F2956">
              <w:rPr>
                <w:rStyle w:val="Hyperlink"/>
                <w:rFonts w:hint="eastAsia"/>
                <w:noProof/>
                <w:rtl/>
                <w:lang w:bidi="fa-IR"/>
              </w:rPr>
              <w:t>إِلى</w:t>
            </w:r>
            <w:r w:rsidR="00FB4A23" w:rsidRPr="001F2956">
              <w:rPr>
                <w:rStyle w:val="Hyperlink"/>
                <w:noProof/>
                <w:rtl/>
                <w:lang w:bidi="fa-IR"/>
              </w:rPr>
              <w:t xml:space="preserve"> </w:t>
            </w:r>
            <w:r w:rsidR="00FB4A23" w:rsidRPr="001F2956">
              <w:rPr>
                <w:rStyle w:val="Hyperlink"/>
                <w:rFonts w:hint="eastAsia"/>
                <w:noProof/>
                <w:rtl/>
                <w:lang w:bidi="fa-IR"/>
              </w:rPr>
              <w:t>جَنْبِ</w:t>
            </w:r>
            <w:r w:rsidR="00FB4A23" w:rsidRPr="001F2956">
              <w:rPr>
                <w:rStyle w:val="Hyperlink"/>
                <w:noProof/>
                <w:rtl/>
                <w:lang w:bidi="fa-IR"/>
              </w:rPr>
              <w:t xml:space="preserve"> </w:t>
            </w:r>
            <w:r w:rsidR="00FB4A23" w:rsidRPr="001F2956">
              <w:rPr>
                <w:rStyle w:val="Hyperlink"/>
                <w:noProof/>
                <w:vertAlign w:val="superscript"/>
                <w:rtl/>
              </w:rPr>
              <w:t>(10)</w:t>
            </w:r>
            <w:r w:rsidR="00FB4A23" w:rsidRPr="001F2956">
              <w:rPr>
                <w:rStyle w:val="Hyperlink"/>
                <w:noProof/>
                <w:rtl/>
              </w:rPr>
              <w:t xml:space="preserve"> </w:t>
            </w:r>
            <w:r w:rsidR="00FB4A23" w:rsidRPr="001F2956">
              <w:rPr>
                <w:rStyle w:val="Hyperlink"/>
                <w:rFonts w:hint="eastAsia"/>
                <w:noProof/>
                <w:rtl/>
                <w:lang w:bidi="fa-IR"/>
              </w:rPr>
              <w:t>الْبَالُوعَةِ‌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40975839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40" w:history="1">
            <w:r w:rsidR="00FB4A23" w:rsidRPr="001F2956">
              <w:rPr>
                <w:rStyle w:val="Hyperlink"/>
                <w:noProof/>
                <w:rtl/>
                <w:lang w:bidi="fa-IR"/>
              </w:rPr>
              <w:t xml:space="preserve">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الْوُضُوءِ</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سُؤْرِ</w:t>
            </w:r>
            <w:r w:rsidR="00FB4A23" w:rsidRPr="001F2956">
              <w:rPr>
                <w:rStyle w:val="Hyperlink"/>
                <w:noProof/>
                <w:rtl/>
                <w:lang w:bidi="fa-IR"/>
              </w:rPr>
              <w:t xml:space="preserve"> </w:t>
            </w:r>
            <w:r w:rsidR="00FB4A23" w:rsidRPr="001F2956">
              <w:rPr>
                <w:rStyle w:val="Hyperlink"/>
                <w:rFonts w:hint="eastAsia"/>
                <w:noProof/>
                <w:rtl/>
                <w:lang w:bidi="fa-IR"/>
              </w:rPr>
              <w:t>الدَّوَابِّ</w:t>
            </w:r>
            <w:r w:rsidR="00FB4A23" w:rsidRPr="001F2956">
              <w:rPr>
                <w:rStyle w:val="Hyperlink"/>
                <w:noProof/>
                <w:rtl/>
                <w:lang w:bidi="fa-IR"/>
              </w:rPr>
              <w:t xml:space="preserve"> </w:t>
            </w:r>
            <w:r w:rsidR="00FB4A23" w:rsidRPr="001F2956">
              <w:rPr>
                <w:rStyle w:val="Hyperlink"/>
                <w:rFonts w:hint="eastAsia"/>
                <w:noProof/>
                <w:rtl/>
                <w:lang w:bidi="fa-IR"/>
              </w:rPr>
              <w:t>وَالسِّبَاعِ</w:t>
            </w:r>
            <w:r w:rsidR="00FB4A23" w:rsidRPr="001F2956">
              <w:rPr>
                <w:rStyle w:val="Hyperlink"/>
                <w:noProof/>
                <w:rtl/>
                <w:lang w:bidi="fa-IR"/>
              </w:rPr>
              <w:t xml:space="preserve"> </w:t>
            </w:r>
            <w:r w:rsidR="00FB4A23" w:rsidRPr="001F2956">
              <w:rPr>
                <w:rStyle w:val="Hyperlink"/>
                <w:rFonts w:hint="eastAsia"/>
                <w:noProof/>
                <w:rtl/>
                <w:lang w:bidi="fa-IR"/>
              </w:rPr>
              <w:t>وَالطَّيْرِ</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40975840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36</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41" w:history="1">
            <w:r w:rsidR="00FB4A23" w:rsidRPr="001F2956">
              <w:rPr>
                <w:rStyle w:val="Hyperlink"/>
                <w:noProof/>
                <w:rtl/>
              </w:rPr>
              <w:t xml:space="preserve">7 - </w:t>
            </w:r>
            <w:r w:rsidR="00FB4A23" w:rsidRPr="001F2956">
              <w:rPr>
                <w:rStyle w:val="Hyperlink"/>
                <w:rFonts w:hint="eastAsia"/>
                <w:noProof/>
                <w:rtl/>
              </w:rPr>
              <w:t>بَابُ</w:t>
            </w:r>
            <w:r w:rsidR="00FB4A23" w:rsidRPr="001F2956">
              <w:rPr>
                <w:rStyle w:val="Hyperlink"/>
                <w:noProof/>
                <w:rtl/>
              </w:rPr>
              <w:t xml:space="preserve"> </w:t>
            </w:r>
            <w:r w:rsidR="00FB4A23" w:rsidRPr="001F2956">
              <w:rPr>
                <w:rStyle w:val="Hyperlink"/>
                <w:rFonts w:hint="eastAsia"/>
                <w:noProof/>
                <w:rtl/>
              </w:rPr>
              <w:t>الْوُضُوءِ</w:t>
            </w:r>
            <w:r w:rsidR="00FB4A23" w:rsidRPr="001F2956">
              <w:rPr>
                <w:rStyle w:val="Hyperlink"/>
                <w:noProof/>
                <w:rtl/>
              </w:rPr>
              <w:t xml:space="preserve"> </w:t>
            </w:r>
            <w:r w:rsidR="00FB4A23" w:rsidRPr="001F2956">
              <w:rPr>
                <w:rStyle w:val="Hyperlink"/>
                <w:rFonts w:hint="eastAsia"/>
                <w:noProof/>
                <w:rtl/>
              </w:rPr>
              <w:t>مِنْ</w:t>
            </w:r>
            <w:r w:rsidR="00FB4A23" w:rsidRPr="001F2956">
              <w:rPr>
                <w:rStyle w:val="Hyperlink"/>
                <w:noProof/>
                <w:rtl/>
              </w:rPr>
              <w:t xml:space="preserve"> </w:t>
            </w:r>
            <w:r w:rsidR="00FB4A23" w:rsidRPr="001F2956">
              <w:rPr>
                <w:rStyle w:val="Hyperlink"/>
                <w:rFonts w:hint="eastAsia"/>
                <w:noProof/>
                <w:rtl/>
              </w:rPr>
              <w:t>سُؤْرِ</w:t>
            </w:r>
            <w:r w:rsidR="00FB4A23" w:rsidRPr="001F2956">
              <w:rPr>
                <w:rStyle w:val="Hyperlink"/>
                <w:noProof/>
                <w:rtl/>
              </w:rPr>
              <w:t xml:space="preserve"> </w:t>
            </w:r>
            <w:r w:rsidR="00FB4A23" w:rsidRPr="001F2956">
              <w:rPr>
                <w:rStyle w:val="Hyperlink"/>
                <w:rFonts w:hint="eastAsia"/>
                <w:noProof/>
                <w:rtl/>
              </w:rPr>
              <w:t>الْحَائِضِ</w:t>
            </w:r>
            <w:r w:rsidR="00FB4A23" w:rsidRPr="001F2956">
              <w:rPr>
                <w:rStyle w:val="Hyperlink"/>
                <w:noProof/>
                <w:rtl/>
              </w:rPr>
              <w:t xml:space="preserve"> </w:t>
            </w:r>
            <w:r w:rsidR="00FB4A23" w:rsidRPr="001F2956">
              <w:rPr>
                <w:rStyle w:val="Hyperlink"/>
                <w:rFonts w:hint="eastAsia"/>
                <w:noProof/>
                <w:rtl/>
              </w:rPr>
              <w:t>وَالْجُنُبِ</w:t>
            </w:r>
          </w:hyperlink>
          <w:r w:rsidR="00FB4A23">
            <w:rPr>
              <w:rStyle w:val="Hyperlink"/>
              <w:rFonts w:hint="cs"/>
              <w:noProof/>
              <w:rtl/>
            </w:rPr>
            <w:t xml:space="preserve"> </w:t>
          </w:r>
          <w:hyperlink w:anchor="_Toc40975842" w:history="1">
            <w:r w:rsidR="00FB4A23" w:rsidRPr="001F2956">
              <w:rPr>
                <w:rStyle w:val="Hyperlink"/>
                <w:rFonts w:hint="eastAsia"/>
                <w:noProof/>
                <w:rtl/>
              </w:rPr>
              <w:t>وَالْيَهُودِيِّ</w:t>
            </w:r>
            <w:r w:rsidR="00FB4A23" w:rsidRPr="001F2956">
              <w:rPr>
                <w:rStyle w:val="Hyperlink"/>
                <w:noProof/>
                <w:rtl/>
              </w:rPr>
              <w:t xml:space="preserve"> </w:t>
            </w:r>
            <w:r w:rsidR="00FB4A23" w:rsidRPr="001F2956">
              <w:rPr>
                <w:rStyle w:val="Hyperlink"/>
                <w:rFonts w:hint="eastAsia"/>
                <w:noProof/>
                <w:rtl/>
              </w:rPr>
              <w:t>وَالنَّصْرَانِيِّ</w:t>
            </w:r>
            <w:r w:rsidR="00FB4A23" w:rsidRPr="001F2956">
              <w:rPr>
                <w:rStyle w:val="Hyperlink"/>
                <w:noProof/>
                <w:rtl/>
              </w:rPr>
              <w:t xml:space="preserve"> </w:t>
            </w:r>
            <w:r w:rsidR="00FB4A23" w:rsidRPr="001F2956">
              <w:rPr>
                <w:rStyle w:val="Hyperlink"/>
                <w:rFonts w:hint="eastAsia"/>
                <w:noProof/>
                <w:rtl/>
              </w:rPr>
              <w:t>وَالنَّاصِبِ</w:t>
            </w:r>
            <w:r w:rsidR="00FB4A23" w:rsidRPr="001F2956">
              <w:rPr>
                <w:rStyle w:val="Hyperlink"/>
                <w:noProof/>
                <w:rtl/>
              </w:rPr>
              <w:t xml:space="preserve"> </w:t>
            </w:r>
            <w:r w:rsidR="00FB4A23" w:rsidRPr="001F2956">
              <w:rPr>
                <w:rStyle w:val="Hyperlink"/>
                <w:noProof/>
                <w:vertAlign w:val="superscript"/>
                <w:rtl/>
              </w:rPr>
              <w:t>(1)</w:t>
            </w:r>
            <w:r w:rsidR="00FB4A23" w:rsidRPr="001F2956">
              <w:rPr>
                <w:rStyle w:val="Hyperlink"/>
                <w:noProof/>
                <w:rtl/>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40975842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43</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43" w:history="1">
            <w:r w:rsidR="00FB4A23" w:rsidRPr="001F2956">
              <w:rPr>
                <w:rStyle w:val="Hyperlink"/>
                <w:noProof/>
                <w:rtl/>
                <w:lang w:bidi="fa-IR"/>
              </w:rPr>
              <w:t xml:space="preserve">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sidRPr="001F2956">
              <w:rPr>
                <w:rStyle w:val="Hyperlink"/>
                <w:noProof/>
                <w:rtl/>
                <w:lang w:bidi="fa-IR"/>
              </w:rPr>
              <w:t xml:space="preserve"> </w:t>
            </w:r>
            <w:r w:rsidR="00FB4A23" w:rsidRPr="001F2956">
              <w:rPr>
                <w:rStyle w:val="Hyperlink"/>
                <w:rFonts w:hint="eastAsia"/>
                <w:noProof/>
                <w:rtl/>
                <w:lang w:bidi="fa-IR"/>
              </w:rPr>
              <w:t>يُدْخِلُ</w:t>
            </w:r>
            <w:r w:rsidR="00FB4A23" w:rsidRPr="001F2956">
              <w:rPr>
                <w:rStyle w:val="Hyperlink"/>
                <w:noProof/>
                <w:rtl/>
                <w:lang w:bidi="fa-IR"/>
              </w:rPr>
              <w:t xml:space="preserve"> </w:t>
            </w:r>
            <w:r w:rsidR="00FB4A23" w:rsidRPr="001F2956">
              <w:rPr>
                <w:rStyle w:val="Hyperlink"/>
                <w:rFonts w:hint="eastAsia"/>
                <w:noProof/>
                <w:rtl/>
                <w:lang w:bidi="fa-IR"/>
              </w:rPr>
              <w:t>يَدَهُ</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الْإِنَاءِ</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rPr>
              <w:t xml:space="preserve"> </w:t>
            </w:r>
            <w:r w:rsidR="00FB4A23" w:rsidRPr="001F2956">
              <w:rPr>
                <w:rStyle w:val="Hyperlink"/>
                <w:rFonts w:hint="eastAsia"/>
                <w:noProof/>
                <w:rtl/>
                <w:lang w:bidi="fa-IR"/>
              </w:rPr>
              <w:t>قَبْلَ</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يَغْسِلَهَا</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وَالْحَدِّ</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غَسْلِ</w:t>
            </w:r>
          </w:hyperlink>
          <w:r w:rsidR="00FB4A23">
            <w:rPr>
              <w:rStyle w:val="Hyperlink"/>
              <w:rFonts w:hint="cs"/>
              <w:noProof/>
              <w:rtl/>
            </w:rPr>
            <w:t xml:space="preserve"> </w:t>
          </w:r>
          <w:hyperlink w:anchor="_Toc40975844" w:history="1">
            <w:r w:rsidR="00FB4A23" w:rsidRPr="001F2956">
              <w:rPr>
                <w:rStyle w:val="Hyperlink"/>
                <w:rFonts w:hint="eastAsia"/>
                <w:noProof/>
                <w:rtl/>
                <w:lang w:bidi="fa-IR"/>
              </w:rPr>
              <w:t>الْيَدَيْنِ</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الْجَنَابَةِ</w:t>
            </w:r>
            <w:r w:rsidR="00FB4A23" w:rsidRPr="001F2956">
              <w:rPr>
                <w:rStyle w:val="Hyperlink"/>
                <w:noProof/>
                <w:rtl/>
                <w:lang w:bidi="fa-IR"/>
              </w:rPr>
              <w:t xml:space="preserve"> </w:t>
            </w:r>
            <w:r w:rsidR="00FB4A23" w:rsidRPr="001F2956">
              <w:rPr>
                <w:rStyle w:val="Hyperlink"/>
                <w:rFonts w:hint="eastAsia"/>
                <w:noProof/>
                <w:rtl/>
                <w:lang w:bidi="fa-IR"/>
              </w:rPr>
              <w:t>وَالْبَوْلِ</w:t>
            </w:r>
            <w:r w:rsidR="00FB4A23" w:rsidRPr="001F2956">
              <w:rPr>
                <w:rStyle w:val="Hyperlink"/>
                <w:noProof/>
                <w:rtl/>
                <w:lang w:bidi="fa-IR"/>
              </w:rPr>
              <w:t xml:space="preserve"> </w:t>
            </w:r>
            <w:r w:rsidR="00FB4A23" w:rsidRPr="001F2956">
              <w:rPr>
                <w:rStyle w:val="Hyperlink"/>
                <w:rFonts w:hint="eastAsia"/>
                <w:noProof/>
                <w:rtl/>
                <w:lang w:bidi="fa-IR"/>
              </w:rPr>
              <w:t>وَالْغَائِطِ</w:t>
            </w:r>
            <w:r w:rsidR="00FB4A23" w:rsidRPr="001F2956">
              <w:rPr>
                <w:rStyle w:val="Hyperlink"/>
                <w:noProof/>
                <w:rtl/>
                <w:lang w:bidi="fa-IR"/>
              </w:rPr>
              <w:t xml:space="preserve"> </w:t>
            </w:r>
            <w:r w:rsidR="00FB4A23" w:rsidRPr="001F2956">
              <w:rPr>
                <w:rStyle w:val="Hyperlink"/>
                <w:rFonts w:hint="eastAsia"/>
                <w:noProof/>
                <w:rtl/>
                <w:lang w:bidi="fa-IR"/>
              </w:rPr>
              <w:t>وَالنَّوْمِ‌</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40975844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45</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45" w:history="1">
            <w:r w:rsidR="00FB4A23" w:rsidRPr="001F2956">
              <w:rPr>
                <w:rStyle w:val="Hyperlink"/>
                <w:noProof/>
                <w:rtl/>
                <w:lang w:bidi="fa-IR"/>
              </w:rPr>
              <w:t xml:space="preserve">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اخْتِلَاطِ</w:t>
            </w:r>
            <w:r w:rsidR="00FB4A23" w:rsidRPr="001F2956">
              <w:rPr>
                <w:rStyle w:val="Hyperlink"/>
                <w:noProof/>
                <w:rtl/>
                <w:lang w:bidi="fa-IR"/>
              </w:rPr>
              <w:t xml:space="preserve"> </w:t>
            </w:r>
            <w:r w:rsidR="00FB4A23" w:rsidRPr="001F2956">
              <w:rPr>
                <w:rStyle w:val="Hyperlink"/>
                <w:rFonts w:hint="eastAsia"/>
                <w:noProof/>
                <w:rtl/>
                <w:lang w:bidi="fa-IR"/>
              </w:rPr>
              <w:t>مَاءِ</w:t>
            </w:r>
            <w:r w:rsidR="00FB4A23" w:rsidRPr="001F2956">
              <w:rPr>
                <w:rStyle w:val="Hyperlink"/>
                <w:noProof/>
                <w:rtl/>
                <w:lang w:bidi="fa-IR"/>
              </w:rPr>
              <w:t xml:space="preserve"> </w:t>
            </w:r>
            <w:r w:rsidR="00FB4A23" w:rsidRPr="001F2956">
              <w:rPr>
                <w:rStyle w:val="Hyperlink"/>
                <w:rFonts w:hint="eastAsia"/>
                <w:noProof/>
                <w:rtl/>
                <w:lang w:bidi="fa-IR"/>
              </w:rPr>
              <w:t>الْمَطَرِ</w:t>
            </w:r>
            <w:r w:rsidR="00FB4A23" w:rsidRPr="001F2956">
              <w:rPr>
                <w:rStyle w:val="Hyperlink"/>
                <w:noProof/>
                <w:rtl/>
                <w:lang w:bidi="fa-IR"/>
              </w:rPr>
              <w:t xml:space="preserve"> </w:t>
            </w:r>
            <w:r w:rsidR="00FB4A23" w:rsidRPr="001F2956">
              <w:rPr>
                <w:rStyle w:val="Hyperlink"/>
                <w:rFonts w:hint="eastAsia"/>
                <w:noProof/>
                <w:rtl/>
                <w:lang w:bidi="fa-IR"/>
              </w:rPr>
              <w:t>بِالْبَوْلِ</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يَرْجِعُ</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الْإِنَاءِ</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غُسَالَةِ</w:t>
            </w:r>
          </w:hyperlink>
          <w:r w:rsidR="00FB4A23">
            <w:rPr>
              <w:rStyle w:val="Hyperlink"/>
              <w:rFonts w:hint="cs"/>
              <w:noProof/>
              <w:rtl/>
            </w:rPr>
            <w:t xml:space="preserve"> </w:t>
          </w:r>
          <w:hyperlink w:anchor="_Toc40975846" w:history="1">
            <w:r w:rsidR="00FB4A23" w:rsidRPr="001F2956">
              <w:rPr>
                <w:rStyle w:val="Hyperlink"/>
                <w:rFonts w:hint="eastAsia"/>
                <w:noProof/>
                <w:rtl/>
                <w:lang w:bidi="fa-IR"/>
              </w:rPr>
              <w:t>الْجُنُبِ</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وَالرَّجُلِ</w:t>
            </w:r>
            <w:r w:rsidR="00FB4A23" w:rsidRPr="001F2956">
              <w:rPr>
                <w:rStyle w:val="Hyperlink"/>
                <w:noProof/>
                <w:rtl/>
                <w:lang w:bidi="fa-IR"/>
              </w:rPr>
              <w:t xml:space="preserve"> </w:t>
            </w:r>
            <w:r w:rsidR="00FB4A23" w:rsidRPr="001F2956">
              <w:rPr>
                <w:rStyle w:val="Hyperlink"/>
                <w:rFonts w:hint="eastAsia"/>
                <w:noProof/>
                <w:rtl/>
                <w:lang w:bidi="fa-IR"/>
              </w:rPr>
              <w:t>يَقَعُ</w:t>
            </w:r>
            <w:r w:rsidR="00FB4A23" w:rsidRPr="001F2956">
              <w:rPr>
                <w:rStyle w:val="Hyperlink"/>
                <w:noProof/>
                <w:rtl/>
                <w:lang w:bidi="fa-IR"/>
              </w:rPr>
              <w:t xml:space="preserve"> </w:t>
            </w:r>
            <w:r w:rsidR="00FB4A23" w:rsidRPr="001F2956">
              <w:rPr>
                <w:rStyle w:val="Hyperlink"/>
                <w:rFonts w:hint="eastAsia"/>
                <w:noProof/>
                <w:rtl/>
                <w:lang w:bidi="fa-IR"/>
              </w:rPr>
              <w:t>ثَوْبُهُ</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يَسْتَنْجِي</w:t>
            </w:r>
            <w:r w:rsidR="00FB4A23" w:rsidRPr="001F2956">
              <w:rPr>
                <w:rStyle w:val="Hyperlink"/>
                <w:noProof/>
                <w:rtl/>
                <w:lang w:bidi="fa-IR"/>
              </w:rPr>
              <w:t xml:space="preserve"> </w:t>
            </w:r>
            <w:r w:rsidR="00FB4A23" w:rsidRPr="001F2956">
              <w:rPr>
                <w:rStyle w:val="Hyperlink"/>
                <w:rFonts w:hint="eastAsia"/>
                <w:noProof/>
                <w:rtl/>
                <w:lang w:bidi="fa-IR"/>
              </w:rPr>
              <w:t>بِهِ‌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40975846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47" w:history="1">
            <w:r w:rsidR="00FB4A23" w:rsidRPr="001F2956">
              <w:rPr>
                <w:rStyle w:val="Hyperlink"/>
                <w:noProof/>
                <w:rtl/>
                <w:lang w:bidi="fa-IR"/>
              </w:rPr>
              <w:t xml:space="preserve">10 -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مَاءِ</w:t>
            </w:r>
            <w:r w:rsidR="00FB4A23" w:rsidRPr="001F2956">
              <w:rPr>
                <w:rStyle w:val="Hyperlink"/>
                <w:noProof/>
                <w:rtl/>
                <w:lang w:bidi="fa-IR"/>
              </w:rPr>
              <w:t xml:space="preserve"> </w:t>
            </w:r>
            <w:r w:rsidR="00FB4A23" w:rsidRPr="001F2956">
              <w:rPr>
                <w:rStyle w:val="Hyperlink"/>
                <w:rFonts w:hint="eastAsia"/>
                <w:noProof/>
                <w:rtl/>
                <w:lang w:bidi="fa-IR"/>
              </w:rPr>
              <w:t>الْحَمَّامِ</w:t>
            </w:r>
            <w:r w:rsidR="00FB4A23" w:rsidRPr="001F2956">
              <w:rPr>
                <w:rStyle w:val="Hyperlink"/>
                <w:noProof/>
                <w:rtl/>
                <w:lang w:bidi="fa-IR"/>
              </w:rPr>
              <w:t xml:space="preserve"> </w:t>
            </w:r>
            <w:r w:rsidR="00FB4A23" w:rsidRPr="001F2956">
              <w:rPr>
                <w:rStyle w:val="Hyperlink"/>
                <w:rFonts w:hint="eastAsia"/>
                <w:noProof/>
                <w:rtl/>
                <w:lang w:bidi="fa-IR"/>
              </w:rPr>
              <w:t>وَالْمَاءِ</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تُسَخِّنُهُ</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الشَّمْسُ‌</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40975847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48" w:history="1">
            <w:r w:rsidR="00FB4A23" w:rsidRPr="001F2956">
              <w:rPr>
                <w:rStyle w:val="Hyperlink"/>
                <w:noProof/>
                <w:rtl/>
                <w:lang w:bidi="fa-IR"/>
              </w:rPr>
              <w:t xml:space="preserve">11 -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الْمَوْضِعِ</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يُكْرَهُ</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يُتَغَوَّطَ</w:t>
            </w:r>
            <w:r w:rsidR="00FB4A23" w:rsidRPr="001F2956">
              <w:rPr>
                <w:rStyle w:val="Hyperlink"/>
                <w:noProof/>
                <w:rtl/>
                <w:lang w:bidi="fa-IR"/>
              </w:rPr>
              <w:t xml:space="preserve"> </w:t>
            </w:r>
            <w:r w:rsidR="00FB4A23" w:rsidRPr="001F2956">
              <w:rPr>
                <w:rStyle w:val="Hyperlink"/>
                <w:rFonts w:hint="eastAsia"/>
                <w:noProof/>
                <w:rtl/>
                <w:lang w:bidi="fa-IR"/>
              </w:rPr>
              <w:t>فِيهِ</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يُبَالَ‌</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40975848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57</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49" w:history="1">
            <w:r w:rsidR="00FB4A23" w:rsidRPr="001F2956">
              <w:rPr>
                <w:rStyle w:val="Hyperlink"/>
                <w:noProof/>
                <w:rtl/>
                <w:lang w:bidi="fa-IR"/>
              </w:rPr>
              <w:t xml:space="preserve">12 -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الْقَوْلِ</w:t>
            </w:r>
            <w:r w:rsidR="00FB4A23" w:rsidRPr="001F2956">
              <w:rPr>
                <w:rStyle w:val="Hyperlink"/>
                <w:noProof/>
                <w:rtl/>
                <w:lang w:bidi="fa-IR"/>
              </w:rPr>
              <w:t xml:space="preserve"> </w:t>
            </w:r>
            <w:r w:rsidR="00FB4A23" w:rsidRPr="001F2956">
              <w:rPr>
                <w:rStyle w:val="Hyperlink"/>
                <w:rFonts w:hint="eastAsia"/>
                <w:noProof/>
                <w:rtl/>
                <w:lang w:bidi="fa-IR"/>
              </w:rPr>
              <w:t>عِنْدَ</w:t>
            </w:r>
            <w:r w:rsidR="00FB4A23" w:rsidRPr="001F2956">
              <w:rPr>
                <w:rStyle w:val="Hyperlink"/>
                <w:noProof/>
                <w:rtl/>
                <w:lang w:bidi="fa-IR"/>
              </w:rPr>
              <w:t xml:space="preserve"> </w:t>
            </w:r>
            <w:r w:rsidR="00FB4A23" w:rsidRPr="001F2956">
              <w:rPr>
                <w:rStyle w:val="Hyperlink"/>
                <w:rFonts w:hint="eastAsia"/>
                <w:noProof/>
                <w:rtl/>
                <w:lang w:bidi="fa-IR"/>
              </w:rPr>
              <w:t>دُخُولِ</w:t>
            </w:r>
            <w:r w:rsidR="00FB4A23" w:rsidRPr="001F2956">
              <w:rPr>
                <w:rStyle w:val="Hyperlink"/>
                <w:noProof/>
                <w:rtl/>
                <w:lang w:bidi="fa-IR"/>
              </w:rPr>
              <w:t xml:space="preserve"> </w:t>
            </w:r>
            <w:r w:rsidR="00FB4A23" w:rsidRPr="001F2956">
              <w:rPr>
                <w:rStyle w:val="Hyperlink"/>
                <w:rFonts w:hint="eastAsia"/>
                <w:noProof/>
                <w:rtl/>
                <w:lang w:bidi="fa-IR"/>
              </w:rPr>
              <w:t>الْخَلَاءِ</w:t>
            </w:r>
            <w:r w:rsidR="00FB4A23" w:rsidRPr="001F2956">
              <w:rPr>
                <w:rStyle w:val="Hyperlink"/>
                <w:noProof/>
                <w:rtl/>
                <w:lang w:bidi="fa-IR"/>
              </w:rPr>
              <w:t xml:space="preserve"> </w:t>
            </w:r>
            <w:r w:rsidR="00FB4A23" w:rsidRPr="001F2956">
              <w:rPr>
                <w:rStyle w:val="Hyperlink"/>
                <w:rFonts w:hint="eastAsia"/>
                <w:noProof/>
                <w:rtl/>
                <w:lang w:bidi="fa-IR"/>
              </w:rPr>
              <w:t>وَعِنْدَ</w:t>
            </w:r>
            <w:r w:rsidR="00FB4A23" w:rsidRPr="001F2956">
              <w:rPr>
                <w:rStyle w:val="Hyperlink"/>
                <w:noProof/>
                <w:rtl/>
                <w:lang w:bidi="fa-IR"/>
              </w:rPr>
              <w:t xml:space="preserve"> </w:t>
            </w:r>
            <w:r w:rsidR="00FB4A23" w:rsidRPr="001F2956">
              <w:rPr>
                <w:rStyle w:val="Hyperlink"/>
                <w:rFonts w:hint="eastAsia"/>
                <w:noProof/>
                <w:rtl/>
                <w:lang w:bidi="fa-IR"/>
              </w:rPr>
              <w:t>الْخُرُوجِ</w:t>
            </w:r>
            <w:r w:rsidR="00FB4A23" w:rsidRPr="001F2956">
              <w:rPr>
                <w:rStyle w:val="Hyperlink"/>
                <w:noProof/>
                <w:rtl/>
                <w:lang w:bidi="fa-IR"/>
              </w:rPr>
              <w:t xml:space="preserve"> </w:t>
            </w:r>
            <w:r w:rsidR="00FB4A23" w:rsidRPr="001F2956">
              <w:rPr>
                <w:rStyle w:val="Hyperlink"/>
                <w:rFonts w:hint="eastAsia"/>
                <w:noProof/>
                <w:rtl/>
                <w:lang w:bidi="fa-IR"/>
              </w:rPr>
              <w:t>وَالاسْتِنْجَاءِ</w:t>
            </w:r>
            <w:r w:rsidR="00FB4A23" w:rsidRPr="001F2956">
              <w:rPr>
                <w:rStyle w:val="Hyperlink"/>
                <w:noProof/>
                <w:rtl/>
                <w:lang w:bidi="fa-IR"/>
              </w:rPr>
              <w:t xml:space="preserve"> </w:t>
            </w:r>
            <w:r w:rsidR="00FB4A23" w:rsidRPr="001F2956">
              <w:rPr>
                <w:rStyle w:val="Hyperlink"/>
                <w:rFonts w:hint="eastAsia"/>
                <w:noProof/>
                <w:rtl/>
                <w:lang w:bidi="fa-IR"/>
              </w:rPr>
              <w:t>وَمَنْ</w:t>
            </w:r>
          </w:hyperlink>
          <w:r w:rsidR="00FB4A23">
            <w:rPr>
              <w:rStyle w:val="Hyperlink"/>
              <w:rFonts w:hint="cs"/>
              <w:noProof/>
              <w:rtl/>
            </w:rPr>
            <w:t xml:space="preserve"> </w:t>
          </w:r>
          <w:hyperlink w:anchor="_Toc40975850" w:history="1">
            <w:r w:rsidR="00FB4A23" w:rsidRPr="001F2956">
              <w:rPr>
                <w:rStyle w:val="Hyperlink"/>
                <w:rFonts w:hint="eastAsia"/>
                <w:noProof/>
                <w:rtl/>
                <w:lang w:bidi="fa-IR"/>
              </w:rPr>
              <w:t>نَسِيَهُ</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وَالتَّسْمِيَةِ</w:t>
            </w:r>
            <w:r w:rsidR="00FB4A23" w:rsidRPr="001F2956">
              <w:rPr>
                <w:rStyle w:val="Hyperlink"/>
                <w:noProof/>
                <w:rtl/>
                <w:lang w:bidi="fa-IR"/>
              </w:rPr>
              <w:t xml:space="preserve"> </w:t>
            </w:r>
            <w:r w:rsidR="00FB4A23" w:rsidRPr="001F2956">
              <w:rPr>
                <w:rStyle w:val="Hyperlink"/>
                <w:noProof/>
                <w:vertAlign w:val="superscript"/>
                <w:rtl/>
              </w:rPr>
              <w:t>(5)</w:t>
            </w:r>
            <w:r w:rsidR="00FB4A23" w:rsidRPr="001F2956">
              <w:rPr>
                <w:rStyle w:val="Hyperlink"/>
                <w:noProof/>
                <w:rtl/>
              </w:rPr>
              <w:t xml:space="preserve"> </w:t>
            </w:r>
            <w:r w:rsidR="00FB4A23" w:rsidRPr="001F2956">
              <w:rPr>
                <w:rStyle w:val="Hyperlink"/>
                <w:rFonts w:hint="eastAsia"/>
                <w:noProof/>
                <w:rtl/>
                <w:lang w:bidi="fa-IR"/>
              </w:rPr>
              <w:t>عِنْدَ</w:t>
            </w:r>
            <w:r w:rsidR="00FB4A23" w:rsidRPr="001F2956">
              <w:rPr>
                <w:rStyle w:val="Hyperlink"/>
                <w:noProof/>
                <w:rtl/>
                <w:lang w:bidi="fa-IR"/>
              </w:rPr>
              <w:t xml:space="preserve"> </w:t>
            </w:r>
            <w:r w:rsidR="00FB4A23" w:rsidRPr="001F2956">
              <w:rPr>
                <w:rStyle w:val="Hyperlink"/>
                <w:rFonts w:hint="eastAsia"/>
                <w:noProof/>
                <w:rtl/>
                <w:lang w:bidi="fa-IR"/>
              </w:rPr>
              <w:t>الْوُضُوءِ‌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51" w:history="1">
            <w:r w:rsidR="00FB4A23" w:rsidRPr="001F2956">
              <w:rPr>
                <w:rStyle w:val="Hyperlink"/>
                <w:noProof/>
                <w:rtl/>
                <w:lang w:bidi="fa-IR"/>
              </w:rPr>
              <w:t xml:space="preserve">13 -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الاسْتِبْرَاءِ</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الْبَوْلِ</w:t>
            </w:r>
            <w:r w:rsidR="00FB4A23" w:rsidRPr="001F2956">
              <w:rPr>
                <w:rStyle w:val="Hyperlink"/>
                <w:noProof/>
                <w:rtl/>
                <w:lang w:bidi="fa-IR"/>
              </w:rPr>
              <w:t xml:space="preserve"> </w:t>
            </w:r>
            <w:r w:rsidR="00FB4A23" w:rsidRPr="001F2956">
              <w:rPr>
                <w:rStyle w:val="Hyperlink"/>
                <w:rFonts w:hint="eastAsia"/>
                <w:noProof/>
                <w:rtl/>
                <w:lang w:bidi="fa-IR"/>
              </w:rPr>
              <w:t>وَغَسْلِهِ</w:t>
            </w:r>
            <w:r w:rsidR="00FB4A23" w:rsidRPr="001F2956">
              <w:rPr>
                <w:rStyle w:val="Hyperlink"/>
                <w:noProof/>
                <w:rtl/>
                <w:lang w:bidi="fa-IR"/>
              </w:rPr>
              <w:t xml:space="preserve"> </w:t>
            </w:r>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لَمْ</w:t>
            </w:r>
            <w:r w:rsidR="00FB4A23" w:rsidRPr="001F2956">
              <w:rPr>
                <w:rStyle w:val="Hyperlink"/>
                <w:noProof/>
                <w:rtl/>
                <w:lang w:bidi="fa-IR"/>
              </w:rPr>
              <w:t xml:space="preserve"> </w:t>
            </w:r>
            <w:r w:rsidR="00FB4A23" w:rsidRPr="001F2956">
              <w:rPr>
                <w:rStyle w:val="Hyperlink"/>
                <w:rFonts w:hint="eastAsia"/>
                <w:noProof/>
                <w:rtl/>
                <w:lang w:bidi="fa-IR"/>
              </w:rPr>
              <w:t>يَجِدِ</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69</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52" w:history="1">
            <w:r w:rsidR="00FB4A23" w:rsidRPr="001F2956">
              <w:rPr>
                <w:rStyle w:val="Hyperlink"/>
                <w:noProof/>
                <w:rtl/>
                <w:lang w:bidi="fa-IR"/>
              </w:rPr>
              <w:t xml:space="preserve">14 -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مِقْدَارِ</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يُجْزِئُ</w:t>
            </w:r>
            <w:r w:rsidR="00FB4A23" w:rsidRPr="001F2956">
              <w:rPr>
                <w:rStyle w:val="Hyperlink"/>
                <w:noProof/>
                <w:rtl/>
                <w:lang w:bidi="fa-IR"/>
              </w:rPr>
              <w:t xml:space="preserve"> </w:t>
            </w:r>
            <w:r w:rsidR="00FB4A23" w:rsidRPr="001F2956">
              <w:rPr>
                <w:rStyle w:val="Hyperlink"/>
                <w:rFonts w:hint="eastAsia"/>
                <w:noProof/>
                <w:rtl/>
                <w:lang w:bidi="fa-IR"/>
              </w:rPr>
              <w:t>لِلْوُضُوءِ</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rPr>
              <w:t xml:space="preserve"> </w:t>
            </w:r>
            <w:r w:rsidR="00FB4A23" w:rsidRPr="001F2956">
              <w:rPr>
                <w:rStyle w:val="Hyperlink"/>
                <w:rFonts w:hint="eastAsia"/>
                <w:noProof/>
                <w:rtl/>
                <w:lang w:bidi="fa-IR"/>
              </w:rPr>
              <w:t>وَالْغُسْلِ</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rPr>
              <w:t xml:space="preserve"> </w:t>
            </w:r>
            <w:r w:rsidR="00FB4A23" w:rsidRPr="001F2956">
              <w:rPr>
                <w:rStyle w:val="Hyperlink"/>
                <w:rFonts w:hint="eastAsia"/>
                <w:noProof/>
                <w:rtl/>
                <w:lang w:bidi="fa-IR"/>
              </w:rPr>
              <w:t>،</w:t>
            </w:r>
          </w:hyperlink>
          <w:r w:rsidR="00FB4A23">
            <w:rPr>
              <w:rStyle w:val="Hyperlink"/>
              <w:rFonts w:hint="cs"/>
              <w:noProof/>
              <w:rtl/>
            </w:rPr>
            <w:t xml:space="preserve"> </w:t>
          </w:r>
          <w:hyperlink w:anchor="_Toc40975853" w:history="1">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تَعَدّى</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الْوُضُوءِ‌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75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54" w:history="1">
            <w:r w:rsidR="00FB4A23" w:rsidRPr="001F2956">
              <w:rPr>
                <w:rStyle w:val="Hyperlink"/>
                <w:noProof/>
                <w:rtl/>
                <w:lang w:bidi="fa-IR"/>
              </w:rPr>
              <w:t xml:space="preserve">15 -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السِّوَاكِ</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80</w:t>
            </w:r>
            <w:r w:rsidR="00FB4A23">
              <w:rPr>
                <w:noProof/>
                <w:webHidden/>
                <w:rtl/>
              </w:rPr>
              <w:fldChar w:fldCharType="end"/>
            </w:r>
          </w:hyperlink>
        </w:p>
        <w:p w:rsidR="00FB4A23" w:rsidRDefault="00FB4A23" w:rsidP="00FB4A23">
          <w:pPr>
            <w:pStyle w:val="libNormal"/>
            <w:rPr>
              <w:rStyle w:val="Hyperlink"/>
              <w:noProof/>
            </w:rPr>
          </w:pPr>
          <w:r>
            <w:rPr>
              <w:rStyle w:val="Hyperlink"/>
              <w:noProof/>
            </w:rPr>
            <w:br w:type="page"/>
          </w:r>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55" w:history="1">
            <w:r w:rsidR="00FB4A23" w:rsidRPr="001F2956">
              <w:rPr>
                <w:rStyle w:val="Hyperlink"/>
                <w:noProof/>
                <w:rtl/>
                <w:lang w:bidi="fa-IR"/>
              </w:rPr>
              <w:t xml:space="preserve">16 -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الْمَضْمَضَةِ</w:t>
            </w:r>
            <w:r w:rsidR="00FB4A23" w:rsidRPr="001F2956">
              <w:rPr>
                <w:rStyle w:val="Hyperlink"/>
                <w:noProof/>
                <w:rtl/>
                <w:lang w:bidi="fa-IR"/>
              </w:rPr>
              <w:t xml:space="preserve"> </w:t>
            </w:r>
            <w:r w:rsidR="00FB4A23" w:rsidRPr="001F2956">
              <w:rPr>
                <w:rStyle w:val="Hyperlink"/>
                <w:noProof/>
                <w:vertAlign w:val="superscript"/>
                <w:rtl/>
              </w:rPr>
              <w:t>(5)</w:t>
            </w:r>
            <w:r w:rsidR="00FB4A23" w:rsidRPr="001F2956">
              <w:rPr>
                <w:rStyle w:val="Hyperlink"/>
                <w:noProof/>
                <w:rtl/>
              </w:rPr>
              <w:t xml:space="preserve"> </w:t>
            </w:r>
            <w:r w:rsidR="00FB4A23" w:rsidRPr="001F2956">
              <w:rPr>
                <w:rStyle w:val="Hyperlink"/>
                <w:rFonts w:hint="eastAsia"/>
                <w:noProof/>
                <w:rtl/>
                <w:lang w:bidi="fa-IR"/>
              </w:rPr>
              <w:t>وَالاسْتِنْشَاقِ</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83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56" w:history="1">
            <w:r w:rsidR="00FB4A23" w:rsidRPr="001F2956">
              <w:rPr>
                <w:rStyle w:val="Hyperlink"/>
                <w:noProof/>
                <w:rtl/>
                <w:lang w:bidi="fa-IR"/>
              </w:rPr>
              <w:t xml:space="preserve">17 -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صِفَةِ</w:t>
            </w:r>
            <w:r w:rsidR="00FB4A23" w:rsidRPr="001F2956">
              <w:rPr>
                <w:rStyle w:val="Hyperlink"/>
                <w:noProof/>
                <w:rtl/>
                <w:lang w:bidi="fa-IR"/>
              </w:rPr>
              <w:t xml:space="preserve"> </w:t>
            </w:r>
            <w:r w:rsidR="00FB4A23" w:rsidRPr="001F2956">
              <w:rPr>
                <w:rStyle w:val="Hyperlink"/>
                <w:rFonts w:hint="eastAsia"/>
                <w:noProof/>
                <w:rtl/>
                <w:lang w:bidi="fa-IR"/>
              </w:rPr>
              <w:t>الْوُضُوءِ‌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84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57" w:history="1">
            <w:r w:rsidR="00FB4A23" w:rsidRPr="001F2956">
              <w:rPr>
                <w:rStyle w:val="Hyperlink"/>
                <w:noProof/>
                <w:rtl/>
                <w:lang w:bidi="fa-IR"/>
              </w:rPr>
              <w:t xml:space="preserve">18 -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حَدِّ</w:t>
            </w:r>
            <w:r w:rsidR="00FB4A23" w:rsidRPr="001F2956">
              <w:rPr>
                <w:rStyle w:val="Hyperlink"/>
                <w:noProof/>
                <w:rtl/>
                <w:lang w:bidi="fa-IR"/>
              </w:rPr>
              <w:t xml:space="preserve"> </w:t>
            </w:r>
            <w:r w:rsidR="00FB4A23" w:rsidRPr="001F2956">
              <w:rPr>
                <w:rStyle w:val="Hyperlink"/>
                <w:rFonts w:hint="eastAsia"/>
                <w:noProof/>
                <w:rtl/>
                <w:lang w:bidi="fa-IR"/>
              </w:rPr>
              <w:t>الْوَجْهِ</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يُغْسَلُ</w:t>
            </w:r>
            <w:r w:rsidR="00FB4A23" w:rsidRPr="001F2956">
              <w:rPr>
                <w:rStyle w:val="Hyperlink"/>
                <w:noProof/>
                <w:rtl/>
                <w:lang w:bidi="fa-IR"/>
              </w:rPr>
              <w:t xml:space="preserve"> </w:t>
            </w:r>
            <w:r w:rsidR="00FB4A23" w:rsidRPr="001F2956">
              <w:rPr>
                <w:rStyle w:val="Hyperlink"/>
                <w:rFonts w:hint="eastAsia"/>
                <w:noProof/>
                <w:rtl/>
                <w:lang w:bidi="fa-IR"/>
              </w:rPr>
              <w:t>وَالذِّرَاعَيْنِ</w:t>
            </w:r>
            <w:r w:rsidR="00FB4A23" w:rsidRPr="001F2956">
              <w:rPr>
                <w:rStyle w:val="Hyperlink"/>
                <w:noProof/>
                <w:rtl/>
                <w:lang w:bidi="fa-IR"/>
              </w:rPr>
              <w:t xml:space="preserve"> </w:t>
            </w:r>
            <w:r w:rsidR="00FB4A23" w:rsidRPr="001F2956">
              <w:rPr>
                <w:rStyle w:val="Hyperlink"/>
                <w:rFonts w:hint="eastAsia"/>
                <w:noProof/>
                <w:rtl/>
                <w:lang w:bidi="fa-IR"/>
              </w:rPr>
              <w:t>وَكَيْفَ</w:t>
            </w:r>
            <w:r w:rsidR="00FB4A23" w:rsidRPr="001F2956">
              <w:rPr>
                <w:rStyle w:val="Hyperlink"/>
                <w:noProof/>
                <w:rtl/>
                <w:lang w:bidi="fa-IR"/>
              </w:rPr>
              <w:t xml:space="preserve"> </w:t>
            </w:r>
            <w:r w:rsidR="00FB4A23" w:rsidRPr="001F2956">
              <w:rPr>
                <w:rStyle w:val="Hyperlink"/>
                <w:rFonts w:hint="eastAsia"/>
                <w:noProof/>
                <w:rtl/>
                <w:lang w:bidi="fa-IR"/>
              </w:rPr>
              <w:t>يُغْسَلُ‌</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95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58" w:history="1">
            <w:r w:rsidR="00FB4A23" w:rsidRPr="001F2956">
              <w:rPr>
                <w:rStyle w:val="Hyperlink"/>
                <w:noProof/>
                <w:rtl/>
                <w:lang w:bidi="fa-IR"/>
              </w:rPr>
              <w:t xml:space="preserve">19 -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مَسْحِ</w:t>
            </w:r>
            <w:r w:rsidR="00FB4A23" w:rsidRPr="001F2956">
              <w:rPr>
                <w:rStyle w:val="Hyperlink"/>
                <w:noProof/>
                <w:rtl/>
                <w:lang w:bidi="fa-IR"/>
              </w:rPr>
              <w:t xml:space="preserve"> </w:t>
            </w:r>
            <w:r w:rsidR="00FB4A23" w:rsidRPr="001F2956">
              <w:rPr>
                <w:rStyle w:val="Hyperlink"/>
                <w:rFonts w:hint="eastAsia"/>
                <w:noProof/>
                <w:rtl/>
                <w:lang w:bidi="fa-IR"/>
              </w:rPr>
              <w:t>الرَّأْسِ</w:t>
            </w:r>
            <w:r w:rsidR="00FB4A23" w:rsidRPr="001F2956">
              <w:rPr>
                <w:rStyle w:val="Hyperlink"/>
                <w:noProof/>
                <w:rtl/>
                <w:lang w:bidi="fa-IR"/>
              </w:rPr>
              <w:t xml:space="preserve"> </w:t>
            </w:r>
            <w:r w:rsidR="00FB4A23" w:rsidRPr="001F2956">
              <w:rPr>
                <w:rStyle w:val="Hyperlink"/>
                <w:rFonts w:hint="eastAsia"/>
                <w:noProof/>
                <w:rtl/>
                <w:lang w:bidi="fa-IR"/>
              </w:rPr>
              <w:t>وَالْقَدَمَيْنِ‌</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101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59" w:history="1">
            <w:r w:rsidR="00FB4A23" w:rsidRPr="001F2956">
              <w:rPr>
                <w:rStyle w:val="Hyperlink"/>
                <w:noProof/>
                <w:rtl/>
                <w:lang w:bidi="fa-IR"/>
              </w:rPr>
              <w:t xml:space="preserve">20 -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مَسْحِ</w:t>
            </w:r>
            <w:r w:rsidR="00FB4A23" w:rsidRPr="001F2956">
              <w:rPr>
                <w:rStyle w:val="Hyperlink"/>
                <w:noProof/>
                <w:rtl/>
                <w:lang w:bidi="fa-IR"/>
              </w:rPr>
              <w:t xml:space="preserve"> </w:t>
            </w:r>
            <w:r w:rsidR="00FB4A23" w:rsidRPr="001F2956">
              <w:rPr>
                <w:rStyle w:val="Hyperlink"/>
                <w:rFonts w:hint="eastAsia"/>
                <w:noProof/>
                <w:rtl/>
                <w:lang w:bidi="fa-IR"/>
              </w:rPr>
              <w:t>الْخُفِّ</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40975859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108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0" w:history="1">
            <w:r w:rsidR="00FB4A23" w:rsidRPr="001F2956">
              <w:rPr>
                <w:rStyle w:val="Hyperlink"/>
                <w:noProof/>
                <w:rtl/>
              </w:rPr>
              <w:t xml:space="preserve">21 - </w:t>
            </w:r>
            <w:r w:rsidR="00FB4A23" w:rsidRPr="001F2956">
              <w:rPr>
                <w:rStyle w:val="Hyperlink"/>
                <w:rFonts w:hint="eastAsia"/>
                <w:noProof/>
                <w:rtl/>
              </w:rPr>
              <w:t>بَابُ</w:t>
            </w:r>
            <w:r w:rsidR="00FB4A23" w:rsidRPr="001F2956">
              <w:rPr>
                <w:rStyle w:val="Hyperlink"/>
                <w:noProof/>
                <w:rtl/>
              </w:rPr>
              <w:t xml:space="preserve"> </w:t>
            </w:r>
            <w:r w:rsidR="00FB4A23" w:rsidRPr="001F2956">
              <w:rPr>
                <w:rStyle w:val="Hyperlink"/>
                <w:rFonts w:hint="eastAsia"/>
                <w:noProof/>
                <w:rtl/>
              </w:rPr>
              <w:t>الْجَبَائِرِ</w:t>
            </w:r>
            <w:r w:rsidR="00FB4A23" w:rsidRPr="001F2956">
              <w:rPr>
                <w:rStyle w:val="Hyperlink"/>
                <w:noProof/>
                <w:rtl/>
              </w:rPr>
              <w:t xml:space="preserve"> </w:t>
            </w:r>
            <w:r w:rsidR="00FB4A23" w:rsidRPr="001F2956">
              <w:rPr>
                <w:rStyle w:val="Hyperlink"/>
                <w:noProof/>
                <w:vertAlign w:val="superscript"/>
                <w:rtl/>
              </w:rPr>
              <w:t>(4)</w:t>
            </w:r>
            <w:r w:rsidR="00FB4A23" w:rsidRPr="001F2956">
              <w:rPr>
                <w:rStyle w:val="Hyperlink"/>
                <w:noProof/>
                <w:rtl/>
              </w:rPr>
              <w:t xml:space="preserve"> </w:t>
            </w:r>
            <w:r w:rsidR="00FB4A23" w:rsidRPr="001F2956">
              <w:rPr>
                <w:rStyle w:val="Hyperlink"/>
                <w:rFonts w:hint="eastAsia"/>
                <w:noProof/>
                <w:rtl/>
              </w:rPr>
              <w:t>وَالْقُرُوحِ</w:t>
            </w:r>
            <w:r w:rsidR="00FB4A23" w:rsidRPr="001F2956">
              <w:rPr>
                <w:rStyle w:val="Hyperlink"/>
                <w:noProof/>
                <w:rtl/>
              </w:rPr>
              <w:t xml:space="preserve"> </w:t>
            </w:r>
            <w:r w:rsidR="00FB4A23" w:rsidRPr="001F2956">
              <w:rPr>
                <w:rStyle w:val="Hyperlink"/>
                <w:noProof/>
                <w:vertAlign w:val="superscript"/>
                <w:rtl/>
              </w:rPr>
              <w:t>(5)</w:t>
            </w:r>
            <w:r w:rsidR="00FB4A23" w:rsidRPr="001F2956">
              <w:rPr>
                <w:rStyle w:val="Hyperlink"/>
                <w:noProof/>
                <w:rtl/>
              </w:rPr>
              <w:t xml:space="preserve"> </w:t>
            </w:r>
            <w:r w:rsidR="00FB4A23" w:rsidRPr="001F2956">
              <w:rPr>
                <w:rStyle w:val="Hyperlink"/>
                <w:rFonts w:hint="eastAsia"/>
                <w:noProof/>
                <w:rtl/>
              </w:rPr>
              <w:t>وَالْجِرَاحَاتِ‌</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109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1" w:history="1">
            <w:r w:rsidR="00FB4A23" w:rsidRPr="001F2956">
              <w:rPr>
                <w:rStyle w:val="Hyperlink"/>
                <w:noProof/>
                <w:rtl/>
                <w:lang w:bidi="fa-IR"/>
              </w:rPr>
              <w:t xml:space="preserve">22 -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الشَّكِّ</w:t>
            </w:r>
            <w:r w:rsidR="00FB4A23" w:rsidRPr="001F2956">
              <w:rPr>
                <w:rStyle w:val="Hyperlink"/>
                <w:noProof/>
                <w:rtl/>
                <w:lang w:bidi="fa-IR"/>
              </w:rPr>
              <w:t xml:space="preserve"> </w:t>
            </w:r>
            <w:r w:rsidR="00FB4A23" w:rsidRPr="001F2956">
              <w:rPr>
                <w:rStyle w:val="Hyperlink"/>
                <w:noProof/>
                <w:vertAlign w:val="superscript"/>
                <w:rtl/>
              </w:rPr>
              <w:t>(7)</w:t>
            </w:r>
            <w:r w:rsidR="00FB4A23" w:rsidRPr="001F2956">
              <w:rPr>
                <w:rStyle w:val="Hyperlink"/>
                <w:noProof/>
                <w:rtl/>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الْوُضُوءِ</w:t>
            </w:r>
            <w:r w:rsidR="00FB4A23" w:rsidRPr="001F2956">
              <w:rPr>
                <w:rStyle w:val="Hyperlink"/>
                <w:noProof/>
                <w:rtl/>
                <w:lang w:bidi="fa-IR"/>
              </w:rPr>
              <w:t xml:space="preserve"> </w:t>
            </w:r>
            <w:r w:rsidR="00FB4A23" w:rsidRPr="001F2956">
              <w:rPr>
                <w:rStyle w:val="Hyperlink"/>
                <w:rFonts w:hint="eastAsia"/>
                <w:noProof/>
                <w:rtl/>
                <w:lang w:bidi="fa-IR"/>
              </w:rPr>
              <w:t>وَ</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نَسِيَهُ</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rPr>
              <w:t xml:space="preserve"> </w:t>
            </w:r>
            <w:r w:rsidR="00FB4A23" w:rsidRPr="001F2956">
              <w:rPr>
                <w:rStyle w:val="Hyperlink"/>
                <w:rFonts w:hint="eastAsia"/>
                <w:noProof/>
                <w:rtl/>
                <w:lang w:bidi="fa-IR"/>
              </w:rPr>
              <w:t>قَدَّمَ</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أَخَّرَ‌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112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2" w:history="1">
            <w:r w:rsidR="00FB4A23" w:rsidRPr="001F2956">
              <w:rPr>
                <w:rStyle w:val="Hyperlink"/>
                <w:noProof/>
                <w:rtl/>
                <w:lang w:bidi="fa-IR"/>
              </w:rPr>
              <w:t xml:space="preserve">23 -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يَنْقُضُ</w:t>
            </w:r>
            <w:r w:rsidR="00FB4A23" w:rsidRPr="001F2956">
              <w:rPr>
                <w:rStyle w:val="Hyperlink"/>
                <w:noProof/>
                <w:rtl/>
                <w:lang w:bidi="fa-IR"/>
              </w:rPr>
              <w:t xml:space="preserve"> </w:t>
            </w:r>
            <w:r w:rsidR="00FB4A23" w:rsidRPr="001F2956">
              <w:rPr>
                <w:rStyle w:val="Hyperlink"/>
                <w:rFonts w:hint="eastAsia"/>
                <w:noProof/>
                <w:rtl/>
                <w:lang w:bidi="fa-IR"/>
              </w:rPr>
              <w:t>الْوُضُوءَ</w:t>
            </w:r>
            <w:r w:rsidR="00FB4A23" w:rsidRPr="001F2956">
              <w:rPr>
                <w:rStyle w:val="Hyperlink"/>
                <w:noProof/>
                <w:rtl/>
                <w:lang w:bidi="fa-IR"/>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لَايَنْقُضُهُ‌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120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3" w:history="1">
            <w:r w:rsidR="00FB4A23" w:rsidRPr="001F2956">
              <w:rPr>
                <w:rStyle w:val="Hyperlink"/>
                <w:noProof/>
                <w:rtl/>
                <w:lang w:bidi="fa-IR"/>
              </w:rPr>
              <w:t xml:space="preserve">24 -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sidRPr="001F2956">
              <w:rPr>
                <w:rStyle w:val="Hyperlink"/>
                <w:noProof/>
                <w:rtl/>
                <w:lang w:bidi="fa-IR"/>
              </w:rPr>
              <w:t xml:space="preserve"> </w:t>
            </w:r>
            <w:r w:rsidR="00FB4A23" w:rsidRPr="001F2956">
              <w:rPr>
                <w:rStyle w:val="Hyperlink"/>
                <w:rFonts w:hint="eastAsia"/>
                <w:noProof/>
                <w:rtl/>
                <w:lang w:bidi="fa-IR"/>
              </w:rPr>
              <w:t>يَطَأُ</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الْعَذِرَةِ</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غَيْرِهَا</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الْقَذَرِ</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129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4" w:history="1">
            <w:r w:rsidR="00FB4A23" w:rsidRPr="001F2956">
              <w:rPr>
                <w:rStyle w:val="Hyperlink"/>
                <w:noProof/>
                <w:rtl/>
                <w:lang w:bidi="fa-IR"/>
              </w:rPr>
              <w:t xml:space="preserve">25 -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الْمَذْيِ</w:t>
            </w:r>
            <w:r w:rsidR="00FB4A23" w:rsidRPr="001F2956">
              <w:rPr>
                <w:rStyle w:val="Hyperlink"/>
                <w:noProof/>
                <w:rtl/>
                <w:lang w:bidi="fa-IR"/>
              </w:rPr>
              <w:t xml:space="preserve"> </w:t>
            </w:r>
            <w:r w:rsidR="00FB4A23" w:rsidRPr="001F2956">
              <w:rPr>
                <w:rStyle w:val="Hyperlink"/>
                <w:rFonts w:hint="eastAsia"/>
                <w:noProof/>
                <w:rtl/>
                <w:lang w:bidi="fa-IR"/>
              </w:rPr>
              <w:t>وَالْوَدْيِ</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131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5" w:history="1">
            <w:r w:rsidR="00FB4A23" w:rsidRPr="001F2956">
              <w:rPr>
                <w:rStyle w:val="Hyperlink"/>
                <w:noProof/>
                <w:rtl/>
                <w:lang w:bidi="fa-IR"/>
              </w:rPr>
              <w:t xml:space="preserve">26 -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أَنْوَاعِ</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134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6" w:history="1">
            <w:r w:rsidR="00FB4A23" w:rsidRPr="001F2956">
              <w:rPr>
                <w:rStyle w:val="Hyperlink"/>
                <w:noProof/>
                <w:rtl/>
                <w:lang w:bidi="fa-IR"/>
              </w:rPr>
              <w:t xml:space="preserve">27 -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يُجْزِئُ</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sidRPr="001F2956">
              <w:rPr>
                <w:rStyle w:val="Hyperlink"/>
                <w:noProof/>
                <w:rtl/>
                <w:lang w:bidi="fa-IR"/>
              </w:rPr>
              <w:t xml:space="preserve"> </w:t>
            </w:r>
            <w:r w:rsidR="00FB4A23" w:rsidRPr="001F2956">
              <w:rPr>
                <w:rStyle w:val="Hyperlink"/>
                <w:rFonts w:hint="eastAsia"/>
                <w:noProof/>
                <w:rtl/>
                <w:lang w:bidi="fa-IR"/>
              </w:rPr>
              <w:t>مِنْهُ</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rPr>
              <w:t xml:space="preserve"> </w:t>
            </w:r>
            <w:r w:rsidR="00FB4A23" w:rsidRPr="001F2956">
              <w:rPr>
                <w:rStyle w:val="Hyperlink"/>
                <w:rFonts w:hint="eastAsia"/>
                <w:noProof/>
                <w:rtl/>
                <w:lang w:bidi="fa-IR"/>
              </w:rPr>
              <w:t>إِذَا</w:t>
            </w:r>
            <w:r w:rsidR="00FB4A23" w:rsidRPr="001F2956">
              <w:rPr>
                <w:rStyle w:val="Hyperlink"/>
                <w:noProof/>
                <w:rtl/>
                <w:lang w:bidi="fa-IR"/>
              </w:rPr>
              <w:t xml:space="preserve"> </w:t>
            </w:r>
            <w:r w:rsidR="00FB4A23" w:rsidRPr="001F2956">
              <w:rPr>
                <w:rStyle w:val="Hyperlink"/>
                <w:rFonts w:hint="eastAsia"/>
                <w:noProof/>
                <w:rtl/>
                <w:lang w:bidi="fa-IR"/>
              </w:rPr>
              <w:t>اجْتَمَعَ‌</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136</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7" w:history="1">
            <w:r w:rsidR="00FB4A23" w:rsidRPr="001F2956">
              <w:rPr>
                <w:rStyle w:val="Hyperlink"/>
                <w:noProof/>
                <w:rtl/>
                <w:lang w:bidi="fa-IR"/>
              </w:rPr>
              <w:t xml:space="preserve">28 -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وُجُوبِ</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sidRPr="001F2956">
              <w:rPr>
                <w:rStyle w:val="Hyperlink"/>
                <w:noProof/>
                <w:rtl/>
                <w:lang w:bidi="fa-IR"/>
              </w:rPr>
              <w:t xml:space="preserve"> </w:t>
            </w:r>
            <w:r w:rsidR="00FB4A23" w:rsidRPr="001F2956">
              <w:rPr>
                <w:rStyle w:val="Hyperlink"/>
                <w:rFonts w:hint="eastAsia"/>
                <w:noProof/>
                <w:rtl/>
                <w:lang w:bidi="fa-IR"/>
              </w:rPr>
              <w:t>يَوْمَ</w:t>
            </w:r>
            <w:r w:rsidR="00FB4A23" w:rsidRPr="001F2956">
              <w:rPr>
                <w:rStyle w:val="Hyperlink"/>
                <w:noProof/>
                <w:rtl/>
                <w:lang w:bidi="fa-IR"/>
              </w:rPr>
              <w:t xml:space="preserve"> </w:t>
            </w:r>
            <w:r w:rsidR="00FB4A23" w:rsidRPr="001F2956">
              <w:rPr>
                <w:rStyle w:val="Hyperlink"/>
                <w:rFonts w:hint="eastAsia"/>
                <w:noProof/>
                <w:rtl/>
                <w:lang w:bidi="fa-IR"/>
              </w:rPr>
              <w:t>الْجُمُعَةِ‌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137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8" w:history="1">
            <w:r w:rsidR="00FB4A23" w:rsidRPr="001F2956">
              <w:rPr>
                <w:rStyle w:val="Hyperlink"/>
                <w:noProof/>
                <w:rtl/>
                <w:lang w:bidi="fa-IR"/>
              </w:rPr>
              <w:t xml:space="preserve">29 -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صِفَةِ</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sidRPr="001F2956">
              <w:rPr>
                <w:rStyle w:val="Hyperlink"/>
                <w:noProof/>
                <w:rtl/>
                <w:lang w:bidi="fa-IR"/>
              </w:rPr>
              <w:t xml:space="preserve"> </w:t>
            </w:r>
            <w:r w:rsidR="00FB4A23" w:rsidRPr="001F2956">
              <w:rPr>
                <w:rStyle w:val="Hyperlink"/>
                <w:rFonts w:hint="eastAsia"/>
                <w:noProof/>
                <w:rtl/>
                <w:lang w:bidi="fa-IR"/>
              </w:rPr>
              <w:t>وَالْوُضُوءِ</w:t>
            </w:r>
            <w:r w:rsidR="00FB4A23" w:rsidRPr="001F2956">
              <w:rPr>
                <w:rStyle w:val="Hyperlink"/>
                <w:noProof/>
                <w:rtl/>
                <w:lang w:bidi="fa-IR"/>
              </w:rPr>
              <w:t xml:space="preserve"> </w:t>
            </w:r>
            <w:r w:rsidR="00FB4A23" w:rsidRPr="001F2956">
              <w:rPr>
                <w:rStyle w:val="Hyperlink"/>
                <w:rFonts w:hint="eastAsia"/>
                <w:noProof/>
                <w:rtl/>
                <w:lang w:bidi="fa-IR"/>
              </w:rPr>
              <w:t>قَبْلَهُ</w:t>
            </w:r>
            <w:r w:rsidR="00FB4A23" w:rsidRPr="001F2956">
              <w:rPr>
                <w:rStyle w:val="Hyperlink"/>
                <w:noProof/>
                <w:rtl/>
                <w:lang w:bidi="fa-IR"/>
              </w:rPr>
              <w:t xml:space="preserve"> </w:t>
            </w:r>
            <w:r w:rsidR="00FB4A23" w:rsidRPr="001F2956">
              <w:rPr>
                <w:rStyle w:val="Hyperlink"/>
                <w:rFonts w:hint="eastAsia"/>
                <w:noProof/>
                <w:rtl/>
                <w:lang w:bidi="fa-IR"/>
              </w:rPr>
              <w:t>وَبَعْدَهُ</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وَالرَّجُلِ</w:t>
            </w:r>
            <w:r w:rsidR="00FB4A23" w:rsidRPr="001F2956">
              <w:rPr>
                <w:rStyle w:val="Hyperlink"/>
                <w:noProof/>
                <w:rtl/>
                <w:lang w:bidi="fa-IR"/>
              </w:rPr>
              <w:t xml:space="preserve"> </w:t>
            </w:r>
            <w:r w:rsidR="00FB4A23" w:rsidRPr="001F2956">
              <w:rPr>
                <w:rStyle w:val="Hyperlink"/>
                <w:rFonts w:hint="eastAsia"/>
                <w:noProof/>
                <w:rtl/>
                <w:lang w:bidi="fa-IR"/>
              </w:rPr>
              <w:t>يَغْتَسِلُ</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مَكَانٍ</w:t>
            </w:r>
            <w:r w:rsidR="00FB4A23" w:rsidRPr="001F2956">
              <w:rPr>
                <w:rStyle w:val="Hyperlink"/>
                <w:noProof/>
                <w:rtl/>
                <w:lang w:bidi="fa-IR"/>
              </w:rPr>
              <w:t xml:space="preserve"> </w:t>
            </w:r>
            <w:r w:rsidR="00FB4A23" w:rsidRPr="001F2956">
              <w:rPr>
                <w:rStyle w:val="Hyperlink"/>
                <w:rFonts w:hint="eastAsia"/>
                <w:noProof/>
                <w:rtl/>
                <w:lang w:bidi="fa-IR"/>
              </w:rPr>
              <w:t>غَيْرِ</w:t>
            </w:r>
            <w:r w:rsidR="00FB4A23" w:rsidRPr="001F2956">
              <w:rPr>
                <w:rStyle w:val="Hyperlink"/>
                <w:noProof/>
                <w:rtl/>
                <w:lang w:bidi="fa-IR"/>
              </w:rPr>
              <w:t xml:space="preserve"> </w:t>
            </w:r>
            <w:r w:rsidR="00FB4A23" w:rsidRPr="001F2956">
              <w:rPr>
                <w:rStyle w:val="Hyperlink"/>
                <w:rFonts w:hint="eastAsia"/>
                <w:noProof/>
                <w:rtl/>
                <w:lang w:bidi="fa-IR"/>
              </w:rPr>
              <w:t>طَيِّبٍ</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يُقَالُ</w:t>
            </w:r>
            <w:r w:rsidR="00FB4A23" w:rsidRPr="001F2956">
              <w:rPr>
                <w:rStyle w:val="Hyperlink"/>
                <w:noProof/>
                <w:rtl/>
                <w:lang w:bidi="fa-IR"/>
              </w:rPr>
              <w:t xml:space="preserve"> </w:t>
            </w:r>
            <w:r w:rsidR="00FB4A23" w:rsidRPr="001F2956">
              <w:rPr>
                <w:rStyle w:val="Hyperlink"/>
                <w:rFonts w:hint="eastAsia"/>
                <w:noProof/>
                <w:rtl/>
                <w:lang w:bidi="fa-IR"/>
              </w:rPr>
              <w:t>عِنْدَ</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وَتَحْوِيلِ</w:t>
            </w:r>
            <w:r w:rsidR="00FB4A23" w:rsidRPr="001F2956">
              <w:rPr>
                <w:rStyle w:val="Hyperlink"/>
                <w:noProof/>
                <w:rtl/>
                <w:lang w:bidi="fa-IR"/>
              </w:rPr>
              <w:t xml:space="preserve"> </w:t>
            </w:r>
            <w:r w:rsidR="00FB4A23" w:rsidRPr="001F2956">
              <w:rPr>
                <w:rStyle w:val="Hyperlink"/>
                <w:rFonts w:hint="eastAsia"/>
                <w:noProof/>
                <w:rtl/>
                <w:lang w:bidi="fa-IR"/>
              </w:rPr>
              <w:t>الْخَاتَمِ</w:t>
            </w:r>
            <w:r w:rsidR="00FB4A23" w:rsidRPr="001F2956">
              <w:rPr>
                <w:rStyle w:val="Hyperlink"/>
                <w:noProof/>
                <w:rtl/>
                <w:lang w:bidi="fa-IR"/>
              </w:rPr>
              <w:t xml:space="preserve"> </w:t>
            </w:r>
            <w:r w:rsidR="00FB4A23" w:rsidRPr="001F2956">
              <w:rPr>
                <w:rStyle w:val="Hyperlink"/>
                <w:rFonts w:hint="eastAsia"/>
                <w:noProof/>
                <w:rtl/>
                <w:lang w:bidi="fa-IR"/>
              </w:rPr>
              <w:t>عِنْدَ</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143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69" w:history="1">
            <w:r w:rsidR="00FB4A23" w:rsidRPr="001F2956">
              <w:rPr>
                <w:rStyle w:val="Hyperlink"/>
                <w:noProof/>
                <w:rtl/>
                <w:lang w:bidi="fa-IR"/>
              </w:rPr>
              <w:t xml:space="preserve">30 -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يُوجِبُ</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sidRPr="001F2956">
              <w:rPr>
                <w:rStyle w:val="Hyperlink"/>
                <w:noProof/>
                <w:rtl/>
                <w:lang w:bidi="fa-IR"/>
              </w:rPr>
              <w:t xml:space="preserve"> </w:t>
            </w:r>
            <w:r w:rsidR="00FB4A23" w:rsidRPr="001F2956">
              <w:rPr>
                <w:rStyle w:val="Hyperlink"/>
                <w:rFonts w:hint="eastAsia"/>
                <w:noProof/>
                <w:rtl/>
                <w:lang w:bidi="fa-IR"/>
              </w:rPr>
              <w:t>وَالْمَرْأَةِ‌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40975869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154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70" w:history="1">
            <w:r w:rsidR="00FB4A23" w:rsidRPr="001F2956">
              <w:rPr>
                <w:rStyle w:val="Hyperlink"/>
                <w:noProof/>
                <w:rtl/>
                <w:lang w:bidi="fa-IR"/>
              </w:rPr>
              <w:t xml:space="preserve">31 -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احْتِلَامِ</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sidRPr="001F2956">
              <w:rPr>
                <w:rStyle w:val="Hyperlink"/>
                <w:noProof/>
                <w:rtl/>
                <w:lang w:bidi="fa-IR"/>
              </w:rPr>
              <w:t xml:space="preserve"> </w:t>
            </w:r>
            <w:r w:rsidR="00FB4A23" w:rsidRPr="001F2956">
              <w:rPr>
                <w:rStyle w:val="Hyperlink"/>
                <w:rFonts w:hint="eastAsia"/>
                <w:noProof/>
                <w:rtl/>
                <w:lang w:bidi="fa-IR"/>
              </w:rPr>
              <w:t>وَالْمَرْأَةِ‌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40975870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158</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71" w:history="1">
            <w:r w:rsidR="00FB4A23" w:rsidRPr="001F2956">
              <w:rPr>
                <w:rStyle w:val="Hyperlink"/>
                <w:noProof/>
                <w:rtl/>
                <w:lang w:bidi="fa-IR"/>
              </w:rPr>
              <w:t xml:space="preserve">32 -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sidRPr="001F2956">
              <w:rPr>
                <w:rStyle w:val="Hyperlink"/>
                <w:noProof/>
                <w:rtl/>
                <w:lang w:bidi="fa-IR"/>
              </w:rPr>
              <w:t xml:space="preserve"> </w:t>
            </w:r>
            <w:r w:rsidR="00FB4A23" w:rsidRPr="001F2956">
              <w:rPr>
                <w:rStyle w:val="Hyperlink"/>
                <w:rFonts w:hint="eastAsia"/>
                <w:noProof/>
                <w:rtl/>
                <w:lang w:bidi="fa-IR"/>
              </w:rPr>
              <w:t>وَالْمَرْأَةِ</w:t>
            </w:r>
            <w:r w:rsidR="00FB4A23" w:rsidRPr="001F2956">
              <w:rPr>
                <w:rStyle w:val="Hyperlink"/>
                <w:noProof/>
                <w:rtl/>
                <w:lang w:bidi="fa-IR"/>
              </w:rPr>
              <w:t xml:space="preserve"> </w:t>
            </w:r>
            <w:r w:rsidR="00FB4A23" w:rsidRPr="001F2956">
              <w:rPr>
                <w:rStyle w:val="Hyperlink"/>
                <w:rFonts w:hint="eastAsia"/>
                <w:noProof/>
                <w:rtl/>
                <w:lang w:bidi="fa-IR"/>
              </w:rPr>
              <w:t>يَغْتَسِلَانِ</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الْجَنَابَةِ</w:t>
            </w:r>
            <w:r w:rsidR="00FB4A23" w:rsidRPr="001F2956">
              <w:rPr>
                <w:rStyle w:val="Hyperlink"/>
                <w:noProof/>
                <w:rtl/>
                <w:lang w:bidi="fa-IR"/>
              </w:rPr>
              <w:t xml:space="preserve"> </w:t>
            </w:r>
            <w:r w:rsidR="00FB4A23" w:rsidRPr="001F2956">
              <w:rPr>
                <w:rStyle w:val="Hyperlink"/>
                <w:rFonts w:hint="eastAsia"/>
                <w:noProof/>
                <w:rtl/>
                <w:lang w:bidi="fa-IR"/>
              </w:rPr>
              <w:t>،</w:t>
            </w:r>
          </w:hyperlink>
          <w:r w:rsidR="00FB4A23">
            <w:rPr>
              <w:rStyle w:val="Hyperlink"/>
              <w:rFonts w:hint="cs"/>
              <w:noProof/>
              <w:rtl/>
            </w:rPr>
            <w:t xml:space="preserve"> </w:t>
          </w:r>
          <w:hyperlink w:anchor="_Toc40975872" w:history="1">
            <w:r w:rsidR="00FB4A23" w:rsidRPr="001F2956">
              <w:rPr>
                <w:rStyle w:val="Hyperlink"/>
                <w:rFonts w:hint="eastAsia"/>
                <w:noProof/>
                <w:rtl/>
                <w:lang w:bidi="fa-IR"/>
              </w:rPr>
              <w:t>ثُمَّ</w:t>
            </w:r>
            <w:r w:rsidR="00FB4A23" w:rsidRPr="001F2956">
              <w:rPr>
                <w:rStyle w:val="Hyperlink"/>
                <w:noProof/>
                <w:rtl/>
                <w:lang w:bidi="fa-IR"/>
              </w:rPr>
              <w:t xml:space="preserve"> </w:t>
            </w:r>
            <w:r w:rsidR="00FB4A23" w:rsidRPr="001F2956">
              <w:rPr>
                <w:rStyle w:val="Hyperlink"/>
                <w:rFonts w:hint="eastAsia"/>
                <w:noProof/>
                <w:rtl/>
                <w:lang w:bidi="fa-IR"/>
              </w:rPr>
              <w:t>يَخْرُجُ</w:t>
            </w:r>
            <w:r w:rsidR="00FB4A23" w:rsidRPr="001F2956">
              <w:rPr>
                <w:rStyle w:val="Hyperlink"/>
                <w:noProof/>
                <w:rtl/>
                <w:lang w:bidi="fa-IR"/>
              </w:rPr>
              <w:t xml:space="preserve"> </w:t>
            </w:r>
            <w:r w:rsidR="00FB4A23" w:rsidRPr="001F2956">
              <w:rPr>
                <w:rStyle w:val="Hyperlink"/>
                <w:rFonts w:hint="eastAsia"/>
                <w:noProof/>
                <w:rtl/>
                <w:lang w:bidi="fa-IR"/>
              </w:rPr>
              <w:t>مِنْهُمَا</w:t>
            </w:r>
            <w:r w:rsidR="00FB4A23" w:rsidRPr="001F2956">
              <w:rPr>
                <w:rStyle w:val="Hyperlink"/>
                <w:noProof/>
                <w:rtl/>
                <w:lang w:bidi="fa-IR"/>
              </w:rPr>
              <w:t xml:space="preserve"> </w:t>
            </w:r>
            <w:r w:rsidR="00FB4A23" w:rsidRPr="001F2956">
              <w:rPr>
                <w:rStyle w:val="Hyperlink"/>
                <w:rFonts w:hint="eastAsia"/>
                <w:noProof/>
                <w:rtl/>
                <w:lang w:bidi="fa-IR"/>
              </w:rPr>
              <w:t>شَيْ‌ءٌ</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بَعْدَ</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40975872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162</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73" w:history="1">
            <w:r w:rsidR="00FB4A23" w:rsidRPr="001F2956">
              <w:rPr>
                <w:rStyle w:val="Hyperlink"/>
                <w:noProof/>
                <w:rtl/>
                <w:lang w:bidi="fa-IR"/>
              </w:rPr>
              <w:t xml:space="preserve">33 -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الْجُنُبِ</w:t>
            </w:r>
            <w:r w:rsidR="00FB4A23" w:rsidRPr="001F2956">
              <w:rPr>
                <w:rStyle w:val="Hyperlink"/>
                <w:noProof/>
                <w:rtl/>
                <w:lang w:bidi="fa-IR"/>
              </w:rPr>
              <w:t xml:space="preserve"> </w:t>
            </w:r>
            <w:r w:rsidR="00FB4A23" w:rsidRPr="001F2956">
              <w:rPr>
                <w:rStyle w:val="Hyperlink"/>
                <w:rFonts w:hint="eastAsia"/>
                <w:noProof/>
                <w:rtl/>
                <w:lang w:bidi="fa-IR"/>
              </w:rPr>
              <w:t>يَأْكُلُ</w:t>
            </w:r>
            <w:r w:rsidR="00FB4A23" w:rsidRPr="001F2956">
              <w:rPr>
                <w:rStyle w:val="Hyperlink"/>
                <w:noProof/>
                <w:rtl/>
                <w:lang w:bidi="fa-IR"/>
              </w:rPr>
              <w:t xml:space="preserve"> </w:t>
            </w:r>
            <w:r w:rsidR="00FB4A23" w:rsidRPr="001F2956">
              <w:rPr>
                <w:rStyle w:val="Hyperlink"/>
                <w:rFonts w:hint="eastAsia"/>
                <w:noProof/>
                <w:rtl/>
                <w:lang w:bidi="fa-IR"/>
              </w:rPr>
              <w:t>وَيَشْرَبُ</w:t>
            </w:r>
            <w:r w:rsidR="00FB4A23" w:rsidRPr="001F2956">
              <w:rPr>
                <w:rStyle w:val="Hyperlink"/>
                <w:noProof/>
                <w:rtl/>
                <w:lang w:bidi="fa-IR"/>
              </w:rPr>
              <w:t xml:space="preserve"> </w:t>
            </w:r>
            <w:r w:rsidR="00FB4A23" w:rsidRPr="001F2956">
              <w:rPr>
                <w:rStyle w:val="Hyperlink"/>
                <w:rFonts w:hint="eastAsia"/>
                <w:noProof/>
                <w:rtl/>
                <w:lang w:bidi="fa-IR"/>
              </w:rPr>
              <w:t>وَيَقْرَأُ</w:t>
            </w:r>
            <w:r w:rsidR="00FB4A23" w:rsidRPr="001F2956">
              <w:rPr>
                <w:rStyle w:val="Hyperlink"/>
                <w:noProof/>
                <w:rtl/>
                <w:lang w:bidi="fa-IR"/>
              </w:rPr>
              <w:t xml:space="preserve"> </w:t>
            </w:r>
            <w:r w:rsidR="00FB4A23" w:rsidRPr="001F2956">
              <w:rPr>
                <w:rStyle w:val="Hyperlink"/>
                <w:rFonts w:hint="eastAsia"/>
                <w:noProof/>
                <w:rtl/>
                <w:lang w:bidi="fa-IR"/>
              </w:rPr>
              <w:t>وَيَدْخُلُ</w:t>
            </w:r>
            <w:r w:rsidR="00FB4A23" w:rsidRPr="001F2956">
              <w:rPr>
                <w:rStyle w:val="Hyperlink"/>
                <w:noProof/>
                <w:rtl/>
                <w:lang w:bidi="fa-IR"/>
              </w:rPr>
              <w:t xml:space="preserve"> </w:t>
            </w:r>
            <w:r w:rsidR="00FB4A23" w:rsidRPr="001F2956">
              <w:rPr>
                <w:rStyle w:val="Hyperlink"/>
                <w:rFonts w:hint="eastAsia"/>
                <w:noProof/>
                <w:rtl/>
                <w:lang w:bidi="fa-IR"/>
              </w:rPr>
              <w:t>الْمَسْجِدَ</w:t>
            </w:r>
          </w:hyperlink>
          <w:r w:rsidR="00FB4A23">
            <w:rPr>
              <w:rStyle w:val="Hyperlink"/>
              <w:rFonts w:hint="cs"/>
              <w:noProof/>
              <w:rtl/>
            </w:rPr>
            <w:t xml:space="preserve"> </w:t>
          </w:r>
          <w:hyperlink w:anchor="_Toc40975874" w:history="1">
            <w:r w:rsidR="00FB4A23" w:rsidRPr="001F2956">
              <w:rPr>
                <w:rStyle w:val="Hyperlink"/>
                <w:rFonts w:hint="eastAsia"/>
                <w:noProof/>
                <w:rtl/>
                <w:lang w:bidi="fa-IR"/>
              </w:rPr>
              <w:t>وَيَخْتَضِبُ</w:t>
            </w:r>
            <w:r w:rsidR="00FB4A23" w:rsidRPr="001F2956">
              <w:rPr>
                <w:rStyle w:val="Hyperlink"/>
                <w:noProof/>
                <w:rtl/>
                <w:lang w:bidi="fa-IR"/>
              </w:rPr>
              <w:t xml:space="preserve"> </w:t>
            </w:r>
            <w:r w:rsidR="00FB4A23" w:rsidRPr="001F2956">
              <w:rPr>
                <w:rStyle w:val="Hyperlink"/>
                <w:rFonts w:hint="eastAsia"/>
                <w:noProof/>
                <w:rtl/>
                <w:lang w:bidi="fa-IR"/>
              </w:rPr>
              <w:t>وَيَدَّهِنُ</w:t>
            </w:r>
            <w:r w:rsidR="00FB4A23" w:rsidRPr="001F2956">
              <w:rPr>
                <w:rStyle w:val="Hyperlink"/>
                <w:noProof/>
                <w:rtl/>
                <w:lang w:bidi="fa-IR"/>
              </w:rPr>
              <w:t xml:space="preserve"> </w:t>
            </w:r>
            <w:r w:rsidR="00FB4A23" w:rsidRPr="001F2956">
              <w:rPr>
                <w:rStyle w:val="Hyperlink"/>
                <w:rFonts w:hint="eastAsia"/>
                <w:noProof/>
                <w:rtl/>
                <w:lang w:bidi="fa-IR"/>
              </w:rPr>
              <w:t>وَيَطَّلِي</w:t>
            </w:r>
            <w:r w:rsidR="00FB4A23" w:rsidRPr="001F2956">
              <w:rPr>
                <w:rStyle w:val="Hyperlink"/>
                <w:noProof/>
                <w:rtl/>
                <w:lang w:bidi="fa-IR"/>
              </w:rPr>
              <w:t xml:space="preserve"> </w:t>
            </w:r>
            <w:r w:rsidR="00FB4A23" w:rsidRPr="001F2956">
              <w:rPr>
                <w:rStyle w:val="Hyperlink"/>
                <w:rFonts w:hint="eastAsia"/>
                <w:noProof/>
                <w:rtl/>
                <w:lang w:bidi="fa-IR"/>
              </w:rPr>
              <w:t>وَيَحْتَجِمُ‌</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40975874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164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75" w:history="1">
            <w:r w:rsidR="00FB4A23" w:rsidRPr="001F2956">
              <w:rPr>
                <w:rStyle w:val="Hyperlink"/>
                <w:noProof/>
                <w:rtl/>
                <w:lang w:bidi="fa-IR"/>
              </w:rPr>
              <w:t xml:space="preserve">34 -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الْجُنُبِ</w:t>
            </w:r>
            <w:r w:rsidR="00FB4A23" w:rsidRPr="001F2956">
              <w:rPr>
                <w:rStyle w:val="Hyperlink"/>
                <w:noProof/>
                <w:rtl/>
                <w:lang w:bidi="fa-IR"/>
              </w:rPr>
              <w:t xml:space="preserve"> </w:t>
            </w:r>
            <w:r w:rsidR="00FB4A23" w:rsidRPr="001F2956">
              <w:rPr>
                <w:rStyle w:val="Hyperlink"/>
                <w:rFonts w:hint="eastAsia"/>
                <w:noProof/>
                <w:rtl/>
                <w:lang w:bidi="fa-IR"/>
              </w:rPr>
              <w:t>يَعْرَقُ</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الثَّوْبِ</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يُصِيبُ</w:t>
            </w:r>
            <w:r w:rsidR="00FB4A23" w:rsidRPr="001F2956">
              <w:rPr>
                <w:rStyle w:val="Hyperlink"/>
                <w:noProof/>
                <w:rtl/>
                <w:lang w:bidi="fa-IR"/>
              </w:rPr>
              <w:t xml:space="preserve"> </w:t>
            </w:r>
            <w:r w:rsidR="00FB4A23" w:rsidRPr="001F2956">
              <w:rPr>
                <w:rStyle w:val="Hyperlink"/>
                <w:rFonts w:hint="eastAsia"/>
                <w:noProof/>
                <w:rtl/>
                <w:lang w:bidi="fa-IR"/>
              </w:rPr>
              <w:t>جَسَدُهُ</w:t>
            </w:r>
            <w:r w:rsidR="00FB4A23" w:rsidRPr="001F2956">
              <w:rPr>
                <w:rStyle w:val="Hyperlink"/>
                <w:noProof/>
                <w:rtl/>
                <w:lang w:bidi="fa-IR"/>
              </w:rPr>
              <w:t xml:space="preserve"> </w:t>
            </w:r>
            <w:r w:rsidR="00FB4A23" w:rsidRPr="001F2956">
              <w:rPr>
                <w:rStyle w:val="Hyperlink"/>
                <w:rFonts w:hint="eastAsia"/>
                <w:noProof/>
                <w:rtl/>
                <w:lang w:bidi="fa-IR"/>
              </w:rPr>
              <w:t>ثَوْبَهُ</w:t>
            </w:r>
            <w:r w:rsidR="00FB4A23" w:rsidRPr="001F2956">
              <w:rPr>
                <w:rStyle w:val="Hyperlink"/>
                <w:noProof/>
                <w:rtl/>
                <w:lang w:bidi="fa-IR"/>
              </w:rPr>
              <w:t xml:space="preserve"> </w:t>
            </w:r>
            <w:r w:rsidR="00FB4A23" w:rsidRPr="001F2956">
              <w:rPr>
                <w:rStyle w:val="Hyperlink"/>
                <w:rFonts w:hint="eastAsia"/>
                <w:noProof/>
                <w:rtl/>
                <w:lang w:bidi="fa-IR"/>
              </w:rPr>
              <w:t>وَهُوَ</w:t>
            </w:r>
            <w:r w:rsidR="00FB4A23" w:rsidRPr="001F2956">
              <w:rPr>
                <w:rStyle w:val="Hyperlink"/>
                <w:noProof/>
                <w:rtl/>
                <w:lang w:bidi="fa-IR"/>
              </w:rPr>
              <w:t xml:space="preserve"> </w:t>
            </w:r>
            <w:r w:rsidR="00FB4A23" w:rsidRPr="001F2956">
              <w:rPr>
                <w:rStyle w:val="Hyperlink"/>
                <w:rFonts w:hint="eastAsia"/>
                <w:noProof/>
                <w:rtl/>
                <w:lang w:bidi="fa-IR"/>
              </w:rPr>
              <w:t>رَطْبٌ‌</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40975875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169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76" w:history="1">
            <w:r w:rsidR="00FB4A23" w:rsidRPr="001F2956">
              <w:rPr>
                <w:rStyle w:val="Hyperlink"/>
                <w:noProof/>
                <w:rtl/>
                <w:lang w:bidi="fa-IR"/>
              </w:rPr>
              <w:t xml:space="preserve">35 -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الْمَنِيِّ</w:t>
            </w:r>
            <w:r w:rsidR="00FB4A23" w:rsidRPr="001F2956">
              <w:rPr>
                <w:rStyle w:val="Hyperlink"/>
                <w:noProof/>
                <w:rtl/>
                <w:lang w:bidi="fa-IR"/>
              </w:rPr>
              <w:t xml:space="preserve"> </w:t>
            </w:r>
            <w:r w:rsidR="00FB4A23" w:rsidRPr="001F2956">
              <w:rPr>
                <w:rStyle w:val="Hyperlink"/>
                <w:rFonts w:hint="eastAsia"/>
                <w:noProof/>
                <w:rtl/>
                <w:lang w:bidi="fa-IR"/>
              </w:rPr>
              <w:t>وَالْمَذْيِ</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rPr>
              <w:t xml:space="preserve"> </w:t>
            </w:r>
            <w:r w:rsidR="00FB4A23" w:rsidRPr="001F2956">
              <w:rPr>
                <w:rStyle w:val="Hyperlink"/>
                <w:rFonts w:hint="eastAsia"/>
                <w:noProof/>
                <w:rtl/>
                <w:lang w:bidi="fa-IR"/>
              </w:rPr>
              <w:t>يُصِيبَانِ</w:t>
            </w:r>
            <w:r w:rsidR="00FB4A23" w:rsidRPr="001F2956">
              <w:rPr>
                <w:rStyle w:val="Hyperlink"/>
                <w:noProof/>
                <w:rtl/>
                <w:lang w:bidi="fa-IR"/>
              </w:rPr>
              <w:t xml:space="preserve"> </w:t>
            </w:r>
            <w:r w:rsidR="00FB4A23" w:rsidRPr="001F2956">
              <w:rPr>
                <w:rStyle w:val="Hyperlink"/>
                <w:rFonts w:hint="eastAsia"/>
                <w:noProof/>
                <w:rtl/>
                <w:lang w:bidi="fa-IR"/>
              </w:rPr>
              <w:t>الثَّوْبَ</w:t>
            </w:r>
            <w:r w:rsidR="00FB4A23" w:rsidRPr="001F2956">
              <w:rPr>
                <w:rStyle w:val="Hyperlink"/>
                <w:noProof/>
                <w:rtl/>
                <w:lang w:bidi="fa-IR"/>
              </w:rPr>
              <w:t xml:space="preserve"> </w:t>
            </w:r>
            <w:r w:rsidR="00FB4A23" w:rsidRPr="001F2956">
              <w:rPr>
                <w:rStyle w:val="Hyperlink"/>
                <w:rFonts w:hint="eastAsia"/>
                <w:noProof/>
                <w:rtl/>
                <w:lang w:bidi="fa-IR"/>
              </w:rPr>
              <w:t>وَالْجَسَدَ</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40975876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172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77" w:history="1">
            <w:r w:rsidR="00FB4A23" w:rsidRPr="001F2956">
              <w:rPr>
                <w:rStyle w:val="Hyperlink"/>
                <w:noProof/>
                <w:rtl/>
                <w:lang w:bidi="fa-IR"/>
              </w:rPr>
              <w:t xml:space="preserve">36 -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الْبَوْلِ</w:t>
            </w:r>
            <w:r w:rsidR="00FB4A23" w:rsidRPr="001F2956">
              <w:rPr>
                <w:rStyle w:val="Hyperlink"/>
                <w:noProof/>
                <w:rtl/>
                <w:lang w:bidi="fa-IR"/>
              </w:rPr>
              <w:t xml:space="preserve"> </w:t>
            </w:r>
            <w:r w:rsidR="00FB4A23" w:rsidRPr="001F2956">
              <w:rPr>
                <w:rStyle w:val="Hyperlink"/>
                <w:rFonts w:hint="eastAsia"/>
                <w:noProof/>
                <w:rtl/>
                <w:lang w:bidi="fa-IR"/>
              </w:rPr>
              <w:t>يُصِيبُ</w:t>
            </w:r>
            <w:r w:rsidR="00FB4A23" w:rsidRPr="001F2956">
              <w:rPr>
                <w:rStyle w:val="Hyperlink"/>
                <w:noProof/>
                <w:rtl/>
                <w:lang w:bidi="fa-IR"/>
              </w:rPr>
              <w:t xml:space="preserve"> </w:t>
            </w:r>
            <w:r w:rsidR="00FB4A23" w:rsidRPr="001F2956">
              <w:rPr>
                <w:rStyle w:val="Hyperlink"/>
                <w:rFonts w:hint="eastAsia"/>
                <w:noProof/>
                <w:rtl/>
                <w:lang w:bidi="fa-IR"/>
              </w:rPr>
              <w:t>الثَّوْبَ</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rPr>
              <w:t xml:space="preserve"> </w:t>
            </w:r>
            <w:r w:rsidR="00FB4A23" w:rsidRPr="001F2956">
              <w:rPr>
                <w:rStyle w:val="Hyperlink"/>
                <w:rFonts w:hint="eastAsia"/>
                <w:noProof/>
                <w:rtl/>
                <w:lang w:bidi="fa-IR"/>
              </w:rPr>
              <w:t>الْجَسَدَ‌</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40975877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175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78" w:history="1">
            <w:r w:rsidR="00FB4A23" w:rsidRPr="001F2956">
              <w:rPr>
                <w:rStyle w:val="Hyperlink"/>
                <w:noProof/>
                <w:rtl/>
                <w:lang w:bidi="fa-IR"/>
              </w:rPr>
              <w:t xml:space="preserve">37 -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أَبْوَالِ</w:t>
            </w:r>
            <w:r w:rsidR="00FB4A23" w:rsidRPr="001F2956">
              <w:rPr>
                <w:rStyle w:val="Hyperlink"/>
                <w:noProof/>
                <w:rtl/>
                <w:lang w:bidi="fa-IR"/>
              </w:rPr>
              <w:t xml:space="preserve"> </w:t>
            </w:r>
            <w:r w:rsidR="00FB4A23" w:rsidRPr="001F2956">
              <w:rPr>
                <w:rStyle w:val="Hyperlink"/>
                <w:rFonts w:hint="eastAsia"/>
                <w:noProof/>
                <w:rtl/>
                <w:lang w:bidi="fa-IR"/>
              </w:rPr>
              <w:t>الدَّوَابِّ</w:t>
            </w:r>
            <w:r w:rsidR="00FB4A23" w:rsidRPr="001F2956">
              <w:rPr>
                <w:rStyle w:val="Hyperlink"/>
                <w:noProof/>
                <w:rtl/>
                <w:lang w:bidi="fa-IR"/>
              </w:rPr>
              <w:t xml:space="preserve"> </w:t>
            </w:r>
            <w:r w:rsidR="00FB4A23" w:rsidRPr="001F2956">
              <w:rPr>
                <w:rStyle w:val="Hyperlink"/>
                <w:rFonts w:hint="eastAsia"/>
                <w:noProof/>
                <w:rtl/>
                <w:lang w:bidi="fa-IR"/>
              </w:rPr>
              <w:t>وَأَرْوَاثِهَا</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40975878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182</w:t>
            </w:r>
            <w:r w:rsidR="00FB4A23">
              <w:rPr>
                <w:noProof/>
                <w:webHidden/>
                <w:rtl/>
              </w:rPr>
              <w:fldChar w:fldCharType="end"/>
            </w:r>
          </w:hyperlink>
        </w:p>
        <w:p w:rsidR="00FB4A23" w:rsidRDefault="00FB4A23" w:rsidP="00077571">
          <w:pPr>
            <w:pStyle w:val="libNormal"/>
            <w:rPr>
              <w:rStyle w:val="Hyperlink"/>
              <w:noProof/>
            </w:rPr>
          </w:pPr>
          <w:r>
            <w:rPr>
              <w:rStyle w:val="Hyperlink"/>
              <w:noProof/>
            </w:rPr>
            <w:br w:type="page"/>
          </w:r>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79" w:history="1">
            <w:r w:rsidR="00FB4A23" w:rsidRPr="001F2956">
              <w:rPr>
                <w:rStyle w:val="Hyperlink"/>
                <w:noProof/>
                <w:rtl/>
                <w:lang w:bidi="fa-IR"/>
              </w:rPr>
              <w:t xml:space="preserve">38 -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الثَّوْبِ</w:t>
            </w:r>
            <w:r w:rsidR="00FB4A23" w:rsidRPr="001F2956">
              <w:rPr>
                <w:rStyle w:val="Hyperlink"/>
                <w:noProof/>
                <w:rtl/>
                <w:lang w:bidi="fa-IR"/>
              </w:rPr>
              <w:t xml:space="preserve"> </w:t>
            </w:r>
            <w:r w:rsidR="00FB4A23" w:rsidRPr="001F2956">
              <w:rPr>
                <w:rStyle w:val="Hyperlink"/>
                <w:rFonts w:hint="eastAsia"/>
                <w:noProof/>
                <w:rtl/>
                <w:lang w:bidi="fa-IR"/>
              </w:rPr>
              <w:t>يُصِيبُهُ</w:t>
            </w:r>
            <w:r w:rsidR="00FB4A23" w:rsidRPr="001F2956">
              <w:rPr>
                <w:rStyle w:val="Hyperlink"/>
                <w:noProof/>
                <w:rtl/>
                <w:lang w:bidi="fa-IR"/>
              </w:rPr>
              <w:t xml:space="preserve"> </w:t>
            </w:r>
            <w:r w:rsidR="00FB4A23" w:rsidRPr="001F2956">
              <w:rPr>
                <w:rStyle w:val="Hyperlink"/>
                <w:rFonts w:hint="eastAsia"/>
                <w:noProof/>
                <w:rtl/>
                <w:lang w:bidi="fa-IR"/>
              </w:rPr>
              <w:t>الدَّمُ</w:t>
            </w:r>
            <w:r w:rsidR="00FB4A23" w:rsidRPr="001F2956">
              <w:rPr>
                <w:rStyle w:val="Hyperlink"/>
                <w:noProof/>
                <w:rtl/>
                <w:lang w:bidi="fa-IR"/>
              </w:rPr>
              <w:t xml:space="preserve"> </w:t>
            </w:r>
            <w:r w:rsidR="00FB4A23" w:rsidRPr="001F2956">
              <w:rPr>
                <w:rStyle w:val="Hyperlink"/>
                <w:rFonts w:hint="eastAsia"/>
                <w:noProof/>
                <w:rtl/>
                <w:lang w:bidi="fa-IR"/>
              </w:rPr>
              <w:t>وَالْمِدَّةُ</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40975879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187</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880" w:history="1">
            <w:r w:rsidR="00FB4A23" w:rsidRPr="001F2956">
              <w:rPr>
                <w:rStyle w:val="Hyperlink"/>
                <w:noProof/>
                <w:rtl/>
                <w:lang w:bidi="fa-IR"/>
              </w:rPr>
              <w:t xml:space="preserve">39 -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الْكَلْبِ</w:t>
            </w:r>
            <w:r w:rsidR="00FB4A23" w:rsidRPr="001F2956">
              <w:rPr>
                <w:rStyle w:val="Hyperlink"/>
                <w:noProof/>
                <w:rtl/>
                <w:lang w:bidi="fa-IR"/>
              </w:rPr>
              <w:t xml:space="preserve"> </w:t>
            </w:r>
            <w:r w:rsidR="00FB4A23" w:rsidRPr="001F2956">
              <w:rPr>
                <w:rStyle w:val="Hyperlink"/>
                <w:rFonts w:hint="eastAsia"/>
                <w:noProof/>
                <w:rtl/>
                <w:lang w:bidi="fa-IR"/>
              </w:rPr>
              <w:t>يُصِيبُ</w:t>
            </w:r>
            <w:r w:rsidR="00FB4A23" w:rsidRPr="001F2956">
              <w:rPr>
                <w:rStyle w:val="Hyperlink"/>
                <w:noProof/>
                <w:rtl/>
                <w:lang w:bidi="fa-IR"/>
              </w:rPr>
              <w:t xml:space="preserve"> </w:t>
            </w:r>
            <w:r w:rsidR="00FB4A23" w:rsidRPr="001F2956">
              <w:rPr>
                <w:rStyle w:val="Hyperlink"/>
                <w:rFonts w:hint="eastAsia"/>
                <w:noProof/>
                <w:rtl/>
                <w:lang w:bidi="fa-IR"/>
              </w:rPr>
              <w:t>الثَّوْبَ</w:t>
            </w:r>
            <w:r w:rsidR="00FB4A23" w:rsidRPr="001F2956">
              <w:rPr>
                <w:rStyle w:val="Hyperlink"/>
                <w:noProof/>
                <w:rtl/>
                <w:lang w:bidi="fa-IR"/>
              </w:rPr>
              <w:t xml:space="preserve"> </w:t>
            </w:r>
            <w:r w:rsidR="00FB4A23" w:rsidRPr="001F2956">
              <w:rPr>
                <w:rStyle w:val="Hyperlink"/>
                <w:rFonts w:hint="eastAsia"/>
                <w:noProof/>
                <w:rtl/>
                <w:lang w:bidi="fa-IR"/>
              </w:rPr>
              <w:t>وَالْجَسَدَ</w:t>
            </w:r>
            <w:r w:rsidR="00FB4A23" w:rsidRPr="001F2956">
              <w:rPr>
                <w:rStyle w:val="Hyperlink"/>
                <w:noProof/>
                <w:rtl/>
                <w:lang w:bidi="fa-IR"/>
              </w:rPr>
              <w:t xml:space="preserve"> </w:t>
            </w:r>
            <w:r w:rsidR="00FB4A23" w:rsidRPr="001F2956">
              <w:rPr>
                <w:rStyle w:val="Hyperlink"/>
                <w:noProof/>
                <w:vertAlign w:val="superscript"/>
                <w:rtl/>
              </w:rPr>
              <w:t>(7)</w:t>
            </w:r>
            <w:r w:rsidR="00FB4A23" w:rsidRPr="001F2956">
              <w:rPr>
                <w:rStyle w:val="Hyperlink"/>
                <w:noProof/>
                <w:rtl/>
              </w:rPr>
              <w:t xml:space="preserve"> </w:t>
            </w:r>
            <w:r w:rsidR="00FB4A23" w:rsidRPr="001F2956">
              <w:rPr>
                <w:rStyle w:val="Hyperlink"/>
                <w:rFonts w:hint="eastAsia"/>
                <w:noProof/>
                <w:rtl/>
                <w:lang w:bidi="fa-IR"/>
              </w:rPr>
              <w:t>وَغَيْرَهُ</w:t>
            </w:r>
          </w:hyperlink>
          <w:r w:rsidR="00FB4A23">
            <w:rPr>
              <w:rStyle w:val="Hyperlink"/>
              <w:rFonts w:hint="cs"/>
              <w:noProof/>
              <w:rtl/>
            </w:rPr>
            <w:t xml:space="preserve"> </w:t>
          </w:r>
          <w:hyperlink w:anchor="_Toc40975881" w:history="1">
            <w:r w:rsidR="00FB4A23" w:rsidRPr="001F2956">
              <w:rPr>
                <w:rStyle w:val="Hyperlink"/>
                <w:rFonts w:hint="eastAsia"/>
                <w:noProof/>
                <w:rtl/>
                <w:lang w:bidi="fa-IR"/>
              </w:rPr>
              <w:t>مِمَّا</w:t>
            </w:r>
            <w:r w:rsidR="00FB4A23" w:rsidRPr="001F2956">
              <w:rPr>
                <w:rStyle w:val="Hyperlink"/>
                <w:noProof/>
                <w:rtl/>
                <w:lang w:bidi="fa-IR"/>
              </w:rPr>
              <w:t xml:space="preserve"> </w:t>
            </w:r>
            <w:r w:rsidR="00FB4A23" w:rsidRPr="001F2956">
              <w:rPr>
                <w:rStyle w:val="Hyperlink"/>
                <w:rFonts w:hint="eastAsia"/>
                <w:noProof/>
                <w:rtl/>
                <w:lang w:bidi="fa-IR"/>
              </w:rPr>
              <w:t>يُكْرَهُ</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يُمَسَّ</w:t>
            </w:r>
            <w:r w:rsidR="00FB4A23" w:rsidRPr="001F2956">
              <w:rPr>
                <w:rStyle w:val="Hyperlink"/>
                <w:noProof/>
                <w:rtl/>
                <w:lang w:bidi="fa-IR"/>
              </w:rPr>
              <w:t xml:space="preserve"> </w:t>
            </w:r>
            <w:r w:rsidR="00FB4A23" w:rsidRPr="001F2956">
              <w:rPr>
                <w:rStyle w:val="Hyperlink"/>
                <w:rFonts w:hint="eastAsia"/>
                <w:noProof/>
                <w:rtl/>
                <w:lang w:bidi="fa-IR"/>
              </w:rPr>
              <w:t>شَيْ‌ءٌ</w:t>
            </w:r>
            <w:r w:rsidR="00FB4A23" w:rsidRPr="001F2956">
              <w:rPr>
                <w:rStyle w:val="Hyperlink"/>
                <w:noProof/>
                <w:rtl/>
                <w:lang w:bidi="fa-IR"/>
              </w:rPr>
              <w:t xml:space="preserve"> </w:t>
            </w:r>
            <w:r w:rsidR="00FB4A23" w:rsidRPr="001F2956">
              <w:rPr>
                <w:rStyle w:val="Hyperlink"/>
                <w:rFonts w:hint="eastAsia"/>
                <w:noProof/>
                <w:rtl/>
                <w:lang w:bidi="fa-IR"/>
              </w:rPr>
              <w:t>مِنْهُ</w:t>
            </w:r>
            <w:r w:rsidR="00FB4A23" w:rsidRPr="001F2956">
              <w:rPr>
                <w:rStyle w:val="Hyperlink"/>
                <w:noProof/>
                <w:rtl/>
                <w:lang w:bidi="fa-IR"/>
              </w:rPr>
              <w:t xml:space="preserve"> </w:t>
            </w:r>
            <w:r w:rsidR="00FB4A23" w:rsidRPr="001F2956">
              <w:rPr>
                <w:rStyle w:val="Hyperlink"/>
                <w:noProof/>
                <w:vertAlign w:val="superscript"/>
                <w:rtl/>
              </w:rPr>
              <w:t>(8)</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192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82" w:history="1">
            <w:r w:rsidR="00FB4A23" w:rsidRPr="001F2956">
              <w:rPr>
                <w:rStyle w:val="Hyperlink"/>
                <w:noProof/>
                <w:rtl/>
                <w:lang w:bidi="fa-IR"/>
              </w:rPr>
              <w:t xml:space="preserve">40 -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صِفَةِ</w:t>
            </w:r>
            <w:r w:rsidR="00FB4A23" w:rsidRPr="001F2956">
              <w:rPr>
                <w:rStyle w:val="Hyperlink"/>
                <w:noProof/>
                <w:rtl/>
                <w:lang w:bidi="fa-IR"/>
              </w:rPr>
              <w:t xml:space="preserve"> </w:t>
            </w:r>
            <w:r w:rsidR="00FB4A23" w:rsidRPr="001F2956">
              <w:rPr>
                <w:rStyle w:val="Hyperlink"/>
                <w:rFonts w:hint="eastAsia"/>
                <w:noProof/>
                <w:rtl/>
                <w:lang w:bidi="fa-IR"/>
              </w:rPr>
              <w:t>التَّيَمُّمِ‌</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195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83" w:history="1">
            <w:r w:rsidR="00FB4A23" w:rsidRPr="001F2956">
              <w:rPr>
                <w:rStyle w:val="Hyperlink"/>
                <w:noProof/>
                <w:rtl/>
                <w:lang w:bidi="fa-IR"/>
              </w:rPr>
              <w:t xml:space="preserve">41 -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الْوَقْتِ</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يُوجِبُ</w:t>
            </w:r>
            <w:r w:rsidR="00FB4A23" w:rsidRPr="001F2956">
              <w:rPr>
                <w:rStyle w:val="Hyperlink"/>
                <w:noProof/>
                <w:rtl/>
                <w:lang w:bidi="fa-IR"/>
              </w:rPr>
              <w:t xml:space="preserve"> </w:t>
            </w:r>
            <w:r w:rsidR="00FB4A23" w:rsidRPr="001F2956">
              <w:rPr>
                <w:rStyle w:val="Hyperlink"/>
                <w:rFonts w:hint="eastAsia"/>
                <w:noProof/>
                <w:rtl/>
                <w:lang w:bidi="fa-IR"/>
              </w:rPr>
              <w:t>التَّيَمُّمَ</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تَيَمَّمَ</w:t>
            </w:r>
            <w:r w:rsidR="00FB4A23" w:rsidRPr="001F2956">
              <w:rPr>
                <w:rStyle w:val="Hyperlink"/>
                <w:noProof/>
                <w:rtl/>
                <w:lang w:bidi="fa-IR"/>
              </w:rPr>
              <w:t xml:space="preserve"> </w:t>
            </w:r>
            <w:r w:rsidR="00FB4A23" w:rsidRPr="001F2956">
              <w:rPr>
                <w:rStyle w:val="Hyperlink"/>
                <w:rFonts w:hint="eastAsia"/>
                <w:noProof/>
                <w:rtl/>
                <w:lang w:bidi="fa-IR"/>
              </w:rPr>
              <w:t>ثُمَّ</w:t>
            </w:r>
            <w:r w:rsidR="00FB4A23" w:rsidRPr="001F2956">
              <w:rPr>
                <w:rStyle w:val="Hyperlink"/>
                <w:noProof/>
                <w:rtl/>
                <w:lang w:bidi="fa-IR"/>
              </w:rPr>
              <w:t xml:space="preserve"> </w:t>
            </w:r>
            <w:r w:rsidR="00FB4A23" w:rsidRPr="001F2956">
              <w:rPr>
                <w:rStyle w:val="Hyperlink"/>
                <w:rFonts w:hint="eastAsia"/>
                <w:noProof/>
                <w:rtl/>
                <w:lang w:bidi="fa-IR"/>
              </w:rPr>
              <w:t>وَجَدَ</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noProof/>
                <w:vertAlign w:val="superscript"/>
                <w:rtl/>
              </w:rPr>
              <w:t>(8)</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201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84" w:history="1">
            <w:r w:rsidR="00FB4A23" w:rsidRPr="001F2956">
              <w:rPr>
                <w:rStyle w:val="Hyperlink"/>
                <w:noProof/>
                <w:rtl/>
                <w:lang w:bidi="fa-IR"/>
              </w:rPr>
              <w:t xml:space="preserve">42 -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sidRPr="001F2956">
              <w:rPr>
                <w:rStyle w:val="Hyperlink"/>
                <w:noProof/>
                <w:rtl/>
                <w:lang w:bidi="fa-IR"/>
              </w:rPr>
              <w:t xml:space="preserve"> </w:t>
            </w:r>
            <w:r w:rsidR="00FB4A23" w:rsidRPr="001F2956">
              <w:rPr>
                <w:rStyle w:val="Hyperlink"/>
                <w:rFonts w:hint="eastAsia"/>
                <w:noProof/>
                <w:rtl/>
                <w:lang w:bidi="fa-IR"/>
              </w:rPr>
              <w:t>يَكُونُ</w:t>
            </w:r>
            <w:r w:rsidR="00FB4A23" w:rsidRPr="001F2956">
              <w:rPr>
                <w:rStyle w:val="Hyperlink"/>
                <w:noProof/>
                <w:rtl/>
                <w:lang w:bidi="fa-IR"/>
              </w:rPr>
              <w:t xml:space="preserve"> </w:t>
            </w:r>
            <w:r w:rsidR="00FB4A23" w:rsidRPr="001F2956">
              <w:rPr>
                <w:rStyle w:val="Hyperlink"/>
                <w:rFonts w:hint="eastAsia"/>
                <w:noProof/>
                <w:rtl/>
                <w:lang w:bidi="fa-IR"/>
              </w:rPr>
              <w:t>مَعَهُ</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rFonts w:hint="eastAsia"/>
                <w:noProof/>
                <w:rtl/>
                <w:lang w:bidi="fa-IR"/>
              </w:rPr>
              <w:t>الْقَلِيلُ</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السَّفَرِ</w:t>
            </w:r>
            <w:r w:rsidR="00FB4A23" w:rsidRPr="001F2956">
              <w:rPr>
                <w:rStyle w:val="Hyperlink"/>
                <w:noProof/>
                <w:rtl/>
                <w:lang w:bidi="fa-IR"/>
              </w:rPr>
              <w:t xml:space="preserve"> </w:t>
            </w:r>
            <w:r w:rsidR="00FB4A23" w:rsidRPr="001F2956">
              <w:rPr>
                <w:rStyle w:val="Hyperlink"/>
                <w:rFonts w:hint="eastAsia"/>
                <w:noProof/>
                <w:rtl/>
                <w:lang w:bidi="fa-IR"/>
              </w:rPr>
              <w:t>وَيَخَافُ</w:t>
            </w:r>
            <w:r w:rsidR="00FB4A23" w:rsidRPr="001F2956">
              <w:rPr>
                <w:rStyle w:val="Hyperlink"/>
                <w:noProof/>
                <w:rtl/>
                <w:lang w:bidi="fa-IR"/>
              </w:rPr>
              <w:t xml:space="preserve"> </w:t>
            </w:r>
            <w:r w:rsidR="00FB4A23" w:rsidRPr="001F2956">
              <w:rPr>
                <w:rStyle w:val="Hyperlink"/>
                <w:rFonts w:hint="eastAsia"/>
                <w:noProof/>
                <w:rtl/>
                <w:lang w:bidi="fa-IR"/>
              </w:rPr>
              <w:t>الْعَطَشَ</w:t>
            </w:r>
            <w:r w:rsidR="00FB4A23" w:rsidRPr="001F2956">
              <w:rPr>
                <w:rStyle w:val="Hyperlink"/>
                <w:noProof/>
                <w:rtl/>
                <w:lang w:bidi="fa-IR"/>
              </w:rPr>
              <w:t xml:space="preserve"> </w:t>
            </w:r>
            <w:r w:rsidR="00FB4A23" w:rsidRPr="001F2956">
              <w:rPr>
                <w:rStyle w:val="Hyperlink"/>
                <w:noProof/>
                <w:vertAlign w:val="superscript"/>
                <w:rtl/>
              </w:rPr>
              <w:t>(6)</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208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85" w:history="1">
            <w:r w:rsidR="00FB4A23" w:rsidRPr="001F2956">
              <w:rPr>
                <w:rStyle w:val="Hyperlink"/>
                <w:noProof/>
                <w:rtl/>
                <w:lang w:bidi="fa-IR"/>
              </w:rPr>
              <w:t xml:space="preserve">43 -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sidRPr="001F2956">
              <w:rPr>
                <w:rStyle w:val="Hyperlink"/>
                <w:noProof/>
                <w:rtl/>
                <w:lang w:bidi="fa-IR"/>
              </w:rPr>
              <w:t xml:space="preserve"> </w:t>
            </w:r>
            <w:r w:rsidR="00FB4A23" w:rsidRPr="001F2956">
              <w:rPr>
                <w:rStyle w:val="Hyperlink"/>
                <w:rFonts w:hint="eastAsia"/>
                <w:noProof/>
                <w:rtl/>
                <w:lang w:bidi="fa-IR"/>
              </w:rPr>
              <w:t>يُصِيبُهُ</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الْجَنَابَةُ</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فَلَا</w:t>
            </w:r>
            <w:r w:rsidR="00FB4A23" w:rsidRPr="001F2956">
              <w:rPr>
                <w:rStyle w:val="Hyperlink"/>
                <w:noProof/>
                <w:rtl/>
                <w:lang w:bidi="fa-IR"/>
              </w:rPr>
              <w:t xml:space="preserve"> </w:t>
            </w:r>
            <w:r w:rsidR="00FB4A23" w:rsidRPr="001F2956">
              <w:rPr>
                <w:rStyle w:val="Hyperlink"/>
                <w:rFonts w:hint="eastAsia"/>
                <w:noProof/>
                <w:rtl/>
                <w:lang w:bidi="fa-IR"/>
              </w:rPr>
              <w:t>يَجِدُ</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lang w:bidi="fa-IR"/>
              </w:rPr>
              <w:t xml:space="preserve"> </w:t>
            </w:r>
            <w:r w:rsidR="00FB4A23" w:rsidRPr="001F2956">
              <w:rPr>
                <w:rStyle w:val="Hyperlink"/>
                <w:rFonts w:hint="eastAsia"/>
                <w:noProof/>
                <w:rtl/>
                <w:lang w:bidi="fa-IR"/>
              </w:rPr>
              <w:t>إِلَّا</w:t>
            </w:r>
            <w:r w:rsidR="00FB4A23" w:rsidRPr="001F2956">
              <w:rPr>
                <w:rStyle w:val="Hyperlink"/>
                <w:noProof/>
                <w:rtl/>
                <w:lang w:bidi="fa-IR"/>
              </w:rPr>
              <w:t xml:space="preserve"> </w:t>
            </w:r>
            <w:r w:rsidR="00FB4A23" w:rsidRPr="001F2956">
              <w:rPr>
                <w:rStyle w:val="Hyperlink"/>
                <w:rFonts w:hint="eastAsia"/>
                <w:noProof/>
                <w:rtl/>
                <w:lang w:bidi="fa-IR"/>
              </w:rPr>
              <w:t>الثَّلْجَ</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rFonts w:hint="eastAsia"/>
                <w:noProof/>
                <w:rtl/>
                <w:lang w:bidi="fa-IR"/>
              </w:rPr>
              <w:t>الْجَامِدَ‌</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211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86" w:history="1">
            <w:r w:rsidR="00FB4A23" w:rsidRPr="001F2956">
              <w:rPr>
                <w:rStyle w:val="Hyperlink"/>
                <w:noProof/>
                <w:rtl/>
                <w:lang w:bidi="fa-IR"/>
              </w:rPr>
              <w:t xml:space="preserve">44 -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التَّيَمُّمِ</w:t>
            </w:r>
            <w:r w:rsidR="00FB4A23" w:rsidRPr="001F2956">
              <w:rPr>
                <w:rStyle w:val="Hyperlink"/>
                <w:noProof/>
                <w:rtl/>
                <w:lang w:bidi="fa-IR"/>
              </w:rPr>
              <w:t xml:space="preserve"> </w:t>
            </w:r>
            <w:r w:rsidR="00FB4A23" w:rsidRPr="001F2956">
              <w:rPr>
                <w:rStyle w:val="Hyperlink"/>
                <w:rFonts w:hint="eastAsia"/>
                <w:noProof/>
                <w:rtl/>
                <w:lang w:bidi="fa-IR"/>
              </w:rPr>
              <w:t>بِالطِّينِ‌</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212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87" w:history="1">
            <w:r w:rsidR="00FB4A23" w:rsidRPr="001F2956">
              <w:rPr>
                <w:rStyle w:val="Hyperlink"/>
                <w:noProof/>
                <w:rtl/>
                <w:lang w:bidi="fa-IR"/>
              </w:rPr>
              <w:t xml:space="preserve">45 -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الْكَسِيرِ</w:t>
            </w:r>
            <w:r w:rsidR="00FB4A23" w:rsidRPr="001F2956">
              <w:rPr>
                <w:rStyle w:val="Hyperlink"/>
                <w:noProof/>
                <w:rtl/>
                <w:lang w:bidi="fa-IR"/>
              </w:rPr>
              <w:t xml:space="preserve"> </w:t>
            </w:r>
            <w:r w:rsidR="00FB4A23" w:rsidRPr="001F2956">
              <w:rPr>
                <w:rStyle w:val="Hyperlink"/>
                <w:rFonts w:hint="eastAsia"/>
                <w:noProof/>
                <w:rtl/>
                <w:lang w:bidi="fa-IR"/>
              </w:rPr>
              <w:t>وَالْمَجْدُورِ</w:t>
            </w:r>
            <w:r w:rsidR="00FB4A23" w:rsidRPr="001F2956">
              <w:rPr>
                <w:rStyle w:val="Hyperlink"/>
                <w:noProof/>
                <w:rtl/>
                <w:lang w:bidi="fa-IR"/>
              </w:rPr>
              <w:t xml:space="preserve"> </w:t>
            </w:r>
            <w:r w:rsidR="00FB4A23" w:rsidRPr="001F2956">
              <w:rPr>
                <w:rStyle w:val="Hyperlink"/>
                <w:noProof/>
                <w:vertAlign w:val="superscript"/>
                <w:rtl/>
              </w:rPr>
              <w:t>(7)</w:t>
            </w:r>
            <w:r w:rsidR="00FB4A23" w:rsidRPr="001F2956">
              <w:rPr>
                <w:rStyle w:val="Hyperlink"/>
                <w:noProof/>
                <w:rtl/>
              </w:rPr>
              <w:t xml:space="preserve"> </w:t>
            </w:r>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بِهِ</w:t>
            </w:r>
            <w:r w:rsidR="00FB4A23" w:rsidRPr="001F2956">
              <w:rPr>
                <w:rStyle w:val="Hyperlink"/>
                <w:noProof/>
                <w:rtl/>
                <w:lang w:bidi="fa-IR"/>
              </w:rPr>
              <w:t xml:space="preserve"> </w:t>
            </w:r>
            <w:r w:rsidR="00FB4A23" w:rsidRPr="001F2956">
              <w:rPr>
                <w:rStyle w:val="Hyperlink"/>
                <w:rFonts w:hint="eastAsia"/>
                <w:noProof/>
                <w:rtl/>
                <w:lang w:bidi="fa-IR"/>
              </w:rPr>
              <w:t>الْجِرَاحَاتُ</w:t>
            </w:r>
            <w:r w:rsidR="00FB4A23" w:rsidRPr="001F2956">
              <w:rPr>
                <w:rStyle w:val="Hyperlink"/>
                <w:noProof/>
                <w:rtl/>
                <w:lang w:bidi="fa-IR"/>
              </w:rPr>
              <w:t xml:space="preserve"> </w:t>
            </w:r>
            <w:r w:rsidR="00FB4A23" w:rsidRPr="001F2956">
              <w:rPr>
                <w:rStyle w:val="Hyperlink"/>
                <w:rFonts w:hint="eastAsia"/>
                <w:noProof/>
                <w:rtl/>
                <w:lang w:bidi="fa-IR"/>
              </w:rPr>
              <w:t>وَتُصِيبُهُمُ</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rPr>
              <w:t xml:space="preserve"> </w:t>
            </w:r>
            <w:r w:rsidR="00FB4A23" w:rsidRPr="001F2956">
              <w:rPr>
                <w:rStyle w:val="Hyperlink"/>
                <w:rFonts w:hint="eastAsia"/>
                <w:noProof/>
                <w:rtl/>
                <w:lang w:bidi="fa-IR"/>
              </w:rPr>
              <w:t>الْجَنَابَةُ‌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213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88" w:history="1">
            <w:r w:rsidR="00FB4A23" w:rsidRPr="001F2956">
              <w:rPr>
                <w:rStyle w:val="Hyperlink"/>
                <w:noProof/>
                <w:rtl/>
                <w:lang w:bidi="fa-IR"/>
              </w:rPr>
              <w:t xml:space="preserve">46 -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النَّوَادِرِ‌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216</w:t>
            </w:r>
            <w:r w:rsidR="00FB4A23">
              <w:rPr>
                <w:noProof/>
                <w:webHidden/>
                <w:rtl/>
              </w:rPr>
              <w:fldChar w:fldCharType="end"/>
            </w:r>
          </w:hyperlink>
        </w:p>
        <w:p w:rsidR="00FB4A23" w:rsidRDefault="008811AB">
          <w:pPr>
            <w:pStyle w:val="TOC1"/>
            <w:rPr>
              <w:rFonts w:asciiTheme="minorHAnsi" w:eastAsiaTheme="minorEastAsia" w:hAnsiTheme="minorHAnsi" w:cstheme="minorBidi"/>
              <w:bCs w:val="0"/>
              <w:noProof/>
              <w:color w:val="auto"/>
              <w:sz w:val="22"/>
              <w:szCs w:val="22"/>
              <w:rtl/>
            </w:rPr>
          </w:pPr>
          <w:hyperlink w:anchor="_Toc40975889" w:history="1">
            <w:r w:rsidR="00FB4A23" w:rsidRPr="001F2956">
              <w:rPr>
                <w:rStyle w:val="Hyperlink"/>
                <w:rFonts w:hint="eastAsia"/>
                <w:noProof/>
                <w:rtl/>
              </w:rPr>
              <w:t>كتاب</w:t>
            </w:r>
            <w:r w:rsidR="00FB4A23" w:rsidRPr="001F2956">
              <w:rPr>
                <w:rStyle w:val="Hyperlink"/>
                <w:noProof/>
                <w:rtl/>
              </w:rPr>
              <w:t xml:space="preserve"> </w:t>
            </w:r>
            <w:r w:rsidR="00FB4A23" w:rsidRPr="001F2956">
              <w:rPr>
                <w:rStyle w:val="Hyperlink"/>
                <w:rFonts w:hint="eastAsia"/>
                <w:noProof/>
                <w:rtl/>
              </w:rPr>
              <w:t>الحيض‌</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40975889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235</w:t>
            </w:r>
            <w:r w:rsidR="00FB4A23">
              <w:rPr>
                <w:noProof/>
                <w:webHidden/>
                <w:rtl/>
              </w:rPr>
              <w:fldChar w:fldCharType="end"/>
            </w:r>
          </w:hyperlink>
        </w:p>
        <w:p w:rsidR="00FB4A23" w:rsidRDefault="008811AB" w:rsidP="00FB4A23">
          <w:pPr>
            <w:pStyle w:val="TOC1"/>
            <w:rPr>
              <w:rFonts w:asciiTheme="minorHAnsi" w:eastAsiaTheme="minorEastAsia" w:hAnsiTheme="minorHAnsi" w:cstheme="minorBidi"/>
              <w:noProof/>
              <w:color w:val="auto"/>
              <w:sz w:val="22"/>
              <w:szCs w:val="22"/>
              <w:rtl/>
            </w:rPr>
          </w:pPr>
          <w:hyperlink w:anchor="_Toc40975890" w:history="1">
            <w:r w:rsidR="00FB4A23" w:rsidRPr="001F2956">
              <w:rPr>
                <w:rStyle w:val="Hyperlink"/>
                <w:rFonts w:hint="eastAsia"/>
                <w:noProof/>
                <w:rtl/>
                <w:lang w:bidi="fa-IR"/>
              </w:rPr>
              <w:t>كِتَابُ</w:t>
            </w:r>
            <w:r w:rsidR="00FB4A23" w:rsidRPr="001F2956">
              <w:rPr>
                <w:rStyle w:val="Hyperlink"/>
                <w:noProof/>
                <w:rtl/>
                <w:lang w:bidi="fa-IR"/>
              </w:rPr>
              <w:t xml:space="preserve"> </w:t>
            </w:r>
            <w:r w:rsidR="00FB4A23" w:rsidRPr="001F2956">
              <w:rPr>
                <w:rStyle w:val="Hyperlink"/>
                <w:rFonts w:hint="eastAsia"/>
                <w:noProof/>
                <w:rtl/>
                <w:lang w:bidi="fa-IR"/>
              </w:rPr>
              <w:t>الْحَيْضِ‌</w:t>
            </w:r>
          </w:hyperlink>
          <w:r w:rsidR="00FB4A23">
            <w:rPr>
              <w:rStyle w:val="Hyperlink"/>
              <w:rFonts w:hint="cs"/>
              <w:noProof/>
              <w:rtl/>
            </w:rPr>
            <w:t xml:space="preserve"> </w:t>
          </w:r>
          <w:hyperlink w:anchor="_Toc40975891" w:history="1">
            <w:r w:rsidR="00FB4A23" w:rsidRPr="001F2956">
              <w:rPr>
                <w:rStyle w:val="Hyperlink"/>
                <w:noProof/>
                <w:rtl/>
                <w:lang w:bidi="fa-IR"/>
              </w:rPr>
              <w:t xml:space="preserve">1 - </w:t>
            </w:r>
            <w:r w:rsidR="00FB4A23" w:rsidRPr="001F2956">
              <w:rPr>
                <w:rStyle w:val="Hyperlink"/>
                <w:rFonts w:hint="eastAsia"/>
                <w:noProof/>
                <w:rtl/>
                <w:lang w:bidi="fa-IR"/>
              </w:rPr>
              <w:t>أَبْوَابُ</w:t>
            </w:r>
            <w:r w:rsidR="00FB4A23" w:rsidRPr="001F2956">
              <w:rPr>
                <w:rStyle w:val="Hyperlink"/>
                <w:noProof/>
                <w:rtl/>
                <w:lang w:bidi="fa-IR"/>
              </w:rPr>
              <w:t xml:space="preserve"> </w:t>
            </w:r>
            <w:r w:rsidR="00FB4A23" w:rsidRPr="001F2956">
              <w:rPr>
                <w:rStyle w:val="Hyperlink"/>
                <w:rFonts w:hint="eastAsia"/>
                <w:noProof/>
                <w:rtl/>
                <w:lang w:bidi="fa-IR"/>
              </w:rPr>
              <w:t>الْحَيْضِ</w:t>
            </w:r>
            <w:r w:rsidR="00FB4A23" w:rsidRPr="001F2956">
              <w:rPr>
                <w:rStyle w:val="Hyperlink"/>
                <w:noProof/>
                <w:rtl/>
                <w:lang w:bidi="fa-IR"/>
              </w:rPr>
              <w:t xml:space="preserve"> </w:t>
            </w:r>
            <w:r w:rsidR="00FB4A23" w:rsidRPr="001F2956">
              <w:rPr>
                <w:rStyle w:val="Hyperlink"/>
                <w:noProof/>
                <w:vertAlign w:val="superscript"/>
                <w:rtl/>
              </w:rPr>
              <w:t>(2)</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237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92" w:history="1">
            <w:r w:rsidR="00FB4A23" w:rsidRPr="001F2956">
              <w:rPr>
                <w:rStyle w:val="Hyperlink"/>
                <w:noProof/>
                <w:rtl/>
                <w:lang w:bidi="fa-IR"/>
              </w:rPr>
              <w:t xml:space="preserve">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أَدْنَى</w:t>
            </w:r>
            <w:r w:rsidR="00FB4A23" w:rsidRPr="001F2956">
              <w:rPr>
                <w:rStyle w:val="Hyperlink"/>
                <w:noProof/>
                <w:rtl/>
                <w:lang w:bidi="fa-IR"/>
              </w:rPr>
              <w:t xml:space="preserve"> </w:t>
            </w:r>
            <w:r w:rsidR="00FB4A23" w:rsidRPr="001F2956">
              <w:rPr>
                <w:rStyle w:val="Hyperlink"/>
                <w:rFonts w:hint="eastAsia"/>
                <w:noProof/>
                <w:rtl/>
                <w:lang w:bidi="fa-IR"/>
              </w:rPr>
              <w:t>الْحَيْضِ</w:t>
            </w:r>
            <w:r w:rsidR="00FB4A23" w:rsidRPr="001F2956">
              <w:rPr>
                <w:rStyle w:val="Hyperlink"/>
                <w:noProof/>
                <w:rtl/>
                <w:lang w:bidi="fa-IR"/>
              </w:rPr>
              <w:t xml:space="preserve"> </w:t>
            </w:r>
            <w:r w:rsidR="00FB4A23" w:rsidRPr="001F2956">
              <w:rPr>
                <w:rStyle w:val="Hyperlink"/>
                <w:rFonts w:hint="eastAsia"/>
                <w:noProof/>
                <w:rtl/>
                <w:lang w:bidi="fa-IR"/>
              </w:rPr>
              <w:t>وَأَقْصَاهُ</w:t>
            </w:r>
            <w:r w:rsidR="00FB4A23" w:rsidRPr="001F2956">
              <w:rPr>
                <w:rStyle w:val="Hyperlink"/>
                <w:noProof/>
                <w:rtl/>
                <w:lang w:bidi="fa-IR"/>
              </w:rPr>
              <w:t xml:space="preserve"> </w:t>
            </w:r>
            <w:r w:rsidR="00FB4A23" w:rsidRPr="001F2956">
              <w:rPr>
                <w:rStyle w:val="Hyperlink"/>
                <w:rFonts w:hint="eastAsia"/>
                <w:noProof/>
                <w:rtl/>
                <w:lang w:bidi="fa-IR"/>
              </w:rPr>
              <w:t>وَأَدْنَى</w:t>
            </w:r>
            <w:r w:rsidR="00FB4A23" w:rsidRPr="001F2956">
              <w:rPr>
                <w:rStyle w:val="Hyperlink"/>
                <w:noProof/>
                <w:rtl/>
                <w:lang w:bidi="fa-IR"/>
              </w:rPr>
              <w:t xml:space="preserve"> </w:t>
            </w:r>
            <w:r w:rsidR="00FB4A23" w:rsidRPr="001F2956">
              <w:rPr>
                <w:rStyle w:val="Hyperlink"/>
                <w:rFonts w:hint="eastAsia"/>
                <w:noProof/>
                <w:rtl/>
                <w:lang w:bidi="fa-IR"/>
              </w:rPr>
              <w:t>الطُّهْرِ‌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238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93" w:history="1">
            <w:r w:rsidR="00FB4A23" w:rsidRPr="001F2956">
              <w:rPr>
                <w:rStyle w:val="Hyperlink"/>
                <w:noProof/>
                <w:rtl/>
                <w:lang w:bidi="fa-IR"/>
              </w:rPr>
              <w:t xml:space="preserve">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تَرَى</w:t>
            </w:r>
            <w:r w:rsidR="00FB4A23" w:rsidRPr="001F2956">
              <w:rPr>
                <w:rStyle w:val="Hyperlink"/>
                <w:noProof/>
                <w:rtl/>
                <w:lang w:bidi="fa-IR"/>
              </w:rPr>
              <w:t xml:space="preserve"> </w:t>
            </w:r>
            <w:r w:rsidR="00FB4A23" w:rsidRPr="001F2956">
              <w:rPr>
                <w:rStyle w:val="Hyperlink"/>
                <w:rFonts w:hint="eastAsia"/>
                <w:noProof/>
                <w:rtl/>
                <w:lang w:bidi="fa-IR"/>
              </w:rPr>
              <w:t>الدَّمَ</w:t>
            </w:r>
            <w:r w:rsidR="00FB4A23" w:rsidRPr="001F2956">
              <w:rPr>
                <w:rStyle w:val="Hyperlink"/>
                <w:noProof/>
                <w:rtl/>
                <w:lang w:bidi="fa-IR"/>
              </w:rPr>
              <w:t xml:space="preserve"> </w:t>
            </w:r>
            <w:r w:rsidR="00FB4A23" w:rsidRPr="001F2956">
              <w:rPr>
                <w:rStyle w:val="Hyperlink"/>
                <w:rFonts w:hint="eastAsia"/>
                <w:noProof/>
                <w:rtl/>
                <w:lang w:bidi="fa-IR"/>
              </w:rPr>
              <w:t>قَبْلَ</w:t>
            </w:r>
            <w:r w:rsidR="00FB4A23" w:rsidRPr="001F2956">
              <w:rPr>
                <w:rStyle w:val="Hyperlink"/>
                <w:noProof/>
                <w:rtl/>
                <w:lang w:bidi="fa-IR"/>
              </w:rPr>
              <w:t xml:space="preserve"> </w:t>
            </w:r>
            <w:r w:rsidR="00FB4A23" w:rsidRPr="001F2956">
              <w:rPr>
                <w:rStyle w:val="Hyperlink"/>
                <w:rFonts w:hint="eastAsia"/>
                <w:noProof/>
                <w:rtl/>
                <w:lang w:bidi="fa-IR"/>
              </w:rPr>
              <w:t>أَيَّامِهَا</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rPr>
              <w:t xml:space="preserve"> </w:t>
            </w:r>
            <w:r w:rsidR="00FB4A23" w:rsidRPr="001F2956">
              <w:rPr>
                <w:rStyle w:val="Hyperlink"/>
                <w:rFonts w:hint="eastAsia"/>
                <w:noProof/>
                <w:rtl/>
                <w:lang w:bidi="fa-IR"/>
              </w:rPr>
              <w:t>بَعْدَ</w:t>
            </w:r>
            <w:r w:rsidR="00FB4A23" w:rsidRPr="001F2956">
              <w:rPr>
                <w:rStyle w:val="Hyperlink"/>
                <w:noProof/>
                <w:rtl/>
                <w:lang w:bidi="fa-IR"/>
              </w:rPr>
              <w:t xml:space="preserve"> </w:t>
            </w:r>
            <w:r w:rsidR="00FB4A23" w:rsidRPr="001F2956">
              <w:rPr>
                <w:rStyle w:val="Hyperlink"/>
                <w:rFonts w:hint="eastAsia"/>
                <w:noProof/>
                <w:rtl/>
                <w:lang w:bidi="fa-IR"/>
              </w:rPr>
              <w:t>طُهْرِهَا‌</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243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94" w:history="1">
            <w:r w:rsidR="00FB4A23" w:rsidRPr="001F2956">
              <w:rPr>
                <w:rStyle w:val="Hyperlink"/>
                <w:noProof/>
                <w:rtl/>
                <w:lang w:bidi="fa-IR"/>
              </w:rPr>
              <w:t xml:space="preserve">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rFonts w:hint="eastAsia"/>
                <w:noProof/>
                <w:rtl/>
                <w:lang w:bidi="fa-IR"/>
              </w:rPr>
              <w:t>تَرَى</w:t>
            </w:r>
            <w:r w:rsidR="00FB4A23" w:rsidRPr="001F2956">
              <w:rPr>
                <w:rStyle w:val="Hyperlink"/>
                <w:noProof/>
                <w:rtl/>
                <w:lang w:bidi="fa-IR"/>
              </w:rPr>
              <w:t xml:space="preserve"> </w:t>
            </w:r>
            <w:r w:rsidR="00FB4A23" w:rsidRPr="001F2956">
              <w:rPr>
                <w:rStyle w:val="Hyperlink"/>
                <w:rFonts w:hint="eastAsia"/>
                <w:noProof/>
                <w:rtl/>
                <w:lang w:bidi="fa-IR"/>
              </w:rPr>
              <w:t>الصُّفْرَةَ</w:t>
            </w:r>
            <w:r w:rsidR="00FB4A23" w:rsidRPr="001F2956">
              <w:rPr>
                <w:rStyle w:val="Hyperlink"/>
                <w:noProof/>
                <w:rtl/>
                <w:lang w:bidi="fa-IR"/>
              </w:rPr>
              <w:t xml:space="preserve"> </w:t>
            </w:r>
            <w:r w:rsidR="00FB4A23" w:rsidRPr="001F2956">
              <w:rPr>
                <w:rStyle w:val="Hyperlink"/>
                <w:rFonts w:hint="eastAsia"/>
                <w:noProof/>
                <w:rtl/>
                <w:lang w:bidi="fa-IR"/>
              </w:rPr>
              <w:t>قَبْلَ</w:t>
            </w:r>
            <w:r w:rsidR="00FB4A23" w:rsidRPr="001F2956">
              <w:rPr>
                <w:rStyle w:val="Hyperlink"/>
                <w:noProof/>
                <w:rtl/>
                <w:lang w:bidi="fa-IR"/>
              </w:rPr>
              <w:t xml:space="preserve"> </w:t>
            </w:r>
            <w:r w:rsidR="00FB4A23" w:rsidRPr="001F2956">
              <w:rPr>
                <w:rStyle w:val="Hyperlink"/>
                <w:rFonts w:hint="eastAsia"/>
                <w:noProof/>
                <w:rtl/>
                <w:lang w:bidi="fa-IR"/>
              </w:rPr>
              <w:t>الْحَيْضِ</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بَعْدَهُ‌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244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95" w:history="1">
            <w:r w:rsidR="00FB4A23" w:rsidRPr="001F2956">
              <w:rPr>
                <w:rStyle w:val="Hyperlink"/>
                <w:noProof/>
                <w:rtl/>
                <w:lang w:bidi="fa-IR"/>
              </w:rPr>
              <w:t xml:space="preserve">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أَوَّلِ</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تَحِيضُ</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247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96" w:history="1">
            <w:r w:rsidR="00FB4A23" w:rsidRPr="001F2956">
              <w:rPr>
                <w:rStyle w:val="Hyperlink"/>
                <w:noProof/>
                <w:rtl/>
                <w:lang w:bidi="fa-IR"/>
              </w:rPr>
              <w:t xml:space="preserve">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اسْتِبْرَاءِ</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249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97" w:history="1">
            <w:r w:rsidR="00FB4A23" w:rsidRPr="001F2956">
              <w:rPr>
                <w:rStyle w:val="Hyperlink"/>
                <w:noProof/>
                <w:rtl/>
                <w:lang w:bidi="fa-IR"/>
              </w:rPr>
              <w:t xml:space="preserve">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يُجْزِئُهَا</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252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98" w:history="1">
            <w:r w:rsidR="00FB4A23" w:rsidRPr="001F2956">
              <w:rPr>
                <w:rStyle w:val="Hyperlink"/>
                <w:noProof/>
                <w:rtl/>
                <w:lang w:bidi="fa-IR"/>
              </w:rPr>
              <w:t xml:space="preserve">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rFonts w:hint="eastAsia"/>
                <w:noProof/>
                <w:rtl/>
                <w:lang w:bidi="fa-IR"/>
              </w:rPr>
              <w:t>تَرَى</w:t>
            </w:r>
            <w:r w:rsidR="00FB4A23" w:rsidRPr="001F2956">
              <w:rPr>
                <w:rStyle w:val="Hyperlink"/>
                <w:noProof/>
                <w:rtl/>
                <w:lang w:bidi="fa-IR"/>
              </w:rPr>
              <w:t xml:space="preserve"> </w:t>
            </w:r>
            <w:r w:rsidR="00FB4A23" w:rsidRPr="001F2956">
              <w:rPr>
                <w:rStyle w:val="Hyperlink"/>
                <w:rFonts w:hint="eastAsia"/>
                <w:noProof/>
                <w:rtl/>
                <w:lang w:bidi="fa-IR"/>
              </w:rPr>
              <w:t>الدَّمَ</w:t>
            </w:r>
            <w:r w:rsidR="00FB4A23" w:rsidRPr="001F2956">
              <w:rPr>
                <w:rStyle w:val="Hyperlink"/>
                <w:noProof/>
                <w:rtl/>
                <w:lang w:bidi="fa-IR"/>
              </w:rPr>
              <w:t xml:space="preserve"> </w:t>
            </w:r>
            <w:r w:rsidR="00FB4A23" w:rsidRPr="001F2956">
              <w:rPr>
                <w:rStyle w:val="Hyperlink"/>
                <w:rFonts w:hint="eastAsia"/>
                <w:noProof/>
                <w:rtl/>
                <w:lang w:bidi="fa-IR"/>
              </w:rPr>
              <w:t>وَهِيَ</w:t>
            </w:r>
            <w:r w:rsidR="00FB4A23" w:rsidRPr="001F2956">
              <w:rPr>
                <w:rStyle w:val="Hyperlink"/>
                <w:noProof/>
                <w:rtl/>
                <w:lang w:bidi="fa-IR"/>
              </w:rPr>
              <w:t xml:space="preserve"> </w:t>
            </w:r>
            <w:r w:rsidR="00FB4A23" w:rsidRPr="001F2956">
              <w:rPr>
                <w:rStyle w:val="Hyperlink"/>
                <w:rFonts w:hint="eastAsia"/>
                <w:noProof/>
                <w:rtl/>
                <w:lang w:bidi="fa-IR"/>
              </w:rPr>
              <w:t>جُنُبٌ‌</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256</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899" w:history="1">
            <w:r w:rsidR="00FB4A23" w:rsidRPr="001F2956">
              <w:rPr>
                <w:rStyle w:val="Hyperlink"/>
                <w:noProof/>
                <w:rtl/>
                <w:lang w:bidi="fa-IR"/>
              </w:rPr>
              <w:t xml:space="preserve">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جَامِعٌ</w:t>
            </w:r>
            <w:r w:rsidR="00FB4A23" w:rsidRPr="001F2956">
              <w:rPr>
                <w:rStyle w:val="Hyperlink"/>
                <w:noProof/>
                <w:rtl/>
                <w:lang w:bidi="fa-IR"/>
              </w:rPr>
              <w:t xml:space="preserve"> </w:t>
            </w:r>
            <w:r w:rsidR="00FB4A23" w:rsidRPr="001F2956">
              <w:rPr>
                <w:rStyle w:val="Hyperlink"/>
                <w:noProof/>
                <w:vertAlign w:val="superscript"/>
                <w:rtl/>
              </w:rPr>
              <w:t>(5)</w:t>
            </w:r>
            <w:r w:rsidR="00FB4A23" w:rsidRPr="001F2956">
              <w:rPr>
                <w:rStyle w:val="Hyperlink"/>
                <w:noProof/>
                <w:rtl/>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rPr>
              <w:t xml:space="preserve"> </w:t>
            </w:r>
            <w:r w:rsidR="00FB4A23" w:rsidRPr="001F2956">
              <w:rPr>
                <w:rStyle w:val="Hyperlink"/>
                <w:rFonts w:hint="eastAsia"/>
                <w:noProof/>
                <w:rtl/>
                <w:lang w:bidi="fa-IR"/>
              </w:rPr>
              <w:t>وَالْمُسْتَحَاضَةِ‌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40975899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257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00" w:history="1">
            <w:r w:rsidR="00FB4A23" w:rsidRPr="001F2956">
              <w:rPr>
                <w:rStyle w:val="Hyperlink"/>
                <w:noProof/>
                <w:rtl/>
                <w:lang w:bidi="fa-IR"/>
              </w:rPr>
              <w:t xml:space="preserve">10 -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rPr>
              <w:t xml:space="preserve"> </w:t>
            </w:r>
            <w:r w:rsidR="00FB4A23" w:rsidRPr="001F2956">
              <w:rPr>
                <w:rStyle w:val="Hyperlink"/>
                <w:rFonts w:hint="eastAsia"/>
                <w:noProof/>
                <w:rtl/>
                <w:lang w:bidi="fa-IR"/>
              </w:rPr>
              <w:t>مَعْرِفَةِ</w:t>
            </w:r>
            <w:r w:rsidR="00FB4A23" w:rsidRPr="001F2956">
              <w:rPr>
                <w:rStyle w:val="Hyperlink"/>
                <w:noProof/>
                <w:rtl/>
                <w:lang w:bidi="fa-IR"/>
              </w:rPr>
              <w:t xml:space="preserve"> </w:t>
            </w:r>
            <w:r w:rsidR="00FB4A23" w:rsidRPr="001F2956">
              <w:rPr>
                <w:rStyle w:val="Hyperlink"/>
                <w:rFonts w:hint="eastAsia"/>
                <w:noProof/>
                <w:rtl/>
                <w:lang w:bidi="fa-IR"/>
              </w:rPr>
              <w:t>دَمِ</w:t>
            </w:r>
            <w:r w:rsidR="00FB4A23" w:rsidRPr="001F2956">
              <w:rPr>
                <w:rStyle w:val="Hyperlink"/>
                <w:noProof/>
                <w:rtl/>
                <w:lang w:bidi="fa-IR"/>
              </w:rPr>
              <w:t xml:space="preserve"> </w:t>
            </w:r>
            <w:r w:rsidR="00FB4A23" w:rsidRPr="001F2956">
              <w:rPr>
                <w:rStyle w:val="Hyperlink"/>
                <w:rFonts w:hint="eastAsia"/>
                <w:noProof/>
                <w:rtl/>
                <w:lang w:bidi="fa-IR"/>
              </w:rPr>
              <w:t>الْحَيْضِ</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دَمِ</w:t>
            </w:r>
            <w:r w:rsidR="00FB4A23" w:rsidRPr="001F2956">
              <w:rPr>
                <w:rStyle w:val="Hyperlink"/>
                <w:noProof/>
                <w:rtl/>
                <w:lang w:bidi="fa-IR"/>
              </w:rPr>
              <w:t xml:space="preserve"> </w:t>
            </w:r>
            <w:r w:rsidR="00FB4A23" w:rsidRPr="001F2956">
              <w:rPr>
                <w:rStyle w:val="Hyperlink"/>
                <w:rFonts w:hint="eastAsia"/>
                <w:noProof/>
                <w:rtl/>
                <w:lang w:bidi="fa-IR"/>
              </w:rPr>
              <w:t>الِاسْتِحَاضَةِ</w:t>
            </w:r>
            <w:r w:rsidR="00FB4A23" w:rsidRPr="001F2956">
              <w:rPr>
                <w:rStyle w:val="Hyperlink"/>
                <w:noProof/>
                <w:rtl/>
                <w:lang w:bidi="fa-IR"/>
              </w:rPr>
              <w:t xml:space="preserve"> </w:t>
            </w:r>
            <w:r w:rsidR="00FB4A23" w:rsidRPr="001F2956">
              <w:rPr>
                <w:rStyle w:val="Hyperlink"/>
                <w:noProof/>
                <w:vertAlign w:val="superscript"/>
                <w:rtl/>
              </w:rPr>
              <w:t>(3)</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40975900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274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01" w:history="1">
            <w:r w:rsidR="00FB4A23" w:rsidRPr="001F2956">
              <w:rPr>
                <w:rStyle w:val="Hyperlink"/>
                <w:noProof/>
                <w:rtl/>
                <w:lang w:bidi="fa-IR"/>
              </w:rPr>
              <w:t xml:space="preserve">11 -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مَعْرِفَةِ</w:t>
            </w:r>
            <w:r w:rsidR="00FB4A23" w:rsidRPr="001F2956">
              <w:rPr>
                <w:rStyle w:val="Hyperlink"/>
                <w:noProof/>
                <w:rtl/>
                <w:lang w:bidi="fa-IR"/>
              </w:rPr>
              <w:t xml:space="preserve"> </w:t>
            </w:r>
            <w:r w:rsidR="00FB4A23" w:rsidRPr="001F2956">
              <w:rPr>
                <w:rStyle w:val="Hyperlink"/>
                <w:rFonts w:hint="eastAsia"/>
                <w:noProof/>
                <w:rtl/>
                <w:lang w:bidi="fa-IR"/>
              </w:rPr>
              <w:t>دَمِ</w:t>
            </w:r>
            <w:r w:rsidR="00FB4A23" w:rsidRPr="001F2956">
              <w:rPr>
                <w:rStyle w:val="Hyperlink"/>
                <w:noProof/>
                <w:rtl/>
                <w:lang w:bidi="fa-IR"/>
              </w:rPr>
              <w:t xml:space="preserve"> </w:t>
            </w:r>
            <w:r w:rsidR="00FB4A23" w:rsidRPr="001F2956">
              <w:rPr>
                <w:rStyle w:val="Hyperlink"/>
                <w:rFonts w:hint="eastAsia"/>
                <w:noProof/>
                <w:rtl/>
                <w:lang w:bidi="fa-IR"/>
              </w:rPr>
              <w:t>الْحَيْضِ</w:t>
            </w:r>
            <w:r w:rsidR="00FB4A23" w:rsidRPr="001F2956">
              <w:rPr>
                <w:rStyle w:val="Hyperlink"/>
                <w:noProof/>
                <w:rtl/>
                <w:lang w:bidi="fa-IR"/>
              </w:rPr>
              <w:t xml:space="preserve"> </w:t>
            </w:r>
            <w:r w:rsidR="00FB4A23" w:rsidRPr="001F2956">
              <w:rPr>
                <w:rStyle w:val="Hyperlink"/>
                <w:rFonts w:hint="eastAsia"/>
                <w:noProof/>
                <w:rtl/>
                <w:lang w:bidi="fa-IR"/>
              </w:rPr>
              <w:t>وَالْعُذْرَةِ</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rPr>
              <w:t xml:space="preserve"> </w:t>
            </w:r>
            <w:r w:rsidR="00FB4A23" w:rsidRPr="001F2956">
              <w:rPr>
                <w:rStyle w:val="Hyperlink"/>
                <w:rFonts w:hint="eastAsia"/>
                <w:noProof/>
                <w:rtl/>
                <w:lang w:bidi="fa-IR"/>
              </w:rPr>
              <w:t>وَالْقَرْحَةِ</w:t>
            </w:r>
            <w:r w:rsidR="00FB4A23" w:rsidRPr="001F2956">
              <w:rPr>
                <w:rStyle w:val="Hyperlink"/>
                <w:noProof/>
                <w:rtl/>
                <w:lang w:bidi="fa-IR"/>
              </w:rPr>
              <w:t xml:space="preserve"> </w:t>
            </w:r>
            <w:r w:rsidR="00FB4A23" w:rsidRPr="001F2956">
              <w:rPr>
                <w:rStyle w:val="Hyperlink"/>
                <w:noProof/>
                <w:vertAlign w:val="superscript"/>
                <w:rtl/>
              </w:rPr>
              <w:t>(10)</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40975901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278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02" w:history="1">
            <w:r w:rsidR="00FB4A23" w:rsidRPr="001F2956">
              <w:rPr>
                <w:rStyle w:val="Hyperlink"/>
                <w:noProof/>
                <w:rtl/>
                <w:lang w:bidi="fa-IR"/>
              </w:rPr>
              <w:t xml:space="preserve">12 -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الْحُبْلى</w:t>
            </w:r>
            <w:r w:rsidR="00FB4A23" w:rsidRPr="001F2956">
              <w:rPr>
                <w:rStyle w:val="Hyperlink"/>
                <w:noProof/>
                <w:rtl/>
                <w:lang w:bidi="fa-IR"/>
              </w:rPr>
              <w:t xml:space="preserve"> </w:t>
            </w:r>
            <w:r w:rsidR="00FB4A23" w:rsidRPr="001F2956">
              <w:rPr>
                <w:rStyle w:val="Hyperlink"/>
                <w:rFonts w:hint="eastAsia"/>
                <w:noProof/>
                <w:rtl/>
                <w:lang w:bidi="fa-IR"/>
              </w:rPr>
              <w:t>تَرَى</w:t>
            </w:r>
            <w:r w:rsidR="00FB4A23" w:rsidRPr="001F2956">
              <w:rPr>
                <w:rStyle w:val="Hyperlink"/>
                <w:noProof/>
                <w:rtl/>
                <w:lang w:bidi="fa-IR"/>
              </w:rPr>
              <w:t xml:space="preserve"> </w:t>
            </w:r>
            <w:r w:rsidR="00FB4A23" w:rsidRPr="001F2956">
              <w:rPr>
                <w:rStyle w:val="Hyperlink"/>
                <w:rFonts w:hint="eastAsia"/>
                <w:noProof/>
                <w:rtl/>
                <w:lang w:bidi="fa-IR"/>
              </w:rPr>
              <w:t>الدَّمَ‌</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40975902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285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03" w:history="1">
            <w:r w:rsidR="00FB4A23" w:rsidRPr="001F2956">
              <w:rPr>
                <w:rStyle w:val="Hyperlink"/>
                <w:noProof/>
                <w:rtl/>
                <w:lang w:bidi="fa-IR"/>
              </w:rPr>
              <w:t xml:space="preserve">13 -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النُّفَسَاءِ‌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40975903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291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04" w:history="1">
            <w:r w:rsidR="00FB4A23" w:rsidRPr="001F2956">
              <w:rPr>
                <w:rStyle w:val="Hyperlink"/>
                <w:noProof/>
                <w:rtl/>
                <w:lang w:bidi="fa-IR"/>
              </w:rPr>
              <w:t xml:space="preserve">14 -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النُّفَسَاءِ</w:t>
            </w:r>
            <w:r w:rsidR="00FB4A23" w:rsidRPr="001F2956">
              <w:rPr>
                <w:rStyle w:val="Hyperlink"/>
                <w:noProof/>
                <w:rtl/>
                <w:lang w:bidi="fa-IR"/>
              </w:rPr>
              <w:t xml:space="preserve"> </w:t>
            </w:r>
            <w:r w:rsidR="00FB4A23" w:rsidRPr="001F2956">
              <w:rPr>
                <w:rStyle w:val="Hyperlink"/>
                <w:rFonts w:hint="eastAsia"/>
                <w:noProof/>
                <w:rtl/>
                <w:lang w:bidi="fa-IR"/>
              </w:rPr>
              <w:t>تَطْهُرُ</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rPr>
              <w:t xml:space="preserve"> </w:t>
            </w:r>
            <w:r w:rsidR="00FB4A23" w:rsidRPr="001F2956">
              <w:rPr>
                <w:rStyle w:val="Hyperlink"/>
                <w:rFonts w:hint="eastAsia"/>
                <w:noProof/>
                <w:rtl/>
                <w:lang w:bidi="fa-IR"/>
              </w:rPr>
              <w:t>ثُمَّ</w:t>
            </w:r>
            <w:r w:rsidR="00FB4A23" w:rsidRPr="001F2956">
              <w:rPr>
                <w:rStyle w:val="Hyperlink"/>
                <w:noProof/>
                <w:rtl/>
                <w:lang w:bidi="fa-IR"/>
              </w:rPr>
              <w:t xml:space="preserve"> </w:t>
            </w:r>
            <w:r w:rsidR="00FB4A23" w:rsidRPr="001F2956">
              <w:rPr>
                <w:rStyle w:val="Hyperlink"/>
                <w:rFonts w:hint="eastAsia"/>
                <w:noProof/>
                <w:rtl/>
                <w:lang w:bidi="fa-IR"/>
              </w:rPr>
              <w:t>تَرَى</w:t>
            </w:r>
            <w:r w:rsidR="00FB4A23" w:rsidRPr="001F2956">
              <w:rPr>
                <w:rStyle w:val="Hyperlink"/>
                <w:noProof/>
                <w:rtl/>
                <w:lang w:bidi="fa-IR"/>
              </w:rPr>
              <w:t xml:space="preserve"> </w:t>
            </w:r>
            <w:r w:rsidR="00FB4A23" w:rsidRPr="001F2956">
              <w:rPr>
                <w:rStyle w:val="Hyperlink"/>
                <w:rFonts w:hint="eastAsia"/>
                <w:noProof/>
                <w:rtl/>
                <w:lang w:bidi="fa-IR"/>
              </w:rPr>
              <w:t>الدَّمَ</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lang w:bidi="fa-IR"/>
              </w:rPr>
              <w:t xml:space="preserve"> </w:t>
            </w:r>
            <w:r w:rsidR="00FB4A23" w:rsidRPr="001F2956">
              <w:rPr>
                <w:rStyle w:val="Hyperlink"/>
                <w:rFonts w:hint="eastAsia"/>
                <w:noProof/>
                <w:rtl/>
                <w:lang w:bidi="fa-IR"/>
              </w:rPr>
              <w:t>رَأَتِ</w:t>
            </w:r>
            <w:r w:rsidR="00FB4A23" w:rsidRPr="001F2956">
              <w:rPr>
                <w:rStyle w:val="Hyperlink"/>
                <w:noProof/>
                <w:rtl/>
                <w:lang w:bidi="fa-IR"/>
              </w:rPr>
              <w:t xml:space="preserve"> </w:t>
            </w:r>
            <w:r w:rsidR="00FB4A23" w:rsidRPr="001F2956">
              <w:rPr>
                <w:rStyle w:val="Hyperlink"/>
                <w:rFonts w:hint="eastAsia"/>
                <w:noProof/>
                <w:rtl/>
                <w:lang w:bidi="fa-IR"/>
              </w:rPr>
              <w:t>الدَّمَ</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rPr>
              <w:t xml:space="preserve"> </w:t>
            </w:r>
            <w:r w:rsidR="00FB4A23" w:rsidRPr="001F2956">
              <w:rPr>
                <w:rStyle w:val="Hyperlink"/>
                <w:rFonts w:hint="eastAsia"/>
                <w:noProof/>
                <w:rtl/>
                <w:lang w:bidi="fa-IR"/>
              </w:rPr>
              <w:t>قَبْلَ</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تَلِدَ‌</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40975904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296</w:t>
            </w:r>
            <w:r w:rsidR="00FB4A23">
              <w:rPr>
                <w:noProof/>
                <w:webHidden/>
                <w:rtl/>
              </w:rPr>
              <w:fldChar w:fldCharType="end"/>
            </w:r>
          </w:hyperlink>
        </w:p>
        <w:p w:rsidR="00FB4A23" w:rsidRDefault="00FB4A23" w:rsidP="00077571">
          <w:pPr>
            <w:pStyle w:val="libNormal"/>
            <w:rPr>
              <w:rStyle w:val="Hyperlink"/>
              <w:noProof/>
            </w:rPr>
          </w:pPr>
          <w:r>
            <w:rPr>
              <w:rStyle w:val="Hyperlink"/>
              <w:noProof/>
            </w:rPr>
            <w:br w:type="page"/>
          </w:r>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05" w:history="1">
            <w:r w:rsidR="00FB4A23" w:rsidRPr="001F2956">
              <w:rPr>
                <w:rStyle w:val="Hyperlink"/>
                <w:noProof/>
                <w:rtl/>
                <w:lang w:bidi="fa-IR"/>
              </w:rPr>
              <w:t xml:space="preserve">15 -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يَجِبُ</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noProof/>
                <w:vertAlign w:val="superscript"/>
                <w:rtl/>
              </w:rPr>
              <w:t>(11)</w:t>
            </w:r>
            <w:r w:rsidR="00FB4A23" w:rsidRPr="001F2956">
              <w:rPr>
                <w:rStyle w:val="Hyperlink"/>
                <w:noProof/>
                <w:rtl/>
              </w:rPr>
              <w:t xml:space="preserve"> </w:t>
            </w:r>
            <w:r w:rsidR="00FB4A23" w:rsidRPr="001F2956">
              <w:rPr>
                <w:rStyle w:val="Hyperlink"/>
                <w:rFonts w:hint="eastAsia"/>
                <w:noProof/>
                <w:rtl/>
                <w:lang w:bidi="fa-IR"/>
              </w:rPr>
              <w:t>أَوْقَاتِ</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noProof/>
                <w:vertAlign w:val="superscript"/>
                <w:rtl/>
              </w:rPr>
              <w:t>(12)</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40975905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297</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906" w:history="1">
            <w:r w:rsidR="00FB4A23" w:rsidRPr="001F2956">
              <w:rPr>
                <w:rStyle w:val="Hyperlink"/>
                <w:noProof/>
                <w:rtl/>
                <w:lang w:bidi="fa-IR"/>
              </w:rPr>
              <w:t xml:space="preserve">16 -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rFonts w:hint="eastAsia"/>
                <w:noProof/>
                <w:rtl/>
                <w:lang w:bidi="fa-IR"/>
              </w:rPr>
              <w:t>تَحِيضُ</w:t>
            </w:r>
            <w:r w:rsidR="00FB4A23" w:rsidRPr="001F2956">
              <w:rPr>
                <w:rStyle w:val="Hyperlink"/>
                <w:noProof/>
                <w:rtl/>
                <w:lang w:bidi="fa-IR"/>
              </w:rPr>
              <w:t xml:space="preserve"> </w:t>
            </w:r>
            <w:r w:rsidR="00FB4A23" w:rsidRPr="001F2956">
              <w:rPr>
                <w:rStyle w:val="Hyperlink"/>
                <w:rFonts w:hint="eastAsia"/>
                <w:noProof/>
                <w:rtl/>
                <w:lang w:bidi="fa-IR"/>
              </w:rPr>
              <w:t>بَعْدَ</w:t>
            </w:r>
            <w:r w:rsidR="00FB4A23" w:rsidRPr="001F2956">
              <w:rPr>
                <w:rStyle w:val="Hyperlink"/>
                <w:noProof/>
                <w:rtl/>
                <w:lang w:bidi="fa-IR"/>
              </w:rPr>
              <w:t xml:space="preserve"> </w:t>
            </w:r>
            <w:r w:rsidR="00FB4A23" w:rsidRPr="001F2956">
              <w:rPr>
                <w:rStyle w:val="Hyperlink"/>
                <w:rFonts w:hint="eastAsia"/>
                <w:noProof/>
                <w:rtl/>
                <w:lang w:bidi="fa-IR"/>
              </w:rPr>
              <w:t>دُخُولِ</w:t>
            </w:r>
            <w:r w:rsidR="00FB4A23" w:rsidRPr="001F2956">
              <w:rPr>
                <w:rStyle w:val="Hyperlink"/>
                <w:noProof/>
                <w:rtl/>
                <w:lang w:bidi="fa-IR"/>
              </w:rPr>
              <w:t xml:space="preserve"> </w:t>
            </w:r>
            <w:r w:rsidR="00FB4A23" w:rsidRPr="001F2956">
              <w:rPr>
                <w:rStyle w:val="Hyperlink"/>
                <w:rFonts w:hint="eastAsia"/>
                <w:noProof/>
                <w:rtl/>
                <w:lang w:bidi="fa-IR"/>
              </w:rPr>
              <w:t>وَقْتِ</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rFonts w:hint="eastAsia"/>
                <w:noProof/>
                <w:rtl/>
                <w:lang w:bidi="fa-IR"/>
              </w:rPr>
              <w:t>قَبْلَ</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تُصَلِّيَهَا</w:t>
            </w:r>
            <w:r w:rsidR="00FB4A23" w:rsidRPr="001F2956">
              <w:rPr>
                <w:rStyle w:val="Hyperlink"/>
                <w:noProof/>
                <w:rtl/>
                <w:lang w:bidi="fa-IR"/>
              </w:rPr>
              <w:t xml:space="preserve"> </w:t>
            </w:r>
            <w:r w:rsidR="00FB4A23" w:rsidRPr="001F2956">
              <w:rPr>
                <w:rStyle w:val="Hyperlink"/>
                <w:rFonts w:hint="eastAsia"/>
                <w:noProof/>
                <w:rtl/>
                <w:lang w:bidi="fa-IR"/>
              </w:rPr>
              <w:t>،</w:t>
            </w:r>
          </w:hyperlink>
          <w:r w:rsidR="00FB4A23">
            <w:rPr>
              <w:rStyle w:val="Hyperlink"/>
              <w:rFonts w:hint="cs"/>
              <w:noProof/>
              <w:rtl/>
            </w:rPr>
            <w:t xml:space="preserve"> </w:t>
          </w:r>
          <w:hyperlink w:anchor="_Toc40975907" w:history="1">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تَطْهُرُ</w:t>
            </w:r>
            <w:r w:rsidR="00FB4A23" w:rsidRPr="001F2956">
              <w:rPr>
                <w:rStyle w:val="Hyperlink"/>
                <w:noProof/>
                <w:rtl/>
                <w:lang w:bidi="fa-IR"/>
              </w:rPr>
              <w:t xml:space="preserve"> </w:t>
            </w:r>
            <w:r w:rsidR="00FB4A23" w:rsidRPr="001F2956">
              <w:rPr>
                <w:rStyle w:val="Hyperlink"/>
                <w:rFonts w:hint="eastAsia"/>
                <w:noProof/>
                <w:rtl/>
                <w:lang w:bidi="fa-IR"/>
              </w:rPr>
              <w:t>قَبْلَ</w:t>
            </w:r>
            <w:r w:rsidR="00FB4A23" w:rsidRPr="001F2956">
              <w:rPr>
                <w:rStyle w:val="Hyperlink"/>
                <w:noProof/>
                <w:rtl/>
                <w:lang w:bidi="fa-IR"/>
              </w:rPr>
              <w:t xml:space="preserve"> </w:t>
            </w:r>
            <w:r w:rsidR="00FB4A23" w:rsidRPr="001F2956">
              <w:rPr>
                <w:rStyle w:val="Hyperlink"/>
                <w:rFonts w:hint="eastAsia"/>
                <w:noProof/>
                <w:rtl/>
                <w:lang w:bidi="fa-IR"/>
              </w:rPr>
              <w:t>دُخُولِ</w:t>
            </w:r>
            <w:r w:rsidR="00FB4A23" w:rsidRPr="001F2956">
              <w:rPr>
                <w:rStyle w:val="Hyperlink"/>
                <w:noProof/>
                <w:rtl/>
                <w:lang w:bidi="fa-IR"/>
              </w:rPr>
              <w:t xml:space="preserve"> </w:t>
            </w:r>
            <w:r w:rsidR="00FB4A23" w:rsidRPr="001F2956">
              <w:rPr>
                <w:rStyle w:val="Hyperlink"/>
                <w:rFonts w:hint="eastAsia"/>
                <w:noProof/>
                <w:rtl/>
                <w:lang w:bidi="fa-IR"/>
              </w:rPr>
              <w:t>وَقْتِهَا</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فَتَتَوَانى</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الْغُسْلِ</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40975907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300</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908" w:history="1">
            <w:r w:rsidR="00FB4A23" w:rsidRPr="001F2956">
              <w:rPr>
                <w:rStyle w:val="Hyperlink"/>
                <w:noProof/>
                <w:rtl/>
                <w:lang w:bidi="fa-IR"/>
              </w:rPr>
              <w:t xml:space="preserve">17 -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تَكُونُ</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rFonts w:hint="eastAsia"/>
                <w:noProof/>
                <w:rtl/>
                <w:lang w:bidi="fa-IR"/>
              </w:rPr>
              <w:t>فَتَحُسُّ</w:t>
            </w:r>
            <w:r w:rsidR="00FB4A23" w:rsidRPr="001F2956">
              <w:rPr>
                <w:rStyle w:val="Hyperlink"/>
                <w:noProof/>
                <w:rtl/>
                <w:lang w:bidi="fa-IR"/>
              </w:rPr>
              <w:t xml:space="preserve"> </w:t>
            </w:r>
            <w:r w:rsidR="00FB4A23" w:rsidRPr="001F2956">
              <w:rPr>
                <w:rStyle w:val="Hyperlink"/>
                <w:rFonts w:hint="eastAsia"/>
                <w:noProof/>
                <w:rtl/>
                <w:lang w:bidi="fa-IR"/>
              </w:rPr>
              <w:t>بِالْحَيْضِ</w:t>
            </w:r>
          </w:hyperlink>
          <w:r w:rsidR="00FB4A23">
            <w:rPr>
              <w:rStyle w:val="Hyperlink"/>
              <w:rFonts w:hint="cs"/>
              <w:noProof/>
              <w:rtl/>
            </w:rPr>
            <w:t xml:space="preserve"> </w:t>
          </w:r>
          <w:hyperlink w:anchor="_Toc40975909" w:history="1">
            <w:r w:rsidR="00FB4A23" w:rsidRPr="001F2956">
              <w:rPr>
                <w:rStyle w:val="Hyperlink"/>
                <w:noProof/>
                <w:rtl/>
                <w:lang w:bidi="fa-IR"/>
              </w:rPr>
              <w:t xml:space="preserve">18 -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rFonts w:hint="eastAsia"/>
                <w:noProof/>
                <w:rtl/>
                <w:lang w:bidi="fa-IR"/>
              </w:rPr>
              <w:t>تَقْضِي</w:t>
            </w:r>
            <w:r w:rsidR="00FB4A23" w:rsidRPr="001F2956">
              <w:rPr>
                <w:rStyle w:val="Hyperlink"/>
                <w:noProof/>
                <w:rtl/>
                <w:lang w:bidi="fa-IR"/>
              </w:rPr>
              <w:t xml:space="preserve"> </w:t>
            </w:r>
            <w:r w:rsidR="00FB4A23" w:rsidRPr="001F2956">
              <w:rPr>
                <w:rStyle w:val="Hyperlink"/>
                <w:rFonts w:hint="eastAsia"/>
                <w:noProof/>
                <w:rtl/>
                <w:lang w:bidi="fa-IR"/>
              </w:rPr>
              <w:t>الصَّوْمَ</w:t>
            </w:r>
            <w:r w:rsidR="00FB4A23" w:rsidRPr="001F2956">
              <w:rPr>
                <w:rStyle w:val="Hyperlink"/>
                <w:noProof/>
                <w:rtl/>
                <w:lang w:bidi="fa-IR"/>
              </w:rPr>
              <w:t xml:space="preserve"> </w:t>
            </w:r>
            <w:r w:rsidR="00FB4A23" w:rsidRPr="001F2956">
              <w:rPr>
                <w:rStyle w:val="Hyperlink"/>
                <w:noProof/>
                <w:vertAlign w:val="superscript"/>
                <w:rtl/>
              </w:rPr>
              <w:t>(5)</w:t>
            </w:r>
            <w:r w:rsidR="00FB4A23" w:rsidRPr="001F2956">
              <w:rPr>
                <w:rStyle w:val="Hyperlink"/>
                <w:noProof/>
                <w:rtl/>
              </w:rPr>
              <w:t xml:space="preserve"> </w:t>
            </w:r>
            <w:r w:rsidR="00FB4A23" w:rsidRPr="001F2956">
              <w:rPr>
                <w:rStyle w:val="Hyperlink"/>
                <w:rFonts w:hint="eastAsia"/>
                <w:noProof/>
                <w:rtl/>
                <w:lang w:bidi="fa-IR"/>
              </w:rPr>
              <w:t>وَلَاتَقْضِي</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40975909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305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10" w:history="1">
            <w:r w:rsidR="00FB4A23" w:rsidRPr="001F2956">
              <w:rPr>
                <w:rStyle w:val="Hyperlink"/>
                <w:noProof/>
                <w:rtl/>
                <w:lang w:bidi="fa-IR"/>
              </w:rPr>
              <w:t xml:space="preserve">19 -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rFonts w:hint="eastAsia"/>
                <w:noProof/>
                <w:rtl/>
                <w:lang w:bidi="fa-IR"/>
              </w:rPr>
              <w:t>وَالنُّفَسَاءِ</w:t>
            </w:r>
            <w:r w:rsidR="00FB4A23" w:rsidRPr="001F2956">
              <w:rPr>
                <w:rStyle w:val="Hyperlink"/>
                <w:noProof/>
                <w:rtl/>
                <w:lang w:bidi="fa-IR"/>
              </w:rPr>
              <w:t xml:space="preserve"> </w:t>
            </w:r>
            <w:r w:rsidR="00FB4A23" w:rsidRPr="001F2956">
              <w:rPr>
                <w:rStyle w:val="Hyperlink"/>
                <w:rFonts w:hint="eastAsia"/>
                <w:noProof/>
                <w:rtl/>
                <w:lang w:bidi="fa-IR"/>
              </w:rPr>
              <w:t>تَقْرَءَانِ</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rPr>
              <w:t xml:space="preserve"> </w:t>
            </w:r>
            <w:r w:rsidR="00FB4A23" w:rsidRPr="001F2956">
              <w:rPr>
                <w:rStyle w:val="Hyperlink"/>
                <w:rFonts w:hint="eastAsia"/>
                <w:noProof/>
                <w:rtl/>
                <w:lang w:bidi="fa-IR"/>
              </w:rPr>
              <w:t>الْقُرْآنَ‌</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310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11" w:history="1">
            <w:r w:rsidR="00FB4A23" w:rsidRPr="001F2956">
              <w:rPr>
                <w:rStyle w:val="Hyperlink"/>
                <w:noProof/>
                <w:rtl/>
                <w:lang w:bidi="fa-IR"/>
              </w:rPr>
              <w:t xml:space="preserve">20 -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rFonts w:hint="eastAsia"/>
                <w:noProof/>
                <w:rtl/>
                <w:lang w:bidi="fa-IR"/>
              </w:rPr>
              <w:t>تَأْخُذُ</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الْمَسْجِدِ</w:t>
            </w:r>
            <w:r w:rsidR="00FB4A23" w:rsidRPr="001F2956">
              <w:rPr>
                <w:rStyle w:val="Hyperlink"/>
                <w:noProof/>
                <w:rtl/>
                <w:lang w:bidi="fa-IR"/>
              </w:rPr>
              <w:t xml:space="preserve"> </w:t>
            </w:r>
            <w:r w:rsidR="00FB4A23" w:rsidRPr="001F2956">
              <w:rPr>
                <w:rStyle w:val="Hyperlink"/>
                <w:rFonts w:hint="eastAsia"/>
                <w:noProof/>
                <w:rtl/>
                <w:lang w:bidi="fa-IR"/>
              </w:rPr>
              <w:t>وَلَاتَضَعُ</w:t>
            </w:r>
            <w:r w:rsidR="00FB4A23" w:rsidRPr="001F2956">
              <w:rPr>
                <w:rStyle w:val="Hyperlink"/>
                <w:noProof/>
                <w:rtl/>
                <w:lang w:bidi="fa-IR"/>
              </w:rPr>
              <w:t xml:space="preserve"> </w:t>
            </w:r>
            <w:r w:rsidR="00FB4A23" w:rsidRPr="001F2956">
              <w:rPr>
                <w:rStyle w:val="Hyperlink"/>
                <w:rFonts w:hint="eastAsia"/>
                <w:noProof/>
                <w:rtl/>
                <w:lang w:bidi="fa-IR"/>
              </w:rPr>
              <w:t>فِيهِ</w:t>
            </w:r>
            <w:r w:rsidR="00FB4A23" w:rsidRPr="001F2956">
              <w:rPr>
                <w:rStyle w:val="Hyperlink"/>
                <w:noProof/>
                <w:rtl/>
                <w:lang w:bidi="fa-IR"/>
              </w:rPr>
              <w:t xml:space="preserve"> </w:t>
            </w:r>
            <w:r w:rsidR="00FB4A23" w:rsidRPr="001F2956">
              <w:rPr>
                <w:rStyle w:val="Hyperlink"/>
                <w:rFonts w:hint="eastAsia"/>
                <w:noProof/>
                <w:rtl/>
                <w:lang w:bidi="fa-IR"/>
              </w:rPr>
              <w:t>شَيْئاً‌</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312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12" w:history="1">
            <w:r w:rsidR="00FB4A23" w:rsidRPr="001F2956">
              <w:rPr>
                <w:rStyle w:val="Hyperlink"/>
                <w:noProof/>
                <w:rtl/>
                <w:lang w:bidi="fa-IR"/>
              </w:rPr>
              <w:t xml:space="preserve">21 -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rFonts w:hint="eastAsia"/>
                <w:noProof/>
                <w:rtl/>
                <w:lang w:bidi="fa-IR"/>
              </w:rPr>
              <w:t>يَرْتَفِعُ</w:t>
            </w:r>
            <w:r w:rsidR="00FB4A23" w:rsidRPr="001F2956">
              <w:rPr>
                <w:rStyle w:val="Hyperlink"/>
                <w:noProof/>
                <w:rtl/>
                <w:lang w:bidi="fa-IR"/>
              </w:rPr>
              <w:t xml:space="preserve"> </w:t>
            </w:r>
            <w:r w:rsidR="00FB4A23" w:rsidRPr="001F2956">
              <w:rPr>
                <w:rStyle w:val="Hyperlink"/>
                <w:rFonts w:hint="eastAsia"/>
                <w:noProof/>
                <w:rtl/>
                <w:lang w:bidi="fa-IR"/>
              </w:rPr>
              <w:t>طَمْثُهَا</w:t>
            </w:r>
            <w:r w:rsidR="00FB4A23" w:rsidRPr="001F2956">
              <w:rPr>
                <w:rStyle w:val="Hyperlink"/>
                <w:noProof/>
                <w:rtl/>
                <w:lang w:bidi="fa-IR"/>
              </w:rPr>
              <w:t xml:space="preserve"> </w:t>
            </w:r>
            <w:r w:rsidR="00FB4A23" w:rsidRPr="001F2956">
              <w:rPr>
                <w:rStyle w:val="Hyperlink"/>
                <w:rFonts w:hint="eastAsia"/>
                <w:noProof/>
                <w:rtl/>
                <w:lang w:bidi="fa-IR"/>
              </w:rPr>
              <w:t>ثُمَّ</w:t>
            </w:r>
            <w:r w:rsidR="00FB4A23" w:rsidRPr="001F2956">
              <w:rPr>
                <w:rStyle w:val="Hyperlink"/>
                <w:noProof/>
                <w:rtl/>
                <w:lang w:bidi="fa-IR"/>
              </w:rPr>
              <w:t xml:space="preserve"> </w:t>
            </w:r>
            <w:r w:rsidR="00FB4A23" w:rsidRPr="001F2956">
              <w:rPr>
                <w:rStyle w:val="Hyperlink"/>
                <w:rFonts w:hint="eastAsia"/>
                <w:noProof/>
                <w:rtl/>
                <w:lang w:bidi="fa-IR"/>
              </w:rPr>
              <w:t>يَعُودُ</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وَحَدِّ</w:t>
            </w:r>
            <w:r w:rsidR="00FB4A23" w:rsidRPr="001F2956">
              <w:rPr>
                <w:rStyle w:val="Hyperlink"/>
                <w:noProof/>
                <w:rtl/>
                <w:lang w:bidi="fa-IR"/>
              </w:rPr>
              <w:t xml:space="preserve"> </w:t>
            </w:r>
            <w:r w:rsidR="00FB4A23" w:rsidRPr="001F2956">
              <w:rPr>
                <w:rStyle w:val="Hyperlink"/>
                <w:rFonts w:hint="eastAsia"/>
                <w:noProof/>
                <w:rtl/>
                <w:lang w:bidi="fa-IR"/>
              </w:rPr>
              <w:t>الْيَأْسِ</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الْمَحِيضِ</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313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13" w:history="1">
            <w:r w:rsidR="00FB4A23" w:rsidRPr="001F2956">
              <w:rPr>
                <w:rStyle w:val="Hyperlink"/>
                <w:noProof/>
                <w:rtl/>
                <w:lang w:bidi="fa-IR"/>
              </w:rPr>
              <w:t xml:space="preserve">22 -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rFonts w:hint="eastAsia"/>
                <w:noProof/>
                <w:rtl/>
                <w:lang w:bidi="fa-IR"/>
              </w:rPr>
              <w:t>يَرْتَفِعُ</w:t>
            </w:r>
            <w:r w:rsidR="00FB4A23" w:rsidRPr="001F2956">
              <w:rPr>
                <w:rStyle w:val="Hyperlink"/>
                <w:noProof/>
                <w:rtl/>
                <w:lang w:bidi="fa-IR"/>
              </w:rPr>
              <w:t xml:space="preserve"> </w:t>
            </w:r>
            <w:r w:rsidR="00FB4A23" w:rsidRPr="001F2956">
              <w:rPr>
                <w:rStyle w:val="Hyperlink"/>
                <w:rFonts w:hint="eastAsia"/>
                <w:noProof/>
                <w:rtl/>
                <w:lang w:bidi="fa-IR"/>
              </w:rPr>
              <w:t>طَمْثُهَا</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عِلَّةٍ</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فَتُسْقَى</w:t>
            </w:r>
            <w:r w:rsidR="00FB4A23" w:rsidRPr="001F2956">
              <w:rPr>
                <w:rStyle w:val="Hyperlink"/>
                <w:noProof/>
                <w:rtl/>
                <w:lang w:bidi="fa-IR"/>
              </w:rPr>
              <w:t xml:space="preserve"> </w:t>
            </w:r>
            <w:r w:rsidR="00FB4A23" w:rsidRPr="001F2956">
              <w:rPr>
                <w:rStyle w:val="Hyperlink"/>
                <w:rFonts w:hint="eastAsia"/>
                <w:noProof/>
                <w:rtl/>
                <w:lang w:bidi="fa-IR"/>
              </w:rPr>
              <w:t>الدَّوَاءَ</w:t>
            </w:r>
            <w:r w:rsidR="00FB4A23" w:rsidRPr="001F2956">
              <w:rPr>
                <w:rStyle w:val="Hyperlink"/>
                <w:noProof/>
                <w:rtl/>
                <w:lang w:bidi="fa-IR"/>
              </w:rPr>
              <w:t xml:space="preserve"> </w:t>
            </w:r>
            <w:r w:rsidR="00FB4A23" w:rsidRPr="001F2956">
              <w:rPr>
                <w:rStyle w:val="Hyperlink"/>
                <w:rFonts w:hint="eastAsia"/>
                <w:noProof/>
                <w:rtl/>
                <w:lang w:bidi="fa-IR"/>
              </w:rPr>
              <w:t>لِيَعُودَ</w:t>
            </w:r>
            <w:r w:rsidR="00FB4A23" w:rsidRPr="001F2956">
              <w:rPr>
                <w:rStyle w:val="Hyperlink"/>
                <w:noProof/>
                <w:rtl/>
                <w:lang w:bidi="fa-IR"/>
              </w:rPr>
              <w:t xml:space="preserve"> </w:t>
            </w:r>
            <w:r w:rsidR="00FB4A23" w:rsidRPr="001F2956">
              <w:rPr>
                <w:rStyle w:val="Hyperlink"/>
                <w:rFonts w:hint="eastAsia"/>
                <w:noProof/>
                <w:rtl/>
                <w:lang w:bidi="fa-IR"/>
              </w:rPr>
              <w:t>طَمْثُهَا‌</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315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14" w:history="1">
            <w:r w:rsidR="00FB4A23" w:rsidRPr="001F2956">
              <w:rPr>
                <w:rStyle w:val="Hyperlink"/>
                <w:noProof/>
                <w:rtl/>
                <w:lang w:bidi="fa-IR"/>
              </w:rPr>
              <w:t xml:space="preserve">23 -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rFonts w:hint="eastAsia"/>
                <w:noProof/>
                <w:rtl/>
                <w:lang w:bidi="fa-IR"/>
              </w:rPr>
              <w:t>تَخْتَضِبُ‌</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317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15" w:history="1">
            <w:r w:rsidR="00FB4A23" w:rsidRPr="001F2956">
              <w:rPr>
                <w:rStyle w:val="Hyperlink"/>
                <w:noProof/>
                <w:rtl/>
                <w:lang w:bidi="fa-IR"/>
              </w:rPr>
              <w:t xml:space="preserve">24 -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ثِيَابِ</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318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16" w:history="1">
            <w:r w:rsidR="00FB4A23" w:rsidRPr="001F2956">
              <w:rPr>
                <w:rStyle w:val="Hyperlink"/>
                <w:noProof/>
                <w:rtl/>
                <w:lang w:bidi="fa-IR"/>
              </w:rPr>
              <w:t xml:space="preserve">25 -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rFonts w:hint="eastAsia"/>
                <w:noProof/>
                <w:rtl/>
                <w:lang w:bidi="fa-IR"/>
              </w:rPr>
              <w:t>تَتَنَاوَلُ</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الْخُمْرَةَ</w:t>
            </w:r>
            <w:r w:rsidR="00FB4A23" w:rsidRPr="001F2956">
              <w:rPr>
                <w:rStyle w:val="Hyperlink"/>
                <w:noProof/>
                <w:rtl/>
                <w:lang w:bidi="fa-IR"/>
              </w:rPr>
              <w:t xml:space="preserve"> </w:t>
            </w:r>
            <w:r w:rsidR="00FB4A23" w:rsidRPr="001F2956">
              <w:rPr>
                <w:rStyle w:val="Hyperlink"/>
                <w:noProof/>
                <w:vertAlign w:val="superscript"/>
                <w:rtl/>
              </w:rPr>
              <w:t>(2)</w:t>
            </w:r>
            <w:r w:rsidR="00FB4A23" w:rsidRPr="001F2956">
              <w:rPr>
                <w:rStyle w:val="Hyperlink"/>
                <w:noProof/>
                <w:rtl/>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320</w:t>
            </w:r>
            <w:r w:rsidR="00FB4A23">
              <w:rPr>
                <w:noProof/>
                <w:webHidden/>
                <w:rtl/>
              </w:rPr>
              <w:fldChar w:fldCharType="end"/>
            </w:r>
          </w:hyperlink>
        </w:p>
        <w:p w:rsidR="00FB4A23" w:rsidRDefault="008811AB" w:rsidP="00FB4A23">
          <w:pPr>
            <w:pStyle w:val="TOC1"/>
            <w:rPr>
              <w:rFonts w:asciiTheme="minorHAnsi" w:eastAsiaTheme="minorEastAsia" w:hAnsiTheme="minorHAnsi" w:cstheme="minorBidi"/>
              <w:bCs w:val="0"/>
              <w:noProof/>
              <w:color w:val="auto"/>
              <w:sz w:val="22"/>
              <w:szCs w:val="22"/>
              <w:rtl/>
            </w:rPr>
          </w:pPr>
          <w:hyperlink w:anchor="_Toc40975917" w:history="1">
            <w:r w:rsidR="00FB4A23" w:rsidRPr="001F2956">
              <w:rPr>
                <w:rStyle w:val="Hyperlink"/>
                <w:noProof/>
                <w:rtl/>
              </w:rPr>
              <w:t>(11)</w:t>
            </w:r>
            <w:r w:rsidR="00FB4A23">
              <w:rPr>
                <w:noProof/>
                <w:webHidden/>
                <w:rtl/>
              </w:rPr>
              <w:t xml:space="preserve"> </w:t>
            </w:r>
          </w:hyperlink>
          <w:r w:rsidR="00FB4A23">
            <w:rPr>
              <w:rStyle w:val="Hyperlink"/>
              <w:rFonts w:hint="cs"/>
              <w:noProof/>
              <w:rtl/>
            </w:rPr>
            <w:t xml:space="preserve"> </w:t>
          </w:r>
          <w:hyperlink w:anchor="_Toc40975918" w:history="1">
            <w:r w:rsidR="00FB4A23" w:rsidRPr="001F2956">
              <w:rPr>
                <w:rStyle w:val="Hyperlink"/>
                <w:rFonts w:hint="eastAsia"/>
                <w:noProof/>
                <w:rtl/>
              </w:rPr>
              <w:t>كتاب</w:t>
            </w:r>
            <w:r w:rsidR="00FB4A23" w:rsidRPr="001F2956">
              <w:rPr>
                <w:rStyle w:val="Hyperlink"/>
                <w:noProof/>
                <w:rtl/>
              </w:rPr>
              <w:t xml:space="preserve"> </w:t>
            </w:r>
            <w:r w:rsidR="00FB4A23" w:rsidRPr="001F2956">
              <w:rPr>
                <w:rStyle w:val="Hyperlink"/>
                <w:rFonts w:hint="eastAsia"/>
                <w:noProof/>
                <w:rtl/>
              </w:rPr>
              <w:t>الجنائز‌</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322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19" w:history="1">
            <w:r w:rsidR="00FB4A23" w:rsidRPr="001F2956">
              <w:rPr>
                <w:rStyle w:val="Hyperlink"/>
                <w:noProof/>
                <w:rtl/>
                <w:lang w:bidi="fa-IR"/>
              </w:rPr>
              <w:t xml:space="preserve">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rPr>
              <w:t xml:space="preserve"> </w:t>
            </w:r>
            <w:r w:rsidR="00FB4A23" w:rsidRPr="001F2956">
              <w:rPr>
                <w:rStyle w:val="Hyperlink"/>
                <w:rFonts w:hint="eastAsia"/>
                <w:noProof/>
                <w:rtl/>
                <w:lang w:bidi="fa-IR"/>
              </w:rPr>
              <w:t>عِلَلِ</w:t>
            </w:r>
            <w:r w:rsidR="00FB4A23" w:rsidRPr="001F2956">
              <w:rPr>
                <w:rStyle w:val="Hyperlink"/>
                <w:noProof/>
                <w:rtl/>
                <w:lang w:bidi="fa-IR"/>
              </w:rPr>
              <w:t xml:space="preserve"> </w:t>
            </w:r>
            <w:r w:rsidR="00FB4A23" w:rsidRPr="001F2956">
              <w:rPr>
                <w:rStyle w:val="Hyperlink"/>
                <w:rFonts w:hint="eastAsia"/>
                <w:noProof/>
                <w:rtl/>
                <w:lang w:bidi="fa-IR"/>
              </w:rPr>
              <w:t>الْمَوْتِ</w:t>
            </w:r>
            <w:r w:rsidR="00FB4A23" w:rsidRPr="001F2956">
              <w:rPr>
                <w:rStyle w:val="Hyperlink"/>
                <w:noProof/>
                <w:rtl/>
                <w:lang w:bidi="fa-IR"/>
              </w:rPr>
              <w:t xml:space="preserve"> </w:t>
            </w:r>
            <w:r w:rsidR="00FB4A23" w:rsidRPr="001F2956">
              <w:rPr>
                <w:rStyle w:val="Hyperlink"/>
                <w:rFonts w:hint="eastAsia"/>
                <w:noProof/>
                <w:rtl/>
                <w:lang w:bidi="fa-IR"/>
              </w:rPr>
              <w:t>وَأَنَّ</w:t>
            </w:r>
            <w:r w:rsidR="00FB4A23" w:rsidRPr="001F2956">
              <w:rPr>
                <w:rStyle w:val="Hyperlink"/>
                <w:noProof/>
                <w:rtl/>
                <w:lang w:bidi="fa-IR"/>
              </w:rPr>
              <w:t xml:space="preserve"> </w:t>
            </w:r>
            <w:r w:rsidR="00FB4A23" w:rsidRPr="001F2956">
              <w:rPr>
                <w:rStyle w:val="Hyperlink"/>
                <w:rFonts w:hint="eastAsia"/>
                <w:noProof/>
                <w:rtl/>
                <w:lang w:bidi="fa-IR"/>
              </w:rPr>
              <w:t>الْمُؤْمِنَ</w:t>
            </w:r>
            <w:r w:rsidR="00FB4A23" w:rsidRPr="001F2956">
              <w:rPr>
                <w:rStyle w:val="Hyperlink"/>
                <w:noProof/>
                <w:rtl/>
                <w:lang w:bidi="fa-IR"/>
              </w:rPr>
              <w:t xml:space="preserve"> </w:t>
            </w:r>
            <w:r w:rsidR="00FB4A23" w:rsidRPr="001F2956">
              <w:rPr>
                <w:rStyle w:val="Hyperlink"/>
                <w:rFonts w:hint="eastAsia"/>
                <w:noProof/>
                <w:rtl/>
                <w:lang w:bidi="fa-IR"/>
              </w:rPr>
              <w:t>يَمُوتُ</w:t>
            </w:r>
            <w:r w:rsidR="00FB4A23" w:rsidRPr="001F2956">
              <w:rPr>
                <w:rStyle w:val="Hyperlink"/>
                <w:noProof/>
                <w:rtl/>
                <w:lang w:bidi="fa-IR"/>
              </w:rPr>
              <w:t xml:space="preserve"> </w:t>
            </w:r>
            <w:r w:rsidR="00FB4A23" w:rsidRPr="001F2956">
              <w:rPr>
                <w:rStyle w:val="Hyperlink"/>
                <w:rFonts w:hint="eastAsia"/>
                <w:noProof/>
                <w:rtl/>
                <w:lang w:bidi="fa-IR"/>
              </w:rPr>
              <w:t>بِكُلِّ</w:t>
            </w:r>
            <w:r w:rsidR="00FB4A23" w:rsidRPr="001F2956">
              <w:rPr>
                <w:rStyle w:val="Hyperlink"/>
                <w:noProof/>
                <w:rtl/>
                <w:lang w:bidi="fa-IR"/>
              </w:rPr>
              <w:t xml:space="preserve"> </w:t>
            </w:r>
            <w:r w:rsidR="00FB4A23" w:rsidRPr="001F2956">
              <w:rPr>
                <w:rStyle w:val="Hyperlink"/>
                <w:rFonts w:hint="eastAsia"/>
                <w:noProof/>
                <w:rtl/>
                <w:lang w:bidi="fa-IR"/>
              </w:rPr>
              <w:t>مِيتَةٍ</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40975919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324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20" w:history="1">
            <w:r w:rsidR="00FB4A23" w:rsidRPr="001F2956">
              <w:rPr>
                <w:rStyle w:val="Hyperlink"/>
                <w:noProof/>
                <w:rtl/>
                <w:lang w:bidi="fa-IR"/>
              </w:rPr>
              <w:t xml:space="preserve">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الْمَرَضِ</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329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21" w:history="1">
            <w:r w:rsidR="00FB4A23" w:rsidRPr="001F2956">
              <w:rPr>
                <w:rStyle w:val="Hyperlink"/>
                <w:noProof/>
                <w:rtl/>
                <w:lang w:bidi="fa-IR"/>
              </w:rPr>
              <w:t xml:space="preserve">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آخَرُ</w:t>
            </w:r>
            <w:r w:rsidR="00FB4A23" w:rsidRPr="001F2956">
              <w:rPr>
                <w:rStyle w:val="Hyperlink"/>
                <w:noProof/>
                <w:rtl/>
                <w:lang w:bidi="fa-IR"/>
              </w:rPr>
              <w:t xml:space="preserve"> </w:t>
            </w:r>
            <w:r w:rsidR="00FB4A23" w:rsidRPr="001F2956">
              <w:rPr>
                <w:rStyle w:val="Hyperlink"/>
                <w:rFonts w:hint="eastAsia"/>
                <w:noProof/>
                <w:rtl/>
                <w:lang w:bidi="fa-IR"/>
              </w:rPr>
              <w:t>مِنْهُ‌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334</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922" w:history="1">
            <w:r w:rsidR="00FB4A23" w:rsidRPr="001F2956">
              <w:rPr>
                <w:rStyle w:val="Hyperlink"/>
                <w:noProof/>
                <w:rtl/>
                <w:lang w:bidi="fa-IR"/>
              </w:rPr>
              <w:t xml:space="preserve">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حَدِّ</w:t>
            </w:r>
            <w:r w:rsidR="00FB4A23" w:rsidRPr="001F2956">
              <w:rPr>
                <w:rStyle w:val="Hyperlink"/>
                <w:noProof/>
                <w:rtl/>
                <w:lang w:bidi="fa-IR"/>
              </w:rPr>
              <w:t xml:space="preserve"> </w:t>
            </w:r>
            <w:r w:rsidR="00FB4A23" w:rsidRPr="001F2956">
              <w:rPr>
                <w:rStyle w:val="Hyperlink"/>
                <w:rFonts w:hint="eastAsia"/>
                <w:noProof/>
                <w:rtl/>
                <w:lang w:bidi="fa-IR"/>
              </w:rPr>
              <w:t>الشِّكَايَةِ</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hyperlink>
          <w:r w:rsidR="00FB4A23">
            <w:rPr>
              <w:rStyle w:val="Hyperlink"/>
              <w:rFonts w:hint="cs"/>
              <w:noProof/>
              <w:rtl/>
            </w:rPr>
            <w:t xml:space="preserve"> </w:t>
          </w:r>
          <w:hyperlink w:anchor="_Toc40975923" w:history="1">
            <w:r w:rsidR="00FB4A23" w:rsidRPr="001F2956">
              <w:rPr>
                <w:rStyle w:val="Hyperlink"/>
                <w:noProof/>
                <w:rtl/>
                <w:lang w:bidi="fa-IR"/>
              </w:rPr>
              <w:t xml:space="preserve">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الْمَرِيضِ</w:t>
            </w:r>
            <w:r w:rsidR="00FB4A23" w:rsidRPr="001F2956">
              <w:rPr>
                <w:rStyle w:val="Hyperlink"/>
                <w:noProof/>
                <w:rtl/>
                <w:lang w:bidi="fa-IR"/>
              </w:rPr>
              <w:t xml:space="preserve"> </w:t>
            </w:r>
            <w:r w:rsidR="00FB4A23" w:rsidRPr="001F2956">
              <w:rPr>
                <w:rStyle w:val="Hyperlink"/>
                <w:rFonts w:hint="eastAsia"/>
                <w:noProof/>
                <w:rtl/>
                <w:lang w:bidi="fa-IR"/>
              </w:rPr>
              <w:t>يُؤْذِنُ</w:t>
            </w:r>
            <w:r w:rsidR="00FB4A23" w:rsidRPr="001F2956">
              <w:rPr>
                <w:rStyle w:val="Hyperlink"/>
                <w:noProof/>
                <w:rtl/>
                <w:lang w:bidi="fa-IR"/>
              </w:rPr>
              <w:t xml:space="preserve"> </w:t>
            </w:r>
            <w:r w:rsidR="00FB4A23" w:rsidRPr="001F2956">
              <w:rPr>
                <w:rStyle w:val="Hyperlink"/>
                <w:rFonts w:hint="eastAsia"/>
                <w:noProof/>
                <w:rtl/>
                <w:lang w:bidi="fa-IR"/>
              </w:rPr>
              <w:t>بِهِ</w:t>
            </w:r>
            <w:r w:rsidR="00FB4A23" w:rsidRPr="001F2956">
              <w:rPr>
                <w:rStyle w:val="Hyperlink"/>
                <w:noProof/>
                <w:rtl/>
                <w:lang w:bidi="fa-IR"/>
              </w:rPr>
              <w:t xml:space="preserve"> </w:t>
            </w:r>
            <w:r w:rsidR="00FB4A23" w:rsidRPr="001F2956">
              <w:rPr>
                <w:rStyle w:val="Hyperlink"/>
                <w:rFonts w:hint="eastAsia"/>
                <w:noProof/>
                <w:rtl/>
                <w:lang w:bidi="fa-IR"/>
              </w:rPr>
              <w:t>النَّاسَ‌</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337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24" w:history="1">
            <w:r w:rsidR="00FB4A23" w:rsidRPr="001F2956">
              <w:rPr>
                <w:rStyle w:val="Hyperlink"/>
                <w:noProof/>
                <w:rtl/>
                <w:lang w:bidi="fa-IR"/>
              </w:rPr>
              <w:t xml:space="preserve">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كَمْ</w:t>
            </w:r>
            <w:r w:rsidR="00FB4A23" w:rsidRPr="001F2956">
              <w:rPr>
                <w:rStyle w:val="Hyperlink"/>
                <w:noProof/>
                <w:rtl/>
                <w:lang w:bidi="fa-IR"/>
              </w:rPr>
              <w:t xml:space="preserve"> </w:t>
            </w:r>
            <w:r w:rsidR="00FB4A23" w:rsidRPr="001F2956">
              <w:rPr>
                <w:rStyle w:val="Hyperlink"/>
                <w:rFonts w:hint="eastAsia"/>
                <w:noProof/>
                <w:rtl/>
                <w:lang w:bidi="fa-IR"/>
              </w:rPr>
              <w:t>يُعَادُ</w:t>
            </w:r>
            <w:r w:rsidR="00FB4A23" w:rsidRPr="001F2956">
              <w:rPr>
                <w:rStyle w:val="Hyperlink"/>
                <w:noProof/>
                <w:rtl/>
                <w:lang w:bidi="fa-IR"/>
              </w:rPr>
              <w:t xml:space="preserve"> </w:t>
            </w:r>
            <w:r w:rsidR="00FB4A23" w:rsidRPr="001F2956">
              <w:rPr>
                <w:rStyle w:val="Hyperlink"/>
                <w:rFonts w:hint="eastAsia"/>
                <w:noProof/>
                <w:rtl/>
                <w:lang w:bidi="fa-IR"/>
              </w:rPr>
              <w:t>الْمَرِيضُ</w:t>
            </w:r>
            <w:r w:rsidR="00FB4A23" w:rsidRPr="001F2956">
              <w:rPr>
                <w:rStyle w:val="Hyperlink"/>
                <w:noProof/>
                <w:rtl/>
                <w:lang w:bidi="fa-IR"/>
              </w:rPr>
              <w:t xml:space="preserve"> </w:t>
            </w:r>
            <w:r w:rsidR="00FB4A23" w:rsidRPr="001F2956">
              <w:rPr>
                <w:rStyle w:val="Hyperlink"/>
                <w:rFonts w:hint="eastAsia"/>
                <w:noProof/>
                <w:rtl/>
                <w:lang w:bidi="fa-IR"/>
              </w:rPr>
              <w:t>وَقَدْرِ</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يَجْلِسُ</w:t>
            </w:r>
            <w:r w:rsidR="00FB4A23" w:rsidRPr="001F2956">
              <w:rPr>
                <w:rStyle w:val="Hyperlink"/>
                <w:noProof/>
                <w:rtl/>
                <w:lang w:bidi="fa-IR"/>
              </w:rPr>
              <w:t xml:space="preserve"> </w:t>
            </w:r>
            <w:r w:rsidR="00FB4A23" w:rsidRPr="001F2956">
              <w:rPr>
                <w:rStyle w:val="Hyperlink"/>
                <w:rFonts w:hint="eastAsia"/>
                <w:noProof/>
                <w:rtl/>
                <w:lang w:bidi="fa-IR"/>
              </w:rPr>
              <w:t>عِنْدَهُ</w:t>
            </w:r>
            <w:r w:rsidR="00FB4A23" w:rsidRPr="001F2956">
              <w:rPr>
                <w:rStyle w:val="Hyperlink"/>
                <w:noProof/>
                <w:rtl/>
                <w:lang w:bidi="fa-IR"/>
              </w:rPr>
              <w:t xml:space="preserve"> </w:t>
            </w:r>
            <w:r w:rsidR="00FB4A23" w:rsidRPr="001F2956">
              <w:rPr>
                <w:rStyle w:val="Hyperlink"/>
                <w:rFonts w:hint="eastAsia"/>
                <w:noProof/>
                <w:rtl/>
                <w:lang w:bidi="fa-IR"/>
              </w:rPr>
              <w:t>وَتَمَامِ</w:t>
            </w:r>
            <w:r w:rsidR="00FB4A23" w:rsidRPr="001F2956">
              <w:rPr>
                <w:rStyle w:val="Hyperlink"/>
                <w:noProof/>
                <w:rtl/>
                <w:lang w:bidi="fa-IR"/>
              </w:rPr>
              <w:t xml:space="preserve"> </w:t>
            </w:r>
            <w:r w:rsidR="00FB4A23" w:rsidRPr="001F2956">
              <w:rPr>
                <w:rStyle w:val="Hyperlink"/>
                <w:rFonts w:hint="eastAsia"/>
                <w:noProof/>
                <w:rtl/>
                <w:lang w:bidi="fa-IR"/>
              </w:rPr>
              <w:t>الْعِيَادَةِ‌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339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25" w:history="1">
            <w:r w:rsidR="00FB4A23" w:rsidRPr="001F2956">
              <w:rPr>
                <w:rStyle w:val="Hyperlink"/>
                <w:noProof/>
                <w:rtl/>
                <w:lang w:bidi="fa-IR"/>
              </w:rPr>
              <w:t xml:space="preserve">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حَدِّ</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rPr>
              <w:t xml:space="preserve"> </w:t>
            </w:r>
            <w:r w:rsidR="00FB4A23" w:rsidRPr="001F2956">
              <w:rPr>
                <w:rStyle w:val="Hyperlink"/>
                <w:rFonts w:hint="eastAsia"/>
                <w:noProof/>
                <w:rtl/>
                <w:lang w:bidi="fa-IR"/>
              </w:rPr>
              <w:t>مَوْتِ</w:t>
            </w:r>
            <w:r w:rsidR="00FB4A23" w:rsidRPr="001F2956">
              <w:rPr>
                <w:rStyle w:val="Hyperlink"/>
                <w:noProof/>
                <w:rtl/>
                <w:lang w:bidi="fa-IR"/>
              </w:rPr>
              <w:t xml:space="preserve"> </w:t>
            </w:r>
            <w:r w:rsidR="00FB4A23" w:rsidRPr="001F2956">
              <w:rPr>
                <w:rStyle w:val="Hyperlink"/>
                <w:rFonts w:hint="eastAsia"/>
                <w:noProof/>
                <w:rtl/>
                <w:lang w:bidi="fa-IR"/>
              </w:rPr>
              <w:t>الْفَجْأَةِ</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342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26" w:history="1">
            <w:r w:rsidR="00FB4A23" w:rsidRPr="001F2956">
              <w:rPr>
                <w:rStyle w:val="Hyperlink"/>
                <w:noProof/>
                <w:rtl/>
                <w:lang w:bidi="fa-IR"/>
              </w:rPr>
              <w:t xml:space="preserve">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عِيَادَةِ</w:t>
            </w:r>
            <w:r w:rsidR="00FB4A23" w:rsidRPr="001F2956">
              <w:rPr>
                <w:rStyle w:val="Hyperlink"/>
                <w:noProof/>
                <w:rtl/>
                <w:lang w:bidi="fa-IR"/>
              </w:rPr>
              <w:t xml:space="preserve"> </w:t>
            </w:r>
            <w:r w:rsidR="00FB4A23" w:rsidRPr="001F2956">
              <w:rPr>
                <w:rStyle w:val="Hyperlink"/>
                <w:rFonts w:hint="eastAsia"/>
                <w:noProof/>
                <w:rtl/>
                <w:lang w:bidi="fa-IR"/>
              </w:rPr>
              <w:t>الْمَرِيضِ‌</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343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27" w:history="1">
            <w:r w:rsidR="00FB4A23" w:rsidRPr="001F2956">
              <w:rPr>
                <w:rStyle w:val="Hyperlink"/>
                <w:noProof/>
                <w:rtl/>
                <w:lang w:bidi="fa-IR"/>
              </w:rPr>
              <w:t xml:space="preserve">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تَلْقِينِ</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348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28" w:history="1">
            <w:r w:rsidR="00FB4A23" w:rsidRPr="001F2956">
              <w:rPr>
                <w:rStyle w:val="Hyperlink"/>
                <w:noProof/>
                <w:rtl/>
                <w:lang w:bidi="fa-IR"/>
              </w:rPr>
              <w:t xml:space="preserve">10 -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إِذَا</w:t>
            </w:r>
            <w:r w:rsidR="00FB4A23" w:rsidRPr="001F2956">
              <w:rPr>
                <w:rStyle w:val="Hyperlink"/>
                <w:noProof/>
                <w:rtl/>
                <w:lang w:bidi="fa-IR"/>
              </w:rPr>
              <w:t xml:space="preserve"> </w:t>
            </w:r>
            <w:r w:rsidR="00FB4A23" w:rsidRPr="001F2956">
              <w:rPr>
                <w:rStyle w:val="Hyperlink"/>
                <w:rFonts w:hint="eastAsia"/>
                <w:noProof/>
                <w:rtl/>
                <w:lang w:bidi="fa-IR"/>
              </w:rPr>
              <w:t>عَسُرَ</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الْمَوْتُ</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وَاشْتَدَّ</w:t>
            </w:r>
            <w:r w:rsidR="00FB4A23" w:rsidRPr="001F2956">
              <w:rPr>
                <w:rStyle w:val="Hyperlink"/>
                <w:noProof/>
                <w:rtl/>
                <w:lang w:bidi="fa-IR"/>
              </w:rPr>
              <w:t xml:space="preserve"> </w:t>
            </w:r>
            <w:r w:rsidR="00FB4A23" w:rsidRPr="001F2956">
              <w:rPr>
                <w:rStyle w:val="Hyperlink"/>
                <w:rFonts w:hint="eastAsia"/>
                <w:noProof/>
                <w:rtl/>
                <w:lang w:bidi="fa-IR"/>
              </w:rPr>
              <w:t>عَلَيْهِ</w:t>
            </w:r>
            <w:r w:rsidR="00FB4A23" w:rsidRPr="001F2956">
              <w:rPr>
                <w:rStyle w:val="Hyperlink"/>
                <w:noProof/>
                <w:rtl/>
                <w:lang w:bidi="fa-IR"/>
              </w:rPr>
              <w:t xml:space="preserve"> </w:t>
            </w:r>
            <w:r w:rsidR="00FB4A23" w:rsidRPr="001F2956">
              <w:rPr>
                <w:rStyle w:val="Hyperlink"/>
                <w:rFonts w:hint="eastAsia"/>
                <w:noProof/>
                <w:rtl/>
                <w:lang w:bidi="fa-IR"/>
              </w:rPr>
              <w:t>النَّزْعُ‌</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357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29" w:history="1">
            <w:r w:rsidR="00FB4A23" w:rsidRPr="001F2956">
              <w:rPr>
                <w:rStyle w:val="Hyperlink"/>
                <w:noProof/>
                <w:rtl/>
                <w:lang w:bidi="fa-IR"/>
              </w:rPr>
              <w:t xml:space="preserve">11 -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تَوْجِيهِ</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إِلَى</w:t>
            </w:r>
            <w:r w:rsidR="00FB4A23" w:rsidRPr="001F2956">
              <w:rPr>
                <w:rStyle w:val="Hyperlink"/>
                <w:noProof/>
                <w:rtl/>
                <w:lang w:bidi="fa-IR"/>
              </w:rPr>
              <w:t xml:space="preserve"> </w:t>
            </w:r>
            <w:r w:rsidR="00FB4A23" w:rsidRPr="001F2956">
              <w:rPr>
                <w:rStyle w:val="Hyperlink"/>
                <w:rFonts w:hint="eastAsia"/>
                <w:noProof/>
                <w:rtl/>
                <w:lang w:bidi="fa-IR"/>
              </w:rPr>
              <w:t>الْقِبْلَةِ‌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40975929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359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30" w:history="1">
            <w:r w:rsidR="00FB4A23" w:rsidRPr="001F2956">
              <w:rPr>
                <w:rStyle w:val="Hyperlink"/>
                <w:noProof/>
                <w:rtl/>
                <w:lang w:bidi="fa-IR"/>
              </w:rPr>
              <w:t xml:space="preserve">12 -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الْمُؤْمِنَ</w:t>
            </w:r>
            <w:r w:rsidR="00FB4A23" w:rsidRPr="001F2956">
              <w:rPr>
                <w:rStyle w:val="Hyperlink"/>
                <w:noProof/>
                <w:rtl/>
                <w:lang w:bidi="fa-IR"/>
              </w:rPr>
              <w:t xml:space="preserve"> </w:t>
            </w:r>
            <w:r w:rsidR="00FB4A23" w:rsidRPr="001F2956">
              <w:rPr>
                <w:rStyle w:val="Hyperlink"/>
                <w:rFonts w:hint="eastAsia"/>
                <w:noProof/>
                <w:rtl/>
                <w:lang w:bidi="fa-IR"/>
              </w:rPr>
              <w:t>لَايُكْرَهُ</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قَبْضِ</w:t>
            </w:r>
            <w:r w:rsidR="00FB4A23" w:rsidRPr="001F2956">
              <w:rPr>
                <w:rStyle w:val="Hyperlink"/>
                <w:noProof/>
                <w:rtl/>
                <w:lang w:bidi="fa-IR"/>
              </w:rPr>
              <w:t xml:space="preserve"> </w:t>
            </w:r>
            <w:r w:rsidR="00FB4A23" w:rsidRPr="001F2956">
              <w:rPr>
                <w:rStyle w:val="Hyperlink"/>
                <w:rFonts w:hint="eastAsia"/>
                <w:noProof/>
                <w:rtl/>
                <w:lang w:bidi="fa-IR"/>
              </w:rPr>
              <w:t>رُوحِهِ‌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361</w:t>
            </w:r>
            <w:r w:rsidR="00FB4A23">
              <w:rPr>
                <w:noProof/>
                <w:webHidden/>
                <w:rtl/>
              </w:rPr>
              <w:fldChar w:fldCharType="end"/>
            </w:r>
          </w:hyperlink>
        </w:p>
        <w:p w:rsidR="00FB4A23" w:rsidRDefault="00FB4A23" w:rsidP="00077571">
          <w:pPr>
            <w:pStyle w:val="libNormal"/>
            <w:rPr>
              <w:rStyle w:val="Hyperlink"/>
              <w:noProof/>
            </w:rPr>
          </w:pPr>
          <w:r>
            <w:rPr>
              <w:rStyle w:val="Hyperlink"/>
              <w:noProof/>
            </w:rPr>
            <w:br w:type="page"/>
          </w:r>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31" w:history="1">
            <w:r w:rsidR="00FB4A23" w:rsidRPr="001F2956">
              <w:rPr>
                <w:rStyle w:val="Hyperlink"/>
                <w:noProof/>
                <w:rtl/>
                <w:lang w:bidi="fa-IR"/>
              </w:rPr>
              <w:t xml:space="preserve">13 -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يُعَايِنُ</w:t>
            </w:r>
            <w:r w:rsidR="00FB4A23" w:rsidRPr="001F2956">
              <w:rPr>
                <w:rStyle w:val="Hyperlink"/>
                <w:noProof/>
                <w:rtl/>
                <w:lang w:bidi="fa-IR"/>
              </w:rPr>
              <w:t xml:space="preserve"> </w:t>
            </w:r>
            <w:r w:rsidR="00FB4A23" w:rsidRPr="001F2956">
              <w:rPr>
                <w:rStyle w:val="Hyperlink"/>
                <w:rFonts w:hint="eastAsia"/>
                <w:noProof/>
                <w:rtl/>
                <w:lang w:bidi="fa-IR"/>
              </w:rPr>
              <w:t>الْمُؤْمِنُ</w:t>
            </w:r>
            <w:r w:rsidR="00FB4A23" w:rsidRPr="001F2956">
              <w:rPr>
                <w:rStyle w:val="Hyperlink"/>
                <w:noProof/>
                <w:rtl/>
                <w:lang w:bidi="fa-IR"/>
              </w:rPr>
              <w:t xml:space="preserve"> </w:t>
            </w:r>
            <w:r w:rsidR="00FB4A23" w:rsidRPr="001F2956">
              <w:rPr>
                <w:rStyle w:val="Hyperlink"/>
                <w:rFonts w:hint="eastAsia"/>
                <w:noProof/>
                <w:rtl/>
                <w:lang w:bidi="fa-IR"/>
              </w:rPr>
              <w:t>وَالْكَافِرُ‌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363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32" w:history="1">
            <w:r w:rsidR="00FB4A23" w:rsidRPr="001F2956">
              <w:rPr>
                <w:rStyle w:val="Hyperlink"/>
                <w:noProof/>
                <w:rtl/>
                <w:lang w:bidi="fa-IR"/>
              </w:rPr>
              <w:t xml:space="preserve">14 -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إِخْرَاجِ</w:t>
            </w:r>
            <w:r w:rsidR="00FB4A23" w:rsidRPr="001F2956">
              <w:rPr>
                <w:rStyle w:val="Hyperlink"/>
                <w:noProof/>
                <w:rtl/>
                <w:lang w:bidi="fa-IR"/>
              </w:rPr>
              <w:t xml:space="preserve"> </w:t>
            </w:r>
            <w:r w:rsidR="00FB4A23" w:rsidRPr="001F2956">
              <w:rPr>
                <w:rStyle w:val="Hyperlink"/>
                <w:rFonts w:hint="eastAsia"/>
                <w:noProof/>
                <w:rtl/>
                <w:lang w:bidi="fa-IR"/>
              </w:rPr>
              <w:t>رُوحِ</w:t>
            </w:r>
            <w:r w:rsidR="00FB4A23" w:rsidRPr="001F2956">
              <w:rPr>
                <w:rStyle w:val="Hyperlink"/>
                <w:noProof/>
                <w:rtl/>
                <w:lang w:bidi="fa-IR"/>
              </w:rPr>
              <w:t xml:space="preserve"> </w:t>
            </w:r>
            <w:r w:rsidR="00FB4A23" w:rsidRPr="001F2956">
              <w:rPr>
                <w:rStyle w:val="Hyperlink"/>
                <w:rFonts w:hint="eastAsia"/>
                <w:noProof/>
                <w:rtl/>
                <w:lang w:bidi="fa-IR"/>
              </w:rPr>
              <w:t>الْمُؤْمِنِ</w:t>
            </w:r>
            <w:r w:rsidR="00FB4A23" w:rsidRPr="001F2956">
              <w:rPr>
                <w:rStyle w:val="Hyperlink"/>
                <w:noProof/>
                <w:rtl/>
                <w:lang w:bidi="fa-IR"/>
              </w:rPr>
              <w:t xml:space="preserve"> </w:t>
            </w:r>
            <w:r w:rsidR="00FB4A23" w:rsidRPr="001F2956">
              <w:rPr>
                <w:rStyle w:val="Hyperlink"/>
                <w:rFonts w:hint="eastAsia"/>
                <w:noProof/>
                <w:rtl/>
                <w:lang w:bidi="fa-IR"/>
              </w:rPr>
              <w:t>وَالْكَافِرِ‌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380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33" w:history="1">
            <w:r w:rsidR="00FB4A23" w:rsidRPr="001F2956">
              <w:rPr>
                <w:rStyle w:val="Hyperlink"/>
                <w:noProof/>
                <w:rtl/>
                <w:lang w:bidi="fa-IR"/>
              </w:rPr>
              <w:t xml:space="preserve">15 -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تَعْجِيلِ</w:t>
            </w:r>
            <w:r w:rsidR="00FB4A23" w:rsidRPr="001F2956">
              <w:rPr>
                <w:rStyle w:val="Hyperlink"/>
                <w:noProof/>
                <w:rtl/>
                <w:lang w:bidi="fa-IR"/>
              </w:rPr>
              <w:t xml:space="preserve"> </w:t>
            </w:r>
            <w:r w:rsidR="00FB4A23" w:rsidRPr="001F2956">
              <w:rPr>
                <w:rStyle w:val="Hyperlink"/>
                <w:rFonts w:hint="eastAsia"/>
                <w:noProof/>
                <w:rtl/>
                <w:lang w:bidi="fa-IR"/>
              </w:rPr>
              <w:t>الدَّفْنِ‌</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384</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934" w:history="1">
            <w:r w:rsidR="00FB4A23" w:rsidRPr="001F2956">
              <w:rPr>
                <w:rStyle w:val="Hyperlink"/>
                <w:noProof/>
                <w:rtl/>
                <w:lang w:bidi="fa-IR"/>
              </w:rPr>
              <w:t xml:space="preserve">16 -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نَادِرٌ</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lang w:bidi="fa-IR"/>
              </w:rPr>
              <w:t xml:space="preserve"> ‌</w:t>
            </w:r>
          </w:hyperlink>
          <w:r w:rsidR="00FB4A23">
            <w:rPr>
              <w:rStyle w:val="Hyperlink"/>
              <w:rFonts w:hint="cs"/>
              <w:noProof/>
              <w:rtl/>
            </w:rPr>
            <w:t xml:space="preserve"> </w:t>
          </w:r>
          <w:hyperlink w:anchor="_Toc40975935" w:history="1">
            <w:r w:rsidR="00FB4A23" w:rsidRPr="001F2956">
              <w:rPr>
                <w:rStyle w:val="Hyperlink"/>
                <w:noProof/>
                <w:rtl/>
                <w:lang w:bidi="fa-IR"/>
              </w:rPr>
              <w:t xml:space="preserve">17 -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الْحَائِضِ</w:t>
            </w:r>
            <w:r w:rsidR="00FB4A23" w:rsidRPr="001F2956">
              <w:rPr>
                <w:rStyle w:val="Hyperlink"/>
                <w:noProof/>
                <w:rtl/>
                <w:lang w:bidi="fa-IR"/>
              </w:rPr>
              <w:t xml:space="preserve"> </w:t>
            </w:r>
            <w:r w:rsidR="00FB4A23" w:rsidRPr="001F2956">
              <w:rPr>
                <w:rStyle w:val="Hyperlink"/>
                <w:rFonts w:hint="eastAsia"/>
                <w:noProof/>
                <w:rtl/>
                <w:lang w:bidi="fa-IR"/>
              </w:rPr>
              <w:t>تُمَرِّضُ</w:t>
            </w:r>
            <w:r w:rsidR="00FB4A23" w:rsidRPr="001F2956">
              <w:rPr>
                <w:rStyle w:val="Hyperlink"/>
                <w:noProof/>
                <w:rtl/>
                <w:lang w:bidi="fa-IR"/>
              </w:rPr>
              <w:t xml:space="preserve"> </w:t>
            </w:r>
            <w:r w:rsidR="00FB4A23" w:rsidRPr="001F2956">
              <w:rPr>
                <w:rStyle w:val="Hyperlink"/>
                <w:rFonts w:hint="eastAsia"/>
                <w:noProof/>
                <w:rtl/>
                <w:lang w:bidi="fa-IR"/>
              </w:rPr>
              <w:t>الْمَرِيضَ‌</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387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36" w:history="1">
            <w:r w:rsidR="00FB4A23" w:rsidRPr="001F2956">
              <w:rPr>
                <w:rStyle w:val="Hyperlink"/>
                <w:noProof/>
                <w:rtl/>
                <w:lang w:bidi="fa-IR"/>
              </w:rPr>
              <w:t xml:space="preserve">18 -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noProof/>
                <w:vertAlign w:val="superscript"/>
                <w:rtl/>
              </w:rPr>
              <w:t>(10)</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388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37" w:history="1">
            <w:r w:rsidR="00FB4A23" w:rsidRPr="001F2956">
              <w:rPr>
                <w:rStyle w:val="Hyperlink"/>
                <w:noProof/>
                <w:rtl/>
                <w:lang w:bidi="fa-IR"/>
              </w:rPr>
              <w:t xml:space="preserve">19 -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تَحْنِيطِ</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rPr>
              <w:t xml:space="preserve"> </w:t>
            </w:r>
            <w:r w:rsidR="00FB4A23" w:rsidRPr="001F2956">
              <w:rPr>
                <w:rStyle w:val="Hyperlink"/>
                <w:rFonts w:hint="eastAsia"/>
                <w:noProof/>
                <w:rtl/>
                <w:lang w:bidi="fa-IR"/>
              </w:rPr>
              <w:t>وَتَكْفِينِهِ‌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398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38" w:history="1">
            <w:r w:rsidR="00FB4A23" w:rsidRPr="001F2956">
              <w:rPr>
                <w:rStyle w:val="Hyperlink"/>
                <w:noProof/>
                <w:rtl/>
                <w:lang w:bidi="fa-IR"/>
              </w:rPr>
              <w:t xml:space="preserve">20 -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تَكْفِينِ</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410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39" w:history="1">
            <w:r w:rsidR="00FB4A23" w:rsidRPr="001F2956">
              <w:rPr>
                <w:rStyle w:val="Hyperlink"/>
                <w:noProof/>
                <w:rtl/>
                <w:lang w:bidi="fa-IR"/>
              </w:rPr>
              <w:t xml:space="preserve">21 -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كَرَاهِيَةِ</w:t>
            </w:r>
            <w:r w:rsidR="00FB4A23" w:rsidRPr="001F2956">
              <w:rPr>
                <w:rStyle w:val="Hyperlink"/>
                <w:noProof/>
                <w:rtl/>
                <w:lang w:bidi="fa-IR"/>
              </w:rPr>
              <w:t xml:space="preserve"> </w:t>
            </w:r>
            <w:r w:rsidR="00FB4A23" w:rsidRPr="001F2956">
              <w:rPr>
                <w:rStyle w:val="Hyperlink"/>
                <w:rFonts w:hint="eastAsia"/>
                <w:noProof/>
                <w:rtl/>
                <w:lang w:bidi="fa-IR"/>
              </w:rPr>
              <w:t>تَجْمِيرِ</w:t>
            </w:r>
            <w:r w:rsidR="00FB4A23" w:rsidRPr="001F2956">
              <w:rPr>
                <w:rStyle w:val="Hyperlink"/>
                <w:noProof/>
                <w:rtl/>
                <w:lang w:bidi="fa-IR"/>
              </w:rPr>
              <w:t xml:space="preserve"> </w:t>
            </w:r>
            <w:r w:rsidR="00FB4A23" w:rsidRPr="001F2956">
              <w:rPr>
                <w:rStyle w:val="Hyperlink"/>
                <w:rFonts w:hint="eastAsia"/>
                <w:noProof/>
                <w:rtl/>
                <w:lang w:bidi="fa-IR"/>
              </w:rPr>
              <w:t>الْكَفَنِ</w:t>
            </w:r>
            <w:r w:rsidR="00FB4A23" w:rsidRPr="001F2956">
              <w:rPr>
                <w:rStyle w:val="Hyperlink"/>
                <w:noProof/>
                <w:rtl/>
                <w:lang w:bidi="fa-IR"/>
              </w:rPr>
              <w:t xml:space="preserve"> </w:t>
            </w:r>
            <w:r w:rsidR="00FB4A23" w:rsidRPr="001F2956">
              <w:rPr>
                <w:rStyle w:val="Hyperlink"/>
                <w:noProof/>
                <w:vertAlign w:val="superscript"/>
                <w:rtl/>
              </w:rPr>
              <w:t>(7)</w:t>
            </w:r>
            <w:r w:rsidR="00FB4A23" w:rsidRPr="001F2956">
              <w:rPr>
                <w:rStyle w:val="Hyperlink"/>
                <w:noProof/>
                <w:rtl/>
              </w:rPr>
              <w:t xml:space="preserve"> </w:t>
            </w:r>
            <w:r w:rsidR="00FB4A23" w:rsidRPr="001F2956">
              <w:rPr>
                <w:rStyle w:val="Hyperlink"/>
                <w:rFonts w:hint="eastAsia"/>
                <w:noProof/>
                <w:rtl/>
                <w:lang w:bidi="fa-IR"/>
              </w:rPr>
              <w:t>وَتَسْخِينِ</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40975939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412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0" w:history="1">
            <w:r w:rsidR="00FB4A23" w:rsidRPr="001F2956">
              <w:rPr>
                <w:rStyle w:val="Hyperlink"/>
                <w:noProof/>
                <w:rtl/>
                <w:lang w:bidi="fa-IR"/>
              </w:rPr>
              <w:t xml:space="preserve">22 -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يُسْتَحَبُّ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الثِّيَابِ</w:t>
            </w:r>
            <w:r w:rsidR="00FB4A23" w:rsidRPr="001F2956">
              <w:rPr>
                <w:rStyle w:val="Hyperlink"/>
                <w:noProof/>
                <w:rtl/>
                <w:lang w:bidi="fa-IR"/>
              </w:rPr>
              <w:t xml:space="preserve"> </w:t>
            </w:r>
            <w:r w:rsidR="00FB4A23" w:rsidRPr="001F2956">
              <w:rPr>
                <w:rStyle w:val="Hyperlink"/>
                <w:rFonts w:hint="eastAsia"/>
                <w:noProof/>
                <w:rtl/>
                <w:lang w:bidi="fa-IR"/>
              </w:rPr>
              <w:t>لِلْكَفَنِ</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يُكْرَهُ‌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415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1" w:history="1">
            <w:r w:rsidR="00FB4A23" w:rsidRPr="001F2956">
              <w:rPr>
                <w:rStyle w:val="Hyperlink"/>
                <w:noProof/>
                <w:rtl/>
                <w:lang w:bidi="fa-IR"/>
              </w:rPr>
              <w:t xml:space="preserve">23 -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حَدِّ</w:t>
            </w:r>
            <w:r w:rsidR="00FB4A23" w:rsidRPr="001F2956">
              <w:rPr>
                <w:rStyle w:val="Hyperlink"/>
                <w:noProof/>
                <w:rtl/>
                <w:lang w:bidi="fa-IR"/>
              </w:rPr>
              <w:t xml:space="preserve"> </w:t>
            </w:r>
            <w:r w:rsidR="00FB4A23" w:rsidRPr="001F2956">
              <w:rPr>
                <w:rStyle w:val="Hyperlink"/>
                <w:rFonts w:hint="eastAsia"/>
                <w:noProof/>
                <w:rtl/>
                <w:lang w:bidi="fa-IR"/>
              </w:rPr>
              <w:t>الْمَاءِ</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يُغَسَّلُ</w:t>
            </w:r>
            <w:r w:rsidR="00FB4A23" w:rsidRPr="001F2956">
              <w:rPr>
                <w:rStyle w:val="Hyperlink"/>
                <w:noProof/>
                <w:rtl/>
                <w:lang w:bidi="fa-IR"/>
              </w:rPr>
              <w:t xml:space="preserve"> </w:t>
            </w:r>
            <w:r w:rsidR="00FB4A23" w:rsidRPr="001F2956">
              <w:rPr>
                <w:rStyle w:val="Hyperlink"/>
                <w:rFonts w:hint="eastAsia"/>
                <w:noProof/>
                <w:rtl/>
                <w:lang w:bidi="fa-IR"/>
              </w:rPr>
              <w:t>بِهِ</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وَالْكَافُورِ‌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423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2" w:history="1">
            <w:r w:rsidR="00FB4A23" w:rsidRPr="001F2956">
              <w:rPr>
                <w:rStyle w:val="Hyperlink"/>
                <w:noProof/>
                <w:rtl/>
                <w:lang w:bidi="fa-IR"/>
              </w:rPr>
              <w:t xml:space="preserve">24 -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الْجَرِيدَةِ</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428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3" w:history="1">
            <w:r w:rsidR="00FB4A23" w:rsidRPr="001F2956">
              <w:rPr>
                <w:rStyle w:val="Hyperlink"/>
                <w:noProof/>
                <w:rtl/>
                <w:lang w:bidi="fa-IR"/>
              </w:rPr>
              <w:t xml:space="preserve">25 -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يَمُوتُ</w:t>
            </w:r>
            <w:r w:rsidR="00FB4A23" w:rsidRPr="001F2956">
              <w:rPr>
                <w:rStyle w:val="Hyperlink"/>
                <w:noProof/>
                <w:rtl/>
                <w:lang w:bidi="fa-IR"/>
              </w:rPr>
              <w:t xml:space="preserve"> </w:t>
            </w:r>
            <w:r w:rsidR="00FB4A23" w:rsidRPr="001F2956">
              <w:rPr>
                <w:rStyle w:val="Hyperlink"/>
                <w:rFonts w:hint="eastAsia"/>
                <w:noProof/>
                <w:rtl/>
                <w:lang w:bidi="fa-IR"/>
              </w:rPr>
              <w:t>وَهُوَ</w:t>
            </w:r>
            <w:r w:rsidR="00FB4A23" w:rsidRPr="001F2956">
              <w:rPr>
                <w:rStyle w:val="Hyperlink"/>
                <w:noProof/>
                <w:rtl/>
                <w:lang w:bidi="fa-IR"/>
              </w:rPr>
              <w:t xml:space="preserve"> </w:t>
            </w:r>
            <w:r w:rsidR="00FB4A23" w:rsidRPr="001F2956">
              <w:rPr>
                <w:rStyle w:val="Hyperlink"/>
                <w:rFonts w:hint="eastAsia"/>
                <w:noProof/>
                <w:rtl/>
                <w:lang w:bidi="fa-IR"/>
              </w:rPr>
              <w:t>جُنُبٌ</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حَائِضٌ</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نُفَسَاءُ‌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434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4" w:history="1">
            <w:r w:rsidR="00FB4A23" w:rsidRPr="001F2956">
              <w:rPr>
                <w:rStyle w:val="Hyperlink"/>
                <w:noProof/>
                <w:rtl/>
                <w:lang w:bidi="fa-IR"/>
              </w:rPr>
              <w:t xml:space="preserve">26 -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rFonts w:hint="eastAsia"/>
                <w:noProof/>
                <w:rtl/>
                <w:lang w:bidi="fa-IR"/>
              </w:rPr>
              <w:t>تَمُوتُ</w:t>
            </w:r>
            <w:r w:rsidR="00FB4A23" w:rsidRPr="001F2956">
              <w:rPr>
                <w:rStyle w:val="Hyperlink"/>
                <w:noProof/>
                <w:rtl/>
                <w:lang w:bidi="fa-IR"/>
              </w:rPr>
              <w:t xml:space="preserve"> </w:t>
            </w:r>
            <w:r w:rsidR="00FB4A23" w:rsidRPr="001F2956">
              <w:rPr>
                <w:rStyle w:val="Hyperlink"/>
                <w:rFonts w:hint="eastAsia"/>
                <w:noProof/>
                <w:rtl/>
                <w:lang w:bidi="fa-IR"/>
              </w:rPr>
              <w:t>وَفِي</w:t>
            </w:r>
            <w:r w:rsidR="00FB4A23" w:rsidRPr="001F2956">
              <w:rPr>
                <w:rStyle w:val="Hyperlink"/>
                <w:noProof/>
                <w:rtl/>
                <w:lang w:bidi="fa-IR"/>
              </w:rPr>
              <w:t xml:space="preserve"> </w:t>
            </w:r>
            <w:r w:rsidR="00FB4A23" w:rsidRPr="001F2956">
              <w:rPr>
                <w:rStyle w:val="Hyperlink"/>
                <w:rFonts w:hint="eastAsia"/>
                <w:noProof/>
                <w:rtl/>
                <w:lang w:bidi="fa-IR"/>
              </w:rPr>
              <w:t>بَطْنِهَا</w:t>
            </w:r>
            <w:r w:rsidR="00FB4A23" w:rsidRPr="001F2956">
              <w:rPr>
                <w:rStyle w:val="Hyperlink"/>
                <w:noProof/>
                <w:rtl/>
                <w:lang w:bidi="fa-IR"/>
              </w:rPr>
              <w:t xml:space="preserve"> </w:t>
            </w:r>
            <w:r w:rsidR="00FB4A23" w:rsidRPr="001F2956">
              <w:rPr>
                <w:rStyle w:val="Hyperlink"/>
                <w:rFonts w:hint="eastAsia"/>
                <w:noProof/>
                <w:rtl/>
                <w:lang w:bidi="fa-IR"/>
              </w:rPr>
              <w:t>وَلَدٌ</w:t>
            </w:r>
            <w:r w:rsidR="00FB4A23" w:rsidRPr="001F2956">
              <w:rPr>
                <w:rStyle w:val="Hyperlink"/>
                <w:noProof/>
                <w:rtl/>
                <w:lang w:bidi="fa-IR"/>
              </w:rPr>
              <w:t xml:space="preserve"> </w:t>
            </w:r>
            <w:r w:rsidR="00FB4A23" w:rsidRPr="001F2956">
              <w:rPr>
                <w:rStyle w:val="Hyperlink"/>
                <w:rFonts w:hint="eastAsia"/>
                <w:noProof/>
                <w:rtl/>
                <w:lang w:bidi="fa-IR"/>
              </w:rPr>
              <w:t>يَتَحَرَّكُ‌</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435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5" w:history="1">
            <w:r w:rsidR="00FB4A23" w:rsidRPr="001F2956">
              <w:rPr>
                <w:rStyle w:val="Hyperlink"/>
                <w:noProof/>
                <w:rtl/>
                <w:lang w:bidi="fa-IR"/>
              </w:rPr>
              <w:t xml:space="preserve">27 -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كَرَاهِيَةِ</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يُقَصَّ</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ظُفُرٌ</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شَعْرٌ</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437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6" w:history="1">
            <w:r w:rsidR="00FB4A23" w:rsidRPr="001F2956">
              <w:rPr>
                <w:rStyle w:val="Hyperlink"/>
                <w:noProof/>
                <w:rtl/>
                <w:lang w:bidi="fa-IR"/>
              </w:rPr>
              <w:t xml:space="preserve">28 -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يَخْرُجُ</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بَعْدَ</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يُغَسَّلَ</w:t>
            </w:r>
            <w:r w:rsidR="00FB4A23" w:rsidRPr="001F2956">
              <w:rPr>
                <w:rStyle w:val="Hyperlink"/>
                <w:noProof/>
                <w:rtl/>
                <w:lang w:bidi="fa-IR"/>
              </w:rPr>
              <w:t xml:space="preserve"> </w:t>
            </w:r>
            <w:r w:rsidR="00FB4A23" w:rsidRPr="001F2956">
              <w:rPr>
                <w:rStyle w:val="Hyperlink"/>
                <w:noProof/>
                <w:vertAlign w:val="superscript"/>
                <w:rtl/>
              </w:rPr>
              <w:t>(9)</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438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7" w:history="1">
            <w:r w:rsidR="00FB4A23" w:rsidRPr="001F2956">
              <w:rPr>
                <w:rStyle w:val="Hyperlink"/>
                <w:noProof/>
                <w:rtl/>
                <w:lang w:bidi="fa-IR"/>
              </w:rPr>
              <w:t xml:space="preserve">29 -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sidRPr="001F2956">
              <w:rPr>
                <w:rStyle w:val="Hyperlink"/>
                <w:noProof/>
                <w:rtl/>
                <w:lang w:bidi="fa-IR"/>
              </w:rPr>
              <w:t xml:space="preserve"> </w:t>
            </w:r>
            <w:r w:rsidR="00FB4A23" w:rsidRPr="001F2956">
              <w:rPr>
                <w:rStyle w:val="Hyperlink"/>
                <w:rFonts w:hint="eastAsia"/>
                <w:noProof/>
                <w:rtl/>
                <w:lang w:bidi="fa-IR"/>
              </w:rPr>
              <w:t>يُغَسِّلُ</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rFonts w:hint="eastAsia"/>
                <w:noProof/>
                <w:rtl/>
                <w:lang w:bidi="fa-IR"/>
              </w:rPr>
              <w:t>وَالْمَرْأَةِ</w:t>
            </w:r>
            <w:r w:rsidR="00FB4A23" w:rsidRPr="001F2956">
              <w:rPr>
                <w:rStyle w:val="Hyperlink"/>
                <w:noProof/>
                <w:rtl/>
                <w:lang w:bidi="fa-IR"/>
              </w:rPr>
              <w:t xml:space="preserve"> </w:t>
            </w:r>
            <w:r w:rsidR="00FB4A23" w:rsidRPr="001F2956">
              <w:rPr>
                <w:rStyle w:val="Hyperlink"/>
                <w:rFonts w:hint="eastAsia"/>
                <w:noProof/>
                <w:rtl/>
                <w:lang w:bidi="fa-IR"/>
              </w:rPr>
              <w:t>تُغَسِّلُ</w:t>
            </w:r>
            <w:r w:rsidR="00FB4A23" w:rsidRPr="001F2956">
              <w:rPr>
                <w:rStyle w:val="Hyperlink"/>
                <w:noProof/>
                <w:rtl/>
                <w:lang w:bidi="fa-IR"/>
              </w:rPr>
              <w:t xml:space="preserve"> </w:t>
            </w:r>
            <w:r w:rsidR="00FB4A23" w:rsidRPr="001F2956">
              <w:rPr>
                <w:rStyle w:val="Hyperlink"/>
                <w:rFonts w:hint="eastAsia"/>
                <w:noProof/>
                <w:rtl/>
                <w:lang w:bidi="fa-IR"/>
              </w:rPr>
              <w:t>الرَّجُلَ‌</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439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8" w:history="1">
            <w:r w:rsidR="00FB4A23" w:rsidRPr="001F2956">
              <w:rPr>
                <w:rStyle w:val="Hyperlink"/>
                <w:noProof/>
                <w:rtl/>
                <w:lang w:bidi="fa-IR"/>
              </w:rPr>
              <w:t xml:space="preserve">30 -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حَدِّ</w:t>
            </w:r>
            <w:r w:rsidR="00FB4A23" w:rsidRPr="001F2956">
              <w:rPr>
                <w:rStyle w:val="Hyperlink"/>
                <w:noProof/>
                <w:rtl/>
                <w:lang w:bidi="fa-IR"/>
              </w:rPr>
              <w:t xml:space="preserve"> </w:t>
            </w:r>
            <w:r w:rsidR="00FB4A23" w:rsidRPr="001F2956">
              <w:rPr>
                <w:rStyle w:val="Hyperlink"/>
                <w:rFonts w:hint="eastAsia"/>
                <w:noProof/>
                <w:rtl/>
                <w:lang w:bidi="fa-IR"/>
              </w:rPr>
              <w:t>الصَّبِيِّ</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يَجُوزُ</w:t>
            </w:r>
            <w:r w:rsidR="00FB4A23" w:rsidRPr="001F2956">
              <w:rPr>
                <w:rStyle w:val="Hyperlink"/>
                <w:noProof/>
                <w:rtl/>
                <w:lang w:bidi="fa-IR"/>
              </w:rPr>
              <w:t xml:space="preserve"> </w:t>
            </w:r>
            <w:r w:rsidR="00FB4A23" w:rsidRPr="001F2956">
              <w:rPr>
                <w:rStyle w:val="Hyperlink"/>
                <w:rFonts w:hint="eastAsia"/>
                <w:noProof/>
                <w:rtl/>
                <w:lang w:bidi="fa-IR"/>
              </w:rPr>
              <w:t>لِلنِّسَاءِ</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يُغَسِّلْنَهُ‌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449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49" w:history="1">
            <w:r w:rsidR="00FB4A23" w:rsidRPr="001F2956">
              <w:rPr>
                <w:rStyle w:val="Hyperlink"/>
                <w:noProof/>
                <w:rtl/>
                <w:lang w:bidi="fa-IR"/>
              </w:rPr>
              <w:t xml:space="preserve">31 -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مَسَّهُ</w:t>
            </w:r>
            <w:r w:rsidR="00FB4A23" w:rsidRPr="001F2956">
              <w:rPr>
                <w:rStyle w:val="Hyperlink"/>
                <w:noProof/>
                <w:rtl/>
                <w:lang w:bidi="fa-IR"/>
              </w:rPr>
              <w:t xml:space="preserve"> </w:t>
            </w:r>
            <w:r w:rsidR="00FB4A23" w:rsidRPr="001F2956">
              <w:rPr>
                <w:rStyle w:val="Hyperlink"/>
                <w:rFonts w:hint="eastAsia"/>
                <w:noProof/>
                <w:rtl/>
                <w:lang w:bidi="fa-IR"/>
              </w:rPr>
              <w:t>وَهُوَ</w:t>
            </w:r>
            <w:r w:rsidR="00FB4A23" w:rsidRPr="001F2956">
              <w:rPr>
                <w:rStyle w:val="Hyperlink"/>
                <w:noProof/>
                <w:rtl/>
                <w:lang w:bidi="fa-IR"/>
              </w:rPr>
              <w:t xml:space="preserve"> </w:t>
            </w:r>
            <w:r w:rsidR="00FB4A23" w:rsidRPr="001F2956">
              <w:rPr>
                <w:rStyle w:val="Hyperlink"/>
                <w:rFonts w:hint="eastAsia"/>
                <w:noProof/>
                <w:rtl/>
                <w:lang w:bidi="fa-IR"/>
              </w:rPr>
              <w:t>حَارٌّ</w:t>
            </w:r>
            <w:r w:rsidR="00FB4A23" w:rsidRPr="001F2956">
              <w:rPr>
                <w:rStyle w:val="Hyperlink"/>
                <w:noProof/>
                <w:rtl/>
                <w:lang w:bidi="fa-IR"/>
              </w:rPr>
              <w:t xml:space="preserve"> </w:t>
            </w:r>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مَسَّهُ</w:t>
            </w:r>
            <w:r w:rsidR="00FB4A23" w:rsidRPr="001F2956">
              <w:rPr>
                <w:rStyle w:val="Hyperlink"/>
                <w:noProof/>
                <w:rtl/>
                <w:lang w:bidi="fa-IR"/>
              </w:rPr>
              <w:t xml:space="preserve"> </w:t>
            </w:r>
            <w:r w:rsidR="00FB4A23" w:rsidRPr="001F2956">
              <w:rPr>
                <w:rStyle w:val="Hyperlink"/>
                <w:rFonts w:hint="eastAsia"/>
                <w:noProof/>
                <w:rtl/>
                <w:lang w:bidi="fa-IR"/>
              </w:rPr>
              <w:t>وَهُوَ</w:t>
            </w:r>
            <w:r w:rsidR="00FB4A23" w:rsidRPr="001F2956">
              <w:rPr>
                <w:rStyle w:val="Hyperlink"/>
                <w:noProof/>
                <w:rtl/>
                <w:lang w:bidi="fa-IR"/>
              </w:rPr>
              <w:t xml:space="preserve"> </w:t>
            </w:r>
            <w:r w:rsidR="00FB4A23" w:rsidRPr="001F2956">
              <w:rPr>
                <w:rStyle w:val="Hyperlink"/>
                <w:rFonts w:hint="eastAsia"/>
                <w:noProof/>
                <w:rtl/>
                <w:lang w:bidi="fa-IR"/>
              </w:rPr>
              <w:t>بَارِدٌ‌</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40975949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450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50" w:history="1">
            <w:r w:rsidR="00FB4A23" w:rsidRPr="001F2956">
              <w:rPr>
                <w:rStyle w:val="Hyperlink"/>
                <w:noProof/>
                <w:rtl/>
                <w:lang w:bidi="fa-IR"/>
              </w:rPr>
              <w:t xml:space="preserve">32 -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الْعِلَّةِ</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الْجَنَابَةِ‌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454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51" w:history="1">
            <w:r w:rsidR="00FB4A23" w:rsidRPr="001F2956">
              <w:rPr>
                <w:rStyle w:val="Hyperlink"/>
                <w:noProof/>
                <w:rtl/>
                <w:lang w:bidi="fa-IR"/>
              </w:rPr>
              <w:t xml:space="preserve">33 -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مُؤْمِناً‌</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457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52" w:history="1">
            <w:r w:rsidR="00FB4A23" w:rsidRPr="001F2956">
              <w:rPr>
                <w:rStyle w:val="Hyperlink"/>
                <w:noProof/>
                <w:rtl/>
                <w:lang w:bidi="fa-IR"/>
              </w:rPr>
              <w:t xml:space="preserve">34 -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كَفَّنَ</w:t>
            </w:r>
            <w:r w:rsidR="00FB4A23" w:rsidRPr="001F2956">
              <w:rPr>
                <w:rStyle w:val="Hyperlink"/>
                <w:noProof/>
                <w:rtl/>
                <w:lang w:bidi="fa-IR"/>
              </w:rPr>
              <w:t xml:space="preserve"> </w:t>
            </w:r>
            <w:r w:rsidR="00FB4A23" w:rsidRPr="001F2956">
              <w:rPr>
                <w:rStyle w:val="Hyperlink"/>
                <w:rFonts w:hint="eastAsia"/>
                <w:noProof/>
                <w:rtl/>
                <w:lang w:bidi="fa-IR"/>
              </w:rPr>
              <w:t>مُؤْمِناً‌</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460</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953" w:history="1">
            <w:r w:rsidR="00FB4A23" w:rsidRPr="001F2956">
              <w:rPr>
                <w:rStyle w:val="Hyperlink"/>
                <w:noProof/>
                <w:rtl/>
                <w:lang w:bidi="fa-IR"/>
              </w:rPr>
              <w:t xml:space="preserve">35 -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حَفَرَ</w:t>
            </w:r>
            <w:r w:rsidR="00FB4A23" w:rsidRPr="001F2956">
              <w:rPr>
                <w:rStyle w:val="Hyperlink"/>
                <w:noProof/>
                <w:rtl/>
                <w:lang w:bidi="fa-IR"/>
              </w:rPr>
              <w:t xml:space="preserve"> </w:t>
            </w:r>
            <w:r w:rsidR="00FB4A23" w:rsidRPr="001F2956">
              <w:rPr>
                <w:rStyle w:val="Hyperlink"/>
                <w:rFonts w:hint="eastAsia"/>
                <w:noProof/>
                <w:rtl/>
                <w:lang w:bidi="fa-IR"/>
              </w:rPr>
              <w:t>لِمُؤْمِنٍ</w:t>
            </w:r>
            <w:r w:rsidR="00FB4A23" w:rsidRPr="001F2956">
              <w:rPr>
                <w:rStyle w:val="Hyperlink"/>
                <w:noProof/>
                <w:rtl/>
                <w:lang w:bidi="fa-IR"/>
              </w:rPr>
              <w:t xml:space="preserve"> </w:t>
            </w:r>
            <w:r w:rsidR="00FB4A23" w:rsidRPr="001F2956">
              <w:rPr>
                <w:rStyle w:val="Hyperlink"/>
                <w:rFonts w:hint="eastAsia"/>
                <w:noProof/>
                <w:rtl/>
                <w:lang w:bidi="fa-IR"/>
              </w:rPr>
              <w:t>قَبْراً‌</w:t>
            </w:r>
          </w:hyperlink>
          <w:r w:rsidR="00FB4A23">
            <w:rPr>
              <w:rStyle w:val="Hyperlink"/>
              <w:rFonts w:hint="cs"/>
              <w:noProof/>
              <w:rtl/>
            </w:rPr>
            <w:t xml:space="preserve"> </w:t>
          </w:r>
          <w:hyperlink w:anchor="_Toc40975954" w:history="1">
            <w:r w:rsidR="00FB4A23" w:rsidRPr="001F2956">
              <w:rPr>
                <w:rStyle w:val="Hyperlink"/>
                <w:noProof/>
                <w:rtl/>
                <w:lang w:bidi="fa-IR"/>
              </w:rPr>
              <w:t xml:space="preserve">36 -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حَدِّ</w:t>
            </w:r>
            <w:r w:rsidR="00FB4A23" w:rsidRPr="001F2956">
              <w:rPr>
                <w:rStyle w:val="Hyperlink"/>
                <w:noProof/>
                <w:rtl/>
                <w:lang w:bidi="fa-IR"/>
              </w:rPr>
              <w:t xml:space="preserve"> </w:t>
            </w:r>
            <w:r w:rsidR="00FB4A23" w:rsidRPr="001F2956">
              <w:rPr>
                <w:rStyle w:val="Hyperlink"/>
                <w:rFonts w:hint="eastAsia"/>
                <w:noProof/>
                <w:rtl/>
                <w:lang w:bidi="fa-IR"/>
              </w:rPr>
              <w:t>حَفْرِ</w:t>
            </w:r>
            <w:r w:rsidR="00FB4A23" w:rsidRPr="001F2956">
              <w:rPr>
                <w:rStyle w:val="Hyperlink"/>
                <w:noProof/>
                <w:rtl/>
                <w:lang w:bidi="fa-IR"/>
              </w:rPr>
              <w:t xml:space="preserve"> </w:t>
            </w:r>
            <w:r w:rsidR="00FB4A23" w:rsidRPr="001F2956">
              <w:rPr>
                <w:rStyle w:val="Hyperlink"/>
                <w:rFonts w:hint="eastAsia"/>
                <w:noProof/>
                <w:rtl/>
                <w:lang w:bidi="fa-IR"/>
              </w:rPr>
              <w:t>الْقَبْرِ</w:t>
            </w:r>
            <w:r w:rsidR="00FB4A23" w:rsidRPr="001F2956">
              <w:rPr>
                <w:rStyle w:val="Hyperlink"/>
                <w:noProof/>
                <w:rtl/>
                <w:lang w:bidi="fa-IR"/>
              </w:rPr>
              <w:t xml:space="preserve"> </w:t>
            </w:r>
            <w:r w:rsidR="00FB4A23" w:rsidRPr="001F2956">
              <w:rPr>
                <w:rStyle w:val="Hyperlink"/>
                <w:noProof/>
                <w:vertAlign w:val="superscript"/>
                <w:rtl/>
              </w:rPr>
              <w:t>(5)</w:t>
            </w:r>
            <w:r w:rsidR="00FB4A23" w:rsidRPr="001F2956">
              <w:rPr>
                <w:rStyle w:val="Hyperlink"/>
                <w:noProof/>
                <w:rtl/>
              </w:rPr>
              <w:t xml:space="preserve"> </w:t>
            </w:r>
            <w:r w:rsidR="00FB4A23" w:rsidRPr="001F2956">
              <w:rPr>
                <w:rStyle w:val="Hyperlink"/>
                <w:rFonts w:hint="eastAsia"/>
                <w:noProof/>
                <w:rtl/>
                <w:lang w:bidi="fa-IR"/>
              </w:rPr>
              <w:t>وَاللَّحْدِ</w:t>
            </w:r>
            <w:r w:rsidR="00FB4A23" w:rsidRPr="001F2956">
              <w:rPr>
                <w:rStyle w:val="Hyperlink"/>
                <w:noProof/>
                <w:rtl/>
                <w:lang w:bidi="fa-IR"/>
              </w:rPr>
              <w:t xml:space="preserve"> </w:t>
            </w:r>
            <w:r w:rsidR="00FB4A23" w:rsidRPr="001F2956">
              <w:rPr>
                <w:rStyle w:val="Hyperlink"/>
                <w:rFonts w:hint="eastAsia"/>
                <w:noProof/>
                <w:rtl/>
                <w:lang w:bidi="fa-IR"/>
              </w:rPr>
              <w:t>وَالشَّقِّ</w:t>
            </w:r>
            <w:r w:rsidR="00FB4A23" w:rsidRPr="001F2956">
              <w:rPr>
                <w:rStyle w:val="Hyperlink"/>
                <w:noProof/>
                <w:rtl/>
                <w:lang w:bidi="fa-IR"/>
              </w:rPr>
              <w:t xml:space="preserve"> </w:t>
            </w:r>
            <w:r w:rsidR="00FB4A23" w:rsidRPr="001F2956">
              <w:rPr>
                <w:rStyle w:val="Hyperlink"/>
                <w:rFonts w:hint="eastAsia"/>
                <w:noProof/>
                <w:rtl/>
                <w:lang w:bidi="fa-IR"/>
              </w:rPr>
              <w:t>وَأَنَّ</w:t>
            </w:r>
            <w:r w:rsidR="00FB4A23" w:rsidRPr="001F2956">
              <w:rPr>
                <w:rStyle w:val="Hyperlink"/>
                <w:noProof/>
                <w:rtl/>
                <w:lang w:bidi="fa-IR"/>
              </w:rPr>
              <w:t xml:space="preserve"> </w:t>
            </w:r>
            <w:r w:rsidR="00FB4A23" w:rsidRPr="001F2956">
              <w:rPr>
                <w:rStyle w:val="Hyperlink"/>
                <w:rFonts w:hint="eastAsia"/>
                <w:noProof/>
                <w:rtl/>
                <w:lang w:bidi="fa-IR"/>
              </w:rPr>
              <w:t>رَسُولَ</w:t>
            </w:r>
            <w:r w:rsidR="00FB4A23" w:rsidRPr="001F2956">
              <w:rPr>
                <w:rStyle w:val="Hyperlink"/>
                <w:noProof/>
                <w:rtl/>
                <w:lang w:bidi="fa-IR"/>
              </w:rPr>
              <w:t xml:space="preserve"> </w:t>
            </w:r>
            <w:r w:rsidR="00FB4A23" w:rsidRPr="001F2956">
              <w:rPr>
                <w:rStyle w:val="Hyperlink"/>
                <w:rFonts w:hint="eastAsia"/>
                <w:noProof/>
                <w:rtl/>
                <w:lang w:bidi="fa-IR"/>
              </w:rPr>
              <w:t>اللهِ</w:t>
            </w:r>
            <w:r w:rsidR="00FB4A23" w:rsidRPr="001F2956">
              <w:rPr>
                <w:rStyle w:val="Hyperlink"/>
                <w:noProof/>
                <w:rtl/>
                <w:lang w:bidi="fa-IR"/>
              </w:rPr>
              <w:t xml:space="preserve"> </w:t>
            </w:r>
            <w:r w:rsidR="00FB4A23" w:rsidRPr="001F2956">
              <w:rPr>
                <w:rStyle w:val="Hyperlink"/>
                <w:rFonts w:cs="Rafed Alaem" w:hint="eastAsia"/>
                <w:noProof/>
                <w:rtl/>
              </w:rPr>
              <w:t>صلى‌الله‌عليه‌وآله</w:t>
            </w:r>
            <w:r w:rsidR="00FB4A23" w:rsidRPr="001F2956">
              <w:rPr>
                <w:rStyle w:val="Hyperlink"/>
                <w:noProof/>
                <w:rtl/>
                <w:lang w:bidi="fa-IR"/>
              </w:rPr>
              <w:t xml:space="preserve"> </w:t>
            </w:r>
            <w:r w:rsidR="00FB4A23" w:rsidRPr="001F2956">
              <w:rPr>
                <w:rStyle w:val="Hyperlink"/>
                <w:rFonts w:hint="eastAsia"/>
                <w:noProof/>
                <w:rtl/>
                <w:lang w:bidi="fa-IR"/>
              </w:rPr>
              <w:t>لُحِدَ</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rPr>
              <w:t xml:space="preserve"> </w:t>
            </w:r>
            <w:r w:rsidR="00FB4A23" w:rsidRPr="001F2956">
              <w:rPr>
                <w:rStyle w:val="Hyperlink"/>
                <w:rFonts w:hint="eastAsia"/>
                <w:noProof/>
                <w:rtl/>
                <w:lang w:bidi="fa-IR"/>
              </w:rPr>
              <w:t>لَهُ‌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461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55" w:history="1">
            <w:r w:rsidR="00FB4A23" w:rsidRPr="001F2956">
              <w:rPr>
                <w:rStyle w:val="Hyperlink"/>
                <w:noProof/>
                <w:rtl/>
                <w:lang w:bidi="fa-IR"/>
              </w:rPr>
              <w:t xml:space="preserve">37 -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يُؤْذَنُ</w:t>
            </w:r>
            <w:r w:rsidR="00FB4A23" w:rsidRPr="001F2956">
              <w:rPr>
                <w:rStyle w:val="Hyperlink"/>
                <w:noProof/>
                <w:rtl/>
                <w:lang w:bidi="fa-IR"/>
              </w:rPr>
              <w:t xml:space="preserve"> </w:t>
            </w:r>
            <w:r w:rsidR="00FB4A23" w:rsidRPr="001F2956">
              <w:rPr>
                <w:rStyle w:val="Hyperlink"/>
                <w:rFonts w:hint="eastAsia"/>
                <w:noProof/>
                <w:rtl/>
                <w:lang w:bidi="fa-IR"/>
              </w:rPr>
              <w:t>بِهِ</w:t>
            </w:r>
            <w:r w:rsidR="00FB4A23" w:rsidRPr="001F2956">
              <w:rPr>
                <w:rStyle w:val="Hyperlink"/>
                <w:noProof/>
                <w:rtl/>
                <w:lang w:bidi="fa-IR"/>
              </w:rPr>
              <w:t xml:space="preserve"> </w:t>
            </w:r>
            <w:r w:rsidR="00FB4A23" w:rsidRPr="001F2956">
              <w:rPr>
                <w:rStyle w:val="Hyperlink"/>
                <w:rFonts w:hint="eastAsia"/>
                <w:noProof/>
                <w:rtl/>
                <w:lang w:bidi="fa-IR"/>
              </w:rPr>
              <w:t>النَّاسُ‌</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463</w:t>
            </w:r>
            <w:r w:rsidR="00FB4A23">
              <w:rPr>
                <w:noProof/>
                <w:webHidden/>
                <w:rtl/>
              </w:rPr>
              <w:fldChar w:fldCharType="end"/>
            </w:r>
          </w:hyperlink>
        </w:p>
        <w:p w:rsidR="00FB4A23" w:rsidRDefault="00FB4A23" w:rsidP="00077571">
          <w:pPr>
            <w:pStyle w:val="libNormal"/>
            <w:rPr>
              <w:rStyle w:val="Hyperlink"/>
              <w:noProof/>
            </w:rPr>
          </w:pPr>
          <w:r>
            <w:rPr>
              <w:rStyle w:val="Hyperlink"/>
              <w:noProof/>
            </w:rPr>
            <w:br w:type="page"/>
          </w:r>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56" w:history="1">
            <w:r w:rsidR="00FB4A23" w:rsidRPr="001F2956">
              <w:rPr>
                <w:rStyle w:val="Hyperlink"/>
                <w:noProof/>
                <w:rtl/>
                <w:lang w:bidi="fa-IR"/>
              </w:rPr>
              <w:t xml:space="preserve">38 -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الْقَوْلِ</w:t>
            </w:r>
            <w:r w:rsidR="00FB4A23" w:rsidRPr="001F2956">
              <w:rPr>
                <w:rStyle w:val="Hyperlink"/>
                <w:noProof/>
                <w:rtl/>
                <w:lang w:bidi="fa-IR"/>
              </w:rPr>
              <w:t xml:space="preserve"> </w:t>
            </w:r>
            <w:r w:rsidR="00FB4A23" w:rsidRPr="001F2956">
              <w:rPr>
                <w:rStyle w:val="Hyperlink"/>
                <w:rFonts w:hint="eastAsia"/>
                <w:noProof/>
                <w:rtl/>
                <w:lang w:bidi="fa-IR"/>
              </w:rPr>
              <w:t>عِنْدَ</w:t>
            </w:r>
            <w:r w:rsidR="00FB4A23" w:rsidRPr="001F2956">
              <w:rPr>
                <w:rStyle w:val="Hyperlink"/>
                <w:noProof/>
                <w:rtl/>
                <w:lang w:bidi="fa-IR"/>
              </w:rPr>
              <w:t xml:space="preserve"> </w:t>
            </w:r>
            <w:r w:rsidR="00FB4A23" w:rsidRPr="001F2956">
              <w:rPr>
                <w:rStyle w:val="Hyperlink"/>
                <w:rFonts w:hint="eastAsia"/>
                <w:noProof/>
                <w:rtl/>
                <w:lang w:bidi="fa-IR"/>
              </w:rPr>
              <w:t>رُؤْيَةِ</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464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57" w:history="1">
            <w:r w:rsidR="00FB4A23" w:rsidRPr="001F2956">
              <w:rPr>
                <w:rStyle w:val="Hyperlink"/>
                <w:noProof/>
                <w:rtl/>
                <w:lang w:bidi="fa-IR"/>
              </w:rPr>
              <w:t xml:space="preserve">39 -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السُّنَّةِ</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حَمْلِ</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466</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58" w:history="1">
            <w:r w:rsidR="00FB4A23" w:rsidRPr="001F2956">
              <w:rPr>
                <w:rStyle w:val="Hyperlink"/>
                <w:noProof/>
                <w:rtl/>
                <w:lang w:bidi="fa-IR"/>
              </w:rPr>
              <w:t xml:space="preserve">40 -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الْمَشْيِ</w:t>
            </w:r>
            <w:r w:rsidR="00FB4A23" w:rsidRPr="001F2956">
              <w:rPr>
                <w:rStyle w:val="Hyperlink"/>
                <w:noProof/>
                <w:rtl/>
                <w:lang w:bidi="fa-IR"/>
              </w:rPr>
              <w:t xml:space="preserve"> </w:t>
            </w:r>
            <w:r w:rsidR="00FB4A23" w:rsidRPr="001F2956">
              <w:rPr>
                <w:rStyle w:val="Hyperlink"/>
                <w:rFonts w:hint="eastAsia"/>
                <w:noProof/>
                <w:rtl/>
                <w:lang w:bidi="fa-IR"/>
              </w:rPr>
              <w:t>مَعَ</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469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59" w:history="1">
            <w:r w:rsidR="00FB4A23" w:rsidRPr="001F2956">
              <w:rPr>
                <w:rStyle w:val="Hyperlink"/>
                <w:noProof/>
                <w:rtl/>
                <w:lang w:bidi="fa-IR"/>
              </w:rPr>
              <w:t xml:space="preserve">41 -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كَرَاهِيَةِ</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الرُّكُوبِ</w:t>
            </w:r>
            <w:r w:rsidR="00FB4A23" w:rsidRPr="001F2956">
              <w:rPr>
                <w:rStyle w:val="Hyperlink"/>
                <w:noProof/>
                <w:rtl/>
                <w:lang w:bidi="fa-IR"/>
              </w:rPr>
              <w:t xml:space="preserve"> </w:t>
            </w:r>
            <w:r w:rsidR="00FB4A23" w:rsidRPr="001F2956">
              <w:rPr>
                <w:rStyle w:val="Hyperlink"/>
                <w:rFonts w:hint="eastAsia"/>
                <w:noProof/>
                <w:rtl/>
                <w:lang w:bidi="fa-IR"/>
              </w:rPr>
              <w:t>مَعَ</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40975959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472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0" w:history="1">
            <w:r w:rsidR="00FB4A23" w:rsidRPr="001F2956">
              <w:rPr>
                <w:rStyle w:val="Hyperlink"/>
                <w:noProof/>
                <w:rtl/>
                <w:lang w:bidi="fa-IR"/>
              </w:rPr>
              <w:t xml:space="preserve">42 -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يَتْبَعُ</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rPr>
              <w:t xml:space="preserve"> </w:t>
            </w:r>
            <w:r w:rsidR="00FB4A23" w:rsidRPr="001F2956">
              <w:rPr>
                <w:rStyle w:val="Hyperlink"/>
                <w:rFonts w:hint="eastAsia"/>
                <w:noProof/>
                <w:rtl/>
                <w:lang w:bidi="fa-IR"/>
              </w:rPr>
              <w:t>جَنَازَةً</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rPr>
              <w:t xml:space="preserve"> </w:t>
            </w:r>
            <w:r w:rsidR="00FB4A23" w:rsidRPr="001F2956">
              <w:rPr>
                <w:rStyle w:val="Hyperlink"/>
                <w:rFonts w:hint="eastAsia"/>
                <w:noProof/>
                <w:rtl/>
                <w:lang w:bidi="fa-IR"/>
              </w:rPr>
              <w:t>ثُمَّ</w:t>
            </w:r>
            <w:r w:rsidR="00FB4A23" w:rsidRPr="001F2956">
              <w:rPr>
                <w:rStyle w:val="Hyperlink"/>
                <w:noProof/>
                <w:rtl/>
                <w:lang w:bidi="fa-IR"/>
              </w:rPr>
              <w:t xml:space="preserve"> </w:t>
            </w:r>
            <w:r w:rsidR="00FB4A23" w:rsidRPr="001F2956">
              <w:rPr>
                <w:rStyle w:val="Hyperlink"/>
                <w:rFonts w:hint="eastAsia"/>
                <w:noProof/>
                <w:rtl/>
                <w:lang w:bidi="fa-IR"/>
              </w:rPr>
              <w:t>يَرْجِعُ‌</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473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1" w:history="1">
            <w:r w:rsidR="00FB4A23" w:rsidRPr="001F2956">
              <w:rPr>
                <w:rStyle w:val="Hyperlink"/>
                <w:noProof/>
                <w:rtl/>
                <w:lang w:bidi="fa-IR"/>
              </w:rPr>
              <w:t xml:space="preserve">43 -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مَشى</w:t>
            </w:r>
            <w:r w:rsidR="00FB4A23" w:rsidRPr="001F2956">
              <w:rPr>
                <w:rStyle w:val="Hyperlink"/>
                <w:noProof/>
                <w:rtl/>
                <w:lang w:bidi="fa-IR"/>
              </w:rPr>
              <w:t xml:space="preserve"> </w:t>
            </w:r>
            <w:r w:rsidR="00FB4A23" w:rsidRPr="001F2956">
              <w:rPr>
                <w:rStyle w:val="Hyperlink"/>
                <w:rFonts w:hint="eastAsia"/>
                <w:noProof/>
                <w:rtl/>
                <w:lang w:bidi="fa-IR"/>
              </w:rPr>
              <w:t>مَعَ</w:t>
            </w:r>
            <w:r w:rsidR="00FB4A23" w:rsidRPr="001F2956">
              <w:rPr>
                <w:rStyle w:val="Hyperlink"/>
                <w:noProof/>
                <w:rtl/>
                <w:lang w:bidi="fa-IR"/>
              </w:rPr>
              <w:t xml:space="preserve"> </w:t>
            </w:r>
            <w:r w:rsidR="00FB4A23" w:rsidRPr="001F2956">
              <w:rPr>
                <w:rStyle w:val="Hyperlink"/>
                <w:rFonts w:hint="eastAsia"/>
                <w:noProof/>
                <w:rtl/>
                <w:lang w:bidi="fa-IR"/>
              </w:rPr>
              <w:t>جَنَازَةٍ‌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475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2" w:history="1">
            <w:r w:rsidR="00FB4A23" w:rsidRPr="001F2956">
              <w:rPr>
                <w:rStyle w:val="Hyperlink"/>
                <w:noProof/>
                <w:rtl/>
                <w:lang w:bidi="fa-IR"/>
              </w:rPr>
              <w:t xml:space="preserve">44 -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حَمَلَ</w:t>
            </w:r>
            <w:r w:rsidR="00FB4A23" w:rsidRPr="001F2956">
              <w:rPr>
                <w:rStyle w:val="Hyperlink"/>
                <w:noProof/>
                <w:rtl/>
                <w:lang w:bidi="fa-IR"/>
              </w:rPr>
              <w:t xml:space="preserve"> </w:t>
            </w:r>
            <w:r w:rsidR="00FB4A23" w:rsidRPr="001F2956">
              <w:rPr>
                <w:rStyle w:val="Hyperlink"/>
                <w:rFonts w:hint="eastAsia"/>
                <w:noProof/>
                <w:rtl/>
                <w:lang w:bidi="fa-IR"/>
              </w:rPr>
              <w:t>جَنَازَةً</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479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3" w:history="1">
            <w:r w:rsidR="00FB4A23" w:rsidRPr="001F2956">
              <w:rPr>
                <w:rStyle w:val="Hyperlink"/>
                <w:noProof/>
                <w:rtl/>
                <w:lang w:bidi="fa-IR"/>
              </w:rPr>
              <w:t xml:space="preserve">45 -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جَنَائِزِ</w:t>
            </w:r>
            <w:r w:rsidR="00FB4A23" w:rsidRPr="001F2956">
              <w:rPr>
                <w:rStyle w:val="Hyperlink"/>
                <w:noProof/>
                <w:rtl/>
                <w:lang w:bidi="fa-IR"/>
              </w:rPr>
              <w:t xml:space="preserve"> </w:t>
            </w:r>
            <w:r w:rsidR="00FB4A23" w:rsidRPr="001F2956">
              <w:rPr>
                <w:rStyle w:val="Hyperlink"/>
                <w:rFonts w:hint="eastAsia"/>
                <w:noProof/>
                <w:rtl/>
                <w:lang w:bidi="fa-IR"/>
              </w:rPr>
              <w:t>الرِّجَالِ</w:t>
            </w:r>
            <w:r w:rsidR="00FB4A23" w:rsidRPr="001F2956">
              <w:rPr>
                <w:rStyle w:val="Hyperlink"/>
                <w:noProof/>
                <w:rtl/>
                <w:lang w:bidi="fa-IR"/>
              </w:rPr>
              <w:t xml:space="preserve"> </w:t>
            </w:r>
            <w:r w:rsidR="00FB4A23" w:rsidRPr="001F2956">
              <w:rPr>
                <w:rStyle w:val="Hyperlink"/>
                <w:rFonts w:hint="eastAsia"/>
                <w:noProof/>
                <w:rtl/>
                <w:lang w:bidi="fa-IR"/>
              </w:rPr>
              <w:t>وَالنِّسَاءِ</w:t>
            </w:r>
            <w:r w:rsidR="00FB4A23" w:rsidRPr="001F2956">
              <w:rPr>
                <w:rStyle w:val="Hyperlink"/>
                <w:noProof/>
                <w:rtl/>
                <w:lang w:bidi="fa-IR"/>
              </w:rPr>
              <w:t xml:space="preserve"> </w:t>
            </w:r>
            <w:r w:rsidR="00FB4A23" w:rsidRPr="001F2956">
              <w:rPr>
                <w:rStyle w:val="Hyperlink"/>
                <w:rFonts w:hint="eastAsia"/>
                <w:noProof/>
                <w:rtl/>
                <w:lang w:bidi="fa-IR"/>
              </w:rPr>
              <w:t>وَالصِّبْيَانِ</w:t>
            </w:r>
            <w:r w:rsidR="00FB4A23" w:rsidRPr="001F2956">
              <w:rPr>
                <w:rStyle w:val="Hyperlink"/>
                <w:noProof/>
                <w:rtl/>
                <w:lang w:bidi="fa-IR"/>
              </w:rPr>
              <w:t xml:space="preserve"> </w:t>
            </w:r>
            <w:r w:rsidR="00FB4A23" w:rsidRPr="001F2956">
              <w:rPr>
                <w:rStyle w:val="Hyperlink"/>
                <w:rFonts w:hint="eastAsia"/>
                <w:noProof/>
                <w:rtl/>
                <w:lang w:bidi="fa-IR"/>
              </w:rPr>
              <w:t>وَالْأَحْرَارِ</w:t>
            </w:r>
            <w:r w:rsidR="00FB4A23" w:rsidRPr="001F2956">
              <w:rPr>
                <w:rStyle w:val="Hyperlink"/>
                <w:noProof/>
                <w:rtl/>
                <w:lang w:bidi="fa-IR"/>
              </w:rPr>
              <w:t xml:space="preserve"> </w:t>
            </w:r>
            <w:r w:rsidR="00FB4A23" w:rsidRPr="001F2956">
              <w:rPr>
                <w:rStyle w:val="Hyperlink"/>
                <w:rFonts w:hint="eastAsia"/>
                <w:noProof/>
                <w:rtl/>
                <w:lang w:bidi="fa-IR"/>
              </w:rPr>
              <w:t>وَالْعَبِيدِ‌</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480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4" w:history="1">
            <w:r w:rsidR="00FB4A23" w:rsidRPr="001F2956">
              <w:rPr>
                <w:rStyle w:val="Hyperlink"/>
                <w:noProof/>
                <w:rtl/>
                <w:lang w:bidi="fa-IR"/>
              </w:rPr>
              <w:t xml:space="preserve">46 -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نَادِرٌ</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484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5" w:history="1">
            <w:r w:rsidR="00FB4A23" w:rsidRPr="001F2956">
              <w:rPr>
                <w:rStyle w:val="Hyperlink"/>
                <w:noProof/>
                <w:rtl/>
                <w:lang w:bidi="fa-IR"/>
              </w:rPr>
              <w:t xml:space="preserve">47 -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الْمَوْضِعِ</w:t>
            </w:r>
            <w:r w:rsidR="00FB4A23" w:rsidRPr="001F2956">
              <w:rPr>
                <w:rStyle w:val="Hyperlink"/>
                <w:noProof/>
                <w:rtl/>
                <w:lang w:bidi="fa-IR"/>
              </w:rPr>
              <w:t xml:space="preserve"> </w:t>
            </w:r>
            <w:r w:rsidR="00FB4A23" w:rsidRPr="001F2956">
              <w:rPr>
                <w:rStyle w:val="Hyperlink"/>
                <w:rFonts w:hint="eastAsia"/>
                <w:noProof/>
                <w:rtl/>
                <w:lang w:bidi="fa-IR"/>
              </w:rPr>
              <w:t>الَّذِي</w:t>
            </w:r>
            <w:r w:rsidR="00FB4A23" w:rsidRPr="001F2956">
              <w:rPr>
                <w:rStyle w:val="Hyperlink"/>
                <w:noProof/>
                <w:rtl/>
                <w:lang w:bidi="fa-IR"/>
              </w:rPr>
              <w:t xml:space="preserve"> </w:t>
            </w:r>
            <w:r w:rsidR="00FB4A23" w:rsidRPr="001F2956">
              <w:rPr>
                <w:rStyle w:val="Hyperlink"/>
                <w:rFonts w:hint="eastAsia"/>
                <w:noProof/>
                <w:rtl/>
                <w:lang w:bidi="fa-IR"/>
              </w:rPr>
              <w:t>يَقُومُ</w:t>
            </w:r>
            <w:r w:rsidR="00FB4A23" w:rsidRPr="001F2956">
              <w:rPr>
                <w:rStyle w:val="Hyperlink"/>
                <w:noProof/>
                <w:rtl/>
                <w:lang w:bidi="fa-IR"/>
              </w:rPr>
              <w:t xml:space="preserve"> </w:t>
            </w:r>
            <w:r w:rsidR="00FB4A23" w:rsidRPr="001F2956">
              <w:rPr>
                <w:rStyle w:val="Hyperlink"/>
                <w:rFonts w:hint="eastAsia"/>
                <w:noProof/>
                <w:rtl/>
                <w:lang w:bidi="fa-IR"/>
              </w:rPr>
              <w:t>الْإِمَامُ</w:t>
            </w:r>
            <w:r w:rsidR="00FB4A23" w:rsidRPr="001F2956">
              <w:rPr>
                <w:rStyle w:val="Hyperlink"/>
                <w:noProof/>
                <w:rtl/>
                <w:lang w:bidi="fa-IR"/>
              </w:rPr>
              <w:t xml:space="preserve"> </w:t>
            </w:r>
            <w:r w:rsidR="00FB4A23" w:rsidRPr="001F2956">
              <w:rPr>
                <w:rStyle w:val="Hyperlink"/>
                <w:rFonts w:hint="eastAsia"/>
                <w:noProof/>
                <w:rtl/>
                <w:lang w:bidi="fa-IR"/>
              </w:rPr>
              <w:t>إِذَا</w:t>
            </w:r>
            <w:r w:rsidR="00FB4A23" w:rsidRPr="001F2956">
              <w:rPr>
                <w:rStyle w:val="Hyperlink"/>
                <w:noProof/>
                <w:rtl/>
                <w:lang w:bidi="fa-IR"/>
              </w:rPr>
              <w:t xml:space="preserve"> </w:t>
            </w:r>
            <w:r w:rsidR="00FB4A23" w:rsidRPr="001F2956">
              <w:rPr>
                <w:rStyle w:val="Hyperlink"/>
                <w:rFonts w:hint="eastAsia"/>
                <w:noProof/>
                <w:rtl/>
                <w:lang w:bidi="fa-IR"/>
              </w:rPr>
              <w:t>صَلّى</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sidRPr="001F2956">
              <w:rPr>
                <w:rStyle w:val="Hyperlink"/>
                <w:noProof/>
                <w:rtl/>
                <w:lang w:bidi="fa-IR"/>
              </w:rPr>
              <w:t xml:space="preserve"> </w:t>
            </w:r>
            <w:r w:rsidR="00FB4A23" w:rsidRPr="001F2956">
              <w:rPr>
                <w:rStyle w:val="Hyperlink"/>
                <w:noProof/>
                <w:vertAlign w:val="superscript"/>
                <w:rtl/>
              </w:rPr>
              <w:t>(10)</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485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6" w:history="1">
            <w:r w:rsidR="00FB4A23" w:rsidRPr="001F2956">
              <w:rPr>
                <w:rStyle w:val="Hyperlink"/>
                <w:noProof/>
                <w:rtl/>
                <w:lang w:bidi="fa-IR"/>
              </w:rPr>
              <w:t xml:space="preserve">48 -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أَوْلَى</w:t>
            </w:r>
            <w:r w:rsidR="00FB4A23" w:rsidRPr="001F2956">
              <w:rPr>
                <w:rStyle w:val="Hyperlink"/>
                <w:noProof/>
                <w:rtl/>
                <w:lang w:bidi="fa-IR"/>
              </w:rPr>
              <w:t xml:space="preserve"> </w:t>
            </w:r>
            <w:r w:rsidR="00FB4A23" w:rsidRPr="001F2956">
              <w:rPr>
                <w:rStyle w:val="Hyperlink"/>
                <w:rFonts w:hint="eastAsia"/>
                <w:noProof/>
                <w:rtl/>
                <w:lang w:bidi="fa-IR"/>
              </w:rPr>
              <w:t>النَّاسِ</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rPr>
              <w:t xml:space="preserve"> </w:t>
            </w:r>
            <w:r w:rsidR="00FB4A23" w:rsidRPr="001F2956">
              <w:rPr>
                <w:rStyle w:val="Hyperlink"/>
                <w:rFonts w:hint="eastAsia"/>
                <w:noProof/>
                <w:rtl/>
                <w:lang w:bidi="fa-IR"/>
              </w:rPr>
              <w:t>بِالصَّلَاةِ</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486</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7" w:history="1">
            <w:r w:rsidR="00FB4A23" w:rsidRPr="001F2956">
              <w:rPr>
                <w:rStyle w:val="Hyperlink"/>
                <w:noProof/>
                <w:rtl/>
                <w:lang w:bidi="fa-IR"/>
              </w:rPr>
              <w:t xml:space="preserve">49 -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يُصَلِّي</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sidRPr="001F2956">
              <w:rPr>
                <w:rStyle w:val="Hyperlink"/>
                <w:noProof/>
                <w:rtl/>
                <w:lang w:bidi="fa-IR"/>
              </w:rPr>
              <w:t xml:space="preserve"> </w:t>
            </w:r>
            <w:r w:rsidR="00FB4A23" w:rsidRPr="001F2956">
              <w:rPr>
                <w:rStyle w:val="Hyperlink"/>
                <w:rFonts w:hint="eastAsia"/>
                <w:noProof/>
                <w:rtl/>
                <w:lang w:bidi="fa-IR"/>
              </w:rPr>
              <w:t>وَهُوَ</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غَيْرِ</w:t>
            </w:r>
            <w:r w:rsidR="00FB4A23" w:rsidRPr="001F2956">
              <w:rPr>
                <w:rStyle w:val="Hyperlink"/>
                <w:noProof/>
                <w:rtl/>
                <w:lang w:bidi="fa-IR"/>
              </w:rPr>
              <w:t xml:space="preserve"> </w:t>
            </w:r>
            <w:r w:rsidR="00FB4A23" w:rsidRPr="001F2956">
              <w:rPr>
                <w:rStyle w:val="Hyperlink"/>
                <w:rFonts w:hint="eastAsia"/>
                <w:noProof/>
                <w:rtl/>
                <w:lang w:bidi="fa-IR"/>
              </w:rPr>
              <w:t>وُضُوءٍ‌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488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8" w:history="1">
            <w:r w:rsidR="00FB4A23" w:rsidRPr="001F2956">
              <w:rPr>
                <w:rStyle w:val="Hyperlink"/>
                <w:noProof/>
                <w:rtl/>
                <w:lang w:bidi="fa-IR"/>
              </w:rPr>
              <w:t xml:space="preserve">50 -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صَلَاةِ</w:t>
            </w:r>
            <w:r w:rsidR="00FB4A23" w:rsidRPr="001F2956">
              <w:rPr>
                <w:rStyle w:val="Hyperlink"/>
                <w:noProof/>
                <w:rtl/>
                <w:lang w:bidi="fa-IR"/>
              </w:rPr>
              <w:t xml:space="preserve"> </w:t>
            </w:r>
            <w:r w:rsidR="00FB4A23" w:rsidRPr="001F2956">
              <w:rPr>
                <w:rStyle w:val="Hyperlink"/>
                <w:rFonts w:hint="eastAsia"/>
                <w:noProof/>
                <w:rtl/>
                <w:lang w:bidi="fa-IR"/>
              </w:rPr>
              <w:t>النِّسَاءِ</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491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69" w:history="1">
            <w:r w:rsidR="00FB4A23" w:rsidRPr="001F2956">
              <w:rPr>
                <w:rStyle w:val="Hyperlink"/>
                <w:noProof/>
                <w:rtl/>
                <w:lang w:bidi="fa-IR"/>
              </w:rPr>
              <w:t xml:space="preserve">51 -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وَقْتِ</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الْجَنَائِزِ</w:t>
            </w:r>
            <w:r w:rsidR="00FB4A23" w:rsidRPr="001F2956">
              <w:rPr>
                <w:rStyle w:val="Hyperlink"/>
                <w:noProof/>
                <w:rtl/>
                <w:lang w:bidi="fa-IR"/>
              </w:rPr>
              <w:t xml:space="preserve"> </w:t>
            </w:r>
            <w:r w:rsidR="00FB4A23" w:rsidRPr="001F2956">
              <w:rPr>
                <w:rStyle w:val="Hyperlink"/>
                <w:noProof/>
                <w:vertAlign w:val="superscript"/>
                <w:rtl/>
              </w:rPr>
              <w:t>(2)</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40975969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493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0" w:history="1">
            <w:r w:rsidR="00FB4A23" w:rsidRPr="001F2956">
              <w:rPr>
                <w:rStyle w:val="Hyperlink"/>
                <w:noProof/>
                <w:rtl/>
                <w:lang w:bidi="fa-IR"/>
              </w:rPr>
              <w:t xml:space="preserve">52 -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عِلَّةِ</w:t>
            </w:r>
            <w:r w:rsidR="00FB4A23" w:rsidRPr="001F2956">
              <w:rPr>
                <w:rStyle w:val="Hyperlink"/>
                <w:noProof/>
                <w:rtl/>
                <w:lang w:bidi="fa-IR"/>
              </w:rPr>
              <w:t xml:space="preserve"> </w:t>
            </w:r>
            <w:r w:rsidR="00FB4A23" w:rsidRPr="001F2956">
              <w:rPr>
                <w:rStyle w:val="Hyperlink"/>
                <w:rFonts w:hint="eastAsia"/>
                <w:noProof/>
                <w:rtl/>
                <w:lang w:bidi="fa-IR"/>
              </w:rPr>
              <w:t>تَكْبِيرِ</w:t>
            </w:r>
            <w:r w:rsidR="00FB4A23" w:rsidRPr="001F2956">
              <w:rPr>
                <w:rStyle w:val="Hyperlink"/>
                <w:noProof/>
                <w:rtl/>
                <w:lang w:bidi="fa-IR"/>
              </w:rPr>
              <w:t xml:space="preserve"> </w:t>
            </w:r>
            <w:r w:rsidR="00FB4A23" w:rsidRPr="001F2956">
              <w:rPr>
                <w:rStyle w:val="Hyperlink"/>
                <w:rFonts w:hint="eastAsia"/>
                <w:noProof/>
                <w:rtl/>
                <w:lang w:bidi="fa-IR"/>
              </w:rPr>
              <w:t>الْخَمْسِ</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الْجَنَائِزِ</w:t>
            </w:r>
            <w:r w:rsidR="00FB4A23" w:rsidRPr="001F2956">
              <w:rPr>
                <w:rStyle w:val="Hyperlink"/>
                <w:noProof/>
                <w:rtl/>
                <w:lang w:bidi="fa-IR"/>
              </w:rPr>
              <w:t xml:space="preserve"> </w:t>
            </w:r>
            <w:r w:rsidR="00FB4A23" w:rsidRPr="001F2956">
              <w:rPr>
                <w:rStyle w:val="Hyperlink"/>
                <w:noProof/>
                <w:vertAlign w:val="superscript"/>
                <w:rtl/>
              </w:rPr>
              <w:t>(4)</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494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1" w:history="1">
            <w:r w:rsidR="00FB4A23" w:rsidRPr="001F2956">
              <w:rPr>
                <w:rStyle w:val="Hyperlink"/>
                <w:noProof/>
                <w:rtl/>
                <w:lang w:bidi="fa-IR"/>
              </w:rPr>
              <w:t xml:space="preserve">53 -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الْجَنَائِزِ</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الْمَسَاجِدِ</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497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2" w:history="1">
            <w:r w:rsidR="00FB4A23" w:rsidRPr="001F2956">
              <w:rPr>
                <w:rStyle w:val="Hyperlink"/>
                <w:noProof/>
                <w:rtl/>
                <w:lang w:bidi="fa-IR"/>
              </w:rPr>
              <w:t xml:space="preserve">54 -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الْمُؤْمِنِ</w:t>
            </w:r>
            <w:r w:rsidR="00FB4A23" w:rsidRPr="001F2956">
              <w:rPr>
                <w:rStyle w:val="Hyperlink"/>
                <w:noProof/>
                <w:rtl/>
                <w:lang w:bidi="fa-IR"/>
              </w:rPr>
              <w:t xml:space="preserve"> </w:t>
            </w:r>
            <w:r w:rsidR="00FB4A23" w:rsidRPr="001F2956">
              <w:rPr>
                <w:rStyle w:val="Hyperlink"/>
                <w:rFonts w:hint="eastAsia"/>
                <w:noProof/>
                <w:rtl/>
                <w:lang w:bidi="fa-IR"/>
              </w:rPr>
              <w:t>وَالتَّكْبِيرِ</w:t>
            </w:r>
            <w:r w:rsidR="00FB4A23" w:rsidRPr="001F2956">
              <w:rPr>
                <w:rStyle w:val="Hyperlink"/>
                <w:noProof/>
                <w:rtl/>
                <w:lang w:bidi="fa-IR"/>
              </w:rPr>
              <w:t xml:space="preserve"> </w:t>
            </w:r>
            <w:r w:rsidR="00FB4A23" w:rsidRPr="001F2956">
              <w:rPr>
                <w:rStyle w:val="Hyperlink"/>
                <w:rFonts w:hint="eastAsia"/>
                <w:noProof/>
                <w:rtl/>
                <w:lang w:bidi="fa-IR"/>
              </w:rPr>
              <w:t>وَالدُّعَاءِ‌</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498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3" w:history="1">
            <w:r w:rsidR="00FB4A23" w:rsidRPr="001F2956">
              <w:rPr>
                <w:rStyle w:val="Hyperlink"/>
                <w:noProof/>
                <w:rtl/>
                <w:lang w:bidi="fa-IR"/>
              </w:rPr>
              <w:t xml:space="preserve">55 -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أَنَّهُ</w:t>
            </w:r>
            <w:r w:rsidR="00FB4A23" w:rsidRPr="001F2956">
              <w:rPr>
                <w:rStyle w:val="Hyperlink"/>
                <w:noProof/>
                <w:rtl/>
                <w:lang w:bidi="fa-IR"/>
              </w:rPr>
              <w:t xml:space="preserve"> </w:t>
            </w:r>
            <w:r w:rsidR="00FB4A23" w:rsidRPr="001F2956">
              <w:rPr>
                <w:rStyle w:val="Hyperlink"/>
                <w:rFonts w:hint="eastAsia"/>
                <w:noProof/>
                <w:rtl/>
                <w:lang w:bidi="fa-IR"/>
              </w:rPr>
              <w:t>لَيْسَ</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rPr>
              <w:t xml:space="preserve"> </w:t>
            </w:r>
            <w:r w:rsidR="00FB4A23" w:rsidRPr="001F2956">
              <w:rPr>
                <w:rStyle w:val="Hyperlink"/>
                <w:rFonts w:hint="eastAsia"/>
                <w:noProof/>
                <w:rtl/>
                <w:lang w:bidi="fa-IR"/>
              </w:rPr>
              <w:t>دُعَاءٌ</w:t>
            </w:r>
            <w:r w:rsidR="00FB4A23" w:rsidRPr="001F2956">
              <w:rPr>
                <w:rStyle w:val="Hyperlink"/>
                <w:noProof/>
                <w:rtl/>
                <w:lang w:bidi="fa-IR"/>
              </w:rPr>
              <w:t xml:space="preserve"> </w:t>
            </w:r>
            <w:r w:rsidR="00FB4A23" w:rsidRPr="001F2956">
              <w:rPr>
                <w:rStyle w:val="Hyperlink"/>
                <w:rFonts w:hint="eastAsia"/>
                <w:noProof/>
                <w:rtl/>
                <w:lang w:bidi="fa-IR"/>
              </w:rPr>
              <w:t>مُوَقَّتٌ</w:t>
            </w:r>
            <w:r w:rsidR="00FB4A23" w:rsidRPr="001F2956">
              <w:rPr>
                <w:rStyle w:val="Hyperlink"/>
                <w:noProof/>
                <w:rtl/>
                <w:lang w:bidi="fa-IR"/>
              </w:rPr>
              <w:t xml:space="preserve"> </w:t>
            </w:r>
            <w:r w:rsidR="00FB4A23" w:rsidRPr="001F2956">
              <w:rPr>
                <w:rStyle w:val="Hyperlink"/>
                <w:rFonts w:hint="eastAsia"/>
                <w:noProof/>
                <w:rtl/>
                <w:lang w:bidi="fa-IR"/>
              </w:rPr>
              <w:t>وَأَنَّهُ</w:t>
            </w:r>
            <w:r w:rsidR="00FB4A23" w:rsidRPr="001F2956">
              <w:rPr>
                <w:rStyle w:val="Hyperlink"/>
                <w:noProof/>
                <w:rtl/>
                <w:lang w:bidi="fa-IR"/>
              </w:rPr>
              <w:t xml:space="preserve"> </w:t>
            </w:r>
            <w:r w:rsidR="00FB4A23" w:rsidRPr="001F2956">
              <w:rPr>
                <w:rStyle w:val="Hyperlink"/>
                <w:rFonts w:hint="eastAsia"/>
                <w:noProof/>
                <w:rtl/>
                <w:lang w:bidi="fa-IR"/>
              </w:rPr>
              <w:t>لَيْسَ</w:t>
            </w:r>
            <w:r w:rsidR="00FB4A23" w:rsidRPr="001F2956">
              <w:rPr>
                <w:rStyle w:val="Hyperlink"/>
                <w:noProof/>
                <w:rtl/>
                <w:lang w:bidi="fa-IR"/>
              </w:rPr>
              <w:t xml:space="preserve"> </w:t>
            </w:r>
            <w:r w:rsidR="00FB4A23" w:rsidRPr="001F2956">
              <w:rPr>
                <w:rStyle w:val="Hyperlink"/>
                <w:rFonts w:hint="eastAsia"/>
                <w:noProof/>
                <w:rtl/>
                <w:lang w:bidi="fa-IR"/>
              </w:rPr>
              <w:t>فِيهَا</w:t>
            </w:r>
            <w:r w:rsidR="00FB4A23" w:rsidRPr="001F2956">
              <w:rPr>
                <w:rStyle w:val="Hyperlink"/>
                <w:noProof/>
                <w:rtl/>
                <w:lang w:bidi="fa-IR"/>
              </w:rPr>
              <w:t xml:space="preserve"> </w:t>
            </w:r>
            <w:r w:rsidR="00FB4A23" w:rsidRPr="001F2956">
              <w:rPr>
                <w:rStyle w:val="Hyperlink"/>
                <w:rFonts w:hint="eastAsia"/>
                <w:noProof/>
                <w:rtl/>
                <w:lang w:bidi="fa-IR"/>
              </w:rPr>
              <w:t>تَسْلِيمٌ‌</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505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4" w:history="1">
            <w:r w:rsidR="00FB4A23" w:rsidRPr="001F2956">
              <w:rPr>
                <w:rStyle w:val="Hyperlink"/>
                <w:noProof/>
                <w:rtl/>
                <w:lang w:bidi="fa-IR"/>
              </w:rPr>
              <w:t xml:space="preserve">56 -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زَادَ</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خَمْسِ</w:t>
            </w:r>
            <w:r w:rsidR="00FB4A23" w:rsidRPr="001F2956">
              <w:rPr>
                <w:rStyle w:val="Hyperlink"/>
                <w:noProof/>
                <w:rtl/>
                <w:lang w:bidi="fa-IR"/>
              </w:rPr>
              <w:t xml:space="preserve"> </w:t>
            </w:r>
            <w:r w:rsidR="00FB4A23" w:rsidRPr="001F2956">
              <w:rPr>
                <w:rStyle w:val="Hyperlink"/>
                <w:rFonts w:hint="eastAsia"/>
                <w:noProof/>
                <w:rtl/>
                <w:lang w:bidi="fa-IR"/>
              </w:rPr>
              <w:t>تَكْبِيرَاتٍ</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506</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5" w:history="1">
            <w:r w:rsidR="00FB4A23" w:rsidRPr="001F2956">
              <w:rPr>
                <w:rStyle w:val="Hyperlink"/>
                <w:noProof/>
                <w:rtl/>
                <w:lang w:bidi="fa-IR"/>
              </w:rPr>
              <w:t xml:space="preserve">57 -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الْمُسْتَضْعَفِ</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rPr>
              <w:t xml:space="preserve"> </w:t>
            </w:r>
            <w:r w:rsidR="00FB4A23" w:rsidRPr="001F2956">
              <w:rPr>
                <w:rStyle w:val="Hyperlink"/>
                <w:rFonts w:hint="eastAsia"/>
                <w:noProof/>
                <w:rtl/>
                <w:lang w:bidi="fa-IR"/>
              </w:rPr>
              <w:t>وَعَلى</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لَايَعْرِفُ‌</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507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6" w:history="1">
            <w:r w:rsidR="00FB4A23" w:rsidRPr="001F2956">
              <w:rPr>
                <w:rStyle w:val="Hyperlink"/>
                <w:noProof/>
                <w:rtl/>
                <w:lang w:bidi="fa-IR"/>
              </w:rPr>
              <w:t xml:space="preserve">58 -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النَّاصِبِ</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510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7" w:history="1">
            <w:r w:rsidR="00FB4A23" w:rsidRPr="001F2956">
              <w:rPr>
                <w:rStyle w:val="Hyperlink"/>
                <w:noProof/>
                <w:rtl/>
                <w:lang w:bidi="fa-IR"/>
              </w:rPr>
              <w:t xml:space="preserve">59 -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sidRPr="001F2956">
              <w:rPr>
                <w:rStyle w:val="Hyperlink"/>
                <w:noProof/>
                <w:rtl/>
                <w:lang w:bidi="fa-IR"/>
              </w:rPr>
              <w:t xml:space="preserve"> </w:t>
            </w:r>
            <w:r w:rsidR="00FB4A23" w:rsidRPr="001F2956">
              <w:rPr>
                <w:rStyle w:val="Hyperlink"/>
                <w:noProof/>
                <w:vertAlign w:val="superscript"/>
                <w:rtl/>
              </w:rPr>
              <w:t>(11)</w:t>
            </w:r>
            <w:r w:rsidR="00FB4A23" w:rsidRPr="001F2956">
              <w:rPr>
                <w:rStyle w:val="Hyperlink"/>
                <w:noProof/>
                <w:rtl/>
              </w:rPr>
              <w:t xml:space="preserve"> </w:t>
            </w:r>
            <w:r w:rsidR="00FB4A23" w:rsidRPr="001F2956">
              <w:rPr>
                <w:rStyle w:val="Hyperlink"/>
                <w:rFonts w:hint="eastAsia"/>
                <w:noProof/>
                <w:rtl/>
                <w:lang w:bidi="fa-IR"/>
              </w:rPr>
              <w:t>تُوضَعُ</w:t>
            </w:r>
            <w:r w:rsidR="00FB4A23" w:rsidRPr="001F2956">
              <w:rPr>
                <w:rStyle w:val="Hyperlink"/>
                <w:noProof/>
                <w:rtl/>
                <w:lang w:bidi="fa-IR"/>
              </w:rPr>
              <w:t xml:space="preserve"> </w:t>
            </w:r>
            <w:r w:rsidR="00FB4A23" w:rsidRPr="001F2956">
              <w:rPr>
                <w:rStyle w:val="Hyperlink"/>
                <w:rFonts w:hint="eastAsia"/>
                <w:noProof/>
                <w:rtl/>
                <w:lang w:bidi="fa-IR"/>
              </w:rPr>
              <w:t>وَقَدْ</w:t>
            </w:r>
            <w:r w:rsidR="00FB4A23" w:rsidRPr="001F2956">
              <w:rPr>
                <w:rStyle w:val="Hyperlink"/>
                <w:noProof/>
                <w:rtl/>
                <w:lang w:bidi="fa-IR"/>
              </w:rPr>
              <w:t xml:space="preserve"> </w:t>
            </w:r>
            <w:r w:rsidR="00FB4A23" w:rsidRPr="001F2956">
              <w:rPr>
                <w:rStyle w:val="Hyperlink"/>
                <w:rFonts w:hint="eastAsia"/>
                <w:noProof/>
                <w:rtl/>
                <w:lang w:bidi="fa-IR"/>
              </w:rPr>
              <w:t>كُبِّرَ</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الْأَوَّلَةِ‌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515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8" w:history="1">
            <w:r w:rsidR="00FB4A23" w:rsidRPr="001F2956">
              <w:rPr>
                <w:rStyle w:val="Hyperlink"/>
                <w:noProof/>
                <w:rtl/>
                <w:lang w:bidi="fa-IR"/>
              </w:rPr>
              <w:t xml:space="preserve">60 -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وَضْعِ</w:t>
            </w:r>
            <w:r w:rsidR="00FB4A23" w:rsidRPr="001F2956">
              <w:rPr>
                <w:rStyle w:val="Hyperlink"/>
                <w:noProof/>
                <w:rtl/>
                <w:lang w:bidi="fa-IR"/>
              </w:rPr>
              <w:t xml:space="preserve"> </w:t>
            </w:r>
            <w:r w:rsidR="00FB4A23" w:rsidRPr="001F2956">
              <w:rPr>
                <w:rStyle w:val="Hyperlink"/>
                <w:rFonts w:hint="eastAsia"/>
                <w:noProof/>
                <w:rtl/>
                <w:lang w:bidi="fa-IR"/>
              </w:rPr>
              <w:t>الْجَنَازَةِ</w:t>
            </w:r>
            <w:r w:rsidR="00FB4A23" w:rsidRPr="001F2956">
              <w:rPr>
                <w:rStyle w:val="Hyperlink"/>
                <w:noProof/>
                <w:rtl/>
                <w:lang w:bidi="fa-IR"/>
              </w:rPr>
              <w:t xml:space="preserve"> </w:t>
            </w:r>
            <w:r w:rsidR="00FB4A23" w:rsidRPr="001F2956">
              <w:rPr>
                <w:rStyle w:val="Hyperlink"/>
                <w:rFonts w:hint="eastAsia"/>
                <w:noProof/>
                <w:rtl/>
                <w:lang w:bidi="fa-IR"/>
              </w:rPr>
              <w:t>دُونَ</w:t>
            </w:r>
            <w:r w:rsidR="00FB4A23" w:rsidRPr="001F2956">
              <w:rPr>
                <w:rStyle w:val="Hyperlink"/>
                <w:noProof/>
                <w:rtl/>
                <w:lang w:bidi="fa-IR"/>
              </w:rPr>
              <w:t xml:space="preserve"> </w:t>
            </w:r>
            <w:r w:rsidR="00FB4A23" w:rsidRPr="001F2956">
              <w:rPr>
                <w:rStyle w:val="Hyperlink"/>
                <w:rFonts w:hint="eastAsia"/>
                <w:noProof/>
                <w:rtl/>
                <w:lang w:bidi="fa-IR"/>
              </w:rPr>
              <w:t>الْقَبْرِ‌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516</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79" w:history="1">
            <w:r w:rsidR="00FB4A23" w:rsidRPr="001F2956">
              <w:rPr>
                <w:rStyle w:val="Hyperlink"/>
                <w:noProof/>
                <w:rtl/>
                <w:lang w:bidi="fa-IR"/>
              </w:rPr>
              <w:t xml:space="preserve">61 -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نَادِرٌ‌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40975979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517</w:t>
            </w:r>
            <w:r w:rsidR="00FB4A23">
              <w:rPr>
                <w:noProof/>
                <w:webHidden/>
                <w:rtl/>
              </w:rPr>
              <w:fldChar w:fldCharType="end"/>
            </w:r>
          </w:hyperlink>
        </w:p>
        <w:p w:rsidR="00FB4A23" w:rsidRDefault="00FB4A23" w:rsidP="00077571">
          <w:pPr>
            <w:pStyle w:val="libNormal"/>
            <w:rPr>
              <w:rStyle w:val="Hyperlink"/>
              <w:noProof/>
            </w:rPr>
          </w:pPr>
          <w:r>
            <w:rPr>
              <w:rStyle w:val="Hyperlink"/>
              <w:noProof/>
            </w:rPr>
            <w:br w:type="page"/>
          </w:r>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80" w:history="1">
            <w:r w:rsidR="00FB4A23" w:rsidRPr="001F2956">
              <w:rPr>
                <w:rStyle w:val="Hyperlink"/>
                <w:noProof/>
                <w:rtl/>
                <w:lang w:bidi="fa-IR"/>
              </w:rPr>
              <w:t xml:space="preserve">62 -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دُخُولِ</w:t>
            </w:r>
            <w:r w:rsidR="00FB4A23" w:rsidRPr="001F2956">
              <w:rPr>
                <w:rStyle w:val="Hyperlink"/>
                <w:noProof/>
                <w:rtl/>
                <w:lang w:bidi="fa-IR"/>
              </w:rPr>
              <w:t xml:space="preserve"> </w:t>
            </w:r>
            <w:r w:rsidR="00FB4A23" w:rsidRPr="001F2956">
              <w:rPr>
                <w:rStyle w:val="Hyperlink"/>
                <w:rFonts w:hint="eastAsia"/>
                <w:noProof/>
                <w:rtl/>
                <w:lang w:bidi="fa-IR"/>
              </w:rPr>
              <w:t>الْقَبْرِ</w:t>
            </w:r>
            <w:r w:rsidR="00FB4A23" w:rsidRPr="001F2956">
              <w:rPr>
                <w:rStyle w:val="Hyperlink"/>
                <w:noProof/>
                <w:rtl/>
                <w:lang w:bidi="fa-IR"/>
              </w:rPr>
              <w:t xml:space="preserve"> </w:t>
            </w:r>
            <w:r w:rsidR="00FB4A23" w:rsidRPr="001F2956">
              <w:rPr>
                <w:rStyle w:val="Hyperlink"/>
                <w:rFonts w:hint="eastAsia"/>
                <w:noProof/>
                <w:rtl/>
                <w:lang w:bidi="fa-IR"/>
              </w:rPr>
              <w:t>وَالْخُرُوجِ</w:t>
            </w:r>
            <w:r w:rsidR="00FB4A23" w:rsidRPr="001F2956">
              <w:rPr>
                <w:rStyle w:val="Hyperlink"/>
                <w:noProof/>
                <w:rtl/>
                <w:lang w:bidi="fa-IR"/>
              </w:rPr>
              <w:t xml:space="preserve"> </w:t>
            </w:r>
            <w:r w:rsidR="00FB4A23" w:rsidRPr="001F2956">
              <w:rPr>
                <w:rStyle w:val="Hyperlink"/>
                <w:rFonts w:hint="eastAsia"/>
                <w:noProof/>
                <w:rtl/>
                <w:lang w:bidi="fa-IR"/>
              </w:rPr>
              <w:t>مِنْهُ‌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519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81" w:history="1">
            <w:r w:rsidR="00FB4A23" w:rsidRPr="001F2956">
              <w:rPr>
                <w:rStyle w:val="Hyperlink"/>
                <w:noProof/>
                <w:rtl/>
                <w:lang w:bidi="fa-IR"/>
              </w:rPr>
              <w:t xml:space="preserve">63 -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يَدْخُلُ</w:t>
            </w:r>
            <w:r w:rsidR="00FB4A23" w:rsidRPr="001F2956">
              <w:rPr>
                <w:rStyle w:val="Hyperlink"/>
                <w:noProof/>
                <w:rtl/>
                <w:lang w:bidi="fa-IR"/>
              </w:rPr>
              <w:t xml:space="preserve"> </w:t>
            </w:r>
            <w:r w:rsidR="00FB4A23" w:rsidRPr="001F2956">
              <w:rPr>
                <w:rStyle w:val="Hyperlink"/>
                <w:rFonts w:hint="eastAsia"/>
                <w:noProof/>
                <w:rtl/>
                <w:lang w:bidi="fa-IR"/>
              </w:rPr>
              <w:t>الْقَبْرَ</w:t>
            </w:r>
            <w:r w:rsidR="00FB4A23" w:rsidRPr="001F2956">
              <w:rPr>
                <w:rStyle w:val="Hyperlink"/>
                <w:noProof/>
                <w:rtl/>
                <w:lang w:bidi="fa-IR"/>
              </w:rPr>
              <w:t xml:space="preserve"> </w:t>
            </w:r>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لَايَدْخُلُ</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521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82" w:history="1">
            <w:r w:rsidR="00FB4A23" w:rsidRPr="001F2956">
              <w:rPr>
                <w:rStyle w:val="Hyperlink"/>
                <w:noProof/>
                <w:rtl/>
                <w:lang w:bidi="fa-IR"/>
              </w:rPr>
              <w:t xml:space="preserve">64 -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سَلِّ</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يُقَالُ</w:t>
            </w:r>
            <w:r w:rsidR="00FB4A23" w:rsidRPr="001F2956">
              <w:rPr>
                <w:rStyle w:val="Hyperlink"/>
                <w:noProof/>
                <w:rtl/>
                <w:lang w:bidi="fa-IR"/>
              </w:rPr>
              <w:t xml:space="preserve"> </w:t>
            </w:r>
            <w:r w:rsidR="00FB4A23" w:rsidRPr="001F2956">
              <w:rPr>
                <w:rStyle w:val="Hyperlink"/>
                <w:rFonts w:hint="eastAsia"/>
                <w:noProof/>
                <w:rtl/>
                <w:lang w:bidi="fa-IR"/>
              </w:rPr>
              <w:t>عِنْدَ</w:t>
            </w:r>
            <w:r w:rsidR="00FB4A23" w:rsidRPr="001F2956">
              <w:rPr>
                <w:rStyle w:val="Hyperlink"/>
                <w:noProof/>
                <w:rtl/>
                <w:lang w:bidi="fa-IR"/>
              </w:rPr>
              <w:t xml:space="preserve"> </w:t>
            </w:r>
            <w:r w:rsidR="00FB4A23" w:rsidRPr="001F2956">
              <w:rPr>
                <w:rStyle w:val="Hyperlink"/>
                <w:rFonts w:hint="eastAsia"/>
                <w:noProof/>
                <w:rtl/>
                <w:lang w:bidi="fa-IR"/>
              </w:rPr>
              <w:t>دُخُولِ</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rPr>
              <w:t xml:space="preserve"> </w:t>
            </w:r>
            <w:r w:rsidR="00FB4A23" w:rsidRPr="001F2956">
              <w:rPr>
                <w:rStyle w:val="Hyperlink"/>
                <w:rFonts w:hint="eastAsia"/>
                <w:noProof/>
                <w:rtl/>
                <w:lang w:bidi="fa-IR"/>
              </w:rPr>
              <w:t>الْقَبْرِ‌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525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83" w:history="1">
            <w:r w:rsidR="00FB4A23" w:rsidRPr="001F2956">
              <w:rPr>
                <w:rStyle w:val="Hyperlink"/>
                <w:noProof/>
                <w:rtl/>
                <w:lang w:bidi="fa-IR"/>
              </w:rPr>
              <w:t xml:space="preserve">65 -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يُبْسَطُ</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اللَّحْدِ</w:t>
            </w:r>
            <w:r w:rsidR="00FB4A23" w:rsidRPr="001F2956">
              <w:rPr>
                <w:rStyle w:val="Hyperlink"/>
                <w:noProof/>
                <w:rtl/>
                <w:lang w:bidi="fa-IR"/>
              </w:rPr>
              <w:t xml:space="preserve"> </w:t>
            </w:r>
            <w:r w:rsidR="00FB4A23" w:rsidRPr="001F2956">
              <w:rPr>
                <w:rStyle w:val="Hyperlink"/>
                <w:rFonts w:hint="eastAsia"/>
                <w:noProof/>
                <w:rtl/>
                <w:lang w:bidi="fa-IR"/>
              </w:rPr>
              <w:t>وَوَضْعِ</w:t>
            </w:r>
            <w:r w:rsidR="00FB4A23" w:rsidRPr="001F2956">
              <w:rPr>
                <w:rStyle w:val="Hyperlink"/>
                <w:noProof/>
                <w:rtl/>
                <w:lang w:bidi="fa-IR"/>
              </w:rPr>
              <w:t xml:space="preserve"> </w:t>
            </w:r>
            <w:r w:rsidR="00FB4A23" w:rsidRPr="001F2956">
              <w:rPr>
                <w:rStyle w:val="Hyperlink"/>
                <w:rFonts w:hint="eastAsia"/>
                <w:noProof/>
                <w:rtl/>
                <w:lang w:bidi="fa-IR"/>
              </w:rPr>
              <w:t>اللَّبِنِ</w:t>
            </w:r>
            <w:r w:rsidR="00FB4A23" w:rsidRPr="001F2956">
              <w:rPr>
                <w:rStyle w:val="Hyperlink"/>
                <w:noProof/>
                <w:rtl/>
                <w:lang w:bidi="fa-IR"/>
              </w:rPr>
              <w:t xml:space="preserve"> </w:t>
            </w:r>
            <w:r w:rsidR="00FB4A23" w:rsidRPr="001F2956">
              <w:rPr>
                <w:rStyle w:val="Hyperlink"/>
                <w:noProof/>
                <w:vertAlign w:val="superscript"/>
                <w:rtl/>
              </w:rPr>
              <w:t>(11)</w:t>
            </w:r>
            <w:r w:rsidR="00FB4A23" w:rsidRPr="001F2956">
              <w:rPr>
                <w:rStyle w:val="Hyperlink"/>
                <w:noProof/>
                <w:rtl/>
              </w:rPr>
              <w:t xml:space="preserve"> </w:t>
            </w:r>
            <w:r w:rsidR="00FB4A23" w:rsidRPr="001F2956">
              <w:rPr>
                <w:rStyle w:val="Hyperlink"/>
                <w:rFonts w:hint="eastAsia"/>
                <w:noProof/>
                <w:rtl/>
                <w:lang w:bidi="fa-IR"/>
              </w:rPr>
              <w:t>وَالْآجُرِّ</w:t>
            </w:r>
            <w:r w:rsidR="00FB4A23" w:rsidRPr="001F2956">
              <w:rPr>
                <w:rStyle w:val="Hyperlink"/>
                <w:noProof/>
                <w:rtl/>
                <w:lang w:bidi="fa-IR"/>
              </w:rPr>
              <w:t xml:space="preserve"> </w:t>
            </w:r>
            <w:r w:rsidR="00FB4A23" w:rsidRPr="001F2956">
              <w:rPr>
                <w:rStyle w:val="Hyperlink"/>
                <w:noProof/>
                <w:vertAlign w:val="superscript"/>
                <w:rtl/>
              </w:rPr>
              <w:t>(12)</w:t>
            </w:r>
            <w:r w:rsidR="00FB4A23" w:rsidRPr="001F2956">
              <w:rPr>
                <w:rStyle w:val="Hyperlink"/>
                <w:noProof/>
                <w:rtl/>
              </w:rPr>
              <w:t xml:space="preserve"> </w:t>
            </w:r>
            <w:r w:rsidR="00FB4A23" w:rsidRPr="001F2956">
              <w:rPr>
                <w:rStyle w:val="Hyperlink"/>
                <w:rFonts w:hint="eastAsia"/>
                <w:noProof/>
                <w:rtl/>
                <w:lang w:bidi="fa-IR"/>
              </w:rPr>
              <w:t>وَالسَّاجِ‌</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534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84" w:history="1">
            <w:r w:rsidR="00FB4A23" w:rsidRPr="001F2956">
              <w:rPr>
                <w:rStyle w:val="Hyperlink"/>
                <w:noProof/>
                <w:rtl/>
                <w:lang w:bidi="fa-IR"/>
              </w:rPr>
              <w:t xml:space="preserve">66 -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حَثَا</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noProof/>
                <w:vertAlign w:val="superscript"/>
                <w:rtl/>
              </w:rPr>
              <w:t>(7)</w:t>
            </w:r>
            <w:r w:rsidR="00FB4A23" w:rsidRPr="001F2956">
              <w:rPr>
                <w:rStyle w:val="Hyperlink"/>
                <w:noProof/>
                <w:rtl/>
              </w:rPr>
              <w:t xml:space="preserve"> </w:t>
            </w:r>
            <w:r w:rsidR="00FB4A23" w:rsidRPr="001F2956">
              <w:rPr>
                <w:rStyle w:val="Hyperlink"/>
                <w:rFonts w:hint="eastAsia"/>
                <w:noProof/>
                <w:rtl/>
                <w:lang w:bidi="fa-IR"/>
              </w:rPr>
              <w:t>وَكَيْفَ</w:t>
            </w:r>
            <w:r w:rsidR="00FB4A23" w:rsidRPr="001F2956">
              <w:rPr>
                <w:rStyle w:val="Hyperlink"/>
                <w:noProof/>
                <w:rtl/>
                <w:lang w:bidi="fa-IR"/>
              </w:rPr>
              <w:t xml:space="preserve"> </w:t>
            </w:r>
            <w:r w:rsidR="00FB4A23" w:rsidRPr="001F2956">
              <w:rPr>
                <w:rStyle w:val="Hyperlink"/>
                <w:rFonts w:hint="eastAsia"/>
                <w:noProof/>
                <w:rtl/>
                <w:lang w:bidi="fa-IR"/>
              </w:rPr>
              <w:t>يُحْثى‌</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537</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985" w:history="1">
            <w:r w:rsidR="00FB4A23" w:rsidRPr="001F2956">
              <w:rPr>
                <w:rStyle w:val="Hyperlink"/>
                <w:noProof/>
                <w:rtl/>
                <w:lang w:bidi="fa-IR"/>
              </w:rPr>
              <w:t xml:space="preserve">67 -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تَرْبِيعِ</w:t>
            </w:r>
            <w:r w:rsidR="00FB4A23" w:rsidRPr="001F2956">
              <w:rPr>
                <w:rStyle w:val="Hyperlink"/>
                <w:noProof/>
                <w:rtl/>
                <w:lang w:bidi="fa-IR"/>
              </w:rPr>
              <w:t xml:space="preserve"> </w:t>
            </w:r>
            <w:r w:rsidR="00FB4A23" w:rsidRPr="001F2956">
              <w:rPr>
                <w:rStyle w:val="Hyperlink"/>
                <w:rFonts w:hint="eastAsia"/>
                <w:noProof/>
                <w:rtl/>
                <w:lang w:bidi="fa-IR"/>
              </w:rPr>
              <w:t>الْقَبْرِ</w:t>
            </w:r>
            <w:r w:rsidR="00FB4A23" w:rsidRPr="001F2956">
              <w:rPr>
                <w:rStyle w:val="Hyperlink"/>
                <w:noProof/>
                <w:rtl/>
                <w:lang w:bidi="fa-IR"/>
              </w:rPr>
              <w:t xml:space="preserve"> </w:t>
            </w:r>
            <w:r w:rsidR="00FB4A23" w:rsidRPr="001F2956">
              <w:rPr>
                <w:rStyle w:val="Hyperlink"/>
                <w:rFonts w:hint="eastAsia"/>
                <w:noProof/>
                <w:rtl/>
                <w:lang w:bidi="fa-IR"/>
              </w:rPr>
              <w:t>وَرَشِّهِ</w:t>
            </w:r>
            <w:r w:rsidR="00FB4A23" w:rsidRPr="001F2956">
              <w:rPr>
                <w:rStyle w:val="Hyperlink"/>
                <w:noProof/>
                <w:rtl/>
                <w:lang w:bidi="fa-IR"/>
              </w:rPr>
              <w:t xml:space="preserve"> </w:t>
            </w:r>
            <w:r w:rsidR="00FB4A23" w:rsidRPr="001F2956">
              <w:rPr>
                <w:rStyle w:val="Hyperlink"/>
                <w:rFonts w:hint="eastAsia"/>
                <w:noProof/>
                <w:rtl/>
                <w:lang w:bidi="fa-IR"/>
              </w:rPr>
              <w:t>بِالْمَاءِ</w:t>
            </w:r>
            <w:r w:rsidR="00FB4A23" w:rsidRPr="001F2956">
              <w:rPr>
                <w:rStyle w:val="Hyperlink"/>
                <w:noProof/>
                <w:rtl/>
                <w:lang w:bidi="fa-IR"/>
              </w:rPr>
              <w:t xml:space="preserve"> </w:t>
            </w:r>
            <w:r w:rsidR="00FB4A23" w:rsidRPr="001F2956">
              <w:rPr>
                <w:rStyle w:val="Hyperlink"/>
                <w:rFonts w:hint="eastAsia"/>
                <w:noProof/>
                <w:rtl/>
                <w:lang w:bidi="fa-IR"/>
              </w:rPr>
              <w:t>،</w:t>
            </w:r>
            <w:r w:rsidR="00FB4A23" w:rsidRPr="001F2956">
              <w:rPr>
                <w:rStyle w:val="Hyperlink"/>
                <w:noProof/>
                <w:rtl/>
                <w:lang w:bidi="fa-IR"/>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يُقَالُ</w:t>
            </w:r>
            <w:r w:rsidR="00FB4A23" w:rsidRPr="001F2956">
              <w:rPr>
                <w:rStyle w:val="Hyperlink"/>
                <w:noProof/>
                <w:rtl/>
                <w:lang w:bidi="fa-IR"/>
              </w:rPr>
              <w:t xml:space="preserve"> </w:t>
            </w:r>
            <w:r w:rsidR="00FB4A23" w:rsidRPr="001F2956">
              <w:rPr>
                <w:rStyle w:val="Hyperlink"/>
                <w:rFonts w:hint="eastAsia"/>
                <w:noProof/>
                <w:rtl/>
                <w:lang w:bidi="fa-IR"/>
              </w:rPr>
              <w:t>عِنْدَ</w:t>
            </w:r>
            <w:r w:rsidR="00FB4A23" w:rsidRPr="001F2956">
              <w:rPr>
                <w:rStyle w:val="Hyperlink"/>
                <w:noProof/>
                <w:rtl/>
                <w:lang w:bidi="fa-IR"/>
              </w:rPr>
              <w:t xml:space="preserve"> </w:t>
            </w:r>
            <w:r w:rsidR="00FB4A23" w:rsidRPr="001F2956">
              <w:rPr>
                <w:rStyle w:val="Hyperlink"/>
                <w:rFonts w:hint="eastAsia"/>
                <w:noProof/>
                <w:rtl/>
                <w:lang w:bidi="fa-IR"/>
              </w:rPr>
              <w:t>ذلِكَ</w:t>
            </w:r>
            <w:r w:rsidR="00FB4A23" w:rsidRPr="001F2956">
              <w:rPr>
                <w:rStyle w:val="Hyperlink"/>
                <w:noProof/>
                <w:rtl/>
                <w:lang w:bidi="fa-IR"/>
              </w:rPr>
              <w:t xml:space="preserve"> </w:t>
            </w:r>
            <w:r w:rsidR="00FB4A23" w:rsidRPr="001F2956">
              <w:rPr>
                <w:rStyle w:val="Hyperlink"/>
                <w:rFonts w:hint="eastAsia"/>
                <w:noProof/>
                <w:rtl/>
                <w:lang w:bidi="fa-IR"/>
              </w:rPr>
              <w:t>،</w:t>
            </w:r>
          </w:hyperlink>
          <w:r w:rsidR="00FB4A23">
            <w:rPr>
              <w:rStyle w:val="Hyperlink"/>
              <w:rFonts w:hint="cs"/>
              <w:noProof/>
              <w:rtl/>
            </w:rPr>
            <w:t xml:space="preserve"> </w:t>
          </w:r>
          <w:hyperlink w:anchor="_Toc40975986" w:history="1">
            <w:r w:rsidR="00FB4A23" w:rsidRPr="001F2956">
              <w:rPr>
                <w:rStyle w:val="Hyperlink"/>
                <w:rFonts w:hint="eastAsia"/>
                <w:noProof/>
                <w:rtl/>
                <w:lang w:bidi="fa-IR"/>
              </w:rPr>
              <w:t>وَقَدْرِ</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يُرْفَعُ</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الْأَرْضِ‌</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540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87" w:history="1">
            <w:r w:rsidR="00FB4A23" w:rsidRPr="001F2956">
              <w:rPr>
                <w:rStyle w:val="Hyperlink"/>
                <w:noProof/>
                <w:rtl/>
                <w:lang w:bidi="fa-IR"/>
              </w:rPr>
              <w:t xml:space="preserve">68 -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تَطْيِينِ</w:t>
            </w:r>
            <w:r w:rsidR="00FB4A23" w:rsidRPr="001F2956">
              <w:rPr>
                <w:rStyle w:val="Hyperlink"/>
                <w:noProof/>
                <w:rtl/>
                <w:lang w:bidi="fa-IR"/>
              </w:rPr>
              <w:t xml:space="preserve"> </w:t>
            </w:r>
            <w:r w:rsidR="00FB4A23" w:rsidRPr="001F2956">
              <w:rPr>
                <w:rStyle w:val="Hyperlink"/>
                <w:rFonts w:hint="eastAsia"/>
                <w:noProof/>
                <w:rtl/>
                <w:lang w:bidi="fa-IR"/>
              </w:rPr>
              <w:t>الْقَبْرِ</w:t>
            </w:r>
            <w:r w:rsidR="00FB4A23" w:rsidRPr="001F2956">
              <w:rPr>
                <w:rStyle w:val="Hyperlink"/>
                <w:noProof/>
                <w:rtl/>
                <w:lang w:bidi="fa-IR"/>
              </w:rPr>
              <w:t xml:space="preserve"> </w:t>
            </w:r>
            <w:r w:rsidR="00FB4A23" w:rsidRPr="001F2956">
              <w:rPr>
                <w:rStyle w:val="Hyperlink"/>
                <w:rFonts w:hint="eastAsia"/>
                <w:noProof/>
                <w:rtl/>
                <w:lang w:bidi="fa-IR"/>
              </w:rPr>
              <w:t>وَتَجْصِيصِهِ‌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546</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88" w:history="1">
            <w:r w:rsidR="00FB4A23" w:rsidRPr="001F2956">
              <w:rPr>
                <w:rStyle w:val="Hyperlink"/>
                <w:noProof/>
                <w:rtl/>
                <w:lang w:bidi="fa-IR"/>
              </w:rPr>
              <w:t xml:space="preserve">69 -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التُّرْبَةِ</w:t>
            </w:r>
            <w:r w:rsidR="00FB4A23" w:rsidRPr="001F2956">
              <w:rPr>
                <w:rStyle w:val="Hyperlink"/>
                <w:noProof/>
                <w:rtl/>
                <w:lang w:bidi="fa-IR"/>
              </w:rPr>
              <w:t xml:space="preserve"> </w:t>
            </w:r>
            <w:r w:rsidR="00FB4A23" w:rsidRPr="001F2956">
              <w:rPr>
                <w:rStyle w:val="Hyperlink"/>
                <w:rFonts w:hint="eastAsia"/>
                <w:noProof/>
                <w:rtl/>
                <w:lang w:bidi="fa-IR"/>
              </w:rPr>
              <w:t>الَّتِي</w:t>
            </w:r>
            <w:r w:rsidR="00FB4A23" w:rsidRPr="001F2956">
              <w:rPr>
                <w:rStyle w:val="Hyperlink"/>
                <w:noProof/>
                <w:rtl/>
                <w:lang w:bidi="fa-IR"/>
              </w:rPr>
              <w:t xml:space="preserve"> </w:t>
            </w:r>
            <w:r w:rsidR="00FB4A23" w:rsidRPr="001F2956">
              <w:rPr>
                <w:rStyle w:val="Hyperlink"/>
                <w:rFonts w:hint="eastAsia"/>
                <w:noProof/>
                <w:rtl/>
                <w:lang w:bidi="fa-IR"/>
              </w:rPr>
              <w:t>يُدْفَنُ</w:t>
            </w:r>
            <w:r w:rsidR="00FB4A23" w:rsidRPr="001F2956">
              <w:rPr>
                <w:rStyle w:val="Hyperlink"/>
                <w:noProof/>
                <w:rtl/>
                <w:lang w:bidi="fa-IR"/>
              </w:rPr>
              <w:t xml:space="preserve"> </w:t>
            </w:r>
            <w:r w:rsidR="00FB4A23" w:rsidRPr="001F2956">
              <w:rPr>
                <w:rStyle w:val="Hyperlink"/>
                <w:rFonts w:hint="eastAsia"/>
                <w:noProof/>
                <w:rtl/>
                <w:lang w:bidi="fa-IR"/>
              </w:rPr>
              <w:t>فِيهَا</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547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89" w:history="1">
            <w:r w:rsidR="00FB4A23" w:rsidRPr="001F2956">
              <w:rPr>
                <w:rStyle w:val="Hyperlink"/>
                <w:noProof/>
                <w:rtl/>
                <w:lang w:bidi="fa-IR"/>
              </w:rPr>
              <w:t xml:space="preserve">70 -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التَّعْزِيَةِ</w:t>
            </w:r>
            <w:r w:rsidR="00FB4A23" w:rsidRPr="001F2956">
              <w:rPr>
                <w:rStyle w:val="Hyperlink"/>
                <w:noProof/>
                <w:rtl/>
                <w:lang w:bidi="fa-IR"/>
              </w:rPr>
              <w:t xml:space="preserve"> </w:t>
            </w:r>
            <w:r w:rsidR="00FB4A23" w:rsidRPr="001F2956">
              <w:rPr>
                <w:rStyle w:val="Hyperlink"/>
                <w:rFonts w:hint="eastAsia"/>
                <w:noProof/>
                <w:rtl/>
                <w:lang w:bidi="fa-IR"/>
              </w:rPr>
              <w:t>وَمَا</w:t>
            </w:r>
            <w:r w:rsidR="00FB4A23" w:rsidRPr="001F2956">
              <w:rPr>
                <w:rStyle w:val="Hyperlink"/>
                <w:noProof/>
                <w:rtl/>
                <w:lang w:bidi="fa-IR"/>
              </w:rPr>
              <w:t xml:space="preserve"> </w:t>
            </w:r>
            <w:r w:rsidR="00FB4A23" w:rsidRPr="001F2956">
              <w:rPr>
                <w:rStyle w:val="Hyperlink"/>
                <w:rFonts w:hint="eastAsia"/>
                <w:noProof/>
                <w:rtl/>
                <w:lang w:bidi="fa-IR"/>
              </w:rPr>
              <w:t>يَجِبُ</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صَاحِبِ</w:t>
            </w:r>
            <w:r w:rsidR="00FB4A23" w:rsidRPr="001F2956">
              <w:rPr>
                <w:rStyle w:val="Hyperlink"/>
                <w:noProof/>
                <w:rtl/>
                <w:lang w:bidi="fa-IR"/>
              </w:rPr>
              <w:t xml:space="preserve"> </w:t>
            </w:r>
            <w:r w:rsidR="00FB4A23" w:rsidRPr="001F2956">
              <w:rPr>
                <w:rStyle w:val="Hyperlink"/>
                <w:rFonts w:hint="eastAsia"/>
                <w:noProof/>
                <w:rtl/>
                <w:lang w:bidi="fa-IR"/>
              </w:rPr>
              <w:t>الْمُصِيبَةِ‌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40975989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548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90" w:history="1">
            <w:r w:rsidR="00FB4A23" w:rsidRPr="001F2956">
              <w:rPr>
                <w:rStyle w:val="Hyperlink"/>
                <w:noProof/>
                <w:rtl/>
                <w:lang w:bidi="fa-IR"/>
              </w:rPr>
              <w:t xml:space="preserve">71 -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عَزّى</w:t>
            </w:r>
            <w:r w:rsidR="00FB4A23" w:rsidRPr="001F2956">
              <w:rPr>
                <w:rStyle w:val="Hyperlink"/>
                <w:noProof/>
                <w:rtl/>
                <w:lang w:bidi="fa-IR"/>
              </w:rPr>
              <w:t xml:space="preserve"> </w:t>
            </w:r>
            <w:r w:rsidR="00FB4A23" w:rsidRPr="001F2956">
              <w:rPr>
                <w:rStyle w:val="Hyperlink"/>
                <w:rFonts w:hint="eastAsia"/>
                <w:noProof/>
                <w:rtl/>
                <w:lang w:bidi="fa-IR"/>
              </w:rPr>
              <w:t>حَزِيناً‌</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552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91" w:history="1">
            <w:r w:rsidR="00FB4A23" w:rsidRPr="001F2956">
              <w:rPr>
                <w:rStyle w:val="Hyperlink"/>
                <w:noProof/>
                <w:rtl/>
                <w:lang w:bidi="fa-IR"/>
              </w:rPr>
              <w:t xml:space="preserve">72 -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الْمَرْأَةِ</w:t>
            </w:r>
            <w:r w:rsidR="00FB4A23" w:rsidRPr="001F2956">
              <w:rPr>
                <w:rStyle w:val="Hyperlink"/>
                <w:noProof/>
                <w:rtl/>
                <w:lang w:bidi="fa-IR"/>
              </w:rPr>
              <w:t xml:space="preserve"> </w:t>
            </w:r>
            <w:r w:rsidR="00FB4A23" w:rsidRPr="001F2956">
              <w:rPr>
                <w:rStyle w:val="Hyperlink"/>
                <w:noProof/>
                <w:vertAlign w:val="superscript"/>
                <w:rtl/>
              </w:rPr>
              <w:t>(3)</w:t>
            </w:r>
            <w:r w:rsidR="00FB4A23" w:rsidRPr="001F2956">
              <w:rPr>
                <w:rStyle w:val="Hyperlink"/>
                <w:noProof/>
                <w:rtl/>
              </w:rPr>
              <w:t xml:space="preserve"> </w:t>
            </w:r>
            <w:r w:rsidR="00FB4A23" w:rsidRPr="001F2956">
              <w:rPr>
                <w:rStyle w:val="Hyperlink"/>
                <w:rFonts w:hint="eastAsia"/>
                <w:noProof/>
                <w:rtl/>
                <w:lang w:bidi="fa-IR"/>
              </w:rPr>
              <w:t>تَمُوتُ</w:t>
            </w:r>
            <w:r w:rsidR="00FB4A23" w:rsidRPr="001F2956">
              <w:rPr>
                <w:rStyle w:val="Hyperlink"/>
                <w:noProof/>
                <w:rtl/>
                <w:lang w:bidi="fa-IR"/>
              </w:rPr>
              <w:t xml:space="preserve"> </w:t>
            </w:r>
            <w:r w:rsidR="00FB4A23" w:rsidRPr="001F2956">
              <w:rPr>
                <w:rStyle w:val="Hyperlink"/>
                <w:rFonts w:hint="eastAsia"/>
                <w:noProof/>
                <w:rtl/>
                <w:lang w:bidi="fa-IR"/>
              </w:rPr>
              <w:t>وَفِي</w:t>
            </w:r>
            <w:r w:rsidR="00FB4A23" w:rsidRPr="001F2956">
              <w:rPr>
                <w:rStyle w:val="Hyperlink"/>
                <w:noProof/>
                <w:rtl/>
                <w:lang w:bidi="fa-IR"/>
              </w:rPr>
              <w:t xml:space="preserve"> </w:t>
            </w:r>
            <w:r w:rsidR="00FB4A23" w:rsidRPr="001F2956">
              <w:rPr>
                <w:rStyle w:val="Hyperlink"/>
                <w:rFonts w:hint="eastAsia"/>
                <w:noProof/>
                <w:rtl/>
                <w:lang w:bidi="fa-IR"/>
              </w:rPr>
              <w:t>بَطْنِهَا</w:t>
            </w:r>
            <w:r w:rsidR="00FB4A23" w:rsidRPr="001F2956">
              <w:rPr>
                <w:rStyle w:val="Hyperlink"/>
                <w:noProof/>
                <w:rtl/>
                <w:lang w:bidi="fa-IR"/>
              </w:rPr>
              <w:t xml:space="preserve"> </w:t>
            </w:r>
            <w:r w:rsidR="00FB4A23" w:rsidRPr="001F2956">
              <w:rPr>
                <w:rStyle w:val="Hyperlink"/>
                <w:rFonts w:hint="eastAsia"/>
                <w:noProof/>
                <w:rtl/>
                <w:lang w:bidi="fa-IR"/>
              </w:rPr>
              <w:t>صَبِيٌّ</w:t>
            </w:r>
            <w:r w:rsidR="00FB4A23" w:rsidRPr="001F2956">
              <w:rPr>
                <w:rStyle w:val="Hyperlink"/>
                <w:noProof/>
                <w:rtl/>
                <w:lang w:bidi="fa-IR"/>
              </w:rPr>
              <w:t xml:space="preserve"> </w:t>
            </w:r>
            <w:r w:rsidR="00FB4A23" w:rsidRPr="001F2956">
              <w:rPr>
                <w:rStyle w:val="Hyperlink"/>
                <w:rFonts w:hint="eastAsia"/>
                <w:noProof/>
                <w:rtl/>
                <w:lang w:bidi="fa-IR"/>
              </w:rPr>
              <w:t>يَتَحَرَّكُ‌</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553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92" w:history="1">
            <w:r w:rsidR="00FB4A23" w:rsidRPr="001F2956">
              <w:rPr>
                <w:rStyle w:val="Hyperlink"/>
                <w:noProof/>
                <w:rtl/>
                <w:lang w:bidi="fa-IR"/>
              </w:rPr>
              <w:t xml:space="preserve">73 -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غُسْلِ</w:t>
            </w:r>
            <w:r w:rsidR="00FB4A23" w:rsidRPr="001F2956">
              <w:rPr>
                <w:rStyle w:val="Hyperlink"/>
                <w:noProof/>
                <w:rtl/>
                <w:lang w:bidi="fa-IR"/>
              </w:rPr>
              <w:t xml:space="preserve"> </w:t>
            </w:r>
            <w:r w:rsidR="00FB4A23" w:rsidRPr="001F2956">
              <w:rPr>
                <w:rStyle w:val="Hyperlink"/>
                <w:rFonts w:hint="eastAsia"/>
                <w:noProof/>
                <w:rtl/>
                <w:lang w:bidi="fa-IR"/>
              </w:rPr>
              <w:t>الْأَطْفَالِ</w:t>
            </w:r>
            <w:r w:rsidR="00FB4A23" w:rsidRPr="001F2956">
              <w:rPr>
                <w:rStyle w:val="Hyperlink"/>
                <w:noProof/>
                <w:rtl/>
                <w:lang w:bidi="fa-IR"/>
              </w:rPr>
              <w:t xml:space="preserve"> </w:t>
            </w:r>
            <w:r w:rsidR="00FB4A23" w:rsidRPr="001F2956">
              <w:rPr>
                <w:rStyle w:val="Hyperlink"/>
                <w:rFonts w:hint="eastAsia"/>
                <w:noProof/>
                <w:rtl/>
                <w:lang w:bidi="fa-IR"/>
              </w:rPr>
              <w:t>وَالصِّبْيَانِ</w:t>
            </w:r>
            <w:r w:rsidR="00FB4A23" w:rsidRPr="001F2956">
              <w:rPr>
                <w:rStyle w:val="Hyperlink"/>
                <w:noProof/>
                <w:rtl/>
                <w:lang w:bidi="fa-IR"/>
              </w:rPr>
              <w:t xml:space="preserve"> </w:t>
            </w:r>
            <w:r w:rsidR="00FB4A23" w:rsidRPr="001F2956">
              <w:rPr>
                <w:rStyle w:val="Hyperlink"/>
                <w:rFonts w:hint="eastAsia"/>
                <w:noProof/>
                <w:rtl/>
                <w:lang w:bidi="fa-IR"/>
              </w:rPr>
              <w:t>وَالصَّلَاةِ</w:t>
            </w:r>
            <w:r w:rsidR="00FB4A23" w:rsidRPr="001F2956">
              <w:rPr>
                <w:rStyle w:val="Hyperlink"/>
                <w:noProof/>
                <w:rtl/>
                <w:lang w:bidi="fa-IR"/>
              </w:rPr>
              <w:t xml:space="preserve"> </w:t>
            </w:r>
            <w:r w:rsidR="00FB4A23" w:rsidRPr="001F2956">
              <w:rPr>
                <w:rStyle w:val="Hyperlink"/>
                <w:rFonts w:hint="eastAsia"/>
                <w:noProof/>
                <w:rtl/>
                <w:lang w:bidi="fa-IR"/>
              </w:rPr>
              <w:t>عَلَيْهِمْ‌</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554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93" w:history="1">
            <w:r w:rsidR="00FB4A23" w:rsidRPr="001F2956">
              <w:rPr>
                <w:rStyle w:val="Hyperlink"/>
                <w:noProof/>
                <w:rtl/>
                <w:lang w:bidi="fa-IR"/>
              </w:rPr>
              <w:t xml:space="preserve">74 -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الْغَرِيقِ</w:t>
            </w:r>
            <w:r w:rsidR="00FB4A23" w:rsidRPr="001F2956">
              <w:rPr>
                <w:rStyle w:val="Hyperlink"/>
                <w:noProof/>
                <w:rtl/>
                <w:lang w:bidi="fa-IR"/>
              </w:rPr>
              <w:t xml:space="preserve"> </w:t>
            </w:r>
            <w:r w:rsidR="00FB4A23" w:rsidRPr="001F2956">
              <w:rPr>
                <w:rStyle w:val="Hyperlink"/>
                <w:rFonts w:hint="eastAsia"/>
                <w:noProof/>
                <w:rtl/>
                <w:lang w:bidi="fa-IR"/>
              </w:rPr>
              <w:t>وَالْمَصْعُوقِ</w:t>
            </w:r>
            <w:r w:rsidR="00FB4A23" w:rsidRPr="001F2956">
              <w:rPr>
                <w:rStyle w:val="Hyperlink"/>
                <w:noProof/>
                <w:rtl/>
                <w:lang w:bidi="fa-IR"/>
              </w:rPr>
              <w:t xml:space="preserve"> </w:t>
            </w:r>
            <w:r w:rsidR="00FB4A23" w:rsidRPr="001F2956">
              <w:rPr>
                <w:rStyle w:val="Hyperlink"/>
                <w:noProof/>
                <w:vertAlign w:val="superscript"/>
                <w:rtl/>
              </w:rPr>
              <w:t>(9)</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561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94" w:history="1">
            <w:r w:rsidR="00FB4A23" w:rsidRPr="001F2956">
              <w:rPr>
                <w:rStyle w:val="Hyperlink"/>
                <w:noProof/>
                <w:rtl/>
                <w:lang w:bidi="fa-IR"/>
              </w:rPr>
              <w:t xml:space="preserve">75 -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الْقَتْلى‌</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564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95" w:history="1">
            <w:r w:rsidR="00FB4A23" w:rsidRPr="001F2956">
              <w:rPr>
                <w:rStyle w:val="Hyperlink"/>
                <w:noProof/>
                <w:rtl/>
                <w:lang w:bidi="fa-IR"/>
              </w:rPr>
              <w:t xml:space="preserve">76 -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أَكِيلِ</w:t>
            </w:r>
            <w:r w:rsidR="00FB4A23" w:rsidRPr="001F2956">
              <w:rPr>
                <w:rStyle w:val="Hyperlink"/>
                <w:noProof/>
                <w:rtl/>
                <w:lang w:bidi="fa-IR"/>
              </w:rPr>
              <w:t xml:space="preserve"> </w:t>
            </w:r>
            <w:r w:rsidR="00FB4A23" w:rsidRPr="001F2956">
              <w:rPr>
                <w:rStyle w:val="Hyperlink"/>
                <w:rFonts w:hint="eastAsia"/>
                <w:noProof/>
                <w:rtl/>
                <w:lang w:bidi="fa-IR"/>
              </w:rPr>
              <w:t>السَّبُعِ</w:t>
            </w:r>
            <w:r w:rsidR="00FB4A23" w:rsidRPr="001F2956">
              <w:rPr>
                <w:rStyle w:val="Hyperlink"/>
                <w:noProof/>
                <w:rtl/>
                <w:lang w:bidi="fa-IR"/>
              </w:rPr>
              <w:t xml:space="preserve"> </w:t>
            </w:r>
            <w:r w:rsidR="00FB4A23" w:rsidRPr="001F2956">
              <w:rPr>
                <w:rStyle w:val="Hyperlink"/>
                <w:rFonts w:hint="eastAsia"/>
                <w:noProof/>
                <w:rtl/>
                <w:lang w:bidi="fa-IR"/>
              </w:rPr>
              <w:t>وَالطَّيْرِ</w:t>
            </w:r>
            <w:r w:rsidR="00FB4A23" w:rsidRPr="001F2956">
              <w:rPr>
                <w:rStyle w:val="Hyperlink"/>
                <w:noProof/>
                <w:rtl/>
                <w:lang w:bidi="fa-IR"/>
              </w:rPr>
              <w:t xml:space="preserve"> </w:t>
            </w:r>
            <w:r w:rsidR="00FB4A23" w:rsidRPr="001F2956">
              <w:rPr>
                <w:rStyle w:val="Hyperlink"/>
                <w:rFonts w:hint="eastAsia"/>
                <w:noProof/>
                <w:rtl/>
                <w:lang w:bidi="fa-IR"/>
              </w:rPr>
              <w:t>وَالْقَتِيلِ</w:t>
            </w:r>
            <w:r w:rsidR="00FB4A23" w:rsidRPr="001F2956">
              <w:rPr>
                <w:rStyle w:val="Hyperlink"/>
                <w:noProof/>
                <w:rtl/>
                <w:lang w:bidi="fa-IR"/>
              </w:rPr>
              <w:t xml:space="preserve"> </w:t>
            </w:r>
            <w:r w:rsidR="00FB4A23" w:rsidRPr="001F2956">
              <w:rPr>
                <w:rStyle w:val="Hyperlink"/>
                <w:rFonts w:hint="eastAsia"/>
                <w:noProof/>
                <w:rtl/>
                <w:lang w:bidi="fa-IR"/>
              </w:rPr>
              <w:t>يُوجَدُ</w:t>
            </w:r>
            <w:r w:rsidR="00FB4A23" w:rsidRPr="001F2956">
              <w:rPr>
                <w:rStyle w:val="Hyperlink"/>
                <w:noProof/>
                <w:rtl/>
                <w:lang w:bidi="fa-IR"/>
              </w:rPr>
              <w:t xml:space="preserve"> </w:t>
            </w:r>
            <w:r w:rsidR="00FB4A23" w:rsidRPr="001F2956">
              <w:rPr>
                <w:rStyle w:val="Hyperlink"/>
                <w:rFonts w:hint="eastAsia"/>
                <w:noProof/>
                <w:rtl/>
                <w:lang w:bidi="fa-IR"/>
              </w:rPr>
              <w:t>بَعْضُ</w:t>
            </w:r>
            <w:r w:rsidR="00FB4A23" w:rsidRPr="001F2956">
              <w:rPr>
                <w:rStyle w:val="Hyperlink"/>
                <w:noProof/>
                <w:rtl/>
                <w:lang w:bidi="fa-IR"/>
              </w:rPr>
              <w:t xml:space="preserve"> </w:t>
            </w:r>
            <w:r w:rsidR="00FB4A23" w:rsidRPr="001F2956">
              <w:rPr>
                <w:rStyle w:val="Hyperlink"/>
                <w:rFonts w:hint="eastAsia"/>
                <w:noProof/>
                <w:rtl/>
                <w:lang w:bidi="fa-IR"/>
              </w:rPr>
              <w:t>جَسَدِهِ</w:t>
            </w:r>
            <w:r w:rsidR="00FB4A23" w:rsidRPr="001F2956">
              <w:rPr>
                <w:rStyle w:val="Hyperlink"/>
                <w:noProof/>
                <w:rtl/>
                <w:lang w:bidi="fa-IR"/>
              </w:rPr>
              <w:t xml:space="preserve"> </w:t>
            </w:r>
            <w:r w:rsidR="00FB4A23" w:rsidRPr="001F2956">
              <w:rPr>
                <w:rStyle w:val="Hyperlink"/>
                <w:rFonts w:hint="eastAsia"/>
                <w:noProof/>
                <w:rtl/>
                <w:lang w:bidi="fa-IR"/>
              </w:rPr>
              <w:t>وَالْحَرِيقِ</w:t>
            </w:r>
            <w:r w:rsidR="00FB4A23" w:rsidRPr="001F2956">
              <w:rPr>
                <w:rStyle w:val="Hyperlink"/>
                <w:noProof/>
                <w:rtl/>
                <w:lang w:bidi="fa-IR"/>
              </w:rPr>
              <w:t xml:space="preserve"> </w:t>
            </w:r>
            <w:r w:rsidR="00FB4A23" w:rsidRPr="001F2956">
              <w:rPr>
                <w:rStyle w:val="Hyperlink"/>
                <w:noProof/>
                <w:vertAlign w:val="superscript"/>
                <w:rtl/>
              </w:rPr>
              <w:t>(6)</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567</w:t>
            </w:r>
            <w:r w:rsidR="00FB4A23">
              <w:rPr>
                <w:noProof/>
                <w:webHidden/>
                <w:rtl/>
              </w:rPr>
              <w:fldChar w:fldCharType="end"/>
            </w:r>
          </w:hyperlink>
        </w:p>
        <w:p w:rsidR="00FB4A23" w:rsidRDefault="008811AB" w:rsidP="00FB4A23">
          <w:pPr>
            <w:pStyle w:val="TOC2"/>
            <w:tabs>
              <w:tab w:val="right" w:leader="dot" w:pos="7786"/>
            </w:tabs>
            <w:rPr>
              <w:rFonts w:asciiTheme="minorHAnsi" w:eastAsiaTheme="minorEastAsia" w:hAnsiTheme="minorHAnsi" w:cstheme="minorBidi"/>
              <w:noProof/>
              <w:color w:val="auto"/>
              <w:sz w:val="22"/>
              <w:szCs w:val="22"/>
              <w:rtl/>
            </w:rPr>
          </w:pPr>
          <w:hyperlink w:anchor="_Toc40975996" w:history="1">
            <w:r w:rsidR="00FB4A23" w:rsidRPr="001F2956">
              <w:rPr>
                <w:rStyle w:val="Hyperlink"/>
                <w:noProof/>
                <w:rtl/>
                <w:lang w:bidi="fa-IR"/>
              </w:rPr>
              <w:t xml:space="preserve">77 -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مَنْ</w:t>
            </w:r>
            <w:r w:rsidR="00FB4A23" w:rsidRPr="001F2956">
              <w:rPr>
                <w:rStyle w:val="Hyperlink"/>
                <w:noProof/>
                <w:rtl/>
                <w:lang w:bidi="fa-IR"/>
              </w:rPr>
              <w:t xml:space="preserve"> </w:t>
            </w:r>
            <w:r w:rsidR="00FB4A23" w:rsidRPr="001F2956">
              <w:rPr>
                <w:rStyle w:val="Hyperlink"/>
                <w:rFonts w:hint="eastAsia"/>
                <w:noProof/>
                <w:rtl/>
                <w:lang w:bidi="fa-IR"/>
              </w:rPr>
              <w:t>يَمُوتُ</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السَّفِينَةِ</w:t>
            </w:r>
            <w:r w:rsidR="00FB4A23" w:rsidRPr="001F2956">
              <w:rPr>
                <w:rStyle w:val="Hyperlink"/>
                <w:noProof/>
                <w:rtl/>
                <w:lang w:bidi="fa-IR"/>
              </w:rPr>
              <w:t xml:space="preserve"> </w:t>
            </w:r>
            <w:r w:rsidR="00FB4A23" w:rsidRPr="001F2956">
              <w:rPr>
                <w:rStyle w:val="Hyperlink"/>
                <w:rFonts w:hint="eastAsia"/>
                <w:noProof/>
                <w:rtl/>
                <w:lang w:bidi="fa-IR"/>
              </w:rPr>
              <w:t>وَلَايُقْدَرُ</w:t>
            </w:r>
          </w:hyperlink>
          <w:r w:rsidR="00FB4A23">
            <w:rPr>
              <w:rStyle w:val="Hyperlink"/>
              <w:rFonts w:hint="cs"/>
              <w:noProof/>
              <w:rtl/>
            </w:rPr>
            <w:t xml:space="preserve"> </w:t>
          </w:r>
          <w:hyperlink w:anchor="_Toc40975997" w:history="1">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الشَّطِّ</w:t>
            </w:r>
            <w:r w:rsidR="00FB4A23" w:rsidRPr="001F2956">
              <w:rPr>
                <w:rStyle w:val="Hyperlink"/>
                <w:noProof/>
                <w:rtl/>
                <w:lang w:bidi="fa-IR"/>
              </w:rPr>
              <w:t xml:space="preserve"> </w:t>
            </w:r>
            <w:r w:rsidR="00FB4A23" w:rsidRPr="001F2956">
              <w:rPr>
                <w:rStyle w:val="Hyperlink"/>
                <w:noProof/>
                <w:vertAlign w:val="superscript"/>
                <w:rtl/>
              </w:rPr>
              <w:t>(5)</w:t>
            </w:r>
            <w:r w:rsidR="00FB4A23" w:rsidRPr="001F2956">
              <w:rPr>
                <w:rStyle w:val="Hyperlink"/>
                <w:noProof/>
                <w:rtl/>
                <w:lang w:bidi="fa-IR"/>
              </w:rPr>
              <w:t xml:space="preserve"> </w:t>
            </w:r>
            <w:r w:rsidR="00FB4A23" w:rsidRPr="001F2956">
              <w:rPr>
                <w:rStyle w:val="Hyperlink"/>
                <w:rFonts w:hint="eastAsia"/>
                <w:noProof/>
                <w:rtl/>
                <w:lang w:bidi="fa-IR"/>
              </w:rPr>
              <w:t>أَوْ</w:t>
            </w:r>
            <w:r w:rsidR="00FB4A23" w:rsidRPr="001F2956">
              <w:rPr>
                <w:rStyle w:val="Hyperlink"/>
                <w:noProof/>
                <w:rtl/>
                <w:lang w:bidi="fa-IR"/>
              </w:rPr>
              <w:t xml:space="preserve"> </w:t>
            </w:r>
            <w:r w:rsidR="00FB4A23" w:rsidRPr="001F2956">
              <w:rPr>
                <w:rStyle w:val="Hyperlink"/>
                <w:rFonts w:hint="eastAsia"/>
                <w:noProof/>
                <w:rtl/>
                <w:lang w:bidi="fa-IR"/>
              </w:rPr>
              <w:t>يُصَابُ</w:t>
            </w:r>
            <w:r w:rsidR="00FB4A23" w:rsidRPr="001F2956">
              <w:rPr>
                <w:rStyle w:val="Hyperlink"/>
                <w:noProof/>
                <w:rtl/>
                <w:lang w:bidi="fa-IR"/>
              </w:rPr>
              <w:t xml:space="preserve"> </w:t>
            </w:r>
            <w:r w:rsidR="00FB4A23" w:rsidRPr="001F2956">
              <w:rPr>
                <w:rStyle w:val="Hyperlink"/>
                <w:rFonts w:hint="eastAsia"/>
                <w:noProof/>
                <w:rtl/>
                <w:lang w:bidi="fa-IR"/>
              </w:rPr>
              <w:t>وَهُوَ</w:t>
            </w:r>
            <w:r w:rsidR="00FB4A23" w:rsidRPr="001F2956">
              <w:rPr>
                <w:rStyle w:val="Hyperlink"/>
                <w:noProof/>
                <w:rtl/>
                <w:lang w:bidi="fa-IR"/>
              </w:rPr>
              <w:t xml:space="preserve"> </w:t>
            </w:r>
            <w:r w:rsidR="00FB4A23" w:rsidRPr="001F2956">
              <w:rPr>
                <w:rStyle w:val="Hyperlink"/>
                <w:rFonts w:hint="eastAsia"/>
                <w:noProof/>
                <w:rtl/>
                <w:lang w:bidi="fa-IR"/>
              </w:rPr>
              <w:t>عُرْيَانٌ‌</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570</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98" w:history="1">
            <w:r w:rsidR="00FB4A23" w:rsidRPr="001F2956">
              <w:rPr>
                <w:rStyle w:val="Hyperlink"/>
                <w:noProof/>
                <w:rtl/>
                <w:lang w:bidi="fa-IR"/>
              </w:rPr>
              <w:t xml:space="preserve">78 -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الصَّلَاةِ</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الْمَصْلُوبِ</w:t>
            </w:r>
            <w:r w:rsidR="00FB4A23" w:rsidRPr="001F2956">
              <w:rPr>
                <w:rStyle w:val="Hyperlink"/>
                <w:noProof/>
                <w:rtl/>
                <w:lang w:bidi="fa-IR"/>
              </w:rPr>
              <w:t xml:space="preserve"> </w:t>
            </w:r>
            <w:r w:rsidR="00FB4A23" w:rsidRPr="001F2956">
              <w:rPr>
                <w:rStyle w:val="Hyperlink"/>
                <w:rFonts w:hint="eastAsia"/>
                <w:noProof/>
                <w:rtl/>
                <w:lang w:bidi="fa-IR"/>
              </w:rPr>
              <w:t>وَالْمَرْجُومِ</w:t>
            </w:r>
            <w:r w:rsidR="00FB4A23" w:rsidRPr="001F2956">
              <w:rPr>
                <w:rStyle w:val="Hyperlink"/>
                <w:noProof/>
                <w:rtl/>
                <w:lang w:bidi="fa-IR"/>
              </w:rPr>
              <w:t xml:space="preserve"> </w:t>
            </w:r>
            <w:r w:rsidR="00FB4A23" w:rsidRPr="001F2956">
              <w:rPr>
                <w:rStyle w:val="Hyperlink"/>
                <w:rFonts w:hint="eastAsia"/>
                <w:noProof/>
                <w:rtl/>
                <w:lang w:bidi="fa-IR"/>
              </w:rPr>
              <w:t>وَالْمُقْتَصِّ</w:t>
            </w:r>
            <w:r w:rsidR="00FB4A23" w:rsidRPr="001F2956">
              <w:rPr>
                <w:rStyle w:val="Hyperlink"/>
                <w:noProof/>
                <w:rtl/>
                <w:lang w:bidi="fa-IR"/>
              </w:rPr>
              <w:t xml:space="preserve"> </w:t>
            </w:r>
            <w:r w:rsidR="00FB4A23" w:rsidRPr="001F2956">
              <w:rPr>
                <w:rStyle w:val="Hyperlink"/>
                <w:rFonts w:hint="eastAsia"/>
                <w:noProof/>
                <w:rtl/>
                <w:lang w:bidi="fa-IR"/>
              </w:rPr>
              <w:t>مِنْهُ‌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573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5999" w:history="1">
            <w:r w:rsidR="00FB4A23" w:rsidRPr="001F2956">
              <w:rPr>
                <w:rStyle w:val="Hyperlink"/>
                <w:noProof/>
                <w:rtl/>
                <w:lang w:bidi="fa-IR"/>
              </w:rPr>
              <w:t xml:space="preserve">79 -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يَجِبُ</w:t>
            </w:r>
            <w:r w:rsidR="00FB4A23" w:rsidRPr="001F2956">
              <w:rPr>
                <w:rStyle w:val="Hyperlink"/>
                <w:noProof/>
                <w:rtl/>
                <w:lang w:bidi="fa-IR"/>
              </w:rPr>
              <w:t xml:space="preserve"> </w:t>
            </w:r>
            <w:r w:rsidR="00FB4A23" w:rsidRPr="001F2956">
              <w:rPr>
                <w:rStyle w:val="Hyperlink"/>
                <w:rFonts w:hint="eastAsia"/>
                <w:noProof/>
                <w:rtl/>
                <w:lang w:bidi="fa-IR"/>
              </w:rPr>
              <w:t>عَلَى</w:t>
            </w:r>
            <w:r w:rsidR="00FB4A23" w:rsidRPr="001F2956">
              <w:rPr>
                <w:rStyle w:val="Hyperlink"/>
                <w:noProof/>
                <w:rtl/>
                <w:lang w:bidi="fa-IR"/>
              </w:rPr>
              <w:t xml:space="preserve"> </w:t>
            </w:r>
            <w:r w:rsidR="00FB4A23" w:rsidRPr="001F2956">
              <w:rPr>
                <w:rStyle w:val="Hyperlink"/>
                <w:rFonts w:hint="eastAsia"/>
                <w:noProof/>
                <w:rtl/>
                <w:lang w:bidi="fa-IR"/>
              </w:rPr>
              <w:t>الْجِيرَانِ</w:t>
            </w:r>
            <w:r w:rsidR="00FB4A23" w:rsidRPr="001F2956">
              <w:rPr>
                <w:rStyle w:val="Hyperlink"/>
                <w:noProof/>
                <w:rtl/>
                <w:lang w:bidi="fa-IR"/>
              </w:rPr>
              <w:t xml:space="preserve"> </w:t>
            </w:r>
            <w:r w:rsidR="00FB4A23" w:rsidRPr="001F2956">
              <w:rPr>
                <w:rStyle w:val="Hyperlink"/>
                <w:rFonts w:hint="eastAsia"/>
                <w:noProof/>
                <w:rtl/>
                <w:lang w:bidi="fa-IR"/>
              </w:rPr>
              <w:t>لِأَهْلِ</w:t>
            </w:r>
            <w:r w:rsidR="00FB4A23" w:rsidRPr="001F2956">
              <w:rPr>
                <w:rStyle w:val="Hyperlink"/>
                <w:noProof/>
                <w:rtl/>
                <w:lang w:bidi="fa-IR"/>
              </w:rPr>
              <w:t xml:space="preserve"> </w:t>
            </w:r>
            <w:r w:rsidR="00FB4A23" w:rsidRPr="001F2956">
              <w:rPr>
                <w:rStyle w:val="Hyperlink"/>
                <w:rFonts w:hint="eastAsia"/>
                <w:noProof/>
                <w:rtl/>
                <w:lang w:bidi="fa-IR"/>
              </w:rPr>
              <w:t>الْمُصِيبَةِ</w:t>
            </w:r>
            <w:r w:rsidR="00FB4A23" w:rsidRPr="001F2956">
              <w:rPr>
                <w:rStyle w:val="Hyperlink"/>
                <w:noProof/>
                <w:rtl/>
                <w:lang w:bidi="fa-IR"/>
              </w:rPr>
              <w:t xml:space="preserve"> </w:t>
            </w:r>
            <w:r w:rsidR="00FB4A23" w:rsidRPr="001F2956">
              <w:rPr>
                <w:rStyle w:val="Hyperlink"/>
                <w:rFonts w:hint="eastAsia"/>
                <w:noProof/>
                <w:rtl/>
                <w:lang w:bidi="fa-IR"/>
              </w:rPr>
              <w:t>وَاتِّخَاذِ</w:t>
            </w:r>
            <w:r w:rsidR="00FB4A23" w:rsidRPr="001F2956">
              <w:rPr>
                <w:rStyle w:val="Hyperlink"/>
                <w:noProof/>
                <w:rtl/>
                <w:lang w:bidi="fa-IR"/>
              </w:rPr>
              <w:t xml:space="preserve"> </w:t>
            </w:r>
            <w:r w:rsidR="00FB4A23" w:rsidRPr="001F2956">
              <w:rPr>
                <w:rStyle w:val="Hyperlink"/>
                <w:rFonts w:hint="eastAsia"/>
                <w:noProof/>
                <w:rtl/>
                <w:lang w:bidi="fa-IR"/>
              </w:rPr>
              <w:t>الْمَأْتَمِ‌</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40975999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575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0" w:history="1">
            <w:r w:rsidR="00FB4A23" w:rsidRPr="001F2956">
              <w:rPr>
                <w:rStyle w:val="Hyperlink"/>
                <w:noProof/>
                <w:rtl/>
                <w:lang w:bidi="fa-IR"/>
              </w:rPr>
              <w:t xml:space="preserve">80 -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الْمُصِيبَةِ</w:t>
            </w:r>
            <w:r w:rsidR="00FB4A23" w:rsidRPr="001F2956">
              <w:rPr>
                <w:rStyle w:val="Hyperlink"/>
                <w:noProof/>
                <w:rtl/>
                <w:lang w:bidi="fa-IR"/>
              </w:rPr>
              <w:t xml:space="preserve"> </w:t>
            </w:r>
            <w:r w:rsidR="00FB4A23" w:rsidRPr="001F2956">
              <w:rPr>
                <w:rStyle w:val="Hyperlink"/>
                <w:rFonts w:hint="eastAsia"/>
                <w:noProof/>
                <w:rtl/>
                <w:lang w:bidi="fa-IR"/>
              </w:rPr>
              <w:t>بِالْوَلَدِ‌</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579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1" w:history="1">
            <w:r w:rsidR="00FB4A23" w:rsidRPr="001F2956">
              <w:rPr>
                <w:rStyle w:val="Hyperlink"/>
                <w:noProof/>
                <w:rtl/>
                <w:lang w:bidi="fa-IR"/>
              </w:rPr>
              <w:t xml:space="preserve">81 -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التَّعَزِّي‌</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583</w:t>
            </w:r>
            <w:r w:rsidR="00FB4A23">
              <w:rPr>
                <w:noProof/>
                <w:webHidden/>
                <w:rtl/>
              </w:rPr>
              <w:fldChar w:fldCharType="end"/>
            </w:r>
          </w:hyperlink>
        </w:p>
        <w:p w:rsidR="001569BB" w:rsidRDefault="00FB4A23" w:rsidP="001569BB">
          <w:pPr>
            <w:pStyle w:val="libNormal"/>
            <w:rPr>
              <w:rtl/>
              <w:lang w:bidi="fa-IR"/>
            </w:rPr>
          </w:pPr>
          <w:r w:rsidRPr="001F2956">
            <w:rPr>
              <w:rStyle w:val="Hyperlink"/>
              <w:noProof/>
            </w:rPr>
            <w:fldChar w:fldCharType="begin"/>
          </w:r>
          <w:r w:rsidRPr="001F2956">
            <w:rPr>
              <w:rStyle w:val="Hyperlink"/>
              <w:noProof/>
              <w:rtl/>
            </w:rPr>
            <w:instrText xml:space="preserve"> </w:instrText>
          </w:r>
          <w:r>
            <w:rPr>
              <w:noProof/>
            </w:rPr>
            <w:instrText>HYPERLINK \l "_Toc</w:instrText>
          </w:r>
          <w:r>
            <w:rPr>
              <w:noProof/>
              <w:rtl/>
            </w:rPr>
            <w:instrText>40976002"</w:instrText>
          </w:r>
          <w:r w:rsidRPr="001F2956">
            <w:rPr>
              <w:rStyle w:val="Hyperlink"/>
              <w:noProof/>
              <w:rtl/>
            </w:rPr>
            <w:instrText xml:space="preserve"> </w:instrText>
          </w:r>
          <w:r w:rsidRPr="001F2956">
            <w:rPr>
              <w:rStyle w:val="Hyperlink"/>
              <w:noProof/>
            </w:rPr>
            <w:fldChar w:fldCharType="separate"/>
          </w:r>
          <w:r w:rsidRPr="001F2956">
            <w:rPr>
              <w:rStyle w:val="Hyperlink"/>
              <w:noProof/>
              <w:rtl/>
              <w:lang w:bidi="fa-IR"/>
            </w:rPr>
            <w:t xml:space="preserve">82 - </w:t>
          </w:r>
          <w:r w:rsidRPr="001F2956">
            <w:rPr>
              <w:rStyle w:val="Hyperlink"/>
              <w:rFonts w:hint="eastAsia"/>
              <w:noProof/>
              <w:rtl/>
              <w:lang w:bidi="fa-IR"/>
            </w:rPr>
            <w:t>بَابُ</w:t>
          </w:r>
          <w:r w:rsidRPr="001F2956">
            <w:rPr>
              <w:rStyle w:val="Hyperlink"/>
              <w:noProof/>
              <w:rtl/>
              <w:lang w:bidi="fa-IR"/>
            </w:rPr>
            <w:t xml:space="preserve"> </w:t>
          </w:r>
          <w:r w:rsidRPr="001F2956">
            <w:rPr>
              <w:rStyle w:val="Hyperlink"/>
              <w:rFonts w:hint="eastAsia"/>
              <w:noProof/>
              <w:rtl/>
              <w:lang w:bidi="fa-IR"/>
            </w:rPr>
            <w:t>الصَّ</w:t>
          </w:r>
          <w:r w:rsidR="001569BB">
            <w:rPr>
              <w:rtl/>
              <w:lang w:bidi="fa-IR"/>
            </w:rPr>
            <w:br w:type="page"/>
          </w:r>
        </w:p>
        <w:p w:rsidR="00FB4A23" w:rsidRDefault="00FB4A23">
          <w:pPr>
            <w:pStyle w:val="TOC2"/>
            <w:tabs>
              <w:tab w:val="right" w:leader="dot" w:pos="7786"/>
            </w:tabs>
            <w:rPr>
              <w:rFonts w:asciiTheme="minorHAnsi" w:eastAsiaTheme="minorEastAsia" w:hAnsiTheme="minorHAnsi" w:cstheme="minorBidi"/>
              <w:noProof/>
              <w:color w:val="auto"/>
              <w:sz w:val="22"/>
              <w:szCs w:val="22"/>
              <w:rtl/>
            </w:rPr>
          </w:pPr>
          <w:r w:rsidRPr="001F2956">
            <w:rPr>
              <w:rStyle w:val="Hyperlink"/>
              <w:rFonts w:hint="eastAsia"/>
              <w:noProof/>
              <w:rtl/>
              <w:lang w:bidi="fa-IR"/>
            </w:rPr>
            <w:t>بْرِ</w:t>
          </w:r>
          <w:r w:rsidRPr="001F2956">
            <w:rPr>
              <w:rStyle w:val="Hyperlink"/>
              <w:noProof/>
              <w:rtl/>
              <w:lang w:bidi="fa-IR"/>
            </w:rPr>
            <w:t xml:space="preserve"> </w:t>
          </w:r>
          <w:r w:rsidRPr="001F2956">
            <w:rPr>
              <w:rStyle w:val="Hyperlink"/>
              <w:rFonts w:hint="eastAsia"/>
              <w:noProof/>
              <w:rtl/>
              <w:lang w:bidi="fa-IR"/>
            </w:rPr>
            <w:t>وَالْجَزَعِ</w:t>
          </w:r>
          <w:r w:rsidRPr="001F2956">
            <w:rPr>
              <w:rStyle w:val="Hyperlink"/>
              <w:noProof/>
              <w:rtl/>
              <w:lang w:bidi="fa-IR"/>
            </w:rPr>
            <w:t xml:space="preserve"> </w:t>
          </w:r>
          <w:r w:rsidRPr="001F2956">
            <w:rPr>
              <w:rStyle w:val="Hyperlink"/>
              <w:rFonts w:hint="eastAsia"/>
              <w:noProof/>
              <w:rtl/>
              <w:lang w:bidi="fa-IR"/>
            </w:rPr>
            <w:t>وَالِاسْتِرْجَاعِ‌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40976002 </w:instrText>
          </w:r>
          <w:r>
            <w:rPr>
              <w:noProof/>
              <w:webHidden/>
            </w:rPr>
            <w:instrText>\h</w:instrText>
          </w:r>
          <w:r>
            <w:rPr>
              <w:noProof/>
              <w:webHidden/>
              <w:rtl/>
            </w:rPr>
            <w:instrText xml:space="preserve"> </w:instrText>
          </w:r>
          <w:r>
            <w:rPr>
              <w:noProof/>
              <w:webHidden/>
              <w:rtl/>
            </w:rPr>
          </w:r>
          <w:r>
            <w:rPr>
              <w:noProof/>
              <w:webHidden/>
              <w:rtl/>
            </w:rPr>
            <w:fldChar w:fldCharType="separate"/>
          </w:r>
          <w:r w:rsidR="008811AB">
            <w:rPr>
              <w:noProof/>
              <w:webHidden/>
              <w:rtl/>
            </w:rPr>
            <w:t>587</w:t>
          </w:r>
          <w:r>
            <w:rPr>
              <w:noProof/>
              <w:webHidden/>
              <w:rtl/>
            </w:rPr>
            <w:fldChar w:fldCharType="end"/>
          </w:r>
          <w:r w:rsidRPr="001F2956">
            <w:rPr>
              <w:rStyle w:val="Hyperlink"/>
              <w:noProof/>
            </w:rPr>
            <w:fldChar w:fldCharType="end"/>
          </w:r>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3" w:history="1">
            <w:r w:rsidR="00FB4A23" w:rsidRPr="001F2956">
              <w:rPr>
                <w:rStyle w:val="Hyperlink"/>
                <w:noProof/>
                <w:rtl/>
                <w:lang w:bidi="fa-IR"/>
              </w:rPr>
              <w:t xml:space="preserve">83 -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ثَوَابِ</w:t>
            </w:r>
            <w:r w:rsidR="00FB4A23" w:rsidRPr="001F2956">
              <w:rPr>
                <w:rStyle w:val="Hyperlink"/>
                <w:noProof/>
                <w:rtl/>
                <w:lang w:bidi="fa-IR"/>
              </w:rPr>
              <w:t xml:space="preserve"> </w:t>
            </w:r>
            <w:r w:rsidR="00FB4A23" w:rsidRPr="001F2956">
              <w:rPr>
                <w:rStyle w:val="Hyperlink"/>
                <w:rFonts w:hint="eastAsia"/>
                <w:noProof/>
                <w:rtl/>
                <w:lang w:bidi="fa-IR"/>
              </w:rPr>
              <w:t>التَّعْزِيَةِ‌</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593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4" w:history="1">
            <w:r w:rsidR="00FB4A23" w:rsidRPr="001F2956">
              <w:rPr>
                <w:rStyle w:val="Hyperlink"/>
                <w:noProof/>
                <w:rtl/>
                <w:lang w:bidi="fa-IR"/>
              </w:rPr>
              <w:t xml:space="preserve">84 -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السَّلْوَةِ</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596</w:t>
            </w:r>
            <w:r w:rsidR="00FB4A23">
              <w:rPr>
                <w:noProof/>
                <w:webHidden/>
                <w:rtl/>
              </w:rPr>
              <w:fldChar w:fldCharType="end"/>
            </w:r>
          </w:hyperlink>
        </w:p>
        <w:p w:rsidR="00FB4A23" w:rsidRDefault="00FB4A23" w:rsidP="00077571">
          <w:pPr>
            <w:pStyle w:val="libNormal"/>
            <w:rPr>
              <w:rStyle w:val="Hyperlink"/>
              <w:noProof/>
            </w:rPr>
          </w:pPr>
          <w:r>
            <w:rPr>
              <w:rStyle w:val="Hyperlink"/>
              <w:noProof/>
            </w:rPr>
            <w:br w:type="page"/>
          </w:r>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5" w:history="1">
            <w:r w:rsidR="00FB4A23" w:rsidRPr="001F2956">
              <w:rPr>
                <w:rStyle w:val="Hyperlink"/>
                <w:noProof/>
                <w:rtl/>
                <w:lang w:bidi="fa-IR"/>
              </w:rPr>
              <w:t xml:space="preserve">85 -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زِيَارَةِ</w:t>
            </w:r>
            <w:r w:rsidR="00FB4A23" w:rsidRPr="001F2956">
              <w:rPr>
                <w:rStyle w:val="Hyperlink"/>
                <w:noProof/>
                <w:rtl/>
                <w:lang w:bidi="fa-IR"/>
              </w:rPr>
              <w:t xml:space="preserve"> </w:t>
            </w:r>
            <w:r w:rsidR="00FB4A23" w:rsidRPr="001F2956">
              <w:rPr>
                <w:rStyle w:val="Hyperlink"/>
                <w:rFonts w:hint="eastAsia"/>
                <w:noProof/>
                <w:rtl/>
                <w:lang w:bidi="fa-IR"/>
              </w:rPr>
              <w:t>الْقُبُورِ‌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597</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6" w:history="1">
            <w:r w:rsidR="00FB4A23" w:rsidRPr="001F2956">
              <w:rPr>
                <w:rStyle w:val="Hyperlink"/>
                <w:noProof/>
                <w:rtl/>
                <w:lang w:bidi="fa-IR"/>
              </w:rPr>
              <w:t xml:space="preserve">86 -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يَزُورُ</w:t>
            </w:r>
            <w:r w:rsidR="00FB4A23" w:rsidRPr="001F2956">
              <w:rPr>
                <w:rStyle w:val="Hyperlink"/>
                <w:noProof/>
                <w:rtl/>
                <w:lang w:bidi="fa-IR"/>
              </w:rPr>
              <w:t xml:space="preserve"> </w:t>
            </w:r>
            <w:r w:rsidR="00FB4A23" w:rsidRPr="001F2956">
              <w:rPr>
                <w:rStyle w:val="Hyperlink"/>
                <w:rFonts w:hint="eastAsia"/>
                <w:noProof/>
                <w:rtl/>
                <w:lang w:bidi="fa-IR"/>
              </w:rPr>
              <w:t>أَهْلَهُ‌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602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7" w:history="1">
            <w:r w:rsidR="00FB4A23" w:rsidRPr="001F2956">
              <w:rPr>
                <w:rStyle w:val="Hyperlink"/>
                <w:noProof/>
                <w:rtl/>
                <w:lang w:bidi="fa-IR"/>
              </w:rPr>
              <w:t xml:space="preserve">87 -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أَنَّ</w:t>
            </w:r>
            <w:r w:rsidR="00FB4A23" w:rsidRPr="001F2956">
              <w:rPr>
                <w:rStyle w:val="Hyperlink"/>
                <w:noProof/>
                <w:rtl/>
                <w:lang w:bidi="fa-IR"/>
              </w:rPr>
              <w:t xml:space="preserve"> </w:t>
            </w:r>
            <w:r w:rsidR="00FB4A23" w:rsidRPr="001F2956">
              <w:rPr>
                <w:rStyle w:val="Hyperlink"/>
                <w:rFonts w:hint="eastAsia"/>
                <w:noProof/>
                <w:rtl/>
                <w:lang w:bidi="fa-IR"/>
              </w:rPr>
              <w:t>الْمَيِّتَ</w:t>
            </w:r>
            <w:r w:rsidR="00FB4A23" w:rsidRPr="001F2956">
              <w:rPr>
                <w:rStyle w:val="Hyperlink"/>
                <w:noProof/>
                <w:rtl/>
                <w:lang w:bidi="fa-IR"/>
              </w:rPr>
              <w:t xml:space="preserve"> </w:t>
            </w:r>
            <w:r w:rsidR="00FB4A23" w:rsidRPr="001F2956">
              <w:rPr>
                <w:rStyle w:val="Hyperlink"/>
                <w:rFonts w:hint="eastAsia"/>
                <w:noProof/>
                <w:rtl/>
                <w:lang w:bidi="fa-IR"/>
              </w:rPr>
              <w:t>يُمَثَّلُ</w:t>
            </w:r>
            <w:r w:rsidR="00FB4A23" w:rsidRPr="001F2956">
              <w:rPr>
                <w:rStyle w:val="Hyperlink"/>
                <w:noProof/>
                <w:rtl/>
                <w:lang w:bidi="fa-IR"/>
              </w:rPr>
              <w:t xml:space="preserve"> </w:t>
            </w:r>
            <w:r w:rsidR="00FB4A23" w:rsidRPr="001F2956">
              <w:rPr>
                <w:rStyle w:val="Hyperlink"/>
                <w:rFonts w:hint="eastAsia"/>
                <w:noProof/>
                <w:rtl/>
                <w:lang w:bidi="fa-IR"/>
              </w:rPr>
              <w:t>لَهُ</w:t>
            </w:r>
            <w:r w:rsidR="00FB4A23" w:rsidRPr="001F2956">
              <w:rPr>
                <w:rStyle w:val="Hyperlink"/>
                <w:noProof/>
                <w:rtl/>
                <w:lang w:bidi="fa-IR"/>
              </w:rPr>
              <w:t xml:space="preserve"> </w:t>
            </w:r>
            <w:r w:rsidR="00FB4A23" w:rsidRPr="001F2956">
              <w:rPr>
                <w:rStyle w:val="Hyperlink"/>
                <w:rFonts w:hint="eastAsia"/>
                <w:noProof/>
                <w:rtl/>
                <w:lang w:bidi="fa-IR"/>
              </w:rPr>
              <w:t>مَالُهُ</w:t>
            </w:r>
            <w:r w:rsidR="00FB4A23" w:rsidRPr="001F2956">
              <w:rPr>
                <w:rStyle w:val="Hyperlink"/>
                <w:noProof/>
                <w:rtl/>
                <w:lang w:bidi="fa-IR"/>
              </w:rPr>
              <w:t xml:space="preserve"> </w:t>
            </w:r>
            <w:r w:rsidR="00FB4A23" w:rsidRPr="001F2956">
              <w:rPr>
                <w:rStyle w:val="Hyperlink"/>
                <w:rFonts w:hint="eastAsia"/>
                <w:noProof/>
                <w:rtl/>
                <w:lang w:bidi="fa-IR"/>
              </w:rPr>
              <w:t>وَوَلَدُهُ</w:t>
            </w:r>
            <w:r w:rsidR="00FB4A23" w:rsidRPr="001F2956">
              <w:rPr>
                <w:rStyle w:val="Hyperlink"/>
                <w:noProof/>
                <w:rtl/>
                <w:lang w:bidi="fa-IR"/>
              </w:rPr>
              <w:t xml:space="preserve"> </w:t>
            </w:r>
            <w:r w:rsidR="00FB4A23" w:rsidRPr="001F2956">
              <w:rPr>
                <w:rStyle w:val="Hyperlink"/>
                <w:rFonts w:hint="eastAsia"/>
                <w:noProof/>
                <w:rtl/>
                <w:lang w:bidi="fa-IR"/>
              </w:rPr>
              <w:t>وَعَمَلُهُ</w:t>
            </w:r>
            <w:r w:rsidR="00FB4A23" w:rsidRPr="001F2956">
              <w:rPr>
                <w:rStyle w:val="Hyperlink"/>
                <w:noProof/>
                <w:rtl/>
                <w:lang w:bidi="fa-IR"/>
              </w:rPr>
              <w:t xml:space="preserve"> </w:t>
            </w:r>
            <w:r w:rsidR="00FB4A23" w:rsidRPr="001F2956">
              <w:rPr>
                <w:rStyle w:val="Hyperlink"/>
                <w:rFonts w:hint="eastAsia"/>
                <w:noProof/>
                <w:rtl/>
                <w:lang w:bidi="fa-IR"/>
              </w:rPr>
              <w:t>قَبْلَ</w:t>
            </w:r>
            <w:r w:rsidR="00FB4A23" w:rsidRPr="001F2956">
              <w:rPr>
                <w:rStyle w:val="Hyperlink"/>
                <w:noProof/>
                <w:rtl/>
                <w:lang w:bidi="fa-IR"/>
              </w:rPr>
              <w:t xml:space="preserve"> </w:t>
            </w:r>
            <w:r w:rsidR="00FB4A23" w:rsidRPr="001F2956">
              <w:rPr>
                <w:rStyle w:val="Hyperlink"/>
                <w:rFonts w:hint="eastAsia"/>
                <w:noProof/>
                <w:rtl/>
                <w:lang w:bidi="fa-IR"/>
              </w:rPr>
              <w:t>مَوْتِهِ‌</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40976007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605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8" w:history="1">
            <w:r w:rsidR="00FB4A23" w:rsidRPr="001F2956">
              <w:rPr>
                <w:rStyle w:val="Hyperlink"/>
                <w:noProof/>
                <w:rtl/>
                <w:lang w:bidi="fa-IR"/>
              </w:rPr>
              <w:t xml:space="preserve">88 -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الْمَسْأَلَةِ</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الْقَبْرِ</w:t>
            </w:r>
            <w:r w:rsidR="00FB4A23" w:rsidRPr="001F2956">
              <w:rPr>
                <w:rStyle w:val="Hyperlink"/>
                <w:noProof/>
                <w:rtl/>
                <w:lang w:bidi="fa-IR"/>
              </w:rPr>
              <w:t xml:space="preserve"> </w:t>
            </w:r>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يُسْأَلُ</w:t>
            </w:r>
            <w:r w:rsidR="00FB4A23" w:rsidRPr="001F2956">
              <w:rPr>
                <w:rStyle w:val="Hyperlink"/>
                <w:noProof/>
                <w:rtl/>
                <w:lang w:bidi="fa-IR"/>
              </w:rPr>
              <w:t xml:space="preserve"> </w:t>
            </w:r>
            <w:r w:rsidR="00FB4A23" w:rsidRPr="001F2956">
              <w:rPr>
                <w:rStyle w:val="Hyperlink"/>
                <w:rFonts w:hint="eastAsia"/>
                <w:noProof/>
                <w:rtl/>
                <w:lang w:bidi="fa-IR"/>
              </w:rPr>
              <w:t>وَمَنْ</w:t>
            </w:r>
            <w:r w:rsidR="00FB4A23" w:rsidRPr="001F2956">
              <w:rPr>
                <w:rStyle w:val="Hyperlink"/>
                <w:noProof/>
                <w:rtl/>
                <w:lang w:bidi="fa-IR"/>
              </w:rPr>
              <w:t xml:space="preserve"> </w:t>
            </w:r>
            <w:r w:rsidR="00FB4A23" w:rsidRPr="001F2956">
              <w:rPr>
                <w:rStyle w:val="Hyperlink"/>
                <w:rFonts w:hint="eastAsia"/>
                <w:noProof/>
                <w:rtl/>
                <w:lang w:bidi="fa-IR"/>
              </w:rPr>
              <w:t>لَايُسْأَلُ‌</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40976008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614</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09" w:history="1">
            <w:r w:rsidR="00FB4A23" w:rsidRPr="001F2956">
              <w:rPr>
                <w:rStyle w:val="Hyperlink"/>
                <w:noProof/>
                <w:rtl/>
                <w:lang w:bidi="fa-IR"/>
              </w:rPr>
              <w:t xml:space="preserve">89 -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مَا</w:t>
            </w:r>
            <w:r w:rsidR="00FB4A23" w:rsidRPr="001F2956">
              <w:rPr>
                <w:rStyle w:val="Hyperlink"/>
                <w:noProof/>
                <w:rtl/>
                <w:lang w:bidi="fa-IR"/>
              </w:rPr>
              <w:t xml:space="preserve"> </w:t>
            </w:r>
            <w:r w:rsidR="00FB4A23" w:rsidRPr="001F2956">
              <w:rPr>
                <w:rStyle w:val="Hyperlink"/>
                <w:rFonts w:hint="eastAsia"/>
                <w:noProof/>
                <w:rtl/>
                <w:lang w:bidi="fa-IR"/>
              </w:rPr>
              <w:t>يَنْطِقُ</w:t>
            </w:r>
            <w:r w:rsidR="00FB4A23" w:rsidRPr="001F2956">
              <w:rPr>
                <w:rStyle w:val="Hyperlink"/>
                <w:noProof/>
                <w:rtl/>
                <w:lang w:bidi="fa-IR"/>
              </w:rPr>
              <w:t xml:space="preserve"> </w:t>
            </w:r>
            <w:r w:rsidR="00FB4A23" w:rsidRPr="001F2956">
              <w:rPr>
                <w:rStyle w:val="Hyperlink"/>
                <w:rFonts w:hint="eastAsia"/>
                <w:noProof/>
                <w:rtl/>
                <w:lang w:bidi="fa-IR"/>
              </w:rPr>
              <w:t>بِهِ</w:t>
            </w:r>
            <w:r w:rsidR="00FB4A23" w:rsidRPr="001F2956">
              <w:rPr>
                <w:rStyle w:val="Hyperlink"/>
                <w:noProof/>
                <w:rtl/>
                <w:lang w:bidi="fa-IR"/>
              </w:rPr>
              <w:t xml:space="preserve"> </w:t>
            </w:r>
            <w:r w:rsidR="00FB4A23" w:rsidRPr="001F2956">
              <w:rPr>
                <w:rStyle w:val="Hyperlink"/>
                <w:rFonts w:hint="eastAsia"/>
                <w:noProof/>
                <w:rtl/>
                <w:lang w:bidi="fa-IR"/>
              </w:rPr>
              <w:t>مَوْضِعُ</w:t>
            </w:r>
            <w:r w:rsidR="00FB4A23" w:rsidRPr="001F2956">
              <w:rPr>
                <w:rStyle w:val="Hyperlink"/>
                <w:noProof/>
                <w:rtl/>
                <w:lang w:bidi="fa-IR"/>
              </w:rPr>
              <w:t xml:space="preserve"> </w:t>
            </w:r>
            <w:r w:rsidR="00FB4A23" w:rsidRPr="001F2956">
              <w:rPr>
                <w:rStyle w:val="Hyperlink"/>
                <w:rFonts w:hint="eastAsia"/>
                <w:noProof/>
                <w:rtl/>
                <w:lang w:bidi="fa-IR"/>
              </w:rPr>
              <w:t>الْقَبْرِ</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40976009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629</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10" w:history="1">
            <w:r w:rsidR="00FB4A23" w:rsidRPr="001F2956">
              <w:rPr>
                <w:rStyle w:val="Hyperlink"/>
                <w:noProof/>
                <w:rtl/>
                <w:lang w:bidi="fa-IR"/>
              </w:rPr>
              <w:t xml:space="preserve">90 -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noProof/>
                <w:vertAlign w:val="superscript"/>
                <w:rtl/>
              </w:rPr>
              <w:t>(8)</w:t>
            </w:r>
            <w:r w:rsidR="00FB4A23" w:rsidRPr="001F2956">
              <w:rPr>
                <w:rStyle w:val="Hyperlink"/>
                <w:noProof/>
                <w:rtl/>
              </w:rPr>
              <w:t xml:space="preserve"> </w:t>
            </w:r>
            <w:r w:rsidR="00FB4A23" w:rsidRPr="001F2956">
              <w:rPr>
                <w:rStyle w:val="Hyperlink"/>
                <w:rFonts w:hint="eastAsia"/>
                <w:noProof/>
                <w:rtl/>
                <w:lang w:bidi="fa-IR"/>
              </w:rPr>
              <w:t>أَرْوَاحِ</w:t>
            </w:r>
            <w:r w:rsidR="00FB4A23" w:rsidRPr="001F2956">
              <w:rPr>
                <w:rStyle w:val="Hyperlink"/>
                <w:noProof/>
                <w:rtl/>
                <w:lang w:bidi="fa-IR"/>
              </w:rPr>
              <w:t xml:space="preserve"> </w:t>
            </w:r>
            <w:r w:rsidR="00FB4A23" w:rsidRPr="001F2956">
              <w:rPr>
                <w:rStyle w:val="Hyperlink"/>
                <w:rFonts w:hint="eastAsia"/>
                <w:noProof/>
                <w:rtl/>
                <w:lang w:bidi="fa-IR"/>
              </w:rPr>
              <w:t>الْمُؤْمِنِينَ‌</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40976010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632</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11" w:history="1">
            <w:r w:rsidR="00FB4A23" w:rsidRPr="001F2956">
              <w:rPr>
                <w:rStyle w:val="Hyperlink"/>
                <w:noProof/>
                <w:rtl/>
                <w:lang w:bidi="fa-IR"/>
              </w:rPr>
              <w:t xml:space="preserve">91 -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آخَرُ</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rFonts w:hint="eastAsia"/>
                <w:noProof/>
                <w:rtl/>
                <w:lang w:bidi="fa-IR"/>
              </w:rPr>
              <w:t>أَرْوَاحِ</w:t>
            </w:r>
            <w:r w:rsidR="00FB4A23" w:rsidRPr="001F2956">
              <w:rPr>
                <w:rStyle w:val="Hyperlink"/>
                <w:noProof/>
                <w:rtl/>
                <w:lang w:bidi="fa-IR"/>
              </w:rPr>
              <w:t xml:space="preserve"> </w:t>
            </w:r>
            <w:r w:rsidR="00FB4A23" w:rsidRPr="001F2956">
              <w:rPr>
                <w:rStyle w:val="Hyperlink"/>
                <w:rFonts w:hint="eastAsia"/>
                <w:noProof/>
                <w:rtl/>
                <w:lang w:bidi="fa-IR"/>
              </w:rPr>
              <w:t>الْمُؤْمِنِينَ</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40976011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635</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12" w:history="1">
            <w:r w:rsidR="00FB4A23" w:rsidRPr="001F2956">
              <w:rPr>
                <w:rStyle w:val="Hyperlink"/>
                <w:noProof/>
                <w:rtl/>
                <w:lang w:bidi="fa-IR"/>
              </w:rPr>
              <w:t xml:space="preserve">92 -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فِي</w:t>
            </w:r>
            <w:r w:rsidR="00FB4A23" w:rsidRPr="001F2956">
              <w:rPr>
                <w:rStyle w:val="Hyperlink"/>
                <w:noProof/>
                <w:rtl/>
                <w:lang w:bidi="fa-IR"/>
              </w:rPr>
              <w:t xml:space="preserve"> </w:t>
            </w:r>
            <w:r w:rsidR="00FB4A23" w:rsidRPr="001F2956">
              <w:rPr>
                <w:rStyle w:val="Hyperlink"/>
                <w:noProof/>
                <w:vertAlign w:val="superscript"/>
                <w:rtl/>
              </w:rPr>
              <w:t>(7)</w:t>
            </w:r>
            <w:r w:rsidR="00FB4A23" w:rsidRPr="001F2956">
              <w:rPr>
                <w:rStyle w:val="Hyperlink"/>
                <w:noProof/>
                <w:rtl/>
              </w:rPr>
              <w:t xml:space="preserve"> </w:t>
            </w:r>
            <w:r w:rsidR="00FB4A23" w:rsidRPr="001F2956">
              <w:rPr>
                <w:rStyle w:val="Hyperlink"/>
                <w:rFonts w:hint="eastAsia"/>
                <w:noProof/>
                <w:rtl/>
                <w:lang w:bidi="fa-IR"/>
              </w:rPr>
              <w:t>أَرْوَاحِ</w:t>
            </w:r>
            <w:r w:rsidR="00FB4A23" w:rsidRPr="001F2956">
              <w:rPr>
                <w:rStyle w:val="Hyperlink"/>
                <w:noProof/>
                <w:rtl/>
                <w:lang w:bidi="fa-IR"/>
              </w:rPr>
              <w:t xml:space="preserve"> </w:t>
            </w:r>
            <w:r w:rsidR="00FB4A23" w:rsidRPr="001F2956">
              <w:rPr>
                <w:rStyle w:val="Hyperlink"/>
                <w:rFonts w:hint="eastAsia"/>
                <w:noProof/>
                <w:rtl/>
                <w:lang w:bidi="fa-IR"/>
              </w:rPr>
              <w:t>الْكُفَّارِ‌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40976012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638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13" w:history="1">
            <w:r w:rsidR="00FB4A23" w:rsidRPr="001F2956">
              <w:rPr>
                <w:rStyle w:val="Hyperlink"/>
                <w:noProof/>
                <w:rtl/>
                <w:lang w:bidi="fa-IR"/>
              </w:rPr>
              <w:t xml:space="preserve">93 -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جَنَّةِ</w:t>
            </w:r>
            <w:r w:rsidR="00FB4A23" w:rsidRPr="001F2956">
              <w:rPr>
                <w:rStyle w:val="Hyperlink"/>
                <w:noProof/>
                <w:rtl/>
                <w:lang w:bidi="fa-IR"/>
              </w:rPr>
              <w:t xml:space="preserve"> </w:t>
            </w:r>
            <w:r w:rsidR="00FB4A23" w:rsidRPr="001F2956">
              <w:rPr>
                <w:rStyle w:val="Hyperlink"/>
                <w:rFonts w:hint="eastAsia"/>
                <w:noProof/>
                <w:rtl/>
                <w:lang w:bidi="fa-IR"/>
              </w:rPr>
              <w:t>الدُّنْيَا</w:t>
            </w:r>
            <w:r w:rsidR="00FB4A23" w:rsidRPr="001F2956">
              <w:rPr>
                <w:rStyle w:val="Hyperlink"/>
                <w:noProof/>
                <w:rtl/>
                <w:lang w:bidi="fa-IR"/>
              </w:rPr>
              <w:t xml:space="preserve"> </w:t>
            </w:r>
            <w:r w:rsidR="00FB4A23" w:rsidRPr="001F2956">
              <w:rPr>
                <w:rStyle w:val="Hyperlink"/>
                <w:noProof/>
                <w:vertAlign w:val="superscript"/>
                <w:rtl/>
              </w:rPr>
              <w:t>(1)</w:t>
            </w:r>
            <w:r w:rsidR="00FB4A23" w:rsidRPr="001F2956">
              <w:rPr>
                <w:rStyle w:val="Hyperlink"/>
                <w:noProof/>
                <w:rtl/>
                <w:lang w:bidi="fa-IR"/>
              </w:rPr>
              <w:t xml:space="preserve"> ‌</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40976013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641</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14" w:history="1">
            <w:r w:rsidR="00FB4A23" w:rsidRPr="001F2956">
              <w:rPr>
                <w:rStyle w:val="Hyperlink"/>
                <w:noProof/>
                <w:rtl/>
                <w:lang w:bidi="fa-IR"/>
              </w:rPr>
              <w:t xml:space="preserve">94 -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الْأَطْفَالِ‌</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40976014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643</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15" w:history="1">
            <w:r w:rsidR="00FB4A23" w:rsidRPr="001F2956">
              <w:rPr>
                <w:rStyle w:val="Hyperlink"/>
                <w:noProof/>
                <w:rtl/>
                <w:lang w:bidi="fa-IR"/>
              </w:rPr>
              <w:t xml:space="preserve">95 - </w:t>
            </w:r>
            <w:r w:rsidR="00FB4A23" w:rsidRPr="001F2956">
              <w:rPr>
                <w:rStyle w:val="Hyperlink"/>
                <w:rFonts w:hint="eastAsia"/>
                <w:noProof/>
                <w:rtl/>
                <w:lang w:bidi="fa-IR"/>
              </w:rPr>
              <w:t>بَابُ</w:t>
            </w:r>
            <w:r w:rsidR="00FB4A23" w:rsidRPr="001F2956">
              <w:rPr>
                <w:rStyle w:val="Hyperlink"/>
                <w:noProof/>
                <w:rtl/>
                <w:lang w:bidi="fa-IR"/>
              </w:rPr>
              <w:t xml:space="preserve"> </w:t>
            </w:r>
            <w:r w:rsidR="00FB4A23" w:rsidRPr="001F2956">
              <w:rPr>
                <w:rStyle w:val="Hyperlink"/>
                <w:rFonts w:hint="eastAsia"/>
                <w:noProof/>
                <w:rtl/>
                <w:lang w:bidi="fa-IR"/>
              </w:rPr>
              <w:t>النَّوَادِرِ‌</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40976015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648</w:t>
            </w:r>
            <w:r w:rsidR="00FB4A23">
              <w:rPr>
                <w:noProof/>
                <w:webHidden/>
                <w:rtl/>
              </w:rPr>
              <w:fldChar w:fldCharType="end"/>
            </w:r>
          </w:hyperlink>
        </w:p>
        <w:p w:rsidR="00FB4A23" w:rsidRDefault="008811AB">
          <w:pPr>
            <w:pStyle w:val="TOC2"/>
            <w:tabs>
              <w:tab w:val="right" w:leader="dot" w:pos="7786"/>
            </w:tabs>
            <w:rPr>
              <w:rFonts w:asciiTheme="minorHAnsi" w:eastAsiaTheme="minorEastAsia" w:hAnsiTheme="minorHAnsi" w:cstheme="minorBidi"/>
              <w:noProof/>
              <w:color w:val="auto"/>
              <w:sz w:val="22"/>
              <w:szCs w:val="22"/>
              <w:rtl/>
            </w:rPr>
          </w:pPr>
          <w:hyperlink w:anchor="_Toc40976016" w:history="1">
            <w:r w:rsidR="00FB4A23" w:rsidRPr="001F2956">
              <w:rPr>
                <w:rStyle w:val="Hyperlink"/>
                <w:rFonts w:hint="eastAsia"/>
                <w:noProof/>
                <w:rtl/>
                <w:lang w:bidi="fa-IR"/>
              </w:rPr>
              <w:t>الفهرس</w:t>
            </w:r>
            <w:r w:rsidR="00FB4A23">
              <w:rPr>
                <w:noProof/>
                <w:webHidden/>
                <w:rtl/>
              </w:rPr>
              <w:tab/>
            </w:r>
            <w:r w:rsidR="00FB4A23">
              <w:rPr>
                <w:noProof/>
                <w:webHidden/>
                <w:rtl/>
              </w:rPr>
              <w:fldChar w:fldCharType="begin"/>
            </w:r>
            <w:r w:rsidR="00FB4A23">
              <w:rPr>
                <w:noProof/>
                <w:webHidden/>
                <w:rtl/>
              </w:rPr>
              <w:instrText xml:space="preserve"> </w:instrText>
            </w:r>
            <w:r w:rsidR="00FB4A23">
              <w:rPr>
                <w:noProof/>
                <w:webHidden/>
              </w:rPr>
              <w:instrText>PAGEREF</w:instrText>
            </w:r>
            <w:r w:rsidR="00FB4A23">
              <w:rPr>
                <w:noProof/>
                <w:webHidden/>
                <w:rtl/>
              </w:rPr>
              <w:instrText xml:space="preserve"> _</w:instrText>
            </w:r>
            <w:r w:rsidR="00FB4A23">
              <w:rPr>
                <w:noProof/>
                <w:webHidden/>
              </w:rPr>
              <w:instrText>Toc</w:instrText>
            </w:r>
            <w:r w:rsidR="00FB4A23">
              <w:rPr>
                <w:noProof/>
                <w:webHidden/>
                <w:rtl/>
              </w:rPr>
              <w:instrText xml:space="preserve">40976016 </w:instrText>
            </w:r>
            <w:r w:rsidR="00FB4A23">
              <w:rPr>
                <w:noProof/>
                <w:webHidden/>
              </w:rPr>
              <w:instrText>\h</w:instrText>
            </w:r>
            <w:r w:rsidR="00FB4A23">
              <w:rPr>
                <w:noProof/>
                <w:webHidden/>
                <w:rtl/>
              </w:rPr>
              <w:instrText xml:space="preserve"> </w:instrText>
            </w:r>
            <w:r w:rsidR="00FB4A23">
              <w:rPr>
                <w:noProof/>
                <w:webHidden/>
                <w:rtl/>
              </w:rPr>
            </w:r>
            <w:r w:rsidR="00FB4A23">
              <w:rPr>
                <w:noProof/>
                <w:webHidden/>
                <w:rtl/>
              </w:rPr>
              <w:fldChar w:fldCharType="separate"/>
            </w:r>
            <w:r>
              <w:rPr>
                <w:noProof/>
                <w:webHidden/>
                <w:rtl/>
              </w:rPr>
              <w:t>683</w:t>
            </w:r>
            <w:r w:rsidR="00FB4A23">
              <w:rPr>
                <w:noProof/>
                <w:webHidden/>
                <w:rtl/>
              </w:rPr>
              <w:fldChar w:fldCharType="end"/>
            </w:r>
          </w:hyperlink>
        </w:p>
        <w:p w:rsidR="00FB4A23" w:rsidRDefault="00FB4A23" w:rsidP="00FB4A23">
          <w:pPr>
            <w:pStyle w:val="libNormal"/>
          </w:pPr>
          <w:r>
            <w:fldChar w:fldCharType="end"/>
          </w:r>
        </w:p>
        <w:bookmarkStart w:id="549" w:name="_GoBack" w:displacedByCustomXml="next"/>
        <w:bookmarkEnd w:id="549" w:displacedByCustomXml="next"/>
      </w:sdtContent>
    </w:sdt>
    <w:sectPr w:rsidR="00FB4A23" w:rsidSect="007148AF">
      <w:footerReference w:type="even" r:id="rId10"/>
      <w:footerReference w:type="default" r:id="rId11"/>
      <w:footerReference w:type="first" r:id="rId12"/>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3FB" w:rsidRDefault="00C103FB">
      <w:r>
        <w:separator/>
      </w:r>
    </w:p>
  </w:endnote>
  <w:endnote w:type="continuationSeparator" w:id="0">
    <w:p w:rsidR="00C103FB" w:rsidRDefault="00C1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Times New Roman"/>
    <w:charset w:val="B2"/>
    <w:family w:val="auto"/>
    <w:pitch w:val="variable"/>
    <w:sig w:usb0="00002000"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0EE" w:rsidRPr="00460435" w:rsidRDefault="009F10E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811AB">
      <w:rPr>
        <w:rFonts w:ascii="Traditional Arabic" w:hAnsi="Traditional Arabic"/>
        <w:noProof/>
        <w:sz w:val="28"/>
        <w:szCs w:val="28"/>
        <w:rtl/>
      </w:rPr>
      <w:t>656</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0EE" w:rsidRPr="00460435" w:rsidRDefault="009F10E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811AB">
      <w:rPr>
        <w:rFonts w:ascii="Traditional Arabic" w:hAnsi="Traditional Arabic"/>
        <w:noProof/>
        <w:sz w:val="28"/>
        <w:szCs w:val="28"/>
        <w:rtl/>
      </w:rPr>
      <w:t>657</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0EE" w:rsidRPr="00460435" w:rsidRDefault="009F10E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811AB">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3FB" w:rsidRDefault="00C103FB">
      <w:r>
        <w:separator/>
      </w:r>
    </w:p>
  </w:footnote>
  <w:footnote w:type="continuationSeparator" w:id="0">
    <w:p w:rsidR="00C103FB" w:rsidRDefault="00C103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4D1AB1"/>
    <w:rsid w:val="0000101A"/>
    <w:rsid w:val="00001032"/>
    <w:rsid w:val="00001888"/>
    <w:rsid w:val="000033C5"/>
    <w:rsid w:val="00005859"/>
    <w:rsid w:val="00005A19"/>
    <w:rsid w:val="00010C0B"/>
    <w:rsid w:val="0001112C"/>
    <w:rsid w:val="000113A9"/>
    <w:rsid w:val="00011D21"/>
    <w:rsid w:val="000129A3"/>
    <w:rsid w:val="00013691"/>
    <w:rsid w:val="000136D4"/>
    <w:rsid w:val="00013A49"/>
    <w:rsid w:val="000145A7"/>
    <w:rsid w:val="00014969"/>
    <w:rsid w:val="00014A0B"/>
    <w:rsid w:val="00016119"/>
    <w:rsid w:val="00016D3D"/>
    <w:rsid w:val="00020FBC"/>
    <w:rsid w:val="0002235A"/>
    <w:rsid w:val="00022842"/>
    <w:rsid w:val="00023A70"/>
    <w:rsid w:val="00023E8C"/>
    <w:rsid w:val="00024A3E"/>
    <w:rsid w:val="00024DBC"/>
    <w:rsid w:val="00025200"/>
    <w:rsid w:val="00025308"/>
    <w:rsid w:val="000261A8"/>
    <w:rsid w:val="00026384"/>
    <w:rsid w:val="000267FE"/>
    <w:rsid w:val="00027158"/>
    <w:rsid w:val="0002723B"/>
    <w:rsid w:val="00031F11"/>
    <w:rsid w:val="00033CCF"/>
    <w:rsid w:val="00033D97"/>
    <w:rsid w:val="00034AEE"/>
    <w:rsid w:val="00034DB7"/>
    <w:rsid w:val="000355B1"/>
    <w:rsid w:val="000373F5"/>
    <w:rsid w:val="00040798"/>
    <w:rsid w:val="0004218F"/>
    <w:rsid w:val="000424CB"/>
    <w:rsid w:val="00042F45"/>
    <w:rsid w:val="00043023"/>
    <w:rsid w:val="000450C4"/>
    <w:rsid w:val="00045771"/>
    <w:rsid w:val="000472A4"/>
    <w:rsid w:val="0005015B"/>
    <w:rsid w:val="000503F7"/>
    <w:rsid w:val="000537D9"/>
    <w:rsid w:val="00054406"/>
    <w:rsid w:val="00054570"/>
    <w:rsid w:val="00054877"/>
    <w:rsid w:val="00054B42"/>
    <w:rsid w:val="0005577F"/>
    <w:rsid w:val="00055A8D"/>
    <w:rsid w:val="000617B8"/>
    <w:rsid w:val="0006216A"/>
    <w:rsid w:val="00062CB5"/>
    <w:rsid w:val="00063342"/>
    <w:rsid w:val="00064E2E"/>
    <w:rsid w:val="00065C96"/>
    <w:rsid w:val="00065D0C"/>
    <w:rsid w:val="0006659D"/>
    <w:rsid w:val="00066C43"/>
    <w:rsid w:val="00066E40"/>
    <w:rsid w:val="000674DB"/>
    <w:rsid w:val="00067F84"/>
    <w:rsid w:val="00070C69"/>
    <w:rsid w:val="00071C97"/>
    <w:rsid w:val="0007224B"/>
    <w:rsid w:val="00072FEE"/>
    <w:rsid w:val="00074CD7"/>
    <w:rsid w:val="0007613C"/>
    <w:rsid w:val="000761F7"/>
    <w:rsid w:val="00076A3A"/>
    <w:rsid w:val="00077163"/>
    <w:rsid w:val="00077417"/>
    <w:rsid w:val="00077571"/>
    <w:rsid w:val="0008138F"/>
    <w:rsid w:val="00082AD1"/>
    <w:rsid w:val="00082C66"/>
    <w:rsid w:val="00082D69"/>
    <w:rsid w:val="000838DB"/>
    <w:rsid w:val="00084837"/>
    <w:rsid w:val="00085484"/>
    <w:rsid w:val="000854F6"/>
    <w:rsid w:val="00086597"/>
    <w:rsid w:val="0008722D"/>
    <w:rsid w:val="00090987"/>
    <w:rsid w:val="00092805"/>
    <w:rsid w:val="00092A0C"/>
    <w:rsid w:val="00092FA9"/>
    <w:rsid w:val="00093804"/>
    <w:rsid w:val="000942DF"/>
    <w:rsid w:val="0009448E"/>
    <w:rsid w:val="0009450B"/>
    <w:rsid w:val="00095BA6"/>
    <w:rsid w:val="000A0500"/>
    <w:rsid w:val="000A0F9B"/>
    <w:rsid w:val="000A2436"/>
    <w:rsid w:val="000A5A8F"/>
    <w:rsid w:val="000A7750"/>
    <w:rsid w:val="000A7824"/>
    <w:rsid w:val="000A78B4"/>
    <w:rsid w:val="000B09FA"/>
    <w:rsid w:val="000B1DC6"/>
    <w:rsid w:val="000B20C0"/>
    <w:rsid w:val="000B27A2"/>
    <w:rsid w:val="000B2E78"/>
    <w:rsid w:val="000B32DC"/>
    <w:rsid w:val="000B353B"/>
    <w:rsid w:val="000B3A56"/>
    <w:rsid w:val="000B6320"/>
    <w:rsid w:val="000B6558"/>
    <w:rsid w:val="000B6BBD"/>
    <w:rsid w:val="000B710F"/>
    <w:rsid w:val="000B7451"/>
    <w:rsid w:val="000C01AF"/>
    <w:rsid w:val="000C0A89"/>
    <w:rsid w:val="000C28AC"/>
    <w:rsid w:val="000C3C3D"/>
    <w:rsid w:val="000C4E13"/>
    <w:rsid w:val="000C4EA1"/>
    <w:rsid w:val="000C763F"/>
    <w:rsid w:val="000C7722"/>
    <w:rsid w:val="000C7B0C"/>
    <w:rsid w:val="000D014D"/>
    <w:rsid w:val="000D0932"/>
    <w:rsid w:val="000D09C5"/>
    <w:rsid w:val="000D1BDF"/>
    <w:rsid w:val="000D2A25"/>
    <w:rsid w:val="000D2B6B"/>
    <w:rsid w:val="000D3CC1"/>
    <w:rsid w:val="000D4105"/>
    <w:rsid w:val="000D4AED"/>
    <w:rsid w:val="000D5C10"/>
    <w:rsid w:val="000D71B7"/>
    <w:rsid w:val="000D7421"/>
    <w:rsid w:val="000D749A"/>
    <w:rsid w:val="000E00BD"/>
    <w:rsid w:val="000E0153"/>
    <w:rsid w:val="000E1D56"/>
    <w:rsid w:val="000E1D61"/>
    <w:rsid w:val="000E1EA1"/>
    <w:rsid w:val="000E3F3D"/>
    <w:rsid w:val="000E46E9"/>
    <w:rsid w:val="000E5337"/>
    <w:rsid w:val="000E5994"/>
    <w:rsid w:val="000E66E8"/>
    <w:rsid w:val="000E6824"/>
    <w:rsid w:val="000E6AFC"/>
    <w:rsid w:val="000E6F7C"/>
    <w:rsid w:val="000E77FC"/>
    <w:rsid w:val="000F0904"/>
    <w:rsid w:val="000F0FC7"/>
    <w:rsid w:val="000F1CE3"/>
    <w:rsid w:val="000F2084"/>
    <w:rsid w:val="000F38E2"/>
    <w:rsid w:val="000F43CB"/>
    <w:rsid w:val="000F4ECB"/>
    <w:rsid w:val="000F6745"/>
    <w:rsid w:val="000F7467"/>
    <w:rsid w:val="000F762F"/>
    <w:rsid w:val="000F7B6E"/>
    <w:rsid w:val="0010049D"/>
    <w:rsid w:val="001027A6"/>
    <w:rsid w:val="0010298D"/>
    <w:rsid w:val="00103118"/>
    <w:rsid w:val="0010315B"/>
    <w:rsid w:val="001033B6"/>
    <w:rsid w:val="00103495"/>
    <w:rsid w:val="0010387A"/>
    <w:rsid w:val="00103C79"/>
    <w:rsid w:val="0010743F"/>
    <w:rsid w:val="00107A6B"/>
    <w:rsid w:val="001106A5"/>
    <w:rsid w:val="00111A72"/>
    <w:rsid w:val="00111AE3"/>
    <w:rsid w:val="00112B99"/>
    <w:rsid w:val="0011352E"/>
    <w:rsid w:val="00113B0B"/>
    <w:rsid w:val="00113CCC"/>
    <w:rsid w:val="00114BCB"/>
    <w:rsid w:val="00115473"/>
    <w:rsid w:val="00115A71"/>
    <w:rsid w:val="00115E5A"/>
    <w:rsid w:val="00115EFB"/>
    <w:rsid w:val="001162C9"/>
    <w:rsid w:val="00116F75"/>
    <w:rsid w:val="0012064D"/>
    <w:rsid w:val="00122468"/>
    <w:rsid w:val="0012268F"/>
    <w:rsid w:val="0012315E"/>
    <w:rsid w:val="00123211"/>
    <w:rsid w:val="001243ED"/>
    <w:rsid w:val="00124A22"/>
    <w:rsid w:val="00124BFA"/>
    <w:rsid w:val="00126471"/>
    <w:rsid w:val="001279C8"/>
    <w:rsid w:val="001304D5"/>
    <w:rsid w:val="0013377A"/>
    <w:rsid w:val="00135E90"/>
    <w:rsid w:val="00136268"/>
    <w:rsid w:val="00136E6F"/>
    <w:rsid w:val="00136FE7"/>
    <w:rsid w:val="00137067"/>
    <w:rsid w:val="00137BB3"/>
    <w:rsid w:val="0014341C"/>
    <w:rsid w:val="00143EB3"/>
    <w:rsid w:val="00143EEA"/>
    <w:rsid w:val="00145623"/>
    <w:rsid w:val="0014583A"/>
    <w:rsid w:val="001463C2"/>
    <w:rsid w:val="00146EF8"/>
    <w:rsid w:val="0014765D"/>
    <w:rsid w:val="00147ED8"/>
    <w:rsid w:val="001507E4"/>
    <w:rsid w:val="00151C03"/>
    <w:rsid w:val="001524B5"/>
    <w:rsid w:val="00152A25"/>
    <w:rsid w:val="00152F8C"/>
    <w:rsid w:val="00153064"/>
    <w:rsid w:val="001531AC"/>
    <w:rsid w:val="00153917"/>
    <w:rsid w:val="00153C6F"/>
    <w:rsid w:val="00154302"/>
    <w:rsid w:val="00154B93"/>
    <w:rsid w:val="001555E7"/>
    <w:rsid w:val="001558C5"/>
    <w:rsid w:val="001567DB"/>
    <w:rsid w:val="001569BB"/>
    <w:rsid w:val="00157306"/>
    <w:rsid w:val="00157F0B"/>
    <w:rsid w:val="001604CF"/>
    <w:rsid w:val="00160F76"/>
    <w:rsid w:val="0016107C"/>
    <w:rsid w:val="00161CA2"/>
    <w:rsid w:val="00162B45"/>
    <w:rsid w:val="00163A74"/>
    <w:rsid w:val="00163BA6"/>
    <w:rsid w:val="00163D83"/>
    <w:rsid w:val="00164767"/>
    <w:rsid w:val="00164810"/>
    <w:rsid w:val="00164E6C"/>
    <w:rsid w:val="00167449"/>
    <w:rsid w:val="00167D73"/>
    <w:rsid w:val="00167E96"/>
    <w:rsid w:val="001712E1"/>
    <w:rsid w:val="00171B0F"/>
    <w:rsid w:val="001745E9"/>
    <w:rsid w:val="001747D7"/>
    <w:rsid w:val="001767EE"/>
    <w:rsid w:val="00180FB2"/>
    <w:rsid w:val="00181987"/>
    <w:rsid w:val="00181F5E"/>
    <w:rsid w:val="00182258"/>
    <w:rsid w:val="00182CD3"/>
    <w:rsid w:val="001864C8"/>
    <w:rsid w:val="0018664D"/>
    <w:rsid w:val="0018670F"/>
    <w:rsid w:val="00187017"/>
    <w:rsid w:val="00187246"/>
    <w:rsid w:val="00187427"/>
    <w:rsid w:val="00191EC4"/>
    <w:rsid w:val="00192A34"/>
    <w:rsid w:val="001937F7"/>
    <w:rsid w:val="00193EE9"/>
    <w:rsid w:val="00195052"/>
    <w:rsid w:val="0019610D"/>
    <w:rsid w:val="0019627F"/>
    <w:rsid w:val="001A0DAA"/>
    <w:rsid w:val="001A0E7D"/>
    <w:rsid w:val="001A11DF"/>
    <w:rsid w:val="001A123D"/>
    <w:rsid w:val="001A1408"/>
    <w:rsid w:val="001A1F41"/>
    <w:rsid w:val="001A3110"/>
    <w:rsid w:val="001A41BA"/>
    <w:rsid w:val="001A465E"/>
    <w:rsid w:val="001A47A3"/>
    <w:rsid w:val="001A4C37"/>
    <w:rsid w:val="001A4D9B"/>
    <w:rsid w:val="001A6AF6"/>
    <w:rsid w:val="001A6EC0"/>
    <w:rsid w:val="001B031E"/>
    <w:rsid w:val="001B07B7"/>
    <w:rsid w:val="001B1615"/>
    <w:rsid w:val="001B16FD"/>
    <w:rsid w:val="001B2A3D"/>
    <w:rsid w:val="001B4DA9"/>
    <w:rsid w:val="001B5182"/>
    <w:rsid w:val="001B577F"/>
    <w:rsid w:val="001B6B73"/>
    <w:rsid w:val="001B702D"/>
    <w:rsid w:val="001B71DC"/>
    <w:rsid w:val="001B7407"/>
    <w:rsid w:val="001C0BD2"/>
    <w:rsid w:val="001C2F9E"/>
    <w:rsid w:val="001C3A06"/>
    <w:rsid w:val="001C3D8D"/>
    <w:rsid w:val="001C55A6"/>
    <w:rsid w:val="001C5EDB"/>
    <w:rsid w:val="001C61BA"/>
    <w:rsid w:val="001C6454"/>
    <w:rsid w:val="001C6C20"/>
    <w:rsid w:val="001C71C8"/>
    <w:rsid w:val="001C71E3"/>
    <w:rsid w:val="001C7797"/>
    <w:rsid w:val="001C7F43"/>
    <w:rsid w:val="001D1A13"/>
    <w:rsid w:val="001D26E9"/>
    <w:rsid w:val="001D320D"/>
    <w:rsid w:val="001D3553"/>
    <w:rsid w:val="001D3568"/>
    <w:rsid w:val="001D40F5"/>
    <w:rsid w:val="001D41A1"/>
    <w:rsid w:val="001D45E2"/>
    <w:rsid w:val="001D5007"/>
    <w:rsid w:val="001D51E1"/>
    <w:rsid w:val="001D5E83"/>
    <w:rsid w:val="001D60CF"/>
    <w:rsid w:val="001D6B75"/>
    <w:rsid w:val="001D6CFA"/>
    <w:rsid w:val="001D6F86"/>
    <w:rsid w:val="001E016E"/>
    <w:rsid w:val="001E01FC"/>
    <w:rsid w:val="001E101E"/>
    <w:rsid w:val="001E14CE"/>
    <w:rsid w:val="001E1AC0"/>
    <w:rsid w:val="001E25DC"/>
    <w:rsid w:val="001E2F01"/>
    <w:rsid w:val="001E4E1A"/>
    <w:rsid w:val="001E5325"/>
    <w:rsid w:val="001E53B9"/>
    <w:rsid w:val="001F0713"/>
    <w:rsid w:val="001F0E5F"/>
    <w:rsid w:val="001F2120"/>
    <w:rsid w:val="001F3BFD"/>
    <w:rsid w:val="001F3DB4"/>
    <w:rsid w:val="001F4511"/>
    <w:rsid w:val="001F4EC9"/>
    <w:rsid w:val="001F550C"/>
    <w:rsid w:val="001F5653"/>
    <w:rsid w:val="001F7EDD"/>
    <w:rsid w:val="00200A31"/>
    <w:rsid w:val="00200E9A"/>
    <w:rsid w:val="00201A17"/>
    <w:rsid w:val="002020B5"/>
    <w:rsid w:val="00202A4A"/>
    <w:rsid w:val="00202C7B"/>
    <w:rsid w:val="002045CF"/>
    <w:rsid w:val="002054C5"/>
    <w:rsid w:val="00205E93"/>
    <w:rsid w:val="002074EC"/>
    <w:rsid w:val="00210B09"/>
    <w:rsid w:val="00211590"/>
    <w:rsid w:val="0021333F"/>
    <w:rsid w:val="002139CB"/>
    <w:rsid w:val="00214077"/>
    <w:rsid w:val="0021424B"/>
    <w:rsid w:val="00214801"/>
    <w:rsid w:val="00214E60"/>
    <w:rsid w:val="00215D01"/>
    <w:rsid w:val="00217F99"/>
    <w:rsid w:val="0022087B"/>
    <w:rsid w:val="002209DC"/>
    <w:rsid w:val="00221675"/>
    <w:rsid w:val="00221DF8"/>
    <w:rsid w:val="00224964"/>
    <w:rsid w:val="00225AEA"/>
    <w:rsid w:val="00226098"/>
    <w:rsid w:val="002267C7"/>
    <w:rsid w:val="0022730F"/>
    <w:rsid w:val="00227494"/>
    <w:rsid w:val="00227FEE"/>
    <w:rsid w:val="00230299"/>
    <w:rsid w:val="00230B27"/>
    <w:rsid w:val="00231E92"/>
    <w:rsid w:val="0023220B"/>
    <w:rsid w:val="00232211"/>
    <w:rsid w:val="002327AF"/>
    <w:rsid w:val="00232FE0"/>
    <w:rsid w:val="00234C5C"/>
    <w:rsid w:val="002350D4"/>
    <w:rsid w:val="00237C0B"/>
    <w:rsid w:val="00240E2B"/>
    <w:rsid w:val="00241A04"/>
    <w:rsid w:val="00241B6A"/>
    <w:rsid w:val="00241F59"/>
    <w:rsid w:val="0024265C"/>
    <w:rsid w:val="0024280B"/>
    <w:rsid w:val="002428C4"/>
    <w:rsid w:val="00243D20"/>
    <w:rsid w:val="00244C2E"/>
    <w:rsid w:val="002463FE"/>
    <w:rsid w:val="00250E0A"/>
    <w:rsid w:val="002514E5"/>
    <w:rsid w:val="00251E02"/>
    <w:rsid w:val="00254D1C"/>
    <w:rsid w:val="002567F4"/>
    <w:rsid w:val="002568DF"/>
    <w:rsid w:val="00257657"/>
    <w:rsid w:val="00261F33"/>
    <w:rsid w:val="00262BC9"/>
    <w:rsid w:val="00263F56"/>
    <w:rsid w:val="00263FA8"/>
    <w:rsid w:val="00264F8D"/>
    <w:rsid w:val="00265B0E"/>
    <w:rsid w:val="002672CD"/>
    <w:rsid w:val="00267452"/>
    <w:rsid w:val="00272450"/>
    <w:rsid w:val="0027246A"/>
    <w:rsid w:val="002730BD"/>
    <w:rsid w:val="0027369F"/>
    <w:rsid w:val="00273971"/>
    <w:rsid w:val="00276ECC"/>
    <w:rsid w:val="00276F64"/>
    <w:rsid w:val="00277098"/>
    <w:rsid w:val="00280F8C"/>
    <w:rsid w:val="002812DC"/>
    <w:rsid w:val="002818EF"/>
    <w:rsid w:val="00281A4E"/>
    <w:rsid w:val="00281B93"/>
    <w:rsid w:val="00282543"/>
    <w:rsid w:val="0028271F"/>
    <w:rsid w:val="0028272B"/>
    <w:rsid w:val="00282C6F"/>
    <w:rsid w:val="00283919"/>
    <w:rsid w:val="00286CDC"/>
    <w:rsid w:val="002876BC"/>
    <w:rsid w:val="0028771C"/>
    <w:rsid w:val="00291745"/>
    <w:rsid w:val="00296E4F"/>
    <w:rsid w:val="002976C0"/>
    <w:rsid w:val="002A0284"/>
    <w:rsid w:val="002A1851"/>
    <w:rsid w:val="002A2068"/>
    <w:rsid w:val="002A2408"/>
    <w:rsid w:val="002A2A06"/>
    <w:rsid w:val="002A2F34"/>
    <w:rsid w:val="002A338C"/>
    <w:rsid w:val="002A384E"/>
    <w:rsid w:val="002A4AE8"/>
    <w:rsid w:val="002A5096"/>
    <w:rsid w:val="002A57AB"/>
    <w:rsid w:val="002A57B7"/>
    <w:rsid w:val="002A69AC"/>
    <w:rsid w:val="002A717D"/>
    <w:rsid w:val="002A73D7"/>
    <w:rsid w:val="002B0433"/>
    <w:rsid w:val="002B2905"/>
    <w:rsid w:val="002B2B15"/>
    <w:rsid w:val="002B3C30"/>
    <w:rsid w:val="002B47D9"/>
    <w:rsid w:val="002B509B"/>
    <w:rsid w:val="002B5911"/>
    <w:rsid w:val="002B63DE"/>
    <w:rsid w:val="002B71A8"/>
    <w:rsid w:val="002B7744"/>
    <w:rsid w:val="002B7794"/>
    <w:rsid w:val="002B7989"/>
    <w:rsid w:val="002C1AC8"/>
    <w:rsid w:val="002C1EA0"/>
    <w:rsid w:val="002C3005"/>
    <w:rsid w:val="002C3E3A"/>
    <w:rsid w:val="002C4306"/>
    <w:rsid w:val="002C4ECA"/>
    <w:rsid w:val="002C53C2"/>
    <w:rsid w:val="002C5494"/>
    <w:rsid w:val="002C5C66"/>
    <w:rsid w:val="002C6261"/>
    <w:rsid w:val="002C6427"/>
    <w:rsid w:val="002C6C5B"/>
    <w:rsid w:val="002D19A9"/>
    <w:rsid w:val="002D2485"/>
    <w:rsid w:val="002D2ABF"/>
    <w:rsid w:val="002D3E26"/>
    <w:rsid w:val="002D437B"/>
    <w:rsid w:val="002D4786"/>
    <w:rsid w:val="002D4EFF"/>
    <w:rsid w:val="002D580E"/>
    <w:rsid w:val="002D5AE1"/>
    <w:rsid w:val="002E0219"/>
    <w:rsid w:val="002E0927"/>
    <w:rsid w:val="002E10E2"/>
    <w:rsid w:val="002E18D9"/>
    <w:rsid w:val="002E19EE"/>
    <w:rsid w:val="002E1ECE"/>
    <w:rsid w:val="002E3448"/>
    <w:rsid w:val="002E47E5"/>
    <w:rsid w:val="002E4976"/>
    <w:rsid w:val="002E4D3D"/>
    <w:rsid w:val="002E5CA1"/>
    <w:rsid w:val="002E5D68"/>
    <w:rsid w:val="002E6022"/>
    <w:rsid w:val="002E6381"/>
    <w:rsid w:val="002E6966"/>
    <w:rsid w:val="002E7D3C"/>
    <w:rsid w:val="002E7D6E"/>
    <w:rsid w:val="002F0A1C"/>
    <w:rsid w:val="002F2EC8"/>
    <w:rsid w:val="002F3626"/>
    <w:rsid w:val="002F42E5"/>
    <w:rsid w:val="002F4D5F"/>
    <w:rsid w:val="002F5646"/>
    <w:rsid w:val="002F65B9"/>
    <w:rsid w:val="002F7674"/>
    <w:rsid w:val="003002CF"/>
    <w:rsid w:val="003009FC"/>
    <w:rsid w:val="00300C7D"/>
    <w:rsid w:val="00300D39"/>
    <w:rsid w:val="00300D58"/>
    <w:rsid w:val="00301EBF"/>
    <w:rsid w:val="00302BFC"/>
    <w:rsid w:val="00306FB7"/>
    <w:rsid w:val="003076E1"/>
    <w:rsid w:val="00307C3A"/>
    <w:rsid w:val="00307C52"/>
    <w:rsid w:val="00310762"/>
    <w:rsid w:val="0031094A"/>
    <w:rsid w:val="00310A38"/>
    <w:rsid w:val="00310D1D"/>
    <w:rsid w:val="00311414"/>
    <w:rsid w:val="00311930"/>
    <w:rsid w:val="003123D6"/>
    <w:rsid w:val="003129CD"/>
    <w:rsid w:val="00312A89"/>
    <w:rsid w:val="00312BD7"/>
    <w:rsid w:val="003131A2"/>
    <w:rsid w:val="00314AAC"/>
    <w:rsid w:val="00314C0C"/>
    <w:rsid w:val="00317B73"/>
    <w:rsid w:val="00317CCE"/>
    <w:rsid w:val="00317E22"/>
    <w:rsid w:val="00320644"/>
    <w:rsid w:val="003218C0"/>
    <w:rsid w:val="00321BD9"/>
    <w:rsid w:val="00321CC0"/>
    <w:rsid w:val="00321F7F"/>
    <w:rsid w:val="00322466"/>
    <w:rsid w:val="00322723"/>
    <w:rsid w:val="003231D5"/>
    <w:rsid w:val="0032411A"/>
    <w:rsid w:val="00324A8A"/>
    <w:rsid w:val="00324B78"/>
    <w:rsid w:val="0032578E"/>
    <w:rsid w:val="00325852"/>
    <w:rsid w:val="00325A62"/>
    <w:rsid w:val="00326131"/>
    <w:rsid w:val="003265C3"/>
    <w:rsid w:val="00326A10"/>
    <w:rsid w:val="003279AB"/>
    <w:rsid w:val="00330211"/>
    <w:rsid w:val="00330756"/>
    <w:rsid w:val="0033079E"/>
    <w:rsid w:val="00330D70"/>
    <w:rsid w:val="003310CB"/>
    <w:rsid w:val="00331639"/>
    <w:rsid w:val="00331D29"/>
    <w:rsid w:val="00332473"/>
    <w:rsid w:val="0033317B"/>
    <w:rsid w:val="0033330E"/>
    <w:rsid w:val="00333826"/>
    <w:rsid w:val="003339D0"/>
    <w:rsid w:val="00334334"/>
    <w:rsid w:val="00335249"/>
    <w:rsid w:val="003353BB"/>
    <w:rsid w:val="00336207"/>
    <w:rsid w:val="0033620A"/>
    <w:rsid w:val="00340DF7"/>
    <w:rsid w:val="00341306"/>
    <w:rsid w:val="0034239A"/>
    <w:rsid w:val="00342864"/>
    <w:rsid w:val="00343EDB"/>
    <w:rsid w:val="00346C10"/>
    <w:rsid w:val="00347311"/>
    <w:rsid w:val="00350B00"/>
    <w:rsid w:val="00351532"/>
    <w:rsid w:val="00352380"/>
    <w:rsid w:val="00352578"/>
    <w:rsid w:val="0035368E"/>
    <w:rsid w:val="00354493"/>
    <w:rsid w:val="0035521A"/>
    <w:rsid w:val="0035526B"/>
    <w:rsid w:val="00355A0D"/>
    <w:rsid w:val="00355C40"/>
    <w:rsid w:val="00360888"/>
    <w:rsid w:val="00360A5F"/>
    <w:rsid w:val="003618AA"/>
    <w:rsid w:val="00361969"/>
    <w:rsid w:val="003625EF"/>
    <w:rsid w:val="00362B5F"/>
    <w:rsid w:val="00362F97"/>
    <w:rsid w:val="0036371E"/>
    <w:rsid w:val="00363C94"/>
    <w:rsid w:val="0036400D"/>
    <w:rsid w:val="00364717"/>
    <w:rsid w:val="00364867"/>
    <w:rsid w:val="00365424"/>
    <w:rsid w:val="003672B4"/>
    <w:rsid w:val="00367EFE"/>
    <w:rsid w:val="00370223"/>
    <w:rsid w:val="00370F76"/>
    <w:rsid w:val="00371F94"/>
    <w:rsid w:val="00372326"/>
    <w:rsid w:val="00373085"/>
    <w:rsid w:val="00373D3E"/>
    <w:rsid w:val="003753C0"/>
    <w:rsid w:val="00375A60"/>
    <w:rsid w:val="003771B6"/>
    <w:rsid w:val="0037720A"/>
    <w:rsid w:val="00377776"/>
    <w:rsid w:val="00377A2E"/>
    <w:rsid w:val="00380455"/>
    <w:rsid w:val="00380674"/>
    <w:rsid w:val="00380DC7"/>
    <w:rsid w:val="00381019"/>
    <w:rsid w:val="00381CA6"/>
    <w:rsid w:val="00382006"/>
    <w:rsid w:val="00382784"/>
    <w:rsid w:val="00382F3B"/>
    <w:rsid w:val="003832B1"/>
    <w:rsid w:val="003863E4"/>
    <w:rsid w:val="0038683D"/>
    <w:rsid w:val="00387F48"/>
    <w:rsid w:val="003906C2"/>
    <w:rsid w:val="00391F09"/>
    <w:rsid w:val="00393638"/>
    <w:rsid w:val="003947B2"/>
    <w:rsid w:val="0039529F"/>
    <w:rsid w:val="003963F3"/>
    <w:rsid w:val="00396711"/>
    <w:rsid w:val="003970F8"/>
    <w:rsid w:val="0039787F"/>
    <w:rsid w:val="00397B12"/>
    <w:rsid w:val="003A1475"/>
    <w:rsid w:val="003A3298"/>
    <w:rsid w:val="003A4077"/>
    <w:rsid w:val="003A4587"/>
    <w:rsid w:val="003A4A6A"/>
    <w:rsid w:val="003A4C84"/>
    <w:rsid w:val="003A533A"/>
    <w:rsid w:val="003A5EE4"/>
    <w:rsid w:val="003A657A"/>
    <w:rsid w:val="003A661E"/>
    <w:rsid w:val="003A66E3"/>
    <w:rsid w:val="003A6C0F"/>
    <w:rsid w:val="003A7A51"/>
    <w:rsid w:val="003B0913"/>
    <w:rsid w:val="003B160A"/>
    <w:rsid w:val="003B20C5"/>
    <w:rsid w:val="003B3913"/>
    <w:rsid w:val="003B4954"/>
    <w:rsid w:val="003B4A10"/>
    <w:rsid w:val="003B5031"/>
    <w:rsid w:val="003B50AA"/>
    <w:rsid w:val="003B52A1"/>
    <w:rsid w:val="003B5807"/>
    <w:rsid w:val="003B59E4"/>
    <w:rsid w:val="003B5E41"/>
    <w:rsid w:val="003B63EE"/>
    <w:rsid w:val="003B6720"/>
    <w:rsid w:val="003B70F5"/>
    <w:rsid w:val="003B775B"/>
    <w:rsid w:val="003B7FA9"/>
    <w:rsid w:val="003C0652"/>
    <w:rsid w:val="003C084A"/>
    <w:rsid w:val="003C1822"/>
    <w:rsid w:val="003C1CB6"/>
    <w:rsid w:val="003C1E4A"/>
    <w:rsid w:val="003C2B80"/>
    <w:rsid w:val="003C3093"/>
    <w:rsid w:val="003C587B"/>
    <w:rsid w:val="003C6EB9"/>
    <w:rsid w:val="003C7C08"/>
    <w:rsid w:val="003D05FC"/>
    <w:rsid w:val="003D0E9A"/>
    <w:rsid w:val="003D174D"/>
    <w:rsid w:val="003D206D"/>
    <w:rsid w:val="003D2459"/>
    <w:rsid w:val="003D2569"/>
    <w:rsid w:val="003D28ED"/>
    <w:rsid w:val="003D3107"/>
    <w:rsid w:val="003D3339"/>
    <w:rsid w:val="003D3817"/>
    <w:rsid w:val="003D6E10"/>
    <w:rsid w:val="003E02C2"/>
    <w:rsid w:val="003E148D"/>
    <w:rsid w:val="003E173A"/>
    <w:rsid w:val="003E1B68"/>
    <w:rsid w:val="003E2DF0"/>
    <w:rsid w:val="003E2FC3"/>
    <w:rsid w:val="003E3600"/>
    <w:rsid w:val="003E360F"/>
    <w:rsid w:val="003E463A"/>
    <w:rsid w:val="003E464B"/>
    <w:rsid w:val="003E4734"/>
    <w:rsid w:val="003E6453"/>
    <w:rsid w:val="003E7C6F"/>
    <w:rsid w:val="003F133B"/>
    <w:rsid w:val="003F33DE"/>
    <w:rsid w:val="003F44DD"/>
    <w:rsid w:val="003F7280"/>
    <w:rsid w:val="003F7DDC"/>
    <w:rsid w:val="00400006"/>
    <w:rsid w:val="00401BE0"/>
    <w:rsid w:val="0040243A"/>
    <w:rsid w:val="00402484"/>
    <w:rsid w:val="00402C65"/>
    <w:rsid w:val="00404EB7"/>
    <w:rsid w:val="00406A48"/>
    <w:rsid w:val="00406D26"/>
    <w:rsid w:val="00406DBA"/>
    <w:rsid w:val="004076D8"/>
    <w:rsid w:val="00407D56"/>
    <w:rsid w:val="00410D59"/>
    <w:rsid w:val="004112E3"/>
    <w:rsid w:val="004138E3"/>
    <w:rsid w:val="00413A49"/>
    <w:rsid w:val="004142D6"/>
    <w:rsid w:val="004142DF"/>
    <w:rsid w:val="004146B4"/>
    <w:rsid w:val="00414968"/>
    <w:rsid w:val="00414A78"/>
    <w:rsid w:val="00415E20"/>
    <w:rsid w:val="004163D5"/>
    <w:rsid w:val="00416E2B"/>
    <w:rsid w:val="004170C4"/>
    <w:rsid w:val="0041759B"/>
    <w:rsid w:val="004178AD"/>
    <w:rsid w:val="00417F35"/>
    <w:rsid w:val="00420429"/>
    <w:rsid w:val="004209BA"/>
    <w:rsid w:val="00420C44"/>
    <w:rsid w:val="00420F9C"/>
    <w:rsid w:val="00423EE1"/>
    <w:rsid w:val="0042502E"/>
    <w:rsid w:val="0042599B"/>
    <w:rsid w:val="0042609F"/>
    <w:rsid w:val="0042621E"/>
    <w:rsid w:val="004271BF"/>
    <w:rsid w:val="00427F80"/>
    <w:rsid w:val="00427FCE"/>
    <w:rsid w:val="00430581"/>
    <w:rsid w:val="004309F6"/>
    <w:rsid w:val="00431E6C"/>
    <w:rsid w:val="004330A0"/>
    <w:rsid w:val="0043457D"/>
    <w:rsid w:val="00434A97"/>
    <w:rsid w:val="00435004"/>
    <w:rsid w:val="00435375"/>
    <w:rsid w:val="00436824"/>
    <w:rsid w:val="00436ACE"/>
    <w:rsid w:val="00437035"/>
    <w:rsid w:val="00437CB5"/>
    <w:rsid w:val="00440236"/>
    <w:rsid w:val="00440C62"/>
    <w:rsid w:val="00440D58"/>
    <w:rsid w:val="00440E1C"/>
    <w:rsid w:val="00441A2E"/>
    <w:rsid w:val="00442867"/>
    <w:rsid w:val="00442D06"/>
    <w:rsid w:val="00442EF6"/>
    <w:rsid w:val="00443482"/>
    <w:rsid w:val="004440E5"/>
    <w:rsid w:val="00446B60"/>
    <w:rsid w:val="00446BBA"/>
    <w:rsid w:val="004470A4"/>
    <w:rsid w:val="00450D6E"/>
    <w:rsid w:val="00452B5A"/>
    <w:rsid w:val="004537CB"/>
    <w:rsid w:val="004538D5"/>
    <w:rsid w:val="00453C50"/>
    <w:rsid w:val="00455A59"/>
    <w:rsid w:val="00456B08"/>
    <w:rsid w:val="0046009A"/>
    <w:rsid w:val="00460435"/>
    <w:rsid w:val="00461EB2"/>
    <w:rsid w:val="00463E20"/>
    <w:rsid w:val="00464B21"/>
    <w:rsid w:val="00465944"/>
    <w:rsid w:val="00465D9F"/>
    <w:rsid w:val="00466294"/>
    <w:rsid w:val="0046634E"/>
    <w:rsid w:val="00467577"/>
    <w:rsid w:val="00467E54"/>
    <w:rsid w:val="00470378"/>
    <w:rsid w:val="00471BC1"/>
    <w:rsid w:val="004722F9"/>
    <w:rsid w:val="004728A6"/>
    <w:rsid w:val="00472EAA"/>
    <w:rsid w:val="004758C2"/>
    <w:rsid w:val="00475E99"/>
    <w:rsid w:val="00481C13"/>
    <w:rsid w:val="00481D03"/>
    <w:rsid w:val="00481FD0"/>
    <w:rsid w:val="0048221F"/>
    <w:rsid w:val="00482729"/>
    <w:rsid w:val="00483029"/>
    <w:rsid w:val="004866A7"/>
    <w:rsid w:val="00487516"/>
    <w:rsid w:val="00487B3B"/>
    <w:rsid w:val="004900A6"/>
    <w:rsid w:val="00490BB8"/>
    <w:rsid w:val="0049103A"/>
    <w:rsid w:val="00491616"/>
    <w:rsid w:val="004919C3"/>
    <w:rsid w:val="00491C93"/>
    <w:rsid w:val="0049245C"/>
    <w:rsid w:val="004926E8"/>
    <w:rsid w:val="00493967"/>
    <w:rsid w:val="00494FEB"/>
    <w:rsid w:val="004953C3"/>
    <w:rsid w:val="0049578A"/>
    <w:rsid w:val="004968FC"/>
    <w:rsid w:val="00496AC6"/>
    <w:rsid w:val="00497042"/>
    <w:rsid w:val="00497297"/>
    <w:rsid w:val="00497D88"/>
    <w:rsid w:val="004A0118"/>
    <w:rsid w:val="004A0866"/>
    <w:rsid w:val="004A0AF4"/>
    <w:rsid w:val="004A0B9D"/>
    <w:rsid w:val="004A536E"/>
    <w:rsid w:val="004A5D39"/>
    <w:rsid w:val="004A5F88"/>
    <w:rsid w:val="004A61BB"/>
    <w:rsid w:val="004A66FD"/>
    <w:rsid w:val="004A69C9"/>
    <w:rsid w:val="004A6FE9"/>
    <w:rsid w:val="004A7AC0"/>
    <w:rsid w:val="004A7FA3"/>
    <w:rsid w:val="004B06B3"/>
    <w:rsid w:val="004B17F4"/>
    <w:rsid w:val="004B1AA9"/>
    <w:rsid w:val="004B3571"/>
    <w:rsid w:val="004B3F28"/>
    <w:rsid w:val="004B41FB"/>
    <w:rsid w:val="004B46AE"/>
    <w:rsid w:val="004B4F1B"/>
    <w:rsid w:val="004B57E3"/>
    <w:rsid w:val="004B653D"/>
    <w:rsid w:val="004B6673"/>
    <w:rsid w:val="004B6702"/>
    <w:rsid w:val="004B73B0"/>
    <w:rsid w:val="004B7ADD"/>
    <w:rsid w:val="004C01B7"/>
    <w:rsid w:val="004C0461"/>
    <w:rsid w:val="004C12C2"/>
    <w:rsid w:val="004C2862"/>
    <w:rsid w:val="004C378E"/>
    <w:rsid w:val="004C3E90"/>
    <w:rsid w:val="004C406E"/>
    <w:rsid w:val="004C4336"/>
    <w:rsid w:val="004C592F"/>
    <w:rsid w:val="004C597E"/>
    <w:rsid w:val="004C5F49"/>
    <w:rsid w:val="004C6350"/>
    <w:rsid w:val="004C653E"/>
    <w:rsid w:val="004C6C12"/>
    <w:rsid w:val="004C7488"/>
    <w:rsid w:val="004C77B5"/>
    <w:rsid w:val="004C77BF"/>
    <w:rsid w:val="004C7C8D"/>
    <w:rsid w:val="004D1AB1"/>
    <w:rsid w:val="004D2965"/>
    <w:rsid w:val="004D317B"/>
    <w:rsid w:val="004D3904"/>
    <w:rsid w:val="004D49EE"/>
    <w:rsid w:val="004D67F7"/>
    <w:rsid w:val="004D73C9"/>
    <w:rsid w:val="004D7678"/>
    <w:rsid w:val="004D7CD7"/>
    <w:rsid w:val="004E054F"/>
    <w:rsid w:val="004E0CC1"/>
    <w:rsid w:val="004E2DD2"/>
    <w:rsid w:val="004E316C"/>
    <w:rsid w:val="004E3AA3"/>
    <w:rsid w:val="004E6E95"/>
    <w:rsid w:val="004E71B1"/>
    <w:rsid w:val="004E7BA2"/>
    <w:rsid w:val="004F31CB"/>
    <w:rsid w:val="004F3553"/>
    <w:rsid w:val="004F3671"/>
    <w:rsid w:val="004F3C4F"/>
    <w:rsid w:val="004F3F33"/>
    <w:rsid w:val="004F4955"/>
    <w:rsid w:val="004F5428"/>
    <w:rsid w:val="004F58BA"/>
    <w:rsid w:val="004F5931"/>
    <w:rsid w:val="004F5DCA"/>
    <w:rsid w:val="004F6137"/>
    <w:rsid w:val="004F6CF2"/>
    <w:rsid w:val="00501C9A"/>
    <w:rsid w:val="005022E5"/>
    <w:rsid w:val="00502CCE"/>
    <w:rsid w:val="00503281"/>
    <w:rsid w:val="00504823"/>
    <w:rsid w:val="00504F0C"/>
    <w:rsid w:val="00505A04"/>
    <w:rsid w:val="00507408"/>
    <w:rsid w:val="00510114"/>
    <w:rsid w:val="00511B0E"/>
    <w:rsid w:val="00511BF3"/>
    <w:rsid w:val="00512B3A"/>
    <w:rsid w:val="00513120"/>
    <w:rsid w:val="005133FE"/>
    <w:rsid w:val="00514000"/>
    <w:rsid w:val="00514271"/>
    <w:rsid w:val="00514A76"/>
    <w:rsid w:val="00515494"/>
    <w:rsid w:val="005169CF"/>
    <w:rsid w:val="0051744D"/>
    <w:rsid w:val="005225E6"/>
    <w:rsid w:val="00524C24"/>
    <w:rsid w:val="005254BC"/>
    <w:rsid w:val="00526724"/>
    <w:rsid w:val="005270BD"/>
    <w:rsid w:val="005271AB"/>
    <w:rsid w:val="00527E20"/>
    <w:rsid w:val="0053019A"/>
    <w:rsid w:val="005311AD"/>
    <w:rsid w:val="00533825"/>
    <w:rsid w:val="00534C31"/>
    <w:rsid w:val="00534F37"/>
    <w:rsid w:val="0053516D"/>
    <w:rsid w:val="00537335"/>
    <w:rsid w:val="00540F36"/>
    <w:rsid w:val="00541189"/>
    <w:rsid w:val="0054157A"/>
    <w:rsid w:val="0054250D"/>
    <w:rsid w:val="00542EEF"/>
    <w:rsid w:val="00544690"/>
    <w:rsid w:val="00546936"/>
    <w:rsid w:val="00546943"/>
    <w:rsid w:val="00546FAE"/>
    <w:rsid w:val="00547584"/>
    <w:rsid w:val="00547B4F"/>
    <w:rsid w:val="005500A8"/>
    <w:rsid w:val="00550B2F"/>
    <w:rsid w:val="00551712"/>
    <w:rsid w:val="005519D1"/>
    <w:rsid w:val="00551A26"/>
    <w:rsid w:val="00551E02"/>
    <w:rsid w:val="005529FE"/>
    <w:rsid w:val="00552C63"/>
    <w:rsid w:val="00553E73"/>
    <w:rsid w:val="00553E8E"/>
    <w:rsid w:val="005540AB"/>
    <w:rsid w:val="005549DE"/>
    <w:rsid w:val="00557015"/>
    <w:rsid w:val="005573CD"/>
    <w:rsid w:val="00557500"/>
    <w:rsid w:val="0055799E"/>
    <w:rsid w:val="00557FB6"/>
    <w:rsid w:val="00560493"/>
    <w:rsid w:val="00561B18"/>
    <w:rsid w:val="00561C58"/>
    <w:rsid w:val="0056257C"/>
    <w:rsid w:val="00562EED"/>
    <w:rsid w:val="00562FEA"/>
    <w:rsid w:val="00563C72"/>
    <w:rsid w:val="0056443D"/>
    <w:rsid w:val="005652F1"/>
    <w:rsid w:val="0056574C"/>
    <w:rsid w:val="00565ADE"/>
    <w:rsid w:val="00566DC4"/>
    <w:rsid w:val="00566E08"/>
    <w:rsid w:val="005673A9"/>
    <w:rsid w:val="0057006C"/>
    <w:rsid w:val="00571BF1"/>
    <w:rsid w:val="00573381"/>
    <w:rsid w:val="00574431"/>
    <w:rsid w:val="00574837"/>
    <w:rsid w:val="00574BDD"/>
    <w:rsid w:val="00574C66"/>
    <w:rsid w:val="005756A6"/>
    <w:rsid w:val="0057612B"/>
    <w:rsid w:val="005772C4"/>
    <w:rsid w:val="00577577"/>
    <w:rsid w:val="00577A34"/>
    <w:rsid w:val="005800B7"/>
    <w:rsid w:val="00581DA1"/>
    <w:rsid w:val="005821E2"/>
    <w:rsid w:val="00582DD8"/>
    <w:rsid w:val="005832AA"/>
    <w:rsid w:val="00584171"/>
    <w:rsid w:val="00584801"/>
    <w:rsid w:val="00584ABA"/>
    <w:rsid w:val="00584FB9"/>
    <w:rsid w:val="00585B8F"/>
    <w:rsid w:val="00585B97"/>
    <w:rsid w:val="00585EE1"/>
    <w:rsid w:val="00586320"/>
    <w:rsid w:val="00587363"/>
    <w:rsid w:val="00590129"/>
    <w:rsid w:val="00591326"/>
    <w:rsid w:val="00591486"/>
    <w:rsid w:val="005923FF"/>
    <w:rsid w:val="00593266"/>
    <w:rsid w:val="00593729"/>
    <w:rsid w:val="00593A39"/>
    <w:rsid w:val="00594B94"/>
    <w:rsid w:val="00594DC9"/>
    <w:rsid w:val="00595C8B"/>
    <w:rsid w:val="00595DD1"/>
    <w:rsid w:val="005960AA"/>
    <w:rsid w:val="005974BD"/>
    <w:rsid w:val="0059794D"/>
    <w:rsid w:val="00597B34"/>
    <w:rsid w:val="005A00BB"/>
    <w:rsid w:val="005A1C39"/>
    <w:rsid w:val="005A1D80"/>
    <w:rsid w:val="005A1FEF"/>
    <w:rsid w:val="005A3CDE"/>
    <w:rsid w:val="005A4258"/>
    <w:rsid w:val="005A43ED"/>
    <w:rsid w:val="005A480C"/>
    <w:rsid w:val="005A4A76"/>
    <w:rsid w:val="005A6C74"/>
    <w:rsid w:val="005B04B8"/>
    <w:rsid w:val="005B2DE4"/>
    <w:rsid w:val="005B40A3"/>
    <w:rsid w:val="005B56BE"/>
    <w:rsid w:val="005B5DDE"/>
    <w:rsid w:val="005B68D5"/>
    <w:rsid w:val="005B7FF6"/>
    <w:rsid w:val="005C07D9"/>
    <w:rsid w:val="005C0958"/>
    <w:rsid w:val="005C0E2F"/>
    <w:rsid w:val="005C0FD7"/>
    <w:rsid w:val="005C38C0"/>
    <w:rsid w:val="005C4F1D"/>
    <w:rsid w:val="005C7719"/>
    <w:rsid w:val="005D11CB"/>
    <w:rsid w:val="005D2C43"/>
    <w:rsid w:val="005D2C72"/>
    <w:rsid w:val="005D32EB"/>
    <w:rsid w:val="005D3BCC"/>
    <w:rsid w:val="005E04B7"/>
    <w:rsid w:val="005E06FA"/>
    <w:rsid w:val="005E192F"/>
    <w:rsid w:val="005E1DDE"/>
    <w:rsid w:val="005E1FA6"/>
    <w:rsid w:val="005E24E9"/>
    <w:rsid w:val="005E2913"/>
    <w:rsid w:val="005E3125"/>
    <w:rsid w:val="005E399F"/>
    <w:rsid w:val="005E4746"/>
    <w:rsid w:val="005E5BFC"/>
    <w:rsid w:val="005E5D2F"/>
    <w:rsid w:val="005E64E1"/>
    <w:rsid w:val="005E6836"/>
    <w:rsid w:val="005E6A3C"/>
    <w:rsid w:val="005E6E3A"/>
    <w:rsid w:val="005F0045"/>
    <w:rsid w:val="005F1067"/>
    <w:rsid w:val="005F15C3"/>
    <w:rsid w:val="005F1BD6"/>
    <w:rsid w:val="005F1EB2"/>
    <w:rsid w:val="005F2574"/>
    <w:rsid w:val="005F2C1B"/>
    <w:rsid w:val="005F2E2D"/>
    <w:rsid w:val="005F2F00"/>
    <w:rsid w:val="005F4985"/>
    <w:rsid w:val="005F50D6"/>
    <w:rsid w:val="005F5605"/>
    <w:rsid w:val="005F7354"/>
    <w:rsid w:val="00600E66"/>
    <w:rsid w:val="006013DF"/>
    <w:rsid w:val="00601EE4"/>
    <w:rsid w:val="00602204"/>
    <w:rsid w:val="0060295E"/>
    <w:rsid w:val="00603481"/>
    <w:rsid w:val="00603583"/>
    <w:rsid w:val="00603605"/>
    <w:rsid w:val="006041A3"/>
    <w:rsid w:val="00604F80"/>
    <w:rsid w:val="0061070B"/>
    <w:rsid w:val="00610E91"/>
    <w:rsid w:val="00610EAF"/>
    <w:rsid w:val="00610FB8"/>
    <w:rsid w:val="00611C4B"/>
    <w:rsid w:val="00611D10"/>
    <w:rsid w:val="00614301"/>
    <w:rsid w:val="006172DC"/>
    <w:rsid w:val="00620867"/>
    <w:rsid w:val="00620B12"/>
    <w:rsid w:val="00620E2B"/>
    <w:rsid w:val="006210F4"/>
    <w:rsid w:val="00621838"/>
    <w:rsid w:val="00621AAE"/>
    <w:rsid w:val="00621DEA"/>
    <w:rsid w:val="00624B9F"/>
    <w:rsid w:val="00625C71"/>
    <w:rsid w:val="00625E28"/>
    <w:rsid w:val="00626383"/>
    <w:rsid w:val="006269E7"/>
    <w:rsid w:val="00626EE0"/>
    <w:rsid w:val="00627316"/>
    <w:rsid w:val="00627A7B"/>
    <w:rsid w:val="0063060B"/>
    <w:rsid w:val="00630CC4"/>
    <w:rsid w:val="00631413"/>
    <w:rsid w:val="0063297C"/>
    <w:rsid w:val="00633FB4"/>
    <w:rsid w:val="006346C1"/>
    <w:rsid w:val="006349E1"/>
    <w:rsid w:val="006357C1"/>
    <w:rsid w:val="006359ED"/>
    <w:rsid w:val="00635BA7"/>
    <w:rsid w:val="006365EA"/>
    <w:rsid w:val="0063712C"/>
    <w:rsid w:val="00637374"/>
    <w:rsid w:val="00640BB2"/>
    <w:rsid w:val="00641A2D"/>
    <w:rsid w:val="00641BCE"/>
    <w:rsid w:val="00641E38"/>
    <w:rsid w:val="00642762"/>
    <w:rsid w:val="00643F5E"/>
    <w:rsid w:val="006443AF"/>
    <w:rsid w:val="006449AF"/>
    <w:rsid w:val="006463D3"/>
    <w:rsid w:val="00646D08"/>
    <w:rsid w:val="00646FFA"/>
    <w:rsid w:val="00650A50"/>
    <w:rsid w:val="00651640"/>
    <w:rsid w:val="00651ADF"/>
    <w:rsid w:val="006574EA"/>
    <w:rsid w:val="0066125A"/>
    <w:rsid w:val="00661DED"/>
    <w:rsid w:val="00661E2C"/>
    <w:rsid w:val="00662805"/>
    <w:rsid w:val="00663284"/>
    <w:rsid w:val="0066396C"/>
    <w:rsid w:val="00664129"/>
    <w:rsid w:val="0066519A"/>
    <w:rsid w:val="00665A3F"/>
    <w:rsid w:val="00665B79"/>
    <w:rsid w:val="0066679A"/>
    <w:rsid w:val="006670AA"/>
    <w:rsid w:val="0066761B"/>
    <w:rsid w:val="006726F6"/>
    <w:rsid w:val="00672E5A"/>
    <w:rsid w:val="006740DC"/>
    <w:rsid w:val="00674D47"/>
    <w:rsid w:val="00675E90"/>
    <w:rsid w:val="006768C3"/>
    <w:rsid w:val="00676B9C"/>
    <w:rsid w:val="00680411"/>
    <w:rsid w:val="0068115C"/>
    <w:rsid w:val="00681B59"/>
    <w:rsid w:val="00682902"/>
    <w:rsid w:val="00682B8B"/>
    <w:rsid w:val="006837A1"/>
    <w:rsid w:val="00683F3A"/>
    <w:rsid w:val="00684527"/>
    <w:rsid w:val="00685A04"/>
    <w:rsid w:val="0068652E"/>
    <w:rsid w:val="00687928"/>
    <w:rsid w:val="006912BC"/>
    <w:rsid w:val="006915B3"/>
    <w:rsid w:val="0069163F"/>
    <w:rsid w:val="00691DBB"/>
    <w:rsid w:val="00692A30"/>
    <w:rsid w:val="006938E2"/>
    <w:rsid w:val="00693F8D"/>
    <w:rsid w:val="006A02C3"/>
    <w:rsid w:val="006A09A5"/>
    <w:rsid w:val="006A0C03"/>
    <w:rsid w:val="006A160A"/>
    <w:rsid w:val="006A1A21"/>
    <w:rsid w:val="006A2527"/>
    <w:rsid w:val="006A35C2"/>
    <w:rsid w:val="006A3BF5"/>
    <w:rsid w:val="006A3FE9"/>
    <w:rsid w:val="006A5A3D"/>
    <w:rsid w:val="006A6DBA"/>
    <w:rsid w:val="006A6F53"/>
    <w:rsid w:val="006A72C2"/>
    <w:rsid w:val="006A79E7"/>
    <w:rsid w:val="006A7D4D"/>
    <w:rsid w:val="006B0776"/>
    <w:rsid w:val="006B0E41"/>
    <w:rsid w:val="006B2A77"/>
    <w:rsid w:val="006B3031"/>
    <w:rsid w:val="006B35BF"/>
    <w:rsid w:val="006B38D8"/>
    <w:rsid w:val="006B3C97"/>
    <w:rsid w:val="006B480B"/>
    <w:rsid w:val="006B5C71"/>
    <w:rsid w:val="006B6B32"/>
    <w:rsid w:val="006B7A2B"/>
    <w:rsid w:val="006B7F0E"/>
    <w:rsid w:val="006C0030"/>
    <w:rsid w:val="006C0065"/>
    <w:rsid w:val="006C0E2A"/>
    <w:rsid w:val="006C1E03"/>
    <w:rsid w:val="006C1E9E"/>
    <w:rsid w:val="006C22BD"/>
    <w:rsid w:val="006C36DD"/>
    <w:rsid w:val="006C38B6"/>
    <w:rsid w:val="006C46C5"/>
    <w:rsid w:val="006C4840"/>
    <w:rsid w:val="006C4A35"/>
    <w:rsid w:val="006C4B43"/>
    <w:rsid w:val="006C4BB6"/>
    <w:rsid w:val="006C6ABF"/>
    <w:rsid w:val="006C711F"/>
    <w:rsid w:val="006D0501"/>
    <w:rsid w:val="006D092A"/>
    <w:rsid w:val="006D0C65"/>
    <w:rsid w:val="006D0D07"/>
    <w:rsid w:val="006D19C3"/>
    <w:rsid w:val="006D36EC"/>
    <w:rsid w:val="006D3C3E"/>
    <w:rsid w:val="006D3D1E"/>
    <w:rsid w:val="006D3D4D"/>
    <w:rsid w:val="006D5092"/>
    <w:rsid w:val="006D6DC1"/>
    <w:rsid w:val="006D6F9A"/>
    <w:rsid w:val="006E046A"/>
    <w:rsid w:val="006E0F1D"/>
    <w:rsid w:val="006E18D9"/>
    <w:rsid w:val="006E2C8E"/>
    <w:rsid w:val="006E446F"/>
    <w:rsid w:val="006E51D9"/>
    <w:rsid w:val="006E6291"/>
    <w:rsid w:val="006E6354"/>
    <w:rsid w:val="006E635D"/>
    <w:rsid w:val="006E76BD"/>
    <w:rsid w:val="006F08A3"/>
    <w:rsid w:val="006F4B3D"/>
    <w:rsid w:val="006F545E"/>
    <w:rsid w:val="006F5544"/>
    <w:rsid w:val="006F60F1"/>
    <w:rsid w:val="006F68CB"/>
    <w:rsid w:val="006F7CE8"/>
    <w:rsid w:val="006F7D34"/>
    <w:rsid w:val="0070028F"/>
    <w:rsid w:val="00700864"/>
    <w:rsid w:val="00701353"/>
    <w:rsid w:val="00701E1A"/>
    <w:rsid w:val="007036BB"/>
    <w:rsid w:val="0070383E"/>
    <w:rsid w:val="00703D23"/>
    <w:rsid w:val="00704012"/>
    <w:rsid w:val="0070524C"/>
    <w:rsid w:val="00707661"/>
    <w:rsid w:val="00707CF3"/>
    <w:rsid w:val="00710619"/>
    <w:rsid w:val="007107BC"/>
    <w:rsid w:val="00710A89"/>
    <w:rsid w:val="007122C1"/>
    <w:rsid w:val="00712F39"/>
    <w:rsid w:val="00714666"/>
    <w:rsid w:val="007146BA"/>
    <w:rsid w:val="007148AF"/>
    <w:rsid w:val="00714EE6"/>
    <w:rsid w:val="00715F3D"/>
    <w:rsid w:val="0071603A"/>
    <w:rsid w:val="007162DA"/>
    <w:rsid w:val="00717529"/>
    <w:rsid w:val="00717904"/>
    <w:rsid w:val="00717AB1"/>
    <w:rsid w:val="00717C64"/>
    <w:rsid w:val="007200E3"/>
    <w:rsid w:val="007216F4"/>
    <w:rsid w:val="00721FA0"/>
    <w:rsid w:val="00723983"/>
    <w:rsid w:val="00723B51"/>
    <w:rsid w:val="00723D07"/>
    <w:rsid w:val="00724F55"/>
    <w:rsid w:val="00725377"/>
    <w:rsid w:val="00726F5F"/>
    <w:rsid w:val="00726FAE"/>
    <w:rsid w:val="0072742A"/>
    <w:rsid w:val="00727CC2"/>
    <w:rsid w:val="0073042E"/>
    <w:rsid w:val="00730599"/>
    <w:rsid w:val="00730E45"/>
    <w:rsid w:val="00731900"/>
    <w:rsid w:val="00731AD7"/>
    <w:rsid w:val="00732855"/>
    <w:rsid w:val="0073350F"/>
    <w:rsid w:val="00733558"/>
    <w:rsid w:val="00733774"/>
    <w:rsid w:val="007345C8"/>
    <w:rsid w:val="00734881"/>
    <w:rsid w:val="00735D8C"/>
    <w:rsid w:val="0073788F"/>
    <w:rsid w:val="00740C6B"/>
    <w:rsid w:val="00740CF1"/>
    <w:rsid w:val="00740E80"/>
    <w:rsid w:val="0074127E"/>
    <w:rsid w:val="00741375"/>
    <w:rsid w:val="007435CD"/>
    <w:rsid w:val="007436C3"/>
    <w:rsid w:val="0074517B"/>
    <w:rsid w:val="00745E33"/>
    <w:rsid w:val="0074710C"/>
    <w:rsid w:val="00751C0E"/>
    <w:rsid w:val="007525DD"/>
    <w:rsid w:val="00754E43"/>
    <w:rsid w:val="00755A07"/>
    <w:rsid w:val="007565A3"/>
    <w:rsid w:val="00756E19"/>
    <w:rsid w:val="007571E2"/>
    <w:rsid w:val="007578A1"/>
    <w:rsid w:val="00757A95"/>
    <w:rsid w:val="00760354"/>
    <w:rsid w:val="0076078B"/>
    <w:rsid w:val="00760E91"/>
    <w:rsid w:val="007611C6"/>
    <w:rsid w:val="0076137D"/>
    <w:rsid w:val="00761403"/>
    <w:rsid w:val="007615CA"/>
    <w:rsid w:val="0076256B"/>
    <w:rsid w:val="007625D6"/>
    <w:rsid w:val="00763270"/>
    <w:rsid w:val="007638FC"/>
    <w:rsid w:val="00764117"/>
    <w:rsid w:val="007642BC"/>
    <w:rsid w:val="00764B4E"/>
    <w:rsid w:val="00765BEF"/>
    <w:rsid w:val="00766A15"/>
    <w:rsid w:val="00772A2F"/>
    <w:rsid w:val="00773080"/>
    <w:rsid w:val="007731AD"/>
    <w:rsid w:val="007735AB"/>
    <w:rsid w:val="00773927"/>
    <w:rsid w:val="00773E4E"/>
    <w:rsid w:val="007749F1"/>
    <w:rsid w:val="00775A6B"/>
    <w:rsid w:val="00775C57"/>
    <w:rsid w:val="00775FFA"/>
    <w:rsid w:val="00776A7A"/>
    <w:rsid w:val="00777AC5"/>
    <w:rsid w:val="00780681"/>
    <w:rsid w:val="00780989"/>
    <w:rsid w:val="00780A14"/>
    <w:rsid w:val="00780B3D"/>
    <w:rsid w:val="007813E6"/>
    <w:rsid w:val="00781D6D"/>
    <w:rsid w:val="0078259F"/>
    <w:rsid w:val="00782872"/>
    <w:rsid w:val="00784287"/>
    <w:rsid w:val="00784479"/>
    <w:rsid w:val="00784868"/>
    <w:rsid w:val="007850CE"/>
    <w:rsid w:val="0078738B"/>
    <w:rsid w:val="00787C26"/>
    <w:rsid w:val="00791727"/>
    <w:rsid w:val="00791A39"/>
    <w:rsid w:val="00792322"/>
    <w:rsid w:val="0079416E"/>
    <w:rsid w:val="007956CD"/>
    <w:rsid w:val="007957E5"/>
    <w:rsid w:val="00796941"/>
    <w:rsid w:val="00796AAA"/>
    <w:rsid w:val="007970F4"/>
    <w:rsid w:val="0079736B"/>
    <w:rsid w:val="007A2814"/>
    <w:rsid w:val="007A4970"/>
    <w:rsid w:val="007A52F2"/>
    <w:rsid w:val="007A5456"/>
    <w:rsid w:val="007A576D"/>
    <w:rsid w:val="007A6185"/>
    <w:rsid w:val="007A7852"/>
    <w:rsid w:val="007A79CE"/>
    <w:rsid w:val="007A79DC"/>
    <w:rsid w:val="007A7B60"/>
    <w:rsid w:val="007B10B3"/>
    <w:rsid w:val="007B1D12"/>
    <w:rsid w:val="007B2487"/>
    <w:rsid w:val="007B2F17"/>
    <w:rsid w:val="007B4564"/>
    <w:rsid w:val="007B46B3"/>
    <w:rsid w:val="007B5CD8"/>
    <w:rsid w:val="007B602B"/>
    <w:rsid w:val="007B6D51"/>
    <w:rsid w:val="007C1692"/>
    <w:rsid w:val="007C1842"/>
    <w:rsid w:val="007C1B9A"/>
    <w:rsid w:val="007C1D29"/>
    <w:rsid w:val="007C1D2E"/>
    <w:rsid w:val="007C30F0"/>
    <w:rsid w:val="007C3DC9"/>
    <w:rsid w:val="007C3F3A"/>
    <w:rsid w:val="007C3F88"/>
    <w:rsid w:val="007C52CC"/>
    <w:rsid w:val="007C65A5"/>
    <w:rsid w:val="007C75FA"/>
    <w:rsid w:val="007D0586"/>
    <w:rsid w:val="007D1B1A"/>
    <w:rsid w:val="007D1D2B"/>
    <w:rsid w:val="007D30CD"/>
    <w:rsid w:val="007D33DE"/>
    <w:rsid w:val="007D3633"/>
    <w:rsid w:val="007D3BE7"/>
    <w:rsid w:val="007D4FEB"/>
    <w:rsid w:val="007D5FD1"/>
    <w:rsid w:val="007E08CF"/>
    <w:rsid w:val="007E0CD7"/>
    <w:rsid w:val="007E0E59"/>
    <w:rsid w:val="007E25FD"/>
    <w:rsid w:val="007E2946"/>
    <w:rsid w:val="007E2D97"/>
    <w:rsid w:val="007E2EBF"/>
    <w:rsid w:val="007E3198"/>
    <w:rsid w:val="007E4067"/>
    <w:rsid w:val="007E47E8"/>
    <w:rsid w:val="007E57A8"/>
    <w:rsid w:val="007E5D44"/>
    <w:rsid w:val="007E6386"/>
    <w:rsid w:val="007E66D0"/>
    <w:rsid w:val="007E6C7F"/>
    <w:rsid w:val="007E6D98"/>
    <w:rsid w:val="007E6DD9"/>
    <w:rsid w:val="007E7CA0"/>
    <w:rsid w:val="007F0732"/>
    <w:rsid w:val="007F0F8B"/>
    <w:rsid w:val="007F149E"/>
    <w:rsid w:val="007F3556"/>
    <w:rsid w:val="007F3FB2"/>
    <w:rsid w:val="007F4190"/>
    <w:rsid w:val="007F4E53"/>
    <w:rsid w:val="007F5084"/>
    <w:rsid w:val="007F5ABC"/>
    <w:rsid w:val="007F6E1A"/>
    <w:rsid w:val="00800121"/>
    <w:rsid w:val="008001DB"/>
    <w:rsid w:val="00800709"/>
    <w:rsid w:val="008014BF"/>
    <w:rsid w:val="008018D9"/>
    <w:rsid w:val="008020FB"/>
    <w:rsid w:val="00802BA1"/>
    <w:rsid w:val="00805690"/>
    <w:rsid w:val="00806335"/>
    <w:rsid w:val="00806D13"/>
    <w:rsid w:val="008105E2"/>
    <w:rsid w:val="008110DA"/>
    <w:rsid w:val="008126AF"/>
    <w:rsid w:val="008128CA"/>
    <w:rsid w:val="00813041"/>
    <w:rsid w:val="00813440"/>
    <w:rsid w:val="008143CC"/>
    <w:rsid w:val="00814DFF"/>
    <w:rsid w:val="00814FBB"/>
    <w:rsid w:val="00816065"/>
    <w:rsid w:val="00817336"/>
    <w:rsid w:val="00820165"/>
    <w:rsid w:val="00821493"/>
    <w:rsid w:val="00821817"/>
    <w:rsid w:val="00821996"/>
    <w:rsid w:val="00821D88"/>
    <w:rsid w:val="0082217F"/>
    <w:rsid w:val="00822733"/>
    <w:rsid w:val="008231DE"/>
    <w:rsid w:val="00823380"/>
    <w:rsid w:val="00823B45"/>
    <w:rsid w:val="008242CC"/>
    <w:rsid w:val="00825230"/>
    <w:rsid w:val="0082575B"/>
    <w:rsid w:val="00825A52"/>
    <w:rsid w:val="00826B87"/>
    <w:rsid w:val="00826FF3"/>
    <w:rsid w:val="00827991"/>
    <w:rsid w:val="00827EFD"/>
    <w:rsid w:val="0083003C"/>
    <w:rsid w:val="00831424"/>
    <w:rsid w:val="00831B8F"/>
    <w:rsid w:val="0083352A"/>
    <w:rsid w:val="00833D3C"/>
    <w:rsid w:val="00834061"/>
    <w:rsid w:val="008344E6"/>
    <w:rsid w:val="00836495"/>
    <w:rsid w:val="00837259"/>
    <w:rsid w:val="00837F52"/>
    <w:rsid w:val="0084221D"/>
    <w:rsid w:val="0084238B"/>
    <w:rsid w:val="008430A5"/>
    <w:rsid w:val="0084318E"/>
    <w:rsid w:val="0084496F"/>
    <w:rsid w:val="00845BB2"/>
    <w:rsid w:val="00850983"/>
    <w:rsid w:val="00851160"/>
    <w:rsid w:val="0085131F"/>
    <w:rsid w:val="0085171C"/>
    <w:rsid w:val="00852998"/>
    <w:rsid w:val="00853875"/>
    <w:rsid w:val="00854D36"/>
    <w:rsid w:val="008551A9"/>
    <w:rsid w:val="00856941"/>
    <w:rsid w:val="008572B7"/>
    <w:rsid w:val="008574E6"/>
    <w:rsid w:val="00857A7C"/>
    <w:rsid w:val="00861AF7"/>
    <w:rsid w:val="00861BF3"/>
    <w:rsid w:val="00861EAE"/>
    <w:rsid w:val="008627C0"/>
    <w:rsid w:val="00863DBB"/>
    <w:rsid w:val="00864864"/>
    <w:rsid w:val="0086546A"/>
    <w:rsid w:val="00865791"/>
    <w:rsid w:val="00866741"/>
    <w:rsid w:val="00866C73"/>
    <w:rsid w:val="008703F4"/>
    <w:rsid w:val="00870AB1"/>
    <w:rsid w:val="00870D4D"/>
    <w:rsid w:val="00872428"/>
    <w:rsid w:val="00873D57"/>
    <w:rsid w:val="00873E72"/>
    <w:rsid w:val="00874112"/>
    <w:rsid w:val="00875540"/>
    <w:rsid w:val="00875EA4"/>
    <w:rsid w:val="00876EDC"/>
    <w:rsid w:val="00876F25"/>
    <w:rsid w:val="008777DC"/>
    <w:rsid w:val="008778B5"/>
    <w:rsid w:val="00880558"/>
    <w:rsid w:val="00880BCE"/>
    <w:rsid w:val="008810AF"/>
    <w:rsid w:val="008811AB"/>
    <w:rsid w:val="00881537"/>
    <w:rsid w:val="008819E4"/>
    <w:rsid w:val="00881B20"/>
    <w:rsid w:val="008821E0"/>
    <w:rsid w:val="00882B4F"/>
    <w:rsid w:val="00883041"/>
    <w:rsid w:val="008830EF"/>
    <w:rsid w:val="00884773"/>
    <w:rsid w:val="008849F5"/>
    <w:rsid w:val="00884F77"/>
    <w:rsid w:val="00885077"/>
    <w:rsid w:val="00885612"/>
    <w:rsid w:val="008872BF"/>
    <w:rsid w:val="00892114"/>
    <w:rsid w:val="00892EA6"/>
    <w:rsid w:val="008933CF"/>
    <w:rsid w:val="00895362"/>
    <w:rsid w:val="008956FC"/>
    <w:rsid w:val="00896C75"/>
    <w:rsid w:val="00897FFA"/>
    <w:rsid w:val="008A1796"/>
    <w:rsid w:val="008A225D"/>
    <w:rsid w:val="008A27FE"/>
    <w:rsid w:val="008A41D7"/>
    <w:rsid w:val="008A4630"/>
    <w:rsid w:val="008A53D4"/>
    <w:rsid w:val="008A53E9"/>
    <w:rsid w:val="008A6A0E"/>
    <w:rsid w:val="008A7FA7"/>
    <w:rsid w:val="008B462E"/>
    <w:rsid w:val="008B5AE2"/>
    <w:rsid w:val="008B5B37"/>
    <w:rsid w:val="008B5B7E"/>
    <w:rsid w:val="008B5E4B"/>
    <w:rsid w:val="008B5F03"/>
    <w:rsid w:val="008B61DD"/>
    <w:rsid w:val="008C05BB"/>
    <w:rsid w:val="008C08AD"/>
    <w:rsid w:val="008C0DB1"/>
    <w:rsid w:val="008C10CD"/>
    <w:rsid w:val="008C1387"/>
    <w:rsid w:val="008C3327"/>
    <w:rsid w:val="008C35ED"/>
    <w:rsid w:val="008C35F7"/>
    <w:rsid w:val="008C38D4"/>
    <w:rsid w:val="008C47FB"/>
    <w:rsid w:val="008C510F"/>
    <w:rsid w:val="008C6CA6"/>
    <w:rsid w:val="008C7923"/>
    <w:rsid w:val="008D1374"/>
    <w:rsid w:val="008D47CF"/>
    <w:rsid w:val="008D5874"/>
    <w:rsid w:val="008D5B9A"/>
    <w:rsid w:val="008D5DE0"/>
    <w:rsid w:val="008D5FE6"/>
    <w:rsid w:val="008D6657"/>
    <w:rsid w:val="008D6D59"/>
    <w:rsid w:val="008D7639"/>
    <w:rsid w:val="008D7ADB"/>
    <w:rsid w:val="008E1EB6"/>
    <w:rsid w:val="008E1FA7"/>
    <w:rsid w:val="008E2BBA"/>
    <w:rsid w:val="008E2F11"/>
    <w:rsid w:val="008E3500"/>
    <w:rsid w:val="008E3F1A"/>
    <w:rsid w:val="008E429E"/>
    <w:rsid w:val="008E4D2E"/>
    <w:rsid w:val="008E52ED"/>
    <w:rsid w:val="008E5EA9"/>
    <w:rsid w:val="008E6A79"/>
    <w:rsid w:val="008E798A"/>
    <w:rsid w:val="008F1A98"/>
    <w:rsid w:val="008F258C"/>
    <w:rsid w:val="008F3BB8"/>
    <w:rsid w:val="008F3CDB"/>
    <w:rsid w:val="008F4513"/>
    <w:rsid w:val="008F45E9"/>
    <w:rsid w:val="008F47BA"/>
    <w:rsid w:val="008F4E1F"/>
    <w:rsid w:val="008F5B45"/>
    <w:rsid w:val="008F5D0A"/>
    <w:rsid w:val="008F6028"/>
    <w:rsid w:val="008F72BE"/>
    <w:rsid w:val="008F7573"/>
    <w:rsid w:val="00900532"/>
    <w:rsid w:val="009006DA"/>
    <w:rsid w:val="00900D4D"/>
    <w:rsid w:val="00901417"/>
    <w:rsid w:val="00901D29"/>
    <w:rsid w:val="00902B81"/>
    <w:rsid w:val="00903401"/>
    <w:rsid w:val="009046DF"/>
    <w:rsid w:val="00904D6D"/>
    <w:rsid w:val="00906481"/>
    <w:rsid w:val="00906E8A"/>
    <w:rsid w:val="009076D1"/>
    <w:rsid w:val="0091142C"/>
    <w:rsid w:val="00911A04"/>
    <w:rsid w:val="00911C81"/>
    <w:rsid w:val="009126E7"/>
    <w:rsid w:val="00912F4E"/>
    <w:rsid w:val="00913787"/>
    <w:rsid w:val="009141AF"/>
    <w:rsid w:val="00914562"/>
    <w:rsid w:val="00915E59"/>
    <w:rsid w:val="0091682D"/>
    <w:rsid w:val="009206E1"/>
    <w:rsid w:val="00920FAF"/>
    <w:rsid w:val="00921128"/>
    <w:rsid w:val="00921FDC"/>
    <w:rsid w:val="0092209A"/>
    <w:rsid w:val="00922370"/>
    <w:rsid w:val="0092373F"/>
    <w:rsid w:val="0092388A"/>
    <w:rsid w:val="00923BBB"/>
    <w:rsid w:val="00924017"/>
    <w:rsid w:val="00924837"/>
    <w:rsid w:val="00924CF9"/>
    <w:rsid w:val="009251C3"/>
    <w:rsid w:val="009252DC"/>
    <w:rsid w:val="00925A22"/>
    <w:rsid w:val="00925BE7"/>
    <w:rsid w:val="00926A17"/>
    <w:rsid w:val="00927D62"/>
    <w:rsid w:val="00930777"/>
    <w:rsid w:val="0093094E"/>
    <w:rsid w:val="00930FE7"/>
    <w:rsid w:val="00931825"/>
    <w:rsid w:val="00932192"/>
    <w:rsid w:val="00932E8F"/>
    <w:rsid w:val="00933000"/>
    <w:rsid w:val="009372C4"/>
    <w:rsid w:val="00937C8D"/>
    <w:rsid w:val="00940B6B"/>
    <w:rsid w:val="00941004"/>
    <w:rsid w:val="00941757"/>
    <w:rsid w:val="00943412"/>
    <w:rsid w:val="0094395C"/>
    <w:rsid w:val="00943B2E"/>
    <w:rsid w:val="00944BB7"/>
    <w:rsid w:val="0094536C"/>
    <w:rsid w:val="00945D11"/>
    <w:rsid w:val="00947156"/>
    <w:rsid w:val="009472D2"/>
    <w:rsid w:val="00947D98"/>
    <w:rsid w:val="009503E2"/>
    <w:rsid w:val="00950977"/>
    <w:rsid w:val="00954BBD"/>
    <w:rsid w:val="009557F9"/>
    <w:rsid w:val="0095649A"/>
    <w:rsid w:val="0095680F"/>
    <w:rsid w:val="0095767B"/>
    <w:rsid w:val="0095786A"/>
    <w:rsid w:val="0096002D"/>
    <w:rsid w:val="00960575"/>
    <w:rsid w:val="00960F67"/>
    <w:rsid w:val="009618A0"/>
    <w:rsid w:val="00961CD2"/>
    <w:rsid w:val="00962324"/>
    <w:rsid w:val="0096287B"/>
    <w:rsid w:val="00962B76"/>
    <w:rsid w:val="00963241"/>
    <w:rsid w:val="00963BC1"/>
    <w:rsid w:val="0096434E"/>
    <w:rsid w:val="009644FA"/>
    <w:rsid w:val="009668BF"/>
    <w:rsid w:val="0097061F"/>
    <w:rsid w:val="00970EF7"/>
    <w:rsid w:val="00971B89"/>
    <w:rsid w:val="00972C02"/>
    <w:rsid w:val="00972C70"/>
    <w:rsid w:val="00973431"/>
    <w:rsid w:val="00973936"/>
    <w:rsid w:val="00974224"/>
    <w:rsid w:val="00974AA0"/>
    <w:rsid w:val="00974C1B"/>
    <w:rsid w:val="00974F8D"/>
    <w:rsid w:val="00974FF1"/>
    <w:rsid w:val="00975A64"/>
    <w:rsid w:val="00975D34"/>
    <w:rsid w:val="009767D3"/>
    <w:rsid w:val="00976F1D"/>
    <w:rsid w:val="00980B23"/>
    <w:rsid w:val="009819FB"/>
    <w:rsid w:val="00982BF2"/>
    <w:rsid w:val="00984289"/>
    <w:rsid w:val="009844D1"/>
    <w:rsid w:val="009856F4"/>
    <w:rsid w:val="00985B6C"/>
    <w:rsid w:val="00985C91"/>
    <w:rsid w:val="00985CEF"/>
    <w:rsid w:val="00986B7B"/>
    <w:rsid w:val="00986F27"/>
    <w:rsid w:val="00987873"/>
    <w:rsid w:val="00987C2D"/>
    <w:rsid w:val="00990BF2"/>
    <w:rsid w:val="0099273F"/>
    <w:rsid w:val="00992E31"/>
    <w:rsid w:val="00993459"/>
    <w:rsid w:val="00994D59"/>
    <w:rsid w:val="009958C2"/>
    <w:rsid w:val="00996736"/>
    <w:rsid w:val="00996D44"/>
    <w:rsid w:val="009A04CA"/>
    <w:rsid w:val="009A0B55"/>
    <w:rsid w:val="009A21FD"/>
    <w:rsid w:val="009A2AED"/>
    <w:rsid w:val="009A2F21"/>
    <w:rsid w:val="009A4368"/>
    <w:rsid w:val="009A4694"/>
    <w:rsid w:val="009A53CC"/>
    <w:rsid w:val="009A5A2E"/>
    <w:rsid w:val="009A7001"/>
    <w:rsid w:val="009A70D0"/>
    <w:rsid w:val="009A7766"/>
    <w:rsid w:val="009A7DA5"/>
    <w:rsid w:val="009B01D4"/>
    <w:rsid w:val="009B0C22"/>
    <w:rsid w:val="009B21D3"/>
    <w:rsid w:val="009B2B08"/>
    <w:rsid w:val="009B2B72"/>
    <w:rsid w:val="009B31B0"/>
    <w:rsid w:val="009B36E8"/>
    <w:rsid w:val="009B389D"/>
    <w:rsid w:val="009B40EB"/>
    <w:rsid w:val="009B68A4"/>
    <w:rsid w:val="009B7253"/>
    <w:rsid w:val="009B7C86"/>
    <w:rsid w:val="009C2AC5"/>
    <w:rsid w:val="009C2E28"/>
    <w:rsid w:val="009C32ED"/>
    <w:rsid w:val="009C4685"/>
    <w:rsid w:val="009C61D1"/>
    <w:rsid w:val="009C78A3"/>
    <w:rsid w:val="009D0092"/>
    <w:rsid w:val="009D3969"/>
    <w:rsid w:val="009D404E"/>
    <w:rsid w:val="009D4471"/>
    <w:rsid w:val="009D4F53"/>
    <w:rsid w:val="009D56E7"/>
    <w:rsid w:val="009D6060"/>
    <w:rsid w:val="009D688B"/>
    <w:rsid w:val="009D6BF2"/>
    <w:rsid w:val="009D6CB0"/>
    <w:rsid w:val="009D71B2"/>
    <w:rsid w:val="009D76CA"/>
    <w:rsid w:val="009D7905"/>
    <w:rsid w:val="009E03BE"/>
    <w:rsid w:val="009E07BB"/>
    <w:rsid w:val="009E0F69"/>
    <w:rsid w:val="009E23E7"/>
    <w:rsid w:val="009E4824"/>
    <w:rsid w:val="009E5C7B"/>
    <w:rsid w:val="009E67C9"/>
    <w:rsid w:val="009E68BB"/>
    <w:rsid w:val="009E6DE8"/>
    <w:rsid w:val="009E7368"/>
    <w:rsid w:val="009E7AB9"/>
    <w:rsid w:val="009E7C1A"/>
    <w:rsid w:val="009F045F"/>
    <w:rsid w:val="009F05C5"/>
    <w:rsid w:val="009F10EE"/>
    <w:rsid w:val="009F2C77"/>
    <w:rsid w:val="009F2F09"/>
    <w:rsid w:val="009F4224"/>
    <w:rsid w:val="009F4A72"/>
    <w:rsid w:val="009F4C1E"/>
    <w:rsid w:val="009F4FB6"/>
    <w:rsid w:val="009F5264"/>
    <w:rsid w:val="009F5327"/>
    <w:rsid w:val="009F6DDF"/>
    <w:rsid w:val="00A00A9C"/>
    <w:rsid w:val="00A01121"/>
    <w:rsid w:val="00A0154C"/>
    <w:rsid w:val="00A0163F"/>
    <w:rsid w:val="00A0400A"/>
    <w:rsid w:val="00A057B6"/>
    <w:rsid w:val="00A05A22"/>
    <w:rsid w:val="00A05F81"/>
    <w:rsid w:val="00A068A7"/>
    <w:rsid w:val="00A06A40"/>
    <w:rsid w:val="00A077F2"/>
    <w:rsid w:val="00A12D37"/>
    <w:rsid w:val="00A12E86"/>
    <w:rsid w:val="00A1376F"/>
    <w:rsid w:val="00A14631"/>
    <w:rsid w:val="00A16415"/>
    <w:rsid w:val="00A16AE4"/>
    <w:rsid w:val="00A16CDC"/>
    <w:rsid w:val="00A2056F"/>
    <w:rsid w:val="00A209AB"/>
    <w:rsid w:val="00A21090"/>
    <w:rsid w:val="00A216BE"/>
    <w:rsid w:val="00A22363"/>
    <w:rsid w:val="00A22541"/>
    <w:rsid w:val="00A2310F"/>
    <w:rsid w:val="00A23E4A"/>
    <w:rsid w:val="00A24090"/>
    <w:rsid w:val="00A2413D"/>
    <w:rsid w:val="00A2456E"/>
    <w:rsid w:val="00A2642A"/>
    <w:rsid w:val="00A26AD5"/>
    <w:rsid w:val="00A27B1B"/>
    <w:rsid w:val="00A303BD"/>
    <w:rsid w:val="00A30487"/>
    <w:rsid w:val="00A304D6"/>
    <w:rsid w:val="00A30548"/>
    <w:rsid w:val="00A3093A"/>
    <w:rsid w:val="00A30F05"/>
    <w:rsid w:val="00A32B62"/>
    <w:rsid w:val="00A33E33"/>
    <w:rsid w:val="00A33F35"/>
    <w:rsid w:val="00A346B8"/>
    <w:rsid w:val="00A35AEA"/>
    <w:rsid w:val="00A35EDE"/>
    <w:rsid w:val="00A36CA9"/>
    <w:rsid w:val="00A37D34"/>
    <w:rsid w:val="00A40AE4"/>
    <w:rsid w:val="00A41289"/>
    <w:rsid w:val="00A413B0"/>
    <w:rsid w:val="00A42F43"/>
    <w:rsid w:val="00A42FC1"/>
    <w:rsid w:val="00A439F3"/>
    <w:rsid w:val="00A43A6C"/>
    <w:rsid w:val="00A4411D"/>
    <w:rsid w:val="00A44704"/>
    <w:rsid w:val="00A478DC"/>
    <w:rsid w:val="00A50303"/>
    <w:rsid w:val="00A50C55"/>
    <w:rsid w:val="00A50FBD"/>
    <w:rsid w:val="00A51FCA"/>
    <w:rsid w:val="00A52599"/>
    <w:rsid w:val="00A52A04"/>
    <w:rsid w:val="00A53412"/>
    <w:rsid w:val="00A54D57"/>
    <w:rsid w:val="00A54D62"/>
    <w:rsid w:val="00A569E3"/>
    <w:rsid w:val="00A6076B"/>
    <w:rsid w:val="00A609D9"/>
    <w:rsid w:val="00A60B19"/>
    <w:rsid w:val="00A611F0"/>
    <w:rsid w:val="00A6292D"/>
    <w:rsid w:val="00A639AD"/>
    <w:rsid w:val="00A646E9"/>
    <w:rsid w:val="00A6486D"/>
    <w:rsid w:val="00A648C5"/>
    <w:rsid w:val="00A6513C"/>
    <w:rsid w:val="00A657DB"/>
    <w:rsid w:val="00A6631B"/>
    <w:rsid w:val="00A66517"/>
    <w:rsid w:val="00A667E6"/>
    <w:rsid w:val="00A668D6"/>
    <w:rsid w:val="00A67D87"/>
    <w:rsid w:val="00A70000"/>
    <w:rsid w:val="00A7111B"/>
    <w:rsid w:val="00A716DD"/>
    <w:rsid w:val="00A72F8E"/>
    <w:rsid w:val="00A745EB"/>
    <w:rsid w:val="00A749A9"/>
    <w:rsid w:val="00A751DD"/>
    <w:rsid w:val="00A7574F"/>
    <w:rsid w:val="00A75F0C"/>
    <w:rsid w:val="00A77F37"/>
    <w:rsid w:val="00A80A89"/>
    <w:rsid w:val="00A80F0C"/>
    <w:rsid w:val="00A811DF"/>
    <w:rsid w:val="00A811F9"/>
    <w:rsid w:val="00A832EE"/>
    <w:rsid w:val="00A840CE"/>
    <w:rsid w:val="00A851B4"/>
    <w:rsid w:val="00A85BE5"/>
    <w:rsid w:val="00A86979"/>
    <w:rsid w:val="00A86DFB"/>
    <w:rsid w:val="00A87799"/>
    <w:rsid w:val="00A87D0B"/>
    <w:rsid w:val="00A90E78"/>
    <w:rsid w:val="00A91F7E"/>
    <w:rsid w:val="00A93200"/>
    <w:rsid w:val="00A9330B"/>
    <w:rsid w:val="00A93A56"/>
    <w:rsid w:val="00A940EB"/>
    <w:rsid w:val="00A948BA"/>
    <w:rsid w:val="00A95E95"/>
    <w:rsid w:val="00A971B5"/>
    <w:rsid w:val="00AA18B0"/>
    <w:rsid w:val="00AA227B"/>
    <w:rsid w:val="00AA318C"/>
    <w:rsid w:val="00AA378D"/>
    <w:rsid w:val="00AA5171"/>
    <w:rsid w:val="00AA5316"/>
    <w:rsid w:val="00AA532F"/>
    <w:rsid w:val="00AA57B4"/>
    <w:rsid w:val="00AA5F66"/>
    <w:rsid w:val="00AA638C"/>
    <w:rsid w:val="00AA733B"/>
    <w:rsid w:val="00AA7372"/>
    <w:rsid w:val="00AB134E"/>
    <w:rsid w:val="00AB1F96"/>
    <w:rsid w:val="00AB307D"/>
    <w:rsid w:val="00AB33E4"/>
    <w:rsid w:val="00AB34C4"/>
    <w:rsid w:val="00AB418A"/>
    <w:rsid w:val="00AB49D2"/>
    <w:rsid w:val="00AB49D8"/>
    <w:rsid w:val="00AB52AD"/>
    <w:rsid w:val="00AB553D"/>
    <w:rsid w:val="00AB5AFC"/>
    <w:rsid w:val="00AB5B22"/>
    <w:rsid w:val="00AB798C"/>
    <w:rsid w:val="00AC271A"/>
    <w:rsid w:val="00AC28CD"/>
    <w:rsid w:val="00AC2942"/>
    <w:rsid w:val="00AC2C70"/>
    <w:rsid w:val="00AC3A2F"/>
    <w:rsid w:val="00AC41E0"/>
    <w:rsid w:val="00AC5626"/>
    <w:rsid w:val="00AC59DD"/>
    <w:rsid w:val="00AC6146"/>
    <w:rsid w:val="00AC64A5"/>
    <w:rsid w:val="00AC6552"/>
    <w:rsid w:val="00AC7170"/>
    <w:rsid w:val="00AD16B0"/>
    <w:rsid w:val="00AD2964"/>
    <w:rsid w:val="00AD365B"/>
    <w:rsid w:val="00AD4E79"/>
    <w:rsid w:val="00AD59C1"/>
    <w:rsid w:val="00AD5C3C"/>
    <w:rsid w:val="00AD5E12"/>
    <w:rsid w:val="00AD68B7"/>
    <w:rsid w:val="00AD78AA"/>
    <w:rsid w:val="00AD7CAC"/>
    <w:rsid w:val="00AE0778"/>
    <w:rsid w:val="00AE1E35"/>
    <w:rsid w:val="00AE270B"/>
    <w:rsid w:val="00AE3EB7"/>
    <w:rsid w:val="00AE41A6"/>
    <w:rsid w:val="00AE4A22"/>
    <w:rsid w:val="00AE4D35"/>
    <w:rsid w:val="00AE5DAC"/>
    <w:rsid w:val="00AE5E8A"/>
    <w:rsid w:val="00AE6117"/>
    <w:rsid w:val="00AE64FD"/>
    <w:rsid w:val="00AE6EEE"/>
    <w:rsid w:val="00AE6F06"/>
    <w:rsid w:val="00AE7CA6"/>
    <w:rsid w:val="00AF00DF"/>
    <w:rsid w:val="00AF04CD"/>
    <w:rsid w:val="00AF090C"/>
    <w:rsid w:val="00AF0A2F"/>
    <w:rsid w:val="00AF102C"/>
    <w:rsid w:val="00AF14BE"/>
    <w:rsid w:val="00AF1DAD"/>
    <w:rsid w:val="00AF217C"/>
    <w:rsid w:val="00AF33DF"/>
    <w:rsid w:val="00AF3651"/>
    <w:rsid w:val="00AF4AE7"/>
    <w:rsid w:val="00AF4F8F"/>
    <w:rsid w:val="00AF6572"/>
    <w:rsid w:val="00AF6D71"/>
    <w:rsid w:val="00AF7C9C"/>
    <w:rsid w:val="00AF7E86"/>
    <w:rsid w:val="00B00082"/>
    <w:rsid w:val="00B01257"/>
    <w:rsid w:val="00B013B6"/>
    <w:rsid w:val="00B02243"/>
    <w:rsid w:val="00B02828"/>
    <w:rsid w:val="00B05B01"/>
    <w:rsid w:val="00B1002E"/>
    <w:rsid w:val="00B11AF5"/>
    <w:rsid w:val="00B12ED2"/>
    <w:rsid w:val="00B13EEE"/>
    <w:rsid w:val="00B14316"/>
    <w:rsid w:val="00B146B1"/>
    <w:rsid w:val="00B16FC3"/>
    <w:rsid w:val="00B17010"/>
    <w:rsid w:val="00B171D4"/>
    <w:rsid w:val="00B17DC6"/>
    <w:rsid w:val="00B2067B"/>
    <w:rsid w:val="00B22DAB"/>
    <w:rsid w:val="00B241CE"/>
    <w:rsid w:val="00B247A1"/>
    <w:rsid w:val="00B24ABA"/>
    <w:rsid w:val="00B25DBD"/>
    <w:rsid w:val="00B30DF3"/>
    <w:rsid w:val="00B322F1"/>
    <w:rsid w:val="00B325FE"/>
    <w:rsid w:val="00B329DF"/>
    <w:rsid w:val="00B34A2B"/>
    <w:rsid w:val="00B36BD5"/>
    <w:rsid w:val="00B376D8"/>
    <w:rsid w:val="00B37FEA"/>
    <w:rsid w:val="00B403E7"/>
    <w:rsid w:val="00B4064C"/>
    <w:rsid w:val="00B41A27"/>
    <w:rsid w:val="00B41B2B"/>
    <w:rsid w:val="00B4269C"/>
    <w:rsid w:val="00B426ED"/>
    <w:rsid w:val="00B42E0C"/>
    <w:rsid w:val="00B43155"/>
    <w:rsid w:val="00B43AC9"/>
    <w:rsid w:val="00B45EB0"/>
    <w:rsid w:val="00B47827"/>
    <w:rsid w:val="00B47FE1"/>
    <w:rsid w:val="00B506FA"/>
    <w:rsid w:val="00B50AC8"/>
    <w:rsid w:val="00B50E02"/>
    <w:rsid w:val="00B50FCF"/>
    <w:rsid w:val="00B513DC"/>
    <w:rsid w:val="00B5321B"/>
    <w:rsid w:val="00B537AD"/>
    <w:rsid w:val="00B53A70"/>
    <w:rsid w:val="00B54449"/>
    <w:rsid w:val="00B547AF"/>
    <w:rsid w:val="00B54A22"/>
    <w:rsid w:val="00B54A4C"/>
    <w:rsid w:val="00B56365"/>
    <w:rsid w:val="00B60612"/>
    <w:rsid w:val="00B60990"/>
    <w:rsid w:val="00B60A62"/>
    <w:rsid w:val="00B61510"/>
    <w:rsid w:val="00B6287E"/>
    <w:rsid w:val="00B629FE"/>
    <w:rsid w:val="00B637B2"/>
    <w:rsid w:val="00B643CE"/>
    <w:rsid w:val="00B64E46"/>
    <w:rsid w:val="00B65134"/>
    <w:rsid w:val="00B659B6"/>
    <w:rsid w:val="00B65BC4"/>
    <w:rsid w:val="00B65BEE"/>
    <w:rsid w:val="00B70AEE"/>
    <w:rsid w:val="00B71271"/>
    <w:rsid w:val="00B7160F"/>
    <w:rsid w:val="00B71974"/>
    <w:rsid w:val="00B7199B"/>
    <w:rsid w:val="00B71ADF"/>
    <w:rsid w:val="00B72410"/>
    <w:rsid w:val="00B72691"/>
    <w:rsid w:val="00B7298A"/>
    <w:rsid w:val="00B73110"/>
    <w:rsid w:val="00B73175"/>
    <w:rsid w:val="00B731F9"/>
    <w:rsid w:val="00B73EBE"/>
    <w:rsid w:val="00B74D89"/>
    <w:rsid w:val="00B7501C"/>
    <w:rsid w:val="00B75968"/>
    <w:rsid w:val="00B75FEF"/>
    <w:rsid w:val="00B7645B"/>
    <w:rsid w:val="00B76530"/>
    <w:rsid w:val="00B76B70"/>
    <w:rsid w:val="00B76F36"/>
    <w:rsid w:val="00B77134"/>
    <w:rsid w:val="00B77956"/>
    <w:rsid w:val="00B77A65"/>
    <w:rsid w:val="00B77EF4"/>
    <w:rsid w:val="00B80C49"/>
    <w:rsid w:val="00B8164A"/>
    <w:rsid w:val="00B81F23"/>
    <w:rsid w:val="00B82A3A"/>
    <w:rsid w:val="00B83312"/>
    <w:rsid w:val="00B860F5"/>
    <w:rsid w:val="00B865C1"/>
    <w:rsid w:val="00B87355"/>
    <w:rsid w:val="00B9022F"/>
    <w:rsid w:val="00B90A19"/>
    <w:rsid w:val="00B92ADE"/>
    <w:rsid w:val="00B931B4"/>
    <w:rsid w:val="00B93657"/>
    <w:rsid w:val="00B936D7"/>
    <w:rsid w:val="00B93D92"/>
    <w:rsid w:val="00B9485C"/>
    <w:rsid w:val="00B94C21"/>
    <w:rsid w:val="00B94E2B"/>
    <w:rsid w:val="00B95395"/>
    <w:rsid w:val="00B955A3"/>
    <w:rsid w:val="00B957AD"/>
    <w:rsid w:val="00B957D6"/>
    <w:rsid w:val="00B96869"/>
    <w:rsid w:val="00B96A8D"/>
    <w:rsid w:val="00BA0947"/>
    <w:rsid w:val="00BA12F8"/>
    <w:rsid w:val="00BA1951"/>
    <w:rsid w:val="00BA1B51"/>
    <w:rsid w:val="00BA1D16"/>
    <w:rsid w:val="00BA20DE"/>
    <w:rsid w:val="00BA2F90"/>
    <w:rsid w:val="00BA33B5"/>
    <w:rsid w:val="00BA3C42"/>
    <w:rsid w:val="00BA445F"/>
    <w:rsid w:val="00BA490C"/>
    <w:rsid w:val="00BA5469"/>
    <w:rsid w:val="00BA657A"/>
    <w:rsid w:val="00BA6C34"/>
    <w:rsid w:val="00BA6C54"/>
    <w:rsid w:val="00BB099C"/>
    <w:rsid w:val="00BB0BF4"/>
    <w:rsid w:val="00BB0DF4"/>
    <w:rsid w:val="00BB1092"/>
    <w:rsid w:val="00BB34AA"/>
    <w:rsid w:val="00BB3938"/>
    <w:rsid w:val="00BB3CFF"/>
    <w:rsid w:val="00BB4CCD"/>
    <w:rsid w:val="00BB5951"/>
    <w:rsid w:val="00BB5C83"/>
    <w:rsid w:val="00BB643C"/>
    <w:rsid w:val="00BB692E"/>
    <w:rsid w:val="00BB77F2"/>
    <w:rsid w:val="00BB7FF3"/>
    <w:rsid w:val="00BC09E8"/>
    <w:rsid w:val="00BC499A"/>
    <w:rsid w:val="00BC504A"/>
    <w:rsid w:val="00BC528E"/>
    <w:rsid w:val="00BC6491"/>
    <w:rsid w:val="00BC717E"/>
    <w:rsid w:val="00BC73D6"/>
    <w:rsid w:val="00BD0DFC"/>
    <w:rsid w:val="00BD1CB7"/>
    <w:rsid w:val="00BD27E4"/>
    <w:rsid w:val="00BD3A19"/>
    <w:rsid w:val="00BD40BD"/>
    <w:rsid w:val="00BD4B00"/>
    <w:rsid w:val="00BD4B7D"/>
    <w:rsid w:val="00BD4DFE"/>
    <w:rsid w:val="00BD593F"/>
    <w:rsid w:val="00BD6706"/>
    <w:rsid w:val="00BD7212"/>
    <w:rsid w:val="00BE0D08"/>
    <w:rsid w:val="00BE1170"/>
    <w:rsid w:val="00BE3CB8"/>
    <w:rsid w:val="00BE4D13"/>
    <w:rsid w:val="00BE630D"/>
    <w:rsid w:val="00BE7E23"/>
    <w:rsid w:val="00BE7ED8"/>
    <w:rsid w:val="00BF01BD"/>
    <w:rsid w:val="00BF13D7"/>
    <w:rsid w:val="00BF36F6"/>
    <w:rsid w:val="00BF45E6"/>
    <w:rsid w:val="00BF4D87"/>
    <w:rsid w:val="00BF5083"/>
    <w:rsid w:val="00BF5665"/>
    <w:rsid w:val="00BF602E"/>
    <w:rsid w:val="00BF6289"/>
    <w:rsid w:val="00BF7FF0"/>
    <w:rsid w:val="00C005EE"/>
    <w:rsid w:val="00C0249C"/>
    <w:rsid w:val="00C02B19"/>
    <w:rsid w:val="00C07979"/>
    <w:rsid w:val="00C103FB"/>
    <w:rsid w:val="00C10F2B"/>
    <w:rsid w:val="00C113C9"/>
    <w:rsid w:val="00C13127"/>
    <w:rsid w:val="00C1570C"/>
    <w:rsid w:val="00C177A8"/>
    <w:rsid w:val="00C177D6"/>
    <w:rsid w:val="00C2177F"/>
    <w:rsid w:val="00C21E15"/>
    <w:rsid w:val="00C22361"/>
    <w:rsid w:val="00C23DE8"/>
    <w:rsid w:val="00C2419C"/>
    <w:rsid w:val="00C25CCF"/>
    <w:rsid w:val="00C26469"/>
    <w:rsid w:val="00C26D89"/>
    <w:rsid w:val="00C27318"/>
    <w:rsid w:val="00C27BD3"/>
    <w:rsid w:val="00C31525"/>
    <w:rsid w:val="00C31833"/>
    <w:rsid w:val="00C31A99"/>
    <w:rsid w:val="00C32F47"/>
    <w:rsid w:val="00C33018"/>
    <w:rsid w:val="00C337A8"/>
    <w:rsid w:val="00C33B4D"/>
    <w:rsid w:val="00C33FF8"/>
    <w:rsid w:val="00C348AD"/>
    <w:rsid w:val="00C3561B"/>
    <w:rsid w:val="00C357C2"/>
    <w:rsid w:val="00C35A49"/>
    <w:rsid w:val="00C35E84"/>
    <w:rsid w:val="00C36A8A"/>
    <w:rsid w:val="00C36AF1"/>
    <w:rsid w:val="00C36C36"/>
    <w:rsid w:val="00C37458"/>
    <w:rsid w:val="00C37AF7"/>
    <w:rsid w:val="00C41B12"/>
    <w:rsid w:val="00C4326D"/>
    <w:rsid w:val="00C4507F"/>
    <w:rsid w:val="00C45E29"/>
    <w:rsid w:val="00C46494"/>
    <w:rsid w:val="00C478FD"/>
    <w:rsid w:val="00C53386"/>
    <w:rsid w:val="00C54E0A"/>
    <w:rsid w:val="00C55306"/>
    <w:rsid w:val="00C556C9"/>
    <w:rsid w:val="00C55A5F"/>
    <w:rsid w:val="00C55ED6"/>
    <w:rsid w:val="00C56564"/>
    <w:rsid w:val="00C60751"/>
    <w:rsid w:val="00C6158C"/>
    <w:rsid w:val="00C617E5"/>
    <w:rsid w:val="00C61E75"/>
    <w:rsid w:val="00C629D7"/>
    <w:rsid w:val="00C62B2D"/>
    <w:rsid w:val="00C62B77"/>
    <w:rsid w:val="00C63DB3"/>
    <w:rsid w:val="00C667E4"/>
    <w:rsid w:val="00C678C9"/>
    <w:rsid w:val="00C70D9D"/>
    <w:rsid w:val="00C73E07"/>
    <w:rsid w:val="00C74481"/>
    <w:rsid w:val="00C75B79"/>
    <w:rsid w:val="00C75DB4"/>
    <w:rsid w:val="00C76A9C"/>
    <w:rsid w:val="00C77054"/>
    <w:rsid w:val="00C7799D"/>
    <w:rsid w:val="00C80418"/>
    <w:rsid w:val="00C80492"/>
    <w:rsid w:val="00C804DA"/>
    <w:rsid w:val="00C81377"/>
    <w:rsid w:val="00C81C96"/>
    <w:rsid w:val="00C82907"/>
    <w:rsid w:val="00C83BF4"/>
    <w:rsid w:val="00C83D4E"/>
    <w:rsid w:val="00C849B1"/>
    <w:rsid w:val="00C85557"/>
    <w:rsid w:val="00C868FD"/>
    <w:rsid w:val="00C86EE3"/>
    <w:rsid w:val="00C870E5"/>
    <w:rsid w:val="00C8734B"/>
    <w:rsid w:val="00C87E72"/>
    <w:rsid w:val="00C9021F"/>
    <w:rsid w:val="00C9028D"/>
    <w:rsid w:val="00C906FE"/>
    <w:rsid w:val="00C93C35"/>
    <w:rsid w:val="00C93FA8"/>
    <w:rsid w:val="00C943D8"/>
    <w:rsid w:val="00CA120B"/>
    <w:rsid w:val="00CA1C6D"/>
    <w:rsid w:val="00CA2801"/>
    <w:rsid w:val="00CA2F82"/>
    <w:rsid w:val="00CA41BF"/>
    <w:rsid w:val="00CA50EB"/>
    <w:rsid w:val="00CA539C"/>
    <w:rsid w:val="00CA66DD"/>
    <w:rsid w:val="00CB0ED6"/>
    <w:rsid w:val="00CB22FF"/>
    <w:rsid w:val="00CB2A1E"/>
    <w:rsid w:val="00CB455D"/>
    <w:rsid w:val="00CB4647"/>
    <w:rsid w:val="00CB5FDB"/>
    <w:rsid w:val="00CB686E"/>
    <w:rsid w:val="00CB768E"/>
    <w:rsid w:val="00CC0833"/>
    <w:rsid w:val="00CC0D6C"/>
    <w:rsid w:val="00CC156E"/>
    <w:rsid w:val="00CC2AA4"/>
    <w:rsid w:val="00CC3489"/>
    <w:rsid w:val="00CC4A4B"/>
    <w:rsid w:val="00CC5199"/>
    <w:rsid w:val="00CC546F"/>
    <w:rsid w:val="00CC7648"/>
    <w:rsid w:val="00CC77FF"/>
    <w:rsid w:val="00CD0059"/>
    <w:rsid w:val="00CD06DC"/>
    <w:rsid w:val="00CD0999"/>
    <w:rsid w:val="00CD32A7"/>
    <w:rsid w:val="00CD64E8"/>
    <w:rsid w:val="00CD7185"/>
    <w:rsid w:val="00CD72D4"/>
    <w:rsid w:val="00CE0BD5"/>
    <w:rsid w:val="00CE2033"/>
    <w:rsid w:val="00CE289B"/>
    <w:rsid w:val="00CE30CD"/>
    <w:rsid w:val="00CE3D7F"/>
    <w:rsid w:val="00CE4926"/>
    <w:rsid w:val="00CE600E"/>
    <w:rsid w:val="00CE62D8"/>
    <w:rsid w:val="00CF06A5"/>
    <w:rsid w:val="00CF09B7"/>
    <w:rsid w:val="00CF137D"/>
    <w:rsid w:val="00CF34DA"/>
    <w:rsid w:val="00CF4A60"/>
    <w:rsid w:val="00CF4DEF"/>
    <w:rsid w:val="00CF5793"/>
    <w:rsid w:val="00CF5C27"/>
    <w:rsid w:val="00CF63D3"/>
    <w:rsid w:val="00CF663B"/>
    <w:rsid w:val="00CF7CD2"/>
    <w:rsid w:val="00D00008"/>
    <w:rsid w:val="00D014BA"/>
    <w:rsid w:val="00D01E21"/>
    <w:rsid w:val="00D02EC1"/>
    <w:rsid w:val="00D032B6"/>
    <w:rsid w:val="00D047ED"/>
    <w:rsid w:val="00D0543F"/>
    <w:rsid w:val="00D05892"/>
    <w:rsid w:val="00D0685A"/>
    <w:rsid w:val="00D06DE1"/>
    <w:rsid w:val="00D078C7"/>
    <w:rsid w:val="00D10971"/>
    <w:rsid w:val="00D11686"/>
    <w:rsid w:val="00D11AFF"/>
    <w:rsid w:val="00D1225E"/>
    <w:rsid w:val="00D132FF"/>
    <w:rsid w:val="00D13CF3"/>
    <w:rsid w:val="00D1493A"/>
    <w:rsid w:val="00D16971"/>
    <w:rsid w:val="00D16FFF"/>
    <w:rsid w:val="00D17609"/>
    <w:rsid w:val="00D17C5B"/>
    <w:rsid w:val="00D17E28"/>
    <w:rsid w:val="00D20234"/>
    <w:rsid w:val="00D20737"/>
    <w:rsid w:val="00D208D0"/>
    <w:rsid w:val="00D20EAE"/>
    <w:rsid w:val="00D212D5"/>
    <w:rsid w:val="00D230D8"/>
    <w:rsid w:val="00D24024"/>
    <w:rsid w:val="00D24B24"/>
    <w:rsid w:val="00D24EB0"/>
    <w:rsid w:val="00D25987"/>
    <w:rsid w:val="00D26723"/>
    <w:rsid w:val="00D30424"/>
    <w:rsid w:val="00D32CD2"/>
    <w:rsid w:val="00D335D2"/>
    <w:rsid w:val="00D33A32"/>
    <w:rsid w:val="00D33E37"/>
    <w:rsid w:val="00D350E6"/>
    <w:rsid w:val="00D35D35"/>
    <w:rsid w:val="00D36847"/>
    <w:rsid w:val="00D3727B"/>
    <w:rsid w:val="00D37307"/>
    <w:rsid w:val="00D40219"/>
    <w:rsid w:val="00D40FB9"/>
    <w:rsid w:val="00D435BA"/>
    <w:rsid w:val="00D436A8"/>
    <w:rsid w:val="00D436D1"/>
    <w:rsid w:val="00D459D6"/>
    <w:rsid w:val="00D46397"/>
    <w:rsid w:val="00D463F7"/>
    <w:rsid w:val="00D46C32"/>
    <w:rsid w:val="00D471AE"/>
    <w:rsid w:val="00D47A73"/>
    <w:rsid w:val="00D50D40"/>
    <w:rsid w:val="00D520FD"/>
    <w:rsid w:val="00D52EC6"/>
    <w:rsid w:val="00D53C02"/>
    <w:rsid w:val="00D53E54"/>
    <w:rsid w:val="00D541C1"/>
    <w:rsid w:val="00D54728"/>
    <w:rsid w:val="00D55736"/>
    <w:rsid w:val="00D55C57"/>
    <w:rsid w:val="00D56DF2"/>
    <w:rsid w:val="00D56EBC"/>
    <w:rsid w:val="00D56F42"/>
    <w:rsid w:val="00D570FD"/>
    <w:rsid w:val="00D57608"/>
    <w:rsid w:val="00D57879"/>
    <w:rsid w:val="00D57EA5"/>
    <w:rsid w:val="00D602CC"/>
    <w:rsid w:val="00D60822"/>
    <w:rsid w:val="00D60D46"/>
    <w:rsid w:val="00D615FF"/>
    <w:rsid w:val="00D6188A"/>
    <w:rsid w:val="00D61BB8"/>
    <w:rsid w:val="00D61D44"/>
    <w:rsid w:val="00D61E87"/>
    <w:rsid w:val="00D63A4D"/>
    <w:rsid w:val="00D64A66"/>
    <w:rsid w:val="00D64F74"/>
    <w:rsid w:val="00D66147"/>
    <w:rsid w:val="00D66449"/>
    <w:rsid w:val="00D66EE9"/>
    <w:rsid w:val="00D67101"/>
    <w:rsid w:val="00D671FA"/>
    <w:rsid w:val="00D70187"/>
    <w:rsid w:val="00D70559"/>
    <w:rsid w:val="00D70D85"/>
    <w:rsid w:val="00D718B1"/>
    <w:rsid w:val="00D71BAC"/>
    <w:rsid w:val="00D71C38"/>
    <w:rsid w:val="00D7331A"/>
    <w:rsid w:val="00D73EF3"/>
    <w:rsid w:val="00D7499D"/>
    <w:rsid w:val="00D752E5"/>
    <w:rsid w:val="00D76BF8"/>
    <w:rsid w:val="00D80930"/>
    <w:rsid w:val="00D815CA"/>
    <w:rsid w:val="00D82EF5"/>
    <w:rsid w:val="00D83387"/>
    <w:rsid w:val="00D84ECA"/>
    <w:rsid w:val="00D85417"/>
    <w:rsid w:val="00D854D7"/>
    <w:rsid w:val="00D87104"/>
    <w:rsid w:val="00D872B2"/>
    <w:rsid w:val="00D91A3F"/>
    <w:rsid w:val="00D91B67"/>
    <w:rsid w:val="00D91EF5"/>
    <w:rsid w:val="00D92CDF"/>
    <w:rsid w:val="00D9382C"/>
    <w:rsid w:val="00D93B42"/>
    <w:rsid w:val="00D943B5"/>
    <w:rsid w:val="00D95928"/>
    <w:rsid w:val="00D95F67"/>
    <w:rsid w:val="00D96550"/>
    <w:rsid w:val="00D971E3"/>
    <w:rsid w:val="00D9767D"/>
    <w:rsid w:val="00D97E49"/>
    <w:rsid w:val="00DA0762"/>
    <w:rsid w:val="00DA3254"/>
    <w:rsid w:val="00DA32DF"/>
    <w:rsid w:val="00DA3BDC"/>
    <w:rsid w:val="00DA4A7D"/>
    <w:rsid w:val="00DA5931"/>
    <w:rsid w:val="00DA722B"/>
    <w:rsid w:val="00DA76C9"/>
    <w:rsid w:val="00DB19C1"/>
    <w:rsid w:val="00DB212A"/>
    <w:rsid w:val="00DB2424"/>
    <w:rsid w:val="00DB3C64"/>
    <w:rsid w:val="00DB3DD2"/>
    <w:rsid w:val="00DB3E84"/>
    <w:rsid w:val="00DB49E4"/>
    <w:rsid w:val="00DC02A0"/>
    <w:rsid w:val="00DC04F3"/>
    <w:rsid w:val="00DC0B08"/>
    <w:rsid w:val="00DC0E27"/>
    <w:rsid w:val="00DC1000"/>
    <w:rsid w:val="00DC10D2"/>
    <w:rsid w:val="00DC110A"/>
    <w:rsid w:val="00DC13D7"/>
    <w:rsid w:val="00DC1E3C"/>
    <w:rsid w:val="00DC29FE"/>
    <w:rsid w:val="00DC3D3E"/>
    <w:rsid w:val="00DC43E7"/>
    <w:rsid w:val="00DC5CFE"/>
    <w:rsid w:val="00DC6DAC"/>
    <w:rsid w:val="00DD047D"/>
    <w:rsid w:val="00DD0A7B"/>
    <w:rsid w:val="00DD1BB4"/>
    <w:rsid w:val="00DD6547"/>
    <w:rsid w:val="00DD663F"/>
    <w:rsid w:val="00DD672E"/>
    <w:rsid w:val="00DD6D97"/>
    <w:rsid w:val="00DD6FBB"/>
    <w:rsid w:val="00DD753D"/>
    <w:rsid w:val="00DD78A5"/>
    <w:rsid w:val="00DE1D96"/>
    <w:rsid w:val="00DE20BC"/>
    <w:rsid w:val="00DE23A6"/>
    <w:rsid w:val="00DE42B9"/>
    <w:rsid w:val="00DE4448"/>
    <w:rsid w:val="00DE49C9"/>
    <w:rsid w:val="00DE5B5D"/>
    <w:rsid w:val="00DE6285"/>
    <w:rsid w:val="00DE6957"/>
    <w:rsid w:val="00DE6E8B"/>
    <w:rsid w:val="00DF0078"/>
    <w:rsid w:val="00DF067F"/>
    <w:rsid w:val="00DF1CDB"/>
    <w:rsid w:val="00DF3D01"/>
    <w:rsid w:val="00DF5B6B"/>
    <w:rsid w:val="00DF5E1E"/>
    <w:rsid w:val="00DF6442"/>
    <w:rsid w:val="00DF67A3"/>
    <w:rsid w:val="00DF77FC"/>
    <w:rsid w:val="00DF7A42"/>
    <w:rsid w:val="00E0176B"/>
    <w:rsid w:val="00E022DC"/>
    <w:rsid w:val="00E024D3"/>
    <w:rsid w:val="00E038F6"/>
    <w:rsid w:val="00E0487B"/>
    <w:rsid w:val="00E06BFB"/>
    <w:rsid w:val="00E07062"/>
    <w:rsid w:val="00E0751B"/>
    <w:rsid w:val="00E07A7B"/>
    <w:rsid w:val="00E10313"/>
    <w:rsid w:val="00E11245"/>
    <w:rsid w:val="00E11C8F"/>
    <w:rsid w:val="00E138BD"/>
    <w:rsid w:val="00E13EC2"/>
    <w:rsid w:val="00E14406"/>
    <w:rsid w:val="00E14435"/>
    <w:rsid w:val="00E14893"/>
    <w:rsid w:val="00E14D52"/>
    <w:rsid w:val="00E14D91"/>
    <w:rsid w:val="00E178FC"/>
    <w:rsid w:val="00E20385"/>
    <w:rsid w:val="00E20441"/>
    <w:rsid w:val="00E2067B"/>
    <w:rsid w:val="00E206F5"/>
    <w:rsid w:val="00E20794"/>
    <w:rsid w:val="00E21598"/>
    <w:rsid w:val="00E24979"/>
    <w:rsid w:val="00E24C84"/>
    <w:rsid w:val="00E259BC"/>
    <w:rsid w:val="00E264A4"/>
    <w:rsid w:val="00E27322"/>
    <w:rsid w:val="00E276B2"/>
    <w:rsid w:val="00E323AD"/>
    <w:rsid w:val="00E3253D"/>
    <w:rsid w:val="00E32E9A"/>
    <w:rsid w:val="00E34189"/>
    <w:rsid w:val="00E34766"/>
    <w:rsid w:val="00E364F3"/>
    <w:rsid w:val="00E36EBF"/>
    <w:rsid w:val="00E37276"/>
    <w:rsid w:val="00E37BBA"/>
    <w:rsid w:val="00E40388"/>
    <w:rsid w:val="00E40FCC"/>
    <w:rsid w:val="00E42C75"/>
    <w:rsid w:val="00E42CD3"/>
    <w:rsid w:val="00E43122"/>
    <w:rsid w:val="00E439D3"/>
    <w:rsid w:val="00E43D06"/>
    <w:rsid w:val="00E44003"/>
    <w:rsid w:val="00E44AC5"/>
    <w:rsid w:val="00E4541C"/>
    <w:rsid w:val="00E456A5"/>
    <w:rsid w:val="00E46420"/>
    <w:rsid w:val="00E46ACB"/>
    <w:rsid w:val="00E46BB6"/>
    <w:rsid w:val="00E470B1"/>
    <w:rsid w:val="00E4755A"/>
    <w:rsid w:val="00E47D0E"/>
    <w:rsid w:val="00E50890"/>
    <w:rsid w:val="00E5110E"/>
    <w:rsid w:val="00E51F94"/>
    <w:rsid w:val="00E5313D"/>
    <w:rsid w:val="00E53F6E"/>
    <w:rsid w:val="00E5512D"/>
    <w:rsid w:val="00E567A6"/>
    <w:rsid w:val="00E574E5"/>
    <w:rsid w:val="00E5798F"/>
    <w:rsid w:val="00E607C3"/>
    <w:rsid w:val="00E60B57"/>
    <w:rsid w:val="00E62678"/>
    <w:rsid w:val="00E63C51"/>
    <w:rsid w:val="00E647B5"/>
    <w:rsid w:val="00E64FDF"/>
    <w:rsid w:val="00E653E7"/>
    <w:rsid w:val="00E66690"/>
    <w:rsid w:val="00E6671A"/>
    <w:rsid w:val="00E66A02"/>
    <w:rsid w:val="00E678B5"/>
    <w:rsid w:val="00E70B30"/>
    <w:rsid w:val="00E70BDA"/>
    <w:rsid w:val="00E71139"/>
    <w:rsid w:val="00E717A7"/>
    <w:rsid w:val="00E71FCC"/>
    <w:rsid w:val="00E72BDD"/>
    <w:rsid w:val="00E730F9"/>
    <w:rsid w:val="00E74ACB"/>
    <w:rsid w:val="00E74F63"/>
    <w:rsid w:val="00E7602E"/>
    <w:rsid w:val="00E7657F"/>
    <w:rsid w:val="00E76E41"/>
    <w:rsid w:val="00E7712C"/>
    <w:rsid w:val="00E773D4"/>
    <w:rsid w:val="00E7773E"/>
    <w:rsid w:val="00E77A7D"/>
    <w:rsid w:val="00E77F65"/>
    <w:rsid w:val="00E8223A"/>
    <w:rsid w:val="00E82E08"/>
    <w:rsid w:val="00E83A60"/>
    <w:rsid w:val="00E83B4C"/>
    <w:rsid w:val="00E85138"/>
    <w:rsid w:val="00E872ED"/>
    <w:rsid w:val="00E90664"/>
    <w:rsid w:val="00E91577"/>
    <w:rsid w:val="00E92065"/>
    <w:rsid w:val="00E950E9"/>
    <w:rsid w:val="00E965C0"/>
    <w:rsid w:val="00E96F05"/>
    <w:rsid w:val="00EA0D9B"/>
    <w:rsid w:val="00EA340E"/>
    <w:rsid w:val="00EA3B1F"/>
    <w:rsid w:val="00EA3D27"/>
    <w:rsid w:val="00EA3EA1"/>
    <w:rsid w:val="00EA58DE"/>
    <w:rsid w:val="00EA660E"/>
    <w:rsid w:val="00EA72EF"/>
    <w:rsid w:val="00EA7EB0"/>
    <w:rsid w:val="00EB05D4"/>
    <w:rsid w:val="00EB2506"/>
    <w:rsid w:val="00EB3123"/>
    <w:rsid w:val="00EB4A9B"/>
    <w:rsid w:val="00EB4DE1"/>
    <w:rsid w:val="00EB55D0"/>
    <w:rsid w:val="00EB5646"/>
    <w:rsid w:val="00EB56BF"/>
    <w:rsid w:val="00EB5ADB"/>
    <w:rsid w:val="00EC0F78"/>
    <w:rsid w:val="00EC16BA"/>
    <w:rsid w:val="00EC1A32"/>
    <w:rsid w:val="00EC1A39"/>
    <w:rsid w:val="00EC2829"/>
    <w:rsid w:val="00EC383C"/>
    <w:rsid w:val="00EC3D3F"/>
    <w:rsid w:val="00EC3FA0"/>
    <w:rsid w:val="00EC4BF9"/>
    <w:rsid w:val="00EC5C01"/>
    <w:rsid w:val="00EC62F1"/>
    <w:rsid w:val="00EC682C"/>
    <w:rsid w:val="00EC6C3B"/>
    <w:rsid w:val="00EC74E6"/>
    <w:rsid w:val="00EC766D"/>
    <w:rsid w:val="00EC7E34"/>
    <w:rsid w:val="00ED025D"/>
    <w:rsid w:val="00ED16E8"/>
    <w:rsid w:val="00ED1747"/>
    <w:rsid w:val="00ED338A"/>
    <w:rsid w:val="00ED3DFD"/>
    <w:rsid w:val="00ED3F21"/>
    <w:rsid w:val="00ED4A42"/>
    <w:rsid w:val="00ED5F60"/>
    <w:rsid w:val="00ED6DDC"/>
    <w:rsid w:val="00EE260F"/>
    <w:rsid w:val="00EE3352"/>
    <w:rsid w:val="00EE4E6C"/>
    <w:rsid w:val="00EE56E1"/>
    <w:rsid w:val="00EE604B"/>
    <w:rsid w:val="00EE6B33"/>
    <w:rsid w:val="00EE6CC1"/>
    <w:rsid w:val="00EE6EDC"/>
    <w:rsid w:val="00EE7F6C"/>
    <w:rsid w:val="00EF0462"/>
    <w:rsid w:val="00EF0A99"/>
    <w:rsid w:val="00EF0F1C"/>
    <w:rsid w:val="00EF19F4"/>
    <w:rsid w:val="00EF1E86"/>
    <w:rsid w:val="00EF3F9B"/>
    <w:rsid w:val="00EF4C99"/>
    <w:rsid w:val="00EF5641"/>
    <w:rsid w:val="00EF6505"/>
    <w:rsid w:val="00EF7A6F"/>
    <w:rsid w:val="00EF7DA4"/>
    <w:rsid w:val="00F01BB6"/>
    <w:rsid w:val="00F025A1"/>
    <w:rsid w:val="00F02689"/>
    <w:rsid w:val="00F02C57"/>
    <w:rsid w:val="00F04C10"/>
    <w:rsid w:val="00F070E5"/>
    <w:rsid w:val="00F072C6"/>
    <w:rsid w:val="00F07BB8"/>
    <w:rsid w:val="00F109EA"/>
    <w:rsid w:val="00F1166A"/>
    <w:rsid w:val="00F1244B"/>
    <w:rsid w:val="00F12DF3"/>
    <w:rsid w:val="00F1517E"/>
    <w:rsid w:val="00F15CDF"/>
    <w:rsid w:val="00F16678"/>
    <w:rsid w:val="00F16976"/>
    <w:rsid w:val="00F20C57"/>
    <w:rsid w:val="00F22AC4"/>
    <w:rsid w:val="00F24038"/>
    <w:rsid w:val="00F25401"/>
    <w:rsid w:val="00F259A9"/>
    <w:rsid w:val="00F26388"/>
    <w:rsid w:val="00F30B21"/>
    <w:rsid w:val="00F31909"/>
    <w:rsid w:val="00F31BE3"/>
    <w:rsid w:val="00F323B0"/>
    <w:rsid w:val="00F33515"/>
    <w:rsid w:val="00F34032"/>
    <w:rsid w:val="00F34B21"/>
    <w:rsid w:val="00F34CA5"/>
    <w:rsid w:val="00F35C9B"/>
    <w:rsid w:val="00F36F24"/>
    <w:rsid w:val="00F36F8C"/>
    <w:rsid w:val="00F41E0C"/>
    <w:rsid w:val="00F41E90"/>
    <w:rsid w:val="00F42F20"/>
    <w:rsid w:val="00F436BF"/>
    <w:rsid w:val="00F4377B"/>
    <w:rsid w:val="00F43E0D"/>
    <w:rsid w:val="00F44607"/>
    <w:rsid w:val="00F447E3"/>
    <w:rsid w:val="00F44D06"/>
    <w:rsid w:val="00F46E90"/>
    <w:rsid w:val="00F501FE"/>
    <w:rsid w:val="00F52144"/>
    <w:rsid w:val="00F533AE"/>
    <w:rsid w:val="00F53702"/>
    <w:rsid w:val="00F53A51"/>
    <w:rsid w:val="00F53B56"/>
    <w:rsid w:val="00F540E4"/>
    <w:rsid w:val="00F54AD8"/>
    <w:rsid w:val="00F55AB1"/>
    <w:rsid w:val="00F55BC3"/>
    <w:rsid w:val="00F56532"/>
    <w:rsid w:val="00F56BE2"/>
    <w:rsid w:val="00F571FE"/>
    <w:rsid w:val="00F57770"/>
    <w:rsid w:val="00F5799D"/>
    <w:rsid w:val="00F6023B"/>
    <w:rsid w:val="00F62649"/>
    <w:rsid w:val="00F62C96"/>
    <w:rsid w:val="00F633E2"/>
    <w:rsid w:val="00F635F7"/>
    <w:rsid w:val="00F638A5"/>
    <w:rsid w:val="00F63CBF"/>
    <w:rsid w:val="00F64E82"/>
    <w:rsid w:val="00F66765"/>
    <w:rsid w:val="00F668DE"/>
    <w:rsid w:val="00F66908"/>
    <w:rsid w:val="00F673C2"/>
    <w:rsid w:val="00F678F6"/>
    <w:rsid w:val="00F67C9C"/>
    <w:rsid w:val="00F70446"/>
    <w:rsid w:val="00F70B58"/>
    <w:rsid w:val="00F70D2F"/>
    <w:rsid w:val="00F71269"/>
    <w:rsid w:val="00F7136E"/>
    <w:rsid w:val="00F715FC"/>
    <w:rsid w:val="00F71859"/>
    <w:rsid w:val="00F727C3"/>
    <w:rsid w:val="00F728F3"/>
    <w:rsid w:val="00F72EC5"/>
    <w:rsid w:val="00F74DBA"/>
    <w:rsid w:val="00F74FDC"/>
    <w:rsid w:val="00F7566A"/>
    <w:rsid w:val="00F77D63"/>
    <w:rsid w:val="00F80602"/>
    <w:rsid w:val="00F814ED"/>
    <w:rsid w:val="00F81666"/>
    <w:rsid w:val="00F81A1A"/>
    <w:rsid w:val="00F8265D"/>
    <w:rsid w:val="00F82A57"/>
    <w:rsid w:val="00F83A2C"/>
    <w:rsid w:val="00F83E9D"/>
    <w:rsid w:val="00F86319"/>
    <w:rsid w:val="00F86460"/>
    <w:rsid w:val="00F868B4"/>
    <w:rsid w:val="00F86C5B"/>
    <w:rsid w:val="00F90027"/>
    <w:rsid w:val="00F90678"/>
    <w:rsid w:val="00F922B8"/>
    <w:rsid w:val="00F9455C"/>
    <w:rsid w:val="00F94EAB"/>
    <w:rsid w:val="00F961A0"/>
    <w:rsid w:val="00F97A32"/>
    <w:rsid w:val="00FA21EC"/>
    <w:rsid w:val="00FA2A83"/>
    <w:rsid w:val="00FA3B58"/>
    <w:rsid w:val="00FA42CA"/>
    <w:rsid w:val="00FA490B"/>
    <w:rsid w:val="00FA5484"/>
    <w:rsid w:val="00FA5916"/>
    <w:rsid w:val="00FA6127"/>
    <w:rsid w:val="00FA61ED"/>
    <w:rsid w:val="00FA69FC"/>
    <w:rsid w:val="00FA72D6"/>
    <w:rsid w:val="00FA796D"/>
    <w:rsid w:val="00FA7B06"/>
    <w:rsid w:val="00FA7F65"/>
    <w:rsid w:val="00FB1A77"/>
    <w:rsid w:val="00FB1CFE"/>
    <w:rsid w:val="00FB24D9"/>
    <w:rsid w:val="00FB329A"/>
    <w:rsid w:val="00FB3EBB"/>
    <w:rsid w:val="00FB467E"/>
    <w:rsid w:val="00FB4A23"/>
    <w:rsid w:val="00FB6501"/>
    <w:rsid w:val="00FB6B2A"/>
    <w:rsid w:val="00FB7CFB"/>
    <w:rsid w:val="00FC002F"/>
    <w:rsid w:val="00FC0DDA"/>
    <w:rsid w:val="00FC4604"/>
    <w:rsid w:val="00FC4BF2"/>
    <w:rsid w:val="00FC4FE3"/>
    <w:rsid w:val="00FC55F6"/>
    <w:rsid w:val="00FC61B2"/>
    <w:rsid w:val="00FC624C"/>
    <w:rsid w:val="00FD04E0"/>
    <w:rsid w:val="00FD0695"/>
    <w:rsid w:val="00FD22DE"/>
    <w:rsid w:val="00FD5941"/>
    <w:rsid w:val="00FD5CA1"/>
    <w:rsid w:val="00FD5EFF"/>
    <w:rsid w:val="00FD7F56"/>
    <w:rsid w:val="00FE04DB"/>
    <w:rsid w:val="00FE0BFA"/>
    <w:rsid w:val="00FE0D85"/>
    <w:rsid w:val="00FE0DC9"/>
    <w:rsid w:val="00FE1BB3"/>
    <w:rsid w:val="00FE2449"/>
    <w:rsid w:val="00FE2A56"/>
    <w:rsid w:val="00FE2AE1"/>
    <w:rsid w:val="00FE2EA4"/>
    <w:rsid w:val="00FE57BE"/>
    <w:rsid w:val="00FE584B"/>
    <w:rsid w:val="00FE5E85"/>
    <w:rsid w:val="00FE5FEC"/>
    <w:rsid w:val="00FE6C37"/>
    <w:rsid w:val="00FE7D88"/>
    <w:rsid w:val="00FF0254"/>
    <w:rsid w:val="00FF08F6"/>
    <w:rsid w:val="00FF095B"/>
    <w:rsid w:val="00FF0A11"/>
    <w:rsid w:val="00FF0A8C"/>
    <w:rsid w:val="00FF0FF4"/>
    <w:rsid w:val="00FF1985"/>
    <w:rsid w:val="00FF1D48"/>
    <w:rsid w:val="00FF21EB"/>
    <w:rsid w:val="00FF3C42"/>
    <w:rsid w:val="00FF4D3D"/>
    <w:rsid w:val="00FF518D"/>
    <w:rsid w:val="00FF695E"/>
    <w:rsid w:val="00FF6D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F302068-E911-47CC-B6DD-260A8B21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53D"/>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BalloonText">
    <w:name w:val="Balloon Text"/>
    <w:basedOn w:val="Normal"/>
    <w:link w:val="BalloonTextChar"/>
    <w:uiPriority w:val="99"/>
    <w:rsid w:val="00E3253D"/>
    <w:rPr>
      <w:rFonts w:ascii="Tahoma" w:hAnsi="Tahoma" w:cs="Tahoma"/>
      <w:sz w:val="16"/>
      <w:szCs w:val="16"/>
    </w:rPr>
  </w:style>
  <w:style w:type="character" w:customStyle="1" w:styleId="BalloonTextChar">
    <w:name w:val="Balloon Text Char"/>
    <w:basedOn w:val="DefaultParagraphFont"/>
    <w:link w:val="BalloonText"/>
    <w:uiPriority w:val="99"/>
    <w:rsid w:val="00E3253D"/>
    <w:rPr>
      <w:rFonts w:ascii="Tahoma" w:hAnsi="Tahoma" w:cs="Tahoma"/>
      <w:color w:val="000000"/>
      <w:sz w:val="16"/>
      <w:szCs w:val="16"/>
      <w:lang w:bidi="ar-SA"/>
    </w:rPr>
  </w:style>
  <w:style w:type="paragraph" w:styleId="Footer">
    <w:name w:val="footer"/>
    <w:basedOn w:val="Normal"/>
    <w:link w:val="FooterChar"/>
    <w:rsid w:val="00E3253D"/>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E3253D"/>
    <w:rPr>
      <w:rFonts w:cs="Traditional Arabic"/>
      <w:color w:val="000000"/>
      <w:sz w:val="26"/>
      <w:szCs w:val="26"/>
      <w:lang w:bidi="ar-SA"/>
    </w:rPr>
  </w:style>
  <w:style w:type="paragraph" w:styleId="Header">
    <w:name w:val="header"/>
    <w:basedOn w:val="Normal"/>
    <w:link w:val="HeaderChar"/>
    <w:uiPriority w:val="99"/>
    <w:rsid w:val="00E3253D"/>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E3253D"/>
    <w:rPr>
      <w:rFonts w:cs="Traditional Arabic"/>
      <w:color w:val="000000"/>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B00B9-E837-4A2E-8C68-9025FEB47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5398</TotalTime>
  <Pages>657</Pages>
  <Words>208945</Words>
  <Characters>1190988</Characters>
  <Application>Microsoft Office Word</Application>
  <DocSecurity>0</DocSecurity>
  <Lines>9924</Lines>
  <Paragraphs>2794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1397139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mohsn</dc:creator>
  <cp:keywords/>
  <dc:description/>
  <cp:lastModifiedBy>hasan</cp:lastModifiedBy>
  <cp:revision>41</cp:revision>
  <cp:lastPrinted>2020-07-05T13:48:00Z</cp:lastPrinted>
  <dcterms:created xsi:type="dcterms:W3CDTF">2020-05-01T21:04:00Z</dcterms:created>
  <dcterms:modified xsi:type="dcterms:W3CDTF">2020-07-05T13:52:00Z</dcterms:modified>
</cp:coreProperties>
</file>